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049114">
      <w:pPr>
        <w:spacing w:before="0" w:after="0" w:line="560" w:lineRule="exact"/>
        <w:rPr>
          <w:rFonts w:hint="eastAsia" w:ascii="黑体" w:hAnsi="黑体" w:eastAsia="黑体" w:cs="黑体"/>
          <w:b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color w:val="000000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b w:val="0"/>
          <w:color w:val="000000"/>
          <w:sz w:val="32"/>
          <w:szCs w:val="32"/>
          <w:highlight w:val="none"/>
          <w:lang w:val="en-US" w:eastAsia="zh-CN"/>
        </w:rPr>
        <w:t>2</w:t>
      </w:r>
    </w:p>
    <w:p w14:paraId="32C7D01A">
      <w:pPr>
        <w:spacing w:before="0" w:after="0" w:line="560" w:lineRule="exact"/>
        <w:rPr>
          <w:rFonts w:hint="eastAsia" w:ascii="黑体" w:hAnsi="黑体" w:eastAsia="黑体" w:cs="黑体"/>
          <w:b w:val="0"/>
          <w:color w:val="000000"/>
          <w:sz w:val="32"/>
          <w:szCs w:val="32"/>
          <w:highlight w:val="none"/>
          <w:lang w:val="en-US" w:eastAsia="zh-CN"/>
        </w:rPr>
      </w:pPr>
    </w:p>
    <w:p w14:paraId="0E99070F">
      <w:pPr>
        <w:spacing w:before="0" w:after="0" w:line="560" w:lineRule="exact"/>
        <w:jc w:val="center"/>
        <w:rPr>
          <w:highlight w:val="none"/>
        </w:rPr>
      </w:pPr>
      <w:r>
        <w:rPr>
          <w:rFonts w:ascii="Times New Roman" w:hAnsi="Times New Roman" w:eastAsia="方正小标宋简体"/>
          <w:b w:val="0"/>
          <w:color w:val="000000"/>
          <w:sz w:val="44"/>
          <w:highlight w:val="none"/>
        </w:rPr>
        <w:t>关于《昌平区“十五五”时期城市更新规划</w:t>
      </w:r>
    </w:p>
    <w:p w14:paraId="36B7D9AB">
      <w:pPr>
        <w:spacing w:before="0" w:after="0" w:line="560" w:lineRule="exact"/>
        <w:jc w:val="center"/>
        <w:rPr>
          <w:highlight w:val="none"/>
        </w:rPr>
      </w:pPr>
      <w:r>
        <w:rPr>
          <w:rFonts w:ascii="Times New Roman" w:hAnsi="Times New Roman" w:eastAsia="方正小标宋简体"/>
          <w:b w:val="0"/>
          <w:color w:val="000000"/>
          <w:sz w:val="44"/>
          <w:highlight w:val="none"/>
        </w:rPr>
        <w:t>（征求意见稿）》的起草说明</w:t>
      </w:r>
    </w:p>
    <w:p w14:paraId="470AD2BD">
      <w:pPr>
        <w:spacing w:before="0" w:after="0" w:line="560" w:lineRule="exact"/>
        <w:rPr>
          <w:highlight w:val="none"/>
        </w:rPr>
      </w:pPr>
    </w:p>
    <w:p w14:paraId="0FFADE61">
      <w:pPr>
        <w:spacing w:before="0" w:after="0" w:line="560" w:lineRule="exact"/>
        <w:ind w:firstLine="640"/>
        <w:rPr>
          <w:rFonts w:hint="eastAsia" w:eastAsia="黑体"/>
          <w:highlight w:val="none"/>
          <w:lang w:eastAsia="zh-CN"/>
        </w:rPr>
      </w:pPr>
      <w:r>
        <w:rPr>
          <w:rFonts w:ascii="Times New Roman" w:hAnsi="Times New Roman" w:eastAsia="黑体"/>
          <w:b w:val="0"/>
          <w:color w:val="000000"/>
          <w:sz w:val="32"/>
          <w:highlight w:val="none"/>
        </w:rPr>
        <w:t>一、起草背景</w:t>
      </w:r>
    </w:p>
    <w:p w14:paraId="063C16B0">
      <w:pPr>
        <w:spacing w:before="0" w:after="0" w:line="560" w:lineRule="exact"/>
        <w:ind w:firstLine="640"/>
        <w:rPr>
          <w:rFonts w:hint="eastAsia" w:ascii="Times New Roman" w:hAnsi="Times New Roman" w:eastAsia="仿宋_GB2312"/>
          <w:b w:val="0"/>
          <w:color w:val="000000"/>
          <w:sz w:val="32"/>
          <w:highlight w:val="none"/>
          <w:lang w:eastAsia="zh-CN"/>
        </w:rPr>
      </w:pPr>
      <w:r>
        <w:rPr>
          <w:rFonts w:hint="eastAsia" w:ascii="Times New Roman" w:hAnsi="Times New Roman" w:eastAsia="仿宋_GB2312"/>
          <w:b w:val="0"/>
          <w:color w:val="000000"/>
          <w:sz w:val="32"/>
          <w:highlight w:val="none"/>
        </w:rPr>
        <w:t>“十五五”时期在基本实现社会主义现代化进程中具有承前启后的重要地位，是夯实基础、全面发力的关键时期。国家“十五五”规划纲要和《城市更新“十五五”规划》明确提出深入实施城市更新行动，转变超大特大城市发展方式，推动城市高质量发展。《北京市城市更新条例》</w:t>
      </w:r>
      <w:r>
        <w:rPr>
          <w:rFonts w:hint="eastAsia" w:ascii="Times New Roman" w:hAnsi="Times New Roman" w:eastAsia="仿宋_GB2312"/>
          <w:b w:val="0"/>
          <w:color w:val="000000"/>
          <w:sz w:val="32"/>
          <w:highlight w:val="none"/>
          <w:lang w:val="en-US" w:eastAsia="zh-CN"/>
        </w:rPr>
        <w:t>明确</w:t>
      </w:r>
      <w:r>
        <w:rPr>
          <w:rFonts w:hint="eastAsia" w:ascii="Times New Roman" w:hAnsi="Times New Roman" w:eastAsia="仿宋_GB2312"/>
          <w:b w:val="0"/>
          <w:color w:val="000000"/>
          <w:sz w:val="32"/>
          <w:highlight w:val="none"/>
        </w:rPr>
        <w:t>以新时代首都发展为统领推动城市更新，优化城市功能和空间布局，改善人居环境，加强历史文化保护传承，激发城市活力，促进城市高质量发展，建设国际一流的和谐宜居之都。</w:t>
      </w:r>
      <w:r>
        <w:rPr>
          <w:rFonts w:hint="eastAsia" w:ascii="Times New Roman" w:hAnsi="Times New Roman" w:eastAsia="仿宋_GB2312"/>
          <w:b w:val="0"/>
          <w:color w:val="000000"/>
          <w:sz w:val="32"/>
          <w:highlight w:val="none"/>
          <w:lang w:eastAsia="zh-CN"/>
        </w:rPr>
        <w:t>《北京市国民经济和社会发展第十五个五年规划纲要》</w:t>
      </w:r>
      <w:r>
        <w:rPr>
          <w:rFonts w:hint="eastAsia" w:ascii="Times New Roman" w:hAnsi="Times New Roman" w:eastAsia="仿宋_GB2312"/>
          <w:b w:val="0"/>
          <w:color w:val="000000"/>
          <w:sz w:val="32"/>
          <w:highlight w:val="none"/>
        </w:rPr>
        <w:t>将城市更新作为城市建设发展的重点方向和重要动力</w:t>
      </w:r>
      <w:r>
        <w:rPr>
          <w:rFonts w:hint="eastAsia" w:ascii="Times New Roman" w:hAnsi="Times New Roman" w:eastAsia="仿宋_GB2312"/>
          <w:b w:val="0"/>
          <w:color w:val="000000"/>
          <w:sz w:val="32"/>
          <w:highlight w:val="none"/>
          <w:lang w:eastAsia="zh-CN"/>
        </w:rPr>
        <w:t>，</w:t>
      </w:r>
      <w:r>
        <w:rPr>
          <w:rFonts w:hint="eastAsia" w:ascii="Times New Roman" w:hAnsi="Times New Roman" w:eastAsia="仿宋_GB2312"/>
          <w:b w:val="0"/>
          <w:color w:val="000000"/>
          <w:sz w:val="32"/>
          <w:highlight w:val="none"/>
        </w:rPr>
        <w:t>突出城市更新整体性、系统性</w:t>
      </w:r>
      <w:r>
        <w:rPr>
          <w:rFonts w:hint="eastAsia" w:ascii="Times New Roman" w:hAnsi="Times New Roman" w:eastAsia="仿宋_GB2312"/>
          <w:b w:val="0"/>
          <w:color w:val="000000"/>
          <w:sz w:val="32"/>
          <w:highlight w:val="none"/>
          <w:lang w:eastAsia="zh-CN"/>
        </w:rPr>
        <w:t>，</w:t>
      </w:r>
      <w:bookmarkStart w:id="0" w:name="_GoBack"/>
      <w:bookmarkEnd w:id="0"/>
      <w:r>
        <w:rPr>
          <w:rFonts w:hint="eastAsia" w:ascii="Times New Roman" w:hAnsi="Times New Roman" w:eastAsia="仿宋_GB2312"/>
          <w:b w:val="0"/>
          <w:color w:val="000000"/>
          <w:sz w:val="32"/>
          <w:highlight w:val="none"/>
        </w:rPr>
        <w:t>完善以需求为导向、以项目为牵引的分类实施机制</w:t>
      </w:r>
      <w:r>
        <w:rPr>
          <w:rFonts w:hint="eastAsia" w:ascii="Times New Roman" w:hAnsi="Times New Roman" w:eastAsia="仿宋_GB2312"/>
          <w:b w:val="0"/>
          <w:color w:val="000000"/>
          <w:sz w:val="32"/>
          <w:highlight w:val="none"/>
          <w:lang w:eastAsia="zh-CN"/>
        </w:rPr>
        <w:t>。</w:t>
      </w:r>
    </w:p>
    <w:p w14:paraId="409AC616">
      <w:pPr>
        <w:spacing w:before="0" w:after="0" w:line="560" w:lineRule="exact"/>
        <w:ind w:firstLine="640"/>
        <w:rPr>
          <w:rFonts w:hint="eastAsia" w:eastAsia="仿宋_GB2312"/>
          <w:highlight w:val="none"/>
          <w:lang w:eastAsia="zh-CN"/>
        </w:rPr>
      </w:pPr>
      <w:r>
        <w:rPr>
          <w:rFonts w:hint="eastAsia" w:ascii="Times New Roman" w:hAnsi="Times New Roman" w:eastAsia="仿宋_GB2312"/>
          <w:b w:val="0"/>
          <w:color w:val="000000"/>
          <w:sz w:val="32"/>
          <w:highlight w:val="none"/>
        </w:rPr>
        <w:t>“十五五”时期是昌平建设国际一流现代化新城的关键阶段，城市更新是落实国家、市级部署，优化城市功能品质、激发发展动能、增进民生福祉的重要路径。按照区委、区政府工作部署，区住房城乡建设委牵头编制了《昌平区“十五五”时期城市更新规划》（以下简称《规划》）。</w:t>
      </w:r>
    </w:p>
    <w:p w14:paraId="70E3715B">
      <w:pPr>
        <w:spacing w:before="0" w:after="0" w:line="560" w:lineRule="exact"/>
        <w:ind w:firstLine="640"/>
        <w:rPr>
          <w:highlight w:val="none"/>
        </w:rPr>
      </w:pPr>
      <w:r>
        <w:rPr>
          <w:rFonts w:ascii="Times New Roman" w:hAnsi="Times New Roman" w:eastAsia="黑体"/>
          <w:b w:val="0"/>
          <w:color w:val="000000"/>
          <w:sz w:val="32"/>
          <w:highlight w:val="none"/>
        </w:rPr>
        <w:t>二、起草过程</w:t>
      </w:r>
    </w:p>
    <w:p w14:paraId="6911279F">
      <w:pPr>
        <w:spacing w:before="0" w:after="0" w:line="560" w:lineRule="exact"/>
        <w:ind w:firstLine="640"/>
        <w:rPr>
          <w:highlight w:val="none"/>
        </w:rPr>
      </w:pPr>
      <w:r>
        <w:rPr>
          <w:rFonts w:hint="eastAsia" w:ascii="Times New Roman" w:hAnsi="Times New Roman" w:eastAsia="仿宋_GB2312"/>
          <w:b w:val="0"/>
          <w:color w:val="000000"/>
          <w:sz w:val="32"/>
          <w:highlight w:val="none"/>
        </w:rPr>
        <w:t>为做好《规划》编制工作，区住房城乡建设委会同区内相关职能部门，立足</w:t>
      </w:r>
      <w:r>
        <w:rPr>
          <w:rFonts w:hint="eastAsia" w:ascii="Times New Roman" w:hAnsi="Times New Roman" w:eastAsia="仿宋_GB2312"/>
          <w:b w:val="0"/>
          <w:color w:val="000000"/>
          <w:sz w:val="32"/>
          <w:highlight w:val="none"/>
          <w:lang w:eastAsia="zh-CN"/>
        </w:rPr>
        <w:t>“十四五”时期</w:t>
      </w:r>
      <w:r>
        <w:rPr>
          <w:rFonts w:hint="eastAsia" w:ascii="Times New Roman" w:hAnsi="Times New Roman" w:eastAsia="仿宋_GB2312"/>
          <w:b w:val="0"/>
          <w:color w:val="000000"/>
          <w:sz w:val="32"/>
          <w:highlight w:val="none"/>
        </w:rPr>
        <w:t>城市更新工作基础，聚焦居住空间改善、产业</w:t>
      </w:r>
      <w:r>
        <w:rPr>
          <w:rFonts w:hint="eastAsia" w:ascii="Times New Roman" w:hAnsi="Times New Roman" w:eastAsia="仿宋_GB2312"/>
          <w:b w:val="0"/>
          <w:color w:val="000000"/>
          <w:sz w:val="32"/>
          <w:highlight w:val="none"/>
          <w:lang w:val="en-US" w:eastAsia="zh-CN"/>
        </w:rPr>
        <w:t>空间改造</w:t>
      </w:r>
      <w:r>
        <w:rPr>
          <w:rFonts w:hint="eastAsia" w:ascii="Times New Roman" w:hAnsi="Times New Roman" w:eastAsia="仿宋_GB2312"/>
          <w:b w:val="0"/>
          <w:color w:val="000000"/>
          <w:sz w:val="32"/>
          <w:highlight w:val="none"/>
        </w:rPr>
        <w:t>、基础设施与安全韧性、城市功能与品质提升等重点领域，围绕国家《城市更新</w:t>
      </w:r>
      <w:r>
        <w:rPr>
          <w:rFonts w:hint="eastAsia" w:ascii="Times New Roman" w:hAnsi="Times New Roman" w:eastAsia="仿宋_GB2312"/>
          <w:b w:val="0"/>
          <w:color w:val="000000"/>
          <w:sz w:val="32"/>
          <w:highlight w:val="none"/>
          <w:lang w:eastAsia="zh-CN"/>
        </w:rPr>
        <w:t>“十五五”规划</w:t>
      </w:r>
      <w:r>
        <w:rPr>
          <w:rFonts w:hint="eastAsia" w:ascii="Times New Roman" w:hAnsi="Times New Roman" w:eastAsia="仿宋_GB2312"/>
          <w:b w:val="0"/>
          <w:color w:val="000000"/>
          <w:sz w:val="32"/>
          <w:highlight w:val="none"/>
        </w:rPr>
        <w:t>》和北京市城市更新各项部署，全面对标市级规划目标设置、任务安排和指标衔接，立足昌平区资源禀赋，研究形成《规划》，并广泛征求吸纳各相关单位意见建议</w:t>
      </w:r>
      <w:r>
        <w:rPr>
          <w:rFonts w:ascii="Times New Roman" w:hAnsi="Times New Roman" w:eastAsia="仿宋_GB2312"/>
          <w:b w:val="0"/>
          <w:color w:val="000000"/>
          <w:sz w:val="32"/>
          <w:highlight w:val="none"/>
        </w:rPr>
        <w:t>。</w:t>
      </w:r>
    </w:p>
    <w:p w14:paraId="0EDF3F41">
      <w:pPr>
        <w:spacing w:before="0" w:after="0" w:line="560" w:lineRule="exact"/>
        <w:ind w:firstLine="640"/>
        <w:rPr>
          <w:highlight w:val="none"/>
        </w:rPr>
      </w:pPr>
      <w:r>
        <w:rPr>
          <w:rFonts w:ascii="Times New Roman" w:hAnsi="Times New Roman" w:eastAsia="黑体"/>
          <w:b w:val="0"/>
          <w:color w:val="000000"/>
          <w:sz w:val="32"/>
          <w:highlight w:val="none"/>
        </w:rPr>
        <w:t>三、主要内容</w:t>
      </w:r>
    </w:p>
    <w:p w14:paraId="007E6E5F">
      <w:pPr>
        <w:spacing w:before="0" w:after="0" w:line="560" w:lineRule="exact"/>
        <w:ind w:firstLine="640"/>
        <w:rPr>
          <w:rFonts w:hint="eastAsia" w:ascii="Times New Roman" w:hAnsi="Times New Roman" w:eastAsia="仿宋_GB2312"/>
          <w:b w:val="0"/>
          <w:color w:val="000000"/>
          <w:sz w:val="32"/>
          <w:highlight w:val="none"/>
        </w:rPr>
      </w:pPr>
      <w:r>
        <w:rPr>
          <w:rFonts w:hint="eastAsia" w:ascii="Times New Roman" w:hAnsi="Times New Roman" w:eastAsia="仿宋_GB2312"/>
          <w:b w:val="0"/>
          <w:color w:val="000000"/>
          <w:sz w:val="32"/>
          <w:highlight w:val="none"/>
        </w:rPr>
        <w:t>《规划》共八章，包括</w:t>
      </w:r>
      <w:r>
        <w:rPr>
          <w:rFonts w:hint="eastAsia" w:ascii="Times New Roman" w:hAnsi="Times New Roman" w:eastAsia="仿宋_GB2312"/>
          <w:b w:val="0"/>
          <w:color w:val="000000"/>
          <w:sz w:val="32"/>
          <w:highlight w:val="none"/>
          <w:lang w:eastAsia="zh-CN"/>
        </w:rPr>
        <w:t>“十四五”时期</w:t>
      </w:r>
      <w:r>
        <w:rPr>
          <w:rFonts w:hint="eastAsia" w:ascii="Times New Roman" w:hAnsi="Times New Roman" w:eastAsia="仿宋_GB2312"/>
          <w:b w:val="0"/>
          <w:color w:val="000000"/>
          <w:sz w:val="32"/>
          <w:highlight w:val="none"/>
        </w:rPr>
        <w:t>城市更新回顾、总体要求、构建城市更新高质量发展格局、营造高品质的居住空间、激发科创引领的发展新动能、提升现代化基础设施建设水平、完善提升城市功能、加强组织实施保障八个部分。</w:t>
      </w:r>
    </w:p>
    <w:p w14:paraId="0D087910">
      <w:pPr>
        <w:spacing w:before="0" w:after="0" w:line="560" w:lineRule="exact"/>
        <w:ind w:firstLine="640"/>
        <w:rPr>
          <w:rFonts w:hint="eastAsia" w:ascii="Times New Roman" w:hAnsi="Times New Roman" w:eastAsia="仿宋_GB2312"/>
          <w:b w:val="0"/>
          <w:color w:val="000000"/>
          <w:sz w:val="32"/>
          <w:highlight w:val="none"/>
        </w:rPr>
      </w:pPr>
      <w:r>
        <w:rPr>
          <w:rFonts w:hint="eastAsia" w:ascii="Times New Roman" w:hAnsi="Times New Roman" w:eastAsia="仿宋_GB2312"/>
          <w:b w:val="0"/>
          <w:color w:val="000000"/>
          <w:sz w:val="32"/>
          <w:highlight w:val="none"/>
        </w:rPr>
        <w:t>（一）</w:t>
      </w:r>
      <w:r>
        <w:rPr>
          <w:rFonts w:hint="eastAsia" w:ascii="Times New Roman" w:hAnsi="Times New Roman" w:eastAsia="仿宋_GB2312"/>
          <w:b w:val="0"/>
          <w:color w:val="000000"/>
          <w:sz w:val="32"/>
          <w:highlight w:val="none"/>
          <w:lang w:eastAsia="zh-CN"/>
        </w:rPr>
        <w:t>“十四五”时期</w:t>
      </w:r>
      <w:r>
        <w:rPr>
          <w:rFonts w:hint="eastAsia" w:ascii="Times New Roman" w:hAnsi="Times New Roman" w:eastAsia="仿宋_GB2312"/>
          <w:b w:val="0"/>
          <w:color w:val="000000"/>
          <w:sz w:val="32"/>
          <w:highlight w:val="none"/>
        </w:rPr>
        <w:t>城市更新回顾</w:t>
      </w:r>
    </w:p>
    <w:p w14:paraId="46490DF6">
      <w:pPr>
        <w:spacing w:before="0" w:after="0" w:line="560" w:lineRule="exact"/>
        <w:ind w:firstLine="640"/>
        <w:rPr>
          <w:rFonts w:hint="eastAsia" w:ascii="Times New Roman" w:hAnsi="Times New Roman" w:eastAsia="仿宋_GB2312"/>
          <w:b w:val="0"/>
          <w:color w:val="000000"/>
          <w:sz w:val="32"/>
          <w:highlight w:val="none"/>
        </w:rPr>
      </w:pPr>
      <w:r>
        <w:rPr>
          <w:rFonts w:hint="eastAsia" w:ascii="Times New Roman" w:hAnsi="Times New Roman" w:eastAsia="仿宋_GB2312"/>
          <w:b w:val="0"/>
          <w:color w:val="000000"/>
          <w:sz w:val="32"/>
          <w:highlight w:val="none"/>
        </w:rPr>
        <w:t>总结</w:t>
      </w:r>
      <w:r>
        <w:rPr>
          <w:rFonts w:hint="eastAsia" w:ascii="Times New Roman" w:hAnsi="Times New Roman" w:eastAsia="仿宋_GB2312"/>
          <w:b w:val="0"/>
          <w:color w:val="000000"/>
          <w:sz w:val="32"/>
          <w:highlight w:val="none"/>
          <w:lang w:eastAsia="zh-CN"/>
        </w:rPr>
        <w:t>“十四五”时期</w:t>
      </w:r>
      <w:r>
        <w:rPr>
          <w:rFonts w:hint="eastAsia" w:ascii="Times New Roman" w:hAnsi="Times New Roman" w:eastAsia="仿宋_GB2312"/>
          <w:b w:val="0"/>
          <w:color w:val="000000"/>
          <w:sz w:val="32"/>
          <w:highlight w:val="none"/>
        </w:rPr>
        <w:t>昌平区城市更新工作成效，包括建立工作机制、推动更新实施、搭建协商平台、创新更新模式等4个方面，提炼形成一批可复制、可推广的</w:t>
      </w:r>
      <w:r>
        <w:rPr>
          <w:rFonts w:hint="eastAsia" w:ascii="Times New Roman" w:hAnsi="Times New Roman" w:eastAsia="仿宋_GB2312"/>
          <w:b w:val="0"/>
          <w:color w:val="000000"/>
          <w:sz w:val="32"/>
          <w:highlight w:val="none"/>
          <w:lang w:val="en-US" w:eastAsia="zh-CN"/>
        </w:rPr>
        <w:t>昌平城市更新经验</w:t>
      </w:r>
      <w:r>
        <w:rPr>
          <w:rFonts w:hint="eastAsia" w:ascii="Times New Roman" w:hAnsi="Times New Roman" w:eastAsia="仿宋_GB2312"/>
          <w:b w:val="0"/>
          <w:color w:val="000000"/>
          <w:sz w:val="32"/>
          <w:highlight w:val="none"/>
        </w:rPr>
        <w:t>。</w:t>
      </w:r>
    </w:p>
    <w:p w14:paraId="0D50FC53">
      <w:pPr>
        <w:spacing w:before="0" w:after="0" w:line="560" w:lineRule="exact"/>
        <w:ind w:firstLine="640"/>
        <w:rPr>
          <w:rFonts w:hint="eastAsia" w:ascii="Times New Roman" w:hAnsi="Times New Roman" w:eastAsia="仿宋_GB2312"/>
          <w:b w:val="0"/>
          <w:color w:val="000000"/>
          <w:sz w:val="32"/>
          <w:highlight w:val="none"/>
        </w:rPr>
      </w:pPr>
      <w:r>
        <w:rPr>
          <w:rFonts w:hint="eastAsia" w:ascii="Times New Roman" w:hAnsi="Times New Roman" w:eastAsia="仿宋_GB2312"/>
          <w:b w:val="0"/>
          <w:color w:val="000000"/>
          <w:sz w:val="32"/>
          <w:highlight w:val="none"/>
        </w:rPr>
        <w:t>（二）总体要求</w:t>
      </w:r>
    </w:p>
    <w:p w14:paraId="2CA0F4FB">
      <w:pPr>
        <w:spacing w:before="0" w:after="0" w:line="560" w:lineRule="exact"/>
        <w:ind w:firstLine="640"/>
        <w:rPr>
          <w:rFonts w:hint="eastAsia" w:ascii="Times New Roman" w:hAnsi="Times New Roman" w:eastAsia="仿宋_GB2312"/>
          <w:b w:val="0"/>
          <w:color w:val="000000"/>
          <w:sz w:val="32"/>
          <w:highlight w:val="none"/>
        </w:rPr>
      </w:pPr>
      <w:r>
        <w:rPr>
          <w:rFonts w:hint="eastAsia" w:ascii="Times New Roman" w:hAnsi="Times New Roman" w:eastAsia="仿宋_GB2312"/>
          <w:b w:val="0"/>
          <w:color w:val="000000"/>
          <w:sz w:val="32"/>
          <w:highlight w:val="none"/>
        </w:rPr>
        <w:t>明确</w:t>
      </w:r>
      <w:r>
        <w:rPr>
          <w:rFonts w:hint="eastAsia" w:ascii="Times New Roman" w:hAnsi="Times New Roman" w:eastAsia="仿宋_GB2312"/>
          <w:b w:val="0"/>
          <w:color w:val="000000"/>
          <w:sz w:val="32"/>
          <w:highlight w:val="none"/>
          <w:lang w:eastAsia="zh-CN"/>
        </w:rPr>
        <w:t>“十五五”时期</w:t>
      </w:r>
      <w:r>
        <w:rPr>
          <w:rFonts w:hint="eastAsia" w:ascii="Times New Roman" w:hAnsi="Times New Roman" w:eastAsia="仿宋_GB2312"/>
          <w:b w:val="0"/>
          <w:color w:val="000000"/>
          <w:sz w:val="32"/>
          <w:highlight w:val="none"/>
        </w:rPr>
        <w:t>城市更新工作指导思想和主要目标，提出到2030年城市更新行动实施取得重要进展，确保国际一流现代化新城建设取得决定性进展，对照市级规划设置14项主要指标。</w:t>
      </w:r>
    </w:p>
    <w:p w14:paraId="65D8B8AD">
      <w:pPr>
        <w:spacing w:before="0" w:after="0" w:line="560" w:lineRule="exact"/>
        <w:ind w:firstLine="640"/>
        <w:rPr>
          <w:rFonts w:hint="eastAsia" w:ascii="Times New Roman" w:hAnsi="Times New Roman" w:eastAsia="仿宋_GB2312"/>
          <w:b w:val="0"/>
          <w:color w:val="000000"/>
          <w:sz w:val="32"/>
          <w:highlight w:val="none"/>
        </w:rPr>
      </w:pPr>
      <w:r>
        <w:rPr>
          <w:rFonts w:hint="eastAsia" w:ascii="Times New Roman" w:hAnsi="Times New Roman" w:eastAsia="仿宋_GB2312"/>
          <w:b w:val="0"/>
          <w:color w:val="000000"/>
          <w:sz w:val="32"/>
          <w:highlight w:val="none"/>
        </w:rPr>
        <w:t>（三）构建城市更新高质量发展格局</w:t>
      </w:r>
    </w:p>
    <w:p w14:paraId="30EBC483">
      <w:pPr>
        <w:spacing w:before="0" w:after="0" w:line="560" w:lineRule="exact"/>
        <w:ind w:firstLine="640"/>
        <w:rPr>
          <w:rFonts w:hint="eastAsia" w:ascii="Times New Roman" w:hAnsi="Times New Roman" w:eastAsia="仿宋_GB2312"/>
          <w:b w:val="0"/>
          <w:color w:val="000000"/>
          <w:sz w:val="32"/>
          <w:highlight w:val="none"/>
        </w:rPr>
      </w:pPr>
      <w:r>
        <w:rPr>
          <w:rFonts w:hint="eastAsia" w:ascii="Times New Roman" w:hAnsi="Times New Roman" w:eastAsia="仿宋_GB2312"/>
          <w:b w:val="0"/>
          <w:color w:val="000000"/>
          <w:sz w:val="32"/>
          <w:highlight w:val="none"/>
        </w:rPr>
        <w:t>优化</w:t>
      </w:r>
      <w:r>
        <w:rPr>
          <w:rFonts w:hint="eastAsia" w:ascii="Times New Roman" w:hAnsi="Times New Roman" w:eastAsia="仿宋_GB2312"/>
          <w:b w:val="0"/>
          <w:color w:val="000000"/>
          <w:sz w:val="32"/>
          <w:highlight w:val="none"/>
          <w:lang w:eastAsia="zh-CN"/>
        </w:rPr>
        <w:t>“三廊—两带—四区”</w:t>
      </w:r>
      <w:r>
        <w:rPr>
          <w:rFonts w:hint="eastAsia" w:ascii="Times New Roman" w:hAnsi="Times New Roman" w:eastAsia="仿宋_GB2312"/>
          <w:b w:val="0"/>
          <w:color w:val="000000"/>
          <w:sz w:val="32"/>
          <w:highlight w:val="none"/>
        </w:rPr>
        <w:t>城市更新空间结构，明确京藏高速（G6）科创走廊、京承高速（G45）产业走廊、京北生态走廊、山前文商旅融合发展带、北清路创新发展带和回天地区、未来科学城、昌平新城、北部生态涵养区等四个重点地区更新导向，推动综合化城市更新组团实施。</w:t>
      </w:r>
    </w:p>
    <w:p w14:paraId="68B78137">
      <w:pPr>
        <w:spacing w:before="0" w:after="0" w:line="560" w:lineRule="exact"/>
        <w:ind w:firstLine="640"/>
        <w:rPr>
          <w:rFonts w:hint="eastAsia" w:ascii="Times New Roman" w:hAnsi="Times New Roman" w:eastAsia="仿宋_GB2312"/>
          <w:b w:val="0"/>
          <w:color w:val="000000"/>
          <w:sz w:val="32"/>
          <w:highlight w:val="none"/>
        </w:rPr>
      </w:pPr>
      <w:r>
        <w:rPr>
          <w:rFonts w:hint="eastAsia" w:ascii="Times New Roman" w:hAnsi="Times New Roman" w:eastAsia="仿宋_GB2312"/>
          <w:b w:val="0"/>
          <w:color w:val="000000"/>
          <w:sz w:val="32"/>
          <w:highlight w:val="none"/>
        </w:rPr>
        <w:t>（四）营造高品质的居住空间</w:t>
      </w:r>
    </w:p>
    <w:p w14:paraId="000BC1B9">
      <w:pPr>
        <w:spacing w:before="0" w:after="0" w:line="560" w:lineRule="exact"/>
        <w:ind w:firstLine="640"/>
        <w:rPr>
          <w:rFonts w:hint="eastAsia" w:ascii="Times New Roman" w:hAnsi="Times New Roman" w:eastAsia="仿宋_GB2312"/>
          <w:b w:val="0"/>
          <w:color w:val="000000"/>
          <w:sz w:val="32"/>
          <w:highlight w:val="none"/>
        </w:rPr>
      </w:pPr>
      <w:r>
        <w:rPr>
          <w:rFonts w:hint="eastAsia" w:ascii="Times New Roman" w:hAnsi="Times New Roman" w:eastAsia="仿宋_GB2312"/>
          <w:b w:val="0"/>
          <w:color w:val="000000"/>
          <w:sz w:val="32"/>
          <w:highlight w:val="none"/>
        </w:rPr>
        <w:t>聚焦危旧楼房改建、老旧小区改造、完整社区建设等3个方面，推进城镇危旧房改造、老楼加装电梯和住宅老旧电梯更新、公共空间适老化适儿化改造，补齐便民服务短板，建设全龄友好型品质生活圈。</w:t>
      </w:r>
    </w:p>
    <w:p w14:paraId="5C44F871">
      <w:pPr>
        <w:spacing w:before="0" w:after="0" w:line="560" w:lineRule="exact"/>
        <w:ind w:firstLine="640"/>
        <w:rPr>
          <w:rFonts w:hint="eastAsia" w:ascii="Times New Roman" w:hAnsi="Times New Roman" w:eastAsia="仿宋_GB2312"/>
          <w:b w:val="0"/>
          <w:color w:val="000000"/>
          <w:sz w:val="32"/>
          <w:highlight w:val="none"/>
          <w:lang w:eastAsia="zh-CN"/>
        </w:rPr>
      </w:pPr>
      <w:r>
        <w:rPr>
          <w:rFonts w:hint="eastAsia" w:ascii="Times New Roman" w:hAnsi="Times New Roman" w:eastAsia="仿宋_GB2312"/>
          <w:b w:val="0"/>
          <w:color w:val="000000"/>
          <w:sz w:val="32"/>
          <w:highlight w:val="none"/>
        </w:rPr>
        <w:t>（五）激发科创引领的发展新动能</w:t>
      </w:r>
    </w:p>
    <w:p w14:paraId="4AE17737">
      <w:pPr>
        <w:spacing w:before="0" w:after="0" w:line="560" w:lineRule="exact"/>
        <w:ind w:firstLine="640"/>
        <w:rPr>
          <w:rFonts w:hint="eastAsia" w:ascii="Times New Roman" w:hAnsi="Times New Roman" w:eastAsia="仿宋_GB2312"/>
          <w:b w:val="0"/>
          <w:color w:val="000000"/>
          <w:sz w:val="32"/>
          <w:highlight w:val="none"/>
          <w:lang w:eastAsia="zh-CN"/>
        </w:rPr>
      </w:pPr>
      <w:r>
        <w:rPr>
          <w:rFonts w:hint="eastAsia" w:ascii="Times New Roman" w:hAnsi="Times New Roman" w:eastAsia="仿宋_GB2312"/>
          <w:b w:val="0"/>
          <w:color w:val="000000"/>
          <w:sz w:val="32"/>
          <w:highlight w:val="none"/>
        </w:rPr>
        <w:t>聚焦老旧厂房和产业园区提质增效、老旧低效楼宇更新改造、传统商业街区升级改造、城市绿色发展和数字化转型等4个方面，推动存量产业空间功能转型，消除楼宇安全隐患，打造消费新业态、新模式、新场景</w:t>
      </w:r>
      <w:r>
        <w:rPr>
          <w:rFonts w:hint="eastAsia" w:ascii="Times New Roman" w:hAnsi="Times New Roman" w:eastAsia="仿宋_GB2312"/>
          <w:b w:val="0"/>
          <w:color w:val="000000"/>
          <w:sz w:val="32"/>
          <w:highlight w:val="none"/>
          <w:lang w:eastAsia="zh-CN"/>
        </w:rPr>
        <w:t>，</w:t>
      </w:r>
      <w:r>
        <w:rPr>
          <w:rFonts w:hint="eastAsia" w:ascii="Times New Roman" w:hAnsi="Times New Roman" w:eastAsia="仿宋_GB2312"/>
          <w:b w:val="0"/>
          <w:color w:val="000000"/>
          <w:sz w:val="32"/>
          <w:highlight w:val="none"/>
        </w:rPr>
        <w:t>推进既有建筑节能绿色化改造，深化城市更新智慧赋能，建设一批高品质智慧社区</w:t>
      </w:r>
      <w:r>
        <w:rPr>
          <w:rFonts w:hint="eastAsia" w:ascii="Times New Roman" w:hAnsi="Times New Roman" w:eastAsia="仿宋_GB2312"/>
          <w:b w:val="0"/>
          <w:color w:val="000000"/>
          <w:sz w:val="32"/>
          <w:highlight w:val="none"/>
          <w:lang w:eastAsia="zh-CN"/>
        </w:rPr>
        <w:t>。</w:t>
      </w:r>
    </w:p>
    <w:p w14:paraId="1527728B">
      <w:pPr>
        <w:spacing w:before="0" w:after="0" w:line="560" w:lineRule="exact"/>
        <w:ind w:firstLine="640"/>
        <w:rPr>
          <w:rFonts w:hint="eastAsia" w:ascii="Times New Roman" w:hAnsi="Times New Roman" w:eastAsia="仿宋_GB2312"/>
          <w:b w:val="0"/>
          <w:color w:val="000000"/>
          <w:sz w:val="32"/>
          <w:highlight w:val="none"/>
          <w:lang w:eastAsia="zh-CN"/>
        </w:rPr>
      </w:pPr>
      <w:r>
        <w:rPr>
          <w:rFonts w:hint="eastAsia" w:ascii="Times New Roman" w:hAnsi="Times New Roman" w:eastAsia="仿宋_GB2312"/>
          <w:b w:val="0"/>
          <w:color w:val="000000"/>
          <w:sz w:val="32"/>
          <w:highlight w:val="none"/>
        </w:rPr>
        <w:t>（六）提升现代化基础设施建设水平</w:t>
      </w:r>
    </w:p>
    <w:p w14:paraId="19BD6237">
      <w:pPr>
        <w:spacing w:before="0" w:after="0" w:line="560" w:lineRule="exact"/>
        <w:ind w:firstLine="640"/>
        <w:rPr>
          <w:rFonts w:hint="eastAsia" w:ascii="Times New Roman" w:hAnsi="Times New Roman" w:eastAsia="仿宋_GB2312"/>
          <w:b w:val="0"/>
          <w:color w:val="000000"/>
          <w:sz w:val="32"/>
          <w:highlight w:val="none"/>
        </w:rPr>
      </w:pPr>
      <w:r>
        <w:rPr>
          <w:rFonts w:hint="eastAsia" w:ascii="Times New Roman" w:hAnsi="Times New Roman" w:eastAsia="仿宋_GB2312"/>
          <w:b w:val="0"/>
          <w:color w:val="000000"/>
          <w:sz w:val="32"/>
          <w:highlight w:val="none"/>
        </w:rPr>
        <w:t>聚焦城市综合交通体系、地下管线老化更新改造、消费基础设施、安全韧性城市建设等4个方面，实施城市道路健康工程和地下管网改造，加强</w:t>
      </w:r>
      <w:r>
        <w:rPr>
          <w:rFonts w:hint="eastAsia" w:ascii="Times New Roman" w:hAnsi="Times New Roman" w:eastAsia="仿宋_GB2312"/>
          <w:b w:val="0"/>
          <w:color w:val="000000"/>
          <w:sz w:val="32"/>
          <w:highlight w:val="none"/>
          <w:lang w:eastAsia="zh-CN"/>
        </w:rPr>
        <w:t>“平急两用”</w:t>
      </w:r>
      <w:r>
        <w:rPr>
          <w:rFonts w:hint="eastAsia" w:ascii="Times New Roman" w:hAnsi="Times New Roman" w:eastAsia="仿宋_GB2312"/>
          <w:b w:val="0"/>
          <w:color w:val="000000"/>
          <w:sz w:val="32"/>
          <w:highlight w:val="none"/>
        </w:rPr>
        <w:t>公共基础设施建设，提升城市安全韧性水平。</w:t>
      </w:r>
    </w:p>
    <w:p w14:paraId="3612D4D2">
      <w:pPr>
        <w:spacing w:before="0" w:after="0" w:line="560" w:lineRule="exact"/>
        <w:ind w:firstLine="640"/>
        <w:rPr>
          <w:rFonts w:hint="eastAsia" w:ascii="Times New Roman" w:hAnsi="Times New Roman" w:eastAsia="仿宋_GB2312"/>
          <w:b w:val="0"/>
          <w:color w:val="000000"/>
          <w:sz w:val="32"/>
          <w:highlight w:val="none"/>
        </w:rPr>
      </w:pPr>
      <w:r>
        <w:rPr>
          <w:rFonts w:hint="eastAsia" w:ascii="Times New Roman" w:hAnsi="Times New Roman" w:eastAsia="仿宋_GB2312"/>
          <w:b w:val="0"/>
          <w:color w:val="000000"/>
          <w:sz w:val="32"/>
          <w:highlight w:val="none"/>
        </w:rPr>
        <w:t>（七）完善提升城市功能</w:t>
      </w:r>
    </w:p>
    <w:p w14:paraId="7CF05664">
      <w:pPr>
        <w:spacing w:before="0" w:after="0" w:line="560" w:lineRule="exact"/>
        <w:ind w:firstLine="640"/>
        <w:rPr>
          <w:rFonts w:hint="eastAsia" w:ascii="Times New Roman" w:hAnsi="Times New Roman" w:eastAsia="仿宋_GB2312"/>
          <w:b w:val="0"/>
          <w:color w:val="000000"/>
          <w:sz w:val="32"/>
          <w:highlight w:val="none"/>
        </w:rPr>
      </w:pPr>
      <w:r>
        <w:rPr>
          <w:rFonts w:hint="eastAsia" w:ascii="Times New Roman" w:hAnsi="Times New Roman" w:eastAsia="仿宋_GB2312"/>
          <w:b w:val="0"/>
          <w:color w:val="000000"/>
          <w:sz w:val="32"/>
          <w:highlight w:val="none"/>
        </w:rPr>
        <w:t>聚焦公共服务品质、城市公共空间、站城融合与轨道交通微中心、历史文化保护传承等4个方面，实施“一老一小”公共服务设施更新提质工程，科学布局新型公共文化空间</w:t>
      </w:r>
      <w:r>
        <w:rPr>
          <w:rFonts w:hint="eastAsia" w:ascii="Times New Roman" w:hAnsi="Times New Roman" w:eastAsia="仿宋_GB2312"/>
          <w:b w:val="0"/>
          <w:color w:val="000000"/>
          <w:sz w:val="32"/>
          <w:highlight w:val="none"/>
          <w:lang w:eastAsia="zh-CN"/>
        </w:rPr>
        <w:t>，</w:t>
      </w:r>
      <w:r>
        <w:rPr>
          <w:rFonts w:hint="eastAsia" w:ascii="Times New Roman" w:hAnsi="Times New Roman" w:eastAsia="仿宋_GB2312"/>
          <w:b w:val="0"/>
          <w:color w:val="000000"/>
          <w:sz w:val="32"/>
          <w:highlight w:val="none"/>
        </w:rPr>
        <w:t>推进城市更新与花园城市建设融合场景试点，营造高品质滨水空间和口袋公园，加强历史建筑修缮和活化利用。</w:t>
      </w:r>
    </w:p>
    <w:p w14:paraId="2AFEC937">
      <w:pPr>
        <w:spacing w:before="0" w:after="0" w:line="560" w:lineRule="exact"/>
        <w:ind w:firstLine="640"/>
        <w:rPr>
          <w:rFonts w:hint="eastAsia" w:ascii="Times New Roman" w:hAnsi="Times New Roman" w:eastAsia="仿宋_GB2312"/>
          <w:b w:val="0"/>
          <w:color w:val="000000"/>
          <w:sz w:val="32"/>
          <w:highlight w:val="none"/>
        </w:rPr>
      </w:pPr>
      <w:r>
        <w:rPr>
          <w:rFonts w:hint="eastAsia" w:ascii="Times New Roman" w:hAnsi="Times New Roman" w:eastAsia="仿宋_GB2312"/>
          <w:b w:val="0"/>
          <w:color w:val="000000"/>
          <w:sz w:val="32"/>
          <w:highlight w:val="none"/>
        </w:rPr>
        <w:t>（八）加强组织实施保障</w:t>
      </w:r>
    </w:p>
    <w:p w14:paraId="1AEB0791">
      <w:pPr>
        <w:spacing w:before="0" w:after="0" w:line="560" w:lineRule="exact"/>
        <w:ind w:firstLine="640"/>
        <w:rPr>
          <w:highlight w:val="none"/>
        </w:rPr>
      </w:pPr>
      <w:r>
        <w:rPr>
          <w:rFonts w:hint="eastAsia" w:ascii="Times New Roman" w:hAnsi="Times New Roman" w:eastAsia="仿宋_GB2312"/>
          <w:b w:val="0"/>
          <w:color w:val="000000"/>
          <w:sz w:val="32"/>
          <w:highlight w:val="none"/>
        </w:rPr>
        <w:t>包含6项保障措施。健全城市更新工作机制，整合中央预算内投资、地方政府专项债券等多元化资金来源，分类推动城市更新项目实施，加强规划实施跟踪监测和监督考核，动员</w:t>
      </w:r>
      <w:r>
        <w:rPr>
          <w:rFonts w:hint="eastAsia" w:ascii="Times New Roman" w:hAnsi="Times New Roman" w:eastAsia="仿宋_GB2312"/>
          <w:b w:val="0"/>
          <w:color w:val="000000"/>
          <w:sz w:val="32"/>
          <w:highlight w:val="none"/>
          <w:lang w:eastAsia="zh-CN"/>
        </w:rPr>
        <w:t>“多师”</w:t>
      </w:r>
      <w:r>
        <w:rPr>
          <w:rFonts w:hint="eastAsia" w:ascii="Times New Roman" w:hAnsi="Times New Roman" w:eastAsia="仿宋_GB2312"/>
          <w:b w:val="0"/>
          <w:color w:val="000000"/>
          <w:sz w:val="32"/>
          <w:highlight w:val="none"/>
        </w:rPr>
        <w:t>团队、社会资本等多方力量参与，完善政策工具支撑</w:t>
      </w:r>
      <w:r>
        <w:rPr>
          <w:rFonts w:ascii="Times New Roman" w:hAnsi="Times New Roman" w:eastAsia="仿宋_GB2312"/>
          <w:b w:val="0"/>
          <w:color w:val="000000"/>
          <w:sz w:val="32"/>
          <w:highlight w:val="none"/>
        </w:rPr>
        <w:t>。</w:t>
      </w:r>
    </w:p>
    <w:sectPr>
      <w:pgSz w:w="11906" w:h="16838"/>
      <w:pgMar w:top="2098" w:right="1474" w:bottom="1984" w:left="153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Noto Sans Syriac Eastern"/>
    <w:panose1 w:val="02040503050406030204"/>
    <w:charset w:val="00"/>
    <w:family w:val="auto"/>
    <w:pitch w:val="default"/>
    <w:sig w:usb0="00000000" w:usb1="00000000" w:usb2="02000000" w:usb3="00000000" w:csb0="2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ＭＳ 明朝">
    <w:altName w:val="仿宋_GB2312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ＭＳ ゴシック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">
    <w:altName w:val="DejaVu Math TeX Gyre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ＭＳ 明朝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1EC57E6"/>
    <w:rsid w:val="3DEF8CAF"/>
    <w:rsid w:val="499D6A98"/>
    <w:rsid w:val="4FF31F79"/>
    <w:rsid w:val="554024F0"/>
    <w:rsid w:val="67DF2EC7"/>
    <w:rsid w:val="74D101E3"/>
    <w:rsid w:val="76399E30"/>
    <w:rsid w:val="7D5E50C2"/>
    <w:rsid w:val="92DFC656"/>
    <w:rsid w:val="DEF68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SelectedStyle="/APA.XSL" StyleName="APA"/>
</file>

<file path=customXml/item2.xml><?xml version="1.0" encoding="utf-8"?>
<contractReview xmlns="http://schemas.wps.cn/vas-ai-hub/contract-review">
  <reviewItems xmlns="http://schemas.wps.cn/vas-ai-hub/contract-review"/>
  <config xmlns="http://schemas.wps.cn/vas-ai-hub/contract-review"/>
</contractReview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customXml/itemProps2.xml><?xml version="1.0" encoding="utf-8"?>
<ds:datastoreItem xmlns:ds="http://schemas.openxmlformats.org/officeDocument/2006/customXml" ds:itemID="{79d6fce5-06c4-4694-9e05-50ff438205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1428</Words>
  <Characters>1435</Characters>
  <Lines>0</Lines>
  <Paragraphs>0</Paragraphs>
  <TotalTime>51</TotalTime>
  <ScaleCrop>false</ScaleCrop>
  <LinksUpToDate>false</LinksUpToDate>
  <CharactersWithSpaces>1435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2013-12-24T15:15:00Z</dcterms:created>
  <dc:creator>python-docx</dc:creator>
  <dc:description>generated by python-docx</dc:description>
  <cp:lastModifiedBy>HIGC</cp:lastModifiedBy>
  <dcterms:modified xsi:type="dcterms:W3CDTF">2026-10-28T14:27:10Z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eyJoZGlkIjoiODVjZjNkZjc2NWZhYWY3Y2MyMjQxYjU0YWIwZTQ5YTQiLCJ1c2VySWQiOiIxMTU3NTIyMjA2In0=</vt:lpwstr>
  </property>
  <property fmtid="{D5CDD505-2E9C-101B-9397-08002B2CF9AE}" pid="3" name="KSOProductBuildVer">
    <vt:lpwstr>2052-12.8.2.20327</vt:lpwstr>
  </property>
  <property fmtid="{D5CDD505-2E9C-101B-9397-08002B2CF9AE}" pid="4" name="ICV">
    <vt:lpwstr>A3DD46455B924159B7DBBEE097DC17D3_13</vt:lpwstr>
  </property>
</Properties>
</file>