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74914">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left"/>
        <w:textAlignment w:val="auto"/>
        <w:outlineLvl w:val="9"/>
        <w:rPr>
          <w:rFonts w:hint="default" w:ascii="黑体" w:hAnsi="黑体" w:eastAsia="黑体" w:cs="黑体"/>
          <w:b w:val="0"/>
          <w:bCs/>
          <w:color w:val="auto"/>
          <w:spacing w:val="0"/>
          <w:kern w:val="0"/>
          <w:sz w:val="32"/>
          <w:szCs w:val="32"/>
          <w:highlight w:val="none"/>
          <w:u w:val="none" w:color="auto"/>
          <w:lang w:val="en-US" w:eastAsia="zh-CN"/>
        </w:rPr>
      </w:pPr>
      <w:r>
        <w:rPr>
          <w:rFonts w:hint="eastAsia" w:ascii="黑体" w:hAnsi="黑体" w:eastAsia="黑体" w:cs="黑体"/>
          <w:b w:val="0"/>
          <w:bCs/>
          <w:color w:val="auto"/>
          <w:spacing w:val="0"/>
          <w:kern w:val="0"/>
          <w:sz w:val="32"/>
          <w:szCs w:val="32"/>
          <w:highlight w:val="none"/>
          <w:u w:val="none" w:color="auto"/>
          <w:lang w:eastAsia="zh-CN"/>
        </w:rPr>
        <w:t>附件</w:t>
      </w:r>
      <w:r>
        <w:rPr>
          <w:rFonts w:hint="eastAsia" w:ascii="黑体" w:hAnsi="黑体" w:eastAsia="黑体" w:cs="黑体"/>
          <w:b w:val="0"/>
          <w:bCs/>
          <w:color w:val="auto"/>
          <w:spacing w:val="0"/>
          <w:kern w:val="0"/>
          <w:sz w:val="32"/>
          <w:szCs w:val="32"/>
          <w:highlight w:val="none"/>
          <w:u w:val="none" w:color="auto"/>
          <w:lang w:val="en-US" w:eastAsia="zh-CN"/>
        </w:rPr>
        <w:t>1</w:t>
      </w:r>
      <w:bookmarkStart w:id="39" w:name="_GoBack"/>
      <w:bookmarkEnd w:id="39"/>
    </w:p>
    <w:p w14:paraId="23010444">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rPr>
      </w:pPr>
    </w:p>
    <w:p w14:paraId="22DAA97B">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rPr>
      </w:pPr>
    </w:p>
    <w:p w14:paraId="4AA096C3">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rPr>
      </w:pPr>
    </w:p>
    <w:p w14:paraId="1FB6B10B">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rPr>
      </w:pPr>
    </w:p>
    <w:p w14:paraId="72E83637">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方正小标宋_GBK" w:hAnsi="方正小标宋_GBK" w:eastAsia="方正小标宋_GBK" w:cs="方正小标宋_GBK"/>
          <w:b w:val="0"/>
          <w:bCs/>
          <w:color w:val="auto"/>
          <w:spacing w:val="0"/>
          <w:kern w:val="0"/>
          <w:sz w:val="44"/>
          <w:szCs w:val="44"/>
          <w:highlight w:val="none"/>
          <w:u w:val="none" w:color="auto"/>
        </w:rPr>
      </w:pPr>
      <w:r>
        <w:rPr>
          <w:rFonts w:hint="eastAsia" w:ascii="方正小标宋_GBK" w:hAnsi="方正小标宋_GBK" w:eastAsia="方正小标宋_GBK" w:cs="方正小标宋_GBK"/>
          <w:b w:val="0"/>
          <w:bCs/>
          <w:color w:val="auto"/>
          <w:spacing w:val="0"/>
          <w:kern w:val="0"/>
          <w:sz w:val="44"/>
          <w:szCs w:val="44"/>
          <w:highlight w:val="none"/>
          <w:u w:val="none" w:color="auto"/>
        </w:rPr>
        <w:t>昌平区</w:t>
      </w:r>
      <w:r>
        <w:rPr>
          <w:rFonts w:hint="eastAsia" w:ascii="方正小标宋_GBK" w:hAnsi="方正小标宋_GBK" w:eastAsia="方正小标宋_GBK" w:cs="方正小标宋_GBK"/>
          <w:b w:val="0"/>
          <w:bCs/>
          <w:color w:val="auto"/>
          <w:spacing w:val="0"/>
          <w:kern w:val="0"/>
          <w:sz w:val="44"/>
          <w:szCs w:val="44"/>
          <w:highlight w:val="none"/>
          <w:u w:val="none" w:color="auto"/>
          <w:lang w:eastAsia="zh-CN"/>
        </w:rPr>
        <w:t>“</w:t>
      </w:r>
      <w:r>
        <w:rPr>
          <w:rFonts w:hint="eastAsia" w:ascii="方正小标宋_GBK" w:hAnsi="方正小标宋_GBK" w:eastAsia="方正小标宋_GBK" w:cs="方正小标宋_GBK"/>
          <w:b w:val="0"/>
          <w:bCs/>
          <w:color w:val="auto"/>
          <w:spacing w:val="0"/>
          <w:kern w:val="0"/>
          <w:sz w:val="44"/>
          <w:szCs w:val="44"/>
          <w:highlight w:val="none"/>
          <w:u w:val="none" w:color="auto"/>
        </w:rPr>
        <w:t>十五五</w:t>
      </w:r>
      <w:r>
        <w:rPr>
          <w:rFonts w:hint="eastAsia" w:ascii="方正小标宋_GBK" w:hAnsi="方正小标宋_GBK" w:eastAsia="方正小标宋_GBK" w:cs="方正小标宋_GBK"/>
          <w:b w:val="0"/>
          <w:bCs/>
          <w:color w:val="auto"/>
          <w:spacing w:val="0"/>
          <w:kern w:val="0"/>
          <w:sz w:val="44"/>
          <w:szCs w:val="44"/>
          <w:highlight w:val="none"/>
          <w:u w:val="none" w:color="auto"/>
          <w:lang w:val="en-US" w:eastAsia="zh-CN"/>
        </w:rPr>
        <w:t>”时期</w:t>
      </w:r>
      <w:r>
        <w:rPr>
          <w:rFonts w:hint="eastAsia" w:ascii="方正小标宋_GBK" w:hAnsi="方正小标宋_GBK" w:eastAsia="方正小标宋_GBK" w:cs="方正小标宋_GBK"/>
          <w:b w:val="0"/>
          <w:bCs/>
          <w:color w:val="auto"/>
          <w:spacing w:val="0"/>
          <w:kern w:val="0"/>
          <w:sz w:val="44"/>
          <w:szCs w:val="44"/>
          <w:highlight w:val="none"/>
          <w:u w:val="none" w:color="auto"/>
        </w:rPr>
        <w:t>城市更新规划</w:t>
      </w:r>
    </w:p>
    <w:p w14:paraId="4EA666C0">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方正小标宋_GBK" w:hAnsi="方正小标宋_GBK" w:eastAsia="方正小标宋_GBK" w:cs="方正小标宋_GBK"/>
          <w:b w:val="0"/>
          <w:bCs/>
          <w:color w:val="auto"/>
          <w:spacing w:val="0"/>
          <w:kern w:val="0"/>
          <w:sz w:val="44"/>
          <w:szCs w:val="44"/>
          <w:highlight w:val="none"/>
          <w:u w:val="none" w:color="auto"/>
          <w:lang w:eastAsia="zh-CN"/>
        </w:rPr>
      </w:pPr>
      <w:r>
        <w:rPr>
          <w:rFonts w:hint="eastAsia" w:ascii="方正小标宋_GBK" w:hAnsi="方正小标宋_GBK" w:eastAsia="方正小标宋_GBK" w:cs="方正小标宋_GBK"/>
          <w:b w:val="0"/>
          <w:bCs/>
          <w:color w:val="auto"/>
          <w:spacing w:val="0"/>
          <w:kern w:val="0"/>
          <w:sz w:val="44"/>
          <w:szCs w:val="44"/>
          <w:highlight w:val="none"/>
          <w:u w:val="none" w:color="auto"/>
          <w:lang w:eastAsia="zh-CN"/>
        </w:rPr>
        <w:t>（</w:t>
      </w:r>
      <w:r>
        <w:rPr>
          <w:rFonts w:hint="eastAsia" w:ascii="方正小标宋_GBK" w:hAnsi="方正小标宋_GBK" w:eastAsia="方正小标宋_GBK" w:cs="方正小标宋_GBK"/>
          <w:b w:val="0"/>
          <w:bCs/>
          <w:color w:val="auto"/>
          <w:spacing w:val="0"/>
          <w:kern w:val="0"/>
          <w:sz w:val="44"/>
          <w:szCs w:val="44"/>
          <w:highlight w:val="none"/>
          <w:u w:val="none" w:color="auto"/>
          <w:lang w:val="en-US" w:eastAsia="zh-CN"/>
        </w:rPr>
        <w:t>征求意见稿</w:t>
      </w:r>
      <w:r>
        <w:rPr>
          <w:rFonts w:hint="eastAsia" w:ascii="方正小标宋_GBK" w:hAnsi="方正小标宋_GBK" w:eastAsia="方正小标宋_GBK" w:cs="方正小标宋_GBK"/>
          <w:b w:val="0"/>
          <w:bCs/>
          <w:color w:val="auto"/>
          <w:spacing w:val="0"/>
          <w:kern w:val="0"/>
          <w:sz w:val="44"/>
          <w:szCs w:val="44"/>
          <w:highlight w:val="none"/>
          <w:u w:val="none" w:color="auto"/>
          <w:lang w:eastAsia="zh-CN"/>
        </w:rPr>
        <w:t>）</w:t>
      </w:r>
    </w:p>
    <w:p w14:paraId="761EF3AF">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lang w:eastAsia="zh-CN"/>
        </w:rPr>
      </w:pPr>
    </w:p>
    <w:p w14:paraId="23C27D2A">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lang w:eastAsia="zh-CN"/>
        </w:rPr>
      </w:pPr>
    </w:p>
    <w:p w14:paraId="67C8837A">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lang w:eastAsia="zh-CN"/>
        </w:rPr>
      </w:pPr>
    </w:p>
    <w:p w14:paraId="01F904D7">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lang w:eastAsia="zh-CN"/>
        </w:rPr>
      </w:pPr>
    </w:p>
    <w:p w14:paraId="3B59AC66">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黑体" w:hAnsi="黑体" w:eastAsia="黑体" w:cs="黑体"/>
          <w:b/>
          <w:color w:val="auto"/>
          <w:spacing w:val="0"/>
          <w:kern w:val="0"/>
          <w:sz w:val="44"/>
          <w:szCs w:val="40"/>
          <w:highlight w:val="none"/>
          <w:u w:val="none" w:color="auto"/>
          <w:lang w:eastAsia="zh-CN"/>
        </w:rPr>
      </w:pPr>
    </w:p>
    <w:p w14:paraId="48004D8D">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eastAsia" w:ascii="楷体_GB2312" w:hAnsi="楷体_GB2312" w:eastAsia="楷体_GB2312" w:cs="楷体_GB2312"/>
          <w:b/>
          <w:color w:val="auto"/>
          <w:spacing w:val="0"/>
          <w:kern w:val="0"/>
          <w:sz w:val="32"/>
          <w:szCs w:val="32"/>
          <w:highlight w:val="none"/>
          <w:u w:val="none" w:color="auto"/>
          <w:lang w:eastAsia="zh-CN"/>
        </w:rPr>
      </w:pPr>
    </w:p>
    <w:p w14:paraId="0371C516">
      <w:pPr>
        <w:keepNext w:val="0"/>
        <w:keepLines w:val="0"/>
        <w:pageBreakBefore w:val="0"/>
        <w:widowControl w:val="0"/>
        <w:suppressAutoHyphens/>
        <w:kinsoku/>
        <w:wordWrap/>
        <w:overflowPunct/>
        <w:topLinePunct w:val="0"/>
        <w:autoSpaceDE/>
        <w:autoSpaceDN/>
        <w:bidi w:val="0"/>
        <w:adjustRightInd w:val="0"/>
        <w:snapToGrid w:val="0"/>
        <w:spacing w:line="360" w:lineRule="auto"/>
        <w:ind w:right="0" w:rightChars="0" w:firstLine="0" w:firstLineChars="0"/>
        <w:jc w:val="center"/>
        <w:textAlignment w:val="auto"/>
        <w:outlineLvl w:val="9"/>
        <w:rPr>
          <w:rFonts w:hint="default" w:ascii="楷体_GB2312" w:hAnsi="楷体_GB2312" w:eastAsia="楷体_GB2312" w:cs="楷体_GB2312"/>
          <w:b w:val="0"/>
          <w:bCs/>
          <w:color w:val="auto"/>
          <w:spacing w:val="0"/>
          <w:kern w:val="0"/>
          <w:sz w:val="32"/>
          <w:szCs w:val="32"/>
          <w:highlight w:val="none"/>
          <w:u w:val="none" w:color="auto"/>
          <w:lang w:val="en-US" w:eastAsia="zh-CN"/>
        </w:rPr>
        <w:sectPr>
          <w:pgSz w:w="11906" w:h="16838"/>
          <w:pgMar w:top="1440" w:right="1440" w:bottom="1440" w:left="1440" w:header="720" w:footer="720" w:gutter="0"/>
          <w:cols w:space="720" w:num="1"/>
          <w:docGrid w:linePitch="360" w:charSpace="0"/>
        </w:sectPr>
      </w:pPr>
      <w:r>
        <w:rPr>
          <w:rFonts w:hint="eastAsia" w:ascii="楷体_GB2312" w:hAnsi="楷体_GB2312" w:eastAsia="楷体_GB2312" w:cs="楷体_GB2312"/>
          <w:b w:val="0"/>
          <w:bCs/>
          <w:color w:val="auto"/>
          <w:spacing w:val="0"/>
          <w:kern w:val="0"/>
          <w:sz w:val="32"/>
          <w:szCs w:val="32"/>
          <w:highlight w:val="none"/>
          <w:u w:val="none" w:color="auto"/>
          <w:lang w:val="en-US" w:eastAsia="zh-CN"/>
        </w:rPr>
        <w:t>2026年10月</w:t>
      </w:r>
    </w:p>
    <w:sdt>
      <w:sdtPr>
        <w:rPr>
          <w:rFonts w:hint="eastAsia" w:ascii="黑体" w:hAnsi="黑体" w:eastAsia="黑体" w:cs="黑体"/>
          <w:b/>
          <w:bCs/>
          <w:color w:val="auto"/>
          <w:spacing w:val="0"/>
          <w:kern w:val="0"/>
          <w:sz w:val="32"/>
          <w:szCs w:val="48"/>
          <w:highlight w:val="none"/>
          <w:u w:val="none" w:color="auto"/>
          <w:lang w:val="en-US" w:eastAsia="zh-CN"/>
        </w:rPr>
        <w:id w:val="147453659"/>
        <w15:color w:val="DBDBDB"/>
        <w:docPartObj>
          <w:docPartGallery w:val="Table of Contents"/>
          <w:docPartUnique/>
        </w:docPartObj>
      </w:sdtPr>
      <w:sdtEndPr>
        <w:rPr>
          <w:rFonts w:hint="eastAsia" w:ascii="微软雅黑" w:hAnsi="微软雅黑" w:eastAsia="微软雅黑" w:cs="微软雅黑"/>
          <w:b/>
          <w:bCs/>
          <w:color w:val="auto"/>
          <w:spacing w:val="0"/>
          <w:kern w:val="0"/>
          <w:sz w:val="32"/>
          <w:szCs w:val="22"/>
          <w:highlight w:val="none"/>
          <w:u w:val="none" w:color="auto"/>
          <w:lang w:val="en-US" w:eastAsia="zh-CN"/>
        </w:rPr>
      </w:sdtEndPr>
      <w:sdtContent>
        <w:p w14:paraId="184D7D47">
          <w:pPr>
            <w:keepNext w:val="0"/>
            <w:keepLines w:val="0"/>
            <w:pageBreakBefore w:val="0"/>
            <w:suppressAutoHyphen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outlineLvl w:val="9"/>
            <w:rPr>
              <w:rFonts w:hint="eastAsia" w:ascii="方正小标宋_GBK" w:hAnsi="方正小标宋_GBK" w:eastAsia="方正小标宋_GBK" w:cs="方正小标宋_GBK"/>
              <w:b w:val="0"/>
              <w:bCs w:val="0"/>
              <w:color w:val="auto"/>
              <w:spacing w:val="0"/>
              <w:kern w:val="0"/>
              <w:sz w:val="36"/>
              <w:szCs w:val="36"/>
              <w:highlight w:val="none"/>
              <w:u w:val="none" w:color="auto"/>
            </w:rPr>
          </w:pPr>
          <w:r>
            <w:rPr>
              <w:rFonts w:hint="eastAsia" w:ascii="方正小标宋_GBK" w:hAnsi="方正小标宋_GBK" w:eastAsia="方正小标宋_GBK" w:cs="方正小标宋_GBK"/>
              <w:b w:val="0"/>
              <w:bCs w:val="0"/>
              <w:color w:val="auto"/>
              <w:spacing w:val="0"/>
              <w:kern w:val="0"/>
              <w:sz w:val="36"/>
              <w:szCs w:val="36"/>
              <w:highlight w:val="none"/>
              <w:u w:val="none" w:color="auto"/>
            </w:rPr>
            <w:t>目录</w:t>
          </w:r>
        </w:p>
        <w:p w14:paraId="11100DB6">
          <w:pPr>
            <w:pStyle w:val="8"/>
            <w:tabs>
              <w:tab w:val="right" w:leader="dot" w:pos="9026"/>
            </w:tabs>
            <w:rPr>
              <w:rFonts w:hint="eastAsia" w:ascii="仿宋_GB2312" w:hAnsi="仿宋_GB2312" w:eastAsia="仿宋_GB2312" w:cs="仿宋_GB2312"/>
              <w:b/>
              <w:bCs/>
              <w:sz w:val="30"/>
              <w:szCs w:val="30"/>
            </w:rPr>
          </w:pPr>
          <w:r>
            <w:rPr>
              <w:rFonts w:hint="eastAsia" w:ascii="仿宋_GB2312" w:hAnsi="仿宋_GB2312" w:eastAsia="仿宋_GB2312" w:cs="仿宋_GB2312"/>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color w:val="auto"/>
              <w:spacing w:val="0"/>
              <w:kern w:val="0"/>
              <w:sz w:val="30"/>
              <w:szCs w:val="30"/>
              <w:highlight w:val="none"/>
              <w:u w:val="none" w:color="auto"/>
              <w:lang w:val="en-US" w:eastAsia="zh-CN"/>
            </w:rPr>
            <w:instrText xml:space="preserve">TOC \o "1-2" \h \u </w:instrText>
          </w:r>
          <w:r>
            <w:rPr>
              <w:rFonts w:hint="eastAsia" w:ascii="仿宋_GB2312" w:hAnsi="仿宋_GB2312" w:eastAsia="仿宋_GB2312" w:cs="仿宋_GB2312"/>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spacing w:val="0"/>
              <w:kern w:val="0"/>
              <w:sz w:val="30"/>
              <w:szCs w:val="30"/>
              <w:highlight w:val="none"/>
              <w:lang w:val="en-US" w:eastAsia="zh-CN"/>
            </w:rPr>
            <w:instrText xml:space="preserve"> HYPERLINK \l _Toc11263 </w:instrText>
          </w:r>
          <w:r>
            <w:rPr>
              <w:rFonts w:hint="eastAsia" w:ascii="仿宋_GB2312" w:hAnsi="仿宋_GB2312" w:eastAsia="仿宋_GB2312" w:cs="仿宋_GB2312"/>
              <w:b/>
              <w:bCs/>
              <w:spacing w:val="0"/>
              <w:kern w:val="0"/>
              <w:sz w:val="30"/>
              <w:szCs w:val="30"/>
              <w:highlight w:val="none"/>
              <w:lang w:val="en-US" w:eastAsia="zh-CN"/>
            </w:rPr>
            <w:fldChar w:fldCharType="separate"/>
          </w:r>
          <w:r>
            <w:rPr>
              <w:rFonts w:hint="eastAsia" w:ascii="仿宋_GB2312" w:hAnsi="仿宋_GB2312" w:eastAsia="仿宋_GB2312" w:cs="仿宋_GB2312"/>
              <w:b/>
              <w:bCs/>
              <w:spacing w:val="0"/>
              <w:kern w:val="44"/>
              <w:sz w:val="30"/>
              <w:szCs w:val="30"/>
              <w:highlight w:val="none"/>
              <w:lang w:val="en-US" w:eastAsia="zh-CN"/>
            </w:rPr>
            <w:t>一、“十四五”时期城市更新回顾</w:t>
          </w:r>
          <w:r>
            <w:rPr>
              <w:rFonts w:hint="eastAsia" w:ascii="仿宋_GB2312" w:hAnsi="仿宋_GB2312" w:eastAsia="仿宋_GB2312" w:cs="仿宋_GB2312"/>
              <w:b/>
              <w:bCs/>
              <w:sz w:val="30"/>
              <w:szCs w:val="30"/>
            </w:rPr>
            <w:tab/>
          </w:r>
          <w:r>
            <w:rPr>
              <w:rFonts w:hint="eastAsia" w:ascii="仿宋_GB2312" w:hAnsi="仿宋_GB2312" w:eastAsia="仿宋_GB2312" w:cs="仿宋_GB2312"/>
              <w:b/>
              <w:bCs/>
              <w:sz w:val="30"/>
              <w:szCs w:val="30"/>
            </w:rPr>
            <w:fldChar w:fldCharType="begin"/>
          </w:r>
          <w:r>
            <w:rPr>
              <w:rFonts w:hint="eastAsia" w:ascii="仿宋_GB2312" w:hAnsi="仿宋_GB2312" w:eastAsia="仿宋_GB2312" w:cs="仿宋_GB2312"/>
              <w:b/>
              <w:bCs/>
              <w:sz w:val="30"/>
              <w:szCs w:val="30"/>
            </w:rPr>
            <w:instrText xml:space="preserve"> PAGEREF _Toc11263 \h </w:instrText>
          </w:r>
          <w:r>
            <w:rPr>
              <w:rFonts w:hint="eastAsia" w:ascii="仿宋_GB2312" w:hAnsi="仿宋_GB2312" w:eastAsia="仿宋_GB2312" w:cs="仿宋_GB2312"/>
              <w:b/>
              <w:bCs/>
              <w:sz w:val="30"/>
              <w:szCs w:val="30"/>
            </w:rPr>
            <w:fldChar w:fldCharType="separate"/>
          </w:r>
          <w:r>
            <w:rPr>
              <w:rFonts w:hint="eastAsia" w:ascii="仿宋_GB2312" w:hAnsi="仿宋_GB2312" w:eastAsia="仿宋_GB2312" w:cs="仿宋_GB2312"/>
              <w:b/>
              <w:bCs/>
              <w:sz w:val="30"/>
              <w:szCs w:val="30"/>
            </w:rPr>
            <w:t>1</w:t>
          </w:r>
          <w:r>
            <w:rPr>
              <w:rFonts w:hint="eastAsia" w:ascii="仿宋_GB2312" w:hAnsi="仿宋_GB2312" w:eastAsia="仿宋_GB2312" w:cs="仿宋_GB2312"/>
              <w:b/>
              <w:bCs/>
              <w:sz w:val="30"/>
              <w:szCs w:val="30"/>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40E5DD0F">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_Toc24041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二、总体要求</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_Toc24041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2</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4A226139">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_Toc9802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val="0"/>
              <w:spacing w:val="0"/>
              <w:kern w:val="0"/>
              <w:sz w:val="30"/>
              <w:szCs w:val="30"/>
              <w:highlight w:val="none"/>
              <w:lang w:val="en-US" w:eastAsia="zh-CN"/>
            </w:rPr>
            <w:t>（一）指导思想</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_Toc9802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3AD8E235">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_Toc16959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val="0"/>
              <w:spacing w:val="0"/>
              <w:kern w:val="0"/>
              <w:sz w:val="30"/>
              <w:szCs w:val="30"/>
              <w:highlight w:val="none"/>
              <w:lang w:val="en-US" w:eastAsia="zh-CN"/>
            </w:rPr>
            <w:t>（二）主要目标</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_Toc16959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760E1C5B">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_Toc8390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三、构建城市更新高质量发展格局</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_Toc8390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4</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5D6EDAA2">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_Toc30959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（一）优化城市空间结构</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_Toc30959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4E7261DD">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_Toc13417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（二）推动综合化城市更新组团实施</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_Toc13417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302917D4">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_Toc6282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四、营造高品质的居住空间</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_Toc6282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7</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4520D9B7">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_Toc16682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（一）持续推进危旧楼房改建工作</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_Toc16682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23FEE6AC">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_Toc15917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（二）启动新一轮老旧小区改造工作</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_Toc15917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75343C84">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_Toc16560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（三）大力推进完整社区建设</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_Toc16560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798D2570">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_Toc29173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五、激发科创引领的发展新动能</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_Toc29173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9</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23F4CF27">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_Toc870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（一）推动老旧厂房、产业园区提质增效</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_Toc870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345663C0">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_Toc12357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（二）实施老旧低效楼宇更新改造</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_Toc12357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10</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635EF3F3">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_Toc21314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（三）推进传统商业街区升级改造</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_Toc21314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10</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5E3B1BF0">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_Toc17898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（四）加快推动城市绿色发展和数字化转型</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_Toc17898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515AB9C9">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_Toc4552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六、提升现代化基础设施建设水平</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_Toc4552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12</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2781ACD3">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_Toc24220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（一）优化完善城市综合交通体系</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_Toc24220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3C840A83">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_Toc21256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（二）推进地下管线老化更新改造</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_Toc21256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13528844">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_Toc24699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（三）加快推进消费基础设施建设</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_Toc24699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13</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46E0FC56">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_Toc17834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（四）高标准建设安全可靠的韧性城市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_Toc17834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13</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5C276040">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_Toc17523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七、完善提升城市功能</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_Toc17523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14</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27C1D1FC">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_Toc30792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（一）持续提升城市公共服务品质</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_Toc30792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65CB2340">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_Toc23207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（二）营造高品质城市公共空间</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_Toc23207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15</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3BCC27B0">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_Toc20132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（三）推进站城融合与轨道交通微中心建设</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_Toc20132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13207311">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_Toc9044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（四）保护传承城市历史文化</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_Toc9044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606E4B13">
          <w:pPr>
            <w:pStyle w:val="8"/>
            <w:tabs>
              <w:tab w:val="right" w:leader="dot" w:pos="9026"/>
            </w:tabs>
            <w:rPr>
              <w:rFonts w:hint="eastAsia" w:ascii="仿宋_GB2312" w:hAnsi="仿宋_GB2312" w:eastAsia="仿宋_GB2312" w:cs="仿宋_GB2312"/>
              <w:b/>
              <w:bCs/>
              <w:color w:val="auto"/>
              <w:spacing w:val="0"/>
              <w:kern w:val="0"/>
              <w:sz w:val="30"/>
              <w:szCs w:val="30"/>
              <w:highlight w:val="none"/>
              <w:u w:val="none" w:color="auto"/>
              <w:lang w:val="en-US" w:eastAsia="zh-CN"/>
            </w:rPr>
          </w:pP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HYPERLINK \l _Toc19834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八、加强组织实施保障</w:t>
          </w:r>
          <w:r>
            <w:rPr>
              <w:rFonts w:hint="eastAsia" w:ascii="仿宋_GB2312" w:hAnsi="仿宋_GB2312" w:eastAsia="仿宋_GB2312" w:cs="仿宋_GB2312"/>
              <w:b/>
              <w:bCs/>
              <w:color w:val="auto"/>
              <w:spacing w:val="0"/>
              <w:kern w:val="0"/>
              <w:sz w:val="30"/>
              <w:szCs w:val="30"/>
              <w:highlight w:val="none"/>
              <w:u w:val="none" w:color="auto"/>
              <w:lang w:val="en-US" w:eastAsia="zh-CN"/>
            </w:rPr>
            <w:tab/>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begin"/>
          </w:r>
          <w:r>
            <w:rPr>
              <w:rFonts w:hint="eastAsia" w:ascii="仿宋_GB2312" w:hAnsi="仿宋_GB2312" w:eastAsia="仿宋_GB2312" w:cs="仿宋_GB2312"/>
              <w:b/>
              <w:bCs/>
              <w:color w:val="auto"/>
              <w:spacing w:val="0"/>
              <w:kern w:val="0"/>
              <w:sz w:val="30"/>
              <w:szCs w:val="30"/>
              <w:highlight w:val="none"/>
              <w:u w:val="none" w:color="auto"/>
              <w:lang w:val="en-US" w:eastAsia="zh-CN"/>
            </w:rPr>
            <w:instrText xml:space="preserve"> PAGEREF _Toc19834 \h </w:instrTex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separate"/>
          </w:r>
          <w:r>
            <w:rPr>
              <w:rFonts w:hint="eastAsia" w:ascii="仿宋_GB2312" w:hAnsi="仿宋_GB2312" w:eastAsia="仿宋_GB2312" w:cs="仿宋_GB2312"/>
              <w:b/>
              <w:bCs/>
              <w:color w:val="auto"/>
              <w:spacing w:val="0"/>
              <w:kern w:val="0"/>
              <w:sz w:val="30"/>
              <w:szCs w:val="30"/>
              <w:highlight w:val="none"/>
              <w:u w:val="none" w:color="auto"/>
              <w:lang w:val="en-US" w:eastAsia="zh-CN"/>
            </w:rPr>
            <w:t>18</w:t>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r>
            <w:rPr>
              <w:rFonts w:hint="eastAsia" w:ascii="仿宋_GB2312" w:hAnsi="仿宋_GB2312" w:eastAsia="仿宋_GB2312" w:cs="仿宋_GB2312"/>
              <w:b/>
              <w:bCs/>
              <w:color w:val="auto"/>
              <w:spacing w:val="0"/>
              <w:kern w:val="0"/>
              <w:sz w:val="30"/>
              <w:szCs w:val="30"/>
              <w:highlight w:val="none"/>
              <w:u w:val="none" w:color="auto"/>
              <w:lang w:val="en-US" w:eastAsia="zh-CN"/>
            </w:rPr>
            <w:fldChar w:fldCharType="end"/>
          </w:r>
        </w:p>
        <w:p w14:paraId="3EC5C4DE">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_Toc26584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（一）健全城市更新工作机制</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_Toc26584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23EF8DAF">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_Toc23040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（二）整合多元化资金来源</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_Toc23040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6D49CC3F">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_Toc23728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（三）推动城市更新项目实施</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_Toc23728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101FE1F3">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_Toc12887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（四）加强城市更新监督考核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_Toc12887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47ACCE62">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_Toc7343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（五）动员多方力量积极参与</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_Toc7343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1DDFA276">
          <w:pPr>
            <w:pStyle w:val="9"/>
            <w:tabs>
              <w:tab w:val="right" w:leader="dot" w:pos="9026"/>
            </w:tabs>
            <w:rPr>
              <w:rFonts w:hint="eastAsia" w:ascii="仿宋_GB2312" w:hAnsi="仿宋_GB2312" w:eastAsia="仿宋_GB2312" w:cs="仿宋_GB2312"/>
              <w:sz w:val="30"/>
              <w:szCs w:val="30"/>
            </w:rPr>
          </w:pPr>
          <w:r>
            <w:rPr>
              <w:rFonts w:hint="eastAsia" w:ascii="仿宋_GB2312" w:hAnsi="仿宋_GB2312" w:eastAsia="仿宋_GB2312" w:cs="仿宋_GB2312"/>
              <w:color w:val="auto"/>
              <w:spacing w:val="0"/>
              <w:kern w:val="0"/>
              <w:sz w:val="30"/>
              <w:szCs w:val="30"/>
              <w:highlight w:val="none"/>
              <w:u w:val="none" w:color="auto"/>
            </w:rPr>
            <w:fldChar w:fldCharType="begin"/>
          </w:r>
          <w:r>
            <w:rPr>
              <w:rFonts w:hint="eastAsia" w:ascii="仿宋_GB2312" w:hAnsi="仿宋_GB2312" w:eastAsia="仿宋_GB2312" w:cs="仿宋_GB2312"/>
              <w:spacing w:val="0"/>
              <w:kern w:val="0"/>
              <w:sz w:val="30"/>
              <w:szCs w:val="30"/>
              <w:highlight w:val="none"/>
            </w:rPr>
            <w:instrText xml:space="preserve"> HYPERLINK \l _Toc20078 </w:instrText>
          </w:r>
          <w:r>
            <w:rPr>
              <w:rFonts w:hint="eastAsia" w:ascii="仿宋_GB2312" w:hAnsi="仿宋_GB2312" w:eastAsia="仿宋_GB2312" w:cs="仿宋_GB2312"/>
              <w:spacing w:val="0"/>
              <w:kern w:val="0"/>
              <w:sz w:val="30"/>
              <w:szCs w:val="30"/>
              <w:highlight w:val="none"/>
            </w:rPr>
            <w:fldChar w:fldCharType="separate"/>
          </w:r>
          <w:r>
            <w:rPr>
              <w:rFonts w:hint="eastAsia" w:ascii="仿宋_GB2312" w:hAnsi="仿宋_GB2312" w:eastAsia="仿宋_GB2312" w:cs="仿宋_GB2312"/>
              <w:bCs/>
              <w:spacing w:val="0"/>
              <w:kern w:val="0"/>
              <w:sz w:val="30"/>
              <w:szCs w:val="30"/>
              <w:highlight w:val="none"/>
              <w:lang w:val="en-US" w:eastAsia="zh-CN"/>
            </w:rPr>
            <w:t>（六）完善政策工具支撑</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_Toc20078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auto"/>
              <w:spacing w:val="0"/>
              <w:kern w:val="0"/>
              <w:sz w:val="30"/>
              <w:szCs w:val="30"/>
              <w:highlight w:val="none"/>
              <w:u w:val="none" w:color="auto"/>
            </w:rPr>
            <w:fldChar w:fldCharType="end"/>
          </w:r>
        </w:p>
        <w:p w14:paraId="0DC57A10">
          <w:pPr>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right="0" w:rightChars="0" w:firstLine="0" w:firstLineChars="0"/>
            <w:jc w:val="left"/>
            <w:textAlignment w:val="auto"/>
            <w:outlineLvl w:val="9"/>
            <w:rPr>
              <w:color w:val="auto"/>
              <w:highlight w:val="none"/>
            </w:rPr>
            <w:sectPr>
              <w:footerReference r:id="rId3" w:type="default"/>
              <w:pgSz w:w="11906" w:h="16838"/>
              <w:pgMar w:top="1440" w:right="1440" w:bottom="1440" w:left="1440" w:header="720" w:footer="720" w:gutter="0"/>
              <w:pgNumType w:start="1"/>
              <w:cols w:space="720" w:num="1"/>
              <w:docGrid w:linePitch="360" w:charSpace="0"/>
            </w:sectPr>
          </w:pPr>
          <w:r>
            <w:rPr>
              <w:rFonts w:hint="eastAsia" w:ascii="仿宋_GB2312" w:hAnsi="仿宋_GB2312" w:eastAsia="仿宋_GB2312" w:cs="仿宋_GB2312"/>
              <w:color w:val="auto"/>
              <w:spacing w:val="0"/>
              <w:kern w:val="0"/>
              <w:sz w:val="30"/>
              <w:szCs w:val="30"/>
              <w:highlight w:val="none"/>
              <w:u w:val="none" w:color="auto"/>
            </w:rPr>
            <w:fldChar w:fldCharType="end"/>
          </w:r>
        </w:p>
      </w:sdtContent>
    </w:sdt>
    <w:p w14:paraId="2B91360F">
      <w:pPr>
        <w:keepNext/>
        <w:keepLines/>
        <w:pageBreakBefore w:val="0"/>
        <w:widowControl/>
        <w:tabs>
          <w:tab w:val="left" w:pos="720"/>
        </w:tabs>
        <w:kinsoku/>
        <w:wordWrap/>
        <w:overflowPunct/>
        <w:topLinePunct w:val="0"/>
        <w:autoSpaceDE/>
        <w:autoSpaceDN/>
        <w:bidi w:val="0"/>
        <w:adjustRightInd/>
        <w:snapToGrid/>
        <w:spacing w:line="360" w:lineRule="auto"/>
        <w:ind w:left="0" w:firstLine="0" w:firstLineChars="0"/>
        <w:textAlignment w:val="auto"/>
        <w:rPr>
          <w:rFonts w:hint="eastAsia"/>
          <w:color w:val="auto"/>
          <w:highlight w:val="none"/>
          <w:lang w:val="en-US" w:eastAsia="zh-CN"/>
        </w:rPr>
        <w:sectPr>
          <w:footerReference r:id="rId4" w:type="default"/>
          <w:type w:val="continuous"/>
          <w:pgSz w:w="11906" w:h="16838"/>
          <w:pgMar w:top="1440" w:right="1440" w:bottom="1440" w:left="1440" w:header="720" w:footer="720" w:gutter="0"/>
          <w:cols w:space="720" w:num="1"/>
          <w:docGrid w:linePitch="360" w:charSpace="0"/>
        </w:sectPr>
      </w:pPr>
      <w:bookmarkStart w:id="0" w:name="_Toc17127"/>
    </w:p>
    <w:bookmarkEnd w:id="0"/>
    <w:p w14:paraId="6A7758AF">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kern w:val="0"/>
          <w:sz w:val="32"/>
          <w:szCs w:val="32"/>
          <w:highlight w:val="none"/>
          <w:u w:val="none" w:color="auto"/>
          <w:lang w:val="en-US" w:eastAsia="zh-CN"/>
        </w:rPr>
      </w:pPr>
      <w:bookmarkStart w:id="1" w:name="_Toc13293"/>
      <w:r>
        <w:rPr>
          <w:rFonts w:hint="eastAsia" w:ascii="仿宋_GB2312" w:hAnsi="仿宋_GB2312" w:eastAsia="仿宋_GB2312" w:cs="仿宋_GB2312"/>
          <w:color w:val="auto"/>
          <w:spacing w:val="0"/>
          <w:kern w:val="0"/>
          <w:sz w:val="32"/>
          <w:szCs w:val="32"/>
          <w:highlight w:val="none"/>
          <w:u w:val="none" w:color="auto"/>
          <w:lang w:val="en-US" w:eastAsia="zh-CN"/>
        </w:rPr>
        <w:t>《昌平区“十五五”时期城市更新规划》是昌平区落实北京市城市更新工作部署、推动城市高质量发展的重要专项规划，是“十五五”时期昌平区城市更新工作的行动纲领。</w:t>
      </w:r>
    </w:p>
    <w:p w14:paraId="6F040722">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960" w:firstLineChars="300"/>
        <w:textAlignment w:val="auto"/>
        <w:outlineLvl w:val="0"/>
        <w:rPr>
          <w:rFonts w:hint="eastAsia" w:ascii="黑体" w:hAnsi="黑体" w:eastAsia="黑体" w:cs="黑体"/>
          <w:b w:val="0"/>
          <w:bCs/>
          <w:color w:val="auto"/>
          <w:spacing w:val="0"/>
          <w:kern w:val="44"/>
          <w:sz w:val="32"/>
          <w:szCs w:val="32"/>
          <w:highlight w:val="none"/>
          <w:u w:val="none" w:color="auto"/>
          <w:lang w:val="en-US" w:eastAsia="zh-CN"/>
        </w:rPr>
      </w:pPr>
      <w:bookmarkStart w:id="2" w:name="_Toc11263"/>
      <w:r>
        <w:rPr>
          <w:rFonts w:hint="eastAsia" w:ascii="黑体" w:hAnsi="黑体" w:eastAsia="黑体" w:cs="黑体"/>
          <w:b w:val="0"/>
          <w:bCs/>
          <w:color w:val="auto"/>
          <w:spacing w:val="0"/>
          <w:kern w:val="44"/>
          <w:sz w:val="32"/>
          <w:szCs w:val="32"/>
          <w:highlight w:val="none"/>
          <w:u w:val="none" w:color="auto"/>
          <w:lang w:val="en-US" w:eastAsia="zh-CN"/>
        </w:rPr>
        <w:t>一</w:t>
      </w:r>
      <w:bookmarkEnd w:id="1"/>
      <w:bookmarkStart w:id="3" w:name="_Toc12715"/>
      <w:r>
        <w:rPr>
          <w:rFonts w:hint="eastAsia" w:ascii="黑体" w:hAnsi="黑体" w:eastAsia="黑体" w:cs="黑体"/>
          <w:b w:val="0"/>
          <w:bCs/>
          <w:color w:val="auto"/>
          <w:spacing w:val="0"/>
          <w:kern w:val="44"/>
          <w:sz w:val="32"/>
          <w:szCs w:val="32"/>
          <w:highlight w:val="none"/>
          <w:u w:val="none" w:color="auto"/>
          <w:lang w:val="en-US" w:eastAsia="zh-CN"/>
        </w:rPr>
        <w:t>、“十四五”时期城市更新</w:t>
      </w:r>
      <w:bookmarkEnd w:id="3"/>
      <w:r>
        <w:rPr>
          <w:rFonts w:hint="eastAsia" w:ascii="黑体" w:hAnsi="黑体" w:eastAsia="黑体" w:cs="黑体"/>
          <w:b w:val="0"/>
          <w:bCs/>
          <w:color w:val="auto"/>
          <w:spacing w:val="0"/>
          <w:kern w:val="44"/>
          <w:sz w:val="32"/>
          <w:szCs w:val="32"/>
          <w:highlight w:val="none"/>
          <w:u w:val="none" w:color="auto"/>
          <w:lang w:val="en-US" w:eastAsia="zh-CN"/>
        </w:rPr>
        <w:t>回顾</w:t>
      </w:r>
      <w:bookmarkEnd w:id="2"/>
    </w:p>
    <w:p w14:paraId="51FEF707">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color w:val="auto"/>
          <w:spacing w:val="0"/>
          <w:kern w:val="0"/>
          <w:sz w:val="32"/>
          <w:szCs w:val="32"/>
          <w:highlight w:val="none"/>
          <w:u w:val="none" w:color="auto"/>
          <w:lang w:val="en-US" w:eastAsia="zh-CN"/>
        </w:rPr>
        <w:t>“十四五”时期，昌平区积极落实国家和北京市城市更新政策，通过构建全局统筹、重点突出、试点示范、分类引导的城市更新常态化工作框架，以多元主体利益共享为核心，以全面改造和微改造为主要更新模式，切实推进昌平区空间格局优化、产业发展升级、服务配套完善、城市风貌提升。</w:t>
      </w:r>
    </w:p>
    <w:p w14:paraId="1950EFF9">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default"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楷体_GB2312" w:hAnsi="楷体_GB2312" w:eastAsia="楷体_GB2312" w:cs="楷体_GB2312"/>
          <w:b w:val="0"/>
          <w:bCs w:val="0"/>
          <w:color w:val="auto"/>
          <w:spacing w:val="0"/>
          <w:kern w:val="0"/>
          <w:sz w:val="32"/>
          <w:szCs w:val="32"/>
          <w:highlight w:val="none"/>
          <w:u w:val="none" w:color="auto"/>
          <w:lang w:val="en-US" w:eastAsia="zh-CN"/>
        </w:rPr>
        <w:t>（一）建立工作机制，提供政策保障。</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区委城市工作委员会下设城市更新专项小组，组建城市更新工作专班，为城市更新工作开展提供强有力的领导和保障。结合城市更新实施情况，持续细化、深化城市更新工作模式，着力构建系统性的城市更新工作闭环，</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从申报审批办法、方案编制、实施主体遴选、履约监管等</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多个</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方面出台</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了</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更新</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配套政策和</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实施细则，为城市更新提供政策保障。</w:t>
      </w:r>
    </w:p>
    <w:p w14:paraId="50A764E3">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楷体_GB2312" w:hAnsi="楷体_GB2312" w:eastAsia="楷体_GB2312" w:cs="楷体_GB2312"/>
          <w:b w:val="0"/>
          <w:bCs w:val="0"/>
          <w:color w:val="auto"/>
          <w:spacing w:val="0"/>
          <w:kern w:val="0"/>
          <w:sz w:val="32"/>
          <w:szCs w:val="32"/>
          <w:highlight w:val="none"/>
          <w:u w:val="none" w:color="auto"/>
          <w:lang w:val="en-US" w:eastAsia="zh-CN"/>
        </w:rPr>
        <w:t>（二）推动更新实施，健全项目管理。</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从盘活存量资源、更新项目谋划、资源推介，到项目实施和后期宣传，贯穿城市更新项目全流程。获得市级城市更新奖励资金超2.7亿元、</w:t>
      </w:r>
      <w:r>
        <w:rPr>
          <w:rFonts w:hint="eastAsia" w:ascii="仿宋_GB2312" w:hAnsi="Times New Roman" w:eastAsia="仿宋_GB2312" w:cs="Times New Roman"/>
          <w:b w:val="0"/>
          <w:bCs w:val="0"/>
          <w:kern w:val="2"/>
          <w:sz w:val="32"/>
          <w:szCs w:val="32"/>
          <w:lang w:val="en-US" w:eastAsia="zh-CN" w:bidi="ar-SA"/>
        </w:rPr>
        <w:t>中央财政资金3250万元，</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排名全市前列。清华南口国重基地、大运河源头遗址公园及白浮泉公园、首开LONG街、“两庙一街”、昌盛园、北科婴幼学苑6个项目获评北京市“最佳实践”案例，数量位居全市第一，实现了从局部改造到系统推进、从单点突破到全域提升的质变跃升。</w:t>
      </w:r>
    </w:p>
    <w:p w14:paraId="27C7E5CB">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楷体_GB2312" w:hAnsi="楷体_GB2312" w:eastAsia="楷体_GB2312" w:cs="楷体_GB2312"/>
          <w:b w:val="0"/>
          <w:bCs w:val="0"/>
          <w:color w:val="auto"/>
          <w:spacing w:val="0"/>
          <w:kern w:val="0"/>
          <w:sz w:val="32"/>
          <w:szCs w:val="32"/>
          <w:highlight w:val="none"/>
          <w:u w:val="none" w:color="auto"/>
          <w:lang w:val="en-US" w:eastAsia="zh-CN"/>
        </w:rPr>
        <w:t>（三）搭建协商平台，激活更新活力。</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积极搭建多方参与的城市更新沟通协商平台，针对城市更新中的各类项目，组织社区居民、企业代表、专家学者等共同参与项目的规划与决策，积极引导各类社会组织发挥专业优势，参与城市更新的各个环节。2022-2025连续四年举办城市更新论坛，宣传解读更新政策，分享实践经验，推介更新资源，持续提升昌平区城市更新品牌影响力。通过举办城市更新训练营和城市更新座谈，为政府、企业、金融机构和专业机构搭建了城市更新交流平台。</w:t>
      </w:r>
    </w:p>
    <w:p w14:paraId="78946BC1">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楷体_GB2312" w:hAnsi="楷体_GB2312" w:eastAsia="楷体_GB2312" w:cs="楷体_GB2312"/>
          <w:b w:val="0"/>
          <w:bCs w:val="0"/>
          <w:color w:val="auto"/>
          <w:spacing w:val="0"/>
          <w:kern w:val="0"/>
          <w:sz w:val="32"/>
          <w:szCs w:val="32"/>
          <w:highlight w:val="none"/>
          <w:u w:val="none" w:color="auto"/>
          <w:lang w:val="en-US" w:eastAsia="zh-CN"/>
        </w:rPr>
        <w:t>（四）创新更新模式，引领路径突破。</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按照“政府引导、市场运营、多方参与”原则，完善多方协同机制。充分发挥市场机制作用，畅通社会资本参与路径，深化微利可持续和成本分担机制，形成多元化更新模式。</w:t>
      </w:r>
      <w:r>
        <w:rPr>
          <w:rFonts w:hint="eastAsia" w:ascii="仿宋_GB2312" w:hAnsi="Times New Roman" w:eastAsia="仿宋_GB2312" w:cs="Times New Roman"/>
          <w:b w:val="0"/>
          <w:bCs w:val="0"/>
          <w:kern w:val="2"/>
          <w:sz w:val="32"/>
          <w:szCs w:val="32"/>
          <w:lang w:val="en-US" w:eastAsia="zh-CN" w:bidi="ar-SA"/>
        </w:rPr>
        <w:t>组织城市更新共创活动、更新训练营，开展政策研讨、创客路演、主题展览、骑行工作坊等系列活动，搭建政策解读、经验交流、资源对接平台。系统梳理全区城市更新实践成果，梳理居住、产业、公共空间及区域综合改造等类型项目案例20余个，提炼形成“昌盛模式”“南口模式”“永安模式”“LONG街模式”等一批可复制、可推广的“昌平打法”</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w:t>
      </w:r>
    </w:p>
    <w:p w14:paraId="33232755">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val="0"/>
          <w:color w:val="auto"/>
          <w:spacing w:val="0"/>
          <w:kern w:val="44"/>
          <w:sz w:val="32"/>
          <w:szCs w:val="32"/>
          <w:highlight w:val="none"/>
          <w:u w:val="none" w:color="auto"/>
          <w:lang w:val="en-US" w:eastAsia="zh-CN"/>
        </w:rPr>
      </w:pPr>
      <w:bookmarkStart w:id="4" w:name="_Toc24041"/>
      <w:r>
        <w:rPr>
          <w:rFonts w:hint="eastAsia" w:ascii="Times New Roman" w:hAnsi="Times New Roman" w:eastAsia="黑体" w:cs="仿宋_GB2312"/>
          <w:b w:val="0"/>
          <w:bCs w:val="0"/>
          <w:color w:val="auto"/>
          <w:spacing w:val="0"/>
          <w:kern w:val="44"/>
          <w:sz w:val="32"/>
          <w:szCs w:val="32"/>
          <w:highlight w:val="none"/>
          <w:u w:val="none" w:color="auto"/>
          <w:lang w:val="en-US" w:eastAsia="zh-CN"/>
        </w:rPr>
        <w:t>二、总体要求</w:t>
      </w:r>
      <w:bookmarkEnd w:id="4"/>
    </w:p>
    <w:p w14:paraId="024DEB6D">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楷体_GB2312" w:hAnsi="楷体_GB2312" w:eastAsia="楷体_GB2312" w:cs="楷体_GB2312"/>
          <w:b w:val="0"/>
          <w:bCs w:val="0"/>
          <w:color w:val="auto"/>
          <w:spacing w:val="0"/>
          <w:kern w:val="0"/>
          <w:sz w:val="32"/>
          <w:szCs w:val="32"/>
          <w:highlight w:val="none"/>
          <w:u w:val="none" w:color="auto"/>
          <w:lang w:val="en-US" w:eastAsia="zh-CN"/>
        </w:rPr>
      </w:pPr>
      <w:bookmarkStart w:id="5" w:name="_Toc9802"/>
      <w:r>
        <w:rPr>
          <w:rFonts w:hint="eastAsia" w:ascii="楷体_GB2312" w:hAnsi="楷体_GB2312" w:eastAsia="楷体_GB2312" w:cs="楷体_GB2312"/>
          <w:b w:val="0"/>
          <w:bCs w:val="0"/>
          <w:color w:val="auto"/>
          <w:spacing w:val="0"/>
          <w:kern w:val="0"/>
          <w:sz w:val="32"/>
          <w:szCs w:val="32"/>
          <w:highlight w:val="none"/>
          <w:u w:val="none" w:color="auto"/>
          <w:lang w:val="en-US" w:eastAsia="zh-CN"/>
        </w:rPr>
        <w:t>（一）指导思想</w:t>
      </w:r>
      <w:bookmarkEnd w:id="5"/>
    </w:p>
    <w:p w14:paraId="654244C9">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color w:val="auto"/>
          <w:spacing w:val="0"/>
          <w:kern w:val="0"/>
          <w:sz w:val="32"/>
          <w:szCs w:val="32"/>
          <w:highlight w:val="none"/>
          <w:u w:val="none" w:color="auto"/>
          <w:lang w:val="en-US" w:eastAsia="zh-CN"/>
        </w:rPr>
        <w:t>坚持以习近平新时代中国特色社会主义思想为指导，深入贯彻党的二十大和二十届历次全会精神，深入贯彻习近平总书记对北京重要讲话精神，落实北京市和昌平区委、区政府的决策部署，大力实施城市更新，大力推动城市结构优化、动能转换、品质提升、绿色转型、文脉赓续、治理增效，牢牢守住城市安全底线，满足人民群众对美好生活的需要。</w:t>
      </w:r>
    </w:p>
    <w:p w14:paraId="38DF0869">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楷体_GB2312" w:hAnsi="楷体_GB2312" w:eastAsia="楷体_GB2312" w:cs="楷体_GB2312"/>
          <w:b w:val="0"/>
          <w:bCs w:val="0"/>
          <w:color w:val="auto"/>
          <w:spacing w:val="0"/>
          <w:kern w:val="0"/>
          <w:sz w:val="32"/>
          <w:szCs w:val="32"/>
          <w:highlight w:val="none"/>
          <w:u w:val="none" w:color="auto"/>
          <w:lang w:val="en-US" w:eastAsia="zh-CN"/>
        </w:rPr>
      </w:pPr>
      <w:bookmarkStart w:id="6" w:name="_Toc16959"/>
      <w:r>
        <w:rPr>
          <w:rFonts w:hint="eastAsia" w:ascii="楷体_GB2312" w:hAnsi="楷体_GB2312" w:eastAsia="楷体_GB2312" w:cs="楷体_GB2312"/>
          <w:b w:val="0"/>
          <w:bCs w:val="0"/>
          <w:color w:val="auto"/>
          <w:spacing w:val="0"/>
          <w:kern w:val="0"/>
          <w:sz w:val="32"/>
          <w:szCs w:val="32"/>
          <w:highlight w:val="none"/>
          <w:u w:val="none" w:color="auto"/>
          <w:lang w:val="en-US" w:eastAsia="zh-CN"/>
        </w:rPr>
        <w:t>（二）主要目标</w:t>
      </w:r>
      <w:bookmarkEnd w:id="6"/>
    </w:p>
    <w:p w14:paraId="0B764152">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default" w:ascii="仿宋_GB2312" w:hAnsi="仿宋_GB2312" w:eastAsia="仿宋_GB2312" w:cs="仿宋_GB2312"/>
          <w:b w:val="0"/>
          <w:bCs w:val="0"/>
          <w:color w:val="auto"/>
          <w:spacing w:val="0"/>
          <w:kern w:val="0"/>
          <w:sz w:val="32"/>
          <w:szCs w:val="32"/>
          <w:highlight w:val="none"/>
          <w:u w:val="none" w:color="auto"/>
          <w:lang w:val="en-US" w:eastAsia="zh-CN"/>
        </w:rPr>
      </w:pPr>
      <w:r>
        <w:rPr>
          <w:rFonts w:hint="default" w:ascii="仿宋_GB2312" w:hAnsi="仿宋_GB2312" w:eastAsia="仿宋_GB2312" w:cs="仿宋_GB2312"/>
          <w:b w:val="0"/>
          <w:bCs w:val="0"/>
          <w:color w:val="auto"/>
          <w:spacing w:val="0"/>
          <w:kern w:val="0"/>
          <w:sz w:val="32"/>
          <w:szCs w:val="32"/>
          <w:highlight w:val="none"/>
          <w:u w:val="none" w:color="auto"/>
          <w:lang w:val="en-US" w:eastAsia="zh-CN"/>
        </w:rPr>
        <w:t>到2030年，城市更新行动实施取得重要进展，城市更新体制机制不断完善，安全发展基础更加牢固，服务效能不断提高，人居环境明显改善，经济业态更加丰富，文化遗产有效保护，风貌特色更加彰显，</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确保国际一流现代化新城建设取得决定性进展</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。“十五五”时期</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昌平区</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城市更新重点推动以下</w:t>
      </w:r>
      <w:r>
        <w:rPr>
          <w:rFonts w:hint="default" w:ascii="仿宋_GB2312" w:hAnsi="仿宋_GB2312" w:eastAsia="仿宋_GB2312" w:cs="仿宋_GB2312"/>
          <w:b w:val="0"/>
          <w:bCs w:val="0"/>
          <w:color w:val="auto"/>
          <w:spacing w:val="0"/>
          <w:kern w:val="0"/>
          <w:sz w:val="32"/>
          <w:szCs w:val="32"/>
          <w:highlight w:val="none"/>
          <w:u w:val="none" w:color="auto"/>
          <w:lang w:val="en-US" w:eastAsia="zh-CN"/>
        </w:rPr>
        <w:t>主要指标</w:t>
      </w:r>
      <w:r>
        <w:rPr>
          <w:rFonts w:hint="eastAsia" w:ascii="仿宋_GB2312" w:hAnsi="仿宋_GB2312" w:eastAsia="仿宋_GB2312" w:cs="仿宋_GB2312"/>
          <w:b w:val="0"/>
          <w:bCs w:val="0"/>
          <w:color w:val="auto"/>
          <w:spacing w:val="0"/>
          <w:kern w:val="0"/>
          <w:sz w:val="32"/>
          <w:szCs w:val="32"/>
          <w:highlight w:val="none"/>
          <w:u w:val="none" w:color="auto"/>
          <w:lang w:val="en-US" w:eastAsia="zh-CN"/>
        </w:rPr>
        <w:t>：</w:t>
      </w:r>
    </w:p>
    <w:tbl>
      <w:tblPr>
        <w:tblStyle w:val="10"/>
        <w:tblW w:w="453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3220"/>
        <w:gridCol w:w="2920"/>
        <w:gridCol w:w="939"/>
      </w:tblGrid>
      <w:tr w14:paraId="440C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419" w:type="pct"/>
            <w:tcBorders>
              <w:top w:val="single" w:color="000000" w:sz="4" w:space="0"/>
              <w:left w:val="single" w:color="000000" w:sz="4" w:space="0"/>
              <w:bottom w:val="single" w:color="000000" w:sz="4" w:space="0"/>
              <w:right w:val="single" w:color="000000" w:sz="4" w:space="0"/>
              <w:tl2br w:val="nil"/>
            </w:tcBorders>
            <w:shd w:val="clear" w:color="8B0000" w:fill="FFFFFF"/>
            <w:noWrap/>
            <w:vAlign w:val="center"/>
          </w:tcPr>
          <w:p w14:paraId="390D28D3">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序号</w:t>
            </w:r>
          </w:p>
        </w:tc>
        <w:tc>
          <w:tcPr>
            <w:tcW w:w="2083" w:type="pct"/>
            <w:tcBorders>
              <w:top w:val="single" w:color="000000" w:sz="4" w:space="0"/>
              <w:left w:val="single" w:color="000000" w:sz="4" w:space="0"/>
              <w:bottom w:val="single" w:color="000000" w:sz="4" w:space="0"/>
              <w:right w:val="single" w:color="000000" w:sz="4" w:space="0"/>
            </w:tcBorders>
            <w:shd w:val="clear" w:color="8B0000" w:fill="FFFFFF"/>
            <w:noWrap/>
            <w:vAlign w:val="center"/>
          </w:tcPr>
          <w:p w14:paraId="743F0ADC">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指标名称</w:t>
            </w:r>
          </w:p>
        </w:tc>
        <w:tc>
          <w:tcPr>
            <w:tcW w:w="1889" w:type="pct"/>
            <w:tcBorders>
              <w:top w:val="single" w:color="000000" w:sz="4" w:space="0"/>
              <w:left w:val="single" w:color="000000" w:sz="4" w:space="0"/>
              <w:bottom w:val="single" w:color="000000" w:sz="4" w:space="0"/>
              <w:right w:val="single" w:color="000000" w:sz="4" w:space="0"/>
            </w:tcBorders>
            <w:shd w:val="clear" w:color="8B0000" w:fill="FFFFFF"/>
            <w:noWrap/>
            <w:vAlign w:val="center"/>
          </w:tcPr>
          <w:p w14:paraId="49820F7B">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“十五五”期间计划目标</w:t>
            </w:r>
          </w:p>
        </w:tc>
        <w:tc>
          <w:tcPr>
            <w:tcW w:w="607" w:type="pct"/>
            <w:tcBorders>
              <w:top w:val="single" w:color="000000" w:sz="4" w:space="0"/>
              <w:left w:val="single" w:color="000000" w:sz="4" w:space="0"/>
              <w:bottom w:val="single" w:color="000000" w:sz="4" w:space="0"/>
              <w:right w:val="single" w:color="000000" w:sz="4" w:space="0"/>
            </w:tcBorders>
            <w:shd w:val="clear" w:color="8B0000" w:fill="FFFFFF"/>
            <w:noWrap/>
            <w:vAlign w:val="center"/>
          </w:tcPr>
          <w:p w14:paraId="5716CF13">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属性</w:t>
            </w:r>
          </w:p>
        </w:tc>
      </w:tr>
      <w:tr w14:paraId="25D6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BF425A">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2AC80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城镇危旧房改造数量（套/间）</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2A4CE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270</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1D02A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79754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43E441B2">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2</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B3B05F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新开工改造城镇老旧小区（个）</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3819BDC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达到市级要求</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144832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208E2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E0D07B">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3</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3DB87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完整社区建设典型示范案例（个）</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78BD8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10</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A2E13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55C31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DBE913C">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4</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417DDB7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老旧低效楼宇更新改造（万㎡）</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526A31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44</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49DB69F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69A2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F859D3A">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5</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6A1914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老旧街区厂区改造数量（个）</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3E6ABCD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10</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152441F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43508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E00C2B3">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6</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E8CE6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城中村改造数量（个）</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4D9AB7">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11</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A07E0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4C88E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CEAE50">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7</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3E7ED8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新建及改扩建体育场地（公顷）</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61E5A9E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达到市级要求</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1144150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61384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61E6882">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8</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9ECA0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城市道路健康工程建设（万㎡）</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E0FA87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≥30</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FF6DE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约束性</w:t>
            </w:r>
          </w:p>
        </w:tc>
      </w:tr>
      <w:tr w14:paraId="3409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57E285">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9</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58C6D1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城市地下管网改造长度（公里）</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04E8838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yellow"/>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1769公里；其中供热80公里，燃气39公里，供水165公里，排水392公里，老旧小区供电1093公里。</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335A265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23D5B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6940187E">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10</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CEDA1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存量应急避难场所改造（个）</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70942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≥10</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E81A48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670F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417C4F">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11</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5E88ED1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城市公园绿地改造提升（公顷）</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7767E28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40</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68B1400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54AB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22E38B6B">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12</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06BE4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历史建筑修缮和活化利用（处）</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8B97B7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≥5</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F6609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52484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10D9B7">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13</w:t>
            </w:r>
          </w:p>
        </w:tc>
        <w:tc>
          <w:tcPr>
            <w:tcW w:w="2083"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65637C8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城镇房屋基础信息数字化率（%）</w:t>
            </w:r>
          </w:p>
        </w:tc>
        <w:tc>
          <w:tcPr>
            <w:tcW w:w="188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6BBE0E2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≥95</w:t>
            </w:r>
          </w:p>
        </w:tc>
        <w:tc>
          <w:tcPr>
            <w:tcW w:w="607"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1101E70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r w14:paraId="0239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19" w:type="pct"/>
            <w:tcBorders>
              <w:top w:val="single" w:color="000000" w:sz="4" w:space="0"/>
              <w:left w:val="single" w:color="000000" w:sz="4" w:space="0"/>
              <w:bottom w:val="single" w:color="000000" w:sz="4" w:space="0"/>
              <w:right w:val="single" w:color="000000" w:sz="4" w:space="0"/>
            </w:tcBorders>
            <w:shd w:val="clear" w:color="F2F2F2" w:fill="FFFFFF"/>
            <w:noWrap/>
            <w:vAlign w:val="center"/>
          </w:tcPr>
          <w:p w14:paraId="137CB222">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仿宋_GB2312" w:hAnsi="仿宋_GB2312" w:eastAsia="仿宋_GB2312" w:cs="仿宋_GB2312"/>
                <w:kern w:val="2"/>
                <w:sz w:val="21"/>
                <w:szCs w:val="21"/>
                <w:highlight w:val="none"/>
                <w:shd w:val="clear" w:color="auto" w:fill="auto"/>
                <w:lang w:val="en-US" w:eastAsia="zh-CN" w:bidi="ar-SA"/>
              </w:rPr>
            </w:pPr>
            <w:r>
              <w:rPr>
                <w:rFonts w:hint="eastAsia" w:ascii="仿宋_GB2312" w:hAnsi="仿宋_GB2312" w:eastAsia="仿宋_GB2312" w:cs="仿宋_GB2312"/>
                <w:sz w:val="21"/>
                <w:szCs w:val="21"/>
                <w:highlight w:val="none"/>
                <w:shd w:val="clear" w:color="auto" w:fill="auto"/>
                <w:lang w:val="en-US" w:eastAsia="zh-CN"/>
              </w:rPr>
              <w:t>14</w:t>
            </w:r>
          </w:p>
        </w:tc>
        <w:tc>
          <w:tcPr>
            <w:tcW w:w="2083"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13F02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综合化城市更新组团项目（个）</w:t>
            </w:r>
          </w:p>
        </w:tc>
        <w:tc>
          <w:tcPr>
            <w:tcW w:w="1889"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DA458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≥6</w:t>
            </w:r>
          </w:p>
        </w:tc>
        <w:tc>
          <w:tcPr>
            <w:tcW w:w="607" w:type="pc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64714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仿宋_GB2312" w:hAnsi="仿宋_GB2312" w:eastAsia="仿宋_GB2312" w:cs="仿宋_GB2312"/>
                <w:sz w:val="21"/>
                <w:szCs w:val="21"/>
                <w:highlight w:val="none"/>
                <w:shd w:val="clear" w:color="auto" w:fill="auto"/>
                <w:lang w:val="en-US" w:eastAsia="zh-CN"/>
              </w:rPr>
            </w:pPr>
            <w:r>
              <w:rPr>
                <w:rFonts w:hint="eastAsia" w:ascii="仿宋_GB2312" w:hAnsi="仿宋_GB2312" w:eastAsia="仿宋_GB2312" w:cs="仿宋_GB2312"/>
                <w:sz w:val="21"/>
                <w:szCs w:val="21"/>
                <w:highlight w:val="none"/>
                <w:shd w:val="clear" w:color="auto" w:fill="auto"/>
                <w:lang w:val="en-US" w:eastAsia="zh-CN"/>
              </w:rPr>
              <w:t>预期性</w:t>
            </w:r>
          </w:p>
        </w:tc>
      </w:tr>
    </w:tbl>
    <w:p w14:paraId="2FCFB1BB">
      <w:pPr>
        <w:pageBreakBefore w:val="0"/>
        <w:kinsoku/>
        <w:wordWrap/>
        <w:overflowPunct/>
        <w:topLinePunct w:val="0"/>
        <w:autoSpaceDE/>
        <w:autoSpaceDN/>
        <w:bidi w:val="0"/>
        <w:spacing w:line="360" w:lineRule="auto"/>
        <w:textAlignment w:val="auto"/>
        <w:rPr>
          <w:rFonts w:hint="eastAsia" w:ascii="Times New Roman" w:hAnsi="Times New Roman" w:eastAsia="黑体" w:cs="仿宋_GB2312"/>
          <w:b/>
          <w:color w:val="auto"/>
          <w:spacing w:val="0"/>
          <w:kern w:val="44"/>
          <w:sz w:val="36"/>
          <w:szCs w:val="32"/>
          <w:highlight w:val="none"/>
          <w:u w:val="none" w:color="auto"/>
          <w:lang w:val="en-US" w:eastAsia="zh-CN"/>
        </w:rPr>
      </w:pPr>
      <w:r>
        <w:rPr>
          <w:rFonts w:hint="eastAsia" w:ascii="Times New Roman" w:hAnsi="Times New Roman" w:eastAsia="黑体" w:cs="仿宋_GB2312"/>
          <w:b/>
          <w:color w:val="auto"/>
          <w:spacing w:val="0"/>
          <w:kern w:val="44"/>
          <w:sz w:val="36"/>
          <w:szCs w:val="32"/>
          <w:highlight w:val="none"/>
          <w:u w:val="none" w:color="auto"/>
          <w:lang w:val="en-US" w:eastAsia="zh-CN"/>
        </w:rPr>
        <w:br w:type="page"/>
      </w:r>
    </w:p>
    <w:p w14:paraId="37A6FFF7">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7" w:name="_Toc8390"/>
      <w:r>
        <w:rPr>
          <w:rFonts w:hint="eastAsia" w:ascii="Times New Roman" w:hAnsi="Times New Roman" w:eastAsia="黑体" w:cs="仿宋_GB2312"/>
          <w:b w:val="0"/>
          <w:bCs/>
          <w:color w:val="auto"/>
          <w:spacing w:val="0"/>
          <w:kern w:val="44"/>
          <w:sz w:val="32"/>
          <w:szCs w:val="32"/>
          <w:highlight w:val="none"/>
          <w:u w:val="none" w:color="auto"/>
          <w:lang w:val="en-US" w:eastAsia="zh-CN"/>
        </w:rPr>
        <w:t>三、构建城市更新高质量发展格局</w:t>
      </w:r>
      <w:bookmarkEnd w:id="7"/>
    </w:p>
    <w:p w14:paraId="0B19BD90">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楷体_GB2312" w:hAnsi="楷体_GB2312" w:eastAsia="楷体_GB2312" w:cs="楷体_GB2312"/>
          <w:b w:val="0"/>
          <w:bCs/>
          <w:color w:val="auto"/>
          <w:spacing w:val="0"/>
          <w:kern w:val="0"/>
          <w:sz w:val="32"/>
          <w:szCs w:val="32"/>
          <w:highlight w:val="none"/>
          <w:u w:val="none" w:color="auto"/>
          <w:lang w:val="en-US" w:eastAsia="zh-CN"/>
        </w:rPr>
      </w:pPr>
      <w:bookmarkStart w:id="8" w:name="_Toc30959"/>
      <w:r>
        <w:rPr>
          <w:rFonts w:hint="eastAsia" w:ascii="楷体_GB2312" w:hAnsi="楷体_GB2312" w:eastAsia="楷体_GB2312" w:cs="楷体_GB2312"/>
          <w:b w:val="0"/>
          <w:bCs/>
          <w:color w:val="auto"/>
          <w:spacing w:val="0"/>
          <w:kern w:val="0"/>
          <w:sz w:val="32"/>
          <w:szCs w:val="32"/>
          <w:highlight w:val="none"/>
          <w:u w:val="none" w:color="auto"/>
          <w:lang w:val="en-US" w:eastAsia="zh-CN"/>
        </w:rPr>
        <w:t>（一）优化</w:t>
      </w:r>
      <w:bookmarkEnd w:id="8"/>
      <w:r>
        <w:rPr>
          <w:rFonts w:hint="eastAsia" w:ascii="楷体_GB2312" w:hAnsi="楷体_GB2312" w:eastAsia="楷体_GB2312" w:cs="楷体_GB2312"/>
          <w:b w:val="0"/>
          <w:bCs/>
          <w:color w:val="auto"/>
          <w:spacing w:val="0"/>
          <w:kern w:val="0"/>
          <w:sz w:val="32"/>
          <w:szCs w:val="32"/>
          <w:highlight w:val="none"/>
          <w:u w:val="none" w:color="auto"/>
          <w:lang w:val="en-US" w:eastAsia="zh-CN"/>
        </w:rPr>
        <w:t>城市空间结构</w:t>
      </w:r>
    </w:p>
    <w:p w14:paraId="650A185D">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落实</w:t>
      </w:r>
      <w:r>
        <w:rPr>
          <w:rFonts w:hint="eastAsia" w:ascii="仿宋_GB2312" w:hAnsi="仿宋_GB2312" w:eastAsia="仿宋_GB2312" w:cs="仿宋_GB2312"/>
          <w:b w:val="0"/>
          <w:bCs/>
          <w:color w:val="auto"/>
          <w:spacing w:val="0"/>
          <w:kern w:val="0"/>
          <w:sz w:val="32"/>
          <w:szCs w:val="32"/>
          <w:highlight w:val="none"/>
          <w:u w:val="none" w:color="auto"/>
          <w:lang w:val="en-US" w:eastAsia="zh-CN"/>
        </w:rPr>
        <w:t>昌平区</w:t>
      </w:r>
      <w:r>
        <w:rPr>
          <w:rFonts w:hint="default" w:ascii="仿宋_GB2312" w:hAnsi="仿宋_GB2312" w:eastAsia="仿宋_GB2312" w:cs="仿宋_GB2312"/>
          <w:b w:val="0"/>
          <w:bCs/>
          <w:color w:val="auto"/>
          <w:spacing w:val="0"/>
          <w:kern w:val="0"/>
          <w:sz w:val="32"/>
          <w:szCs w:val="32"/>
          <w:highlight w:val="none"/>
          <w:u w:val="none" w:color="auto"/>
          <w:lang w:val="en-US" w:eastAsia="zh-CN"/>
        </w:rPr>
        <w:t>战略定位和发展目标，</w:t>
      </w:r>
      <w:r>
        <w:rPr>
          <w:rFonts w:hint="eastAsia" w:ascii="仿宋_GB2312" w:hAnsi="仿宋_GB2312" w:eastAsia="仿宋_GB2312" w:cs="仿宋_GB2312"/>
          <w:b w:val="0"/>
          <w:bCs/>
          <w:color w:val="auto"/>
          <w:spacing w:val="0"/>
          <w:kern w:val="0"/>
          <w:sz w:val="32"/>
          <w:szCs w:val="32"/>
          <w:highlight w:val="none"/>
          <w:u w:val="none" w:color="auto"/>
          <w:lang w:val="en-US" w:eastAsia="zh-CN"/>
        </w:rPr>
        <w:t>优化提升</w:t>
      </w:r>
      <w:r>
        <w:rPr>
          <w:rFonts w:hint="default" w:ascii="仿宋_GB2312" w:hAnsi="仿宋_GB2312" w:eastAsia="仿宋_GB2312" w:cs="仿宋_GB2312"/>
          <w:b w:val="0"/>
          <w:bCs/>
          <w:color w:val="auto"/>
          <w:spacing w:val="0"/>
          <w:kern w:val="0"/>
          <w:sz w:val="32"/>
          <w:szCs w:val="32"/>
          <w:highlight w:val="none"/>
          <w:u w:val="none" w:color="auto"/>
          <w:lang w:val="en-US" w:eastAsia="zh-CN"/>
        </w:rPr>
        <w:t>“</w:t>
      </w:r>
      <w:r>
        <w:rPr>
          <w:rFonts w:hint="eastAsia" w:ascii="仿宋_GB2312" w:hAnsi="仿宋_GB2312" w:eastAsia="仿宋_GB2312" w:cs="仿宋_GB2312"/>
          <w:b w:val="0"/>
          <w:bCs/>
          <w:color w:val="auto"/>
          <w:spacing w:val="0"/>
          <w:kern w:val="0"/>
          <w:sz w:val="32"/>
          <w:szCs w:val="32"/>
          <w:highlight w:val="none"/>
          <w:u w:val="none" w:color="auto"/>
          <w:lang w:val="en-US" w:eastAsia="zh-CN"/>
        </w:rPr>
        <w:t>三廊－两带－四区</w:t>
      </w:r>
      <w:r>
        <w:rPr>
          <w:rFonts w:hint="default" w:ascii="仿宋_GB2312" w:hAnsi="仿宋_GB2312" w:eastAsia="仿宋_GB2312" w:cs="仿宋_GB2312"/>
          <w:b w:val="0"/>
          <w:bCs/>
          <w:color w:val="auto"/>
          <w:spacing w:val="0"/>
          <w:kern w:val="0"/>
          <w:sz w:val="32"/>
          <w:szCs w:val="32"/>
          <w:highlight w:val="none"/>
          <w:u w:val="none" w:color="auto"/>
          <w:lang w:val="en-US" w:eastAsia="zh-CN"/>
        </w:rPr>
        <w:t>”的</w:t>
      </w:r>
      <w:r>
        <w:rPr>
          <w:rFonts w:hint="eastAsia" w:ascii="仿宋_GB2312" w:hAnsi="仿宋_GB2312" w:eastAsia="仿宋_GB2312" w:cs="仿宋_GB2312"/>
          <w:b w:val="0"/>
          <w:bCs/>
          <w:color w:val="auto"/>
          <w:spacing w:val="0"/>
          <w:kern w:val="0"/>
          <w:sz w:val="32"/>
          <w:szCs w:val="32"/>
          <w:highlight w:val="none"/>
          <w:u w:val="none" w:color="auto"/>
          <w:lang w:val="en-US" w:eastAsia="zh-CN"/>
        </w:rPr>
        <w:t>城市更新</w:t>
      </w:r>
      <w:r>
        <w:rPr>
          <w:rFonts w:hint="default" w:ascii="仿宋_GB2312" w:hAnsi="仿宋_GB2312" w:eastAsia="仿宋_GB2312" w:cs="仿宋_GB2312"/>
          <w:b w:val="0"/>
          <w:bCs/>
          <w:color w:val="auto"/>
          <w:spacing w:val="0"/>
          <w:kern w:val="0"/>
          <w:sz w:val="32"/>
          <w:szCs w:val="32"/>
          <w:highlight w:val="none"/>
          <w:u w:val="none" w:color="auto"/>
          <w:lang w:val="en-US" w:eastAsia="zh-CN"/>
        </w:rPr>
        <w:t>空间结构</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p>
    <w:p w14:paraId="02FA542B">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京藏高速（G6）科创走廊</w:t>
      </w:r>
      <w:r>
        <w:rPr>
          <w:rFonts w:hint="eastAsia" w:ascii="仿宋_GB2312" w:hAnsi="仿宋_GB2312" w:eastAsia="仿宋_GB2312" w:cs="仿宋_GB2312"/>
          <w:b/>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打造高能级产业转型示范</w:t>
      </w:r>
      <w:r>
        <w:rPr>
          <w:rFonts w:hint="eastAsia" w:ascii="仿宋_GB2312" w:hAnsi="仿宋_GB2312" w:eastAsia="仿宋_GB2312" w:cs="仿宋_GB2312"/>
          <w:b w:val="0"/>
          <w:bCs/>
          <w:color w:val="auto"/>
          <w:spacing w:val="0"/>
          <w:kern w:val="0"/>
          <w:sz w:val="32"/>
          <w:szCs w:val="32"/>
          <w:highlight w:val="none"/>
          <w:u w:val="none" w:color="auto"/>
          <w:lang w:val="en-US" w:eastAsia="zh-CN"/>
        </w:rPr>
        <w:t>带</w:t>
      </w:r>
      <w:r>
        <w:rPr>
          <w:rFonts w:hint="default" w:ascii="仿宋_GB2312" w:hAnsi="仿宋_GB2312" w:eastAsia="仿宋_GB2312" w:cs="仿宋_GB2312"/>
          <w:b w:val="0"/>
          <w:bCs/>
          <w:color w:val="auto"/>
          <w:spacing w:val="0"/>
          <w:kern w:val="0"/>
          <w:sz w:val="32"/>
          <w:szCs w:val="32"/>
          <w:highlight w:val="none"/>
          <w:u w:val="none" w:color="auto"/>
          <w:lang w:val="en-US" w:eastAsia="zh-CN"/>
        </w:rPr>
        <w:t>。重点推动昌平园中心区、未来</w:t>
      </w:r>
      <w:r>
        <w:rPr>
          <w:rFonts w:hint="eastAsia" w:ascii="仿宋_GB2312" w:hAnsi="仿宋_GB2312" w:eastAsia="仿宋_GB2312" w:cs="仿宋_GB2312"/>
          <w:b w:val="0"/>
          <w:bCs/>
          <w:color w:val="auto"/>
          <w:spacing w:val="0"/>
          <w:kern w:val="0"/>
          <w:sz w:val="32"/>
          <w:szCs w:val="32"/>
          <w:highlight w:val="none"/>
          <w:u w:val="none" w:color="auto"/>
          <w:lang w:val="en-US" w:eastAsia="zh-CN"/>
        </w:rPr>
        <w:t>科学城</w:t>
      </w:r>
      <w:r>
        <w:rPr>
          <w:rFonts w:hint="default" w:ascii="仿宋_GB2312" w:hAnsi="仿宋_GB2312" w:eastAsia="仿宋_GB2312" w:cs="仿宋_GB2312"/>
          <w:b w:val="0"/>
          <w:bCs/>
          <w:color w:val="auto"/>
          <w:spacing w:val="0"/>
          <w:kern w:val="0"/>
          <w:sz w:val="32"/>
          <w:szCs w:val="32"/>
          <w:highlight w:val="none"/>
          <w:u w:val="none" w:color="auto"/>
          <w:lang w:val="en-US" w:eastAsia="zh-CN"/>
        </w:rPr>
        <w:t>、清华南口国重基地、北大马池口片区等范围内老旧厂房更新改造、标准厂房和产业服务设施建设。跨项目、跨区域、组团式推进</w:t>
      </w:r>
      <w:r>
        <w:rPr>
          <w:rFonts w:hint="eastAsia" w:ascii="仿宋_GB2312" w:hAnsi="仿宋_GB2312" w:eastAsia="仿宋_GB2312" w:cs="仿宋_GB2312"/>
          <w:b w:val="0"/>
          <w:bCs/>
          <w:color w:val="auto"/>
          <w:spacing w:val="0"/>
          <w:kern w:val="0"/>
          <w:sz w:val="32"/>
          <w:szCs w:val="32"/>
          <w:highlight w:val="none"/>
          <w:u w:val="none" w:color="auto"/>
          <w:lang w:val="en-US" w:eastAsia="zh-CN"/>
        </w:rPr>
        <w:t>更新</w:t>
      </w:r>
      <w:r>
        <w:rPr>
          <w:rFonts w:hint="default" w:ascii="仿宋_GB2312" w:hAnsi="仿宋_GB2312" w:eastAsia="仿宋_GB2312" w:cs="仿宋_GB2312"/>
          <w:b w:val="0"/>
          <w:bCs/>
          <w:color w:val="auto"/>
          <w:spacing w:val="0"/>
          <w:kern w:val="0"/>
          <w:sz w:val="32"/>
          <w:szCs w:val="32"/>
          <w:highlight w:val="none"/>
          <w:u w:val="none" w:color="auto"/>
          <w:lang w:val="en-US" w:eastAsia="zh-CN"/>
        </w:rPr>
        <w:t>项目实施，引入社会资本和各方力量，深化研城、校城、央城、产城融合</w:t>
      </w:r>
      <w:r>
        <w:rPr>
          <w:rFonts w:hint="eastAsia" w:ascii="仿宋_GB2312" w:hAnsi="仿宋_GB2312" w:eastAsia="仿宋_GB2312" w:cs="仿宋_GB2312"/>
          <w:b w:val="0"/>
          <w:bCs/>
          <w:color w:val="auto"/>
          <w:spacing w:val="0"/>
          <w:kern w:val="0"/>
          <w:sz w:val="32"/>
          <w:szCs w:val="32"/>
          <w:highlight w:val="none"/>
          <w:u w:val="none" w:color="auto"/>
          <w:lang w:val="en-US" w:eastAsia="zh-CN"/>
        </w:rPr>
        <w:t>发展</w:t>
      </w:r>
      <w:r>
        <w:rPr>
          <w:rFonts w:hint="default" w:ascii="仿宋_GB2312" w:hAnsi="仿宋_GB2312" w:eastAsia="仿宋_GB2312" w:cs="仿宋_GB2312"/>
          <w:b w:val="0"/>
          <w:bCs/>
          <w:color w:val="auto"/>
          <w:spacing w:val="0"/>
          <w:kern w:val="0"/>
          <w:sz w:val="32"/>
          <w:szCs w:val="32"/>
          <w:highlight w:val="none"/>
          <w:u w:val="none" w:color="auto"/>
          <w:lang w:val="en-US" w:eastAsia="zh-CN"/>
        </w:rPr>
        <w:t>。</w:t>
      </w:r>
    </w:p>
    <w:p w14:paraId="7B795C60">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京承高速（G45）产业走廊</w:t>
      </w:r>
      <w:r>
        <w:rPr>
          <w:rFonts w:hint="eastAsia" w:ascii="仿宋_GB2312" w:hAnsi="仿宋_GB2312" w:eastAsia="仿宋_GB2312" w:cs="仿宋_GB2312"/>
          <w:b/>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建设央企创新引领、大中小企业融通发展的产业走廊。聚焦先进能源、未来健康和央企集群，</w:t>
      </w:r>
      <w:r>
        <w:rPr>
          <w:rFonts w:hint="eastAsia" w:ascii="仿宋_GB2312" w:hAnsi="仿宋_GB2312" w:eastAsia="仿宋_GB2312" w:cs="仿宋_GB2312"/>
          <w:b w:val="0"/>
          <w:bCs/>
          <w:color w:val="auto"/>
          <w:spacing w:val="0"/>
          <w:kern w:val="0"/>
          <w:sz w:val="32"/>
          <w:szCs w:val="32"/>
          <w:highlight w:val="none"/>
          <w:u w:val="none" w:color="auto"/>
          <w:lang w:val="en-US" w:eastAsia="zh-CN"/>
        </w:rPr>
        <w:t>通过盘活沿线产业用地，推进老旧厂区改造，</w:t>
      </w:r>
      <w:r>
        <w:rPr>
          <w:rFonts w:hint="default" w:ascii="仿宋_GB2312" w:hAnsi="仿宋_GB2312" w:eastAsia="仿宋_GB2312" w:cs="仿宋_GB2312"/>
          <w:b w:val="0"/>
          <w:bCs/>
          <w:color w:val="auto"/>
          <w:spacing w:val="0"/>
          <w:kern w:val="0"/>
          <w:sz w:val="32"/>
          <w:szCs w:val="32"/>
          <w:highlight w:val="none"/>
          <w:u w:val="none" w:color="auto"/>
          <w:lang w:val="en-US" w:eastAsia="zh-CN"/>
        </w:rPr>
        <w:t>串联央企创新创业集聚区、合成生物制造产业集聚区、“未来美城”美丽健康产业集聚区及北七家工业区等产业组团，培育产业链完备、发展动能充沛的产业生态。</w:t>
      </w:r>
    </w:p>
    <w:p w14:paraId="31DC585D">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京北生态走廊</w:t>
      </w:r>
      <w:r>
        <w:rPr>
          <w:rFonts w:hint="eastAsia" w:ascii="仿宋_GB2312" w:hAnsi="仿宋_GB2312" w:eastAsia="仿宋_GB2312" w:cs="仿宋_GB2312"/>
          <w:b/>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严格管控更新行为，完善空间秩序，</w:t>
      </w:r>
      <w:r>
        <w:rPr>
          <w:rFonts w:hint="eastAsia" w:ascii="仿宋_GB2312" w:hAnsi="仿宋_GB2312" w:eastAsia="仿宋_GB2312" w:cs="仿宋_GB2312"/>
          <w:b w:val="0"/>
          <w:bCs/>
          <w:color w:val="auto"/>
          <w:spacing w:val="0"/>
          <w:kern w:val="0"/>
          <w:sz w:val="32"/>
          <w:szCs w:val="32"/>
          <w:highlight w:val="none"/>
          <w:u w:val="none" w:color="auto"/>
          <w:lang w:val="en-US" w:eastAsia="zh-CN"/>
        </w:rPr>
        <w:t>加强生态修复和保护，</w:t>
      </w:r>
      <w:r>
        <w:rPr>
          <w:rFonts w:hint="default" w:ascii="仿宋_GB2312" w:hAnsi="仿宋_GB2312" w:eastAsia="仿宋_GB2312" w:cs="仿宋_GB2312"/>
          <w:b w:val="0"/>
          <w:bCs/>
          <w:color w:val="auto"/>
          <w:spacing w:val="0"/>
          <w:kern w:val="0"/>
          <w:sz w:val="32"/>
          <w:szCs w:val="32"/>
          <w:highlight w:val="none"/>
          <w:u w:val="none" w:color="auto"/>
          <w:lang w:val="en-US" w:eastAsia="zh-CN"/>
        </w:rPr>
        <w:t>确保视廊通透性与建筑风貌协调</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强化文化展示功能，整合沿线文化遗产打造标志性节点与展示廊道</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提升国际交往能级，结合小汤山温泉、未来科学城等嵌入高端会议与科技文化交流空间</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优化生态空间品质，完善公共空间与慢行环境，构建彰显古都风韵、服务国际交往的城市形象</w:t>
      </w:r>
      <w:r>
        <w:rPr>
          <w:rFonts w:hint="eastAsia" w:ascii="仿宋_GB2312" w:hAnsi="仿宋_GB2312" w:eastAsia="仿宋_GB2312" w:cs="仿宋_GB2312"/>
          <w:b w:val="0"/>
          <w:bCs/>
          <w:color w:val="auto"/>
          <w:spacing w:val="0"/>
          <w:kern w:val="0"/>
          <w:sz w:val="32"/>
          <w:szCs w:val="32"/>
          <w:highlight w:val="none"/>
          <w:u w:val="none" w:color="auto"/>
          <w:lang w:val="en-US" w:eastAsia="zh-CN"/>
        </w:rPr>
        <w:t>廊道</w:t>
      </w:r>
      <w:r>
        <w:rPr>
          <w:rFonts w:hint="default" w:ascii="仿宋_GB2312" w:hAnsi="仿宋_GB2312" w:eastAsia="仿宋_GB2312" w:cs="仿宋_GB2312"/>
          <w:b w:val="0"/>
          <w:bCs/>
          <w:color w:val="auto"/>
          <w:spacing w:val="0"/>
          <w:kern w:val="0"/>
          <w:sz w:val="32"/>
          <w:szCs w:val="32"/>
          <w:highlight w:val="none"/>
          <w:u w:val="none" w:color="auto"/>
          <w:lang w:val="en-US" w:eastAsia="zh-CN"/>
        </w:rPr>
        <w:t>。</w:t>
      </w:r>
    </w:p>
    <w:p w14:paraId="72FE75BE">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bCs w:val="0"/>
          <w:color w:val="auto"/>
          <w:spacing w:val="0"/>
          <w:kern w:val="0"/>
          <w:sz w:val="32"/>
          <w:szCs w:val="32"/>
          <w:highlight w:val="none"/>
          <w:u w:val="none" w:color="auto"/>
          <w:lang w:val="en-US" w:eastAsia="zh-CN"/>
        </w:rPr>
        <w:t>山前文商旅融合发展带</w:t>
      </w:r>
      <w:r>
        <w:rPr>
          <w:rFonts w:hint="default" w:ascii="仿宋_GB2312" w:hAnsi="仿宋_GB2312" w:eastAsia="仿宋_GB2312" w:cs="仿宋_GB2312"/>
          <w:b/>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依托西山永定河文化带、长城文化带、大运河文化带交汇优势，串联西山</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十三陵生态文化资源，构建“文化+生态+消费”的活力</w:t>
      </w:r>
      <w:r>
        <w:rPr>
          <w:rFonts w:hint="eastAsia" w:ascii="仿宋_GB2312" w:hAnsi="仿宋_GB2312" w:eastAsia="仿宋_GB2312" w:cs="仿宋_GB2312"/>
          <w:b w:val="0"/>
          <w:bCs/>
          <w:color w:val="auto"/>
          <w:spacing w:val="0"/>
          <w:kern w:val="0"/>
          <w:sz w:val="32"/>
          <w:szCs w:val="32"/>
          <w:highlight w:val="none"/>
          <w:u w:val="none" w:color="auto"/>
          <w:lang w:val="en-US" w:eastAsia="zh-CN"/>
        </w:rPr>
        <w:t>发展带，盘活沿线文旅资源</w:t>
      </w:r>
      <w:r>
        <w:rPr>
          <w:rFonts w:hint="default" w:ascii="仿宋_GB2312" w:hAnsi="仿宋_GB2312" w:eastAsia="仿宋_GB2312" w:cs="仿宋_GB2312"/>
          <w:b w:val="0"/>
          <w:bCs/>
          <w:color w:val="auto"/>
          <w:spacing w:val="0"/>
          <w:kern w:val="0"/>
          <w:sz w:val="32"/>
          <w:szCs w:val="32"/>
          <w:highlight w:val="none"/>
          <w:u w:val="none" w:color="auto"/>
          <w:lang w:val="en-US" w:eastAsia="zh-CN"/>
        </w:rPr>
        <w:t>。活化南口老城工业遗产与关沟古道线性空间，植入研学体验、生态康养等新业态。</w:t>
      </w:r>
    </w:p>
    <w:p w14:paraId="5E10E78E">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bCs w:val="0"/>
          <w:color w:val="auto"/>
          <w:spacing w:val="0"/>
          <w:kern w:val="0"/>
          <w:sz w:val="32"/>
          <w:szCs w:val="32"/>
          <w:highlight w:val="none"/>
          <w:u w:val="none" w:color="auto"/>
          <w:lang w:val="en-US" w:eastAsia="zh-CN"/>
        </w:rPr>
        <w:t>北清</w:t>
      </w:r>
      <w:r>
        <w:rPr>
          <w:rFonts w:hint="default" w:ascii="仿宋_GB2312" w:hAnsi="仿宋_GB2312" w:eastAsia="仿宋_GB2312" w:cs="仿宋_GB2312"/>
          <w:b/>
          <w:bCs w:val="0"/>
          <w:color w:val="auto"/>
          <w:spacing w:val="0"/>
          <w:kern w:val="0"/>
          <w:sz w:val="32"/>
          <w:szCs w:val="32"/>
          <w:highlight w:val="none"/>
          <w:u w:val="none" w:color="auto"/>
          <w:lang w:val="en-US" w:eastAsia="zh-CN"/>
        </w:rPr>
        <w:t>路创新发展</w:t>
      </w:r>
      <w:r>
        <w:rPr>
          <w:rFonts w:hint="eastAsia" w:ascii="仿宋_GB2312" w:hAnsi="仿宋_GB2312" w:eastAsia="仿宋_GB2312" w:cs="仿宋_GB2312"/>
          <w:b/>
          <w:bCs w:val="0"/>
          <w:color w:val="auto"/>
          <w:spacing w:val="0"/>
          <w:kern w:val="0"/>
          <w:sz w:val="32"/>
          <w:szCs w:val="32"/>
          <w:highlight w:val="none"/>
          <w:u w:val="none" w:color="auto"/>
          <w:lang w:val="en-US" w:eastAsia="zh-CN"/>
        </w:rPr>
        <w:t>带。</w:t>
      </w:r>
      <w:r>
        <w:rPr>
          <w:rFonts w:hint="default" w:ascii="仿宋_GB2312" w:hAnsi="仿宋_GB2312" w:eastAsia="仿宋_GB2312" w:cs="仿宋_GB2312"/>
          <w:b w:val="0"/>
          <w:bCs/>
          <w:color w:val="auto"/>
          <w:spacing w:val="0"/>
          <w:kern w:val="0"/>
          <w:sz w:val="32"/>
          <w:szCs w:val="32"/>
          <w:highlight w:val="none"/>
          <w:u w:val="none" w:color="auto"/>
          <w:lang w:val="en-US" w:eastAsia="zh-CN"/>
        </w:rPr>
        <w:t>聚焦低效产业地块转型升级，推动沿线老旧厂房、研发楼宇功能重构与集约利用，强化未来科学城、海淀山后与顺义空港的产业链协同。深度融合温榆河生态资源，系统实施滨水空间修复与绿道贯通工程，嵌入科技服务、文化交往等复合功能，构建蓝绿交织的科创服务</w:t>
      </w:r>
      <w:r>
        <w:rPr>
          <w:rFonts w:hint="eastAsia" w:ascii="仿宋_GB2312" w:hAnsi="仿宋_GB2312" w:eastAsia="仿宋_GB2312" w:cs="仿宋_GB2312"/>
          <w:b w:val="0"/>
          <w:bCs/>
          <w:color w:val="auto"/>
          <w:spacing w:val="0"/>
          <w:kern w:val="0"/>
          <w:sz w:val="32"/>
          <w:szCs w:val="32"/>
          <w:highlight w:val="none"/>
          <w:u w:val="none" w:color="auto"/>
          <w:lang w:val="en-US" w:eastAsia="zh-CN"/>
        </w:rPr>
        <w:t>带</w:t>
      </w:r>
      <w:r>
        <w:rPr>
          <w:rFonts w:hint="default" w:ascii="仿宋_GB2312" w:hAnsi="仿宋_GB2312" w:eastAsia="仿宋_GB2312" w:cs="仿宋_GB2312"/>
          <w:b w:val="0"/>
          <w:bCs/>
          <w:color w:val="auto"/>
          <w:spacing w:val="0"/>
          <w:kern w:val="0"/>
          <w:sz w:val="32"/>
          <w:szCs w:val="32"/>
          <w:highlight w:val="none"/>
          <w:u w:val="none" w:color="auto"/>
          <w:lang w:val="en-US" w:eastAsia="zh-CN"/>
        </w:rPr>
        <w:t>。</w:t>
      </w:r>
    </w:p>
    <w:p w14:paraId="530DB8B2">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回天</w:t>
      </w:r>
      <w:r>
        <w:rPr>
          <w:rFonts w:hint="eastAsia" w:ascii="仿宋_GB2312" w:hAnsi="仿宋_GB2312" w:eastAsia="仿宋_GB2312" w:cs="仿宋_GB2312"/>
          <w:b/>
          <w:bCs w:val="0"/>
          <w:color w:val="auto"/>
          <w:spacing w:val="0"/>
          <w:kern w:val="0"/>
          <w:sz w:val="32"/>
          <w:szCs w:val="32"/>
          <w:highlight w:val="none"/>
          <w:u w:val="none" w:color="auto"/>
          <w:lang w:val="en-US" w:eastAsia="zh-CN"/>
        </w:rPr>
        <w:t>地区。</w:t>
      </w:r>
      <w:r>
        <w:rPr>
          <w:rFonts w:hint="default" w:ascii="仿宋_GB2312" w:hAnsi="仿宋_GB2312" w:eastAsia="仿宋_GB2312" w:cs="仿宋_GB2312"/>
          <w:b w:val="0"/>
          <w:bCs/>
          <w:color w:val="auto"/>
          <w:spacing w:val="0"/>
          <w:kern w:val="0"/>
          <w:sz w:val="32"/>
          <w:szCs w:val="32"/>
          <w:highlight w:val="none"/>
          <w:u w:val="none" w:color="auto"/>
          <w:lang w:val="en-US" w:eastAsia="zh-CN"/>
        </w:rPr>
        <w:t>立足超大型社区更新实践，打造基层治理与民生服务标杆。深化“回天大脑”数字赋能，系统推进完整社区建设，补足养老托育、体育休闲等嵌入式设施。创新“政府+市场+居民”共建机制，推广“昌盛模式”2.0版。通过社区微更新与智慧化治理双轨并进，实现从“居住聚集地”向“全龄友好城”的转型跃升。</w:t>
      </w:r>
    </w:p>
    <w:p w14:paraId="4E0CACEF">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未来科学城</w:t>
      </w:r>
      <w:r>
        <w:rPr>
          <w:rFonts w:hint="eastAsia" w:ascii="仿宋_GB2312" w:hAnsi="仿宋_GB2312" w:eastAsia="仿宋_GB2312" w:cs="仿宋_GB2312"/>
          <w:b/>
          <w:bCs w:val="0"/>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以“科学+花园城”理念为核心，推动产业园区空间要素向综合型、高品质的产城融合转变，构建以“城”为中心，产、绿、文、乡、人融合共生的有机体。</w:t>
      </w:r>
      <w:r>
        <w:rPr>
          <w:rFonts w:hint="eastAsia" w:ascii="仿宋_GB2312" w:hAnsi="仿宋_GB2312" w:eastAsia="仿宋_GB2312" w:cs="仿宋_GB2312"/>
          <w:b w:val="0"/>
          <w:bCs/>
          <w:color w:val="auto"/>
          <w:spacing w:val="0"/>
          <w:kern w:val="0"/>
          <w:sz w:val="32"/>
          <w:szCs w:val="32"/>
          <w:highlight w:val="none"/>
          <w:u w:val="none" w:color="auto"/>
          <w:lang w:val="en-US" w:eastAsia="zh-CN"/>
        </w:rPr>
        <w:t>重点盘活利用红线内外、地上地下闲置空间和低效资源，持续推动老旧厂房更新改造、标准厂房和产业共性服务设施建设。</w:t>
      </w:r>
      <w:r>
        <w:rPr>
          <w:rFonts w:hint="default" w:ascii="仿宋_GB2312" w:hAnsi="仿宋_GB2312" w:eastAsia="仿宋_GB2312" w:cs="仿宋_GB2312"/>
          <w:b w:val="0"/>
          <w:bCs/>
          <w:color w:val="auto"/>
          <w:spacing w:val="0"/>
          <w:kern w:val="0"/>
          <w:sz w:val="32"/>
          <w:szCs w:val="32"/>
          <w:highlight w:val="none"/>
          <w:u w:val="none" w:color="auto"/>
          <w:lang w:val="en-US" w:eastAsia="zh-CN"/>
        </w:rPr>
        <w:t>创新城乡统筹路径，落实二绿地区减量腾退任务，推进城中村改造</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p>
    <w:p w14:paraId="19F4C83C">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bCs w:val="0"/>
          <w:color w:val="auto"/>
          <w:spacing w:val="0"/>
          <w:kern w:val="0"/>
          <w:sz w:val="32"/>
          <w:szCs w:val="32"/>
          <w:highlight w:val="none"/>
          <w:u w:val="none" w:color="auto"/>
          <w:lang w:val="en-US" w:eastAsia="zh-CN"/>
        </w:rPr>
        <w:t>昌平</w:t>
      </w:r>
      <w:r>
        <w:rPr>
          <w:rFonts w:hint="eastAsia" w:ascii="仿宋_GB2312" w:hAnsi="仿宋_GB2312" w:eastAsia="仿宋_GB2312" w:cs="仿宋_GB2312"/>
          <w:b/>
          <w:bCs w:val="0"/>
          <w:color w:val="auto"/>
          <w:spacing w:val="0"/>
          <w:kern w:val="0"/>
          <w:sz w:val="32"/>
          <w:szCs w:val="32"/>
          <w:highlight w:val="none"/>
          <w:u w:val="none" w:color="auto"/>
          <w:lang w:val="en-US" w:eastAsia="zh-CN"/>
        </w:rPr>
        <w:t>新城。</w:t>
      </w:r>
      <w:r>
        <w:rPr>
          <w:rFonts w:hint="eastAsia" w:ascii="仿宋_GB2312" w:hAnsi="仿宋_GB2312" w:eastAsia="仿宋_GB2312" w:cs="仿宋_GB2312"/>
          <w:b w:val="0"/>
          <w:bCs/>
          <w:color w:val="auto"/>
          <w:spacing w:val="0"/>
          <w:kern w:val="0"/>
          <w:sz w:val="32"/>
          <w:szCs w:val="32"/>
          <w:highlight w:val="none"/>
          <w:u w:val="none" w:color="auto"/>
          <w:lang w:val="en-US" w:eastAsia="zh-CN"/>
        </w:rPr>
        <w:t>强化综合服务功能，激发产业动能，促进新老城区协同联动发展，实现“城市锈带”向“未来秀带”的华丽转变。重点推动昌平老城有机更新与品质升级，发掘古城文脉，打造高品质生产生活空间。</w:t>
      </w:r>
      <w:r>
        <w:rPr>
          <w:rFonts w:hint="default" w:ascii="仿宋_GB2312" w:hAnsi="仿宋_GB2312" w:eastAsia="仿宋_GB2312" w:cs="仿宋_GB2312"/>
          <w:b w:val="0"/>
          <w:bCs/>
          <w:color w:val="auto"/>
          <w:spacing w:val="0"/>
          <w:kern w:val="0"/>
          <w:sz w:val="32"/>
          <w:szCs w:val="32"/>
          <w:highlight w:val="none"/>
          <w:u w:val="none" w:color="auto"/>
          <w:lang w:val="en-US" w:eastAsia="zh-CN"/>
        </w:rPr>
        <w:t>以永安古城更新为触媒，推动传统商业设施升级与文化空间活化，植入新消费场景。严格保护文物遗存与历史肌理，通过街巷整治、第五立面优化重塑风貌标识</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构建“慢行网络+口袋公园”的宜居系统，实现老城活力复兴与文化魅力共生。</w:t>
      </w:r>
    </w:p>
    <w:p w14:paraId="6050825E">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3"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bCs w:val="0"/>
          <w:color w:val="auto"/>
          <w:spacing w:val="0"/>
          <w:kern w:val="0"/>
          <w:sz w:val="32"/>
          <w:szCs w:val="32"/>
          <w:highlight w:val="none"/>
          <w:u w:val="none" w:color="auto"/>
          <w:lang w:val="en-US" w:eastAsia="zh-CN"/>
        </w:rPr>
        <w:t>北部生态涵养区。</w:t>
      </w:r>
      <w:r>
        <w:rPr>
          <w:rFonts w:hint="default" w:ascii="仿宋_GB2312" w:hAnsi="仿宋_GB2312" w:eastAsia="仿宋_GB2312" w:cs="仿宋_GB2312"/>
          <w:b w:val="0"/>
          <w:bCs/>
          <w:color w:val="auto"/>
          <w:spacing w:val="0"/>
          <w:kern w:val="0"/>
          <w:sz w:val="32"/>
          <w:szCs w:val="32"/>
          <w:highlight w:val="none"/>
          <w:u w:val="none" w:color="auto"/>
          <w:lang w:val="en-US" w:eastAsia="zh-CN"/>
        </w:rPr>
        <w:t>阳坊镇、流村镇、崔村镇、兴寿镇、延寿镇</w:t>
      </w:r>
      <w:r>
        <w:rPr>
          <w:rFonts w:hint="eastAsia" w:ascii="仿宋_GB2312" w:hAnsi="仿宋_GB2312" w:eastAsia="仿宋_GB2312" w:cs="仿宋_GB2312"/>
          <w:b w:val="0"/>
          <w:bCs/>
          <w:color w:val="auto"/>
          <w:spacing w:val="0"/>
          <w:kern w:val="0"/>
          <w:sz w:val="32"/>
          <w:szCs w:val="32"/>
          <w:highlight w:val="none"/>
          <w:u w:val="none" w:color="auto"/>
          <w:lang w:val="en-US" w:eastAsia="zh-CN"/>
        </w:rPr>
        <w:t>等</w:t>
      </w:r>
      <w:r>
        <w:rPr>
          <w:rFonts w:hint="default" w:ascii="仿宋_GB2312" w:hAnsi="仿宋_GB2312" w:eastAsia="仿宋_GB2312" w:cs="仿宋_GB2312"/>
          <w:b w:val="0"/>
          <w:bCs/>
          <w:color w:val="auto"/>
          <w:spacing w:val="0"/>
          <w:kern w:val="0"/>
          <w:sz w:val="32"/>
          <w:szCs w:val="32"/>
          <w:highlight w:val="none"/>
          <w:u w:val="none" w:color="auto"/>
          <w:lang w:val="en-US" w:eastAsia="zh-CN"/>
        </w:rPr>
        <w:t>镇中心区，立足资源禀赋，分类引导存量空间提质增效</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强化市政基础设施与公共服务短板的系统性完善，构建全域覆盖的完整社区网络</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推动低效用地转型与产业升级，培育康养休闲、生态文旅、科创服务等特色产业体系</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p>
    <w:p w14:paraId="52FEF138">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楷体_GB2312" w:hAnsi="楷体_GB2312" w:eastAsia="楷体_GB2312" w:cs="楷体_GB2312"/>
          <w:b w:val="0"/>
          <w:bCs/>
          <w:color w:val="auto"/>
          <w:spacing w:val="0"/>
          <w:kern w:val="0"/>
          <w:sz w:val="32"/>
          <w:szCs w:val="32"/>
          <w:highlight w:val="none"/>
          <w:u w:val="none" w:color="auto"/>
          <w:lang w:val="en-US" w:eastAsia="zh-CN"/>
        </w:rPr>
      </w:pPr>
      <w:bookmarkStart w:id="9" w:name="_Toc13417"/>
      <w:r>
        <w:rPr>
          <w:rFonts w:hint="eastAsia" w:ascii="楷体_GB2312" w:hAnsi="楷体_GB2312" w:eastAsia="楷体_GB2312" w:cs="楷体_GB2312"/>
          <w:b w:val="0"/>
          <w:bCs/>
          <w:color w:val="auto"/>
          <w:spacing w:val="0"/>
          <w:kern w:val="0"/>
          <w:sz w:val="32"/>
          <w:szCs w:val="32"/>
          <w:highlight w:val="none"/>
          <w:u w:val="none" w:color="auto"/>
          <w:lang w:val="en-US" w:eastAsia="zh-CN"/>
        </w:rPr>
        <w:t>（二）推动综合化城市更新组团实施</w:t>
      </w:r>
      <w:bookmarkEnd w:id="9"/>
    </w:p>
    <w:p w14:paraId="614479A0">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落实北京市关于综合化城市更新组团的整体部署，以打造职住商服平衡活力中心为目标，通过留、改、拆、补等多种更新改造方式，对社区、街区、片区等存量资源相对集中成片的区域实施一体化更新，妥善处理人地产城关系，更加注重群众和企业需求，实现空间资源精准配置、功能复合和品质提升。</w:t>
      </w:r>
    </w:p>
    <w:p w14:paraId="71B959CD">
      <w:pPr>
        <w:pStyle w:val="2"/>
        <w:rPr>
          <w:rFonts w:hint="eastAsia" w:ascii="Times New Roman" w:hAnsi="Times New Roman" w:eastAsia="黑体" w:cs="仿宋_GB2312"/>
          <w:b w:val="0"/>
          <w:bCs/>
          <w:color w:val="auto"/>
          <w:spacing w:val="0"/>
          <w:kern w:val="44"/>
          <w:sz w:val="32"/>
          <w:szCs w:val="32"/>
          <w:highlight w:val="none"/>
          <w:u w:val="none" w:color="auto"/>
          <w:lang w:val="en-US" w:eastAsia="zh-CN"/>
        </w:rPr>
      </w:pPr>
      <w:r>
        <w:rPr>
          <w:b w:val="0"/>
          <w:bCs/>
          <w:sz w:val="32"/>
          <w:szCs w:val="32"/>
        </w:rPr>
        <mc:AlternateContent>
          <mc:Choice Requires="wps">
            <w:drawing>
              <wp:inline distT="0" distB="0" distL="114300" distR="114300">
                <wp:extent cx="5144135" cy="2283460"/>
                <wp:effectExtent l="4445" t="4445" r="13970" b="17145"/>
                <wp:docPr id="2" name="文本框 2"/>
                <wp:cNvGraphicFramePr/>
                <a:graphic xmlns:a="http://schemas.openxmlformats.org/drawingml/2006/main">
                  <a:graphicData uri="http://schemas.microsoft.com/office/word/2010/wordprocessingShape">
                    <wps:wsp>
                      <wps:cNvSpPr txBox="1"/>
                      <wps:spPr>
                        <a:xfrm>
                          <a:off x="1556385" y="2093595"/>
                          <a:ext cx="5144135" cy="22834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9E64CF0">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eastAsia"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重点任务1：推动综合化城市更新组团实施</w:t>
                            </w:r>
                          </w:p>
                          <w:p w14:paraId="589C0525">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eastAsia="仿宋_GB2312" w:cs="仿宋_GB2312"/>
                                <w:color w:val="000000"/>
                                <w:kern w:val="0"/>
                                <w:sz w:val="32"/>
                                <w:szCs w:val="32"/>
                                <w:highlight w:val="none"/>
                                <w:lang w:val="en-US" w:eastAsia="zh-CN" w:bidi="ar"/>
                              </w:rPr>
                            </w:pPr>
                            <w:r>
                              <w:rPr>
                                <w:rFonts w:hint="eastAsia" w:ascii="仿宋_GB2312" w:eastAsia="仿宋_GB2312" w:cs="仿宋_GB2312"/>
                                <w:color w:val="000000"/>
                                <w:kern w:val="0"/>
                                <w:sz w:val="32"/>
                                <w:szCs w:val="32"/>
                                <w:highlight w:val="none"/>
                                <w:lang w:val="en-US" w:eastAsia="zh-CN" w:bidi="ar"/>
                              </w:rPr>
                              <w:t>以昌平老城、南口镇、沙河镇、马池口镇、北七家镇、东小口镇等6个综合化城市更新组团为重点，在片区策划基础上，创新土地供应方式，以打造职住商服平衡活力中心为目标，推动社区、街区、片区等实施一体化更新。</w:t>
                            </w:r>
                          </w:p>
                        </w:txbxContent>
                      </wps:txbx>
                      <wps:bodyPr rot="0" spcFirstLastPara="0" vertOverflow="overflow" horzOverflow="overflow" vert="horz" wrap="square" lIns="90000" tIns="45720" rIns="91440" bIns="45720" numCol="1" spcCol="0" rtlCol="0" fromWordArt="0" anchor="t" anchorCtr="0" forceAA="0" compatLnSpc="1">
                        <a:noAutofit/>
                      </wps:bodyPr>
                    </wps:wsp>
                  </a:graphicData>
                </a:graphic>
              </wp:inline>
            </w:drawing>
          </mc:Choice>
          <mc:Fallback>
            <w:pict>
              <v:shape id="_x0000_s1026" o:spid="_x0000_s1026" o:spt="202" type="#_x0000_t202" style="height:179.8pt;width:405.05pt;" fillcolor="#FFFFFF [3201]" filled="t" stroked="t" coordsize="21600,21600" o:gfxdata="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cSyarVAAAABQEAAA8AAAAAAAAAAQAgAAAAIgAAAGRycy9kb3ducmV2LnhtbFBLAQIU&#10;ABQAAAAIAIdO4kBZzOMyaAIAAMQEAAAOAAAAAAAAAAEAIAAAACQBAABkcnMvZTJvRG9jLnhtbFBL&#10;BQYAAAAABgAGAFkBAAD+BQAAAAA=&#10;">
                <v:fill on="t" focussize="0,0"/>
                <v:stroke weight="0.5pt" color="#000000 [3204]" joinstyle="round"/>
                <v:imagedata o:title=""/>
                <o:lock v:ext="edit" aspectratio="f"/>
                <v:textbox inset="2.5mm,1.27mm,2.54mm,1.27mm">
                  <w:txbxContent>
                    <w:p w14:paraId="09E64CF0">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eastAsia"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重点任务1：推动综合化城市更新组团实施</w:t>
                      </w:r>
                    </w:p>
                    <w:p w14:paraId="589C0525">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eastAsia="仿宋_GB2312" w:cs="仿宋_GB2312"/>
                          <w:color w:val="000000"/>
                          <w:kern w:val="0"/>
                          <w:sz w:val="32"/>
                          <w:szCs w:val="32"/>
                          <w:highlight w:val="none"/>
                          <w:lang w:val="en-US" w:eastAsia="zh-CN" w:bidi="ar"/>
                        </w:rPr>
                      </w:pPr>
                      <w:r>
                        <w:rPr>
                          <w:rFonts w:hint="eastAsia" w:ascii="仿宋_GB2312" w:eastAsia="仿宋_GB2312" w:cs="仿宋_GB2312"/>
                          <w:color w:val="000000"/>
                          <w:kern w:val="0"/>
                          <w:sz w:val="32"/>
                          <w:szCs w:val="32"/>
                          <w:highlight w:val="none"/>
                          <w:lang w:val="en-US" w:eastAsia="zh-CN" w:bidi="ar"/>
                        </w:rPr>
                        <w:t>以昌平老城、南口镇、沙河镇、马池口镇、北七家镇、东小口镇等6个综合化城市更新组团为重点，在片区策划基础上，创新土地供应方式，以打造职住商服平衡活力中心为目标，推动社区、街区、片区等实施一体化更新。</w:t>
                      </w:r>
                    </w:p>
                  </w:txbxContent>
                </v:textbox>
                <w10:wrap type="none"/>
                <w10:anchorlock/>
              </v:shape>
            </w:pict>
          </mc:Fallback>
        </mc:AlternateContent>
      </w:r>
    </w:p>
    <w:p w14:paraId="62E1AAB1">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10" w:name="_Toc6282"/>
      <w:r>
        <w:rPr>
          <w:rFonts w:hint="eastAsia" w:ascii="Times New Roman" w:hAnsi="Times New Roman" w:eastAsia="黑体" w:cs="仿宋_GB2312"/>
          <w:b w:val="0"/>
          <w:bCs/>
          <w:color w:val="auto"/>
          <w:spacing w:val="0"/>
          <w:kern w:val="44"/>
          <w:sz w:val="32"/>
          <w:szCs w:val="32"/>
          <w:highlight w:val="none"/>
          <w:u w:val="none" w:color="auto"/>
          <w:lang w:val="en-US" w:eastAsia="zh-CN"/>
        </w:rPr>
        <w:t>四、营造高品质的居住空间</w:t>
      </w:r>
      <w:bookmarkEnd w:id="10"/>
    </w:p>
    <w:p w14:paraId="5449AAB7">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楷体_GB2312" w:hAnsi="楷体_GB2312" w:eastAsia="楷体_GB2312" w:cs="楷体_GB2312"/>
          <w:b w:val="0"/>
          <w:bCs/>
          <w:color w:val="auto"/>
          <w:spacing w:val="0"/>
          <w:kern w:val="0"/>
          <w:sz w:val="32"/>
          <w:szCs w:val="32"/>
          <w:highlight w:val="none"/>
          <w:u w:val="none" w:color="auto"/>
          <w:lang w:val="en-US" w:eastAsia="zh-CN"/>
        </w:rPr>
      </w:pPr>
      <w:bookmarkStart w:id="11" w:name="_Toc16682"/>
      <w:r>
        <w:rPr>
          <w:rFonts w:hint="eastAsia" w:ascii="楷体_GB2312" w:hAnsi="楷体_GB2312" w:eastAsia="楷体_GB2312" w:cs="楷体_GB2312"/>
          <w:b w:val="0"/>
          <w:bCs/>
          <w:color w:val="auto"/>
          <w:spacing w:val="0"/>
          <w:kern w:val="0"/>
          <w:sz w:val="32"/>
          <w:szCs w:val="32"/>
          <w:highlight w:val="none"/>
          <w:u w:val="none" w:color="auto"/>
          <w:lang w:val="en-US" w:eastAsia="zh-CN"/>
        </w:rPr>
        <w:t>（一）持续推进危旧楼房改建工作</w:t>
      </w:r>
      <w:bookmarkEnd w:id="11"/>
    </w:p>
    <w:p w14:paraId="3C18BC5D">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Arial" w:hAnsi="Arial" w:eastAsia="黑体" w:cs="Times New Roman"/>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稳妥推进危险住房改造，优先实施存在安全隐患、群众改造需求强烈的项目。持续摸排危险住宅楼房、非成套住宅，强化风险动态管控，D级危旧住房实现动态清零。“十五五”期间，启动实施城镇危旧房改造270套。</w:t>
      </w:r>
    </w:p>
    <w:p w14:paraId="5645AF8E">
      <w:pPr>
        <w:pStyle w:val="2"/>
        <w:rPr>
          <w:rFonts w:hint="eastAsia" w:ascii="Arial" w:hAnsi="Arial" w:eastAsia="黑体" w:cs="Times New Roman"/>
          <w:b w:val="0"/>
          <w:bCs/>
          <w:color w:val="auto"/>
          <w:spacing w:val="0"/>
          <w:kern w:val="0"/>
          <w:sz w:val="32"/>
          <w:szCs w:val="32"/>
          <w:highlight w:val="none"/>
          <w:u w:val="none" w:color="auto"/>
          <w:lang w:val="en-US" w:eastAsia="zh-CN"/>
        </w:rPr>
      </w:pPr>
      <w:r>
        <w:rPr>
          <w:b w:val="0"/>
          <w:bCs/>
          <w:sz w:val="32"/>
          <w:szCs w:val="32"/>
        </w:rPr>
        <mc:AlternateContent>
          <mc:Choice Requires="wps">
            <w:drawing>
              <wp:inline distT="0" distB="0" distL="114300" distR="114300">
                <wp:extent cx="5264150" cy="914400"/>
                <wp:effectExtent l="4445" t="4445" r="8255" b="14605"/>
                <wp:docPr id="3" name="文本框 3"/>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05FC554">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eastAsia"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重点任务2：推进危旧楼自主更新</w:t>
                            </w:r>
                          </w:p>
                          <w:p w14:paraId="104F040B">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color w:val="auto"/>
                                <w:spacing w:val="0"/>
                                <w:kern w:val="0"/>
                                <w:sz w:val="32"/>
                                <w:szCs w:val="32"/>
                                <w:highlight w:val="none"/>
                                <w:u w:val="none" w:color="auto"/>
                                <w:lang w:val="en-US" w:eastAsia="zh-CN"/>
                              </w:rPr>
                              <w:t>鼓励改建资金采取成本共担模式，多主体、多种方式筹集解决，支持群众自主出资实施改造。灵活解决居民安置、房屋产权问题，加强危旧楼房改建方案会商机制。总结南环里甲25号楼危旧楼房改造经验，加大区属产权危险住宅楼改造推进力度，推进沙阳路7、8号楼，南口兴隆街简易楼1、2号楼改造。</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kRgFfVAAAABQEAAA8AAAAAAAAAAQAgAAAAIgAAAGRycy9kb3ducmV2LnhtbFBLAQIU&#10;ABQAAAAIAIdO4kCtX3HoaAIAAMMEAAAOAAAAAAAAAAEAIAAAACQBAABkcnMvZTJvRG9jLnhtbFBL&#10;BQYAAAAABgAGAFkBAAD+BQAAAAA=&#10;">
                <v:fill on="t" focussize="0,0"/>
                <v:stroke weight="0.5pt" color="#000000 [3204]" joinstyle="round"/>
                <v:imagedata o:title=""/>
                <o:lock v:ext="edit" aspectratio="f"/>
                <v:textbox inset="2.5mm,1.27mm,2.54mm,1.27mm" style="mso-fit-shape-to-text:t;">
                  <w:txbxContent>
                    <w:p w14:paraId="205FC554">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eastAsia"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重点任务2：推进危旧楼自主更新</w:t>
                      </w:r>
                    </w:p>
                    <w:p w14:paraId="104F040B">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color w:val="auto"/>
                          <w:spacing w:val="0"/>
                          <w:kern w:val="0"/>
                          <w:sz w:val="32"/>
                          <w:szCs w:val="32"/>
                          <w:highlight w:val="none"/>
                          <w:u w:val="none" w:color="auto"/>
                          <w:lang w:val="en-US" w:eastAsia="zh-CN"/>
                        </w:rPr>
                        <w:t>鼓励改建资金采取成本共担模式，多主体、多种方式筹集解决，支持群众自主出资实施改造。灵活解决居民安置、房屋产权问题，加强危旧楼房改建方案会商机制。总结南环里甲25号楼危旧楼房改造经验，加大区属产权危险住宅楼改造推进力度，推进沙阳路7、8号楼，南口兴隆街简易楼1、2号楼改造。</w:t>
                      </w:r>
                    </w:p>
                  </w:txbxContent>
                </v:textbox>
                <w10:wrap type="none"/>
                <w10:anchorlock/>
              </v:shape>
            </w:pict>
          </mc:Fallback>
        </mc:AlternateContent>
      </w:r>
    </w:p>
    <w:p w14:paraId="4134DA75">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楷体_GB2312" w:hAnsi="楷体_GB2312" w:eastAsia="楷体_GB2312" w:cs="楷体_GB2312"/>
          <w:b w:val="0"/>
          <w:bCs/>
          <w:color w:val="auto"/>
          <w:spacing w:val="0"/>
          <w:kern w:val="0"/>
          <w:sz w:val="32"/>
          <w:szCs w:val="32"/>
          <w:highlight w:val="none"/>
          <w:u w:val="none" w:color="auto"/>
          <w:lang w:val="en-US" w:eastAsia="zh-CN"/>
        </w:rPr>
      </w:pPr>
      <w:bookmarkStart w:id="12" w:name="_Toc15917"/>
      <w:r>
        <w:rPr>
          <w:rFonts w:hint="eastAsia" w:ascii="楷体_GB2312" w:hAnsi="楷体_GB2312" w:eastAsia="楷体_GB2312" w:cs="楷体_GB2312"/>
          <w:b w:val="0"/>
          <w:bCs/>
          <w:color w:val="auto"/>
          <w:spacing w:val="0"/>
          <w:kern w:val="0"/>
          <w:sz w:val="32"/>
          <w:szCs w:val="32"/>
          <w:highlight w:val="none"/>
          <w:u w:val="none" w:color="auto"/>
          <w:lang w:val="en-US" w:eastAsia="zh-CN"/>
        </w:rPr>
        <w:t>（二）启动新一轮老旧小区改造</w:t>
      </w:r>
      <w:bookmarkStart w:id="13" w:name="OLE_LINK9"/>
      <w:r>
        <w:rPr>
          <w:rFonts w:hint="eastAsia" w:ascii="楷体_GB2312" w:hAnsi="楷体_GB2312" w:eastAsia="楷体_GB2312" w:cs="楷体_GB2312"/>
          <w:b w:val="0"/>
          <w:bCs/>
          <w:color w:val="auto"/>
          <w:spacing w:val="0"/>
          <w:kern w:val="0"/>
          <w:sz w:val="32"/>
          <w:szCs w:val="32"/>
          <w:highlight w:val="none"/>
          <w:u w:val="none" w:color="auto"/>
          <w:lang w:val="en-US" w:eastAsia="zh-CN"/>
        </w:rPr>
        <w:t>工作</w:t>
      </w:r>
      <w:bookmarkEnd w:id="12"/>
    </w:p>
    <w:bookmarkEnd w:id="13"/>
    <w:p w14:paraId="21C10857">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推动老旧小区基础改造、功能改善、品质提升。</w:t>
      </w:r>
      <w:r>
        <w:rPr>
          <w:rFonts w:hint="default" w:ascii="仿宋_GB2312" w:hAnsi="仿宋_GB2312" w:eastAsia="仿宋_GB2312" w:cs="仿宋_GB2312"/>
          <w:b w:val="0"/>
          <w:bCs/>
          <w:color w:val="auto"/>
          <w:spacing w:val="0"/>
          <w:kern w:val="0"/>
          <w:sz w:val="32"/>
          <w:szCs w:val="32"/>
          <w:highlight w:val="none"/>
          <w:u w:val="none" w:color="auto"/>
          <w:lang w:val="en-US" w:eastAsia="zh-CN"/>
        </w:rPr>
        <w:t>全力消除安全隐患</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更新改造小区老化管线管道，整治楼栋内人行走道、排风烟道、通风井道等。完善小区停车、充电、消防、通信等配套基础设施，增设助餐、家政等公共服务设施。</w:t>
      </w:r>
    </w:p>
    <w:p w14:paraId="2A4C44EA">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推动小区及周边环境整治。重点治理背街小巷、闲置边角地及沿街公共区域环境脏乱问题。推进公共空间品质提升，因地制宜开展“拆围透绿”，增设便民服务设施，优化居民活动空间</w:t>
      </w:r>
      <w:r>
        <w:rPr>
          <w:rFonts w:hint="default" w:ascii="仿宋_GB2312" w:hAnsi="仿宋_GB2312" w:eastAsia="仿宋_GB2312" w:cs="仿宋_GB2312"/>
          <w:b w:val="0"/>
          <w:bCs/>
          <w:color w:val="auto"/>
          <w:spacing w:val="0"/>
          <w:kern w:val="0"/>
          <w:sz w:val="32"/>
          <w:szCs w:val="32"/>
          <w:highlight w:val="none"/>
          <w:u w:val="none" w:color="auto"/>
          <w:lang w:val="en-US" w:eastAsia="zh-CN"/>
        </w:rPr>
        <w:t>。</w:t>
      </w:r>
      <w:r>
        <w:rPr>
          <w:rFonts w:hint="eastAsia" w:ascii="仿宋_GB2312" w:hAnsi="仿宋_GB2312" w:eastAsia="仿宋_GB2312" w:cs="仿宋_GB2312"/>
          <w:b w:val="0"/>
          <w:bCs/>
          <w:color w:val="auto"/>
          <w:spacing w:val="0"/>
          <w:kern w:val="0"/>
          <w:sz w:val="32"/>
          <w:szCs w:val="32"/>
          <w:highlight w:val="none"/>
          <w:u w:val="none" w:color="auto"/>
          <w:lang w:val="en-US" w:eastAsia="zh-CN"/>
        </w:rPr>
        <w:t>因地制宜推进小区公共空间适老化、适儿化改造，改造提升公共场所无障碍设施点位80处。</w:t>
      </w:r>
    </w:p>
    <w:p w14:paraId="47F563B8">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Arial" w:hAnsi="Arial" w:eastAsia="黑体" w:cs="Times New Roman"/>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大力推进老楼加装电梯和住宅老旧电梯更新。</w:t>
      </w:r>
      <w:r>
        <w:rPr>
          <w:rFonts w:hint="default" w:ascii="仿宋_GB2312" w:hAnsi="仿宋_GB2312" w:eastAsia="仿宋_GB2312" w:cs="仿宋_GB2312"/>
          <w:b w:val="0"/>
          <w:bCs/>
          <w:color w:val="auto"/>
          <w:spacing w:val="0"/>
          <w:kern w:val="0"/>
          <w:sz w:val="32"/>
          <w:szCs w:val="32"/>
          <w:highlight w:val="none"/>
          <w:u w:val="none" w:color="auto"/>
          <w:lang w:val="en-US" w:eastAsia="zh-CN"/>
        </w:rPr>
        <w:t>重点针对使用超15年、故障率高的老旧电梯建立更新清单，按时完成项目申报，用好国家支持住宅老旧电梯更新政策，大力推进批复项目实施。</w:t>
      </w:r>
    </w:p>
    <w:p w14:paraId="5EBEFBB3">
      <w:pPr>
        <w:pStyle w:val="2"/>
        <w:rPr>
          <w:rFonts w:hint="eastAsia" w:ascii="Arial" w:hAnsi="Arial" w:eastAsia="黑体" w:cs="Times New Roman"/>
          <w:b w:val="0"/>
          <w:bCs/>
          <w:color w:val="auto"/>
          <w:spacing w:val="0"/>
          <w:kern w:val="0"/>
          <w:sz w:val="32"/>
          <w:szCs w:val="32"/>
          <w:highlight w:val="none"/>
          <w:u w:val="none" w:color="auto"/>
          <w:lang w:val="en-US" w:eastAsia="zh-CN"/>
        </w:rPr>
      </w:pPr>
      <w:r>
        <w:rPr>
          <w:b w:val="0"/>
          <w:bCs/>
          <w:sz w:val="32"/>
          <w:szCs w:val="32"/>
        </w:rPr>
        <mc:AlternateContent>
          <mc:Choice Requires="wps">
            <w:drawing>
              <wp:inline distT="0" distB="0" distL="114300" distR="114300">
                <wp:extent cx="5264150" cy="1812290"/>
                <wp:effectExtent l="4445" t="4445" r="19685" b="12065"/>
                <wp:docPr id="5" name="文本框 5"/>
                <wp:cNvGraphicFramePr/>
                <a:graphic xmlns:a="http://schemas.openxmlformats.org/drawingml/2006/main">
                  <a:graphicData uri="http://schemas.microsoft.com/office/word/2010/wordprocessingShape">
                    <wps:wsp>
                      <wps:cNvSpPr txBox="1"/>
                      <wps:spPr>
                        <a:xfrm>
                          <a:off x="1556385" y="2093595"/>
                          <a:ext cx="5264150" cy="18122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572695">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重点任务3：城镇老旧小区综合整治</w:t>
                            </w:r>
                          </w:p>
                          <w:p w14:paraId="581F84E2">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结合昌平区老旧小区实际，按照市级要求，统筹推进“十五五”期间符合条件的老旧小区实施改造。优先改造市政设施存在安全隐患，居民改造意愿强烈的小区。结合改造同步完善小区长效管理机制，注重引导居民参与和监督，共同维护改造成果。</w:t>
                            </w:r>
                          </w:p>
                        </w:txbxContent>
                      </wps:txbx>
                      <wps:bodyPr rot="0" spcFirstLastPara="0" vertOverflow="overflow" horzOverflow="overflow" vert="horz" wrap="square" lIns="90000" tIns="45720" rIns="91440" bIns="45720" numCol="1" spcCol="0" rtlCol="0" fromWordArt="0" anchor="t" anchorCtr="0" forceAA="0" compatLnSpc="1">
                        <a:noAutofit/>
                      </wps:bodyPr>
                    </wps:wsp>
                  </a:graphicData>
                </a:graphic>
              </wp:inline>
            </w:drawing>
          </mc:Choice>
          <mc:Fallback>
            <w:pict>
              <v:shape id="_x0000_s1026" o:spid="_x0000_s1026" o:spt="202" type="#_x0000_t202" style="height:142.7pt;width:414.5pt;" fillcolor="#FFFFFF [3201]" filled="t" stroked="t" coordsize="21600,21600" o:gfxdata="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NB3061QAAAAUBAAAPAAAAAAAAAAEAIAAAACIAAABkcnMvZG93bnJldi54bWxQSwEC&#10;FAAUAAAACACHTuJAjrYTyWkCAADEBAAADgAAAAAAAAABACAAAAAkAQAAZHJzL2Uyb0RvYy54bWxQ&#10;SwUGAAAAAAYABgBZAQAA/wUAAAAA&#10;">
                <v:fill on="t" focussize="0,0"/>
                <v:stroke weight="0.5pt" color="#000000 [3204]" joinstyle="round"/>
                <v:imagedata o:title=""/>
                <o:lock v:ext="edit" aspectratio="f"/>
                <v:textbox inset="2.5mm,1.27mm,2.54mm,1.27mm">
                  <w:txbxContent>
                    <w:p w14:paraId="43572695">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重点任务3：城镇老旧小区综合整治</w:t>
                      </w:r>
                    </w:p>
                    <w:p w14:paraId="581F84E2">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结合昌平区老旧小区实际，按照市级要求，统筹推进“十五五”期间符合条件的老旧小区实施改造。优先改造市政设施存在安全隐患，居民改造意愿强烈的小区。结合改造同步完善小区长效管理机制，注重引导居民参与和监督，共同维护改造成果。</w:t>
                      </w:r>
                    </w:p>
                  </w:txbxContent>
                </v:textbox>
                <w10:wrap type="none"/>
                <w10:anchorlock/>
              </v:shape>
            </w:pict>
          </mc:Fallback>
        </mc:AlternateContent>
      </w:r>
    </w:p>
    <w:p w14:paraId="2F145D12">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Arial" w:hAnsi="Arial" w:eastAsia="黑体" w:cs="Times New Roman"/>
          <w:b w:val="0"/>
          <w:bCs/>
          <w:color w:val="auto"/>
          <w:spacing w:val="0"/>
          <w:kern w:val="0"/>
          <w:sz w:val="32"/>
          <w:szCs w:val="32"/>
          <w:highlight w:val="none"/>
          <w:u w:val="none" w:color="auto"/>
          <w:lang w:val="en-US" w:eastAsia="zh-CN"/>
        </w:rPr>
      </w:pPr>
      <w:bookmarkStart w:id="14" w:name="_Toc16560"/>
      <w:r>
        <w:rPr>
          <w:rFonts w:hint="eastAsia" w:ascii="Arial" w:hAnsi="Arial" w:eastAsia="黑体" w:cs="Times New Roman"/>
          <w:b w:val="0"/>
          <w:bCs/>
          <w:color w:val="auto"/>
          <w:spacing w:val="0"/>
          <w:kern w:val="0"/>
          <w:sz w:val="32"/>
          <w:szCs w:val="32"/>
          <w:highlight w:val="none"/>
          <w:u w:val="none" w:color="auto"/>
          <w:lang w:val="en-US" w:eastAsia="zh-CN"/>
        </w:rPr>
        <w:t>（三）大力推进完整社区建设</w:t>
      </w:r>
      <w:bookmarkEnd w:id="14"/>
    </w:p>
    <w:p w14:paraId="2BD87966">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进完整社区建设，建设一站式综合服务中心，增补养老驿站、普惠托育点、社区卫生服务站等功能。利用边角地、闲置用房改建社区口袋公园、多功能运动场、儿童游乐区及邻里交往空间，满足居民休闲、健身、社交及应急避险需求。</w:t>
      </w:r>
    </w:p>
    <w:p w14:paraId="6F74A45C">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按照“缺什么补什么”原则精准补建便民商业服务设施。结合利用腾退空间和地下空间等资源，布设便民服务设施，补齐便民服务消费短板，打造全龄友好型品质生活圈。推广“社区商业+”，支持与公共服务场所、物业服务设施、绿地公园、体育场所等融合发展。</w:t>
      </w:r>
    </w:p>
    <w:p w14:paraId="585D3A95">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bookmarkStart w:id="15" w:name="OLE_LINK34"/>
      <w:r>
        <w:rPr>
          <w:rFonts w:hint="eastAsia" w:ascii="仿宋_GB2312" w:hAnsi="仿宋_GB2312" w:eastAsia="仿宋_GB2312" w:cs="仿宋_GB2312"/>
          <w:b w:val="0"/>
          <w:bCs/>
          <w:color w:val="auto"/>
          <w:spacing w:val="0"/>
          <w:kern w:val="0"/>
          <w:sz w:val="32"/>
          <w:szCs w:val="32"/>
          <w:highlight w:val="none"/>
          <w:u w:val="none" w:color="auto"/>
          <w:lang w:val="en-US" w:eastAsia="zh-CN"/>
        </w:rPr>
        <w:t>加强</w:t>
      </w:r>
      <w:bookmarkStart w:id="16" w:name="OLE_LINK2"/>
      <w:r>
        <w:rPr>
          <w:rFonts w:hint="eastAsia" w:ascii="仿宋_GB2312" w:hAnsi="仿宋_GB2312" w:eastAsia="仿宋_GB2312" w:cs="仿宋_GB2312"/>
          <w:b w:val="0"/>
          <w:bCs/>
          <w:color w:val="auto"/>
          <w:spacing w:val="0"/>
          <w:kern w:val="0"/>
          <w:sz w:val="32"/>
          <w:szCs w:val="32"/>
          <w:highlight w:val="none"/>
          <w:u w:val="none" w:color="auto"/>
          <w:lang w:val="en-US" w:eastAsia="zh-CN"/>
        </w:rPr>
        <w:t>社区嵌入式服务设施建设</w:t>
      </w:r>
      <w:bookmarkEnd w:id="16"/>
      <w:r>
        <w:rPr>
          <w:rFonts w:hint="eastAsia" w:ascii="仿宋_GB2312" w:hAnsi="仿宋_GB2312" w:eastAsia="仿宋_GB2312" w:cs="仿宋_GB2312"/>
          <w:b w:val="0"/>
          <w:bCs/>
          <w:color w:val="auto"/>
          <w:spacing w:val="0"/>
          <w:kern w:val="0"/>
          <w:sz w:val="32"/>
          <w:szCs w:val="32"/>
          <w:highlight w:val="none"/>
          <w:u w:val="none" w:color="auto"/>
          <w:lang w:val="en-US" w:eastAsia="zh-CN"/>
        </w:rPr>
        <w:t>。通过补建、购置、置换、租赁、改造等方式，合理配置养老服务、婴幼儿托育、家政便民、文体休闲等多种服务功能。鼓励社区嵌入式服务规范化、规模化、品牌化发展。加强政府补助资金对社区嵌入式服务工程的支持力度。</w:t>
      </w:r>
    </w:p>
    <w:p w14:paraId="7DE3D7C7">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935" distR="114935">
                <wp:extent cx="5264150" cy="914400"/>
                <wp:effectExtent l="4445" t="4445" r="19685" b="10795"/>
                <wp:docPr id="7" name="文本框 7"/>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E31679">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重点任务4：大力推进完整社区建设</w:t>
                            </w:r>
                          </w:p>
                          <w:p w14:paraId="1ED27287">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推进完整社区建设，优先选择人口密集、设施短板突出、治理需求迫切的社区建设完整社区试点。“十五五”期间，推动实施不少于10个完整社区建设典型示范案例。</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36/vXW8CAADR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1DE31679">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重点任务4：大力推进完整社区建设</w:t>
                      </w:r>
                    </w:p>
                    <w:p w14:paraId="1ED27287">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推进完整社区建设，优先选择人口密集、设施短板突出、治理需求迫切的社区建设完整社区试点。“十五五”期间，推动实施不少于10个完整社区建设典型示范案例。</w:t>
                      </w:r>
                    </w:p>
                  </w:txbxContent>
                </v:textbox>
                <w10:wrap type="none"/>
                <w10:anchorlock/>
              </v:shape>
            </w:pict>
          </mc:Fallback>
        </mc:AlternateContent>
      </w:r>
    </w:p>
    <w:p w14:paraId="37798FAC">
      <w:pPr>
        <w:keepNext w:val="0"/>
        <w:keepLines w:val="0"/>
        <w:pageBreakBefore w:val="0"/>
        <w:widowControl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全面实施物业服务质量提升行动。深化党建引领下的社区多元共治模式，培育社区社会组织与志愿服务队伍，推动物业服务标准化与基层治理深度融合，形成共建共治共享的社区治理新格局。</w:t>
      </w:r>
    </w:p>
    <w:p w14:paraId="66134D0B">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6" name="文本框 6"/>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4314D2">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重点任务5：物业服务质量提升</w:t>
                            </w:r>
                          </w:p>
                          <w:p w14:paraId="7BF39DB0">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ascii="仿宋_GB2312" w:hAnsi="仿宋_GB2312" w:eastAsia="仿宋_GB2312" w:cs="仿宋_GB2312"/>
                                <w:b w:val="0"/>
                                <w:bCs w:val="0"/>
                                <w:color w:val="auto"/>
                                <w:spacing w:val="0"/>
                                <w:kern w:val="0"/>
                                <w:sz w:val="28"/>
                                <w:szCs w:val="28"/>
                                <w:highlight w:val="yellow"/>
                                <w:u w:val="none" w:color="auto"/>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梳理未覆盖物业服务小区，分类引导向市场化物业服务转型，通过“先尝后买”“基础保障+按需点单”等多元化服务方案，推进老旧小区引入市场化物业服务，推动老旧小区物业服务全覆盖。</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GBaRIm4CAADR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kRgFfVAAAABQEAAA8AAAAAAAAAAQAgAAAAIgAAAGRycy9kb3ducmV2Lnht&#10;bFBLAQIUABQAAAAIAIdO4kAYFpEibgIAANEEAAAOAAAAAAAAAAEAIAAAACQBAABkcnMvZTJvRG9j&#10;LnhtbFBLBQYAAAAABgAGAFkBAAAEBgAAAAA=&#10;">
                <v:fill on="t" focussize="0,0"/>
                <v:stroke weight="0.5pt" color="#000000 [3204]" joinstyle="round"/>
                <v:imagedata o:title=""/>
                <o:lock v:ext="edit" aspectratio="f"/>
                <v:textbox inset="2.5mm,1.27mm,2.54mm,1.27mm" style="mso-fit-shape-to-text:t;">
                  <w:txbxContent>
                    <w:p w14:paraId="6E4314D2">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重点任务5：物业服务质量提升</w:t>
                      </w:r>
                    </w:p>
                    <w:p w14:paraId="7BF39DB0">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ascii="仿宋_GB2312" w:hAnsi="仿宋_GB2312" w:eastAsia="仿宋_GB2312" w:cs="仿宋_GB2312"/>
                          <w:b w:val="0"/>
                          <w:bCs w:val="0"/>
                          <w:color w:val="auto"/>
                          <w:spacing w:val="0"/>
                          <w:kern w:val="0"/>
                          <w:sz w:val="28"/>
                          <w:szCs w:val="28"/>
                          <w:highlight w:val="yellow"/>
                          <w:u w:val="none" w:color="auto"/>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梳理未覆盖物业服务小区，分类引导向市场化物业服务转型，通过“先尝后买”“基础保障+按需点单”等多元化服务方案，推进老旧小区引入市场化物业服务，推动老旧小区物业服务全覆盖。</w:t>
                      </w:r>
                    </w:p>
                  </w:txbxContent>
                </v:textbox>
                <w10:wrap type="none"/>
                <w10:anchorlock/>
              </v:shape>
            </w:pict>
          </mc:Fallback>
        </mc:AlternateContent>
      </w:r>
    </w:p>
    <w:bookmarkEnd w:id="15"/>
    <w:p w14:paraId="5AD443FF">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17" w:name="_Toc29173"/>
      <w:r>
        <w:rPr>
          <w:rFonts w:hint="eastAsia" w:ascii="Times New Roman" w:hAnsi="Times New Roman" w:eastAsia="黑体" w:cs="仿宋_GB2312"/>
          <w:b w:val="0"/>
          <w:bCs/>
          <w:color w:val="auto"/>
          <w:spacing w:val="0"/>
          <w:kern w:val="44"/>
          <w:sz w:val="32"/>
          <w:szCs w:val="32"/>
          <w:highlight w:val="none"/>
          <w:u w:val="none" w:color="auto"/>
          <w:lang w:val="en-US" w:eastAsia="zh-CN"/>
        </w:rPr>
        <w:t>五、激发科创引领的发展新动能</w:t>
      </w:r>
      <w:bookmarkEnd w:id="17"/>
    </w:p>
    <w:p w14:paraId="605B5328">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18" w:name="_Toc870"/>
      <w:r>
        <w:rPr>
          <w:rFonts w:hint="eastAsia" w:ascii="Arial" w:hAnsi="Arial" w:eastAsia="黑体" w:cs="Times New Roman"/>
          <w:b w:val="0"/>
          <w:bCs/>
          <w:color w:val="auto"/>
          <w:spacing w:val="0"/>
          <w:kern w:val="0"/>
          <w:sz w:val="32"/>
          <w:szCs w:val="32"/>
          <w:highlight w:val="none"/>
          <w:u w:val="none" w:color="auto"/>
          <w:lang w:val="en-US" w:eastAsia="zh-CN"/>
        </w:rPr>
        <w:t>（一）推动老旧厂房、产业园区提质增效</w:t>
      </w:r>
      <w:bookmarkEnd w:id="18"/>
    </w:p>
    <w:p w14:paraId="03C0C407">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围绕昌平区产业发展需求，推动老旧厂房功能转换、业态升级、活力提升。支持利用老旧厂房开展先进制造业项目建设，引导文化旅游、数字创意等轻量化业态有机植入，实现存量产业空间功能转型。</w:t>
      </w:r>
    </w:p>
    <w:p w14:paraId="4AC6B2BE">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8" name="文本框 8"/>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55E5430">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重点任务6：推动老旧厂房、产业园区改造提升</w:t>
                            </w:r>
                          </w:p>
                          <w:p w14:paraId="3D1952E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依托G6科创走廊、G45产业走廊、北清路沿线，聚焦沙河、南口、马池口、北七家等区域的闲置工业用地，推动产业空间提质增效，推动10处老旧厂房和1处低效产业园区更新。推动昌平园中心区、未来科学城等重点片区内老旧厂房更新改造，“一企一策”主动谋划更新项目。</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RGAV9UAAAAFAQAADwAAAAAAAAABACAAAAAiAAAAZHJzL2Rvd25yZXYueG1sUEsBAhQA&#10;FAAAAAgAh07iQPH4fH5nAgAAwwQAAA4AAAAAAAAAAQAgAAAAJAEAAGRycy9lMm9Eb2MueG1sUEsF&#10;BgAAAAAGAAYAWQEAAP0FAAAAAA==&#10;">
                <v:fill on="t" focussize="0,0"/>
                <v:stroke weight="0.5pt" color="#000000 [3204]" joinstyle="round"/>
                <v:imagedata o:title=""/>
                <o:lock v:ext="edit" aspectratio="f"/>
                <v:textbox inset="2.5mm,1.27mm,2.54mm,1.27mm" style="mso-fit-shape-to-text:t;">
                  <w:txbxContent>
                    <w:p w14:paraId="455E5430">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重点任务6：推动老旧厂房、产业园区改造提升</w:t>
                      </w:r>
                    </w:p>
                    <w:p w14:paraId="3D1952E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依托G6科创走廊、G45产业走廊、北清路沿线，聚焦沙河、南口、马池口、北七家等区域的闲置工业用地，推动产业空间提质增效，推动10处老旧厂房和1处低效产业园区更新。推动昌平园中心区、未来科学城等重点片区内老旧厂房更新改造，“一企一策”主动谋划更新项目。</w:t>
                      </w:r>
                    </w:p>
                  </w:txbxContent>
                </v:textbox>
                <w10:wrap type="none"/>
                <w10:anchorlock/>
              </v:shape>
            </w:pict>
          </mc:Fallback>
        </mc:AlternateContent>
      </w:r>
    </w:p>
    <w:p w14:paraId="6A0A8980">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19" w:name="_Toc12357"/>
      <w:r>
        <w:rPr>
          <w:rFonts w:hint="eastAsia" w:ascii="Arial" w:hAnsi="Arial" w:eastAsia="黑体" w:cs="Times New Roman"/>
          <w:b w:val="0"/>
          <w:bCs/>
          <w:color w:val="auto"/>
          <w:spacing w:val="0"/>
          <w:kern w:val="0"/>
          <w:sz w:val="32"/>
          <w:szCs w:val="32"/>
          <w:highlight w:val="none"/>
          <w:u w:val="none" w:color="auto"/>
          <w:lang w:val="en-US" w:eastAsia="zh-CN"/>
        </w:rPr>
        <w:t>（二）实施老旧低效楼宇更新改造</w:t>
      </w:r>
      <w:bookmarkEnd w:id="19"/>
    </w:p>
    <w:p w14:paraId="10BFE092">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持续完善老旧低效楼宇基础台账，结合周边问题需求进行项目谋划、储备，鼓励楼宇与周边环境及设施协同更新。消除楼宇安全隐患，同步实施节能绿色化改造，优化硬件设施，提升物业管理和服务能力，完善楼宇配套设施。鼓励改造补充城市运行保障服务群体宿舍和公寓，促进职住平衡。</w:t>
      </w:r>
    </w:p>
    <w:p w14:paraId="1AA9EBAF">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9" name="文本框 9"/>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5F44964">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重点任务7：老旧低效楼宇更新改造</w:t>
                            </w:r>
                          </w:p>
                          <w:p w14:paraId="19C62769">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间，推动44万平方米老旧低效楼宇更新改造。优先推动闲置空置的区属行政事业单位、区属国企产权楼宇更新改造。推动存量空间资源能用尽用，强化复合利用，落地符合首都功能定位和区域发展定位的产业。支持物业权利人自主更新，引导社会资本积极参与老旧低效楼宇更新。</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kRgFfVAAAABQEAAA8AAAAAAAAAAQAgAAAAIgAAAGRycy9kb3ducmV2LnhtbFBLAQIU&#10;ABQAAAAIAIdO4kClU1NraAIAAMMEAAAOAAAAAAAAAAEAIAAAACQBAABkcnMvZTJvRG9jLnhtbFBL&#10;BQYAAAAABgAGAFkBAAD+BQAAAAA=&#10;">
                <v:fill on="t" focussize="0,0"/>
                <v:stroke weight="0.5pt" color="#000000 [3204]" joinstyle="round"/>
                <v:imagedata o:title=""/>
                <o:lock v:ext="edit" aspectratio="f"/>
                <v:textbox inset="2.5mm,1.27mm,2.54mm,1.27mm" style="mso-fit-shape-to-text:t;">
                  <w:txbxContent>
                    <w:p w14:paraId="15F44964">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重点任务7：老旧低效楼宇更新改造</w:t>
                      </w:r>
                    </w:p>
                    <w:p w14:paraId="19C62769">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间，推动44万平方米老旧低效楼宇更新改造。优先推动闲置空置的区属行政事业单位、区属国企产权楼宇更新改造。推动存量空间资源能用尽用，强化复合利用，落地符合首都功能定位和区域发展定位的产业。支持物业权利人自主更新，引导社会资本积极参与老旧低效楼宇更新。</w:t>
                      </w:r>
                    </w:p>
                  </w:txbxContent>
                </v:textbox>
                <w10:wrap type="none"/>
                <w10:anchorlock/>
              </v:shape>
            </w:pict>
          </mc:Fallback>
        </mc:AlternateContent>
      </w:r>
    </w:p>
    <w:p w14:paraId="78A29814">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0" w:name="_Toc21314"/>
      <w:r>
        <w:rPr>
          <w:rFonts w:hint="eastAsia" w:ascii="Arial" w:hAnsi="Arial" w:eastAsia="黑体" w:cs="Times New Roman"/>
          <w:b w:val="0"/>
          <w:bCs/>
          <w:color w:val="auto"/>
          <w:spacing w:val="0"/>
          <w:kern w:val="0"/>
          <w:sz w:val="32"/>
          <w:szCs w:val="32"/>
          <w:highlight w:val="none"/>
          <w:u w:val="none" w:color="auto"/>
          <w:lang w:val="en-US" w:eastAsia="zh-CN"/>
        </w:rPr>
        <w:t>（三）推进传统商业街区升级改造</w:t>
      </w:r>
      <w:bookmarkEnd w:id="20"/>
    </w:p>
    <w:p w14:paraId="711A8A01">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高起点改造和新建一批环境优美、文化浓郁、多业融合的特色街区，推动昌平新城商圈、龙德商圈、龙域商圈、龙泽商圈等提档升级。推动商业综合体向集购物、休闲、娱乐、社交等多功能的生活方式中心转型，打造“主题+”的沉浸式商业街区。推动百货店、购物中心、连锁超市等传统商业设施升级改造，优化交通组织，强化景观特色，完善停车系统。鼓励运营主体根据消费需求和变化趋势，调整业态结构，打造消费新业态、新模式、新场景。</w:t>
      </w:r>
    </w:p>
    <w:p w14:paraId="3146E81F">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0" name="文本框 10"/>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417186E">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重点任务8：传统商业设施、街区升级改造</w:t>
                            </w:r>
                          </w:p>
                          <w:p w14:paraId="74D79F9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研究推动昌平商圈品质提升，加强特色商业街区建设，通过城市更新推动八达岭奥莱二期项目建设，提升消费体验。持续对接商业运营企业，新建一批高质量商业项目，推动昌平首创奥莱项目落地建设。</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RGAV9UAAAAFAQAADwAAAAAAAAABACAAAAAiAAAAZHJzL2Rvd25yZXYueG1sUEsBAhQA&#10;FAAAAAgAh07iQPmIKwtnAgAAxQQAAA4AAAAAAAAAAQAgAAAAJAEAAGRycy9lMm9Eb2MueG1sUEsF&#10;BgAAAAAGAAYAWQEAAP0FAAAAAA==&#10;">
                <v:fill on="t" focussize="0,0"/>
                <v:stroke weight="0.5pt" color="#000000 [3204]" joinstyle="round"/>
                <v:imagedata o:title=""/>
                <o:lock v:ext="edit" aspectratio="f"/>
                <v:textbox inset="2.5mm,1.27mm,2.54mm,1.27mm" style="mso-fit-shape-to-text:t;">
                  <w:txbxContent>
                    <w:p w14:paraId="2417186E">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重点任务8：传统商业设施、街区升级改造</w:t>
                      </w:r>
                    </w:p>
                    <w:p w14:paraId="74D79F9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研究推动昌平商圈品质提升，加强特色商业街区建设，通过城市更新推动八达岭奥莱二期项目建设，提升消费体验。持续对接商业运营企业，新建一批高质量商业项目，推动昌平首创奥莱项目落地建设。</w:t>
                      </w:r>
                    </w:p>
                  </w:txbxContent>
                </v:textbox>
                <w10:wrap type="none"/>
                <w10:anchorlock/>
              </v:shape>
            </w:pict>
          </mc:Fallback>
        </mc:AlternateContent>
      </w:r>
    </w:p>
    <w:p w14:paraId="4F1DA922">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1" w:name="_Toc17898"/>
      <w:r>
        <w:rPr>
          <w:rFonts w:hint="eastAsia" w:ascii="Arial" w:hAnsi="Arial" w:eastAsia="黑体" w:cs="Times New Roman"/>
          <w:b w:val="0"/>
          <w:bCs/>
          <w:color w:val="auto"/>
          <w:spacing w:val="0"/>
          <w:kern w:val="0"/>
          <w:sz w:val="32"/>
          <w:szCs w:val="32"/>
          <w:highlight w:val="none"/>
          <w:u w:val="none" w:color="auto"/>
          <w:lang w:val="en-US" w:eastAsia="zh-CN"/>
        </w:rPr>
        <w:t>（四）加快推动城市绿色发展和数字化转型</w:t>
      </w:r>
      <w:bookmarkEnd w:id="21"/>
    </w:p>
    <w:p w14:paraId="66D0D1FF">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yellow"/>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进既有建筑绿色低碳改造试点，引导社会资本参与节能绿色化改造。推动老旧厂房、建筑光伏应用改造，实施光伏屋顶一体化应用，探索“光伏+移动充电”模式，提升老旧小区充电便利性。深化城市更新智慧赋能提质增效，改造建设一批高品质智慧社区，按需配置、优化升级社区数字服务能力，发展智慧物业、智慧停车。城镇房屋基础信息数字化率达到95%。加强城市更新与美丽城市建设协调衔接，建立可持续的城市更新模式。</w:t>
      </w:r>
    </w:p>
    <w:p w14:paraId="1F908620">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1" name="文本框 11"/>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8F485D">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重点任务9：既有建筑节能绿色化改造</w:t>
                            </w:r>
                          </w:p>
                          <w:p w14:paraId="383EFCD1">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推动20万平方米既有建筑节能改造，推动既有建筑供热智能化改造，完成市级相关任务指标要求。推动永安热力供热厂、清华南口国重基地等项目按照绿色建筑标准进行改造。</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kRgFfVAAAABQEAAA8AAAAAAAAAAQAgAAAAIgAAAGRycy9kb3ducmV2Lnht&#10;bFBLAQIUABQAAAAIAIdO4kADS9SbbgIAANMEAAAOAAAAAAAAAAEAIAAAACQBAABkcnMvZTJvRG9j&#10;LnhtbFBLBQYAAAAABgAGAFkBAAAEBgAAAAA=&#10;">
                <v:fill on="t" focussize="0,0"/>
                <v:stroke weight="0.5pt" color="#000000 [3204]" joinstyle="round"/>
                <v:imagedata o:title=""/>
                <o:lock v:ext="edit" aspectratio="f"/>
                <v:textbox inset="2.5mm,1.27mm,2.54mm,1.27mm" style="mso-fit-shape-to-text:t;">
                  <w:txbxContent>
                    <w:p w14:paraId="4E8F485D">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重点任务9：既有建筑节能绿色化改造</w:t>
                      </w:r>
                    </w:p>
                    <w:p w14:paraId="383EFCD1">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推动20万平方米既有建筑节能改造，推动既有建筑供热智能化改造，完成市级相关任务指标要求。推动永安热力供热厂、清华南口国重基地等项目按照绿色建筑标准进行改造。</w:t>
                      </w:r>
                    </w:p>
                  </w:txbxContent>
                </v:textbox>
                <w10:wrap type="none"/>
                <w10:anchorlock/>
              </v:shape>
            </w:pict>
          </mc:Fallback>
        </mc:AlternateContent>
      </w:r>
    </w:p>
    <w:p w14:paraId="47ACBEE6">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22" w:name="_Toc4552"/>
      <w:r>
        <w:rPr>
          <w:rFonts w:hint="eastAsia" w:ascii="Times New Roman" w:hAnsi="Times New Roman" w:eastAsia="黑体" w:cs="仿宋_GB2312"/>
          <w:b w:val="0"/>
          <w:bCs/>
          <w:color w:val="auto"/>
          <w:spacing w:val="0"/>
          <w:kern w:val="44"/>
          <w:sz w:val="32"/>
          <w:szCs w:val="32"/>
          <w:highlight w:val="none"/>
          <w:u w:val="none" w:color="auto"/>
          <w:lang w:val="en-US" w:eastAsia="zh-CN"/>
        </w:rPr>
        <w:t>六、提升现代化基础设施建设水平</w:t>
      </w:r>
      <w:bookmarkEnd w:id="22"/>
    </w:p>
    <w:p w14:paraId="05EAEBB0">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3" w:name="_Toc24220"/>
      <w:r>
        <w:rPr>
          <w:rFonts w:hint="eastAsia" w:ascii="Arial" w:hAnsi="Arial" w:eastAsia="黑体" w:cs="Times New Roman"/>
          <w:b w:val="0"/>
          <w:bCs/>
          <w:color w:val="auto"/>
          <w:spacing w:val="0"/>
          <w:kern w:val="0"/>
          <w:sz w:val="32"/>
          <w:szCs w:val="32"/>
          <w:highlight w:val="none"/>
          <w:u w:val="none" w:color="auto"/>
          <w:lang w:val="en-US" w:eastAsia="zh-CN"/>
        </w:rPr>
        <w:t>（一）优化完善城市综合交通体系</w:t>
      </w:r>
      <w:bookmarkEnd w:id="23"/>
    </w:p>
    <w:p w14:paraId="60338450">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yellow"/>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动道路养护从传统大修向道路健康工程转型，统筹实施路面翻新、桥梁加固、附属设施整治、沿线景观提升和慢行系统贯通，同步提升道路交通功能与城市公共空间品质，实现从单一交通干道向综合活力走廊转变。优化城市快速路立交和出入口设置，改造瓶颈路段和节点，完善次支路网，实施道路微循环改造。优化慢行出行环境，打造高品质、特色化的慢行出行及休闲空间。</w:t>
      </w:r>
    </w:p>
    <w:p w14:paraId="7941536C">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2" name="文本框 12"/>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31003B">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重点任务10：实施交通设施一体化综合更新</w:t>
                            </w:r>
                          </w:p>
                          <w:p w14:paraId="268EA240">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间，实施城市道路健康工程建设30万㎡。围绕京藏高速沿线及北清路廊道，积极推进周边交通综合治理工作。聚焦西关环岛改造和昌平南桥、路庄桥、沙河桥下空间（含沙阳路口）、黄平路周边交通组织优化等关键节点，持续探索交通与环境、产业、生活的深度融合与综合提升。面向两城一区及重点镇，通过网格化道路的实现，增强组团间交互连通。围绕昌平新城、回天地区等用地实施率较高地区，通过织补交通微循环的方式，加强慢行系统连通，提升道路可达性，提高出行品质及效率。</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FSz1PW8CAADT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FSz1PW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3931003B">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重点任务10：实施交通设施一体化综合更新</w:t>
                      </w:r>
                    </w:p>
                    <w:p w14:paraId="268EA240">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间，实施城市道路健康工程建设30万㎡。围绕京藏高速沿线及北清路廊道，积极推进周边交通综合治理工作。聚焦西关环岛改造和昌平南桥、路庄桥、沙河桥下空间（含沙阳路口）、黄平路周边交通组织优化等关键节点，持续探索交通与环境、产业、生活的深度融合与综合提升。面向两城一区及重点镇，通过网格化道路的实现，增强组团间交互连通。围绕昌平新城、回天地区等用地实施率较高地区，通过织补交通微循环的方式，加强慢行系统连通，提升道路可达性，提高出行品质及效率。</w:t>
                      </w:r>
                    </w:p>
                  </w:txbxContent>
                </v:textbox>
                <w10:wrap type="none"/>
                <w10:anchorlock/>
              </v:shape>
            </w:pict>
          </mc:Fallback>
        </mc:AlternateContent>
      </w:r>
    </w:p>
    <w:p w14:paraId="2A6F0D4B">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4" w:name="_Toc21256"/>
      <w:r>
        <w:rPr>
          <w:rFonts w:hint="eastAsia" w:ascii="Arial" w:hAnsi="Arial" w:eastAsia="黑体" w:cs="Times New Roman"/>
          <w:b w:val="0"/>
          <w:bCs/>
          <w:color w:val="auto"/>
          <w:spacing w:val="0"/>
          <w:kern w:val="0"/>
          <w:sz w:val="32"/>
          <w:szCs w:val="32"/>
          <w:highlight w:val="none"/>
          <w:u w:val="none" w:color="auto"/>
          <w:lang w:val="en-US" w:eastAsia="zh-CN"/>
        </w:rPr>
        <w:t>（二）推进</w:t>
      </w:r>
      <w:r>
        <w:rPr>
          <w:rFonts w:hint="default" w:ascii="Arial" w:hAnsi="Arial" w:eastAsia="黑体" w:cs="Times New Roman"/>
          <w:b w:val="0"/>
          <w:bCs/>
          <w:color w:val="auto"/>
          <w:spacing w:val="0"/>
          <w:kern w:val="0"/>
          <w:sz w:val="32"/>
          <w:szCs w:val="32"/>
          <w:highlight w:val="none"/>
          <w:u w:val="none" w:color="auto"/>
          <w:lang w:val="en-US" w:eastAsia="zh-CN"/>
        </w:rPr>
        <w:t>地下管线老化更新</w:t>
      </w:r>
      <w:r>
        <w:rPr>
          <w:rFonts w:hint="eastAsia" w:ascii="Arial" w:hAnsi="Arial" w:eastAsia="黑体" w:cs="Times New Roman"/>
          <w:b w:val="0"/>
          <w:bCs/>
          <w:color w:val="auto"/>
          <w:spacing w:val="0"/>
          <w:kern w:val="0"/>
          <w:sz w:val="32"/>
          <w:szCs w:val="32"/>
          <w:highlight w:val="none"/>
          <w:u w:val="none" w:color="auto"/>
          <w:lang w:val="en-US" w:eastAsia="zh-CN"/>
        </w:rPr>
        <w:t>改造</w:t>
      </w:r>
      <w:bookmarkEnd w:id="24"/>
    </w:p>
    <w:p w14:paraId="6DC6373D">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保障水电气热等城市生命线安全运行。继续实施昌平新城、回天地区的老旧小区供水管网改造，提升供水品质，提升水质稳定性和输配效率，保障居民用水安全稳定。全面推进城区及重点区域污水主干管网及收集管网的深度排查、修缮与扩展，提升污水</w:t>
      </w:r>
      <w:r>
        <w:rPr>
          <w:rFonts w:hint="eastAsia" w:ascii="仿宋_GB2312" w:hAnsi="仿宋_GB2312" w:eastAsia="仿宋_GB2312" w:cs="仿宋_GB2312"/>
          <w:b w:val="0"/>
          <w:bCs/>
          <w:color w:val="auto"/>
          <w:spacing w:val="0"/>
          <w:kern w:val="0"/>
          <w:sz w:val="32"/>
          <w:szCs w:val="32"/>
          <w:highlight w:val="none"/>
          <w:u w:val="none" w:color="auto"/>
          <w:lang w:val="en-US" w:eastAsia="zh-CN"/>
        </w:rPr>
        <w:t>收集</w:t>
      </w:r>
      <w:r>
        <w:rPr>
          <w:rFonts w:hint="default" w:ascii="仿宋_GB2312" w:hAnsi="仿宋_GB2312" w:eastAsia="仿宋_GB2312" w:cs="仿宋_GB2312"/>
          <w:b w:val="0"/>
          <w:bCs/>
          <w:color w:val="auto"/>
          <w:spacing w:val="0"/>
          <w:kern w:val="0"/>
          <w:sz w:val="32"/>
          <w:szCs w:val="32"/>
          <w:highlight w:val="none"/>
          <w:u w:val="none" w:color="auto"/>
          <w:lang w:val="en-US" w:eastAsia="zh-CN"/>
        </w:rPr>
        <w:t>能力。开展昌平老城区重要节点污水排水干线改造工程论证，逐步完善和改造已建市政道路雨污水管线。逐步推进天通苑等建成区雨污合流管网分流改造，解决雨污水溢流问题。</w:t>
      </w:r>
    </w:p>
    <w:p w14:paraId="415F6BC4">
      <w:pPr>
        <w:keepNext w:val="0"/>
        <w:keepLines w:val="0"/>
        <w:pageBreakBefore w:val="0"/>
        <w:widowControl w:val="0"/>
        <w:suppressAutoHyphens/>
        <w:kinsoku/>
        <w:wordWrap/>
        <w:overflowPunct/>
        <w:topLinePunct w:val="0"/>
        <w:autoSpaceDE/>
        <w:autoSpaceDN/>
        <w:bidi w:val="0"/>
        <w:adjustRightInd w:val="0"/>
        <w:snapToGrid w:val="0"/>
        <w:spacing w:line="240" w:lineRule="auto"/>
        <w:ind w:right="0" w:rightChars="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b w:val="0"/>
          <w:bCs/>
          <w:sz w:val="32"/>
          <w:szCs w:val="32"/>
        </w:rPr>
        <mc:AlternateContent>
          <mc:Choice Requires="wps">
            <w:drawing>
              <wp:inline distT="0" distB="0" distL="114300" distR="114300">
                <wp:extent cx="5264150" cy="914400"/>
                <wp:effectExtent l="4445" t="4445" r="19685" b="10795"/>
                <wp:docPr id="13" name="文本框 13"/>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109C93">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重点任务11：城市老旧地下管网改造换新</w:t>
                            </w:r>
                          </w:p>
                          <w:p w14:paraId="527D064A">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加快城市基础设施生命线安全工程建设，推动老旧地下管网改造焕新。更新改造地下管网管线1769公里，其中供热80公里，燃气39公里，供水165公里，排水392公里，老旧小区供电1093公里。</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5w7qX2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2C109C93">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重点任务11：城市老旧地下管网改造换新</w:t>
                      </w:r>
                    </w:p>
                    <w:p w14:paraId="527D064A">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加快城市基础设施生命线安全工程建设，推动老旧地下管网改造焕新。更新改造地下管网管线1769公里，其中供热80公里，燃气39公里，供水165公里，排水392公里，老旧小区供电1093公里。</w:t>
                      </w:r>
                    </w:p>
                  </w:txbxContent>
                </v:textbox>
                <w10:wrap type="none"/>
                <w10:anchorlock/>
              </v:shape>
            </w:pict>
          </mc:Fallback>
        </mc:AlternateContent>
      </w:r>
    </w:p>
    <w:p w14:paraId="68BB7CEB">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Arial" w:hAnsi="Arial" w:eastAsia="黑体" w:cs="Times New Roman"/>
          <w:b w:val="0"/>
          <w:bCs/>
          <w:color w:val="auto"/>
          <w:spacing w:val="0"/>
          <w:kern w:val="0"/>
          <w:sz w:val="32"/>
          <w:szCs w:val="32"/>
          <w:highlight w:val="none"/>
          <w:u w:val="none" w:color="auto"/>
          <w:lang w:val="en-US" w:eastAsia="zh-CN"/>
        </w:rPr>
      </w:pPr>
      <w:bookmarkStart w:id="25" w:name="_Toc24699"/>
      <w:r>
        <w:rPr>
          <w:rFonts w:hint="eastAsia" w:ascii="Arial" w:hAnsi="Arial" w:eastAsia="黑体" w:cs="Times New Roman"/>
          <w:b w:val="0"/>
          <w:bCs/>
          <w:color w:val="auto"/>
          <w:spacing w:val="0"/>
          <w:kern w:val="0"/>
          <w:sz w:val="32"/>
          <w:szCs w:val="32"/>
          <w:highlight w:val="none"/>
          <w:u w:val="none" w:color="auto"/>
          <w:lang w:val="en-US" w:eastAsia="zh-CN"/>
        </w:rPr>
        <w:t>（三）</w:t>
      </w:r>
      <w:r>
        <w:rPr>
          <w:rFonts w:hint="default" w:ascii="Arial" w:hAnsi="Arial" w:eastAsia="黑体" w:cs="Times New Roman"/>
          <w:b w:val="0"/>
          <w:bCs/>
          <w:color w:val="auto"/>
          <w:spacing w:val="0"/>
          <w:kern w:val="0"/>
          <w:sz w:val="32"/>
          <w:szCs w:val="32"/>
          <w:highlight w:val="none"/>
          <w:u w:val="none" w:color="auto"/>
          <w:lang w:val="en-US" w:eastAsia="zh-CN"/>
        </w:rPr>
        <w:t>加快推进</w:t>
      </w:r>
      <w:r>
        <w:rPr>
          <w:rFonts w:hint="eastAsia" w:ascii="Arial" w:hAnsi="Arial" w:eastAsia="黑体" w:cs="Times New Roman"/>
          <w:b w:val="0"/>
          <w:bCs/>
          <w:color w:val="auto"/>
          <w:spacing w:val="0"/>
          <w:kern w:val="0"/>
          <w:sz w:val="32"/>
          <w:szCs w:val="32"/>
          <w:highlight w:val="none"/>
          <w:u w:val="none" w:color="auto"/>
          <w:lang w:val="en-US" w:eastAsia="zh-CN"/>
        </w:rPr>
        <w:t>消费</w:t>
      </w:r>
      <w:r>
        <w:rPr>
          <w:rFonts w:hint="default" w:ascii="Arial" w:hAnsi="Arial" w:eastAsia="黑体" w:cs="Times New Roman"/>
          <w:b w:val="0"/>
          <w:bCs/>
          <w:color w:val="auto"/>
          <w:spacing w:val="0"/>
          <w:kern w:val="0"/>
          <w:sz w:val="32"/>
          <w:szCs w:val="32"/>
          <w:highlight w:val="none"/>
          <w:u w:val="none" w:color="auto"/>
          <w:lang w:val="en-US" w:eastAsia="zh-CN"/>
        </w:rPr>
        <w:t>基础设施建设</w:t>
      </w:r>
      <w:bookmarkEnd w:id="25"/>
    </w:p>
    <w:p w14:paraId="2475A9AB">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以“物流基地+物流中心+配送中心”为主线，分层级优化流通体系</w:t>
      </w:r>
      <w:r>
        <w:rPr>
          <w:rFonts w:hint="eastAsia" w:ascii="仿宋_GB2312" w:hAnsi="仿宋_GB2312" w:eastAsia="仿宋_GB2312" w:cs="仿宋_GB2312"/>
          <w:b w:val="0"/>
          <w:bCs/>
          <w:color w:val="auto"/>
          <w:spacing w:val="0"/>
          <w:kern w:val="0"/>
          <w:sz w:val="32"/>
          <w:szCs w:val="32"/>
          <w:highlight w:val="none"/>
          <w:u w:val="none" w:color="auto"/>
          <w:lang w:val="en-US" w:eastAsia="zh-CN"/>
        </w:rPr>
        <w:t>，形成</w:t>
      </w:r>
      <w:r>
        <w:rPr>
          <w:rFonts w:hint="default" w:ascii="仿宋_GB2312" w:hAnsi="仿宋_GB2312" w:eastAsia="仿宋_GB2312" w:cs="仿宋_GB2312"/>
          <w:b w:val="0"/>
          <w:bCs/>
          <w:color w:val="auto"/>
          <w:spacing w:val="0"/>
          <w:kern w:val="0"/>
          <w:sz w:val="32"/>
          <w:szCs w:val="32"/>
          <w:highlight w:val="none"/>
          <w:u w:val="none" w:color="auto"/>
          <w:lang w:val="en-US" w:eastAsia="zh-CN"/>
        </w:rPr>
        <w:t>三级物流节点</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加快推动昌平南口物流基地建设</w:t>
      </w:r>
      <w:r>
        <w:rPr>
          <w:rFonts w:hint="eastAsia" w:ascii="仿宋_GB2312" w:hAnsi="仿宋_GB2312" w:eastAsia="仿宋_GB2312" w:cs="仿宋_GB2312"/>
          <w:b w:val="0"/>
          <w:bCs/>
          <w:color w:val="auto"/>
          <w:spacing w:val="0"/>
          <w:kern w:val="0"/>
          <w:sz w:val="32"/>
          <w:szCs w:val="32"/>
          <w:highlight w:val="none"/>
          <w:u w:val="none" w:color="auto"/>
          <w:lang w:val="en-US" w:eastAsia="zh-CN"/>
        </w:rPr>
        <w:t>。推进物流快递设施完善，完善居住区、商业区、高校等人口密集地区快递末端服务设施。</w:t>
      </w:r>
    </w:p>
    <w:p w14:paraId="37A3AA78">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6" w:name="_Toc17834"/>
      <w:r>
        <w:rPr>
          <w:rFonts w:hint="eastAsia" w:ascii="Arial" w:hAnsi="Arial" w:eastAsia="黑体" w:cs="Times New Roman"/>
          <w:b w:val="0"/>
          <w:bCs/>
          <w:color w:val="auto"/>
          <w:spacing w:val="0"/>
          <w:kern w:val="0"/>
          <w:sz w:val="32"/>
          <w:szCs w:val="32"/>
          <w:highlight w:val="none"/>
          <w:u w:val="none" w:color="auto"/>
          <w:lang w:val="en-US" w:eastAsia="zh-CN"/>
        </w:rPr>
        <w:t>（四）高标准建设安全可靠的韧性城市</w:t>
      </w:r>
      <w:bookmarkEnd w:id="26"/>
    </w:p>
    <w:p w14:paraId="15F1E378">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动排水防涝设施改造。综合运用排水河道、雨水调蓄区、雨水管道及雨水泵站等多种措施，进一步完善雨水排除工程体系。重点推进东小口沟、十一排干工程建设，研究推进二排干、三排干、四排干、东沙屯西排水、百善西排水等治理工程，逐步完善区域防洪排水体系。</w:t>
      </w:r>
    </w:p>
    <w:p w14:paraId="794DF609">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推进消防设施更新改造。重点推进流村镇、马池口镇、崔村镇、百善镇、十三陵镇、兴寿镇和沙河镇等7座规划消防站和1个区级训练基地建设，龙旗消防站、东小口消防站、南口特勤消防站建成投入使用；推进同城街小型消防站、天通苑北小型消防站、凤山小型消防站、白各庄小型消防站、延寿镇大杨山小型消防站等5座小型站建设及现有十三陵管理中心小型站提升为二级消防站项目。逐年分梯次对现有老旧消防站进行抗震加固和功能升级。</w:t>
      </w:r>
    </w:p>
    <w:p w14:paraId="233B68EF">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yellow"/>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加强“平急两用”公共基础设施建设。推进建设一批多功能公共服务设施，有序提升周边市政、旅游等配套设施服务水平，增强城市快速响应、资源调配和防灾减灾救灾能力，进一步提升安全韧性水平。实施10个存量应急避难场所改造。</w:t>
      </w:r>
    </w:p>
    <w:p w14:paraId="39E8FC74">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4" name="文本框 14"/>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96C839">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重点任务12：推进海绵城市建设</w:t>
                            </w:r>
                          </w:p>
                          <w:p w14:paraId="53725CBA">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末，建成区海绵城市达标面积比例达到60%以上。依托北部山区生态带、温榆河、京密引水渠、清河（昌平段），结合小型绿地、公园、街心花园等生态斑块，建设海绵城市。重点实施未来科学城、昌平新城、回天地区等区域的海绵城市建设，扩大渗透材料在城市更新中的应用，通过透水铺装、雨水花园、下凹绿地等方式，有序推进海绵城市建设。</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eOTGqm8CAADT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eOTGqm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1096C839">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重点任务12：推进海绵城市建设</w:t>
                      </w:r>
                    </w:p>
                    <w:p w14:paraId="53725CBA">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十五五”期末，建成区海绵城市达标面积比例达到60%以上。依托北部山区生态带、温榆河、京密引水渠、清河（昌平段），结合小型绿地、公园、街心花园等生态斑块，建设海绵城市。重点实施未来科学城、昌平新城、回天地区等区域的海绵城市建设，扩大渗透材料在城市更新中的应用，通过透水铺装、雨水花园、下凹绿地等方式，有序推进海绵城市建设。</w:t>
                      </w:r>
                    </w:p>
                  </w:txbxContent>
                </v:textbox>
                <w10:wrap type="none"/>
                <w10:anchorlock/>
              </v:shape>
            </w:pict>
          </mc:Fallback>
        </mc:AlternateContent>
      </w:r>
    </w:p>
    <w:p w14:paraId="70C3ACE2">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27" w:name="_Toc17523"/>
      <w:r>
        <w:rPr>
          <w:rFonts w:hint="eastAsia" w:ascii="Times New Roman" w:hAnsi="Times New Roman" w:eastAsia="黑体" w:cs="仿宋_GB2312"/>
          <w:b w:val="0"/>
          <w:bCs/>
          <w:color w:val="auto"/>
          <w:spacing w:val="0"/>
          <w:kern w:val="44"/>
          <w:sz w:val="32"/>
          <w:szCs w:val="32"/>
          <w:highlight w:val="none"/>
          <w:u w:val="none" w:color="auto"/>
          <w:lang w:val="en-US" w:eastAsia="zh-CN"/>
        </w:rPr>
        <w:t>七、完善提升城市功能</w:t>
      </w:r>
      <w:bookmarkEnd w:id="27"/>
    </w:p>
    <w:p w14:paraId="5BA5FFFF">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8" w:name="_Toc30792"/>
      <w:r>
        <w:rPr>
          <w:rFonts w:hint="eastAsia" w:ascii="Arial" w:hAnsi="Arial" w:eastAsia="黑体" w:cs="Times New Roman"/>
          <w:b w:val="0"/>
          <w:bCs/>
          <w:color w:val="auto"/>
          <w:spacing w:val="0"/>
          <w:kern w:val="0"/>
          <w:sz w:val="32"/>
          <w:szCs w:val="32"/>
          <w:highlight w:val="none"/>
          <w:u w:val="none" w:color="auto"/>
          <w:lang w:val="en-US" w:eastAsia="zh-CN"/>
        </w:rPr>
        <w:t>（一）持续提升城市公共服务品质</w:t>
      </w:r>
      <w:bookmarkEnd w:id="28"/>
    </w:p>
    <w:p w14:paraId="613F376B">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结合人口分布密度与服务缺口，系统补齐公共服务设施短板，推动更多存量空间资源服务民生。优化提升机构养老服务水平，鼓励开展养老服务设施建设和改造提升工程。优先在回天地区、未来科学城等人口密集且托位缺口大的区域新建和改扩建一批普惠托育机构，解决群众“就近入托”难题。有效利用社区闲置空间、公共服务设施以及现有幼儿园资源，推进“托幼一体化”扩容，鼓励企业、园区设置内部福利性托育点，灵活补充普惠供给渠道。</w:t>
      </w:r>
    </w:p>
    <w:p w14:paraId="33153B57">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5" name="文本框 15"/>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3129FF">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重点任务13：“一老一小”公共服务设施更新提质</w:t>
                            </w:r>
                          </w:p>
                          <w:p w14:paraId="61E4E68B">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实施公共服务设施提质工程。通过社区闲置空间、富余幼教设施转型补充托育服务，推动3岁以下婴幼儿入托率提高15个百分点左右。通过改造、购置、置换、租赁等方式补充养老设施缺口，养老机构护理型床位占比达到73%。实施高水平医疗卫生服务行动，改善医疗机构基本设施和就医环境。</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isbZyG8CAADT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isbZyG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423129FF">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重点任务13：“一老一小”公共服务设施更新提质</w:t>
                      </w:r>
                    </w:p>
                    <w:p w14:paraId="61E4E68B">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实施公共服务设施提质工程。通过社区闲置空间、富余幼教设施转型补充托育服务，推动3岁以下婴幼儿入托率提高15个百分点左右。通过改造、购置、置换、租赁等方式补充养老设施缺口，养老机构护理型床位占比达到73%。实施高水平医疗卫生服务行动，改善医疗机构基本设施和就医环境。</w:t>
                      </w:r>
                    </w:p>
                  </w:txbxContent>
                </v:textbox>
                <w10:wrap type="none"/>
                <w10:anchorlock/>
              </v:shape>
            </w:pict>
          </mc:Fallback>
        </mc:AlternateContent>
      </w:r>
    </w:p>
    <w:p w14:paraId="7BBE5342">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科学布局新型公共文化空间。利用老旧厂房、腾退空间、公园绿地、商业楼宇等空间建成一批形式多样、内容丰富的公共文化空间。系统挖掘“生活圈+”潜力，在历史建筑、公共街区、公园绿地、文化园区等空间嵌入文化会客厅、演艺共享空间、人文景观节点，实现日常可及、全民普惠的文化供给。</w:t>
      </w:r>
    </w:p>
    <w:p w14:paraId="2BE3722A">
      <w:pPr>
        <w:keepNext w:val="0"/>
        <w:keepLines w:val="0"/>
        <w:pageBreakBefore w:val="0"/>
        <w:widowControl w:val="0"/>
        <w:suppressAutoHyphens/>
        <w:kinsoku/>
        <w:wordWrap/>
        <w:overflowPunct/>
        <w:topLinePunct w:val="0"/>
        <w:autoSpaceDE/>
        <w:autoSpaceDN/>
        <w:bidi w:val="0"/>
        <w:adjustRightInd w:val="0"/>
        <w:snapToGrid w:val="0"/>
        <w:spacing w:line="240" w:lineRule="auto"/>
        <w:ind w:right="0" w:rightChars="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b w:val="0"/>
          <w:bCs/>
          <w:sz w:val="32"/>
          <w:szCs w:val="32"/>
        </w:rPr>
        <mc:AlternateContent>
          <mc:Choice Requires="wps">
            <w:drawing>
              <wp:inline distT="0" distB="0" distL="114300" distR="114300">
                <wp:extent cx="5264150" cy="914400"/>
                <wp:effectExtent l="4445" t="4445" r="19685" b="10795"/>
                <wp:docPr id="16" name="文本框 16"/>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B28BD6">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重点任务14：推动公共文化空间建设</w:t>
                            </w:r>
                          </w:p>
                          <w:p w14:paraId="1866272E">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聚焦回天地区、昌平新城、未来科学城等重点片区公共文化空间建设。实施“戏剧之城”街区提质工程，探索公益性与开放性兼具的文化服务新模式。推进昌平永安古城城市更新与北京未来科学城文化科技交流中心项目。</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nKH4bm8CAADT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nKH4bm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48B28BD6">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重点任务14：推动公共文化空间建设</w:t>
                      </w:r>
                    </w:p>
                    <w:p w14:paraId="1866272E">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聚焦回天地区、昌平新城、未来科学城等重点片区公共文化空间建设。实施“戏剧之城”街区提质工程，探索公益性与开放性兼具的文化服务新模式。推进昌平永安古城城市更新与北京未来科学城文化科技交流中心项目。</w:t>
                      </w:r>
                    </w:p>
                  </w:txbxContent>
                </v:textbox>
                <w10:wrap type="none"/>
                <w10:anchorlock/>
              </v:shape>
            </w:pict>
          </mc:Fallback>
        </mc:AlternateContent>
      </w:r>
    </w:p>
    <w:p w14:paraId="1FC49384">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29" w:name="_Toc23207"/>
      <w:r>
        <w:rPr>
          <w:rFonts w:hint="eastAsia" w:ascii="Arial" w:hAnsi="Arial" w:eastAsia="黑体" w:cs="Times New Roman"/>
          <w:b w:val="0"/>
          <w:bCs/>
          <w:color w:val="auto"/>
          <w:spacing w:val="0"/>
          <w:kern w:val="0"/>
          <w:sz w:val="32"/>
          <w:szCs w:val="32"/>
          <w:highlight w:val="none"/>
          <w:u w:val="none" w:color="auto"/>
          <w:lang w:val="en-US" w:eastAsia="zh-CN"/>
        </w:rPr>
        <w:t>（二）营造高品质城市公共空间</w:t>
      </w:r>
      <w:bookmarkEnd w:id="29"/>
    </w:p>
    <w:p w14:paraId="4A7BE435">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实施城市更新与花园城市融合场景试点。衔接花园城市规划与城市更新行动，建设花园住区、花园街道、花园商圈、花园公服、花园场站。重点推进朱辛庄花园街区、未来科学城花园式街区及生命谷花园街区项目，以平西府站小站公园为示范引领，突出打造回天地区花园商圈、花园场站等场景。</w:t>
      </w:r>
    </w:p>
    <w:p w14:paraId="65EF2017">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以城市更新推动滨水空间品质提升。以高质量滨水空间建设，带动周边商业活力和产业发展，激发消费需求、拓展消费空间。</w:t>
      </w:r>
      <w:r>
        <w:rPr>
          <w:rFonts w:hint="default" w:ascii="仿宋_GB2312" w:hAnsi="仿宋_GB2312" w:eastAsia="仿宋_GB2312" w:cs="仿宋_GB2312"/>
          <w:b w:val="0"/>
          <w:bCs/>
          <w:color w:val="auto"/>
          <w:spacing w:val="0"/>
          <w:kern w:val="0"/>
          <w:sz w:val="32"/>
          <w:szCs w:val="32"/>
          <w:highlight w:val="none"/>
          <w:u w:val="none" w:color="auto"/>
          <w:lang w:val="en-US" w:eastAsia="zh-CN"/>
        </w:rPr>
        <w:t>推进建设以温榆河为主脉，打造东沙河、南沙河、北沙河、温榆河（昌平段）等河流的滨水空间体系，形成“蓝绿交融、贯通开放、亲水舒适、景观优美、活力共享”的滨水空间。</w:t>
      </w:r>
      <w:r>
        <w:rPr>
          <w:rFonts w:hint="eastAsia" w:ascii="仿宋_GB2312" w:hAnsi="仿宋_GB2312" w:eastAsia="仿宋_GB2312" w:cs="仿宋_GB2312"/>
          <w:b w:val="0"/>
          <w:bCs/>
          <w:color w:val="auto"/>
          <w:spacing w:val="0"/>
          <w:kern w:val="0"/>
          <w:sz w:val="32"/>
          <w:szCs w:val="32"/>
          <w:highlight w:val="none"/>
          <w:u w:val="none" w:color="auto"/>
          <w:lang w:val="en-US" w:eastAsia="zh-CN"/>
        </w:rPr>
        <w:t>注重城市段滨河空间与河道两侧用地的空间融合和功能融合，强化滨水空间一体化设计，促进生态空间的复合利用。</w:t>
      </w:r>
    </w:p>
    <w:p w14:paraId="025FBFDA">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yellow"/>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加强城市公园、口袋公园及小微绿地建设。加大腾退还绿、疏解建绿、见缝插绿力度，增加街角公园、口袋公园等小微绿地，满足市民就近休闲需求。全面落实规划绿地建设实施，重点增加人均公园绿地供给，建设功能丰富、布局灵活的口袋公园和小微绿地。</w:t>
      </w:r>
    </w:p>
    <w:p w14:paraId="1560061E">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持续推动背街小巷环境精细化治理。在已完成背街小巷精细化治理任务基础上，持续强化日常巡查管护，巩固整治成果。深化“多元共治”模式，鼓励社会力量参与维护和微更新场景营造，持续焕新街巷活力与宜居品质。</w:t>
      </w:r>
    </w:p>
    <w:p w14:paraId="2FAF84F7">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7" name="文本框 17"/>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DE29C1">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重点任务15：城市公共空间品质提升</w:t>
                            </w:r>
                          </w:p>
                          <w:p w14:paraId="76590F97">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完成10个及以上高品质公共空间建设。实施微观精品片区更新工程，新增一批小微绿地、口袋公园，改造提升城市公园绿地40公顷，实现建成区公园绿地500米服务半径覆盖率94%。谋划推进温榆河以南排干水系连通工程和未来科学城十一排干滨水空间景观提升工程。完成清河滨水绿道7.36公里。</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boPnDG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5ADE29C1">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重点任务15：城市公共空间品质提升</w:t>
                      </w:r>
                    </w:p>
                    <w:p w14:paraId="76590F97">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完成10个及以上高品质公共空间建设。实施微观精品片区更新工程，新增一批小微绿地、口袋公园，改造提升城市公园绿地40公顷，实现建成区公园绿地500米服务半径覆盖率94%。谋划推进温榆河以南排干水系连通工程和未来科学城十一排干滨水空间景观提升工程。完成清河滨水绿道7.36公里。</w:t>
                      </w:r>
                    </w:p>
                  </w:txbxContent>
                </v:textbox>
                <w10:wrap type="none"/>
                <w10:anchorlock/>
              </v:shape>
            </w:pict>
          </mc:Fallback>
        </mc:AlternateContent>
      </w:r>
    </w:p>
    <w:p w14:paraId="748E61A4">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Arial" w:hAnsi="Arial" w:eastAsia="黑体" w:cs="Times New Roman"/>
          <w:b w:val="0"/>
          <w:bCs/>
          <w:color w:val="auto"/>
          <w:spacing w:val="0"/>
          <w:kern w:val="0"/>
          <w:sz w:val="32"/>
          <w:szCs w:val="32"/>
          <w:highlight w:val="none"/>
          <w:u w:val="none" w:color="auto"/>
          <w:lang w:val="en-US" w:eastAsia="zh-CN"/>
        </w:rPr>
      </w:pPr>
      <w:bookmarkStart w:id="30" w:name="_Toc20132"/>
      <w:r>
        <w:rPr>
          <w:rFonts w:hint="eastAsia" w:ascii="Arial" w:hAnsi="Arial" w:eastAsia="黑体" w:cs="Times New Roman"/>
          <w:b w:val="0"/>
          <w:bCs/>
          <w:color w:val="auto"/>
          <w:spacing w:val="0"/>
          <w:kern w:val="0"/>
          <w:sz w:val="32"/>
          <w:szCs w:val="32"/>
          <w:highlight w:val="none"/>
          <w:u w:val="none" w:color="auto"/>
          <w:lang w:val="en-US" w:eastAsia="zh-CN"/>
        </w:rPr>
        <w:t>（三）</w:t>
      </w:r>
      <w:r>
        <w:rPr>
          <w:rFonts w:hint="default" w:ascii="Arial" w:hAnsi="Arial" w:eastAsia="黑体" w:cs="Times New Roman"/>
          <w:b w:val="0"/>
          <w:bCs/>
          <w:color w:val="auto"/>
          <w:spacing w:val="0"/>
          <w:kern w:val="0"/>
          <w:sz w:val="32"/>
          <w:szCs w:val="32"/>
          <w:highlight w:val="none"/>
          <w:u w:val="none" w:color="auto"/>
          <w:lang w:val="en-US" w:eastAsia="zh-CN"/>
        </w:rPr>
        <w:t>推进站城融合与轨道交通微中心建设</w:t>
      </w:r>
      <w:bookmarkEnd w:id="30"/>
    </w:p>
    <w:p w14:paraId="51846DE3">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聚焦轨道交通站点周边，推动站城融合发展。完善“轨道+公交+慢行”绿色出行体系</w:t>
      </w:r>
      <w:r>
        <w:rPr>
          <w:rFonts w:hint="eastAsia" w:ascii="仿宋_GB2312" w:hAnsi="仿宋_GB2312" w:eastAsia="仿宋_GB2312" w:cs="仿宋_GB2312"/>
          <w:b w:val="0"/>
          <w:bCs/>
          <w:color w:val="auto"/>
          <w:spacing w:val="0"/>
          <w:kern w:val="0"/>
          <w:sz w:val="32"/>
          <w:szCs w:val="32"/>
          <w:highlight w:val="none"/>
          <w:u w:val="none" w:color="auto"/>
          <w:lang w:val="en-US" w:eastAsia="zh-CN"/>
        </w:rPr>
        <w:t>。</w:t>
      </w:r>
      <w:r>
        <w:rPr>
          <w:rFonts w:hint="default" w:ascii="仿宋_GB2312" w:hAnsi="仿宋_GB2312" w:eastAsia="仿宋_GB2312" w:cs="仿宋_GB2312"/>
          <w:b w:val="0"/>
          <w:bCs/>
          <w:color w:val="auto"/>
          <w:spacing w:val="0"/>
          <w:kern w:val="0"/>
          <w:sz w:val="32"/>
          <w:szCs w:val="32"/>
          <w:highlight w:val="none"/>
          <w:u w:val="none" w:color="auto"/>
          <w:lang w:val="en-US" w:eastAsia="zh-CN"/>
        </w:rPr>
        <w:t>强化轨道站点与周边用地衔接，加强区域联系，推动站点和周边地块一体化更新改造实施。建设具有展示交流空间的城市客厅、共享空间、商务交往共享平台及酒店购物综合体。</w:t>
      </w:r>
    </w:p>
    <w:p w14:paraId="18374DC1">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b w:val="0"/>
          <w:bCs/>
          <w:sz w:val="32"/>
          <w:szCs w:val="32"/>
          <w:lang w:val="en-US" w:eastAsia="zh-CN"/>
        </w:rPr>
      </w:pPr>
      <w:r>
        <w:rPr>
          <w:b w:val="0"/>
          <w:bCs/>
          <w:sz w:val="32"/>
          <w:szCs w:val="32"/>
        </w:rPr>
        <mc:AlternateContent>
          <mc:Choice Requires="wps">
            <w:drawing>
              <wp:inline distT="0" distB="0" distL="114300" distR="114300">
                <wp:extent cx="5264150" cy="914400"/>
                <wp:effectExtent l="4445" t="4445" r="19685" b="10795"/>
                <wp:docPr id="18" name="文本框 18"/>
                <wp:cNvGraphicFramePr/>
                <a:graphic xmlns:a="http://schemas.openxmlformats.org/drawingml/2006/main">
                  <a:graphicData uri="http://schemas.microsoft.com/office/word/2010/wordprocessingShape">
                    <wps:wsp>
                      <wps:cNvSpPr txBox="1"/>
                      <wps:spPr>
                        <a:xfrm>
                          <a:off x="1556385" y="2093595"/>
                          <a:ext cx="52641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3ACF87">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重点任务16：推进站城融合发展</w:t>
                            </w:r>
                          </w:p>
                          <w:p w14:paraId="576BDE6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持续推进霍营枢纽一体化利用工程、昌平永安古城皇城粮油片区节点、沙河站东部地区城市更新项目等。谋划南口站及周边街区站城一体化更新实施，研究推动沙河站与高教园区协同更新，推动昌平站和永安古城站城一体化改造。推动龙泽西站轨道微中心示范工程。</w:t>
                            </w:r>
                          </w:p>
                        </w:txbxContent>
                      </wps:txbx>
                      <wps:bodyPr rot="0" spcFirstLastPara="0" vertOverflow="overflow" horzOverflow="overflow" vert="horz" wrap="square" lIns="90000" tIns="45720" rIns="91440" bIns="45720" numCol="1" spcCol="0" rtlCol="0" fromWordArt="0" anchor="t" anchorCtr="0" forceAA="0" compatLnSpc="1">
                        <a:spAutoFit/>
                      </wps:bodyPr>
                    </wps:wsp>
                  </a:graphicData>
                </a:graphic>
              </wp:inline>
            </w:drawing>
          </mc:Choice>
          <mc:Fallback>
            <w:pict>
              <v:shape id="_x0000_s1026" o:spid="_x0000_s1026" o:spt="202" type="#_x0000_t202" style="height:72pt;width:414.5pt;" fillcolor="#FFFFFF [3201]" filled="t" stroked="t" coordsize="21600,21600" o:gfxdata="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EYBX1QAAAAUBAAAPAAAAAAAAAAEAIAAAACIAAABkcnMvZG93bnJldi54&#10;bWxQSwECFAAUAAAACACHTuJA43LQX28CAADTBAAADgAAAAAAAAABACAAAAAkAQAAZHJzL2Uyb0Rv&#10;Yy54bWxQSwUGAAAAAAYABgBZAQAABQYAAAAA&#10;">
                <v:fill on="t" focussize="0,0"/>
                <v:stroke weight="0.5pt" color="#000000 [3204]" joinstyle="round"/>
                <v:imagedata o:title=""/>
                <o:lock v:ext="edit" aspectratio="f"/>
                <v:textbox inset="2.5mm,1.27mm,2.54mm,1.27mm" style="mso-fit-shape-to-text:t;">
                  <w:txbxContent>
                    <w:p w14:paraId="013ACF87">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重点任务16：推进站城融合发展</w:t>
                      </w:r>
                    </w:p>
                    <w:p w14:paraId="576BDE68">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sz w:val="28"/>
                          <w:szCs w:val="28"/>
                          <w:highlight w:val="none"/>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持续推进霍营枢纽一体化利用工程、昌平永安古城皇城粮油片区节点、沙河站东部地区城市更新项目等。谋划南口站及周边街区站城一体化更新实施，研究推动沙河站与高教园区协同更新，推动昌平站和永安古城站城一体化改造。推动龙泽西站轨道微中心示范工程。</w:t>
                      </w:r>
                    </w:p>
                  </w:txbxContent>
                </v:textbox>
                <w10:wrap type="none"/>
                <w10:anchorlock/>
              </v:shape>
            </w:pict>
          </mc:Fallback>
        </mc:AlternateContent>
      </w:r>
    </w:p>
    <w:p w14:paraId="35F59796">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Arial" w:hAnsi="Arial" w:eastAsia="黑体" w:cs="Times New Roman"/>
          <w:b w:val="0"/>
          <w:bCs/>
          <w:color w:val="auto"/>
          <w:spacing w:val="0"/>
          <w:kern w:val="0"/>
          <w:sz w:val="32"/>
          <w:szCs w:val="32"/>
          <w:highlight w:val="none"/>
          <w:u w:val="none" w:color="auto"/>
          <w:lang w:val="en-US" w:eastAsia="zh-CN"/>
        </w:rPr>
      </w:pPr>
      <w:bookmarkStart w:id="31" w:name="_Toc9044"/>
      <w:r>
        <w:rPr>
          <w:rFonts w:hint="eastAsia" w:ascii="Arial" w:hAnsi="Arial" w:eastAsia="黑体" w:cs="Times New Roman"/>
          <w:b w:val="0"/>
          <w:bCs/>
          <w:color w:val="auto"/>
          <w:spacing w:val="0"/>
          <w:kern w:val="0"/>
          <w:sz w:val="32"/>
          <w:szCs w:val="32"/>
          <w:highlight w:val="none"/>
          <w:u w:val="none" w:color="auto"/>
          <w:lang w:val="en-US" w:eastAsia="zh-CN"/>
        </w:rPr>
        <w:t>（四）</w:t>
      </w:r>
      <w:r>
        <w:rPr>
          <w:rFonts w:hint="default" w:ascii="Arial" w:hAnsi="Arial" w:eastAsia="黑体" w:cs="Times New Roman"/>
          <w:b w:val="0"/>
          <w:bCs/>
          <w:color w:val="auto"/>
          <w:spacing w:val="0"/>
          <w:kern w:val="0"/>
          <w:sz w:val="32"/>
          <w:szCs w:val="32"/>
          <w:highlight w:val="none"/>
          <w:u w:val="none" w:color="auto"/>
          <w:lang w:val="en-US" w:eastAsia="zh-CN"/>
        </w:rPr>
        <w:t>保护传承城市历史文化</w:t>
      </w:r>
      <w:bookmarkEnd w:id="31"/>
    </w:p>
    <w:p w14:paraId="41D2E2A4">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开展城市文化遗产资源调查。系统推进昌平区人文资源普查，全面梳理不可移动文物、可移动文物与历史文化遗产，建立分级分类保护名录。加强对明十三陵、银山塔林、和平寺等大型遗址类资源的本体修缮与风貌整治，落实文物安全管理制度，完善巡查机制与应急响应体系。</w:t>
      </w:r>
    </w:p>
    <w:p w14:paraId="08F66DAE">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仿宋_GB2312" w:hAnsi="仿宋_GB2312" w:eastAsia="仿宋_GB2312" w:cs="仿宋_GB2312"/>
          <w:b w:val="0"/>
          <w:bCs/>
          <w:color w:val="auto"/>
          <w:spacing w:val="0"/>
          <w:kern w:val="0"/>
          <w:sz w:val="32"/>
          <w:szCs w:val="32"/>
          <w:highlight w:val="none"/>
          <w:u w:val="none" w:color="auto"/>
          <w:lang w:val="en-US" w:eastAsia="zh-CN"/>
        </w:rPr>
      </w:pPr>
      <w:r>
        <w:rPr>
          <w:rFonts w:hint="default" w:ascii="仿宋_GB2312" w:hAnsi="仿宋_GB2312" w:eastAsia="仿宋_GB2312" w:cs="仿宋_GB2312"/>
          <w:b w:val="0"/>
          <w:bCs/>
          <w:color w:val="auto"/>
          <w:spacing w:val="0"/>
          <w:kern w:val="0"/>
          <w:sz w:val="32"/>
          <w:szCs w:val="32"/>
          <w:highlight w:val="none"/>
          <w:u w:val="none" w:color="auto"/>
          <w:lang w:val="en-US" w:eastAsia="zh-CN"/>
        </w:rPr>
        <w:t>开展不可移动文物、历史建筑等保护对象</w:t>
      </w:r>
      <w:r>
        <w:rPr>
          <w:rFonts w:hint="eastAsia" w:ascii="仿宋_GB2312" w:hAnsi="仿宋_GB2312" w:eastAsia="仿宋_GB2312" w:cs="仿宋_GB2312"/>
          <w:b w:val="0"/>
          <w:bCs/>
          <w:color w:val="auto"/>
          <w:spacing w:val="0"/>
          <w:kern w:val="0"/>
          <w:sz w:val="32"/>
          <w:szCs w:val="32"/>
          <w:highlight w:val="none"/>
          <w:u w:val="none" w:color="auto"/>
          <w:lang w:val="en-US" w:eastAsia="zh-CN"/>
        </w:rPr>
        <w:t>的维护</w:t>
      </w:r>
      <w:r>
        <w:rPr>
          <w:rFonts w:hint="default" w:ascii="仿宋_GB2312" w:hAnsi="仿宋_GB2312" w:eastAsia="仿宋_GB2312" w:cs="仿宋_GB2312"/>
          <w:b w:val="0"/>
          <w:bCs/>
          <w:color w:val="auto"/>
          <w:spacing w:val="0"/>
          <w:kern w:val="0"/>
          <w:sz w:val="32"/>
          <w:szCs w:val="32"/>
          <w:highlight w:val="none"/>
          <w:u w:val="none" w:color="auto"/>
          <w:lang w:val="en-US" w:eastAsia="zh-CN"/>
        </w:rPr>
        <w:t>和使用</w:t>
      </w:r>
      <w:r>
        <w:rPr>
          <w:rFonts w:hint="eastAsia" w:ascii="仿宋_GB2312" w:hAnsi="仿宋_GB2312" w:eastAsia="仿宋_GB2312" w:cs="仿宋_GB2312"/>
          <w:b w:val="0"/>
          <w:bCs/>
          <w:color w:val="auto"/>
          <w:spacing w:val="0"/>
          <w:kern w:val="0"/>
          <w:sz w:val="32"/>
          <w:szCs w:val="32"/>
          <w:highlight w:val="none"/>
          <w:u w:val="none" w:color="auto"/>
          <w:lang w:val="en-US" w:eastAsia="zh-CN"/>
        </w:rPr>
        <w:t>工作。</w:t>
      </w:r>
      <w:r>
        <w:rPr>
          <w:rFonts w:hint="default" w:ascii="仿宋_GB2312" w:hAnsi="仿宋_GB2312" w:eastAsia="仿宋_GB2312" w:cs="仿宋_GB2312"/>
          <w:b w:val="0"/>
          <w:bCs/>
          <w:color w:val="auto"/>
          <w:spacing w:val="0"/>
          <w:kern w:val="0"/>
          <w:sz w:val="32"/>
          <w:szCs w:val="32"/>
          <w:highlight w:val="none"/>
          <w:u w:val="none" w:color="auto"/>
          <w:lang w:val="en-US" w:eastAsia="zh-CN"/>
        </w:rPr>
        <w:t>推进历史建筑的维护修缮，促进活化利用。以文物保护单位、可移动文物和非物质文化遗产为重点，实施分级分类保护工程。实施传统村落保护工程，划定保护区划和控制线，设立历史文化风貌管控清单，推动文物与社区协同保护。</w:t>
      </w:r>
    </w:p>
    <w:p w14:paraId="2C0E25AF">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b w:val="0"/>
          <w:bCs/>
          <w:sz w:val="32"/>
          <w:szCs w:val="32"/>
          <w:lang w:val="en-US" w:eastAsia="zh-CN"/>
        </w:rPr>
      </w:pPr>
      <w:r>
        <w:rPr>
          <w:b w:val="0"/>
          <w:bCs/>
          <w:sz w:val="32"/>
          <w:szCs w:val="32"/>
        </w:rPr>
        <mc:AlternateContent>
          <mc:Choice Requires="wps">
            <w:drawing>
              <wp:inline distT="0" distB="0" distL="114300" distR="114300">
                <wp:extent cx="5264150" cy="3190240"/>
                <wp:effectExtent l="5080" t="4445" r="19050" b="5715"/>
                <wp:docPr id="19" name="文本框 19"/>
                <wp:cNvGraphicFramePr/>
                <a:graphic xmlns:a="http://schemas.openxmlformats.org/drawingml/2006/main">
                  <a:graphicData uri="http://schemas.microsoft.com/office/word/2010/wordprocessingShape">
                    <wps:wsp>
                      <wps:cNvSpPr txBox="1"/>
                      <wps:spPr>
                        <a:xfrm>
                          <a:off x="1556385" y="2093595"/>
                          <a:ext cx="5264150" cy="3190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4A73B3">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重点任务17：不可移动文物、历史建筑等保护与利用</w:t>
                            </w:r>
                          </w:p>
                          <w:p w14:paraId="6378BC8C">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ascii="仿宋_GB2312" w:hAnsi="仿宋_GB2312" w:eastAsia="仿宋_GB2312" w:cs="仿宋_GB2312"/>
                                <w:b w:val="0"/>
                                <w:bCs w:val="0"/>
                                <w:color w:val="auto"/>
                                <w:spacing w:val="0"/>
                                <w:kern w:val="0"/>
                                <w:sz w:val="28"/>
                                <w:szCs w:val="28"/>
                                <w:highlight w:val="none"/>
                                <w:u w:val="none" w:color="auto"/>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依托“十三陵景区‘神路贯通’整治提升项目”，开展核心遗产区的系统性保护与展示提升工作。实施银山塔林文化生态修复，开展岩体稳定性与裂缝智能监测，建设生态栈道系统，串联法华寺遗址、转腰塔等节点，开发禅意文化体验空间。传承活化历史文化遗产，推动京张铁路周边更新提质，建设兴寿镇双泉历史文化广场，激活周边公共空间拓展升级，打造东小口镇文化遗迹、历史变迁景观走廊。“一屋一策”提出历史建筑改造方案，推进闲置历史文化资源活化用。“十五五”期间，历史建筑修缮和活化利用5处。</w:t>
                            </w:r>
                          </w:p>
                        </w:txbxContent>
                      </wps:txbx>
                      <wps:bodyPr rot="0" spcFirstLastPara="0" vertOverflow="overflow" horzOverflow="overflow" vert="horz" wrap="square" lIns="90000" tIns="45720" rIns="91440" bIns="45720" numCol="1" spcCol="0" rtlCol="0" fromWordArt="0" anchor="t" anchorCtr="0" forceAA="0" compatLnSpc="1">
                        <a:noAutofit/>
                      </wps:bodyPr>
                    </wps:wsp>
                  </a:graphicData>
                </a:graphic>
              </wp:inline>
            </w:drawing>
          </mc:Choice>
          <mc:Fallback>
            <w:pict>
              <v:shape id="_x0000_s1026" o:spid="_x0000_s1026" o:spt="202" type="#_x0000_t202" style="height:251.2pt;width:414.5pt;" fillcolor="#FFFFFF [3201]" filled="t" stroked="t" coordsize="21600,21600" o:gfxdata="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olhKb1QAAAAUBAAAPAAAAAAAAAAEAIAAAACIAAABkcnMvZG93bnJl&#10;di54bWxQSwECFAAUAAAACACHTuJAZI8WO3ICAADUBAAADgAAAAAAAAABACAAAAAkAQAAZHJzL2Uy&#10;b0RvYy54bWxQSwUGAAAAAAYABgBZAQAACAYAAAAA&#10;">
                <v:fill on="t" focussize="0,0"/>
                <v:stroke weight="0.5pt" color="#000000 [3204]" joinstyle="round"/>
                <v:imagedata o:title=""/>
                <o:lock v:ext="edit" aspectratio="f"/>
                <v:textbox inset="2.5mm,1.27mm,2.54mm,1.27mm">
                  <w:txbxContent>
                    <w:p w14:paraId="364A73B3">
                      <w:pPr>
                        <w:keepNext w:val="0"/>
                        <w:keepLines w:val="0"/>
                        <w:pageBreakBefore w:val="0"/>
                        <w:widowControl w:val="0"/>
                        <w:suppressAutoHyphens/>
                        <w:kinsoku/>
                        <w:wordWrap/>
                        <w:overflowPunct/>
                        <w:topLinePunct w:val="0"/>
                        <w:autoSpaceDE/>
                        <w:autoSpaceDN/>
                        <w:bidi w:val="0"/>
                        <w:adjustRightInd w:val="0"/>
                        <w:snapToGrid w:val="0"/>
                        <w:spacing w:after="0" w:line="560" w:lineRule="exact"/>
                        <w:ind w:right="0" w:rightChars="0" w:firstLine="0" w:firstLineChars="0"/>
                        <w:jc w:val="left"/>
                        <w:textAlignment w:val="auto"/>
                        <w:outlineLvl w:val="9"/>
                        <w:rPr>
                          <w:rFonts w:hint="default" w:ascii="仿宋_GB2312" w:hAnsi="仿宋_GB2312" w:eastAsia="仿宋_GB2312" w:cs="仿宋_GB2312"/>
                          <w:b/>
                          <w:bCs/>
                          <w:color w:val="auto"/>
                          <w:spacing w:val="0"/>
                          <w:kern w:val="0"/>
                          <w:sz w:val="32"/>
                          <w:szCs w:val="32"/>
                          <w:highlight w:val="none"/>
                          <w:u w:val="none" w:color="auto"/>
                          <w:lang w:val="en-US" w:eastAsia="zh-CN"/>
                        </w:rPr>
                      </w:pPr>
                      <w:r>
                        <w:rPr>
                          <w:rFonts w:hint="eastAsia" w:ascii="仿宋_GB2312" w:hAnsi="仿宋_GB2312" w:eastAsia="仿宋_GB2312" w:cs="仿宋_GB2312"/>
                          <w:b/>
                          <w:bCs/>
                          <w:color w:val="auto"/>
                          <w:spacing w:val="0"/>
                          <w:kern w:val="0"/>
                          <w:sz w:val="32"/>
                          <w:szCs w:val="32"/>
                          <w:highlight w:val="none"/>
                          <w:u w:val="none" w:color="auto"/>
                          <w:lang w:val="en-US" w:eastAsia="zh-CN"/>
                        </w:rPr>
                        <w:t>重点任务17：不可移动文物、历史建筑等保护与利用</w:t>
                      </w:r>
                    </w:p>
                    <w:p w14:paraId="6378BC8C">
                      <w:pPr>
                        <w:keepNext w:val="0"/>
                        <w:keepLines w:val="0"/>
                        <w:pageBreakBefore w:val="0"/>
                        <w:suppressAutoHyphens/>
                        <w:kinsoku/>
                        <w:wordWrap/>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ascii="仿宋_GB2312" w:hAnsi="仿宋_GB2312" w:eastAsia="仿宋_GB2312" w:cs="仿宋_GB2312"/>
                          <w:b w:val="0"/>
                          <w:bCs w:val="0"/>
                          <w:color w:val="auto"/>
                          <w:spacing w:val="0"/>
                          <w:kern w:val="0"/>
                          <w:sz w:val="28"/>
                          <w:szCs w:val="28"/>
                          <w:highlight w:val="none"/>
                          <w:u w:val="none" w:color="auto"/>
                          <w:lang w:val="en-US" w:eastAsia="zh-CN"/>
                        </w:rPr>
                      </w:pPr>
                      <w:r>
                        <w:rPr>
                          <w:rFonts w:hint="eastAsia" w:ascii="仿宋_GB2312" w:hAnsi="仿宋_GB2312" w:eastAsia="仿宋_GB2312" w:cs="仿宋_GB2312"/>
                          <w:b w:val="0"/>
                          <w:bCs w:val="0"/>
                          <w:color w:val="auto"/>
                          <w:spacing w:val="0"/>
                          <w:kern w:val="0"/>
                          <w:sz w:val="28"/>
                          <w:szCs w:val="28"/>
                          <w:highlight w:val="none"/>
                          <w:u w:val="none" w:color="auto"/>
                          <w:lang w:val="en-US" w:eastAsia="zh-CN"/>
                        </w:rPr>
                        <w:t>依托“十三陵景区‘神路贯通’整治提升项目”，开展核心遗产区的系统性保护与展示提升工作。实施银山塔林文化生态修复，开展岩体稳定性与裂缝智能监测，建设生态栈道系统，串联法华寺遗址、转腰塔等节点，开发禅意文化体验空间。传承活化历史文化遗产，推动京张铁路周边更新提质，建设兴寿镇双泉历史文化广场，激活周边公共空间拓展升级，打造东小口镇文化遗迹、历史变迁景观走廊。“一屋一策”提出历史建筑改造方案，推进闲置历史文化资源活化用。“十五五”期间，历史建筑修缮和活化利用5处。</w:t>
                      </w:r>
                    </w:p>
                  </w:txbxContent>
                </v:textbox>
                <w10:wrap type="none"/>
                <w10:anchorlock/>
              </v:shape>
            </w:pict>
          </mc:Fallback>
        </mc:AlternateContent>
      </w:r>
    </w:p>
    <w:p w14:paraId="7D9A2EB1">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0"/>
        <w:rPr>
          <w:rFonts w:hint="eastAsia" w:ascii="Times New Roman" w:hAnsi="Times New Roman" w:eastAsia="黑体" w:cs="仿宋_GB2312"/>
          <w:b w:val="0"/>
          <w:bCs/>
          <w:color w:val="auto"/>
          <w:spacing w:val="0"/>
          <w:kern w:val="44"/>
          <w:sz w:val="32"/>
          <w:szCs w:val="32"/>
          <w:highlight w:val="none"/>
          <w:u w:val="none" w:color="auto"/>
          <w:lang w:val="en-US" w:eastAsia="zh-CN"/>
        </w:rPr>
      </w:pPr>
      <w:bookmarkStart w:id="32" w:name="_Toc19834"/>
      <w:r>
        <w:rPr>
          <w:rFonts w:hint="eastAsia" w:ascii="Times New Roman" w:hAnsi="Times New Roman" w:eastAsia="黑体" w:cs="仿宋_GB2312"/>
          <w:b w:val="0"/>
          <w:bCs/>
          <w:color w:val="auto"/>
          <w:spacing w:val="0"/>
          <w:kern w:val="44"/>
          <w:sz w:val="32"/>
          <w:szCs w:val="32"/>
          <w:highlight w:val="none"/>
          <w:u w:val="none" w:color="auto"/>
          <w:lang w:val="en-US" w:eastAsia="zh-CN"/>
        </w:rPr>
        <w:t>八、加强组织实施保障</w:t>
      </w:r>
      <w:bookmarkEnd w:id="32"/>
    </w:p>
    <w:p w14:paraId="5585D5BE">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33" w:name="_Toc26584"/>
      <w:r>
        <w:rPr>
          <w:rFonts w:hint="eastAsia" w:ascii="Arial" w:hAnsi="Arial" w:eastAsia="黑体" w:cs="Times New Roman"/>
          <w:b w:val="0"/>
          <w:bCs/>
          <w:color w:val="auto"/>
          <w:spacing w:val="0"/>
          <w:kern w:val="0"/>
          <w:sz w:val="32"/>
          <w:szCs w:val="32"/>
          <w:highlight w:val="none"/>
          <w:u w:val="none" w:color="auto"/>
          <w:lang w:val="en-US" w:eastAsia="zh-CN"/>
        </w:rPr>
        <w:t>（一）健全城市更新工作机制</w:t>
      </w:r>
      <w:bookmarkEnd w:id="33"/>
    </w:p>
    <w:p w14:paraId="2540C33B">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落实区委、区政府工作部署，优化调整城市更新专项小组组成和工作制度，加强组织保障。提升城市更新工作小组统筹力度，加强会议调度和工作通报，研究重点难点问题，切实推动年度工作任务落实。</w:t>
      </w:r>
    </w:p>
    <w:p w14:paraId="473071AB">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34" w:name="_Toc23040"/>
      <w:r>
        <w:rPr>
          <w:rFonts w:hint="eastAsia" w:ascii="Arial" w:hAnsi="Arial" w:eastAsia="黑体" w:cs="Times New Roman"/>
          <w:b w:val="0"/>
          <w:bCs/>
          <w:color w:val="auto"/>
          <w:spacing w:val="0"/>
          <w:kern w:val="0"/>
          <w:sz w:val="32"/>
          <w:szCs w:val="32"/>
          <w:highlight w:val="none"/>
          <w:u w:val="none" w:color="auto"/>
          <w:lang w:val="en-US" w:eastAsia="zh-CN"/>
        </w:rPr>
        <w:t>（二）整合多元化资金来源</w:t>
      </w:r>
      <w:bookmarkEnd w:id="34"/>
    </w:p>
    <w:p w14:paraId="10A521DD">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积极争取中央预算内投资、中央补助资金、地方政府专项债券、超长期特别国债等各类政策资金。健全政府投资有效带动社会投资机制，强化政企协作。增量开发与存量更新联动发展，统筹空间与资金安排，推动重点片区整体更新。</w:t>
      </w:r>
    </w:p>
    <w:p w14:paraId="1683EFEB">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35" w:name="_Toc23728"/>
      <w:r>
        <w:rPr>
          <w:rFonts w:hint="eastAsia" w:ascii="Arial" w:hAnsi="Arial" w:eastAsia="黑体" w:cs="Times New Roman"/>
          <w:b w:val="0"/>
          <w:bCs/>
          <w:color w:val="auto"/>
          <w:spacing w:val="0"/>
          <w:kern w:val="0"/>
          <w:sz w:val="32"/>
          <w:szCs w:val="32"/>
          <w:highlight w:val="none"/>
          <w:u w:val="none" w:color="auto"/>
          <w:lang w:val="en-US" w:eastAsia="zh-CN"/>
        </w:rPr>
        <w:t>（三）推动城市更新项目实施</w:t>
      </w:r>
      <w:bookmarkEnd w:id="35"/>
    </w:p>
    <w:p w14:paraId="62BCC7AB">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落实城市更新行动总体目标和工作要求，着力推动各类项目落地实施。各领域主管部门做好政策整合、业务指导、资金支持，根据项目实施的难易程度，分类确定实施路径和建设时序。各镇街充分发挥属地管理责任，梳理辖区资源，组织更新项目实施，推动实施过程中的多方协商共建。</w:t>
      </w:r>
    </w:p>
    <w:p w14:paraId="5FB555D8">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36" w:name="_Toc12887"/>
      <w:r>
        <w:rPr>
          <w:rFonts w:hint="eastAsia" w:ascii="Arial" w:hAnsi="Arial" w:eastAsia="黑体" w:cs="Times New Roman"/>
          <w:b w:val="0"/>
          <w:bCs/>
          <w:color w:val="auto"/>
          <w:spacing w:val="0"/>
          <w:kern w:val="0"/>
          <w:sz w:val="32"/>
          <w:szCs w:val="32"/>
          <w:highlight w:val="none"/>
          <w:u w:val="none" w:color="auto"/>
          <w:lang w:val="en-US" w:eastAsia="zh-CN"/>
        </w:rPr>
        <w:t>（四）加强城市更新监督考核</w:t>
      </w:r>
      <w:bookmarkEnd w:id="36"/>
    </w:p>
    <w:p w14:paraId="537C1C97">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加强规划实施跟踪监测，定期开展规划实施评估，接受区人大监督，将规划实施及重大项目、改革、政策落实情况纳入区委、区政府督查考核体系。强化评估结果使用，指标分解落实到部门和镇街，纳入绩效考核。</w:t>
      </w:r>
    </w:p>
    <w:p w14:paraId="7CD1301C">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eastAsia" w:ascii="Arial" w:hAnsi="Arial" w:eastAsia="黑体" w:cs="Times New Roman"/>
          <w:b w:val="0"/>
          <w:bCs/>
          <w:color w:val="auto"/>
          <w:spacing w:val="0"/>
          <w:kern w:val="0"/>
          <w:sz w:val="32"/>
          <w:szCs w:val="32"/>
          <w:highlight w:val="none"/>
          <w:u w:val="none" w:color="auto"/>
          <w:lang w:val="en-US" w:eastAsia="zh-CN"/>
        </w:rPr>
      </w:pPr>
      <w:bookmarkStart w:id="37" w:name="_Toc7343"/>
      <w:r>
        <w:rPr>
          <w:rFonts w:hint="eastAsia" w:ascii="Arial" w:hAnsi="Arial" w:eastAsia="黑体" w:cs="Times New Roman"/>
          <w:b w:val="0"/>
          <w:bCs/>
          <w:color w:val="auto"/>
          <w:spacing w:val="0"/>
          <w:kern w:val="0"/>
          <w:sz w:val="32"/>
          <w:szCs w:val="32"/>
          <w:highlight w:val="none"/>
          <w:u w:val="none" w:color="auto"/>
          <w:lang w:val="en-US" w:eastAsia="zh-CN"/>
        </w:rPr>
        <w:t>（五）动员多方力量积极参与</w:t>
      </w:r>
      <w:bookmarkEnd w:id="37"/>
    </w:p>
    <w:p w14:paraId="1F73B31F">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 w:val="0"/>
          <w:bCs/>
          <w:color w:val="auto"/>
          <w:spacing w:val="0"/>
          <w:kern w:val="0"/>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 xml:space="preserve"> 发挥“多师”团队专业力量，加强政策宣传解读，引导多元主体参与，营造良好氛围。做好一线培训辅导，探索社会资本参与新模式，发挥城市更新联盟桥梁作用，搭建政企银研沟通平台，高水平组织召开城市更新论坛。</w:t>
      </w:r>
    </w:p>
    <w:p w14:paraId="2D48A110">
      <w:pPr>
        <w:keepNext/>
        <w:keepLines/>
        <w:pageBreakBefore w:val="0"/>
        <w:widowControl/>
        <w:suppressAutoHyphens/>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Arial" w:hAnsi="Arial" w:eastAsia="黑体" w:cs="Times New Roman"/>
          <w:b w:val="0"/>
          <w:bCs/>
          <w:color w:val="auto"/>
          <w:spacing w:val="0"/>
          <w:kern w:val="0"/>
          <w:sz w:val="32"/>
          <w:szCs w:val="32"/>
          <w:highlight w:val="none"/>
          <w:u w:val="none" w:color="auto"/>
          <w:lang w:val="en-US" w:eastAsia="zh-CN"/>
        </w:rPr>
      </w:pPr>
      <w:bookmarkStart w:id="38" w:name="_Toc20078"/>
      <w:r>
        <w:rPr>
          <w:rFonts w:hint="eastAsia" w:ascii="Arial" w:hAnsi="Arial" w:eastAsia="黑体" w:cs="Times New Roman"/>
          <w:b w:val="0"/>
          <w:bCs/>
          <w:color w:val="auto"/>
          <w:spacing w:val="0"/>
          <w:kern w:val="0"/>
          <w:sz w:val="32"/>
          <w:szCs w:val="32"/>
          <w:highlight w:val="none"/>
          <w:u w:val="none" w:color="auto"/>
          <w:lang w:val="en-US" w:eastAsia="zh-CN"/>
        </w:rPr>
        <w:t>（六）完善政策工具支撑</w:t>
      </w:r>
      <w:bookmarkEnd w:id="38"/>
    </w:p>
    <w:p w14:paraId="26621601">
      <w:pPr>
        <w:keepNext w:val="0"/>
        <w:keepLines w:val="0"/>
        <w:pageBreakBefore w:val="0"/>
        <w:suppressAutoHyphens/>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黑体" w:cs="仿宋_GB2312"/>
          <w:b w:val="0"/>
          <w:bCs/>
          <w:color w:val="auto"/>
          <w:spacing w:val="0"/>
          <w:kern w:val="44"/>
          <w:sz w:val="32"/>
          <w:szCs w:val="32"/>
          <w:highlight w:val="none"/>
          <w:u w:val="none" w:color="auto"/>
          <w:lang w:val="en-US" w:eastAsia="zh-CN"/>
        </w:rPr>
      </w:pPr>
      <w:r>
        <w:rPr>
          <w:rFonts w:hint="eastAsia" w:ascii="仿宋_GB2312" w:hAnsi="仿宋_GB2312" w:eastAsia="仿宋_GB2312" w:cs="仿宋_GB2312"/>
          <w:b w:val="0"/>
          <w:bCs/>
          <w:color w:val="auto"/>
          <w:spacing w:val="0"/>
          <w:kern w:val="0"/>
          <w:sz w:val="32"/>
          <w:szCs w:val="32"/>
          <w:highlight w:val="none"/>
          <w:u w:val="none" w:color="auto"/>
          <w:lang w:val="en-US" w:eastAsia="zh-CN"/>
        </w:rPr>
        <w:t>聚焦手续认定、产权明晰等细节，制定实施细则。探索以街区为基本单元统筹使用容积率等建筑指标，发挥市级弹性预留指标作用。优化审批流程，建立实施方案联动审批机制，统筹立项、资金平衡路径，构建多部门联合认定和审批机制，提高实施效率。</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B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C0B76">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6A54">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5304A9">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w:fldChar w:fldCharType="begin"/>
                          </w:r>
                          <w:r>
                            <w:rPr>
                              <w:rFonts w:ascii="仿宋_GB2312" w:hAnsi="仿宋_GB2312" w:eastAsia="仿宋_GB2312" w:cs="仿宋_GB2312"/>
                              <w:color w:val="auto"/>
                              <w:spacing w:val="0"/>
                              <w:kern w:val="0"/>
                              <w:sz w:val="18"/>
                              <w:szCs w:val="32"/>
                              <w:highlight w:val="none"/>
                              <w:u w:val="none" w:color="auto"/>
                              <w:lang w:val="en-US" w:eastAsia="zh-CN"/>
                            </w:rPr>
                            <w:instrText xml:space="preserve"> PAGE  \* MERGEFORMAT </w:instrText>
                          </w:r>
                          <w:r>
                            <w:rPr>
                              <w:rFonts w:ascii="仿宋_GB2312" w:hAnsi="仿宋_GB2312" w:eastAsia="仿宋_GB2312" w:cs="仿宋_GB2312"/>
                              <w:color w:val="auto"/>
                              <w:spacing w:val="0"/>
                              <w:kern w:val="0"/>
                              <w:sz w:val="18"/>
                              <w:szCs w:val="32"/>
                              <w:highlight w:val="none"/>
                              <w:u w:val="none" w:color="auto"/>
                              <w:lang w:val="en-US" w:eastAsia="zh-CN"/>
                            </w:rPr>
                            <w:fldChar w:fldCharType="separate"/>
                          </w:r>
                          <w:r>
                            <w:rPr>
                              <w:rFonts w:ascii="仿宋_GB2312" w:hAnsi="仿宋_GB2312" w:eastAsia="仿宋_GB2312" w:cs="仿宋_GB2312"/>
                              <w:color w:val="auto"/>
                              <w:spacing w:val="0"/>
                              <w:kern w:val="0"/>
                              <w:sz w:val="18"/>
                              <w:szCs w:val="32"/>
                              <w:highlight w:val="none"/>
                              <w:u w:val="none" w:color="auto"/>
                              <w:lang w:val="en-US" w:eastAsia="zh-CN"/>
                            </w:rPr>
                            <w:t>1</w:t>
                          </w:r>
                          <w:r>
                            <w:rPr>
                              <w:rFonts w:ascii="仿宋_GB2312" w:hAnsi="仿宋_GB2312" w:eastAsia="仿宋_GB2312" w:cs="仿宋_GB2312"/>
                              <w:color w:val="auto"/>
                              <w:spacing w:val="0"/>
                              <w:kern w:val="0"/>
                              <w:sz w:val="18"/>
                              <w:szCs w:val="32"/>
                              <w:highlight w:val="none"/>
                              <w:u w:val="none" w:color="auto"/>
                              <w:lang w:val="en-US"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635304A9">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w:fldChar w:fldCharType="begin"/>
                    </w:r>
                    <w:r>
                      <w:rPr>
                        <w:rFonts w:ascii="仿宋_GB2312" w:hAnsi="仿宋_GB2312" w:eastAsia="仿宋_GB2312" w:cs="仿宋_GB2312"/>
                        <w:color w:val="auto"/>
                        <w:spacing w:val="0"/>
                        <w:kern w:val="0"/>
                        <w:sz w:val="18"/>
                        <w:szCs w:val="32"/>
                        <w:highlight w:val="none"/>
                        <w:u w:val="none" w:color="auto"/>
                        <w:lang w:val="en-US" w:eastAsia="zh-CN"/>
                      </w:rPr>
                      <w:instrText xml:space="preserve"> PAGE  \* MERGEFORMAT </w:instrText>
                    </w:r>
                    <w:r>
                      <w:rPr>
                        <w:rFonts w:ascii="仿宋_GB2312" w:hAnsi="仿宋_GB2312" w:eastAsia="仿宋_GB2312" w:cs="仿宋_GB2312"/>
                        <w:color w:val="auto"/>
                        <w:spacing w:val="0"/>
                        <w:kern w:val="0"/>
                        <w:sz w:val="18"/>
                        <w:szCs w:val="32"/>
                        <w:highlight w:val="none"/>
                        <w:u w:val="none" w:color="auto"/>
                        <w:lang w:val="en-US" w:eastAsia="zh-CN"/>
                      </w:rPr>
                      <w:fldChar w:fldCharType="separate"/>
                    </w:r>
                    <w:r>
                      <w:rPr>
                        <w:rFonts w:ascii="仿宋_GB2312" w:hAnsi="仿宋_GB2312" w:eastAsia="仿宋_GB2312" w:cs="仿宋_GB2312"/>
                        <w:color w:val="auto"/>
                        <w:spacing w:val="0"/>
                        <w:kern w:val="0"/>
                        <w:sz w:val="18"/>
                        <w:szCs w:val="32"/>
                        <w:highlight w:val="none"/>
                        <w:u w:val="none" w:color="auto"/>
                        <w:lang w:val="en-US" w:eastAsia="zh-CN"/>
                      </w:rPr>
                      <w:t>1</w:t>
                    </w:r>
                    <w:r>
                      <w:rPr>
                        <w:rFonts w:ascii="仿宋_GB2312" w:hAnsi="仿宋_GB2312" w:eastAsia="仿宋_GB2312" w:cs="仿宋_GB2312"/>
                        <w:color w:val="auto"/>
                        <w:spacing w:val="0"/>
                        <w:kern w:val="0"/>
                        <w:sz w:val="18"/>
                        <w:szCs w:val="32"/>
                        <w:highlight w:val="none"/>
                        <w:u w:val="none" w:color="auto"/>
                        <w:lang w:val="en-US"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63AC">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08359">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w:fldChar w:fldCharType="begin"/>
                          </w:r>
                          <w:r>
                            <w:rPr>
                              <w:rFonts w:ascii="仿宋_GB2312" w:hAnsi="仿宋_GB2312" w:eastAsia="仿宋_GB2312" w:cs="仿宋_GB2312"/>
                              <w:color w:val="auto"/>
                              <w:spacing w:val="0"/>
                              <w:kern w:val="0"/>
                              <w:sz w:val="18"/>
                              <w:szCs w:val="32"/>
                              <w:highlight w:val="none"/>
                              <w:u w:val="none" w:color="auto"/>
                              <w:lang w:val="en-US" w:eastAsia="zh-CN"/>
                            </w:rPr>
                            <w:instrText xml:space="preserve"> PAGE  \* MERGEFORMAT </w:instrText>
                          </w:r>
                          <w:r>
                            <w:rPr>
                              <w:rFonts w:ascii="仿宋_GB2312" w:hAnsi="仿宋_GB2312" w:eastAsia="仿宋_GB2312" w:cs="仿宋_GB2312"/>
                              <w:color w:val="auto"/>
                              <w:spacing w:val="0"/>
                              <w:kern w:val="0"/>
                              <w:sz w:val="18"/>
                              <w:szCs w:val="32"/>
                              <w:highlight w:val="none"/>
                              <w:u w:val="none" w:color="auto"/>
                              <w:lang w:val="en-US" w:eastAsia="zh-CN"/>
                            </w:rPr>
                            <w:fldChar w:fldCharType="separate"/>
                          </w:r>
                          <w:r>
                            <w:rPr>
                              <w:rFonts w:ascii="仿宋_GB2312" w:hAnsi="仿宋_GB2312" w:eastAsia="仿宋_GB2312" w:cs="仿宋_GB2312"/>
                              <w:color w:val="auto"/>
                              <w:spacing w:val="0"/>
                              <w:kern w:val="0"/>
                              <w:sz w:val="18"/>
                              <w:szCs w:val="32"/>
                              <w:highlight w:val="none"/>
                              <w:u w:val="none" w:color="auto"/>
                              <w:lang w:val="en-US" w:eastAsia="zh-CN"/>
                            </w:rPr>
                            <w:t>1</w:t>
                          </w:r>
                          <w:r>
                            <w:rPr>
                              <w:rFonts w:ascii="仿宋_GB2312" w:hAnsi="仿宋_GB2312" w:eastAsia="仿宋_GB2312" w:cs="仿宋_GB2312"/>
                              <w:color w:val="auto"/>
                              <w:spacing w:val="0"/>
                              <w:kern w:val="0"/>
                              <w:sz w:val="18"/>
                              <w:szCs w:val="32"/>
                              <w:highlight w:val="none"/>
                              <w:u w:val="none" w:color="auto"/>
                              <w:lang w:val="en-US"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2008359">
                    <w:pPr>
                      <w:keepNext w:val="0"/>
                      <w:keepLines w:val="0"/>
                      <w:pageBreakBefore w:val="0"/>
                      <w:widowControl w:val="0"/>
                      <w:tabs>
                        <w:tab w:val="center" w:pos="4153"/>
                        <w:tab w:val="right" w:pos="8306"/>
                      </w:tabs>
                      <w:suppressAutoHyphens/>
                      <w:kinsoku/>
                      <w:wordWrap/>
                      <w:overflowPunct/>
                      <w:topLinePunct w:val="0"/>
                      <w:autoSpaceDE/>
                      <w:autoSpaceDN/>
                      <w:bidi w:val="0"/>
                      <w:adjustRightInd w:val="0"/>
                      <w:snapToGrid w:val="0"/>
                      <w:spacing w:line="360" w:lineRule="auto"/>
                      <w:ind w:right="0" w:rightChars="0" w:firstLine="360" w:firstLineChars="200"/>
                      <w:jc w:val="left"/>
                      <w:textAlignment w:val="auto"/>
                      <w:outlineLvl w:val="9"/>
                      <w:rPr>
                        <w:rFonts w:ascii="仿宋_GB2312" w:hAnsi="仿宋_GB2312" w:eastAsia="仿宋_GB2312" w:cs="仿宋_GB2312"/>
                        <w:color w:val="auto"/>
                        <w:spacing w:val="0"/>
                        <w:kern w:val="0"/>
                        <w:sz w:val="18"/>
                        <w:szCs w:val="32"/>
                        <w:highlight w:val="none"/>
                        <w:u w:val="none" w:color="auto"/>
                        <w:lang w:val="en-US" w:eastAsia="zh-CN"/>
                      </w:rPr>
                    </w:pPr>
                    <w:r>
                      <w:rPr>
                        <w:rFonts w:ascii="仿宋_GB2312" w:hAnsi="仿宋_GB2312" w:eastAsia="仿宋_GB2312" w:cs="仿宋_GB2312"/>
                        <w:color w:val="auto"/>
                        <w:spacing w:val="0"/>
                        <w:kern w:val="0"/>
                        <w:sz w:val="18"/>
                        <w:szCs w:val="32"/>
                        <w:highlight w:val="none"/>
                        <w:u w:val="none" w:color="auto"/>
                        <w:lang w:val="en-US" w:eastAsia="zh-CN"/>
                      </w:rPr>
                      <w:fldChar w:fldCharType="begin"/>
                    </w:r>
                    <w:r>
                      <w:rPr>
                        <w:rFonts w:ascii="仿宋_GB2312" w:hAnsi="仿宋_GB2312" w:eastAsia="仿宋_GB2312" w:cs="仿宋_GB2312"/>
                        <w:color w:val="auto"/>
                        <w:spacing w:val="0"/>
                        <w:kern w:val="0"/>
                        <w:sz w:val="18"/>
                        <w:szCs w:val="32"/>
                        <w:highlight w:val="none"/>
                        <w:u w:val="none" w:color="auto"/>
                        <w:lang w:val="en-US" w:eastAsia="zh-CN"/>
                      </w:rPr>
                      <w:instrText xml:space="preserve"> PAGE  \* MERGEFORMAT </w:instrText>
                    </w:r>
                    <w:r>
                      <w:rPr>
                        <w:rFonts w:ascii="仿宋_GB2312" w:hAnsi="仿宋_GB2312" w:eastAsia="仿宋_GB2312" w:cs="仿宋_GB2312"/>
                        <w:color w:val="auto"/>
                        <w:spacing w:val="0"/>
                        <w:kern w:val="0"/>
                        <w:sz w:val="18"/>
                        <w:szCs w:val="32"/>
                        <w:highlight w:val="none"/>
                        <w:u w:val="none" w:color="auto"/>
                        <w:lang w:val="en-US" w:eastAsia="zh-CN"/>
                      </w:rPr>
                      <w:fldChar w:fldCharType="separate"/>
                    </w:r>
                    <w:r>
                      <w:rPr>
                        <w:rFonts w:ascii="仿宋_GB2312" w:hAnsi="仿宋_GB2312" w:eastAsia="仿宋_GB2312" w:cs="仿宋_GB2312"/>
                        <w:color w:val="auto"/>
                        <w:spacing w:val="0"/>
                        <w:kern w:val="0"/>
                        <w:sz w:val="18"/>
                        <w:szCs w:val="32"/>
                        <w:highlight w:val="none"/>
                        <w:u w:val="none" w:color="auto"/>
                        <w:lang w:val="en-US" w:eastAsia="zh-CN"/>
                      </w:rPr>
                      <w:t>1</w:t>
                    </w:r>
                    <w:r>
                      <w:rPr>
                        <w:rFonts w:ascii="仿宋_GB2312" w:hAnsi="仿宋_GB2312" w:eastAsia="仿宋_GB2312" w:cs="仿宋_GB2312"/>
                        <w:color w:val="auto"/>
                        <w:spacing w:val="0"/>
                        <w:kern w:val="0"/>
                        <w:sz w:val="18"/>
                        <w:szCs w:val="32"/>
                        <w:highlight w:val="none"/>
                        <w:u w:val="none" w:color="auto"/>
                        <w:lang w:val="en-US"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E2130D"/>
    <w:rsid w:val="01714809"/>
    <w:rsid w:val="03F76F7C"/>
    <w:rsid w:val="042C2C6A"/>
    <w:rsid w:val="051161E6"/>
    <w:rsid w:val="06A66D03"/>
    <w:rsid w:val="0A1569B2"/>
    <w:rsid w:val="0A7658C8"/>
    <w:rsid w:val="0BAC08D6"/>
    <w:rsid w:val="0F8751F8"/>
    <w:rsid w:val="10A6546C"/>
    <w:rsid w:val="171A7634"/>
    <w:rsid w:val="17365E81"/>
    <w:rsid w:val="1B0B2144"/>
    <w:rsid w:val="1B436EEA"/>
    <w:rsid w:val="212C6F54"/>
    <w:rsid w:val="21FE0FA3"/>
    <w:rsid w:val="241F4C61"/>
    <w:rsid w:val="24D17FF7"/>
    <w:rsid w:val="2BC11D67"/>
    <w:rsid w:val="2DE2130D"/>
    <w:rsid w:val="2F37233F"/>
    <w:rsid w:val="30B84A1E"/>
    <w:rsid w:val="30F57138"/>
    <w:rsid w:val="35DD0BCE"/>
    <w:rsid w:val="380A4FDF"/>
    <w:rsid w:val="39417124"/>
    <w:rsid w:val="3ADF1EA8"/>
    <w:rsid w:val="3DCB7AF0"/>
    <w:rsid w:val="40B35B38"/>
    <w:rsid w:val="41672A11"/>
    <w:rsid w:val="466B4BAC"/>
    <w:rsid w:val="480F1130"/>
    <w:rsid w:val="481A781E"/>
    <w:rsid w:val="49382AE4"/>
    <w:rsid w:val="49D63493"/>
    <w:rsid w:val="50AE5364"/>
    <w:rsid w:val="50D74E13"/>
    <w:rsid w:val="530F30D7"/>
    <w:rsid w:val="55FB150F"/>
    <w:rsid w:val="5A645FEA"/>
    <w:rsid w:val="5C695FAC"/>
    <w:rsid w:val="5D3D55ED"/>
    <w:rsid w:val="5E6C4478"/>
    <w:rsid w:val="5EAF51C8"/>
    <w:rsid w:val="5F6F0AFE"/>
    <w:rsid w:val="65C2660C"/>
    <w:rsid w:val="65F903DC"/>
    <w:rsid w:val="6DBF7578"/>
    <w:rsid w:val="71CD20B4"/>
    <w:rsid w:val="744D6889"/>
    <w:rsid w:val="74E90F94"/>
    <w:rsid w:val="765D0BCA"/>
    <w:rsid w:val="792B1AC3"/>
    <w:rsid w:val="7A813C2C"/>
    <w:rsid w:val="7C2809AC"/>
    <w:rsid w:val="7DEE7764"/>
    <w:rsid w:val="7DF20DCE"/>
    <w:rsid w:val="7FB73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unhideWhenUsed/>
    <w:qFormat/>
    <w:uiPriority w:val="0"/>
    <w:pPr>
      <w:keepNext/>
      <w:keepLines/>
      <w:widowControl/>
      <w:adjustRightInd/>
      <w:snapToGrid/>
      <w:spacing w:before="100" w:beforeLines="100" w:afterLines="0" w:line="360" w:lineRule="auto"/>
      <w:ind w:firstLine="643"/>
      <w:outlineLvl w:val="2"/>
    </w:pPr>
    <w:rPr>
      <w:rFonts w:ascii="Times New Roman" w:hAnsi="Times New Roman" w:cs="Times New Roman"/>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 w:val="24"/>
      <w:szCs w:val="20"/>
    </w:r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Indent"/>
    <w:basedOn w:val="1"/>
    <w:next w:val="4"/>
    <w:qFormat/>
    <w:uiPriority w:val="0"/>
    <w:pPr>
      <w:ind w:firstLine="640" w:firstLineChars="200"/>
    </w:pPr>
    <w:rPr>
      <w:rFonts w:ascii="Times New Roman" w:hAnsi="Times New Roman" w:eastAsia="仿宋_GB2312" w:cs="Times New Roman"/>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4aabb394-0960-48d3-9405-611826bca1d4</errorID>
      <errorWord xmlns="http://schemas.wps.cn/vas-ai-hub/contract-review">建设**处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建设</item>
      </candidateList>
      <explain xmlns="http://schemas.wps.cn/vas-ai-hub/contract-review"/>
      <paraID xmlns="http://schemas.wps.cn/vas-ai-hub/contract-review">5CBD0B48</paraID>
      <start xmlns="http://schemas.wps.cn/vas-ai-hub/contract-review">109</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1c9893-281b-42ae-b6cd-4976176c8560}">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8241</Words>
  <Characters>8327</Characters>
  <Lines>0</Lines>
  <Paragraphs>0</Paragraphs>
  <TotalTime>8</TotalTime>
  <ScaleCrop>false</ScaleCrop>
  <LinksUpToDate>false</LinksUpToDate>
  <CharactersWithSpaces>8427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2026-09-15T10:54:00Z</dcterms:created>
  <dc:creator>尹延哲</dc:creator>
  <cp:lastModifiedBy>HIGC</cp:lastModifiedBy>
  <dcterms:modified xsi:type="dcterms:W3CDTF">2026-10-27T19:23:02Z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20820EB8528D4A63A6085B4A842FB03A_13</vt:lpwstr>
  </property>
  <property fmtid="{D5CDD505-2E9C-101B-9397-08002B2CF9AE}" pid="4" name="KSOTemplateDocerSaveRecord">
    <vt:lpwstr>eyJoZGlkIjoiODVjZjNkZjc2NWZhYWY3Y2MyMjQxYjU0YWIwZTQ5YTQiLCJ1c2VySWQiOiIxMTU3NTIyMjA2In0=</vt:lpwstr>
  </property>
</Properties>
</file>