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1800"/>
          <w:tab w:val="left" w:pos="7455"/>
        </w:tabs>
        <w:adjustRightInd w:val="0"/>
        <w:snapToGrid w:val="0"/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bookmarkStart w:id="0" w:name="OLE_LINK9"/>
      <w:bookmarkStart w:id="1" w:name="OLE_LINK10"/>
      <w:r>
        <w:rPr>
          <w:rFonts w:hint="eastAsia" w:ascii="方正小标宋简体" w:hAnsi="Times New Roman" w:eastAsia="方正小标宋简体"/>
          <w:sz w:val="44"/>
          <w:szCs w:val="44"/>
        </w:rPr>
        <w:t>《丰台区“十五五”时期</w:t>
      </w:r>
      <w:r>
        <w:rPr>
          <w:rFonts w:ascii="方正小标宋简体" w:hAnsi="Times New Roman" w:eastAsia="方正小标宋简体"/>
          <w:sz w:val="44"/>
          <w:szCs w:val="44"/>
        </w:rPr>
        <w:t>城市更新发展</w:t>
      </w:r>
    </w:p>
    <w:p>
      <w:pPr>
        <w:widowControl/>
        <w:tabs>
          <w:tab w:val="left" w:pos="1800"/>
          <w:tab w:val="left" w:pos="7455"/>
        </w:tabs>
        <w:adjustRightInd w:val="0"/>
        <w:snapToGrid w:val="0"/>
        <w:spacing w:line="560" w:lineRule="exact"/>
        <w:jc w:val="center"/>
        <w:rPr>
          <w:rFonts w:hint="eastAsia" w:ascii="方正黑体_GBK" w:hAnsi="方正黑体_GBK" w:eastAsia="方正小标宋简体" w:cs="方正黑体_GBK"/>
          <w:sz w:val="44"/>
          <w:szCs w:val="44"/>
        </w:rPr>
      </w:pPr>
      <w:r>
        <w:rPr>
          <w:rFonts w:ascii="方正小标宋简体" w:hAnsi="Times New Roman" w:eastAsia="方正小标宋简体"/>
          <w:sz w:val="44"/>
          <w:szCs w:val="44"/>
        </w:rPr>
        <w:t>规划</w:t>
      </w:r>
      <w:r>
        <w:rPr>
          <w:rFonts w:hint="eastAsia" w:ascii="方正小标宋简体" w:hAnsi="Times New Roman" w:eastAsia="方正小标宋简体"/>
          <w:sz w:val="44"/>
          <w:szCs w:val="44"/>
        </w:rPr>
        <w:t>（征求意见稿）》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起草说明</w:t>
      </w:r>
    </w:p>
    <w:p>
      <w:pPr>
        <w:pStyle w:val="16"/>
        <w:ind w:firstLine="640" w:firstLineChars="200"/>
        <w:jc w:val="both"/>
        <w:rPr>
          <w:rFonts w:eastAsia="黑体" w:cs="Times New Roman"/>
          <w:sz w:val="32"/>
          <w:szCs w:val="32"/>
        </w:rPr>
      </w:pPr>
    </w:p>
    <w:p>
      <w:pPr>
        <w:pStyle w:val="16"/>
        <w:ind w:firstLine="640" w:firstLineChars="200"/>
        <w:jc w:val="both"/>
        <w:rPr>
          <w:rFonts w:eastAsia="黑体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</w:rPr>
        <w:t>一、编制背景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为深入贯彻</w:t>
      </w:r>
      <w:r>
        <w:rPr>
          <w:rFonts w:hint="eastAsia" w:ascii="仿宋_GB2312" w:eastAsia="仿宋_GB2312" w:cs="仿宋_GB2312"/>
          <w:sz w:val="32"/>
          <w:szCs w:val="32"/>
        </w:rPr>
        <w:t>《城市更新“十五五”规划》</w:t>
      </w:r>
      <w:r>
        <w:rPr>
          <w:rFonts w:hint="eastAsia" w:ascii="Times New Roman" w:hAnsi="Times New Roman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</w:rPr>
        <w:t>《北京市丰台区国民经济和社会发展第十五个五年规划和二</w:t>
      </w:r>
      <w:r>
        <w:rPr>
          <w:rFonts w:hint="eastAsia" w:cs="宋体"/>
          <w:sz w:val="32"/>
          <w:szCs w:val="32"/>
        </w:rPr>
        <w:t>〇</w:t>
      </w:r>
      <w:r>
        <w:rPr>
          <w:rFonts w:hint="eastAsia" w:ascii="仿宋_GB2312" w:eastAsia="仿宋_GB2312" w:cs="仿宋_GB2312"/>
          <w:sz w:val="32"/>
          <w:szCs w:val="32"/>
        </w:rPr>
        <w:t>三五年远景目标纲要》等上位规划</w:t>
      </w:r>
      <w:r>
        <w:rPr>
          <w:rFonts w:hint="eastAsia" w:ascii="Times New Roman" w:hAnsi="Times New Roman" w:eastAsia="仿宋_GB2312"/>
          <w:sz w:val="32"/>
          <w:szCs w:val="32"/>
        </w:rPr>
        <w:t>中</w:t>
      </w:r>
      <w:r>
        <w:rPr>
          <w:rFonts w:ascii="Times New Roman" w:hAnsi="Times New Roman" w:eastAsia="仿宋_GB2312"/>
          <w:sz w:val="32"/>
          <w:szCs w:val="32"/>
        </w:rPr>
        <w:t>关于</w:t>
      </w:r>
      <w:r>
        <w:rPr>
          <w:rFonts w:hint="eastAsia" w:ascii="Times New Roman" w:hAnsi="Times New Roman" w:eastAsia="仿宋_GB2312"/>
          <w:sz w:val="32"/>
          <w:szCs w:val="32"/>
        </w:rPr>
        <w:t>城市更新的工作</w:t>
      </w:r>
      <w:r>
        <w:rPr>
          <w:rFonts w:ascii="Times New Roman" w:hAnsi="Times New Roman" w:eastAsia="仿宋_GB2312"/>
          <w:sz w:val="32"/>
          <w:szCs w:val="32"/>
        </w:rPr>
        <w:t>部署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持续加快城市更新步伐</w:t>
      </w:r>
      <w:r>
        <w:rPr>
          <w:rFonts w:hint="eastAsia" w:ascii="Times New Roman" w:hAnsi="Times New Roman" w:eastAsia="仿宋_GB2312"/>
          <w:sz w:val="32"/>
          <w:szCs w:val="32"/>
        </w:rPr>
        <w:t>，丰台区</w:t>
      </w:r>
      <w:r>
        <w:rPr>
          <w:rFonts w:ascii="Times New Roman" w:hAnsi="Times New Roman" w:eastAsia="仿宋_GB2312"/>
          <w:sz w:val="32"/>
          <w:szCs w:val="32"/>
        </w:rPr>
        <w:t>住房和城乡建设委员会</w:t>
      </w:r>
      <w:r>
        <w:rPr>
          <w:rFonts w:hint="eastAsia" w:ascii="Times New Roman" w:hAnsi="Times New Roman" w:eastAsia="仿宋_GB2312"/>
          <w:sz w:val="32"/>
          <w:szCs w:val="32"/>
        </w:rPr>
        <w:t>牵头研究编制了《丰台区“十五五”时期</w:t>
      </w:r>
      <w:r>
        <w:rPr>
          <w:rFonts w:ascii="Times New Roman" w:hAnsi="Times New Roman" w:eastAsia="仿宋_GB2312"/>
          <w:sz w:val="32"/>
          <w:szCs w:val="32"/>
        </w:rPr>
        <w:t>城市更新发展</w:t>
      </w:r>
      <w:r>
        <w:rPr>
          <w:rFonts w:hint="eastAsia" w:ascii="Times New Roman" w:hAnsi="Times New Roman" w:eastAsia="仿宋_GB2312"/>
          <w:sz w:val="32"/>
          <w:szCs w:val="32"/>
        </w:rPr>
        <w:t>规划》（以下简称“《规划》”）。</w:t>
      </w:r>
    </w:p>
    <w:p>
      <w:pPr>
        <w:pStyle w:val="16"/>
        <w:numPr>
          <w:ilvl w:val="0"/>
          <w:numId w:val="2"/>
        </w:numPr>
        <w:ind w:firstLine="640" w:firstLineChars="200"/>
        <w:jc w:val="both"/>
        <w:rPr>
          <w:rFonts w:eastAsia="黑体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</w:rPr>
        <w:t>编制过程</w:t>
      </w:r>
    </w:p>
    <w:p>
      <w:pPr>
        <w:pStyle w:val="16"/>
        <w:ind w:firstLine="640" w:firstLineChars="200"/>
        <w:jc w:val="both"/>
        <w:rPr>
          <w:rFonts w:eastAsia="黑体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在规划起草过程中，丰台区</w:t>
      </w:r>
      <w:r>
        <w:rPr>
          <w:rFonts w:eastAsia="仿宋_GB2312"/>
          <w:sz w:val="32"/>
          <w:szCs w:val="32"/>
        </w:rPr>
        <w:t>住房和城乡建设委员会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紧密结合全区“三化五区”总体发展战略、重点发展方向、重要功能区开展研究，做好重点任务安排及重大项目谋划，与区规划纲要、城市更新</w:t>
      </w:r>
      <w:r>
        <w:rPr>
          <w:rFonts w:hint="eastAsia" w:eastAsia="仿宋_GB2312"/>
          <w:sz w:val="32"/>
          <w:szCs w:val="32"/>
        </w:rPr>
        <w:t>“十五五”</w:t>
      </w:r>
      <w:r>
        <w:rPr>
          <w:rFonts w:hint="eastAsia" w:ascii="仿宋_GB2312" w:hAnsi="仿宋_GB2312" w:eastAsia="仿宋_GB2312" w:cs="仿宋_GB2312"/>
          <w:sz w:val="32"/>
          <w:szCs w:val="32"/>
        </w:rPr>
        <w:t>规划等上位规划充分衔接，广泛征求各职能部门、属地及社会各界意见，确保重点项目建设有保障、实施有抓手、数据有支撑、规划可引领，经过多轮修改完善，最终形成规划成果。</w:t>
      </w:r>
    </w:p>
    <w:p>
      <w:pPr>
        <w:pStyle w:val="16"/>
        <w:ind w:firstLine="640" w:firstLineChars="200"/>
        <w:jc w:val="both"/>
        <w:rPr>
          <w:rFonts w:eastAsia="黑体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</w:rPr>
        <w:t>三、规划主要内容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《规划》主要分为七个部分，具体内容如下。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把握发展进程，全力推进城市更新示范区建设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以推进城市更新为重要抓手，立足“四区一枢纽”的战略功能定位与首都前院、城市门户、文化客厅、生态屏障、幸福家园的发展要求，建设“城市更新示范区”，落实“三化”要求，以更新促均衡、提质量、注动能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ascii="仿宋_GB2312" w:hAnsi="仿宋_GB2312" w:eastAsia="仿宋_GB2312" w:cs="仿宋_GB2312"/>
          <w:sz w:val="32"/>
          <w:szCs w:val="32"/>
        </w:rPr>
        <w:t>结合“五区”目标，以更新强化首都功能保障、推动区域协同发展、促进产城高效运转、塑造花园城市特色、提高人民生活品质。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推进一体融合，强化重点片区示范引领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</w:t>
      </w:r>
      <w:r>
        <w:rPr>
          <w:rFonts w:ascii="仿宋_GB2312" w:hAnsi="仿宋_GB2312" w:eastAsia="仿宋_GB2312" w:cs="仿宋_GB2312"/>
          <w:sz w:val="32"/>
          <w:szCs w:val="32"/>
        </w:rPr>
        <w:t>南中轴、“两园一河”为统领，建设城市活力新片区</w:t>
      </w:r>
      <w:r>
        <w:rPr>
          <w:rFonts w:hint="eastAsia" w:ascii="仿宋_GB2312" w:hAnsi="仿宋_GB2312" w:eastAsia="仿宋_GB2312" w:cs="仿宋_GB2312"/>
          <w:sz w:val="32"/>
          <w:szCs w:val="32"/>
        </w:rPr>
        <w:t>。打造</w:t>
      </w:r>
      <w:r>
        <w:rPr>
          <w:rFonts w:ascii="仿宋_GB2312" w:hAnsi="仿宋_GB2312" w:eastAsia="仿宋_GB2312" w:cs="仿宋_GB2312"/>
          <w:sz w:val="32"/>
          <w:szCs w:val="32"/>
        </w:rPr>
        <w:t>“三站两楼”开放枢纽，提升一体化水平</w:t>
      </w:r>
      <w:r>
        <w:rPr>
          <w:rFonts w:hint="eastAsia" w:ascii="仿宋_GB2312" w:hAnsi="仿宋_GB2312" w:eastAsia="仿宋_GB2312" w:cs="仿宋_GB2312"/>
          <w:sz w:val="32"/>
          <w:szCs w:val="32"/>
        </w:rPr>
        <w:t>。发挥中关村政策区的引领作用，强化大院大所、国有企业和属地街镇的统筹谋划作用，推动片区式更新。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提升民生温度，实现全龄友好活力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推进农村城市化，有序实施城中村改造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鼓励探索“原拆原建+”模式，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</w:t>
      </w:r>
      <w:r>
        <w:rPr>
          <w:rFonts w:ascii="仿宋_GB2312" w:hAnsi="仿宋_GB2312" w:eastAsia="仿宋_GB2312" w:cs="仿宋_GB2312"/>
          <w:sz w:val="32"/>
          <w:szCs w:val="32"/>
        </w:rPr>
        <w:t>危楼改建场景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持续推进城镇老旧小区改造，提升人居环境质量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完整社区建设扩面提质，补齐公共服务短板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提供高品质生活服务供给。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促进产业焕新，激活创新动力源泉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推进低效、老旧楼宇转型升级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推动商业设施更新与消费需求相适应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打造产业升级场景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推进老旧街区成片焕新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分类引导老旧厂区转型升级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促进产业提质增效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营造活力街区场景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推广智能建造技术应用，培育智能建造场景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优化基础设施，加强区域协同发展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提升交通基础设施承载能力，全面提高交通综合治理能力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分类实施城市生命线工程，推动河西与河东均衡化发展。统筹利用地下空间，增强城市安全韧性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推进既有轨道交通线路提效增能，挖掘轨道微中心及其他站点城市更新机遇。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（六）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提升空间品质，打造花园城市特色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坚持系统治理、水城共融，提升滨水空间品质，塑造滨水活力场景。立足首都西南生态屏障定位，修复城市生态系统，统筹绿化彩化、功能复合与全民共享，营造花园城市场景。赓续都城文脉，深入挖掘丰台特色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保护传承城市历史文化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深化以用促保，打造文旅融合场景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2" w:firstLineChars="200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（七）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凝聚各方力量，高标准保障规划实施</w:t>
      </w:r>
    </w:p>
    <w:p>
      <w:pPr>
        <w:tabs>
          <w:tab w:val="left" w:pos="4516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在组织模式、政策创新、多态融合、公共效益、持续运维、实施主体等维度形成示范效应，保障规划引领下的城市更新工作有序开展。</w:t>
      </w:r>
      <w:bookmarkStart w:id="2" w:name="_GoBack"/>
      <w:bookmarkEnd w:id="2"/>
    </w:p>
    <w:p>
      <w:pPr>
        <w:pStyle w:val="6"/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四、需要特别说明的问题</w:t>
      </w:r>
    </w:p>
    <w:p>
      <w:pPr>
        <w:pStyle w:val="6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66B16"/>
    <w:multiLevelType w:val="multilevel"/>
    <w:tmpl w:val="14066B16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default" w:ascii="Times New Roman" w:hAnsi="Times New Roman" w:eastAsia="黑体"/>
        <w:sz w:val="32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0"/>
      </w:pPr>
      <w:rPr>
        <w:rFonts w:hint="eastAsia" w:ascii="Times New Roman" w:hAnsi="Times New Roman" w:eastAsia="楷体_GB2312"/>
        <w:b w:val="0"/>
        <w:bCs/>
        <w:i w:val="0"/>
        <w:sz w:val="32"/>
      </w:rPr>
    </w:lvl>
    <w:lvl w:ilvl="2" w:tentative="0">
      <w:start w:val="1"/>
      <w:numFmt w:val="decimal"/>
      <w:suff w:val="nothing"/>
      <w:lvlText w:val="%3. 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3" w:tentative="0">
      <w:start w:val="1"/>
      <w:numFmt w:val="decimal"/>
      <w:isLgl/>
      <w:suff w:val="nothing"/>
      <w:lvlText w:val="（%4）"/>
      <w:lvlJc w:val="left"/>
      <w:pPr>
        <w:ind w:left="0" w:firstLine="0"/>
      </w:pPr>
      <w:rPr>
        <w:rFonts w:hint="default" w:ascii="Times New Roman" w:hAnsi="Times New Roman" w:eastAsia="仿宋_GB2312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>
    <w:nsid w:val="3FF54793"/>
    <w:multiLevelType w:val="singleLevel"/>
    <w:tmpl w:val="3FF5479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C24CFC"/>
    <w:rsid w:val="00076D3A"/>
    <w:rsid w:val="000E7F9A"/>
    <w:rsid w:val="000F3CC8"/>
    <w:rsid w:val="00322EB6"/>
    <w:rsid w:val="003F6B9F"/>
    <w:rsid w:val="00625890"/>
    <w:rsid w:val="006727F9"/>
    <w:rsid w:val="00742466"/>
    <w:rsid w:val="00930A9C"/>
    <w:rsid w:val="009D1B6D"/>
    <w:rsid w:val="00A95386"/>
    <w:rsid w:val="00AE39DE"/>
    <w:rsid w:val="00B47C0E"/>
    <w:rsid w:val="00DB2E0A"/>
    <w:rsid w:val="00DF3EAD"/>
    <w:rsid w:val="00E83A3B"/>
    <w:rsid w:val="00F52266"/>
    <w:rsid w:val="07C24CFC"/>
    <w:rsid w:val="0E6B7AFB"/>
    <w:rsid w:val="25274F56"/>
    <w:rsid w:val="3DB32001"/>
    <w:rsid w:val="494733CB"/>
    <w:rsid w:val="5EEA1DD6"/>
    <w:rsid w:val="636F2A48"/>
    <w:rsid w:val="BAED8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39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1"/>
    </w:pPr>
    <w:rPr>
      <w:rFonts w:ascii="Calibri Light" w:hAnsi="Calibri Light" w:eastAsia="黑体"/>
      <w:bCs/>
      <w:sz w:val="24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ind w:firstLine="400" w:firstLineChars="400"/>
      <w:jc w:val="left"/>
    </w:pPr>
    <w:rPr>
      <w:rFonts w:eastAsia="楷体_GB2312"/>
      <w:iCs/>
      <w:sz w:val="24"/>
      <w:szCs w:val="20"/>
    </w:rPr>
  </w:style>
  <w:style w:type="paragraph" w:styleId="6">
    <w:name w:val="Normal Indent"/>
    <w:basedOn w:val="1"/>
    <w:next w:val="7"/>
    <w:qFormat/>
    <w:uiPriority w:val="0"/>
    <w:pPr>
      <w:ind w:firstLine="420"/>
    </w:pPr>
  </w:style>
  <w:style w:type="paragraph" w:styleId="7">
    <w:name w:val="toc 8"/>
    <w:next w:val="1"/>
    <w:qFormat/>
    <w:uiPriority w:val="39"/>
    <w:pPr>
      <w:wordWrap w:val="0"/>
      <w:ind w:left="255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8">
    <w:name w:val="Plain Text"/>
    <w:basedOn w:val="1"/>
    <w:next w:val="1"/>
    <w:unhideWhenUsed/>
    <w:qFormat/>
    <w:uiPriority w:val="99"/>
    <w:pPr>
      <w:spacing w:line="560" w:lineRule="exact"/>
      <w:ind w:firstLine="880" w:firstLineChars="200"/>
    </w:pPr>
    <w:rPr>
      <w:rFonts w:ascii="宋体" w:hAnsi="Courier New" w:eastAsia="仿宋_GB2312"/>
      <w:sz w:val="3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16">
    <w:name w:val="CJX文件标题"/>
    <w:basedOn w:val="13"/>
    <w:qFormat/>
    <w:uiPriority w:val="0"/>
    <w:pPr>
      <w:spacing w:before="0" w:after="0" w:line="560" w:lineRule="exact"/>
    </w:pPr>
    <w:rPr>
      <w:rFonts w:ascii="Times New Roman" w:hAnsi="Times New Roman" w:eastAsia="方正小标宋_GBK" w:cs="方正小标宋_GBK"/>
      <w:b w:val="0"/>
      <w:sz w:val="44"/>
      <w:szCs w:val="44"/>
    </w:rPr>
  </w:style>
  <w:style w:type="paragraph" w:customStyle="1" w:styleId="17">
    <w:name w:val="段落"/>
    <w:basedOn w:val="1"/>
    <w:qFormat/>
    <w:uiPriority w:val="0"/>
    <w:pPr>
      <w:spacing w:line="560" w:lineRule="exact"/>
      <w:ind w:firstLine="640" w:firstLineChars="200"/>
    </w:pPr>
    <w:rPr>
      <w:rFonts w:eastAsia="仿宋_GB2312"/>
      <w:sz w:val="32"/>
      <w:szCs w:val="32"/>
    </w:rPr>
  </w:style>
  <w:style w:type="paragraph" w:customStyle="1" w:styleId="18">
    <w:name w:val="CJX文件正文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仿宋_GB2312"/>
      <w:bCs/>
      <w:sz w:val="32"/>
      <w:szCs w:val="32"/>
    </w:rPr>
  </w:style>
  <w:style w:type="paragraph" w:customStyle="1" w:styleId="19">
    <w:name w:val="CJX文件二级标题"/>
    <w:basedOn w:val="4"/>
    <w:next w:val="20"/>
    <w:qFormat/>
    <w:uiPriority w:val="0"/>
    <w:pPr>
      <w:spacing w:line="560" w:lineRule="exact"/>
      <w:ind w:firstLine="640" w:firstLineChars="200"/>
      <w:outlineLvl w:val="2"/>
    </w:pPr>
    <w:rPr>
      <w:rFonts w:ascii="Times New Roman" w:hAnsi="Times New Roman" w:eastAsia="楷体_GB2312" w:cs="楷体_GB2312"/>
      <w:sz w:val="32"/>
    </w:rPr>
  </w:style>
  <w:style w:type="paragraph" w:customStyle="1" w:styleId="20">
    <w:name w:val="CJX文件三级标题"/>
    <w:basedOn w:val="5"/>
    <w:next w:val="18"/>
    <w:qFormat/>
    <w:uiPriority w:val="0"/>
    <w:pPr>
      <w:spacing w:before="0" w:after="0" w:line="560" w:lineRule="exact"/>
      <w:ind w:firstLine="643" w:firstLineChars="200"/>
    </w:pPr>
    <w:rPr>
      <w:rFonts w:ascii="Times New Roman" w:hAnsi="Times New Roman" w:eastAsia="仿宋_GB231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561</Words>
  <Characters>561</Characters>
  <Lines>30</Lines>
  <Paragraphs>24</Paragraphs>
  <TotalTime>67</TotalTime>
  <ScaleCrop>false</ScaleCrop>
  <LinksUpToDate>false</LinksUpToDate>
  <CharactersWithSpaces>561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2026-10-26T15:14:00Z</dcterms:created>
  <dc:creator>Administrator</dc:creator>
  <cp:lastModifiedBy>uos</cp:lastModifiedBy>
  <dcterms:modified xsi:type="dcterms:W3CDTF">2026-10-28T13:22:43Z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eyJoZGlkIjoiZGVlMjZkYTNlNTE1YzM5OTc5MzE2NjJjY2FjN2I1OTgiLCJ1c2VySWQiOiI4NzQ4OTk5MTIifQ==</vt:lpwstr>
  </property>
  <property fmtid="{D5CDD505-2E9C-101B-9397-08002B2CF9AE}" pid="4" name="ICV">
    <vt:lpwstr>AAFAB8466F7341549F3FA37E83CD08D4_12</vt:lpwstr>
  </property>
</Properties>
</file>