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opLinePunct/>
        <w:adjustRightInd/>
        <w:snapToGrid/>
        <w:spacing w:line="640" w:lineRule="exact"/>
        <w:ind w:firstLine="0" w:firstLineChars="0"/>
        <w:jc w:val="left"/>
        <w:rPr>
          <w:rFonts w:hint="eastAsia" w:ascii="黑体" w:hAnsi="黑体" w:eastAsia="黑体" w:cs="黑体"/>
          <w:lang w:eastAsia="zh-CN"/>
        </w:rPr>
      </w:pPr>
    </w:p>
    <w:p>
      <w:pPr>
        <w:widowControl w:val="0"/>
        <w:topLinePunct/>
        <w:adjustRightInd/>
        <w:snapToGrid/>
        <w:spacing w:line="6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widowControl w:val="0"/>
        <w:topLinePunct/>
        <w:adjustRightInd/>
        <w:snapToGrid/>
        <w:spacing w:line="6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widowControl w:val="0"/>
        <w:topLinePunct/>
        <w:adjustRightInd/>
        <w:snapToGrid/>
        <w:spacing w:line="640" w:lineRule="exact"/>
        <w:ind w:firstLine="0" w:firstLineChars="0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widowControl w:val="0"/>
        <w:topLinePunct/>
        <w:adjustRightInd/>
        <w:snapToGrid/>
        <w:spacing w:line="6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widowControl w:val="0"/>
        <w:topLinePunct/>
        <w:adjustRightInd/>
        <w:snapToGrid/>
        <w:spacing w:line="7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</w:pPr>
      <w:bookmarkStart w:id="0" w:name="_Toc239113555"/>
      <w:bookmarkStart w:id="1" w:name="_Toc17792"/>
      <w:bookmarkStart w:id="2" w:name="_Toc16959"/>
      <w:bookmarkStart w:id="3" w:name="_Toc20046"/>
      <w:bookmarkStart w:id="4" w:name="_Toc19872"/>
      <w:bookmarkStart w:id="5" w:name="_Toc241394427"/>
      <w:bookmarkStart w:id="6" w:name="_Toc5110"/>
      <w:bookmarkStart w:id="7" w:name="_Toc22390"/>
      <w:bookmarkStart w:id="8" w:name="_Toc17906"/>
      <w:bookmarkStart w:id="9" w:name="_Toc239434389"/>
      <w:bookmarkStart w:id="10" w:name="_Toc1922560367"/>
      <w:bookmarkStart w:id="11" w:name="_Toc20825"/>
      <w:r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  <w:t>丰台区“十五五”时期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城市更新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  <w:t>发展规划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2"/>
        <w:widowControl w:val="0"/>
        <w:spacing w:line="700" w:lineRule="exact"/>
        <w:ind w:firstLine="0" w:firstLineChars="0"/>
        <w:jc w:val="center"/>
        <w:rPr>
          <w:rFonts w:hint="eastAsia" w:ascii="楷体_GB2312" w:hAnsi="楷体_GB2312" w:eastAsia="楷体_GB2312" w:cs="楷体_GB2312"/>
          <w:sz w:val="40"/>
          <w:szCs w:val="40"/>
          <w:lang w:eastAsia="zh-CN"/>
        </w:rPr>
      </w:pPr>
      <w:r>
        <w:rPr>
          <w:rFonts w:hint="eastAsia" w:ascii="楷体_GB2312" w:hAnsi="楷体_GB2312" w:eastAsia="楷体_GB2312" w:cs="楷体_GB2312"/>
          <w:sz w:val="40"/>
          <w:szCs w:val="40"/>
          <w:lang w:eastAsia="zh-CN"/>
        </w:rPr>
        <w:t>（征求意见稿）</w:t>
      </w:r>
    </w:p>
    <w:p>
      <w:pPr>
        <w:pStyle w:val="2"/>
        <w:widowControl w:val="0"/>
        <w:ind w:firstLine="0" w:firstLineChars="0"/>
        <w:rPr>
          <w:rFonts w:hint="eastAsia"/>
          <w:lang w:eastAsia="zh-CN"/>
        </w:rPr>
      </w:pPr>
    </w:p>
    <w:p>
      <w:pPr>
        <w:pStyle w:val="2"/>
        <w:widowControl w:val="0"/>
        <w:ind w:firstLine="0" w:firstLineChars="0"/>
        <w:rPr>
          <w:rFonts w:hint="eastAsia"/>
          <w:lang w:eastAsia="zh-CN"/>
        </w:rPr>
      </w:pPr>
    </w:p>
    <w:p>
      <w:pPr>
        <w:pStyle w:val="2"/>
        <w:widowControl w:val="0"/>
        <w:ind w:firstLine="0" w:firstLineChars="0"/>
        <w:rPr>
          <w:rFonts w:hint="eastAsia"/>
          <w:lang w:eastAsia="zh-CN"/>
        </w:rPr>
      </w:pPr>
    </w:p>
    <w:p>
      <w:pPr>
        <w:pStyle w:val="2"/>
        <w:widowControl w:val="0"/>
        <w:ind w:firstLine="0" w:firstLineChars="0"/>
        <w:rPr>
          <w:rFonts w:hint="eastAsia"/>
          <w:lang w:eastAsia="zh-CN"/>
        </w:rPr>
      </w:pPr>
    </w:p>
    <w:p>
      <w:pPr>
        <w:pStyle w:val="2"/>
        <w:widowControl w:val="0"/>
        <w:ind w:firstLine="0" w:firstLineChars="0"/>
        <w:rPr>
          <w:rFonts w:hint="eastAsia"/>
          <w:lang w:eastAsia="zh-CN"/>
        </w:rPr>
      </w:pPr>
    </w:p>
    <w:p>
      <w:pPr>
        <w:pStyle w:val="2"/>
        <w:widowControl w:val="0"/>
        <w:ind w:firstLine="0" w:firstLineChars="0"/>
        <w:rPr>
          <w:rFonts w:hint="eastAsia"/>
          <w:lang w:eastAsia="zh-CN"/>
        </w:rPr>
      </w:pPr>
    </w:p>
    <w:p>
      <w:pPr>
        <w:pStyle w:val="2"/>
        <w:widowControl w:val="0"/>
        <w:ind w:firstLine="0" w:firstLineChars="0"/>
        <w:rPr>
          <w:rFonts w:hint="eastAsia"/>
          <w:lang w:eastAsia="zh-CN"/>
        </w:rPr>
      </w:pPr>
    </w:p>
    <w:p>
      <w:pPr>
        <w:pStyle w:val="2"/>
        <w:widowControl w:val="0"/>
        <w:ind w:firstLine="0" w:firstLineChars="0"/>
        <w:rPr>
          <w:rFonts w:hint="eastAsia"/>
          <w:lang w:eastAsia="zh-CN"/>
        </w:rPr>
      </w:pPr>
    </w:p>
    <w:p>
      <w:pPr>
        <w:pStyle w:val="2"/>
        <w:widowControl w:val="0"/>
        <w:ind w:firstLine="0" w:firstLineChars="0"/>
        <w:rPr>
          <w:rFonts w:hint="eastAsia"/>
          <w:lang w:eastAsia="zh-CN"/>
        </w:rPr>
      </w:pPr>
    </w:p>
    <w:p>
      <w:pPr>
        <w:pStyle w:val="2"/>
        <w:widowControl w:val="0"/>
        <w:ind w:firstLine="0" w:firstLineChars="0"/>
        <w:rPr>
          <w:rFonts w:hint="eastAsia"/>
          <w:lang w:eastAsia="zh-CN"/>
        </w:rPr>
      </w:pPr>
    </w:p>
    <w:p>
      <w:pPr>
        <w:pStyle w:val="2"/>
        <w:widowControl w:val="0"/>
        <w:spacing w:line="700" w:lineRule="exact"/>
        <w:ind w:firstLine="0" w:firstLineChars="0"/>
        <w:jc w:val="center"/>
        <w:rPr>
          <w:rFonts w:hint="eastAsia" w:ascii="楷体_GB2312" w:hAnsi="楷体_GB2312" w:eastAsia="楷体_GB2312" w:cs="楷体_GB2312"/>
          <w:lang w:eastAsia="zh-CN"/>
        </w:rPr>
      </w:pPr>
      <w:r>
        <w:rPr>
          <w:rFonts w:ascii="楷体_GB2312" w:hAnsi="楷体_GB2312" w:eastAsia="楷体_GB2312" w:cs="楷体_GB2312"/>
          <w:lang w:eastAsia="zh-CN"/>
        </w:rPr>
        <w:t>北京市丰台区住房和城乡建设委员会</w:t>
      </w:r>
    </w:p>
    <w:p>
      <w:pPr>
        <w:pStyle w:val="2"/>
        <w:widowControl w:val="0"/>
        <w:spacing w:line="700" w:lineRule="exact"/>
        <w:ind w:firstLine="0" w:firstLineChars="0"/>
        <w:jc w:val="center"/>
        <w:rPr>
          <w:rFonts w:hint="eastAsia" w:ascii="楷体_GB2312" w:hAnsi="楷体_GB2312" w:eastAsia="楷体_GB2312" w:cs="楷体_GB2312"/>
          <w:lang w:eastAsia="zh-C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2098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楷体_GB2312" w:hAnsi="楷体_GB2312" w:eastAsia="楷体_GB2312" w:cs="楷体_GB2312"/>
          <w:lang w:eastAsia="zh-CN"/>
        </w:rPr>
        <w:t>2026年10月</w:t>
      </w:r>
    </w:p>
    <w:p>
      <w:pPr>
        <w:spacing w:line="240" w:lineRule="auto"/>
        <w:ind w:firstLine="0" w:firstLineChars="0"/>
        <w:jc w:val="center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目 录</w:t>
      </w:r>
    </w:p>
    <w:p>
      <w:pPr>
        <w:pStyle w:val="20"/>
        <w:tabs>
          <w:tab w:val="right" w:leader="dot" w:pos="8835"/>
        </w:tabs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rPr>
          <w:rFonts w:hint="eastAsia" w:ascii="楷体_GB2312" w:eastAsia="楷体_GB2312"/>
        </w:rPr>
        <w:fldChar w:fldCharType="begin"/>
      </w:r>
      <w:r>
        <w:rPr>
          <w:rFonts w:hint="eastAsia" w:ascii="楷体_GB2312" w:eastAsia="楷体_GB2312"/>
        </w:rPr>
        <w:instrText xml:space="preserve"> TOC \o "1-3" \h \z \u </w:instrText>
      </w:r>
      <w:r>
        <w:rPr>
          <w:rFonts w:hint="eastAsia" w:ascii="楷体_GB2312" w:eastAsia="楷体_GB2312"/>
        </w:rPr>
        <w:fldChar w:fldCharType="separate"/>
      </w:r>
      <w:r>
        <w:fldChar w:fldCharType="begin"/>
      </w:r>
      <w:r>
        <w:instrText xml:space="preserve">HYPERLINK \l "_Toc240396927"</w:instrText>
      </w:r>
      <w:r>
        <w:fldChar w:fldCharType="separate"/>
      </w:r>
      <w:r>
        <w:rPr>
          <w:rStyle w:val="32"/>
          <w:rFonts w:hint="eastAsia"/>
          <w:color w:val="auto"/>
          <w:lang w:eastAsia="zh-CN"/>
        </w:rPr>
        <w:t>一、把握发展进程，全力推</w:t>
      </w:r>
      <w:bookmarkStart w:id="71" w:name="_GoBack"/>
      <w:bookmarkEnd w:id="71"/>
      <w:r>
        <w:rPr>
          <w:rStyle w:val="32"/>
          <w:rFonts w:hint="eastAsia"/>
          <w:color w:val="auto"/>
          <w:lang w:eastAsia="zh-CN"/>
        </w:rPr>
        <w:t>进城市更新示范区建设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_Toc240396927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"_Toc240396928"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（一）发展形势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_Toc240396928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"_Toc240396929"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（二）总体要求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_Toc240396929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2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"_Toc240396930"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（三）格局体系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_Toc240396930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3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0"/>
        <w:tabs>
          <w:tab w:val="right" w:leader="dot" w:pos="8835"/>
        </w:tabs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"_Toc240396931"</w:instrText>
      </w:r>
      <w:r>
        <w:fldChar w:fldCharType="separate"/>
      </w:r>
      <w:r>
        <w:rPr>
          <w:rStyle w:val="32"/>
          <w:rFonts w:hint="eastAsia"/>
          <w:color w:val="auto"/>
          <w:lang w:eastAsia="zh-CN"/>
        </w:rPr>
        <w:t>二、推进一体融合，强化重点片区示范引领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_Toc240396931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4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"_Toc240396932"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（一）服务首都功能，打造城市活力新片区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_Toc240396932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4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"_Toc240396933"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（二）打造“三站两楼”开放枢纽，提升一体化水平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_Toc240396933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5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"_Toc240396934"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（三）引导片区式更新，提升产居融合水平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_Toc240396934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6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0"/>
        <w:tabs>
          <w:tab w:val="right" w:leader="dot" w:pos="8835"/>
        </w:tabs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"_Toc240396935"</w:instrText>
      </w:r>
      <w:r>
        <w:fldChar w:fldCharType="separate"/>
      </w:r>
      <w:r>
        <w:rPr>
          <w:rStyle w:val="32"/>
          <w:rFonts w:hint="eastAsia"/>
          <w:color w:val="auto"/>
          <w:lang w:eastAsia="zh-CN"/>
        </w:rPr>
        <w:t>三、提升民生温度，实现全龄友好活力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_Toc240396935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7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"_Toc240396936"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（一）推进农村城市化，有序实施城中村改造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_Toc240396936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7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"_Toc240396937"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（二）有序推进危旧楼房改建，探索“原拆原建+”模式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_Toc240396937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7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"_Toc240396938"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（三）持续推进城镇老旧小区改造，提升人居环境质量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_Toc240396938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7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"_Toc240396939"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（四）完整社区建设扩面提质，补齐公共服务短板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_Toc240396939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8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0"/>
        <w:tabs>
          <w:tab w:val="right" w:leader="dot" w:pos="8835"/>
        </w:tabs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"_Toc240396940"</w:instrText>
      </w:r>
      <w:r>
        <w:fldChar w:fldCharType="separate"/>
      </w:r>
      <w:r>
        <w:rPr>
          <w:rStyle w:val="32"/>
          <w:rFonts w:hint="eastAsia"/>
          <w:color w:val="auto"/>
          <w:lang w:eastAsia="zh-CN"/>
        </w:rPr>
        <w:t>四、促进产业焕新，激活创新动力源泉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_Toc240396940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9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"_Toc240396941"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（一）推动楼宇与商业设施转型，打造产业升级场景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_Toc240396941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9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"_Toc240396942"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（二）推进老旧街区、厂区更新，营造活力街区场景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_Toc240396942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10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"_Toc240396943"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（三）推广智能建造技术应用，培育智能建造场景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_Toc240396943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10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0"/>
        <w:tabs>
          <w:tab w:val="right" w:leader="dot" w:pos="8835"/>
        </w:tabs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"_Toc240396944"</w:instrText>
      </w:r>
      <w:r>
        <w:fldChar w:fldCharType="separate"/>
      </w:r>
      <w:r>
        <w:rPr>
          <w:rStyle w:val="32"/>
          <w:rFonts w:hint="eastAsia"/>
          <w:color w:val="auto"/>
          <w:lang w:eastAsia="zh-CN"/>
        </w:rPr>
        <w:t>五、优化基础设施，加强区域协同发展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_Toc240396944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11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"_Toc240396945"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（一）完善交通市政系统，提升综合服务能力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_Toc240396945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11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"_Toc240396946"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（二）统筹利用地下空间，增强城市安全韧性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_Toc240396946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11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"_Toc240396947"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（三）挖掘轨道站点资源，推动一体化建设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_Toc240396947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12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0"/>
        <w:tabs>
          <w:tab w:val="right" w:leader="dot" w:pos="8835"/>
        </w:tabs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"_Toc240396948"</w:instrText>
      </w:r>
      <w:r>
        <w:fldChar w:fldCharType="separate"/>
      </w:r>
      <w:r>
        <w:rPr>
          <w:rStyle w:val="32"/>
          <w:rFonts w:hint="eastAsia"/>
          <w:color w:val="auto"/>
          <w:lang w:eastAsia="zh-CN"/>
        </w:rPr>
        <w:t>六、提升空间品质，打造花园城市特色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_Toc240396948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12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"_Toc240396949"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（一）提升滨水空间品质，塑造滨水活力场景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_Toc240396949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12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"_Toc240396950"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（二）修复城市生态系统，营造花园城市场景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_Toc240396950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12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"_Toc240396951"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（三）赓续都城文脉，保护传承城市历史文化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_Toc240396951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13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0"/>
        <w:tabs>
          <w:tab w:val="right" w:leader="dot" w:pos="8835"/>
        </w:tabs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"_Toc240396952"</w:instrText>
      </w:r>
      <w:r>
        <w:fldChar w:fldCharType="separate"/>
      </w:r>
      <w:r>
        <w:rPr>
          <w:rStyle w:val="32"/>
          <w:rFonts w:hint="eastAsia"/>
          <w:color w:val="auto"/>
          <w:lang w:eastAsia="zh-CN"/>
        </w:rPr>
        <w:t>七、凝聚各方力量，高标准保障规划实施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_Toc240396952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14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"_Toc240396953"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（一）组织模式示范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_Toc240396953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14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"_Toc240396954"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（二）政策创新示范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_Toc240396954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15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"_Toc240396955"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（三）多态融合示范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_Toc240396955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16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"_Toc240396956"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（四）公共效益示范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_Toc240396956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16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"_Toc240396957"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（五）持续运维示范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_Toc240396957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17</w:t>
      </w:r>
      <w:r>
        <w:rPr>
          <w:rFonts w:hint="eastAsia"/>
        </w:rPr>
        <w:fldChar w:fldCharType="end"/>
      </w:r>
      <w:r>
        <w:fldChar w:fldCharType="end"/>
      </w:r>
    </w:p>
    <w:p>
      <w:pPr>
        <w:pStyle w:val="22"/>
        <w:tabs>
          <w:tab w:val="right" w:leader="dot" w:pos="8835"/>
        </w:tabs>
        <w:ind w:left="320"/>
        <w:rPr>
          <w:rFonts w:asciiTheme="minorHAnsi" w:hAnsiTheme="minorHAnsi" w:eastAsiaTheme="minorEastAsia" w:cstheme="minorBidi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HYPERLINK \l "_Toc240396958"</w:instrText>
      </w:r>
      <w:r>
        <w:fldChar w:fldCharType="separate"/>
      </w:r>
      <w:r>
        <w:rPr>
          <w:rStyle w:val="32"/>
          <w:rFonts w:hint="eastAsia"/>
          <w:color w:val="auto"/>
          <w:lang w:bidi="ar"/>
        </w:rPr>
        <w:t>（六）实施主体示范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_Toc240396958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17</w:t>
      </w:r>
      <w:r>
        <w:rPr>
          <w:rFonts w:hint="eastAsia"/>
        </w:rPr>
        <w:fldChar w:fldCharType="end"/>
      </w:r>
      <w:r>
        <w:fldChar w:fldCharType="end"/>
      </w:r>
    </w:p>
    <w:p>
      <w:pPr>
        <w:tabs>
          <w:tab w:val="left" w:pos="4039"/>
        </w:tabs>
        <w:spacing w:line="540" w:lineRule="exact"/>
        <w:ind w:firstLine="320" w:firstLineChars="100"/>
        <w:rPr>
          <w:rFonts w:hint="eastAsia" w:ascii="楷体_GB2312" w:hAnsi="楷体_GB2312" w:eastAsia="楷体_GB2312" w:cs="楷体_GB2312"/>
          <w:lang w:eastAsia="zh-CN"/>
        </w:rPr>
        <w:sectPr>
          <w:footerReference r:id="rId11" w:type="default"/>
          <w:pgSz w:w="11906" w:h="16838"/>
          <w:pgMar w:top="2098" w:right="1474" w:bottom="1984" w:left="1587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楷体_GB2312" w:eastAsia="楷体_GB2312"/>
        </w:rPr>
        <w:fldChar w:fldCharType="end"/>
      </w:r>
      <w:r>
        <w:rPr>
          <w:rFonts w:hint="eastAsia" w:ascii="楷体_GB2312" w:eastAsia="楷体_GB2312"/>
        </w:rPr>
        <w:tab/>
      </w:r>
    </w:p>
    <w:p>
      <w:pPr>
        <w:pStyle w:val="4"/>
        <w:widowControl w:val="0"/>
        <w:topLinePunct/>
        <w:ind w:firstLine="640"/>
        <w:jc w:val="both"/>
        <w:rPr>
          <w:rFonts w:hint="eastAsia"/>
          <w:lang w:eastAsia="zh-CN"/>
        </w:rPr>
      </w:pPr>
      <w:bookmarkStart w:id="12" w:name="_Toc238831807"/>
      <w:bookmarkStart w:id="13" w:name="_Toc240396927"/>
      <w:bookmarkStart w:id="14" w:name="_Toc4864"/>
      <w:bookmarkStart w:id="15" w:name="_Toc24375"/>
      <w:bookmarkStart w:id="16" w:name="_Toc3852"/>
      <w:bookmarkStart w:id="17" w:name="_Toc1396054319"/>
      <w:bookmarkStart w:id="18" w:name="_Toc3000"/>
      <w:bookmarkStart w:id="19" w:name="_Toc1937"/>
      <w:bookmarkStart w:id="20" w:name="_Toc659316232"/>
      <w:bookmarkStart w:id="21" w:name="_Toc1600"/>
      <w:bookmarkStart w:id="22" w:name="_Toc4597"/>
      <w:bookmarkStart w:id="23" w:name="_Toc204793595"/>
      <w:r>
        <w:rPr>
          <w:lang w:eastAsia="zh-CN"/>
        </w:rPr>
        <w:t>一</w:t>
      </w:r>
      <w:r>
        <w:rPr>
          <w:rFonts w:hint="eastAsia"/>
          <w:lang w:eastAsia="zh-CN"/>
        </w:rPr>
        <w:t>、</w:t>
      </w:r>
      <w:r>
        <w:rPr>
          <w:lang w:eastAsia="zh-CN"/>
        </w:rPr>
        <w:t>把握发展进程，全力推进城市更新示范区建设</w:t>
      </w:r>
      <w:bookmarkEnd w:id="12"/>
      <w:bookmarkEnd w:id="13"/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24" w:name="_Toc238831808"/>
      <w:bookmarkStart w:id="25" w:name="_Toc240396928"/>
      <w:bookmarkStart w:id="26" w:name="_Toc237811717"/>
      <w:r>
        <w:rPr>
          <w:rFonts w:hint="eastAsia"/>
          <w:bCs w:val="0"/>
          <w:color w:val="auto"/>
          <w:lang w:eastAsia="zh" w:bidi="ar"/>
        </w:rPr>
        <w:t>（一）</w:t>
      </w:r>
      <w:r>
        <w:rPr>
          <w:bCs w:val="0"/>
          <w:color w:val="auto"/>
          <w:lang w:eastAsia="zh" w:bidi="ar"/>
        </w:rPr>
        <w:t>发展形势</w:t>
      </w:r>
      <w:bookmarkEnd w:id="24"/>
      <w:bookmarkEnd w:id="25"/>
      <w:bookmarkEnd w:id="26"/>
    </w:p>
    <w:p>
      <w:pPr>
        <w:rPr>
          <w:rFonts w:hint="eastAsia"/>
          <w:kern w:val="0"/>
          <w:lang w:eastAsia="zh-CN"/>
        </w:rPr>
      </w:pPr>
      <w:bookmarkStart w:id="27" w:name="OLE_LINK1"/>
      <w:r>
        <w:rPr>
          <w:rFonts w:hint="eastAsia"/>
          <w:kern w:val="0"/>
        </w:rPr>
        <w:t>从国家层面看，</w:t>
      </w:r>
      <w:r>
        <w:rPr>
          <w:kern w:val="0"/>
          <w:lang w:eastAsia="zh-CN"/>
        </w:rPr>
        <w:t>实施城市更新行动，是推动城市高质量发展、不断满足人民美好生活需要的重要举措</w:t>
      </w:r>
      <w:r>
        <w:rPr>
          <w:rFonts w:hint="eastAsia"/>
          <w:kern w:val="0"/>
          <w:lang w:eastAsia="zh-CN"/>
        </w:rPr>
        <w:t>。</w:t>
      </w:r>
      <w:bookmarkEnd w:id="27"/>
      <w:r>
        <w:rPr>
          <w:kern w:val="0"/>
        </w:rPr>
        <w:t>《关于持续推进城市更新行动的意见》</w:t>
      </w:r>
      <w:r>
        <w:rPr>
          <w:rFonts w:hint="eastAsia"/>
          <w:kern w:val="0"/>
        </w:rPr>
        <w:t>《城市更新“十五五”规划》提出，“十五五”时期，努力实现</w:t>
      </w:r>
      <w:r>
        <w:rPr>
          <w:kern w:val="0"/>
        </w:rPr>
        <w:t>城市开发建设方式转型初见成效，安全发展基础更加牢固，服务效能不断提高，人居环境明显改善，新旧动能加快转换，文化遗产有效保护，风貌特色更加彰显，治理水平大幅提高。</w:t>
      </w:r>
      <w:r>
        <w:rPr>
          <w:rFonts w:hint="eastAsia"/>
          <w:kern w:val="0"/>
        </w:rPr>
        <w:t>同时，</w:t>
      </w:r>
      <w:r>
        <w:rPr>
          <w:kern w:val="0"/>
        </w:rPr>
        <w:t>依据国土空间规划，制定实施城市更新专项规划，确定城市更新行动目标、重点任务、建设项目和实施时序，建立完善“专项规划</w:t>
      </w:r>
      <w:r>
        <w:rPr>
          <w:rFonts w:hint="eastAsia"/>
          <w:kern w:val="0"/>
          <w:lang w:eastAsia="zh-CN"/>
        </w:rPr>
        <w:t>—</w:t>
      </w:r>
      <w:r>
        <w:rPr>
          <w:kern w:val="0"/>
        </w:rPr>
        <w:t>片区策划</w:t>
      </w:r>
      <w:r>
        <w:rPr>
          <w:rFonts w:hint="eastAsia"/>
          <w:kern w:val="0"/>
          <w:lang w:eastAsia="zh-CN"/>
        </w:rPr>
        <w:t>—</w:t>
      </w:r>
      <w:r>
        <w:rPr>
          <w:kern w:val="0"/>
        </w:rPr>
        <w:t>项目实施方案”的规划实施体系。</w:t>
      </w:r>
    </w:p>
    <w:p>
      <w:pPr>
        <w:rPr>
          <w:rFonts w:hint="eastAsia"/>
          <w:kern w:val="0"/>
        </w:rPr>
      </w:pPr>
      <w:r>
        <w:rPr>
          <w:rFonts w:hint="eastAsia"/>
          <w:kern w:val="0"/>
        </w:rPr>
        <w:t>从首都北京看，</w:t>
      </w:r>
      <w:r>
        <w:rPr>
          <w:kern w:val="0"/>
        </w:rPr>
        <w:t>作为全国首个减量发展的超大城市，盘活存量资源、推进城市更新</w:t>
      </w:r>
      <w:r>
        <w:rPr>
          <w:rFonts w:hint="eastAsia"/>
          <w:kern w:val="0"/>
        </w:rPr>
        <w:t>是落实首都城市战略定位与新时代高质量发展要求、协同超大城市精细化治理与人民群众高品质生活需求的重要抓手，是</w:t>
      </w:r>
      <w:r>
        <w:rPr>
          <w:kern w:val="0"/>
        </w:rPr>
        <w:t>北京率先基本实现社会主义现代化的有力支撑。</w:t>
      </w:r>
      <w:r>
        <w:rPr>
          <w:rFonts w:hint="eastAsia"/>
          <w:kern w:val="0"/>
        </w:rPr>
        <w:t>“十五五”时期，突出以重点片区统筹实施为牵引，以综合化城市更新组团为主要路径，促进生产、生活、生态空间相宜相融，职住商服更加平衡，推动城市更新综合化、上规模、提品质。</w:t>
      </w:r>
    </w:p>
    <w:p>
      <w:pPr>
        <w:rPr>
          <w:rFonts w:hint="eastAsia"/>
          <w:kern w:val="0"/>
          <w:lang w:eastAsia="zh-CN"/>
        </w:rPr>
      </w:pPr>
      <w:r>
        <w:rPr>
          <w:rFonts w:hint="eastAsia"/>
          <w:kern w:val="0"/>
        </w:rPr>
        <w:t>从丰台区自身看，</w:t>
      </w:r>
      <w:r>
        <w:rPr>
          <w:kern w:val="0"/>
        </w:rPr>
        <w:t>首都功能承载能力不断跃升，产城融合生态圈基本形成，重点功能区集聚效应更加显著</w:t>
      </w:r>
      <w:r>
        <w:rPr>
          <w:rFonts w:hint="eastAsia"/>
          <w:kern w:val="0"/>
        </w:rPr>
        <w:t>；</w:t>
      </w:r>
      <w:r>
        <w:rPr>
          <w:kern w:val="0"/>
        </w:rPr>
        <w:t>同时，城乡交错特征仍较为明显，优势产业不突出</w:t>
      </w:r>
      <w:r>
        <w:rPr>
          <w:rFonts w:hint="eastAsia"/>
          <w:kern w:val="0"/>
        </w:rPr>
        <w:t>，</w:t>
      </w:r>
      <w:r>
        <w:rPr>
          <w:kern w:val="0"/>
        </w:rPr>
        <w:t>公共服务</w:t>
      </w:r>
      <w:r>
        <w:rPr>
          <w:rFonts w:hint="eastAsia"/>
          <w:kern w:val="0"/>
        </w:rPr>
        <w:t>供给不足</w:t>
      </w:r>
      <w:r>
        <w:rPr>
          <w:kern w:val="0"/>
        </w:rPr>
        <w:t>，城市环境建设、精细化治理仍待提升。“十五五”</w:t>
      </w:r>
      <w:r>
        <w:rPr>
          <w:rFonts w:hint="eastAsia"/>
          <w:kern w:val="0"/>
        </w:rPr>
        <w:t>时期，是</w:t>
      </w:r>
      <w:r>
        <w:rPr>
          <w:kern w:val="0"/>
        </w:rPr>
        <w:t>持续深化先锋引领、倍增追赶、合作发展的关键五年</w:t>
      </w:r>
      <w:r>
        <w:rPr>
          <w:rFonts w:hint="eastAsia"/>
          <w:kern w:val="0"/>
          <w:lang w:eastAsia="zh-CN"/>
        </w:rPr>
        <w:t>。</w:t>
      </w:r>
      <w:r>
        <w:rPr>
          <w:kern w:val="0"/>
        </w:rPr>
        <w:t>面向新的城市发展阶段，城市更新作为重要实施路径，将支撑丰台区实现从基础保障向承担重任转变，从交通枢纽向价值枢纽转变，从条块分明向产城融合转变，从局部聚焦向整体协同转变，从承接落实向引领创新转变</w:t>
      </w:r>
      <w:r>
        <w:rPr>
          <w:rFonts w:hint="eastAsia"/>
          <w:kern w:val="0"/>
        </w:rPr>
        <w:t>。</w:t>
      </w:r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28" w:name="_Toc240396929"/>
      <w:r>
        <w:rPr>
          <w:rFonts w:hint="eastAsia"/>
          <w:bCs w:val="0"/>
          <w:color w:val="auto"/>
          <w:lang w:eastAsia="zh" w:bidi="ar"/>
        </w:rPr>
        <w:t>（二）总体要求</w:t>
      </w:r>
      <w:bookmarkEnd w:id="28"/>
    </w:p>
    <w:p>
      <w:pPr>
        <w:pStyle w:val="2"/>
        <w:rPr>
          <w:rFonts w:hint="eastAsia"/>
          <w:lang w:eastAsia="zh-CN"/>
        </w:rPr>
      </w:pPr>
      <w:r>
        <w:rPr>
          <w:lang w:eastAsia="zh-CN"/>
        </w:rPr>
        <w:t>深入贯彻习近平总书记对北京重要讲话精神，全面践行人民城市理念，积极融入和服务新时代首都发展大局，以推动城市高质量发展为主题，以坚持城市内涵式发展为主线，以推进城市更新为重要抓手，立足“四区一枢纽”的战略功能定位</w:t>
      </w:r>
      <w:r>
        <w:rPr>
          <w:rFonts w:hint="eastAsia"/>
          <w:lang w:eastAsia="zh-CN"/>
        </w:rPr>
        <w:t>与</w:t>
      </w:r>
      <w:r>
        <w:rPr>
          <w:lang w:eastAsia="zh-CN"/>
        </w:rPr>
        <w:t>首都前院、城市门户、文化客厅、生态屏障、幸福家园</w:t>
      </w:r>
      <w:r>
        <w:rPr>
          <w:rFonts w:hint="eastAsia"/>
          <w:lang w:eastAsia="zh-CN"/>
        </w:rPr>
        <w:t>的发展要求</w:t>
      </w:r>
      <w:r>
        <w:rPr>
          <w:lang w:eastAsia="zh-CN"/>
        </w:rPr>
        <w:t>，</w:t>
      </w:r>
      <w:r>
        <w:rPr>
          <w:rFonts w:hint="eastAsia"/>
          <w:lang w:eastAsia="zh-CN"/>
        </w:rPr>
        <w:t>建设人人参与、人人尽力、人人享有的“城市更新示范区”，探索超大城市中心城区内涵式发展的“丰台路径”，为</w:t>
      </w:r>
      <w:r>
        <w:rPr>
          <w:lang w:eastAsia="zh-CN"/>
        </w:rPr>
        <w:t>实现农村城市化、城市现代化、全域场景化</w:t>
      </w:r>
      <w:r>
        <w:rPr>
          <w:rFonts w:hint="eastAsia"/>
          <w:lang w:eastAsia="zh-CN"/>
        </w:rPr>
        <w:t>与</w:t>
      </w:r>
      <w:r>
        <w:rPr>
          <w:lang w:eastAsia="zh-CN"/>
        </w:rPr>
        <w:t>首都功能拓展区、区域协同先行区、产城融合创新区、花园城市特色区、全龄友好活力区</w:t>
      </w:r>
      <w:r>
        <w:rPr>
          <w:rFonts w:hint="eastAsia"/>
          <w:lang w:eastAsia="zh-CN"/>
        </w:rPr>
        <w:t>提供有力支撑</w:t>
      </w:r>
      <w:r>
        <w:rPr>
          <w:lang w:eastAsia="zh-CN"/>
        </w:rPr>
        <w:t>。</w:t>
      </w:r>
    </w:p>
    <w:p>
      <w:pPr>
        <w:pStyle w:val="2"/>
        <w:ind w:firstLine="643"/>
        <w:rPr>
          <w:rFonts w:hint="eastAsia"/>
          <w:lang w:eastAsia="zh-CN"/>
        </w:rPr>
      </w:pPr>
      <w:r>
        <w:rPr>
          <w:rFonts w:hint="eastAsia"/>
          <w:b/>
          <w:bCs/>
        </w:rPr>
        <w:t>落实“三化”要求，以更新促均衡、提质量、注动能。</w:t>
      </w:r>
      <w:r>
        <w:rPr>
          <w:rFonts w:hint="eastAsia"/>
        </w:rPr>
        <w:t>以城中村改造等为抓手，高质量推进农村城市化，推动河东地区基本实现城市化</w:t>
      </w:r>
      <w:r>
        <w:t>、河西地区构建城市化发展格局</w:t>
      </w:r>
      <w:r>
        <w:rPr>
          <w:rFonts w:hint="eastAsia"/>
        </w:rPr>
        <w:t>。</w:t>
      </w:r>
      <w:r>
        <w:t>统筹空间资源盘活，补齐配套</w:t>
      </w:r>
      <w:r>
        <w:rPr>
          <w:rFonts w:hint="eastAsia"/>
        </w:rPr>
        <w:t>服务</w:t>
      </w:r>
      <w:r>
        <w:t>短板，优化人居环境品质，推动产业提质转型</w:t>
      </w:r>
      <w:r>
        <w:rPr>
          <w:rFonts w:hint="eastAsia"/>
        </w:rPr>
        <w:t>，全面提升城市现代化水平。以片区焕新为引领、更新项目为依托，谋划危楼改建、智能建造、产业升级、文旅融合、完整社区、活力街区、滨水空间、花园城市等八个示范场景，形成全域场景化的城市更新丰台实践。</w:t>
      </w:r>
    </w:p>
    <w:p>
      <w:pPr>
        <w:ind w:firstLine="643"/>
        <w:rPr>
          <w:rFonts w:hint="eastAsia"/>
          <w:lang w:eastAsia="zh-CN"/>
        </w:rPr>
      </w:pPr>
      <w:r>
        <w:rPr>
          <w:rFonts w:hint="eastAsia"/>
          <w:b/>
          <w:bCs/>
        </w:rPr>
        <w:t>结合“五区”目标，以更新强化首都功能保障、推动区域协同发展、促进产城高效运转、塑造花园城市特色、</w:t>
      </w:r>
      <w:r>
        <w:rPr>
          <w:b/>
          <w:bCs/>
        </w:rPr>
        <w:t>提高人民生活品质</w:t>
      </w:r>
      <w:r>
        <w:rPr>
          <w:rFonts w:hint="eastAsia"/>
          <w:b/>
          <w:bCs/>
        </w:rPr>
        <w:t>。</w:t>
      </w:r>
      <w:r>
        <w:rPr>
          <w:rFonts w:hint="eastAsia"/>
          <w:lang w:eastAsia="zh-CN"/>
        </w:rPr>
        <w:t>统筹民生改善、产业焕新、设施完善、空间提质等重要使命，聚焦</w:t>
      </w:r>
      <w:r>
        <w:rPr>
          <w:lang w:eastAsia="zh-CN"/>
        </w:rPr>
        <w:t>南中轴、“两园一河”</w:t>
      </w:r>
      <w:r>
        <w:rPr>
          <w:rFonts w:hint="eastAsia"/>
          <w:lang w:eastAsia="zh-CN"/>
        </w:rPr>
        <w:t>、</w:t>
      </w:r>
      <w:r>
        <w:rPr>
          <w:lang w:eastAsia="zh-CN"/>
        </w:rPr>
        <w:t>“三站两楼”</w:t>
      </w:r>
      <w:r>
        <w:rPr>
          <w:rFonts w:hint="eastAsia"/>
          <w:lang w:eastAsia="zh-CN"/>
        </w:rPr>
        <w:t>等重点片区，</w:t>
      </w:r>
      <w:r>
        <w:rPr>
          <w:lang w:eastAsia="zh-CN"/>
        </w:rPr>
        <w:t>打造</w:t>
      </w:r>
      <w:r>
        <w:rPr>
          <w:rFonts w:hint="eastAsia"/>
          <w:lang w:eastAsia="zh-CN"/>
        </w:rPr>
        <w:t>全龄友好</w:t>
      </w:r>
      <w:r>
        <w:rPr>
          <w:lang w:eastAsia="zh-CN"/>
        </w:rPr>
        <w:t>、</w:t>
      </w:r>
      <w:r>
        <w:rPr>
          <w:rFonts w:hint="eastAsia"/>
          <w:lang w:eastAsia="zh-CN"/>
        </w:rPr>
        <w:t>创新</w:t>
      </w:r>
      <w:r>
        <w:rPr>
          <w:lang w:eastAsia="zh-CN"/>
        </w:rPr>
        <w:t>集聚、</w:t>
      </w:r>
      <w:r>
        <w:rPr>
          <w:rFonts w:hint="eastAsia"/>
          <w:lang w:eastAsia="zh-CN"/>
        </w:rPr>
        <w:t>安全高效、特色</w:t>
      </w:r>
      <w:r>
        <w:rPr>
          <w:lang w:eastAsia="zh-CN"/>
        </w:rPr>
        <w:t>彰显、治理精细</w:t>
      </w:r>
      <w:r>
        <w:rPr>
          <w:rFonts w:hint="eastAsia"/>
          <w:lang w:eastAsia="zh-CN"/>
        </w:rPr>
        <w:t>、一体融合</w:t>
      </w:r>
      <w:r>
        <w:rPr>
          <w:lang w:eastAsia="zh-CN"/>
        </w:rPr>
        <w:t>的首都中心城区城市更新示范样板</w:t>
      </w:r>
      <w:r>
        <w:t>。</w:t>
      </w:r>
    </w:p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>
      <w:pPr>
        <w:pStyle w:val="5"/>
        <w:widowControl w:val="0"/>
        <w:topLinePunct/>
        <w:rPr>
          <w:rFonts w:hint="eastAsia"/>
          <w:color w:val="auto"/>
          <w:lang w:bidi="ar"/>
        </w:rPr>
      </w:pPr>
      <w:bookmarkStart w:id="29" w:name="_Toc240396930"/>
      <w:bookmarkStart w:id="30" w:name="_Toc26829"/>
      <w:bookmarkStart w:id="31" w:name="_Toc32557"/>
      <w:bookmarkStart w:id="32" w:name="_Toc13889"/>
      <w:bookmarkStart w:id="33" w:name="_Toc78612311"/>
      <w:bookmarkStart w:id="34" w:name="_Toc12285"/>
      <w:bookmarkStart w:id="35" w:name="_Toc26755"/>
      <w:bookmarkStart w:id="36" w:name="_Toc30260"/>
      <w:bookmarkStart w:id="37" w:name="_Toc734"/>
      <w:bookmarkStart w:id="38" w:name="_Toc112292704"/>
      <w:r>
        <w:rPr>
          <w:rFonts w:hint="eastAsia"/>
          <w:bCs w:val="0"/>
          <w:color w:val="auto"/>
          <w:lang w:eastAsia="zh" w:bidi="ar"/>
        </w:rPr>
        <w:t>（三）</w:t>
      </w:r>
      <w:r>
        <w:rPr>
          <w:bCs w:val="0"/>
          <w:color w:val="auto"/>
          <w:lang w:eastAsia="zh" w:bidi="ar"/>
        </w:rPr>
        <w:t>格局</w:t>
      </w:r>
      <w:r>
        <w:rPr>
          <w:rFonts w:hint="eastAsia"/>
          <w:bCs w:val="0"/>
          <w:color w:val="auto"/>
          <w:lang w:eastAsia="zh" w:bidi="ar"/>
        </w:rPr>
        <w:t>体系</w:t>
      </w:r>
      <w:bookmarkEnd w:id="29"/>
    </w:p>
    <w:p>
      <w:pPr>
        <w:pStyle w:val="2"/>
        <w:rPr>
          <w:rFonts w:hint="eastAsia"/>
        </w:rPr>
      </w:pPr>
      <w:r>
        <w:rPr>
          <w:rFonts w:hint="eastAsia"/>
        </w:rPr>
        <w:t>健全区级</w:t>
      </w:r>
      <w:r>
        <w:t>“专项规划—片区策划—项目实施方案”的三级规划实施传导机制，</w:t>
      </w:r>
      <w:r>
        <w:rPr>
          <w:rFonts w:hint="eastAsia"/>
        </w:rPr>
        <w:t>以专项规划确定总体任务要求、谋划重点片区、汇集关键领域、储备实施项目，并围绕重点片区、关键领域进一步</w:t>
      </w:r>
      <w:r>
        <w:t>强化自上而下统筹谋划与自下而上项目生成，落实更新管控要求、空间资源配置与实施保障举措，实现城市更新从顶层战略到工程项目的闭环落地。</w:t>
      </w:r>
    </w:p>
    <w:p>
      <w:pPr>
        <w:pStyle w:val="2"/>
        <w:ind w:firstLine="643"/>
        <w:rPr>
          <w:rFonts w:hint="eastAsia"/>
        </w:rPr>
      </w:pPr>
      <w:r>
        <w:rPr>
          <w:rFonts w:hint="eastAsia"/>
          <w:b/>
          <w:bCs/>
        </w:rPr>
        <w:t>重点片区一体融合。</w:t>
      </w:r>
      <w:r>
        <w:t>集中谋划城市更新重点片区，明确改造实施主要方向，</w:t>
      </w:r>
      <w:r>
        <w:rPr>
          <w:rFonts w:hint="eastAsia"/>
        </w:rPr>
        <w:t>引领</w:t>
      </w:r>
      <w:r>
        <w:t>综合化城市更新组团</w:t>
      </w:r>
      <w:r>
        <w:rPr>
          <w:rFonts w:hint="eastAsia"/>
        </w:rPr>
        <w:t>的落地实施。</w:t>
      </w:r>
      <w:r>
        <w:t>聚焦南中轴“未来轴线”、“两园一河”水岸客厅、“三站两楼”枢纽片区等核心重点板块，坚持连片谋划、一体更新、整体提质，统筹推进空间重构、产业焕新、设施升级、环境整治、民生提质、文化赋能等多元工作，实现单点更新向片区联动、全域融合迭代升级。</w:t>
      </w:r>
    </w:p>
    <w:p>
      <w:pPr>
        <w:pStyle w:val="2"/>
        <w:ind w:firstLine="643"/>
        <w:rPr>
          <w:rFonts w:hint="eastAsia"/>
        </w:rPr>
      </w:pPr>
      <w:r>
        <w:rPr>
          <w:rFonts w:hint="eastAsia"/>
          <w:b/>
          <w:bCs/>
        </w:rPr>
        <w:t>关键领域统筹提升。</w:t>
      </w:r>
      <w:r>
        <w:rPr>
          <w:rFonts w:hint="eastAsia"/>
        </w:rPr>
        <w:t>推动各类更新资源要素耦合联动，分类明确城市更新任务指标与项目载体。</w:t>
      </w:r>
      <w:r>
        <w:t>聚焦民生短板突出区域，重点攻坚老旧小区集中片区改造提升，补齐公共服务、便民设施、市政配套短板弱项，持续优化人居生活品质。全面摸排低效老旧楼宇、老旧街区、闲置厂区、传统老旧商圈等存量载体资源，系统推进盘活利用、功能转型与业态升级。依托城市基础设施迭代提质、轨道交通一体化建设，强化片区互联互通、资源共享互补，助推区域协同联动发展。系统开展环境整治提升与空间功能再造，深度融合花园城市建设理念，全面塑造现代化城市风貌。</w:t>
      </w:r>
    </w:p>
    <w:p>
      <w:pPr>
        <w:pStyle w:val="2"/>
        <w:ind w:firstLine="643"/>
        <w:rPr>
          <w:rFonts w:hint="eastAsia"/>
        </w:rPr>
      </w:pPr>
      <w:r>
        <w:rPr>
          <w:rFonts w:hint="eastAsia"/>
          <w:b/>
          <w:bCs/>
        </w:rPr>
        <w:t>各方力量协同发力。</w:t>
      </w:r>
      <w:r>
        <w:rPr>
          <w:rFonts w:hint="eastAsia"/>
        </w:rPr>
        <w:t>依托先锋工作营专班统筹城市更新各项任务，联动行业主管部门、各街镇及功能区管委会，汇聚各部门工作力量，统筹盘活辖区存量资源，引导产权主体主动参与更新，支撑城市更新项目系统性谋划、有序化推进。</w:t>
      </w:r>
    </w:p>
    <w:p>
      <w:pPr>
        <w:pStyle w:val="4"/>
        <w:widowControl w:val="0"/>
        <w:topLinePunct/>
        <w:ind w:firstLine="640"/>
        <w:jc w:val="both"/>
        <w:rPr>
          <w:rFonts w:hint="eastAsia"/>
          <w:lang w:eastAsia="zh-CN"/>
        </w:rPr>
      </w:pPr>
      <w:bookmarkStart w:id="39" w:name="_Toc240396931"/>
      <w:r>
        <w:rPr>
          <w:rFonts w:hint="eastAsia"/>
          <w:lang w:eastAsia="zh-CN"/>
        </w:rPr>
        <w:t>二、</w:t>
      </w:r>
      <w:r>
        <w:rPr>
          <w:lang w:eastAsia="zh-CN"/>
        </w:rPr>
        <w:t>推进一体融合，强化重点片区示范引领</w:t>
      </w:r>
      <w:bookmarkEnd w:id="39"/>
    </w:p>
    <w:p>
      <w:pPr>
        <w:pStyle w:val="5"/>
        <w:widowControl w:val="0"/>
        <w:topLinePunct/>
        <w:rPr>
          <w:rFonts w:hint="eastAsia"/>
          <w:bCs w:val="0"/>
          <w:color w:val="auto"/>
          <w:lang w:bidi="ar"/>
        </w:rPr>
      </w:pPr>
      <w:bookmarkStart w:id="40" w:name="_Toc240396932"/>
      <w:r>
        <w:rPr>
          <w:rFonts w:hint="eastAsia"/>
          <w:bCs w:val="0"/>
          <w:color w:val="auto"/>
          <w:lang w:eastAsia="zh" w:bidi="ar"/>
        </w:rPr>
        <w:t>（一）服务首都功能，打造</w:t>
      </w:r>
      <w:r>
        <w:rPr>
          <w:rFonts w:hint="eastAsia"/>
          <w:bCs w:val="0"/>
          <w:color w:val="auto"/>
          <w:lang w:bidi="ar"/>
        </w:rPr>
        <w:t>城市活力新片区</w:t>
      </w:r>
      <w:bookmarkEnd w:id="40"/>
    </w:p>
    <w:p>
      <w:pPr>
        <w:widowControl w:val="0"/>
        <w:topLinePunct/>
        <w:ind w:firstLine="643"/>
        <w:rPr>
          <w:rFonts w:hint="eastAsia"/>
          <w:lang w:eastAsia="zh-CN" w:bidi="ar"/>
        </w:rPr>
      </w:pPr>
      <w:r>
        <w:rPr>
          <w:rFonts w:hint="eastAsia"/>
          <w:b/>
          <w:bCs/>
          <w:lang w:eastAsia="zh-CN" w:bidi="ar"/>
        </w:rPr>
        <w:t>以南中轴、“两园一河”为统领，</w:t>
      </w:r>
      <w:r>
        <w:rPr>
          <w:b/>
          <w:bCs/>
          <w:lang w:eastAsia="zh-CN" w:bidi="ar"/>
        </w:rPr>
        <w:t>建设城市活力新片区</w:t>
      </w:r>
      <w:r>
        <w:rPr>
          <w:rFonts w:hint="eastAsia"/>
          <w:b/>
          <w:bCs/>
          <w:lang w:eastAsia="zh-CN" w:bidi="ar"/>
        </w:rPr>
        <w:t>。</w:t>
      </w:r>
      <w:r>
        <w:rPr>
          <w:rFonts w:hint="eastAsia"/>
          <w:lang w:eastAsia="zh-CN" w:bidi="ar"/>
        </w:rPr>
        <w:t>着眼新时代首都发展，主动融入“四个中心”功能建设，</w:t>
      </w:r>
      <w:r>
        <w:rPr>
          <w:lang w:eastAsia="zh-CN" w:bidi="ar"/>
        </w:rPr>
        <w:t>保障全国政治中心功</w:t>
      </w:r>
      <w:r>
        <w:rPr>
          <w:rFonts w:hint="eastAsia"/>
          <w:lang w:eastAsia="zh-CN" w:bidi="ar"/>
        </w:rPr>
        <w:t>能，激发文化创新创造活力，支撑国际交往活动，增强科技创新动能。有序疏解非首都功能，为综合承载首都功能开辟新空间、提供新支撑。</w:t>
      </w:r>
    </w:p>
    <w:p>
      <w:pPr>
        <w:widowControl w:val="0"/>
        <w:topLinePunct/>
        <w:ind w:firstLine="643"/>
        <w:rPr>
          <w:rFonts w:hint="eastAsia"/>
          <w:lang w:eastAsia="zh-CN" w:bidi="ar"/>
        </w:rPr>
      </w:pPr>
      <w:r>
        <w:rPr>
          <w:b/>
          <w:bCs/>
          <w:lang w:eastAsia="zh-CN" w:bidi="ar"/>
        </w:rPr>
        <w:t>南中轴构筑古今辉映的“未来轴线”</w:t>
      </w:r>
      <w:r>
        <w:rPr>
          <w:rFonts w:hint="eastAsia"/>
          <w:b/>
          <w:bCs/>
          <w:lang w:eastAsia="zh-CN" w:bidi="ar"/>
        </w:rPr>
        <w:t>。</w:t>
      </w:r>
      <w:r>
        <w:rPr>
          <w:lang w:eastAsia="zh-CN" w:bidi="ar"/>
        </w:rPr>
        <w:t>塑造</w:t>
      </w:r>
      <w:r>
        <w:rPr>
          <w:rFonts w:hint="eastAsia"/>
          <w:lang w:eastAsia="zh-CN" w:bidi="ar"/>
        </w:rPr>
        <w:t>“</w:t>
      </w:r>
      <w:r>
        <w:rPr>
          <w:lang w:eastAsia="zh-CN" w:bidi="ar"/>
        </w:rPr>
        <w:t>秩序礼轴</w:t>
      </w:r>
      <w:r>
        <w:rPr>
          <w:rFonts w:hint="eastAsia"/>
          <w:lang w:eastAsia="zh-CN" w:bidi="ar"/>
        </w:rPr>
        <w:t>”</w:t>
      </w:r>
      <w:r>
        <w:rPr>
          <w:lang w:eastAsia="zh-CN" w:bidi="ar"/>
        </w:rPr>
        <w:t>，</w:t>
      </w:r>
      <w:r>
        <w:rPr>
          <w:rFonts w:hint="eastAsia"/>
          <w:lang w:eastAsia="zh-CN" w:bidi="ar"/>
        </w:rPr>
        <w:t>构建</w:t>
      </w:r>
      <w:r>
        <w:rPr>
          <w:lang w:eastAsia="zh-CN" w:bidi="ar"/>
        </w:rPr>
        <w:t>南中轴地区整体框架</w:t>
      </w:r>
      <w:r>
        <w:rPr>
          <w:rFonts w:hint="eastAsia"/>
          <w:lang w:eastAsia="zh-CN" w:bidi="ar"/>
        </w:rPr>
        <w:t>；建设“</w:t>
      </w:r>
      <w:r>
        <w:rPr>
          <w:lang w:eastAsia="zh-CN" w:bidi="ar"/>
        </w:rPr>
        <w:t>灵动乐轴”，依托御道、水系、公园，传承南城特色文化</w:t>
      </w:r>
      <w:r>
        <w:rPr>
          <w:rFonts w:hint="eastAsia"/>
          <w:lang w:eastAsia="zh-CN" w:bidi="ar"/>
        </w:rPr>
        <w:t>。</w:t>
      </w:r>
      <w:r>
        <w:rPr>
          <w:lang w:eastAsia="zh-CN" w:bidi="ar"/>
        </w:rPr>
        <w:t>逐步建设形成纵贯南北的城市绿道</w:t>
      </w:r>
      <w:r>
        <w:rPr>
          <w:rFonts w:hint="eastAsia"/>
          <w:lang w:eastAsia="zh-CN" w:bidi="ar"/>
        </w:rPr>
        <w:t>。</w:t>
      </w:r>
      <w:r>
        <w:rPr>
          <w:lang w:eastAsia="zh-CN" w:bidi="ar"/>
        </w:rPr>
        <w:t>“十五五”时期，建成国家自然博物馆、首都规划展览馆等国家级文化设施</w:t>
      </w:r>
      <w:r>
        <w:rPr>
          <w:rFonts w:hint="eastAsia"/>
          <w:lang w:eastAsia="zh-CN" w:bidi="ar"/>
        </w:rPr>
        <w:t>，</w:t>
      </w:r>
      <w:r>
        <w:rPr>
          <w:lang w:eastAsia="zh-CN" w:bidi="ar"/>
        </w:rPr>
        <w:t>提升南苑森林湿地公园品质</w:t>
      </w:r>
      <w:r>
        <w:rPr>
          <w:rFonts w:hint="eastAsia"/>
          <w:lang w:eastAsia="zh-CN" w:bidi="ar"/>
        </w:rPr>
        <w:t>。</w:t>
      </w:r>
      <w:r>
        <w:rPr>
          <w:lang w:eastAsia="zh-CN" w:bidi="ar"/>
        </w:rPr>
        <w:t>加快首都商务新区产业转型升级，联动东高地片区发展宇航科技产业，推动地区功能优化、品质改善和转型升级。</w:t>
      </w:r>
    </w:p>
    <w:p>
      <w:pPr>
        <w:ind w:firstLine="643"/>
        <w:rPr>
          <w:rFonts w:hint="eastAsia"/>
        </w:rPr>
      </w:pPr>
      <w:r>
        <w:rPr>
          <w:b/>
          <w:bCs/>
        </w:rPr>
        <w:t>“两园一河”打造水城共融的“水岸客厅”</w:t>
      </w:r>
      <w:r>
        <w:rPr>
          <w:rFonts w:hint="eastAsia"/>
          <w:b/>
          <w:bCs/>
        </w:rPr>
        <w:t>。</w:t>
      </w:r>
      <w:r>
        <w:rPr>
          <w:lang w:eastAsia="zh-CN" w:bidi="ar"/>
        </w:rPr>
        <w:t>坚持联动发展，统筹永定河防洪安全和生态环境建设保护，实现全线水系贯通、交通网络畅通、无界公园打通、景观视廊联通，</w:t>
      </w:r>
      <w:r>
        <w:t>推动</w:t>
      </w:r>
      <w:r>
        <w:rPr>
          <w:lang w:eastAsia="zh-CN" w:bidi="ar"/>
        </w:rPr>
        <w:t>中国人民抗日战争纪念馆</w:t>
      </w:r>
      <w:r>
        <w:t>、卢沟桥、宛平城、抗战纪念雕塑园、晓月岛</w:t>
      </w:r>
      <w:r>
        <w:rPr>
          <w:rFonts w:hint="eastAsia"/>
          <w:lang w:eastAsia="zh-CN"/>
        </w:rPr>
        <w:t>“</w:t>
      </w:r>
      <w:r>
        <w:t>馆桥城园岛</w:t>
      </w:r>
      <w:r>
        <w:rPr>
          <w:rFonts w:hint="eastAsia"/>
          <w:lang w:eastAsia="zh-CN"/>
        </w:rPr>
        <w:t>”</w:t>
      </w:r>
      <w:r>
        <w:t>一体化联动，建设成为西山永定河文化带精华区、京西地区高质量发展新标杆</w:t>
      </w:r>
      <w:r>
        <w:rPr>
          <w:rFonts w:hint="eastAsia"/>
        </w:rPr>
        <w:t>。</w:t>
      </w:r>
    </w:p>
    <w:bookmarkEnd w:id="23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p>
      <w:pPr>
        <w:pStyle w:val="5"/>
        <w:widowControl w:val="0"/>
        <w:topLinePunct/>
        <w:rPr>
          <w:rFonts w:hint="eastAsia"/>
          <w:bCs w:val="0"/>
          <w:color w:val="auto"/>
          <w:lang w:bidi="ar"/>
        </w:rPr>
      </w:pPr>
      <w:bookmarkStart w:id="41" w:name="_Toc240396933"/>
      <w:r>
        <w:rPr>
          <w:rFonts w:hint="eastAsia"/>
          <w:bCs w:val="0"/>
          <w:color w:val="auto"/>
          <w:lang w:eastAsia="zh" w:bidi="ar"/>
        </w:rPr>
        <w:t>（二）</w:t>
      </w:r>
      <w:r>
        <w:rPr>
          <w:bCs w:val="0"/>
          <w:color w:val="auto"/>
          <w:lang w:eastAsia="zh" w:bidi="ar"/>
        </w:rPr>
        <w:t>打造“三站两楼”开放枢纽</w:t>
      </w:r>
      <w:r>
        <w:rPr>
          <w:rFonts w:hint="eastAsia"/>
          <w:bCs w:val="0"/>
          <w:color w:val="auto"/>
          <w:lang w:eastAsia="zh" w:bidi="ar"/>
        </w:rPr>
        <w:t>，提升一体化水平</w:t>
      </w:r>
      <w:bookmarkEnd w:id="41"/>
    </w:p>
    <w:p>
      <w:pPr>
        <w:ind w:firstLine="643"/>
        <w:rPr>
          <w:rFonts w:hint="eastAsia"/>
          <w:lang w:eastAsia="zh-CN"/>
        </w:rPr>
      </w:pPr>
      <w:r>
        <w:rPr>
          <w:b/>
          <w:bCs/>
        </w:rPr>
        <w:t>形成“三站两楼”超级TOD示范区，带动丰台中部区域发展</w:t>
      </w:r>
      <w:r>
        <w:rPr>
          <w:rFonts w:hint="eastAsia"/>
          <w:b/>
          <w:bCs/>
        </w:rPr>
        <w:t>。</w:t>
      </w:r>
      <w:r>
        <w:rPr>
          <w:rFonts w:hint="eastAsia"/>
        </w:rPr>
        <w:t>以对外交通枢纽</w:t>
      </w:r>
      <w:r>
        <w:t>联动丽泽金融商务区、中关村丰台园、首都商务新区重点产业板块，展现城市创新场景，形成京津冀协同发展桥头堡。</w:t>
      </w:r>
    </w:p>
    <w:p>
      <w:pPr>
        <w:pStyle w:val="2"/>
        <w:ind w:firstLine="643"/>
        <w:rPr>
          <w:rFonts w:hint="eastAsia"/>
        </w:rPr>
      </w:pPr>
      <w:r>
        <w:rPr>
          <w:b/>
          <w:bCs/>
        </w:rPr>
        <w:t>三大火车站全面提升出行</w:t>
      </w:r>
      <w:r>
        <w:rPr>
          <w:rFonts w:hint="eastAsia"/>
          <w:b/>
          <w:bCs/>
        </w:rPr>
        <w:t>服务水平</w:t>
      </w:r>
      <w:r>
        <w:rPr>
          <w:b/>
          <w:bCs/>
        </w:rPr>
        <w:t>，释放枢纽发展动能</w:t>
      </w:r>
      <w:r>
        <w:rPr>
          <w:rFonts w:hint="eastAsia"/>
          <w:b/>
          <w:bCs/>
        </w:rPr>
        <w:t>。</w:t>
      </w:r>
      <w:r>
        <w:t>优化接驳换乘，推动站点周边城中村实施、产业楼宇焕新、老旧小区改造、公共空间提升。北京西站片区打造“公园畔的火车站”，建设首都形象展示的重要窗口；北京南站片区提升枢纽运行效率与商务商业服务能级；北京丰台站片区实施“高铁如意门”计划，形成京雄人才科创走廊的核心枢纽</w:t>
      </w:r>
      <w:r>
        <w:rPr>
          <w:rFonts w:hint="eastAsia"/>
        </w:rPr>
        <w:t>，在促进京津冀城市群协同发展中凸显丰台重要节点作用。</w:t>
      </w:r>
    </w:p>
    <w:p>
      <w:pPr>
        <w:pStyle w:val="2"/>
        <w:ind w:firstLine="643"/>
        <w:rPr>
          <w:rFonts w:hint="eastAsia"/>
          <w:lang w:eastAsia="zh-CN"/>
        </w:rPr>
      </w:pPr>
      <w:r>
        <w:rPr>
          <w:b/>
          <w:bCs/>
        </w:rPr>
        <w:t>两个城市航站楼推动枢纽“空铁陆”立体网络建设，实现一体化提升。</w:t>
      </w:r>
      <w:r>
        <w:t>丽泽城市航站楼片区打造空铁联运的“立体城市客厅”</w:t>
      </w:r>
      <w:r>
        <w:rPr>
          <w:rFonts w:hint="eastAsia"/>
        </w:rPr>
        <w:t>，</w:t>
      </w:r>
      <w:r>
        <w:t>草桥城市航站楼片区建设城南滨水花园场站</w:t>
      </w:r>
      <w:r>
        <w:rPr>
          <w:rFonts w:hint="eastAsia"/>
          <w:lang w:eastAsia="zh-CN"/>
        </w:rPr>
        <w:t>，</w:t>
      </w:r>
      <w:r>
        <w:rPr>
          <w:rFonts w:hint="eastAsia"/>
        </w:rPr>
        <w:t>整体</w:t>
      </w:r>
      <w:r>
        <w:rPr>
          <w:rFonts w:hint="eastAsia"/>
          <w:lang w:eastAsia="zh-CN"/>
        </w:rPr>
        <w:t>构建</w:t>
      </w:r>
      <w:r>
        <w:t>集航空接驳、轨道换乘、商务服务于一体的高效中转节点</w:t>
      </w:r>
      <w:r>
        <w:rPr>
          <w:rFonts w:hint="eastAsia"/>
        </w:rPr>
        <w:t>。</w:t>
      </w:r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42" w:name="_Toc240396934"/>
      <w:r>
        <w:rPr>
          <w:rFonts w:hint="eastAsia"/>
          <w:bCs w:val="0"/>
          <w:color w:val="auto"/>
          <w:lang w:eastAsia="zh" w:bidi="ar"/>
        </w:rPr>
        <w:t>（三）引导片区式更新，提升产居融合水平</w:t>
      </w:r>
      <w:bookmarkEnd w:id="42"/>
    </w:p>
    <w:p>
      <w:pPr>
        <w:pStyle w:val="2"/>
        <w:ind w:firstLine="643"/>
        <w:rPr>
          <w:rFonts w:hint="eastAsia"/>
        </w:rPr>
      </w:pPr>
      <w:r>
        <w:rPr>
          <w:rFonts w:hint="eastAsia"/>
          <w:b/>
          <w:bCs/>
          <w:lang w:eastAsia="zh-CN"/>
        </w:rPr>
        <w:t>发挥中关村政策区引领作用，以片区式更新为抓手，促进新质生产力升级。</w:t>
      </w:r>
      <w:r>
        <w:rPr>
          <w:rFonts w:hint="eastAsia"/>
          <w:lang w:eastAsia="zh-CN"/>
        </w:rPr>
        <w:t>立足政策区制度创新优势，以连片谋划、整体更新替代零散改造、单点突破，推动空间资源高效配置、产业功能有机融合、人居环境同步提升，为新质生产力培育提供空间载体和制度保障。</w:t>
      </w:r>
    </w:p>
    <w:p>
      <w:pPr>
        <w:pStyle w:val="2"/>
        <w:ind w:firstLine="643"/>
        <w:rPr>
          <w:rFonts w:hint="eastAsia"/>
        </w:rPr>
      </w:pPr>
      <w:r>
        <w:rPr>
          <w:rFonts w:hint="eastAsia"/>
          <w:b/>
          <w:bCs/>
          <w:lang w:eastAsia="zh-CN"/>
        </w:rPr>
        <w:t>以大院大所、国有企业为主体，强化统筹谋划，推动产业空间片区式更新。</w:t>
      </w:r>
      <w:r>
        <w:rPr>
          <w:rFonts w:hint="eastAsia"/>
          <w:lang w:eastAsia="zh-CN"/>
        </w:rPr>
        <w:t>依托航天三院、航天一院等国家级科研力量，深化央地协同机制，建立共商共建共享的更新实施模式。</w:t>
      </w:r>
    </w:p>
    <w:p>
      <w:pPr>
        <w:pStyle w:val="2"/>
        <w:ind w:firstLine="643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充分发挥街镇统筹谋划主体作用，总结推广方庄先进经验，推动居住类片区式更新提质增效，持续提升人居环境品质。</w:t>
      </w:r>
      <w:r>
        <w:rPr>
          <w:rFonts w:hint="eastAsia"/>
          <w:lang w:eastAsia="zh-CN"/>
        </w:rPr>
        <w:t>强化街镇在更新实施中的组织协调功能，整合产权单位、物业企业、居民各方力量，形成政府引导、市场运作、居民参与的工作合力。借鉴方庄片区在老旧小区改造、公共空间提升、便民服务完善等方面的成熟做法，在右安门、马家堡等居住空间集聚地区，统筹推进基础设施补短板、公共服务提品质、社区治理增效能，打造宜居宜业、安全韧性的完整居住社区。</w:t>
      </w:r>
    </w:p>
    <w:p>
      <w:pPr>
        <w:pStyle w:val="4"/>
        <w:widowControl w:val="0"/>
        <w:topLinePunct/>
        <w:ind w:firstLine="640"/>
        <w:jc w:val="both"/>
        <w:rPr>
          <w:rFonts w:hint="eastAsia"/>
          <w:lang w:eastAsia="zh-CN"/>
        </w:rPr>
      </w:pPr>
      <w:bookmarkStart w:id="43" w:name="_Toc240396935"/>
      <w:r>
        <w:rPr>
          <w:rFonts w:hint="eastAsia"/>
          <w:lang w:eastAsia="zh-CN"/>
        </w:rPr>
        <w:t>三、</w:t>
      </w:r>
      <w:r>
        <w:rPr>
          <w:lang w:eastAsia="zh-CN"/>
        </w:rPr>
        <w:t>提升民生温度，实现全龄友好活力</w:t>
      </w:r>
      <w:bookmarkEnd w:id="43"/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44" w:name="_Toc240396936"/>
      <w:r>
        <w:rPr>
          <w:rFonts w:hint="eastAsia"/>
          <w:bCs w:val="0"/>
          <w:color w:val="auto"/>
          <w:lang w:eastAsia="zh" w:bidi="ar"/>
        </w:rPr>
        <w:t>（一）</w:t>
      </w:r>
      <w:r>
        <w:rPr>
          <w:bCs w:val="0"/>
          <w:color w:val="auto"/>
          <w:lang w:eastAsia="zh" w:bidi="ar"/>
        </w:rPr>
        <w:t>推进农村城市化，有序实施城中村改造</w:t>
      </w:r>
      <w:bookmarkEnd w:id="44"/>
    </w:p>
    <w:p>
      <w:pPr>
        <w:ind w:firstLine="643"/>
        <w:rPr>
          <w:rFonts w:hint="eastAsia"/>
          <w:lang w:eastAsia="zh-CN"/>
        </w:rPr>
      </w:pPr>
      <w:r>
        <w:rPr>
          <w:b/>
          <w:bCs/>
        </w:rPr>
        <w:t>坚持“民生优先、统筹推进、分步实施”原则，推进农村城市化，有序实施城中村改造。</w:t>
      </w:r>
      <w:r>
        <w:t>因地制宜采用整体改造、原拆原建等模式，</w:t>
      </w:r>
      <w:r>
        <w:rPr>
          <w:rFonts w:hint="eastAsia"/>
        </w:rPr>
        <w:t>加快</w:t>
      </w:r>
      <w:r>
        <w:t>已申报的</w:t>
      </w:r>
      <w:r>
        <w:rPr>
          <w:rFonts w:hint="eastAsia"/>
        </w:rPr>
        <w:t>城中村改造</w:t>
      </w:r>
      <w:r>
        <w:t>项目实施，理顺集体产权、统筹安置房建设，补齐城乡公共服务短板，</w:t>
      </w:r>
      <w:r>
        <w:rPr>
          <w:rFonts w:hint="eastAsia"/>
        </w:rPr>
        <w:t>鼓励开展集体土地城市更新，</w:t>
      </w:r>
      <w:r>
        <w:t>推动河东地区基本实现城市化。持续推进棚户区改造，有序完成既有项目的收尾工作。</w:t>
      </w:r>
      <w:r>
        <w:rPr>
          <w:rFonts w:hint="eastAsia"/>
          <w:lang w:eastAsia="zh-CN"/>
        </w:rPr>
        <w:t>推进城中村改造重点</w:t>
      </w:r>
      <w:r>
        <w:rPr>
          <w:rFonts w:hint="eastAsia" w:cs="Times New Roman"/>
          <w:snapToGrid w:val="0"/>
          <w:lang w:eastAsia="zh-CN"/>
        </w:rPr>
        <w:t>“边角地、夹心地、插花地”化零为整、打包更新，补充地区服务设施和广场绿地。</w:t>
      </w:r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45" w:name="_Toc240396937"/>
      <w:r>
        <w:rPr>
          <w:rFonts w:hint="eastAsia"/>
          <w:bCs w:val="0"/>
          <w:color w:val="auto"/>
          <w:lang w:eastAsia="zh" w:bidi="ar"/>
        </w:rPr>
        <w:t>（二）</w:t>
      </w:r>
      <w:r>
        <w:rPr>
          <w:bCs w:val="0"/>
          <w:color w:val="auto"/>
          <w:lang w:eastAsia="zh" w:bidi="ar"/>
        </w:rPr>
        <w:t>有序推进危旧楼房改建，探索“原拆原建+”模式</w:t>
      </w:r>
      <w:bookmarkEnd w:id="45"/>
    </w:p>
    <w:p>
      <w:pPr>
        <w:pStyle w:val="5"/>
        <w:widowControl w:val="0"/>
        <w:topLinePunct/>
        <w:rPr>
          <w:rFonts w:hint="eastAsia"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</w:rPr>
        <w:t>鼓励探索</w:t>
      </w:r>
      <w:r>
        <w:rPr>
          <w:rFonts w:hint="eastAsia" w:ascii="仿宋_GB2312" w:hAnsi="仿宋_GB2312" w:eastAsia="仿宋_GB2312" w:cs="仿宋_GB2312"/>
          <w:b/>
          <w:bCs/>
          <w:lang w:eastAsia="zh"/>
        </w:rPr>
        <w:t>“</w:t>
      </w:r>
      <w:r>
        <w:rPr>
          <w:rFonts w:hint="eastAsia" w:ascii="仿宋_GB2312" w:hAnsi="仿宋_GB2312" w:eastAsia="仿宋_GB2312" w:cs="仿宋_GB2312"/>
          <w:b/>
          <w:bCs/>
        </w:rPr>
        <w:t>原拆原建</w:t>
      </w:r>
      <w:r>
        <w:rPr>
          <w:rFonts w:hint="eastAsia" w:ascii="仿宋_GB2312" w:hAnsi="仿宋_GB2312" w:eastAsia="仿宋_GB2312" w:cs="仿宋_GB2312"/>
          <w:b/>
          <w:bCs/>
          <w:lang w:eastAsia="zh"/>
        </w:rPr>
        <w:t>+”模式</w:t>
      </w:r>
      <w:r>
        <w:rPr>
          <w:rFonts w:hint="eastAsia" w:ascii="仿宋_GB2312" w:hAnsi="仿宋_GB2312" w:eastAsia="仿宋_GB2312" w:cs="仿宋_GB2312"/>
          <w:b/>
          <w:bCs/>
        </w:rPr>
        <w:t>，形成危楼改建场景。</w:t>
      </w:r>
      <w:r>
        <w:rPr>
          <w:rFonts w:hint="eastAsia" w:ascii="仿宋_GB2312" w:hAnsi="仿宋_GB2312" w:eastAsia="仿宋_GB2312" w:cs="仿宋_GB2312"/>
          <w:bCs w:val="0"/>
          <w:color w:val="auto"/>
          <w:lang w:eastAsia="zh"/>
        </w:rPr>
        <w:t>对C、D级危险住房和非成套住房建立台账、动态更新，加快拆除改造D级危险住房。重点排查1990年以前建成的砖木、砖混结构住房，精准消除安全隐患。以国有土地、国有企事业单位的非成套、老旧住房集中区域为切入点，逐步形成危旧楼房改建的丰台路径，实行产权单位与居民共同出资。通过改建，合理利用地下空间和地上适度增量规模，改善居住条件、补充便民设施，与老旧小区综合整治、加装电梯、老旧管线改造、公共空间提升一体谋划。</w:t>
      </w:r>
      <w:bookmarkStart w:id="46" w:name="_Toc240396938"/>
      <w:r>
        <w:rPr>
          <w:rFonts w:hint="eastAsia" w:ascii="仿宋_GB2312" w:hAnsi="仿宋_GB2312" w:eastAsia="仿宋_GB2312" w:cs="仿宋_GB2312"/>
          <w:bCs w:val="0"/>
          <w:color w:val="auto"/>
          <w:lang w:val="en-US" w:eastAsia="zh"/>
        </w:rPr>
        <w:t xml:space="preserve"> </w:t>
      </w:r>
      <w:r>
        <w:rPr>
          <w:rFonts w:hint="eastAsia"/>
          <w:bCs/>
          <w:lang w:val="en-US" w:eastAsia="zh-CN"/>
        </w:rPr>
        <w:t xml:space="preserve">   </w:t>
      </w:r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r>
        <w:rPr>
          <w:rFonts w:hint="eastAsia"/>
          <w:bCs w:val="0"/>
          <w:color w:val="auto"/>
          <w:lang w:eastAsia="zh" w:bidi="ar"/>
        </w:rPr>
        <w:t>（三）持续推进城镇老旧小区改造，提升人居环境质量</w:t>
      </w:r>
      <w:bookmarkEnd w:id="46"/>
    </w:p>
    <w:p>
      <w:pPr>
        <w:pStyle w:val="5"/>
        <w:widowControl w:val="0"/>
        <w:topLinePunct/>
        <w:rPr>
          <w:rFonts w:hint="eastAsia" w:ascii="仿宋_GB2312" w:hAnsi="仿宋_GB2312" w:eastAsia="仿宋_GB2312" w:cs="仿宋_GB2312"/>
          <w:bCs w:val="0"/>
          <w:color w:val="auto"/>
          <w:lang w:eastAsia="zh"/>
        </w:rPr>
      </w:pPr>
      <w:r>
        <w:rPr>
          <w:rFonts w:hint="eastAsia" w:ascii="仿宋_GB2312" w:hAnsi="仿宋_GB2312" w:eastAsia="仿宋_GB2312" w:cs="仿宋_GB2312"/>
          <w:b/>
          <w:bCs/>
        </w:rPr>
        <w:t>持续推进城镇老旧小区改造，提升人居环境质量。</w:t>
      </w:r>
      <w:r>
        <w:rPr>
          <w:rFonts w:hint="eastAsia" w:ascii="仿宋_GB2312" w:hAnsi="仿宋_GB2312" w:eastAsia="仿宋_GB2312" w:cs="仿宋_GB2312"/>
          <w:bCs w:val="0"/>
          <w:color w:val="auto"/>
          <w:lang w:eastAsia="zh"/>
        </w:rPr>
        <w:t>以丰台河东地区二环至四环之间实施率较高、建成年代较早、更新诉求显著的成片居住社区为重点，推进方庄、东铁匠营、马家堡等全龄友好活力区建设。坚持滚动实施，对2000年底前建成、仍需改造的老旧小区开展收尾工作。开展2005年底前建成老旧小区的改造谋划工作，持续跟进政策动态，积极争取改造资源。有序摸排2010年底前建成小区的改造需求，建立后续改造储备库。健全改造后长效管理机制，推进物业管理全覆盖，实现规范化物业服务。</w:t>
      </w:r>
      <w:bookmarkStart w:id="47" w:name="_Toc240396939"/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r>
        <w:rPr>
          <w:rFonts w:hint="eastAsia"/>
          <w:bCs w:val="0"/>
          <w:color w:val="auto"/>
          <w:lang w:eastAsia="zh" w:bidi="ar"/>
        </w:rPr>
        <w:t>（四）完整社区建设扩面提质，补齐公共服务短板</w:t>
      </w:r>
      <w:bookmarkEnd w:id="47"/>
    </w:p>
    <w:p>
      <w:pPr>
        <w:pStyle w:val="4"/>
        <w:widowControl w:val="0"/>
        <w:topLinePunct/>
        <w:ind w:firstLine="640"/>
        <w:jc w:val="both"/>
        <w:rPr>
          <w:rFonts w:hint="eastAsia" w:ascii="仿宋_GB2312" w:hAnsi="仿宋_GB2312" w:eastAsia="仿宋_GB2312" w:cs="仿宋_GB2312"/>
          <w:bCs w:val="0"/>
          <w:color w:val="auto"/>
          <w:lang w:eastAsia="zh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lang w:eastAsia="zh"/>
        </w:rPr>
        <w:t>推进完整社区建设扩面提质，打造完整社区场景。</w:t>
      </w:r>
      <w:r>
        <w:rPr>
          <w:rFonts w:hint="eastAsia" w:ascii="仿宋_GB2312" w:hAnsi="仿宋_GB2312" w:eastAsia="仿宋_GB2312" w:cs="仿宋_GB2312"/>
          <w:bCs w:val="0"/>
          <w:color w:val="auto"/>
          <w:lang w:eastAsia="zh"/>
        </w:rPr>
        <w:t>坚持统筹实施，推动完整社区建设与社区嵌入式服务设施、“15分钟社区生活圈”等工作一体谋划。联动保障房、商品房、安置房实施与老旧小区改造，通过补充公共服务提升住房吸引力，因地制宜设置托幼、养老、卫生、文化、体育、便民商业等配套设施，加强存量闲置房屋复合利用，通过建设嵌入式社区综合体补充完善服务功能，多主体共建口袋公园、特色通学路等公共空间，实现全龄友好。搭建智慧社区平台，落地智能安防、智慧停车等数字化设施，完善设施运行维护机制，健全改造后长效管理，推进社区服务智能化和物业服务规范化。鼓励河东地区每个街道谋划1个完整社区建设项目，重点支撑方庄、丰台站周边、右安门、大红门等老旧小区集中区域完善公共服务设施，支撑新宫、看丹等新供商品房区域提升人居环境吸引力，逐步向河西地区延伸。</w:t>
      </w:r>
      <w:r>
        <w:rPr>
          <w:rFonts w:hint="eastAsia" w:ascii="仿宋_GB2312" w:hAnsi="仿宋_GB2312" w:eastAsia="仿宋_GB2312" w:cs="仿宋_GB2312"/>
          <w:b/>
          <w:bCs/>
          <w:color w:val="auto"/>
          <w:lang w:eastAsia="zh"/>
        </w:rPr>
        <w:t>加强公共服务保障，提供高品质生活服务供给。</w:t>
      </w:r>
      <w:r>
        <w:rPr>
          <w:rFonts w:hint="eastAsia" w:ascii="仿宋_GB2312" w:hAnsi="仿宋_GB2312" w:eastAsia="仿宋_GB2312" w:cs="仿宋_GB2312"/>
          <w:bCs w:val="0"/>
          <w:color w:val="auto"/>
          <w:lang w:eastAsia="zh"/>
        </w:rPr>
        <w:t>通过既有校区改扩建和有序落实规划教育设施，增加基础教育学位，提供优质教育空间；推进区属医院、社区卫生站点提质，构建15分钟健康圈；挖掘存量空间布局文体场馆、口袋健身场地，以“小而密”的思路补足文化、体育设施；升级街道政务综合服务载体，同步补充消费基础设施和养老服务供给，高效构建“社区会客厅”。新建公共服务设施按照“一街一策”“一空间一方案”加强背街小巷和公共空间的常态化治理和精细化提升，推进街巷环境与周边片区整体联动、协同提质，打造一批具有丰台特色、彰显首都风范的公共空间精品示范区域，实现“城市现代化”。</w:t>
      </w:r>
      <w:bookmarkStart w:id="48" w:name="_Toc240396940"/>
    </w:p>
    <w:p>
      <w:pPr>
        <w:pStyle w:val="4"/>
        <w:widowControl w:val="0"/>
        <w:topLinePunct/>
        <w:ind w:firstLine="64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四、</w:t>
      </w:r>
      <w:r>
        <w:rPr>
          <w:lang w:eastAsia="zh-CN"/>
        </w:rPr>
        <w:t>促进产业焕新，激活创新动力源泉</w:t>
      </w:r>
      <w:bookmarkEnd w:id="48"/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49" w:name="_Toc238825138"/>
      <w:bookmarkStart w:id="50" w:name="_Toc238831817"/>
      <w:bookmarkStart w:id="51" w:name="_Toc240396941"/>
      <w:r>
        <w:rPr>
          <w:rFonts w:hint="eastAsia"/>
          <w:bCs w:val="0"/>
          <w:color w:val="auto"/>
          <w:lang w:eastAsia="zh" w:bidi="ar"/>
        </w:rPr>
        <w:t>（一）</w:t>
      </w:r>
      <w:r>
        <w:rPr>
          <w:bCs w:val="0"/>
          <w:color w:val="auto"/>
          <w:lang w:eastAsia="zh" w:bidi="ar"/>
        </w:rPr>
        <w:t>推动楼宇与商业设施转型，打造产业升级场景</w:t>
      </w:r>
      <w:bookmarkEnd w:id="49"/>
      <w:bookmarkEnd w:id="50"/>
      <w:bookmarkEnd w:id="51"/>
    </w:p>
    <w:p>
      <w:pPr>
        <w:tabs>
          <w:tab w:val="left" w:pos="2552"/>
        </w:tabs>
        <w:ind w:firstLine="643"/>
        <w:rPr>
          <w:rFonts w:hint="eastAsia"/>
          <w:lang w:eastAsia="zh-CN"/>
        </w:rPr>
      </w:pPr>
      <w:r>
        <w:rPr>
          <w:b/>
          <w:bCs/>
        </w:rPr>
        <w:t>推进低效、老旧楼宇</w:t>
      </w:r>
      <w:r>
        <w:rPr>
          <w:rFonts w:hint="eastAsia"/>
          <w:b/>
          <w:bCs/>
        </w:rPr>
        <w:t>转型升级。</w:t>
      </w:r>
      <w:r>
        <w:t>充分发挥中关村国家自主创新示范区改革试验田作用，分类引导低效、老旧楼宇更新提升。重点围绕南中轴、丰台科技园东区、四环路沿线</w:t>
      </w:r>
      <w:r>
        <w:rPr>
          <w:rFonts w:hint="eastAsia"/>
        </w:rPr>
        <w:t>、丰台站北</w:t>
      </w:r>
      <w:r>
        <w:t>等存量</w:t>
      </w:r>
      <w:r>
        <w:rPr>
          <w:rFonts w:hint="eastAsia"/>
        </w:rPr>
        <w:t>楼宇</w:t>
      </w:r>
      <w:r>
        <w:t>集中地区，</w:t>
      </w:r>
      <w:r>
        <w:rPr>
          <w:rFonts w:hint="eastAsia"/>
        </w:rPr>
        <w:t>推动</w:t>
      </w:r>
      <w:r>
        <w:t>成片焕新。</w:t>
      </w:r>
      <w:r>
        <w:rPr>
          <w:rFonts w:hint="eastAsia"/>
        </w:rPr>
        <w:t>以发展新质生产力为导向</w:t>
      </w:r>
      <w:r>
        <w:t>，导入轨道交通、数字经济、智能制造、研发设计等产业，打造创新型产业社区。加强产业地图和城市更新项目地图的叠图发展，构建产业升级场景。</w:t>
      </w:r>
    </w:p>
    <w:p>
      <w:pPr>
        <w:pStyle w:val="2"/>
        <w:ind w:firstLine="643"/>
        <w:rPr>
          <w:rFonts w:hint="eastAsia"/>
          <w:lang w:eastAsia="zh-CN"/>
        </w:rPr>
      </w:pPr>
      <w:r>
        <w:rPr>
          <w:b/>
          <w:bCs/>
          <w:lang w:eastAsia="zh-CN"/>
        </w:rPr>
        <w:t>推动商业设施</w:t>
      </w:r>
      <w:r>
        <w:rPr>
          <w:rFonts w:hint="eastAsia"/>
          <w:b/>
          <w:bCs/>
          <w:lang w:eastAsia="zh-CN"/>
        </w:rPr>
        <w:t>更新</w:t>
      </w:r>
      <w:r>
        <w:rPr>
          <w:b/>
          <w:bCs/>
          <w:lang w:eastAsia="zh-CN"/>
        </w:rPr>
        <w:t>与消费</w:t>
      </w:r>
      <w:r>
        <w:rPr>
          <w:rFonts w:hint="eastAsia"/>
          <w:b/>
          <w:bCs/>
          <w:lang w:eastAsia="zh-CN"/>
        </w:rPr>
        <w:t>需求</w:t>
      </w:r>
      <w:r>
        <w:rPr>
          <w:b/>
          <w:bCs/>
          <w:lang w:eastAsia="zh-CN"/>
        </w:rPr>
        <w:t>相适应。</w:t>
      </w:r>
      <w:r>
        <w:rPr>
          <w:rFonts w:hint="eastAsia"/>
          <w:lang w:eastAsia="zh-CN"/>
        </w:rPr>
        <w:t>推动新发地</w:t>
      </w:r>
      <w:r>
        <w:rPr>
          <w:lang w:eastAsia="zh-CN"/>
        </w:rPr>
        <w:t>农副产品供给保障区、花乡都市花卉保障区及国有企业市场等转型升级，</w:t>
      </w:r>
      <w:r>
        <w:rPr>
          <w:rFonts w:hint="eastAsia"/>
          <w:lang w:eastAsia="zh-CN"/>
        </w:rPr>
        <w:t>推进</w:t>
      </w:r>
      <w:r>
        <w:rPr>
          <w:lang w:eastAsia="zh-CN"/>
        </w:rPr>
        <w:t>丽泽</w:t>
      </w:r>
      <w:r>
        <w:rPr>
          <w:rFonts w:hint="eastAsia"/>
          <w:lang w:eastAsia="zh-CN"/>
        </w:rPr>
        <w:t>、</w:t>
      </w:r>
      <w:r>
        <w:rPr>
          <w:lang w:eastAsia="zh-CN"/>
        </w:rPr>
        <w:t>首都商务新区国际消费体验区建设</w:t>
      </w:r>
      <w:r>
        <w:rPr>
          <w:rFonts w:hint="eastAsia"/>
          <w:lang w:eastAsia="zh-CN"/>
        </w:rPr>
        <w:t>与公共空间提升</w:t>
      </w:r>
      <w:r>
        <w:rPr>
          <w:lang w:eastAsia="zh-CN"/>
        </w:rPr>
        <w:t>，</w:t>
      </w:r>
      <w:r>
        <w:rPr>
          <w:rFonts w:hint="eastAsia"/>
          <w:lang w:eastAsia="zh-CN"/>
        </w:rPr>
        <w:t>促进</w:t>
      </w:r>
      <w:r>
        <w:rPr>
          <w:lang w:eastAsia="zh-CN"/>
        </w:rPr>
        <w:t>丰台科技园、方庄、马家堡等更新提升型商圈能级提升</w:t>
      </w:r>
      <w:r>
        <w:rPr>
          <w:rFonts w:hint="eastAsia"/>
          <w:lang w:eastAsia="zh-CN"/>
        </w:rPr>
        <w:t>。</w:t>
      </w:r>
      <w:r>
        <w:rPr>
          <w:lang w:eastAsia="zh-CN"/>
        </w:rPr>
        <w:t>优化功能业态</w:t>
      </w:r>
      <w:r>
        <w:rPr>
          <w:rFonts w:hint="eastAsia"/>
          <w:lang w:eastAsia="zh-CN"/>
        </w:rPr>
        <w:t>，</w:t>
      </w:r>
      <w:r>
        <w:rPr>
          <w:lang w:eastAsia="zh-CN"/>
        </w:rPr>
        <w:t>加强文商旅体展融合，提振大宗消费，培育融合消费、新型消费</w:t>
      </w:r>
      <w:r>
        <w:rPr>
          <w:rFonts w:hint="eastAsia"/>
          <w:lang w:eastAsia="zh-CN"/>
        </w:rPr>
        <w:t>、</w:t>
      </w:r>
      <w:r>
        <w:rPr>
          <w:lang w:eastAsia="zh-CN"/>
        </w:rPr>
        <w:t>社区消费。</w:t>
      </w:r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52" w:name="_Toc240396942"/>
      <w:r>
        <w:rPr>
          <w:rFonts w:hint="eastAsia"/>
          <w:bCs w:val="0"/>
          <w:color w:val="auto"/>
          <w:lang w:eastAsia="zh" w:bidi="ar"/>
        </w:rPr>
        <w:t>（二）</w:t>
      </w:r>
      <w:r>
        <w:rPr>
          <w:bCs w:val="0"/>
          <w:color w:val="auto"/>
          <w:lang w:eastAsia="zh" w:bidi="ar"/>
        </w:rPr>
        <w:t>推进老旧街区、厂区更新，营造活力街区场景</w:t>
      </w:r>
      <w:bookmarkEnd w:id="52"/>
    </w:p>
    <w:p>
      <w:pPr>
        <w:ind w:firstLine="643"/>
        <w:rPr>
          <w:rFonts w:hint="eastAsia"/>
          <w:lang w:eastAsia="zh-CN"/>
        </w:rPr>
      </w:pPr>
      <w:r>
        <w:rPr>
          <w:rFonts w:hint="eastAsia"/>
          <w:b/>
          <w:bCs/>
        </w:rPr>
        <w:t>推进老旧街区成片焕新，营造活力街区场景。</w:t>
      </w:r>
      <w:r>
        <w:rPr>
          <w:rFonts w:hint="eastAsia"/>
        </w:rPr>
        <w:t>重点盘活闲置空间，补齐三大设施，挖掘地下空间，完善地区路网管网，提升人居环境品质和城市风貌，促进城市现代化。以长辛店老镇、方庄地区为示范，推广街道层级更新规划和</w:t>
      </w:r>
      <w:r>
        <w:rPr>
          <w:rFonts w:hint="eastAsia"/>
          <w:lang w:eastAsia="zh-CN"/>
        </w:rPr>
        <w:t>“</w:t>
      </w:r>
      <w:r>
        <w:rPr>
          <w:rFonts w:hint="eastAsia"/>
        </w:rPr>
        <w:t>城市更新联盟</w:t>
      </w:r>
      <w:r>
        <w:rPr>
          <w:rFonts w:hint="eastAsia"/>
          <w:lang w:eastAsia="zh-CN"/>
        </w:rPr>
        <w:t>”</w:t>
      </w:r>
      <w:r>
        <w:rPr>
          <w:rFonts w:hint="eastAsia"/>
        </w:rPr>
        <w:t>经验，实现跨社区统筹、跨项目平衡。</w:t>
      </w:r>
    </w:p>
    <w:p>
      <w:pPr>
        <w:pStyle w:val="2"/>
        <w:ind w:firstLine="643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分类引导老旧厂区转型升级，促进产业提质增效。</w:t>
      </w:r>
      <w:r>
        <w:rPr>
          <w:rFonts w:hint="eastAsia"/>
          <w:lang w:eastAsia="zh-CN"/>
        </w:rPr>
        <w:t>形成央地协同、校企结合、军民融合、全球合作的科技创新发展格局，以东高地、云岗等片区为示范，探索丰台特色路径。重点推进国有低效存量产业用地更新，实现优质工业遗存的保护性更新利用，提供科创产业空间，吸引和配置高精尖产业项目，同步实施节能智慧化升级。</w:t>
      </w:r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53" w:name="_Toc240396943"/>
      <w:bookmarkStart w:id="54" w:name="_Toc238825140"/>
      <w:bookmarkStart w:id="55" w:name="_Toc238831819"/>
      <w:r>
        <w:rPr>
          <w:rFonts w:hint="eastAsia"/>
          <w:bCs w:val="0"/>
          <w:color w:val="auto"/>
          <w:lang w:eastAsia="zh" w:bidi="ar"/>
        </w:rPr>
        <w:t>（三）</w:t>
      </w:r>
      <w:r>
        <w:rPr>
          <w:bCs w:val="0"/>
          <w:color w:val="auto"/>
          <w:lang w:eastAsia="zh" w:bidi="ar"/>
        </w:rPr>
        <w:t>推广智能建造技术应用，培育智能建造场景</w:t>
      </w:r>
      <w:bookmarkEnd w:id="53"/>
      <w:bookmarkEnd w:id="54"/>
      <w:bookmarkEnd w:id="55"/>
    </w:p>
    <w:p>
      <w:pPr>
        <w:ind w:firstLine="643"/>
        <w:jc w:val="both"/>
        <w:rPr>
          <w:rFonts w:hint="eastAsia"/>
          <w:lang w:eastAsia="zh-CN"/>
        </w:rPr>
      </w:pPr>
      <w:r>
        <w:rPr>
          <w:b/>
          <w:bCs/>
        </w:rPr>
        <w:t>以“绿色化</w:t>
      </w:r>
      <w:r>
        <w:rPr>
          <w:rFonts w:hint="eastAsia"/>
          <w:b/>
          <w:bCs/>
        </w:rPr>
        <w:t>、</w:t>
      </w:r>
      <w:r>
        <w:rPr>
          <w:b/>
          <w:bCs/>
        </w:rPr>
        <w:t>智慧化”为目标，培育智能建造场景。</w:t>
      </w:r>
      <w:r>
        <w:t>推广智能建造技术应用，拓展智能建造应用空间，在城市更新项目中率先推广模块化拆分、装配式建造等新技术新模式，推动危旧楼房改建、老旧小区改造、市政设施更新等项目全过程数字化管理，提高实施和运营效率。持续实施公共建筑能效分级管理和节能绿色化改造，推动新建公共建筑达到绿色建筑二星级及以上标准</w:t>
      </w:r>
      <w:r>
        <w:rPr>
          <w:rFonts w:hint="eastAsia"/>
        </w:rPr>
        <w:t>。</w:t>
      </w:r>
      <w:r>
        <w:t>培育智能建造生产空间，聚焦智能装备、智能建造，布局集研发设计、部品生产、施工安装、智慧运维于一体的产业链条，推动智能建造与城市更新项目供需对接、场景共建。</w:t>
      </w:r>
    </w:p>
    <w:p>
      <w:pPr>
        <w:pStyle w:val="4"/>
        <w:widowControl w:val="0"/>
        <w:topLinePunct/>
        <w:ind w:firstLine="640"/>
        <w:jc w:val="both"/>
        <w:rPr>
          <w:rFonts w:hint="eastAsia"/>
          <w:lang w:eastAsia="zh-CN"/>
        </w:rPr>
      </w:pPr>
      <w:bookmarkStart w:id="56" w:name="_Toc240396944"/>
      <w:r>
        <w:rPr>
          <w:rFonts w:hint="eastAsia"/>
          <w:lang w:eastAsia="zh-CN"/>
        </w:rPr>
        <w:t>五、优化基础设施</w:t>
      </w:r>
      <w:r>
        <w:rPr>
          <w:lang w:eastAsia="zh-CN"/>
        </w:rPr>
        <w:t>，加强区域协同发展</w:t>
      </w:r>
      <w:bookmarkEnd w:id="56"/>
    </w:p>
    <w:p>
      <w:pPr>
        <w:pStyle w:val="5"/>
        <w:widowControl w:val="0"/>
        <w:topLinePunct/>
        <w:rPr>
          <w:rFonts w:hint="eastAsia"/>
          <w:bCs w:val="0"/>
          <w:color w:val="auto"/>
          <w:lang w:bidi="ar"/>
        </w:rPr>
      </w:pPr>
      <w:bookmarkStart w:id="57" w:name="_Toc240396945"/>
      <w:r>
        <w:rPr>
          <w:rFonts w:hint="eastAsia"/>
          <w:bCs w:val="0"/>
          <w:color w:val="auto"/>
          <w:lang w:eastAsia="zh" w:bidi="ar"/>
        </w:rPr>
        <w:t>（一）完善交通市政系统，提升综合服务能力</w:t>
      </w:r>
      <w:bookmarkEnd w:id="57"/>
    </w:p>
    <w:p>
      <w:pPr>
        <w:pStyle w:val="2"/>
        <w:ind w:firstLine="643"/>
        <w:rPr>
          <w:rFonts w:hint="eastAsia"/>
          <w:lang w:eastAsia="zh-CN"/>
        </w:rPr>
      </w:pPr>
      <w:r>
        <w:rPr>
          <w:rFonts w:hint="eastAsia"/>
          <w:b/>
          <w:bCs/>
        </w:rPr>
        <w:t>提升交通基础设施承载能力，全面提高交通综合治理能力。</w:t>
      </w:r>
      <w:r>
        <w:rPr>
          <w:rFonts w:hint="eastAsia"/>
        </w:rPr>
        <w:t>通过城市更新，系统推进基础设施提档升级，提高人才吸引力，实现宜居目标。打通断头路、加密微循环路网；持续提升静态交通管理水平，优化机动车停车资源供给，推动错时共享停车和停车、充电设施一体化布局，强化非机动车停车管理。</w:t>
      </w:r>
    </w:p>
    <w:p>
      <w:pPr>
        <w:pStyle w:val="2"/>
        <w:ind w:firstLine="643"/>
        <w:rPr>
          <w:rFonts w:hint="eastAsia"/>
          <w:lang w:eastAsia="zh-CN"/>
        </w:rPr>
      </w:pPr>
      <w:r>
        <w:rPr>
          <w:rFonts w:hint="eastAsia"/>
          <w:b/>
          <w:bCs/>
        </w:rPr>
        <w:t>分类实施城市生命线工程，推动河西与河东均衡化发展。</w:t>
      </w:r>
      <w:r>
        <w:rPr>
          <w:rFonts w:hint="eastAsia"/>
        </w:rPr>
        <w:t>推进“六张网”建设，构建现代化基础设施体系。按需更新老旧雨污、供水管网，新建供水保障工程，全域推进海绵城市建设与内涝治理；加快500千伏输变电项目落地，推进供热系统智能化低碳改造，布局综合能源站、分布式光伏与虚拟电厂试点，优化燃气输配系统，完善河西地区管网；提升环境卫生服务品质，完善垃圾全链条治理体系，强化环卫行业支撑能力，配齐应急防灾基础设施。</w:t>
      </w:r>
    </w:p>
    <w:p>
      <w:pPr>
        <w:pStyle w:val="5"/>
        <w:widowControl w:val="0"/>
        <w:topLinePunct/>
        <w:rPr>
          <w:rFonts w:hint="eastAsia"/>
          <w:bCs w:val="0"/>
          <w:color w:val="auto"/>
          <w:lang w:bidi="ar"/>
        </w:rPr>
      </w:pPr>
      <w:bookmarkStart w:id="58" w:name="_Toc240396946"/>
      <w:r>
        <w:rPr>
          <w:rFonts w:hint="eastAsia"/>
          <w:bCs w:val="0"/>
          <w:color w:val="auto"/>
          <w:lang w:eastAsia="zh" w:bidi="ar"/>
        </w:rPr>
        <w:t>（二）统筹利用地下空间，增强城市安全韧性</w:t>
      </w:r>
      <w:bookmarkEnd w:id="58"/>
    </w:p>
    <w:p>
      <w:pPr>
        <w:pStyle w:val="2"/>
        <w:ind w:firstLine="643"/>
        <w:rPr>
          <w:rFonts w:hint="eastAsia"/>
          <w:lang w:eastAsia="zh-CN"/>
        </w:rPr>
      </w:pPr>
      <w:r>
        <w:rPr>
          <w:rFonts w:hint="eastAsia"/>
          <w:b/>
          <w:bCs/>
        </w:rPr>
        <w:t>改造老化地下管网，挖潜地下空间，补充交通市政设施。</w:t>
      </w:r>
      <w:r>
        <w:rPr>
          <w:rFonts w:hint="eastAsia"/>
        </w:rPr>
        <w:t>推进老旧管网评估改造，分类实施更新，建立常态化运维与安全体检机制；统筹地下空间集约复合利用，</w:t>
      </w:r>
      <w:r>
        <w:t>保障地下市政、交通、安全、公共服务等公益性功能设施建设</w:t>
      </w:r>
      <w:r>
        <w:rPr>
          <w:rFonts w:hint="eastAsia"/>
        </w:rPr>
        <w:t>，加强“平急两用”设施建设，多渠道建设应急避难场所，全面提升城市安全韧性和综合承载能力。</w:t>
      </w:r>
    </w:p>
    <w:p>
      <w:pPr>
        <w:pStyle w:val="5"/>
        <w:widowControl w:val="0"/>
        <w:topLinePunct/>
        <w:rPr>
          <w:rFonts w:hint="eastAsia"/>
          <w:bCs w:val="0"/>
          <w:color w:val="auto"/>
          <w:lang w:bidi="ar"/>
        </w:rPr>
      </w:pPr>
      <w:bookmarkStart w:id="59" w:name="_Toc240396947"/>
      <w:r>
        <w:rPr>
          <w:rFonts w:hint="eastAsia"/>
          <w:bCs w:val="0"/>
          <w:color w:val="auto"/>
          <w:lang w:eastAsia="zh" w:bidi="ar"/>
        </w:rPr>
        <w:t>（三）挖掘轨道站点资源，推动一体化建设</w:t>
      </w:r>
      <w:bookmarkEnd w:id="59"/>
    </w:p>
    <w:p>
      <w:pPr>
        <w:pStyle w:val="2"/>
        <w:tabs>
          <w:tab w:val="left" w:pos="2410"/>
        </w:tabs>
        <w:ind w:firstLine="643"/>
        <w:rPr>
          <w:rFonts w:hint="eastAsia"/>
          <w:lang w:eastAsia="zh-CN"/>
        </w:rPr>
      </w:pPr>
      <w:r>
        <w:rPr>
          <w:b/>
          <w:bCs/>
        </w:rPr>
        <w:t>推进既有轨道交通线路提效增能，挖掘轨道微中心及其他站点城市更新机遇</w:t>
      </w:r>
      <w:r>
        <w:rPr>
          <w:rFonts w:hint="eastAsia"/>
          <w:b/>
          <w:bCs/>
        </w:rPr>
        <w:t>。</w:t>
      </w:r>
      <w:r>
        <w:t>以城市更新为导向推进丰台南路、景风门、新宫等轨道微中心建设，完善立体化</w:t>
      </w:r>
      <w:r>
        <w:rPr>
          <w:rFonts w:hint="eastAsia"/>
        </w:rPr>
        <w:t>慢行</w:t>
      </w:r>
      <w:r>
        <w:t>网络，带动站点周边产业楼宇焕新</w:t>
      </w:r>
      <w:r>
        <w:rPr>
          <w:rFonts w:hint="eastAsia"/>
        </w:rPr>
        <w:t>、公共服务设施建设、</w:t>
      </w:r>
      <w:r>
        <w:t>公共空间提升，形成地区的交通核、功能核、活力核，促进河东河西统筹发展，提升站城融合水平。</w:t>
      </w:r>
    </w:p>
    <w:p>
      <w:pPr>
        <w:pStyle w:val="4"/>
        <w:widowControl w:val="0"/>
        <w:topLinePunct/>
        <w:ind w:firstLine="640"/>
        <w:jc w:val="both"/>
        <w:rPr>
          <w:rFonts w:hint="eastAsia"/>
          <w:lang w:eastAsia="zh-CN"/>
        </w:rPr>
      </w:pPr>
      <w:bookmarkStart w:id="60" w:name="_Toc240396948"/>
      <w:r>
        <w:rPr>
          <w:rFonts w:hint="eastAsia"/>
          <w:lang w:eastAsia="zh-CN"/>
        </w:rPr>
        <w:t>六、提升空间品质</w:t>
      </w:r>
      <w:r>
        <w:rPr>
          <w:lang w:eastAsia="zh-CN"/>
        </w:rPr>
        <w:t>，打造花园城市特色</w:t>
      </w:r>
      <w:bookmarkEnd w:id="60"/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61" w:name="_Toc240396949"/>
      <w:r>
        <w:rPr>
          <w:rFonts w:hint="eastAsia"/>
          <w:bCs w:val="0"/>
          <w:color w:val="auto"/>
          <w:lang w:eastAsia="zh" w:bidi="ar"/>
        </w:rPr>
        <w:t>（一）</w:t>
      </w:r>
      <w:r>
        <w:rPr>
          <w:bCs w:val="0"/>
          <w:color w:val="auto"/>
          <w:lang w:eastAsia="zh" w:bidi="ar"/>
        </w:rPr>
        <w:t>提升滨水空间品质，塑造滨水活力场景</w:t>
      </w:r>
      <w:bookmarkEnd w:id="61"/>
    </w:p>
    <w:p>
      <w:pPr>
        <w:ind w:firstLine="643"/>
        <w:rPr>
          <w:rFonts w:hint="eastAsia"/>
        </w:rPr>
      </w:pPr>
      <w:r>
        <w:rPr>
          <w:b/>
          <w:bCs/>
        </w:rPr>
        <w:t>坚持系统治理、水城共融，统筹水安全、水生态、水环境，塑造滨水活力场景。</w:t>
      </w:r>
      <w:r>
        <w:t>以永定河、凉水河为示范，</w:t>
      </w:r>
      <w:r>
        <w:rPr>
          <w:rFonts w:hint="eastAsia"/>
        </w:rPr>
        <w:t>促进城河交融，激发滨水活力</w:t>
      </w:r>
      <w:r>
        <w:rPr>
          <w:rFonts w:hint="eastAsia"/>
          <w:lang w:eastAsia="zh-CN"/>
        </w:rPr>
        <w:t>,</w:t>
      </w:r>
      <w:r>
        <w:rPr>
          <w:rFonts w:hint="eastAsia"/>
        </w:rPr>
        <w:t>塑造优美滨水风貌，彰显古都滨水文化底蕴。</w:t>
      </w:r>
      <w:r>
        <w:t>永定河（丰台段）片区实施沿岸大尺度绿化，串联西山永定河文化带绿道，推进河畔公园群协同提质，构建蓝绿交织、连续贯通的滨水风貌带；凉水河片区深化综合治理，贯通滨水慢行系统，打造水城共融的活力水岸；以点带面推进马草河、丰草河等中小河道滨水空间提升项目谋划，</w:t>
      </w:r>
      <w:r>
        <w:rPr>
          <w:rFonts w:hint="eastAsia"/>
        </w:rPr>
        <w:t>推动</w:t>
      </w:r>
      <w:r>
        <w:t>滨水空间成为市民休闲游憩的生态客厅。</w:t>
      </w:r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62" w:name="_Toc240396950"/>
      <w:r>
        <w:rPr>
          <w:rFonts w:hint="eastAsia"/>
          <w:bCs w:val="0"/>
          <w:color w:val="auto"/>
          <w:lang w:eastAsia="zh" w:bidi="ar"/>
        </w:rPr>
        <w:t>（二）修复城市生态系统</w:t>
      </w:r>
      <w:r>
        <w:rPr>
          <w:bCs w:val="0"/>
          <w:color w:val="auto"/>
          <w:lang w:eastAsia="zh" w:bidi="ar"/>
        </w:rPr>
        <w:t>，营造花园城市场景</w:t>
      </w:r>
      <w:bookmarkEnd w:id="62"/>
    </w:p>
    <w:p>
      <w:pPr>
        <w:ind w:firstLine="643"/>
        <w:rPr>
          <w:rFonts w:hint="eastAsia"/>
        </w:rPr>
      </w:pPr>
      <w:r>
        <w:rPr>
          <w:b/>
          <w:bCs/>
        </w:rPr>
        <w:t>立足首都西南生态屏障定位，修复城市生态系统，推动绿色低碳转型。</w:t>
      </w:r>
      <w:r>
        <w:t>统筹蓝绿空间织补、污染治理与韧性提升，开展河道自然生态修复、雨污分流与小微水体整治，推进海绵城市</w:t>
      </w:r>
      <w:r>
        <w:rPr>
          <w:rFonts w:hint="eastAsia"/>
          <w:lang w:eastAsia="zh-CN"/>
        </w:rPr>
        <w:t>建设</w:t>
      </w:r>
      <w:r>
        <w:t>，打通全域水系生态断点；同步推进老旧腾退地块土壤治理、地下水污染试点管控，建设全域无废体系；以</w:t>
      </w:r>
      <w:r>
        <w:rPr>
          <w:rFonts w:hint="eastAsia"/>
          <w:lang w:eastAsia="zh-CN"/>
        </w:rPr>
        <w:t>“</w:t>
      </w:r>
      <w:r>
        <w:t>绿城九法</w:t>
      </w:r>
      <w:r>
        <w:rPr>
          <w:rFonts w:hint="eastAsia"/>
          <w:lang w:eastAsia="zh-CN"/>
        </w:rPr>
        <w:t>”</w:t>
      </w:r>
      <w:r>
        <w:t>为路径、制度创新为保障，坚持提质兴业利民，严守生态管控底线，推动城市生态从零散绿化走向系统修复、城绿共生，塑造</w:t>
      </w:r>
      <w:r>
        <w:rPr>
          <w:rFonts w:hint="eastAsia"/>
          <w:lang w:eastAsia="zh-CN"/>
        </w:rPr>
        <w:t>“</w:t>
      </w:r>
      <w:r>
        <w:t>城绿花香、园融景美</w:t>
      </w:r>
      <w:r>
        <w:rPr>
          <w:rFonts w:hint="eastAsia"/>
          <w:lang w:eastAsia="zh-CN"/>
        </w:rPr>
        <w:t>”</w:t>
      </w:r>
      <w:r>
        <w:t>的花园城市特色区。</w:t>
      </w:r>
    </w:p>
    <w:p>
      <w:pPr>
        <w:ind w:firstLine="643"/>
        <w:rPr>
          <w:rFonts w:hint="eastAsia"/>
          <w:lang w:eastAsia="zh-CN"/>
        </w:rPr>
      </w:pPr>
      <w:r>
        <w:rPr>
          <w:b/>
          <w:bCs/>
        </w:rPr>
        <w:t>坚持生态优先、城绿融合，统筹绿化彩化、功能复合与全民共享，营造花园城市场景。</w:t>
      </w:r>
      <w:r>
        <w:rPr>
          <w:rFonts w:hint="eastAsia"/>
        </w:rPr>
        <w:t>推动第一道绿化隔离地区城市公园、第二道绿化隔离地区郊野公园更新建设，促进农村城市化，提升生态服务质量，</w:t>
      </w:r>
      <w:r>
        <w:t>努力建设全域花园城市</w:t>
      </w:r>
      <w:r>
        <w:rPr>
          <w:rFonts w:hint="eastAsia"/>
        </w:rPr>
        <w:t>。谋划结构性绿带更新提质，</w:t>
      </w:r>
      <w:r>
        <w:t>推进四环路、京开高速等快速路沿线绿化提升，</w:t>
      </w:r>
      <w:r>
        <w:rPr>
          <w:rFonts w:hint="eastAsia"/>
        </w:rPr>
        <w:t>推进</w:t>
      </w:r>
      <w:r>
        <w:t>九省御道等特色廊道项目，织补全域绿色网络</w:t>
      </w:r>
      <w:r>
        <w:rPr>
          <w:rFonts w:hint="eastAsia"/>
        </w:rPr>
        <w:t>。推进公园绿地高品质实施，提升大尺度郊野公园、城市公园活力，</w:t>
      </w:r>
      <w:r>
        <w:t>利用拆违留白、金角银边新建口袋公园、小微绿地，完善公园游憩体系，推动无界公园开放</w:t>
      </w:r>
      <w:r>
        <w:rPr>
          <w:rFonts w:hint="eastAsia"/>
        </w:rPr>
        <w:t>。</w:t>
      </w:r>
      <w:r>
        <w:t>以花园城市</w:t>
      </w:r>
      <w:r>
        <w:rPr>
          <w:rFonts w:hint="eastAsia"/>
        </w:rPr>
        <w:t>建设带动</w:t>
      </w:r>
      <w:r>
        <w:t>丰台</w:t>
      </w:r>
      <w:r>
        <w:rPr>
          <w:rFonts w:hint="eastAsia"/>
        </w:rPr>
        <w:t>重点功能区发展</w:t>
      </w:r>
      <w:r>
        <w:t>，打造</w:t>
      </w:r>
      <w:r>
        <w:rPr>
          <w:rFonts w:hint="eastAsia"/>
          <w:lang w:eastAsia="zh-CN"/>
        </w:rPr>
        <w:t>“</w:t>
      </w:r>
      <w:r>
        <w:t>三站两楼</w:t>
      </w:r>
      <w:r>
        <w:rPr>
          <w:rFonts w:hint="eastAsia"/>
          <w:lang w:eastAsia="zh-CN"/>
        </w:rPr>
        <w:t>”</w:t>
      </w:r>
      <w:r>
        <w:t>花园式场站、丽泽金融商务区新兴花园式金融高地、中关村丰台园花园式办公交流场景。</w:t>
      </w:r>
    </w:p>
    <w:p>
      <w:pPr>
        <w:pStyle w:val="5"/>
        <w:widowControl w:val="0"/>
        <w:topLinePunct/>
        <w:rPr>
          <w:rFonts w:hint="eastAsia"/>
          <w:color w:val="auto"/>
          <w:lang w:bidi="ar"/>
        </w:rPr>
      </w:pPr>
      <w:bookmarkStart w:id="63" w:name="_Toc240396951"/>
      <w:r>
        <w:rPr>
          <w:rFonts w:hint="eastAsia"/>
          <w:bCs w:val="0"/>
          <w:color w:val="auto"/>
          <w:lang w:eastAsia="zh" w:bidi="ar"/>
        </w:rPr>
        <w:t>（三）</w:t>
      </w:r>
      <w:r>
        <w:rPr>
          <w:bCs w:val="0"/>
          <w:color w:val="auto"/>
          <w:lang w:eastAsia="zh" w:bidi="ar"/>
        </w:rPr>
        <w:t>赓续都城文脉，保护传承城市历史文化</w:t>
      </w:r>
      <w:bookmarkEnd w:id="63"/>
    </w:p>
    <w:p>
      <w:pPr>
        <w:ind w:firstLine="643"/>
        <w:rPr>
          <w:rFonts w:hint="eastAsia"/>
          <w:lang w:eastAsia="zh-CN"/>
        </w:rPr>
      </w:pPr>
      <w:r>
        <w:rPr>
          <w:b/>
          <w:bCs/>
        </w:rPr>
        <w:t>赓续都城文脉</w:t>
      </w:r>
      <w:r>
        <w:rPr>
          <w:rFonts w:hint="eastAsia"/>
          <w:b/>
          <w:bCs/>
        </w:rPr>
        <w:t>，</w:t>
      </w:r>
      <w:r>
        <w:rPr>
          <w:b/>
          <w:bCs/>
        </w:rPr>
        <w:t>深入挖掘丰台特色</w:t>
      </w:r>
      <w:r>
        <w:rPr>
          <w:rFonts w:hint="eastAsia"/>
          <w:b/>
          <w:bCs/>
        </w:rPr>
        <w:t>。</w:t>
      </w:r>
      <w:r>
        <w:t>系统梳理</w:t>
      </w:r>
      <w:r>
        <w:rPr>
          <w:rFonts w:hint="eastAsia"/>
        </w:rPr>
        <w:t>丰台区作为北京建都起源见证地、红色革命文化传承地、古今重要交通汇聚地、古都生态文化涵养地、中国航天事业孕育地的五大代表性文化特色，积极推进非物质文化遗产的保护与传承。</w:t>
      </w:r>
      <w:r>
        <w:t>以南中轴和永定河文化带统领文化空间结构</w:t>
      </w:r>
      <w:r>
        <w:rPr>
          <w:rFonts w:hint="eastAsia"/>
        </w:rPr>
        <w:t>，重点建设</w:t>
      </w:r>
      <w:r>
        <w:rPr>
          <w:rFonts w:hint="eastAsia"/>
          <w:lang w:eastAsia="zh-CN"/>
        </w:rPr>
        <w:t>四</w:t>
      </w:r>
      <w:r>
        <w:rPr>
          <w:rFonts w:hint="eastAsia"/>
        </w:rPr>
        <w:t>大文化板块</w:t>
      </w:r>
      <w:r>
        <w:t>。南中轴—南苑文化</w:t>
      </w:r>
      <w:r>
        <w:rPr>
          <w:rFonts w:hint="eastAsia"/>
        </w:rPr>
        <w:t>板块</w:t>
      </w:r>
      <w:r>
        <w:t>，以南苑森林湿地公园为绿心，延续古都中轴礼序格局，再现</w:t>
      </w:r>
      <w:r>
        <w:rPr>
          <w:rFonts w:hint="eastAsia"/>
          <w:lang w:eastAsia="zh-CN"/>
        </w:rPr>
        <w:t>“</w:t>
      </w:r>
      <w:r>
        <w:t>南</w:t>
      </w:r>
      <w:r>
        <w:rPr>
          <w:rFonts w:hint="eastAsia"/>
        </w:rPr>
        <w:t>囿</w:t>
      </w:r>
      <w:r>
        <w:t>秋风</w:t>
      </w:r>
      <w:r>
        <w:rPr>
          <w:rFonts w:hint="eastAsia"/>
          <w:lang w:eastAsia="zh-CN"/>
        </w:rPr>
        <w:t>”</w:t>
      </w:r>
      <w:r>
        <w:t>历史风貌；卢沟桥—宛平城—长辛店文化</w:t>
      </w:r>
      <w:r>
        <w:rPr>
          <w:rFonts w:hint="eastAsia"/>
        </w:rPr>
        <w:t>板块</w:t>
      </w:r>
      <w:r>
        <w:t>，保护卢沟桥抗战遗址和长辛店</w:t>
      </w:r>
      <w:r>
        <w:rPr>
          <w:rFonts w:hint="eastAsia"/>
          <w:lang w:eastAsia="zh-CN"/>
        </w:rPr>
        <w:t>“</w:t>
      </w:r>
      <w:r>
        <w:t>二七</w:t>
      </w:r>
      <w:r>
        <w:rPr>
          <w:rFonts w:hint="eastAsia"/>
          <w:lang w:eastAsia="zh-CN"/>
        </w:rPr>
        <w:t>”</w:t>
      </w:r>
      <w:r>
        <w:t>大罢工旧址，铭记民族抗战</w:t>
      </w:r>
      <w:r>
        <w:rPr>
          <w:rFonts w:hint="eastAsia"/>
        </w:rPr>
        <w:t>、</w:t>
      </w:r>
      <w:r>
        <w:t>工人运动光辉历程；莲花池—金中都文化</w:t>
      </w:r>
      <w:r>
        <w:rPr>
          <w:rFonts w:hint="eastAsia"/>
        </w:rPr>
        <w:t>板块</w:t>
      </w:r>
      <w:r>
        <w:t>，保护展示金中都城遗迹、莲花池，见证北京建都之源</w:t>
      </w:r>
      <w:r>
        <w:rPr>
          <w:rFonts w:hint="eastAsia"/>
        </w:rPr>
        <w:t>；东高地</w:t>
      </w:r>
      <w:r>
        <w:t>—</w:t>
      </w:r>
      <w:r>
        <w:rPr>
          <w:rFonts w:hint="eastAsia"/>
          <w:lang w:eastAsia="zh-CN"/>
        </w:rPr>
        <w:t>航天文化板块，通过打造“宇航科技城”，将航天精神融入文化活动与科普体验。</w:t>
      </w:r>
    </w:p>
    <w:p>
      <w:pPr>
        <w:pStyle w:val="2"/>
        <w:ind w:firstLine="643"/>
        <w:rPr>
          <w:rFonts w:hint="eastAsia"/>
          <w:lang w:eastAsia="zh-CN" w:bidi="ar"/>
        </w:rPr>
      </w:pPr>
      <w:r>
        <w:rPr>
          <w:rFonts w:hint="eastAsia"/>
          <w:b/>
          <w:bCs/>
          <w:lang w:eastAsia="zh-CN" w:bidi="ar"/>
        </w:rPr>
        <w:t>深化</w:t>
      </w:r>
      <w:r>
        <w:rPr>
          <w:b/>
          <w:bCs/>
          <w:lang w:eastAsia="zh-CN" w:bidi="ar"/>
        </w:rPr>
        <w:t>以用促保，</w:t>
      </w:r>
      <w:r>
        <w:rPr>
          <w:rFonts w:hint="eastAsia"/>
          <w:b/>
          <w:bCs/>
          <w:lang w:eastAsia="zh-CN" w:bidi="ar"/>
        </w:rPr>
        <w:t>打造文旅融合场景。</w:t>
      </w:r>
      <w:r>
        <w:rPr>
          <w:lang w:eastAsia="zh-CN" w:bidi="ar"/>
        </w:rPr>
        <w:t>坚持保护优先、应保尽保，</w:t>
      </w:r>
      <w:r>
        <w:t>建立动态更新的文化遗产资源台账，</w:t>
      </w:r>
      <w:r>
        <w:rPr>
          <w:rFonts w:hint="eastAsia"/>
        </w:rPr>
        <w:t>实施差异化更新管控。</w:t>
      </w:r>
      <w:r>
        <w:rPr>
          <w:lang w:eastAsia="zh-CN" w:bidi="ar"/>
        </w:rPr>
        <w:t>加强卢沟桥、金中都水关遗址等全国重点文物保护单位，以及</w:t>
      </w:r>
      <w:r>
        <w:rPr>
          <w:rFonts w:hint="eastAsia"/>
          <w:lang w:eastAsia="zh-CN" w:bidi="ar"/>
        </w:rPr>
        <w:t>市、</w:t>
      </w:r>
      <w:r>
        <w:rPr>
          <w:lang w:eastAsia="zh-CN" w:bidi="ar"/>
        </w:rPr>
        <w:t>区级文物保护单位和登记不可移动文物的保护管理。融入</w:t>
      </w:r>
      <w:r>
        <w:rPr>
          <w:rFonts w:hint="eastAsia"/>
          <w:lang w:eastAsia="zh-CN" w:bidi="ar"/>
        </w:rPr>
        <w:t>“</w:t>
      </w:r>
      <w:r>
        <w:rPr>
          <w:lang w:eastAsia="zh-CN" w:bidi="ar"/>
        </w:rPr>
        <w:t>两园一河</w:t>
      </w:r>
      <w:r>
        <w:rPr>
          <w:rFonts w:hint="eastAsia"/>
          <w:lang w:eastAsia="zh-CN" w:bidi="ar"/>
        </w:rPr>
        <w:t>”</w:t>
      </w:r>
      <w:r>
        <w:rPr>
          <w:lang w:eastAsia="zh-CN" w:bidi="ar"/>
        </w:rPr>
        <w:t>联动发展，以西山永定河文化带绿道串联卢沟桥、宛平城</w:t>
      </w:r>
      <w:r>
        <w:rPr>
          <w:rFonts w:hint="eastAsia"/>
          <w:lang w:eastAsia="zh-CN" w:bidi="ar"/>
        </w:rPr>
        <w:t>、</w:t>
      </w:r>
      <w:r>
        <w:rPr>
          <w:lang w:eastAsia="zh-CN" w:bidi="ar"/>
        </w:rPr>
        <w:t>长辛店“二七”大罢工旧址</w:t>
      </w:r>
      <w:r>
        <w:rPr>
          <w:rFonts w:hint="eastAsia"/>
          <w:lang w:eastAsia="zh-CN" w:bidi="ar"/>
        </w:rPr>
        <w:t>等文化遗址，</w:t>
      </w:r>
      <w:r>
        <w:rPr>
          <w:lang w:eastAsia="zh-CN" w:bidi="ar"/>
        </w:rPr>
        <w:t>依托中国人民抗日战争纪念馆、长辛店二七纪念馆等场馆开展</w:t>
      </w:r>
      <w:r>
        <w:rPr>
          <w:rFonts w:hint="eastAsia"/>
          <w:lang w:eastAsia="zh-CN" w:bidi="ar"/>
        </w:rPr>
        <w:t>文化传承活动</w:t>
      </w:r>
      <w:r>
        <w:rPr>
          <w:lang w:eastAsia="zh-CN" w:bidi="ar"/>
        </w:rPr>
        <w:t>，推动具备条件的文物建筑向公众开放，</w:t>
      </w:r>
      <w:r>
        <w:rPr>
          <w:rFonts w:hint="eastAsia"/>
          <w:lang w:eastAsia="zh-CN" w:bidi="ar"/>
        </w:rPr>
        <w:t>将</w:t>
      </w:r>
      <w:r>
        <w:rPr>
          <w:lang w:eastAsia="zh-CN" w:bidi="ar"/>
        </w:rPr>
        <w:t>文化遗产</w:t>
      </w:r>
      <w:r>
        <w:rPr>
          <w:rFonts w:hint="eastAsia"/>
          <w:lang w:eastAsia="zh-CN" w:bidi="ar"/>
        </w:rPr>
        <w:t>保护</w:t>
      </w:r>
      <w:r>
        <w:rPr>
          <w:lang w:eastAsia="zh-CN" w:bidi="ar"/>
        </w:rPr>
        <w:t>融入市民日常生活。</w:t>
      </w:r>
    </w:p>
    <w:p>
      <w:pPr>
        <w:pStyle w:val="4"/>
        <w:widowControl w:val="0"/>
        <w:topLinePunct/>
        <w:ind w:firstLine="640"/>
        <w:jc w:val="both"/>
        <w:rPr>
          <w:rFonts w:hint="eastAsia"/>
          <w:lang w:eastAsia="zh-CN"/>
        </w:rPr>
      </w:pPr>
      <w:bookmarkStart w:id="64" w:name="_Toc240396952"/>
      <w:r>
        <w:rPr>
          <w:rFonts w:hint="eastAsia"/>
          <w:lang w:eastAsia="zh-CN"/>
        </w:rPr>
        <w:t>七、</w:t>
      </w:r>
      <w:r>
        <w:rPr>
          <w:lang w:eastAsia="zh-CN"/>
        </w:rPr>
        <w:t>凝聚各方力量，高标准保障规划实施</w:t>
      </w:r>
      <w:bookmarkEnd w:id="64"/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65" w:name="_Toc240396953"/>
      <w:r>
        <w:rPr>
          <w:rFonts w:hint="eastAsia"/>
          <w:bCs w:val="0"/>
          <w:color w:val="auto"/>
          <w:lang w:eastAsia="zh" w:bidi="ar"/>
        </w:rPr>
        <w:t>（一）</w:t>
      </w:r>
      <w:r>
        <w:rPr>
          <w:bCs w:val="0"/>
          <w:color w:val="auto"/>
          <w:lang w:eastAsia="zh" w:bidi="ar"/>
        </w:rPr>
        <w:t>组织模式示范</w:t>
      </w:r>
      <w:bookmarkEnd w:id="65"/>
    </w:p>
    <w:p>
      <w:pPr>
        <w:pStyle w:val="2"/>
        <w:ind w:firstLine="643"/>
        <w:rPr>
          <w:rFonts w:hint="eastAsia"/>
          <w:lang w:eastAsia="zh-CN"/>
        </w:rPr>
      </w:pPr>
      <w:r>
        <w:rPr>
          <w:rFonts w:hint="eastAsia"/>
          <w:b/>
          <w:bCs/>
        </w:rPr>
        <w:t>构建由区住建委牵头搭建平台，汇集相关行业主管部门意见，谋划项目、推进实施的城市更新工作模式，探索</w:t>
      </w:r>
      <w:r>
        <w:rPr>
          <w:b/>
          <w:bCs/>
        </w:rPr>
        <w:t>以规划引领的城市更新高质量发展路径</w:t>
      </w:r>
      <w:r>
        <w:rPr>
          <w:rFonts w:hint="eastAsia"/>
          <w:b/>
          <w:bCs/>
        </w:rPr>
        <w:t>。</w:t>
      </w:r>
      <w:r>
        <w:t>跨领域、跨层级协同</w:t>
      </w:r>
      <w:r>
        <w:rPr>
          <w:rFonts w:hint="eastAsia"/>
        </w:rPr>
        <w:t>联动</w:t>
      </w:r>
      <w:r>
        <w:t>，</w:t>
      </w:r>
      <w:r>
        <w:rPr>
          <w:rFonts w:hint="eastAsia"/>
        </w:rPr>
        <w:t>形成“2（住建委、规自分局）+1（城市更新研究院）+1（城市更新平台公司）+X（多元社会企业）”的工作机制，政府主管部门统筹、智库技术支撑、区级平台操盘、市场主体多元参与。</w:t>
      </w:r>
      <w:r>
        <w:rPr>
          <w:rFonts w:hint="eastAsia" w:ascii="Times New Roman" w:hAnsi="Times New Roman" w:cs="Times New Roman"/>
          <w:lang w:eastAsia="zh-CN"/>
        </w:rPr>
        <w:t>城市更新先锋工作营、审批科长工作营“两营并进”，做好城市更新全流程要素保障。</w:t>
      </w:r>
      <w:r>
        <w:rPr>
          <w:rFonts w:hint="eastAsia"/>
        </w:rPr>
        <w:t>健全街道干部人才队伍建设，全链条破解存量更新项目规划、审批、实施、投融资、运营协同难题，支撑全域城市更新项目落地。</w:t>
      </w:r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66" w:name="_Toc240396954"/>
      <w:r>
        <w:rPr>
          <w:rFonts w:hint="eastAsia"/>
          <w:bCs w:val="0"/>
          <w:color w:val="auto"/>
          <w:lang w:eastAsia="zh" w:bidi="ar"/>
        </w:rPr>
        <w:t>（二）政策创新示范</w:t>
      </w:r>
      <w:bookmarkEnd w:id="66"/>
    </w:p>
    <w:p>
      <w:pPr>
        <w:ind w:firstLine="643"/>
        <w:rPr>
          <w:rFonts w:hint="eastAsia"/>
        </w:rPr>
      </w:pPr>
      <w:r>
        <w:rPr>
          <w:b/>
          <w:bCs/>
        </w:rPr>
        <w:t>先行试点市级配套政策。</w:t>
      </w:r>
      <w:r>
        <w:t>结合实际，全面落实《北京市城市更新政策激励工具箱（1.0版）》等政策工具，加强规划、土地、资金等方面政策在丰台区试点，加大对土地用途混合、空间功能复合、建筑形态提升的包容性审批力度，提高城市更新政策创新的主动性、前瞻性。</w:t>
      </w:r>
    </w:p>
    <w:p>
      <w:pPr>
        <w:pStyle w:val="2"/>
        <w:ind w:firstLine="643"/>
        <w:rPr>
          <w:rFonts w:hint="eastAsia"/>
          <w:lang w:eastAsia="zh-CN"/>
        </w:rPr>
      </w:pPr>
      <w:r>
        <w:rPr>
          <w:b/>
          <w:bCs/>
        </w:rPr>
        <w:t>建立丰台特色“政策包”。</w:t>
      </w:r>
      <w:r>
        <w:rPr>
          <w:rFonts w:hint="eastAsia"/>
        </w:rPr>
        <w:t>研究制定《城市更新</w:t>
      </w:r>
      <w:r>
        <w:rPr>
          <w:rFonts w:hint="eastAsia"/>
          <w:lang w:eastAsia="zh-CN"/>
        </w:rPr>
        <w:t>项目案例集》《城市更新项目分类实施流程指引手册》，为各类</w:t>
      </w:r>
      <w:r>
        <w:t>城市更新项目落地实施提供</w:t>
      </w:r>
      <w:r>
        <w:rPr>
          <w:rFonts w:hint="eastAsia"/>
        </w:rPr>
        <w:t>借鉴。案例集</w:t>
      </w:r>
      <w:r>
        <w:t>全面梳理</w:t>
      </w:r>
      <w:r>
        <w:rPr>
          <w:rFonts w:hint="eastAsia"/>
        </w:rPr>
        <w:t>丰台</w:t>
      </w:r>
      <w:r>
        <w:t>区落地项目典型经验做法，涵盖规划豁免、无手续认定、改变使用用途、增加建筑规模等多种类型</w:t>
      </w:r>
      <w:r>
        <w:rPr>
          <w:rFonts w:hint="eastAsia"/>
        </w:rPr>
        <w:t>。</w:t>
      </w:r>
      <w:r>
        <w:rPr>
          <w:rFonts w:hint="eastAsia"/>
          <w:lang w:eastAsia="zh-CN"/>
        </w:rPr>
        <w:t>分类实施流程指引手册旨在</w:t>
      </w:r>
      <w:r>
        <w:t>优化城市更新项目审批流程，</w:t>
      </w:r>
      <w:r>
        <w:rPr>
          <w:rFonts w:hint="eastAsia"/>
        </w:rPr>
        <w:t>以</w:t>
      </w:r>
      <w:r>
        <w:t>丰台区现行审批工作流程为基础，整合集成最新城市更新项目适用的支持政策</w:t>
      </w:r>
      <w:r>
        <w:rPr>
          <w:rFonts w:hint="eastAsia"/>
        </w:rPr>
        <w:t>，持续完善，</w:t>
      </w:r>
      <w:r>
        <w:t>为各类统筹与实施主体、相关管理部门、属地街道等提供路径参考。</w:t>
      </w:r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67" w:name="_Toc240396955"/>
      <w:r>
        <w:rPr>
          <w:rFonts w:hint="eastAsia"/>
          <w:bCs w:val="0"/>
          <w:color w:val="auto"/>
          <w:lang w:eastAsia="zh" w:bidi="ar"/>
        </w:rPr>
        <w:t>（三）多态融合示范</w:t>
      </w:r>
      <w:bookmarkEnd w:id="67"/>
    </w:p>
    <w:p>
      <w:pPr>
        <w:ind w:firstLine="643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理清规划层级，有序引导项目谋划和实施。</w:t>
      </w:r>
      <w:r>
        <w:rPr>
          <w:rFonts w:hint="eastAsia"/>
          <w:lang w:eastAsia="zh-CN"/>
        </w:rPr>
        <w:t>围绕城市更新重点片区，滚动生成综合化城市更新组团。按照城市更新三级工作体系，进一步编制片区策划和项目实施方案。鼓励效益互惠、空间关联的项目打包组合，</w:t>
      </w:r>
      <w:r>
        <w:rPr>
          <w:rFonts w:hint="eastAsia" w:ascii="Times New Roman" w:hAnsi="Times New Roman" w:cs="Times New Roman"/>
          <w:lang w:eastAsia="zh-CN"/>
        </w:rPr>
        <w:t>围绕老城区、重点大街、轨道站点、重点功能区、生态空间等重点片区</w:t>
      </w:r>
      <w:r>
        <w:rPr>
          <w:rFonts w:hint="eastAsia"/>
          <w:lang w:eastAsia="zh-CN"/>
        </w:rPr>
        <w:t>谋划城市更新实施单元。</w:t>
      </w:r>
      <w:r>
        <w:rPr>
          <w:rFonts w:hint="eastAsia" w:ascii="Times New Roman" w:hAnsi="Times New Roman" w:cs="Times New Roman"/>
          <w:lang w:eastAsia="zh-CN"/>
        </w:rPr>
        <w:t>通过实施单元划定、编制策划方案、推介发布、确定统筹实施主体、项目实施，有序</w:t>
      </w:r>
      <w:r>
        <w:rPr>
          <w:rFonts w:hint="eastAsia"/>
          <w:lang w:eastAsia="zh-CN"/>
        </w:rPr>
        <w:t>促进资源与任务捆绑实施，实现多元场景融合。</w:t>
      </w:r>
    </w:p>
    <w:p>
      <w:pPr>
        <w:pStyle w:val="5"/>
        <w:widowControl w:val="0"/>
        <w:topLinePunct/>
        <w:rPr>
          <w:rFonts w:hint="eastAsia"/>
          <w:bCs w:val="0"/>
          <w:color w:val="auto"/>
          <w:lang w:bidi="ar"/>
        </w:rPr>
      </w:pPr>
      <w:bookmarkStart w:id="68" w:name="_Toc240396956"/>
      <w:r>
        <w:rPr>
          <w:rFonts w:hint="eastAsia"/>
          <w:bCs w:val="0"/>
          <w:color w:val="auto"/>
          <w:lang w:eastAsia="zh" w:bidi="ar"/>
        </w:rPr>
        <w:t>（四）</w:t>
      </w:r>
      <w:r>
        <w:rPr>
          <w:bCs w:val="0"/>
          <w:color w:val="auto"/>
          <w:lang w:eastAsia="zh" w:bidi="ar"/>
        </w:rPr>
        <w:t>公共效益示范</w:t>
      </w:r>
      <w:bookmarkEnd w:id="68"/>
    </w:p>
    <w:p>
      <w:pPr>
        <w:ind w:firstLine="643"/>
        <w:rPr>
          <w:rFonts w:hint="eastAsia"/>
          <w:b/>
          <w:bCs/>
          <w:lang w:eastAsia="zh-CN"/>
        </w:rPr>
      </w:pPr>
      <w:r>
        <w:rPr>
          <w:b/>
          <w:bCs/>
        </w:rPr>
        <w:t>坚持问题导向，</w:t>
      </w:r>
      <w:r>
        <w:rPr>
          <w:b/>
          <w:bCs/>
          <w:lang w:eastAsia="zh-CN"/>
        </w:rPr>
        <w:t>系统摸清街区</w:t>
      </w:r>
      <w:r>
        <w:rPr>
          <w:rFonts w:hint="eastAsia"/>
          <w:b/>
          <w:bCs/>
          <w:lang w:eastAsia="zh-CN"/>
        </w:rPr>
        <w:t>需求</w:t>
      </w:r>
      <w:r>
        <w:rPr>
          <w:b/>
          <w:bCs/>
          <w:lang w:eastAsia="zh-CN"/>
        </w:rPr>
        <w:t>。</w:t>
      </w:r>
      <w:r>
        <w:rPr>
          <w:rFonts w:hint="eastAsia"/>
          <w:lang w:eastAsia="zh-CN"/>
        </w:rPr>
        <w:t>在街道层面，梳理可更新对象、人口结构、设施缺口等，明确街道城市更新需解决的重点问题，梳理城市更新发展动能，把握街道城市更新需把握的重点机遇，谋划形成城市更新实施单元。建立丰台城市更新数字大脑，形成“可更新空间—需提升功能—待整合资源”的街区级体检数据库。</w:t>
      </w:r>
    </w:p>
    <w:p>
      <w:pPr>
        <w:ind w:firstLine="643"/>
        <w:rPr>
          <w:rFonts w:hint="eastAsia"/>
          <w:lang w:eastAsia="zh-CN" w:bidi="ar"/>
        </w:rPr>
      </w:pPr>
      <w:r>
        <w:rPr>
          <w:rFonts w:hint="eastAsia"/>
          <w:b/>
          <w:bCs/>
        </w:rPr>
        <w:t>实施小微空间更新和公共空间整治提升。</w:t>
      </w:r>
      <w:r>
        <w:rPr>
          <w:rFonts w:hint="eastAsia"/>
        </w:rPr>
        <w:t>聚焦群众身边需求，针对体检结果，系统性实施“口袋公园”、无障碍设施、适老化改造、停车设施、电动车充电桩等普惠性民生项目，以“小切口”改善“大民生”；将城市更新与花园城市建设、治污减排等生态治理工作一体推进，构建城市绿色空间体系。</w:t>
      </w:r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69" w:name="_Toc240396957"/>
      <w:r>
        <w:rPr>
          <w:rFonts w:hint="eastAsia"/>
          <w:bCs w:val="0"/>
          <w:color w:val="auto"/>
          <w:lang w:eastAsia="zh" w:bidi="ar"/>
        </w:rPr>
        <w:t>（五）</w:t>
      </w:r>
      <w:r>
        <w:rPr>
          <w:bCs w:val="0"/>
          <w:color w:val="auto"/>
          <w:lang w:eastAsia="zh" w:bidi="ar"/>
        </w:rPr>
        <w:t>持续运维示范</w:t>
      </w:r>
      <w:bookmarkEnd w:id="69"/>
    </w:p>
    <w:p>
      <w:pPr>
        <w:ind w:firstLine="643"/>
        <w:rPr>
          <w:rFonts w:hint="eastAsia"/>
        </w:rPr>
      </w:pPr>
      <w:r>
        <w:rPr>
          <w:b/>
          <w:bCs/>
          <w:lang w:eastAsia="zh-CN"/>
        </w:rPr>
        <w:t>推进城市更新体检</w:t>
      </w:r>
      <w:r>
        <w:rPr>
          <w:rFonts w:hint="eastAsia"/>
          <w:b/>
          <w:bCs/>
          <w:lang w:eastAsia="zh-CN"/>
        </w:rPr>
        <w:t>，划定城市更新实施单元</w:t>
      </w:r>
      <w:r>
        <w:rPr>
          <w:b/>
          <w:bCs/>
        </w:rPr>
        <w:t>。</w:t>
      </w:r>
      <w:r>
        <w:t>常态化开展街区体检，系统梳理摸排存量资源、民生短板、发展堵点</w:t>
      </w:r>
      <w:r>
        <w:rPr>
          <w:rFonts w:hint="eastAsia"/>
          <w:lang w:eastAsia="zh-CN"/>
        </w:rPr>
        <w:t>；</w:t>
      </w:r>
      <w:r>
        <w:rPr>
          <w:rFonts w:hint="eastAsia"/>
        </w:rPr>
        <w:t>以盈利项目为核心，谋划片区综合更新，形成</w:t>
      </w:r>
      <w:r>
        <w:rPr>
          <w:rFonts w:hint="eastAsia"/>
          <w:lang w:eastAsia="zh-CN"/>
        </w:rPr>
        <w:t>“</w:t>
      </w:r>
      <w:r>
        <w:rPr>
          <w:rFonts w:hint="eastAsia"/>
        </w:rPr>
        <w:t>一个盈利点、带动一片区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的联动效应。</w:t>
      </w:r>
      <w:r>
        <w:t>动态调整更新重点片区</w:t>
      </w:r>
      <w:r>
        <w:rPr>
          <w:rFonts w:hint="eastAsia"/>
        </w:rPr>
        <w:t>、实施单元及更新</w:t>
      </w:r>
      <w:r>
        <w:t>项目名录，建立清单化、滚动式推进机制，以规划引领项目生成、以项目补齐发展短板，充分释放存量更新弹性。</w:t>
      </w:r>
    </w:p>
    <w:p>
      <w:pPr>
        <w:ind w:firstLine="643"/>
        <w:rPr>
          <w:rFonts w:hint="eastAsia"/>
        </w:rPr>
      </w:pPr>
      <w:r>
        <w:rPr>
          <w:rFonts w:hint="eastAsia"/>
          <w:b/>
          <w:bCs/>
        </w:rPr>
        <w:t>精简</w:t>
      </w:r>
      <w:r>
        <w:rPr>
          <w:b/>
          <w:bCs/>
        </w:rPr>
        <w:t>审批流程，实现更新项目全流程服务。</w:t>
      </w:r>
      <w:r>
        <w:t>协同推进国土空间详细规划实施，</w:t>
      </w:r>
      <w:r>
        <w:rPr>
          <w:rFonts w:hint="eastAsia" w:ascii="Times New Roman" w:hAnsi="Times New Roman" w:cs="Times New Roman"/>
          <w:lang w:eastAsia="zh-CN"/>
        </w:rPr>
        <w:t>推动规划要求与实施条件前置衔接，实现城市更新实施方案和规划综合实施方案的同编共审。</w:t>
      </w:r>
      <w:r>
        <w:rPr>
          <w:rFonts w:hint="eastAsia"/>
        </w:rPr>
        <w:t>建立常态化城市更新项目方案联合审查工作机制，加强方案联合审查与并联手续办理方式运用，提高审批效能。简化特定项目审批流程机制，</w:t>
      </w:r>
      <w:r>
        <w:rPr>
          <w:rFonts w:hint="eastAsia"/>
          <w:lang w:eastAsia="zh-CN"/>
        </w:rPr>
        <w:t>将</w:t>
      </w:r>
      <w:r>
        <w:rPr>
          <w:rFonts w:hint="eastAsia"/>
        </w:rPr>
        <w:t>符合要求的项目</w:t>
      </w:r>
      <w:r>
        <w:t>纳入建设工程规划许可证豁免清单。在项目建成后，建立跟踪服务、综合后评估体系，实现更新效益持续提升。</w:t>
      </w:r>
    </w:p>
    <w:p>
      <w:pPr>
        <w:ind w:firstLine="643"/>
        <w:rPr>
          <w:rFonts w:hint="eastAsia"/>
          <w:b/>
          <w:bCs/>
          <w:lang w:eastAsia="zh-CN"/>
        </w:rPr>
      </w:pPr>
      <w:r>
        <w:rPr>
          <w:rFonts w:hint="eastAsia"/>
          <w:b/>
          <w:bCs/>
        </w:rPr>
        <w:t>抢抓政策机遇</w:t>
      </w:r>
      <w:r>
        <w:rPr>
          <w:b/>
          <w:bCs/>
        </w:rPr>
        <w:t>，多元化筹措资金。</w:t>
      </w:r>
      <w:r>
        <w:rPr>
          <w:rFonts w:hint="eastAsia"/>
        </w:rPr>
        <w:t>谋划高质量</w:t>
      </w:r>
      <w:r>
        <w:rPr>
          <w:rFonts w:hint="eastAsia"/>
          <w:lang w:eastAsia="zh-CN"/>
        </w:rPr>
        <w:t>、单元式城市更新项目，</w:t>
      </w:r>
      <w:r>
        <w:rPr>
          <w:rFonts w:hint="eastAsia"/>
        </w:rPr>
        <w:t>吸引社会投资，</w:t>
      </w:r>
      <w:r>
        <w:t>争取中央、市级支持资金</w:t>
      </w:r>
      <w:r>
        <w:rPr>
          <w:rFonts w:hint="eastAsia"/>
        </w:rPr>
        <w:t>，</w:t>
      </w:r>
      <w:r>
        <w:t>统筹财政资金、金融支持及社会资本等多元资金来源。以项目落地和创新实践为导向，高效统筹分配奖励资金，充分激发相关单位开展城市更新工作的积极性。</w:t>
      </w:r>
    </w:p>
    <w:p>
      <w:pPr>
        <w:pStyle w:val="5"/>
        <w:widowControl w:val="0"/>
        <w:topLinePunct/>
        <w:rPr>
          <w:rFonts w:hint="eastAsia"/>
          <w:bCs w:val="0"/>
          <w:color w:val="auto"/>
          <w:lang w:eastAsia="zh" w:bidi="ar"/>
        </w:rPr>
      </w:pPr>
      <w:bookmarkStart w:id="70" w:name="_Toc240396958"/>
      <w:r>
        <w:rPr>
          <w:rFonts w:hint="eastAsia"/>
          <w:bCs w:val="0"/>
          <w:color w:val="auto"/>
          <w:lang w:eastAsia="zh" w:bidi="ar"/>
        </w:rPr>
        <w:t>（六）</w:t>
      </w:r>
      <w:r>
        <w:rPr>
          <w:bCs w:val="0"/>
          <w:color w:val="auto"/>
          <w:lang w:eastAsia="zh" w:bidi="ar"/>
        </w:rPr>
        <w:t>实施主体示范</w:t>
      </w:r>
      <w:bookmarkEnd w:id="70"/>
    </w:p>
    <w:p>
      <w:pPr>
        <w:ind w:firstLine="642" w:firstLineChars="200"/>
        <w:rPr>
          <w:rFonts w:hint="eastAsia"/>
          <w:color w:val="auto"/>
          <w:lang w:eastAsia="zh-CN"/>
        </w:rPr>
      </w:pPr>
      <w:r>
        <w:rPr>
          <w:b/>
          <w:bCs/>
        </w:rPr>
        <w:t>培育和吸引一批具有社会责任感、专业能力和创新意识的城市更新综合服务团队。</w:t>
      </w:r>
      <w:r>
        <w:rPr>
          <w:rFonts w:hint="eastAsia"/>
          <w:color w:val="auto"/>
        </w:rPr>
        <w:t>结合区属国有企业改革，配齐配强城市更新“谋项目”“管项目”专业技术能力，组建城市更新技术咨询团队,发挥</w:t>
      </w:r>
      <w:r>
        <w:rPr>
          <w:rFonts w:hint="eastAsia"/>
          <w:color w:val="auto"/>
          <w:lang w:eastAsia="zh-CN"/>
        </w:rPr>
        <w:t>区属</w:t>
      </w:r>
      <w:r>
        <w:rPr>
          <w:rFonts w:hint="eastAsia"/>
          <w:color w:val="auto"/>
        </w:rPr>
        <w:t>平台公司作用</w:t>
      </w:r>
      <w:r>
        <w:rPr>
          <w:rFonts w:hint="eastAsia"/>
          <w:color w:val="auto"/>
          <w:lang w:eastAsia="zh-CN"/>
        </w:rPr>
        <w:t>。</w:t>
      </w:r>
      <w:r>
        <w:t>培育多元城市更新实施主体，探索发布城市更新项目“揭榜挂帅”机会清单。探索发布丰台区城市更新合作伙伴名单，</w:t>
      </w:r>
      <w:r>
        <w:rPr>
          <w:rFonts w:hint="eastAsia"/>
        </w:rPr>
        <w:t>建立</w:t>
      </w:r>
      <w:r>
        <w:t>“街企结对”合作平台。探索“丰台城市更新研究院”可持续运行模式，定期组织培训宣传、课题研究、政策解读等活动</w:t>
      </w:r>
      <w:r>
        <w:rPr>
          <w:rFonts w:hint="eastAsia"/>
          <w:color w:val="auto"/>
        </w:rPr>
        <w:t>，更好服务“十五五”时期城市更新落地实施</w:t>
      </w:r>
      <w:r>
        <w:t>。</w:t>
      </w:r>
    </w:p>
    <w:sectPr>
      <w:footerReference r:id="rId12" w:type="default"/>
      <w:pgSz w:w="11906" w:h="16838"/>
      <w:pgMar w:top="2098" w:right="1474" w:bottom="1984" w:left="1587" w:header="851" w:footer="992" w:gutter="0"/>
      <w:pgNumType w:start="1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0">
      <wne:acd wne:acdName="acd0"/>
    </wne:keymap>
    <wne:keymap wne:kcmPrimary="0232">
      <wne:acd wne:acdName="acd1"/>
    </wne:keymap>
  </wne:keymaps>
  <wne:acds>
    <wne:acd wne:argValue="AQAAAEIA" wne:acdName="acd0" wne:fciIndexBasedOn="0065"/>
    <wne:acd wne:argValue="AQAAAAIA" wne:acdName="acd1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604030504040204"/>
    <w:charset w:val="86"/>
    <w:family w:val="auto"/>
    <w:pitch w:val="default"/>
    <w:sig w:usb0="F7FFAEFF" w:usb1="F9DFFFFF" w:usb2="001FFDF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96347137"/>
    </w:sdtPr>
    <w:sdtContent>
      <w:p>
        <w:pPr>
          <w:pStyle w:val="18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18"/>
      <w:ind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8"/>
                            <w:widowControl/>
                            <w:ind w:firstLine="0" w:firstLineChars="0"/>
                            <w:jc w:val="center"/>
                            <w:rPr>
                              <w:rFonts w:ascii="宋体" w:eastAsia="宋体" w:cs="宋体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ascii="宋体" w:eastAsia="宋体" w:cs="宋体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cs="宋体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cs="宋体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cs="宋体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cs="宋体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ascii="宋体" w:eastAsia="宋体" w:cs="宋体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cs="宋体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  <w:widowControl/>
                      <w:ind w:firstLine="0" w:firstLineChars="0"/>
                      <w:jc w:val="center"/>
                      <w:rPr>
                        <w:rFonts w:ascii="宋体" w:eastAsia="宋体" w:cs="宋体"/>
                        <w:sz w:val="28"/>
                        <w:szCs w:val="52"/>
                      </w:rPr>
                    </w:pPr>
                    <w:r>
                      <w:rPr>
                        <w:rFonts w:ascii="宋体" w:eastAsia="宋体" w:cs="宋体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ascii="宋体" w:eastAsia="宋体" w:cs="宋体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ascii="宋体" w:eastAsia="宋体" w:cs="宋体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cs="宋体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ascii="宋体" w:eastAsia="宋体" w:cs="宋体"/>
                        <w:sz w:val="28"/>
                        <w:szCs w:val="52"/>
                      </w:rPr>
                      <w:t>1</w:t>
                    </w:r>
                    <w:r>
                      <w:rPr>
                        <w:rFonts w:ascii="宋体" w:eastAsia="宋体" w:cs="宋体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ascii="宋体" w:eastAsia="宋体" w:cs="宋体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firstLine="360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42C4C0"/>
    <w:multiLevelType w:val="multilevel"/>
    <w:tmpl w:val="D942C4C0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  <w:sz w:val="32"/>
      </w:rPr>
    </w:lvl>
    <w:lvl w:ilvl="1" w:tentative="0">
      <w:start w:val="1"/>
      <w:numFmt w:val="chineseCounting"/>
      <w:suff w:val="nothing"/>
      <w:lvlText w:val="(%2)"/>
      <w:lvlJc w:val="left"/>
      <w:pPr>
        <w:tabs>
          <w:tab w:val="left" w:pos="0"/>
        </w:tabs>
        <w:ind w:left="0" w:firstLine="0"/>
      </w:pPr>
      <w:rPr>
        <w:rFonts w:hint="eastAsia" w:ascii="宋体" w:hAnsi="宋体"/>
        <w:sz w:val="32"/>
      </w:rPr>
    </w:lvl>
    <w:lvl w:ilvl="2" w:tentative="0">
      <w:start w:val="1"/>
      <w:numFmt w:val="decimal"/>
      <w:suff w:val="nothing"/>
      <w:lvlText w:val="%3."/>
      <w:lvlJc w:val="left"/>
      <w:pPr>
        <w:tabs>
          <w:tab w:val="left" w:pos="0"/>
        </w:tabs>
        <w:ind w:left="0" w:firstLine="0"/>
      </w:pPr>
      <w:rPr>
        <w:rFonts w:hint="eastAsia" w:ascii="宋体" w:hAnsi="宋体"/>
        <w:sz w:val="32"/>
      </w:rPr>
    </w:lvl>
    <w:lvl w:ilvl="3" w:tentative="0">
      <w:start w:val="1"/>
      <w:numFmt w:val="decimal"/>
      <w:pStyle w:val="7"/>
      <w:suff w:val="nothing"/>
      <w:lvlText w:val="%3.%4 "/>
      <w:lvlJc w:val="left"/>
      <w:pPr>
        <w:tabs>
          <w:tab w:val="left" w:pos="0"/>
        </w:tabs>
        <w:ind w:left="0" w:firstLine="0"/>
      </w:pPr>
      <w:rPr>
        <w:rFonts w:hint="eastAsia" w:ascii="宋体" w:hAnsi="宋体"/>
        <w:b/>
        <w:bCs/>
        <w:sz w:val="32"/>
      </w:rPr>
    </w:lvl>
    <w:lvl w:ilvl="4" w:tentative="0">
      <w:start w:val="1"/>
      <w:numFmt w:val="decimal"/>
      <w:suff w:val="nothing"/>
      <w:lvlText w:val="%3.%4.%5"/>
      <w:lvlJc w:val="left"/>
      <w:pPr>
        <w:tabs>
          <w:tab w:val="left" w:pos="0"/>
        </w:tabs>
        <w:ind w:left="0" w:firstLine="0"/>
      </w:pPr>
      <w:rPr>
        <w:rFonts w:hint="eastAsia" w:ascii="宋体" w:hAnsi="宋体"/>
        <w:sz w:val="32"/>
      </w:rPr>
    </w:lvl>
    <w:lvl w:ilvl="5" w:tentative="0">
      <w:start w:val="1"/>
      <w:numFmt w:val="decimal"/>
      <w:suff w:val="nothing"/>
      <w:lvlText w:val="%3.%4.%5.%6"/>
      <w:lvlJc w:val="left"/>
      <w:pPr>
        <w:ind w:left="0" w:firstLine="0"/>
      </w:pPr>
      <w:rPr>
        <w:rFonts w:hint="eastAsia" w:ascii="宋体" w:hAnsi="宋体"/>
        <w:sz w:val="32"/>
      </w:rPr>
    </w:lvl>
    <w:lvl w:ilvl="6" w:tentative="0">
      <w:start w:val="1"/>
      <w:numFmt w:val="decimal"/>
      <w:isLgl/>
      <w:suff w:val="nothing"/>
      <w:lvlText w:val="%3.%4.%5.%6.%7"/>
      <w:lvlJc w:val="left"/>
      <w:pPr>
        <w:ind w:left="0" w:firstLine="0"/>
      </w:pPr>
      <w:rPr>
        <w:rFonts w:hint="eastAsia" w:ascii="宋体" w:hAnsi="宋体"/>
        <w:sz w:val="32"/>
      </w:rPr>
    </w:lvl>
    <w:lvl w:ilvl="7" w:tentative="0">
      <w:start w:val="1"/>
      <w:numFmt w:val="decimal"/>
      <w:isLgl/>
      <w:suff w:val="nothing"/>
      <w:lvlText w:val="%3.%4.%5.%6.%7.%8. "/>
      <w:lvlJc w:val="left"/>
      <w:pPr>
        <w:ind w:left="0" w:firstLine="0"/>
      </w:pPr>
      <w:rPr>
        <w:rFonts w:hint="eastAsia" w:ascii="宋体" w:hAnsi="宋体"/>
        <w:sz w:val="32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">
    <w:nsid w:val="69FA7B61"/>
    <w:multiLevelType w:val="multilevel"/>
    <w:tmpl w:val="69FA7B61"/>
    <w:lvl w:ilvl="0" w:tentative="0">
      <w:start w:val="1"/>
      <w:numFmt w:val="chineseCountingThousand"/>
      <w:pStyle w:val="57"/>
      <w:lvlText w:val="(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DF3A4F"/>
    <w:rsid w:val="0000796E"/>
    <w:rsid w:val="000109A4"/>
    <w:rsid w:val="0001202F"/>
    <w:rsid w:val="00026B64"/>
    <w:rsid w:val="00033163"/>
    <w:rsid w:val="00050826"/>
    <w:rsid w:val="00053ABB"/>
    <w:rsid w:val="00056107"/>
    <w:rsid w:val="000561B9"/>
    <w:rsid w:val="00060D9F"/>
    <w:rsid w:val="000669D1"/>
    <w:rsid w:val="00071C10"/>
    <w:rsid w:val="0007564B"/>
    <w:rsid w:val="00081690"/>
    <w:rsid w:val="00082B02"/>
    <w:rsid w:val="00086728"/>
    <w:rsid w:val="00092166"/>
    <w:rsid w:val="000948D2"/>
    <w:rsid w:val="00097144"/>
    <w:rsid w:val="000A2CF6"/>
    <w:rsid w:val="000B0070"/>
    <w:rsid w:val="000B1076"/>
    <w:rsid w:val="000B44D9"/>
    <w:rsid w:val="000B4CB9"/>
    <w:rsid w:val="000B69BD"/>
    <w:rsid w:val="000B6A67"/>
    <w:rsid w:val="000B7A27"/>
    <w:rsid w:val="000B7CE8"/>
    <w:rsid w:val="000C52A5"/>
    <w:rsid w:val="000C74EA"/>
    <w:rsid w:val="000D2600"/>
    <w:rsid w:val="000D7B9E"/>
    <w:rsid w:val="000E17D1"/>
    <w:rsid w:val="000E2648"/>
    <w:rsid w:val="000E281C"/>
    <w:rsid w:val="000E3B38"/>
    <w:rsid w:val="000E4D14"/>
    <w:rsid w:val="000E500F"/>
    <w:rsid w:val="000E7FBC"/>
    <w:rsid w:val="000F1C0B"/>
    <w:rsid w:val="000F3CC8"/>
    <w:rsid w:val="000F7353"/>
    <w:rsid w:val="00110729"/>
    <w:rsid w:val="00113A9C"/>
    <w:rsid w:val="00123353"/>
    <w:rsid w:val="00132543"/>
    <w:rsid w:val="00135386"/>
    <w:rsid w:val="001363B5"/>
    <w:rsid w:val="0014424E"/>
    <w:rsid w:val="001448DD"/>
    <w:rsid w:val="00150864"/>
    <w:rsid w:val="001526EA"/>
    <w:rsid w:val="001552CD"/>
    <w:rsid w:val="00160145"/>
    <w:rsid w:val="001609AF"/>
    <w:rsid w:val="00163BAF"/>
    <w:rsid w:val="00165BA9"/>
    <w:rsid w:val="00171430"/>
    <w:rsid w:val="00171F41"/>
    <w:rsid w:val="00174F83"/>
    <w:rsid w:val="0018280B"/>
    <w:rsid w:val="00184E4F"/>
    <w:rsid w:val="00193237"/>
    <w:rsid w:val="00193DE0"/>
    <w:rsid w:val="00193E77"/>
    <w:rsid w:val="001A4569"/>
    <w:rsid w:val="001B42E1"/>
    <w:rsid w:val="001D4336"/>
    <w:rsid w:val="001D78D4"/>
    <w:rsid w:val="001E5EB0"/>
    <w:rsid w:val="001F3BD8"/>
    <w:rsid w:val="001F47D8"/>
    <w:rsid w:val="001F68D8"/>
    <w:rsid w:val="001F7684"/>
    <w:rsid w:val="001F7798"/>
    <w:rsid w:val="00202BC4"/>
    <w:rsid w:val="002158B1"/>
    <w:rsid w:val="0022702E"/>
    <w:rsid w:val="0022755E"/>
    <w:rsid w:val="00234B63"/>
    <w:rsid w:val="002454B1"/>
    <w:rsid w:val="00245EBD"/>
    <w:rsid w:val="00250393"/>
    <w:rsid w:val="00253503"/>
    <w:rsid w:val="002552B6"/>
    <w:rsid w:val="00262A4B"/>
    <w:rsid w:val="00277590"/>
    <w:rsid w:val="00281A80"/>
    <w:rsid w:val="00282502"/>
    <w:rsid w:val="00284091"/>
    <w:rsid w:val="002850B1"/>
    <w:rsid w:val="0028612B"/>
    <w:rsid w:val="0029258F"/>
    <w:rsid w:val="00293EF7"/>
    <w:rsid w:val="002A0335"/>
    <w:rsid w:val="002A3BB9"/>
    <w:rsid w:val="002B6337"/>
    <w:rsid w:val="002C175B"/>
    <w:rsid w:val="002C54D2"/>
    <w:rsid w:val="002D53A6"/>
    <w:rsid w:val="002D74F1"/>
    <w:rsid w:val="002E2B4F"/>
    <w:rsid w:val="002E389E"/>
    <w:rsid w:val="002E4DF8"/>
    <w:rsid w:val="002E50EC"/>
    <w:rsid w:val="003009FC"/>
    <w:rsid w:val="00300D4E"/>
    <w:rsid w:val="003025EF"/>
    <w:rsid w:val="0030646F"/>
    <w:rsid w:val="00312406"/>
    <w:rsid w:val="00312987"/>
    <w:rsid w:val="00314517"/>
    <w:rsid w:val="00316095"/>
    <w:rsid w:val="00322EB6"/>
    <w:rsid w:val="003231CF"/>
    <w:rsid w:val="00323770"/>
    <w:rsid w:val="00325640"/>
    <w:rsid w:val="0033221E"/>
    <w:rsid w:val="00333C37"/>
    <w:rsid w:val="00337513"/>
    <w:rsid w:val="0033755F"/>
    <w:rsid w:val="00337EBB"/>
    <w:rsid w:val="0034331A"/>
    <w:rsid w:val="003450C3"/>
    <w:rsid w:val="0035115C"/>
    <w:rsid w:val="0035276E"/>
    <w:rsid w:val="00352A3C"/>
    <w:rsid w:val="0035407C"/>
    <w:rsid w:val="003569C1"/>
    <w:rsid w:val="00360F08"/>
    <w:rsid w:val="00370DC6"/>
    <w:rsid w:val="00372E03"/>
    <w:rsid w:val="00373918"/>
    <w:rsid w:val="0038161D"/>
    <w:rsid w:val="00386044"/>
    <w:rsid w:val="0039434A"/>
    <w:rsid w:val="003A327D"/>
    <w:rsid w:val="003A5C6B"/>
    <w:rsid w:val="003B251E"/>
    <w:rsid w:val="003B2677"/>
    <w:rsid w:val="003C0D19"/>
    <w:rsid w:val="003C2171"/>
    <w:rsid w:val="003C63BC"/>
    <w:rsid w:val="003C6C40"/>
    <w:rsid w:val="003E08D6"/>
    <w:rsid w:val="003E245C"/>
    <w:rsid w:val="003E3CBF"/>
    <w:rsid w:val="003F163C"/>
    <w:rsid w:val="00400D4B"/>
    <w:rsid w:val="00405BFC"/>
    <w:rsid w:val="0041088D"/>
    <w:rsid w:val="00412E06"/>
    <w:rsid w:val="00416C65"/>
    <w:rsid w:val="0042019D"/>
    <w:rsid w:val="00423453"/>
    <w:rsid w:val="0042469F"/>
    <w:rsid w:val="00430627"/>
    <w:rsid w:val="00446314"/>
    <w:rsid w:val="00447411"/>
    <w:rsid w:val="004526D2"/>
    <w:rsid w:val="004547AD"/>
    <w:rsid w:val="00455B8E"/>
    <w:rsid w:val="004600CE"/>
    <w:rsid w:val="00467C03"/>
    <w:rsid w:val="004718A7"/>
    <w:rsid w:val="004810A9"/>
    <w:rsid w:val="0048796A"/>
    <w:rsid w:val="00494238"/>
    <w:rsid w:val="00496A80"/>
    <w:rsid w:val="004A40B9"/>
    <w:rsid w:val="004A6A7E"/>
    <w:rsid w:val="004C535F"/>
    <w:rsid w:val="004C5A32"/>
    <w:rsid w:val="004D51AA"/>
    <w:rsid w:val="004D57D1"/>
    <w:rsid w:val="004E4224"/>
    <w:rsid w:val="004E7413"/>
    <w:rsid w:val="004E7D6A"/>
    <w:rsid w:val="005104BD"/>
    <w:rsid w:val="0051184E"/>
    <w:rsid w:val="0051547E"/>
    <w:rsid w:val="00522066"/>
    <w:rsid w:val="0052464C"/>
    <w:rsid w:val="0052599E"/>
    <w:rsid w:val="005268F1"/>
    <w:rsid w:val="0053102C"/>
    <w:rsid w:val="00533EE0"/>
    <w:rsid w:val="00534743"/>
    <w:rsid w:val="00534CA0"/>
    <w:rsid w:val="005352E6"/>
    <w:rsid w:val="00535A9E"/>
    <w:rsid w:val="00540EF8"/>
    <w:rsid w:val="0054299A"/>
    <w:rsid w:val="00544AE7"/>
    <w:rsid w:val="00546B35"/>
    <w:rsid w:val="00551927"/>
    <w:rsid w:val="00567B65"/>
    <w:rsid w:val="00571406"/>
    <w:rsid w:val="00572942"/>
    <w:rsid w:val="00573CDF"/>
    <w:rsid w:val="00587CFB"/>
    <w:rsid w:val="0059251D"/>
    <w:rsid w:val="00596514"/>
    <w:rsid w:val="005A05F3"/>
    <w:rsid w:val="005A19F0"/>
    <w:rsid w:val="005B235B"/>
    <w:rsid w:val="005B7EBF"/>
    <w:rsid w:val="005C0FD1"/>
    <w:rsid w:val="005C34EF"/>
    <w:rsid w:val="005D1DDF"/>
    <w:rsid w:val="005D7629"/>
    <w:rsid w:val="005E0FBA"/>
    <w:rsid w:val="005E1260"/>
    <w:rsid w:val="005E234A"/>
    <w:rsid w:val="005E3251"/>
    <w:rsid w:val="005E4764"/>
    <w:rsid w:val="00602AA4"/>
    <w:rsid w:val="00602F2D"/>
    <w:rsid w:val="00606902"/>
    <w:rsid w:val="00607AFE"/>
    <w:rsid w:val="00611D76"/>
    <w:rsid w:val="00616A4C"/>
    <w:rsid w:val="00622958"/>
    <w:rsid w:val="00634BDE"/>
    <w:rsid w:val="0064238B"/>
    <w:rsid w:val="006446F5"/>
    <w:rsid w:val="00645384"/>
    <w:rsid w:val="006453A5"/>
    <w:rsid w:val="0064596D"/>
    <w:rsid w:val="00647037"/>
    <w:rsid w:val="00657550"/>
    <w:rsid w:val="00660E70"/>
    <w:rsid w:val="006750F2"/>
    <w:rsid w:val="00681D66"/>
    <w:rsid w:val="00682AA7"/>
    <w:rsid w:val="00682CAB"/>
    <w:rsid w:val="006849AD"/>
    <w:rsid w:val="00685B72"/>
    <w:rsid w:val="00687F9D"/>
    <w:rsid w:val="00691DBF"/>
    <w:rsid w:val="00694233"/>
    <w:rsid w:val="0069573F"/>
    <w:rsid w:val="006A20CF"/>
    <w:rsid w:val="006A7C7D"/>
    <w:rsid w:val="006B2687"/>
    <w:rsid w:val="006B563F"/>
    <w:rsid w:val="006C29D4"/>
    <w:rsid w:val="006C37D4"/>
    <w:rsid w:val="006D73CF"/>
    <w:rsid w:val="006D7CC9"/>
    <w:rsid w:val="006E1304"/>
    <w:rsid w:val="006E4D0C"/>
    <w:rsid w:val="006F6F96"/>
    <w:rsid w:val="00701E3B"/>
    <w:rsid w:val="0071503D"/>
    <w:rsid w:val="00716D0D"/>
    <w:rsid w:val="007261A4"/>
    <w:rsid w:val="0073052F"/>
    <w:rsid w:val="00732831"/>
    <w:rsid w:val="00734F12"/>
    <w:rsid w:val="00742FA0"/>
    <w:rsid w:val="007672E6"/>
    <w:rsid w:val="007704A7"/>
    <w:rsid w:val="00771D07"/>
    <w:rsid w:val="00771FFF"/>
    <w:rsid w:val="007768D4"/>
    <w:rsid w:val="0077791A"/>
    <w:rsid w:val="00780AFA"/>
    <w:rsid w:val="0079084F"/>
    <w:rsid w:val="00790CD7"/>
    <w:rsid w:val="007914FE"/>
    <w:rsid w:val="00792EB9"/>
    <w:rsid w:val="00794007"/>
    <w:rsid w:val="00796053"/>
    <w:rsid w:val="0079675F"/>
    <w:rsid w:val="0079718C"/>
    <w:rsid w:val="007A55A0"/>
    <w:rsid w:val="007B7264"/>
    <w:rsid w:val="007C0F3D"/>
    <w:rsid w:val="007C1F8E"/>
    <w:rsid w:val="007C2873"/>
    <w:rsid w:val="007C6158"/>
    <w:rsid w:val="007D2361"/>
    <w:rsid w:val="007D3867"/>
    <w:rsid w:val="007E4679"/>
    <w:rsid w:val="007E7F4D"/>
    <w:rsid w:val="007F3C06"/>
    <w:rsid w:val="007F5DEB"/>
    <w:rsid w:val="007F69C2"/>
    <w:rsid w:val="007F749A"/>
    <w:rsid w:val="008038B8"/>
    <w:rsid w:val="00803EAE"/>
    <w:rsid w:val="00805F4C"/>
    <w:rsid w:val="00810F89"/>
    <w:rsid w:val="00810FE4"/>
    <w:rsid w:val="00812890"/>
    <w:rsid w:val="00817BE2"/>
    <w:rsid w:val="00825392"/>
    <w:rsid w:val="00830605"/>
    <w:rsid w:val="008329C4"/>
    <w:rsid w:val="00833AA6"/>
    <w:rsid w:val="00840DDC"/>
    <w:rsid w:val="00844316"/>
    <w:rsid w:val="008465F3"/>
    <w:rsid w:val="00851FCE"/>
    <w:rsid w:val="008522F1"/>
    <w:rsid w:val="00861333"/>
    <w:rsid w:val="008617A3"/>
    <w:rsid w:val="00861933"/>
    <w:rsid w:val="00871474"/>
    <w:rsid w:val="008724E4"/>
    <w:rsid w:val="0088081B"/>
    <w:rsid w:val="0088179C"/>
    <w:rsid w:val="008839AE"/>
    <w:rsid w:val="008841D8"/>
    <w:rsid w:val="00885BD9"/>
    <w:rsid w:val="008A0F18"/>
    <w:rsid w:val="008A20E9"/>
    <w:rsid w:val="008A3C5A"/>
    <w:rsid w:val="008A613E"/>
    <w:rsid w:val="008B4759"/>
    <w:rsid w:val="008B580E"/>
    <w:rsid w:val="008B6926"/>
    <w:rsid w:val="008C0796"/>
    <w:rsid w:val="008C2831"/>
    <w:rsid w:val="008C2AE2"/>
    <w:rsid w:val="008C3821"/>
    <w:rsid w:val="008C5923"/>
    <w:rsid w:val="008C6B2A"/>
    <w:rsid w:val="008C7227"/>
    <w:rsid w:val="008E327E"/>
    <w:rsid w:val="008E739E"/>
    <w:rsid w:val="008F3C2B"/>
    <w:rsid w:val="00903462"/>
    <w:rsid w:val="00906D91"/>
    <w:rsid w:val="009119F7"/>
    <w:rsid w:val="0091405C"/>
    <w:rsid w:val="00921F76"/>
    <w:rsid w:val="00925F23"/>
    <w:rsid w:val="009262A2"/>
    <w:rsid w:val="00927399"/>
    <w:rsid w:val="00941179"/>
    <w:rsid w:val="009433C9"/>
    <w:rsid w:val="00950530"/>
    <w:rsid w:val="00953515"/>
    <w:rsid w:val="00963461"/>
    <w:rsid w:val="00981456"/>
    <w:rsid w:val="00982136"/>
    <w:rsid w:val="0098280D"/>
    <w:rsid w:val="00985EFE"/>
    <w:rsid w:val="00986577"/>
    <w:rsid w:val="0099046F"/>
    <w:rsid w:val="00996ACE"/>
    <w:rsid w:val="009A5334"/>
    <w:rsid w:val="009A77EF"/>
    <w:rsid w:val="009C5A3B"/>
    <w:rsid w:val="009D1153"/>
    <w:rsid w:val="009D4C15"/>
    <w:rsid w:val="009E21B3"/>
    <w:rsid w:val="009E3CB9"/>
    <w:rsid w:val="009F08B7"/>
    <w:rsid w:val="009F777B"/>
    <w:rsid w:val="009F7BB9"/>
    <w:rsid w:val="00A00150"/>
    <w:rsid w:val="00A0030F"/>
    <w:rsid w:val="00A01DEB"/>
    <w:rsid w:val="00A03636"/>
    <w:rsid w:val="00A05748"/>
    <w:rsid w:val="00A078AE"/>
    <w:rsid w:val="00A1186A"/>
    <w:rsid w:val="00A12177"/>
    <w:rsid w:val="00A328CC"/>
    <w:rsid w:val="00A34D79"/>
    <w:rsid w:val="00A35B62"/>
    <w:rsid w:val="00A3766B"/>
    <w:rsid w:val="00A461DF"/>
    <w:rsid w:val="00A529EF"/>
    <w:rsid w:val="00A53336"/>
    <w:rsid w:val="00A62FB2"/>
    <w:rsid w:val="00A63967"/>
    <w:rsid w:val="00A63C0D"/>
    <w:rsid w:val="00A67D5A"/>
    <w:rsid w:val="00A75B37"/>
    <w:rsid w:val="00A82623"/>
    <w:rsid w:val="00A94986"/>
    <w:rsid w:val="00A94C5B"/>
    <w:rsid w:val="00A97E06"/>
    <w:rsid w:val="00AA63D1"/>
    <w:rsid w:val="00AA6D0F"/>
    <w:rsid w:val="00AB558B"/>
    <w:rsid w:val="00AC343D"/>
    <w:rsid w:val="00AC3AAB"/>
    <w:rsid w:val="00AC752B"/>
    <w:rsid w:val="00AC7EB4"/>
    <w:rsid w:val="00AE0A22"/>
    <w:rsid w:val="00AE0B6A"/>
    <w:rsid w:val="00AE2775"/>
    <w:rsid w:val="00AE3EC8"/>
    <w:rsid w:val="00AF1A13"/>
    <w:rsid w:val="00AF48DB"/>
    <w:rsid w:val="00AF5954"/>
    <w:rsid w:val="00B02B16"/>
    <w:rsid w:val="00B047A1"/>
    <w:rsid w:val="00B05010"/>
    <w:rsid w:val="00B0769D"/>
    <w:rsid w:val="00B17933"/>
    <w:rsid w:val="00B21049"/>
    <w:rsid w:val="00B31A1D"/>
    <w:rsid w:val="00B3560D"/>
    <w:rsid w:val="00B36538"/>
    <w:rsid w:val="00B401EB"/>
    <w:rsid w:val="00B4039F"/>
    <w:rsid w:val="00B418D3"/>
    <w:rsid w:val="00B41FDC"/>
    <w:rsid w:val="00B42F59"/>
    <w:rsid w:val="00B529F3"/>
    <w:rsid w:val="00B55306"/>
    <w:rsid w:val="00B706EC"/>
    <w:rsid w:val="00B7227E"/>
    <w:rsid w:val="00B73435"/>
    <w:rsid w:val="00B77430"/>
    <w:rsid w:val="00B87AE0"/>
    <w:rsid w:val="00B87C73"/>
    <w:rsid w:val="00B939D0"/>
    <w:rsid w:val="00B9581E"/>
    <w:rsid w:val="00B96EFC"/>
    <w:rsid w:val="00B97F9A"/>
    <w:rsid w:val="00BA1E8D"/>
    <w:rsid w:val="00BA4092"/>
    <w:rsid w:val="00BA5BCC"/>
    <w:rsid w:val="00BB0B7E"/>
    <w:rsid w:val="00BB130A"/>
    <w:rsid w:val="00BB31C1"/>
    <w:rsid w:val="00BB3B51"/>
    <w:rsid w:val="00BB4921"/>
    <w:rsid w:val="00BB6C00"/>
    <w:rsid w:val="00BB6CC7"/>
    <w:rsid w:val="00BC4DA6"/>
    <w:rsid w:val="00BC6686"/>
    <w:rsid w:val="00BD55C6"/>
    <w:rsid w:val="00BE3C25"/>
    <w:rsid w:val="00BE5C43"/>
    <w:rsid w:val="00BE6DB2"/>
    <w:rsid w:val="00BF205B"/>
    <w:rsid w:val="00BF4F99"/>
    <w:rsid w:val="00BF5864"/>
    <w:rsid w:val="00BF6364"/>
    <w:rsid w:val="00C05304"/>
    <w:rsid w:val="00C065D4"/>
    <w:rsid w:val="00C10AE8"/>
    <w:rsid w:val="00C1121C"/>
    <w:rsid w:val="00C14A76"/>
    <w:rsid w:val="00C15B8F"/>
    <w:rsid w:val="00C176E5"/>
    <w:rsid w:val="00C212D1"/>
    <w:rsid w:val="00C21EC9"/>
    <w:rsid w:val="00C23861"/>
    <w:rsid w:val="00C2667A"/>
    <w:rsid w:val="00C312C3"/>
    <w:rsid w:val="00C32A8E"/>
    <w:rsid w:val="00C40130"/>
    <w:rsid w:val="00C414CC"/>
    <w:rsid w:val="00C442F8"/>
    <w:rsid w:val="00C50917"/>
    <w:rsid w:val="00C52FBD"/>
    <w:rsid w:val="00C63768"/>
    <w:rsid w:val="00C74C65"/>
    <w:rsid w:val="00C74DE8"/>
    <w:rsid w:val="00C77DBF"/>
    <w:rsid w:val="00C96535"/>
    <w:rsid w:val="00CA04CC"/>
    <w:rsid w:val="00CA1EFF"/>
    <w:rsid w:val="00CA1FE7"/>
    <w:rsid w:val="00CB0491"/>
    <w:rsid w:val="00CB18A3"/>
    <w:rsid w:val="00CB2589"/>
    <w:rsid w:val="00CB535D"/>
    <w:rsid w:val="00CC031C"/>
    <w:rsid w:val="00CC55D3"/>
    <w:rsid w:val="00CE2AF0"/>
    <w:rsid w:val="00CE3CB6"/>
    <w:rsid w:val="00CE6135"/>
    <w:rsid w:val="00CE7BAC"/>
    <w:rsid w:val="00CF1141"/>
    <w:rsid w:val="00CF2111"/>
    <w:rsid w:val="00D00122"/>
    <w:rsid w:val="00D003A6"/>
    <w:rsid w:val="00D01394"/>
    <w:rsid w:val="00D03B22"/>
    <w:rsid w:val="00D05DE1"/>
    <w:rsid w:val="00D063C3"/>
    <w:rsid w:val="00D0649B"/>
    <w:rsid w:val="00D2054F"/>
    <w:rsid w:val="00D21A4A"/>
    <w:rsid w:val="00D25018"/>
    <w:rsid w:val="00D3198B"/>
    <w:rsid w:val="00D33CA9"/>
    <w:rsid w:val="00D34D9A"/>
    <w:rsid w:val="00D44192"/>
    <w:rsid w:val="00D516E3"/>
    <w:rsid w:val="00D52F7F"/>
    <w:rsid w:val="00D54C5D"/>
    <w:rsid w:val="00D66C93"/>
    <w:rsid w:val="00D70B52"/>
    <w:rsid w:val="00D72A3D"/>
    <w:rsid w:val="00D7495F"/>
    <w:rsid w:val="00D74E44"/>
    <w:rsid w:val="00D754F7"/>
    <w:rsid w:val="00D82137"/>
    <w:rsid w:val="00D83456"/>
    <w:rsid w:val="00D908CE"/>
    <w:rsid w:val="00D9259D"/>
    <w:rsid w:val="00D967E8"/>
    <w:rsid w:val="00D96DDF"/>
    <w:rsid w:val="00DA16A8"/>
    <w:rsid w:val="00DA3829"/>
    <w:rsid w:val="00DA3EF6"/>
    <w:rsid w:val="00DC2C1E"/>
    <w:rsid w:val="00DC3907"/>
    <w:rsid w:val="00DC4653"/>
    <w:rsid w:val="00DC5295"/>
    <w:rsid w:val="00DE339E"/>
    <w:rsid w:val="00DE462B"/>
    <w:rsid w:val="00DE5847"/>
    <w:rsid w:val="00DE68CA"/>
    <w:rsid w:val="00DF2E38"/>
    <w:rsid w:val="00DF4841"/>
    <w:rsid w:val="00DF4D3C"/>
    <w:rsid w:val="00E0282C"/>
    <w:rsid w:val="00E04B15"/>
    <w:rsid w:val="00E11F97"/>
    <w:rsid w:val="00E13840"/>
    <w:rsid w:val="00E15832"/>
    <w:rsid w:val="00E1648F"/>
    <w:rsid w:val="00E17B7C"/>
    <w:rsid w:val="00E2157C"/>
    <w:rsid w:val="00E26E80"/>
    <w:rsid w:val="00E33B5E"/>
    <w:rsid w:val="00E3406C"/>
    <w:rsid w:val="00E34544"/>
    <w:rsid w:val="00E35FC7"/>
    <w:rsid w:val="00E42231"/>
    <w:rsid w:val="00E445BE"/>
    <w:rsid w:val="00E45447"/>
    <w:rsid w:val="00E45CB2"/>
    <w:rsid w:val="00E471DF"/>
    <w:rsid w:val="00E539EA"/>
    <w:rsid w:val="00E65FA0"/>
    <w:rsid w:val="00E76CFF"/>
    <w:rsid w:val="00E910D2"/>
    <w:rsid w:val="00E945E6"/>
    <w:rsid w:val="00E96FB9"/>
    <w:rsid w:val="00EA1324"/>
    <w:rsid w:val="00EA5C7D"/>
    <w:rsid w:val="00EA6BB7"/>
    <w:rsid w:val="00EB071E"/>
    <w:rsid w:val="00EB4C90"/>
    <w:rsid w:val="00EB4E93"/>
    <w:rsid w:val="00EB66BB"/>
    <w:rsid w:val="00EB68EA"/>
    <w:rsid w:val="00EC0B51"/>
    <w:rsid w:val="00EC1292"/>
    <w:rsid w:val="00EC2418"/>
    <w:rsid w:val="00EC61A1"/>
    <w:rsid w:val="00ED78C1"/>
    <w:rsid w:val="00EE0885"/>
    <w:rsid w:val="00EE2786"/>
    <w:rsid w:val="00F02B48"/>
    <w:rsid w:val="00F03370"/>
    <w:rsid w:val="00F10E29"/>
    <w:rsid w:val="00F15FB8"/>
    <w:rsid w:val="00F1655E"/>
    <w:rsid w:val="00F2157C"/>
    <w:rsid w:val="00F34FE4"/>
    <w:rsid w:val="00F3728B"/>
    <w:rsid w:val="00F4377E"/>
    <w:rsid w:val="00F46744"/>
    <w:rsid w:val="00F54520"/>
    <w:rsid w:val="00F605CE"/>
    <w:rsid w:val="00F70DFF"/>
    <w:rsid w:val="00F71DA1"/>
    <w:rsid w:val="00F73399"/>
    <w:rsid w:val="00F74F24"/>
    <w:rsid w:val="00F919B9"/>
    <w:rsid w:val="00F97526"/>
    <w:rsid w:val="00FA0381"/>
    <w:rsid w:val="00FA2203"/>
    <w:rsid w:val="00FA4AEE"/>
    <w:rsid w:val="00FB471F"/>
    <w:rsid w:val="00FB5602"/>
    <w:rsid w:val="00FC13DF"/>
    <w:rsid w:val="00FC1CE4"/>
    <w:rsid w:val="00FC3749"/>
    <w:rsid w:val="00FC6425"/>
    <w:rsid w:val="00FD132C"/>
    <w:rsid w:val="00FD2D44"/>
    <w:rsid w:val="00FE654A"/>
    <w:rsid w:val="00FF2BC9"/>
    <w:rsid w:val="00FF52AD"/>
    <w:rsid w:val="017B287A"/>
    <w:rsid w:val="02EE1DC3"/>
    <w:rsid w:val="03EA43FF"/>
    <w:rsid w:val="03EFEAA1"/>
    <w:rsid w:val="043D1F49"/>
    <w:rsid w:val="04DE4B6B"/>
    <w:rsid w:val="061F2A86"/>
    <w:rsid w:val="067F52D3"/>
    <w:rsid w:val="06A967F3"/>
    <w:rsid w:val="074FBCD1"/>
    <w:rsid w:val="07666EC9"/>
    <w:rsid w:val="078017DE"/>
    <w:rsid w:val="079801FB"/>
    <w:rsid w:val="07EF63F8"/>
    <w:rsid w:val="07FAF3D7"/>
    <w:rsid w:val="086C1887"/>
    <w:rsid w:val="08B721F4"/>
    <w:rsid w:val="094F09C6"/>
    <w:rsid w:val="09880942"/>
    <w:rsid w:val="0A696CA3"/>
    <w:rsid w:val="0B36617C"/>
    <w:rsid w:val="0B9E18A1"/>
    <w:rsid w:val="0BBD8359"/>
    <w:rsid w:val="0BEFFD1C"/>
    <w:rsid w:val="0BFF5E0D"/>
    <w:rsid w:val="0CD36378"/>
    <w:rsid w:val="0CEC743A"/>
    <w:rsid w:val="0CFD3404"/>
    <w:rsid w:val="0DD34156"/>
    <w:rsid w:val="0DEDE97B"/>
    <w:rsid w:val="0DEEAD65"/>
    <w:rsid w:val="0DF0449A"/>
    <w:rsid w:val="0DFBAEE0"/>
    <w:rsid w:val="0EBB1322"/>
    <w:rsid w:val="0EFE8E8F"/>
    <w:rsid w:val="0F2B48DB"/>
    <w:rsid w:val="0F5E71F1"/>
    <w:rsid w:val="0F7BCC1F"/>
    <w:rsid w:val="0F7F20EA"/>
    <w:rsid w:val="0FBB283D"/>
    <w:rsid w:val="0FDA5CD9"/>
    <w:rsid w:val="0FEF85B5"/>
    <w:rsid w:val="0FF7FDA8"/>
    <w:rsid w:val="0FFF4F6C"/>
    <w:rsid w:val="0FFFFE37"/>
    <w:rsid w:val="10863702"/>
    <w:rsid w:val="11B75E6D"/>
    <w:rsid w:val="120916CF"/>
    <w:rsid w:val="131E966B"/>
    <w:rsid w:val="13679F78"/>
    <w:rsid w:val="13AD84C8"/>
    <w:rsid w:val="13FF4BA2"/>
    <w:rsid w:val="1427091D"/>
    <w:rsid w:val="14531B4D"/>
    <w:rsid w:val="145C6C53"/>
    <w:rsid w:val="14F07F50"/>
    <w:rsid w:val="14FB25B3"/>
    <w:rsid w:val="157D1CE6"/>
    <w:rsid w:val="15897F1C"/>
    <w:rsid w:val="15EBA80C"/>
    <w:rsid w:val="165544C2"/>
    <w:rsid w:val="167FD1BB"/>
    <w:rsid w:val="169A3C25"/>
    <w:rsid w:val="16BEB0A0"/>
    <w:rsid w:val="16BFD0DC"/>
    <w:rsid w:val="170F6895"/>
    <w:rsid w:val="17712A16"/>
    <w:rsid w:val="17BF53DA"/>
    <w:rsid w:val="17BFE3FC"/>
    <w:rsid w:val="17C36BB2"/>
    <w:rsid w:val="17DF2F10"/>
    <w:rsid w:val="17DFCA1C"/>
    <w:rsid w:val="17E73247"/>
    <w:rsid w:val="17EFA77B"/>
    <w:rsid w:val="17FCDC00"/>
    <w:rsid w:val="17FDD56A"/>
    <w:rsid w:val="17FFB9B3"/>
    <w:rsid w:val="18585984"/>
    <w:rsid w:val="18ED8C40"/>
    <w:rsid w:val="19231FC9"/>
    <w:rsid w:val="19352EBB"/>
    <w:rsid w:val="195F2D42"/>
    <w:rsid w:val="19A52E4A"/>
    <w:rsid w:val="1A277D03"/>
    <w:rsid w:val="1AF645CA"/>
    <w:rsid w:val="1B3A75C2"/>
    <w:rsid w:val="1B3B18EC"/>
    <w:rsid w:val="1B4D8344"/>
    <w:rsid w:val="1B7F6E79"/>
    <w:rsid w:val="1B7F75E6"/>
    <w:rsid w:val="1BEBF633"/>
    <w:rsid w:val="1C163ABC"/>
    <w:rsid w:val="1C27494F"/>
    <w:rsid w:val="1C47468D"/>
    <w:rsid w:val="1C9BB2A1"/>
    <w:rsid w:val="1C9F4961"/>
    <w:rsid w:val="1CE52B8A"/>
    <w:rsid w:val="1CEB13EA"/>
    <w:rsid w:val="1D392297"/>
    <w:rsid w:val="1D9F847A"/>
    <w:rsid w:val="1DBDEC3A"/>
    <w:rsid w:val="1DBF9CBF"/>
    <w:rsid w:val="1DD780EC"/>
    <w:rsid w:val="1DE32FFC"/>
    <w:rsid w:val="1DED3304"/>
    <w:rsid w:val="1DEE9E95"/>
    <w:rsid w:val="1DF72567"/>
    <w:rsid w:val="1DFBEE0B"/>
    <w:rsid w:val="1DFD9DCE"/>
    <w:rsid w:val="1E7CCF1B"/>
    <w:rsid w:val="1EA588EB"/>
    <w:rsid w:val="1EBC8763"/>
    <w:rsid w:val="1ECF7CD8"/>
    <w:rsid w:val="1EE646DB"/>
    <w:rsid w:val="1EF18F7B"/>
    <w:rsid w:val="1EF76357"/>
    <w:rsid w:val="1EF7DFA2"/>
    <w:rsid w:val="1EFE48E9"/>
    <w:rsid w:val="1EFEEAC3"/>
    <w:rsid w:val="1EFF26B3"/>
    <w:rsid w:val="1EFF43F1"/>
    <w:rsid w:val="1F1E77F5"/>
    <w:rsid w:val="1F3F95B8"/>
    <w:rsid w:val="1F5D691C"/>
    <w:rsid w:val="1F5EC8F2"/>
    <w:rsid w:val="1F6ED19D"/>
    <w:rsid w:val="1F79A333"/>
    <w:rsid w:val="1F7CCD0E"/>
    <w:rsid w:val="1F7E8167"/>
    <w:rsid w:val="1F7EA241"/>
    <w:rsid w:val="1F8B6C71"/>
    <w:rsid w:val="1F8FA087"/>
    <w:rsid w:val="1FAFB3EF"/>
    <w:rsid w:val="1FC7D69A"/>
    <w:rsid w:val="1FD66D12"/>
    <w:rsid w:val="1FD6EB04"/>
    <w:rsid w:val="1FD78C25"/>
    <w:rsid w:val="1FDE83F3"/>
    <w:rsid w:val="1FDECF7B"/>
    <w:rsid w:val="1FE75DD6"/>
    <w:rsid w:val="1FEF2BEE"/>
    <w:rsid w:val="1FEFF918"/>
    <w:rsid w:val="1FF33B0B"/>
    <w:rsid w:val="1FF73177"/>
    <w:rsid w:val="1FF7A81D"/>
    <w:rsid w:val="1FFBE910"/>
    <w:rsid w:val="1FFDDDC2"/>
    <w:rsid w:val="1FFF2D10"/>
    <w:rsid w:val="1FFF4759"/>
    <w:rsid w:val="202F7912"/>
    <w:rsid w:val="20DF0A78"/>
    <w:rsid w:val="2113C1AA"/>
    <w:rsid w:val="2256FE83"/>
    <w:rsid w:val="225E4CF0"/>
    <w:rsid w:val="22727611"/>
    <w:rsid w:val="22A55A33"/>
    <w:rsid w:val="22AF9E43"/>
    <w:rsid w:val="22CFFC35"/>
    <w:rsid w:val="22FF8AAA"/>
    <w:rsid w:val="236B8D69"/>
    <w:rsid w:val="237CFD7E"/>
    <w:rsid w:val="23B048C6"/>
    <w:rsid w:val="23DF991B"/>
    <w:rsid w:val="23F6BFB8"/>
    <w:rsid w:val="24151E43"/>
    <w:rsid w:val="25FC3DF2"/>
    <w:rsid w:val="25FE169B"/>
    <w:rsid w:val="268A7650"/>
    <w:rsid w:val="26AD8BD0"/>
    <w:rsid w:val="273F2CD9"/>
    <w:rsid w:val="2747231F"/>
    <w:rsid w:val="27537481"/>
    <w:rsid w:val="27726FF4"/>
    <w:rsid w:val="278F0896"/>
    <w:rsid w:val="27BAFC45"/>
    <w:rsid w:val="27BD17D5"/>
    <w:rsid w:val="27D74B08"/>
    <w:rsid w:val="27DE33D2"/>
    <w:rsid w:val="27DF23E2"/>
    <w:rsid w:val="27FB4311"/>
    <w:rsid w:val="285FDF9B"/>
    <w:rsid w:val="29AC3D81"/>
    <w:rsid w:val="29DC249C"/>
    <w:rsid w:val="29EE4823"/>
    <w:rsid w:val="29FECE5A"/>
    <w:rsid w:val="29FFDD23"/>
    <w:rsid w:val="2A3DBAFA"/>
    <w:rsid w:val="2B0EFA5A"/>
    <w:rsid w:val="2BBD6E8D"/>
    <w:rsid w:val="2BFCD037"/>
    <w:rsid w:val="2BFDCD62"/>
    <w:rsid w:val="2BFF0840"/>
    <w:rsid w:val="2BFFB340"/>
    <w:rsid w:val="2C7176F9"/>
    <w:rsid w:val="2CE60933"/>
    <w:rsid w:val="2D3A92AD"/>
    <w:rsid w:val="2D59222F"/>
    <w:rsid w:val="2D9D410D"/>
    <w:rsid w:val="2DEF6E90"/>
    <w:rsid w:val="2DFB1176"/>
    <w:rsid w:val="2DFE8448"/>
    <w:rsid w:val="2DFE8E68"/>
    <w:rsid w:val="2E620EB2"/>
    <w:rsid w:val="2E9FE758"/>
    <w:rsid w:val="2EADC233"/>
    <w:rsid w:val="2EBF6BAB"/>
    <w:rsid w:val="2EC33140"/>
    <w:rsid w:val="2EDCCF22"/>
    <w:rsid w:val="2EDEA230"/>
    <w:rsid w:val="2F171BA5"/>
    <w:rsid w:val="2F396887"/>
    <w:rsid w:val="2F3C3AB7"/>
    <w:rsid w:val="2F3E95B5"/>
    <w:rsid w:val="2F5388DC"/>
    <w:rsid w:val="2F6F2BC2"/>
    <w:rsid w:val="2F6F3887"/>
    <w:rsid w:val="2F7D826D"/>
    <w:rsid w:val="2FAFBA71"/>
    <w:rsid w:val="2FB79057"/>
    <w:rsid w:val="2FBFC6C7"/>
    <w:rsid w:val="2FD0DB7A"/>
    <w:rsid w:val="2FDB91E4"/>
    <w:rsid w:val="2FDF9583"/>
    <w:rsid w:val="2FEE8B39"/>
    <w:rsid w:val="2FF707FD"/>
    <w:rsid w:val="2FF745B8"/>
    <w:rsid w:val="2FFB7D55"/>
    <w:rsid w:val="2FFB9D4C"/>
    <w:rsid w:val="2FFBED55"/>
    <w:rsid w:val="2FFC6835"/>
    <w:rsid w:val="2FFE2D17"/>
    <w:rsid w:val="2FFE32CD"/>
    <w:rsid w:val="2FFF1C86"/>
    <w:rsid w:val="2FFF9538"/>
    <w:rsid w:val="2FFFB585"/>
    <w:rsid w:val="3093DADA"/>
    <w:rsid w:val="317119AA"/>
    <w:rsid w:val="31C20062"/>
    <w:rsid w:val="31CF4548"/>
    <w:rsid w:val="31FBD193"/>
    <w:rsid w:val="31FF7263"/>
    <w:rsid w:val="32397ACF"/>
    <w:rsid w:val="323F62B4"/>
    <w:rsid w:val="32894C60"/>
    <w:rsid w:val="32D33AB8"/>
    <w:rsid w:val="3306F4C4"/>
    <w:rsid w:val="331D9FA7"/>
    <w:rsid w:val="33382BC9"/>
    <w:rsid w:val="333DE7FD"/>
    <w:rsid w:val="3374B64B"/>
    <w:rsid w:val="33977850"/>
    <w:rsid w:val="339E186F"/>
    <w:rsid w:val="33B78C21"/>
    <w:rsid w:val="33BB0CB6"/>
    <w:rsid w:val="33D7EAA2"/>
    <w:rsid w:val="33DBC854"/>
    <w:rsid w:val="33FD25CA"/>
    <w:rsid w:val="33FF545F"/>
    <w:rsid w:val="343BDBF0"/>
    <w:rsid w:val="34CEA46A"/>
    <w:rsid w:val="34CFD3EA"/>
    <w:rsid w:val="34D9CE27"/>
    <w:rsid w:val="34FB2B23"/>
    <w:rsid w:val="34FF3C17"/>
    <w:rsid w:val="34FFBEB9"/>
    <w:rsid w:val="350C1B78"/>
    <w:rsid w:val="353F764F"/>
    <w:rsid w:val="357EB518"/>
    <w:rsid w:val="35D41FC3"/>
    <w:rsid w:val="35E65504"/>
    <w:rsid w:val="363F8649"/>
    <w:rsid w:val="366EC228"/>
    <w:rsid w:val="36735171"/>
    <w:rsid w:val="367646DF"/>
    <w:rsid w:val="3677B119"/>
    <w:rsid w:val="369F9FBC"/>
    <w:rsid w:val="36AF3183"/>
    <w:rsid w:val="36D716E8"/>
    <w:rsid w:val="3732E96C"/>
    <w:rsid w:val="373FE6BC"/>
    <w:rsid w:val="374DE4D8"/>
    <w:rsid w:val="375EE9C3"/>
    <w:rsid w:val="37755E83"/>
    <w:rsid w:val="37765845"/>
    <w:rsid w:val="377B46E8"/>
    <w:rsid w:val="377FAA88"/>
    <w:rsid w:val="37931228"/>
    <w:rsid w:val="379FEC3B"/>
    <w:rsid w:val="37B1EC6C"/>
    <w:rsid w:val="37B97BE9"/>
    <w:rsid w:val="37BFA7EC"/>
    <w:rsid w:val="37BFACE8"/>
    <w:rsid w:val="37DFA477"/>
    <w:rsid w:val="37E30295"/>
    <w:rsid w:val="37EB5473"/>
    <w:rsid w:val="37ED246D"/>
    <w:rsid w:val="37ED9B02"/>
    <w:rsid w:val="37EF14A2"/>
    <w:rsid w:val="37EF316A"/>
    <w:rsid w:val="37F1B8D6"/>
    <w:rsid w:val="37F27690"/>
    <w:rsid w:val="37F378FE"/>
    <w:rsid w:val="37F753B8"/>
    <w:rsid w:val="37FD95AB"/>
    <w:rsid w:val="37FECCBE"/>
    <w:rsid w:val="37FEEAC8"/>
    <w:rsid w:val="37FEFE54"/>
    <w:rsid w:val="37FF783E"/>
    <w:rsid w:val="384E91A9"/>
    <w:rsid w:val="38A77FAB"/>
    <w:rsid w:val="38DB7A8B"/>
    <w:rsid w:val="38DF1EB9"/>
    <w:rsid w:val="38FB0C49"/>
    <w:rsid w:val="390F7E89"/>
    <w:rsid w:val="396F26D5"/>
    <w:rsid w:val="396F98A4"/>
    <w:rsid w:val="3992F8F9"/>
    <w:rsid w:val="39BA854A"/>
    <w:rsid w:val="39BF11E8"/>
    <w:rsid w:val="39D7AEEC"/>
    <w:rsid w:val="39FBD589"/>
    <w:rsid w:val="3A5D0005"/>
    <w:rsid w:val="3A655FB2"/>
    <w:rsid w:val="3A6CF952"/>
    <w:rsid w:val="3A7EBE60"/>
    <w:rsid w:val="3A7FFA87"/>
    <w:rsid w:val="3ABC3BC1"/>
    <w:rsid w:val="3ACD5834"/>
    <w:rsid w:val="3AD99E1F"/>
    <w:rsid w:val="3AF64E5C"/>
    <w:rsid w:val="3AFC1D7C"/>
    <w:rsid w:val="3B1853F8"/>
    <w:rsid w:val="3B5FA499"/>
    <w:rsid w:val="3B677176"/>
    <w:rsid w:val="3B6BD685"/>
    <w:rsid w:val="3BB3A6E3"/>
    <w:rsid w:val="3BC54E3C"/>
    <w:rsid w:val="3BD50DE8"/>
    <w:rsid w:val="3BD71AE9"/>
    <w:rsid w:val="3BD7473E"/>
    <w:rsid w:val="3BDF26BB"/>
    <w:rsid w:val="3BEB1890"/>
    <w:rsid w:val="3BEEBC62"/>
    <w:rsid w:val="3BEFFB89"/>
    <w:rsid w:val="3BFD589F"/>
    <w:rsid w:val="3BFE7581"/>
    <w:rsid w:val="3BFE87F3"/>
    <w:rsid w:val="3BFF3F9D"/>
    <w:rsid w:val="3BFFCCAE"/>
    <w:rsid w:val="3C502C92"/>
    <w:rsid w:val="3C6D4F52"/>
    <w:rsid w:val="3CB77BD4"/>
    <w:rsid w:val="3CBF4E6B"/>
    <w:rsid w:val="3CD7D3BE"/>
    <w:rsid w:val="3CEFBC4C"/>
    <w:rsid w:val="3CF14AE3"/>
    <w:rsid w:val="3CF65EC4"/>
    <w:rsid w:val="3CF7D65D"/>
    <w:rsid w:val="3CFEF92F"/>
    <w:rsid w:val="3CFF10B6"/>
    <w:rsid w:val="3D2E7FE0"/>
    <w:rsid w:val="3D3F7DBE"/>
    <w:rsid w:val="3D4D4047"/>
    <w:rsid w:val="3D532A3A"/>
    <w:rsid w:val="3D5F89F5"/>
    <w:rsid w:val="3D6D01D4"/>
    <w:rsid w:val="3D6E1AE1"/>
    <w:rsid w:val="3D7BAB3C"/>
    <w:rsid w:val="3D7E6011"/>
    <w:rsid w:val="3D7F389C"/>
    <w:rsid w:val="3D912184"/>
    <w:rsid w:val="3DA60DBB"/>
    <w:rsid w:val="3DBB0D4A"/>
    <w:rsid w:val="3DBB5767"/>
    <w:rsid w:val="3DBC3A49"/>
    <w:rsid w:val="3DC77289"/>
    <w:rsid w:val="3DCEDB01"/>
    <w:rsid w:val="3DCF59D2"/>
    <w:rsid w:val="3DD5A850"/>
    <w:rsid w:val="3DDF4435"/>
    <w:rsid w:val="3DDF6E07"/>
    <w:rsid w:val="3DDF960D"/>
    <w:rsid w:val="3DDFBEB7"/>
    <w:rsid w:val="3DED9C39"/>
    <w:rsid w:val="3DF36397"/>
    <w:rsid w:val="3DF72DA0"/>
    <w:rsid w:val="3DF7EF12"/>
    <w:rsid w:val="3DFB802A"/>
    <w:rsid w:val="3DFB83D3"/>
    <w:rsid w:val="3DFDAE1F"/>
    <w:rsid w:val="3DFFA27E"/>
    <w:rsid w:val="3DFFB0A3"/>
    <w:rsid w:val="3DFFE006"/>
    <w:rsid w:val="3E1877DF"/>
    <w:rsid w:val="3E55F97D"/>
    <w:rsid w:val="3E592080"/>
    <w:rsid w:val="3E6F11D7"/>
    <w:rsid w:val="3E6FF440"/>
    <w:rsid w:val="3E7CB1F2"/>
    <w:rsid w:val="3EA693C7"/>
    <w:rsid w:val="3EB52D85"/>
    <w:rsid w:val="3EBB7175"/>
    <w:rsid w:val="3EBCA82D"/>
    <w:rsid w:val="3EBF5CEB"/>
    <w:rsid w:val="3EC71F71"/>
    <w:rsid w:val="3EDB65E2"/>
    <w:rsid w:val="3EDF39A8"/>
    <w:rsid w:val="3EDFC31B"/>
    <w:rsid w:val="3EE9DE7C"/>
    <w:rsid w:val="3EF338EB"/>
    <w:rsid w:val="3EF38C42"/>
    <w:rsid w:val="3EF62F3B"/>
    <w:rsid w:val="3EF7A6CD"/>
    <w:rsid w:val="3EFAB8AC"/>
    <w:rsid w:val="3EFAE278"/>
    <w:rsid w:val="3EFB85B8"/>
    <w:rsid w:val="3EFEFC66"/>
    <w:rsid w:val="3EFFA3BE"/>
    <w:rsid w:val="3EFFB29E"/>
    <w:rsid w:val="3EFFBA38"/>
    <w:rsid w:val="3F0F7009"/>
    <w:rsid w:val="3F1E2D60"/>
    <w:rsid w:val="3F2B80E6"/>
    <w:rsid w:val="3F3BFC45"/>
    <w:rsid w:val="3F3F8542"/>
    <w:rsid w:val="3F4EAAA5"/>
    <w:rsid w:val="3F5F6271"/>
    <w:rsid w:val="3F7176A4"/>
    <w:rsid w:val="3F7607A8"/>
    <w:rsid w:val="3F760E27"/>
    <w:rsid w:val="3F778AAB"/>
    <w:rsid w:val="3F77FB48"/>
    <w:rsid w:val="3F7B4472"/>
    <w:rsid w:val="3F7C6018"/>
    <w:rsid w:val="3F7D205D"/>
    <w:rsid w:val="3F7E346E"/>
    <w:rsid w:val="3F7E52CF"/>
    <w:rsid w:val="3F7E5983"/>
    <w:rsid w:val="3F7E84BD"/>
    <w:rsid w:val="3F7F753F"/>
    <w:rsid w:val="3F7FECD1"/>
    <w:rsid w:val="3F7FEEFD"/>
    <w:rsid w:val="3F969421"/>
    <w:rsid w:val="3F9737AA"/>
    <w:rsid w:val="3FA73785"/>
    <w:rsid w:val="3FAD66D5"/>
    <w:rsid w:val="3FAD71EA"/>
    <w:rsid w:val="3FAF43DA"/>
    <w:rsid w:val="3FB4D9C5"/>
    <w:rsid w:val="3FB55B95"/>
    <w:rsid w:val="3FB58AFD"/>
    <w:rsid w:val="3FBACA64"/>
    <w:rsid w:val="3FBB958F"/>
    <w:rsid w:val="3FBBB73E"/>
    <w:rsid w:val="3FBE043D"/>
    <w:rsid w:val="3FBEB57C"/>
    <w:rsid w:val="3FBEF6B1"/>
    <w:rsid w:val="3FBEFC15"/>
    <w:rsid w:val="3FBF3C35"/>
    <w:rsid w:val="3FBF6D2E"/>
    <w:rsid w:val="3FC1831D"/>
    <w:rsid w:val="3FC3B833"/>
    <w:rsid w:val="3FCBF4A2"/>
    <w:rsid w:val="3FCE9A51"/>
    <w:rsid w:val="3FDBCA08"/>
    <w:rsid w:val="3FDDF055"/>
    <w:rsid w:val="3FDEDAB5"/>
    <w:rsid w:val="3FDFA900"/>
    <w:rsid w:val="3FE37C3F"/>
    <w:rsid w:val="3FE45B46"/>
    <w:rsid w:val="3FEC2D32"/>
    <w:rsid w:val="3FEDBA05"/>
    <w:rsid w:val="3FEE54F8"/>
    <w:rsid w:val="3FEEF8D3"/>
    <w:rsid w:val="3FEFC862"/>
    <w:rsid w:val="3FEFFC07"/>
    <w:rsid w:val="3FF75E30"/>
    <w:rsid w:val="3FF79D45"/>
    <w:rsid w:val="3FF7B952"/>
    <w:rsid w:val="3FF7E858"/>
    <w:rsid w:val="3FF81071"/>
    <w:rsid w:val="3FFB35C1"/>
    <w:rsid w:val="3FFB93BE"/>
    <w:rsid w:val="3FFBB05D"/>
    <w:rsid w:val="3FFBD19F"/>
    <w:rsid w:val="3FFED948"/>
    <w:rsid w:val="3FFEE683"/>
    <w:rsid w:val="3FFF0D1F"/>
    <w:rsid w:val="3FFF4247"/>
    <w:rsid w:val="3FFF5C07"/>
    <w:rsid w:val="3FFF7C7D"/>
    <w:rsid w:val="40A271F3"/>
    <w:rsid w:val="40BF2197"/>
    <w:rsid w:val="4259471E"/>
    <w:rsid w:val="42823479"/>
    <w:rsid w:val="42D81437"/>
    <w:rsid w:val="42F73E67"/>
    <w:rsid w:val="43014CE6"/>
    <w:rsid w:val="437F3EA4"/>
    <w:rsid w:val="43B65AD0"/>
    <w:rsid w:val="43BFC457"/>
    <w:rsid w:val="43E70D42"/>
    <w:rsid w:val="43FFA694"/>
    <w:rsid w:val="4407632C"/>
    <w:rsid w:val="4587EE24"/>
    <w:rsid w:val="45D7464E"/>
    <w:rsid w:val="45DA98D7"/>
    <w:rsid w:val="45DC1976"/>
    <w:rsid w:val="45EFFB1B"/>
    <w:rsid w:val="460A1EF7"/>
    <w:rsid w:val="464E7C39"/>
    <w:rsid w:val="46FD0519"/>
    <w:rsid w:val="46FDDD93"/>
    <w:rsid w:val="473B8389"/>
    <w:rsid w:val="477B1228"/>
    <w:rsid w:val="477F4FBC"/>
    <w:rsid w:val="477FDE85"/>
    <w:rsid w:val="479F12B1"/>
    <w:rsid w:val="47A70D1B"/>
    <w:rsid w:val="47BFD40F"/>
    <w:rsid w:val="47DE64E9"/>
    <w:rsid w:val="47FC5A2D"/>
    <w:rsid w:val="48052B82"/>
    <w:rsid w:val="487F29BE"/>
    <w:rsid w:val="48C7373F"/>
    <w:rsid w:val="4977D040"/>
    <w:rsid w:val="49EF8DA3"/>
    <w:rsid w:val="49F63208"/>
    <w:rsid w:val="49FF3074"/>
    <w:rsid w:val="4A3E237C"/>
    <w:rsid w:val="4A5DE372"/>
    <w:rsid w:val="4A9ECC3D"/>
    <w:rsid w:val="4AB368C6"/>
    <w:rsid w:val="4AF5F548"/>
    <w:rsid w:val="4B1E90D7"/>
    <w:rsid w:val="4B6DB382"/>
    <w:rsid w:val="4BA71483"/>
    <w:rsid w:val="4BDF88C5"/>
    <w:rsid w:val="4BF8FAE9"/>
    <w:rsid w:val="4C485CDC"/>
    <w:rsid w:val="4C804ECE"/>
    <w:rsid w:val="4CCFBE14"/>
    <w:rsid w:val="4CD6A1A3"/>
    <w:rsid w:val="4CF97E0E"/>
    <w:rsid w:val="4D5F8FE2"/>
    <w:rsid w:val="4D670D45"/>
    <w:rsid w:val="4D7B39D3"/>
    <w:rsid w:val="4D844549"/>
    <w:rsid w:val="4DB64E83"/>
    <w:rsid w:val="4DE5AF68"/>
    <w:rsid w:val="4DFA4804"/>
    <w:rsid w:val="4DFAE01D"/>
    <w:rsid w:val="4DFC7A6B"/>
    <w:rsid w:val="4E195318"/>
    <w:rsid w:val="4E7BFF31"/>
    <w:rsid w:val="4F0F14A5"/>
    <w:rsid w:val="4F20782A"/>
    <w:rsid w:val="4F2DCF6F"/>
    <w:rsid w:val="4F5FF93C"/>
    <w:rsid w:val="4F71EBB4"/>
    <w:rsid w:val="4F771022"/>
    <w:rsid w:val="4F7E7232"/>
    <w:rsid w:val="4F7FC2D9"/>
    <w:rsid w:val="4FC532E8"/>
    <w:rsid w:val="4FC5D9AA"/>
    <w:rsid w:val="4FD3256A"/>
    <w:rsid w:val="4FD51E34"/>
    <w:rsid w:val="4FE53E3F"/>
    <w:rsid w:val="4FEBEBA7"/>
    <w:rsid w:val="4FEE3F5A"/>
    <w:rsid w:val="4FEF2DE2"/>
    <w:rsid w:val="4FF6AC6D"/>
    <w:rsid w:val="4FF89833"/>
    <w:rsid w:val="4FFDEB9A"/>
    <w:rsid w:val="4FFF129A"/>
    <w:rsid w:val="4FFF7AC0"/>
    <w:rsid w:val="4FFF889E"/>
    <w:rsid w:val="4FFFC445"/>
    <w:rsid w:val="5032719C"/>
    <w:rsid w:val="50632B3C"/>
    <w:rsid w:val="50B67110"/>
    <w:rsid w:val="50FF62CA"/>
    <w:rsid w:val="51786DFF"/>
    <w:rsid w:val="51BE3B3B"/>
    <w:rsid w:val="521B6CF5"/>
    <w:rsid w:val="528648C0"/>
    <w:rsid w:val="5292882D"/>
    <w:rsid w:val="52BF296F"/>
    <w:rsid w:val="52DBF335"/>
    <w:rsid w:val="52FF66B2"/>
    <w:rsid w:val="52FFBEB1"/>
    <w:rsid w:val="5374887A"/>
    <w:rsid w:val="5375EE9F"/>
    <w:rsid w:val="537A2677"/>
    <w:rsid w:val="537CF4EE"/>
    <w:rsid w:val="537F4011"/>
    <w:rsid w:val="539B0A42"/>
    <w:rsid w:val="53A9460C"/>
    <w:rsid w:val="53BB1E56"/>
    <w:rsid w:val="53BB91FD"/>
    <w:rsid w:val="53BF8894"/>
    <w:rsid w:val="53EC6BFB"/>
    <w:rsid w:val="53F8C3EB"/>
    <w:rsid w:val="53FFF98B"/>
    <w:rsid w:val="54261E03"/>
    <w:rsid w:val="54690FA8"/>
    <w:rsid w:val="547D91DA"/>
    <w:rsid w:val="54EE6EAF"/>
    <w:rsid w:val="54EFF68C"/>
    <w:rsid w:val="54F6FAE9"/>
    <w:rsid w:val="54FC0852"/>
    <w:rsid w:val="553F1A9A"/>
    <w:rsid w:val="554051FA"/>
    <w:rsid w:val="557ED7BC"/>
    <w:rsid w:val="557F2651"/>
    <w:rsid w:val="55AFB66D"/>
    <w:rsid w:val="55EC9375"/>
    <w:rsid w:val="55EFC038"/>
    <w:rsid w:val="55FDD5BF"/>
    <w:rsid w:val="55FDE1E9"/>
    <w:rsid w:val="55FFDBC2"/>
    <w:rsid w:val="560501F2"/>
    <w:rsid w:val="56222F02"/>
    <w:rsid w:val="562F36B8"/>
    <w:rsid w:val="56B7D07A"/>
    <w:rsid w:val="56BD99F2"/>
    <w:rsid w:val="56CB3A71"/>
    <w:rsid w:val="56D365AA"/>
    <w:rsid w:val="56DE2EA9"/>
    <w:rsid w:val="56DF441B"/>
    <w:rsid w:val="56F8FC09"/>
    <w:rsid w:val="56FAF8D1"/>
    <w:rsid w:val="56FF27A6"/>
    <w:rsid w:val="56FFED24"/>
    <w:rsid w:val="572FD8D7"/>
    <w:rsid w:val="575F8E5D"/>
    <w:rsid w:val="576BA7AF"/>
    <w:rsid w:val="5776F965"/>
    <w:rsid w:val="5779C137"/>
    <w:rsid w:val="57AF47DB"/>
    <w:rsid w:val="57B4A0AA"/>
    <w:rsid w:val="57B79C55"/>
    <w:rsid w:val="57BBCE65"/>
    <w:rsid w:val="57BCC4CD"/>
    <w:rsid w:val="57C74A2C"/>
    <w:rsid w:val="57CF2FE4"/>
    <w:rsid w:val="57DE0871"/>
    <w:rsid w:val="57E32D1F"/>
    <w:rsid w:val="57FA3885"/>
    <w:rsid w:val="57FAF337"/>
    <w:rsid w:val="57FB3FAE"/>
    <w:rsid w:val="57FB7ED7"/>
    <w:rsid w:val="57FDA5AB"/>
    <w:rsid w:val="57FF3021"/>
    <w:rsid w:val="57FF4A9D"/>
    <w:rsid w:val="57FF5651"/>
    <w:rsid w:val="57FF6045"/>
    <w:rsid w:val="58F63101"/>
    <w:rsid w:val="58FFBD36"/>
    <w:rsid w:val="591DA124"/>
    <w:rsid w:val="596E3257"/>
    <w:rsid w:val="59F68062"/>
    <w:rsid w:val="59F78490"/>
    <w:rsid w:val="59F90A31"/>
    <w:rsid w:val="59FFAE56"/>
    <w:rsid w:val="5A3E011E"/>
    <w:rsid w:val="5A7DB14E"/>
    <w:rsid w:val="5A7DBA9D"/>
    <w:rsid w:val="5A7F8F2F"/>
    <w:rsid w:val="5AC5FE49"/>
    <w:rsid w:val="5ADFF5B0"/>
    <w:rsid w:val="5AF54DF5"/>
    <w:rsid w:val="5B0E7B48"/>
    <w:rsid w:val="5B1F390A"/>
    <w:rsid w:val="5B2D4AAD"/>
    <w:rsid w:val="5B3F2BAB"/>
    <w:rsid w:val="5B5FA96E"/>
    <w:rsid w:val="5B675CD7"/>
    <w:rsid w:val="5B6E88B4"/>
    <w:rsid w:val="5B728F68"/>
    <w:rsid w:val="5B97D423"/>
    <w:rsid w:val="5BBE31F6"/>
    <w:rsid w:val="5BCE8C98"/>
    <w:rsid w:val="5BD2B1B4"/>
    <w:rsid w:val="5BD78936"/>
    <w:rsid w:val="5BD79CAE"/>
    <w:rsid w:val="5BEB657F"/>
    <w:rsid w:val="5BEF34D6"/>
    <w:rsid w:val="5BFB6AB8"/>
    <w:rsid w:val="5BFE67C5"/>
    <w:rsid w:val="5BFEBB1F"/>
    <w:rsid w:val="5BFF2D7A"/>
    <w:rsid w:val="5C5D7965"/>
    <w:rsid w:val="5CADAC64"/>
    <w:rsid w:val="5CBA7F88"/>
    <w:rsid w:val="5CD7E5C1"/>
    <w:rsid w:val="5CF563B6"/>
    <w:rsid w:val="5CF66276"/>
    <w:rsid w:val="5CF6AE96"/>
    <w:rsid w:val="5CF7280C"/>
    <w:rsid w:val="5CF7A235"/>
    <w:rsid w:val="5CFB7EE6"/>
    <w:rsid w:val="5CFEAE5D"/>
    <w:rsid w:val="5CFFA352"/>
    <w:rsid w:val="5D5F468B"/>
    <w:rsid w:val="5D67960A"/>
    <w:rsid w:val="5D67F636"/>
    <w:rsid w:val="5D6E6C28"/>
    <w:rsid w:val="5D7563F9"/>
    <w:rsid w:val="5D77D21E"/>
    <w:rsid w:val="5D7B0AD9"/>
    <w:rsid w:val="5D7F2463"/>
    <w:rsid w:val="5D7F281B"/>
    <w:rsid w:val="5D7F53A9"/>
    <w:rsid w:val="5D9F5EB4"/>
    <w:rsid w:val="5DAF8933"/>
    <w:rsid w:val="5DAF90EB"/>
    <w:rsid w:val="5DBB8603"/>
    <w:rsid w:val="5DBB8CAB"/>
    <w:rsid w:val="5DBFDA63"/>
    <w:rsid w:val="5DD7D4A3"/>
    <w:rsid w:val="5DE74075"/>
    <w:rsid w:val="5DEEB58D"/>
    <w:rsid w:val="5DF5E70C"/>
    <w:rsid w:val="5DF72F2B"/>
    <w:rsid w:val="5DF73008"/>
    <w:rsid w:val="5DFC788A"/>
    <w:rsid w:val="5DFE33D0"/>
    <w:rsid w:val="5DFE3D6A"/>
    <w:rsid w:val="5DFF02B9"/>
    <w:rsid w:val="5E3973AA"/>
    <w:rsid w:val="5E57ADF6"/>
    <w:rsid w:val="5E604B5F"/>
    <w:rsid w:val="5E65D3DA"/>
    <w:rsid w:val="5E6FC3B9"/>
    <w:rsid w:val="5E74C4F3"/>
    <w:rsid w:val="5E7B8152"/>
    <w:rsid w:val="5E7DBBCA"/>
    <w:rsid w:val="5E7E1DBB"/>
    <w:rsid w:val="5E7F0220"/>
    <w:rsid w:val="5EAD841D"/>
    <w:rsid w:val="5EB8A425"/>
    <w:rsid w:val="5EBA44F3"/>
    <w:rsid w:val="5EBEFABC"/>
    <w:rsid w:val="5EBFC9D2"/>
    <w:rsid w:val="5ED2E338"/>
    <w:rsid w:val="5EDD0BAB"/>
    <w:rsid w:val="5EDE9746"/>
    <w:rsid w:val="5EDF1D55"/>
    <w:rsid w:val="5EDF4433"/>
    <w:rsid w:val="5EDF91ED"/>
    <w:rsid w:val="5EDFB202"/>
    <w:rsid w:val="5EEC1F4F"/>
    <w:rsid w:val="5EEE638D"/>
    <w:rsid w:val="5EEF3923"/>
    <w:rsid w:val="5EFB5262"/>
    <w:rsid w:val="5EFDE332"/>
    <w:rsid w:val="5EFE0985"/>
    <w:rsid w:val="5EFFD753"/>
    <w:rsid w:val="5EFFD94E"/>
    <w:rsid w:val="5EFFFBB9"/>
    <w:rsid w:val="5F2CF7EA"/>
    <w:rsid w:val="5F3F2F47"/>
    <w:rsid w:val="5F4F7745"/>
    <w:rsid w:val="5F574F29"/>
    <w:rsid w:val="5F57D267"/>
    <w:rsid w:val="5F5E22DF"/>
    <w:rsid w:val="5F6764E4"/>
    <w:rsid w:val="5F6A13B7"/>
    <w:rsid w:val="5F6B49BB"/>
    <w:rsid w:val="5F6B772E"/>
    <w:rsid w:val="5F6F1FB4"/>
    <w:rsid w:val="5F6FC7A6"/>
    <w:rsid w:val="5F70492E"/>
    <w:rsid w:val="5F7B77D7"/>
    <w:rsid w:val="5F7D2253"/>
    <w:rsid w:val="5F7DEAA1"/>
    <w:rsid w:val="5F7E1497"/>
    <w:rsid w:val="5F7F45DB"/>
    <w:rsid w:val="5F9F58DB"/>
    <w:rsid w:val="5FAB9BBE"/>
    <w:rsid w:val="5FAECD0B"/>
    <w:rsid w:val="5FAFEDAA"/>
    <w:rsid w:val="5FB0BD95"/>
    <w:rsid w:val="5FB3DA64"/>
    <w:rsid w:val="5FB42144"/>
    <w:rsid w:val="5FB5BD48"/>
    <w:rsid w:val="5FB739A2"/>
    <w:rsid w:val="5FBBB5FC"/>
    <w:rsid w:val="5FBD5536"/>
    <w:rsid w:val="5FBE836C"/>
    <w:rsid w:val="5FBEB9CB"/>
    <w:rsid w:val="5FBFB38F"/>
    <w:rsid w:val="5FBFF580"/>
    <w:rsid w:val="5FC47301"/>
    <w:rsid w:val="5FDDD962"/>
    <w:rsid w:val="5FDF619D"/>
    <w:rsid w:val="5FDFCAA2"/>
    <w:rsid w:val="5FDFE0BD"/>
    <w:rsid w:val="5FE28CEA"/>
    <w:rsid w:val="5FE29955"/>
    <w:rsid w:val="5FE353CC"/>
    <w:rsid w:val="5FE55927"/>
    <w:rsid w:val="5FE71376"/>
    <w:rsid w:val="5FE91DC5"/>
    <w:rsid w:val="5FEF3545"/>
    <w:rsid w:val="5FEF6605"/>
    <w:rsid w:val="5FEFB684"/>
    <w:rsid w:val="5FF39F83"/>
    <w:rsid w:val="5FF5BE2D"/>
    <w:rsid w:val="5FF5F6E8"/>
    <w:rsid w:val="5FF60C4F"/>
    <w:rsid w:val="5FF65342"/>
    <w:rsid w:val="5FF75186"/>
    <w:rsid w:val="5FF7B135"/>
    <w:rsid w:val="5FF7DBE6"/>
    <w:rsid w:val="5FF962DA"/>
    <w:rsid w:val="5FF9F458"/>
    <w:rsid w:val="5FFA68B2"/>
    <w:rsid w:val="5FFAF68C"/>
    <w:rsid w:val="5FFB422D"/>
    <w:rsid w:val="5FFB6BD5"/>
    <w:rsid w:val="5FFC051F"/>
    <w:rsid w:val="5FFC5661"/>
    <w:rsid w:val="5FFC849C"/>
    <w:rsid w:val="5FFDE1A8"/>
    <w:rsid w:val="5FFE7A5F"/>
    <w:rsid w:val="5FFE88D6"/>
    <w:rsid w:val="5FFF1779"/>
    <w:rsid w:val="5FFF305B"/>
    <w:rsid w:val="5FFF51B1"/>
    <w:rsid w:val="5FFF5694"/>
    <w:rsid w:val="5FFF5C20"/>
    <w:rsid w:val="5FFF6F51"/>
    <w:rsid w:val="5FFF7923"/>
    <w:rsid w:val="5FFFBCA8"/>
    <w:rsid w:val="5FFFCD0C"/>
    <w:rsid w:val="60040D16"/>
    <w:rsid w:val="6062071A"/>
    <w:rsid w:val="60651FB9"/>
    <w:rsid w:val="60BDB91E"/>
    <w:rsid w:val="613538C6"/>
    <w:rsid w:val="619CBD49"/>
    <w:rsid w:val="61C3343B"/>
    <w:rsid w:val="61D66A13"/>
    <w:rsid w:val="61FF9A75"/>
    <w:rsid w:val="62D5696A"/>
    <w:rsid w:val="62F70CA8"/>
    <w:rsid w:val="62FE7291"/>
    <w:rsid w:val="632E59F9"/>
    <w:rsid w:val="6330C0BC"/>
    <w:rsid w:val="63674CF1"/>
    <w:rsid w:val="636BB288"/>
    <w:rsid w:val="639B3DF6"/>
    <w:rsid w:val="63A3E8CE"/>
    <w:rsid w:val="63B7BFFC"/>
    <w:rsid w:val="63BFC777"/>
    <w:rsid w:val="63DB0EC0"/>
    <w:rsid w:val="63F3E62A"/>
    <w:rsid w:val="63F43D7F"/>
    <w:rsid w:val="63FECB1D"/>
    <w:rsid w:val="63FF3F92"/>
    <w:rsid w:val="64B7D5BF"/>
    <w:rsid w:val="64CF73A8"/>
    <w:rsid w:val="64FFFF79"/>
    <w:rsid w:val="657F3170"/>
    <w:rsid w:val="65BA032F"/>
    <w:rsid w:val="65CE58D0"/>
    <w:rsid w:val="65D9788F"/>
    <w:rsid w:val="65F738AC"/>
    <w:rsid w:val="65FBA4E2"/>
    <w:rsid w:val="66700A84"/>
    <w:rsid w:val="66AED183"/>
    <w:rsid w:val="66CD08B8"/>
    <w:rsid w:val="66EF1464"/>
    <w:rsid w:val="66FF212C"/>
    <w:rsid w:val="66FFCAD3"/>
    <w:rsid w:val="66FFF200"/>
    <w:rsid w:val="671A5FC2"/>
    <w:rsid w:val="6727A326"/>
    <w:rsid w:val="6727C400"/>
    <w:rsid w:val="673B7378"/>
    <w:rsid w:val="67645C7C"/>
    <w:rsid w:val="677A54AD"/>
    <w:rsid w:val="677C1532"/>
    <w:rsid w:val="677FA24B"/>
    <w:rsid w:val="679B170A"/>
    <w:rsid w:val="67ACEDC9"/>
    <w:rsid w:val="67AFF873"/>
    <w:rsid w:val="67B2E507"/>
    <w:rsid w:val="67B5FA19"/>
    <w:rsid w:val="67B68B22"/>
    <w:rsid w:val="67B7D612"/>
    <w:rsid w:val="67C4053B"/>
    <w:rsid w:val="67CFE658"/>
    <w:rsid w:val="67D6BC57"/>
    <w:rsid w:val="67D7F8C3"/>
    <w:rsid w:val="67DE75CA"/>
    <w:rsid w:val="67DF213B"/>
    <w:rsid w:val="67E593AE"/>
    <w:rsid w:val="67E63307"/>
    <w:rsid w:val="67EE432F"/>
    <w:rsid w:val="67EF71E2"/>
    <w:rsid w:val="67F12CE5"/>
    <w:rsid w:val="67FDB06E"/>
    <w:rsid w:val="67FE3C2A"/>
    <w:rsid w:val="67FE6ACE"/>
    <w:rsid w:val="67FF1821"/>
    <w:rsid w:val="67FF5050"/>
    <w:rsid w:val="67FF78EC"/>
    <w:rsid w:val="67FF9F37"/>
    <w:rsid w:val="67FFE8E1"/>
    <w:rsid w:val="68C857DA"/>
    <w:rsid w:val="68D16947"/>
    <w:rsid w:val="68FEA95B"/>
    <w:rsid w:val="697C65A9"/>
    <w:rsid w:val="697D6C32"/>
    <w:rsid w:val="69B1A284"/>
    <w:rsid w:val="69D0F0C7"/>
    <w:rsid w:val="69FC2CDF"/>
    <w:rsid w:val="69FE7F18"/>
    <w:rsid w:val="69FF122B"/>
    <w:rsid w:val="69FFFF5A"/>
    <w:rsid w:val="6A0C49BE"/>
    <w:rsid w:val="6A2FE823"/>
    <w:rsid w:val="6A5F8BDE"/>
    <w:rsid w:val="6A6F0D9B"/>
    <w:rsid w:val="6A7A965C"/>
    <w:rsid w:val="6A7B7805"/>
    <w:rsid w:val="6A8E035E"/>
    <w:rsid w:val="6ABE616E"/>
    <w:rsid w:val="6ABF06E3"/>
    <w:rsid w:val="6ACF26B5"/>
    <w:rsid w:val="6AE7B156"/>
    <w:rsid w:val="6AF36CC3"/>
    <w:rsid w:val="6AF91C7B"/>
    <w:rsid w:val="6AFFEF85"/>
    <w:rsid w:val="6B5CE739"/>
    <w:rsid w:val="6B6537B4"/>
    <w:rsid w:val="6B695355"/>
    <w:rsid w:val="6B6DA1C7"/>
    <w:rsid w:val="6B7E03D2"/>
    <w:rsid w:val="6B7EE5D2"/>
    <w:rsid w:val="6B7F2147"/>
    <w:rsid w:val="6B7F58A7"/>
    <w:rsid w:val="6B7FA0FE"/>
    <w:rsid w:val="6B9E9A60"/>
    <w:rsid w:val="6B9FF26B"/>
    <w:rsid w:val="6BB569A0"/>
    <w:rsid w:val="6BBD1C65"/>
    <w:rsid w:val="6BC814FE"/>
    <w:rsid w:val="6BD445E3"/>
    <w:rsid w:val="6BD76AB0"/>
    <w:rsid w:val="6BEBAF06"/>
    <w:rsid w:val="6BF99CFE"/>
    <w:rsid w:val="6BFD977E"/>
    <w:rsid w:val="6BFE0CCB"/>
    <w:rsid w:val="6BFF3011"/>
    <w:rsid w:val="6C276CBC"/>
    <w:rsid w:val="6C53185F"/>
    <w:rsid w:val="6C7E235A"/>
    <w:rsid w:val="6C7E8917"/>
    <w:rsid w:val="6C9F9C92"/>
    <w:rsid w:val="6C9FDCF2"/>
    <w:rsid w:val="6CF10D57"/>
    <w:rsid w:val="6CF36EBD"/>
    <w:rsid w:val="6CFE17CB"/>
    <w:rsid w:val="6D3EF9A0"/>
    <w:rsid w:val="6D4747EB"/>
    <w:rsid w:val="6D5F93FB"/>
    <w:rsid w:val="6D5FEE50"/>
    <w:rsid w:val="6D7F14F5"/>
    <w:rsid w:val="6D7F95C8"/>
    <w:rsid w:val="6D7FFE1F"/>
    <w:rsid w:val="6D9BCF2F"/>
    <w:rsid w:val="6D9DD3D7"/>
    <w:rsid w:val="6DB7B2AA"/>
    <w:rsid w:val="6DBEBD37"/>
    <w:rsid w:val="6DBFF3C2"/>
    <w:rsid w:val="6DC72CDC"/>
    <w:rsid w:val="6DF76476"/>
    <w:rsid w:val="6DFE12A7"/>
    <w:rsid w:val="6DFEE36C"/>
    <w:rsid w:val="6DFFE39D"/>
    <w:rsid w:val="6DFFF84E"/>
    <w:rsid w:val="6E298AB8"/>
    <w:rsid w:val="6E4EBBEE"/>
    <w:rsid w:val="6E5F2BB4"/>
    <w:rsid w:val="6E7B3C72"/>
    <w:rsid w:val="6E7D6B84"/>
    <w:rsid w:val="6E7F4D03"/>
    <w:rsid w:val="6EAB948D"/>
    <w:rsid w:val="6EAE19B8"/>
    <w:rsid w:val="6EB74327"/>
    <w:rsid w:val="6EBEAAF2"/>
    <w:rsid w:val="6EBF832D"/>
    <w:rsid w:val="6EC3DE8C"/>
    <w:rsid w:val="6ECB9047"/>
    <w:rsid w:val="6ECF0BB1"/>
    <w:rsid w:val="6ED73AB1"/>
    <w:rsid w:val="6EDE14ED"/>
    <w:rsid w:val="6EDFC2B6"/>
    <w:rsid w:val="6EE3A06A"/>
    <w:rsid w:val="6EEFED31"/>
    <w:rsid w:val="6EF410D7"/>
    <w:rsid w:val="6EF52C31"/>
    <w:rsid w:val="6EF7B13B"/>
    <w:rsid w:val="6EF7E725"/>
    <w:rsid w:val="6EFB0DB2"/>
    <w:rsid w:val="6EFB85C6"/>
    <w:rsid w:val="6EFBF6E5"/>
    <w:rsid w:val="6EFFB257"/>
    <w:rsid w:val="6F269B67"/>
    <w:rsid w:val="6F393FB4"/>
    <w:rsid w:val="6F3BCBC0"/>
    <w:rsid w:val="6F3EEAAA"/>
    <w:rsid w:val="6F3FA435"/>
    <w:rsid w:val="6F5F48B6"/>
    <w:rsid w:val="6F5F5DEF"/>
    <w:rsid w:val="6F6BA19C"/>
    <w:rsid w:val="6F6D738B"/>
    <w:rsid w:val="6F6F20A1"/>
    <w:rsid w:val="6F6F990D"/>
    <w:rsid w:val="6F704574"/>
    <w:rsid w:val="6F75FB7F"/>
    <w:rsid w:val="6F7B6E51"/>
    <w:rsid w:val="6F7BD566"/>
    <w:rsid w:val="6F7D1DF2"/>
    <w:rsid w:val="6F7E385D"/>
    <w:rsid w:val="6F7F5FF7"/>
    <w:rsid w:val="6F7FEFF1"/>
    <w:rsid w:val="6F8EBD50"/>
    <w:rsid w:val="6F8F74EF"/>
    <w:rsid w:val="6F919F55"/>
    <w:rsid w:val="6F9FE2CD"/>
    <w:rsid w:val="6F9FE769"/>
    <w:rsid w:val="6FAF41FF"/>
    <w:rsid w:val="6FAFCD42"/>
    <w:rsid w:val="6FB20FD3"/>
    <w:rsid w:val="6FB6C017"/>
    <w:rsid w:val="6FB7182A"/>
    <w:rsid w:val="6FBA3AB0"/>
    <w:rsid w:val="6FBD182B"/>
    <w:rsid w:val="6FBD52A1"/>
    <w:rsid w:val="6FBE3B60"/>
    <w:rsid w:val="6FBFC470"/>
    <w:rsid w:val="6FC72639"/>
    <w:rsid w:val="6FC7B737"/>
    <w:rsid w:val="6FCCA5C0"/>
    <w:rsid w:val="6FCE60BF"/>
    <w:rsid w:val="6FCF45A0"/>
    <w:rsid w:val="6FD533BC"/>
    <w:rsid w:val="6FD7019D"/>
    <w:rsid w:val="6FD745E4"/>
    <w:rsid w:val="6FD7E402"/>
    <w:rsid w:val="6FDC962E"/>
    <w:rsid w:val="6FDEE28D"/>
    <w:rsid w:val="6FDF4EB6"/>
    <w:rsid w:val="6FE80510"/>
    <w:rsid w:val="6FEF472D"/>
    <w:rsid w:val="6FEFE093"/>
    <w:rsid w:val="6FF5BE61"/>
    <w:rsid w:val="6FF6B17F"/>
    <w:rsid w:val="6FF73892"/>
    <w:rsid w:val="6FF73EF3"/>
    <w:rsid w:val="6FF7C948"/>
    <w:rsid w:val="6FF7CABF"/>
    <w:rsid w:val="6FFA7F90"/>
    <w:rsid w:val="6FFAFDE6"/>
    <w:rsid w:val="6FFB092A"/>
    <w:rsid w:val="6FFB77C9"/>
    <w:rsid w:val="6FFBB173"/>
    <w:rsid w:val="6FFC2202"/>
    <w:rsid w:val="6FFCC34F"/>
    <w:rsid w:val="6FFD71E8"/>
    <w:rsid w:val="6FFD9A3C"/>
    <w:rsid w:val="6FFDB7A7"/>
    <w:rsid w:val="6FFE9824"/>
    <w:rsid w:val="6FFEB230"/>
    <w:rsid w:val="6FFEBD75"/>
    <w:rsid w:val="6FFEFD40"/>
    <w:rsid w:val="6FFF19AF"/>
    <w:rsid w:val="6FFF3D63"/>
    <w:rsid w:val="6FFF9132"/>
    <w:rsid w:val="6FFF9A8A"/>
    <w:rsid w:val="6FFFAD64"/>
    <w:rsid w:val="6FFFDC8F"/>
    <w:rsid w:val="70431C3A"/>
    <w:rsid w:val="7074D72A"/>
    <w:rsid w:val="70B66105"/>
    <w:rsid w:val="71AFAB52"/>
    <w:rsid w:val="71BEE6E5"/>
    <w:rsid w:val="71EF11B1"/>
    <w:rsid w:val="71F697E1"/>
    <w:rsid w:val="71FFE8C1"/>
    <w:rsid w:val="7238577F"/>
    <w:rsid w:val="72664435"/>
    <w:rsid w:val="726C367A"/>
    <w:rsid w:val="726DFBA3"/>
    <w:rsid w:val="726F5BE3"/>
    <w:rsid w:val="72AF5E04"/>
    <w:rsid w:val="72B74E2D"/>
    <w:rsid w:val="72D710F4"/>
    <w:rsid w:val="72FAE4FC"/>
    <w:rsid w:val="72FC8708"/>
    <w:rsid w:val="72FFEAF6"/>
    <w:rsid w:val="730D6C0C"/>
    <w:rsid w:val="7327E3C3"/>
    <w:rsid w:val="7338035E"/>
    <w:rsid w:val="733D6570"/>
    <w:rsid w:val="736F1D5C"/>
    <w:rsid w:val="737B8190"/>
    <w:rsid w:val="739CCD39"/>
    <w:rsid w:val="739F5144"/>
    <w:rsid w:val="73A726A6"/>
    <w:rsid w:val="73B94326"/>
    <w:rsid w:val="73D706E7"/>
    <w:rsid w:val="73D7FA77"/>
    <w:rsid w:val="73DDF81B"/>
    <w:rsid w:val="73DF95F6"/>
    <w:rsid w:val="73EB29B5"/>
    <w:rsid w:val="73EE1E41"/>
    <w:rsid w:val="73FAE2D2"/>
    <w:rsid w:val="73FC52FB"/>
    <w:rsid w:val="73FF0977"/>
    <w:rsid w:val="73FF19EA"/>
    <w:rsid w:val="73FF4CD3"/>
    <w:rsid w:val="73FFADA6"/>
    <w:rsid w:val="748D1838"/>
    <w:rsid w:val="7493371A"/>
    <w:rsid w:val="74AB70EA"/>
    <w:rsid w:val="74E230BD"/>
    <w:rsid w:val="74E78703"/>
    <w:rsid w:val="74ED347C"/>
    <w:rsid w:val="74F2BC47"/>
    <w:rsid w:val="74F7B12A"/>
    <w:rsid w:val="74FB4D28"/>
    <w:rsid w:val="74FED4BA"/>
    <w:rsid w:val="750202C6"/>
    <w:rsid w:val="751D6C90"/>
    <w:rsid w:val="752A4FD7"/>
    <w:rsid w:val="754F44D2"/>
    <w:rsid w:val="755B72C8"/>
    <w:rsid w:val="756A8DA6"/>
    <w:rsid w:val="757D566B"/>
    <w:rsid w:val="757F0F31"/>
    <w:rsid w:val="758B70DA"/>
    <w:rsid w:val="759DB278"/>
    <w:rsid w:val="75B16B9C"/>
    <w:rsid w:val="75BB6BD7"/>
    <w:rsid w:val="75BBD12E"/>
    <w:rsid w:val="75C7443A"/>
    <w:rsid w:val="75D7FA8B"/>
    <w:rsid w:val="75DDB117"/>
    <w:rsid w:val="75DF9363"/>
    <w:rsid w:val="75EC0076"/>
    <w:rsid w:val="75ED58A2"/>
    <w:rsid w:val="75F139A6"/>
    <w:rsid w:val="75F63437"/>
    <w:rsid w:val="75F7FBC5"/>
    <w:rsid w:val="75FD9EC9"/>
    <w:rsid w:val="75FE3AAE"/>
    <w:rsid w:val="75FE5E93"/>
    <w:rsid w:val="75FEB4E0"/>
    <w:rsid w:val="75FF6B08"/>
    <w:rsid w:val="75FFD262"/>
    <w:rsid w:val="761FEDA7"/>
    <w:rsid w:val="763CB81E"/>
    <w:rsid w:val="7644CEB9"/>
    <w:rsid w:val="76770194"/>
    <w:rsid w:val="76770C8E"/>
    <w:rsid w:val="7677D229"/>
    <w:rsid w:val="767BD7A7"/>
    <w:rsid w:val="767DE8C4"/>
    <w:rsid w:val="769B099A"/>
    <w:rsid w:val="769E3764"/>
    <w:rsid w:val="76AF2B05"/>
    <w:rsid w:val="76B9C77A"/>
    <w:rsid w:val="76BAE66A"/>
    <w:rsid w:val="76BCBF46"/>
    <w:rsid w:val="76C2201F"/>
    <w:rsid w:val="76C9D5B6"/>
    <w:rsid w:val="76D74307"/>
    <w:rsid w:val="76DDD64C"/>
    <w:rsid w:val="76EF6235"/>
    <w:rsid w:val="76EFF657"/>
    <w:rsid w:val="76FAB932"/>
    <w:rsid w:val="76FECEEA"/>
    <w:rsid w:val="76FEDE74"/>
    <w:rsid w:val="76FF9B99"/>
    <w:rsid w:val="76FF9E59"/>
    <w:rsid w:val="76FFC813"/>
    <w:rsid w:val="76FFE90D"/>
    <w:rsid w:val="77043E82"/>
    <w:rsid w:val="770FF46B"/>
    <w:rsid w:val="77316C41"/>
    <w:rsid w:val="7746A12A"/>
    <w:rsid w:val="775B496A"/>
    <w:rsid w:val="775ECB5A"/>
    <w:rsid w:val="775F351D"/>
    <w:rsid w:val="7760D9DA"/>
    <w:rsid w:val="7767635E"/>
    <w:rsid w:val="776E53B5"/>
    <w:rsid w:val="776E74A7"/>
    <w:rsid w:val="7775F99E"/>
    <w:rsid w:val="7777572A"/>
    <w:rsid w:val="777A3E68"/>
    <w:rsid w:val="777CE263"/>
    <w:rsid w:val="777DF095"/>
    <w:rsid w:val="777E73E3"/>
    <w:rsid w:val="777E87F3"/>
    <w:rsid w:val="777F197C"/>
    <w:rsid w:val="777F7010"/>
    <w:rsid w:val="777FA7C9"/>
    <w:rsid w:val="77931EE5"/>
    <w:rsid w:val="779C84A6"/>
    <w:rsid w:val="779D99D5"/>
    <w:rsid w:val="779EF3B2"/>
    <w:rsid w:val="77A4F694"/>
    <w:rsid w:val="77AAC97A"/>
    <w:rsid w:val="77AB0092"/>
    <w:rsid w:val="77AED6F9"/>
    <w:rsid w:val="77B539CA"/>
    <w:rsid w:val="77B9BD8F"/>
    <w:rsid w:val="77BCF209"/>
    <w:rsid w:val="77BDC949"/>
    <w:rsid w:val="77BF88D3"/>
    <w:rsid w:val="77C18F8F"/>
    <w:rsid w:val="77C7770D"/>
    <w:rsid w:val="77CF65D2"/>
    <w:rsid w:val="77CFF8B7"/>
    <w:rsid w:val="77D4EAD7"/>
    <w:rsid w:val="77D6187A"/>
    <w:rsid w:val="77D6E6D8"/>
    <w:rsid w:val="77DAE22D"/>
    <w:rsid w:val="77DD6368"/>
    <w:rsid w:val="77DECD12"/>
    <w:rsid w:val="77DF0B4D"/>
    <w:rsid w:val="77DF3A4F"/>
    <w:rsid w:val="77DFC4F6"/>
    <w:rsid w:val="77E77A7E"/>
    <w:rsid w:val="77E7A550"/>
    <w:rsid w:val="77EBC775"/>
    <w:rsid w:val="77EFB061"/>
    <w:rsid w:val="77EFE4C2"/>
    <w:rsid w:val="77F1651F"/>
    <w:rsid w:val="77F326F7"/>
    <w:rsid w:val="77F3570C"/>
    <w:rsid w:val="77F369CA"/>
    <w:rsid w:val="77F53330"/>
    <w:rsid w:val="77F7BD73"/>
    <w:rsid w:val="77F7BF3E"/>
    <w:rsid w:val="77F85C27"/>
    <w:rsid w:val="77F9F47D"/>
    <w:rsid w:val="77FB198C"/>
    <w:rsid w:val="77FB3000"/>
    <w:rsid w:val="77FB512C"/>
    <w:rsid w:val="77FC1AF5"/>
    <w:rsid w:val="77FD7F19"/>
    <w:rsid w:val="77FE3C4D"/>
    <w:rsid w:val="77FE517D"/>
    <w:rsid w:val="77FF1560"/>
    <w:rsid w:val="77FF6527"/>
    <w:rsid w:val="77FF6966"/>
    <w:rsid w:val="77FF85E4"/>
    <w:rsid w:val="77FF955B"/>
    <w:rsid w:val="77FFA841"/>
    <w:rsid w:val="77FFAF6D"/>
    <w:rsid w:val="77FFFE56"/>
    <w:rsid w:val="783B1B25"/>
    <w:rsid w:val="784D9963"/>
    <w:rsid w:val="7867E5D9"/>
    <w:rsid w:val="787F4356"/>
    <w:rsid w:val="78B57216"/>
    <w:rsid w:val="78CA6722"/>
    <w:rsid w:val="78D708DF"/>
    <w:rsid w:val="78EF2612"/>
    <w:rsid w:val="78FF6569"/>
    <w:rsid w:val="78FF98DC"/>
    <w:rsid w:val="791374B0"/>
    <w:rsid w:val="7924B1FA"/>
    <w:rsid w:val="793B664C"/>
    <w:rsid w:val="796E0C95"/>
    <w:rsid w:val="7977D90D"/>
    <w:rsid w:val="797A28A7"/>
    <w:rsid w:val="797FB386"/>
    <w:rsid w:val="799F26DA"/>
    <w:rsid w:val="79A2913D"/>
    <w:rsid w:val="79AFE202"/>
    <w:rsid w:val="79BCCF08"/>
    <w:rsid w:val="79CFA2BC"/>
    <w:rsid w:val="79D7BDFC"/>
    <w:rsid w:val="79DB06E5"/>
    <w:rsid w:val="79DE6F86"/>
    <w:rsid w:val="79E74466"/>
    <w:rsid w:val="79EB9716"/>
    <w:rsid w:val="79EF7943"/>
    <w:rsid w:val="79FC4818"/>
    <w:rsid w:val="79FF0A41"/>
    <w:rsid w:val="79FF9870"/>
    <w:rsid w:val="79FFB9E6"/>
    <w:rsid w:val="7A7C9F17"/>
    <w:rsid w:val="7A7D9325"/>
    <w:rsid w:val="7A7FAF97"/>
    <w:rsid w:val="7A7FE404"/>
    <w:rsid w:val="7AADF25A"/>
    <w:rsid w:val="7ABD462A"/>
    <w:rsid w:val="7ABD9ED2"/>
    <w:rsid w:val="7ABDE594"/>
    <w:rsid w:val="7ABE8570"/>
    <w:rsid w:val="7ADE4418"/>
    <w:rsid w:val="7AEEF3D2"/>
    <w:rsid w:val="7AEF53DA"/>
    <w:rsid w:val="7AEF9BE2"/>
    <w:rsid w:val="7AF47F40"/>
    <w:rsid w:val="7AF768EB"/>
    <w:rsid w:val="7AFB23A9"/>
    <w:rsid w:val="7AFB3CDA"/>
    <w:rsid w:val="7AFB3E9D"/>
    <w:rsid w:val="7AFC5BBD"/>
    <w:rsid w:val="7AFD4963"/>
    <w:rsid w:val="7AFDCF97"/>
    <w:rsid w:val="7AFF14D6"/>
    <w:rsid w:val="7AFFD30B"/>
    <w:rsid w:val="7AFFF9A9"/>
    <w:rsid w:val="7B021D9D"/>
    <w:rsid w:val="7B0ED2C8"/>
    <w:rsid w:val="7B17366D"/>
    <w:rsid w:val="7B231CA5"/>
    <w:rsid w:val="7B2BB173"/>
    <w:rsid w:val="7B3BD1AB"/>
    <w:rsid w:val="7B3E4DDB"/>
    <w:rsid w:val="7B3F0B9C"/>
    <w:rsid w:val="7B3F23CB"/>
    <w:rsid w:val="7B3F6880"/>
    <w:rsid w:val="7B3FEE02"/>
    <w:rsid w:val="7B5F0CAF"/>
    <w:rsid w:val="7B6F14ED"/>
    <w:rsid w:val="7B6FE663"/>
    <w:rsid w:val="7B79C0CB"/>
    <w:rsid w:val="7B7CAF00"/>
    <w:rsid w:val="7B7D656D"/>
    <w:rsid w:val="7B7E0384"/>
    <w:rsid w:val="7B7FF59D"/>
    <w:rsid w:val="7B8F57FC"/>
    <w:rsid w:val="7B9676D6"/>
    <w:rsid w:val="7B9802E8"/>
    <w:rsid w:val="7B9B5DB6"/>
    <w:rsid w:val="7B9FD66B"/>
    <w:rsid w:val="7BA711DF"/>
    <w:rsid w:val="7BAFBEB3"/>
    <w:rsid w:val="7BB359A8"/>
    <w:rsid w:val="7BB3C540"/>
    <w:rsid w:val="7BB640B3"/>
    <w:rsid w:val="7BBC5D0A"/>
    <w:rsid w:val="7BBD064B"/>
    <w:rsid w:val="7BBE54D4"/>
    <w:rsid w:val="7BBEA328"/>
    <w:rsid w:val="7BCF3F06"/>
    <w:rsid w:val="7BCF5820"/>
    <w:rsid w:val="7BCFFF8B"/>
    <w:rsid w:val="7BD6487A"/>
    <w:rsid w:val="7BD99617"/>
    <w:rsid w:val="7BDF0798"/>
    <w:rsid w:val="7BE60C47"/>
    <w:rsid w:val="7BE74343"/>
    <w:rsid w:val="7BE90C85"/>
    <w:rsid w:val="7BEB6D47"/>
    <w:rsid w:val="7BEC8F48"/>
    <w:rsid w:val="7BEE4B73"/>
    <w:rsid w:val="7BEE5B1E"/>
    <w:rsid w:val="7BEEA510"/>
    <w:rsid w:val="7BEF8B38"/>
    <w:rsid w:val="7BEFC240"/>
    <w:rsid w:val="7BEFC618"/>
    <w:rsid w:val="7BEFCA96"/>
    <w:rsid w:val="7BEFD332"/>
    <w:rsid w:val="7BEFD683"/>
    <w:rsid w:val="7BEFD77A"/>
    <w:rsid w:val="7BF1D39A"/>
    <w:rsid w:val="7BF53504"/>
    <w:rsid w:val="7BF611A6"/>
    <w:rsid w:val="7BF62684"/>
    <w:rsid w:val="7BF6707E"/>
    <w:rsid w:val="7BF74E33"/>
    <w:rsid w:val="7BF7661C"/>
    <w:rsid w:val="7BF97C28"/>
    <w:rsid w:val="7BFA7261"/>
    <w:rsid w:val="7BFBC0D5"/>
    <w:rsid w:val="7BFED161"/>
    <w:rsid w:val="7BFEEA12"/>
    <w:rsid w:val="7BFF21C9"/>
    <w:rsid w:val="7BFF4399"/>
    <w:rsid w:val="7BFF4C24"/>
    <w:rsid w:val="7BFF6418"/>
    <w:rsid w:val="7BFF647A"/>
    <w:rsid w:val="7BFF71EC"/>
    <w:rsid w:val="7BFF980E"/>
    <w:rsid w:val="7BFFA912"/>
    <w:rsid w:val="7BFFD412"/>
    <w:rsid w:val="7BFFD860"/>
    <w:rsid w:val="7BFFF951"/>
    <w:rsid w:val="7C3F1532"/>
    <w:rsid w:val="7C494CDC"/>
    <w:rsid w:val="7C52743D"/>
    <w:rsid w:val="7C6AFCA3"/>
    <w:rsid w:val="7C6BAA37"/>
    <w:rsid w:val="7C7B86D1"/>
    <w:rsid w:val="7C7D6131"/>
    <w:rsid w:val="7CAEAA0E"/>
    <w:rsid w:val="7CBCE698"/>
    <w:rsid w:val="7CBD0CF3"/>
    <w:rsid w:val="7CBE0E10"/>
    <w:rsid w:val="7CDFEA26"/>
    <w:rsid w:val="7CE34F51"/>
    <w:rsid w:val="7CEB82A1"/>
    <w:rsid w:val="7CEE3ABF"/>
    <w:rsid w:val="7CEEBAC4"/>
    <w:rsid w:val="7CEEBCCD"/>
    <w:rsid w:val="7CF86175"/>
    <w:rsid w:val="7CFCAF66"/>
    <w:rsid w:val="7CFDCEC4"/>
    <w:rsid w:val="7CFEFD9F"/>
    <w:rsid w:val="7D262C87"/>
    <w:rsid w:val="7D5B039B"/>
    <w:rsid w:val="7D5B44A8"/>
    <w:rsid w:val="7D5E0076"/>
    <w:rsid w:val="7D5EB10C"/>
    <w:rsid w:val="7D758107"/>
    <w:rsid w:val="7D7683EA"/>
    <w:rsid w:val="7D77858E"/>
    <w:rsid w:val="7D7922FC"/>
    <w:rsid w:val="7D7A5467"/>
    <w:rsid w:val="7D7B00E0"/>
    <w:rsid w:val="7D7E908B"/>
    <w:rsid w:val="7D7F1CBB"/>
    <w:rsid w:val="7D7FDBC6"/>
    <w:rsid w:val="7D7FF9DF"/>
    <w:rsid w:val="7D8E6B9B"/>
    <w:rsid w:val="7D9760E8"/>
    <w:rsid w:val="7D9DBE59"/>
    <w:rsid w:val="7DA8FD1B"/>
    <w:rsid w:val="7DAB0499"/>
    <w:rsid w:val="7DAF1681"/>
    <w:rsid w:val="7DB768A4"/>
    <w:rsid w:val="7DB79C0E"/>
    <w:rsid w:val="7DBD232A"/>
    <w:rsid w:val="7DBD3844"/>
    <w:rsid w:val="7DBD5D5F"/>
    <w:rsid w:val="7DBEA5D7"/>
    <w:rsid w:val="7DBEE538"/>
    <w:rsid w:val="7DBEEBB8"/>
    <w:rsid w:val="7DBF597E"/>
    <w:rsid w:val="7DBF768F"/>
    <w:rsid w:val="7DBF79FF"/>
    <w:rsid w:val="7DBF8B31"/>
    <w:rsid w:val="7DBFB4B0"/>
    <w:rsid w:val="7DC6D2E3"/>
    <w:rsid w:val="7DDF1DFC"/>
    <w:rsid w:val="7DDFEC07"/>
    <w:rsid w:val="7DE4474A"/>
    <w:rsid w:val="7DEF9C5C"/>
    <w:rsid w:val="7DF1D5BB"/>
    <w:rsid w:val="7DF21941"/>
    <w:rsid w:val="7DF33F6A"/>
    <w:rsid w:val="7DF53386"/>
    <w:rsid w:val="7DF6760F"/>
    <w:rsid w:val="7DFABD79"/>
    <w:rsid w:val="7DFB59A0"/>
    <w:rsid w:val="7DFD2510"/>
    <w:rsid w:val="7DFD4C45"/>
    <w:rsid w:val="7DFD73E4"/>
    <w:rsid w:val="7DFDC0B4"/>
    <w:rsid w:val="7DFEE87E"/>
    <w:rsid w:val="7DFF1C4E"/>
    <w:rsid w:val="7DFF2D3B"/>
    <w:rsid w:val="7DFF3705"/>
    <w:rsid w:val="7DFF4412"/>
    <w:rsid w:val="7DFF52D9"/>
    <w:rsid w:val="7DFF5A31"/>
    <w:rsid w:val="7DFF5A86"/>
    <w:rsid w:val="7DFF6176"/>
    <w:rsid w:val="7DFF8FF9"/>
    <w:rsid w:val="7DFFC6EF"/>
    <w:rsid w:val="7E3D4E1E"/>
    <w:rsid w:val="7E431354"/>
    <w:rsid w:val="7E577254"/>
    <w:rsid w:val="7E5E924B"/>
    <w:rsid w:val="7E5F6242"/>
    <w:rsid w:val="7E6D9595"/>
    <w:rsid w:val="7E6F7084"/>
    <w:rsid w:val="7E77DBF3"/>
    <w:rsid w:val="7E7CAE70"/>
    <w:rsid w:val="7E7EAD65"/>
    <w:rsid w:val="7E7F80CA"/>
    <w:rsid w:val="7E989FD5"/>
    <w:rsid w:val="7E9E116B"/>
    <w:rsid w:val="7E9F9AB4"/>
    <w:rsid w:val="7EAA43D4"/>
    <w:rsid w:val="7EAB5772"/>
    <w:rsid w:val="7EADBA5E"/>
    <w:rsid w:val="7EAF28AA"/>
    <w:rsid w:val="7EAF914F"/>
    <w:rsid w:val="7EB312ED"/>
    <w:rsid w:val="7EB8EE99"/>
    <w:rsid w:val="7EB9958E"/>
    <w:rsid w:val="7EBBC593"/>
    <w:rsid w:val="7EBD03D2"/>
    <w:rsid w:val="7EBF16FF"/>
    <w:rsid w:val="7EBF4102"/>
    <w:rsid w:val="7EBFAD7E"/>
    <w:rsid w:val="7EC72130"/>
    <w:rsid w:val="7ED71C83"/>
    <w:rsid w:val="7ED78EF5"/>
    <w:rsid w:val="7EDA04F7"/>
    <w:rsid w:val="7EDB4832"/>
    <w:rsid w:val="7EDBBF67"/>
    <w:rsid w:val="7EDE320A"/>
    <w:rsid w:val="7EDF33D0"/>
    <w:rsid w:val="7EDF7482"/>
    <w:rsid w:val="7EDF8442"/>
    <w:rsid w:val="7EDF8D78"/>
    <w:rsid w:val="7EE70164"/>
    <w:rsid w:val="7EE77D6E"/>
    <w:rsid w:val="7EEAC9B6"/>
    <w:rsid w:val="7EEC86A8"/>
    <w:rsid w:val="7EED9B7B"/>
    <w:rsid w:val="7EEE0151"/>
    <w:rsid w:val="7EEF6865"/>
    <w:rsid w:val="7EEFCC25"/>
    <w:rsid w:val="7EF3B3B0"/>
    <w:rsid w:val="7EF553D3"/>
    <w:rsid w:val="7EF5E8CF"/>
    <w:rsid w:val="7EF6F5D3"/>
    <w:rsid w:val="7EF7C874"/>
    <w:rsid w:val="7EF9264C"/>
    <w:rsid w:val="7EFA2EFB"/>
    <w:rsid w:val="7EFAFC70"/>
    <w:rsid w:val="7EFC35C6"/>
    <w:rsid w:val="7EFD056F"/>
    <w:rsid w:val="7EFD3D2B"/>
    <w:rsid w:val="7EFD745A"/>
    <w:rsid w:val="7EFE8AAB"/>
    <w:rsid w:val="7EFED98A"/>
    <w:rsid w:val="7EFEECBD"/>
    <w:rsid w:val="7EFF0869"/>
    <w:rsid w:val="7EFF3FD8"/>
    <w:rsid w:val="7EFF4901"/>
    <w:rsid w:val="7EFF6B7F"/>
    <w:rsid w:val="7EFF7F88"/>
    <w:rsid w:val="7EFFB559"/>
    <w:rsid w:val="7EFFC894"/>
    <w:rsid w:val="7F074E37"/>
    <w:rsid w:val="7F0E79BC"/>
    <w:rsid w:val="7F17B0A5"/>
    <w:rsid w:val="7F1A97FE"/>
    <w:rsid w:val="7F3716B5"/>
    <w:rsid w:val="7F3785AC"/>
    <w:rsid w:val="7F3B04C8"/>
    <w:rsid w:val="7F3B08AE"/>
    <w:rsid w:val="7F3B31C1"/>
    <w:rsid w:val="7F3BB4A7"/>
    <w:rsid w:val="7F3DA826"/>
    <w:rsid w:val="7F3EC84B"/>
    <w:rsid w:val="7F3FD065"/>
    <w:rsid w:val="7F4922CE"/>
    <w:rsid w:val="7F4DAFC1"/>
    <w:rsid w:val="7F552DFF"/>
    <w:rsid w:val="7F55B6BC"/>
    <w:rsid w:val="7F5B682A"/>
    <w:rsid w:val="7F5BB3EE"/>
    <w:rsid w:val="7F5D7C0C"/>
    <w:rsid w:val="7F5ECE4A"/>
    <w:rsid w:val="7F5F1F97"/>
    <w:rsid w:val="7F5F3BD8"/>
    <w:rsid w:val="7F5F4690"/>
    <w:rsid w:val="7F5F5356"/>
    <w:rsid w:val="7F672148"/>
    <w:rsid w:val="7F6BCDBA"/>
    <w:rsid w:val="7F6CA840"/>
    <w:rsid w:val="7F6ED286"/>
    <w:rsid w:val="7F6F049B"/>
    <w:rsid w:val="7F6FE1F3"/>
    <w:rsid w:val="7F7313D1"/>
    <w:rsid w:val="7F73E2A5"/>
    <w:rsid w:val="7F766C60"/>
    <w:rsid w:val="7F76D464"/>
    <w:rsid w:val="7F77515D"/>
    <w:rsid w:val="7F77DD47"/>
    <w:rsid w:val="7F77F386"/>
    <w:rsid w:val="7F7A8DA2"/>
    <w:rsid w:val="7F7B1449"/>
    <w:rsid w:val="7F7B1A46"/>
    <w:rsid w:val="7F7B7268"/>
    <w:rsid w:val="7F7D9D58"/>
    <w:rsid w:val="7F7DA04F"/>
    <w:rsid w:val="7F7E2B5F"/>
    <w:rsid w:val="7F7E6447"/>
    <w:rsid w:val="7F7E8F7C"/>
    <w:rsid w:val="7F7F26CE"/>
    <w:rsid w:val="7F7F2E5A"/>
    <w:rsid w:val="7F7F506E"/>
    <w:rsid w:val="7F7F50D5"/>
    <w:rsid w:val="7F7F822A"/>
    <w:rsid w:val="7F7FAC31"/>
    <w:rsid w:val="7F7FBB5E"/>
    <w:rsid w:val="7F7FFC57"/>
    <w:rsid w:val="7F8775CE"/>
    <w:rsid w:val="7F955A08"/>
    <w:rsid w:val="7F9699B8"/>
    <w:rsid w:val="7F9921CE"/>
    <w:rsid w:val="7F9D1C9B"/>
    <w:rsid w:val="7F9F4FF8"/>
    <w:rsid w:val="7F9F63A1"/>
    <w:rsid w:val="7F9F8484"/>
    <w:rsid w:val="7F9FBF34"/>
    <w:rsid w:val="7F9FD4AE"/>
    <w:rsid w:val="7FA50BA6"/>
    <w:rsid w:val="7FAAF790"/>
    <w:rsid w:val="7FAB7A72"/>
    <w:rsid w:val="7FAD02EB"/>
    <w:rsid w:val="7FAD6E9E"/>
    <w:rsid w:val="7FADBF77"/>
    <w:rsid w:val="7FADCADD"/>
    <w:rsid w:val="7FAE053E"/>
    <w:rsid w:val="7FAEB115"/>
    <w:rsid w:val="7FAEF21C"/>
    <w:rsid w:val="7FAEFA08"/>
    <w:rsid w:val="7FAF29D1"/>
    <w:rsid w:val="7FAF4A4E"/>
    <w:rsid w:val="7FAF6E8E"/>
    <w:rsid w:val="7FAFD289"/>
    <w:rsid w:val="7FB2EAB6"/>
    <w:rsid w:val="7FB565B1"/>
    <w:rsid w:val="7FB6F77D"/>
    <w:rsid w:val="7FB73421"/>
    <w:rsid w:val="7FB7C8FB"/>
    <w:rsid w:val="7FB97C15"/>
    <w:rsid w:val="7FBB313A"/>
    <w:rsid w:val="7FBB5759"/>
    <w:rsid w:val="7FBB5D13"/>
    <w:rsid w:val="7FBB844D"/>
    <w:rsid w:val="7FBD1059"/>
    <w:rsid w:val="7FBD1558"/>
    <w:rsid w:val="7FBD343F"/>
    <w:rsid w:val="7FBD3EB8"/>
    <w:rsid w:val="7FBE1852"/>
    <w:rsid w:val="7FBE462C"/>
    <w:rsid w:val="7FBF0B2F"/>
    <w:rsid w:val="7FBF4C9D"/>
    <w:rsid w:val="7FBF6C42"/>
    <w:rsid w:val="7FBF7B3F"/>
    <w:rsid w:val="7FBF9115"/>
    <w:rsid w:val="7FBFA4C2"/>
    <w:rsid w:val="7FBFBC8C"/>
    <w:rsid w:val="7FC29936"/>
    <w:rsid w:val="7FC74833"/>
    <w:rsid w:val="7FCB5003"/>
    <w:rsid w:val="7FCDE64F"/>
    <w:rsid w:val="7FCF06E3"/>
    <w:rsid w:val="7FCFE7AB"/>
    <w:rsid w:val="7FD35094"/>
    <w:rsid w:val="7FD743CA"/>
    <w:rsid w:val="7FD772FB"/>
    <w:rsid w:val="7FD7F8F3"/>
    <w:rsid w:val="7FD88467"/>
    <w:rsid w:val="7FD88C06"/>
    <w:rsid w:val="7FDA8CD5"/>
    <w:rsid w:val="7FDA9A12"/>
    <w:rsid w:val="7FDB3581"/>
    <w:rsid w:val="7FDD02DC"/>
    <w:rsid w:val="7FDD54BB"/>
    <w:rsid w:val="7FDE0870"/>
    <w:rsid w:val="7FDE846E"/>
    <w:rsid w:val="7FDEE9EB"/>
    <w:rsid w:val="7FDF134F"/>
    <w:rsid w:val="7FDF302D"/>
    <w:rsid w:val="7FDF6FB6"/>
    <w:rsid w:val="7FDF7114"/>
    <w:rsid w:val="7FDF7A72"/>
    <w:rsid w:val="7FDFA1B6"/>
    <w:rsid w:val="7FDFBC0A"/>
    <w:rsid w:val="7FE1F940"/>
    <w:rsid w:val="7FE367E4"/>
    <w:rsid w:val="7FE3E900"/>
    <w:rsid w:val="7FE52FFF"/>
    <w:rsid w:val="7FE5749C"/>
    <w:rsid w:val="7FE608C2"/>
    <w:rsid w:val="7FE77740"/>
    <w:rsid w:val="7FE8B78F"/>
    <w:rsid w:val="7FEA194A"/>
    <w:rsid w:val="7FEB2BD1"/>
    <w:rsid w:val="7FEB5DD5"/>
    <w:rsid w:val="7FEC056E"/>
    <w:rsid w:val="7FEC4515"/>
    <w:rsid w:val="7FEC556A"/>
    <w:rsid w:val="7FED1664"/>
    <w:rsid w:val="7FED5BEE"/>
    <w:rsid w:val="7FED7891"/>
    <w:rsid w:val="7FED82E1"/>
    <w:rsid w:val="7FEE7E24"/>
    <w:rsid w:val="7FEF03C3"/>
    <w:rsid w:val="7FEF288A"/>
    <w:rsid w:val="7FEF4CE9"/>
    <w:rsid w:val="7FEF539D"/>
    <w:rsid w:val="7FEF78F9"/>
    <w:rsid w:val="7FEF7A93"/>
    <w:rsid w:val="7FF12E04"/>
    <w:rsid w:val="7FF2C051"/>
    <w:rsid w:val="7FF2DBA5"/>
    <w:rsid w:val="7FF31B59"/>
    <w:rsid w:val="7FF4BB8D"/>
    <w:rsid w:val="7FF553CA"/>
    <w:rsid w:val="7FF5D9F5"/>
    <w:rsid w:val="7FF67AC6"/>
    <w:rsid w:val="7FF70810"/>
    <w:rsid w:val="7FF70B79"/>
    <w:rsid w:val="7FF738F2"/>
    <w:rsid w:val="7FF7BADA"/>
    <w:rsid w:val="7FF7DAA8"/>
    <w:rsid w:val="7FF7E522"/>
    <w:rsid w:val="7FF87255"/>
    <w:rsid w:val="7FF88A63"/>
    <w:rsid w:val="7FF8D00F"/>
    <w:rsid w:val="7FF91372"/>
    <w:rsid w:val="7FFA567D"/>
    <w:rsid w:val="7FFA8272"/>
    <w:rsid w:val="7FFAF490"/>
    <w:rsid w:val="7FFB1EA3"/>
    <w:rsid w:val="7FFB33C0"/>
    <w:rsid w:val="7FFB3CFE"/>
    <w:rsid w:val="7FFBA5D2"/>
    <w:rsid w:val="7FFBE266"/>
    <w:rsid w:val="7FFC66F9"/>
    <w:rsid w:val="7FFCC822"/>
    <w:rsid w:val="7FFCD1E2"/>
    <w:rsid w:val="7FFD12C9"/>
    <w:rsid w:val="7FFD1B91"/>
    <w:rsid w:val="7FFD2333"/>
    <w:rsid w:val="7FFD2D4D"/>
    <w:rsid w:val="7FFD75D8"/>
    <w:rsid w:val="7FFDA67E"/>
    <w:rsid w:val="7FFDBF19"/>
    <w:rsid w:val="7FFDC4E2"/>
    <w:rsid w:val="7FFE2576"/>
    <w:rsid w:val="7FFE274F"/>
    <w:rsid w:val="7FFE5722"/>
    <w:rsid w:val="7FFE91EB"/>
    <w:rsid w:val="7FFE99C0"/>
    <w:rsid w:val="7FFEA848"/>
    <w:rsid w:val="7FFEB7CF"/>
    <w:rsid w:val="7FFF02D0"/>
    <w:rsid w:val="7FFF143B"/>
    <w:rsid w:val="7FFF2065"/>
    <w:rsid w:val="7FFF2A98"/>
    <w:rsid w:val="7FFF3978"/>
    <w:rsid w:val="7FFF5B4B"/>
    <w:rsid w:val="7FFF6547"/>
    <w:rsid w:val="7FFF6C32"/>
    <w:rsid w:val="7FFF6CD8"/>
    <w:rsid w:val="7FFF70C0"/>
    <w:rsid w:val="7FFF7E60"/>
    <w:rsid w:val="7FFF8727"/>
    <w:rsid w:val="7FFF9140"/>
    <w:rsid w:val="7FFF9167"/>
    <w:rsid w:val="7FFF91FF"/>
    <w:rsid w:val="7FFF98F0"/>
    <w:rsid w:val="7FFFAA5A"/>
    <w:rsid w:val="7FFFC175"/>
    <w:rsid w:val="7FFFCECE"/>
    <w:rsid w:val="7FFFD9DB"/>
    <w:rsid w:val="7FFFDC06"/>
    <w:rsid w:val="7FFFDE92"/>
    <w:rsid w:val="7FFFF2AB"/>
    <w:rsid w:val="7FFFFC7B"/>
    <w:rsid w:val="81EADFB7"/>
    <w:rsid w:val="839F66F7"/>
    <w:rsid w:val="83FF03DA"/>
    <w:rsid w:val="8BEF75B7"/>
    <w:rsid w:val="8DABC709"/>
    <w:rsid w:val="8F76BD57"/>
    <w:rsid w:val="8FFD23BD"/>
    <w:rsid w:val="91C3E0C5"/>
    <w:rsid w:val="91EF04E2"/>
    <w:rsid w:val="91FB353D"/>
    <w:rsid w:val="932C0079"/>
    <w:rsid w:val="953F2D05"/>
    <w:rsid w:val="955771CB"/>
    <w:rsid w:val="95ACF0FA"/>
    <w:rsid w:val="967B7247"/>
    <w:rsid w:val="96CA034A"/>
    <w:rsid w:val="96DF2A62"/>
    <w:rsid w:val="96F7260B"/>
    <w:rsid w:val="96FEF5CD"/>
    <w:rsid w:val="978D6DBC"/>
    <w:rsid w:val="97BFCD5C"/>
    <w:rsid w:val="97CD84DD"/>
    <w:rsid w:val="97DDD2B9"/>
    <w:rsid w:val="97DFED70"/>
    <w:rsid w:val="97EB9FF2"/>
    <w:rsid w:val="97EF87C4"/>
    <w:rsid w:val="97FE8795"/>
    <w:rsid w:val="97FFA65B"/>
    <w:rsid w:val="98DF9362"/>
    <w:rsid w:val="99AF8DA6"/>
    <w:rsid w:val="99FD98B1"/>
    <w:rsid w:val="9AE68A8C"/>
    <w:rsid w:val="9AF626F3"/>
    <w:rsid w:val="9AFE74E0"/>
    <w:rsid w:val="9B394AC5"/>
    <w:rsid w:val="9BBF8546"/>
    <w:rsid w:val="9BFC14F5"/>
    <w:rsid w:val="9BFEC59C"/>
    <w:rsid w:val="9BFF2557"/>
    <w:rsid w:val="9BFF8A67"/>
    <w:rsid w:val="9C9EB183"/>
    <w:rsid w:val="9CBB4CF6"/>
    <w:rsid w:val="9CEF59C1"/>
    <w:rsid w:val="9D7B9E6B"/>
    <w:rsid w:val="9D7F5ECD"/>
    <w:rsid w:val="9DB7A480"/>
    <w:rsid w:val="9DE2DE5E"/>
    <w:rsid w:val="9DF1A3AE"/>
    <w:rsid w:val="9DFB4ABA"/>
    <w:rsid w:val="9DFCC31B"/>
    <w:rsid w:val="9DFDBA79"/>
    <w:rsid w:val="9DFDCA59"/>
    <w:rsid w:val="9E3526CF"/>
    <w:rsid w:val="9E7C9E05"/>
    <w:rsid w:val="9EBA423C"/>
    <w:rsid w:val="9EBC3E7D"/>
    <w:rsid w:val="9EEAF21D"/>
    <w:rsid w:val="9EF25EFF"/>
    <w:rsid w:val="9EFB1F0B"/>
    <w:rsid w:val="9EFE5733"/>
    <w:rsid w:val="9F1719F9"/>
    <w:rsid w:val="9F323089"/>
    <w:rsid w:val="9F47BC04"/>
    <w:rsid w:val="9F4F29AA"/>
    <w:rsid w:val="9F6D893D"/>
    <w:rsid w:val="9F7D6245"/>
    <w:rsid w:val="9F7F2EF4"/>
    <w:rsid w:val="9F7F45C6"/>
    <w:rsid w:val="9F7FB7F0"/>
    <w:rsid w:val="9F8FCE19"/>
    <w:rsid w:val="9F91EFD1"/>
    <w:rsid w:val="9FDBDF63"/>
    <w:rsid w:val="9FDD696E"/>
    <w:rsid w:val="9FDD92A5"/>
    <w:rsid w:val="9FDFD3BB"/>
    <w:rsid w:val="9FE59CA7"/>
    <w:rsid w:val="9FE919B5"/>
    <w:rsid w:val="9FED697D"/>
    <w:rsid w:val="9FEF0011"/>
    <w:rsid w:val="9FEF5962"/>
    <w:rsid w:val="9FEFAEBE"/>
    <w:rsid w:val="9FF5030A"/>
    <w:rsid w:val="9FF78448"/>
    <w:rsid w:val="9FFE7CD0"/>
    <w:rsid w:val="9FFEC9C3"/>
    <w:rsid w:val="9FFFECA4"/>
    <w:rsid w:val="A1DFEC27"/>
    <w:rsid w:val="A27DAC57"/>
    <w:rsid w:val="A3B758B4"/>
    <w:rsid w:val="A57D7319"/>
    <w:rsid w:val="A57FD0AA"/>
    <w:rsid w:val="A5D56CAF"/>
    <w:rsid w:val="A5DEF2D6"/>
    <w:rsid w:val="A5F7F7C4"/>
    <w:rsid w:val="A65F12DA"/>
    <w:rsid w:val="A67F5AA6"/>
    <w:rsid w:val="A67FD42F"/>
    <w:rsid w:val="A7792159"/>
    <w:rsid w:val="A79B4E9C"/>
    <w:rsid w:val="A7BE8F6D"/>
    <w:rsid w:val="A7D5E806"/>
    <w:rsid w:val="A7F7A7E6"/>
    <w:rsid w:val="A7FD6EF8"/>
    <w:rsid w:val="A9286499"/>
    <w:rsid w:val="A96FA7F5"/>
    <w:rsid w:val="A9963CC2"/>
    <w:rsid w:val="A99FBCB3"/>
    <w:rsid w:val="A9D7F5AC"/>
    <w:rsid w:val="AA1F8F4C"/>
    <w:rsid w:val="AA4EA6C7"/>
    <w:rsid w:val="AB7D54C9"/>
    <w:rsid w:val="ABEFA474"/>
    <w:rsid w:val="ABF98EEC"/>
    <w:rsid w:val="ABFFF8F3"/>
    <w:rsid w:val="AC9FE72C"/>
    <w:rsid w:val="ACBCA47E"/>
    <w:rsid w:val="ACED0254"/>
    <w:rsid w:val="ACFD0FC4"/>
    <w:rsid w:val="AD1EB472"/>
    <w:rsid w:val="AD7FA245"/>
    <w:rsid w:val="ADCF71A1"/>
    <w:rsid w:val="ADE722C4"/>
    <w:rsid w:val="ADEE0DA9"/>
    <w:rsid w:val="ADF7A1C6"/>
    <w:rsid w:val="ADFF15D2"/>
    <w:rsid w:val="AE3FED2B"/>
    <w:rsid w:val="AE7F39CF"/>
    <w:rsid w:val="AEEEE7DF"/>
    <w:rsid w:val="AEF642A3"/>
    <w:rsid w:val="AEFA0493"/>
    <w:rsid w:val="AF0938BA"/>
    <w:rsid w:val="AF377B78"/>
    <w:rsid w:val="AF52C214"/>
    <w:rsid w:val="AF5CFEB2"/>
    <w:rsid w:val="AF5F204B"/>
    <w:rsid w:val="AF6D1CEA"/>
    <w:rsid w:val="AF7A377A"/>
    <w:rsid w:val="AF7E2E8D"/>
    <w:rsid w:val="AFBFCE1E"/>
    <w:rsid w:val="AFC773D5"/>
    <w:rsid w:val="AFCD3B8B"/>
    <w:rsid w:val="AFD6B641"/>
    <w:rsid w:val="AFDD1422"/>
    <w:rsid w:val="AFDF895B"/>
    <w:rsid w:val="AFDFC71E"/>
    <w:rsid w:val="AFECAD14"/>
    <w:rsid w:val="AFF425F5"/>
    <w:rsid w:val="AFFEBA04"/>
    <w:rsid w:val="AFFF72A2"/>
    <w:rsid w:val="B17B87D2"/>
    <w:rsid w:val="B19F1419"/>
    <w:rsid w:val="B1B3E101"/>
    <w:rsid w:val="B1FED5A7"/>
    <w:rsid w:val="B2B52DC0"/>
    <w:rsid w:val="B31796C1"/>
    <w:rsid w:val="B33FA2D5"/>
    <w:rsid w:val="B39FD555"/>
    <w:rsid w:val="B3EF6EA7"/>
    <w:rsid w:val="B3F7EDB8"/>
    <w:rsid w:val="B3FFF815"/>
    <w:rsid w:val="B436120E"/>
    <w:rsid w:val="B439C6D0"/>
    <w:rsid w:val="B4DF57A0"/>
    <w:rsid w:val="B4F6DFBF"/>
    <w:rsid w:val="B57F784D"/>
    <w:rsid w:val="B5974AEF"/>
    <w:rsid w:val="B5986ECD"/>
    <w:rsid w:val="B5B7C0A3"/>
    <w:rsid w:val="B5BBD2E2"/>
    <w:rsid w:val="B5DE62D2"/>
    <w:rsid w:val="B5E31B20"/>
    <w:rsid w:val="B5F77311"/>
    <w:rsid w:val="B5FF3F25"/>
    <w:rsid w:val="B62BDCDB"/>
    <w:rsid w:val="B6B7AA36"/>
    <w:rsid w:val="B6DF7625"/>
    <w:rsid w:val="B6EF292D"/>
    <w:rsid w:val="B6F3DE52"/>
    <w:rsid w:val="B7138F66"/>
    <w:rsid w:val="B73EFCE9"/>
    <w:rsid w:val="B7510118"/>
    <w:rsid w:val="B7777416"/>
    <w:rsid w:val="B77F56F7"/>
    <w:rsid w:val="B7AB3EFE"/>
    <w:rsid w:val="B7AF74F4"/>
    <w:rsid w:val="B7CF9E98"/>
    <w:rsid w:val="B7D67BDC"/>
    <w:rsid w:val="B7D7D349"/>
    <w:rsid w:val="B7DF191A"/>
    <w:rsid w:val="B7EFFBEF"/>
    <w:rsid w:val="B7F3003A"/>
    <w:rsid w:val="B7F7F9DE"/>
    <w:rsid w:val="B7FB33AD"/>
    <w:rsid w:val="B7FB3F8B"/>
    <w:rsid w:val="B7FB8A5A"/>
    <w:rsid w:val="B7FBAE6B"/>
    <w:rsid w:val="B7FE3055"/>
    <w:rsid w:val="B7FF4446"/>
    <w:rsid w:val="B85F45BB"/>
    <w:rsid w:val="B8FD59B7"/>
    <w:rsid w:val="B93AC8A3"/>
    <w:rsid w:val="B93B682F"/>
    <w:rsid w:val="B9674CFA"/>
    <w:rsid w:val="B9F2C85C"/>
    <w:rsid w:val="B9FF040F"/>
    <w:rsid w:val="BA331C9D"/>
    <w:rsid w:val="BA3EB0C9"/>
    <w:rsid w:val="BA49B847"/>
    <w:rsid w:val="BA6FD52F"/>
    <w:rsid w:val="BA75C98B"/>
    <w:rsid w:val="BA768E94"/>
    <w:rsid w:val="BAABA295"/>
    <w:rsid w:val="BAB363D5"/>
    <w:rsid w:val="BABEE6FA"/>
    <w:rsid w:val="BAF18669"/>
    <w:rsid w:val="BAFD5B6D"/>
    <w:rsid w:val="BAFF3ACB"/>
    <w:rsid w:val="BAFF5CB0"/>
    <w:rsid w:val="BB3F1B82"/>
    <w:rsid w:val="BB5E2676"/>
    <w:rsid w:val="BB5FE2AA"/>
    <w:rsid w:val="BB7F56AB"/>
    <w:rsid w:val="BBBDB86F"/>
    <w:rsid w:val="BBC72A1D"/>
    <w:rsid w:val="BBCE4F3E"/>
    <w:rsid w:val="BBD55AE8"/>
    <w:rsid w:val="BBDB8CB9"/>
    <w:rsid w:val="BBE3B402"/>
    <w:rsid w:val="BBEB2098"/>
    <w:rsid w:val="BBF35553"/>
    <w:rsid w:val="BBF73D27"/>
    <w:rsid w:val="BBF750CD"/>
    <w:rsid w:val="BBF95CA5"/>
    <w:rsid w:val="BBF99989"/>
    <w:rsid w:val="BBF9DAE0"/>
    <w:rsid w:val="BBFB2D88"/>
    <w:rsid w:val="BBFB8F4E"/>
    <w:rsid w:val="BBFD6CCE"/>
    <w:rsid w:val="BBFE2F0B"/>
    <w:rsid w:val="BBFE3FF9"/>
    <w:rsid w:val="BBFF1168"/>
    <w:rsid w:val="BBFF8124"/>
    <w:rsid w:val="BBFF84B9"/>
    <w:rsid w:val="BC37D0C1"/>
    <w:rsid w:val="BCBDB3C3"/>
    <w:rsid w:val="BCBDFECE"/>
    <w:rsid w:val="BCED215E"/>
    <w:rsid w:val="BCF9AE6A"/>
    <w:rsid w:val="BCFFF27F"/>
    <w:rsid w:val="BD2D8781"/>
    <w:rsid w:val="BD39D846"/>
    <w:rsid w:val="BD3D34DB"/>
    <w:rsid w:val="BD3E82F9"/>
    <w:rsid w:val="BD765FB3"/>
    <w:rsid w:val="BD7750DC"/>
    <w:rsid w:val="BD7AFB2E"/>
    <w:rsid w:val="BD7D8A13"/>
    <w:rsid w:val="BD7EDAA5"/>
    <w:rsid w:val="BD7FF4B8"/>
    <w:rsid w:val="BD8B12B8"/>
    <w:rsid w:val="BD9F546C"/>
    <w:rsid w:val="BDA7E2D3"/>
    <w:rsid w:val="BDAEF593"/>
    <w:rsid w:val="BDBD72A6"/>
    <w:rsid w:val="BDBDDA91"/>
    <w:rsid w:val="BDBECA42"/>
    <w:rsid w:val="BDBF5078"/>
    <w:rsid w:val="BDBF6306"/>
    <w:rsid w:val="BDDA6D2F"/>
    <w:rsid w:val="BDDF249C"/>
    <w:rsid w:val="BDEFA1B9"/>
    <w:rsid w:val="BDEFAA61"/>
    <w:rsid w:val="BDEFB9F6"/>
    <w:rsid w:val="BDFB03B3"/>
    <w:rsid w:val="BDFEDC14"/>
    <w:rsid w:val="BDFF8AC1"/>
    <w:rsid w:val="BE1718F0"/>
    <w:rsid w:val="BE1F8425"/>
    <w:rsid w:val="BE7A01D0"/>
    <w:rsid w:val="BE7BB005"/>
    <w:rsid w:val="BE7DCE6F"/>
    <w:rsid w:val="BE7E1B47"/>
    <w:rsid w:val="BE7F461B"/>
    <w:rsid w:val="BE9A1FB0"/>
    <w:rsid w:val="BE9FEF7A"/>
    <w:rsid w:val="BEAC5915"/>
    <w:rsid w:val="BEAE16B5"/>
    <w:rsid w:val="BEAF7A61"/>
    <w:rsid w:val="BEAFF28C"/>
    <w:rsid w:val="BEB769CA"/>
    <w:rsid w:val="BEC9D426"/>
    <w:rsid w:val="BED679A2"/>
    <w:rsid w:val="BED9A530"/>
    <w:rsid w:val="BEDD1341"/>
    <w:rsid w:val="BEDEB818"/>
    <w:rsid w:val="BEDF4F25"/>
    <w:rsid w:val="BEE93104"/>
    <w:rsid w:val="BEF3D0CD"/>
    <w:rsid w:val="BEF72B86"/>
    <w:rsid w:val="BEFF4BC7"/>
    <w:rsid w:val="BEFF8482"/>
    <w:rsid w:val="BF1FBA79"/>
    <w:rsid w:val="BF2B3809"/>
    <w:rsid w:val="BF37F93D"/>
    <w:rsid w:val="BF3B2DC1"/>
    <w:rsid w:val="BF5DF9B1"/>
    <w:rsid w:val="BF63129A"/>
    <w:rsid w:val="BF675849"/>
    <w:rsid w:val="BF7792C2"/>
    <w:rsid w:val="BF7B7B95"/>
    <w:rsid w:val="BF7F0D4E"/>
    <w:rsid w:val="BF7FF414"/>
    <w:rsid w:val="BF851FEE"/>
    <w:rsid w:val="BF9CECC8"/>
    <w:rsid w:val="BF9D1796"/>
    <w:rsid w:val="BF9F79AC"/>
    <w:rsid w:val="BFAED83E"/>
    <w:rsid w:val="BFB5D42C"/>
    <w:rsid w:val="BFB7E19A"/>
    <w:rsid w:val="BFBD0454"/>
    <w:rsid w:val="BFBE5073"/>
    <w:rsid w:val="BFBF2C1C"/>
    <w:rsid w:val="BFBF4B9A"/>
    <w:rsid w:val="BFBF681B"/>
    <w:rsid w:val="BFBF86AB"/>
    <w:rsid w:val="BFBFCE16"/>
    <w:rsid w:val="BFC6BA32"/>
    <w:rsid w:val="BFCEB09B"/>
    <w:rsid w:val="BFD72A51"/>
    <w:rsid w:val="BFD74380"/>
    <w:rsid w:val="BFD7DDB4"/>
    <w:rsid w:val="BFDBA8DB"/>
    <w:rsid w:val="BFDE3D4C"/>
    <w:rsid w:val="BFDE6932"/>
    <w:rsid w:val="BFE0A5EA"/>
    <w:rsid w:val="BFE3D339"/>
    <w:rsid w:val="BFE3F217"/>
    <w:rsid w:val="BFE4E6F6"/>
    <w:rsid w:val="BFE5F8EE"/>
    <w:rsid w:val="BFE9C344"/>
    <w:rsid w:val="BFEAF7C8"/>
    <w:rsid w:val="BFEB2DD8"/>
    <w:rsid w:val="BFED3E24"/>
    <w:rsid w:val="BFEF5DC0"/>
    <w:rsid w:val="BFEFA468"/>
    <w:rsid w:val="BFF51C29"/>
    <w:rsid w:val="BFF57475"/>
    <w:rsid w:val="BFF6F67C"/>
    <w:rsid w:val="BFF78861"/>
    <w:rsid w:val="BFF83A8C"/>
    <w:rsid w:val="BFF90FB4"/>
    <w:rsid w:val="BFFB20D0"/>
    <w:rsid w:val="BFFB7CC7"/>
    <w:rsid w:val="BFFCADE4"/>
    <w:rsid w:val="BFFD34C4"/>
    <w:rsid w:val="BFFE38D4"/>
    <w:rsid w:val="BFFF4960"/>
    <w:rsid w:val="BFFF72A0"/>
    <w:rsid w:val="BFFF8D96"/>
    <w:rsid w:val="BFFF9294"/>
    <w:rsid w:val="BFFFA430"/>
    <w:rsid w:val="BFFFB8A1"/>
    <w:rsid w:val="BFFFDEF0"/>
    <w:rsid w:val="BFFFEAE8"/>
    <w:rsid w:val="C26BE932"/>
    <w:rsid w:val="C2FF5654"/>
    <w:rsid w:val="C3EF77B4"/>
    <w:rsid w:val="C3FBA075"/>
    <w:rsid w:val="C4E60419"/>
    <w:rsid w:val="C57FADE5"/>
    <w:rsid w:val="C5F9740C"/>
    <w:rsid w:val="C6B5188E"/>
    <w:rsid w:val="C75FA3B6"/>
    <w:rsid w:val="C76CD279"/>
    <w:rsid w:val="C7CDD6FF"/>
    <w:rsid w:val="C7E331ED"/>
    <w:rsid w:val="C7E51161"/>
    <w:rsid w:val="C7E76A95"/>
    <w:rsid w:val="C7F86CDE"/>
    <w:rsid w:val="C7FCEF5E"/>
    <w:rsid w:val="C7FD97C2"/>
    <w:rsid w:val="C7FEBEFC"/>
    <w:rsid w:val="C7FFF28E"/>
    <w:rsid w:val="C8B3C7C5"/>
    <w:rsid w:val="C8EEEDFD"/>
    <w:rsid w:val="C9CC5982"/>
    <w:rsid w:val="C9FDD6E9"/>
    <w:rsid w:val="CB9A3B18"/>
    <w:rsid w:val="CBA894C1"/>
    <w:rsid w:val="CBBB9AAA"/>
    <w:rsid w:val="CBCF1D4C"/>
    <w:rsid w:val="CBD36C8A"/>
    <w:rsid w:val="CBDB6BB9"/>
    <w:rsid w:val="CBF7C02C"/>
    <w:rsid w:val="CBFDB5A5"/>
    <w:rsid w:val="CC7C9B13"/>
    <w:rsid w:val="CCA57CA6"/>
    <w:rsid w:val="CCBFD58D"/>
    <w:rsid w:val="CCE78233"/>
    <w:rsid w:val="CCF65756"/>
    <w:rsid w:val="CCF7E7B0"/>
    <w:rsid w:val="CD4C6AEF"/>
    <w:rsid w:val="CD5B556C"/>
    <w:rsid w:val="CD6FF012"/>
    <w:rsid w:val="CDA5D61C"/>
    <w:rsid w:val="CDDE6F17"/>
    <w:rsid w:val="CDDF74A8"/>
    <w:rsid w:val="CDFF6D28"/>
    <w:rsid w:val="CDFFE9D7"/>
    <w:rsid w:val="CE2A4EBC"/>
    <w:rsid w:val="CE73042E"/>
    <w:rsid w:val="CE7DFAAB"/>
    <w:rsid w:val="CEBE48EA"/>
    <w:rsid w:val="CEBFC430"/>
    <w:rsid w:val="CECE9574"/>
    <w:rsid w:val="CEEB7F50"/>
    <w:rsid w:val="CEFB117E"/>
    <w:rsid w:val="CEFE0344"/>
    <w:rsid w:val="CF4EF144"/>
    <w:rsid w:val="CF5BDEF1"/>
    <w:rsid w:val="CF6F5216"/>
    <w:rsid w:val="CF7732CE"/>
    <w:rsid w:val="CF7A08FF"/>
    <w:rsid w:val="CF7B5A65"/>
    <w:rsid w:val="CF7D5258"/>
    <w:rsid w:val="CF7EBAD4"/>
    <w:rsid w:val="CF7F4F6D"/>
    <w:rsid w:val="CF7F7BAF"/>
    <w:rsid w:val="CF7F841A"/>
    <w:rsid w:val="CF7FCBE8"/>
    <w:rsid w:val="CF85F964"/>
    <w:rsid w:val="CFA99AED"/>
    <w:rsid w:val="CFB3D43B"/>
    <w:rsid w:val="CFB6A90E"/>
    <w:rsid w:val="CFBD80D2"/>
    <w:rsid w:val="CFBF4FFB"/>
    <w:rsid w:val="CFBFAC48"/>
    <w:rsid w:val="CFCF202D"/>
    <w:rsid w:val="CFD762EB"/>
    <w:rsid w:val="CFD8D70E"/>
    <w:rsid w:val="CFDA72F1"/>
    <w:rsid w:val="CFDF7ECB"/>
    <w:rsid w:val="CFDFC816"/>
    <w:rsid w:val="CFE2C11C"/>
    <w:rsid w:val="CFED71B5"/>
    <w:rsid w:val="CFF21502"/>
    <w:rsid w:val="CFF350C2"/>
    <w:rsid w:val="CFF51E1B"/>
    <w:rsid w:val="CFF578D7"/>
    <w:rsid w:val="CFF7B84F"/>
    <w:rsid w:val="CFFAF1C6"/>
    <w:rsid w:val="CFFB7D3B"/>
    <w:rsid w:val="CFFB9DAE"/>
    <w:rsid w:val="CFFD2734"/>
    <w:rsid w:val="CFFDCEF5"/>
    <w:rsid w:val="CFFF31EA"/>
    <w:rsid w:val="CFFFE1DE"/>
    <w:rsid w:val="D14FD3D6"/>
    <w:rsid w:val="D26F86BE"/>
    <w:rsid w:val="D2B787F9"/>
    <w:rsid w:val="D2DE894B"/>
    <w:rsid w:val="D30F8818"/>
    <w:rsid w:val="D3BB7BBC"/>
    <w:rsid w:val="D3D0CE76"/>
    <w:rsid w:val="D3DD2826"/>
    <w:rsid w:val="D3FD37FC"/>
    <w:rsid w:val="D3FF3A38"/>
    <w:rsid w:val="D47EFC59"/>
    <w:rsid w:val="D47F4AFA"/>
    <w:rsid w:val="D4CDE1FE"/>
    <w:rsid w:val="D4ED81FB"/>
    <w:rsid w:val="D54F47A4"/>
    <w:rsid w:val="D5751974"/>
    <w:rsid w:val="D57CCA4C"/>
    <w:rsid w:val="D57F0CB5"/>
    <w:rsid w:val="D5C7406A"/>
    <w:rsid w:val="D5CFD20F"/>
    <w:rsid w:val="D5DFF2AD"/>
    <w:rsid w:val="D5F72B68"/>
    <w:rsid w:val="D5F7BB44"/>
    <w:rsid w:val="D5FA2DE5"/>
    <w:rsid w:val="D5FFF4AC"/>
    <w:rsid w:val="D66FAEB0"/>
    <w:rsid w:val="D69A2E8F"/>
    <w:rsid w:val="D6B0039B"/>
    <w:rsid w:val="D6BFF05D"/>
    <w:rsid w:val="D6E36745"/>
    <w:rsid w:val="D6F1068F"/>
    <w:rsid w:val="D6F2B383"/>
    <w:rsid w:val="D6F5914B"/>
    <w:rsid w:val="D6F7132F"/>
    <w:rsid w:val="D6FABFA0"/>
    <w:rsid w:val="D6FF6CBD"/>
    <w:rsid w:val="D6FF9C19"/>
    <w:rsid w:val="D75FDE18"/>
    <w:rsid w:val="D76D4D23"/>
    <w:rsid w:val="D76F7DB8"/>
    <w:rsid w:val="D777CB59"/>
    <w:rsid w:val="D77E855A"/>
    <w:rsid w:val="D77F673E"/>
    <w:rsid w:val="D79F53D2"/>
    <w:rsid w:val="D7B71E51"/>
    <w:rsid w:val="D7CD0082"/>
    <w:rsid w:val="D7D43528"/>
    <w:rsid w:val="D7E95B32"/>
    <w:rsid w:val="D7EB2D88"/>
    <w:rsid w:val="D7EF2844"/>
    <w:rsid w:val="D7EF5003"/>
    <w:rsid w:val="D7F12D13"/>
    <w:rsid w:val="D7F32BAE"/>
    <w:rsid w:val="D7F61121"/>
    <w:rsid w:val="D7F69CEF"/>
    <w:rsid w:val="D7F787EC"/>
    <w:rsid w:val="D7F890F3"/>
    <w:rsid w:val="D7F94245"/>
    <w:rsid w:val="D7FA63F1"/>
    <w:rsid w:val="D7FC7C12"/>
    <w:rsid w:val="D7FF28E5"/>
    <w:rsid w:val="D8DFA632"/>
    <w:rsid w:val="D8F5F693"/>
    <w:rsid w:val="D8F70B3B"/>
    <w:rsid w:val="D8FE8095"/>
    <w:rsid w:val="D93B88C6"/>
    <w:rsid w:val="D95E1E80"/>
    <w:rsid w:val="D96E8BAD"/>
    <w:rsid w:val="D97B8347"/>
    <w:rsid w:val="D97BFCE8"/>
    <w:rsid w:val="D9B6DF13"/>
    <w:rsid w:val="D9BFBE8A"/>
    <w:rsid w:val="D9BFE160"/>
    <w:rsid w:val="D9EE8E1A"/>
    <w:rsid w:val="D9FD2DA4"/>
    <w:rsid w:val="DABFBC69"/>
    <w:rsid w:val="DAFBC069"/>
    <w:rsid w:val="DAFEF0F8"/>
    <w:rsid w:val="DAFFE61F"/>
    <w:rsid w:val="DB1EDDF0"/>
    <w:rsid w:val="DB317391"/>
    <w:rsid w:val="DB366D30"/>
    <w:rsid w:val="DB3B2402"/>
    <w:rsid w:val="DB3D2FAC"/>
    <w:rsid w:val="DB5F38F0"/>
    <w:rsid w:val="DB5FBA1E"/>
    <w:rsid w:val="DB7F6E4E"/>
    <w:rsid w:val="DB9DD02F"/>
    <w:rsid w:val="DB9E0CE4"/>
    <w:rsid w:val="DB9E9A3F"/>
    <w:rsid w:val="DBBFCF42"/>
    <w:rsid w:val="DBCFED58"/>
    <w:rsid w:val="DBDBE374"/>
    <w:rsid w:val="DBE510E2"/>
    <w:rsid w:val="DBE84887"/>
    <w:rsid w:val="DBED1AF5"/>
    <w:rsid w:val="DBEF70F4"/>
    <w:rsid w:val="DBF6A699"/>
    <w:rsid w:val="DBF9C7E4"/>
    <w:rsid w:val="DBFA6DAE"/>
    <w:rsid w:val="DBFB5259"/>
    <w:rsid w:val="DBFD13A0"/>
    <w:rsid w:val="DBFE3B47"/>
    <w:rsid w:val="DBFE5C6A"/>
    <w:rsid w:val="DBFF2E41"/>
    <w:rsid w:val="DBFF509D"/>
    <w:rsid w:val="DBFFCB1B"/>
    <w:rsid w:val="DC7508EC"/>
    <w:rsid w:val="DC7AF771"/>
    <w:rsid w:val="DC7D798C"/>
    <w:rsid w:val="DCBE29C1"/>
    <w:rsid w:val="DCFB9D12"/>
    <w:rsid w:val="DCFF6730"/>
    <w:rsid w:val="DD1F6904"/>
    <w:rsid w:val="DD3783BD"/>
    <w:rsid w:val="DD5F9D29"/>
    <w:rsid w:val="DD67363C"/>
    <w:rsid w:val="DD6B290C"/>
    <w:rsid w:val="DD77F5F3"/>
    <w:rsid w:val="DD7B0F0C"/>
    <w:rsid w:val="DD7DF582"/>
    <w:rsid w:val="DD7F7C62"/>
    <w:rsid w:val="DD7F882E"/>
    <w:rsid w:val="DD7FC714"/>
    <w:rsid w:val="DDB694A9"/>
    <w:rsid w:val="DDB7D81D"/>
    <w:rsid w:val="DDDAE2F3"/>
    <w:rsid w:val="DDEF3F84"/>
    <w:rsid w:val="DDF64783"/>
    <w:rsid w:val="DDFE1647"/>
    <w:rsid w:val="DDFF3DD0"/>
    <w:rsid w:val="DDFFAD28"/>
    <w:rsid w:val="DE1E3BEC"/>
    <w:rsid w:val="DE3EC8ED"/>
    <w:rsid w:val="DE3F6854"/>
    <w:rsid w:val="DE5E6285"/>
    <w:rsid w:val="DE6501D8"/>
    <w:rsid w:val="DE670171"/>
    <w:rsid w:val="DE77DAAC"/>
    <w:rsid w:val="DE7AAFDC"/>
    <w:rsid w:val="DE7BAAEA"/>
    <w:rsid w:val="DE7F1D25"/>
    <w:rsid w:val="DE7F9EBC"/>
    <w:rsid w:val="DE7FF451"/>
    <w:rsid w:val="DE9A5424"/>
    <w:rsid w:val="DEB64376"/>
    <w:rsid w:val="DEBEB79B"/>
    <w:rsid w:val="DEC55739"/>
    <w:rsid w:val="DECFB4B8"/>
    <w:rsid w:val="DEDB31B5"/>
    <w:rsid w:val="DEDD492B"/>
    <w:rsid w:val="DEDE35BD"/>
    <w:rsid w:val="DEE77B38"/>
    <w:rsid w:val="DEEB776C"/>
    <w:rsid w:val="DEEC0645"/>
    <w:rsid w:val="DEEE0BAD"/>
    <w:rsid w:val="DEEE5B18"/>
    <w:rsid w:val="DEF6F14C"/>
    <w:rsid w:val="DEF7F64C"/>
    <w:rsid w:val="DEF8C7C2"/>
    <w:rsid w:val="DEFA6460"/>
    <w:rsid w:val="DEFB7B2A"/>
    <w:rsid w:val="DEFC6A57"/>
    <w:rsid w:val="DEFD5457"/>
    <w:rsid w:val="DEFF2482"/>
    <w:rsid w:val="DEFF3361"/>
    <w:rsid w:val="DF18F594"/>
    <w:rsid w:val="DF1F157B"/>
    <w:rsid w:val="DF1F2CCB"/>
    <w:rsid w:val="DF1F89DB"/>
    <w:rsid w:val="DF256785"/>
    <w:rsid w:val="DF2DEFA0"/>
    <w:rsid w:val="DF3D2CB1"/>
    <w:rsid w:val="DF4FAF28"/>
    <w:rsid w:val="DF5DBCC4"/>
    <w:rsid w:val="DF6AD761"/>
    <w:rsid w:val="DF6B82BC"/>
    <w:rsid w:val="DF6F4874"/>
    <w:rsid w:val="DF6F7F0D"/>
    <w:rsid w:val="DF6FC58D"/>
    <w:rsid w:val="DF7E33F3"/>
    <w:rsid w:val="DF7ECEAD"/>
    <w:rsid w:val="DF87A4B1"/>
    <w:rsid w:val="DF97050E"/>
    <w:rsid w:val="DF9D1957"/>
    <w:rsid w:val="DFAFA0C6"/>
    <w:rsid w:val="DFAFF86D"/>
    <w:rsid w:val="DFB7F371"/>
    <w:rsid w:val="DFBA67FF"/>
    <w:rsid w:val="DFBDE0B9"/>
    <w:rsid w:val="DFBEDAD9"/>
    <w:rsid w:val="DFBF359A"/>
    <w:rsid w:val="DFBFABD8"/>
    <w:rsid w:val="DFBFAFBD"/>
    <w:rsid w:val="DFBFD897"/>
    <w:rsid w:val="DFC92B69"/>
    <w:rsid w:val="DFCF35A7"/>
    <w:rsid w:val="DFCFBB8B"/>
    <w:rsid w:val="DFCFEBE2"/>
    <w:rsid w:val="DFDB131A"/>
    <w:rsid w:val="DFDB2A35"/>
    <w:rsid w:val="DFDD06C8"/>
    <w:rsid w:val="DFDF0572"/>
    <w:rsid w:val="DFDF0BB4"/>
    <w:rsid w:val="DFDF2B9F"/>
    <w:rsid w:val="DFDF55D2"/>
    <w:rsid w:val="DFEA3EBE"/>
    <w:rsid w:val="DFEB65D6"/>
    <w:rsid w:val="DFED49A3"/>
    <w:rsid w:val="DFEF0DEE"/>
    <w:rsid w:val="DFF7188C"/>
    <w:rsid w:val="DFF726AB"/>
    <w:rsid w:val="DFF73988"/>
    <w:rsid w:val="DFF79D7C"/>
    <w:rsid w:val="DFF7F75C"/>
    <w:rsid w:val="DFF9496D"/>
    <w:rsid w:val="DFFB3884"/>
    <w:rsid w:val="DFFB4C28"/>
    <w:rsid w:val="DFFB5C08"/>
    <w:rsid w:val="DFFB8CDB"/>
    <w:rsid w:val="DFFBE16F"/>
    <w:rsid w:val="DFFD399A"/>
    <w:rsid w:val="DFFDA7D6"/>
    <w:rsid w:val="DFFE60CB"/>
    <w:rsid w:val="DFFF2815"/>
    <w:rsid w:val="DFFF6A29"/>
    <w:rsid w:val="DFFF6BEF"/>
    <w:rsid w:val="DFFF83CE"/>
    <w:rsid w:val="DFFFBD66"/>
    <w:rsid w:val="E07FB4C4"/>
    <w:rsid w:val="E16FD821"/>
    <w:rsid w:val="E1B3B54D"/>
    <w:rsid w:val="E1F2AECA"/>
    <w:rsid w:val="E1F78DAB"/>
    <w:rsid w:val="E1FF823E"/>
    <w:rsid w:val="E2AF4A27"/>
    <w:rsid w:val="E2BBC9A5"/>
    <w:rsid w:val="E308097C"/>
    <w:rsid w:val="E36D9F72"/>
    <w:rsid w:val="E3751EA6"/>
    <w:rsid w:val="E37FDE97"/>
    <w:rsid w:val="E3CECCD3"/>
    <w:rsid w:val="E3EFBC0C"/>
    <w:rsid w:val="E3F602B1"/>
    <w:rsid w:val="E3FAD1DD"/>
    <w:rsid w:val="E3FF06D9"/>
    <w:rsid w:val="E3FFE7E9"/>
    <w:rsid w:val="E47FD3B8"/>
    <w:rsid w:val="E49E5FD9"/>
    <w:rsid w:val="E4BFE098"/>
    <w:rsid w:val="E4F7F543"/>
    <w:rsid w:val="E4FE5C22"/>
    <w:rsid w:val="E5BED016"/>
    <w:rsid w:val="E5D3020F"/>
    <w:rsid w:val="E5DAC4F1"/>
    <w:rsid w:val="E5DB01FB"/>
    <w:rsid w:val="E5DE0F32"/>
    <w:rsid w:val="E5DF1F25"/>
    <w:rsid w:val="E5DF28B5"/>
    <w:rsid w:val="E5FB9ABD"/>
    <w:rsid w:val="E6578B33"/>
    <w:rsid w:val="E65E5696"/>
    <w:rsid w:val="E677BC56"/>
    <w:rsid w:val="E67FB108"/>
    <w:rsid w:val="E6BF1A85"/>
    <w:rsid w:val="E6EF0753"/>
    <w:rsid w:val="E6F9FFBB"/>
    <w:rsid w:val="E6FD6D93"/>
    <w:rsid w:val="E6FF4449"/>
    <w:rsid w:val="E6FF7AF0"/>
    <w:rsid w:val="E6FFAAA6"/>
    <w:rsid w:val="E72EAE0C"/>
    <w:rsid w:val="E7656FDD"/>
    <w:rsid w:val="E77339BF"/>
    <w:rsid w:val="E777AA7D"/>
    <w:rsid w:val="E77ED5EC"/>
    <w:rsid w:val="E77F5DDC"/>
    <w:rsid w:val="E78679DA"/>
    <w:rsid w:val="E7955799"/>
    <w:rsid w:val="E7B824A2"/>
    <w:rsid w:val="E7BFB32E"/>
    <w:rsid w:val="E7C68777"/>
    <w:rsid w:val="E7DD7FAB"/>
    <w:rsid w:val="E7F23CD2"/>
    <w:rsid w:val="E7F5F013"/>
    <w:rsid w:val="E7F728A0"/>
    <w:rsid w:val="E7FB28B0"/>
    <w:rsid w:val="E7FB6EBB"/>
    <w:rsid w:val="E7FDA126"/>
    <w:rsid w:val="E7FE76F3"/>
    <w:rsid w:val="E7FF0720"/>
    <w:rsid w:val="E7FF20FC"/>
    <w:rsid w:val="E7FF5103"/>
    <w:rsid w:val="E7FF8190"/>
    <w:rsid w:val="E83BFAB3"/>
    <w:rsid w:val="E87E9496"/>
    <w:rsid w:val="E8EAFD42"/>
    <w:rsid w:val="E92E3D17"/>
    <w:rsid w:val="E94FE019"/>
    <w:rsid w:val="E97F4819"/>
    <w:rsid w:val="E9F76D94"/>
    <w:rsid w:val="E9FF1B82"/>
    <w:rsid w:val="EA6F2A2A"/>
    <w:rsid w:val="EA6F7453"/>
    <w:rsid w:val="EA9FC3FC"/>
    <w:rsid w:val="EABF84FE"/>
    <w:rsid w:val="EADF78C6"/>
    <w:rsid w:val="EAFB71DC"/>
    <w:rsid w:val="EB3BE4CB"/>
    <w:rsid w:val="EB3EE9C1"/>
    <w:rsid w:val="EB5BE76F"/>
    <w:rsid w:val="EB7FAB76"/>
    <w:rsid w:val="EB7FEA31"/>
    <w:rsid w:val="EBAB660A"/>
    <w:rsid w:val="EBAEEE06"/>
    <w:rsid w:val="EBBF46FA"/>
    <w:rsid w:val="EBCEB0C8"/>
    <w:rsid w:val="EBDA98D9"/>
    <w:rsid w:val="EBDE50F8"/>
    <w:rsid w:val="EBDFD58D"/>
    <w:rsid w:val="EBEFE0CD"/>
    <w:rsid w:val="EBF7990C"/>
    <w:rsid w:val="EBFACE07"/>
    <w:rsid w:val="EBFB332C"/>
    <w:rsid w:val="EBFB44B3"/>
    <w:rsid w:val="EBFBBCEB"/>
    <w:rsid w:val="EBFCEC4E"/>
    <w:rsid w:val="EBFD423C"/>
    <w:rsid w:val="EBFDD2F5"/>
    <w:rsid w:val="EBFF25B8"/>
    <w:rsid w:val="ECBE911F"/>
    <w:rsid w:val="ECBF8DA9"/>
    <w:rsid w:val="ECDC8FCB"/>
    <w:rsid w:val="ECE1923B"/>
    <w:rsid w:val="ECE6474B"/>
    <w:rsid w:val="ECFB1FE8"/>
    <w:rsid w:val="ECFB5635"/>
    <w:rsid w:val="ECFE8DD1"/>
    <w:rsid w:val="ECFF45C4"/>
    <w:rsid w:val="ED5FE224"/>
    <w:rsid w:val="ED67DF70"/>
    <w:rsid w:val="ED77B8D0"/>
    <w:rsid w:val="ED7B8658"/>
    <w:rsid w:val="ED7F1F35"/>
    <w:rsid w:val="ED9F0463"/>
    <w:rsid w:val="EDB578FD"/>
    <w:rsid w:val="EDBD2D89"/>
    <w:rsid w:val="EDBD4480"/>
    <w:rsid w:val="EDCF9EC2"/>
    <w:rsid w:val="EDDB908B"/>
    <w:rsid w:val="EDDBDE4A"/>
    <w:rsid w:val="EDECA54E"/>
    <w:rsid w:val="EDF3A576"/>
    <w:rsid w:val="EDF78A81"/>
    <w:rsid w:val="EDFBD75D"/>
    <w:rsid w:val="EDFCAD81"/>
    <w:rsid w:val="EDFDFB31"/>
    <w:rsid w:val="EDFE5FE1"/>
    <w:rsid w:val="EDFEA0F5"/>
    <w:rsid w:val="EE47877F"/>
    <w:rsid w:val="EE56B062"/>
    <w:rsid w:val="EE63A84E"/>
    <w:rsid w:val="EE77DB96"/>
    <w:rsid w:val="EE7FA892"/>
    <w:rsid w:val="EE97F3EA"/>
    <w:rsid w:val="EE9A99AB"/>
    <w:rsid w:val="EE9FD568"/>
    <w:rsid w:val="EEAFF9DA"/>
    <w:rsid w:val="EEB738B9"/>
    <w:rsid w:val="EEB96854"/>
    <w:rsid w:val="EECEA822"/>
    <w:rsid w:val="EECFB463"/>
    <w:rsid w:val="EECFC9D8"/>
    <w:rsid w:val="EED29A9F"/>
    <w:rsid w:val="EEDFAF1C"/>
    <w:rsid w:val="EEE38A36"/>
    <w:rsid w:val="EEEABAAA"/>
    <w:rsid w:val="EEEE7E03"/>
    <w:rsid w:val="EEF209AC"/>
    <w:rsid w:val="EEF72735"/>
    <w:rsid w:val="EEFAA7A9"/>
    <w:rsid w:val="EEFD2260"/>
    <w:rsid w:val="EEFD7B6F"/>
    <w:rsid w:val="EEFFBEDD"/>
    <w:rsid w:val="EF3F8EF8"/>
    <w:rsid w:val="EF47932F"/>
    <w:rsid w:val="EF4A7804"/>
    <w:rsid w:val="EF5AD5AC"/>
    <w:rsid w:val="EF5BDE39"/>
    <w:rsid w:val="EF5F1098"/>
    <w:rsid w:val="EF5F542D"/>
    <w:rsid w:val="EF5FFD73"/>
    <w:rsid w:val="EF6AC1C1"/>
    <w:rsid w:val="EF6F55B9"/>
    <w:rsid w:val="EF74BB97"/>
    <w:rsid w:val="EF753C9E"/>
    <w:rsid w:val="EF76E3E1"/>
    <w:rsid w:val="EF77AD5B"/>
    <w:rsid w:val="EF7E89B6"/>
    <w:rsid w:val="EF7F8B7F"/>
    <w:rsid w:val="EF7FB8C2"/>
    <w:rsid w:val="EF9C44DD"/>
    <w:rsid w:val="EF9E1D37"/>
    <w:rsid w:val="EFA169E4"/>
    <w:rsid w:val="EFAD69B9"/>
    <w:rsid w:val="EFAFDA0B"/>
    <w:rsid w:val="EFB3522C"/>
    <w:rsid w:val="EFB75F44"/>
    <w:rsid w:val="EFB7D053"/>
    <w:rsid w:val="EFB88612"/>
    <w:rsid w:val="EFBA2C21"/>
    <w:rsid w:val="EFBA6135"/>
    <w:rsid w:val="EFBB20C7"/>
    <w:rsid w:val="EFBF2EB5"/>
    <w:rsid w:val="EFBF5B7D"/>
    <w:rsid w:val="EFBF717D"/>
    <w:rsid w:val="EFCF067E"/>
    <w:rsid w:val="EFCF2B2A"/>
    <w:rsid w:val="EFCF3E0A"/>
    <w:rsid w:val="EFD714BA"/>
    <w:rsid w:val="EFD9C661"/>
    <w:rsid w:val="EFDDDDE1"/>
    <w:rsid w:val="EFDE54BF"/>
    <w:rsid w:val="EFDF6CF1"/>
    <w:rsid w:val="EFDFE936"/>
    <w:rsid w:val="EFE1CF54"/>
    <w:rsid w:val="EFE37423"/>
    <w:rsid w:val="EFE66A24"/>
    <w:rsid w:val="EFEBD3BA"/>
    <w:rsid w:val="EFED8AE3"/>
    <w:rsid w:val="EFEDCAC2"/>
    <w:rsid w:val="EFEE2D93"/>
    <w:rsid w:val="EFEE368E"/>
    <w:rsid w:val="EFEECC30"/>
    <w:rsid w:val="EFEF6B71"/>
    <w:rsid w:val="EFEFEFF1"/>
    <w:rsid w:val="EFF1CAC9"/>
    <w:rsid w:val="EFF3C9EE"/>
    <w:rsid w:val="EFF4BB77"/>
    <w:rsid w:val="EFF7AF98"/>
    <w:rsid w:val="EFF9875D"/>
    <w:rsid w:val="EFF98E52"/>
    <w:rsid w:val="EFF9A303"/>
    <w:rsid w:val="EFF9ABFD"/>
    <w:rsid w:val="EFFB8519"/>
    <w:rsid w:val="EFFD35B9"/>
    <w:rsid w:val="EFFD946C"/>
    <w:rsid w:val="EFFDD531"/>
    <w:rsid w:val="EFFE67A6"/>
    <w:rsid w:val="EFFEF849"/>
    <w:rsid w:val="EFFF3099"/>
    <w:rsid w:val="EFFF3D99"/>
    <w:rsid w:val="EFFF4A3F"/>
    <w:rsid w:val="EFFFC05F"/>
    <w:rsid w:val="EFFFCA59"/>
    <w:rsid w:val="F019357D"/>
    <w:rsid w:val="F0BB8CF5"/>
    <w:rsid w:val="F0DFB9DD"/>
    <w:rsid w:val="F0FC0AA8"/>
    <w:rsid w:val="F0FF10CF"/>
    <w:rsid w:val="F0FF76CB"/>
    <w:rsid w:val="F1B7E2C5"/>
    <w:rsid w:val="F1C75D55"/>
    <w:rsid w:val="F1D5046E"/>
    <w:rsid w:val="F1D6BA68"/>
    <w:rsid w:val="F1DDE02A"/>
    <w:rsid w:val="F1ECAE5B"/>
    <w:rsid w:val="F1F3175C"/>
    <w:rsid w:val="F1F3955E"/>
    <w:rsid w:val="F1FE9A5A"/>
    <w:rsid w:val="F24DC659"/>
    <w:rsid w:val="F2CBDA73"/>
    <w:rsid w:val="F2DB4E8F"/>
    <w:rsid w:val="F2EFD3EB"/>
    <w:rsid w:val="F2FF50C1"/>
    <w:rsid w:val="F2FFD823"/>
    <w:rsid w:val="F2FFF94C"/>
    <w:rsid w:val="F366109A"/>
    <w:rsid w:val="F3754EFA"/>
    <w:rsid w:val="F377C7B5"/>
    <w:rsid w:val="F37F00D2"/>
    <w:rsid w:val="F39FAB4C"/>
    <w:rsid w:val="F3A38036"/>
    <w:rsid w:val="F3D57C55"/>
    <w:rsid w:val="F3EC234B"/>
    <w:rsid w:val="F3F5416E"/>
    <w:rsid w:val="F3FF0929"/>
    <w:rsid w:val="F3FF30DB"/>
    <w:rsid w:val="F3FF3130"/>
    <w:rsid w:val="F3FFAF14"/>
    <w:rsid w:val="F3FFF4B4"/>
    <w:rsid w:val="F43D102C"/>
    <w:rsid w:val="F465291A"/>
    <w:rsid w:val="F4762B34"/>
    <w:rsid w:val="F49D62C9"/>
    <w:rsid w:val="F4ABEE12"/>
    <w:rsid w:val="F4BA4544"/>
    <w:rsid w:val="F4DF02D5"/>
    <w:rsid w:val="F4E5004C"/>
    <w:rsid w:val="F4EAA085"/>
    <w:rsid w:val="F4F9B199"/>
    <w:rsid w:val="F4FB8CA0"/>
    <w:rsid w:val="F4FBC40C"/>
    <w:rsid w:val="F4FDD6F1"/>
    <w:rsid w:val="F5291104"/>
    <w:rsid w:val="F55F1EB7"/>
    <w:rsid w:val="F569FFE1"/>
    <w:rsid w:val="F56F9CBA"/>
    <w:rsid w:val="F577698B"/>
    <w:rsid w:val="F57F18BD"/>
    <w:rsid w:val="F57FDE78"/>
    <w:rsid w:val="F584DC56"/>
    <w:rsid w:val="F59B41BD"/>
    <w:rsid w:val="F59F8B33"/>
    <w:rsid w:val="F59FAB22"/>
    <w:rsid w:val="F5A1FFDA"/>
    <w:rsid w:val="F5AD3765"/>
    <w:rsid w:val="F5B3811B"/>
    <w:rsid w:val="F5BE00B9"/>
    <w:rsid w:val="F5CF26F7"/>
    <w:rsid w:val="F5D79FD6"/>
    <w:rsid w:val="F5DED00C"/>
    <w:rsid w:val="F5E702B4"/>
    <w:rsid w:val="F5EFA77B"/>
    <w:rsid w:val="F5F10A10"/>
    <w:rsid w:val="F5F55CC9"/>
    <w:rsid w:val="F5F688BB"/>
    <w:rsid w:val="F5F78063"/>
    <w:rsid w:val="F5FBEAB9"/>
    <w:rsid w:val="F5FF086B"/>
    <w:rsid w:val="F5FF4D71"/>
    <w:rsid w:val="F5FF60B1"/>
    <w:rsid w:val="F5FF7A36"/>
    <w:rsid w:val="F5FFD934"/>
    <w:rsid w:val="F653654E"/>
    <w:rsid w:val="F656BDDB"/>
    <w:rsid w:val="F65F8E2A"/>
    <w:rsid w:val="F67DAE5D"/>
    <w:rsid w:val="F67F6248"/>
    <w:rsid w:val="F67FABAE"/>
    <w:rsid w:val="F67FFAB2"/>
    <w:rsid w:val="F68F7A5F"/>
    <w:rsid w:val="F6AD9D7E"/>
    <w:rsid w:val="F6AEFFEA"/>
    <w:rsid w:val="F6BF0FEE"/>
    <w:rsid w:val="F6C7D4E7"/>
    <w:rsid w:val="F6D2ACFA"/>
    <w:rsid w:val="F6DB5FD3"/>
    <w:rsid w:val="F6DFAC1E"/>
    <w:rsid w:val="F6EBA690"/>
    <w:rsid w:val="F6FA1C19"/>
    <w:rsid w:val="F6FB1C37"/>
    <w:rsid w:val="F6FF19D4"/>
    <w:rsid w:val="F6FF60C6"/>
    <w:rsid w:val="F73979B1"/>
    <w:rsid w:val="F73E7C0A"/>
    <w:rsid w:val="F75F53BD"/>
    <w:rsid w:val="F767E0AC"/>
    <w:rsid w:val="F7690E5F"/>
    <w:rsid w:val="F76BB1AD"/>
    <w:rsid w:val="F76CC395"/>
    <w:rsid w:val="F76D846C"/>
    <w:rsid w:val="F76E4A88"/>
    <w:rsid w:val="F7733FD0"/>
    <w:rsid w:val="F7794826"/>
    <w:rsid w:val="F77A27EF"/>
    <w:rsid w:val="F77BFBD1"/>
    <w:rsid w:val="F77E6130"/>
    <w:rsid w:val="F77EDC68"/>
    <w:rsid w:val="F77F0A08"/>
    <w:rsid w:val="F77FD41E"/>
    <w:rsid w:val="F77FF0F2"/>
    <w:rsid w:val="F78DA860"/>
    <w:rsid w:val="F78E7D92"/>
    <w:rsid w:val="F78FE62F"/>
    <w:rsid w:val="F79BDECC"/>
    <w:rsid w:val="F7AEC7E6"/>
    <w:rsid w:val="F7AF8857"/>
    <w:rsid w:val="F7B54AF5"/>
    <w:rsid w:val="F7B762B0"/>
    <w:rsid w:val="F7B7B45E"/>
    <w:rsid w:val="F7BA5372"/>
    <w:rsid w:val="F7BD1732"/>
    <w:rsid w:val="F7BDC37A"/>
    <w:rsid w:val="F7BF13C7"/>
    <w:rsid w:val="F7BF480F"/>
    <w:rsid w:val="F7CFE8F8"/>
    <w:rsid w:val="F7D5065B"/>
    <w:rsid w:val="F7D75368"/>
    <w:rsid w:val="F7DBE4EF"/>
    <w:rsid w:val="F7DEA121"/>
    <w:rsid w:val="F7DF9C1C"/>
    <w:rsid w:val="F7DFD6F8"/>
    <w:rsid w:val="F7EB9006"/>
    <w:rsid w:val="F7EBC839"/>
    <w:rsid w:val="F7EC5197"/>
    <w:rsid w:val="F7EDECA2"/>
    <w:rsid w:val="F7EFADAF"/>
    <w:rsid w:val="F7F6DB28"/>
    <w:rsid w:val="F7F72066"/>
    <w:rsid w:val="F7F77D04"/>
    <w:rsid w:val="F7FA08FB"/>
    <w:rsid w:val="F7FB4C1A"/>
    <w:rsid w:val="F7FB91F1"/>
    <w:rsid w:val="F7FBE02B"/>
    <w:rsid w:val="F7FBE8F0"/>
    <w:rsid w:val="F7FD4A61"/>
    <w:rsid w:val="F7FDA158"/>
    <w:rsid w:val="F7FE00E4"/>
    <w:rsid w:val="F7FE336B"/>
    <w:rsid w:val="F7FEA4B1"/>
    <w:rsid w:val="F7FF478C"/>
    <w:rsid w:val="F7FF59EE"/>
    <w:rsid w:val="F7FF5D24"/>
    <w:rsid w:val="F7FF99B9"/>
    <w:rsid w:val="F7FFA9B4"/>
    <w:rsid w:val="F7FFE409"/>
    <w:rsid w:val="F83D86C8"/>
    <w:rsid w:val="F867E55D"/>
    <w:rsid w:val="F87F9FF9"/>
    <w:rsid w:val="F88F340F"/>
    <w:rsid w:val="F8BE9365"/>
    <w:rsid w:val="F8FBDE79"/>
    <w:rsid w:val="F8FFE8A3"/>
    <w:rsid w:val="F92FDF2C"/>
    <w:rsid w:val="F939FEE1"/>
    <w:rsid w:val="F93F8C9A"/>
    <w:rsid w:val="F96570C6"/>
    <w:rsid w:val="F97E90AA"/>
    <w:rsid w:val="F9DF60D6"/>
    <w:rsid w:val="F9DFBC15"/>
    <w:rsid w:val="F9E53FCD"/>
    <w:rsid w:val="F9EF86F7"/>
    <w:rsid w:val="F9F6B6FC"/>
    <w:rsid w:val="F9F71114"/>
    <w:rsid w:val="F9F790F2"/>
    <w:rsid w:val="F9FBAFC3"/>
    <w:rsid w:val="F9FCCB92"/>
    <w:rsid w:val="F9FF46BA"/>
    <w:rsid w:val="F9FF595C"/>
    <w:rsid w:val="FA4E3474"/>
    <w:rsid w:val="FA537F34"/>
    <w:rsid w:val="FA6E9C7F"/>
    <w:rsid w:val="FA6F15C2"/>
    <w:rsid w:val="FA7A342C"/>
    <w:rsid w:val="FA7ABDFC"/>
    <w:rsid w:val="FA7D7C9F"/>
    <w:rsid w:val="FA7F5A30"/>
    <w:rsid w:val="FA932E08"/>
    <w:rsid w:val="FA9B6AB6"/>
    <w:rsid w:val="FA9D623A"/>
    <w:rsid w:val="FAAA1EFB"/>
    <w:rsid w:val="FABAEEBB"/>
    <w:rsid w:val="FABBD39F"/>
    <w:rsid w:val="FABF242B"/>
    <w:rsid w:val="FABF3190"/>
    <w:rsid w:val="FABF5F05"/>
    <w:rsid w:val="FADE152D"/>
    <w:rsid w:val="FADE1622"/>
    <w:rsid w:val="FADFE6B0"/>
    <w:rsid w:val="FAE55EFA"/>
    <w:rsid w:val="FAEB9BB0"/>
    <w:rsid w:val="FAEBE355"/>
    <w:rsid w:val="FAEF4194"/>
    <w:rsid w:val="FAEF4516"/>
    <w:rsid w:val="FAF7BA01"/>
    <w:rsid w:val="FAFE1FEE"/>
    <w:rsid w:val="FAFF01E5"/>
    <w:rsid w:val="FAFF215C"/>
    <w:rsid w:val="FAFF3DD3"/>
    <w:rsid w:val="FB1FA67D"/>
    <w:rsid w:val="FB2F8287"/>
    <w:rsid w:val="FB3DE59D"/>
    <w:rsid w:val="FB470F0C"/>
    <w:rsid w:val="FB474D94"/>
    <w:rsid w:val="FB4D9073"/>
    <w:rsid w:val="FB54535E"/>
    <w:rsid w:val="FB5F8C23"/>
    <w:rsid w:val="FB67BC2A"/>
    <w:rsid w:val="FB6B892B"/>
    <w:rsid w:val="FB6EA59A"/>
    <w:rsid w:val="FB6FFB08"/>
    <w:rsid w:val="FB6FFCC4"/>
    <w:rsid w:val="FB73D5E1"/>
    <w:rsid w:val="FB771120"/>
    <w:rsid w:val="FB779B43"/>
    <w:rsid w:val="FB7B9886"/>
    <w:rsid w:val="FB7C607F"/>
    <w:rsid w:val="FB7CBEDD"/>
    <w:rsid w:val="FB7E1FE7"/>
    <w:rsid w:val="FB7F31B2"/>
    <w:rsid w:val="FB7FF99C"/>
    <w:rsid w:val="FB975205"/>
    <w:rsid w:val="FB97F6B5"/>
    <w:rsid w:val="FBA7A14A"/>
    <w:rsid w:val="FBA7C93D"/>
    <w:rsid w:val="FBB515B7"/>
    <w:rsid w:val="FBBF35E3"/>
    <w:rsid w:val="FBBF795A"/>
    <w:rsid w:val="FBC5E236"/>
    <w:rsid w:val="FBCEE951"/>
    <w:rsid w:val="FBD0C8FC"/>
    <w:rsid w:val="FBD33319"/>
    <w:rsid w:val="FBD36DEB"/>
    <w:rsid w:val="FBDB8A7D"/>
    <w:rsid w:val="FBDD1D5C"/>
    <w:rsid w:val="FBDE7320"/>
    <w:rsid w:val="FBDF3F7F"/>
    <w:rsid w:val="FBDF578C"/>
    <w:rsid w:val="FBDFB4AB"/>
    <w:rsid w:val="FBDFB964"/>
    <w:rsid w:val="FBE62696"/>
    <w:rsid w:val="FBE71E0E"/>
    <w:rsid w:val="FBE76940"/>
    <w:rsid w:val="FBE8837F"/>
    <w:rsid w:val="FBEA9578"/>
    <w:rsid w:val="FBEBABDD"/>
    <w:rsid w:val="FBED0A35"/>
    <w:rsid w:val="FBEF54DC"/>
    <w:rsid w:val="FBEFF770"/>
    <w:rsid w:val="FBF5C861"/>
    <w:rsid w:val="FBF6E903"/>
    <w:rsid w:val="FBF734D5"/>
    <w:rsid w:val="FBF7D408"/>
    <w:rsid w:val="FBFA4A62"/>
    <w:rsid w:val="FBFB0B79"/>
    <w:rsid w:val="FBFB1973"/>
    <w:rsid w:val="FBFBCEBB"/>
    <w:rsid w:val="FBFBDDDE"/>
    <w:rsid w:val="FBFD710D"/>
    <w:rsid w:val="FBFDAFC3"/>
    <w:rsid w:val="FBFDC6AB"/>
    <w:rsid w:val="FBFE02B9"/>
    <w:rsid w:val="FBFE460F"/>
    <w:rsid w:val="FBFF01A1"/>
    <w:rsid w:val="FBFF02B1"/>
    <w:rsid w:val="FBFF1235"/>
    <w:rsid w:val="FBFF3DB8"/>
    <w:rsid w:val="FBFF4716"/>
    <w:rsid w:val="FBFF517A"/>
    <w:rsid w:val="FBFF7476"/>
    <w:rsid w:val="FBFF7ADF"/>
    <w:rsid w:val="FBFFA78C"/>
    <w:rsid w:val="FBFFDB3E"/>
    <w:rsid w:val="FBFFDFD9"/>
    <w:rsid w:val="FBFFEA86"/>
    <w:rsid w:val="FC36D757"/>
    <w:rsid w:val="FC3FC21A"/>
    <w:rsid w:val="FC3FD506"/>
    <w:rsid w:val="FC5F16F7"/>
    <w:rsid w:val="FC6BEE9E"/>
    <w:rsid w:val="FC6CBD00"/>
    <w:rsid w:val="FC9BE6BD"/>
    <w:rsid w:val="FC9DB1C4"/>
    <w:rsid w:val="FCA9BA1C"/>
    <w:rsid w:val="FCB50A48"/>
    <w:rsid w:val="FCCF63C8"/>
    <w:rsid w:val="FCDDB795"/>
    <w:rsid w:val="FCEBA211"/>
    <w:rsid w:val="FCF721D2"/>
    <w:rsid w:val="FCF91459"/>
    <w:rsid w:val="FCFA9B55"/>
    <w:rsid w:val="FCFCAC2E"/>
    <w:rsid w:val="FCFD222F"/>
    <w:rsid w:val="FCFE054F"/>
    <w:rsid w:val="FCFF350E"/>
    <w:rsid w:val="FCFF3CDF"/>
    <w:rsid w:val="FCFF4FFD"/>
    <w:rsid w:val="FCFF9912"/>
    <w:rsid w:val="FD2F8261"/>
    <w:rsid w:val="FD3BB9A9"/>
    <w:rsid w:val="FD3D04CD"/>
    <w:rsid w:val="FD3D64DE"/>
    <w:rsid w:val="FD3EBDC9"/>
    <w:rsid w:val="FD3F2B5E"/>
    <w:rsid w:val="FD3F8CE9"/>
    <w:rsid w:val="FD3FB832"/>
    <w:rsid w:val="FD5FC2D8"/>
    <w:rsid w:val="FD5FF5B1"/>
    <w:rsid w:val="FD670B0C"/>
    <w:rsid w:val="FD670D62"/>
    <w:rsid w:val="FD68554F"/>
    <w:rsid w:val="FD724E86"/>
    <w:rsid w:val="FD7CB723"/>
    <w:rsid w:val="FD7D0FCD"/>
    <w:rsid w:val="FD7E66A9"/>
    <w:rsid w:val="FD7F28AC"/>
    <w:rsid w:val="FD7F689D"/>
    <w:rsid w:val="FD7FA549"/>
    <w:rsid w:val="FD87F30C"/>
    <w:rsid w:val="FD95E870"/>
    <w:rsid w:val="FD9F2E31"/>
    <w:rsid w:val="FDA741A0"/>
    <w:rsid w:val="FDA741E7"/>
    <w:rsid w:val="FDAD4638"/>
    <w:rsid w:val="FDAD9B64"/>
    <w:rsid w:val="FDB7CDBC"/>
    <w:rsid w:val="FDBF2302"/>
    <w:rsid w:val="FDBF5405"/>
    <w:rsid w:val="FDBF733B"/>
    <w:rsid w:val="FDBF84D4"/>
    <w:rsid w:val="FDC8EB10"/>
    <w:rsid w:val="FDD3DF63"/>
    <w:rsid w:val="FDD7566A"/>
    <w:rsid w:val="FDDDAE0D"/>
    <w:rsid w:val="FDDE6D5A"/>
    <w:rsid w:val="FDDFC95E"/>
    <w:rsid w:val="FDE652A3"/>
    <w:rsid w:val="FDE71809"/>
    <w:rsid w:val="FDE76855"/>
    <w:rsid w:val="FDEA3732"/>
    <w:rsid w:val="FDEB694C"/>
    <w:rsid w:val="FDEB7AB9"/>
    <w:rsid w:val="FDEBBEFE"/>
    <w:rsid w:val="FDED4ACE"/>
    <w:rsid w:val="FDED562E"/>
    <w:rsid w:val="FDEED31F"/>
    <w:rsid w:val="FDEF0E49"/>
    <w:rsid w:val="FDEF2066"/>
    <w:rsid w:val="FDEF9603"/>
    <w:rsid w:val="FDF5A0C6"/>
    <w:rsid w:val="FDF81C1B"/>
    <w:rsid w:val="FDF9B531"/>
    <w:rsid w:val="FDF9EB41"/>
    <w:rsid w:val="FDFB1528"/>
    <w:rsid w:val="FDFB179C"/>
    <w:rsid w:val="FDFB4204"/>
    <w:rsid w:val="FDFB7038"/>
    <w:rsid w:val="FDFBF895"/>
    <w:rsid w:val="FDFC2566"/>
    <w:rsid w:val="FDFD85A4"/>
    <w:rsid w:val="FDFE4AC8"/>
    <w:rsid w:val="FDFE773C"/>
    <w:rsid w:val="FDFEB6F0"/>
    <w:rsid w:val="FDFF105A"/>
    <w:rsid w:val="FDFF6BB3"/>
    <w:rsid w:val="FDFF7A07"/>
    <w:rsid w:val="FDFFC008"/>
    <w:rsid w:val="FE2BDB9C"/>
    <w:rsid w:val="FE33186D"/>
    <w:rsid w:val="FE357E85"/>
    <w:rsid w:val="FE3C6C8C"/>
    <w:rsid w:val="FE3ECA6E"/>
    <w:rsid w:val="FE5EBE38"/>
    <w:rsid w:val="FE5F0583"/>
    <w:rsid w:val="FE5F3943"/>
    <w:rsid w:val="FE6B5FC4"/>
    <w:rsid w:val="FE7DFE98"/>
    <w:rsid w:val="FE7F2E58"/>
    <w:rsid w:val="FE7FE7C6"/>
    <w:rsid w:val="FE942E2C"/>
    <w:rsid w:val="FE99E30D"/>
    <w:rsid w:val="FE9FA9FC"/>
    <w:rsid w:val="FEA312C6"/>
    <w:rsid w:val="FEAD73F8"/>
    <w:rsid w:val="FEAD8FC0"/>
    <w:rsid w:val="FEB105D5"/>
    <w:rsid w:val="FEB9C56A"/>
    <w:rsid w:val="FEBB799F"/>
    <w:rsid w:val="FEBB98E2"/>
    <w:rsid w:val="FEBC7E3F"/>
    <w:rsid w:val="FEBD72AE"/>
    <w:rsid w:val="FEBDD92C"/>
    <w:rsid w:val="FEBF0DA0"/>
    <w:rsid w:val="FEBF5902"/>
    <w:rsid w:val="FEBF757D"/>
    <w:rsid w:val="FEBFA234"/>
    <w:rsid w:val="FEC2CC69"/>
    <w:rsid w:val="FEC7BE97"/>
    <w:rsid w:val="FEC9BFAA"/>
    <w:rsid w:val="FECA73DD"/>
    <w:rsid w:val="FECD6539"/>
    <w:rsid w:val="FECFC1F3"/>
    <w:rsid w:val="FED208C5"/>
    <w:rsid w:val="FED63C44"/>
    <w:rsid w:val="FEDBA863"/>
    <w:rsid w:val="FEDDB5AE"/>
    <w:rsid w:val="FEDF118E"/>
    <w:rsid w:val="FEDF433F"/>
    <w:rsid w:val="FEDF93B2"/>
    <w:rsid w:val="FEDF94C7"/>
    <w:rsid w:val="FEE598FD"/>
    <w:rsid w:val="FEE6A8B8"/>
    <w:rsid w:val="FEE769F3"/>
    <w:rsid w:val="FEE893C0"/>
    <w:rsid w:val="FEE93C4A"/>
    <w:rsid w:val="FEEB2A2F"/>
    <w:rsid w:val="FEEBA6E0"/>
    <w:rsid w:val="FEEBB5D7"/>
    <w:rsid w:val="FEED0628"/>
    <w:rsid w:val="FEEF2932"/>
    <w:rsid w:val="FEEFC6CB"/>
    <w:rsid w:val="FEF212E5"/>
    <w:rsid w:val="FEF341B3"/>
    <w:rsid w:val="FEF36AAA"/>
    <w:rsid w:val="FEF57A67"/>
    <w:rsid w:val="FEF5DC9B"/>
    <w:rsid w:val="FEF6202E"/>
    <w:rsid w:val="FEF737E6"/>
    <w:rsid w:val="FEF75416"/>
    <w:rsid w:val="FEF796C6"/>
    <w:rsid w:val="FEF7BC0E"/>
    <w:rsid w:val="FEF7E2C4"/>
    <w:rsid w:val="FEFB9FC2"/>
    <w:rsid w:val="FEFBF245"/>
    <w:rsid w:val="FEFC744A"/>
    <w:rsid w:val="FEFD5769"/>
    <w:rsid w:val="FEFD691C"/>
    <w:rsid w:val="FEFDD237"/>
    <w:rsid w:val="FEFEA1CE"/>
    <w:rsid w:val="FEFF148B"/>
    <w:rsid w:val="FEFF17CD"/>
    <w:rsid w:val="FEFF34CA"/>
    <w:rsid w:val="FEFF7AD7"/>
    <w:rsid w:val="FEFF91DC"/>
    <w:rsid w:val="FEFF9A7D"/>
    <w:rsid w:val="FEFF9EC5"/>
    <w:rsid w:val="FEFFBBE7"/>
    <w:rsid w:val="FEFFBD26"/>
    <w:rsid w:val="FEFFD60C"/>
    <w:rsid w:val="FEFFDAA4"/>
    <w:rsid w:val="FEFFEBC3"/>
    <w:rsid w:val="FF1707A5"/>
    <w:rsid w:val="FF19745C"/>
    <w:rsid w:val="FF1B6E83"/>
    <w:rsid w:val="FF1C2A83"/>
    <w:rsid w:val="FF1DF7A3"/>
    <w:rsid w:val="FF2335AC"/>
    <w:rsid w:val="FF37AD05"/>
    <w:rsid w:val="FF37DB45"/>
    <w:rsid w:val="FF38BB1B"/>
    <w:rsid w:val="FF3B57ED"/>
    <w:rsid w:val="FF3B62FE"/>
    <w:rsid w:val="FF3D3BB3"/>
    <w:rsid w:val="FF3F21D0"/>
    <w:rsid w:val="FF3FC228"/>
    <w:rsid w:val="FF47B049"/>
    <w:rsid w:val="FF4C7238"/>
    <w:rsid w:val="FF4EC8B5"/>
    <w:rsid w:val="FF4FF2C5"/>
    <w:rsid w:val="FF5B42D2"/>
    <w:rsid w:val="FF5BB411"/>
    <w:rsid w:val="FF5D7C12"/>
    <w:rsid w:val="FF5F6CBB"/>
    <w:rsid w:val="FF6146DB"/>
    <w:rsid w:val="FF63C334"/>
    <w:rsid w:val="FF669CC3"/>
    <w:rsid w:val="FF6AA374"/>
    <w:rsid w:val="FF6F217B"/>
    <w:rsid w:val="FF6FD33A"/>
    <w:rsid w:val="FF729D35"/>
    <w:rsid w:val="FF73E19F"/>
    <w:rsid w:val="FF74B9AE"/>
    <w:rsid w:val="FF767C09"/>
    <w:rsid w:val="FF7768BC"/>
    <w:rsid w:val="FF77724A"/>
    <w:rsid w:val="FF79C8E8"/>
    <w:rsid w:val="FF7B6CCF"/>
    <w:rsid w:val="FF7B6EF8"/>
    <w:rsid w:val="FF7BC27E"/>
    <w:rsid w:val="FF7BF3BD"/>
    <w:rsid w:val="FF7D30E4"/>
    <w:rsid w:val="FF7D4B88"/>
    <w:rsid w:val="FF7DAFC0"/>
    <w:rsid w:val="FF7E0FED"/>
    <w:rsid w:val="FF7E514D"/>
    <w:rsid w:val="FF7EC6AE"/>
    <w:rsid w:val="FF7EDEFA"/>
    <w:rsid w:val="FF7EF223"/>
    <w:rsid w:val="FF7F1017"/>
    <w:rsid w:val="FF7FA372"/>
    <w:rsid w:val="FF7FAAEA"/>
    <w:rsid w:val="FF7FC722"/>
    <w:rsid w:val="FF7FF596"/>
    <w:rsid w:val="FF880E81"/>
    <w:rsid w:val="FF96E1D5"/>
    <w:rsid w:val="FF9B4CBC"/>
    <w:rsid w:val="FF9B651D"/>
    <w:rsid w:val="FF9C199D"/>
    <w:rsid w:val="FF9D7B0B"/>
    <w:rsid w:val="FF9EC875"/>
    <w:rsid w:val="FF9F960D"/>
    <w:rsid w:val="FFA65CE3"/>
    <w:rsid w:val="FFA7880F"/>
    <w:rsid w:val="FFAB3BB9"/>
    <w:rsid w:val="FFAF166D"/>
    <w:rsid w:val="FFAF2869"/>
    <w:rsid w:val="FFAF56F9"/>
    <w:rsid w:val="FFAFA7B0"/>
    <w:rsid w:val="FFB3FEF0"/>
    <w:rsid w:val="FFB5471C"/>
    <w:rsid w:val="FFB5BB87"/>
    <w:rsid w:val="FFB5FA74"/>
    <w:rsid w:val="FFB74036"/>
    <w:rsid w:val="FFBB50BE"/>
    <w:rsid w:val="FFBC43CB"/>
    <w:rsid w:val="FFBCAABE"/>
    <w:rsid w:val="FFBD20B4"/>
    <w:rsid w:val="FFBD3E97"/>
    <w:rsid w:val="FFBD4C53"/>
    <w:rsid w:val="FFBD6243"/>
    <w:rsid w:val="FFBDB496"/>
    <w:rsid w:val="FFBDD852"/>
    <w:rsid w:val="FFBE0773"/>
    <w:rsid w:val="FFBE7312"/>
    <w:rsid w:val="FFBED015"/>
    <w:rsid w:val="FFBEFB11"/>
    <w:rsid w:val="FFBF0C02"/>
    <w:rsid w:val="FFBF0D8B"/>
    <w:rsid w:val="FFBF2281"/>
    <w:rsid w:val="FFBF3BC4"/>
    <w:rsid w:val="FFBF6FCC"/>
    <w:rsid w:val="FFBF97BD"/>
    <w:rsid w:val="FFBFBCC1"/>
    <w:rsid w:val="FFBFC571"/>
    <w:rsid w:val="FFBFDFC0"/>
    <w:rsid w:val="FFC96069"/>
    <w:rsid w:val="FFCF12D7"/>
    <w:rsid w:val="FFCF92D0"/>
    <w:rsid w:val="FFCFC782"/>
    <w:rsid w:val="FFD6E309"/>
    <w:rsid w:val="FFD78E6D"/>
    <w:rsid w:val="FFD822ED"/>
    <w:rsid w:val="FFDB2F57"/>
    <w:rsid w:val="FFDBF2DC"/>
    <w:rsid w:val="FFDCB571"/>
    <w:rsid w:val="FFDE3BB5"/>
    <w:rsid w:val="FFDE4BC3"/>
    <w:rsid w:val="FFDEE77D"/>
    <w:rsid w:val="FFDEF262"/>
    <w:rsid w:val="FFDF20FF"/>
    <w:rsid w:val="FFDF24C9"/>
    <w:rsid w:val="FFDF6BBB"/>
    <w:rsid w:val="FFDFA4D0"/>
    <w:rsid w:val="FFDFC795"/>
    <w:rsid w:val="FFDFEF3F"/>
    <w:rsid w:val="FFDFFE53"/>
    <w:rsid w:val="FFE238E1"/>
    <w:rsid w:val="FFE391F5"/>
    <w:rsid w:val="FFE70163"/>
    <w:rsid w:val="FFE73BEE"/>
    <w:rsid w:val="FFE902DD"/>
    <w:rsid w:val="FFEA6D2A"/>
    <w:rsid w:val="FFEAC987"/>
    <w:rsid w:val="FFEB30A6"/>
    <w:rsid w:val="FFEB30EB"/>
    <w:rsid w:val="FFEB82BB"/>
    <w:rsid w:val="FFEBED95"/>
    <w:rsid w:val="FFEC089E"/>
    <w:rsid w:val="FFED13D2"/>
    <w:rsid w:val="FFED2CF4"/>
    <w:rsid w:val="FFED3CD0"/>
    <w:rsid w:val="FFED3E5A"/>
    <w:rsid w:val="FFED8455"/>
    <w:rsid w:val="FFEF0B9D"/>
    <w:rsid w:val="FFEF6866"/>
    <w:rsid w:val="FFEF8341"/>
    <w:rsid w:val="FFEF9C07"/>
    <w:rsid w:val="FFEFE348"/>
    <w:rsid w:val="FFF038F7"/>
    <w:rsid w:val="FFF054AE"/>
    <w:rsid w:val="FFF14FA2"/>
    <w:rsid w:val="FFF1DFC8"/>
    <w:rsid w:val="FFF3B366"/>
    <w:rsid w:val="FFF3C77E"/>
    <w:rsid w:val="FFF3F48A"/>
    <w:rsid w:val="FFF43FF8"/>
    <w:rsid w:val="FFF5307C"/>
    <w:rsid w:val="FFF5E872"/>
    <w:rsid w:val="FFF66737"/>
    <w:rsid w:val="FFF67663"/>
    <w:rsid w:val="FFF6872C"/>
    <w:rsid w:val="FFF687AA"/>
    <w:rsid w:val="FFF6CA3E"/>
    <w:rsid w:val="FFF715A9"/>
    <w:rsid w:val="FFF728C7"/>
    <w:rsid w:val="FFF72EE9"/>
    <w:rsid w:val="FFF7399F"/>
    <w:rsid w:val="FFF7438F"/>
    <w:rsid w:val="FFF760A9"/>
    <w:rsid w:val="FFF777E7"/>
    <w:rsid w:val="FFF79F93"/>
    <w:rsid w:val="FFF7A821"/>
    <w:rsid w:val="FFF7E874"/>
    <w:rsid w:val="FFF94C5D"/>
    <w:rsid w:val="FFF95FFD"/>
    <w:rsid w:val="FFF98D95"/>
    <w:rsid w:val="FFF9B223"/>
    <w:rsid w:val="FFFA156E"/>
    <w:rsid w:val="FFFA8015"/>
    <w:rsid w:val="FFFAE17B"/>
    <w:rsid w:val="FFFAF6DF"/>
    <w:rsid w:val="FFFB1E03"/>
    <w:rsid w:val="FFFB2730"/>
    <w:rsid w:val="FFFB2854"/>
    <w:rsid w:val="FFFB3A18"/>
    <w:rsid w:val="FFFB3C90"/>
    <w:rsid w:val="FFFB68DD"/>
    <w:rsid w:val="FFFB6D7A"/>
    <w:rsid w:val="FFFBE2AE"/>
    <w:rsid w:val="FFFCCADD"/>
    <w:rsid w:val="FFFD126B"/>
    <w:rsid w:val="FFFD18B9"/>
    <w:rsid w:val="FFFD5FAC"/>
    <w:rsid w:val="FFFD8178"/>
    <w:rsid w:val="FFFD9FA4"/>
    <w:rsid w:val="FFFDF220"/>
    <w:rsid w:val="FFFE23BD"/>
    <w:rsid w:val="FFFE552E"/>
    <w:rsid w:val="FFFE598D"/>
    <w:rsid w:val="FFFEBE6D"/>
    <w:rsid w:val="FFFED70F"/>
    <w:rsid w:val="FFFED729"/>
    <w:rsid w:val="FFFEE2B8"/>
    <w:rsid w:val="FFFF0B96"/>
    <w:rsid w:val="FFFF12AF"/>
    <w:rsid w:val="FFFF1FF3"/>
    <w:rsid w:val="FFFF3E7A"/>
    <w:rsid w:val="FFFF570F"/>
    <w:rsid w:val="FFFF5CBB"/>
    <w:rsid w:val="FFFF77FE"/>
    <w:rsid w:val="FFFF79DF"/>
    <w:rsid w:val="FFFF8569"/>
    <w:rsid w:val="FFFF958A"/>
    <w:rsid w:val="FFFF98F6"/>
    <w:rsid w:val="FFFF9E18"/>
    <w:rsid w:val="FFFFAF78"/>
    <w:rsid w:val="FFFFC158"/>
    <w:rsid w:val="FFFFC32C"/>
    <w:rsid w:val="FFFFD3A1"/>
    <w:rsid w:val="FFFFE09A"/>
    <w:rsid w:val="FFFFF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line="560" w:lineRule="exact"/>
      <w:ind w:firstLine="640" w:firstLineChars="20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" w:bidi="ar-SA"/>
    </w:rPr>
  </w:style>
  <w:style w:type="paragraph" w:styleId="4">
    <w:name w:val="heading 1"/>
    <w:basedOn w:val="1"/>
    <w:next w:val="1"/>
    <w:link w:val="52"/>
    <w:qFormat/>
    <w:uiPriority w:val="0"/>
    <w:pPr>
      <w:ind w:firstLine="880"/>
      <w:jc w:val="left"/>
      <w:outlineLvl w:val="0"/>
    </w:pPr>
    <w:rPr>
      <w:rFonts w:ascii="黑体" w:hAnsi="黑体" w:eastAsia="黑体" w:cs="黑体"/>
      <w:kern w:val="44"/>
    </w:rPr>
  </w:style>
  <w:style w:type="paragraph" w:styleId="5">
    <w:name w:val="heading 2"/>
    <w:basedOn w:val="1"/>
    <w:next w:val="1"/>
    <w:link w:val="46"/>
    <w:unhideWhenUsed/>
    <w:qFormat/>
    <w:uiPriority w:val="0"/>
    <w:pPr>
      <w:outlineLvl w:val="1"/>
    </w:pPr>
    <w:rPr>
      <w:rFonts w:ascii="楷体_GB2312" w:hAnsi="楷体_GB2312" w:eastAsia="楷体_GB2312" w:cs="楷体_GB2312"/>
      <w:bCs/>
      <w:color w:val="000000"/>
      <w:lang w:eastAsia="zh-CN"/>
    </w:rPr>
  </w:style>
  <w:style w:type="paragraph" w:styleId="6">
    <w:name w:val="heading 3"/>
    <w:basedOn w:val="1"/>
    <w:next w:val="1"/>
    <w:link w:val="43"/>
    <w:unhideWhenUsed/>
    <w:qFormat/>
    <w:uiPriority w:val="0"/>
    <w:pPr>
      <w:ind w:firstLine="643"/>
      <w:outlineLvl w:val="2"/>
    </w:pPr>
    <w:rPr>
      <w:b/>
      <w:bCs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ind w:firstLineChars="0"/>
      <w:outlineLvl w:val="3"/>
    </w:pPr>
    <w:rPr>
      <w:rFonts w:asciiTheme="majorHAnsi" w:hAnsiTheme="majorHAnsi" w:cstheme="majorBidi"/>
      <w:szCs w:val="28"/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35"/>
    <w:qFormat/>
    <w:uiPriority w:val="99"/>
  </w:style>
  <w:style w:type="paragraph" w:customStyle="1" w:styleId="3">
    <w:name w:val="目录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8">
    <w:name w:val="Normal Indent"/>
    <w:basedOn w:val="1"/>
    <w:qFormat/>
    <w:uiPriority w:val="0"/>
  </w:style>
  <w:style w:type="paragraph" w:styleId="9">
    <w:name w:val="toa heading"/>
    <w:basedOn w:val="1"/>
    <w:next w:val="1"/>
    <w:qFormat/>
    <w:uiPriority w:val="0"/>
    <w:pPr>
      <w:widowControl w:val="0"/>
      <w:spacing w:before="120"/>
    </w:pPr>
    <w:rPr>
      <w:rFonts w:ascii="Arial" w:hAnsi="Arial" w:eastAsia="宋体" w:cs="Times New Roman"/>
      <w:sz w:val="24"/>
      <w:szCs w:val="24"/>
      <w:lang w:eastAsia="zh-CN"/>
    </w:rPr>
  </w:style>
  <w:style w:type="paragraph" w:styleId="10">
    <w:name w:val="annotation text"/>
    <w:basedOn w:val="1"/>
    <w:link w:val="53"/>
    <w:unhideWhenUsed/>
    <w:qFormat/>
    <w:uiPriority w:val="99"/>
    <w:pPr>
      <w:jc w:val="left"/>
    </w:pPr>
    <w:rPr>
      <w:rFonts w:hint="eastAsia" w:cs="Times New Roman"/>
      <w:lang w:eastAsia="zh-CN"/>
    </w:rPr>
  </w:style>
  <w:style w:type="paragraph" w:styleId="11">
    <w:name w:val="Body Text Indent"/>
    <w:basedOn w:val="1"/>
    <w:next w:val="12"/>
    <w:qFormat/>
    <w:uiPriority w:val="0"/>
    <w:pPr>
      <w:spacing w:after="120"/>
      <w:ind w:left="420" w:leftChars="200"/>
    </w:pPr>
  </w:style>
  <w:style w:type="paragraph" w:styleId="12">
    <w:name w:val="Body Text First Indent 2"/>
    <w:basedOn w:val="11"/>
    <w:next w:val="1"/>
    <w:qFormat/>
    <w:uiPriority w:val="0"/>
    <w:pPr>
      <w:widowControl w:val="0"/>
      <w:ind w:firstLine="420"/>
    </w:pPr>
    <w:rPr>
      <w:rFonts w:ascii="Calibri" w:hAnsi="Calibri" w:eastAsia="宋体" w:cs="Times New Roman"/>
      <w:sz w:val="21"/>
      <w:szCs w:val="21"/>
      <w:lang w:eastAsia="zh-CN"/>
    </w:rPr>
  </w:style>
  <w:style w:type="paragraph" w:styleId="13">
    <w:name w:val="toc 3"/>
    <w:basedOn w:val="1"/>
    <w:next w:val="1"/>
    <w:qFormat/>
    <w:uiPriority w:val="39"/>
    <w:pPr>
      <w:ind w:left="840" w:leftChars="400"/>
    </w:pPr>
  </w:style>
  <w:style w:type="paragraph" w:styleId="14">
    <w:name w:val="Plain Text"/>
    <w:basedOn w:val="1"/>
    <w:link w:val="38"/>
    <w:qFormat/>
    <w:uiPriority w:val="0"/>
    <w:rPr>
      <w:rFonts w:ascii="宋体" w:hAnsi="Courier New" w:eastAsiaTheme="minorEastAsia" w:cstheme="minorBidi"/>
      <w:sz w:val="21"/>
      <w:szCs w:val="24"/>
    </w:rPr>
  </w:style>
  <w:style w:type="paragraph" w:styleId="15">
    <w:name w:val="Date"/>
    <w:basedOn w:val="1"/>
    <w:next w:val="1"/>
    <w:qFormat/>
    <w:uiPriority w:val="0"/>
    <w:pPr>
      <w:ind w:left="2500" w:leftChars="2500"/>
    </w:pPr>
    <w:rPr>
      <w:szCs w:val="20"/>
    </w:rPr>
  </w:style>
  <w:style w:type="paragraph" w:styleId="16">
    <w:name w:val="Body Text Indent 2"/>
    <w:basedOn w:val="1"/>
    <w:link w:val="47"/>
    <w:qFormat/>
    <w:uiPriority w:val="0"/>
    <w:pPr>
      <w:spacing w:after="120" w:line="480" w:lineRule="auto"/>
      <w:ind w:left="420" w:leftChars="200"/>
    </w:pPr>
  </w:style>
  <w:style w:type="paragraph" w:styleId="17">
    <w:name w:val="Balloon Text"/>
    <w:basedOn w:val="1"/>
    <w:qFormat/>
    <w:uiPriority w:val="0"/>
    <w:pPr>
      <w:widowControl w:val="0"/>
      <w:ind w:firstLine="420"/>
    </w:pPr>
    <w:rPr>
      <w:rFonts w:ascii="Times New Roman" w:hAnsi="Times New Roman" w:cs="Times New Roman"/>
      <w:sz w:val="18"/>
      <w:szCs w:val="18"/>
      <w:lang w:eastAsia="zh-CN"/>
    </w:rPr>
  </w:style>
  <w:style w:type="paragraph" w:styleId="18">
    <w:name w:val="footer"/>
    <w:basedOn w:val="1"/>
    <w:next w:val="15"/>
    <w:link w:val="63"/>
    <w:qFormat/>
    <w:uiPriority w:val="99"/>
    <w:pPr>
      <w:widowControl w:val="0"/>
      <w:tabs>
        <w:tab w:val="center" w:pos="4153"/>
        <w:tab w:val="right" w:pos="8306"/>
      </w:tabs>
      <w:jc w:val="left"/>
    </w:pPr>
    <w:rPr>
      <w:rFonts w:hint="eastAsia" w:hAnsi="宋体" w:cs="Times New Roman"/>
      <w:color w:val="000000"/>
      <w:kern w:val="0"/>
      <w:sz w:val="18"/>
      <w:szCs w:val="18"/>
      <w:lang w:eastAsia="zh-CN"/>
    </w:rPr>
  </w:style>
  <w:style w:type="paragraph" w:styleId="19">
    <w:name w:val="header"/>
    <w:basedOn w:val="1"/>
    <w:link w:val="65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20">
    <w:name w:val="toc 1"/>
    <w:basedOn w:val="1"/>
    <w:next w:val="1"/>
    <w:qFormat/>
    <w:uiPriority w:val="39"/>
    <w:pPr>
      <w:ind w:firstLine="0" w:firstLineChars="0"/>
    </w:pPr>
    <w:rPr>
      <w:rFonts w:eastAsia="黑体"/>
    </w:rPr>
  </w:style>
  <w:style w:type="paragraph" w:styleId="21">
    <w:name w:val="footnote text"/>
    <w:basedOn w:val="1"/>
    <w:link w:val="48"/>
    <w:qFormat/>
    <w:uiPriority w:val="0"/>
    <w:pPr>
      <w:widowControl w:val="0"/>
    </w:pPr>
    <w:rPr>
      <w:rFonts w:asciiTheme="minorHAnsi" w:hAnsiTheme="minorHAnsi" w:eastAsiaTheme="minorEastAsia" w:cstheme="minorBidi"/>
      <w:sz w:val="18"/>
      <w:szCs w:val="24"/>
      <w:lang w:eastAsia="zh-CN"/>
    </w:rPr>
  </w:style>
  <w:style w:type="paragraph" w:styleId="22">
    <w:name w:val="toc 2"/>
    <w:basedOn w:val="1"/>
    <w:next w:val="1"/>
    <w:qFormat/>
    <w:uiPriority w:val="39"/>
    <w:pPr>
      <w:ind w:left="100" w:leftChars="100" w:firstLine="0" w:firstLineChars="0"/>
    </w:pPr>
    <w:rPr>
      <w:rFonts w:eastAsia="楷体_GB2312"/>
    </w:rPr>
  </w:style>
  <w:style w:type="paragraph" w:styleId="2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line="240" w:lineRule="auto"/>
      <w:ind w:firstLine="0" w:firstLineChars="0"/>
      <w:jc w:val="left"/>
    </w:pPr>
    <w:rPr>
      <w:rFonts w:hint="eastAsia" w:ascii="宋体" w:hAnsi="宋体" w:eastAsia="宋体" w:cs="Times New Roman"/>
      <w:kern w:val="0"/>
      <w:sz w:val="24"/>
      <w:szCs w:val="24"/>
      <w:lang w:eastAsia="zh-CN"/>
    </w:rPr>
  </w:style>
  <w:style w:type="paragraph" w:styleId="24">
    <w:name w:val="Normal (Web)"/>
    <w:basedOn w:val="1"/>
    <w:qFormat/>
    <w:uiPriority w:val="99"/>
    <w:rPr>
      <w:rFonts w:ascii="Calibri" w:hAnsi="Calibri" w:eastAsia="宋体" w:cs="Times New Roman"/>
      <w:sz w:val="24"/>
    </w:rPr>
  </w:style>
  <w:style w:type="paragraph" w:styleId="25">
    <w:name w:val="Title"/>
    <w:basedOn w:val="1"/>
    <w:link w:val="39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paragraph" w:styleId="26">
    <w:name w:val="annotation subject"/>
    <w:basedOn w:val="10"/>
    <w:next w:val="10"/>
    <w:link w:val="61"/>
    <w:qFormat/>
    <w:uiPriority w:val="0"/>
    <w:rPr>
      <w:rFonts w:hint="default" w:cs="仿宋_GB2312"/>
      <w:b/>
      <w:bCs/>
      <w:lang w:eastAsia="zh"/>
    </w:rPr>
  </w:style>
  <w:style w:type="table" w:styleId="28">
    <w:name w:val="Table Grid"/>
    <w:basedOn w:val="2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30">
    <w:name w:val="Strong"/>
    <w:basedOn w:val="29"/>
    <w:qFormat/>
    <w:uiPriority w:val="0"/>
    <w:rPr>
      <w:b/>
    </w:rPr>
  </w:style>
  <w:style w:type="character" w:styleId="31">
    <w:name w:val="FollowedHyperlink"/>
    <w:basedOn w:val="29"/>
    <w:unhideWhenUsed/>
    <w:qFormat/>
    <w:uiPriority w:val="99"/>
    <w:rPr>
      <w:color w:val="800080"/>
      <w:u w:val="single"/>
    </w:rPr>
  </w:style>
  <w:style w:type="character" w:styleId="32">
    <w:name w:val="Hyperlink"/>
    <w:basedOn w:val="29"/>
    <w:qFormat/>
    <w:uiPriority w:val="99"/>
    <w:rPr>
      <w:color w:val="0000FF"/>
      <w:u w:val="single"/>
    </w:rPr>
  </w:style>
  <w:style w:type="character" w:styleId="33">
    <w:name w:val="annotation reference"/>
    <w:basedOn w:val="29"/>
    <w:qFormat/>
    <w:uiPriority w:val="99"/>
    <w:rPr>
      <w:sz w:val="21"/>
      <w:szCs w:val="21"/>
    </w:rPr>
  </w:style>
  <w:style w:type="character" w:styleId="34">
    <w:name w:val="footnote reference"/>
    <w:basedOn w:val="29"/>
    <w:qFormat/>
    <w:uiPriority w:val="0"/>
    <w:rPr>
      <w:vertAlign w:val="superscript"/>
    </w:rPr>
  </w:style>
  <w:style w:type="character" w:customStyle="1" w:styleId="35">
    <w:name w:val="正文文本 字符"/>
    <w:link w:val="2"/>
    <w:qFormat/>
    <w:uiPriority w:val="99"/>
    <w:rPr>
      <w:rFonts w:ascii="仿宋_GB2312" w:hAnsi="仿宋_GB2312" w:eastAsia="仿宋_GB2312" w:cs="仿宋_GB2312"/>
      <w:kern w:val="2"/>
      <w:sz w:val="32"/>
      <w:szCs w:val="32"/>
      <w:highlight w:val="none"/>
      <w:lang w:val="en-US" w:eastAsia="zh" w:bidi="ar-SA"/>
    </w:rPr>
  </w:style>
  <w:style w:type="paragraph" w:customStyle="1" w:styleId="36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37">
    <w:name w:val="正文文本 Char"/>
    <w:qFormat/>
    <w:uiPriority w:val="0"/>
    <w:rPr>
      <w:rFonts w:ascii="Times New Roman" w:hAnsi="Times New Roman" w:eastAsia="仿宋_GB2312" w:cstheme="minorBidi"/>
      <w:color w:val="auto"/>
      <w:kern w:val="0"/>
      <w:sz w:val="32"/>
      <w:szCs w:val="32"/>
      <w:shd w:val="clear" w:color="auto" w:fill="FFFFFF"/>
      <w:lang w:val="en-US" w:eastAsia="zh-CN" w:bidi="ar"/>
    </w:rPr>
  </w:style>
  <w:style w:type="character" w:customStyle="1" w:styleId="38">
    <w:name w:val="纯文本 字符"/>
    <w:basedOn w:val="29"/>
    <w:link w:val="14"/>
    <w:qFormat/>
    <w:uiPriority w:val="0"/>
    <w:rPr>
      <w:rFonts w:hint="eastAsia" w:ascii="等线" w:hAnsi="Courier New" w:eastAsia="等线" w:cs="Courier New"/>
      <w:kern w:val="2"/>
      <w:sz w:val="21"/>
      <w:szCs w:val="22"/>
    </w:rPr>
  </w:style>
  <w:style w:type="character" w:customStyle="1" w:styleId="39">
    <w:name w:val="标题 字符"/>
    <w:basedOn w:val="29"/>
    <w:link w:val="25"/>
    <w:qFormat/>
    <w:uiPriority w:val="0"/>
    <w:rPr>
      <w:rFonts w:ascii="等线 Light" w:hAnsi="等线 Light" w:eastAsia="等线 Light" w:cs="Times New Roman"/>
      <w:spacing w:val="-10"/>
      <w:kern w:val="28"/>
      <w:sz w:val="56"/>
      <w:szCs w:val="56"/>
    </w:rPr>
  </w:style>
  <w:style w:type="character" w:customStyle="1" w:styleId="40">
    <w:name w:val="10"/>
    <w:basedOn w:val="29"/>
    <w:qFormat/>
    <w:uiPriority w:val="0"/>
    <w:rPr>
      <w:rFonts w:hint="default" w:ascii="Times New Roman" w:hAnsi="Times New Roman" w:cs="Times New Roman"/>
    </w:rPr>
  </w:style>
  <w:style w:type="character" w:customStyle="1" w:styleId="41">
    <w:name w:val="15"/>
    <w:basedOn w:val="29"/>
    <w:qFormat/>
    <w:uiPriority w:val="0"/>
    <w:rPr>
      <w:rFonts w:hint="default" w:ascii="Times New Roman" w:hAnsi="Times New Roman" w:cs="Times New Roman"/>
      <w:vertAlign w:val="superscript"/>
    </w:rPr>
  </w:style>
  <w:style w:type="character" w:customStyle="1" w:styleId="42">
    <w:name w:val="16"/>
    <w:basedOn w:val="29"/>
    <w:qFormat/>
    <w:uiPriority w:val="0"/>
    <w:rPr>
      <w:rFonts w:hint="default" w:ascii="仿宋_GB2312" w:eastAsia="仿宋_GB2312" w:cs="仿宋_GB2312"/>
      <w:sz w:val="32"/>
      <w:szCs w:val="32"/>
    </w:rPr>
  </w:style>
  <w:style w:type="character" w:customStyle="1" w:styleId="43">
    <w:name w:val="标题 3 字符"/>
    <w:link w:val="6"/>
    <w:qFormat/>
    <w:uiPriority w:val="0"/>
    <w:rPr>
      <w:b/>
      <w:bCs/>
      <w:highlight w:val="none"/>
    </w:rPr>
  </w:style>
  <w:style w:type="character" w:customStyle="1" w:styleId="44">
    <w:name w:val="正文 Char"/>
    <w:qFormat/>
    <w:uiPriority w:val="0"/>
    <w:rPr>
      <w:rFonts w:ascii="仿宋_GB2312" w:hAnsi="仿宋_GB2312" w:eastAsia="仿宋_GB2312" w:cs="仿宋_GB2312"/>
      <w:kern w:val="2"/>
      <w:sz w:val="32"/>
      <w:szCs w:val="32"/>
      <w:highlight w:val="none"/>
      <w:lang w:val="en-US" w:eastAsia="zh" w:bidi="ar-SA"/>
    </w:rPr>
  </w:style>
  <w:style w:type="paragraph" w:customStyle="1" w:styleId="45">
    <w:name w:val="Table Text"/>
    <w:basedOn w:val="1"/>
    <w:hidden/>
    <w:qFormat/>
    <w:uiPriority w:val="0"/>
    <w:pPr>
      <w:autoSpaceDE w:val="0"/>
      <w:jc w:val="left"/>
    </w:pPr>
    <w:rPr>
      <w:rFonts w:cs="Times New Roman"/>
      <w:sz w:val="30"/>
      <w:szCs w:val="30"/>
      <w:lang w:eastAsia="zh-CN"/>
    </w:rPr>
  </w:style>
  <w:style w:type="character" w:customStyle="1" w:styleId="46">
    <w:name w:val="标题 2 字符"/>
    <w:basedOn w:val="29"/>
    <w:link w:val="5"/>
    <w:qFormat/>
    <w:uiPriority w:val="0"/>
    <w:rPr>
      <w:rFonts w:hint="eastAsia" w:ascii="楷体_GB2312" w:hAnsi="楷体_GB2312" w:eastAsia="楷体_GB2312" w:cs="楷体_GB2312"/>
      <w:kern w:val="2"/>
      <w:sz w:val="21"/>
      <w:szCs w:val="24"/>
    </w:rPr>
  </w:style>
  <w:style w:type="character" w:customStyle="1" w:styleId="47">
    <w:name w:val="正文文本缩进 2 字符"/>
    <w:basedOn w:val="29"/>
    <w:link w:val="16"/>
    <w:qFormat/>
    <w:uiPriority w:val="0"/>
    <w:rPr>
      <w:kern w:val="2"/>
      <w:sz w:val="21"/>
      <w:szCs w:val="24"/>
    </w:rPr>
  </w:style>
  <w:style w:type="character" w:customStyle="1" w:styleId="48">
    <w:name w:val="脚注文本 字符"/>
    <w:basedOn w:val="29"/>
    <w:link w:val="21"/>
    <w:qFormat/>
    <w:uiPriority w:val="0"/>
    <w:rPr>
      <w:rFonts w:hint="default" w:ascii="Calibri" w:hAnsi="Calibri" w:eastAsia="宋体" w:cs="Times New Roman"/>
      <w:kern w:val="2"/>
      <w:sz w:val="18"/>
      <w:szCs w:val="24"/>
    </w:rPr>
  </w:style>
  <w:style w:type="paragraph" w:customStyle="1" w:styleId="49">
    <w:name w:val="Default"/>
    <w:unhideWhenUsed/>
    <w:qFormat/>
    <w:uiPriority w:val="0"/>
    <w:pPr>
      <w:widowControl w:val="0"/>
      <w:autoSpaceDE w:val="0"/>
      <w:autoSpaceDN w:val="0"/>
      <w:adjustRightInd w:val="0"/>
    </w:pPr>
    <w:rPr>
      <w:rFonts w:ascii="黑体" w:hAnsi="黑体" w:eastAsia="黑体" w:cs="Times New Roman"/>
      <w:color w:val="000000"/>
      <w:sz w:val="24"/>
      <w:lang w:val="en-US" w:eastAsia="zh-CN" w:bidi="ar-SA"/>
    </w:rPr>
  </w:style>
  <w:style w:type="paragraph" w:customStyle="1" w:styleId="50">
    <w:name w:val="实施方案正文"/>
    <w:basedOn w:val="1"/>
    <w:qFormat/>
    <w:uiPriority w:val="0"/>
    <w:pPr>
      <w:kinsoku w:val="0"/>
      <w:autoSpaceDE w:val="0"/>
      <w:autoSpaceDN w:val="0"/>
      <w:ind w:firstLine="566" w:firstLineChars="202"/>
      <w:jc w:val="left"/>
      <w:textAlignment w:val="baseline"/>
    </w:pPr>
    <w:rPr>
      <w:rFonts w:ascii="Arial" w:hAnsi="Arial" w:eastAsia="宋体" w:cs="Times New Roman"/>
      <w:color w:val="000000"/>
      <w:kern w:val="0"/>
      <w:sz w:val="21"/>
      <w:szCs w:val="21"/>
      <w:lang w:eastAsia="zh-CN"/>
    </w:rPr>
  </w:style>
  <w:style w:type="paragraph" w:customStyle="1" w:styleId="51">
    <w:name w:val="列表段落1"/>
    <w:basedOn w:val="1"/>
    <w:hidden/>
    <w:qFormat/>
    <w:uiPriority w:val="0"/>
    <w:pPr>
      <w:ind w:firstLine="420"/>
    </w:pPr>
    <w:rPr>
      <w:rFonts w:hint="eastAsia" w:cs="Times New Roman"/>
      <w:lang w:eastAsia="zh-CN"/>
    </w:rPr>
  </w:style>
  <w:style w:type="character" w:customStyle="1" w:styleId="52">
    <w:name w:val="标题 1 字符"/>
    <w:basedOn w:val="29"/>
    <w:link w:val="4"/>
    <w:qFormat/>
    <w:uiPriority w:val="0"/>
    <w:rPr>
      <w:rFonts w:hint="eastAsia" w:ascii="黑体" w:hAnsi="宋体" w:eastAsia="黑体" w:cs="黑体"/>
      <w:kern w:val="44"/>
      <w:sz w:val="32"/>
      <w:szCs w:val="32"/>
    </w:rPr>
  </w:style>
  <w:style w:type="character" w:customStyle="1" w:styleId="53">
    <w:name w:val="批注文字 字符"/>
    <w:basedOn w:val="29"/>
    <w:link w:val="10"/>
    <w:qFormat/>
    <w:uiPriority w:val="99"/>
    <w:rPr>
      <w:rFonts w:hint="eastAsia" w:ascii="仿宋_GB2312" w:hAnsi="仿宋_GB2312" w:eastAsia="仿宋_GB2312" w:cs="仿宋_GB2312"/>
      <w:kern w:val="2"/>
      <w:sz w:val="32"/>
      <w:szCs w:val="32"/>
    </w:rPr>
  </w:style>
  <w:style w:type="paragraph" w:customStyle="1" w:styleId="54">
    <w:name w:val="修订1"/>
    <w:hidden/>
    <w:unhideWhenUsed/>
    <w:qFormat/>
    <w:uiPriority w:val="99"/>
    <w:rPr>
      <w:rFonts w:ascii="仿宋_GB2312" w:hAnsi="仿宋_GB2312" w:eastAsia="仿宋_GB2312" w:cs="仿宋_GB2312"/>
      <w:kern w:val="2"/>
      <w:sz w:val="32"/>
      <w:szCs w:val="32"/>
      <w:lang w:val="en-US" w:eastAsia="zh" w:bidi="ar-SA"/>
    </w:rPr>
  </w:style>
  <w:style w:type="table" w:customStyle="1" w:styleId="55">
    <w:name w:val="网格型5"/>
    <w:basedOn w:val="2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56">
    <w:name w:val="列表段落2"/>
    <w:basedOn w:val="1"/>
    <w:hidden/>
    <w:qFormat/>
    <w:uiPriority w:val="0"/>
    <w:pPr>
      <w:ind w:firstLine="420"/>
    </w:pPr>
    <w:rPr>
      <w:rFonts w:hint="eastAsia" w:cs="Times New Roman"/>
      <w:lang w:eastAsia="zh-CN"/>
    </w:rPr>
  </w:style>
  <w:style w:type="paragraph" w:customStyle="1" w:styleId="57">
    <w:name w:val="标题3"/>
    <w:basedOn w:val="6"/>
    <w:qFormat/>
    <w:uiPriority w:val="99"/>
    <w:pPr>
      <w:numPr>
        <w:ilvl w:val="0"/>
        <w:numId w:val="2"/>
      </w:numPr>
      <w:spacing w:before="260" w:after="260" w:line="240" w:lineRule="auto"/>
    </w:pPr>
    <w:rPr>
      <w:rFonts w:ascii="等线" w:hAnsi="等线" w:eastAsia="等线" w:cstheme="minorBidi"/>
    </w:rPr>
  </w:style>
  <w:style w:type="paragraph" w:styleId="58">
    <w:name w:val="List Paragraph"/>
    <w:basedOn w:val="1"/>
    <w:qFormat/>
    <w:uiPriority w:val="34"/>
    <w:pPr>
      <w:widowControl w:val="0"/>
      <w:adjustRightInd/>
      <w:snapToGrid/>
      <w:spacing w:after="160" w:line="278" w:lineRule="auto"/>
      <w:ind w:left="720" w:firstLine="0" w:firstLineChars="0"/>
      <w:contextualSpacing/>
      <w:jc w:val="left"/>
    </w:pPr>
    <w:rPr>
      <w:rFonts w:asciiTheme="minorHAnsi" w:hAnsiTheme="minorHAnsi" w:eastAsiaTheme="minorEastAsia" w:cstheme="minorBidi"/>
      <w:sz w:val="22"/>
      <w:szCs w:val="24"/>
      <w:lang w:eastAsia="zh-CN"/>
      <w14:ligatures w14:val="standardContextual"/>
    </w:rPr>
  </w:style>
  <w:style w:type="table" w:customStyle="1" w:styleId="59">
    <w:name w:val="网格型1"/>
    <w:basedOn w:val="27"/>
    <w:qFormat/>
    <w:uiPriority w:val="59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0">
    <w:name w:val="修订2"/>
    <w:hidden/>
    <w:unhideWhenUsed/>
    <w:qFormat/>
    <w:uiPriority w:val="99"/>
    <w:rPr>
      <w:rFonts w:ascii="仿宋_GB2312" w:hAnsi="仿宋_GB2312" w:eastAsia="仿宋_GB2312" w:cs="仿宋_GB2312"/>
      <w:kern w:val="2"/>
      <w:sz w:val="32"/>
      <w:szCs w:val="32"/>
      <w:lang w:val="en-US" w:eastAsia="zh" w:bidi="ar-SA"/>
    </w:rPr>
  </w:style>
  <w:style w:type="character" w:customStyle="1" w:styleId="61">
    <w:name w:val="批注主题 字符"/>
    <w:basedOn w:val="53"/>
    <w:link w:val="26"/>
    <w:qFormat/>
    <w:uiPriority w:val="0"/>
    <w:rPr>
      <w:rFonts w:hint="eastAsia" w:ascii="仿宋_GB2312" w:hAnsi="仿宋_GB2312" w:eastAsia="仿宋_GB2312" w:cs="仿宋_GB2312"/>
      <w:b/>
      <w:bCs/>
      <w:kern w:val="2"/>
      <w:sz w:val="32"/>
      <w:szCs w:val="32"/>
      <w:lang w:eastAsia="zh"/>
    </w:rPr>
  </w:style>
  <w:style w:type="character" w:customStyle="1" w:styleId="62">
    <w:name w:val="未处理的提及1"/>
    <w:basedOn w:val="2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63">
    <w:name w:val="页脚 字符"/>
    <w:basedOn w:val="29"/>
    <w:link w:val="18"/>
    <w:qFormat/>
    <w:uiPriority w:val="99"/>
    <w:rPr>
      <w:rFonts w:ascii="仿宋_GB2312" w:hAnsi="宋体" w:eastAsia="仿宋_GB2312"/>
      <w:color w:val="000000"/>
      <w:sz w:val="18"/>
      <w:szCs w:val="18"/>
    </w:rPr>
  </w:style>
  <w:style w:type="paragraph" w:customStyle="1" w:styleId="64">
    <w:name w:val="修订3"/>
    <w:hidden/>
    <w:unhideWhenUsed/>
    <w:qFormat/>
    <w:uiPriority w:val="99"/>
    <w:rPr>
      <w:rFonts w:ascii="仿宋_GB2312" w:hAnsi="仿宋_GB2312" w:eastAsia="仿宋_GB2312" w:cs="仿宋_GB2312"/>
      <w:kern w:val="2"/>
      <w:sz w:val="32"/>
      <w:szCs w:val="32"/>
      <w:lang w:val="en-US" w:eastAsia="zh" w:bidi="ar-SA"/>
    </w:rPr>
  </w:style>
  <w:style w:type="character" w:customStyle="1" w:styleId="65">
    <w:name w:val="页眉 字符"/>
    <w:basedOn w:val="29"/>
    <w:link w:val="19"/>
    <w:qFormat/>
    <w:uiPriority w:val="99"/>
    <w:rPr>
      <w:rFonts w:ascii="仿宋_GB2312" w:hAnsi="仿宋_GB2312" w:eastAsia="仿宋_GB2312" w:cs="仿宋_GB2312"/>
      <w:kern w:val="2"/>
      <w:sz w:val="18"/>
      <w:szCs w:val="32"/>
      <w:lang w:eastAsia="zh"/>
    </w:rPr>
  </w:style>
  <w:style w:type="paragraph" w:customStyle="1" w:styleId="66">
    <w:name w:val="msonormal"/>
    <w:basedOn w:val="1"/>
    <w:qFormat/>
    <w:uiPriority w:val="0"/>
    <w:pPr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  <w:lang w:eastAsia="zh-CN"/>
    </w:rPr>
  </w:style>
  <w:style w:type="paragraph" w:customStyle="1" w:styleId="67">
    <w:name w:val="font5"/>
    <w:basedOn w:val="1"/>
    <w:qFormat/>
    <w:uiPriority w:val="0"/>
    <w:pPr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18"/>
      <w:szCs w:val="18"/>
      <w:lang w:eastAsia="zh-CN"/>
    </w:rPr>
  </w:style>
  <w:style w:type="paragraph" w:customStyle="1" w:styleId="68">
    <w:name w:val="xl64"/>
    <w:basedOn w:val="1"/>
    <w:qFormat/>
    <w:uiPriority w:val="0"/>
    <w:pPr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  <w:lang w:eastAsia="zh-CN"/>
    </w:rPr>
  </w:style>
  <w:style w:type="paragraph" w:customStyle="1" w:styleId="69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4"/>
      <w:szCs w:val="24"/>
      <w:lang w:eastAsia="zh-CN"/>
    </w:rPr>
  </w:style>
  <w:style w:type="paragraph" w:customStyle="1" w:styleId="70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b/>
      <w:bCs/>
      <w:kern w:val="0"/>
      <w:sz w:val="24"/>
      <w:szCs w:val="24"/>
      <w:lang w:eastAsia="zh-CN"/>
    </w:rPr>
  </w:style>
  <w:style w:type="paragraph" w:customStyle="1" w:styleId="71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0"/>
      <w:szCs w:val="20"/>
      <w:lang w:eastAsia="zh-CN"/>
    </w:rPr>
  </w:style>
  <w:style w:type="paragraph" w:customStyle="1" w:styleId="72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b/>
      <w:bCs/>
      <w:kern w:val="0"/>
      <w:sz w:val="24"/>
      <w:szCs w:val="24"/>
      <w:lang w:eastAsia="zh-CN"/>
    </w:rPr>
  </w:style>
  <w:style w:type="paragraph" w:customStyle="1" w:styleId="73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4"/>
      <w:szCs w:val="24"/>
      <w:lang w:eastAsia="zh-CN"/>
    </w:rPr>
  </w:style>
  <w:style w:type="paragraph" w:customStyle="1" w:styleId="74">
    <w:name w:val="xl7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0"/>
      <w:szCs w:val="20"/>
      <w:lang w:eastAsia="zh-CN"/>
    </w:rPr>
  </w:style>
  <w:style w:type="paragraph" w:customStyle="1" w:styleId="75">
    <w:name w:val="xl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0"/>
      <w:szCs w:val="20"/>
      <w:lang w:eastAsia="zh-CN"/>
    </w:rPr>
  </w:style>
  <w:style w:type="paragraph" w:customStyle="1" w:styleId="76">
    <w:name w:val="xl7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0"/>
      <w:szCs w:val="20"/>
      <w:lang w:eastAsia="zh-CN"/>
    </w:rPr>
  </w:style>
  <w:style w:type="paragraph" w:customStyle="1" w:styleId="77">
    <w:name w:val="xl7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0"/>
      <w:szCs w:val="20"/>
      <w:lang w:eastAsia="zh-CN"/>
    </w:rPr>
  </w:style>
  <w:style w:type="paragraph" w:customStyle="1" w:styleId="78">
    <w:name w:val="xl7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4"/>
      <w:szCs w:val="24"/>
      <w:lang w:eastAsia="zh-CN"/>
    </w:rPr>
  </w:style>
  <w:style w:type="paragraph" w:customStyle="1" w:styleId="79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b/>
      <w:bCs/>
      <w:kern w:val="0"/>
      <w:sz w:val="24"/>
      <w:szCs w:val="24"/>
      <w:lang w:eastAsia="zh-CN"/>
    </w:rPr>
  </w:style>
  <w:style w:type="paragraph" w:customStyle="1" w:styleId="80">
    <w:name w:val="xl7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4"/>
      <w:szCs w:val="24"/>
      <w:lang w:eastAsia="zh-CN"/>
    </w:rPr>
  </w:style>
  <w:style w:type="paragraph" w:customStyle="1" w:styleId="81">
    <w:name w:val="xl7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0"/>
      <w:szCs w:val="20"/>
      <w:lang w:eastAsia="zh-CN"/>
    </w:rPr>
  </w:style>
  <w:style w:type="paragraph" w:customStyle="1" w:styleId="82">
    <w:name w:val="xl7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4"/>
      <w:szCs w:val="24"/>
      <w:lang w:eastAsia="zh-CN"/>
    </w:rPr>
  </w:style>
  <w:style w:type="paragraph" w:customStyle="1" w:styleId="83">
    <w:name w:val="xl7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4"/>
      <w:szCs w:val="24"/>
      <w:lang w:eastAsia="zh-CN"/>
    </w:rPr>
  </w:style>
  <w:style w:type="paragraph" w:customStyle="1" w:styleId="84">
    <w:name w:val="xl8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4"/>
      <w:szCs w:val="24"/>
      <w:lang w:eastAsia="zh-CN"/>
    </w:rPr>
  </w:style>
  <w:style w:type="paragraph" w:customStyle="1" w:styleId="85">
    <w:name w:val="xl8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0"/>
      <w:szCs w:val="20"/>
      <w:lang w:eastAsia="zh-CN"/>
    </w:rPr>
  </w:style>
  <w:style w:type="paragraph" w:customStyle="1" w:styleId="86">
    <w:name w:val="xl8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4"/>
      <w:szCs w:val="24"/>
      <w:lang w:eastAsia="zh-CN"/>
    </w:rPr>
  </w:style>
  <w:style w:type="paragraph" w:customStyle="1" w:styleId="87">
    <w:name w:val="xl8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color w:val="FF0000"/>
      <w:kern w:val="0"/>
      <w:sz w:val="20"/>
      <w:szCs w:val="20"/>
      <w:lang w:eastAsia="zh-CN"/>
    </w:rPr>
  </w:style>
  <w:style w:type="paragraph" w:customStyle="1" w:styleId="88">
    <w:name w:val="xl8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</w:pPr>
    <w:rPr>
      <w:rFonts w:ascii="宋体" w:hAnsi="宋体" w:eastAsia="宋体" w:cs="宋体"/>
      <w:kern w:val="0"/>
      <w:sz w:val="24"/>
      <w:szCs w:val="24"/>
      <w:lang w:eastAsia="zh-CN"/>
    </w:rPr>
  </w:style>
  <w:style w:type="paragraph" w:customStyle="1" w:styleId="89">
    <w:name w:val="xl8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</w:pPr>
    <w:rPr>
      <w:rFonts w:ascii="宋体" w:hAnsi="宋体" w:eastAsia="宋体" w:cs="宋体"/>
      <w:kern w:val="0"/>
      <w:sz w:val="20"/>
      <w:szCs w:val="20"/>
      <w:lang w:eastAsia="zh-CN"/>
    </w:rPr>
  </w:style>
  <w:style w:type="paragraph" w:customStyle="1" w:styleId="90">
    <w:name w:val="xl8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0"/>
      <w:szCs w:val="20"/>
      <w:lang w:eastAsia="zh-CN"/>
    </w:rPr>
  </w:style>
  <w:style w:type="paragraph" w:customStyle="1" w:styleId="91">
    <w:name w:val="xl8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4"/>
      <w:szCs w:val="24"/>
      <w:lang w:eastAsia="zh-CN"/>
    </w:rPr>
  </w:style>
  <w:style w:type="paragraph" w:customStyle="1" w:styleId="92">
    <w:name w:val="xl8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</w:pPr>
    <w:rPr>
      <w:rFonts w:ascii="宋体" w:hAnsi="宋体" w:eastAsia="宋体" w:cs="宋体"/>
      <w:kern w:val="0"/>
      <w:sz w:val="20"/>
      <w:szCs w:val="20"/>
      <w:lang w:eastAsia="zh-CN"/>
    </w:rPr>
  </w:style>
  <w:style w:type="paragraph" w:customStyle="1" w:styleId="93">
    <w:name w:val="xl8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color w:val="FF0000"/>
      <w:kern w:val="0"/>
      <w:sz w:val="20"/>
      <w:szCs w:val="20"/>
      <w:lang w:eastAsia="zh-CN"/>
    </w:rPr>
  </w:style>
  <w:style w:type="paragraph" w:customStyle="1" w:styleId="94">
    <w:name w:val="xl9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color w:val="FF0000"/>
      <w:kern w:val="0"/>
      <w:sz w:val="20"/>
      <w:szCs w:val="20"/>
      <w:lang w:eastAsia="zh-CN"/>
    </w:rPr>
  </w:style>
  <w:style w:type="paragraph" w:customStyle="1" w:styleId="95">
    <w:name w:val="xl9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color w:val="FF0000"/>
      <w:kern w:val="0"/>
      <w:sz w:val="24"/>
      <w:szCs w:val="24"/>
      <w:lang w:eastAsia="zh-CN"/>
    </w:rPr>
  </w:style>
  <w:style w:type="paragraph" w:customStyle="1" w:styleId="96">
    <w:name w:val="xl9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4"/>
      <w:szCs w:val="24"/>
      <w:lang w:eastAsia="zh-CN"/>
    </w:rPr>
  </w:style>
  <w:style w:type="paragraph" w:customStyle="1" w:styleId="97">
    <w:name w:val="xl9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color w:val="000000"/>
      <w:kern w:val="0"/>
      <w:sz w:val="24"/>
      <w:szCs w:val="24"/>
      <w:lang w:eastAsia="zh-CN"/>
    </w:rPr>
  </w:style>
  <w:style w:type="paragraph" w:customStyle="1" w:styleId="98">
    <w:name w:val="xl9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0"/>
      <w:szCs w:val="20"/>
      <w:lang w:eastAsia="zh-CN"/>
    </w:rPr>
  </w:style>
  <w:style w:type="paragraph" w:customStyle="1" w:styleId="99">
    <w:name w:val="xl95"/>
    <w:basedOn w:val="1"/>
    <w:qFormat/>
    <w:uiPriority w:val="0"/>
    <w:pPr>
      <w:pBdr>
        <w:left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0"/>
      <w:szCs w:val="20"/>
      <w:lang w:eastAsia="zh-CN"/>
    </w:rPr>
  </w:style>
  <w:style w:type="paragraph" w:customStyle="1" w:styleId="100">
    <w:name w:val="xl96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0"/>
      <w:szCs w:val="20"/>
      <w:lang w:eastAsia="zh-CN"/>
    </w:rPr>
  </w:style>
  <w:style w:type="paragraph" w:customStyle="1" w:styleId="101">
    <w:name w:val="Revision"/>
    <w:hidden/>
    <w:unhideWhenUsed/>
    <w:qFormat/>
    <w:uiPriority w:val="99"/>
    <w:rPr>
      <w:rFonts w:ascii="仿宋_GB2312" w:hAnsi="仿宋_GB2312" w:eastAsia="仿宋_GB2312" w:cs="仿宋_GB2312"/>
      <w:kern w:val="2"/>
      <w:sz w:val="32"/>
      <w:szCs w:val="32"/>
      <w:lang w:val="en-US" w:eastAsia="zh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microsoft.com/office/2006/relationships/keyMapCustomizations" Target="customizations.xml"/><Relationship Id="rId17" Type="http://schemas.openxmlformats.org/officeDocument/2006/relationships/customXml" Target="../customXml/item3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SelectedStyle="\APASixthEditionOfficeOnline.xsl" Version="6" StyleName="APA"/>
</file>

<file path=customXml/item3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89014200-020e-41e9-9b19-11e7d5bb0c94</errorID>
      <errorWord xmlns="http://schemas.wps.cn/vas-ai-hub/contract-review">夯实基础、全面发力</errorWord>
      <group xmlns="http://schemas.wps.cn/vas-ai-hub/contract-review">L1_Grammar</group>
      <groupName xmlns="http://schemas.wps.cn/vas-ai-hub/contract-review">语法问题</groupName>
      <ability xmlns="http://schemas.wps.cn/vas-ai-hub/contract-review">L2_Order</ability>
      <abilityName xmlns="http://schemas.wps.cn/vas-ai-hub/contract-review">语序不当</abilityName>
      <candidateList xmlns="http://schemas.wps.cn/vas-ai-hub/contract-review">
        <item xmlns="http://schemas.wps.cn/vas-ai-hub/contract-review">全面发力、夯实基础</item>
      </candidateList>
      <explain xmlns="http://schemas.wps.cn/vas-ai-hub/contract-review">句子可能没有遵循时空、逻辑顺序，或者介词、关联词等位置不当。</explain>
      <paraID xmlns="http://schemas.wps.cn/vas-ai-hub/contract-review">60EA474A</paraID>
      <start xmlns="http://schemas.wps.cn/vas-ai-hub/contract-review">19</start>
      <end xmlns="http://schemas.wps.cn/vas-ai-hub/contract-review">28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215d63ab-7195-40c7-966e-92bd1a80f2fc</errorID>
      <errorWord xmlns="http://schemas.wps.cn/vas-ai-hub/contract-review">泄露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泄漏</item>
      </candidateList>
      <explain xmlns="http://schemas.wps.cn/vas-ai-hub/contract-review">存在发音相同字词的误用。</explain>
      <paraID xmlns="http://schemas.wps.cn/vas-ai-hub/contract-review">1A6D5D63</paraID>
      <start xmlns="http://schemas.wps.cn/vas-ai-hub/contract-review">31</start>
      <end xmlns="http://schemas.wps.cn/vas-ai-hub/contract-review">33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6d90593c-ded8-4480-bc4b-50caaf700fed</errorID>
      <errorWord xmlns="http://schemas.wps.cn/vas-ai-hub/contract-review">一网通办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“一网通办”</item>
      </candidateList>
      <explain xmlns="http://schemas.wps.cn/vas-ai-hub/contract-review">注意检查当前固定表述标点是否使用规范。</explain>
      <paraID xmlns="http://schemas.wps.cn/vas-ai-hub/contract-review"> 386AF2B</paraID>
      <start xmlns="http://schemas.wps.cn/vas-ai-hub/contract-review">10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7c6afd44-68fe-478e-a0fd-49c4d455acf9</errorID>
      <errorWord xmlns="http://schemas.wps.cn/vas-ai-hub/contract-review">一网通办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“一网通办”</item>
      </candidateList>
      <explain xmlns="http://schemas.wps.cn/vas-ai-hub/contract-review">注意检查当前固定表述标点是否使用规范。</explain>
      <paraID xmlns="http://schemas.wps.cn/vas-ai-hub/contract-review">60FAAD3B</paraID>
      <start xmlns="http://schemas.wps.cn/vas-ai-hub/contract-review">0</start>
      <end xmlns="http://schemas.wps.cn/vas-ai-hub/contract-review">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b7452d78-c940-44fd-8992-0721bc71495e</errorID>
      <errorWord xmlns="http://schemas.wps.cn/vas-ai-hub/contract-review">一网通办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“一网通办”</item>
      </candidateList>
      <explain xmlns="http://schemas.wps.cn/vas-ai-hub/contract-review">注意检查当前固定表述标点是否使用规范。</explain>
      <paraID xmlns="http://schemas.wps.cn/vas-ai-hub/contract-review">60FAAD3B</paraID>
      <start xmlns="http://schemas.wps.cn/vas-ai-hub/contract-review">11</start>
      <end xmlns="http://schemas.wps.cn/vas-ai-hub/contract-review">15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7e0d866e-c391-4563-9de2-6d918c03b475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 4A3CA16</paraID>
      <start xmlns="http://schemas.wps.cn/vas-ai-hub/contract-review">36</start>
      <end xmlns="http://schemas.wps.cn/vas-ai-hub/contract-review">37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7d563c3e-d399-43ac-80eb-da378cf064a0</errorID>
      <errorWord xmlns="http://schemas.wps.cn/vas-ai-hub/contract-review">基础设施数智升级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基础设施数智化升级</item>
      </candidateList>
      <explain xmlns="http://schemas.wps.cn/vas-ai-hub/contract-review">词汇“基础设施数智化升级”在特定场景下为固定表述形式，请确认此处的“基础设施数智升级”是否存在不当。</explain>
      <paraID xmlns="http://schemas.wps.cn/vas-ai-hub/contract-review">725AB6F5</paraID>
      <start xmlns="http://schemas.wps.cn/vas-ai-hub/contract-review">4</start>
      <end xmlns="http://schemas.wps.cn/vas-ai-hub/contract-review">12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67f8dec6-5c7e-4f07-b8bc-19919031d971</errorID>
      <errorWord xmlns="http://schemas.wps.cn/vas-ai-hub/contract-review">政务数据应共享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政务数据共享</item>
      </candidateList>
      <explain xmlns="http://schemas.wps.cn/vas-ai-hub/contract-review">词汇“政务数据共享”在特定场景下为固定表述形式，请确认此处的“政务数据应共享”是否存在不当。</explain>
      <paraID xmlns="http://schemas.wps.cn/vas-ai-hub/contract-review">5E785BAA</paraID>
      <start xmlns="http://schemas.wps.cn/vas-ai-hub/contract-review">116</start>
      <end xmlns="http://schemas.wps.cn/vas-ai-hub/contract-review">123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a99791eb-5a25-4a9e-82a3-7c09cd6a4904</errorID>
      <errorWord xmlns="http://schemas.wps.cn/vas-ai-hub/contract-review">高效办成一件事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“高效办成一件事”</item>
      </candidateList>
      <explain xmlns="http://schemas.wps.cn/vas-ai-hub/contract-review">注意检查当前固定表述标点是否使用规范。</explain>
      <paraID xmlns="http://schemas.wps.cn/vas-ai-hub/contract-review">73D356F2</paraID>
      <start xmlns="http://schemas.wps.cn/vas-ai-hub/contract-review">17</start>
      <end xmlns="http://schemas.wps.cn/vas-ai-hub/contract-review">24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b4a047e7-be95-4d53-a32a-aa2de4dbfe92</errorID>
      <errorWord xmlns="http://schemas.wps.cn/vas-ai-hub/contract-review">结果物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结果</item>
      </candidateList>
      <explain xmlns="http://schemas.wps.cn/vas-ai-hub/contract-review">〈动〉将人杀死（多见于早期白话）。</explain>
      <paraID xmlns="http://schemas.wps.cn/vas-ai-hub/contract-review">697B0517</paraID>
      <start xmlns="http://schemas.wps.cn/vas-ai-hub/contract-review">151</start>
      <end xmlns="http://schemas.wps.cn/vas-ai-hub/contract-review">154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b91c7ad8-e197-4115-837c-b02a8de60275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5640B077</paraID>
      <start xmlns="http://schemas.wps.cn/vas-ai-hub/contract-review">124</start>
      <end xmlns="http://schemas.wps.cn/vas-ai-hub/contract-review">125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2a85dd15-92fa-47b9-a520-dc40cd71bf75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5640B077</paraID>
      <start xmlns="http://schemas.wps.cn/vas-ai-hub/contract-review">126</start>
      <end xmlns="http://schemas.wps.cn/vas-ai-hub/contract-review">127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be57e0ee-8d9b-431c-b0c3-bda8ce98ade8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5640B077</paraID>
      <start xmlns="http://schemas.wps.cn/vas-ai-hub/contract-review">128</start>
      <end xmlns="http://schemas.wps.cn/vas-ai-hub/contract-review">129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380f4945-b07b-42db-affc-bce1d4cf525c</errorID>
      <errorWord xmlns="http://schemas.wps.cn/vas-ai-hub/contract-review">“免申即享”“直达快享”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“免申即享、直达快享”</item>
      </candidateList>
      <explain xmlns="http://schemas.wps.cn/vas-ai-hub/contract-review">注意检查当前固定表述标点是否使用规范。</explain>
      <paraID xmlns="http://schemas.wps.cn/vas-ai-hub/contract-review">77206B2E</paraID>
      <start xmlns="http://schemas.wps.cn/vas-ai-hub/contract-review">127</start>
      <end xmlns="http://schemas.wps.cn/vas-ai-hub/contract-review">139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93310da7-17f3-4f37-9294-87af375142dc</errorID>
      <errorWord xmlns="http://schemas.wps.cn/vas-ai-hub/contract-review">车路云一体化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“车路云一体化”</item>
      </candidateList>
      <explain xmlns="http://schemas.wps.cn/vas-ai-hub/contract-review">注意检查当前固定表述标点是否使用规范。</explain>
      <paraID xmlns="http://schemas.wps.cn/vas-ai-hub/contract-review">4EBEFB53</paraID>
      <start xmlns="http://schemas.wps.cn/vas-ai-hub/contract-review">218</start>
      <end xmlns="http://schemas.wps.cn/vas-ai-hub/contract-review">224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84d74713-1eca-49a7-b64e-800ccac89dfc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 2D998F</paraID>
      <start xmlns="http://schemas.wps.cn/vas-ai-hub/contract-review">88</start>
      <end xmlns="http://schemas.wps.cn/vas-ai-hub/contract-review">89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08f1eba9-4de9-487c-b4ab-002acec52692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 2D998F</paraID>
      <start xmlns="http://schemas.wps.cn/vas-ai-hub/contract-review">130</start>
      <end xmlns="http://schemas.wps.cn/vas-ai-hub/contract-review">131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d71cf2de-a3fa-491c-8418-087b2e7be516</errorID>
      <errorWord xmlns="http://schemas.wps.cn/vas-ai-hub/contract-review">坐席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座席</item>
      </candidateList>
      <explain xmlns="http://schemas.wps.cn/vas-ai-hub/contract-review">词汇[坐席]为不规范表述或旧称，其规范书面表述为[座席]。</explain>
      <paraID xmlns="http://schemas.wps.cn/vas-ai-hub/contract-review">74C724EB</paraID>
      <start xmlns="http://schemas.wps.cn/vas-ai-hub/contract-review">46</start>
      <end xmlns="http://schemas.wps.cn/vas-ai-hub/contract-review">48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cb2ebc32-708d-466c-bd87-f3d4a246f682</errorID>
      <errorWord xmlns="http://schemas.wps.cn/vas-ai-hub/contract-review">美好生活需求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美好生活需要</item>
      </candidateList>
      <explain xmlns="http://schemas.wps.cn/vas-ai-hub/contract-review"/>
      <paraID xmlns="http://schemas.wps.cn/vas-ai-hub/contract-review"> 79599C2</paraID>
      <start xmlns="http://schemas.wps.cn/vas-ai-hub/contract-review">67</start>
      <end xmlns="http://schemas.wps.cn/vas-ai-hub/contract-review">73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88adbbe6-3590-4b0c-a076-289b4ce6c307</errorID>
      <errorWord xmlns="http://schemas.wps.cn/vas-ai-hub/contract-review">五位一体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“五位一体”</item>
      </candidateList>
      <explain xmlns="http://schemas.wps.cn/vas-ai-hub/contract-review">注意检查当前固定表述标点是否使用规范。</explain>
      <paraID xmlns="http://schemas.wps.cn/vas-ai-hub/contract-review">3C5639AC</paraID>
      <start xmlns="http://schemas.wps.cn/vas-ai-hub/contract-review">284</start>
      <end xmlns="http://schemas.wps.cn/vas-ai-hub/contract-review">288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f74f6fe3-a7da-4bf0-9657-50912b301c66</errorID>
      <errorWord xmlns="http://schemas.wps.cn/vas-ai-hub/contract-review">全域数智化转型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全域数字化转型</item>
      </candidateList>
      <explain xmlns="http://schemas.wps.cn/vas-ai-hub/contract-review">词汇“全域数字化转型”在特定场景下为固定表述形式，请确认此处的“全域数智化转型”是否存在不当。</explain>
      <paraID xmlns="http://schemas.wps.cn/vas-ai-hub/contract-review"> E1572A3</paraID>
      <start xmlns="http://schemas.wps.cn/vas-ai-hub/contract-review">7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102d917c-20de-4307-a876-93e355cd6821</errorID>
      <errorWord xmlns="http://schemas.wps.cn/vas-ai-hub/contract-review">全域数智化转型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全域数字化转型</item>
      </candidateList>
      <explain xmlns="http://schemas.wps.cn/vas-ai-hub/contract-review">词汇“全域数字化转型”在特定场景下为固定表述形式，请确认此处的“全域数智化转型”是否存在不当。</explain>
      <paraID xmlns="http://schemas.wps.cn/vas-ai-hub/contract-review">6A8D0F2E</paraID>
      <start xmlns="http://schemas.wps.cn/vas-ai-hub/contract-review">33</start>
      <end xmlns="http://schemas.wps.cn/vas-ai-hub/contract-review">40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ADC380-E713-4F51-A1DA-6A104C590241}">
  <ds:schemaRefs/>
</ds:datastoreItem>
</file>

<file path=customXml/itemProps3.xml><?xml version="1.0" encoding="utf-8"?>
<ds:datastoreItem xmlns:ds="http://schemas.openxmlformats.org/officeDocument/2006/customXml" ds:itemID="{0056FFC5-D689-4659-A0DC-E1C92247AD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47</Words>
  <Characters>51</Characters>
  <Lines>304</Lines>
  <Paragraphs>85</Paragraphs>
  <TotalTime>90</TotalTime>
  <ScaleCrop>false</ScaleCrop>
  <LinksUpToDate>false</LinksUpToDate>
  <CharactersWithSpaces>52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2026-10-27T17:45:00Z</dcterms:created>
  <dc:creator>侠</dc:creator>
  <cp:lastModifiedBy>uos</cp:lastModifiedBy>
  <cp:lastPrinted>2026-10-28T01:53:00Z</cp:lastPrinted>
  <dcterms:modified xsi:type="dcterms:W3CDTF">2026-10-28T13:24:15Z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C5046EB922BCD2189830D76951295821_43</vt:lpwstr>
  </property>
  <property fmtid="{D5CDD505-2E9C-101B-9397-08002B2CF9AE}" pid="4" name="KSOTemplateDocerSaveRecord">
    <vt:lpwstr>eyJoZGlkIjoiZGVlMjZkYTNlNTE1YzM5OTc5MzE2NjJjY2FjN2I1OTgiLCJ1c2VySWQiOiI4NzQ4OTk5MTIifQ==</vt:lpwstr>
  </property>
</Properties>
</file>