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F6098E">
      <w:pPr>
        <w:pStyle w:val="8"/>
        <w:spacing w:line="560" w:lineRule="exact"/>
        <w:ind w:left="0" w:leftChars="0"/>
        <w:rPr>
          <w:rFonts w:hint="eastAsia" w:ascii="黑体" w:eastAsia="黑体" w:cs="方正黑体_GBK"/>
          <w:sz w:val="32"/>
          <w:szCs w:val="32"/>
          <w:lang w:eastAsia="zh-CN"/>
        </w:rPr>
      </w:pPr>
      <w:r>
        <w:rPr>
          <w:rFonts w:hint="eastAsia" w:ascii="黑体" w:eastAsia="黑体" w:cs="方正黑体_GBK"/>
          <w:sz w:val="32"/>
          <w:szCs w:val="32"/>
        </w:rPr>
        <w:t>附件</w:t>
      </w:r>
      <w:r>
        <w:rPr>
          <w:rFonts w:hint="eastAsia" w:ascii="黑体" w:eastAsia="黑体" w:cs="方正黑体_GBK"/>
          <w:sz w:val="32"/>
          <w:szCs w:val="32"/>
          <w:lang w:val="en-US" w:eastAsia="zh-CN"/>
        </w:rPr>
        <w:t>2</w:t>
      </w:r>
    </w:p>
    <w:p w14:paraId="41B5D855">
      <w:pPr>
        <w:spacing w:line="560" w:lineRule="exact"/>
      </w:pPr>
    </w:p>
    <w:p w14:paraId="737E4EBE">
      <w:pPr>
        <w:spacing w:line="560" w:lineRule="exact"/>
        <w:jc w:val="center"/>
        <w:outlineLvl w:val="0"/>
        <w:rPr>
          <w:rFonts w:ascii="Times New Roman" w:hAnsi="Times New Roman" w:eastAsia="方正小标宋简体" w:cs="仿宋_GB2312"/>
          <w:kern w:val="44"/>
          <w:sz w:val="44"/>
          <w:szCs w:val="44"/>
          <w:shd w:val="clear" w:color="auto" w:fill="FFFFFF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关于</w:t>
      </w:r>
      <w:r>
        <w:rPr>
          <w:rFonts w:hint="eastAsia" w:ascii="Times New Roman" w:hAnsi="Times New Roman" w:eastAsia="方正小标宋简体" w:cs="Times New Roman"/>
          <w:sz w:val="44"/>
          <w:szCs w:val="44"/>
        </w:rPr>
        <w:t>《昌平区“十五五”时期园林绿化发展规划（征求意见稿)》</w:t>
      </w:r>
      <w:r>
        <w:rPr>
          <w:rFonts w:ascii="Times New Roman" w:hAnsi="Times New Roman" w:eastAsia="方正小标宋简体" w:cs="Times New Roman"/>
          <w:sz w:val="44"/>
          <w:szCs w:val="44"/>
        </w:rPr>
        <w:t>的起草说明</w:t>
      </w:r>
    </w:p>
    <w:p w14:paraId="403C6F11">
      <w:pPr>
        <w:pStyle w:val="8"/>
        <w:spacing w:line="560" w:lineRule="exact"/>
        <w:rPr>
          <w:rFonts w:ascii="Times New Roman" w:hAnsi="Times New Roman" w:eastAsia="方正小标宋简体" w:cs="仿宋_GB2312"/>
          <w:kern w:val="44"/>
          <w:sz w:val="44"/>
          <w:szCs w:val="44"/>
          <w:shd w:val="clear" w:color="auto" w:fill="FFFFFF"/>
        </w:rPr>
      </w:pPr>
    </w:p>
    <w:p w14:paraId="77B492B2"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OLE_LINK2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一、起草背景</w:t>
      </w:r>
    </w:p>
    <w:p w14:paraId="6EA77C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黑体" w:eastAsia="仿宋_GB2312" w:cs="黑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"/>
        </w:rPr>
        <w:t>2025年，</w:t>
      </w: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习近平总书记对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 w:bidi="ar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十五五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 w:bidi="ar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规划编制作出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重要指示，编制和实施“十五五”规划对全面落实党的二十大战略部署、推进中国式现代化意义重大。为贯彻落实总书记重要指示，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按照昌平区委区政府相关工作部署，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昌平区园林绿化局立足首都平原新城生态定位，牵头编制《昌平区“十五五”时期园林绿化发展规划（征求意见稿）》（以下简称《规划》）。科学谋划全区“十五五”时期园林绿化发展蓝图，统筹推进生态保护修复、公园体系建设、绿道网络织补与森林质量提升，深挖山水资源禀赋，系统优化城乡绿色空间布局，坚持科学绿化、兴业利民，为共建山水林城交融共生的花园昌平而努力奋进，</w:t>
      </w:r>
      <w:r>
        <w:rPr>
          <w:rFonts w:hint="eastAsia" w:ascii="仿宋_GB2312" w:hAnsi="仿宋_GB2312" w:eastAsia="仿宋_GB2312" w:cs="仿宋_GB2312"/>
          <w:sz w:val="32"/>
          <w:szCs w:val="32"/>
        </w:rPr>
        <w:t>推动形成涵盖生态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格局锚固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公园体系成网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绿道连片联通、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人居环境焕新、治理效能强化的</w:t>
      </w:r>
      <w:r>
        <w:rPr>
          <w:rFonts w:hint="eastAsia" w:ascii="仿宋_GB2312" w:hAnsi="仿宋_GB2312" w:eastAsia="仿宋_GB2312" w:cs="仿宋_GB2312"/>
          <w:sz w:val="32"/>
          <w:szCs w:val="32"/>
        </w:rPr>
        <w:t>新格局，以整体性思维统筹山水林田湖草生命共同体，全力塑造“花园昌平”特色品牌。</w:t>
      </w:r>
    </w:p>
    <w:p w14:paraId="4709D4BE"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二、起草过程</w:t>
      </w:r>
    </w:p>
    <w:p w14:paraId="3B5178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为做好《规划》起草工作，区园林局认真研究市园林局关于“十五五”时期花园城市建设的总体思路和重点任务要求，并会同局内各业务科室，多次召开“十五五”时期园林绿化发展规划谋划会议，围绕昌平区园林绿化领域工作，全面梳理“十四五”期间的规划指标、任务、项目、政策的实施进展情况，深入剖析实施过程中存在的困难和问题，总结经验，查找短板，分析原因，提出对策，进而明确“十五五”时期的规划发展目标、重点任务和保障措施等，形成《规划》初稿，通过专家评审论证会并广泛征求吸纳各相关单位意见建议，经反复修改完善后，形成《规划》</w:t>
      </w:r>
      <w:bookmarkStart w:id="1" w:name="_GoBack"/>
      <w:bookmarkEnd w:id="1"/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。</w:t>
      </w:r>
    </w:p>
    <w:p w14:paraId="2A28A19B"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三、主要内容</w:t>
      </w:r>
    </w:p>
    <w:bookmarkEnd w:id="0"/>
    <w:p w14:paraId="146D30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《规划》</w:t>
      </w:r>
      <w:r>
        <w:rPr>
          <w:rFonts w:hint="eastAsia" w:ascii="仿宋_GB2312" w:hAnsi="仿宋_GB2312" w:eastAsia="仿宋_GB2312" w:cs="仿宋_GB2312"/>
          <w:sz w:val="32"/>
          <w:szCs w:val="32"/>
        </w:rPr>
        <w:t>紧扣首都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花园城市建设工作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昌平区</w:t>
      </w:r>
      <w:r>
        <w:rPr>
          <w:rFonts w:hint="eastAsia" w:ascii="仿宋_GB2312" w:hAnsi="仿宋_GB2312" w:eastAsia="仿宋_GB2312" w:cs="仿宋_GB2312"/>
          <w:sz w:val="32"/>
          <w:szCs w:val="32"/>
        </w:rPr>
        <w:t>“十五五”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时期</w:t>
      </w:r>
      <w:r>
        <w:rPr>
          <w:rFonts w:hint="eastAsia" w:ascii="仿宋_GB2312" w:hAnsi="仿宋_GB2312" w:eastAsia="仿宋_GB2312" w:cs="仿宋_GB2312"/>
          <w:sz w:val="32"/>
          <w:szCs w:val="32"/>
        </w:rPr>
        <w:t>发展布局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包括规划目标、主要任务和保障措施三个方面，围绕“共建山水林城交融共生的花园昌平”核心目标，实施5大类行动，设置28项主要任务。</w:t>
      </w:r>
    </w:p>
    <w:p w14:paraId="79D93D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Style w:val="19"/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第一部分，规划目标。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《规划》以“共建山水林城交融共生的花园昌平”为总体目标，进一步明确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：到2030年，实现区域生态格局锚固、公园体系成网、人居环境焕新、绿产文融发展、治理效能强化、花园品牌响亮的阶段目标。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《规划》共设置8项核心发展指标，包含</w:t>
      </w:r>
      <w:r>
        <w:rPr>
          <w:rStyle w:val="19"/>
          <w:rFonts w:hint="eastAsia" w:ascii="仿宋_GB2312" w:hAnsi="仿宋_GB2312" w:eastAsia="仿宋_GB2312" w:cs="仿宋_GB2312"/>
          <w:sz w:val="32"/>
          <w:szCs w:val="32"/>
        </w:rPr>
        <w:t>7项约束性指标、</w:t>
      </w:r>
      <w:r>
        <w:rPr>
          <w:rStyle w:val="19"/>
          <w:rFonts w:hint="eastAsia" w:ascii="仿宋_GB2312" w:hAnsi="仿宋_GB2312" w:eastAsia="仿宋_GB2312" w:cs="仿宋_GB2312"/>
          <w:sz w:val="32"/>
          <w:szCs w:val="32"/>
          <w:lang w:val="en-US"/>
        </w:rPr>
        <w:t>1</w:t>
      </w:r>
      <w:r>
        <w:rPr>
          <w:rStyle w:val="19"/>
          <w:rFonts w:hint="eastAsia" w:ascii="仿宋_GB2312" w:hAnsi="仿宋_GB2312" w:eastAsia="仿宋_GB2312" w:cs="仿宋_GB2312"/>
          <w:sz w:val="32"/>
          <w:szCs w:val="32"/>
        </w:rPr>
        <w:t>项预期性指标，其中</w:t>
      </w:r>
      <w:r>
        <w:rPr>
          <w:rStyle w:val="19"/>
          <w:rFonts w:hint="eastAsia" w:ascii="仿宋_GB2312" w:hAnsi="仿宋_GB2312" w:eastAsia="仿宋_GB2312" w:cs="仿宋_GB2312"/>
          <w:sz w:val="32"/>
          <w:szCs w:val="32"/>
          <w:lang w:val="en-US"/>
        </w:rPr>
        <w:t>1项纳入</w:t>
      </w:r>
      <w:r>
        <w:rPr>
          <w:rStyle w:val="19"/>
          <w:rFonts w:hint="eastAsia" w:ascii="仿宋_GB2312" w:hAnsi="仿宋_GB2312" w:eastAsia="仿宋_GB2312" w:cs="仿宋_GB2312"/>
          <w:sz w:val="32"/>
          <w:szCs w:val="32"/>
        </w:rPr>
        <w:t>市级纲要。充分考虑区域发展特色和人民群众对优美生态环境的多元需求，坚持生态保护、增彩提质、绿色惠民协同推进，创新设置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森林火灾受害率、</w:t>
      </w:r>
      <w:r>
        <w:rPr>
          <w:rStyle w:val="19"/>
          <w:rFonts w:hint="eastAsia" w:ascii="仿宋_GB2312" w:hAnsi="仿宋_GB2312" w:eastAsia="仿宋_GB2312" w:cs="仿宋_GB2312"/>
          <w:sz w:val="32"/>
          <w:szCs w:val="32"/>
        </w:rPr>
        <w:t>彩化率和万人拥有绿道长度</w:t>
      </w:r>
      <w:r>
        <w:rPr>
          <w:rStyle w:val="19"/>
          <w:rFonts w:hint="eastAsia" w:ascii="仿宋_GB2312" w:hAnsi="仿宋_GB2312" w:eastAsia="仿宋_GB2312" w:cs="仿宋_GB2312"/>
          <w:sz w:val="32"/>
          <w:szCs w:val="32"/>
          <w:lang w:val="en-US"/>
        </w:rPr>
        <w:t>3</w:t>
      </w:r>
      <w:r>
        <w:rPr>
          <w:rStyle w:val="19"/>
          <w:rFonts w:hint="eastAsia" w:ascii="仿宋_GB2312" w:hAnsi="仿宋_GB2312" w:eastAsia="仿宋_GB2312" w:cs="仿宋_GB2312"/>
          <w:sz w:val="32"/>
          <w:szCs w:val="32"/>
        </w:rPr>
        <w:t>项指标。</w:t>
      </w:r>
    </w:p>
    <w:p w14:paraId="1AF7CE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bidi="ar"/>
        </w:rPr>
        <w:t>第二部分，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 w:bidi="ar"/>
        </w:rPr>
        <w:t>主要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bidi="ar"/>
        </w:rPr>
        <w:t>任务。</w:t>
      </w: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共设置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个章节，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 w:bidi="ar"/>
        </w:rPr>
        <w:t>包括绿色空间、花园城市、历史文化、绿色产业、安全体系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"/>
        </w:rPr>
        <w:t>五大方面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 w:bidi="ar"/>
        </w:rPr>
        <w:t>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 w:bidi="ar"/>
        </w:rPr>
        <w:t>绿色空间方面，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构筑“山区—平原—廊道—湿地—保护地—生物多样性”一体化的生态空间格局。计划实施山区森林健康经营11.6万亩；实施平原生态林林分结构调整6万亩；新建平原生态林示范区2处、提升原有示范区7处；每年建设生物多样性保育小区9处、固定监测样地75处；聚焦重要交通与水系沿线补植彩化乔灌苗木4.5万株；依托温榆河、东沙河等7条重要河流沟渠织补滨水防护林带；新建平原生态林生物多样性保育小区45处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 w:bidi="ar"/>
        </w:rPr>
        <w:t>花园城市方面，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围绕“一轴两廊、两城一区、多点多集群”的北中轴延长线花园城市先行示范区总体空间格局，构建城乡融合的公园游憩体系与绿道网络。新建北大绿谷、南口科学家等公园，建设公园面积688公顷；计划建设口袋公园及小微绿地约40公顷；重点完成奥北森林公园综合提升工程，推进改造3个全龄友好公园；重点推进绿道、步道、防火道建设等，新增绿道长度700公里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历史文化方面，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北京中轴线申遗成功为契机，推动生态修复与文化赋能相融合。深入落实长城、大运河、西山永定河三条文化带昌平段保护利用；高标准建设大运河源头遗址公园（二期）；实施古树名木抢救复壮，计划建设古树生境花园2个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绿色产业方面，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做强果品、花卉、蜜蜂、林下经济及农文旅融合五大绿色产业。计划建设老北京水果示范基地2处，引进盆花10种、自育盆花10—15种、选育乡土花卉1—2种。到“十五五”末期，苹果矮砧密植集约栽培模式比例提升到60%，优质果率提升5—10个百分点，早中晚熟品种结构比例调整为1:3:6；打造“昌平苹果”区域公用品牌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安全体系方面，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构建现代化森林防火、林业有害生物防控、资源监管与智慧管理体系。计划建设防火道路280公里；推动14个新型集体林场森林防火装备升级；持续攻坚松材线虫病、美国白蛾等林业有害生物防控；以林长制为核心，推广“集体林场+新型农业经营主体+农户”产业化联合体，推进智慧管理平台搭建与园林绿化技术创新应用。</w:t>
      </w:r>
    </w:p>
    <w:p w14:paraId="05BE9088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第三部分，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保障措施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针对重点任务的推动落实，提出加强组织领导、优化队伍建设、坚持谋划带动、加强政策支撑、优化资金筹措和加大宣传引导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>项保障措施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26B9380A">
      <w:pPr>
        <w:spacing w:line="56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2098" w:right="1531" w:bottom="1984" w:left="153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5441B3">
    <w:pPr>
      <w:pStyle w:val="11"/>
      <w:wordWrap w:val="0"/>
      <w:jc w:val="right"/>
      <w:rPr>
        <w:rFonts w:hint="eastAsia" w:asciiTheme="minorEastAsia" w:hAnsiTheme="minorEastAsia"/>
        <w:sz w:val="28"/>
        <w:szCs w:val="28"/>
      </w:rPr>
    </w:pPr>
    <w:r>
      <w:rPr>
        <w:rFonts w:hint="eastAsia" w:asciiTheme="minorEastAsia" w:hAnsiTheme="minorEastAsia"/>
        <w:sz w:val="28"/>
        <w:szCs w:val="28"/>
      </w:rPr>
      <w:t xml:space="preserve">— </w:t>
    </w:r>
    <w:r>
      <w:rPr>
        <w:rFonts w:asciiTheme="minorEastAsia" w:hAnsiTheme="minorEastAsia"/>
        <w:sz w:val="28"/>
        <w:szCs w:val="28"/>
      </w:rPr>
      <w:fldChar w:fldCharType="begin"/>
    </w:r>
    <w:r>
      <w:rPr>
        <w:rFonts w:asciiTheme="minorEastAsia" w:hAnsiTheme="minorEastAsia"/>
        <w:sz w:val="28"/>
        <w:szCs w:val="28"/>
      </w:rPr>
      <w:instrText xml:space="preserve">PAGE   \* MERGEFORMAT</w:instrText>
    </w:r>
    <w:r>
      <w:rPr>
        <w:rFonts w:asciiTheme="minorEastAsia" w:hAnsiTheme="minorEastAsia"/>
        <w:sz w:val="28"/>
        <w:szCs w:val="28"/>
      </w:rPr>
      <w:fldChar w:fldCharType="separate"/>
    </w:r>
    <w:r>
      <w:rPr>
        <w:rFonts w:asciiTheme="minorEastAsia" w:hAnsiTheme="minorEastAsia"/>
        <w:sz w:val="28"/>
        <w:szCs w:val="28"/>
        <w:lang w:val="zh-CN"/>
      </w:rPr>
      <w:t>1</w:t>
    </w:r>
    <w:r>
      <w:rPr>
        <w:rFonts w:asciiTheme="minorEastAsia" w:hAnsiTheme="minorEastAsia"/>
        <w:sz w:val="28"/>
        <w:szCs w:val="28"/>
      </w:rPr>
      <w:fldChar w:fldCharType="end"/>
    </w:r>
    <w:r>
      <w:rPr>
        <w:rFonts w:hint="eastAsia" w:asciiTheme="minorEastAsia" w:hAnsiTheme="minorEastAsia"/>
        <w:sz w:val="28"/>
        <w:szCs w:val="28"/>
      </w:rPr>
      <w:t xml:space="preserve"> —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40C124">
    <w:pPr>
      <w:pStyle w:val="11"/>
      <w:ind w:firstLine="280" w:firstLineChars="100"/>
    </w:pPr>
    <w:r>
      <w:rPr>
        <w:rFonts w:hint="eastAsia" w:asciiTheme="minorEastAsia" w:hAnsiTheme="minorEastAsia"/>
        <w:sz w:val="28"/>
        <w:szCs w:val="28"/>
      </w:rPr>
      <w:t xml:space="preserve">— </w:t>
    </w:r>
    <w:r>
      <w:rPr>
        <w:rFonts w:asciiTheme="minorEastAsia" w:hAnsiTheme="minorEastAsia"/>
        <w:sz w:val="28"/>
        <w:szCs w:val="28"/>
      </w:rPr>
      <w:fldChar w:fldCharType="begin"/>
    </w:r>
    <w:r>
      <w:rPr>
        <w:rFonts w:asciiTheme="minorEastAsia" w:hAnsiTheme="minorEastAsia"/>
        <w:sz w:val="28"/>
        <w:szCs w:val="28"/>
      </w:rPr>
      <w:instrText xml:space="preserve">PAGE   \* MERGEFORMAT</w:instrText>
    </w:r>
    <w:r>
      <w:rPr>
        <w:rFonts w:asciiTheme="minorEastAsia" w:hAnsiTheme="minorEastAsia"/>
        <w:sz w:val="28"/>
        <w:szCs w:val="28"/>
      </w:rPr>
      <w:fldChar w:fldCharType="separate"/>
    </w:r>
    <w:r>
      <w:rPr>
        <w:rFonts w:hint="eastAsia" w:asciiTheme="minorEastAsia" w:hAnsiTheme="minorEastAsia"/>
        <w:sz w:val="28"/>
        <w:szCs w:val="28"/>
      </w:rPr>
      <w:t>3</w:t>
    </w:r>
    <w:r>
      <w:rPr>
        <w:rFonts w:asciiTheme="minorEastAsia" w:hAnsiTheme="minorEastAsia"/>
        <w:sz w:val="28"/>
        <w:szCs w:val="28"/>
      </w:rPr>
      <w:fldChar w:fldCharType="end"/>
    </w:r>
    <w:r>
      <w:rPr>
        <w:rFonts w:hint="eastAsia" w:asciiTheme="minorEastAsia" w:hAnsiTheme="minorEastAsia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B16"/>
    <w:rsid w:val="00017F38"/>
    <w:rsid w:val="00053E12"/>
    <w:rsid w:val="00064C25"/>
    <w:rsid w:val="000F79E3"/>
    <w:rsid w:val="00116495"/>
    <w:rsid w:val="00132263"/>
    <w:rsid w:val="001B7B16"/>
    <w:rsid w:val="0022290B"/>
    <w:rsid w:val="00245F6E"/>
    <w:rsid w:val="00271239"/>
    <w:rsid w:val="00271B37"/>
    <w:rsid w:val="002A070F"/>
    <w:rsid w:val="002F0DF1"/>
    <w:rsid w:val="002F531F"/>
    <w:rsid w:val="00421425"/>
    <w:rsid w:val="0044638E"/>
    <w:rsid w:val="006528BC"/>
    <w:rsid w:val="006C759D"/>
    <w:rsid w:val="00701C21"/>
    <w:rsid w:val="007932D9"/>
    <w:rsid w:val="00813E6E"/>
    <w:rsid w:val="00836C03"/>
    <w:rsid w:val="008C0A1F"/>
    <w:rsid w:val="00904CFF"/>
    <w:rsid w:val="00971F1B"/>
    <w:rsid w:val="00973507"/>
    <w:rsid w:val="00AA2FD4"/>
    <w:rsid w:val="00B303EF"/>
    <w:rsid w:val="00BA6807"/>
    <w:rsid w:val="00CA7FF2"/>
    <w:rsid w:val="00D963FB"/>
    <w:rsid w:val="00E76901"/>
    <w:rsid w:val="00EE244B"/>
    <w:rsid w:val="00EE3676"/>
    <w:rsid w:val="00F438D5"/>
    <w:rsid w:val="00F65D6E"/>
    <w:rsid w:val="024E3B6A"/>
    <w:rsid w:val="04F749ED"/>
    <w:rsid w:val="080A1514"/>
    <w:rsid w:val="08844E22"/>
    <w:rsid w:val="08F22600"/>
    <w:rsid w:val="0D677A77"/>
    <w:rsid w:val="13421B62"/>
    <w:rsid w:val="15962639"/>
    <w:rsid w:val="17B81858"/>
    <w:rsid w:val="231106EF"/>
    <w:rsid w:val="24A25583"/>
    <w:rsid w:val="26A60202"/>
    <w:rsid w:val="26CE145D"/>
    <w:rsid w:val="27225ADA"/>
    <w:rsid w:val="28EF2FC6"/>
    <w:rsid w:val="2B0B5587"/>
    <w:rsid w:val="2E836C34"/>
    <w:rsid w:val="2EB07836"/>
    <w:rsid w:val="310778DF"/>
    <w:rsid w:val="32130E41"/>
    <w:rsid w:val="34FE3693"/>
    <w:rsid w:val="36F17277"/>
    <w:rsid w:val="3763C387"/>
    <w:rsid w:val="386E4340"/>
    <w:rsid w:val="3F2807F8"/>
    <w:rsid w:val="41A75102"/>
    <w:rsid w:val="4B4E2A92"/>
    <w:rsid w:val="4BC12973"/>
    <w:rsid w:val="4D0C6B4D"/>
    <w:rsid w:val="505A77E4"/>
    <w:rsid w:val="54D5124F"/>
    <w:rsid w:val="59BE699D"/>
    <w:rsid w:val="63A445B8"/>
    <w:rsid w:val="663568D1"/>
    <w:rsid w:val="66613505"/>
    <w:rsid w:val="6A1F767C"/>
    <w:rsid w:val="6EF80849"/>
    <w:rsid w:val="70194DCD"/>
    <w:rsid w:val="70AC7790"/>
    <w:rsid w:val="77486FBC"/>
    <w:rsid w:val="792A7978"/>
    <w:rsid w:val="7BED588C"/>
    <w:rsid w:val="7E6A5C04"/>
    <w:rsid w:val="7ECD724F"/>
    <w:rsid w:val="9FBA381E"/>
    <w:rsid w:val="BFA78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480" w:after="80" w:line="278" w:lineRule="auto"/>
      <w:jc w:val="left"/>
      <w:outlineLvl w:val="0"/>
    </w:pPr>
    <w:rPr>
      <w:rFonts w:ascii="等线 Light" w:hAnsi="等线 Light" w:eastAsia="等线 Light"/>
      <w:color w:val="0F4761"/>
      <w:sz w:val="48"/>
      <w:szCs w:val="48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160" w:after="80" w:line="278" w:lineRule="auto"/>
      <w:jc w:val="left"/>
      <w:outlineLvl w:val="1"/>
    </w:pPr>
    <w:rPr>
      <w:rFonts w:ascii="等线 Light" w:hAnsi="等线 Light" w:eastAsia="等线 Light"/>
      <w:color w:val="0F4761"/>
      <w:sz w:val="40"/>
      <w:szCs w:val="40"/>
    </w:rPr>
  </w:style>
  <w:style w:type="paragraph" w:styleId="5">
    <w:name w:val="heading 3"/>
    <w:basedOn w:val="1"/>
    <w:next w:val="1"/>
    <w:link w:val="18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qFormat/>
    <w:uiPriority w:val="0"/>
    <w:pPr>
      <w:keepNext/>
      <w:keepLines/>
      <w:spacing w:line="440" w:lineRule="exact"/>
      <w:ind w:firstLine="200" w:firstLineChars="200"/>
      <w:outlineLvl w:val="3"/>
    </w:pPr>
    <w:rPr>
      <w:rFonts w:ascii="Calibri Light" w:hAnsi="Calibri Light" w:eastAsia="宋体" w:cs="Times New Roman"/>
      <w:bCs/>
      <w:sz w:val="24"/>
      <w:szCs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/>
    </w:pPr>
    <w:rPr>
      <w:rFonts w:ascii="Calibri" w:hAnsi="Calibri" w:eastAsia="宋体" w:cs="Calibri"/>
      <w:szCs w:val="20"/>
    </w:rPr>
  </w:style>
  <w:style w:type="paragraph" w:styleId="7">
    <w:name w:val="Body Text Indent"/>
    <w:basedOn w:val="1"/>
    <w:next w:val="2"/>
    <w:qFormat/>
    <w:uiPriority w:val="0"/>
    <w:pPr>
      <w:suppressAutoHyphens/>
      <w:spacing w:line="460" w:lineRule="exact"/>
      <w:ind w:left="1285" w:hanging="1285"/>
    </w:pPr>
    <w:rPr>
      <w:rFonts w:ascii="仿宋_GB2312" w:hAnsi="仿宋_GB2312" w:eastAsia="仿宋_GB2312" w:cs="Times New Roman"/>
      <w:b/>
      <w:bCs/>
      <w:kern w:val="1"/>
      <w:sz w:val="32"/>
      <w:lang w:eastAsia="ar-SA"/>
    </w:rPr>
  </w:style>
  <w:style w:type="paragraph" w:styleId="8">
    <w:name w:val="toc 3"/>
    <w:basedOn w:val="1"/>
    <w:next w:val="1"/>
    <w:unhideWhenUsed/>
    <w:qFormat/>
    <w:uiPriority w:val="39"/>
    <w:pPr>
      <w:ind w:left="840" w:leftChars="400"/>
    </w:pPr>
  </w:style>
  <w:style w:type="paragraph" w:styleId="9">
    <w:name w:val="Plain Text"/>
    <w:basedOn w:val="1"/>
    <w:next w:val="1"/>
    <w:qFormat/>
    <w:uiPriority w:val="0"/>
    <w:rPr>
      <w:rFonts w:ascii="宋体" w:hAnsi="Courier New" w:eastAsia="宋体" w:cs="黑体"/>
      <w:szCs w:val="21"/>
    </w:rPr>
  </w:style>
  <w:style w:type="paragraph" w:styleId="10">
    <w:name w:val="Body Text Indent 2"/>
    <w:basedOn w:val="1"/>
    <w:qFormat/>
    <w:uiPriority w:val="0"/>
    <w:pPr>
      <w:spacing w:after="120" w:line="480" w:lineRule="auto"/>
      <w:ind w:left="200" w:leftChars="200"/>
    </w:pPr>
    <w:rPr>
      <w:rFonts w:ascii="Times New Roman" w:hAnsi="Times New Roman" w:eastAsia="宋体" w:cs="Times New Roman"/>
    </w:rPr>
  </w:style>
  <w:style w:type="paragraph" w:styleId="11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15">
    <w:name w:val="Strong"/>
    <w:basedOn w:val="14"/>
    <w:qFormat/>
    <w:uiPriority w:val="0"/>
    <w:rPr>
      <w:b/>
    </w:rPr>
  </w:style>
  <w:style w:type="paragraph" w:customStyle="1" w:styleId="16">
    <w:name w:val="正文（缩进）"/>
    <w:basedOn w:val="1"/>
    <w:qFormat/>
    <w:uiPriority w:val="0"/>
    <w:pPr>
      <w:spacing w:beforeLines="50" w:afterLines="50" w:line="360" w:lineRule="auto"/>
      <w:ind w:firstLine="480" w:firstLineChars="200"/>
    </w:pPr>
    <w:rPr>
      <w:rFonts w:ascii="Calibri" w:hAnsi="Calibri" w:eastAsia="宋体" w:cs="Times New Roman"/>
    </w:rPr>
  </w:style>
  <w:style w:type="character" w:customStyle="1" w:styleId="17">
    <w:name w:val="UserStyle_1"/>
    <w:qFormat/>
    <w:uiPriority w:val="0"/>
  </w:style>
  <w:style w:type="character" w:customStyle="1" w:styleId="18">
    <w:name w:val="标题 3 字符"/>
    <w:basedOn w:val="14"/>
    <w:link w:val="5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19">
    <w:name w:val="NormalCharacter"/>
    <w:semiHidden/>
    <w:qFormat/>
    <w:uiPriority w:val="0"/>
    <w:rPr>
      <w:rFonts w:ascii="Calibri" w:hAnsi="Calibri" w:eastAsia="宋体" w:cs="等线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81D6CF86-0F5B-47A3-9572-3E6C66D588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1861</Words>
  <Characters>1893</Characters>
  <Lines>9</Lines>
  <Paragraphs>2</Paragraphs>
  <TotalTime>17</TotalTime>
  <ScaleCrop>false</ScaleCrop>
  <LinksUpToDate>false</LinksUpToDate>
  <CharactersWithSpaces>1893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2025-07-31T23:31:00Z</dcterms:created>
  <dc:creator>高</dc:creator>
  <cp:lastModifiedBy>HIGC</cp:lastModifiedBy>
  <cp:lastPrinted>2026-10-21T10:12:00Z</cp:lastPrinted>
  <dcterms:modified xsi:type="dcterms:W3CDTF">2026-10-22T20:37:33Z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4C5200FE65F348D3B89A493E383E6E9A</vt:lpwstr>
  </property>
  <property fmtid="{D5CDD505-2E9C-101B-9397-08002B2CF9AE}" pid="4" name="KSOTemplateDocerSaveRecord">
    <vt:lpwstr>eyJoZGlkIjoiZjJmYTFmYTdjOGE2MDQ2YzExODFiYmE2YjVjZTJhZjYiLCJ1c2VySWQiOiIyOTE5NDg3MDIifQ==</vt:lpwstr>
  </property>
</Properties>
</file>