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A8ADB6">
      <w:pPr>
        <w:pStyle w:val="15"/>
        <w:spacing w:line="560" w:lineRule="exact"/>
        <w:ind w:left="0" w:leftChars="0"/>
        <w:rPr>
          <w:rFonts w:hint="eastAsia" w:ascii="黑体" w:hAnsi="黑体" w:eastAsia="黑体"/>
          <w:sz w:val="52"/>
          <w:szCs w:val="52"/>
          <w14:ligatures w14:val="none"/>
        </w:rPr>
      </w:pPr>
      <w:r>
        <w:rPr>
          <w:rFonts w:hint="eastAsia" w:ascii="黑体" w:eastAsia="黑体" w:cs="方正黑体_GBK"/>
          <w:sz w:val="32"/>
          <w:szCs w:val="32"/>
        </w:rPr>
        <w:t>附件</w:t>
      </w:r>
      <w:r>
        <w:rPr>
          <w:rFonts w:hint="eastAsia" w:ascii="黑体" w:eastAsia="黑体" w:cs="方正黑体_GBK"/>
          <w:sz w:val="32"/>
          <w:szCs w:val="32"/>
          <w:lang w:val="en-US" w:eastAsia="zh-CN"/>
        </w:rPr>
        <w:t>1</w:t>
      </w:r>
      <w:r>
        <w:rPr>
          <w:rFonts w:hint="eastAsia" w:ascii="黑体" w:hAnsi="黑体" w:eastAsia="黑体"/>
          <w:sz w:val="52"/>
          <w:szCs w:val="52"/>
          <w14:ligatures w14:val="none"/>
        </w:rPr>
        <w:t xml:space="preserve"> </w:t>
      </w:r>
    </w:p>
    <w:p w14:paraId="451D088B">
      <w:pPr>
        <w:spacing w:after="0"/>
        <w:jc w:val="center"/>
        <w:rPr>
          <w:rFonts w:hint="eastAsia" w:ascii="黑体" w:hAnsi="黑体" w:eastAsia="黑体"/>
          <w:sz w:val="52"/>
          <w:szCs w:val="52"/>
          <w14:ligatures w14:val="none"/>
        </w:rPr>
      </w:pPr>
    </w:p>
    <w:p w14:paraId="05DD85C8">
      <w:pPr>
        <w:pStyle w:val="15"/>
        <w:tabs>
          <w:tab w:val="right" w:leader="dot" w:pos="8296"/>
        </w:tabs>
        <w:spacing w:after="0" w:line="560" w:lineRule="exact"/>
        <w:ind w:left="0" w:leftChars="0" w:firstLine="1040" w:firstLineChars="200"/>
        <w:rPr>
          <w:rFonts w:hint="eastAsia" w:ascii="黑体" w:hAnsi="黑体" w:eastAsia="黑体"/>
          <w:sz w:val="52"/>
          <w:szCs w:val="52"/>
          <w14:ligatures w14:val="none"/>
        </w:rPr>
      </w:pPr>
    </w:p>
    <w:p w14:paraId="1E61EF7F">
      <w:pPr>
        <w:spacing w:after="0"/>
        <w:jc w:val="center"/>
        <w:rPr>
          <w:rFonts w:hint="eastAsia" w:ascii="黑体" w:hAnsi="黑体" w:eastAsia="黑体"/>
          <w:sz w:val="52"/>
          <w:szCs w:val="52"/>
          <w14:ligatures w14:val="none"/>
        </w:rPr>
      </w:pPr>
    </w:p>
    <w:p w14:paraId="2E2DAA90">
      <w:pPr>
        <w:widowControl w:val="0"/>
        <w:adjustRightInd/>
        <w:snapToGrid/>
        <w:spacing w:after="0"/>
        <w:jc w:val="center"/>
        <w:rPr>
          <w:rFonts w:hint="eastAsia" w:ascii="方正小标宋_GBK" w:hAnsi="方正小标宋_GBK" w:eastAsia="方正小标宋_GBK" w:cs="方正小标宋_GBK"/>
          <w:kern w:val="2"/>
          <w:sz w:val="44"/>
          <w:szCs w:val="44"/>
          <w14:ligatures w14:val="none"/>
        </w:rPr>
      </w:pPr>
      <w:bookmarkStart w:id="0" w:name="_Hlk198817138"/>
      <w:r>
        <w:rPr>
          <w:rFonts w:hint="eastAsia" w:ascii="方正小标宋_GBK" w:hAnsi="方正小标宋_GBK" w:eastAsia="方正小标宋_GBK" w:cs="方正小标宋_GBK"/>
          <w:kern w:val="2"/>
          <w:sz w:val="44"/>
          <w:szCs w:val="44"/>
          <w14:ligatures w14:val="none"/>
        </w:rPr>
        <w:t>昌平区“十五五”时期</w:t>
      </w:r>
    </w:p>
    <w:p w14:paraId="28F51E78">
      <w:pPr>
        <w:widowControl w:val="0"/>
        <w:adjustRightInd/>
        <w:snapToGrid/>
        <w:spacing w:after="0"/>
        <w:jc w:val="center"/>
        <w:rPr>
          <w:rFonts w:hint="eastAsia" w:ascii="方正小标宋_GBK" w:hAnsi="方正小标宋_GBK" w:eastAsia="方正小标宋_GBK" w:cs="方正小标宋_GBK"/>
          <w:kern w:val="2"/>
          <w:sz w:val="44"/>
          <w:szCs w:val="44"/>
          <w14:ligatures w14:val="none"/>
        </w:rPr>
      </w:pPr>
      <w:r>
        <w:rPr>
          <w:rFonts w:hint="eastAsia" w:ascii="方正小标宋_GBK" w:hAnsi="方正小标宋_GBK" w:eastAsia="方正小标宋_GBK" w:cs="方正小标宋_GBK"/>
          <w:kern w:val="2"/>
          <w:sz w:val="44"/>
          <w:szCs w:val="44"/>
          <w14:ligatures w14:val="none"/>
        </w:rPr>
        <w:t>园林绿化发展规划</w:t>
      </w:r>
      <w:bookmarkEnd w:id="0"/>
    </w:p>
    <w:p w14:paraId="5E9EB85C">
      <w:pPr>
        <w:widowControl w:val="0"/>
        <w:adjustRightInd/>
        <w:snapToGrid/>
        <w:spacing w:after="0"/>
        <w:jc w:val="center"/>
        <w:rPr>
          <w:rFonts w:hint="eastAsia" w:ascii="楷体_GB2312" w:hAnsi="楷体_GB2312" w:eastAsia="楷体_GB2312" w:cs="楷体_GB2312"/>
          <w:sz w:val="32"/>
          <w:szCs w:val="32"/>
          <w14:ligatures w14:val="none"/>
        </w:rPr>
      </w:pPr>
      <w:r>
        <w:rPr>
          <w:rFonts w:hint="eastAsia" w:ascii="楷体_GB2312" w:hAnsi="楷体_GB2312" w:eastAsia="楷体_GB2312" w:cs="楷体_GB2312"/>
          <w:sz w:val="32"/>
          <w:szCs w:val="32"/>
          <w14:ligatures w14:val="none"/>
        </w:rPr>
        <w:t>（</w:t>
      </w:r>
      <w:r>
        <w:rPr>
          <w:rFonts w:hint="eastAsia" w:ascii="楷体_GB2312" w:hAnsi="楷体_GB2312" w:eastAsia="楷体_GB2312" w:cs="楷体_GB2312"/>
          <w:sz w:val="32"/>
          <w:szCs w:val="32"/>
          <w:lang w:eastAsia="zh-CN"/>
          <w14:ligatures w14:val="none"/>
        </w:rPr>
        <w:t>征求意见稿</w:t>
      </w:r>
      <w:r>
        <w:rPr>
          <w:rFonts w:hint="eastAsia" w:ascii="楷体_GB2312" w:hAnsi="楷体_GB2312" w:eastAsia="楷体_GB2312" w:cs="楷体_GB2312"/>
          <w:sz w:val="32"/>
          <w:szCs w:val="32"/>
          <w14:ligatures w14:val="none"/>
        </w:rPr>
        <w:t>）</w:t>
      </w:r>
    </w:p>
    <w:p w14:paraId="0A13884D">
      <w:pPr>
        <w:spacing w:after="0"/>
        <w:jc w:val="both"/>
        <w:rPr>
          <w:rFonts w:hint="eastAsia" w:ascii="黑体" w:hAnsi="黑体" w:eastAsia="黑体"/>
          <w:sz w:val="52"/>
          <w:szCs w:val="52"/>
        </w:rPr>
      </w:pPr>
    </w:p>
    <w:p w14:paraId="2A60B483">
      <w:pPr>
        <w:spacing w:after="0"/>
        <w:jc w:val="center"/>
        <w:rPr>
          <w:rFonts w:hint="eastAsia" w:ascii="黑体" w:hAnsi="黑体" w:eastAsia="黑体"/>
          <w:sz w:val="52"/>
          <w:szCs w:val="52"/>
        </w:rPr>
      </w:pPr>
    </w:p>
    <w:p w14:paraId="5AF9C474">
      <w:pPr>
        <w:spacing w:after="0"/>
        <w:jc w:val="center"/>
        <w:rPr>
          <w:rFonts w:hint="eastAsia" w:ascii="黑体" w:hAnsi="黑体" w:eastAsia="黑体"/>
          <w:sz w:val="52"/>
          <w:szCs w:val="52"/>
        </w:rPr>
      </w:pPr>
    </w:p>
    <w:p w14:paraId="3AF27F31">
      <w:pPr>
        <w:spacing w:after="0"/>
        <w:jc w:val="center"/>
        <w:rPr>
          <w:rFonts w:hint="eastAsia" w:ascii="黑体" w:hAnsi="黑体" w:eastAsia="黑体"/>
          <w:sz w:val="52"/>
          <w:szCs w:val="52"/>
        </w:rPr>
      </w:pPr>
    </w:p>
    <w:p w14:paraId="0406479B">
      <w:pPr>
        <w:spacing w:after="0"/>
        <w:jc w:val="center"/>
        <w:rPr>
          <w:rFonts w:hint="eastAsia" w:ascii="黑体" w:hAnsi="黑体" w:eastAsia="黑体"/>
          <w:sz w:val="52"/>
          <w:szCs w:val="52"/>
        </w:rPr>
      </w:pPr>
    </w:p>
    <w:p w14:paraId="7FF5BFC0">
      <w:pPr>
        <w:spacing w:after="0"/>
        <w:jc w:val="center"/>
        <w:rPr>
          <w:rFonts w:hint="eastAsia" w:ascii="黑体" w:hAnsi="黑体" w:eastAsia="黑体"/>
          <w:sz w:val="52"/>
          <w:szCs w:val="52"/>
        </w:rPr>
      </w:pPr>
    </w:p>
    <w:p w14:paraId="11CA1CAB">
      <w:pPr>
        <w:spacing w:after="0"/>
        <w:jc w:val="center"/>
        <w:rPr>
          <w:rFonts w:hint="eastAsia" w:ascii="黑体" w:hAnsi="黑体" w:eastAsia="黑体"/>
          <w:sz w:val="52"/>
          <w:szCs w:val="52"/>
        </w:rPr>
      </w:pPr>
    </w:p>
    <w:p w14:paraId="11BA7F9A">
      <w:pPr>
        <w:spacing w:after="0"/>
        <w:jc w:val="center"/>
        <w:rPr>
          <w:rFonts w:hint="eastAsia" w:ascii="黑体" w:hAnsi="黑体" w:eastAsia="黑体"/>
          <w:sz w:val="52"/>
          <w:szCs w:val="52"/>
        </w:rPr>
      </w:pPr>
    </w:p>
    <w:p w14:paraId="3ABDE241">
      <w:pPr>
        <w:widowControl w:val="0"/>
        <w:adjustRightInd/>
        <w:snapToGrid/>
        <w:spacing w:after="0" w:line="700" w:lineRule="exact"/>
        <w:jc w:val="center"/>
        <w:rPr>
          <w:rFonts w:hint="eastAsia" w:ascii="方正小标宋_GBK" w:hAnsi="方正小标宋_GBK" w:eastAsia="方正小标宋_GBK" w:cs="方正小标宋_GBK"/>
          <w:kern w:val="2"/>
          <w:sz w:val="36"/>
          <w:szCs w:val="36"/>
          <w14:ligatures w14:val="none"/>
        </w:rPr>
      </w:pPr>
      <w:r>
        <w:rPr>
          <w:rFonts w:hint="eastAsia" w:ascii="方正小标宋_GBK" w:hAnsi="方正小标宋_GBK" w:eastAsia="方正小标宋_GBK" w:cs="方正小标宋_GBK"/>
          <w:kern w:val="2"/>
          <w:sz w:val="36"/>
          <w:szCs w:val="36"/>
          <w14:ligatures w14:val="none"/>
        </w:rPr>
        <w:t>昌平区园林绿化局</w:t>
      </w:r>
    </w:p>
    <w:p w14:paraId="219DB101">
      <w:pPr>
        <w:widowControl w:val="0"/>
        <w:adjustRightInd/>
        <w:snapToGrid/>
        <w:spacing w:after="0" w:line="700" w:lineRule="exact"/>
        <w:jc w:val="center"/>
        <w:rPr>
          <w:rFonts w:hint="eastAsia" w:ascii="黑体" w:hAnsi="黑体" w:eastAsia="黑体"/>
          <w:b/>
          <w:bCs/>
          <w:sz w:val="40"/>
          <w:szCs w:val="52"/>
        </w:rPr>
      </w:pPr>
      <w:r>
        <w:rPr>
          <w:rFonts w:hint="eastAsia" w:ascii="方正小标宋_GBK" w:hAnsi="方正小标宋_GBK" w:eastAsia="方正小标宋_GBK" w:cs="方正小标宋_GBK"/>
          <w:kern w:val="2"/>
          <w:sz w:val="36"/>
          <w:szCs w:val="36"/>
          <w14:ligatures w14:val="none"/>
        </w:rPr>
        <w:t>二〇二六年</w:t>
      </w:r>
      <w:r>
        <w:rPr>
          <w:rFonts w:hint="eastAsia" w:ascii="方正小标宋_GBK" w:hAnsi="方正小标宋_GBK" w:eastAsia="方正小标宋_GBK" w:cs="方正小标宋_GBK"/>
          <w:kern w:val="2"/>
          <w:sz w:val="36"/>
          <w:szCs w:val="36"/>
          <w:lang w:eastAsia="zh-CN"/>
          <w14:ligatures w14:val="none"/>
        </w:rPr>
        <w:t>十</w:t>
      </w:r>
      <w:r>
        <w:rPr>
          <w:rFonts w:hint="eastAsia" w:ascii="方正小标宋_GBK" w:hAnsi="方正小标宋_GBK" w:eastAsia="方正小标宋_GBK" w:cs="方正小标宋_GBK"/>
          <w:kern w:val="2"/>
          <w:sz w:val="36"/>
          <w:szCs w:val="36"/>
          <w14:ligatures w14:val="none"/>
        </w:rPr>
        <w:t>月</w:t>
      </w:r>
      <w:r>
        <w:rPr>
          <w:rFonts w:hint="eastAsia" w:ascii="黑体" w:hAnsi="黑体" w:eastAsia="黑体"/>
          <w:b/>
          <w:bCs/>
          <w:sz w:val="40"/>
          <w:szCs w:val="52"/>
        </w:rPr>
        <w:br w:type="page"/>
      </w:r>
      <w:bookmarkStart w:id="45" w:name="_GoBack"/>
      <w:bookmarkEnd w:id="45"/>
      <w:r>
        <w:rPr>
          <w:rFonts w:hint="eastAsia" w:ascii="黑体" w:hAnsi="黑体" w:eastAsia="黑体"/>
          <w:b/>
          <w:bCs/>
          <w:sz w:val="40"/>
          <w:szCs w:val="52"/>
        </w:rPr>
        <w:br w:type="page"/>
      </w:r>
    </w:p>
    <w:sdt>
      <w:sdtPr>
        <w:rPr>
          <w:rFonts w:ascii="Tahoma" w:hAnsi="Tahoma" w:eastAsia="微软雅黑" w:cstheme="minorBidi"/>
          <w:color w:val="auto"/>
          <w:sz w:val="22"/>
          <w:szCs w:val="22"/>
          <w:lang w:val="zh-CN"/>
          <w14:ligatures w14:val="standardContextual"/>
        </w:rPr>
        <w:id w:val="1399020193"/>
        <w:docPartObj>
          <w:docPartGallery w:val="Table of Contents"/>
          <w:docPartUnique/>
        </w:docPartObj>
      </w:sdtPr>
      <w:sdtEndPr>
        <w:rPr>
          <w:rFonts w:ascii="Tahoma" w:hAnsi="Tahoma" w:eastAsia="微软雅黑" w:cstheme="minorBidi"/>
          <w:b/>
          <w:bCs/>
          <w:color w:val="auto"/>
          <w:sz w:val="22"/>
          <w:szCs w:val="22"/>
          <w:lang w:val="zh-CN"/>
          <w14:ligatures w14:val="standardContextual"/>
        </w:rPr>
      </w:sdtEndPr>
      <w:sdtContent>
        <w:p w14:paraId="399C4197">
          <w:pPr>
            <w:pStyle w:val="101"/>
            <w:jc w:val="center"/>
            <w:rPr>
              <w:rFonts w:hint="eastAsia" w:ascii="黑体" w:hAnsi="黑体" w:eastAsia="黑体"/>
              <w:b/>
              <w:bCs/>
              <w:color w:val="auto"/>
            </w:rPr>
          </w:pPr>
          <w:r>
            <w:rPr>
              <w:rFonts w:ascii="黑体" w:hAnsi="黑体" w:eastAsia="黑体"/>
              <w:b/>
              <w:bCs/>
              <w:color w:val="auto"/>
              <w:lang w:val="zh-CN"/>
            </w:rPr>
            <w:t>目录</w:t>
          </w:r>
        </w:p>
        <w:p w14:paraId="3A8D099C">
          <w:pPr>
            <w:pStyle w:val="20"/>
            <w:rPr>
              <w:rFonts w:hint="eastAsia" w:ascii="宋体" w:hAnsi="宋体" w:eastAsia="宋体"/>
              <w:kern w:val="2"/>
            </w:rPr>
          </w:pPr>
          <w:r>
            <w:rPr>
              <w:rFonts w:ascii="宋体" w:hAnsi="宋体" w:eastAsia="宋体"/>
              <w:b/>
              <w:bCs/>
            </w:rPr>
            <w:fldChar w:fldCharType="begin"/>
          </w:r>
          <w:r>
            <w:rPr>
              <w:rFonts w:ascii="宋体" w:hAnsi="宋体" w:eastAsia="宋体"/>
              <w:b/>
              <w:bCs/>
            </w:rPr>
            <w:instrText xml:space="preserve"> TOC \o "1-3" \h \z \u </w:instrText>
          </w:r>
          <w:r>
            <w:rPr>
              <w:rFonts w:ascii="宋体" w:hAnsi="宋体" w:eastAsia="宋体"/>
              <w:b/>
              <w:bCs/>
            </w:rPr>
            <w:fldChar w:fldCharType="separate"/>
          </w:r>
          <w:r>
            <w:fldChar w:fldCharType="begin"/>
          </w:r>
          <w:r>
            <w:instrText xml:space="preserve"> HYPERLINK \l "_Toc237941397" </w:instrText>
          </w:r>
          <w:r>
            <w:fldChar w:fldCharType="separate"/>
          </w:r>
          <w:r>
            <w:rPr>
              <w:rStyle w:val="31"/>
              <w:rFonts w:hint="eastAsia" w:ascii="宋体" w:hAnsi="宋体" w:eastAsia="宋体"/>
              <w:b/>
              <w:bCs/>
            </w:rPr>
            <w:t>第一章 规划目标</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PAGEREF _Toc237941397 \h </w:instrText>
          </w:r>
          <w:r>
            <w:rPr>
              <w:rFonts w:hint="eastAsia" w:ascii="宋体" w:hAnsi="宋体" w:eastAsia="宋体"/>
            </w:rPr>
            <w:fldChar w:fldCharType="separate"/>
          </w:r>
          <w:r>
            <w:rPr>
              <w:rFonts w:hint="eastAsia" w:ascii="宋体" w:hAnsi="宋体" w:eastAsia="宋体"/>
            </w:rPr>
            <w:t>1</w:t>
          </w:r>
          <w:r>
            <w:rPr>
              <w:rFonts w:hint="eastAsia" w:ascii="宋体" w:hAnsi="宋体" w:eastAsia="宋体"/>
            </w:rPr>
            <w:fldChar w:fldCharType="end"/>
          </w:r>
          <w:r>
            <w:rPr>
              <w:rFonts w:hint="eastAsia" w:ascii="宋体" w:hAnsi="宋体" w:eastAsia="宋体"/>
            </w:rPr>
            <w:fldChar w:fldCharType="end"/>
          </w:r>
        </w:p>
        <w:p w14:paraId="4FB671A6">
          <w:pPr>
            <w:pStyle w:val="20"/>
            <w:rPr>
              <w:rFonts w:hint="eastAsia" w:ascii="宋体" w:hAnsi="宋体" w:eastAsia="宋体"/>
              <w:kern w:val="2"/>
            </w:rPr>
          </w:pPr>
          <w:r>
            <w:fldChar w:fldCharType="begin"/>
          </w:r>
          <w:r>
            <w:instrText xml:space="preserve"> HYPERLINK \l "_Toc237941399" </w:instrText>
          </w:r>
          <w:r>
            <w:fldChar w:fldCharType="separate"/>
          </w:r>
          <w:r>
            <w:rPr>
              <w:rStyle w:val="31"/>
              <w:rFonts w:hint="eastAsia" w:ascii="宋体" w:hAnsi="宋体" w:eastAsia="宋体"/>
              <w:b/>
              <w:bCs/>
            </w:rPr>
            <w:t>第二章 主要任务</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_Toc237941399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2</w:t>
          </w:r>
          <w:r>
            <w:rPr>
              <w:rFonts w:hint="eastAsia" w:ascii="宋体" w:hAnsi="宋体" w:eastAsia="宋体"/>
            </w:rPr>
            <w:fldChar w:fldCharType="end"/>
          </w:r>
          <w:r>
            <w:rPr>
              <w:rFonts w:hint="eastAsia" w:ascii="宋体" w:hAnsi="宋体" w:eastAsia="宋体"/>
            </w:rPr>
            <w:fldChar w:fldCharType="end"/>
          </w:r>
        </w:p>
        <w:p w14:paraId="2532CE30">
          <w:pPr>
            <w:pStyle w:val="24"/>
            <w:rPr>
              <w:rFonts w:hint="eastAsia" w:ascii="宋体" w:hAnsi="宋体" w:eastAsia="宋体" w:cstheme="minorBidi"/>
              <w:b w:val="0"/>
              <w:bCs w:val="0"/>
              <w:kern w:val="2"/>
              <w14:ligatures w14:val="standardContextual"/>
            </w:rPr>
          </w:pPr>
          <w:r>
            <w:fldChar w:fldCharType="begin"/>
          </w:r>
          <w:r>
            <w:instrText xml:space="preserve"> HYPERLINK \l "_Toc237941400" </w:instrText>
          </w:r>
          <w:r>
            <w:fldChar w:fldCharType="separate"/>
          </w:r>
          <w:r>
            <w:rPr>
              <w:rStyle w:val="31"/>
              <w:rFonts w:ascii="宋体" w:hAnsi="宋体" w:eastAsia="宋体"/>
            </w:rPr>
            <w:t>一、落实绿色空间结构，夯实区域生态基底</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_Toc237941400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2</w:t>
          </w:r>
          <w:r>
            <w:rPr>
              <w:rFonts w:hint="eastAsia" w:ascii="宋体" w:hAnsi="宋体" w:eastAsia="宋体"/>
            </w:rPr>
            <w:fldChar w:fldCharType="end"/>
          </w:r>
          <w:r>
            <w:rPr>
              <w:rFonts w:hint="eastAsia" w:ascii="宋体" w:hAnsi="宋体" w:eastAsia="宋体"/>
            </w:rPr>
            <w:fldChar w:fldCharType="end"/>
          </w:r>
        </w:p>
        <w:p w14:paraId="291CDBF5">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"_Toc237941401" </w:instrText>
          </w:r>
          <w:r>
            <w:fldChar w:fldCharType="separate"/>
          </w:r>
          <w:r>
            <w:rPr>
              <w:rStyle w:val="31"/>
              <w:rFonts w:ascii="宋体" w:hAnsi="宋体" w:eastAsia="宋体" w:cs="Times New Roman"/>
              <w:sz w:val="28"/>
              <w:szCs w:val="28"/>
            </w:rPr>
            <w:t>（一）筑牢山区生态屏障</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_Toc237941401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2</w:t>
          </w:r>
          <w:r>
            <w:rPr>
              <w:rFonts w:hint="eastAsia" w:ascii="宋体" w:hAnsi="宋体" w:eastAsia="宋体"/>
              <w:sz w:val="28"/>
              <w:szCs w:val="28"/>
            </w:rPr>
            <w:fldChar w:fldCharType="end"/>
          </w:r>
          <w:r>
            <w:rPr>
              <w:rFonts w:hint="eastAsia" w:ascii="宋体" w:hAnsi="宋体" w:eastAsia="宋体"/>
              <w:sz w:val="28"/>
              <w:szCs w:val="28"/>
            </w:rPr>
            <w:fldChar w:fldCharType="end"/>
          </w:r>
        </w:p>
        <w:p w14:paraId="532F1BA5">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"_Toc237941402" </w:instrText>
          </w:r>
          <w:r>
            <w:fldChar w:fldCharType="separate"/>
          </w:r>
          <w:r>
            <w:rPr>
              <w:rStyle w:val="31"/>
              <w:rFonts w:ascii="宋体" w:hAnsi="宋体" w:eastAsia="宋体" w:cs="Times New Roman"/>
              <w:sz w:val="28"/>
              <w:szCs w:val="28"/>
            </w:rPr>
            <w:t>（二）提升平原林地质量</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_Toc237941402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2</w:t>
          </w:r>
          <w:r>
            <w:rPr>
              <w:rFonts w:hint="eastAsia" w:ascii="宋体" w:hAnsi="宋体" w:eastAsia="宋体"/>
              <w:sz w:val="28"/>
              <w:szCs w:val="28"/>
            </w:rPr>
            <w:fldChar w:fldCharType="end"/>
          </w:r>
          <w:r>
            <w:rPr>
              <w:rFonts w:hint="eastAsia" w:ascii="宋体" w:hAnsi="宋体" w:eastAsia="宋体"/>
              <w:sz w:val="28"/>
              <w:szCs w:val="28"/>
            </w:rPr>
            <w:fldChar w:fldCharType="end"/>
          </w:r>
        </w:p>
        <w:p w14:paraId="51447A62">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"_Toc237941403" </w:instrText>
          </w:r>
          <w:r>
            <w:fldChar w:fldCharType="separate"/>
          </w:r>
          <w:r>
            <w:rPr>
              <w:rStyle w:val="31"/>
              <w:rFonts w:ascii="宋体" w:hAnsi="宋体" w:eastAsia="宋体" w:cs="Times New Roman"/>
              <w:sz w:val="28"/>
              <w:szCs w:val="28"/>
            </w:rPr>
            <w:t>（三）连通城乡生态廊道</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_Toc237941403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3</w:t>
          </w:r>
          <w:r>
            <w:rPr>
              <w:rFonts w:hint="eastAsia" w:ascii="宋体" w:hAnsi="宋体" w:eastAsia="宋体"/>
              <w:sz w:val="28"/>
              <w:szCs w:val="28"/>
            </w:rPr>
            <w:fldChar w:fldCharType="end"/>
          </w:r>
          <w:r>
            <w:rPr>
              <w:rFonts w:hint="eastAsia" w:ascii="宋体" w:hAnsi="宋体" w:eastAsia="宋体"/>
              <w:sz w:val="28"/>
              <w:szCs w:val="28"/>
            </w:rPr>
            <w:fldChar w:fldCharType="end"/>
          </w:r>
        </w:p>
        <w:p w14:paraId="4B17DB97">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"_Toc237941404" </w:instrText>
          </w:r>
          <w:r>
            <w:fldChar w:fldCharType="separate"/>
          </w:r>
          <w:r>
            <w:rPr>
              <w:rStyle w:val="31"/>
              <w:rFonts w:ascii="宋体" w:hAnsi="宋体" w:eastAsia="宋体" w:cs="Times New Roman"/>
              <w:sz w:val="28"/>
              <w:szCs w:val="28"/>
            </w:rPr>
            <w:t>（四）维护湿地空间环境</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_Toc237941404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3</w:t>
          </w:r>
          <w:r>
            <w:rPr>
              <w:rFonts w:hint="eastAsia" w:ascii="宋体" w:hAnsi="宋体" w:eastAsia="宋体"/>
              <w:sz w:val="28"/>
              <w:szCs w:val="28"/>
            </w:rPr>
            <w:fldChar w:fldCharType="end"/>
          </w:r>
          <w:r>
            <w:rPr>
              <w:rFonts w:hint="eastAsia" w:ascii="宋体" w:hAnsi="宋体" w:eastAsia="宋体"/>
              <w:sz w:val="28"/>
              <w:szCs w:val="28"/>
            </w:rPr>
            <w:fldChar w:fldCharType="end"/>
          </w:r>
        </w:p>
        <w:p w14:paraId="6D500F76">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"_Toc237941405" </w:instrText>
          </w:r>
          <w:r>
            <w:fldChar w:fldCharType="separate"/>
          </w:r>
          <w:r>
            <w:rPr>
              <w:rStyle w:val="31"/>
              <w:rFonts w:ascii="宋体" w:hAnsi="宋体" w:eastAsia="宋体" w:cs="Times New Roman"/>
              <w:sz w:val="28"/>
              <w:szCs w:val="28"/>
            </w:rPr>
            <w:t>（五）完善自然保护地体系</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_Toc237941405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4</w:t>
          </w:r>
          <w:r>
            <w:rPr>
              <w:rFonts w:hint="eastAsia" w:ascii="宋体" w:hAnsi="宋体" w:eastAsia="宋体"/>
              <w:sz w:val="28"/>
              <w:szCs w:val="28"/>
            </w:rPr>
            <w:fldChar w:fldCharType="end"/>
          </w:r>
          <w:r>
            <w:rPr>
              <w:rFonts w:hint="eastAsia" w:ascii="宋体" w:hAnsi="宋体" w:eastAsia="宋体"/>
              <w:sz w:val="28"/>
              <w:szCs w:val="28"/>
            </w:rPr>
            <w:fldChar w:fldCharType="end"/>
          </w:r>
        </w:p>
        <w:p w14:paraId="336E1961">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"_Toc237941406" </w:instrText>
          </w:r>
          <w:r>
            <w:fldChar w:fldCharType="separate"/>
          </w:r>
          <w:r>
            <w:rPr>
              <w:rStyle w:val="31"/>
              <w:rFonts w:ascii="宋体" w:hAnsi="宋体" w:eastAsia="宋体" w:cs="Times New Roman"/>
              <w:sz w:val="28"/>
              <w:szCs w:val="28"/>
            </w:rPr>
            <w:t>（六）促进生物多样性保护</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_Toc237941406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4</w:t>
          </w:r>
          <w:r>
            <w:rPr>
              <w:rFonts w:hint="eastAsia" w:ascii="宋体" w:hAnsi="宋体" w:eastAsia="宋体"/>
              <w:sz w:val="28"/>
              <w:szCs w:val="28"/>
            </w:rPr>
            <w:fldChar w:fldCharType="end"/>
          </w:r>
          <w:r>
            <w:rPr>
              <w:rFonts w:hint="eastAsia" w:ascii="宋体" w:hAnsi="宋体" w:eastAsia="宋体"/>
              <w:sz w:val="28"/>
              <w:szCs w:val="28"/>
            </w:rPr>
            <w:fldChar w:fldCharType="end"/>
          </w:r>
        </w:p>
        <w:p w14:paraId="21D06D4A">
          <w:pPr>
            <w:pStyle w:val="24"/>
            <w:rPr>
              <w:rFonts w:hint="eastAsia" w:ascii="宋体" w:hAnsi="宋体" w:eastAsia="宋体" w:cstheme="minorBidi"/>
              <w:b w:val="0"/>
              <w:bCs w:val="0"/>
              <w:kern w:val="2"/>
              <w14:ligatures w14:val="standardContextual"/>
            </w:rPr>
          </w:pPr>
          <w:r>
            <w:fldChar w:fldCharType="begin"/>
          </w:r>
          <w:r>
            <w:instrText xml:space="preserve"> HYPERLINK \l "_Toc237941407" </w:instrText>
          </w:r>
          <w:r>
            <w:fldChar w:fldCharType="separate"/>
          </w:r>
          <w:r>
            <w:rPr>
              <w:rStyle w:val="31"/>
              <w:rFonts w:ascii="宋体" w:hAnsi="宋体" w:eastAsia="宋体"/>
            </w:rPr>
            <w:t>二、践行花园城市理念，增进百姓绿色福祉</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_Toc237941407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4</w:t>
          </w:r>
          <w:r>
            <w:rPr>
              <w:rFonts w:hint="eastAsia" w:ascii="宋体" w:hAnsi="宋体" w:eastAsia="宋体"/>
            </w:rPr>
            <w:fldChar w:fldCharType="end"/>
          </w:r>
          <w:r>
            <w:rPr>
              <w:rFonts w:hint="eastAsia" w:ascii="宋体" w:hAnsi="宋体" w:eastAsia="宋体"/>
            </w:rPr>
            <w:fldChar w:fldCharType="end"/>
          </w:r>
        </w:p>
        <w:p w14:paraId="53FD7B8F">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"_Toc237941408" </w:instrText>
          </w:r>
          <w:r>
            <w:fldChar w:fldCharType="separate"/>
          </w:r>
          <w:r>
            <w:rPr>
              <w:rStyle w:val="31"/>
              <w:rFonts w:ascii="宋体" w:hAnsi="宋体" w:eastAsia="宋体" w:cs="Times New Roman"/>
              <w:sz w:val="28"/>
              <w:szCs w:val="28"/>
            </w:rPr>
            <w:t>（一）构建城乡融合的公园游憩体系</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_Toc237941408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4</w:t>
          </w:r>
          <w:r>
            <w:rPr>
              <w:rFonts w:hint="eastAsia" w:ascii="宋体" w:hAnsi="宋体" w:eastAsia="宋体"/>
              <w:sz w:val="28"/>
              <w:szCs w:val="28"/>
            </w:rPr>
            <w:fldChar w:fldCharType="end"/>
          </w:r>
          <w:r>
            <w:rPr>
              <w:rFonts w:hint="eastAsia" w:ascii="宋体" w:hAnsi="宋体" w:eastAsia="宋体"/>
              <w:sz w:val="28"/>
              <w:szCs w:val="28"/>
            </w:rPr>
            <w:fldChar w:fldCharType="end"/>
          </w:r>
        </w:p>
        <w:p w14:paraId="3E7A0852">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"_Toc237941409" </w:instrText>
          </w:r>
          <w:r>
            <w:fldChar w:fldCharType="separate"/>
          </w:r>
          <w:r>
            <w:rPr>
              <w:rStyle w:val="31"/>
              <w:rFonts w:ascii="宋体" w:hAnsi="宋体" w:eastAsia="宋体" w:cs="Times New Roman"/>
              <w:sz w:val="28"/>
              <w:szCs w:val="28"/>
            </w:rPr>
            <w:t>（二）塑造十三陵、未来科学城两大精华片区</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_Toc237941409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5</w:t>
          </w:r>
          <w:r>
            <w:rPr>
              <w:rFonts w:hint="eastAsia" w:ascii="宋体" w:hAnsi="宋体" w:eastAsia="宋体"/>
              <w:sz w:val="28"/>
              <w:szCs w:val="28"/>
            </w:rPr>
            <w:fldChar w:fldCharType="end"/>
          </w:r>
          <w:r>
            <w:rPr>
              <w:rFonts w:hint="eastAsia" w:ascii="宋体" w:hAnsi="宋体" w:eastAsia="宋体"/>
              <w:sz w:val="28"/>
              <w:szCs w:val="28"/>
            </w:rPr>
            <w:fldChar w:fldCharType="end"/>
          </w:r>
        </w:p>
        <w:p w14:paraId="6A9E16CA">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"_Toc237941410" </w:instrText>
          </w:r>
          <w:r>
            <w:fldChar w:fldCharType="separate"/>
          </w:r>
          <w:r>
            <w:rPr>
              <w:rStyle w:val="31"/>
              <w:rFonts w:ascii="宋体" w:hAnsi="宋体" w:eastAsia="宋体" w:cs="Times New Roman"/>
              <w:sz w:val="28"/>
              <w:szCs w:val="28"/>
            </w:rPr>
            <w:t>（三）打响森林畅骑的绿道品牌</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_Toc237941410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5</w:t>
          </w:r>
          <w:r>
            <w:rPr>
              <w:rFonts w:hint="eastAsia" w:ascii="宋体" w:hAnsi="宋体" w:eastAsia="宋体"/>
              <w:sz w:val="28"/>
              <w:szCs w:val="28"/>
            </w:rPr>
            <w:fldChar w:fldCharType="end"/>
          </w:r>
          <w:r>
            <w:rPr>
              <w:rFonts w:hint="eastAsia" w:ascii="宋体" w:hAnsi="宋体" w:eastAsia="宋体"/>
              <w:sz w:val="28"/>
              <w:szCs w:val="28"/>
            </w:rPr>
            <w:fldChar w:fldCharType="end"/>
          </w:r>
        </w:p>
        <w:p w14:paraId="4DDD3DE4">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"_Toc237941411" </w:instrText>
          </w:r>
          <w:r>
            <w:fldChar w:fldCharType="separate"/>
          </w:r>
          <w:r>
            <w:rPr>
              <w:rStyle w:val="31"/>
              <w:rFonts w:ascii="宋体" w:hAnsi="宋体" w:eastAsia="宋体" w:cs="Times New Roman"/>
              <w:sz w:val="28"/>
              <w:szCs w:val="28"/>
            </w:rPr>
            <w:t>（四）打造丰富多元的花园场景</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_Toc237941411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6</w:t>
          </w:r>
          <w:r>
            <w:rPr>
              <w:rFonts w:hint="eastAsia" w:ascii="宋体" w:hAnsi="宋体" w:eastAsia="宋体"/>
              <w:sz w:val="28"/>
              <w:szCs w:val="28"/>
            </w:rPr>
            <w:fldChar w:fldCharType="end"/>
          </w:r>
          <w:r>
            <w:rPr>
              <w:rFonts w:hint="eastAsia" w:ascii="宋体" w:hAnsi="宋体" w:eastAsia="宋体"/>
              <w:sz w:val="28"/>
              <w:szCs w:val="28"/>
            </w:rPr>
            <w:fldChar w:fldCharType="end"/>
          </w:r>
        </w:p>
        <w:p w14:paraId="3B9C2CFE">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"_Toc237941412" </w:instrText>
          </w:r>
          <w:r>
            <w:fldChar w:fldCharType="separate"/>
          </w:r>
          <w:r>
            <w:rPr>
              <w:rStyle w:val="31"/>
              <w:rFonts w:ascii="宋体" w:hAnsi="宋体" w:eastAsia="宋体" w:cs="Times New Roman"/>
              <w:sz w:val="28"/>
              <w:szCs w:val="28"/>
            </w:rPr>
            <w:t>（五）打造特色花园示范乡镇</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_Toc237941412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6</w:t>
          </w:r>
          <w:r>
            <w:rPr>
              <w:rFonts w:hint="eastAsia" w:ascii="宋体" w:hAnsi="宋体" w:eastAsia="宋体"/>
              <w:sz w:val="28"/>
              <w:szCs w:val="28"/>
            </w:rPr>
            <w:fldChar w:fldCharType="end"/>
          </w:r>
          <w:r>
            <w:rPr>
              <w:rFonts w:hint="eastAsia" w:ascii="宋体" w:hAnsi="宋体" w:eastAsia="宋体"/>
              <w:sz w:val="28"/>
              <w:szCs w:val="28"/>
            </w:rPr>
            <w:fldChar w:fldCharType="end"/>
          </w:r>
        </w:p>
        <w:p w14:paraId="7176EBF4">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"_Toc237941413" </w:instrText>
          </w:r>
          <w:r>
            <w:fldChar w:fldCharType="separate"/>
          </w:r>
          <w:r>
            <w:rPr>
              <w:rStyle w:val="31"/>
              <w:rFonts w:ascii="宋体" w:hAnsi="宋体" w:eastAsia="宋体" w:cs="Times New Roman"/>
              <w:sz w:val="28"/>
              <w:szCs w:val="28"/>
            </w:rPr>
            <w:t>（六）引导公众共建共治共享</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_Toc237941413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6</w:t>
          </w:r>
          <w:r>
            <w:rPr>
              <w:rFonts w:hint="eastAsia" w:ascii="宋体" w:hAnsi="宋体" w:eastAsia="宋体"/>
              <w:sz w:val="28"/>
              <w:szCs w:val="28"/>
            </w:rPr>
            <w:fldChar w:fldCharType="end"/>
          </w:r>
          <w:r>
            <w:rPr>
              <w:rFonts w:hint="eastAsia" w:ascii="宋体" w:hAnsi="宋体" w:eastAsia="宋体"/>
              <w:sz w:val="28"/>
              <w:szCs w:val="28"/>
            </w:rPr>
            <w:fldChar w:fldCharType="end"/>
          </w:r>
        </w:p>
        <w:p w14:paraId="7A46EE1E">
          <w:pPr>
            <w:pStyle w:val="24"/>
            <w:rPr>
              <w:rFonts w:hint="eastAsia" w:ascii="宋体" w:hAnsi="宋体" w:eastAsia="宋体" w:cstheme="minorBidi"/>
              <w:b w:val="0"/>
              <w:bCs w:val="0"/>
              <w:kern w:val="2"/>
              <w14:ligatures w14:val="standardContextual"/>
            </w:rPr>
          </w:pPr>
          <w:r>
            <w:fldChar w:fldCharType="begin"/>
          </w:r>
          <w:r>
            <w:instrText xml:space="preserve"> HYPERLINK \l "_Toc237941414" </w:instrText>
          </w:r>
          <w:r>
            <w:fldChar w:fldCharType="separate"/>
          </w:r>
          <w:r>
            <w:rPr>
              <w:rStyle w:val="31"/>
              <w:rFonts w:ascii="宋体" w:hAnsi="宋体" w:eastAsia="宋体"/>
            </w:rPr>
            <w:t>三、加强历史文化保护，提升城区特色引力</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_Toc237941414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7</w:t>
          </w:r>
          <w:r>
            <w:rPr>
              <w:rFonts w:hint="eastAsia" w:ascii="宋体" w:hAnsi="宋体" w:eastAsia="宋体"/>
            </w:rPr>
            <w:fldChar w:fldCharType="end"/>
          </w:r>
          <w:r>
            <w:rPr>
              <w:rFonts w:hint="eastAsia" w:ascii="宋体" w:hAnsi="宋体" w:eastAsia="宋体"/>
            </w:rPr>
            <w:fldChar w:fldCharType="end"/>
          </w:r>
        </w:p>
        <w:p w14:paraId="0E29E61E">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"_Toc237941415" </w:instrText>
          </w:r>
          <w:r>
            <w:fldChar w:fldCharType="separate"/>
          </w:r>
          <w:r>
            <w:rPr>
              <w:rStyle w:val="31"/>
              <w:rFonts w:ascii="宋体" w:hAnsi="宋体" w:eastAsia="宋体" w:cs="Times New Roman"/>
              <w:sz w:val="28"/>
              <w:szCs w:val="28"/>
            </w:rPr>
            <w:t>（一）传承展示中轴线北延长线文脉意象</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_Toc237941415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7</w:t>
          </w:r>
          <w:r>
            <w:rPr>
              <w:rFonts w:hint="eastAsia" w:ascii="宋体" w:hAnsi="宋体" w:eastAsia="宋体"/>
              <w:sz w:val="28"/>
              <w:szCs w:val="28"/>
            </w:rPr>
            <w:fldChar w:fldCharType="end"/>
          </w:r>
          <w:r>
            <w:rPr>
              <w:rFonts w:hint="eastAsia" w:ascii="宋体" w:hAnsi="宋体" w:eastAsia="宋体"/>
              <w:sz w:val="28"/>
              <w:szCs w:val="28"/>
            </w:rPr>
            <w:fldChar w:fldCharType="end"/>
          </w:r>
        </w:p>
        <w:p w14:paraId="786DD20E">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"_Toc237941416" </w:instrText>
          </w:r>
          <w:r>
            <w:fldChar w:fldCharType="separate"/>
          </w:r>
          <w:r>
            <w:rPr>
              <w:rStyle w:val="31"/>
              <w:rFonts w:ascii="宋体" w:hAnsi="宋体" w:eastAsia="宋体" w:cs="Times New Roman"/>
              <w:sz w:val="28"/>
              <w:szCs w:val="28"/>
            </w:rPr>
            <w:t>（二）挖掘展现北部山区历史文化魅力</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_Toc237941416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7</w:t>
          </w:r>
          <w:r>
            <w:rPr>
              <w:rFonts w:hint="eastAsia" w:ascii="宋体" w:hAnsi="宋体" w:eastAsia="宋体"/>
              <w:sz w:val="28"/>
              <w:szCs w:val="28"/>
            </w:rPr>
            <w:fldChar w:fldCharType="end"/>
          </w:r>
          <w:r>
            <w:rPr>
              <w:rFonts w:hint="eastAsia" w:ascii="宋体" w:hAnsi="宋体" w:eastAsia="宋体"/>
              <w:sz w:val="28"/>
              <w:szCs w:val="28"/>
            </w:rPr>
            <w:fldChar w:fldCharType="end"/>
          </w:r>
        </w:p>
        <w:p w14:paraId="28205607">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"_Toc237941417" </w:instrText>
          </w:r>
          <w:r>
            <w:fldChar w:fldCharType="separate"/>
          </w:r>
          <w:r>
            <w:rPr>
              <w:rStyle w:val="31"/>
              <w:rFonts w:ascii="宋体" w:hAnsi="宋体" w:eastAsia="宋体" w:cs="Times New Roman"/>
              <w:sz w:val="28"/>
              <w:szCs w:val="28"/>
            </w:rPr>
            <w:t>（三）深入落实三条文化带昌平段保护利用</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_Toc237941417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8</w:t>
          </w:r>
          <w:r>
            <w:rPr>
              <w:rFonts w:hint="eastAsia" w:ascii="宋体" w:hAnsi="宋体" w:eastAsia="宋体"/>
              <w:sz w:val="28"/>
              <w:szCs w:val="28"/>
            </w:rPr>
            <w:fldChar w:fldCharType="end"/>
          </w:r>
          <w:r>
            <w:rPr>
              <w:rFonts w:hint="eastAsia" w:ascii="宋体" w:hAnsi="宋体" w:eastAsia="宋体"/>
              <w:sz w:val="28"/>
              <w:szCs w:val="28"/>
            </w:rPr>
            <w:fldChar w:fldCharType="end"/>
          </w:r>
        </w:p>
        <w:p w14:paraId="7B911698">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"_Toc237941418" </w:instrText>
          </w:r>
          <w:r>
            <w:fldChar w:fldCharType="separate"/>
          </w:r>
          <w:r>
            <w:rPr>
              <w:rStyle w:val="31"/>
              <w:rFonts w:ascii="宋体" w:hAnsi="宋体" w:eastAsia="宋体" w:cs="Times New Roman"/>
              <w:sz w:val="28"/>
              <w:szCs w:val="28"/>
            </w:rPr>
            <w:t>（四）持续加强古树名木保护</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_Toc237941418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8</w:t>
          </w:r>
          <w:r>
            <w:rPr>
              <w:rFonts w:hint="eastAsia" w:ascii="宋体" w:hAnsi="宋体" w:eastAsia="宋体"/>
              <w:sz w:val="28"/>
              <w:szCs w:val="28"/>
            </w:rPr>
            <w:fldChar w:fldCharType="end"/>
          </w:r>
          <w:r>
            <w:rPr>
              <w:rFonts w:hint="eastAsia" w:ascii="宋体" w:hAnsi="宋体" w:eastAsia="宋体"/>
              <w:sz w:val="28"/>
              <w:szCs w:val="28"/>
            </w:rPr>
            <w:fldChar w:fldCharType="end"/>
          </w:r>
        </w:p>
        <w:p w14:paraId="081CAD13">
          <w:pPr>
            <w:pStyle w:val="24"/>
            <w:rPr>
              <w:rFonts w:hint="eastAsia" w:ascii="宋体" w:hAnsi="宋体" w:eastAsia="宋体" w:cstheme="minorBidi"/>
              <w:b w:val="0"/>
              <w:bCs w:val="0"/>
              <w:kern w:val="2"/>
              <w14:ligatures w14:val="standardContextual"/>
            </w:rPr>
          </w:pPr>
          <w:r>
            <w:fldChar w:fldCharType="begin"/>
          </w:r>
          <w:r>
            <w:instrText xml:space="preserve"> HYPERLINK \l "_Toc237941419" </w:instrText>
          </w:r>
          <w:r>
            <w:fldChar w:fldCharType="separate"/>
          </w:r>
          <w:r>
            <w:rPr>
              <w:rStyle w:val="31"/>
              <w:rFonts w:ascii="宋体" w:hAnsi="宋体" w:eastAsia="宋体"/>
            </w:rPr>
            <w:t>四、升级绿色产业品质，推动乡村振兴发展</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_Toc237941419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8</w:t>
          </w:r>
          <w:r>
            <w:rPr>
              <w:rFonts w:hint="eastAsia" w:ascii="宋体" w:hAnsi="宋体" w:eastAsia="宋体"/>
            </w:rPr>
            <w:fldChar w:fldCharType="end"/>
          </w:r>
          <w:r>
            <w:rPr>
              <w:rFonts w:hint="eastAsia" w:ascii="宋体" w:hAnsi="宋体" w:eastAsia="宋体"/>
            </w:rPr>
            <w:fldChar w:fldCharType="end"/>
          </w:r>
        </w:p>
        <w:p w14:paraId="4F285C16">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"_Toc237941420" </w:instrText>
          </w:r>
          <w:r>
            <w:fldChar w:fldCharType="separate"/>
          </w:r>
          <w:r>
            <w:rPr>
              <w:rStyle w:val="31"/>
              <w:rFonts w:ascii="宋体" w:hAnsi="宋体" w:eastAsia="宋体" w:cs="Times New Roman"/>
              <w:sz w:val="28"/>
              <w:szCs w:val="28"/>
            </w:rPr>
            <w:t>（一）塑造影响力强、品质优良的果品产业</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_Toc237941420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8</w:t>
          </w:r>
          <w:r>
            <w:rPr>
              <w:rFonts w:hint="eastAsia" w:ascii="宋体" w:hAnsi="宋体" w:eastAsia="宋体"/>
              <w:sz w:val="28"/>
              <w:szCs w:val="28"/>
            </w:rPr>
            <w:fldChar w:fldCharType="end"/>
          </w:r>
          <w:r>
            <w:rPr>
              <w:rFonts w:hint="eastAsia" w:ascii="宋体" w:hAnsi="宋体" w:eastAsia="宋体"/>
              <w:sz w:val="28"/>
              <w:szCs w:val="28"/>
            </w:rPr>
            <w:fldChar w:fldCharType="end"/>
          </w:r>
        </w:p>
        <w:p w14:paraId="5A619BF2">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"_Toc237941421" </w:instrText>
          </w:r>
          <w:r>
            <w:fldChar w:fldCharType="separate"/>
          </w:r>
          <w:r>
            <w:rPr>
              <w:rStyle w:val="31"/>
              <w:rFonts w:ascii="宋体" w:hAnsi="宋体" w:eastAsia="宋体" w:cs="Times New Roman"/>
              <w:bCs/>
              <w:sz w:val="28"/>
              <w:szCs w:val="28"/>
            </w:rPr>
            <w:t>（二）激活稳中求进、现代示范的花卉产业</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_Toc237941421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9</w:t>
          </w:r>
          <w:r>
            <w:rPr>
              <w:rFonts w:hint="eastAsia" w:ascii="宋体" w:hAnsi="宋体" w:eastAsia="宋体"/>
              <w:sz w:val="28"/>
              <w:szCs w:val="28"/>
            </w:rPr>
            <w:fldChar w:fldCharType="end"/>
          </w:r>
          <w:r>
            <w:rPr>
              <w:rFonts w:hint="eastAsia" w:ascii="宋体" w:hAnsi="宋体" w:eastAsia="宋体"/>
              <w:sz w:val="28"/>
              <w:szCs w:val="28"/>
            </w:rPr>
            <w:fldChar w:fldCharType="end"/>
          </w:r>
        </w:p>
        <w:p w14:paraId="6DA87897">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"_Toc237941422" </w:instrText>
          </w:r>
          <w:r>
            <w:fldChar w:fldCharType="separate"/>
          </w:r>
          <w:r>
            <w:rPr>
              <w:rStyle w:val="31"/>
              <w:rFonts w:ascii="宋体" w:hAnsi="宋体" w:eastAsia="宋体" w:cs="Times New Roman"/>
              <w:sz w:val="28"/>
              <w:szCs w:val="28"/>
            </w:rPr>
            <w:t>（三）开发多产联动、多重赋能的蜜蜂产业</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_Toc237941422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9</w:t>
          </w:r>
          <w:r>
            <w:rPr>
              <w:rFonts w:hint="eastAsia" w:ascii="宋体" w:hAnsi="宋体" w:eastAsia="宋体"/>
              <w:sz w:val="28"/>
              <w:szCs w:val="28"/>
            </w:rPr>
            <w:fldChar w:fldCharType="end"/>
          </w:r>
          <w:r>
            <w:rPr>
              <w:rFonts w:hint="eastAsia" w:ascii="宋体" w:hAnsi="宋体" w:eastAsia="宋体"/>
              <w:sz w:val="28"/>
              <w:szCs w:val="28"/>
            </w:rPr>
            <w:fldChar w:fldCharType="end"/>
          </w:r>
        </w:p>
        <w:p w14:paraId="73272559">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"_Toc237941423" </w:instrText>
          </w:r>
          <w:r>
            <w:fldChar w:fldCharType="separate"/>
          </w:r>
          <w:r>
            <w:rPr>
              <w:rStyle w:val="31"/>
              <w:rFonts w:ascii="宋体" w:hAnsi="宋体" w:eastAsia="宋体" w:cs="Times New Roman"/>
              <w:sz w:val="28"/>
              <w:szCs w:val="28"/>
            </w:rPr>
            <w:t>（四）开创品牌引领、多点发力的林下经济产业</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_Toc237941423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9</w:t>
          </w:r>
          <w:r>
            <w:rPr>
              <w:rFonts w:hint="eastAsia" w:ascii="宋体" w:hAnsi="宋体" w:eastAsia="宋体"/>
              <w:sz w:val="28"/>
              <w:szCs w:val="28"/>
            </w:rPr>
            <w:fldChar w:fldCharType="end"/>
          </w:r>
          <w:r>
            <w:rPr>
              <w:rFonts w:hint="eastAsia" w:ascii="宋体" w:hAnsi="宋体" w:eastAsia="宋体"/>
              <w:sz w:val="28"/>
              <w:szCs w:val="28"/>
            </w:rPr>
            <w:fldChar w:fldCharType="end"/>
          </w:r>
        </w:p>
        <w:p w14:paraId="3FD0C822">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"_Toc237941424" </w:instrText>
          </w:r>
          <w:r>
            <w:fldChar w:fldCharType="separate"/>
          </w:r>
          <w:r>
            <w:rPr>
              <w:rStyle w:val="31"/>
              <w:rFonts w:ascii="宋体" w:hAnsi="宋体" w:eastAsia="宋体" w:cs="Times New Roman"/>
              <w:sz w:val="28"/>
              <w:szCs w:val="28"/>
            </w:rPr>
            <w:t>（五）挖掘跨领域合作、潜力广阔的新兴经济产业</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_Toc237941424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10</w:t>
          </w:r>
          <w:r>
            <w:rPr>
              <w:rFonts w:hint="eastAsia" w:ascii="宋体" w:hAnsi="宋体" w:eastAsia="宋体"/>
              <w:sz w:val="28"/>
              <w:szCs w:val="28"/>
            </w:rPr>
            <w:fldChar w:fldCharType="end"/>
          </w:r>
          <w:r>
            <w:rPr>
              <w:rFonts w:hint="eastAsia" w:ascii="宋体" w:hAnsi="宋体" w:eastAsia="宋体"/>
              <w:sz w:val="28"/>
              <w:szCs w:val="28"/>
            </w:rPr>
            <w:fldChar w:fldCharType="end"/>
          </w:r>
        </w:p>
        <w:p w14:paraId="479AA37B">
          <w:pPr>
            <w:pStyle w:val="24"/>
            <w:rPr>
              <w:rFonts w:hint="eastAsia" w:ascii="宋体" w:hAnsi="宋体" w:eastAsia="宋体" w:cstheme="minorBidi"/>
              <w:b w:val="0"/>
              <w:bCs w:val="0"/>
              <w:kern w:val="2"/>
              <w14:ligatures w14:val="standardContextual"/>
            </w:rPr>
          </w:pPr>
          <w:r>
            <w:fldChar w:fldCharType="begin"/>
          </w:r>
          <w:r>
            <w:instrText xml:space="preserve"> HYPERLINK \l "_Toc237941425" </w:instrText>
          </w:r>
          <w:r>
            <w:fldChar w:fldCharType="separate"/>
          </w:r>
          <w:r>
            <w:rPr>
              <w:rStyle w:val="31"/>
              <w:rFonts w:ascii="宋体" w:hAnsi="宋体" w:eastAsia="宋体"/>
            </w:rPr>
            <w:t>五、完善绿色安全体系，创新管理体制机制</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_Toc237941425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10</w:t>
          </w:r>
          <w:r>
            <w:rPr>
              <w:rFonts w:hint="eastAsia" w:ascii="宋体" w:hAnsi="宋体" w:eastAsia="宋体"/>
            </w:rPr>
            <w:fldChar w:fldCharType="end"/>
          </w:r>
          <w:r>
            <w:rPr>
              <w:rFonts w:hint="eastAsia" w:ascii="宋体" w:hAnsi="宋体" w:eastAsia="宋体"/>
            </w:rPr>
            <w:fldChar w:fldCharType="end"/>
          </w:r>
        </w:p>
        <w:p w14:paraId="127E8B70">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"_Toc237941426" </w:instrText>
          </w:r>
          <w:r>
            <w:fldChar w:fldCharType="separate"/>
          </w:r>
          <w:r>
            <w:rPr>
              <w:rStyle w:val="31"/>
              <w:rFonts w:ascii="宋体" w:hAnsi="宋体" w:eastAsia="宋体" w:cs="Times New Roman"/>
              <w:sz w:val="28"/>
              <w:szCs w:val="28"/>
            </w:rPr>
            <w:t>（一）构建完备的现代化森林防火体系</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_Toc237941426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10</w:t>
          </w:r>
          <w:r>
            <w:rPr>
              <w:rFonts w:hint="eastAsia" w:ascii="宋体" w:hAnsi="宋体" w:eastAsia="宋体"/>
              <w:sz w:val="28"/>
              <w:szCs w:val="28"/>
            </w:rPr>
            <w:fldChar w:fldCharType="end"/>
          </w:r>
          <w:r>
            <w:rPr>
              <w:rFonts w:hint="eastAsia" w:ascii="宋体" w:hAnsi="宋体" w:eastAsia="宋体"/>
              <w:sz w:val="28"/>
              <w:szCs w:val="28"/>
            </w:rPr>
            <w:fldChar w:fldCharType="end"/>
          </w:r>
        </w:p>
        <w:p w14:paraId="1BB814CB">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"_Toc237941427" </w:instrText>
          </w:r>
          <w:r>
            <w:fldChar w:fldCharType="separate"/>
          </w:r>
          <w:r>
            <w:rPr>
              <w:rStyle w:val="31"/>
              <w:rFonts w:ascii="宋体" w:hAnsi="宋体" w:eastAsia="宋体" w:cs="Times New Roman"/>
              <w:sz w:val="28"/>
              <w:szCs w:val="28"/>
            </w:rPr>
            <w:t>（二）建立科学的林业有害生物防控机制</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_Toc237941427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10</w:t>
          </w:r>
          <w:r>
            <w:rPr>
              <w:rFonts w:hint="eastAsia" w:ascii="宋体" w:hAnsi="宋体" w:eastAsia="宋体"/>
              <w:sz w:val="28"/>
              <w:szCs w:val="28"/>
            </w:rPr>
            <w:fldChar w:fldCharType="end"/>
          </w:r>
          <w:r>
            <w:rPr>
              <w:rFonts w:hint="eastAsia" w:ascii="宋体" w:hAnsi="宋体" w:eastAsia="宋体"/>
              <w:sz w:val="28"/>
              <w:szCs w:val="28"/>
            </w:rPr>
            <w:fldChar w:fldCharType="end"/>
          </w:r>
        </w:p>
        <w:p w14:paraId="00025FB4">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"_Toc237941428" </w:instrText>
          </w:r>
          <w:r>
            <w:fldChar w:fldCharType="separate"/>
          </w:r>
          <w:r>
            <w:rPr>
              <w:rStyle w:val="31"/>
              <w:rFonts w:ascii="宋体" w:hAnsi="宋体" w:eastAsia="宋体" w:cs="Times New Roman"/>
              <w:sz w:val="28"/>
              <w:szCs w:val="28"/>
            </w:rPr>
            <w:t>（三）提高园林绿化资源保护管理水平</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_Toc237941428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11</w:t>
          </w:r>
          <w:r>
            <w:rPr>
              <w:rFonts w:hint="eastAsia" w:ascii="宋体" w:hAnsi="宋体" w:eastAsia="宋体"/>
              <w:sz w:val="28"/>
              <w:szCs w:val="28"/>
            </w:rPr>
            <w:fldChar w:fldCharType="end"/>
          </w:r>
          <w:r>
            <w:rPr>
              <w:rFonts w:hint="eastAsia" w:ascii="宋体" w:hAnsi="宋体" w:eastAsia="宋体"/>
              <w:sz w:val="28"/>
              <w:szCs w:val="28"/>
            </w:rPr>
            <w:fldChar w:fldCharType="end"/>
          </w:r>
        </w:p>
        <w:p w14:paraId="761E3974">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"_Toc237941429" </w:instrText>
          </w:r>
          <w:r>
            <w:fldChar w:fldCharType="separate"/>
          </w:r>
          <w:r>
            <w:rPr>
              <w:rStyle w:val="31"/>
              <w:rFonts w:ascii="宋体" w:hAnsi="宋体" w:eastAsia="宋体" w:cs="Times New Roman"/>
              <w:sz w:val="28"/>
              <w:szCs w:val="28"/>
            </w:rPr>
            <w:t>（四）制定完善的规划监测评估制度</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_Toc237941429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11</w:t>
          </w:r>
          <w:r>
            <w:rPr>
              <w:rFonts w:hint="eastAsia" w:ascii="宋体" w:hAnsi="宋体" w:eastAsia="宋体"/>
              <w:sz w:val="28"/>
              <w:szCs w:val="28"/>
            </w:rPr>
            <w:fldChar w:fldCharType="end"/>
          </w:r>
          <w:r>
            <w:rPr>
              <w:rFonts w:hint="eastAsia" w:ascii="宋体" w:hAnsi="宋体" w:eastAsia="宋体"/>
              <w:sz w:val="28"/>
              <w:szCs w:val="28"/>
            </w:rPr>
            <w:fldChar w:fldCharType="end"/>
          </w:r>
        </w:p>
        <w:p w14:paraId="008F18C6">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"_Toc237941430" </w:instrText>
          </w:r>
          <w:r>
            <w:fldChar w:fldCharType="separate"/>
          </w:r>
          <w:r>
            <w:rPr>
              <w:rStyle w:val="31"/>
              <w:rFonts w:ascii="宋体" w:hAnsi="宋体" w:eastAsia="宋体" w:cs="Times New Roman"/>
              <w:sz w:val="28"/>
              <w:szCs w:val="28"/>
            </w:rPr>
            <w:t>（五）持续改革创新园林绿化发展体制机制</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_Toc237941430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11</w:t>
          </w:r>
          <w:r>
            <w:rPr>
              <w:rFonts w:hint="eastAsia" w:ascii="宋体" w:hAnsi="宋体" w:eastAsia="宋体"/>
              <w:sz w:val="28"/>
              <w:szCs w:val="28"/>
            </w:rPr>
            <w:fldChar w:fldCharType="end"/>
          </w:r>
          <w:r>
            <w:rPr>
              <w:rFonts w:hint="eastAsia" w:ascii="宋体" w:hAnsi="宋体" w:eastAsia="宋体"/>
              <w:sz w:val="28"/>
              <w:szCs w:val="28"/>
            </w:rPr>
            <w:fldChar w:fldCharType="end"/>
          </w:r>
        </w:p>
        <w:p w14:paraId="0CB60820">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"_Toc237941431" </w:instrText>
          </w:r>
          <w:r>
            <w:fldChar w:fldCharType="separate"/>
          </w:r>
          <w:r>
            <w:rPr>
              <w:rStyle w:val="31"/>
              <w:rFonts w:ascii="宋体" w:hAnsi="宋体" w:eastAsia="宋体" w:cs="Times New Roman"/>
              <w:sz w:val="28"/>
              <w:szCs w:val="28"/>
            </w:rPr>
            <w:t>（六）提升公园综合服务能力与精细化管养水平</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_Toc237941431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11</w:t>
          </w:r>
          <w:r>
            <w:rPr>
              <w:rFonts w:hint="eastAsia" w:ascii="宋体" w:hAnsi="宋体" w:eastAsia="宋体"/>
              <w:sz w:val="28"/>
              <w:szCs w:val="28"/>
            </w:rPr>
            <w:fldChar w:fldCharType="end"/>
          </w:r>
          <w:r>
            <w:rPr>
              <w:rFonts w:hint="eastAsia" w:ascii="宋体" w:hAnsi="宋体" w:eastAsia="宋体"/>
              <w:sz w:val="28"/>
              <w:szCs w:val="28"/>
            </w:rPr>
            <w:fldChar w:fldCharType="end"/>
          </w:r>
        </w:p>
        <w:p w14:paraId="3E625CD6">
          <w:pPr>
            <w:pStyle w:val="15"/>
            <w:tabs>
              <w:tab w:val="right" w:leader="dot" w:pos="8302"/>
            </w:tabs>
            <w:ind w:left="880"/>
            <w:rPr>
              <w:rFonts w:hint="eastAsia" w:ascii="宋体" w:hAnsi="宋体" w:eastAsia="宋体"/>
              <w:kern w:val="2"/>
              <w:sz w:val="28"/>
              <w:szCs w:val="28"/>
            </w:rPr>
          </w:pPr>
          <w:r>
            <w:fldChar w:fldCharType="begin"/>
          </w:r>
          <w:r>
            <w:instrText xml:space="preserve"> HYPERLINK \l "_Toc237941432" </w:instrText>
          </w:r>
          <w:r>
            <w:fldChar w:fldCharType="separate"/>
          </w:r>
          <w:r>
            <w:rPr>
              <w:rStyle w:val="31"/>
              <w:rFonts w:ascii="宋体" w:hAnsi="宋体" w:eastAsia="宋体" w:cs="Times New Roman"/>
              <w:sz w:val="28"/>
              <w:szCs w:val="28"/>
            </w:rPr>
            <w:t>（七）推进智慧管理平台搭建与园林绿化技术创新应用</w:t>
          </w:r>
          <w:r>
            <w:rPr>
              <w:rFonts w:hint="eastAsia" w:ascii="宋体" w:hAnsi="宋体" w:eastAsia="宋体"/>
              <w:sz w:val="28"/>
              <w:szCs w:val="28"/>
            </w:rPr>
            <w:tab/>
          </w:r>
          <w:r>
            <w:rPr>
              <w:rFonts w:hint="eastAsia" w:ascii="宋体" w:hAnsi="宋体" w:eastAsia="宋体"/>
              <w:sz w:val="28"/>
              <w:szCs w:val="28"/>
            </w:rPr>
            <w:fldChar w:fldCharType="begin"/>
          </w:r>
          <w:r>
            <w:rPr>
              <w:rFonts w:hint="eastAsia" w:ascii="宋体" w:hAnsi="宋体" w:eastAsia="宋体"/>
              <w:sz w:val="28"/>
              <w:szCs w:val="28"/>
            </w:rPr>
            <w:instrText xml:space="preserve"> </w:instrText>
          </w:r>
          <w:r>
            <w:rPr>
              <w:rFonts w:ascii="宋体" w:hAnsi="宋体" w:eastAsia="宋体"/>
              <w:sz w:val="28"/>
              <w:szCs w:val="28"/>
            </w:rPr>
            <w:instrText xml:space="preserve">PAGEREF _Toc237941432 \h</w:instrText>
          </w:r>
          <w:r>
            <w:rPr>
              <w:rFonts w:hint="eastAsia" w:ascii="宋体" w:hAnsi="宋体" w:eastAsia="宋体"/>
              <w:sz w:val="28"/>
              <w:szCs w:val="28"/>
            </w:rPr>
            <w:instrText xml:space="preserve"> </w:instrText>
          </w:r>
          <w:r>
            <w:rPr>
              <w:rFonts w:hint="eastAsia" w:ascii="宋体" w:hAnsi="宋体" w:eastAsia="宋体"/>
              <w:sz w:val="28"/>
              <w:szCs w:val="28"/>
            </w:rPr>
            <w:fldChar w:fldCharType="separate"/>
          </w:r>
          <w:r>
            <w:rPr>
              <w:rFonts w:ascii="宋体" w:hAnsi="宋体" w:eastAsia="宋体"/>
              <w:sz w:val="28"/>
              <w:szCs w:val="28"/>
            </w:rPr>
            <w:t>12</w:t>
          </w:r>
          <w:r>
            <w:rPr>
              <w:rFonts w:hint="eastAsia" w:ascii="宋体" w:hAnsi="宋体" w:eastAsia="宋体"/>
              <w:sz w:val="28"/>
              <w:szCs w:val="28"/>
            </w:rPr>
            <w:fldChar w:fldCharType="end"/>
          </w:r>
          <w:r>
            <w:rPr>
              <w:rFonts w:hint="eastAsia" w:ascii="宋体" w:hAnsi="宋体" w:eastAsia="宋体"/>
              <w:sz w:val="28"/>
              <w:szCs w:val="28"/>
            </w:rPr>
            <w:fldChar w:fldCharType="end"/>
          </w:r>
        </w:p>
        <w:p w14:paraId="5E905F56">
          <w:pPr>
            <w:pStyle w:val="20"/>
            <w:rPr>
              <w:rFonts w:hint="eastAsia" w:ascii="宋体" w:hAnsi="宋体" w:eastAsia="宋体"/>
              <w:kern w:val="2"/>
            </w:rPr>
          </w:pPr>
          <w:r>
            <w:fldChar w:fldCharType="begin"/>
          </w:r>
          <w:r>
            <w:instrText xml:space="preserve"> HYPERLINK \l "_Toc237941433" </w:instrText>
          </w:r>
          <w:r>
            <w:fldChar w:fldCharType="separate"/>
          </w:r>
          <w:r>
            <w:rPr>
              <w:rStyle w:val="31"/>
              <w:rFonts w:hint="eastAsia" w:ascii="宋体" w:hAnsi="宋体" w:eastAsia="宋体"/>
              <w:b/>
              <w:bCs/>
            </w:rPr>
            <w:t>第三章 保障措施</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_Toc237941433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12</w:t>
          </w:r>
          <w:r>
            <w:rPr>
              <w:rFonts w:hint="eastAsia" w:ascii="宋体" w:hAnsi="宋体" w:eastAsia="宋体"/>
            </w:rPr>
            <w:fldChar w:fldCharType="end"/>
          </w:r>
          <w:r>
            <w:rPr>
              <w:rFonts w:hint="eastAsia" w:ascii="宋体" w:hAnsi="宋体" w:eastAsia="宋体"/>
            </w:rPr>
            <w:fldChar w:fldCharType="end"/>
          </w:r>
        </w:p>
        <w:p w14:paraId="63A64373">
          <w:pPr>
            <w:pStyle w:val="24"/>
            <w:rPr>
              <w:rFonts w:hint="eastAsia" w:ascii="宋体" w:hAnsi="宋体" w:eastAsia="宋体" w:cstheme="minorBidi"/>
              <w:b w:val="0"/>
              <w:bCs w:val="0"/>
              <w:kern w:val="2"/>
              <w14:ligatures w14:val="standardContextual"/>
            </w:rPr>
          </w:pPr>
          <w:r>
            <w:fldChar w:fldCharType="begin"/>
          </w:r>
          <w:r>
            <w:instrText xml:space="preserve"> HYPERLINK \l "_Toc237941434" </w:instrText>
          </w:r>
          <w:r>
            <w:fldChar w:fldCharType="separate"/>
          </w:r>
          <w:r>
            <w:rPr>
              <w:rStyle w:val="31"/>
              <w:rFonts w:ascii="宋体" w:hAnsi="宋体" w:eastAsia="宋体"/>
            </w:rPr>
            <w:t>一、强化组织领导</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_Toc237941434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12</w:t>
          </w:r>
          <w:r>
            <w:rPr>
              <w:rFonts w:hint="eastAsia" w:ascii="宋体" w:hAnsi="宋体" w:eastAsia="宋体"/>
            </w:rPr>
            <w:fldChar w:fldCharType="end"/>
          </w:r>
          <w:r>
            <w:rPr>
              <w:rFonts w:hint="eastAsia" w:ascii="宋体" w:hAnsi="宋体" w:eastAsia="宋体"/>
            </w:rPr>
            <w:fldChar w:fldCharType="end"/>
          </w:r>
        </w:p>
        <w:p w14:paraId="7C76917A">
          <w:pPr>
            <w:pStyle w:val="24"/>
            <w:rPr>
              <w:rFonts w:hint="eastAsia" w:ascii="宋体" w:hAnsi="宋体" w:eastAsia="宋体" w:cstheme="minorBidi"/>
              <w:b w:val="0"/>
              <w:bCs w:val="0"/>
              <w:kern w:val="2"/>
              <w14:ligatures w14:val="standardContextual"/>
            </w:rPr>
          </w:pPr>
          <w:r>
            <w:fldChar w:fldCharType="begin"/>
          </w:r>
          <w:r>
            <w:instrText xml:space="preserve"> HYPERLINK \l "_Toc237941435" </w:instrText>
          </w:r>
          <w:r>
            <w:fldChar w:fldCharType="separate"/>
          </w:r>
          <w:r>
            <w:rPr>
              <w:rStyle w:val="31"/>
              <w:rFonts w:ascii="宋体" w:hAnsi="宋体" w:eastAsia="宋体"/>
            </w:rPr>
            <w:t>二、优化队伍建设</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_Toc237941435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12</w:t>
          </w:r>
          <w:r>
            <w:rPr>
              <w:rFonts w:hint="eastAsia" w:ascii="宋体" w:hAnsi="宋体" w:eastAsia="宋体"/>
            </w:rPr>
            <w:fldChar w:fldCharType="end"/>
          </w:r>
          <w:r>
            <w:rPr>
              <w:rFonts w:hint="eastAsia" w:ascii="宋体" w:hAnsi="宋体" w:eastAsia="宋体"/>
            </w:rPr>
            <w:fldChar w:fldCharType="end"/>
          </w:r>
        </w:p>
        <w:p w14:paraId="6BB7FB71">
          <w:pPr>
            <w:pStyle w:val="24"/>
            <w:rPr>
              <w:rFonts w:hint="eastAsia" w:ascii="宋体" w:hAnsi="宋体" w:eastAsia="宋体" w:cstheme="minorBidi"/>
              <w:b w:val="0"/>
              <w:bCs w:val="0"/>
              <w:kern w:val="2"/>
              <w14:ligatures w14:val="standardContextual"/>
            </w:rPr>
          </w:pPr>
          <w:r>
            <w:fldChar w:fldCharType="begin"/>
          </w:r>
          <w:r>
            <w:instrText xml:space="preserve"> HYPERLINK \l "_Toc237941436" </w:instrText>
          </w:r>
          <w:r>
            <w:fldChar w:fldCharType="separate"/>
          </w:r>
          <w:r>
            <w:rPr>
              <w:rStyle w:val="31"/>
              <w:rFonts w:ascii="宋体" w:hAnsi="宋体" w:eastAsia="宋体"/>
            </w:rPr>
            <w:t>三、坚持谋划带动</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_Toc237941436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13</w:t>
          </w:r>
          <w:r>
            <w:rPr>
              <w:rFonts w:hint="eastAsia" w:ascii="宋体" w:hAnsi="宋体" w:eastAsia="宋体"/>
            </w:rPr>
            <w:fldChar w:fldCharType="end"/>
          </w:r>
          <w:r>
            <w:rPr>
              <w:rFonts w:hint="eastAsia" w:ascii="宋体" w:hAnsi="宋体" w:eastAsia="宋体"/>
            </w:rPr>
            <w:fldChar w:fldCharType="end"/>
          </w:r>
        </w:p>
        <w:p w14:paraId="0C35FD4A">
          <w:pPr>
            <w:pStyle w:val="24"/>
            <w:rPr>
              <w:rFonts w:hint="eastAsia" w:ascii="宋体" w:hAnsi="宋体" w:eastAsia="宋体" w:cstheme="minorBidi"/>
              <w:b w:val="0"/>
              <w:bCs w:val="0"/>
              <w:kern w:val="2"/>
              <w14:ligatures w14:val="standardContextual"/>
            </w:rPr>
          </w:pPr>
          <w:r>
            <w:fldChar w:fldCharType="begin"/>
          </w:r>
          <w:r>
            <w:instrText xml:space="preserve"> HYPERLINK \l "_Toc237941437" </w:instrText>
          </w:r>
          <w:r>
            <w:fldChar w:fldCharType="separate"/>
          </w:r>
          <w:r>
            <w:rPr>
              <w:rStyle w:val="31"/>
              <w:rFonts w:ascii="宋体" w:hAnsi="宋体" w:eastAsia="宋体"/>
            </w:rPr>
            <w:t>四、加强政策支撑</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_Toc237941437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13</w:t>
          </w:r>
          <w:r>
            <w:rPr>
              <w:rFonts w:hint="eastAsia" w:ascii="宋体" w:hAnsi="宋体" w:eastAsia="宋体"/>
            </w:rPr>
            <w:fldChar w:fldCharType="end"/>
          </w:r>
          <w:r>
            <w:rPr>
              <w:rFonts w:hint="eastAsia" w:ascii="宋体" w:hAnsi="宋体" w:eastAsia="宋体"/>
            </w:rPr>
            <w:fldChar w:fldCharType="end"/>
          </w:r>
        </w:p>
        <w:p w14:paraId="0E42AE44">
          <w:pPr>
            <w:pStyle w:val="24"/>
            <w:rPr>
              <w:rFonts w:hint="eastAsia" w:ascii="宋体" w:hAnsi="宋体" w:eastAsia="宋体" w:cstheme="minorBidi"/>
              <w:b w:val="0"/>
              <w:bCs w:val="0"/>
              <w:kern w:val="2"/>
              <w14:ligatures w14:val="standardContextual"/>
            </w:rPr>
          </w:pPr>
          <w:r>
            <w:fldChar w:fldCharType="begin"/>
          </w:r>
          <w:r>
            <w:instrText xml:space="preserve"> HYPERLINK \l "_Toc237941438" </w:instrText>
          </w:r>
          <w:r>
            <w:fldChar w:fldCharType="separate"/>
          </w:r>
          <w:r>
            <w:rPr>
              <w:rStyle w:val="31"/>
              <w:rFonts w:ascii="宋体" w:hAnsi="宋体" w:eastAsia="宋体"/>
            </w:rPr>
            <w:t>五、优化资金筹措</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_Toc237941438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13</w:t>
          </w:r>
          <w:r>
            <w:rPr>
              <w:rFonts w:hint="eastAsia" w:ascii="宋体" w:hAnsi="宋体" w:eastAsia="宋体"/>
            </w:rPr>
            <w:fldChar w:fldCharType="end"/>
          </w:r>
          <w:r>
            <w:rPr>
              <w:rFonts w:hint="eastAsia" w:ascii="宋体" w:hAnsi="宋体" w:eastAsia="宋体"/>
            </w:rPr>
            <w:fldChar w:fldCharType="end"/>
          </w:r>
        </w:p>
        <w:p w14:paraId="2F242AE4">
          <w:pPr>
            <w:pStyle w:val="24"/>
            <w:rPr>
              <w:rFonts w:hint="eastAsia" w:ascii="宋体" w:hAnsi="宋体" w:eastAsia="宋体" w:cstheme="minorBidi"/>
              <w:b w:val="0"/>
              <w:bCs w:val="0"/>
              <w:kern w:val="2"/>
              <w14:ligatures w14:val="standardContextual"/>
            </w:rPr>
          </w:pPr>
          <w:r>
            <w:fldChar w:fldCharType="begin"/>
          </w:r>
          <w:r>
            <w:instrText xml:space="preserve"> HYPERLINK \l "_Toc237941439" </w:instrText>
          </w:r>
          <w:r>
            <w:fldChar w:fldCharType="separate"/>
          </w:r>
          <w:r>
            <w:rPr>
              <w:rStyle w:val="31"/>
              <w:rFonts w:ascii="宋体" w:hAnsi="宋体" w:eastAsia="宋体"/>
            </w:rPr>
            <w:t>六、加大宣传引导</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_Toc237941439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13</w:t>
          </w:r>
          <w:r>
            <w:rPr>
              <w:rFonts w:hint="eastAsia" w:ascii="宋体" w:hAnsi="宋体" w:eastAsia="宋体"/>
            </w:rPr>
            <w:fldChar w:fldCharType="end"/>
          </w:r>
          <w:r>
            <w:rPr>
              <w:rFonts w:hint="eastAsia" w:ascii="宋体" w:hAnsi="宋体" w:eastAsia="宋体"/>
            </w:rPr>
            <w:fldChar w:fldCharType="end"/>
          </w:r>
        </w:p>
        <w:p w14:paraId="198E2B8C">
          <w:r>
            <w:rPr>
              <w:rFonts w:ascii="宋体" w:hAnsi="宋体" w:eastAsia="宋体"/>
              <w:b/>
              <w:bCs/>
              <w:sz w:val="28"/>
              <w:szCs w:val="28"/>
              <w:lang w:val="zh-CN"/>
            </w:rPr>
            <w:fldChar w:fldCharType="end"/>
          </w:r>
        </w:p>
      </w:sdtContent>
    </w:sdt>
    <w:p w14:paraId="7E294E9B">
      <w:pPr>
        <w:widowControl w:val="0"/>
        <w:adjustRightInd/>
        <w:snapToGrid/>
        <w:spacing w:after="0" w:line="700" w:lineRule="exact"/>
        <w:rPr>
          <w:rFonts w:hint="eastAsia" w:ascii="黑体" w:hAnsi="黑体" w:eastAsia="黑体"/>
          <w:b/>
          <w:bCs/>
          <w:sz w:val="40"/>
          <w:szCs w:val="52"/>
        </w:rPr>
        <w:sectPr>
          <w:footerReference r:id="rId4" w:type="default"/>
          <w:pgSz w:w="11906" w:h="16838"/>
          <w:pgMar w:top="1440" w:right="1797" w:bottom="1440" w:left="1797" w:header="851" w:footer="992" w:gutter="0"/>
          <w:cols w:space="425" w:num="1"/>
          <w:docGrid w:type="lines" w:linePitch="312" w:charSpace="0"/>
        </w:sectPr>
      </w:pPr>
    </w:p>
    <w:p w14:paraId="11B98BB8">
      <w:pPr>
        <w:pStyle w:val="53"/>
        <w:widowControl w:val="0"/>
        <w:spacing w:before="156" w:beforeLines="50" w:after="156" w:afterLines="50" w:line="560" w:lineRule="exact"/>
        <w:jc w:val="center"/>
        <w:rPr>
          <w:rFonts w:hint="eastAsia" w:ascii="黑体" w:hAnsi="黑体" w:eastAsia="黑体"/>
          <w:bCs w:val="0"/>
          <w:sz w:val="32"/>
          <w:szCs w:val="40"/>
        </w:rPr>
      </w:pPr>
      <w:bookmarkStart w:id="1" w:name="_Toc237941397"/>
      <w:r>
        <w:rPr>
          <w:rFonts w:hint="eastAsia" w:ascii="黑体" w:hAnsi="黑体" w:eastAsia="黑体"/>
          <w:bCs w:val="0"/>
          <w:sz w:val="32"/>
          <w:szCs w:val="40"/>
        </w:rPr>
        <w:t>第一章 规划目标</w:t>
      </w:r>
      <w:bookmarkEnd w:id="1"/>
    </w:p>
    <w:p w14:paraId="1631CB9E">
      <w:pPr>
        <w:spacing w:after="0" w:line="360" w:lineRule="auto"/>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以“共建山水林城交融共生的花园昌平”为总体目标，在助力强化“三廊”结构骨架、深化“四带”特色发展基础上，美丽昌平建设取得重大进展，</w:t>
      </w:r>
      <w:r>
        <w:rPr>
          <w:rFonts w:ascii="仿宋_GB2312" w:hAnsi="仿宋_GB2312" w:eastAsia="仿宋_GB2312" w:cs="仿宋_GB2312"/>
          <w:bCs/>
          <w:sz w:val="28"/>
          <w:szCs w:val="28"/>
          <w14:ligatures w14:val="none"/>
        </w:rPr>
        <w:t>生态环境质量明显改善，</w:t>
      </w:r>
      <w:r>
        <w:rPr>
          <w:rFonts w:hint="eastAsia" w:ascii="仿宋_GB2312" w:hAnsi="仿宋_GB2312" w:eastAsia="仿宋_GB2312" w:cs="仿宋_GB2312"/>
          <w:bCs/>
          <w:sz w:val="28"/>
          <w:szCs w:val="28"/>
          <w14:ligatures w14:val="none"/>
        </w:rPr>
        <w:t>花园城市与绿道体系建设连片连通，京北生态走廊初步形成；到2030年，全区森林覆盖率达到40.88%，城市绿化覆盖率达到50.7%，人均公园绿地面积达到20平方米，建成区公园绿地500米服务半径覆盖率达到94%，彩化率达到25.3%等（见表1-1），实现区域生态格局持续锚固，公园游憩体系全面构建，城乡人居环境花园式焕新，绿产文融合发展能力进一步提升，现代化治理水平有序高效强化，形成一批代表性强、口碑优良的优质绿色产品，建成一系列影响力与吸引力俱佳的精品示范项目，打响花园昌平绿色品牌。</w:t>
      </w:r>
    </w:p>
    <w:p w14:paraId="0F5D219A">
      <w:pPr>
        <w:spacing w:before="156" w:beforeLines="50" w:after="156" w:afterLines="50"/>
        <w:jc w:val="center"/>
        <w:rPr>
          <w:rFonts w:hint="eastAsia" w:ascii="黑体" w:hAnsi="黑体" w:eastAsia="黑体" w:cs="黑体"/>
          <w:b/>
          <w:bCs/>
          <w:sz w:val="24"/>
          <w:szCs w:val="24"/>
        </w:rPr>
      </w:pPr>
      <w:r>
        <w:rPr>
          <w:rFonts w:hint="eastAsia" w:ascii="黑体" w:hAnsi="黑体" w:eastAsia="黑体" w:cs="黑体"/>
          <w:b/>
          <w:bCs/>
          <w:sz w:val="24"/>
          <w:szCs w:val="24"/>
        </w:rPr>
        <w:t>表1-1 昌平区“十五五”时期园林绿化发展规划主要指标表</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2"/>
        <w:gridCol w:w="3440"/>
        <w:gridCol w:w="1456"/>
        <w:gridCol w:w="1462"/>
        <w:gridCol w:w="989"/>
      </w:tblGrid>
      <w:tr w14:paraId="4A9D0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82" w:type="dxa"/>
            <w:vAlign w:val="center"/>
          </w:tcPr>
          <w:p w14:paraId="02DEC314">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序号</w:t>
            </w:r>
          </w:p>
        </w:tc>
        <w:tc>
          <w:tcPr>
            <w:tcW w:w="3440" w:type="dxa"/>
            <w:vAlign w:val="center"/>
          </w:tcPr>
          <w:p w14:paraId="36EE773C">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主要发展指标</w:t>
            </w:r>
          </w:p>
        </w:tc>
        <w:tc>
          <w:tcPr>
            <w:tcW w:w="1456" w:type="dxa"/>
            <w:vAlign w:val="center"/>
          </w:tcPr>
          <w:p w14:paraId="75610FA3">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2025年</w:t>
            </w:r>
          </w:p>
        </w:tc>
        <w:tc>
          <w:tcPr>
            <w:tcW w:w="1462" w:type="dxa"/>
            <w:vAlign w:val="center"/>
          </w:tcPr>
          <w:p w14:paraId="27A1E511">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2030年</w:t>
            </w:r>
          </w:p>
          <w:p w14:paraId="08DD729A">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规划值</w:t>
            </w:r>
          </w:p>
        </w:tc>
        <w:tc>
          <w:tcPr>
            <w:tcW w:w="989" w:type="dxa"/>
            <w:vAlign w:val="center"/>
          </w:tcPr>
          <w:p w14:paraId="328244FA">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属性</w:t>
            </w:r>
          </w:p>
        </w:tc>
      </w:tr>
      <w:tr w14:paraId="34D9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82" w:type="dxa"/>
            <w:vAlign w:val="center"/>
          </w:tcPr>
          <w:p w14:paraId="05E80C23">
            <w:pPr>
              <w:adjustRightInd/>
              <w:snapToGrid/>
              <w:spacing w:after="0" w:line="278"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1</w:t>
            </w:r>
          </w:p>
        </w:tc>
        <w:tc>
          <w:tcPr>
            <w:tcW w:w="3440" w:type="dxa"/>
            <w:vAlign w:val="center"/>
          </w:tcPr>
          <w:p w14:paraId="322657A2">
            <w:pPr>
              <w:adjustRightInd/>
              <w:snapToGrid/>
              <w:spacing w:after="0" w:line="278"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森林覆盖率（%）</w:t>
            </w:r>
          </w:p>
        </w:tc>
        <w:tc>
          <w:tcPr>
            <w:tcW w:w="1456" w:type="dxa"/>
            <w:vAlign w:val="center"/>
          </w:tcPr>
          <w:p w14:paraId="03FCAF2E">
            <w:pPr>
              <w:adjustRightInd/>
              <w:snapToGrid/>
              <w:spacing w:after="0" w:line="278"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40.38</w:t>
            </w:r>
          </w:p>
        </w:tc>
        <w:tc>
          <w:tcPr>
            <w:tcW w:w="1462" w:type="dxa"/>
            <w:vAlign w:val="center"/>
          </w:tcPr>
          <w:p w14:paraId="0FD93C93">
            <w:pPr>
              <w:adjustRightInd/>
              <w:snapToGrid/>
              <w:spacing w:after="0" w:line="278"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40.88</w:t>
            </w:r>
          </w:p>
        </w:tc>
        <w:tc>
          <w:tcPr>
            <w:tcW w:w="989" w:type="dxa"/>
            <w:vAlign w:val="center"/>
          </w:tcPr>
          <w:p w14:paraId="1BF5841C">
            <w:pPr>
              <w:adjustRightInd/>
              <w:snapToGrid/>
              <w:spacing w:after="0" w:line="278"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约束性</w:t>
            </w:r>
          </w:p>
        </w:tc>
      </w:tr>
      <w:tr w14:paraId="667C8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82" w:type="dxa"/>
            <w:vAlign w:val="center"/>
          </w:tcPr>
          <w:p w14:paraId="24E14295">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2</w:t>
            </w:r>
          </w:p>
        </w:tc>
        <w:tc>
          <w:tcPr>
            <w:tcW w:w="3440" w:type="dxa"/>
            <w:vAlign w:val="center"/>
          </w:tcPr>
          <w:p w14:paraId="70C40E7D">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森林蓄积量（万立方米）</w:t>
            </w:r>
          </w:p>
        </w:tc>
        <w:tc>
          <w:tcPr>
            <w:tcW w:w="1456" w:type="dxa"/>
            <w:vAlign w:val="center"/>
          </w:tcPr>
          <w:p w14:paraId="2C6CD2BD">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182.16</w:t>
            </w:r>
          </w:p>
        </w:tc>
        <w:tc>
          <w:tcPr>
            <w:tcW w:w="1462" w:type="dxa"/>
            <w:vAlign w:val="center"/>
          </w:tcPr>
          <w:p w14:paraId="65DD63EA">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195</w:t>
            </w:r>
          </w:p>
        </w:tc>
        <w:tc>
          <w:tcPr>
            <w:tcW w:w="989" w:type="dxa"/>
            <w:vAlign w:val="center"/>
          </w:tcPr>
          <w:p w14:paraId="794EFE3E">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约束性</w:t>
            </w:r>
          </w:p>
        </w:tc>
      </w:tr>
      <w:tr w14:paraId="3B35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82" w:type="dxa"/>
            <w:vAlign w:val="center"/>
          </w:tcPr>
          <w:p w14:paraId="51A6D9E3">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3</w:t>
            </w:r>
          </w:p>
        </w:tc>
        <w:tc>
          <w:tcPr>
            <w:tcW w:w="3440" w:type="dxa"/>
            <w:vAlign w:val="center"/>
          </w:tcPr>
          <w:p w14:paraId="0901C990">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城市绿化覆盖率（%）</w:t>
            </w:r>
          </w:p>
        </w:tc>
        <w:tc>
          <w:tcPr>
            <w:tcW w:w="1456" w:type="dxa"/>
            <w:vAlign w:val="center"/>
          </w:tcPr>
          <w:p w14:paraId="249E429A">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49.29</w:t>
            </w:r>
          </w:p>
        </w:tc>
        <w:tc>
          <w:tcPr>
            <w:tcW w:w="1462" w:type="dxa"/>
            <w:vAlign w:val="center"/>
          </w:tcPr>
          <w:p w14:paraId="666DC4A4">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50.7</w:t>
            </w:r>
          </w:p>
        </w:tc>
        <w:tc>
          <w:tcPr>
            <w:tcW w:w="989" w:type="dxa"/>
            <w:vAlign w:val="center"/>
          </w:tcPr>
          <w:p w14:paraId="1C1DB859">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约束性</w:t>
            </w:r>
          </w:p>
        </w:tc>
      </w:tr>
      <w:tr w14:paraId="5E6B2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82" w:type="dxa"/>
            <w:vAlign w:val="center"/>
          </w:tcPr>
          <w:p w14:paraId="1F43DB6E">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4</w:t>
            </w:r>
          </w:p>
        </w:tc>
        <w:tc>
          <w:tcPr>
            <w:tcW w:w="3440" w:type="dxa"/>
            <w:vAlign w:val="center"/>
          </w:tcPr>
          <w:p w14:paraId="0945D8BD">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人均公园绿地面积（平方米）</w:t>
            </w:r>
          </w:p>
        </w:tc>
        <w:tc>
          <w:tcPr>
            <w:tcW w:w="1456" w:type="dxa"/>
            <w:vAlign w:val="center"/>
          </w:tcPr>
          <w:p w14:paraId="579892F7">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17.27</w:t>
            </w:r>
          </w:p>
        </w:tc>
        <w:tc>
          <w:tcPr>
            <w:tcW w:w="1462" w:type="dxa"/>
            <w:vAlign w:val="center"/>
          </w:tcPr>
          <w:p w14:paraId="134AF270">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20</w:t>
            </w:r>
          </w:p>
        </w:tc>
        <w:tc>
          <w:tcPr>
            <w:tcW w:w="989" w:type="dxa"/>
            <w:vAlign w:val="center"/>
          </w:tcPr>
          <w:p w14:paraId="3D436AF6">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约束性</w:t>
            </w:r>
          </w:p>
        </w:tc>
      </w:tr>
      <w:tr w14:paraId="3FE9B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82" w:type="dxa"/>
            <w:vAlign w:val="center"/>
          </w:tcPr>
          <w:p w14:paraId="4F1D3EDA">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5</w:t>
            </w:r>
          </w:p>
        </w:tc>
        <w:tc>
          <w:tcPr>
            <w:tcW w:w="3440" w:type="dxa"/>
            <w:vAlign w:val="center"/>
          </w:tcPr>
          <w:p w14:paraId="30011766">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建成区公园绿地500米服务半径覆盖率（%）</w:t>
            </w:r>
          </w:p>
        </w:tc>
        <w:tc>
          <w:tcPr>
            <w:tcW w:w="1456" w:type="dxa"/>
            <w:vAlign w:val="center"/>
          </w:tcPr>
          <w:p w14:paraId="34EB749B">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93.52</w:t>
            </w:r>
          </w:p>
        </w:tc>
        <w:tc>
          <w:tcPr>
            <w:tcW w:w="1462" w:type="dxa"/>
            <w:vAlign w:val="center"/>
          </w:tcPr>
          <w:p w14:paraId="47E51BE6">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94</w:t>
            </w:r>
          </w:p>
        </w:tc>
        <w:tc>
          <w:tcPr>
            <w:tcW w:w="989" w:type="dxa"/>
            <w:vAlign w:val="center"/>
          </w:tcPr>
          <w:p w14:paraId="3B6C2C3C">
            <w:pPr>
              <w:adjustRightInd/>
              <w:snapToGrid/>
              <w:spacing w:after="0" w:line="240"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约束性</w:t>
            </w:r>
          </w:p>
        </w:tc>
      </w:tr>
      <w:tr w14:paraId="39440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82" w:type="dxa"/>
            <w:vAlign w:val="center"/>
          </w:tcPr>
          <w:p w14:paraId="0574E7E7">
            <w:pPr>
              <w:adjustRightInd/>
              <w:snapToGrid/>
              <w:spacing w:after="0" w:line="278"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6</w:t>
            </w:r>
          </w:p>
        </w:tc>
        <w:tc>
          <w:tcPr>
            <w:tcW w:w="3440" w:type="dxa"/>
            <w:vAlign w:val="center"/>
          </w:tcPr>
          <w:p w14:paraId="70F1459B">
            <w:pPr>
              <w:adjustRightInd/>
              <w:snapToGrid/>
              <w:spacing w:after="0" w:line="278"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rPr>
              <w:t>森林火灾受害率（‰）</w:t>
            </w:r>
          </w:p>
        </w:tc>
        <w:tc>
          <w:tcPr>
            <w:tcW w:w="1456" w:type="dxa"/>
            <w:vAlign w:val="center"/>
          </w:tcPr>
          <w:p w14:paraId="73085074">
            <w:pPr>
              <w:adjustRightInd/>
              <w:snapToGrid/>
              <w:spacing w:after="0" w:line="278"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rPr>
              <w:t>≤0.7</w:t>
            </w:r>
          </w:p>
        </w:tc>
        <w:tc>
          <w:tcPr>
            <w:tcW w:w="1462" w:type="dxa"/>
            <w:vAlign w:val="center"/>
          </w:tcPr>
          <w:p w14:paraId="210369CE">
            <w:pPr>
              <w:adjustRightInd/>
              <w:snapToGrid/>
              <w:spacing w:after="0" w:line="278"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rPr>
              <w:t>≤0.5</w:t>
            </w:r>
          </w:p>
        </w:tc>
        <w:tc>
          <w:tcPr>
            <w:tcW w:w="989" w:type="dxa"/>
            <w:vAlign w:val="center"/>
          </w:tcPr>
          <w:p w14:paraId="1AFEBA76">
            <w:pPr>
              <w:adjustRightInd/>
              <w:snapToGrid/>
              <w:spacing w:after="0" w:line="278"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约束性</w:t>
            </w:r>
          </w:p>
        </w:tc>
      </w:tr>
      <w:tr w14:paraId="35913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82" w:type="dxa"/>
            <w:vAlign w:val="center"/>
          </w:tcPr>
          <w:p w14:paraId="0165EA19">
            <w:pPr>
              <w:adjustRightInd/>
              <w:snapToGrid/>
              <w:spacing w:after="0" w:line="278"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7</w:t>
            </w:r>
          </w:p>
        </w:tc>
        <w:tc>
          <w:tcPr>
            <w:tcW w:w="3440" w:type="dxa"/>
            <w:vAlign w:val="center"/>
          </w:tcPr>
          <w:p w14:paraId="4E6C7C82">
            <w:pPr>
              <w:adjustRightInd/>
              <w:snapToGrid/>
              <w:spacing w:after="0" w:line="278" w:lineRule="auto"/>
              <w:jc w:val="center"/>
              <w:rPr>
                <w:rFonts w:hint="eastAsia" w:ascii="仿宋_GB2312" w:hAnsi="仿宋_GB2312" w:eastAsia="仿宋_GB2312" w:cs="仿宋_GB2312"/>
                <w:sz w:val="24"/>
                <w:szCs w:val="24"/>
                <w14:ligatures w14:val="none"/>
              </w:rPr>
            </w:pPr>
            <w:r>
              <w:rPr>
                <w:rFonts w:hint="eastAsia" w:ascii="仿宋_GB2312" w:hAnsi="仿宋_GB2312" w:eastAsia="仿宋_GB2312" w:cs="仿宋_GB2312"/>
                <w:sz w:val="24"/>
                <w:szCs w:val="24"/>
                <w14:ligatures w14:val="none"/>
              </w:rPr>
              <w:t>彩化率（%）★</w:t>
            </w:r>
          </w:p>
        </w:tc>
        <w:tc>
          <w:tcPr>
            <w:tcW w:w="1456" w:type="dxa"/>
            <w:shd w:val="clear" w:color="auto" w:fill="auto"/>
            <w:vAlign w:val="center"/>
          </w:tcPr>
          <w:p w14:paraId="32F16F9A">
            <w:pPr>
              <w:pStyle w:val="2"/>
              <w:spacing w:line="320" w:lineRule="exact"/>
              <w:ind w:firstLine="0" w:firstLineChars="0"/>
              <w:jc w:val="center"/>
              <w:rPr>
                <w:rFonts w:hint="eastAsia" w:ascii="仿宋_GB2312" w:hAnsi="仿宋_GB2312" w:eastAsia="仿宋_GB2312" w:cs="仿宋_GB2312"/>
                <w:kern w:val="2"/>
                <w:sz w:val="24"/>
                <w:szCs w:val="20"/>
                <w:lang w:val="en-US" w:eastAsia="zh-CN" w:bidi="ar-SA"/>
                <w14:ligatures w14:val="none"/>
              </w:rPr>
            </w:pPr>
            <w:r>
              <w:rPr>
                <w:rFonts w:hint="eastAsia" w:ascii="仿宋_GB2312" w:hAnsi="仿宋_GB2312" w:eastAsia="仿宋_GB2312" w:cs="仿宋_GB2312"/>
                <w:sz w:val="24"/>
                <w:szCs w:val="24"/>
                <w14:ligatures w14:val="none"/>
              </w:rPr>
              <w:t>24.3</w:t>
            </w:r>
          </w:p>
        </w:tc>
        <w:tc>
          <w:tcPr>
            <w:tcW w:w="1462" w:type="dxa"/>
            <w:shd w:val="clear" w:color="auto" w:fill="auto"/>
            <w:vAlign w:val="center"/>
          </w:tcPr>
          <w:p w14:paraId="735341C1">
            <w:pPr>
              <w:pStyle w:val="2"/>
              <w:spacing w:line="320" w:lineRule="exact"/>
              <w:ind w:firstLine="0" w:firstLineChars="0"/>
              <w:jc w:val="center"/>
              <w:rPr>
                <w:rFonts w:hint="eastAsia" w:ascii="仿宋_GB2312" w:hAnsi="仿宋_GB2312" w:eastAsia="仿宋_GB2312" w:cs="仿宋_GB2312"/>
                <w:kern w:val="2"/>
                <w:sz w:val="24"/>
                <w:szCs w:val="20"/>
                <w:lang w:val="en-US" w:eastAsia="zh-CN" w:bidi="ar-SA"/>
                <w14:ligatures w14:val="none"/>
              </w:rPr>
            </w:pPr>
            <w:r>
              <w:rPr>
                <w:rFonts w:hint="eastAsia" w:ascii="仿宋_GB2312" w:hAnsi="仿宋_GB2312" w:eastAsia="仿宋_GB2312" w:cs="仿宋_GB2312"/>
                <w:sz w:val="24"/>
                <w:szCs w:val="24"/>
                <w14:ligatures w14:val="none"/>
              </w:rPr>
              <w:t>25.3</w:t>
            </w:r>
          </w:p>
        </w:tc>
        <w:tc>
          <w:tcPr>
            <w:tcW w:w="989" w:type="dxa"/>
            <w:vAlign w:val="center"/>
          </w:tcPr>
          <w:p w14:paraId="5C0E8F02">
            <w:pPr>
              <w:adjustRightInd/>
              <w:snapToGrid/>
              <w:spacing w:after="0" w:line="278" w:lineRule="auto"/>
              <w:jc w:val="center"/>
              <w:rPr>
                <w:rFonts w:hint="eastAsia" w:ascii="仿宋_GB2312" w:hAnsi="仿宋_GB2312" w:eastAsia="仿宋_GB2312" w:cs="仿宋_GB2312"/>
                <w:sz w:val="24"/>
                <w:szCs w:val="24"/>
                <w:lang w:eastAsia="zh-CN"/>
                <w14:ligatures w14:val="none"/>
              </w:rPr>
            </w:pPr>
            <w:r>
              <w:rPr>
                <w:rFonts w:hint="eastAsia" w:ascii="仿宋_GB2312" w:hAnsi="仿宋_GB2312" w:eastAsia="仿宋_GB2312" w:cs="仿宋_GB2312"/>
                <w:sz w:val="24"/>
                <w:szCs w:val="24"/>
                <w:lang w:eastAsia="zh-CN"/>
                <w14:ligatures w14:val="none"/>
              </w:rPr>
              <w:t>约束性</w:t>
            </w:r>
          </w:p>
        </w:tc>
      </w:tr>
      <w:tr w14:paraId="7FD77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82" w:type="dxa"/>
            <w:vAlign w:val="center"/>
          </w:tcPr>
          <w:p w14:paraId="004344FE">
            <w:pPr>
              <w:adjustRightInd/>
              <w:snapToGrid/>
              <w:spacing w:after="0" w:line="278" w:lineRule="auto"/>
              <w:jc w:val="center"/>
              <w:rPr>
                <w:rFonts w:hint="eastAsia" w:ascii="仿宋_GB2312" w:hAnsi="仿宋_GB2312" w:eastAsia="仿宋_GB2312" w:cs="仿宋_GB2312"/>
                <w:sz w:val="24"/>
                <w:szCs w:val="24"/>
                <w:lang w:val="en-US" w:eastAsia="zh-CN"/>
                <w14:ligatures w14:val="none"/>
              </w:rPr>
            </w:pPr>
            <w:bookmarkStart w:id="2" w:name="_Toc237941398"/>
            <w:r>
              <w:rPr>
                <w:rFonts w:hint="eastAsia" w:ascii="仿宋_GB2312" w:hAnsi="仿宋_GB2312" w:eastAsia="仿宋_GB2312" w:cs="仿宋_GB2312"/>
                <w:sz w:val="24"/>
                <w:szCs w:val="24"/>
                <w:lang w:val="en-US" w:eastAsia="zh-CN"/>
                <w14:ligatures w14:val="none"/>
              </w:rPr>
              <w:t>8</w:t>
            </w:r>
          </w:p>
        </w:tc>
        <w:tc>
          <w:tcPr>
            <w:tcW w:w="3440" w:type="dxa"/>
            <w:shd w:val="clear" w:color="auto" w:fill="auto"/>
            <w:vAlign w:val="center"/>
          </w:tcPr>
          <w:p w14:paraId="3AF61357">
            <w:pPr>
              <w:adjustRightInd/>
              <w:snapToGrid/>
              <w:spacing w:after="0" w:line="278" w:lineRule="auto"/>
              <w:jc w:val="center"/>
              <w:rPr>
                <w:rFonts w:hint="eastAsia" w:ascii="仿宋_GB2312" w:hAnsi="仿宋_GB2312" w:eastAsia="仿宋_GB2312" w:cs="仿宋_GB2312"/>
                <w:sz w:val="24"/>
                <w:szCs w:val="24"/>
                <w:lang w:val="en-US" w:eastAsia="zh-CN" w:bidi="ar-SA"/>
                <w14:ligatures w14:val="none"/>
              </w:rPr>
            </w:pPr>
            <w:r>
              <w:rPr>
                <w:rFonts w:hint="eastAsia" w:ascii="仿宋_GB2312" w:hAnsi="仿宋_GB2312" w:eastAsia="仿宋_GB2312" w:cs="仿宋_GB2312"/>
                <w:sz w:val="24"/>
                <w:szCs w:val="24"/>
                <w14:ligatures w14:val="none"/>
              </w:rPr>
              <w:t>万人拥有绿道长度（千米）</w:t>
            </w:r>
          </w:p>
        </w:tc>
        <w:tc>
          <w:tcPr>
            <w:tcW w:w="1456" w:type="dxa"/>
            <w:shd w:val="clear" w:color="auto" w:fill="auto"/>
            <w:vAlign w:val="center"/>
          </w:tcPr>
          <w:p w14:paraId="6BA12047">
            <w:pPr>
              <w:adjustRightInd/>
              <w:snapToGrid/>
              <w:spacing w:after="0" w:line="278" w:lineRule="auto"/>
              <w:jc w:val="center"/>
              <w:rPr>
                <w:rFonts w:hint="eastAsia" w:ascii="仿宋_GB2312" w:hAnsi="仿宋_GB2312" w:eastAsia="仿宋_GB2312" w:cs="仿宋_GB2312"/>
                <w:sz w:val="24"/>
                <w:szCs w:val="24"/>
                <w:lang w:val="en-US" w:eastAsia="zh-CN" w:bidi="ar-SA"/>
                <w14:ligatures w14:val="none"/>
              </w:rPr>
            </w:pPr>
            <w:r>
              <w:rPr>
                <w:rFonts w:hint="eastAsia" w:ascii="仿宋_GB2312" w:hAnsi="仿宋_GB2312" w:eastAsia="仿宋_GB2312" w:cs="仿宋_GB2312"/>
                <w:sz w:val="24"/>
                <w:szCs w:val="24"/>
                <w:lang w:val="en-US" w:eastAsia="zh-CN"/>
                <w14:ligatures w14:val="none"/>
              </w:rPr>
              <w:t>0.3</w:t>
            </w:r>
          </w:p>
        </w:tc>
        <w:tc>
          <w:tcPr>
            <w:tcW w:w="1462" w:type="dxa"/>
            <w:shd w:val="clear" w:color="auto" w:fill="auto"/>
            <w:vAlign w:val="center"/>
          </w:tcPr>
          <w:p w14:paraId="03B804C4">
            <w:pPr>
              <w:adjustRightInd/>
              <w:snapToGrid/>
              <w:spacing w:after="0" w:line="278" w:lineRule="auto"/>
              <w:jc w:val="center"/>
              <w:rPr>
                <w:rFonts w:hint="eastAsia" w:ascii="仿宋_GB2312" w:hAnsi="仿宋_GB2312" w:eastAsia="仿宋_GB2312" w:cs="仿宋_GB2312"/>
                <w:sz w:val="24"/>
                <w:szCs w:val="24"/>
                <w:lang w:val="en-US" w:eastAsia="zh-CN" w:bidi="ar-SA"/>
                <w14:ligatures w14:val="none"/>
              </w:rPr>
            </w:pPr>
            <w:r>
              <w:rPr>
                <w:rFonts w:hint="eastAsia" w:ascii="仿宋_GB2312" w:hAnsi="仿宋_GB2312" w:eastAsia="仿宋_GB2312" w:cs="仿宋_GB2312"/>
                <w:sz w:val="24"/>
                <w:szCs w:val="24"/>
                <w14:ligatures w14:val="none"/>
              </w:rPr>
              <w:t>3.5</w:t>
            </w:r>
          </w:p>
        </w:tc>
        <w:tc>
          <w:tcPr>
            <w:tcW w:w="989" w:type="dxa"/>
            <w:shd w:val="clear" w:color="auto" w:fill="auto"/>
            <w:vAlign w:val="center"/>
          </w:tcPr>
          <w:p w14:paraId="24896CFC">
            <w:pPr>
              <w:adjustRightInd/>
              <w:snapToGrid/>
              <w:spacing w:after="0" w:line="278" w:lineRule="auto"/>
              <w:jc w:val="center"/>
              <w:rPr>
                <w:rFonts w:hint="eastAsia" w:ascii="仿宋_GB2312" w:hAnsi="仿宋_GB2312" w:eastAsia="仿宋_GB2312" w:cs="仿宋_GB2312"/>
                <w:sz w:val="24"/>
                <w:szCs w:val="24"/>
                <w:lang w:val="en-US" w:eastAsia="zh-CN" w:bidi="ar-SA"/>
                <w14:ligatures w14:val="none"/>
              </w:rPr>
            </w:pPr>
            <w:r>
              <w:rPr>
                <w:rFonts w:hint="eastAsia" w:ascii="仿宋_GB2312" w:hAnsi="仿宋_GB2312" w:eastAsia="仿宋_GB2312" w:cs="仿宋_GB2312"/>
                <w:sz w:val="24"/>
                <w:szCs w:val="24"/>
                <w14:ligatures w14:val="none"/>
              </w:rPr>
              <w:t>预期性</w:t>
            </w:r>
          </w:p>
        </w:tc>
      </w:tr>
    </w:tbl>
    <w:p w14:paraId="1CE96928">
      <w:pPr>
        <w:pStyle w:val="53"/>
        <w:keepNext/>
        <w:keepLines/>
        <w:pageBreakBefore w:val="0"/>
        <w:widowControl w:val="0"/>
        <w:kinsoku/>
        <w:wordWrap/>
        <w:overflowPunct/>
        <w:topLinePunct w:val="0"/>
        <w:autoSpaceDE/>
        <w:autoSpaceDN/>
        <w:bidi w:val="0"/>
        <w:adjustRightInd/>
        <w:snapToGrid/>
        <w:spacing w:before="0" w:after="0" w:line="400" w:lineRule="exact"/>
        <w:ind w:firstLine="420" w:firstLineChars="200"/>
        <w:jc w:val="left"/>
        <w:textAlignment w:val="auto"/>
        <w:rPr>
          <w:rFonts w:hint="eastAsia" w:ascii="仿宋_GB2312" w:hAnsi="仿宋_GB2312" w:cs="仿宋_GB2312"/>
          <w:b w:val="0"/>
          <w:kern w:val="0"/>
          <w:sz w:val="21"/>
          <w:szCs w:val="21"/>
        </w:rPr>
      </w:pPr>
      <w:r>
        <w:rPr>
          <w:rFonts w:hint="eastAsia" w:ascii="仿宋_GB2312" w:hAnsi="仿宋_GB2312" w:cs="仿宋_GB2312"/>
          <w:b w:val="0"/>
          <w:kern w:val="0"/>
          <w:sz w:val="21"/>
          <w:szCs w:val="21"/>
        </w:rPr>
        <w:t>注：带★为已纳入《北京市国民经济和社会发展第十五个五年规划纲要》指标。</w:t>
      </w:r>
      <w:bookmarkEnd w:id="2"/>
    </w:p>
    <w:p w14:paraId="1DF87A09">
      <w:pPr>
        <w:pStyle w:val="53"/>
        <w:keepNext/>
        <w:keepLines/>
        <w:pageBreakBefore w:val="0"/>
        <w:widowControl w:val="0"/>
        <w:kinsoku/>
        <w:wordWrap/>
        <w:overflowPunct/>
        <w:topLinePunct w:val="0"/>
        <w:autoSpaceDE/>
        <w:autoSpaceDN/>
        <w:bidi w:val="0"/>
        <w:adjustRightInd/>
        <w:snapToGrid/>
        <w:spacing w:before="0" w:after="0" w:line="400" w:lineRule="exact"/>
        <w:ind w:firstLine="420" w:firstLineChars="200"/>
        <w:jc w:val="left"/>
        <w:textAlignment w:val="auto"/>
        <w:rPr>
          <w:rFonts w:hint="eastAsia" w:ascii="黑体" w:hAnsi="黑体" w:eastAsia="黑体"/>
          <w:b w:val="0"/>
          <w:sz w:val="32"/>
          <w:szCs w:val="40"/>
        </w:rPr>
      </w:pPr>
      <w:r>
        <w:rPr>
          <w:rFonts w:hint="eastAsia" w:ascii="仿宋_GB2312" w:hAnsi="仿宋_GB2312" w:cs="仿宋_GB2312"/>
          <w:b w:val="0"/>
          <w:kern w:val="0"/>
          <w:sz w:val="21"/>
          <w:szCs w:val="21"/>
        </w:rPr>
        <w:t>根据</w:t>
      </w:r>
      <w:r>
        <w:rPr>
          <w:rFonts w:hint="eastAsia" w:ascii="仿宋_GB2312" w:hAnsi="仿宋_GB2312" w:cs="仿宋_GB2312"/>
          <w:b w:val="0"/>
          <w:kern w:val="0"/>
          <w:sz w:val="21"/>
          <w:szCs w:val="21"/>
          <w:lang w:eastAsia="zh-CN"/>
        </w:rPr>
        <w:t>北京</w:t>
      </w:r>
      <w:r>
        <w:rPr>
          <w:rFonts w:hint="eastAsia" w:ascii="仿宋_GB2312" w:hAnsi="仿宋_GB2312" w:cs="仿宋_GB2312"/>
          <w:b w:val="0"/>
          <w:kern w:val="0"/>
          <w:sz w:val="21"/>
          <w:szCs w:val="21"/>
        </w:rPr>
        <w:t>市园林绿化局资源统计公布数据，按</w:t>
      </w:r>
      <w:r>
        <w:rPr>
          <w:rFonts w:hint="eastAsia" w:ascii="仿宋_GB2312" w:hAnsi="仿宋_GB2312" w:cs="仿宋_GB2312"/>
          <w:b w:val="0"/>
          <w:kern w:val="0"/>
          <w:sz w:val="21"/>
          <w:szCs w:val="21"/>
          <w:lang w:eastAsia="zh-CN"/>
        </w:rPr>
        <w:t>照</w:t>
      </w:r>
      <w:r>
        <w:rPr>
          <w:rFonts w:hint="eastAsia" w:ascii="仿宋_GB2312" w:hAnsi="仿宋_GB2312" w:cs="仿宋_GB2312"/>
          <w:b w:val="0"/>
          <w:kern w:val="0"/>
          <w:sz w:val="21"/>
          <w:szCs w:val="21"/>
        </w:rPr>
        <w:t>原测算口径，2025年</w:t>
      </w:r>
      <w:r>
        <w:rPr>
          <w:rFonts w:hint="eastAsia" w:ascii="仿宋_GB2312" w:hAnsi="仿宋_GB2312" w:cs="仿宋_GB2312"/>
          <w:b w:val="0"/>
          <w:kern w:val="0"/>
          <w:sz w:val="21"/>
          <w:szCs w:val="21"/>
          <w:lang w:eastAsia="zh-CN"/>
        </w:rPr>
        <w:t>昌平区</w:t>
      </w:r>
      <w:r>
        <w:rPr>
          <w:rFonts w:hint="eastAsia" w:ascii="仿宋_GB2312" w:hAnsi="仿宋_GB2312" w:cs="仿宋_GB2312"/>
          <w:b w:val="0"/>
          <w:kern w:val="0"/>
          <w:sz w:val="21"/>
          <w:szCs w:val="21"/>
        </w:rPr>
        <w:t>森林覆盖率为49.55%，森林蓄积量</w:t>
      </w:r>
      <w:r>
        <w:rPr>
          <w:rFonts w:hint="eastAsia" w:ascii="仿宋_GB2312" w:hAnsi="仿宋_GB2312" w:cs="仿宋_GB2312"/>
          <w:b w:val="0"/>
          <w:kern w:val="0"/>
          <w:sz w:val="21"/>
          <w:szCs w:val="21"/>
          <w:lang w:eastAsia="zh-CN"/>
        </w:rPr>
        <w:t>为</w:t>
      </w:r>
      <w:r>
        <w:rPr>
          <w:rFonts w:hint="eastAsia" w:ascii="仿宋_GB2312" w:hAnsi="仿宋_GB2312" w:cs="仿宋_GB2312"/>
          <w:b w:val="0"/>
          <w:kern w:val="0"/>
          <w:sz w:val="21"/>
          <w:szCs w:val="21"/>
        </w:rPr>
        <w:t>203.48万立方米；按照最新测算方法，2025年</w:t>
      </w:r>
      <w:r>
        <w:rPr>
          <w:rFonts w:hint="eastAsia" w:ascii="仿宋_GB2312" w:hAnsi="仿宋_GB2312" w:cs="仿宋_GB2312"/>
          <w:b w:val="0"/>
          <w:kern w:val="0"/>
          <w:sz w:val="21"/>
          <w:szCs w:val="21"/>
          <w:lang w:eastAsia="zh-CN"/>
        </w:rPr>
        <w:t>昌平区</w:t>
      </w:r>
      <w:r>
        <w:rPr>
          <w:rFonts w:hint="eastAsia" w:ascii="仿宋_GB2312" w:hAnsi="仿宋_GB2312" w:cs="仿宋_GB2312"/>
          <w:b w:val="0"/>
          <w:kern w:val="0"/>
          <w:sz w:val="21"/>
          <w:szCs w:val="21"/>
        </w:rPr>
        <w:t>森林覆盖率为</w:t>
      </w:r>
      <w:r>
        <w:rPr>
          <w:rFonts w:hint="eastAsia" w:ascii="仿宋_GB2312" w:hAnsi="仿宋_GB2312" w:cs="仿宋_GB2312"/>
          <w:b w:val="0"/>
          <w:kern w:val="0"/>
          <w:sz w:val="21"/>
          <w:szCs w:val="21"/>
          <w:lang w:val="en-US" w:eastAsia="zh-CN"/>
        </w:rPr>
        <w:t>4</w:t>
      </w:r>
      <w:r>
        <w:rPr>
          <w:rFonts w:hint="eastAsia" w:ascii="仿宋_GB2312" w:hAnsi="仿宋_GB2312" w:cs="仿宋_GB2312"/>
          <w:b w:val="0"/>
          <w:kern w:val="0"/>
          <w:sz w:val="21"/>
          <w:szCs w:val="21"/>
        </w:rPr>
        <w:t>0.38%，森林蓄积量</w:t>
      </w:r>
      <w:r>
        <w:rPr>
          <w:rFonts w:hint="eastAsia" w:ascii="仿宋_GB2312" w:hAnsi="仿宋_GB2312" w:cs="仿宋_GB2312"/>
          <w:b w:val="0"/>
          <w:kern w:val="0"/>
          <w:sz w:val="21"/>
          <w:szCs w:val="21"/>
          <w:lang w:eastAsia="zh-CN"/>
        </w:rPr>
        <w:t>为</w:t>
      </w:r>
      <w:r>
        <w:rPr>
          <w:rFonts w:hint="eastAsia" w:ascii="仿宋_GB2312" w:hAnsi="仿宋_GB2312" w:cs="仿宋_GB2312"/>
          <w:b w:val="0"/>
          <w:kern w:val="0"/>
          <w:sz w:val="21"/>
          <w:szCs w:val="21"/>
        </w:rPr>
        <w:t>182.16万立方米。</w:t>
      </w:r>
      <w:r>
        <w:rPr>
          <w:rFonts w:hint="eastAsia" w:ascii="黑体" w:hAnsi="黑体" w:eastAsia="黑体"/>
          <w:b w:val="0"/>
          <w:sz w:val="32"/>
          <w:szCs w:val="40"/>
        </w:rPr>
        <w:br w:type="page"/>
      </w:r>
    </w:p>
    <w:p w14:paraId="606E6B7B">
      <w:pPr>
        <w:pStyle w:val="53"/>
        <w:widowControl w:val="0"/>
        <w:spacing w:before="156" w:beforeLines="50" w:after="156" w:afterLines="50" w:line="560" w:lineRule="exact"/>
        <w:jc w:val="center"/>
        <w:rPr>
          <w:rFonts w:hint="eastAsia" w:ascii="黑体" w:hAnsi="黑体" w:eastAsia="黑体"/>
          <w:bCs w:val="0"/>
          <w:sz w:val="32"/>
          <w:szCs w:val="40"/>
        </w:rPr>
      </w:pPr>
      <w:bookmarkStart w:id="3" w:name="_Toc237941399"/>
      <w:r>
        <w:rPr>
          <w:rFonts w:hint="eastAsia" w:ascii="黑体" w:hAnsi="黑体" w:eastAsia="黑体"/>
          <w:bCs w:val="0"/>
          <w:sz w:val="32"/>
          <w:szCs w:val="40"/>
        </w:rPr>
        <w:t>第二章 主要任务</w:t>
      </w:r>
      <w:bookmarkEnd w:id="3"/>
    </w:p>
    <w:p w14:paraId="071E4114">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在总体目标基础上，紧扣“生态基底更健康稳定”“花园生活更触手可及”“绿色产业更多元发展”“文化魅力更特色彰显”“治理体系更高效精细”五个愿景维度，提炼出首都西北部生态屏障、城乡融合的公园游憩体系、花园城市先行示范区、老城区及回天地区城市更新、绿道品牌与骑行友好城市、产业品牌与乡村振兴及历史文化保护传承七大昌平特色，进而聚焦五大方面，科学谋划28项主要任务</w:t>
      </w:r>
      <w:r>
        <w:rPr>
          <w:rFonts w:ascii="仿宋_GB2312" w:hAnsi="仿宋_GB2312" w:eastAsia="仿宋_GB2312" w:cs="仿宋_GB2312"/>
          <w:bCs/>
          <w:sz w:val="28"/>
          <w:szCs w:val="28"/>
          <w14:ligatures w14:val="none"/>
        </w:rPr>
        <w:t>，</w:t>
      </w:r>
      <w:r>
        <w:rPr>
          <w:rFonts w:hint="eastAsia" w:ascii="仿宋_GB2312" w:hAnsi="仿宋_GB2312" w:eastAsia="仿宋_GB2312" w:cs="仿宋_GB2312"/>
          <w:bCs/>
          <w:sz w:val="28"/>
          <w:szCs w:val="28"/>
          <w14:ligatures w14:val="none"/>
        </w:rPr>
        <w:t>并</w:t>
      </w:r>
      <w:r>
        <w:rPr>
          <w:rFonts w:ascii="仿宋_GB2312" w:hAnsi="仿宋_GB2312" w:eastAsia="仿宋_GB2312" w:cs="仿宋_GB2312"/>
          <w:bCs/>
          <w:sz w:val="28"/>
          <w:szCs w:val="28"/>
          <w14:ligatures w14:val="none"/>
        </w:rPr>
        <w:t>以重点工程为抓手，引领昌平区十五五时期园林绿化各领域高质量发展</w:t>
      </w:r>
      <w:r>
        <w:rPr>
          <w:rFonts w:hint="eastAsia" w:ascii="仿宋_GB2312" w:hAnsi="仿宋_GB2312" w:eastAsia="仿宋_GB2312" w:cs="仿宋_GB2312"/>
          <w:bCs/>
          <w:sz w:val="28"/>
          <w:szCs w:val="28"/>
          <w14:ligatures w14:val="none"/>
        </w:rPr>
        <w:t>，全力塑造“花园昌平”特色品牌。</w:t>
      </w:r>
    </w:p>
    <w:p w14:paraId="2EB34541">
      <w:pPr>
        <w:spacing w:after="0" w:line="560" w:lineRule="exact"/>
        <w:ind w:firstLine="562" w:firstLineChars="200"/>
        <w:outlineLvl w:val="1"/>
        <w:rPr>
          <w:rFonts w:hint="eastAsia" w:ascii="楷体_GB2312" w:hAnsi="楷体_GB2312" w:eastAsia="楷体_GB2312" w:cs="楷体_GB2312"/>
          <w:b/>
          <w:bCs/>
          <w:sz w:val="28"/>
          <w:szCs w:val="28"/>
          <w14:ligatures w14:val="none"/>
        </w:rPr>
      </w:pPr>
      <w:bookmarkStart w:id="4" w:name="_Toc237941400"/>
      <w:r>
        <w:rPr>
          <w:rFonts w:hint="eastAsia" w:ascii="楷体_GB2312" w:hAnsi="楷体_GB2312" w:eastAsia="楷体_GB2312" w:cs="楷体_GB2312"/>
          <w:b/>
          <w:bCs/>
          <w:sz w:val="28"/>
          <w:szCs w:val="28"/>
          <w14:ligatures w14:val="none"/>
        </w:rPr>
        <w:t>一、落实绿色空间结构，夯实区域生态基底</w:t>
      </w:r>
      <w:bookmarkEnd w:id="4"/>
    </w:p>
    <w:p w14:paraId="2E748FCD">
      <w:pPr>
        <w:pStyle w:val="52"/>
        <w:snapToGrid w:val="0"/>
        <w:spacing w:before="0" w:beforeLines="0" w:after="0" w:afterLines="0"/>
        <w:ind w:firstLine="560" w:firstLineChars="200"/>
        <w:rPr>
          <w:rFonts w:hint="eastAsia" w:ascii="仿宋_GB2312" w:hAnsi="仿宋" w:cs="Times New Roman"/>
          <w:kern w:val="0"/>
          <w:szCs w:val="28"/>
        </w:rPr>
      </w:pPr>
      <w:bookmarkStart w:id="5" w:name="_Toc237941401"/>
      <w:r>
        <w:rPr>
          <w:rFonts w:hint="eastAsia" w:ascii="仿宋_GB2312" w:hAnsi="仿宋" w:cs="Times New Roman"/>
          <w:kern w:val="0"/>
          <w:szCs w:val="28"/>
        </w:rPr>
        <w:t>（一）筑牢山区生态屏障</w:t>
      </w:r>
      <w:bookmarkEnd w:id="5"/>
    </w:p>
    <w:p w14:paraId="48BD865C">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充分发挥山区整体生态屏障作用，促进山区自然生态系统保护与修复；计划实施山区森林健康经营总面积11.6万亩，重点推进大树培育与浅山彩化，加强森林经营示范区建设；持续实施山区林下补栎，促进林分正向演替，推进退化林修复；结合森林健康经营等抚育类项目，强化昌平山区生态功能。落实浅山林地彩化工作，加快推进昌平区城北公园</w:t>
      </w:r>
      <w:r>
        <w:rPr>
          <w:rFonts w:hint="eastAsia" w:ascii="仿宋_GB2312" w:hAnsi="仿宋_GB2312" w:eastAsia="仿宋_GB2312" w:cs="仿宋_GB2312"/>
          <w:bCs/>
          <w:sz w:val="28"/>
          <w:szCs w:val="28"/>
          <w:lang w:eastAsia="zh-CN"/>
          <w14:ligatures w14:val="none"/>
        </w:rPr>
        <w:t>建设</w:t>
      </w:r>
      <w:r>
        <w:rPr>
          <w:rFonts w:hint="eastAsia" w:ascii="仿宋_GB2312" w:hAnsi="仿宋_GB2312" w:eastAsia="仿宋_GB2312" w:cs="仿宋_GB2312"/>
          <w:bCs/>
          <w:sz w:val="28"/>
          <w:szCs w:val="28"/>
          <w14:ligatures w14:val="none"/>
        </w:rPr>
        <w:t>，不断巩固森林资源质量，筑牢首都西北部生态屏障。</w:t>
      </w:r>
    </w:p>
    <w:p w14:paraId="29D85DED">
      <w:pPr>
        <w:pStyle w:val="52"/>
        <w:snapToGrid w:val="0"/>
        <w:spacing w:before="0" w:beforeLines="0" w:after="0" w:afterLines="0"/>
        <w:ind w:firstLine="560" w:firstLineChars="200"/>
        <w:rPr>
          <w:rFonts w:hint="eastAsia" w:ascii="仿宋_GB2312" w:hAnsi="仿宋" w:cs="Times New Roman"/>
          <w:kern w:val="0"/>
          <w:szCs w:val="28"/>
        </w:rPr>
      </w:pPr>
      <w:bookmarkStart w:id="6" w:name="_Toc237941402"/>
      <w:r>
        <w:rPr>
          <w:rFonts w:hint="eastAsia" w:ascii="仿宋_GB2312" w:hAnsi="仿宋" w:cs="Times New Roman"/>
          <w:kern w:val="0"/>
          <w:szCs w:val="28"/>
        </w:rPr>
        <w:t>（二）提升平原林地质量</w:t>
      </w:r>
      <w:bookmarkEnd w:id="6"/>
    </w:p>
    <w:p w14:paraId="6C981327">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通过腾退扩绿、留白增绿等织补型方式增量提质，围绕昌平“两城一区”科学谋划平原造林；实施精准管护，培育大树、大森林、大生态系统；促进生态林近自然化培育，实施平原生态林林分结构调整6万亩；加强生态保育小区及森林经营示范区建设，新建平原生态林示范区2处，提升原有示范区7处，每年建设生物多样性保育小区9处、固定监测样地75处；落实绿化彩化任务，聚焦京承高速等重要交通沿线和温榆河等水系沿线，结合村头片林统筹推进平原造林区域景观提质增效工作，补植乡土、珍贵彩化乔灌苗木4.5万株。</w:t>
      </w:r>
    </w:p>
    <w:p w14:paraId="2123B901">
      <w:pPr>
        <w:pStyle w:val="52"/>
        <w:snapToGrid w:val="0"/>
        <w:spacing w:before="0" w:beforeLines="0" w:after="0" w:afterLines="0"/>
        <w:ind w:firstLine="560" w:firstLineChars="200"/>
        <w:rPr>
          <w:rFonts w:hint="eastAsia" w:ascii="仿宋_GB2312" w:hAnsi="仿宋" w:cs="Times New Roman"/>
          <w:kern w:val="0"/>
          <w:szCs w:val="28"/>
        </w:rPr>
      </w:pPr>
      <w:bookmarkStart w:id="7" w:name="_Toc237941403"/>
      <w:r>
        <w:rPr>
          <w:rFonts w:hint="eastAsia" w:ascii="仿宋_GB2312" w:hAnsi="仿宋" w:cs="Times New Roman"/>
          <w:kern w:val="0"/>
          <w:szCs w:val="28"/>
        </w:rPr>
        <w:t>（三）连通城乡生态廊道</w:t>
      </w:r>
      <w:bookmarkEnd w:id="7"/>
    </w:p>
    <w:p w14:paraId="727D1C53">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推进形成连接西北部山区与东南部平原的三条大型生态廊道；精心打造中部京北生态走廊，以北京北中轴绿楔和昌平区花园城市先行示范区为主脉，推进中轴绿廊南北延伸，联动温榆河生态廊道，串联多个公园组团，推动生态空间连片成带，打造蓝绿交织、宜居宜游的生态样板；强化放射性廊道沿线绿化彩化建设，统筹优化绿地布局、林分提质与景观营造，因地制宜打造集生态防护和景观礼仪展示于一体的绿色生态廊道，以绿赋能强化G6科创走廊引领、G45产业走廊协同、京北生态走廊绿色链接的南北贯通式“三廊”结构骨架；推进京承</w:t>
      </w:r>
      <w:r>
        <w:rPr>
          <w:rFonts w:hint="eastAsia" w:ascii="仿宋_GB2312" w:hAnsi="仿宋_GB2312" w:eastAsia="仿宋_GB2312" w:cs="仿宋_GB2312"/>
          <w:bCs/>
          <w:sz w:val="28"/>
          <w:szCs w:val="28"/>
          <w:lang w:eastAsia="zh-CN"/>
          <w14:ligatures w14:val="none"/>
        </w:rPr>
        <w:t>高速</w:t>
      </w:r>
      <w:r>
        <w:rPr>
          <w:rFonts w:hint="eastAsia" w:ascii="仿宋_GB2312" w:hAnsi="仿宋_GB2312" w:eastAsia="仿宋_GB2312" w:cs="仿宋_GB2312"/>
          <w:bCs/>
          <w:sz w:val="28"/>
          <w:szCs w:val="28"/>
          <w14:ligatures w14:val="none"/>
        </w:rPr>
        <w:t>三化等廊道项目，增强沿线绿化彩化立体化效果。</w:t>
      </w:r>
    </w:p>
    <w:p w14:paraId="44B48880">
      <w:pPr>
        <w:pStyle w:val="52"/>
        <w:snapToGrid w:val="0"/>
        <w:spacing w:before="0" w:beforeLines="0" w:after="0" w:afterLines="0"/>
        <w:ind w:firstLine="560" w:firstLineChars="200"/>
        <w:rPr>
          <w:rFonts w:hint="eastAsia" w:ascii="仿宋_GB2312" w:hAnsi="仿宋" w:cs="Times New Roman"/>
          <w:kern w:val="0"/>
          <w:szCs w:val="28"/>
        </w:rPr>
      </w:pPr>
      <w:bookmarkStart w:id="8" w:name="_Toc237941404"/>
      <w:r>
        <w:rPr>
          <w:rFonts w:hint="eastAsia" w:ascii="仿宋_GB2312" w:hAnsi="仿宋" w:cs="Times New Roman"/>
          <w:kern w:val="0"/>
          <w:szCs w:val="28"/>
        </w:rPr>
        <w:t>（四）维护湿地空间环境</w:t>
      </w:r>
      <w:bookmarkEnd w:id="8"/>
    </w:p>
    <w:p w14:paraId="5CE56326">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以温榆河、东沙河、北沙河、南沙河、孟祖河、蔺沟河及京密引水渠七条重要河流沟渠为主线，织补联通温榆河、东沙河、北沙河、南沙河等重要河流沟渠沿线防护林带，强化滨水地区生态化治理，助力东小口森林公园、百善郊野公园（一期）、北大绿谷公园等“水系联通”项目实施；扎实推进湿地保护修复与集雨型小微湿地建设，实施昌平区兴寿镇西新城村小微湿地修复示范项目；以建设流村镇西峰山水库工程为契机，推动京华揽胜森林步道与水库</w:t>
      </w:r>
      <w:r>
        <w:rPr>
          <w:rFonts w:hint="eastAsia" w:ascii="仿宋_GB2312" w:hAnsi="仿宋_GB2312" w:eastAsia="仿宋_GB2312" w:cs="仿宋_GB2312"/>
          <w:bCs/>
          <w:sz w:val="28"/>
          <w:szCs w:val="28"/>
          <w:lang w:eastAsia="zh-CN"/>
          <w14:ligatures w14:val="none"/>
        </w:rPr>
        <w:t>工程的</w:t>
      </w:r>
      <w:r>
        <w:rPr>
          <w:rFonts w:hint="eastAsia" w:ascii="仿宋_GB2312" w:hAnsi="仿宋_GB2312" w:eastAsia="仿宋_GB2312" w:cs="仿宋_GB2312"/>
          <w:bCs/>
          <w:sz w:val="28"/>
          <w:szCs w:val="28"/>
          <w14:ligatures w14:val="none"/>
        </w:rPr>
        <w:t>特色品牌联动。</w:t>
      </w:r>
    </w:p>
    <w:p w14:paraId="6719A209">
      <w:pPr>
        <w:pStyle w:val="52"/>
        <w:snapToGrid w:val="0"/>
        <w:spacing w:before="0" w:beforeLines="0" w:after="0" w:afterLines="0"/>
        <w:ind w:firstLine="560" w:firstLineChars="200"/>
        <w:rPr>
          <w:rFonts w:hint="eastAsia" w:ascii="仿宋_GB2312" w:hAnsi="仿宋" w:cs="Times New Roman"/>
          <w:kern w:val="0"/>
          <w:szCs w:val="28"/>
        </w:rPr>
      </w:pPr>
      <w:bookmarkStart w:id="9" w:name="_Toc237941405"/>
      <w:r>
        <w:rPr>
          <w:rFonts w:hint="eastAsia" w:ascii="仿宋_GB2312" w:hAnsi="仿宋" w:cs="Times New Roman"/>
          <w:kern w:val="0"/>
          <w:szCs w:val="28"/>
        </w:rPr>
        <w:t>（五）完善自然保护地体系</w:t>
      </w:r>
      <w:bookmarkEnd w:id="9"/>
    </w:p>
    <w:p w14:paraId="5D6A2F6D">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结合林长制督查考核要求，切实做好自然保护地行业管理，践行“两山”理论，提升游憩服务质量，加大自然保护地景观提升、基础设施和生物多样性储备项目谋划力度；积极推进自然保护地生物多样性监测体系建设，</w:t>
      </w:r>
      <w:r>
        <w:rPr>
          <w:rFonts w:hint="eastAsia" w:ascii="仿宋_GB2312" w:hAnsi="仿宋_GB2312" w:eastAsia="仿宋_GB2312" w:cs="仿宋_GB2312"/>
          <w:bCs/>
          <w:sz w:val="28"/>
          <w:szCs w:val="28"/>
          <w:lang w:eastAsia="zh-CN"/>
          <w14:ligatures w14:val="none"/>
        </w:rPr>
        <w:t>开展</w:t>
      </w:r>
      <w:r>
        <w:rPr>
          <w:rFonts w:hint="eastAsia" w:ascii="仿宋_GB2312" w:hAnsi="仿宋_GB2312" w:eastAsia="仿宋_GB2312" w:cs="仿宋_GB2312"/>
          <w:bCs/>
          <w:sz w:val="28"/>
          <w:szCs w:val="28"/>
          <w14:ligatures w14:val="none"/>
        </w:rPr>
        <w:t>昌平区自然公园综合监测保护管理提升项目。</w:t>
      </w:r>
    </w:p>
    <w:p w14:paraId="4DAA419D">
      <w:pPr>
        <w:pStyle w:val="52"/>
        <w:snapToGrid w:val="0"/>
        <w:spacing w:before="0" w:beforeLines="0" w:after="0" w:afterLines="0"/>
        <w:ind w:firstLine="560" w:firstLineChars="200"/>
        <w:rPr>
          <w:rFonts w:hint="eastAsia" w:ascii="仿宋_GB2312" w:hAnsi="仿宋" w:cs="Times New Roman"/>
          <w:kern w:val="0"/>
          <w:szCs w:val="28"/>
        </w:rPr>
      </w:pPr>
      <w:bookmarkStart w:id="10" w:name="_Toc237941406"/>
      <w:r>
        <w:rPr>
          <w:rFonts w:hint="eastAsia" w:ascii="仿宋_GB2312" w:hAnsi="仿宋" w:cs="Times New Roman"/>
          <w:kern w:val="0"/>
          <w:szCs w:val="28"/>
        </w:rPr>
        <w:t>（六）促进生物多样性保护</w:t>
      </w:r>
      <w:bookmarkEnd w:id="10"/>
    </w:p>
    <w:p w14:paraId="17A3F5C9">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完成野生动植物资源本底调查，划定陆生野生动物栖息地保护范围及重要迁徙廊道，建立档案与数据库；针对濒危和重点保护野生动植物实施专项保护计划，促进种群数量恢复与增长；新建平原生态林生物多样性保育小区45处；持续加强公众教育与参与，利用“世界野生动植物日”“爱鸟周”“生物多样性日”等重要节点，开展科普讲座、主题展览及野外观察等多样化宣教活动。</w:t>
      </w:r>
    </w:p>
    <w:p w14:paraId="0818DA05">
      <w:pPr>
        <w:spacing w:after="0" w:line="560" w:lineRule="exact"/>
        <w:ind w:firstLine="562" w:firstLineChars="200"/>
        <w:outlineLvl w:val="1"/>
        <w:rPr>
          <w:rFonts w:hint="eastAsia" w:ascii="楷体_GB2312" w:hAnsi="楷体_GB2312" w:eastAsia="楷体_GB2312" w:cs="楷体_GB2312"/>
          <w:b/>
          <w:bCs/>
          <w:sz w:val="28"/>
          <w:szCs w:val="28"/>
          <w14:ligatures w14:val="none"/>
        </w:rPr>
      </w:pPr>
      <w:bookmarkStart w:id="11" w:name="_Toc237941407"/>
      <w:r>
        <w:rPr>
          <w:rFonts w:hint="eastAsia" w:ascii="楷体_GB2312" w:hAnsi="楷体_GB2312" w:eastAsia="楷体_GB2312" w:cs="楷体_GB2312"/>
          <w:b/>
          <w:bCs/>
          <w:sz w:val="28"/>
          <w:szCs w:val="28"/>
          <w14:ligatures w14:val="none"/>
        </w:rPr>
        <w:t>二、践行花园城市理念，增进百姓绿色福祉</w:t>
      </w:r>
      <w:bookmarkEnd w:id="11"/>
    </w:p>
    <w:p w14:paraId="3C70958F">
      <w:pPr>
        <w:pStyle w:val="52"/>
        <w:snapToGrid w:val="0"/>
        <w:spacing w:before="0" w:beforeLines="0" w:after="0" w:afterLines="0"/>
        <w:ind w:firstLine="560" w:firstLineChars="200"/>
        <w:rPr>
          <w:rFonts w:hint="eastAsia" w:ascii="仿宋_GB2312" w:hAnsi="仿宋" w:cs="Times New Roman"/>
          <w:kern w:val="0"/>
          <w:szCs w:val="28"/>
        </w:rPr>
      </w:pPr>
      <w:bookmarkStart w:id="12" w:name="_Toc237941408"/>
      <w:r>
        <w:rPr>
          <w:rFonts w:hint="eastAsia" w:ascii="仿宋_GB2312" w:hAnsi="仿宋" w:cs="Times New Roman"/>
          <w:kern w:val="0"/>
          <w:szCs w:val="28"/>
        </w:rPr>
        <w:t>（一）构建城乡融合的公园游憩体系</w:t>
      </w:r>
      <w:bookmarkEnd w:id="12"/>
    </w:p>
    <w:p w14:paraId="46265B14">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围绕“一轴两廊、两城一区、多点多集群”的北中轴延长线花园城市先行示范区总体空间格局，重点开展大尺度公园建设，新建未来科学城生态休闲公园、百善郊野公园、昌平新城生态休闲公园、北大绿谷公园、南口科学家公园等</w:t>
      </w:r>
      <w:r>
        <w:rPr>
          <w:rFonts w:hint="eastAsia" w:ascii="仿宋_GB2312" w:hAnsi="仿宋_GB2312" w:eastAsia="仿宋_GB2312" w:cs="仿宋_GB2312"/>
          <w:bCs/>
          <w:sz w:val="28"/>
          <w:szCs w:val="28"/>
          <w:lang w:eastAsia="zh-CN"/>
          <w14:ligatures w14:val="none"/>
        </w:rPr>
        <w:t>，建设公园面积</w:t>
      </w:r>
      <w:r>
        <w:rPr>
          <w:rFonts w:hint="eastAsia" w:ascii="仿宋_GB2312" w:hAnsi="仿宋_GB2312" w:eastAsia="仿宋_GB2312" w:cs="仿宋_GB2312"/>
          <w:bCs/>
          <w:sz w:val="28"/>
          <w:szCs w:val="28"/>
          <w:lang w:val="en-US" w:eastAsia="zh-CN"/>
          <w14:ligatures w14:val="none"/>
        </w:rPr>
        <w:t>688</w:t>
      </w:r>
      <w:r>
        <w:rPr>
          <w:rFonts w:hint="eastAsia" w:ascii="仿宋_GB2312" w:hAnsi="仿宋_GB2312" w:eastAsia="仿宋_GB2312" w:cs="仿宋_GB2312"/>
          <w:bCs/>
          <w:sz w:val="28"/>
          <w:szCs w:val="28"/>
          <w:lang w:eastAsia="zh-CN"/>
          <w14:ligatures w14:val="none"/>
        </w:rPr>
        <w:t>公顷</w:t>
      </w:r>
      <w:r>
        <w:rPr>
          <w:rFonts w:hint="eastAsia" w:ascii="仿宋_GB2312" w:hAnsi="仿宋_GB2312" w:eastAsia="仿宋_GB2312" w:cs="仿宋_GB2312"/>
          <w:bCs/>
          <w:sz w:val="28"/>
          <w:szCs w:val="28"/>
          <w14:ligatures w14:val="none"/>
        </w:rPr>
        <w:t>；加快奥北森林公园建设，助力加快</w:t>
      </w:r>
      <w:r>
        <w:rPr>
          <w:rFonts w:hint="eastAsia" w:ascii="仿宋_GB2312" w:hAnsi="仿宋_GB2312" w:eastAsia="仿宋_GB2312" w:cs="仿宋_GB2312"/>
          <w:bCs/>
          <w:sz w:val="28"/>
          <w:szCs w:val="28"/>
          <w:lang w:eastAsia="zh-CN"/>
          <w14:ligatures w14:val="none"/>
        </w:rPr>
        <w:t>绿隔地区</w:t>
      </w:r>
      <w:r>
        <w:rPr>
          <w:rFonts w:hint="eastAsia" w:ascii="仿宋_GB2312" w:hAnsi="仿宋_GB2312" w:eastAsia="仿宋_GB2312" w:cs="仿宋_GB2312"/>
          <w:bCs/>
          <w:sz w:val="28"/>
          <w:szCs w:val="28"/>
          <w14:ligatures w14:val="none"/>
        </w:rPr>
        <w:t>郊野公园环建设；串联奥北森林公园“十园”、未来科学城生态休闲公园、百善郊野公园、昌平新城生态休闲公园、平西府公园等多个公园组团，跨区协同推动“奥北十园”与奥森公园联通，塑造中部京北生态走廊；积极推动十三陵与未来科学城两大精华片区及生命科学园等重点区域花园式街区建设，加快打造以未来科学城滨水公园、百善郊野公园等为核心的地区级公园游憩活力圈。</w:t>
      </w:r>
    </w:p>
    <w:p w14:paraId="4880D6B9">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因地制宜建设口袋公园及小微绿地约40公顷，利用绿道串联绿化活动场地，织补老城片区和回天地区公共绿地空间，同时完成回天地区街道绿视率提升项目；更新存量公园以充分激发游憩潜力，重点完成奥北森林公园综合提升工程，围绕构建“奥森-北中轴”公园游憩活力群，对“奥北十园”服务设施进行综合升级，联通42公里绿道；推进改造3个全龄友好公园，打造儿童游乐、老年康养、文艺展演等与群众游憩需求紧密相关的基本游憩模块，持续提高市民身边公园绿地数量和服务供给水平，鼓励第三方参与公园运营管理，鼓励公益一类公园委托市场运营，公益二类公园自主或委托运营。</w:t>
      </w:r>
    </w:p>
    <w:p w14:paraId="11BA437D">
      <w:pPr>
        <w:pStyle w:val="52"/>
        <w:snapToGrid w:val="0"/>
        <w:spacing w:before="0" w:beforeLines="0" w:after="0" w:afterLines="0"/>
        <w:ind w:firstLine="560" w:firstLineChars="200"/>
        <w:rPr>
          <w:rFonts w:hint="eastAsia" w:ascii="仿宋_GB2312" w:hAnsi="仿宋" w:cs="Times New Roman"/>
          <w:b/>
          <w:bCs/>
          <w:kern w:val="0"/>
          <w:szCs w:val="28"/>
        </w:rPr>
      </w:pPr>
      <w:bookmarkStart w:id="13" w:name="_Toc237941409"/>
      <w:r>
        <w:rPr>
          <w:rFonts w:hint="eastAsia" w:ascii="仿宋_GB2312" w:hAnsi="仿宋" w:cs="Times New Roman"/>
          <w:kern w:val="0"/>
          <w:szCs w:val="28"/>
        </w:rPr>
        <w:t>（二）塑造十三陵、未来科学城两大精华片区</w:t>
      </w:r>
      <w:bookmarkEnd w:id="13"/>
    </w:p>
    <w:p w14:paraId="31BBC271">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围绕十三陵精华片区营造，充分发挥十三陵自然与历史资源优势,打造独具特色的世界文化遗产展示区，</w:t>
      </w:r>
      <w:r>
        <w:rPr>
          <w:rFonts w:hint="eastAsia" w:ascii="仿宋_GB2312" w:hAnsi="仿宋_GB2312" w:eastAsia="仿宋_GB2312" w:cs="仿宋_GB2312"/>
          <w:bCs/>
          <w:strike w:val="0"/>
          <w:sz w:val="28"/>
          <w:szCs w:val="28"/>
          <w14:ligatures w14:val="none"/>
        </w:rPr>
        <w:t>推动八达岭-十三陵风景名胜区（昌平部分）综合提升</w:t>
      </w:r>
      <w:r>
        <w:rPr>
          <w:rFonts w:hint="eastAsia" w:ascii="仿宋_GB2312" w:hAnsi="仿宋_GB2312" w:eastAsia="仿宋_GB2312" w:cs="仿宋_GB2312"/>
          <w:bCs/>
          <w:sz w:val="28"/>
          <w:szCs w:val="28"/>
          <w14:ligatures w14:val="none"/>
        </w:rPr>
        <w:t>，完成八达岭-十三陵风景名胜区总体规划昌平部分修编工作。围绕未来科学城精华片区营造，推进未来科学城生态休闲公园北七家片区和沙河片区建设工程，推动平西府公园建设投用，围绕“两谷一园”重点科创及产业承载空间，建设生命谷花园街区与西沙屯花园片区，形成“花园经济综合体”。</w:t>
      </w:r>
    </w:p>
    <w:p w14:paraId="0B1F2D17">
      <w:pPr>
        <w:pStyle w:val="52"/>
        <w:snapToGrid w:val="0"/>
        <w:spacing w:before="0" w:beforeLines="0" w:after="0" w:afterLines="0"/>
        <w:ind w:firstLine="560" w:firstLineChars="200"/>
        <w:rPr>
          <w:rFonts w:hint="eastAsia" w:ascii="仿宋_GB2312" w:hAnsi="仿宋_GB2312" w:eastAsia="仿宋_GB2312" w:cs="仿宋_GB2312"/>
          <w:bCs/>
          <w:kern w:val="0"/>
          <w:sz w:val="28"/>
          <w:szCs w:val="28"/>
          <w:lang w:val="en-US" w:eastAsia="zh-CN" w:bidi="ar-SA"/>
          <w14:ligatures w14:val="none"/>
        </w:rPr>
      </w:pPr>
      <w:bookmarkStart w:id="14" w:name="_Toc237941410"/>
      <w:r>
        <w:rPr>
          <w:rFonts w:hint="eastAsia" w:ascii="仿宋_GB2312" w:hAnsi="仿宋_GB2312" w:eastAsia="仿宋_GB2312" w:cs="仿宋_GB2312"/>
          <w:bCs/>
          <w:kern w:val="0"/>
          <w:sz w:val="28"/>
          <w:szCs w:val="28"/>
          <w:lang w:val="en-US" w:eastAsia="zh-CN" w:bidi="ar-SA"/>
          <w14:ligatures w14:val="none"/>
        </w:rPr>
        <w:t>（三）打响森林畅骑的绿道品牌</w:t>
      </w:r>
      <w:bookmarkEnd w:id="14"/>
    </w:p>
    <w:p w14:paraId="46117C22">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kern w:val="0"/>
          <w:sz w:val="28"/>
          <w:szCs w:val="28"/>
          <w:lang w:val="en-US" w:eastAsia="zh-CN" w:bidi="ar-SA"/>
          <w14:ligatures w14:val="none"/>
        </w:rPr>
        <w:t>系统谋划绿道项目，织密品质绿道网络，构建“一带、两脉、三环、多廊道”绿道格局，推进打造5条品牌绿道；完善慢行交通，落实“一</w:t>
      </w:r>
      <w:r>
        <w:rPr>
          <w:rFonts w:hint="eastAsia" w:ascii="仿宋_GB2312" w:hAnsi="仿宋_GB2312" w:eastAsia="仿宋_GB2312" w:cs="仿宋_GB2312"/>
          <w:bCs/>
          <w:sz w:val="28"/>
          <w:szCs w:val="28"/>
          <w14:ligatures w14:val="none"/>
        </w:rPr>
        <w:t>横四纵”复合骑行道体系，助力昌平建设“骑行友好城市”与“世界级骑行城市”；推进新城东区、高教园区及回天地区大型居住片区社区级绿道建设，丰富市民日常通勤通学、运动健身、休闲游憩等参与场景。</w:t>
      </w:r>
      <w:bookmarkStart w:id="15" w:name="_Hlk206767259"/>
    </w:p>
    <w:p w14:paraId="27D407B5">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重点推进二绿郊野公园环绿道（昌平段）、昌平区42公里绿道改造提升项目、北中轴延长线绿道（昌平段）、京华揽胜森林步道（昌平段）、延寿径步道</w:t>
      </w:r>
      <w:r>
        <w:rPr>
          <w:rFonts w:hint="eastAsia" w:ascii="仿宋_GB2312" w:hAnsi="仿宋_GB2312" w:eastAsia="仿宋_GB2312" w:cs="仿宋_GB2312"/>
          <w:bCs/>
          <w:sz w:val="28"/>
          <w:szCs w:val="28"/>
          <w:lang w:eastAsia="zh-CN"/>
          <w14:ligatures w14:val="none"/>
        </w:rPr>
        <w:t>、防火道路</w:t>
      </w:r>
      <w:r>
        <w:rPr>
          <w:rFonts w:hint="eastAsia" w:ascii="仿宋_GB2312" w:hAnsi="仿宋_GB2312" w:eastAsia="仿宋_GB2312" w:cs="仿宋_GB2312"/>
          <w:bCs/>
          <w:sz w:val="28"/>
          <w:szCs w:val="28"/>
          <w14:ligatures w14:val="none"/>
        </w:rPr>
        <w:t>建设</w:t>
      </w:r>
      <w:bookmarkEnd w:id="15"/>
      <w:r>
        <w:rPr>
          <w:rFonts w:hint="eastAsia" w:ascii="仿宋_GB2312" w:hAnsi="仿宋_GB2312" w:eastAsia="仿宋_GB2312" w:cs="仿宋_GB2312"/>
          <w:bCs/>
          <w:sz w:val="28"/>
          <w:szCs w:val="28"/>
          <w:lang w:eastAsia="zh-CN"/>
          <w14:ligatures w14:val="none"/>
        </w:rPr>
        <w:t>等</w:t>
      </w:r>
      <w:r>
        <w:rPr>
          <w:rFonts w:hint="eastAsia" w:ascii="仿宋_GB2312" w:hAnsi="仿宋_GB2312" w:eastAsia="仿宋_GB2312" w:cs="仿宋_GB2312"/>
          <w:bCs/>
          <w:sz w:val="28"/>
          <w:szCs w:val="28"/>
          <w14:ligatures w14:val="none"/>
        </w:rPr>
        <w:t>。十五五期间，新增绿道长度700公里。</w:t>
      </w:r>
    </w:p>
    <w:p w14:paraId="0C387F0D">
      <w:pPr>
        <w:pStyle w:val="52"/>
        <w:snapToGrid w:val="0"/>
        <w:spacing w:before="0" w:beforeLines="0" w:after="0" w:afterLines="0"/>
        <w:ind w:firstLine="560" w:firstLineChars="200"/>
        <w:rPr>
          <w:rFonts w:hint="eastAsia" w:ascii="仿宋_GB2312" w:hAnsi="仿宋" w:cs="Times New Roman"/>
          <w:kern w:val="0"/>
          <w:szCs w:val="28"/>
        </w:rPr>
      </w:pPr>
      <w:bookmarkStart w:id="16" w:name="_Toc237941411"/>
      <w:r>
        <w:rPr>
          <w:rFonts w:hint="eastAsia" w:ascii="仿宋_GB2312" w:hAnsi="仿宋" w:cs="Times New Roman"/>
          <w:kern w:val="0"/>
          <w:szCs w:val="28"/>
        </w:rPr>
        <w:t>（四）打造丰富多元的花园场景</w:t>
      </w:r>
      <w:bookmarkEnd w:id="16"/>
    </w:p>
    <w:p w14:paraId="6E6ED675">
      <w:pPr>
        <w:spacing w:after="0" w:line="560" w:lineRule="exact"/>
        <w:ind w:firstLine="560" w:firstLineChars="200"/>
        <w:jc w:val="both"/>
        <w:rPr>
          <w:rFonts w:hint="eastAsia" w:ascii="仿宋_GB2312" w:hAnsi="仿宋_GB2312" w:eastAsia="仿宋_GB2312" w:cs="仿宋_GB2312"/>
          <w:bCs/>
          <w:sz w:val="28"/>
          <w:szCs w:val="28"/>
          <w:highlight w:val="green"/>
          <w14:ligatures w14:val="none"/>
        </w:rPr>
      </w:pPr>
      <w:r>
        <w:rPr>
          <w:rFonts w:hint="eastAsia" w:ascii="仿宋_GB2312" w:hAnsi="仿宋_GB2312" w:eastAsia="仿宋_GB2312" w:cs="仿宋_GB2312"/>
          <w:bCs/>
          <w:sz w:val="28"/>
          <w:szCs w:val="28"/>
          <w14:ligatures w14:val="none"/>
        </w:rPr>
        <w:t>衔接花园城市规划与城市更新行动，推进主次干道、背街小巷立体绿化、垂直绿化与节点花境建设，实施行道树补植与慢行系统绿化美化，提升绿视率与彩化率，推动背街小巷环境精细化治理；重点塑造老城区“三纵三横”主干路城市画廊景观骨架，打造大尺度林荫道路景观；推进城市更新与花园城市融合，助力南口科创小镇“产、居、服、商、游”一体发展；以平西府站小站公园为示范引领，打造回天地区花园商圈与花园场站，满足邻里休闲、运动、社交需求。</w:t>
      </w:r>
    </w:p>
    <w:p w14:paraId="2D26444F">
      <w:pPr>
        <w:pStyle w:val="52"/>
        <w:snapToGrid w:val="0"/>
        <w:spacing w:before="0" w:beforeLines="0" w:after="0" w:afterLines="0"/>
        <w:ind w:firstLine="560" w:firstLineChars="200"/>
        <w:rPr>
          <w:rFonts w:hint="eastAsia" w:ascii="仿宋_GB2312" w:hAnsi="仿宋" w:cs="Times New Roman"/>
          <w:kern w:val="0"/>
          <w:szCs w:val="28"/>
        </w:rPr>
      </w:pPr>
      <w:bookmarkStart w:id="17" w:name="_Toc237941412"/>
      <w:r>
        <w:rPr>
          <w:rFonts w:hint="eastAsia" w:ascii="仿宋_GB2312" w:hAnsi="仿宋" w:cs="Times New Roman"/>
          <w:kern w:val="0"/>
          <w:szCs w:val="28"/>
        </w:rPr>
        <w:t>（五）打造特色花园示范乡镇</w:t>
      </w:r>
      <w:bookmarkEnd w:id="17"/>
    </w:p>
    <w:p w14:paraId="301763A4">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加强农村环境综合治理，统筹建设用地与非建设空间实施花园乡村建设工程，试点建设花园村庄，优化村道绿化、庭院景观与公共空间布局。依托乡村振兴优势与“百千工程”，持续提升南口“科学家小镇”、崔村“苹果小镇”等镇街吸引力，以特色村落与花园小镇理念营造花园乡村场景，统筹推进新型城镇化与乡村振兴。</w:t>
      </w:r>
    </w:p>
    <w:p w14:paraId="0C56555C">
      <w:pPr>
        <w:pStyle w:val="52"/>
        <w:snapToGrid w:val="0"/>
        <w:spacing w:before="0" w:beforeLines="0" w:after="0" w:afterLines="0"/>
        <w:ind w:firstLine="560" w:firstLineChars="200"/>
        <w:rPr>
          <w:rFonts w:hint="eastAsia" w:ascii="仿宋_GB2312" w:hAnsi="仿宋" w:cs="Times New Roman"/>
          <w:kern w:val="0"/>
          <w:szCs w:val="28"/>
        </w:rPr>
      </w:pPr>
      <w:bookmarkStart w:id="18" w:name="_Toc237941413"/>
      <w:r>
        <w:rPr>
          <w:rFonts w:hint="eastAsia" w:ascii="仿宋_GB2312" w:hAnsi="仿宋" w:cs="Times New Roman"/>
          <w:kern w:val="0"/>
          <w:szCs w:val="28"/>
        </w:rPr>
        <w:t>（六）引导公众共建共治共享</w:t>
      </w:r>
      <w:bookmarkEnd w:id="18"/>
    </w:p>
    <w:p w14:paraId="67156889">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广泛开展义务植树尽责及绿化美化宣传活动，围绕8类47种义务植树尽责形式开展造林绿化、抚育管护与科普宣传，做好重大义务植树活动服务保障；坚持公众共建共治共享理念，通过园艺活动凝聚人心，组建社区花友会举办科普小讲堂、建设社区微花园等活动；构建“专业组织搭建、特定群体助力、居民主动参与”的活动营建模式，实现镇街生态活化、社区环境美化与基层治理优化有机结合，形成人人参与、人人受益的绿化发展新生态。</w:t>
      </w:r>
    </w:p>
    <w:p w14:paraId="3B583FDD">
      <w:pPr>
        <w:spacing w:after="0" w:line="560" w:lineRule="exact"/>
        <w:ind w:firstLine="562" w:firstLineChars="200"/>
        <w:outlineLvl w:val="1"/>
        <w:rPr>
          <w:rFonts w:hint="eastAsia" w:ascii="楷体_GB2312" w:hAnsi="楷体_GB2312" w:eastAsia="楷体_GB2312" w:cs="楷体_GB2312"/>
          <w:b/>
          <w:bCs/>
          <w:sz w:val="28"/>
          <w:szCs w:val="28"/>
          <w14:ligatures w14:val="none"/>
        </w:rPr>
      </w:pPr>
      <w:bookmarkStart w:id="19" w:name="_Toc237941414"/>
      <w:r>
        <w:rPr>
          <w:rFonts w:hint="eastAsia" w:ascii="楷体_GB2312" w:hAnsi="楷体_GB2312" w:eastAsia="楷体_GB2312" w:cs="楷体_GB2312"/>
          <w:b/>
          <w:bCs/>
          <w:sz w:val="28"/>
          <w:szCs w:val="28"/>
          <w14:ligatures w14:val="none"/>
        </w:rPr>
        <w:t>三、加强历史文化保护，提升城区特色引力</w:t>
      </w:r>
      <w:bookmarkEnd w:id="19"/>
    </w:p>
    <w:p w14:paraId="4396D0EF">
      <w:pPr>
        <w:pStyle w:val="52"/>
        <w:snapToGrid w:val="0"/>
        <w:spacing w:before="0" w:beforeLines="0" w:after="0" w:afterLines="0"/>
        <w:ind w:firstLine="560" w:firstLineChars="200"/>
        <w:rPr>
          <w:rFonts w:hint="eastAsia" w:ascii="仿宋_GB2312" w:hAnsi="仿宋" w:cs="Times New Roman"/>
          <w:szCs w:val="28"/>
        </w:rPr>
      </w:pPr>
      <w:bookmarkStart w:id="20" w:name="_Toc237941415"/>
      <w:r>
        <w:rPr>
          <w:rFonts w:hint="eastAsia" w:ascii="仿宋_GB2312" w:hAnsi="仿宋" w:cs="Times New Roman"/>
          <w:kern w:val="0"/>
          <w:szCs w:val="28"/>
        </w:rPr>
        <w:t>（一）传承展示中轴线北延长线文脉意象</w:t>
      </w:r>
      <w:bookmarkEnd w:id="20"/>
    </w:p>
    <w:p w14:paraId="0BDA3DE3">
      <w:pPr>
        <w:spacing w:after="0" w:line="560" w:lineRule="exact"/>
        <w:ind w:firstLine="560" w:firstLineChars="200"/>
        <w:jc w:val="both"/>
        <w:rPr>
          <w:rFonts w:hint="eastAsia" w:ascii="仿宋_GB2312" w:hAnsi="仿宋_GB2312" w:eastAsia="仿宋_GB2312" w:cs="仿宋_GB2312"/>
          <w:bCs/>
          <w:sz w:val="28"/>
          <w:szCs w:val="28"/>
          <w:highlight w:val="yellow"/>
          <w14:ligatures w14:val="none"/>
        </w:rPr>
      </w:pPr>
      <w:r>
        <w:rPr>
          <w:rFonts w:hint="eastAsia" w:ascii="仿宋_GB2312" w:hAnsi="仿宋_GB2312" w:eastAsia="仿宋_GB2312" w:cs="仿宋_GB2312"/>
          <w:bCs/>
          <w:sz w:val="28"/>
          <w:szCs w:val="28"/>
          <w14:ligatures w14:val="none"/>
        </w:rPr>
        <w:t>以北京中轴线申遗成功为契机，持续提升中轴线北延长线文化魅力，擦亮北中轴生态文化名片。加快推动北中轴绿楔与二道绿隔地区建设，</w:t>
      </w:r>
      <w:r>
        <w:rPr>
          <w:rFonts w:ascii="仿宋_GB2312" w:hAnsi="仿宋_GB2312" w:eastAsia="仿宋_GB2312" w:cs="仿宋_GB2312"/>
          <w:bCs/>
          <w:sz w:val="28"/>
          <w:szCs w:val="28"/>
          <w14:ligatures w14:val="none"/>
        </w:rPr>
        <w:t>强化跨部门统筹协作，以生态赋能区域文旅IP打造</w:t>
      </w:r>
      <w:r>
        <w:rPr>
          <w:rFonts w:hint="eastAsia" w:ascii="仿宋_GB2312" w:hAnsi="仿宋_GB2312" w:eastAsia="仿宋_GB2312" w:cs="仿宋_GB2312"/>
          <w:bCs/>
          <w:sz w:val="28"/>
          <w:szCs w:val="28"/>
          <w14:ligatures w14:val="none"/>
        </w:rPr>
        <w:t>，</w:t>
      </w:r>
      <w:r>
        <w:rPr>
          <w:rFonts w:ascii="仿宋_GB2312" w:hAnsi="仿宋_GB2312" w:eastAsia="仿宋_GB2312" w:cs="仿宋_GB2312"/>
          <w:bCs/>
          <w:sz w:val="28"/>
          <w:szCs w:val="28"/>
          <w14:ligatures w14:val="none"/>
        </w:rPr>
        <w:t>通过提升林地质量、完善森林步道及保护古树名木</w:t>
      </w:r>
      <w:r>
        <w:rPr>
          <w:rFonts w:hint="eastAsia" w:ascii="仿宋_GB2312" w:hAnsi="仿宋_GB2312" w:eastAsia="仿宋_GB2312" w:cs="仿宋_GB2312"/>
          <w:bCs/>
          <w:sz w:val="28"/>
          <w:szCs w:val="28"/>
          <w14:ligatures w14:val="none"/>
        </w:rPr>
        <w:t>等</w:t>
      </w:r>
      <w:r>
        <w:rPr>
          <w:rFonts w:ascii="仿宋_GB2312" w:hAnsi="仿宋_GB2312" w:eastAsia="仿宋_GB2312" w:cs="仿宋_GB2312"/>
          <w:bCs/>
          <w:sz w:val="28"/>
          <w:szCs w:val="28"/>
          <w14:ligatures w14:val="none"/>
        </w:rPr>
        <w:t>，为延寿沟域生态休闲区与银山塔林文化遗产旅游区筑牢绿色本底；深挖东小口万亩绿地文化内涵，</w:t>
      </w:r>
      <w:r>
        <w:rPr>
          <w:rFonts w:hint="eastAsia" w:ascii="仿宋_GB2312" w:hAnsi="仿宋_GB2312" w:eastAsia="仿宋_GB2312" w:cs="仿宋_GB2312"/>
          <w:bCs/>
          <w:sz w:val="28"/>
          <w:szCs w:val="28"/>
          <w14:ligatures w14:val="none"/>
        </w:rPr>
        <w:t>围绕“国风北中轴，花园东小口”文化新名片</w:t>
      </w:r>
      <w:r>
        <w:rPr>
          <w:rFonts w:ascii="仿宋_GB2312" w:hAnsi="仿宋_GB2312" w:eastAsia="仿宋_GB2312" w:cs="仿宋_GB2312"/>
          <w:bCs/>
          <w:sz w:val="28"/>
          <w:szCs w:val="28"/>
          <w14:ligatures w14:val="none"/>
        </w:rPr>
        <w:t>，配合相关部门策划文化主题活动，共同擦亮区域特色</w:t>
      </w:r>
      <w:r>
        <w:rPr>
          <w:rFonts w:hint="eastAsia" w:ascii="仿宋_GB2312" w:hAnsi="仿宋_GB2312" w:eastAsia="仿宋_GB2312" w:cs="仿宋_GB2312"/>
          <w:bCs/>
          <w:sz w:val="28"/>
          <w:szCs w:val="28"/>
          <w14:ligatures w14:val="none"/>
        </w:rPr>
        <w:t>文化</w:t>
      </w:r>
      <w:r>
        <w:rPr>
          <w:rFonts w:ascii="仿宋_GB2312" w:hAnsi="仿宋_GB2312" w:eastAsia="仿宋_GB2312" w:cs="仿宋_GB2312"/>
          <w:bCs/>
          <w:sz w:val="28"/>
          <w:szCs w:val="28"/>
          <w14:ligatures w14:val="none"/>
        </w:rPr>
        <w:t>名片。</w:t>
      </w:r>
    </w:p>
    <w:p w14:paraId="4E84F7DE">
      <w:pPr>
        <w:pStyle w:val="52"/>
        <w:snapToGrid w:val="0"/>
        <w:spacing w:before="0" w:beforeLines="0" w:after="0" w:afterLines="0"/>
        <w:ind w:firstLine="560" w:firstLineChars="200"/>
        <w:rPr>
          <w:rFonts w:hint="eastAsia" w:ascii="仿宋_GB2312" w:hAnsi="仿宋" w:cs="Times New Roman"/>
          <w:kern w:val="0"/>
          <w:szCs w:val="28"/>
        </w:rPr>
      </w:pPr>
      <w:bookmarkStart w:id="21" w:name="_Toc237941416"/>
      <w:r>
        <w:rPr>
          <w:rFonts w:hint="eastAsia" w:ascii="仿宋_GB2312" w:hAnsi="仿宋" w:cs="Times New Roman"/>
          <w:kern w:val="0"/>
          <w:szCs w:val="28"/>
        </w:rPr>
        <w:t>（二）挖掘展现北部山区历史文化魅力</w:t>
      </w:r>
      <w:bookmarkEnd w:id="21"/>
    </w:p>
    <w:p w14:paraId="5E25E7A6">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发挥北部山区雪山、军都山、天寿山等自然景观与明十三陵、居庸关等人文遗址交相辉映的独特优势，通过“生态修复+文化赋能”的创新模式展现山区历史文化魅力。聚焦</w:t>
      </w:r>
      <w:r>
        <w:rPr>
          <w:rFonts w:ascii="仿宋_GB2312" w:hAnsi="仿宋_GB2312" w:eastAsia="仿宋_GB2312" w:cs="仿宋_GB2312"/>
          <w:bCs/>
          <w:sz w:val="28"/>
          <w:szCs w:val="28"/>
          <w14:ligatures w14:val="none"/>
        </w:rPr>
        <w:t>明十三陵周边林地与彩叶树种配置，配合</w:t>
      </w:r>
      <w:r>
        <w:rPr>
          <w:rFonts w:hint="eastAsia" w:ascii="仿宋_GB2312" w:hAnsi="仿宋_GB2312" w:eastAsia="仿宋_GB2312" w:cs="仿宋_GB2312"/>
          <w:bCs/>
          <w:sz w:val="28"/>
          <w:szCs w:val="28"/>
          <w14:ligatures w14:val="none"/>
        </w:rPr>
        <w:t>相关</w:t>
      </w:r>
      <w:r>
        <w:rPr>
          <w:rFonts w:ascii="仿宋_GB2312" w:hAnsi="仿宋_GB2312" w:eastAsia="仿宋_GB2312" w:cs="仿宋_GB2312"/>
          <w:bCs/>
          <w:sz w:val="28"/>
          <w:szCs w:val="28"/>
          <w14:ligatures w14:val="none"/>
        </w:rPr>
        <w:t>部门打造“山水人文廊道”</w:t>
      </w:r>
      <w:r>
        <w:rPr>
          <w:rFonts w:hint="eastAsia" w:ascii="仿宋_GB2312" w:hAnsi="仿宋_GB2312" w:eastAsia="仿宋_GB2312" w:cs="仿宋_GB2312"/>
          <w:bCs/>
          <w:sz w:val="28"/>
          <w:szCs w:val="28"/>
          <w14:ligatures w14:val="none"/>
        </w:rPr>
        <w:t>；以白浮泉公园为载体深度挖掘展示大运河源头文化，重现“龙泉喷玉”盛景；实施古树名木保护、历史景观复原与文化解说系统建设，构建山区历史文化展示体系，实现生态效益与文化效益双赢。</w:t>
      </w:r>
    </w:p>
    <w:p w14:paraId="6F34A9A3">
      <w:pPr>
        <w:pStyle w:val="52"/>
        <w:snapToGrid w:val="0"/>
        <w:spacing w:before="0" w:beforeLines="0" w:after="0" w:afterLines="0"/>
        <w:ind w:firstLine="560" w:firstLineChars="200"/>
        <w:rPr>
          <w:rFonts w:hint="eastAsia" w:ascii="仿宋_GB2312" w:hAnsi="仿宋" w:cs="Times New Roman"/>
          <w:kern w:val="0"/>
          <w:szCs w:val="28"/>
        </w:rPr>
      </w:pPr>
      <w:bookmarkStart w:id="22" w:name="_Toc237941417"/>
      <w:r>
        <w:rPr>
          <w:rFonts w:hint="eastAsia" w:ascii="仿宋_GB2312" w:hAnsi="仿宋" w:cs="Times New Roman"/>
          <w:kern w:val="0"/>
          <w:szCs w:val="28"/>
        </w:rPr>
        <w:t>（三）深入落实三条文化带昌平段保护利用</w:t>
      </w:r>
      <w:bookmarkEnd w:id="22"/>
    </w:p>
    <w:p w14:paraId="525CC65A">
      <w:pPr>
        <w:spacing w:after="0" w:line="560" w:lineRule="exact"/>
        <w:ind w:firstLine="560" w:firstLineChars="200"/>
        <w:jc w:val="both"/>
        <w:rPr>
          <w:rFonts w:hint="eastAsia" w:ascii="仿宋_GB2312" w:hAnsi="仿宋_GB2312" w:eastAsia="仿宋_GB2312" w:cs="仿宋_GB2312"/>
          <w:bCs/>
          <w:sz w:val="28"/>
          <w:szCs w:val="28"/>
          <w:highlight w:val="yellow"/>
          <w14:ligatures w14:val="none"/>
        </w:rPr>
      </w:pPr>
      <w:r>
        <w:rPr>
          <w:rFonts w:hint="eastAsia" w:ascii="仿宋_GB2312" w:hAnsi="仿宋_GB2312" w:eastAsia="仿宋_GB2312" w:cs="仿宋_GB2312"/>
          <w:bCs/>
          <w:sz w:val="28"/>
          <w:szCs w:val="28"/>
          <w14:ligatures w14:val="none"/>
        </w:rPr>
        <w:t>深入</w:t>
      </w:r>
      <w:r>
        <w:rPr>
          <w:rFonts w:hint="eastAsia" w:ascii="仿宋_GB2312" w:hAnsi="仿宋_GB2312" w:eastAsia="仿宋_GB2312" w:cs="仿宋_GB2312"/>
          <w:bCs/>
          <w:color w:val="auto"/>
          <w:sz w:val="28"/>
          <w:szCs w:val="28"/>
          <w14:ligatures w14:val="none"/>
        </w:rPr>
        <w:t>落实长城、大运河、西山永定河三条文化带保护利用。</w:t>
      </w:r>
      <w:r>
        <w:rPr>
          <w:rFonts w:hint="eastAsia" w:ascii="仿宋_GB2312" w:hAnsi="仿宋_GB2312" w:eastAsia="仿宋_GB2312" w:cs="仿宋_GB2312"/>
          <w:bCs/>
          <w:color w:val="auto"/>
          <w:sz w:val="28"/>
          <w:szCs w:val="28"/>
          <w:lang w:eastAsia="zh-CN"/>
          <w14:ligatures w14:val="none"/>
        </w:rPr>
        <w:t>持续</w:t>
      </w:r>
      <w:r>
        <w:rPr>
          <w:rFonts w:hint="eastAsia" w:ascii="仿宋_GB2312" w:hAnsi="仿宋_GB2312" w:eastAsia="仿宋_GB2312" w:cs="仿宋_GB2312"/>
          <w:bCs/>
          <w:color w:val="auto"/>
          <w:sz w:val="28"/>
          <w:szCs w:val="28"/>
          <w14:ligatures w14:val="none"/>
        </w:rPr>
        <w:t>推进以居庸关为核心的边塞生态</w:t>
      </w:r>
      <w:r>
        <w:rPr>
          <w:rFonts w:hint="eastAsia" w:ascii="仿宋_GB2312" w:hAnsi="仿宋_GB2312" w:eastAsia="仿宋_GB2312" w:cs="仿宋_GB2312"/>
          <w:bCs/>
          <w:color w:val="auto"/>
          <w:sz w:val="28"/>
          <w:szCs w:val="28"/>
          <w:lang w:eastAsia="zh-CN"/>
          <w14:ligatures w14:val="none"/>
        </w:rPr>
        <w:t>保护</w:t>
      </w:r>
      <w:r>
        <w:rPr>
          <w:rFonts w:hint="eastAsia" w:ascii="仿宋_GB2312" w:hAnsi="仿宋_GB2312" w:eastAsia="仿宋_GB2312" w:cs="仿宋_GB2312"/>
          <w:bCs/>
          <w:color w:val="auto"/>
          <w:sz w:val="28"/>
          <w:szCs w:val="28"/>
          <w14:ligatures w14:val="none"/>
        </w:rPr>
        <w:t>修复</w:t>
      </w:r>
      <w:r>
        <w:rPr>
          <w:rFonts w:hint="eastAsia" w:ascii="仿宋_GB2312" w:hAnsi="仿宋_GB2312" w:eastAsia="仿宋_GB2312" w:cs="仿宋_GB2312"/>
          <w:bCs/>
          <w:color w:val="auto"/>
          <w:sz w:val="28"/>
          <w:szCs w:val="28"/>
          <w:lang w:eastAsia="zh-CN"/>
          <w14:ligatures w14:val="none"/>
        </w:rPr>
        <w:t>，谋划</w:t>
      </w:r>
      <w:r>
        <w:rPr>
          <w:rFonts w:hint="eastAsia" w:ascii="仿宋_GB2312" w:hAnsi="仿宋_GB2312" w:eastAsia="仿宋_GB2312" w:cs="仿宋_GB2312"/>
          <w:bCs/>
          <w:color w:val="auto"/>
          <w:sz w:val="28"/>
          <w:szCs w:val="28"/>
          <w14:ligatures w14:val="none"/>
        </w:rPr>
        <w:t>流村镇、南口镇域长城沿线景观提升</w:t>
      </w:r>
      <w:r>
        <w:rPr>
          <w:rFonts w:hint="eastAsia" w:ascii="仿宋_GB2312" w:hAnsi="仿宋_GB2312" w:eastAsia="仿宋_GB2312" w:cs="仿宋_GB2312"/>
          <w:bCs/>
          <w:color w:val="auto"/>
          <w:sz w:val="28"/>
          <w:szCs w:val="28"/>
          <w:lang w:eastAsia="zh-CN"/>
          <w14:ligatures w14:val="none"/>
        </w:rPr>
        <w:t>项目</w:t>
      </w:r>
      <w:r>
        <w:rPr>
          <w:rFonts w:hint="eastAsia" w:ascii="仿宋_GB2312" w:hAnsi="仿宋_GB2312" w:eastAsia="仿宋_GB2312" w:cs="仿宋_GB2312"/>
          <w:bCs/>
          <w:color w:val="auto"/>
          <w:sz w:val="28"/>
          <w:szCs w:val="28"/>
          <w14:ligatures w14:val="none"/>
        </w:rPr>
        <w:t>，加强长峪城、白羊城等古村落历史风貌保护。传承保护运河文脉，高标准建设大运河源头遗址公园（二期）。</w:t>
      </w:r>
    </w:p>
    <w:p w14:paraId="4C325984">
      <w:pPr>
        <w:pStyle w:val="52"/>
        <w:snapToGrid w:val="0"/>
        <w:spacing w:before="0" w:beforeLines="0" w:after="0" w:afterLines="0"/>
        <w:ind w:firstLine="600" w:firstLineChars="200"/>
        <w:rPr>
          <w:rFonts w:hint="eastAsia" w:ascii="仿宋_GB2312" w:hAnsi="仿宋" w:cs="Times New Roman"/>
          <w:kern w:val="0"/>
          <w:szCs w:val="28"/>
        </w:rPr>
      </w:pPr>
      <w:bookmarkStart w:id="23" w:name="_Toc237941418"/>
      <w:r>
        <w:rPr>
          <w:rFonts w:hint="eastAsia" w:ascii="仿宋_GB2312" w:hAnsi="仿宋" w:cs="Times New Roman"/>
          <w:kern w:val="0"/>
          <w:sz w:val="30"/>
          <w:szCs w:val="30"/>
        </w:rPr>
        <w:t>（四）</w:t>
      </w:r>
      <w:r>
        <w:rPr>
          <w:rFonts w:hint="eastAsia" w:ascii="仿宋_GB2312" w:hAnsi="仿宋" w:cs="Times New Roman"/>
          <w:kern w:val="0"/>
          <w:szCs w:val="28"/>
        </w:rPr>
        <w:t>持续加强古树名木保护</w:t>
      </w:r>
      <w:bookmarkEnd w:id="23"/>
    </w:p>
    <w:p w14:paraId="42A0E93B">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加强行业监督指导与日常巡护，严格落实管护责任制与极端天气防范机制；推进古树抢救复壮计划，坚持“一树一策”精准施治；挖掘古树名木历史文化内涵，加快推进古树及生境整体保护示范点建</w:t>
      </w:r>
      <w:r>
        <w:rPr>
          <w:rFonts w:hint="eastAsia" w:ascii="仿宋_GB2312" w:hAnsi="仿宋_GB2312" w:eastAsia="仿宋_GB2312" w:cs="仿宋_GB2312"/>
          <w:bCs/>
          <w:sz w:val="28"/>
          <w:szCs w:val="28"/>
          <w:highlight w:val="none"/>
          <w14:ligatures w14:val="none"/>
        </w:rPr>
        <w:t>设，</w:t>
      </w:r>
      <w:r>
        <w:rPr>
          <w:rFonts w:hint="eastAsia" w:ascii="仿宋_GB2312" w:hAnsi="仿宋_GB2312" w:eastAsia="仿宋_GB2312" w:cs="仿宋_GB2312"/>
          <w:bCs/>
          <w:sz w:val="28"/>
          <w:szCs w:val="28"/>
          <w:highlight w:val="none"/>
          <w:lang w:eastAsia="zh-CN"/>
          <w14:ligatures w14:val="none"/>
        </w:rPr>
        <w:t>建设生境花园</w:t>
      </w:r>
      <w:r>
        <w:rPr>
          <w:rFonts w:hint="eastAsia" w:ascii="仿宋_GB2312" w:hAnsi="仿宋_GB2312" w:eastAsia="仿宋_GB2312" w:cs="仿宋_GB2312"/>
          <w:bCs/>
          <w:sz w:val="28"/>
          <w:szCs w:val="28"/>
          <w:highlight w:val="none"/>
          <w:lang w:val="en-US" w:eastAsia="zh-CN"/>
          <w14:ligatures w14:val="none"/>
        </w:rPr>
        <w:t>2个；</w:t>
      </w:r>
      <w:r>
        <w:rPr>
          <w:rFonts w:hint="eastAsia" w:ascii="仿宋_GB2312" w:hAnsi="仿宋_GB2312" w:eastAsia="仿宋_GB2312" w:cs="仿宋_GB2312"/>
          <w:bCs/>
          <w:sz w:val="28"/>
          <w:szCs w:val="28"/>
          <w14:ligatures w14:val="none"/>
        </w:rPr>
        <w:t>活化利用社区及村庄古树资源，讲好古树故事；</w:t>
      </w:r>
      <w:r>
        <w:rPr>
          <w:rFonts w:ascii="仿宋_GB2312" w:hAnsi="仿宋_GB2312" w:eastAsia="仿宋_GB2312" w:cs="仿宋_GB2312"/>
          <w:bCs/>
          <w:sz w:val="28"/>
          <w:szCs w:val="28"/>
          <w14:ligatures w14:val="none"/>
        </w:rPr>
        <w:t>结合多部门联合执法与普及宣传，营造全社会共同保护古树名木的良好氛围</w:t>
      </w:r>
      <w:r>
        <w:rPr>
          <w:rFonts w:hint="eastAsia" w:ascii="仿宋_GB2312" w:hAnsi="仿宋_GB2312" w:eastAsia="仿宋_GB2312" w:cs="仿宋_GB2312"/>
          <w:bCs/>
          <w:sz w:val="28"/>
          <w:szCs w:val="28"/>
          <w14:ligatures w14:val="none"/>
        </w:rPr>
        <w:t>。</w:t>
      </w:r>
    </w:p>
    <w:p w14:paraId="322052D4">
      <w:pPr>
        <w:spacing w:after="0" w:line="560" w:lineRule="exact"/>
        <w:ind w:firstLine="562" w:firstLineChars="200"/>
        <w:outlineLvl w:val="1"/>
        <w:rPr>
          <w:rFonts w:hint="eastAsia" w:ascii="楷体_GB2312" w:hAnsi="楷体_GB2312" w:eastAsia="楷体_GB2312" w:cs="楷体_GB2312"/>
          <w:b/>
          <w:bCs/>
          <w:sz w:val="28"/>
          <w:szCs w:val="28"/>
          <w14:ligatures w14:val="none"/>
        </w:rPr>
      </w:pPr>
      <w:bookmarkStart w:id="24" w:name="_Toc237941419"/>
      <w:r>
        <w:rPr>
          <w:rFonts w:hint="eastAsia" w:ascii="楷体_GB2312" w:hAnsi="楷体_GB2312" w:eastAsia="楷体_GB2312" w:cs="楷体_GB2312"/>
          <w:b/>
          <w:bCs/>
          <w:sz w:val="28"/>
          <w:szCs w:val="28"/>
          <w14:ligatures w14:val="none"/>
        </w:rPr>
        <w:t>四、升级绿色产业品质，推动乡村振兴发展</w:t>
      </w:r>
      <w:bookmarkEnd w:id="24"/>
    </w:p>
    <w:p w14:paraId="1D16530E">
      <w:pPr>
        <w:pStyle w:val="52"/>
        <w:snapToGrid w:val="0"/>
        <w:spacing w:before="0" w:beforeLines="0" w:after="0" w:afterLines="0"/>
        <w:ind w:firstLine="560" w:firstLineChars="200"/>
        <w:rPr>
          <w:rFonts w:hint="eastAsia" w:ascii="仿宋_GB2312" w:hAnsi="仿宋" w:cs="Times New Roman"/>
          <w:kern w:val="0"/>
          <w:szCs w:val="28"/>
        </w:rPr>
      </w:pPr>
      <w:bookmarkStart w:id="25" w:name="_Toc237941420"/>
      <w:r>
        <w:rPr>
          <w:rFonts w:hint="eastAsia" w:ascii="仿宋_GB2312" w:hAnsi="仿宋" w:cs="Times New Roman"/>
          <w:kern w:val="0"/>
          <w:szCs w:val="28"/>
        </w:rPr>
        <w:t>（一）塑造影响力强、品质优良的果品产业</w:t>
      </w:r>
      <w:bookmarkEnd w:id="25"/>
    </w:p>
    <w:p w14:paraId="7C7CF0DC">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优化产业政策体系与落实机制，全面赋能林果产业高质量发展。推进2处老北京水果示范基地建设，打造重点示范园区；强化种源保护利用与优良砧木和品种选育扩繁，优化SH6中间砧；鼓励引导规模化果园建设，有序推进现代高效果园试点示范建设。到“十五五”末期，全区苹果矮砧密植集约栽培模式比例提升到60%，优质果率提升5-10个百分点，早中晚熟品种结构比例调整为1:3:6。</w:t>
      </w:r>
    </w:p>
    <w:p w14:paraId="603131A3">
      <w:pPr>
        <w:spacing w:after="0" w:line="560" w:lineRule="exact"/>
        <w:ind w:firstLine="560" w:firstLineChars="200"/>
        <w:jc w:val="both"/>
        <w:rPr>
          <w:rFonts w:hint="eastAsia" w:ascii="仿宋_GB2312" w:hAnsi="仿宋_GB2312" w:cs="仿宋_GB2312"/>
          <w:bCs/>
          <w:szCs w:val="28"/>
        </w:rPr>
      </w:pPr>
      <w:r>
        <w:rPr>
          <w:rFonts w:hint="eastAsia" w:ascii="仿宋_GB2312" w:hAnsi="仿宋_GB2312" w:eastAsia="仿宋_GB2312" w:cs="仿宋_GB2312"/>
          <w:bCs/>
          <w:sz w:val="28"/>
          <w:szCs w:val="28"/>
          <w14:ligatures w14:val="none"/>
        </w:rPr>
        <w:t>加强林果品牌建设，打造“昌平苹果”区域公用品牌，支持果品营销龙头专业合作社拓宽品牌销售范围；继续办好苹果文化节，擦亮昌平苹果文化节主题活动品牌名片。紧抓林果产品安全与质量追溯，推进“三品一标”认证与地理标志果品全链条标准化生产；持续开展果树产业技术培训与蜜蜂保险宣传，深化国内外交流合作，与科研院所共建科技试验基地。</w:t>
      </w:r>
    </w:p>
    <w:p w14:paraId="5A4A3505">
      <w:pPr>
        <w:pStyle w:val="52"/>
        <w:snapToGrid w:val="0"/>
        <w:spacing w:before="0" w:beforeLines="0" w:after="0" w:afterLines="0"/>
        <w:ind w:firstLine="560" w:firstLineChars="200"/>
        <w:rPr>
          <w:rFonts w:hint="eastAsia" w:ascii="仿宋_GB2312" w:hAnsi="仿宋" w:cs="Times New Roman"/>
          <w:bCs/>
          <w:kern w:val="0"/>
          <w:szCs w:val="28"/>
        </w:rPr>
      </w:pPr>
      <w:bookmarkStart w:id="26" w:name="_Toc237941421"/>
      <w:r>
        <w:rPr>
          <w:rFonts w:hint="eastAsia" w:ascii="仿宋_GB2312" w:hAnsi="仿宋" w:cs="Times New Roman"/>
          <w:bCs/>
          <w:kern w:val="0"/>
          <w:szCs w:val="28"/>
        </w:rPr>
        <w:t>（二）激活稳中求进、现代示范的花卉产业</w:t>
      </w:r>
      <w:bookmarkEnd w:id="26"/>
    </w:p>
    <w:p w14:paraId="6BE0F5DA">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稳定现有花卉产业发展空间，加快新品种研发选育与良种扩繁，支持优势花卉育种；继续推进乡土花卉筛选应用、园艺化培育与产业技术培训，着力选育高效、高抗、低维护产品；强化产业链上下游协同，培育自主品牌企业。“十五五”期间引进盆花10种，自育盆花10-15种，选育乡土花卉1-2种。</w:t>
      </w:r>
    </w:p>
    <w:p w14:paraId="3044A1C2">
      <w:pPr>
        <w:pStyle w:val="52"/>
        <w:snapToGrid w:val="0"/>
        <w:spacing w:before="0" w:beforeLines="0" w:after="0" w:afterLines="0"/>
        <w:ind w:firstLine="560" w:firstLineChars="200"/>
        <w:rPr>
          <w:rFonts w:hint="eastAsia" w:ascii="仿宋_GB2312" w:hAnsi="仿宋" w:cs="Times New Roman"/>
          <w:kern w:val="0"/>
          <w:szCs w:val="28"/>
        </w:rPr>
      </w:pPr>
      <w:bookmarkStart w:id="27" w:name="_Toc237941422"/>
      <w:r>
        <w:rPr>
          <w:rFonts w:hint="eastAsia" w:ascii="仿宋_GB2312" w:hAnsi="仿宋" w:cs="Times New Roman"/>
          <w:kern w:val="0"/>
          <w:szCs w:val="28"/>
        </w:rPr>
        <w:t>（三）开发多产联动、多重赋能的蜜蜂产业</w:t>
      </w:r>
      <w:bookmarkEnd w:id="27"/>
    </w:p>
    <w:p w14:paraId="53FE692A">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建设蜜蜂良种繁育示范基地，立足蜂农实际需求，开展杂交选育，提高蜂群质量；推广蜜蜂授粉技术，构建蜂业与林果业双向赋能的良好发展模式；推进蜂业气象指数保险投保工作，有效提升蜂产业抗风险能力。</w:t>
      </w:r>
    </w:p>
    <w:p w14:paraId="62155A5B">
      <w:pPr>
        <w:pStyle w:val="52"/>
        <w:snapToGrid w:val="0"/>
        <w:spacing w:before="0" w:beforeLines="0" w:after="0" w:afterLines="0"/>
        <w:ind w:firstLine="560" w:firstLineChars="200"/>
        <w:rPr>
          <w:rFonts w:hint="eastAsia" w:ascii="仿宋_GB2312" w:hAnsi="仿宋" w:cs="Times New Roman"/>
          <w:kern w:val="0"/>
          <w:szCs w:val="28"/>
        </w:rPr>
      </w:pPr>
      <w:bookmarkStart w:id="28" w:name="_Toc237941423"/>
      <w:r>
        <w:rPr>
          <w:rFonts w:hint="eastAsia" w:ascii="仿宋_GB2312" w:hAnsi="仿宋" w:cs="Times New Roman"/>
          <w:kern w:val="0"/>
          <w:szCs w:val="28"/>
        </w:rPr>
        <w:t>（四）开创品牌引领、多点发力的林下经济产业</w:t>
      </w:r>
      <w:bookmarkEnd w:id="28"/>
    </w:p>
    <w:p w14:paraId="683836B0">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落实北京市林下经济高质量发展定位，坚持可持续经营原则。布局一批林药、林菌等特色林下种养项目，同时探索森林景观综合开发利用；培育壮大新型集体林场等经营主体，建立健全稳定的利益联结机制，提高新型林业经营主体组织化水平与抗风险能力。</w:t>
      </w:r>
    </w:p>
    <w:p w14:paraId="4F96F1C7">
      <w:pPr>
        <w:pStyle w:val="52"/>
        <w:snapToGrid w:val="0"/>
        <w:spacing w:before="0" w:beforeLines="0" w:after="0" w:afterLines="0"/>
        <w:ind w:firstLine="560" w:firstLineChars="200"/>
        <w:rPr>
          <w:rFonts w:hint="eastAsia" w:ascii="仿宋_GB2312" w:hAnsi="仿宋" w:cs="Times New Roman"/>
          <w:kern w:val="0"/>
          <w:szCs w:val="28"/>
        </w:rPr>
      </w:pPr>
      <w:bookmarkStart w:id="29" w:name="_Toc237941424"/>
      <w:r>
        <w:rPr>
          <w:rFonts w:hint="eastAsia" w:ascii="仿宋_GB2312" w:hAnsi="仿宋" w:cs="Times New Roman"/>
          <w:kern w:val="0"/>
          <w:szCs w:val="28"/>
        </w:rPr>
        <w:t>（五）挖掘跨领域合作、潜力广阔的新兴经济产业</w:t>
      </w:r>
      <w:bookmarkEnd w:id="29"/>
    </w:p>
    <w:p w14:paraId="6CC63216">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sz w:val="28"/>
          <w:szCs w:val="28"/>
          <w14:ligatures w14:val="none"/>
        </w:rPr>
        <w:t>促进农文旅商体深度融合，通过跨领域合作激发新兴经</w:t>
      </w:r>
      <w:r>
        <w:rPr>
          <w:rFonts w:hint="eastAsia" w:ascii="仿宋_GB2312" w:hAnsi="仿宋_GB2312" w:eastAsia="仿宋_GB2312" w:cs="仿宋_GB2312"/>
          <w:bCs/>
          <w:sz w:val="28"/>
          <w:szCs w:val="28"/>
          <w14:ligatures w14:val="none"/>
        </w:rPr>
        <w:t>济产业巨大潜力。依托生态湿地与城市公园谋划发展“观鸟经济”；大力发展“赛事经济”</w:t>
      </w:r>
      <w:r>
        <w:rPr>
          <w:rFonts w:hint="eastAsia" w:ascii="仿宋_GB2312" w:hAnsi="仿宋_GB2312" w:eastAsia="仿宋_GB2312" w:cs="仿宋_GB2312"/>
          <w:bCs/>
          <w:sz w:val="28"/>
          <w:szCs w:val="28"/>
          <w:lang w:eastAsia="zh-CN"/>
          <w14:ligatures w14:val="none"/>
        </w:rPr>
        <w:t>，</w:t>
      </w:r>
      <w:r>
        <w:rPr>
          <w:rFonts w:hint="eastAsia" w:ascii="仿宋_GB2312" w:hAnsi="仿宋_GB2312" w:eastAsia="仿宋_GB2312" w:cs="仿宋_GB2312"/>
          <w:bCs/>
          <w:sz w:val="28"/>
          <w:szCs w:val="28"/>
          <w14:ligatures w14:val="none"/>
        </w:rPr>
        <w:t>创新“公园运营经济”</w:t>
      </w:r>
      <w:r>
        <w:rPr>
          <w:rFonts w:hint="eastAsia" w:ascii="仿宋_GB2312" w:hAnsi="仿宋_GB2312" w:eastAsia="仿宋_GB2312" w:cs="仿宋_GB2312"/>
          <w:bCs/>
          <w:sz w:val="28"/>
          <w:szCs w:val="28"/>
          <w:lang w:eastAsia="zh-CN"/>
          <w14:ligatures w14:val="none"/>
        </w:rPr>
        <w:t>，</w:t>
      </w:r>
      <w:r>
        <w:rPr>
          <w:rFonts w:hint="eastAsia" w:ascii="仿宋_GB2312" w:hAnsi="仿宋_GB2312" w:eastAsia="仿宋_GB2312" w:cs="仿宋_GB2312"/>
          <w:bCs/>
          <w:sz w:val="28"/>
          <w:szCs w:val="28"/>
          <w14:ligatures w14:val="none"/>
        </w:rPr>
        <w:t>深度融合“文旅经济”，通过“生态资源+特色服务+科技赋能”多元融合模式，拓展园林绿化经济效益，构建绿色产业生态圈。</w:t>
      </w:r>
    </w:p>
    <w:p w14:paraId="0A7C6B2F">
      <w:pPr>
        <w:spacing w:after="0" w:line="560" w:lineRule="exact"/>
        <w:ind w:firstLine="562" w:firstLineChars="200"/>
        <w:outlineLvl w:val="1"/>
        <w:rPr>
          <w:rFonts w:hint="eastAsia" w:ascii="楷体_GB2312" w:hAnsi="楷体_GB2312" w:eastAsia="楷体_GB2312" w:cs="楷体_GB2312"/>
          <w:b/>
          <w:bCs/>
          <w:sz w:val="28"/>
          <w:szCs w:val="28"/>
          <w14:ligatures w14:val="none"/>
        </w:rPr>
      </w:pPr>
      <w:bookmarkStart w:id="30" w:name="_Toc237941425"/>
      <w:r>
        <w:rPr>
          <w:rFonts w:hint="eastAsia" w:ascii="楷体_GB2312" w:hAnsi="楷体_GB2312" w:eastAsia="楷体_GB2312" w:cs="楷体_GB2312"/>
          <w:b/>
          <w:bCs/>
          <w:sz w:val="28"/>
          <w:szCs w:val="28"/>
          <w14:ligatures w14:val="none"/>
        </w:rPr>
        <w:t>五、完善绿色安全体系，创新管理体制机制</w:t>
      </w:r>
      <w:bookmarkEnd w:id="30"/>
    </w:p>
    <w:p w14:paraId="6228A0D8">
      <w:pPr>
        <w:pStyle w:val="52"/>
        <w:snapToGrid w:val="0"/>
        <w:spacing w:before="0" w:beforeLines="0" w:after="0" w:afterLines="0"/>
        <w:ind w:firstLine="560" w:firstLineChars="200"/>
        <w:rPr>
          <w:rFonts w:hint="eastAsia" w:ascii="仿宋_GB2312" w:hAnsi="仿宋" w:cs="Times New Roman"/>
          <w:kern w:val="0"/>
          <w:szCs w:val="28"/>
        </w:rPr>
      </w:pPr>
      <w:bookmarkStart w:id="31" w:name="_Toc237941426"/>
      <w:r>
        <w:rPr>
          <w:rFonts w:hint="eastAsia" w:ascii="仿宋_GB2312" w:hAnsi="仿宋" w:cs="Times New Roman"/>
          <w:kern w:val="0"/>
          <w:szCs w:val="28"/>
        </w:rPr>
        <w:t>（一）构建完备的现代化森林防火体系</w:t>
      </w:r>
      <w:bookmarkEnd w:id="31"/>
    </w:p>
    <w:p w14:paraId="4BAF7634">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“十五五”期间重点加强森林防火基础设施建设，持续提升山区防火</w:t>
      </w:r>
      <w:r>
        <w:rPr>
          <w:rFonts w:hint="eastAsia" w:ascii="仿宋_GB2312" w:hAnsi="仿宋_GB2312" w:eastAsia="仿宋_GB2312" w:cs="仿宋_GB2312"/>
          <w:bCs/>
          <w:sz w:val="28"/>
          <w:szCs w:val="28"/>
          <w:lang w:eastAsia="zh-CN"/>
          <w14:ligatures w14:val="none"/>
        </w:rPr>
        <w:t>能力</w:t>
      </w:r>
      <w:r>
        <w:rPr>
          <w:rFonts w:hint="eastAsia" w:ascii="仿宋_GB2312" w:hAnsi="仿宋_GB2312" w:eastAsia="仿宋_GB2312" w:cs="仿宋_GB2312"/>
          <w:bCs/>
          <w:sz w:val="28"/>
          <w:szCs w:val="28"/>
          <w14:ligatures w14:val="none"/>
        </w:rPr>
        <w:t>，</w:t>
      </w:r>
      <w:r>
        <w:rPr>
          <w:rFonts w:hint="eastAsia" w:ascii="仿宋_GB2312" w:hAnsi="仿宋_GB2312" w:eastAsia="仿宋_GB2312" w:cs="仿宋_GB2312"/>
          <w:bCs/>
          <w:sz w:val="28"/>
          <w:szCs w:val="28"/>
          <w:lang w:eastAsia="zh-CN"/>
          <w14:ligatures w14:val="none"/>
        </w:rPr>
        <w:t>建设防火道路</w:t>
      </w:r>
      <w:r>
        <w:rPr>
          <w:rFonts w:hint="eastAsia" w:ascii="仿宋_GB2312" w:hAnsi="仿宋_GB2312" w:eastAsia="仿宋_GB2312" w:cs="仿宋_GB2312"/>
          <w:bCs/>
          <w:sz w:val="28"/>
          <w:szCs w:val="28"/>
          <w:lang w:val="en-US" w:eastAsia="zh-CN"/>
          <w14:ligatures w14:val="none"/>
        </w:rPr>
        <w:t>280公里；</w:t>
      </w:r>
      <w:r>
        <w:rPr>
          <w:rFonts w:hint="eastAsia" w:ascii="仿宋_GB2312" w:hAnsi="仿宋_GB2312" w:eastAsia="仿宋_GB2312" w:cs="仿宋_GB2312"/>
          <w:bCs/>
          <w:sz w:val="28"/>
          <w:szCs w:val="28"/>
          <w14:ligatures w14:val="none"/>
        </w:rPr>
        <w:t>配套建设林木智能保护基站、地表火探测器等设施，推进重点林区瞭望塔、检查站升级与引水上山工程示范建设</w:t>
      </w:r>
      <w:r>
        <w:rPr>
          <w:rFonts w:hint="eastAsia" w:ascii="仿宋_GB2312" w:hAnsi="仿宋_GB2312" w:eastAsia="仿宋_GB2312" w:cs="仿宋_GB2312"/>
          <w:bCs/>
          <w:sz w:val="28"/>
          <w:szCs w:val="28"/>
          <w:lang w:eastAsia="zh-CN"/>
          <w14:ligatures w14:val="none"/>
        </w:rPr>
        <w:t>和</w:t>
      </w:r>
      <w:r>
        <w:rPr>
          <w:rFonts w:hint="eastAsia" w:ascii="仿宋_GB2312" w:hAnsi="仿宋_GB2312" w:eastAsia="仿宋_GB2312" w:cs="仿宋_GB2312"/>
          <w:bCs/>
          <w:sz w:val="28"/>
          <w:szCs w:val="28"/>
          <w14:ligatures w14:val="none"/>
        </w:rPr>
        <w:t>森林防火视频监控系统升级改造；推动14个新型集体林场森林防火装备升级，提升巡查巡护和火情前期处置能力；在生态涵养区现有</w:t>
      </w:r>
      <w:r>
        <w:rPr>
          <w:rFonts w:hint="eastAsia" w:ascii="仿宋_GB2312" w:hAnsi="仿宋_GB2312" w:eastAsia="仿宋_GB2312" w:cs="仿宋_GB2312"/>
          <w:bCs/>
          <w:sz w:val="28"/>
          <w:szCs w:val="28"/>
          <w:lang w:eastAsia="zh-CN"/>
          <w14:ligatures w14:val="none"/>
        </w:rPr>
        <w:t>智能设施</w:t>
      </w:r>
      <w:r>
        <w:rPr>
          <w:rFonts w:hint="eastAsia" w:ascii="仿宋_GB2312" w:hAnsi="仿宋_GB2312" w:eastAsia="仿宋_GB2312" w:cs="仿宋_GB2312"/>
          <w:bCs/>
          <w:sz w:val="28"/>
          <w:szCs w:val="28"/>
          <w14:ligatures w14:val="none"/>
        </w:rPr>
        <w:t>基础上，增加布局点位并</w:t>
      </w:r>
      <w:r>
        <w:rPr>
          <w:rFonts w:hint="eastAsia" w:ascii="仿宋_GB2312" w:hAnsi="仿宋_GB2312" w:eastAsia="仿宋_GB2312" w:cs="仿宋_GB2312"/>
          <w:bCs/>
          <w:sz w:val="28"/>
          <w:szCs w:val="28"/>
          <w:lang w:eastAsia="zh-CN"/>
          <w14:ligatures w14:val="none"/>
        </w:rPr>
        <w:t>应用先进智能防火技术</w:t>
      </w:r>
      <w:r>
        <w:rPr>
          <w:rFonts w:hint="eastAsia" w:ascii="仿宋_GB2312" w:hAnsi="仿宋_GB2312" w:eastAsia="仿宋_GB2312" w:cs="仿宋_GB2312"/>
          <w:bCs/>
          <w:sz w:val="28"/>
          <w:szCs w:val="28"/>
          <w14:ligatures w14:val="none"/>
        </w:rPr>
        <w:t>。</w:t>
      </w:r>
    </w:p>
    <w:p w14:paraId="25568CC6">
      <w:pPr>
        <w:pStyle w:val="52"/>
        <w:snapToGrid w:val="0"/>
        <w:spacing w:before="0" w:beforeLines="0" w:after="0" w:afterLines="0"/>
        <w:ind w:firstLine="560" w:firstLineChars="200"/>
        <w:rPr>
          <w:rFonts w:hint="eastAsia" w:ascii="仿宋_GB2312" w:hAnsi="仿宋" w:cs="Times New Roman"/>
          <w:kern w:val="0"/>
          <w:szCs w:val="28"/>
        </w:rPr>
      </w:pPr>
      <w:bookmarkStart w:id="32" w:name="_Toc237941427"/>
      <w:r>
        <w:rPr>
          <w:rFonts w:hint="eastAsia" w:ascii="仿宋_GB2312" w:hAnsi="仿宋" w:cs="Times New Roman"/>
          <w:kern w:val="0"/>
          <w:szCs w:val="28"/>
        </w:rPr>
        <w:t>（二）建立科学的林业有害生物防控机制</w:t>
      </w:r>
      <w:bookmarkEnd w:id="32"/>
    </w:p>
    <w:p w14:paraId="04634048">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规范完善林业有害生物防治责任，强化京津冀林业有害生物协同防控与京西片区联防联控，建立完善跨区域监测数据共享、联合检疫执法和应急处置联动机制；持续攻坚松材线虫病、美国白蛾等林业有害生物防控，严抓产地检疫监管与调入苗木复检，坚决阻断检疫性、危险性有害生物传播；切实</w:t>
      </w:r>
      <w:r>
        <w:rPr>
          <w:rFonts w:hint="eastAsia" w:ascii="仿宋_GB2312" w:hAnsi="仿宋_GB2312" w:eastAsia="仿宋_GB2312" w:cs="仿宋_GB2312"/>
          <w:bCs/>
          <w:sz w:val="28"/>
          <w:szCs w:val="28"/>
          <w:lang w:eastAsia="zh-CN"/>
          <w14:ligatures w14:val="none"/>
        </w:rPr>
        <w:t>做好园林绿化生态管护工作</w:t>
      </w:r>
      <w:r>
        <w:rPr>
          <w:rFonts w:hint="eastAsia" w:ascii="仿宋_GB2312" w:hAnsi="仿宋_GB2312" w:eastAsia="仿宋_GB2312" w:cs="仿宋_GB2312"/>
          <w:bCs/>
          <w:sz w:val="28"/>
          <w:szCs w:val="28"/>
          <w14:ligatures w14:val="none"/>
        </w:rPr>
        <w:t>，推进平原生态林与城镇绿化有害生物防控基础设施建设，推广应用农药使用监管平台，强化日常监管指导，稳步实现农药减量增效。</w:t>
      </w:r>
    </w:p>
    <w:p w14:paraId="6EA5AE0B">
      <w:pPr>
        <w:pStyle w:val="52"/>
        <w:snapToGrid w:val="0"/>
        <w:spacing w:before="0" w:beforeLines="0" w:after="0" w:afterLines="0"/>
        <w:ind w:firstLine="560" w:firstLineChars="200"/>
        <w:rPr>
          <w:rFonts w:hint="eastAsia" w:ascii="仿宋_GB2312" w:hAnsi="仿宋" w:cs="Times New Roman"/>
          <w:kern w:val="0"/>
          <w:szCs w:val="28"/>
        </w:rPr>
      </w:pPr>
      <w:bookmarkStart w:id="33" w:name="_Toc237941428"/>
      <w:r>
        <w:rPr>
          <w:rFonts w:hint="eastAsia" w:ascii="仿宋_GB2312" w:hAnsi="仿宋" w:cs="Times New Roman"/>
          <w:kern w:val="0"/>
          <w:szCs w:val="28"/>
        </w:rPr>
        <w:t>（三）提高园林绿化资源保护管理水平</w:t>
      </w:r>
      <w:bookmarkEnd w:id="33"/>
    </w:p>
    <w:p w14:paraId="6512DC6C">
      <w:pPr>
        <w:spacing w:after="0" w:line="560" w:lineRule="exact"/>
        <w:ind w:firstLine="560" w:firstLineChars="200"/>
        <w:jc w:val="both"/>
        <w:rPr>
          <w:rFonts w:hint="eastAsia" w:ascii="仿宋_GB2312" w:hAnsi="仿宋_GB2312" w:eastAsia="仿宋_GB2312" w:cs="仿宋_GB2312"/>
          <w:sz w:val="28"/>
          <w:szCs w:val="28"/>
          <w14:ligatures w14:val="none"/>
        </w:rPr>
      </w:pPr>
      <w:r>
        <w:rPr>
          <w:rFonts w:hint="eastAsia" w:ascii="仿宋_GB2312" w:hAnsi="仿宋_GB2312" w:eastAsia="仿宋_GB2312" w:cs="仿宋_GB2312"/>
          <w:bCs/>
          <w:sz w:val="28"/>
          <w:szCs w:val="28"/>
          <w14:ligatures w14:val="none"/>
        </w:rPr>
        <w:t>完善园林绿化资源保护管理工作机制，开展资源专项调查，</w:t>
      </w:r>
      <w:r>
        <w:rPr>
          <w:rFonts w:ascii="Times New Roman" w:hAnsi="Times New Roman" w:eastAsia="仿宋_GB2312" w:cs="仿宋_GB2312"/>
          <w:sz w:val="28"/>
          <w:szCs w:val="28"/>
        </w:rPr>
        <w:t>构建资源调查监测体系</w:t>
      </w:r>
      <w:r>
        <w:rPr>
          <w:rFonts w:hint="eastAsia" w:ascii="Times New Roman" w:hAnsi="Times New Roman" w:eastAsia="仿宋_GB2312" w:cs="仿宋_GB2312"/>
          <w:sz w:val="28"/>
          <w:szCs w:val="28"/>
        </w:rPr>
        <w:t>；</w:t>
      </w:r>
      <w:r>
        <w:rPr>
          <w:rFonts w:hint="eastAsia" w:ascii="仿宋_GB2312" w:hAnsi="仿宋_GB2312" w:eastAsia="仿宋_GB2312" w:cs="仿宋_GB2312"/>
          <w:bCs/>
          <w:sz w:val="28"/>
          <w:szCs w:val="28"/>
          <w14:ligatures w14:val="none"/>
        </w:rPr>
        <w:t>深入开展林草督查，依托市园林局建立的日常监督平台，利用现有数据及影像判读及时核实图斑变化，</w:t>
      </w:r>
      <w:r>
        <w:rPr>
          <w:rFonts w:ascii="仿宋_GB2312" w:hAnsi="仿宋_GB2312" w:eastAsia="仿宋_GB2312" w:cs="仿宋_GB2312"/>
          <w:bCs/>
          <w:sz w:val="28"/>
          <w:szCs w:val="28"/>
          <w14:ligatures w14:val="none"/>
        </w:rPr>
        <w:t>联动镇街压实属地责任，</w:t>
      </w:r>
      <w:r>
        <w:rPr>
          <w:rFonts w:hint="eastAsia" w:ascii="仿宋_GB2312" w:hAnsi="仿宋_GB2312" w:eastAsia="仿宋_GB2312" w:cs="仿宋_GB2312"/>
          <w:bCs/>
          <w:sz w:val="28"/>
          <w:szCs w:val="28"/>
          <w14:ligatures w14:val="none"/>
        </w:rPr>
        <w:t>提升</w:t>
      </w:r>
      <w:r>
        <w:rPr>
          <w:rFonts w:ascii="仿宋_GB2312" w:hAnsi="仿宋_GB2312" w:eastAsia="仿宋_GB2312" w:cs="仿宋_GB2312"/>
          <w:bCs/>
          <w:sz w:val="28"/>
          <w:szCs w:val="28"/>
          <w14:ligatures w14:val="none"/>
        </w:rPr>
        <w:t>对侵占和破坏林草资源违法行为的打击效能</w:t>
      </w:r>
      <w:r>
        <w:rPr>
          <w:rFonts w:hint="eastAsia" w:ascii="仿宋_GB2312" w:hAnsi="仿宋_GB2312" w:eastAsia="仿宋_GB2312" w:cs="仿宋_GB2312"/>
          <w:bCs/>
          <w:sz w:val="28"/>
          <w:szCs w:val="28"/>
          <w14:ligatures w14:val="none"/>
        </w:rPr>
        <w:t>；</w:t>
      </w:r>
      <w:r>
        <w:rPr>
          <w:rFonts w:ascii="Times New Roman" w:hAnsi="Times New Roman" w:eastAsia="仿宋_GB2312" w:cs="仿宋_GB2312"/>
          <w:sz w:val="28"/>
          <w:szCs w:val="28"/>
        </w:rPr>
        <w:t>建立跨部门调查协同机制，互通国土变更调查标准，征求部门意见，动态调整并优化规划林地范围</w:t>
      </w:r>
      <w:r>
        <w:rPr>
          <w:rFonts w:hint="eastAsia" w:ascii="Times New Roman" w:hAnsi="Times New Roman" w:eastAsia="仿宋_GB2312" w:cs="仿宋_GB2312"/>
          <w:sz w:val="28"/>
          <w:szCs w:val="28"/>
        </w:rPr>
        <w:t>；</w:t>
      </w:r>
      <w:r>
        <w:rPr>
          <w:rFonts w:hint="eastAsia" w:ascii="仿宋_GB2312" w:hAnsi="仿宋_GB2312" w:eastAsia="仿宋_GB2312" w:cs="仿宋_GB2312"/>
          <w:bCs/>
          <w:sz w:val="28"/>
          <w:szCs w:val="28"/>
          <w14:ligatures w14:val="none"/>
        </w:rPr>
        <w:t>开展年度调查监测</w:t>
      </w:r>
      <w:r>
        <w:rPr>
          <w:rFonts w:hint="eastAsia" w:ascii="仿宋_GB2312" w:hAnsi="仿宋_GB2312" w:eastAsia="仿宋_GB2312" w:cs="仿宋_GB2312"/>
          <w:sz w:val="28"/>
          <w:szCs w:val="28"/>
          <w14:ligatures w14:val="none"/>
        </w:rPr>
        <w:t>并更新资源数据库。</w:t>
      </w:r>
    </w:p>
    <w:p w14:paraId="1F9F01F7">
      <w:pPr>
        <w:pStyle w:val="52"/>
        <w:snapToGrid w:val="0"/>
        <w:spacing w:before="0" w:beforeLines="0" w:after="0" w:afterLines="0"/>
        <w:ind w:firstLine="560" w:firstLineChars="200"/>
        <w:rPr>
          <w:rFonts w:hint="eastAsia" w:ascii="仿宋_GB2312" w:hAnsi="仿宋" w:cs="Times New Roman"/>
          <w:kern w:val="0"/>
          <w:szCs w:val="28"/>
        </w:rPr>
      </w:pPr>
      <w:bookmarkStart w:id="34" w:name="_Toc237941429"/>
      <w:r>
        <w:rPr>
          <w:rFonts w:hint="eastAsia" w:ascii="仿宋_GB2312" w:hAnsi="仿宋" w:cs="Times New Roman"/>
          <w:kern w:val="0"/>
          <w:szCs w:val="28"/>
        </w:rPr>
        <w:t>（四）制定完善的规划监测评估制度</w:t>
      </w:r>
      <w:bookmarkEnd w:id="34"/>
    </w:p>
    <w:p w14:paraId="321B1555">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完善规划实施的监督考核体系，将规划执行情况纳入政府绩效考核，定期开展绿化专项督查；建立规划动态评估机制，运用遥感监测、实地核查等手段，对绿化专项规划实施效果进行跟踪评估，确保各项规划指标落实到位；对违反规划的行为，联合自然资源、城管执法等部门依法查处，切实维护规划的严肃性与权威性。</w:t>
      </w:r>
    </w:p>
    <w:p w14:paraId="540E24FC">
      <w:pPr>
        <w:pStyle w:val="52"/>
        <w:snapToGrid w:val="0"/>
        <w:spacing w:before="0" w:beforeLines="0" w:after="0" w:afterLines="0"/>
        <w:ind w:firstLine="560" w:firstLineChars="200"/>
        <w:rPr>
          <w:rFonts w:hint="eastAsia" w:ascii="仿宋_GB2312" w:hAnsi="仿宋" w:cs="Times New Roman"/>
          <w:kern w:val="0"/>
          <w:szCs w:val="28"/>
        </w:rPr>
      </w:pPr>
      <w:bookmarkStart w:id="35" w:name="_Toc237941430"/>
      <w:r>
        <w:rPr>
          <w:rFonts w:hint="eastAsia" w:ascii="仿宋_GB2312" w:hAnsi="仿宋" w:cs="Times New Roman"/>
          <w:kern w:val="0"/>
          <w:szCs w:val="28"/>
        </w:rPr>
        <w:t>（五）持续改革创新园林绿化发展体制机制</w:t>
      </w:r>
      <w:bookmarkEnd w:id="35"/>
    </w:p>
    <w:p w14:paraId="3DADBFD9">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以林长制为核心、新型集体林场为载体，构建新型集体林场现代化经营管理模式；通过新型集体林场培育月季等特色花卉，打造园林景观示范区并培育集体林场“乡村园艺师”；鼓励通过流转或股份合作开展集约化、规模化生产，培育扶农带农龙头企业，探索构建“集体林场+新型农业经营主体+农户”产业化联合体。</w:t>
      </w:r>
    </w:p>
    <w:p w14:paraId="4DA5BBAD">
      <w:pPr>
        <w:pStyle w:val="52"/>
        <w:snapToGrid w:val="0"/>
        <w:spacing w:before="0" w:beforeLines="0" w:after="0" w:afterLines="0"/>
        <w:ind w:firstLine="560" w:firstLineChars="200"/>
        <w:rPr>
          <w:rFonts w:hint="eastAsia" w:ascii="仿宋_GB2312" w:hAnsi="仿宋" w:cs="Times New Roman"/>
          <w:kern w:val="0"/>
          <w:szCs w:val="28"/>
        </w:rPr>
      </w:pPr>
      <w:bookmarkStart w:id="36" w:name="_Toc237941431"/>
      <w:r>
        <w:rPr>
          <w:rFonts w:hint="eastAsia" w:ascii="仿宋_GB2312" w:hAnsi="仿宋" w:cs="Times New Roman"/>
          <w:kern w:val="0"/>
          <w:szCs w:val="28"/>
        </w:rPr>
        <w:t>（六）提升公园综合服务能力与精细化管养水平</w:t>
      </w:r>
      <w:bookmarkEnd w:id="36"/>
    </w:p>
    <w:p w14:paraId="6A1DBF80">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聚焦提升公园品质，推动公园建设与城市空间深度融合，开展差异化、分层次的公园更新，持续提高综合服务能力与精细化管养水平；针对公园大型主题活动，设立现场指挥中心，制定消防、医疗、应急等多方</w:t>
      </w:r>
      <w:r>
        <w:rPr>
          <w:rFonts w:hint="eastAsia" w:ascii="Segoe UI Emoji" w:hAnsi="Segoe UI Emoji" w:eastAsia="仿宋_GB2312" w:cs="Segoe UI Emoji"/>
          <w:bCs/>
          <w:sz w:val="28"/>
          <w:szCs w:val="28"/>
          <w14:ligatures w14:val="none"/>
        </w:rPr>
        <w:t>预案，明确责任分工与处置流程，设立固定医疗点与安保人员，同时</w:t>
      </w:r>
      <w:r>
        <w:rPr>
          <w:rFonts w:hint="eastAsia" w:ascii="仿宋_GB2312" w:hAnsi="仿宋_GB2312" w:eastAsia="仿宋_GB2312" w:cs="仿宋_GB2312"/>
          <w:bCs/>
          <w:sz w:val="28"/>
          <w:szCs w:val="28"/>
          <w14:ligatures w14:val="none"/>
        </w:rPr>
        <w:t>招募培训志愿者，多渠道提供服务并响应游客需求，确保</w:t>
      </w:r>
      <w:r>
        <w:rPr>
          <w:rFonts w:ascii="仿宋_GB2312" w:hAnsi="仿宋_GB2312" w:eastAsia="仿宋_GB2312" w:cs="仿宋_GB2312"/>
          <w:bCs/>
          <w:sz w:val="28"/>
          <w:szCs w:val="28"/>
          <w14:ligatures w14:val="none"/>
        </w:rPr>
        <w:t>场地安全与问题高效处置</w:t>
      </w:r>
      <w:r>
        <w:rPr>
          <w:rFonts w:hint="eastAsia" w:ascii="仿宋_GB2312" w:hAnsi="仿宋_GB2312" w:eastAsia="仿宋_GB2312" w:cs="仿宋_GB2312"/>
          <w:bCs/>
          <w:sz w:val="28"/>
          <w:szCs w:val="28"/>
          <w14:ligatures w14:val="none"/>
        </w:rPr>
        <w:t>。</w:t>
      </w:r>
    </w:p>
    <w:p w14:paraId="124881AC">
      <w:pPr>
        <w:pStyle w:val="52"/>
        <w:snapToGrid w:val="0"/>
        <w:spacing w:before="0" w:beforeLines="0" w:after="0" w:afterLines="0"/>
        <w:ind w:firstLine="560" w:firstLineChars="200"/>
        <w:rPr>
          <w:rFonts w:hint="eastAsia" w:ascii="仿宋_GB2312" w:hAnsi="仿宋" w:cs="Times New Roman"/>
          <w:kern w:val="0"/>
          <w:szCs w:val="28"/>
        </w:rPr>
      </w:pPr>
      <w:bookmarkStart w:id="37" w:name="_Toc237941432"/>
      <w:r>
        <w:rPr>
          <w:rFonts w:hint="eastAsia" w:ascii="仿宋_GB2312" w:hAnsi="仿宋" w:cs="Times New Roman"/>
          <w:kern w:val="0"/>
          <w:szCs w:val="28"/>
        </w:rPr>
        <w:t>（七）推进智慧管理平台搭建与园林绿化技术创新应用</w:t>
      </w:r>
      <w:bookmarkEnd w:id="37"/>
    </w:p>
    <w:p w14:paraId="02A353BE">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hint="eastAsia" w:ascii="仿宋_GB2312" w:hAnsi="仿宋_GB2312" w:eastAsia="仿宋_GB2312" w:cs="仿宋_GB2312"/>
          <w:bCs/>
          <w:sz w:val="28"/>
          <w:szCs w:val="28"/>
          <w14:ligatures w14:val="none"/>
        </w:rPr>
        <w:t>重点推进温榆河公园、白浮泉公园、奥北森林公园等区域园林绿化废弃物处理利用示范站建设，补齐示范引领、科普宣教短板；充分发挥首都农林高校与科研院所专家优势，重点开展绿色产业优良品种选育推广、节水保土、无公害病虫害防治及产品精深加工等技术科研攻关；完善技术推广服务体系，开展科技下乡与技术培训。</w:t>
      </w:r>
    </w:p>
    <w:p w14:paraId="4ED05299">
      <w:pPr>
        <w:pStyle w:val="53"/>
        <w:widowControl w:val="0"/>
        <w:spacing w:before="156" w:beforeLines="50" w:after="156" w:afterLines="50" w:line="560" w:lineRule="exact"/>
        <w:jc w:val="center"/>
        <w:rPr>
          <w:rFonts w:hint="eastAsia" w:ascii="黑体" w:hAnsi="黑体" w:eastAsia="黑体"/>
          <w:bCs w:val="0"/>
          <w:sz w:val="32"/>
          <w:szCs w:val="40"/>
        </w:rPr>
      </w:pPr>
      <w:bookmarkStart w:id="38" w:name="_Toc237941433"/>
      <w:r>
        <w:rPr>
          <w:rFonts w:hint="eastAsia" w:ascii="黑体" w:hAnsi="黑体" w:eastAsia="黑体"/>
          <w:bCs w:val="0"/>
          <w:sz w:val="32"/>
          <w:szCs w:val="40"/>
        </w:rPr>
        <w:t>第三章 保障措施</w:t>
      </w:r>
      <w:bookmarkEnd w:id="38"/>
    </w:p>
    <w:p w14:paraId="28FDA8BA">
      <w:pPr>
        <w:spacing w:after="0" w:line="560" w:lineRule="exact"/>
        <w:ind w:firstLine="562" w:firstLineChars="200"/>
        <w:outlineLvl w:val="1"/>
        <w:rPr>
          <w:rFonts w:hint="eastAsia" w:ascii="楷体_GB2312" w:hAnsi="楷体_GB2312" w:eastAsia="楷体_GB2312" w:cs="楷体_GB2312"/>
          <w:b/>
          <w:bCs/>
          <w:sz w:val="28"/>
          <w:szCs w:val="28"/>
          <w14:ligatures w14:val="none"/>
        </w:rPr>
      </w:pPr>
      <w:bookmarkStart w:id="39" w:name="_Toc237941434"/>
      <w:r>
        <w:rPr>
          <w:rFonts w:hint="eastAsia" w:ascii="楷体_GB2312" w:hAnsi="楷体_GB2312" w:eastAsia="楷体_GB2312" w:cs="楷体_GB2312"/>
          <w:b/>
          <w:bCs/>
          <w:sz w:val="28"/>
          <w:szCs w:val="28"/>
          <w14:ligatures w14:val="none"/>
        </w:rPr>
        <w:t>一、强化组织领导</w:t>
      </w:r>
      <w:bookmarkEnd w:id="39"/>
    </w:p>
    <w:p w14:paraId="263EBCB1">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ascii="仿宋_GB2312" w:hAnsi="仿宋_GB2312" w:eastAsia="仿宋_GB2312" w:cs="仿宋_GB2312"/>
          <w:bCs/>
          <w:sz w:val="28"/>
          <w:szCs w:val="28"/>
          <w14:ligatures w14:val="none"/>
        </w:rPr>
        <w:t>扛牢党建主体责任，紧扣昌平“四区”建设和新时代首都发展，保障“十五五”时期主要任务高效实施。深化部门协同联动，提升园林绿化工作质效</w:t>
      </w:r>
      <w:r>
        <w:rPr>
          <w:rFonts w:hint="eastAsia" w:ascii="仿宋_GB2312" w:hAnsi="仿宋_GB2312" w:eastAsia="仿宋_GB2312" w:cs="仿宋_GB2312"/>
          <w:bCs/>
          <w:sz w:val="28"/>
          <w:szCs w:val="28"/>
          <w14:ligatures w14:val="none"/>
        </w:rPr>
        <w:t>；</w:t>
      </w:r>
      <w:r>
        <w:rPr>
          <w:rFonts w:ascii="仿宋_GB2312" w:hAnsi="仿宋_GB2312" w:eastAsia="仿宋_GB2312" w:cs="仿宋_GB2312"/>
          <w:bCs/>
          <w:sz w:val="28"/>
          <w:szCs w:val="28"/>
          <w14:ligatures w14:val="none"/>
        </w:rPr>
        <w:t>加强与自然资源、住建等部门联合论证</w:t>
      </w:r>
      <w:r>
        <w:rPr>
          <w:rFonts w:hint="eastAsia" w:ascii="仿宋_GB2312" w:hAnsi="仿宋_GB2312" w:eastAsia="仿宋_GB2312" w:cs="仿宋_GB2312"/>
          <w:bCs/>
          <w:sz w:val="28"/>
          <w:szCs w:val="28"/>
          <w14:ligatures w14:val="none"/>
        </w:rPr>
        <w:t>，</w:t>
      </w:r>
      <w:r>
        <w:rPr>
          <w:rFonts w:ascii="仿宋_GB2312" w:hAnsi="仿宋_GB2312" w:eastAsia="仿宋_GB2312" w:cs="仿宋_GB2312"/>
          <w:bCs/>
          <w:sz w:val="28"/>
          <w:szCs w:val="28"/>
          <w14:ligatures w14:val="none"/>
        </w:rPr>
        <w:t>深化城管、公安、街道等联合执法，整治毁绿占绿行为</w:t>
      </w:r>
      <w:r>
        <w:rPr>
          <w:rFonts w:hint="eastAsia" w:ascii="仿宋_GB2312" w:hAnsi="仿宋_GB2312" w:eastAsia="仿宋_GB2312" w:cs="仿宋_GB2312"/>
          <w:bCs/>
          <w:sz w:val="28"/>
          <w:szCs w:val="28"/>
          <w14:ligatures w14:val="none"/>
        </w:rPr>
        <w:t>；</w:t>
      </w:r>
      <w:r>
        <w:rPr>
          <w:rFonts w:ascii="仿宋_GB2312" w:hAnsi="仿宋_GB2312" w:eastAsia="仿宋_GB2312" w:cs="仿宋_GB2312"/>
          <w:bCs/>
          <w:sz w:val="28"/>
          <w:szCs w:val="28"/>
          <w14:ligatures w14:val="none"/>
        </w:rPr>
        <w:t>聚焦社会资源协同，建立政府搭台、社会共建共享的交流合作机制，统筹各方力量参与花园城市建设，增强公园及各类花园场景的吸引力与影响力。</w:t>
      </w:r>
    </w:p>
    <w:p w14:paraId="4FD992F7">
      <w:pPr>
        <w:spacing w:after="0" w:line="560" w:lineRule="exact"/>
        <w:ind w:firstLine="562" w:firstLineChars="200"/>
        <w:outlineLvl w:val="1"/>
        <w:rPr>
          <w:rFonts w:hint="eastAsia" w:ascii="楷体_GB2312" w:hAnsi="楷体_GB2312" w:eastAsia="楷体_GB2312" w:cs="楷体_GB2312"/>
          <w:b/>
          <w:bCs/>
          <w:sz w:val="28"/>
          <w:szCs w:val="28"/>
          <w14:ligatures w14:val="none"/>
        </w:rPr>
      </w:pPr>
      <w:bookmarkStart w:id="40" w:name="_Toc237941435"/>
      <w:r>
        <w:rPr>
          <w:rFonts w:hint="eastAsia" w:ascii="楷体_GB2312" w:hAnsi="楷体_GB2312" w:eastAsia="楷体_GB2312" w:cs="楷体_GB2312"/>
          <w:b/>
          <w:bCs/>
          <w:sz w:val="28"/>
          <w:szCs w:val="28"/>
          <w14:ligatures w14:val="none"/>
        </w:rPr>
        <w:t>二、优化队伍建设</w:t>
      </w:r>
      <w:bookmarkEnd w:id="40"/>
    </w:p>
    <w:p w14:paraId="68E7DE34">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ascii="仿宋_GB2312" w:hAnsi="仿宋_GB2312" w:eastAsia="仿宋_GB2312" w:cs="仿宋_GB2312"/>
          <w:bCs/>
          <w:sz w:val="28"/>
          <w:szCs w:val="28"/>
          <w14:ligatures w14:val="none"/>
        </w:rPr>
        <w:t>大力挖掘园林杰出人才和榜样模范，树立行业积极向上标杆，通过高工与技术骨干“传帮带”培养年轻职工</w:t>
      </w:r>
      <w:r>
        <w:rPr>
          <w:rFonts w:hint="eastAsia" w:ascii="仿宋_GB2312" w:hAnsi="仿宋_GB2312" w:eastAsia="仿宋_GB2312" w:cs="仿宋_GB2312"/>
          <w:bCs/>
          <w:sz w:val="28"/>
          <w:szCs w:val="28"/>
          <w14:ligatures w14:val="none"/>
        </w:rPr>
        <w:t>，</w:t>
      </w:r>
      <w:r>
        <w:rPr>
          <w:rFonts w:ascii="仿宋_GB2312" w:hAnsi="仿宋_GB2312" w:eastAsia="仿宋_GB2312" w:cs="仿宋_GB2312"/>
          <w:bCs/>
          <w:sz w:val="28"/>
          <w:szCs w:val="28"/>
          <w14:ligatures w14:val="none"/>
        </w:rPr>
        <w:t>“十五五”期间实现镇街园艺师全覆盖</w:t>
      </w:r>
      <w:r>
        <w:rPr>
          <w:rFonts w:hint="eastAsia" w:ascii="仿宋_GB2312" w:hAnsi="仿宋_GB2312" w:eastAsia="仿宋_GB2312" w:cs="仿宋_GB2312"/>
          <w:bCs/>
          <w:sz w:val="28"/>
          <w:szCs w:val="28"/>
          <w14:ligatures w14:val="none"/>
        </w:rPr>
        <w:t>。</w:t>
      </w:r>
    </w:p>
    <w:p w14:paraId="22444DE1">
      <w:pPr>
        <w:spacing w:after="0" w:line="560" w:lineRule="exact"/>
        <w:ind w:firstLine="562" w:firstLineChars="200"/>
        <w:outlineLvl w:val="1"/>
        <w:rPr>
          <w:rFonts w:hint="eastAsia" w:ascii="楷体_GB2312" w:hAnsi="楷体_GB2312" w:eastAsia="楷体_GB2312" w:cs="楷体_GB2312"/>
          <w:b/>
          <w:bCs/>
          <w:sz w:val="28"/>
          <w:szCs w:val="28"/>
          <w14:ligatures w14:val="none"/>
        </w:rPr>
      </w:pPr>
      <w:bookmarkStart w:id="41" w:name="_Toc237941436"/>
      <w:r>
        <w:rPr>
          <w:rFonts w:hint="eastAsia" w:ascii="楷体_GB2312" w:hAnsi="楷体_GB2312" w:eastAsia="楷体_GB2312" w:cs="楷体_GB2312"/>
          <w:b/>
          <w:bCs/>
          <w:sz w:val="28"/>
          <w:szCs w:val="28"/>
          <w14:ligatures w14:val="none"/>
        </w:rPr>
        <w:t>三、坚持谋划带动</w:t>
      </w:r>
      <w:bookmarkEnd w:id="41"/>
    </w:p>
    <w:p w14:paraId="316C742D">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ascii="仿宋_GB2312" w:hAnsi="仿宋_GB2312" w:eastAsia="仿宋_GB2312" w:cs="仿宋_GB2312"/>
          <w:bCs/>
          <w:sz w:val="28"/>
          <w:szCs w:val="28"/>
          <w14:ligatures w14:val="none"/>
        </w:rPr>
        <w:t>传承昌平区规划先行的园林绿化发展特色模式，坚持以重大项目谋划带动各领域高质量发展，结合具体实施与资金路径保障项目落地。“十五五”期间重点依托回天地区、生命科学园三期、昌平新城等街区控制性详细规划，深入对接土地一级开发供地时序，提前做好规划公园绿地与防护绿地等项目谋划，压茬推进规划新增绿地建设，确保建设用地配套绿地投用，构建城绿融合的花园场景。</w:t>
      </w:r>
    </w:p>
    <w:p w14:paraId="28B1A81C">
      <w:pPr>
        <w:spacing w:after="0" w:line="560" w:lineRule="exact"/>
        <w:ind w:firstLine="562" w:firstLineChars="200"/>
        <w:outlineLvl w:val="1"/>
        <w:rPr>
          <w:rFonts w:hint="eastAsia" w:ascii="楷体_GB2312" w:hAnsi="楷体_GB2312" w:eastAsia="楷体_GB2312" w:cs="楷体_GB2312"/>
          <w:b/>
          <w:bCs/>
          <w:sz w:val="28"/>
          <w:szCs w:val="28"/>
          <w14:ligatures w14:val="none"/>
        </w:rPr>
      </w:pPr>
      <w:bookmarkStart w:id="42" w:name="_Toc237941437"/>
      <w:r>
        <w:rPr>
          <w:rFonts w:hint="eastAsia" w:ascii="楷体_GB2312" w:hAnsi="楷体_GB2312" w:eastAsia="楷体_GB2312" w:cs="楷体_GB2312"/>
          <w:b/>
          <w:bCs/>
          <w:sz w:val="28"/>
          <w:szCs w:val="28"/>
          <w14:ligatures w14:val="none"/>
        </w:rPr>
        <w:t>四、加强政策支撑</w:t>
      </w:r>
      <w:bookmarkEnd w:id="42"/>
    </w:p>
    <w:p w14:paraId="428AF1C5">
      <w:pPr>
        <w:spacing w:after="0" w:line="560" w:lineRule="exact"/>
        <w:ind w:firstLine="560" w:firstLineChars="200"/>
        <w:jc w:val="both"/>
        <w:rPr>
          <w:rFonts w:hint="eastAsia" w:ascii="仿宋_GB2312" w:hAnsi="仿宋_GB2312" w:eastAsia="仿宋_GB2312" w:cs="仿宋_GB2312"/>
          <w:bCs/>
          <w:sz w:val="28"/>
          <w:szCs w:val="28"/>
          <w14:ligatures w14:val="none"/>
        </w:rPr>
      </w:pPr>
      <w:r>
        <w:rPr>
          <w:rFonts w:ascii="仿宋_GB2312" w:hAnsi="仿宋_GB2312" w:eastAsia="仿宋_GB2312" w:cs="仿宋_GB2312"/>
          <w:bCs/>
          <w:sz w:val="28"/>
          <w:szCs w:val="28"/>
          <w14:ligatures w14:val="none"/>
        </w:rPr>
        <w:t>积极探索公共绿地建设方式与运营模式，落实公园建设运营新机制。结合公园定位与发展需求，对专业性强、难度大的项目引入专业团队运营；以建设新城中心公园为载体，探索产权与经营权交由社会企业</w:t>
      </w:r>
      <w:r>
        <w:rPr>
          <w:rFonts w:hint="eastAsia" w:ascii="仿宋_GB2312" w:hAnsi="仿宋_GB2312" w:eastAsia="仿宋_GB2312" w:cs="仿宋_GB2312"/>
          <w:bCs/>
          <w:sz w:val="28"/>
          <w:szCs w:val="28"/>
          <w14:ligatures w14:val="none"/>
        </w:rPr>
        <w:t>的</w:t>
      </w:r>
      <w:r>
        <w:rPr>
          <w:rFonts w:ascii="仿宋_GB2312" w:hAnsi="仿宋_GB2312" w:eastAsia="仿宋_GB2312" w:cs="仿宋_GB2312"/>
          <w:bCs/>
          <w:sz w:val="28"/>
          <w:szCs w:val="28"/>
          <w14:ligatures w14:val="none"/>
        </w:rPr>
        <w:t>模式</w:t>
      </w:r>
      <w:r>
        <w:rPr>
          <w:rFonts w:hint="eastAsia" w:ascii="仿宋_GB2312" w:hAnsi="仿宋_GB2312" w:eastAsia="仿宋_GB2312" w:cs="仿宋_GB2312"/>
          <w:bCs/>
          <w:sz w:val="28"/>
          <w:szCs w:val="28"/>
          <w14:ligatures w14:val="none"/>
        </w:rPr>
        <w:t>；</w:t>
      </w:r>
      <w:r>
        <w:rPr>
          <w:rFonts w:ascii="仿宋_GB2312" w:hAnsi="仿宋_GB2312" w:eastAsia="仿宋_GB2312" w:cs="仿宋_GB2312"/>
          <w:bCs/>
          <w:sz w:val="28"/>
          <w:szCs w:val="28"/>
          <w14:ligatures w14:val="none"/>
        </w:rPr>
        <w:t>充分挖掘公园资源优势，推动文化、体育、科普与公园功能深度融合</w:t>
      </w:r>
      <w:r>
        <w:rPr>
          <w:rFonts w:hint="eastAsia" w:ascii="仿宋_GB2312" w:hAnsi="仿宋_GB2312" w:eastAsia="仿宋_GB2312" w:cs="仿宋_GB2312"/>
          <w:bCs/>
          <w:sz w:val="28"/>
          <w:szCs w:val="28"/>
          <w14:ligatures w14:val="none"/>
        </w:rPr>
        <w:t>，同时</w:t>
      </w:r>
      <w:r>
        <w:rPr>
          <w:rFonts w:ascii="仿宋_GB2312" w:hAnsi="仿宋_GB2312" w:eastAsia="仿宋_GB2312" w:cs="仿宋_GB2312"/>
          <w:bCs/>
          <w:sz w:val="28"/>
          <w:szCs w:val="28"/>
          <w14:ligatures w14:val="none"/>
        </w:rPr>
        <w:t>适度开展商业活动，利用商业收益反哺公益活动，实现公益性与商业性的良性互动</w:t>
      </w:r>
      <w:r>
        <w:rPr>
          <w:rFonts w:hint="eastAsia" w:ascii="仿宋_GB2312" w:hAnsi="仿宋_GB2312" w:eastAsia="仿宋_GB2312" w:cs="仿宋_GB2312"/>
          <w:bCs/>
          <w:sz w:val="28"/>
          <w:szCs w:val="28"/>
          <w14:ligatures w14:val="none"/>
        </w:rPr>
        <w:t>；</w:t>
      </w:r>
      <w:r>
        <w:rPr>
          <w:rFonts w:ascii="仿宋_GB2312" w:hAnsi="仿宋_GB2312" w:eastAsia="仿宋_GB2312" w:cs="仿宋_GB2312"/>
          <w:bCs/>
          <w:sz w:val="28"/>
          <w:szCs w:val="28"/>
          <w14:ligatures w14:val="none"/>
        </w:rPr>
        <w:t>创新绿色产业发展政策，推动绿色产业健康可持续发展。</w:t>
      </w:r>
    </w:p>
    <w:p w14:paraId="6769E3DD">
      <w:pPr>
        <w:spacing w:after="0" w:line="560" w:lineRule="exact"/>
        <w:ind w:firstLine="562" w:firstLineChars="200"/>
        <w:outlineLvl w:val="1"/>
        <w:rPr>
          <w:rFonts w:hint="eastAsia" w:ascii="楷体_GB2312" w:hAnsi="楷体_GB2312" w:eastAsia="楷体_GB2312" w:cs="楷体_GB2312"/>
          <w:b/>
          <w:bCs/>
          <w:sz w:val="28"/>
          <w:szCs w:val="28"/>
          <w14:ligatures w14:val="none"/>
        </w:rPr>
      </w:pPr>
      <w:bookmarkStart w:id="43" w:name="_Toc237941438"/>
      <w:r>
        <w:rPr>
          <w:rFonts w:hint="eastAsia" w:ascii="楷体_GB2312" w:hAnsi="楷体_GB2312" w:eastAsia="楷体_GB2312" w:cs="楷体_GB2312"/>
          <w:b/>
          <w:bCs/>
          <w:sz w:val="28"/>
          <w:szCs w:val="28"/>
          <w14:ligatures w14:val="none"/>
        </w:rPr>
        <w:t>五、优化资金筹措</w:t>
      </w:r>
      <w:bookmarkEnd w:id="43"/>
    </w:p>
    <w:p w14:paraId="64577232">
      <w:pPr>
        <w:spacing w:after="0" w:line="560" w:lineRule="exact"/>
        <w:ind w:firstLine="560" w:firstLineChars="200"/>
        <w:jc w:val="both"/>
      </w:pPr>
      <w:r>
        <w:rPr>
          <w:rFonts w:ascii="仿宋_GB2312" w:hAnsi="仿宋_GB2312" w:eastAsia="仿宋_GB2312" w:cs="仿宋_GB2312"/>
          <w:bCs/>
          <w:sz w:val="28"/>
          <w:szCs w:val="28"/>
          <w14:ligatures w14:val="none"/>
        </w:rPr>
        <w:t>积极争取各级资金支持</w:t>
      </w:r>
      <w:r>
        <w:rPr>
          <w:rFonts w:hint="eastAsia" w:ascii="仿宋_GB2312" w:hAnsi="仿宋_GB2312" w:eastAsia="仿宋_GB2312" w:cs="仿宋_GB2312"/>
          <w:bCs/>
          <w:sz w:val="28"/>
          <w:szCs w:val="28"/>
          <w:lang w:eastAsia="zh-CN"/>
          <w14:ligatures w14:val="none"/>
        </w:rPr>
        <w:t>，拓宽</w:t>
      </w:r>
      <w:r>
        <w:rPr>
          <w:rFonts w:hint="eastAsia" w:ascii="仿宋_GB2312" w:hAnsi="仿宋_GB2312" w:eastAsia="仿宋_GB2312" w:cs="仿宋_GB2312"/>
          <w:bCs/>
          <w:sz w:val="28"/>
          <w:szCs w:val="28"/>
          <w14:ligatures w14:val="none"/>
        </w:rPr>
        <w:t>中央及市级财政等资金渠道</w:t>
      </w:r>
      <w:r>
        <w:rPr>
          <w:rFonts w:ascii="仿宋_GB2312" w:hAnsi="仿宋_GB2312" w:eastAsia="仿宋_GB2312" w:cs="仿宋_GB2312"/>
          <w:bCs/>
          <w:sz w:val="28"/>
          <w:szCs w:val="28"/>
          <w14:ligatures w14:val="none"/>
        </w:rPr>
        <w:t>，依托大尺度公园建设优势发展“公园+”模式，重点探索“公园+文旅”发展新路径；通过政策扶持与市场激励引导社会资本投入绿化产业，提升资源共享、合作开发与营销能力，促进绿化产业高质量发展。</w:t>
      </w:r>
    </w:p>
    <w:p w14:paraId="09C4CB00">
      <w:pPr>
        <w:spacing w:after="0" w:line="560" w:lineRule="exact"/>
        <w:ind w:firstLine="562" w:firstLineChars="200"/>
        <w:outlineLvl w:val="1"/>
        <w:rPr>
          <w:rFonts w:hint="eastAsia" w:ascii="楷体_GB2312" w:hAnsi="楷体_GB2312" w:eastAsia="楷体_GB2312" w:cs="楷体_GB2312"/>
          <w:b/>
          <w:bCs/>
          <w:sz w:val="28"/>
          <w:szCs w:val="28"/>
          <w14:ligatures w14:val="none"/>
        </w:rPr>
      </w:pPr>
      <w:bookmarkStart w:id="44" w:name="_Toc237941439"/>
      <w:r>
        <w:rPr>
          <w:rFonts w:hint="eastAsia" w:ascii="楷体_GB2312" w:hAnsi="楷体_GB2312" w:eastAsia="楷体_GB2312" w:cs="楷体_GB2312"/>
          <w:b/>
          <w:bCs/>
          <w:sz w:val="28"/>
          <w:szCs w:val="28"/>
          <w14:ligatures w14:val="none"/>
        </w:rPr>
        <w:t>六、加大宣传引导</w:t>
      </w:r>
      <w:bookmarkEnd w:id="44"/>
    </w:p>
    <w:p w14:paraId="5DAC6284">
      <w:pPr>
        <w:spacing w:after="0" w:line="560" w:lineRule="exact"/>
        <w:ind w:firstLine="560" w:firstLineChars="200"/>
        <w:jc w:val="both"/>
        <w:rPr>
          <w:rFonts w:hint="eastAsia" w:ascii="仿宋_GB2312" w:hAnsi="仿宋_GB2312" w:cs="仿宋_GB2312"/>
          <w:sz w:val="28"/>
          <w:szCs w:val="28"/>
        </w:rPr>
      </w:pPr>
      <w:r>
        <w:rPr>
          <w:rFonts w:ascii="仿宋_GB2312" w:hAnsi="仿宋_GB2312" w:eastAsia="仿宋_GB2312" w:cs="仿宋_GB2312"/>
          <w:bCs/>
          <w:sz w:val="28"/>
          <w:szCs w:val="28"/>
          <w14:ligatures w14:val="none"/>
        </w:rPr>
        <w:t>拓宽全民宣传渠道，在园林艺术文化、花园城市与美丽乡村等主题宣传活动中，探索与活动周边高校联动机制，举办“园艺驿站进校园”等活动</w:t>
      </w:r>
      <w:r>
        <w:rPr>
          <w:rFonts w:hint="eastAsia" w:ascii="仿宋_GB2312" w:hAnsi="仿宋_GB2312" w:eastAsia="仿宋_GB2312" w:cs="仿宋_GB2312"/>
          <w:bCs/>
          <w:sz w:val="28"/>
          <w:szCs w:val="28"/>
          <w14:ligatures w14:val="none"/>
        </w:rPr>
        <w:t>；</w:t>
      </w:r>
      <w:r>
        <w:rPr>
          <w:rFonts w:ascii="仿宋_GB2312" w:hAnsi="仿宋_GB2312" w:eastAsia="仿宋_GB2312" w:cs="仿宋_GB2312"/>
          <w:bCs/>
          <w:sz w:val="28"/>
          <w:szCs w:val="28"/>
          <w14:ligatures w14:val="none"/>
        </w:rPr>
        <w:t>开展全媒传播与广泛宣传覆盖，联合各大媒体宣传，在主流</w:t>
      </w:r>
      <w:r>
        <w:rPr>
          <w:rFonts w:hint="eastAsia" w:ascii="仿宋_GB2312" w:hAnsi="仿宋_GB2312" w:eastAsia="仿宋_GB2312" w:cs="仿宋_GB2312"/>
          <w:bCs/>
          <w:sz w:val="28"/>
          <w:szCs w:val="28"/>
          <w14:ligatures w14:val="none"/>
        </w:rPr>
        <w:t>融媒体</w:t>
      </w:r>
      <w:r>
        <w:rPr>
          <w:rFonts w:ascii="仿宋_GB2312" w:hAnsi="仿宋_GB2312" w:eastAsia="仿宋_GB2312" w:cs="仿宋_GB2312"/>
          <w:bCs/>
          <w:sz w:val="28"/>
          <w:szCs w:val="28"/>
          <w14:ligatures w14:val="none"/>
        </w:rPr>
        <w:t>平台对各类主题活动进行图文与视频直播，</w:t>
      </w:r>
      <w:r>
        <w:rPr>
          <w:rFonts w:hint="eastAsia" w:ascii="仿宋_GB2312" w:hAnsi="仿宋_GB2312" w:eastAsia="仿宋_GB2312" w:cs="仿宋_GB2312"/>
          <w:bCs/>
          <w:sz w:val="28"/>
          <w:szCs w:val="28"/>
          <w14:ligatures w14:val="none"/>
        </w:rPr>
        <w:t>制造</w:t>
      </w:r>
      <w:r>
        <w:rPr>
          <w:rFonts w:ascii="仿宋_GB2312" w:hAnsi="仿宋_GB2312" w:eastAsia="仿宋_GB2312" w:cs="仿宋_GB2312"/>
          <w:bCs/>
          <w:sz w:val="28"/>
          <w:szCs w:val="28"/>
          <w14:ligatures w14:val="none"/>
        </w:rPr>
        <w:t>全民话题讨论热度，提升点击率、阅读量与直播浏览量，有效扩大主题活动品牌影响力</w:t>
      </w:r>
      <w:r>
        <w:rPr>
          <w:rFonts w:hint="eastAsia" w:ascii="仿宋_GB2312" w:hAnsi="仿宋_GB2312" w:eastAsia="仿宋_GB2312" w:cs="仿宋_GB2312"/>
          <w:bCs/>
          <w:sz w:val="28"/>
          <w:szCs w:val="28"/>
          <w14:ligatures w14:val="none"/>
        </w:rPr>
        <w:t>。</w:t>
      </w:r>
    </w:p>
    <w:sectPr>
      <w:footerReference r:id="rId5" w:type="default"/>
      <w:pgSz w:w="11906" w:h="16838"/>
      <w:pgMar w:top="2098" w:right="1474" w:bottom="1984" w:left="158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7FFAEFF" w:usb1="F9DFFFFF" w:usb2="0000007F" w:usb3="00000000" w:csb0="203F01FF" w:csb1="DFFF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Segoe UI Emoji">
    <w:altName w:val="Segoe UI"/>
    <w:panose1 w:val="020B0502040204020203"/>
    <w:charset w:val="00"/>
    <w:family w:val="swiss"/>
    <w:pitch w:val="default"/>
    <w:sig w:usb0="00000000" w:usb1="00000000" w:usb2="00000000" w:usb3="00000000" w:csb0="00000001" w:csb1="00000000"/>
  </w:font>
  <w:font w:name="Segoe UI">
    <w:panose1 w:val="020B0502040204020203"/>
    <w:charset w:val="00"/>
    <w:family w:val="auto"/>
    <w:pitch w:val="default"/>
    <w:sig w:usb0="E10022FF" w:usb1="C000E47F" w:usb2="00000029" w:usb3="00000000" w:csb0="200001DF" w:csb1="2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黑体_GBK">
    <w:altName w:val="Arial Unicode MS"/>
    <w:panose1 w:val="02000000000000000000"/>
    <w:charset w:val="86"/>
    <w:family w:val="auto"/>
    <w:pitch w:val="default"/>
    <w:sig w:usb0="00000000" w:usb1="00000000" w:usb2="00000000" w:usb3="00000000" w:csb0="00040000" w:csb1="0000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2057D">
    <w:pPr>
      <w:pStyle w:val="18"/>
      <w:jc w:val="center"/>
    </w:pPr>
  </w:p>
  <w:p w14:paraId="04595A1D">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45820650"/>
    </w:sdtPr>
    <w:sdtContent>
      <w:p w14:paraId="01B412D7">
        <w:pPr>
          <w:pStyle w:val="18"/>
          <w:jc w:val="center"/>
        </w:pPr>
        <w:r>
          <w:fldChar w:fldCharType="begin"/>
        </w:r>
        <w:r>
          <w:instrText xml:space="preserve">PAGE   \* MERGEFORMAT</w:instrText>
        </w:r>
        <w:r>
          <w:fldChar w:fldCharType="separate"/>
        </w:r>
        <w:r>
          <w:rPr>
            <w:lang w:val="zh-CN"/>
          </w:rPr>
          <w:t>2</w:t>
        </w:r>
        <w:r>
          <w:fldChar w:fldCharType="end"/>
        </w:r>
      </w:p>
    </w:sdtContent>
  </w:sdt>
  <w:p w14:paraId="74437A13">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296"/>
    <w:rsid w:val="00000510"/>
    <w:rsid w:val="00001AE8"/>
    <w:rsid w:val="00001B2F"/>
    <w:rsid w:val="00001FED"/>
    <w:rsid w:val="00001FF3"/>
    <w:rsid w:val="0000203D"/>
    <w:rsid w:val="00003E3F"/>
    <w:rsid w:val="00004CFF"/>
    <w:rsid w:val="00006199"/>
    <w:rsid w:val="00007036"/>
    <w:rsid w:val="00007721"/>
    <w:rsid w:val="0000779B"/>
    <w:rsid w:val="00010571"/>
    <w:rsid w:val="00010C38"/>
    <w:rsid w:val="00012012"/>
    <w:rsid w:val="00012109"/>
    <w:rsid w:val="000143FA"/>
    <w:rsid w:val="0001467E"/>
    <w:rsid w:val="00015038"/>
    <w:rsid w:val="000156E8"/>
    <w:rsid w:val="000168C6"/>
    <w:rsid w:val="00020B98"/>
    <w:rsid w:val="000210DB"/>
    <w:rsid w:val="00021F03"/>
    <w:rsid w:val="000224A8"/>
    <w:rsid w:val="0002426D"/>
    <w:rsid w:val="000300D4"/>
    <w:rsid w:val="00030DE5"/>
    <w:rsid w:val="000312AE"/>
    <w:rsid w:val="000317F7"/>
    <w:rsid w:val="000319FE"/>
    <w:rsid w:val="00031AB3"/>
    <w:rsid w:val="00031F41"/>
    <w:rsid w:val="0003218E"/>
    <w:rsid w:val="000323FD"/>
    <w:rsid w:val="000339CE"/>
    <w:rsid w:val="000356A7"/>
    <w:rsid w:val="00035885"/>
    <w:rsid w:val="00036B1E"/>
    <w:rsid w:val="0003706C"/>
    <w:rsid w:val="000373C5"/>
    <w:rsid w:val="00037C8E"/>
    <w:rsid w:val="00040AAD"/>
    <w:rsid w:val="00040BFD"/>
    <w:rsid w:val="0004248D"/>
    <w:rsid w:val="00042941"/>
    <w:rsid w:val="0004376F"/>
    <w:rsid w:val="00043A2E"/>
    <w:rsid w:val="00044FF3"/>
    <w:rsid w:val="0004508E"/>
    <w:rsid w:val="00045575"/>
    <w:rsid w:val="0004597F"/>
    <w:rsid w:val="00045DFC"/>
    <w:rsid w:val="000463E4"/>
    <w:rsid w:val="00050B5D"/>
    <w:rsid w:val="00051733"/>
    <w:rsid w:val="00052C3E"/>
    <w:rsid w:val="00052F87"/>
    <w:rsid w:val="0005349E"/>
    <w:rsid w:val="00054786"/>
    <w:rsid w:val="00054957"/>
    <w:rsid w:val="00055085"/>
    <w:rsid w:val="00055E77"/>
    <w:rsid w:val="00056022"/>
    <w:rsid w:val="000571CA"/>
    <w:rsid w:val="00060261"/>
    <w:rsid w:val="00060942"/>
    <w:rsid w:val="00061BA4"/>
    <w:rsid w:val="0006285C"/>
    <w:rsid w:val="00063BD6"/>
    <w:rsid w:val="00063CBD"/>
    <w:rsid w:val="00063D81"/>
    <w:rsid w:val="00064766"/>
    <w:rsid w:val="000650F5"/>
    <w:rsid w:val="00065522"/>
    <w:rsid w:val="00065860"/>
    <w:rsid w:val="00071BB9"/>
    <w:rsid w:val="00071D37"/>
    <w:rsid w:val="00073FD4"/>
    <w:rsid w:val="000746C4"/>
    <w:rsid w:val="00074AC7"/>
    <w:rsid w:val="00076224"/>
    <w:rsid w:val="00077238"/>
    <w:rsid w:val="000831FA"/>
    <w:rsid w:val="00083C2D"/>
    <w:rsid w:val="00086579"/>
    <w:rsid w:val="00086789"/>
    <w:rsid w:val="00086F95"/>
    <w:rsid w:val="000878DA"/>
    <w:rsid w:val="00091FD9"/>
    <w:rsid w:val="000942F2"/>
    <w:rsid w:val="00095C12"/>
    <w:rsid w:val="00097D9D"/>
    <w:rsid w:val="000A1433"/>
    <w:rsid w:val="000A162A"/>
    <w:rsid w:val="000A1C14"/>
    <w:rsid w:val="000A2D21"/>
    <w:rsid w:val="000A2DF2"/>
    <w:rsid w:val="000A4795"/>
    <w:rsid w:val="000A4AB3"/>
    <w:rsid w:val="000A5468"/>
    <w:rsid w:val="000A57F7"/>
    <w:rsid w:val="000A5A9C"/>
    <w:rsid w:val="000A6246"/>
    <w:rsid w:val="000A6703"/>
    <w:rsid w:val="000A7274"/>
    <w:rsid w:val="000A7BE3"/>
    <w:rsid w:val="000B0D1C"/>
    <w:rsid w:val="000B379E"/>
    <w:rsid w:val="000B3A5A"/>
    <w:rsid w:val="000B3DFE"/>
    <w:rsid w:val="000B4F92"/>
    <w:rsid w:val="000B5487"/>
    <w:rsid w:val="000B54CA"/>
    <w:rsid w:val="000B764B"/>
    <w:rsid w:val="000C0275"/>
    <w:rsid w:val="000C0B39"/>
    <w:rsid w:val="000C0E00"/>
    <w:rsid w:val="000C23F9"/>
    <w:rsid w:val="000C2AE5"/>
    <w:rsid w:val="000C38CE"/>
    <w:rsid w:val="000C4112"/>
    <w:rsid w:val="000C43EF"/>
    <w:rsid w:val="000C5B09"/>
    <w:rsid w:val="000C6C43"/>
    <w:rsid w:val="000C7281"/>
    <w:rsid w:val="000C7B62"/>
    <w:rsid w:val="000D1520"/>
    <w:rsid w:val="000D1E14"/>
    <w:rsid w:val="000D30C9"/>
    <w:rsid w:val="000D3858"/>
    <w:rsid w:val="000D40CC"/>
    <w:rsid w:val="000D4C6C"/>
    <w:rsid w:val="000D4E30"/>
    <w:rsid w:val="000D4EA7"/>
    <w:rsid w:val="000D52F0"/>
    <w:rsid w:val="000D5801"/>
    <w:rsid w:val="000D58A3"/>
    <w:rsid w:val="000D65F2"/>
    <w:rsid w:val="000D6DE2"/>
    <w:rsid w:val="000D712C"/>
    <w:rsid w:val="000D75D3"/>
    <w:rsid w:val="000E16E6"/>
    <w:rsid w:val="000E26C1"/>
    <w:rsid w:val="000E31F7"/>
    <w:rsid w:val="000E39E1"/>
    <w:rsid w:val="000E3F38"/>
    <w:rsid w:val="000E41E5"/>
    <w:rsid w:val="000E46C7"/>
    <w:rsid w:val="000F064B"/>
    <w:rsid w:val="000F0B31"/>
    <w:rsid w:val="000F2248"/>
    <w:rsid w:val="000F2C2A"/>
    <w:rsid w:val="000F2F18"/>
    <w:rsid w:val="000F3BB3"/>
    <w:rsid w:val="000F4D4A"/>
    <w:rsid w:val="000F57E7"/>
    <w:rsid w:val="000F6889"/>
    <w:rsid w:val="000F6C79"/>
    <w:rsid w:val="00100E23"/>
    <w:rsid w:val="001015E2"/>
    <w:rsid w:val="00101CF1"/>
    <w:rsid w:val="00102640"/>
    <w:rsid w:val="0010343E"/>
    <w:rsid w:val="00107573"/>
    <w:rsid w:val="001075A1"/>
    <w:rsid w:val="001124FE"/>
    <w:rsid w:val="00114425"/>
    <w:rsid w:val="00114ED4"/>
    <w:rsid w:val="00116951"/>
    <w:rsid w:val="001172B3"/>
    <w:rsid w:val="001175D2"/>
    <w:rsid w:val="0011784F"/>
    <w:rsid w:val="00117A6D"/>
    <w:rsid w:val="00117F5B"/>
    <w:rsid w:val="0012158A"/>
    <w:rsid w:val="001222F6"/>
    <w:rsid w:val="001229C0"/>
    <w:rsid w:val="00122B94"/>
    <w:rsid w:val="00122CFC"/>
    <w:rsid w:val="00123EB6"/>
    <w:rsid w:val="00124259"/>
    <w:rsid w:val="00124F8F"/>
    <w:rsid w:val="00125DEF"/>
    <w:rsid w:val="0012626B"/>
    <w:rsid w:val="001264E1"/>
    <w:rsid w:val="00126B58"/>
    <w:rsid w:val="00126D25"/>
    <w:rsid w:val="00126E1B"/>
    <w:rsid w:val="00130F7E"/>
    <w:rsid w:val="00131F0C"/>
    <w:rsid w:val="001340D1"/>
    <w:rsid w:val="0013418D"/>
    <w:rsid w:val="00134619"/>
    <w:rsid w:val="001349FD"/>
    <w:rsid w:val="001353B3"/>
    <w:rsid w:val="001358A8"/>
    <w:rsid w:val="00135B1B"/>
    <w:rsid w:val="0013676D"/>
    <w:rsid w:val="001372A7"/>
    <w:rsid w:val="00137402"/>
    <w:rsid w:val="00140486"/>
    <w:rsid w:val="00140780"/>
    <w:rsid w:val="00141415"/>
    <w:rsid w:val="00141A88"/>
    <w:rsid w:val="00143018"/>
    <w:rsid w:val="00143DC2"/>
    <w:rsid w:val="00146836"/>
    <w:rsid w:val="001504AE"/>
    <w:rsid w:val="00150B38"/>
    <w:rsid w:val="00150B45"/>
    <w:rsid w:val="0015329A"/>
    <w:rsid w:val="00154C0E"/>
    <w:rsid w:val="00155AB0"/>
    <w:rsid w:val="00155DBB"/>
    <w:rsid w:val="00161179"/>
    <w:rsid w:val="00161941"/>
    <w:rsid w:val="001621BD"/>
    <w:rsid w:val="00163CB9"/>
    <w:rsid w:val="0016408B"/>
    <w:rsid w:val="00164532"/>
    <w:rsid w:val="00164D8C"/>
    <w:rsid w:val="00165391"/>
    <w:rsid w:val="00166296"/>
    <w:rsid w:val="00167CC1"/>
    <w:rsid w:val="00170F2B"/>
    <w:rsid w:val="0017109B"/>
    <w:rsid w:val="00172142"/>
    <w:rsid w:val="0017269B"/>
    <w:rsid w:val="00172FFC"/>
    <w:rsid w:val="001730C9"/>
    <w:rsid w:val="00173527"/>
    <w:rsid w:val="00174A96"/>
    <w:rsid w:val="00174CE6"/>
    <w:rsid w:val="00175C2C"/>
    <w:rsid w:val="00181A53"/>
    <w:rsid w:val="00181ED6"/>
    <w:rsid w:val="00182086"/>
    <w:rsid w:val="00182A3B"/>
    <w:rsid w:val="00183057"/>
    <w:rsid w:val="00183252"/>
    <w:rsid w:val="00183987"/>
    <w:rsid w:val="00183A7E"/>
    <w:rsid w:val="00183A97"/>
    <w:rsid w:val="00183D2D"/>
    <w:rsid w:val="00185197"/>
    <w:rsid w:val="00186AB9"/>
    <w:rsid w:val="00187267"/>
    <w:rsid w:val="0019175A"/>
    <w:rsid w:val="00191918"/>
    <w:rsid w:val="0019251B"/>
    <w:rsid w:val="00192C23"/>
    <w:rsid w:val="00192C86"/>
    <w:rsid w:val="00194C8A"/>
    <w:rsid w:val="00194E8E"/>
    <w:rsid w:val="00195A49"/>
    <w:rsid w:val="00196491"/>
    <w:rsid w:val="001A17A6"/>
    <w:rsid w:val="001A1DE9"/>
    <w:rsid w:val="001A253D"/>
    <w:rsid w:val="001A257D"/>
    <w:rsid w:val="001A521F"/>
    <w:rsid w:val="001A6C54"/>
    <w:rsid w:val="001A7620"/>
    <w:rsid w:val="001A7C74"/>
    <w:rsid w:val="001B00E3"/>
    <w:rsid w:val="001B0A34"/>
    <w:rsid w:val="001B0FA4"/>
    <w:rsid w:val="001B1A13"/>
    <w:rsid w:val="001B2C63"/>
    <w:rsid w:val="001B35D6"/>
    <w:rsid w:val="001B53AA"/>
    <w:rsid w:val="001B5DA0"/>
    <w:rsid w:val="001B6BF9"/>
    <w:rsid w:val="001B6DE2"/>
    <w:rsid w:val="001B6F0C"/>
    <w:rsid w:val="001B6FAD"/>
    <w:rsid w:val="001B717E"/>
    <w:rsid w:val="001C0FC0"/>
    <w:rsid w:val="001C1893"/>
    <w:rsid w:val="001C1E2D"/>
    <w:rsid w:val="001C2966"/>
    <w:rsid w:val="001C3438"/>
    <w:rsid w:val="001C3546"/>
    <w:rsid w:val="001C37ED"/>
    <w:rsid w:val="001C4159"/>
    <w:rsid w:val="001C4C8A"/>
    <w:rsid w:val="001C63A6"/>
    <w:rsid w:val="001C690E"/>
    <w:rsid w:val="001C7184"/>
    <w:rsid w:val="001C7AD1"/>
    <w:rsid w:val="001C7D18"/>
    <w:rsid w:val="001D04B8"/>
    <w:rsid w:val="001D0764"/>
    <w:rsid w:val="001D0838"/>
    <w:rsid w:val="001D1BA5"/>
    <w:rsid w:val="001D1D99"/>
    <w:rsid w:val="001D24B8"/>
    <w:rsid w:val="001D3207"/>
    <w:rsid w:val="001D34BE"/>
    <w:rsid w:val="001D3ACD"/>
    <w:rsid w:val="001D4035"/>
    <w:rsid w:val="001D4B4E"/>
    <w:rsid w:val="001D5865"/>
    <w:rsid w:val="001D5BF3"/>
    <w:rsid w:val="001D6F89"/>
    <w:rsid w:val="001E024C"/>
    <w:rsid w:val="001E2E6E"/>
    <w:rsid w:val="001E3C96"/>
    <w:rsid w:val="001E5433"/>
    <w:rsid w:val="001E5897"/>
    <w:rsid w:val="001E5F08"/>
    <w:rsid w:val="001E65A1"/>
    <w:rsid w:val="001E7469"/>
    <w:rsid w:val="001F0103"/>
    <w:rsid w:val="001F1577"/>
    <w:rsid w:val="001F284D"/>
    <w:rsid w:val="001F2A61"/>
    <w:rsid w:val="001F3EDA"/>
    <w:rsid w:val="001F4A69"/>
    <w:rsid w:val="001F543A"/>
    <w:rsid w:val="001F58FF"/>
    <w:rsid w:val="001F7314"/>
    <w:rsid w:val="001F766F"/>
    <w:rsid w:val="001F797C"/>
    <w:rsid w:val="0020013A"/>
    <w:rsid w:val="00200432"/>
    <w:rsid w:val="00201CC5"/>
    <w:rsid w:val="00201ED7"/>
    <w:rsid w:val="002027A6"/>
    <w:rsid w:val="00203004"/>
    <w:rsid w:val="002045AB"/>
    <w:rsid w:val="00204F09"/>
    <w:rsid w:val="002061F1"/>
    <w:rsid w:val="00206427"/>
    <w:rsid w:val="00206FB0"/>
    <w:rsid w:val="002075EE"/>
    <w:rsid w:val="00207C8F"/>
    <w:rsid w:val="002103C9"/>
    <w:rsid w:val="00211426"/>
    <w:rsid w:val="00211850"/>
    <w:rsid w:val="00211F0C"/>
    <w:rsid w:val="0021238F"/>
    <w:rsid w:val="002138B5"/>
    <w:rsid w:val="0021447E"/>
    <w:rsid w:val="00214838"/>
    <w:rsid w:val="00215CEE"/>
    <w:rsid w:val="002176E5"/>
    <w:rsid w:val="00217832"/>
    <w:rsid w:val="00221D8B"/>
    <w:rsid w:val="002267DD"/>
    <w:rsid w:val="002273F5"/>
    <w:rsid w:val="0023086D"/>
    <w:rsid w:val="00231D67"/>
    <w:rsid w:val="00231E82"/>
    <w:rsid w:val="0023296A"/>
    <w:rsid w:val="0023360A"/>
    <w:rsid w:val="00234648"/>
    <w:rsid w:val="00234FE7"/>
    <w:rsid w:val="0023502E"/>
    <w:rsid w:val="00235D7E"/>
    <w:rsid w:val="002360C1"/>
    <w:rsid w:val="00237102"/>
    <w:rsid w:val="00237E97"/>
    <w:rsid w:val="0024291F"/>
    <w:rsid w:val="00245833"/>
    <w:rsid w:val="002458EA"/>
    <w:rsid w:val="00245A7B"/>
    <w:rsid w:val="00245B82"/>
    <w:rsid w:val="002504A7"/>
    <w:rsid w:val="0025355E"/>
    <w:rsid w:val="00254106"/>
    <w:rsid w:val="002548EE"/>
    <w:rsid w:val="00254C1F"/>
    <w:rsid w:val="0025561F"/>
    <w:rsid w:val="00255BCF"/>
    <w:rsid w:val="0025604C"/>
    <w:rsid w:val="00256A92"/>
    <w:rsid w:val="0025775E"/>
    <w:rsid w:val="00257AFD"/>
    <w:rsid w:val="00260816"/>
    <w:rsid w:val="002608EF"/>
    <w:rsid w:val="00260FD3"/>
    <w:rsid w:val="0026105F"/>
    <w:rsid w:val="00266C47"/>
    <w:rsid w:val="00267F17"/>
    <w:rsid w:val="0027117C"/>
    <w:rsid w:val="00271546"/>
    <w:rsid w:val="00271706"/>
    <w:rsid w:val="0027298B"/>
    <w:rsid w:val="00272B09"/>
    <w:rsid w:val="002735F8"/>
    <w:rsid w:val="00275357"/>
    <w:rsid w:val="00280287"/>
    <w:rsid w:val="00280914"/>
    <w:rsid w:val="00280B4C"/>
    <w:rsid w:val="002815D6"/>
    <w:rsid w:val="0028168C"/>
    <w:rsid w:val="00281F68"/>
    <w:rsid w:val="00283031"/>
    <w:rsid w:val="002856C6"/>
    <w:rsid w:val="00285CA5"/>
    <w:rsid w:val="0028627A"/>
    <w:rsid w:val="00286FED"/>
    <w:rsid w:val="002872DB"/>
    <w:rsid w:val="00287B3F"/>
    <w:rsid w:val="00287E03"/>
    <w:rsid w:val="00290A19"/>
    <w:rsid w:val="00293387"/>
    <w:rsid w:val="0029505C"/>
    <w:rsid w:val="0029699D"/>
    <w:rsid w:val="002A31D0"/>
    <w:rsid w:val="002A605A"/>
    <w:rsid w:val="002A6250"/>
    <w:rsid w:val="002B0440"/>
    <w:rsid w:val="002B0B8F"/>
    <w:rsid w:val="002B0F6D"/>
    <w:rsid w:val="002B1370"/>
    <w:rsid w:val="002B1BEB"/>
    <w:rsid w:val="002B1D47"/>
    <w:rsid w:val="002B1E4A"/>
    <w:rsid w:val="002B1F26"/>
    <w:rsid w:val="002B2092"/>
    <w:rsid w:val="002B270D"/>
    <w:rsid w:val="002B2777"/>
    <w:rsid w:val="002B296F"/>
    <w:rsid w:val="002B2A72"/>
    <w:rsid w:val="002B3B1C"/>
    <w:rsid w:val="002B3B37"/>
    <w:rsid w:val="002B4944"/>
    <w:rsid w:val="002B5C50"/>
    <w:rsid w:val="002B6513"/>
    <w:rsid w:val="002B686E"/>
    <w:rsid w:val="002B6A77"/>
    <w:rsid w:val="002B6AF9"/>
    <w:rsid w:val="002B6CC9"/>
    <w:rsid w:val="002B7FD5"/>
    <w:rsid w:val="002C08A6"/>
    <w:rsid w:val="002C1652"/>
    <w:rsid w:val="002C3302"/>
    <w:rsid w:val="002C4339"/>
    <w:rsid w:val="002C4821"/>
    <w:rsid w:val="002C52D9"/>
    <w:rsid w:val="002C5CE4"/>
    <w:rsid w:val="002D3B49"/>
    <w:rsid w:val="002D5240"/>
    <w:rsid w:val="002D6327"/>
    <w:rsid w:val="002D7638"/>
    <w:rsid w:val="002E056C"/>
    <w:rsid w:val="002E34CB"/>
    <w:rsid w:val="002E5F86"/>
    <w:rsid w:val="002E7DDC"/>
    <w:rsid w:val="002F01AF"/>
    <w:rsid w:val="002F02AA"/>
    <w:rsid w:val="002F0514"/>
    <w:rsid w:val="002F1399"/>
    <w:rsid w:val="002F147E"/>
    <w:rsid w:val="002F2C2F"/>
    <w:rsid w:val="002F2C36"/>
    <w:rsid w:val="002F2D73"/>
    <w:rsid w:val="002F4F7B"/>
    <w:rsid w:val="002F576A"/>
    <w:rsid w:val="002F5848"/>
    <w:rsid w:val="002F5F0D"/>
    <w:rsid w:val="002F71CD"/>
    <w:rsid w:val="0030086C"/>
    <w:rsid w:val="003027B9"/>
    <w:rsid w:val="00302A6C"/>
    <w:rsid w:val="003036D8"/>
    <w:rsid w:val="003039D4"/>
    <w:rsid w:val="00303D72"/>
    <w:rsid w:val="0030508D"/>
    <w:rsid w:val="00305E6F"/>
    <w:rsid w:val="00307224"/>
    <w:rsid w:val="00307515"/>
    <w:rsid w:val="00310C23"/>
    <w:rsid w:val="003118C7"/>
    <w:rsid w:val="00313858"/>
    <w:rsid w:val="00314E17"/>
    <w:rsid w:val="00316457"/>
    <w:rsid w:val="00316D87"/>
    <w:rsid w:val="00317757"/>
    <w:rsid w:val="00321274"/>
    <w:rsid w:val="003223C9"/>
    <w:rsid w:val="00322554"/>
    <w:rsid w:val="00322755"/>
    <w:rsid w:val="00323B13"/>
    <w:rsid w:val="003243DD"/>
    <w:rsid w:val="00324534"/>
    <w:rsid w:val="003261E3"/>
    <w:rsid w:val="00327060"/>
    <w:rsid w:val="00327799"/>
    <w:rsid w:val="00327D6A"/>
    <w:rsid w:val="0033017A"/>
    <w:rsid w:val="00331721"/>
    <w:rsid w:val="00331C82"/>
    <w:rsid w:val="0033441F"/>
    <w:rsid w:val="003349AF"/>
    <w:rsid w:val="00335856"/>
    <w:rsid w:val="0033796C"/>
    <w:rsid w:val="00341280"/>
    <w:rsid w:val="00343C8A"/>
    <w:rsid w:val="00346151"/>
    <w:rsid w:val="0034648F"/>
    <w:rsid w:val="00347623"/>
    <w:rsid w:val="00350A20"/>
    <w:rsid w:val="00351292"/>
    <w:rsid w:val="003518A2"/>
    <w:rsid w:val="00351961"/>
    <w:rsid w:val="00351AAB"/>
    <w:rsid w:val="00351D2D"/>
    <w:rsid w:val="003544A4"/>
    <w:rsid w:val="00354DDC"/>
    <w:rsid w:val="003567B3"/>
    <w:rsid w:val="00356EFE"/>
    <w:rsid w:val="00357168"/>
    <w:rsid w:val="00357F99"/>
    <w:rsid w:val="003603B0"/>
    <w:rsid w:val="00361493"/>
    <w:rsid w:val="00361E2E"/>
    <w:rsid w:val="003639E2"/>
    <w:rsid w:val="00363A97"/>
    <w:rsid w:val="00364363"/>
    <w:rsid w:val="003644F1"/>
    <w:rsid w:val="003655D3"/>
    <w:rsid w:val="00365F67"/>
    <w:rsid w:val="003677D4"/>
    <w:rsid w:val="00367DC0"/>
    <w:rsid w:val="003702B2"/>
    <w:rsid w:val="00370BEB"/>
    <w:rsid w:val="003719F5"/>
    <w:rsid w:val="00371C8A"/>
    <w:rsid w:val="00374011"/>
    <w:rsid w:val="00376098"/>
    <w:rsid w:val="00376239"/>
    <w:rsid w:val="00376DC5"/>
    <w:rsid w:val="00377069"/>
    <w:rsid w:val="0037708A"/>
    <w:rsid w:val="00377AAB"/>
    <w:rsid w:val="00377BA6"/>
    <w:rsid w:val="00377FA6"/>
    <w:rsid w:val="0038042E"/>
    <w:rsid w:val="003818F4"/>
    <w:rsid w:val="003820E1"/>
    <w:rsid w:val="00383858"/>
    <w:rsid w:val="00383B1C"/>
    <w:rsid w:val="00384C2F"/>
    <w:rsid w:val="00385514"/>
    <w:rsid w:val="00390D8F"/>
    <w:rsid w:val="00392C77"/>
    <w:rsid w:val="00392EB8"/>
    <w:rsid w:val="00393908"/>
    <w:rsid w:val="00394639"/>
    <w:rsid w:val="0039546F"/>
    <w:rsid w:val="003A2532"/>
    <w:rsid w:val="003A3EB2"/>
    <w:rsid w:val="003A3F92"/>
    <w:rsid w:val="003A3FAB"/>
    <w:rsid w:val="003A4347"/>
    <w:rsid w:val="003A696E"/>
    <w:rsid w:val="003A6AF5"/>
    <w:rsid w:val="003B05F4"/>
    <w:rsid w:val="003B16FF"/>
    <w:rsid w:val="003B1C3A"/>
    <w:rsid w:val="003B27B2"/>
    <w:rsid w:val="003B27D5"/>
    <w:rsid w:val="003B37BB"/>
    <w:rsid w:val="003B3DD5"/>
    <w:rsid w:val="003B5A0E"/>
    <w:rsid w:val="003C18F4"/>
    <w:rsid w:val="003C1E62"/>
    <w:rsid w:val="003C1F1F"/>
    <w:rsid w:val="003C2013"/>
    <w:rsid w:val="003C3527"/>
    <w:rsid w:val="003C4293"/>
    <w:rsid w:val="003C543E"/>
    <w:rsid w:val="003C78D4"/>
    <w:rsid w:val="003D194E"/>
    <w:rsid w:val="003D5266"/>
    <w:rsid w:val="003E037E"/>
    <w:rsid w:val="003E0643"/>
    <w:rsid w:val="003E0F3C"/>
    <w:rsid w:val="003E1951"/>
    <w:rsid w:val="003E1AC1"/>
    <w:rsid w:val="003E2290"/>
    <w:rsid w:val="003E43BA"/>
    <w:rsid w:val="003E4F6A"/>
    <w:rsid w:val="003E52B0"/>
    <w:rsid w:val="003E543D"/>
    <w:rsid w:val="003E659D"/>
    <w:rsid w:val="003E7B92"/>
    <w:rsid w:val="003E7DB4"/>
    <w:rsid w:val="003E7E93"/>
    <w:rsid w:val="003F0875"/>
    <w:rsid w:val="003F18B5"/>
    <w:rsid w:val="003F3774"/>
    <w:rsid w:val="003F3885"/>
    <w:rsid w:val="003F4067"/>
    <w:rsid w:val="003F4821"/>
    <w:rsid w:val="003F4C3E"/>
    <w:rsid w:val="003F5A0C"/>
    <w:rsid w:val="003F5F55"/>
    <w:rsid w:val="003F7590"/>
    <w:rsid w:val="003F76A0"/>
    <w:rsid w:val="004008FB"/>
    <w:rsid w:val="00402073"/>
    <w:rsid w:val="004030F0"/>
    <w:rsid w:val="0040342E"/>
    <w:rsid w:val="004049B0"/>
    <w:rsid w:val="00404CE3"/>
    <w:rsid w:val="00404D7B"/>
    <w:rsid w:val="0040513D"/>
    <w:rsid w:val="004053F5"/>
    <w:rsid w:val="00405952"/>
    <w:rsid w:val="00405F74"/>
    <w:rsid w:val="0040702A"/>
    <w:rsid w:val="0040743E"/>
    <w:rsid w:val="00407811"/>
    <w:rsid w:val="00407999"/>
    <w:rsid w:val="00407EA3"/>
    <w:rsid w:val="004118DC"/>
    <w:rsid w:val="00411954"/>
    <w:rsid w:val="00414E7E"/>
    <w:rsid w:val="004161A4"/>
    <w:rsid w:val="00416278"/>
    <w:rsid w:val="00416D2B"/>
    <w:rsid w:val="00417849"/>
    <w:rsid w:val="00420091"/>
    <w:rsid w:val="00420460"/>
    <w:rsid w:val="004222A3"/>
    <w:rsid w:val="00422FDA"/>
    <w:rsid w:val="004230A1"/>
    <w:rsid w:val="00424A11"/>
    <w:rsid w:val="00425A7B"/>
    <w:rsid w:val="00425D8F"/>
    <w:rsid w:val="004265EA"/>
    <w:rsid w:val="00426D51"/>
    <w:rsid w:val="0043007D"/>
    <w:rsid w:val="00432531"/>
    <w:rsid w:val="00432ED6"/>
    <w:rsid w:val="00433B16"/>
    <w:rsid w:val="00433FD8"/>
    <w:rsid w:val="00434D8B"/>
    <w:rsid w:val="00435D9A"/>
    <w:rsid w:val="00436A17"/>
    <w:rsid w:val="00437700"/>
    <w:rsid w:val="00437D9A"/>
    <w:rsid w:val="00437DAF"/>
    <w:rsid w:val="00440377"/>
    <w:rsid w:val="00442E4A"/>
    <w:rsid w:val="00443CAF"/>
    <w:rsid w:val="00444021"/>
    <w:rsid w:val="004442FE"/>
    <w:rsid w:val="00446145"/>
    <w:rsid w:val="00446F84"/>
    <w:rsid w:val="004501F9"/>
    <w:rsid w:val="004503F7"/>
    <w:rsid w:val="00450C65"/>
    <w:rsid w:val="00450CDF"/>
    <w:rsid w:val="00451101"/>
    <w:rsid w:val="00451D23"/>
    <w:rsid w:val="00453597"/>
    <w:rsid w:val="004544A9"/>
    <w:rsid w:val="00454FE6"/>
    <w:rsid w:val="004552DE"/>
    <w:rsid w:val="00456960"/>
    <w:rsid w:val="0045706C"/>
    <w:rsid w:val="00457A1E"/>
    <w:rsid w:val="0046006A"/>
    <w:rsid w:val="00460695"/>
    <w:rsid w:val="00460E83"/>
    <w:rsid w:val="004610FB"/>
    <w:rsid w:val="00461415"/>
    <w:rsid w:val="00461492"/>
    <w:rsid w:val="00461568"/>
    <w:rsid w:val="00461A05"/>
    <w:rsid w:val="00462352"/>
    <w:rsid w:val="00462AF9"/>
    <w:rsid w:val="00463720"/>
    <w:rsid w:val="00463A2B"/>
    <w:rsid w:val="00466224"/>
    <w:rsid w:val="004666EB"/>
    <w:rsid w:val="00466BF0"/>
    <w:rsid w:val="00467A60"/>
    <w:rsid w:val="00467D6D"/>
    <w:rsid w:val="0047041F"/>
    <w:rsid w:val="00470AE7"/>
    <w:rsid w:val="00471175"/>
    <w:rsid w:val="00472A60"/>
    <w:rsid w:val="00474CCF"/>
    <w:rsid w:val="004758BF"/>
    <w:rsid w:val="00475B15"/>
    <w:rsid w:val="004773EE"/>
    <w:rsid w:val="00480135"/>
    <w:rsid w:val="004801EB"/>
    <w:rsid w:val="0048118B"/>
    <w:rsid w:val="0048308D"/>
    <w:rsid w:val="0048354C"/>
    <w:rsid w:val="00484008"/>
    <w:rsid w:val="00484C28"/>
    <w:rsid w:val="00484D70"/>
    <w:rsid w:val="00485AD4"/>
    <w:rsid w:val="004901B3"/>
    <w:rsid w:val="00490303"/>
    <w:rsid w:val="00490334"/>
    <w:rsid w:val="00490762"/>
    <w:rsid w:val="00490C79"/>
    <w:rsid w:val="00491C26"/>
    <w:rsid w:val="004943A2"/>
    <w:rsid w:val="00496C90"/>
    <w:rsid w:val="004973A4"/>
    <w:rsid w:val="004A056D"/>
    <w:rsid w:val="004A0583"/>
    <w:rsid w:val="004A0682"/>
    <w:rsid w:val="004A0B26"/>
    <w:rsid w:val="004A1487"/>
    <w:rsid w:val="004A34FD"/>
    <w:rsid w:val="004A36C3"/>
    <w:rsid w:val="004A42D1"/>
    <w:rsid w:val="004A6B7B"/>
    <w:rsid w:val="004A704A"/>
    <w:rsid w:val="004A73B3"/>
    <w:rsid w:val="004B034C"/>
    <w:rsid w:val="004B11D7"/>
    <w:rsid w:val="004B1210"/>
    <w:rsid w:val="004B28A3"/>
    <w:rsid w:val="004B2AFE"/>
    <w:rsid w:val="004B34A2"/>
    <w:rsid w:val="004B34A5"/>
    <w:rsid w:val="004B4580"/>
    <w:rsid w:val="004B4B4E"/>
    <w:rsid w:val="004B603D"/>
    <w:rsid w:val="004B7253"/>
    <w:rsid w:val="004B7BAF"/>
    <w:rsid w:val="004B7BD0"/>
    <w:rsid w:val="004C09FB"/>
    <w:rsid w:val="004C250F"/>
    <w:rsid w:val="004C37B0"/>
    <w:rsid w:val="004C3845"/>
    <w:rsid w:val="004C482F"/>
    <w:rsid w:val="004C501E"/>
    <w:rsid w:val="004D0534"/>
    <w:rsid w:val="004D0F1B"/>
    <w:rsid w:val="004D2026"/>
    <w:rsid w:val="004D2C4C"/>
    <w:rsid w:val="004D3CD7"/>
    <w:rsid w:val="004D4435"/>
    <w:rsid w:val="004D57F3"/>
    <w:rsid w:val="004D5A33"/>
    <w:rsid w:val="004D7A64"/>
    <w:rsid w:val="004D7AA0"/>
    <w:rsid w:val="004E0D45"/>
    <w:rsid w:val="004E364C"/>
    <w:rsid w:val="004E3A47"/>
    <w:rsid w:val="004E3E47"/>
    <w:rsid w:val="004F064F"/>
    <w:rsid w:val="004F2B83"/>
    <w:rsid w:val="004F2E12"/>
    <w:rsid w:val="004F39EA"/>
    <w:rsid w:val="004F3EA0"/>
    <w:rsid w:val="004F6018"/>
    <w:rsid w:val="004F619D"/>
    <w:rsid w:val="00502D48"/>
    <w:rsid w:val="00506877"/>
    <w:rsid w:val="00506964"/>
    <w:rsid w:val="005070E2"/>
    <w:rsid w:val="00510111"/>
    <w:rsid w:val="0051025C"/>
    <w:rsid w:val="005104FF"/>
    <w:rsid w:val="00511A61"/>
    <w:rsid w:val="005142C2"/>
    <w:rsid w:val="0051462D"/>
    <w:rsid w:val="005168F6"/>
    <w:rsid w:val="00516B0B"/>
    <w:rsid w:val="00520003"/>
    <w:rsid w:val="005204D7"/>
    <w:rsid w:val="0052119F"/>
    <w:rsid w:val="005216FE"/>
    <w:rsid w:val="00522EC3"/>
    <w:rsid w:val="00524926"/>
    <w:rsid w:val="00524931"/>
    <w:rsid w:val="00527A4E"/>
    <w:rsid w:val="00530BBE"/>
    <w:rsid w:val="00530EF2"/>
    <w:rsid w:val="005322D9"/>
    <w:rsid w:val="00533446"/>
    <w:rsid w:val="005335E9"/>
    <w:rsid w:val="00534135"/>
    <w:rsid w:val="00534564"/>
    <w:rsid w:val="00537961"/>
    <w:rsid w:val="00541645"/>
    <w:rsid w:val="00541932"/>
    <w:rsid w:val="00542792"/>
    <w:rsid w:val="00542A35"/>
    <w:rsid w:val="00542C4A"/>
    <w:rsid w:val="00543C57"/>
    <w:rsid w:val="00545194"/>
    <w:rsid w:val="005454F8"/>
    <w:rsid w:val="005456A4"/>
    <w:rsid w:val="00546550"/>
    <w:rsid w:val="00547688"/>
    <w:rsid w:val="00550B1A"/>
    <w:rsid w:val="00554669"/>
    <w:rsid w:val="005546D9"/>
    <w:rsid w:val="00556145"/>
    <w:rsid w:val="00556850"/>
    <w:rsid w:val="00556BBA"/>
    <w:rsid w:val="005578F9"/>
    <w:rsid w:val="00557A28"/>
    <w:rsid w:val="00557BAF"/>
    <w:rsid w:val="005600BD"/>
    <w:rsid w:val="0056270E"/>
    <w:rsid w:val="00562B2C"/>
    <w:rsid w:val="00562D85"/>
    <w:rsid w:val="00562EE1"/>
    <w:rsid w:val="005631A1"/>
    <w:rsid w:val="005637F8"/>
    <w:rsid w:val="00563837"/>
    <w:rsid w:val="00563BB4"/>
    <w:rsid w:val="00564BA4"/>
    <w:rsid w:val="005658EC"/>
    <w:rsid w:val="00566B82"/>
    <w:rsid w:val="00566D7B"/>
    <w:rsid w:val="00570107"/>
    <w:rsid w:val="005705B1"/>
    <w:rsid w:val="00570B83"/>
    <w:rsid w:val="00571441"/>
    <w:rsid w:val="00571A18"/>
    <w:rsid w:val="00571B0F"/>
    <w:rsid w:val="00572C68"/>
    <w:rsid w:val="0057308B"/>
    <w:rsid w:val="00573382"/>
    <w:rsid w:val="00573836"/>
    <w:rsid w:val="00573D0C"/>
    <w:rsid w:val="005748A6"/>
    <w:rsid w:val="0057662C"/>
    <w:rsid w:val="0057693B"/>
    <w:rsid w:val="00576E88"/>
    <w:rsid w:val="00577346"/>
    <w:rsid w:val="0057747D"/>
    <w:rsid w:val="00580663"/>
    <w:rsid w:val="0058097A"/>
    <w:rsid w:val="0058133E"/>
    <w:rsid w:val="00581D8A"/>
    <w:rsid w:val="00582353"/>
    <w:rsid w:val="00583145"/>
    <w:rsid w:val="00584644"/>
    <w:rsid w:val="00584AAD"/>
    <w:rsid w:val="00586D92"/>
    <w:rsid w:val="0058704E"/>
    <w:rsid w:val="0059070C"/>
    <w:rsid w:val="005911FA"/>
    <w:rsid w:val="00594102"/>
    <w:rsid w:val="005946B4"/>
    <w:rsid w:val="00594937"/>
    <w:rsid w:val="00595B8E"/>
    <w:rsid w:val="005973DB"/>
    <w:rsid w:val="00597E74"/>
    <w:rsid w:val="00597EDD"/>
    <w:rsid w:val="00597FCA"/>
    <w:rsid w:val="005A008A"/>
    <w:rsid w:val="005A0DC5"/>
    <w:rsid w:val="005A154E"/>
    <w:rsid w:val="005A2781"/>
    <w:rsid w:val="005A3313"/>
    <w:rsid w:val="005A3E8B"/>
    <w:rsid w:val="005A5ACA"/>
    <w:rsid w:val="005A6B1F"/>
    <w:rsid w:val="005A711A"/>
    <w:rsid w:val="005A7AE0"/>
    <w:rsid w:val="005A7E93"/>
    <w:rsid w:val="005B02F9"/>
    <w:rsid w:val="005B11FE"/>
    <w:rsid w:val="005B16A4"/>
    <w:rsid w:val="005B22D6"/>
    <w:rsid w:val="005B3C7E"/>
    <w:rsid w:val="005B3EC8"/>
    <w:rsid w:val="005B4B67"/>
    <w:rsid w:val="005B6660"/>
    <w:rsid w:val="005B7002"/>
    <w:rsid w:val="005B79F3"/>
    <w:rsid w:val="005B7CD7"/>
    <w:rsid w:val="005C0040"/>
    <w:rsid w:val="005C021B"/>
    <w:rsid w:val="005C1923"/>
    <w:rsid w:val="005C1D46"/>
    <w:rsid w:val="005C3DA2"/>
    <w:rsid w:val="005C3FBD"/>
    <w:rsid w:val="005C43A2"/>
    <w:rsid w:val="005C4BA3"/>
    <w:rsid w:val="005C4FE5"/>
    <w:rsid w:val="005C5F25"/>
    <w:rsid w:val="005C6C01"/>
    <w:rsid w:val="005D0167"/>
    <w:rsid w:val="005D0D15"/>
    <w:rsid w:val="005D0DA9"/>
    <w:rsid w:val="005D0DF0"/>
    <w:rsid w:val="005D1229"/>
    <w:rsid w:val="005D32F9"/>
    <w:rsid w:val="005D4D68"/>
    <w:rsid w:val="005D5929"/>
    <w:rsid w:val="005D5EAA"/>
    <w:rsid w:val="005D655E"/>
    <w:rsid w:val="005D7710"/>
    <w:rsid w:val="005D7BA5"/>
    <w:rsid w:val="005E066D"/>
    <w:rsid w:val="005E0D75"/>
    <w:rsid w:val="005E138F"/>
    <w:rsid w:val="005E3122"/>
    <w:rsid w:val="005E3B74"/>
    <w:rsid w:val="005E46E2"/>
    <w:rsid w:val="005E55E5"/>
    <w:rsid w:val="005E6A12"/>
    <w:rsid w:val="005E6A7E"/>
    <w:rsid w:val="005E6BB8"/>
    <w:rsid w:val="005E6E0B"/>
    <w:rsid w:val="005F399C"/>
    <w:rsid w:val="005F462E"/>
    <w:rsid w:val="005F7444"/>
    <w:rsid w:val="0060105B"/>
    <w:rsid w:val="00602D2D"/>
    <w:rsid w:val="006048DA"/>
    <w:rsid w:val="006049CC"/>
    <w:rsid w:val="00605B97"/>
    <w:rsid w:val="00607335"/>
    <w:rsid w:val="00611164"/>
    <w:rsid w:val="006146D6"/>
    <w:rsid w:val="006150F0"/>
    <w:rsid w:val="00615410"/>
    <w:rsid w:val="00616B10"/>
    <w:rsid w:val="00620E6D"/>
    <w:rsid w:val="006211C5"/>
    <w:rsid w:val="0062221D"/>
    <w:rsid w:val="00622F69"/>
    <w:rsid w:val="006233EF"/>
    <w:rsid w:val="00623C13"/>
    <w:rsid w:val="006253CC"/>
    <w:rsid w:val="0062677E"/>
    <w:rsid w:val="006302AB"/>
    <w:rsid w:val="00631141"/>
    <w:rsid w:val="0063236A"/>
    <w:rsid w:val="0063471B"/>
    <w:rsid w:val="00634D0D"/>
    <w:rsid w:val="00636201"/>
    <w:rsid w:val="00636E11"/>
    <w:rsid w:val="00636E5E"/>
    <w:rsid w:val="00637833"/>
    <w:rsid w:val="00640757"/>
    <w:rsid w:val="00641BAE"/>
    <w:rsid w:val="00642882"/>
    <w:rsid w:val="00642A1A"/>
    <w:rsid w:val="00643111"/>
    <w:rsid w:val="00645A07"/>
    <w:rsid w:val="00645C0F"/>
    <w:rsid w:val="006464EF"/>
    <w:rsid w:val="00646A92"/>
    <w:rsid w:val="00646A94"/>
    <w:rsid w:val="00646D87"/>
    <w:rsid w:val="0065034D"/>
    <w:rsid w:val="00650B2F"/>
    <w:rsid w:val="00650EDC"/>
    <w:rsid w:val="006511AD"/>
    <w:rsid w:val="00651E96"/>
    <w:rsid w:val="00654864"/>
    <w:rsid w:val="0065501A"/>
    <w:rsid w:val="0065523F"/>
    <w:rsid w:val="00655F78"/>
    <w:rsid w:val="0065644D"/>
    <w:rsid w:val="00656766"/>
    <w:rsid w:val="006603E7"/>
    <w:rsid w:val="0066050F"/>
    <w:rsid w:val="00661714"/>
    <w:rsid w:val="00662E5B"/>
    <w:rsid w:val="0066345F"/>
    <w:rsid w:val="006638A1"/>
    <w:rsid w:val="00664C90"/>
    <w:rsid w:val="00665A2A"/>
    <w:rsid w:val="00666C0A"/>
    <w:rsid w:val="00671252"/>
    <w:rsid w:val="00672126"/>
    <w:rsid w:val="00672A19"/>
    <w:rsid w:val="00673DB5"/>
    <w:rsid w:val="006743B1"/>
    <w:rsid w:val="0067559C"/>
    <w:rsid w:val="006771D8"/>
    <w:rsid w:val="00680036"/>
    <w:rsid w:val="00681690"/>
    <w:rsid w:val="00684297"/>
    <w:rsid w:val="00692E6D"/>
    <w:rsid w:val="00693306"/>
    <w:rsid w:val="006939CF"/>
    <w:rsid w:val="006942B1"/>
    <w:rsid w:val="0069483E"/>
    <w:rsid w:val="0069576F"/>
    <w:rsid w:val="0069719C"/>
    <w:rsid w:val="0069796D"/>
    <w:rsid w:val="006A05A9"/>
    <w:rsid w:val="006A0877"/>
    <w:rsid w:val="006A0DBD"/>
    <w:rsid w:val="006A20CE"/>
    <w:rsid w:val="006A2B68"/>
    <w:rsid w:val="006A4AEF"/>
    <w:rsid w:val="006A5BC6"/>
    <w:rsid w:val="006A7362"/>
    <w:rsid w:val="006A76ED"/>
    <w:rsid w:val="006B0475"/>
    <w:rsid w:val="006B20FA"/>
    <w:rsid w:val="006B2152"/>
    <w:rsid w:val="006B2CA6"/>
    <w:rsid w:val="006B2E69"/>
    <w:rsid w:val="006B38E9"/>
    <w:rsid w:val="006B5245"/>
    <w:rsid w:val="006B5271"/>
    <w:rsid w:val="006B671C"/>
    <w:rsid w:val="006C008C"/>
    <w:rsid w:val="006C18C9"/>
    <w:rsid w:val="006C29B2"/>
    <w:rsid w:val="006C43DC"/>
    <w:rsid w:val="006C66DB"/>
    <w:rsid w:val="006C6908"/>
    <w:rsid w:val="006D1047"/>
    <w:rsid w:val="006D12FB"/>
    <w:rsid w:val="006D187E"/>
    <w:rsid w:val="006D46D8"/>
    <w:rsid w:val="006D4773"/>
    <w:rsid w:val="006D5E27"/>
    <w:rsid w:val="006D5F31"/>
    <w:rsid w:val="006D7D0E"/>
    <w:rsid w:val="006D7F17"/>
    <w:rsid w:val="006E0549"/>
    <w:rsid w:val="006E0F22"/>
    <w:rsid w:val="006E1326"/>
    <w:rsid w:val="006E29DD"/>
    <w:rsid w:val="006E314E"/>
    <w:rsid w:val="006E4ED5"/>
    <w:rsid w:val="006E7AB4"/>
    <w:rsid w:val="006F0CDB"/>
    <w:rsid w:val="006F0D47"/>
    <w:rsid w:val="006F12FB"/>
    <w:rsid w:val="006F2EDD"/>
    <w:rsid w:val="006F3697"/>
    <w:rsid w:val="006F3CE2"/>
    <w:rsid w:val="006F5386"/>
    <w:rsid w:val="006F581F"/>
    <w:rsid w:val="006F76B5"/>
    <w:rsid w:val="006F77A2"/>
    <w:rsid w:val="00700543"/>
    <w:rsid w:val="0070092C"/>
    <w:rsid w:val="00700946"/>
    <w:rsid w:val="00701B38"/>
    <w:rsid w:val="00701CEC"/>
    <w:rsid w:val="007032B6"/>
    <w:rsid w:val="00703B19"/>
    <w:rsid w:val="00703C11"/>
    <w:rsid w:val="00703E80"/>
    <w:rsid w:val="00703F32"/>
    <w:rsid w:val="0070763F"/>
    <w:rsid w:val="0070778C"/>
    <w:rsid w:val="00707B22"/>
    <w:rsid w:val="00707C80"/>
    <w:rsid w:val="00710A0A"/>
    <w:rsid w:val="00710B33"/>
    <w:rsid w:val="00712E04"/>
    <w:rsid w:val="0071344A"/>
    <w:rsid w:val="007142FB"/>
    <w:rsid w:val="00714A84"/>
    <w:rsid w:val="007155C0"/>
    <w:rsid w:val="00715EC3"/>
    <w:rsid w:val="00716CBB"/>
    <w:rsid w:val="00716D22"/>
    <w:rsid w:val="00716EDB"/>
    <w:rsid w:val="00721BB4"/>
    <w:rsid w:val="00721BFE"/>
    <w:rsid w:val="00721EC2"/>
    <w:rsid w:val="007220A2"/>
    <w:rsid w:val="00722322"/>
    <w:rsid w:val="00722538"/>
    <w:rsid w:val="007228BB"/>
    <w:rsid w:val="00722EAE"/>
    <w:rsid w:val="0072362B"/>
    <w:rsid w:val="007245D5"/>
    <w:rsid w:val="00725533"/>
    <w:rsid w:val="00725E47"/>
    <w:rsid w:val="007268C0"/>
    <w:rsid w:val="0072774B"/>
    <w:rsid w:val="00727D6D"/>
    <w:rsid w:val="0073124D"/>
    <w:rsid w:val="007323D4"/>
    <w:rsid w:val="007340E8"/>
    <w:rsid w:val="007352BB"/>
    <w:rsid w:val="0073753C"/>
    <w:rsid w:val="00737637"/>
    <w:rsid w:val="00737DE6"/>
    <w:rsid w:val="0074065C"/>
    <w:rsid w:val="007419DA"/>
    <w:rsid w:val="00741BBE"/>
    <w:rsid w:val="0074260C"/>
    <w:rsid w:val="00742AF5"/>
    <w:rsid w:val="00743476"/>
    <w:rsid w:val="00743A0D"/>
    <w:rsid w:val="00744848"/>
    <w:rsid w:val="00746F5F"/>
    <w:rsid w:val="00747053"/>
    <w:rsid w:val="00747FC7"/>
    <w:rsid w:val="0075033E"/>
    <w:rsid w:val="0075151A"/>
    <w:rsid w:val="00752420"/>
    <w:rsid w:val="00753297"/>
    <w:rsid w:val="007542B7"/>
    <w:rsid w:val="00755100"/>
    <w:rsid w:val="0075527A"/>
    <w:rsid w:val="00755B41"/>
    <w:rsid w:val="00756BDF"/>
    <w:rsid w:val="0075778E"/>
    <w:rsid w:val="007618E3"/>
    <w:rsid w:val="00761DC8"/>
    <w:rsid w:val="007621F1"/>
    <w:rsid w:val="00762642"/>
    <w:rsid w:val="00764E2F"/>
    <w:rsid w:val="0076779B"/>
    <w:rsid w:val="00767F2E"/>
    <w:rsid w:val="00770143"/>
    <w:rsid w:val="00771E50"/>
    <w:rsid w:val="007720CD"/>
    <w:rsid w:val="007725BA"/>
    <w:rsid w:val="00772775"/>
    <w:rsid w:val="007738CA"/>
    <w:rsid w:val="0077540A"/>
    <w:rsid w:val="00777638"/>
    <w:rsid w:val="00777D18"/>
    <w:rsid w:val="007809EB"/>
    <w:rsid w:val="00780D79"/>
    <w:rsid w:val="007810ED"/>
    <w:rsid w:val="00781414"/>
    <w:rsid w:val="00781489"/>
    <w:rsid w:val="00781D37"/>
    <w:rsid w:val="00781F9D"/>
    <w:rsid w:val="00781FA6"/>
    <w:rsid w:val="007821EC"/>
    <w:rsid w:val="00782284"/>
    <w:rsid w:val="00782463"/>
    <w:rsid w:val="00782FDC"/>
    <w:rsid w:val="0078365F"/>
    <w:rsid w:val="00783AFF"/>
    <w:rsid w:val="00785725"/>
    <w:rsid w:val="007868B4"/>
    <w:rsid w:val="007868B9"/>
    <w:rsid w:val="00786D9B"/>
    <w:rsid w:val="0079004D"/>
    <w:rsid w:val="00790562"/>
    <w:rsid w:val="00790684"/>
    <w:rsid w:val="00790ABF"/>
    <w:rsid w:val="007915C8"/>
    <w:rsid w:val="0079314C"/>
    <w:rsid w:val="0079317C"/>
    <w:rsid w:val="00793D40"/>
    <w:rsid w:val="0079505E"/>
    <w:rsid w:val="00795AAE"/>
    <w:rsid w:val="00796458"/>
    <w:rsid w:val="00797DFF"/>
    <w:rsid w:val="007A0C17"/>
    <w:rsid w:val="007A1652"/>
    <w:rsid w:val="007A16C3"/>
    <w:rsid w:val="007A1B2A"/>
    <w:rsid w:val="007A1DA1"/>
    <w:rsid w:val="007A226D"/>
    <w:rsid w:val="007A3461"/>
    <w:rsid w:val="007A3F62"/>
    <w:rsid w:val="007A4E0A"/>
    <w:rsid w:val="007A59C7"/>
    <w:rsid w:val="007A72C9"/>
    <w:rsid w:val="007B09FA"/>
    <w:rsid w:val="007B0DC1"/>
    <w:rsid w:val="007B11B0"/>
    <w:rsid w:val="007B2C29"/>
    <w:rsid w:val="007B33C9"/>
    <w:rsid w:val="007B3832"/>
    <w:rsid w:val="007B3C02"/>
    <w:rsid w:val="007B3C64"/>
    <w:rsid w:val="007B4244"/>
    <w:rsid w:val="007B535F"/>
    <w:rsid w:val="007B6034"/>
    <w:rsid w:val="007B603B"/>
    <w:rsid w:val="007B6D94"/>
    <w:rsid w:val="007B7129"/>
    <w:rsid w:val="007B719D"/>
    <w:rsid w:val="007C0685"/>
    <w:rsid w:val="007C1235"/>
    <w:rsid w:val="007C1DAE"/>
    <w:rsid w:val="007C2481"/>
    <w:rsid w:val="007C343E"/>
    <w:rsid w:val="007C35F5"/>
    <w:rsid w:val="007C4342"/>
    <w:rsid w:val="007C4427"/>
    <w:rsid w:val="007C44BF"/>
    <w:rsid w:val="007C5608"/>
    <w:rsid w:val="007C6A13"/>
    <w:rsid w:val="007C6EF4"/>
    <w:rsid w:val="007C6FBC"/>
    <w:rsid w:val="007D0C38"/>
    <w:rsid w:val="007D1C16"/>
    <w:rsid w:val="007D22CA"/>
    <w:rsid w:val="007D320C"/>
    <w:rsid w:val="007D44B7"/>
    <w:rsid w:val="007D459C"/>
    <w:rsid w:val="007D48A7"/>
    <w:rsid w:val="007D54FE"/>
    <w:rsid w:val="007D763C"/>
    <w:rsid w:val="007D76A0"/>
    <w:rsid w:val="007E0954"/>
    <w:rsid w:val="007E21AB"/>
    <w:rsid w:val="007E2B0C"/>
    <w:rsid w:val="007E3DB9"/>
    <w:rsid w:val="007E4620"/>
    <w:rsid w:val="007E529E"/>
    <w:rsid w:val="007E6678"/>
    <w:rsid w:val="007E72A2"/>
    <w:rsid w:val="007F103A"/>
    <w:rsid w:val="007F13DC"/>
    <w:rsid w:val="007F1BCD"/>
    <w:rsid w:val="007F5470"/>
    <w:rsid w:val="007F64EE"/>
    <w:rsid w:val="00800538"/>
    <w:rsid w:val="00800D29"/>
    <w:rsid w:val="008014AA"/>
    <w:rsid w:val="00804D45"/>
    <w:rsid w:val="00805DCA"/>
    <w:rsid w:val="00807760"/>
    <w:rsid w:val="00807B4C"/>
    <w:rsid w:val="00811428"/>
    <w:rsid w:val="00812081"/>
    <w:rsid w:val="008121A8"/>
    <w:rsid w:val="00812BD0"/>
    <w:rsid w:val="00812C8D"/>
    <w:rsid w:val="008134CF"/>
    <w:rsid w:val="008136EF"/>
    <w:rsid w:val="00814120"/>
    <w:rsid w:val="00814A31"/>
    <w:rsid w:val="00814BC3"/>
    <w:rsid w:val="00814FF0"/>
    <w:rsid w:val="008173EB"/>
    <w:rsid w:val="00820C1F"/>
    <w:rsid w:val="008212A0"/>
    <w:rsid w:val="00822CFC"/>
    <w:rsid w:val="00823FC3"/>
    <w:rsid w:val="00825A81"/>
    <w:rsid w:val="00826F9E"/>
    <w:rsid w:val="0082725C"/>
    <w:rsid w:val="00830025"/>
    <w:rsid w:val="008306EE"/>
    <w:rsid w:val="00830A2D"/>
    <w:rsid w:val="008339AA"/>
    <w:rsid w:val="00834452"/>
    <w:rsid w:val="00834D50"/>
    <w:rsid w:val="008352B6"/>
    <w:rsid w:val="00837CBB"/>
    <w:rsid w:val="00837DD7"/>
    <w:rsid w:val="008400D9"/>
    <w:rsid w:val="00840259"/>
    <w:rsid w:val="008409EC"/>
    <w:rsid w:val="008419A6"/>
    <w:rsid w:val="00841D4F"/>
    <w:rsid w:val="00842498"/>
    <w:rsid w:val="008434DB"/>
    <w:rsid w:val="0084575F"/>
    <w:rsid w:val="008459C4"/>
    <w:rsid w:val="00845C13"/>
    <w:rsid w:val="00845FB9"/>
    <w:rsid w:val="008478CD"/>
    <w:rsid w:val="008514C0"/>
    <w:rsid w:val="00851883"/>
    <w:rsid w:val="00852297"/>
    <w:rsid w:val="00853A10"/>
    <w:rsid w:val="0085480E"/>
    <w:rsid w:val="008551DF"/>
    <w:rsid w:val="00855B7D"/>
    <w:rsid w:val="008565FA"/>
    <w:rsid w:val="00857AA4"/>
    <w:rsid w:val="0086015C"/>
    <w:rsid w:val="00860681"/>
    <w:rsid w:val="00860F25"/>
    <w:rsid w:val="00861731"/>
    <w:rsid w:val="008624D9"/>
    <w:rsid w:val="00865045"/>
    <w:rsid w:val="0086718A"/>
    <w:rsid w:val="00867355"/>
    <w:rsid w:val="00870C14"/>
    <w:rsid w:val="00871127"/>
    <w:rsid w:val="00871F40"/>
    <w:rsid w:val="00873404"/>
    <w:rsid w:val="008759C3"/>
    <w:rsid w:val="00876E3F"/>
    <w:rsid w:val="0087748D"/>
    <w:rsid w:val="00882EDA"/>
    <w:rsid w:val="00883500"/>
    <w:rsid w:val="00885912"/>
    <w:rsid w:val="0088698C"/>
    <w:rsid w:val="00890AE1"/>
    <w:rsid w:val="008928C3"/>
    <w:rsid w:val="00892ABC"/>
    <w:rsid w:val="00894238"/>
    <w:rsid w:val="00894EAC"/>
    <w:rsid w:val="008955CB"/>
    <w:rsid w:val="00895ECE"/>
    <w:rsid w:val="0089606F"/>
    <w:rsid w:val="00896D01"/>
    <w:rsid w:val="008A0CB6"/>
    <w:rsid w:val="008A138C"/>
    <w:rsid w:val="008A4449"/>
    <w:rsid w:val="008A485A"/>
    <w:rsid w:val="008A6A2B"/>
    <w:rsid w:val="008A6D7C"/>
    <w:rsid w:val="008B00C7"/>
    <w:rsid w:val="008B098B"/>
    <w:rsid w:val="008B1083"/>
    <w:rsid w:val="008B12CB"/>
    <w:rsid w:val="008B1B17"/>
    <w:rsid w:val="008B1DF0"/>
    <w:rsid w:val="008B2487"/>
    <w:rsid w:val="008B2488"/>
    <w:rsid w:val="008B3638"/>
    <w:rsid w:val="008B552B"/>
    <w:rsid w:val="008B5D3A"/>
    <w:rsid w:val="008B6519"/>
    <w:rsid w:val="008B7098"/>
    <w:rsid w:val="008C1274"/>
    <w:rsid w:val="008C1BBB"/>
    <w:rsid w:val="008C3637"/>
    <w:rsid w:val="008C382C"/>
    <w:rsid w:val="008C3D8A"/>
    <w:rsid w:val="008C4519"/>
    <w:rsid w:val="008C48E8"/>
    <w:rsid w:val="008C517B"/>
    <w:rsid w:val="008C6858"/>
    <w:rsid w:val="008C7BEE"/>
    <w:rsid w:val="008C7D27"/>
    <w:rsid w:val="008D0667"/>
    <w:rsid w:val="008D2D28"/>
    <w:rsid w:val="008D46DF"/>
    <w:rsid w:val="008D6C34"/>
    <w:rsid w:val="008D74DE"/>
    <w:rsid w:val="008E17FA"/>
    <w:rsid w:val="008E1D84"/>
    <w:rsid w:val="008E2915"/>
    <w:rsid w:val="008E2E22"/>
    <w:rsid w:val="008E49D1"/>
    <w:rsid w:val="008E52E3"/>
    <w:rsid w:val="008E58D1"/>
    <w:rsid w:val="008E75DC"/>
    <w:rsid w:val="008F08D5"/>
    <w:rsid w:val="008F1036"/>
    <w:rsid w:val="008F5FBD"/>
    <w:rsid w:val="008F6867"/>
    <w:rsid w:val="008F69D3"/>
    <w:rsid w:val="0090013E"/>
    <w:rsid w:val="0090075B"/>
    <w:rsid w:val="0090082A"/>
    <w:rsid w:val="00901863"/>
    <w:rsid w:val="00901A67"/>
    <w:rsid w:val="00902D0C"/>
    <w:rsid w:val="009031B1"/>
    <w:rsid w:val="0090378E"/>
    <w:rsid w:val="00903F7C"/>
    <w:rsid w:val="00905889"/>
    <w:rsid w:val="00906B3F"/>
    <w:rsid w:val="009071B5"/>
    <w:rsid w:val="00910AC9"/>
    <w:rsid w:val="00911B91"/>
    <w:rsid w:val="00913C73"/>
    <w:rsid w:val="00913DC6"/>
    <w:rsid w:val="00917E0B"/>
    <w:rsid w:val="00920BBE"/>
    <w:rsid w:val="00920F5B"/>
    <w:rsid w:val="0092245D"/>
    <w:rsid w:val="0092486B"/>
    <w:rsid w:val="00924CFF"/>
    <w:rsid w:val="009265B6"/>
    <w:rsid w:val="009265FE"/>
    <w:rsid w:val="0093004F"/>
    <w:rsid w:val="009301CB"/>
    <w:rsid w:val="009309EC"/>
    <w:rsid w:val="00930C2D"/>
    <w:rsid w:val="00932737"/>
    <w:rsid w:val="00932798"/>
    <w:rsid w:val="00932CEE"/>
    <w:rsid w:val="00933BC1"/>
    <w:rsid w:val="009341CE"/>
    <w:rsid w:val="00934430"/>
    <w:rsid w:val="009345BA"/>
    <w:rsid w:val="00935412"/>
    <w:rsid w:val="009356B4"/>
    <w:rsid w:val="00936C2A"/>
    <w:rsid w:val="009379DC"/>
    <w:rsid w:val="00937DA9"/>
    <w:rsid w:val="00937E99"/>
    <w:rsid w:val="009416B6"/>
    <w:rsid w:val="00941947"/>
    <w:rsid w:val="00941C05"/>
    <w:rsid w:val="0094313D"/>
    <w:rsid w:val="00943376"/>
    <w:rsid w:val="00943C0F"/>
    <w:rsid w:val="00943FD1"/>
    <w:rsid w:val="009448F1"/>
    <w:rsid w:val="00944CD2"/>
    <w:rsid w:val="00945B17"/>
    <w:rsid w:val="00947AE9"/>
    <w:rsid w:val="0095312C"/>
    <w:rsid w:val="009534C5"/>
    <w:rsid w:val="00954664"/>
    <w:rsid w:val="00954F88"/>
    <w:rsid w:val="00955A71"/>
    <w:rsid w:val="00955B9F"/>
    <w:rsid w:val="00957BB2"/>
    <w:rsid w:val="0096048E"/>
    <w:rsid w:val="00960CE3"/>
    <w:rsid w:val="00960EB7"/>
    <w:rsid w:val="00962092"/>
    <w:rsid w:val="00962438"/>
    <w:rsid w:val="00962BF4"/>
    <w:rsid w:val="00962C9B"/>
    <w:rsid w:val="009635E2"/>
    <w:rsid w:val="00963900"/>
    <w:rsid w:val="009657E1"/>
    <w:rsid w:val="009671E0"/>
    <w:rsid w:val="00967EF0"/>
    <w:rsid w:val="00970768"/>
    <w:rsid w:val="009712E0"/>
    <w:rsid w:val="009738FB"/>
    <w:rsid w:val="00973E61"/>
    <w:rsid w:val="00974062"/>
    <w:rsid w:val="0097533D"/>
    <w:rsid w:val="009759D6"/>
    <w:rsid w:val="00976A13"/>
    <w:rsid w:val="00976CC3"/>
    <w:rsid w:val="00982560"/>
    <w:rsid w:val="009826FD"/>
    <w:rsid w:val="0098290F"/>
    <w:rsid w:val="00982F3F"/>
    <w:rsid w:val="00983106"/>
    <w:rsid w:val="00983A70"/>
    <w:rsid w:val="00984261"/>
    <w:rsid w:val="00985727"/>
    <w:rsid w:val="009860B9"/>
    <w:rsid w:val="00986462"/>
    <w:rsid w:val="00986A42"/>
    <w:rsid w:val="00987624"/>
    <w:rsid w:val="00987BFC"/>
    <w:rsid w:val="009916C4"/>
    <w:rsid w:val="00994096"/>
    <w:rsid w:val="00994327"/>
    <w:rsid w:val="00994C77"/>
    <w:rsid w:val="0099645E"/>
    <w:rsid w:val="00996857"/>
    <w:rsid w:val="00996C8E"/>
    <w:rsid w:val="00997045"/>
    <w:rsid w:val="0099754E"/>
    <w:rsid w:val="009A06A6"/>
    <w:rsid w:val="009A2F53"/>
    <w:rsid w:val="009A39E1"/>
    <w:rsid w:val="009A59A9"/>
    <w:rsid w:val="009A6A52"/>
    <w:rsid w:val="009B2428"/>
    <w:rsid w:val="009B55E6"/>
    <w:rsid w:val="009B61EE"/>
    <w:rsid w:val="009B7A8A"/>
    <w:rsid w:val="009C13C2"/>
    <w:rsid w:val="009C2A0F"/>
    <w:rsid w:val="009C5515"/>
    <w:rsid w:val="009C6F88"/>
    <w:rsid w:val="009C780B"/>
    <w:rsid w:val="009D014F"/>
    <w:rsid w:val="009D144F"/>
    <w:rsid w:val="009D31E9"/>
    <w:rsid w:val="009D3808"/>
    <w:rsid w:val="009D38F2"/>
    <w:rsid w:val="009D554E"/>
    <w:rsid w:val="009D5A35"/>
    <w:rsid w:val="009D604F"/>
    <w:rsid w:val="009D6874"/>
    <w:rsid w:val="009D7A3D"/>
    <w:rsid w:val="009E0EA6"/>
    <w:rsid w:val="009E1D20"/>
    <w:rsid w:val="009E2D1E"/>
    <w:rsid w:val="009E36D9"/>
    <w:rsid w:val="009E4F38"/>
    <w:rsid w:val="009E672A"/>
    <w:rsid w:val="009E72FF"/>
    <w:rsid w:val="009E7472"/>
    <w:rsid w:val="009E7ADF"/>
    <w:rsid w:val="009F03B1"/>
    <w:rsid w:val="009F0626"/>
    <w:rsid w:val="009F0C6F"/>
    <w:rsid w:val="009F1773"/>
    <w:rsid w:val="009F2AFC"/>
    <w:rsid w:val="009F2F12"/>
    <w:rsid w:val="009F3706"/>
    <w:rsid w:val="009F406F"/>
    <w:rsid w:val="009F43B8"/>
    <w:rsid w:val="009F4B7A"/>
    <w:rsid w:val="009F4D48"/>
    <w:rsid w:val="009F4DCF"/>
    <w:rsid w:val="009F576D"/>
    <w:rsid w:val="009F57EF"/>
    <w:rsid w:val="009F6A81"/>
    <w:rsid w:val="009F6B22"/>
    <w:rsid w:val="009F752E"/>
    <w:rsid w:val="009F79D5"/>
    <w:rsid w:val="009F7D42"/>
    <w:rsid w:val="00A0038D"/>
    <w:rsid w:val="00A01DC8"/>
    <w:rsid w:val="00A02145"/>
    <w:rsid w:val="00A033B7"/>
    <w:rsid w:val="00A049F1"/>
    <w:rsid w:val="00A05492"/>
    <w:rsid w:val="00A06A40"/>
    <w:rsid w:val="00A06C10"/>
    <w:rsid w:val="00A07D4D"/>
    <w:rsid w:val="00A10F32"/>
    <w:rsid w:val="00A12447"/>
    <w:rsid w:val="00A13833"/>
    <w:rsid w:val="00A148CE"/>
    <w:rsid w:val="00A15095"/>
    <w:rsid w:val="00A1622F"/>
    <w:rsid w:val="00A162F3"/>
    <w:rsid w:val="00A17221"/>
    <w:rsid w:val="00A1753E"/>
    <w:rsid w:val="00A176E3"/>
    <w:rsid w:val="00A17F04"/>
    <w:rsid w:val="00A17FD7"/>
    <w:rsid w:val="00A21188"/>
    <w:rsid w:val="00A221FD"/>
    <w:rsid w:val="00A227F6"/>
    <w:rsid w:val="00A23A38"/>
    <w:rsid w:val="00A248BA"/>
    <w:rsid w:val="00A24F30"/>
    <w:rsid w:val="00A26B9D"/>
    <w:rsid w:val="00A27143"/>
    <w:rsid w:val="00A304E9"/>
    <w:rsid w:val="00A316B7"/>
    <w:rsid w:val="00A31801"/>
    <w:rsid w:val="00A32C9A"/>
    <w:rsid w:val="00A33612"/>
    <w:rsid w:val="00A33E2E"/>
    <w:rsid w:val="00A3694B"/>
    <w:rsid w:val="00A36ADE"/>
    <w:rsid w:val="00A370DB"/>
    <w:rsid w:val="00A37E8C"/>
    <w:rsid w:val="00A40E63"/>
    <w:rsid w:val="00A4192D"/>
    <w:rsid w:val="00A419F4"/>
    <w:rsid w:val="00A43F7E"/>
    <w:rsid w:val="00A449F7"/>
    <w:rsid w:val="00A4618C"/>
    <w:rsid w:val="00A47526"/>
    <w:rsid w:val="00A47923"/>
    <w:rsid w:val="00A506C4"/>
    <w:rsid w:val="00A5140A"/>
    <w:rsid w:val="00A534EF"/>
    <w:rsid w:val="00A53C07"/>
    <w:rsid w:val="00A53D12"/>
    <w:rsid w:val="00A567F0"/>
    <w:rsid w:val="00A56DC6"/>
    <w:rsid w:val="00A616BB"/>
    <w:rsid w:val="00A62A3C"/>
    <w:rsid w:val="00A6345A"/>
    <w:rsid w:val="00A63559"/>
    <w:rsid w:val="00A63975"/>
    <w:rsid w:val="00A64998"/>
    <w:rsid w:val="00A6548E"/>
    <w:rsid w:val="00A65755"/>
    <w:rsid w:val="00A658E2"/>
    <w:rsid w:val="00A676B8"/>
    <w:rsid w:val="00A70382"/>
    <w:rsid w:val="00A705E9"/>
    <w:rsid w:val="00A70D39"/>
    <w:rsid w:val="00A70F36"/>
    <w:rsid w:val="00A70FD0"/>
    <w:rsid w:val="00A73455"/>
    <w:rsid w:val="00A73484"/>
    <w:rsid w:val="00A738EF"/>
    <w:rsid w:val="00A753A9"/>
    <w:rsid w:val="00A75520"/>
    <w:rsid w:val="00A77BA5"/>
    <w:rsid w:val="00A82482"/>
    <w:rsid w:val="00A824F9"/>
    <w:rsid w:val="00A83CB5"/>
    <w:rsid w:val="00A83D39"/>
    <w:rsid w:val="00A83E27"/>
    <w:rsid w:val="00A853EA"/>
    <w:rsid w:val="00A85A09"/>
    <w:rsid w:val="00A8683B"/>
    <w:rsid w:val="00A868A5"/>
    <w:rsid w:val="00A872C4"/>
    <w:rsid w:val="00A9014E"/>
    <w:rsid w:val="00A912EC"/>
    <w:rsid w:val="00A915F2"/>
    <w:rsid w:val="00A91BFF"/>
    <w:rsid w:val="00A92499"/>
    <w:rsid w:val="00A92593"/>
    <w:rsid w:val="00A943ED"/>
    <w:rsid w:val="00A94F93"/>
    <w:rsid w:val="00A95411"/>
    <w:rsid w:val="00A95B57"/>
    <w:rsid w:val="00A95F41"/>
    <w:rsid w:val="00A9654A"/>
    <w:rsid w:val="00A97A58"/>
    <w:rsid w:val="00AA19AA"/>
    <w:rsid w:val="00AA1FF9"/>
    <w:rsid w:val="00AA209F"/>
    <w:rsid w:val="00AA61EF"/>
    <w:rsid w:val="00AB0DE8"/>
    <w:rsid w:val="00AB0E5A"/>
    <w:rsid w:val="00AB16A7"/>
    <w:rsid w:val="00AB2B24"/>
    <w:rsid w:val="00AB2C88"/>
    <w:rsid w:val="00AB428D"/>
    <w:rsid w:val="00AB7A26"/>
    <w:rsid w:val="00AC007A"/>
    <w:rsid w:val="00AC068E"/>
    <w:rsid w:val="00AC0E3F"/>
    <w:rsid w:val="00AC28EF"/>
    <w:rsid w:val="00AC33A5"/>
    <w:rsid w:val="00AC3448"/>
    <w:rsid w:val="00AC3844"/>
    <w:rsid w:val="00AC533B"/>
    <w:rsid w:val="00AC5801"/>
    <w:rsid w:val="00AC5863"/>
    <w:rsid w:val="00AC6A07"/>
    <w:rsid w:val="00AD00C2"/>
    <w:rsid w:val="00AD042D"/>
    <w:rsid w:val="00AD0560"/>
    <w:rsid w:val="00AD0E7F"/>
    <w:rsid w:val="00AD2CAF"/>
    <w:rsid w:val="00AD333E"/>
    <w:rsid w:val="00AD3DC5"/>
    <w:rsid w:val="00AD6FB9"/>
    <w:rsid w:val="00AD7352"/>
    <w:rsid w:val="00AE02AB"/>
    <w:rsid w:val="00AE0D74"/>
    <w:rsid w:val="00AE14FE"/>
    <w:rsid w:val="00AE1B21"/>
    <w:rsid w:val="00AE304F"/>
    <w:rsid w:val="00AE33DC"/>
    <w:rsid w:val="00AE39F3"/>
    <w:rsid w:val="00AE3B22"/>
    <w:rsid w:val="00AE47A3"/>
    <w:rsid w:val="00AE5212"/>
    <w:rsid w:val="00AE523C"/>
    <w:rsid w:val="00AE60EE"/>
    <w:rsid w:val="00AE6A18"/>
    <w:rsid w:val="00AE6DC2"/>
    <w:rsid w:val="00AE728F"/>
    <w:rsid w:val="00AF0185"/>
    <w:rsid w:val="00AF0360"/>
    <w:rsid w:val="00AF1DF3"/>
    <w:rsid w:val="00AF243B"/>
    <w:rsid w:val="00AF2700"/>
    <w:rsid w:val="00AF3716"/>
    <w:rsid w:val="00AF4D5C"/>
    <w:rsid w:val="00B0026D"/>
    <w:rsid w:val="00B00337"/>
    <w:rsid w:val="00B01F22"/>
    <w:rsid w:val="00B01F70"/>
    <w:rsid w:val="00B0328B"/>
    <w:rsid w:val="00B04D8F"/>
    <w:rsid w:val="00B05B59"/>
    <w:rsid w:val="00B05BDD"/>
    <w:rsid w:val="00B05C0B"/>
    <w:rsid w:val="00B06BE9"/>
    <w:rsid w:val="00B06FA6"/>
    <w:rsid w:val="00B107E9"/>
    <w:rsid w:val="00B11E87"/>
    <w:rsid w:val="00B12A9C"/>
    <w:rsid w:val="00B14216"/>
    <w:rsid w:val="00B16DC4"/>
    <w:rsid w:val="00B2149C"/>
    <w:rsid w:val="00B21564"/>
    <w:rsid w:val="00B226F7"/>
    <w:rsid w:val="00B23FC3"/>
    <w:rsid w:val="00B24487"/>
    <w:rsid w:val="00B26E61"/>
    <w:rsid w:val="00B27A4D"/>
    <w:rsid w:val="00B33201"/>
    <w:rsid w:val="00B33616"/>
    <w:rsid w:val="00B35634"/>
    <w:rsid w:val="00B36D11"/>
    <w:rsid w:val="00B40240"/>
    <w:rsid w:val="00B40B4F"/>
    <w:rsid w:val="00B42D2C"/>
    <w:rsid w:val="00B4397E"/>
    <w:rsid w:val="00B45166"/>
    <w:rsid w:val="00B457BB"/>
    <w:rsid w:val="00B45A63"/>
    <w:rsid w:val="00B50874"/>
    <w:rsid w:val="00B52F63"/>
    <w:rsid w:val="00B536FD"/>
    <w:rsid w:val="00B5378B"/>
    <w:rsid w:val="00B53C19"/>
    <w:rsid w:val="00B54028"/>
    <w:rsid w:val="00B54794"/>
    <w:rsid w:val="00B54D82"/>
    <w:rsid w:val="00B56257"/>
    <w:rsid w:val="00B56C3F"/>
    <w:rsid w:val="00B605A4"/>
    <w:rsid w:val="00B607FC"/>
    <w:rsid w:val="00B60F7B"/>
    <w:rsid w:val="00B61441"/>
    <w:rsid w:val="00B6223C"/>
    <w:rsid w:val="00B6382E"/>
    <w:rsid w:val="00B650A7"/>
    <w:rsid w:val="00B654AD"/>
    <w:rsid w:val="00B67368"/>
    <w:rsid w:val="00B7005D"/>
    <w:rsid w:val="00B71820"/>
    <w:rsid w:val="00B71E76"/>
    <w:rsid w:val="00B73F2A"/>
    <w:rsid w:val="00B74024"/>
    <w:rsid w:val="00B75422"/>
    <w:rsid w:val="00B7602D"/>
    <w:rsid w:val="00B77817"/>
    <w:rsid w:val="00B7787D"/>
    <w:rsid w:val="00B77F8B"/>
    <w:rsid w:val="00B80B00"/>
    <w:rsid w:val="00B823B5"/>
    <w:rsid w:val="00B82491"/>
    <w:rsid w:val="00B82FE5"/>
    <w:rsid w:val="00B84397"/>
    <w:rsid w:val="00B84D26"/>
    <w:rsid w:val="00B86DDF"/>
    <w:rsid w:val="00B879A4"/>
    <w:rsid w:val="00B87FBC"/>
    <w:rsid w:val="00B90DC7"/>
    <w:rsid w:val="00B91CDA"/>
    <w:rsid w:val="00B92365"/>
    <w:rsid w:val="00B928F6"/>
    <w:rsid w:val="00B92C20"/>
    <w:rsid w:val="00B93480"/>
    <w:rsid w:val="00B93FB2"/>
    <w:rsid w:val="00B95806"/>
    <w:rsid w:val="00B965B4"/>
    <w:rsid w:val="00B96676"/>
    <w:rsid w:val="00B96820"/>
    <w:rsid w:val="00B96AFF"/>
    <w:rsid w:val="00B97860"/>
    <w:rsid w:val="00BA1ACB"/>
    <w:rsid w:val="00BA1E66"/>
    <w:rsid w:val="00BA3494"/>
    <w:rsid w:val="00BA359E"/>
    <w:rsid w:val="00BA3A40"/>
    <w:rsid w:val="00BA5430"/>
    <w:rsid w:val="00BA5ABA"/>
    <w:rsid w:val="00BA65A3"/>
    <w:rsid w:val="00BA65B8"/>
    <w:rsid w:val="00BA79E6"/>
    <w:rsid w:val="00BB0303"/>
    <w:rsid w:val="00BB195E"/>
    <w:rsid w:val="00BB2DC7"/>
    <w:rsid w:val="00BB4301"/>
    <w:rsid w:val="00BB5059"/>
    <w:rsid w:val="00BB5E6A"/>
    <w:rsid w:val="00BB67E7"/>
    <w:rsid w:val="00BB6EDA"/>
    <w:rsid w:val="00BB707F"/>
    <w:rsid w:val="00BC01C3"/>
    <w:rsid w:val="00BC0439"/>
    <w:rsid w:val="00BC0FD7"/>
    <w:rsid w:val="00BC2381"/>
    <w:rsid w:val="00BC2E13"/>
    <w:rsid w:val="00BC43A8"/>
    <w:rsid w:val="00BC67A1"/>
    <w:rsid w:val="00BC7A41"/>
    <w:rsid w:val="00BD1E3E"/>
    <w:rsid w:val="00BD33CB"/>
    <w:rsid w:val="00BD34E6"/>
    <w:rsid w:val="00BD5339"/>
    <w:rsid w:val="00BD5732"/>
    <w:rsid w:val="00BD6346"/>
    <w:rsid w:val="00BD6865"/>
    <w:rsid w:val="00BE1553"/>
    <w:rsid w:val="00BE535A"/>
    <w:rsid w:val="00BE5548"/>
    <w:rsid w:val="00BE5DCB"/>
    <w:rsid w:val="00BE5DF3"/>
    <w:rsid w:val="00BE67BA"/>
    <w:rsid w:val="00BE68DC"/>
    <w:rsid w:val="00BE698D"/>
    <w:rsid w:val="00BE6C26"/>
    <w:rsid w:val="00BE72C1"/>
    <w:rsid w:val="00BF27B3"/>
    <w:rsid w:val="00BF2940"/>
    <w:rsid w:val="00BF5B5D"/>
    <w:rsid w:val="00BF63DD"/>
    <w:rsid w:val="00BF6940"/>
    <w:rsid w:val="00BF7302"/>
    <w:rsid w:val="00C008E8"/>
    <w:rsid w:val="00C01C56"/>
    <w:rsid w:val="00C020B1"/>
    <w:rsid w:val="00C03CA6"/>
    <w:rsid w:val="00C04700"/>
    <w:rsid w:val="00C05533"/>
    <w:rsid w:val="00C05A3E"/>
    <w:rsid w:val="00C061EC"/>
    <w:rsid w:val="00C0662E"/>
    <w:rsid w:val="00C06C95"/>
    <w:rsid w:val="00C100DA"/>
    <w:rsid w:val="00C111DD"/>
    <w:rsid w:val="00C114AD"/>
    <w:rsid w:val="00C11B14"/>
    <w:rsid w:val="00C11E65"/>
    <w:rsid w:val="00C13137"/>
    <w:rsid w:val="00C15D23"/>
    <w:rsid w:val="00C1731B"/>
    <w:rsid w:val="00C17D3D"/>
    <w:rsid w:val="00C20B60"/>
    <w:rsid w:val="00C2386A"/>
    <w:rsid w:val="00C2417D"/>
    <w:rsid w:val="00C251E9"/>
    <w:rsid w:val="00C25611"/>
    <w:rsid w:val="00C257DF"/>
    <w:rsid w:val="00C27225"/>
    <w:rsid w:val="00C27D89"/>
    <w:rsid w:val="00C30EEB"/>
    <w:rsid w:val="00C31228"/>
    <w:rsid w:val="00C3225D"/>
    <w:rsid w:val="00C32B4C"/>
    <w:rsid w:val="00C32ED9"/>
    <w:rsid w:val="00C33675"/>
    <w:rsid w:val="00C33678"/>
    <w:rsid w:val="00C33A22"/>
    <w:rsid w:val="00C346C3"/>
    <w:rsid w:val="00C34A5B"/>
    <w:rsid w:val="00C352AF"/>
    <w:rsid w:val="00C35F4E"/>
    <w:rsid w:val="00C36962"/>
    <w:rsid w:val="00C36D66"/>
    <w:rsid w:val="00C37193"/>
    <w:rsid w:val="00C37417"/>
    <w:rsid w:val="00C37F06"/>
    <w:rsid w:val="00C42D98"/>
    <w:rsid w:val="00C442F8"/>
    <w:rsid w:val="00C44376"/>
    <w:rsid w:val="00C445E9"/>
    <w:rsid w:val="00C44EAD"/>
    <w:rsid w:val="00C45978"/>
    <w:rsid w:val="00C45F13"/>
    <w:rsid w:val="00C46E21"/>
    <w:rsid w:val="00C50074"/>
    <w:rsid w:val="00C51004"/>
    <w:rsid w:val="00C51D70"/>
    <w:rsid w:val="00C522AA"/>
    <w:rsid w:val="00C54CD3"/>
    <w:rsid w:val="00C55263"/>
    <w:rsid w:val="00C552CE"/>
    <w:rsid w:val="00C5796B"/>
    <w:rsid w:val="00C61718"/>
    <w:rsid w:val="00C61BBA"/>
    <w:rsid w:val="00C62E65"/>
    <w:rsid w:val="00C642EB"/>
    <w:rsid w:val="00C6535B"/>
    <w:rsid w:val="00C656A7"/>
    <w:rsid w:val="00C65B90"/>
    <w:rsid w:val="00C661B1"/>
    <w:rsid w:val="00C661D6"/>
    <w:rsid w:val="00C6737F"/>
    <w:rsid w:val="00C70E68"/>
    <w:rsid w:val="00C736B7"/>
    <w:rsid w:val="00C74CD8"/>
    <w:rsid w:val="00C75FA9"/>
    <w:rsid w:val="00C769D4"/>
    <w:rsid w:val="00C76BBA"/>
    <w:rsid w:val="00C7753E"/>
    <w:rsid w:val="00C77F86"/>
    <w:rsid w:val="00C8169F"/>
    <w:rsid w:val="00C81D56"/>
    <w:rsid w:val="00C82611"/>
    <w:rsid w:val="00C831A4"/>
    <w:rsid w:val="00C8343E"/>
    <w:rsid w:val="00C84969"/>
    <w:rsid w:val="00C8540B"/>
    <w:rsid w:val="00C85E34"/>
    <w:rsid w:val="00C87313"/>
    <w:rsid w:val="00C874C2"/>
    <w:rsid w:val="00C875C9"/>
    <w:rsid w:val="00C9025A"/>
    <w:rsid w:val="00C90F4A"/>
    <w:rsid w:val="00C9213A"/>
    <w:rsid w:val="00C9262E"/>
    <w:rsid w:val="00C92A28"/>
    <w:rsid w:val="00C941FC"/>
    <w:rsid w:val="00C94641"/>
    <w:rsid w:val="00C94A57"/>
    <w:rsid w:val="00C95355"/>
    <w:rsid w:val="00C95AA5"/>
    <w:rsid w:val="00C95F49"/>
    <w:rsid w:val="00C97005"/>
    <w:rsid w:val="00C973EE"/>
    <w:rsid w:val="00C978AD"/>
    <w:rsid w:val="00CA07A5"/>
    <w:rsid w:val="00CA0EF1"/>
    <w:rsid w:val="00CA1378"/>
    <w:rsid w:val="00CA166C"/>
    <w:rsid w:val="00CA2025"/>
    <w:rsid w:val="00CA3B01"/>
    <w:rsid w:val="00CA49D4"/>
    <w:rsid w:val="00CA67A3"/>
    <w:rsid w:val="00CB002B"/>
    <w:rsid w:val="00CB04C3"/>
    <w:rsid w:val="00CB1BBD"/>
    <w:rsid w:val="00CB21E8"/>
    <w:rsid w:val="00CB3A68"/>
    <w:rsid w:val="00CB62FD"/>
    <w:rsid w:val="00CB76DF"/>
    <w:rsid w:val="00CC0C72"/>
    <w:rsid w:val="00CC13CD"/>
    <w:rsid w:val="00CC1DCE"/>
    <w:rsid w:val="00CC223A"/>
    <w:rsid w:val="00CC32E8"/>
    <w:rsid w:val="00CC423B"/>
    <w:rsid w:val="00CC4637"/>
    <w:rsid w:val="00CC4F05"/>
    <w:rsid w:val="00CC5A39"/>
    <w:rsid w:val="00CC5C17"/>
    <w:rsid w:val="00CD0398"/>
    <w:rsid w:val="00CD13AF"/>
    <w:rsid w:val="00CD1BAB"/>
    <w:rsid w:val="00CD1F2B"/>
    <w:rsid w:val="00CD2246"/>
    <w:rsid w:val="00CD4A04"/>
    <w:rsid w:val="00CD5740"/>
    <w:rsid w:val="00CE04C4"/>
    <w:rsid w:val="00CE0E8C"/>
    <w:rsid w:val="00CE2FEE"/>
    <w:rsid w:val="00CE43D1"/>
    <w:rsid w:val="00CE4644"/>
    <w:rsid w:val="00CE5067"/>
    <w:rsid w:val="00CE5100"/>
    <w:rsid w:val="00CE5D06"/>
    <w:rsid w:val="00CE653B"/>
    <w:rsid w:val="00CE6FE3"/>
    <w:rsid w:val="00CE70B1"/>
    <w:rsid w:val="00CE79CA"/>
    <w:rsid w:val="00CE7AEA"/>
    <w:rsid w:val="00CE7CB6"/>
    <w:rsid w:val="00CF167B"/>
    <w:rsid w:val="00CF1B9D"/>
    <w:rsid w:val="00CF275D"/>
    <w:rsid w:val="00CF2832"/>
    <w:rsid w:val="00CF6B5C"/>
    <w:rsid w:val="00D01121"/>
    <w:rsid w:val="00D01178"/>
    <w:rsid w:val="00D01322"/>
    <w:rsid w:val="00D01E42"/>
    <w:rsid w:val="00D02048"/>
    <w:rsid w:val="00D024E7"/>
    <w:rsid w:val="00D03355"/>
    <w:rsid w:val="00D0344F"/>
    <w:rsid w:val="00D058DE"/>
    <w:rsid w:val="00D05D0A"/>
    <w:rsid w:val="00D10251"/>
    <w:rsid w:val="00D10FA8"/>
    <w:rsid w:val="00D11337"/>
    <w:rsid w:val="00D115DD"/>
    <w:rsid w:val="00D130E9"/>
    <w:rsid w:val="00D16DDD"/>
    <w:rsid w:val="00D213FA"/>
    <w:rsid w:val="00D218AA"/>
    <w:rsid w:val="00D21AC3"/>
    <w:rsid w:val="00D21E90"/>
    <w:rsid w:val="00D22247"/>
    <w:rsid w:val="00D2368D"/>
    <w:rsid w:val="00D2461B"/>
    <w:rsid w:val="00D2592D"/>
    <w:rsid w:val="00D268DE"/>
    <w:rsid w:val="00D272BA"/>
    <w:rsid w:val="00D27E27"/>
    <w:rsid w:val="00D301D8"/>
    <w:rsid w:val="00D3128A"/>
    <w:rsid w:val="00D3172E"/>
    <w:rsid w:val="00D3382A"/>
    <w:rsid w:val="00D355E4"/>
    <w:rsid w:val="00D3734E"/>
    <w:rsid w:val="00D37669"/>
    <w:rsid w:val="00D40371"/>
    <w:rsid w:val="00D40627"/>
    <w:rsid w:val="00D4474D"/>
    <w:rsid w:val="00D44B85"/>
    <w:rsid w:val="00D46477"/>
    <w:rsid w:val="00D46F9D"/>
    <w:rsid w:val="00D47E32"/>
    <w:rsid w:val="00D47E7C"/>
    <w:rsid w:val="00D503BC"/>
    <w:rsid w:val="00D507B0"/>
    <w:rsid w:val="00D50A31"/>
    <w:rsid w:val="00D53592"/>
    <w:rsid w:val="00D53625"/>
    <w:rsid w:val="00D53CA2"/>
    <w:rsid w:val="00D546D7"/>
    <w:rsid w:val="00D54A66"/>
    <w:rsid w:val="00D54A68"/>
    <w:rsid w:val="00D55722"/>
    <w:rsid w:val="00D55B61"/>
    <w:rsid w:val="00D57102"/>
    <w:rsid w:val="00D57C2F"/>
    <w:rsid w:val="00D62076"/>
    <w:rsid w:val="00D62D2C"/>
    <w:rsid w:val="00D63C12"/>
    <w:rsid w:val="00D6462E"/>
    <w:rsid w:val="00D64958"/>
    <w:rsid w:val="00D67376"/>
    <w:rsid w:val="00D67665"/>
    <w:rsid w:val="00D679D2"/>
    <w:rsid w:val="00D71369"/>
    <w:rsid w:val="00D7314F"/>
    <w:rsid w:val="00D7367E"/>
    <w:rsid w:val="00D736DB"/>
    <w:rsid w:val="00D7505D"/>
    <w:rsid w:val="00D759E8"/>
    <w:rsid w:val="00D764B5"/>
    <w:rsid w:val="00D76B89"/>
    <w:rsid w:val="00D827E2"/>
    <w:rsid w:val="00D82A75"/>
    <w:rsid w:val="00D866C1"/>
    <w:rsid w:val="00D871BB"/>
    <w:rsid w:val="00D8731F"/>
    <w:rsid w:val="00D90956"/>
    <w:rsid w:val="00D9227F"/>
    <w:rsid w:val="00D94A1A"/>
    <w:rsid w:val="00D94EBD"/>
    <w:rsid w:val="00D95081"/>
    <w:rsid w:val="00D95986"/>
    <w:rsid w:val="00D95A70"/>
    <w:rsid w:val="00D95FEB"/>
    <w:rsid w:val="00DA2F0C"/>
    <w:rsid w:val="00DA4507"/>
    <w:rsid w:val="00DA49C9"/>
    <w:rsid w:val="00DA70F1"/>
    <w:rsid w:val="00DA728C"/>
    <w:rsid w:val="00DA743F"/>
    <w:rsid w:val="00DB0A05"/>
    <w:rsid w:val="00DB0EEB"/>
    <w:rsid w:val="00DB1A06"/>
    <w:rsid w:val="00DB1AD7"/>
    <w:rsid w:val="00DB3504"/>
    <w:rsid w:val="00DB43D1"/>
    <w:rsid w:val="00DB45F3"/>
    <w:rsid w:val="00DB5124"/>
    <w:rsid w:val="00DB5B1E"/>
    <w:rsid w:val="00DB7B9C"/>
    <w:rsid w:val="00DB7F66"/>
    <w:rsid w:val="00DC1F68"/>
    <w:rsid w:val="00DC217A"/>
    <w:rsid w:val="00DC3590"/>
    <w:rsid w:val="00DC4768"/>
    <w:rsid w:val="00DD2E65"/>
    <w:rsid w:val="00DD3AE2"/>
    <w:rsid w:val="00DD4CF2"/>
    <w:rsid w:val="00DD764E"/>
    <w:rsid w:val="00DE1B23"/>
    <w:rsid w:val="00DE1B85"/>
    <w:rsid w:val="00DE1BD7"/>
    <w:rsid w:val="00DE302F"/>
    <w:rsid w:val="00DE3951"/>
    <w:rsid w:val="00DE45E3"/>
    <w:rsid w:val="00DE46AC"/>
    <w:rsid w:val="00DE5619"/>
    <w:rsid w:val="00DE6510"/>
    <w:rsid w:val="00DE7D8E"/>
    <w:rsid w:val="00DF00B9"/>
    <w:rsid w:val="00DF010A"/>
    <w:rsid w:val="00DF014C"/>
    <w:rsid w:val="00DF0919"/>
    <w:rsid w:val="00DF10C9"/>
    <w:rsid w:val="00DF1963"/>
    <w:rsid w:val="00DF65F8"/>
    <w:rsid w:val="00DF7F7F"/>
    <w:rsid w:val="00E0158F"/>
    <w:rsid w:val="00E02281"/>
    <w:rsid w:val="00E03424"/>
    <w:rsid w:val="00E04181"/>
    <w:rsid w:val="00E056D0"/>
    <w:rsid w:val="00E05DBC"/>
    <w:rsid w:val="00E06D4A"/>
    <w:rsid w:val="00E076A1"/>
    <w:rsid w:val="00E07CE8"/>
    <w:rsid w:val="00E07FD3"/>
    <w:rsid w:val="00E11CFF"/>
    <w:rsid w:val="00E1328F"/>
    <w:rsid w:val="00E143AD"/>
    <w:rsid w:val="00E16886"/>
    <w:rsid w:val="00E16D84"/>
    <w:rsid w:val="00E173FF"/>
    <w:rsid w:val="00E179A3"/>
    <w:rsid w:val="00E21219"/>
    <w:rsid w:val="00E21F77"/>
    <w:rsid w:val="00E236D0"/>
    <w:rsid w:val="00E23A07"/>
    <w:rsid w:val="00E2536E"/>
    <w:rsid w:val="00E27C2B"/>
    <w:rsid w:val="00E31283"/>
    <w:rsid w:val="00E31CF4"/>
    <w:rsid w:val="00E32658"/>
    <w:rsid w:val="00E32DA7"/>
    <w:rsid w:val="00E344CA"/>
    <w:rsid w:val="00E34547"/>
    <w:rsid w:val="00E3467C"/>
    <w:rsid w:val="00E3573C"/>
    <w:rsid w:val="00E36735"/>
    <w:rsid w:val="00E37000"/>
    <w:rsid w:val="00E37ECA"/>
    <w:rsid w:val="00E400B5"/>
    <w:rsid w:val="00E43079"/>
    <w:rsid w:val="00E430B3"/>
    <w:rsid w:val="00E43268"/>
    <w:rsid w:val="00E4535B"/>
    <w:rsid w:val="00E456C7"/>
    <w:rsid w:val="00E46744"/>
    <w:rsid w:val="00E468DE"/>
    <w:rsid w:val="00E46C28"/>
    <w:rsid w:val="00E46E11"/>
    <w:rsid w:val="00E470A3"/>
    <w:rsid w:val="00E513B8"/>
    <w:rsid w:val="00E5160F"/>
    <w:rsid w:val="00E5257E"/>
    <w:rsid w:val="00E52FE2"/>
    <w:rsid w:val="00E53A19"/>
    <w:rsid w:val="00E5613A"/>
    <w:rsid w:val="00E57070"/>
    <w:rsid w:val="00E5789F"/>
    <w:rsid w:val="00E57CEB"/>
    <w:rsid w:val="00E60020"/>
    <w:rsid w:val="00E609BE"/>
    <w:rsid w:val="00E60E4B"/>
    <w:rsid w:val="00E6161B"/>
    <w:rsid w:val="00E620C2"/>
    <w:rsid w:val="00E626FA"/>
    <w:rsid w:val="00E62967"/>
    <w:rsid w:val="00E63351"/>
    <w:rsid w:val="00E63412"/>
    <w:rsid w:val="00E6442F"/>
    <w:rsid w:val="00E66200"/>
    <w:rsid w:val="00E66AC3"/>
    <w:rsid w:val="00E700FC"/>
    <w:rsid w:val="00E714FB"/>
    <w:rsid w:val="00E71A8A"/>
    <w:rsid w:val="00E71FC8"/>
    <w:rsid w:val="00E72810"/>
    <w:rsid w:val="00E72E99"/>
    <w:rsid w:val="00E7359C"/>
    <w:rsid w:val="00E73E8B"/>
    <w:rsid w:val="00E75494"/>
    <w:rsid w:val="00E75EB2"/>
    <w:rsid w:val="00E767AB"/>
    <w:rsid w:val="00E77453"/>
    <w:rsid w:val="00E77BE0"/>
    <w:rsid w:val="00E77CA9"/>
    <w:rsid w:val="00E802AE"/>
    <w:rsid w:val="00E8186E"/>
    <w:rsid w:val="00E81C49"/>
    <w:rsid w:val="00E82B45"/>
    <w:rsid w:val="00E82E01"/>
    <w:rsid w:val="00E84A8F"/>
    <w:rsid w:val="00E84E01"/>
    <w:rsid w:val="00E863D3"/>
    <w:rsid w:val="00E86B82"/>
    <w:rsid w:val="00E905B2"/>
    <w:rsid w:val="00E906B4"/>
    <w:rsid w:val="00E90D7C"/>
    <w:rsid w:val="00E9145B"/>
    <w:rsid w:val="00E91597"/>
    <w:rsid w:val="00E926A6"/>
    <w:rsid w:val="00E93784"/>
    <w:rsid w:val="00E93967"/>
    <w:rsid w:val="00E93A3B"/>
    <w:rsid w:val="00E93F70"/>
    <w:rsid w:val="00E9536D"/>
    <w:rsid w:val="00E953C8"/>
    <w:rsid w:val="00E95A68"/>
    <w:rsid w:val="00E95CA4"/>
    <w:rsid w:val="00E970B4"/>
    <w:rsid w:val="00EA02D2"/>
    <w:rsid w:val="00EA1733"/>
    <w:rsid w:val="00EA1D95"/>
    <w:rsid w:val="00EA2DB2"/>
    <w:rsid w:val="00EA396B"/>
    <w:rsid w:val="00EA45A6"/>
    <w:rsid w:val="00EA5CB7"/>
    <w:rsid w:val="00EA6072"/>
    <w:rsid w:val="00EB0298"/>
    <w:rsid w:val="00EB031A"/>
    <w:rsid w:val="00EB0D32"/>
    <w:rsid w:val="00EB1161"/>
    <w:rsid w:val="00EB1E3C"/>
    <w:rsid w:val="00EB3839"/>
    <w:rsid w:val="00EB3CFB"/>
    <w:rsid w:val="00EB4592"/>
    <w:rsid w:val="00EB496A"/>
    <w:rsid w:val="00EB54F0"/>
    <w:rsid w:val="00EB6EF4"/>
    <w:rsid w:val="00EB7B09"/>
    <w:rsid w:val="00EC01B6"/>
    <w:rsid w:val="00EC0409"/>
    <w:rsid w:val="00EC0A3D"/>
    <w:rsid w:val="00EC0AEF"/>
    <w:rsid w:val="00EC2D91"/>
    <w:rsid w:val="00EC3A8F"/>
    <w:rsid w:val="00EC406A"/>
    <w:rsid w:val="00EC43FF"/>
    <w:rsid w:val="00EC4460"/>
    <w:rsid w:val="00EC451B"/>
    <w:rsid w:val="00EC51CD"/>
    <w:rsid w:val="00EC5A93"/>
    <w:rsid w:val="00EC5B42"/>
    <w:rsid w:val="00EC5D34"/>
    <w:rsid w:val="00EC7648"/>
    <w:rsid w:val="00ED03C5"/>
    <w:rsid w:val="00ED05AC"/>
    <w:rsid w:val="00ED0CDB"/>
    <w:rsid w:val="00ED1758"/>
    <w:rsid w:val="00ED1FE1"/>
    <w:rsid w:val="00ED27FD"/>
    <w:rsid w:val="00ED2A43"/>
    <w:rsid w:val="00ED2A6F"/>
    <w:rsid w:val="00ED482C"/>
    <w:rsid w:val="00ED5B69"/>
    <w:rsid w:val="00ED7ABA"/>
    <w:rsid w:val="00EE014A"/>
    <w:rsid w:val="00EE0E9B"/>
    <w:rsid w:val="00EE41EB"/>
    <w:rsid w:val="00EE5643"/>
    <w:rsid w:val="00EE5D36"/>
    <w:rsid w:val="00EE5F8C"/>
    <w:rsid w:val="00EE661F"/>
    <w:rsid w:val="00EE6A89"/>
    <w:rsid w:val="00EE70A7"/>
    <w:rsid w:val="00EF0D72"/>
    <w:rsid w:val="00EF5027"/>
    <w:rsid w:val="00EF6F2B"/>
    <w:rsid w:val="00F017BD"/>
    <w:rsid w:val="00F028A4"/>
    <w:rsid w:val="00F0309F"/>
    <w:rsid w:val="00F0435F"/>
    <w:rsid w:val="00F045F3"/>
    <w:rsid w:val="00F05918"/>
    <w:rsid w:val="00F05E01"/>
    <w:rsid w:val="00F068A3"/>
    <w:rsid w:val="00F06DFF"/>
    <w:rsid w:val="00F06FA2"/>
    <w:rsid w:val="00F071D3"/>
    <w:rsid w:val="00F07880"/>
    <w:rsid w:val="00F07F6C"/>
    <w:rsid w:val="00F1001B"/>
    <w:rsid w:val="00F10BD3"/>
    <w:rsid w:val="00F12281"/>
    <w:rsid w:val="00F1245B"/>
    <w:rsid w:val="00F1301E"/>
    <w:rsid w:val="00F1575D"/>
    <w:rsid w:val="00F16302"/>
    <w:rsid w:val="00F179BB"/>
    <w:rsid w:val="00F20F9D"/>
    <w:rsid w:val="00F216D6"/>
    <w:rsid w:val="00F23B7D"/>
    <w:rsid w:val="00F240C1"/>
    <w:rsid w:val="00F2522E"/>
    <w:rsid w:val="00F2584E"/>
    <w:rsid w:val="00F27594"/>
    <w:rsid w:val="00F3152F"/>
    <w:rsid w:val="00F31E2F"/>
    <w:rsid w:val="00F32462"/>
    <w:rsid w:val="00F3293E"/>
    <w:rsid w:val="00F32CE3"/>
    <w:rsid w:val="00F33205"/>
    <w:rsid w:val="00F3591A"/>
    <w:rsid w:val="00F36CF1"/>
    <w:rsid w:val="00F4145C"/>
    <w:rsid w:val="00F41746"/>
    <w:rsid w:val="00F42D99"/>
    <w:rsid w:val="00F42DC9"/>
    <w:rsid w:val="00F44582"/>
    <w:rsid w:val="00F452A1"/>
    <w:rsid w:val="00F453A2"/>
    <w:rsid w:val="00F459F8"/>
    <w:rsid w:val="00F47845"/>
    <w:rsid w:val="00F47EB4"/>
    <w:rsid w:val="00F51F72"/>
    <w:rsid w:val="00F52CF7"/>
    <w:rsid w:val="00F5496C"/>
    <w:rsid w:val="00F54D07"/>
    <w:rsid w:val="00F5610A"/>
    <w:rsid w:val="00F567A9"/>
    <w:rsid w:val="00F56C59"/>
    <w:rsid w:val="00F57D4A"/>
    <w:rsid w:val="00F603B9"/>
    <w:rsid w:val="00F60691"/>
    <w:rsid w:val="00F62AC0"/>
    <w:rsid w:val="00F636B2"/>
    <w:rsid w:val="00F63D17"/>
    <w:rsid w:val="00F64E2E"/>
    <w:rsid w:val="00F66138"/>
    <w:rsid w:val="00F665C8"/>
    <w:rsid w:val="00F70E46"/>
    <w:rsid w:val="00F7205F"/>
    <w:rsid w:val="00F73A14"/>
    <w:rsid w:val="00F768EA"/>
    <w:rsid w:val="00F76A94"/>
    <w:rsid w:val="00F76FED"/>
    <w:rsid w:val="00F77194"/>
    <w:rsid w:val="00F771EE"/>
    <w:rsid w:val="00F77337"/>
    <w:rsid w:val="00F77CCA"/>
    <w:rsid w:val="00F77E81"/>
    <w:rsid w:val="00F82969"/>
    <w:rsid w:val="00F82ECA"/>
    <w:rsid w:val="00F82F1B"/>
    <w:rsid w:val="00F83392"/>
    <w:rsid w:val="00F83A8F"/>
    <w:rsid w:val="00F8451E"/>
    <w:rsid w:val="00F84632"/>
    <w:rsid w:val="00F84974"/>
    <w:rsid w:val="00F859B2"/>
    <w:rsid w:val="00F87315"/>
    <w:rsid w:val="00F878BF"/>
    <w:rsid w:val="00F87B68"/>
    <w:rsid w:val="00F92166"/>
    <w:rsid w:val="00F92782"/>
    <w:rsid w:val="00F92EC5"/>
    <w:rsid w:val="00F93405"/>
    <w:rsid w:val="00F95F06"/>
    <w:rsid w:val="00F95F83"/>
    <w:rsid w:val="00F97386"/>
    <w:rsid w:val="00FA10FA"/>
    <w:rsid w:val="00FA1B57"/>
    <w:rsid w:val="00FA23EA"/>
    <w:rsid w:val="00FA262D"/>
    <w:rsid w:val="00FA26EB"/>
    <w:rsid w:val="00FA3D04"/>
    <w:rsid w:val="00FA3E77"/>
    <w:rsid w:val="00FA4C38"/>
    <w:rsid w:val="00FA60CB"/>
    <w:rsid w:val="00FA6ED1"/>
    <w:rsid w:val="00FB07C8"/>
    <w:rsid w:val="00FB2C04"/>
    <w:rsid w:val="00FB2D29"/>
    <w:rsid w:val="00FB34E9"/>
    <w:rsid w:val="00FB3D39"/>
    <w:rsid w:val="00FB56B1"/>
    <w:rsid w:val="00FB6490"/>
    <w:rsid w:val="00FB6920"/>
    <w:rsid w:val="00FC0298"/>
    <w:rsid w:val="00FC0C77"/>
    <w:rsid w:val="00FC1169"/>
    <w:rsid w:val="00FC3C34"/>
    <w:rsid w:val="00FC3ED7"/>
    <w:rsid w:val="00FC4A2D"/>
    <w:rsid w:val="00FC4B4A"/>
    <w:rsid w:val="00FC4F75"/>
    <w:rsid w:val="00FC5879"/>
    <w:rsid w:val="00FC5939"/>
    <w:rsid w:val="00FC691A"/>
    <w:rsid w:val="00FC71A8"/>
    <w:rsid w:val="00FC7C6A"/>
    <w:rsid w:val="00FD1A39"/>
    <w:rsid w:val="00FD1BE7"/>
    <w:rsid w:val="00FD2695"/>
    <w:rsid w:val="00FD2E57"/>
    <w:rsid w:val="00FD3488"/>
    <w:rsid w:val="00FD37BC"/>
    <w:rsid w:val="00FD43F4"/>
    <w:rsid w:val="00FD7010"/>
    <w:rsid w:val="00FD7293"/>
    <w:rsid w:val="00FE07CC"/>
    <w:rsid w:val="00FE1020"/>
    <w:rsid w:val="00FE11E6"/>
    <w:rsid w:val="00FE11F5"/>
    <w:rsid w:val="00FE128D"/>
    <w:rsid w:val="00FE2462"/>
    <w:rsid w:val="00FE2DDF"/>
    <w:rsid w:val="00FE44F6"/>
    <w:rsid w:val="00FE46B7"/>
    <w:rsid w:val="00FE6A7C"/>
    <w:rsid w:val="00FE7143"/>
    <w:rsid w:val="00FF159A"/>
    <w:rsid w:val="00FF2257"/>
    <w:rsid w:val="00FF25FF"/>
    <w:rsid w:val="00FF29F4"/>
    <w:rsid w:val="00FF2A0F"/>
    <w:rsid w:val="00FF2A24"/>
    <w:rsid w:val="00FF4644"/>
    <w:rsid w:val="00FF4655"/>
    <w:rsid w:val="00FF5015"/>
    <w:rsid w:val="00FF504A"/>
    <w:rsid w:val="00FF519C"/>
    <w:rsid w:val="00FF7B14"/>
    <w:rsid w:val="060E35DA"/>
    <w:rsid w:val="0C3032DF"/>
    <w:rsid w:val="0F1669F0"/>
    <w:rsid w:val="10093E5F"/>
    <w:rsid w:val="13034B4D"/>
    <w:rsid w:val="137D1A0C"/>
    <w:rsid w:val="176A79A2"/>
    <w:rsid w:val="17E75F6A"/>
    <w:rsid w:val="193F58F5"/>
    <w:rsid w:val="19F27276"/>
    <w:rsid w:val="1A192915"/>
    <w:rsid w:val="1CD35522"/>
    <w:rsid w:val="1D380C3B"/>
    <w:rsid w:val="1F833721"/>
    <w:rsid w:val="23992AA4"/>
    <w:rsid w:val="259D051D"/>
    <w:rsid w:val="28075886"/>
    <w:rsid w:val="2A9C3E13"/>
    <w:rsid w:val="30C35A7F"/>
    <w:rsid w:val="376A3EC1"/>
    <w:rsid w:val="3A2D5178"/>
    <w:rsid w:val="3B563519"/>
    <w:rsid w:val="3C555DFC"/>
    <w:rsid w:val="3D074D59"/>
    <w:rsid w:val="3DD86BAA"/>
    <w:rsid w:val="3ED73707"/>
    <w:rsid w:val="458A4B1F"/>
    <w:rsid w:val="46186AF9"/>
    <w:rsid w:val="479E71F4"/>
    <w:rsid w:val="4E220A91"/>
    <w:rsid w:val="4E502559"/>
    <w:rsid w:val="4F586B0D"/>
    <w:rsid w:val="50DA75F0"/>
    <w:rsid w:val="52BE30EA"/>
    <w:rsid w:val="536522FF"/>
    <w:rsid w:val="54BC0430"/>
    <w:rsid w:val="565D5F98"/>
    <w:rsid w:val="579F2712"/>
    <w:rsid w:val="581563B0"/>
    <w:rsid w:val="5B3A4462"/>
    <w:rsid w:val="5C5A0FD7"/>
    <w:rsid w:val="5CCF5737"/>
    <w:rsid w:val="5E592A62"/>
    <w:rsid w:val="60987F3C"/>
    <w:rsid w:val="643A375C"/>
    <w:rsid w:val="688C0FDC"/>
    <w:rsid w:val="690848D9"/>
    <w:rsid w:val="6B405AFC"/>
    <w:rsid w:val="6B7603BA"/>
    <w:rsid w:val="6BB44ED4"/>
    <w:rsid w:val="6BFB7C75"/>
    <w:rsid w:val="6CF33566"/>
    <w:rsid w:val="6DA772C3"/>
    <w:rsid w:val="70B71171"/>
    <w:rsid w:val="748E2EBD"/>
    <w:rsid w:val="75192C64"/>
    <w:rsid w:val="79B56FAF"/>
    <w:rsid w:val="7AA3178A"/>
    <w:rsid w:val="7B24209E"/>
    <w:rsid w:val="7BE533EC"/>
    <w:rsid w:val="7C9E4F77"/>
    <w:rsid w:val="7D957F29"/>
    <w:rsid w:val="7E525E1A"/>
    <w:rsid w:val="7EF41C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14:ligatures w14:val="standardContextual"/>
    </w:rPr>
  </w:style>
  <w:style w:type="paragraph" w:styleId="3">
    <w:name w:val="heading 1"/>
    <w:basedOn w:val="1"/>
    <w:next w:val="1"/>
    <w:link w:val="32"/>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33"/>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34"/>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35"/>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36"/>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8">
    <w:name w:val="heading 6"/>
    <w:basedOn w:val="1"/>
    <w:next w:val="1"/>
    <w:link w:val="37"/>
    <w:semiHidden/>
    <w:unhideWhenUsed/>
    <w:qFormat/>
    <w:uiPriority w:val="9"/>
    <w:pPr>
      <w:keepNext/>
      <w:keepLines/>
      <w:spacing w:before="40"/>
      <w:outlineLvl w:val="5"/>
    </w:pPr>
    <w:rPr>
      <w:rFonts w:cstheme="majorBidi"/>
      <w:b/>
      <w:bCs/>
      <w:color w:val="104862" w:themeColor="accent1" w:themeShade="BF"/>
    </w:rPr>
  </w:style>
  <w:style w:type="paragraph" w:styleId="9">
    <w:name w:val="heading 7"/>
    <w:basedOn w:val="1"/>
    <w:next w:val="1"/>
    <w:link w:val="38"/>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39"/>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40"/>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widowControl w:val="0"/>
      <w:adjustRightInd/>
      <w:snapToGrid/>
      <w:spacing w:after="0" w:line="360" w:lineRule="auto"/>
      <w:ind w:firstLine="420"/>
      <w:jc w:val="both"/>
    </w:pPr>
    <w:rPr>
      <w:rFonts w:ascii="Times New Roman" w:hAnsi="Times New Roman" w:eastAsia="仿宋" w:cs="Times New Roman"/>
      <w:kern w:val="2"/>
      <w:sz w:val="28"/>
      <w:szCs w:val="20"/>
      <w14:ligatures w14:val="none"/>
    </w:rPr>
  </w:style>
  <w:style w:type="paragraph" w:styleId="12">
    <w:name w:val="toc 7"/>
    <w:basedOn w:val="1"/>
    <w:next w:val="1"/>
    <w:autoRedefine/>
    <w:unhideWhenUsed/>
    <w:qFormat/>
    <w:uiPriority w:val="39"/>
    <w:pPr>
      <w:widowControl w:val="0"/>
      <w:adjustRightInd/>
      <w:snapToGrid/>
      <w:spacing w:after="160" w:line="278" w:lineRule="auto"/>
      <w:ind w:left="2520" w:leftChars="1200"/>
    </w:pPr>
    <w:rPr>
      <w:rFonts w:asciiTheme="minorHAnsi" w:hAnsiTheme="minorHAnsi" w:eastAsiaTheme="minorEastAsia"/>
      <w:kern w:val="2"/>
      <w:szCs w:val="24"/>
    </w:rPr>
  </w:style>
  <w:style w:type="paragraph" w:styleId="13">
    <w:name w:val="annotation text"/>
    <w:basedOn w:val="1"/>
    <w:semiHidden/>
    <w:unhideWhenUsed/>
    <w:qFormat/>
    <w:uiPriority w:val="99"/>
  </w:style>
  <w:style w:type="paragraph" w:styleId="14">
    <w:name w:val="toc 5"/>
    <w:basedOn w:val="1"/>
    <w:next w:val="1"/>
    <w:autoRedefine/>
    <w:unhideWhenUsed/>
    <w:qFormat/>
    <w:uiPriority w:val="39"/>
    <w:pPr>
      <w:widowControl w:val="0"/>
      <w:adjustRightInd/>
      <w:snapToGrid/>
      <w:spacing w:after="160" w:line="278" w:lineRule="auto"/>
      <w:ind w:left="1680" w:leftChars="800"/>
    </w:pPr>
    <w:rPr>
      <w:rFonts w:asciiTheme="minorHAnsi" w:hAnsiTheme="minorHAnsi" w:eastAsiaTheme="minorEastAsia"/>
      <w:kern w:val="2"/>
      <w:szCs w:val="24"/>
    </w:rPr>
  </w:style>
  <w:style w:type="paragraph" w:styleId="15">
    <w:name w:val="toc 3"/>
    <w:basedOn w:val="1"/>
    <w:next w:val="1"/>
    <w:autoRedefine/>
    <w:unhideWhenUsed/>
    <w:qFormat/>
    <w:uiPriority w:val="39"/>
    <w:pPr>
      <w:ind w:left="840" w:leftChars="400"/>
    </w:pPr>
  </w:style>
  <w:style w:type="paragraph" w:styleId="16">
    <w:name w:val="Plain Text"/>
    <w:basedOn w:val="1"/>
    <w:next w:val="1"/>
    <w:link w:val="55"/>
    <w:unhideWhenUsed/>
    <w:qFormat/>
    <w:uiPriority w:val="99"/>
    <w:pPr>
      <w:widowControl w:val="0"/>
      <w:adjustRightInd/>
      <w:snapToGrid/>
      <w:spacing w:after="0"/>
      <w:jc w:val="both"/>
    </w:pPr>
    <w:rPr>
      <w:rFonts w:ascii="宋体" w:hAnsi="Times New Roman" w:eastAsia="宋体" w:cs="Courier New"/>
      <w:kern w:val="2"/>
      <w:sz w:val="21"/>
      <w:szCs w:val="21"/>
      <w14:ligatures w14:val="none"/>
    </w:rPr>
  </w:style>
  <w:style w:type="paragraph" w:styleId="17">
    <w:name w:val="toc 8"/>
    <w:basedOn w:val="1"/>
    <w:next w:val="1"/>
    <w:autoRedefine/>
    <w:unhideWhenUsed/>
    <w:qFormat/>
    <w:uiPriority w:val="39"/>
    <w:pPr>
      <w:widowControl w:val="0"/>
      <w:adjustRightInd/>
      <w:snapToGrid/>
      <w:spacing w:after="160" w:line="278" w:lineRule="auto"/>
      <w:ind w:left="2940" w:leftChars="1400"/>
    </w:pPr>
    <w:rPr>
      <w:rFonts w:asciiTheme="minorHAnsi" w:hAnsiTheme="minorHAnsi" w:eastAsiaTheme="minorEastAsia"/>
      <w:kern w:val="2"/>
      <w:szCs w:val="24"/>
    </w:rPr>
  </w:style>
  <w:style w:type="paragraph" w:styleId="18">
    <w:name w:val="footer"/>
    <w:basedOn w:val="1"/>
    <w:link w:val="51"/>
    <w:unhideWhenUsed/>
    <w:qFormat/>
    <w:uiPriority w:val="99"/>
    <w:pPr>
      <w:tabs>
        <w:tab w:val="center" w:pos="4153"/>
        <w:tab w:val="right" w:pos="8306"/>
      </w:tabs>
    </w:pPr>
    <w:rPr>
      <w:sz w:val="18"/>
      <w:szCs w:val="18"/>
    </w:rPr>
  </w:style>
  <w:style w:type="paragraph" w:styleId="19">
    <w:name w:val="header"/>
    <w:basedOn w:val="1"/>
    <w:link w:val="50"/>
    <w:unhideWhenUsed/>
    <w:qFormat/>
    <w:uiPriority w:val="99"/>
    <w:pPr>
      <w:tabs>
        <w:tab w:val="center" w:pos="4153"/>
        <w:tab w:val="right" w:pos="8306"/>
      </w:tabs>
      <w:jc w:val="center"/>
    </w:pPr>
    <w:rPr>
      <w:sz w:val="18"/>
      <w:szCs w:val="18"/>
    </w:rPr>
  </w:style>
  <w:style w:type="paragraph" w:styleId="20">
    <w:name w:val="toc 1"/>
    <w:basedOn w:val="1"/>
    <w:next w:val="1"/>
    <w:autoRedefine/>
    <w:unhideWhenUsed/>
    <w:qFormat/>
    <w:uiPriority w:val="39"/>
    <w:pPr>
      <w:tabs>
        <w:tab w:val="right" w:leader="dot" w:pos="8296"/>
      </w:tabs>
    </w:pPr>
    <w:rPr>
      <w:rFonts w:ascii="黑体" w:hAnsi="黑体" w:eastAsia="黑体"/>
      <w:sz w:val="28"/>
      <w:szCs w:val="28"/>
    </w:rPr>
  </w:style>
  <w:style w:type="paragraph" w:styleId="21">
    <w:name w:val="toc 4"/>
    <w:basedOn w:val="1"/>
    <w:next w:val="1"/>
    <w:autoRedefine/>
    <w:unhideWhenUsed/>
    <w:qFormat/>
    <w:uiPriority w:val="39"/>
    <w:pPr>
      <w:widowControl w:val="0"/>
      <w:adjustRightInd/>
      <w:snapToGrid/>
      <w:spacing w:after="160" w:line="278" w:lineRule="auto"/>
      <w:ind w:left="1260" w:leftChars="600"/>
    </w:pPr>
    <w:rPr>
      <w:rFonts w:asciiTheme="minorHAnsi" w:hAnsiTheme="minorHAnsi" w:eastAsiaTheme="minorEastAsia"/>
      <w:kern w:val="2"/>
      <w:szCs w:val="24"/>
    </w:rPr>
  </w:style>
  <w:style w:type="paragraph" w:styleId="22">
    <w:name w:val="Subtitle"/>
    <w:basedOn w:val="1"/>
    <w:next w:val="1"/>
    <w:link w:val="42"/>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3">
    <w:name w:val="toc 6"/>
    <w:basedOn w:val="1"/>
    <w:next w:val="1"/>
    <w:autoRedefine/>
    <w:unhideWhenUsed/>
    <w:qFormat/>
    <w:uiPriority w:val="39"/>
    <w:pPr>
      <w:widowControl w:val="0"/>
      <w:adjustRightInd/>
      <w:snapToGrid/>
      <w:spacing w:after="160" w:line="278" w:lineRule="auto"/>
      <w:ind w:left="2100" w:leftChars="1000"/>
    </w:pPr>
    <w:rPr>
      <w:rFonts w:asciiTheme="minorHAnsi" w:hAnsiTheme="minorHAnsi" w:eastAsiaTheme="minorEastAsia"/>
      <w:kern w:val="2"/>
      <w:szCs w:val="24"/>
    </w:rPr>
  </w:style>
  <w:style w:type="paragraph" w:styleId="24">
    <w:name w:val="toc 2"/>
    <w:basedOn w:val="1"/>
    <w:next w:val="1"/>
    <w:autoRedefine/>
    <w:unhideWhenUsed/>
    <w:qFormat/>
    <w:uiPriority w:val="39"/>
    <w:pPr>
      <w:tabs>
        <w:tab w:val="right" w:leader="dot" w:pos="8296"/>
      </w:tabs>
      <w:ind w:left="440" w:leftChars="200"/>
    </w:pPr>
    <w:rPr>
      <w:rFonts w:ascii="黑体" w:hAnsi="黑体" w:eastAsia="黑体" w:cs="楷体_GB2312"/>
      <w:b/>
      <w:bCs/>
      <w:sz w:val="28"/>
      <w:szCs w:val="28"/>
      <w14:ligatures w14:val="none"/>
    </w:rPr>
  </w:style>
  <w:style w:type="paragraph" w:styleId="25">
    <w:name w:val="toc 9"/>
    <w:basedOn w:val="1"/>
    <w:next w:val="1"/>
    <w:autoRedefine/>
    <w:unhideWhenUsed/>
    <w:qFormat/>
    <w:uiPriority w:val="39"/>
    <w:pPr>
      <w:widowControl w:val="0"/>
      <w:adjustRightInd/>
      <w:snapToGrid/>
      <w:spacing w:after="160" w:line="278" w:lineRule="auto"/>
      <w:ind w:left="3360" w:leftChars="1600"/>
    </w:pPr>
    <w:rPr>
      <w:rFonts w:asciiTheme="minorHAnsi" w:hAnsiTheme="minorHAnsi" w:eastAsiaTheme="minorEastAsia"/>
      <w:kern w:val="2"/>
      <w:szCs w:val="24"/>
    </w:rPr>
  </w:style>
  <w:style w:type="paragraph" w:styleId="26">
    <w:name w:val="Title"/>
    <w:basedOn w:val="1"/>
    <w:next w:val="1"/>
    <w:link w:val="41"/>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8">
    <w:name w:val="Table Grid"/>
    <w:basedOn w:val="27"/>
    <w:qFormat/>
    <w:uiPriority w:val="59"/>
    <w:pPr>
      <w:spacing w:after="160" w:line="278" w:lineRule="auto"/>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FollowedHyperlink"/>
    <w:basedOn w:val="29"/>
    <w:semiHidden/>
    <w:unhideWhenUsed/>
    <w:qFormat/>
    <w:uiPriority w:val="99"/>
    <w:rPr>
      <w:color w:val="96607D"/>
      <w:u w:val="single"/>
    </w:rPr>
  </w:style>
  <w:style w:type="character" w:styleId="31">
    <w:name w:val="Hyperlink"/>
    <w:basedOn w:val="29"/>
    <w:unhideWhenUsed/>
    <w:qFormat/>
    <w:uiPriority w:val="99"/>
    <w:rPr>
      <w:color w:val="467886" w:themeColor="hyperlink"/>
      <w:u w:val="single"/>
      <w14:textFill>
        <w14:solidFill>
          <w14:schemeClr w14:val="hlink"/>
        </w14:solidFill>
      </w14:textFill>
    </w:rPr>
  </w:style>
  <w:style w:type="character" w:customStyle="1" w:styleId="32">
    <w:name w:val="标题 1 字符"/>
    <w:basedOn w:val="29"/>
    <w:link w:val="3"/>
    <w:qFormat/>
    <w:uiPriority w:val="9"/>
    <w:rPr>
      <w:rFonts w:asciiTheme="majorHAnsi" w:hAnsiTheme="majorHAnsi" w:eastAsiaTheme="majorEastAsia" w:cstheme="majorBidi"/>
      <w:color w:val="104862" w:themeColor="accent1" w:themeShade="BF"/>
      <w:sz w:val="48"/>
      <w:szCs w:val="48"/>
    </w:rPr>
  </w:style>
  <w:style w:type="character" w:customStyle="1" w:styleId="33">
    <w:name w:val="标题 2 字符"/>
    <w:basedOn w:val="29"/>
    <w:link w:val="4"/>
    <w:semiHidden/>
    <w:qFormat/>
    <w:uiPriority w:val="9"/>
    <w:rPr>
      <w:rFonts w:asciiTheme="majorHAnsi" w:hAnsiTheme="majorHAnsi" w:eastAsiaTheme="majorEastAsia" w:cstheme="majorBidi"/>
      <w:color w:val="104862" w:themeColor="accent1" w:themeShade="BF"/>
      <w:sz w:val="40"/>
      <w:szCs w:val="40"/>
    </w:rPr>
  </w:style>
  <w:style w:type="character" w:customStyle="1" w:styleId="34">
    <w:name w:val="标题 3 字符"/>
    <w:basedOn w:val="29"/>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35">
    <w:name w:val="标题 4 字符"/>
    <w:basedOn w:val="29"/>
    <w:link w:val="6"/>
    <w:semiHidden/>
    <w:qFormat/>
    <w:uiPriority w:val="9"/>
    <w:rPr>
      <w:rFonts w:cstheme="majorBidi"/>
      <w:color w:val="104862" w:themeColor="accent1" w:themeShade="BF"/>
      <w:sz w:val="28"/>
      <w:szCs w:val="28"/>
    </w:rPr>
  </w:style>
  <w:style w:type="character" w:customStyle="1" w:styleId="36">
    <w:name w:val="标题 5 字符"/>
    <w:basedOn w:val="29"/>
    <w:link w:val="7"/>
    <w:semiHidden/>
    <w:qFormat/>
    <w:uiPriority w:val="9"/>
    <w:rPr>
      <w:rFonts w:cstheme="majorBidi"/>
      <w:color w:val="104862" w:themeColor="accent1" w:themeShade="BF"/>
      <w:sz w:val="24"/>
      <w:szCs w:val="24"/>
    </w:rPr>
  </w:style>
  <w:style w:type="character" w:customStyle="1" w:styleId="37">
    <w:name w:val="标题 6 字符"/>
    <w:basedOn w:val="29"/>
    <w:link w:val="8"/>
    <w:semiHidden/>
    <w:qFormat/>
    <w:uiPriority w:val="9"/>
    <w:rPr>
      <w:rFonts w:cstheme="majorBidi"/>
      <w:b/>
      <w:bCs/>
      <w:color w:val="104862" w:themeColor="accent1" w:themeShade="BF"/>
    </w:rPr>
  </w:style>
  <w:style w:type="character" w:customStyle="1" w:styleId="38">
    <w:name w:val="标题 7 字符"/>
    <w:basedOn w:val="29"/>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9">
    <w:name w:val="标题 8 字符"/>
    <w:basedOn w:val="29"/>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0">
    <w:name w:val="标题 9 字符"/>
    <w:basedOn w:val="29"/>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1">
    <w:name w:val="标题 字符"/>
    <w:basedOn w:val="29"/>
    <w:link w:val="26"/>
    <w:qFormat/>
    <w:uiPriority w:val="10"/>
    <w:rPr>
      <w:rFonts w:asciiTheme="majorHAnsi" w:hAnsiTheme="majorHAnsi" w:eastAsiaTheme="majorEastAsia" w:cstheme="majorBidi"/>
      <w:spacing w:val="-10"/>
      <w:kern w:val="28"/>
      <w:sz w:val="56"/>
      <w:szCs w:val="56"/>
    </w:rPr>
  </w:style>
  <w:style w:type="character" w:customStyle="1" w:styleId="42">
    <w:name w:val="副标题 字符"/>
    <w:basedOn w:val="29"/>
    <w:link w:val="22"/>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3">
    <w:name w:val="Quote"/>
    <w:basedOn w:val="1"/>
    <w:next w:val="1"/>
    <w:link w:val="44"/>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44">
    <w:name w:val="引用 字符"/>
    <w:basedOn w:val="29"/>
    <w:link w:val="43"/>
    <w:qFormat/>
    <w:uiPriority w:val="29"/>
    <w:rPr>
      <w:i/>
      <w:iCs/>
      <w:color w:val="404040" w:themeColor="text1" w:themeTint="BF"/>
      <w14:textFill>
        <w14:solidFill>
          <w14:schemeClr w14:val="tx1">
            <w14:lumMod w14:val="75000"/>
            <w14:lumOff w14:val="25000"/>
          </w14:schemeClr>
        </w14:solidFill>
      </w14:textFill>
    </w:rPr>
  </w:style>
  <w:style w:type="paragraph" w:styleId="45">
    <w:name w:val="List Paragraph"/>
    <w:basedOn w:val="1"/>
    <w:qFormat/>
    <w:uiPriority w:val="34"/>
    <w:pPr>
      <w:ind w:left="720"/>
      <w:contextualSpacing/>
    </w:pPr>
  </w:style>
  <w:style w:type="character" w:customStyle="1" w:styleId="46">
    <w:name w:val="明显强调1"/>
    <w:basedOn w:val="29"/>
    <w:qFormat/>
    <w:uiPriority w:val="21"/>
    <w:rPr>
      <w:i/>
      <w:iCs/>
      <w:color w:val="104862" w:themeColor="accent1" w:themeShade="BF"/>
    </w:rPr>
  </w:style>
  <w:style w:type="paragraph" w:styleId="47">
    <w:name w:val="Intense Quote"/>
    <w:basedOn w:val="1"/>
    <w:next w:val="1"/>
    <w:link w:val="48"/>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8">
    <w:name w:val="明显引用 字符"/>
    <w:basedOn w:val="29"/>
    <w:link w:val="47"/>
    <w:qFormat/>
    <w:uiPriority w:val="30"/>
    <w:rPr>
      <w:i/>
      <w:iCs/>
      <w:color w:val="104862" w:themeColor="accent1" w:themeShade="BF"/>
    </w:rPr>
  </w:style>
  <w:style w:type="character" w:customStyle="1" w:styleId="49">
    <w:name w:val="明显参考1"/>
    <w:basedOn w:val="29"/>
    <w:qFormat/>
    <w:uiPriority w:val="32"/>
    <w:rPr>
      <w:b/>
      <w:bCs/>
      <w:smallCaps/>
      <w:color w:val="104862" w:themeColor="accent1" w:themeShade="BF"/>
      <w:spacing w:val="5"/>
    </w:rPr>
  </w:style>
  <w:style w:type="character" w:customStyle="1" w:styleId="50">
    <w:name w:val="页眉 字符"/>
    <w:basedOn w:val="29"/>
    <w:link w:val="19"/>
    <w:qFormat/>
    <w:uiPriority w:val="99"/>
    <w:rPr>
      <w:rFonts w:ascii="Tahoma" w:hAnsi="Tahoma" w:eastAsia="微软雅黑"/>
      <w:kern w:val="0"/>
      <w:sz w:val="18"/>
      <w:szCs w:val="18"/>
    </w:rPr>
  </w:style>
  <w:style w:type="character" w:customStyle="1" w:styleId="51">
    <w:name w:val="页脚 字符"/>
    <w:basedOn w:val="29"/>
    <w:link w:val="18"/>
    <w:qFormat/>
    <w:uiPriority w:val="99"/>
    <w:rPr>
      <w:rFonts w:ascii="Tahoma" w:hAnsi="Tahoma" w:eastAsia="微软雅黑"/>
      <w:kern w:val="0"/>
      <w:sz w:val="18"/>
      <w:szCs w:val="18"/>
    </w:rPr>
  </w:style>
  <w:style w:type="paragraph" w:customStyle="1" w:styleId="52">
    <w:name w:val="样式3"/>
    <w:basedOn w:val="1"/>
    <w:qFormat/>
    <w:uiPriority w:val="0"/>
    <w:pPr>
      <w:adjustRightInd/>
      <w:snapToGrid/>
      <w:spacing w:before="50" w:beforeLines="50" w:after="50" w:afterLines="50" w:line="560" w:lineRule="exact"/>
      <w:jc w:val="both"/>
      <w:outlineLvl w:val="2"/>
    </w:pPr>
    <w:rPr>
      <w:rFonts w:ascii="Calibri" w:hAnsi="Calibri" w:eastAsia="仿宋_GB2312" w:cs="黑体"/>
      <w:kern w:val="2"/>
      <w:sz w:val="28"/>
      <w14:ligatures w14:val="none"/>
    </w:rPr>
  </w:style>
  <w:style w:type="paragraph" w:customStyle="1" w:styleId="53">
    <w:name w:val="样式1"/>
    <w:basedOn w:val="3"/>
    <w:link w:val="54"/>
    <w:qFormat/>
    <w:uiPriority w:val="0"/>
    <w:pPr>
      <w:adjustRightInd/>
      <w:snapToGrid/>
      <w:spacing w:before="240" w:after="240" w:line="360" w:lineRule="auto"/>
      <w:jc w:val="both"/>
    </w:pPr>
    <w:rPr>
      <w:rFonts w:ascii="Calibri" w:hAnsi="Calibri" w:eastAsia="仿宋_GB2312" w:cs="黑体"/>
      <w:b/>
      <w:bCs/>
      <w:color w:val="auto"/>
      <w:kern w:val="44"/>
      <w:sz w:val="36"/>
      <w:szCs w:val="44"/>
      <w14:ligatures w14:val="none"/>
    </w:rPr>
  </w:style>
  <w:style w:type="character" w:customStyle="1" w:styleId="54">
    <w:name w:val="样式1 Char"/>
    <w:link w:val="53"/>
    <w:qFormat/>
    <w:uiPriority w:val="0"/>
    <w:rPr>
      <w:rFonts w:ascii="Calibri" w:hAnsi="Calibri" w:eastAsia="仿宋_GB2312" w:cs="黑体"/>
      <w:b/>
      <w:bCs/>
      <w:kern w:val="44"/>
      <w:sz w:val="36"/>
      <w:szCs w:val="44"/>
      <w14:ligatures w14:val="none"/>
    </w:rPr>
  </w:style>
  <w:style w:type="character" w:customStyle="1" w:styleId="55">
    <w:name w:val="纯文本 字符"/>
    <w:basedOn w:val="29"/>
    <w:link w:val="16"/>
    <w:qFormat/>
    <w:uiPriority w:val="99"/>
    <w:rPr>
      <w:rFonts w:ascii="宋体" w:hAnsi="Times New Roman" w:eastAsia="宋体" w:cs="Courier New"/>
      <w:szCs w:val="21"/>
      <w14:ligatures w14:val="none"/>
    </w:rPr>
  </w:style>
  <w:style w:type="paragraph" w:customStyle="1" w:styleId="56">
    <w:name w:val="TOC 标题1"/>
    <w:basedOn w:val="3"/>
    <w:next w:val="1"/>
    <w:unhideWhenUsed/>
    <w:qFormat/>
    <w:uiPriority w:val="39"/>
    <w:pPr>
      <w:adjustRightInd/>
      <w:snapToGrid/>
      <w:spacing w:before="240" w:after="0" w:line="259" w:lineRule="auto"/>
      <w:outlineLvl w:val="9"/>
    </w:pPr>
    <w:rPr>
      <w:sz w:val="32"/>
      <w:szCs w:val="32"/>
      <w14:ligatures w14:val="none"/>
    </w:rPr>
  </w:style>
  <w:style w:type="paragraph" w:customStyle="1" w:styleId="57">
    <w:name w:val="正文文本1"/>
    <w:basedOn w:val="1"/>
    <w:qFormat/>
    <w:uiPriority w:val="0"/>
    <w:rPr>
      <w:rFonts w:ascii="宋体" w:hAnsi="宋体" w:eastAsia="宋体"/>
      <w:sz w:val="32"/>
      <w:szCs w:val="32"/>
      <w:lang w:val="zh-CN" w:bidi="zh-CN"/>
      <w14:ligatures w14:val="none"/>
    </w:rPr>
  </w:style>
  <w:style w:type="character" w:customStyle="1" w:styleId="58">
    <w:name w:val="未处理的提及1"/>
    <w:basedOn w:val="29"/>
    <w:semiHidden/>
    <w:unhideWhenUsed/>
    <w:qFormat/>
    <w:uiPriority w:val="99"/>
    <w:rPr>
      <w:color w:val="605E5C"/>
      <w:shd w:val="clear" w:color="auto" w:fill="E1DFDD"/>
    </w:rPr>
  </w:style>
  <w:style w:type="paragraph" w:customStyle="1" w:styleId="59">
    <w:name w:val="修订1"/>
    <w:hidden/>
    <w:semiHidden/>
    <w:qFormat/>
    <w:uiPriority w:val="99"/>
    <w:rPr>
      <w:rFonts w:ascii="Tahoma" w:hAnsi="Tahoma" w:eastAsia="微软雅黑" w:cstheme="minorBidi"/>
      <w:sz w:val="22"/>
      <w:szCs w:val="22"/>
      <w:lang w:val="en-US" w:eastAsia="zh-CN" w:bidi="ar-SA"/>
      <w14:ligatures w14:val="standardContextual"/>
    </w:rPr>
  </w:style>
  <w:style w:type="paragraph" w:customStyle="1" w:styleId="60">
    <w:name w:val="msonormal"/>
    <w:basedOn w:val="1"/>
    <w:qFormat/>
    <w:uiPriority w:val="0"/>
    <w:pPr>
      <w:adjustRightInd/>
      <w:snapToGrid/>
      <w:spacing w:before="100" w:beforeAutospacing="1" w:after="100" w:afterAutospacing="1"/>
    </w:pPr>
    <w:rPr>
      <w:rFonts w:ascii="宋体" w:hAnsi="宋体" w:eastAsia="宋体" w:cs="宋体"/>
      <w:sz w:val="24"/>
      <w:szCs w:val="24"/>
      <w14:ligatures w14:val="none"/>
    </w:rPr>
  </w:style>
  <w:style w:type="paragraph" w:customStyle="1" w:styleId="61">
    <w:name w:val="font5"/>
    <w:basedOn w:val="1"/>
    <w:qFormat/>
    <w:uiPriority w:val="0"/>
    <w:pPr>
      <w:adjustRightInd/>
      <w:snapToGrid/>
      <w:spacing w:before="100" w:beforeAutospacing="1" w:after="100" w:afterAutospacing="1"/>
    </w:pPr>
    <w:rPr>
      <w:rFonts w:ascii="等线" w:hAnsi="等线" w:eastAsia="等线" w:cs="宋体"/>
      <w:sz w:val="18"/>
      <w:szCs w:val="18"/>
      <w14:ligatures w14:val="none"/>
    </w:rPr>
  </w:style>
  <w:style w:type="paragraph" w:customStyle="1" w:styleId="62">
    <w:name w:val="xl66"/>
    <w:basedOn w:val="1"/>
    <w:qFormat/>
    <w:uiPriority w:val="0"/>
    <w:pPr>
      <w:adjustRightInd/>
      <w:snapToGrid/>
      <w:spacing w:before="100" w:beforeAutospacing="1" w:after="100" w:afterAutospacing="1"/>
      <w:jc w:val="center"/>
    </w:pPr>
    <w:rPr>
      <w:rFonts w:ascii="宋体" w:hAnsi="宋体" w:eastAsia="宋体" w:cs="宋体"/>
      <w:sz w:val="24"/>
      <w:szCs w:val="24"/>
      <w14:ligatures w14:val="none"/>
    </w:rPr>
  </w:style>
  <w:style w:type="paragraph" w:customStyle="1" w:styleId="63">
    <w:name w:val="xl67"/>
    <w:basedOn w:val="1"/>
    <w:qFormat/>
    <w:uiPriority w:val="0"/>
    <w:pPr>
      <w:adjustRightInd/>
      <w:snapToGrid/>
      <w:spacing w:before="100" w:beforeAutospacing="1" w:after="100" w:afterAutospacing="1"/>
    </w:pPr>
    <w:rPr>
      <w:rFonts w:ascii="宋体" w:hAnsi="宋体" w:eastAsia="宋体" w:cs="宋体"/>
      <w:sz w:val="24"/>
      <w:szCs w:val="24"/>
      <w14:ligatures w14:val="none"/>
    </w:rPr>
  </w:style>
  <w:style w:type="paragraph" w:customStyle="1" w:styleId="64">
    <w:name w:val="xl68"/>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jc w:val="center"/>
    </w:pPr>
    <w:rPr>
      <w:rFonts w:ascii="宋体" w:hAnsi="宋体" w:eastAsia="宋体" w:cs="宋体"/>
      <w:b/>
      <w:bCs/>
      <w:sz w:val="20"/>
      <w:szCs w:val="20"/>
      <w14:ligatures w14:val="none"/>
    </w:rPr>
  </w:style>
  <w:style w:type="paragraph" w:customStyle="1" w:styleId="65">
    <w:name w:val="xl69"/>
    <w:basedOn w:val="1"/>
    <w:qFormat/>
    <w:uiPriority w:val="0"/>
    <w:pPr>
      <w:pBdr>
        <w:top w:val="single" w:color="auto" w:sz="4" w:space="0"/>
        <w:bottom w:val="single" w:color="auto" w:sz="4" w:space="0"/>
        <w:right w:val="single" w:color="auto" w:sz="4" w:space="0"/>
      </w:pBdr>
      <w:adjustRightInd/>
      <w:snapToGrid/>
      <w:spacing w:before="100" w:beforeAutospacing="1" w:after="100" w:afterAutospacing="1"/>
      <w:jc w:val="center"/>
    </w:pPr>
    <w:rPr>
      <w:rFonts w:ascii="宋体" w:hAnsi="宋体" w:eastAsia="宋体" w:cs="宋体"/>
      <w:b/>
      <w:bCs/>
      <w:sz w:val="20"/>
      <w:szCs w:val="20"/>
      <w14:ligatures w14:val="none"/>
    </w:rPr>
  </w:style>
  <w:style w:type="paragraph" w:customStyle="1" w:styleId="66">
    <w:name w:val="xl70"/>
    <w:basedOn w:val="1"/>
    <w:qFormat/>
    <w:uiPriority w:val="0"/>
    <w:pPr>
      <w:pBdr>
        <w:bottom w:val="single" w:color="auto" w:sz="4" w:space="0"/>
        <w:right w:val="single" w:color="auto" w:sz="4" w:space="0"/>
      </w:pBdr>
      <w:adjustRightInd/>
      <w:snapToGrid/>
      <w:spacing w:before="100" w:beforeAutospacing="1" w:after="100" w:afterAutospacing="1"/>
      <w:jc w:val="center"/>
    </w:pPr>
    <w:rPr>
      <w:rFonts w:ascii="宋体" w:hAnsi="宋体" w:eastAsia="宋体" w:cs="宋体"/>
      <w:sz w:val="20"/>
      <w:szCs w:val="20"/>
      <w14:ligatures w14:val="none"/>
    </w:rPr>
  </w:style>
  <w:style w:type="paragraph" w:customStyle="1" w:styleId="67">
    <w:name w:val="xl71"/>
    <w:basedOn w:val="1"/>
    <w:qFormat/>
    <w:uiPriority w:val="0"/>
    <w:pPr>
      <w:pBdr>
        <w:bottom w:val="single" w:color="auto" w:sz="4" w:space="0"/>
        <w:right w:val="single" w:color="auto" w:sz="4" w:space="0"/>
      </w:pBdr>
      <w:adjustRightInd/>
      <w:snapToGrid/>
      <w:spacing w:before="100" w:beforeAutospacing="1" w:after="100" w:afterAutospacing="1"/>
    </w:pPr>
    <w:rPr>
      <w:rFonts w:ascii="宋体" w:hAnsi="宋体" w:eastAsia="宋体" w:cs="宋体"/>
      <w:sz w:val="20"/>
      <w:szCs w:val="20"/>
      <w14:ligatures w14:val="none"/>
    </w:rPr>
  </w:style>
  <w:style w:type="paragraph" w:customStyle="1" w:styleId="68">
    <w:name w:val="xl72"/>
    <w:basedOn w:val="1"/>
    <w:qFormat/>
    <w:uiPriority w:val="0"/>
    <w:pPr>
      <w:pBdr>
        <w:bottom w:val="single" w:color="auto" w:sz="4" w:space="0"/>
        <w:right w:val="single" w:color="auto" w:sz="4" w:space="0"/>
      </w:pBdr>
      <w:adjustRightInd/>
      <w:snapToGrid/>
      <w:spacing w:before="100" w:beforeAutospacing="1" w:after="100" w:afterAutospacing="1"/>
      <w:jc w:val="center"/>
    </w:pPr>
    <w:rPr>
      <w:rFonts w:ascii="宋体" w:hAnsi="宋体" w:eastAsia="宋体" w:cs="宋体"/>
      <w:sz w:val="20"/>
      <w:szCs w:val="20"/>
      <w14:ligatures w14:val="none"/>
    </w:rPr>
  </w:style>
  <w:style w:type="paragraph" w:customStyle="1" w:styleId="69">
    <w:name w:val="xl73"/>
    <w:basedOn w:val="1"/>
    <w:qFormat/>
    <w:uiPriority w:val="0"/>
    <w:pPr>
      <w:pBdr>
        <w:bottom w:val="single" w:color="auto" w:sz="4" w:space="0"/>
        <w:right w:val="single" w:color="auto" w:sz="4" w:space="0"/>
      </w:pBdr>
      <w:adjustRightInd/>
      <w:snapToGrid/>
      <w:spacing w:before="100" w:beforeAutospacing="1" w:after="100" w:afterAutospacing="1"/>
      <w:jc w:val="center"/>
    </w:pPr>
    <w:rPr>
      <w:rFonts w:ascii="宋体" w:hAnsi="宋体" w:eastAsia="宋体" w:cs="宋体"/>
      <w:sz w:val="20"/>
      <w:szCs w:val="20"/>
      <w14:ligatures w14:val="none"/>
    </w:rPr>
  </w:style>
  <w:style w:type="paragraph" w:customStyle="1" w:styleId="70">
    <w:name w:val="xl74"/>
    <w:basedOn w:val="1"/>
    <w:qFormat/>
    <w:uiPriority w:val="0"/>
    <w:pPr>
      <w:pBdr>
        <w:bottom w:val="single" w:color="auto" w:sz="4" w:space="0"/>
        <w:right w:val="single" w:color="auto" w:sz="4" w:space="0"/>
      </w:pBdr>
      <w:adjustRightInd/>
      <w:snapToGrid/>
      <w:spacing w:before="100" w:beforeAutospacing="1" w:after="100" w:afterAutospacing="1"/>
    </w:pPr>
    <w:rPr>
      <w:rFonts w:ascii="宋体" w:hAnsi="宋体" w:eastAsia="宋体" w:cs="宋体"/>
      <w:color w:val="000000"/>
      <w:sz w:val="20"/>
      <w:szCs w:val="20"/>
      <w14:ligatures w14:val="none"/>
    </w:rPr>
  </w:style>
  <w:style w:type="paragraph" w:customStyle="1" w:styleId="71">
    <w:name w:val="xl75"/>
    <w:basedOn w:val="1"/>
    <w:qFormat/>
    <w:uiPriority w:val="0"/>
    <w:pPr>
      <w:pBdr>
        <w:bottom w:val="single" w:color="auto" w:sz="4" w:space="0"/>
        <w:right w:val="single" w:color="auto" w:sz="4" w:space="0"/>
      </w:pBdr>
      <w:adjustRightInd/>
      <w:snapToGrid/>
      <w:spacing w:before="100" w:beforeAutospacing="1" w:after="100" w:afterAutospacing="1"/>
      <w:jc w:val="center"/>
    </w:pPr>
    <w:rPr>
      <w:rFonts w:ascii="宋体" w:hAnsi="宋体" w:eastAsia="宋体" w:cs="宋体"/>
      <w:color w:val="000000"/>
      <w:sz w:val="20"/>
      <w:szCs w:val="20"/>
      <w14:ligatures w14:val="none"/>
    </w:rPr>
  </w:style>
  <w:style w:type="paragraph" w:customStyle="1" w:styleId="72">
    <w:name w:val="xl76"/>
    <w:basedOn w:val="1"/>
    <w:qFormat/>
    <w:uiPriority w:val="0"/>
    <w:pPr>
      <w:pBdr>
        <w:left w:val="single" w:color="auto" w:sz="4" w:space="0"/>
        <w:bottom w:val="single" w:color="auto" w:sz="4" w:space="0"/>
        <w:right w:val="single" w:color="auto" w:sz="4" w:space="0"/>
      </w:pBdr>
      <w:adjustRightInd/>
      <w:snapToGrid/>
      <w:spacing w:before="100" w:beforeAutospacing="1" w:after="100" w:afterAutospacing="1"/>
      <w:jc w:val="center"/>
    </w:pPr>
    <w:rPr>
      <w:rFonts w:ascii="宋体" w:hAnsi="宋体" w:eastAsia="宋体" w:cs="宋体"/>
      <w:sz w:val="20"/>
      <w:szCs w:val="20"/>
      <w14:ligatures w14:val="none"/>
    </w:rPr>
  </w:style>
  <w:style w:type="paragraph" w:customStyle="1" w:styleId="73">
    <w:name w:val="xl77"/>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pPr>
    <w:rPr>
      <w:rFonts w:ascii="宋体" w:hAnsi="宋体" w:eastAsia="宋体" w:cs="宋体"/>
      <w:color w:val="000000"/>
      <w:sz w:val="20"/>
      <w:szCs w:val="20"/>
      <w14:ligatures w14:val="none"/>
    </w:rPr>
  </w:style>
  <w:style w:type="paragraph" w:customStyle="1" w:styleId="74">
    <w:name w:val="xl78"/>
    <w:basedOn w:val="1"/>
    <w:qFormat/>
    <w:uiPriority w:val="0"/>
    <w:pPr>
      <w:pBdr>
        <w:top w:val="single" w:color="auto" w:sz="4" w:space="0"/>
        <w:left w:val="single" w:color="auto" w:sz="4" w:space="0"/>
        <w:bottom w:val="single" w:color="auto" w:sz="4" w:space="0"/>
        <w:right w:val="single" w:color="000000" w:sz="4" w:space="0"/>
      </w:pBdr>
      <w:adjustRightInd/>
      <w:snapToGrid/>
      <w:spacing w:before="100" w:beforeAutospacing="1" w:after="100" w:afterAutospacing="1"/>
      <w:jc w:val="center"/>
    </w:pPr>
    <w:rPr>
      <w:rFonts w:ascii="宋体" w:hAnsi="宋体" w:eastAsia="宋体" w:cs="宋体"/>
      <w:b/>
      <w:bCs/>
      <w:sz w:val="20"/>
      <w:szCs w:val="20"/>
      <w14:ligatures w14:val="none"/>
    </w:rPr>
  </w:style>
  <w:style w:type="paragraph" w:customStyle="1" w:styleId="75">
    <w:name w:val="xl79"/>
    <w:basedOn w:val="1"/>
    <w:qFormat/>
    <w:uiPriority w:val="0"/>
    <w:pPr>
      <w:pBdr>
        <w:left w:val="single" w:color="auto" w:sz="4" w:space="0"/>
        <w:right w:val="single" w:color="auto" w:sz="4" w:space="0"/>
      </w:pBdr>
      <w:adjustRightInd/>
      <w:snapToGrid/>
      <w:spacing w:before="100" w:beforeAutospacing="1" w:after="100" w:afterAutospacing="1"/>
    </w:pPr>
    <w:rPr>
      <w:rFonts w:ascii="宋体" w:hAnsi="宋体" w:eastAsia="宋体" w:cs="宋体"/>
      <w:b/>
      <w:bCs/>
      <w:sz w:val="20"/>
      <w:szCs w:val="20"/>
      <w14:ligatures w14:val="none"/>
    </w:rPr>
  </w:style>
  <w:style w:type="paragraph" w:customStyle="1" w:styleId="76">
    <w:name w:val="xl80"/>
    <w:basedOn w:val="1"/>
    <w:qFormat/>
    <w:uiPriority w:val="0"/>
    <w:pPr>
      <w:pBdr>
        <w:left w:val="single" w:color="auto" w:sz="4" w:space="0"/>
        <w:bottom w:val="single" w:color="000000" w:sz="4" w:space="0"/>
        <w:right w:val="single" w:color="auto" w:sz="4" w:space="0"/>
      </w:pBdr>
      <w:adjustRightInd/>
      <w:snapToGrid/>
      <w:spacing w:before="100" w:beforeAutospacing="1" w:after="100" w:afterAutospacing="1"/>
      <w:jc w:val="center"/>
    </w:pPr>
    <w:rPr>
      <w:rFonts w:ascii="宋体" w:hAnsi="宋体" w:eastAsia="宋体" w:cs="宋体"/>
      <w:sz w:val="20"/>
      <w:szCs w:val="20"/>
      <w14:ligatures w14:val="none"/>
    </w:rPr>
  </w:style>
  <w:style w:type="paragraph" w:customStyle="1" w:styleId="77">
    <w:name w:val="xl81"/>
    <w:basedOn w:val="1"/>
    <w:qFormat/>
    <w:uiPriority w:val="0"/>
    <w:pPr>
      <w:pBdr>
        <w:bottom w:val="single" w:color="auto" w:sz="4" w:space="0"/>
      </w:pBdr>
      <w:adjustRightInd/>
      <w:snapToGrid/>
      <w:spacing w:before="100" w:beforeAutospacing="1" w:after="100" w:afterAutospacing="1"/>
      <w:jc w:val="center"/>
    </w:pPr>
    <w:rPr>
      <w:rFonts w:ascii="宋体" w:hAnsi="宋体" w:eastAsia="宋体" w:cs="宋体"/>
      <w:sz w:val="20"/>
      <w:szCs w:val="20"/>
      <w14:ligatures w14:val="none"/>
    </w:rPr>
  </w:style>
  <w:style w:type="paragraph" w:customStyle="1" w:styleId="78">
    <w:name w:val="xl82"/>
    <w:basedOn w:val="1"/>
    <w:qFormat/>
    <w:uiPriority w:val="0"/>
    <w:pPr>
      <w:pBdr>
        <w:top w:val="single" w:color="000000" w:sz="4" w:space="0"/>
        <w:left w:val="single" w:color="000000" w:sz="4" w:space="0"/>
        <w:bottom w:val="single" w:color="000000" w:sz="4" w:space="0"/>
        <w:right w:val="single" w:color="000000" w:sz="4" w:space="0"/>
      </w:pBdr>
      <w:adjustRightInd/>
      <w:snapToGrid/>
      <w:spacing w:before="100" w:beforeAutospacing="1" w:after="100" w:afterAutospacing="1"/>
      <w:jc w:val="center"/>
    </w:pPr>
    <w:rPr>
      <w:rFonts w:ascii="宋体" w:hAnsi="宋体" w:eastAsia="宋体" w:cs="宋体"/>
      <w:sz w:val="20"/>
      <w:szCs w:val="20"/>
      <w14:ligatures w14:val="none"/>
    </w:rPr>
  </w:style>
  <w:style w:type="paragraph" w:customStyle="1" w:styleId="79">
    <w:name w:val="xl83"/>
    <w:basedOn w:val="1"/>
    <w:qFormat/>
    <w:uiPriority w:val="0"/>
    <w:pPr>
      <w:pBdr>
        <w:left w:val="single" w:color="000000" w:sz="4" w:space="0"/>
        <w:bottom w:val="single" w:color="000000" w:sz="4" w:space="0"/>
        <w:right w:val="single" w:color="000000" w:sz="4" w:space="0"/>
      </w:pBdr>
      <w:adjustRightInd/>
      <w:snapToGrid/>
      <w:spacing w:before="100" w:beforeAutospacing="1" w:after="100" w:afterAutospacing="1"/>
      <w:jc w:val="center"/>
    </w:pPr>
    <w:rPr>
      <w:rFonts w:ascii="宋体" w:hAnsi="宋体" w:eastAsia="宋体" w:cs="宋体"/>
      <w:sz w:val="20"/>
      <w:szCs w:val="20"/>
      <w14:ligatures w14:val="none"/>
    </w:rPr>
  </w:style>
  <w:style w:type="paragraph" w:customStyle="1" w:styleId="80">
    <w:name w:val="xl84"/>
    <w:basedOn w:val="1"/>
    <w:qFormat/>
    <w:uiPriority w:val="0"/>
    <w:pPr>
      <w:pBdr>
        <w:top w:val="single" w:color="000000" w:sz="4" w:space="0"/>
        <w:left w:val="single" w:color="000000" w:sz="4" w:space="0"/>
        <w:bottom w:val="single" w:color="000000" w:sz="4" w:space="0"/>
        <w:right w:val="single" w:color="000000" w:sz="4" w:space="0"/>
      </w:pBdr>
      <w:adjustRightInd/>
      <w:snapToGrid/>
      <w:spacing w:before="100" w:beforeAutospacing="1" w:after="100" w:afterAutospacing="1"/>
      <w:jc w:val="center"/>
    </w:pPr>
    <w:rPr>
      <w:rFonts w:ascii="宋体" w:hAnsi="宋体" w:eastAsia="宋体" w:cs="宋体"/>
      <w:b/>
      <w:bCs/>
      <w:sz w:val="20"/>
      <w:szCs w:val="20"/>
      <w14:ligatures w14:val="none"/>
    </w:rPr>
  </w:style>
  <w:style w:type="paragraph" w:customStyle="1" w:styleId="81">
    <w:name w:val="xl85"/>
    <w:basedOn w:val="1"/>
    <w:qFormat/>
    <w:uiPriority w:val="0"/>
    <w:pPr>
      <w:pBdr>
        <w:bottom w:val="single" w:color="000000" w:sz="4" w:space="0"/>
        <w:right w:val="single" w:color="auto" w:sz="4" w:space="0"/>
      </w:pBdr>
      <w:adjustRightInd/>
      <w:snapToGrid/>
      <w:spacing w:before="100" w:beforeAutospacing="1" w:after="100" w:afterAutospacing="1"/>
      <w:jc w:val="center"/>
    </w:pPr>
    <w:rPr>
      <w:rFonts w:ascii="宋体" w:hAnsi="宋体" w:eastAsia="宋体" w:cs="宋体"/>
      <w:sz w:val="20"/>
      <w:szCs w:val="20"/>
      <w14:ligatures w14:val="none"/>
    </w:rPr>
  </w:style>
  <w:style w:type="paragraph" w:customStyle="1" w:styleId="82">
    <w:name w:val="xl86"/>
    <w:basedOn w:val="1"/>
    <w:qFormat/>
    <w:uiPriority w:val="0"/>
    <w:pPr>
      <w:pBdr>
        <w:bottom w:val="single" w:color="auto" w:sz="4" w:space="0"/>
      </w:pBdr>
      <w:adjustRightInd/>
      <w:snapToGrid/>
      <w:spacing w:before="100" w:beforeAutospacing="1" w:after="100" w:afterAutospacing="1"/>
      <w:jc w:val="center"/>
    </w:pPr>
    <w:rPr>
      <w:rFonts w:ascii="宋体" w:hAnsi="宋体" w:eastAsia="宋体" w:cs="宋体"/>
      <w:sz w:val="20"/>
      <w:szCs w:val="20"/>
      <w14:ligatures w14:val="none"/>
    </w:rPr>
  </w:style>
  <w:style w:type="paragraph" w:customStyle="1" w:styleId="83">
    <w:name w:val="xl87"/>
    <w:basedOn w:val="1"/>
    <w:qFormat/>
    <w:uiPriority w:val="0"/>
    <w:pPr>
      <w:pBdr>
        <w:right w:val="single" w:color="auto" w:sz="4" w:space="0"/>
      </w:pBdr>
      <w:adjustRightInd/>
      <w:snapToGrid/>
      <w:spacing w:before="100" w:beforeAutospacing="1" w:after="100" w:afterAutospacing="1"/>
      <w:jc w:val="center"/>
      <w:textAlignment w:val="top"/>
    </w:pPr>
    <w:rPr>
      <w:rFonts w:ascii="宋体" w:hAnsi="宋体" w:eastAsia="宋体" w:cs="宋体"/>
      <w:sz w:val="20"/>
      <w:szCs w:val="20"/>
      <w14:ligatures w14:val="none"/>
    </w:rPr>
  </w:style>
  <w:style w:type="paragraph" w:customStyle="1" w:styleId="84">
    <w:name w:val="xl88"/>
    <w:basedOn w:val="1"/>
    <w:qFormat/>
    <w:uiPriority w:val="0"/>
    <w:pPr>
      <w:pBdr>
        <w:top w:val="single" w:color="auto" w:sz="4" w:space="0"/>
        <w:bottom w:val="single" w:color="000000" w:sz="4" w:space="0"/>
        <w:right w:val="single" w:color="auto" w:sz="4" w:space="0"/>
      </w:pBdr>
      <w:adjustRightInd/>
      <w:snapToGrid/>
      <w:spacing w:before="100" w:beforeAutospacing="1" w:after="100" w:afterAutospacing="1"/>
      <w:jc w:val="center"/>
    </w:pPr>
    <w:rPr>
      <w:rFonts w:ascii="宋体" w:hAnsi="宋体" w:eastAsia="宋体" w:cs="宋体"/>
      <w:sz w:val="20"/>
      <w:szCs w:val="20"/>
      <w14:ligatures w14:val="none"/>
    </w:rPr>
  </w:style>
  <w:style w:type="paragraph" w:customStyle="1" w:styleId="85">
    <w:name w:val="xl89"/>
    <w:basedOn w:val="1"/>
    <w:qFormat/>
    <w:uiPriority w:val="0"/>
    <w:pPr>
      <w:pBdr>
        <w:bottom w:val="single" w:color="auto" w:sz="4" w:space="0"/>
        <w:right w:val="single" w:color="auto" w:sz="4" w:space="0"/>
      </w:pBdr>
      <w:adjustRightInd/>
      <w:snapToGrid/>
      <w:spacing w:before="100" w:beforeAutospacing="1" w:after="100" w:afterAutospacing="1"/>
      <w:jc w:val="center"/>
    </w:pPr>
    <w:rPr>
      <w:rFonts w:ascii="宋体" w:hAnsi="宋体" w:eastAsia="宋体" w:cs="宋体"/>
      <w:color w:val="C00000"/>
      <w:sz w:val="20"/>
      <w:szCs w:val="20"/>
      <w14:ligatures w14:val="none"/>
    </w:rPr>
  </w:style>
  <w:style w:type="paragraph" w:customStyle="1" w:styleId="86">
    <w:name w:val="xl90"/>
    <w:basedOn w:val="1"/>
    <w:qFormat/>
    <w:uiPriority w:val="0"/>
    <w:pPr>
      <w:pBdr>
        <w:left w:val="single" w:color="000000" w:sz="4" w:space="0"/>
        <w:bottom w:val="single" w:color="000000" w:sz="4" w:space="0"/>
        <w:right w:val="single" w:color="auto" w:sz="4" w:space="0"/>
      </w:pBdr>
      <w:adjustRightInd/>
      <w:snapToGrid/>
      <w:spacing w:before="100" w:beforeAutospacing="1" w:after="100" w:afterAutospacing="1"/>
      <w:jc w:val="center"/>
    </w:pPr>
    <w:rPr>
      <w:rFonts w:ascii="宋体" w:hAnsi="宋体" w:eastAsia="宋体" w:cs="宋体"/>
      <w:sz w:val="20"/>
      <w:szCs w:val="20"/>
      <w14:ligatures w14:val="none"/>
    </w:rPr>
  </w:style>
  <w:style w:type="paragraph" w:customStyle="1" w:styleId="87">
    <w:name w:val="xl91"/>
    <w:basedOn w:val="1"/>
    <w:qFormat/>
    <w:uiPriority w:val="0"/>
    <w:pPr>
      <w:pBdr>
        <w:left w:val="single" w:color="auto" w:sz="4" w:space="0"/>
        <w:bottom w:val="single" w:color="000000" w:sz="4" w:space="0"/>
        <w:right w:val="single" w:color="auto" w:sz="4" w:space="0"/>
      </w:pBdr>
      <w:adjustRightInd/>
      <w:snapToGrid/>
      <w:spacing w:before="100" w:beforeAutospacing="1" w:after="100" w:afterAutospacing="1"/>
      <w:jc w:val="center"/>
    </w:pPr>
    <w:rPr>
      <w:rFonts w:ascii="宋体" w:hAnsi="宋体" w:eastAsia="宋体" w:cs="宋体"/>
      <w:b/>
      <w:bCs/>
      <w:sz w:val="20"/>
      <w:szCs w:val="20"/>
      <w14:ligatures w14:val="none"/>
    </w:rPr>
  </w:style>
  <w:style w:type="paragraph" w:customStyle="1" w:styleId="88">
    <w:name w:val="xl92"/>
    <w:basedOn w:val="1"/>
    <w:qFormat/>
    <w:uiPriority w:val="0"/>
    <w:pPr>
      <w:pBdr>
        <w:left w:val="single" w:color="auto" w:sz="4" w:space="0"/>
        <w:right w:val="single" w:color="auto" w:sz="4" w:space="0"/>
      </w:pBdr>
      <w:adjustRightInd/>
      <w:snapToGrid/>
      <w:spacing w:before="100" w:beforeAutospacing="1" w:after="100" w:afterAutospacing="1"/>
      <w:jc w:val="center"/>
    </w:pPr>
    <w:rPr>
      <w:rFonts w:ascii="宋体" w:hAnsi="宋体" w:eastAsia="宋体" w:cs="宋体"/>
      <w:sz w:val="20"/>
      <w:szCs w:val="20"/>
      <w14:ligatures w14:val="none"/>
    </w:rPr>
  </w:style>
  <w:style w:type="paragraph" w:customStyle="1" w:styleId="89">
    <w:name w:val="xl93"/>
    <w:basedOn w:val="1"/>
    <w:qFormat/>
    <w:uiPriority w:val="0"/>
    <w:pPr>
      <w:pBdr>
        <w:right w:val="single" w:color="auto" w:sz="4" w:space="0"/>
      </w:pBdr>
      <w:adjustRightInd/>
      <w:snapToGrid/>
      <w:spacing w:before="100" w:beforeAutospacing="1" w:after="100" w:afterAutospacing="1"/>
      <w:jc w:val="center"/>
    </w:pPr>
    <w:rPr>
      <w:rFonts w:ascii="宋体" w:hAnsi="宋体" w:eastAsia="宋体" w:cs="宋体"/>
      <w:sz w:val="20"/>
      <w:szCs w:val="20"/>
      <w14:ligatures w14:val="none"/>
    </w:rPr>
  </w:style>
  <w:style w:type="paragraph" w:customStyle="1" w:styleId="90">
    <w:name w:val="xl94"/>
    <w:basedOn w:val="1"/>
    <w:qFormat/>
    <w:uiPriority w:val="0"/>
    <w:pPr>
      <w:pBdr>
        <w:right w:val="single" w:color="auto" w:sz="4" w:space="0"/>
      </w:pBdr>
      <w:adjustRightInd/>
      <w:snapToGrid/>
      <w:spacing w:before="100" w:beforeAutospacing="1" w:after="100" w:afterAutospacing="1"/>
    </w:pPr>
    <w:rPr>
      <w:rFonts w:ascii="宋体" w:hAnsi="宋体" w:eastAsia="宋体" w:cs="宋体"/>
      <w:sz w:val="20"/>
      <w:szCs w:val="20"/>
      <w14:ligatures w14:val="none"/>
    </w:rPr>
  </w:style>
  <w:style w:type="paragraph" w:customStyle="1" w:styleId="91">
    <w:name w:val="xl95"/>
    <w:basedOn w:val="1"/>
    <w:qFormat/>
    <w:uiPriority w:val="0"/>
    <w:pPr>
      <w:pBdr>
        <w:top w:val="single" w:color="auto" w:sz="4" w:space="0"/>
        <w:left w:val="single" w:color="auto" w:sz="4" w:space="0"/>
        <w:right w:val="single" w:color="auto" w:sz="4" w:space="0"/>
      </w:pBdr>
      <w:adjustRightInd/>
      <w:snapToGrid/>
      <w:spacing w:before="100" w:beforeAutospacing="1" w:after="100" w:afterAutospacing="1"/>
      <w:textAlignment w:val="top"/>
    </w:pPr>
    <w:rPr>
      <w:rFonts w:ascii="宋体" w:hAnsi="宋体" w:eastAsia="宋体" w:cs="宋体"/>
      <w:b/>
      <w:bCs/>
      <w:sz w:val="20"/>
      <w:szCs w:val="20"/>
      <w14:ligatures w14:val="none"/>
    </w:rPr>
  </w:style>
  <w:style w:type="paragraph" w:customStyle="1" w:styleId="92">
    <w:name w:val="xl96"/>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jc w:val="center"/>
    </w:pPr>
    <w:rPr>
      <w:rFonts w:ascii="宋体" w:hAnsi="宋体" w:eastAsia="宋体" w:cs="宋体"/>
      <w:sz w:val="20"/>
      <w:szCs w:val="20"/>
      <w14:ligatures w14:val="none"/>
    </w:rPr>
  </w:style>
  <w:style w:type="paragraph" w:customStyle="1" w:styleId="93">
    <w:name w:val="xl97"/>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pPr>
    <w:rPr>
      <w:rFonts w:ascii="宋体" w:hAnsi="宋体" w:eastAsia="宋体" w:cs="宋体"/>
      <w:sz w:val="20"/>
      <w:szCs w:val="20"/>
      <w14:ligatures w14:val="none"/>
    </w:rPr>
  </w:style>
  <w:style w:type="paragraph" w:customStyle="1" w:styleId="94">
    <w:name w:val="xl98"/>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jc w:val="center"/>
    </w:pPr>
    <w:rPr>
      <w:rFonts w:ascii="宋体" w:hAnsi="宋体" w:eastAsia="宋体" w:cs="宋体"/>
      <w:color w:val="000000"/>
      <w:sz w:val="20"/>
      <w:szCs w:val="20"/>
      <w14:ligatures w14:val="none"/>
    </w:rPr>
  </w:style>
  <w:style w:type="paragraph" w:customStyle="1" w:styleId="95">
    <w:name w:val="xl99"/>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pPr>
    <w:rPr>
      <w:rFonts w:ascii="宋体" w:hAnsi="宋体" w:eastAsia="宋体" w:cs="宋体"/>
      <w:color w:val="000000"/>
      <w:sz w:val="20"/>
      <w:szCs w:val="20"/>
      <w14:ligatures w14:val="none"/>
    </w:rPr>
  </w:style>
  <w:style w:type="paragraph" w:customStyle="1" w:styleId="96">
    <w:name w:val="xl100"/>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jc w:val="center"/>
    </w:pPr>
    <w:rPr>
      <w:rFonts w:ascii="宋体" w:hAnsi="宋体" w:eastAsia="宋体" w:cs="宋体"/>
      <w:color w:val="000000"/>
      <w:sz w:val="20"/>
      <w:szCs w:val="20"/>
      <w14:ligatures w14:val="none"/>
    </w:rPr>
  </w:style>
  <w:style w:type="paragraph" w:customStyle="1" w:styleId="97">
    <w:name w:val="xl101"/>
    <w:basedOn w:val="1"/>
    <w:qFormat/>
    <w:uiPriority w:val="0"/>
    <w:pPr>
      <w:pBdr>
        <w:left w:val="single" w:color="auto" w:sz="4" w:space="0"/>
        <w:bottom w:val="single" w:color="000000" w:sz="4" w:space="0"/>
        <w:right w:val="single" w:color="auto" w:sz="4" w:space="0"/>
      </w:pBdr>
      <w:adjustRightInd/>
      <w:snapToGrid/>
      <w:spacing w:before="100" w:beforeAutospacing="1" w:after="100" w:afterAutospacing="1"/>
      <w:jc w:val="center"/>
      <w:textAlignment w:val="top"/>
    </w:pPr>
    <w:rPr>
      <w:rFonts w:ascii="宋体" w:hAnsi="宋体" w:eastAsia="宋体" w:cs="宋体"/>
      <w:sz w:val="20"/>
      <w:szCs w:val="20"/>
      <w14:ligatures w14:val="none"/>
    </w:rPr>
  </w:style>
  <w:style w:type="paragraph" w:customStyle="1" w:styleId="98">
    <w:name w:val="xl102"/>
    <w:basedOn w:val="1"/>
    <w:qFormat/>
    <w:uiPriority w:val="0"/>
    <w:pPr>
      <w:pBdr>
        <w:top w:val="single" w:color="auto" w:sz="4" w:space="0"/>
        <w:left w:val="single" w:color="auto" w:sz="4" w:space="0"/>
        <w:bottom w:val="single" w:color="000000" w:sz="4" w:space="0"/>
        <w:right w:val="single" w:color="auto" w:sz="4" w:space="0"/>
      </w:pBdr>
      <w:adjustRightInd/>
      <w:snapToGrid/>
      <w:spacing w:before="100" w:beforeAutospacing="1" w:after="100" w:afterAutospacing="1"/>
    </w:pPr>
    <w:rPr>
      <w:rFonts w:ascii="宋体" w:hAnsi="宋体" w:eastAsia="宋体" w:cs="宋体"/>
      <w:b/>
      <w:bCs/>
      <w:sz w:val="20"/>
      <w:szCs w:val="20"/>
      <w14:ligatures w14:val="none"/>
    </w:rPr>
  </w:style>
  <w:style w:type="paragraph" w:customStyle="1" w:styleId="99">
    <w:name w:val="Default"/>
    <w:qFormat/>
    <w:uiPriority w:val="0"/>
    <w:pPr>
      <w:widowControl w:val="0"/>
      <w:autoSpaceDE w:val="0"/>
      <w:autoSpaceDN w:val="0"/>
      <w:adjustRightInd w:val="0"/>
    </w:pPr>
    <w:rPr>
      <w:rFonts w:ascii="微软雅黑" w:eastAsia="微软雅黑" w:cs="微软雅黑" w:hAnsiTheme="minorHAnsi"/>
      <w:color w:val="000000"/>
      <w:sz w:val="24"/>
      <w:szCs w:val="24"/>
      <w:lang w:val="en-US" w:eastAsia="zh-CN" w:bidi="ar-SA"/>
      <w14:ligatures w14:val="standardContextual"/>
    </w:rPr>
  </w:style>
  <w:style w:type="paragraph" w:customStyle="1" w:styleId="100">
    <w:name w:val="修订2"/>
    <w:hidden/>
    <w:unhideWhenUsed/>
    <w:qFormat/>
    <w:uiPriority w:val="99"/>
    <w:rPr>
      <w:rFonts w:ascii="Tahoma" w:hAnsi="Tahoma" w:eastAsia="微软雅黑" w:cstheme="minorBidi"/>
      <w:sz w:val="22"/>
      <w:szCs w:val="22"/>
      <w:lang w:val="en-US" w:eastAsia="zh-CN" w:bidi="ar-SA"/>
      <w14:ligatures w14:val="standardContextual"/>
    </w:rPr>
  </w:style>
  <w:style w:type="paragraph" w:customStyle="1" w:styleId="101">
    <w:name w:val="TOC 标题2"/>
    <w:basedOn w:val="3"/>
    <w:next w:val="1"/>
    <w:unhideWhenUsed/>
    <w:qFormat/>
    <w:uiPriority w:val="39"/>
    <w:pPr>
      <w:adjustRightInd/>
      <w:snapToGrid/>
      <w:spacing w:before="240" w:after="0" w:line="259" w:lineRule="auto"/>
      <w:outlineLvl w:val="9"/>
    </w:pPr>
    <w:rPr>
      <w:sz w:val="32"/>
      <w:szCs w:val="32"/>
      <w14:ligatures w14:val="none"/>
    </w:rPr>
  </w:style>
  <w:style w:type="paragraph" w:customStyle="1" w:styleId="102">
    <w:name w:val="修订3"/>
    <w:hidden/>
    <w:unhideWhenUsed/>
    <w:qFormat/>
    <w:uiPriority w:val="99"/>
    <w:rPr>
      <w:rFonts w:ascii="Tahoma" w:hAnsi="Tahoma" w:eastAsia="微软雅黑" w:cstheme="minorBidi"/>
      <w:sz w:val="22"/>
      <w:szCs w:val="22"/>
      <w:lang w:val="en-US" w:eastAsia="zh-CN" w:bidi="ar-SA"/>
      <w14:ligatures w14:val="standardContextual"/>
    </w:rPr>
  </w:style>
  <w:style w:type="paragraph" w:customStyle="1" w:styleId="103">
    <w:name w:val="修订4"/>
    <w:hidden/>
    <w:unhideWhenUsed/>
    <w:qFormat/>
    <w:uiPriority w:val="99"/>
    <w:rPr>
      <w:rFonts w:ascii="Tahoma" w:hAnsi="Tahoma" w:eastAsia="微软雅黑" w:cstheme="minorBidi"/>
      <w:sz w:val="22"/>
      <w:szCs w:val="22"/>
      <w:lang w:val="en-US" w:eastAsia="zh-CN" w:bidi="ar-SA"/>
      <w14:ligatures w14:val="standardContextual"/>
    </w:rPr>
  </w:style>
  <w:style w:type="paragraph" w:customStyle="1" w:styleId="104">
    <w:name w:val="Revision"/>
    <w:hidden/>
    <w:unhideWhenUsed/>
    <w:qFormat/>
    <w:uiPriority w:val="99"/>
    <w:rPr>
      <w:rFonts w:ascii="Tahoma" w:hAnsi="Tahoma" w:eastAsia="微软雅黑" w:cstheme="minorBidi"/>
      <w:sz w:val="22"/>
      <w:szCs w:val="22"/>
      <w:lang w:val="en-US" w:eastAsia="zh-CN" w:bidi="ar-SA"/>
      <w14:ligatures w14:val="standardContextua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E0F54-1A64-41A3-A339-98EDF28E2131}">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8342</Words>
  <Characters>8504</Characters>
  <Lines>80</Lines>
  <Paragraphs>22</Paragraphs>
  <TotalTime>0</TotalTime>
  <ScaleCrop>false</ScaleCrop>
  <LinksUpToDate>false</LinksUpToDate>
  <CharactersWithSpaces>8554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2026-09-08T03:23:00Z</dcterms:created>
  <dc:creator>王 艺淳</dc:creator>
  <cp:lastModifiedBy>0.0-晴</cp:lastModifiedBy>
  <cp:lastPrinted>2026-10-10T07:05:00Z</cp:lastPrinted>
  <dcterms:modified xsi:type="dcterms:W3CDTF">2026-10-22T07:35:55Z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eyJoZGlkIjoiZjJmYTFmYTdjOGE2MDQ2YzExODFiYmE2YjVjZTJhZjYiLCJ1c2VySWQiOiIyOTE5NDg3MDIifQ==</vt:lpwstr>
  </property>
  <property fmtid="{D5CDD505-2E9C-101B-9397-08002B2CF9AE}" pid="3" name="KSOProductBuildVer">
    <vt:lpwstr>2052-12.1.0.28505</vt:lpwstr>
  </property>
  <property fmtid="{D5CDD505-2E9C-101B-9397-08002B2CF9AE}" pid="4" name="ICV">
    <vt:lpwstr>8573C08ED03C402F986543A8E1A38733_12</vt:lpwstr>
  </property>
</Properties>
</file>