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FF7D0">
      <w:pPr>
        <w:tabs>
          <w:tab w:val="left" w:pos="7088"/>
          <w:tab w:val="left" w:pos="8364"/>
          <w:tab w:val="left" w:pos="8505"/>
        </w:tabs>
        <w:spacing w:line="360" w:lineRule="auto"/>
        <w:ind w:firstLine="1018"/>
        <w:jc w:val="center"/>
        <w:rPr>
          <w:rFonts w:ascii="黑体" w:eastAsia="黑体"/>
          <w:b/>
          <w:color w:val="000000" w:themeColor="text1"/>
          <w:spacing w:val="20"/>
          <w:w w:val="90"/>
          <w:sz w:val="52"/>
          <w:szCs w:val="52"/>
          <w14:textFill>
            <w14:solidFill>
              <w14:schemeClr w14:val="tx1"/>
            </w14:solidFill>
          </w14:textFill>
        </w:rPr>
      </w:pPr>
    </w:p>
    <w:p w14:paraId="34A4F3AA">
      <w:pPr>
        <w:tabs>
          <w:tab w:val="left" w:pos="7088"/>
          <w:tab w:val="left" w:pos="8364"/>
          <w:tab w:val="left" w:pos="8505"/>
        </w:tabs>
        <w:spacing w:line="360" w:lineRule="auto"/>
        <w:ind w:firstLine="1018"/>
        <w:jc w:val="center"/>
        <w:rPr>
          <w:rFonts w:ascii="黑体" w:eastAsia="黑体"/>
          <w:b/>
          <w:color w:val="000000" w:themeColor="text1"/>
          <w:spacing w:val="20"/>
          <w:w w:val="90"/>
          <w:sz w:val="52"/>
          <w:szCs w:val="52"/>
          <w14:textFill>
            <w14:solidFill>
              <w14:schemeClr w14:val="tx1"/>
            </w14:solidFill>
          </w14:textFill>
        </w:rPr>
      </w:pPr>
    </w:p>
    <w:p w14:paraId="5C62EADC">
      <w:pPr>
        <w:tabs>
          <w:tab w:val="left" w:pos="7088"/>
          <w:tab w:val="left" w:pos="8364"/>
          <w:tab w:val="left" w:pos="8505"/>
        </w:tabs>
        <w:spacing w:line="360" w:lineRule="auto"/>
        <w:ind w:firstLine="1018"/>
        <w:jc w:val="center"/>
        <w:rPr>
          <w:rFonts w:ascii="黑体" w:eastAsia="黑体"/>
          <w:b/>
          <w:color w:val="000000" w:themeColor="text1"/>
          <w:spacing w:val="20"/>
          <w:w w:val="90"/>
          <w:sz w:val="52"/>
          <w:szCs w:val="52"/>
          <w14:textFill>
            <w14:solidFill>
              <w14:schemeClr w14:val="tx1"/>
            </w14:solidFill>
          </w14:textFill>
        </w:rPr>
      </w:pPr>
    </w:p>
    <w:p w14:paraId="3CFC6DD0">
      <w:pPr>
        <w:tabs>
          <w:tab w:val="left" w:pos="7088"/>
          <w:tab w:val="left" w:pos="8364"/>
          <w:tab w:val="left" w:pos="8505"/>
        </w:tabs>
        <w:spacing w:line="360" w:lineRule="auto"/>
        <w:ind w:firstLine="1040"/>
        <w:jc w:val="center"/>
        <w:rPr>
          <w:rFonts w:hint="eastAsia" w:ascii="方正小标宋简体" w:hAnsi="方正小标宋简体" w:eastAsia="方正小标宋简体" w:cs="方正小标宋简体"/>
          <w:bCs/>
          <w:color w:val="000000" w:themeColor="text1"/>
          <w:sz w:val="52"/>
          <w:szCs w:val="52"/>
          <w14:textFill>
            <w14:solidFill>
              <w14:schemeClr w14:val="tx1"/>
            </w14:solidFill>
          </w14:textFill>
        </w:rPr>
      </w:pPr>
      <w:r>
        <w:rPr>
          <w:rFonts w:hint="eastAsia" w:ascii="方正小标宋简体" w:hAnsi="方正小标宋简体" w:eastAsia="方正小标宋简体" w:cs="方正小标宋简体"/>
          <w:bCs/>
          <w:color w:val="000000" w:themeColor="text1"/>
          <w:sz w:val="52"/>
          <w:szCs w:val="52"/>
          <w14:textFill>
            <w14:solidFill>
              <w14:schemeClr w14:val="tx1"/>
            </w14:solidFill>
          </w14:textFill>
        </w:rPr>
        <w:t>丰台区“十五五”时期</w:t>
      </w:r>
    </w:p>
    <w:p w14:paraId="032FE4D2">
      <w:pPr>
        <w:tabs>
          <w:tab w:val="left" w:pos="7088"/>
          <w:tab w:val="left" w:pos="8364"/>
          <w:tab w:val="left" w:pos="8505"/>
        </w:tabs>
        <w:spacing w:line="360" w:lineRule="auto"/>
        <w:ind w:firstLine="1040"/>
        <w:jc w:val="center"/>
        <w:rPr>
          <w:rFonts w:hint="eastAsia" w:ascii="方正小标宋简体" w:hAnsi="方正小标宋简体" w:eastAsia="方正小标宋简体" w:cs="方正小标宋简体"/>
          <w:bCs/>
          <w:color w:val="000000" w:themeColor="text1"/>
          <w:sz w:val="52"/>
          <w:szCs w:val="52"/>
          <w14:textFill>
            <w14:solidFill>
              <w14:schemeClr w14:val="tx1"/>
            </w14:solidFill>
          </w14:textFill>
        </w:rPr>
      </w:pPr>
      <w:r>
        <w:rPr>
          <w:rFonts w:hint="eastAsia" w:ascii="方正小标宋简体" w:hAnsi="方正小标宋简体" w:eastAsia="方正小标宋简体" w:cs="方正小标宋简体"/>
          <w:bCs/>
          <w:color w:val="000000" w:themeColor="text1"/>
          <w:sz w:val="52"/>
          <w:szCs w:val="52"/>
          <w14:textFill>
            <w14:solidFill>
              <w14:schemeClr w14:val="tx1"/>
            </w14:solidFill>
          </w14:textFill>
        </w:rPr>
        <w:t>气象事业发展规划</w:t>
      </w:r>
    </w:p>
    <w:p w14:paraId="3D62EB4D">
      <w:pPr>
        <w:tabs>
          <w:tab w:val="left" w:pos="8364"/>
        </w:tabs>
        <w:spacing w:line="360" w:lineRule="auto"/>
        <w:rPr>
          <w:rFonts w:hint="default" w:ascii="方正小标宋简体" w:hAnsi="方正小标宋简体" w:eastAsia="方正小标宋简体" w:cs="方正小标宋简体"/>
          <w:bCs/>
          <w:color w:val="000000" w:themeColor="text1"/>
          <w:sz w:val="52"/>
          <w:szCs w:val="52"/>
          <w:lang w:val="en-US" w:eastAsia="zh-CN"/>
          <w14:textFill>
            <w14:solidFill>
              <w14:schemeClr w14:val="tx1"/>
            </w14:solidFill>
          </w14:textFill>
        </w:rPr>
      </w:pPr>
      <w:r>
        <w:rPr>
          <w:rFonts w:hint="eastAsia" w:eastAsia="黑体"/>
          <w:color w:val="000000" w:themeColor="text1"/>
          <w:szCs w:val="32"/>
          <w:lang w:val="en-US" w:eastAsia="zh-CN"/>
          <w14:textFill>
            <w14:solidFill>
              <w14:schemeClr w14:val="tx1"/>
            </w14:solidFill>
          </w14:textFill>
        </w:rPr>
        <w:t xml:space="preserve">                             </w:t>
      </w:r>
      <w:bookmarkStart w:id="48" w:name="_GoBack"/>
      <w:bookmarkEnd w:id="48"/>
      <w:r>
        <w:rPr>
          <w:rFonts w:hint="eastAsia" w:ascii="方正小标宋简体" w:hAnsi="方正小标宋简体" w:eastAsia="方正小标宋简体" w:cs="方正小标宋简体"/>
          <w:bCs/>
          <w:color w:val="000000" w:themeColor="text1"/>
          <w:sz w:val="52"/>
          <w:szCs w:val="52"/>
          <w:lang w:val="en-US" w:eastAsia="zh-CN"/>
          <w14:textFill>
            <w14:solidFill>
              <w14:schemeClr w14:val="tx1"/>
            </w14:solidFill>
          </w14:textFill>
        </w:rPr>
        <w:t>（征求意见稿）</w:t>
      </w:r>
    </w:p>
    <w:p w14:paraId="0C41330B">
      <w:pPr>
        <w:tabs>
          <w:tab w:val="left" w:pos="8364"/>
        </w:tabs>
        <w:spacing w:line="360" w:lineRule="auto"/>
        <w:ind w:firstLine="640"/>
        <w:jc w:val="center"/>
        <w:rPr>
          <w:rFonts w:eastAsia="黑体"/>
          <w:color w:val="000000" w:themeColor="text1"/>
          <w:szCs w:val="32"/>
          <w14:textFill>
            <w14:solidFill>
              <w14:schemeClr w14:val="tx1"/>
            </w14:solidFill>
          </w14:textFill>
        </w:rPr>
      </w:pPr>
    </w:p>
    <w:p w14:paraId="46C55DBB">
      <w:pPr>
        <w:tabs>
          <w:tab w:val="left" w:pos="8364"/>
        </w:tabs>
        <w:spacing w:line="360" w:lineRule="auto"/>
        <w:ind w:firstLine="640"/>
        <w:jc w:val="center"/>
        <w:rPr>
          <w:rFonts w:eastAsia="黑体"/>
          <w:color w:val="000000" w:themeColor="text1"/>
          <w:szCs w:val="32"/>
          <w14:textFill>
            <w14:solidFill>
              <w14:schemeClr w14:val="tx1"/>
            </w14:solidFill>
          </w14:textFill>
        </w:rPr>
      </w:pPr>
    </w:p>
    <w:p w14:paraId="6839CAF1">
      <w:pPr>
        <w:tabs>
          <w:tab w:val="left" w:pos="8364"/>
        </w:tabs>
        <w:spacing w:line="360" w:lineRule="auto"/>
        <w:ind w:firstLine="640"/>
        <w:jc w:val="center"/>
        <w:rPr>
          <w:rFonts w:eastAsia="黑体"/>
          <w:color w:val="000000" w:themeColor="text1"/>
          <w:szCs w:val="32"/>
          <w14:textFill>
            <w14:solidFill>
              <w14:schemeClr w14:val="tx1"/>
            </w14:solidFill>
          </w14:textFill>
        </w:rPr>
      </w:pPr>
    </w:p>
    <w:p w14:paraId="46170110">
      <w:pPr>
        <w:tabs>
          <w:tab w:val="left" w:pos="8364"/>
        </w:tabs>
        <w:spacing w:line="360" w:lineRule="auto"/>
        <w:ind w:firstLine="640"/>
        <w:jc w:val="center"/>
        <w:rPr>
          <w:rFonts w:eastAsia="黑体"/>
          <w:color w:val="000000" w:themeColor="text1"/>
          <w:szCs w:val="32"/>
          <w14:textFill>
            <w14:solidFill>
              <w14:schemeClr w14:val="tx1"/>
            </w14:solidFill>
          </w14:textFill>
        </w:rPr>
      </w:pPr>
    </w:p>
    <w:p w14:paraId="2FCFCF85">
      <w:pPr>
        <w:tabs>
          <w:tab w:val="left" w:pos="142"/>
        </w:tabs>
        <w:adjustRightInd w:val="0"/>
        <w:snapToGrid w:val="0"/>
        <w:spacing w:line="360" w:lineRule="auto"/>
        <w:ind w:right="-99" w:rightChars="-47" w:firstLine="640"/>
        <w:jc w:val="center"/>
        <w:rPr>
          <w:rFonts w:hint="eastAsia" w:ascii="黑体" w:hAnsi="黑体" w:eastAsia="黑体" w:cs="黑体"/>
          <w:color w:val="000000" w:themeColor="text1"/>
          <w:sz w:val="32"/>
          <w:szCs w:val="48"/>
          <w14:textFill>
            <w14:solidFill>
              <w14:schemeClr w14:val="tx1"/>
            </w14:solidFill>
          </w14:textFill>
        </w:rPr>
      </w:pPr>
      <w:r>
        <w:rPr>
          <w:rFonts w:hint="eastAsia" w:ascii="黑体" w:hAnsi="黑体" w:eastAsia="黑体" w:cs="黑体"/>
          <w:color w:val="000000" w:themeColor="text1"/>
          <w:sz w:val="32"/>
          <w:szCs w:val="48"/>
          <w14:textFill>
            <w14:solidFill>
              <w14:schemeClr w14:val="tx1"/>
            </w14:solidFill>
          </w14:textFill>
        </w:rPr>
        <w:t>北京市丰台区气象局</w:t>
      </w:r>
    </w:p>
    <w:p w14:paraId="635739D5">
      <w:pPr>
        <w:tabs>
          <w:tab w:val="left" w:pos="142"/>
        </w:tabs>
        <w:adjustRightInd w:val="0"/>
        <w:snapToGrid w:val="0"/>
        <w:spacing w:line="360" w:lineRule="auto"/>
        <w:ind w:right="-99" w:rightChars="-47" w:firstLine="640"/>
        <w:jc w:val="center"/>
        <w:rPr>
          <w:rFonts w:hint="eastAsia" w:ascii="黑体" w:hAnsi="黑体" w:eastAsia="黑体" w:cs="黑体"/>
          <w:color w:val="000000" w:themeColor="text1"/>
          <w:sz w:val="32"/>
          <w:szCs w:val="48"/>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fmt="numberInDash" w:start="1"/>
          <w:cols w:space="0" w:num="1"/>
          <w:titlePg/>
          <w:docGrid w:type="lines" w:linePitch="312" w:charSpace="0"/>
        </w:sectPr>
      </w:pPr>
      <w:r>
        <w:rPr>
          <w:rFonts w:hint="eastAsia" w:ascii="黑体" w:hAnsi="黑体" w:eastAsia="黑体" w:cs="黑体"/>
          <w:color w:val="000000" w:themeColor="text1"/>
          <w:sz w:val="32"/>
          <w:szCs w:val="48"/>
          <w14:textFill>
            <w14:solidFill>
              <w14:schemeClr w14:val="tx1"/>
            </w14:solidFill>
          </w14:textFill>
        </w:rPr>
        <w:t>2026年10月</w:t>
      </w:r>
    </w:p>
    <w:sdt>
      <w:sdtPr>
        <w:rPr>
          <w:rFonts w:asciiTheme="minorHAnsi" w:hAnsiTheme="minorHAnsi" w:eastAsiaTheme="minorEastAsia" w:cstheme="minorBidi"/>
          <w:color w:val="auto"/>
          <w:kern w:val="2"/>
          <w:sz w:val="21"/>
          <w:szCs w:val="24"/>
          <w:lang w:val="zh-CN"/>
        </w:rPr>
        <w:id w:val="729432981"/>
        <w:docPartObj>
          <w:docPartGallery w:val="Table of Contents"/>
          <w:docPartUnique/>
        </w:docPartObj>
      </w:sdtPr>
      <w:sdtEndPr>
        <w:rPr>
          <w:rFonts w:asciiTheme="minorHAnsi" w:hAnsiTheme="minorHAnsi" w:eastAsiaTheme="minorEastAsia" w:cstheme="minorBidi"/>
          <w:b/>
          <w:bCs/>
          <w:color w:val="auto"/>
          <w:kern w:val="2"/>
          <w:sz w:val="21"/>
          <w:szCs w:val="24"/>
          <w:lang w:val="zh-CN"/>
        </w:rPr>
      </w:sdtEndPr>
      <w:sdtContent>
        <w:p w14:paraId="231A31CC">
          <w:pPr>
            <w:pStyle w:val="23"/>
            <w:jc w:val="center"/>
            <w:rPr>
              <w:b/>
              <w:bCs/>
              <w:color w:val="auto"/>
            </w:rPr>
          </w:pPr>
          <w:r>
            <w:rPr>
              <w:b/>
              <w:bCs/>
              <w:color w:val="auto"/>
              <w:lang w:val="zh-CN"/>
            </w:rPr>
            <w:t>目录</w:t>
          </w:r>
        </w:p>
        <w:p w14:paraId="0603A5D1">
          <w:pPr>
            <w:pStyle w:val="9"/>
            <w:tabs>
              <w:tab w:val="right" w:leader="dot" w:pos="8302"/>
            </w:tabs>
            <w:rPr>
              <w:rFonts w:hint="eastAsia" w:eastAsiaTheme="minorEastAsia"/>
              <w:sz w:val="22"/>
              <w14:ligatures w14:val="standardContextual"/>
            </w:rPr>
          </w:pPr>
          <w:r>
            <w:fldChar w:fldCharType="begin"/>
          </w:r>
          <w:r>
            <w:instrText xml:space="preserve"> TOC \o "1-3" \h \z \u </w:instrText>
          </w:r>
          <w:r>
            <w:fldChar w:fldCharType="separate"/>
          </w:r>
          <w:r>
            <w:fldChar w:fldCharType="begin"/>
          </w:r>
          <w:r>
            <w:instrText xml:space="preserve"> HYPERLINK \l "_Toc243552412" </w:instrText>
          </w:r>
          <w:r>
            <w:fldChar w:fldCharType="separate"/>
          </w:r>
          <w:r>
            <w:rPr>
              <w:rStyle w:val="13"/>
              <w:lang w:bidi="ar"/>
            </w:rPr>
            <w:t>一、指导思想</w:t>
          </w:r>
          <w:r>
            <w:rPr>
              <w:rFonts w:hint="eastAsia"/>
            </w:rPr>
            <w:tab/>
          </w:r>
          <w:r>
            <w:rPr>
              <w:rFonts w:hint="eastAsia"/>
            </w:rPr>
            <w:fldChar w:fldCharType="begin"/>
          </w:r>
          <w:r>
            <w:rPr>
              <w:rFonts w:hint="eastAsia"/>
            </w:rPr>
            <w:instrText xml:space="preserve"> </w:instrText>
          </w:r>
          <w:r>
            <w:instrText xml:space="preserve">PAGEREF _Toc243552412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2C432C2">
          <w:pPr>
            <w:pStyle w:val="9"/>
            <w:tabs>
              <w:tab w:val="right" w:leader="dot" w:pos="8302"/>
            </w:tabs>
            <w:rPr>
              <w:rFonts w:hint="eastAsia" w:eastAsiaTheme="minorEastAsia"/>
              <w:sz w:val="22"/>
              <w14:ligatures w14:val="standardContextual"/>
            </w:rPr>
          </w:pPr>
          <w:r>
            <w:fldChar w:fldCharType="begin"/>
          </w:r>
          <w:r>
            <w:instrText xml:space="preserve"> HYPERLINK \l "_Toc243552413" </w:instrText>
          </w:r>
          <w:r>
            <w:fldChar w:fldCharType="separate"/>
          </w:r>
          <w:r>
            <w:rPr>
              <w:rStyle w:val="13"/>
              <w:lang w:bidi="ar"/>
            </w:rPr>
            <w:t>二、基本原则</w:t>
          </w:r>
          <w:r>
            <w:rPr>
              <w:rFonts w:hint="eastAsia"/>
            </w:rPr>
            <w:tab/>
          </w:r>
          <w:r>
            <w:rPr>
              <w:rFonts w:hint="eastAsia"/>
            </w:rPr>
            <w:fldChar w:fldCharType="begin"/>
          </w:r>
          <w:r>
            <w:rPr>
              <w:rFonts w:hint="eastAsia"/>
            </w:rPr>
            <w:instrText xml:space="preserve"> </w:instrText>
          </w:r>
          <w:r>
            <w:instrText xml:space="preserve">PAGEREF _Toc243552413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3B02DA7">
          <w:pPr>
            <w:pStyle w:val="9"/>
            <w:tabs>
              <w:tab w:val="right" w:leader="dot" w:pos="8302"/>
            </w:tabs>
            <w:rPr>
              <w:rFonts w:hint="eastAsia" w:eastAsiaTheme="minorEastAsia"/>
              <w:sz w:val="22"/>
              <w14:ligatures w14:val="standardContextual"/>
            </w:rPr>
          </w:pPr>
          <w:r>
            <w:fldChar w:fldCharType="begin"/>
          </w:r>
          <w:r>
            <w:instrText xml:space="preserve"> HYPERLINK \l "_Toc243552414" </w:instrText>
          </w:r>
          <w:r>
            <w:fldChar w:fldCharType="separate"/>
          </w:r>
          <w:r>
            <w:rPr>
              <w:rStyle w:val="13"/>
              <w:lang w:bidi="ar"/>
            </w:rPr>
            <w:t>三、发展目标</w:t>
          </w:r>
          <w:r>
            <w:rPr>
              <w:rFonts w:hint="eastAsia"/>
            </w:rPr>
            <w:tab/>
          </w:r>
          <w:r>
            <w:rPr>
              <w:rFonts w:hint="eastAsia"/>
            </w:rPr>
            <w:fldChar w:fldCharType="begin"/>
          </w:r>
          <w:r>
            <w:rPr>
              <w:rFonts w:hint="eastAsia"/>
            </w:rPr>
            <w:instrText xml:space="preserve"> </w:instrText>
          </w:r>
          <w:r>
            <w:instrText xml:space="preserve">PAGEREF _Toc243552414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977B59E">
          <w:pPr>
            <w:pStyle w:val="10"/>
            <w:tabs>
              <w:tab w:val="right" w:leader="dot" w:pos="8302"/>
            </w:tabs>
            <w:rPr>
              <w:rFonts w:hint="eastAsia" w:eastAsiaTheme="minorEastAsia"/>
              <w:sz w:val="22"/>
              <w14:ligatures w14:val="standardContextual"/>
            </w:rPr>
          </w:pPr>
          <w:r>
            <w:fldChar w:fldCharType="begin"/>
          </w:r>
          <w:r>
            <w:instrText xml:space="preserve"> HYPERLINK \l "_Toc243552415" </w:instrText>
          </w:r>
          <w:r>
            <w:fldChar w:fldCharType="separate"/>
          </w:r>
          <w:r>
            <w:rPr>
              <w:rStyle w:val="13"/>
              <w:rFonts w:hAnsi="Calibri" w:cs="Calibri"/>
              <w:lang w:bidi="ar"/>
            </w:rPr>
            <w:t>（一）</w:t>
          </w:r>
          <w:r>
            <w:rPr>
              <w:rStyle w:val="13"/>
              <w:lang w:bidi="ar"/>
            </w:rPr>
            <w:t>监测能力实现智慧化综合覆盖</w:t>
          </w:r>
          <w:r>
            <w:rPr>
              <w:rFonts w:hint="eastAsia"/>
            </w:rPr>
            <w:tab/>
          </w:r>
          <w:r>
            <w:rPr>
              <w:rFonts w:hint="eastAsia"/>
            </w:rPr>
            <w:fldChar w:fldCharType="begin"/>
          </w:r>
          <w:r>
            <w:rPr>
              <w:rFonts w:hint="eastAsia"/>
            </w:rPr>
            <w:instrText xml:space="preserve"> </w:instrText>
          </w:r>
          <w:r>
            <w:instrText xml:space="preserve">PAGEREF _Toc243552415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CBADAA1">
          <w:pPr>
            <w:pStyle w:val="10"/>
            <w:tabs>
              <w:tab w:val="right" w:leader="dot" w:pos="8302"/>
            </w:tabs>
            <w:rPr>
              <w:rFonts w:hint="eastAsia" w:eastAsiaTheme="minorEastAsia"/>
              <w:sz w:val="22"/>
              <w14:ligatures w14:val="standardContextual"/>
            </w:rPr>
          </w:pPr>
          <w:r>
            <w:fldChar w:fldCharType="begin"/>
          </w:r>
          <w:r>
            <w:instrText xml:space="preserve"> HYPERLINK \l "_Toc243552416" </w:instrText>
          </w:r>
          <w:r>
            <w:fldChar w:fldCharType="separate"/>
          </w:r>
          <w:r>
            <w:rPr>
              <w:rStyle w:val="13"/>
              <w:lang w:bidi="ar"/>
            </w:rPr>
            <w:t>（二）预报预警能力迈入精准化新阶段</w:t>
          </w:r>
          <w:r>
            <w:rPr>
              <w:rFonts w:hint="eastAsia"/>
            </w:rPr>
            <w:tab/>
          </w:r>
          <w:r>
            <w:rPr>
              <w:rFonts w:hint="eastAsia"/>
            </w:rPr>
            <w:fldChar w:fldCharType="begin"/>
          </w:r>
          <w:r>
            <w:rPr>
              <w:rFonts w:hint="eastAsia"/>
            </w:rPr>
            <w:instrText xml:space="preserve"> </w:instrText>
          </w:r>
          <w:r>
            <w:instrText xml:space="preserve">PAGEREF _Toc243552416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DD3CDC4">
          <w:pPr>
            <w:pStyle w:val="10"/>
            <w:tabs>
              <w:tab w:val="right" w:leader="dot" w:pos="8302"/>
            </w:tabs>
            <w:rPr>
              <w:rFonts w:hint="eastAsia" w:eastAsiaTheme="minorEastAsia"/>
              <w:sz w:val="22"/>
              <w14:ligatures w14:val="standardContextual"/>
            </w:rPr>
          </w:pPr>
          <w:r>
            <w:fldChar w:fldCharType="begin"/>
          </w:r>
          <w:r>
            <w:instrText xml:space="preserve"> HYPERLINK \l "_Toc243552417" </w:instrText>
          </w:r>
          <w:r>
            <w:fldChar w:fldCharType="separate"/>
          </w:r>
          <w:r>
            <w:rPr>
              <w:rStyle w:val="13"/>
              <w:lang w:bidi="ar"/>
            </w:rPr>
            <w:t>（三）气象服务实现场景化深度融合</w:t>
          </w:r>
          <w:r>
            <w:rPr>
              <w:rFonts w:hint="eastAsia"/>
            </w:rPr>
            <w:tab/>
          </w:r>
          <w:r>
            <w:rPr>
              <w:rFonts w:hint="eastAsia"/>
            </w:rPr>
            <w:fldChar w:fldCharType="begin"/>
          </w:r>
          <w:r>
            <w:rPr>
              <w:rFonts w:hint="eastAsia"/>
            </w:rPr>
            <w:instrText xml:space="preserve"> </w:instrText>
          </w:r>
          <w:r>
            <w:instrText xml:space="preserve">PAGEREF _Toc243552417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125B6119">
          <w:pPr>
            <w:pStyle w:val="10"/>
            <w:tabs>
              <w:tab w:val="right" w:leader="dot" w:pos="8302"/>
            </w:tabs>
            <w:rPr>
              <w:rFonts w:hint="eastAsia" w:eastAsiaTheme="minorEastAsia"/>
              <w:sz w:val="22"/>
              <w14:ligatures w14:val="standardContextual"/>
            </w:rPr>
          </w:pPr>
          <w:r>
            <w:fldChar w:fldCharType="begin"/>
          </w:r>
          <w:r>
            <w:instrText xml:space="preserve"> HYPERLINK \l "_Toc243552418" </w:instrText>
          </w:r>
          <w:r>
            <w:fldChar w:fldCharType="separate"/>
          </w:r>
          <w:r>
            <w:rPr>
              <w:rStyle w:val="13"/>
              <w:lang w:bidi="ar"/>
            </w:rPr>
            <w:t>（四）气象数据赋能城市治理显著提升</w:t>
          </w:r>
          <w:r>
            <w:rPr>
              <w:rFonts w:hint="eastAsia"/>
            </w:rPr>
            <w:tab/>
          </w:r>
          <w:r>
            <w:rPr>
              <w:rFonts w:hint="eastAsia"/>
            </w:rPr>
            <w:fldChar w:fldCharType="begin"/>
          </w:r>
          <w:r>
            <w:rPr>
              <w:rFonts w:hint="eastAsia"/>
            </w:rPr>
            <w:instrText xml:space="preserve"> </w:instrText>
          </w:r>
          <w:r>
            <w:instrText xml:space="preserve">PAGEREF _Toc243552418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55629170">
          <w:pPr>
            <w:pStyle w:val="10"/>
            <w:tabs>
              <w:tab w:val="right" w:leader="dot" w:pos="8302"/>
            </w:tabs>
            <w:rPr>
              <w:rFonts w:hint="eastAsia" w:eastAsiaTheme="minorEastAsia"/>
              <w:sz w:val="22"/>
              <w14:ligatures w14:val="standardContextual"/>
            </w:rPr>
          </w:pPr>
          <w:r>
            <w:fldChar w:fldCharType="begin"/>
          </w:r>
          <w:r>
            <w:instrText xml:space="preserve"> HYPERLINK \l "_Toc243552419" </w:instrText>
          </w:r>
          <w:r>
            <w:fldChar w:fldCharType="separate"/>
          </w:r>
          <w:r>
            <w:rPr>
              <w:rStyle w:val="13"/>
              <w:lang w:bidi="ar"/>
            </w:rPr>
            <w:t>（五）公众气象服务实现普惠化精准触达</w:t>
          </w:r>
          <w:r>
            <w:rPr>
              <w:rFonts w:hint="eastAsia"/>
            </w:rPr>
            <w:tab/>
          </w:r>
          <w:r>
            <w:rPr>
              <w:rFonts w:hint="eastAsia"/>
            </w:rPr>
            <w:fldChar w:fldCharType="begin"/>
          </w:r>
          <w:r>
            <w:rPr>
              <w:rFonts w:hint="eastAsia"/>
            </w:rPr>
            <w:instrText xml:space="preserve"> </w:instrText>
          </w:r>
          <w:r>
            <w:instrText xml:space="preserve">PAGEREF _Toc243552419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63DCA86">
          <w:pPr>
            <w:pStyle w:val="10"/>
            <w:tabs>
              <w:tab w:val="right" w:leader="dot" w:pos="8302"/>
            </w:tabs>
            <w:rPr>
              <w:rFonts w:hint="eastAsia" w:eastAsiaTheme="minorEastAsia"/>
              <w:sz w:val="22"/>
              <w14:ligatures w14:val="standardContextual"/>
            </w:rPr>
          </w:pPr>
          <w:r>
            <w:fldChar w:fldCharType="begin"/>
          </w:r>
          <w:r>
            <w:instrText xml:space="preserve"> HYPERLINK \l "_Toc243552420" </w:instrText>
          </w:r>
          <w:r>
            <w:fldChar w:fldCharType="separate"/>
          </w:r>
          <w:r>
            <w:rPr>
              <w:rStyle w:val="13"/>
              <w:lang w:bidi="ar"/>
            </w:rPr>
            <w:t>（六）气象法治能力显著提升</w:t>
          </w:r>
          <w:r>
            <w:rPr>
              <w:rFonts w:hint="eastAsia"/>
            </w:rPr>
            <w:tab/>
          </w:r>
          <w:r>
            <w:rPr>
              <w:rFonts w:hint="eastAsia"/>
            </w:rPr>
            <w:fldChar w:fldCharType="begin"/>
          </w:r>
          <w:r>
            <w:rPr>
              <w:rFonts w:hint="eastAsia"/>
            </w:rPr>
            <w:instrText xml:space="preserve"> </w:instrText>
          </w:r>
          <w:r>
            <w:instrText xml:space="preserve">PAGEREF _Toc243552420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0F57A2DD">
          <w:pPr>
            <w:pStyle w:val="10"/>
            <w:tabs>
              <w:tab w:val="right" w:leader="dot" w:pos="8302"/>
            </w:tabs>
            <w:rPr>
              <w:rFonts w:hint="eastAsia" w:eastAsiaTheme="minorEastAsia"/>
              <w:sz w:val="22"/>
              <w14:ligatures w14:val="standardContextual"/>
            </w:rPr>
          </w:pPr>
          <w:r>
            <w:fldChar w:fldCharType="begin"/>
          </w:r>
          <w:r>
            <w:instrText xml:space="preserve"> HYPERLINK \l "_Toc243552421" </w:instrText>
          </w:r>
          <w:r>
            <w:fldChar w:fldCharType="separate"/>
          </w:r>
          <w:r>
            <w:rPr>
              <w:rStyle w:val="13"/>
              <w:lang w:bidi="ar"/>
            </w:rPr>
            <w:t>（七）气象科普教育实现社会化共建共享</w:t>
          </w:r>
          <w:r>
            <w:rPr>
              <w:rFonts w:hint="eastAsia"/>
            </w:rPr>
            <w:tab/>
          </w:r>
          <w:r>
            <w:rPr>
              <w:rFonts w:hint="eastAsia"/>
            </w:rPr>
            <w:fldChar w:fldCharType="begin"/>
          </w:r>
          <w:r>
            <w:rPr>
              <w:rFonts w:hint="eastAsia"/>
            </w:rPr>
            <w:instrText xml:space="preserve"> </w:instrText>
          </w:r>
          <w:r>
            <w:instrText xml:space="preserve">PAGEREF _Toc243552421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09F7BD2D">
          <w:pPr>
            <w:pStyle w:val="10"/>
            <w:tabs>
              <w:tab w:val="right" w:leader="dot" w:pos="8302"/>
            </w:tabs>
            <w:rPr>
              <w:rFonts w:hint="eastAsia" w:eastAsiaTheme="minorEastAsia"/>
              <w:sz w:val="22"/>
              <w14:ligatures w14:val="standardContextual"/>
            </w:rPr>
          </w:pPr>
          <w:r>
            <w:fldChar w:fldCharType="begin"/>
          </w:r>
          <w:r>
            <w:instrText xml:space="preserve"> HYPERLINK \l "_Toc243552422" </w:instrText>
          </w:r>
          <w:r>
            <w:fldChar w:fldCharType="separate"/>
          </w:r>
          <w:r>
            <w:rPr>
              <w:rStyle w:val="13"/>
              <w:lang w:bidi="ar"/>
            </w:rPr>
            <w:t>（八）移动应急气象保障能力实现机动高效</w:t>
          </w:r>
          <w:r>
            <w:rPr>
              <w:rFonts w:hint="eastAsia"/>
            </w:rPr>
            <w:tab/>
          </w:r>
          <w:r>
            <w:rPr>
              <w:rFonts w:hint="eastAsia"/>
            </w:rPr>
            <w:fldChar w:fldCharType="begin"/>
          </w:r>
          <w:r>
            <w:rPr>
              <w:rFonts w:hint="eastAsia"/>
            </w:rPr>
            <w:instrText xml:space="preserve"> </w:instrText>
          </w:r>
          <w:r>
            <w:instrText xml:space="preserve">PAGEREF _Toc243552422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3B9512F2">
          <w:pPr>
            <w:pStyle w:val="10"/>
            <w:tabs>
              <w:tab w:val="right" w:leader="dot" w:pos="8302"/>
            </w:tabs>
            <w:rPr>
              <w:rFonts w:hint="eastAsia" w:eastAsiaTheme="minorEastAsia"/>
              <w:sz w:val="22"/>
              <w14:ligatures w14:val="standardContextual"/>
            </w:rPr>
          </w:pPr>
          <w:r>
            <w:fldChar w:fldCharType="begin"/>
          </w:r>
          <w:r>
            <w:instrText xml:space="preserve"> HYPERLINK \l "_Toc243552423" </w:instrText>
          </w:r>
          <w:r>
            <w:fldChar w:fldCharType="separate"/>
          </w:r>
          <w:r>
            <w:rPr>
              <w:rStyle w:val="13"/>
              <w:lang w:bidi="ar"/>
            </w:rPr>
            <w:t>（九）人才与科技支撑能力实现突破性提升</w:t>
          </w:r>
          <w:r>
            <w:rPr>
              <w:rFonts w:hint="eastAsia"/>
            </w:rPr>
            <w:tab/>
          </w:r>
          <w:r>
            <w:rPr>
              <w:rFonts w:hint="eastAsia"/>
            </w:rPr>
            <w:fldChar w:fldCharType="begin"/>
          </w:r>
          <w:r>
            <w:rPr>
              <w:rFonts w:hint="eastAsia"/>
            </w:rPr>
            <w:instrText xml:space="preserve"> </w:instrText>
          </w:r>
          <w:r>
            <w:instrText xml:space="preserve">PAGEREF _Toc243552423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18550CC5">
          <w:pPr>
            <w:pStyle w:val="10"/>
            <w:tabs>
              <w:tab w:val="right" w:leader="dot" w:pos="8302"/>
            </w:tabs>
            <w:rPr>
              <w:rFonts w:hint="eastAsia" w:eastAsiaTheme="minorEastAsia"/>
              <w:sz w:val="22"/>
              <w14:ligatures w14:val="standardContextual"/>
            </w:rPr>
          </w:pPr>
          <w:r>
            <w:fldChar w:fldCharType="begin"/>
          </w:r>
          <w:r>
            <w:instrText xml:space="preserve"> HYPERLINK \l "_Toc243552424" </w:instrText>
          </w:r>
          <w:r>
            <w:fldChar w:fldCharType="separate"/>
          </w:r>
          <w:r>
            <w:rPr>
              <w:rStyle w:val="13"/>
              <w:lang w:bidi="ar"/>
            </w:rPr>
            <w:t>（十）市级规划指标对标</w:t>
          </w:r>
          <w:r>
            <w:rPr>
              <w:rFonts w:hint="eastAsia"/>
            </w:rPr>
            <w:tab/>
          </w:r>
          <w:r>
            <w:rPr>
              <w:rFonts w:hint="eastAsia"/>
            </w:rPr>
            <w:fldChar w:fldCharType="begin"/>
          </w:r>
          <w:r>
            <w:rPr>
              <w:rFonts w:hint="eastAsia"/>
            </w:rPr>
            <w:instrText xml:space="preserve"> </w:instrText>
          </w:r>
          <w:r>
            <w:instrText xml:space="preserve">PAGEREF _Toc243552424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3AAE574D">
          <w:pPr>
            <w:pStyle w:val="9"/>
            <w:tabs>
              <w:tab w:val="right" w:leader="dot" w:pos="8302"/>
            </w:tabs>
            <w:rPr>
              <w:rFonts w:hint="eastAsia" w:eastAsiaTheme="minorEastAsia"/>
              <w:sz w:val="22"/>
              <w14:ligatures w14:val="standardContextual"/>
            </w:rPr>
          </w:pPr>
          <w:r>
            <w:fldChar w:fldCharType="begin"/>
          </w:r>
          <w:r>
            <w:instrText xml:space="preserve"> HYPERLINK \l "_Toc243552425" </w:instrText>
          </w:r>
          <w:r>
            <w:fldChar w:fldCharType="separate"/>
          </w:r>
          <w:r>
            <w:rPr>
              <w:rStyle w:val="13"/>
              <w:lang w:bidi="ar"/>
            </w:rPr>
            <w:t>四、主要任务</w:t>
          </w:r>
          <w:r>
            <w:rPr>
              <w:rFonts w:hint="eastAsia"/>
            </w:rPr>
            <w:tab/>
          </w:r>
          <w:r>
            <w:rPr>
              <w:rFonts w:hint="eastAsia"/>
            </w:rPr>
            <w:fldChar w:fldCharType="begin"/>
          </w:r>
          <w:r>
            <w:rPr>
              <w:rFonts w:hint="eastAsia"/>
            </w:rPr>
            <w:instrText xml:space="preserve"> </w:instrText>
          </w:r>
          <w:r>
            <w:instrText xml:space="preserve">PAGEREF _Toc243552425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6A0CC3BD">
          <w:pPr>
            <w:pStyle w:val="10"/>
            <w:tabs>
              <w:tab w:val="right" w:leader="dot" w:pos="8302"/>
            </w:tabs>
            <w:rPr>
              <w:rFonts w:hint="eastAsia" w:eastAsiaTheme="minorEastAsia"/>
              <w:sz w:val="22"/>
              <w14:ligatures w14:val="standardContextual"/>
            </w:rPr>
          </w:pPr>
          <w:r>
            <w:fldChar w:fldCharType="begin"/>
          </w:r>
          <w:r>
            <w:instrText xml:space="preserve"> HYPERLINK \l "_Toc243552426" </w:instrText>
          </w:r>
          <w:r>
            <w:fldChar w:fldCharType="separate"/>
          </w:r>
          <w:r>
            <w:rPr>
              <w:rStyle w:val="13"/>
              <w:lang w:bidi="ar"/>
            </w:rPr>
            <w:t>（一）深度融入“三化五区”发展格局，强化气象对区域高质量发展的支撑赋能作用</w:t>
          </w:r>
          <w:r>
            <w:rPr>
              <w:rFonts w:hint="eastAsia"/>
            </w:rPr>
            <w:tab/>
          </w:r>
          <w:r>
            <w:rPr>
              <w:rFonts w:hint="eastAsia"/>
            </w:rPr>
            <w:fldChar w:fldCharType="begin"/>
          </w:r>
          <w:r>
            <w:rPr>
              <w:rFonts w:hint="eastAsia"/>
            </w:rPr>
            <w:instrText xml:space="preserve"> </w:instrText>
          </w:r>
          <w:r>
            <w:instrText xml:space="preserve">PAGEREF _Toc243552426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192329BA">
          <w:pPr>
            <w:pStyle w:val="10"/>
            <w:tabs>
              <w:tab w:val="right" w:leader="dot" w:pos="8302"/>
            </w:tabs>
            <w:rPr>
              <w:rFonts w:hint="eastAsia" w:eastAsiaTheme="minorEastAsia"/>
              <w:sz w:val="22"/>
              <w14:ligatures w14:val="standardContextual"/>
            </w:rPr>
          </w:pPr>
          <w:r>
            <w:fldChar w:fldCharType="begin"/>
          </w:r>
          <w:r>
            <w:instrText xml:space="preserve"> HYPERLINK \l "_Toc243552427" </w:instrText>
          </w:r>
          <w:r>
            <w:fldChar w:fldCharType="separate"/>
          </w:r>
          <w:r>
            <w:rPr>
              <w:rStyle w:val="13"/>
              <w:lang w:bidi="ar"/>
            </w:rPr>
            <w:t>（二）强化智慧气象观测能力</w:t>
          </w:r>
          <w:r>
            <w:rPr>
              <w:rFonts w:hint="eastAsia"/>
            </w:rPr>
            <w:tab/>
          </w:r>
          <w:r>
            <w:rPr>
              <w:rFonts w:hint="eastAsia"/>
            </w:rPr>
            <w:fldChar w:fldCharType="begin"/>
          </w:r>
          <w:r>
            <w:rPr>
              <w:rFonts w:hint="eastAsia"/>
            </w:rPr>
            <w:instrText xml:space="preserve"> </w:instrText>
          </w:r>
          <w:r>
            <w:instrText xml:space="preserve">PAGEREF _Toc243552427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0857730D">
          <w:pPr>
            <w:pStyle w:val="10"/>
            <w:tabs>
              <w:tab w:val="right" w:leader="dot" w:pos="8302"/>
            </w:tabs>
            <w:rPr>
              <w:rFonts w:hint="eastAsia" w:eastAsiaTheme="minorEastAsia"/>
              <w:sz w:val="22"/>
              <w14:ligatures w14:val="standardContextual"/>
            </w:rPr>
          </w:pPr>
          <w:r>
            <w:fldChar w:fldCharType="begin"/>
          </w:r>
          <w:r>
            <w:instrText xml:space="preserve"> HYPERLINK \l "_Toc243552428" </w:instrText>
          </w:r>
          <w:r>
            <w:fldChar w:fldCharType="separate"/>
          </w:r>
          <w:r>
            <w:rPr>
              <w:rStyle w:val="13"/>
              <w:lang w:bidi="ar"/>
            </w:rPr>
            <w:t>（三）提升预报预警能力</w:t>
          </w:r>
          <w:r>
            <w:rPr>
              <w:rFonts w:hint="eastAsia"/>
            </w:rPr>
            <w:tab/>
          </w:r>
          <w:r>
            <w:rPr>
              <w:rFonts w:hint="eastAsia"/>
            </w:rPr>
            <w:fldChar w:fldCharType="begin"/>
          </w:r>
          <w:r>
            <w:rPr>
              <w:rFonts w:hint="eastAsia"/>
            </w:rPr>
            <w:instrText xml:space="preserve"> </w:instrText>
          </w:r>
          <w:r>
            <w:instrText xml:space="preserve">PAGEREF _Toc243552428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28708D8C">
          <w:pPr>
            <w:pStyle w:val="10"/>
            <w:tabs>
              <w:tab w:val="right" w:leader="dot" w:pos="8302"/>
            </w:tabs>
            <w:rPr>
              <w:rFonts w:hint="eastAsia" w:eastAsiaTheme="minorEastAsia"/>
              <w:sz w:val="22"/>
              <w14:ligatures w14:val="standardContextual"/>
            </w:rPr>
          </w:pPr>
          <w:r>
            <w:fldChar w:fldCharType="begin"/>
          </w:r>
          <w:r>
            <w:instrText xml:space="preserve"> HYPERLINK \l "_Toc243552429" </w:instrText>
          </w:r>
          <w:r>
            <w:fldChar w:fldCharType="separate"/>
          </w:r>
          <w:r>
            <w:rPr>
              <w:rStyle w:val="13"/>
              <w:lang w:bidi="ar"/>
            </w:rPr>
            <w:t>（四）创新气象服务产品</w:t>
          </w:r>
          <w:r>
            <w:rPr>
              <w:rFonts w:hint="eastAsia"/>
            </w:rPr>
            <w:tab/>
          </w:r>
          <w:r>
            <w:rPr>
              <w:rFonts w:hint="eastAsia"/>
            </w:rPr>
            <w:fldChar w:fldCharType="begin"/>
          </w:r>
          <w:r>
            <w:rPr>
              <w:rFonts w:hint="eastAsia"/>
            </w:rPr>
            <w:instrText xml:space="preserve"> </w:instrText>
          </w:r>
          <w:r>
            <w:instrText xml:space="preserve">PAGEREF _Toc243552429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2475B0D5">
          <w:pPr>
            <w:pStyle w:val="10"/>
            <w:tabs>
              <w:tab w:val="right" w:leader="dot" w:pos="8302"/>
            </w:tabs>
            <w:rPr>
              <w:rFonts w:hint="eastAsia" w:eastAsiaTheme="minorEastAsia"/>
              <w:sz w:val="22"/>
              <w14:ligatures w14:val="standardContextual"/>
            </w:rPr>
          </w:pPr>
          <w:r>
            <w:fldChar w:fldCharType="begin"/>
          </w:r>
          <w:r>
            <w:instrText xml:space="preserve"> HYPERLINK \l "_Toc243552430" </w:instrText>
          </w:r>
          <w:r>
            <w:fldChar w:fldCharType="separate"/>
          </w:r>
          <w:r>
            <w:rPr>
              <w:rStyle w:val="13"/>
              <w:lang w:bidi="ar"/>
            </w:rPr>
            <w:t>（五）深化气象数据与政府决策平台融合应用</w:t>
          </w:r>
          <w:r>
            <w:rPr>
              <w:rFonts w:hint="eastAsia"/>
            </w:rPr>
            <w:tab/>
          </w:r>
          <w:r>
            <w:rPr>
              <w:rFonts w:hint="eastAsia"/>
            </w:rPr>
            <w:fldChar w:fldCharType="begin"/>
          </w:r>
          <w:r>
            <w:rPr>
              <w:rFonts w:hint="eastAsia"/>
            </w:rPr>
            <w:instrText xml:space="preserve"> </w:instrText>
          </w:r>
          <w:r>
            <w:instrText xml:space="preserve">PAGEREF _Toc243552430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30770F8">
          <w:pPr>
            <w:pStyle w:val="10"/>
            <w:tabs>
              <w:tab w:val="right" w:leader="dot" w:pos="8302"/>
            </w:tabs>
            <w:rPr>
              <w:rFonts w:hint="eastAsia" w:eastAsiaTheme="minorEastAsia"/>
              <w:sz w:val="22"/>
              <w14:ligatures w14:val="standardContextual"/>
            </w:rPr>
          </w:pPr>
          <w:r>
            <w:fldChar w:fldCharType="begin"/>
          </w:r>
          <w:r>
            <w:instrText xml:space="preserve"> HYPERLINK \l "_Toc243552431" </w:instrText>
          </w:r>
          <w:r>
            <w:fldChar w:fldCharType="separate"/>
          </w:r>
          <w:r>
            <w:rPr>
              <w:rStyle w:val="13"/>
              <w:lang w:bidi="ar"/>
            </w:rPr>
            <w:t>（六）打造“丰台气象”智慧服务终端，提升公众服务覆盖面</w:t>
          </w:r>
          <w:r>
            <w:rPr>
              <w:rFonts w:hint="eastAsia"/>
            </w:rPr>
            <w:tab/>
          </w:r>
          <w:r>
            <w:rPr>
              <w:rFonts w:hint="eastAsia"/>
            </w:rPr>
            <w:fldChar w:fldCharType="begin"/>
          </w:r>
          <w:r>
            <w:rPr>
              <w:rFonts w:hint="eastAsia"/>
            </w:rPr>
            <w:instrText xml:space="preserve"> </w:instrText>
          </w:r>
          <w:r>
            <w:instrText xml:space="preserve">PAGEREF _Toc243552431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F3977B2">
          <w:pPr>
            <w:pStyle w:val="10"/>
            <w:tabs>
              <w:tab w:val="right" w:leader="dot" w:pos="8302"/>
            </w:tabs>
            <w:rPr>
              <w:rFonts w:hint="eastAsia" w:eastAsiaTheme="minorEastAsia"/>
              <w:sz w:val="22"/>
              <w14:ligatures w14:val="standardContextual"/>
            </w:rPr>
          </w:pPr>
          <w:r>
            <w:fldChar w:fldCharType="begin"/>
          </w:r>
          <w:r>
            <w:instrText xml:space="preserve"> HYPERLINK \l "_Toc243552432" </w:instrText>
          </w:r>
          <w:r>
            <w:fldChar w:fldCharType="separate"/>
          </w:r>
          <w:r>
            <w:rPr>
              <w:rStyle w:val="13"/>
              <w:lang w:bidi="ar"/>
            </w:rPr>
            <w:t>（七）强化气象执法，保障气象服务健康发展</w:t>
          </w:r>
          <w:r>
            <w:rPr>
              <w:rFonts w:hint="eastAsia"/>
            </w:rPr>
            <w:tab/>
          </w:r>
          <w:r>
            <w:rPr>
              <w:rFonts w:hint="eastAsia"/>
            </w:rPr>
            <w:fldChar w:fldCharType="begin"/>
          </w:r>
          <w:r>
            <w:rPr>
              <w:rFonts w:hint="eastAsia"/>
            </w:rPr>
            <w:instrText xml:space="preserve"> </w:instrText>
          </w:r>
          <w:r>
            <w:instrText xml:space="preserve">PAGEREF _Toc243552432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3A30F478">
          <w:pPr>
            <w:pStyle w:val="10"/>
            <w:tabs>
              <w:tab w:val="right" w:leader="dot" w:pos="8302"/>
            </w:tabs>
            <w:rPr>
              <w:rFonts w:hint="eastAsia" w:eastAsiaTheme="minorEastAsia"/>
              <w:sz w:val="22"/>
              <w14:ligatures w14:val="standardContextual"/>
            </w:rPr>
          </w:pPr>
          <w:r>
            <w:fldChar w:fldCharType="begin"/>
          </w:r>
          <w:r>
            <w:instrText xml:space="preserve"> HYPERLINK \l "_Toc243552433" </w:instrText>
          </w:r>
          <w:r>
            <w:fldChar w:fldCharType="separate"/>
          </w:r>
          <w:r>
            <w:rPr>
              <w:rStyle w:val="13"/>
              <w:lang w:bidi="ar"/>
            </w:rPr>
            <w:t>（八）深化气象科普教育体系，提升公众科学素质与防灾减灾能力</w:t>
          </w:r>
          <w:r>
            <w:rPr>
              <w:rFonts w:hint="eastAsia"/>
            </w:rPr>
            <w:tab/>
          </w:r>
          <w:r>
            <w:rPr>
              <w:rFonts w:hint="eastAsia"/>
            </w:rPr>
            <w:fldChar w:fldCharType="begin"/>
          </w:r>
          <w:r>
            <w:rPr>
              <w:rFonts w:hint="eastAsia"/>
            </w:rPr>
            <w:instrText xml:space="preserve"> </w:instrText>
          </w:r>
          <w:r>
            <w:instrText xml:space="preserve">PAGEREF _Toc243552433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7DF377BE">
          <w:pPr>
            <w:pStyle w:val="10"/>
            <w:tabs>
              <w:tab w:val="right" w:leader="dot" w:pos="8302"/>
            </w:tabs>
            <w:rPr>
              <w:rFonts w:hint="eastAsia" w:eastAsiaTheme="minorEastAsia"/>
              <w:sz w:val="22"/>
              <w14:ligatures w14:val="standardContextual"/>
            </w:rPr>
          </w:pPr>
          <w:r>
            <w:fldChar w:fldCharType="begin"/>
          </w:r>
          <w:r>
            <w:instrText xml:space="preserve"> HYPERLINK \l "_Toc243552434" </w:instrText>
          </w:r>
          <w:r>
            <w:fldChar w:fldCharType="separate"/>
          </w:r>
          <w:r>
            <w:rPr>
              <w:rStyle w:val="13"/>
              <w:lang w:bidi="ar"/>
            </w:rPr>
            <w:t>（九）构建现代化移动应急气象服务保障体系，提升突发事件现场处置能力</w:t>
          </w:r>
          <w:r>
            <w:rPr>
              <w:rFonts w:hint="eastAsia"/>
            </w:rPr>
            <w:tab/>
          </w:r>
          <w:r>
            <w:rPr>
              <w:rFonts w:hint="eastAsia"/>
            </w:rPr>
            <w:fldChar w:fldCharType="begin"/>
          </w:r>
          <w:r>
            <w:rPr>
              <w:rFonts w:hint="eastAsia"/>
            </w:rPr>
            <w:instrText xml:space="preserve"> </w:instrText>
          </w:r>
          <w:r>
            <w:instrText xml:space="preserve">PAGEREF _Toc243552434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4EB172E0">
          <w:pPr>
            <w:pStyle w:val="10"/>
            <w:tabs>
              <w:tab w:val="right" w:leader="dot" w:pos="8302"/>
            </w:tabs>
            <w:rPr>
              <w:rFonts w:hint="eastAsia" w:eastAsiaTheme="minorEastAsia"/>
              <w:sz w:val="22"/>
              <w14:ligatures w14:val="standardContextual"/>
            </w:rPr>
          </w:pPr>
          <w:r>
            <w:fldChar w:fldCharType="begin"/>
          </w:r>
          <w:r>
            <w:instrText xml:space="preserve"> HYPERLINK \l "_Toc243552435" </w:instrText>
          </w:r>
          <w:r>
            <w:fldChar w:fldCharType="separate"/>
          </w:r>
          <w:r>
            <w:rPr>
              <w:rStyle w:val="13"/>
              <w:lang w:bidi="ar"/>
            </w:rPr>
            <w:t>（十）实施高层次人才培育与科技创新攻坚工程，强化高质量发展核心支撑</w:t>
          </w:r>
          <w:r>
            <w:rPr>
              <w:rFonts w:hint="eastAsia"/>
            </w:rPr>
            <w:tab/>
          </w:r>
          <w:r>
            <w:rPr>
              <w:rFonts w:hint="eastAsia"/>
            </w:rPr>
            <w:fldChar w:fldCharType="begin"/>
          </w:r>
          <w:r>
            <w:rPr>
              <w:rFonts w:hint="eastAsia"/>
            </w:rPr>
            <w:instrText xml:space="preserve"> </w:instrText>
          </w:r>
          <w:r>
            <w:instrText xml:space="preserve">PAGEREF _Toc243552435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07F55A1">
          <w:pPr>
            <w:pStyle w:val="9"/>
            <w:tabs>
              <w:tab w:val="right" w:leader="dot" w:pos="8302"/>
            </w:tabs>
            <w:rPr>
              <w:rFonts w:hint="eastAsia" w:eastAsiaTheme="minorEastAsia"/>
              <w:sz w:val="22"/>
              <w14:ligatures w14:val="standardContextual"/>
            </w:rPr>
          </w:pPr>
          <w:r>
            <w:fldChar w:fldCharType="begin"/>
          </w:r>
          <w:r>
            <w:instrText xml:space="preserve"> HYPERLINK \l "_Toc243552436" </w:instrText>
          </w:r>
          <w:r>
            <w:fldChar w:fldCharType="separate"/>
          </w:r>
          <w:r>
            <w:rPr>
              <w:rStyle w:val="13"/>
              <w:lang w:bidi="ar"/>
            </w:rPr>
            <w:t>五、保障措施</w:t>
          </w:r>
          <w:r>
            <w:rPr>
              <w:rFonts w:hint="eastAsia"/>
            </w:rPr>
            <w:tab/>
          </w:r>
          <w:r>
            <w:rPr>
              <w:rFonts w:hint="eastAsia"/>
            </w:rPr>
            <w:fldChar w:fldCharType="begin"/>
          </w:r>
          <w:r>
            <w:rPr>
              <w:rFonts w:hint="eastAsia"/>
            </w:rPr>
            <w:instrText xml:space="preserve"> </w:instrText>
          </w:r>
          <w:r>
            <w:instrText xml:space="preserve">PAGEREF _Toc243552436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693F41E8">
          <w:pPr>
            <w:pStyle w:val="10"/>
            <w:tabs>
              <w:tab w:val="right" w:leader="dot" w:pos="8302"/>
            </w:tabs>
            <w:rPr>
              <w:rFonts w:hint="eastAsia" w:eastAsiaTheme="minorEastAsia"/>
              <w:sz w:val="22"/>
              <w14:ligatures w14:val="standardContextual"/>
            </w:rPr>
          </w:pPr>
          <w:r>
            <w:fldChar w:fldCharType="begin"/>
          </w:r>
          <w:r>
            <w:instrText xml:space="preserve"> HYPERLINK \l "_Toc243552437" </w:instrText>
          </w:r>
          <w:r>
            <w:fldChar w:fldCharType="separate"/>
          </w:r>
          <w:r>
            <w:rPr>
              <w:rStyle w:val="13"/>
              <w:lang w:bidi="ar"/>
            </w:rPr>
            <w:t>（一）加强组织领导</w:t>
          </w:r>
          <w:r>
            <w:rPr>
              <w:rFonts w:hint="eastAsia"/>
            </w:rPr>
            <w:tab/>
          </w:r>
          <w:r>
            <w:rPr>
              <w:rFonts w:hint="eastAsia"/>
            </w:rPr>
            <w:fldChar w:fldCharType="begin"/>
          </w:r>
          <w:r>
            <w:rPr>
              <w:rFonts w:hint="eastAsia"/>
            </w:rPr>
            <w:instrText xml:space="preserve"> </w:instrText>
          </w:r>
          <w:r>
            <w:instrText xml:space="preserve">PAGEREF _Toc243552437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1234815">
          <w:pPr>
            <w:pStyle w:val="10"/>
            <w:tabs>
              <w:tab w:val="right" w:leader="dot" w:pos="8302"/>
            </w:tabs>
            <w:rPr>
              <w:rFonts w:hint="eastAsia" w:eastAsiaTheme="minorEastAsia"/>
              <w:sz w:val="22"/>
              <w14:ligatures w14:val="standardContextual"/>
            </w:rPr>
          </w:pPr>
          <w:r>
            <w:fldChar w:fldCharType="begin"/>
          </w:r>
          <w:r>
            <w:instrText xml:space="preserve"> HYPERLINK \l "_Toc243552438" </w:instrText>
          </w:r>
          <w:r>
            <w:fldChar w:fldCharType="separate"/>
          </w:r>
          <w:r>
            <w:rPr>
              <w:rStyle w:val="13"/>
              <w:lang w:bidi="ar"/>
            </w:rPr>
            <w:t>（二）加强资金保障，拓宽多元投入渠道</w:t>
          </w:r>
          <w:r>
            <w:rPr>
              <w:rFonts w:hint="eastAsia"/>
            </w:rPr>
            <w:tab/>
          </w:r>
          <w:r>
            <w:rPr>
              <w:rFonts w:hint="eastAsia"/>
            </w:rPr>
            <w:fldChar w:fldCharType="begin"/>
          </w:r>
          <w:r>
            <w:rPr>
              <w:rFonts w:hint="eastAsia"/>
            </w:rPr>
            <w:instrText xml:space="preserve"> </w:instrText>
          </w:r>
          <w:r>
            <w:instrText xml:space="preserve">PAGEREF _Toc243552438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0DA3AE60">
          <w:pPr>
            <w:pStyle w:val="10"/>
            <w:tabs>
              <w:tab w:val="right" w:leader="dot" w:pos="8302"/>
            </w:tabs>
            <w:rPr>
              <w:rFonts w:hint="eastAsia" w:eastAsiaTheme="minorEastAsia"/>
              <w:sz w:val="22"/>
              <w14:ligatures w14:val="standardContextual"/>
            </w:rPr>
          </w:pPr>
          <w:r>
            <w:fldChar w:fldCharType="begin"/>
          </w:r>
          <w:r>
            <w:instrText xml:space="preserve"> HYPERLINK \l "_Toc243552439" </w:instrText>
          </w:r>
          <w:r>
            <w:fldChar w:fldCharType="separate"/>
          </w:r>
          <w:r>
            <w:rPr>
              <w:rStyle w:val="13"/>
              <w:lang w:bidi="ar"/>
            </w:rPr>
            <w:t>（三）加强气象人才建设和科研支撑</w:t>
          </w:r>
          <w:r>
            <w:rPr>
              <w:rFonts w:hint="eastAsia"/>
            </w:rPr>
            <w:tab/>
          </w:r>
          <w:r>
            <w:rPr>
              <w:rFonts w:hint="eastAsia"/>
            </w:rPr>
            <w:fldChar w:fldCharType="begin"/>
          </w:r>
          <w:r>
            <w:rPr>
              <w:rFonts w:hint="eastAsia"/>
            </w:rPr>
            <w:instrText xml:space="preserve"> </w:instrText>
          </w:r>
          <w:r>
            <w:instrText xml:space="preserve">PAGEREF _Toc243552439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230D8D31">
          <w:pPr>
            <w:pStyle w:val="10"/>
            <w:tabs>
              <w:tab w:val="right" w:leader="dot" w:pos="8302"/>
            </w:tabs>
            <w:rPr>
              <w:rFonts w:hint="eastAsia" w:eastAsiaTheme="minorEastAsia"/>
              <w:sz w:val="22"/>
              <w14:ligatures w14:val="standardContextual"/>
            </w:rPr>
          </w:pPr>
          <w:r>
            <w:fldChar w:fldCharType="begin"/>
          </w:r>
          <w:r>
            <w:instrText xml:space="preserve"> HYPERLINK \l "_Toc243552440" </w:instrText>
          </w:r>
          <w:r>
            <w:fldChar w:fldCharType="separate"/>
          </w:r>
          <w:r>
            <w:rPr>
              <w:rStyle w:val="13"/>
              <w:lang w:bidi="ar"/>
            </w:rPr>
            <w:t>（四）加强气象法治建设</w:t>
          </w:r>
          <w:r>
            <w:rPr>
              <w:rFonts w:hint="eastAsia"/>
            </w:rPr>
            <w:tab/>
          </w:r>
          <w:r>
            <w:rPr>
              <w:rFonts w:hint="eastAsia"/>
            </w:rPr>
            <w:fldChar w:fldCharType="begin"/>
          </w:r>
          <w:r>
            <w:rPr>
              <w:rFonts w:hint="eastAsia"/>
            </w:rPr>
            <w:instrText xml:space="preserve"> </w:instrText>
          </w:r>
          <w:r>
            <w:instrText xml:space="preserve">PAGEREF _Toc243552440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5A4C633A">
          <w:r>
            <w:rPr>
              <w:b/>
              <w:bCs/>
              <w:lang w:val="zh-CN"/>
            </w:rPr>
            <w:fldChar w:fldCharType="end"/>
          </w:r>
        </w:p>
      </w:sdtContent>
    </w:sdt>
    <w:p w14:paraId="0AE7D35A">
      <w:pPr>
        <w:widowControl/>
        <w:jc w:val="left"/>
        <w:rPr>
          <w:rFonts w:hint="eastAsia" w:ascii="仿宋_GB2312" w:hAnsi="宋体" w:eastAsia="仿宋_GB2312" w:cs="宋体"/>
          <w:color w:val="000000" w:themeColor="text1"/>
          <w:sz w:val="32"/>
          <w:szCs w:val="32"/>
          <w:lang w:bidi="ar"/>
          <w14:textFill>
            <w14:solidFill>
              <w14:schemeClr w14:val="tx1"/>
            </w14:solidFill>
          </w14:textFill>
        </w:rPr>
      </w:pPr>
      <w:r>
        <w:rPr>
          <w:rFonts w:hint="eastAsia" w:ascii="仿宋_GB2312" w:hAnsi="宋体" w:eastAsia="仿宋_GB2312" w:cs="宋体"/>
          <w:color w:val="000000" w:themeColor="text1"/>
          <w:sz w:val="32"/>
          <w:lang w:bidi="ar"/>
          <w14:textFill>
            <w14:solidFill>
              <w14:schemeClr w14:val="tx1"/>
            </w14:solidFill>
          </w14:textFill>
        </w:rPr>
        <w:br w:type="page"/>
      </w:r>
    </w:p>
    <w:p w14:paraId="169D9761">
      <w:pPr>
        <w:pStyle w:val="2"/>
        <w:ind w:left="0" w:leftChars="0" w:firstLine="640" w:firstLineChars="200"/>
        <w:rPr>
          <w:rFonts w:hint="eastAsia" w:ascii="仿宋_GB2312" w:hAnsi="宋体" w:eastAsia="仿宋_GB2312" w:cs="宋体"/>
          <w:color w:val="000000" w:themeColor="text1"/>
          <w:sz w:val="32"/>
          <w:lang w:bidi="ar"/>
          <w14:textFill>
            <w14:solidFill>
              <w14:schemeClr w14:val="tx1"/>
            </w14:solidFill>
          </w14:textFill>
        </w:rPr>
      </w:pPr>
      <w:r>
        <w:rPr>
          <w:rFonts w:hint="eastAsia" w:ascii="仿宋_GB2312" w:hAnsi="宋体" w:eastAsia="仿宋_GB2312" w:cs="宋体"/>
          <w:color w:val="000000" w:themeColor="text1"/>
          <w:sz w:val="32"/>
          <w:lang w:bidi="ar"/>
          <w14:textFill>
            <w14:solidFill>
              <w14:schemeClr w14:val="tx1"/>
            </w14:solidFill>
          </w14:textFill>
        </w:rPr>
        <w:t>“十五五”时期是推进基本实现现代化的关键阶段，也是丰台区推动气象事业高质量发展的重要时期。气象是科技型、基础性、先导性社会公益事业，关系生命安全、生产发展、生活富裕、生态良好。为深入贯彻党的二十大和二十届历次全会精神，落实习近平总书记关于气象工作重要指示精神，对标国家、北京市气象高质量发展相关部署，衔接丰台区国民经济和社会发展“十五五”规划，科学编制本规划，明确今后五年发展目标与实施路径，充分发挥气象防灾减灾第一道防线作用，为丰台区经济社会高质量发展提供坚实气象保障。本规划期限为2026年至2030年。</w:t>
      </w:r>
    </w:p>
    <w:p w14:paraId="5805DF0A">
      <w:pPr>
        <w:pStyle w:val="3"/>
        <w:ind w:firstLine="640"/>
        <w:rPr>
          <w:rFonts w:hAnsi="Calibri" w:cs="Times New Roman"/>
        </w:rPr>
      </w:pPr>
      <w:bookmarkStart w:id="0" w:name="_Toc242778124"/>
      <w:bookmarkStart w:id="1" w:name="_Toc243552412"/>
      <w:r>
        <w:rPr>
          <w:rFonts w:hint="eastAsia"/>
          <w:lang w:bidi="ar"/>
        </w:rPr>
        <w:t>一、指导思想</w:t>
      </w:r>
      <w:bookmarkEnd w:id="0"/>
      <w:bookmarkEnd w:id="1"/>
    </w:p>
    <w:p w14:paraId="118124CF">
      <w:pPr>
        <w:spacing w:line="360" w:lineRule="auto"/>
        <w:ind w:firstLine="640" w:firstLineChars="200"/>
        <w:rPr>
          <w:lang w:bidi="ar"/>
        </w:rPr>
      </w:pPr>
      <w:r>
        <w:rPr>
          <w:rFonts w:hint="eastAsia" w:ascii="仿宋_GB2312" w:hAnsi="宋体" w:eastAsia="仿宋_GB2312" w:cs="宋体"/>
          <w:color w:val="000000" w:themeColor="text1"/>
          <w:sz w:val="32"/>
          <w:szCs w:val="32"/>
          <w:lang w:bidi="ar"/>
          <w14:textFill>
            <w14:solidFill>
              <w14:schemeClr w14:val="tx1"/>
            </w14:solidFill>
          </w14:textFill>
        </w:rPr>
        <w:t>坚持以习近平新时代中国特色社会主义思想为指导，紧密围绕北京市委市政府、丰台区委区政府和北京市气象局决策部署，全面对标北京市“十五五”时期气象事业发展规划目标任务，以提升“监测精密、预报精准、服务精细”能力为核心，强化科技赋能、系统布局、融合发展，统筹推进气象现代化，强化科技创新引领和人才支撑保障，紧密对标丰台区“十五五”时期“三化五区”发展战略，把气象工作深度嵌入区域经济高质量发展、城市韧性提升、生态环境提质、民生服务保障全链条，以“先锋引领、全面跃升”为主线，聚焦重点区域发展需求，深化气象与行业领域融合，着力提升智慧治理水平，优化公共气象服务供给，加快构建技术先进、保障有力、服务高效、人民满意的现代气象服务体系。</w:t>
      </w:r>
      <w:bookmarkStart w:id="2" w:name="_Toc242778125"/>
    </w:p>
    <w:p w14:paraId="1BD4B9C2">
      <w:pPr>
        <w:pStyle w:val="3"/>
        <w:ind w:firstLine="640"/>
        <w:rPr>
          <w:rFonts w:hAnsi="Calibri" w:cs="Times New Roman"/>
        </w:rPr>
      </w:pPr>
      <w:bookmarkStart w:id="3" w:name="_Toc243552413"/>
      <w:r>
        <w:rPr>
          <w:rFonts w:hint="eastAsia"/>
          <w:lang w:bidi="ar"/>
        </w:rPr>
        <w:t>二、基本原则</w:t>
      </w:r>
      <w:bookmarkEnd w:id="2"/>
      <w:bookmarkEnd w:id="3"/>
    </w:p>
    <w:p w14:paraId="4EC41ABB">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Calibri" w:eastAsia="仿宋_GB2312" w:cs="Calibri"/>
          <w:color w:val="000000" w:themeColor="text1"/>
          <w:sz w:val="32"/>
          <w:szCs w:val="32"/>
          <w:lang w:bidi="ar"/>
          <w14:textFill>
            <w14:solidFill>
              <w14:schemeClr w14:val="tx1"/>
            </w14:solidFill>
          </w14:textFill>
        </w:rPr>
        <w:t>（一）</w:t>
      </w:r>
      <w:r>
        <w:rPr>
          <w:rFonts w:hint="eastAsia" w:ascii="仿宋_GB2312" w:hAnsi="宋体" w:eastAsia="仿宋_GB2312" w:cs="宋体"/>
          <w:color w:val="000000" w:themeColor="text1"/>
          <w:sz w:val="32"/>
          <w:szCs w:val="32"/>
          <w:lang w:bidi="ar"/>
          <w14:textFill>
            <w14:solidFill>
              <w14:schemeClr w14:val="tx1"/>
            </w14:solidFill>
          </w14:textFill>
        </w:rPr>
        <w:t>坚持党建引领服务大局、主动融入，深化气象与区域发展融合对接。坚决贯彻落实丰台区委区政府和北京市气象局的决策部署，坚持上下对标、双向衔接，一方面紧跟市级气象规划部署，承接市级项目落地，用好市级技术资源。另一方面紧密围绕全区“农村城市化、城市现代化、全域场景化”发展，推动气象工作全面嵌入经济发展、城市治理、生态保护、民生保障各领域，确保气象发展规划与市级气象战略、全区发展战略同频共振，制定符合区域实际、特色鲜明、可落地实施的专项路径。</w:t>
      </w:r>
    </w:p>
    <w:p w14:paraId="31281E68">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Calibri" w:eastAsia="仿宋_GB2312" w:cs="Calibri"/>
          <w:color w:val="000000" w:themeColor="text1"/>
          <w:sz w:val="32"/>
          <w:szCs w:val="32"/>
          <w:lang w:bidi="ar"/>
          <w14:textFill>
            <w14:solidFill>
              <w14:schemeClr w14:val="tx1"/>
            </w14:solidFill>
          </w14:textFill>
        </w:rPr>
        <w:t>（二）</w:t>
      </w:r>
      <w:r>
        <w:rPr>
          <w:rFonts w:hint="eastAsia" w:ascii="仿宋_GB2312" w:hAnsi="宋体" w:eastAsia="仿宋_GB2312" w:cs="宋体"/>
          <w:color w:val="000000" w:themeColor="text1"/>
          <w:sz w:val="32"/>
          <w:szCs w:val="32"/>
          <w:lang w:bidi="ar"/>
          <w14:textFill>
            <w14:solidFill>
              <w14:schemeClr w14:val="tx1"/>
            </w14:solidFill>
          </w14:textFill>
        </w:rPr>
        <w:t>坚持人民至上、普惠共享，提升公共气象服务覆盖面。始终以人民群众需求为导向，创新服务产品与传播方式，推动气象信息更加便捷、精准触达目标人群。着力提升服务满意度与安全感，让气象发展成果惠及全区人民，持续增强丰台区人民群众的获得感、幸福感、安全感。</w:t>
      </w:r>
    </w:p>
    <w:p w14:paraId="2D842A88">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Calibri" w:eastAsia="仿宋_GB2312" w:cs="Calibri"/>
          <w:color w:val="000000" w:themeColor="text1"/>
          <w:sz w:val="32"/>
          <w:szCs w:val="32"/>
          <w:lang w:bidi="ar"/>
          <w14:textFill>
            <w14:solidFill>
              <w14:schemeClr w14:val="tx1"/>
            </w14:solidFill>
          </w14:textFill>
        </w:rPr>
        <w:t>（三）</w:t>
      </w:r>
      <w:r>
        <w:rPr>
          <w:rFonts w:hint="eastAsia" w:ascii="仿宋_GB2312" w:hAnsi="宋体" w:eastAsia="仿宋_GB2312" w:cs="宋体"/>
          <w:color w:val="000000" w:themeColor="text1"/>
          <w:sz w:val="32"/>
          <w:szCs w:val="32"/>
          <w:lang w:bidi="ar"/>
          <w14:textFill>
            <w14:solidFill>
              <w14:schemeClr w14:val="tx1"/>
            </w14:solidFill>
          </w14:textFill>
        </w:rPr>
        <w:t>坚持创新驱动、智慧引领，强化科技赋能与协同创新。以人工智能、大数据等技术驱动精准预报能力升级，深化睿图、智能网格预报等新技术应用。主动对接市级气象科技创新体系，优先引进、转化市级成熟的数智气象成果落地丰台。纵向对接中国气象局、北京市气象局资源，引入前沿技术成果，同步参与市级人工智能预报体系共建。横向构建多维协同格局，以京津冀气象灾害防御协同为核心，联合上下游、左右岸相邻区域及津冀相关部门，联动区内应急、交通、水务等委办局，建立观测数据共享、服务标准统一的合作机制，共建灾害联防联控平台与跨领域应用场景，同步筑牢数据与网络安全防线，推动科技成果高效转化。</w:t>
      </w:r>
    </w:p>
    <w:p w14:paraId="2DB186CF">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Calibri" w:eastAsia="仿宋_GB2312" w:cs="Calibri"/>
          <w:color w:val="000000" w:themeColor="text1"/>
          <w:sz w:val="32"/>
          <w:szCs w:val="32"/>
          <w:lang w:bidi="ar"/>
          <w14:textFill>
            <w14:solidFill>
              <w14:schemeClr w14:val="tx1"/>
            </w14:solidFill>
          </w14:textFill>
        </w:rPr>
        <w:t>（四）</w:t>
      </w:r>
      <w:r>
        <w:rPr>
          <w:rFonts w:hint="eastAsia" w:ascii="仿宋_GB2312" w:hAnsi="宋体" w:eastAsia="仿宋_GB2312" w:cs="宋体"/>
          <w:color w:val="000000" w:themeColor="text1"/>
          <w:sz w:val="32"/>
          <w:szCs w:val="32"/>
          <w:lang w:bidi="ar"/>
          <w14:textFill>
            <w14:solidFill>
              <w14:schemeClr w14:val="tx1"/>
            </w14:solidFill>
          </w14:textFill>
        </w:rPr>
        <w:t>坚持大安全观,筑牢防灾减灾第一道防线。始终将气象防灾减灾作为核心使命，针对丰台区暴雨、大风等灾害性天气特点，强化短时临近预报预警能力。重点破解气象信息传递“最后一公里”问题，提升基层防灾减灾标准化水平，全力守护人民群众生命财产安全和城市运行秩序，服务丰台城市韧性提升工程落地。</w:t>
      </w:r>
    </w:p>
    <w:p w14:paraId="0EF144B0">
      <w:pPr>
        <w:pStyle w:val="3"/>
        <w:ind w:firstLine="640"/>
        <w:rPr>
          <w:rFonts w:hAnsi="Calibri" w:cs="Times New Roman"/>
        </w:rPr>
      </w:pPr>
      <w:bookmarkStart w:id="4" w:name="_Toc243552414"/>
      <w:bookmarkStart w:id="5" w:name="_Toc242778126"/>
      <w:r>
        <w:rPr>
          <w:rFonts w:hint="eastAsia"/>
          <w:lang w:bidi="ar"/>
        </w:rPr>
        <w:t>三、发展目标</w:t>
      </w:r>
      <w:bookmarkEnd w:id="4"/>
      <w:bookmarkEnd w:id="5"/>
    </w:p>
    <w:p w14:paraId="06D08763">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围绕丰台区“十五五”发展战略，以推动气象高质量发展为主线，着力构建智慧引领、技术先进、服务高效、保障有力的现代气象业务服务体系。到</w:t>
      </w:r>
      <w:r>
        <w:rPr>
          <w:rFonts w:hint="eastAsia" w:ascii="仿宋_GB2312" w:hAnsi="Calibri" w:eastAsia="仿宋_GB2312" w:cs="Calibri"/>
          <w:color w:val="000000" w:themeColor="text1"/>
          <w:sz w:val="32"/>
          <w:szCs w:val="32"/>
          <w:lang w:bidi="ar"/>
          <w14:textFill>
            <w14:solidFill>
              <w14:schemeClr w14:val="tx1"/>
            </w14:solidFill>
          </w14:textFill>
        </w:rPr>
        <w:t>2030</w:t>
      </w:r>
      <w:r>
        <w:rPr>
          <w:rFonts w:hint="eastAsia" w:ascii="仿宋_GB2312" w:hAnsi="宋体" w:eastAsia="仿宋_GB2312" w:cs="宋体"/>
          <w:color w:val="000000" w:themeColor="text1"/>
          <w:sz w:val="32"/>
          <w:szCs w:val="32"/>
          <w:lang w:bidi="ar"/>
          <w14:textFill>
            <w14:solidFill>
              <w14:schemeClr w14:val="tx1"/>
            </w14:solidFill>
          </w14:textFill>
        </w:rPr>
        <w:t>年气象综合实力达到全市各区先进水平。全方位强化气象事业对全区高质量发展的支撑赋能作用。具体实现以下十方面发展目标：</w:t>
      </w:r>
    </w:p>
    <w:p w14:paraId="6A5537B8">
      <w:pPr>
        <w:pStyle w:val="4"/>
        <w:ind w:firstLine="643"/>
        <w:rPr>
          <w:rFonts w:hAnsi="Calibri" w:cs="Times New Roman"/>
        </w:rPr>
      </w:pPr>
      <w:bookmarkStart w:id="6" w:name="_Toc243552415"/>
      <w:r>
        <w:rPr>
          <w:rFonts w:hint="eastAsia" w:hAnsi="Calibri" w:cs="Calibri"/>
          <w:lang w:bidi="ar"/>
        </w:rPr>
        <w:t>（一）</w:t>
      </w:r>
      <w:r>
        <w:rPr>
          <w:rFonts w:hint="eastAsia"/>
          <w:lang w:bidi="ar"/>
        </w:rPr>
        <w:t>监测能力实现智慧化综合覆盖</w:t>
      </w:r>
      <w:bookmarkEnd w:id="6"/>
    </w:p>
    <w:p w14:paraId="0B6F38E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建成全域协同、立体感知的智慧气象观测网络，推动观测要素持续拓展，实现地面、遥感与大气成分等多维数据融合。规模化部署国产化气象观测设备，显著提升对高影响天气的实时监测与场景可视化能力，为预报预警与服务保障提供坚实、可靠的数据支撑，数据融合与应用能力显著增强。主动对接市级雷达、地面站网建设项目，争取国家和市级观测资源布局丰台，实现与市级立体观测体系互联互通。</w:t>
      </w:r>
    </w:p>
    <w:p w14:paraId="49515314">
      <w:pPr>
        <w:pStyle w:val="4"/>
        <w:ind w:firstLine="643"/>
        <w:rPr>
          <w:lang w:bidi="ar"/>
        </w:rPr>
      </w:pPr>
      <w:bookmarkStart w:id="7" w:name="_Toc243552416"/>
      <w:r>
        <w:rPr>
          <w:rFonts w:hint="eastAsia"/>
          <w:lang w:bidi="ar"/>
        </w:rPr>
        <w:t>（二）预报预警能力迈入精准化新阶段</w:t>
      </w:r>
      <w:bookmarkEnd w:id="7"/>
    </w:p>
    <w:p w14:paraId="0CD1C3F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形成公里级空间分辨率、分钟级时间分辨率的精细化预报体系，实现公里级网格预报，灾害性天气预警提前量显著延长，预警产品精准度达到街镇级别，预警信息精准直达社区、村。建成基于人工智能与大数据的丰台区重要天气过程数据库，短临预报与风险预警能力全面提升。深度应用市级智能网格预报、睿图模式等成果，做好本地化模型迭代，对标市级预报业务技术体系。</w:t>
      </w:r>
    </w:p>
    <w:p w14:paraId="30129A9B">
      <w:pPr>
        <w:pStyle w:val="4"/>
        <w:ind w:firstLine="643"/>
        <w:rPr>
          <w:lang w:bidi="ar"/>
        </w:rPr>
      </w:pPr>
      <w:bookmarkStart w:id="8" w:name="_Toc243552417"/>
      <w:r>
        <w:rPr>
          <w:rFonts w:hint="eastAsia"/>
          <w:lang w:bidi="ar"/>
        </w:rPr>
        <w:t>（三）气象服务实现场景化深度融合</w:t>
      </w:r>
      <w:bookmarkEnd w:id="8"/>
    </w:p>
    <w:p w14:paraId="0C763193">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围绕丽泽商务区、南中轴、科技园等重点区域和交通、文旅、生态等行业需求，打造一批具有丰台特色的气象服务指数与场景化产品。推动气象服务从基础预报向风险预警延伸，显著提升气象服务在防灾减灾、城市运行和重大活动保障中的针对性与有效性，服务渗透度大幅提升。面向丰台产业升级、城市管理、生态治理、民生服务开发场景化产品，把气象要素嵌入区域经济发展和社会治理各环节。</w:t>
      </w:r>
    </w:p>
    <w:p w14:paraId="09E9C568">
      <w:pPr>
        <w:pStyle w:val="4"/>
        <w:ind w:firstLine="643"/>
        <w:rPr>
          <w:lang w:bidi="ar"/>
        </w:rPr>
      </w:pPr>
      <w:bookmarkStart w:id="9" w:name="_Toc243552418"/>
      <w:r>
        <w:rPr>
          <w:rFonts w:hint="eastAsia"/>
          <w:lang w:bidi="ar"/>
        </w:rPr>
        <w:t>（四）气象数据赋能城市治理显著提升</w:t>
      </w:r>
      <w:bookmarkEnd w:id="9"/>
    </w:p>
    <w:p w14:paraId="622985AB">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建成“气象数据中台</w:t>
      </w:r>
      <w:r>
        <w:rPr>
          <w:rFonts w:hint="eastAsia" w:ascii="仿宋_GB2312" w:hAnsi="Calibri" w:eastAsia="仿宋_GB2312" w:cs="Calibri"/>
          <w:color w:val="000000" w:themeColor="text1"/>
          <w:sz w:val="32"/>
          <w:szCs w:val="32"/>
          <w:lang w:bidi="ar"/>
          <w14:textFill>
            <w14:solidFill>
              <w14:schemeClr w14:val="tx1"/>
            </w14:solidFill>
          </w14:textFill>
        </w:rPr>
        <w:t>+</w:t>
      </w:r>
      <w:r>
        <w:rPr>
          <w:rFonts w:hint="eastAsia" w:ascii="仿宋_GB2312" w:hAnsi="宋体" w:eastAsia="仿宋_GB2312" w:cs="宋体"/>
          <w:color w:val="000000" w:themeColor="text1"/>
          <w:sz w:val="32"/>
          <w:szCs w:val="32"/>
          <w:lang w:bidi="ar"/>
          <w14:textFill>
            <w14:solidFill>
              <w14:schemeClr w14:val="tx1"/>
            </w14:solidFill>
          </w14:textFill>
        </w:rPr>
        <w:t>城市数字底座”融合机制，实现气象全要素数据与政府决策平台深度嵌入与联动。围绕内涝防控、重大活动、交通调度等场景，构建“监测—预警—预案—评估”决策闭环，显著提升气象在应急指挥和城市智慧治理中的支撑作用，有力支撑韧性城市、平安丰台建设。</w:t>
      </w:r>
    </w:p>
    <w:p w14:paraId="6C0249C2">
      <w:pPr>
        <w:pStyle w:val="4"/>
        <w:ind w:firstLine="643"/>
        <w:rPr>
          <w:lang w:bidi="ar"/>
        </w:rPr>
      </w:pPr>
      <w:bookmarkStart w:id="10" w:name="_Toc243552419"/>
      <w:r>
        <w:rPr>
          <w:rFonts w:hint="eastAsia"/>
          <w:lang w:bidi="ar"/>
        </w:rPr>
        <w:t>（五）公众气象服务实现普惠化精准触达</w:t>
      </w:r>
      <w:bookmarkEnd w:id="10"/>
    </w:p>
    <w:p w14:paraId="2425A7DB">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建成“丰台气象”智慧服务终端，形成标准统一、内容丰富、场景多样的气象服务产品体系。实现气象信息在重点行业部门深度协同应用，公众气象服务覆盖面、满意度显著提升，形成权威、便捷、普惠的信息服务主渠道。</w:t>
      </w:r>
    </w:p>
    <w:p w14:paraId="25BFE8AB">
      <w:pPr>
        <w:pStyle w:val="4"/>
        <w:ind w:firstLine="643"/>
        <w:rPr>
          <w:lang w:bidi="ar"/>
        </w:rPr>
      </w:pPr>
      <w:bookmarkStart w:id="11" w:name="_Toc243552420"/>
      <w:r>
        <w:rPr>
          <w:rFonts w:hint="eastAsia"/>
          <w:lang w:bidi="ar"/>
        </w:rPr>
        <w:t>（六）气象法治能力显著提升</w:t>
      </w:r>
      <w:bookmarkEnd w:id="11"/>
    </w:p>
    <w:p w14:paraId="045B29BB">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以习近平法治思想为指导，紧扣气象科技能力现代化和社会服务现代化主线，做到执法规范、宣传精准、协同高效。执法队伍专业化水平显著提升，公众气象法治意识增强，法治对气象防灾减灾、公共服务、行业管理的保障作用充分彰显。</w:t>
      </w:r>
    </w:p>
    <w:p w14:paraId="58A5B9CA">
      <w:pPr>
        <w:pStyle w:val="4"/>
        <w:ind w:firstLine="643"/>
        <w:rPr>
          <w:lang w:bidi="ar"/>
        </w:rPr>
      </w:pPr>
      <w:bookmarkStart w:id="12" w:name="_Toc243552421"/>
      <w:r>
        <w:rPr>
          <w:rFonts w:hint="eastAsia"/>
          <w:lang w:bidi="ar"/>
        </w:rPr>
        <w:t>（七）气象科普教育实现社会化共建共享</w:t>
      </w:r>
      <w:bookmarkEnd w:id="12"/>
    </w:p>
    <w:p w14:paraId="5CD72DC9">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建成以国家级气象科普基地、“乐学公园”与校园气象站为代表的全域气象科普网络。实现气象科普进校园、进社区常态化，打造具有丰台特色的气象科普品牌，公众防灾减灾素养与科学素质显著提升。</w:t>
      </w:r>
    </w:p>
    <w:p w14:paraId="3B274EF1">
      <w:pPr>
        <w:pStyle w:val="4"/>
        <w:ind w:firstLine="643"/>
        <w:rPr>
          <w:lang w:bidi="ar"/>
        </w:rPr>
      </w:pPr>
      <w:bookmarkStart w:id="13" w:name="_Toc243552422"/>
      <w:r>
        <w:rPr>
          <w:rFonts w:hint="eastAsia"/>
          <w:lang w:bidi="ar"/>
        </w:rPr>
        <w:t>（八）移动应急气象保障能力实现机动高效</w:t>
      </w:r>
      <w:bookmarkEnd w:id="13"/>
    </w:p>
    <w:p w14:paraId="72269B5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建成现代化移动应急气象服务保障体系，具备卫星通信支持下的现场监测、数据传输与预警发布能力。实现重点区域突发事件气象服务保障的快速响应、精准支撑与全程保障，全面提升应急指挥与现场处置效能，气象灾害防御体系更加健全，为全区城市韧性提升提供现场气象支撑。</w:t>
      </w:r>
    </w:p>
    <w:p w14:paraId="6118D844">
      <w:pPr>
        <w:pStyle w:val="4"/>
        <w:ind w:firstLine="643"/>
        <w:rPr>
          <w:lang w:bidi="ar"/>
        </w:rPr>
      </w:pPr>
      <w:bookmarkStart w:id="14" w:name="_Toc243552423"/>
      <w:r>
        <w:rPr>
          <w:rFonts w:hint="eastAsia"/>
          <w:lang w:bidi="ar"/>
        </w:rPr>
        <w:t>（九）人才与科技支撑能力实现突破性提升</w:t>
      </w:r>
      <w:bookmarkEnd w:id="14"/>
    </w:p>
    <w:p w14:paraId="0A4C4A6F">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高层次气象人才引进培育、核心技术攻关等方面取得显著进展，实现正研级高级工程师“零的突破”。依托“丰泽计划”等政策支持，形成结构合理、创新力强的人才队伍，形成一批气象科技创新成果，为气象高质量发展提供坚实智力与科技支撑。积极参与市级气象科研课题联合攻关，依托市级人才培养平台，共建人才交流机制。</w:t>
      </w:r>
    </w:p>
    <w:p w14:paraId="6C111910">
      <w:pPr>
        <w:pStyle w:val="4"/>
        <w:ind w:firstLine="643"/>
        <w:rPr>
          <w:lang w:bidi="ar"/>
        </w:rPr>
      </w:pPr>
      <w:bookmarkStart w:id="15" w:name="_Toc243552424"/>
      <w:r>
        <w:rPr>
          <w:rFonts w:hint="eastAsia"/>
          <w:lang w:bidi="ar"/>
        </w:rPr>
        <w:t>（十）市级规划指标对标</w:t>
      </w:r>
      <w:bookmarkEnd w:id="15"/>
    </w:p>
    <w:p w14:paraId="327182C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为实现上述目标，本规划在核心指标设定上全面对标《北京市“十五五”时期气象事业发展规划》要求。其中，气象灾害监测率力争达到</w:t>
      </w:r>
      <w:r>
        <w:rPr>
          <w:rFonts w:hint="eastAsia" w:ascii="仿宋_GB2312" w:hAnsi="Calibri" w:eastAsia="仿宋_GB2312" w:cs="Calibri"/>
          <w:color w:val="000000" w:themeColor="text1"/>
          <w:sz w:val="32"/>
          <w:szCs w:val="32"/>
          <w:lang w:bidi="ar"/>
          <w14:textFill>
            <w14:solidFill>
              <w14:schemeClr w14:val="tx1"/>
            </w14:solidFill>
          </w14:textFill>
        </w:rPr>
        <w:t>95%</w:t>
      </w:r>
      <w:r>
        <w:rPr>
          <w:rFonts w:hint="eastAsia" w:ascii="仿宋_GB2312" w:hAnsi="宋体" w:eastAsia="仿宋_GB2312" w:cs="宋体"/>
          <w:color w:val="000000" w:themeColor="text1"/>
          <w:sz w:val="32"/>
          <w:szCs w:val="32"/>
          <w:lang w:bidi="ar"/>
          <w14:textFill>
            <w14:solidFill>
              <w14:schemeClr w14:val="tx1"/>
            </w14:solidFill>
          </w14:textFill>
        </w:rPr>
        <w:t>以上，与市级目标保持一致；极端灾害性天气预警综合评分力争达到</w:t>
      </w:r>
      <w:r>
        <w:rPr>
          <w:rFonts w:hint="eastAsia" w:ascii="仿宋_GB2312" w:hAnsi="Calibri" w:eastAsia="仿宋_GB2312" w:cs="Calibri"/>
          <w:color w:val="000000" w:themeColor="text1"/>
          <w:sz w:val="32"/>
          <w:szCs w:val="32"/>
          <w:lang w:bidi="ar"/>
          <w14:textFill>
            <w14:solidFill>
              <w14:schemeClr w14:val="tx1"/>
            </w14:solidFill>
          </w14:textFill>
        </w:rPr>
        <w:t>80</w:t>
      </w:r>
      <w:r>
        <w:rPr>
          <w:rFonts w:hint="eastAsia" w:ascii="仿宋_GB2312" w:hAnsi="宋体" w:eastAsia="仿宋_GB2312" w:cs="宋体"/>
          <w:color w:val="000000" w:themeColor="text1"/>
          <w:sz w:val="32"/>
          <w:szCs w:val="32"/>
          <w:lang w:bidi="ar"/>
          <w14:textFill>
            <w14:solidFill>
              <w14:schemeClr w14:val="tx1"/>
            </w14:solidFill>
          </w14:textFill>
        </w:rPr>
        <w:t>分以上；公众气象服务满意度稳定保持在</w:t>
      </w:r>
      <w:r>
        <w:rPr>
          <w:rFonts w:hint="eastAsia" w:ascii="仿宋_GB2312" w:hAnsi="Calibri" w:eastAsia="仿宋_GB2312" w:cs="Calibri"/>
          <w:color w:val="000000" w:themeColor="text1"/>
          <w:sz w:val="32"/>
          <w:szCs w:val="32"/>
          <w:lang w:bidi="ar"/>
          <w14:textFill>
            <w14:solidFill>
              <w14:schemeClr w14:val="tx1"/>
            </w14:solidFill>
          </w14:textFill>
        </w:rPr>
        <w:t>92%</w:t>
      </w:r>
      <w:r>
        <w:rPr>
          <w:rFonts w:hint="eastAsia" w:ascii="仿宋_GB2312" w:hAnsi="宋体" w:eastAsia="仿宋_GB2312" w:cs="宋体"/>
          <w:color w:val="000000" w:themeColor="text1"/>
          <w:sz w:val="32"/>
          <w:szCs w:val="32"/>
          <w:lang w:bidi="ar"/>
          <w14:textFill>
            <w14:solidFill>
              <w14:schemeClr w14:val="tx1"/>
            </w14:solidFill>
          </w14:textFill>
        </w:rPr>
        <w:t>以上。通过核心指标的逐项对标，确保丰台区气象事业与全市发展同频共振，力争“十五五”末期气象综合实力达到全市各区先进水平。</w:t>
      </w:r>
    </w:p>
    <w:p w14:paraId="6CFB7DF9">
      <w:pPr>
        <w:pStyle w:val="3"/>
        <w:ind w:firstLine="640"/>
        <w:rPr>
          <w:rFonts w:hAnsi="Calibri" w:cs="Times New Roman"/>
        </w:rPr>
      </w:pPr>
      <w:bookmarkStart w:id="16" w:name="_Toc242778127"/>
      <w:bookmarkStart w:id="17" w:name="_Toc243552425"/>
      <w:r>
        <w:rPr>
          <w:rFonts w:hint="eastAsia"/>
          <w:lang w:bidi="ar"/>
        </w:rPr>
        <w:t>四、主要任务</w:t>
      </w:r>
      <w:bookmarkEnd w:id="16"/>
      <w:bookmarkEnd w:id="17"/>
    </w:p>
    <w:p w14:paraId="42041B1A">
      <w:pPr>
        <w:pStyle w:val="4"/>
        <w:ind w:firstLine="643"/>
        <w:rPr>
          <w:rFonts w:hAnsi="Calibri" w:cs="Times New Roman"/>
        </w:rPr>
      </w:pPr>
      <w:bookmarkStart w:id="18" w:name="_Toc243552426"/>
      <w:bookmarkStart w:id="19" w:name="_Toc242778128"/>
      <w:r>
        <w:rPr>
          <w:rFonts w:hint="eastAsia"/>
          <w:lang w:bidi="ar"/>
        </w:rPr>
        <w:t>（一）深度融入“三化五区”发展格局，强化气象对区域高质量发展的支撑赋能作用</w:t>
      </w:r>
      <w:bookmarkEnd w:id="18"/>
      <w:bookmarkEnd w:id="19"/>
    </w:p>
    <w:p w14:paraId="3B4E73D2">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紧密围绕丰台区“三化五区”发展战略，主动衔接市级气象规划对首都功能拓展区气象服务的总体部署，承接市级场景化气象服务试点任务，积极争取市级项目资源落地丰台，推动气象工作全方位融入区域发展主战场，把气象能力嵌入丰台区域经济发展、城市韧性提升、生态环境建设、民生服务保障四大重点领域。</w:t>
      </w:r>
    </w:p>
    <w:p w14:paraId="536A70BF">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服务首都功能拓展区方面，聚焦西山永定河文化精华区等重点功能区，深化基于位置服务的场景化气象决策产品开发，将分钟级实况监测、百米级智能预报深度嵌入区领导“驾驶舱”系统，为重大活动保障和城市精细化管理提供精准靶向服务，支撑重点功能区城市韧性建设，防范高影响天气对重点区域运行带来的风险。</w:t>
      </w:r>
    </w:p>
    <w:p w14:paraId="17354098">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在助力产城融合创新区建设方面，主动服务丰台区构建“</w:t>
      </w:r>
      <w:r>
        <w:rPr>
          <w:rFonts w:hint="eastAsia" w:ascii="仿宋_GB2312" w:hAnsi="Calibri" w:eastAsia="仿宋_GB2312" w:cs="Calibri"/>
          <w:color w:val="000000" w:themeColor="text1"/>
          <w:sz w:val="32"/>
          <w:szCs w:val="32"/>
          <w:lang w:bidi="ar"/>
          <w14:textFill>
            <w14:solidFill>
              <w14:schemeClr w14:val="tx1"/>
            </w14:solidFill>
          </w14:textFill>
        </w:rPr>
        <w:t>4+5+X</w:t>
      </w:r>
      <w:r>
        <w:rPr>
          <w:rFonts w:hint="eastAsia" w:ascii="仿宋_GB2312" w:hAnsi="宋体" w:eastAsia="仿宋_GB2312" w:cs="宋体"/>
          <w:color w:val="000000" w:themeColor="text1"/>
          <w:sz w:val="32"/>
          <w:szCs w:val="32"/>
          <w:lang w:bidi="ar"/>
          <w14:textFill>
            <w14:solidFill>
              <w14:schemeClr w14:val="tx1"/>
            </w14:solidFill>
          </w14:textFill>
        </w:rPr>
        <w:t>”现代化产业体系、冲刺万亿级产业规模的战略部署。围绕丰台区内重点功能区，开发基于位置服务的场景化气象决策产品。在丽泽金融商务区探索金融气象服务新模式，为新兴金融产业提供气象风险评估与气候信息披露服务；在中关村丰台园围绕低空技术、人工智能等新兴产业开展气象保障先行先试；在南中轴地区深化重大活动气象保障机制，支撑首都功能拓展区建设。依托市级气象科研平台联合开展产业气象研究，助力丰台新质生产力培育。</w:t>
      </w:r>
    </w:p>
    <w:p w14:paraId="14019A59">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在支撑花园城市特色区建设方面，以“绿城九法”建设布局推动花园城市建设，深化综合景观指数、花粉浓度监测预报、负氧离子监测等特色生态气象服务。依托新建大气成分站，为</w:t>
      </w:r>
      <w:r>
        <w:rPr>
          <w:rFonts w:hint="eastAsia" w:ascii="仿宋_GB2312" w:hAnsi="Calibri" w:eastAsia="仿宋_GB2312" w:cs="Calibri"/>
          <w:color w:val="000000" w:themeColor="text1"/>
          <w:sz w:val="32"/>
          <w:szCs w:val="32"/>
          <w:lang w:bidi="ar"/>
          <w14:textFill>
            <w14:solidFill>
              <w14:schemeClr w14:val="tx1"/>
            </w14:solidFill>
          </w14:textFill>
        </w:rPr>
        <w:t>PM2.5</w:t>
      </w:r>
      <w:r>
        <w:rPr>
          <w:rFonts w:hint="eastAsia" w:ascii="仿宋_GB2312" w:hAnsi="宋体" w:eastAsia="仿宋_GB2312" w:cs="宋体"/>
          <w:color w:val="000000" w:themeColor="text1"/>
          <w:sz w:val="32"/>
          <w:szCs w:val="32"/>
          <w:lang w:bidi="ar"/>
          <w14:textFill>
            <w14:solidFill>
              <w14:schemeClr w14:val="tx1"/>
            </w14:solidFill>
          </w14:textFill>
        </w:rPr>
        <w:t>、PM10、臭氧、温室气体等大气污染精准治理提供数据验证。将气象元素深度融入“乐学公园”教育生态，服务花园城市从“绿化量”向“生态质”与“健康益”转型。对接市级生态气象工程建设任务，共建区域生态气象监测评估体系，支撑全区生态环境持续改善。</w:t>
      </w:r>
    </w:p>
    <w:p w14:paraId="65FF32D5">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保障全龄友好活力区建设方面，打造“丰台气象”智慧服务终端，推动气象信息精准触达各类人群。深化健康气象服务，针对花粉过敏人群、慢性病人群等开展精细化预报，提升全龄段公众气象服务获得感，持续完善民生气象服务供给。</w:t>
      </w:r>
    </w:p>
    <w:p w14:paraId="0AE92EA6">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在服务农村城市化进程方面，消除河西浅山区等薄弱区域监测盲区，为地区防汛减灾和农业生产提供坚实气象保障，补齐农村区域防灾短板。</w:t>
      </w:r>
    </w:p>
    <w:p w14:paraId="33E09C1C">
      <w:pPr>
        <w:pStyle w:val="4"/>
        <w:ind w:firstLine="643"/>
        <w:rPr>
          <w:rFonts w:hAnsi="Calibri" w:cs="Times New Roman"/>
        </w:rPr>
      </w:pPr>
      <w:bookmarkStart w:id="20" w:name="_Toc242778129"/>
      <w:bookmarkStart w:id="21" w:name="_Toc243552427"/>
      <w:r>
        <w:rPr>
          <w:rFonts w:hint="eastAsia"/>
          <w:lang w:bidi="ar"/>
        </w:rPr>
        <w:t>（二）强化智慧气象观测能力</w:t>
      </w:r>
      <w:bookmarkEnd w:id="20"/>
      <w:bookmarkEnd w:id="21"/>
    </w:p>
    <w:p w14:paraId="38F1211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在系统整合现有地面观测、雷达、卫星遥感和数值模式资料的基础上，着力拓展气象观测要素覆盖范围，新增大气成分站（如</w:t>
      </w:r>
      <w:r>
        <w:rPr>
          <w:rFonts w:hint="eastAsia" w:ascii="仿宋_GB2312" w:hAnsi="Calibri" w:eastAsia="仿宋_GB2312" w:cs="Calibri"/>
          <w:color w:val="000000" w:themeColor="text1"/>
          <w:sz w:val="32"/>
          <w:szCs w:val="32"/>
          <w:lang w:bidi="ar"/>
          <w14:textFill>
            <w14:solidFill>
              <w14:schemeClr w14:val="tx1"/>
            </w14:solidFill>
          </w14:textFill>
        </w:rPr>
        <w:t>PM2.5</w:t>
      </w:r>
      <w:r>
        <w:rPr>
          <w:rFonts w:hint="eastAsia" w:ascii="仿宋_GB2312" w:hAnsi="宋体" w:eastAsia="仿宋_GB2312" w:cs="宋体"/>
          <w:color w:val="000000" w:themeColor="text1"/>
          <w:sz w:val="32"/>
          <w:szCs w:val="32"/>
          <w:lang w:bidi="ar"/>
          <w14:textFill>
            <w14:solidFill>
              <w14:schemeClr w14:val="tx1"/>
            </w14:solidFill>
          </w14:textFill>
        </w:rPr>
        <w:t>、臭氧、温室气体等）、花粉专项观测站点。落实分阶段实施的国产化专项计划，优先在国家级基本站、重点区域站等关键站点实现设备更新换代，系统性提升核心技术自主可控。全面对接《北京市“十五五”时期气象事业发展规划》明确的“北京天气雷达与高标准自动气象站建设项目”，争取纳入市级天气雷达应用服务覆盖范围，实现观测数据与市级平台实时互通共享。主动承接市级“生态气象服务保障工程”在丰台区的落地实施，以生态气象智慧观测为基础，升级涵盖花粉、负氧离子、特色景观资源的协同观测体系，积极申报争取市级专项资金和政策支持。</w:t>
      </w:r>
    </w:p>
    <w:p w14:paraId="22665415">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以社区、村为基本单元，综合考虑社区、村面积、地形地貌、人口密度和承灾体脆弱性，科学选址，力争实现全区所有社区、村气象雨量观测站全覆盖。优先填补监测空白区，消除监测盲点，构建应用覆盖全域、多源协同、智能感知的立体化综合气象观测网络，夯实城市韧性建设的气象感知底座。</w:t>
      </w:r>
    </w:p>
    <w:p w14:paraId="11730B2A">
      <w:pPr>
        <w:pStyle w:val="4"/>
        <w:ind w:firstLine="643"/>
        <w:rPr>
          <w:rFonts w:hAnsi="Calibri" w:cs="Times New Roman"/>
        </w:rPr>
      </w:pPr>
      <w:bookmarkStart w:id="22" w:name="_Toc243552428"/>
      <w:bookmarkStart w:id="23" w:name="_Toc242778130"/>
      <w:r>
        <w:rPr>
          <w:rFonts w:hint="eastAsia"/>
          <w:lang w:bidi="ar"/>
        </w:rPr>
        <w:t>（三）提升预报预警能力</w:t>
      </w:r>
      <w:bookmarkEnd w:id="22"/>
      <w:bookmarkEnd w:id="23"/>
    </w:p>
    <w:p w14:paraId="54839B53">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建立丰台区重要天气过程数据库，叠加人工智能和大数据技术，实现公里级空间分辨率的精细化天气预报，提升镇街天气预报水平及相关预报产品的精细化程度，深度对接市级睿图、无缝隙智能网格预报等业务体系，承接市级预报技术成果本地化转化。建成丰台区数字气象台，实现丰台区与北京市天气预报实时协同、预报产品快速制作发布。开展针对丰台区区域特点的预报课题研究和科研活动，提升预报水平，特别是提高灾害性天气精准预报能力。在时间维度上重点强化短临、短期天气预报的订正能力，结合</w:t>
      </w:r>
      <w:r>
        <w:rPr>
          <w:rFonts w:hint="eastAsia" w:ascii="仿宋_GB2312" w:hAnsi="Calibri" w:eastAsia="仿宋_GB2312" w:cs="Calibri"/>
          <w:color w:val="000000" w:themeColor="text1"/>
          <w:sz w:val="32"/>
          <w:szCs w:val="32"/>
          <w:lang w:bidi="ar"/>
          <w14:textFill>
            <w14:solidFill>
              <w14:schemeClr w14:val="tx1"/>
            </w14:solidFill>
          </w14:textFill>
        </w:rPr>
        <w:t>AI</w:t>
      </w:r>
      <w:r>
        <w:rPr>
          <w:rFonts w:hint="eastAsia" w:ascii="仿宋_GB2312" w:hAnsi="宋体" w:eastAsia="仿宋_GB2312" w:cs="宋体"/>
          <w:color w:val="000000" w:themeColor="text1"/>
          <w:sz w:val="32"/>
          <w:szCs w:val="32"/>
          <w:lang w:bidi="ar"/>
          <w14:textFill>
            <w14:solidFill>
              <w14:schemeClr w14:val="tx1"/>
            </w14:solidFill>
          </w14:textFill>
        </w:rPr>
        <w:t>技术（人工智能），提高</w:t>
      </w:r>
      <w:r>
        <w:rPr>
          <w:rFonts w:hint="eastAsia" w:ascii="仿宋_GB2312" w:hAnsi="Calibri" w:eastAsia="仿宋_GB2312" w:cs="Calibri"/>
          <w:color w:val="000000" w:themeColor="text1"/>
          <w:sz w:val="32"/>
          <w:szCs w:val="32"/>
          <w:lang w:bidi="ar"/>
          <w14:textFill>
            <w14:solidFill>
              <w14:schemeClr w14:val="tx1"/>
            </w14:solidFill>
          </w14:textFill>
        </w:rPr>
        <w:t>0-12</w:t>
      </w:r>
      <w:r>
        <w:rPr>
          <w:rFonts w:hint="eastAsia" w:ascii="仿宋_GB2312" w:hAnsi="宋体" w:eastAsia="仿宋_GB2312" w:cs="宋体"/>
          <w:color w:val="000000" w:themeColor="text1"/>
          <w:sz w:val="32"/>
          <w:szCs w:val="32"/>
          <w:lang w:bidi="ar"/>
          <w14:textFill>
            <w14:solidFill>
              <w14:schemeClr w14:val="tx1"/>
            </w14:solidFill>
          </w14:textFill>
        </w:rPr>
        <w:t>小时短时临近预报水平，加强局地暴雨、冰雹、雷暴大风等灾害性天气短时临近预报和短中期预报研判能力，提升常规地面观测要素的实时客观分析及精细化预报预警水平。打造“靶向式”预警信息精准发布与强制触达通道，全面应用“闪信”技术，在极端灾害性天气（如暴雨红色、大风红色、冰雹红色预警等）来临前实现强制提醒，确保预警信息快速、精准触达，筑牢城市韧性防灾减灾第一道防线。</w:t>
      </w:r>
    </w:p>
    <w:p w14:paraId="68F22D56">
      <w:pPr>
        <w:pStyle w:val="4"/>
        <w:ind w:firstLine="643"/>
        <w:rPr>
          <w:rFonts w:hAnsi="Calibri" w:cs="Times New Roman"/>
        </w:rPr>
      </w:pPr>
      <w:bookmarkStart w:id="24" w:name="_Toc242778131"/>
      <w:bookmarkStart w:id="25" w:name="_Toc243552429"/>
      <w:r>
        <w:rPr>
          <w:rFonts w:hint="eastAsia"/>
          <w:lang w:bidi="ar"/>
        </w:rPr>
        <w:t>（四）创新气象服务产品</w:t>
      </w:r>
      <w:bookmarkEnd w:id="24"/>
      <w:bookmarkEnd w:id="25"/>
    </w:p>
    <w:p w14:paraId="43582B40">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基于气象综合观测数据和精细化预报预警信息，深度挖掘气象要素与经济社会活动的关联性，深度研发并推广综合景观指数、铁路客运枢纽滞留指数等具有鲜明区域特色和行业针对性的气象服务指数产品。通过构建多维度、定量化的指数模型，精准刻画特定场景下气象条件的影响程度与风险等级，显著提升气象服务的精细化、个性化和实用化水平。主动对标市级场景化气象服务建设方向，积极申报市级气象服务创新试点，争取市级科研资源支持。</w:t>
      </w:r>
    </w:p>
    <w:p w14:paraId="077D7A1D">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推动气象服务从基础预报向精细化预报和风险预警延伸。特别聚焦于丰台区内重点区域所表现出的气象敏感性及其风险防控需求。尤其强化对丰台区大型活动保障、城市运行管理等关键环节的气象服务支撑力度，通过增强服务的前瞻性、有效延长预见期，旨在为区委区政府和相关委办局防灾减灾决策提供更早、更准的参考依据。服务城市韧性提升、产业安全运行、生态提质、民生改善，从而全面提高气象服务的有效性、针对性、系统性和实用性，使相关气象服务产品在防灾减灾、活动组织和城市管理中发挥更核心的支撑作用。</w:t>
      </w:r>
    </w:p>
    <w:p w14:paraId="6C70DFC0">
      <w:pPr>
        <w:pStyle w:val="4"/>
        <w:ind w:firstLine="643"/>
        <w:rPr>
          <w:rFonts w:hAnsi="Calibri" w:cs="Times New Roman"/>
        </w:rPr>
      </w:pPr>
      <w:bookmarkStart w:id="26" w:name="_Toc242778132"/>
      <w:bookmarkStart w:id="27" w:name="_Toc243552430"/>
      <w:r>
        <w:rPr>
          <w:rFonts w:hint="eastAsia"/>
          <w:lang w:bidi="ar"/>
        </w:rPr>
        <w:t>（五）深化气象数据与政府决策平台融合应用</w:t>
      </w:r>
      <w:bookmarkEnd w:id="26"/>
      <w:bookmarkEnd w:id="27"/>
    </w:p>
    <w:p w14:paraId="6A84A9B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以提升城市治理现代化水平为目标，依托北京市气象局可信空间技术构建“气象数据中台</w:t>
      </w:r>
      <w:r>
        <w:rPr>
          <w:rFonts w:hint="eastAsia" w:ascii="仿宋_GB2312" w:hAnsi="Calibri" w:eastAsia="仿宋_GB2312" w:cs="Calibri"/>
          <w:color w:val="000000" w:themeColor="text1"/>
          <w:sz w:val="32"/>
          <w:szCs w:val="32"/>
          <w:lang w:bidi="ar"/>
          <w14:textFill>
            <w14:solidFill>
              <w14:schemeClr w14:val="tx1"/>
            </w14:solidFill>
          </w14:textFill>
        </w:rPr>
        <w:t>+</w:t>
      </w:r>
      <w:r>
        <w:rPr>
          <w:rFonts w:hint="eastAsia" w:ascii="仿宋_GB2312" w:hAnsi="宋体" w:eastAsia="仿宋_GB2312" w:cs="宋体"/>
          <w:color w:val="000000" w:themeColor="text1"/>
          <w:sz w:val="32"/>
          <w:szCs w:val="32"/>
          <w:lang w:bidi="ar"/>
          <w14:textFill>
            <w14:solidFill>
              <w14:schemeClr w14:val="tx1"/>
            </w14:solidFill>
          </w14:textFill>
        </w:rPr>
        <w:t>城市数字安全底座”融合机制。依托全区统一数据共享平台，联合各委办局和相关企业共同打造气象高质量数据集，实现地面观测、雷达卫星、网格预报等全要素数据与城市运行指标的深度融合。对接市级气象数据资源池，实现市区两级气象数据双向互通，用好市级气象大数据资源赋能丰台治理。</w:t>
      </w:r>
    </w:p>
    <w:p w14:paraId="4D1D83AF">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通过标准化数据接口，将分钟级实况监测、百米级智能预报、灾害风险预警等产品深度嵌入区“</w:t>
      </w:r>
      <w:r>
        <w:rPr>
          <w:rFonts w:hint="eastAsia" w:ascii="仿宋_GB2312" w:hAnsi="宋体" w:eastAsia="仿宋_GB2312" w:cs="宋体"/>
          <w:color w:val="000000" w:themeColor="text1"/>
          <w:sz w:val="32"/>
          <w:szCs w:val="32"/>
          <w:lang w:eastAsia="zh-CN" w:bidi="ar"/>
          <w14:textFill>
            <w14:solidFill>
              <w14:schemeClr w14:val="tx1"/>
            </w14:solidFill>
          </w14:textFill>
        </w:rPr>
        <w:t>政务</w:t>
      </w:r>
      <w:r>
        <w:rPr>
          <w:rFonts w:hint="eastAsia" w:ascii="仿宋_GB2312" w:hAnsi="宋体" w:eastAsia="仿宋_GB2312" w:cs="宋体"/>
          <w:color w:val="000000" w:themeColor="text1"/>
          <w:sz w:val="32"/>
          <w:szCs w:val="32"/>
          <w:lang w:bidi="ar"/>
          <w14:textFill>
            <w14:solidFill>
              <w14:schemeClr w14:val="tx1"/>
            </w14:solidFill>
          </w14:textFill>
        </w:rPr>
        <w:t>驾驶舱”系统，实现气象信息与多部门业务数据的同屏融合与智能关联。针对城市内涝防控、重大活动保障、交通枢纽调度等关键场景，研发气象风险阈值触发与智能研判模型，建立“监测</w:t>
      </w:r>
      <w:r>
        <w:rPr>
          <w:rFonts w:hint="eastAsia" w:ascii="仿宋_GB2312" w:hAnsi="Calibri" w:eastAsia="仿宋_GB2312" w:cs="Calibri"/>
          <w:color w:val="000000" w:themeColor="text1"/>
          <w:sz w:val="32"/>
          <w:szCs w:val="32"/>
          <w:lang w:bidi="ar"/>
          <w14:textFill>
            <w14:solidFill>
              <w14:schemeClr w14:val="tx1"/>
            </w14:solidFill>
          </w14:textFill>
        </w:rPr>
        <w:t>—</w:t>
      </w:r>
      <w:r>
        <w:rPr>
          <w:rFonts w:hint="eastAsia" w:ascii="仿宋_GB2312" w:hAnsi="宋体" w:eastAsia="仿宋_GB2312" w:cs="宋体"/>
          <w:color w:val="000000" w:themeColor="text1"/>
          <w:sz w:val="32"/>
          <w:szCs w:val="32"/>
          <w:lang w:bidi="ar"/>
          <w14:textFill>
            <w14:solidFill>
              <w14:schemeClr w14:val="tx1"/>
            </w14:solidFill>
          </w14:textFill>
        </w:rPr>
        <w:t>预警</w:t>
      </w:r>
      <w:r>
        <w:rPr>
          <w:rFonts w:hint="eastAsia" w:ascii="仿宋_GB2312" w:hAnsi="Calibri" w:eastAsia="仿宋_GB2312" w:cs="Calibri"/>
          <w:color w:val="000000" w:themeColor="text1"/>
          <w:sz w:val="32"/>
          <w:szCs w:val="32"/>
          <w:lang w:bidi="ar"/>
          <w14:textFill>
            <w14:solidFill>
              <w14:schemeClr w14:val="tx1"/>
            </w14:solidFill>
          </w14:textFill>
        </w:rPr>
        <w:t>—</w:t>
      </w:r>
      <w:r>
        <w:rPr>
          <w:rFonts w:hint="eastAsia" w:ascii="仿宋_GB2312" w:hAnsi="宋体" w:eastAsia="仿宋_GB2312" w:cs="宋体"/>
          <w:color w:val="000000" w:themeColor="text1"/>
          <w:sz w:val="32"/>
          <w:szCs w:val="32"/>
          <w:lang w:bidi="ar"/>
          <w14:textFill>
            <w14:solidFill>
              <w14:schemeClr w14:val="tx1"/>
            </w14:solidFill>
          </w14:textFill>
        </w:rPr>
        <w:t>预案</w:t>
      </w:r>
      <w:r>
        <w:rPr>
          <w:rFonts w:hint="eastAsia" w:ascii="仿宋_GB2312" w:hAnsi="Calibri" w:eastAsia="仿宋_GB2312" w:cs="Calibri"/>
          <w:color w:val="000000" w:themeColor="text1"/>
          <w:sz w:val="32"/>
          <w:szCs w:val="32"/>
          <w:lang w:bidi="ar"/>
          <w14:textFill>
            <w14:solidFill>
              <w14:schemeClr w14:val="tx1"/>
            </w14:solidFill>
          </w14:textFill>
        </w:rPr>
        <w:t>—</w:t>
      </w:r>
      <w:r>
        <w:rPr>
          <w:rFonts w:hint="eastAsia" w:ascii="仿宋_GB2312" w:hAnsi="宋体" w:eastAsia="仿宋_GB2312" w:cs="宋体"/>
          <w:color w:val="000000" w:themeColor="text1"/>
          <w:sz w:val="32"/>
          <w:szCs w:val="32"/>
          <w:lang w:bidi="ar"/>
          <w14:textFill>
            <w14:solidFill>
              <w14:schemeClr w14:val="tx1"/>
            </w14:solidFill>
          </w14:textFill>
        </w:rPr>
        <w:t>评估”的决策闭环。重点强化对暴雨、暴雪、大风等高影响天气的分区域、分行业影响预判，为城市运行指挥提供精准靶向服务，支撑城市韧性提升。</w:t>
      </w:r>
    </w:p>
    <w:p w14:paraId="6DA54476">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推动气象数据要素在生态文明建设中的创新应用，研发景观气象指数、都市农业气候服务等特色产品，实现气象服务从防灾减灾向赋能城市高质量发展延伸，构建“数据驱动决策、气象赋能治理”的智慧城市新范式。</w:t>
      </w:r>
    </w:p>
    <w:p w14:paraId="1FEC8C5A">
      <w:pPr>
        <w:pStyle w:val="4"/>
        <w:ind w:firstLine="643"/>
        <w:rPr>
          <w:rFonts w:hAnsi="Calibri" w:cs="Times New Roman"/>
        </w:rPr>
      </w:pPr>
      <w:bookmarkStart w:id="28" w:name="_Toc243552431"/>
      <w:bookmarkStart w:id="29" w:name="_Toc242778133"/>
      <w:r>
        <w:rPr>
          <w:rFonts w:hint="eastAsia"/>
          <w:lang w:bidi="ar"/>
        </w:rPr>
        <w:t>（六）打造“丰台气象”智慧服务终端，提升公众服务覆盖面</w:t>
      </w:r>
      <w:bookmarkEnd w:id="28"/>
      <w:bookmarkEnd w:id="29"/>
    </w:p>
    <w:p w14:paraId="737A2CCE">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围绕丰台区“五区建设”的功能定位与公众日益增长的精细化气象服务需求，充分依托北京市“京办”政务平台等主渠道优势，系统性推进气象服务的深度集成与智慧化升级。对标市级数字气象服务建设任务，融入全市一体化智慧气象服务体系。全面整合气象观测、智能网格预报、灾害风险预警等产品，形成标准统一、价值密集的“丰台气象高质量数据集”。通过推动该数据集与区政数局平台的深度融合与有序开放，将重点面向交通枢纽运行、城市安全治理、文旅活动策划及生态保护等领域，开发具有场景化、定制化特征的气象数据服务产品，深化数据要素在支撑政府决策、赋能行业发展的创新应用，从根本上提升气象信息的普惠水平与服务效能，夯实民生服务保障。</w:t>
      </w:r>
    </w:p>
    <w:p w14:paraId="3AF3C976">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到</w:t>
      </w:r>
      <w:r>
        <w:rPr>
          <w:rFonts w:hint="eastAsia" w:ascii="仿宋_GB2312" w:hAnsi="Calibri" w:eastAsia="仿宋_GB2312" w:cs="Calibri"/>
          <w:color w:val="000000" w:themeColor="text1"/>
          <w:sz w:val="32"/>
          <w:szCs w:val="32"/>
          <w:lang w:bidi="ar"/>
          <w14:textFill>
            <w14:solidFill>
              <w14:schemeClr w14:val="tx1"/>
            </w14:solidFill>
          </w14:textFill>
        </w:rPr>
        <w:t>2030</w:t>
      </w:r>
      <w:r>
        <w:rPr>
          <w:rFonts w:hint="eastAsia" w:ascii="仿宋_GB2312" w:hAnsi="宋体" w:eastAsia="仿宋_GB2312" w:cs="宋体"/>
          <w:color w:val="000000" w:themeColor="text1"/>
          <w:sz w:val="32"/>
          <w:szCs w:val="32"/>
          <w:lang w:bidi="ar"/>
          <w14:textFill>
            <w14:solidFill>
              <w14:schemeClr w14:val="tx1"/>
            </w14:solidFill>
          </w14:textFill>
        </w:rPr>
        <w:t>年，全面建成用户满意度达到</w:t>
      </w:r>
      <w:r>
        <w:rPr>
          <w:rFonts w:hint="eastAsia" w:ascii="仿宋_GB2312" w:hAnsi="Calibri" w:eastAsia="仿宋_GB2312" w:cs="Calibri"/>
          <w:color w:val="000000" w:themeColor="text1"/>
          <w:sz w:val="32"/>
          <w:szCs w:val="32"/>
          <w:lang w:bidi="ar"/>
          <w14:textFill>
            <w14:solidFill>
              <w14:schemeClr w14:val="tx1"/>
            </w14:solidFill>
          </w14:textFill>
        </w:rPr>
        <w:t>92%</w:t>
      </w:r>
      <w:r>
        <w:rPr>
          <w:rFonts w:hint="eastAsia" w:ascii="仿宋_GB2312" w:hAnsi="宋体" w:eastAsia="仿宋_GB2312" w:cs="宋体"/>
          <w:color w:val="000000" w:themeColor="text1"/>
          <w:sz w:val="32"/>
          <w:szCs w:val="32"/>
          <w:lang w:bidi="ar"/>
          <w14:textFill>
            <w14:solidFill>
              <w14:schemeClr w14:val="tx1"/>
            </w14:solidFill>
          </w14:textFill>
        </w:rPr>
        <w:t>以上的智慧气象服务体系。具体量化指标包括：形成不少于</w:t>
      </w:r>
      <w:r>
        <w:rPr>
          <w:rFonts w:hint="eastAsia" w:ascii="仿宋_GB2312" w:hAnsi="Calibri" w:eastAsia="仿宋_GB2312" w:cs="Calibri"/>
          <w:color w:val="000000" w:themeColor="text1"/>
          <w:sz w:val="32"/>
          <w:szCs w:val="32"/>
          <w:lang w:bidi="ar"/>
          <w14:textFill>
            <w14:solidFill>
              <w14:schemeClr w14:val="tx1"/>
            </w14:solidFill>
          </w14:textFill>
        </w:rPr>
        <w:t>5</w:t>
      </w:r>
      <w:r>
        <w:rPr>
          <w:rFonts w:hint="eastAsia" w:ascii="仿宋_GB2312" w:hAnsi="宋体" w:eastAsia="仿宋_GB2312" w:cs="宋体"/>
          <w:color w:val="000000" w:themeColor="text1"/>
          <w:sz w:val="32"/>
          <w:szCs w:val="32"/>
          <w:lang w:bidi="ar"/>
          <w14:textFill>
            <w14:solidFill>
              <w14:schemeClr w14:val="tx1"/>
            </w14:solidFill>
          </w14:textFill>
        </w:rPr>
        <w:t>个标准化、高可用性的气象数据产品；在“京办”或者“丰台气象决策服务平台”上线并稳定运行至少</w:t>
      </w:r>
      <w:r>
        <w:rPr>
          <w:rFonts w:hint="eastAsia" w:ascii="仿宋_GB2312" w:hAnsi="Calibri" w:eastAsia="仿宋_GB2312" w:cs="Calibri"/>
          <w:color w:val="000000" w:themeColor="text1"/>
          <w:sz w:val="32"/>
          <w:szCs w:val="32"/>
          <w:lang w:bidi="ar"/>
          <w14:textFill>
            <w14:solidFill>
              <w14:schemeClr w14:val="tx1"/>
            </w14:solidFill>
          </w14:textFill>
        </w:rPr>
        <w:t>3</w:t>
      </w:r>
      <w:r>
        <w:rPr>
          <w:rFonts w:hint="eastAsia" w:ascii="仿宋_GB2312" w:hAnsi="宋体" w:eastAsia="仿宋_GB2312" w:cs="宋体"/>
          <w:color w:val="000000" w:themeColor="text1"/>
          <w:sz w:val="32"/>
          <w:szCs w:val="32"/>
          <w:lang w:bidi="ar"/>
          <w14:textFill>
            <w14:solidFill>
              <w14:schemeClr w14:val="tx1"/>
            </w14:solidFill>
          </w14:textFill>
        </w:rPr>
        <w:t>项针对重点功能区的场景化服务；实现气象数据产品在区内至少</w:t>
      </w:r>
      <w:r>
        <w:rPr>
          <w:rFonts w:hint="eastAsia" w:ascii="仿宋_GB2312" w:hAnsi="Calibri" w:eastAsia="仿宋_GB2312" w:cs="Calibri"/>
          <w:color w:val="000000" w:themeColor="text1"/>
          <w:sz w:val="32"/>
          <w:szCs w:val="32"/>
          <w:lang w:bidi="ar"/>
          <w14:textFill>
            <w14:solidFill>
              <w14:schemeClr w14:val="tx1"/>
            </w14:solidFill>
          </w14:textFill>
        </w:rPr>
        <w:t>3</w:t>
      </w:r>
      <w:r>
        <w:rPr>
          <w:rFonts w:hint="eastAsia" w:ascii="仿宋_GB2312" w:hAnsi="宋体" w:eastAsia="仿宋_GB2312" w:cs="宋体"/>
          <w:color w:val="000000" w:themeColor="text1"/>
          <w:sz w:val="32"/>
          <w:szCs w:val="32"/>
          <w:lang w:bidi="ar"/>
          <w14:textFill>
            <w14:solidFill>
              <w14:schemeClr w14:val="tx1"/>
            </w14:solidFill>
          </w14:textFill>
        </w:rPr>
        <w:t>个业务部门（如应急、交通、文旅）的深度嵌入与业务协同。全面达成各项量化指标，形成成熟可持续的数据服务模式，确保智慧气象服务体系的长期稳定运行与效能迭代。通过可信空间技术将监测数据汇集融合形成丰台区历史气象数据集。</w:t>
      </w:r>
    </w:p>
    <w:p w14:paraId="70CC6200">
      <w:pPr>
        <w:pStyle w:val="4"/>
        <w:ind w:firstLine="643"/>
        <w:rPr>
          <w:rFonts w:hAnsi="Calibri" w:cs="Times New Roman"/>
        </w:rPr>
      </w:pPr>
      <w:bookmarkStart w:id="30" w:name="_Toc242778134"/>
      <w:bookmarkStart w:id="31" w:name="_Toc243552432"/>
      <w:r>
        <w:rPr>
          <w:rFonts w:hint="eastAsia"/>
          <w:lang w:bidi="ar"/>
        </w:rPr>
        <w:t>（七）强化气象执法，保障气象服务健康发展</w:t>
      </w:r>
      <w:bookmarkEnd w:id="30"/>
      <w:bookmarkEnd w:id="31"/>
    </w:p>
    <w:p w14:paraId="31EEE5AD">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全面依法履行气象主管机构职责，使气象行业管理更加规范，气象营商环境不断优化，防雷和升放气球安全监管协同高效，气象治理质效明显提升。依法强化气象活动监管，全面履行监管职责。完善气象信息发布与传播、雷电灾害防御、升放气球活动、气象探测环境、气象专用技术装备、数据应用与安全、涉外气象探测等监管机制。全面推行“双随机、一公开”，持续推进常态化部门联合抽查，健全与应急、市场监管、住建等部门的跨部门联合监管机制。强化雷电防护装置行政许可和事中事后监管的技术支撑。加强非现场监管，实现监管效能最大化、监管成本最小化，推动监管由粗放式向精准式、由被动式向主动式、由管控式向治理式转变。对标市级气象行业监管体系建设要求，落实市级气象法治建设工作部署，规范执法流程，提升跨部门协同监管能力。</w:t>
      </w:r>
    </w:p>
    <w:p w14:paraId="762ACC13">
      <w:pPr>
        <w:pStyle w:val="4"/>
        <w:ind w:firstLine="643"/>
        <w:rPr>
          <w:rFonts w:hAnsi="Calibri" w:cs="Times New Roman"/>
        </w:rPr>
      </w:pPr>
      <w:bookmarkStart w:id="32" w:name="_Toc243552433"/>
      <w:bookmarkStart w:id="33" w:name="_Toc242778135"/>
      <w:r>
        <w:rPr>
          <w:rFonts w:hint="eastAsia"/>
          <w:lang w:bidi="ar"/>
        </w:rPr>
        <w:t>（八）深化气象科普教育体系，提升公众科学素质与防灾减灾能力</w:t>
      </w:r>
      <w:bookmarkEnd w:id="32"/>
      <w:bookmarkEnd w:id="33"/>
    </w:p>
    <w:p w14:paraId="2AB2EC43">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“十五五”期间，规划突破单一科普功能，计划新增气象元素融入8个“乐学公园”，在公园内配置气象自动站与人工观测站形成对比观测体系，实现全域气象数据精准采集与动态监测，同步建设</w:t>
      </w:r>
      <w:r>
        <w:rPr>
          <w:rFonts w:hint="eastAsia" w:ascii="仿宋_GB2312" w:hAnsi="Calibri" w:eastAsia="仿宋_GB2312" w:cs="Calibri"/>
          <w:color w:val="000000" w:themeColor="text1"/>
          <w:sz w:val="32"/>
          <w:szCs w:val="32"/>
          <w:lang w:bidi="ar"/>
          <w14:textFill>
            <w14:solidFill>
              <w14:schemeClr w14:val="tx1"/>
            </w14:solidFill>
          </w14:textFill>
        </w:rPr>
        <w:t>1</w:t>
      </w:r>
      <w:r>
        <w:rPr>
          <w:rFonts w:hint="eastAsia" w:ascii="仿宋_GB2312" w:hAnsi="宋体" w:eastAsia="仿宋_GB2312" w:cs="宋体"/>
          <w:color w:val="000000" w:themeColor="text1"/>
          <w:sz w:val="32"/>
          <w:szCs w:val="32"/>
          <w:lang w:bidi="ar"/>
          <w14:textFill>
            <w14:solidFill>
              <w14:schemeClr w14:val="tx1"/>
            </w14:solidFill>
          </w14:textFill>
        </w:rPr>
        <w:t>个国家级气象科普基地和</w:t>
      </w:r>
      <w:r>
        <w:rPr>
          <w:rFonts w:hint="eastAsia" w:ascii="仿宋_GB2312" w:hAnsi="Calibri" w:eastAsia="仿宋_GB2312" w:cs="Calibri"/>
          <w:color w:val="000000" w:themeColor="text1"/>
          <w:sz w:val="32"/>
          <w:szCs w:val="32"/>
          <w:lang w:bidi="ar"/>
          <w14:textFill>
            <w14:solidFill>
              <w14:schemeClr w14:val="tx1"/>
            </w14:solidFill>
          </w14:textFill>
        </w:rPr>
        <w:t>10</w:t>
      </w:r>
      <w:r>
        <w:rPr>
          <w:rFonts w:hint="eastAsia" w:ascii="仿宋_GB2312" w:hAnsi="宋体" w:eastAsia="仿宋_GB2312" w:cs="宋体"/>
          <w:color w:val="000000" w:themeColor="text1"/>
          <w:sz w:val="32"/>
          <w:szCs w:val="32"/>
          <w:lang w:bidi="ar"/>
          <w14:textFill>
            <w14:solidFill>
              <w14:schemeClr w14:val="tx1"/>
            </w14:solidFill>
          </w14:textFill>
        </w:rPr>
        <w:t>个校园科普气象站，培育</w:t>
      </w:r>
      <w:r>
        <w:rPr>
          <w:rFonts w:hint="eastAsia" w:ascii="仿宋_GB2312" w:hAnsi="Calibri" w:eastAsia="仿宋_GB2312" w:cs="Calibri"/>
          <w:color w:val="000000" w:themeColor="text1"/>
          <w:sz w:val="32"/>
          <w:szCs w:val="32"/>
          <w:lang w:bidi="ar"/>
          <w14:textFill>
            <w14:solidFill>
              <w14:schemeClr w14:val="tx1"/>
            </w14:solidFill>
          </w14:textFill>
        </w:rPr>
        <w:t>100</w:t>
      </w:r>
      <w:r>
        <w:rPr>
          <w:rFonts w:hint="eastAsia" w:ascii="仿宋_GB2312" w:hAnsi="宋体" w:eastAsia="仿宋_GB2312" w:cs="宋体"/>
          <w:color w:val="000000" w:themeColor="text1"/>
          <w:sz w:val="32"/>
          <w:szCs w:val="32"/>
          <w:lang w:bidi="ar"/>
          <w14:textFill>
            <w14:solidFill>
              <w14:schemeClr w14:val="tx1"/>
            </w14:solidFill>
          </w14:textFill>
        </w:rPr>
        <w:t>人气象科普志愿者队伍。适时打造全市第一个气象主题科普公园。深化“气象</w:t>
      </w:r>
      <w:r>
        <w:rPr>
          <w:rFonts w:hint="eastAsia" w:ascii="仿宋_GB2312" w:hAnsi="Calibri" w:eastAsia="仿宋_GB2312" w:cs="Calibri"/>
          <w:color w:val="000000" w:themeColor="text1"/>
          <w:sz w:val="32"/>
          <w:szCs w:val="32"/>
          <w:lang w:bidi="ar"/>
          <w14:textFill>
            <w14:solidFill>
              <w14:schemeClr w14:val="tx1"/>
            </w14:solidFill>
          </w14:textFill>
        </w:rPr>
        <w:t>+</w:t>
      </w:r>
      <w:r>
        <w:rPr>
          <w:rFonts w:hint="eastAsia" w:ascii="仿宋_GB2312" w:hAnsi="宋体" w:eastAsia="仿宋_GB2312" w:cs="宋体"/>
          <w:color w:val="000000" w:themeColor="text1"/>
          <w:sz w:val="32"/>
          <w:szCs w:val="32"/>
          <w:lang w:bidi="ar"/>
          <w14:textFill>
            <w14:solidFill>
              <w14:schemeClr w14:val="tx1"/>
            </w14:solidFill>
          </w14:textFill>
        </w:rPr>
        <w:t>”融合科普模式，开发中小学生气象科普课程，未来争取实现丰台区小学生气象科普教育全覆盖。形成“基地引领、公园联动、校园延伸”的气象科普新格局，以气象要素观测站为核心载体，即筑牢气象服务支撑，又构建基础气象科普教育阵地，有效提升区域内学生与公众的气象科学素养及防灾减灾意识与能力。积极对接市级气象科普体系建设规划，争取市级科普资源、专家资源、项目资金支持，打造市级科普示范样板。</w:t>
      </w:r>
    </w:p>
    <w:p w14:paraId="7994F942">
      <w:pPr>
        <w:pStyle w:val="4"/>
        <w:ind w:firstLine="643"/>
        <w:rPr>
          <w:rFonts w:hAnsi="Calibri" w:cs="Times New Roman"/>
        </w:rPr>
      </w:pPr>
      <w:bookmarkStart w:id="34" w:name="_Toc242778136"/>
      <w:bookmarkStart w:id="35" w:name="_Toc243552434"/>
      <w:r>
        <w:rPr>
          <w:rFonts w:hint="eastAsia"/>
          <w:lang w:bidi="ar"/>
        </w:rPr>
        <w:t>（九）构建现代化移动应急气象服务保障体系，提升突发事件现场处置能力</w:t>
      </w:r>
      <w:bookmarkEnd w:id="34"/>
      <w:bookmarkEnd w:id="35"/>
    </w:p>
    <w:p w14:paraId="0E127DA3">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以技术升级与服务提质为核心，聚焦气象灾害防控与应急响应能力提升，构建精准高效的现代化移动应急气象服务保障体系，实现气象灾害预判更精准、受灾情况评估更高效、应急处置支撑更有力，全面提升重点功能区突发事件现场处置能力，为全区城市韧性提升提供现场气象支撑，为区域高质量发展筑牢气象安全屏障。一是在丰台区气象决策服务平台上增设气象灾害实时监测预警模块，依托精细化网格预报产品和时空数据实现气象灾害预判及实时推演，细化受灾地区等级，为救援方案制定提供支撑。二是配备气象应急服务车，具备卫星通信接收能力、集成智能气象服务平台，确保在极端条件下仍能实时获取卫星资料、传输现场数据、接收各级指令并发布预警信息。三是打造适配重点功能区需求的现代化移动应急气象服务保障体系。重点关注重大活动保障、自然灾害、事故灾难等应急处置核心场景的气象服务需求，增强现场服务的时效性、精准性和可靠性，全面提高气象应急服务的响应速度、保障效能和实战水平，构建起全方位覆盖重点功能区的现代化应急气象服务保障体系。</w:t>
      </w:r>
    </w:p>
    <w:p w14:paraId="7CFDA090">
      <w:pPr>
        <w:pStyle w:val="4"/>
        <w:ind w:firstLine="643"/>
        <w:rPr>
          <w:rFonts w:hAnsi="Calibri" w:cs="Times New Roman"/>
        </w:rPr>
      </w:pPr>
      <w:bookmarkStart w:id="36" w:name="_Toc243552435"/>
      <w:bookmarkStart w:id="37" w:name="_Toc242778137"/>
      <w:r>
        <w:rPr>
          <w:rFonts w:hint="eastAsia"/>
          <w:lang w:bidi="ar"/>
        </w:rPr>
        <w:t>（十）实施高层次人才培育与科技创新攻坚工程，强化高质量发展核心支撑</w:t>
      </w:r>
      <w:bookmarkEnd w:id="36"/>
      <w:bookmarkEnd w:id="37"/>
    </w:p>
    <w:p w14:paraId="67983C7D">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以《气象高质量发展纲要》人才强基战略为引领，强化高层次人才队伍建设。对标北京市气象人才队伍建设规划，主动融入市级气象人才培养体系，争取市级导师帮带、联合培养、科研挂职等人才政策落地丰台。聚焦本领域关键核心技术突破与服务能力跃升，积极融入区域发展格局，全力实施高层次气象人才培育计划。明确将实现本局正研级高级工程师“零的突破”作为核心目标，并积极推荐、申报“丰泽计划”高层次人才，着力打造在区域内有影响力的气象科技创新领军人才与团队。</w:t>
      </w:r>
    </w:p>
    <w:p w14:paraId="003E3C3E">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紧密衔接丰台区重点产业发展方向，系统推进科研项目攻关、技术标准创制与知识产权布局。鼓励并支持科研骨干依托区级政策，积极组织申报各类科研项目、主导或参与制定北京市及气象行业地方标准、申请发明专利及软件著作权。加强与市气象局科研院所联合攻关，联合申报市级重点科研项目，共享科研成果。</w:t>
      </w:r>
    </w:p>
    <w:p w14:paraId="64446FE9">
      <w:pPr>
        <w:pStyle w:val="3"/>
        <w:ind w:firstLine="640"/>
        <w:rPr>
          <w:rFonts w:hAnsi="Calibri" w:cs="Times New Roman"/>
        </w:rPr>
      </w:pPr>
      <w:bookmarkStart w:id="38" w:name="_Toc243552436"/>
      <w:bookmarkStart w:id="39" w:name="_Toc242778138"/>
      <w:r>
        <w:rPr>
          <w:rFonts w:hint="eastAsia"/>
          <w:lang w:bidi="ar"/>
        </w:rPr>
        <w:t>五、保障措施</w:t>
      </w:r>
      <w:bookmarkEnd w:id="38"/>
      <w:bookmarkEnd w:id="39"/>
    </w:p>
    <w:p w14:paraId="225EFEDD">
      <w:pPr>
        <w:pStyle w:val="4"/>
        <w:ind w:firstLine="643"/>
        <w:rPr>
          <w:rFonts w:hAnsi="Calibri" w:cs="Times New Roman"/>
        </w:rPr>
      </w:pPr>
      <w:bookmarkStart w:id="40" w:name="_Toc243552437"/>
      <w:bookmarkStart w:id="41" w:name="_Toc242778139"/>
      <w:r>
        <w:rPr>
          <w:rFonts w:hint="eastAsia"/>
          <w:lang w:bidi="ar"/>
        </w:rPr>
        <w:t>（一）加强组织领导</w:t>
      </w:r>
      <w:bookmarkEnd w:id="40"/>
      <w:bookmarkEnd w:id="41"/>
    </w:p>
    <w:p w14:paraId="66A9C86C">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将坚持和加强党的全面领导贯穿于规划实施全过程，从守护人民生命财产安全和促进经济社会高质量发展的战略高度，深刻认识落实本规划的重要性。充分发挥气象部门和地方政府的双管优势，强化顶层设计与统筹协调。推动建立由政府主导、气象部门牵头、相关部门协同、街镇落实的规划实施工作机制。</w:t>
      </w:r>
    </w:p>
    <w:p w14:paraId="1B80D1AB">
      <w:pPr>
        <w:pStyle w:val="4"/>
        <w:ind w:firstLine="643"/>
        <w:rPr>
          <w:rFonts w:hAnsi="Calibri" w:cs="Times New Roman"/>
        </w:rPr>
      </w:pPr>
      <w:bookmarkStart w:id="42" w:name="_Toc242778140"/>
      <w:bookmarkStart w:id="43" w:name="_Toc243552438"/>
      <w:r>
        <w:rPr>
          <w:rFonts w:hint="eastAsia"/>
          <w:lang w:bidi="ar"/>
        </w:rPr>
        <w:t>（二）加强资金保障，拓宽多元投入渠道</w:t>
      </w:r>
      <w:bookmarkEnd w:id="42"/>
      <w:bookmarkEnd w:id="43"/>
    </w:p>
    <w:p w14:paraId="27468289">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积极争取中央财政支持，争取市级专项资金支持，争取区级财政保障,切实保障规划目标的全面实现与气象事业的可持续发展。优化资源配置，重点保障气象精密监测、精准预报、精细服务能力提升，以及保障高层次人才引进与培养、核心技术研发攻关和“十五五”规划确定的重大气象工程项目。</w:t>
      </w:r>
    </w:p>
    <w:p w14:paraId="4566ECF1">
      <w:pPr>
        <w:pStyle w:val="4"/>
        <w:ind w:firstLine="643"/>
        <w:rPr>
          <w:rFonts w:hAnsi="Calibri" w:cs="Times New Roman"/>
        </w:rPr>
      </w:pPr>
      <w:bookmarkStart w:id="44" w:name="_Toc242778141"/>
      <w:bookmarkStart w:id="45" w:name="_Toc243552439"/>
      <w:r>
        <w:rPr>
          <w:rFonts w:hint="eastAsia"/>
          <w:lang w:bidi="ar"/>
        </w:rPr>
        <w:t>（三）加强气象人才建设和科研支撑</w:t>
      </w:r>
      <w:bookmarkEnd w:id="44"/>
      <w:bookmarkEnd w:id="45"/>
    </w:p>
    <w:p w14:paraId="6591699E">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实施新时代气象高层次科技创新人才计划，激发人才创新活力，提升气象人才队伍整体素质和拔尖人才的影响力。为建设一支与气象现代化需求相适应的高水平人才队伍提供政策保障。对接市级气象人才培育机制，搭建市区人才交流科研平台。进一步深化与各部门在气象现代化建设、重大气象科技攻关以及防灾减灾、应对气候变化能力建设中的互助与合作。</w:t>
      </w:r>
      <w:r>
        <w:rPr>
          <w:rFonts w:hint="eastAsia" w:ascii="仿宋_GB2312" w:hAnsi="Calibri" w:eastAsia="仿宋_GB2312" w:cs="Times New Roman"/>
          <w:color w:val="000000" w:themeColor="text1"/>
          <w:sz w:val="32"/>
          <w:szCs w:val="32"/>
          <w:lang w:bidi="ar"/>
          <w14:textFill>
            <w14:solidFill>
              <w14:schemeClr w14:val="tx1"/>
            </w14:solidFill>
          </w14:textFill>
        </w:rPr>
        <w:t xml:space="preserve"> </w:t>
      </w:r>
    </w:p>
    <w:p w14:paraId="7B43A784">
      <w:pPr>
        <w:pStyle w:val="4"/>
        <w:ind w:firstLine="643"/>
        <w:rPr>
          <w:rFonts w:hAnsi="Calibri" w:cs="Times New Roman"/>
        </w:rPr>
      </w:pPr>
      <w:bookmarkStart w:id="46" w:name="_Toc242778142"/>
      <w:bookmarkStart w:id="47" w:name="_Toc243552440"/>
      <w:r>
        <w:rPr>
          <w:rFonts w:hint="eastAsia"/>
          <w:lang w:bidi="ar"/>
        </w:rPr>
        <w:t>（四）加强气象法治建设</w:t>
      </w:r>
      <w:bookmarkEnd w:id="46"/>
      <w:bookmarkEnd w:id="47"/>
    </w:p>
    <w:p w14:paraId="38EAFC8E">
      <w:pPr>
        <w:spacing w:line="360" w:lineRule="auto"/>
        <w:ind w:firstLine="640" w:firstLineChars="200"/>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全面贯彻落实《中华人民共和国气象法》等气象法律法规。全面推进气象依法行政，完善气象法律制度建设，提升气象行政执法能力，依法依规履行社会管理职能。深入开展气象法制宣传教育，提高社会公众的气象法律意识。</w:t>
      </w:r>
    </w:p>
    <w:sectPr>
      <w:pgSz w:w="11906" w:h="16838"/>
      <w:pgMar w:top="1134" w:right="1797" w:bottom="1440" w:left="1797"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8615FF2">
        <w:pPr>
          <w:pStyle w:val="7"/>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6507978"/>
    </w:sdtPr>
    <w:sdtEndPr>
      <w:rPr>
        <w:rFonts w:asciiTheme="minorEastAsia" w:hAnsiTheme="minorEastAsia"/>
        <w:sz w:val="28"/>
        <w:szCs w:val="28"/>
      </w:rPr>
    </w:sdtEndPr>
    <w:sdtContent>
      <w:p w14:paraId="32B8F14E">
        <w:pPr>
          <w:pStyle w:val="7"/>
          <w:ind w:firstLine="360"/>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II</w:t>
        </w:r>
        <w:r>
          <w:rPr>
            <w:rFonts w:asciiTheme="minorEastAsia" w:hAnsi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5414A">
    <w:pPr>
      <w:pStyle w:val="7"/>
      <w:ind w:firstLine="360"/>
      <w:jc w:val="center"/>
      <w:rPr>
        <w:lang w:val="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868E0">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A0E2">
    <w:pPr>
      <w:pStyle w:val="8"/>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87FF6">
    <w:pPr>
      <w:pStyle w:val="8"/>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CE1"/>
    <w:rsid w:val="00005B27"/>
    <w:rsid w:val="00085CE1"/>
    <w:rsid w:val="000A5609"/>
    <w:rsid w:val="000B098B"/>
    <w:rsid w:val="00131691"/>
    <w:rsid w:val="00255210"/>
    <w:rsid w:val="002C578B"/>
    <w:rsid w:val="003A487E"/>
    <w:rsid w:val="003C2608"/>
    <w:rsid w:val="00410498"/>
    <w:rsid w:val="004C206E"/>
    <w:rsid w:val="00502BD4"/>
    <w:rsid w:val="005160D0"/>
    <w:rsid w:val="005476F8"/>
    <w:rsid w:val="005E4B1F"/>
    <w:rsid w:val="00605883"/>
    <w:rsid w:val="00646B12"/>
    <w:rsid w:val="00684D19"/>
    <w:rsid w:val="007D4261"/>
    <w:rsid w:val="00870A3A"/>
    <w:rsid w:val="00A3502C"/>
    <w:rsid w:val="00B55800"/>
    <w:rsid w:val="00D4732D"/>
    <w:rsid w:val="00E100B0"/>
    <w:rsid w:val="00E9502F"/>
    <w:rsid w:val="00F456ED"/>
    <w:rsid w:val="00F67666"/>
    <w:rsid w:val="00FA50AF"/>
    <w:rsid w:val="02180B66"/>
    <w:rsid w:val="0A7143FF"/>
    <w:rsid w:val="0BBF7004"/>
    <w:rsid w:val="0BDA231E"/>
    <w:rsid w:val="12003EAC"/>
    <w:rsid w:val="160151B2"/>
    <w:rsid w:val="17F3DBCA"/>
    <w:rsid w:val="19AB36D0"/>
    <w:rsid w:val="1F7B8C95"/>
    <w:rsid w:val="1FFF0AA6"/>
    <w:rsid w:val="23925487"/>
    <w:rsid w:val="26993B32"/>
    <w:rsid w:val="269B3406"/>
    <w:rsid w:val="37EA3236"/>
    <w:rsid w:val="37FD58B7"/>
    <w:rsid w:val="39E7B18A"/>
    <w:rsid w:val="3D6C7BF9"/>
    <w:rsid w:val="3F3FAFA6"/>
    <w:rsid w:val="3F7F01F9"/>
    <w:rsid w:val="3FDCF430"/>
    <w:rsid w:val="460512AD"/>
    <w:rsid w:val="4844355B"/>
    <w:rsid w:val="4A18772B"/>
    <w:rsid w:val="4EB8689E"/>
    <w:rsid w:val="4F8B8D8D"/>
    <w:rsid w:val="51C7386F"/>
    <w:rsid w:val="54F7D3FF"/>
    <w:rsid w:val="553741F3"/>
    <w:rsid w:val="57AB0931"/>
    <w:rsid w:val="584314E8"/>
    <w:rsid w:val="5B7051E3"/>
    <w:rsid w:val="5BDF55DE"/>
    <w:rsid w:val="5CF2492F"/>
    <w:rsid w:val="5F5E6791"/>
    <w:rsid w:val="5F7F0839"/>
    <w:rsid w:val="662D781F"/>
    <w:rsid w:val="66FE5848"/>
    <w:rsid w:val="69624730"/>
    <w:rsid w:val="6B6CD813"/>
    <w:rsid w:val="6C44658C"/>
    <w:rsid w:val="6DC317E2"/>
    <w:rsid w:val="6ECD1278"/>
    <w:rsid w:val="6FDFE623"/>
    <w:rsid w:val="77774008"/>
    <w:rsid w:val="77D716FE"/>
    <w:rsid w:val="77F780AD"/>
    <w:rsid w:val="78BB02FC"/>
    <w:rsid w:val="7B70C2F3"/>
    <w:rsid w:val="7B7BA109"/>
    <w:rsid w:val="7BB66F56"/>
    <w:rsid w:val="7BBE60A8"/>
    <w:rsid w:val="7EB47E5E"/>
    <w:rsid w:val="7ED7697B"/>
    <w:rsid w:val="7EF744EE"/>
    <w:rsid w:val="7F1876F7"/>
    <w:rsid w:val="7FADD96B"/>
    <w:rsid w:val="7FB9B601"/>
    <w:rsid w:val="7FEF09DE"/>
    <w:rsid w:val="7FF7FAC2"/>
    <w:rsid w:val="7FFD9D40"/>
    <w:rsid w:val="7FFE4538"/>
    <w:rsid w:val="9799FD80"/>
    <w:rsid w:val="AECF7A36"/>
    <w:rsid w:val="B6EFDCB6"/>
    <w:rsid w:val="BBF3B255"/>
    <w:rsid w:val="BDA989E7"/>
    <w:rsid w:val="BFDFAAA3"/>
    <w:rsid w:val="BFEBD040"/>
    <w:rsid w:val="BFF7DB12"/>
    <w:rsid w:val="CBBEE7DA"/>
    <w:rsid w:val="D50FB0CE"/>
    <w:rsid w:val="D66BFCC4"/>
    <w:rsid w:val="D92B04F4"/>
    <w:rsid w:val="DB7A80CF"/>
    <w:rsid w:val="DED59709"/>
    <w:rsid w:val="E7DFD967"/>
    <w:rsid w:val="E8BA9DB3"/>
    <w:rsid w:val="EAEB6190"/>
    <w:rsid w:val="EB7D9C3C"/>
    <w:rsid w:val="ED3FD4C1"/>
    <w:rsid w:val="F66DFC77"/>
    <w:rsid w:val="F6C61EA2"/>
    <w:rsid w:val="F767FA44"/>
    <w:rsid w:val="F7DDE9A5"/>
    <w:rsid w:val="F7E67FB6"/>
    <w:rsid w:val="FAFF7DFE"/>
    <w:rsid w:val="FB5A5E40"/>
    <w:rsid w:val="FF7AB720"/>
    <w:rsid w:val="FF8971AB"/>
    <w:rsid w:val="FF9804E6"/>
    <w:rsid w:val="FFBE0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spacing w:line="360" w:lineRule="auto"/>
      <w:ind w:firstLine="200" w:firstLineChars="200"/>
      <w:outlineLvl w:val="0"/>
    </w:pPr>
    <w:rPr>
      <w:rFonts w:eastAsia="黑体"/>
      <w:bCs/>
      <w:kern w:val="44"/>
      <w:sz w:val="32"/>
      <w:szCs w:val="44"/>
    </w:rPr>
  </w:style>
  <w:style w:type="paragraph" w:styleId="4">
    <w:name w:val="heading 2"/>
    <w:basedOn w:val="1"/>
    <w:next w:val="1"/>
    <w:link w:val="16"/>
    <w:unhideWhenUsed/>
    <w:qFormat/>
    <w:uiPriority w:val="0"/>
    <w:pPr>
      <w:keepNext/>
      <w:keepLines/>
      <w:spacing w:line="360" w:lineRule="auto"/>
      <w:ind w:firstLine="200" w:firstLineChars="200"/>
      <w:outlineLvl w:val="1"/>
    </w:pPr>
    <w:rPr>
      <w:rFonts w:eastAsia="楷体_GB2312" w:asciiTheme="majorHAnsi" w:hAnsiTheme="majorHAnsi" w:cstheme="majorBidi"/>
      <w:b/>
      <w:bCs/>
      <w:sz w:val="32"/>
      <w:szCs w:val="32"/>
    </w:rPr>
  </w:style>
  <w:style w:type="paragraph" w:styleId="5">
    <w:name w:val="heading 3"/>
    <w:basedOn w:val="1"/>
    <w:next w:val="1"/>
    <w:link w:val="17"/>
    <w:unhideWhenUsed/>
    <w:qFormat/>
    <w:uiPriority w:val="0"/>
    <w:pPr>
      <w:keepNext/>
      <w:keepLines/>
      <w:spacing w:line="360" w:lineRule="auto"/>
      <w:ind w:firstLine="200" w:firstLineChars="200"/>
      <w:outlineLvl w:val="2"/>
    </w:pPr>
    <w:rPr>
      <w:rFonts w:eastAsia="仿宋_GB2312"/>
      <w:b/>
      <w:bCs/>
      <w:sz w:val="32"/>
      <w:szCs w:val="32"/>
    </w:rPr>
  </w:style>
  <w:style w:type="paragraph" w:styleId="6">
    <w:name w:val="heading 4"/>
    <w:basedOn w:val="1"/>
    <w:next w:val="1"/>
    <w:link w:val="18"/>
    <w:unhideWhenUsed/>
    <w:qFormat/>
    <w:uiPriority w:val="0"/>
    <w:pPr>
      <w:keepNext/>
      <w:keepLines/>
      <w:spacing w:line="360" w:lineRule="auto"/>
      <w:ind w:firstLine="200" w:firstLineChars="200"/>
      <w:outlineLvl w:val="3"/>
    </w:pPr>
    <w:rPr>
      <w:rFonts w:eastAsia="仿宋_GB2312" w:asciiTheme="majorHAnsi" w:hAnsiTheme="majorHAnsi" w:cstheme="majorBidi"/>
      <w:b/>
      <w:bCs/>
      <w:sz w:val="32"/>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unhideWhenUsed/>
    <w:qFormat/>
    <w:uiPriority w:val="39"/>
    <w:pPr>
      <w:ind w:left="400" w:leftChars="400"/>
    </w:pPr>
    <w:rPr>
      <w:szCs w:val="32"/>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rPr>
      <w:rFonts w:eastAsia="黑体"/>
      <w:sz w:val="32"/>
    </w:rPr>
  </w:style>
  <w:style w:type="paragraph" w:styleId="10">
    <w:name w:val="toc 2"/>
    <w:basedOn w:val="1"/>
    <w:next w:val="1"/>
    <w:qFormat/>
    <w:uiPriority w:val="39"/>
    <w:pPr>
      <w:ind w:left="420" w:leftChars="200"/>
    </w:pPr>
    <w:rPr>
      <w:rFonts w:eastAsia="楷体_GB2312"/>
      <w:sz w:val="32"/>
    </w:r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paragraph" w:customStyle="1" w:styleId="14">
    <w:name w:val="修订1"/>
    <w:hidden/>
    <w:unhideWhenUsed/>
    <w:qFormat/>
    <w:uiPriority w:val="99"/>
    <w:pPr>
      <w:spacing w:after="160" w:line="278" w:lineRule="auto"/>
    </w:pPr>
    <w:rPr>
      <w:rFonts w:asciiTheme="minorHAnsi" w:hAnsiTheme="minorHAnsi" w:eastAsiaTheme="minorEastAsia" w:cstheme="minorBidi"/>
      <w:kern w:val="2"/>
      <w:sz w:val="21"/>
      <w:szCs w:val="24"/>
      <w:lang w:val="en-US" w:eastAsia="zh-CN" w:bidi="ar-SA"/>
    </w:rPr>
  </w:style>
  <w:style w:type="character" w:customStyle="1" w:styleId="15">
    <w:name w:val="标题 1 字符"/>
    <w:basedOn w:val="12"/>
    <w:link w:val="3"/>
    <w:qFormat/>
    <w:uiPriority w:val="0"/>
    <w:rPr>
      <w:rFonts w:eastAsia="黑体"/>
      <w:bCs/>
      <w:kern w:val="44"/>
      <w:sz w:val="32"/>
      <w:szCs w:val="44"/>
    </w:rPr>
  </w:style>
  <w:style w:type="character" w:customStyle="1" w:styleId="16">
    <w:name w:val="标题 2 字符"/>
    <w:basedOn w:val="12"/>
    <w:link w:val="4"/>
    <w:qFormat/>
    <w:uiPriority w:val="0"/>
    <w:rPr>
      <w:rFonts w:eastAsia="楷体_GB2312" w:asciiTheme="majorHAnsi" w:hAnsiTheme="majorHAnsi" w:cstheme="majorBidi"/>
      <w:b/>
      <w:bCs/>
      <w:kern w:val="2"/>
      <w:sz w:val="32"/>
      <w:szCs w:val="32"/>
    </w:rPr>
  </w:style>
  <w:style w:type="character" w:customStyle="1" w:styleId="17">
    <w:name w:val="标题 3 字符"/>
    <w:basedOn w:val="12"/>
    <w:link w:val="5"/>
    <w:qFormat/>
    <w:uiPriority w:val="0"/>
    <w:rPr>
      <w:rFonts w:eastAsia="仿宋_GB2312"/>
      <w:b/>
      <w:bCs/>
      <w:kern w:val="2"/>
      <w:sz w:val="32"/>
      <w:szCs w:val="32"/>
    </w:rPr>
  </w:style>
  <w:style w:type="character" w:customStyle="1" w:styleId="18">
    <w:name w:val="标题 4 字符"/>
    <w:basedOn w:val="12"/>
    <w:link w:val="6"/>
    <w:qFormat/>
    <w:uiPriority w:val="0"/>
    <w:rPr>
      <w:rFonts w:eastAsia="仿宋_GB2312" w:asciiTheme="majorHAnsi" w:hAnsiTheme="majorHAnsi" w:cstheme="majorBidi"/>
      <w:b/>
      <w:bCs/>
      <w:kern w:val="2"/>
      <w:sz w:val="32"/>
      <w:szCs w:val="28"/>
    </w:rPr>
  </w:style>
  <w:style w:type="character" w:customStyle="1" w:styleId="19">
    <w:name w:val="页眉 字符"/>
    <w:basedOn w:val="12"/>
    <w:link w:val="8"/>
    <w:qFormat/>
    <w:uiPriority w:val="99"/>
    <w:rPr>
      <w:kern w:val="2"/>
      <w:sz w:val="18"/>
      <w:szCs w:val="18"/>
    </w:rPr>
  </w:style>
  <w:style w:type="character" w:customStyle="1" w:styleId="20">
    <w:name w:val="页脚 字符"/>
    <w:basedOn w:val="12"/>
    <w:link w:val="7"/>
    <w:qFormat/>
    <w:uiPriority w:val="99"/>
    <w:rPr>
      <w:kern w:val="2"/>
      <w:sz w:val="18"/>
      <w:szCs w:val="18"/>
    </w:rPr>
  </w:style>
  <w:style w:type="paragraph" w:customStyle="1" w:styleId="21">
    <w:name w:val="TOC 标题1"/>
    <w:basedOn w:val="3"/>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2E75B6" w:themeColor="accent1" w:themeShade="BF"/>
      <w:kern w:val="0"/>
      <w:szCs w:val="32"/>
    </w:rPr>
  </w:style>
  <w:style w:type="paragraph" w:customStyle="1" w:styleId="22">
    <w:name w:val="修订2"/>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 w:type="paragraph" w:customStyle="1" w:styleId="23">
    <w:name w:val="TOC 标题2"/>
    <w:basedOn w:val="3"/>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Cs w:val="0"/>
      <w:color w:val="2E75B6" w:themeColor="accent1" w:themeShade="BF"/>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D14D6-4092-454A-9694-A772A9CD87DA}">
  <ds:schemaRefs/>
</ds:datastoreItem>
</file>

<file path=docProps/app.xml><?xml version="1.0" encoding="utf-8"?>
<Properties xmlns="http://schemas.openxmlformats.org/officeDocument/2006/extended-properties" xmlns:vt="http://schemas.openxmlformats.org/officeDocument/2006/docPropsVTypes">
  <Template>Normal</Template>
  <Pages>20</Pages>
  <Words>8983</Words>
  <Characters>9042</Characters>
  <Lines>78</Lines>
  <Paragraphs>22</Paragraphs>
  <TotalTime>5</TotalTime>
  <ScaleCrop>false</ScaleCrop>
  <LinksUpToDate>false</LinksUpToDate>
  <CharactersWithSpaces>9130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张玉洁</cp:lastModifiedBy>
  <dcterms:modified xsi:type="dcterms:W3CDTF">2026-10-23T01:42:45Z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B517F2EBCEAC43F6AD8424FBFC2295BD_13</vt:lpwstr>
  </property>
  <property fmtid="{D5CDD505-2E9C-101B-9397-08002B2CF9AE}" pid="4" name="KSOTemplateDocerSaveRecord">
    <vt:lpwstr>eyJoZGlkIjoiODQ1ZjE5MGY5NzZmNGIyYjcyZjNlNmRkYWU0OTBhYjAiLCJ1c2VySWQiOiI5NTk5MDUzNjIifQ==</vt:lpwstr>
  </property>
</Properties>
</file>