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9AD" w:rsidRDefault="00074EF1">
      <w:pPr>
        <w:jc w:val="center"/>
        <w:rPr>
          <w:rFonts w:ascii="方正小标宋简体" w:eastAsia="方正小标宋简体" w:hAnsi="方正小标宋简体" w:cs="方正小标宋简体"/>
          <w:sz w:val="36"/>
          <w:szCs w:val="36"/>
          <w:lang w:eastAsia="zh-CN"/>
        </w:rPr>
      </w:pPr>
      <w:proofErr w:type="gramStart"/>
      <w:r>
        <w:rPr>
          <w:rFonts w:ascii="方正小标宋简体" w:eastAsia="方正小标宋简体" w:hAnsi="方正小标宋简体" w:cs="方正小标宋简体" w:hint="eastAsia"/>
          <w:sz w:val="36"/>
          <w:szCs w:val="36"/>
          <w:lang w:eastAsia="zh-CN"/>
        </w:rPr>
        <w:t>《</w:t>
      </w:r>
      <w:proofErr w:type="gramEnd"/>
      <w:r>
        <w:rPr>
          <w:rFonts w:ascii="方正小标宋简体" w:eastAsia="方正小标宋简体" w:hAnsi="方正小标宋简体" w:cs="方正小标宋简体" w:hint="eastAsia"/>
          <w:sz w:val="36"/>
          <w:szCs w:val="36"/>
          <w:lang w:eastAsia="zh-CN"/>
        </w:rPr>
        <w:t>北京市海淀区烟草制品零售点合理布局规定</w:t>
      </w:r>
    </w:p>
    <w:p w:rsidR="000C79AD" w:rsidRDefault="00074EF1">
      <w:pPr>
        <w:jc w:val="center"/>
        <w:rPr>
          <w:rFonts w:ascii="方正小标宋简体" w:eastAsia="方正小标宋简体" w:hAnsi="方正小标宋简体" w:cs="方正小标宋简体"/>
          <w:sz w:val="36"/>
          <w:szCs w:val="36"/>
          <w:lang w:eastAsia="zh-CN"/>
        </w:rPr>
      </w:pPr>
      <w:r>
        <w:rPr>
          <w:rFonts w:ascii="方正小标宋简体" w:eastAsia="方正小标宋简体" w:hAnsi="方正小标宋简体" w:cs="方正小标宋简体" w:hint="eastAsia"/>
          <w:sz w:val="36"/>
          <w:szCs w:val="36"/>
          <w:lang w:eastAsia="zh-CN"/>
        </w:rPr>
        <w:t>（征求意见稿）</w:t>
      </w:r>
      <w:proofErr w:type="gramStart"/>
      <w:r>
        <w:rPr>
          <w:rFonts w:ascii="方正小标宋简体" w:eastAsia="方正小标宋简体" w:hAnsi="方正小标宋简体" w:cs="方正小标宋简体" w:hint="eastAsia"/>
          <w:sz w:val="36"/>
          <w:szCs w:val="36"/>
          <w:lang w:eastAsia="zh-CN"/>
        </w:rPr>
        <w:t>》</w:t>
      </w:r>
      <w:proofErr w:type="gramEnd"/>
      <w:r>
        <w:rPr>
          <w:rFonts w:ascii="方正小标宋简体" w:eastAsia="方正小标宋简体" w:hAnsi="方正小标宋简体" w:cs="方正小标宋简体" w:hint="eastAsia"/>
          <w:sz w:val="36"/>
          <w:szCs w:val="36"/>
          <w:lang w:eastAsia="zh-CN"/>
        </w:rPr>
        <w:t>起草说明</w:t>
      </w:r>
    </w:p>
    <w:p w:rsidR="000C79AD" w:rsidRDefault="00074EF1" w:rsidP="00B17883">
      <w:pPr>
        <w:spacing w:before="160" w:after="0" w:line="500" w:lineRule="exact"/>
        <w:ind w:firstLineChars="200" w:firstLine="560"/>
        <w:outlineLvl w:val="0"/>
        <w:rPr>
          <w:rFonts w:ascii="黑体" w:eastAsia="黑体" w:hAnsi="黑体" w:cstheme="majorBidi"/>
          <w:color w:val="000000"/>
          <w:szCs w:val="28"/>
          <w:lang w:eastAsia="zh-CN"/>
        </w:rPr>
      </w:pPr>
      <w:r>
        <w:rPr>
          <w:rFonts w:ascii="黑体" w:eastAsia="黑体" w:hAnsi="黑体" w:cstheme="majorBidi"/>
          <w:color w:val="000000"/>
          <w:szCs w:val="28"/>
          <w:lang w:eastAsia="zh-CN"/>
        </w:rPr>
        <w:t>一、修订背景及目标任务</w:t>
      </w:r>
    </w:p>
    <w:p w:rsidR="000C79AD" w:rsidRDefault="00074EF1">
      <w:pPr>
        <w:spacing w:after="0" w:line="500" w:lineRule="exact"/>
        <w:ind w:firstLine="560"/>
        <w:rPr>
          <w:rFonts w:ascii="宋体" w:eastAsia="宋体" w:hAnsi="宋体"/>
          <w:color w:val="000000"/>
          <w:lang w:eastAsia="zh-CN"/>
        </w:rPr>
      </w:pPr>
      <w:r>
        <w:rPr>
          <w:rFonts w:ascii="宋体" w:eastAsia="宋体" w:hAnsi="宋体"/>
          <w:color w:val="000000"/>
          <w:lang w:eastAsia="zh-CN"/>
        </w:rPr>
        <w:t>本次修订着眼于</w:t>
      </w:r>
      <w:r>
        <w:rPr>
          <w:rFonts w:ascii="宋体" w:eastAsia="宋体" w:hAnsi="宋体"/>
          <w:color w:val="000000"/>
          <w:lang w:eastAsia="zh-CN"/>
        </w:rPr>
        <w:t>“</w:t>
      </w:r>
      <w:r>
        <w:rPr>
          <w:rFonts w:ascii="宋体" w:eastAsia="宋体" w:hAnsi="宋体"/>
          <w:color w:val="000000"/>
          <w:lang w:eastAsia="zh-CN"/>
        </w:rPr>
        <w:t>十五五</w:t>
      </w:r>
      <w:r>
        <w:rPr>
          <w:rFonts w:ascii="宋体" w:eastAsia="宋体" w:hAnsi="宋体"/>
          <w:color w:val="000000"/>
          <w:lang w:eastAsia="zh-CN"/>
        </w:rPr>
        <w:t>”</w:t>
      </w:r>
      <w:r>
        <w:rPr>
          <w:rFonts w:ascii="宋体" w:eastAsia="宋体" w:hAnsi="宋体"/>
          <w:color w:val="000000"/>
          <w:lang w:eastAsia="zh-CN"/>
        </w:rPr>
        <w:t>期间及未来一段时期海淀区商业发展和业态融合变化，立足于北京市及北京烟草</w:t>
      </w:r>
      <w:r>
        <w:rPr>
          <w:rFonts w:ascii="宋体" w:eastAsia="宋体" w:hAnsi="宋体"/>
          <w:color w:val="000000"/>
          <w:lang w:eastAsia="zh-CN"/>
        </w:rPr>
        <w:t>“</w:t>
      </w:r>
      <w:r>
        <w:rPr>
          <w:rFonts w:ascii="宋体" w:eastAsia="宋体" w:hAnsi="宋体"/>
          <w:color w:val="000000"/>
          <w:lang w:eastAsia="zh-CN"/>
        </w:rPr>
        <w:t>十五五</w:t>
      </w:r>
      <w:r>
        <w:rPr>
          <w:rFonts w:ascii="宋体" w:eastAsia="宋体" w:hAnsi="宋体"/>
          <w:color w:val="000000"/>
          <w:lang w:eastAsia="zh-CN"/>
        </w:rPr>
        <w:t>”</w:t>
      </w:r>
      <w:r>
        <w:rPr>
          <w:rFonts w:ascii="宋体" w:eastAsia="宋体" w:hAnsi="宋体"/>
          <w:color w:val="000000"/>
          <w:lang w:eastAsia="zh-CN"/>
        </w:rPr>
        <w:t>规划安排，结合贯彻落实中央以及市区两级提</w:t>
      </w:r>
      <w:proofErr w:type="gramStart"/>
      <w:r>
        <w:rPr>
          <w:rFonts w:ascii="宋体" w:eastAsia="宋体" w:hAnsi="宋体"/>
          <w:color w:val="000000"/>
          <w:lang w:eastAsia="zh-CN"/>
        </w:rPr>
        <w:t>振消费</w:t>
      </w:r>
      <w:proofErr w:type="gramEnd"/>
      <w:r>
        <w:rPr>
          <w:rFonts w:ascii="宋体" w:eastAsia="宋体" w:hAnsi="宋体"/>
          <w:color w:val="000000"/>
          <w:lang w:eastAsia="zh-CN"/>
        </w:rPr>
        <w:t>相关政策文件，海淀烟草在实地调研、分析论证基础上，开展本次烟草制品零售点合理布局修订工作。</w:t>
      </w:r>
    </w:p>
    <w:p w:rsidR="000C79AD" w:rsidRDefault="00074EF1">
      <w:pPr>
        <w:spacing w:after="0" w:line="500" w:lineRule="exact"/>
        <w:ind w:firstLine="560"/>
        <w:rPr>
          <w:rFonts w:ascii="宋体" w:eastAsia="宋体" w:hAnsi="宋体"/>
          <w:color w:val="000000"/>
          <w:lang w:eastAsia="zh-CN"/>
        </w:rPr>
      </w:pPr>
      <w:r>
        <w:rPr>
          <w:rFonts w:ascii="宋体" w:eastAsia="宋体" w:hAnsi="宋体"/>
          <w:color w:val="000000"/>
          <w:lang w:eastAsia="zh-CN"/>
        </w:rPr>
        <w:t>本次修订着力统一准入标准、优化零售点配置、细化认定规则，在落实控烟和未成年人保护要求的基础上，提升许可管理效能，促进零售市场规范有序发展。</w:t>
      </w:r>
    </w:p>
    <w:p w:rsidR="000C79AD" w:rsidRDefault="00074EF1" w:rsidP="00B17883">
      <w:pPr>
        <w:spacing w:before="160" w:after="0" w:line="500" w:lineRule="exact"/>
        <w:ind w:firstLineChars="200" w:firstLine="560"/>
        <w:outlineLvl w:val="0"/>
        <w:rPr>
          <w:rFonts w:ascii="黑体" w:eastAsia="黑体" w:hAnsi="黑体" w:cstheme="majorBidi"/>
          <w:color w:val="000000"/>
          <w:szCs w:val="28"/>
          <w:lang w:eastAsia="zh-CN"/>
        </w:rPr>
      </w:pPr>
      <w:r>
        <w:rPr>
          <w:rFonts w:ascii="黑体" w:eastAsia="黑体" w:hAnsi="黑体" w:cstheme="majorBidi"/>
          <w:color w:val="000000"/>
          <w:szCs w:val="28"/>
          <w:lang w:eastAsia="zh-CN"/>
        </w:rPr>
        <w:t>二、修订依据</w:t>
      </w:r>
    </w:p>
    <w:p w:rsidR="000C79AD" w:rsidRDefault="00074EF1">
      <w:pPr>
        <w:spacing w:after="0" w:line="500" w:lineRule="exact"/>
        <w:ind w:firstLine="560"/>
        <w:rPr>
          <w:rFonts w:ascii="宋体" w:eastAsia="宋体" w:hAnsi="宋体"/>
          <w:color w:val="000000"/>
          <w:lang w:eastAsia="zh-CN"/>
        </w:rPr>
      </w:pPr>
      <w:r>
        <w:rPr>
          <w:rFonts w:ascii="宋体" w:eastAsia="宋体" w:hAnsi="宋体"/>
          <w:color w:val="000000"/>
          <w:lang w:eastAsia="zh-CN"/>
        </w:rPr>
        <w:t>本次修订主要依据《中华人民共和国行政许可法》《中华人民共和国未成年人保护法》《中华人民共和国烟草专卖法》及其实施条例《北京市控制吸烟条例》《烟草专卖许可证管理办法》及其实施细则（</w:t>
      </w:r>
      <w:proofErr w:type="gramStart"/>
      <w:r>
        <w:rPr>
          <w:rFonts w:ascii="宋体" w:eastAsia="宋体" w:hAnsi="宋体"/>
          <w:color w:val="000000"/>
          <w:lang w:eastAsia="zh-CN"/>
        </w:rPr>
        <w:t>国烟法〔</w:t>
      </w:r>
      <w:r>
        <w:rPr>
          <w:rFonts w:ascii="宋体" w:eastAsia="宋体" w:hAnsi="宋体"/>
          <w:color w:val="000000"/>
          <w:lang w:eastAsia="zh-CN"/>
        </w:rPr>
        <w:t>2020</w:t>
      </w:r>
      <w:r>
        <w:rPr>
          <w:rFonts w:ascii="宋体" w:eastAsia="宋体" w:hAnsi="宋体"/>
          <w:color w:val="000000"/>
          <w:lang w:eastAsia="zh-CN"/>
        </w:rPr>
        <w:t>〕</w:t>
      </w:r>
      <w:proofErr w:type="gramEnd"/>
      <w:r>
        <w:rPr>
          <w:rFonts w:ascii="宋体" w:eastAsia="宋体" w:hAnsi="宋体"/>
          <w:color w:val="000000"/>
          <w:lang w:eastAsia="zh-CN"/>
        </w:rPr>
        <w:t>205</w:t>
      </w:r>
      <w:r>
        <w:rPr>
          <w:rFonts w:ascii="宋体" w:eastAsia="宋体" w:hAnsi="宋体"/>
          <w:color w:val="000000"/>
          <w:lang w:eastAsia="zh-CN"/>
        </w:rPr>
        <w:t>号）</w:t>
      </w:r>
      <w:r>
        <w:rPr>
          <w:rFonts w:ascii="宋体" w:eastAsia="宋体" w:hAnsi="宋体"/>
          <w:color w:val="000000"/>
          <w:lang w:eastAsia="zh-CN"/>
        </w:rPr>
        <w:t>以及</w:t>
      </w:r>
      <w:r>
        <w:rPr>
          <w:rFonts w:ascii="宋体" w:eastAsia="宋体" w:hAnsi="宋体" w:cs="宋体"/>
          <w:color w:val="000000"/>
          <w:lang w:eastAsia="zh-CN"/>
        </w:rPr>
        <w:t>《完善烟草专卖零售许可管理优化政务服务工作指引》（</w:t>
      </w:r>
      <w:proofErr w:type="gramStart"/>
      <w:r>
        <w:rPr>
          <w:rFonts w:ascii="宋体" w:eastAsia="宋体" w:hAnsi="宋体" w:cs="宋体"/>
          <w:color w:val="000000"/>
          <w:lang w:eastAsia="zh-CN"/>
        </w:rPr>
        <w:t>国烟法</w:t>
      </w:r>
      <w:r>
        <w:rPr>
          <w:rFonts w:ascii="宋体" w:eastAsia="宋体" w:hAnsi="宋体" w:cs="Cambria"/>
          <w:color w:val="000000"/>
          <w:lang w:eastAsia="zh-CN"/>
        </w:rPr>
        <w:t>〔</w:t>
      </w:r>
      <w:r>
        <w:rPr>
          <w:rFonts w:ascii="宋体" w:eastAsia="宋体" w:hAnsi="宋体"/>
          <w:color w:val="000000"/>
          <w:lang w:eastAsia="zh-CN"/>
        </w:rPr>
        <w:t>2024</w:t>
      </w:r>
      <w:r>
        <w:rPr>
          <w:rFonts w:ascii="宋体" w:eastAsia="宋体" w:hAnsi="宋体"/>
          <w:color w:val="000000"/>
          <w:lang w:eastAsia="zh-CN"/>
        </w:rPr>
        <w:t>〕</w:t>
      </w:r>
      <w:proofErr w:type="gramEnd"/>
      <w:r>
        <w:rPr>
          <w:rFonts w:ascii="宋体" w:eastAsia="宋体" w:hAnsi="宋体"/>
          <w:color w:val="000000"/>
          <w:lang w:eastAsia="zh-CN"/>
        </w:rPr>
        <w:t>55</w:t>
      </w:r>
      <w:r>
        <w:rPr>
          <w:rFonts w:ascii="宋体" w:eastAsia="宋体" w:hAnsi="宋体" w:cs="宋体"/>
          <w:color w:val="000000"/>
          <w:lang w:eastAsia="zh-CN"/>
        </w:rPr>
        <w:t>号）等法律、法规、规章和行政规范性文件</w:t>
      </w:r>
      <w:r>
        <w:rPr>
          <w:rFonts w:ascii="宋体" w:eastAsia="宋体" w:hAnsi="宋体"/>
          <w:color w:val="000000"/>
          <w:lang w:eastAsia="zh-CN"/>
        </w:rPr>
        <w:t>。</w:t>
      </w:r>
    </w:p>
    <w:p w:rsidR="000C79AD" w:rsidRDefault="00074EF1">
      <w:pPr>
        <w:spacing w:after="0" w:line="500" w:lineRule="exact"/>
        <w:ind w:firstLine="560"/>
        <w:rPr>
          <w:rFonts w:ascii="宋体" w:eastAsia="宋体" w:hAnsi="宋体"/>
          <w:color w:val="000000"/>
          <w:lang w:eastAsia="zh-CN"/>
        </w:rPr>
      </w:pPr>
      <w:r>
        <w:rPr>
          <w:rFonts w:ascii="宋体" w:eastAsia="宋体" w:hAnsi="宋体"/>
          <w:color w:val="000000"/>
          <w:lang w:eastAsia="zh-CN"/>
        </w:rPr>
        <w:t>同时，参考《商务部等</w:t>
      </w:r>
      <w:r>
        <w:rPr>
          <w:rFonts w:ascii="宋体" w:eastAsia="宋体" w:hAnsi="宋体"/>
          <w:color w:val="000000"/>
          <w:lang w:eastAsia="zh-CN"/>
        </w:rPr>
        <w:t>8</w:t>
      </w:r>
      <w:r>
        <w:rPr>
          <w:rFonts w:ascii="宋体" w:eastAsia="宋体" w:hAnsi="宋体"/>
          <w:color w:val="000000"/>
          <w:lang w:eastAsia="zh-CN"/>
        </w:rPr>
        <w:t>部门关于促进老字号创新发展的意见》（</w:t>
      </w:r>
      <w:r>
        <w:rPr>
          <w:rFonts w:ascii="宋体" w:eastAsia="宋体" w:hAnsi="宋体" w:cs="宋体"/>
          <w:color w:val="000000"/>
          <w:lang w:eastAsia="zh-CN"/>
        </w:rPr>
        <w:t>商流通发</w:t>
      </w:r>
      <w:r w:rsidR="00113D2E">
        <w:rPr>
          <w:rFonts w:ascii="宋体" w:eastAsia="宋体" w:hAnsi="宋体"/>
          <w:color w:val="000000"/>
          <w:lang w:eastAsia="zh-CN"/>
        </w:rPr>
        <w:t>〔</w:t>
      </w:r>
      <w:r>
        <w:rPr>
          <w:rFonts w:ascii="宋体" w:eastAsia="宋体" w:hAnsi="宋体"/>
          <w:color w:val="000000"/>
          <w:lang w:eastAsia="zh-CN"/>
        </w:rPr>
        <w:t>2022</w:t>
      </w:r>
      <w:r w:rsidR="00113D2E">
        <w:rPr>
          <w:rFonts w:ascii="宋体" w:eastAsia="宋体" w:hAnsi="宋体"/>
          <w:color w:val="000000"/>
          <w:lang w:eastAsia="zh-CN"/>
        </w:rPr>
        <w:t>〕</w:t>
      </w:r>
      <w:bookmarkStart w:id="0" w:name="_GoBack"/>
      <w:bookmarkEnd w:id="0"/>
      <w:r>
        <w:rPr>
          <w:rFonts w:ascii="宋体" w:eastAsia="宋体" w:hAnsi="宋体"/>
          <w:color w:val="000000"/>
          <w:lang w:eastAsia="zh-CN"/>
        </w:rPr>
        <w:t>11</w:t>
      </w:r>
      <w:r>
        <w:rPr>
          <w:rFonts w:ascii="宋体" w:eastAsia="宋体" w:hAnsi="宋体" w:cs="宋体"/>
          <w:color w:val="000000"/>
          <w:lang w:eastAsia="zh-CN"/>
        </w:rPr>
        <w:t>号）</w:t>
      </w:r>
      <w:r>
        <w:rPr>
          <w:rFonts w:ascii="宋体" w:eastAsia="宋体" w:hAnsi="宋体"/>
          <w:color w:val="000000"/>
          <w:lang w:eastAsia="zh-CN"/>
        </w:rPr>
        <w:t>、《北京市</w:t>
      </w:r>
      <w:r>
        <w:rPr>
          <w:rFonts w:ascii="宋体" w:eastAsia="宋体" w:hAnsi="宋体"/>
          <w:color w:val="000000"/>
          <w:lang w:eastAsia="zh-CN"/>
        </w:rPr>
        <w:t>“</w:t>
      </w:r>
      <w:r>
        <w:rPr>
          <w:rFonts w:ascii="宋体" w:eastAsia="宋体" w:hAnsi="宋体"/>
          <w:color w:val="000000"/>
          <w:lang w:eastAsia="zh-CN"/>
        </w:rPr>
        <w:t>十五五</w:t>
      </w:r>
      <w:r>
        <w:rPr>
          <w:rFonts w:ascii="宋体" w:eastAsia="宋体" w:hAnsi="宋体"/>
          <w:color w:val="000000"/>
          <w:lang w:eastAsia="zh-CN"/>
        </w:rPr>
        <w:t>”</w:t>
      </w:r>
      <w:r>
        <w:rPr>
          <w:rFonts w:ascii="宋体" w:eastAsia="宋体" w:hAnsi="宋体"/>
          <w:color w:val="000000"/>
          <w:lang w:eastAsia="zh-CN"/>
        </w:rPr>
        <w:t>时期深化国际消费中心城市建设规划》</w:t>
      </w:r>
      <w:r>
        <w:rPr>
          <w:rFonts w:ascii="宋体" w:eastAsia="宋体" w:hAnsi="宋体" w:cs="宋体"/>
          <w:color w:val="000000"/>
          <w:lang w:eastAsia="zh-CN"/>
        </w:rPr>
        <w:t>（</w:t>
      </w:r>
      <w:r>
        <w:rPr>
          <w:rFonts w:ascii="宋体" w:eastAsia="宋体" w:hAnsi="宋体"/>
          <w:color w:val="000000"/>
          <w:lang w:eastAsia="zh-CN"/>
        </w:rPr>
        <w:t>京政发〔</w:t>
      </w:r>
      <w:r>
        <w:rPr>
          <w:rFonts w:ascii="宋体" w:eastAsia="宋体" w:hAnsi="宋体"/>
          <w:color w:val="000000"/>
          <w:lang w:eastAsia="zh-CN"/>
        </w:rPr>
        <w:t>2026</w:t>
      </w:r>
      <w:r>
        <w:rPr>
          <w:rFonts w:ascii="宋体" w:eastAsia="宋体" w:hAnsi="宋体"/>
          <w:color w:val="000000"/>
          <w:lang w:eastAsia="zh-CN"/>
        </w:rPr>
        <w:t>〕</w:t>
      </w:r>
      <w:r>
        <w:rPr>
          <w:rFonts w:ascii="宋体" w:eastAsia="宋体" w:hAnsi="宋体"/>
          <w:color w:val="000000"/>
          <w:lang w:eastAsia="zh-CN"/>
        </w:rPr>
        <w:t>27</w:t>
      </w:r>
      <w:r>
        <w:rPr>
          <w:rFonts w:ascii="宋体" w:eastAsia="宋体" w:hAnsi="宋体"/>
          <w:color w:val="000000"/>
          <w:lang w:eastAsia="zh-CN"/>
        </w:rPr>
        <w:t>号</w:t>
      </w:r>
      <w:r>
        <w:rPr>
          <w:rFonts w:ascii="宋体" w:eastAsia="宋体" w:hAnsi="宋体" w:hint="eastAsia"/>
          <w:color w:val="000000"/>
          <w:lang w:eastAsia="zh-CN"/>
        </w:rPr>
        <w:t>）</w:t>
      </w:r>
      <w:r>
        <w:rPr>
          <w:rFonts w:ascii="宋体" w:eastAsia="宋体" w:hAnsi="宋体"/>
          <w:color w:val="000000"/>
          <w:lang w:eastAsia="zh-CN"/>
        </w:rPr>
        <w:t>、</w:t>
      </w:r>
      <w:r>
        <w:rPr>
          <w:rFonts w:ascii="宋体" w:eastAsia="宋体" w:hAnsi="宋体" w:cs="宋体"/>
          <w:color w:val="000000"/>
          <w:lang w:eastAsia="zh-CN"/>
        </w:rPr>
        <w:t>《</w:t>
      </w:r>
      <w:r>
        <w:rPr>
          <w:rFonts w:ascii="宋体" w:eastAsia="宋体" w:hAnsi="宋体" w:cs="宋体" w:hint="eastAsia"/>
          <w:color w:val="000000"/>
          <w:lang w:eastAsia="zh-CN"/>
        </w:rPr>
        <w:t>2026-20</w:t>
      </w:r>
      <w:r>
        <w:rPr>
          <w:rFonts w:ascii="宋体" w:eastAsia="宋体" w:hAnsi="宋体" w:cs="宋体" w:hint="eastAsia"/>
          <w:color w:val="000000"/>
          <w:lang w:eastAsia="zh-CN"/>
        </w:rPr>
        <w:t>27</w:t>
      </w:r>
      <w:r>
        <w:rPr>
          <w:rFonts w:ascii="宋体" w:eastAsia="宋体" w:hAnsi="宋体" w:cs="宋体" w:hint="eastAsia"/>
          <w:color w:val="000000"/>
          <w:lang w:eastAsia="zh-CN"/>
        </w:rPr>
        <w:t>年</w:t>
      </w:r>
      <w:r>
        <w:rPr>
          <w:rFonts w:ascii="宋体" w:eastAsia="宋体" w:hAnsi="宋体" w:cs="宋体"/>
          <w:color w:val="000000"/>
          <w:lang w:eastAsia="zh-CN"/>
        </w:rPr>
        <w:t>北京市商务局促进餐饮、超市等业态高质量发展支持办法》（京商生二字</w:t>
      </w:r>
      <w:r>
        <w:rPr>
          <w:rFonts w:ascii="宋体" w:eastAsia="宋体" w:hAnsi="宋体" w:cs="Cambria"/>
          <w:color w:val="000000"/>
          <w:lang w:eastAsia="zh-CN"/>
        </w:rPr>
        <w:t>〔</w:t>
      </w:r>
      <w:r>
        <w:rPr>
          <w:rFonts w:ascii="宋体" w:eastAsia="宋体" w:hAnsi="宋体"/>
          <w:color w:val="000000"/>
          <w:lang w:eastAsia="zh-CN"/>
        </w:rPr>
        <w:t>2026</w:t>
      </w:r>
      <w:r>
        <w:rPr>
          <w:rFonts w:ascii="宋体" w:eastAsia="宋体" w:hAnsi="宋体"/>
          <w:color w:val="000000"/>
          <w:lang w:eastAsia="zh-CN"/>
        </w:rPr>
        <w:t>〕</w:t>
      </w:r>
      <w:r>
        <w:rPr>
          <w:rFonts w:ascii="宋体" w:eastAsia="宋体" w:hAnsi="宋体"/>
          <w:color w:val="000000"/>
          <w:lang w:eastAsia="zh-CN"/>
        </w:rPr>
        <w:t>14</w:t>
      </w:r>
      <w:r>
        <w:rPr>
          <w:rFonts w:ascii="宋体" w:eastAsia="宋体" w:hAnsi="宋体" w:cs="宋体"/>
          <w:color w:val="000000"/>
          <w:lang w:eastAsia="zh-CN"/>
        </w:rPr>
        <w:t>号）、</w:t>
      </w:r>
      <w:r>
        <w:rPr>
          <w:rFonts w:ascii="宋体" w:eastAsia="宋体" w:hAnsi="宋体"/>
          <w:color w:val="000000"/>
          <w:lang w:eastAsia="zh-CN"/>
        </w:rPr>
        <w:t>《海淀区提振</w:t>
      </w:r>
      <w:r>
        <w:rPr>
          <w:rFonts w:ascii="宋体" w:eastAsia="宋体" w:hAnsi="宋体" w:cs="宋体"/>
          <w:color w:val="000000"/>
          <w:lang w:eastAsia="zh-CN"/>
        </w:rPr>
        <w:t>消费</w:t>
      </w:r>
      <w:r>
        <w:rPr>
          <w:rFonts w:ascii="宋体" w:eastAsia="宋体" w:hAnsi="宋体"/>
          <w:color w:val="000000"/>
          <w:lang w:eastAsia="zh-CN"/>
        </w:rPr>
        <w:t>专项行动方案》（</w:t>
      </w:r>
      <w:r>
        <w:rPr>
          <w:rFonts w:ascii="宋体" w:eastAsia="宋体" w:hAnsi="宋体" w:cs="宋体"/>
          <w:color w:val="000000"/>
          <w:lang w:eastAsia="zh-CN"/>
        </w:rPr>
        <w:t>海商文</w:t>
      </w:r>
      <w:r>
        <w:rPr>
          <w:rFonts w:ascii="宋体" w:eastAsia="宋体" w:hAnsi="宋体" w:cs="Cambria"/>
          <w:color w:val="000000"/>
          <w:lang w:eastAsia="zh-CN"/>
        </w:rPr>
        <w:t>〔</w:t>
      </w:r>
      <w:r>
        <w:rPr>
          <w:rFonts w:ascii="宋体" w:eastAsia="宋体" w:hAnsi="宋体"/>
          <w:color w:val="000000"/>
          <w:lang w:eastAsia="zh-CN"/>
        </w:rPr>
        <w:t>2026</w:t>
      </w:r>
      <w:r>
        <w:rPr>
          <w:rFonts w:ascii="宋体" w:eastAsia="宋体" w:hAnsi="宋体"/>
          <w:color w:val="000000"/>
          <w:lang w:eastAsia="zh-CN"/>
        </w:rPr>
        <w:t>〕</w:t>
      </w:r>
      <w:r>
        <w:rPr>
          <w:rFonts w:ascii="宋体" w:eastAsia="宋体" w:hAnsi="宋体"/>
          <w:color w:val="000000"/>
          <w:lang w:eastAsia="zh-CN"/>
        </w:rPr>
        <w:t>29</w:t>
      </w:r>
      <w:r>
        <w:rPr>
          <w:rFonts w:ascii="宋体" w:eastAsia="宋体" w:hAnsi="宋体" w:cs="宋体"/>
          <w:color w:val="000000"/>
          <w:lang w:eastAsia="zh-CN"/>
        </w:rPr>
        <w:t>号）</w:t>
      </w:r>
      <w:r>
        <w:rPr>
          <w:rFonts w:ascii="宋体" w:eastAsia="宋体" w:hAnsi="宋体"/>
          <w:color w:val="000000"/>
          <w:lang w:eastAsia="zh-CN"/>
        </w:rPr>
        <w:t>等政策文件</w:t>
      </w:r>
      <w:r>
        <w:rPr>
          <w:rFonts w:ascii="宋体" w:eastAsia="宋体" w:hAnsi="宋体" w:cs="宋体"/>
          <w:color w:val="000000"/>
          <w:lang w:eastAsia="zh-CN"/>
        </w:rPr>
        <w:t>精神</w:t>
      </w:r>
      <w:r>
        <w:rPr>
          <w:rFonts w:ascii="宋体" w:eastAsia="宋体" w:hAnsi="宋体"/>
          <w:color w:val="000000"/>
          <w:lang w:eastAsia="zh-CN"/>
        </w:rPr>
        <w:t>。</w:t>
      </w:r>
    </w:p>
    <w:p w:rsidR="000C79AD" w:rsidRDefault="00074EF1" w:rsidP="00B17883">
      <w:pPr>
        <w:spacing w:before="160" w:after="0" w:line="500" w:lineRule="exact"/>
        <w:ind w:firstLineChars="200" w:firstLine="560"/>
        <w:outlineLvl w:val="0"/>
        <w:rPr>
          <w:rFonts w:ascii="黑体" w:eastAsia="黑体" w:hAnsi="黑体" w:cstheme="majorBidi"/>
          <w:color w:val="000000"/>
          <w:szCs w:val="28"/>
          <w:lang w:eastAsia="zh-CN"/>
        </w:rPr>
      </w:pPr>
      <w:r>
        <w:rPr>
          <w:rFonts w:ascii="黑体" w:eastAsia="黑体" w:hAnsi="黑体" w:cstheme="majorBidi"/>
          <w:color w:val="000000"/>
          <w:szCs w:val="28"/>
          <w:lang w:eastAsia="zh-CN"/>
        </w:rPr>
        <w:t>三、总体结构对比</w:t>
      </w:r>
    </w:p>
    <w:p w:rsidR="000C79AD" w:rsidRDefault="00074EF1">
      <w:pPr>
        <w:spacing w:after="0" w:line="500" w:lineRule="exact"/>
        <w:ind w:firstLine="560"/>
        <w:rPr>
          <w:rFonts w:ascii="宋体" w:eastAsia="宋体" w:hAnsi="宋体"/>
          <w:color w:val="000000"/>
          <w:lang w:eastAsia="zh-CN"/>
        </w:rPr>
      </w:pPr>
      <w:r>
        <w:rPr>
          <w:rFonts w:ascii="宋体" w:eastAsia="宋体" w:hAnsi="宋体"/>
          <w:color w:val="000000"/>
          <w:lang w:eastAsia="zh-CN"/>
        </w:rPr>
        <w:t>修订稿沿用原规定四章结构，条款由十七条调整为十八条。新增第十条，原第十条及后续条款依次顺延。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3458"/>
        <w:gridCol w:w="3458"/>
      </w:tblGrid>
      <w:tr w:rsidR="000C79AD" w:rsidTr="00B17883">
        <w:trPr>
          <w:cantSplit/>
        </w:trPr>
        <w:tc>
          <w:tcPr>
            <w:tcW w:w="1984" w:type="dxa"/>
            <w:shd w:val="clear" w:color="auto" w:fill="EDEDED"/>
            <w:vAlign w:val="center"/>
          </w:tcPr>
          <w:p w:rsidR="000C79AD" w:rsidRDefault="00074EF1">
            <w:pPr>
              <w:spacing w:before="120" w:line="288" w:lineRule="auto"/>
              <w:jc w:val="center"/>
              <w:rPr>
                <w:color w:val="000000"/>
              </w:rPr>
            </w:pPr>
            <w:proofErr w:type="spellStart"/>
            <w:r>
              <w:rPr>
                <w:rFonts w:ascii="宋体" w:eastAsia="宋体" w:hAnsi="宋体" w:cs="宋体" w:hint="eastAsia"/>
                <w:b/>
                <w:color w:val="000000"/>
                <w:sz w:val="22"/>
              </w:rPr>
              <w:lastRenderedPageBreak/>
              <w:t>对比项目</w:t>
            </w:r>
            <w:proofErr w:type="spellEnd"/>
          </w:p>
        </w:tc>
        <w:tc>
          <w:tcPr>
            <w:tcW w:w="3458" w:type="dxa"/>
            <w:shd w:val="clear" w:color="auto" w:fill="EDEDED"/>
            <w:vAlign w:val="center"/>
          </w:tcPr>
          <w:p w:rsidR="000C79AD" w:rsidRDefault="00074EF1">
            <w:pPr>
              <w:spacing w:before="120" w:line="288" w:lineRule="auto"/>
              <w:jc w:val="center"/>
              <w:rPr>
                <w:color w:val="000000"/>
              </w:rPr>
            </w:pPr>
            <w:proofErr w:type="spellStart"/>
            <w:r>
              <w:rPr>
                <w:rFonts w:ascii="宋体" w:eastAsia="宋体" w:hAnsi="宋体" w:cs="宋体" w:hint="eastAsia"/>
                <w:b/>
                <w:color w:val="000000"/>
                <w:sz w:val="22"/>
              </w:rPr>
              <w:t>现行规定</w:t>
            </w:r>
            <w:proofErr w:type="spellEnd"/>
          </w:p>
        </w:tc>
        <w:tc>
          <w:tcPr>
            <w:tcW w:w="3458" w:type="dxa"/>
            <w:shd w:val="clear" w:color="auto" w:fill="EDEDED"/>
            <w:vAlign w:val="center"/>
          </w:tcPr>
          <w:p w:rsidR="000C79AD" w:rsidRDefault="00074EF1">
            <w:pPr>
              <w:spacing w:before="120" w:line="288" w:lineRule="auto"/>
              <w:jc w:val="center"/>
              <w:rPr>
                <w:color w:val="000000"/>
              </w:rPr>
            </w:pPr>
            <w:proofErr w:type="spellStart"/>
            <w:r>
              <w:rPr>
                <w:rFonts w:ascii="宋体" w:eastAsia="宋体" w:hAnsi="宋体" w:cs="宋体" w:hint="eastAsia"/>
                <w:b/>
                <w:color w:val="000000"/>
                <w:sz w:val="22"/>
              </w:rPr>
              <w:t>修订稿</w:t>
            </w:r>
            <w:proofErr w:type="spellEnd"/>
          </w:p>
        </w:tc>
      </w:tr>
      <w:tr w:rsidR="000C79AD" w:rsidTr="00B17883">
        <w:trPr>
          <w:cantSplit/>
        </w:trPr>
        <w:tc>
          <w:tcPr>
            <w:tcW w:w="1984"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章节及条款</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四章十七条</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四章十八条</w:t>
            </w:r>
            <w:proofErr w:type="spellEnd"/>
          </w:p>
        </w:tc>
      </w:tr>
      <w:tr w:rsidR="000C79AD" w:rsidTr="00B17883">
        <w:trPr>
          <w:cantSplit/>
        </w:trPr>
        <w:tc>
          <w:tcPr>
            <w:tcW w:w="1984"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第一章</w:t>
            </w:r>
            <w:proofErr w:type="spellEnd"/>
            <w:r>
              <w:rPr>
                <w:color w:val="000000"/>
                <w:sz w:val="22"/>
              </w:rPr>
              <w:t xml:space="preserve"> </w:t>
            </w:r>
            <w:proofErr w:type="spellStart"/>
            <w:r>
              <w:rPr>
                <w:rFonts w:ascii="宋体" w:eastAsia="宋体" w:hAnsi="宋体" w:cs="宋体" w:hint="eastAsia"/>
                <w:color w:val="000000"/>
                <w:sz w:val="22"/>
              </w:rPr>
              <w:t>总则</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第一条至第五条</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第一条至第五条</w:t>
            </w:r>
            <w:proofErr w:type="spellEnd"/>
          </w:p>
        </w:tc>
      </w:tr>
      <w:tr w:rsidR="000C79AD" w:rsidTr="00B17883">
        <w:trPr>
          <w:cantSplit/>
        </w:trPr>
        <w:tc>
          <w:tcPr>
            <w:tcW w:w="1984"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第二章</w:t>
            </w:r>
            <w:proofErr w:type="spellEnd"/>
            <w:r>
              <w:rPr>
                <w:color w:val="000000"/>
                <w:sz w:val="22"/>
              </w:rPr>
              <w:t xml:space="preserve"> </w:t>
            </w:r>
            <w:proofErr w:type="spellStart"/>
            <w:r>
              <w:rPr>
                <w:rFonts w:ascii="宋体" w:eastAsia="宋体" w:hAnsi="宋体" w:cs="宋体" w:hint="eastAsia"/>
                <w:color w:val="000000"/>
                <w:sz w:val="22"/>
              </w:rPr>
              <w:t>布局标准</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第六条至第十条</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第六条至第十一条</w:t>
            </w:r>
            <w:proofErr w:type="spellEnd"/>
          </w:p>
        </w:tc>
      </w:tr>
      <w:tr w:rsidR="000C79AD" w:rsidTr="00B17883">
        <w:trPr>
          <w:cantSplit/>
        </w:trPr>
        <w:tc>
          <w:tcPr>
            <w:tcW w:w="1984"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第三章</w:t>
            </w:r>
            <w:proofErr w:type="spellEnd"/>
            <w:r>
              <w:rPr>
                <w:color w:val="000000"/>
                <w:sz w:val="22"/>
              </w:rPr>
              <w:t xml:space="preserve"> </w:t>
            </w:r>
            <w:proofErr w:type="spellStart"/>
            <w:r>
              <w:rPr>
                <w:rFonts w:ascii="宋体" w:eastAsia="宋体" w:hAnsi="宋体" w:cs="宋体" w:hint="eastAsia"/>
                <w:color w:val="000000"/>
                <w:sz w:val="22"/>
              </w:rPr>
              <w:t>其他规定</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第十一条至第十四条</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第十二条至第十五条</w:t>
            </w:r>
            <w:proofErr w:type="spellEnd"/>
          </w:p>
        </w:tc>
      </w:tr>
      <w:tr w:rsidR="000C79AD" w:rsidTr="00B17883">
        <w:trPr>
          <w:cantSplit/>
        </w:trPr>
        <w:tc>
          <w:tcPr>
            <w:tcW w:w="1984"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第四章</w:t>
            </w:r>
            <w:proofErr w:type="spellEnd"/>
            <w:r>
              <w:rPr>
                <w:color w:val="000000"/>
                <w:sz w:val="22"/>
              </w:rPr>
              <w:t xml:space="preserve"> </w:t>
            </w:r>
            <w:proofErr w:type="spellStart"/>
            <w:r>
              <w:rPr>
                <w:rFonts w:ascii="宋体" w:eastAsia="宋体" w:hAnsi="宋体" w:cs="宋体" w:hint="eastAsia"/>
                <w:color w:val="000000"/>
                <w:sz w:val="22"/>
              </w:rPr>
              <w:t>附则</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第十五条至第十七条</w:t>
            </w:r>
            <w:proofErr w:type="spellEnd"/>
          </w:p>
        </w:tc>
        <w:tc>
          <w:tcPr>
            <w:tcW w:w="3458" w:type="dxa"/>
            <w:vAlign w:val="center"/>
          </w:tcPr>
          <w:p w:rsidR="000C79AD" w:rsidRDefault="00074EF1">
            <w:pPr>
              <w:spacing w:before="120" w:line="288" w:lineRule="auto"/>
              <w:jc w:val="center"/>
              <w:rPr>
                <w:color w:val="000000"/>
              </w:rPr>
            </w:pPr>
            <w:proofErr w:type="spellStart"/>
            <w:r>
              <w:rPr>
                <w:rFonts w:ascii="宋体" w:eastAsia="宋体" w:hAnsi="宋体" w:cs="宋体" w:hint="eastAsia"/>
                <w:color w:val="000000"/>
                <w:sz w:val="22"/>
              </w:rPr>
              <w:t>第十六条至第十八条</w:t>
            </w:r>
            <w:proofErr w:type="spellEnd"/>
          </w:p>
        </w:tc>
      </w:tr>
    </w:tbl>
    <w:p w:rsidR="000C79AD" w:rsidRDefault="00074EF1" w:rsidP="00B17883">
      <w:pPr>
        <w:spacing w:before="160" w:after="0" w:line="500" w:lineRule="exact"/>
        <w:ind w:firstLineChars="200" w:firstLine="560"/>
        <w:outlineLvl w:val="0"/>
        <w:rPr>
          <w:rFonts w:ascii="黑体" w:eastAsia="黑体" w:hAnsi="黑体" w:cstheme="majorBidi"/>
          <w:color w:val="000000"/>
          <w:szCs w:val="28"/>
          <w:lang w:eastAsia="zh-CN"/>
        </w:rPr>
      </w:pPr>
      <w:r>
        <w:rPr>
          <w:rFonts w:ascii="黑体" w:eastAsia="黑体" w:hAnsi="黑体" w:cstheme="majorBidi"/>
          <w:color w:val="000000"/>
          <w:szCs w:val="28"/>
          <w:lang w:eastAsia="zh-CN"/>
        </w:rPr>
        <w:t>四、修订主要内容</w:t>
      </w:r>
    </w:p>
    <w:p w:rsidR="000C79AD" w:rsidRDefault="00074EF1">
      <w:pPr>
        <w:ind w:firstLineChars="200" w:firstLine="560"/>
        <w:rPr>
          <w:rFonts w:ascii="宋体" w:eastAsia="宋体" w:hAnsi="宋体"/>
          <w:lang w:eastAsia="zh-CN"/>
        </w:rPr>
      </w:pPr>
      <w:r>
        <w:rPr>
          <w:rFonts w:ascii="宋体" w:eastAsia="宋体" w:hAnsi="宋体"/>
          <w:lang w:eastAsia="zh-CN"/>
        </w:rPr>
        <w:t>海淀区烟草制品零售点合理布局规定修订内容如下（除注明原条号外，均按修订</w:t>
      </w:r>
      <w:proofErr w:type="gramStart"/>
      <w:r>
        <w:rPr>
          <w:rFonts w:ascii="宋体" w:eastAsia="宋体" w:hAnsi="宋体"/>
          <w:lang w:eastAsia="zh-CN"/>
        </w:rPr>
        <w:t>稿条号</w:t>
      </w:r>
      <w:proofErr w:type="gramEnd"/>
      <w:r>
        <w:rPr>
          <w:rFonts w:ascii="宋体" w:eastAsia="宋体" w:hAnsi="宋体"/>
          <w:lang w:eastAsia="zh-CN"/>
        </w:rPr>
        <w:t>列示）：</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1.</w:t>
      </w:r>
      <w:r>
        <w:rPr>
          <w:rFonts w:ascii="宋体" w:eastAsia="宋体" w:hAnsi="宋体"/>
          <w:b/>
          <w:lang w:eastAsia="zh-CN"/>
        </w:rPr>
        <w:t>第一条：</w:t>
      </w:r>
    </w:p>
    <w:p w:rsidR="000C79AD" w:rsidRDefault="00074EF1">
      <w:pPr>
        <w:ind w:firstLine="560"/>
        <w:rPr>
          <w:rFonts w:ascii="宋体" w:eastAsia="宋体" w:hAnsi="宋体"/>
          <w:lang w:eastAsia="zh-CN"/>
        </w:rPr>
      </w:pPr>
      <w:r>
        <w:rPr>
          <w:rFonts w:ascii="宋体" w:eastAsia="宋体" w:hAnsi="宋体"/>
          <w:lang w:eastAsia="zh-CN"/>
        </w:rPr>
        <w:t>将</w:t>
      </w:r>
      <w:r>
        <w:rPr>
          <w:rFonts w:ascii="宋体" w:eastAsia="宋体" w:hAnsi="宋体"/>
          <w:lang w:eastAsia="zh-CN"/>
        </w:rPr>
        <w:t>“</w:t>
      </w:r>
      <w:r>
        <w:rPr>
          <w:rFonts w:ascii="宋体" w:eastAsia="宋体" w:hAnsi="宋体"/>
          <w:lang w:eastAsia="zh-CN"/>
        </w:rPr>
        <w:t>《中华人民共和国烟草专卖法》及实施条例</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《中华人民共和国烟草专卖法》及其实施条例</w:t>
      </w:r>
      <w:r>
        <w:rPr>
          <w:rFonts w:ascii="宋体" w:eastAsia="宋体" w:hAnsi="宋体"/>
          <w:lang w:eastAsia="zh-CN"/>
        </w:rPr>
        <w:t>”</w:t>
      </w:r>
      <w:r>
        <w:rPr>
          <w:rFonts w:ascii="宋体" w:eastAsia="宋体" w:hAnsi="宋体"/>
          <w:lang w:eastAsia="zh-CN"/>
        </w:rPr>
        <w:t>；将</w:t>
      </w:r>
      <w:r>
        <w:rPr>
          <w:rFonts w:ascii="宋体" w:eastAsia="宋体" w:hAnsi="宋体"/>
          <w:lang w:eastAsia="zh-CN"/>
        </w:rPr>
        <w:t>“</w:t>
      </w:r>
      <w:r>
        <w:rPr>
          <w:rFonts w:ascii="宋体" w:eastAsia="宋体" w:hAnsi="宋体"/>
          <w:lang w:eastAsia="zh-CN"/>
        </w:rPr>
        <w:t>《烟草专卖许可证管理办法》及实施细则</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《烟草专卖许可证管理办法》及其实施细则</w:t>
      </w:r>
      <w:r>
        <w:rPr>
          <w:rFonts w:ascii="宋体" w:eastAsia="宋体" w:hAnsi="宋体"/>
          <w:lang w:eastAsia="zh-CN"/>
        </w:rPr>
        <w:t>”</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2.</w:t>
      </w:r>
      <w:r>
        <w:rPr>
          <w:rFonts w:ascii="宋体" w:eastAsia="宋体" w:hAnsi="宋体"/>
          <w:b/>
          <w:lang w:eastAsia="zh-CN"/>
        </w:rPr>
        <w:t>第二条：</w:t>
      </w:r>
    </w:p>
    <w:p w:rsidR="000C79AD" w:rsidRDefault="00074EF1">
      <w:pPr>
        <w:ind w:firstLine="560"/>
        <w:rPr>
          <w:rFonts w:ascii="宋体" w:eastAsia="宋体" w:hAnsi="宋体"/>
          <w:lang w:eastAsia="zh-CN"/>
        </w:rPr>
      </w:pPr>
      <w:r>
        <w:rPr>
          <w:rFonts w:ascii="宋体" w:eastAsia="宋体" w:hAnsi="宋体"/>
          <w:lang w:eastAsia="zh-CN"/>
        </w:rPr>
        <w:t>增加</w:t>
      </w:r>
      <w:r>
        <w:rPr>
          <w:rFonts w:ascii="宋体" w:eastAsia="宋体" w:hAnsi="宋体"/>
          <w:lang w:eastAsia="zh-CN"/>
        </w:rPr>
        <w:t>“</w:t>
      </w:r>
      <w:r>
        <w:rPr>
          <w:rFonts w:ascii="宋体" w:eastAsia="宋体" w:hAnsi="宋体"/>
          <w:lang w:eastAsia="zh-CN"/>
        </w:rPr>
        <w:t>雪茄烟专业店零售点合理布局适用《北京市海淀区雪茄烟专业店零售点合理布局规定》。</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3.</w:t>
      </w:r>
      <w:r>
        <w:rPr>
          <w:rFonts w:ascii="宋体" w:eastAsia="宋体" w:hAnsi="宋体"/>
          <w:b/>
          <w:lang w:eastAsia="zh-CN"/>
        </w:rPr>
        <w:t>第四条：</w:t>
      </w:r>
    </w:p>
    <w:p w:rsidR="000C79AD" w:rsidRDefault="00074EF1">
      <w:pPr>
        <w:ind w:firstLine="560"/>
        <w:rPr>
          <w:rFonts w:ascii="宋体" w:eastAsia="宋体" w:hAnsi="宋体"/>
          <w:lang w:eastAsia="zh-CN"/>
        </w:rPr>
      </w:pPr>
      <w:r>
        <w:rPr>
          <w:rFonts w:ascii="宋体" w:eastAsia="宋体" w:hAnsi="宋体"/>
          <w:lang w:eastAsia="zh-CN"/>
        </w:rPr>
        <w:t>第五项将</w:t>
      </w:r>
      <w:r>
        <w:rPr>
          <w:rFonts w:ascii="宋体" w:eastAsia="宋体" w:hAnsi="宋体"/>
          <w:lang w:eastAsia="zh-CN"/>
        </w:rPr>
        <w:t>“</w:t>
      </w:r>
      <w:r>
        <w:rPr>
          <w:rFonts w:ascii="宋体" w:eastAsia="宋体" w:hAnsi="宋体"/>
          <w:lang w:eastAsia="zh-CN"/>
        </w:rPr>
        <w:t>学校、幼儿园、少年宫周围的限制规定</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幼儿园、中小学校、少年宫周围的限制规定</w:t>
      </w:r>
      <w:r>
        <w:rPr>
          <w:rFonts w:ascii="宋体" w:eastAsia="宋体" w:hAnsi="宋体"/>
          <w:lang w:eastAsia="zh-CN"/>
        </w:rPr>
        <w:t>”</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4.</w:t>
      </w:r>
      <w:r>
        <w:rPr>
          <w:rFonts w:ascii="宋体" w:eastAsia="宋体" w:hAnsi="宋体"/>
          <w:b/>
          <w:lang w:eastAsia="zh-CN"/>
        </w:rPr>
        <w:t>第五条：</w:t>
      </w:r>
    </w:p>
    <w:p w:rsidR="000C79AD" w:rsidRDefault="00074EF1">
      <w:pPr>
        <w:ind w:firstLine="560"/>
        <w:rPr>
          <w:rFonts w:ascii="宋体" w:eastAsia="宋体" w:hAnsi="宋体"/>
          <w:lang w:eastAsia="zh-CN"/>
        </w:rPr>
      </w:pPr>
      <w:r>
        <w:rPr>
          <w:rFonts w:ascii="宋体" w:eastAsia="宋体" w:hAnsi="宋体"/>
          <w:lang w:eastAsia="zh-CN"/>
        </w:rPr>
        <w:t>将</w:t>
      </w:r>
      <w:r>
        <w:rPr>
          <w:rFonts w:ascii="宋体" w:eastAsia="宋体" w:hAnsi="宋体"/>
          <w:lang w:eastAsia="zh-CN"/>
        </w:rPr>
        <w:t>“</w:t>
      </w:r>
      <w:r>
        <w:rPr>
          <w:rFonts w:ascii="宋体" w:eastAsia="宋体" w:hAnsi="宋体"/>
          <w:lang w:eastAsia="zh-CN"/>
        </w:rPr>
        <w:t>将海淀区划分为城市辖区、最小市场单元及特殊情形三种类型</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将海淀区划分为一般区域和最小市场单元两种类型</w:t>
      </w:r>
      <w:r>
        <w:rPr>
          <w:rFonts w:ascii="宋体" w:eastAsia="宋体" w:hAnsi="宋体"/>
          <w:lang w:eastAsia="zh-CN"/>
        </w:rPr>
        <w:t>”</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5.</w:t>
      </w:r>
      <w:r>
        <w:rPr>
          <w:rFonts w:ascii="宋体" w:eastAsia="宋体" w:hAnsi="宋体"/>
          <w:b/>
          <w:lang w:eastAsia="zh-CN"/>
        </w:rPr>
        <w:t>第六条：</w:t>
      </w:r>
    </w:p>
    <w:p w:rsidR="000C79AD" w:rsidRDefault="00074EF1">
      <w:pPr>
        <w:ind w:firstLine="560"/>
        <w:rPr>
          <w:rFonts w:ascii="宋体" w:eastAsia="宋体" w:hAnsi="宋体"/>
          <w:lang w:eastAsia="zh-CN"/>
        </w:rPr>
      </w:pPr>
      <w:r>
        <w:rPr>
          <w:rFonts w:ascii="宋体" w:eastAsia="宋体" w:hAnsi="宋体"/>
          <w:lang w:eastAsia="zh-CN"/>
        </w:rPr>
        <w:lastRenderedPageBreak/>
        <w:t>第</w:t>
      </w:r>
      <w:r>
        <w:rPr>
          <w:rFonts w:ascii="宋体" w:eastAsia="宋体" w:hAnsi="宋体"/>
          <w:lang w:eastAsia="zh-CN"/>
        </w:rPr>
        <w:t>7</w:t>
      </w:r>
      <w:r>
        <w:rPr>
          <w:rFonts w:ascii="宋体" w:eastAsia="宋体" w:hAnsi="宋体"/>
          <w:lang w:eastAsia="zh-CN"/>
        </w:rPr>
        <w:t>目将</w:t>
      </w:r>
      <w:r>
        <w:rPr>
          <w:rFonts w:ascii="宋体" w:eastAsia="宋体" w:hAnsi="宋体"/>
          <w:lang w:eastAsia="zh-CN"/>
        </w:rPr>
        <w:t>“</w:t>
      </w:r>
      <w:r>
        <w:rPr>
          <w:rFonts w:ascii="宋体" w:eastAsia="宋体" w:hAnsi="宋体"/>
          <w:lang w:eastAsia="zh-CN"/>
        </w:rPr>
        <w:t>在幼儿园、学校、少年宫及其周边</w:t>
      </w:r>
      <w:r>
        <w:rPr>
          <w:rFonts w:ascii="宋体" w:eastAsia="宋体" w:hAnsi="宋体"/>
          <w:lang w:eastAsia="zh-CN"/>
        </w:rPr>
        <w:t>100</w:t>
      </w:r>
      <w:r>
        <w:rPr>
          <w:rFonts w:ascii="宋体" w:eastAsia="宋体" w:hAnsi="宋体"/>
          <w:lang w:eastAsia="zh-CN"/>
        </w:rPr>
        <w:t>米内</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在幼儿园、中小学校、少年宫及其周边</w:t>
      </w:r>
      <w:r>
        <w:rPr>
          <w:rFonts w:ascii="宋体" w:eastAsia="宋体" w:hAnsi="宋体"/>
          <w:lang w:eastAsia="zh-CN"/>
        </w:rPr>
        <w:t>100</w:t>
      </w:r>
      <w:r>
        <w:rPr>
          <w:rFonts w:ascii="宋体" w:eastAsia="宋体" w:hAnsi="宋体"/>
          <w:lang w:eastAsia="zh-CN"/>
        </w:rPr>
        <w:t>米内</w:t>
      </w:r>
      <w:r>
        <w:rPr>
          <w:rFonts w:ascii="宋体" w:eastAsia="宋体" w:hAnsi="宋体"/>
          <w:lang w:eastAsia="zh-CN"/>
        </w:rPr>
        <w:t>”</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6.</w:t>
      </w:r>
      <w:r>
        <w:rPr>
          <w:rFonts w:ascii="宋体" w:eastAsia="宋体" w:hAnsi="宋体"/>
          <w:b/>
          <w:lang w:eastAsia="zh-CN"/>
        </w:rPr>
        <w:t>第七条：</w:t>
      </w:r>
    </w:p>
    <w:p w:rsidR="000C79AD" w:rsidRDefault="00074EF1">
      <w:pPr>
        <w:ind w:firstLine="560"/>
        <w:rPr>
          <w:rFonts w:ascii="宋体" w:eastAsia="宋体" w:hAnsi="宋体"/>
          <w:lang w:eastAsia="zh-CN"/>
        </w:rPr>
      </w:pPr>
      <w:r>
        <w:rPr>
          <w:rFonts w:ascii="宋体" w:eastAsia="宋体" w:hAnsi="宋体"/>
          <w:lang w:eastAsia="zh-CN"/>
        </w:rPr>
        <w:t>删除第一款</w:t>
      </w:r>
      <w:r>
        <w:rPr>
          <w:rFonts w:ascii="宋体" w:eastAsia="宋体" w:hAnsi="宋体" w:hint="eastAsia"/>
          <w:lang w:eastAsia="zh-CN"/>
        </w:rPr>
        <w:t>特殊</w:t>
      </w:r>
      <w:r>
        <w:rPr>
          <w:rFonts w:ascii="宋体" w:eastAsia="宋体" w:hAnsi="宋体"/>
          <w:lang w:eastAsia="zh-CN"/>
        </w:rPr>
        <w:t>业态适用</w:t>
      </w:r>
      <w:r>
        <w:rPr>
          <w:rFonts w:ascii="宋体" w:eastAsia="宋体" w:hAnsi="宋体"/>
          <w:lang w:eastAsia="zh-CN"/>
        </w:rPr>
        <w:t>300</w:t>
      </w:r>
      <w:r>
        <w:rPr>
          <w:rFonts w:ascii="宋体" w:eastAsia="宋体" w:hAnsi="宋体"/>
          <w:lang w:eastAsia="zh-CN"/>
        </w:rPr>
        <w:t>米间距限制的规定。</w:t>
      </w:r>
    </w:p>
    <w:p w:rsidR="000C79AD" w:rsidRDefault="00074EF1">
      <w:pPr>
        <w:ind w:firstLine="560"/>
        <w:rPr>
          <w:rFonts w:ascii="宋体" w:eastAsia="宋体" w:hAnsi="宋体"/>
          <w:lang w:eastAsia="zh-CN"/>
        </w:rPr>
      </w:pPr>
      <w:r>
        <w:rPr>
          <w:rFonts w:ascii="宋体" w:eastAsia="宋体" w:hAnsi="宋体"/>
          <w:lang w:eastAsia="zh-CN"/>
        </w:rPr>
        <w:t>将原第二款</w:t>
      </w:r>
      <w:r>
        <w:rPr>
          <w:rFonts w:ascii="宋体" w:eastAsia="宋体" w:hAnsi="宋体"/>
          <w:lang w:eastAsia="zh-CN"/>
        </w:rPr>
        <w:t>“</w:t>
      </w:r>
      <w:r>
        <w:rPr>
          <w:rFonts w:ascii="宋体" w:eastAsia="宋体" w:hAnsi="宋体"/>
          <w:lang w:eastAsia="zh-CN"/>
        </w:rPr>
        <w:t>城市辖区内的道路、街巷、底商等公共区域，以经营烟酒糖茶及预包装食品为主业的，间距达到</w:t>
      </w:r>
      <w:r>
        <w:rPr>
          <w:rFonts w:ascii="宋体" w:eastAsia="宋体" w:hAnsi="宋体"/>
          <w:lang w:eastAsia="zh-CN"/>
        </w:rPr>
        <w:t>20</w:t>
      </w:r>
      <w:r>
        <w:rPr>
          <w:rFonts w:ascii="宋体" w:eastAsia="宋体" w:hAnsi="宋体"/>
          <w:lang w:eastAsia="zh-CN"/>
        </w:rPr>
        <w:t>米可设置一个零售点</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一般区域的道路、街巷，以及底商、写字楼内等公共空间，间距达到</w:t>
      </w:r>
      <w:r>
        <w:rPr>
          <w:rFonts w:ascii="宋体" w:eastAsia="宋体" w:hAnsi="宋体"/>
          <w:lang w:eastAsia="zh-CN"/>
        </w:rPr>
        <w:t>20</w:t>
      </w:r>
      <w:r>
        <w:rPr>
          <w:rFonts w:ascii="宋体" w:eastAsia="宋体" w:hAnsi="宋体"/>
          <w:lang w:eastAsia="zh-CN"/>
        </w:rPr>
        <w:t>米可设置一个零售点</w:t>
      </w:r>
      <w:r>
        <w:rPr>
          <w:rFonts w:ascii="宋体" w:eastAsia="宋体" w:hAnsi="宋体"/>
          <w:lang w:eastAsia="zh-CN"/>
        </w:rPr>
        <w:t>”</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lang w:eastAsia="zh-CN"/>
        </w:rPr>
        <w:t>删除</w:t>
      </w:r>
      <w:r>
        <w:rPr>
          <w:rFonts w:ascii="宋体" w:eastAsia="宋体" w:hAnsi="宋体"/>
          <w:lang w:eastAsia="zh-CN"/>
        </w:rPr>
        <w:t>“</w:t>
      </w:r>
      <w:r>
        <w:rPr>
          <w:rFonts w:ascii="宋体" w:eastAsia="宋体" w:hAnsi="宋体"/>
          <w:lang w:eastAsia="zh-CN"/>
        </w:rPr>
        <w:t>对于已取得烟草专卖零售许可证但业态类型符合本条第一款的，不作为间距参照物。</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7.</w:t>
      </w:r>
      <w:r>
        <w:rPr>
          <w:rFonts w:ascii="宋体" w:eastAsia="宋体" w:hAnsi="宋体"/>
          <w:b/>
          <w:lang w:eastAsia="zh-CN"/>
        </w:rPr>
        <w:t>第八条：</w:t>
      </w:r>
    </w:p>
    <w:p w:rsidR="000C79AD" w:rsidRDefault="00074EF1">
      <w:pPr>
        <w:ind w:firstLine="560"/>
        <w:rPr>
          <w:rFonts w:ascii="宋体" w:eastAsia="宋体" w:hAnsi="宋体"/>
          <w:lang w:eastAsia="zh-CN"/>
        </w:rPr>
      </w:pPr>
      <w:r>
        <w:rPr>
          <w:rFonts w:ascii="宋体" w:eastAsia="宋体" w:hAnsi="宋体"/>
          <w:lang w:eastAsia="zh-CN"/>
        </w:rPr>
        <w:t>第一项第</w:t>
      </w:r>
      <w:r>
        <w:rPr>
          <w:rFonts w:ascii="宋体" w:eastAsia="宋体" w:hAnsi="宋体"/>
          <w:lang w:eastAsia="zh-CN"/>
        </w:rPr>
        <w:t>2</w:t>
      </w:r>
      <w:r>
        <w:rPr>
          <w:rFonts w:ascii="宋体" w:eastAsia="宋体" w:hAnsi="宋体"/>
          <w:lang w:eastAsia="zh-CN"/>
        </w:rPr>
        <w:t>目将</w:t>
      </w:r>
      <w:r>
        <w:rPr>
          <w:rFonts w:ascii="宋体" w:eastAsia="宋体" w:hAnsi="宋体"/>
          <w:lang w:eastAsia="zh-CN"/>
        </w:rPr>
        <w:t>“</w:t>
      </w:r>
      <w:r>
        <w:rPr>
          <w:rFonts w:ascii="宋体" w:eastAsia="宋体" w:hAnsi="宋体"/>
          <w:lang w:eastAsia="zh-CN"/>
        </w:rPr>
        <w:t>设置总数不超过</w:t>
      </w:r>
      <w:r>
        <w:rPr>
          <w:rFonts w:ascii="宋体" w:eastAsia="宋体" w:hAnsi="宋体"/>
          <w:lang w:eastAsia="zh-CN"/>
        </w:rPr>
        <w:t>7</w:t>
      </w:r>
      <w:r>
        <w:rPr>
          <w:rFonts w:ascii="宋体" w:eastAsia="宋体" w:hAnsi="宋体"/>
          <w:lang w:eastAsia="zh-CN"/>
        </w:rPr>
        <w:t>个</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设置总数不超过</w:t>
      </w:r>
      <w:r>
        <w:rPr>
          <w:rFonts w:ascii="宋体" w:eastAsia="宋体" w:hAnsi="宋体"/>
          <w:lang w:eastAsia="zh-CN"/>
        </w:rPr>
        <w:t>10</w:t>
      </w:r>
      <w:r>
        <w:rPr>
          <w:rFonts w:ascii="宋体" w:eastAsia="宋体" w:hAnsi="宋体"/>
          <w:lang w:eastAsia="zh-CN"/>
        </w:rPr>
        <w:t>个</w:t>
      </w:r>
      <w:r>
        <w:rPr>
          <w:rFonts w:ascii="宋体" w:eastAsia="宋体" w:hAnsi="宋体"/>
          <w:lang w:eastAsia="zh-CN"/>
        </w:rPr>
        <w:t>”</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lang w:eastAsia="zh-CN"/>
        </w:rPr>
        <w:t>删除第一项第</w:t>
      </w:r>
      <w:r>
        <w:rPr>
          <w:rFonts w:ascii="宋体" w:eastAsia="宋体" w:hAnsi="宋体"/>
          <w:lang w:eastAsia="zh-CN"/>
        </w:rPr>
        <w:t>3</w:t>
      </w:r>
      <w:r>
        <w:rPr>
          <w:rFonts w:ascii="宋体" w:eastAsia="宋体" w:hAnsi="宋体"/>
          <w:lang w:eastAsia="zh-CN"/>
        </w:rPr>
        <w:t>目</w:t>
      </w:r>
      <w:r>
        <w:rPr>
          <w:rFonts w:ascii="宋体" w:eastAsia="宋体" w:hAnsi="宋体"/>
          <w:lang w:eastAsia="zh-CN"/>
        </w:rPr>
        <w:t>“</w:t>
      </w:r>
      <w:r>
        <w:rPr>
          <w:rFonts w:ascii="宋体" w:eastAsia="宋体" w:hAnsi="宋体"/>
          <w:lang w:eastAsia="zh-CN"/>
        </w:rPr>
        <w:t>行政村（自然村）内的零售点设置总数不超过</w:t>
      </w:r>
      <w:r>
        <w:rPr>
          <w:rFonts w:ascii="宋体" w:eastAsia="宋体" w:hAnsi="宋体"/>
          <w:lang w:eastAsia="zh-CN"/>
        </w:rPr>
        <w:t>10</w:t>
      </w:r>
      <w:r>
        <w:rPr>
          <w:rFonts w:ascii="宋体" w:eastAsia="宋体" w:hAnsi="宋体"/>
          <w:lang w:eastAsia="zh-CN"/>
        </w:rPr>
        <w:t>个</w:t>
      </w:r>
      <w:r>
        <w:rPr>
          <w:rFonts w:ascii="宋体" w:eastAsia="宋体" w:hAnsi="宋体"/>
          <w:lang w:eastAsia="zh-CN"/>
        </w:rPr>
        <w:t>”</w:t>
      </w:r>
      <w:r>
        <w:rPr>
          <w:rFonts w:ascii="宋体" w:eastAsia="宋体" w:hAnsi="宋体"/>
          <w:lang w:eastAsia="zh-CN"/>
        </w:rPr>
        <w:t>；删除第一项第</w:t>
      </w:r>
      <w:r>
        <w:rPr>
          <w:rFonts w:ascii="宋体" w:eastAsia="宋体" w:hAnsi="宋体"/>
          <w:lang w:eastAsia="zh-CN"/>
        </w:rPr>
        <w:t>4</w:t>
      </w:r>
      <w:r>
        <w:rPr>
          <w:rFonts w:ascii="宋体" w:eastAsia="宋体" w:hAnsi="宋体"/>
          <w:lang w:eastAsia="zh-CN"/>
        </w:rPr>
        <w:t>目</w:t>
      </w:r>
      <w:r>
        <w:rPr>
          <w:rFonts w:ascii="宋体" w:eastAsia="宋体" w:hAnsi="宋体"/>
          <w:lang w:eastAsia="zh-CN"/>
        </w:rPr>
        <w:t>“</w:t>
      </w:r>
      <w:r>
        <w:rPr>
          <w:rFonts w:ascii="宋体" w:eastAsia="宋体" w:hAnsi="宋体"/>
          <w:lang w:eastAsia="zh-CN"/>
        </w:rPr>
        <w:t>商用办公楼宇、写字楼等内部设置总数不超过</w:t>
      </w:r>
      <w:r>
        <w:rPr>
          <w:rFonts w:ascii="宋体" w:eastAsia="宋体" w:hAnsi="宋体"/>
          <w:lang w:eastAsia="zh-CN"/>
        </w:rPr>
        <w:t>2</w:t>
      </w:r>
      <w:r>
        <w:rPr>
          <w:rFonts w:ascii="宋体" w:eastAsia="宋体" w:hAnsi="宋体"/>
          <w:lang w:eastAsia="zh-CN"/>
        </w:rPr>
        <w:t>个且应位于公共空间。超大连体写字楼适当放宽。</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lang w:eastAsia="zh-CN"/>
        </w:rPr>
        <w:t>第二项第</w:t>
      </w:r>
      <w:r>
        <w:rPr>
          <w:rFonts w:ascii="宋体" w:eastAsia="宋体" w:hAnsi="宋体"/>
          <w:lang w:eastAsia="zh-CN"/>
        </w:rPr>
        <w:t>1</w:t>
      </w:r>
      <w:r>
        <w:rPr>
          <w:rFonts w:ascii="宋体" w:eastAsia="宋体" w:hAnsi="宋体"/>
          <w:lang w:eastAsia="zh-CN"/>
        </w:rPr>
        <w:t>目、第</w:t>
      </w:r>
      <w:r>
        <w:rPr>
          <w:rFonts w:ascii="宋体" w:eastAsia="宋体" w:hAnsi="宋体"/>
          <w:lang w:eastAsia="zh-CN"/>
        </w:rPr>
        <w:t>2</w:t>
      </w:r>
      <w:r>
        <w:rPr>
          <w:rFonts w:ascii="宋体" w:eastAsia="宋体" w:hAnsi="宋体"/>
          <w:lang w:eastAsia="zh-CN"/>
        </w:rPr>
        <w:t>目将面积单位</w:t>
      </w:r>
      <w:r>
        <w:rPr>
          <w:rFonts w:ascii="宋体" w:eastAsia="宋体" w:hAnsi="宋体"/>
          <w:lang w:eastAsia="zh-CN"/>
        </w:rPr>
        <w:t>“</w:t>
      </w:r>
      <w:r>
        <w:rPr>
          <w:rFonts w:ascii="宋体" w:eastAsia="宋体" w:hAnsi="宋体"/>
          <w:lang w:eastAsia="zh-CN"/>
        </w:rPr>
        <w:t>平米</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平方米</w:t>
      </w:r>
      <w:r>
        <w:rPr>
          <w:rFonts w:ascii="宋体" w:eastAsia="宋体" w:hAnsi="宋体"/>
          <w:lang w:eastAsia="zh-CN"/>
        </w:rPr>
        <w:t>”</w:t>
      </w:r>
      <w:r>
        <w:rPr>
          <w:rFonts w:ascii="宋体" w:eastAsia="宋体" w:hAnsi="宋体"/>
          <w:lang w:eastAsia="zh-CN"/>
        </w:rPr>
        <w:t>；第二项第</w:t>
      </w:r>
      <w:r>
        <w:rPr>
          <w:rFonts w:ascii="宋体" w:eastAsia="宋体" w:hAnsi="宋体"/>
          <w:lang w:eastAsia="zh-CN"/>
        </w:rPr>
        <w:t>2</w:t>
      </w:r>
      <w:r>
        <w:rPr>
          <w:rFonts w:ascii="宋体" w:eastAsia="宋体" w:hAnsi="宋体"/>
          <w:lang w:eastAsia="zh-CN"/>
        </w:rPr>
        <w:t>目将</w:t>
      </w:r>
      <w:r>
        <w:rPr>
          <w:rFonts w:ascii="宋体" w:eastAsia="宋体" w:hAnsi="宋体"/>
          <w:lang w:eastAsia="zh-CN"/>
        </w:rPr>
        <w:t>“</w:t>
      </w:r>
      <w:r>
        <w:rPr>
          <w:rFonts w:ascii="宋体" w:eastAsia="宋体" w:hAnsi="宋体"/>
          <w:lang w:eastAsia="zh-CN"/>
        </w:rPr>
        <w:t>城市辖区</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行政辖区</w:t>
      </w:r>
      <w:r>
        <w:rPr>
          <w:rFonts w:ascii="宋体" w:eastAsia="宋体" w:hAnsi="宋体"/>
          <w:lang w:eastAsia="zh-CN"/>
        </w:rPr>
        <w:t>”</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lang w:eastAsia="zh-CN"/>
        </w:rPr>
        <w:t>第二项第</w:t>
      </w:r>
      <w:r>
        <w:rPr>
          <w:rFonts w:ascii="宋体" w:eastAsia="宋体" w:hAnsi="宋体"/>
          <w:lang w:eastAsia="zh-CN"/>
        </w:rPr>
        <w:t>3</w:t>
      </w:r>
      <w:r>
        <w:rPr>
          <w:rFonts w:ascii="宋体" w:eastAsia="宋体" w:hAnsi="宋体"/>
          <w:lang w:eastAsia="zh-CN"/>
        </w:rPr>
        <w:t>目删除</w:t>
      </w:r>
      <w:r>
        <w:rPr>
          <w:rFonts w:ascii="宋体" w:eastAsia="宋体" w:hAnsi="宋体"/>
          <w:lang w:eastAsia="zh-CN"/>
        </w:rPr>
        <w:t>“</w:t>
      </w:r>
      <w:r>
        <w:rPr>
          <w:rFonts w:ascii="宋体" w:eastAsia="宋体" w:hAnsi="宋体"/>
          <w:lang w:eastAsia="zh-CN"/>
        </w:rPr>
        <w:t>火车站</w:t>
      </w:r>
      <w:r>
        <w:rPr>
          <w:rFonts w:ascii="宋体" w:eastAsia="宋体" w:hAnsi="宋体"/>
          <w:lang w:eastAsia="zh-CN"/>
        </w:rPr>
        <w:t>”</w:t>
      </w:r>
      <w:r>
        <w:rPr>
          <w:rFonts w:ascii="宋体" w:eastAsia="宋体" w:hAnsi="宋体"/>
          <w:lang w:eastAsia="zh-CN"/>
        </w:rPr>
        <w:t>；新增第</w:t>
      </w:r>
      <w:r>
        <w:rPr>
          <w:rFonts w:ascii="宋体" w:eastAsia="宋体" w:hAnsi="宋体"/>
          <w:lang w:eastAsia="zh-CN"/>
        </w:rPr>
        <w:t>4</w:t>
      </w:r>
      <w:r>
        <w:rPr>
          <w:rFonts w:ascii="宋体" w:eastAsia="宋体" w:hAnsi="宋体"/>
          <w:lang w:eastAsia="zh-CN"/>
        </w:rPr>
        <w:t>目</w:t>
      </w:r>
      <w:r>
        <w:rPr>
          <w:rFonts w:ascii="宋体" w:eastAsia="宋体" w:hAnsi="宋体"/>
          <w:lang w:eastAsia="zh-CN"/>
        </w:rPr>
        <w:t>“</w:t>
      </w:r>
      <w:r>
        <w:rPr>
          <w:rFonts w:ascii="宋体" w:eastAsia="宋体" w:hAnsi="宋体"/>
          <w:lang w:eastAsia="zh-CN"/>
        </w:rPr>
        <w:t>清河站内零售点设置总数不超过</w:t>
      </w:r>
      <w:r>
        <w:rPr>
          <w:rFonts w:ascii="宋体" w:eastAsia="宋体" w:hAnsi="宋体"/>
          <w:lang w:eastAsia="zh-CN"/>
        </w:rPr>
        <w:t>5</w:t>
      </w:r>
      <w:r>
        <w:rPr>
          <w:rFonts w:ascii="宋体" w:eastAsia="宋体" w:hAnsi="宋体"/>
          <w:lang w:eastAsia="zh-CN"/>
        </w:rPr>
        <w:t>个</w:t>
      </w:r>
      <w:r>
        <w:rPr>
          <w:rFonts w:ascii="宋体" w:eastAsia="宋体" w:hAnsi="宋体"/>
          <w:lang w:eastAsia="zh-CN"/>
        </w:rPr>
        <w:t>”</w:t>
      </w:r>
      <w:r>
        <w:rPr>
          <w:rFonts w:ascii="宋体" w:eastAsia="宋体" w:hAnsi="宋体"/>
          <w:lang w:eastAsia="zh-CN"/>
        </w:rPr>
        <w:t>；原第</w:t>
      </w:r>
      <w:r>
        <w:rPr>
          <w:rFonts w:ascii="宋体" w:eastAsia="宋体" w:hAnsi="宋体"/>
          <w:lang w:eastAsia="zh-CN"/>
        </w:rPr>
        <w:t>4</w:t>
      </w:r>
      <w:r>
        <w:rPr>
          <w:rFonts w:ascii="宋体" w:eastAsia="宋体" w:hAnsi="宋体"/>
          <w:lang w:eastAsia="zh-CN"/>
        </w:rPr>
        <w:t>目地铁站点规定调整为第</w:t>
      </w:r>
      <w:r>
        <w:rPr>
          <w:rFonts w:ascii="宋体" w:eastAsia="宋体" w:hAnsi="宋体"/>
          <w:lang w:eastAsia="zh-CN"/>
        </w:rPr>
        <w:t>5</w:t>
      </w:r>
      <w:r>
        <w:rPr>
          <w:rFonts w:ascii="宋体" w:eastAsia="宋体" w:hAnsi="宋体"/>
          <w:lang w:eastAsia="zh-CN"/>
        </w:rPr>
        <w:t>目。</w:t>
      </w:r>
    </w:p>
    <w:p w:rsidR="000C79AD" w:rsidRDefault="00074EF1">
      <w:pPr>
        <w:ind w:firstLine="560"/>
        <w:rPr>
          <w:rFonts w:ascii="宋体" w:eastAsia="宋体" w:hAnsi="宋体"/>
          <w:lang w:eastAsia="zh-CN"/>
        </w:rPr>
      </w:pPr>
      <w:r>
        <w:rPr>
          <w:rFonts w:ascii="宋体" w:eastAsia="宋体" w:hAnsi="宋体"/>
          <w:lang w:eastAsia="zh-CN"/>
        </w:rPr>
        <w:t>新增第二项第</w:t>
      </w:r>
      <w:r>
        <w:rPr>
          <w:rFonts w:ascii="宋体" w:eastAsia="宋体" w:hAnsi="宋体"/>
          <w:lang w:eastAsia="zh-CN"/>
        </w:rPr>
        <w:t>6</w:t>
      </w:r>
      <w:r>
        <w:rPr>
          <w:rFonts w:ascii="宋体" w:eastAsia="宋体" w:hAnsi="宋体"/>
          <w:lang w:eastAsia="zh-CN"/>
        </w:rPr>
        <w:t>目</w:t>
      </w:r>
      <w:r>
        <w:rPr>
          <w:rFonts w:ascii="宋体" w:eastAsia="宋体" w:hAnsi="宋体"/>
          <w:lang w:eastAsia="zh-CN"/>
        </w:rPr>
        <w:t>“</w:t>
      </w:r>
      <w:r>
        <w:rPr>
          <w:rFonts w:ascii="宋体" w:eastAsia="宋体" w:hAnsi="宋体"/>
          <w:lang w:eastAsia="zh-CN"/>
        </w:rPr>
        <w:t>建筑工地生活区内零售点设置总数不超过</w:t>
      </w:r>
      <w:r>
        <w:rPr>
          <w:rFonts w:ascii="宋体" w:eastAsia="宋体" w:hAnsi="宋体"/>
          <w:lang w:eastAsia="zh-CN"/>
        </w:rPr>
        <w:t>3</w:t>
      </w:r>
      <w:r>
        <w:rPr>
          <w:rFonts w:ascii="宋体" w:eastAsia="宋体" w:hAnsi="宋体"/>
          <w:lang w:eastAsia="zh-CN"/>
        </w:rPr>
        <w:t>个</w:t>
      </w:r>
      <w:r>
        <w:rPr>
          <w:rFonts w:ascii="宋体" w:eastAsia="宋体" w:hAnsi="宋体"/>
          <w:lang w:eastAsia="zh-CN"/>
        </w:rPr>
        <w:t>”</w:t>
      </w:r>
      <w:r>
        <w:rPr>
          <w:rFonts w:ascii="宋体" w:eastAsia="宋体" w:hAnsi="宋体"/>
          <w:lang w:eastAsia="zh-CN"/>
        </w:rPr>
        <w:t>；新增第</w:t>
      </w:r>
      <w:r>
        <w:rPr>
          <w:rFonts w:ascii="宋体" w:eastAsia="宋体" w:hAnsi="宋体"/>
          <w:lang w:eastAsia="zh-CN"/>
        </w:rPr>
        <w:t>7</w:t>
      </w:r>
      <w:r>
        <w:rPr>
          <w:rFonts w:ascii="宋体" w:eastAsia="宋体" w:hAnsi="宋体"/>
          <w:lang w:eastAsia="zh-CN"/>
        </w:rPr>
        <w:t>目</w:t>
      </w:r>
      <w:r>
        <w:rPr>
          <w:rFonts w:ascii="宋体" w:eastAsia="宋体" w:hAnsi="宋体"/>
          <w:lang w:eastAsia="zh-CN"/>
        </w:rPr>
        <w:t>“</w:t>
      </w:r>
      <w:r>
        <w:rPr>
          <w:rFonts w:ascii="宋体" w:eastAsia="宋体" w:hAnsi="宋体"/>
          <w:lang w:eastAsia="zh-CN"/>
        </w:rPr>
        <w:t>军事管理区的生活区内零售点设置总数不超过</w:t>
      </w:r>
      <w:r>
        <w:rPr>
          <w:rFonts w:ascii="宋体" w:eastAsia="宋体" w:hAnsi="宋体"/>
          <w:lang w:eastAsia="zh-CN"/>
        </w:rPr>
        <w:t>2</w:t>
      </w:r>
      <w:r>
        <w:rPr>
          <w:rFonts w:ascii="宋体" w:eastAsia="宋体" w:hAnsi="宋体"/>
          <w:lang w:eastAsia="zh-CN"/>
        </w:rPr>
        <w:t>个</w:t>
      </w:r>
      <w:r>
        <w:rPr>
          <w:rFonts w:ascii="宋体" w:eastAsia="宋体" w:hAnsi="宋体"/>
          <w:lang w:eastAsia="zh-CN"/>
        </w:rPr>
        <w:t>”</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8.</w:t>
      </w:r>
      <w:r>
        <w:rPr>
          <w:rFonts w:ascii="宋体" w:eastAsia="宋体" w:hAnsi="宋体"/>
          <w:b/>
          <w:lang w:eastAsia="zh-CN"/>
        </w:rPr>
        <w:t>新增第十条：</w:t>
      </w:r>
    </w:p>
    <w:p w:rsidR="000C79AD" w:rsidRDefault="00074EF1">
      <w:pPr>
        <w:ind w:firstLine="560"/>
        <w:rPr>
          <w:rFonts w:ascii="宋体" w:eastAsia="宋体" w:hAnsi="宋体"/>
          <w:lang w:eastAsia="zh-CN"/>
        </w:rPr>
      </w:pPr>
      <w:r>
        <w:rPr>
          <w:rFonts w:ascii="宋体" w:eastAsia="宋体" w:hAnsi="宋体"/>
          <w:lang w:eastAsia="zh-CN"/>
        </w:rPr>
        <w:t>新增</w:t>
      </w:r>
      <w:r>
        <w:rPr>
          <w:rFonts w:ascii="宋体" w:eastAsia="宋体" w:hAnsi="宋体"/>
          <w:lang w:eastAsia="zh-CN"/>
        </w:rPr>
        <w:t>“</w:t>
      </w:r>
      <w:r>
        <w:rPr>
          <w:rFonts w:ascii="宋体" w:eastAsia="宋体" w:hAnsi="宋体"/>
          <w:lang w:eastAsia="zh-CN"/>
        </w:rPr>
        <w:t>对于持证人停止经营</w:t>
      </w:r>
      <w:r>
        <w:rPr>
          <w:rFonts w:ascii="宋体" w:eastAsia="宋体" w:hAnsi="宋体"/>
          <w:lang w:eastAsia="zh-CN"/>
        </w:rPr>
        <w:t>6</w:t>
      </w:r>
      <w:r>
        <w:rPr>
          <w:rFonts w:ascii="宋体" w:eastAsia="宋体" w:hAnsi="宋体"/>
          <w:lang w:eastAsia="zh-CN"/>
        </w:rPr>
        <w:t>个月以上不办理停业手续的、持证人停业期满未申请恢复营业</w:t>
      </w:r>
      <w:r>
        <w:rPr>
          <w:rFonts w:ascii="宋体" w:eastAsia="宋体" w:hAnsi="宋体"/>
          <w:lang w:eastAsia="zh-CN"/>
        </w:rPr>
        <w:t>6</w:t>
      </w:r>
      <w:r>
        <w:rPr>
          <w:rFonts w:ascii="宋体" w:eastAsia="宋体" w:hAnsi="宋体"/>
          <w:lang w:eastAsia="zh-CN"/>
        </w:rPr>
        <w:t>个月以上的、持证人在领取</w:t>
      </w:r>
      <w:r>
        <w:rPr>
          <w:rFonts w:ascii="宋体" w:eastAsia="宋体" w:hAnsi="宋体"/>
          <w:lang w:eastAsia="zh-CN"/>
        </w:rPr>
        <w:t>烟草专卖许可证</w:t>
      </w:r>
      <w:r>
        <w:rPr>
          <w:rFonts w:ascii="宋体" w:eastAsia="宋体" w:hAnsi="宋体"/>
          <w:lang w:eastAsia="zh-CN"/>
        </w:rPr>
        <w:lastRenderedPageBreak/>
        <w:t>后满</w:t>
      </w:r>
      <w:r>
        <w:rPr>
          <w:rFonts w:ascii="宋体" w:eastAsia="宋体" w:hAnsi="宋体"/>
          <w:lang w:eastAsia="zh-CN"/>
        </w:rPr>
        <w:t>6</w:t>
      </w:r>
      <w:r>
        <w:rPr>
          <w:rFonts w:ascii="宋体" w:eastAsia="宋体" w:hAnsi="宋体"/>
          <w:lang w:eastAsia="zh-CN"/>
        </w:rPr>
        <w:t>个月尚未开展生产经营活动的零售点，不作为总量与间距测量参照物。</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lang w:eastAsia="zh-CN"/>
        </w:rPr>
        <w:t>原第十条及</w:t>
      </w:r>
      <w:proofErr w:type="gramStart"/>
      <w:r>
        <w:rPr>
          <w:rFonts w:ascii="宋体" w:eastAsia="宋体" w:hAnsi="宋体"/>
          <w:lang w:eastAsia="zh-CN"/>
        </w:rPr>
        <w:t>后续条号依次</w:t>
      </w:r>
      <w:proofErr w:type="gramEnd"/>
      <w:r>
        <w:rPr>
          <w:rFonts w:ascii="宋体" w:eastAsia="宋体" w:hAnsi="宋体"/>
          <w:lang w:eastAsia="zh-CN"/>
        </w:rPr>
        <w:t>顺延，条款总数由十七条调整为十八条。</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9.</w:t>
      </w:r>
      <w:r>
        <w:rPr>
          <w:rFonts w:ascii="宋体" w:eastAsia="宋体" w:hAnsi="宋体"/>
          <w:b/>
          <w:lang w:eastAsia="zh-CN"/>
        </w:rPr>
        <w:t>第十一条（原第十条）：</w:t>
      </w:r>
    </w:p>
    <w:p w:rsidR="000C79AD" w:rsidRDefault="00074EF1">
      <w:pPr>
        <w:ind w:firstLine="560"/>
        <w:rPr>
          <w:rFonts w:ascii="宋体" w:eastAsia="宋体" w:hAnsi="宋体"/>
          <w:lang w:eastAsia="zh-CN"/>
        </w:rPr>
      </w:pPr>
      <w:r>
        <w:rPr>
          <w:rFonts w:ascii="宋体" w:eastAsia="宋体" w:hAnsi="宋体"/>
          <w:lang w:eastAsia="zh-CN"/>
        </w:rPr>
        <w:t>第一项第</w:t>
      </w:r>
      <w:r>
        <w:rPr>
          <w:rFonts w:ascii="宋体" w:eastAsia="宋体" w:hAnsi="宋体"/>
          <w:lang w:eastAsia="zh-CN"/>
        </w:rPr>
        <w:t>2</w:t>
      </w:r>
      <w:r>
        <w:rPr>
          <w:rFonts w:ascii="宋体" w:eastAsia="宋体" w:hAnsi="宋体"/>
          <w:lang w:eastAsia="zh-CN"/>
        </w:rPr>
        <w:t>目将</w:t>
      </w:r>
      <w:r>
        <w:rPr>
          <w:rFonts w:ascii="宋体" w:eastAsia="宋体" w:hAnsi="宋体"/>
          <w:lang w:eastAsia="zh-CN"/>
        </w:rPr>
        <w:t>“</w:t>
      </w:r>
      <w:r>
        <w:rPr>
          <w:rFonts w:ascii="宋体" w:eastAsia="宋体" w:hAnsi="宋体"/>
          <w:lang w:eastAsia="zh-CN"/>
        </w:rPr>
        <w:t>新建学校、幼儿园、少年宫</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新建幼儿园、中小学校、少年宫</w:t>
      </w:r>
      <w:r>
        <w:rPr>
          <w:rFonts w:ascii="宋体" w:eastAsia="宋体" w:hAnsi="宋体"/>
          <w:lang w:eastAsia="zh-CN"/>
        </w:rPr>
        <w:t>”</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lang w:eastAsia="zh-CN"/>
        </w:rPr>
        <w:t>第二项第</w:t>
      </w:r>
      <w:r>
        <w:rPr>
          <w:rFonts w:ascii="宋体" w:eastAsia="宋体" w:hAnsi="宋体"/>
          <w:lang w:eastAsia="zh-CN"/>
        </w:rPr>
        <w:t>3</w:t>
      </w:r>
      <w:r>
        <w:rPr>
          <w:rFonts w:ascii="宋体" w:eastAsia="宋体" w:hAnsi="宋体"/>
          <w:lang w:eastAsia="zh-CN"/>
        </w:rPr>
        <w:t>目将</w:t>
      </w:r>
      <w:r>
        <w:rPr>
          <w:rFonts w:ascii="宋体" w:eastAsia="宋体" w:hAnsi="宋体"/>
          <w:lang w:eastAsia="zh-CN"/>
        </w:rPr>
        <w:t>“</w:t>
      </w:r>
      <w:r>
        <w:rPr>
          <w:rFonts w:ascii="宋体" w:eastAsia="宋体" w:hAnsi="宋体"/>
          <w:lang w:eastAsia="zh-CN"/>
        </w:rPr>
        <w:t>连锁门店总数达</w:t>
      </w:r>
      <w:r>
        <w:rPr>
          <w:rFonts w:ascii="宋体" w:eastAsia="宋体" w:hAnsi="宋体"/>
          <w:lang w:eastAsia="zh-CN"/>
        </w:rPr>
        <w:t>50</w:t>
      </w:r>
      <w:r>
        <w:rPr>
          <w:rFonts w:ascii="宋体" w:eastAsia="宋体" w:hAnsi="宋体"/>
          <w:lang w:eastAsia="zh-CN"/>
        </w:rPr>
        <w:t>家以上</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连锁门店总数达</w:t>
      </w:r>
      <w:r>
        <w:rPr>
          <w:rFonts w:ascii="宋体" w:eastAsia="宋体" w:hAnsi="宋体"/>
          <w:lang w:eastAsia="zh-CN"/>
        </w:rPr>
        <w:t>10</w:t>
      </w:r>
      <w:r>
        <w:rPr>
          <w:rFonts w:ascii="宋体" w:eastAsia="宋体" w:hAnsi="宋体"/>
          <w:lang w:eastAsia="zh-CN"/>
        </w:rPr>
        <w:t>家以上</w:t>
      </w:r>
      <w:r>
        <w:rPr>
          <w:rFonts w:ascii="宋体" w:eastAsia="宋体" w:hAnsi="宋体"/>
          <w:lang w:eastAsia="zh-CN"/>
        </w:rPr>
        <w:t>”</w:t>
      </w:r>
      <w:r>
        <w:rPr>
          <w:rFonts w:ascii="宋体" w:eastAsia="宋体" w:hAnsi="宋体"/>
          <w:lang w:eastAsia="zh-CN"/>
        </w:rPr>
        <w:t>；将</w:t>
      </w:r>
      <w:r>
        <w:rPr>
          <w:rFonts w:ascii="宋体" w:eastAsia="宋体" w:hAnsi="宋体"/>
          <w:lang w:eastAsia="zh-CN"/>
        </w:rPr>
        <w:t>“</w:t>
      </w:r>
      <w:r>
        <w:rPr>
          <w:rFonts w:ascii="宋体" w:eastAsia="宋体" w:hAnsi="宋体"/>
          <w:lang w:eastAsia="zh-CN"/>
        </w:rPr>
        <w:t>经营面积</w:t>
      </w:r>
      <w:r>
        <w:rPr>
          <w:rFonts w:ascii="宋体" w:eastAsia="宋体" w:hAnsi="宋体"/>
          <w:lang w:eastAsia="zh-CN"/>
        </w:rPr>
        <w:t>1000</w:t>
      </w:r>
      <w:r>
        <w:rPr>
          <w:rFonts w:ascii="宋体" w:eastAsia="宋体" w:hAnsi="宋体"/>
          <w:lang w:eastAsia="zh-CN"/>
        </w:rPr>
        <w:t>平米以上的超市</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经营面积</w:t>
      </w:r>
      <w:r>
        <w:rPr>
          <w:rFonts w:ascii="宋体" w:eastAsia="宋体" w:hAnsi="宋体"/>
          <w:lang w:eastAsia="zh-CN"/>
        </w:rPr>
        <w:t>1000</w:t>
      </w:r>
      <w:r>
        <w:rPr>
          <w:rFonts w:ascii="宋体" w:eastAsia="宋体" w:hAnsi="宋体"/>
          <w:lang w:eastAsia="zh-CN"/>
        </w:rPr>
        <w:t>平方米以上的综合性超市</w:t>
      </w:r>
      <w:r>
        <w:rPr>
          <w:rFonts w:ascii="宋体" w:eastAsia="宋体" w:hAnsi="宋体"/>
          <w:lang w:eastAsia="zh-CN"/>
        </w:rPr>
        <w:t>”</w:t>
      </w:r>
      <w:r>
        <w:rPr>
          <w:rFonts w:ascii="宋体" w:eastAsia="宋体" w:hAnsi="宋体"/>
          <w:lang w:eastAsia="zh-CN"/>
        </w:rPr>
        <w:t>；删除</w:t>
      </w:r>
      <w:r>
        <w:rPr>
          <w:rFonts w:ascii="宋体" w:eastAsia="宋体" w:hAnsi="宋体"/>
          <w:lang w:eastAsia="zh-CN"/>
        </w:rPr>
        <w:t>“</w:t>
      </w:r>
      <w:r>
        <w:rPr>
          <w:rFonts w:ascii="宋体" w:eastAsia="宋体" w:hAnsi="宋体"/>
          <w:lang w:eastAsia="zh-CN"/>
        </w:rPr>
        <w:t>（加盟店除外）</w:t>
      </w:r>
      <w:r>
        <w:rPr>
          <w:rFonts w:ascii="宋体" w:eastAsia="宋体" w:hAnsi="宋体"/>
          <w:lang w:eastAsia="zh-CN"/>
        </w:rPr>
        <w:t>”</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lang w:eastAsia="zh-CN"/>
        </w:rPr>
        <w:t>新增第二项第</w:t>
      </w:r>
      <w:r>
        <w:rPr>
          <w:rFonts w:ascii="宋体" w:eastAsia="宋体" w:hAnsi="宋体"/>
          <w:lang w:eastAsia="zh-CN"/>
        </w:rPr>
        <w:t>4</w:t>
      </w:r>
      <w:r>
        <w:rPr>
          <w:rFonts w:ascii="宋体" w:eastAsia="宋体" w:hAnsi="宋体"/>
          <w:lang w:eastAsia="zh-CN"/>
        </w:rPr>
        <w:t>目</w:t>
      </w:r>
      <w:r>
        <w:rPr>
          <w:rFonts w:ascii="宋体" w:eastAsia="宋体" w:hAnsi="宋体"/>
          <w:lang w:eastAsia="zh-CN"/>
        </w:rPr>
        <w:t>“</w:t>
      </w:r>
      <w:r>
        <w:rPr>
          <w:rFonts w:ascii="宋体" w:eastAsia="宋体" w:hAnsi="宋体"/>
          <w:lang w:eastAsia="zh-CN"/>
        </w:rPr>
        <w:t>列入商务部公布的中华老字号名录的企业和依法向北京市商务局备案的北京老字号企业，在本区申请设置零售点的</w:t>
      </w:r>
      <w:r>
        <w:rPr>
          <w:rFonts w:ascii="宋体" w:eastAsia="宋体" w:hAnsi="宋体"/>
          <w:lang w:eastAsia="zh-CN"/>
        </w:rPr>
        <w:t>”</w:t>
      </w:r>
      <w:r>
        <w:rPr>
          <w:rFonts w:ascii="宋体" w:eastAsia="宋体" w:hAnsi="宋体"/>
          <w:lang w:eastAsia="zh-CN"/>
        </w:rPr>
        <w:t>；原第</w:t>
      </w:r>
      <w:r>
        <w:rPr>
          <w:rFonts w:ascii="宋体" w:eastAsia="宋体" w:hAnsi="宋体"/>
          <w:lang w:eastAsia="zh-CN"/>
        </w:rPr>
        <w:t>4</w:t>
      </w:r>
      <w:r>
        <w:rPr>
          <w:rFonts w:ascii="宋体" w:eastAsia="宋体" w:hAnsi="宋体"/>
          <w:lang w:eastAsia="zh-CN"/>
        </w:rPr>
        <w:t>目</w:t>
      </w:r>
      <w:r>
        <w:rPr>
          <w:rFonts w:ascii="宋体" w:eastAsia="宋体" w:hAnsi="宋体"/>
          <w:lang w:eastAsia="zh-CN"/>
        </w:rPr>
        <w:t>“</w:t>
      </w:r>
      <w:r>
        <w:rPr>
          <w:rFonts w:ascii="宋体" w:eastAsia="宋体" w:hAnsi="宋体"/>
          <w:lang w:eastAsia="zh-CN"/>
        </w:rPr>
        <w:t>其他有政策扶持需要的情形</w:t>
      </w:r>
      <w:r>
        <w:rPr>
          <w:rFonts w:ascii="宋体" w:eastAsia="宋体" w:hAnsi="宋体"/>
          <w:lang w:eastAsia="zh-CN"/>
        </w:rPr>
        <w:t>”</w:t>
      </w:r>
      <w:r>
        <w:rPr>
          <w:rFonts w:ascii="宋体" w:eastAsia="宋体" w:hAnsi="宋体"/>
          <w:lang w:eastAsia="zh-CN"/>
        </w:rPr>
        <w:t>调整为第</w:t>
      </w:r>
      <w:r>
        <w:rPr>
          <w:rFonts w:ascii="宋体" w:eastAsia="宋体" w:hAnsi="宋体"/>
          <w:lang w:eastAsia="zh-CN"/>
        </w:rPr>
        <w:t>5</w:t>
      </w:r>
      <w:r>
        <w:rPr>
          <w:rFonts w:ascii="宋体" w:eastAsia="宋体" w:hAnsi="宋体"/>
          <w:lang w:eastAsia="zh-CN"/>
        </w:rPr>
        <w:t>目。</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10.</w:t>
      </w:r>
      <w:r>
        <w:rPr>
          <w:rFonts w:ascii="宋体" w:eastAsia="宋体" w:hAnsi="宋体"/>
          <w:b/>
          <w:lang w:eastAsia="zh-CN"/>
        </w:rPr>
        <w:t>第十二条（原第十一条）：</w:t>
      </w:r>
    </w:p>
    <w:p w:rsidR="000C79AD" w:rsidRDefault="00074EF1">
      <w:pPr>
        <w:ind w:firstLine="560"/>
        <w:rPr>
          <w:rFonts w:ascii="宋体" w:eastAsia="宋体" w:hAnsi="宋体"/>
          <w:lang w:eastAsia="zh-CN"/>
        </w:rPr>
      </w:pPr>
      <w:r>
        <w:rPr>
          <w:rFonts w:ascii="宋体" w:eastAsia="宋体" w:hAnsi="宋体"/>
          <w:lang w:eastAsia="zh-CN"/>
        </w:rPr>
        <w:t>第一款将</w:t>
      </w:r>
      <w:r>
        <w:rPr>
          <w:rFonts w:ascii="宋体" w:eastAsia="宋体" w:hAnsi="宋体"/>
          <w:lang w:eastAsia="zh-CN"/>
        </w:rPr>
        <w:t>“</w:t>
      </w:r>
      <w:r>
        <w:rPr>
          <w:rFonts w:ascii="宋体" w:eastAsia="宋体" w:hAnsi="宋体"/>
          <w:lang w:eastAsia="zh-CN"/>
        </w:rPr>
        <w:t>砖墙或钢筋混凝土墙</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隔断材料</w:t>
      </w:r>
      <w:r>
        <w:rPr>
          <w:rFonts w:ascii="宋体" w:eastAsia="宋体" w:hAnsi="宋体"/>
          <w:lang w:eastAsia="zh-CN"/>
        </w:rPr>
        <w:t>”</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11.</w:t>
      </w:r>
      <w:r>
        <w:rPr>
          <w:rFonts w:ascii="宋体" w:eastAsia="宋体" w:hAnsi="宋体"/>
          <w:b/>
          <w:lang w:eastAsia="zh-CN"/>
        </w:rPr>
        <w:t>第十三条（原第十二条）：</w:t>
      </w:r>
    </w:p>
    <w:p w:rsidR="000C79AD" w:rsidRDefault="00074EF1">
      <w:pPr>
        <w:ind w:firstLine="560"/>
        <w:rPr>
          <w:rFonts w:ascii="宋体" w:eastAsia="宋体" w:hAnsi="宋体"/>
          <w:lang w:eastAsia="zh-CN"/>
        </w:rPr>
      </w:pPr>
      <w:r>
        <w:rPr>
          <w:rFonts w:ascii="宋体" w:eastAsia="宋体" w:hAnsi="宋体"/>
          <w:lang w:eastAsia="zh-CN"/>
        </w:rPr>
        <w:t>删除原条文中关于</w:t>
      </w:r>
      <w:r>
        <w:rPr>
          <w:rFonts w:ascii="宋体" w:eastAsia="宋体" w:hAnsi="宋体"/>
          <w:lang w:eastAsia="zh-CN"/>
        </w:rPr>
        <w:t>“</w:t>
      </w:r>
      <w:r>
        <w:rPr>
          <w:rFonts w:ascii="宋体" w:eastAsia="宋体" w:hAnsi="宋体"/>
          <w:lang w:eastAsia="zh-CN"/>
        </w:rPr>
        <w:t>固定经营场所</w:t>
      </w:r>
      <w:r>
        <w:rPr>
          <w:rFonts w:ascii="宋体" w:eastAsia="宋体" w:hAnsi="宋体"/>
          <w:lang w:eastAsia="zh-CN"/>
        </w:rPr>
        <w:t>”</w:t>
      </w:r>
      <w:r>
        <w:rPr>
          <w:rFonts w:ascii="宋体" w:eastAsia="宋体" w:hAnsi="宋体"/>
          <w:lang w:eastAsia="zh-CN"/>
        </w:rPr>
        <w:t>的解释。</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12.</w:t>
      </w:r>
      <w:r>
        <w:rPr>
          <w:rFonts w:ascii="宋体" w:eastAsia="宋体" w:hAnsi="宋体"/>
          <w:b/>
          <w:lang w:eastAsia="zh-CN"/>
        </w:rPr>
        <w:t>第十四条（原第十三条）：</w:t>
      </w:r>
    </w:p>
    <w:p w:rsidR="000C79AD" w:rsidRDefault="00074EF1">
      <w:pPr>
        <w:ind w:firstLine="560"/>
        <w:rPr>
          <w:rFonts w:ascii="宋体" w:eastAsia="宋体" w:hAnsi="宋体"/>
          <w:lang w:eastAsia="zh-CN"/>
        </w:rPr>
      </w:pPr>
      <w:r>
        <w:rPr>
          <w:rFonts w:ascii="宋体" w:eastAsia="宋体" w:hAnsi="宋体"/>
          <w:lang w:eastAsia="zh-CN"/>
        </w:rPr>
        <w:t>删除</w:t>
      </w:r>
      <w:r>
        <w:rPr>
          <w:rFonts w:ascii="宋体" w:eastAsia="宋体" w:hAnsi="宋体"/>
          <w:lang w:eastAsia="zh-CN"/>
        </w:rPr>
        <w:t>“</w:t>
      </w:r>
      <w:r>
        <w:rPr>
          <w:rFonts w:ascii="宋体" w:eastAsia="宋体" w:hAnsi="宋体"/>
          <w:lang w:eastAsia="zh-CN"/>
        </w:rPr>
        <w:t>本规定中的</w:t>
      </w:r>
      <w:r>
        <w:rPr>
          <w:rFonts w:ascii="宋体" w:eastAsia="宋体" w:hAnsi="宋体"/>
          <w:lang w:eastAsia="zh-CN"/>
        </w:rPr>
        <w:t>‘</w:t>
      </w:r>
      <w:r>
        <w:rPr>
          <w:rFonts w:ascii="宋体" w:eastAsia="宋体" w:hAnsi="宋体"/>
          <w:lang w:eastAsia="zh-CN"/>
        </w:rPr>
        <w:t>学校</w:t>
      </w:r>
      <w:r>
        <w:rPr>
          <w:rFonts w:ascii="宋体" w:eastAsia="宋体" w:hAnsi="宋体"/>
          <w:lang w:eastAsia="zh-CN"/>
        </w:rPr>
        <w:t>’</w:t>
      </w:r>
      <w:r>
        <w:rPr>
          <w:rFonts w:ascii="宋体" w:eastAsia="宋体" w:hAnsi="宋体"/>
          <w:lang w:eastAsia="zh-CN"/>
        </w:rPr>
        <w:t>是指普通中小学、特殊教育学校、中等职业学校、专门学校</w:t>
      </w:r>
      <w:r>
        <w:rPr>
          <w:rFonts w:ascii="宋体" w:eastAsia="宋体" w:hAnsi="宋体"/>
          <w:lang w:eastAsia="zh-CN"/>
        </w:rPr>
        <w:t>”</w:t>
      </w:r>
      <w:r>
        <w:rPr>
          <w:rFonts w:ascii="宋体" w:eastAsia="宋体" w:hAnsi="宋体"/>
          <w:lang w:eastAsia="zh-CN"/>
        </w:rPr>
        <w:t>的定义表述；保留</w:t>
      </w:r>
      <w:r>
        <w:rPr>
          <w:rFonts w:ascii="宋体" w:eastAsia="宋体" w:hAnsi="宋体"/>
          <w:lang w:eastAsia="zh-CN"/>
        </w:rPr>
        <w:t>“</w:t>
      </w:r>
      <w:r>
        <w:rPr>
          <w:rFonts w:ascii="宋体" w:eastAsia="宋体" w:hAnsi="宋体"/>
          <w:lang w:eastAsia="zh-CN"/>
        </w:rPr>
        <w:t>幼儿园</w:t>
      </w:r>
      <w:r>
        <w:rPr>
          <w:rFonts w:ascii="宋体" w:eastAsia="宋体" w:hAnsi="宋体"/>
          <w:lang w:eastAsia="zh-CN"/>
        </w:rPr>
        <w:t>”</w:t>
      </w:r>
      <w:r>
        <w:rPr>
          <w:rFonts w:ascii="宋体" w:eastAsia="宋体" w:hAnsi="宋体"/>
          <w:lang w:eastAsia="zh-CN"/>
        </w:rPr>
        <w:t>的定义。</w:t>
      </w:r>
    </w:p>
    <w:p w:rsidR="000C79AD" w:rsidRDefault="00074EF1">
      <w:pPr>
        <w:ind w:firstLine="560"/>
        <w:rPr>
          <w:rFonts w:ascii="宋体" w:eastAsia="宋体" w:hAnsi="宋体"/>
          <w:lang w:eastAsia="zh-CN"/>
        </w:rPr>
      </w:pPr>
      <w:r>
        <w:rPr>
          <w:rFonts w:ascii="宋体" w:eastAsia="宋体" w:hAnsi="宋体"/>
          <w:lang w:eastAsia="zh-CN"/>
        </w:rPr>
        <w:t>增加</w:t>
      </w:r>
      <w:r>
        <w:rPr>
          <w:rFonts w:ascii="宋体" w:eastAsia="宋体" w:hAnsi="宋体"/>
          <w:lang w:eastAsia="zh-CN"/>
        </w:rPr>
        <w:t>“</w:t>
      </w:r>
      <w:r>
        <w:rPr>
          <w:rFonts w:ascii="宋体" w:eastAsia="宋体" w:hAnsi="宋体"/>
          <w:lang w:eastAsia="zh-CN"/>
        </w:rPr>
        <w:t>幼儿园、中小学校、少年宫的认</w:t>
      </w:r>
      <w:r>
        <w:rPr>
          <w:rFonts w:ascii="宋体" w:eastAsia="宋体" w:hAnsi="宋体"/>
          <w:lang w:eastAsia="zh-CN"/>
        </w:rPr>
        <w:t>定以北京市海淀区教育主管部门的批准或备案为准。</w:t>
      </w:r>
      <w:r>
        <w:rPr>
          <w:rFonts w:ascii="宋体" w:eastAsia="宋体" w:hAnsi="宋体"/>
          <w:lang w:eastAsia="zh-CN"/>
        </w:rPr>
        <w:t>”</w:t>
      </w:r>
    </w:p>
    <w:p w:rsidR="000C79AD" w:rsidRDefault="00074EF1" w:rsidP="00B17883">
      <w:pPr>
        <w:ind w:firstLineChars="200" w:firstLine="562"/>
        <w:rPr>
          <w:rFonts w:ascii="宋体" w:eastAsia="宋体" w:hAnsi="宋体"/>
          <w:lang w:eastAsia="zh-CN"/>
        </w:rPr>
      </w:pPr>
      <w:r>
        <w:rPr>
          <w:rFonts w:ascii="宋体" w:eastAsia="宋体" w:hAnsi="宋体"/>
          <w:b/>
          <w:lang w:eastAsia="zh-CN"/>
        </w:rPr>
        <w:t>13.</w:t>
      </w:r>
      <w:r>
        <w:rPr>
          <w:rFonts w:ascii="宋体" w:eastAsia="宋体" w:hAnsi="宋体"/>
          <w:b/>
          <w:lang w:eastAsia="zh-CN"/>
        </w:rPr>
        <w:t>第十五条（原第十四条）：</w:t>
      </w:r>
    </w:p>
    <w:p w:rsidR="000C79AD" w:rsidRDefault="00074EF1">
      <w:pPr>
        <w:ind w:firstLine="560"/>
        <w:rPr>
          <w:rFonts w:ascii="宋体" w:eastAsia="宋体" w:hAnsi="宋体"/>
          <w:lang w:eastAsia="zh-CN"/>
        </w:rPr>
      </w:pPr>
      <w:r>
        <w:rPr>
          <w:rFonts w:ascii="宋体" w:eastAsia="宋体" w:hAnsi="宋体"/>
          <w:lang w:eastAsia="zh-CN"/>
        </w:rPr>
        <w:t>条文引导语及第二项将</w:t>
      </w:r>
      <w:r>
        <w:rPr>
          <w:rFonts w:ascii="宋体" w:eastAsia="宋体" w:hAnsi="宋体"/>
          <w:lang w:eastAsia="zh-CN"/>
        </w:rPr>
        <w:t>“</w:t>
      </w:r>
      <w:r>
        <w:rPr>
          <w:rFonts w:ascii="宋体" w:eastAsia="宋体" w:hAnsi="宋体"/>
          <w:lang w:eastAsia="zh-CN"/>
        </w:rPr>
        <w:t>学校、幼儿园、少年宫</w:t>
      </w:r>
      <w:r>
        <w:rPr>
          <w:rFonts w:ascii="宋体" w:eastAsia="宋体" w:hAnsi="宋体"/>
          <w:lang w:eastAsia="zh-CN"/>
        </w:rPr>
        <w:t>”</w:t>
      </w:r>
      <w:r>
        <w:rPr>
          <w:rFonts w:ascii="宋体" w:eastAsia="宋体" w:hAnsi="宋体"/>
          <w:lang w:eastAsia="zh-CN"/>
        </w:rPr>
        <w:t>修改为</w:t>
      </w:r>
      <w:r>
        <w:rPr>
          <w:rFonts w:ascii="宋体" w:eastAsia="宋体" w:hAnsi="宋体"/>
          <w:lang w:eastAsia="zh-CN"/>
        </w:rPr>
        <w:t>“</w:t>
      </w:r>
      <w:r>
        <w:rPr>
          <w:rFonts w:ascii="宋体" w:eastAsia="宋体" w:hAnsi="宋体"/>
          <w:lang w:eastAsia="zh-CN"/>
        </w:rPr>
        <w:t>幼儿园、中小学校、少年宫</w:t>
      </w:r>
      <w:r>
        <w:rPr>
          <w:rFonts w:ascii="宋体" w:eastAsia="宋体" w:hAnsi="宋体"/>
          <w:lang w:eastAsia="zh-CN"/>
        </w:rPr>
        <w:t>”</w:t>
      </w:r>
      <w:r>
        <w:rPr>
          <w:rFonts w:ascii="宋体" w:eastAsia="宋体" w:hAnsi="宋体"/>
          <w:lang w:eastAsia="zh-CN"/>
        </w:rPr>
        <w:t>。</w:t>
      </w:r>
    </w:p>
    <w:p w:rsidR="000C79AD" w:rsidRDefault="00074EF1">
      <w:pPr>
        <w:ind w:firstLine="560"/>
        <w:rPr>
          <w:rFonts w:ascii="宋体" w:eastAsia="宋体" w:hAnsi="宋体"/>
          <w:lang w:eastAsia="zh-CN"/>
        </w:rPr>
      </w:pPr>
      <w:r>
        <w:rPr>
          <w:rFonts w:ascii="宋体" w:eastAsia="宋体" w:hAnsi="宋体" w:hint="eastAsia"/>
          <w:lang w:eastAsia="zh-CN"/>
        </w:rPr>
        <w:t>特此说明。</w:t>
      </w:r>
    </w:p>
    <w:sectPr w:rsidR="000C79AD">
      <w:footerReference w:type="default" r:id="rId8"/>
      <w:pgSz w:w="11906" w:h="16838"/>
      <w:pgMar w:top="1417" w:right="1531" w:bottom="1417" w:left="153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EF1" w:rsidRDefault="00074EF1">
      <w:pPr>
        <w:spacing w:line="240" w:lineRule="auto"/>
      </w:pPr>
      <w:r>
        <w:separator/>
      </w:r>
    </w:p>
  </w:endnote>
  <w:endnote w:type="continuationSeparator" w:id="0">
    <w:p w:rsidR="00074EF1" w:rsidRDefault="00074E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oto Serif CJK SC">
    <w:altName w:val="Arial Unicode MS"/>
    <w:charset w:val="86"/>
    <w:family w:val="roman"/>
    <w:pitch w:val="default"/>
    <w:sig w:usb0="00000000" w:usb1="2BDF3C10" w:usb2="00000016" w:usb3="00000000" w:csb0="602E0107" w:csb1="00000000"/>
    <w:embedRegular r:id="rId1" w:subsetted="1" w:fontKey="{08A8188E-E851-42FA-863F-A763B48D6D1D}"/>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方正小标宋简体">
    <w:panose1 w:val="03000509000000000000"/>
    <w:charset w:val="86"/>
    <w:family w:val="script"/>
    <w:pitch w:val="fixed"/>
    <w:sig w:usb0="00000001" w:usb1="080E0000" w:usb2="00000010" w:usb3="00000000" w:csb0="00040000" w:csb1="00000000"/>
    <w:embedRegular r:id="rId2" w:subsetted="1" w:fontKey="{0CB97743-D732-4C79-B0A2-84F710790B9B}"/>
  </w:font>
  <w:font w:name="黑体">
    <w:altName w:val="SimHei"/>
    <w:panose1 w:val="02010609060101010101"/>
    <w:charset w:val="86"/>
    <w:family w:val="modern"/>
    <w:pitch w:val="fixed"/>
    <w:sig w:usb0="800002BF" w:usb1="38CF7CFA" w:usb2="00000016" w:usb3="00000000" w:csb0="00040001" w:csb1="00000000"/>
    <w:embedRegular r:id="rId3" w:subsetted="1" w:fontKey="{E1B8881A-C440-461B-9212-E329CDEAF2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9AD" w:rsidRDefault="00074EF1">
    <w:pPr>
      <w:pStyle w:val="a9"/>
      <w:jc w:val="center"/>
    </w:pPr>
    <w:r>
      <w:fldChar w:fldCharType="begin"/>
    </w:r>
    <w:r>
      <w:instrText>PAGE</w:instrText>
    </w:r>
    <w:r>
      <w:fldChar w:fldCharType="separate"/>
    </w:r>
    <w:r w:rsidR="00113D2E">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EF1" w:rsidRDefault="00074EF1">
      <w:pPr>
        <w:spacing w:after="0" w:line="240" w:lineRule="auto"/>
      </w:pPr>
      <w:r>
        <w:separator/>
      </w:r>
    </w:p>
  </w:footnote>
  <w:footnote w:type="continuationSeparator" w:id="0">
    <w:p w:rsidR="00074EF1" w:rsidRDefault="00074E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F7E73163"/>
    <w:rsid w:val="00034616"/>
    <w:rsid w:val="0006063C"/>
    <w:rsid w:val="00074EF1"/>
    <w:rsid w:val="000C79AD"/>
    <w:rsid w:val="000F797D"/>
    <w:rsid w:val="00113D2E"/>
    <w:rsid w:val="00131AEC"/>
    <w:rsid w:val="0015074B"/>
    <w:rsid w:val="002328DB"/>
    <w:rsid w:val="0029639D"/>
    <w:rsid w:val="00326F90"/>
    <w:rsid w:val="00453365"/>
    <w:rsid w:val="00482B6C"/>
    <w:rsid w:val="004976CD"/>
    <w:rsid w:val="004E3B2E"/>
    <w:rsid w:val="006435E5"/>
    <w:rsid w:val="00860895"/>
    <w:rsid w:val="009D2B60"/>
    <w:rsid w:val="00A969E7"/>
    <w:rsid w:val="00AA1D8D"/>
    <w:rsid w:val="00B17883"/>
    <w:rsid w:val="00B47730"/>
    <w:rsid w:val="00B513B2"/>
    <w:rsid w:val="00BA68FA"/>
    <w:rsid w:val="00C66233"/>
    <w:rsid w:val="00CB0664"/>
    <w:rsid w:val="00E8217A"/>
    <w:rsid w:val="00EC390F"/>
    <w:rsid w:val="00FC693F"/>
    <w:rsid w:val="0D904D75"/>
    <w:rsid w:val="28C52BC1"/>
    <w:rsid w:val="2A8B533B"/>
    <w:rsid w:val="2FDB26D6"/>
    <w:rsid w:val="2FF975F4"/>
    <w:rsid w:val="400C3A80"/>
    <w:rsid w:val="43B673B2"/>
    <w:rsid w:val="4CBE764F"/>
    <w:rsid w:val="74ED4988"/>
    <w:rsid w:val="792003EE"/>
    <w:rsid w:val="7C723FE2"/>
    <w:rsid w:val="7EDF7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semiHidden="1" w:uiPriority="39" w:qFormat="0"/>
    <w:lsdException w:name="toc 2" w:semiHidden="1" w:uiPriority="39" w:qFormat="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semiHidden="1" w:qFormat="0"/>
    <w:lsdException w:name="annotation text" w:semiHidden="1" w:qFormat="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semiHidden="1" w:qFormat="0"/>
    <w:lsdException w:name="annotation reference" w:semiHidden="1" w:qFormat="0"/>
    <w:lsdException w:name="line number" w:semiHidden="1" w:qFormat="0"/>
    <w:lsdException w:name="page number" w:semiHidden="1" w:qFormat="0"/>
    <w:lsdException w:name="endnote reference" w:semiHidden="1" w:qFormat="0"/>
    <w:lsdException w:name="endnote text" w:semiHidden="1" w:qFormat="0"/>
    <w:lsdException w:name="table of authorities" w:semiHidden="1" w:qFormat="0"/>
    <w:lsdException w:name="toa heading" w:semiHidden="1" w:qFormat="0"/>
    <w:lsdException w:name="List 4" w:semiHidden="1" w:qFormat="0"/>
    <w:lsdException w:name="List 5" w:semiHidden="1" w:qFormat="0"/>
    <w:lsdException w:name="List Bullet 4" w:semiHidden="1" w:qFormat="0"/>
    <w:lsdException w:name="List Bullet 5"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lsdException w:name="Body Text Indent"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Indent 2" w:semiHidden="1" w:qFormat="0"/>
    <w:lsdException w:name="Body Text Indent 3" w:semiHidden="1" w:qFormat="0"/>
    <w:lsdException w:name="Block Text" w:semiHidden="1" w:qFormat="0"/>
    <w:lsdException w:name="Hyperlink" w:semiHidden="1" w:qFormat="0"/>
    <w:lsdException w:name="FollowedHyperlink" w:semiHidden="1" w:qFormat="0"/>
    <w:lsdException w:name="Strong" w:uiPriority="22"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Normal (Web)" w:semiHidden="1" w:qFormat="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lsdException w:name="annotation subject" w:semiHidden="1" w:qFormat="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Balloon Text" w:semiHidden="1" w:qFormat="0"/>
    <w:lsdException w:name="Table Grid" w:uiPriority="59" w:unhideWhenUsed="0"/>
    <w:lsdException w:name="Table Theme" w:semiHidden="1" w:qFormat="0"/>
    <w:lsdException w:name="Placeholder Text" w:semiHidden="1" w:qFormat="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qFormat="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a1">
    <w:name w:val="Normal"/>
    <w:qFormat/>
    <w:pPr>
      <w:spacing w:after="120" w:line="480" w:lineRule="exact"/>
    </w:pPr>
    <w:rPr>
      <w:rFonts w:ascii="Noto Serif CJK SC" w:eastAsia="Noto Serif CJK SC" w:hAnsi="Noto Serif CJK SC" w:cstheme="minorBidi"/>
      <w:sz w:val="28"/>
      <w:szCs w:val="22"/>
      <w:lang w:eastAsia="en-US"/>
    </w:rPr>
  </w:style>
  <w:style w:type="paragraph" w:styleId="1">
    <w:name w:val="heading 1"/>
    <w:basedOn w:val="a1"/>
    <w:next w:val="a1"/>
    <w:link w:val="1Char"/>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2">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6">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3">
    <w:name w:val="Body Text 3"/>
    <w:basedOn w:val="a1"/>
    <w:link w:val="3Char0"/>
    <w:uiPriority w:val="99"/>
    <w:unhideWhenUsed/>
    <w:qFormat/>
    <w:rPr>
      <w:sz w:val="16"/>
      <w:szCs w:val="16"/>
    </w:rPr>
  </w:style>
  <w:style w:type="paragraph" w:styleId="30">
    <w:name w:val="List Bullet 3"/>
    <w:basedOn w:val="a1"/>
    <w:uiPriority w:val="99"/>
    <w:unhideWhenUsed/>
    <w:qFormat/>
    <w:pPr>
      <w:numPr>
        <w:numId w:val="4"/>
      </w:numPr>
      <w:contextualSpacing/>
    </w:pPr>
  </w:style>
  <w:style w:type="paragraph" w:styleId="a7">
    <w:name w:val="Body Text"/>
    <w:basedOn w:val="a1"/>
    <w:link w:val="Char0"/>
    <w:uiPriority w:val="99"/>
    <w:unhideWhenUsed/>
    <w:qFormat/>
  </w:style>
  <w:style w:type="paragraph" w:styleId="3">
    <w:name w:val="List Number 3"/>
    <w:basedOn w:val="a1"/>
    <w:uiPriority w:val="99"/>
    <w:unhideWhenUsed/>
    <w:qFormat/>
    <w:pPr>
      <w:numPr>
        <w:numId w:val="5"/>
      </w:numPr>
      <w:contextualSpacing/>
    </w:pPr>
  </w:style>
  <w:style w:type="paragraph" w:styleId="22">
    <w:name w:val="List 2"/>
    <w:basedOn w:val="a1"/>
    <w:uiPriority w:val="99"/>
    <w:unhideWhenUsed/>
    <w:qFormat/>
    <w:pPr>
      <w:ind w:left="720" w:hanging="360"/>
      <w:contextualSpacing/>
    </w:pPr>
  </w:style>
  <w:style w:type="paragraph" w:styleId="a8">
    <w:name w:val="List Continue"/>
    <w:basedOn w:val="a1"/>
    <w:uiPriority w:val="99"/>
    <w:unhideWhenUsed/>
    <w:qFormat/>
    <w:pPr>
      <w:ind w:left="360"/>
      <w:contextualSpacing/>
    </w:pPr>
  </w:style>
  <w:style w:type="paragraph" w:styleId="20">
    <w:name w:val="List Bullet 2"/>
    <w:basedOn w:val="a1"/>
    <w:uiPriority w:val="99"/>
    <w:unhideWhenUsed/>
    <w:qFormat/>
    <w:pPr>
      <w:numPr>
        <w:numId w:val="6"/>
      </w:numPr>
      <w:contextualSpacing/>
    </w:pPr>
  </w:style>
  <w:style w:type="paragraph" w:styleId="a9">
    <w:name w:val="footer"/>
    <w:basedOn w:val="a1"/>
    <w:link w:val="Char1"/>
    <w:uiPriority w:val="99"/>
    <w:unhideWhenUsed/>
    <w:qFormat/>
    <w:pPr>
      <w:tabs>
        <w:tab w:val="center" w:pos="4680"/>
        <w:tab w:val="right" w:pos="9360"/>
      </w:tabs>
      <w:spacing w:after="0" w:line="240" w:lineRule="auto"/>
    </w:pPr>
  </w:style>
  <w:style w:type="paragraph" w:styleId="aa">
    <w:name w:val="header"/>
    <w:basedOn w:val="a1"/>
    <w:link w:val="Char2"/>
    <w:uiPriority w:val="99"/>
    <w:unhideWhenUsed/>
    <w:qFormat/>
    <w:pPr>
      <w:tabs>
        <w:tab w:val="center" w:pos="4680"/>
        <w:tab w:val="right" w:pos="9360"/>
      </w:tabs>
      <w:spacing w:after="0" w:line="240" w:lineRule="auto"/>
    </w:pPr>
  </w:style>
  <w:style w:type="paragraph" w:styleId="ab">
    <w:name w:val="Subtitle"/>
    <w:basedOn w:val="a1"/>
    <w:next w:val="a1"/>
    <w:link w:val="Char3"/>
    <w:uiPriority w:val="11"/>
    <w:qFormat/>
    <w:rPr>
      <w:rFonts w:asciiTheme="majorHAnsi" w:eastAsiaTheme="majorEastAsia" w:hAnsiTheme="majorHAnsi" w:cstheme="majorBidi"/>
      <w:i/>
      <w:iCs/>
      <w:color w:val="4F81BD" w:themeColor="accent1"/>
      <w:spacing w:val="15"/>
      <w:sz w:val="24"/>
      <w:szCs w:val="24"/>
    </w:rPr>
  </w:style>
  <w:style w:type="paragraph" w:styleId="ac">
    <w:name w:val="List"/>
    <w:basedOn w:val="a1"/>
    <w:uiPriority w:val="99"/>
    <w:unhideWhenUsed/>
    <w:qFormat/>
    <w:pPr>
      <w:ind w:left="360" w:hanging="360"/>
      <w:contextualSpacing/>
    </w:pPr>
  </w:style>
  <w:style w:type="paragraph" w:styleId="23">
    <w:name w:val="Body Text 2"/>
    <w:basedOn w:val="a1"/>
    <w:link w:val="2Char0"/>
    <w:uiPriority w:val="99"/>
    <w:unhideWhenUsed/>
    <w:qFormat/>
    <w:pPr>
      <w:spacing w:line="480" w:lineRule="auto"/>
    </w:pPr>
  </w:style>
  <w:style w:type="paragraph" w:styleId="24">
    <w:name w:val="List Continue 2"/>
    <w:basedOn w:val="a1"/>
    <w:uiPriority w:val="99"/>
    <w:unhideWhenUsed/>
    <w:qFormat/>
    <w:pPr>
      <w:ind w:left="720"/>
      <w:contextualSpacing/>
    </w:pPr>
  </w:style>
  <w:style w:type="paragraph" w:styleId="34">
    <w:name w:val="List Continue 3"/>
    <w:basedOn w:val="a1"/>
    <w:uiPriority w:val="99"/>
    <w:unhideWhenUsed/>
    <w:qFormat/>
    <w:pPr>
      <w:ind w:left="1080"/>
      <w:contextualSpacing/>
    </w:pPr>
  </w:style>
  <w:style w:type="paragraph" w:styleId="ad">
    <w:name w:val="Title"/>
    <w:basedOn w:val="a1"/>
    <w:next w:val="a1"/>
    <w:link w:val="Char4"/>
    <w:uiPriority w:val="10"/>
    <w:qFormat/>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e">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0">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1">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0">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2">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3">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4">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5">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6">
    <w:name w:val="Strong"/>
    <w:basedOn w:val="a2"/>
    <w:uiPriority w:val="22"/>
    <w:qFormat/>
    <w:rPr>
      <w:b/>
      <w:bCs/>
    </w:rPr>
  </w:style>
  <w:style w:type="character" w:styleId="af7">
    <w:name w:val="Emphasis"/>
    <w:basedOn w:val="a2"/>
    <w:uiPriority w:val="20"/>
    <w:qFormat/>
    <w:rPr>
      <w:i/>
      <w:iCs/>
    </w:rPr>
  </w:style>
  <w:style w:type="character" w:customStyle="1" w:styleId="Char2">
    <w:name w:val="页眉 Char"/>
    <w:basedOn w:val="a2"/>
    <w:link w:val="aa"/>
    <w:uiPriority w:val="99"/>
    <w:qFormat/>
  </w:style>
  <w:style w:type="character" w:customStyle="1" w:styleId="Char1">
    <w:name w:val="页脚 Char"/>
    <w:basedOn w:val="a2"/>
    <w:link w:val="a9"/>
    <w:uiPriority w:val="99"/>
    <w:qFormat/>
  </w:style>
  <w:style w:type="paragraph" w:styleId="af8">
    <w:name w:val="No Spacing"/>
    <w:uiPriority w:val="1"/>
    <w:qFormat/>
    <w:rPr>
      <w:rFonts w:asciiTheme="minorHAnsi" w:eastAsiaTheme="minorEastAsia" w:hAnsiTheme="minorHAnsi" w:cstheme="minorBidi"/>
      <w:sz w:val="22"/>
      <w:szCs w:val="22"/>
      <w:lang w:eastAsia="en-US"/>
    </w:rPr>
  </w:style>
  <w:style w:type="character" w:customStyle="1" w:styleId="1Char">
    <w:name w:val="标题 1 Char"/>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qFormat/>
    <w:rPr>
      <w:rFonts w:asciiTheme="majorHAnsi" w:eastAsiaTheme="majorEastAsia" w:hAnsiTheme="majorHAnsi" w:cstheme="majorBidi"/>
      <w:b/>
      <w:bCs/>
      <w:color w:val="4F81BD" w:themeColor="accent1"/>
    </w:rPr>
  </w:style>
  <w:style w:type="character" w:customStyle="1" w:styleId="Char4">
    <w:name w:val="标题 Char"/>
    <w:basedOn w:val="a2"/>
    <w:link w:val="ad"/>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3">
    <w:name w:val="副标题 Char"/>
    <w:basedOn w:val="a2"/>
    <w:link w:val="ab"/>
    <w:uiPriority w:val="11"/>
    <w:qFormat/>
    <w:rPr>
      <w:rFonts w:asciiTheme="majorHAnsi" w:eastAsiaTheme="majorEastAsia" w:hAnsiTheme="majorHAnsi" w:cstheme="majorBidi"/>
      <w:i/>
      <w:iCs/>
      <w:color w:val="4F81BD" w:themeColor="accent1"/>
      <w:spacing w:val="15"/>
      <w:sz w:val="24"/>
      <w:szCs w:val="24"/>
    </w:rPr>
  </w:style>
  <w:style w:type="paragraph" w:styleId="af9">
    <w:name w:val="List Paragraph"/>
    <w:basedOn w:val="a1"/>
    <w:uiPriority w:val="34"/>
    <w:qFormat/>
    <w:pPr>
      <w:ind w:left="720"/>
      <w:contextualSpacing/>
    </w:pPr>
  </w:style>
  <w:style w:type="character" w:customStyle="1" w:styleId="Char0">
    <w:name w:val="正文文本 Char"/>
    <w:basedOn w:val="a2"/>
    <w:link w:val="a7"/>
    <w:uiPriority w:val="99"/>
    <w:qFormat/>
  </w:style>
  <w:style w:type="character" w:customStyle="1" w:styleId="2Char0">
    <w:name w:val="正文文本 2 Char"/>
    <w:basedOn w:val="a2"/>
    <w:link w:val="23"/>
    <w:uiPriority w:val="99"/>
    <w:qFormat/>
  </w:style>
  <w:style w:type="character" w:customStyle="1" w:styleId="3Char0">
    <w:name w:val="正文文本 3 Char"/>
    <w:basedOn w:val="a2"/>
    <w:link w:val="33"/>
    <w:uiPriority w:val="99"/>
    <w:qFormat/>
    <w:rPr>
      <w:sz w:val="16"/>
      <w:szCs w:val="16"/>
    </w:rPr>
  </w:style>
  <w:style w:type="character" w:customStyle="1" w:styleId="Char">
    <w:name w:val="宏文本 Char"/>
    <w:basedOn w:val="a2"/>
    <w:link w:val="a5"/>
    <w:uiPriority w:val="99"/>
    <w:qFormat/>
    <w:rPr>
      <w:rFonts w:ascii="Courier" w:hAnsi="Courier"/>
      <w:sz w:val="20"/>
      <w:szCs w:val="20"/>
    </w:rPr>
  </w:style>
  <w:style w:type="paragraph" w:styleId="afa">
    <w:name w:val="Quote"/>
    <w:basedOn w:val="a1"/>
    <w:next w:val="a1"/>
    <w:link w:val="Char5"/>
    <w:uiPriority w:val="29"/>
    <w:qFormat/>
    <w:rPr>
      <w:i/>
      <w:iCs/>
      <w:color w:val="000000" w:themeColor="text1"/>
    </w:rPr>
  </w:style>
  <w:style w:type="character" w:customStyle="1" w:styleId="Char5">
    <w:name w:val="引用 Char"/>
    <w:basedOn w:val="a2"/>
    <w:link w:val="afa"/>
    <w:uiPriority w:val="29"/>
    <w:qFormat/>
    <w:rPr>
      <w:i/>
      <w:iCs/>
      <w:color w:val="000000" w:themeColor="text1"/>
    </w:rPr>
  </w:style>
  <w:style w:type="character" w:customStyle="1" w:styleId="4Char">
    <w:name w:val="标题 4 Char"/>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qFormat/>
    <w:rPr>
      <w:rFonts w:asciiTheme="majorHAnsi" w:eastAsiaTheme="majorEastAsia" w:hAnsiTheme="majorHAnsi" w:cstheme="majorBidi"/>
      <w:color w:val="244061" w:themeColor="accent1" w:themeShade="80"/>
    </w:rPr>
  </w:style>
  <w:style w:type="character" w:customStyle="1" w:styleId="6Char">
    <w:name w:val="标题 6 Char"/>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Char">
    <w:name w:val="标题 7 Char"/>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b">
    <w:name w:val="Intense Quote"/>
    <w:basedOn w:val="a1"/>
    <w:next w:val="a1"/>
    <w:link w:val="Char6"/>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b"/>
    <w:uiPriority w:val="30"/>
    <w:qFormat/>
    <w:rPr>
      <w:b/>
      <w:bCs/>
      <w:i/>
      <w:iCs/>
      <w:color w:val="4F81BD" w:themeColor="accent1"/>
    </w:rPr>
  </w:style>
  <w:style w:type="character" w:customStyle="1" w:styleId="13">
    <w:name w:val="不明显强调1"/>
    <w:basedOn w:val="a2"/>
    <w:uiPriority w:val="19"/>
    <w:qFormat/>
    <w:rPr>
      <w:i/>
      <w:iCs/>
      <w:color w:val="7F7F7F" w:themeColor="text1" w:themeTint="80"/>
    </w:rPr>
  </w:style>
  <w:style w:type="character" w:customStyle="1" w:styleId="14">
    <w:name w:val="明显强调1"/>
    <w:basedOn w:val="a2"/>
    <w:uiPriority w:val="21"/>
    <w:qFormat/>
    <w:rPr>
      <w:b/>
      <w:bCs/>
      <w:i/>
      <w:iCs/>
      <w:color w:val="4F81BD" w:themeColor="accent1"/>
    </w:rPr>
  </w:style>
  <w:style w:type="character" w:customStyle="1" w:styleId="15">
    <w:name w:val="不明显参考1"/>
    <w:basedOn w:val="a2"/>
    <w:uiPriority w:val="31"/>
    <w:qFormat/>
    <w:rPr>
      <w:smallCaps/>
      <w:color w:val="C0504D" w:themeColor="accent2"/>
      <w:u w:val="single"/>
    </w:rPr>
  </w:style>
  <w:style w:type="character" w:customStyle="1" w:styleId="16">
    <w:name w:val="明显参考1"/>
    <w:basedOn w:val="a2"/>
    <w:uiPriority w:val="32"/>
    <w:qFormat/>
    <w:rPr>
      <w:b/>
      <w:bCs/>
      <w:smallCaps/>
      <w:color w:val="C0504D" w:themeColor="accent2"/>
      <w:spacing w:val="5"/>
      <w:u w:val="single"/>
    </w:rPr>
  </w:style>
  <w:style w:type="character" w:customStyle="1" w:styleId="17">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semiHidden="1" w:uiPriority="39" w:qFormat="0"/>
    <w:lsdException w:name="toc 2" w:semiHidden="1" w:uiPriority="39" w:qFormat="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semiHidden="1" w:qFormat="0"/>
    <w:lsdException w:name="annotation text" w:semiHidden="1" w:qFormat="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semiHidden="1" w:qFormat="0"/>
    <w:lsdException w:name="annotation reference" w:semiHidden="1" w:qFormat="0"/>
    <w:lsdException w:name="line number" w:semiHidden="1" w:qFormat="0"/>
    <w:lsdException w:name="page number" w:semiHidden="1" w:qFormat="0"/>
    <w:lsdException w:name="endnote reference" w:semiHidden="1" w:qFormat="0"/>
    <w:lsdException w:name="endnote text" w:semiHidden="1" w:qFormat="0"/>
    <w:lsdException w:name="table of authorities" w:semiHidden="1" w:qFormat="0"/>
    <w:lsdException w:name="toa heading" w:semiHidden="1" w:qFormat="0"/>
    <w:lsdException w:name="List 4" w:semiHidden="1" w:qFormat="0"/>
    <w:lsdException w:name="List 5" w:semiHidden="1" w:qFormat="0"/>
    <w:lsdException w:name="List Bullet 4" w:semiHidden="1" w:qFormat="0"/>
    <w:lsdException w:name="List Bullet 5"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lsdException w:name="Body Text Indent"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Indent 2" w:semiHidden="1" w:qFormat="0"/>
    <w:lsdException w:name="Body Text Indent 3" w:semiHidden="1" w:qFormat="0"/>
    <w:lsdException w:name="Block Text" w:semiHidden="1" w:qFormat="0"/>
    <w:lsdException w:name="Hyperlink" w:semiHidden="1" w:qFormat="0"/>
    <w:lsdException w:name="FollowedHyperlink" w:semiHidden="1" w:qFormat="0"/>
    <w:lsdException w:name="Strong" w:uiPriority="22"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Normal (Web)" w:semiHidden="1" w:qFormat="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lsdException w:name="annotation subject" w:semiHidden="1" w:qFormat="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Balloon Text" w:semiHidden="1" w:qFormat="0"/>
    <w:lsdException w:name="Table Grid" w:uiPriority="59" w:unhideWhenUsed="0"/>
    <w:lsdException w:name="Table Theme" w:semiHidden="1" w:qFormat="0"/>
    <w:lsdException w:name="Placeholder Text" w:semiHidden="1" w:qFormat="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qFormat="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a1">
    <w:name w:val="Normal"/>
    <w:qFormat/>
    <w:pPr>
      <w:spacing w:after="120" w:line="480" w:lineRule="exact"/>
    </w:pPr>
    <w:rPr>
      <w:rFonts w:ascii="Noto Serif CJK SC" w:eastAsia="Noto Serif CJK SC" w:hAnsi="Noto Serif CJK SC" w:cstheme="minorBidi"/>
      <w:sz w:val="28"/>
      <w:szCs w:val="22"/>
      <w:lang w:eastAsia="en-US"/>
    </w:rPr>
  </w:style>
  <w:style w:type="paragraph" w:styleId="1">
    <w:name w:val="heading 1"/>
    <w:basedOn w:val="a1"/>
    <w:next w:val="a1"/>
    <w:link w:val="1Char"/>
    <w:uiPriority w:val="9"/>
    <w:qFormat/>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2">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6">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3">
    <w:name w:val="Body Text 3"/>
    <w:basedOn w:val="a1"/>
    <w:link w:val="3Char0"/>
    <w:uiPriority w:val="99"/>
    <w:unhideWhenUsed/>
    <w:qFormat/>
    <w:rPr>
      <w:sz w:val="16"/>
      <w:szCs w:val="16"/>
    </w:rPr>
  </w:style>
  <w:style w:type="paragraph" w:styleId="30">
    <w:name w:val="List Bullet 3"/>
    <w:basedOn w:val="a1"/>
    <w:uiPriority w:val="99"/>
    <w:unhideWhenUsed/>
    <w:qFormat/>
    <w:pPr>
      <w:numPr>
        <w:numId w:val="4"/>
      </w:numPr>
      <w:contextualSpacing/>
    </w:pPr>
  </w:style>
  <w:style w:type="paragraph" w:styleId="a7">
    <w:name w:val="Body Text"/>
    <w:basedOn w:val="a1"/>
    <w:link w:val="Char0"/>
    <w:uiPriority w:val="99"/>
    <w:unhideWhenUsed/>
    <w:qFormat/>
  </w:style>
  <w:style w:type="paragraph" w:styleId="3">
    <w:name w:val="List Number 3"/>
    <w:basedOn w:val="a1"/>
    <w:uiPriority w:val="99"/>
    <w:unhideWhenUsed/>
    <w:qFormat/>
    <w:pPr>
      <w:numPr>
        <w:numId w:val="5"/>
      </w:numPr>
      <w:contextualSpacing/>
    </w:pPr>
  </w:style>
  <w:style w:type="paragraph" w:styleId="22">
    <w:name w:val="List 2"/>
    <w:basedOn w:val="a1"/>
    <w:uiPriority w:val="99"/>
    <w:unhideWhenUsed/>
    <w:qFormat/>
    <w:pPr>
      <w:ind w:left="720" w:hanging="360"/>
      <w:contextualSpacing/>
    </w:pPr>
  </w:style>
  <w:style w:type="paragraph" w:styleId="a8">
    <w:name w:val="List Continue"/>
    <w:basedOn w:val="a1"/>
    <w:uiPriority w:val="99"/>
    <w:unhideWhenUsed/>
    <w:qFormat/>
    <w:pPr>
      <w:ind w:left="360"/>
      <w:contextualSpacing/>
    </w:pPr>
  </w:style>
  <w:style w:type="paragraph" w:styleId="20">
    <w:name w:val="List Bullet 2"/>
    <w:basedOn w:val="a1"/>
    <w:uiPriority w:val="99"/>
    <w:unhideWhenUsed/>
    <w:qFormat/>
    <w:pPr>
      <w:numPr>
        <w:numId w:val="6"/>
      </w:numPr>
      <w:contextualSpacing/>
    </w:pPr>
  </w:style>
  <w:style w:type="paragraph" w:styleId="a9">
    <w:name w:val="footer"/>
    <w:basedOn w:val="a1"/>
    <w:link w:val="Char1"/>
    <w:uiPriority w:val="99"/>
    <w:unhideWhenUsed/>
    <w:qFormat/>
    <w:pPr>
      <w:tabs>
        <w:tab w:val="center" w:pos="4680"/>
        <w:tab w:val="right" w:pos="9360"/>
      </w:tabs>
      <w:spacing w:after="0" w:line="240" w:lineRule="auto"/>
    </w:pPr>
  </w:style>
  <w:style w:type="paragraph" w:styleId="aa">
    <w:name w:val="header"/>
    <w:basedOn w:val="a1"/>
    <w:link w:val="Char2"/>
    <w:uiPriority w:val="99"/>
    <w:unhideWhenUsed/>
    <w:qFormat/>
    <w:pPr>
      <w:tabs>
        <w:tab w:val="center" w:pos="4680"/>
        <w:tab w:val="right" w:pos="9360"/>
      </w:tabs>
      <w:spacing w:after="0" w:line="240" w:lineRule="auto"/>
    </w:pPr>
  </w:style>
  <w:style w:type="paragraph" w:styleId="ab">
    <w:name w:val="Subtitle"/>
    <w:basedOn w:val="a1"/>
    <w:next w:val="a1"/>
    <w:link w:val="Char3"/>
    <w:uiPriority w:val="11"/>
    <w:qFormat/>
    <w:rPr>
      <w:rFonts w:asciiTheme="majorHAnsi" w:eastAsiaTheme="majorEastAsia" w:hAnsiTheme="majorHAnsi" w:cstheme="majorBidi"/>
      <w:i/>
      <w:iCs/>
      <w:color w:val="4F81BD" w:themeColor="accent1"/>
      <w:spacing w:val="15"/>
      <w:sz w:val="24"/>
      <w:szCs w:val="24"/>
    </w:rPr>
  </w:style>
  <w:style w:type="paragraph" w:styleId="ac">
    <w:name w:val="List"/>
    <w:basedOn w:val="a1"/>
    <w:uiPriority w:val="99"/>
    <w:unhideWhenUsed/>
    <w:qFormat/>
    <w:pPr>
      <w:ind w:left="360" w:hanging="360"/>
      <w:contextualSpacing/>
    </w:pPr>
  </w:style>
  <w:style w:type="paragraph" w:styleId="23">
    <w:name w:val="Body Text 2"/>
    <w:basedOn w:val="a1"/>
    <w:link w:val="2Char0"/>
    <w:uiPriority w:val="99"/>
    <w:unhideWhenUsed/>
    <w:qFormat/>
    <w:pPr>
      <w:spacing w:line="480" w:lineRule="auto"/>
    </w:pPr>
  </w:style>
  <w:style w:type="paragraph" w:styleId="24">
    <w:name w:val="List Continue 2"/>
    <w:basedOn w:val="a1"/>
    <w:uiPriority w:val="99"/>
    <w:unhideWhenUsed/>
    <w:qFormat/>
    <w:pPr>
      <w:ind w:left="720"/>
      <w:contextualSpacing/>
    </w:pPr>
  </w:style>
  <w:style w:type="paragraph" w:styleId="34">
    <w:name w:val="List Continue 3"/>
    <w:basedOn w:val="a1"/>
    <w:uiPriority w:val="99"/>
    <w:unhideWhenUsed/>
    <w:qFormat/>
    <w:pPr>
      <w:ind w:left="1080"/>
      <w:contextualSpacing/>
    </w:pPr>
  </w:style>
  <w:style w:type="paragraph" w:styleId="ad">
    <w:name w:val="Title"/>
    <w:basedOn w:val="a1"/>
    <w:next w:val="a1"/>
    <w:link w:val="Char4"/>
    <w:uiPriority w:val="10"/>
    <w:qFormat/>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e">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0">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1">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0">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2">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3">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4">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5">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6">
    <w:name w:val="Strong"/>
    <w:basedOn w:val="a2"/>
    <w:uiPriority w:val="22"/>
    <w:qFormat/>
    <w:rPr>
      <w:b/>
      <w:bCs/>
    </w:rPr>
  </w:style>
  <w:style w:type="character" w:styleId="af7">
    <w:name w:val="Emphasis"/>
    <w:basedOn w:val="a2"/>
    <w:uiPriority w:val="20"/>
    <w:qFormat/>
    <w:rPr>
      <w:i/>
      <w:iCs/>
    </w:rPr>
  </w:style>
  <w:style w:type="character" w:customStyle="1" w:styleId="Char2">
    <w:name w:val="页眉 Char"/>
    <w:basedOn w:val="a2"/>
    <w:link w:val="aa"/>
    <w:uiPriority w:val="99"/>
    <w:qFormat/>
  </w:style>
  <w:style w:type="character" w:customStyle="1" w:styleId="Char1">
    <w:name w:val="页脚 Char"/>
    <w:basedOn w:val="a2"/>
    <w:link w:val="a9"/>
    <w:uiPriority w:val="99"/>
    <w:qFormat/>
  </w:style>
  <w:style w:type="paragraph" w:styleId="af8">
    <w:name w:val="No Spacing"/>
    <w:uiPriority w:val="1"/>
    <w:qFormat/>
    <w:rPr>
      <w:rFonts w:asciiTheme="minorHAnsi" w:eastAsiaTheme="minorEastAsia" w:hAnsiTheme="minorHAnsi" w:cstheme="minorBidi"/>
      <w:sz w:val="22"/>
      <w:szCs w:val="22"/>
      <w:lang w:eastAsia="en-US"/>
    </w:rPr>
  </w:style>
  <w:style w:type="character" w:customStyle="1" w:styleId="1Char">
    <w:name w:val="标题 1 Char"/>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qFormat/>
    <w:rPr>
      <w:rFonts w:asciiTheme="majorHAnsi" w:eastAsiaTheme="majorEastAsia" w:hAnsiTheme="majorHAnsi" w:cstheme="majorBidi"/>
      <w:b/>
      <w:bCs/>
      <w:color w:val="4F81BD" w:themeColor="accent1"/>
    </w:rPr>
  </w:style>
  <w:style w:type="character" w:customStyle="1" w:styleId="Char4">
    <w:name w:val="标题 Char"/>
    <w:basedOn w:val="a2"/>
    <w:link w:val="ad"/>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3">
    <w:name w:val="副标题 Char"/>
    <w:basedOn w:val="a2"/>
    <w:link w:val="ab"/>
    <w:uiPriority w:val="11"/>
    <w:qFormat/>
    <w:rPr>
      <w:rFonts w:asciiTheme="majorHAnsi" w:eastAsiaTheme="majorEastAsia" w:hAnsiTheme="majorHAnsi" w:cstheme="majorBidi"/>
      <w:i/>
      <w:iCs/>
      <w:color w:val="4F81BD" w:themeColor="accent1"/>
      <w:spacing w:val="15"/>
      <w:sz w:val="24"/>
      <w:szCs w:val="24"/>
    </w:rPr>
  </w:style>
  <w:style w:type="paragraph" w:styleId="af9">
    <w:name w:val="List Paragraph"/>
    <w:basedOn w:val="a1"/>
    <w:uiPriority w:val="34"/>
    <w:qFormat/>
    <w:pPr>
      <w:ind w:left="720"/>
      <w:contextualSpacing/>
    </w:pPr>
  </w:style>
  <w:style w:type="character" w:customStyle="1" w:styleId="Char0">
    <w:name w:val="正文文本 Char"/>
    <w:basedOn w:val="a2"/>
    <w:link w:val="a7"/>
    <w:uiPriority w:val="99"/>
    <w:qFormat/>
  </w:style>
  <w:style w:type="character" w:customStyle="1" w:styleId="2Char0">
    <w:name w:val="正文文本 2 Char"/>
    <w:basedOn w:val="a2"/>
    <w:link w:val="23"/>
    <w:uiPriority w:val="99"/>
    <w:qFormat/>
  </w:style>
  <w:style w:type="character" w:customStyle="1" w:styleId="3Char0">
    <w:name w:val="正文文本 3 Char"/>
    <w:basedOn w:val="a2"/>
    <w:link w:val="33"/>
    <w:uiPriority w:val="99"/>
    <w:qFormat/>
    <w:rPr>
      <w:sz w:val="16"/>
      <w:szCs w:val="16"/>
    </w:rPr>
  </w:style>
  <w:style w:type="character" w:customStyle="1" w:styleId="Char">
    <w:name w:val="宏文本 Char"/>
    <w:basedOn w:val="a2"/>
    <w:link w:val="a5"/>
    <w:uiPriority w:val="99"/>
    <w:qFormat/>
    <w:rPr>
      <w:rFonts w:ascii="Courier" w:hAnsi="Courier"/>
      <w:sz w:val="20"/>
      <w:szCs w:val="20"/>
    </w:rPr>
  </w:style>
  <w:style w:type="paragraph" w:styleId="afa">
    <w:name w:val="Quote"/>
    <w:basedOn w:val="a1"/>
    <w:next w:val="a1"/>
    <w:link w:val="Char5"/>
    <w:uiPriority w:val="29"/>
    <w:qFormat/>
    <w:rPr>
      <w:i/>
      <w:iCs/>
      <w:color w:val="000000" w:themeColor="text1"/>
    </w:rPr>
  </w:style>
  <w:style w:type="character" w:customStyle="1" w:styleId="Char5">
    <w:name w:val="引用 Char"/>
    <w:basedOn w:val="a2"/>
    <w:link w:val="afa"/>
    <w:uiPriority w:val="29"/>
    <w:qFormat/>
    <w:rPr>
      <w:i/>
      <w:iCs/>
      <w:color w:val="000000" w:themeColor="text1"/>
    </w:rPr>
  </w:style>
  <w:style w:type="character" w:customStyle="1" w:styleId="4Char">
    <w:name w:val="标题 4 Char"/>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qFormat/>
    <w:rPr>
      <w:rFonts w:asciiTheme="majorHAnsi" w:eastAsiaTheme="majorEastAsia" w:hAnsiTheme="majorHAnsi" w:cstheme="majorBidi"/>
      <w:color w:val="244061" w:themeColor="accent1" w:themeShade="80"/>
    </w:rPr>
  </w:style>
  <w:style w:type="character" w:customStyle="1" w:styleId="6Char">
    <w:name w:val="标题 6 Char"/>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Char">
    <w:name w:val="标题 7 Char"/>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b">
    <w:name w:val="Intense Quote"/>
    <w:basedOn w:val="a1"/>
    <w:next w:val="a1"/>
    <w:link w:val="Char6"/>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b"/>
    <w:uiPriority w:val="30"/>
    <w:qFormat/>
    <w:rPr>
      <w:b/>
      <w:bCs/>
      <w:i/>
      <w:iCs/>
      <w:color w:val="4F81BD" w:themeColor="accent1"/>
    </w:rPr>
  </w:style>
  <w:style w:type="character" w:customStyle="1" w:styleId="13">
    <w:name w:val="不明显强调1"/>
    <w:basedOn w:val="a2"/>
    <w:uiPriority w:val="19"/>
    <w:qFormat/>
    <w:rPr>
      <w:i/>
      <w:iCs/>
      <w:color w:val="7F7F7F" w:themeColor="text1" w:themeTint="80"/>
    </w:rPr>
  </w:style>
  <w:style w:type="character" w:customStyle="1" w:styleId="14">
    <w:name w:val="明显强调1"/>
    <w:basedOn w:val="a2"/>
    <w:uiPriority w:val="21"/>
    <w:qFormat/>
    <w:rPr>
      <w:b/>
      <w:bCs/>
      <w:i/>
      <w:iCs/>
      <w:color w:val="4F81BD" w:themeColor="accent1"/>
    </w:rPr>
  </w:style>
  <w:style w:type="character" w:customStyle="1" w:styleId="15">
    <w:name w:val="不明显参考1"/>
    <w:basedOn w:val="a2"/>
    <w:uiPriority w:val="31"/>
    <w:qFormat/>
    <w:rPr>
      <w:smallCaps/>
      <w:color w:val="C0504D" w:themeColor="accent2"/>
      <w:u w:val="single"/>
    </w:rPr>
  </w:style>
  <w:style w:type="character" w:customStyle="1" w:styleId="16">
    <w:name w:val="明显参考1"/>
    <w:basedOn w:val="a2"/>
    <w:uiPriority w:val="32"/>
    <w:qFormat/>
    <w:rPr>
      <w:b/>
      <w:bCs/>
      <w:smallCaps/>
      <w:color w:val="C0504D" w:themeColor="accent2"/>
      <w:spacing w:val="5"/>
      <w:u w:val="single"/>
    </w:rPr>
  </w:style>
  <w:style w:type="character" w:customStyle="1" w:styleId="17">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刘奕歌</cp:lastModifiedBy>
  <cp:revision>8</cp:revision>
  <cp:lastPrinted>2026-10-16T18:56:00Z</cp:lastPrinted>
  <dcterms:created xsi:type="dcterms:W3CDTF">2026-10-16T12:03:00Z</dcterms:created>
  <dcterms:modified xsi:type="dcterms:W3CDTF">2026-10-19T06:40:00Z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ICV">
    <vt:lpwstr>583BC1E6911D8E744CB7D56A6FF358D6_43</vt:lpwstr>
  </property>
  <property fmtid="{D5CDD505-2E9C-101B-9397-08002B2CF9AE}" pid="4" name="KSOTemplateDocerSaveRecord">
    <vt:lpwstr>eyJoZGlkIjoiMGMwYzQ3ZDRlYWE0NmMxZjc4Y2VmY2MyY2Q1MmYzNTYiLCJ1c2VySWQiOiIxNzQ1NDQ5MTU2In0=</vt:lpwstr>
  </property>
</Properties>
</file>