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560" w:lineRule="exact"/>
        <w:ind w:firstLine="0" w:firstLineChars="0"/>
        <w:jc w:val="center"/>
      </w:pPr>
      <w:r>
        <w:rPr>
          <w:rFonts w:ascii="Times New Roman" w:hAnsi="Times New Roman" w:eastAsia="方正小标宋简体" w:cs="方正小标宋简体"/>
          <w:b w:val="0"/>
          <w:sz w:val="44"/>
        </w:rPr>
        <w:t>《北京市密云区密东广场北侧地块地下停车场项目特许经营方案》起草说明</w:t>
      </w:r>
    </w:p>
    <w:p>
      <w:pPr>
        <w:spacing w:before="0" w:after="0" w:line="560" w:lineRule="exact"/>
        <w:ind w:firstLine="640" w:firstLineChars="200"/>
        <w:rPr>
          <w:rFonts w:ascii="Times New Roman" w:hAnsi="Times New Roman" w:eastAsia="黑体" w:cs="黑体"/>
          <w:b w:val="0"/>
          <w:sz w:val="32"/>
        </w:rPr>
      </w:pPr>
    </w:p>
    <w:p>
      <w:pPr>
        <w:spacing w:before="0" w:after="0" w:line="560" w:lineRule="exact"/>
        <w:ind w:firstLine="640" w:firstLineChars="200"/>
      </w:pPr>
      <w:r>
        <w:rPr>
          <w:rFonts w:ascii="Times New Roman" w:hAnsi="Times New Roman" w:eastAsia="黑体" w:cs="黑体"/>
          <w:b w:val="0"/>
          <w:sz w:val="32"/>
        </w:rPr>
        <w:t>一、特许经营方案编制背景</w:t>
      </w:r>
    </w:p>
    <w:p>
      <w:pPr>
        <w:spacing w:before="0" w:after="0" w:line="560" w:lineRule="exact"/>
        <w:ind w:firstLine="640" w:firstLineChars="200"/>
      </w:pPr>
      <w:r>
        <w:rPr>
          <w:rFonts w:ascii="Times New Roman" w:hAnsi="Times New Roman" w:eastAsia="仿宋" w:cs="仿宋"/>
          <w:b w:val="0"/>
          <w:sz w:val="32"/>
        </w:rPr>
        <w:t>长期以来，密云区核心城区机动车保有量持续增长，停车设施供给不足的矛盾日益突出。鼓楼街道北源里社区、上营东区、世纪家园、世豪公寓等片区建成时间较早，历史规划中停车设施配套严重不足，且无新增建设空间。经实地调研，停车缺口超1900个，缺口率接近50%；项目东侧紧邻密云一小新建教学楼，上下学高峰时段接送车辆瞬时集聚，进一步加剧停车供需矛盾，周边违法占道停车、乱停乱放现象频发，不仅影响居民出行，还存在消防通道堵塞、学生出行安全等隐患，</w:t>
      </w:r>
      <w:r>
        <w:rPr>
          <w:rFonts w:hint="eastAsia" w:ascii="Times New Roman" w:hAnsi="Times New Roman" w:eastAsia="仿宋" w:cs="仿宋"/>
          <w:b w:val="0"/>
          <w:sz w:val="32"/>
          <w:lang w:eastAsia="zh-CN"/>
        </w:rPr>
        <w:t>“</w:t>
      </w:r>
      <w:r>
        <w:rPr>
          <w:rFonts w:ascii="Times New Roman" w:hAnsi="Times New Roman" w:eastAsia="仿宋" w:cs="仿宋"/>
          <w:b w:val="0"/>
          <w:sz w:val="32"/>
        </w:rPr>
        <w:t>停车难、停车乱</w:t>
      </w:r>
      <w:r>
        <w:rPr>
          <w:rFonts w:hint="eastAsia" w:ascii="Times New Roman" w:hAnsi="Times New Roman" w:eastAsia="仿宋" w:cs="仿宋"/>
          <w:b w:val="0"/>
          <w:sz w:val="32"/>
          <w:lang w:eastAsia="zh-CN"/>
        </w:rPr>
        <w:t>”</w:t>
      </w:r>
      <w:r>
        <w:rPr>
          <w:rFonts w:ascii="Times New Roman" w:hAnsi="Times New Roman" w:eastAsia="仿宋" w:cs="仿宋"/>
          <w:b w:val="0"/>
          <w:sz w:val="32"/>
        </w:rPr>
        <w:t>已成为群众反映强烈的民生痛点。</w:t>
      </w:r>
    </w:p>
    <w:p>
      <w:pPr>
        <w:spacing w:before="0" w:after="0" w:line="560" w:lineRule="exact"/>
        <w:ind w:firstLine="640" w:firstLineChars="200"/>
      </w:pPr>
      <w:r>
        <w:rPr>
          <w:rFonts w:ascii="Times New Roman" w:hAnsi="Times New Roman" w:eastAsia="仿宋" w:cs="仿宋"/>
          <w:b w:val="0"/>
          <w:sz w:val="32"/>
        </w:rPr>
        <w:t>为深入贯彻国家及北京市关于停车设施发展和政府和社会资本合作（PPP）新机制的决策部署，《关于规范实施政府和社会资本合作新机制的指导意见》（国办函〔2023〕115号）明确停车场等市政项目属于重点支持领域，《关于推动城市停车设施发展和管理的实施意见》（京交停车发〔2023〕22号）明确对确需建设的地下停车设施项目由市政府固定资产投资安排资金补助，《关于印发落实政府和社会资本合作新机制规范推进特许经营项目实施方案的通知》（京发改〔2024〕1293号）对规范推进特许经营项目提出了明确要求。为补齐区域停车短板、集约利用地下空间、规范静态交通秩序、提升城市治理现代化水平，结合密云区实际，编制本特许经营方案。</w:t>
      </w:r>
    </w:p>
    <w:p>
      <w:pPr>
        <w:spacing w:before="0" w:after="0" w:line="560" w:lineRule="exact"/>
        <w:ind w:firstLine="640" w:firstLineChars="200"/>
      </w:pPr>
      <w:r>
        <w:rPr>
          <w:rFonts w:ascii="Times New Roman" w:hAnsi="Times New Roman" w:eastAsia="黑体" w:cs="黑体"/>
          <w:b w:val="0"/>
          <w:sz w:val="32"/>
        </w:rPr>
        <w:t>二、特许经营方案编制过程</w:t>
      </w:r>
    </w:p>
    <w:p>
      <w:pPr>
        <w:spacing w:before="0" w:after="0" w:line="560" w:lineRule="exact"/>
        <w:ind w:firstLine="640" w:firstLineChars="200"/>
      </w:pPr>
      <w:r>
        <w:rPr>
          <w:rFonts w:ascii="Times New Roman" w:hAnsi="Times New Roman" w:eastAsia="仿宋" w:cs="仿宋"/>
          <w:b w:val="0"/>
          <w:sz w:val="32"/>
        </w:rPr>
        <w:t>区城管委会同相关单位起草了《北京市密云区密东广场北侧地块地下停车场项目特许经营方案》。区</w:t>
      </w:r>
      <w:r>
        <w:rPr>
          <w:rFonts w:hint="eastAsia" w:ascii="Times New Roman" w:hAnsi="Times New Roman" w:eastAsia="仿宋" w:cs="仿宋"/>
          <w:b w:val="0"/>
          <w:sz w:val="32"/>
          <w:lang w:val="en-US" w:eastAsia="zh-CN"/>
        </w:rPr>
        <w:t>发改</w:t>
      </w:r>
      <w:r>
        <w:rPr>
          <w:rFonts w:ascii="Times New Roman" w:hAnsi="Times New Roman" w:eastAsia="仿宋" w:cs="仿宋"/>
          <w:b w:val="0"/>
          <w:sz w:val="32"/>
        </w:rPr>
        <w:t>委委托第三方评估单位组织专家对该方案进行评估论证，并组织相关部门联合审议；经</w:t>
      </w:r>
      <w:r>
        <w:rPr>
          <w:rFonts w:hint="eastAsia" w:ascii="Times New Roman" w:hAnsi="Times New Roman" w:eastAsia="仿宋" w:cs="仿宋"/>
          <w:b w:val="0"/>
          <w:sz w:val="32"/>
          <w:lang w:val="en-US" w:eastAsia="zh-CN"/>
        </w:rPr>
        <w:t>区发改</w:t>
      </w:r>
      <w:r>
        <w:rPr>
          <w:rFonts w:ascii="Times New Roman" w:hAnsi="Times New Roman" w:eastAsia="仿宋" w:cs="仿宋"/>
          <w:b w:val="0"/>
          <w:sz w:val="32"/>
        </w:rPr>
        <w:t>委审定，该项目特许经营方案审核通过（密发改〔2026〕161号）。按照《北京市行政规范性文件备案规定》，已履行决策预公开程序、专家论证和集体讨论。于2</w:t>
      </w:r>
      <w:r>
        <w:rPr>
          <w:rFonts w:ascii="Times New Roman" w:hAnsi="Times New Roman" w:eastAsia="仿宋" w:cs="仿宋"/>
          <w:b w:val="0"/>
          <w:color w:val="auto"/>
          <w:sz w:val="32"/>
        </w:rPr>
        <w:t>026年10月</w:t>
      </w:r>
      <w:r>
        <w:rPr>
          <w:rFonts w:hint="eastAsia" w:ascii="Times New Roman" w:hAnsi="Times New Roman" w:eastAsia="仿宋" w:cs="仿宋"/>
          <w:b w:val="0"/>
          <w:color w:val="auto"/>
          <w:sz w:val="32"/>
          <w:lang w:val="en-US" w:eastAsia="zh-CN"/>
        </w:rPr>
        <w:t>16</w:t>
      </w:r>
      <w:r>
        <w:rPr>
          <w:rFonts w:ascii="Times New Roman" w:hAnsi="Times New Roman" w:eastAsia="仿宋" w:cs="仿宋"/>
          <w:b w:val="0"/>
          <w:color w:val="auto"/>
          <w:sz w:val="32"/>
        </w:rPr>
        <w:t>日经</w:t>
      </w:r>
      <w:r>
        <w:rPr>
          <w:rFonts w:hint="eastAsia" w:ascii="Times New Roman" w:hAnsi="Times New Roman" w:eastAsia="仿宋" w:cs="仿宋"/>
          <w:b w:val="0"/>
          <w:color w:val="auto"/>
          <w:sz w:val="32"/>
          <w:lang w:eastAsia="zh-CN"/>
        </w:rPr>
        <w:t>区政府</w:t>
      </w:r>
      <w:r>
        <w:rPr>
          <w:rFonts w:ascii="Times New Roman" w:hAnsi="Times New Roman" w:eastAsia="仿宋" w:cs="仿宋"/>
          <w:b w:val="0"/>
          <w:sz w:val="32"/>
        </w:rPr>
        <w:t>专题会</w:t>
      </w:r>
      <w:r>
        <w:rPr>
          <w:rFonts w:hint="eastAsia" w:ascii="Times New Roman" w:hAnsi="Times New Roman" w:eastAsia="仿宋" w:cs="仿宋"/>
          <w:b w:val="0"/>
          <w:sz w:val="32"/>
          <w:lang w:eastAsia="zh-CN"/>
        </w:rPr>
        <w:t>研究</w:t>
      </w:r>
      <w:r>
        <w:rPr>
          <w:rFonts w:ascii="Times New Roman" w:hAnsi="Times New Roman" w:eastAsia="仿宋" w:cs="仿宋"/>
          <w:b w:val="0"/>
          <w:sz w:val="32"/>
        </w:rPr>
        <w:t>，形成报审稿，现提请区政府</w:t>
      </w:r>
      <w:r>
        <w:rPr>
          <w:rFonts w:hint="eastAsia" w:ascii="Times New Roman" w:hAnsi="Times New Roman" w:eastAsia="仿宋" w:cs="仿宋"/>
          <w:b w:val="0"/>
          <w:sz w:val="32"/>
          <w:lang w:eastAsia="zh-CN"/>
        </w:rPr>
        <w:t>常务会</w:t>
      </w:r>
      <w:r>
        <w:rPr>
          <w:rFonts w:ascii="Times New Roman" w:hAnsi="Times New Roman" w:eastAsia="仿宋" w:cs="仿宋"/>
          <w:b w:val="0"/>
          <w:sz w:val="32"/>
        </w:rPr>
        <w:t>审议。</w:t>
      </w:r>
    </w:p>
    <w:p>
      <w:pPr>
        <w:spacing w:before="0" w:after="0" w:line="560" w:lineRule="exact"/>
        <w:ind w:firstLine="640" w:firstLineChars="200"/>
      </w:pPr>
      <w:r>
        <w:rPr>
          <w:rFonts w:ascii="Times New Roman" w:hAnsi="Times New Roman" w:eastAsia="黑体" w:cs="黑体"/>
          <w:b w:val="0"/>
          <w:sz w:val="32"/>
        </w:rPr>
        <w:t>三、特许经营方案内容</w:t>
      </w:r>
    </w:p>
    <w:p>
      <w:pPr>
        <w:spacing w:before="0" w:after="0" w:line="560" w:lineRule="exact"/>
        <w:ind w:firstLine="640" w:firstLineChars="200"/>
      </w:pPr>
      <w:r>
        <w:rPr>
          <w:rFonts w:ascii="Times New Roman" w:hAnsi="Times New Roman" w:eastAsia="仿宋" w:cs="仿宋"/>
          <w:b w:val="0"/>
          <w:sz w:val="32"/>
        </w:rPr>
        <w:t>《特许经营方案》包括项目概况、项目可行性分析、项目经营模式可行性论证、特许经营主要内容、结论和建议五部分内容，以及相关附表、附件。</w:t>
      </w:r>
    </w:p>
    <w:p>
      <w:pPr>
        <w:spacing w:before="0" w:after="0" w:line="560" w:lineRule="exact"/>
        <w:ind w:firstLine="640" w:firstLineChars="200"/>
      </w:pPr>
      <w:r>
        <w:rPr>
          <w:rFonts w:ascii="Times New Roman" w:hAnsi="Times New Roman" w:eastAsia="楷体" w:cs="楷体"/>
          <w:b w:val="0"/>
          <w:sz w:val="32"/>
        </w:rPr>
        <w:t>（一）项目概况</w:t>
      </w:r>
    </w:p>
    <w:p>
      <w:pPr>
        <w:spacing w:before="0" w:after="0" w:line="560" w:lineRule="exact"/>
        <w:ind w:firstLine="640" w:firstLineChars="200"/>
      </w:pPr>
      <w:r>
        <w:rPr>
          <w:rFonts w:ascii="Times New Roman" w:hAnsi="Times New Roman" w:eastAsia="仿宋" w:cs="仿宋"/>
          <w:b w:val="0"/>
          <w:sz w:val="32"/>
        </w:rPr>
        <w:t>本项目位于密云区密东广场北侧，采取“地下双层停车＋地面休闲公园”复合开发模式，主要建设地下二层停车场。项目用地面积13000平方米，总建筑面积24496平方米，其中地上建筑面积850平方米（主要为地下停车场出入口）、地下建筑面积23646平方米，新建机动车停车位800个，配套建设新能源充电桩泊位160个。项目总投资22319.75万元，资金来源为资本金5129.47万元、银行贷款6700.00万元、政府投资补助10490.28万元（占总投资47%）。密云区人民政府授权区城管委作为项目实施机构，负责前期工作准备、特许经营方案编制、特许经营者选择、特许经营协议签订、项目实施监管及期满移交接收等工作。方案同时明确了项目收费渠道及方式、政府承诺和保障、编制依据等内容。</w:t>
      </w:r>
    </w:p>
    <w:p>
      <w:pPr>
        <w:spacing w:before="0" w:after="0" w:line="560" w:lineRule="exact"/>
        <w:ind w:firstLine="640" w:firstLineChars="200"/>
      </w:pPr>
      <w:r>
        <w:rPr>
          <w:rFonts w:ascii="Times New Roman" w:hAnsi="Times New Roman" w:eastAsia="楷体" w:cs="楷体"/>
          <w:b w:val="0"/>
          <w:sz w:val="32"/>
        </w:rPr>
        <w:t>（二）项目可行性分析</w:t>
      </w:r>
    </w:p>
    <w:p>
      <w:pPr>
        <w:spacing w:before="0" w:after="0" w:line="560" w:lineRule="exact"/>
        <w:ind w:firstLine="640" w:firstLineChars="200"/>
      </w:pPr>
      <w:r>
        <w:rPr>
          <w:rFonts w:ascii="Times New Roman" w:hAnsi="Times New Roman" w:eastAsia="仿宋" w:cs="仿宋"/>
          <w:b w:val="0"/>
          <w:sz w:val="32"/>
        </w:rPr>
        <w:t>本部分重点论证项目建设的必要性和可行性。一是建设必要性充分。项目深入贯彻国家停车设施发展战略和北京市“十五五”交通发展规划，契合密云区城市更新与民生保障需求，区域停车缺口近50%，需求刚性，项目建成后新增800个停车泊位，可有效缓解周边4个社区及密云一小周边停车供需矛盾，破解</w:t>
      </w:r>
      <w:r>
        <w:rPr>
          <w:rFonts w:hint="eastAsia" w:ascii="Times New Roman" w:hAnsi="Times New Roman" w:eastAsia="仿宋" w:cs="仿宋"/>
          <w:b w:val="0"/>
          <w:sz w:val="32"/>
          <w:lang w:eastAsia="zh-CN"/>
        </w:rPr>
        <w:t>“</w:t>
      </w:r>
      <w:r>
        <w:rPr>
          <w:rFonts w:ascii="Times New Roman" w:hAnsi="Times New Roman" w:eastAsia="仿宋" w:cs="仿宋"/>
          <w:b w:val="0"/>
          <w:sz w:val="32"/>
        </w:rPr>
        <w:t>停车难、停车乱</w:t>
      </w:r>
      <w:r>
        <w:rPr>
          <w:rFonts w:hint="eastAsia" w:ascii="Times New Roman" w:hAnsi="Times New Roman" w:eastAsia="仿宋" w:cs="仿宋"/>
          <w:b w:val="0"/>
          <w:sz w:val="32"/>
          <w:lang w:eastAsia="zh-CN"/>
        </w:rPr>
        <w:t>”</w:t>
      </w:r>
      <w:r>
        <w:rPr>
          <w:rFonts w:ascii="Times New Roman" w:hAnsi="Times New Roman" w:eastAsia="仿宋" w:cs="仿宋"/>
          <w:b w:val="0"/>
          <w:sz w:val="32"/>
        </w:rPr>
        <w:t>民生问题。二是建设方案可行。经多方案比选，本项目采用地下二层停车场建设方案，埋深9.2米，施工技术成熟、投资经济合理、功能适配，建设期13个月，计划2027年6月</w:t>
      </w:r>
      <w:r>
        <w:rPr>
          <w:rFonts w:hint="eastAsia" w:ascii="Times New Roman" w:hAnsi="Times New Roman" w:eastAsia="仿宋" w:cs="仿宋"/>
          <w:b w:val="0"/>
          <w:sz w:val="32"/>
          <w:lang w:val="en-US" w:eastAsia="zh-CN"/>
        </w:rPr>
        <w:t>底</w:t>
      </w:r>
      <w:r>
        <w:rPr>
          <w:rFonts w:ascii="Times New Roman" w:hAnsi="Times New Roman" w:eastAsia="仿宋" w:cs="仿宋"/>
          <w:b w:val="0"/>
          <w:sz w:val="32"/>
        </w:rPr>
        <w:t>开工、2028年7月</w:t>
      </w:r>
      <w:r>
        <w:rPr>
          <w:rFonts w:hint="eastAsia" w:ascii="Times New Roman" w:hAnsi="Times New Roman" w:eastAsia="仿宋" w:cs="仿宋"/>
          <w:b w:val="0"/>
          <w:sz w:val="32"/>
          <w:lang w:val="en-US" w:eastAsia="zh-CN"/>
        </w:rPr>
        <w:t>底</w:t>
      </w:r>
      <w:r>
        <w:rPr>
          <w:rFonts w:ascii="Times New Roman" w:hAnsi="Times New Roman" w:eastAsia="仿宋" w:cs="仿宋"/>
          <w:b w:val="0"/>
          <w:sz w:val="32"/>
        </w:rPr>
        <w:t>竣工验收。三是明确用地、市政配套等要素保障条件和运营服务要求，系统识别分析了项目审批、土地、资金、建设、运营、移交等主要风险，并提出针对性应对措施。</w:t>
      </w:r>
    </w:p>
    <w:p>
      <w:pPr>
        <w:spacing w:before="0" w:after="0" w:line="560" w:lineRule="exact"/>
        <w:ind w:firstLine="640" w:firstLineChars="200"/>
      </w:pPr>
      <w:r>
        <w:rPr>
          <w:rFonts w:ascii="Times New Roman" w:hAnsi="Times New Roman" w:eastAsia="楷体" w:cs="楷体"/>
          <w:b w:val="0"/>
          <w:sz w:val="32"/>
        </w:rPr>
        <w:t>（三）项目</w:t>
      </w:r>
      <w:r>
        <w:rPr>
          <w:rFonts w:hint="eastAsia" w:ascii="Times New Roman" w:hAnsi="Times New Roman" w:eastAsia="楷体" w:cs="楷体"/>
          <w:b w:val="0"/>
          <w:sz w:val="32"/>
          <w:lang w:val="en-US" w:eastAsia="zh-CN"/>
        </w:rPr>
        <w:t>特许</w:t>
      </w:r>
      <w:r>
        <w:rPr>
          <w:rFonts w:ascii="Times New Roman" w:hAnsi="Times New Roman" w:eastAsia="楷体" w:cs="楷体"/>
          <w:b w:val="0"/>
          <w:sz w:val="32"/>
        </w:rPr>
        <w:t>经营模式可行性论证</w:t>
      </w:r>
    </w:p>
    <w:p>
      <w:pPr>
        <w:spacing w:before="0" w:after="0" w:line="560" w:lineRule="exact"/>
        <w:ind w:firstLine="640" w:firstLineChars="200"/>
      </w:pPr>
      <w:r>
        <w:rPr>
          <w:rFonts w:ascii="Times New Roman" w:hAnsi="Times New Roman" w:eastAsia="仿宋" w:cs="仿宋"/>
          <w:b w:val="0"/>
          <w:sz w:val="32"/>
        </w:rPr>
        <w:t>本部分重点论证项目采取特许经营模式的必要性和可行性。项目属于具有一定公益性且存在经营收入的市政停车场项目，属于特许经营</w:t>
      </w:r>
      <w:r>
        <w:rPr>
          <w:rFonts w:hint="eastAsia" w:ascii="Times New Roman" w:hAnsi="Times New Roman" w:eastAsia="仿宋" w:cs="仿宋"/>
          <w:b w:val="0"/>
          <w:sz w:val="32"/>
          <w:lang w:val="en-US" w:eastAsia="zh-CN"/>
        </w:rPr>
        <w:t>模式</w:t>
      </w:r>
      <w:r>
        <w:rPr>
          <w:rFonts w:ascii="Times New Roman" w:hAnsi="Times New Roman" w:eastAsia="仿宋" w:cs="仿宋"/>
          <w:b w:val="0"/>
          <w:sz w:val="32"/>
        </w:rPr>
        <w:t>适用范畴，符合PPP新机制政策要求。项目采用使用者付费回报机制，无运营补贴，不新增地方政府隐性债务，收入来源包括车位租赁、充电桩、卫生管理费及广告收入等。经财务测算，在获得政府投资补助支持的情况下，项目资本金税后内部收益率为3.04%，资本金回收期27.89年。通过与传统政府投资模式在全生命周期成本、产出服务效果、建设运营效率、风险防范控制等方面的对比分析，特许经营模式具有显著比较优势；社会资本及金融机构参与意愿较高，项目采用特许经营模式合法合规。</w:t>
      </w:r>
    </w:p>
    <w:p>
      <w:pPr>
        <w:spacing w:before="0" w:after="0" w:line="560" w:lineRule="exact"/>
        <w:ind w:firstLine="640" w:firstLineChars="200"/>
      </w:pPr>
      <w:r>
        <w:rPr>
          <w:rFonts w:ascii="Times New Roman" w:hAnsi="Times New Roman" w:eastAsia="楷体" w:cs="楷体"/>
          <w:b w:val="0"/>
          <w:sz w:val="32"/>
        </w:rPr>
        <w:t>（四）特许经营主要内容</w:t>
      </w:r>
    </w:p>
    <w:p>
      <w:pPr>
        <w:spacing w:before="0" w:after="0" w:line="560" w:lineRule="exact"/>
        <w:ind w:firstLine="640" w:firstLineChars="200"/>
      </w:pPr>
      <w:r>
        <w:rPr>
          <w:rFonts w:ascii="Times New Roman" w:hAnsi="Times New Roman" w:eastAsia="仿宋" w:cs="仿宋"/>
          <w:b w:val="0"/>
          <w:sz w:val="32"/>
        </w:rPr>
        <w:t>方案明确项目采取设计—建设—融资—运营—移交（DBFOT）实施方式，通过公开招标遴选特许经营者，严格落实民营企业独资或控股要求；特许经营期限为40年（含建设期13个月）；并明确了特许经营范围、资产权属、交易结构与投融资结构、监督管理和运营评价、风险管控、政府承诺和保障、调整变更等内容，构建覆盖项目全生命周期的管理制度。</w:t>
      </w:r>
    </w:p>
    <w:p>
      <w:pPr>
        <w:spacing w:before="0" w:after="0" w:line="560" w:lineRule="exact"/>
        <w:ind w:firstLine="640" w:firstLineChars="200"/>
      </w:pPr>
      <w:r>
        <w:rPr>
          <w:rFonts w:ascii="Times New Roman" w:hAnsi="Times New Roman" w:eastAsia="楷体" w:cs="楷体"/>
          <w:b w:val="0"/>
          <w:sz w:val="32"/>
        </w:rPr>
        <w:t>（五）结论和建议</w:t>
      </w:r>
    </w:p>
    <w:p>
      <w:pPr>
        <w:spacing w:before="0" w:after="0" w:line="560" w:lineRule="exact"/>
        <w:ind w:firstLine="640" w:firstLineChars="200"/>
        <w:rPr>
          <w:rFonts w:ascii="Times New Roman" w:hAnsi="Times New Roman" w:eastAsia="仿宋" w:cs="仿宋"/>
          <w:b w:val="0"/>
          <w:sz w:val="32"/>
        </w:rPr>
      </w:pPr>
      <w:r>
        <w:rPr>
          <w:rFonts w:ascii="Times New Roman" w:hAnsi="Times New Roman" w:eastAsia="仿宋" w:cs="仿宋"/>
          <w:b w:val="0"/>
          <w:sz w:val="32"/>
        </w:rPr>
        <w:t>经研究论证，本项目采用特许经营模式符合国家及北京市相关政策要求，项目建设必要性充分、建设方案和经济指标可行，属于特许经营适用范畴，符合PPP新机制政策要求，具备实施条件。同时建议：加快地块规划综合实施方案报批，稳定规划条件；加强与市级部门对接，闭环政府投资补助资金筹措路径；严格落实民营独资或控股、使用者付费等要求，规范特许经营全流程管理；挖掘多元增值收益，增强项目市场吸引力，保障项目长期可持续运营。</w:t>
      </w:r>
    </w:p>
    <w:p>
      <w:pPr>
        <w:spacing w:before="0" w:after="0" w:line="560" w:lineRule="exact"/>
        <w:ind w:firstLine="640" w:firstLineChars="200"/>
        <w:rPr>
          <w:rFonts w:hint="default" w:eastAsia="楷体"/>
          <w:lang w:val="en-US" w:eastAsia="zh-CN"/>
        </w:rPr>
      </w:pPr>
      <w:r>
        <w:rPr>
          <w:rFonts w:ascii="Times New Roman" w:hAnsi="Times New Roman" w:eastAsia="楷体" w:cs="楷体"/>
          <w:b w:val="0"/>
          <w:sz w:val="32"/>
        </w:rPr>
        <w:t>（</w:t>
      </w:r>
      <w:r>
        <w:rPr>
          <w:rFonts w:hint="eastAsia" w:ascii="Times New Roman" w:hAnsi="Times New Roman" w:eastAsia="楷体" w:cs="楷体"/>
          <w:b w:val="0"/>
          <w:sz w:val="32"/>
          <w:lang w:val="en-US" w:eastAsia="zh-CN"/>
        </w:rPr>
        <w:t>六</w:t>
      </w:r>
      <w:r>
        <w:rPr>
          <w:rFonts w:ascii="Times New Roman" w:hAnsi="Times New Roman" w:eastAsia="楷体" w:cs="楷体"/>
          <w:b w:val="0"/>
          <w:sz w:val="32"/>
        </w:rPr>
        <w:t>）</w:t>
      </w:r>
      <w:r>
        <w:rPr>
          <w:rFonts w:hint="eastAsia" w:ascii="Times New Roman" w:hAnsi="Times New Roman" w:eastAsia="楷体" w:cs="楷体"/>
          <w:b w:val="0"/>
          <w:sz w:val="32"/>
          <w:lang w:val="en-US" w:eastAsia="zh-CN"/>
        </w:rPr>
        <w:t>相关附表与附件</w:t>
      </w:r>
    </w:p>
    <w:p>
      <w:pPr>
        <w:spacing w:before="0" w:after="0" w:line="560" w:lineRule="exact"/>
        <w:ind w:firstLine="640" w:firstLineChars="200"/>
        <w:rPr>
          <w:rFonts w:hint="default" w:ascii="Times New Roman" w:hAnsi="Times New Roman" w:eastAsia="仿宋" w:cs="仿宋"/>
          <w:b w:val="0"/>
          <w:sz w:val="32"/>
          <w:lang w:val="en-US" w:eastAsia="zh-CN"/>
        </w:rPr>
      </w:pPr>
      <w:r>
        <w:rPr>
          <w:rFonts w:hint="eastAsia" w:ascii="Times New Roman" w:hAnsi="Times New Roman" w:eastAsia="仿宋" w:cs="仿宋"/>
          <w:b w:val="0"/>
          <w:sz w:val="32"/>
          <w:lang w:val="en-US" w:eastAsia="zh-CN"/>
        </w:rPr>
        <w:t>附表为项目投资与财务分析相关表格，附件为授权文件、资金证明函、项目所在地块规划综合实施方案及相关批复。</w:t>
      </w:r>
    </w:p>
    <w:p>
      <w:pPr>
        <w:spacing w:before="0" w:after="0" w:line="560" w:lineRule="exact"/>
        <w:ind w:right="160" w:firstLine="0" w:firstLineChars="0"/>
        <w:jc w:val="right"/>
        <w:rPr>
          <w:rFonts w:ascii="Times New Roman" w:hAnsi="Times New Roman" w:eastAsia="仿宋" w:cs="仿宋"/>
          <w:b w:val="0"/>
          <w:sz w:val="32"/>
        </w:rPr>
      </w:pPr>
    </w:p>
    <w:p>
      <w:pPr>
        <w:spacing w:before="0" w:after="0" w:line="560" w:lineRule="exact"/>
        <w:ind w:right="160" w:firstLine="0" w:firstLineChars="0"/>
        <w:jc w:val="right"/>
        <w:rPr>
          <w:rFonts w:ascii="Times New Roman" w:hAnsi="Times New Roman" w:eastAsia="仿宋" w:cs="仿宋"/>
          <w:b w:val="0"/>
          <w:sz w:val="32"/>
        </w:rPr>
      </w:pPr>
    </w:p>
    <w:p>
      <w:pPr>
        <w:spacing w:before="0" w:after="0" w:line="560" w:lineRule="exact"/>
        <w:ind w:right="160" w:firstLine="0" w:firstLineChars="0"/>
        <w:jc w:val="right"/>
        <w:rPr>
          <w:rFonts w:ascii="Times New Roman" w:hAnsi="Times New Roman" w:eastAsia="仿宋" w:cs="仿宋"/>
          <w:b w:val="0"/>
          <w:sz w:val="32"/>
        </w:rPr>
      </w:pPr>
    </w:p>
    <w:p>
      <w:pPr>
        <w:spacing w:before="0" w:after="0" w:line="560" w:lineRule="exact"/>
        <w:ind w:right="160" w:firstLine="0" w:firstLineChars="0"/>
        <w:jc w:val="right"/>
      </w:pPr>
      <w:r>
        <w:rPr>
          <w:rFonts w:ascii="Times New Roman" w:hAnsi="Times New Roman" w:eastAsia="仿宋" w:cs="仿宋"/>
          <w:b w:val="0"/>
          <w:sz w:val="32"/>
        </w:rPr>
        <w:t>北京市密云区城市管理委员会</w:t>
      </w:r>
    </w:p>
    <w:p>
      <w:pPr>
        <w:spacing w:before="0" w:after="0" w:line="560" w:lineRule="exact"/>
        <w:ind w:right="160" w:firstLine="0" w:firstLineChars="0"/>
        <w:jc w:val="center"/>
      </w:pPr>
      <w:r>
        <w:rPr>
          <w:rFonts w:hint="eastAsia" w:ascii="Times New Roman" w:hAnsi="Times New Roman" w:eastAsia="仿宋" w:cs="仿宋"/>
          <w:b w:val="0"/>
          <w:sz w:val="32"/>
          <w:lang w:val="en-US" w:eastAsia="zh-CN"/>
        </w:rPr>
        <w:t xml:space="preserve">                                        2</w:t>
      </w:r>
      <w:r>
        <w:rPr>
          <w:rFonts w:ascii="Times New Roman" w:hAnsi="Times New Roman" w:eastAsia="仿宋" w:cs="仿宋"/>
          <w:b w:val="0"/>
          <w:sz w:val="32"/>
        </w:rPr>
        <w:t>026年10月</w:t>
      </w:r>
      <w:r>
        <w:rPr>
          <w:rFonts w:hint="eastAsia" w:ascii="Times New Roman" w:hAnsi="Times New Roman" w:eastAsia="仿宋" w:cs="仿宋"/>
          <w:b w:val="0"/>
          <w:sz w:val="32"/>
          <w:lang w:val="en-US" w:eastAsia="zh-CN"/>
        </w:rPr>
        <w:t>20</w:t>
      </w:r>
      <w:r>
        <w:rPr>
          <w:rFonts w:ascii="Times New Roman" w:hAnsi="Times New Roman" w:eastAsia="仿宋" w:cs="仿宋"/>
          <w:b w:val="0"/>
          <w:sz w:val="32"/>
        </w:rPr>
        <w:t>日</w:t>
      </w:r>
      <w:bookmarkStart w:id="0" w:name="_GoBack"/>
      <w:bookmarkEnd w:id="0"/>
    </w:p>
    <w:sectPr>
      <w:pgSz w:w="11906" w:h="16838"/>
      <w:pgMar w:top="1440" w:right="1800" w:bottom="1440" w:left="1800" w:header="851" w:footer="99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2000000" w:usb3="00000000" w:csb0="2000019F" w:csb1="00000000"/>
  </w:font>
  <w:font w:name="ＭＳ 明朝">
    <w:altName w:val="汉仪仿宋S"/>
    <w:panose1 w:val="00000000000000000000"/>
    <w:charset w:val="80"/>
    <w:family w:val="roman"/>
    <w:pitch w:val="default"/>
    <w:sig w:usb0="00000000" w:usb1="00000000" w:usb2="00000010" w:usb3="00000000" w:csb0="00020000" w:csb1="00000000"/>
  </w:font>
  <w:font w:name="ＭＳ 明朝">
    <w:altName w:val="汉仪仿宋S"/>
    <w:panose1 w:val="00000000000000000000"/>
    <w:charset w:val="86"/>
    <w:family w:val="auto"/>
    <w:pitch w:val="default"/>
    <w:sig w:usb0="00000000" w:usb1="00000000" w:usb2="00000000" w:usb3="00000000" w:csb0="00000000" w:csb1="00000000"/>
  </w:font>
  <w:font w:name="ＭＳ ゴシック">
    <w:altName w:val="汉仪仿宋S"/>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ＭＳ 明朝">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Noto Sans Syriac Eastern">
    <w:panose1 w:val="02040503050306020203"/>
    <w:charset w:val="86"/>
    <w:family w:val="auto"/>
    <w:pitch w:val="default"/>
    <w:sig w:usb0="00000000" w:usb1="00000000" w:usb2="00000080" w:usb3="00000000" w:csb0="203E0161" w:csb1="D7FF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方正书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82"/>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49F1E74"/>
    <w:rsid w:val="36FF1D07"/>
    <w:rsid w:val="398E675F"/>
    <w:rsid w:val="65FE999A"/>
    <w:rsid w:val="6B120F8F"/>
    <w:rsid w:val="8F7F14F5"/>
    <w:rsid w:val="CFE600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2247</Words>
  <Characters>2374</Characters>
  <Lines>0</Lines>
  <Paragraphs>0</Paragraphs>
  <TotalTime>3</TotalTime>
  <ScaleCrop>false</ScaleCrop>
  <LinksUpToDate>false</LinksUpToDate>
  <CharactersWithSpaces>2374</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uos</cp:lastModifiedBy>
  <dcterms:modified xsi:type="dcterms:W3CDTF">2026-10-20T15:52:24Z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eyJoZGlkIjoiZjE1MGU2OTAwZTI5MTg2NjQwYTU1ZGFiNWJhNmY1ZTAiLCJ1c2VySWQiOiI0ODUyNTY1MzkifQ==</vt:lpwstr>
  </property>
  <property fmtid="{D5CDD505-2E9C-101B-9397-08002B2CF9AE}" pid="3" name="KSOProductBuildVer">
    <vt:lpwstr>2052-11.8.2.10337</vt:lpwstr>
  </property>
  <property fmtid="{D5CDD505-2E9C-101B-9397-08002B2CF9AE}" pid="4" name="ICV">
    <vt:lpwstr>F6E270405DFC4783A10B0CFAD3335BF6_12</vt:lpwstr>
  </property>
</Properties>
</file>