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40223">
      <w:pPr>
        <w:spacing w:before="653" w:beforeLines="200" w:line="480" w:lineRule="auto"/>
        <w:ind w:firstLine="0" w:firstLineChars="0"/>
        <w:jc w:val="center"/>
        <w:rPr>
          <w:rFonts w:hint="eastAsia" w:ascii="仿宋" w:hAnsi="仿宋" w:eastAsia="华文中宋"/>
          <w:b/>
          <w:color w:val="auto"/>
          <w:sz w:val="48"/>
          <w:szCs w:val="48"/>
          <w:highlight w:val="none"/>
          <w:lang w:eastAsia="zh-CN"/>
        </w:rPr>
      </w:pPr>
    </w:p>
    <w:p w14:paraId="4C8AEFAF">
      <w:pPr>
        <w:spacing w:before="653" w:beforeLines="200" w:line="480" w:lineRule="auto"/>
        <w:ind w:firstLine="0" w:firstLineChars="0"/>
        <w:jc w:val="center"/>
        <w:rPr>
          <w:rFonts w:hint="eastAsia" w:ascii="仿宋" w:hAnsi="仿宋" w:eastAsia="华文中宋"/>
          <w:b/>
          <w:color w:val="auto"/>
          <w:sz w:val="40"/>
          <w:szCs w:val="40"/>
          <w:highlight w:val="none"/>
          <w:lang w:eastAsia="zh-CN"/>
        </w:rPr>
      </w:pPr>
      <w:r>
        <w:rPr>
          <w:rFonts w:hint="eastAsia" w:ascii="仿宋" w:hAnsi="仿宋" w:eastAsia="华文中宋"/>
          <w:b/>
          <w:color w:val="auto"/>
          <w:sz w:val="40"/>
          <w:szCs w:val="40"/>
          <w:highlight w:val="none"/>
          <w:lang w:eastAsia="zh-CN"/>
        </w:rPr>
        <w:t>北京市密云区密东广场北侧地块地下停车场</w:t>
      </w:r>
    </w:p>
    <w:p w14:paraId="56388F04">
      <w:pPr>
        <w:spacing w:before="653" w:beforeLines="200" w:line="480" w:lineRule="auto"/>
        <w:ind w:firstLine="0" w:firstLineChars="0"/>
        <w:jc w:val="center"/>
        <w:rPr>
          <w:rFonts w:hint="eastAsia" w:ascii="仿宋" w:hAnsi="仿宋" w:eastAsia="华文中宋"/>
          <w:b/>
          <w:color w:val="auto"/>
          <w:sz w:val="48"/>
          <w:szCs w:val="48"/>
          <w:highlight w:val="none"/>
        </w:rPr>
      </w:pPr>
      <w:r>
        <w:rPr>
          <w:rFonts w:hint="eastAsia" w:ascii="仿宋" w:hAnsi="仿宋" w:eastAsia="华文中宋"/>
          <w:b/>
          <w:color w:val="auto"/>
          <w:sz w:val="48"/>
          <w:szCs w:val="48"/>
          <w:highlight w:val="none"/>
          <w:lang w:val="en-US" w:eastAsia="zh-CN"/>
        </w:rPr>
        <w:t>项目特许经营</w:t>
      </w:r>
      <w:r>
        <w:rPr>
          <w:rFonts w:hint="eastAsia" w:ascii="仿宋" w:hAnsi="仿宋" w:eastAsia="华文中宋"/>
          <w:b/>
          <w:color w:val="auto"/>
          <w:sz w:val="48"/>
          <w:szCs w:val="48"/>
          <w:highlight w:val="none"/>
        </w:rPr>
        <w:t>方案</w:t>
      </w:r>
    </w:p>
    <w:p w14:paraId="43781E9F">
      <w:pPr>
        <w:ind w:firstLine="480"/>
        <w:rPr>
          <w:rFonts w:ascii="仿宋" w:hAnsi="仿宋"/>
          <w:color w:val="auto"/>
          <w:highlight w:val="none"/>
        </w:rPr>
      </w:pPr>
    </w:p>
    <w:p w14:paraId="41963F91">
      <w:pPr>
        <w:ind w:firstLine="480"/>
        <w:rPr>
          <w:rFonts w:ascii="仿宋" w:hAnsi="仿宋"/>
          <w:color w:val="auto"/>
          <w:highlight w:val="none"/>
        </w:rPr>
      </w:pPr>
    </w:p>
    <w:p w14:paraId="15448A7B">
      <w:pPr>
        <w:ind w:firstLine="480"/>
        <w:rPr>
          <w:rFonts w:ascii="仿宋" w:hAnsi="仿宋"/>
          <w:color w:val="auto"/>
          <w:highlight w:val="none"/>
        </w:rPr>
      </w:pPr>
    </w:p>
    <w:p w14:paraId="5FC4432F">
      <w:pPr>
        <w:ind w:firstLine="0" w:firstLineChars="0"/>
        <w:jc w:val="center"/>
        <w:rPr>
          <w:rFonts w:ascii="仿宋" w:hAnsi="仿宋"/>
          <w:color w:val="auto"/>
          <w:highlight w:val="none"/>
        </w:rPr>
      </w:pPr>
    </w:p>
    <w:p w14:paraId="070492B5">
      <w:pPr>
        <w:ind w:firstLine="480"/>
        <w:rPr>
          <w:rFonts w:ascii="仿宋" w:hAnsi="仿宋"/>
          <w:color w:val="auto"/>
          <w:highlight w:val="none"/>
        </w:rPr>
      </w:pPr>
    </w:p>
    <w:p w14:paraId="30CAC639">
      <w:pPr>
        <w:ind w:firstLine="480"/>
        <w:rPr>
          <w:rFonts w:ascii="仿宋" w:hAnsi="仿宋"/>
          <w:color w:val="auto"/>
          <w:highlight w:val="none"/>
        </w:rPr>
      </w:pPr>
    </w:p>
    <w:p w14:paraId="0668946A">
      <w:pPr>
        <w:pStyle w:val="25"/>
        <w:rPr>
          <w:rFonts w:ascii="仿宋" w:hAnsi="仿宋"/>
          <w:color w:val="auto"/>
          <w:highlight w:val="none"/>
        </w:rPr>
      </w:pPr>
    </w:p>
    <w:p w14:paraId="10946E4A">
      <w:pPr>
        <w:pStyle w:val="30"/>
        <w:ind w:left="480"/>
        <w:rPr>
          <w:rFonts w:ascii="仿宋" w:hAnsi="仿宋"/>
          <w:color w:val="auto"/>
          <w:highlight w:val="none"/>
        </w:rPr>
      </w:pPr>
    </w:p>
    <w:p w14:paraId="29193167">
      <w:pPr>
        <w:rPr>
          <w:rFonts w:ascii="仿宋" w:hAnsi="仿宋"/>
          <w:color w:val="auto"/>
          <w:highlight w:val="none"/>
        </w:rPr>
      </w:pPr>
    </w:p>
    <w:p w14:paraId="0767ECF8">
      <w:pPr>
        <w:rPr>
          <w:rFonts w:ascii="仿宋" w:hAnsi="仿宋"/>
          <w:color w:val="auto"/>
          <w:highlight w:val="none"/>
        </w:rPr>
      </w:pPr>
    </w:p>
    <w:p w14:paraId="16A460EC">
      <w:pPr>
        <w:pStyle w:val="18"/>
        <w:rPr>
          <w:rFonts w:ascii="仿宋" w:hAnsi="仿宋"/>
          <w:color w:val="auto"/>
          <w:highlight w:val="none"/>
        </w:rPr>
      </w:pPr>
    </w:p>
    <w:p w14:paraId="41D2F98B">
      <w:pPr>
        <w:pStyle w:val="30"/>
        <w:ind w:left="480"/>
        <w:rPr>
          <w:rFonts w:ascii="仿宋" w:hAnsi="仿宋"/>
          <w:color w:val="auto"/>
          <w:highlight w:val="none"/>
        </w:rPr>
      </w:pPr>
    </w:p>
    <w:p w14:paraId="6FCFE960">
      <w:pPr>
        <w:widowControl/>
        <w:spacing w:line="240" w:lineRule="auto"/>
        <w:ind w:left="0" w:leftChars="0" w:firstLine="0" w:firstLineChars="0"/>
        <w:jc w:val="center"/>
        <w:rPr>
          <w:rFonts w:hint="eastAsia" w:ascii="仿宋" w:hAnsi="仿宋" w:eastAsia="华文中宋"/>
          <w:b/>
          <w:color w:val="auto"/>
          <w:sz w:val="32"/>
          <w:szCs w:val="24"/>
          <w:highlight w:val="none"/>
          <w:lang w:val="en-US" w:eastAsia="zh-CN"/>
        </w:rPr>
      </w:pPr>
      <w:r>
        <w:rPr>
          <w:rFonts w:hint="eastAsia" w:ascii="仿宋" w:hAnsi="仿宋" w:eastAsia="华文中宋"/>
          <w:b/>
          <w:color w:val="auto"/>
          <w:sz w:val="32"/>
          <w:szCs w:val="24"/>
          <w:highlight w:val="none"/>
          <w:lang w:val="en-US" w:eastAsia="zh-CN"/>
        </w:rPr>
        <w:t>北京市密云区城管委</w:t>
      </w:r>
    </w:p>
    <w:p w14:paraId="7FA8B5BE">
      <w:pPr>
        <w:widowControl/>
        <w:spacing w:line="240" w:lineRule="auto"/>
        <w:ind w:left="0" w:leftChars="0" w:firstLine="0" w:firstLineChars="0"/>
        <w:jc w:val="center"/>
        <w:rPr>
          <w:rFonts w:hint="eastAsia" w:ascii="仿宋" w:hAnsi="仿宋" w:eastAsia="华文中宋"/>
          <w:b/>
          <w:color w:val="auto"/>
          <w:sz w:val="32"/>
          <w:szCs w:val="24"/>
          <w:highlight w:val="none"/>
          <w:lang w:val="en-US" w:eastAsia="zh-CN"/>
        </w:rPr>
      </w:pPr>
      <w:r>
        <w:rPr>
          <w:rFonts w:hint="eastAsia" w:ascii="仿宋" w:hAnsi="仿宋" w:eastAsia="华文中宋"/>
          <w:b/>
          <w:color w:val="auto"/>
          <w:sz w:val="32"/>
          <w:szCs w:val="24"/>
          <w:highlight w:val="none"/>
          <w:lang w:val="en-US" w:eastAsia="zh-CN"/>
        </w:rPr>
        <w:t>二〇二六年八月</w:t>
      </w:r>
    </w:p>
    <w:p w14:paraId="4367807A">
      <w:pPr>
        <w:tabs>
          <w:tab w:val="left" w:pos="996"/>
        </w:tabs>
        <w:ind w:firstLine="0" w:firstLineChars="0"/>
        <w:jc w:val="left"/>
        <w:rPr>
          <w:rFonts w:ascii="仿宋" w:hAnsi="仿宋"/>
          <w:color w:val="auto"/>
          <w:highlight w:val="none"/>
        </w:rPr>
        <w:sectPr>
          <w:footerReference r:id="rId8" w:type="first"/>
          <w:footerReference r:id="rId6" w:type="default"/>
          <w:headerReference r:id="rId5" w:type="even"/>
          <w:footerReference r:id="rId7" w:type="even"/>
          <w:pgSz w:w="11906" w:h="16838"/>
          <w:pgMar w:top="1440" w:right="1797" w:bottom="1440" w:left="1797" w:header="851" w:footer="680" w:gutter="0"/>
          <w:pgNumType w:fmt="decimal" w:start="1"/>
          <w:cols w:space="720" w:num="1"/>
          <w:titlePg/>
          <w:docGrid w:type="lines" w:linePitch="326" w:charSpace="0"/>
        </w:sectPr>
      </w:pPr>
    </w:p>
    <w:p w14:paraId="36514ACC">
      <w:pPr>
        <w:spacing w:before="653" w:beforeLines="200" w:line="480" w:lineRule="auto"/>
        <w:ind w:firstLine="0" w:firstLineChars="0"/>
        <w:jc w:val="center"/>
        <w:rPr>
          <w:rFonts w:hint="eastAsia" w:ascii="仿宋" w:hAnsi="仿宋" w:eastAsia="华文中宋"/>
          <w:b/>
          <w:color w:val="auto"/>
          <w:sz w:val="48"/>
          <w:szCs w:val="48"/>
          <w:highlight w:val="none"/>
        </w:rPr>
      </w:pPr>
    </w:p>
    <w:p w14:paraId="3C0A75C2">
      <w:pPr>
        <w:spacing w:before="653" w:beforeLines="200" w:line="480" w:lineRule="auto"/>
        <w:ind w:firstLine="0" w:firstLineChars="0"/>
        <w:jc w:val="center"/>
        <w:rPr>
          <w:rFonts w:hint="eastAsia" w:ascii="仿宋" w:hAnsi="仿宋" w:eastAsia="华文中宋"/>
          <w:b/>
          <w:color w:val="auto"/>
          <w:sz w:val="40"/>
          <w:szCs w:val="40"/>
          <w:highlight w:val="none"/>
          <w:lang w:eastAsia="zh-CN"/>
        </w:rPr>
      </w:pPr>
      <w:r>
        <w:rPr>
          <w:rFonts w:hint="eastAsia" w:ascii="仿宋" w:hAnsi="仿宋" w:eastAsia="华文中宋"/>
          <w:b/>
          <w:color w:val="auto"/>
          <w:sz w:val="40"/>
          <w:szCs w:val="40"/>
          <w:highlight w:val="none"/>
          <w:lang w:eastAsia="zh-CN"/>
        </w:rPr>
        <w:t>北京市密云区密东广场北侧地块地下停车场</w:t>
      </w:r>
    </w:p>
    <w:p w14:paraId="000609F4">
      <w:pPr>
        <w:spacing w:before="653" w:beforeLines="200" w:line="480" w:lineRule="auto"/>
        <w:ind w:firstLine="0" w:firstLineChars="0"/>
        <w:jc w:val="center"/>
        <w:rPr>
          <w:rFonts w:hint="eastAsia" w:ascii="仿宋" w:hAnsi="仿宋" w:eastAsia="华文中宋"/>
          <w:b/>
          <w:color w:val="auto"/>
          <w:sz w:val="48"/>
          <w:szCs w:val="48"/>
          <w:highlight w:val="none"/>
        </w:rPr>
      </w:pPr>
      <w:r>
        <w:rPr>
          <w:rFonts w:hint="eastAsia" w:ascii="仿宋" w:hAnsi="仿宋" w:eastAsia="华文中宋"/>
          <w:b/>
          <w:color w:val="auto"/>
          <w:sz w:val="48"/>
          <w:szCs w:val="48"/>
          <w:highlight w:val="none"/>
          <w:lang w:val="en-US" w:eastAsia="zh-CN"/>
        </w:rPr>
        <w:t>项目特许经营</w:t>
      </w:r>
      <w:r>
        <w:rPr>
          <w:rFonts w:hint="eastAsia" w:ascii="仿宋" w:hAnsi="仿宋" w:eastAsia="华文中宋"/>
          <w:b/>
          <w:color w:val="auto"/>
          <w:sz w:val="48"/>
          <w:szCs w:val="48"/>
          <w:highlight w:val="none"/>
        </w:rPr>
        <w:t>方案</w:t>
      </w:r>
    </w:p>
    <w:p w14:paraId="12BD8846">
      <w:pPr>
        <w:ind w:firstLine="480"/>
        <w:rPr>
          <w:rFonts w:ascii="仿宋" w:hAnsi="仿宋"/>
          <w:color w:val="auto"/>
          <w:highlight w:val="none"/>
        </w:rPr>
      </w:pPr>
    </w:p>
    <w:p w14:paraId="7101759C">
      <w:pPr>
        <w:pStyle w:val="18"/>
        <w:rPr>
          <w:rFonts w:ascii="仿宋" w:hAnsi="仿宋"/>
          <w:color w:val="auto"/>
          <w:highlight w:val="none"/>
        </w:rPr>
      </w:pPr>
    </w:p>
    <w:p w14:paraId="3B1E757B">
      <w:pPr>
        <w:pStyle w:val="18"/>
        <w:rPr>
          <w:rFonts w:ascii="仿宋" w:hAnsi="仿宋"/>
          <w:color w:val="auto"/>
          <w:highlight w:val="none"/>
        </w:rPr>
      </w:pPr>
    </w:p>
    <w:p w14:paraId="6B2155F1">
      <w:pPr>
        <w:pStyle w:val="18"/>
        <w:rPr>
          <w:rFonts w:ascii="仿宋" w:hAnsi="仿宋"/>
          <w:color w:val="auto"/>
          <w:highlight w:val="none"/>
        </w:rPr>
      </w:pPr>
    </w:p>
    <w:p w14:paraId="740FA4F2">
      <w:pPr>
        <w:pStyle w:val="18"/>
        <w:rPr>
          <w:rFonts w:ascii="仿宋" w:hAnsi="仿宋"/>
          <w:color w:val="auto"/>
          <w:highlight w:val="none"/>
        </w:rPr>
      </w:pPr>
    </w:p>
    <w:p w14:paraId="0DCDCCDC">
      <w:pPr>
        <w:ind w:firstLine="480"/>
        <w:rPr>
          <w:rFonts w:ascii="仿宋" w:hAnsi="仿宋"/>
          <w:color w:val="auto"/>
          <w:highlight w:val="none"/>
        </w:rPr>
      </w:pPr>
    </w:p>
    <w:p w14:paraId="5ED23254">
      <w:pPr>
        <w:ind w:firstLine="480"/>
        <w:rPr>
          <w:rFonts w:ascii="仿宋" w:hAnsi="仿宋"/>
          <w:color w:val="auto"/>
          <w:highlight w:val="none"/>
        </w:rPr>
      </w:pPr>
    </w:p>
    <w:p w14:paraId="3BB37A64">
      <w:pPr>
        <w:pStyle w:val="25"/>
        <w:rPr>
          <w:rFonts w:ascii="仿宋" w:hAnsi="仿宋"/>
          <w:color w:val="auto"/>
          <w:highlight w:val="none"/>
        </w:rPr>
      </w:pPr>
    </w:p>
    <w:p w14:paraId="217EE445">
      <w:pPr>
        <w:rPr>
          <w:rFonts w:ascii="仿宋" w:hAnsi="仿宋"/>
          <w:color w:val="auto"/>
          <w:highlight w:val="none"/>
        </w:rPr>
      </w:pPr>
    </w:p>
    <w:p w14:paraId="6CE26397">
      <w:pPr>
        <w:pStyle w:val="30"/>
        <w:ind w:left="480"/>
        <w:rPr>
          <w:rFonts w:ascii="仿宋" w:hAnsi="仿宋"/>
          <w:color w:val="auto"/>
          <w:highlight w:val="none"/>
        </w:rPr>
      </w:pPr>
    </w:p>
    <w:p w14:paraId="2386F8F4">
      <w:pPr>
        <w:widowControl/>
        <w:spacing w:line="360" w:lineRule="auto"/>
        <w:ind w:left="0" w:leftChars="0" w:firstLine="1281" w:firstLineChars="400"/>
        <w:jc w:val="left"/>
        <w:rPr>
          <w:rFonts w:hint="eastAsia" w:ascii="仿宋" w:hAnsi="仿宋" w:eastAsia="华文中宋"/>
          <w:b/>
          <w:color w:val="auto"/>
          <w:sz w:val="32"/>
          <w:szCs w:val="24"/>
          <w:highlight w:val="none"/>
          <w:lang w:val="en-US" w:eastAsia="zh-CN"/>
        </w:rPr>
      </w:pPr>
      <w:r>
        <w:rPr>
          <w:rFonts w:hint="eastAsia" w:ascii="仿宋" w:hAnsi="仿宋" w:eastAsia="华文中宋"/>
          <w:b/>
          <w:color w:val="auto"/>
          <w:sz w:val="32"/>
          <w:szCs w:val="24"/>
          <w:highlight w:val="none"/>
          <w:lang w:val="en-US" w:eastAsia="zh-CN"/>
        </w:rPr>
        <w:t>实施机构：北京市密云区城管委</w:t>
      </w:r>
    </w:p>
    <w:p w14:paraId="4C0A441D">
      <w:pPr>
        <w:widowControl/>
        <w:spacing w:line="360" w:lineRule="auto"/>
        <w:ind w:left="0" w:leftChars="0" w:firstLine="1281" w:firstLineChars="400"/>
        <w:jc w:val="both"/>
        <w:rPr>
          <w:rFonts w:hint="default" w:ascii="仿宋" w:hAnsi="仿宋" w:eastAsia="华文中宋"/>
          <w:b/>
          <w:color w:val="auto"/>
          <w:sz w:val="32"/>
          <w:szCs w:val="24"/>
          <w:highlight w:val="none"/>
          <w:lang w:val="en-US" w:eastAsia="zh-CN"/>
        </w:rPr>
      </w:pPr>
      <w:r>
        <w:rPr>
          <w:rFonts w:hint="eastAsia" w:ascii="仿宋" w:hAnsi="仿宋" w:eastAsia="华文中宋"/>
          <w:b/>
          <w:color w:val="auto"/>
          <w:sz w:val="32"/>
          <w:szCs w:val="24"/>
          <w:highlight w:val="none"/>
          <w:lang w:val="en-US" w:eastAsia="zh-CN"/>
        </w:rPr>
        <w:t>编制单位：中咨海外咨询有限公司</w:t>
      </w:r>
    </w:p>
    <w:p w14:paraId="1D84A2A0">
      <w:pPr>
        <w:widowControl/>
        <w:spacing w:line="360" w:lineRule="auto"/>
        <w:ind w:left="0" w:leftChars="0" w:firstLine="0" w:firstLineChars="0"/>
        <w:jc w:val="center"/>
        <w:rPr>
          <w:rFonts w:hint="default" w:ascii="仿宋" w:hAnsi="仿宋" w:eastAsia="华文中宋"/>
          <w:b/>
          <w:color w:val="auto"/>
          <w:sz w:val="32"/>
          <w:szCs w:val="24"/>
          <w:highlight w:val="none"/>
          <w:lang w:val="en-US" w:eastAsia="zh-CN"/>
        </w:rPr>
      </w:pPr>
      <w:r>
        <w:rPr>
          <w:rFonts w:hint="default" w:ascii="仿宋" w:hAnsi="仿宋" w:eastAsia="华文中宋"/>
          <w:b/>
          <w:color w:val="auto"/>
          <w:sz w:val="32"/>
          <w:szCs w:val="24"/>
          <w:highlight w:val="none"/>
          <w:lang w:val="en-US" w:eastAsia="zh-CN"/>
        </w:rPr>
        <w:t>二〇二</w:t>
      </w:r>
      <w:r>
        <w:rPr>
          <w:rFonts w:hint="eastAsia" w:ascii="仿宋" w:hAnsi="仿宋" w:eastAsia="华文中宋"/>
          <w:b/>
          <w:color w:val="auto"/>
          <w:sz w:val="32"/>
          <w:szCs w:val="24"/>
          <w:highlight w:val="none"/>
          <w:lang w:val="en-US" w:eastAsia="zh-CN"/>
        </w:rPr>
        <w:t>六</w:t>
      </w:r>
      <w:r>
        <w:rPr>
          <w:rFonts w:hint="default" w:ascii="仿宋" w:hAnsi="仿宋" w:eastAsia="华文中宋"/>
          <w:b/>
          <w:color w:val="auto"/>
          <w:sz w:val="32"/>
          <w:szCs w:val="24"/>
          <w:highlight w:val="none"/>
          <w:lang w:val="en-US" w:eastAsia="zh-CN"/>
        </w:rPr>
        <w:t>年</w:t>
      </w:r>
      <w:r>
        <w:rPr>
          <w:rFonts w:hint="eastAsia" w:ascii="仿宋" w:hAnsi="仿宋" w:eastAsia="华文中宋"/>
          <w:b/>
          <w:color w:val="auto"/>
          <w:sz w:val="32"/>
          <w:szCs w:val="24"/>
          <w:highlight w:val="none"/>
          <w:lang w:val="en-US" w:eastAsia="zh-CN"/>
        </w:rPr>
        <w:t>八</w:t>
      </w:r>
      <w:r>
        <w:rPr>
          <w:rFonts w:hint="default" w:ascii="仿宋" w:hAnsi="仿宋" w:eastAsia="华文中宋"/>
          <w:b/>
          <w:color w:val="auto"/>
          <w:sz w:val="32"/>
          <w:szCs w:val="24"/>
          <w:highlight w:val="none"/>
          <w:lang w:val="en-US" w:eastAsia="zh-CN"/>
        </w:rPr>
        <w:t>月</w:t>
      </w:r>
    </w:p>
    <w:p w14:paraId="116DEE78">
      <w:pPr>
        <w:tabs>
          <w:tab w:val="left" w:pos="996"/>
        </w:tabs>
        <w:ind w:firstLine="0" w:firstLineChars="0"/>
        <w:jc w:val="left"/>
        <w:rPr>
          <w:rFonts w:ascii="仿宋" w:hAnsi="仿宋"/>
          <w:color w:val="auto"/>
          <w:highlight w:val="none"/>
        </w:rPr>
        <w:sectPr>
          <w:footerReference r:id="rId10" w:type="first"/>
          <w:footerReference r:id="rId9" w:type="default"/>
          <w:pgSz w:w="11906" w:h="16838"/>
          <w:pgMar w:top="1440" w:right="1797" w:bottom="1440" w:left="1797" w:header="851" w:footer="680" w:gutter="0"/>
          <w:pgNumType w:fmt="decimal" w:start="1"/>
          <w:cols w:space="720" w:num="1"/>
          <w:titlePg/>
          <w:docGrid w:type="lines" w:linePitch="326" w:charSpace="0"/>
        </w:sectPr>
      </w:pPr>
    </w:p>
    <w:p w14:paraId="71FFAB21">
      <w:pPr>
        <w:pStyle w:val="30"/>
        <w:ind w:left="0" w:leftChars="0" w:firstLine="0" w:firstLineChars="0"/>
        <w:jc w:val="center"/>
        <w:rPr>
          <w:rFonts w:hint="eastAsia" w:ascii="仿宋" w:hAnsi="仿宋" w:eastAsia="仿宋" w:cs="仿宋"/>
          <w:b/>
          <w:bCs w:val="0"/>
          <w:color w:val="auto"/>
          <w:sz w:val="44"/>
          <w:szCs w:val="44"/>
          <w:highlight w:val="none"/>
        </w:rPr>
      </w:pPr>
      <w:r>
        <w:rPr>
          <w:rFonts w:hint="eastAsia" w:ascii="仿宋" w:hAnsi="仿宋" w:eastAsia="仿宋" w:cs="仿宋"/>
          <w:b/>
          <w:bCs w:val="0"/>
          <w:color w:val="auto"/>
          <w:sz w:val="44"/>
          <w:szCs w:val="44"/>
          <w:highlight w:val="none"/>
        </w:rPr>
        <w:t>目</w:t>
      </w:r>
      <w:r>
        <w:rPr>
          <w:rFonts w:hint="eastAsia" w:ascii="仿宋" w:hAnsi="仿宋" w:eastAsia="仿宋" w:cs="仿宋"/>
          <w:b/>
          <w:bCs w:val="0"/>
          <w:color w:val="auto"/>
          <w:sz w:val="44"/>
          <w:szCs w:val="44"/>
          <w:highlight w:val="none"/>
          <w:lang w:val="en-US" w:eastAsia="zh-CN"/>
        </w:rPr>
        <w:t xml:space="preserve"> </w:t>
      </w:r>
      <w:r>
        <w:rPr>
          <w:rFonts w:hint="eastAsia" w:ascii="仿宋" w:hAnsi="仿宋" w:eastAsia="仿宋" w:cs="仿宋"/>
          <w:b/>
          <w:bCs w:val="0"/>
          <w:color w:val="auto"/>
          <w:sz w:val="44"/>
          <w:szCs w:val="44"/>
          <w:highlight w:val="none"/>
        </w:rPr>
        <w:t>录</w:t>
      </w:r>
    </w:p>
    <w:p w14:paraId="1D74C271">
      <w:pPr>
        <w:bidi w:val="0"/>
        <w:rPr>
          <w:rFonts w:hint="eastAsia" w:ascii="仿宋" w:hAnsi="仿宋" w:eastAsia="仿宋"/>
          <w:color w:val="auto"/>
        </w:rPr>
      </w:pPr>
    </w:p>
    <w:p w14:paraId="6F5FDEBC">
      <w:pPr>
        <w:pStyle w:val="24"/>
        <w:tabs>
          <w:tab w:val="right" w:leader="dot" w:pos="8312"/>
          <w:tab w:val="clear" w:pos="9060"/>
        </w:tabs>
      </w:pPr>
      <w:bookmarkStart w:id="0" w:name="_Toc7595"/>
      <w:bookmarkStart w:id="1" w:name="_Toc492734443"/>
      <w:bookmarkStart w:id="2" w:name="_Toc10698"/>
      <w:bookmarkStart w:id="3" w:name="_Toc107258313"/>
      <w:bookmarkStart w:id="4" w:name="_Toc12600"/>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TOC \o "1-2" \h \u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_Toc22293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第一章 </w:t>
      </w:r>
      <w:r>
        <w:rPr>
          <w:rFonts w:hint="eastAsia" w:ascii="仿宋" w:hAnsi="仿宋" w:eastAsia="仿宋" w:cs="仿宋"/>
          <w:highlight w:val="none"/>
          <w:lang w:val="en-US" w:eastAsia="zh-CN"/>
        </w:rPr>
        <w:t>项目概况</w:t>
      </w:r>
      <w:r>
        <w:tab/>
      </w:r>
      <w:r>
        <w:fldChar w:fldCharType="begin"/>
      </w:r>
      <w:r>
        <w:instrText xml:space="preserve"> PAGEREF _Toc22293 \h </w:instrText>
      </w:r>
      <w:r>
        <w:fldChar w:fldCharType="separate"/>
      </w:r>
      <w:r>
        <w:t>1</w:t>
      </w:r>
      <w:r>
        <w:fldChar w:fldCharType="end"/>
      </w:r>
      <w:r>
        <w:rPr>
          <w:rFonts w:hint="eastAsia" w:ascii="仿宋" w:hAnsi="仿宋" w:eastAsia="仿宋" w:cs="仿宋"/>
          <w:color w:val="auto"/>
          <w:highlight w:val="none"/>
        </w:rPr>
        <w:fldChar w:fldCharType="end"/>
      </w:r>
    </w:p>
    <w:p w14:paraId="7D2813BA">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_Toc29173 </w:instrText>
      </w:r>
      <w:r>
        <w:rPr>
          <w:rFonts w:hint="eastAsia" w:ascii="仿宋" w:hAnsi="仿宋" w:eastAsia="仿宋" w:cs="仿宋"/>
          <w:highlight w:val="none"/>
        </w:rPr>
        <w:fldChar w:fldCharType="separate"/>
      </w:r>
      <w:r>
        <w:rPr>
          <w:rFonts w:hint="eastAsia" w:ascii="仿宋" w:hAnsi="仿宋" w:eastAsia="仿宋" w:cs="仿宋"/>
        </w:rPr>
        <w:t xml:space="preserve">1.1 </w:t>
      </w:r>
      <w:r>
        <w:rPr>
          <w:rFonts w:hint="eastAsia" w:ascii="仿宋" w:hAnsi="仿宋" w:eastAsia="仿宋" w:cs="仿宋"/>
          <w:highlight w:val="none"/>
        </w:rPr>
        <w:t>项目概况</w:t>
      </w:r>
      <w:r>
        <w:tab/>
      </w:r>
      <w:r>
        <w:fldChar w:fldCharType="begin"/>
      </w:r>
      <w:r>
        <w:instrText xml:space="preserve"> PAGEREF _Toc29173 \h </w:instrText>
      </w:r>
      <w:r>
        <w:fldChar w:fldCharType="separate"/>
      </w:r>
      <w:r>
        <w:t>1</w:t>
      </w:r>
      <w:r>
        <w:fldChar w:fldCharType="end"/>
      </w:r>
      <w:r>
        <w:rPr>
          <w:rFonts w:hint="eastAsia" w:ascii="仿宋" w:hAnsi="仿宋" w:eastAsia="仿宋" w:cs="仿宋"/>
          <w:color w:val="auto"/>
          <w:highlight w:val="none"/>
        </w:rPr>
        <w:fldChar w:fldCharType="end"/>
      </w:r>
    </w:p>
    <w:p w14:paraId="2009BD7A">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_Toc13099 </w:instrText>
      </w:r>
      <w:r>
        <w:rPr>
          <w:rFonts w:hint="eastAsia" w:ascii="仿宋" w:hAnsi="仿宋" w:eastAsia="仿宋" w:cs="仿宋"/>
          <w:highlight w:val="none"/>
        </w:rPr>
        <w:fldChar w:fldCharType="separate"/>
      </w:r>
      <w:r>
        <w:rPr>
          <w:rFonts w:hint="eastAsia" w:ascii="仿宋" w:hAnsi="仿宋" w:eastAsia="仿宋" w:cs="仿宋"/>
        </w:rPr>
        <w:t xml:space="preserve">1.2 </w:t>
      </w:r>
      <w:r>
        <w:rPr>
          <w:rFonts w:hint="eastAsia" w:ascii="仿宋" w:hAnsi="仿宋" w:eastAsia="仿宋" w:cs="仿宋"/>
          <w:highlight w:val="none"/>
          <w:lang w:val="en-US" w:eastAsia="zh-CN"/>
        </w:rPr>
        <w:t>项目</w:t>
      </w:r>
      <w:r>
        <w:rPr>
          <w:rFonts w:hint="eastAsia" w:ascii="仿宋" w:hAnsi="仿宋" w:eastAsia="仿宋" w:cs="仿宋"/>
          <w:highlight w:val="none"/>
        </w:rPr>
        <w:t>实施机构</w:t>
      </w:r>
      <w:r>
        <w:tab/>
      </w:r>
      <w:r>
        <w:fldChar w:fldCharType="begin"/>
      </w:r>
      <w:r>
        <w:instrText xml:space="preserve"> PAGEREF _Toc13099 \h </w:instrText>
      </w:r>
      <w:r>
        <w:fldChar w:fldCharType="separate"/>
      </w:r>
      <w:r>
        <w:t>6</w:t>
      </w:r>
      <w:r>
        <w:fldChar w:fldCharType="end"/>
      </w:r>
      <w:r>
        <w:rPr>
          <w:rFonts w:hint="eastAsia" w:ascii="仿宋" w:hAnsi="仿宋" w:eastAsia="仿宋" w:cs="仿宋"/>
          <w:color w:val="auto"/>
          <w:highlight w:val="none"/>
        </w:rPr>
        <w:fldChar w:fldCharType="end"/>
      </w:r>
    </w:p>
    <w:p w14:paraId="646B25B4">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_Toc26035 </w:instrText>
      </w:r>
      <w:r>
        <w:rPr>
          <w:rFonts w:hint="eastAsia" w:ascii="仿宋" w:hAnsi="仿宋" w:eastAsia="仿宋" w:cs="仿宋"/>
          <w:highlight w:val="none"/>
        </w:rPr>
        <w:fldChar w:fldCharType="separate"/>
      </w:r>
      <w:r>
        <w:rPr>
          <w:rFonts w:hint="eastAsia" w:ascii="仿宋" w:hAnsi="仿宋" w:eastAsia="仿宋" w:cs="仿宋"/>
          <w:lang w:val="en-US"/>
        </w:rPr>
        <w:t xml:space="preserve">1.3 </w:t>
      </w:r>
      <w:r>
        <w:rPr>
          <w:rFonts w:hint="eastAsia" w:ascii="仿宋" w:hAnsi="仿宋" w:eastAsia="仿宋" w:cs="仿宋"/>
          <w:highlight w:val="none"/>
          <w:lang w:val="en-US" w:eastAsia="zh-CN"/>
        </w:rPr>
        <w:t>特许经营主要内容</w:t>
      </w:r>
      <w:r>
        <w:tab/>
      </w:r>
      <w:r>
        <w:fldChar w:fldCharType="begin"/>
      </w:r>
      <w:r>
        <w:instrText xml:space="preserve"> PAGEREF _Toc26035 \h </w:instrText>
      </w:r>
      <w:r>
        <w:fldChar w:fldCharType="separate"/>
      </w:r>
      <w:r>
        <w:t>6</w:t>
      </w:r>
      <w:r>
        <w:fldChar w:fldCharType="end"/>
      </w:r>
      <w:r>
        <w:rPr>
          <w:rFonts w:hint="eastAsia" w:ascii="仿宋" w:hAnsi="仿宋" w:eastAsia="仿宋" w:cs="仿宋"/>
          <w:color w:val="auto"/>
          <w:highlight w:val="none"/>
        </w:rPr>
        <w:fldChar w:fldCharType="end"/>
      </w:r>
    </w:p>
    <w:p w14:paraId="3C17AAF4">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_Toc10380 </w:instrText>
      </w:r>
      <w:r>
        <w:rPr>
          <w:rFonts w:hint="eastAsia" w:ascii="仿宋" w:hAnsi="仿宋" w:eastAsia="仿宋" w:cs="仿宋"/>
          <w:highlight w:val="none"/>
        </w:rPr>
        <w:fldChar w:fldCharType="separate"/>
      </w:r>
      <w:r>
        <w:rPr>
          <w:rFonts w:hint="eastAsia" w:ascii="仿宋" w:hAnsi="仿宋" w:eastAsia="仿宋" w:cs="仿宋"/>
          <w:lang w:val="en-US"/>
        </w:rPr>
        <w:t xml:space="preserve">1.4 </w:t>
      </w:r>
      <w:r>
        <w:rPr>
          <w:rFonts w:hint="eastAsia" w:ascii="仿宋" w:hAnsi="仿宋" w:eastAsia="仿宋" w:cs="仿宋"/>
          <w:highlight w:val="none"/>
          <w:lang w:val="en-US" w:eastAsia="zh-CN"/>
        </w:rPr>
        <w:t>政府承诺和保障</w:t>
      </w:r>
      <w:r>
        <w:tab/>
      </w:r>
      <w:r>
        <w:fldChar w:fldCharType="begin"/>
      </w:r>
      <w:r>
        <w:instrText xml:space="preserve"> PAGEREF _Toc10380 \h </w:instrText>
      </w:r>
      <w:r>
        <w:fldChar w:fldCharType="separate"/>
      </w:r>
      <w:r>
        <w:t>9</w:t>
      </w:r>
      <w:r>
        <w:fldChar w:fldCharType="end"/>
      </w:r>
      <w:r>
        <w:rPr>
          <w:rFonts w:hint="eastAsia" w:ascii="仿宋" w:hAnsi="仿宋" w:eastAsia="仿宋" w:cs="仿宋"/>
          <w:color w:val="auto"/>
          <w:highlight w:val="none"/>
        </w:rPr>
        <w:fldChar w:fldCharType="end"/>
      </w:r>
    </w:p>
    <w:p w14:paraId="1E999C14">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_Toc23008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1.5 </w:t>
      </w:r>
      <w:r>
        <w:rPr>
          <w:rFonts w:hint="eastAsia" w:ascii="仿宋" w:hAnsi="仿宋" w:eastAsia="仿宋" w:cs="仿宋"/>
          <w:highlight w:val="none"/>
          <w:lang w:val="en-US" w:eastAsia="zh-CN"/>
        </w:rPr>
        <w:t>编制依据</w:t>
      </w:r>
      <w:r>
        <w:tab/>
      </w:r>
      <w:r>
        <w:fldChar w:fldCharType="begin"/>
      </w:r>
      <w:r>
        <w:instrText xml:space="preserve"> PAGEREF _Toc23008 \h </w:instrText>
      </w:r>
      <w:r>
        <w:fldChar w:fldCharType="separate"/>
      </w:r>
      <w:r>
        <w:t>10</w:t>
      </w:r>
      <w:r>
        <w:fldChar w:fldCharType="end"/>
      </w:r>
      <w:r>
        <w:rPr>
          <w:rFonts w:hint="eastAsia" w:ascii="仿宋" w:hAnsi="仿宋" w:eastAsia="仿宋" w:cs="仿宋"/>
          <w:color w:val="auto"/>
          <w:highlight w:val="none"/>
        </w:rPr>
        <w:fldChar w:fldCharType="end"/>
      </w:r>
    </w:p>
    <w:p w14:paraId="6D055F61">
      <w:pPr>
        <w:pStyle w:val="24"/>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_Toc16991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第二章 </w:t>
      </w:r>
      <w:r>
        <w:rPr>
          <w:rFonts w:hint="eastAsia" w:ascii="仿宋" w:hAnsi="仿宋" w:eastAsia="仿宋" w:cs="仿宋"/>
          <w:highlight w:val="none"/>
          <w:lang w:val="en-US" w:eastAsia="zh-CN"/>
        </w:rPr>
        <w:t>项目可行性分析</w:t>
      </w:r>
      <w:r>
        <w:tab/>
      </w:r>
      <w:r>
        <w:fldChar w:fldCharType="begin"/>
      </w:r>
      <w:r>
        <w:instrText xml:space="preserve"> PAGEREF _Toc16991 \h </w:instrText>
      </w:r>
      <w:r>
        <w:fldChar w:fldCharType="separate"/>
      </w:r>
      <w:r>
        <w:t>1</w:t>
      </w:r>
      <w:r>
        <w:fldChar w:fldCharType="end"/>
      </w:r>
      <w:r>
        <w:rPr>
          <w:rFonts w:hint="eastAsia" w:ascii="仿宋" w:hAnsi="仿宋" w:eastAsia="仿宋" w:cs="仿宋"/>
          <w:color w:val="auto"/>
          <w:highlight w:val="none"/>
        </w:rPr>
        <w:fldChar w:fldCharType="end"/>
      </w:r>
    </w:p>
    <w:p w14:paraId="48BBDA99">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_Toc11977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2.1 </w:t>
      </w:r>
      <w:r>
        <w:rPr>
          <w:rFonts w:hint="eastAsia" w:ascii="仿宋" w:hAnsi="仿宋" w:eastAsia="仿宋" w:cs="仿宋"/>
          <w:highlight w:val="none"/>
          <w:lang w:val="en-US" w:eastAsia="zh-CN"/>
        </w:rPr>
        <w:t>建设必要性</w:t>
      </w:r>
      <w:r>
        <w:tab/>
      </w:r>
      <w:r>
        <w:fldChar w:fldCharType="begin"/>
      </w:r>
      <w:r>
        <w:instrText xml:space="preserve"> PAGEREF _Toc11977 \h </w:instrText>
      </w:r>
      <w:r>
        <w:fldChar w:fldCharType="separate"/>
      </w:r>
      <w:r>
        <w:t>1</w:t>
      </w:r>
      <w:r>
        <w:fldChar w:fldCharType="end"/>
      </w:r>
      <w:r>
        <w:rPr>
          <w:rFonts w:hint="eastAsia" w:ascii="仿宋" w:hAnsi="仿宋" w:eastAsia="仿宋" w:cs="仿宋"/>
          <w:color w:val="auto"/>
          <w:highlight w:val="none"/>
        </w:rPr>
        <w:fldChar w:fldCharType="end"/>
      </w:r>
    </w:p>
    <w:p w14:paraId="32E7D633">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_Toc6567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2.2 </w:t>
      </w:r>
      <w:r>
        <w:rPr>
          <w:rFonts w:hint="eastAsia" w:ascii="仿宋" w:hAnsi="仿宋" w:eastAsia="仿宋" w:cs="仿宋"/>
          <w:highlight w:val="none"/>
          <w:lang w:val="en-US" w:eastAsia="zh-CN"/>
        </w:rPr>
        <w:t>建设方案分析</w:t>
      </w:r>
      <w:r>
        <w:tab/>
      </w:r>
      <w:r>
        <w:fldChar w:fldCharType="begin"/>
      </w:r>
      <w:r>
        <w:instrText xml:space="preserve"> PAGEREF _Toc6567 \h </w:instrText>
      </w:r>
      <w:r>
        <w:fldChar w:fldCharType="separate"/>
      </w:r>
      <w:r>
        <w:t>9</w:t>
      </w:r>
      <w:r>
        <w:fldChar w:fldCharType="end"/>
      </w:r>
      <w:r>
        <w:rPr>
          <w:rFonts w:hint="eastAsia" w:ascii="仿宋" w:hAnsi="仿宋" w:eastAsia="仿宋" w:cs="仿宋"/>
          <w:color w:val="auto"/>
          <w:highlight w:val="none"/>
        </w:rPr>
        <w:fldChar w:fldCharType="end"/>
      </w:r>
    </w:p>
    <w:p w14:paraId="22E62E85">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_Toc20524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2.3 </w:t>
      </w:r>
      <w:r>
        <w:rPr>
          <w:rFonts w:hint="eastAsia" w:ascii="仿宋" w:hAnsi="仿宋" w:eastAsia="仿宋" w:cs="仿宋"/>
          <w:highlight w:val="none"/>
          <w:lang w:val="en-US" w:eastAsia="zh-CN"/>
        </w:rPr>
        <w:t>要素保障条件</w:t>
      </w:r>
      <w:r>
        <w:tab/>
      </w:r>
      <w:r>
        <w:fldChar w:fldCharType="begin"/>
      </w:r>
      <w:r>
        <w:instrText xml:space="preserve"> PAGEREF _Toc20524 \h </w:instrText>
      </w:r>
      <w:r>
        <w:fldChar w:fldCharType="separate"/>
      </w:r>
      <w:r>
        <w:t>29</w:t>
      </w:r>
      <w:r>
        <w:fldChar w:fldCharType="end"/>
      </w:r>
      <w:r>
        <w:rPr>
          <w:rFonts w:hint="eastAsia" w:ascii="仿宋" w:hAnsi="仿宋" w:eastAsia="仿宋" w:cs="仿宋"/>
          <w:color w:val="auto"/>
          <w:highlight w:val="none"/>
        </w:rPr>
        <w:fldChar w:fldCharType="end"/>
      </w:r>
    </w:p>
    <w:p w14:paraId="16BA4BA5">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_Toc28914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2.4 </w:t>
      </w:r>
      <w:r>
        <w:rPr>
          <w:rFonts w:hint="eastAsia" w:ascii="仿宋" w:hAnsi="仿宋" w:eastAsia="仿宋" w:cs="仿宋"/>
          <w:highlight w:val="none"/>
          <w:lang w:val="en-US" w:eastAsia="zh-CN"/>
        </w:rPr>
        <w:t>运营服务要求</w:t>
      </w:r>
      <w:r>
        <w:tab/>
      </w:r>
      <w:r>
        <w:fldChar w:fldCharType="begin"/>
      </w:r>
      <w:r>
        <w:instrText xml:space="preserve"> PAGEREF _Toc28914 \h </w:instrText>
      </w:r>
      <w:r>
        <w:fldChar w:fldCharType="separate"/>
      </w:r>
      <w:r>
        <w:t>30</w:t>
      </w:r>
      <w:r>
        <w:fldChar w:fldCharType="end"/>
      </w:r>
      <w:r>
        <w:rPr>
          <w:rFonts w:hint="eastAsia" w:ascii="仿宋" w:hAnsi="仿宋" w:eastAsia="仿宋" w:cs="仿宋"/>
          <w:color w:val="auto"/>
          <w:highlight w:val="none"/>
        </w:rPr>
        <w:fldChar w:fldCharType="end"/>
      </w:r>
    </w:p>
    <w:p w14:paraId="5BC4991B">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_Toc1172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2.5 </w:t>
      </w:r>
      <w:r>
        <w:rPr>
          <w:rFonts w:hint="eastAsia" w:ascii="仿宋" w:hAnsi="仿宋" w:eastAsia="仿宋" w:cs="仿宋"/>
          <w:highlight w:val="none"/>
          <w:lang w:val="en-US" w:eastAsia="zh-CN"/>
        </w:rPr>
        <w:t>主要风险识别和分析</w:t>
      </w:r>
      <w:r>
        <w:tab/>
      </w:r>
      <w:r>
        <w:fldChar w:fldCharType="begin"/>
      </w:r>
      <w:r>
        <w:instrText xml:space="preserve"> PAGEREF _Toc1172 \h </w:instrText>
      </w:r>
      <w:r>
        <w:fldChar w:fldCharType="separate"/>
      </w:r>
      <w:r>
        <w:t>36</w:t>
      </w:r>
      <w:r>
        <w:fldChar w:fldCharType="end"/>
      </w:r>
      <w:r>
        <w:rPr>
          <w:rFonts w:hint="eastAsia" w:ascii="仿宋" w:hAnsi="仿宋" w:eastAsia="仿宋" w:cs="仿宋"/>
          <w:color w:val="auto"/>
          <w:highlight w:val="none"/>
        </w:rPr>
        <w:fldChar w:fldCharType="end"/>
      </w:r>
    </w:p>
    <w:p w14:paraId="05926860">
      <w:pPr>
        <w:pStyle w:val="24"/>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_Toc24321 </w:instrText>
      </w:r>
      <w:r>
        <w:rPr>
          <w:rFonts w:hint="eastAsia" w:ascii="仿宋" w:hAnsi="仿宋" w:eastAsia="仿宋" w:cs="仿宋"/>
          <w:highlight w:val="none"/>
        </w:rPr>
        <w:fldChar w:fldCharType="separate"/>
      </w:r>
      <w:r>
        <w:rPr>
          <w:rFonts w:hint="eastAsia" w:ascii="仿宋" w:hAnsi="仿宋" w:eastAsia="仿宋" w:cs="仿宋"/>
        </w:rPr>
        <w:t xml:space="preserve">第三章 </w:t>
      </w:r>
      <w:r>
        <w:rPr>
          <w:rFonts w:hint="eastAsia" w:ascii="仿宋" w:hAnsi="仿宋" w:eastAsia="仿宋" w:cs="仿宋"/>
          <w:highlight w:val="none"/>
          <w:lang w:val="en-US" w:eastAsia="zh-CN"/>
        </w:rPr>
        <w:t>项目特许</w:t>
      </w:r>
      <w:r>
        <w:rPr>
          <w:rFonts w:hint="eastAsia" w:ascii="仿宋" w:hAnsi="仿宋" w:eastAsia="仿宋" w:cs="仿宋"/>
          <w:highlight w:val="none"/>
        </w:rPr>
        <w:t>经营模式可行性论证</w:t>
      </w:r>
      <w:r>
        <w:tab/>
      </w:r>
      <w:r>
        <w:fldChar w:fldCharType="begin"/>
      </w:r>
      <w:r>
        <w:instrText xml:space="preserve"> PAGEREF _Toc24321 \h </w:instrText>
      </w:r>
      <w:r>
        <w:fldChar w:fldCharType="separate"/>
      </w:r>
      <w:r>
        <w:t>40</w:t>
      </w:r>
      <w:r>
        <w:fldChar w:fldCharType="end"/>
      </w:r>
      <w:r>
        <w:rPr>
          <w:rFonts w:hint="eastAsia" w:ascii="仿宋" w:hAnsi="仿宋" w:eastAsia="仿宋" w:cs="仿宋"/>
          <w:color w:val="auto"/>
          <w:highlight w:val="none"/>
        </w:rPr>
        <w:fldChar w:fldCharType="end"/>
      </w:r>
    </w:p>
    <w:p w14:paraId="470FB759">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_Toc27182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3.1 </w:t>
      </w:r>
      <w:r>
        <w:rPr>
          <w:rFonts w:hint="eastAsia" w:ascii="仿宋" w:hAnsi="仿宋" w:eastAsia="仿宋" w:cs="仿宋"/>
          <w:highlight w:val="none"/>
          <w:lang w:val="en-US" w:eastAsia="zh-CN"/>
        </w:rPr>
        <w:t>项目属性分析</w:t>
      </w:r>
      <w:r>
        <w:tab/>
      </w:r>
      <w:r>
        <w:fldChar w:fldCharType="begin"/>
      </w:r>
      <w:r>
        <w:instrText xml:space="preserve"> PAGEREF _Toc27182 \h </w:instrText>
      </w:r>
      <w:r>
        <w:fldChar w:fldCharType="separate"/>
      </w:r>
      <w:r>
        <w:t>40</w:t>
      </w:r>
      <w:r>
        <w:fldChar w:fldCharType="end"/>
      </w:r>
      <w:r>
        <w:rPr>
          <w:rFonts w:hint="eastAsia" w:ascii="仿宋" w:hAnsi="仿宋" w:eastAsia="仿宋" w:cs="仿宋"/>
          <w:color w:val="auto"/>
          <w:highlight w:val="none"/>
        </w:rPr>
        <w:fldChar w:fldCharType="end"/>
      </w:r>
    </w:p>
    <w:p w14:paraId="2BDC9CD3">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_Toc10747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3.2 </w:t>
      </w:r>
      <w:r>
        <w:rPr>
          <w:rFonts w:hint="eastAsia" w:ascii="仿宋" w:hAnsi="仿宋" w:eastAsia="仿宋" w:cs="仿宋"/>
          <w:highlight w:val="none"/>
          <w:lang w:val="en-US" w:eastAsia="zh-CN"/>
        </w:rPr>
        <w:t>项目收费渠道和方式</w:t>
      </w:r>
      <w:r>
        <w:tab/>
      </w:r>
      <w:r>
        <w:fldChar w:fldCharType="begin"/>
      </w:r>
      <w:r>
        <w:instrText xml:space="preserve"> PAGEREF _Toc10747 \h </w:instrText>
      </w:r>
      <w:r>
        <w:fldChar w:fldCharType="separate"/>
      </w:r>
      <w:r>
        <w:t>41</w:t>
      </w:r>
      <w:r>
        <w:fldChar w:fldCharType="end"/>
      </w:r>
      <w:r>
        <w:rPr>
          <w:rFonts w:hint="eastAsia" w:ascii="仿宋" w:hAnsi="仿宋" w:eastAsia="仿宋" w:cs="仿宋"/>
          <w:color w:val="auto"/>
          <w:highlight w:val="none"/>
        </w:rPr>
        <w:fldChar w:fldCharType="end"/>
      </w:r>
    </w:p>
    <w:p w14:paraId="2FF2AA6A">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_Toc29834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3.3 </w:t>
      </w:r>
      <w:r>
        <w:rPr>
          <w:rFonts w:hint="eastAsia" w:ascii="仿宋" w:hAnsi="仿宋" w:eastAsia="仿宋" w:cs="仿宋"/>
          <w:highlight w:val="none"/>
          <w:lang w:val="en-US" w:eastAsia="zh-CN"/>
        </w:rPr>
        <w:t>项目盈利能力分析</w:t>
      </w:r>
      <w:r>
        <w:tab/>
      </w:r>
      <w:r>
        <w:fldChar w:fldCharType="begin"/>
      </w:r>
      <w:r>
        <w:instrText xml:space="preserve"> PAGEREF _Toc29834 \h </w:instrText>
      </w:r>
      <w:r>
        <w:fldChar w:fldCharType="separate"/>
      </w:r>
      <w:r>
        <w:t>56</w:t>
      </w:r>
      <w:r>
        <w:fldChar w:fldCharType="end"/>
      </w:r>
      <w:r>
        <w:rPr>
          <w:rFonts w:hint="eastAsia" w:ascii="仿宋" w:hAnsi="仿宋" w:eastAsia="仿宋" w:cs="仿宋"/>
          <w:color w:val="auto"/>
          <w:highlight w:val="none"/>
        </w:rPr>
        <w:fldChar w:fldCharType="end"/>
      </w:r>
    </w:p>
    <w:p w14:paraId="24DDD643">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_Toc11558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3.4 </w:t>
      </w:r>
      <w:r>
        <w:rPr>
          <w:rFonts w:hint="eastAsia" w:ascii="仿宋" w:hAnsi="仿宋" w:eastAsia="仿宋" w:cs="仿宋"/>
          <w:highlight w:val="none"/>
          <w:lang w:val="en-US" w:eastAsia="zh-CN"/>
        </w:rPr>
        <w:t>比较优势分析</w:t>
      </w:r>
      <w:r>
        <w:tab/>
      </w:r>
      <w:r>
        <w:fldChar w:fldCharType="begin"/>
      </w:r>
      <w:r>
        <w:instrText xml:space="preserve"> PAGEREF _Toc11558 \h </w:instrText>
      </w:r>
      <w:r>
        <w:fldChar w:fldCharType="separate"/>
      </w:r>
      <w:r>
        <w:t>58</w:t>
      </w:r>
      <w:r>
        <w:fldChar w:fldCharType="end"/>
      </w:r>
      <w:r>
        <w:rPr>
          <w:rFonts w:hint="eastAsia" w:ascii="仿宋" w:hAnsi="仿宋" w:eastAsia="仿宋" w:cs="仿宋"/>
          <w:color w:val="auto"/>
          <w:highlight w:val="none"/>
        </w:rPr>
        <w:fldChar w:fldCharType="end"/>
      </w:r>
    </w:p>
    <w:p w14:paraId="2D0E19FF">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_Toc22504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3.5 </w:t>
      </w:r>
      <w:r>
        <w:rPr>
          <w:rFonts w:hint="eastAsia" w:ascii="仿宋" w:hAnsi="仿宋" w:eastAsia="仿宋" w:cs="仿宋"/>
          <w:highlight w:val="none"/>
          <w:lang w:val="en-US" w:eastAsia="zh-CN"/>
        </w:rPr>
        <w:t>参与意愿分析</w:t>
      </w:r>
      <w:r>
        <w:tab/>
      </w:r>
      <w:r>
        <w:fldChar w:fldCharType="begin"/>
      </w:r>
      <w:r>
        <w:instrText xml:space="preserve"> PAGEREF _Toc22504 \h </w:instrText>
      </w:r>
      <w:r>
        <w:fldChar w:fldCharType="separate"/>
      </w:r>
      <w:r>
        <w:t>64</w:t>
      </w:r>
      <w:r>
        <w:fldChar w:fldCharType="end"/>
      </w:r>
      <w:r>
        <w:rPr>
          <w:rFonts w:hint="eastAsia" w:ascii="仿宋" w:hAnsi="仿宋" w:eastAsia="仿宋" w:cs="仿宋"/>
          <w:color w:val="auto"/>
          <w:highlight w:val="none"/>
        </w:rPr>
        <w:fldChar w:fldCharType="end"/>
      </w:r>
    </w:p>
    <w:p w14:paraId="5F200C9B">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_Toc16783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3.6 </w:t>
      </w:r>
      <w:r>
        <w:rPr>
          <w:rFonts w:hint="eastAsia" w:ascii="仿宋" w:hAnsi="仿宋" w:eastAsia="仿宋" w:cs="仿宋"/>
          <w:highlight w:val="none"/>
          <w:lang w:val="en-US" w:eastAsia="zh-CN"/>
        </w:rPr>
        <w:t>合法合规性分析</w:t>
      </w:r>
      <w:r>
        <w:tab/>
      </w:r>
      <w:r>
        <w:fldChar w:fldCharType="begin"/>
      </w:r>
      <w:r>
        <w:instrText xml:space="preserve"> PAGEREF _Toc16783 \h </w:instrText>
      </w:r>
      <w:r>
        <w:fldChar w:fldCharType="separate"/>
      </w:r>
      <w:r>
        <w:t>66</w:t>
      </w:r>
      <w:r>
        <w:fldChar w:fldCharType="end"/>
      </w:r>
      <w:r>
        <w:rPr>
          <w:rFonts w:hint="eastAsia" w:ascii="仿宋" w:hAnsi="仿宋" w:eastAsia="仿宋" w:cs="仿宋"/>
          <w:color w:val="auto"/>
          <w:highlight w:val="none"/>
        </w:rPr>
        <w:fldChar w:fldCharType="end"/>
      </w:r>
    </w:p>
    <w:p w14:paraId="19A3483F">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_Toc20419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3.7 </w:t>
      </w:r>
      <w:r>
        <w:rPr>
          <w:rFonts w:hint="eastAsia" w:ascii="仿宋" w:hAnsi="仿宋" w:eastAsia="仿宋" w:cs="仿宋"/>
          <w:highlight w:val="none"/>
          <w:lang w:val="en-US" w:eastAsia="zh-CN"/>
        </w:rPr>
        <w:t>特许经营风险分析</w:t>
      </w:r>
      <w:r>
        <w:tab/>
      </w:r>
      <w:r>
        <w:fldChar w:fldCharType="begin"/>
      </w:r>
      <w:r>
        <w:instrText xml:space="preserve"> PAGEREF _Toc20419 \h </w:instrText>
      </w:r>
      <w:r>
        <w:fldChar w:fldCharType="separate"/>
      </w:r>
      <w:r>
        <w:t>70</w:t>
      </w:r>
      <w:r>
        <w:fldChar w:fldCharType="end"/>
      </w:r>
      <w:r>
        <w:rPr>
          <w:rFonts w:hint="eastAsia" w:ascii="仿宋" w:hAnsi="仿宋" w:eastAsia="仿宋" w:cs="仿宋"/>
          <w:color w:val="auto"/>
          <w:highlight w:val="none"/>
        </w:rPr>
        <w:fldChar w:fldCharType="end"/>
      </w:r>
    </w:p>
    <w:p w14:paraId="11205C6A">
      <w:pPr>
        <w:pStyle w:val="24"/>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_Toc26849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第四章 </w:t>
      </w:r>
      <w:r>
        <w:rPr>
          <w:rFonts w:hint="eastAsia" w:ascii="仿宋" w:hAnsi="仿宋" w:eastAsia="仿宋" w:cs="仿宋"/>
          <w:spacing w:val="0"/>
          <w:szCs w:val="44"/>
          <w:highlight w:val="none"/>
          <w:lang w:val="en-US" w:eastAsia="zh-CN"/>
        </w:rPr>
        <w:t>特许经营主要内容</w:t>
      </w:r>
      <w:r>
        <w:tab/>
      </w:r>
      <w:r>
        <w:fldChar w:fldCharType="begin"/>
      </w:r>
      <w:r>
        <w:instrText xml:space="preserve"> PAGEREF _Toc26849 \h </w:instrText>
      </w:r>
      <w:r>
        <w:fldChar w:fldCharType="separate"/>
      </w:r>
      <w:r>
        <w:t>72</w:t>
      </w:r>
      <w:r>
        <w:fldChar w:fldCharType="end"/>
      </w:r>
      <w:r>
        <w:rPr>
          <w:rFonts w:hint="eastAsia" w:ascii="仿宋" w:hAnsi="仿宋" w:eastAsia="仿宋" w:cs="仿宋"/>
          <w:color w:val="auto"/>
          <w:highlight w:val="none"/>
        </w:rPr>
        <w:fldChar w:fldCharType="end"/>
      </w:r>
    </w:p>
    <w:p w14:paraId="457E840B">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_Toc8905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4.1 </w:t>
      </w:r>
      <w:r>
        <w:rPr>
          <w:rFonts w:hint="eastAsia" w:ascii="仿宋" w:hAnsi="仿宋" w:eastAsia="仿宋" w:cs="仿宋"/>
          <w:highlight w:val="none"/>
          <w:lang w:val="en-US" w:eastAsia="zh-CN"/>
        </w:rPr>
        <w:t>特许经营范围</w:t>
      </w:r>
      <w:r>
        <w:tab/>
      </w:r>
      <w:r>
        <w:fldChar w:fldCharType="begin"/>
      </w:r>
      <w:r>
        <w:instrText xml:space="preserve"> PAGEREF _Toc8905 \h </w:instrText>
      </w:r>
      <w:r>
        <w:fldChar w:fldCharType="separate"/>
      </w:r>
      <w:r>
        <w:t>72</w:t>
      </w:r>
      <w:r>
        <w:fldChar w:fldCharType="end"/>
      </w:r>
      <w:r>
        <w:rPr>
          <w:rFonts w:hint="eastAsia" w:ascii="仿宋" w:hAnsi="仿宋" w:eastAsia="仿宋" w:cs="仿宋"/>
          <w:color w:val="auto"/>
          <w:highlight w:val="none"/>
        </w:rPr>
        <w:fldChar w:fldCharType="end"/>
      </w:r>
    </w:p>
    <w:p w14:paraId="70B3B39B">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_Toc13302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4.2 </w:t>
      </w:r>
      <w:r>
        <w:rPr>
          <w:rFonts w:hint="eastAsia" w:ascii="仿宋" w:hAnsi="仿宋" w:eastAsia="仿宋" w:cs="仿宋"/>
          <w:highlight w:val="none"/>
          <w:lang w:val="en-US" w:eastAsia="zh-CN"/>
        </w:rPr>
        <w:t>实施方式</w:t>
      </w:r>
      <w:r>
        <w:tab/>
      </w:r>
      <w:r>
        <w:fldChar w:fldCharType="begin"/>
      </w:r>
      <w:r>
        <w:instrText xml:space="preserve"> PAGEREF _Toc13302 \h </w:instrText>
      </w:r>
      <w:r>
        <w:fldChar w:fldCharType="separate"/>
      </w:r>
      <w:r>
        <w:t>72</w:t>
      </w:r>
      <w:r>
        <w:fldChar w:fldCharType="end"/>
      </w:r>
      <w:r>
        <w:rPr>
          <w:rFonts w:hint="eastAsia" w:ascii="仿宋" w:hAnsi="仿宋" w:eastAsia="仿宋" w:cs="仿宋"/>
          <w:color w:val="auto"/>
          <w:highlight w:val="none"/>
        </w:rPr>
        <w:fldChar w:fldCharType="end"/>
      </w:r>
    </w:p>
    <w:p w14:paraId="31A86498">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_Toc6065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4.3 </w:t>
      </w:r>
      <w:r>
        <w:rPr>
          <w:rFonts w:hint="eastAsia" w:ascii="仿宋" w:hAnsi="仿宋" w:eastAsia="仿宋" w:cs="仿宋"/>
          <w:highlight w:val="none"/>
          <w:lang w:val="en-US" w:eastAsia="zh-CN"/>
        </w:rPr>
        <w:t>特许经营期限和资产权属</w:t>
      </w:r>
      <w:r>
        <w:tab/>
      </w:r>
      <w:r>
        <w:fldChar w:fldCharType="begin"/>
      </w:r>
      <w:r>
        <w:instrText xml:space="preserve"> PAGEREF _Toc6065 \h </w:instrText>
      </w:r>
      <w:r>
        <w:fldChar w:fldCharType="separate"/>
      </w:r>
      <w:r>
        <w:t>75</w:t>
      </w:r>
      <w:r>
        <w:fldChar w:fldCharType="end"/>
      </w:r>
      <w:r>
        <w:rPr>
          <w:rFonts w:hint="eastAsia" w:ascii="仿宋" w:hAnsi="仿宋" w:eastAsia="仿宋" w:cs="仿宋"/>
          <w:color w:val="auto"/>
          <w:highlight w:val="none"/>
        </w:rPr>
        <w:fldChar w:fldCharType="end"/>
      </w:r>
    </w:p>
    <w:p w14:paraId="591D02A9">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_Toc27367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4.4 </w:t>
      </w:r>
      <w:r>
        <w:rPr>
          <w:rFonts w:hint="eastAsia" w:ascii="仿宋" w:hAnsi="仿宋" w:eastAsia="仿宋" w:cs="仿宋"/>
          <w:highlight w:val="none"/>
          <w:lang w:val="en-US" w:eastAsia="zh-CN"/>
        </w:rPr>
        <w:t>特许经营主要原则和合作边界</w:t>
      </w:r>
      <w:r>
        <w:tab/>
      </w:r>
      <w:r>
        <w:fldChar w:fldCharType="begin"/>
      </w:r>
      <w:r>
        <w:instrText xml:space="preserve"> PAGEREF _Toc27367 \h </w:instrText>
      </w:r>
      <w:r>
        <w:fldChar w:fldCharType="separate"/>
      </w:r>
      <w:r>
        <w:t>76</w:t>
      </w:r>
      <w:r>
        <w:fldChar w:fldCharType="end"/>
      </w:r>
      <w:r>
        <w:rPr>
          <w:rFonts w:hint="eastAsia" w:ascii="仿宋" w:hAnsi="仿宋" w:eastAsia="仿宋" w:cs="仿宋"/>
          <w:color w:val="auto"/>
          <w:highlight w:val="none"/>
        </w:rPr>
        <w:fldChar w:fldCharType="end"/>
      </w:r>
    </w:p>
    <w:p w14:paraId="289AB019">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_Toc27301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4.5 </w:t>
      </w:r>
      <w:r>
        <w:rPr>
          <w:rFonts w:hint="eastAsia" w:ascii="仿宋" w:hAnsi="仿宋" w:eastAsia="仿宋" w:cs="仿宋"/>
          <w:highlight w:val="none"/>
          <w:lang w:val="en-US" w:eastAsia="zh-CN"/>
        </w:rPr>
        <w:t>特许经营者选择</w:t>
      </w:r>
      <w:r>
        <w:tab/>
      </w:r>
      <w:r>
        <w:fldChar w:fldCharType="begin"/>
      </w:r>
      <w:r>
        <w:instrText xml:space="preserve"> PAGEREF _Toc27301 \h </w:instrText>
      </w:r>
      <w:r>
        <w:fldChar w:fldCharType="separate"/>
      </w:r>
      <w:r>
        <w:t>83</w:t>
      </w:r>
      <w:r>
        <w:fldChar w:fldCharType="end"/>
      </w:r>
      <w:r>
        <w:rPr>
          <w:rFonts w:hint="eastAsia" w:ascii="仿宋" w:hAnsi="仿宋" w:eastAsia="仿宋" w:cs="仿宋"/>
          <w:color w:val="auto"/>
          <w:highlight w:val="none"/>
        </w:rPr>
        <w:fldChar w:fldCharType="end"/>
      </w:r>
    </w:p>
    <w:p w14:paraId="299EE4A0">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_Toc32587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4.6 </w:t>
      </w:r>
      <w:r>
        <w:rPr>
          <w:rFonts w:hint="eastAsia" w:ascii="仿宋" w:hAnsi="仿宋" w:eastAsia="仿宋" w:cs="仿宋"/>
          <w:highlight w:val="none"/>
          <w:lang w:val="en-US" w:eastAsia="zh-CN"/>
        </w:rPr>
        <w:t>交易结构与投融资结构</w:t>
      </w:r>
      <w:r>
        <w:tab/>
      </w:r>
      <w:r>
        <w:fldChar w:fldCharType="begin"/>
      </w:r>
      <w:r>
        <w:instrText xml:space="preserve"> PAGEREF _Toc32587 \h </w:instrText>
      </w:r>
      <w:r>
        <w:fldChar w:fldCharType="separate"/>
      </w:r>
      <w:r>
        <w:t>85</w:t>
      </w:r>
      <w:r>
        <w:fldChar w:fldCharType="end"/>
      </w:r>
      <w:r>
        <w:rPr>
          <w:rFonts w:hint="eastAsia" w:ascii="仿宋" w:hAnsi="仿宋" w:eastAsia="仿宋" w:cs="仿宋"/>
          <w:color w:val="auto"/>
          <w:highlight w:val="none"/>
        </w:rPr>
        <w:fldChar w:fldCharType="end"/>
      </w:r>
    </w:p>
    <w:p w14:paraId="2B93B897">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_Toc3175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4.7 </w:t>
      </w:r>
      <w:r>
        <w:rPr>
          <w:rFonts w:hint="eastAsia" w:ascii="仿宋" w:hAnsi="仿宋" w:eastAsia="仿宋" w:cs="仿宋"/>
          <w:highlight w:val="none"/>
          <w:lang w:val="en-US" w:eastAsia="zh-CN"/>
        </w:rPr>
        <w:t>监督管理和运营评价</w:t>
      </w:r>
      <w:r>
        <w:tab/>
      </w:r>
      <w:r>
        <w:fldChar w:fldCharType="begin"/>
      </w:r>
      <w:r>
        <w:instrText xml:space="preserve"> PAGEREF _Toc3175 \h </w:instrText>
      </w:r>
      <w:r>
        <w:fldChar w:fldCharType="separate"/>
      </w:r>
      <w:r>
        <w:t>90</w:t>
      </w:r>
      <w:r>
        <w:fldChar w:fldCharType="end"/>
      </w:r>
      <w:r>
        <w:rPr>
          <w:rFonts w:hint="eastAsia" w:ascii="仿宋" w:hAnsi="仿宋" w:eastAsia="仿宋" w:cs="仿宋"/>
          <w:color w:val="auto"/>
          <w:highlight w:val="none"/>
        </w:rPr>
        <w:fldChar w:fldCharType="end"/>
      </w:r>
    </w:p>
    <w:p w14:paraId="358133F3">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_Toc2647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4.8 </w:t>
      </w:r>
      <w:r>
        <w:rPr>
          <w:rFonts w:hint="eastAsia" w:ascii="仿宋" w:hAnsi="仿宋" w:eastAsia="仿宋" w:cs="仿宋"/>
          <w:highlight w:val="none"/>
          <w:lang w:val="en-US" w:eastAsia="zh-CN"/>
        </w:rPr>
        <w:t>风险管控</w:t>
      </w:r>
      <w:r>
        <w:tab/>
      </w:r>
      <w:r>
        <w:fldChar w:fldCharType="begin"/>
      </w:r>
      <w:r>
        <w:instrText xml:space="preserve"> PAGEREF _Toc2647 \h </w:instrText>
      </w:r>
      <w:r>
        <w:fldChar w:fldCharType="separate"/>
      </w:r>
      <w:r>
        <w:t>93</w:t>
      </w:r>
      <w:r>
        <w:fldChar w:fldCharType="end"/>
      </w:r>
      <w:r>
        <w:rPr>
          <w:rFonts w:hint="eastAsia" w:ascii="仿宋" w:hAnsi="仿宋" w:eastAsia="仿宋" w:cs="仿宋"/>
          <w:color w:val="auto"/>
          <w:highlight w:val="none"/>
        </w:rPr>
        <w:fldChar w:fldCharType="end"/>
      </w:r>
    </w:p>
    <w:p w14:paraId="09A071E8">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_Toc19820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4.9 </w:t>
      </w:r>
      <w:r>
        <w:rPr>
          <w:rFonts w:hint="eastAsia" w:ascii="仿宋" w:hAnsi="仿宋" w:eastAsia="仿宋" w:cs="仿宋"/>
          <w:highlight w:val="none"/>
          <w:lang w:val="en-US" w:eastAsia="zh-CN"/>
        </w:rPr>
        <w:t>政府承诺和保障</w:t>
      </w:r>
      <w:r>
        <w:tab/>
      </w:r>
      <w:r>
        <w:fldChar w:fldCharType="begin"/>
      </w:r>
      <w:r>
        <w:instrText xml:space="preserve"> PAGEREF _Toc19820 \h </w:instrText>
      </w:r>
      <w:r>
        <w:fldChar w:fldCharType="separate"/>
      </w:r>
      <w:r>
        <w:t>95</w:t>
      </w:r>
      <w:r>
        <w:fldChar w:fldCharType="end"/>
      </w:r>
      <w:r>
        <w:rPr>
          <w:rFonts w:hint="eastAsia" w:ascii="仿宋" w:hAnsi="仿宋" w:eastAsia="仿宋" w:cs="仿宋"/>
          <w:color w:val="auto"/>
          <w:highlight w:val="none"/>
        </w:rPr>
        <w:fldChar w:fldCharType="end"/>
      </w:r>
    </w:p>
    <w:p w14:paraId="1B199DBA">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_Toc1899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4.10 </w:t>
      </w:r>
      <w:r>
        <w:rPr>
          <w:rFonts w:hint="eastAsia" w:ascii="仿宋" w:hAnsi="仿宋" w:eastAsia="仿宋" w:cs="仿宋"/>
          <w:highlight w:val="none"/>
          <w:lang w:val="en-US" w:eastAsia="zh-CN"/>
        </w:rPr>
        <w:t>调整、变更等其他要求</w:t>
      </w:r>
      <w:r>
        <w:tab/>
      </w:r>
      <w:r>
        <w:fldChar w:fldCharType="begin"/>
      </w:r>
      <w:r>
        <w:instrText xml:space="preserve"> PAGEREF _Toc1899 \h </w:instrText>
      </w:r>
      <w:r>
        <w:fldChar w:fldCharType="separate"/>
      </w:r>
      <w:r>
        <w:t>97</w:t>
      </w:r>
      <w:r>
        <w:fldChar w:fldCharType="end"/>
      </w:r>
      <w:r>
        <w:rPr>
          <w:rFonts w:hint="eastAsia" w:ascii="仿宋" w:hAnsi="仿宋" w:eastAsia="仿宋" w:cs="仿宋"/>
          <w:color w:val="auto"/>
          <w:highlight w:val="none"/>
        </w:rPr>
        <w:fldChar w:fldCharType="end"/>
      </w:r>
    </w:p>
    <w:p w14:paraId="47B33476">
      <w:pPr>
        <w:pStyle w:val="24"/>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_Toc25058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第五章 </w:t>
      </w:r>
      <w:r>
        <w:rPr>
          <w:rFonts w:hint="eastAsia" w:ascii="仿宋" w:hAnsi="仿宋" w:eastAsia="仿宋" w:cs="仿宋"/>
          <w:highlight w:val="none"/>
          <w:lang w:val="en-US" w:eastAsia="zh-CN"/>
        </w:rPr>
        <w:t>结论和建议</w:t>
      </w:r>
      <w:r>
        <w:tab/>
      </w:r>
      <w:r>
        <w:fldChar w:fldCharType="begin"/>
      </w:r>
      <w:r>
        <w:instrText xml:space="preserve"> PAGEREF _Toc25058 \h </w:instrText>
      </w:r>
      <w:r>
        <w:fldChar w:fldCharType="separate"/>
      </w:r>
      <w:r>
        <w:t>109</w:t>
      </w:r>
      <w:r>
        <w:fldChar w:fldCharType="end"/>
      </w:r>
      <w:r>
        <w:rPr>
          <w:rFonts w:hint="eastAsia" w:ascii="仿宋" w:hAnsi="仿宋" w:eastAsia="仿宋" w:cs="仿宋"/>
          <w:color w:val="auto"/>
          <w:highlight w:val="none"/>
        </w:rPr>
        <w:fldChar w:fldCharType="end"/>
      </w:r>
    </w:p>
    <w:p w14:paraId="17B7800C">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_Toc17043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5.1 </w:t>
      </w:r>
      <w:r>
        <w:rPr>
          <w:rFonts w:hint="eastAsia" w:ascii="仿宋" w:hAnsi="仿宋" w:eastAsia="仿宋" w:cs="仿宋"/>
          <w:highlight w:val="none"/>
          <w:lang w:val="en-US" w:eastAsia="zh-CN"/>
        </w:rPr>
        <w:t>主要研究结论</w:t>
      </w:r>
      <w:r>
        <w:tab/>
      </w:r>
      <w:r>
        <w:fldChar w:fldCharType="begin"/>
      </w:r>
      <w:r>
        <w:instrText xml:space="preserve"> PAGEREF _Toc17043 \h </w:instrText>
      </w:r>
      <w:r>
        <w:fldChar w:fldCharType="separate"/>
      </w:r>
      <w:r>
        <w:t>109</w:t>
      </w:r>
      <w:r>
        <w:fldChar w:fldCharType="end"/>
      </w:r>
      <w:r>
        <w:rPr>
          <w:rFonts w:hint="eastAsia" w:ascii="仿宋" w:hAnsi="仿宋" w:eastAsia="仿宋" w:cs="仿宋"/>
          <w:color w:val="auto"/>
          <w:highlight w:val="none"/>
        </w:rPr>
        <w:fldChar w:fldCharType="end"/>
      </w:r>
    </w:p>
    <w:p w14:paraId="11A474CB">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_Toc29681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5.2 </w:t>
      </w:r>
      <w:r>
        <w:rPr>
          <w:rFonts w:hint="eastAsia" w:ascii="仿宋" w:hAnsi="仿宋" w:eastAsia="仿宋" w:cs="仿宋"/>
          <w:highlight w:val="none"/>
          <w:lang w:val="en-US" w:eastAsia="zh-CN"/>
        </w:rPr>
        <w:t>问题与建议</w:t>
      </w:r>
      <w:r>
        <w:tab/>
      </w:r>
      <w:r>
        <w:fldChar w:fldCharType="begin"/>
      </w:r>
      <w:r>
        <w:instrText xml:space="preserve"> PAGEREF _Toc29681 \h </w:instrText>
      </w:r>
      <w:r>
        <w:fldChar w:fldCharType="separate"/>
      </w:r>
      <w:r>
        <w:t>110</w:t>
      </w:r>
      <w:r>
        <w:fldChar w:fldCharType="end"/>
      </w:r>
      <w:r>
        <w:rPr>
          <w:rFonts w:hint="eastAsia" w:ascii="仿宋" w:hAnsi="仿宋" w:eastAsia="仿宋" w:cs="仿宋"/>
          <w:color w:val="auto"/>
          <w:highlight w:val="none"/>
        </w:rPr>
        <w:fldChar w:fldCharType="end"/>
      </w:r>
    </w:p>
    <w:p w14:paraId="419623D1">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_Toc14965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5.3 </w:t>
      </w:r>
      <w:r>
        <w:rPr>
          <w:rFonts w:hint="eastAsia" w:ascii="仿宋" w:hAnsi="仿宋" w:eastAsia="仿宋" w:cs="仿宋"/>
          <w:highlight w:val="none"/>
          <w:lang w:val="en-US" w:eastAsia="zh-CN"/>
        </w:rPr>
        <w:t>附表</w:t>
      </w:r>
      <w:r>
        <w:tab/>
      </w:r>
      <w:r>
        <w:fldChar w:fldCharType="begin"/>
      </w:r>
      <w:r>
        <w:instrText xml:space="preserve"> PAGEREF _Toc14965 \h </w:instrText>
      </w:r>
      <w:r>
        <w:fldChar w:fldCharType="separate"/>
      </w:r>
      <w:r>
        <w:t>112</w:t>
      </w:r>
      <w:r>
        <w:fldChar w:fldCharType="end"/>
      </w:r>
      <w:r>
        <w:rPr>
          <w:rFonts w:hint="eastAsia" w:ascii="仿宋" w:hAnsi="仿宋" w:eastAsia="仿宋" w:cs="仿宋"/>
          <w:color w:val="auto"/>
          <w:highlight w:val="none"/>
        </w:rPr>
        <w:fldChar w:fldCharType="end"/>
      </w:r>
    </w:p>
    <w:p w14:paraId="355C2E7C">
      <w:pPr>
        <w:pStyle w:val="25"/>
        <w:tabs>
          <w:tab w:val="right" w:leader="dot" w:pos="8312"/>
          <w:tab w:val="clear" w:pos="9060"/>
        </w:tabs>
      </w:pPr>
      <w:r>
        <w:rPr>
          <w:rFonts w:hint="eastAsia" w:ascii="仿宋" w:hAnsi="仿宋" w:eastAsia="仿宋" w:cs="仿宋"/>
          <w:color w:val="auto"/>
          <w:highlight w:val="none"/>
        </w:rPr>
        <w:fldChar w:fldCharType="begin"/>
      </w:r>
      <w:r>
        <w:rPr>
          <w:rFonts w:hint="eastAsia" w:ascii="仿宋" w:hAnsi="仿宋" w:eastAsia="仿宋" w:cs="仿宋"/>
          <w:highlight w:val="none"/>
        </w:rPr>
        <w:instrText xml:space="preserve"> HYPERLINK \l _Toc6205 </w:instrText>
      </w:r>
      <w:r>
        <w:rPr>
          <w:rFonts w:hint="eastAsia" w:ascii="仿宋" w:hAnsi="仿宋" w:eastAsia="仿宋" w:cs="仿宋"/>
          <w:highlight w:val="none"/>
        </w:rPr>
        <w:fldChar w:fldCharType="separate"/>
      </w:r>
      <w:r>
        <w:rPr>
          <w:rFonts w:hint="eastAsia" w:ascii="仿宋" w:hAnsi="仿宋" w:eastAsia="仿宋" w:cs="仿宋"/>
          <w:lang w:val="en-US" w:eastAsia="zh-CN"/>
        </w:rPr>
        <w:t xml:space="preserve">5.4 </w:t>
      </w:r>
      <w:r>
        <w:rPr>
          <w:rFonts w:hint="eastAsia" w:ascii="仿宋" w:hAnsi="仿宋" w:eastAsia="仿宋" w:cs="仿宋"/>
          <w:highlight w:val="none"/>
          <w:lang w:val="en-US" w:eastAsia="zh-CN"/>
        </w:rPr>
        <w:t>附件</w:t>
      </w:r>
      <w:r>
        <w:tab/>
      </w:r>
      <w:r>
        <w:fldChar w:fldCharType="begin"/>
      </w:r>
      <w:r>
        <w:instrText xml:space="preserve"> PAGEREF _Toc6205 \h </w:instrText>
      </w:r>
      <w:r>
        <w:fldChar w:fldCharType="separate"/>
      </w:r>
      <w:r>
        <w:t>121</w:t>
      </w:r>
      <w:r>
        <w:fldChar w:fldCharType="end"/>
      </w:r>
      <w:r>
        <w:rPr>
          <w:rFonts w:hint="eastAsia" w:ascii="仿宋" w:hAnsi="仿宋" w:eastAsia="仿宋" w:cs="仿宋"/>
          <w:color w:val="auto"/>
          <w:highlight w:val="none"/>
        </w:rPr>
        <w:fldChar w:fldCharType="end"/>
      </w:r>
    </w:p>
    <w:p w14:paraId="7B3269A0">
      <w:pPr>
        <w:rPr>
          <w:rFonts w:hint="eastAsia" w:ascii="仿宋" w:hAnsi="仿宋" w:eastAsia="仿宋"/>
          <w:color w:val="auto"/>
          <w:highlight w:val="none"/>
        </w:rPr>
      </w:pPr>
      <w:r>
        <w:rPr>
          <w:rFonts w:hint="eastAsia" w:ascii="仿宋" w:hAnsi="仿宋" w:eastAsia="仿宋" w:cs="仿宋"/>
          <w:color w:val="auto"/>
          <w:highlight w:val="none"/>
        </w:rPr>
        <w:fldChar w:fldCharType="end"/>
      </w:r>
    </w:p>
    <w:p w14:paraId="5DE1C88C">
      <w:pPr>
        <w:tabs>
          <w:tab w:val="center" w:pos="4156"/>
          <w:tab w:val="left" w:pos="5259"/>
        </w:tabs>
        <w:jc w:val="left"/>
        <w:outlineLvl w:val="9"/>
        <w:rPr>
          <w:rFonts w:hint="eastAsia" w:ascii="仿宋" w:hAnsi="仿宋" w:eastAsia="仿宋"/>
          <w:color w:val="auto"/>
          <w:sz w:val="28"/>
          <w:szCs w:val="24"/>
          <w:highlight w:val="none"/>
          <w:lang w:eastAsia="zh-CN"/>
        </w:rPr>
        <w:sectPr>
          <w:headerReference r:id="rId11" w:type="default"/>
          <w:footerReference r:id="rId12" w:type="default"/>
          <w:pgSz w:w="11906" w:h="16838"/>
          <w:pgMar w:top="1440" w:right="1797" w:bottom="1440" w:left="1797" w:header="851" w:footer="680" w:gutter="0"/>
          <w:pgNumType w:fmt="upperRoman" w:start="1"/>
          <w:cols w:space="720" w:num="1"/>
          <w:docGrid w:type="lines" w:linePitch="326" w:charSpace="0"/>
        </w:sectPr>
      </w:pPr>
      <w:r>
        <w:rPr>
          <w:rFonts w:hint="eastAsia" w:ascii="仿宋" w:hAnsi="仿宋" w:eastAsia="仿宋"/>
          <w:color w:val="auto"/>
          <w:sz w:val="28"/>
          <w:szCs w:val="24"/>
          <w:highlight w:val="none"/>
          <w:lang w:eastAsia="zh-CN"/>
        </w:rPr>
        <w:tab/>
      </w:r>
      <w:r>
        <w:rPr>
          <w:rFonts w:hint="eastAsia" w:ascii="仿宋" w:hAnsi="仿宋" w:eastAsia="仿宋"/>
          <w:color w:val="auto"/>
          <w:sz w:val="28"/>
          <w:szCs w:val="24"/>
          <w:highlight w:val="none"/>
          <w:lang w:eastAsia="zh-CN"/>
        </w:rPr>
        <w:tab/>
      </w:r>
      <w:bookmarkEnd w:id="0"/>
    </w:p>
    <w:p w14:paraId="1AB42BB6">
      <w:pPr>
        <w:pStyle w:val="2"/>
        <w:numPr>
          <w:ilvl w:val="0"/>
          <w:numId w:val="2"/>
        </w:numPr>
        <w:bidi w:val="0"/>
        <w:ind w:left="432" w:leftChars="0" w:hanging="432" w:firstLineChars="0"/>
        <w:rPr>
          <w:rFonts w:hint="eastAsia" w:ascii="仿宋" w:hAnsi="仿宋" w:eastAsia="仿宋" w:cs="仿宋"/>
          <w:color w:val="auto"/>
          <w:highlight w:val="none"/>
          <w:lang w:val="en-US" w:eastAsia="zh-CN"/>
        </w:rPr>
      </w:pPr>
      <w:bookmarkStart w:id="5" w:name="_Toc30978"/>
      <w:bookmarkStart w:id="6" w:name="_Toc25331"/>
      <w:bookmarkStart w:id="7" w:name="_Toc11887"/>
      <w:bookmarkStart w:id="8" w:name="_Toc22293"/>
      <w:bookmarkStart w:id="9" w:name="_Toc4449"/>
      <w:bookmarkStart w:id="10" w:name="_Toc22244"/>
      <w:bookmarkStart w:id="11" w:name="_Toc7911"/>
      <w:bookmarkStart w:id="12" w:name="_Toc15124"/>
      <w:bookmarkStart w:id="13" w:name="_Toc3736"/>
      <w:r>
        <w:rPr>
          <w:rFonts w:hint="eastAsia" w:ascii="仿宋" w:hAnsi="仿宋" w:eastAsia="仿宋" w:cs="仿宋"/>
          <w:color w:val="auto"/>
          <w:highlight w:val="none"/>
          <w:lang w:val="en-US" w:eastAsia="zh-CN"/>
        </w:rPr>
        <w:t>项目概况</w:t>
      </w:r>
      <w:bookmarkEnd w:id="5"/>
      <w:bookmarkEnd w:id="6"/>
      <w:bookmarkEnd w:id="7"/>
      <w:bookmarkEnd w:id="8"/>
    </w:p>
    <w:p w14:paraId="7BA2BC5F">
      <w:pPr>
        <w:pStyle w:val="3"/>
        <w:bidi w:val="0"/>
        <w:rPr>
          <w:rFonts w:hint="eastAsia" w:ascii="仿宋" w:hAnsi="仿宋" w:eastAsia="仿宋" w:cs="仿宋"/>
          <w:color w:val="auto"/>
          <w:highlight w:val="none"/>
        </w:rPr>
      </w:pPr>
      <w:bookmarkStart w:id="14" w:name="_Toc26804"/>
      <w:bookmarkStart w:id="15" w:name="_Toc17844"/>
      <w:bookmarkStart w:id="16" w:name="_Toc29173"/>
      <w:bookmarkStart w:id="17" w:name="_Toc8421"/>
      <w:r>
        <w:rPr>
          <w:rFonts w:hint="eastAsia" w:ascii="仿宋" w:hAnsi="仿宋" w:eastAsia="仿宋" w:cs="仿宋"/>
          <w:color w:val="auto"/>
          <w:highlight w:val="none"/>
        </w:rPr>
        <w:t>项目概况</w:t>
      </w:r>
      <w:bookmarkEnd w:id="14"/>
      <w:bookmarkEnd w:id="15"/>
      <w:bookmarkEnd w:id="16"/>
      <w:bookmarkEnd w:id="17"/>
    </w:p>
    <w:p w14:paraId="7A4C63A9">
      <w:pPr>
        <w:pStyle w:val="4"/>
        <w:bidi w:val="0"/>
        <w:rPr>
          <w:rFonts w:hint="eastAsia" w:ascii="仿宋" w:hAnsi="仿宋" w:eastAsia="仿宋"/>
          <w:color w:val="auto"/>
          <w:lang w:val="en-US" w:eastAsia="zh-CN"/>
        </w:rPr>
      </w:pPr>
      <w:bookmarkStart w:id="18" w:name="_Toc901373502"/>
      <w:bookmarkStart w:id="19" w:name="_Toc3450"/>
      <w:r>
        <w:rPr>
          <w:rFonts w:hint="eastAsia" w:ascii="仿宋" w:hAnsi="仿宋" w:eastAsia="仿宋"/>
          <w:color w:val="auto"/>
          <w:lang w:val="en-US" w:eastAsia="zh-CN"/>
        </w:rPr>
        <w:t>项目名称</w:t>
      </w:r>
      <w:bookmarkEnd w:id="18"/>
      <w:bookmarkEnd w:id="19"/>
    </w:p>
    <w:p w14:paraId="5A582DA2">
      <w:pPr>
        <w:ind w:firstLine="48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北京市密云区密东广场北侧地块地下停车场</w:t>
      </w:r>
      <w:r>
        <w:rPr>
          <w:rFonts w:hint="eastAsia" w:ascii="仿宋" w:hAnsi="仿宋" w:eastAsia="仿宋" w:cs="仿宋"/>
          <w:color w:val="auto"/>
          <w:sz w:val="28"/>
          <w:szCs w:val="28"/>
          <w:highlight w:val="none"/>
        </w:rPr>
        <w:t>项目</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以下简称“本项目”或“项目”</w:t>
      </w:r>
      <w:r>
        <w:rPr>
          <w:rFonts w:hint="eastAsia" w:ascii="仿宋" w:hAnsi="仿宋" w:eastAsia="仿宋" w:cs="仿宋"/>
          <w:color w:val="auto"/>
          <w:sz w:val="28"/>
          <w:szCs w:val="28"/>
          <w:highlight w:val="none"/>
          <w:lang w:eastAsia="zh-CN"/>
        </w:rPr>
        <w:t>）</w:t>
      </w:r>
    </w:p>
    <w:p w14:paraId="64BEE98A">
      <w:pPr>
        <w:pStyle w:val="4"/>
        <w:bidi w:val="0"/>
        <w:ind w:left="720" w:hanging="720"/>
        <w:rPr>
          <w:rFonts w:hint="eastAsia" w:ascii="仿宋" w:hAnsi="仿宋" w:eastAsia="仿宋"/>
          <w:color w:val="auto"/>
          <w:lang w:val="en-US" w:eastAsia="zh-CN"/>
        </w:rPr>
      </w:pPr>
      <w:bookmarkStart w:id="20" w:name="_Toc1034802176"/>
      <w:bookmarkStart w:id="21" w:name="_Toc7873"/>
      <w:r>
        <w:rPr>
          <w:rFonts w:hint="eastAsia" w:ascii="仿宋" w:hAnsi="仿宋" w:eastAsia="仿宋"/>
          <w:color w:val="auto"/>
          <w:lang w:val="en-US" w:eastAsia="zh-CN"/>
        </w:rPr>
        <w:t>建设目标和任务</w:t>
      </w:r>
      <w:bookmarkEnd w:id="20"/>
      <w:bookmarkEnd w:id="21"/>
    </w:p>
    <w:p w14:paraId="3CEEA30E">
      <w:pPr>
        <w:numPr>
          <w:ilvl w:val="0"/>
          <w:numId w:val="5"/>
        </w:numPr>
        <w:bidi w:val="0"/>
        <w:rPr>
          <w:rFonts w:hint="eastAsia" w:ascii="仿宋" w:hAnsi="仿宋" w:eastAsia="仿宋"/>
          <w:color w:val="auto"/>
          <w:lang w:val="en-US" w:eastAsia="zh-CN"/>
        </w:rPr>
      </w:pPr>
      <w:r>
        <w:rPr>
          <w:rFonts w:hint="eastAsia" w:ascii="仿宋" w:hAnsi="仿宋" w:eastAsia="仿宋"/>
          <w:color w:val="auto"/>
          <w:lang w:val="en-US" w:eastAsia="zh-CN"/>
        </w:rPr>
        <w:t>精准缓解停车供需矛盾</w:t>
      </w:r>
    </w:p>
    <w:p w14:paraId="4AD59A02">
      <w:pPr>
        <w:bidi w:val="0"/>
        <w:rPr>
          <w:rFonts w:hint="eastAsia" w:ascii="仿宋" w:hAnsi="仿宋" w:eastAsia="仿宋"/>
          <w:color w:val="auto"/>
          <w:lang w:eastAsia="zh-CN"/>
        </w:rPr>
      </w:pPr>
      <w:r>
        <w:rPr>
          <w:rFonts w:hint="eastAsia" w:ascii="仿宋" w:hAnsi="仿宋" w:eastAsia="仿宋"/>
          <w:color w:val="auto"/>
          <w:lang w:val="en-US" w:eastAsia="zh-CN"/>
        </w:rPr>
        <w:t>本项目聚焦上营东区、世纪家园、密东广场、世豪公寓等重点区域，针对历史规划滞后、停车资源供给不足等突出问题，通过科学规划、集约利用地下空间新增停车泊位，系统性补齐区域停车短板，有效遏制违法占道、乱停乱放等现象，全面规范静态交通秩序，构建供需匹配、秩序井然的停车供给体系，为城市交通治理现代化奠定坚实基础。</w:t>
      </w:r>
    </w:p>
    <w:p w14:paraId="6410A604">
      <w:pPr>
        <w:numPr>
          <w:ilvl w:val="0"/>
          <w:numId w:val="5"/>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优化区域交通微循环</w:t>
      </w:r>
    </w:p>
    <w:p w14:paraId="5BCF7CF2">
      <w:pPr>
        <w:bidi w:val="0"/>
        <w:rPr>
          <w:rFonts w:hint="eastAsia" w:ascii="仿宋" w:hAnsi="仿宋" w:eastAsia="仿宋"/>
          <w:color w:val="auto"/>
          <w:lang w:eastAsia="zh-CN"/>
        </w:rPr>
      </w:pPr>
      <w:r>
        <w:rPr>
          <w:rFonts w:hint="eastAsia" w:ascii="仿宋" w:hAnsi="仿宋" w:eastAsia="仿宋"/>
          <w:color w:val="auto"/>
          <w:lang w:val="en-US" w:eastAsia="zh-CN"/>
        </w:rPr>
        <w:t>以停车场出入口科学布局为抓手，强化与周边主次干道、支路街巷的交通组织联动，优化车流引导、分流与疏导方案，有效破解高峰时段交通拥堵、通行效率低下等瓶颈问题，提升区域路网整体通行能力与运行效率，保障居民出行安全、便捷、高效，助力打造畅通有序、绿色低碳的区域交通微循环系统。</w:t>
      </w:r>
    </w:p>
    <w:p w14:paraId="603BF4DE">
      <w:pPr>
        <w:numPr>
          <w:ilvl w:val="0"/>
          <w:numId w:val="5"/>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提升民生服务品质</w:t>
      </w:r>
    </w:p>
    <w:p w14:paraId="75E46506">
      <w:pPr>
        <w:bidi w:val="0"/>
        <w:rPr>
          <w:rFonts w:hint="eastAsia" w:ascii="仿宋" w:hAnsi="仿宋" w:eastAsia="仿宋"/>
          <w:color w:val="auto"/>
          <w:lang w:eastAsia="zh-CN"/>
        </w:rPr>
      </w:pPr>
      <w:r>
        <w:rPr>
          <w:rFonts w:hint="eastAsia" w:ascii="仿宋" w:hAnsi="仿宋" w:eastAsia="仿宋"/>
          <w:color w:val="auto"/>
          <w:lang w:val="en-US" w:eastAsia="zh-CN"/>
        </w:rPr>
        <w:t>以停车便利化、服务优质化为核心，持续增强居民停车获得感、幸福感、安全感，切实解决“停车难、停车乱”民生痛点。同时，通过完善停车配套支撑，赋能周边商业业态发展，激发区域商业活力与消费潜力，推动民生服务与商业经济协同提升，构建宜居宜业、便民利民的高品质生活圈。</w:t>
      </w:r>
    </w:p>
    <w:p w14:paraId="24FCF53A">
      <w:pPr>
        <w:numPr>
          <w:ilvl w:val="0"/>
          <w:numId w:val="5"/>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完善城市应急保障功能</w:t>
      </w:r>
    </w:p>
    <w:p w14:paraId="1F28EDD2">
      <w:pPr>
        <w:bidi w:val="0"/>
        <w:rPr>
          <w:rFonts w:hint="eastAsia" w:ascii="仿宋" w:hAnsi="仿宋" w:eastAsia="仿宋"/>
          <w:color w:val="auto"/>
          <w:lang w:eastAsia="zh-CN"/>
        </w:rPr>
      </w:pPr>
      <w:r>
        <w:rPr>
          <w:rFonts w:hint="eastAsia" w:ascii="仿宋" w:hAnsi="仿宋" w:eastAsia="仿宋"/>
          <w:color w:val="auto"/>
          <w:lang w:val="en-US" w:eastAsia="zh-CN"/>
        </w:rPr>
        <w:t>立足城市安全发展与韧性提升，充分发挥地下停车空间在极端天气、突发公共事件等应急场景下的安全防护优势，将其打造为区域车辆临时避险、应急停放的重要载体，完善应急停车保障机制，提升城市应对突发事件的快速响应与处置能力，筑牢城市安全运行防线，增强城市综合防灾减灾与应急保障能力。</w:t>
      </w:r>
    </w:p>
    <w:p w14:paraId="305B49D7">
      <w:pPr>
        <w:numPr>
          <w:ilvl w:val="0"/>
          <w:numId w:val="5"/>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提升专业运营管理水平</w:t>
      </w:r>
    </w:p>
    <w:p w14:paraId="2737D25D">
      <w:pPr>
        <w:bidi w:val="0"/>
        <w:rPr>
          <w:rFonts w:hint="eastAsia" w:ascii="仿宋" w:hAnsi="仿宋" w:eastAsia="仿宋"/>
          <w:color w:val="auto"/>
          <w:lang w:eastAsia="zh-CN"/>
        </w:rPr>
      </w:pPr>
      <w:r>
        <w:rPr>
          <w:rFonts w:hint="eastAsia" w:ascii="仿宋" w:hAnsi="仿宋" w:eastAsia="仿宋"/>
          <w:color w:val="auto"/>
          <w:lang w:val="en-US" w:eastAsia="zh-CN"/>
        </w:rPr>
        <w:t>引入具备成熟停车运营管理经验的社会资本方，依托先进技术体系与优质服务能力，构建“政府引导、企业运营、社会参与”的停车服务新模式。以专业化、精细化、智慧化运营为核心，全面提升停车场管理水平、服务品质与运行效能，实现停车资源高效配置、服务流程规范透明、用户体验持续优化，推动停车服务从“基本保障型”向“品质提升型”转变，为区域静态交通治理与民生服务升级提供长效支撑</w:t>
      </w:r>
      <w:r>
        <w:rPr>
          <w:rFonts w:hint="eastAsia" w:ascii="仿宋" w:hAnsi="仿宋" w:eastAsia="仿宋"/>
          <w:color w:val="auto"/>
          <w:lang w:eastAsia="zh-CN"/>
        </w:rPr>
        <w:t>。</w:t>
      </w:r>
    </w:p>
    <w:p w14:paraId="30A30CA9">
      <w:pPr>
        <w:numPr>
          <w:ilvl w:val="0"/>
          <w:numId w:val="5"/>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严守项目建设管控目标</w:t>
      </w:r>
    </w:p>
    <w:p w14:paraId="4646B59A">
      <w:pPr>
        <w:bidi w:val="0"/>
        <w:rPr>
          <w:rFonts w:hint="eastAsia" w:ascii="仿宋" w:hAnsi="仿宋" w:eastAsia="仿宋"/>
          <w:color w:val="auto"/>
          <w:lang w:val="en-US" w:eastAsia="zh-CN"/>
        </w:rPr>
      </w:pPr>
      <w:r>
        <w:rPr>
          <w:rFonts w:hint="eastAsia" w:ascii="仿宋" w:hAnsi="仿宋" w:eastAsia="仿宋"/>
          <w:color w:val="auto"/>
          <w:lang w:val="en-US" w:eastAsia="zh-CN"/>
        </w:rPr>
        <w:t>严格落实项目建设全过程管控，锚定工程、安全、环保多维建设目标。工程质量确保达到合格标准；安全生产坚决防范杜绝较大及以上生产安全责任事故；生态环保方面严控噪声、粉尘、固体废弃物、有毒有害气体、污水等各类污染物，保障各项污染物排放全部达标，杜绝发生严重扰民事件，避免出现相关投诉、媒体曝光及行政处罚情形，保障项目顺利通过环评验收，保障项目规范有序落地实施。</w:t>
      </w:r>
    </w:p>
    <w:p w14:paraId="21842CF6">
      <w:pPr>
        <w:pStyle w:val="4"/>
        <w:bidi w:val="0"/>
        <w:ind w:left="720" w:hanging="720"/>
        <w:rPr>
          <w:rFonts w:hint="eastAsia" w:ascii="仿宋" w:hAnsi="仿宋" w:eastAsia="仿宋"/>
          <w:color w:val="auto"/>
          <w:lang w:val="en-US" w:eastAsia="zh-CN"/>
        </w:rPr>
      </w:pPr>
      <w:bookmarkStart w:id="22" w:name="_Toc6802"/>
      <w:bookmarkStart w:id="23" w:name="_Toc1597598626"/>
      <w:r>
        <w:rPr>
          <w:rFonts w:hint="eastAsia" w:ascii="仿宋" w:hAnsi="仿宋" w:eastAsia="仿宋"/>
          <w:color w:val="auto"/>
          <w:lang w:val="en-US" w:eastAsia="zh-CN"/>
        </w:rPr>
        <w:t xml:space="preserve"> 项目功能和定位</w:t>
      </w:r>
      <w:bookmarkEnd w:id="22"/>
      <w:bookmarkEnd w:id="23"/>
    </w:p>
    <w:p w14:paraId="355BF21C">
      <w:pPr>
        <w:numPr>
          <w:ilvl w:val="0"/>
          <w:numId w:val="6"/>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项目功能</w:t>
      </w:r>
    </w:p>
    <w:p w14:paraId="66C80950">
      <w:pPr>
        <w:bidi w:val="0"/>
        <w:rPr>
          <w:rFonts w:hint="eastAsia" w:ascii="仿宋" w:hAnsi="仿宋" w:eastAsia="仿宋"/>
          <w:color w:val="auto"/>
          <w:lang w:val="en-US" w:eastAsia="zh-CN"/>
        </w:rPr>
      </w:pPr>
      <w:r>
        <w:rPr>
          <w:rFonts w:hint="eastAsia" w:ascii="仿宋" w:hAnsi="仿宋" w:eastAsia="仿宋"/>
          <w:color w:val="auto"/>
          <w:lang w:val="en-US" w:eastAsia="zh-CN"/>
        </w:rPr>
        <w:t>项目聚焦上营东区、世纪家园、密东广场、世豪公寓、密云一小等重点区域，通过新增地下停车泊位精准补齐停车资源短板，规范静态交通秩序；依托停车场出入口优化与周边路网联动，提升区域交通微循环效率；以智慧化、专业化运营提升停车服务品质，改善居民出行体验并支撑周边商业发展；同时发挥地下空间安全防护优势，构建应急停车保障体系，增强城市防灾减灾与应急处置能力。</w:t>
      </w:r>
    </w:p>
    <w:p w14:paraId="48CC4549">
      <w:pPr>
        <w:numPr>
          <w:ilvl w:val="0"/>
          <w:numId w:val="6"/>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项目定位</w:t>
      </w:r>
    </w:p>
    <w:p w14:paraId="5257DFE9">
      <w:pPr>
        <w:bidi w:val="0"/>
        <w:rPr>
          <w:rFonts w:hint="eastAsia" w:ascii="仿宋" w:hAnsi="仿宋" w:eastAsia="仿宋"/>
          <w:color w:val="auto"/>
          <w:lang w:val="en-US" w:eastAsia="zh-CN"/>
        </w:rPr>
      </w:pPr>
      <w:r>
        <w:rPr>
          <w:rFonts w:hint="eastAsia" w:ascii="仿宋" w:hAnsi="仿宋" w:eastAsia="仿宋"/>
          <w:color w:val="auto"/>
          <w:lang w:val="en-US" w:eastAsia="zh-CN"/>
        </w:rPr>
        <w:t>本项目是补齐城市停车短板、优化交通治理、提升民生品质、增强城市韧性的重要民生工程与基础设施项目。</w:t>
      </w:r>
    </w:p>
    <w:p w14:paraId="7A81F17C">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 xml:space="preserve"> 建设地点</w:t>
      </w:r>
    </w:p>
    <w:p w14:paraId="1926AA04">
      <w:pPr>
        <w:bidi w:val="0"/>
        <w:ind w:firstLine="560"/>
        <w:rPr>
          <w:rFonts w:hint="eastAsia" w:ascii="仿宋" w:hAnsi="仿宋" w:eastAsia="仿宋"/>
          <w:color w:val="auto"/>
          <w:lang w:val="en-US" w:eastAsia="zh-CN"/>
        </w:rPr>
      </w:pPr>
      <w:r>
        <w:rPr>
          <w:rFonts w:hint="eastAsia" w:ascii="仿宋" w:hAnsi="仿宋" w:eastAsia="仿宋"/>
          <w:color w:val="auto"/>
          <w:lang w:val="en-US" w:eastAsia="zh-CN"/>
        </w:rPr>
        <w:t>本项目位于北京市密云区密东广场北侧，项目四至范围为：北至建设胡同；南至东门巷；西至上营胡同；东至密云一小新建教学楼。</w:t>
      </w:r>
    </w:p>
    <w:p w14:paraId="23FC679E">
      <w:pPr>
        <w:pStyle w:val="4"/>
        <w:bidi w:val="0"/>
        <w:ind w:left="720" w:hanging="720"/>
        <w:rPr>
          <w:rFonts w:hint="eastAsia" w:ascii="仿宋" w:hAnsi="仿宋" w:eastAsia="仿宋"/>
          <w:color w:val="auto"/>
          <w:lang w:val="en-US" w:eastAsia="zh-CN"/>
        </w:rPr>
      </w:pPr>
      <w:bookmarkStart w:id="24" w:name="_Toc1298371791"/>
      <w:bookmarkStart w:id="25" w:name="_Toc26279"/>
      <w:r>
        <w:rPr>
          <w:rFonts w:hint="eastAsia" w:ascii="仿宋" w:hAnsi="仿宋" w:eastAsia="仿宋"/>
          <w:color w:val="auto"/>
          <w:lang w:val="en-US" w:eastAsia="zh-CN"/>
        </w:rPr>
        <w:t xml:space="preserve"> 建设工期</w:t>
      </w:r>
      <w:bookmarkEnd w:id="24"/>
      <w:bookmarkEnd w:id="25"/>
    </w:p>
    <w:p w14:paraId="5E5AA92C">
      <w:pPr>
        <w:bidi w:val="0"/>
        <w:rPr>
          <w:rFonts w:hint="eastAsia" w:ascii="Times New Roman" w:hAnsi="Times New Roman" w:eastAsia="仿宋_GB2312" w:cs="仿宋"/>
          <w:color w:val="auto"/>
          <w:kern w:val="2"/>
          <w:sz w:val="28"/>
          <w:szCs w:val="28"/>
          <w:lang w:val="en-US" w:eastAsia="zh-CN" w:bidi="ar-SA"/>
        </w:rPr>
      </w:pPr>
      <w:r>
        <w:rPr>
          <w:rFonts w:hint="eastAsia" w:ascii="仿宋" w:hAnsi="仿宋" w:eastAsia="仿宋"/>
          <w:color w:val="auto"/>
          <w:highlight w:val="none"/>
          <w:lang w:val="en-US" w:eastAsia="zh-CN"/>
        </w:rPr>
        <w:t>本项目建设期为13个月；计划于2027年6月30日开工至2028年7月31日完成竣工验收备案。</w:t>
      </w:r>
    </w:p>
    <w:p w14:paraId="11FA25BE">
      <w:pPr>
        <w:pStyle w:val="4"/>
        <w:bidi w:val="0"/>
        <w:ind w:left="720" w:hanging="720"/>
        <w:rPr>
          <w:rFonts w:hint="eastAsia" w:ascii="仿宋" w:hAnsi="仿宋" w:eastAsia="仿宋"/>
          <w:color w:val="auto"/>
          <w:lang w:val="en-US" w:eastAsia="zh-CN"/>
        </w:rPr>
      </w:pPr>
      <w:bookmarkStart w:id="26" w:name="_Toc24944"/>
      <w:bookmarkStart w:id="27" w:name="_Toc1153354170"/>
      <w:r>
        <w:rPr>
          <w:rFonts w:hint="eastAsia" w:ascii="仿宋" w:hAnsi="仿宋" w:eastAsia="仿宋"/>
          <w:color w:val="auto"/>
          <w:lang w:val="en-US" w:eastAsia="zh-CN"/>
        </w:rPr>
        <w:t xml:space="preserve"> 建设内容和规模</w:t>
      </w:r>
      <w:bookmarkEnd w:id="26"/>
      <w:bookmarkEnd w:id="27"/>
    </w:p>
    <w:p w14:paraId="74F916E5">
      <w:pPr>
        <w:bidi w:val="0"/>
        <w:rPr>
          <w:rFonts w:hint="eastAsia" w:ascii="仿宋" w:hAnsi="仿宋" w:eastAsia="仿宋" w:cs="仿宋"/>
          <w:color w:val="auto"/>
          <w:szCs w:val="28"/>
          <w:highlight w:val="none"/>
          <w:lang w:val="en-US" w:eastAsia="zh-CN"/>
        </w:rPr>
      </w:pPr>
      <w:r>
        <w:rPr>
          <w:rFonts w:hint="eastAsia" w:ascii="仿宋" w:hAnsi="仿宋" w:eastAsia="仿宋"/>
          <w:color w:val="auto"/>
          <w:lang w:val="en-US" w:eastAsia="zh-CN"/>
        </w:rPr>
        <w:t>本项目主要建设地下二层停车场。项目用地面积为13000㎡，总建筑面积24496平方米，其中地上建筑面积850平方米，主要建设内容为地下停车场出入口；地下建筑面积23646平方米，主要建设内容为机动车停车位800个；新能源充电桩泊位160个。本项目建设内容和规模详见下表。</w:t>
      </w:r>
    </w:p>
    <w:p w14:paraId="2921883E">
      <w:pPr>
        <w:bidi w:val="0"/>
        <w:jc w:val="center"/>
        <w:rPr>
          <w:rFonts w:hint="eastAsia" w:ascii="仿宋" w:hAnsi="仿宋" w:eastAsia="仿宋"/>
          <w:b/>
          <w:bCs/>
          <w:color w:val="auto"/>
          <w:sz w:val="24"/>
          <w:szCs w:val="24"/>
          <w:lang w:val="en-US" w:eastAsia="zh-CN"/>
        </w:rPr>
      </w:pPr>
      <w:r>
        <w:rPr>
          <w:rFonts w:hint="eastAsia" w:ascii="仿宋" w:hAnsi="仿宋" w:eastAsia="仿宋"/>
          <w:b/>
          <w:bCs/>
          <w:color w:val="auto"/>
          <w:sz w:val="24"/>
          <w:szCs w:val="24"/>
        </w:rPr>
        <w:t>表</w:t>
      </w:r>
      <w:r>
        <w:rPr>
          <w:rFonts w:hint="eastAsia" w:ascii="仿宋" w:hAnsi="仿宋" w:eastAsia="仿宋"/>
          <w:b/>
          <w:bCs/>
          <w:color w:val="auto"/>
          <w:sz w:val="24"/>
          <w:szCs w:val="24"/>
          <w:lang w:val="en-US" w:eastAsia="zh-CN"/>
        </w:rPr>
        <w:t>1</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1 建设内容和规模明细表</w:t>
      </w:r>
    </w:p>
    <w:tbl>
      <w:tblPr>
        <w:tblStyle w:val="3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09"/>
        <w:gridCol w:w="2744"/>
        <w:gridCol w:w="1344"/>
        <w:gridCol w:w="924"/>
        <w:gridCol w:w="2482"/>
      </w:tblGrid>
      <w:tr w14:paraId="4C56D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487" w:type="pct"/>
            <w:tcBorders>
              <w:top w:val="single" w:color="000000" w:sz="4" w:space="0"/>
              <w:left w:val="single" w:color="000000" w:sz="4" w:space="0"/>
              <w:bottom w:val="nil"/>
              <w:right w:val="single" w:color="000000" w:sz="4" w:space="0"/>
            </w:tcBorders>
            <w:shd w:val="clear" w:color="auto" w:fill="auto"/>
            <w:vAlign w:val="center"/>
          </w:tcPr>
          <w:p w14:paraId="5EF0E606">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highlight w:val="none"/>
                <w:u w:val="none"/>
                <w:lang w:val="en-US" w:eastAsia="zh-CN"/>
              </w:rPr>
            </w:pPr>
            <w:r>
              <w:rPr>
                <w:rFonts w:hint="eastAsia" w:ascii="仿宋" w:hAnsi="仿宋" w:eastAsia="仿宋" w:cs="仿宋"/>
                <w:b/>
                <w:bCs/>
                <w:i w:val="0"/>
                <w:iCs w:val="0"/>
                <w:color w:val="auto"/>
                <w:sz w:val="22"/>
                <w:szCs w:val="22"/>
                <w:highlight w:val="none"/>
                <w:u w:val="none"/>
                <w:lang w:val="en-US" w:eastAsia="zh-CN"/>
              </w:rPr>
              <w:t>序号</w:t>
            </w:r>
          </w:p>
        </w:tc>
        <w:tc>
          <w:tcPr>
            <w:tcW w:w="1652" w:type="pct"/>
            <w:tcBorders>
              <w:top w:val="single" w:color="000000" w:sz="4" w:space="0"/>
              <w:left w:val="single" w:color="000000" w:sz="4" w:space="0"/>
              <w:bottom w:val="nil"/>
              <w:right w:val="single" w:color="000000" w:sz="4" w:space="0"/>
            </w:tcBorders>
            <w:shd w:val="clear" w:color="auto" w:fill="auto"/>
            <w:vAlign w:val="center"/>
          </w:tcPr>
          <w:p w14:paraId="782AE066">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highlight w:val="none"/>
                <w:u w:val="none"/>
                <w:lang w:val="en-US" w:eastAsia="zh-CN"/>
              </w:rPr>
            </w:pPr>
            <w:r>
              <w:rPr>
                <w:rFonts w:hint="eastAsia" w:ascii="仿宋" w:hAnsi="仿宋" w:eastAsia="仿宋" w:cs="仿宋"/>
                <w:b/>
                <w:bCs/>
                <w:i w:val="0"/>
                <w:iCs w:val="0"/>
                <w:color w:val="auto"/>
                <w:sz w:val="22"/>
                <w:szCs w:val="22"/>
                <w:highlight w:val="none"/>
                <w:u w:val="none"/>
                <w:lang w:val="en-US" w:eastAsia="zh-CN"/>
              </w:rPr>
              <w:t>项目</w:t>
            </w:r>
          </w:p>
        </w:tc>
        <w:tc>
          <w:tcPr>
            <w:tcW w:w="809" w:type="pct"/>
            <w:tcBorders>
              <w:top w:val="single" w:color="000000" w:sz="4" w:space="0"/>
              <w:left w:val="single" w:color="000000" w:sz="4" w:space="0"/>
              <w:bottom w:val="nil"/>
              <w:right w:val="single" w:color="000000" w:sz="4" w:space="0"/>
            </w:tcBorders>
            <w:shd w:val="clear" w:color="auto" w:fill="auto"/>
            <w:vAlign w:val="center"/>
          </w:tcPr>
          <w:p w14:paraId="68C43623">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highlight w:val="none"/>
                <w:u w:val="none"/>
                <w:lang w:val="en-US" w:eastAsia="zh-CN"/>
              </w:rPr>
            </w:pPr>
            <w:r>
              <w:rPr>
                <w:rFonts w:hint="eastAsia" w:ascii="仿宋" w:hAnsi="仿宋" w:eastAsia="仿宋" w:cs="仿宋"/>
                <w:b/>
                <w:bCs/>
                <w:i w:val="0"/>
                <w:iCs w:val="0"/>
                <w:color w:val="auto"/>
                <w:sz w:val="22"/>
                <w:szCs w:val="22"/>
                <w:highlight w:val="none"/>
                <w:u w:val="none"/>
                <w:lang w:val="en-US" w:eastAsia="zh-CN"/>
              </w:rPr>
              <w:t>数量</w:t>
            </w:r>
          </w:p>
        </w:tc>
        <w:tc>
          <w:tcPr>
            <w:tcW w:w="556" w:type="pct"/>
            <w:tcBorders>
              <w:top w:val="single" w:color="000000" w:sz="4" w:space="0"/>
              <w:left w:val="single" w:color="000000" w:sz="4" w:space="0"/>
              <w:bottom w:val="nil"/>
              <w:right w:val="single" w:color="000000" w:sz="4" w:space="0"/>
            </w:tcBorders>
            <w:shd w:val="clear" w:color="auto" w:fill="auto"/>
            <w:vAlign w:val="center"/>
          </w:tcPr>
          <w:p w14:paraId="46EEB336">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highlight w:val="none"/>
                <w:u w:val="none"/>
                <w:lang w:val="en-US" w:eastAsia="zh-CN"/>
              </w:rPr>
            </w:pPr>
            <w:r>
              <w:rPr>
                <w:rFonts w:hint="eastAsia" w:ascii="仿宋" w:hAnsi="仿宋" w:eastAsia="仿宋" w:cs="仿宋"/>
                <w:b/>
                <w:bCs/>
                <w:i w:val="0"/>
                <w:iCs w:val="0"/>
                <w:color w:val="auto"/>
                <w:sz w:val="22"/>
                <w:szCs w:val="22"/>
                <w:highlight w:val="none"/>
                <w:u w:val="none"/>
                <w:lang w:val="en-US" w:eastAsia="zh-CN"/>
              </w:rPr>
              <w:t>单位</w:t>
            </w:r>
          </w:p>
        </w:tc>
        <w:tc>
          <w:tcPr>
            <w:tcW w:w="1494" w:type="pct"/>
            <w:tcBorders>
              <w:top w:val="single" w:color="000000" w:sz="4" w:space="0"/>
              <w:left w:val="single" w:color="000000" w:sz="4" w:space="0"/>
              <w:bottom w:val="nil"/>
              <w:right w:val="single" w:color="000000" w:sz="4" w:space="0"/>
            </w:tcBorders>
            <w:shd w:val="clear" w:color="auto" w:fill="auto"/>
            <w:vAlign w:val="center"/>
          </w:tcPr>
          <w:p w14:paraId="4FE477E4">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highlight w:val="none"/>
                <w:u w:val="none"/>
                <w:lang w:val="en-US" w:eastAsia="zh-CN"/>
              </w:rPr>
            </w:pPr>
            <w:r>
              <w:rPr>
                <w:rFonts w:hint="eastAsia" w:ascii="仿宋" w:hAnsi="仿宋" w:eastAsia="仿宋" w:cs="仿宋"/>
                <w:b/>
                <w:bCs/>
                <w:i w:val="0"/>
                <w:iCs w:val="0"/>
                <w:color w:val="auto"/>
                <w:sz w:val="22"/>
                <w:szCs w:val="22"/>
                <w:highlight w:val="none"/>
                <w:u w:val="none"/>
                <w:lang w:val="en-US" w:eastAsia="zh-CN"/>
              </w:rPr>
              <w:t>备注</w:t>
            </w:r>
          </w:p>
        </w:tc>
      </w:tr>
      <w:tr w14:paraId="65113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9DD8E">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1</w:t>
            </w:r>
          </w:p>
        </w:tc>
        <w:tc>
          <w:tcPr>
            <w:tcW w:w="1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792C8">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总建筑面积</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EABD5">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24496</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95A09">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w:t>
            </w:r>
          </w:p>
        </w:tc>
        <w:tc>
          <w:tcPr>
            <w:tcW w:w="1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D6040">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p>
        </w:tc>
      </w:tr>
      <w:tr w14:paraId="10C32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FDE42">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1.1</w:t>
            </w:r>
          </w:p>
        </w:tc>
        <w:tc>
          <w:tcPr>
            <w:tcW w:w="1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03F35">
            <w:pPr>
              <w:keepNext w:val="0"/>
              <w:keepLines w:val="0"/>
              <w:widowControl/>
              <w:suppressLineNumbers w:val="0"/>
              <w:spacing w:line="240" w:lineRule="auto"/>
              <w:ind w:left="0" w:leftChars="0" w:firstLine="0" w:firstLineChars="0"/>
              <w:jc w:val="right"/>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其中：地上建筑面积</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DCF3D">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850</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2A490">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w:t>
            </w:r>
          </w:p>
        </w:tc>
        <w:tc>
          <w:tcPr>
            <w:tcW w:w="1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005E">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地下车库出入口</w:t>
            </w:r>
          </w:p>
        </w:tc>
      </w:tr>
      <w:tr w14:paraId="1CB7A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60215">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1.2</w:t>
            </w:r>
          </w:p>
        </w:tc>
        <w:tc>
          <w:tcPr>
            <w:tcW w:w="1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3F9F1">
            <w:pPr>
              <w:keepNext w:val="0"/>
              <w:keepLines w:val="0"/>
              <w:widowControl/>
              <w:suppressLineNumbers w:val="0"/>
              <w:spacing w:line="240" w:lineRule="auto"/>
              <w:ind w:left="0" w:leftChars="0" w:firstLine="0" w:firstLineChars="0"/>
              <w:jc w:val="right"/>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地下建筑面积</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95B35">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23646</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E450B">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w:t>
            </w:r>
          </w:p>
        </w:tc>
        <w:tc>
          <w:tcPr>
            <w:tcW w:w="1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5C2FF">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p>
        </w:tc>
      </w:tr>
      <w:tr w14:paraId="63B1A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A7B91">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2</w:t>
            </w:r>
          </w:p>
        </w:tc>
        <w:tc>
          <w:tcPr>
            <w:tcW w:w="1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AA0F6">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地下机动车车位</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8D256">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800</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FA05B">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个</w:t>
            </w:r>
          </w:p>
        </w:tc>
        <w:tc>
          <w:tcPr>
            <w:tcW w:w="1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3389A">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p>
        </w:tc>
      </w:tr>
      <w:tr w14:paraId="7DE3D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52B16">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2.1</w:t>
            </w:r>
          </w:p>
        </w:tc>
        <w:tc>
          <w:tcPr>
            <w:tcW w:w="1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A728F">
            <w:pPr>
              <w:keepNext w:val="0"/>
              <w:keepLines w:val="0"/>
              <w:widowControl/>
              <w:suppressLineNumbers w:val="0"/>
              <w:spacing w:line="240" w:lineRule="auto"/>
              <w:ind w:left="0" w:leftChars="0" w:firstLine="0" w:firstLineChars="0"/>
              <w:jc w:val="right"/>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其中：地下一层</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4F38">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390</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76608">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个</w:t>
            </w:r>
          </w:p>
        </w:tc>
        <w:tc>
          <w:tcPr>
            <w:tcW w:w="1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6A101">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p>
        </w:tc>
      </w:tr>
      <w:tr w14:paraId="6F796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51236">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2.2</w:t>
            </w:r>
          </w:p>
        </w:tc>
        <w:tc>
          <w:tcPr>
            <w:tcW w:w="1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FB828">
            <w:pPr>
              <w:keepNext w:val="0"/>
              <w:keepLines w:val="0"/>
              <w:widowControl/>
              <w:suppressLineNumbers w:val="0"/>
              <w:spacing w:line="240" w:lineRule="auto"/>
              <w:ind w:left="0" w:leftChars="0" w:firstLine="0" w:firstLineChars="0"/>
              <w:jc w:val="right"/>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地下二层</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868DE">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410</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512DD">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个</w:t>
            </w:r>
          </w:p>
        </w:tc>
        <w:tc>
          <w:tcPr>
            <w:tcW w:w="1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A79A1">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p>
        </w:tc>
      </w:tr>
      <w:tr w14:paraId="48F18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4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EB6D2">
            <w:pPr>
              <w:keepNext w:val="0"/>
              <w:keepLines w:val="0"/>
              <w:widowControl/>
              <w:suppressLineNumbers w:val="0"/>
              <w:spacing w:line="240" w:lineRule="auto"/>
              <w:ind w:left="0" w:leftChars="0" w:firstLine="0" w:firstLineChars="0"/>
              <w:jc w:val="center"/>
              <w:textAlignment w:val="center"/>
              <w:rPr>
                <w:rFonts w:hint="default" w:ascii="仿宋" w:hAnsi="仿宋" w:eastAsia="仿宋" w:cs="仿宋"/>
                <w:i w:val="0"/>
                <w:iCs w:val="0"/>
                <w:color w:val="auto"/>
                <w:sz w:val="22"/>
                <w:szCs w:val="22"/>
                <w:highlight w:val="none"/>
                <w:u w:val="none"/>
                <w:lang w:val="en-US" w:eastAsia="zh-CN"/>
              </w:rPr>
            </w:pPr>
            <w:bookmarkStart w:id="28" w:name="_Toc1236137368"/>
            <w:bookmarkStart w:id="29" w:name="_Toc18988"/>
            <w:r>
              <w:rPr>
                <w:rFonts w:hint="eastAsia" w:ascii="仿宋" w:hAnsi="仿宋" w:eastAsia="仿宋" w:cs="仿宋"/>
                <w:i w:val="0"/>
                <w:iCs w:val="0"/>
                <w:color w:val="auto"/>
                <w:sz w:val="22"/>
                <w:szCs w:val="22"/>
                <w:highlight w:val="none"/>
                <w:u w:val="none"/>
                <w:lang w:val="en-US" w:eastAsia="zh-CN"/>
              </w:rPr>
              <w:t>3</w:t>
            </w:r>
          </w:p>
        </w:tc>
        <w:tc>
          <w:tcPr>
            <w:tcW w:w="1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45008">
            <w:pPr>
              <w:keepNext w:val="0"/>
              <w:keepLines w:val="0"/>
              <w:widowControl/>
              <w:suppressLineNumbers w:val="0"/>
              <w:spacing w:line="240" w:lineRule="auto"/>
              <w:ind w:left="0" w:leftChars="0" w:firstLine="0" w:firstLineChars="0"/>
              <w:jc w:val="right"/>
              <w:textAlignment w:val="center"/>
              <w:rPr>
                <w:rFonts w:hint="default"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新能源充电桩泊位</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2B1D6">
            <w:pPr>
              <w:keepNext w:val="0"/>
              <w:keepLines w:val="0"/>
              <w:widowControl/>
              <w:suppressLineNumbers w:val="0"/>
              <w:spacing w:line="240" w:lineRule="auto"/>
              <w:ind w:left="0" w:leftChars="0" w:firstLine="0" w:firstLineChars="0"/>
              <w:jc w:val="center"/>
              <w:textAlignment w:val="center"/>
              <w:rPr>
                <w:rFonts w:hint="default"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160</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970CD">
            <w:pPr>
              <w:keepNext w:val="0"/>
              <w:keepLines w:val="0"/>
              <w:widowControl/>
              <w:suppressLineNumbers w:val="0"/>
              <w:spacing w:line="240" w:lineRule="auto"/>
              <w:ind w:left="0" w:leftChars="0" w:firstLine="0" w:firstLineChars="0"/>
              <w:jc w:val="center"/>
              <w:textAlignment w:val="center"/>
              <w:rPr>
                <w:rFonts w:hint="default"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个</w:t>
            </w:r>
          </w:p>
        </w:tc>
        <w:tc>
          <w:tcPr>
            <w:tcW w:w="1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AEED2">
            <w:pPr>
              <w:keepNext w:val="0"/>
              <w:keepLines w:val="0"/>
              <w:widowControl/>
              <w:suppressLineNumbers w:val="0"/>
              <w:spacing w:line="240" w:lineRule="auto"/>
              <w:ind w:left="0" w:leftChars="0" w:firstLine="0" w:firstLineChars="0"/>
              <w:jc w:val="center"/>
              <w:textAlignment w:val="center"/>
              <w:rPr>
                <w:rFonts w:hint="default"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后续可根据运营需要增减充电桩泊位数量</w:t>
            </w:r>
          </w:p>
        </w:tc>
      </w:tr>
    </w:tbl>
    <w:p w14:paraId="45191CB5">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 xml:space="preserve"> 投资规模和资金来源</w:t>
      </w:r>
      <w:bookmarkEnd w:id="28"/>
      <w:bookmarkEnd w:id="29"/>
    </w:p>
    <w:p w14:paraId="10FB72CF">
      <w:pPr>
        <w:bidi w:val="0"/>
        <w:rPr>
          <w:rFonts w:hint="eastAsia" w:ascii="仿宋" w:hAnsi="仿宋" w:eastAsia="仿宋"/>
          <w:color w:val="auto"/>
          <w:lang w:val="en-US" w:eastAsia="zh-CN"/>
        </w:rPr>
      </w:pPr>
      <w:r>
        <w:rPr>
          <w:rFonts w:hint="eastAsia" w:ascii="仿宋" w:hAnsi="仿宋" w:eastAsia="仿宋"/>
          <w:color w:val="auto"/>
          <w:lang w:val="en-US" w:eastAsia="zh-CN"/>
        </w:rPr>
        <w:t>本项目总投资22319.75万元。其中，工程费18317.21万元，工程建设其他费2309.97万元，预备费1608.82万元，建设期利息83.75万元。</w:t>
      </w:r>
    </w:p>
    <w:p w14:paraId="778A4388">
      <w:pPr>
        <w:bidi w:val="0"/>
        <w:rPr>
          <w:rFonts w:hint="eastAsia" w:ascii="仿宋" w:hAnsi="仿宋" w:eastAsia="仿宋"/>
          <w:color w:val="auto"/>
          <w:lang w:val="en-US" w:eastAsia="zh-CN"/>
        </w:rPr>
      </w:pPr>
      <w:r>
        <w:rPr>
          <w:rFonts w:hint="eastAsia" w:ascii="仿宋" w:hAnsi="仿宋" w:eastAsia="仿宋"/>
          <w:color w:val="auto"/>
          <w:lang w:val="en-US" w:eastAsia="zh-CN"/>
        </w:rPr>
        <w:t>资金来源：本项目资金来源为资本金、政府投资补助、国内商业银行贷款。项目所需资金拟申请银行贷款6700.00万元，占总投资的30.02%；资本金5129.47万元，占总投资的22.98%，由社会资本进行筹措；申请政府补助10490.28万元，占总投资的47%，政府补助资金全部用作</w:t>
      </w:r>
      <w:r>
        <w:rPr>
          <w:rFonts w:hint="eastAsia" w:ascii="仿宋" w:hAnsi="仿宋" w:eastAsia="仿宋"/>
          <w:color w:val="auto"/>
          <w:highlight w:val="none"/>
          <w:lang w:val="en-US" w:eastAsia="zh-CN"/>
        </w:rPr>
        <w:t>本项目</w:t>
      </w:r>
      <w:r>
        <w:rPr>
          <w:rFonts w:hint="eastAsia" w:ascii="仿宋" w:hAnsi="仿宋" w:eastAsia="仿宋"/>
          <w:color w:val="auto"/>
          <w:lang w:val="en-US" w:eastAsia="zh-CN"/>
        </w:rPr>
        <w:t>建设期</w:t>
      </w:r>
      <w:r>
        <w:rPr>
          <w:rFonts w:hint="eastAsia" w:ascii="仿宋" w:hAnsi="仿宋" w:eastAsia="仿宋"/>
          <w:color w:val="auto"/>
          <w:highlight w:val="none"/>
          <w:lang w:val="en-US" w:eastAsia="zh-CN"/>
        </w:rPr>
        <w:t>资金</w:t>
      </w:r>
      <w:r>
        <w:rPr>
          <w:rFonts w:hint="eastAsia" w:ascii="仿宋" w:hAnsi="仿宋" w:eastAsia="仿宋"/>
          <w:color w:val="auto"/>
          <w:lang w:val="en-US" w:eastAsia="zh-CN"/>
        </w:rPr>
        <w:t>补助。</w:t>
      </w:r>
    </w:p>
    <w:p w14:paraId="26F14F32">
      <w:pPr>
        <w:pStyle w:val="4"/>
        <w:bidi w:val="0"/>
        <w:ind w:left="720" w:hanging="720"/>
        <w:rPr>
          <w:rFonts w:hint="eastAsia" w:ascii="仿宋" w:hAnsi="仿宋" w:eastAsia="仿宋"/>
          <w:color w:val="auto"/>
          <w:lang w:val="en-US" w:eastAsia="zh-CN"/>
        </w:rPr>
      </w:pPr>
      <w:bookmarkStart w:id="30" w:name="_Toc12387"/>
      <w:r>
        <w:rPr>
          <w:rFonts w:hint="eastAsia" w:ascii="仿宋" w:hAnsi="仿宋" w:eastAsia="仿宋"/>
          <w:color w:val="auto"/>
          <w:lang w:val="en-US" w:eastAsia="zh-CN"/>
        </w:rPr>
        <w:t xml:space="preserve"> 主要需求和产出</w:t>
      </w:r>
      <w:bookmarkEnd w:id="30"/>
    </w:p>
    <w:p w14:paraId="0443AED4">
      <w:pPr>
        <w:bidi w:val="0"/>
        <w:rPr>
          <w:rFonts w:hint="eastAsia" w:ascii="仿宋" w:hAnsi="仿宋" w:eastAsia="仿宋"/>
          <w:color w:val="auto"/>
          <w:lang w:val="en-US" w:eastAsia="zh-CN"/>
        </w:rPr>
      </w:pPr>
      <w:r>
        <w:rPr>
          <w:rFonts w:hint="eastAsia" w:ascii="仿宋" w:hAnsi="仿宋" w:eastAsia="仿宋"/>
          <w:color w:val="auto"/>
          <w:lang w:val="en-US" w:eastAsia="zh-CN"/>
        </w:rPr>
        <w:t>本项目主要服务密云区鼓楼街道北源里社区、上营东区、世纪家园、世豪公寓等片区，覆盖居民约3251户。经调研，该区域机动车保有量已达4018辆，现有停车泊位仅1606个，即便叠加周边规划新增泊位，停车缺口仍超1900个；加之东侧紧邻密云一小新建教学楼，上下学高峰接送车辆瞬时需求激增，进一步加剧停车供需矛盾，亟须通过集约高效的停车设施建设，系统性破解“停车难、停车乱”民生痛点，为区域交通治理与宜居品质提升提供坚实支撑。</w:t>
      </w:r>
    </w:p>
    <w:p w14:paraId="25B546C8">
      <w:pPr>
        <w:bidi w:val="0"/>
        <w:rPr>
          <w:rFonts w:hint="eastAsia" w:ascii="仿宋" w:hAnsi="仿宋" w:eastAsia="仿宋"/>
          <w:color w:val="auto"/>
          <w:lang w:val="en-US" w:eastAsia="zh-CN"/>
        </w:rPr>
      </w:pPr>
      <w:r>
        <w:rPr>
          <w:rFonts w:hint="eastAsia" w:ascii="仿宋" w:hAnsi="仿宋" w:eastAsia="仿宋"/>
          <w:color w:val="auto"/>
          <w:lang w:val="en-US" w:eastAsia="zh-CN"/>
        </w:rPr>
        <w:t>本项目建成后，将新增机动车停车泊位800个，同步配套建设充电桩泊位160个，有效提升区域停车供给能力与绿色出行配套水平。作为城市更新与空间集约利用的重要实践，项目既精准破解老旧小区“停车难”民生痛点、缓解区域交通拥堵、提升居民生活品质，也为高密度建成区静态交通治理提供可复制、可推广的样本，助力城市交通治理现代化与宜居城市建设。</w:t>
      </w:r>
    </w:p>
    <w:p w14:paraId="72C1A591">
      <w:pPr>
        <w:pStyle w:val="4"/>
        <w:bidi w:val="0"/>
        <w:ind w:left="720" w:hanging="720"/>
        <w:rPr>
          <w:rFonts w:hint="eastAsia" w:ascii="仿宋" w:hAnsi="仿宋" w:eastAsia="仿宋"/>
          <w:color w:val="auto"/>
          <w:lang w:val="en-US" w:eastAsia="zh-CN"/>
        </w:rPr>
      </w:pPr>
      <w:bookmarkStart w:id="31" w:name="_Toc22894"/>
      <w:bookmarkStart w:id="32" w:name="_Toc1003942898"/>
      <w:r>
        <w:rPr>
          <w:rFonts w:hint="eastAsia" w:ascii="仿宋" w:hAnsi="仿宋" w:eastAsia="仿宋"/>
          <w:color w:val="auto"/>
          <w:lang w:val="en-US" w:eastAsia="zh-CN"/>
        </w:rPr>
        <w:t>主要技术经济指标</w:t>
      </w:r>
      <w:bookmarkEnd w:id="31"/>
      <w:bookmarkEnd w:id="32"/>
    </w:p>
    <w:p w14:paraId="6043B8CE">
      <w:pPr>
        <w:bidi w:val="0"/>
        <w:jc w:val="center"/>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表1-2 主要技术经济指标表</w:t>
      </w:r>
    </w:p>
    <w:tbl>
      <w:tblPr>
        <w:tblStyle w:val="3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6"/>
        <w:gridCol w:w="2856"/>
        <w:gridCol w:w="993"/>
        <w:gridCol w:w="1332"/>
        <w:gridCol w:w="2356"/>
      </w:tblGrid>
      <w:tr w14:paraId="37CB9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BB8BB">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序号</w:t>
            </w:r>
          </w:p>
        </w:tc>
        <w:tc>
          <w:tcPr>
            <w:tcW w:w="1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2F0CE">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项目</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9C18E">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单位</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0480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指标</w:t>
            </w:r>
          </w:p>
        </w:tc>
        <w:tc>
          <w:tcPr>
            <w:tcW w:w="1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F5F6C">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备注</w:t>
            </w:r>
          </w:p>
        </w:tc>
      </w:tr>
      <w:tr w14:paraId="4EEE1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7A9AF">
            <w:pPr>
              <w:widowControl/>
              <w:spacing w:line="300" w:lineRule="exact"/>
              <w:ind w:firstLine="0" w:firstLineChars="0"/>
              <w:jc w:val="center"/>
              <w:rPr>
                <w:rFonts w:hint="default" w:ascii="仿宋" w:hAnsi="仿宋" w:eastAsia="仿宋" w:cs="仿宋"/>
                <w:b w:val="0"/>
                <w:bCs w:val="0"/>
                <w:color w:val="auto"/>
                <w:sz w:val="22"/>
                <w:szCs w:val="22"/>
                <w:highlight w:val="none"/>
                <w:lang w:val="en-US" w:eastAsia="zh-CN"/>
              </w:rPr>
            </w:pPr>
            <w:r>
              <w:rPr>
                <w:rFonts w:hint="eastAsia" w:ascii="仿宋" w:hAnsi="仿宋" w:eastAsia="仿宋" w:cs="仿宋"/>
                <w:b w:val="0"/>
                <w:bCs w:val="0"/>
                <w:color w:val="auto"/>
                <w:sz w:val="22"/>
                <w:szCs w:val="22"/>
                <w:highlight w:val="none"/>
                <w:lang w:val="en-US" w:eastAsia="zh-CN"/>
              </w:rPr>
              <w:t>1</w:t>
            </w:r>
          </w:p>
        </w:tc>
        <w:tc>
          <w:tcPr>
            <w:tcW w:w="1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3AD20">
            <w:pPr>
              <w:widowControl/>
              <w:spacing w:line="300" w:lineRule="exact"/>
              <w:ind w:firstLine="0" w:firstLineChars="0"/>
              <w:jc w:val="center"/>
              <w:rPr>
                <w:rFonts w:hint="default" w:ascii="仿宋" w:hAnsi="仿宋" w:eastAsia="仿宋" w:cs="仿宋"/>
                <w:b w:val="0"/>
                <w:bCs w:val="0"/>
                <w:color w:val="auto"/>
                <w:sz w:val="22"/>
                <w:szCs w:val="22"/>
                <w:highlight w:val="none"/>
                <w:lang w:val="en-US" w:eastAsia="zh-CN"/>
              </w:rPr>
            </w:pPr>
            <w:r>
              <w:rPr>
                <w:rFonts w:hint="eastAsia" w:ascii="仿宋" w:hAnsi="仿宋" w:eastAsia="仿宋" w:cs="仿宋"/>
                <w:b w:val="0"/>
                <w:bCs w:val="0"/>
                <w:color w:val="auto"/>
                <w:sz w:val="22"/>
                <w:szCs w:val="22"/>
                <w:highlight w:val="none"/>
                <w:lang w:val="en-US" w:eastAsia="zh-CN"/>
              </w:rPr>
              <w:t>用地面积</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9DAE2">
            <w:pPr>
              <w:widowControl/>
              <w:spacing w:line="300" w:lineRule="exact"/>
              <w:ind w:firstLine="0" w:firstLineChars="0"/>
              <w:jc w:val="center"/>
              <w:rPr>
                <w:rFonts w:hint="default" w:ascii="仿宋" w:hAnsi="仿宋" w:eastAsia="仿宋" w:cs="仿宋"/>
                <w:b w:val="0"/>
                <w:bCs w:val="0"/>
                <w:color w:val="auto"/>
                <w:sz w:val="22"/>
                <w:szCs w:val="22"/>
                <w:highlight w:val="none"/>
                <w:lang w:val="en-US" w:eastAsia="zh-CN"/>
              </w:rPr>
            </w:pPr>
            <w:r>
              <w:rPr>
                <w:rFonts w:hint="eastAsia" w:ascii="仿宋" w:hAnsi="仿宋" w:eastAsia="仿宋" w:cs="仿宋"/>
                <w:b w:val="0"/>
                <w:bCs w:val="0"/>
                <w:color w:val="auto"/>
                <w:sz w:val="22"/>
                <w:szCs w:val="22"/>
                <w:highlight w:val="none"/>
                <w:lang w:val="en-US" w:eastAsia="zh-CN"/>
              </w:rPr>
              <w:t>㎡</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56B0C">
            <w:pPr>
              <w:widowControl/>
              <w:spacing w:line="300" w:lineRule="exact"/>
              <w:ind w:firstLine="0" w:firstLineChars="0"/>
              <w:jc w:val="center"/>
              <w:rPr>
                <w:rFonts w:hint="default" w:ascii="仿宋" w:hAnsi="仿宋" w:eastAsia="仿宋" w:cs="仿宋"/>
                <w:b w:val="0"/>
                <w:bCs w:val="0"/>
                <w:color w:val="auto"/>
                <w:sz w:val="22"/>
                <w:szCs w:val="22"/>
                <w:highlight w:val="none"/>
                <w:lang w:val="en-US" w:eastAsia="zh-CN"/>
              </w:rPr>
            </w:pPr>
            <w:r>
              <w:rPr>
                <w:rFonts w:hint="eastAsia" w:ascii="仿宋" w:hAnsi="仿宋" w:eastAsia="仿宋" w:cs="仿宋"/>
                <w:b w:val="0"/>
                <w:bCs w:val="0"/>
                <w:color w:val="auto"/>
                <w:sz w:val="22"/>
                <w:szCs w:val="22"/>
                <w:highlight w:val="none"/>
                <w:lang w:val="en-US" w:eastAsia="zh-CN"/>
              </w:rPr>
              <w:t>13000</w:t>
            </w:r>
          </w:p>
        </w:tc>
        <w:tc>
          <w:tcPr>
            <w:tcW w:w="1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C72F8">
            <w:pPr>
              <w:widowControl/>
              <w:spacing w:line="300" w:lineRule="exact"/>
              <w:ind w:firstLine="0" w:firstLineChars="0"/>
              <w:jc w:val="center"/>
              <w:rPr>
                <w:rFonts w:hint="eastAsia" w:ascii="仿宋" w:hAnsi="仿宋" w:eastAsia="仿宋" w:cs="仿宋"/>
                <w:b w:val="0"/>
                <w:bCs w:val="0"/>
                <w:color w:val="auto"/>
                <w:sz w:val="22"/>
                <w:szCs w:val="22"/>
                <w:highlight w:val="none"/>
                <w:lang w:val="en-US" w:eastAsia="zh-CN"/>
              </w:rPr>
            </w:pPr>
          </w:p>
        </w:tc>
      </w:tr>
      <w:tr w14:paraId="22495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C3FD0">
            <w:pPr>
              <w:widowControl/>
              <w:spacing w:line="300" w:lineRule="exact"/>
              <w:ind w:firstLine="0" w:firstLineChars="0"/>
              <w:jc w:val="center"/>
              <w:rPr>
                <w:rFonts w:hint="default" w:ascii="仿宋" w:hAnsi="仿宋" w:eastAsia="仿宋" w:cs="仿宋"/>
                <w:b w:val="0"/>
                <w:bCs w:val="0"/>
                <w:color w:val="auto"/>
                <w:sz w:val="22"/>
                <w:szCs w:val="22"/>
                <w:highlight w:val="none"/>
                <w:lang w:val="en-US" w:eastAsia="zh-CN"/>
              </w:rPr>
            </w:pPr>
            <w:r>
              <w:rPr>
                <w:rFonts w:hint="eastAsia" w:ascii="仿宋" w:hAnsi="仿宋" w:eastAsia="仿宋" w:cs="仿宋"/>
                <w:b w:val="0"/>
                <w:bCs w:val="0"/>
                <w:color w:val="auto"/>
                <w:sz w:val="22"/>
                <w:szCs w:val="22"/>
                <w:highlight w:val="none"/>
                <w:lang w:val="en-US" w:eastAsia="zh-CN"/>
              </w:rPr>
              <w:t>2</w:t>
            </w:r>
          </w:p>
        </w:tc>
        <w:tc>
          <w:tcPr>
            <w:tcW w:w="1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C0BBD">
            <w:pPr>
              <w:widowControl/>
              <w:spacing w:line="300" w:lineRule="exact"/>
              <w:ind w:firstLine="0" w:firstLineChars="0"/>
              <w:jc w:val="center"/>
              <w:rPr>
                <w:rFonts w:hint="default" w:ascii="仿宋" w:hAnsi="仿宋" w:eastAsia="仿宋" w:cs="仿宋"/>
                <w:b w:val="0"/>
                <w:bCs w:val="0"/>
                <w:color w:val="auto"/>
                <w:sz w:val="22"/>
                <w:szCs w:val="22"/>
                <w:highlight w:val="none"/>
                <w:lang w:val="en-US" w:eastAsia="zh-CN"/>
              </w:rPr>
            </w:pPr>
            <w:r>
              <w:rPr>
                <w:rFonts w:hint="eastAsia" w:ascii="仿宋" w:hAnsi="仿宋" w:eastAsia="仿宋" w:cs="仿宋"/>
                <w:b w:val="0"/>
                <w:bCs w:val="0"/>
                <w:color w:val="auto"/>
                <w:sz w:val="22"/>
                <w:szCs w:val="22"/>
                <w:highlight w:val="none"/>
                <w:lang w:val="en-US" w:eastAsia="zh-CN"/>
              </w:rPr>
              <w:t>总建筑面积</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333CB">
            <w:pPr>
              <w:widowControl/>
              <w:spacing w:line="300" w:lineRule="exact"/>
              <w:ind w:firstLine="0" w:firstLineChars="0"/>
              <w:jc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b w:val="0"/>
                <w:bCs w:val="0"/>
                <w:color w:val="auto"/>
                <w:sz w:val="22"/>
                <w:szCs w:val="22"/>
                <w:highlight w:val="none"/>
                <w:lang w:val="en-US" w:eastAsia="zh-CN"/>
              </w:rPr>
              <w:t>㎡</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ABD2C">
            <w:pPr>
              <w:widowControl/>
              <w:spacing w:line="300" w:lineRule="exact"/>
              <w:ind w:firstLine="0" w:firstLineChars="0"/>
              <w:jc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24496</w:t>
            </w:r>
          </w:p>
        </w:tc>
        <w:tc>
          <w:tcPr>
            <w:tcW w:w="1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593A4">
            <w:pPr>
              <w:widowControl/>
              <w:spacing w:line="300" w:lineRule="exact"/>
              <w:ind w:firstLine="0" w:firstLineChars="0"/>
              <w:jc w:val="center"/>
              <w:rPr>
                <w:rFonts w:hint="eastAsia" w:ascii="仿宋" w:hAnsi="仿宋" w:eastAsia="仿宋" w:cs="仿宋"/>
                <w:b w:val="0"/>
                <w:bCs w:val="0"/>
                <w:color w:val="auto"/>
                <w:sz w:val="22"/>
                <w:szCs w:val="22"/>
                <w:highlight w:val="none"/>
                <w:lang w:val="en-US" w:eastAsia="zh-CN"/>
              </w:rPr>
            </w:pPr>
          </w:p>
        </w:tc>
      </w:tr>
      <w:tr w14:paraId="44E59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0384A">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2.1</w:t>
            </w:r>
          </w:p>
        </w:tc>
        <w:tc>
          <w:tcPr>
            <w:tcW w:w="1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2DE0F">
            <w:pPr>
              <w:keepNext w:val="0"/>
              <w:keepLines w:val="0"/>
              <w:widowControl/>
              <w:suppressLineNumbers w:val="0"/>
              <w:spacing w:line="240" w:lineRule="auto"/>
              <w:ind w:left="0" w:leftChars="0" w:firstLine="0" w:firstLineChars="0"/>
              <w:jc w:val="right"/>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其中：地上建筑面积</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B5887">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b w:val="0"/>
                <w:bCs w:val="0"/>
                <w:color w:val="auto"/>
                <w:sz w:val="22"/>
                <w:szCs w:val="22"/>
                <w:highlight w:val="none"/>
                <w:lang w:val="en-US" w:eastAsia="zh-CN"/>
              </w:rPr>
              <w:t>㎡</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C7ABD">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850</w:t>
            </w:r>
          </w:p>
        </w:tc>
        <w:tc>
          <w:tcPr>
            <w:tcW w:w="1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85871">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地下车库出入口</w:t>
            </w:r>
          </w:p>
        </w:tc>
      </w:tr>
      <w:tr w14:paraId="20AF2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80CF8">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2.2</w:t>
            </w:r>
          </w:p>
        </w:tc>
        <w:tc>
          <w:tcPr>
            <w:tcW w:w="1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31891">
            <w:pPr>
              <w:keepNext w:val="0"/>
              <w:keepLines w:val="0"/>
              <w:widowControl/>
              <w:suppressLineNumbers w:val="0"/>
              <w:spacing w:line="240" w:lineRule="auto"/>
              <w:ind w:left="0" w:leftChars="0" w:firstLine="0" w:firstLineChars="0"/>
              <w:jc w:val="right"/>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地下建筑面积</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394CA">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b w:val="0"/>
                <w:bCs w:val="0"/>
                <w:color w:val="auto"/>
                <w:sz w:val="22"/>
                <w:szCs w:val="22"/>
                <w:highlight w:val="none"/>
                <w:lang w:val="en-US" w:eastAsia="zh-CN"/>
              </w:rPr>
              <w:t>㎡</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BA02B">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23646</w:t>
            </w:r>
          </w:p>
        </w:tc>
        <w:tc>
          <w:tcPr>
            <w:tcW w:w="1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431FB">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p>
        </w:tc>
      </w:tr>
      <w:tr w14:paraId="533CF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E792B">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3</w:t>
            </w:r>
          </w:p>
        </w:tc>
        <w:tc>
          <w:tcPr>
            <w:tcW w:w="1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C07AD">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地下机动车车位</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6576F">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个</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44C87">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800</w:t>
            </w:r>
          </w:p>
        </w:tc>
        <w:tc>
          <w:tcPr>
            <w:tcW w:w="1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C49B2">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p>
        </w:tc>
      </w:tr>
      <w:tr w14:paraId="69DFB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92846">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3.1</w:t>
            </w:r>
          </w:p>
        </w:tc>
        <w:tc>
          <w:tcPr>
            <w:tcW w:w="1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C2184">
            <w:pPr>
              <w:keepNext w:val="0"/>
              <w:keepLines w:val="0"/>
              <w:widowControl/>
              <w:suppressLineNumbers w:val="0"/>
              <w:spacing w:line="240" w:lineRule="auto"/>
              <w:ind w:left="0" w:leftChars="0" w:firstLine="0" w:firstLineChars="0"/>
              <w:jc w:val="right"/>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其中：地下一层</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16776">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个</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30A31">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390</w:t>
            </w:r>
          </w:p>
        </w:tc>
        <w:tc>
          <w:tcPr>
            <w:tcW w:w="1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C8778">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p>
        </w:tc>
      </w:tr>
      <w:tr w14:paraId="09B06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2C9E8">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3.2</w:t>
            </w:r>
          </w:p>
        </w:tc>
        <w:tc>
          <w:tcPr>
            <w:tcW w:w="1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2E53A">
            <w:pPr>
              <w:keepNext w:val="0"/>
              <w:keepLines w:val="0"/>
              <w:widowControl/>
              <w:suppressLineNumbers w:val="0"/>
              <w:spacing w:line="240" w:lineRule="auto"/>
              <w:ind w:left="0" w:leftChars="0" w:firstLine="0" w:firstLineChars="0"/>
              <w:jc w:val="right"/>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地下二层</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E77C0">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个</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C7D9D">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r>
              <w:rPr>
                <w:rFonts w:hint="eastAsia" w:ascii="仿宋" w:hAnsi="仿宋" w:eastAsia="仿宋" w:cs="仿宋"/>
                <w:i w:val="0"/>
                <w:iCs w:val="0"/>
                <w:color w:val="auto"/>
                <w:sz w:val="22"/>
                <w:szCs w:val="22"/>
                <w:highlight w:val="none"/>
                <w:u w:val="none"/>
                <w:lang w:val="en-US" w:eastAsia="zh-CN"/>
              </w:rPr>
              <w:t>410</w:t>
            </w:r>
          </w:p>
        </w:tc>
        <w:tc>
          <w:tcPr>
            <w:tcW w:w="1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4A0F6">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val="0"/>
                <w:color w:val="auto"/>
                <w:sz w:val="22"/>
                <w:szCs w:val="22"/>
                <w:highlight w:val="none"/>
                <w:lang w:val="en-US" w:eastAsia="zh-CN"/>
              </w:rPr>
            </w:pPr>
          </w:p>
        </w:tc>
      </w:tr>
      <w:tr w14:paraId="176AE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13AEA">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4</w:t>
            </w:r>
          </w:p>
        </w:tc>
        <w:tc>
          <w:tcPr>
            <w:tcW w:w="1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63E34">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新能源充电桩泊位</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5F7A0">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个</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2E337">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160</w:t>
            </w:r>
          </w:p>
        </w:tc>
        <w:tc>
          <w:tcPr>
            <w:tcW w:w="1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E2CA0">
            <w:pPr>
              <w:keepNext w:val="0"/>
              <w:keepLines w:val="0"/>
              <w:widowControl/>
              <w:suppressLineNumbers w:val="0"/>
              <w:spacing w:line="240" w:lineRule="auto"/>
              <w:ind w:left="0" w:leftChars="0" w:firstLine="0" w:firstLineChars="0"/>
              <w:jc w:val="right"/>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后续可根据运营需要增减充电桩泊位数量</w:t>
            </w:r>
          </w:p>
        </w:tc>
      </w:tr>
      <w:tr w14:paraId="1AA68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E11E4">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w:t>
            </w:r>
          </w:p>
        </w:tc>
        <w:tc>
          <w:tcPr>
            <w:tcW w:w="1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157F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总投资</w:t>
            </w:r>
          </w:p>
        </w:tc>
        <w:tc>
          <w:tcPr>
            <w:tcW w:w="5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DDBC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8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B35C3">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color w:val="auto"/>
                <w:kern w:val="2"/>
                <w:sz w:val="22"/>
                <w:szCs w:val="22"/>
                <w:highlight w:val="none"/>
                <w:u w:val="none"/>
                <w:lang w:val="en-US" w:eastAsia="zh-CN" w:bidi="ar"/>
              </w:rPr>
            </w:pPr>
            <w:r>
              <w:rPr>
                <w:rFonts w:hint="eastAsia" w:ascii="仿宋" w:hAnsi="仿宋" w:eastAsia="仿宋" w:cs="仿宋"/>
                <w:i w:val="0"/>
                <w:iCs w:val="0"/>
                <w:color w:val="auto"/>
                <w:kern w:val="2"/>
                <w:sz w:val="22"/>
                <w:szCs w:val="22"/>
                <w:highlight w:val="none"/>
                <w:u w:val="none"/>
                <w:lang w:val="en-US" w:eastAsia="zh-CN" w:bidi="ar"/>
              </w:rPr>
              <w:t xml:space="preserve">22319.75 </w:t>
            </w:r>
          </w:p>
        </w:tc>
        <w:tc>
          <w:tcPr>
            <w:tcW w:w="1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2BF7D">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16D59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0350C">
            <w:pPr>
              <w:widowControl/>
              <w:spacing w:line="300" w:lineRule="exact"/>
              <w:ind w:firstLine="0" w:firstLineChars="0"/>
              <w:jc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5.1</w:t>
            </w:r>
          </w:p>
        </w:tc>
        <w:tc>
          <w:tcPr>
            <w:tcW w:w="1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0D373">
            <w:pPr>
              <w:widowControl/>
              <w:spacing w:line="300" w:lineRule="exact"/>
              <w:ind w:firstLine="0" w:firstLineChars="0"/>
              <w:jc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工程费用</w:t>
            </w:r>
          </w:p>
        </w:tc>
        <w:tc>
          <w:tcPr>
            <w:tcW w:w="5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DA7D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8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4D59">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kern w:val="2"/>
                <w:sz w:val="22"/>
                <w:szCs w:val="22"/>
                <w:highlight w:val="none"/>
                <w:u w:val="none"/>
                <w:lang w:val="en-US" w:eastAsia="zh-CN" w:bidi="ar"/>
              </w:rPr>
            </w:pPr>
            <w:r>
              <w:rPr>
                <w:rFonts w:hint="eastAsia" w:ascii="仿宋" w:hAnsi="仿宋" w:eastAsia="仿宋"/>
                <w:color w:val="auto"/>
                <w:sz w:val="22"/>
                <w:szCs w:val="22"/>
                <w:u w:val="none"/>
                <w:lang w:val="en-US" w:eastAsia="zh-CN"/>
              </w:rPr>
              <w:t>18317.21</w:t>
            </w:r>
          </w:p>
        </w:tc>
        <w:tc>
          <w:tcPr>
            <w:tcW w:w="1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4F7D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40B5A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759C5">
            <w:pPr>
              <w:widowControl/>
              <w:spacing w:line="300" w:lineRule="exact"/>
              <w:ind w:firstLine="0" w:firstLineChars="0"/>
              <w:jc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5.2</w:t>
            </w:r>
          </w:p>
        </w:tc>
        <w:tc>
          <w:tcPr>
            <w:tcW w:w="1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E7EB9">
            <w:pPr>
              <w:widowControl/>
              <w:spacing w:line="300" w:lineRule="exact"/>
              <w:ind w:firstLine="0" w:firstLineChars="0"/>
              <w:jc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工程建设其他费用</w:t>
            </w:r>
          </w:p>
        </w:tc>
        <w:tc>
          <w:tcPr>
            <w:tcW w:w="5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8AE2D">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8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EE460">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kern w:val="2"/>
                <w:sz w:val="22"/>
                <w:szCs w:val="22"/>
                <w:highlight w:val="none"/>
                <w:u w:val="none"/>
                <w:lang w:val="en-US" w:eastAsia="zh-CN" w:bidi="ar"/>
              </w:rPr>
            </w:pPr>
            <w:r>
              <w:rPr>
                <w:rFonts w:hint="eastAsia" w:ascii="仿宋" w:hAnsi="仿宋" w:eastAsia="仿宋"/>
                <w:color w:val="auto"/>
                <w:sz w:val="22"/>
                <w:szCs w:val="22"/>
                <w:u w:val="none"/>
                <w:lang w:val="en-US" w:eastAsia="zh-CN"/>
              </w:rPr>
              <w:t>2309.97</w:t>
            </w:r>
          </w:p>
        </w:tc>
        <w:tc>
          <w:tcPr>
            <w:tcW w:w="1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5999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7DF72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966FA">
            <w:pPr>
              <w:widowControl/>
              <w:spacing w:line="300" w:lineRule="exact"/>
              <w:ind w:firstLine="0" w:firstLineChars="0"/>
              <w:jc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5.3</w:t>
            </w:r>
          </w:p>
        </w:tc>
        <w:tc>
          <w:tcPr>
            <w:tcW w:w="1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9A9C8">
            <w:pPr>
              <w:widowControl/>
              <w:spacing w:line="300" w:lineRule="exact"/>
              <w:ind w:firstLine="0" w:firstLineChars="0"/>
              <w:jc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预备费</w:t>
            </w:r>
          </w:p>
        </w:tc>
        <w:tc>
          <w:tcPr>
            <w:tcW w:w="5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E1E1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8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C1F04">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kern w:val="2"/>
                <w:sz w:val="22"/>
                <w:szCs w:val="22"/>
                <w:highlight w:val="none"/>
                <w:u w:val="none"/>
                <w:lang w:val="en-US" w:eastAsia="zh-CN" w:bidi="ar"/>
              </w:rPr>
            </w:pPr>
            <w:r>
              <w:rPr>
                <w:rFonts w:hint="eastAsia" w:ascii="仿宋" w:hAnsi="仿宋" w:eastAsia="仿宋"/>
                <w:color w:val="auto"/>
                <w:sz w:val="22"/>
                <w:szCs w:val="22"/>
                <w:u w:val="none"/>
                <w:lang w:val="en-US" w:eastAsia="zh-CN"/>
              </w:rPr>
              <w:t>1608.82</w:t>
            </w:r>
          </w:p>
        </w:tc>
        <w:tc>
          <w:tcPr>
            <w:tcW w:w="1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6A528">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64902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060CA">
            <w:pPr>
              <w:widowControl/>
              <w:spacing w:line="300" w:lineRule="exact"/>
              <w:ind w:firstLine="0" w:firstLineChars="0"/>
              <w:jc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5.4</w:t>
            </w:r>
          </w:p>
        </w:tc>
        <w:tc>
          <w:tcPr>
            <w:tcW w:w="1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744DD">
            <w:pPr>
              <w:widowControl/>
              <w:spacing w:line="300" w:lineRule="exact"/>
              <w:ind w:firstLine="0" w:firstLineChars="0"/>
              <w:jc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建设期利息</w:t>
            </w:r>
          </w:p>
        </w:tc>
        <w:tc>
          <w:tcPr>
            <w:tcW w:w="5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B10B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8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D8F97">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kern w:val="2"/>
                <w:sz w:val="22"/>
                <w:szCs w:val="22"/>
                <w:highlight w:val="none"/>
                <w:u w:val="none"/>
                <w:lang w:val="en-US" w:eastAsia="zh-CN" w:bidi="ar"/>
              </w:rPr>
            </w:pPr>
            <w:r>
              <w:rPr>
                <w:rFonts w:hint="eastAsia" w:ascii="仿宋" w:hAnsi="仿宋" w:eastAsia="仿宋"/>
                <w:color w:val="auto"/>
                <w:sz w:val="22"/>
                <w:szCs w:val="22"/>
                <w:u w:val="none"/>
                <w:lang w:val="en-US" w:eastAsia="zh-CN"/>
              </w:rPr>
              <w:t>83.75</w:t>
            </w:r>
          </w:p>
        </w:tc>
        <w:tc>
          <w:tcPr>
            <w:tcW w:w="1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9216D">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00899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E4C7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6</w:t>
            </w:r>
          </w:p>
        </w:tc>
        <w:tc>
          <w:tcPr>
            <w:tcW w:w="1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A6D93">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资本金</w:t>
            </w:r>
          </w:p>
        </w:tc>
        <w:tc>
          <w:tcPr>
            <w:tcW w:w="5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BB8C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8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48788">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color w:val="auto"/>
                <w:kern w:val="2"/>
                <w:sz w:val="22"/>
                <w:szCs w:val="22"/>
                <w:highlight w:val="none"/>
                <w:u w:val="none"/>
                <w:lang w:val="en-US" w:eastAsia="zh-CN" w:bidi="ar"/>
              </w:rPr>
            </w:pPr>
            <w:r>
              <w:rPr>
                <w:rFonts w:hint="eastAsia" w:ascii="仿宋" w:hAnsi="仿宋" w:eastAsia="仿宋" w:cs="仿宋"/>
                <w:i w:val="0"/>
                <w:iCs w:val="0"/>
                <w:color w:val="auto"/>
                <w:kern w:val="2"/>
                <w:sz w:val="22"/>
                <w:szCs w:val="22"/>
                <w:highlight w:val="none"/>
                <w:u w:val="none"/>
                <w:lang w:val="en-US" w:eastAsia="zh-CN" w:bidi="ar"/>
              </w:rPr>
              <w:t xml:space="preserve">5129.47 </w:t>
            </w:r>
          </w:p>
        </w:tc>
        <w:tc>
          <w:tcPr>
            <w:tcW w:w="1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862C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6B614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63455">
            <w:pPr>
              <w:widowControl/>
              <w:spacing w:line="300" w:lineRule="exact"/>
              <w:ind w:firstLine="0" w:firstLineChars="0"/>
              <w:jc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7</w:t>
            </w:r>
          </w:p>
        </w:tc>
        <w:tc>
          <w:tcPr>
            <w:tcW w:w="1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F3EAC">
            <w:pPr>
              <w:widowControl/>
              <w:spacing w:line="300" w:lineRule="exact"/>
              <w:ind w:firstLine="0" w:firstLineChars="0"/>
              <w:jc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政府投资补助</w:t>
            </w:r>
          </w:p>
        </w:tc>
        <w:tc>
          <w:tcPr>
            <w:tcW w:w="5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9DA3F">
            <w:pPr>
              <w:widowControl/>
              <w:spacing w:line="300" w:lineRule="exact"/>
              <w:ind w:firstLine="0" w:firstLineChars="0"/>
              <w:jc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8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D7043">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21"/>
                <w:szCs w:val="21"/>
                <w:highlight w:val="none"/>
                <w:u w:val="none"/>
                <w:lang w:val="en-US" w:eastAsia="zh-CN" w:bidi="ar"/>
              </w:rPr>
            </w:pPr>
            <w:r>
              <w:rPr>
                <w:rFonts w:hint="eastAsia" w:eastAsia="等线" w:cs="Times New Roman"/>
                <w:i w:val="0"/>
                <w:iCs w:val="0"/>
                <w:color w:val="auto"/>
                <w:kern w:val="0"/>
                <w:sz w:val="21"/>
                <w:szCs w:val="21"/>
                <w:highlight w:val="none"/>
                <w:u w:val="none"/>
                <w:lang w:val="en-US" w:eastAsia="zh-CN" w:bidi="ar"/>
              </w:rPr>
              <w:t>10490.28</w:t>
            </w:r>
            <w:r>
              <w:rPr>
                <w:rFonts w:hint="default" w:ascii="Times New Roman" w:hAnsi="Times New Roman" w:eastAsia="等线" w:cs="Times New Roman"/>
                <w:i w:val="0"/>
                <w:iCs w:val="0"/>
                <w:color w:val="auto"/>
                <w:kern w:val="0"/>
                <w:sz w:val="21"/>
                <w:szCs w:val="21"/>
                <w:highlight w:val="none"/>
                <w:u w:val="none"/>
                <w:lang w:val="en-US" w:eastAsia="zh-CN" w:bidi="ar"/>
              </w:rPr>
              <w:t xml:space="preserve"> </w:t>
            </w:r>
          </w:p>
        </w:tc>
        <w:tc>
          <w:tcPr>
            <w:tcW w:w="1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5A78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244CA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8342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8</w:t>
            </w:r>
          </w:p>
        </w:tc>
        <w:tc>
          <w:tcPr>
            <w:tcW w:w="1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50981">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银行贷款</w:t>
            </w:r>
          </w:p>
        </w:tc>
        <w:tc>
          <w:tcPr>
            <w:tcW w:w="5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0F20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8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087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color w:val="auto"/>
                <w:kern w:val="0"/>
                <w:sz w:val="21"/>
                <w:szCs w:val="21"/>
                <w:highlight w:val="none"/>
                <w:u w:val="none"/>
                <w:lang w:val="en-US" w:eastAsia="zh-CN" w:bidi="ar"/>
              </w:rPr>
            </w:pPr>
            <w:r>
              <w:rPr>
                <w:rFonts w:hint="default" w:ascii="Times New Roman" w:hAnsi="Times New Roman" w:eastAsia="等线" w:cs="Times New Roman"/>
                <w:i w:val="0"/>
                <w:iCs w:val="0"/>
                <w:color w:val="auto"/>
                <w:kern w:val="0"/>
                <w:sz w:val="21"/>
                <w:szCs w:val="21"/>
                <w:highlight w:val="none"/>
                <w:u w:val="none"/>
                <w:lang w:val="en-US" w:eastAsia="zh-CN" w:bidi="ar"/>
              </w:rPr>
              <w:t xml:space="preserve">6700.00 </w:t>
            </w:r>
          </w:p>
        </w:tc>
        <w:tc>
          <w:tcPr>
            <w:tcW w:w="1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12AE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bl>
    <w:p w14:paraId="64F4ADF4">
      <w:pPr>
        <w:pStyle w:val="4"/>
        <w:bidi w:val="0"/>
        <w:ind w:left="720" w:hanging="720"/>
        <w:rPr>
          <w:rFonts w:hint="eastAsia" w:ascii="仿宋" w:hAnsi="仿宋" w:eastAsia="仿宋"/>
          <w:color w:val="auto"/>
          <w:lang w:val="en-US" w:eastAsia="zh-CN"/>
        </w:rPr>
      </w:pPr>
      <w:bookmarkStart w:id="33" w:name="_Toc21611"/>
      <w:bookmarkStart w:id="34" w:name="_Toc489272207"/>
      <w:r>
        <w:rPr>
          <w:rFonts w:hint="eastAsia" w:ascii="仿宋" w:hAnsi="仿宋" w:eastAsia="仿宋"/>
          <w:color w:val="auto"/>
          <w:lang w:val="en-US" w:eastAsia="zh-CN"/>
        </w:rPr>
        <w:t>前期工作进展情况</w:t>
      </w:r>
      <w:bookmarkEnd w:id="33"/>
      <w:bookmarkEnd w:id="34"/>
    </w:p>
    <w:p w14:paraId="7DF39D51">
      <w:pPr>
        <w:bidi w:val="0"/>
        <w:rPr>
          <w:rFonts w:hint="eastAsia" w:ascii="仿宋" w:hAnsi="仿宋" w:eastAsia="仿宋"/>
          <w:color w:val="auto"/>
          <w:lang w:val="en-US" w:eastAsia="zh-CN"/>
        </w:rPr>
      </w:pPr>
      <w:r>
        <w:rPr>
          <w:rFonts w:hint="eastAsia" w:ascii="仿宋" w:hAnsi="仿宋" w:eastAsia="仿宋"/>
          <w:color w:val="auto"/>
          <w:lang w:val="en-US" w:eastAsia="zh-CN"/>
        </w:rPr>
        <w:t>截至2026年1月，本项目已完成项目选址和规划，正在进行设计方案深化与论证。</w:t>
      </w:r>
    </w:p>
    <w:bookmarkEnd w:id="1"/>
    <w:bookmarkEnd w:id="2"/>
    <w:bookmarkEnd w:id="3"/>
    <w:bookmarkEnd w:id="4"/>
    <w:bookmarkEnd w:id="9"/>
    <w:bookmarkEnd w:id="10"/>
    <w:bookmarkEnd w:id="11"/>
    <w:bookmarkEnd w:id="12"/>
    <w:bookmarkEnd w:id="13"/>
    <w:p w14:paraId="3329F8C1">
      <w:pPr>
        <w:pStyle w:val="3"/>
        <w:bidi w:val="0"/>
        <w:ind w:left="575" w:hanging="575"/>
        <w:rPr>
          <w:rFonts w:hint="eastAsia" w:ascii="仿宋" w:hAnsi="仿宋" w:eastAsia="仿宋" w:cs="仿宋"/>
          <w:color w:val="auto"/>
          <w:highlight w:val="none"/>
        </w:rPr>
      </w:pPr>
      <w:bookmarkStart w:id="35" w:name="_Toc4126"/>
      <w:bookmarkStart w:id="36" w:name="_Toc13099"/>
      <w:bookmarkStart w:id="37" w:name="_Toc9607"/>
      <w:bookmarkStart w:id="38" w:name="_Toc20563"/>
      <w:r>
        <w:rPr>
          <w:rFonts w:hint="eastAsia" w:ascii="仿宋" w:hAnsi="仿宋" w:eastAsia="仿宋" w:cs="仿宋"/>
          <w:color w:val="auto"/>
          <w:highlight w:val="none"/>
          <w:lang w:val="en-US" w:eastAsia="zh-CN"/>
        </w:rPr>
        <w:t>项目</w:t>
      </w:r>
      <w:r>
        <w:rPr>
          <w:rFonts w:hint="eastAsia" w:ascii="仿宋" w:hAnsi="仿宋" w:eastAsia="仿宋" w:cs="仿宋"/>
          <w:color w:val="auto"/>
          <w:highlight w:val="none"/>
        </w:rPr>
        <w:t>实施机构</w:t>
      </w:r>
      <w:bookmarkEnd w:id="35"/>
      <w:bookmarkEnd w:id="36"/>
      <w:bookmarkEnd w:id="37"/>
      <w:bookmarkEnd w:id="38"/>
    </w:p>
    <w:p w14:paraId="4FB507B4">
      <w:pPr>
        <w:ind w:firstLine="48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单位名称：北京市密云区城市管理委员会（以下简称“实施机构”或“密云区城管委”）</w:t>
      </w:r>
    </w:p>
    <w:p w14:paraId="5F15A4E5">
      <w:pPr>
        <w:ind w:firstLine="48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密云区人民政府授权密云区城管委作为本项目的实施机构。实施机构</w:t>
      </w:r>
      <w:r>
        <w:rPr>
          <w:rFonts w:hint="eastAsia" w:ascii="仿宋" w:hAnsi="仿宋" w:eastAsia="仿宋"/>
          <w:color w:val="auto"/>
          <w:sz w:val="28"/>
          <w:szCs w:val="28"/>
          <w:highlight w:val="none"/>
        </w:rPr>
        <w:t>具体负责项目的</w:t>
      </w:r>
      <w:r>
        <w:rPr>
          <w:rFonts w:hint="eastAsia" w:ascii="仿宋" w:hAnsi="仿宋" w:eastAsia="仿宋"/>
          <w:color w:val="auto"/>
          <w:sz w:val="28"/>
          <w:szCs w:val="28"/>
          <w:highlight w:val="none"/>
          <w:lang w:val="en-US" w:eastAsia="zh-CN"/>
        </w:rPr>
        <w:t>前期工作</w:t>
      </w:r>
      <w:r>
        <w:rPr>
          <w:rFonts w:hint="eastAsia" w:ascii="仿宋" w:hAnsi="仿宋" w:eastAsia="仿宋"/>
          <w:color w:val="auto"/>
          <w:sz w:val="28"/>
          <w:szCs w:val="28"/>
          <w:highlight w:val="none"/>
        </w:rPr>
        <w:t>准备、</w:t>
      </w:r>
      <w:r>
        <w:rPr>
          <w:rFonts w:hint="eastAsia" w:ascii="仿宋" w:hAnsi="仿宋" w:eastAsia="仿宋"/>
          <w:color w:val="auto"/>
          <w:sz w:val="28"/>
          <w:szCs w:val="28"/>
          <w:highlight w:val="none"/>
          <w:lang w:val="en-US" w:eastAsia="zh-CN"/>
        </w:rPr>
        <w:t>特许实施方案编制、特许经营者选择</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特许经营协议签订、项目实施</w:t>
      </w:r>
      <w:r>
        <w:rPr>
          <w:rFonts w:hint="eastAsia" w:ascii="仿宋" w:hAnsi="仿宋" w:eastAsia="仿宋"/>
          <w:color w:val="auto"/>
          <w:sz w:val="28"/>
          <w:szCs w:val="28"/>
          <w:highlight w:val="none"/>
        </w:rPr>
        <w:t>监管</w:t>
      </w:r>
      <w:r>
        <w:rPr>
          <w:rFonts w:hint="eastAsia" w:ascii="仿宋" w:hAnsi="仿宋" w:eastAsia="仿宋"/>
          <w:color w:val="auto"/>
          <w:sz w:val="28"/>
          <w:szCs w:val="28"/>
          <w:highlight w:val="none"/>
          <w:lang w:val="en-US" w:eastAsia="zh-CN"/>
        </w:rPr>
        <w:t>以及合作期满项目</w:t>
      </w:r>
      <w:r>
        <w:rPr>
          <w:rFonts w:hint="eastAsia" w:ascii="仿宋" w:hAnsi="仿宋" w:eastAsia="仿宋"/>
          <w:color w:val="auto"/>
          <w:sz w:val="28"/>
          <w:szCs w:val="28"/>
          <w:highlight w:val="none"/>
        </w:rPr>
        <w:t>移交</w:t>
      </w:r>
      <w:r>
        <w:rPr>
          <w:rFonts w:hint="eastAsia" w:ascii="仿宋" w:hAnsi="仿宋" w:eastAsia="仿宋"/>
          <w:color w:val="auto"/>
          <w:sz w:val="28"/>
          <w:szCs w:val="28"/>
          <w:highlight w:val="none"/>
          <w:lang w:val="en-US" w:eastAsia="zh-CN"/>
        </w:rPr>
        <w:t>接收</w:t>
      </w:r>
      <w:r>
        <w:rPr>
          <w:rFonts w:hint="eastAsia" w:ascii="仿宋" w:hAnsi="仿宋" w:eastAsia="仿宋"/>
          <w:color w:val="auto"/>
          <w:sz w:val="28"/>
          <w:szCs w:val="28"/>
          <w:highlight w:val="none"/>
        </w:rPr>
        <w:t>等工作。</w:t>
      </w:r>
    </w:p>
    <w:p w14:paraId="79C0FF88">
      <w:pPr>
        <w:ind w:firstLine="48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单位职责：密云区城管委负责城乡环境建设、城市管理的综合协调，以及市政基础设施、市政公用事业、市容环境卫生、能源日常运行等管理工作，是区政府组成部门。</w:t>
      </w:r>
    </w:p>
    <w:p w14:paraId="4EA51BC6">
      <w:pPr>
        <w:pStyle w:val="3"/>
        <w:bidi w:val="0"/>
        <w:ind w:left="575" w:hanging="575"/>
        <w:rPr>
          <w:rFonts w:hint="eastAsia" w:ascii="仿宋" w:hAnsi="仿宋" w:eastAsia="仿宋" w:cs="仿宋"/>
          <w:color w:val="auto"/>
          <w:highlight w:val="none"/>
          <w:lang w:val="en-US"/>
        </w:rPr>
      </w:pPr>
      <w:bookmarkStart w:id="39" w:name="_Toc2954"/>
      <w:bookmarkStart w:id="40" w:name="_Toc26035"/>
      <w:bookmarkStart w:id="41" w:name="_Toc30087"/>
      <w:bookmarkStart w:id="42" w:name="_Toc16038"/>
      <w:r>
        <w:rPr>
          <w:rFonts w:hint="eastAsia" w:ascii="仿宋" w:hAnsi="仿宋" w:eastAsia="仿宋" w:cs="仿宋"/>
          <w:color w:val="auto"/>
          <w:highlight w:val="none"/>
          <w:lang w:val="en-US" w:eastAsia="zh-CN"/>
        </w:rPr>
        <w:t>特许经营主要内容</w:t>
      </w:r>
      <w:bookmarkEnd w:id="39"/>
      <w:bookmarkEnd w:id="40"/>
      <w:bookmarkEnd w:id="41"/>
      <w:bookmarkEnd w:id="42"/>
    </w:p>
    <w:p w14:paraId="5109352B">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项目收费渠道及方式</w:t>
      </w:r>
    </w:p>
    <w:p w14:paraId="26973B1F">
      <w:pPr>
        <w:bidi w:val="0"/>
        <w:rPr>
          <w:rFonts w:hint="eastAsia" w:ascii="仿宋" w:hAnsi="仿宋" w:eastAsia="仿宋"/>
          <w:color w:val="auto"/>
          <w:lang w:val="en-US" w:eastAsia="zh-CN"/>
        </w:rPr>
      </w:pPr>
      <w:r>
        <w:rPr>
          <w:rFonts w:hint="eastAsia" w:ascii="仿宋" w:hAnsi="仿宋" w:eastAsia="仿宋"/>
          <w:color w:val="auto"/>
          <w:lang w:val="en-US" w:eastAsia="zh-CN"/>
        </w:rPr>
        <w:t>本项目共建设停车位800个，自项目建成后进行分类收费管理，主要收入来源为车位租赁收入、充电桩收入、卫生管理费及广告收入等。</w:t>
      </w:r>
    </w:p>
    <w:p w14:paraId="3E212A2E">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实施方式</w:t>
      </w:r>
    </w:p>
    <w:p w14:paraId="245764E2">
      <w:pPr>
        <w:bidi w:val="0"/>
        <w:rPr>
          <w:rFonts w:hint="eastAsia" w:ascii="仿宋" w:hAnsi="仿宋" w:eastAsia="仿宋"/>
          <w:color w:val="auto"/>
        </w:rPr>
      </w:pPr>
      <w:r>
        <w:rPr>
          <w:rFonts w:hint="eastAsia" w:ascii="仿宋" w:hAnsi="仿宋" w:eastAsia="仿宋"/>
          <w:color w:val="auto"/>
        </w:rPr>
        <w:t>本项目</w:t>
      </w:r>
      <w:r>
        <w:rPr>
          <w:rFonts w:hint="eastAsia" w:ascii="仿宋" w:hAnsi="仿宋" w:eastAsia="仿宋"/>
          <w:color w:val="auto"/>
          <w:lang w:val="en-US" w:eastAsia="zh-CN"/>
        </w:rPr>
        <w:t>采取特许经营模式实施，使用</w:t>
      </w:r>
      <w:r>
        <w:rPr>
          <w:rFonts w:hint="eastAsia" w:ascii="仿宋" w:hAnsi="仿宋" w:eastAsia="仿宋"/>
          <w:color w:val="auto"/>
        </w:rPr>
        <w:t>社会化投资，</w:t>
      </w:r>
      <w:r>
        <w:rPr>
          <w:rFonts w:hint="eastAsia" w:ascii="仿宋" w:hAnsi="仿宋" w:eastAsia="仿宋"/>
          <w:color w:val="auto"/>
          <w:lang w:val="en-US" w:eastAsia="zh-CN"/>
        </w:rPr>
        <w:t>具体采用D</w:t>
      </w:r>
      <w:r>
        <w:rPr>
          <w:rFonts w:hint="eastAsia" w:ascii="仿宋" w:hAnsi="仿宋" w:eastAsia="仿宋"/>
          <w:color w:val="auto"/>
          <w:highlight w:val="none"/>
        </w:rPr>
        <w:t>B</w:t>
      </w:r>
      <w:r>
        <w:rPr>
          <w:rFonts w:hint="eastAsia" w:ascii="仿宋" w:hAnsi="仿宋" w:eastAsia="仿宋"/>
          <w:color w:val="auto"/>
          <w:highlight w:val="none"/>
          <w:lang w:val="en-US" w:eastAsia="zh-CN"/>
        </w:rPr>
        <w:t>F</w:t>
      </w:r>
      <w:r>
        <w:rPr>
          <w:rFonts w:hint="eastAsia" w:ascii="仿宋" w:hAnsi="仿宋" w:eastAsia="仿宋"/>
          <w:color w:val="auto"/>
          <w:highlight w:val="none"/>
        </w:rPr>
        <w:t>OT</w:t>
      </w:r>
      <w:r>
        <w:rPr>
          <w:rFonts w:hint="eastAsia" w:ascii="仿宋" w:hAnsi="仿宋" w:eastAsia="仿宋"/>
          <w:color w:val="auto"/>
        </w:rPr>
        <w:t>（</w:t>
      </w:r>
      <w:r>
        <w:rPr>
          <w:rFonts w:hint="eastAsia" w:ascii="仿宋" w:hAnsi="仿宋" w:eastAsia="仿宋"/>
          <w:color w:val="auto"/>
          <w:lang w:val="en-US" w:eastAsia="zh-CN"/>
        </w:rPr>
        <w:t>设计—</w:t>
      </w:r>
      <w:r>
        <w:rPr>
          <w:rFonts w:hint="eastAsia" w:ascii="仿宋" w:hAnsi="仿宋" w:eastAsia="仿宋"/>
          <w:color w:val="auto"/>
        </w:rPr>
        <w:t>建设</w:t>
      </w:r>
      <w:r>
        <w:rPr>
          <w:rFonts w:hint="eastAsia" w:ascii="仿宋" w:hAnsi="仿宋" w:eastAsia="仿宋"/>
          <w:color w:val="auto"/>
          <w:lang w:eastAsia="zh-CN"/>
        </w:rPr>
        <w:t>—</w:t>
      </w:r>
      <w:r>
        <w:rPr>
          <w:rFonts w:hint="eastAsia" w:ascii="仿宋" w:hAnsi="仿宋" w:eastAsia="仿宋"/>
          <w:color w:val="auto"/>
          <w:lang w:val="en-US" w:eastAsia="zh-CN"/>
        </w:rPr>
        <w:t>融资</w:t>
      </w:r>
      <w:r>
        <w:rPr>
          <w:rFonts w:hint="eastAsia" w:ascii="仿宋" w:hAnsi="仿宋" w:eastAsia="仿宋"/>
          <w:color w:val="auto"/>
          <w:lang w:eastAsia="zh-CN"/>
        </w:rPr>
        <w:t>－</w:t>
      </w:r>
      <w:r>
        <w:rPr>
          <w:rFonts w:hint="eastAsia" w:ascii="仿宋" w:hAnsi="仿宋" w:eastAsia="仿宋"/>
          <w:color w:val="auto"/>
        </w:rPr>
        <w:t>运营</w:t>
      </w:r>
      <w:r>
        <w:rPr>
          <w:rFonts w:hint="eastAsia" w:ascii="仿宋" w:hAnsi="仿宋" w:eastAsia="仿宋"/>
          <w:color w:val="auto"/>
          <w:lang w:eastAsia="zh-CN"/>
        </w:rPr>
        <w:t>－</w:t>
      </w:r>
      <w:r>
        <w:rPr>
          <w:rFonts w:hint="eastAsia" w:ascii="仿宋" w:hAnsi="仿宋" w:eastAsia="仿宋"/>
          <w:color w:val="auto"/>
        </w:rPr>
        <w:t>移交）的</w:t>
      </w:r>
      <w:r>
        <w:rPr>
          <w:rFonts w:hint="eastAsia" w:ascii="仿宋" w:hAnsi="仿宋" w:eastAsia="仿宋"/>
          <w:color w:val="auto"/>
          <w:lang w:val="en-US" w:eastAsia="zh-CN"/>
        </w:rPr>
        <w:t>实施</w:t>
      </w:r>
      <w:r>
        <w:rPr>
          <w:rFonts w:hint="eastAsia" w:ascii="仿宋" w:hAnsi="仿宋" w:eastAsia="仿宋"/>
          <w:color w:val="auto"/>
        </w:rPr>
        <w:t>方式，结合我国其他公共服务的市政基础服务设施项目的运作方式及本项目的特点，通过公开招标遴选合适的</w:t>
      </w:r>
      <w:r>
        <w:rPr>
          <w:rFonts w:hint="eastAsia" w:ascii="仿宋" w:hAnsi="仿宋" w:eastAsia="仿宋"/>
          <w:color w:val="auto"/>
          <w:lang w:val="en-US" w:eastAsia="zh-CN"/>
        </w:rPr>
        <w:t>特许经营者</w:t>
      </w:r>
      <w:r>
        <w:rPr>
          <w:rFonts w:hint="eastAsia" w:ascii="仿宋" w:hAnsi="仿宋" w:eastAsia="仿宋"/>
          <w:color w:val="auto"/>
        </w:rPr>
        <w:t>。</w:t>
      </w:r>
    </w:p>
    <w:p w14:paraId="219EFB3C">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特许经营期限</w:t>
      </w:r>
    </w:p>
    <w:p w14:paraId="3C2EC6C4">
      <w:pPr>
        <w:bidi w:val="0"/>
        <w:rPr>
          <w:rFonts w:hint="eastAsia" w:ascii="仿宋" w:hAnsi="仿宋" w:eastAsia="仿宋" w:cs="仿宋"/>
          <w:color w:val="auto"/>
          <w:szCs w:val="28"/>
          <w:highlight w:val="none"/>
          <w:lang w:val="en-US" w:eastAsia="zh-CN"/>
        </w:rPr>
      </w:pPr>
      <w:r>
        <w:rPr>
          <w:rFonts w:hint="eastAsia" w:ascii="仿宋" w:hAnsi="仿宋" w:eastAsia="仿宋"/>
          <w:color w:val="auto"/>
          <w:lang w:val="en-US" w:eastAsia="zh-CN"/>
        </w:rPr>
        <w:t>本项目特许经营期限为40年，包含建设期和运营期，其中建设期13个月。特许经营期的起始日为签订土地协议的日期；</w:t>
      </w:r>
      <w:r>
        <w:rPr>
          <w:rFonts w:hint="eastAsia" w:ascii="仿宋" w:hAnsi="仿宋" w:eastAsia="仿宋"/>
          <w:color w:val="auto"/>
          <w:highlight w:val="none"/>
          <w:lang w:val="en-US" w:eastAsia="zh-CN"/>
        </w:rPr>
        <w:t>如未来特许经营期内法律法规对特许经营项目的最长期限作出调整，可在符合届时法律法规、项目情况、协议约定等前提下，按程序重新调整本项目的特许经营期限，</w:t>
      </w:r>
      <w:r>
        <w:rPr>
          <w:rFonts w:hint="eastAsia" w:ascii="仿宋" w:hAnsi="仿宋" w:eastAsia="仿宋"/>
          <w:color w:val="auto"/>
          <w:lang w:val="en-US" w:eastAsia="zh-CN"/>
        </w:rPr>
        <w:t>具体以特许经营协议中约定为准。</w:t>
      </w:r>
    </w:p>
    <w:p w14:paraId="3378CB10">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特许经营者条件和选择方式</w:t>
      </w:r>
    </w:p>
    <w:p w14:paraId="5220F083">
      <w:pPr>
        <w:bidi w:val="0"/>
        <w:rPr>
          <w:rFonts w:hint="eastAsia" w:ascii="仿宋" w:hAnsi="仿宋" w:eastAsia="仿宋"/>
          <w:color w:val="auto"/>
        </w:rPr>
      </w:pPr>
      <w:r>
        <w:rPr>
          <w:rFonts w:hint="eastAsia" w:ascii="仿宋" w:hAnsi="仿宋" w:eastAsia="仿宋"/>
          <w:color w:val="auto"/>
          <w:lang w:val="en-US" w:eastAsia="zh-CN"/>
        </w:rPr>
        <w:t>本项目将根据项目的采购需求特点，</w:t>
      </w:r>
      <w:r>
        <w:rPr>
          <w:rFonts w:hint="eastAsia" w:ascii="仿宋" w:hAnsi="仿宋" w:eastAsia="仿宋"/>
          <w:color w:val="auto"/>
        </w:rPr>
        <w:t>通过公开招标遴选合适的</w:t>
      </w:r>
      <w:r>
        <w:rPr>
          <w:rFonts w:hint="eastAsia" w:ascii="仿宋" w:hAnsi="仿宋" w:eastAsia="仿宋"/>
          <w:color w:val="auto"/>
          <w:lang w:val="en-US" w:eastAsia="zh-CN"/>
        </w:rPr>
        <w:t>特许经营者</w:t>
      </w:r>
      <w:r>
        <w:rPr>
          <w:rFonts w:hint="eastAsia" w:ascii="仿宋" w:hAnsi="仿宋" w:eastAsia="仿宋"/>
          <w:color w:val="auto"/>
        </w:rPr>
        <w:t>。</w:t>
      </w:r>
      <w:r>
        <w:rPr>
          <w:rFonts w:hint="eastAsia" w:ascii="仿宋" w:hAnsi="仿宋" w:eastAsia="仿宋"/>
          <w:color w:val="auto"/>
          <w:lang w:val="en-US" w:eastAsia="zh-CN"/>
        </w:rPr>
        <w:t>中标社会资本方获得本项目的特许经营权，成为本项目的特许经营者；如社会资本方为本项目成立项目公司的，由项目公司与实施机构签订特许经营协议。由特许经营者或由特许经营者成立的项目公司负责本项目的设计、建设、筹资、运营管理、维护和移交。</w:t>
      </w:r>
      <w:r>
        <w:rPr>
          <w:rFonts w:hint="eastAsia" w:ascii="仿宋" w:hAnsi="仿宋" w:eastAsia="仿宋"/>
          <w:color w:val="auto"/>
        </w:rPr>
        <w:t>运营期内，</w:t>
      </w:r>
      <w:r>
        <w:rPr>
          <w:rFonts w:hint="eastAsia" w:ascii="仿宋" w:hAnsi="仿宋" w:eastAsia="仿宋"/>
          <w:color w:val="auto"/>
          <w:lang w:eastAsia="zh-CN"/>
        </w:rPr>
        <w:t>特许经营者</w:t>
      </w:r>
      <w:r>
        <w:rPr>
          <w:rFonts w:hint="eastAsia" w:ascii="仿宋" w:hAnsi="仿宋" w:eastAsia="仿宋"/>
          <w:color w:val="auto"/>
          <w:lang w:val="en-US" w:eastAsia="zh-CN"/>
        </w:rPr>
        <w:t>或项目公司</w:t>
      </w:r>
      <w:r>
        <w:rPr>
          <w:rFonts w:hint="eastAsia" w:ascii="仿宋" w:hAnsi="仿宋" w:eastAsia="仿宋"/>
          <w:color w:val="auto"/>
        </w:rPr>
        <w:t>通过使用者付费实现其投资回报并获得合理</w:t>
      </w:r>
      <w:r>
        <w:rPr>
          <w:rFonts w:hint="eastAsia" w:ascii="仿宋" w:hAnsi="仿宋" w:eastAsia="仿宋"/>
          <w:color w:val="auto"/>
          <w:lang w:val="en-US" w:eastAsia="zh-CN"/>
        </w:rPr>
        <w:t>经营</w:t>
      </w:r>
      <w:r>
        <w:rPr>
          <w:rFonts w:hint="eastAsia" w:ascii="仿宋" w:hAnsi="仿宋" w:eastAsia="仿宋"/>
          <w:color w:val="auto"/>
        </w:rPr>
        <w:t>利润。</w:t>
      </w:r>
    </w:p>
    <w:p w14:paraId="2DD0CB61">
      <w:pPr>
        <w:bidi w:val="0"/>
        <w:rPr>
          <w:rFonts w:hint="default" w:ascii="仿宋" w:hAnsi="仿宋" w:eastAsia="仿宋"/>
          <w:color w:val="auto"/>
          <w:lang w:val="en-US" w:eastAsia="zh-CN"/>
        </w:rPr>
      </w:pPr>
      <w:r>
        <w:rPr>
          <w:rFonts w:hint="eastAsia" w:ascii="仿宋" w:hAnsi="仿宋" w:eastAsia="仿宋"/>
          <w:color w:val="auto"/>
          <w:lang w:val="en-US" w:eastAsia="zh-CN"/>
        </w:rPr>
        <w:t>特许经营者的基本条件参照本方案第四章4.5小节。</w:t>
      </w:r>
    </w:p>
    <w:p w14:paraId="44AB3E77">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特许经营服务范围</w:t>
      </w:r>
    </w:p>
    <w:p w14:paraId="4E7A9C3B">
      <w:pPr>
        <w:ind w:firstLine="560"/>
        <w:rPr>
          <w:rFonts w:hint="eastAsia" w:ascii="仿宋" w:hAnsi="仿宋" w:eastAsia="仿宋"/>
          <w:color w:val="auto"/>
          <w:lang w:val="en-US" w:eastAsia="zh-CN"/>
        </w:rPr>
      </w:pPr>
      <w:r>
        <w:rPr>
          <w:rFonts w:hint="eastAsia" w:ascii="仿宋" w:hAnsi="仿宋" w:eastAsia="仿宋" w:cs="仿宋"/>
          <w:color w:val="auto"/>
          <w:sz w:val="28"/>
          <w:szCs w:val="28"/>
          <w:highlight w:val="none"/>
          <w:lang w:val="en-US" w:eastAsia="zh-CN"/>
        </w:rPr>
        <w:t>本项目特许经营服务范围为</w:t>
      </w:r>
      <w:r>
        <w:rPr>
          <w:rFonts w:hint="eastAsia" w:ascii="仿宋" w:hAnsi="仿宋" w:eastAsia="仿宋" w:cs="仿宋"/>
          <w:color w:val="auto"/>
          <w:sz w:val="28"/>
          <w:szCs w:val="28"/>
          <w:highlight w:val="none"/>
          <w:lang w:eastAsia="zh-CN"/>
        </w:rPr>
        <w:t>密云区密东广场北侧地块地下停车场</w:t>
      </w:r>
      <w:r>
        <w:rPr>
          <w:rFonts w:hint="eastAsia" w:ascii="仿宋" w:hAnsi="仿宋" w:eastAsia="仿宋" w:cs="仿宋"/>
          <w:color w:val="auto"/>
          <w:sz w:val="28"/>
          <w:szCs w:val="28"/>
          <w:highlight w:val="none"/>
          <w:lang w:val="en-US" w:eastAsia="zh-CN"/>
        </w:rPr>
        <w:t>的800个机动车停车位。</w:t>
      </w:r>
    </w:p>
    <w:p w14:paraId="611D39E1">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政府补贴情况</w:t>
      </w:r>
    </w:p>
    <w:p w14:paraId="627C18D8">
      <w:pPr>
        <w:keepNext w:val="0"/>
        <w:keepLines w:val="0"/>
        <w:widowControl/>
        <w:suppressLineNumbers w:val="0"/>
        <w:ind w:firstLine="560"/>
        <w:jc w:val="left"/>
        <w:rPr>
          <w:rFonts w:hint="eastAsia" w:ascii="仿宋" w:hAnsi="仿宋" w:eastAsia="仿宋"/>
          <w:color w:val="auto"/>
          <w:lang w:val="en-US" w:eastAsia="zh-CN"/>
        </w:rPr>
      </w:pPr>
      <w:r>
        <w:rPr>
          <w:rFonts w:hint="eastAsia" w:ascii="仿宋" w:hAnsi="仿宋" w:eastAsia="仿宋"/>
          <w:color w:val="auto"/>
          <w:lang w:val="en-US" w:eastAsia="zh-CN"/>
        </w:rPr>
        <w:t>根据《关于推动城市停车设施发展和管理的实施意见》（京交停车发【2023】22号）：“经研究论证，对于确需建设的地下停车设施项目，由市政府固定资产投资安排不超过工程投资50%的资金补助”，本项目未来在建设期内将向市政府申请该项资金补助，并全部用于建设期资金补助。</w:t>
      </w:r>
    </w:p>
    <w:p w14:paraId="3D931723">
      <w:pPr>
        <w:widowControl/>
        <w:bidi w:val="0"/>
        <w:ind w:firstLine="560"/>
        <w:jc w:val="left"/>
        <w:rPr>
          <w:rFonts w:hint="eastAsia" w:ascii="仿宋" w:hAnsi="仿宋" w:eastAsia="仿宋"/>
          <w:color w:val="auto"/>
          <w:lang w:val="en-US" w:eastAsia="zh-CN"/>
        </w:rPr>
      </w:pPr>
      <w:r>
        <w:rPr>
          <w:rFonts w:hint="eastAsia" w:ascii="仿宋" w:hAnsi="仿宋" w:eastAsia="仿宋"/>
          <w:color w:val="auto"/>
          <w:lang w:val="en-US" w:eastAsia="zh-CN"/>
        </w:rPr>
        <w:t>《关于规范实施政府和社会资本合作新机制的指导意见》（国办函〔2023〕115号）：“</w:t>
      </w:r>
      <w:r>
        <w:rPr>
          <w:rFonts w:hint="eastAsia" w:ascii="仿宋" w:hAnsi="仿宋" w:eastAsia="仿宋" w:cs="仿宋"/>
          <w:color w:val="auto"/>
          <w:kern w:val="2"/>
          <w:sz w:val="28"/>
          <w:szCs w:val="28"/>
          <w:highlight w:val="none"/>
          <w:lang w:val="en-US" w:eastAsia="zh-CN" w:bidi="ar"/>
        </w:rPr>
        <w:t>政府可在严防新增地方政府隐性债务、符合法律法规和有关政策规定要求的前提下，按照一视同仁的原则，在项目建设期对使用者付费项目给予政府投资支持；政府付费只能按规定补贴运营、不能补贴建设成本。除此之外，不得通过可行性缺口补助、承诺保底收益率、可用性付费等任何方式，使用财政资金弥补项目建设和运营成本。</w:t>
      </w:r>
      <w:r>
        <w:rPr>
          <w:rFonts w:hint="eastAsia" w:ascii="仿宋" w:hAnsi="仿宋" w:eastAsia="仿宋"/>
          <w:color w:val="auto"/>
          <w:lang w:val="en-US" w:eastAsia="zh-CN"/>
        </w:rPr>
        <w:t>”密云区政府按照一视同仁的原则，在项目建设期，对本项目提供政府投资补助支持，并且不因采用政府和社会资本合作模式额外新增密云区财政未来支出责任，不以任何方式新增密云区隐性债务。</w:t>
      </w:r>
    </w:p>
    <w:p w14:paraId="788FBF8E">
      <w:pPr>
        <w:widowControl/>
        <w:bidi w:val="0"/>
        <w:ind w:firstLine="560"/>
        <w:jc w:val="left"/>
        <w:rPr>
          <w:rFonts w:hint="default" w:ascii="仿宋" w:hAnsi="仿宋" w:eastAsia="仿宋"/>
          <w:color w:val="auto"/>
          <w:lang w:val="en-US" w:eastAsia="zh-CN"/>
        </w:rPr>
      </w:pPr>
      <w:r>
        <w:rPr>
          <w:rFonts w:hint="eastAsia" w:ascii="仿宋" w:hAnsi="仿宋" w:eastAsia="仿宋" w:cs="仿宋"/>
          <w:color w:val="auto"/>
          <w:sz w:val="28"/>
          <w:szCs w:val="28"/>
          <w:highlight w:val="none"/>
          <w:lang w:val="en-US" w:eastAsia="zh-CN"/>
        </w:rPr>
        <w:t>根据《北京市密云区财政局密东广场北侧地块地下停车场项目资金的证明函》，针对本项目建设期的</w:t>
      </w:r>
      <w:r>
        <w:rPr>
          <w:rFonts w:hint="eastAsia" w:ascii="仿宋" w:hAnsi="仿宋" w:eastAsia="仿宋"/>
          <w:color w:val="auto"/>
          <w:lang w:val="en-US" w:eastAsia="zh-CN"/>
        </w:rPr>
        <w:t>北京市级资金补助与密云区级资金补助合计为本项目总投资的47%。</w:t>
      </w:r>
    </w:p>
    <w:p w14:paraId="723ED575">
      <w:pPr>
        <w:pStyle w:val="3"/>
        <w:bidi w:val="0"/>
        <w:ind w:left="575" w:hanging="575"/>
        <w:rPr>
          <w:rFonts w:hint="eastAsia" w:ascii="仿宋" w:hAnsi="仿宋" w:eastAsia="仿宋" w:cs="仿宋"/>
          <w:color w:val="auto"/>
          <w:highlight w:val="none"/>
          <w:lang w:val="en-US"/>
        </w:rPr>
      </w:pPr>
      <w:bookmarkStart w:id="43" w:name="_Toc5606"/>
      <w:bookmarkStart w:id="44" w:name="_Toc21412"/>
      <w:bookmarkStart w:id="45" w:name="_Toc10380"/>
      <w:bookmarkStart w:id="46" w:name="_Toc12603"/>
      <w:r>
        <w:rPr>
          <w:rFonts w:hint="eastAsia" w:ascii="仿宋" w:hAnsi="仿宋" w:eastAsia="仿宋" w:cs="仿宋"/>
          <w:color w:val="auto"/>
          <w:highlight w:val="none"/>
          <w:lang w:val="en-US" w:eastAsia="zh-CN"/>
        </w:rPr>
        <w:t>政府承诺和保障</w:t>
      </w:r>
      <w:bookmarkEnd w:id="43"/>
      <w:bookmarkEnd w:id="44"/>
      <w:bookmarkEnd w:id="45"/>
      <w:bookmarkEnd w:id="46"/>
    </w:p>
    <w:p w14:paraId="4B52A4D7">
      <w:pPr>
        <w:bidi w:val="0"/>
        <w:rPr>
          <w:rFonts w:hint="eastAsia" w:ascii="仿宋" w:hAnsi="仿宋" w:eastAsia="仿宋" w:cs="仿宋"/>
          <w:color w:val="auto"/>
          <w:szCs w:val="28"/>
          <w:highlight w:val="none"/>
          <w:lang w:val="en-US" w:eastAsia="zh-CN"/>
        </w:rPr>
      </w:pPr>
      <w:r>
        <w:rPr>
          <w:rFonts w:hint="eastAsia" w:ascii="仿宋" w:hAnsi="仿宋" w:eastAsia="仿宋"/>
          <w:color w:val="auto"/>
          <w:lang w:val="en-US" w:eastAsia="zh-CN"/>
        </w:rPr>
        <w:t>政府将依法依规为项目特许经营提供必要的政策支持与保障，严格履行特许经营协议约定，保证本项目特许经营权的排他性，维护社会资本方合法权益；在项目规划、用地、建设、运营等环节给予协调与指导，保障项目顺利实施与持续稳定运营，不因政府方原因影响项目正常运营；建立健全沟通协调与争议解决机制，营造公平、透明、可预期的营商环境，若因政府方原因导致项目运营受到影响，将按协议约定采取相应措施对特许经营者予以合理补偿，确保特许经营活动规范有序开展。</w:t>
      </w:r>
    </w:p>
    <w:p w14:paraId="5DF199CC">
      <w:pPr>
        <w:bidi w:val="0"/>
        <w:rPr>
          <w:rFonts w:hint="eastAsia" w:ascii="仿宋" w:hAnsi="仿宋" w:eastAsia="仿宋"/>
          <w:color w:val="auto"/>
          <w:lang w:val="en-US" w:eastAsia="zh-CN"/>
        </w:rPr>
      </w:pPr>
      <w:r>
        <w:rPr>
          <w:rFonts w:hint="eastAsia" w:ascii="仿宋" w:hAnsi="仿宋" w:eastAsia="仿宋"/>
          <w:color w:val="auto"/>
          <w:lang w:val="en-US" w:eastAsia="zh-CN"/>
        </w:rPr>
        <w:t xml:space="preserve">为保证本项目顺利实施，密云区人民政府做出以下承诺和保障： </w:t>
      </w:r>
    </w:p>
    <w:p w14:paraId="6B1D7C68">
      <w:pPr>
        <w:bidi w:val="0"/>
        <w:rPr>
          <w:rFonts w:hint="eastAsia" w:ascii="仿宋" w:hAnsi="仿宋" w:eastAsia="仿宋"/>
          <w:color w:val="auto"/>
          <w:lang w:val="en-US" w:eastAsia="zh-CN"/>
        </w:rPr>
      </w:pPr>
      <w:r>
        <w:rPr>
          <w:rFonts w:hint="eastAsia" w:ascii="仿宋" w:hAnsi="仿宋" w:eastAsia="仿宋"/>
          <w:color w:val="auto"/>
          <w:lang w:val="en-US" w:eastAsia="zh-CN"/>
        </w:rPr>
        <w:t xml:space="preserve">1.有关审批工作的支持与落实：按照国家及项目所在地有关法 </w:t>
      </w:r>
    </w:p>
    <w:p w14:paraId="4A3CE8ED">
      <w:pPr>
        <w:bidi w:val="0"/>
        <w:ind w:firstLine="0" w:firstLineChars="0"/>
        <w:rPr>
          <w:rFonts w:hint="eastAsia" w:ascii="仿宋" w:hAnsi="仿宋" w:eastAsia="仿宋"/>
          <w:color w:val="auto"/>
          <w:lang w:val="en-US" w:eastAsia="zh-CN"/>
        </w:rPr>
      </w:pPr>
      <w:r>
        <w:rPr>
          <w:rFonts w:hint="eastAsia" w:ascii="仿宋" w:hAnsi="仿宋" w:eastAsia="仿宋"/>
          <w:color w:val="auto"/>
          <w:lang w:val="en-US" w:eastAsia="zh-CN"/>
        </w:rPr>
        <w:t xml:space="preserve">律及法规，在密云区人民政府权限和管辖范围内，由项目实施机构 </w:t>
      </w:r>
    </w:p>
    <w:p w14:paraId="677737DC">
      <w:pPr>
        <w:bidi w:val="0"/>
        <w:ind w:firstLine="0" w:firstLineChars="0"/>
        <w:rPr>
          <w:rFonts w:hint="eastAsia" w:ascii="仿宋" w:hAnsi="仿宋" w:eastAsia="仿宋"/>
          <w:color w:val="auto"/>
          <w:lang w:val="en-US" w:eastAsia="zh-CN"/>
        </w:rPr>
      </w:pPr>
      <w:r>
        <w:rPr>
          <w:rFonts w:hint="eastAsia" w:ascii="仿宋" w:hAnsi="仿宋" w:eastAsia="仿宋"/>
          <w:color w:val="auto"/>
          <w:lang w:val="en-US" w:eastAsia="zh-CN"/>
        </w:rPr>
        <w:t>协助中标社会资本及时获得设立项目公司（如需要）、投资以及融资、建设、运营、维护及管理所必需的相关批文或手续；保证本项目中标社会资本方或项目公司获得特许经营权；协助特许经营者办理项目核准/备案手续，以获得本项目所需的其他批准。</w:t>
      </w:r>
    </w:p>
    <w:p w14:paraId="6F39F618">
      <w:p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 xml:space="preserve">2.土地获取：本项目涉及的用地符合出让用地规定的，密云区 </w:t>
      </w:r>
    </w:p>
    <w:p w14:paraId="58CA53B2">
      <w:pPr>
        <w:bidi w:val="0"/>
        <w:ind w:firstLine="0" w:firstLineChars="0"/>
        <w:rPr>
          <w:rFonts w:hint="eastAsia" w:ascii="仿宋" w:hAnsi="仿宋" w:eastAsia="仿宋"/>
          <w:color w:val="auto"/>
          <w:lang w:val="en-US" w:eastAsia="zh-CN"/>
        </w:rPr>
      </w:pPr>
      <w:r>
        <w:rPr>
          <w:rFonts w:hint="eastAsia" w:ascii="仿宋" w:hAnsi="仿宋" w:eastAsia="仿宋"/>
          <w:color w:val="auto"/>
          <w:lang w:val="en-US" w:eastAsia="zh-CN"/>
        </w:rPr>
        <w:t xml:space="preserve">人民政府将依据土地用途以协议出让方式提供项目的建设用地使用权，土地出让年限不少于40年（最终以土地出让协议为准），不符合出让用地规定的，按照相关政策规定执行。 </w:t>
      </w:r>
    </w:p>
    <w:p w14:paraId="184C03CA">
      <w:pPr>
        <w:bidi w:val="0"/>
        <w:ind w:firstLine="560" w:firstLineChars="200"/>
        <w:rPr>
          <w:rFonts w:hint="eastAsia" w:ascii="仿宋" w:hAnsi="仿宋" w:eastAsia="仿宋"/>
          <w:color w:val="auto"/>
          <w:highlight w:val="none"/>
          <w:lang w:val="en-US" w:eastAsia="zh-CN"/>
        </w:rPr>
      </w:pPr>
      <w:r>
        <w:rPr>
          <w:rFonts w:hint="eastAsia" w:ascii="仿宋" w:hAnsi="仿宋" w:eastAsia="仿宋"/>
          <w:color w:val="auto"/>
          <w:highlight w:val="none"/>
          <w:lang w:val="en-US" w:eastAsia="zh-CN"/>
        </w:rPr>
        <w:t xml:space="preserve">3.征地拆迁：按本项目实施计划完成征拆工作。 </w:t>
      </w:r>
    </w:p>
    <w:p w14:paraId="2C20A234">
      <w:p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 xml:space="preserve">4.水、电、气和道路等配套设施：项目正常的场地达到通水、 </w:t>
      </w:r>
    </w:p>
    <w:p w14:paraId="5D2CA1FE">
      <w:pPr>
        <w:bidi w:val="0"/>
        <w:ind w:firstLine="0" w:firstLineChars="0"/>
        <w:rPr>
          <w:rFonts w:hint="eastAsia" w:ascii="仿宋" w:hAnsi="仿宋" w:eastAsia="仿宋"/>
          <w:color w:val="auto"/>
          <w:lang w:val="en-US" w:eastAsia="zh-CN"/>
        </w:rPr>
      </w:pPr>
      <w:r>
        <w:rPr>
          <w:rFonts w:hint="eastAsia" w:ascii="仿宋" w:hAnsi="仿宋" w:eastAsia="仿宋"/>
          <w:color w:val="auto"/>
          <w:lang w:val="en-US" w:eastAsia="zh-CN"/>
        </w:rPr>
        <w:t>通电、通气和道路等配套设施，由</w:t>
      </w:r>
      <w:r>
        <w:rPr>
          <w:rFonts w:hint="eastAsia" w:ascii="仿宋" w:hAnsi="仿宋" w:eastAsia="仿宋"/>
          <w:color w:val="auto"/>
          <w:highlight w:val="none"/>
          <w:lang w:val="en-US" w:eastAsia="zh-CN"/>
        </w:rPr>
        <w:t>特许经营者或项目公司</w:t>
      </w:r>
      <w:r>
        <w:rPr>
          <w:rFonts w:hint="eastAsia" w:ascii="仿宋" w:hAnsi="仿宋" w:eastAsia="仿宋"/>
          <w:color w:val="auto"/>
          <w:lang w:val="en-US" w:eastAsia="zh-CN"/>
        </w:rPr>
        <w:t xml:space="preserve">负责，政府方提供必要的协助。 </w:t>
      </w:r>
    </w:p>
    <w:p w14:paraId="6E4E9EC9">
      <w:pPr>
        <w:bidi w:val="0"/>
        <w:ind w:firstLine="560"/>
        <w:rPr>
          <w:rFonts w:hint="eastAsia" w:ascii="仿宋" w:hAnsi="仿宋" w:eastAsia="仿宋"/>
          <w:color w:val="auto"/>
          <w:lang w:val="en-US" w:eastAsia="zh-CN"/>
        </w:rPr>
      </w:pPr>
      <w:r>
        <w:rPr>
          <w:rFonts w:hint="eastAsia" w:ascii="仿宋" w:hAnsi="仿宋" w:eastAsia="仿宋"/>
          <w:color w:val="auto"/>
          <w:lang w:val="en-US" w:eastAsia="zh-CN"/>
        </w:rPr>
        <w:t>5.排他性约定：政府承诺根据特许经营协议授予特许经营者的特许经营权，在特许经营期间内是专属于特许经营者的。政府应确保特许经营权的任何部分在特许经营期间将不再被授予其他方。为保障特许经营者或项目公司预期收益，政府承诺在本项目周边3公里内，原则上不再以特许经营模式新建同类型地下停车场项目。否则特许经营者或项目公司有权要求政府方采取补救措施；协商不成的，政府方应通过延长特许经营期、调整收费标准或支付违约金等方式对特许经营者或项目公司进行补偿。</w:t>
      </w:r>
    </w:p>
    <w:p w14:paraId="4CC5A402">
      <w:pPr>
        <w:bidi w:val="0"/>
        <w:ind w:firstLine="560"/>
        <w:rPr>
          <w:rFonts w:hint="eastAsia" w:ascii="仿宋" w:hAnsi="仿宋" w:eastAsia="仿宋"/>
          <w:color w:val="auto"/>
          <w:lang w:val="en-US" w:eastAsia="zh-CN"/>
        </w:rPr>
      </w:pPr>
      <w:r>
        <w:rPr>
          <w:rFonts w:hint="eastAsia" w:ascii="仿宋" w:hAnsi="仿宋" w:eastAsia="仿宋"/>
          <w:color w:val="auto"/>
          <w:lang w:val="en-US" w:eastAsia="zh-CN"/>
        </w:rPr>
        <w:t>6.投资支持：按照相关政策规定，协助特许经营者申请政府投资补助资金。</w:t>
      </w:r>
    </w:p>
    <w:p w14:paraId="3688EEAA">
      <w:pPr>
        <w:pStyle w:val="3"/>
        <w:bidi w:val="0"/>
        <w:ind w:left="575" w:hanging="575"/>
        <w:rPr>
          <w:rFonts w:hint="eastAsia" w:ascii="仿宋" w:hAnsi="仿宋" w:eastAsia="仿宋" w:cs="仿宋"/>
          <w:color w:val="auto"/>
          <w:highlight w:val="none"/>
          <w:lang w:val="en-US" w:eastAsia="zh-CN"/>
        </w:rPr>
      </w:pPr>
      <w:bookmarkStart w:id="47" w:name="_Toc23008"/>
      <w:r>
        <w:rPr>
          <w:rFonts w:hint="eastAsia" w:ascii="仿宋" w:hAnsi="仿宋" w:eastAsia="仿宋" w:cs="仿宋"/>
          <w:color w:val="auto"/>
          <w:highlight w:val="none"/>
          <w:lang w:val="en-US" w:eastAsia="zh-CN"/>
        </w:rPr>
        <w:t>编制依据</w:t>
      </w:r>
      <w:bookmarkEnd w:id="47"/>
    </w:p>
    <w:p w14:paraId="590BDDD4">
      <w:pPr>
        <w:numPr>
          <w:ilvl w:val="0"/>
          <w:numId w:val="7"/>
        </w:numPr>
        <w:ind w:firstLine="480"/>
        <w:rPr>
          <w:rFonts w:hint="eastAsia" w:ascii="仿宋" w:hAnsi="仿宋" w:eastAsia="仿宋" w:cs="仿宋"/>
          <w:color w:val="auto"/>
          <w:sz w:val="28"/>
          <w:szCs w:val="28"/>
          <w:highlight w:val="none"/>
          <w:lang w:val="en-US" w:eastAsia="zh-CN"/>
        </w:rPr>
      </w:pPr>
      <w:r>
        <w:rPr>
          <w:rFonts w:hint="eastAsia" w:ascii="仿宋" w:hAnsi="仿宋" w:eastAsia="仿宋"/>
          <w:color w:val="auto"/>
          <w:lang w:val="en-US" w:eastAsia="zh-CN"/>
        </w:rPr>
        <w:t>《关于规范实施政府和社会资本合作新机制的指导意见》（国办函〔2023〕115号）；</w:t>
      </w:r>
    </w:p>
    <w:p w14:paraId="0B5F1EE2">
      <w:pPr>
        <w:numPr>
          <w:ilvl w:val="0"/>
          <w:numId w:val="7"/>
        </w:numPr>
        <w:ind w:firstLine="480"/>
        <w:rPr>
          <w:rFonts w:hint="eastAsia" w:ascii="仿宋" w:hAnsi="仿宋" w:eastAsia="仿宋" w:cs="仿宋"/>
          <w:color w:val="auto"/>
          <w:sz w:val="28"/>
          <w:szCs w:val="28"/>
          <w:highlight w:val="none"/>
          <w:lang w:val="en-US" w:eastAsia="zh-CN"/>
        </w:rPr>
      </w:pPr>
      <w:r>
        <w:rPr>
          <w:rFonts w:hint="eastAsia" w:ascii="仿宋" w:hAnsi="仿宋" w:eastAsia="仿宋"/>
          <w:color w:val="auto"/>
          <w:lang w:val="en-US" w:eastAsia="zh-CN"/>
        </w:rPr>
        <w:t>《支持民营企业参与的特许经营新建（含改扩建）项目清单（2023年版）》；</w:t>
      </w:r>
    </w:p>
    <w:p w14:paraId="6CE591D4">
      <w:pPr>
        <w:numPr>
          <w:ilvl w:val="0"/>
          <w:numId w:val="7"/>
        </w:numPr>
        <w:ind w:firstLine="480"/>
        <w:rPr>
          <w:rFonts w:hint="eastAsia" w:ascii="仿宋" w:hAnsi="仿宋" w:eastAsia="仿宋" w:cs="仿宋"/>
          <w:color w:val="auto"/>
          <w:sz w:val="28"/>
          <w:szCs w:val="28"/>
          <w:highlight w:val="none"/>
          <w:lang w:val="en-US" w:eastAsia="zh-CN"/>
        </w:rPr>
      </w:pPr>
      <w:r>
        <w:rPr>
          <w:rFonts w:hint="eastAsia" w:ascii="仿宋" w:hAnsi="仿宋" w:eastAsia="仿宋"/>
          <w:color w:val="auto"/>
          <w:lang w:val="en-US" w:eastAsia="zh-CN"/>
        </w:rPr>
        <w:t>《基础设施和公用事业特许经营管理办法》；</w:t>
      </w:r>
    </w:p>
    <w:p w14:paraId="709B2CE0">
      <w:pPr>
        <w:numPr>
          <w:ilvl w:val="0"/>
          <w:numId w:val="7"/>
        </w:numPr>
        <w:ind w:firstLine="480"/>
        <w:rPr>
          <w:rFonts w:hint="eastAsia" w:ascii="仿宋" w:hAnsi="仿宋" w:eastAsia="仿宋" w:cs="仿宋"/>
          <w:color w:val="auto"/>
          <w:sz w:val="28"/>
          <w:szCs w:val="28"/>
          <w:highlight w:val="none"/>
          <w:lang w:val="en-US" w:eastAsia="zh-CN"/>
        </w:rPr>
      </w:pPr>
      <w:r>
        <w:rPr>
          <w:rFonts w:hint="eastAsia" w:ascii="仿宋" w:hAnsi="仿宋" w:eastAsia="仿宋"/>
          <w:color w:val="auto"/>
          <w:lang w:val="en-US" w:eastAsia="zh-CN"/>
        </w:rPr>
        <w:t>《关于推动城市停车设施发展和管理的实施意见》（京交停车发〔2023〕22号）；</w:t>
      </w:r>
    </w:p>
    <w:p w14:paraId="578FB80A">
      <w:pPr>
        <w:keepNext w:val="0"/>
        <w:keepLines w:val="0"/>
        <w:widowControl/>
        <w:numPr>
          <w:ilvl w:val="0"/>
          <w:numId w:val="7"/>
        </w:numPr>
        <w:suppressLineNumbers w:val="0"/>
        <w:jc w:val="left"/>
        <w:rPr>
          <w:rFonts w:hint="eastAsia" w:ascii="仿宋" w:hAnsi="仿宋" w:eastAsia="仿宋"/>
          <w:color w:val="auto"/>
        </w:rPr>
      </w:pPr>
      <w:r>
        <w:rPr>
          <w:rFonts w:hint="eastAsia" w:ascii="仿宋" w:hAnsi="仿宋" w:eastAsia="仿宋" w:cs="仿宋"/>
          <w:b w:val="0"/>
          <w:bCs w:val="0"/>
          <w:color w:val="auto"/>
          <w:kern w:val="2"/>
          <w:sz w:val="28"/>
          <w:szCs w:val="28"/>
          <w:highlight w:val="none"/>
          <w:lang w:val="en-US" w:eastAsia="zh-CN" w:bidi="ar"/>
        </w:rPr>
        <w:t>《国家发展改革委办公厅关于进一步做好政府和社会资本合作新机制项目规范实施工作的通知》（</w:t>
      </w:r>
      <w:r>
        <w:rPr>
          <w:rFonts w:hint="eastAsia" w:ascii="仿宋" w:hAnsi="仿宋" w:eastAsia="仿宋" w:cs="仿宋"/>
          <w:color w:val="auto"/>
          <w:kern w:val="2"/>
          <w:sz w:val="28"/>
          <w:szCs w:val="28"/>
          <w:highlight w:val="none"/>
          <w:lang w:val="en-US" w:eastAsia="zh-CN" w:bidi="ar"/>
        </w:rPr>
        <w:t>发改办投资〔2024〕1013号</w:t>
      </w:r>
      <w:r>
        <w:rPr>
          <w:rFonts w:hint="eastAsia" w:ascii="仿宋" w:hAnsi="仿宋" w:eastAsia="仿宋" w:cs="仿宋"/>
          <w:b w:val="0"/>
          <w:bCs w:val="0"/>
          <w:color w:val="auto"/>
          <w:kern w:val="2"/>
          <w:sz w:val="28"/>
          <w:szCs w:val="28"/>
          <w:highlight w:val="none"/>
          <w:lang w:val="en-US" w:eastAsia="zh-CN" w:bidi="ar"/>
        </w:rPr>
        <w:t>）</w:t>
      </w:r>
    </w:p>
    <w:p w14:paraId="2796F3CC">
      <w:pPr>
        <w:keepNext w:val="0"/>
        <w:keepLines w:val="0"/>
        <w:widowControl/>
        <w:numPr>
          <w:ilvl w:val="0"/>
          <w:numId w:val="7"/>
        </w:numPr>
        <w:suppressLineNumbers w:val="0"/>
        <w:jc w:val="left"/>
        <w:rPr>
          <w:rFonts w:hint="eastAsia" w:ascii="仿宋" w:hAnsi="仿宋" w:eastAsia="仿宋"/>
          <w:color w:val="auto"/>
        </w:rPr>
      </w:pPr>
      <w:r>
        <w:rPr>
          <w:rFonts w:hint="eastAsia" w:ascii="仿宋" w:hAnsi="仿宋" w:eastAsia="仿宋"/>
          <w:color w:val="auto"/>
          <w:lang w:eastAsia="zh-CN"/>
        </w:rPr>
        <w:t>《北京市发展与改革委员会关于印发落实政府和社会资本</w:t>
      </w:r>
      <w:r>
        <w:rPr>
          <w:rFonts w:hint="eastAsia" w:ascii="仿宋" w:hAnsi="仿宋" w:eastAsia="仿宋"/>
          <w:color w:val="auto"/>
          <w:lang w:val="en-US" w:eastAsia="zh-CN"/>
        </w:rPr>
        <w:t>合作新机制规范推进特许经营项目实施方案的通知</w:t>
      </w:r>
      <w:r>
        <w:rPr>
          <w:rFonts w:hint="eastAsia" w:ascii="仿宋" w:hAnsi="仿宋" w:eastAsia="仿宋"/>
          <w:color w:val="auto"/>
          <w:lang w:eastAsia="zh-CN"/>
        </w:rPr>
        <w:t>》（</w:t>
      </w:r>
      <w:r>
        <w:rPr>
          <w:rFonts w:hint="eastAsia" w:ascii="仿宋" w:hAnsi="仿宋" w:eastAsia="仿宋"/>
          <w:color w:val="auto"/>
          <w:lang w:val="en-US" w:eastAsia="zh-CN"/>
        </w:rPr>
        <w:t>京发改</w:t>
      </w:r>
      <w:r>
        <w:rPr>
          <w:rFonts w:hint="eastAsia" w:ascii="仿宋" w:hAnsi="仿宋" w:eastAsia="仿宋" w:cs="仿宋"/>
          <w:color w:val="auto"/>
          <w:kern w:val="2"/>
          <w:sz w:val="28"/>
          <w:szCs w:val="28"/>
          <w:highlight w:val="none"/>
          <w:lang w:val="en-US" w:eastAsia="zh-CN" w:bidi="ar"/>
        </w:rPr>
        <w:t>〔2024〕1293号</w:t>
      </w:r>
      <w:r>
        <w:rPr>
          <w:rFonts w:hint="eastAsia" w:ascii="仿宋" w:hAnsi="仿宋" w:eastAsia="仿宋"/>
          <w:color w:val="auto"/>
          <w:lang w:eastAsia="zh-CN"/>
        </w:rPr>
        <w:t>）</w:t>
      </w:r>
    </w:p>
    <w:p w14:paraId="706392BB">
      <w:pPr>
        <w:numPr>
          <w:ilvl w:val="0"/>
          <w:numId w:val="7"/>
        </w:numPr>
        <w:ind w:firstLine="480"/>
        <w:rPr>
          <w:rFonts w:hint="eastAsia" w:ascii="仿宋" w:hAnsi="仿宋" w:eastAsia="仿宋" w:cs="仿宋"/>
          <w:color w:val="auto"/>
          <w:sz w:val="28"/>
          <w:szCs w:val="28"/>
          <w:highlight w:val="none"/>
          <w:lang w:val="en-US" w:eastAsia="zh-CN"/>
        </w:rPr>
      </w:pPr>
      <w:r>
        <w:rPr>
          <w:rFonts w:hint="eastAsia" w:ascii="仿宋" w:hAnsi="仿宋" w:eastAsia="仿宋" w:cs="仿宋"/>
          <w:caps w:val="0"/>
          <w:color w:val="auto"/>
          <w:spacing w:val="0"/>
          <w:sz w:val="28"/>
          <w:szCs w:val="28"/>
          <w:vertAlign w:val="baseline"/>
          <w:lang w:eastAsia="zh-CN"/>
        </w:rPr>
        <w:t>《</w:t>
      </w:r>
      <w:r>
        <w:rPr>
          <w:rFonts w:hint="eastAsia" w:ascii="仿宋" w:hAnsi="仿宋" w:eastAsia="仿宋" w:cs="仿宋"/>
          <w:caps w:val="0"/>
          <w:color w:val="auto"/>
          <w:spacing w:val="0"/>
          <w:sz w:val="28"/>
          <w:szCs w:val="28"/>
          <w:vertAlign w:val="baseline"/>
        </w:rPr>
        <w:t>北京市机动车停车条例</w:t>
      </w:r>
      <w:r>
        <w:rPr>
          <w:rFonts w:hint="eastAsia" w:ascii="仿宋" w:hAnsi="仿宋" w:eastAsia="仿宋" w:cs="仿宋"/>
          <w:caps w:val="0"/>
          <w:color w:val="auto"/>
          <w:spacing w:val="0"/>
          <w:sz w:val="28"/>
          <w:szCs w:val="28"/>
          <w:vertAlign w:val="baseline"/>
          <w:lang w:eastAsia="zh-CN"/>
        </w:rPr>
        <w:t>》；</w:t>
      </w:r>
    </w:p>
    <w:p w14:paraId="471FD09C">
      <w:pPr>
        <w:numPr>
          <w:ilvl w:val="0"/>
          <w:numId w:val="7"/>
        </w:numPr>
        <w:ind w:firstLine="48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《政府和社会资本合作项目特许经营方案编写大纲（2024年试行版）》</w:t>
      </w:r>
    </w:p>
    <w:p w14:paraId="05967D9F">
      <w:pPr>
        <w:numPr>
          <w:ilvl w:val="0"/>
          <w:numId w:val="7"/>
        </w:numPr>
        <w:ind w:firstLine="48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w:t>
      </w:r>
      <w:r>
        <w:rPr>
          <w:rFonts w:hint="default" w:ascii="仿宋" w:hAnsi="仿宋" w:eastAsia="仿宋" w:cs="仿宋"/>
          <w:color w:val="auto"/>
          <w:sz w:val="28"/>
          <w:szCs w:val="28"/>
          <w:highlight w:val="none"/>
          <w:lang w:val="en-US" w:eastAsia="zh-CN"/>
        </w:rPr>
        <w:t>密东广场地块规综方案编制报审和地下停车场项目推进专题会议纪要</w:t>
      </w:r>
      <w:r>
        <w:rPr>
          <w:rFonts w:hint="eastAsia" w:ascii="仿宋" w:hAnsi="仿宋" w:eastAsia="仿宋" w:cs="仿宋"/>
          <w:color w:val="auto"/>
          <w:sz w:val="28"/>
          <w:szCs w:val="28"/>
          <w:highlight w:val="none"/>
          <w:lang w:val="en-US" w:eastAsia="zh-CN"/>
        </w:rPr>
        <w:t>》（2026年1月23日）；</w:t>
      </w:r>
    </w:p>
    <w:p w14:paraId="48B599F1">
      <w:pPr>
        <w:numPr>
          <w:ilvl w:val="0"/>
          <w:numId w:val="7"/>
        </w:numPr>
        <w:ind w:firstLine="48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《密云区东门社区文化休闲公园（含地下停车场）等地块规划综合实施方案》；</w:t>
      </w:r>
    </w:p>
    <w:p w14:paraId="53819A12">
      <w:pPr>
        <w:numPr>
          <w:ilvl w:val="0"/>
          <w:numId w:val="7"/>
        </w:numPr>
        <w:ind w:firstLine="48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《北京市密云区财政局密东广场北侧地块地下停车场项目资金的证明函》。</w:t>
      </w:r>
    </w:p>
    <w:p w14:paraId="369809DB">
      <w:pPr>
        <w:keepNext w:val="0"/>
        <w:keepLines/>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olor w:val="auto"/>
          <w:highlight w:val="none"/>
        </w:rPr>
      </w:pPr>
    </w:p>
    <w:p w14:paraId="36491D89">
      <w:pPr>
        <w:pStyle w:val="2"/>
        <w:numPr>
          <w:ilvl w:val="0"/>
          <w:numId w:val="2"/>
        </w:numPr>
        <w:bidi w:val="0"/>
        <w:ind w:left="432" w:leftChars="0" w:hanging="432" w:firstLineChars="0"/>
        <w:rPr>
          <w:rFonts w:hint="eastAsia" w:ascii="仿宋" w:hAnsi="仿宋" w:eastAsia="仿宋" w:cs="仿宋"/>
          <w:color w:val="auto"/>
          <w:highlight w:val="none"/>
          <w:lang w:val="en-US" w:eastAsia="zh-CN"/>
        </w:rPr>
        <w:sectPr>
          <w:headerReference r:id="rId13" w:type="default"/>
          <w:footerReference r:id="rId14" w:type="default"/>
          <w:pgSz w:w="11906" w:h="16838"/>
          <w:pgMar w:top="1440" w:right="1800" w:bottom="1440" w:left="1800" w:header="851" w:footer="680" w:gutter="0"/>
          <w:pgNumType w:fmt="decimal" w:start="1"/>
          <w:cols w:space="720" w:num="1"/>
          <w:docGrid w:type="lines" w:linePitch="326" w:charSpace="0"/>
        </w:sectPr>
      </w:pPr>
      <w:bookmarkStart w:id="48" w:name="_Toc4223"/>
      <w:bookmarkStart w:id="49" w:name="_Toc16509"/>
      <w:bookmarkStart w:id="50" w:name="_Toc22411"/>
      <w:bookmarkStart w:id="51" w:name="_Toc10455"/>
      <w:bookmarkStart w:id="52" w:name="_Toc2026"/>
      <w:bookmarkStart w:id="53" w:name="_Toc4115"/>
      <w:bookmarkStart w:id="54" w:name="_Toc18485"/>
      <w:bookmarkStart w:id="55" w:name="_Toc2859"/>
      <w:bookmarkStart w:id="56" w:name="_Toc492734451"/>
      <w:bookmarkStart w:id="57" w:name="_Toc23066"/>
      <w:bookmarkStart w:id="58" w:name="_Toc107258319"/>
      <w:bookmarkStart w:id="59" w:name="_Toc2252"/>
    </w:p>
    <w:p w14:paraId="7FB682F6">
      <w:pPr>
        <w:pStyle w:val="2"/>
        <w:numPr>
          <w:ilvl w:val="0"/>
          <w:numId w:val="2"/>
        </w:numPr>
        <w:bidi w:val="0"/>
        <w:ind w:left="432" w:leftChars="0" w:hanging="432" w:firstLineChars="0"/>
        <w:rPr>
          <w:rFonts w:hint="eastAsia" w:ascii="仿宋" w:hAnsi="仿宋" w:eastAsia="仿宋" w:cs="仿宋"/>
          <w:color w:val="auto"/>
          <w:highlight w:val="none"/>
          <w:lang w:val="en-US" w:eastAsia="zh-CN"/>
        </w:rPr>
      </w:pPr>
      <w:bookmarkStart w:id="60" w:name="_Toc16991"/>
      <w:r>
        <w:rPr>
          <w:rFonts w:hint="eastAsia" w:ascii="仿宋" w:hAnsi="仿宋" w:eastAsia="仿宋" w:cs="仿宋"/>
          <w:color w:val="auto"/>
          <w:highlight w:val="none"/>
          <w:lang w:val="en-US" w:eastAsia="zh-CN"/>
        </w:rPr>
        <w:t>项目可行性分析</w:t>
      </w:r>
      <w:bookmarkEnd w:id="48"/>
      <w:bookmarkEnd w:id="49"/>
      <w:bookmarkEnd w:id="50"/>
      <w:bookmarkEnd w:id="60"/>
    </w:p>
    <w:p w14:paraId="44FA2A67">
      <w:pPr>
        <w:pStyle w:val="3"/>
        <w:bidi w:val="0"/>
        <w:ind w:left="575" w:hanging="575"/>
        <w:rPr>
          <w:rFonts w:hint="eastAsia" w:ascii="仿宋" w:hAnsi="仿宋" w:eastAsia="仿宋" w:cs="仿宋"/>
          <w:color w:val="auto"/>
          <w:highlight w:val="none"/>
          <w:lang w:val="en-US" w:eastAsia="zh-CN"/>
        </w:rPr>
      </w:pPr>
      <w:bookmarkStart w:id="61" w:name="_Toc10003"/>
      <w:bookmarkStart w:id="62" w:name="_Toc6859"/>
      <w:bookmarkStart w:id="63" w:name="_Toc31021"/>
      <w:bookmarkStart w:id="64" w:name="_Toc11977"/>
      <w:r>
        <w:rPr>
          <w:rFonts w:hint="eastAsia" w:ascii="仿宋" w:hAnsi="仿宋" w:eastAsia="仿宋" w:cs="仿宋"/>
          <w:color w:val="auto"/>
          <w:highlight w:val="none"/>
          <w:lang w:val="en-US" w:eastAsia="zh-CN"/>
        </w:rPr>
        <w:t>建设必要性</w:t>
      </w:r>
      <w:bookmarkEnd w:id="61"/>
      <w:bookmarkEnd w:id="62"/>
      <w:bookmarkEnd w:id="63"/>
      <w:bookmarkEnd w:id="64"/>
    </w:p>
    <w:p w14:paraId="4AA30A03">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项目建设必要性</w:t>
      </w:r>
    </w:p>
    <w:p w14:paraId="6308D4A7">
      <w:pPr>
        <w:numPr>
          <w:ilvl w:val="0"/>
          <w:numId w:val="8"/>
        </w:numPr>
        <w:bidi w:val="0"/>
        <w:rPr>
          <w:rFonts w:hint="eastAsia" w:ascii="仿宋" w:hAnsi="仿宋" w:eastAsia="仿宋"/>
          <w:color w:val="auto"/>
          <w:lang w:val="en-US" w:eastAsia="zh-CN"/>
        </w:rPr>
      </w:pPr>
      <w:r>
        <w:rPr>
          <w:rFonts w:hint="eastAsia" w:ascii="仿宋" w:hAnsi="仿宋" w:eastAsia="仿宋"/>
          <w:color w:val="auto"/>
          <w:lang w:val="en-US" w:eastAsia="zh-CN"/>
        </w:rPr>
        <w:t>项目建设是贯彻国家停车设施发展战略，落实城市基础设施补短板政策的需要</w:t>
      </w:r>
    </w:p>
    <w:p w14:paraId="085720B3">
      <w:pPr>
        <w:bidi w:val="0"/>
        <w:rPr>
          <w:rFonts w:hint="eastAsia" w:ascii="仿宋" w:hAnsi="仿宋" w:eastAsia="仿宋"/>
          <w:color w:val="auto"/>
          <w:lang w:val="en-US" w:eastAsia="zh-CN"/>
        </w:rPr>
      </w:pPr>
      <w:r>
        <w:rPr>
          <w:rFonts w:hint="eastAsia" w:ascii="仿宋" w:hAnsi="仿宋" w:eastAsia="仿宋"/>
          <w:color w:val="auto"/>
          <w:highlight w:val="none"/>
          <w:lang w:val="en-US" w:eastAsia="zh-CN"/>
        </w:rPr>
        <w:t>“十五五”时期是</w:t>
      </w:r>
      <w:r>
        <w:rPr>
          <w:rFonts w:hint="eastAsia" w:ascii="仿宋" w:hAnsi="仿宋" w:eastAsia="仿宋"/>
          <w:color w:val="auto"/>
          <w:lang w:val="en-US" w:eastAsia="zh-CN"/>
        </w:rPr>
        <w:t>我国全面推进新型城镇化、提升城市治理体系和治理能力现代化的关键阶段，城市停车设施作为重要的民生基础设施与交通治理载体，被纳入国家层面重点部署范畴。《国务院办公厅转发国家发展改革委等部门关于推动城市停车设施发展意见的通知》明确提出“到2025年，全国大中小城市基本建成配建停车设施为主、路外公共停车设施为辅、路内停车为补充的城市停车系统，社会资本广泛参与，信息技术与停车产业深度融合，停车资源高效利用，城市停车规范有序，依法治理、社会共治局面基本形成，居住社区、医院、学校、交通枢纽等重点区域停车需求基本得到满足”的总体目标，强调“鼓励社会资本参与。规范运用政府和社会资本合作（PPP）等模式推动共同投资运营停车设施”“节约集约利用土地资源，合理利用地上地下空间，扩大城市停车设施有效供给”。国家发展改革委、住房和城乡建设部等多部门联合印发配套政策，从规划、用地、资金、运营等方面给予全方位支持，将停车设施建设作为“补短板、惠民生、促消费”的重要抓手，推动城市基础设施提质升级。从全国宏观背景来看，我国机动车保有量呈现持续高速增长态势，根据公安部数据，截至2025年6月，全国机动车保有量达4.6亿辆，其中汽车保有量3.59亿辆（其中新能源汽车保有量达3689万辆，占汽车总量的10.27%），成为停车需求的核心增长点。与此同时，城市停车设施供给增速长期滞后于需求增速，全国大中城市停车泊位平均缺口依然较大，老旧城区、核心商圈、学校周边等重点区域供需矛盾尤为突出。“停车难、停车乱”已从单一交通问题演变为复合型民生问题，不仅引发交通拥堵、违法占道、消防通道堵塞等安全隐患，还影响居民生活品质、制约城市商业活力释放，成为制约城市高质量发展的突出瓶颈。</w:t>
      </w:r>
    </w:p>
    <w:p w14:paraId="619E677F">
      <w:pPr>
        <w:bidi w:val="0"/>
        <w:rPr>
          <w:rFonts w:hint="eastAsia" w:ascii="仿宋" w:hAnsi="仿宋" w:eastAsia="仿宋" w:cs="仿宋"/>
          <w:color w:val="auto"/>
          <w:szCs w:val="28"/>
          <w:highlight w:val="none"/>
          <w:lang w:val="en-US" w:eastAsia="zh-CN"/>
        </w:rPr>
      </w:pPr>
      <w:r>
        <w:rPr>
          <w:rFonts w:hint="eastAsia" w:ascii="仿宋" w:hAnsi="仿宋" w:eastAsia="仿宋"/>
          <w:color w:val="auto"/>
          <w:lang w:val="en-US" w:eastAsia="zh-CN"/>
        </w:rPr>
        <w:t>在此背景下，本项目严格对标国家停车设施发展战略部署，聚焦老旧小区、学校周边等重点区域停车短板，通过集约利用地下空间建设公共停车场，精准破解区域停车供需失衡难题，既是落实国家以人民为中心的发展思想、解决群众急难愁盼问题的具体实践，也是推动城市基础设施补短板、助力城市治理现代化的重要举措，为全国同类城市老旧城区停车设施更新改造提供可复制、可推广的实践样本，同时契合国家“双碳”目标导向，通过规范停车秩序减少车辆怠速行驶，助力城市交通领域碳减排，推动城市绿色低碳转型。</w:t>
      </w:r>
    </w:p>
    <w:p w14:paraId="24F14932">
      <w:pPr>
        <w:numPr>
          <w:ilvl w:val="0"/>
          <w:numId w:val="8"/>
        </w:numPr>
        <w:bidi w:val="0"/>
        <w:rPr>
          <w:rFonts w:hint="eastAsia" w:ascii="仿宋" w:hAnsi="仿宋" w:eastAsia="仿宋"/>
          <w:color w:val="auto"/>
          <w:lang w:val="en-US" w:eastAsia="zh-CN"/>
        </w:rPr>
      </w:pPr>
      <w:r>
        <w:rPr>
          <w:rFonts w:hint="eastAsia" w:ascii="仿宋" w:hAnsi="仿宋" w:eastAsia="仿宋"/>
          <w:color w:val="auto"/>
          <w:lang w:val="en-US" w:eastAsia="zh-CN"/>
        </w:rPr>
        <w:t>项目是响应北京市</w:t>
      </w:r>
      <w:r>
        <w:rPr>
          <w:rFonts w:hint="eastAsia" w:ascii="仿宋" w:hAnsi="仿宋" w:eastAsia="仿宋"/>
          <w:color w:val="auto"/>
          <w:highlight w:val="none"/>
          <w:lang w:val="en-US" w:eastAsia="zh-CN"/>
        </w:rPr>
        <w:t>“十五五”</w:t>
      </w:r>
      <w:r>
        <w:rPr>
          <w:rFonts w:hint="eastAsia" w:ascii="仿宋" w:hAnsi="仿宋" w:eastAsia="仿宋"/>
          <w:color w:val="auto"/>
          <w:lang w:val="en-US" w:eastAsia="zh-CN"/>
        </w:rPr>
        <w:t>交通发展规划、补齐核心城区停车设施供给短板的需要</w:t>
      </w:r>
    </w:p>
    <w:p w14:paraId="63D50A5D">
      <w:pPr>
        <w:bidi w:val="0"/>
        <w:rPr>
          <w:rFonts w:hint="eastAsia" w:ascii="仿宋" w:hAnsi="仿宋" w:eastAsia="仿宋"/>
          <w:color w:val="auto"/>
          <w:lang w:val="en-US" w:eastAsia="zh-CN"/>
        </w:rPr>
      </w:pPr>
      <w:r>
        <w:rPr>
          <w:rFonts w:hint="eastAsia" w:ascii="仿宋" w:hAnsi="仿宋" w:eastAsia="仿宋"/>
          <w:color w:val="auto"/>
          <w:lang w:val="en-US" w:eastAsia="zh-CN"/>
        </w:rPr>
        <w:t>北京市作为超大城市，交通治理是城市发展的核心议题之一。“十五五”时期，北京市深入贯彻落实首都城市战略定位，将停车设施建设纳入交通发展与城市更新重点任务，印发《北京市停车专项规划（2018—2035年）》等系列文件，明确提出“区分居住停车、出行停车需求，实施差别化供给与管理”；明确“突破瓶颈，拓展建设用地。明确土地分层开发实施细则与操作流程，鼓励利用地下空间分层规划停车设施。研究出台停车设施与便民服务设施、公交场站、公园绿地等复合土地利用办法”；强调“鼓励引导，激发市场动力。落实土地要素市场化配置政策，采用长期租赁、先租后让等方式灵活供地，引导社会资本参与停车设施投资建设。鼓励将各类临时用地按区域划分，以“集中打包，统一管理”方式，按照“政府出地、市场出资”的公私合作模式（PPP），通过合理确定收费标准、政府适当让渡项目收益权等方式，撬动社会资本参与建设”。此外，北京市将停车设施建设与“疏解整治促提升”专项行动、城市更新行动计划深度融合，通过完善停车配套支撑体系，优化核心城区空间资源配置，持续提升首都城市功能品质与综合承载能力。从北京市宏观供需背景来看，根据北京市公安交通管理局披露数据，截至2025年11月，全市机动车总量达809.5万辆，为这座城市的交通系统带来了前所未有的挑战。即便近三年北京市持续加大停车设施建设力度，累计新增公共停车泊位近10万个，但仍难以匹配机动车快速增长带来的需求，尤其是老旧小区、学校周边等区域，因历史规划滞后、土地资源稀缺、建设空间有限，停车供需矛盾更为尖锐。</w:t>
      </w:r>
    </w:p>
    <w:p w14:paraId="5455764B">
      <w:pPr>
        <w:bidi w:val="0"/>
        <w:rPr>
          <w:rFonts w:hint="eastAsia" w:ascii="仿宋" w:hAnsi="仿宋" w:eastAsia="仿宋"/>
          <w:color w:val="auto"/>
          <w:lang w:val="en-US" w:eastAsia="zh-CN"/>
        </w:rPr>
      </w:pPr>
      <w:r>
        <w:rPr>
          <w:rFonts w:hint="eastAsia" w:ascii="仿宋" w:hAnsi="仿宋" w:eastAsia="仿宋"/>
          <w:color w:val="auto"/>
          <w:lang w:val="en-US" w:eastAsia="zh-CN"/>
        </w:rPr>
        <w:t>在此背景下，本项目地处密云区核心城区，紧邻密云一小等重点民生设施，精准对接北京市停车设施建设要求，通过新建地下二层停车场、配套充电桩泊位等方式，系统性补齐区域停车供给短板，既是落实北京市交通发展规划、优化核心城区交通微循环的重要实践，也是践行“慢行优先、公交优先、绿色优先”交通发展理念、提升城市交通运行效率的关键举措，为北京市构建国际一流的和谐宜居之都、打造现代化首都都市圈提供有力支撑。</w:t>
      </w:r>
    </w:p>
    <w:p w14:paraId="485D5106">
      <w:pPr>
        <w:numPr>
          <w:ilvl w:val="0"/>
          <w:numId w:val="8"/>
        </w:numPr>
        <w:bidi w:val="0"/>
        <w:rPr>
          <w:rFonts w:hint="eastAsia" w:ascii="仿宋" w:hAnsi="仿宋" w:eastAsia="仿宋"/>
          <w:color w:val="auto"/>
          <w:lang w:val="en-US" w:eastAsia="zh-CN"/>
        </w:rPr>
      </w:pPr>
      <w:r>
        <w:rPr>
          <w:rFonts w:hint="eastAsia" w:ascii="仿宋" w:hAnsi="仿宋" w:eastAsia="仿宋"/>
          <w:color w:val="auto"/>
          <w:lang w:val="en-US" w:eastAsia="zh-CN"/>
        </w:rPr>
        <w:t>项目是契合密云区城市更新与民生保障需求，破解区域停车供需突出矛盾的需要</w:t>
      </w:r>
    </w:p>
    <w:p w14:paraId="7892F965">
      <w:pPr>
        <w:bidi w:val="0"/>
        <w:rPr>
          <w:rFonts w:hint="eastAsia" w:ascii="仿宋" w:hAnsi="仿宋" w:eastAsia="仿宋"/>
          <w:color w:val="auto"/>
          <w:lang w:val="en-US" w:eastAsia="zh-CN"/>
        </w:rPr>
      </w:pPr>
      <w:r>
        <w:rPr>
          <w:rFonts w:hint="eastAsia" w:ascii="仿宋" w:hAnsi="仿宋" w:eastAsia="仿宋"/>
          <w:color w:val="auto"/>
          <w:lang w:val="en-US" w:eastAsia="zh-CN"/>
        </w:rPr>
        <w:t>密云区作为首都生态涵养区与重要的宜居新城，“十五五”时期深入贯彻绿水青山就是金山银山发展理念，聚焦打造绿色高质量发展典范之城目标，明确加快老旧小区改造、完善民生基础设施、提升公共服务水平的核心任务，将停车设施建设作为民生保障与城市更新的重要内容，着力解决群众反映强烈的“停车难”问题，推动宜居宜业品质提升。从密云区及项目周边微观供需背景来看，当前密云区核心城区机动车保有量持续快速增长，鼓楼街道作为核心城区的重要组成部分，北源里社区、上营东区、世纪家园、世豪公寓等片区建成时间较早，历史规划中停车设施配套严重不足，且无新增建设空间。经实地调研，本项目周边4个社区覆盖居民约3251户，常住人口预估超1万人，机动车保有量已达4018辆，而现有备案停车泊位仅1606个，泊位供需比仅为1:2.5，即便叠加周边近期规划新增的约500个泊位，停车缺口仍超1900个，泊位缺口率接近50%，远超全国及北京市平均水平。更为突出的是，项目东侧紧邻密云一小新建教学楼，上下学高峰时段接送车辆瞬时集聚，进一步加剧区域停车供需矛盾，导致周边道路违法占道停车、车辆乱停乱放现象频发，高峰时段路段通行速度降低，不仅影响居民日常出行效率，还存在消防通道堵塞、学生出行安全等重大隐患，同时制约周边商业配套的客流集聚与活力释放。</w:t>
      </w:r>
    </w:p>
    <w:p w14:paraId="0917C965">
      <w:pPr>
        <w:bidi w:val="0"/>
        <w:rPr>
          <w:rFonts w:hint="eastAsia" w:ascii="仿宋" w:hAnsi="仿宋" w:eastAsia="仿宋"/>
          <w:color w:val="auto"/>
          <w:lang w:val="en-US" w:eastAsia="zh-CN"/>
        </w:rPr>
      </w:pPr>
      <w:r>
        <w:rPr>
          <w:rFonts w:hint="eastAsia" w:ascii="仿宋" w:hAnsi="仿宋" w:eastAsia="仿宋"/>
          <w:color w:val="auto"/>
          <w:lang w:val="en-US" w:eastAsia="zh-CN"/>
        </w:rPr>
        <w:t>在此背景下，本项目立足密云区城市更新与民生保障实际，通过集约利用地下空间新建800个停车泊位，精准匹配区域居住停车与学校临时停车需求，有效缓解“停车难、停车乱”民生痛点，是密云区落实以人民为中心的发展思想、推进宜居城市建设的重要民生工程，也是优化区域交通微循环、激发商业活力、提升城市综合竞争力的关键支撑。</w:t>
      </w:r>
    </w:p>
    <w:p w14:paraId="6611C66C">
      <w:pPr>
        <w:numPr>
          <w:ilvl w:val="0"/>
          <w:numId w:val="8"/>
        </w:numPr>
        <w:bidi w:val="0"/>
        <w:rPr>
          <w:rFonts w:hint="eastAsia" w:ascii="仿宋" w:hAnsi="仿宋" w:eastAsia="仿宋"/>
          <w:color w:val="auto"/>
          <w:lang w:val="en-US" w:eastAsia="zh-CN"/>
        </w:rPr>
      </w:pPr>
      <w:r>
        <w:rPr>
          <w:rFonts w:hint="eastAsia" w:ascii="仿宋" w:hAnsi="仿宋" w:eastAsia="仿宋"/>
          <w:color w:val="auto"/>
          <w:lang w:val="en-US" w:eastAsia="zh-CN"/>
        </w:rPr>
        <w:t>项目是完善城市功能配套，助力区域宜居品质与城市韧性同步提升的需要</w:t>
      </w:r>
    </w:p>
    <w:p w14:paraId="467B03FE">
      <w:pPr>
        <w:bidi w:val="0"/>
        <w:rPr>
          <w:rFonts w:hint="eastAsia" w:ascii="仿宋" w:hAnsi="仿宋" w:eastAsia="仿宋"/>
          <w:color w:val="auto"/>
          <w:lang w:val="en-US" w:eastAsia="zh-CN"/>
        </w:rPr>
      </w:pPr>
      <w:r>
        <w:rPr>
          <w:rFonts w:hint="eastAsia" w:ascii="仿宋" w:hAnsi="仿宋" w:eastAsia="仿宋"/>
          <w:color w:val="auto"/>
          <w:lang w:val="en-US" w:eastAsia="zh-CN"/>
        </w:rPr>
        <w:t>城市停车设施作为兼具民生保障、交通治理、应急保障等多重功能的基础设施，是完善城市功能、提升城市韧性、促进区域协调发展的重要载体。当前我国城市发展已从“规模扩张”转向“品质提升”阶段，城市功能配套的完整性、宜居性与安全性成为衡量城市发展水平的核心指标，而停车设施供给不足、配套不完善，不仅影响居民出行体验，还衍生出交通拥堵、环境脏乱、安全隐患突出等一系列问题，严重制约城市宜居品质提升。同时，随着极端天气如暴雨、暴雪、突发公共事件如疫情、灾害等应急场景频发，城市应急保障能力建设愈发重要，而停车设施作为城市空间的重要组成部分，其应急避险功能尚未得到充分发挥，成为城市韧性建设的薄弱环节。从区域功能配套背景来看，密云区核心城区作为全区政治、经济、文化中心，集聚了大量居住、教育、商业、医疗等功能，但因停车设施供给短板，导致各功能板块联动效率低下：居住片区“停车难”影响居民生活幸福感，教育片区“接送难”影响学生出行安全，商业片区“停车不便”制约消费活力释放，应急场景“无避险场地”影响城市安全运行。此外，密云区作为首都生态涵养区，绿色低碳发展是核心导向，而当前区域新能源汽车保有量持续增长，充电桩等绿色停车配套设施严重不足，难以匹配绿色出行发展需求。</w:t>
      </w:r>
    </w:p>
    <w:p w14:paraId="52325C86">
      <w:pPr>
        <w:bidi w:val="0"/>
        <w:rPr>
          <w:rFonts w:hint="eastAsia" w:ascii="仿宋" w:hAnsi="仿宋" w:eastAsia="仿宋"/>
          <w:color w:val="auto"/>
          <w:lang w:val="en-US" w:eastAsia="zh-CN"/>
        </w:rPr>
      </w:pPr>
      <w:r>
        <w:rPr>
          <w:rFonts w:hint="eastAsia" w:ascii="仿宋" w:hAnsi="仿宋" w:eastAsia="仿宋"/>
          <w:color w:val="auto"/>
          <w:lang w:val="en-US" w:eastAsia="zh-CN"/>
        </w:rPr>
        <w:t>在此背景下，本项目通过新建地下二层停车场，既新增充足停车泊位、规范静态交通秩序，又配套建设充电桩泊位，完善新能源汽车配套服务，契合绿色出行发展趋势；同时，地下停车空间具备防风、防雨、防雪等安全防护优势，可在极端天气、公共事件等应急场景下为区域车辆提供临时避险停放场地，完善城市应急保障体系，增强城市韧性。此外，项目同步建设地面文化休闲公园，将停车设施建设与公共空间营造有机结合，实现“地下停车+地上休闲”的功能复合，既提升土地集约利用效率，又丰富居民休闲生活场景，推动居住品质、街区活力与城市形象同步提档升级，为密云区打造“绿色高质量发展典范之城”奠定坚实基础。</w:t>
      </w:r>
    </w:p>
    <w:p w14:paraId="59BF54F1">
      <w:pPr>
        <w:numPr>
          <w:ilvl w:val="0"/>
          <w:numId w:val="8"/>
        </w:numPr>
        <w:bidi w:val="0"/>
        <w:rPr>
          <w:rFonts w:hint="eastAsia" w:ascii="仿宋" w:hAnsi="仿宋" w:eastAsia="仿宋"/>
          <w:color w:val="auto"/>
          <w:lang w:val="en-US" w:eastAsia="zh-CN"/>
        </w:rPr>
      </w:pPr>
      <w:r>
        <w:rPr>
          <w:rFonts w:hint="eastAsia" w:ascii="仿宋" w:hAnsi="仿宋" w:eastAsia="仿宋"/>
          <w:color w:val="auto"/>
          <w:lang w:val="en-US" w:eastAsia="zh-CN"/>
        </w:rPr>
        <w:t>项目是创新市场化运营模式，为城市停车设施可持续发展提供长效支撑的需要</w:t>
      </w:r>
    </w:p>
    <w:p w14:paraId="0D80BC7D">
      <w:pPr>
        <w:bidi w:val="0"/>
        <w:rPr>
          <w:rFonts w:hint="eastAsia" w:ascii="仿宋" w:hAnsi="仿宋" w:eastAsia="仿宋"/>
          <w:color w:val="auto"/>
          <w:lang w:val="en-US" w:eastAsia="zh-CN"/>
        </w:rPr>
      </w:pPr>
      <w:r>
        <w:rPr>
          <w:rFonts w:hint="eastAsia" w:ascii="仿宋" w:hAnsi="仿宋" w:eastAsia="仿宋"/>
          <w:color w:val="auto"/>
          <w:lang w:val="en-US" w:eastAsia="zh-CN"/>
        </w:rPr>
        <w:t>当前我国城市停车设施建设普遍面临“资金投入大、建设周期长、运营管理效率低、可持续性不足”等突出问题，传统政府主导的“建设－管理”模式，不仅加重财政资金压力，还因缺乏专业运营管理经验，导致停车设施“建得起、管不好、用不活”，难以实现长效可持续发展。为破解这一难题，国家及北京市相继出台政策，明确鼓励通过特许经营、PPP等市场化方式引入社会资本，依托社会资本的资金优势、专业运营管理经验与先进技术体系，提升停车设施建设运营效率与服务质量，构建“政府引导、企业运营、社会参与、风险共担、利益共享”的停车发展新模式。从市场化运营背景来看，密云区现有停车设施多为政府或社区自主管理，存在管理粗放、服务单一、智慧化水平低、收支难以平衡等问题，难以满足居民高品质停车需求，也无法为后续设施维护、升级改造提供资金保障。同时，随着城市停车需求的持续增长，仅靠政府财政投入难以实现停车设施的规模化、高品质建设，亟须引入社会资本参与，破解资金与运营双重难题。</w:t>
      </w:r>
    </w:p>
    <w:p w14:paraId="6C1F4E3F">
      <w:pPr>
        <w:bidi w:val="0"/>
        <w:rPr>
          <w:rFonts w:hint="eastAsia" w:ascii="仿宋" w:hAnsi="仿宋" w:eastAsia="仿宋" w:cs="仿宋"/>
          <w:color w:val="auto"/>
          <w:szCs w:val="28"/>
          <w:highlight w:val="none"/>
          <w:lang w:val="en-US" w:eastAsia="zh-CN"/>
        </w:rPr>
      </w:pPr>
      <w:r>
        <w:rPr>
          <w:rFonts w:hint="eastAsia" w:ascii="仿宋" w:hAnsi="仿宋" w:eastAsia="仿宋"/>
          <w:color w:val="auto"/>
          <w:lang w:val="en-US" w:eastAsia="zh-CN"/>
        </w:rPr>
        <w:t>在此背景下，本项目采用特许经营模式，引入具备成熟停车运营管理经验、先进技术体系（如智慧停车管理系统、无感支付、车位预约等）与优质服务能力的社会资本方，既有效缓解政府财政资金压力，又通过专业化、精细化、智慧化运营，实现停车资源高效配置、服务流程规范透明、用户体验持续优化，推动停车服务从“基本保障型”向“品质提升型”转变。同时，项目通过市场化运营实现收支平衡，为后续停车设施维护、升级改造、充电桩扩容等提供稳定资金保障，形成“建设—运营—维护—升级”的良性循环，为密云区乃至北京市城市停车设施可持续发展探索可复制的市场化路径，助力破解停车设施建设运营的长效机制难题，推动城市停车服务高质量发展。</w:t>
      </w:r>
    </w:p>
    <w:p w14:paraId="3765DF02">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项目功能定位</w:t>
      </w:r>
    </w:p>
    <w:p w14:paraId="516CBE99">
      <w:pPr>
        <w:bidi w:val="0"/>
        <w:rPr>
          <w:rFonts w:hint="eastAsia" w:ascii="仿宋" w:hAnsi="仿宋" w:eastAsia="仿宋"/>
          <w:color w:val="auto"/>
          <w:lang w:val="en-US" w:eastAsia="zh-CN"/>
        </w:rPr>
      </w:pPr>
      <w:r>
        <w:rPr>
          <w:rFonts w:hint="eastAsia" w:ascii="仿宋" w:hAnsi="仿宋" w:eastAsia="仿宋"/>
          <w:color w:val="auto"/>
          <w:lang w:val="en-US" w:eastAsia="zh-CN"/>
        </w:rPr>
        <w:t>本项目是密云区核心城区空间集约利用的示范工程、破解老旧小区“停车难”的民生补短板项目、优化区域交通治理的关键支撑、增强城市韧性的重要载体，同时也是绿色低碳出行配套与市场化运营模式创新的实践样本。项目立足密云区核心城区发展实际，以满足居民停车刚需、保障学校出行安全、激活街区商业活力为核心，通过“地下停车+地上休闲”的功能复合，实现停车资源高效配置、民生服务品质升级与城市空间价值提升的多重目标，精准锚定重点服务周边4大社区、3251户居民、超1万常住人口及密云一小师生的核心定位，为密云区打造“绿色高质量发展典范之城”提供坚实的基础设施支撑。</w:t>
      </w:r>
    </w:p>
    <w:p w14:paraId="5FB6A55D">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项目发展目标</w:t>
      </w:r>
    </w:p>
    <w:p w14:paraId="03858664">
      <w:pPr>
        <w:numPr>
          <w:ilvl w:val="0"/>
          <w:numId w:val="9"/>
        </w:numPr>
        <w:bidi w:val="0"/>
        <w:rPr>
          <w:rFonts w:hint="eastAsia" w:ascii="仿宋" w:hAnsi="仿宋" w:eastAsia="仿宋"/>
          <w:color w:val="auto"/>
          <w:lang w:val="en-US" w:eastAsia="zh-CN"/>
        </w:rPr>
      </w:pPr>
      <w:r>
        <w:rPr>
          <w:rFonts w:hint="eastAsia" w:ascii="仿宋" w:hAnsi="仿宋" w:eastAsia="仿宋"/>
          <w:color w:val="auto"/>
          <w:lang w:val="en-US" w:eastAsia="zh-CN"/>
        </w:rPr>
        <w:t>近期目标（3—5年）</w:t>
      </w:r>
    </w:p>
    <w:p w14:paraId="492148F5">
      <w:pPr>
        <w:bidi w:val="0"/>
        <w:rPr>
          <w:rFonts w:hint="eastAsia" w:ascii="仿宋" w:hAnsi="仿宋" w:eastAsia="仿宋"/>
          <w:color w:val="auto"/>
          <w:lang w:val="en-US" w:eastAsia="zh-CN"/>
        </w:rPr>
      </w:pPr>
      <w:r>
        <w:rPr>
          <w:rFonts w:hint="eastAsia" w:ascii="仿宋" w:hAnsi="仿宋" w:eastAsia="仿宋"/>
          <w:color w:val="auto"/>
          <w:lang w:val="en-US" w:eastAsia="zh-CN"/>
        </w:rPr>
        <w:t>聚焦可量化的落地成效，实现“供需匹配、秩序优化、服务升级、应急保障”四大核心突破。</w:t>
      </w:r>
    </w:p>
    <w:p w14:paraId="3A450264">
      <w:pPr>
        <w:bidi w:val="0"/>
        <w:rPr>
          <w:rFonts w:hint="eastAsia" w:ascii="仿宋" w:hAnsi="仿宋" w:eastAsia="仿宋"/>
          <w:color w:val="auto"/>
          <w:lang w:val="en-US" w:eastAsia="zh-CN"/>
        </w:rPr>
      </w:pPr>
      <w:r>
        <w:rPr>
          <w:rFonts w:hint="eastAsia" w:ascii="仿宋" w:hAnsi="仿宋" w:eastAsia="仿宋"/>
          <w:color w:val="auto"/>
          <w:lang w:val="en-US" w:eastAsia="zh-CN"/>
        </w:rPr>
        <w:t>增加停车供给：新增800个机动车停车泊位，同步配套160个充电桩泊位，直接缓解区域停车缺口，有效覆盖居住、学校及商业核心停车需求；</w:t>
      </w:r>
    </w:p>
    <w:p w14:paraId="237E05F9">
      <w:pPr>
        <w:bidi w:val="0"/>
        <w:rPr>
          <w:rFonts w:hint="eastAsia" w:ascii="仿宋" w:hAnsi="仿宋" w:eastAsia="仿宋"/>
          <w:color w:val="auto"/>
          <w:lang w:val="en-US" w:eastAsia="zh-CN"/>
        </w:rPr>
      </w:pPr>
      <w:r>
        <w:rPr>
          <w:rFonts w:hint="eastAsia" w:ascii="仿宋" w:hAnsi="仿宋" w:eastAsia="仿宋"/>
          <w:color w:val="auto"/>
          <w:lang w:val="en-US" w:eastAsia="zh-CN"/>
        </w:rPr>
        <w:t>规范交通秩序：高峰时段（上下学、通勤时段）路段通行效率提升，违法占道、乱停乱放现象减少，区域静态交通秩序显著规范；</w:t>
      </w:r>
    </w:p>
    <w:p w14:paraId="43119584">
      <w:pPr>
        <w:bidi w:val="0"/>
        <w:rPr>
          <w:rFonts w:hint="eastAsia" w:ascii="仿宋" w:hAnsi="仿宋" w:eastAsia="仿宋"/>
          <w:color w:val="auto"/>
          <w:lang w:val="en-US" w:eastAsia="zh-CN"/>
        </w:rPr>
      </w:pPr>
      <w:r>
        <w:rPr>
          <w:rFonts w:hint="eastAsia" w:ascii="仿宋" w:hAnsi="仿宋" w:eastAsia="仿宋"/>
          <w:color w:val="auto"/>
          <w:lang w:val="en-US" w:eastAsia="zh-CN"/>
        </w:rPr>
        <w:t>提升服务品质：智慧停车管理系统覆盖率大幅提升，实现车位预约、无感支付等便捷服务，居民停车满意度提升；</w:t>
      </w:r>
    </w:p>
    <w:p w14:paraId="5900E379">
      <w:pPr>
        <w:bidi w:val="0"/>
        <w:rPr>
          <w:rFonts w:hint="eastAsia" w:ascii="仿宋" w:hAnsi="仿宋" w:eastAsia="仿宋"/>
          <w:color w:val="auto"/>
          <w:lang w:val="en-US" w:eastAsia="zh-CN"/>
        </w:rPr>
      </w:pPr>
      <w:r>
        <w:rPr>
          <w:rFonts w:hint="eastAsia" w:ascii="仿宋" w:hAnsi="仿宋" w:eastAsia="仿宋"/>
          <w:color w:val="auto"/>
          <w:lang w:val="en-US" w:eastAsia="zh-CN"/>
        </w:rPr>
        <w:t>加强应急保障：极端天气、公共事件等场景下，可提供车辆临时避险停放场地，区域应急保障能力明显增强。</w:t>
      </w:r>
    </w:p>
    <w:p w14:paraId="6D840AFD">
      <w:pPr>
        <w:numPr>
          <w:ilvl w:val="0"/>
          <w:numId w:val="9"/>
        </w:numPr>
        <w:bidi w:val="0"/>
        <w:rPr>
          <w:rFonts w:hint="eastAsia" w:ascii="仿宋" w:hAnsi="仿宋" w:eastAsia="仿宋"/>
          <w:color w:val="auto"/>
          <w:lang w:val="en-US" w:eastAsia="zh-CN"/>
        </w:rPr>
      </w:pPr>
      <w:r>
        <w:rPr>
          <w:rFonts w:hint="eastAsia" w:ascii="仿宋" w:hAnsi="仿宋" w:eastAsia="仿宋"/>
          <w:color w:val="auto"/>
          <w:lang w:val="en-US" w:eastAsia="zh-CN"/>
        </w:rPr>
        <w:t>远期目标（5年至长期）</w:t>
      </w:r>
    </w:p>
    <w:p w14:paraId="09EA816B">
      <w:pPr>
        <w:bidi w:val="0"/>
        <w:rPr>
          <w:rFonts w:hint="eastAsia" w:ascii="仿宋" w:hAnsi="仿宋" w:eastAsia="仿宋"/>
          <w:color w:val="auto"/>
          <w:lang w:val="en-US" w:eastAsia="zh-CN"/>
        </w:rPr>
      </w:pPr>
      <w:r>
        <w:rPr>
          <w:rFonts w:hint="eastAsia" w:ascii="仿宋" w:hAnsi="仿宋" w:eastAsia="仿宋"/>
          <w:color w:val="auto"/>
          <w:lang w:val="en-US" w:eastAsia="zh-CN"/>
        </w:rPr>
        <w:t>结合</w:t>
      </w:r>
      <w:r>
        <w:rPr>
          <w:rFonts w:hint="eastAsia" w:ascii="仿宋" w:hAnsi="仿宋" w:eastAsia="仿宋"/>
          <w:color w:val="auto"/>
          <w:highlight w:val="none"/>
          <w:lang w:val="en-US" w:eastAsia="zh-CN"/>
        </w:rPr>
        <w:t>密云区“十五五”城市更新与交通发展规划</w:t>
      </w:r>
      <w:r>
        <w:rPr>
          <w:rFonts w:hint="eastAsia" w:ascii="仿宋" w:hAnsi="仿宋" w:eastAsia="仿宋"/>
          <w:color w:val="auto"/>
          <w:lang w:val="en-US" w:eastAsia="zh-CN"/>
        </w:rPr>
        <w:t>，打造“治理样板、宜居标杆、活力引擎”三大愿景。</w:t>
      </w:r>
    </w:p>
    <w:p w14:paraId="7F393B65">
      <w:pPr>
        <w:bidi w:val="0"/>
        <w:rPr>
          <w:rFonts w:hint="eastAsia" w:ascii="仿宋" w:hAnsi="仿宋" w:eastAsia="仿宋"/>
          <w:color w:val="auto"/>
          <w:lang w:val="en-US" w:eastAsia="zh-CN"/>
        </w:rPr>
      </w:pPr>
      <w:r>
        <w:rPr>
          <w:rFonts w:hint="eastAsia" w:ascii="仿宋" w:hAnsi="仿宋" w:eastAsia="仿宋"/>
          <w:color w:val="auto"/>
          <w:lang w:val="en-US" w:eastAsia="zh-CN"/>
        </w:rPr>
        <w:t>打造治理样板：形成高密度建成区“地下空间集约利用+市场化专业运营+智慧化精细管理”的静态交通治理模式，成为北京市老旧城区停车设施更新的可复制、可推广样本；</w:t>
      </w:r>
    </w:p>
    <w:p w14:paraId="1F1980AB">
      <w:pPr>
        <w:bidi w:val="0"/>
        <w:rPr>
          <w:rFonts w:hint="eastAsia" w:ascii="仿宋" w:hAnsi="仿宋" w:eastAsia="仿宋"/>
          <w:color w:val="auto"/>
          <w:lang w:val="en-US" w:eastAsia="zh-CN"/>
        </w:rPr>
      </w:pPr>
      <w:r>
        <w:rPr>
          <w:rFonts w:hint="eastAsia" w:ascii="仿宋" w:hAnsi="仿宋" w:eastAsia="仿宋"/>
          <w:color w:val="auto"/>
          <w:lang w:val="en-US" w:eastAsia="zh-CN"/>
        </w:rPr>
        <w:t>创建宜居标杆：推动区域居住品质与街区活力同步升级，居民出行便捷度、生活幸福感持续提升，助力密云区构建“宜居宜业”的高品质生活圈；</w:t>
      </w:r>
    </w:p>
    <w:p w14:paraId="66242DC6">
      <w:pPr>
        <w:bidi w:val="0"/>
        <w:rPr>
          <w:rFonts w:hint="eastAsia" w:ascii="仿宋" w:hAnsi="仿宋" w:eastAsia="仿宋"/>
          <w:color w:val="auto"/>
          <w:lang w:val="en-US" w:eastAsia="zh-CN"/>
        </w:rPr>
      </w:pPr>
      <w:r>
        <w:rPr>
          <w:rFonts w:hint="eastAsia" w:ascii="仿宋" w:hAnsi="仿宋" w:eastAsia="仿宋"/>
          <w:color w:val="auto"/>
          <w:lang w:val="en-US" w:eastAsia="zh-CN"/>
        </w:rPr>
        <w:t>构建活力引擎：通过完善停车配套支撑，激活周边商业消费潜力，带动周边商业载体客流增长，为核心城区经济活力释放提供重要保障；</w:t>
      </w:r>
    </w:p>
    <w:p w14:paraId="73F53505">
      <w:pPr>
        <w:bidi w:val="0"/>
        <w:rPr>
          <w:rFonts w:hint="eastAsia" w:ascii="仿宋" w:hAnsi="仿宋" w:eastAsia="仿宋"/>
          <w:color w:val="auto"/>
          <w:lang w:val="en-US" w:eastAsia="zh-CN"/>
        </w:rPr>
      </w:pPr>
      <w:r>
        <w:rPr>
          <w:rFonts w:hint="eastAsia" w:ascii="仿宋" w:hAnsi="仿宋" w:eastAsia="仿宋"/>
          <w:color w:val="auto"/>
          <w:lang w:val="en-US" w:eastAsia="zh-CN"/>
        </w:rPr>
        <w:t>带动绿色示范：依托充电桩泊位与智慧停车系统，推动区域绿色出行比例提升，契合首都生态涵养区低碳发展定位。</w:t>
      </w:r>
    </w:p>
    <w:p w14:paraId="0011C374">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需求总量及结构预测</w:t>
      </w:r>
    </w:p>
    <w:p w14:paraId="6D847B16">
      <w:pPr>
        <w:numPr>
          <w:ilvl w:val="0"/>
          <w:numId w:val="10"/>
        </w:numPr>
        <w:bidi w:val="0"/>
        <w:rPr>
          <w:rFonts w:hint="eastAsia" w:ascii="仿宋" w:hAnsi="仿宋" w:eastAsia="仿宋"/>
          <w:color w:val="auto"/>
          <w:lang w:val="en-US" w:eastAsia="zh-CN"/>
        </w:rPr>
      </w:pPr>
      <w:r>
        <w:rPr>
          <w:rFonts w:hint="eastAsia" w:ascii="仿宋" w:hAnsi="仿宋" w:eastAsia="仿宋"/>
          <w:color w:val="auto"/>
          <w:lang w:val="en-US" w:eastAsia="zh-CN"/>
        </w:rPr>
        <w:t>需求总量</w:t>
      </w:r>
    </w:p>
    <w:p w14:paraId="16F26463">
      <w:pPr>
        <w:bidi w:val="0"/>
        <w:rPr>
          <w:rFonts w:hint="eastAsia" w:ascii="仿宋" w:hAnsi="仿宋" w:eastAsia="仿宋"/>
          <w:color w:val="auto"/>
          <w:lang w:val="en-US" w:eastAsia="zh-CN"/>
        </w:rPr>
      </w:pPr>
      <w:r>
        <w:rPr>
          <w:rFonts w:hint="eastAsia" w:ascii="仿宋" w:hAnsi="仿宋" w:eastAsia="仿宋"/>
          <w:color w:val="auto"/>
          <w:lang w:val="en-US" w:eastAsia="zh-CN"/>
        </w:rPr>
        <w:t>周边4个社区3251户居民停车需求约1912个；</w:t>
      </w:r>
    </w:p>
    <w:p w14:paraId="768704D0">
      <w:pPr>
        <w:bidi w:val="0"/>
        <w:rPr>
          <w:rFonts w:hint="eastAsia" w:ascii="仿宋" w:hAnsi="仿宋" w:eastAsia="仿宋"/>
          <w:color w:val="auto"/>
          <w:lang w:val="en-US" w:eastAsia="zh-CN"/>
        </w:rPr>
      </w:pPr>
      <w:r>
        <w:rPr>
          <w:rFonts w:hint="eastAsia" w:ascii="仿宋" w:hAnsi="仿宋" w:eastAsia="仿宋"/>
          <w:color w:val="auto"/>
          <w:lang w:val="en-US" w:eastAsia="zh-CN"/>
        </w:rPr>
        <w:t>密云一小约540名学生上下学高峰期瞬时停车需求暂估约150个（按照约30%学生需要车行接送）；</w:t>
      </w:r>
    </w:p>
    <w:p w14:paraId="44A1AC70">
      <w:pPr>
        <w:bidi w:val="0"/>
        <w:rPr>
          <w:rFonts w:hint="eastAsia" w:ascii="仿宋" w:hAnsi="仿宋" w:eastAsia="仿宋"/>
          <w:color w:val="auto"/>
          <w:lang w:val="en-US" w:eastAsia="zh-CN"/>
        </w:rPr>
      </w:pPr>
      <w:r>
        <w:rPr>
          <w:rFonts w:hint="eastAsia" w:ascii="仿宋" w:hAnsi="仿宋" w:eastAsia="仿宋"/>
          <w:color w:val="auto"/>
          <w:lang w:val="en-US" w:eastAsia="zh-CN"/>
        </w:rPr>
        <w:t>密东广场及周边商业载体衍生停车需求暂估约100个（按照日均1000人、10%驾车出行）；</w:t>
      </w:r>
    </w:p>
    <w:p w14:paraId="3E13FA34">
      <w:pPr>
        <w:bidi w:val="0"/>
        <w:rPr>
          <w:rFonts w:hint="eastAsia" w:ascii="仿宋" w:hAnsi="仿宋" w:eastAsia="仿宋"/>
          <w:color w:val="auto"/>
          <w:lang w:val="en-US" w:eastAsia="zh-CN"/>
        </w:rPr>
      </w:pPr>
      <w:r>
        <w:rPr>
          <w:rFonts w:hint="eastAsia" w:ascii="仿宋" w:hAnsi="仿宋" w:eastAsia="仿宋"/>
          <w:color w:val="auto"/>
          <w:lang w:val="en-US" w:eastAsia="zh-CN"/>
        </w:rPr>
        <w:t>综上所述，本项目的需求总量预估约2162个。</w:t>
      </w:r>
    </w:p>
    <w:p w14:paraId="54B07DE8">
      <w:pPr>
        <w:numPr>
          <w:ilvl w:val="0"/>
          <w:numId w:val="10"/>
        </w:numPr>
        <w:bidi w:val="0"/>
        <w:rPr>
          <w:rFonts w:hint="eastAsia" w:ascii="仿宋" w:hAnsi="仿宋" w:eastAsia="仿宋"/>
          <w:color w:val="auto"/>
          <w:lang w:val="en-US" w:eastAsia="zh-CN"/>
        </w:rPr>
      </w:pPr>
      <w:r>
        <w:rPr>
          <w:rFonts w:hint="eastAsia" w:ascii="仿宋" w:hAnsi="仿宋" w:eastAsia="仿宋"/>
          <w:color w:val="auto"/>
          <w:lang w:val="en-US" w:eastAsia="zh-CN"/>
        </w:rPr>
        <w:t>需求结构</w:t>
      </w:r>
    </w:p>
    <w:p w14:paraId="1DA1754F">
      <w:pPr>
        <w:keepNext w:val="0"/>
        <w:keepLines w:val="0"/>
        <w:pageBreakBefore w:val="0"/>
        <w:widowControl w:val="0"/>
        <w:numPr>
          <w:ilvl w:val="0"/>
          <w:numId w:val="11"/>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lang w:val="en-US" w:eastAsia="zh-CN"/>
        </w:rPr>
      </w:pPr>
      <w:r>
        <w:rPr>
          <w:rFonts w:hint="eastAsia" w:ascii="仿宋" w:hAnsi="仿宋" w:eastAsia="仿宋"/>
          <w:color w:val="auto"/>
          <w:lang w:val="en-US" w:eastAsia="zh-CN"/>
        </w:rPr>
        <w:t>居住停车需求</w:t>
      </w:r>
    </w:p>
    <w:p w14:paraId="733B1F5C">
      <w:pPr>
        <w:bidi w:val="0"/>
        <w:rPr>
          <w:rFonts w:hint="eastAsia" w:ascii="仿宋" w:hAnsi="仿宋" w:eastAsia="仿宋"/>
          <w:color w:val="auto"/>
          <w:lang w:val="en-US" w:eastAsia="zh-CN"/>
        </w:rPr>
      </w:pPr>
      <w:r>
        <w:rPr>
          <w:rFonts w:hint="eastAsia" w:ascii="仿宋" w:hAnsi="仿宋" w:eastAsia="仿宋"/>
          <w:color w:val="auto"/>
          <w:lang w:val="en-US" w:eastAsia="zh-CN"/>
        </w:rPr>
        <w:t>为本项目核心刚性需求，根据初步调研缺口约1912个（4018辆保有量-1606个现有泊位-500个规划新增泊位），约占总需求的88%。</w:t>
      </w:r>
    </w:p>
    <w:p w14:paraId="64C81372">
      <w:pPr>
        <w:keepNext w:val="0"/>
        <w:keepLines w:val="0"/>
        <w:pageBreakBefore w:val="0"/>
        <w:widowControl w:val="0"/>
        <w:numPr>
          <w:ilvl w:val="0"/>
          <w:numId w:val="11"/>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lang w:val="en-US" w:eastAsia="zh-CN"/>
        </w:rPr>
      </w:pPr>
      <w:r>
        <w:rPr>
          <w:rFonts w:hint="eastAsia" w:ascii="仿宋" w:hAnsi="仿宋" w:eastAsia="仿宋"/>
          <w:color w:val="auto"/>
          <w:lang w:val="en-US" w:eastAsia="zh-CN"/>
        </w:rPr>
        <w:t>学校临时停车需求</w:t>
      </w:r>
    </w:p>
    <w:p w14:paraId="128AD159">
      <w:pPr>
        <w:bidi w:val="0"/>
        <w:rPr>
          <w:rFonts w:hint="eastAsia" w:ascii="仿宋" w:hAnsi="仿宋" w:eastAsia="仿宋"/>
          <w:color w:val="auto"/>
          <w:lang w:val="en-US" w:eastAsia="zh-CN"/>
        </w:rPr>
      </w:pPr>
      <w:r>
        <w:rPr>
          <w:rFonts w:hint="eastAsia" w:ascii="仿宋" w:hAnsi="仿宋" w:eastAsia="仿宋"/>
          <w:color w:val="auto"/>
          <w:lang w:val="en-US" w:eastAsia="zh-CN"/>
        </w:rPr>
        <w:t>主要为密云一小上下学高峰时段瞬时需求，按照日均150辆次预估，约占总需求的7%。</w:t>
      </w:r>
    </w:p>
    <w:p w14:paraId="64C3B9ED">
      <w:pPr>
        <w:keepNext w:val="0"/>
        <w:keepLines w:val="0"/>
        <w:pageBreakBefore w:val="0"/>
        <w:widowControl w:val="0"/>
        <w:numPr>
          <w:ilvl w:val="0"/>
          <w:numId w:val="11"/>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lang w:val="en-US" w:eastAsia="zh-CN"/>
        </w:rPr>
      </w:pPr>
      <w:r>
        <w:rPr>
          <w:rFonts w:hint="eastAsia" w:ascii="仿宋" w:hAnsi="仿宋" w:eastAsia="仿宋"/>
          <w:color w:val="auto"/>
          <w:lang w:val="en-US" w:eastAsia="zh-CN"/>
        </w:rPr>
        <w:t>商业配套停车需求</w:t>
      </w:r>
    </w:p>
    <w:p w14:paraId="5C70D28A">
      <w:pPr>
        <w:bidi w:val="0"/>
        <w:rPr>
          <w:rFonts w:hint="eastAsia" w:ascii="仿宋" w:hAnsi="仿宋" w:eastAsia="仿宋"/>
          <w:color w:val="auto"/>
          <w:lang w:val="en-US" w:eastAsia="zh-CN"/>
        </w:rPr>
      </w:pPr>
      <w:r>
        <w:rPr>
          <w:rFonts w:hint="eastAsia" w:ascii="仿宋" w:hAnsi="仿宋" w:eastAsia="仿宋"/>
          <w:color w:val="auto"/>
          <w:lang w:val="en-US" w:eastAsia="zh-CN"/>
        </w:rPr>
        <w:t>主要为周边商业服务设施客流衍生需求，按照日均100辆次预估，约占总需求的5%。</w:t>
      </w:r>
    </w:p>
    <w:p w14:paraId="40511A8E">
      <w:pPr>
        <w:pStyle w:val="3"/>
        <w:bidi w:val="0"/>
        <w:ind w:left="575" w:hanging="575"/>
        <w:rPr>
          <w:rFonts w:hint="eastAsia" w:ascii="仿宋" w:hAnsi="仿宋" w:eastAsia="仿宋" w:cs="仿宋"/>
          <w:color w:val="auto"/>
          <w:highlight w:val="none"/>
          <w:lang w:val="en-US" w:eastAsia="zh-CN"/>
        </w:rPr>
      </w:pPr>
      <w:bookmarkStart w:id="65" w:name="_Toc10016"/>
      <w:bookmarkStart w:id="66" w:name="_Toc9575"/>
      <w:bookmarkStart w:id="67" w:name="_Toc9019"/>
      <w:r>
        <w:rPr>
          <w:rFonts w:hint="eastAsia" w:ascii="仿宋" w:hAnsi="仿宋" w:eastAsia="仿宋" w:cs="仿宋"/>
          <w:color w:val="auto"/>
          <w:highlight w:val="none"/>
          <w:lang w:val="en-US" w:eastAsia="zh-CN"/>
        </w:rPr>
        <w:t xml:space="preserve"> </w:t>
      </w:r>
      <w:bookmarkStart w:id="68" w:name="_Toc6567"/>
      <w:r>
        <w:rPr>
          <w:rFonts w:hint="eastAsia" w:ascii="仿宋" w:hAnsi="仿宋" w:eastAsia="仿宋" w:cs="仿宋"/>
          <w:color w:val="auto"/>
          <w:highlight w:val="none"/>
          <w:lang w:val="en-US" w:eastAsia="zh-CN"/>
        </w:rPr>
        <w:t>建设方案分析</w:t>
      </w:r>
      <w:bookmarkEnd w:id="65"/>
      <w:bookmarkEnd w:id="66"/>
      <w:bookmarkEnd w:id="67"/>
      <w:bookmarkEnd w:id="68"/>
    </w:p>
    <w:p w14:paraId="24FFE370">
      <w:pPr>
        <w:pStyle w:val="4"/>
        <w:bidi w:val="0"/>
        <w:ind w:left="720" w:hanging="720"/>
        <w:rPr>
          <w:rFonts w:hint="eastAsia" w:ascii="仿宋" w:hAnsi="仿宋" w:eastAsia="仿宋"/>
          <w:color w:val="auto"/>
          <w:lang w:val="en-US" w:eastAsia="zh-CN"/>
        </w:rPr>
      </w:pPr>
      <w:bookmarkStart w:id="69" w:name="_Toc137847131"/>
      <w:bookmarkStart w:id="70" w:name="_Toc21379"/>
      <w:r>
        <w:rPr>
          <w:rFonts w:hint="eastAsia" w:ascii="仿宋" w:hAnsi="仿宋" w:eastAsia="仿宋"/>
          <w:color w:val="auto"/>
          <w:lang w:val="en-US" w:eastAsia="zh-CN"/>
        </w:rPr>
        <w:t xml:space="preserve"> 项目选址</w:t>
      </w:r>
    </w:p>
    <w:p w14:paraId="28B2B27D">
      <w:pPr>
        <w:bidi w:val="0"/>
        <w:rPr>
          <w:rFonts w:hint="eastAsia" w:ascii="仿宋" w:hAnsi="仿宋" w:eastAsia="仿宋"/>
          <w:color w:val="auto"/>
          <w:lang w:val="en-US" w:eastAsia="zh-CN"/>
        </w:rPr>
      </w:pPr>
      <w:r>
        <w:rPr>
          <w:rFonts w:hint="eastAsia" w:ascii="仿宋" w:hAnsi="仿宋" w:eastAsia="仿宋"/>
          <w:color w:val="auto"/>
          <w:lang w:val="en-US" w:eastAsia="zh-CN"/>
        </w:rPr>
        <w:t>本项目位于北京市密云区密东广场北侧，项目四至范围为：北至建设胡同；南至东门巷；西至上营胡同；东至密云一小新建教学楼。项目选址详见下图。</w:t>
      </w:r>
    </w:p>
    <w:p w14:paraId="548840BA">
      <w:pPr>
        <w:spacing w:line="240" w:lineRule="auto"/>
        <w:ind w:left="0" w:leftChars="0" w:firstLine="0" w:firstLineChars="0"/>
        <w:rPr>
          <w:rFonts w:hint="eastAsia" w:ascii="仿宋" w:hAnsi="仿宋" w:eastAsia="仿宋" w:cs="仿宋"/>
          <w:color w:val="auto"/>
          <w:sz w:val="28"/>
          <w:szCs w:val="28"/>
          <w:highlight w:val="none"/>
          <w:lang w:val="en-US" w:eastAsia="zh-CN"/>
        </w:rPr>
      </w:pPr>
    </w:p>
    <w:p w14:paraId="4961F616">
      <w:pPr>
        <w:spacing w:line="240" w:lineRule="auto"/>
        <w:ind w:left="0" w:leftChars="0" w:firstLine="0" w:firstLineChars="0"/>
        <w:jc w:val="center"/>
        <w:rPr>
          <w:rFonts w:hint="eastAsia" w:ascii="仿宋" w:hAnsi="仿宋" w:eastAsia="仿宋" w:cs="仿宋"/>
          <w:b/>
          <w:bCs/>
          <w:color w:val="auto"/>
          <w:sz w:val="24"/>
          <w:szCs w:val="24"/>
          <w:highlight w:val="none"/>
          <w:lang w:val="en-US" w:eastAsia="zh-CN"/>
        </w:rPr>
      </w:pPr>
      <w:r>
        <w:rPr>
          <w:rFonts w:hint="eastAsia" w:ascii="仿宋" w:hAnsi="仿宋" w:eastAsia="仿宋"/>
          <w:color w:val="auto"/>
          <w:sz w:val="24"/>
        </w:rPr>
        <mc:AlternateContent>
          <mc:Choice Requires="wps">
            <w:drawing>
              <wp:anchor distT="0" distB="0" distL="114300" distR="114300" simplePos="0" relativeHeight="251670528" behindDoc="0" locked="0" layoutInCell="1" allowOverlap="1">
                <wp:simplePos x="0" y="0"/>
                <wp:positionH relativeFrom="column">
                  <wp:posOffset>2601595</wp:posOffset>
                </wp:positionH>
                <wp:positionV relativeFrom="paragraph">
                  <wp:posOffset>1722755</wp:posOffset>
                </wp:positionV>
                <wp:extent cx="137160" cy="129540"/>
                <wp:effectExtent l="12700" t="12700" r="17780" b="25400"/>
                <wp:wrapNone/>
                <wp:docPr id="48" name="五角星 48"/>
                <wp:cNvGraphicFramePr/>
                <a:graphic xmlns:a="http://schemas.openxmlformats.org/drawingml/2006/main">
                  <a:graphicData uri="http://schemas.microsoft.com/office/word/2010/wordprocessingShape">
                    <wps:wsp>
                      <wps:cNvSpPr/>
                      <wps:spPr>
                        <a:xfrm>
                          <a:off x="3775075" y="3209290"/>
                          <a:ext cx="137160" cy="129540"/>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04.85pt;margin-top:135.65pt;height:10.2pt;width:10.8pt;z-index:251670528;v-text-anchor:middle;mso-width-relative:page;mso-height-relative:page;" fillcolor="#FF0000" filled="t" stroked="t" coordsize="137160,129540" o:gfxdata="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cx92S2QAAAAsBAAAPAAAAAAAAAAEAIAAAACIAAABkcnMv&#10;ZG93bnJldi54bWxQSwECFAAUAAAACACHTuJA/rOSQHQCAADuBAAADgAAAAAAAAABACAAAAAoAQAA&#10;ZHJzL2Uyb0RvYy54bWxQSwUGAAAAAAYABgBZAQAADgYAAAAA&#10;" path="m0,49479l52390,49480,68580,0,84769,49480,137159,49479,94774,80059,110964,129539,68580,98959,26195,129539,42385,80059xe">
                <v:path o:connectlocs="68580,0;0,49479;26195,129539;110964,129539;137159,49479" o:connectangles="247,164,82,82,0"/>
                <v:fill on="t" focussize="0,0"/>
                <v:stroke weight="2pt" color="#FF0000 [2404]" joinstyle="round"/>
                <v:imagedata o:title=""/>
                <o:lock v:ext="edit" aspectratio="f"/>
              </v:shape>
            </w:pict>
          </mc:Fallback>
        </mc:AlternateContent>
      </w:r>
      <w:r>
        <w:rPr>
          <w:rFonts w:hint="eastAsia" w:ascii="仿宋" w:hAnsi="仿宋" w:eastAsia="仿宋" w:cs="仿宋"/>
          <w:b/>
          <w:bCs/>
          <w:color w:val="auto"/>
          <w:sz w:val="24"/>
          <w:szCs w:val="24"/>
          <w:highlight w:val="none"/>
          <w:lang w:val="en-US" w:eastAsia="zh-CN"/>
        </w:rPr>
        <w:drawing>
          <wp:inline distT="0" distB="0" distL="114300" distR="114300">
            <wp:extent cx="5268595" cy="3512185"/>
            <wp:effectExtent l="0" t="0" r="4445" b="8255"/>
            <wp:docPr id="44" name="图片 44" descr="微信图片_20260130144026_1049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微信图片_20260130144026_1049_9"/>
                    <pic:cNvPicPr>
                      <a:picLocks noChangeAspect="1"/>
                    </pic:cNvPicPr>
                  </pic:nvPicPr>
                  <pic:blipFill>
                    <a:blip r:embed="rId20"/>
                    <a:stretch>
                      <a:fillRect/>
                    </a:stretch>
                  </pic:blipFill>
                  <pic:spPr>
                    <a:xfrm>
                      <a:off x="0" y="0"/>
                      <a:ext cx="5268595" cy="3512185"/>
                    </a:xfrm>
                    <a:prstGeom prst="rect">
                      <a:avLst/>
                    </a:prstGeom>
                  </pic:spPr>
                </pic:pic>
              </a:graphicData>
            </a:graphic>
          </wp:inline>
        </w:drawing>
      </w:r>
      <w:r>
        <w:rPr>
          <w:rFonts w:hint="eastAsia" w:ascii="仿宋" w:hAnsi="仿宋" w:eastAsia="仿宋" w:cs="仿宋"/>
          <w:b/>
          <w:bCs/>
          <w:color w:val="auto"/>
          <w:sz w:val="24"/>
          <w:szCs w:val="24"/>
          <w:highlight w:val="none"/>
          <w:lang w:val="en-US" w:eastAsia="zh-CN"/>
        </w:rPr>
        <w:t>图2-1项目位置图</w:t>
      </w:r>
    </w:p>
    <w:p w14:paraId="012F7362">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 xml:space="preserve"> 主要建设内容</w:t>
      </w:r>
      <w:bookmarkEnd w:id="69"/>
      <w:bookmarkEnd w:id="70"/>
      <w:r>
        <w:rPr>
          <w:rFonts w:hint="eastAsia" w:ascii="仿宋" w:hAnsi="仿宋" w:eastAsia="仿宋"/>
          <w:color w:val="auto"/>
          <w:lang w:val="en-US" w:eastAsia="zh-CN"/>
        </w:rPr>
        <w:t>及规模</w:t>
      </w:r>
    </w:p>
    <w:p w14:paraId="48727B04">
      <w:pPr>
        <w:bidi w:val="0"/>
        <w:rPr>
          <w:rFonts w:hint="eastAsia" w:ascii="仿宋" w:hAnsi="仿宋" w:eastAsia="仿宋"/>
          <w:color w:val="auto"/>
        </w:rPr>
      </w:pPr>
      <w:bookmarkStart w:id="71" w:name="_Toc14819"/>
      <w:bookmarkStart w:id="72" w:name="_Toc1809359251"/>
      <w:bookmarkStart w:id="73" w:name="_Toc836617134"/>
      <w:r>
        <w:rPr>
          <w:rFonts w:hint="eastAsia" w:ascii="仿宋" w:hAnsi="仿宋" w:eastAsia="仿宋"/>
          <w:color w:val="auto"/>
          <w:lang w:val="en-US" w:eastAsia="zh-CN"/>
        </w:rPr>
        <w:t>本项目主要建设地下二层停车场。项目用地面积为13000㎡，总建筑面积24496平方米，其中地上建筑面积850平方米，主要建设内容为地下停车场出入口；地下建筑面积23646平方米，主要建设内容为机动车停车位800个。</w:t>
      </w:r>
    </w:p>
    <w:p w14:paraId="6F54F80E">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 xml:space="preserve"> 建设主要约束条件</w:t>
      </w:r>
    </w:p>
    <w:p w14:paraId="163EAF36">
      <w:pPr>
        <w:bidi w:val="0"/>
        <w:rPr>
          <w:rFonts w:hint="eastAsia" w:ascii="仿宋" w:hAnsi="仿宋" w:eastAsia="仿宋"/>
          <w:color w:val="auto"/>
          <w:lang w:val="en-US" w:eastAsia="zh-CN"/>
        </w:rPr>
      </w:pPr>
      <w:r>
        <w:rPr>
          <w:rFonts w:hint="eastAsia" w:ascii="仿宋" w:hAnsi="仿宋" w:eastAsia="仿宋"/>
          <w:color w:val="auto"/>
          <w:lang w:val="en-US" w:eastAsia="zh-CN"/>
        </w:rPr>
        <w:t>本项目建设符合北京市及密云区城市总体规划，不涉及永久基本农田、生态保护红线及生态敏感区；项目主要是利用城市地下空间，建设内容符合用地性质及土地用途要求；符合控制性详细规划指标要求。</w:t>
      </w:r>
    </w:p>
    <w:p w14:paraId="6FBBCCAC">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 xml:space="preserve"> 用地方式</w:t>
      </w:r>
    </w:p>
    <w:p w14:paraId="6502E6D7">
      <w:pPr>
        <w:bidi w:val="0"/>
        <w:rPr>
          <w:rFonts w:hint="eastAsia" w:ascii="仿宋" w:hAnsi="仿宋" w:eastAsia="仿宋"/>
          <w:color w:val="auto"/>
          <w:lang w:val="en-US" w:eastAsia="zh-CN"/>
        </w:rPr>
      </w:pPr>
      <w:r>
        <w:rPr>
          <w:rFonts w:hint="eastAsia" w:ascii="仿宋" w:hAnsi="仿宋" w:eastAsia="仿宋"/>
          <w:color w:val="auto"/>
          <w:lang w:val="en-US" w:eastAsia="zh-CN"/>
        </w:rPr>
        <w:t>本项目用地拟采用协议出让方式。由项目的特许经营者通过协议出让方式获得项目用地。</w:t>
      </w:r>
    </w:p>
    <w:p w14:paraId="4EEFFF82">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 xml:space="preserve"> 选址地质条件</w:t>
      </w:r>
    </w:p>
    <w:p w14:paraId="06BE1203">
      <w:pPr>
        <w:bidi w:val="0"/>
        <w:rPr>
          <w:rFonts w:hint="eastAsia" w:ascii="仿宋" w:hAnsi="仿宋" w:eastAsia="仿宋"/>
          <w:color w:val="auto"/>
          <w:lang w:val="en-US" w:eastAsia="zh-CN"/>
        </w:rPr>
      </w:pPr>
      <w:r>
        <w:rPr>
          <w:rFonts w:hint="eastAsia" w:ascii="仿宋" w:hAnsi="仿宋" w:eastAsia="仿宋"/>
          <w:color w:val="auto"/>
          <w:lang w:val="en-US" w:eastAsia="zh-CN"/>
        </w:rPr>
        <w:t>密云区位于潮白河冲洪积扇上部，第四系孔隙水主要赋存于潮白河冲洪积作用形成的砂及砂卵砾石中，为单一含水层，地下水径流方向主要从山前向平原区汇流，地下水埋深普遍在30～45m，靠近南部水源八厂的平头地区水位埋深较大，基本大于45m。本区工程地质条件普遍较好，靠近潮白河附近条件较差，存在砂土液化区。本项目建设地点不属于地质灾害易发区。</w:t>
      </w:r>
    </w:p>
    <w:p w14:paraId="4C7629D8">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 xml:space="preserve"> 周边配套情况</w:t>
      </w:r>
    </w:p>
    <w:p w14:paraId="26F8B4B9">
      <w:pPr>
        <w:bidi w:val="0"/>
        <w:rPr>
          <w:rFonts w:hint="eastAsia" w:ascii="仿宋" w:hAnsi="仿宋" w:eastAsia="仿宋"/>
          <w:color w:val="auto"/>
          <w:highlight w:val="none"/>
          <w:lang w:val="en-US" w:eastAsia="zh-CN"/>
        </w:rPr>
      </w:pPr>
      <w:r>
        <w:rPr>
          <w:rFonts w:hint="eastAsia" w:ascii="仿宋" w:hAnsi="仿宋" w:eastAsia="仿宋"/>
          <w:color w:val="auto"/>
          <w:highlight w:val="none"/>
          <w:lang w:val="en-US" w:eastAsia="zh-CN"/>
        </w:rPr>
        <w:t>本项目位于密云区已建成区域，周边市政基础设施完善，市政配套条件成熟，可满足项目建设及运营需求。</w:t>
      </w:r>
    </w:p>
    <w:p w14:paraId="266E40EC">
      <w:pPr>
        <w:numPr>
          <w:ilvl w:val="0"/>
          <w:numId w:val="12"/>
        </w:numPr>
        <w:bidi w:val="0"/>
        <w:ind w:left="0" w:leftChars="0" w:firstLine="560" w:firstLineChars="200"/>
        <w:rPr>
          <w:rFonts w:hint="eastAsia" w:ascii="仿宋" w:hAnsi="仿宋" w:eastAsia="仿宋"/>
          <w:color w:val="auto"/>
          <w:highlight w:val="none"/>
          <w:lang w:val="en-US" w:eastAsia="zh-CN"/>
        </w:rPr>
      </w:pPr>
      <w:r>
        <w:rPr>
          <w:rFonts w:hint="eastAsia" w:ascii="仿宋" w:hAnsi="仿宋" w:eastAsia="仿宋"/>
          <w:color w:val="auto"/>
          <w:highlight w:val="none"/>
          <w:lang w:val="en-US" w:eastAsia="zh-CN"/>
        </w:rPr>
        <w:t>供水</w:t>
      </w:r>
    </w:p>
    <w:p w14:paraId="50CEE6D9">
      <w:pPr>
        <w:bidi w:val="0"/>
        <w:rPr>
          <w:rFonts w:hint="eastAsia" w:ascii="仿宋" w:hAnsi="仿宋" w:eastAsia="仿宋"/>
          <w:color w:val="auto"/>
          <w:highlight w:val="none"/>
          <w:lang w:val="en-US" w:eastAsia="zh-CN"/>
        </w:rPr>
      </w:pPr>
      <w:r>
        <w:rPr>
          <w:rFonts w:hint="eastAsia" w:ascii="仿宋" w:hAnsi="仿宋" w:eastAsia="仿宋"/>
          <w:color w:val="auto"/>
          <w:highlight w:val="none"/>
          <w:lang w:val="en-US" w:eastAsia="zh-CN"/>
        </w:rPr>
        <w:t>项目给水水源由地块周边现状DN150～DN300供水管道提供，水源引自密云新城地表水厂。市政供水压力、水质及供水能力可满足项目日常生产、生活及消防用水需求，接入点结合地块总平布局及市政管线现状合理设置。</w:t>
      </w:r>
    </w:p>
    <w:p w14:paraId="32B882B2">
      <w:pPr>
        <w:numPr>
          <w:ilvl w:val="0"/>
          <w:numId w:val="12"/>
        </w:numPr>
        <w:bidi w:val="0"/>
        <w:ind w:left="0" w:leftChars="0" w:firstLine="560" w:firstLineChars="200"/>
        <w:rPr>
          <w:rFonts w:hint="eastAsia" w:ascii="仿宋" w:hAnsi="仿宋" w:eastAsia="仿宋"/>
          <w:color w:val="auto"/>
          <w:highlight w:val="none"/>
          <w:lang w:val="en-US" w:eastAsia="zh-CN"/>
        </w:rPr>
      </w:pPr>
      <w:r>
        <w:rPr>
          <w:rFonts w:hint="eastAsia" w:ascii="仿宋" w:hAnsi="仿宋" w:eastAsia="仿宋"/>
          <w:color w:val="auto"/>
          <w:highlight w:val="none"/>
          <w:lang w:val="en-US" w:eastAsia="zh-CN"/>
        </w:rPr>
        <w:t>排水</w:t>
      </w:r>
    </w:p>
    <w:p w14:paraId="7E607116">
      <w:pPr>
        <w:numPr>
          <w:ilvl w:val="0"/>
          <w:numId w:val="0"/>
        </w:numPr>
        <w:bidi w:val="0"/>
        <w:ind w:firstLine="560" w:firstLineChars="200"/>
        <w:rPr>
          <w:rFonts w:hint="eastAsia" w:ascii="仿宋" w:hAnsi="仿宋" w:eastAsia="仿宋"/>
          <w:color w:val="auto"/>
          <w:highlight w:val="none"/>
          <w:lang w:val="en-US" w:eastAsia="zh-CN"/>
        </w:rPr>
      </w:pPr>
      <w:r>
        <w:rPr>
          <w:rFonts w:hint="eastAsia" w:ascii="仿宋" w:hAnsi="仿宋" w:eastAsia="仿宋"/>
          <w:color w:val="auto"/>
          <w:highlight w:val="none"/>
          <w:lang w:val="en-US" w:eastAsia="zh-CN"/>
        </w:rPr>
        <w:t>项目雨水采用有组织收集排放方式，通过地块内雨水管网系统，接入周边现状d300～d1200雨水管道，下游接入白河，实现雨污分流，确保雨水排放顺畅、达标；项目产生的生活污水，经处理达到相关排放标准后，统一接入用地周边现状d300～d800污水管道，下游接入密云新城再生水厂，实现雨污分流。</w:t>
      </w:r>
    </w:p>
    <w:p w14:paraId="622FD6BF">
      <w:pPr>
        <w:numPr>
          <w:ilvl w:val="0"/>
          <w:numId w:val="12"/>
        </w:numPr>
        <w:bidi w:val="0"/>
        <w:ind w:left="0" w:leftChars="0" w:firstLine="560" w:firstLineChars="200"/>
        <w:rPr>
          <w:rFonts w:hint="eastAsia" w:ascii="仿宋" w:hAnsi="仿宋" w:eastAsia="仿宋"/>
          <w:color w:val="auto"/>
          <w:highlight w:val="none"/>
          <w:lang w:val="en-US" w:eastAsia="zh-CN"/>
        </w:rPr>
      </w:pPr>
      <w:r>
        <w:rPr>
          <w:rFonts w:hint="eastAsia" w:ascii="仿宋" w:hAnsi="仿宋" w:eastAsia="仿宋"/>
          <w:color w:val="auto"/>
          <w:highlight w:val="none"/>
          <w:lang w:val="en-US" w:eastAsia="zh-CN"/>
        </w:rPr>
        <w:t>电力</w:t>
      </w:r>
    </w:p>
    <w:p w14:paraId="6C6FFA63">
      <w:pPr>
        <w:bidi w:val="0"/>
        <w:rPr>
          <w:rFonts w:hint="eastAsia" w:ascii="仿宋" w:hAnsi="仿宋" w:eastAsia="仿宋"/>
          <w:color w:val="auto"/>
          <w:highlight w:val="none"/>
          <w:lang w:val="en-US" w:eastAsia="zh-CN"/>
        </w:rPr>
      </w:pPr>
      <w:r>
        <w:rPr>
          <w:rFonts w:hint="eastAsia" w:ascii="仿宋" w:hAnsi="仿宋" w:eastAsia="仿宋"/>
          <w:color w:val="auto"/>
          <w:highlight w:val="none"/>
          <w:lang w:val="en-US" w:eastAsia="zh-CN"/>
        </w:rPr>
        <w:t>项目周边有现状110千伏变电站2座，即现状檀营110千伏变电站、滨阳110千伏变电站。沿育才路、新东路、建设胡同、上营胡同、鼓楼大街有现状供电管道，管道规模以电力部门审定版方案为准，保障项目用电稳定、可靠。</w:t>
      </w:r>
    </w:p>
    <w:p w14:paraId="4AA7179F">
      <w:pPr>
        <w:numPr>
          <w:ilvl w:val="0"/>
          <w:numId w:val="12"/>
        </w:numPr>
        <w:bidi w:val="0"/>
        <w:ind w:left="0" w:leftChars="0" w:firstLine="560" w:firstLineChars="200"/>
        <w:rPr>
          <w:rFonts w:hint="eastAsia" w:ascii="仿宋" w:hAnsi="仿宋" w:eastAsia="仿宋"/>
          <w:color w:val="auto"/>
          <w:highlight w:val="none"/>
          <w:lang w:val="en-US" w:eastAsia="zh-CN"/>
        </w:rPr>
      </w:pPr>
      <w:r>
        <w:rPr>
          <w:rFonts w:hint="eastAsia" w:ascii="仿宋" w:hAnsi="仿宋" w:eastAsia="仿宋"/>
          <w:color w:val="auto"/>
          <w:highlight w:val="none"/>
          <w:lang w:val="en-US" w:eastAsia="zh-CN"/>
        </w:rPr>
        <w:t>通讯</w:t>
      </w:r>
    </w:p>
    <w:p w14:paraId="6B3DAC4D">
      <w:pPr>
        <w:bidi w:val="0"/>
        <w:rPr>
          <w:rFonts w:hint="eastAsia" w:ascii="仿宋" w:hAnsi="仿宋" w:eastAsia="仿宋"/>
          <w:color w:val="auto"/>
          <w:highlight w:val="none"/>
          <w:lang w:val="en-US" w:eastAsia="zh-CN"/>
        </w:rPr>
      </w:pPr>
      <w:r>
        <w:rPr>
          <w:rFonts w:hint="eastAsia" w:ascii="仿宋" w:hAnsi="仿宋" w:eastAsia="仿宋"/>
          <w:color w:val="auto"/>
          <w:highlight w:val="none"/>
          <w:lang w:val="en-US" w:eastAsia="zh-CN"/>
        </w:rPr>
        <w:t>项目通讯系统沿育才路、新东路、建设胡同、上营胡同、鼓楼大街有现状电信管道，信号引自密云新城现状电信局。依托区域既有通讯管线及基站资源，满足项目办公、信息化管理及智能化系统等通讯需求。</w:t>
      </w:r>
    </w:p>
    <w:p w14:paraId="40FE1864">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 xml:space="preserve"> 建设工期和主要进度节点</w:t>
      </w:r>
    </w:p>
    <w:p w14:paraId="2C14049A">
      <w:pPr>
        <w:bidi w:val="0"/>
        <w:rPr>
          <w:rFonts w:hint="eastAsia" w:ascii="仿宋" w:hAnsi="仿宋" w:eastAsia="仿宋"/>
          <w:color w:val="auto"/>
          <w:lang w:val="en-US" w:eastAsia="zh-CN"/>
        </w:rPr>
      </w:pPr>
      <w:r>
        <w:rPr>
          <w:rFonts w:hint="eastAsia" w:ascii="仿宋" w:hAnsi="仿宋" w:eastAsia="仿宋"/>
          <w:color w:val="auto"/>
          <w:lang w:val="en-US" w:eastAsia="zh-CN"/>
        </w:rPr>
        <w:t>本项目前期工作为18个月，主要包括土地征拆、特许经营模式论证与特许经营者选择、土地协议出让等工作。</w:t>
      </w:r>
    </w:p>
    <w:p w14:paraId="0DBD5C92">
      <w:pPr>
        <w:bidi w:val="0"/>
        <w:rPr>
          <w:rFonts w:hint="eastAsia" w:ascii="仿宋" w:hAnsi="仿宋" w:eastAsia="仿宋"/>
          <w:color w:val="auto"/>
          <w:lang w:val="en-US" w:eastAsia="zh-CN"/>
        </w:rPr>
      </w:pPr>
      <w:r>
        <w:rPr>
          <w:rFonts w:hint="eastAsia" w:ascii="仿宋" w:hAnsi="仿宋" w:eastAsia="仿宋"/>
          <w:color w:val="auto"/>
          <w:lang w:val="en-US" w:eastAsia="zh-CN"/>
        </w:rPr>
        <w:t>本项目建设期为13个月，计划于2027年6月30日开工，至2028年7月31日完成竣工验收备案。</w:t>
      </w:r>
    </w:p>
    <w:p w14:paraId="64B3B961">
      <w:pPr>
        <w:bidi w:val="0"/>
        <w:rPr>
          <w:rFonts w:hint="eastAsia" w:ascii="仿宋" w:hAnsi="仿宋" w:eastAsia="仿宋"/>
          <w:color w:val="auto"/>
          <w:lang w:val="en-US" w:eastAsia="zh-CN"/>
        </w:rPr>
      </w:pPr>
      <w:r>
        <w:rPr>
          <w:rFonts w:hint="eastAsia" w:ascii="仿宋" w:hAnsi="仿宋" w:eastAsia="仿宋"/>
          <w:color w:val="auto"/>
          <w:lang w:val="en-US" w:eastAsia="zh-CN"/>
        </w:rPr>
        <w:t>前期准备阶段：2026年2月—2027年6月；</w:t>
      </w:r>
    </w:p>
    <w:p w14:paraId="6DD3F9FE">
      <w:pPr>
        <w:bidi w:val="0"/>
        <w:rPr>
          <w:rFonts w:hint="eastAsia" w:ascii="仿宋" w:hAnsi="仿宋" w:eastAsia="仿宋"/>
          <w:color w:val="auto"/>
          <w:lang w:val="en-US" w:eastAsia="zh-CN"/>
        </w:rPr>
      </w:pPr>
      <w:r>
        <w:rPr>
          <w:rFonts w:hint="eastAsia" w:ascii="仿宋" w:hAnsi="仿宋" w:eastAsia="仿宋"/>
          <w:color w:val="auto"/>
          <w:lang w:val="en-US" w:eastAsia="zh-CN"/>
        </w:rPr>
        <w:t>特许经营论证：</w:t>
      </w:r>
      <w:r>
        <w:rPr>
          <w:rFonts w:hint="default" w:ascii="仿宋" w:hAnsi="仿宋" w:eastAsia="仿宋"/>
          <w:color w:val="auto"/>
          <w:lang w:val="en-US" w:eastAsia="zh-CN"/>
        </w:rPr>
        <w:t>2026年1月—2026年7</w:t>
      </w:r>
      <w:r>
        <w:rPr>
          <w:rFonts w:hint="eastAsia" w:ascii="仿宋" w:hAnsi="仿宋" w:eastAsia="仿宋"/>
          <w:color w:val="auto"/>
          <w:lang w:val="en-US" w:eastAsia="zh-CN"/>
        </w:rPr>
        <w:t>月；</w:t>
      </w:r>
    </w:p>
    <w:p w14:paraId="7826AFCD">
      <w:pPr>
        <w:bidi w:val="0"/>
        <w:rPr>
          <w:rFonts w:hint="eastAsia" w:ascii="仿宋" w:hAnsi="仿宋" w:eastAsia="仿宋"/>
          <w:color w:val="auto"/>
          <w:lang w:val="en-US" w:eastAsia="zh-CN"/>
        </w:rPr>
      </w:pPr>
      <w:r>
        <w:rPr>
          <w:rFonts w:hint="eastAsia" w:ascii="仿宋" w:hAnsi="仿宋" w:eastAsia="仿宋"/>
          <w:color w:val="auto"/>
          <w:lang w:val="en-US" w:eastAsia="zh-CN"/>
        </w:rPr>
        <w:t>招标采购阶段：2026年8月—2026年12月；</w:t>
      </w:r>
    </w:p>
    <w:p w14:paraId="0C31BF18">
      <w:pPr>
        <w:bidi w:val="0"/>
        <w:rPr>
          <w:rFonts w:hint="eastAsia" w:ascii="仿宋" w:hAnsi="仿宋" w:eastAsia="仿宋"/>
          <w:color w:val="auto"/>
          <w:lang w:val="en-US" w:eastAsia="zh-CN"/>
        </w:rPr>
      </w:pPr>
      <w:r>
        <w:rPr>
          <w:rFonts w:hint="eastAsia" w:ascii="仿宋" w:hAnsi="仿宋" w:eastAsia="仿宋"/>
          <w:color w:val="auto"/>
          <w:lang w:val="en-US" w:eastAsia="zh-CN"/>
        </w:rPr>
        <w:t>深化设计方案：2026年12月—2027年6月</w:t>
      </w:r>
    </w:p>
    <w:p w14:paraId="73F896C6">
      <w:pPr>
        <w:bidi w:val="0"/>
        <w:rPr>
          <w:rFonts w:hint="eastAsia" w:ascii="仿宋" w:hAnsi="仿宋" w:eastAsia="仿宋"/>
          <w:color w:val="auto"/>
          <w:lang w:val="en-US" w:eastAsia="zh-CN"/>
        </w:rPr>
      </w:pPr>
      <w:r>
        <w:rPr>
          <w:rFonts w:hint="eastAsia" w:ascii="仿宋" w:hAnsi="仿宋" w:eastAsia="仿宋"/>
          <w:color w:val="auto"/>
          <w:lang w:val="en-US" w:eastAsia="zh-CN"/>
        </w:rPr>
        <w:t>施工建设阶段：2027年6月30日—2028年7月；</w:t>
      </w:r>
    </w:p>
    <w:p w14:paraId="37E9B72C">
      <w:pPr>
        <w:bidi w:val="0"/>
        <w:rPr>
          <w:rFonts w:hint="eastAsia" w:ascii="仿宋" w:hAnsi="仿宋" w:eastAsia="仿宋"/>
          <w:color w:val="auto"/>
          <w:lang w:val="en-US" w:eastAsia="zh-CN"/>
        </w:rPr>
      </w:pPr>
      <w:r>
        <w:rPr>
          <w:rFonts w:hint="eastAsia" w:ascii="仿宋" w:hAnsi="仿宋" w:eastAsia="仿宋"/>
          <w:color w:val="auto"/>
          <w:lang w:val="en-US" w:eastAsia="zh-CN"/>
        </w:rPr>
        <w:t>竣工验收阶段：2028年7月底完成竣工验收备案。</w:t>
      </w:r>
    </w:p>
    <w:p w14:paraId="1A422A9D">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 xml:space="preserve"> 产出能力和服务要求</w:t>
      </w:r>
    </w:p>
    <w:p w14:paraId="770C2496">
      <w:pPr>
        <w:bidi w:val="0"/>
        <w:rPr>
          <w:rFonts w:hint="eastAsia" w:ascii="仿宋" w:hAnsi="仿宋" w:eastAsia="仿宋"/>
          <w:color w:val="auto"/>
          <w:lang w:val="en-US" w:eastAsia="zh-CN"/>
        </w:rPr>
      </w:pPr>
      <w:r>
        <w:rPr>
          <w:rFonts w:hint="eastAsia" w:ascii="仿宋" w:hAnsi="仿宋" w:eastAsia="仿宋"/>
          <w:color w:val="auto"/>
          <w:lang w:val="en-US" w:eastAsia="zh-CN"/>
        </w:rPr>
        <w:t>本项目建成运营后，正常运营年份可实现新增机动车停车位800个，核心产出为密云区中心城区静态停车服务，预计停车位日均周转率≥2次、高峰时段利用率≥85%，可有效缓解核心商圈与老旧小区的停车缺口，服务覆盖周边约1万居民及通勤人群。</w:t>
      </w:r>
    </w:p>
    <w:p w14:paraId="6AF91F81">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 xml:space="preserve"> 建设管理方案</w:t>
      </w:r>
    </w:p>
    <w:p w14:paraId="131C9534">
      <w:pPr>
        <w:numPr>
          <w:ilvl w:val="0"/>
          <w:numId w:val="13"/>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建设标准</w:t>
      </w:r>
    </w:p>
    <w:p w14:paraId="17565327">
      <w:pPr>
        <w:bidi w:val="0"/>
        <w:rPr>
          <w:rFonts w:hint="eastAsia" w:ascii="仿宋" w:hAnsi="仿宋" w:eastAsia="仿宋"/>
          <w:color w:val="auto"/>
          <w:lang w:val="en-US" w:eastAsia="zh-CN"/>
        </w:rPr>
      </w:pPr>
      <w:r>
        <w:rPr>
          <w:rFonts w:hint="eastAsia" w:ascii="仿宋" w:hAnsi="仿宋" w:eastAsia="仿宋"/>
          <w:color w:val="auto"/>
          <w:lang w:val="en-US" w:eastAsia="zh-CN"/>
        </w:rPr>
        <w:t>本项目工程建设严格遵循国家、行业及北京市相关工程建设法律法规、规范规程，符合区域交通发展与城市更新工程建设整体规划。工程建设兼顾结构安全性与功能实用性，严格落实消防、环保、节能、人防等相关工程建设合规要求，确保工程建设符合设计规范，符合项目停车服务核心功能定位，契合首都城市功能品质提升对工程建设的整体要求。</w:t>
      </w:r>
    </w:p>
    <w:p w14:paraId="41BC0A05">
      <w:pPr>
        <w:numPr>
          <w:ilvl w:val="0"/>
          <w:numId w:val="13"/>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工程质量</w:t>
      </w:r>
    </w:p>
    <w:p w14:paraId="2AE1161F">
      <w:pPr>
        <w:bidi w:val="0"/>
        <w:rPr>
          <w:rFonts w:hint="eastAsia" w:ascii="仿宋" w:hAnsi="仿宋" w:eastAsia="仿宋"/>
          <w:color w:val="auto"/>
          <w:lang w:val="en-US" w:eastAsia="zh-CN"/>
        </w:rPr>
      </w:pPr>
      <w:r>
        <w:rPr>
          <w:rFonts w:hint="eastAsia" w:ascii="仿宋" w:hAnsi="仿宋" w:eastAsia="仿宋"/>
          <w:color w:val="auto"/>
          <w:lang w:val="en-US" w:eastAsia="zh-CN"/>
        </w:rPr>
        <w:t>本项目严格落实工程质量终身责任制，全面遵循工程建设质量相关管理规定，坚持“质量第一、从严管控”的原则。工程建设严格按照设计方案及相关规范要求实施，确保工程质量符合设计标准和验收规范，工程整体质量达到合格标准。杜绝重大质量隐患，防范一般质量问题，确保项目建成后结构安全、设施完好、运营稳定，能够长期满足停车服务的正常使用需求，兼顾工程耐久性与实用性。</w:t>
      </w:r>
    </w:p>
    <w:p w14:paraId="1A3D78F5">
      <w:pPr>
        <w:numPr>
          <w:ilvl w:val="0"/>
          <w:numId w:val="13"/>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安全管理目标</w:t>
      </w:r>
    </w:p>
    <w:p w14:paraId="3D659D25">
      <w:pPr>
        <w:bidi w:val="0"/>
        <w:rPr>
          <w:rFonts w:hint="eastAsia" w:ascii="仿宋" w:hAnsi="仿宋" w:eastAsia="仿宋" w:cs="仿宋"/>
          <w:color w:val="auto"/>
          <w:sz w:val="28"/>
          <w:szCs w:val="28"/>
          <w:highlight w:val="none"/>
          <w:lang w:val="en-US" w:eastAsia="zh-CN"/>
        </w:rPr>
      </w:pPr>
      <w:r>
        <w:rPr>
          <w:rFonts w:hint="eastAsia" w:ascii="仿宋" w:hAnsi="仿宋" w:eastAsia="仿宋"/>
          <w:color w:val="auto"/>
          <w:lang w:val="en-US" w:eastAsia="zh-CN"/>
        </w:rPr>
        <w:t>本项目严格贯彻“安全第一、预防为主、综合治理”的安全生产方针，全面落实安全生产责任制，健全安全生产管理制度和防控体系。施工期间，强化施工现场安全管控，规范施工操作流程，防范各类安全风险，杜绝安全生产事故、消防安全事故，确保施工人员及周边人员人身安全、财产安全。运营期间，完善安全管理制度，加强设施设备安全巡检与维护，落实安全防控措施，保障停车场运营安全、有序，杜绝各类安全责任事故，确保停车人员、车辆及设施设备安全，符合安全生产相关合规要求。</w:t>
      </w:r>
    </w:p>
    <w:p w14:paraId="707EAE29">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方案比选</w:t>
      </w:r>
    </w:p>
    <w:p w14:paraId="16122797">
      <w:pPr>
        <w:numPr>
          <w:ilvl w:val="0"/>
          <w:numId w:val="14"/>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比选原则</w:t>
      </w:r>
    </w:p>
    <w:p w14:paraId="42A9B69C">
      <w:pPr>
        <w:bidi w:val="0"/>
        <w:rPr>
          <w:rFonts w:hint="eastAsia" w:ascii="仿宋" w:hAnsi="仿宋" w:eastAsia="仿宋"/>
          <w:color w:val="auto"/>
          <w:lang w:val="en-US" w:eastAsia="zh-CN"/>
        </w:rPr>
      </w:pPr>
      <w:r>
        <w:rPr>
          <w:rFonts w:hint="eastAsia" w:ascii="仿宋" w:hAnsi="仿宋" w:eastAsia="仿宋"/>
          <w:color w:val="auto"/>
          <w:lang w:val="en-US" w:eastAsia="zh-CN"/>
        </w:rPr>
        <w:t>本次工程方案比选遵循“技术可行、经济合理、安全可靠、功能适配、可持续运营”的核心原则，重点从空间利用、功能需求、建设成本、施工难度、运营维护及综合效益等维度进行综合评估。</w:t>
      </w:r>
    </w:p>
    <w:p w14:paraId="65C78D4A">
      <w:pPr>
        <w:numPr>
          <w:ilvl w:val="0"/>
          <w:numId w:val="14"/>
        </w:numPr>
        <w:bidi w:val="0"/>
        <w:ind w:left="0" w:leftChars="0" w:firstLine="560" w:firstLineChars="200"/>
        <w:rPr>
          <w:rFonts w:hint="default" w:ascii="仿宋" w:hAnsi="仿宋" w:eastAsia="仿宋"/>
          <w:color w:val="auto"/>
          <w:lang w:val="en-US" w:eastAsia="zh-CN"/>
        </w:rPr>
      </w:pPr>
      <w:r>
        <w:rPr>
          <w:rFonts w:hint="eastAsia" w:ascii="仿宋" w:hAnsi="仿宋" w:eastAsia="仿宋"/>
          <w:color w:val="auto"/>
          <w:lang w:val="en-US" w:eastAsia="zh-CN"/>
        </w:rPr>
        <w:t>方案概况</w:t>
      </w:r>
    </w:p>
    <w:p w14:paraId="6F4F7C86">
      <w:pPr>
        <w:keepNext w:val="0"/>
        <w:keepLines w:val="0"/>
        <w:pageBreakBefore w:val="0"/>
        <w:widowControl w:val="0"/>
        <w:numPr>
          <w:ilvl w:val="0"/>
          <w:numId w:val="15"/>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lang w:val="en-US" w:eastAsia="zh-CN"/>
        </w:rPr>
      </w:pPr>
      <w:r>
        <w:rPr>
          <w:rFonts w:hint="eastAsia" w:ascii="仿宋" w:hAnsi="仿宋" w:eastAsia="仿宋"/>
          <w:color w:val="auto"/>
          <w:lang w:val="en-US" w:eastAsia="zh-CN"/>
        </w:rPr>
        <w:t>本项目方案</w:t>
      </w:r>
    </w:p>
    <w:p w14:paraId="6D657C45">
      <w:pPr>
        <w:bidi w:val="0"/>
        <w:rPr>
          <w:rFonts w:hint="eastAsia" w:ascii="仿宋" w:hAnsi="仿宋" w:eastAsia="仿宋"/>
          <w:color w:val="auto"/>
          <w:lang w:val="en-US" w:eastAsia="zh-CN"/>
        </w:rPr>
      </w:pPr>
      <w:r>
        <w:rPr>
          <w:rFonts w:hint="eastAsia" w:ascii="仿宋" w:hAnsi="仿宋" w:eastAsia="仿宋"/>
          <w:color w:val="auto"/>
          <w:lang w:val="en-US" w:eastAsia="zh-CN"/>
        </w:rPr>
        <w:t>方案埋深为9.2米，地下2层停车</w:t>
      </w:r>
    </w:p>
    <w:p w14:paraId="71F95BA4">
      <w:pPr>
        <w:bidi w:val="0"/>
        <w:rPr>
          <w:rFonts w:hint="default" w:ascii="仿宋" w:hAnsi="仿宋" w:eastAsia="仿宋"/>
          <w:color w:val="auto"/>
          <w:lang w:val="en-US" w:eastAsia="zh-CN"/>
        </w:rPr>
      </w:pPr>
      <w:r>
        <w:rPr>
          <w:rFonts w:hint="eastAsia" w:ascii="仿宋" w:hAnsi="仿宋" w:eastAsia="仿宋"/>
          <w:color w:val="auto"/>
          <w:lang w:val="en-US" w:eastAsia="zh-CN"/>
        </w:rPr>
        <w:t>建筑面积2.36万平方米，设计800个机动车停车位，停车位尺寸为2.4米×5.3（或5.1）米，地库内车道净宽不小于5.5米。场地满足地下停车、地面休闲等居民需求。</w:t>
      </w:r>
    </w:p>
    <w:p w14:paraId="2724F054">
      <w:pPr>
        <w:keepNext w:val="0"/>
        <w:keepLines w:val="0"/>
        <w:pageBreakBefore w:val="0"/>
        <w:widowControl w:val="0"/>
        <w:numPr>
          <w:ilvl w:val="0"/>
          <w:numId w:val="15"/>
        </w:numPr>
        <w:kinsoku/>
        <w:wordWrap/>
        <w:overflowPunct/>
        <w:topLinePunct w:val="0"/>
        <w:autoSpaceDE/>
        <w:autoSpaceDN/>
        <w:bidi w:val="0"/>
        <w:adjustRightInd/>
        <w:snapToGrid w:val="0"/>
        <w:ind w:left="0" w:leftChars="0" w:firstLine="560" w:firstLineChars="200"/>
        <w:textAlignment w:val="auto"/>
        <w:rPr>
          <w:rFonts w:hint="default" w:ascii="仿宋" w:hAnsi="仿宋" w:eastAsia="仿宋"/>
          <w:color w:val="auto"/>
          <w:lang w:val="en-US" w:eastAsia="zh-CN"/>
        </w:rPr>
      </w:pPr>
      <w:r>
        <w:rPr>
          <w:rFonts w:hint="eastAsia" w:ascii="仿宋" w:hAnsi="仿宋" w:eastAsia="仿宋"/>
          <w:color w:val="auto"/>
          <w:lang w:val="en-US" w:eastAsia="zh-CN"/>
        </w:rPr>
        <w:t>备选方案</w:t>
      </w:r>
    </w:p>
    <w:p w14:paraId="01E8CCAD">
      <w:pPr>
        <w:numPr>
          <w:ilvl w:val="0"/>
          <w:numId w:val="16"/>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方案1：深埋方案（3层）地下3层停车+地面公园</w:t>
      </w:r>
    </w:p>
    <w:p w14:paraId="3EE5EE32">
      <w:pPr>
        <w:bidi w:val="0"/>
        <w:rPr>
          <w:rFonts w:hint="eastAsia" w:ascii="仿宋" w:hAnsi="仿宋" w:eastAsia="仿宋"/>
          <w:color w:val="auto"/>
          <w:lang w:val="en-US" w:eastAsia="zh-CN"/>
        </w:rPr>
      </w:pPr>
      <w:r>
        <w:rPr>
          <w:rFonts w:hint="eastAsia" w:ascii="仿宋" w:hAnsi="仿宋" w:eastAsia="仿宋"/>
          <w:color w:val="auto"/>
          <w:lang w:val="en-US" w:eastAsia="zh-CN"/>
        </w:rPr>
        <w:t>规划地下停车楼共3层，地下挖深约15.7米，建筑面积3.60万平方米，设计1023个机动车停车位（停车位尺寸为2.6米×5.3米，地库内车道净宽不小于5.5米）。地面设置3个机动车出入口；设置8个人行出入口交通核，车行、人行出入口均与地上公园有机结合，人、机动车及入园游览流线均不交叉。</w:t>
      </w:r>
    </w:p>
    <w:p w14:paraId="38F7CA15">
      <w:pPr>
        <w:numPr>
          <w:ilvl w:val="0"/>
          <w:numId w:val="16"/>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方案2：浅埋方案（3层）地下2层停车+半地下层停车+地面公园</w:t>
      </w:r>
    </w:p>
    <w:p w14:paraId="3FF70C11">
      <w:pPr>
        <w:bidi w:val="0"/>
        <w:rPr>
          <w:rFonts w:hint="eastAsia" w:ascii="仿宋" w:hAnsi="仿宋" w:eastAsia="仿宋"/>
          <w:color w:val="auto"/>
          <w:lang w:val="en-US" w:eastAsia="zh-CN"/>
        </w:rPr>
      </w:pPr>
      <w:r>
        <w:rPr>
          <w:rFonts w:hint="eastAsia" w:ascii="仿宋" w:hAnsi="仿宋" w:eastAsia="仿宋"/>
          <w:color w:val="auto"/>
          <w:lang w:val="en-US" w:eastAsia="zh-CN"/>
        </w:rPr>
        <w:t>规划地下停车楼共3层，包含地下2层和半地下层，地下挖深约10.5米，建筑面积3.34万平方米，设计987个机动车停车位（停车位尺寸为2.6米×5.3米，地库内车道净宽不小于5.5米）。地面设置3个机动车出入口，设置8个人行出入口交通核，车行、人行出入口均与地上公园有机结合，人、机动车及入园游览流线均不交叉。</w:t>
      </w:r>
    </w:p>
    <w:p w14:paraId="78C27F2D">
      <w:pPr>
        <w:numPr>
          <w:ilvl w:val="0"/>
          <w:numId w:val="16"/>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方案3：全地下方案（2层）地下2层停车+地面公园</w:t>
      </w:r>
    </w:p>
    <w:p w14:paraId="4F4DCA02">
      <w:pPr>
        <w:bidi w:val="0"/>
        <w:rPr>
          <w:rFonts w:hint="eastAsia" w:ascii="仿宋" w:hAnsi="仿宋" w:eastAsia="仿宋"/>
          <w:color w:val="auto"/>
          <w:lang w:val="en-US" w:eastAsia="zh-CN"/>
        </w:rPr>
      </w:pPr>
      <w:r>
        <w:rPr>
          <w:rFonts w:hint="eastAsia" w:ascii="仿宋" w:hAnsi="仿宋" w:eastAsia="仿宋"/>
          <w:color w:val="auto"/>
          <w:lang w:val="en-US" w:eastAsia="zh-CN"/>
        </w:rPr>
        <w:t>规划地下停车楼共2层，车库层高调整至3.6米后，地面公园覆土2米，地下挖深约9.2米（底板底），建筑面积2.40万平方米，设计829个机动车停车位（停车位尺寸为2.4米×5.3米，地库内车道净宽不小于5.5米）。地面在上营胡同及东门巷两条道路分别设置7米宽机动车双向出入口。地上公园采用绿化与硬质铺装结合的方式，充分考虑不同方向人流，分散设置8个人行出入口交通核，车行、人行出入口均与地上公园有机结合，人、机动车及入园游览流线均不交叉。</w:t>
      </w:r>
    </w:p>
    <w:p w14:paraId="40A161FD">
      <w:pPr>
        <w:numPr>
          <w:ilvl w:val="0"/>
          <w:numId w:val="16"/>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方案4：半地下方案（2层）地下1层停车+半地下层停车+临街商业+地面公园</w:t>
      </w:r>
    </w:p>
    <w:p w14:paraId="3B5755C5">
      <w:pPr>
        <w:bidi w:val="0"/>
        <w:rPr>
          <w:rFonts w:hint="eastAsia" w:ascii="仿宋" w:hAnsi="仿宋" w:eastAsia="仿宋"/>
          <w:color w:val="auto"/>
          <w:lang w:val="en-US" w:eastAsia="zh-CN"/>
        </w:rPr>
      </w:pPr>
      <w:r>
        <w:rPr>
          <w:rFonts w:hint="eastAsia" w:ascii="仿宋" w:hAnsi="仿宋" w:eastAsia="仿宋"/>
          <w:color w:val="auto"/>
          <w:lang w:val="en-US" w:eastAsia="zh-CN"/>
        </w:rPr>
        <w:t>为合理利用地上地下空间，合理控制成本，同时谋划经营收入，使得项目既满足居民需求，又满足投资平衡要求，方案计划采用地下1层停车+半地下层停车和临街商业+地面公园。地下停车楼共2层，包含地下1层和半地下层，层高3.6米，地面公园覆土1.5米，地下埋深由7.3米调整至约5.8米（底板底），建筑面积2.2万平方米，设计657个机动车停车位，停车位尺寸为2.4米*5.3米，地库内车道净宽不小于5.5米。结合半地下建筑形式，在场地北侧朝向建设胡同设置下沉广场和沿街商业，为周边市民提供购物空间，实现地下停车、地面休闲、沿街购物等多元化便民需求。临街商业建筑面积约900㎡，共设12间商铺，商铺总长度为130m，商铺进深6.5m，净高2.7m。</w:t>
      </w:r>
    </w:p>
    <w:p w14:paraId="51E5DC2F">
      <w:pPr>
        <w:keepNext w:val="0"/>
        <w:keepLines w:val="0"/>
        <w:pageBreakBefore w:val="0"/>
        <w:widowControl w:val="0"/>
        <w:numPr>
          <w:ilvl w:val="0"/>
          <w:numId w:val="15"/>
        </w:numPr>
        <w:kinsoku/>
        <w:wordWrap/>
        <w:overflowPunct/>
        <w:topLinePunct w:val="0"/>
        <w:autoSpaceDE/>
        <w:autoSpaceDN/>
        <w:bidi w:val="0"/>
        <w:adjustRightInd/>
        <w:snapToGrid w:val="0"/>
        <w:ind w:left="0" w:leftChars="0" w:firstLine="560" w:firstLineChars="200"/>
        <w:textAlignment w:val="auto"/>
        <w:rPr>
          <w:rFonts w:hint="default" w:ascii="仿宋" w:hAnsi="仿宋" w:eastAsia="仿宋"/>
          <w:color w:val="auto"/>
          <w:lang w:val="en-US" w:eastAsia="zh-CN"/>
        </w:rPr>
      </w:pPr>
      <w:r>
        <w:rPr>
          <w:rFonts w:hint="eastAsia" w:ascii="仿宋" w:hAnsi="仿宋" w:eastAsia="仿宋"/>
          <w:color w:val="auto"/>
          <w:lang w:val="en-US" w:eastAsia="zh-CN"/>
        </w:rPr>
        <w:t>比选分析</w:t>
      </w:r>
    </w:p>
    <w:p w14:paraId="0592DA24">
      <w:pPr>
        <w:numPr>
          <w:ilvl w:val="0"/>
          <w:numId w:val="17"/>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空间利用与功能适配</w:t>
      </w:r>
    </w:p>
    <w:p w14:paraId="3FD13E6C">
      <w:pPr>
        <w:bidi w:val="0"/>
        <w:rPr>
          <w:rFonts w:hint="eastAsia" w:ascii="仿宋" w:hAnsi="仿宋" w:eastAsia="仿宋"/>
          <w:color w:val="auto"/>
          <w:lang w:val="en-US" w:eastAsia="zh-CN"/>
        </w:rPr>
      </w:pPr>
      <w:r>
        <w:rPr>
          <w:rFonts w:hint="eastAsia" w:ascii="仿宋" w:hAnsi="仿宋" w:eastAsia="仿宋"/>
          <w:color w:val="auto"/>
          <w:lang w:val="en-US" w:eastAsia="zh-CN"/>
        </w:rPr>
        <w:t>本项目方案：地下 2 层停车场共800 个车位+ 地面公园，既满足了周边居民的核心停车需求，又通过地面公园实现了休闲文化功能，空间利用均衡，功能定位清晰。</w:t>
      </w:r>
    </w:p>
    <w:p w14:paraId="33C395C6">
      <w:pPr>
        <w:bidi w:val="0"/>
        <w:rPr>
          <w:rFonts w:hint="eastAsia" w:ascii="仿宋" w:hAnsi="仿宋" w:eastAsia="仿宋"/>
          <w:color w:val="auto"/>
          <w:lang w:val="en-US" w:eastAsia="zh-CN"/>
        </w:rPr>
      </w:pPr>
      <w:r>
        <w:rPr>
          <w:rFonts w:hint="eastAsia" w:ascii="仿宋" w:hAnsi="仿宋" w:eastAsia="仿宋"/>
          <w:color w:val="auto"/>
          <w:lang w:val="en-US" w:eastAsia="zh-CN"/>
        </w:rPr>
        <w:t>备选方案 1：车位数量最多约1023 个，但埋深达 15.7 米，造成空间与投资浪费，且对周边管线及建筑基础影响较大。</w:t>
      </w:r>
    </w:p>
    <w:p w14:paraId="58E0FB7D">
      <w:pPr>
        <w:bidi w:val="0"/>
        <w:rPr>
          <w:rFonts w:hint="eastAsia" w:ascii="仿宋" w:hAnsi="仿宋" w:eastAsia="仿宋"/>
          <w:color w:val="auto"/>
          <w:lang w:val="en-US" w:eastAsia="zh-CN"/>
        </w:rPr>
      </w:pPr>
      <w:r>
        <w:rPr>
          <w:rFonts w:hint="eastAsia" w:ascii="仿宋" w:hAnsi="仿宋" w:eastAsia="仿宋"/>
          <w:color w:val="auto"/>
          <w:lang w:val="en-US" w:eastAsia="zh-CN"/>
        </w:rPr>
        <w:t>备选方案 2：车位数量987 个，虽然埋深较方案 1 有所降低，但仍存在功能冗余，建设成本偏高。</w:t>
      </w:r>
    </w:p>
    <w:p w14:paraId="468AC8F7">
      <w:pPr>
        <w:bidi w:val="0"/>
        <w:rPr>
          <w:rFonts w:hint="eastAsia" w:ascii="仿宋" w:hAnsi="仿宋" w:eastAsia="仿宋"/>
          <w:color w:val="auto"/>
          <w:lang w:val="en-US" w:eastAsia="zh-CN"/>
        </w:rPr>
      </w:pPr>
      <w:r>
        <w:rPr>
          <w:rFonts w:hint="eastAsia" w:ascii="仿宋" w:hAnsi="仿宋" w:eastAsia="仿宋"/>
          <w:color w:val="auto"/>
          <w:lang w:val="en-US" w:eastAsia="zh-CN"/>
        </w:rPr>
        <w:t>备选方案 3：车位数量829个，人行出入口设置过多（8 处），增加了工程复杂度，且未体现明显优势。</w:t>
      </w:r>
    </w:p>
    <w:p w14:paraId="416DC44B">
      <w:pPr>
        <w:bidi w:val="0"/>
        <w:rPr>
          <w:rFonts w:hint="eastAsia" w:ascii="仿宋" w:hAnsi="仿宋" w:eastAsia="仿宋"/>
          <w:color w:val="auto"/>
          <w:lang w:val="en-US" w:eastAsia="zh-CN"/>
        </w:rPr>
      </w:pPr>
      <w:r>
        <w:rPr>
          <w:rFonts w:hint="eastAsia" w:ascii="仿宋" w:hAnsi="仿宋" w:eastAsia="仿宋"/>
          <w:color w:val="auto"/>
          <w:lang w:val="en-US" w:eastAsia="zh-CN"/>
        </w:rPr>
        <w:t>备选方案 4：车位数量657 个，较为不足，无法满足周边居民停车刚需；虽增加了商业功能，但商业运营存在不确定性，且半地下结构对地面公园的整体性与安全性有一定影响。</w:t>
      </w:r>
    </w:p>
    <w:p w14:paraId="139E96AA">
      <w:pPr>
        <w:numPr>
          <w:ilvl w:val="0"/>
          <w:numId w:val="17"/>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技术可行性与施工难度</w:t>
      </w:r>
    </w:p>
    <w:p w14:paraId="1838F875">
      <w:pPr>
        <w:bidi w:val="0"/>
        <w:rPr>
          <w:rFonts w:hint="eastAsia" w:ascii="仿宋" w:hAnsi="仿宋" w:eastAsia="仿宋"/>
          <w:color w:val="auto"/>
          <w:lang w:val="en-US" w:eastAsia="zh-CN"/>
        </w:rPr>
      </w:pPr>
      <w:r>
        <w:rPr>
          <w:rFonts w:hint="eastAsia" w:ascii="仿宋" w:hAnsi="仿宋" w:eastAsia="仿宋"/>
          <w:color w:val="auto"/>
          <w:lang w:val="en-US" w:eastAsia="zh-CN"/>
        </w:rPr>
        <w:t>本项目方案：埋深 9.2 米，采用常规地下 2 层结构，施工技术成熟，对周边环境影响可控，工期与质量易于保障。</w:t>
      </w:r>
    </w:p>
    <w:p w14:paraId="18A73114">
      <w:pPr>
        <w:bidi w:val="0"/>
        <w:rPr>
          <w:rFonts w:hint="eastAsia" w:ascii="仿宋" w:hAnsi="仿宋" w:eastAsia="仿宋"/>
          <w:color w:val="auto"/>
          <w:lang w:val="en-US" w:eastAsia="zh-CN"/>
        </w:rPr>
      </w:pPr>
      <w:r>
        <w:rPr>
          <w:rFonts w:hint="eastAsia" w:ascii="仿宋" w:hAnsi="仿宋" w:eastAsia="仿宋"/>
          <w:color w:val="auto"/>
          <w:lang w:val="en-US" w:eastAsia="zh-CN"/>
        </w:rPr>
        <w:t>备选方案 1：埋深达 15.7 米，需采用深基坑支护、降水等复杂工艺，施工难度大、风险高，对周边建筑及管线安全构成较大挑战。</w:t>
      </w:r>
    </w:p>
    <w:p w14:paraId="68256FBB">
      <w:pPr>
        <w:bidi w:val="0"/>
        <w:rPr>
          <w:rFonts w:hint="eastAsia" w:ascii="仿宋" w:hAnsi="仿宋" w:eastAsia="仿宋"/>
          <w:color w:val="auto"/>
          <w:lang w:val="en-US" w:eastAsia="zh-CN"/>
        </w:rPr>
      </w:pPr>
      <w:r>
        <w:rPr>
          <w:rFonts w:hint="eastAsia" w:ascii="仿宋" w:hAnsi="仿宋" w:eastAsia="仿宋"/>
          <w:color w:val="auto"/>
          <w:lang w:val="en-US" w:eastAsia="zh-CN"/>
        </w:rPr>
        <w:t>备选方案 2：埋深 10.5 米，虽较方案 1 有所降低，但仍属于较深基坑，施工难度与成本仍显著高于中选方案。</w:t>
      </w:r>
    </w:p>
    <w:p w14:paraId="419E7177">
      <w:pPr>
        <w:bidi w:val="0"/>
        <w:rPr>
          <w:rFonts w:hint="eastAsia" w:ascii="仿宋" w:hAnsi="仿宋" w:eastAsia="仿宋"/>
          <w:color w:val="auto"/>
          <w:lang w:val="en-US" w:eastAsia="zh-CN"/>
        </w:rPr>
      </w:pPr>
      <w:r>
        <w:rPr>
          <w:rFonts w:hint="eastAsia" w:ascii="仿宋" w:hAnsi="仿宋" w:eastAsia="仿宋"/>
          <w:color w:val="auto"/>
          <w:lang w:val="en-US" w:eastAsia="zh-CN"/>
        </w:rPr>
        <w:t>备选方案 3：具备一定技术可行性，但未形成差异化优势。</w:t>
      </w:r>
    </w:p>
    <w:p w14:paraId="5A9593CE">
      <w:pPr>
        <w:bidi w:val="0"/>
        <w:rPr>
          <w:rFonts w:hint="eastAsia" w:ascii="仿宋" w:hAnsi="仿宋" w:eastAsia="仿宋"/>
          <w:color w:val="auto"/>
          <w:lang w:val="en-US" w:eastAsia="zh-CN"/>
        </w:rPr>
      </w:pPr>
      <w:r>
        <w:rPr>
          <w:rFonts w:hint="eastAsia" w:ascii="仿宋" w:hAnsi="仿宋" w:eastAsia="仿宋"/>
          <w:color w:val="auto"/>
          <w:lang w:val="en-US" w:eastAsia="zh-CN"/>
        </w:rPr>
        <w:t>备选方案 4：埋深较浅，施工难度较低，但半地下结构与商业布局对结构设计、防水及通风系统要求更高，且商业部分的消防与疏散设计复杂。</w:t>
      </w:r>
    </w:p>
    <w:p w14:paraId="502DCA49">
      <w:pPr>
        <w:numPr>
          <w:ilvl w:val="0"/>
          <w:numId w:val="17"/>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经济合理性与投资效益</w:t>
      </w:r>
    </w:p>
    <w:p w14:paraId="3D1B3B52">
      <w:pPr>
        <w:bidi w:val="0"/>
        <w:rPr>
          <w:rFonts w:hint="eastAsia" w:ascii="仿宋" w:hAnsi="仿宋" w:eastAsia="仿宋"/>
          <w:color w:val="auto"/>
          <w:lang w:val="en-US" w:eastAsia="zh-CN"/>
        </w:rPr>
      </w:pPr>
      <w:r>
        <w:rPr>
          <w:rFonts w:hint="eastAsia" w:ascii="仿宋" w:hAnsi="仿宋" w:eastAsia="仿宋"/>
          <w:color w:val="auto"/>
          <w:lang w:val="en-US" w:eastAsia="zh-CN"/>
        </w:rPr>
        <w:t>本项目方案：建筑面积 2.36 万㎡，投资规模适中，车位数量800 个，单位车位投资与运营成本合理，综合效益最优。</w:t>
      </w:r>
    </w:p>
    <w:p w14:paraId="71223F8C">
      <w:pPr>
        <w:bidi w:val="0"/>
        <w:rPr>
          <w:rFonts w:hint="eastAsia" w:ascii="仿宋" w:hAnsi="仿宋" w:eastAsia="仿宋"/>
          <w:color w:val="auto"/>
          <w:lang w:val="en-US" w:eastAsia="zh-CN"/>
        </w:rPr>
      </w:pPr>
      <w:r>
        <w:rPr>
          <w:rFonts w:hint="eastAsia" w:ascii="仿宋" w:hAnsi="仿宋" w:eastAsia="仿宋"/>
          <w:color w:val="auto"/>
          <w:lang w:val="en-US" w:eastAsia="zh-CN"/>
        </w:rPr>
        <w:t>备选方案 1：建筑面积 3.60 万㎡，投资成本大幅增加，且车位利用率难以保障，投资效益低下。</w:t>
      </w:r>
    </w:p>
    <w:p w14:paraId="199A3CC3">
      <w:pPr>
        <w:bidi w:val="0"/>
        <w:rPr>
          <w:rFonts w:hint="eastAsia" w:ascii="仿宋" w:hAnsi="仿宋" w:eastAsia="仿宋"/>
          <w:color w:val="auto"/>
          <w:lang w:val="en-US" w:eastAsia="zh-CN"/>
        </w:rPr>
      </w:pPr>
      <w:r>
        <w:rPr>
          <w:rFonts w:hint="eastAsia" w:ascii="仿宋" w:hAnsi="仿宋" w:eastAsia="仿宋"/>
          <w:color w:val="auto"/>
          <w:lang w:val="en-US" w:eastAsia="zh-CN"/>
        </w:rPr>
        <w:t>备选方案 2：建筑面积 3.34 万㎡，投资成本仍偏高，功能冗余导致投资回报周期延长。</w:t>
      </w:r>
    </w:p>
    <w:p w14:paraId="7A98A2B2">
      <w:pPr>
        <w:bidi w:val="0"/>
        <w:rPr>
          <w:rFonts w:hint="eastAsia" w:ascii="仿宋" w:hAnsi="仿宋" w:eastAsia="仿宋"/>
          <w:color w:val="auto"/>
          <w:lang w:val="en-US" w:eastAsia="zh-CN"/>
        </w:rPr>
      </w:pPr>
      <w:r>
        <w:rPr>
          <w:rFonts w:hint="eastAsia" w:ascii="仿宋" w:hAnsi="仿宋" w:eastAsia="仿宋"/>
          <w:color w:val="auto"/>
          <w:lang w:val="en-US" w:eastAsia="zh-CN"/>
        </w:rPr>
        <w:t>备选方案 3：投资规模与中选方案接近，但功能优势不明显，性价比不足。</w:t>
      </w:r>
    </w:p>
    <w:p w14:paraId="75770AF3">
      <w:pPr>
        <w:bidi w:val="0"/>
        <w:rPr>
          <w:rFonts w:hint="eastAsia" w:ascii="仿宋" w:hAnsi="仿宋" w:eastAsia="仿宋"/>
          <w:color w:val="auto"/>
          <w:lang w:val="en-US" w:eastAsia="zh-CN"/>
        </w:rPr>
      </w:pPr>
      <w:r>
        <w:rPr>
          <w:rFonts w:hint="eastAsia" w:ascii="仿宋" w:hAnsi="仿宋" w:eastAsia="仿宋"/>
          <w:color w:val="auto"/>
          <w:lang w:val="en-US" w:eastAsia="zh-CN"/>
        </w:rPr>
        <w:t>备选方案 4：虽然建筑面积较小（2.20 万㎡），但车位数量不足，无法满足核心需求；商业部分的运营收益存在不确定性，且增加了后期管理与维护成本，整体经济性存疑。</w:t>
      </w:r>
    </w:p>
    <w:p w14:paraId="794583E6">
      <w:pPr>
        <w:numPr>
          <w:ilvl w:val="0"/>
          <w:numId w:val="17"/>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安全与运营维护</w:t>
      </w:r>
    </w:p>
    <w:p w14:paraId="1639F787">
      <w:p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本项目方案：结构简洁，通风、消防、疏散等系统设计合理，运营维护成本低，安全可控。</w:t>
      </w:r>
    </w:p>
    <w:p w14:paraId="5031F290">
      <w:pPr>
        <w:bidi w:val="0"/>
        <w:rPr>
          <w:rFonts w:hint="eastAsia" w:ascii="仿宋" w:hAnsi="仿宋" w:eastAsia="仿宋"/>
          <w:color w:val="auto"/>
          <w:lang w:val="en-US" w:eastAsia="zh-CN"/>
        </w:rPr>
      </w:pPr>
      <w:r>
        <w:rPr>
          <w:rFonts w:hint="eastAsia" w:ascii="仿宋" w:hAnsi="仿宋" w:eastAsia="仿宋"/>
          <w:color w:val="auto"/>
          <w:lang w:val="en-US" w:eastAsia="zh-CN"/>
        </w:rPr>
        <w:t>备选方案 1、2、3 ：层数多、埋深大，通风、排烟、疏散系统复杂，运营维护成本高，应急响应难度大。</w:t>
      </w:r>
    </w:p>
    <w:p w14:paraId="0EBF04A7">
      <w:pPr>
        <w:bidi w:val="0"/>
        <w:rPr>
          <w:rFonts w:hint="eastAsia" w:ascii="仿宋" w:hAnsi="仿宋" w:eastAsia="仿宋"/>
          <w:color w:val="auto"/>
          <w:lang w:val="en-US" w:eastAsia="zh-CN"/>
        </w:rPr>
      </w:pPr>
      <w:r>
        <w:rPr>
          <w:rFonts w:hint="eastAsia" w:ascii="仿宋" w:hAnsi="仿宋" w:eastAsia="仿宋"/>
          <w:color w:val="auto"/>
          <w:lang w:val="en-US" w:eastAsia="zh-CN"/>
        </w:rPr>
        <w:t>备选方案 4：商业与停车功能混合，消防与安全管理难度增加，后期运营维护成本较高。</w:t>
      </w:r>
    </w:p>
    <w:p w14:paraId="60EC6A52">
      <w:pPr>
        <w:keepNext w:val="0"/>
        <w:keepLines w:val="0"/>
        <w:pageBreakBefore w:val="0"/>
        <w:widowControl w:val="0"/>
        <w:numPr>
          <w:ilvl w:val="0"/>
          <w:numId w:val="15"/>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lang w:val="en-US" w:eastAsia="zh-CN"/>
        </w:rPr>
      </w:pPr>
      <w:r>
        <w:rPr>
          <w:rFonts w:hint="eastAsia" w:ascii="仿宋" w:hAnsi="仿宋" w:eastAsia="仿宋"/>
          <w:color w:val="auto"/>
          <w:lang w:val="en-US" w:eastAsia="zh-CN"/>
        </w:rPr>
        <w:t>比选结论与推荐理由</w:t>
      </w:r>
    </w:p>
    <w:p w14:paraId="69AD4CF6">
      <w:pPr>
        <w:bidi w:val="0"/>
        <w:rPr>
          <w:rFonts w:hint="eastAsia" w:ascii="仿宋" w:hAnsi="仿宋" w:eastAsia="仿宋"/>
          <w:color w:val="auto"/>
          <w:lang w:val="en-US" w:eastAsia="zh-CN"/>
        </w:rPr>
      </w:pPr>
      <w:r>
        <w:rPr>
          <w:rFonts w:hint="eastAsia" w:ascii="仿宋" w:hAnsi="仿宋" w:eastAsia="仿宋"/>
          <w:color w:val="auto"/>
          <w:lang w:val="en-US" w:eastAsia="zh-CN"/>
        </w:rPr>
        <w:t>综合评估，本项目方案在空间利用、功能适配、技术可行、经济合理及运营维护等方面均表现最优。</w:t>
      </w:r>
    </w:p>
    <w:p w14:paraId="7F6DC24A">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建设方案</w:t>
      </w:r>
      <w:bookmarkEnd w:id="71"/>
      <w:bookmarkEnd w:id="72"/>
    </w:p>
    <w:p w14:paraId="3EA0CFAF">
      <w:pPr>
        <w:bidi w:val="0"/>
        <w:rPr>
          <w:rFonts w:hint="default" w:ascii="仿宋" w:hAnsi="仿宋" w:eastAsia="仿宋"/>
          <w:color w:val="auto"/>
          <w:lang w:val="en-US" w:eastAsia="zh-CN"/>
        </w:rPr>
      </w:pPr>
      <w:r>
        <w:rPr>
          <w:rFonts w:hint="eastAsia" w:ascii="仿宋" w:hAnsi="仿宋" w:eastAsia="仿宋"/>
          <w:color w:val="auto"/>
          <w:lang w:val="en-US" w:eastAsia="zh-CN"/>
        </w:rPr>
        <w:t>2.2.11.1工程建设方案</w:t>
      </w:r>
    </w:p>
    <w:p w14:paraId="3D0C7381">
      <w:pPr>
        <w:bidi w:val="0"/>
        <w:rPr>
          <w:rFonts w:hint="eastAsia" w:ascii="仿宋" w:hAnsi="仿宋" w:eastAsia="仿宋"/>
          <w:color w:val="auto"/>
          <w:lang w:val="en-US" w:eastAsia="zh-CN"/>
        </w:rPr>
      </w:pPr>
      <w:r>
        <w:rPr>
          <w:rFonts w:hint="eastAsia" w:ascii="仿宋" w:hAnsi="仿宋" w:eastAsia="仿宋"/>
          <w:color w:val="auto"/>
          <w:lang w:val="en-US" w:eastAsia="zh-CN"/>
        </w:rPr>
        <w:t>为合理利用地上地下空间，使地下空间满足周边居民的停车需求，地上空间实现周边市民休闲文化等需求，方案埋深为9.2米，采用地下2层停车+地面公园。</w:t>
      </w:r>
    </w:p>
    <w:p w14:paraId="7D48CCFC">
      <w:pPr>
        <w:bidi w:val="0"/>
        <w:rPr>
          <w:rFonts w:hint="eastAsia" w:ascii="仿宋" w:hAnsi="仿宋" w:eastAsia="仿宋"/>
          <w:color w:val="auto"/>
          <w:lang w:val="en-US" w:eastAsia="zh-CN"/>
        </w:rPr>
      </w:pPr>
      <w:r>
        <w:rPr>
          <w:rFonts w:hint="eastAsia" w:ascii="仿宋" w:hAnsi="仿宋" w:eastAsia="仿宋"/>
          <w:color w:val="auto"/>
          <w:lang w:val="en-US" w:eastAsia="zh-CN"/>
        </w:rPr>
        <w:t>本项目地面在西侧上营胡同及北侧建设胡同这两条道路分别设置7米宽机动车双向出入口两处；地上公园采用绿化与硬质铺装结合的方式，充分考虑不同方向人流，共设置5处人行出入口交通核，其中，在地块四角各设置1处人行出入口，地块中部集中设置1处人行出入口。车行、人行出入口均与地上公园有机结合，人、机动车及入园游览流线均不交叉。本项目总平面图详见下图。</w:t>
      </w:r>
    </w:p>
    <w:p w14:paraId="2B9CA91A">
      <w:pPr>
        <w:bidi w:val="0"/>
        <w:spacing w:line="240" w:lineRule="auto"/>
        <w:ind w:left="0" w:leftChars="0" w:firstLine="0" w:firstLineChars="0"/>
        <w:rPr>
          <w:rFonts w:hint="eastAsia" w:ascii="仿宋" w:hAnsi="仿宋" w:eastAsia="仿宋"/>
          <w:color w:val="auto"/>
          <w:lang w:val="en-US" w:eastAsia="zh-CN"/>
        </w:rPr>
      </w:pPr>
      <w:r>
        <w:rPr>
          <w:rFonts w:hint="eastAsia" w:ascii="仿宋" w:hAnsi="仿宋" w:eastAsia="仿宋"/>
          <w:color w:val="auto"/>
          <w:lang w:val="en-US" w:eastAsia="zh-CN"/>
        </w:rPr>
        <w:drawing>
          <wp:inline distT="0" distB="0" distL="114300" distR="114300">
            <wp:extent cx="5274310" cy="3577590"/>
            <wp:effectExtent l="0" t="0" r="889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1"/>
                    <a:stretch>
                      <a:fillRect/>
                    </a:stretch>
                  </pic:blipFill>
                  <pic:spPr>
                    <a:xfrm>
                      <a:off x="0" y="0"/>
                      <a:ext cx="5274310" cy="3577590"/>
                    </a:xfrm>
                    <a:prstGeom prst="rect">
                      <a:avLst/>
                    </a:prstGeom>
                    <a:noFill/>
                    <a:ln>
                      <a:noFill/>
                    </a:ln>
                  </pic:spPr>
                </pic:pic>
              </a:graphicData>
            </a:graphic>
          </wp:inline>
        </w:drawing>
      </w:r>
    </w:p>
    <w:p w14:paraId="5FBD32A9">
      <w:pPr>
        <w:bidi w:val="0"/>
        <w:ind w:left="0" w:leftChars="0" w:firstLine="0" w:firstLineChars="0"/>
        <w:jc w:val="center"/>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图2-1项目总平面图</w:t>
      </w:r>
    </w:p>
    <w:p w14:paraId="1C40B81D">
      <w:pPr>
        <w:bidi w:val="0"/>
        <w:rPr>
          <w:rFonts w:hint="eastAsia" w:ascii="仿宋" w:hAnsi="仿宋" w:eastAsia="仿宋"/>
          <w:color w:val="auto"/>
          <w:lang w:val="en-US" w:eastAsia="zh-CN"/>
        </w:rPr>
      </w:pPr>
      <w:r>
        <w:rPr>
          <w:rFonts w:hint="eastAsia" w:ascii="仿宋" w:hAnsi="仿宋" w:eastAsia="仿宋"/>
          <w:color w:val="auto"/>
          <w:lang w:val="en-US" w:eastAsia="zh-CN"/>
        </w:rPr>
        <w:t>本项目建筑面积2.36万平方米，设计800个机动车停车位，停车位尺寸为2.4米×5.3（或5.1）米，地库内车道净宽不小于5.5米。场地满足地下停车、地面休闲等居民需求。本项目地下一层规划机动车停车位390个，建筑面积11823㎡。本项目地下一层平面图详见下图。</w:t>
      </w:r>
    </w:p>
    <w:p w14:paraId="07935EF6">
      <w:pPr>
        <w:bidi w:val="0"/>
        <w:ind w:left="0" w:leftChars="0" w:firstLine="0" w:firstLineChars="0"/>
        <w:jc w:val="both"/>
        <w:rPr>
          <w:rFonts w:hint="eastAsia" w:ascii="仿宋" w:hAnsi="仿宋" w:eastAsia="仿宋"/>
          <w:b/>
          <w:bCs/>
          <w:color w:val="auto"/>
          <w:sz w:val="24"/>
          <w:szCs w:val="24"/>
          <w:lang w:val="en-US" w:eastAsia="zh-CN"/>
        </w:rPr>
      </w:pPr>
    </w:p>
    <w:p w14:paraId="47A6E0E9">
      <w:pPr>
        <w:bidi w:val="0"/>
        <w:spacing w:line="240" w:lineRule="auto"/>
        <w:ind w:left="0" w:leftChars="0" w:firstLine="0" w:firstLineChars="0"/>
        <w:jc w:val="both"/>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drawing>
          <wp:inline distT="0" distB="0" distL="114300" distR="114300">
            <wp:extent cx="5274310" cy="3628390"/>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2"/>
                    <a:srcRect t="5413"/>
                    <a:stretch>
                      <a:fillRect/>
                    </a:stretch>
                  </pic:blipFill>
                  <pic:spPr>
                    <a:xfrm>
                      <a:off x="0" y="0"/>
                      <a:ext cx="5274310" cy="3628390"/>
                    </a:xfrm>
                    <a:prstGeom prst="rect">
                      <a:avLst/>
                    </a:prstGeom>
                    <a:noFill/>
                    <a:ln>
                      <a:noFill/>
                    </a:ln>
                  </pic:spPr>
                </pic:pic>
              </a:graphicData>
            </a:graphic>
          </wp:inline>
        </w:drawing>
      </w:r>
    </w:p>
    <w:p w14:paraId="4CEA95F8">
      <w:pPr>
        <w:bidi w:val="0"/>
        <w:ind w:left="0" w:leftChars="0" w:firstLine="0" w:firstLineChars="0"/>
        <w:jc w:val="center"/>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图2-2地下一层平面图</w:t>
      </w:r>
    </w:p>
    <w:p w14:paraId="79659B63">
      <w:pPr>
        <w:bidi w:val="0"/>
        <w:rPr>
          <w:rFonts w:hint="eastAsia" w:ascii="仿宋" w:hAnsi="仿宋" w:eastAsia="仿宋"/>
          <w:color w:val="auto"/>
          <w:lang w:val="en-US" w:eastAsia="zh-CN"/>
        </w:rPr>
      </w:pPr>
      <w:r>
        <w:rPr>
          <w:rFonts w:hint="eastAsia" w:ascii="仿宋" w:hAnsi="仿宋" w:eastAsia="仿宋"/>
          <w:color w:val="auto"/>
          <w:lang w:val="en-US" w:eastAsia="zh-CN"/>
        </w:rPr>
        <w:t>本项目地下二层规划机动车停车位410个，建筑面积11823㎡。本项目地下二层平面图详见下图。</w:t>
      </w:r>
    </w:p>
    <w:p w14:paraId="69688403">
      <w:pPr>
        <w:bidi w:val="0"/>
        <w:spacing w:line="240" w:lineRule="auto"/>
        <w:ind w:left="0" w:leftChars="0" w:firstLine="0" w:firstLineChars="0"/>
        <w:rPr>
          <w:rFonts w:hint="eastAsia" w:ascii="仿宋" w:hAnsi="仿宋" w:eastAsia="仿宋"/>
          <w:color w:val="auto"/>
          <w:lang w:val="en-US" w:eastAsia="zh-CN"/>
        </w:rPr>
      </w:pPr>
      <w:r>
        <w:rPr>
          <w:rFonts w:hint="eastAsia" w:ascii="仿宋" w:hAnsi="仿宋" w:eastAsia="仿宋"/>
          <w:color w:val="auto"/>
          <w:lang w:val="en-US" w:eastAsia="zh-CN"/>
        </w:rPr>
        <w:drawing>
          <wp:inline distT="0" distB="0" distL="114300" distR="114300">
            <wp:extent cx="5274310" cy="3630295"/>
            <wp:effectExtent l="0" t="0" r="8890" b="190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23"/>
                    <a:srcRect l="5214" t="5602" r="3561" b="3923"/>
                    <a:stretch>
                      <a:fillRect/>
                    </a:stretch>
                  </pic:blipFill>
                  <pic:spPr>
                    <a:xfrm>
                      <a:off x="0" y="0"/>
                      <a:ext cx="5274310" cy="3630295"/>
                    </a:xfrm>
                    <a:prstGeom prst="rect">
                      <a:avLst/>
                    </a:prstGeom>
                    <a:noFill/>
                    <a:ln>
                      <a:noFill/>
                    </a:ln>
                  </pic:spPr>
                </pic:pic>
              </a:graphicData>
            </a:graphic>
          </wp:inline>
        </w:drawing>
      </w:r>
    </w:p>
    <w:p w14:paraId="0D0CF554">
      <w:pPr>
        <w:bidi w:val="0"/>
        <w:ind w:left="0" w:leftChars="0" w:firstLine="0" w:firstLineChars="0"/>
        <w:jc w:val="center"/>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图2-3地下二层平面图</w:t>
      </w:r>
    </w:p>
    <w:p w14:paraId="512FE4B3">
      <w:pPr>
        <w:bidi w:val="0"/>
        <w:rPr>
          <w:rFonts w:hint="eastAsia" w:ascii="仿宋" w:hAnsi="仿宋" w:eastAsia="仿宋"/>
          <w:color w:val="auto"/>
          <w:lang w:val="en-US" w:eastAsia="zh-CN"/>
        </w:rPr>
      </w:pPr>
      <w:r>
        <w:rPr>
          <w:rFonts w:hint="eastAsia" w:ascii="仿宋" w:hAnsi="仿宋" w:eastAsia="仿宋"/>
          <w:color w:val="auto"/>
          <w:lang w:val="en-US" w:eastAsia="zh-CN"/>
        </w:rPr>
        <w:t>本项目地下停车场共2层，层高3.6米，地面公园覆土2米，地下埋深9.2米（底板顶）。本项目剖面图详见下图。</w:t>
      </w:r>
    </w:p>
    <w:p w14:paraId="24D92AD9">
      <w:pPr>
        <w:bidi w:val="0"/>
        <w:spacing w:line="240" w:lineRule="auto"/>
        <w:ind w:left="0" w:leftChars="0" w:firstLine="0" w:firstLineChars="0"/>
        <w:rPr>
          <w:rFonts w:hint="eastAsia" w:ascii="仿宋" w:hAnsi="仿宋" w:eastAsia="仿宋"/>
          <w:color w:val="auto"/>
          <w:lang w:val="en-US" w:eastAsia="zh-CN"/>
        </w:rPr>
      </w:pPr>
      <w:r>
        <w:rPr>
          <w:rFonts w:hint="eastAsia" w:ascii="仿宋" w:hAnsi="仿宋" w:eastAsia="仿宋"/>
          <w:color w:val="auto"/>
          <w:lang w:val="en-US" w:eastAsia="zh-CN"/>
        </w:rPr>
        <w:drawing>
          <wp:inline distT="0" distB="0" distL="114300" distR="114300">
            <wp:extent cx="5274310" cy="941705"/>
            <wp:effectExtent l="0" t="0" r="8890" b="1079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24"/>
                    <a:stretch>
                      <a:fillRect/>
                    </a:stretch>
                  </pic:blipFill>
                  <pic:spPr>
                    <a:xfrm>
                      <a:off x="0" y="0"/>
                      <a:ext cx="5274310" cy="941705"/>
                    </a:xfrm>
                    <a:prstGeom prst="rect">
                      <a:avLst/>
                    </a:prstGeom>
                    <a:noFill/>
                    <a:ln>
                      <a:noFill/>
                    </a:ln>
                  </pic:spPr>
                </pic:pic>
              </a:graphicData>
            </a:graphic>
          </wp:inline>
        </w:drawing>
      </w:r>
    </w:p>
    <w:p w14:paraId="5B195AC6">
      <w:pPr>
        <w:bidi w:val="0"/>
        <w:spacing w:line="240" w:lineRule="auto"/>
        <w:ind w:left="0" w:leftChars="0" w:firstLine="0" w:firstLineChars="0"/>
        <w:rPr>
          <w:rFonts w:hint="eastAsia" w:ascii="仿宋" w:hAnsi="仿宋" w:eastAsia="仿宋"/>
          <w:color w:val="auto"/>
          <w:lang w:val="en-US" w:eastAsia="zh-CN"/>
        </w:rPr>
      </w:pPr>
      <w:r>
        <w:rPr>
          <w:rFonts w:hint="eastAsia" w:ascii="仿宋" w:hAnsi="仿宋" w:eastAsia="仿宋"/>
          <w:color w:val="auto"/>
          <w:lang w:val="en-US" w:eastAsia="zh-CN"/>
        </w:rPr>
        <w:drawing>
          <wp:inline distT="0" distB="0" distL="114300" distR="114300">
            <wp:extent cx="5274310" cy="835660"/>
            <wp:effectExtent l="0" t="0" r="8890" b="254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25"/>
                    <a:stretch>
                      <a:fillRect/>
                    </a:stretch>
                  </pic:blipFill>
                  <pic:spPr>
                    <a:xfrm>
                      <a:off x="0" y="0"/>
                      <a:ext cx="5274310" cy="835660"/>
                    </a:xfrm>
                    <a:prstGeom prst="rect">
                      <a:avLst/>
                    </a:prstGeom>
                    <a:noFill/>
                    <a:ln>
                      <a:noFill/>
                    </a:ln>
                  </pic:spPr>
                </pic:pic>
              </a:graphicData>
            </a:graphic>
          </wp:inline>
        </w:drawing>
      </w:r>
    </w:p>
    <w:p w14:paraId="09FF6C3A">
      <w:pPr>
        <w:bidi w:val="0"/>
        <w:jc w:val="center"/>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图2-4剖面图</w:t>
      </w:r>
    </w:p>
    <w:p w14:paraId="514BE9FF">
      <w:pPr>
        <w:rPr>
          <w:rFonts w:hint="eastAsia" w:ascii="宋体" w:hAnsi="宋体" w:eastAsia="宋体" w:cs="宋体"/>
          <w:color w:val="auto"/>
          <w:lang w:val="en-US" w:eastAsia="zh-CN"/>
        </w:rPr>
      </w:pPr>
      <w:r>
        <w:rPr>
          <w:rFonts w:hint="eastAsia" w:ascii="宋体" w:hAnsi="宋体" w:eastAsia="宋体" w:cs="宋体"/>
          <w:b w:val="0"/>
          <w:bCs w:val="0"/>
          <w:color w:val="auto"/>
          <w:kern w:val="2"/>
          <w:sz w:val="28"/>
          <w:szCs w:val="28"/>
          <w:highlight w:val="none"/>
          <w:lang w:val="en-US" w:eastAsia="zh-CN" w:bidi="ar-SA"/>
        </w:rPr>
        <w:t>2.2.11.2</w:t>
      </w:r>
      <w:r>
        <w:rPr>
          <w:rFonts w:hint="eastAsia" w:ascii="宋体" w:hAnsi="宋体" w:eastAsia="宋体" w:cs="宋体"/>
          <w:color w:val="auto"/>
          <w:lang w:val="en-US" w:eastAsia="zh-CN"/>
        </w:rPr>
        <w:t>智能化</w:t>
      </w:r>
      <w:r>
        <w:rPr>
          <w:rFonts w:hint="eastAsia" w:ascii="宋体" w:hAnsi="宋体" w:eastAsia="宋体" w:cs="宋体"/>
          <w:b w:val="0"/>
          <w:bCs w:val="0"/>
          <w:color w:val="auto"/>
          <w:kern w:val="2"/>
          <w:sz w:val="28"/>
          <w:szCs w:val="28"/>
          <w:highlight w:val="none"/>
          <w:lang w:val="en-US" w:eastAsia="zh-CN" w:bidi="ar-SA"/>
        </w:rPr>
        <w:t>建设</w:t>
      </w:r>
      <w:r>
        <w:rPr>
          <w:rFonts w:hint="eastAsia" w:ascii="宋体" w:hAnsi="宋体" w:eastAsia="宋体" w:cs="宋体"/>
          <w:color w:val="auto"/>
          <w:lang w:val="en-US" w:eastAsia="zh-CN"/>
        </w:rPr>
        <w:t>方案</w:t>
      </w:r>
    </w:p>
    <w:p w14:paraId="20380508">
      <w:pPr>
        <w:bidi w:val="0"/>
        <w:rPr>
          <w:rFonts w:hint="eastAsia" w:ascii="仿宋" w:hAnsi="仿宋" w:eastAsia="仿宋" w:cs="仿宋"/>
          <w:color w:val="auto"/>
          <w:lang w:val="en-US" w:eastAsia="zh-CN"/>
        </w:rPr>
      </w:pPr>
      <w:r>
        <w:rPr>
          <w:rFonts w:hint="eastAsia" w:ascii="仿宋" w:hAnsi="仿宋" w:eastAsia="仿宋" w:cs="仿宋"/>
          <w:color w:val="auto"/>
          <w:lang w:val="en-US" w:eastAsia="zh-CN"/>
        </w:rPr>
        <w:t>本项目智能化系统涵盖楼宇自控及智慧停车系统，主要包括：①出入口智能管理系统、②车位引导系统、③智能收费与管理系统、④安防监控与报警系统、⑤建筑设备自控系统五个板块。</w:t>
      </w:r>
    </w:p>
    <w:p w14:paraId="597EFC5E">
      <w:pPr>
        <w:pStyle w:val="4"/>
        <w:keepNext w:val="0"/>
        <w:keepLines w:val="0"/>
        <w:widowControl/>
        <w:numPr>
          <w:ilvl w:val="2"/>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720" w:leftChars="0" w:right="0" w:rightChars="0" w:firstLine="560" w:firstLineChars="200"/>
        <w:jc w:val="left"/>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lang w:val="en-US" w:eastAsia="zh-CN"/>
        </w:rPr>
        <w:t>1</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出入口智能管理系统</w:t>
      </w:r>
    </w:p>
    <w:p w14:paraId="6BACA8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仿宋" w:hAnsi="仿宋" w:eastAsia="仿宋" w:cs="仿宋"/>
          <w:b w:val="0"/>
          <w:bCs w:val="0"/>
          <w:color w:val="auto"/>
          <w:sz w:val="28"/>
          <w:szCs w:val="28"/>
        </w:rPr>
      </w:pPr>
      <w:r>
        <w:rPr>
          <w:rFonts w:hint="eastAsia" w:ascii="仿宋" w:hAnsi="仿宋" w:eastAsia="仿宋" w:cs="仿宋"/>
          <w:b w:val="0"/>
          <w:bCs w:val="0"/>
          <w:color w:val="auto"/>
          <w:kern w:val="0"/>
          <w:sz w:val="28"/>
          <w:szCs w:val="28"/>
          <w:lang w:val="en-US" w:eastAsia="zh-CN" w:bidi="ar"/>
        </w:rPr>
        <w:t>负责车辆无感进出、权限与计费触发。</w:t>
      </w:r>
    </w:p>
    <w:p w14:paraId="026AF3D6">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kern w:val="0"/>
          <w:sz w:val="28"/>
          <w:szCs w:val="28"/>
          <w:lang w:val="en-US" w:eastAsia="zh-CN" w:bidi="ar"/>
        </w:rPr>
        <w:t>车牌识别一体机</w:t>
      </w:r>
      <w:r>
        <w:rPr>
          <w:rFonts w:hint="eastAsia" w:ascii="仿宋" w:hAnsi="仿宋" w:eastAsia="仿宋" w:cs="仿宋"/>
          <w:b w:val="0"/>
          <w:bCs w:val="0"/>
          <w:color w:val="auto"/>
          <w:kern w:val="0"/>
          <w:sz w:val="28"/>
          <w:szCs w:val="28"/>
          <w:lang w:val="en-US" w:eastAsia="zh-CN" w:bidi="ar"/>
        </w:rPr>
        <w:t>：高清抓拍、车牌识别、白名单/黑名单、图像对比。</w:t>
      </w:r>
    </w:p>
    <w:p w14:paraId="4B5BD422">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kern w:val="0"/>
          <w:sz w:val="28"/>
          <w:szCs w:val="28"/>
          <w:lang w:val="en-US" w:eastAsia="zh-CN" w:bidi="ar"/>
        </w:rPr>
        <w:t>智能道闸</w:t>
      </w:r>
      <w:r>
        <w:rPr>
          <w:rFonts w:hint="eastAsia" w:ascii="仿宋" w:hAnsi="仿宋" w:eastAsia="仿宋" w:cs="仿宋"/>
          <w:b w:val="0"/>
          <w:bCs w:val="0"/>
          <w:color w:val="auto"/>
          <w:kern w:val="0"/>
          <w:sz w:val="28"/>
          <w:szCs w:val="28"/>
          <w:lang w:val="en-US" w:eastAsia="zh-CN" w:bidi="ar"/>
        </w:rPr>
        <w:t>：直杆/栅栏/空降闸、防砸、地感线圈、高速启停。</w:t>
      </w:r>
    </w:p>
    <w:p w14:paraId="3092F993">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kern w:val="0"/>
          <w:sz w:val="28"/>
          <w:szCs w:val="28"/>
          <w:lang w:val="en-US" w:eastAsia="zh-CN" w:bidi="ar"/>
        </w:rPr>
        <w:t>ETC/蓝牙/射频识别</w:t>
      </w:r>
      <w:r>
        <w:rPr>
          <w:rFonts w:hint="eastAsia" w:ascii="仿宋" w:hAnsi="仿宋" w:eastAsia="仿宋" w:cs="仿宋"/>
          <w:b w:val="0"/>
          <w:bCs w:val="0"/>
          <w:color w:val="auto"/>
          <w:kern w:val="0"/>
          <w:sz w:val="28"/>
          <w:szCs w:val="28"/>
          <w:lang w:val="en-US" w:eastAsia="zh-CN" w:bidi="ar"/>
        </w:rPr>
        <w:t>：无感通行、月卡/储值车快速放行。</w:t>
      </w:r>
    </w:p>
    <w:p w14:paraId="308F53CF">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kern w:val="0"/>
          <w:sz w:val="28"/>
          <w:szCs w:val="28"/>
          <w:lang w:val="en-US" w:eastAsia="zh-CN" w:bidi="ar"/>
        </w:rPr>
        <w:t>语音+LED提示</w:t>
      </w:r>
      <w:r>
        <w:rPr>
          <w:rFonts w:hint="eastAsia" w:ascii="仿宋" w:hAnsi="仿宋" w:eastAsia="仿宋" w:cs="仿宋"/>
          <w:b w:val="0"/>
          <w:bCs w:val="0"/>
          <w:color w:val="auto"/>
          <w:kern w:val="0"/>
          <w:sz w:val="28"/>
          <w:szCs w:val="28"/>
          <w:lang w:val="en-US" w:eastAsia="zh-CN" w:bidi="ar"/>
        </w:rPr>
        <w:t>：剩余车位、收费标准、欢迎/离场提示。</w:t>
      </w:r>
    </w:p>
    <w:p w14:paraId="2798F8BE">
      <w:pPr>
        <w:pStyle w:val="4"/>
        <w:keepNext w:val="0"/>
        <w:keepLines w:val="0"/>
        <w:widowControl/>
        <w:numPr>
          <w:ilvl w:val="2"/>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720" w:leftChars="0" w:right="0" w:rightChars="0" w:firstLine="560" w:firstLineChars="200"/>
        <w:jc w:val="left"/>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lang w:val="en-US" w:eastAsia="zh-CN"/>
        </w:rPr>
        <w:t>2</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车位引导系统</w:t>
      </w:r>
    </w:p>
    <w:p w14:paraId="1E8EBB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车位引导（从入口到空位）</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kern w:val="0"/>
          <w:sz w:val="28"/>
          <w:szCs w:val="28"/>
          <w:lang w:val="en-US" w:eastAsia="zh-CN" w:bidi="ar"/>
        </w:rPr>
        <w:t>解决找位难。</w:t>
      </w:r>
    </w:p>
    <w:p w14:paraId="229C0EB3">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kern w:val="0"/>
          <w:sz w:val="28"/>
          <w:szCs w:val="28"/>
          <w:lang w:val="en-US" w:eastAsia="zh-CN" w:bidi="ar"/>
        </w:rPr>
        <w:t>入口/楼层引导屏</w:t>
      </w:r>
      <w:r>
        <w:rPr>
          <w:rFonts w:hint="eastAsia" w:ascii="仿宋" w:hAnsi="仿宋" w:eastAsia="仿宋" w:cs="仿宋"/>
          <w:b w:val="0"/>
          <w:bCs w:val="0"/>
          <w:color w:val="auto"/>
          <w:kern w:val="0"/>
          <w:sz w:val="28"/>
          <w:szCs w:val="28"/>
          <w:lang w:val="en-US" w:eastAsia="zh-CN" w:bidi="ar"/>
        </w:rPr>
        <w:t>：实时显示各层空车位数量。</w:t>
      </w:r>
    </w:p>
    <w:p w14:paraId="265D3F75">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rightChars="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kern w:val="0"/>
          <w:sz w:val="28"/>
          <w:szCs w:val="28"/>
          <w:lang w:val="en-US" w:eastAsia="zh-CN" w:bidi="ar"/>
        </w:rPr>
        <w:t>区域/车道引导屏</w:t>
      </w:r>
      <w:r>
        <w:rPr>
          <w:rFonts w:hint="eastAsia" w:ascii="仿宋" w:hAnsi="仿宋" w:eastAsia="仿宋" w:cs="仿宋"/>
          <w:b w:val="0"/>
          <w:bCs w:val="0"/>
          <w:color w:val="auto"/>
          <w:kern w:val="0"/>
          <w:sz w:val="28"/>
          <w:szCs w:val="28"/>
          <w:lang w:val="en-US" w:eastAsia="zh-CN" w:bidi="ar"/>
        </w:rPr>
        <w:t>：指引空车位方向。</w:t>
      </w:r>
    </w:p>
    <w:p w14:paraId="0C595BCE">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kern w:val="0"/>
          <w:sz w:val="28"/>
          <w:szCs w:val="28"/>
          <w:lang w:val="en-US" w:eastAsia="zh-CN" w:bidi="ar"/>
        </w:rPr>
        <w:t>车位探测器</w:t>
      </w:r>
      <w:r>
        <w:rPr>
          <w:rFonts w:hint="eastAsia" w:ascii="仿宋" w:hAnsi="仿宋" w:eastAsia="仿宋" w:cs="仿宋"/>
          <w:b w:val="0"/>
          <w:bCs w:val="0"/>
          <w:color w:val="auto"/>
          <w:kern w:val="0"/>
          <w:sz w:val="28"/>
          <w:szCs w:val="28"/>
          <w:lang w:val="en-US" w:eastAsia="zh-CN" w:bidi="ar"/>
        </w:rPr>
        <w:t>：超声波探测器：车位上方安装，亮红灯/绿灯/黄灯指示占用/空闲/故障。</w:t>
      </w:r>
    </w:p>
    <w:p w14:paraId="13A1BE22">
      <w:pPr>
        <w:pStyle w:val="4"/>
        <w:keepNext w:val="0"/>
        <w:keepLines w:val="0"/>
        <w:widowControl/>
        <w:numPr>
          <w:ilvl w:val="2"/>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720" w:leftChars="0" w:right="0" w:rightChars="0" w:firstLine="560" w:firstLineChars="200"/>
        <w:jc w:val="left"/>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lang w:val="en-US" w:eastAsia="zh-CN"/>
        </w:rPr>
        <w:t>3</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智能收费与管理系统</w:t>
      </w:r>
    </w:p>
    <w:p w14:paraId="28DFA0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仿宋" w:hAnsi="仿宋" w:eastAsia="仿宋" w:cs="仿宋"/>
          <w:b w:val="0"/>
          <w:bCs w:val="0"/>
          <w:color w:val="auto"/>
          <w:sz w:val="28"/>
          <w:szCs w:val="28"/>
        </w:rPr>
      </w:pPr>
      <w:r>
        <w:rPr>
          <w:rFonts w:hint="eastAsia" w:ascii="仿宋" w:hAnsi="仿宋" w:eastAsia="仿宋" w:cs="仿宋"/>
          <w:b w:val="0"/>
          <w:bCs w:val="0"/>
          <w:color w:val="auto"/>
          <w:kern w:val="0"/>
          <w:sz w:val="28"/>
          <w:szCs w:val="28"/>
          <w:lang w:val="en-US" w:eastAsia="zh-CN" w:bidi="ar"/>
        </w:rPr>
        <w:t>无人值守、多种支付、防漏洞。</w:t>
      </w:r>
    </w:p>
    <w:p w14:paraId="79B7F061">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kern w:val="0"/>
          <w:sz w:val="28"/>
          <w:szCs w:val="28"/>
          <w:lang w:val="en-US" w:eastAsia="zh-CN" w:bidi="ar"/>
        </w:rPr>
        <w:t>收费模式</w:t>
      </w:r>
      <w:r>
        <w:rPr>
          <w:rFonts w:hint="eastAsia" w:ascii="仿宋" w:hAnsi="仿宋" w:eastAsia="仿宋" w:cs="仿宋"/>
          <w:b w:val="0"/>
          <w:bCs w:val="0"/>
          <w:color w:val="auto"/>
          <w:kern w:val="0"/>
          <w:sz w:val="28"/>
          <w:szCs w:val="28"/>
          <w:lang w:val="en-US" w:eastAsia="zh-CN" w:bidi="ar"/>
        </w:rPr>
        <w:t>：临时计时、长租/月卡/季卡/年卡、储值、会员、分时/分段计费。</w:t>
      </w:r>
    </w:p>
    <w:p w14:paraId="79E88DAC">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kern w:val="0"/>
          <w:sz w:val="28"/>
          <w:szCs w:val="28"/>
          <w:lang w:val="en-US" w:eastAsia="zh-CN" w:bidi="ar"/>
        </w:rPr>
        <w:t>支付方式</w:t>
      </w:r>
      <w:r>
        <w:rPr>
          <w:rFonts w:hint="eastAsia" w:ascii="仿宋" w:hAnsi="仿宋" w:eastAsia="仿宋" w:cs="仿宋"/>
          <w:b w:val="0"/>
          <w:bCs w:val="0"/>
          <w:color w:val="auto"/>
          <w:kern w:val="0"/>
          <w:sz w:val="28"/>
          <w:szCs w:val="28"/>
          <w:lang w:val="en-US" w:eastAsia="zh-CN" w:bidi="ar"/>
        </w:rPr>
        <w:t>：微信/支付宝扫码、无感支付（车牌/ETC）。</w:t>
      </w:r>
    </w:p>
    <w:p w14:paraId="34A2CCBB">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kern w:val="0"/>
          <w:sz w:val="28"/>
          <w:szCs w:val="28"/>
          <w:lang w:val="en-US" w:eastAsia="zh-CN" w:bidi="ar"/>
        </w:rPr>
        <w:t>对账与报表</w:t>
      </w:r>
      <w:r>
        <w:rPr>
          <w:rFonts w:hint="eastAsia" w:ascii="仿宋" w:hAnsi="仿宋" w:eastAsia="仿宋" w:cs="仿宋"/>
          <w:b w:val="0"/>
          <w:bCs w:val="0"/>
          <w:color w:val="auto"/>
          <w:kern w:val="0"/>
          <w:sz w:val="28"/>
          <w:szCs w:val="28"/>
          <w:lang w:val="en-US" w:eastAsia="zh-CN" w:bidi="ar"/>
        </w:rPr>
        <w:t>：自动生成营收报表、车流分析、异常订单预警。</w:t>
      </w:r>
    </w:p>
    <w:p w14:paraId="55E942B4">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kern w:val="0"/>
          <w:sz w:val="28"/>
          <w:szCs w:val="28"/>
          <w:lang w:val="en-US" w:eastAsia="zh-CN" w:bidi="ar"/>
        </w:rPr>
        <w:t>防作弊</w:t>
      </w:r>
      <w:r>
        <w:rPr>
          <w:rFonts w:hint="eastAsia" w:ascii="仿宋" w:hAnsi="仿宋" w:eastAsia="仿宋" w:cs="仿宋"/>
          <w:b w:val="0"/>
          <w:bCs w:val="0"/>
          <w:color w:val="auto"/>
          <w:kern w:val="0"/>
          <w:sz w:val="28"/>
          <w:szCs w:val="28"/>
          <w:lang w:val="en-US" w:eastAsia="zh-CN" w:bidi="ar"/>
        </w:rPr>
        <w:t>：车牌+图像比对、防逃费、超时滞留预警。</w:t>
      </w:r>
    </w:p>
    <w:p w14:paraId="1309CD90">
      <w:pPr>
        <w:pStyle w:val="4"/>
        <w:keepNext w:val="0"/>
        <w:keepLines w:val="0"/>
        <w:widowControl/>
        <w:numPr>
          <w:ilvl w:val="2"/>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720" w:leftChars="0" w:right="0" w:rightChars="0" w:firstLine="560" w:firstLineChars="200"/>
        <w:jc w:val="left"/>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lang w:val="en-US" w:eastAsia="zh-CN"/>
        </w:rPr>
        <w:t>4</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安防监控与报警系统</w:t>
      </w:r>
    </w:p>
    <w:p w14:paraId="04DD2D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仿宋" w:hAnsi="仿宋" w:eastAsia="仿宋" w:cs="仿宋"/>
          <w:b w:val="0"/>
          <w:bCs w:val="0"/>
          <w:color w:val="auto"/>
          <w:sz w:val="28"/>
          <w:szCs w:val="28"/>
        </w:rPr>
      </w:pPr>
      <w:r>
        <w:rPr>
          <w:rFonts w:hint="eastAsia" w:ascii="仿宋" w:hAnsi="仿宋" w:eastAsia="仿宋" w:cs="仿宋"/>
          <w:b w:val="0"/>
          <w:bCs w:val="0"/>
          <w:color w:val="auto"/>
          <w:kern w:val="0"/>
          <w:sz w:val="28"/>
          <w:szCs w:val="28"/>
          <w:lang w:val="en-US" w:eastAsia="zh-CN" w:bidi="ar"/>
        </w:rPr>
        <w:t>联动报警、事后追溯全覆盖。</w:t>
      </w:r>
    </w:p>
    <w:p w14:paraId="54A85285">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消防智能联动：烟感报警后系统自动执行整套消防动作；积水防汛联动（水位超标联动）；设备状态实时监控。</w:t>
      </w:r>
    </w:p>
    <w:p w14:paraId="5B627952">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kern w:val="0"/>
          <w:sz w:val="28"/>
          <w:szCs w:val="28"/>
          <w:lang w:val="en-US" w:eastAsia="zh-CN" w:bidi="ar"/>
        </w:rPr>
        <w:t>高清视频监控</w:t>
      </w:r>
      <w:r>
        <w:rPr>
          <w:rFonts w:hint="eastAsia" w:ascii="仿宋" w:hAnsi="仿宋" w:eastAsia="仿宋" w:cs="仿宋"/>
          <w:b w:val="0"/>
          <w:bCs w:val="0"/>
          <w:color w:val="auto"/>
          <w:kern w:val="0"/>
          <w:sz w:val="28"/>
          <w:szCs w:val="28"/>
          <w:lang w:val="en-US" w:eastAsia="zh-CN" w:bidi="ar"/>
        </w:rPr>
        <w:t>：出入口、车道、车位、电梯、楼梯口全覆盖；AI智能分析（越界、逆行、遗留物、长时间滞留）。</w:t>
      </w:r>
    </w:p>
    <w:p w14:paraId="7F388396">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kern w:val="0"/>
          <w:sz w:val="28"/>
          <w:szCs w:val="28"/>
          <w:lang w:val="en-US" w:eastAsia="zh-CN" w:bidi="ar"/>
        </w:rPr>
        <w:t>入侵报警</w:t>
      </w:r>
      <w:r>
        <w:rPr>
          <w:rFonts w:hint="eastAsia" w:ascii="仿宋" w:hAnsi="仿宋" w:eastAsia="仿宋" w:cs="仿宋"/>
          <w:b w:val="0"/>
          <w:bCs w:val="0"/>
          <w:color w:val="auto"/>
          <w:kern w:val="0"/>
          <w:sz w:val="28"/>
          <w:szCs w:val="28"/>
          <w:lang w:val="en-US" w:eastAsia="zh-CN" w:bidi="ar"/>
        </w:rPr>
        <w:t>：周界红外/激光对射、紧急按钮、声光报警。</w:t>
      </w:r>
    </w:p>
    <w:p w14:paraId="3B61F1AB">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kern w:val="0"/>
          <w:sz w:val="28"/>
          <w:szCs w:val="28"/>
          <w:lang w:val="en-US" w:eastAsia="zh-CN" w:bidi="ar"/>
        </w:rPr>
        <w:t>车位占用报警</w:t>
      </w:r>
      <w:r>
        <w:rPr>
          <w:rFonts w:hint="eastAsia" w:ascii="仿宋" w:hAnsi="仿宋" w:eastAsia="仿宋" w:cs="仿宋"/>
          <w:b w:val="0"/>
          <w:bCs w:val="0"/>
          <w:color w:val="auto"/>
          <w:kern w:val="0"/>
          <w:sz w:val="28"/>
          <w:szCs w:val="28"/>
          <w:lang w:val="en-US" w:eastAsia="zh-CN" w:bidi="ar"/>
        </w:rPr>
        <w:t>：异常停车预警。</w:t>
      </w:r>
    </w:p>
    <w:p w14:paraId="79D63440">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烟感报警：早期火情预警；精准定位起火区域。</w:t>
      </w:r>
    </w:p>
    <w:p w14:paraId="7C91886E">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水位监测：内涝提前预警，防止车辆泡水；自动管控排水设备；设置三级水位：提醒水位（巡查）、警戒水位（关入口+强排水）、危险水位（通知车主挪车、封闭车库），分层管控风险。</w:t>
      </w:r>
    </w:p>
    <w:p w14:paraId="34152A9B">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sz w:val="28"/>
          <w:szCs w:val="32"/>
          <w:lang w:val="en-US" w:eastAsia="zh-CN"/>
        </w:rPr>
        <w:t>消防器材：运营期间</w:t>
      </w:r>
      <w:r>
        <w:rPr>
          <w:rFonts w:hint="eastAsia" w:ascii="仿宋" w:hAnsi="仿宋" w:eastAsia="仿宋" w:cs="仿宋"/>
          <w:b w:val="0"/>
          <w:bCs w:val="0"/>
          <w:color w:val="auto"/>
          <w:sz w:val="28"/>
          <w:szCs w:val="32"/>
        </w:rPr>
        <w:t>充电桩区域配置消防应急器材</w:t>
      </w:r>
      <w:r>
        <w:rPr>
          <w:rFonts w:hint="eastAsia" w:ascii="仿宋" w:hAnsi="仿宋" w:eastAsia="仿宋" w:cs="仿宋"/>
          <w:b w:val="0"/>
          <w:bCs w:val="0"/>
          <w:color w:val="auto"/>
          <w:sz w:val="28"/>
          <w:szCs w:val="32"/>
          <w:lang w:eastAsia="zh-CN"/>
        </w:rPr>
        <w:t>。</w:t>
      </w:r>
    </w:p>
    <w:p w14:paraId="5978119A">
      <w:pPr>
        <w:pStyle w:val="4"/>
        <w:keepNext w:val="0"/>
        <w:keepLines w:val="0"/>
        <w:widowControl/>
        <w:numPr>
          <w:ilvl w:val="2"/>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720" w:leftChars="0" w:right="0" w:rightChars="0" w:firstLine="560" w:firstLineChars="200"/>
        <w:jc w:val="left"/>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lang w:val="en-US" w:eastAsia="zh-CN"/>
        </w:rPr>
        <w:t>5</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建筑设备自控系统</w:t>
      </w:r>
    </w:p>
    <w:p w14:paraId="287CD5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仿宋" w:hAnsi="仿宋" w:eastAsia="仿宋" w:cs="仿宋"/>
          <w:b w:val="0"/>
          <w:bCs w:val="0"/>
          <w:color w:val="auto"/>
          <w:sz w:val="28"/>
          <w:szCs w:val="28"/>
        </w:rPr>
      </w:pPr>
      <w:r>
        <w:rPr>
          <w:rFonts w:hint="eastAsia" w:ascii="仿宋" w:hAnsi="仿宋" w:eastAsia="仿宋" w:cs="仿宋"/>
          <w:b w:val="0"/>
          <w:bCs w:val="0"/>
          <w:color w:val="auto"/>
          <w:kern w:val="0"/>
          <w:sz w:val="28"/>
          <w:szCs w:val="28"/>
          <w:lang w:val="en-US" w:eastAsia="zh-CN" w:bidi="ar"/>
        </w:rPr>
        <w:t>停车楼机电设备智能管控。</w:t>
      </w:r>
    </w:p>
    <w:p w14:paraId="1B5D8775">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kern w:val="0"/>
          <w:sz w:val="28"/>
          <w:szCs w:val="28"/>
          <w:lang w:val="en-US" w:eastAsia="zh-CN" w:bidi="ar"/>
        </w:rPr>
        <w:t>智能照明</w:t>
      </w:r>
      <w:r>
        <w:rPr>
          <w:rFonts w:hint="eastAsia" w:ascii="仿宋" w:hAnsi="仿宋" w:eastAsia="仿宋" w:cs="仿宋"/>
          <w:b w:val="0"/>
          <w:bCs w:val="0"/>
          <w:color w:val="auto"/>
          <w:kern w:val="0"/>
          <w:sz w:val="28"/>
          <w:szCs w:val="28"/>
          <w:lang w:val="en-US" w:eastAsia="zh-CN" w:bidi="ar"/>
        </w:rPr>
        <w:t>：车位/通道感应开灯、分时段调光、故障报警。</w:t>
      </w:r>
    </w:p>
    <w:p w14:paraId="3744D96D">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kern w:val="0"/>
          <w:sz w:val="28"/>
          <w:szCs w:val="28"/>
          <w:lang w:val="en-US" w:eastAsia="zh-CN" w:bidi="ar"/>
        </w:rPr>
        <w:t>通风/排烟</w:t>
      </w:r>
      <w:r>
        <w:rPr>
          <w:rFonts w:hint="eastAsia" w:ascii="仿宋" w:hAnsi="仿宋" w:eastAsia="仿宋" w:cs="仿宋"/>
          <w:b w:val="0"/>
          <w:bCs w:val="0"/>
          <w:color w:val="auto"/>
          <w:kern w:val="0"/>
          <w:sz w:val="28"/>
          <w:szCs w:val="28"/>
          <w:lang w:val="en-US" w:eastAsia="zh-CN" w:bidi="ar"/>
        </w:rPr>
        <w:t>：CO浓度联动风机、定时启停、消防联动。</w:t>
      </w:r>
    </w:p>
    <w:p w14:paraId="16B237E1">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kern w:val="0"/>
          <w:sz w:val="28"/>
          <w:szCs w:val="28"/>
          <w:lang w:val="en-US" w:eastAsia="zh-CN" w:bidi="ar"/>
        </w:rPr>
        <w:t>电梯智能调度</w:t>
      </w:r>
      <w:r>
        <w:rPr>
          <w:rFonts w:hint="eastAsia" w:ascii="仿宋" w:hAnsi="仿宋" w:eastAsia="仿宋" w:cs="仿宋"/>
          <w:b w:val="0"/>
          <w:bCs w:val="0"/>
          <w:color w:val="auto"/>
          <w:kern w:val="0"/>
          <w:sz w:val="28"/>
          <w:szCs w:val="28"/>
          <w:lang w:val="en-US" w:eastAsia="zh-CN" w:bidi="ar"/>
        </w:rPr>
        <w:t>：车牌联动派梯、人车分流、载重监控、故障预警。</w:t>
      </w:r>
    </w:p>
    <w:p w14:paraId="353FA28D">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kern w:val="0"/>
          <w:sz w:val="28"/>
          <w:szCs w:val="28"/>
          <w:lang w:val="en-US" w:eastAsia="zh-CN" w:bidi="ar"/>
        </w:rPr>
        <w:t>能耗监测</w:t>
      </w:r>
      <w:r>
        <w:rPr>
          <w:rFonts w:hint="eastAsia" w:ascii="仿宋" w:hAnsi="仿宋" w:eastAsia="仿宋" w:cs="仿宋"/>
          <w:b w:val="0"/>
          <w:bCs w:val="0"/>
          <w:color w:val="auto"/>
          <w:kern w:val="0"/>
          <w:sz w:val="28"/>
          <w:szCs w:val="28"/>
          <w:lang w:val="en-US" w:eastAsia="zh-CN" w:bidi="ar"/>
        </w:rPr>
        <w:t>：水电表远程抄表、能耗分析、节能报表。</w:t>
      </w:r>
    </w:p>
    <w:p w14:paraId="528AD700">
      <w:pPr>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Fonts w:hint="eastAsia" w:ascii="仿宋" w:hAnsi="仿宋" w:eastAsia="仿宋" w:cs="仿宋"/>
          <w:b w:val="0"/>
          <w:bCs w:val="0"/>
          <w:color w:val="auto"/>
          <w:kern w:val="0"/>
          <w:sz w:val="28"/>
          <w:szCs w:val="28"/>
          <w:lang w:val="en-US" w:eastAsia="zh-CN" w:bidi="ar"/>
        </w:rPr>
        <w:t>统一管理、数据打通、远程运维。</w:t>
      </w:r>
    </w:p>
    <w:p w14:paraId="72BC8D1D">
      <w:pPr>
        <w:keepNext w:val="0"/>
        <w:keepLines w:val="0"/>
        <w:widowControl/>
        <w:numPr>
          <w:ilvl w:val="0"/>
          <w:numId w:val="19"/>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560" w:firstLineChars="20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sz w:val="28"/>
          <w:szCs w:val="28"/>
        </w:rPr>
        <w:t>系统管理</w:t>
      </w:r>
      <w:r>
        <w:rPr>
          <w:rFonts w:hint="eastAsia" w:ascii="仿宋" w:hAnsi="仿宋" w:eastAsia="仿宋" w:cs="仿宋"/>
          <w:b w:val="0"/>
          <w:bCs w:val="0"/>
          <w:color w:val="auto"/>
          <w:sz w:val="28"/>
          <w:szCs w:val="28"/>
        </w:rPr>
        <w:t>：设备状态监控、参数配置、权限管理、日志审计。</w:t>
      </w:r>
    </w:p>
    <w:p w14:paraId="6EFFA180">
      <w:pPr>
        <w:keepNext w:val="0"/>
        <w:keepLines w:val="0"/>
        <w:widowControl/>
        <w:numPr>
          <w:ilvl w:val="0"/>
          <w:numId w:val="19"/>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560" w:firstLineChars="20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sz w:val="28"/>
          <w:szCs w:val="28"/>
        </w:rPr>
        <w:t>数据中心</w:t>
      </w:r>
      <w:r>
        <w:rPr>
          <w:rFonts w:hint="eastAsia" w:ascii="仿宋" w:hAnsi="仿宋" w:eastAsia="仿宋" w:cs="仿宋"/>
          <w:b w:val="0"/>
          <w:bCs w:val="0"/>
          <w:color w:val="auto"/>
          <w:sz w:val="28"/>
          <w:szCs w:val="28"/>
        </w:rPr>
        <w:t>：车流、车位、营收、能耗数据统计分析，生成热力图</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报表。</w:t>
      </w:r>
    </w:p>
    <w:p w14:paraId="4F825EEE">
      <w:pPr>
        <w:keepNext w:val="0"/>
        <w:keepLines w:val="0"/>
        <w:widowControl/>
        <w:numPr>
          <w:ilvl w:val="0"/>
          <w:numId w:val="19"/>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560" w:firstLineChars="20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sz w:val="28"/>
          <w:szCs w:val="28"/>
        </w:rPr>
        <w:t>远程运维</w:t>
      </w:r>
      <w:r>
        <w:rPr>
          <w:rFonts w:hint="eastAsia" w:ascii="仿宋" w:hAnsi="仿宋" w:eastAsia="仿宋" w:cs="仿宋"/>
          <w:b w:val="0"/>
          <w:bCs w:val="0"/>
          <w:color w:val="auto"/>
          <w:sz w:val="28"/>
          <w:szCs w:val="28"/>
        </w:rPr>
        <w:t>：远程诊断、升级、故障报警推送，减少现场维护。</w:t>
      </w:r>
    </w:p>
    <w:p w14:paraId="44060338">
      <w:pPr>
        <w:pStyle w:val="4"/>
        <w:keepNext w:val="0"/>
        <w:keepLines w:val="0"/>
        <w:widowControl/>
        <w:numPr>
          <w:ilvl w:val="2"/>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720" w:leftChars="0" w:right="0" w:rightChars="0" w:firstLine="560" w:firstLineChars="200"/>
        <w:jc w:val="left"/>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val="en-US" w:eastAsia="zh-CN"/>
        </w:rPr>
        <w:t>（6）</w:t>
      </w:r>
      <w:r>
        <w:rPr>
          <w:rFonts w:hint="eastAsia" w:ascii="仿宋" w:hAnsi="仿宋" w:eastAsia="仿宋" w:cs="仿宋"/>
          <w:b w:val="0"/>
          <w:bCs w:val="0"/>
          <w:color w:val="auto"/>
          <w:sz w:val="28"/>
          <w:szCs w:val="28"/>
        </w:rPr>
        <w:t>配套设施</w:t>
      </w:r>
    </w:p>
    <w:p w14:paraId="388AA947">
      <w:pPr>
        <w:keepNext w:val="0"/>
        <w:keepLines w:val="0"/>
        <w:widowControl/>
        <w:numPr>
          <w:ilvl w:val="0"/>
          <w:numId w:val="2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sz w:val="28"/>
          <w:szCs w:val="28"/>
        </w:rPr>
        <w:t>网络系统</w:t>
      </w:r>
      <w:r>
        <w:rPr>
          <w:rFonts w:hint="eastAsia" w:ascii="仿宋" w:hAnsi="仿宋" w:eastAsia="仿宋" w:cs="仿宋"/>
          <w:b w:val="0"/>
          <w:bCs w:val="0"/>
          <w:color w:val="auto"/>
          <w:sz w:val="28"/>
          <w:szCs w:val="28"/>
        </w:rPr>
        <w:t>：千兆局域网、无线</w:t>
      </w:r>
      <w:r>
        <w:rPr>
          <w:rFonts w:hint="eastAsia" w:ascii="仿宋" w:hAnsi="仿宋" w:eastAsia="仿宋" w:cs="仿宋"/>
          <w:b w:val="0"/>
          <w:bCs w:val="0"/>
          <w:color w:val="auto"/>
          <w:sz w:val="28"/>
          <w:szCs w:val="28"/>
          <w:lang w:eastAsia="zh-CN"/>
        </w:rPr>
        <w:t>Wi-Fi</w:t>
      </w:r>
      <w:r>
        <w:rPr>
          <w:rFonts w:hint="eastAsia" w:ascii="仿宋" w:hAnsi="仿宋" w:eastAsia="仿宋" w:cs="仿宋"/>
          <w:b w:val="0"/>
          <w:bCs w:val="0"/>
          <w:color w:val="auto"/>
          <w:sz w:val="28"/>
          <w:szCs w:val="28"/>
        </w:rPr>
        <w:t>覆盖、4G/5G备份链路。</w:t>
      </w:r>
    </w:p>
    <w:p w14:paraId="5347DA9B">
      <w:pPr>
        <w:keepNext w:val="0"/>
        <w:keepLines w:val="0"/>
        <w:widowControl/>
        <w:numPr>
          <w:ilvl w:val="0"/>
          <w:numId w:val="2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sz w:val="28"/>
          <w:szCs w:val="28"/>
        </w:rPr>
        <w:t>供电系统</w:t>
      </w:r>
      <w:r>
        <w:rPr>
          <w:rFonts w:hint="eastAsia" w:ascii="仿宋" w:hAnsi="仿宋" w:eastAsia="仿宋" w:cs="仿宋"/>
          <w:b w:val="0"/>
          <w:bCs w:val="0"/>
          <w:color w:val="auto"/>
          <w:sz w:val="28"/>
          <w:szCs w:val="28"/>
        </w:rPr>
        <w:t>：UPS备用电源、设备集中供电、防雷接地。</w:t>
      </w:r>
    </w:p>
    <w:p w14:paraId="452CA17A">
      <w:pPr>
        <w:keepNext w:val="0"/>
        <w:keepLines w:val="0"/>
        <w:widowControl/>
        <w:numPr>
          <w:ilvl w:val="0"/>
          <w:numId w:val="2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420" w:leftChars="0" w:right="0" w:hanging="420" w:firstLineChars="0"/>
        <w:jc w:val="left"/>
        <w:rPr>
          <w:rFonts w:hint="eastAsia" w:ascii="仿宋" w:hAnsi="仿宋" w:eastAsia="仿宋" w:cs="仿宋"/>
          <w:b w:val="0"/>
          <w:bCs w:val="0"/>
          <w:color w:val="auto"/>
          <w:sz w:val="28"/>
          <w:szCs w:val="28"/>
        </w:rPr>
      </w:pPr>
      <w:r>
        <w:rPr>
          <w:rStyle w:val="34"/>
          <w:rFonts w:hint="eastAsia" w:ascii="仿宋" w:hAnsi="仿宋" w:eastAsia="仿宋" w:cs="仿宋"/>
          <w:b w:val="0"/>
          <w:bCs w:val="0"/>
          <w:color w:val="auto"/>
          <w:sz w:val="28"/>
          <w:szCs w:val="28"/>
        </w:rPr>
        <w:t>布线与桥架</w:t>
      </w:r>
      <w:r>
        <w:rPr>
          <w:rFonts w:hint="eastAsia" w:ascii="仿宋" w:hAnsi="仿宋" w:eastAsia="仿宋" w:cs="仿宋"/>
          <w:b w:val="0"/>
          <w:bCs w:val="0"/>
          <w:color w:val="auto"/>
          <w:sz w:val="28"/>
          <w:szCs w:val="28"/>
        </w:rPr>
        <w:t>：强弱电分离、线槽</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线管、标识规范。</w:t>
      </w:r>
    </w:p>
    <w:bookmarkEnd w:id="73"/>
    <w:p w14:paraId="7FCA7A2D">
      <w:pPr>
        <w:pStyle w:val="4"/>
        <w:bidi w:val="0"/>
        <w:ind w:left="720" w:hanging="720"/>
        <w:rPr>
          <w:rFonts w:hint="eastAsia" w:ascii="仿宋" w:hAnsi="仿宋" w:eastAsia="仿宋"/>
          <w:color w:val="auto"/>
          <w:lang w:val="en-US" w:eastAsia="zh-CN"/>
        </w:rPr>
      </w:pPr>
      <w:bookmarkStart w:id="74" w:name="_Toc1788673388"/>
      <w:bookmarkStart w:id="75" w:name="_Toc10983"/>
      <w:r>
        <w:rPr>
          <w:rFonts w:hint="eastAsia" w:ascii="仿宋" w:hAnsi="仿宋" w:eastAsia="仿宋"/>
          <w:color w:val="auto"/>
          <w:lang w:val="en-US" w:eastAsia="zh-CN"/>
        </w:rPr>
        <w:t xml:space="preserve"> 投资估算</w:t>
      </w:r>
      <w:bookmarkEnd w:id="74"/>
      <w:bookmarkEnd w:id="75"/>
    </w:p>
    <w:p w14:paraId="398C499C">
      <w:pPr>
        <w:bidi w:val="0"/>
        <w:rPr>
          <w:rFonts w:hint="eastAsia" w:ascii="仿宋" w:hAnsi="仿宋" w:eastAsia="仿宋"/>
          <w:color w:val="auto"/>
          <w:lang w:eastAsia="zh-CN"/>
        </w:rPr>
      </w:pPr>
      <w:r>
        <w:rPr>
          <w:rFonts w:hint="eastAsia" w:ascii="仿宋" w:hAnsi="仿宋" w:eastAsia="仿宋"/>
          <w:color w:val="auto"/>
          <w:lang w:val="en-US" w:eastAsia="zh-CN"/>
        </w:rPr>
        <w:t>本项目总投资22319.75万元。其中，工程费18317.21万元，工程建设其他费2309.97万元，预备费1608.82万元，建设期利息83.75万元。</w:t>
      </w:r>
      <w:r>
        <w:rPr>
          <w:rFonts w:hint="eastAsia" w:ascii="仿宋" w:hAnsi="仿宋" w:eastAsia="仿宋"/>
          <w:color w:val="auto"/>
        </w:rPr>
        <w:t>投资估算明细如下表所示</w:t>
      </w:r>
      <w:r>
        <w:rPr>
          <w:rFonts w:hint="eastAsia" w:ascii="仿宋" w:hAnsi="仿宋" w:eastAsia="仿宋"/>
          <w:color w:val="auto"/>
          <w:lang w:eastAsia="zh-CN"/>
        </w:rPr>
        <w:t>。</w:t>
      </w:r>
    </w:p>
    <w:p w14:paraId="61DF36E0">
      <w:pPr>
        <w:rPr>
          <w:rFonts w:hint="eastAsia" w:ascii="仿宋" w:hAnsi="仿宋" w:eastAsia="仿宋"/>
          <w:color w:val="auto"/>
          <w:sz w:val="24"/>
          <w:szCs w:val="22"/>
          <w:highlight w:val="none"/>
        </w:rPr>
      </w:pPr>
      <w:r>
        <w:rPr>
          <w:rFonts w:hint="eastAsia" w:ascii="仿宋" w:hAnsi="仿宋" w:eastAsia="仿宋"/>
          <w:color w:val="auto"/>
          <w:sz w:val="24"/>
          <w:szCs w:val="22"/>
          <w:highlight w:val="none"/>
        </w:rPr>
        <w:br w:type="page"/>
      </w:r>
    </w:p>
    <w:p w14:paraId="06B1D4C5">
      <w:pPr>
        <w:pStyle w:val="30"/>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仿宋" w:hAnsi="仿宋" w:eastAsia="仿宋"/>
          <w:color w:val="auto"/>
          <w:sz w:val="24"/>
          <w:szCs w:val="22"/>
          <w:highlight w:val="none"/>
        </w:rPr>
        <w:sectPr>
          <w:pgSz w:w="11906" w:h="16838"/>
          <w:pgMar w:top="1440" w:right="1800" w:bottom="1440" w:left="1800" w:header="851" w:footer="680" w:gutter="0"/>
          <w:pgNumType w:fmt="decimal" w:start="1"/>
          <w:cols w:space="720" w:num="1"/>
          <w:docGrid w:type="lines" w:linePitch="326" w:charSpace="0"/>
        </w:sectPr>
      </w:pPr>
    </w:p>
    <w:p w14:paraId="4BF6C272">
      <w:pPr>
        <w:pStyle w:val="30"/>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表</w:t>
      </w:r>
      <w:r>
        <w:rPr>
          <w:rFonts w:hint="eastAsia" w:ascii="仿宋" w:hAnsi="仿宋" w:eastAsia="仿宋"/>
          <w:b/>
          <w:bCs/>
          <w:color w:val="auto"/>
          <w:sz w:val="24"/>
          <w:szCs w:val="24"/>
          <w:highlight w:val="none"/>
          <w:lang w:val="en-US" w:eastAsia="zh-CN"/>
        </w:rPr>
        <w:t>2-1</w:t>
      </w:r>
      <w:r>
        <w:rPr>
          <w:rFonts w:hint="eastAsia" w:ascii="仿宋" w:hAnsi="仿宋" w:eastAsia="仿宋"/>
          <w:b/>
          <w:bCs/>
          <w:color w:val="auto"/>
          <w:sz w:val="24"/>
          <w:szCs w:val="24"/>
          <w:highlight w:val="none"/>
        </w:rPr>
        <w:t>项目总投资构成表</w:t>
      </w:r>
    </w:p>
    <w:p w14:paraId="32344AF7">
      <w:pPr>
        <w:pStyle w:val="30"/>
        <w:keepNext w:val="0"/>
        <w:keepLines w:val="0"/>
        <w:pageBreakBefore w:val="0"/>
        <w:widowControl w:val="0"/>
        <w:kinsoku/>
        <w:wordWrap/>
        <w:overflowPunct/>
        <w:topLinePunct w:val="0"/>
        <w:autoSpaceDE/>
        <w:autoSpaceDN/>
        <w:bidi w:val="0"/>
        <w:adjustRightInd/>
        <w:snapToGrid/>
        <w:ind w:left="0" w:leftChars="0" w:firstLine="0" w:firstLineChars="0"/>
        <w:jc w:val="right"/>
        <w:textAlignment w:val="auto"/>
        <w:rPr>
          <w:rFonts w:hint="eastAsia" w:ascii="仿宋" w:hAnsi="仿宋" w:eastAsia="仿宋"/>
          <w:b w:val="0"/>
          <w:bCs w:val="0"/>
          <w:color w:val="auto"/>
          <w:sz w:val="28"/>
          <w:szCs w:val="28"/>
          <w:highlight w:val="none"/>
        </w:rPr>
      </w:pPr>
      <w:r>
        <w:rPr>
          <w:rFonts w:hint="eastAsia" w:ascii="仿宋" w:hAnsi="仿宋" w:eastAsia="仿宋"/>
          <w:b w:val="0"/>
          <w:bCs w:val="0"/>
          <w:color w:val="auto"/>
          <w:sz w:val="24"/>
          <w:szCs w:val="24"/>
          <w:highlight w:val="none"/>
        </w:rPr>
        <w:t>单位：万元</w:t>
      </w:r>
    </w:p>
    <w:tbl>
      <w:tblPr>
        <w:tblStyle w:val="31"/>
        <w:tblW w:w="146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0"/>
        <w:gridCol w:w="1781"/>
        <w:gridCol w:w="1517"/>
        <w:gridCol w:w="1517"/>
        <w:gridCol w:w="1061"/>
        <w:gridCol w:w="1314"/>
        <w:gridCol w:w="1049"/>
        <w:gridCol w:w="1167"/>
        <w:gridCol w:w="664"/>
        <w:gridCol w:w="1162"/>
        <w:gridCol w:w="2526"/>
      </w:tblGrid>
      <w:tr w14:paraId="189AD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blHeader/>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DEF8B9">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Times New Roman" w:eastAsia="宋体" w:cs="Times New Roman"/>
                <w:b/>
                <w:bCs/>
                <w:i w:val="0"/>
                <w:iCs w:val="0"/>
                <w:color w:val="auto"/>
                <w:sz w:val="22"/>
                <w:szCs w:val="22"/>
                <w:u w:val="none"/>
              </w:rPr>
            </w:pPr>
            <w:r>
              <w:rPr>
                <w:rFonts w:hint="eastAsia" w:ascii="宋体" w:hAnsi="宋体" w:eastAsia="宋体" w:cs="宋体"/>
                <w:b/>
                <w:bCs/>
                <w:i w:val="0"/>
                <w:iCs w:val="0"/>
                <w:color w:val="auto"/>
                <w:kern w:val="0"/>
                <w:sz w:val="22"/>
                <w:szCs w:val="22"/>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163B8">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Times New Roman" w:eastAsia="宋体" w:cs="Times New Roman"/>
                <w:b/>
                <w:bCs/>
                <w:i w:val="0"/>
                <w:iCs w:val="0"/>
                <w:color w:val="auto"/>
                <w:sz w:val="22"/>
                <w:szCs w:val="22"/>
                <w:u w:val="none"/>
              </w:rPr>
            </w:pPr>
            <w:r>
              <w:rPr>
                <w:rFonts w:hint="eastAsia" w:ascii="宋体" w:hAnsi="宋体" w:eastAsia="宋体" w:cs="宋体"/>
                <w:b/>
                <w:bCs/>
                <w:i w:val="0"/>
                <w:iCs w:val="0"/>
                <w:color w:val="auto"/>
                <w:kern w:val="0"/>
                <w:sz w:val="22"/>
                <w:szCs w:val="22"/>
                <w:highlight w:val="none"/>
                <w:u w:val="none"/>
                <w:lang w:val="en-US" w:eastAsia="zh-CN" w:bidi="ar"/>
              </w:rPr>
              <w:t>工程项目及费用名称</w:t>
            </w:r>
          </w:p>
        </w:tc>
        <w:tc>
          <w:tcPr>
            <w:tcW w:w="64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D79AA3">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Times New Roman" w:eastAsia="宋体" w:cs="Times New Roman"/>
                <w:b/>
                <w:bCs/>
                <w:i w:val="0"/>
                <w:iCs w:val="0"/>
                <w:color w:val="auto"/>
                <w:sz w:val="22"/>
                <w:szCs w:val="22"/>
                <w:u w:val="none"/>
              </w:rPr>
            </w:pPr>
            <w:r>
              <w:rPr>
                <w:rFonts w:hint="eastAsia" w:ascii="宋体" w:hAnsi="宋体" w:eastAsia="宋体" w:cs="宋体"/>
                <w:b/>
                <w:bCs/>
                <w:i w:val="0"/>
                <w:iCs w:val="0"/>
                <w:color w:val="auto"/>
                <w:kern w:val="0"/>
                <w:sz w:val="22"/>
                <w:szCs w:val="22"/>
                <w:highlight w:val="none"/>
                <w:u w:val="none"/>
                <w:lang w:val="en-US" w:eastAsia="zh-CN" w:bidi="ar"/>
              </w:rPr>
              <w:t>估算价值（万元）</w:t>
            </w:r>
          </w:p>
        </w:tc>
        <w:tc>
          <w:tcPr>
            <w:tcW w:w="11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D376F4">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Times New Roman" w:eastAsia="宋体" w:cs="Times New Roman"/>
                <w:b/>
                <w:bCs/>
                <w:i w:val="0"/>
                <w:iCs w:val="0"/>
                <w:color w:val="auto"/>
                <w:sz w:val="22"/>
                <w:szCs w:val="22"/>
                <w:u w:val="none"/>
              </w:rPr>
            </w:pPr>
            <w:r>
              <w:rPr>
                <w:rFonts w:hint="eastAsia" w:ascii="宋体" w:hAnsi="宋体" w:eastAsia="宋体" w:cs="宋体"/>
                <w:b/>
                <w:bCs/>
                <w:i w:val="0"/>
                <w:iCs w:val="0"/>
                <w:color w:val="auto"/>
                <w:kern w:val="0"/>
                <w:sz w:val="22"/>
                <w:szCs w:val="22"/>
                <w:highlight w:val="none"/>
                <w:u w:val="none"/>
                <w:lang w:val="en-US" w:eastAsia="zh-CN" w:bidi="ar"/>
              </w:rPr>
              <w:t>占比总投资</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CE8FAE">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Times New Roman" w:eastAsia="宋体" w:cs="Times New Roman"/>
                <w:b/>
                <w:bCs/>
                <w:i w:val="0"/>
                <w:iCs w:val="0"/>
                <w:color w:val="auto"/>
                <w:sz w:val="22"/>
                <w:szCs w:val="22"/>
                <w:u w:val="none"/>
              </w:rPr>
            </w:pPr>
            <w:r>
              <w:rPr>
                <w:rFonts w:hint="eastAsia" w:ascii="宋体" w:hAnsi="宋体" w:eastAsia="宋体" w:cs="宋体"/>
                <w:b/>
                <w:bCs/>
                <w:i w:val="0"/>
                <w:iCs w:val="0"/>
                <w:color w:val="auto"/>
                <w:kern w:val="0"/>
                <w:sz w:val="22"/>
                <w:szCs w:val="22"/>
                <w:highlight w:val="none"/>
                <w:u w:val="none"/>
                <w:lang w:val="en-US" w:eastAsia="zh-CN" w:bidi="ar"/>
              </w:rPr>
              <w:t>技术经济指标</w:t>
            </w:r>
          </w:p>
        </w:tc>
      </w:tr>
      <w:tr w14:paraId="3FAEF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blHeader/>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45F26">
            <w:pPr>
              <w:snapToGrid w:val="0"/>
              <w:ind w:left="0" w:leftChars="0" w:right="0" w:rightChars="0" w:firstLine="0" w:firstLineChars="0"/>
              <w:jc w:val="center"/>
              <w:rPr>
                <w:rFonts w:hint="default" w:ascii="宋体" w:hAnsi="Times New Roman" w:eastAsia="宋体" w:cs="Times New Roman"/>
                <w:b/>
                <w:bCs/>
                <w:i w:val="0"/>
                <w:iCs w:val="0"/>
                <w:color w:val="auto"/>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FEF55">
            <w:pPr>
              <w:snapToGrid w:val="0"/>
              <w:ind w:left="0" w:leftChars="0" w:right="0" w:rightChars="0" w:firstLine="0" w:firstLineChars="0"/>
              <w:jc w:val="center"/>
              <w:rPr>
                <w:rFonts w:hint="default" w:ascii="宋体" w:hAnsi="Times New Roman" w:eastAsia="宋体"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4C8D3">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Times New Roman" w:eastAsia="宋体" w:cs="Times New Roman"/>
                <w:b/>
                <w:bCs/>
                <w:i w:val="0"/>
                <w:iCs w:val="0"/>
                <w:color w:val="auto"/>
                <w:sz w:val="22"/>
                <w:szCs w:val="22"/>
                <w:u w:val="none"/>
              </w:rPr>
            </w:pPr>
            <w:r>
              <w:rPr>
                <w:rFonts w:hint="eastAsia" w:ascii="宋体" w:hAnsi="宋体" w:eastAsia="宋体" w:cs="宋体"/>
                <w:b/>
                <w:bCs/>
                <w:i w:val="0"/>
                <w:iCs w:val="0"/>
                <w:color w:val="auto"/>
                <w:kern w:val="0"/>
                <w:sz w:val="22"/>
                <w:szCs w:val="22"/>
                <w:highlight w:val="none"/>
                <w:u w:val="none"/>
                <w:lang w:val="en-US" w:eastAsia="zh-CN" w:bidi="ar"/>
              </w:rPr>
              <w:t>建筑工程费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F3682">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简" w:eastAsia="宋体" w:cs="宋体-简"/>
                <w:b/>
                <w:bCs/>
                <w:i w:val="0"/>
                <w:iCs w:val="0"/>
                <w:color w:val="auto"/>
                <w:sz w:val="22"/>
                <w:szCs w:val="22"/>
                <w:u w:val="none"/>
              </w:rPr>
            </w:pPr>
            <w:r>
              <w:rPr>
                <w:rFonts w:hint="default" w:ascii="宋体" w:hAnsi="宋体-简" w:eastAsia="宋体" w:cs="宋体-简"/>
                <w:b/>
                <w:bCs/>
                <w:i w:val="0"/>
                <w:iCs w:val="0"/>
                <w:color w:val="auto"/>
                <w:kern w:val="0"/>
                <w:sz w:val="22"/>
                <w:szCs w:val="22"/>
                <w:highlight w:val="none"/>
                <w:u w:val="none"/>
                <w:lang w:val="en-US" w:eastAsia="zh-CN" w:bidi="ar"/>
              </w:rPr>
              <w:t>安装工程费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2688E5">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简" w:eastAsia="宋体" w:cs="宋体-简"/>
                <w:b/>
                <w:bCs/>
                <w:i w:val="0"/>
                <w:iCs w:val="0"/>
                <w:color w:val="auto"/>
                <w:sz w:val="22"/>
                <w:szCs w:val="22"/>
                <w:u w:val="none"/>
              </w:rPr>
            </w:pPr>
            <w:r>
              <w:rPr>
                <w:rFonts w:hint="default" w:ascii="宋体" w:hAnsi="宋体-简" w:eastAsia="宋体" w:cs="宋体-简"/>
                <w:b/>
                <w:bCs/>
                <w:i w:val="0"/>
                <w:iCs w:val="0"/>
                <w:color w:val="auto"/>
                <w:kern w:val="0"/>
                <w:sz w:val="22"/>
                <w:szCs w:val="22"/>
                <w:highlight w:val="none"/>
                <w:u w:val="none"/>
                <w:lang w:val="en-US" w:eastAsia="zh-CN" w:bidi="ar"/>
              </w:rPr>
              <w:t>设备购置费</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7B2A8">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Times New Roman" w:eastAsia="宋体" w:cs="Times New Roman"/>
                <w:b/>
                <w:bCs/>
                <w:i w:val="0"/>
                <w:iCs w:val="0"/>
                <w:color w:val="auto"/>
                <w:sz w:val="22"/>
                <w:szCs w:val="22"/>
                <w:u w:val="none"/>
              </w:rPr>
            </w:pPr>
            <w:r>
              <w:rPr>
                <w:rFonts w:hint="eastAsia" w:ascii="宋体" w:hAnsi="宋体" w:eastAsia="宋体" w:cs="宋体"/>
                <w:b/>
                <w:bCs/>
                <w:i w:val="0"/>
                <w:iCs w:val="0"/>
                <w:color w:val="auto"/>
                <w:kern w:val="0"/>
                <w:sz w:val="22"/>
                <w:szCs w:val="22"/>
                <w:highlight w:val="none"/>
                <w:u w:val="none"/>
                <w:lang w:val="en-US" w:eastAsia="zh-CN" w:bidi="ar"/>
              </w:rPr>
              <w:t>其他费用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0CA3B9">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Times New Roman" w:eastAsia="宋体" w:cs="Times New Roman"/>
                <w:b/>
                <w:bCs/>
                <w:i w:val="0"/>
                <w:iCs w:val="0"/>
                <w:color w:val="auto"/>
                <w:sz w:val="22"/>
                <w:szCs w:val="22"/>
                <w:u w:val="none"/>
              </w:rPr>
            </w:pPr>
            <w:r>
              <w:rPr>
                <w:rFonts w:hint="eastAsia" w:ascii="宋体" w:hAnsi="宋体" w:eastAsia="宋体" w:cs="宋体"/>
                <w:b/>
                <w:bCs/>
                <w:i w:val="0"/>
                <w:iCs w:val="0"/>
                <w:color w:val="auto"/>
                <w:kern w:val="0"/>
                <w:sz w:val="22"/>
                <w:szCs w:val="22"/>
                <w:highlight w:val="none"/>
                <w:u w:val="none"/>
                <w:lang w:val="en-US" w:eastAsia="zh-CN" w:bidi="ar"/>
              </w:rPr>
              <w:t>合计</w:t>
            </w: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1D554">
            <w:pPr>
              <w:snapToGrid w:val="0"/>
              <w:ind w:left="0" w:leftChars="0" w:right="0" w:rightChars="0" w:firstLine="0" w:firstLineChars="0"/>
              <w:jc w:val="center"/>
              <w:rPr>
                <w:rFonts w:hint="default" w:ascii="宋体" w:hAnsi="Times New Roman" w:eastAsia="宋体"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06EC62">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Times New Roman" w:eastAsia="宋体" w:cs="Times New Roman"/>
                <w:b/>
                <w:bCs/>
                <w:i w:val="0"/>
                <w:iCs w:val="0"/>
                <w:color w:val="auto"/>
                <w:sz w:val="22"/>
                <w:szCs w:val="22"/>
                <w:u w:val="none"/>
              </w:rPr>
            </w:pPr>
            <w:r>
              <w:rPr>
                <w:rFonts w:hint="eastAsia" w:ascii="宋体" w:hAnsi="宋体" w:eastAsia="宋体" w:cs="宋体"/>
                <w:b/>
                <w:bCs/>
                <w:i w:val="0"/>
                <w:iCs w:val="0"/>
                <w:color w:val="auto"/>
                <w:kern w:val="0"/>
                <w:sz w:val="22"/>
                <w:szCs w:val="22"/>
                <w:highlight w:val="none"/>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EFB17B">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Times New Roman" w:eastAsia="宋体" w:cs="Times New Roman"/>
                <w:b/>
                <w:bCs/>
                <w:i w:val="0"/>
                <w:iCs w:val="0"/>
                <w:color w:val="auto"/>
                <w:sz w:val="22"/>
                <w:szCs w:val="22"/>
                <w:u w:val="none"/>
              </w:rPr>
            </w:pPr>
            <w:r>
              <w:rPr>
                <w:rFonts w:hint="eastAsia" w:ascii="宋体" w:hAnsi="宋体" w:eastAsia="宋体" w:cs="宋体"/>
                <w:b/>
                <w:bCs/>
                <w:i w:val="0"/>
                <w:iCs w:val="0"/>
                <w:color w:val="auto"/>
                <w:kern w:val="0"/>
                <w:sz w:val="22"/>
                <w:szCs w:val="22"/>
                <w:highlight w:val="none"/>
                <w:u w:val="none"/>
                <w:lang w:val="en-US" w:eastAsia="zh-CN" w:bidi="ar"/>
              </w:rPr>
              <w:t>工程量</w:t>
            </w:r>
          </w:p>
        </w:tc>
        <w:tc>
          <w:tcPr>
            <w:tcW w:w="2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6B14D">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单位造价</w:t>
            </w:r>
          </w:p>
          <w:p w14:paraId="06DB7FE0">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Times New Roman" w:eastAsia="宋体" w:cs="Times New Roman"/>
                <w:b/>
                <w:bCs/>
                <w:i w:val="0"/>
                <w:iCs w:val="0"/>
                <w:color w:val="auto"/>
                <w:sz w:val="22"/>
                <w:szCs w:val="22"/>
                <w:u w:val="none"/>
              </w:rPr>
            </w:pPr>
            <w:r>
              <w:rPr>
                <w:rFonts w:hint="eastAsia" w:ascii="宋体" w:hAnsi="宋体" w:eastAsia="宋体" w:cs="宋体"/>
                <w:b/>
                <w:bCs/>
                <w:i w:val="0"/>
                <w:iCs w:val="0"/>
                <w:color w:val="auto"/>
                <w:kern w:val="0"/>
                <w:sz w:val="22"/>
                <w:szCs w:val="22"/>
                <w:highlight w:val="none"/>
                <w:u w:val="none"/>
                <w:lang w:val="en-US" w:eastAsia="zh-CN" w:bidi="ar"/>
              </w:rPr>
              <w:t>（元</w:t>
            </w:r>
            <w:r>
              <w:rPr>
                <w:rFonts w:hint="default" w:ascii="宋体" w:hAnsi="Times New Roman" w:eastAsia="宋体" w:cs="Times New Roman"/>
                <w:b/>
                <w:bCs/>
                <w:i w:val="0"/>
                <w:iCs w:val="0"/>
                <w:color w:val="auto"/>
                <w:kern w:val="0"/>
                <w:sz w:val="22"/>
                <w:szCs w:val="22"/>
                <w:highlight w:val="none"/>
                <w:u w:val="none"/>
                <w:lang w:val="en-US" w:eastAsia="zh-CN" w:bidi="ar"/>
              </w:rPr>
              <w:t>/</w:t>
            </w:r>
            <w:r>
              <w:rPr>
                <w:rFonts w:hint="eastAsia" w:ascii="宋体" w:hAnsi="宋体" w:eastAsia="宋体" w:cs="宋体"/>
                <w:b/>
                <w:bCs/>
                <w:i w:val="0"/>
                <w:iCs w:val="0"/>
                <w:color w:val="auto"/>
                <w:kern w:val="0"/>
                <w:sz w:val="22"/>
                <w:szCs w:val="22"/>
                <w:highlight w:val="none"/>
                <w:u w:val="none"/>
                <w:lang w:val="en-US" w:eastAsia="zh-CN" w:bidi="ar"/>
              </w:rPr>
              <w:t>单位）</w:t>
            </w:r>
          </w:p>
        </w:tc>
      </w:tr>
      <w:tr w14:paraId="0AB70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A0380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b/>
                <w:bCs/>
                <w:i w:val="0"/>
                <w:iCs w:val="0"/>
                <w:color w:val="auto"/>
                <w:sz w:val="22"/>
                <w:szCs w:val="22"/>
                <w:u w:val="none"/>
              </w:rPr>
            </w:pPr>
            <w:r>
              <w:rPr>
                <w:rFonts w:hint="eastAsia" w:ascii="Times New Roman" w:hAnsi="宋体" w:eastAsia="等线" w:cs="宋体"/>
                <w:b/>
                <w:bCs/>
                <w:i w:val="0"/>
                <w:iCs w:val="0"/>
                <w:color w:val="auto"/>
                <w:kern w:val="0"/>
                <w:sz w:val="22"/>
                <w:szCs w:val="22"/>
                <w:highlight w:val="none"/>
                <w:u w:val="none"/>
                <w:lang w:val="en-US" w:eastAsia="zh-CN" w:bidi="ar"/>
              </w:rPr>
              <w:t>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B985C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b/>
                <w:bCs/>
                <w:i w:val="0"/>
                <w:iCs w:val="0"/>
                <w:color w:val="auto"/>
                <w:sz w:val="22"/>
                <w:szCs w:val="22"/>
                <w:u w:val="none"/>
              </w:rPr>
            </w:pPr>
            <w:r>
              <w:rPr>
                <w:rFonts w:hint="eastAsia" w:ascii="Times New Roman" w:hAnsi="宋体" w:eastAsia="等线" w:cs="宋体"/>
                <w:b/>
                <w:bCs/>
                <w:i w:val="0"/>
                <w:iCs w:val="0"/>
                <w:color w:val="auto"/>
                <w:kern w:val="0"/>
                <w:sz w:val="22"/>
                <w:szCs w:val="22"/>
                <w:highlight w:val="none"/>
                <w:u w:val="none"/>
                <w:lang w:val="en-US" w:eastAsia="zh-CN" w:bidi="ar"/>
              </w:rPr>
              <w:t>工程费用</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501F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14452.22 </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6049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3807.40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B2C92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57.60 </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52A6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F3ED1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18317.21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E9B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82.07%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334030">
            <w:pPr>
              <w:snapToGrid w:val="0"/>
              <w:ind w:left="0" w:leftChars="0" w:right="0" w:rightChars="0" w:firstLine="0" w:firstLineChars="0"/>
              <w:jc w:val="left"/>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B8E00E">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2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6965F">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r>
      <w:tr w14:paraId="200D0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C79C9E">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b/>
                <w:bCs/>
                <w:i w:val="0"/>
                <w:iCs w:val="0"/>
                <w:color w:val="auto"/>
                <w:sz w:val="22"/>
                <w:szCs w:val="22"/>
                <w:u w:val="none"/>
              </w:rPr>
            </w:pPr>
            <w:r>
              <w:rPr>
                <w:rFonts w:hint="eastAsia" w:ascii="Times New Roman" w:hAnsi="宋体" w:eastAsia="等线" w:cs="宋体"/>
                <w:b/>
                <w:bCs/>
                <w:i w:val="0"/>
                <w:iCs w:val="0"/>
                <w:color w:val="auto"/>
                <w:kern w:val="0"/>
                <w:sz w:val="22"/>
                <w:szCs w:val="22"/>
                <w:highlight w:val="none"/>
                <w:u w:val="none"/>
                <w:lang w:val="en-US" w:eastAsia="zh-CN" w:bidi="ar"/>
              </w:rPr>
              <w:t>（一）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CC792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b/>
                <w:bCs/>
                <w:i w:val="0"/>
                <w:iCs w:val="0"/>
                <w:color w:val="auto"/>
                <w:sz w:val="22"/>
                <w:szCs w:val="22"/>
                <w:u w:val="none"/>
              </w:rPr>
            </w:pPr>
            <w:r>
              <w:rPr>
                <w:rFonts w:hint="eastAsia" w:ascii="Times New Roman" w:hAnsi="宋体" w:eastAsia="等线" w:cs="宋体"/>
                <w:b/>
                <w:bCs/>
                <w:i w:val="0"/>
                <w:iCs w:val="0"/>
                <w:color w:val="auto"/>
                <w:kern w:val="0"/>
                <w:sz w:val="22"/>
                <w:szCs w:val="22"/>
                <w:highlight w:val="none"/>
                <w:u w:val="none"/>
                <w:lang w:val="en-US" w:eastAsia="zh-CN" w:bidi="ar"/>
              </w:rPr>
              <w:t>地上建设工程</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EA3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295.80 </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9150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20.00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3BEF8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25.60 </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34CC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86833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341.40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5170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1.53%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1DFAD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4CF39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850.00 </w:t>
            </w:r>
          </w:p>
        </w:tc>
        <w:tc>
          <w:tcPr>
            <w:tcW w:w="2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24C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4016 </w:t>
            </w:r>
          </w:p>
        </w:tc>
      </w:tr>
      <w:tr w14:paraId="67AA6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E2CAE1">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D8B7C7">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土建工程</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6ACC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170.00 </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9FDD1">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2B822C">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934AE">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265D9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170.00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D72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0.76%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47CE1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ED3C4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850.00 </w:t>
            </w:r>
          </w:p>
        </w:tc>
        <w:tc>
          <w:tcPr>
            <w:tcW w:w="2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D884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2000 </w:t>
            </w:r>
          </w:p>
        </w:tc>
      </w:tr>
      <w:tr w14:paraId="42F42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B731E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F58EAD">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装修工程</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EE1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102.00 </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186E">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B517AC">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70868">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05C21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102.00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5F28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0.46%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EF26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553E3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850.00 </w:t>
            </w:r>
          </w:p>
        </w:tc>
        <w:tc>
          <w:tcPr>
            <w:tcW w:w="2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70D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1200 </w:t>
            </w:r>
          </w:p>
        </w:tc>
      </w:tr>
      <w:tr w14:paraId="13F37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D29008">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79D0C5">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强电工程</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CC3D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23.80 </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99761">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50347">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88C7D">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B3049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23.80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AD50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2A28DF">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F7A28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850.00 </w:t>
            </w:r>
          </w:p>
        </w:tc>
        <w:tc>
          <w:tcPr>
            <w:tcW w:w="2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23F5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280 </w:t>
            </w:r>
          </w:p>
        </w:tc>
      </w:tr>
      <w:tr w14:paraId="1C49C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47226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9A4E8E">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弱电工程</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7DEA4">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A2C2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13.60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FDDD3A">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B9E35">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05ABE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13.60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03C2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0.06%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C8F908">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D4246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850.00 </w:t>
            </w:r>
          </w:p>
        </w:tc>
        <w:tc>
          <w:tcPr>
            <w:tcW w:w="2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316F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160 </w:t>
            </w:r>
          </w:p>
        </w:tc>
      </w:tr>
      <w:tr w14:paraId="29D09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E24EE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0FF705">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出入口闸机</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8AA04">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2B93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6.40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05B53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25.60 </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38B59">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4CB16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32.00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730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D09D0">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0DD62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4.00 </w:t>
            </w:r>
          </w:p>
        </w:tc>
        <w:tc>
          <w:tcPr>
            <w:tcW w:w="2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B8BE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80000 </w:t>
            </w:r>
          </w:p>
        </w:tc>
      </w:tr>
      <w:tr w14:paraId="73BEC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EA9E6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b/>
                <w:bCs/>
                <w:i w:val="0"/>
                <w:iCs w:val="0"/>
                <w:color w:val="auto"/>
                <w:sz w:val="22"/>
                <w:szCs w:val="22"/>
                <w:u w:val="none"/>
              </w:rPr>
            </w:pPr>
            <w:r>
              <w:rPr>
                <w:rFonts w:hint="eastAsia" w:ascii="Times New Roman" w:hAnsi="宋体" w:eastAsia="等线" w:cs="宋体"/>
                <w:b/>
                <w:bCs/>
                <w:i w:val="0"/>
                <w:iCs w:val="0"/>
                <w:color w:val="auto"/>
                <w:kern w:val="0"/>
                <w:sz w:val="22"/>
                <w:szCs w:val="22"/>
                <w:highlight w:val="none"/>
                <w:u w:val="none"/>
                <w:lang w:val="en-US" w:eastAsia="zh-CN" w:bidi="ar"/>
              </w:rPr>
              <w:t>（二）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2F731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b/>
                <w:bCs/>
                <w:i w:val="0"/>
                <w:iCs w:val="0"/>
                <w:color w:val="auto"/>
                <w:sz w:val="22"/>
                <w:szCs w:val="22"/>
                <w:u w:val="none"/>
              </w:rPr>
            </w:pPr>
            <w:r>
              <w:rPr>
                <w:rFonts w:hint="eastAsia" w:ascii="Times New Roman" w:hAnsi="宋体" w:eastAsia="等线" w:cs="宋体"/>
                <w:b/>
                <w:bCs/>
                <w:i w:val="0"/>
                <w:iCs w:val="0"/>
                <w:color w:val="auto"/>
                <w:kern w:val="0"/>
                <w:sz w:val="22"/>
                <w:szCs w:val="22"/>
                <w:highlight w:val="none"/>
                <w:u w:val="none"/>
                <w:lang w:val="en-US" w:eastAsia="zh-CN" w:bidi="ar"/>
              </w:rPr>
              <w:t>地下建设工程</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1E67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14156.42 </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C8B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3787.40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2CA68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32.00 </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1440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42555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17975.81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656B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80.54%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F491EA">
            <w:pPr>
              <w:snapToGrid w:val="0"/>
              <w:ind w:left="0" w:leftChars="0" w:right="0" w:rightChars="0" w:firstLine="0" w:firstLineChars="0"/>
              <w:jc w:val="left"/>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8C50DF">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2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FD105">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r>
      <w:tr w14:paraId="079D0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921F1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63CA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土方工程</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A47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2416.18 </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2D64">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A6624C">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E7776">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967EF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2416.18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E91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10.83%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073AA6">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m³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FBF7C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151011.00 </w:t>
            </w:r>
          </w:p>
        </w:tc>
        <w:tc>
          <w:tcPr>
            <w:tcW w:w="2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D2F8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160 </w:t>
            </w:r>
          </w:p>
        </w:tc>
      </w:tr>
      <w:tr w14:paraId="77C1F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78EC12">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2B67E">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土建工程</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BD70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10640.70 </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F3B9E">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144FEC">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67D0E">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37F28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10640.70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2E5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47.67%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B30DCA">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F611E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23646.00 </w:t>
            </w:r>
          </w:p>
        </w:tc>
        <w:tc>
          <w:tcPr>
            <w:tcW w:w="2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B989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4500 </w:t>
            </w:r>
          </w:p>
        </w:tc>
      </w:tr>
      <w:tr w14:paraId="1FDE1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DDE3B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2C8B2">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装修工程</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0FD3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1099.54 </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AD9A9">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5EF215">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453E2">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18A40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1099.54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FF2F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4.93%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FFB37F">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F446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23646.00 </w:t>
            </w:r>
          </w:p>
        </w:tc>
        <w:tc>
          <w:tcPr>
            <w:tcW w:w="2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75E7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465 </w:t>
            </w:r>
          </w:p>
        </w:tc>
      </w:tr>
      <w:tr w14:paraId="06653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D6BB7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55E37A">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给排水及消防工程</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8AB06">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B49B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827.61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5A51C2">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E0D6">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1FA6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827.61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8C0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3.71%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AAF7B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093E2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23646.00 </w:t>
            </w:r>
          </w:p>
        </w:tc>
        <w:tc>
          <w:tcPr>
            <w:tcW w:w="2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43F2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350 </w:t>
            </w:r>
          </w:p>
        </w:tc>
      </w:tr>
      <w:tr w14:paraId="42B88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19E5D8">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F742F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强电工程</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E50E3">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2DFF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851.26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E5AACB">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7FB1">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60285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851.26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9AE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3.81%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00F1C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61AEC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23646.00 </w:t>
            </w:r>
          </w:p>
        </w:tc>
        <w:tc>
          <w:tcPr>
            <w:tcW w:w="2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AD93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360 </w:t>
            </w:r>
          </w:p>
        </w:tc>
      </w:tr>
      <w:tr w14:paraId="50590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653A2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A24AE5">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弱电工程</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B9F53">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5008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1154.69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D11A8C">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622EB">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47675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1154.69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9A6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5.17%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6F1D5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0BB21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23646.00 </w:t>
            </w:r>
          </w:p>
        </w:tc>
        <w:tc>
          <w:tcPr>
            <w:tcW w:w="2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8D0A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488 </w:t>
            </w:r>
          </w:p>
        </w:tc>
      </w:tr>
      <w:tr w14:paraId="382BE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BF7D6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681DB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暖通工程</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42CB">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93D4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945.84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88B8F0">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4BF14">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D1204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945.84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179A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4.24%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1D3BF2">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52185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23646.00 </w:t>
            </w:r>
          </w:p>
        </w:tc>
        <w:tc>
          <w:tcPr>
            <w:tcW w:w="2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E55D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400 </w:t>
            </w:r>
          </w:p>
        </w:tc>
      </w:tr>
      <w:tr w14:paraId="0D15E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49B0A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B05DB8">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电梯工程</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84A20">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8A40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8.00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5321A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32.00 </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9EF17">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B4AA6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40.00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063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C6527A">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65BDA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2.00 </w:t>
            </w:r>
          </w:p>
        </w:tc>
        <w:tc>
          <w:tcPr>
            <w:tcW w:w="2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72FB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200000 </w:t>
            </w:r>
          </w:p>
        </w:tc>
      </w:tr>
      <w:tr w14:paraId="7AD4C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D29C4C">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b/>
                <w:bCs/>
                <w:i w:val="0"/>
                <w:iCs w:val="0"/>
                <w:color w:val="auto"/>
                <w:sz w:val="22"/>
                <w:szCs w:val="22"/>
                <w:u w:val="none"/>
              </w:rPr>
            </w:pPr>
            <w:r>
              <w:rPr>
                <w:rFonts w:hint="eastAsia" w:ascii="Times New Roman" w:hAnsi="宋体" w:eastAsia="等线" w:cs="宋体"/>
                <w:b/>
                <w:bCs/>
                <w:i w:val="0"/>
                <w:iCs w:val="0"/>
                <w:color w:val="auto"/>
                <w:kern w:val="0"/>
                <w:sz w:val="22"/>
                <w:szCs w:val="22"/>
                <w:highlight w:val="none"/>
                <w:u w:val="none"/>
                <w:lang w:val="en-US" w:eastAsia="zh-CN" w:bidi="ar"/>
              </w:rPr>
              <w:t>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D5AC37">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b/>
                <w:bCs/>
                <w:i w:val="0"/>
                <w:iCs w:val="0"/>
                <w:color w:val="auto"/>
                <w:sz w:val="22"/>
                <w:szCs w:val="22"/>
                <w:u w:val="none"/>
              </w:rPr>
            </w:pPr>
            <w:r>
              <w:rPr>
                <w:rFonts w:hint="eastAsia" w:ascii="Times New Roman" w:hAnsi="宋体" w:eastAsia="等线" w:cs="宋体"/>
                <w:b/>
                <w:bCs/>
                <w:i w:val="0"/>
                <w:iCs w:val="0"/>
                <w:color w:val="auto"/>
                <w:kern w:val="0"/>
                <w:sz w:val="22"/>
                <w:szCs w:val="22"/>
                <w:highlight w:val="none"/>
                <w:u w:val="none"/>
                <w:lang w:val="en-US" w:eastAsia="zh-CN" w:bidi="ar"/>
              </w:rPr>
              <w:t>工程建设其他费用</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CCE40">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8B1E1">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ADE172">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1AD2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2309.97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1144B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2309.97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D878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10.35%</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23A8CA">
            <w:pPr>
              <w:snapToGrid w:val="0"/>
              <w:ind w:left="0" w:leftChars="0" w:right="0" w:rightChars="0" w:firstLine="0" w:firstLineChars="0"/>
              <w:jc w:val="left"/>
              <w:rPr>
                <w:rFonts w:hint="default" w:ascii="Times New Roman" w:hAnsi="Times New Roman" w:eastAsia="等线" w:cs="Times New Roman"/>
                <w:b/>
                <w:bCs/>
                <w:i w:val="0"/>
                <w:iCs w:val="0"/>
                <w:color w:val="auto"/>
                <w:sz w:val="22"/>
                <w:szCs w:val="22"/>
                <w:u w:val="none"/>
              </w:rPr>
            </w:pPr>
          </w:p>
        </w:tc>
      </w:tr>
      <w:tr w14:paraId="03AC2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BBFF48">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5028ED">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土地费用</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F0A5C">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B0986">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C556C">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2DF3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516.99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D4252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516.99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C963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2.32%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E7A99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宋体-简" w:eastAsia="等线" w:cs="宋体-简"/>
                <w:i w:val="0"/>
                <w:iCs w:val="0"/>
                <w:color w:val="auto"/>
                <w:sz w:val="22"/>
                <w:szCs w:val="22"/>
                <w:u w:val="none"/>
              </w:rPr>
            </w:pPr>
            <w:r>
              <w:rPr>
                <w:rFonts w:hint="default" w:ascii="Times New Roman" w:hAnsi="宋体-简" w:eastAsia="等线" w:cs="宋体-简"/>
                <w:i w:val="0"/>
                <w:iCs w:val="0"/>
                <w:color w:val="auto"/>
                <w:kern w:val="0"/>
                <w:sz w:val="22"/>
                <w:szCs w:val="22"/>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9BB46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19.86</w:t>
            </w:r>
          </w:p>
        </w:tc>
        <w:tc>
          <w:tcPr>
            <w:tcW w:w="2502" w:type="dxa"/>
            <w:tcBorders>
              <w:top w:val="single" w:color="000000" w:sz="4" w:space="0"/>
              <w:left w:val="nil"/>
              <w:bottom w:val="single" w:color="000000" w:sz="4" w:space="0"/>
              <w:right w:val="single" w:color="000000" w:sz="4" w:space="0"/>
            </w:tcBorders>
            <w:shd w:val="clear" w:color="auto" w:fill="auto"/>
            <w:vAlign w:val="center"/>
          </w:tcPr>
          <w:p w14:paraId="4F777E5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26.03 </w:t>
            </w:r>
          </w:p>
        </w:tc>
      </w:tr>
      <w:tr w14:paraId="5F6B3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96E545">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89137C">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土地费用</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5E15B">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00290">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12A516">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3E65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500.00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145B9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500.00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E86E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F293B2">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宋体-简" w:eastAsia="等线" w:cs="宋体-简"/>
                <w:i w:val="0"/>
                <w:iCs w:val="0"/>
                <w:color w:val="auto"/>
                <w:sz w:val="22"/>
                <w:szCs w:val="22"/>
                <w:u w:val="none"/>
              </w:rPr>
            </w:pPr>
            <w:r>
              <w:rPr>
                <w:rFonts w:hint="default" w:ascii="Times New Roman" w:hAnsi="宋体-简" w:eastAsia="等线" w:cs="宋体-简"/>
                <w:i w:val="0"/>
                <w:iCs w:val="0"/>
                <w:color w:val="auto"/>
                <w:kern w:val="0"/>
                <w:sz w:val="22"/>
                <w:szCs w:val="22"/>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C4D09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19.86</w:t>
            </w:r>
          </w:p>
        </w:tc>
        <w:tc>
          <w:tcPr>
            <w:tcW w:w="2502" w:type="dxa"/>
            <w:tcBorders>
              <w:top w:val="single" w:color="000000" w:sz="4" w:space="0"/>
              <w:left w:val="nil"/>
              <w:bottom w:val="single" w:color="000000" w:sz="4" w:space="0"/>
              <w:right w:val="single" w:color="000000" w:sz="4" w:space="0"/>
            </w:tcBorders>
            <w:shd w:val="clear" w:color="auto" w:fill="auto"/>
            <w:vAlign w:val="center"/>
          </w:tcPr>
          <w:p w14:paraId="4AF2B5F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25.18 </w:t>
            </w:r>
          </w:p>
        </w:tc>
      </w:tr>
      <w:tr w14:paraId="08AC9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FF44F8">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42EF65">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土地契税</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09CB">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5A45B">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F4ED94">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6684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15.00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E5BB9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15.00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AEA3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0.07%</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C3598E">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《北京市契税管理规定》：本市现行契税税率统一为</w:t>
            </w:r>
            <w:r>
              <w:rPr>
                <w:rFonts w:hint="default" w:ascii="Times New Roman" w:hAnsi="Times New Roman" w:eastAsia="等线" w:cs="Times New Roman"/>
                <w:i w:val="0"/>
                <w:iCs w:val="0"/>
                <w:color w:val="auto"/>
                <w:kern w:val="0"/>
                <w:sz w:val="22"/>
                <w:szCs w:val="22"/>
                <w:highlight w:val="none"/>
                <w:u w:val="none"/>
                <w:lang w:val="en-US" w:eastAsia="zh-CN" w:bidi="ar"/>
              </w:rPr>
              <w:t>3%</w:t>
            </w:r>
            <w:r>
              <w:rPr>
                <w:rFonts w:hint="eastAsia" w:ascii="Times New Roman" w:hAnsi="宋体" w:eastAsia="等线" w:cs="宋体"/>
                <w:i w:val="0"/>
                <w:iCs w:val="0"/>
                <w:color w:val="auto"/>
                <w:kern w:val="0"/>
                <w:sz w:val="22"/>
                <w:szCs w:val="22"/>
                <w:highlight w:val="none"/>
                <w:u w:val="none"/>
                <w:lang w:val="en-US" w:eastAsia="zh-CN" w:bidi="ar"/>
              </w:rPr>
              <w:t>。</w:t>
            </w:r>
          </w:p>
        </w:tc>
      </w:tr>
      <w:tr w14:paraId="566D7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FD15A6">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0C455">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土地使用税</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B7646">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E597">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E6E629">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B075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1.99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A246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1.99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7A5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0.01%</w:t>
            </w:r>
          </w:p>
        </w:tc>
        <w:tc>
          <w:tcPr>
            <w:tcW w:w="0" w:type="auto"/>
            <w:tcBorders>
              <w:top w:val="single" w:color="000000" w:sz="4" w:space="0"/>
              <w:left w:val="single" w:color="000000" w:sz="4" w:space="0"/>
              <w:bottom w:val="single" w:color="000000" w:sz="4" w:space="0"/>
              <w:right w:val="nil"/>
            </w:tcBorders>
            <w:shd w:val="clear" w:color="auto" w:fill="auto"/>
            <w:vAlign w:val="center"/>
          </w:tcPr>
          <w:p w14:paraId="00FAA662">
            <w:pPr>
              <w:snapToGrid w:val="0"/>
              <w:ind w:left="0" w:leftChars="0" w:right="0" w:rightChars="0" w:firstLine="0" w:firstLineChars="0"/>
              <w:jc w:val="left"/>
              <w:rPr>
                <w:rFonts w:hint="eastAsia" w:ascii="Times New Roman" w:hAnsi="宋体" w:eastAsia="等线" w:cs="宋体"/>
                <w:i w:val="0"/>
                <w:iCs w:val="0"/>
                <w:color w:val="auto"/>
                <w:sz w:val="22"/>
                <w:szCs w:val="22"/>
                <w:u w:val="none"/>
              </w:rPr>
            </w:pPr>
          </w:p>
        </w:tc>
        <w:tc>
          <w:tcPr>
            <w:tcW w:w="0" w:type="auto"/>
            <w:tcBorders>
              <w:top w:val="single" w:color="000000" w:sz="4" w:space="0"/>
              <w:left w:val="nil"/>
              <w:bottom w:val="single" w:color="000000" w:sz="4" w:space="0"/>
              <w:right w:val="nil"/>
            </w:tcBorders>
            <w:shd w:val="clear" w:color="auto" w:fill="auto"/>
            <w:vAlign w:val="center"/>
          </w:tcPr>
          <w:p w14:paraId="0C98176C">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2502" w:type="dxa"/>
            <w:tcBorders>
              <w:top w:val="single" w:color="000000" w:sz="4" w:space="0"/>
              <w:left w:val="nil"/>
              <w:bottom w:val="single" w:color="000000" w:sz="4" w:space="0"/>
              <w:right w:val="single" w:color="000000" w:sz="4" w:space="0"/>
            </w:tcBorders>
            <w:shd w:val="clear" w:color="auto" w:fill="auto"/>
            <w:vAlign w:val="center"/>
          </w:tcPr>
          <w:p w14:paraId="69C23079">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r>
      <w:tr w14:paraId="13F93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FB342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2CC733">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项目前期咨询费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99A0C">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B9B3C">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D84447">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3D1E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42.48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35413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42.48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00FD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0.19%</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3E4772">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计价格</w:t>
            </w:r>
            <w:r>
              <w:rPr>
                <w:rFonts w:hint="eastAsia" w:hAnsi="宋体" w:eastAsia="等线" w:cs="宋体"/>
                <w:i w:val="0"/>
                <w:iCs w:val="0"/>
                <w:color w:val="auto"/>
                <w:kern w:val="0"/>
                <w:sz w:val="22"/>
                <w:szCs w:val="22"/>
                <w:highlight w:val="none"/>
                <w:u w:val="none"/>
                <w:lang w:val="en-US" w:eastAsia="zh-CN" w:bidi="ar"/>
              </w:rPr>
              <w:t>〔1999〕1283号</w:t>
            </w:r>
          </w:p>
        </w:tc>
      </w:tr>
      <w:tr w14:paraId="7BAD7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CDC552">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187FC8">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工程勘察费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C8D89">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A44A5">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8E9696">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518F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51.63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35615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51.63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C78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0.23%</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022A7A">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计价格</w:t>
            </w:r>
            <w:r>
              <w:rPr>
                <w:rFonts w:hint="eastAsia" w:hAnsi="宋体" w:eastAsia="等线" w:cs="宋体"/>
                <w:i w:val="0"/>
                <w:iCs w:val="0"/>
                <w:color w:val="auto"/>
                <w:kern w:val="0"/>
                <w:sz w:val="22"/>
                <w:szCs w:val="22"/>
                <w:highlight w:val="none"/>
                <w:u w:val="none"/>
                <w:lang w:val="en-US" w:eastAsia="zh-CN" w:bidi="ar"/>
              </w:rPr>
              <w:t>〔2002〕10号</w:t>
            </w:r>
            <w:r>
              <w:rPr>
                <w:rFonts w:hint="eastAsia" w:ascii="Times New Roman" w:hAnsi="宋体" w:eastAsia="等线" w:cs="宋体"/>
                <w:i w:val="0"/>
                <w:iCs w:val="0"/>
                <w:color w:val="auto"/>
                <w:kern w:val="0"/>
                <w:sz w:val="22"/>
                <w:szCs w:val="22"/>
                <w:highlight w:val="none"/>
                <w:u w:val="none"/>
                <w:lang w:val="en-US" w:eastAsia="zh-CN" w:bidi="ar"/>
              </w:rPr>
              <w:t>，设计费</w:t>
            </w:r>
            <w:r>
              <w:rPr>
                <w:rFonts w:hint="default" w:ascii="Times New Roman" w:hAnsi="Times New Roman" w:eastAsia="等线" w:cs="Times New Roman"/>
                <w:i w:val="0"/>
                <w:iCs w:val="0"/>
                <w:color w:val="auto"/>
                <w:kern w:val="0"/>
                <w:sz w:val="22"/>
                <w:szCs w:val="22"/>
                <w:highlight w:val="none"/>
                <w:u w:val="none"/>
                <w:lang w:val="en-US" w:eastAsia="zh-CN" w:bidi="ar"/>
              </w:rPr>
              <w:t>*10%</w:t>
            </w:r>
            <w:r>
              <w:rPr>
                <w:rFonts w:hint="eastAsia" w:ascii="Times New Roman" w:hAnsi="宋体" w:eastAsia="等线" w:cs="宋体"/>
                <w:i w:val="0"/>
                <w:iCs w:val="0"/>
                <w:color w:val="auto"/>
                <w:kern w:val="0"/>
                <w:sz w:val="22"/>
                <w:szCs w:val="22"/>
                <w:highlight w:val="none"/>
                <w:u w:val="none"/>
                <w:lang w:val="en-US" w:eastAsia="zh-CN" w:bidi="ar"/>
              </w:rPr>
              <w:t>（</w:t>
            </w:r>
            <w:r>
              <w:rPr>
                <w:rFonts w:hint="default" w:ascii="Times New Roman" w:hAnsi="Times New Roman" w:eastAsia="等线" w:cs="Times New Roman"/>
                <w:i w:val="0"/>
                <w:iCs w:val="0"/>
                <w:color w:val="auto"/>
                <w:kern w:val="0"/>
                <w:sz w:val="22"/>
                <w:szCs w:val="22"/>
                <w:highlight w:val="none"/>
                <w:u w:val="none"/>
                <w:lang w:val="en-US" w:eastAsia="zh-CN" w:bidi="ar"/>
              </w:rPr>
              <w:t>10%-30%</w:t>
            </w:r>
            <w:r>
              <w:rPr>
                <w:rFonts w:hint="eastAsia" w:ascii="Times New Roman" w:hAnsi="宋体" w:eastAsia="等线" w:cs="宋体"/>
                <w:i w:val="0"/>
                <w:iCs w:val="0"/>
                <w:color w:val="auto"/>
                <w:kern w:val="0"/>
                <w:sz w:val="22"/>
                <w:szCs w:val="22"/>
                <w:highlight w:val="none"/>
                <w:u w:val="none"/>
                <w:lang w:val="en-US" w:eastAsia="zh-CN" w:bidi="ar"/>
              </w:rPr>
              <w:t>）</w:t>
            </w:r>
          </w:p>
        </w:tc>
      </w:tr>
      <w:tr w14:paraId="524E2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4A87E2">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24AE1">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工程设计费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066A8">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A3D5">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A7CA07">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2732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516.25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8CB2A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516.25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F0A6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2.31%</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4AEFE9">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计价格</w:t>
            </w:r>
            <w:r>
              <w:rPr>
                <w:rFonts w:hint="eastAsia" w:hAnsi="宋体" w:eastAsia="等线" w:cs="宋体"/>
                <w:i w:val="0"/>
                <w:iCs w:val="0"/>
                <w:color w:val="auto"/>
                <w:kern w:val="0"/>
                <w:sz w:val="22"/>
                <w:szCs w:val="22"/>
                <w:highlight w:val="none"/>
                <w:u w:val="none"/>
                <w:lang w:val="en-US" w:eastAsia="zh-CN" w:bidi="ar"/>
              </w:rPr>
              <w:t>〔2002〕10号</w:t>
            </w:r>
            <w:r>
              <w:rPr>
                <w:rFonts w:hint="eastAsia" w:ascii="Times New Roman" w:hAnsi="宋体" w:eastAsia="等线" w:cs="宋体"/>
                <w:i w:val="0"/>
                <w:iCs w:val="0"/>
                <w:color w:val="auto"/>
                <w:kern w:val="0"/>
                <w:sz w:val="22"/>
                <w:szCs w:val="22"/>
                <w:highlight w:val="none"/>
                <w:u w:val="none"/>
                <w:lang w:val="en-US" w:eastAsia="zh-CN" w:bidi="ar"/>
              </w:rPr>
              <w:t>、发改价格</w:t>
            </w:r>
            <w:r>
              <w:rPr>
                <w:rFonts w:hint="eastAsia" w:hAnsi="宋体" w:eastAsia="等线" w:cs="宋体"/>
                <w:i w:val="0"/>
                <w:iCs w:val="0"/>
                <w:color w:val="auto"/>
                <w:kern w:val="0"/>
                <w:sz w:val="22"/>
                <w:szCs w:val="22"/>
                <w:highlight w:val="none"/>
                <w:u w:val="none"/>
                <w:lang w:val="en-US" w:eastAsia="zh-CN" w:bidi="ar"/>
              </w:rPr>
              <w:t>〔2015〕299号</w:t>
            </w:r>
          </w:p>
        </w:tc>
      </w:tr>
      <w:tr w14:paraId="2380A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728892">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A8AE59">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工程招标代理费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B8B44">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770D2">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0572C4">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B3A5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34.71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8A7D8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34.71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CF37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0.16%</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3A4286">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计价格</w:t>
            </w:r>
            <w:r>
              <w:rPr>
                <w:rFonts w:hint="eastAsia" w:hAnsi="宋体" w:eastAsia="等线" w:cs="宋体"/>
                <w:i w:val="0"/>
                <w:iCs w:val="0"/>
                <w:color w:val="auto"/>
                <w:kern w:val="0"/>
                <w:sz w:val="22"/>
                <w:szCs w:val="22"/>
                <w:highlight w:val="none"/>
                <w:u w:val="none"/>
                <w:lang w:val="en-US" w:eastAsia="zh-CN" w:bidi="ar"/>
              </w:rPr>
              <w:t>〔2002〕1980号</w:t>
            </w:r>
            <w:r>
              <w:rPr>
                <w:rFonts w:hint="eastAsia" w:ascii="Times New Roman" w:hAnsi="宋体" w:eastAsia="等线" w:cs="宋体"/>
                <w:i w:val="0"/>
                <w:iCs w:val="0"/>
                <w:color w:val="auto"/>
                <w:kern w:val="0"/>
                <w:sz w:val="22"/>
                <w:szCs w:val="22"/>
                <w:highlight w:val="none"/>
                <w:u w:val="none"/>
                <w:lang w:val="en-US" w:eastAsia="zh-CN" w:bidi="ar"/>
              </w:rPr>
              <w:t>、发改价格</w:t>
            </w:r>
            <w:r>
              <w:rPr>
                <w:rFonts w:hint="eastAsia" w:hAnsi="宋体" w:eastAsia="等线" w:cs="宋体"/>
                <w:i w:val="0"/>
                <w:iCs w:val="0"/>
                <w:color w:val="auto"/>
                <w:kern w:val="0"/>
                <w:sz w:val="22"/>
                <w:szCs w:val="22"/>
                <w:highlight w:val="none"/>
                <w:u w:val="none"/>
                <w:lang w:val="en-US" w:eastAsia="zh-CN" w:bidi="ar"/>
              </w:rPr>
              <w:t>〔2015〕299号</w:t>
            </w:r>
          </w:p>
        </w:tc>
      </w:tr>
      <w:tr w14:paraId="1EFE0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314EB5">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6C42E1">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工程监理费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25A65">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4237B">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FEDB10">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43F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360.92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1CB42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360.92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60D6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1.62%</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4E2EA3">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发改价格</w:t>
            </w:r>
            <w:r>
              <w:rPr>
                <w:rFonts w:hint="eastAsia" w:hAnsi="宋体" w:eastAsia="等线" w:cs="宋体"/>
                <w:i w:val="0"/>
                <w:iCs w:val="0"/>
                <w:color w:val="auto"/>
                <w:kern w:val="0"/>
                <w:sz w:val="22"/>
                <w:szCs w:val="22"/>
                <w:highlight w:val="none"/>
                <w:u w:val="none"/>
                <w:lang w:val="en-US" w:eastAsia="zh-CN" w:bidi="ar"/>
              </w:rPr>
              <w:t>〔2007〕670号</w:t>
            </w:r>
            <w:r>
              <w:rPr>
                <w:rFonts w:hint="eastAsia" w:ascii="Times New Roman" w:hAnsi="宋体" w:eastAsia="等线" w:cs="宋体"/>
                <w:i w:val="0"/>
                <w:iCs w:val="0"/>
                <w:color w:val="auto"/>
                <w:kern w:val="0"/>
                <w:sz w:val="22"/>
                <w:szCs w:val="22"/>
                <w:highlight w:val="none"/>
                <w:u w:val="none"/>
                <w:lang w:val="en-US" w:eastAsia="zh-CN" w:bidi="ar"/>
              </w:rPr>
              <w:t>文、发改价格</w:t>
            </w:r>
            <w:r>
              <w:rPr>
                <w:rFonts w:hint="eastAsia" w:hAnsi="宋体" w:eastAsia="等线" w:cs="宋体"/>
                <w:i w:val="0"/>
                <w:iCs w:val="0"/>
                <w:color w:val="auto"/>
                <w:kern w:val="0"/>
                <w:sz w:val="22"/>
                <w:szCs w:val="22"/>
                <w:highlight w:val="none"/>
                <w:u w:val="none"/>
                <w:lang w:val="en-US" w:eastAsia="zh-CN" w:bidi="ar"/>
              </w:rPr>
              <w:t>〔2015〕299号</w:t>
            </w:r>
          </w:p>
        </w:tc>
      </w:tr>
      <w:tr w14:paraId="2C7AF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939841">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B6EA8D">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建设单位管理费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21C5B">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9EDA4">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073F9D">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2A73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263.20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13D67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263.20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4CD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1.18%</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EE27D2">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财建</w:t>
            </w:r>
            <w:r>
              <w:rPr>
                <w:rFonts w:hint="eastAsia" w:hAnsi="宋体" w:eastAsia="等线" w:cs="宋体"/>
                <w:i w:val="0"/>
                <w:iCs w:val="0"/>
                <w:color w:val="auto"/>
                <w:kern w:val="0"/>
                <w:sz w:val="22"/>
                <w:szCs w:val="22"/>
                <w:highlight w:val="none"/>
                <w:u w:val="none"/>
                <w:lang w:val="en-US" w:eastAsia="zh-CN" w:bidi="ar"/>
              </w:rPr>
              <w:t>〔2016〕504号</w:t>
            </w:r>
          </w:p>
        </w:tc>
      </w:tr>
      <w:tr w14:paraId="3113A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4FB8C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4981B6">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工程造价咨询费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30BF">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1AF5">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C6849C">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2E0D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271.78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DB520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271.78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A986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1.22%</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A14C6C">
            <w:pPr>
              <w:snapToGrid w:val="0"/>
              <w:ind w:left="0" w:leftChars="0" w:right="0" w:rightChars="0" w:firstLine="0" w:firstLineChars="0"/>
              <w:jc w:val="left"/>
              <w:rPr>
                <w:rFonts w:hint="default" w:ascii="Times New Roman" w:hAnsi="Times New Roman" w:eastAsia="等线" w:cs="Times New Roman"/>
                <w:i w:val="0"/>
                <w:iCs w:val="0"/>
                <w:color w:val="auto"/>
                <w:sz w:val="22"/>
                <w:szCs w:val="22"/>
                <w:u w:val="none"/>
              </w:rPr>
            </w:pPr>
          </w:p>
        </w:tc>
      </w:tr>
      <w:tr w14:paraId="5FC5F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91E62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8624B6">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工程量清单及控制价编制费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8B1A">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4E05">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6D855A">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7723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30.12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B9102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30.12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C7C7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0.13%</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08830C">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北京市建设工程造价咨询费用</w:t>
            </w:r>
          </w:p>
        </w:tc>
      </w:tr>
      <w:tr w14:paraId="358E9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2BEDB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537A62">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施工阶段全过程造价控制</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15D66">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E694A">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B0CBE3">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D543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155.69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77AB0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155.69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6938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0.70%</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7D4C09">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北京市建设工程造价咨询费用</w:t>
            </w:r>
          </w:p>
        </w:tc>
      </w:tr>
      <w:tr w14:paraId="39D8B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2D7B0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D122E6">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竣工结算审核费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FAD6C">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3A0A">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166E9C">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A42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85.97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A0BA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85.97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B060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0.39%</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61B697">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北京市建设工程造价咨询费用</w:t>
            </w:r>
          </w:p>
        </w:tc>
      </w:tr>
      <w:tr w14:paraId="59736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441962">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2621E">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工程保险费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131E5">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4F5BC">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1D05DB">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4A75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54.95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98C21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54.95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B244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0.25%</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4A3698">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工程费用</w:t>
            </w:r>
            <w:r>
              <w:rPr>
                <w:rFonts w:hint="default" w:ascii="Times New Roman" w:hAnsi="Times New Roman" w:eastAsia="等线" w:cs="Times New Roman"/>
                <w:i w:val="0"/>
                <w:iCs w:val="0"/>
                <w:color w:val="auto"/>
                <w:kern w:val="0"/>
                <w:sz w:val="22"/>
                <w:szCs w:val="22"/>
                <w:highlight w:val="none"/>
                <w:u w:val="none"/>
                <w:lang w:val="en-US" w:eastAsia="zh-CN" w:bidi="ar"/>
              </w:rPr>
              <w:t>*0.3%</w:t>
            </w:r>
            <w:r>
              <w:rPr>
                <w:rFonts w:hint="eastAsia" w:ascii="Times New Roman" w:hAnsi="宋体" w:eastAsia="等线" w:cs="宋体"/>
                <w:i w:val="0"/>
                <w:iCs w:val="0"/>
                <w:color w:val="auto"/>
                <w:kern w:val="0"/>
                <w:sz w:val="22"/>
                <w:szCs w:val="22"/>
                <w:highlight w:val="none"/>
                <w:u w:val="none"/>
                <w:lang w:val="en-US" w:eastAsia="zh-CN" w:bidi="ar"/>
              </w:rPr>
              <w:t>（</w:t>
            </w:r>
            <w:r>
              <w:rPr>
                <w:rFonts w:hint="default" w:ascii="Times New Roman" w:hAnsi="Times New Roman" w:eastAsia="等线" w:cs="Times New Roman"/>
                <w:i w:val="0"/>
                <w:iCs w:val="0"/>
                <w:color w:val="auto"/>
                <w:kern w:val="0"/>
                <w:sz w:val="22"/>
                <w:szCs w:val="22"/>
                <w:highlight w:val="none"/>
                <w:u w:val="none"/>
                <w:lang w:val="en-US" w:eastAsia="zh-CN" w:bidi="ar"/>
              </w:rPr>
              <w:t>0.3%-0.6%</w:t>
            </w:r>
            <w:r>
              <w:rPr>
                <w:rFonts w:hint="eastAsia" w:ascii="Times New Roman" w:hAnsi="宋体" w:eastAsia="等线" w:cs="宋体"/>
                <w:i w:val="0"/>
                <w:iCs w:val="0"/>
                <w:color w:val="auto"/>
                <w:kern w:val="0"/>
                <w:sz w:val="22"/>
                <w:szCs w:val="22"/>
                <w:highlight w:val="none"/>
                <w:u w:val="none"/>
                <w:lang w:val="en-US" w:eastAsia="zh-CN" w:bidi="ar"/>
              </w:rPr>
              <w:t>）</w:t>
            </w:r>
          </w:p>
        </w:tc>
      </w:tr>
      <w:tr w14:paraId="1243C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2D83C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0EED1E">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环境影响评价费报告编制费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0D2A">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38CE3">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2F7276">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E9C6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4.09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19784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4.09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6785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0.02%</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102D59">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计价格〔2002〕125号</w:t>
            </w:r>
          </w:p>
        </w:tc>
      </w:tr>
      <w:tr w14:paraId="15E7F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02B6A8">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16DB58">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环境保护税</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FA822">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48DD6">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048FDC">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AAE9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10.74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A1AA4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10.74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4F90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0.05%</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BF69A7">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北京市地方税务局北京市环境保护局关于发布《北京市环境保护税核定计算暂行办法》的公告</w:t>
            </w:r>
          </w:p>
        </w:tc>
      </w:tr>
      <w:tr w14:paraId="26B75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9FDCBE">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8EF38F">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水土保持方案编制费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32F01">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9987B">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6CC97F">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7849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7.62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E0B7A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7.62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1CC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0.03%</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383CAD">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京水务法</w:t>
            </w:r>
            <w:r>
              <w:rPr>
                <w:rFonts w:hint="eastAsia" w:hAnsi="宋体" w:eastAsia="等线" w:cs="宋体"/>
                <w:i w:val="0"/>
                <w:iCs w:val="0"/>
                <w:color w:val="auto"/>
                <w:kern w:val="0"/>
                <w:sz w:val="22"/>
                <w:szCs w:val="22"/>
                <w:highlight w:val="none"/>
                <w:u w:val="none"/>
                <w:lang w:val="en-US" w:eastAsia="zh-CN" w:bidi="ar"/>
              </w:rPr>
              <w:t>〔2014〕89号</w:t>
            </w:r>
            <w:r>
              <w:rPr>
                <w:rFonts w:hint="eastAsia" w:ascii="Times New Roman" w:hAnsi="宋体" w:eastAsia="等线" w:cs="宋体"/>
                <w:i w:val="0"/>
                <w:iCs w:val="0"/>
                <w:color w:val="auto"/>
                <w:kern w:val="0"/>
                <w:sz w:val="22"/>
                <w:szCs w:val="22"/>
                <w:highlight w:val="none"/>
                <w:u w:val="none"/>
                <w:lang w:val="en-US" w:eastAsia="zh-CN" w:bidi="ar"/>
              </w:rPr>
              <w:t>、京水务保〔2023〕17号</w:t>
            </w:r>
          </w:p>
        </w:tc>
      </w:tr>
      <w:tr w14:paraId="6BD16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FC7C0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84DF7A">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水土保持补偿费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7E654">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0D6DD">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4110D7">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0648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0.40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9B99F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0.40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DDB5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0.00%</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35A805">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京发改〔2021〕1271号</w:t>
            </w:r>
          </w:p>
        </w:tc>
      </w:tr>
      <w:tr w14:paraId="13F40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F36756">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905CCF">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社会稳定风险评估费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5FCE6">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D9F26">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2F46A4">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FF71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33.98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E2182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33.98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E8A2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0.15%</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3704CD">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参考计价格〔1999〕1283号文计取，按80%计取</w:t>
            </w:r>
          </w:p>
        </w:tc>
      </w:tr>
      <w:tr w14:paraId="583FF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BF041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082064">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交通影响评价费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FB647">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79A56">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EFCE4B">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0921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7.35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0F896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7.35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7A72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0.03%</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53BB6D">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市规发</w:t>
            </w:r>
            <w:r>
              <w:rPr>
                <w:rFonts w:hint="eastAsia" w:hAnsi="宋体" w:eastAsia="等线" w:cs="宋体"/>
                <w:i w:val="0"/>
                <w:iCs w:val="0"/>
                <w:color w:val="auto"/>
                <w:kern w:val="0"/>
                <w:sz w:val="22"/>
                <w:szCs w:val="22"/>
                <w:highlight w:val="none"/>
                <w:u w:val="none"/>
                <w:lang w:val="en-US" w:eastAsia="zh-CN" w:bidi="ar"/>
              </w:rPr>
              <w:t>〔</w:t>
            </w:r>
            <w:r>
              <w:rPr>
                <w:rFonts w:hint="eastAsia" w:ascii="Times New Roman" w:hAnsi="宋体" w:eastAsia="等线" w:cs="宋体"/>
                <w:i w:val="0"/>
                <w:iCs w:val="0"/>
                <w:color w:val="auto"/>
                <w:kern w:val="0"/>
                <w:sz w:val="22"/>
                <w:szCs w:val="22"/>
                <w:highlight w:val="none"/>
                <w:u w:val="none"/>
                <w:lang w:val="en-US" w:eastAsia="zh-CN" w:bidi="ar"/>
              </w:rPr>
              <w:t>2001</w:t>
            </w:r>
            <w:r>
              <w:rPr>
                <w:rFonts w:hint="eastAsia" w:hAnsi="宋体" w:eastAsia="等线" w:cs="宋体"/>
                <w:i w:val="0"/>
                <w:iCs w:val="0"/>
                <w:color w:val="auto"/>
                <w:kern w:val="0"/>
                <w:sz w:val="22"/>
                <w:szCs w:val="22"/>
                <w:highlight w:val="none"/>
                <w:u w:val="none"/>
                <w:lang w:val="en-US" w:eastAsia="zh-CN" w:bidi="ar"/>
              </w:rPr>
              <w:t>〕</w:t>
            </w:r>
            <w:r>
              <w:rPr>
                <w:rFonts w:hint="eastAsia" w:ascii="Times New Roman" w:hAnsi="宋体" w:eastAsia="等线" w:cs="宋体"/>
                <w:i w:val="0"/>
                <w:iCs w:val="0"/>
                <w:color w:val="auto"/>
                <w:kern w:val="0"/>
                <w:sz w:val="22"/>
                <w:szCs w:val="22"/>
                <w:highlight w:val="none"/>
                <w:u w:val="none"/>
                <w:lang w:val="en-US" w:eastAsia="zh-CN" w:bidi="ar"/>
              </w:rPr>
              <w:t>1001号</w:t>
            </w:r>
          </w:p>
        </w:tc>
      </w:tr>
      <w:tr w14:paraId="230CF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B07FB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F34232">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场地准备及临时设施费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0E89B">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6D14">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F10403">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0FC7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91.59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BA53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91.59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C5A6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0.41%</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8041F1">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工程费用</w:t>
            </w:r>
            <w:r>
              <w:rPr>
                <w:rFonts w:hint="default" w:ascii="Times New Roman" w:hAnsi="Times New Roman" w:eastAsia="等线" w:cs="Times New Roman"/>
                <w:i w:val="0"/>
                <w:iCs w:val="0"/>
                <w:color w:val="auto"/>
                <w:kern w:val="0"/>
                <w:sz w:val="22"/>
                <w:szCs w:val="22"/>
                <w:highlight w:val="none"/>
                <w:u w:val="none"/>
                <w:lang w:val="en-US" w:eastAsia="zh-CN" w:bidi="ar"/>
              </w:rPr>
              <w:t>*0.5%</w:t>
            </w:r>
            <w:r>
              <w:rPr>
                <w:rFonts w:hint="eastAsia" w:ascii="Times New Roman" w:hAnsi="宋体" w:eastAsia="等线" w:cs="宋体"/>
                <w:i w:val="0"/>
                <w:iCs w:val="0"/>
                <w:color w:val="auto"/>
                <w:kern w:val="0"/>
                <w:sz w:val="22"/>
                <w:szCs w:val="22"/>
                <w:highlight w:val="none"/>
                <w:u w:val="none"/>
                <w:lang w:val="en-US" w:eastAsia="zh-CN" w:bidi="ar"/>
              </w:rPr>
              <w:t>（</w:t>
            </w:r>
            <w:r>
              <w:rPr>
                <w:rFonts w:hint="default" w:ascii="Times New Roman" w:hAnsi="Times New Roman" w:eastAsia="等线" w:cs="Times New Roman"/>
                <w:i w:val="0"/>
                <w:iCs w:val="0"/>
                <w:color w:val="auto"/>
                <w:kern w:val="0"/>
                <w:sz w:val="22"/>
                <w:szCs w:val="22"/>
                <w:highlight w:val="none"/>
                <w:u w:val="none"/>
                <w:lang w:val="en-US" w:eastAsia="zh-CN" w:bidi="ar"/>
              </w:rPr>
              <w:t>0.5%-2%</w:t>
            </w:r>
            <w:r>
              <w:rPr>
                <w:rFonts w:hint="eastAsia" w:ascii="Times New Roman" w:hAnsi="宋体" w:eastAsia="等线" w:cs="宋体"/>
                <w:i w:val="0"/>
                <w:iCs w:val="0"/>
                <w:color w:val="auto"/>
                <w:kern w:val="0"/>
                <w:sz w:val="22"/>
                <w:szCs w:val="22"/>
                <w:highlight w:val="none"/>
                <w:u w:val="none"/>
                <w:lang w:val="en-US" w:eastAsia="zh-CN" w:bidi="ar"/>
              </w:rPr>
              <w:t>）</w:t>
            </w:r>
          </w:p>
        </w:tc>
      </w:tr>
      <w:tr w14:paraId="666E1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722E6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CC8155">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竣工图编制费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2DA6E">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7F01E">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C19C19">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7A8D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41.30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8FE30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41.30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080F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0.19%</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C28C25">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宋体" w:eastAsia="等线" w:cs="宋体"/>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计价格</w:t>
            </w:r>
            <w:r>
              <w:rPr>
                <w:rFonts w:hint="eastAsia" w:hAnsi="宋体" w:eastAsia="等线" w:cs="宋体"/>
                <w:i w:val="0"/>
                <w:iCs w:val="0"/>
                <w:color w:val="auto"/>
                <w:kern w:val="0"/>
                <w:sz w:val="22"/>
                <w:szCs w:val="22"/>
                <w:highlight w:val="none"/>
                <w:u w:val="none"/>
                <w:lang w:val="en-US" w:eastAsia="zh-CN" w:bidi="ar"/>
              </w:rPr>
              <w:t>〔2002〕10号，</w:t>
            </w:r>
            <w:r>
              <w:rPr>
                <w:rFonts w:hint="eastAsia" w:ascii="Times New Roman" w:hAnsi="宋体" w:eastAsia="等线" w:cs="宋体"/>
                <w:i w:val="0"/>
                <w:iCs w:val="0"/>
                <w:color w:val="auto"/>
                <w:kern w:val="0"/>
                <w:sz w:val="22"/>
                <w:szCs w:val="22"/>
                <w:highlight w:val="none"/>
                <w:u w:val="none"/>
                <w:lang w:val="en-US" w:eastAsia="zh-CN" w:bidi="ar"/>
              </w:rPr>
              <w:t>按照设计费的</w:t>
            </w:r>
            <w:r>
              <w:rPr>
                <w:rFonts w:hint="default" w:ascii="Times New Roman" w:hAnsi="Times New Roman" w:eastAsia="等线" w:cs="Times New Roman"/>
                <w:i w:val="0"/>
                <w:iCs w:val="0"/>
                <w:color w:val="auto"/>
                <w:kern w:val="0"/>
                <w:sz w:val="22"/>
                <w:szCs w:val="22"/>
                <w:highlight w:val="none"/>
                <w:u w:val="none"/>
                <w:lang w:val="en-US" w:eastAsia="zh-CN" w:bidi="ar"/>
              </w:rPr>
              <w:t>8%</w:t>
            </w:r>
            <w:r>
              <w:rPr>
                <w:rFonts w:hint="eastAsia" w:ascii="Times New Roman" w:hAnsi="宋体" w:eastAsia="等线" w:cs="宋体"/>
                <w:i w:val="0"/>
                <w:iCs w:val="0"/>
                <w:color w:val="auto"/>
                <w:kern w:val="0"/>
                <w:sz w:val="22"/>
                <w:szCs w:val="22"/>
                <w:highlight w:val="none"/>
                <w:u w:val="none"/>
                <w:lang w:val="en-US" w:eastAsia="zh-CN" w:bidi="ar"/>
              </w:rPr>
              <w:t>计取</w:t>
            </w:r>
          </w:p>
        </w:tc>
      </w:tr>
      <w:tr w14:paraId="291A0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49408F">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b/>
                <w:bCs/>
                <w:i w:val="0"/>
                <w:iCs w:val="0"/>
                <w:color w:val="auto"/>
                <w:sz w:val="22"/>
                <w:szCs w:val="22"/>
                <w:u w:val="none"/>
              </w:rPr>
            </w:pPr>
            <w:r>
              <w:rPr>
                <w:rFonts w:hint="eastAsia" w:ascii="Times New Roman" w:hAnsi="宋体" w:eastAsia="等线" w:cs="宋体"/>
                <w:b/>
                <w:bCs/>
                <w:i w:val="0"/>
                <w:iCs w:val="0"/>
                <w:color w:val="auto"/>
                <w:kern w:val="0"/>
                <w:sz w:val="22"/>
                <w:szCs w:val="22"/>
                <w:highlight w:val="none"/>
                <w:u w:val="none"/>
                <w:lang w:val="en-US" w:eastAsia="zh-CN" w:bidi="ar"/>
              </w:rPr>
              <w:t>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09B9BF">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b/>
                <w:bCs/>
                <w:i w:val="0"/>
                <w:iCs w:val="0"/>
                <w:color w:val="auto"/>
                <w:sz w:val="22"/>
                <w:szCs w:val="22"/>
                <w:u w:val="none"/>
              </w:rPr>
            </w:pPr>
            <w:r>
              <w:rPr>
                <w:rFonts w:hint="eastAsia" w:ascii="Times New Roman" w:hAnsi="宋体" w:eastAsia="等线" w:cs="宋体"/>
                <w:b/>
                <w:bCs/>
                <w:i w:val="0"/>
                <w:iCs w:val="0"/>
                <w:color w:val="auto"/>
                <w:kern w:val="0"/>
                <w:sz w:val="22"/>
                <w:szCs w:val="22"/>
                <w:highlight w:val="none"/>
                <w:u w:val="none"/>
                <w:lang w:val="en-US" w:eastAsia="zh-CN" w:bidi="ar"/>
              </w:rPr>
              <w:t>预备费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70B3C">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F4A4C">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8D0B2F">
            <w:pPr>
              <w:snapToGrid w:val="0"/>
              <w:ind w:left="0" w:leftChars="0" w:right="0" w:rightChars="0" w:firstLine="0" w:firstLineChars="0"/>
              <w:jc w:val="center"/>
              <w:rPr>
                <w:rFonts w:hint="default" w:ascii="Times New Roman" w:hAnsi="Times New Roman" w:eastAsia="等线" w:cs="Times New Roman"/>
                <w:b/>
                <w:bCs/>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1A0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1608.82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3750D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1608.82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7E7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7.21%</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6A4392">
            <w:pPr>
              <w:snapToGrid w:val="0"/>
              <w:ind w:left="0" w:leftChars="0" w:right="0" w:rightChars="0" w:firstLine="0" w:firstLineChars="0"/>
              <w:jc w:val="left"/>
              <w:rPr>
                <w:rFonts w:hint="default" w:ascii="Times New Roman" w:hAnsi="Times New Roman" w:eastAsia="等线" w:cs="Times New Roman"/>
                <w:b/>
                <w:bCs/>
                <w:i w:val="0"/>
                <w:iCs w:val="0"/>
                <w:color w:val="auto"/>
                <w:sz w:val="22"/>
                <w:szCs w:val="22"/>
                <w:u w:val="none"/>
              </w:rPr>
            </w:pPr>
          </w:p>
        </w:tc>
      </w:tr>
      <w:tr w14:paraId="4A9EF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37C617">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448CE7">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i w:val="0"/>
                <w:iCs w:val="0"/>
                <w:color w:val="auto"/>
                <w:sz w:val="22"/>
                <w:szCs w:val="22"/>
                <w:u w:val="none"/>
              </w:rPr>
            </w:pPr>
            <w:r>
              <w:rPr>
                <w:rFonts w:hint="eastAsia" w:ascii="Times New Roman" w:hAnsi="宋体" w:eastAsia="等线" w:cs="宋体"/>
                <w:i w:val="0"/>
                <w:iCs w:val="0"/>
                <w:color w:val="auto"/>
                <w:kern w:val="0"/>
                <w:sz w:val="22"/>
                <w:szCs w:val="22"/>
                <w:highlight w:val="none"/>
                <w:u w:val="none"/>
                <w:lang w:val="en-US" w:eastAsia="zh-CN" w:bidi="ar"/>
              </w:rPr>
              <w:t>预备费</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656CF">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992CF">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4BDEDE">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6D5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1608.82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FCB75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 xml:space="preserve">1608.82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6991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i w:val="0"/>
                <w:iCs w:val="0"/>
                <w:color w:val="auto"/>
                <w:sz w:val="22"/>
                <w:szCs w:val="22"/>
                <w:u w:val="none"/>
              </w:rPr>
            </w:pPr>
            <w:r>
              <w:rPr>
                <w:rFonts w:hint="default" w:ascii="Times New Roman" w:hAnsi="Times New Roman" w:eastAsia="等线" w:cs="Times New Roman"/>
                <w:i w:val="0"/>
                <w:iCs w:val="0"/>
                <w:color w:val="auto"/>
                <w:kern w:val="0"/>
                <w:sz w:val="22"/>
                <w:szCs w:val="22"/>
                <w:highlight w:val="none"/>
                <w:u w:val="none"/>
                <w:lang w:val="en-US" w:eastAsia="zh-CN" w:bidi="ar"/>
              </w:rPr>
              <w:t>7.21%</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7E4FCF">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8%</w:t>
            </w:r>
          </w:p>
        </w:tc>
      </w:tr>
      <w:tr w14:paraId="03D9E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2672E2">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b/>
                <w:bCs/>
                <w:i w:val="0"/>
                <w:iCs w:val="0"/>
                <w:color w:val="auto"/>
                <w:sz w:val="22"/>
                <w:szCs w:val="22"/>
                <w:u w:val="none"/>
              </w:rPr>
            </w:pPr>
            <w:r>
              <w:rPr>
                <w:rFonts w:hint="eastAsia" w:ascii="Times New Roman" w:hAnsi="宋体" w:eastAsia="等线" w:cs="宋体"/>
                <w:b/>
                <w:bCs/>
                <w:i w:val="0"/>
                <w:iCs w:val="0"/>
                <w:color w:val="auto"/>
                <w:kern w:val="0"/>
                <w:sz w:val="22"/>
                <w:szCs w:val="22"/>
                <w:highlight w:val="none"/>
                <w:u w:val="none"/>
                <w:lang w:val="en-US" w:eastAsia="zh-CN" w:bidi="ar"/>
              </w:rPr>
              <w:t>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398768">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b/>
                <w:bCs/>
                <w:i w:val="0"/>
                <w:iCs w:val="0"/>
                <w:color w:val="auto"/>
                <w:sz w:val="22"/>
                <w:szCs w:val="22"/>
                <w:u w:val="none"/>
              </w:rPr>
            </w:pPr>
            <w:r>
              <w:rPr>
                <w:rFonts w:hint="eastAsia" w:ascii="Times New Roman" w:hAnsi="宋体" w:eastAsia="等线" w:cs="宋体"/>
                <w:b/>
                <w:bCs/>
                <w:i w:val="0"/>
                <w:iCs w:val="0"/>
                <w:color w:val="auto"/>
                <w:kern w:val="0"/>
                <w:sz w:val="22"/>
                <w:szCs w:val="22"/>
                <w:highlight w:val="none"/>
                <w:u w:val="none"/>
                <w:lang w:val="en-US" w:eastAsia="zh-CN" w:bidi="ar"/>
              </w:rPr>
              <w:t>建设投资</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F5557">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94B63">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EF5231">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C41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22236.00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BA997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22236.00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5356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99.62%</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E3C1DA">
            <w:pPr>
              <w:snapToGrid w:val="0"/>
              <w:ind w:left="0" w:leftChars="0" w:right="0" w:rightChars="0" w:firstLine="0" w:firstLineChars="0"/>
              <w:jc w:val="left"/>
              <w:rPr>
                <w:rFonts w:hint="default" w:ascii="Times New Roman" w:hAnsi="Times New Roman" w:eastAsia="等线" w:cs="Times New Roman"/>
                <w:b/>
                <w:bCs/>
                <w:i w:val="0"/>
                <w:iCs w:val="0"/>
                <w:color w:val="auto"/>
                <w:sz w:val="22"/>
                <w:szCs w:val="22"/>
                <w:u w:val="none"/>
              </w:rPr>
            </w:pPr>
          </w:p>
        </w:tc>
      </w:tr>
      <w:tr w14:paraId="799FB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AA1D8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b/>
                <w:bCs/>
                <w:i w:val="0"/>
                <w:iCs w:val="0"/>
                <w:color w:val="auto"/>
                <w:sz w:val="22"/>
                <w:szCs w:val="22"/>
                <w:u w:val="none"/>
              </w:rPr>
            </w:pPr>
            <w:r>
              <w:rPr>
                <w:rFonts w:hint="eastAsia" w:ascii="Times New Roman" w:hAnsi="宋体" w:eastAsia="等线" w:cs="宋体"/>
                <w:b/>
                <w:bCs/>
                <w:i w:val="0"/>
                <w:iCs w:val="0"/>
                <w:color w:val="auto"/>
                <w:kern w:val="0"/>
                <w:sz w:val="22"/>
                <w:szCs w:val="22"/>
                <w:highlight w:val="none"/>
                <w:u w:val="none"/>
                <w:lang w:val="en-US" w:eastAsia="zh-CN" w:bidi="ar"/>
              </w:rPr>
              <w:t>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6A733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b/>
                <w:bCs/>
                <w:i w:val="0"/>
                <w:iCs w:val="0"/>
                <w:color w:val="auto"/>
                <w:sz w:val="22"/>
                <w:szCs w:val="22"/>
                <w:u w:val="none"/>
              </w:rPr>
            </w:pPr>
            <w:r>
              <w:rPr>
                <w:rFonts w:hint="eastAsia" w:ascii="Times New Roman" w:hAnsi="宋体" w:eastAsia="等线" w:cs="宋体"/>
                <w:b/>
                <w:bCs/>
                <w:i w:val="0"/>
                <w:iCs w:val="0"/>
                <w:color w:val="auto"/>
                <w:kern w:val="0"/>
                <w:sz w:val="22"/>
                <w:szCs w:val="22"/>
                <w:highlight w:val="none"/>
                <w:u w:val="none"/>
                <w:lang w:val="en-US" w:eastAsia="zh-CN" w:bidi="ar"/>
              </w:rPr>
              <w:t>建设期利息</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4E9D9">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6BCDC">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14E02F">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D476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83.75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F8839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83.75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E0D6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0.38%</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7A9BEF">
            <w:pPr>
              <w:snapToGrid w:val="0"/>
              <w:ind w:left="0" w:leftChars="0" w:right="0" w:rightChars="0" w:firstLine="0" w:firstLineChars="0"/>
              <w:jc w:val="left"/>
              <w:rPr>
                <w:rFonts w:hint="default" w:ascii="Times New Roman" w:hAnsi="Times New Roman" w:eastAsia="等线" w:cs="Times New Roman"/>
                <w:b/>
                <w:bCs/>
                <w:i w:val="0"/>
                <w:iCs w:val="0"/>
                <w:color w:val="auto"/>
                <w:sz w:val="22"/>
                <w:szCs w:val="22"/>
                <w:u w:val="none"/>
              </w:rPr>
            </w:pPr>
          </w:p>
        </w:tc>
      </w:tr>
      <w:tr w14:paraId="255B8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7" w:hRule="atLeast"/>
          <w:jc w:val="center"/>
        </w:trPr>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DA85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b/>
                <w:bCs/>
                <w:i w:val="0"/>
                <w:iCs w:val="0"/>
                <w:color w:val="auto"/>
                <w:sz w:val="22"/>
                <w:szCs w:val="22"/>
                <w:u w:val="none"/>
              </w:rPr>
            </w:pPr>
            <w:r>
              <w:rPr>
                <w:rFonts w:hint="eastAsia" w:ascii="Times New Roman" w:hAnsi="宋体" w:eastAsia="等线" w:cs="宋体"/>
                <w:b/>
                <w:bCs/>
                <w:i w:val="0"/>
                <w:iCs w:val="0"/>
                <w:color w:val="auto"/>
                <w:kern w:val="0"/>
                <w:sz w:val="22"/>
                <w:szCs w:val="22"/>
                <w:highlight w:val="none"/>
                <w:u w:val="none"/>
                <w:lang w:val="en-US" w:eastAsia="zh-CN" w:bidi="ar"/>
              </w:rPr>
              <w:t>六</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695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等线" w:cs="Times New Roman"/>
                <w:b/>
                <w:bCs/>
                <w:i w:val="0"/>
                <w:iCs w:val="0"/>
                <w:color w:val="auto"/>
                <w:sz w:val="22"/>
                <w:szCs w:val="22"/>
                <w:u w:val="none"/>
              </w:rPr>
            </w:pPr>
            <w:r>
              <w:rPr>
                <w:rFonts w:hint="eastAsia" w:ascii="Times New Roman" w:hAnsi="宋体" w:eastAsia="等线" w:cs="宋体"/>
                <w:b/>
                <w:bCs/>
                <w:i w:val="0"/>
                <w:iCs w:val="0"/>
                <w:color w:val="auto"/>
                <w:kern w:val="0"/>
                <w:sz w:val="22"/>
                <w:szCs w:val="22"/>
                <w:highlight w:val="none"/>
                <w:u w:val="none"/>
                <w:lang w:val="en-US" w:eastAsia="zh-CN" w:bidi="ar"/>
              </w:rPr>
              <w:t>总投资</w:t>
            </w: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D3EF6">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81D3B">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B8141">
            <w:pPr>
              <w:snapToGrid w:val="0"/>
              <w:ind w:left="0" w:leftChars="0" w:right="0" w:rightChars="0" w:firstLine="0" w:firstLineChars="0"/>
              <w:jc w:val="center"/>
              <w:rPr>
                <w:rFonts w:hint="default" w:ascii="Times New Roman" w:hAnsi="Times New Roman" w:eastAsia="等线" w:cs="Times New Roman"/>
                <w:i w:val="0"/>
                <w:iCs w:val="0"/>
                <w:color w:val="auto"/>
                <w:sz w:val="22"/>
                <w:szCs w:val="22"/>
                <w:u w:val="none"/>
              </w:rPr>
            </w:pP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E61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22319.75 </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D768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 xml:space="preserve">22319.75 </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EEC2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等线" w:cs="Times New Roman"/>
                <w:b/>
                <w:bCs/>
                <w:i w:val="0"/>
                <w:iCs w:val="0"/>
                <w:color w:val="auto"/>
                <w:sz w:val="22"/>
                <w:szCs w:val="22"/>
                <w:u w:val="none"/>
              </w:rPr>
            </w:pPr>
            <w:r>
              <w:rPr>
                <w:rFonts w:hint="default" w:ascii="Times New Roman" w:hAnsi="Times New Roman" w:eastAsia="等线" w:cs="Times New Roman"/>
                <w:b/>
                <w:bCs/>
                <w:i w:val="0"/>
                <w:iCs w:val="0"/>
                <w:color w:val="auto"/>
                <w:kern w:val="0"/>
                <w:sz w:val="22"/>
                <w:szCs w:val="22"/>
                <w:highlight w:val="none"/>
                <w:u w:val="none"/>
                <w:lang w:val="en-US" w:eastAsia="zh-CN" w:bidi="ar"/>
              </w:rPr>
              <w:t>100.00%</w:t>
            </w:r>
          </w:p>
        </w:tc>
        <w:tc>
          <w:tcPr>
            <w:tcW w:w="4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57E533">
            <w:pPr>
              <w:snapToGrid w:val="0"/>
              <w:ind w:left="0" w:leftChars="0" w:right="0" w:rightChars="0" w:firstLine="0" w:firstLineChars="0"/>
              <w:jc w:val="left"/>
              <w:rPr>
                <w:rFonts w:hint="default" w:ascii="Times New Roman" w:hAnsi="Times New Roman" w:eastAsia="等线" w:cs="Times New Roman"/>
                <w:b/>
                <w:bCs/>
                <w:i w:val="0"/>
                <w:iCs w:val="0"/>
                <w:color w:val="auto"/>
                <w:sz w:val="22"/>
                <w:szCs w:val="22"/>
                <w:u w:val="none"/>
              </w:rPr>
            </w:pPr>
          </w:p>
        </w:tc>
      </w:tr>
    </w:tbl>
    <w:p w14:paraId="2646CD78">
      <w:pPr>
        <w:bidi w:val="0"/>
        <w:ind w:left="0" w:leftChars="0" w:firstLine="0" w:firstLineChars="0"/>
        <w:rPr>
          <w:rFonts w:hint="eastAsia" w:ascii="仿宋" w:hAnsi="仿宋" w:eastAsia="仿宋"/>
          <w:color w:val="auto"/>
          <w:sz w:val="24"/>
          <w:szCs w:val="24"/>
        </w:rPr>
      </w:pPr>
      <w:r>
        <w:rPr>
          <w:rFonts w:hint="eastAsia" w:ascii="仿宋" w:hAnsi="仿宋" w:eastAsia="仿宋"/>
          <w:color w:val="auto"/>
          <w:sz w:val="24"/>
          <w:szCs w:val="24"/>
        </w:rPr>
        <w:t>注：表中数据均为参考现有资料取得，最终以政府方相关文件的核准、批复及审核的结果为准。</w:t>
      </w:r>
    </w:p>
    <w:p w14:paraId="445221D0">
      <w:pPr>
        <w:pStyle w:val="20"/>
        <w:ind w:firstLine="0" w:firstLineChars="0"/>
        <w:rPr>
          <w:rFonts w:hint="eastAsia" w:ascii="仿宋" w:hAnsi="仿宋" w:eastAsia="仿宋"/>
          <w:color w:val="auto"/>
          <w:sz w:val="24"/>
          <w:szCs w:val="24"/>
          <w:highlight w:val="none"/>
          <w:lang w:val="en-US" w:eastAsia="zh-CN"/>
        </w:rPr>
        <w:sectPr>
          <w:pgSz w:w="16838" w:h="11906" w:orient="landscape"/>
          <w:pgMar w:top="1440" w:right="1800" w:bottom="1440" w:left="1800" w:header="851" w:footer="680" w:gutter="0"/>
          <w:pgNumType w:fmt="decimal"/>
          <w:cols w:space="0" w:num="1"/>
          <w:rtlGutter w:val="0"/>
          <w:docGrid w:type="lines" w:linePitch="332" w:charSpace="0"/>
        </w:sectPr>
      </w:pPr>
    </w:p>
    <w:p w14:paraId="3EDB0282">
      <w:pPr>
        <w:pStyle w:val="3"/>
        <w:bidi w:val="0"/>
        <w:ind w:left="575" w:hanging="575"/>
        <w:rPr>
          <w:rFonts w:hint="eastAsia" w:ascii="仿宋" w:hAnsi="仿宋" w:eastAsia="仿宋" w:cs="仿宋"/>
          <w:color w:val="auto"/>
          <w:highlight w:val="none"/>
          <w:lang w:val="en-US" w:eastAsia="zh-CN"/>
        </w:rPr>
      </w:pPr>
      <w:bookmarkStart w:id="76" w:name="_Toc30484"/>
      <w:bookmarkStart w:id="77" w:name="_Toc5185"/>
      <w:bookmarkStart w:id="78" w:name="_Toc20524"/>
      <w:bookmarkStart w:id="79" w:name="_Toc16582"/>
      <w:r>
        <w:rPr>
          <w:rFonts w:hint="eastAsia" w:ascii="仿宋" w:hAnsi="仿宋" w:eastAsia="仿宋" w:cs="仿宋"/>
          <w:color w:val="auto"/>
          <w:highlight w:val="none"/>
          <w:lang w:val="en-US" w:eastAsia="zh-CN"/>
        </w:rPr>
        <w:t>要素保障条件</w:t>
      </w:r>
      <w:bookmarkEnd w:id="76"/>
      <w:bookmarkEnd w:id="77"/>
      <w:bookmarkEnd w:id="78"/>
      <w:bookmarkEnd w:id="79"/>
    </w:p>
    <w:p w14:paraId="7641F039">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用地条件</w:t>
      </w:r>
    </w:p>
    <w:p w14:paraId="1C101BA9">
      <w:pPr>
        <w:bidi w:val="0"/>
        <w:rPr>
          <w:rFonts w:hint="eastAsia" w:ascii="仿宋" w:hAnsi="仿宋" w:eastAsia="仿宋"/>
          <w:color w:val="auto"/>
          <w:lang w:val="en-US" w:eastAsia="zh-CN"/>
        </w:rPr>
      </w:pPr>
      <w:r>
        <w:rPr>
          <w:rFonts w:hint="eastAsia" w:ascii="仿宋" w:hAnsi="仿宋" w:eastAsia="仿宋"/>
          <w:color w:val="auto"/>
          <w:lang w:val="en-US" w:eastAsia="zh-CN"/>
        </w:rPr>
        <w:t>本项目用地面积为13000.00㎡，用地性质为</w:t>
      </w:r>
      <w:r>
        <w:rPr>
          <w:rFonts w:hint="eastAsia" w:ascii="仿宋" w:hAnsi="仿宋" w:eastAsia="仿宋"/>
          <w:color w:val="auto"/>
          <w:highlight w:val="none"/>
          <w:lang w:val="en-US" w:eastAsia="zh-CN"/>
        </w:rPr>
        <w:t>公园绿地及社会停车场用地</w:t>
      </w:r>
      <w:r>
        <w:rPr>
          <w:rFonts w:hint="eastAsia" w:ascii="仿宋" w:hAnsi="仿宋" w:eastAsia="仿宋"/>
          <w:color w:val="auto"/>
          <w:lang w:val="en-US" w:eastAsia="zh-CN"/>
        </w:rPr>
        <w:t>，用地四至为：北至建设胡同；南至东门巷；西至上营胡同；东至密云一小新建教学楼。</w:t>
      </w:r>
    </w:p>
    <w:p w14:paraId="19BC31C3">
      <w:pPr>
        <w:bidi w:val="0"/>
        <w:rPr>
          <w:rFonts w:hint="eastAsia" w:ascii="仿宋" w:hAnsi="仿宋" w:eastAsia="仿宋"/>
          <w:color w:val="auto"/>
        </w:rPr>
      </w:pPr>
      <w:r>
        <w:rPr>
          <w:rFonts w:hint="eastAsia" w:ascii="仿宋" w:hAnsi="仿宋" w:eastAsia="仿宋"/>
          <w:color w:val="auto"/>
          <w:lang w:val="en-US" w:eastAsia="zh-CN"/>
        </w:rPr>
        <w:t>本项目用地呈规则矩形，</w:t>
      </w:r>
      <w:r>
        <w:rPr>
          <w:rFonts w:hint="eastAsia" w:ascii="仿宋" w:hAnsi="仿宋" w:eastAsia="仿宋"/>
          <w:color w:val="auto"/>
        </w:rPr>
        <w:t>项目区位条件优越、地理位置适中，周边交通网络通达性良好，出行便捷高效；周边环境静谧宜居，无明显</w:t>
      </w:r>
      <w:r>
        <w:rPr>
          <w:rFonts w:hint="eastAsia" w:ascii="仿宋" w:hAnsi="仿宋" w:eastAsia="仿宋"/>
          <w:color w:val="auto"/>
          <w:lang w:eastAsia="zh-CN"/>
        </w:rPr>
        <w:t>噪声</w:t>
      </w:r>
      <w:r>
        <w:rPr>
          <w:rFonts w:hint="eastAsia" w:ascii="仿宋" w:hAnsi="仿宋" w:eastAsia="仿宋"/>
          <w:color w:val="auto"/>
        </w:rPr>
        <w:t>干扰，且地形规整平坦，为项目规划建设提供了有利条件；同时，地块远离易燃易爆物品的生产与存储区域，安全环境可控，符合项目建设的安全选址要求。</w:t>
      </w:r>
    </w:p>
    <w:p w14:paraId="544B2EDC">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资源环境承载能力、生态环境敏感区等其他支撑条件</w:t>
      </w:r>
    </w:p>
    <w:p w14:paraId="45479470">
      <w:pPr>
        <w:bidi w:val="0"/>
        <w:rPr>
          <w:rFonts w:hint="eastAsia" w:ascii="仿宋" w:hAnsi="仿宋" w:eastAsia="仿宋"/>
          <w:color w:val="auto"/>
          <w:lang w:val="en-US" w:eastAsia="zh-CN"/>
        </w:rPr>
      </w:pPr>
      <w:r>
        <w:rPr>
          <w:rFonts w:hint="eastAsia" w:ascii="仿宋" w:hAnsi="仿宋" w:eastAsia="仿宋"/>
          <w:color w:val="auto"/>
          <w:lang w:val="en-US" w:eastAsia="zh-CN"/>
        </w:rPr>
        <w:t>本项目用地未涉及生态保护红线范围，不触碰生态安全底线。项目运营期产生的污水、噪声、扬尘等污染物排放均满足北京市及区域环境质量底线要求，不会对周边环境质量造成负面影响。项目水耗、能耗均控制在区域资源利用上限范围内，通过节水、节能设计，确保资源利用效率符合管控要求。项目属于城市停车设施建设类民生工程，不属于禁止或限制类项目。</w:t>
      </w:r>
    </w:p>
    <w:p w14:paraId="3C51642F">
      <w:pPr>
        <w:bidi w:val="0"/>
        <w:rPr>
          <w:rFonts w:hint="eastAsia" w:ascii="仿宋" w:hAnsi="仿宋" w:eastAsia="仿宋"/>
          <w:color w:val="auto"/>
          <w:lang w:val="en-US" w:eastAsia="zh-CN"/>
        </w:rPr>
      </w:pPr>
      <w:r>
        <w:rPr>
          <w:rFonts w:hint="eastAsia" w:ascii="仿宋" w:hAnsi="仿宋" w:eastAsia="仿宋"/>
          <w:color w:val="auto"/>
          <w:lang w:val="en-US" w:eastAsia="zh-CN"/>
        </w:rPr>
        <w:t>本项目主要消耗的资源为水资源，主要消耗的能源为电力，项目采用节能设计、绿色建材与智慧运营模式，单位泊位碳排放强度处于行业较低水平，符合北京市碳达峰、碳中和相关管控要求。</w:t>
      </w:r>
    </w:p>
    <w:p w14:paraId="5666AF21">
      <w:pPr>
        <w:bidi w:val="0"/>
        <w:rPr>
          <w:rFonts w:hint="eastAsia" w:ascii="仿宋" w:hAnsi="仿宋" w:eastAsia="仿宋"/>
          <w:color w:val="auto"/>
          <w:lang w:val="en-US" w:eastAsia="zh-CN"/>
        </w:rPr>
      </w:pPr>
      <w:r>
        <w:rPr>
          <w:rFonts w:hint="eastAsia" w:ascii="仿宋" w:hAnsi="仿宋" w:eastAsia="仿宋"/>
          <w:color w:val="auto"/>
          <w:lang w:val="en-US" w:eastAsia="zh-CN"/>
        </w:rPr>
        <w:t>本项目用地及周边未涉及自然保护区、饮用水水源保护区、文物保护单位等生态环境敏感区；区域资源环境承载能力可支撑本项目建设运营，项目通过海绵城市设计等措施，可进一步提升区域生态环境韧性，与周边生态系统形成良性互动。</w:t>
      </w:r>
    </w:p>
    <w:p w14:paraId="6A9FBA87">
      <w:pPr>
        <w:pStyle w:val="3"/>
        <w:bidi w:val="0"/>
        <w:ind w:left="575" w:hanging="575"/>
        <w:rPr>
          <w:rFonts w:hint="eastAsia" w:ascii="仿宋" w:hAnsi="仿宋" w:eastAsia="仿宋" w:cs="仿宋"/>
          <w:color w:val="auto"/>
          <w:highlight w:val="none"/>
          <w:lang w:val="en-US" w:eastAsia="zh-CN"/>
        </w:rPr>
      </w:pPr>
      <w:bookmarkStart w:id="80" w:name="_Toc719"/>
      <w:bookmarkStart w:id="81" w:name="_Toc26036"/>
      <w:bookmarkStart w:id="82" w:name="_Toc13467"/>
      <w:bookmarkStart w:id="83" w:name="_Toc28914"/>
      <w:r>
        <w:rPr>
          <w:rFonts w:hint="eastAsia" w:ascii="仿宋" w:hAnsi="仿宋" w:eastAsia="仿宋" w:cs="仿宋"/>
          <w:color w:val="auto"/>
          <w:highlight w:val="none"/>
          <w:lang w:val="en-US" w:eastAsia="zh-CN"/>
        </w:rPr>
        <w:t>运营服务要求</w:t>
      </w:r>
      <w:bookmarkEnd w:id="80"/>
      <w:bookmarkEnd w:id="81"/>
      <w:bookmarkEnd w:id="82"/>
      <w:bookmarkEnd w:id="83"/>
    </w:p>
    <w:p w14:paraId="4571A2CE">
      <w:pPr>
        <w:bidi w:val="0"/>
        <w:rPr>
          <w:rFonts w:hint="eastAsia" w:ascii="仿宋" w:hAnsi="仿宋" w:eastAsia="仿宋"/>
          <w:color w:val="auto"/>
        </w:rPr>
      </w:pPr>
      <w:r>
        <w:rPr>
          <w:rFonts w:hint="eastAsia" w:ascii="仿宋" w:hAnsi="仿宋" w:eastAsia="仿宋"/>
          <w:color w:val="auto"/>
          <w:lang w:val="en-US" w:eastAsia="zh-CN"/>
        </w:rPr>
        <w:t>为保障特许经营者在经营过程中能够持续提供规范、安全的高质量服务，针对项目</w:t>
      </w:r>
      <w:r>
        <w:rPr>
          <w:rFonts w:hint="eastAsia" w:ascii="仿宋" w:hAnsi="仿宋" w:eastAsia="仿宋"/>
          <w:color w:val="auto"/>
        </w:rPr>
        <w:t>经营状况、服务质量和效率、社会稳定程度、安全生产等方面</w:t>
      </w:r>
      <w:r>
        <w:rPr>
          <w:rFonts w:hint="eastAsia" w:ascii="仿宋" w:hAnsi="仿宋" w:eastAsia="仿宋"/>
          <w:color w:val="auto"/>
          <w:lang w:val="en-US" w:eastAsia="zh-CN"/>
        </w:rPr>
        <w:t>提出以下</w:t>
      </w:r>
      <w:r>
        <w:rPr>
          <w:rFonts w:hint="eastAsia" w:ascii="仿宋" w:hAnsi="仿宋" w:eastAsia="仿宋"/>
          <w:color w:val="auto"/>
        </w:rPr>
        <w:t>要求</w:t>
      </w:r>
      <w:r>
        <w:rPr>
          <w:rFonts w:hint="eastAsia" w:ascii="仿宋" w:hAnsi="仿宋" w:eastAsia="仿宋"/>
          <w:color w:val="auto"/>
          <w:lang w:eastAsia="zh-CN"/>
        </w:rPr>
        <w:t>，</w:t>
      </w:r>
      <w:r>
        <w:rPr>
          <w:rFonts w:hint="eastAsia" w:ascii="仿宋" w:hAnsi="仿宋" w:eastAsia="仿宋"/>
          <w:color w:val="auto"/>
          <w:lang w:val="en-US" w:eastAsia="zh-CN"/>
        </w:rPr>
        <w:t>并形成运营服务绩效考核评分办法，便于政府方监督、考核特许经营者运营服务水平</w:t>
      </w:r>
      <w:r>
        <w:rPr>
          <w:rFonts w:hint="eastAsia" w:ascii="仿宋" w:hAnsi="仿宋" w:eastAsia="仿宋"/>
          <w:color w:val="auto"/>
        </w:rPr>
        <w:t>。</w:t>
      </w:r>
    </w:p>
    <w:p w14:paraId="51663216">
      <w:pPr>
        <w:pStyle w:val="30"/>
        <w:keepNext w:val="0"/>
        <w:keepLines w:val="0"/>
        <w:pageBreakBefore w:val="0"/>
        <w:widowControl w:val="0"/>
        <w:kinsoku/>
        <w:wordWrap/>
        <w:overflowPunct/>
        <w:topLinePunct w:val="0"/>
        <w:autoSpaceDE/>
        <w:autoSpaceDN/>
        <w:bidi w:val="0"/>
        <w:adjustRightInd/>
        <w:snapToGrid w:val="0"/>
        <w:ind w:left="0" w:leftChars="0" w:firstLine="0" w:firstLineChars="0"/>
        <w:jc w:val="center"/>
        <w:textAlignment w:val="auto"/>
        <w:rPr>
          <w:rFonts w:hint="eastAsia" w:ascii="仿宋" w:hAnsi="仿宋" w:eastAsia="仿宋"/>
          <w:b/>
          <w:bCs/>
          <w:color w:val="auto"/>
          <w:sz w:val="24"/>
          <w:szCs w:val="24"/>
          <w:highlight w:val="none"/>
        </w:rPr>
        <w:sectPr>
          <w:footerReference r:id="rId15" w:type="default"/>
          <w:footerReference r:id="rId16" w:type="even"/>
          <w:pgSz w:w="11907" w:h="16839"/>
          <w:pgMar w:top="1440" w:right="1800" w:bottom="1440" w:left="1800" w:header="851" w:footer="624" w:gutter="0"/>
          <w:pgNumType w:fmt="decimal"/>
          <w:cols w:space="720" w:num="1"/>
          <w:docGrid w:type="lines" w:linePitch="326" w:charSpace="0"/>
        </w:sectPr>
      </w:pPr>
    </w:p>
    <w:p w14:paraId="779A4176">
      <w:pPr>
        <w:pStyle w:val="30"/>
        <w:keepNext w:val="0"/>
        <w:keepLines w:val="0"/>
        <w:pageBreakBefore w:val="0"/>
        <w:widowControl w:val="0"/>
        <w:kinsoku/>
        <w:wordWrap/>
        <w:overflowPunct/>
        <w:topLinePunct w:val="0"/>
        <w:autoSpaceDE/>
        <w:autoSpaceDN/>
        <w:bidi w:val="0"/>
        <w:adjustRightInd/>
        <w:snapToGrid w:val="0"/>
        <w:ind w:left="0" w:leftChars="0" w:firstLine="0" w:firstLineChars="0"/>
        <w:jc w:val="center"/>
        <w:textAlignment w:val="auto"/>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表</w:t>
      </w:r>
      <w:r>
        <w:rPr>
          <w:rFonts w:hint="eastAsia" w:ascii="仿宋" w:hAnsi="仿宋" w:eastAsia="仿宋"/>
          <w:b/>
          <w:bCs/>
          <w:color w:val="auto"/>
          <w:sz w:val="24"/>
          <w:szCs w:val="24"/>
          <w:highlight w:val="none"/>
          <w:lang w:val="en-US" w:eastAsia="zh-CN"/>
        </w:rPr>
        <w:t>2-2</w:t>
      </w:r>
      <w:r>
        <w:rPr>
          <w:rFonts w:hint="eastAsia" w:ascii="仿宋" w:hAnsi="仿宋" w:eastAsia="仿宋"/>
          <w:b/>
          <w:bCs/>
          <w:color w:val="auto"/>
          <w:sz w:val="24"/>
          <w:szCs w:val="24"/>
          <w:highlight w:val="none"/>
        </w:rPr>
        <w:t>运营服务考核评分表</w:t>
      </w:r>
    </w:p>
    <w:tbl>
      <w:tblPr>
        <w:tblStyle w:val="31"/>
        <w:tblW w:w="1392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79"/>
        <w:gridCol w:w="1599"/>
        <w:gridCol w:w="6049"/>
        <w:gridCol w:w="4084"/>
        <w:gridCol w:w="1109"/>
      </w:tblGrid>
      <w:tr w14:paraId="489DC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blHeader/>
        </w:trPr>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DCCD2">
            <w:pPr>
              <w:keepNext w:val="0"/>
              <w:keepLines w:val="0"/>
              <w:widowControl/>
              <w:suppressLineNumbers w:val="0"/>
              <w:spacing w:line="240" w:lineRule="auto"/>
              <w:ind w:left="0" w:leftChars="0" w:firstLine="0" w:firstLineChars="0"/>
              <w:jc w:val="center"/>
              <w:textAlignment w:val="center"/>
              <w:rPr>
                <w:rFonts w:ascii="仿宋" w:hAnsi="仿宋" w:eastAsia="仿宋" w:cs="仿宋"/>
                <w:b/>
                <w:bCs/>
                <w:i w:val="0"/>
                <w:iCs w:val="0"/>
                <w:color w:val="auto"/>
                <w:sz w:val="22"/>
                <w:szCs w:val="22"/>
                <w:u w:val="none"/>
              </w:rPr>
            </w:pPr>
            <w:r>
              <w:rPr>
                <w:rFonts w:hint="eastAsia" w:ascii="仿宋" w:hAnsi="仿宋" w:eastAsia="仿宋" w:cs="仿宋"/>
                <w:b/>
                <w:bCs/>
                <w:i w:val="0"/>
                <w:iCs w:val="0"/>
                <w:color w:val="auto"/>
                <w:kern w:val="0"/>
                <w:sz w:val="22"/>
                <w:szCs w:val="22"/>
                <w:highlight w:val="none"/>
                <w:u w:val="none"/>
                <w:lang w:val="en-US" w:eastAsia="zh-CN" w:bidi="ar"/>
              </w:rPr>
              <w:t>序号</w:t>
            </w:r>
          </w:p>
        </w:tc>
        <w:tc>
          <w:tcPr>
            <w:tcW w:w="1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FC43">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color w:val="auto"/>
                <w:kern w:val="0"/>
                <w:sz w:val="22"/>
                <w:szCs w:val="22"/>
                <w:highlight w:val="none"/>
                <w:u w:val="none"/>
                <w:lang w:val="en-US" w:eastAsia="zh-CN" w:bidi="ar"/>
              </w:rPr>
              <w:t>项目</w:t>
            </w:r>
          </w:p>
        </w:tc>
        <w:tc>
          <w:tcPr>
            <w:tcW w:w="6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EEAA7">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color w:val="auto"/>
                <w:kern w:val="0"/>
                <w:sz w:val="22"/>
                <w:szCs w:val="22"/>
                <w:highlight w:val="none"/>
                <w:u w:val="none"/>
                <w:lang w:val="en-US" w:eastAsia="zh-CN" w:bidi="ar"/>
              </w:rPr>
              <w:t>考核内容</w:t>
            </w:r>
          </w:p>
        </w:tc>
        <w:tc>
          <w:tcPr>
            <w:tcW w:w="4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261E2">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color w:val="auto"/>
                <w:kern w:val="0"/>
                <w:sz w:val="22"/>
                <w:szCs w:val="22"/>
                <w:highlight w:val="none"/>
                <w:u w:val="none"/>
                <w:lang w:val="en-US" w:eastAsia="zh-CN" w:bidi="ar"/>
              </w:rPr>
              <w:t>考核标准</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44202">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color w:val="auto"/>
                <w:kern w:val="0"/>
                <w:sz w:val="22"/>
                <w:szCs w:val="22"/>
                <w:highlight w:val="none"/>
                <w:u w:val="none"/>
                <w:lang w:val="en-US" w:eastAsia="zh-CN" w:bidi="ar"/>
              </w:rPr>
              <w:t>分值</w:t>
            </w:r>
          </w:p>
        </w:tc>
      </w:tr>
      <w:tr w14:paraId="0858C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D9541">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color w:val="auto"/>
                <w:kern w:val="0"/>
                <w:sz w:val="22"/>
                <w:szCs w:val="22"/>
                <w:highlight w:val="none"/>
                <w:u w:val="none"/>
                <w:lang w:val="en-US" w:eastAsia="zh-CN" w:bidi="ar"/>
              </w:rPr>
              <w:t>一</w:t>
            </w:r>
          </w:p>
        </w:tc>
        <w:tc>
          <w:tcPr>
            <w:tcW w:w="1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CE7F4">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kern w:val="0"/>
                <w:sz w:val="22"/>
                <w:szCs w:val="22"/>
                <w:highlight w:val="none"/>
                <w:u w:val="none"/>
                <w:lang w:val="en-US" w:eastAsia="zh-CN" w:bidi="ar"/>
              </w:rPr>
            </w:pPr>
            <w:r>
              <w:rPr>
                <w:rFonts w:hint="eastAsia" w:ascii="仿宋" w:hAnsi="仿宋" w:eastAsia="仿宋" w:cs="仿宋"/>
                <w:b/>
                <w:bCs/>
                <w:i w:val="0"/>
                <w:iCs w:val="0"/>
                <w:color w:val="auto"/>
                <w:kern w:val="0"/>
                <w:sz w:val="22"/>
                <w:szCs w:val="22"/>
                <w:highlight w:val="none"/>
                <w:u w:val="none"/>
                <w:lang w:val="en-US" w:eastAsia="zh-CN" w:bidi="ar"/>
              </w:rPr>
              <w:t>收费流程与财务管理</w:t>
            </w:r>
          </w:p>
          <w:p w14:paraId="26AF4A59">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color w:val="auto"/>
                <w:kern w:val="0"/>
                <w:sz w:val="22"/>
                <w:szCs w:val="22"/>
                <w:highlight w:val="none"/>
                <w:u w:val="none"/>
                <w:lang w:val="en-US" w:eastAsia="zh-CN" w:bidi="ar"/>
              </w:rPr>
              <w:t>（20 分）</w:t>
            </w:r>
          </w:p>
        </w:tc>
        <w:tc>
          <w:tcPr>
            <w:tcW w:w="6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0F051">
            <w:pPr>
              <w:keepNext w:val="0"/>
              <w:keepLines w:val="0"/>
              <w:widowControl/>
              <w:suppressLineNumbers w:val="0"/>
              <w:spacing w:line="240" w:lineRule="auto"/>
              <w:ind w:left="0" w:leftChars="0" w:firstLine="0" w:firstLineChars="0"/>
              <w:jc w:val="both"/>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1.停车费、充电桩充电收费流程标准化，收费标准、计费规则对外公示清晰；</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2.严禁私设收费账户、私搭收费程序、私收现金，严禁隐匿、截留营业收入，收费数据唯一、透明、可追溯；</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3.财务系统与收费系统数据实时同步，日清日结，建立简易高效对账机制，留存对账台账；</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4.票据、减免、退费流程规范，所有收支留存纸质/电子凭证，收费设备定期备份数据，无篡改、删除营收记录。</w:t>
            </w:r>
          </w:p>
        </w:tc>
        <w:tc>
          <w:tcPr>
            <w:tcW w:w="4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A7355">
            <w:pPr>
              <w:keepNext w:val="0"/>
              <w:keepLines w:val="0"/>
              <w:widowControl/>
              <w:suppressLineNumbers w:val="0"/>
              <w:spacing w:line="240" w:lineRule="auto"/>
              <w:ind w:left="0" w:leftChars="0" w:firstLine="0" w:firstLineChars="0"/>
              <w:jc w:val="both"/>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1.本条项下任意管理要求每处不达标扣 1 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2.私设账户、私收现金、隐匿营收等严重违规行为，单次直接扣 10 分，并单独追责；</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3.对账数据不一致、票据缺失、台账造假，每例扣 2 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4.整改超期未完成，每项加扣 1 分。</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7E77B">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20</w:t>
            </w:r>
          </w:p>
        </w:tc>
      </w:tr>
      <w:tr w14:paraId="5FB11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1B171">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color w:val="auto"/>
                <w:kern w:val="0"/>
                <w:sz w:val="22"/>
                <w:szCs w:val="22"/>
                <w:highlight w:val="none"/>
                <w:u w:val="none"/>
                <w:lang w:val="en-US" w:eastAsia="zh-CN" w:bidi="ar"/>
              </w:rPr>
              <w:t>二</w:t>
            </w:r>
          </w:p>
        </w:tc>
        <w:tc>
          <w:tcPr>
            <w:tcW w:w="1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64A65">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kern w:val="0"/>
                <w:sz w:val="22"/>
                <w:szCs w:val="22"/>
                <w:highlight w:val="none"/>
                <w:u w:val="none"/>
                <w:lang w:val="en-US" w:eastAsia="zh-CN" w:bidi="ar"/>
              </w:rPr>
            </w:pPr>
            <w:r>
              <w:rPr>
                <w:rFonts w:hint="eastAsia" w:ascii="仿宋" w:hAnsi="仿宋" w:eastAsia="仿宋" w:cs="仿宋"/>
                <w:b/>
                <w:bCs/>
                <w:i w:val="0"/>
                <w:iCs w:val="0"/>
                <w:color w:val="auto"/>
                <w:kern w:val="0"/>
                <w:sz w:val="22"/>
                <w:szCs w:val="22"/>
                <w:highlight w:val="none"/>
                <w:u w:val="none"/>
                <w:lang w:val="en-US" w:eastAsia="zh-CN" w:bidi="ar"/>
              </w:rPr>
              <w:t>基础设施管理</w:t>
            </w:r>
          </w:p>
          <w:p w14:paraId="4D02FDB6">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color w:val="auto"/>
                <w:kern w:val="0"/>
                <w:sz w:val="22"/>
                <w:szCs w:val="22"/>
                <w:highlight w:val="none"/>
                <w:u w:val="none"/>
                <w:lang w:val="en-US" w:eastAsia="zh-CN" w:bidi="ar"/>
              </w:rPr>
              <w:t>（15 分）</w:t>
            </w:r>
          </w:p>
        </w:tc>
        <w:tc>
          <w:tcPr>
            <w:tcW w:w="6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195F">
            <w:pPr>
              <w:keepNext w:val="0"/>
              <w:keepLines w:val="0"/>
              <w:widowControl/>
              <w:suppressLineNumbers w:val="0"/>
              <w:spacing w:line="240" w:lineRule="auto"/>
              <w:ind w:left="0" w:leftChars="0" w:firstLine="0" w:firstLineChars="0"/>
              <w:jc w:val="both"/>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1.场内行车、分区、出入口引导标识连贯流畅，无导向冲突、缺失；</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2.充电桩专属车位标识醒目清晰，燃油占位提示牌完整；</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3.充电桩操作指引、安全警示、报修电话提示完整清晰；</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4.指示牌杆件牢固，无歪斜、松动、倒伏；</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5.指示牌牌面完好无破损、掉漆、文字模糊；地面车位标线、导向箭头定期补划，无大面积磨损褪色。</w:t>
            </w:r>
          </w:p>
        </w:tc>
        <w:tc>
          <w:tcPr>
            <w:tcW w:w="4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D2983">
            <w:pPr>
              <w:keepNext w:val="0"/>
              <w:keepLines w:val="0"/>
              <w:widowControl/>
              <w:suppressLineNumbers w:val="0"/>
              <w:spacing w:line="240" w:lineRule="auto"/>
              <w:ind w:left="0" w:leftChars="0" w:firstLine="0" w:firstLineChars="0"/>
              <w:jc w:val="both"/>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1.缺失、模糊、杆件歪斜、牌面破损，每处扣 1 分；地面标线严重磨损未及时修复，每区域扣 2 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2.充电区无专属标识、无安全提示，每处扣 2 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3.整改超期未完成，每项加扣 1 分。</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C70ED">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15</w:t>
            </w:r>
          </w:p>
        </w:tc>
      </w:tr>
      <w:tr w14:paraId="0A739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2" w:hRule="atLeast"/>
        </w:trPr>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DC889">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color w:val="auto"/>
                <w:kern w:val="0"/>
                <w:sz w:val="22"/>
                <w:szCs w:val="22"/>
                <w:highlight w:val="none"/>
                <w:u w:val="none"/>
                <w:lang w:val="en-US" w:eastAsia="zh-CN" w:bidi="ar"/>
              </w:rPr>
              <w:t>三</w:t>
            </w:r>
          </w:p>
        </w:tc>
        <w:tc>
          <w:tcPr>
            <w:tcW w:w="1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9C438">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kern w:val="0"/>
                <w:sz w:val="22"/>
                <w:szCs w:val="22"/>
                <w:highlight w:val="none"/>
                <w:u w:val="none"/>
                <w:lang w:val="en-US" w:eastAsia="zh-CN" w:bidi="ar"/>
              </w:rPr>
            </w:pPr>
            <w:r>
              <w:rPr>
                <w:rFonts w:hint="eastAsia" w:ascii="仿宋" w:hAnsi="仿宋" w:eastAsia="仿宋" w:cs="仿宋"/>
                <w:b/>
                <w:bCs/>
                <w:i w:val="0"/>
                <w:iCs w:val="0"/>
                <w:color w:val="auto"/>
                <w:kern w:val="0"/>
                <w:sz w:val="22"/>
                <w:szCs w:val="22"/>
                <w:highlight w:val="none"/>
                <w:u w:val="none"/>
                <w:lang w:val="en-US" w:eastAsia="zh-CN" w:bidi="ar"/>
              </w:rPr>
              <w:t>设备要求及维护管理</w:t>
            </w:r>
          </w:p>
          <w:p w14:paraId="0CF3B347">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color w:val="auto"/>
                <w:kern w:val="0"/>
                <w:sz w:val="22"/>
                <w:szCs w:val="22"/>
                <w:highlight w:val="none"/>
                <w:u w:val="none"/>
                <w:lang w:val="en-US" w:eastAsia="zh-CN" w:bidi="ar"/>
              </w:rPr>
              <w:t>（18 分）</w:t>
            </w:r>
          </w:p>
        </w:tc>
        <w:tc>
          <w:tcPr>
            <w:tcW w:w="6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18619">
            <w:pPr>
              <w:keepNext w:val="0"/>
              <w:keepLines w:val="0"/>
              <w:widowControl/>
              <w:suppressLineNumbers w:val="0"/>
              <w:spacing w:line="240" w:lineRule="auto"/>
              <w:ind w:left="0" w:leftChars="0" w:firstLine="0" w:firstLineChars="0"/>
              <w:jc w:val="both"/>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1.道闸、车牌识别、照明、监控等停车设备出现故障需及时维修更换；</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2.充电桩建立定期维保计划，完整记录维保过程、隐患处置情况；定期检测充电功率、温控、漏电保护等关键参数；</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3.故障设备 24 小时内到场响应检修；无法当场修复的，7 日内完成配件更换；因厂家缺货需提供加盖公章的备件延期说明，修复期限可顺延；</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4.充电枪、线缆无老化破损，故障充电桩张贴停用警示；所有设备建立一机一档管理档案。</w:t>
            </w:r>
          </w:p>
        </w:tc>
        <w:tc>
          <w:tcPr>
            <w:tcW w:w="4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ED0DF">
            <w:pPr>
              <w:keepNext w:val="0"/>
              <w:keepLines w:val="0"/>
              <w:widowControl/>
              <w:suppressLineNumbers w:val="0"/>
              <w:spacing w:line="240" w:lineRule="auto"/>
              <w:ind w:left="0" w:leftChars="0" w:firstLine="0" w:firstLineChars="0"/>
              <w:jc w:val="both"/>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1.设备故障 24 小时无维修响应，每例扣 1 分；7 日内未更换且无厂家延期说明，再加扣 1 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2.充电桩未按期保养、无维保记录、未定期检测参数，每台次扣 1 分；线缆破损、枪头损坏未停用维修，每台扣 2 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3.设备巡检、档案资料空白缺失，每次扣 2 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4.整改超期未完成，每项加扣 1 分。</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B9EE8">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18</w:t>
            </w:r>
          </w:p>
        </w:tc>
      </w:tr>
      <w:tr w14:paraId="4A48D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10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B9A420">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color w:val="auto"/>
                <w:kern w:val="0"/>
                <w:sz w:val="22"/>
                <w:szCs w:val="22"/>
                <w:highlight w:val="none"/>
                <w:u w:val="none"/>
                <w:lang w:val="en-US" w:eastAsia="zh-CN" w:bidi="ar"/>
              </w:rPr>
              <w:t>四</w:t>
            </w:r>
          </w:p>
        </w:tc>
        <w:tc>
          <w:tcPr>
            <w:tcW w:w="15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27D30">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kern w:val="0"/>
                <w:sz w:val="22"/>
                <w:szCs w:val="22"/>
                <w:highlight w:val="none"/>
                <w:u w:val="none"/>
                <w:lang w:val="en-US" w:eastAsia="zh-CN" w:bidi="ar"/>
              </w:rPr>
            </w:pPr>
            <w:r>
              <w:rPr>
                <w:rFonts w:hint="eastAsia" w:ascii="仿宋" w:hAnsi="仿宋" w:eastAsia="仿宋" w:cs="仿宋"/>
                <w:b/>
                <w:bCs/>
                <w:i w:val="0"/>
                <w:iCs w:val="0"/>
                <w:color w:val="auto"/>
                <w:kern w:val="0"/>
                <w:sz w:val="22"/>
                <w:szCs w:val="22"/>
                <w:highlight w:val="none"/>
                <w:u w:val="none"/>
                <w:lang w:val="en-US" w:eastAsia="zh-CN" w:bidi="ar"/>
              </w:rPr>
              <w:t>安全生产管理</w:t>
            </w:r>
          </w:p>
          <w:p w14:paraId="43AB636A">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color w:val="auto"/>
                <w:kern w:val="0"/>
                <w:sz w:val="22"/>
                <w:szCs w:val="22"/>
                <w:highlight w:val="none"/>
                <w:u w:val="none"/>
                <w:lang w:val="en-US" w:eastAsia="zh-CN" w:bidi="ar"/>
              </w:rPr>
              <w:t>（22 分）</w:t>
            </w:r>
          </w:p>
        </w:tc>
        <w:tc>
          <w:tcPr>
            <w:tcW w:w="6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954FD">
            <w:pPr>
              <w:keepNext w:val="0"/>
              <w:keepLines w:val="0"/>
              <w:widowControl/>
              <w:suppressLineNumbers w:val="0"/>
              <w:spacing w:line="240" w:lineRule="auto"/>
              <w:ind w:left="0" w:leftChars="0" w:firstLine="0" w:firstLineChars="0"/>
              <w:jc w:val="both"/>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1.消防安全管理 （1）按规范配齐灭火器、消防栓、应急照明、疏散指示标志，所有消防器材在有效期内； （2）每月开展消防器材巡检，每季度组织消防演练，留存检查记录、演练影像及总结； （3）车库内严禁堆放纸箱、油漆、化工品等易燃易爆杂物。</w:t>
            </w:r>
          </w:p>
        </w:tc>
        <w:tc>
          <w:tcPr>
            <w:tcW w:w="40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2815D">
            <w:pPr>
              <w:keepNext w:val="0"/>
              <w:keepLines w:val="0"/>
              <w:widowControl/>
              <w:suppressLineNumbers w:val="0"/>
              <w:spacing w:line="240" w:lineRule="auto"/>
              <w:ind w:left="0" w:leftChars="0" w:firstLine="0" w:firstLineChars="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1.消防器材缺失、过期、损坏，消防通道堵塞、堆放易燃物，每处扣 2 分；未按期开展消防检查、演练，每次扣 3 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2.充电区巡逻缺位、安全隐患未及时处置，每处扣 2 分；充电桩告警未及时处理，每台扣 1 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3.监控失效、巡逻台账空白、应急预案缺失，每项扣 2 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4.安全事故分级扣分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 xml:space="preserve"> （1）轻微安全事件（无人员受伤，直接经济损失 2000 元以内），处置流程规范、无损失扩大：每起扣 3 分；处置迟缓、无完整留存记录，追加扣 2 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 xml:space="preserve"> （2）一般安全责任事故（10 人以下轻伤，无人员死亡；直接经济损失 2000 元～1000 万元）：单次扣 10 分；因日常巡检、维保缺位导致事故，额外追加扣 5 分； </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 xml:space="preserve">（3）较大安全责任事故（3～10 人重伤，或 1～2 人死亡；直接经济损失 1000 万～5000 万元）：本项 22 分全部扣除，总分额外扣 15 分，当月绩效直接判定不合格； </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（4）重大、特别重大安全事故（10 人及以上死亡、50 人以上重伤、直接经济损失 5000 万元以上）：当月考核总分直接计 0 分，全额扣除月度绩效，对负责人约谈、调岗，情节严重依法追究管理责任；</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5.事故发生后瞒报、迟报、销毁现场证据、伪造台账，每起额外扣 8 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6.事故引发媒体曝光、大规模车主投诉、监管部门通报批评，一次性额外扣 6 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7.整改通知书超期未完成，每项加扣 1 分。</w:t>
            </w:r>
          </w:p>
        </w:tc>
        <w:tc>
          <w:tcPr>
            <w:tcW w:w="11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B0D98E">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22</w:t>
            </w:r>
          </w:p>
        </w:tc>
      </w:tr>
      <w:tr w14:paraId="29777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1889C">
            <w:pPr>
              <w:spacing w:line="240" w:lineRule="auto"/>
              <w:ind w:left="0" w:leftChars="0" w:firstLine="0" w:firstLineChars="0"/>
              <w:jc w:val="center"/>
              <w:rPr>
                <w:rFonts w:hint="eastAsia" w:ascii="仿宋" w:hAnsi="仿宋" w:eastAsia="仿宋" w:cs="仿宋"/>
                <w:b/>
                <w:bCs/>
                <w:i w:val="0"/>
                <w:iCs w:val="0"/>
                <w:color w:val="auto"/>
                <w:sz w:val="22"/>
                <w:szCs w:val="22"/>
                <w:u w:val="none"/>
              </w:rPr>
            </w:pPr>
          </w:p>
        </w:tc>
        <w:tc>
          <w:tcPr>
            <w:tcW w:w="15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9CDD5">
            <w:pPr>
              <w:spacing w:line="240" w:lineRule="auto"/>
              <w:ind w:left="0" w:leftChars="0" w:firstLine="0" w:firstLineChars="0"/>
              <w:jc w:val="center"/>
              <w:rPr>
                <w:rFonts w:hint="eastAsia" w:ascii="仿宋" w:hAnsi="仿宋" w:eastAsia="仿宋" w:cs="仿宋"/>
                <w:b/>
                <w:bCs/>
                <w:i w:val="0"/>
                <w:iCs w:val="0"/>
                <w:color w:val="auto"/>
                <w:sz w:val="22"/>
                <w:szCs w:val="22"/>
                <w:u w:val="none"/>
              </w:rPr>
            </w:pPr>
          </w:p>
        </w:tc>
        <w:tc>
          <w:tcPr>
            <w:tcW w:w="6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39A0B">
            <w:pPr>
              <w:keepNext w:val="0"/>
              <w:keepLines w:val="0"/>
              <w:widowControl/>
              <w:suppressLineNumbers w:val="0"/>
              <w:spacing w:line="240" w:lineRule="auto"/>
              <w:ind w:left="0" w:leftChars="0" w:firstLine="0" w:firstLineChars="0"/>
              <w:jc w:val="both"/>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2.消防通道与疏散管理 （1）消防主通道、人行疏散通道全程畅通，无车辆、杂物占道堵塞； （2）消防禁停标线、警示标识齐全完整，保障火灾、险情下人车快速疏散。</w:t>
            </w:r>
          </w:p>
        </w:tc>
        <w:tc>
          <w:tcPr>
            <w:tcW w:w="40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D1085">
            <w:pPr>
              <w:spacing w:line="240" w:lineRule="auto"/>
              <w:ind w:left="0" w:leftChars="0" w:firstLine="0" w:firstLineChars="0"/>
              <w:jc w:val="left"/>
              <w:rPr>
                <w:rFonts w:hint="eastAsia" w:ascii="仿宋" w:hAnsi="仿宋" w:eastAsia="仿宋" w:cs="仿宋"/>
                <w:i w:val="0"/>
                <w:iCs w:val="0"/>
                <w:color w:val="auto"/>
                <w:sz w:val="22"/>
                <w:szCs w:val="22"/>
                <w:u w:val="none"/>
              </w:rPr>
            </w:pPr>
          </w:p>
        </w:tc>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C3819">
            <w:pPr>
              <w:spacing w:line="240" w:lineRule="auto"/>
              <w:ind w:left="0" w:leftChars="0" w:firstLine="0" w:firstLineChars="0"/>
              <w:jc w:val="center"/>
              <w:rPr>
                <w:rFonts w:hint="eastAsia" w:ascii="仿宋" w:hAnsi="仿宋" w:eastAsia="仿宋" w:cs="仿宋"/>
                <w:i w:val="0"/>
                <w:iCs w:val="0"/>
                <w:color w:val="auto"/>
                <w:sz w:val="22"/>
                <w:szCs w:val="22"/>
                <w:u w:val="none"/>
              </w:rPr>
            </w:pPr>
          </w:p>
        </w:tc>
      </w:tr>
      <w:tr w14:paraId="7D02D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082F5">
            <w:pPr>
              <w:spacing w:line="240" w:lineRule="auto"/>
              <w:ind w:left="0" w:leftChars="0" w:firstLine="0" w:firstLineChars="0"/>
              <w:jc w:val="center"/>
              <w:rPr>
                <w:rFonts w:hint="eastAsia" w:ascii="仿宋" w:hAnsi="仿宋" w:eastAsia="仿宋" w:cs="仿宋"/>
                <w:b/>
                <w:bCs/>
                <w:i w:val="0"/>
                <w:iCs w:val="0"/>
                <w:color w:val="auto"/>
                <w:sz w:val="22"/>
                <w:szCs w:val="22"/>
                <w:u w:val="none"/>
              </w:rPr>
            </w:pPr>
          </w:p>
        </w:tc>
        <w:tc>
          <w:tcPr>
            <w:tcW w:w="15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CEACA">
            <w:pPr>
              <w:spacing w:line="240" w:lineRule="auto"/>
              <w:ind w:left="0" w:leftChars="0" w:firstLine="0" w:firstLineChars="0"/>
              <w:jc w:val="center"/>
              <w:rPr>
                <w:rFonts w:hint="eastAsia" w:ascii="仿宋" w:hAnsi="仿宋" w:eastAsia="仿宋" w:cs="仿宋"/>
                <w:b/>
                <w:bCs/>
                <w:i w:val="0"/>
                <w:iCs w:val="0"/>
                <w:color w:val="auto"/>
                <w:sz w:val="22"/>
                <w:szCs w:val="22"/>
                <w:u w:val="none"/>
              </w:rPr>
            </w:pPr>
          </w:p>
        </w:tc>
        <w:tc>
          <w:tcPr>
            <w:tcW w:w="6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68ED6">
            <w:pPr>
              <w:keepNext w:val="0"/>
              <w:keepLines w:val="0"/>
              <w:widowControl/>
              <w:suppressLineNumbers w:val="0"/>
              <w:spacing w:line="240" w:lineRule="auto"/>
              <w:ind w:left="0" w:leftChars="0" w:firstLine="0" w:firstLineChars="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3.充电安全管控 （1）安保每 2 小时巡查充电区域，及时排查线路发热、线缆破损、私拉飞线充电等隐患； （2）充电桩智能漏电、高温预警信息第一时间处置；充电区配备专用灭火器材。</w:t>
            </w:r>
          </w:p>
        </w:tc>
        <w:tc>
          <w:tcPr>
            <w:tcW w:w="40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91900">
            <w:pPr>
              <w:spacing w:line="240" w:lineRule="auto"/>
              <w:ind w:left="0" w:leftChars="0" w:firstLine="0" w:firstLineChars="0"/>
              <w:jc w:val="left"/>
              <w:rPr>
                <w:rFonts w:hint="eastAsia" w:ascii="仿宋" w:hAnsi="仿宋" w:eastAsia="仿宋" w:cs="仿宋"/>
                <w:i w:val="0"/>
                <w:iCs w:val="0"/>
                <w:color w:val="auto"/>
                <w:sz w:val="22"/>
                <w:szCs w:val="22"/>
                <w:u w:val="none"/>
              </w:rPr>
            </w:pPr>
          </w:p>
        </w:tc>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3E90D">
            <w:pPr>
              <w:spacing w:line="240" w:lineRule="auto"/>
              <w:ind w:left="0" w:leftChars="0" w:firstLine="0" w:firstLineChars="0"/>
              <w:jc w:val="center"/>
              <w:rPr>
                <w:rFonts w:hint="eastAsia" w:ascii="仿宋" w:hAnsi="仿宋" w:eastAsia="仿宋" w:cs="仿宋"/>
                <w:i w:val="0"/>
                <w:iCs w:val="0"/>
                <w:color w:val="auto"/>
                <w:sz w:val="22"/>
                <w:szCs w:val="22"/>
                <w:u w:val="none"/>
              </w:rPr>
            </w:pPr>
          </w:p>
        </w:tc>
      </w:tr>
      <w:tr w14:paraId="21B10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35550">
            <w:pPr>
              <w:spacing w:line="240" w:lineRule="auto"/>
              <w:ind w:left="0" w:leftChars="0" w:firstLine="0" w:firstLineChars="0"/>
              <w:jc w:val="center"/>
              <w:rPr>
                <w:rFonts w:hint="eastAsia" w:ascii="仿宋" w:hAnsi="仿宋" w:eastAsia="仿宋" w:cs="仿宋"/>
                <w:b/>
                <w:bCs/>
                <w:i w:val="0"/>
                <w:iCs w:val="0"/>
                <w:color w:val="auto"/>
                <w:sz w:val="22"/>
                <w:szCs w:val="22"/>
                <w:u w:val="none"/>
              </w:rPr>
            </w:pPr>
          </w:p>
        </w:tc>
        <w:tc>
          <w:tcPr>
            <w:tcW w:w="15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E4A8E">
            <w:pPr>
              <w:spacing w:line="240" w:lineRule="auto"/>
              <w:ind w:left="0" w:leftChars="0" w:firstLine="0" w:firstLineChars="0"/>
              <w:jc w:val="center"/>
              <w:rPr>
                <w:rFonts w:hint="eastAsia" w:ascii="仿宋" w:hAnsi="仿宋" w:eastAsia="仿宋" w:cs="仿宋"/>
                <w:b/>
                <w:bCs/>
                <w:i w:val="0"/>
                <w:iCs w:val="0"/>
                <w:color w:val="auto"/>
                <w:sz w:val="22"/>
                <w:szCs w:val="22"/>
                <w:u w:val="none"/>
              </w:rPr>
            </w:pPr>
          </w:p>
        </w:tc>
        <w:tc>
          <w:tcPr>
            <w:tcW w:w="6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2D0D">
            <w:pPr>
              <w:keepNext w:val="0"/>
              <w:keepLines w:val="0"/>
              <w:widowControl/>
              <w:suppressLineNumbers w:val="0"/>
              <w:spacing w:line="240" w:lineRule="auto"/>
              <w:ind w:left="0" w:leftChars="0" w:firstLine="0" w:firstLineChars="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4.治安与综合安全防范 （1）全场监控全覆盖、设备正常运行，录像留存不少于 30 天； （2）安保定时巡逻并填写巡逻台账，及时制止车窗未关、贵重物品外露等风险； （3）完善火灾、触电、车辆损毁、人员受伤等突发事件应急预案，全员熟知处置流程；定期排查地面积水、吊顶脱落、管道渗漏等环境隐患。</w:t>
            </w:r>
          </w:p>
        </w:tc>
        <w:tc>
          <w:tcPr>
            <w:tcW w:w="40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C20F0">
            <w:pPr>
              <w:spacing w:line="240" w:lineRule="auto"/>
              <w:ind w:left="0" w:leftChars="0" w:firstLine="0" w:firstLineChars="0"/>
              <w:jc w:val="left"/>
              <w:rPr>
                <w:rFonts w:hint="eastAsia" w:ascii="仿宋" w:hAnsi="仿宋" w:eastAsia="仿宋" w:cs="仿宋"/>
                <w:i w:val="0"/>
                <w:iCs w:val="0"/>
                <w:color w:val="auto"/>
                <w:sz w:val="22"/>
                <w:szCs w:val="22"/>
                <w:u w:val="none"/>
              </w:rPr>
            </w:pPr>
          </w:p>
        </w:tc>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5DE2D">
            <w:pPr>
              <w:spacing w:line="240" w:lineRule="auto"/>
              <w:ind w:left="0" w:leftChars="0" w:firstLine="0" w:firstLineChars="0"/>
              <w:jc w:val="center"/>
              <w:rPr>
                <w:rFonts w:hint="eastAsia" w:ascii="仿宋" w:hAnsi="仿宋" w:eastAsia="仿宋" w:cs="仿宋"/>
                <w:i w:val="0"/>
                <w:iCs w:val="0"/>
                <w:color w:val="auto"/>
                <w:sz w:val="22"/>
                <w:szCs w:val="22"/>
                <w:u w:val="none"/>
              </w:rPr>
            </w:pPr>
          </w:p>
        </w:tc>
      </w:tr>
      <w:tr w14:paraId="5B893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2" w:hRule="atLeast"/>
        </w:trPr>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EACDD">
            <w:pPr>
              <w:spacing w:line="240" w:lineRule="auto"/>
              <w:ind w:left="0" w:leftChars="0" w:firstLine="0" w:firstLineChars="0"/>
              <w:jc w:val="center"/>
              <w:rPr>
                <w:rFonts w:hint="eastAsia" w:ascii="仿宋" w:hAnsi="仿宋" w:eastAsia="仿宋" w:cs="仿宋"/>
                <w:b/>
                <w:bCs/>
                <w:i w:val="0"/>
                <w:iCs w:val="0"/>
                <w:color w:val="auto"/>
                <w:sz w:val="22"/>
                <w:szCs w:val="22"/>
                <w:u w:val="none"/>
              </w:rPr>
            </w:pPr>
          </w:p>
        </w:tc>
        <w:tc>
          <w:tcPr>
            <w:tcW w:w="15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9B418">
            <w:pPr>
              <w:spacing w:line="240" w:lineRule="auto"/>
              <w:ind w:left="0" w:leftChars="0" w:firstLine="0" w:firstLineChars="0"/>
              <w:jc w:val="center"/>
              <w:rPr>
                <w:rFonts w:hint="eastAsia" w:ascii="仿宋" w:hAnsi="仿宋" w:eastAsia="仿宋" w:cs="仿宋"/>
                <w:b/>
                <w:bCs/>
                <w:i w:val="0"/>
                <w:iCs w:val="0"/>
                <w:color w:val="auto"/>
                <w:sz w:val="22"/>
                <w:szCs w:val="22"/>
                <w:u w:val="none"/>
              </w:rPr>
            </w:pPr>
          </w:p>
        </w:tc>
        <w:tc>
          <w:tcPr>
            <w:tcW w:w="6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56A6">
            <w:pPr>
              <w:keepNext w:val="0"/>
              <w:keepLines w:val="0"/>
              <w:widowControl/>
              <w:suppressLineNumbers w:val="0"/>
              <w:spacing w:line="240" w:lineRule="auto"/>
              <w:ind w:left="0" w:leftChars="0" w:firstLine="0" w:firstLineChars="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5.安全事故处置与追责</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（1）火灾类事故</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① 新能源车辆电池热失控起火、充电桩线路短路自燃、充电枪老化起火； ② 燃油车漏油自燃、车内打火机、充电宝引燃可燃物； ③ 场内堆放纸箱、油漆等易燃杂物引发火情； ④ 照明、监控、供电线路老化短路起火； ⑤ 消防通道堵塞、消防器材失效，导致小火情扩散蔓延。</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（2）触电及充电设备安全事故</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① 充电桩外壳、线缆破损漏电造成人员触电； ② 车主私拉电线、违规飞线充电引发短路、起火； ③ 充电枪接口进水、破损，造成设备烧毁、人员灼伤； ④ 漏电保护、高温保护装置失效，未及时预警引发险情。</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（3）财产治安类事故</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① 车辆车窗被砸、车内财物被盗、整车失窃； ② 车辆恶意剐蹭、碰撞逃逸，安保未及时巡查、监控失效无法取证； ③ 闲散无关人员长期逗留，引发骚扰、盗窃事件； ④ 监控大面积故障、录像缺失，无法调取事故证据。</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（4）人身伤害类事故</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① 地面油污、积水、坑洼未及时清理，人员滑倒摔伤； ② 道闸失控砸伤行人、车辆；指示牌、吊顶、管道脱落砸伤人； ③ 坡道、弯道照明缺失、无警示标识引发人车碰撞； ④ 疏散通道堵塞、应急照明失效，火灾时人员被困、踩踏。</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（5）设施损毁类事故</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① 道闸、限位装置故障挤压损坏车辆； ② 指示牌倒伏、排水沟盖板缺失剐蹭车辆、绊倒行人； ③ 消防管道破裂大面积漏水，浸泡车辆、电气设备。</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（6）舆情及监管通报类安全事件</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① 安全隐患被消防、城管、市场监管部门现场责令停业整改； ② 安全事故引发车主集中投诉、网络负面曝光； ③ 事故迟报、瞒报，处置不当造成事态升级扩大。</w:t>
            </w:r>
          </w:p>
        </w:tc>
        <w:tc>
          <w:tcPr>
            <w:tcW w:w="40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CC0DA">
            <w:pPr>
              <w:spacing w:line="240" w:lineRule="auto"/>
              <w:ind w:left="0" w:leftChars="0" w:firstLine="0" w:firstLineChars="0"/>
              <w:jc w:val="left"/>
              <w:rPr>
                <w:rFonts w:hint="eastAsia" w:ascii="仿宋" w:hAnsi="仿宋" w:eastAsia="仿宋" w:cs="仿宋"/>
                <w:i w:val="0"/>
                <w:iCs w:val="0"/>
                <w:color w:val="auto"/>
                <w:sz w:val="22"/>
                <w:szCs w:val="22"/>
                <w:u w:val="none"/>
              </w:rPr>
            </w:pPr>
          </w:p>
        </w:tc>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2852F">
            <w:pPr>
              <w:spacing w:line="240" w:lineRule="auto"/>
              <w:ind w:left="0" w:leftChars="0" w:firstLine="0" w:firstLineChars="0"/>
              <w:jc w:val="center"/>
              <w:rPr>
                <w:rFonts w:hint="eastAsia" w:ascii="仿宋" w:hAnsi="仿宋" w:eastAsia="仿宋" w:cs="仿宋"/>
                <w:i w:val="0"/>
                <w:iCs w:val="0"/>
                <w:color w:val="auto"/>
                <w:sz w:val="22"/>
                <w:szCs w:val="22"/>
                <w:u w:val="none"/>
              </w:rPr>
            </w:pPr>
          </w:p>
        </w:tc>
      </w:tr>
      <w:tr w14:paraId="776C2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F537D">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color w:val="auto"/>
                <w:kern w:val="0"/>
                <w:sz w:val="22"/>
                <w:szCs w:val="22"/>
                <w:highlight w:val="none"/>
                <w:u w:val="none"/>
                <w:lang w:val="en-US" w:eastAsia="zh-CN" w:bidi="ar"/>
              </w:rPr>
              <w:t>五</w:t>
            </w:r>
          </w:p>
        </w:tc>
        <w:tc>
          <w:tcPr>
            <w:tcW w:w="1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93F27">
            <w:pPr>
              <w:keepNext w:val="0"/>
              <w:keepLines w:val="0"/>
              <w:widowControl/>
              <w:suppressLineNumbers w:val="0"/>
              <w:spacing w:line="240" w:lineRule="auto"/>
              <w:ind w:left="0" w:leftChars="0" w:firstLine="0" w:firstLineChars="0"/>
              <w:jc w:val="left"/>
              <w:textAlignment w:val="center"/>
              <w:rPr>
                <w:rFonts w:hint="eastAsia" w:ascii="仿宋" w:hAnsi="仿宋" w:eastAsia="仿宋" w:cs="仿宋"/>
                <w:b/>
                <w:bCs/>
                <w:i w:val="0"/>
                <w:iCs w:val="0"/>
                <w:color w:val="auto"/>
                <w:kern w:val="0"/>
                <w:sz w:val="22"/>
                <w:szCs w:val="22"/>
                <w:highlight w:val="none"/>
                <w:u w:val="none"/>
                <w:lang w:val="en-US" w:eastAsia="zh-CN" w:bidi="ar"/>
              </w:rPr>
            </w:pPr>
            <w:r>
              <w:rPr>
                <w:rFonts w:hint="eastAsia" w:ascii="仿宋" w:hAnsi="仿宋" w:eastAsia="仿宋" w:cs="仿宋"/>
                <w:b/>
                <w:bCs/>
                <w:i w:val="0"/>
                <w:iCs w:val="0"/>
                <w:color w:val="auto"/>
                <w:kern w:val="0"/>
                <w:sz w:val="22"/>
                <w:szCs w:val="22"/>
                <w:highlight w:val="none"/>
                <w:u w:val="none"/>
                <w:lang w:val="en-US" w:eastAsia="zh-CN" w:bidi="ar"/>
              </w:rPr>
              <w:t>服务质量</w:t>
            </w:r>
          </w:p>
          <w:p w14:paraId="42DF640C">
            <w:pPr>
              <w:keepNext w:val="0"/>
              <w:keepLines w:val="0"/>
              <w:widowControl/>
              <w:suppressLineNumbers w:val="0"/>
              <w:spacing w:line="240" w:lineRule="auto"/>
              <w:ind w:left="0" w:leftChars="0" w:firstLine="0" w:firstLineChars="0"/>
              <w:jc w:val="left"/>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color w:val="auto"/>
                <w:kern w:val="0"/>
                <w:sz w:val="22"/>
                <w:szCs w:val="22"/>
                <w:highlight w:val="none"/>
                <w:u w:val="none"/>
                <w:lang w:val="en-US" w:eastAsia="zh-CN" w:bidi="ar"/>
              </w:rPr>
              <w:t>（18 分）</w:t>
            </w:r>
          </w:p>
        </w:tc>
        <w:tc>
          <w:tcPr>
            <w:tcW w:w="6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CEECF">
            <w:pPr>
              <w:keepNext w:val="0"/>
              <w:keepLines w:val="0"/>
              <w:widowControl/>
              <w:suppressLineNumbers w:val="0"/>
              <w:spacing w:line="240" w:lineRule="auto"/>
              <w:ind w:left="0" w:leftChars="0" w:firstLine="0" w:firstLineChars="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1.工作人员着装规范、佩戴工牌，服务态度良好，主动沟通协调车主问题，无争吵、推诿；</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2.建立线上、线下投诉渠道，投诉及时响应、高效处置，完善投诉台账并回访；</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3.每日清扫车场车道、车位、角落，无垃圾、油污、积水、烟头，垃圾桶按时清运无满溢；</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4.充电桩充电手柄、操作屏每日清洁，按周期开展消毒并留存消毒记录。</w:t>
            </w:r>
          </w:p>
        </w:tc>
        <w:tc>
          <w:tcPr>
            <w:tcW w:w="4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738A6">
            <w:pPr>
              <w:keepNext w:val="0"/>
              <w:keepLines w:val="0"/>
              <w:widowControl/>
              <w:suppressLineNumbers w:val="0"/>
              <w:spacing w:line="240" w:lineRule="auto"/>
              <w:ind w:left="0" w:leftChars="0" w:firstLine="0" w:firstLineChars="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1.工作人员态度恶劣、与车主发生争执，每起扣 3 分；着装不规范、未佩戴工牌每人次扣 1 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2.投诉超时响应、未办结、无回访记录，每单扣 2 分；同一事由重复投诉加倍扣分；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3.场内大面积垃圾、油污、积水，每区域扣 1 分；排水沟长期淤积、异味严重扣 2 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4.充电枪脏污、未按周期消杀，每台扣 1 分；无消杀台账扣 2 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5.整改超期未完成，每项加扣 1 分。</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D6BDF">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18</w:t>
            </w:r>
          </w:p>
        </w:tc>
      </w:tr>
      <w:tr w14:paraId="54B68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8" w:hRule="atLeast"/>
        </w:trPr>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40B2B">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color w:val="auto"/>
                <w:kern w:val="0"/>
                <w:sz w:val="22"/>
                <w:szCs w:val="22"/>
                <w:highlight w:val="none"/>
                <w:u w:val="none"/>
                <w:lang w:val="en-US" w:eastAsia="zh-CN" w:bidi="ar"/>
              </w:rPr>
              <w:t>六</w:t>
            </w:r>
          </w:p>
        </w:tc>
        <w:tc>
          <w:tcPr>
            <w:tcW w:w="1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04EC7">
            <w:pPr>
              <w:keepNext w:val="0"/>
              <w:keepLines w:val="0"/>
              <w:widowControl/>
              <w:suppressLineNumbers w:val="0"/>
              <w:spacing w:line="240" w:lineRule="auto"/>
              <w:ind w:left="0" w:leftChars="0" w:firstLine="0" w:firstLineChars="0"/>
              <w:jc w:val="left"/>
              <w:textAlignment w:val="center"/>
              <w:rPr>
                <w:rFonts w:hint="eastAsia" w:ascii="仿宋" w:hAnsi="仿宋" w:eastAsia="仿宋" w:cs="仿宋"/>
                <w:b/>
                <w:bCs/>
                <w:i w:val="0"/>
                <w:iCs w:val="0"/>
                <w:color w:val="auto"/>
                <w:kern w:val="0"/>
                <w:sz w:val="22"/>
                <w:szCs w:val="22"/>
                <w:highlight w:val="none"/>
                <w:u w:val="none"/>
                <w:lang w:val="en-US" w:eastAsia="zh-CN" w:bidi="ar"/>
              </w:rPr>
            </w:pPr>
            <w:r>
              <w:rPr>
                <w:rFonts w:hint="eastAsia" w:ascii="仿宋" w:hAnsi="仿宋" w:eastAsia="仿宋" w:cs="仿宋"/>
                <w:b/>
                <w:bCs/>
                <w:i w:val="0"/>
                <w:iCs w:val="0"/>
                <w:color w:val="auto"/>
                <w:kern w:val="0"/>
                <w:sz w:val="22"/>
                <w:szCs w:val="22"/>
                <w:highlight w:val="none"/>
                <w:u w:val="none"/>
                <w:lang w:val="en-US" w:eastAsia="zh-CN" w:bidi="ar"/>
              </w:rPr>
              <w:t>社会责任</w:t>
            </w:r>
          </w:p>
          <w:p w14:paraId="247C34E6">
            <w:pPr>
              <w:keepNext w:val="0"/>
              <w:keepLines w:val="0"/>
              <w:widowControl/>
              <w:suppressLineNumbers w:val="0"/>
              <w:spacing w:line="240" w:lineRule="auto"/>
              <w:ind w:left="0" w:leftChars="0" w:firstLine="0" w:firstLineChars="0"/>
              <w:jc w:val="left"/>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color w:val="auto"/>
                <w:kern w:val="0"/>
                <w:sz w:val="22"/>
                <w:szCs w:val="22"/>
                <w:highlight w:val="none"/>
                <w:u w:val="none"/>
                <w:lang w:val="en-US" w:eastAsia="zh-CN" w:bidi="ar"/>
              </w:rPr>
              <w:t>（7 分）</w:t>
            </w:r>
          </w:p>
        </w:tc>
        <w:tc>
          <w:tcPr>
            <w:tcW w:w="6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4BDA6">
            <w:pPr>
              <w:keepNext w:val="0"/>
              <w:keepLines w:val="0"/>
              <w:widowControl/>
              <w:suppressLineNumbers w:val="0"/>
              <w:spacing w:line="240" w:lineRule="auto"/>
              <w:ind w:left="0" w:leftChars="0" w:firstLine="0" w:firstLineChars="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1.主动配合城管、消防、社区、交通等主管单位开展检查、文明创建、专项整治；</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2.积极参与社区公益宣传、文明停车引导、应急场地支援等公益活动；</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3.按要求报送车场运营数据，配合临时便民停放、应急保障任务。</w:t>
            </w:r>
          </w:p>
        </w:tc>
        <w:tc>
          <w:tcPr>
            <w:tcW w:w="4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58B96">
            <w:pPr>
              <w:keepNext w:val="0"/>
              <w:keepLines w:val="0"/>
              <w:widowControl/>
              <w:suppressLineNumbers w:val="0"/>
              <w:spacing w:line="240" w:lineRule="auto"/>
              <w:ind w:left="0" w:leftChars="0" w:firstLine="0" w:firstLineChars="0"/>
              <w:jc w:val="left"/>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1.无故不配合主管部门检查、专项整治，每次扣 2 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2.无正当理由拒绝参与公益活动、拒绝配合应急便民工作，每次扣 2 分；</w:t>
            </w:r>
            <w:r>
              <w:rPr>
                <w:rFonts w:hint="eastAsia" w:ascii="仿宋" w:hAnsi="仿宋" w:eastAsia="仿宋" w:cs="仿宋"/>
                <w:i w:val="0"/>
                <w:iCs w:val="0"/>
                <w:color w:val="auto"/>
                <w:kern w:val="0"/>
                <w:sz w:val="22"/>
                <w:szCs w:val="22"/>
                <w:highlight w:val="none"/>
                <w:u w:val="none"/>
                <w:lang w:val="en-US" w:eastAsia="zh-CN" w:bidi="ar"/>
              </w:rPr>
              <w:br w:type="textWrapping"/>
            </w:r>
            <w:r>
              <w:rPr>
                <w:rFonts w:hint="eastAsia" w:ascii="仿宋" w:hAnsi="仿宋" w:eastAsia="仿宋" w:cs="仿宋"/>
                <w:i w:val="0"/>
                <w:iCs w:val="0"/>
                <w:color w:val="auto"/>
                <w:kern w:val="0"/>
                <w:sz w:val="22"/>
                <w:szCs w:val="22"/>
                <w:highlight w:val="none"/>
                <w:u w:val="none"/>
                <w:lang w:val="en-US" w:eastAsia="zh-CN" w:bidi="ar"/>
              </w:rPr>
              <w:t>3.多次拒不配合相关单位工作，单次扣 5 分，并约谈管理负责人。</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16B80">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i w:val="0"/>
                <w:iCs w:val="0"/>
                <w:color w:val="auto"/>
                <w:sz w:val="22"/>
                <w:szCs w:val="22"/>
                <w:u w:val="none"/>
              </w:rPr>
            </w:pPr>
            <w:r>
              <w:rPr>
                <w:rFonts w:hint="eastAsia" w:ascii="仿宋" w:hAnsi="仿宋" w:eastAsia="仿宋" w:cs="仿宋"/>
                <w:i w:val="0"/>
                <w:iCs w:val="0"/>
                <w:color w:val="auto"/>
                <w:kern w:val="0"/>
                <w:sz w:val="22"/>
                <w:szCs w:val="22"/>
                <w:highlight w:val="none"/>
                <w:u w:val="none"/>
                <w:lang w:val="en-US" w:eastAsia="zh-CN" w:bidi="ar"/>
              </w:rPr>
              <w:t>7</w:t>
            </w:r>
          </w:p>
        </w:tc>
      </w:tr>
      <w:tr w14:paraId="73EA4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B2F4">
            <w:pPr>
              <w:spacing w:line="240" w:lineRule="auto"/>
              <w:ind w:left="0" w:leftChars="0" w:firstLine="0" w:firstLineChars="0"/>
              <w:jc w:val="center"/>
              <w:rPr>
                <w:rFonts w:hint="eastAsia" w:ascii="仿宋" w:hAnsi="仿宋" w:eastAsia="仿宋" w:cs="仿宋"/>
                <w:b/>
                <w:bCs/>
                <w:i w:val="0"/>
                <w:iCs w:val="0"/>
                <w:color w:val="auto"/>
                <w:sz w:val="22"/>
                <w:szCs w:val="22"/>
                <w:u w:val="none"/>
              </w:rPr>
            </w:pPr>
          </w:p>
        </w:tc>
        <w:tc>
          <w:tcPr>
            <w:tcW w:w="1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5FAE0">
            <w:pPr>
              <w:spacing w:line="240" w:lineRule="auto"/>
              <w:ind w:left="0" w:leftChars="0" w:firstLine="0" w:firstLineChars="0"/>
              <w:rPr>
                <w:rFonts w:hint="eastAsia" w:ascii="仿宋" w:hAnsi="仿宋" w:eastAsia="仿宋" w:cs="仿宋"/>
                <w:b/>
                <w:bCs/>
                <w:i w:val="0"/>
                <w:iCs w:val="0"/>
                <w:color w:val="auto"/>
                <w:sz w:val="22"/>
                <w:szCs w:val="22"/>
                <w:u w:val="none"/>
              </w:rPr>
            </w:pPr>
          </w:p>
        </w:tc>
        <w:tc>
          <w:tcPr>
            <w:tcW w:w="6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B5A20">
            <w:pPr>
              <w:keepNext w:val="0"/>
              <w:keepLines w:val="0"/>
              <w:widowControl/>
              <w:suppressLineNumbers w:val="0"/>
              <w:spacing w:line="240" w:lineRule="auto"/>
              <w:ind w:left="0" w:leftChars="0" w:firstLine="0" w:firstLineChars="0"/>
              <w:jc w:val="left"/>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color w:val="auto"/>
                <w:kern w:val="0"/>
                <w:sz w:val="22"/>
                <w:szCs w:val="22"/>
                <w:highlight w:val="none"/>
                <w:u w:val="none"/>
                <w:lang w:val="en-US" w:eastAsia="zh-CN" w:bidi="ar"/>
              </w:rPr>
              <w:t>合计</w:t>
            </w:r>
          </w:p>
        </w:tc>
        <w:tc>
          <w:tcPr>
            <w:tcW w:w="4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8232">
            <w:pPr>
              <w:spacing w:line="240" w:lineRule="auto"/>
              <w:ind w:left="0" w:leftChars="0" w:firstLine="0" w:firstLineChars="0"/>
              <w:rPr>
                <w:rFonts w:hint="eastAsia" w:ascii="仿宋" w:hAnsi="仿宋" w:eastAsia="仿宋" w:cs="仿宋"/>
                <w:b/>
                <w:bCs/>
                <w:i w:val="0"/>
                <w:iCs w:val="0"/>
                <w:color w:val="auto"/>
                <w:sz w:val="22"/>
                <w:szCs w:val="22"/>
                <w:u w:val="none"/>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D462">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i w:val="0"/>
                <w:iCs w:val="0"/>
                <w:color w:val="auto"/>
                <w:sz w:val="22"/>
                <w:szCs w:val="22"/>
                <w:u w:val="none"/>
              </w:rPr>
            </w:pPr>
            <w:r>
              <w:rPr>
                <w:rFonts w:hint="eastAsia" w:ascii="仿宋" w:hAnsi="仿宋" w:eastAsia="仿宋" w:cs="仿宋"/>
                <w:b/>
                <w:bCs/>
                <w:i w:val="0"/>
                <w:iCs w:val="0"/>
                <w:color w:val="auto"/>
                <w:kern w:val="0"/>
                <w:sz w:val="22"/>
                <w:szCs w:val="22"/>
                <w:highlight w:val="none"/>
                <w:u w:val="none"/>
                <w:lang w:val="en-US" w:eastAsia="zh-CN" w:bidi="ar"/>
              </w:rPr>
              <w:t>100</w:t>
            </w:r>
          </w:p>
        </w:tc>
      </w:tr>
    </w:tbl>
    <w:p w14:paraId="678C364D">
      <w:pPr>
        <w:topLinePunct/>
        <w:autoSpaceDE w:val="0"/>
        <w:autoSpaceDN w:val="0"/>
        <w:spacing w:line="200" w:lineRule="exact"/>
        <w:ind w:firstLine="600"/>
        <w:jc w:val="left"/>
        <w:rPr>
          <w:rFonts w:hint="eastAsia" w:ascii="仿宋" w:hAnsi="仿宋" w:eastAsia="仿宋"/>
          <w:color w:val="auto"/>
          <w:kern w:val="0"/>
          <w:sz w:val="30"/>
          <w:szCs w:val="24"/>
          <w:highlight w:val="none"/>
        </w:rPr>
      </w:pPr>
    </w:p>
    <w:p w14:paraId="5EE5C788">
      <w:pPr>
        <w:bidi w:val="0"/>
        <w:rPr>
          <w:rFonts w:hint="eastAsia" w:ascii="仿宋" w:hAnsi="仿宋" w:eastAsia="仿宋"/>
          <w:color w:val="auto"/>
          <w:lang w:val="en-US" w:eastAsia="zh-CN"/>
        </w:rPr>
        <w:sectPr>
          <w:pgSz w:w="16839" w:h="11907" w:orient="landscape"/>
          <w:pgMar w:top="1800" w:right="1440" w:bottom="1800" w:left="1440" w:header="851" w:footer="624" w:gutter="0"/>
          <w:pgNumType w:fmt="decimal"/>
          <w:cols w:space="720" w:num="1"/>
          <w:docGrid w:type="lines" w:linePitch="326" w:charSpace="0"/>
        </w:sectPr>
      </w:pPr>
    </w:p>
    <w:p w14:paraId="61C18940">
      <w:pPr>
        <w:bidi w:val="0"/>
        <w:rPr>
          <w:rFonts w:hint="eastAsia" w:ascii="仿宋" w:hAnsi="仿宋" w:eastAsia="仿宋"/>
          <w:color w:val="auto"/>
        </w:rPr>
      </w:pPr>
      <w:r>
        <w:rPr>
          <w:rFonts w:hint="eastAsia" w:ascii="仿宋" w:hAnsi="仿宋" w:eastAsia="仿宋"/>
          <w:color w:val="auto"/>
          <w:lang w:val="en-US" w:eastAsia="zh-CN"/>
        </w:rPr>
        <w:t>车场</w:t>
      </w:r>
      <w:r>
        <w:rPr>
          <w:rFonts w:hint="eastAsia" w:ascii="仿宋" w:hAnsi="仿宋" w:eastAsia="仿宋"/>
          <w:color w:val="auto"/>
        </w:rPr>
        <w:t>巡查、随机抽查及定期检查考评，对应表2-</w:t>
      </w:r>
      <w:r>
        <w:rPr>
          <w:rFonts w:hint="eastAsia" w:ascii="仿宋" w:hAnsi="仿宋" w:eastAsia="仿宋"/>
          <w:color w:val="auto"/>
          <w:lang w:val="en-US" w:eastAsia="zh-CN"/>
        </w:rPr>
        <w:t>2</w:t>
      </w:r>
      <w:r>
        <w:rPr>
          <w:rFonts w:hint="eastAsia" w:ascii="仿宋" w:hAnsi="仿宋" w:eastAsia="仿宋"/>
          <w:color w:val="auto"/>
        </w:rPr>
        <w:t>实行扣分制，按</w:t>
      </w:r>
      <w:r>
        <w:rPr>
          <w:rFonts w:hint="eastAsia" w:ascii="仿宋" w:hAnsi="仿宋" w:eastAsia="仿宋"/>
          <w:color w:val="auto"/>
          <w:lang w:eastAsia="zh-CN"/>
        </w:rPr>
        <w:t>季度</w:t>
      </w:r>
      <w:r>
        <w:rPr>
          <w:rFonts w:hint="eastAsia" w:ascii="仿宋" w:hAnsi="仿宋" w:eastAsia="仿宋"/>
          <w:color w:val="auto"/>
        </w:rPr>
        <w:t>考核汇总。季度检查考评满分100分，根据扣分情况，对应下表相关等级给予处罚。</w:t>
      </w:r>
    </w:p>
    <w:p w14:paraId="11D71BE4">
      <w:pPr>
        <w:pStyle w:val="30"/>
        <w:keepNext w:val="0"/>
        <w:keepLines w:val="0"/>
        <w:pageBreakBefore w:val="0"/>
        <w:widowControl w:val="0"/>
        <w:kinsoku/>
        <w:wordWrap/>
        <w:overflowPunct/>
        <w:topLinePunct w:val="0"/>
        <w:autoSpaceDE/>
        <w:autoSpaceDN/>
        <w:bidi w:val="0"/>
        <w:adjustRightInd/>
        <w:snapToGrid w:val="0"/>
        <w:ind w:left="0" w:leftChars="0" w:firstLine="0" w:firstLineChars="0"/>
        <w:jc w:val="center"/>
        <w:textAlignment w:val="auto"/>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表</w:t>
      </w:r>
      <w:r>
        <w:rPr>
          <w:rFonts w:hint="eastAsia" w:ascii="仿宋" w:hAnsi="仿宋" w:eastAsia="仿宋"/>
          <w:b/>
          <w:bCs/>
          <w:color w:val="auto"/>
          <w:sz w:val="24"/>
          <w:szCs w:val="24"/>
          <w:highlight w:val="none"/>
          <w:lang w:val="en-US" w:eastAsia="zh-CN"/>
        </w:rPr>
        <w:t>2-3</w:t>
      </w:r>
      <w:r>
        <w:rPr>
          <w:rFonts w:hint="eastAsia" w:ascii="仿宋" w:hAnsi="仿宋" w:eastAsia="仿宋"/>
          <w:b/>
          <w:bCs/>
          <w:color w:val="auto"/>
          <w:sz w:val="24"/>
          <w:szCs w:val="24"/>
          <w:highlight w:val="none"/>
        </w:rPr>
        <w:t>考核扣分及结果运用</w:t>
      </w:r>
    </w:p>
    <w:tbl>
      <w:tblPr>
        <w:tblStyle w:val="31"/>
        <w:tblW w:w="4998" w:type="pct"/>
        <w:tblInd w:w="0" w:type="dxa"/>
        <w:tblLayout w:type="autofit"/>
        <w:tblCellMar>
          <w:top w:w="0" w:type="dxa"/>
          <w:left w:w="0" w:type="dxa"/>
          <w:bottom w:w="0" w:type="dxa"/>
          <w:right w:w="0" w:type="dxa"/>
        </w:tblCellMar>
      </w:tblPr>
      <w:tblGrid>
        <w:gridCol w:w="1327"/>
        <w:gridCol w:w="1225"/>
        <w:gridCol w:w="1147"/>
        <w:gridCol w:w="1313"/>
        <w:gridCol w:w="1481"/>
        <w:gridCol w:w="1811"/>
      </w:tblGrid>
      <w:tr w14:paraId="71746C74">
        <w:trPr>
          <w:trHeight w:val="573" w:hRule="exact"/>
          <w:tblHeader/>
        </w:trPr>
        <w:tc>
          <w:tcPr>
            <w:tcW w:w="799" w:type="pct"/>
            <w:tcBorders>
              <w:top w:val="single" w:color="000000" w:sz="4" w:space="0"/>
              <w:left w:val="single" w:color="000000" w:sz="4" w:space="0"/>
              <w:bottom w:val="single" w:color="000000" w:sz="4" w:space="0"/>
              <w:right w:val="single" w:color="000000" w:sz="4" w:space="0"/>
            </w:tcBorders>
            <w:vAlign w:val="center"/>
          </w:tcPr>
          <w:p w14:paraId="3C0E09A4">
            <w:pPr>
              <w:widowControl/>
              <w:spacing w:line="240" w:lineRule="auto"/>
              <w:ind w:firstLine="0" w:firstLineChars="0"/>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分值</w:t>
            </w:r>
          </w:p>
        </w:tc>
        <w:tc>
          <w:tcPr>
            <w:tcW w:w="737" w:type="pct"/>
            <w:tcBorders>
              <w:top w:val="single" w:color="000000" w:sz="4" w:space="0"/>
              <w:left w:val="single" w:color="000000" w:sz="4" w:space="0"/>
              <w:bottom w:val="single" w:color="000000" w:sz="4" w:space="0"/>
              <w:right w:val="single" w:color="000000" w:sz="4" w:space="0"/>
            </w:tcBorders>
            <w:vAlign w:val="center"/>
          </w:tcPr>
          <w:p w14:paraId="06A99747">
            <w:pPr>
              <w:widowControl/>
              <w:spacing w:line="240" w:lineRule="auto"/>
              <w:ind w:firstLine="0" w:firstLineChars="0"/>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100-90</w:t>
            </w:r>
          </w:p>
        </w:tc>
        <w:tc>
          <w:tcPr>
            <w:tcW w:w="690" w:type="pct"/>
            <w:tcBorders>
              <w:top w:val="single" w:color="000000" w:sz="4" w:space="0"/>
              <w:left w:val="single" w:color="000000" w:sz="4" w:space="0"/>
              <w:bottom w:val="single" w:color="000000" w:sz="4" w:space="0"/>
              <w:right w:val="single" w:color="000000" w:sz="4" w:space="0"/>
            </w:tcBorders>
            <w:vAlign w:val="center"/>
          </w:tcPr>
          <w:p w14:paraId="4A4428A2">
            <w:pPr>
              <w:widowControl/>
              <w:spacing w:line="240" w:lineRule="auto"/>
              <w:ind w:firstLine="0" w:firstLineChars="0"/>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89-80</w:t>
            </w:r>
          </w:p>
        </w:tc>
        <w:tc>
          <w:tcPr>
            <w:tcW w:w="790" w:type="pct"/>
            <w:tcBorders>
              <w:top w:val="single" w:color="000000" w:sz="4" w:space="0"/>
              <w:left w:val="single" w:color="000000" w:sz="4" w:space="0"/>
              <w:bottom w:val="single" w:color="000000" w:sz="4" w:space="0"/>
              <w:right w:val="single" w:color="000000" w:sz="4" w:space="0"/>
            </w:tcBorders>
            <w:vAlign w:val="center"/>
          </w:tcPr>
          <w:p w14:paraId="2D701773">
            <w:pPr>
              <w:widowControl/>
              <w:spacing w:line="240" w:lineRule="auto"/>
              <w:ind w:firstLine="0" w:firstLineChars="0"/>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79-70</w:t>
            </w:r>
          </w:p>
        </w:tc>
        <w:tc>
          <w:tcPr>
            <w:tcW w:w="891" w:type="pct"/>
            <w:tcBorders>
              <w:top w:val="single" w:color="000000" w:sz="4" w:space="0"/>
              <w:left w:val="single" w:color="000000" w:sz="4" w:space="0"/>
              <w:bottom w:val="single" w:color="000000" w:sz="4" w:space="0"/>
              <w:right w:val="single" w:color="000000" w:sz="4" w:space="0"/>
            </w:tcBorders>
            <w:vAlign w:val="center"/>
          </w:tcPr>
          <w:p w14:paraId="4DAB5387">
            <w:pPr>
              <w:widowControl/>
              <w:spacing w:line="240" w:lineRule="auto"/>
              <w:ind w:firstLine="0" w:firstLineChars="0"/>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69-60</w:t>
            </w:r>
          </w:p>
        </w:tc>
        <w:tc>
          <w:tcPr>
            <w:tcW w:w="1090" w:type="pct"/>
            <w:tcBorders>
              <w:top w:val="single" w:color="000000" w:sz="4" w:space="0"/>
              <w:left w:val="single" w:color="000000" w:sz="4" w:space="0"/>
              <w:bottom w:val="single" w:color="000000" w:sz="4" w:space="0"/>
              <w:right w:val="single" w:color="000000" w:sz="4" w:space="0"/>
            </w:tcBorders>
            <w:vAlign w:val="center"/>
          </w:tcPr>
          <w:p w14:paraId="0B05385B">
            <w:pPr>
              <w:widowControl/>
              <w:spacing w:line="240" w:lineRule="auto"/>
              <w:ind w:firstLine="0" w:firstLineChars="0"/>
              <w:jc w:val="cente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60（不含）以下</w:t>
            </w:r>
          </w:p>
        </w:tc>
      </w:tr>
      <w:tr w14:paraId="63FD9567">
        <w:trPr>
          <w:trHeight w:val="679" w:hRule="exact"/>
        </w:trPr>
        <w:tc>
          <w:tcPr>
            <w:tcW w:w="799" w:type="pct"/>
            <w:tcBorders>
              <w:top w:val="single" w:color="000000" w:sz="4" w:space="0"/>
              <w:left w:val="single" w:color="000000" w:sz="4" w:space="0"/>
              <w:bottom w:val="single" w:color="000000" w:sz="4" w:space="0"/>
              <w:right w:val="single" w:color="000000" w:sz="4" w:space="0"/>
            </w:tcBorders>
            <w:vAlign w:val="center"/>
          </w:tcPr>
          <w:p w14:paraId="443FB665">
            <w:pPr>
              <w:widowControl/>
              <w:spacing w:line="240" w:lineRule="auto"/>
              <w:ind w:firstLine="0" w:firstLineChars="0"/>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对应等级</w:t>
            </w:r>
          </w:p>
        </w:tc>
        <w:tc>
          <w:tcPr>
            <w:tcW w:w="737" w:type="pct"/>
            <w:tcBorders>
              <w:top w:val="single" w:color="000000" w:sz="4" w:space="0"/>
              <w:left w:val="single" w:color="000000" w:sz="4" w:space="0"/>
              <w:bottom w:val="single" w:color="000000" w:sz="4" w:space="0"/>
              <w:right w:val="single" w:color="000000" w:sz="4" w:space="0"/>
            </w:tcBorders>
            <w:vAlign w:val="center"/>
          </w:tcPr>
          <w:p w14:paraId="063BD565">
            <w:pPr>
              <w:widowControl/>
              <w:spacing w:line="240" w:lineRule="auto"/>
              <w:ind w:firstLine="0" w:firstLineChars="0"/>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A</w:t>
            </w:r>
          </w:p>
        </w:tc>
        <w:tc>
          <w:tcPr>
            <w:tcW w:w="690" w:type="pct"/>
            <w:tcBorders>
              <w:top w:val="single" w:color="000000" w:sz="4" w:space="0"/>
              <w:left w:val="single" w:color="000000" w:sz="4" w:space="0"/>
              <w:bottom w:val="single" w:color="000000" w:sz="4" w:space="0"/>
              <w:right w:val="single" w:color="000000" w:sz="4" w:space="0"/>
            </w:tcBorders>
            <w:vAlign w:val="center"/>
          </w:tcPr>
          <w:p w14:paraId="42303D3D">
            <w:pPr>
              <w:widowControl/>
              <w:spacing w:line="240" w:lineRule="auto"/>
              <w:ind w:firstLine="0" w:firstLineChars="0"/>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B</w:t>
            </w:r>
          </w:p>
        </w:tc>
        <w:tc>
          <w:tcPr>
            <w:tcW w:w="790" w:type="pct"/>
            <w:tcBorders>
              <w:top w:val="single" w:color="000000" w:sz="4" w:space="0"/>
              <w:left w:val="single" w:color="000000" w:sz="4" w:space="0"/>
              <w:bottom w:val="single" w:color="000000" w:sz="4" w:space="0"/>
              <w:right w:val="single" w:color="000000" w:sz="4" w:space="0"/>
            </w:tcBorders>
            <w:vAlign w:val="center"/>
          </w:tcPr>
          <w:p w14:paraId="5E41086B">
            <w:pPr>
              <w:widowControl/>
              <w:spacing w:line="240" w:lineRule="auto"/>
              <w:ind w:firstLine="0" w:firstLineChars="0"/>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C</w:t>
            </w:r>
          </w:p>
        </w:tc>
        <w:tc>
          <w:tcPr>
            <w:tcW w:w="891" w:type="pct"/>
            <w:tcBorders>
              <w:top w:val="single" w:color="000000" w:sz="4" w:space="0"/>
              <w:left w:val="single" w:color="000000" w:sz="4" w:space="0"/>
              <w:bottom w:val="single" w:color="000000" w:sz="4" w:space="0"/>
              <w:right w:val="single" w:color="000000" w:sz="4" w:space="0"/>
            </w:tcBorders>
            <w:vAlign w:val="center"/>
          </w:tcPr>
          <w:p w14:paraId="35A434C6">
            <w:pPr>
              <w:widowControl/>
              <w:spacing w:line="240" w:lineRule="auto"/>
              <w:ind w:firstLine="0" w:firstLineChars="0"/>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D</w:t>
            </w:r>
          </w:p>
        </w:tc>
        <w:tc>
          <w:tcPr>
            <w:tcW w:w="1090" w:type="pct"/>
            <w:tcBorders>
              <w:top w:val="single" w:color="000000" w:sz="4" w:space="0"/>
              <w:left w:val="single" w:color="000000" w:sz="4" w:space="0"/>
              <w:bottom w:val="single" w:color="000000" w:sz="4" w:space="0"/>
              <w:right w:val="single" w:color="000000" w:sz="4" w:space="0"/>
            </w:tcBorders>
            <w:vAlign w:val="center"/>
          </w:tcPr>
          <w:p w14:paraId="6853E365">
            <w:pPr>
              <w:widowControl/>
              <w:spacing w:line="240" w:lineRule="auto"/>
              <w:ind w:firstLine="0" w:firstLineChars="0"/>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E</w:t>
            </w:r>
          </w:p>
        </w:tc>
      </w:tr>
      <w:tr w14:paraId="216D3E9B">
        <w:tblPrEx>
          <w:tblCellMar>
            <w:top w:w="0" w:type="dxa"/>
            <w:left w:w="0" w:type="dxa"/>
            <w:bottom w:w="0" w:type="dxa"/>
            <w:right w:w="0" w:type="dxa"/>
          </w:tblCellMar>
        </w:tblPrEx>
        <w:trPr>
          <w:trHeight w:val="924" w:hRule="exact"/>
        </w:trPr>
        <w:tc>
          <w:tcPr>
            <w:tcW w:w="799" w:type="pct"/>
            <w:tcBorders>
              <w:top w:val="single" w:color="000000" w:sz="4" w:space="0"/>
              <w:left w:val="single" w:color="000000" w:sz="4" w:space="0"/>
              <w:bottom w:val="single" w:color="000000" w:sz="4" w:space="0"/>
              <w:right w:val="single" w:color="000000" w:sz="4" w:space="0"/>
            </w:tcBorders>
            <w:vAlign w:val="center"/>
          </w:tcPr>
          <w:p w14:paraId="47EE282D">
            <w:pPr>
              <w:widowControl/>
              <w:spacing w:line="240" w:lineRule="auto"/>
              <w:ind w:firstLine="0" w:firstLineChars="0"/>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处理措施</w:t>
            </w:r>
          </w:p>
        </w:tc>
        <w:tc>
          <w:tcPr>
            <w:tcW w:w="737" w:type="pct"/>
            <w:tcBorders>
              <w:top w:val="single" w:color="000000" w:sz="4" w:space="0"/>
              <w:left w:val="single" w:color="000000" w:sz="4" w:space="0"/>
              <w:bottom w:val="single" w:color="000000" w:sz="4" w:space="0"/>
              <w:right w:val="single" w:color="000000" w:sz="4" w:space="0"/>
            </w:tcBorders>
            <w:vAlign w:val="center"/>
          </w:tcPr>
          <w:p w14:paraId="698D271D">
            <w:pPr>
              <w:widowControl/>
              <w:spacing w:line="240" w:lineRule="auto"/>
              <w:ind w:firstLine="0" w:firstLineChars="0"/>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lang w:val="en-US" w:eastAsia="zh-CN"/>
              </w:rPr>
              <w:t>无</w:t>
            </w:r>
          </w:p>
        </w:tc>
        <w:tc>
          <w:tcPr>
            <w:tcW w:w="690" w:type="pct"/>
            <w:tcBorders>
              <w:top w:val="single" w:color="000000" w:sz="4" w:space="0"/>
              <w:left w:val="single" w:color="000000" w:sz="4" w:space="0"/>
              <w:bottom w:val="single" w:color="000000" w:sz="4" w:space="0"/>
              <w:right w:val="single" w:color="000000" w:sz="4" w:space="0"/>
            </w:tcBorders>
            <w:vAlign w:val="center"/>
          </w:tcPr>
          <w:p w14:paraId="25119840">
            <w:pPr>
              <w:widowControl/>
              <w:spacing w:line="240" w:lineRule="auto"/>
              <w:ind w:firstLine="0" w:firstLineChars="0"/>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扣罚</w:t>
            </w:r>
          </w:p>
          <w:p w14:paraId="550ABD08">
            <w:pPr>
              <w:widowControl/>
              <w:spacing w:line="240" w:lineRule="auto"/>
              <w:ind w:firstLine="0" w:firstLineChars="0"/>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lang w:val="en-US" w:eastAsia="zh-CN"/>
              </w:rPr>
              <w:t>1</w:t>
            </w:r>
            <w:r>
              <w:rPr>
                <w:rFonts w:hint="eastAsia" w:ascii="仿宋" w:hAnsi="仿宋" w:eastAsia="仿宋" w:cs="仿宋"/>
                <w:color w:val="auto"/>
                <w:sz w:val="22"/>
                <w:szCs w:val="22"/>
                <w:highlight w:val="none"/>
              </w:rPr>
              <w:t>00</w:t>
            </w:r>
            <w:r>
              <w:rPr>
                <w:rFonts w:hint="eastAsia" w:ascii="仿宋" w:hAnsi="仿宋" w:eastAsia="仿宋" w:cs="仿宋"/>
                <w:color w:val="auto"/>
                <w:sz w:val="22"/>
                <w:szCs w:val="22"/>
                <w:highlight w:val="none"/>
                <w:lang w:val="en-US" w:eastAsia="zh-CN"/>
              </w:rPr>
              <w:t>0</w:t>
            </w:r>
            <w:r>
              <w:rPr>
                <w:rFonts w:hint="eastAsia" w:ascii="仿宋" w:hAnsi="仿宋" w:eastAsia="仿宋" w:cs="仿宋"/>
                <w:color w:val="auto"/>
                <w:sz w:val="22"/>
                <w:szCs w:val="22"/>
                <w:highlight w:val="none"/>
              </w:rPr>
              <w:t>元/分</w:t>
            </w:r>
          </w:p>
        </w:tc>
        <w:tc>
          <w:tcPr>
            <w:tcW w:w="790" w:type="pct"/>
            <w:tcBorders>
              <w:top w:val="single" w:color="000000" w:sz="4" w:space="0"/>
              <w:left w:val="single" w:color="000000" w:sz="4" w:space="0"/>
              <w:bottom w:val="single" w:color="000000" w:sz="4" w:space="0"/>
              <w:right w:val="single" w:color="000000" w:sz="4" w:space="0"/>
            </w:tcBorders>
            <w:vAlign w:val="center"/>
          </w:tcPr>
          <w:p w14:paraId="4A49DD2F">
            <w:pPr>
              <w:widowControl/>
              <w:spacing w:line="240" w:lineRule="auto"/>
              <w:ind w:firstLine="0" w:firstLineChars="0"/>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扣罚</w:t>
            </w:r>
          </w:p>
          <w:p w14:paraId="51E8EE1B">
            <w:pPr>
              <w:widowControl/>
              <w:spacing w:line="240" w:lineRule="auto"/>
              <w:ind w:firstLine="0" w:firstLineChars="0"/>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lang w:val="en-US" w:eastAsia="zh-CN"/>
              </w:rPr>
              <w:t>2</w:t>
            </w:r>
            <w:r>
              <w:rPr>
                <w:rFonts w:hint="eastAsia" w:ascii="仿宋" w:hAnsi="仿宋" w:eastAsia="仿宋" w:cs="仿宋"/>
                <w:color w:val="auto"/>
                <w:sz w:val="22"/>
                <w:szCs w:val="22"/>
                <w:highlight w:val="none"/>
              </w:rPr>
              <w:t>00</w:t>
            </w:r>
            <w:r>
              <w:rPr>
                <w:rFonts w:hint="eastAsia" w:ascii="仿宋" w:hAnsi="仿宋" w:eastAsia="仿宋" w:cs="仿宋"/>
                <w:color w:val="auto"/>
                <w:sz w:val="22"/>
                <w:szCs w:val="22"/>
                <w:highlight w:val="none"/>
                <w:lang w:val="en-US" w:eastAsia="zh-CN"/>
              </w:rPr>
              <w:t>0</w:t>
            </w:r>
            <w:r>
              <w:rPr>
                <w:rFonts w:hint="eastAsia" w:ascii="仿宋" w:hAnsi="仿宋" w:eastAsia="仿宋" w:cs="仿宋"/>
                <w:color w:val="auto"/>
                <w:sz w:val="22"/>
                <w:szCs w:val="22"/>
                <w:highlight w:val="none"/>
              </w:rPr>
              <w:t>元/分</w:t>
            </w:r>
          </w:p>
        </w:tc>
        <w:tc>
          <w:tcPr>
            <w:tcW w:w="891" w:type="pct"/>
            <w:tcBorders>
              <w:top w:val="single" w:color="000000" w:sz="4" w:space="0"/>
              <w:left w:val="single" w:color="000000" w:sz="4" w:space="0"/>
              <w:bottom w:val="single" w:color="000000" w:sz="4" w:space="0"/>
              <w:right w:val="single" w:color="000000" w:sz="4" w:space="0"/>
            </w:tcBorders>
            <w:vAlign w:val="center"/>
          </w:tcPr>
          <w:p w14:paraId="3BE93F01">
            <w:pPr>
              <w:widowControl/>
              <w:spacing w:line="240" w:lineRule="auto"/>
              <w:ind w:firstLine="0" w:firstLineChars="0"/>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罚款1</w:t>
            </w:r>
            <w:r>
              <w:rPr>
                <w:rFonts w:hint="eastAsia" w:ascii="仿宋" w:hAnsi="仿宋" w:eastAsia="仿宋" w:cs="仿宋"/>
                <w:color w:val="auto"/>
                <w:sz w:val="22"/>
                <w:szCs w:val="22"/>
                <w:highlight w:val="none"/>
                <w:lang w:val="en-US" w:eastAsia="zh-CN"/>
              </w:rPr>
              <w:t>0</w:t>
            </w:r>
            <w:r>
              <w:rPr>
                <w:rFonts w:hint="eastAsia" w:ascii="仿宋" w:hAnsi="仿宋" w:eastAsia="仿宋" w:cs="仿宋"/>
                <w:color w:val="auto"/>
                <w:sz w:val="22"/>
                <w:szCs w:val="22"/>
                <w:highlight w:val="none"/>
              </w:rPr>
              <w:t>万元</w:t>
            </w:r>
          </w:p>
        </w:tc>
        <w:tc>
          <w:tcPr>
            <w:tcW w:w="1090" w:type="pct"/>
            <w:tcBorders>
              <w:top w:val="single" w:color="000000" w:sz="4" w:space="0"/>
              <w:left w:val="single" w:color="000000" w:sz="4" w:space="0"/>
              <w:bottom w:val="single" w:color="000000" w:sz="4" w:space="0"/>
              <w:right w:val="single" w:color="000000" w:sz="4" w:space="0"/>
            </w:tcBorders>
            <w:vAlign w:val="center"/>
          </w:tcPr>
          <w:p w14:paraId="633D9F91">
            <w:pPr>
              <w:widowControl/>
              <w:spacing w:line="240" w:lineRule="auto"/>
              <w:ind w:firstLine="0" w:firstLineChars="0"/>
              <w:jc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罚款3</w:t>
            </w:r>
            <w:r>
              <w:rPr>
                <w:rFonts w:hint="eastAsia" w:ascii="仿宋" w:hAnsi="仿宋" w:eastAsia="仿宋" w:cs="仿宋"/>
                <w:color w:val="auto"/>
                <w:sz w:val="22"/>
                <w:szCs w:val="22"/>
                <w:highlight w:val="none"/>
                <w:lang w:val="en-US" w:eastAsia="zh-CN"/>
              </w:rPr>
              <w:t>0</w:t>
            </w:r>
            <w:r>
              <w:rPr>
                <w:rFonts w:hint="eastAsia" w:ascii="仿宋" w:hAnsi="仿宋" w:eastAsia="仿宋" w:cs="仿宋"/>
                <w:color w:val="auto"/>
                <w:sz w:val="22"/>
                <w:szCs w:val="22"/>
                <w:highlight w:val="none"/>
              </w:rPr>
              <w:t>万元</w:t>
            </w:r>
          </w:p>
        </w:tc>
      </w:tr>
    </w:tbl>
    <w:p w14:paraId="2DEEF7BF">
      <w:pPr>
        <w:pStyle w:val="3"/>
        <w:bidi w:val="0"/>
        <w:ind w:left="575" w:hanging="575"/>
        <w:rPr>
          <w:rFonts w:hint="eastAsia" w:ascii="仿宋" w:hAnsi="仿宋" w:eastAsia="仿宋" w:cs="仿宋"/>
          <w:color w:val="auto"/>
          <w:highlight w:val="none"/>
          <w:lang w:val="en-US" w:eastAsia="zh-CN"/>
        </w:rPr>
      </w:pPr>
      <w:bookmarkStart w:id="84" w:name="_Toc1172"/>
      <w:bookmarkStart w:id="85" w:name="_Toc25480"/>
      <w:bookmarkStart w:id="86" w:name="_Toc19510"/>
      <w:bookmarkStart w:id="87" w:name="_Toc7568"/>
      <w:r>
        <w:rPr>
          <w:rFonts w:hint="eastAsia" w:ascii="仿宋" w:hAnsi="仿宋" w:eastAsia="仿宋" w:cs="仿宋"/>
          <w:color w:val="auto"/>
          <w:highlight w:val="none"/>
          <w:lang w:val="en-US" w:eastAsia="zh-CN"/>
        </w:rPr>
        <w:t>主要风险识别和分析</w:t>
      </w:r>
      <w:bookmarkEnd w:id="84"/>
      <w:bookmarkEnd w:id="85"/>
      <w:bookmarkEnd w:id="86"/>
      <w:bookmarkEnd w:id="87"/>
    </w:p>
    <w:p w14:paraId="59F2FE72">
      <w:pPr>
        <w:bidi w:val="0"/>
        <w:rPr>
          <w:rFonts w:hint="eastAsia" w:ascii="仿宋" w:hAnsi="仿宋" w:eastAsia="仿宋"/>
          <w:color w:val="auto"/>
        </w:rPr>
      </w:pPr>
      <w:r>
        <w:rPr>
          <w:rFonts w:hint="eastAsia" w:ascii="仿宋" w:hAnsi="仿宋" w:eastAsia="仿宋"/>
          <w:color w:val="auto"/>
        </w:rPr>
        <w:t>风险的识别与合理分配是成功运用特许经营模式的关键。结合本项目建设内容及拟采用的经营模式，初步分析本项目的主要风险有项目审批风险、土地风险、</w:t>
      </w:r>
      <w:r>
        <w:rPr>
          <w:rFonts w:hint="eastAsia" w:ascii="仿宋" w:hAnsi="仿宋" w:eastAsia="仿宋"/>
          <w:color w:val="auto"/>
          <w:lang w:val="en-US" w:eastAsia="zh-CN"/>
        </w:rPr>
        <w:t>法律风险、</w:t>
      </w:r>
      <w:r>
        <w:rPr>
          <w:rFonts w:hint="eastAsia" w:ascii="仿宋" w:hAnsi="仿宋" w:eastAsia="仿宋"/>
          <w:color w:val="auto"/>
        </w:rPr>
        <w:t>设计风险、资金风险、融资风险、工程建设风险、运营风险、移交风险、政治和政策风险、政府投资补助资金不到位风险、不可抗力</w:t>
      </w:r>
      <w:r>
        <w:rPr>
          <w:rFonts w:hint="eastAsia" w:ascii="仿宋" w:hAnsi="仿宋" w:eastAsia="仿宋"/>
          <w:color w:val="auto"/>
          <w:lang w:val="en-US" w:eastAsia="zh-CN"/>
        </w:rPr>
        <w:t>风险</w:t>
      </w:r>
      <w:r>
        <w:rPr>
          <w:rFonts w:hint="eastAsia" w:ascii="仿宋" w:hAnsi="仿宋" w:eastAsia="仿宋"/>
          <w:color w:val="auto"/>
          <w:lang w:eastAsia="zh-CN"/>
        </w:rPr>
        <w:t>、</w:t>
      </w:r>
      <w:r>
        <w:rPr>
          <w:rFonts w:hint="eastAsia" w:ascii="仿宋" w:hAnsi="仿宋" w:eastAsia="仿宋"/>
          <w:color w:val="auto"/>
          <w:lang w:val="en-US" w:eastAsia="zh-CN"/>
        </w:rPr>
        <w:t>市场收益风险</w:t>
      </w:r>
      <w:r>
        <w:rPr>
          <w:rFonts w:hint="eastAsia" w:ascii="仿宋" w:hAnsi="仿宋" w:eastAsia="仿宋"/>
          <w:color w:val="auto"/>
        </w:rPr>
        <w:t>等。</w:t>
      </w:r>
    </w:p>
    <w:p w14:paraId="6BAB4D44">
      <w:pPr>
        <w:bidi w:val="0"/>
        <w:rPr>
          <w:rFonts w:hint="eastAsia" w:ascii="仿宋" w:hAnsi="仿宋" w:eastAsia="仿宋"/>
          <w:color w:val="auto"/>
          <w:lang w:eastAsia="zh-CN"/>
        </w:rPr>
      </w:pPr>
      <w:r>
        <w:rPr>
          <w:rFonts w:hint="eastAsia" w:ascii="仿宋" w:hAnsi="仿宋" w:eastAsia="仿宋"/>
          <w:color w:val="auto"/>
          <w:lang w:val="en-US" w:eastAsia="zh-CN"/>
        </w:rPr>
        <w:t>在项目实施阶段，项目风险将</w:t>
      </w:r>
      <w:r>
        <w:rPr>
          <w:rFonts w:hint="eastAsia" w:ascii="仿宋" w:hAnsi="仿宋" w:eastAsia="仿宋"/>
          <w:color w:val="auto"/>
        </w:rPr>
        <w:t>按照风险分配优化、风险收益对等和风险可控等原则，综合考虑政府风险管理能力、项目回报机制和市场风险管理能力等要素，在政府和社会资本间合理分配项目风险。原则上，项目融资、建设和运营维护等商业风险主要由社会资本承担，法律、政策等风险主要由政府承担，不可抗力等风险由政府和社会资本合理共担。具体风险</w:t>
      </w:r>
      <w:r>
        <w:rPr>
          <w:rFonts w:hint="eastAsia" w:ascii="仿宋" w:hAnsi="仿宋" w:eastAsia="仿宋"/>
          <w:color w:val="auto"/>
          <w:lang w:val="en-US" w:eastAsia="zh-CN"/>
        </w:rPr>
        <w:t>因素</w:t>
      </w:r>
      <w:r>
        <w:rPr>
          <w:rFonts w:hint="eastAsia" w:ascii="仿宋" w:hAnsi="仿宋" w:eastAsia="仿宋"/>
          <w:color w:val="auto"/>
        </w:rPr>
        <w:t>如下表所示</w:t>
      </w:r>
      <w:r>
        <w:rPr>
          <w:rFonts w:hint="eastAsia" w:ascii="仿宋" w:hAnsi="仿宋" w:eastAsia="仿宋"/>
          <w:color w:val="auto"/>
          <w:lang w:eastAsia="zh-CN"/>
        </w:rPr>
        <w:t>。</w:t>
      </w:r>
    </w:p>
    <w:p w14:paraId="38B3C973">
      <w:pPr>
        <w:pStyle w:val="30"/>
        <w:keepNext w:val="0"/>
        <w:keepLines w:val="0"/>
        <w:pageBreakBefore w:val="0"/>
        <w:widowControl w:val="0"/>
        <w:kinsoku/>
        <w:wordWrap/>
        <w:overflowPunct/>
        <w:topLinePunct w:val="0"/>
        <w:autoSpaceDE/>
        <w:autoSpaceDN/>
        <w:bidi w:val="0"/>
        <w:adjustRightInd/>
        <w:snapToGrid w:val="0"/>
        <w:ind w:left="0" w:leftChars="0" w:firstLine="0" w:firstLineChars="0"/>
        <w:jc w:val="center"/>
        <w:textAlignment w:val="auto"/>
        <w:rPr>
          <w:rFonts w:hint="eastAsia" w:ascii="仿宋" w:hAnsi="仿宋" w:eastAsia="仿宋"/>
          <w:b/>
          <w:bCs/>
          <w:color w:val="auto"/>
          <w:sz w:val="24"/>
          <w:szCs w:val="24"/>
          <w:highlight w:val="none"/>
        </w:rPr>
      </w:pPr>
    </w:p>
    <w:p w14:paraId="42863CA2">
      <w:pPr>
        <w:pStyle w:val="30"/>
        <w:keepNext w:val="0"/>
        <w:keepLines w:val="0"/>
        <w:pageBreakBefore w:val="0"/>
        <w:widowControl w:val="0"/>
        <w:kinsoku/>
        <w:wordWrap/>
        <w:overflowPunct/>
        <w:topLinePunct w:val="0"/>
        <w:autoSpaceDE/>
        <w:autoSpaceDN/>
        <w:bidi w:val="0"/>
        <w:adjustRightInd/>
        <w:snapToGrid w:val="0"/>
        <w:ind w:left="0" w:leftChars="0" w:firstLine="0" w:firstLineChars="0"/>
        <w:jc w:val="center"/>
        <w:textAlignment w:val="auto"/>
        <w:rPr>
          <w:rFonts w:hint="eastAsia" w:ascii="仿宋" w:hAnsi="仿宋" w:eastAsia="仿宋"/>
          <w:b/>
          <w:bCs/>
          <w:color w:val="auto"/>
          <w:sz w:val="24"/>
          <w:szCs w:val="24"/>
          <w:highlight w:val="none"/>
        </w:rPr>
      </w:pPr>
    </w:p>
    <w:p w14:paraId="3829B0C5">
      <w:pPr>
        <w:pStyle w:val="30"/>
        <w:keepNext w:val="0"/>
        <w:keepLines w:val="0"/>
        <w:pageBreakBefore w:val="0"/>
        <w:widowControl w:val="0"/>
        <w:kinsoku/>
        <w:wordWrap/>
        <w:overflowPunct/>
        <w:topLinePunct w:val="0"/>
        <w:autoSpaceDE/>
        <w:autoSpaceDN/>
        <w:bidi w:val="0"/>
        <w:adjustRightInd/>
        <w:snapToGrid w:val="0"/>
        <w:ind w:left="0" w:leftChars="0" w:firstLine="0" w:firstLineChars="0"/>
        <w:jc w:val="center"/>
        <w:textAlignment w:val="auto"/>
        <w:rPr>
          <w:rFonts w:hint="eastAsia" w:ascii="仿宋" w:hAnsi="仿宋" w:eastAsia="仿宋"/>
          <w:b/>
          <w:bCs/>
          <w:color w:val="auto"/>
          <w:sz w:val="24"/>
          <w:szCs w:val="24"/>
          <w:highlight w:val="none"/>
        </w:rPr>
      </w:pPr>
    </w:p>
    <w:p w14:paraId="1B58949F">
      <w:pPr>
        <w:pStyle w:val="30"/>
        <w:keepNext w:val="0"/>
        <w:keepLines w:val="0"/>
        <w:pageBreakBefore w:val="0"/>
        <w:widowControl w:val="0"/>
        <w:kinsoku/>
        <w:wordWrap/>
        <w:overflowPunct/>
        <w:topLinePunct w:val="0"/>
        <w:autoSpaceDE/>
        <w:autoSpaceDN/>
        <w:bidi w:val="0"/>
        <w:adjustRightInd/>
        <w:snapToGrid w:val="0"/>
        <w:ind w:left="0" w:leftChars="0" w:firstLine="0" w:firstLineChars="0"/>
        <w:jc w:val="center"/>
        <w:textAlignment w:val="auto"/>
        <w:rPr>
          <w:rFonts w:hint="eastAsia" w:ascii="仿宋" w:hAnsi="仿宋" w:eastAsia="仿宋"/>
          <w:b/>
          <w:bCs/>
          <w:color w:val="auto"/>
          <w:sz w:val="24"/>
          <w:szCs w:val="24"/>
          <w:highlight w:val="none"/>
          <w:lang w:val="en-US" w:eastAsia="zh-CN"/>
        </w:rPr>
      </w:pPr>
      <w:r>
        <w:rPr>
          <w:rFonts w:hint="eastAsia" w:ascii="仿宋" w:hAnsi="仿宋" w:eastAsia="仿宋"/>
          <w:b/>
          <w:bCs/>
          <w:color w:val="auto"/>
          <w:sz w:val="24"/>
          <w:szCs w:val="24"/>
          <w:highlight w:val="none"/>
        </w:rPr>
        <w:t>表</w:t>
      </w:r>
      <w:r>
        <w:rPr>
          <w:rFonts w:hint="eastAsia" w:ascii="仿宋" w:hAnsi="仿宋" w:eastAsia="仿宋"/>
          <w:b/>
          <w:bCs/>
          <w:color w:val="auto"/>
          <w:sz w:val="24"/>
          <w:szCs w:val="24"/>
          <w:highlight w:val="none"/>
          <w:lang w:val="en-US" w:eastAsia="zh-CN"/>
        </w:rPr>
        <w:t>2-4风险因素分类</w:t>
      </w:r>
    </w:p>
    <w:tbl>
      <w:tblPr>
        <w:tblStyle w:val="3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5"/>
        <w:gridCol w:w="3049"/>
        <w:gridCol w:w="1092"/>
        <w:gridCol w:w="3258"/>
      </w:tblGrid>
      <w:tr w14:paraId="3AD4D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blHeader/>
        </w:trPr>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07DFC">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风险类型</w:t>
            </w:r>
          </w:p>
        </w:tc>
        <w:tc>
          <w:tcPr>
            <w:tcW w:w="1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7062D">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风险描述</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22D4B">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责任主体</w:t>
            </w:r>
          </w:p>
        </w:tc>
        <w:tc>
          <w:tcPr>
            <w:tcW w:w="1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B10E9">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应对措施</w:t>
            </w:r>
          </w:p>
        </w:tc>
      </w:tr>
      <w:tr w14:paraId="25962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0767A">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项目审批风险</w:t>
            </w:r>
          </w:p>
        </w:tc>
        <w:tc>
          <w:tcPr>
            <w:tcW w:w="1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85D57">
            <w:pPr>
              <w:keepNext w:val="0"/>
              <w:keepLines w:val="0"/>
              <w:pageBreakBefore w:val="0"/>
              <w:widowControl/>
              <w:numPr>
                <w:ilvl w:val="0"/>
                <w:numId w:val="21"/>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立项、规划、环评、施工许可等环节流程冗长；</w:t>
            </w:r>
          </w:p>
          <w:p w14:paraId="099468C6">
            <w:pPr>
              <w:keepNext w:val="0"/>
              <w:keepLines w:val="0"/>
              <w:pageBreakBefore w:val="0"/>
              <w:widowControl/>
              <w:numPr>
                <w:ilvl w:val="0"/>
                <w:numId w:val="21"/>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政策调整导致要件补充或流程变更；</w:t>
            </w:r>
          </w:p>
          <w:p w14:paraId="0B08694F">
            <w:pPr>
              <w:keepNext w:val="0"/>
              <w:keepLines w:val="0"/>
              <w:pageBreakBefore w:val="0"/>
              <w:widowControl/>
              <w:numPr>
                <w:ilvl w:val="0"/>
                <w:numId w:val="21"/>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跨部门协调不畅，审批进度滞后。</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DB4EA">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政府牵头，社会资本配合</w:t>
            </w:r>
          </w:p>
        </w:tc>
        <w:tc>
          <w:tcPr>
            <w:tcW w:w="1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4441E">
            <w:pPr>
              <w:keepNext w:val="0"/>
              <w:keepLines w:val="0"/>
              <w:pageBreakBefore w:val="0"/>
              <w:widowControl/>
              <w:numPr>
                <w:ilvl w:val="0"/>
                <w:numId w:val="22"/>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政府成立专项工作组，明确各部门职责与办结时限；</w:t>
            </w:r>
          </w:p>
          <w:p w14:paraId="561630D4">
            <w:pPr>
              <w:keepNext w:val="0"/>
              <w:keepLines w:val="0"/>
              <w:pageBreakBefore w:val="0"/>
              <w:widowControl/>
              <w:numPr>
                <w:ilvl w:val="0"/>
                <w:numId w:val="22"/>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建立跨部门定期会商机制，及时解决审批堵点问题；</w:t>
            </w:r>
          </w:p>
          <w:p w14:paraId="1B77DFCF">
            <w:pPr>
              <w:keepNext w:val="0"/>
              <w:keepLines w:val="0"/>
              <w:pageBreakBefore w:val="0"/>
              <w:widowControl/>
              <w:numPr>
                <w:ilvl w:val="0"/>
                <w:numId w:val="22"/>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协议中约定流程延误的责任划分与补偿机制。</w:t>
            </w:r>
          </w:p>
        </w:tc>
      </w:tr>
      <w:tr w14:paraId="0AC62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ABAF5">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土地风险</w:t>
            </w:r>
          </w:p>
        </w:tc>
        <w:tc>
          <w:tcPr>
            <w:tcW w:w="1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72F86">
            <w:pPr>
              <w:keepNext w:val="0"/>
              <w:keepLines w:val="0"/>
              <w:pageBreakBefore w:val="0"/>
              <w:widowControl/>
              <w:numPr>
                <w:ilvl w:val="0"/>
                <w:numId w:val="23"/>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地块权属不清，存在隐性产权纠纷；</w:t>
            </w:r>
          </w:p>
          <w:p w14:paraId="57F12450">
            <w:pPr>
              <w:keepNext w:val="0"/>
              <w:keepLines w:val="0"/>
              <w:pageBreakBefore w:val="0"/>
              <w:widowControl/>
              <w:numPr>
                <w:ilvl w:val="0"/>
                <w:numId w:val="23"/>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地下空间使用权界定不明，与周边项目地下结构冲突。</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2451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政府方</w:t>
            </w:r>
          </w:p>
        </w:tc>
        <w:tc>
          <w:tcPr>
            <w:tcW w:w="1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74097">
            <w:pPr>
              <w:keepNext w:val="0"/>
              <w:keepLines w:val="0"/>
              <w:pageBreakBefore w:val="0"/>
              <w:widowControl/>
              <w:numPr>
                <w:ilvl w:val="0"/>
                <w:numId w:val="24"/>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政府牵头开展地块权属核查与公示，出具无争议权属证明；</w:t>
            </w:r>
          </w:p>
          <w:p w14:paraId="50CB287E">
            <w:pPr>
              <w:keepNext w:val="0"/>
              <w:keepLines w:val="0"/>
              <w:pageBreakBefore w:val="0"/>
              <w:widowControl/>
              <w:numPr>
                <w:ilvl w:val="0"/>
                <w:numId w:val="24"/>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委托专业机构开展地下空间勘测，明确项目四至范围及与周边建筑的安全距离。</w:t>
            </w:r>
          </w:p>
        </w:tc>
      </w:tr>
      <w:tr w14:paraId="03C2D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BD111">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设计风险</w:t>
            </w:r>
          </w:p>
        </w:tc>
        <w:tc>
          <w:tcPr>
            <w:tcW w:w="1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0A745">
            <w:pPr>
              <w:keepNext w:val="0"/>
              <w:keepLines w:val="0"/>
              <w:pageBreakBefore w:val="0"/>
              <w:widowControl/>
              <w:numPr>
                <w:ilvl w:val="0"/>
                <w:numId w:val="25"/>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地下地质条件复杂，勘察数据不准导致设计方案不合理；</w:t>
            </w:r>
          </w:p>
          <w:p w14:paraId="618D0741">
            <w:pPr>
              <w:keepNext w:val="0"/>
              <w:keepLines w:val="0"/>
              <w:pageBreakBefore w:val="0"/>
              <w:widowControl/>
              <w:numPr>
                <w:ilvl w:val="0"/>
                <w:numId w:val="25"/>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设计未充分考虑周边管网、人防工程等因素，引发设计变更；</w:t>
            </w:r>
          </w:p>
          <w:p w14:paraId="0DE44DAA">
            <w:pPr>
              <w:keepNext w:val="0"/>
              <w:keepLines w:val="0"/>
              <w:pageBreakBefore w:val="0"/>
              <w:widowControl/>
              <w:numPr>
                <w:ilvl w:val="0"/>
                <w:numId w:val="25"/>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智慧停车系统等专项设计与主体设计衔接不畅。</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C6068">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社会资本为主，政府方监督</w:t>
            </w:r>
          </w:p>
        </w:tc>
        <w:tc>
          <w:tcPr>
            <w:tcW w:w="1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39FC8">
            <w:pPr>
              <w:keepNext w:val="0"/>
              <w:keepLines w:val="0"/>
              <w:pageBreakBefore w:val="0"/>
              <w:widowControl/>
              <w:numPr>
                <w:ilvl w:val="0"/>
                <w:numId w:val="26"/>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要求勘察单位提供详细地质勘察报告，组织专家评审论证；</w:t>
            </w:r>
          </w:p>
          <w:p w14:paraId="5AA9256C">
            <w:pPr>
              <w:keepNext w:val="0"/>
              <w:keepLines w:val="0"/>
              <w:pageBreakBefore w:val="0"/>
              <w:widowControl/>
              <w:numPr>
                <w:ilvl w:val="0"/>
                <w:numId w:val="26"/>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设计前收集周边管网、人防、建筑等基础资料，设计方案需征求政府相关部门意见；</w:t>
            </w:r>
          </w:p>
          <w:p w14:paraId="705932D5">
            <w:pPr>
              <w:keepNext w:val="0"/>
              <w:keepLines w:val="0"/>
              <w:pageBreakBefore w:val="0"/>
              <w:widowControl/>
              <w:numPr>
                <w:ilvl w:val="0"/>
                <w:numId w:val="26"/>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明确设计变更的审批流程与成本承担机制，重大变更需报政府备案；</w:t>
            </w:r>
          </w:p>
          <w:p w14:paraId="584D133C">
            <w:pPr>
              <w:keepNext w:val="0"/>
              <w:keepLines w:val="0"/>
              <w:pageBreakBefore w:val="0"/>
              <w:widowControl/>
              <w:numPr>
                <w:ilvl w:val="0"/>
                <w:numId w:val="26"/>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引入第三方设计监理，全程把控设计质量。</w:t>
            </w:r>
          </w:p>
        </w:tc>
      </w:tr>
      <w:tr w14:paraId="14F38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D6AA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资金风险</w:t>
            </w:r>
          </w:p>
        </w:tc>
        <w:tc>
          <w:tcPr>
            <w:tcW w:w="1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BB9B3">
            <w:pPr>
              <w:keepNext w:val="0"/>
              <w:keepLines w:val="0"/>
              <w:pageBreakBefore w:val="0"/>
              <w:widowControl/>
              <w:numPr>
                <w:ilvl w:val="0"/>
                <w:numId w:val="27"/>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项目建设成本超支，社会资本自有资金不足；</w:t>
            </w:r>
          </w:p>
          <w:p w14:paraId="3FBFCCA7">
            <w:pPr>
              <w:keepNext w:val="0"/>
              <w:keepLines w:val="0"/>
              <w:pageBreakBefore w:val="0"/>
              <w:widowControl/>
              <w:numPr>
                <w:ilvl w:val="0"/>
                <w:numId w:val="27"/>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资金支付进度与工程节点不匹配，导致施工中断；</w:t>
            </w:r>
          </w:p>
          <w:p w14:paraId="43A04A4E">
            <w:pPr>
              <w:keepNext w:val="0"/>
              <w:keepLines w:val="0"/>
              <w:pageBreakBefore w:val="0"/>
              <w:widowControl/>
              <w:numPr>
                <w:ilvl w:val="0"/>
                <w:numId w:val="27"/>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运营期现金流不足以覆盖运维成本。</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6DED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社会资本</w:t>
            </w:r>
          </w:p>
        </w:tc>
        <w:tc>
          <w:tcPr>
            <w:tcW w:w="1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60397">
            <w:pPr>
              <w:keepNext w:val="0"/>
              <w:keepLines w:val="0"/>
              <w:pageBreakBefore w:val="0"/>
              <w:widowControl/>
              <w:numPr>
                <w:ilvl w:val="0"/>
                <w:numId w:val="28"/>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社会资本编制详细的资金使用计划，预留5%-8%的预备费应对成本超支；</w:t>
            </w:r>
          </w:p>
          <w:p w14:paraId="2B4415B6">
            <w:pPr>
              <w:keepNext w:val="0"/>
              <w:keepLines w:val="0"/>
              <w:pageBreakBefore w:val="0"/>
              <w:widowControl/>
              <w:numPr>
                <w:ilvl w:val="0"/>
                <w:numId w:val="28"/>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优化运营期收费模式，拓展广告、充电桩等增值服务，提升现金流稳定性。</w:t>
            </w:r>
          </w:p>
        </w:tc>
      </w:tr>
      <w:tr w14:paraId="3943D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06E4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融资风险</w:t>
            </w:r>
          </w:p>
        </w:tc>
        <w:tc>
          <w:tcPr>
            <w:tcW w:w="1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3D3A6">
            <w:pPr>
              <w:keepNext w:val="0"/>
              <w:keepLines w:val="0"/>
              <w:pageBreakBefore w:val="0"/>
              <w:widowControl/>
              <w:numPr>
                <w:ilvl w:val="0"/>
                <w:numId w:val="29"/>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金融机构信贷政策收紧，融资额度不足；</w:t>
            </w:r>
          </w:p>
          <w:p w14:paraId="4AF5E5DF">
            <w:pPr>
              <w:keepNext w:val="0"/>
              <w:keepLines w:val="0"/>
              <w:pageBreakBefore w:val="0"/>
              <w:widowControl/>
              <w:numPr>
                <w:ilvl w:val="0"/>
                <w:numId w:val="29"/>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融资成本高于预期，增加财务负担；</w:t>
            </w:r>
          </w:p>
          <w:p w14:paraId="0B0A4ABD">
            <w:pPr>
              <w:keepNext w:val="0"/>
              <w:keepLines w:val="0"/>
              <w:pageBreakBefore w:val="0"/>
              <w:widowControl/>
              <w:numPr>
                <w:ilvl w:val="0"/>
                <w:numId w:val="29"/>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项目收益不及预期，无法满足还款要求。</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68971">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社会资本</w:t>
            </w:r>
          </w:p>
        </w:tc>
        <w:tc>
          <w:tcPr>
            <w:tcW w:w="1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1317D">
            <w:pPr>
              <w:keepNext w:val="0"/>
              <w:keepLines w:val="0"/>
              <w:pageBreakBefore w:val="0"/>
              <w:widowControl/>
              <w:numPr>
                <w:ilvl w:val="0"/>
                <w:numId w:val="30"/>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提前与多家金融机构对接，签订意向性融资协议，拓宽融资渠道；</w:t>
            </w:r>
          </w:p>
          <w:p w14:paraId="0CD8CC86">
            <w:pPr>
              <w:keepNext w:val="0"/>
              <w:keepLines w:val="0"/>
              <w:pageBreakBefore w:val="0"/>
              <w:widowControl/>
              <w:numPr>
                <w:ilvl w:val="0"/>
                <w:numId w:val="30"/>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采用多元化融资方式，降低单一融资渠道风险；</w:t>
            </w:r>
          </w:p>
          <w:p w14:paraId="26C697F6">
            <w:pPr>
              <w:keepNext w:val="0"/>
              <w:keepLines w:val="0"/>
              <w:pageBreakBefore w:val="0"/>
              <w:widowControl/>
              <w:numPr>
                <w:ilvl w:val="0"/>
                <w:numId w:val="30"/>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在特许经营协议中约定合理的收费调整机制，保障项目基本收益；</w:t>
            </w:r>
          </w:p>
          <w:p w14:paraId="71243F73">
            <w:pPr>
              <w:keepNext w:val="0"/>
              <w:keepLines w:val="0"/>
              <w:pageBreakBefore w:val="0"/>
              <w:widowControl/>
              <w:numPr>
                <w:ilvl w:val="0"/>
                <w:numId w:val="30"/>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引入融资担保机构，提升项目融资信用等级。</w:t>
            </w:r>
          </w:p>
        </w:tc>
      </w:tr>
      <w:tr w14:paraId="07AD3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F2AD">
            <w:pPr>
              <w:widowControl/>
              <w:spacing w:line="300" w:lineRule="exact"/>
              <w:ind w:left="0" w:lef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补贴申请风险</w:t>
            </w:r>
          </w:p>
        </w:tc>
        <w:tc>
          <w:tcPr>
            <w:tcW w:w="3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5F5E4">
            <w:pPr>
              <w:keepNext w:val="0"/>
              <w:keepLines w:val="0"/>
              <w:pageBreakBefore w:val="0"/>
              <w:widowControl/>
              <w:numPr>
                <w:ilvl w:val="0"/>
                <w:numId w:val="31"/>
              </w:numPr>
              <w:kinsoku/>
              <w:wordWrap/>
              <w:overflowPunct/>
              <w:topLinePunct w:val="0"/>
              <w:autoSpaceDE/>
              <w:autoSpaceDN/>
              <w:bidi w:val="0"/>
              <w:adjustRightInd/>
              <w:snapToGrid w:val="0"/>
              <w:spacing w:line="240" w:lineRule="auto"/>
              <w:ind w:left="0" w:leftChars="0" w:firstLine="0" w:firstLineChars="0"/>
              <w:jc w:val="both"/>
              <w:textAlignment w:val="auto"/>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财政预算安排滞后，补助拨付滞后于施工付款节点；</w:t>
            </w:r>
          </w:p>
          <w:p w14:paraId="6536131B">
            <w:pPr>
              <w:keepNext w:val="0"/>
              <w:keepLines w:val="0"/>
              <w:pageBreakBefore w:val="0"/>
              <w:widowControl/>
              <w:numPr>
                <w:ilvl w:val="0"/>
                <w:numId w:val="31"/>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补助缺口引发项目建设资金不足、融资成本上升、项目长期亏损，存在社会资本违约风险。</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F8726">
            <w:pPr>
              <w:widowControl/>
              <w:spacing w:line="300" w:lineRule="exact"/>
              <w:ind w:left="0" w:lef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政府方</w:t>
            </w:r>
          </w:p>
        </w:tc>
        <w:tc>
          <w:tcPr>
            <w:tcW w:w="3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B7E99">
            <w:pPr>
              <w:keepNext w:val="0"/>
              <w:keepLines w:val="0"/>
              <w:pageBreakBefore w:val="0"/>
              <w:widowControl/>
              <w:numPr>
                <w:ilvl w:val="0"/>
                <w:numId w:val="32"/>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区级财政提前足额预留配套资金；</w:t>
            </w:r>
          </w:p>
          <w:p w14:paraId="4A3273EA">
            <w:pPr>
              <w:keepNext w:val="0"/>
              <w:keepLines w:val="0"/>
              <w:pageBreakBefore w:val="0"/>
              <w:widowControl/>
              <w:numPr>
                <w:ilvl w:val="0"/>
                <w:numId w:val="32"/>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宋体"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特许经营协议约定补助滞后或核减的补偿方式（明确补助最晚到位期限、放宽调价、社会资本方提前退出等）；</w:t>
            </w:r>
          </w:p>
          <w:p w14:paraId="4D973990">
            <w:pPr>
              <w:keepNext w:val="0"/>
              <w:keepLines w:val="0"/>
              <w:pageBreakBefore w:val="0"/>
              <w:widowControl/>
              <w:numPr>
                <w:ilvl w:val="0"/>
                <w:numId w:val="32"/>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社会资本预备备用资金、优化贷款弹性条款。</w:t>
            </w:r>
          </w:p>
        </w:tc>
      </w:tr>
      <w:tr w14:paraId="61917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E2768">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工程建设风险</w:t>
            </w:r>
          </w:p>
        </w:tc>
        <w:tc>
          <w:tcPr>
            <w:tcW w:w="1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17917">
            <w:pPr>
              <w:keepNext w:val="0"/>
              <w:keepLines w:val="0"/>
              <w:pageBreakBefore w:val="0"/>
              <w:widowControl/>
              <w:numPr>
                <w:ilvl w:val="0"/>
                <w:numId w:val="33"/>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地下施工遇复杂地质（如流沙、地下水），引发基坑坍塌等安全事故；</w:t>
            </w:r>
          </w:p>
          <w:p w14:paraId="2E602E9E">
            <w:pPr>
              <w:keepNext w:val="0"/>
              <w:keepLines w:val="0"/>
              <w:pageBreakBefore w:val="0"/>
              <w:widowControl/>
              <w:numPr>
                <w:ilvl w:val="0"/>
                <w:numId w:val="33"/>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施工扬尘、噪声等引发周边居民投诉；</w:t>
            </w:r>
          </w:p>
          <w:p w14:paraId="2F833F52">
            <w:pPr>
              <w:keepNext w:val="0"/>
              <w:keepLines w:val="0"/>
              <w:pageBreakBefore w:val="0"/>
              <w:widowControl/>
              <w:numPr>
                <w:ilvl w:val="0"/>
                <w:numId w:val="33"/>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施工工艺不当导致工程质量不达标；</w:t>
            </w:r>
          </w:p>
          <w:p w14:paraId="20E985AC">
            <w:pPr>
              <w:keepNext w:val="0"/>
              <w:keepLines w:val="0"/>
              <w:pageBreakBefore w:val="0"/>
              <w:widowControl/>
              <w:numPr>
                <w:ilvl w:val="0"/>
                <w:numId w:val="33"/>
              </w:numPr>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工期延误，无法按时投入运营。</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56CFE">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社会资本</w:t>
            </w:r>
          </w:p>
        </w:tc>
        <w:tc>
          <w:tcPr>
            <w:tcW w:w="1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F5BCB">
            <w:pPr>
              <w:widowControl/>
              <w:numPr>
                <w:ilvl w:val="0"/>
                <w:numId w:val="34"/>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委托专业单位编制专项施工方案，对高危工序进行专家论证；</w:t>
            </w:r>
          </w:p>
          <w:p w14:paraId="1F27A2DC">
            <w:pPr>
              <w:widowControl/>
              <w:numPr>
                <w:ilvl w:val="0"/>
                <w:numId w:val="34"/>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建立工程质量与安全管控体系，引入第三方监理与监测机构；</w:t>
            </w:r>
          </w:p>
          <w:p w14:paraId="7E08FAB8">
            <w:pPr>
              <w:widowControl/>
              <w:numPr>
                <w:ilvl w:val="0"/>
                <w:numId w:val="34"/>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制定工期倒排计划，设置关键节点奖惩机制，预留工期缓冲期；</w:t>
            </w:r>
          </w:p>
          <w:p w14:paraId="7F9674DA">
            <w:pPr>
              <w:widowControl/>
              <w:numPr>
                <w:ilvl w:val="0"/>
                <w:numId w:val="34"/>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优化施工组织方案，采用低噪音、低扬尘工艺，提前公示施工计划并建立居民沟通渠道。</w:t>
            </w:r>
          </w:p>
        </w:tc>
      </w:tr>
      <w:tr w14:paraId="52F67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6045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运营风险</w:t>
            </w:r>
          </w:p>
        </w:tc>
        <w:tc>
          <w:tcPr>
            <w:tcW w:w="1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7F771">
            <w:pPr>
              <w:widowControl/>
              <w:numPr>
                <w:ilvl w:val="0"/>
                <w:numId w:val="35"/>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停车需求不及预期，车位空置率高；</w:t>
            </w:r>
          </w:p>
          <w:p w14:paraId="2E5E6DA2">
            <w:pPr>
              <w:widowControl/>
              <w:numPr>
                <w:ilvl w:val="0"/>
                <w:numId w:val="35"/>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收费标准调整受限，无法覆盖运营成本；</w:t>
            </w:r>
          </w:p>
          <w:p w14:paraId="67943625">
            <w:pPr>
              <w:widowControl/>
              <w:numPr>
                <w:ilvl w:val="0"/>
                <w:numId w:val="35"/>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智慧停车系统故障导致运营中断；</w:t>
            </w:r>
          </w:p>
          <w:p w14:paraId="79845FED">
            <w:pPr>
              <w:widowControl/>
              <w:numPr>
                <w:ilvl w:val="0"/>
                <w:numId w:val="35"/>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停车场管理不善，引发车辆剐蹭、丢失等纠纷。</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B7854">
            <w:pPr>
              <w:widowControl/>
              <w:spacing w:line="300" w:lineRule="exact"/>
              <w:ind w:left="0" w:lef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社会资本</w:t>
            </w:r>
          </w:p>
        </w:tc>
        <w:tc>
          <w:tcPr>
            <w:tcW w:w="1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6E7CD">
            <w:pPr>
              <w:widowControl/>
              <w:numPr>
                <w:ilvl w:val="0"/>
                <w:numId w:val="36"/>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开展前期市场调研，结合周边商业、居民区流量制定差异化收费策略；</w:t>
            </w:r>
          </w:p>
          <w:p w14:paraId="03FA5CDC">
            <w:pPr>
              <w:widowControl/>
              <w:numPr>
                <w:ilvl w:val="0"/>
                <w:numId w:val="36"/>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协议中约定收费标准动态调整机制，根据物价指数、运营成本等因素定期评估调整；</w:t>
            </w:r>
          </w:p>
          <w:p w14:paraId="6B235641">
            <w:pPr>
              <w:widowControl/>
              <w:numPr>
                <w:ilvl w:val="0"/>
                <w:numId w:val="36"/>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建立系统运维保障体系，配备备用设备与应急方案；</w:t>
            </w:r>
          </w:p>
          <w:p w14:paraId="470EDA9A">
            <w:pPr>
              <w:widowControl/>
              <w:numPr>
                <w:ilvl w:val="0"/>
                <w:numId w:val="36"/>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引入专业停车场管理团队，购买公众责任险降低纠纷风险。</w:t>
            </w:r>
          </w:p>
        </w:tc>
      </w:tr>
      <w:tr w14:paraId="37CE7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2BAE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移交风险</w:t>
            </w:r>
          </w:p>
        </w:tc>
        <w:tc>
          <w:tcPr>
            <w:tcW w:w="1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631FB">
            <w:pPr>
              <w:widowControl/>
              <w:numPr>
                <w:ilvl w:val="0"/>
                <w:numId w:val="37"/>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移交时设施设备老化、功能不达标，政府方拒绝接收；</w:t>
            </w:r>
          </w:p>
          <w:p w14:paraId="777D600E">
            <w:pPr>
              <w:widowControl/>
              <w:numPr>
                <w:ilvl w:val="0"/>
                <w:numId w:val="37"/>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移交资料不全，导致权属变更与运营衔接不畅；</w:t>
            </w:r>
          </w:p>
          <w:p w14:paraId="18F105E4">
            <w:pPr>
              <w:widowControl/>
              <w:numPr>
                <w:ilvl w:val="0"/>
                <w:numId w:val="37"/>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移交后质保期内出现质量问题，责任界定不清。</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BDE9B">
            <w:pPr>
              <w:widowControl/>
              <w:spacing w:line="300" w:lineRule="exact"/>
              <w:ind w:left="0" w:lef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社会资本</w:t>
            </w:r>
          </w:p>
        </w:tc>
        <w:tc>
          <w:tcPr>
            <w:tcW w:w="1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CEF40">
            <w:pPr>
              <w:widowControl/>
              <w:numPr>
                <w:ilvl w:val="0"/>
                <w:numId w:val="38"/>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协议中明确移交标准（设施设备完好率、技术参数等），提前3-6个月开展预验收；</w:t>
            </w:r>
          </w:p>
          <w:p w14:paraId="6D01BA5D">
            <w:pPr>
              <w:widowControl/>
              <w:numPr>
                <w:ilvl w:val="0"/>
                <w:numId w:val="38"/>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建立项目全生命周期资料档案，指定专人负责资料归集与整理；</w:t>
            </w:r>
          </w:p>
          <w:p w14:paraId="4C22F2BC">
            <w:pPr>
              <w:widowControl/>
              <w:numPr>
                <w:ilvl w:val="0"/>
                <w:numId w:val="38"/>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约定质保期及质保金制度，质保期内出现问题由社会资本负责整改；</w:t>
            </w:r>
          </w:p>
          <w:p w14:paraId="2954C620">
            <w:pPr>
              <w:widowControl/>
              <w:numPr>
                <w:ilvl w:val="0"/>
                <w:numId w:val="38"/>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制定移交过渡期方案，保障移交前后运营不中断。</w:t>
            </w:r>
          </w:p>
        </w:tc>
      </w:tr>
      <w:tr w14:paraId="6C65C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70F4A">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政治和政策风险</w:t>
            </w:r>
          </w:p>
        </w:tc>
        <w:tc>
          <w:tcPr>
            <w:tcW w:w="1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8E807">
            <w:pPr>
              <w:widowControl/>
              <w:numPr>
                <w:ilvl w:val="0"/>
                <w:numId w:val="39"/>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停车行业政策调整（如限价、共享停车强制要求）；</w:t>
            </w:r>
          </w:p>
          <w:p w14:paraId="1857ADCE">
            <w:pPr>
              <w:widowControl/>
              <w:numPr>
                <w:ilvl w:val="0"/>
                <w:numId w:val="39"/>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城市规划调整，项目功能被替代或取消。</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247C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政府方与社会资本共同承担</w:t>
            </w:r>
          </w:p>
        </w:tc>
        <w:tc>
          <w:tcPr>
            <w:tcW w:w="1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03273">
            <w:pPr>
              <w:widowControl/>
              <w:numPr>
                <w:ilvl w:val="0"/>
                <w:numId w:val="40"/>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项目纳入区域重点基础设施规划，提高政策稳定性；</w:t>
            </w:r>
          </w:p>
          <w:p w14:paraId="4FB21B2E">
            <w:pPr>
              <w:widowControl/>
              <w:numPr>
                <w:ilvl w:val="0"/>
                <w:numId w:val="40"/>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协议中约定政策调整的补偿机制，因政策变动导致社会资本损失的，政府给予合理补偿；</w:t>
            </w:r>
          </w:p>
          <w:p w14:paraId="0E0ACF4D">
            <w:pPr>
              <w:widowControl/>
              <w:numPr>
                <w:ilvl w:val="0"/>
                <w:numId w:val="40"/>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建立政策跟踪与预警机制，及时调整项目运营策略适应政策变化。</w:t>
            </w:r>
          </w:p>
        </w:tc>
      </w:tr>
      <w:tr w14:paraId="383CE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2C58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不可抗力风险</w:t>
            </w:r>
          </w:p>
        </w:tc>
        <w:tc>
          <w:tcPr>
            <w:tcW w:w="1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0BC43">
            <w:pPr>
              <w:widowControl/>
              <w:numPr>
                <w:ilvl w:val="0"/>
                <w:numId w:val="41"/>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自然灾害（如地震、洪水、暴雨）导致工程损毁或运营中断；</w:t>
            </w:r>
          </w:p>
          <w:p w14:paraId="224D5FE5">
            <w:pPr>
              <w:widowControl/>
              <w:numPr>
                <w:ilvl w:val="0"/>
                <w:numId w:val="41"/>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突发公共事件（如疫情）导致工期延误或客流骤降。</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47DF8">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政府方与社会资本共同承担</w:t>
            </w:r>
          </w:p>
        </w:tc>
        <w:tc>
          <w:tcPr>
            <w:tcW w:w="1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7F418">
            <w:pPr>
              <w:widowControl/>
              <w:numPr>
                <w:ilvl w:val="0"/>
                <w:numId w:val="42"/>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项目设计阶段充分考虑区域自然灾害设防标准，提升工程抗风险能力；</w:t>
            </w:r>
          </w:p>
          <w:p w14:paraId="022F18B3">
            <w:pPr>
              <w:widowControl/>
              <w:numPr>
                <w:ilvl w:val="0"/>
                <w:numId w:val="42"/>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购买工程一切险、运营中断险等商业保险，降低损失；</w:t>
            </w:r>
          </w:p>
          <w:p w14:paraId="2B50857C">
            <w:pPr>
              <w:widowControl/>
              <w:numPr>
                <w:ilvl w:val="0"/>
                <w:numId w:val="42"/>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协议中约定不可抗力事件的认定标准与损失分担原则；</w:t>
            </w:r>
          </w:p>
          <w:p w14:paraId="117854E3">
            <w:pPr>
              <w:widowControl/>
              <w:numPr>
                <w:ilvl w:val="0"/>
                <w:numId w:val="42"/>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制定应急处置预案，明确不可抗力发生后的复工复产流程。</w:t>
            </w:r>
          </w:p>
        </w:tc>
      </w:tr>
      <w:tr w14:paraId="4634F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6" w:hRule="atLeast"/>
        </w:trPr>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39147">
            <w:pPr>
              <w:widowControl/>
              <w:spacing w:line="300" w:lineRule="exact"/>
              <w:ind w:firstLine="0" w:firstLineChars="0"/>
              <w:jc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法律风险</w:t>
            </w:r>
          </w:p>
        </w:tc>
        <w:tc>
          <w:tcPr>
            <w:tcW w:w="1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04F9A">
            <w:pPr>
              <w:widowControl/>
              <w:numPr>
                <w:ilvl w:val="-1"/>
                <w:numId w:val="0"/>
              </w:numPr>
              <w:spacing w:line="300" w:lineRule="exact"/>
              <w:ind w:firstLine="0" w:firstLineChars="0"/>
              <w:jc w:val="both"/>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1.法规政策变更</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B97B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政府方与社会资本共同承担</w:t>
            </w:r>
          </w:p>
        </w:tc>
        <w:tc>
          <w:tcPr>
            <w:tcW w:w="1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2A504">
            <w:pPr>
              <w:keepNext w:val="0"/>
              <w:keepLines w:val="0"/>
              <w:widowControl/>
              <w:numPr>
                <w:ilvl w:val="-1"/>
                <w:numId w:val="0"/>
              </w:numPr>
              <w:suppressLineNumbers w:val="0"/>
              <w:spacing w:line="300" w:lineRule="exact"/>
              <w:ind w:firstLine="0" w:firstLineChars="0"/>
              <w:jc w:val="both"/>
              <w:rPr>
                <w:rFonts w:hint="eastAsia" w:ascii="仿宋" w:hAnsi="仿宋" w:eastAsia="仿宋"/>
                <w:color w:val="auto"/>
                <w:sz w:val="22"/>
                <w:szCs w:val="22"/>
              </w:rPr>
            </w:pPr>
            <w:r>
              <w:rPr>
                <w:rFonts w:hint="eastAsia" w:ascii="仿宋" w:hAnsi="仿宋" w:eastAsia="仿宋" w:cs="仿宋"/>
                <w:color w:val="auto"/>
                <w:sz w:val="22"/>
                <w:szCs w:val="22"/>
                <w:highlight w:val="none"/>
                <w:lang w:val="en-US" w:eastAsia="zh-CN"/>
              </w:rPr>
              <w:t>1.</w:t>
            </w:r>
            <w:r>
              <w:rPr>
                <w:rFonts w:hint="eastAsia" w:ascii="仿宋" w:hAnsi="仿宋" w:eastAsia="仿宋" w:cs="仿宋"/>
                <w:color w:val="auto"/>
                <w:kern w:val="2"/>
                <w:sz w:val="22"/>
                <w:szCs w:val="22"/>
                <w:highlight w:val="none"/>
                <w:lang w:val="en-US" w:eastAsia="zh-CN" w:bidi="ar"/>
              </w:rPr>
              <w:t>法律、法规、规章以及行业标准的变更，影响项目的合法性，或导致项目成本增加收益减少。</w:t>
            </w:r>
          </w:p>
          <w:p w14:paraId="61EEB165">
            <w:pPr>
              <w:widowControl/>
              <w:numPr>
                <w:ilvl w:val="-1"/>
                <w:numId w:val="0"/>
              </w:numPr>
              <w:spacing w:line="300" w:lineRule="exact"/>
              <w:ind w:firstLine="0" w:firstLineChars="0"/>
              <w:jc w:val="both"/>
              <w:rPr>
                <w:rFonts w:hint="default" w:ascii="仿宋" w:hAnsi="仿宋" w:eastAsia="仿宋" w:cs="仿宋"/>
                <w:color w:val="auto"/>
                <w:sz w:val="22"/>
                <w:szCs w:val="22"/>
                <w:highlight w:val="none"/>
                <w:lang w:val="en-US" w:eastAsia="zh-CN"/>
              </w:rPr>
            </w:pPr>
          </w:p>
        </w:tc>
      </w:tr>
      <w:tr w14:paraId="32361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3949">
            <w:pPr>
              <w:widowControl/>
              <w:spacing w:line="300" w:lineRule="exact"/>
              <w:ind w:firstLine="0" w:firstLineChars="0"/>
              <w:jc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市场风险</w:t>
            </w:r>
          </w:p>
        </w:tc>
        <w:tc>
          <w:tcPr>
            <w:tcW w:w="1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FDEF3">
            <w:pPr>
              <w:widowControl/>
              <w:numPr>
                <w:ilvl w:val="0"/>
                <w:numId w:val="43"/>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市场需求减弱</w:t>
            </w:r>
          </w:p>
          <w:p w14:paraId="4AA0B6DD">
            <w:pPr>
              <w:widowControl/>
              <w:numPr>
                <w:ilvl w:val="0"/>
                <w:numId w:val="43"/>
              </w:numPr>
              <w:spacing w:line="300" w:lineRule="exact"/>
              <w:ind w:firstLine="0" w:firstLineChars="0"/>
              <w:jc w:val="both"/>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市场竞争加剧</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0E174">
            <w:pPr>
              <w:widowControl/>
              <w:spacing w:line="300" w:lineRule="exact"/>
              <w:ind w:firstLine="0" w:firstLineChars="0"/>
              <w:jc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社会资本承担</w:t>
            </w:r>
          </w:p>
        </w:tc>
        <w:tc>
          <w:tcPr>
            <w:tcW w:w="1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7C8F7">
            <w:pPr>
              <w:widowControl/>
              <w:numPr>
                <w:ilvl w:val="0"/>
                <w:numId w:val="44"/>
              </w:numPr>
              <w:spacing w:line="300" w:lineRule="exact"/>
              <w:ind w:firstLine="0" w:firstLineChars="0"/>
              <w:jc w:val="both"/>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人口结构、收入变化引起市场需求改变，导致项目收入不足达不到预期目标。</w:t>
            </w:r>
          </w:p>
          <w:p w14:paraId="5076BFF8">
            <w:pPr>
              <w:widowControl/>
              <w:numPr>
                <w:ilvl w:val="0"/>
                <w:numId w:val="44"/>
              </w:numPr>
              <w:spacing w:line="300" w:lineRule="exact"/>
              <w:ind w:firstLine="0" w:firstLineChars="0"/>
              <w:jc w:val="both"/>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政府批准在项目周边新建或改建同类项目，导致市场竞争加剧，项目收入不足达不到预期目标。</w:t>
            </w:r>
          </w:p>
        </w:tc>
      </w:tr>
    </w:tbl>
    <w:p w14:paraId="2CDDC73F">
      <w:pPr>
        <w:pStyle w:val="57"/>
        <w:spacing w:before="0" w:beforeLines="0" w:after="0" w:afterLines="0" w:line="360" w:lineRule="auto"/>
        <w:ind w:firstLine="0" w:firstLineChars="0"/>
        <w:jc w:val="both"/>
        <w:rPr>
          <w:rFonts w:hint="eastAsia" w:ascii="仿宋" w:hAnsi="仿宋" w:eastAsia="仿宋" w:cs="仿宋"/>
          <w:b/>
          <w:bCs/>
          <w:color w:val="auto"/>
          <w:sz w:val="28"/>
          <w:szCs w:val="28"/>
          <w:highlight w:val="none"/>
          <w:lang w:val="en-US" w:eastAsia="zh-CN"/>
        </w:rPr>
      </w:pPr>
    </w:p>
    <w:p w14:paraId="7BE8165F">
      <w:pPr>
        <w:pStyle w:val="57"/>
        <w:spacing w:before="0" w:beforeLines="0" w:after="0" w:afterLines="0" w:line="360" w:lineRule="auto"/>
        <w:ind w:firstLine="0" w:firstLineChars="0"/>
        <w:jc w:val="center"/>
        <w:rPr>
          <w:rFonts w:hint="eastAsia" w:ascii="仿宋" w:hAnsi="仿宋" w:eastAsia="仿宋" w:cs="仿宋"/>
          <w:b/>
          <w:bCs/>
          <w:color w:val="auto"/>
          <w:sz w:val="28"/>
          <w:szCs w:val="28"/>
          <w:highlight w:val="none"/>
          <w:lang w:val="en-US" w:eastAsia="zh-CN"/>
        </w:rPr>
      </w:pPr>
    </w:p>
    <w:p w14:paraId="081B14E7">
      <w:pPr>
        <w:pStyle w:val="2"/>
        <w:numPr>
          <w:ilvl w:val="0"/>
          <w:numId w:val="2"/>
        </w:numPr>
        <w:bidi w:val="0"/>
        <w:ind w:left="432" w:leftChars="0" w:hanging="432" w:firstLineChars="0"/>
        <w:rPr>
          <w:rFonts w:hint="eastAsia" w:ascii="仿宋" w:hAnsi="仿宋" w:eastAsia="仿宋" w:cs="仿宋"/>
          <w:color w:val="auto"/>
          <w:highlight w:val="none"/>
        </w:rPr>
      </w:pPr>
      <w:r>
        <w:rPr>
          <w:rFonts w:hint="eastAsia" w:ascii="仿宋" w:hAnsi="仿宋" w:eastAsia="仿宋" w:cs="仿宋"/>
          <w:color w:val="auto"/>
          <w:sz w:val="24"/>
          <w:szCs w:val="36"/>
          <w:highlight w:val="none"/>
        </w:rPr>
        <w:br w:type="page"/>
      </w:r>
      <w:bookmarkStart w:id="88" w:name="_Toc10619"/>
      <w:bookmarkStart w:id="89" w:name="_Toc24321"/>
      <w:bookmarkStart w:id="90" w:name="_Toc16739"/>
      <w:bookmarkStart w:id="91" w:name="_Toc30534"/>
      <w:r>
        <w:rPr>
          <w:rFonts w:hint="eastAsia" w:ascii="仿宋" w:hAnsi="仿宋" w:eastAsia="仿宋" w:cs="仿宋"/>
          <w:color w:val="auto"/>
          <w:highlight w:val="none"/>
          <w:lang w:val="en-US" w:eastAsia="zh-CN"/>
        </w:rPr>
        <w:t>项目特许</w:t>
      </w:r>
      <w:r>
        <w:rPr>
          <w:rFonts w:hint="eastAsia" w:ascii="仿宋" w:hAnsi="仿宋" w:eastAsia="仿宋" w:cs="仿宋"/>
          <w:color w:val="auto"/>
          <w:highlight w:val="none"/>
        </w:rPr>
        <w:t>经营模式可行性论证</w:t>
      </w:r>
      <w:bookmarkEnd w:id="88"/>
      <w:bookmarkEnd w:id="89"/>
      <w:bookmarkEnd w:id="90"/>
      <w:bookmarkEnd w:id="91"/>
    </w:p>
    <w:p w14:paraId="03B3BAB0">
      <w:pPr>
        <w:pStyle w:val="3"/>
        <w:bidi w:val="0"/>
        <w:ind w:left="575" w:hanging="575"/>
        <w:rPr>
          <w:rFonts w:hint="eastAsia" w:ascii="仿宋" w:hAnsi="仿宋" w:eastAsia="仿宋" w:cs="仿宋"/>
          <w:color w:val="auto"/>
          <w:highlight w:val="none"/>
          <w:lang w:val="en-US" w:eastAsia="zh-CN"/>
        </w:rPr>
      </w:pPr>
      <w:bookmarkStart w:id="92" w:name="_Toc12243"/>
      <w:bookmarkStart w:id="93" w:name="_Toc27964"/>
      <w:bookmarkStart w:id="94" w:name="_Toc27182"/>
      <w:bookmarkStart w:id="95" w:name="_Toc10544"/>
      <w:r>
        <w:rPr>
          <w:rFonts w:hint="eastAsia" w:ascii="仿宋" w:hAnsi="仿宋" w:eastAsia="仿宋" w:cs="仿宋"/>
          <w:color w:val="auto"/>
          <w:highlight w:val="none"/>
          <w:lang w:val="en-US" w:eastAsia="zh-CN"/>
        </w:rPr>
        <w:t>项目属性分析</w:t>
      </w:r>
      <w:bookmarkEnd w:id="92"/>
      <w:bookmarkEnd w:id="93"/>
      <w:bookmarkEnd w:id="94"/>
      <w:bookmarkEnd w:id="95"/>
    </w:p>
    <w:p w14:paraId="36B82B1C">
      <w:pPr>
        <w:bidi w:val="0"/>
        <w:rPr>
          <w:rFonts w:hint="eastAsia" w:ascii="仿宋" w:hAnsi="仿宋" w:eastAsia="仿宋"/>
          <w:color w:val="auto"/>
        </w:rPr>
      </w:pPr>
      <w:r>
        <w:rPr>
          <w:rFonts w:hint="eastAsia" w:ascii="仿宋" w:hAnsi="仿宋" w:eastAsia="仿宋"/>
          <w:color w:val="auto"/>
          <w:lang w:val="en-US" w:eastAsia="zh-CN"/>
        </w:rPr>
        <w:t>本项目主要建设内容为地下停车设施，属于市政基础设施建设类项目，并且可以面向使用者进行收费，因此本项目属于</w:t>
      </w:r>
      <w:r>
        <w:rPr>
          <w:rFonts w:hint="eastAsia" w:ascii="仿宋" w:hAnsi="仿宋" w:eastAsia="仿宋"/>
          <w:color w:val="auto"/>
        </w:rPr>
        <w:t>具有一定公益性且存在经营收入的项目。</w:t>
      </w:r>
    </w:p>
    <w:p w14:paraId="0A6E6F1B">
      <w:pPr>
        <w:bidi w:val="0"/>
        <w:rPr>
          <w:rFonts w:hint="eastAsia" w:ascii="仿宋" w:hAnsi="仿宋" w:eastAsia="仿宋"/>
          <w:color w:val="auto"/>
          <w:lang w:val="en-US" w:eastAsia="zh-CN"/>
        </w:rPr>
      </w:pPr>
      <w:r>
        <w:rPr>
          <w:rFonts w:hint="eastAsia" w:ascii="仿宋" w:hAnsi="仿宋" w:eastAsia="仿宋"/>
          <w:color w:val="auto"/>
          <w:lang w:val="en-US" w:eastAsia="zh-CN"/>
        </w:rPr>
        <w:t>根据《关于规范实施政府和社会资本合作新机制的指导意见》（国办函〔2023〕115号）文件要求：</w:t>
      </w:r>
      <w:r>
        <w:rPr>
          <w:rFonts w:hint="eastAsia" w:ascii="仿宋" w:hAnsi="仿宋" w:eastAsia="仿宋"/>
          <w:b/>
          <w:bCs/>
          <w:color w:val="auto"/>
          <w:lang w:val="en-US" w:eastAsia="zh-CN"/>
        </w:rPr>
        <w:t>政府和社会资本合作应限定于有经营性收益的项目</w:t>
      </w:r>
      <w:r>
        <w:rPr>
          <w:rFonts w:hint="eastAsia" w:ascii="仿宋" w:hAnsi="仿宋" w:eastAsia="仿宋"/>
          <w:color w:val="auto"/>
          <w:lang w:val="en-US" w:eastAsia="zh-CN"/>
        </w:rPr>
        <w:t>，主要包括公路、铁路、民航基础设施和交通枢纽等交通项目，物流枢纽、物流园区项目，城镇供水、供气、供热、</w:t>
      </w:r>
      <w:r>
        <w:rPr>
          <w:rFonts w:hint="eastAsia" w:ascii="仿宋" w:hAnsi="仿宋" w:eastAsia="仿宋"/>
          <w:b/>
          <w:bCs/>
          <w:color w:val="auto"/>
          <w:lang w:val="en-US" w:eastAsia="zh-CN"/>
        </w:rPr>
        <w:t>停车场等市政项目</w:t>
      </w:r>
      <w:r>
        <w:rPr>
          <w:rFonts w:hint="eastAsia" w:ascii="仿宋" w:hAnsi="仿宋" w:eastAsia="仿宋"/>
          <w:color w:val="auto"/>
          <w:lang w:val="en-US" w:eastAsia="zh-CN"/>
        </w:rPr>
        <w:t>，城镇污水垃圾收集处理及资源化利用等生态保护和环境治理项目，具有发电功能的水利项目，体育、旅游公共服务等社会项目，智慧城市、智慧交通、智慧农业等新型基础设施项目，城市更新、综合交通枢纽改造等盘活存量和改扩建有机结合的项目。</w:t>
      </w:r>
    </w:p>
    <w:p w14:paraId="44E57155">
      <w:pPr>
        <w:bidi w:val="0"/>
        <w:rPr>
          <w:rFonts w:hint="eastAsia" w:ascii="仿宋" w:hAnsi="仿宋" w:eastAsia="仿宋"/>
          <w:color w:val="auto"/>
          <w:highlight w:val="yellow"/>
          <w:lang w:val="en-US" w:eastAsia="zh-CN"/>
        </w:rPr>
      </w:pPr>
      <w:r>
        <w:rPr>
          <w:rFonts w:hint="eastAsia" w:ascii="仿宋" w:hAnsi="仿宋" w:eastAsia="仿宋"/>
          <w:color w:val="auto"/>
          <w:lang w:val="en-US" w:eastAsia="zh-CN"/>
        </w:rPr>
        <w:t>根据《支持民营企业参与的特许经营新建（含改扩建）项目清单（2023年版）》，本项目属于市政领域公共停车场新建项目，</w:t>
      </w:r>
      <w:r>
        <w:rPr>
          <w:rStyle w:val="33"/>
          <w:rFonts w:hint="eastAsia" w:ascii="仿宋" w:hAnsi="仿宋" w:eastAsia="仿宋" w:cs="仿宋"/>
          <w:i w:val="0"/>
          <w:iCs w:val="0"/>
          <w:caps w:val="0"/>
          <w:color w:val="auto"/>
          <w:spacing w:val="0"/>
          <w:sz w:val="28"/>
          <w:szCs w:val="28"/>
          <w:shd w:val="clear" w:color="auto" w:fill="auto"/>
        </w:rPr>
        <w:t>应</w:t>
      </w:r>
      <w:r>
        <w:rPr>
          <w:rStyle w:val="33"/>
          <w:rFonts w:hint="eastAsia" w:ascii="仿宋" w:hAnsi="仿宋" w:eastAsia="仿宋" w:cs="仿宋"/>
          <w:i w:val="0"/>
          <w:iCs w:val="0"/>
          <w:caps w:val="0"/>
          <w:color w:val="auto"/>
          <w:spacing w:val="0"/>
          <w:sz w:val="28"/>
          <w:szCs w:val="28"/>
          <w:shd w:val="clear" w:color="auto" w:fill="FFFFFF"/>
        </w:rPr>
        <w:t>由民营企业独资或控股</w:t>
      </w:r>
      <w:r>
        <w:rPr>
          <w:rStyle w:val="33"/>
          <w:rFonts w:hint="eastAsia" w:ascii="仿宋" w:hAnsi="仿宋" w:eastAsia="仿宋" w:cs="仿宋"/>
          <w:i w:val="0"/>
          <w:iCs w:val="0"/>
          <w:caps w:val="0"/>
          <w:color w:val="auto"/>
          <w:spacing w:val="0"/>
          <w:sz w:val="28"/>
          <w:szCs w:val="28"/>
          <w:shd w:val="clear" w:color="auto" w:fill="FFFFFF"/>
          <w:lang w:eastAsia="zh-CN"/>
        </w:rPr>
        <w:t>；</w:t>
      </w:r>
      <w:r>
        <w:rPr>
          <w:rStyle w:val="33"/>
          <w:rFonts w:hint="eastAsia" w:ascii="仿宋" w:hAnsi="仿宋" w:eastAsia="仿宋"/>
          <w:color w:val="auto"/>
          <w:highlight w:val="none"/>
          <w:shd w:val="clear" w:color="auto" w:fill="auto"/>
          <w:lang w:val="en-US" w:eastAsia="zh-CN"/>
        </w:rPr>
        <w:t>根据《</w:t>
      </w:r>
      <w:r>
        <w:rPr>
          <w:rStyle w:val="33"/>
          <w:rFonts w:hint="eastAsia" w:ascii="仿宋" w:hAnsi="仿宋" w:eastAsia="仿宋" w:cs="仿宋"/>
          <w:color w:val="auto"/>
          <w:kern w:val="2"/>
          <w:sz w:val="28"/>
          <w:szCs w:val="28"/>
          <w:highlight w:val="none"/>
          <w:shd w:val="clear" w:color="auto" w:fill="auto"/>
          <w:lang w:val="en-US" w:eastAsia="zh-CN" w:bidi="ar"/>
        </w:rPr>
        <w:t>基础设施和公用事业特许经营管理办法</w:t>
      </w:r>
      <w:r>
        <w:rPr>
          <w:rStyle w:val="33"/>
          <w:rFonts w:hint="eastAsia" w:ascii="仿宋" w:hAnsi="仿宋" w:eastAsia="仿宋"/>
          <w:color w:val="auto"/>
          <w:highlight w:val="none"/>
          <w:shd w:val="clear" w:color="auto" w:fill="auto"/>
          <w:lang w:val="en-US" w:eastAsia="zh-CN"/>
        </w:rPr>
        <w:t>》第18条</w:t>
      </w:r>
      <w:r>
        <w:rPr>
          <w:rStyle w:val="33"/>
          <w:rFonts w:hint="eastAsia" w:ascii="仿宋" w:hAnsi="仿宋" w:eastAsia="仿宋"/>
          <w:color w:val="auto"/>
          <w:shd w:val="clear" w:color="auto" w:fill="auto"/>
          <w:lang w:val="en-US" w:eastAsia="zh-CN"/>
        </w:rPr>
        <w:t>规定，外商投资企业可参照</w:t>
      </w:r>
      <w:r>
        <w:rPr>
          <w:rFonts w:hint="eastAsia" w:ascii="仿宋" w:hAnsi="仿宋" w:eastAsia="仿宋"/>
          <w:color w:val="auto"/>
          <w:shd w:val="clear"/>
          <w:lang w:val="en-US" w:eastAsia="zh-CN"/>
        </w:rPr>
        <w:t>民营企业</w:t>
      </w:r>
      <w:r>
        <w:rPr>
          <w:rStyle w:val="33"/>
          <w:rFonts w:hint="eastAsia" w:ascii="仿宋" w:hAnsi="仿宋" w:eastAsia="仿宋"/>
          <w:color w:val="auto"/>
          <w:shd w:val="clear" w:color="auto" w:fill="auto"/>
          <w:lang w:val="en-US" w:eastAsia="zh-CN"/>
        </w:rPr>
        <w:t>参与本项目。</w:t>
      </w:r>
    </w:p>
    <w:p w14:paraId="64A9371C">
      <w:pPr>
        <w:bidi w:val="0"/>
        <w:rPr>
          <w:rFonts w:hint="default" w:ascii="仿宋" w:hAnsi="仿宋" w:eastAsia="仿宋"/>
          <w:color w:val="auto"/>
          <w:lang w:val="en-US" w:eastAsia="zh-CN"/>
        </w:rPr>
      </w:pPr>
      <w:r>
        <w:rPr>
          <w:rFonts w:hint="eastAsia" w:ascii="仿宋" w:hAnsi="仿宋" w:eastAsia="仿宋"/>
          <w:color w:val="auto"/>
          <w:lang w:val="en-US" w:eastAsia="zh-CN"/>
        </w:rPr>
        <w:t>根据《企业投资项目核准和备案管理条例》（2017年3月8日国家发展改革委令第2号公布，自2017年4月8日起施行，根据2023年3月23日国家发展改革委令第1号修订）第二条：“本办法所称企业投资项目（以下简称项目），是指企业在中国境内投资建设的固定资产投资项目，包括企业使用自己筹措资金的项目，以及使用自己筹措的资金并申请使用政府投资补助或贷款贴息等的项目”。本项目由企业自行筹措资金，同时申请使用政府投资补助，属于企业投资项目。</w:t>
      </w:r>
    </w:p>
    <w:p w14:paraId="49F91F34">
      <w:pPr>
        <w:pStyle w:val="3"/>
        <w:bidi w:val="0"/>
        <w:ind w:left="575" w:hanging="575"/>
        <w:rPr>
          <w:rFonts w:hint="eastAsia" w:ascii="仿宋" w:hAnsi="仿宋" w:eastAsia="仿宋" w:cs="仿宋"/>
          <w:color w:val="auto"/>
          <w:highlight w:val="none"/>
          <w:lang w:val="en-US" w:eastAsia="zh-CN"/>
        </w:rPr>
      </w:pPr>
      <w:bookmarkStart w:id="96" w:name="_Toc9595"/>
      <w:bookmarkStart w:id="97" w:name="_Toc10747"/>
      <w:bookmarkStart w:id="98" w:name="_Toc29753"/>
      <w:bookmarkStart w:id="99" w:name="_Toc8181"/>
      <w:r>
        <w:rPr>
          <w:rFonts w:hint="eastAsia" w:ascii="仿宋" w:hAnsi="仿宋" w:eastAsia="仿宋" w:cs="仿宋"/>
          <w:color w:val="auto"/>
          <w:highlight w:val="none"/>
          <w:lang w:val="en-US" w:eastAsia="zh-CN"/>
        </w:rPr>
        <w:t>项目收费渠道和方式</w:t>
      </w:r>
      <w:bookmarkEnd w:id="96"/>
      <w:bookmarkEnd w:id="97"/>
      <w:bookmarkEnd w:id="98"/>
      <w:bookmarkEnd w:id="99"/>
    </w:p>
    <w:p w14:paraId="03316675">
      <w:pPr>
        <w:pStyle w:val="4"/>
        <w:bidi w:val="0"/>
        <w:ind w:left="720" w:hanging="720"/>
        <w:rPr>
          <w:rFonts w:hint="eastAsia" w:ascii="仿宋" w:hAnsi="仿宋" w:eastAsia="仿宋"/>
          <w:color w:val="auto"/>
          <w:lang w:val="en-US" w:eastAsia="zh-CN"/>
        </w:rPr>
      </w:pPr>
      <w:bookmarkStart w:id="100" w:name="_Toc23114"/>
      <w:r>
        <w:rPr>
          <w:rFonts w:hint="eastAsia" w:ascii="仿宋" w:hAnsi="仿宋" w:eastAsia="仿宋"/>
          <w:color w:val="auto"/>
          <w:lang w:val="en-US" w:eastAsia="zh-CN"/>
        </w:rPr>
        <w:t>测算说明</w:t>
      </w:r>
    </w:p>
    <w:p w14:paraId="7AAB3C88">
      <w:pPr>
        <w:numPr>
          <w:ilvl w:val="0"/>
          <w:numId w:val="45"/>
        </w:numPr>
        <w:bidi w:val="0"/>
        <w:rPr>
          <w:rFonts w:hint="eastAsia" w:ascii="仿宋" w:hAnsi="仿宋" w:eastAsia="仿宋"/>
          <w:color w:val="auto"/>
          <w:lang w:val="en-US" w:eastAsia="zh-CN"/>
        </w:rPr>
      </w:pPr>
      <w:r>
        <w:rPr>
          <w:rFonts w:hint="eastAsia" w:ascii="仿宋" w:hAnsi="仿宋" w:eastAsia="仿宋"/>
          <w:color w:val="auto"/>
          <w:lang w:val="en-US" w:eastAsia="zh-CN"/>
        </w:rPr>
        <w:t>项目资金来源：项目总投资为22319.75万元；其中，项目资本金为5129.47万元，政府投资补助10490.28万元，银行贷款融资为6700.00万元。</w:t>
      </w:r>
    </w:p>
    <w:p w14:paraId="5A9D0C51">
      <w:pPr>
        <w:numPr>
          <w:ilvl w:val="0"/>
          <w:numId w:val="45"/>
        </w:numPr>
        <w:bidi w:val="0"/>
        <w:rPr>
          <w:rFonts w:hint="eastAsia" w:ascii="仿宋" w:hAnsi="仿宋" w:eastAsia="仿宋"/>
          <w:color w:val="auto"/>
          <w:lang w:val="en-US" w:eastAsia="zh-CN"/>
        </w:rPr>
      </w:pPr>
      <w:r>
        <w:rPr>
          <w:rFonts w:hint="eastAsia" w:ascii="仿宋" w:hAnsi="仿宋" w:eastAsia="仿宋"/>
          <w:color w:val="auto"/>
          <w:lang w:val="en-US" w:eastAsia="zh-CN"/>
        </w:rPr>
        <w:t>项目计算期：项目计算期为特许经营期限，共40年，其中建设期13个月。</w:t>
      </w:r>
    </w:p>
    <w:p w14:paraId="72B15436">
      <w:pPr>
        <w:numPr>
          <w:ilvl w:val="0"/>
          <w:numId w:val="45"/>
        </w:numPr>
        <w:bidi w:val="0"/>
        <w:rPr>
          <w:rFonts w:hint="eastAsia" w:ascii="仿宋" w:hAnsi="仿宋" w:eastAsia="仿宋"/>
          <w:color w:val="auto"/>
          <w:lang w:val="en-US" w:eastAsia="zh-CN"/>
        </w:rPr>
      </w:pPr>
      <w:r>
        <w:rPr>
          <w:rFonts w:hint="eastAsia" w:ascii="仿宋" w:hAnsi="仿宋" w:eastAsia="仿宋"/>
          <w:color w:val="auto"/>
          <w:lang w:val="en-US" w:eastAsia="zh-CN"/>
        </w:rPr>
        <w:t>项目建设内容：项目主要建设地下二层停车场。项目用地面积为13000㎡，总建筑面积24496平方米，其中地上建筑面积850平方米，主要建设内容为地下停车场出入口；地下建筑面积23646平方米，主要建设内容为机动车停车位800个。</w:t>
      </w:r>
    </w:p>
    <w:p w14:paraId="4FAEA557">
      <w:pPr>
        <w:numPr>
          <w:ilvl w:val="0"/>
          <w:numId w:val="45"/>
        </w:numPr>
        <w:bidi w:val="0"/>
        <w:rPr>
          <w:rFonts w:hint="eastAsia" w:ascii="仿宋" w:hAnsi="仿宋" w:eastAsia="仿宋"/>
          <w:color w:val="auto"/>
          <w:lang w:val="en-US" w:eastAsia="zh-CN"/>
        </w:rPr>
      </w:pPr>
      <w:r>
        <w:rPr>
          <w:rFonts w:hint="eastAsia" w:ascii="仿宋" w:hAnsi="仿宋" w:eastAsia="仿宋"/>
          <w:color w:val="auto"/>
          <w:lang w:val="en-US" w:eastAsia="zh-CN"/>
        </w:rPr>
        <w:t>经营内容：160个</w:t>
      </w:r>
      <w:r>
        <w:rPr>
          <w:rFonts w:hint="eastAsia" w:ascii="仿宋" w:hAnsi="仿宋" w:eastAsia="仿宋"/>
          <w:color w:val="auto"/>
          <w:highlight w:val="none"/>
          <w:lang w:val="en-US" w:eastAsia="zh-CN"/>
        </w:rPr>
        <w:t>长租车位租赁收入</w:t>
      </w:r>
      <w:r>
        <w:rPr>
          <w:rFonts w:hint="eastAsia" w:ascii="仿宋" w:hAnsi="仿宋" w:eastAsia="仿宋"/>
          <w:color w:val="auto"/>
          <w:lang w:val="en-US" w:eastAsia="zh-CN"/>
        </w:rPr>
        <w:t>，320个包月车位租赁收入，320个临时车位租赁收入，160个充电桩运营收入，480个车位卫生管理费收入，4个广告位租赁收入。</w:t>
      </w:r>
    </w:p>
    <w:p w14:paraId="7696EEBD">
      <w:pPr>
        <w:numPr>
          <w:ilvl w:val="0"/>
          <w:numId w:val="45"/>
        </w:numPr>
        <w:bidi w:val="0"/>
        <w:rPr>
          <w:rFonts w:hint="eastAsia" w:ascii="仿宋" w:hAnsi="仿宋" w:eastAsia="仿宋"/>
          <w:color w:val="auto"/>
          <w:lang w:val="en-US" w:eastAsia="zh-CN"/>
        </w:rPr>
      </w:pPr>
      <w:r>
        <w:rPr>
          <w:rFonts w:hint="eastAsia" w:ascii="仿宋" w:hAnsi="仿宋" w:eastAsia="仿宋"/>
          <w:color w:val="auto"/>
          <w:lang w:val="en-US" w:eastAsia="zh-CN"/>
        </w:rPr>
        <w:t>项目税费：根据国家税法规定，本项目需缴纳增值税、城市维护建设税（7%）、教育费附加（3%）和地方教育附加费（2%）以及所得税（25%）。</w:t>
      </w:r>
    </w:p>
    <w:p w14:paraId="211D468F">
      <w:pPr>
        <w:numPr>
          <w:ilvl w:val="0"/>
          <w:numId w:val="45"/>
        </w:numPr>
        <w:bidi w:val="0"/>
        <w:rPr>
          <w:rFonts w:hint="eastAsia" w:ascii="仿宋" w:hAnsi="仿宋" w:eastAsia="仿宋"/>
          <w:color w:val="auto"/>
          <w:lang w:val="en-US" w:eastAsia="zh-CN"/>
        </w:rPr>
      </w:pPr>
      <w:r>
        <w:rPr>
          <w:rFonts w:hint="eastAsia" w:ascii="仿宋" w:hAnsi="仿宋" w:eastAsia="仿宋"/>
          <w:color w:val="auto"/>
          <w:lang w:val="en-US" w:eastAsia="zh-CN"/>
        </w:rPr>
        <w:t>项目税后利润中提取法定盈余公积金（10%）。</w:t>
      </w:r>
    </w:p>
    <w:bookmarkEnd w:id="100"/>
    <w:p w14:paraId="7D01EC82">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使用者支付意愿评价</w:t>
      </w:r>
    </w:p>
    <w:p w14:paraId="1E31E73E">
      <w:pPr>
        <w:numPr>
          <w:ilvl w:val="0"/>
          <w:numId w:val="46"/>
        </w:numPr>
        <w:bidi w:val="0"/>
        <w:rPr>
          <w:rFonts w:hint="eastAsia" w:ascii="仿宋" w:hAnsi="仿宋" w:eastAsia="仿宋"/>
          <w:color w:val="auto"/>
          <w:lang w:val="en-US" w:eastAsia="zh-CN"/>
        </w:rPr>
      </w:pPr>
      <w:r>
        <w:rPr>
          <w:rFonts w:hint="eastAsia" w:ascii="仿宋" w:hAnsi="仿宋" w:eastAsia="仿宋"/>
          <w:color w:val="auto"/>
          <w:lang w:val="en-US" w:eastAsia="zh-CN"/>
        </w:rPr>
        <w:t>需求与场景匹配</w:t>
      </w:r>
    </w:p>
    <w:p w14:paraId="4AC8FCA3">
      <w:pPr>
        <w:numPr>
          <w:ilvl w:val="0"/>
          <w:numId w:val="0"/>
        </w:num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本项目是为周边居民、学校及商业配套提供停车设施，停车需求刚性，使用者对便捷、安全的停车服务有明确支付意愿。</w:t>
      </w:r>
    </w:p>
    <w:p w14:paraId="7A1B32E9">
      <w:pPr>
        <w:numPr>
          <w:ilvl w:val="0"/>
          <w:numId w:val="0"/>
        </w:num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通过问卷调查、周边同类项目运营数据及交通流量分析，预计核心用户（周边居民、师生、消费者）对停车服务的接受度较高，愿意为规范管理、智慧化服务支付合理费用。</w:t>
      </w:r>
    </w:p>
    <w:p w14:paraId="06B6A6DD">
      <w:pPr>
        <w:numPr>
          <w:ilvl w:val="0"/>
          <w:numId w:val="46"/>
        </w:numPr>
        <w:bidi w:val="0"/>
        <w:rPr>
          <w:rFonts w:hint="eastAsia" w:ascii="仿宋" w:hAnsi="仿宋" w:eastAsia="仿宋"/>
          <w:color w:val="auto"/>
          <w:lang w:val="en-US" w:eastAsia="zh-CN"/>
        </w:rPr>
      </w:pPr>
      <w:r>
        <w:rPr>
          <w:rFonts w:hint="eastAsia" w:ascii="仿宋" w:hAnsi="仿宋" w:eastAsia="仿宋"/>
          <w:color w:val="auto"/>
          <w:lang w:val="en-US" w:eastAsia="zh-CN"/>
        </w:rPr>
        <w:t>服务价值感知</w:t>
      </w:r>
    </w:p>
    <w:p w14:paraId="61B64C2B">
      <w:pPr>
        <w:numPr>
          <w:ilvl w:val="0"/>
          <w:numId w:val="0"/>
        </w:num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项目提供标准化停车服务、智慧化管理（无感支付、车位引导）及地面公园配套，提升了使用者体验，增强支付意愿。</w:t>
      </w:r>
    </w:p>
    <w:p w14:paraId="65A5B5ED">
      <w:pPr>
        <w:numPr>
          <w:ilvl w:val="0"/>
          <w:numId w:val="0"/>
        </w:num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对比周边市场化停车场收费水平，本项目定价处于合理区间，未超出使用者心理预期。</w:t>
      </w:r>
    </w:p>
    <w:p w14:paraId="0318E069">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使用者支付能力评价</w:t>
      </w:r>
    </w:p>
    <w:p w14:paraId="01335194">
      <w:pPr>
        <w:numPr>
          <w:ilvl w:val="0"/>
          <w:numId w:val="47"/>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收入水平与收费标准匹配</w:t>
      </w:r>
    </w:p>
    <w:p w14:paraId="2F076905">
      <w:pPr>
        <w:numPr>
          <w:ilvl w:val="0"/>
          <w:numId w:val="0"/>
        </w:num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项目位于密云核心区，周边居民、学校及商业配套服务人群收入水平较高，本项目按小时计费，占日常出行成本比例较低，服务人群支付能力充足。</w:t>
      </w:r>
    </w:p>
    <w:p w14:paraId="7674FC05">
      <w:pPr>
        <w:numPr>
          <w:ilvl w:val="0"/>
          <w:numId w:val="0"/>
        </w:num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对新能源汽车、残疾人车辆等实行优惠政策，进一步降低特定群体支付压力，保障公平性。</w:t>
      </w:r>
    </w:p>
    <w:p w14:paraId="4BB5AFFF">
      <w:pPr>
        <w:numPr>
          <w:ilvl w:val="0"/>
          <w:numId w:val="47"/>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市场承受能力验证</w:t>
      </w:r>
    </w:p>
    <w:p w14:paraId="47FA5801">
      <w:pPr>
        <w:numPr>
          <w:ilvl w:val="0"/>
          <w:numId w:val="0"/>
        </w:num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参考周边同类停车场运营数据，车位周转率、收费率均保持在较高水平，说明使用者对当前收费标准具备稳定支付能力。</w:t>
      </w:r>
    </w:p>
    <w:p w14:paraId="602C5448">
      <w:pPr>
        <w:numPr>
          <w:ilvl w:val="0"/>
          <w:numId w:val="0"/>
        </w:num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结合区域经济发展水平及物价指数，收费标准在未来调整周期内仍处于可承受范围。</w:t>
      </w:r>
    </w:p>
    <w:p w14:paraId="4010FD7B">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项目收益稳定性评价</w:t>
      </w:r>
    </w:p>
    <w:p w14:paraId="5A5D32E4">
      <w:pPr>
        <w:numPr>
          <w:ilvl w:val="0"/>
          <w:numId w:val="48"/>
        </w:numPr>
        <w:bidi w:val="0"/>
        <w:ind w:left="0" w:leftChars="0" w:firstLine="560" w:firstLineChars="200"/>
        <w:rPr>
          <w:rFonts w:hint="eastAsia" w:ascii="方正仿宋_GB2312" w:hAnsi="方正仿宋_GB2312" w:eastAsia="方正仿宋_GB2312" w:cs="方正仿宋_GB2312"/>
          <w:color w:val="auto"/>
          <w:lang w:val="en-US" w:eastAsia="zh-CN"/>
        </w:rPr>
      </w:pPr>
      <w:r>
        <w:rPr>
          <w:rFonts w:hint="eastAsia" w:ascii="方正仿宋_GB2312" w:hAnsi="方正仿宋_GB2312" w:eastAsia="方正仿宋_GB2312" w:cs="方正仿宋_GB2312"/>
          <w:color w:val="auto"/>
          <w:lang w:val="en-US" w:eastAsia="zh-CN"/>
        </w:rPr>
        <w:t>需求稳定性</w:t>
      </w:r>
    </w:p>
    <w:p w14:paraId="053EAE20">
      <w:pPr>
        <w:numPr>
          <w:ilvl w:val="0"/>
          <w:numId w:val="0"/>
        </w:numPr>
        <w:bidi w:val="0"/>
        <w:ind w:firstLine="560" w:firstLineChars="200"/>
        <w:rPr>
          <w:rFonts w:hint="eastAsia" w:ascii="方正仿宋_GB2312" w:hAnsi="方正仿宋_GB2312" w:eastAsia="方正仿宋_GB2312" w:cs="方正仿宋_GB2312"/>
          <w:color w:val="auto"/>
          <w:lang w:val="en-US" w:eastAsia="zh-CN"/>
        </w:rPr>
      </w:pPr>
      <w:r>
        <w:rPr>
          <w:rFonts w:hint="eastAsia" w:ascii="方正仿宋_GB2312" w:hAnsi="方正仿宋_GB2312" w:eastAsia="方正仿宋_GB2312" w:cs="方正仿宋_GB2312"/>
          <w:color w:val="auto"/>
          <w:lang w:val="en-US" w:eastAsia="zh-CN"/>
        </w:rPr>
        <w:t>项目服务对象为周边固定居民、学校人群及商业客流，停车需求具有持续性和稳定性，受短期市场波动影响较小。</w:t>
      </w:r>
    </w:p>
    <w:p w14:paraId="3529AA49">
      <w:pPr>
        <w:numPr>
          <w:ilvl w:val="0"/>
          <w:numId w:val="0"/>
        </w:numPr>
        <w:bidi w:val="0"/>
        <w:ind w:firstLine="560" w:firstLineChars="200"/>
        <w:rPr>
          <w:rFonts w:hint="eastAsia" w:ascii="方正仿宋_GB2312" w:hAnsi="方正仿宋_GB2312" w:eastAsia="方正仿宋_GB2312" w:cs="方正仿宋_GB2312"/>
          <w:color w:val="auto"/>
          <w:lang w:val="en-US" w:eastAsia="zh-CN"/>
        </w:rPr>
      </w:pPr>
      <w:r>
        <w:rPr>
          <w:rFonts w:hint="eastAsia" w:ascii="方正仿宋_GB2312" w:hAnsi="方正仿宋_GB2312" w:eastAsia="方正仿宋_GB2312" w:cs="方正仿宋_GB2312"/>
          <w:color w:val="auto"/>
          <w:lang w:val="en-US" w:eastAsia="zh-CN"/>
        </w:rPr>
        <w:t>地面公园配套吸引人流，提升车位利用率，进一步增强收益稳定性。</w:t>
      </w:r>
    </w:p>
    <w:p w14:paraId="070C9B5A">
      <w:pPr>
        <w:numPr>
          <w:ilvl w:val="0"/>
          <w:numId w:val="48"/>
        </w:numPr>
        <w:bidi w:val="0"/>
        <w:ind w:left="0" w:leftChars="0" w:firstLine="560" w:firstLineChars="200"/>
        <w:rPr>
          <w:rFonts w:hint="eastAsia" w:ascii="方正仿宋_GB2312" w:hAnsi="方正仿宋_GB2312" w:eastAsia="方正仿宋_GB2312" w:cs="方正仿宋_GB2312"/>
          <w:color w:val="auto"/>
          <w:lang w:val="en-US" w:eastAsia="zh-CN"/>
        </w:rPr>
      </w:pPr>
      <w:r>
        <w:rPr>
          <w:rFonts w:hint="eastAsia" w:ascii="方正仿宋_GB2312" w:hAnsi="方正仿宋_GB2312" w:eastAsia="方正仿宋_GB2312" w:cs="方正仿宋_GB2312"/>
          <w:color w:val="auto"/>
          <w:lang w:val="en-US" w:eastAsia="zh-CN"/>
        </w:rPr>
        <w:t>收费机制与政策保障</w:t>
      </w:r>
    </w:p>
    <w:p w14:paraId="63310EB3">
      <w:pPr>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依据《</w:t>
      </w:r>
      <w:r>
        <w:rPr>
          <w:rFonts w:hint="eastAsia" w:ascii="方正仿宋_GB2312" w:hAnsi="方正仿宋_GB2312" w:eastAsia="方正仿宋_GB2312" w:cs="方正仿宋_GB2312"/>
          <w:color w:val="auto"/>
          <w:sz w:val="28"/>
          <w:szCs w:val="28"/>
          <w:highlight w:val="none"/>
        </w:rPr>
        <w:t>北京市机动车停车条例</w:t>
      </w:r>
      <w:r>
        <w:rPr>
          <w:rFonts w:hint="eastAsia" w:ascii="方正仿宋_GB2312" w:hAnsi="方正仿宋_GB2312" w:eastAsia="方正仿宋_GB2312" w:cs="方正仿宋_GB2312"/>
          <w:color w:val="auto"/>
          <w:sz w:val="28"/>
          <w:szCs w:val="28"/>
          <w:highlight w:val="none"/>
          <w:lang w:val="en-US" w:eastAsia="zh-CN"/>
        </w:rPr>
        <w:t>》，本项目采用自主定价形式，并根据市场同类项目收费变化情况和区域车位供需情况进行调价。</w:t>
      </w:r>
    </w:p>
    <w:p w14:paraId="301A9B64">
      <w:pPr>
        <w:numPr>
          <w:ilvl w:val="0"/>
          <w:numId w:val="0"/>
        </w:numPr>
        <w:bidi w:val="0"/>
        <w:ind w:firstLine="560" w:firstLineChars="200"/>
        <w:rPr>
          <w:rFonts w:hint="eastAsia" w:ascii="方正仿宋_GB2312" w:hAnsi="方正仿宋_GB2312" w:eastAsia="方正仿宋_GB2312" w:cs="方正仿宋_GB2312"/>
          <w:color w:val="auto"/>
          <w:highlight w:val="none"/>
          <w:lang w:val="en-US" w:eastAsia="zh-CN"/>
        </w:rPr>
      </w:pPr>
      <w:r>
        <w:rPr>
          <w:rFonts w:hint="eastAsia" w:ascii="方正仿宋_GB2312" w:hAnsi="方正仿宋_GB2312" w:eastAsia="方正仿宋_GB2312" w:cs="方正仿宋_GB2312"/>
          <w:color w:val="auto"/>
          <w:highlight w:val="none"/>
          <w:lang w:val="en-US" w:eastAsia="zh-CN"/>
        </w:rPr>
        <w:t>项目收费由特许经营者直接向使用者收取。具体收费渠道多元化（</w:t>
      </w:r>
      <w:r>
        <w:rPr>
          <w:rFonts w:hint="eastAsia" w:ascii="方正仿宋_GB2312" w:hAnsi="方正仿宋_GB2312" w:eastAsia="方正仿宋_GB2312" w:cs="方正仿宋_GB2312"/>
          <w:b w:val="0"/>
          <w:bCs w:val="0"/>
          <w:color w:val="auto"/>
          <w:kern w:val="0"/>
          <w:sz w:val="28"/>
          <w:szCs w:val="28"/>
          <w:highlight w:val="none"/>
          <w:lang w:val="en-US" w:eastAsia="zh-CN" w:bidi="ar"/>
        </w:rPr>
        <w:t>微信/支付宝扫码、无感支付（车牌/ETC）</w:t>
      </w:r>
      <w:r>
        <w:rPr>
          <w:rFonts w:hint="eastAsia" w:ascii="方正仿宋_GB2312" w:hAnsi="方正仿宋_GB2312" w:eastAsia="方正仿宋_GB2312" w:cs="方正仿宋_GB2312"/>
          <w:color w:val="auto"/>
          <w:highlight w:val="none"/>
          <w:lang w:val="en-US" w:eastAsia="zh-CN"/>
        </w:rPr>
        <w:t>），保障收费效率与到账及时性。</w:t>
      </w:r>
    </w:p>
    <w:p w14:paraId="3F0A9E37">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收入分析</w:t>
      </w:r>
    </w:p>
    <w:p w14:paraId="3204A463">
      <w:pPr>
        <w:bidi w:val="0"/>
        <w:rPr>
          <w:rFonts w:hint="eastAsia" w:ascii="仿宋" w:hAnsi="仿宋" w:eastAsia="仿宋"/>
          <w:color w:val="auto"/>
        </w:rPr>
      </w:pPr>
      <w:r>
        <w:rPr>
          <w:rFonts w:hint="eastAsia" w:ascii="仿宋" w:hAnsi="仿宋" w:eastAsia="仿宋"/>
          <w:color w:val="auto"/>
        </w:rPr>
        <w:t>本项目</w:t>
      </w:r>
      <w:r>
        <w:rPr>
          <w:rFonts w:hint="eastAsia" w:ascii="仿宋" w:hAnsi="仿宋" w:eastAsia="仿宋"/>
          <w:color w:val="auto"/>
          <w:lang w:val="en-US" w:eastAsia="zh-CN"/>
        </w:rPr>
        <w:t>经营</w:t>
      </w:r>
      <w:r>
        <w:rPr>
          <w:rFonts w:hint="eastAsia" w:ascii="仿宋" w:hAnsi="仿宋" w:eastAsia="仿宋"/>
          <w:color w:val="auto"/>
        </w:rPr>
        <w:t>收入来源</w:t>
      </w:r>
      <w:r>
        <w:rPr>
          <w:rFonts w:hint="eastAsia" w:ascii="仿宋" w:hAnsi="仿宋" w:eastAsia="仿宋"/>
          <w:color w:val="auto"/>
          <w:lang w:val="en-US" w:eastAsia="zh-CN"/>
        </w:rPr>
        <w:t>主要为停车位租赁收入、充电桩运营收入、卫生管理费及广告费收入</w:t>
      </w:r>
      <w:r>
        <w:rPr>
          <w:rFonts w:hint="eastAsia" w:ascii="仿宋" w:hAnsi="仿宋" w:eastAsia="仿宋"/>
          <w:color w:val="auto"/>
          <w:lang w:eastAsia="zh-CN"/>
        </w:rPr>
        <w:t>，</w:t>
      </w:r>
      <w:r>
        <w:rPr>
          <w:rFonts w:hint="eastAsia" w:ascii="仿宋" w:hAnsi="仿宋" w:eastAsia="仿宋"/>
          <w:color w:val="auto"/>
          <w:lang w:val="en-US" w:eastAsia="zh-CN"/>
        </w:rPr>
        <w:t>以及</w:t>
      </w:r>
      <w:r>
        <w:rPr>
          <w:rFonts w:hint="eastAsia" w:ascii="仿宋" w:hAnsi="仿宋" w:eastAsia="仿宋"/>
          <w:color w:val="auto"/>
        </w:rPr>
        <w:t>经实施机构批准的其他经营活动收入。运营期内，</w:t>
      </w:r>
      <w:r>
        <w:rPr>
          <w:rFonts w:hint="eastAsia" w:ascii="仿宋" w:hAnsi="仿宋" w:eastAsia="仿宋"/>
          <w:color w:val="auto"/>
          <w:lang w:eastAsia="zh-CN"/>
        </w:rPr>
        <w:t>特许经营者</w:t>
      </w:r>
      <w:r>
        <w:rPr>
          <w:rFonts w:hint="eastAsia" w:ascii="仿宋" w:hAnsi="仿宋" w:eastAsia="仿宋"/>
          <w:color w:val="auto"/>
        </w:rPr>
        <w:t>通过使用者付费模式实现投资回报并获得合理利润。</w:t>
      </w:r>
    </w:p>
    <w:p w14:paraId="7BFB9185">
      <w:pPr>
        <w:keepNext w:val="0"/>
        <w:keepLines w:val="0"/>
        <w:pageBreakBefore w:val="0"/>
        <w:widowControl w:val="0"/>
        <w:numPr>
          <w:ilvl w:val="0"/>
          <w:numId w:val="49"/>
        </w:numPr>
        <w:kinsoku/>
        <w:wordWrap/>
        <w:overflowPunct/>
        <w:topLinePunct w:val="0"/>
        <w:autoSpaceDE/>
        <w:autoSpaceDN/>
        <w:bidi w:val="0"/>
        <w:adjustRightInd/>
        <w:snapToGrid w:val="0"/>
        <w:ind w:left="0" w:leftChars="0" w:firstLine="560" w:firstLineChars="200"/>
        <w:textAlignment w:val="auto"/>
        <w:outlineLvl w:val="3"/>
        <w:rPr>
          <w:rFonts w:hint="eastAsia" w:ascii="仿宋" w:hAnsi="仿宋" w:eastAsia="仿宋"/>
          <w:color w:val="auto"/>
          <w:lang w:val="en-US" w:eastAsia="zh-CN"/>
        </w:rPr>
      </w:pPr>
      <w:r>
        <w:rPr>
          <w:rFonts w:hint="eastAsia" w:ascii="仿宋" w:hAnsi="仿宋" w:eastAsia="仿宋"/>
          <w:color w:val="auto"/>
          <w:highlight w:val="none"/>
          <w:lang w:val="en-US" w:eastAsia="zh-CN"/>
        </w:rPr>
        <w:t>长租车位租赁收入</w:t>
      </w:r>
    </w:p>
    <w:p w14:paraId="5571FE3C">
      <w:pPr>
        <w:bidi w:val="0"/>
        <w:rPr>
          <w:rFonts w:hint="eastAsia" w:ascii="仿宋" w:hAnsi="仿宋" w:eastAsia="仿宋"/>
          <w:color w:val="auto"/>
          <w:lang w:val="en-US" w:eastAsia="zh-CN"/>
        </w:rPr>
      </w:pPr>
      <w:r>
        <w:rPr>
          <w:rFonts w:hint="eastAsia" w:ascii="仿宋" w:hAnsi="仿宋" w:eastAsia="仿宋"/>
          <w:color w:val="auto"/>
          <w:lang w:val="en-US" w:eastAsia="zh-CN"/>
        </w:rPr>
        <w:t>本项目长租车位数量为停车位总数的20%，即160个，租赁期限为37-39年；运营期第1年、第2年、第3年租赁数量分别按照长租车位总数的40%、40%和20%计取。</w:t>
      </w:r>
    </w:p>
    <w:p w14:paraId="1CB90FE1">
      <w:pPr>
        <w:bidi w:val="0"/>
        <w:rPr>
          <w:rFonts w:hint="eastAsia" w:ascii="方正仿宋_GB2312" w:hAnsi="方正仿宋_GB2312" w:eastAsia="方正仿宋_GB2312" w:cs="方正仿宋_GB2312"/>
          <w:color w:val="auto"/>
          <w:lang w:val="en-US" w:eastAsia="zh-CN"/>
        </w:rPr>
        <w:sectPr>
          <w:pgSz w:w="11907" w:h="16839"/>
          <w:pgMar w:top="1440" w:right="1800" w:bottom="1440" w:left="1800" w:header="851" w:footer="624" w:gutter="0"/>
          <w:pgNumType w:fmt="decimal"/>
          <w:cols w:space="720" w:num="1"/>
          <w:docGrid w:type="lines" w:linePitch="326" w:charSpace="0"/>
        </w:sectPr>
      </w:pPr>
      <w:r>
        <w:rPr>
          <w:rFonts w:hint="eastAsia" w:ascii="方正仿宋_GB2312" w:hAnsi="方正仿宋_GB2312" w:eastAsia="方正仿宋_GB2312" w:cs="方正仿宋_GB2312"/>
          <w:color w:val="auto"/>
          <w:lang w:val="en-US" w:eastAsia="zh-CN"/>
        </w:rPr>
        <w:t>根据调研，密云区住宅小区车位长租车位单价范围为7.28万～23.15万元/个，调研情况详见下表。</w:t>
      </w:r>
    </w:p>
    <w:p w14:paraId="78871972">
      <w:pPr>
        <w:bidi w:val="0"/>
        <w:jc w:val="center"/>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表3-1密云区长租车位调研表</w:t>
      </w:r>
    </w:p>
    <w:tbl>
      <w:tblPr>
        <w:tblStyle w:val="31"/>
        <w:tblW w:w="48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9"/>
        <w:gridCol w:w="1888"/>
        <w:gridCol w:w="1834"/>
        <w:gridCol w:w="1048"/>
        <w:gridCol w:w="1248"/>
        <w:gridCol w:w="1160"/>
        <w:gridCol w:w="1473"/>
        <w:gridCol w:w="11335"/>
      </w:tblGrid>
      <w:tr w14:paraId="20E2D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blHeader/>
          <w:jc w:val="center"/>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C44DB">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序号</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C801D">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项目名称</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72F66">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项目地点</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EBDB8">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数量</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0D337">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建筑面积（㎡）</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172AC">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总价</w:t>
            </w:r>
          </w:p>
          <w:p w14:paraId="2798769A">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（万元）</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A40C9">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单价</w:t>
            </w:r>
          </w:p>
          <w:p w14:paraId="4038F799">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（万元/个）</w:t>
            </w:r>
          </w:p>
        </w:tc>
        <w:tc>
          <w:tcPr>
            <w:tcW w:w="2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27CB8">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调研截图</w:t>
            </w:r>
          </w:p>
        </w:tc>
      </w:tr>
      <w:tr w14:paraId="34F68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589FD">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1FA5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北京市密云区海怡庄园1幢-1层-101第149车位</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E931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北京市密云县海怡庄园1幢</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29A2E">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B58E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18.50</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05765">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7.28</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A58F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7.28</w:t>
            </w:r>
          </w:p>
        </w:tc>
        <w:tc>
          <w:tcPr>
            <w:tcW w:w="2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815AD">
            <w:pPr>
              <w:widowControl/>
              <w:spacing w:line="240" w:lineRule="auto"/>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drawing>
                <wp:inline distT="0" distB="0" distL="114300" distR="114300">
                  <wp:extent cx="3975100" cy="1800225"/>
                  <wp:effectExtent l="0" t="0" r="0" b="3175"/>
                  <wp:docPr id="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IMG_256"/>
                          <pic:cNvPicPr>
                            <a:picLocks noChangeAspect="1"/>
                          </pic:cNvPicPr>
                        </pic:nvPicPr>
                        <pic:blipFill>
                          <a:blip r:embed="rId26"/>
                          <a:stretch>
                            <a:fillRect/>
                          </a:stretch>
                        </pic:blipFill>
                        <pic:spPr>
                          <a:xfrm>
                            <a:off x="0" y="0"/>
                            <a:ext cx="3975100" cy="1800225"/>
                          </a:xfrm>
                          <a:prstGeom prst="rect">
                            <a:avLst/>
                          </a:prstGeom>
                          <a:noFill/>
                          <a:ln w="9525">
                            <a:noFill/>
                          </a:ln>
                        </pic:spPr>
                      </pic:pic>
                    </a:graphicData>
                  </a:graphic>
                </wp:inline>
              </w:drawing>
            </w:r>
          </w:p>
        </w:tc>
      </w:tr>
      <w:tr w14:paraId="3A4FA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jc w:val="center"/>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69A0B">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2</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F163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北京市密云区花园路16号院6幢-1层3-247车位</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2FBA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北京市密云区花园路16号院</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A9EC4">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8145E">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33.25</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855F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17.6</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AB45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17.60</w:t>
            </w:r>
          </w:p>
        </w:tc>
        <w:tc>
          <w:tcPr>
            <w:tcW w:w="2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3BC31">
            <w:pPr>
              <w:widowControl/>
              <w:spacing w:line="240" w:lineRule="auto"/>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drawing>
                <wp:inline distT="0" distB="0" distL="114300" distR="114300">
                  <wp:extent cx="3857625" cy="1800225"/>
                  <wp:effectExtent l="0" t="0" r="3175" b="3175"/>
                  <wp:docPr id="1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IMG_257"/>
                          <pic:cNvPicPr>
                            <a:picLocks noChangeAspect="1"/>
                          </pic:cNvPicPr>
                        </pic:nvPicPr>
                        <pic:blipFill>
                          <a:blip r:embed="rId27"/>
                          <a:stretch>
                            <a:fillRect/>
                          </a:stretch>
                        </pic:blipFill>
                        <pic:spPr>
                          <a:xfrm>
                            <a:off x="0" y="0"/>
                            <a:ext cx="3857625" cy="1800225"/>
                          </a:xfrm>
                          <a:prstGeom prst="rect">
                            <a:avLst/>
                          </a:prstGeom>
                          <a:noFill/>
                          <a:ln w="9525">
                            <a:noFill/>
                          </a:ln>
                        </pic:spPr>
                      </pic:pic>
                    </a:graphicData>
                  </a:graphic>
                </wp:inline>
              </w:drawing>
            </w:r>
          </w:p>
        </w:tc>
      </w:tr>
      <w:tr w14:paraId="0E074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4472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3</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9260E">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密云区檀城街6号院B1001至B1329-1层B1085（车位）</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29B6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密云区檀城街6号院</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6583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5975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41.85</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FCD3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23.15</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3637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23.15</w:t>
            </w:r>
          </w:p>
        </w:tc>
        <w:tc>
          <w:tcPr>
            <w:tcW w:w="2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40D36">
            <w:pPr>
              <w:widowControl/>
              <w:spacing w:line="240" w:lineRule="auto"/>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drawing>
                <wp:inline distT="0" distB="0" distL="114300" distR="114300">
                  <wp:extent cx="3462020" cy="1800225"/>
                  <wp:effectExtent l="0" t="0" r="5080" b="3175"/>
                  <wp:docPr id="18"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descr="IMG_258"/>
                          <pic:cNvPicPr>
                            <a:picLocks noChangeAspect="1"/>
                          </pic:cNvPicPr>
                        </pic:nvPicPr>
                        <pic:blipFill>
                          <a:blip r:embed="rId28"/>
                          <a:stretch>
                            <a:fillRect/>
                          </a:stretch>
                        </pic:blipFill>
                        <pic:spPr>
                          <a:xfrm>
                            <a:off x="0" y="0"/>
                            <a:ext cx="3462020" cy="1800225"/>
                          </a:xfrm>
                          <a:prstGeom prst="rect">
                            <a:avLst/>
                          </a:prstGeom>
                          <a:noFill/>
                          <a:ln w="9525">
                            <a:noFill/>
                          </a:ln>
                        </pic:spPr>
                      </pic:pic>
                    </a:graphicData>
                  </a:graphic>
                </wp:inline>
              </w:drawing>
            </w:r>
          </w:p>
        </w:tc>
      </w:tr>
      <w:tr w14:paraId="0944E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303D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4</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3859D">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密云区檀州家园南区B2001至B2278-1层B2264（车位）</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C59BE">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密云区檀州家园南区</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61C61">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34A8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34.57</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0726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12.15</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DD91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12.15</w:t>
            </w:r>
          </w:p>
        </w:tc>
        <w:tc>
          <w:tcPr>
            <w:tcW w:w="2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FD14A">
            <w:pPr>
              <w:widowControl/>
              <w:spacing w:line="240" w:lineRule="auto"/>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drawing>
                <wp:inline distT="0" distB="0" distL="114300" distR="114300">
                  <wp:extent cx="2956560" cy="2520315"/>
                  <wp:effectExtent l="0" t="0" r="2540" b="6985"/>
                  <wp:docPr id="19"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descr="IMG_259"/>
                          <pic:cNvPicPr>
                            <a:picLocks noChangeAspect="1"/>
                          </pic:cNvPicPr>
                        </pic:nvPicPr>
                        <pic:blipFill>
                          <a:blip r:embed="rId29"/>
                          <a:stretch>
                            <a:fillRect/>
                          </a:stretch>
                        </pic:blipFill>
                        <pic:spPr>
                          <a:xfrm>
                            <a:off x="0" y="0"/>
                            <a:ext cx="2956560" cy="2520315"/>
                          </a:xfrm>
                          <a:prstGeom prst="rect">
                            <a:avLst/>
                          </a:prstGeom>
                          <a:noFill/>
                          <a:ln w="9525">
                            <a:noFill/>
                          </a:ln>
                        </pic:spPr>
                      </pic:pic>
                    </a:graphicData>
                  </a:graphic>
                </wp:inline>
              </w:drawing>
            </w:r>
          </w:p>
        </w:tc>
      </w:tr>
    </w:tbl>
    <w:p w14:paraId="7651EE1A">
      <w:pPr>
        <w:bidi w:val="0"/>
        <w:rPr>
          <w:rFonts w:hint="eastAsia" w:ascii="仿宋" w:hAnsi="仿宋" w:eastAsia="仿宋"/>
          <w:color w:val="auto"/>
          <w:lang w:val="en-US" w:eastAsia="zh-CN"/>
        </w:rPr>
        <w:sectPr>
          <w:pgSz w:w="23811" w:h="16838" w:orient="landscape"/>
          <w:pgMar w:top="1440" w:right="1080" w:bottom="1440" w:left="1080" w:header="851" w:footer="624" w:gutter="0"/>
          <w:pgNumType w:fmt="decimal"/>
          <w:cols w:space="720" w:num="1"/>
          <w:docGrid w:type="lines" w:linePitch="326" w:charSpace="0"/>
        </w:sectPr>
      </w:pPr>
    </w:p>
    <w:p w14:paraId="1BDC8A64">
      <w:pPr>
        <w:bidi w:val="0"/>
        <w:rPr>
          <w:rFonts w:hint="eastAsia" w:ascii="仿宋" w:hAnsi="仿宋" w:eastAsia="仿宋"/>
          <w:color w:val="auto"/>
          <w:lang w:val="en-US" w:eastAsia="zh-CN"/>
        </w:rPr>
      </w:pPr>
      <w:r>
        <w:rPr>
          <w:rFonts w:hint="eastAsia" w:ascii="仿宋" w:hAnsi="仿宋" w:eastAsia="仿宋"/>
          <w:color w:val="auto"/>
          <w:lang w:val="en-US" w:eastAsia="zh-CN"/>
        </w:rPr>
        <w:t>本项目车位长租价格按照10万元/个考虑。则运营期长租车位租赁收入合计约1600.00万元。</w:t>
      </w:r>
    </w:p>
    <w:p w14:paraId="3E933A88">
      <w:pPr>
        <w:keepNext w:val="0"/>
        <w:keepLines w:val="0"/>
        <w:pageBreakBefore w:val="0"/>
        <w:widowControl w:val="0"/>
        <w:numPr>
          <w:ilvl w:val="0"/>
          <w:numId w:val="49"/>
        </w:numPr>
        <w:kinsoku/>
        <w:wordWrap/>
        <w:overflowPunct/>
        <w:topLinePunct w:val="0"/>
        <w:autoSpaceDE/>
        <w:autoSpaceDN/>
        <w:bidi w:val="0"/>
        <w:adjustRightInd/>
        <w:snapToGrid w:val="0"/>
        <w:ind w:left="0" w:leftChars="0" w:firstLine="560" w:firstLineChars="200"/>
        <w:textAlignment w:val="auto"/>
        <w:outlineLvl w:val="3"/>
        <w:rPr>
          <w:rFonts w:hint="eastAsia" w:ascii="仿宋" w:hAnsi="仿宋" w:eastAsia="仿宋"/>
          <w:color w:val="auto"/>
          <w:lang w:val="en-US" w:eastAsia="zh-CN"/>
        </w:rPr>
      </w:pPr>
      <w:r>
        <w:rPr>
          <w:rFonts w:hint="eastAsia" w:ascii="仿宋" w:hAnsi="仿宋" w:eastAsia="仿宋"/>
          <w:color w:val="auto"/>
          <w:lang w:val="en-US" w:eastAsia="zh-CN"/>
        </w:rPr>
        <w:t>月租停车位与临时停车位租赁收入</w:t>
      </w:r>
    </w:p>
    <w:p w14:paraId="76981504">
      <w:pPr>
        <w:bidi w:val="0"/>
        <w:rPr>
          <w:rFonts w:hint="eastAsia" w:ascii="仿宋" w:hAnsi="仿宋" w:eastAsia="仿宋"/>
          <w:color w:val="auto"/>
          <w:lang w:val="en-US" w:eastAsia="zh-CN"/>
        </w:rPr>
      </w:pPr>
      <w:r>
        <w:rPr>
          <w:rFonts w:hint="eastAsia" w:ascii="仿宋" w:hAnsi="仿宋" w:eastAsia="仿宋"/>
          <w:color w:val="auto"/>
          <w:lang w:val="en-US" w:eastAsia="zh-CN"/>
        </w:rPr>
        <w:t>本项目停车位租赁收入分为月租停车位及临时停车位。</w:t>
      </w:r>
    </w:p>
    <w:p w14:paraId="67B7839A">
      <w:pPr>
        <w:keepNext w:val="0"/>
        <w:keepLines w:val="0"/>
        <w:pageBreakBefore w:val="0"/>
        <w:widowControl w:val="0"/>
        <w:numPr>
          <w:ilvl w:val="0"/>
          <w:numId w:val="50"/>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lang w:val="en-US" w:eastAsia="zh-CN"/>
        </w:rPr>
      </w:pPr>
      <w:r>
        <w:rPr>
          <w:rFonts w:hint="eastAsia" w:ascii="仿宋" w:hAnsi="仿宋" w:eastAsia="仿宋"/>
          <w:color w:val="auto"/>
          <w:lang w:val="en-US" w:eastAsia="zh-CN"/>
        </w:rPr>
        <w:t>月租停车位租赁收入</w:t>
      </w:r>
    </w:p>
    <w:p w14:paraId="720201C8">
      <w:pPr>
        <w:bidi w:val="0"/>
        <w:rPr>
          <w:rFonts w:hint="eastAsia" w:ascii="仿宋" w:hAnsi="仿宋" w:eastAsia="仿宋"/>
          <w:color w:val="auto"/>
          <w:lang w:val="en-US" w:eastAsia="zh-CN"/>
        </w:rPr>
      </w:pPr>
      <w:r>
        <w:rPr>
          <w:rFonts w:hint="eastAsia" w:ascii="仿宋" w:hAnsi="仿宋" w:eastAsia="仿宋"/>
          <w:color w:val="auto"/>
          <w:lang w:val="en-US" w:eastAsia="zh-CN"/>
        </w:rPr>
        <w:t>本项目月租停车位数量为停车位总数的40%即320个，出租率按照运营期第1年60%、第2年70%，自第3年起达到稳定出租率80%考虑；根据调研，密云区包月停车位租金价格范围为150元/月～500元/月，调研情况详见下表。</w:t>
      </w:r>
    </w:p>
    <w:p w14:paraId="22E798D4">
      <w:pPr>
        <w:numPr>
          <w:ilvl w:val="0"/>
          <w:numId w:val="0"/>
        </w:numPr>
        <w:bidi w:val="0"/>
        <w:jc w:val="center"/>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表3-2密云区包月车位调研表</w:t>
      </w:r>
    </w:p>
    <w:tbl>
      <w:tblPr>
        <w:tblStyle w:val="3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8"/>
        <w:gridCol w:w="1906"/>
        <w:gridCol w:w="2449"/>
        <w:gridCol w:w="1693"/>
        <w:gridCol w:w="1618"/>
      </w:tblGrid>
      <w:tr w14:paraId="0973E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0FD4B">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序号</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FB71C">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项目名称</w:t>
            </w:r>
          </w:p>
        </w:tc>
        <w:tc>
          <w:tcPr>
            <w:tcW w:w="1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586D2">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项目地点</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9E3C4">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距本项目（km）</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5FA9A">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收费标准</w:t>
            </w:r>
          </w:p>
        </w:tc>
      </w:tr>
      <w:tr w14:paraId="6150C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7A40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7B7CB">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密云同仁堂停车场</w:t>
            </w:r>
          </w:p>
        </w:tc>
        <w:tc>
          <w:tcPr>
            <w:tcW w:w="1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87AB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密东广场西侧</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5FB33">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2.20</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8F93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2400元/年</w:t>
            </w:r>
          </w:p>
        </w:tc>
      </w:tr>
      <w:tr w14:paraId="5434D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AC06E">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2</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B462E">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铁西路停车场</w:t>
            </w:r>
          </w:p>
        </w:tc>
        <w:tc>
          <w:tcPr>
            <w:tcW w:w="1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2C74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密云区白云街华远澜悦小区东南侧</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252F3">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2.40</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6C23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每年1800元</w:t>
            </w:r>
          </w:p>
        </w:tc>
      </w:tr>
      <w:tr w14:paraId="00DF0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262C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3</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8C87A">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密云区六小西侧停车场</w:t>
            </w:r>
          </w:p>
        </w:tc>
        <w:tc>
          <w:tcPr>
            <w:tcW w:w="1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2815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密云区兴云路北侧24号</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68EA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3.00</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F4A6B">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每年1800元</w:t>
            </w:r>
          </w:p>
        </w:tc>
      </w:tr>
      <w:tr w14:paraId="4055B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6A7ED">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4</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AD40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宾阳北里地库</w:t>
            </w:r>
          </w:p>
        </w:tc>
        <w:tc>
          <w:tcPr>
            <w:tcW w:w="1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DCED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密云区沙河早市东口</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DCFF5">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1.10</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0FA5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2600/年</w:t>
            </w:r>
          </w:p>
        </w:tc>
      </w:tr>
      <w:tr w14:paraId="17D81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5E2EA">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C693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乐乐居停车场</w:t>
            </w:r>
          </w:p>
        </w:tc>
        <w:tc>
          <w:tcPr>
            <w:tcW w:w="1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7FAC8">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北京市密云区鼓楼南大街67号</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7F9C1">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1.10</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5376A">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每月300元</w:t>
            </w:r>
          </w:p>
        </w:tc>
      </w:tr>
      <w:tr w14:paraId="34364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7E1D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6</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0AFA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密东广场东侧</w:t>
            </w:r>
          </w:p>
        </w:tc>
        <w:tc>
          <w:tcPr>
            <w:tcW w:w="1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4F30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北京市密云区鼓楼东大街与育才路交汇处</w:t>
            </w:r>
          </w:p>
        </w:tc>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BA8E1">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0.30</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33CA5">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500/月</w:t>
            </w:r>
          </w:p>
        </w:tc>
      </w:tr>
    </w:tbl>
    <w:p w14:paraId="174352FF">
      <w:pPr>
        <w:bidi w:val="0"/>
        <w:rPr>
          <w:rFonts w:hint="eastAsia" w:ascii="仿宋" w:hAnsi="仿宋" w:eastAsia="仿宋"/>
          <w:color w:val="auto"/>
          <w:lang w:val="en-US" w:eastAsia="zh-CN"/>
        </w:rPr>
      </w:pPr>
      <w:r>
        <w:rPr>
          <w:rFonts w:hint="eastAsia" w:ascii="仿宋" w:hAnsi="仿宋" w:eastAsia="仿宋"/>
          <w:color w:val="auto"/>
          <w:lang w:val="en-US" w:eastAsia="zh-CN"/>
        </w:rPr>
        <w:t>本项目包月车位租金价格按照240元/个/月、每5年增长5%考虑，增长至306元/月不再增长。运营期月租车位租赁收入合计约3326.69万元。</w:t>
      </w:r>
    </w:p>
    <w:p w14:paraId="7F8CC474">
      <w:pPr>
        <w:keepNext w:val="0"/>
        <w:keepLines w:val="0"/>
        <w:pageBreakBefore w:val="0"/>
        <w:widowControl w:val="0"/>
        <w:numPr>
          <w:ilvl w:val="0"/>
          <w:numId w:val="50"/>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lang w:val="en-US" w:eastAsia="zh-CN"/>
        </w:rPr>
      </w:pPr>
      <w:r>
        <w:rPr>
          <w:rFonts w:hint="eastAsia" w:ascii="仿宋" w:hAnsi="仿宋" w:eastAsia="仿宋"/>
          <w:color w:val="auto"/>
          <w:lang w:val="en-US" w:eastAsia="zh-CN"/>
        </w:rPr>
        <w:t>临时停车位租赁收入</w:t>
      </w:r>
    </w:p>
    <w:p w14:paraId="4E2374ED">
      <w:pPr>
        <w:bidi w:val="0"/>
        <w:rPr>
          <w:rFonts w:hint="eastAsia" w:ascii="仿宋" w:hAnsi="仿宋" w:eastAsia="仿宋"/>
          <w:color w:val="auto"/>
          <w:lang w:val="en-US" w:eastAsia="zh-CN"/>
        </w:rPr>
      </w:pPr>
      <w:r>
        <w:rPr>
          <w:rFonts w:hint="eastAsia" w:ascii="仿宋" w:hAnsi="仿宋" w:eastAsia="仿宋"/>
          <w:color w:val="auto"/>
          <w:lang w:val="en-US" w:eastAsia="zh-CN"/>
        </w:rPr>
        <w:t>本项目临时停车位数量为停车位总数的40%，即320个。出租率按照运营期第1年50%、第2年60%、第3年70%，自第4年起达到稳定出租率，即以后每年均为80%考虑。白天每次停车时长按照平均2.5小时计取，周转次数按照运营期第1年1.5次、第2年2.0次、第3年2.5次，自第4年起以后每年均为3.0次考虑；夜间临时停车需求较少，暂不纳入测算统计。根据实地调研及网络调研可知，密云区临时停车位单价范围为4元/时～10元/时，调研情况详见下表和下图。</w:t>
      </w:r>
    </w:p>
    <w:p w14:paraId="3B79EE8D">
      <w:pPr>
        <w:numPr>
          <w:ilvl w:val="0"/>
          <w:numId w:val="0"/>
        </w:numPr>
        <w:bidi w:val="0"/>
        <w:jc w:val="center"/>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表3-3密云区临时车位调研表</w:t>
      </w:r>
    </w:p>
    <w:tbl>
      <w:tblPr>
        <w:tblStyle w:val="31"/>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4"/>
        <w:gridCol w:w="1184"/>
        <w:gridCol w:w="1777"/>
        <w:gridCol w:w="920"/>
        <w:gridCol w:w="1053"/>
        <w:gridCol w:w="2902"/>
      </w:tblGrid>
      <w:tr w14:paraId="622BB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F16E7">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序号</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5615B">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项目名称</w:t>
            </w:r>
          </w:p>
        </w:tc>
        <w:tc>
          <w:tcPr>
            <w:tcW w:w="10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05DF0">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项目地点</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D2FBC">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停车场类型</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77282">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距本项目（km）</w:t>
            </w:r>
          </w:p>
        </w:tc>
        <w:tc>
          <w:tcPr>
            <w:tcW w:w="1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0DDB2">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收费标准</w:t>
            </w:r>
          </w:p>
        </w:tc>
      </w:tr>
      <w:tr w14:paraId="5ED8A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9A835">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C3A9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北京密云万象汇地下停车场</w:t>
            </w:r>
          </w:p>
        </w:tc>
        <w:tc>
          <w:tcPr>
            <w:tcW w:w="10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A96B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密云区滨河路178号北京密云万象汇B1层</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31E3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地下停车场</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33F9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1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002D8">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计时收费：</w:t>
            </w:r>
            <w:r>
              <w:rPr>
                <w:rFonts w:hint="eastAsia" w:ascii="仿宋" w:hAnsi="仿宋" w:eastAsia="仿宋" w:cs="仿宋"/>
                <w:color w:val="auto"/>
                <w:sz w:val="22"/>
                <w:szCs w:val="22"/>
                <w:highlight w:val="none"/>
                <w:lang w:val="en-US" w:eastAsia="zh-CN"/>
              </w:rPr>
              <w:br w:type="textWrapping"/>
            </w:r>
            <w:r>
              <w:rPr>
                <w:rFonts w:hint="eastAsia" w:ascii="仿宋" w:hAnsi="仿宋" w:eastAsia="仿宋" w:cs="仿宋"/>
                <w:color w:val="auto"/>
                <w:sz w:val="22"/>
                <w:szCs w:val="22"/>
                <w:highlight w:val="none"/>
                <w:lang w:val="en-US" w:eastAsia="zh-CN"/>
              </w:rPr>
              <w:t>停车不满15分钟免费</w:t>
            </w:r>
            <w:r>
              <w:rPr>
                <w:rFonts w:hint="eastAsia" w:ascii="仿宋" w:hAnsi="仿宋" w:eastAsia="仿宋" w:cs="仿宋"/>
                <w:color w:val="auto"/>
                <w:sz w:val="22"/>
                <w:szCs w:val="22"/>
                <w:highlight w:val="none"/>
                <w:lang w:val="en-US" w:eastAsia="zh-CN"/>
              </w:rPr>
              <w:br w:type="textWrapping"/>
            </w:r>
            <w:r>
              <w:rPr>
                <w:rFonts w:hint="eastAsia" w:ascii="仿宋" w:hAnsi="仿宋" w:eastAsia="仿宋" w:cs="仿宋"/>
                <w:color w:val="auto"/>
                <w:sz w:val="22"/>
                <w:szCs w:val="22"/>
                <w:highlight w:val="none"/>
                <w:lang w:val="en-US" w:eastAsia="zh-CN"/>
              </w:rPr>
              <w:t>小型车白天首小时6.0元/60分钟，首小时后6.0元/60分钟</w:t>
            </w:r>
            <w:r>
              <w:rPr>
                <w:rFonts w:hint="eastAsia" w:ascii="仿宋" w:hAnsi="仿宋" w:eastAsia="仿宋" w:cs="仿宋"/>
                <w:color w:val="auto"/>
                <w:sz w:val="22"/>
                <w:szCs w:val="22"/>
                <w:highlight w:val="none"/>
                <w:lang w:val="en-US" w:eastAsia="zh-CN"/>
              </w:rPr>
              <w:br w:type="textWrapping"/>
            </w:r>
            <w:r>
              <w:rPr>
                <w:rFonts w:hint="eastAsia" w:ascii="仿宋" w:hAnsi="仿宋" w:eastAsia="仿宋" w:cs="仿宋"/>
                <w:color w:val="auto"/>
                <w:sz w:val="22"/>
                <w:szCs w:val="22"/>
                <w:highlight w:val="none"/>
                <w:lang w:val="en-US" w:eastAsia="zh-CN"/>
              </w:rPr>
              <w:t>小型车夜间6.0元/60分钟</w:t>
            </w:r>
          </w:p>
        </w:tc>
      </w:tr>
      <w:tr w14:paraId="511BF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E590D">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2</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7374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福城新天地停车场</w:t>
            </w:r>
          </w:p>
        </w:tc>
        <w:tc>
          <w:tcPr>
            <w:tcW w:w="10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60D6D">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密云区南河路与新南路交叉口东南80米</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9CAB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地面停车场</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5A5F4">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0.70</w:t>
            </w:r>
          </w:p>
        </w:tc>
        <w:tc>
          <w:tcPr>
            <w:tcW w:w="1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AC49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白天：0.5元/15分钟；晚上：1元/2小时</w:t>
            </w:r>
          </w:p>
        </w:tc>
      </w:tr>
      <w:tr w14:paraId="1ADF3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F37E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3</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EB3FB">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北京瑞海姆田园度假村停车场</w:t>
            </w:r>
          </w:p>
        </w:tc>
        <w:tc>
          <w:tcPr>
            <w:tcW w:w="10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4797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密云区新南路2号北京瑞海姆田园度假村</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E43F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地面停车场</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481D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1.10</w:t>
            </w:r>
          </w:p>
        </w:tc>
        <w:tc>
          <w:tcPr>
            <w:tcW w:w="1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7729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1.5元/15分钟，6元/首小时，酒店住宿提供免费停车券。</w:t>
            </w:r>
          </w:p>
        </w:tc>
      </w:tr>
      <w:tr w14:paraId="47B63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B9873">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4</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DB91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好诺维建材家居停车场</w:t>
            </w:r>
          </w:p>
        </w:tc>
        <w:tc>
          <w:tcPr>
            <w:tcW w:w="10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C27CA">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密云区阳光街689-20号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30074">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69AB8">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1.00</w:t>
            </w:r>
          </w:p>
        </w:tc>
        <w:tc>
          <w:tcPr>
            <w:tcW w:w="1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302B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1元/12分钟，5元/首小时。</w:t>
            </w:r>
          </w:p>
        </w:tc>
      </w:tr>
      <w:tr w14:paraId="404C0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C63C1">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E971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密云站停车场</w:t>
            </w:r>
          </w:p>
        </w:tc>
        <w:tc>
          <w:tcPr>
            <w:tcW w:w="10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427D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密云区站区西侧路与顺潮街交叉口西60米</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92EFE">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火车站停车场</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F384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5.40</w:t>
            </w:r>
          </w:p>
        </w:tc>
        <w:tc>
          <w:tcPr>
            <w:tcW w:w="1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CFFBB">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20分钟内免费，前2小时：10元/小时</w:t>
            </w:r>
            <w:r>
              <w:rPr>
                <w:rFonts w:hint="eastAsia" w:ascii="仿宋" w:hAnsi="仿宋" w:eastAsia="仿宋" w:cs="仿宋"/>
                <w:color w:val="auto"/>
                <w:sz w:val="22"/>
                <w:szCs w:val="22"/>
                <w:highlight w:val="none"/>
                <w:lang w:val="en-US" w:eastAsia="zh-CN"/>
              </w:rPr>
              <w:br w:type="textWrapping"/>
            </w:r>
            <w:r>
              <w:rPr>
                <w:rFonts w:hint="eastAsia" w:ascii="仿宋" w:hAnsi="仿宋" w:eastAsia="仿宋" w:cs="仿宋"/>
                <w:color w:val="auto"/>
                <w:sz w:val="22"/>
                <w:szCs w:val="22"/>
                <w:highlight w:val="none"/>
                <w:lang w:val="en-US" w:eastAsia="zh-CN"/>
              </w:rPr>
              <w:t>超2小时后：5元/小时</w:t>
            </w:r>
            <w:r>
              <w:rPr>
                <w:rFonts w:hint="eastAsia" w:ascii="仿宋" w:hAnsi="仿宋" w:eastAsia="仿宋" w:cs="仿宋"/>
                <w:color w:val="auto"/>
                <w:sz w:val="22"/>
                <w:szCs w:val="22"/>
                <w:highlight w:val="none"/>
                <w:lang w:val="en-US" w:eastAsia="zh-CN"/>
              </w:rPr>
              <w:br w:type="textWrapping"/>
            </w:r>
            <w:r>
              <w:rPr>
                <w:rFonts w:hint="eastAsia" w:ascii="仿宋" w:hAnsi="仿宋" w:eastAsia="仿宋" w:cs="仿宋"/>
                <w:color w:val="auto"/>
                <w:sz w:val="22"/>
                <w:szCs w:val="22"/>
                <w:highlight w:val="none"/>
                <w:lang w:val="en-US" w:eastAsia="zh-CN"/>
              </w:rPr>
              <w:t>24小时内计费（上限10小时）：最高60元</w:t>
            </w:r>
            <w:r>
              <w:rPr>
                <w:rFonts w:hint="eastAsia" w:ascii="仿宋" w:hAnsi="仿宋" w:eastAsia="仿宋" w:cs="仿宋"/>
                <w:color w:val="auto"/>
                <w:sz w:val="22"/>
                <w:szCs w:val="22"/>
                <w:highlight w:val="none"/>
                <w:lang w:val="en-US" w:eastAsia="zh-CN"/>
              </w:rPr>
              <w:br w:type="textWrapping"/>
            </w:r>
            <w:r>
              <w:rPr>
                <w:rFonts w:hint="eastAsia" w:ascii="仿宋" w:hAnsi="仿宋" w:eastAsia="仿宋" w:cs="仿宋"/>
                <w:color w:val="auto"/>
                <w:sz w:val="22"/>
                <w:szCs w:val="22"/>
                <w:highlight w:val="none"/>
                <w:lang w:val="en-US" w:eastAsia="zh-CN"/>
              </w:rPr>
              <w:t>24—48小时计费（上限14小时）：最高80元。</w:t>
            </w:r>
          </w:p>
        </w:tc>
      </w:tr>
      <w:tr w14:paraId="4FEBB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3489E">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6</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0BD4A">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檀州大厦停车场</w:t>
            </w:r>
          </w:p>
        </w:tc>
        <w:tc>
          <w:tcPr>
            <w:tcW w:w="10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585F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密云区檀州大厦</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A7961">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地面停车场</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E06FA">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1.20</w:t>
            </w:r>
          </w:p>
        </w:tc>
        <w:tc>
          <w:tcPr>
            <w:tcW w:w="1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9A3A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1元/10分钟，6元/首小时，入住酒店15元/次。</w:t>
            </w:r>
          </w:p>
        </w:tc>
      </w:tr>
      <w:tr w14:paraId="02459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4796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7</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6DE01">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物美大卖场密云果园店停车场</w:t>
            </w:r>
          </w:p>
        </w:tc>
        <w:tc>
          <w:tcPr>
            <w:tcW w:w="10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34E9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密云区密云镇果园路1号物美大卖场（密云果园店）</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6607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地面停车场</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6506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1.90</w:t>
            </w:r>
          </w:p>
        </w:tc>
        <w:tc>
          <w:tcPr>
            <w:tcW w:w="1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1613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计时收费：小型车白天首小时0.0元/10分钟，首小时后1.0元/10分钟，小型车夜间0.5元/30分钟</w:t>
            </w:r>
          </w:p>
        </w:tc>
      </w:tr>
      <w:tr w14:paraId="5EAE0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2F80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8</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9DCF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云光商场家具城停车场</w:t>
            </w:r>
          </w:p>
        </w:tc>
        <w:tc>
          <w:tcPr>
            <w:tcW w:w="10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83F7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密云区西门外大街与新西路交叉口西100米</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2554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地面停车场</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3950A">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2.00</w:t>
            </w:r>
          </w:p>
        </w:tc>
        <w:tc>
          <w:tcPr>
            <w:tcW w:w="1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FBA63">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停车不满15分钟免费2.5元/15分钟，10元/首小时。</w:t>
            </w:r>
          </w:p>
        </w:tc>
      </w:tr>
      <w:tr w14:paraId="4AACD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B3055">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9</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9BC9D">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密云区中医医院停车场</w:t>
            </w:r>
          </w:p>
        </w:tc>
        <w:tc>
          <w:tcPr>
            <w:tcW w:w="10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CB84E">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密云区鼓楼街道新中街39号密云区中医医院</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C95A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地面停车场</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3518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2.10</w:t>
            </w:r>
          </w:p>
        </w:tc>
        <w:tc>
          <w:tcPr>
            <w:tcW w:w="1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5F00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小型车白天：首小时0.0元/15分钟，首小时后0.5元/15分钟</w:t>
            </w:r>
            <w:r>
              <w:rPr>
                <w:rFonts w:hint="eastAsia" w:ascii="仿宋" w:hAnsi="仿宋" w:eastAsia="仿宋" w:cs="仿宋"/>
                <w:color w:val="auto"/>
                <w:sz w:val="22"/>
                <w:szCs w:val="22"/>
                <w:highlight w:val="none"/>
                <w:lang w:val="en-US" w:eastAsia="zh-CN"/>
              </w:rPr>
              <w:br w:type="textWrapping"/>
            </w:r>
            <w:r>
              <w:rPr>
                <w:rFonts w:hint="eastAsia" w:ascii="仿宋" w:hAnsi="仿宋" w:eastAsia="仿宋" w:cs="仿宋"/>
                <w:color w:val="auto"/>
                <w:sz w:val="22"/>
                <w:szCs w:val="22"/>
                <w:highlight w:val="none"/>
                <w:lang w:val="en-US" w:eastAsia="zh-CN"/>
              </w:rPr>
              <w:t>小型车夜间：1.0元/60分钟</w:t>
            </w:r>
          </w:p>
        </w:tc>
      </w:tr>
      <w:tr w14:paraId="595B8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DCF1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10</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D377B">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密云区妇幼保健院停车场</w:t>
            </w:r>
          </w:p>
        </w:tc>
        <w:tc>
          <w:tcPr>
            <w:tcW w:w="10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A7531">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密云区新南路与新东路交叉口东140米</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8F61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地面停车场</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672CB">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1.80</w:t>
            </w:r>
          </w:p>
        </w:tc>
        <w:tc>
          <w:tcPr>
            <w:tcW w:w="1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3990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小型车白天：首小时0.0元/15分钟，首小时后4.0元/60分钟</w:t>
            </w:r>
            <w:r>
              <w:rPr>
                <w:rFonts w:hint="eastAsia" w:ascii="仿宋" w:hAnsi="仿宋" w:eastAsia="仿宋" w:cs="仿宋"/>
                <w:color w:val="auto"/>
                <w:sz w:val="22"/>
                <w:szCs w:val="22"/>
                <w:highlight w:val="none"/>
                <w:lang w:val="en-US" w:eastAsia="zh-CN"/>
              </w:rPr>
              <w:br w:type="textWrapping"/>
            </w:r>
            <w:r>
              <w:rPr>
                <w:rFonts w:hint="eastAsia" w:ascii="仿宋" w:hAnsi="仿宋" w:eastAsia="仿宋" w:cs="仿宋"/>
                <w:color w:val="auto"/>
                <w:sz w:val="22"/>
                <w:szCs w:val="22"/>
                <w:highlight w:val="none"/>
                <w:lang w:val="en-US" w:eastAsia="zh-CN"/>
              </w:rPr>
              <w:t>小型车夜间：4.0元/60分钟</w:t>
            </w:r>
          </w:p>
        </w:tc>
      </w:tr>
      <w:tr w14:paraId="12C91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9C5E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11</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34BD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物美新中街店停车场</w:t>
            </w:r>
          </w:p>
        </w:tc>
        <w:tc>
          <w:tcPr>
            <w:tcW w:w="10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09B3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密云区新中街10号物美超市密云新中街店</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80F0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地面停车场</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EA61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2.30</w:t>
            </w:r>
          </w:p>
        </w:tc>
        <w:tc>
          <w:tcPr>
            <w:tcW w:w="1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EBF35">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计时收费：停车不满15分钟免费</w:t>
            </w:r>
            <w:r>
              <w:rPr>
                <w:rFonts w:hint="eastAsia" w:ascii="仿宋" w:hAnsi="仿宋" w:eastAsia="仿宋" w:cs="仿宋"/>
                <w:color w:val="auto"/>
                <w:sz w:val="22"/>
                <w:szCs w:val="22"/>
                <w:highlight w:val="none"/>
                <w:lang w:val="en-US" w:eastAsia="zh-CN"/>
              </w:rPr>
              <w:br w:type="textWrapping"/>
            </w:r>
            <w:r>
              <w:rPr>
                <w:rFonts w:hint="eastAsia" w:ascii="仿宋" w:hAnsi="仿宋" w:eastAsia="仿宋" w:cs="仿宋"/>
                <w:color w:val="auto"/>
                <w:sz w:val="22"/>
                <w:szCs w:val="22"/>
                <w:highlight w:val="none"/>
                <w:lang w:val="en-US" w:eastAsia="zh-CN"/>
              </w:rPr>
              <w:t>小型车白天：首小时4.0元/60分钟，首</w:t>
            </w:r>
            <w:r>
              <w:rPr>
                <w:rFonts w:hint="eastAsia" w:ascii="仿宋" w:hAnsi="仿宋" w:eastAsia="仿宋" w:cs="仿宋"/>
                <w:color w:val="auto"/>
                <w:sz w:val="22"/>
                <w:szCs w:val="22"/>
                <w:highlight w:val="none"/>
                <w:lang w:val="en-US" w:eastAsia="zh-CN"/>
              </w:rPr>
              <w:br w:type="textWrapping"/>
            </w:r>
            <w:r>
              <w:rPr>
                <w:rFonts w:hint="eastAsia" w:ascii="仿宋" w:hAnsi="仿宋" w:eastAsia="仿宋" w:cs="仿宋"/>
                <w:color w:val="auto"/>
                <w:sz w:val="22"/>
                <w:szCs w:val="22"/>
                <w:highlight w:val="none"/>
                <w:lang w:val="en-US" w:eastAsia="zh-CN"/>
              </w:rPr>
              <w:t>小时后4.0元/60分钟</w:t>
            </w:r>
            <w:r>
              <w:rPr>
                <w:rFonts w:hint="eastAsia" w:ascii="仿宋" w:hAnsi="仿宋" w:eastAsia="仿宋" w:cs="仿宋"/>
                <w:color w:val="auto"/>
                <w:sz w:val="22"/>
                <w:szCs w:val="22"/>
                <w:highlight w:val="none"/>
                <w:lang w:val="en-US" w:eastAsia="zh-CN"/>
              </w:rPr>
              <w:br w:type="textWrapping"/>
            </w:r>
            <w:r>
              <w:rPr>
                <w:rFonts w:hint="eastAsia" w:ascii="仿宋" w:hAnsi="仿宋" w:eastAsia="仿宋" w:cs="仿宋"/>
                <w:color w:val="auto"/>
                <w:sz w:val="22"/>
                <w:szCs w:val="22"/>
                <w:highlight w:val="none"/>
                <w:lang w:val="en-US" w:eastAsia="zh-CN"/>
              </w:rPr>
              <w:t>小型车夜间：4.0元/60分钟</w:t>
            </w:r>
          </w:p>
        </w:tc>
      </w:tr>
    </w:tbl>
    <w:p w14:paraId="4F9EE917">
      <w:pPr>
        <w:numPr>
          <w:ilvl w:val="0"/>
          <w:numId w:val="0"/>
        </w:numPr>
        <w:bidi w:val="0"/>
        <w:jc w:val="center"/>
        <w:rPr>
          <w:rFonts w:hint="eastAsia" w:ascii="仿宋" w:hAnsi="仿宋" w:eastAsia="仿宋"/>
          <w:b/>
          <w:bCs/>
          <w:color w:val="auto"/>
          <w:sz w:val="24"/>
          <w:szCs w:val="24"/>
          <w:lang w:val="en-US" w:eastAsia="zh-CN"/>
        </w:rPr>
      </w:pPr>
    </w:p>
    <w:p w14:paraId="29AC749F">
      <w:pPr>
        <w:numPr>
          <w:ilvl w:val="0"/>
          <w:numId w:val="0"/>
        </w:numPr>
        <w:bidi w:val="0"/>
        <w:jc w:val="center"/>
        <w:rPr>
          <w:rFonts w:hint="eastAsia" w:ascii="仿宋" w:hAnsi="仿宋" w:eastAsia="仿宋"/>
          <w:b/>
          <w:bCs/>
          <w:color w:val="auto"/>
          <w:sz w:val="24"/>
          <w:szCs w:val="24"/>
          <w:lang w:val="en-US" w:eastAsia="zh-CN"/>
        </w:rPr>
      </w:pPr>
    </w:p>
    <w:p w14:paraId="02FDA562">
      <w:pPr>
        <w:numPr>
          <w:ilvl w:val="0"/>
          <w:numId w:val="0"/>
        </w:numPr>
        <w:bidi w:val="0"/>
        <w:jc w:val="center"/>
        <w:rPr>
          <w:rFonts w:hint="eastAsia" w:ascii="仿宋" w:hAnsi="仿宋" w:eastAsia="仿宋"/>
          <w:b/>
          <w:bCs/>
          <w:color w:val="auto"/>
          <w:sz w:val="24"/>
          <w:szCs w:val="24"/>
          <w:lang w:val="en-US" w:eastAsia="zh-CN"/>
        </w:rPr>
      </w:pPr>
    </w:p>
    <w:p w14:paraId="0A186B76">
      <w:pPr>
        <w:numPr>
          <w:ilvl w:val="0"/>
          <w:numId w:val="0"/>
        </w:numPr>
        <w:bidi w:val="0"/>
        <w:jc w:val="center"/>
        <w:rPr>
          <w:rFonts w:hint="eastAsia" w:ascii="仿宋" w:hAnsi="仿宋" w:eastAsia="仿宋"/>
          <w:b/>
          <w:bCs/>
          <w:color w:val="auto"/>
          <w:sz w:val="24"/>
          <w:szCs w:val="24"/>
          <w:lang w:val="en-US" w:eastAsia="zh-CN"/>
        </w:rPr>
      </w:pPr>
    </w:p>
    <w:p w14:paraId="311BBA9D">
      <w:pPr>
        <w:numPr>
          <w:ilvl w:val="0"/>
          <w:numId w:val="0"/>
        </w:numPr>
        <w:bidi w:val="0"/>
        <w:jc w:val="center"/>
        <w:rPr>
          <w:rFonts w:hint="eastAsia" w:ascii="仿宋" w:hAnsi="仿宋" w:eastAsia="仿宋"/>
          <w:b/>
          <w:bCs/>
          <w:color w:val="auto"/>
          <w:sz w:val="24"/>
          <w:szCs w:val="24"/>
          <w:lang w:val="en-US" w:eastAsia="zh-CN"/>
        </w:rPr>
      </w:pPr>
    </w:p>
    <w:p w14:paraId="54ACF9AC">
      <w:pPr>
        <w:bidi w:val="0"/>
        <w:ind w:left="0" w:leftChars="0" w:firstLine="0" w:firstLineChars="0"/>
        <w:rPr>
          <w:rFonts w:hint="eastAsia" w:ascii="仿宋" w:hAnsi="仿宋" w:eastAsia="仿宋"/>
          <w:color w:val="auto"/>
          <w:lang w:val="en-US" w:eastAsia="zh-CN"/>
        </w:rPr>
      </w:pPr>
      <w:r>
        <w:rPr>
          <w:rFonts w:hint="eastAsia" w:ascii="仿宋" w:hAnsi="仿宋" w:eastAsia="仿宋"/>
          <w:color w:val="auto"/>
          <w:lang w:val="en-US" w:eastAsia="zh-CN"/>
        </w:rPr>
        <w:drawing>
          <wp:anchor distT="0" distB="0" distL="114300" distR="114300" simplePos="0" relativeHeight="251671552" behindDoc="0" locked="0" layoutInCell="1" allowOverlap="1">
            <wp:simplePos x="0" y="0"/>
            <wp:positionH relativeFrom="column">
              <wp:posOffset>51435</wp:posOffset>
            </wp:positionH>
            <wp:positionV relativeFrom="paragraph">
              <wp:posOffset>25400</wp:posOffset>
            </wp:positionV>
            <wp:extent cx="2513330" cy="5103495"/>
            <wp:effectExtent l="0" t="0" r="1270" b="1905"/>
            <wp:wrapSquare wrapText="bothSides"/>
            <wp:docPr id="2" name="图片 2" descr="5eda96d9904dc03cf7c9125a464253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eda96d9904dc03cf7c9125a4642537b"/>
                    <pic:cNvPicPr>
                      <a:picLocks noChangeAspect="1"/>
                    </pic:cNvPicPr>
                  </pic:nvPicPr>
                  <pic:blipFill>
                    <a:blip r:embed="rId30"/>
                    <a:srcRect t="5416" b="733"/>
                    <a:stretch>
                      <a:fillRect/>
                    </a:stretch>
                  </pic:blipFill>
                  <pic:spPr>
                    <a:xfrm>
                      <a:off x="0" y="0"/>
                      <a:ext cx="2513330" cy="5103495"/>
                    </a:xfrm>
                    <a:prstGeom prst="rect">
                      <a:avLst/>
                    </a:prstGeom>
                  </pic:spPr>
                </pic:pic>
              </a:graphicData>
            </a:graphic>
          </wp:anchor>
        </w:drawing>
      </w:r>
      <w:r>
        <w:rPr>
          <w:rFonts w:hint="eastAsia" w:ascii="仿宋" w:hAnsi="仿宋" w:eastAsia="仿宋"/>
          <w:color w:val="auto"/>
          <w:lang w:val="en-US" w:eastAsia="zh-CN"/>
        </w:rPr>
        <w:drawing>
          <wp:anchor distT="0" distB="0" distL="114300" distR="114300" simplePos="0" relativeHeight="251659264" behindDoc="0" locked="0" layoutInCell="1" allowOverlap="1">
            <wp:simplePos x="0" y="0"/>
            <wp:positionH relativeFrom="column">
              <wp:posOffset>411480</wp:posOffset>
            </wp:positionH>
            <wp:positionV relativeFrom="paragraph">
              <wp:posOffset>5419090</wp:posOffset>
            </wp:positionV>
            <wp:extent cx="2315210" cy="3551555"/>
            <wp:effectExtent l="0" t="0" r="1270" b="14605"/>
            <wp:wrapTopAndBottom/>
            <wp:docPr id="9" name="图片 9" descr="1e0a98d6d79ec26d58d98edd007148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e0a98d6d79ec26d58d98edd0071481d"/>
                    <pic:cNvPicPr>
                      <a:picLocks noChangeAspect="1"/>
                    </pic:cNvPicPr>
                  </pic:nvPicPr>
                  <pic:blipFill>
                    <a:blip r:embed="rId31"/>
                    <a:srcRect t="26635" b="2617"/>
                    <a:stretch>
                      <a:fillRect/>
                    </a:stretch>
                  </pic:blipFill>
                  <pic:spPr>
                    <a:xfrm>
                      <a:off x="0" y="0"/>
                      <a:ext cx="2315210" cy="3551555"/>
                    </a:xfrm>
                    <a:prstGeom prst="rect">
                      <a:avLst/>
                    </a:prstGeom>
                  </pic:spPr>
                </pic:pic>
              </a:graphicData>
            </a:graphic>
          </wp:anchor>
        </w:drawing>
      </w:r>
      <w:r>
        <w:rPr>
          <w:rFonts w:hint="eastAsia" w:ascii="仿宋" w:hAnsi="仿宋" w:eastAsia="仿宋"/>
          <w:color w:val="auto"/>
          <w:lang w:val="en-US" w:eastAsia="zh-CN"/>
        </w:rPr>
        <w:drawing>
          <wp:anchor distT="0" distB="0" distL="114300" distR="114300" simplePos="0" relativeHeight="251662336" behindDoc="0" locked="0" layoutInCell="1" allowOverlap="1">
            <wp:simplePos x="0" y="0"/>
            <wp:positionH relativeFrom="column">
              <wp:posOffset>3247390</wp:posOffset>
            </wp:positionH>
            <wp:positionV relativeFrom="paragraph">
              <wp:posOffset>5374005</wp:posOffset>
            </wp:positionV>
            <wp:extent cx="1902460" cy="3717925"/>
            <wp:effectExtent l="0" t="0" r="2540" b="635"/>
            <wp:wrapTopAndBottom/>
            <wp:docPr id="13" name="图片 13" descr="eee6df2f63b4de6346ff8ebd57dc4c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eee6df2f63b4de6346ff8ebd57dc4c68"/>
                    <pic:cNvPicPr>
                      <a:picLocks noChangeAspect="1"/>
                    </pic:cNvPicPr>
                  </pic:nvPicPr>
                  <pic:blipFill>
                    <a:blip r:embed="rId32"/>
                    <a:srcRect t="5922" b="3943"/>
                    <a:stretch>
                      <a:fillRect/>
                    </a:stretch>
                  </pic:blipFill>
                  <pic:spPr>
                    <a:xfrm>
                      <a:off x="0" y="0"/>
                      <a:ext cx="1902460" cy="3717925"/>
                    </a:xfrm>
                    <a:prstGeom prst="rect">
                      <a:avLst/>
                    </a:prstGeom>
                  </pic:spPr>
                </pic:pic>
              </a:graphicData>
            </a:graphic>
          </wp:anchor>
        </w:drawing>
      </w:r>
      <w:r>
        <w:rPr>
          <w:rFonts w:hint="eastAsia" w:ascii="仿宋" w:hAnsi="仿宋" w:eastAsia="仿宋"/>
          <w:color w:val="auto"/>
          <w:lang w:val="en-US" w:eastAsia="zh-CN"/>
        </w:rPr>
        <w:drawing>
          <wp:anchor distT="0" distB="0" distL="114300" distR="114300" simplePos="0" relativeHeight="251660288" behindDoc="0" locked="0" layoutInCell="1" allowOverlap="1">
            <wp:simplePos x="0" y="0"/>
            <wp:positionH relativeFrom="column">
              <wp:posOffset>2734310</wp:posOffset>
            </wp:positionH>
            <wp:positionV relativeFrom="paragraph">
              <wp:posOffset>-33655</wp:posOffset>
            </wp:positionV>
            <wp:extent cx="2503805" cy="5104765"/>
            <wp:effectExtent l="0" t="0" r="10795" b="635"/>
            <wp:wrapTopAndBottom/>
            <wp:docPr id="11" name="图片 11" descr="42fb704848f9499dcb15b6a4ee40c5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42fb704848f9499dcb15b6a4ee40c55c"/>
                    <pic:cNvPicPr>
                      <a:picLocks noChangeAspect="1"/>
                    </pic:cNvPicPr>
                  </pic:nvPicPr>
                  <pic:blipFill>
                    <a:blip r:embed="rId33"/>
                    <a:srcRect t="5953"/>
                    <a:stretch>
                      <a:fillRect/>
                    </a:stretch>
                  </pic:blipFill>
                  <pic:spPr>
                    <a:xfrm>
                      <a:off x="0" y="0"/>
                      <a:ext cx="2503805" cy="5104765"/>
                    </a:xfrm>
                    <a:prstGeom prst="rect">
                      <a:avLst/>
                    </a:prstGeom>
                  </pic:spPr>
                </pic:pic>
              </a:graphicData>
            </a:graphic>
          </wp:anchor>
        </w:drawing>
      </w:r>
    </w:p>
    <w:p w14:paraId="18667ED4">
      <w:pPr>
        <w:bidi w:val="0"/>
        <w:ind w:left="0" w:leftChars="0" w:firstLine="0" w:firstLineChars="0"/>
        <w:rPr>
          <w:rFonts w:hint="eastAsia" w:ascii="仿宋" w:hAnsi="仿宋" w:eastAsia="仿宋"/>
          <w:color w:val="auto"/>
          <w:lang w:val="en-US" w:eastAsia="zh-CN"/>
        </w:rPr>
      </w:pPr>
      <w:r>
        <w:rPr>
          <w:rFonts w:hint="eastAsia" w:ascii="仿宋" w:hAnsi="仿宋" w:eastAsia="仿宋"/>
          <w:color w:val="auto"/>
          <w:lang w:val="en-US" w:eastAsia="zh-CN"/>
        </w:rPr>
        <w:drawing>
          <wp:anchor distT="0" distB="0" distL="114300" distR="114300" simplePos="0" relativeHeight="251666432" behindDoc="0" locked="0" layoutInCell="1" allowOverlap="1">
            <wp:simplePos x="0" y="0"/>
            <wp:positionH relativeFrom="column">
              <wp:posOffset>2938145</wp:posOffset>
            </wp:positionH>
            <wp:positionV relativeFrom="paragraph">
              <wp:posOffset>4535170</wp:posOffset>
            </wp:positionV>
            <wp:extent cx="1932305" cy="4189730"/>
            <wp:effectExtent l="0" t="0" r="3175" b="1270"/>
            <wp:wrapTopAndBottom/>
            <wp:docPr id="23" name="图片 23" descr="927ab4b0ba3c17d4970bbe2862e99e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927ab4b0ba3c17d4970bbe2862e99ef1"/>
                    <pic:cNvPicPr>
                      <a:picLocks noChangeAspect="1"/>
                    </pic:cNvPicPr>
                  </pic:nvPicPr>
                  <pic:blipFill>
                    <a:blip r:embed="rId34"/>
                    <a:stretch>
                      <a:fillRect/>
                    </a:stretch>
                  </pic:blipFill>
                  <pic:spPr>
                    <a:xfrm>
                      <a:off x="0" y="0"/>
                      <a:ext cx="1932305" cy="4189730"/>
                    </a:xfrm>
                    <a:prstGeom prst="rect">
                      <a:avLst/>
                    </a:prstGeom>
                  </pic:spPr>
                </pic:pic>
              </a:graphicData>
            </a:graphic>
          </wp:anchor>
        </w:drawing>
      </w:r>
      <w:r>
        <w:rPr>
          <w:rFonts w:hint="eastAsia" w:ascii="仿宋" w:hAnsi="仿宋" w:eastAsia="仿宋"/>
          <w:color w:val="auto"/>
          <w:lang w:val="en-US" w:eastAsia="zh-CN"/>
        </w:rPr>
        <w:drawing>
          <wp:anchor distT="0" distB="0" distL="114300" distR="114300" simplePos="0" relativeHeight="251664384" behindDoc="0" locked="0" layoutInCell="1" allowOverlap="1">
            <wp:simplePos x="0" y="0"/>
            <wp:positionH relativeFrom="column">
              <wp:posOffset>160020</wp:posOffset>
            </wp:positionH>
            <wp:positionV relativeFrom="paragraph">
              <wp:posOffset>4558030</wp:posOffset>
            </wp:positionV>
            <wp:extent cx="2103755" cy="4177665"/>
            <wp:effectExtent l="0" t="0" r="14605" b="13335"/>
            <wp:wrapTopAndBottom/>
            <wp:docPr id="14" name="图片 14" descr="587b2ac713ba15edbec6ca3d01191b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587b2ac713ba15edbec6ca3d01191b33"/>
                    <pic:cNvPicPr>
                      <a:picLocks noChangeAspect="1"/>
                    </pic:cNvPicPr>
                  </pic:nvPicPr>
                  <pic:blipFill>
                    <a:blip r:embed="rId35"/>
                    <a:srcRect t="5485" b="2889"/>
                    <a:stretch>
                      <a:fillRect/>
                    </a:stretch>
                  </pic:blipFill>
                  <pic:spPr>
                    <a:xfrm>
                      <a:off x="0" y="0"/>
                      <a:ext cx="2103755" cy="4177665"/>
                    </a:xfrm>
                    <a:prstGeom prst="rect">
                      <a:avLst/>
                    </a:prstGeom>
                  </pic:spPr>
                </pic:pic>
              </a:graphicData>
            </a:graphic>
          </wp:anchor>
        </w:drawing>
      </w:r>
      <w:r>
        <w:rPr>
          <w:rFonts w:hint="eastAsia" w:ascii="仿宋" w:hAnsi="仿宋" w:eastAsia="仿宋"/>
          <w:color w:val="auto"/>
          <w:lang w:val="en-US" w:eastAsia="zh-CN"/>
        </w:rPr>
        <w:drawing>
          <wp:anchor distT="0" distB="0" distL="114300" distR="114300" simplePos="0" relativeHeight="251663360" behindDoc="0" locked="0" layoutInCell="1" allowOverlap="1">
            <wp:simplePos x="0" y="0"/>
            <wp:positionH relativeFrom="column">
              <wp:posOffset>2892425</wp:posOffset>
            </wp:positionH>
            <wp:positionV relativeFrom="paragraph">
              <wp:posOffset>8890</wp:posOffset>
            </wp:positionV>
            <wp:extent cx="2269490" cy="4475480"/>
            <wp:effectExtent l="0" t="0" r="1270" b="5080"/>
            <wp:wrapTopAndBottom/>
            <wp:docPr id="16" name="图片 16" descr="73695134dbc943ee24c34af26b1138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73695134dbc943ee24c34af26b1138d3"/>
                    <pic:cNvPicPr>
                      <a:picLocks noChangeAspect="1"/>
                    </pic:cNvPicPr>
                  </pic:nvPicPr>
                  <pic:blipFill>
                    <a:blip r:embed="rId36"/>
                    <a:srcRect t="5585" b="3456"/>
                    <a:stretch>
                      <a:fillRect/>
                    </a:stretch>
                  </pic:blipFill>
                  <pic:spPr>
                    <a:xfrm>
                      <a:off x="0" y="0"/>
                      <a:ext cx="2269490" cy="4475480"/>
                    </a:xfrm>
                    <a:prstGeom prst="rect">
                      <a:avLst/>
                    </a:prstGeom>
                  </pic:spPr>
                </pic:pic>
              </a:graphicData>
            </a:graphic>
          </wp:anchor>
        </w:drawing>
      </w:r>
      <w:r>
        <w:rPr>
          <w:rFonts w:hint="eastAsia" w:ascii="仿宋" w:hAnsi="仿宋" w:eastAsia="仿宋"/>
          <w:color w:val="auto"/>
          <w:lang w:val="en-US" w:eastAsia="zh-CN"/>
        </w:rPr>
        <w:drawing>
          <wp:anchor distT="0" distB="0" distL="114300" distR="114300" simplePos="0" relativeHeight="251665408" behindDoc="0" locked="0" layoutInCell="1" allowOverlap="1">
            <wp:simplePos x="0" y="0"/>
            <wp:positionH relativeFrom="column">
              <wp:posOffset>109220</wp:posOffset>
            </wp:positionH>
            <wp:positionV relativeFrom="paragraph">
              <wp:posOffset>-184150</wp:posOffset>
            </wp:positionV>
            <wp:extent cx="2249805" cy="4408805"/>
            <wp:effectExtent l="0" t="0" r="5715" b="10795"/>
            <wp:wrapTopAndBottom/>
            <wp:docPr id="17" name="图片 17" descr="ed9686be7d3d6386ccf46b04942358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d9686be7d3d6386ccf46b049423586c"/>
                    <pic:cNvPicPr>
                      <a:picLocks noChangeAspect="1"/>
                    </pic:cNvPicPr>
                  </pic:nvPicPr>
                  <pic:blipFill>
                    <a:blip r:embed="rId37"/>
                    <a:srcRect t="5485" b="4130"/>
                    <a:stretch>
                      <a:fillRect/>
                    </a:stretch>
                  </pic:blipFill>
                  <pic:spPr>
                    <a:xfrm>
                      <a:off x="0" y="0"/>
                      <a:ext cx="2249805" cy="4408805"/>
                    </a:xfrm>
                    <a:prstGeom prst="rect">
                      <a:avLst/>
                    </a:prstGeom>
                  </pic:spPr>
                </pic:pic>
              </a:graphicData>
            </a:graphic>
          </wp:anchor>
        </w:drawing>
      </w:r>
    </w:p>
    <w:p w14:paraId="0DE32745">
      <w:pPr>
        <w:bidi w:val="0"/>
        <w:ind w:left="0" w:leftChars="0" w:firstLine="0" w:firstLineChars="0"/>
        <w:rPr>
          <w:rFonts w:hint="eastAsia" w:ascii="仿宋" w:hAnsi="仿宋" w:eastAsia="仿宋"/>
          <w:color w:val="auto"/>
          <w:lang w:val="en-US" w:eastAsia="zh-CN"/>
        </w:rPr>
      </w:pPr>
      <w:r>
        <w:rPr>
          <w:rFonts w:hint="eastAsia" w:ascii="仿宋" w:hAnsi="仿宋" w:eastAsia="仿宋"/>
          <w:color w:val="auto"/>
          <w:lang w:val="en-US" w:eastAsia="zh-CN"/>
        </w:rPr>
        <w:drawing>
          <wp:anchor distT="0" distB="0" distL="114300" distR="114300" simplePos="0" relativeHeight="251669504" behindDoc="0" locked="0" layoutInCell="1" allowOverlap="1">
            <wp:simplePos x="0" y="0"/>
            <wp:positionH relativeFrom="column">
              <wp:posOffset>83820</wp:posOffset>
            </wp:positionH>
            <wp:positionV relativeFrom="paragraph">
              <wp:posOffset>4641215</wp:posOffset>
            </wp:positionV>
            <wp:extent cx="2116455" cy="4162425"/>
            <wp:effectExtent l="0" t="0" r="1905" b="13335"/>
            <wp:wrapTopAndBottom/>
            <wp:docPr id="32" name="图片 32" descr="e2bc20149ca695749fa6d9fa052529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e2bc20149ca695749fa6d9fa0525297a"/>
                    <pic:cNvPicPr>
                      <a:picLocks noChangeAspect="1"/>
                    </pic:cNvPicPr>
                  </pic:nvPicPr>
                  <pic:blipFill>
                    <a:blip r:embed="rId38"/>
                    <a:srcRect t="6185" b="3089"/>
                    <a:stretch>
                      <a:fillRect/>
                    </a:stretch>
                  </pic:blipFill>
                  <pic:spPr>
                    <a:xfrm>
                      <a:off x="0" y="0"/>
                      <a:ext cx="2116455" cy="4162425"/>
                    </a:xfrm>
                    <a:prstGeom prst="rect">
                      <a:avLst/>
                    </a:prstGeom>
                  </pic:spPr>
                </pic:pic>
              </a:graphicData>
            </a:graphic>
          </wp:anchor>
        </w:drawing>
      </w:r>
      <w:r>
        <w:rPr>
          <w:rFonts w:hint="eastAsia" w:ascii="仿宋" w:hAnsi="仿宋" w:eastAsia="仿宋"/>
          <w:color w:val="auto"/>
          <w:lang w:val="en-US" w:eastAsia="zh-CN"/>
        </w:rPr>
        <w:drawing>
          <wp:anchor distT="0" distB="0" distL="114300" distR="114300" simplePos="0" relativeHeight="251668480" behindDoc="0" locked="0" layoutInCell="1" allowOverlap="1">
            <wp:simplePos x="0" y="0"/>
            <wp:positionH relativeFrom="column">
              <wp:posOffset>2677795</wp:posOffset>
            </wp:positionH>
            <wp:positionV relativeFrom="paragraph">
              <wp:posOffset>70485</wp:posOffset>
            </wp:positionV>
            <wp:extent cx="2409190" cy="4695190"/>
            <wp:effectExtent l="0" t="0" r="13970" b="13970"/>
            <wp:wrapTopAndBottom/>
            <wp:docPr id="31" name="图片 31" descr="4a3d068d78c2974e8796816146e28c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4a3d068d78c2974e8796816146e28caf"/>
                    <pic:cNvPicPr>
                      <a:picLocks noChangeAspect="1"/>
                    </pic:cNvPicPr>
                  </pic:nvPicPr>
                  <pic:blipFill>
                    <a:blip r:embed="rId39"/>
                    <a:srcRect t="6472" b="3634"/>
                    <a:stretch>
                      <a:fillRect/>
                    </a:stretch>
                  </pic:blipFill>
                  <pic:spPr>
                    <a:xfrm>
                      <a:off x="0" y="0"/>
                      <a:ext cx="2409190" cy="4695190"/>
                    </a:xfrm>
                    <a:prstGeom prst="rect">
                      <a:avLst/>
                    </a:prstGeom>
                  </pic:spPr>
                </pic:pic>
              </a:graphicData>
            </a:graphic>
          </wp:anchor>
        </w:drawing>
      </w:r>
      <w:r>
        <w:rPr>
          <w:rFonts w:hint="eastAsia" w:ascii="仿宋" w:hAnsi="仿宋" w:eastAsia="仿宋"/>
          <w:color w:val="auto"/>
          <w:lang w:val="en-US" w:eastAsia="zh-CN"/>
        </w:rPr>
        <w:drawing>
          <wp:anchor distT="0" distB="0" distL="114300" distR="114300" simplePos="0" relativeHeight="251667456" behindDoc="0" locked="0" layoutInCell="1" allowOverlap="1">
            <wp:simplePos x="0" y="0"/>
            <wp:positionH relativeFrom="column">
              <wp:posOffset>41910</wp:posOffset>
            </wp:positionH>
            <wp:positionV relativeFrom="paragraph">
              <wp:posOffset>71755</wp:posOffset>
            </wp:positionV>
            <wp:extent cx="2399665" cy="4658995"/>
            <wp:effectExtent l="0" t="0" r="8255" b="4445"/>
            <wp:wrapTopAndBottom/>
            <wp:docPr id="30" name="图片 30" descr="f2615802a070a252896d61f2ccefe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f2615802a070a252896d61f2ccefe227"/>
                    <pic:cNvPicPr>
                      <a:picLocks noChangeAspect="1"/>
                    </pic:cNvPicPr>
                  </pic:nvPicPr>
                  <pic:blipFill>
                    <a:blip r:embed="rId40"/>
                    <a:srcRect t="5648" b="4812"/>
                    <a:stretch>
                      <a:fillRect/>
                    </a:stretch>
                  </pic:blipFill>
                  <pic:spPr>
                    <a:xfrm>
                      <a:off x="0" y="0"/>
                      <a:ext cx="2399665" cy="4658995"/>
                    </a:xfrm>
                    <a:prstGeom prst="rect">
                      <a:avLst/>
                    </a:prstGeom>
                  </pic:spPr>
                </pic:pic>
              </a:graphicData>
            </a:graphic>
          </wp:anchor>
        </w:drawing>
      </w:r>
    </w:p>
    <w:p w14:paraId="0DE49E14">
      <w:pPr>
        <w:bidi w:val="0"/>
        <w:rPr>
          <w:rFonts w:hint="eastAsia" w:ascii="仿宋" w:hAnsi="仿宋" w:eastAsia="仿宋" w:cs="仿宋"/>
          <w:color w:val="auto"/>
          <w:lang w:val="en-US" w:eastAsia="zh-CN"/>
        </w:rPr>
      </w:pPr>
      <w:r>
        <w:rPr>
          <w:rFonts w:hint="eastAsia" w:ascii="仿宋" w:hAnsi="仿宋" w:eastAsia="仿宋" w:cs="仿宋"/>
          <w:color w:val="auto"/>
          <w:lang w:val="en-US" w:eastAsia="zh-CN"/>
        </w:rPr>
        <w:t>本项目白天临时车位单价按照6元/时、每5年增长1元至第11年起进入稳定期即8元/时考虑。运营期临时车位租赁收入合计约20200.56万元。</w:t>
      </w:r>
    </w:p>
    <w:p w14:paraId="6BBB1EAD">
      <w:pPr>
        <w:keepNext w:val="0"/>
        <w:keepLines w:val="0"/>
        <w:pageBreakBefore w:val="0"/>
        <w:widowControl w:val="0"/>
        <w:numPr>
          <w:ilvl w:val="0"/>
          <w:numId w:val="49"/>
        </w:numPr>
        <w:kinsoku/>
        <w:wordWrap/>
        <w:overflowPunct/>
        <w:topLinePunct w:val="0"/>
        <w:autoSpaceDE/>
        <w:autoSpaceDN/>
        <w:bidi w:val="0"/>
        <w:adjustRightInd/>
        <w:snapToGrid w:val="0"/>
        <w:ind w:left="0" w:leftChars="0" w:firstLine="560" w:firstLineChars="200"/>
        <w:textAlignment w:val="auto"/>
        <w:outlineLvl w:val="3"/>
        <w:rPr>
          <w:rFonts w:hint="eastAsia" w:ascii="仿宋" w:hAnsi="仿宋" w:eastAsia="仿宋" w:cs="仿宋"/>
          <w:color w:val="auto"/>
          <w:lang w:val="en-US" w:eastAsia="zh-CN"/>
        </w:rPr>
      </w:pPr>
      <w:r>
        <w:rPr>
          <w:rFonts w:hint="eastAsia" w:ascii="仿宋" w:hAnsi="仿宋" w:eastAsia="仿宋" w:cs="仿宋"/>
          <w:color w:val="auto"/>
          <w:lang w:val="en-US" w:eastAsia="zh-CN"/>
        </w:rPr>
        <w:t>充电桩收入</w:t>
      </w:r>
    </w:p>
    <w:p w14:paraId="17F1A81C">
      <w:pPr>
        <w:bidi w:val="0"/>
        <w:rPr>
          <w:rFonts w:hint="eastAsia" w:ascii="仿宋" w:hAnsi="仿宋" w:eastAsia="仿宋" w:cs="仿宋"/>
          <w:color w:val="auto"/>
          <w:lang w:val="en-US" w:eastAsia="zh-CN"/>
        </w:rPr>
      </w:pPr>
      <w:r>
        <w:rPr>
          <w:rFonts w:hint="eastAsia" w:ascii="仿宋" w:hAnsi="仿宋" w:eastAsia="仿宋" w:cs="仿宋"/>
          <w:color w:val="auto"/>
          <w:lang w:val="en-US" w:eastAsia="zh-CN"/>
        </w:rPr>
        <w:t>本项目拟引入专业充电桩运营单位投放充电桩并实际经营，按照充电量向充电桩运营单位收取充电桩收入；根据《电动汽车充电基础设施规划设计标准（DB11T1455-2025）》，项目充电桩车位数量按照总停车位数量的20%进行配建，即项目设置160个快速充电桩，充电桩相关设备由充电桩运营单位自行投资。</w:t>
      </w:r>
    </w:p>
    <w:p w14:paraId="3FF1E2F3">
      <w:pPr>
        <w:bidi w:val="0"/>
        <w:rPr>
          <w:rFonts w:hint="eastAsia" w:ascii="仿宋" w:hAnsi="仿宋" w:eastAsia="仿宋" w:cs="仿宋"/>
          <w:color w:val="auto"/>
        </w:rPr>
      </w:pPr>
      <w:r>
        <w:rPr>
          <w:rFonts w:hint="eastAsia" w:ascii="仿宋" w:hAnsi="仿宋" w:eastAsia="仿宋" w:cs="仿宋"/>
          <w:color w:val="auto"/>
          <w:lang w:val="en-US" w:eastAsia="zh-CN"/>
        </w:rPr>
        <w:t>充电桩使用率按照运营期第1年50%、第2年60%、自第3年起达到稳定使用率70%考虑；参考市场主流新能源车型的电池容量情况，保守估计，每个充电桩充电量按照运营期第1年20kwh/天、第2年30kwh/天，逐步递增至第7年起进入稳定期</w:t>
      </w:r>
      <w:r>
        <w:rPr>
          <w:rFonts w:hint="eastAsia" w:ascii="仿宋" w:hAnsi="仿宋" w:eastAsia="仿宋" w:cs="仿宋"/>
          <w:color w:val="auto"/>
          <w:highlight w:val="none"/>
          <w:lang w:val="en-US" w:eastAsia="zh-CN"/>
        </w:rPr>
        <w:t>80kwh/天</w:t>
      </w:r>
      <w:r>
        <w:rPr>
          <w:rFonts w:hint="eastAsia" w:ascii="仿宋" w:hAnsi="仿宋" w:eastAsia="仿宋" w:cs="仿宋"/>
          <w:color w:val="auto"/>
          <w:lang w:val="en-US" w:eastAsia="zh-CN"/>
        </w:rPr>
        <w:t>考虑；净收益按照0.3元/kwh、每5年增长5%计取；则运营期充电桩收入合计约4275.94万元。</w:t>
      </w:r>
    </w:p>
    <w:p w14:paraId="0A3BA03D">
      <w:pPr>
        <w:pStyle w:val="30"/>
        <w:adjustRightInd w:val="0"/>
        <w:snapToGrid/>
        <w:spacing w:before="157" w:beforeLines="50" w:after="157" w:afterLines="50"/>
        <w:ind w:left="0" w:firstLine="0"/>
        <w:jc w:val="center"/>
        <w:textAlignment w:val="baseline"/>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表3-4电动汽车电池容量及续航里程表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6"/>
        <w:gridCol w:w="2082"/>
        <w:gridCol w:w="1823"/>
        <w:gridCol w:w="2336"/>
      </w:tblGrid>
      <w:tr w14:paraId="1B45D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2056" w:type="dxa"/>
            <w:noWrap w:val="0"/>
            <w:vAlign w:val="center"/>
          </w:tcPr>
          <w:p w14:paraId="57903AEC">
            <w:pPr>
              <w:widowControl/>
              <w:snapToGrid/>
              <w:spacing w:line="300" w:lineRule="exact"/>
              <w:ind w:firstLine="0" w:firstLineChars="0"/>
              <w:jc w:val="center"/>
              <w:rPr>
                <w:rFonts w:hint="eastAsia" w:ascii="仿宋" w:hAnsi="仿宋" w:eastAsia="仿宋" w:cs="仿宋"/>
                <w:b/>
                <w:bCs/>
                <w:color w:val="auto"/>
                <w:sz w:val="22"/>
                <w:szCs w:val="22"/>
                <w:highlight w:val="none"/>
                <w:vertAlign w:val="baseline"/>
                <w:lang w:val="en-US" w:eastAsia="zh-CN"/>
              </w:rPr>
            </w:pPr>
            <w:r>
              <w:rPr>
                <w:rFonts w:hint="eastAsia" w:ascii="仿宋" w:hAnsi="仿宋" w:eastAsia="仿宋" w:cs="仿宋"/>
                <w:b/>
                <w:bCs/>
                <w:color w:val="auto"/>
                <w:sz w:val="22"/>
                <w:szCs w:val="22"/>
                <w:highlight w:val="none"/>
                <w:vertAlign w:val="baseline"/>
                <w:lang w:val="en-US" w:eastAsia="zh-CN"/>
              </w:rPr>
              <w:t>车辆价格</w:t>
            </w:r>
          </w:p>
        </w:tc>
        <w:tc>
          <w:tcPr>
            <w:tcW w:w="2082" w:type="dxa"/>
            <w:noWrap w:val="0"/>
            <w:vAlign w:val="center"/>
          </w:tcPr>
          <w:p w14:paraId="7C738747">
            <w:pPr>
              <w:widowControl/>
              <w:snapToGrid/>
              <w:spacing w:line="300" w:lineRule="exact"/>
              <w:ind w:firstLine="0" w:firstLineChars="0"/>
              <w:jc w:val="center"/>
              <w:rPr>
                <w:rFonts w:hint="eastAsia" w:ascii="仿宋" w:hAnsi="仿宋" w:eastAsia="仿宋" w:cs="仿宋"/>
                <w:b/>
                <w:bCs/>
                <w:color w:val="auto"/>
                <w:sz w:val="22"/>
                <w:szCs w:val="22"/>
                <w:highlight w:val="none"/>
                <w:vertAlign w:val="baseline"/>
                <w:lang w:val="en-US" w:eastAsia="zh-CN"/>
              </w:rPr>
            </w:pPr>
            <w:r>
              <w:rPr>
                <w:rFonts w:hint="eastAsia" w:ascii="仿宋" w:hAnsi="仿宋" w:eastAsia="仿宋" w:cs="仿宋"/>
                <w:b/>
                <w:bCs/>
                <w:color w:val="auto"/>
                <w:sz w:val="22"/>
                <w:szCs w:val="22"/>
                <w:highlight w:val="none"/>
                <w:vertAlign w:val="baseline"/>
                <w:lang w:val="en-US" w:eastAsia="zh-CN"/>
              </w:rPr>
              <w:t>车型</w:t>
            </w:r>
          </w:p>
        </w:tc>
        <w:tc>
          <w:tcPr>
            <w:tcW w:w="1823" w:type="dxa"/>
            <w:noWrap w:val="0"/>
            <w:vAlign w:val="center"/>
          </w:tcPr>
          <w:p w14:paraId="62E2FB8E">
            <w:pPr>
              <w:widowControl/>
              <w:snapToGrid/>
              <w:spacing w:line="300" w:lineRule="exact"/>
              <w:ind w:firstLine="0" w:firstLineChars="0"/>
              <w:jc w:val="center"/>
              <w:rPr>
                <w:rFonts w:hint="eastAsia" w:ascii="仿宋" w:hAnsi="仿宋" w:eastAsia="仿宋" w:cs="仿宋"/>
                <w:b/>
                <w:bCs/>
                <w:color w:val="auto"/>
                <w:sz w:val="22"/>
                <w:szCs w:val="22"/>
                <w:highlight w:val="none"/>
                <w:vertAlign w:val="baseline"/>
                <w:lang w:val="en-US" w:eastAsia="zh-CN"/>
              </w:rPr>
            </w:pPr>
            <w:r>
              <w:rPr>
                <w:rFonts w:hint="eastAsia" w:ascii="仿宋" w:hAnsi="仿宋" w:eastAsia="仿宋" w:cs="仿宋"/>
                <w:b/>
                <w:bCs/>
                <w:color w:val="auto"/>
                <w:sz w:val="22"/>
                <w:szCs w:val="22"/>
                <w:highlight w:val="none"/>
                <w:vertAlign w:val="baseline"/>
                <w:lang w:val="en-US" w:eastAsia="zh-CN"/>
              </w:rPr>
              <w:t>续航（公里）</w:t>
            </w:r>
          </w:p>
        </w:tc>
        <w:tc>
          <w:tcPr>
            <w:tcW w:w="2336" w:type="dxa"/>
            <w:noWrap w:val="0"/>
            <w:vAlign w:val="center"/>
          </w:tcPr>
          <w:p w14:paraId="1D2B2C58">
            <w:pPr>
              <w:widowControl/>
              <w:snapToGrid/>
              <w:spacing w:line="300" w:lineRule="exact"/>
              <w:ind w:firstLine="0" w:firstLineChars="0"/>
              <w:jc w:val="center"/>
              <w:rPr>
                <w:rFonts w:hint="eastAsia" w:ascii="仿宋" w:hAnsi="仿宋" w:eastAsia="仿宋" w:cs="仿宋"/>
                <w:b/>
                <w:bCs/>
                <w:color w:val="auto"/>
                <w:sz w:val="22"/>
                <w:szCs w:val="22"/>
                <w:highlight w:val="none"/>
                <w:vertAlign w:val="baseline"/>
                <w:lang w:val="en-US" w:eastAsia="zh-CN"/>
              </w:rPr>
            </w:pPr>
            <w:r>
              <w:rPr>
                <w:rFonts w:hint="eastAsia" w:ascii="仿宋" w:hAnsi="仿宋" w:eastAsia="仿宋" w:cs="仿宋"/>
                <w:b/>
                <w:bCs/>
                <w:color w:val="auto"/>
                <w:sz w:val="22"/>
                <w:szCs w:val="22"/>
                <w:highlight w:val="none"/>
                <w:vertAlign w:val="baseline"/>
                <w:lang w:val="en-US" w:eastAsia="zh-CN"/>
              </w:rPr>
              <w:t>电池容量（千瓦时）</w:t>
            </w:r>
          </w:p>
        </w:tc>
      </w:tr>
      <w:tr w14:paraId="3296C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56" w:type="dxa"/>
            <w:vMerge w:val="restart"/>
            <w:noWrap w:val="0"/>
            <w:vAlign w:val="center"/>
          </w:tcPr>
          <w:p w14:paraId="346A3339">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10万元以下</w:t>
            </w:r>
          </w:p>
        </w:tc>
        <w:tc>
          <w:tcPr>
            <w:tcW w:w="2082" w:type="dxa"/>
            <w:noWrap w:val="0"/>
            <w:vAlign w:val="center"/>
          </w:tcPr>
          <w:p w14:paraId="0584DCDA">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哪吒V</w:t>
            </w:r>
          </w:p>
        </w:tc>
        <w:tc>
          <w:tcPr>
            <w:tcW w:w="1823" w:type="dxa"/>
            <w:noWrap w:val="0"/>
            <w:vAlign w:val="center"/>
          </w:tcPr>
          <w:p w14:paraId="7A60AFE3">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401</w:t>
            </w:r>
          </w:p>
        </w:tc>
        <w:tc>
          <w:tcPr>
            <w:tcW w:w="2336" w:type="dxa"/>
            <w:noWrap w:val="0"/>
            <w:vAlign w:val="center"/>
          </w:tcPr>
          <w:p w14:paraId="132864B6">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38.5</w:t>
            </w:r>
          </w:p>
        </w:tc>
      </w:tr>
      <w:tr w14:paraId="0DD67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56" w:type="dxa"/>
            <w:vMerge w:val="continue"/>
            <w:noWrap w:val="0"/>
            <w:vAlign w:val="center"/>
          </w:tcPr>
          <w:p w14:paraId="31766681">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p>
        </w:tc>
        <w:tc>
          <w:tcPr>
            <w:tcW w:w="2082" w:type="dxa"/>
            <w:noWrap w:val="0"/>
            <w:vAlign w:val="center"/>
          </w:tcPr>
          <w:p w14:paraId="15A0322B">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宝骏</w:t>
            </w:r>
          </w:p>
        </w:tc>
        <w:tc>
          <w:tcPr>
            <w:tcW w:w="1823" w:type="dxa"/>
            <w:noWrap w:val="0"/>
            <w:vAlign w:val="center"/>
          </w:tcPr>
          <w:p w14:paraId="1878AEA4">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305</w:t>
            </w:r>
          </w:p>
        </w:tc>
        <w:tc>
          <w:tcPr>
            <w:tcW w:w="2336" w:type="dxa"/>
            <w:noWrap w:val="0"/>
            <w:vAlign w:val="center"/>
          </w:tcPr>
          <w:p w14:paraId="53493EC5">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31.9</w:t>
            </w:r>
          </w:p>
        </w:tc>
      </w:tr>
      <w:tr w14:paraId="7F7A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56" w:type="dxa"/>
            <w:vMerge w:val="continue"/>
            <w:noWrap w:val="0"/>
            <w:vAlign w:val="center"/>
          </w:tcPr>
          <w:p w14:paraId="4F218947">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p>
        </w:tc>
        <w:tc>
          <w:tcPr>
            <w:tcW w:w="2082" w:type="dxa"/>
            <w:noWrap w:val="0"/>
            <w:vAlign w:val="center"/>
          </w:tcPr>
          <w:p w14:paraId="37D1743C">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比亚迪海鸥</w:t>
            </w:r>
          </w:p>
        </w:tc>
        <w:tc>
          <w:tcPr>
            <w:tcW w:w="1823" w:type="dxa"/>
            <w:noWrap w:val="0"/>
            <w:vAlign w:val="center"/>
          </w:tcPr>
          <w:p w14:paraId="3B4B54D5">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405</w:t>
            </w:r>
          </w:p>
        </w:tc>
        <w:tc>
          <w:tcPr>
            <w:tcW w:w="2336" w:type="dxa"/>
            <w:noWrap w:val="0"/>
            <w:vAlign w:val="center"/>
          </w:tcPr>
          <w:p w14:paraId="3330E2C6">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38.8</w:t>
            </w:r>
          </w:p>
        </w:tc>
      </w:tr>
      <w:tr w14:paraId="09334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56" w:type="dxa"/>
            <w:vMerge w:val="restart"/>
            <w:noWrap w:val="0"/>
            <w:vAlign w:val="center"/>
          </w:tcPr>
          <w:p w14:paraId="4702B300">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10万元-20万元</w:t>
            </w:r>
          </w:p>
        </w:tc>
        <w:tc>
          <w:tcPr>
            <w:tcW w:w="2082" w:type="dxa"/>
            <w:noWrap w:val="0"/>
            <w:vAlign w:val="center"/>
          </w:tcPr>
          <w:p w14:paraId="2EAB2E98">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大中ID.3</w:t>
            </w:r>
          </w:p>
        </w:tc>
        <w:tc>
          <w:tcPr>
            <w:tcW w:w="1823" w:type="dxa"/>
            <w:noWrap w:val="0"/>
            <w:vAlign w:val="center"/>
          </w:tcPr>
          <w:p w14:paraId="0C4277C0">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450</w:t>
            </w:r>
          </w:p>
        </w:tc>
        <w:tc>
          <w:tcPr>
            <w:tcW w:w="2336" w:type="dxa"/>
            <w:noWrap w:val="0"/>
            <w:vAlign w:val="center"/>
          </w:tcPr>
          <w:p w14:paraId="01F17513">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52.8</w:t>
            </w:r>
          </w:p>
        </w:tc>
      </w:tr>
      <w:tr w14:paraId="6154F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56" w:type="dxa"/>
            <w:vMerge w:val="continue"/>
            <w:noWrap w:val="0"/>
            <w:vAlign w:val="center"/>
          </w:tcPr>
          <w:p w14:paraId="57358A66">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p>
        </w:tc>
        <w:tc>
          <w:tcPr>
            <w:tcW w:w="2082" w:type="dxa"/>
            <w:noWrap w:val="0"/>
            <w:vAlign w:val="center"/>
          </w:tcPr>
          <w:p w14:paraId="41547B82">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零跑C01</w:t>
            </w:r>
          </w:p>
        </w:tc>
        <w:tc>
          <w:tcPr>
            <w:tcW w:w="1823" w:type="dxa"/>
            <w:noWrap w:val="0"/>
            <w:vAlign w:val="center"/>
          </w:tcPr>
          <w:p w14:paraId="21E040A6">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625</w:t>
            </w:r>
          </w:p>
        </w:tc>
        <w:tc>
          <w:tcPr>
            <w:tcW w:w="2336" w:type="dxa"/>
            <w:noWrap w:val="0"/>
            <w:vAlign w:val="center"/>
          </w:tcPr>
          <w:p w14:paraId="1E95452F">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78.5</w:t>
            </w:r>
          </w:p>
        </w:tc>
      </w:tr>
      <w:tr w14:paraId="34772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56" w:type="dxa"/>
            <w:vMerge w:val="continue"/>
            <w:noWrap w:val="0"/>
            <w:vAlign w:val="center"/>
          </w:tcPr>
          <w:p w14:paraId="1D1FA404">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p>
        </w:tc>
        <w:tc>
          <w:tcPr>
            <w:tcW w:w="2082" w:type="dxa"/>
            <w:noWrap w:val="0"/>
            <w:vAlign w:val="center"/>
          </w:tcPr>
          <w:p w14:paraId="6056C891">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比亚迪宋plus</w:t>
            </w:r>
          </w:p>
        </w:tc>
        <w:tc>
          <w:tcPr>
            <w:tcW w:w="1823" w:type="dxa"/>
            <w:noWrap w:val="0"/>
            <w:vAlign w:val="center"/>
          </w:tcPr>
          <w:p w14:paraId="7D757522">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505</w:t>
            </w:r>
          </w:p>
        </w:tc>
        <w:tc>
          <w:tcPr>
            <w:tcW w:w="2336" w:type="dxa"/>
            <w:noWrap w:val="0"/>
            <w:vAlign w:val="center"/>
          </w:tcPr>
          <w:p w14:paraId="6C741F7F">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71.7</w:t>
            </w:r>
          </w:p>
        </w:tc>
      </w:tr>
      <w:tr w14:paraId="52D15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56" w:type="dxa"/>
            <w:vMerge w:val="restart"/>
            <w:noWrap w:val="0"/>
            <w:vAlign w:val="center"/>
          </w:tcPr>
          <w:p w14:paraId="3B7A100A">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20万元-30万元</w:t>
            </w:r>
          </w:p>
        </w:tc>
        <w:tc>
          <w:tcPr>
            <w:tcW w:w="2082" w:type="dxa"/>
            <w:noWrap w:val="0"/>
            <w:vAlign w:val="center"/>
          </w:tcPr>
          <w:p w14:paraId="4E9D1CE5">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问界M5</w:t>
            </w:r>
          </w:p>
        </w:tc>
        <w:tc>
          <w:tcPr>
            <w:tcW w:w="1823" w:type="dxa"/>
            <w:noWrap w:val="0"/>
            <w:vAlign w:val="center"/>
          </w:tcPr>
          <w:p w14:paraId="2BC4FCD6">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602</w:t>
            </w:r>
          </w:p>
        </w:tc>
        <w:tc>
          <w:tcPr>
            <w:tcW w:w="2336" w:type="dxa"/>
            <w:noWrap w:val="0"/>
            <w:vAlign w:val="center"/>
          </w:tcPr>
          <w:p w14:paraId="76335FFA">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83</w:t>
            </w:r>
          </w:p>
        </w:tc>
      </w:tr>
      <w:tr w14:paraId="50D96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56" w:type="dxa"/>
            <w:vMerge w:val="continue"/>
            <w:noWrap w:val="0"/>
            <w:vAlign w:val="center"/>
          </w:tcPr>
          <w:p w14:paraId="6EF945AC">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p>
        </w:tc>
        <w:tc>
          <w:tcPr>
            <w:tcW w:w="2082" w:type="dxa"/>
            <w:noWrap w:val="0"/>
            <w:vAlign w:val="center"/>
          </w:tcPr>
          <w:p w14:paraId="14A6B134">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特斯拉Model Y</w:t>
            </w:r>
          </w:p>
        </w:tc>
        <w:tc>
          <w:tcPr>
            <w:tcW w:w="1823" w:type="dxa"/>
            <w:noWrap w:val="0"/>
            <w:vAlign w:val="center"/>
          </w:tcPr>
          <w:p w14:paraId="2EA9EEC7">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688</w:t>
            </w:r>
          </w:p>
        </w:tc>
        <w:tc>
          <w:tcPr>
            <w:tcW w:w="2336" w:type="dxa"/>
            <w:noWrap w:val="0"/>
            <w:vAlign w:val="center"/>
          </w:tcPr>
          <w:p w14:paraId="537EEE5E">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78.4</w:t>
            </w:r>
          </w:p>
        </w:tc>
      </w:tr>
      <w:tr w14:paraId="48AE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56" w:type="dxa"/>
            <w:vMerge w:val="continue"/>
            <w:noWrap w:val="0"/>
            <w:vAlign w:val="center"/>
          </w:tcPr>
          <w:p w14:paraId="1660113A">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p>
        </w:tc>
        <w:tc>
          <w:tcPr>
            <w:tcW w:w="2082" w:type="dxa"/>
            <w:noWrap w:val="0"/>
            <w:vAlign w:val="center"/>
          </w:tcPr>
          <w:p w14:paraId="22138B68">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小米su7</w:t>
            </w:r>
          </w:p>
        </w:tc>
        <w:tc>
          <w:tcPr>
            <w:tcW w:w="1823" w:type="dxa"/>
            <w:noWrap w:val="0"/>
            <w:vAlign w:val="center"/>
          </w:tcPr>
          <w:p w14:paraId="1B3948FA">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700</w:t>
            </w:r>
          </w:p>
        </w:tc>
        <w:tc>
          <w:tcPr>
            <w:tcW w:w="2336" w:type="dxa"/>
            <w:noWrap w:val="0"/>
            <w:vAlign w:val="center"/>
          </w:tcPr>
          <w:p w14:paraId="1B5974B7">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73.6</w:t>
            </w:r>
          </w:p>
        </w:tc>
      </w:tr>
      <w:tr w14:paraId="7DDF0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56" w:type="dxa"/>
            <w:vMerge w:val="restart"/>
            <w:noWrap w:val="0"/>
            <w:vAlign w:val="center"/>
          </w:tcPr>
          <w:p w14:paraId="0E4A173A">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30万元以上</w:t>
            </w:r>
          </w:p>
        </w:tc>
        <w:tc>
          <w:tcPr>
            <w:tcW w:w="2082" w:type="dxa"/>
            <w:noWrap w:val="0"/>
            <w:vAlign w:val="center"/>
          </w:tcPr>
          <w:p w14:paraId="3AF695C0">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小鹏X9</w:t>
            </w:r>
          </w:p>
        </w:tc>
        <w:tc>
          <w:tcPr>
            <w:tcW w:w="1823" w:type="dxa"/>
            <w:noWrap w:val="0"/>
            <w:vAlign w:val="center"/>
          </w:tcPr>
          <w:p w14:paraId="29E39E1C">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702</w:t>
            </w:r>
          </w:p>
        </w:tc>
        <w:tc>
          <w:tcPr>
            <w:tcW w:w="2336" w:type="dxa"/>
            <w:noWrap w:val="0"/>
            <w:vAlign w:val="center"/>
          </w:tcPr>
          <w:p w14:paraId="57250BEC">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101</w:t>
            </w:r>
          </w:p>
        </w:tc>
      </w:tr>
      <w:tr w14:paraId="6AC1C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56" w:type="dxa"/>
            <w:vMerge w:val="continue"/>
            <w:noWrap w:val="0"/>
            <w:vAlign w:val="center"/>
          </w:tcPr>
          <w:p w14:paraId="743032EA">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p>
        </w:tc>
        <w:tc>
          <w:tcPr>
            <w:tcW w:w="2082" w:type="dxa"/>
            <w:noWrap w:val="0"/>
            <w:vAlign w:val="center"/>
          </w:tcPr>
          <w:p w14:paraId="02A2BA01">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理想MEGA</w:t>
            </w:r>
          </w:p>
        </w:tc>
        <w:tc>
          <w:tcPr>
            <w:tcW w:w="1823" w:type="dxa"/>
            <w:noWrap w:val="0"/>
            <w:vAlign w:val="center"/>
          </w:tcPr>
          <w:p w14:paraId="15FC51C6">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710</w:t>
            </w:r>
          </w:p>
        </w:tc>
        <w:tc>
          <w:tcPr>
            <w:tcW w:w="2336" w:type="dxa"/>
            <w:noWrap w:val="0"/>
            <w:vAlign w:val="center"/>
          </w:tcPr>
          <w:p w14:paraId="68A346F9">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102.7</w:t>
            </w:r>
          </w:p>
        </w:tc>
      </w:tr>
      <w:tr w14:paraId="4F51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56" w:type="dxa"/>
            <w:vMerge w:val="continue"/>
            <w:noWrap w:val="0"/>
            <w:vAlign w:val="center"/>
          </w:tcPr>
          <w:p w14:paraId="18153027">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p>
        </w:tc>
        <w:tc>
          <w:tcPr>
            <w:tcW w:w="2082" w:type="dxa"/>
            <w:noWrap w:val="0"/>
            <w:vAlign w:val="center"/>
          </w:tcPr>
          <w:p w14:paraId="19CABDBC">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腾势D9</w:t>
            </w:r>
          </w:p>
        </w:tc>
        <w:tc>
          <w:tcPr>
            <w:tcW w:w="1823" w:type="dxa"/>
            <w:noWrap w:val="0"/>
            <w:vAlign w:val="center"/>
          </w:tcPr>
          <w:p w14:paraId="0A69E431">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600</w:t>
            </w:r>
          </w:p>
        </w:tc>
        <w:tc>
          <w:tcPr>
            <w:tcW w:w="2336" w:type="dxa"/>
            <w:noWrap w:val="0"/>
            <w:vAlign w:val="center"/>
          </w:tcPr>
          <w:p w14:paraId="1BC2C829">
            <w:pPr>
              <w:widowControl/>
              <w:snapToGrid/>
              <w:spacing w:line="300" w:lineRule="exact"/>
              <w:ind w:firstLine="0" w:firstLineChars="0"/>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sz w:val="22"/>
                <w:szCs w:val="22"/>
                <w:highlight w:val="none"/>
                <w:vertAlign w:val="baseline"/>
                <w:lang w:val="en-US" w:eastAsia="zh-CN"/>
              </w:rPr>
              <w:t>103.36</w:t>
            </w:r>
          </w:p>
        </w:tc>
      </w:tr>
    </w:tbl>
    <w:p w14:paraId="2260A79E">
      <w:pPr>
        <w:keepNext w:val="0"/>
        <w:keepLines w:val="0"/>
        <w:pageBreakBefore w:val="0"/>
        <w:widowControl w:val="0"/>
        <w:numPr>
          <w:ilvl w:val="0"/>
          <w:numId w:val="49"/>
        </w:numPr>
        <w:kinsoku/>
        <w:wordWrap/>
        <w:overflowPunct/>
        <w:topLinePunct w:val="0"/>
        <w:autoSpaceDE/>
        <w:autoSpaceDN/>
        <w:bidi w:val="0"/>
        <w:adjustRightInd/>
        <w:snapToGrid w:val="0"/>
        <w:ind w:left="0" w:leftChars="0" w:firstLine="560" w:firstLineChars="200"/>
        <w:textAlignment w:val="auto"/>
        <w:outlineLvl w:val="3"/>
        <w:rPr>
          <w:rFonts w:hint="eastAsia" w:ascii="仿宋" w:hAnsi="仿宋" w:eastAsia="仿宋"/>
          <w:color w:val="auto"/>
          <w:lang w:val="en-US" w:eastAsia="zh-CN"/>
        </w:rPr>
      </w:pPr>
      <w:r>
        <w:rPr>
          <w:rFonts w:hint="eastAsia" w:ascii="仿宋" w:hAnsi="仿宋" w:eastAsia="仿宋"/>
          <w:color w:val="auto"/>
          <w:lang w:val="en-US" w:eastAsia="zh-CN"/>
        </w:rPr>
        <w:t>卫生管理费收入</w:t>
      </w:r>
    </w:p>
    <w:p w14:paraId="163AE3BC">
      <w:pPr>
        <w:bidi w:val="0"/>
        <w:rPr>
          <w:rFonts w:hint="eastAsia" w:ascii="仿宋" w:hAnsi="仿宋" w:eastAsia="仿宋"/>
          <w:color w:val="auto"/>
          <w:lang w:val="en-US" w:eastAsia="zh-CN"/>
        </w:rPr>
      </w:pPr>
      <w:r>
        <w:rPr>
          <w:rFonts w:hint="eastAsia" w:ascii="仿宋" w:hAnsi="仿宋" w:eastAsia="仿宋"/>
          <w:color w:val="auto"/>
          <w:lang w:val="en-US" w:eastAsia="zh-CN"/>
        </w:rPr>
        <w:t>本项目主要面向长租停车位及包月停车位共480个停车位收取卫生管理费，收费标准按照60元/月、每5年增长5%计取；则，运营期卫生管理费收入合计约1601.46万元。</w:t>
      </w:r>
    </w:p>
    <w:p w14:paraId="5D796DEF">
      <w:pPr>
        <w:keepNext w:val="0"/>
        <w:keepLines w:val="0"/>
        <w:pageBreakBefore w:val="0"/>
        <w:widowControl w:val="0"/>
        <w:numPr>
          <w:ilvl w:val="0"/>
          <w:numId w:val="49"/>
        </w:numPr>
        <w:kinsoku/>
        <w:wordWrap/>
        <w:overflowPunct/>
        <w:topLinePunct w:val="0"/>
        <w:autoSpaceDE/>
        <w:autoSpaceDN/>
        <w:bidi w:val="0"/>
        <w:adjustRightInd/>
        <w:snapToGrid w:val="0"/>
        <w:ind w:left="0" w:leftChars="0" w:firstLine="560" w:firstLineChars="200"/>
        <w:textAlignment w:val="auto"/>
        <w:outlineLvl w:val="3"/>
        <w:rPr>
          <w:rFonts w:hint="eastAsia" w:ascii="仿宋" w:hAnsi="仿宋" w:eastAsia="仿宋"/>
          <w:color w:val="auto"/>
          <w:lang w:val="en-US" w:eastAsia="zh-CN"/>
        </w:rPr>
      </w:pPr>
      <w:r>
        <w:rPr>
          <w:rFonts w:hint="eastAsia" w:ascii="仿宋" w:hAnsi="仿宋" w:eastAsia="仿宋"/>
          <w:color w:val="auto"/>
          <w:lang w:val="en-US" w:eastAsia="zh-CN"/>
        </w:rPr>
        <w:t>广告费收入</w:t>
      </w:r>
    </w:p>
    <w:p w14:paraId="1D2DF579">
      <w:pPr>
        <w:bidi w:val="0"/>
        <w:rPr>
          <w:rFonts w:hint="eastAsia" w:ascii="仿宋" w:hAnsi="仿宋" w:eastAsia="仿宋"/>
          <w:color w:val="auto"/>
          <w:lang w:val="en-US" w:eastAsia="zh-CN"/>
        </w:rPr>
      </w:pPr>
      <w:r>
        <w:rPr>
          <w:rFonts w:hint="eastAsia" w:ascii="仿宋" w:hAnsi="仿宋" w:eastAsia="仿宋"/>
          <w:color w:val="auto"/>
          <w:lang w:val="en-US" w:eastAsia="zh-CN"/>
        </w:rPr>
        <w:t>本项目拟设置广告位4个，收费按照2000元/个/年考虑；则，运营期广告费收入合计约444.85万元。</w:t>
      </w:r>
    </w:p>
    <w:p w14:paraId="7448BF0A">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税金及附加</w:t>
      </w:r>
    </w:p>
    <w:p w14:paraId="59E4D094">
      <w:pPr>
        <w:keepNext w:val="0"/>
        <w:keepLines w:val="0"/>
        <w:pageBreakBefore w:val="0"/>
        <w:widowControl w:val="0"/>
        <w:numPr>
          <w:ilvl w:val="0"/>
          <w:numId w:val="51"/>
        </w:numPr>
        <w:kinsoku/>
        <w:wordWrap/>
        <w:overflowPunct/>
        <w:topLinePunct w:val="0"/>
        <w:autoSpaceDE/>
        <w:autoSpaceDN/>
        <w:bidi w:val="0"/>
        <w:adjustRightInd/>
        <w:snapToGrid w:val="0"/>
        <w:ind w:left="0" w:leftChars="0" w:firstLine="560" w:firstLineChars="200"/>
        <w:textAlignment w:val="auto"/>
        <w:outlineLvl w:val="3"/>
        <w:rPr>
          <w:rFonts w:hint="eastAsia" w:ascii="仿宋" w:hAnsi="仿宋" w:eastAsia="仿宋"/>
          <w:color w:val="auto"/>
          <w:lang w:val="en-US" w:eastAsia="zh-CN"/>
        </w:rPr>
      </w:pPr>
      <w:r>
        <w:rPr>
          <w:rFonts w:hint="eastAsia" w:ascii="仿宋" w:hAnsi="仿宋" w:eastAsia="仿宋"/>
          <w:color w:val="auto"/>
          <w:lang w:val="en-US" w:eastAsia="zh-CN"/>
        </w:rPr>
        <w:t>增值税</w:t>
      </w:r>
    </w:p>
    <w:p w14:paraId="1C88706E">
      <w:pPr>
        <w:keepNext w:val="0"/>
        <w:keepLines w:val="0"/>
        <w:pageBreakBefore w:val="0"/>
        <w:widowControl w:val="0"/>
        <w:numPr>
          <w:ilvl w:val="0"/>
          <w:numId w:val="52"/>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lang w:val="en-US" w:eastAsia="zh-CN"/>
        </w:rPr>
      </w:pPr>
      <w:r>
        <w:rPr>
          <w:rFonts w:hint="eastAsia" w:ascii="仿宋" w:hAnsi="仿宋" w:eastAsia="仿宋"/>
          <w:color w:val="auto"/>
          <w:lang w:val="en-US" w:eastAsia="zh-CN"/>
        </w:rPr>
        <w:t>建设期取得的建筑安装工程服务、工程建设其他费服务分别以9%、6%的增值税税率计取固定资产进项税。</w:t>
      </w:r>
    </w:p>
    <w:p w14:paraId="7352D550">
      <w:pPr>
        <w:keepNext w:val="0"/>
        <w:keepLines w:val="0"/>
        <w:pageBreakBefore w:val="0"/>
        <w:widowControl w:val="0"/>
        <w:numPr>
          <w:ilvl w:val="0"/>
          <w:numId w:val="52"/>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lang w:val="en-US" w:eastAsia="zh-CN"/>
        </w:rPr>
      </w:pPr>
      <w:r>
        <w:rPr>
          <w:rFonts w:hint="eastAsia" w:ascii="仿宋" w:hAnsi="仿宋" w:eastAsia="仿宋"/>
          <w:color w:val="auto"/>
          <w:lang w:val="en-US" w:eastAsia="zh-CN"/>
        </w:rPr>
        <w:t>运营期维修维护服务以9%的税率计取增值税进项税。</w:t>
      </w:r>
    </w:p>
    <w:p w14:paraId="0FD51275">
      <w:pPr>
        <w:keepNext w:val="0"/>
        <w:keepLines w:val="0"/>
        <w:pageBreakBefore w:val="0"/>
        <w:widowControl w:val="0"/>
        <w:numPr>
          <w:ilvl w:val="0"/>
          <w:numId w:val="52"/>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lang w:val="en-US" w:eastAsia="zh-CN"/>
        </w:rPr>
      </w:pPr>
      <w:r>
        <w:rPr>
          <w:rFonts w:hint="eastAsia" w:ascii="仿宋" w:hAnsi="仿宋" w:eastAsia="仿宋"/>
          <w:color w:val="auto"/>
          <w:lang w:val="en-US" w:eastAsia="zh-CN"/>
        </w:rPr>
        <w:t>停车位租赁按照不动产经营租赁缴纳增值税，适用9%的税率。</w:t>
      </w:r>
    </w:p>
    <w:p w14:paraId="372BBC48">
      <w:pPr>
        <w:keepNext w:val="0"/>
        <w:keepLines w:val="0"/>
        <w:pageBreakBefore w:val="0"/>
        <w:widowControl w:val="0"/>
        <w:numPr>
          <w:ilvl w:val="0"/>
          <w:numId w:val="52"/>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lang w:val="en-US" w:eastAsia="zh-CN"/>
        </w:rPr>
      </w:pPr>
      <w:r>
        <w:rPr>
          <w:rFonts w:hint="eastAsia" w:ascii="仿宋" w:hAnsi="仿宋" w:eastAsia="仿宋"/>
          <w:color w:val="auto"/>
          <w:lang w:val="en-US" w:eastAsia="zh-CN"/>
        </w:rPr>
        <w:t>卫生管理费及广告费按照提供服务类收入，税率为6%。</w:t>
      </w:r>
    </w:p>
    <w:p w14:paraId="08612642">
      <w:pPr>
        <w:keepNext w:val="0"/>
        <w:keepLines w:val="0"/>
        <w:pageBreakBefore w:val="0"/>
        <w:widowControl w:val="0"/>
        <w:numPr>
          <w:ilvl w:val="0"/>
          <w:numId w:val="51"/>
        </w:numPr>
        <w:kinsoku/>
        <w:wordWrap/>
        <w:overflowPunct/>
        <w:topLinePunct w:val="0"/>
        <w:autoSpaceDE/>
        <w:autoSpaceDN/>
        <w:bidi w:val="0"/>
        <w:adjustRightInd/>
        <w:snapToGrid w:val="0"/>
        <w:ind w:left="0" w:leftChars="0" w:firstLine="560" w:firstLineChars="200"/>
        <w:textAlignment w:val="auto"/>
        <w:outlineLvl w:val="3"/>
        <w:rPr>
          <w:rFonts w:hint="eastAsia" w:ascii="仿宋" w:hAnsi="仿宋" w:eastAsia="仿宋"/>
          <w:color w:val="auto"/>
          <w:lang w:val="en-US" w:eastAsia="zh-CN"/>
        </w:rPr>
      </w:pPr>
      <w:r>
        <w:rPr>
          <w:rFonts w:hint="eastAsia" w:ascii="仿宋" w:hAnsi="仿宋" w:eastAsia="仿宋"/>
          <w:color w:val="auto"/>
          <w:lang w:val="en-US" w:eastAsia="zh-CN"/>
        </w:rPr>
        <w:t>增值税附加</w:t>
      </w:r>
    </w:p>
    <w:p w14:paraId="1622E26E">
      <w:pPr>
        <w:bidi w:val="0"/>
        <w:rPr>
          <w:rFonts w:hint="eastAsia" w:ascii="仿宋" w:hAnsi="仿宋" w:eastAsia="仿宋"/>
          <w:color w:val="auto"/>
          <w:lang w:val="en-US" w:eastAsia="zh-CN"/>
        </w:rPr>
      </w:pPr>
      <w:r>
        <w:rPr>
          <w:rFonts w:hint="eastAsia" w:ascii="仿宋" w:hAnsi="仿宋" w:eastAsia="仿宋"/>
          <w:color w:val="auto"/>
          <w:lang w:val="en-US" w:eastAsia="zh-CN"/>
        </w:rPr>
        <w:t>本项目增值税附加包括城市维护建设税税率7%，教育费附加税率3%，地方教育费附加税率2%。</w:t>
      </w:r>
    </w:p>
    <w:p w14:paraId="5E05049B">
      <w:pPr>
        <w:keepNext w:val="0"/>
        <w:keepLines w:val="0"/>
        <w:pageBreakBefore w:val="0"/>
        <w:widowControl w:val="0"/>
        <w:numPr>
          <w:ilvl w:val="0"/>
          <w:numId w:val="51"/>
        </w:numPr>
        <w:kinsoku/>
        <w:wordWrap/>
        <w:overflowPunct/>
        <w:topLinePunct w:val="0"/>
        <w:autoSpaceDE/>
        <w:autoSpaceDN/>
        <w:bidi w:val="0"/>
        <w:adjustRightInd/>
        <w:snapToGrid w:val="0"/>
        <w:ind w:left="0" w:leftChars="0" w:firstLine="560" w:firstLineChars="200"/>
        <w:textAlignment w:val="auto"/>
        <w:outlineLvl w:val="3"/>
        <w:rPr>
          <w:rFonts w:hint="eastAsia" w:ascii="仿宋" w:hAnsi="仿宋" w:eastAsia="仿宋"/>
          <w:color w:val="auto"/>
          <w:lang w:val="en-US" w:eastAsia="zh-CN"/>
        </w:rPr>
      </w:pPr>
      <w:r>
        <w:rPr>
          <w:rFonts w:hint="eastAsia" w:ascii="仿宋" w:hAnsi="仿宋" w:eastAsia="仿宋"/>
          <w:color w:val="auto"/>
          <w:lang w:val="en-US" w:eastAsia="zh-CN"/>
        </w:rPr>
        <w:t>房产税</w:t>
      </w:r>
    </w:p>
    <w:p w14:paraId="0327F1F0">
      <w:pPr>
        <w:bidi w:val="0"/>
        <w:rPr>
          <w:rFonts w:hint="eastAsia" w:ascii="仿宋" w:hAnsi="仿宋" w:eastAsia="仿宋"/>
          <w:color w:val="auto"/>
          <w:lang w:val="en-US" w:eastAsia="zh-CN"/>
        </w:rPr>
      </w:pPr>
      <w:r>
        <w:rPr>
          <w:rFonts w:hint="eastAsia" w:ascii="仿宋" w:hAnsi="仿宋" w:eastAsia="仿宋"/>
          <w:color w:val="auto"/>
          <w:lang w:val="en-US" w:eastAsia="zh-CN"/>
        </w:rPr>
        <w:t>本项目停车位租赁收入按国家规定征收房产税，税率为12%。</w:t>
      </w:r>
    </w:p>
    <w:p w14:paraId="4F4AE1CF">
      <w:pPr>
        <w:keepNext w:val="0"/>
        <w:keepLines w:val="0"/>
        <w:pageBreakBefore w:val="0"/>
        <w:widowControl w:val="0"/>
        <w:numPr>
          <w:ilvl w:val="0"/>
          <w:numId w:val="51"/>
        </w:numPr>
        <w:kinsoku/>
        <w:wordWrap/>
        <w:overflowPunct/>
        <w:topLinePunct w:val="0"/>
        <w:autoSpaceDE/>
        <w:autoSpaceDN/>
        <w:bidi w:val="0"/>
        <w:adjustRightInd/>
        <w:snapToGrid w:val="0"/>
        <w:ind w:left="0" w:leftChars="0" w:firstLine="560" w:firstLineChars="200"/>
        <w:textAlignment w:val="auto"/>
        <w:outlineLvl w:val="3"/>
        <w:rPr>
          <w:rFonts w:hint="eastAsia" w:ascii="仿宋" w:hAnsi="仿宋" w:eastAsia="仿宋"/>
          <w:color w:val="auto"/>
          <w:lang w:val="en-US" w:eastAsia="zh-CN"/>
        </w:rPr>
      </w:pPr>
      <w:r>
        <w:rPr>
          <w:rFonts w:hint="eastAsia" w:ascii="仿宋" w:hAnsi="仿宋" w:eastAsia="仿宋"/>
          <w:color w:val="auto"/>
          <w:lang w:val="en-US" w:eastAsia="zh-CN"/>
        </w:rPr>
        <w:t>土地使用税</w:t>
      </w:r>
    </w:p>
    <w:p w14:paraId="5E854EA5">
      <w:pPr>
        <w:bidi w:val="0"/>
        <w:rPr>
          <w:rFonts w:hint="eastAsia" w:ascii="仿宋" w:hAnsi="仿宋" w:eastAsia="仿宋"/>
          <w:color w:val="auto"/>
          <w:lang w:val="en-US" w:eastAsia="zh-CN"/>
        </w:rPr>
      </w:pPr>
      <w:r>
        <w:rPr>
          <w:rFonts w:hint="eastAsia" w:ascii="仿宋" w:hAnsi="仿宋" w:eastAsia="仿宋"/>
          <w:color w:val="auto"/>
          <w:lang w:val="en-US" w:eastAsia="zh-CN"/>
        </w:rPr>
        <w:t>本项目土地使用税按照1.50元/㎡计取，六类区域。</w:t>
      </w:r>
    </w:p>
    <w:p w14:paraId="1CB41F48">
      <w:pPr>
        <w:keepNext w:val="0"/>
        <w:keepLines w:val="0"/>
        <w:pageBreakBefore w:val="0"/>
        <w:widowControl w:val="0"/>
        <w:numPr>
          <w:ilvl w:val="0"/>
          <w:numId w:val="51"/>
        </w:numPr>
        <w:kinsoku/>
        <w:wordWrap/>
        <w:overflowPunct/>
        <w:topLinePunct w:val="0"/>
        <w:autoSpaceDE/>
        <w:autoSpaceDN/>
        <w:bidi w:val="0"/>
        <w:adjustRightInd/>
        <w:snapToGrid w:val="0"/>
        <w:ind w:left="0" w:leftChars="0" w:firstLine="560" w:firstLineChars="200"/>
        <w:textAlignment w:val="auto"/>
        <w:outlineLvl w:val="3"/>
        <w:rPr>
          <w:rFonts w:hint="eastAsia" w:ascii="仿宋" w:hAnsi="仿宋" w:eastAsia="仿宋"/>
          <w:color w:val="auto"/>
          <w:lang w:val="en-US" w:eastAsia="zh-CN"/>
        </w:rPr>
      </w:pPr>
      <w:r>
        <w:rPr>
          <w:rFonts w:hint="eastAsia" w:ascii="仿宋" w:hAnsi="仿宋" w:eastAsia="仿宋"/>
          <w:color w:val="auto"/>
          <w:lang w:val="en-US" w:eastAsia="zh-CN"/>
        </w:rPr>
        <w:t>企业所得税</w:t>
      </w:r>
    </w:p>
    <w:p w14:paraId="49D411A0">
      <w:pPr>
        <w:bidi w:val="0"/>
        <w:rPr>
          <w:rFonts w:hint="eastAsia" w:ascii="仿宋" w:hAnsi="仿宋" w:eastAsia="仿宋"/>
          <w:color w:val="auto"/>
          <w:lang w:val="en-US" w:eastAsia="zh-CN"/>
        </w:rPr>
      </w:pPr>
      <w:r>
        <w:rPr>
          <w:rFonts w:hint="eastAsia" w:ascii="仿宋" w:hAnsi="仿宋" w:eastAsia="仿宋"/>
          <w:color w:val="auto"/>
          <w:lang w:val="en-US" w:eastAsia="zh-CN"/>
        </w:rPr>
        <w:t>按综合税率25%计，暂不考虑企业所得税优惠政策。</w:t>
      </w:r>
    </w:p>
    <w:p w14:paraId="2A6766DD">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成本费用</w:t>
      </w:r>
    </w:p>
    <w:p w14:paraId="729BDA0A">
      <w:pPr>
        <w:keepNext w:val="0"/>
        <w:keepLines w:val="0"/>
        <w:pageBreakBefore w:val="0"/>
        <w:widowControl w:val="0"/>
        <w:numPr>
          <w:ilvl w:val="0"/>
          <w:numId w:val="53"/>
        </w:numPr>
        <w:kinsoku/>
        <w:wordWrap/>
        <w:overflowPunct/>
        <w:topLinePunct w:val="0"/>
        <w:autoSpaceDE/>
        <w:autoSpaceDN/>
        <w:bidi w:val="0"/>
        <w:adjustRightInd/>
        <w:snapToGrid w:val="0"/>
        <w:ind w:left="0" w:leftChars="0" w:firstLine="560" w:firstLineChars="200"/>
        <w:textAlignment w:val="auto"/>
        <w:outlineLvl w:val="3"/>
        <w:rPr>
          <w:rFonts w:hint="eastAsia" w:ascii="仿宋" w:hAnsi="仿宋" w:eastAsia="仿宋"/>
          <w:color w:val="auto"/>
          <w:lang w:val="en-US" w:eastAsia="zh-CN"/>
        </w:rPr>
      </w:pPr>
      <w:r>
        <w:rPr>
          <w:rFonts w:hint="eastAsia" w:ascii="仿宋" w:hAnsi="仿宋" w:eastAsia="仿宋"/>
          <w:color w:val="auto"/>
          <w:lang w:val="en-US" w:eastAsia="zh-CN"/>
        </w:rPr>
        <w:t>工资及福利费</w:t>
      </w:r>
    </w:p>
    <w:p w14:paraId="29CEF45A">
      <w:pPr>
        <w:numPr>
          <w:ilvl w:val="0"/>
          <w:numId w:val="0"/>
        </w:numPr>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按照人员编制7人考虑，其中管理岗位2人、停车场管理员5人。人员福利费按工资总额的31.7％计取（参考北京市五险一金缴纳比例和最低缴费基数7162元）；按照每5年增长5%计取。人员工资明细详见下表。</w:t>
      </w:r>
    </w:p>
    <w:p w14:paraId="3B6530E6">
      <w:pPr>
        <w:keepNext/>
        <w:keepLines/>
        <w:pageBreakBefore w:val="0"/>
        <w:widowControl/>
        <w:numPr>
          <w:ilvl w:val="0"/>
          <w:numId w:val="0"/>
        </w:numPr>
        <w:kinsoku/>
        <w:wordWrap/>
        <w:overflowPunct/>
        <w:topLinePunct w:val="0"/>
        <w:autoSpaceDE/>
        <w:autoSpaceDN/>
        <w:bidi w:val="0"/>
        <w:adjustRightInd/>
        <w:snapToGrid w:val="0"/>
        <w:jc w:val="center"/>
        <w:textAlignment w:val="auto"/>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表3-5人员工资及福利费</w:t>
      </w:r>
    </w:p>
    <w:tbl>
      <w:tblPr>
        <w:tblStyle w:val="3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8"/>
        <w:gridCol w:w="2369"/>
        <w:gridCol w:w="1319"/>
        <w:gridCol w:w="1653"/>
        <w:gridCol w:w="2105"/>
      </w:tblGrid>
      <w:tr w14:paraId="69F0A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DBDCE">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序号</w:t>
            </w:r>
          </w:p>
        </w:tc>
        <w:tc>
          <w:tcPr>
            <w:tcW w:w="1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033A3">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岗位</w:t>
            </w:r>
          </w:p>
        </w:tc>
        <w:tc>
          <w:tcPr>
            <w:tcW w:w="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57836">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人数</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70C7A">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薪资（元/月）</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54EBB">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年成本（万元/年）</w:t>
            </w:r>
          </w:p>
        </w:tc>
      </w:tr>
      <w:tr w14:paraId="3EF40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1223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w:t>
            </w:r>
          </w:p>
        </w:tc>
        <w:tc>
          <w:tcPr>
            <w:tcW w:w="1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5D44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项目管理人员</w:t>
            </w:r>
          </w:p>
        </w:tc>
        <w:tc>
          <w:tcPr>
            <w:tcW w:w="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9C9CA">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2</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92E7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8000</w:t>
            </w:r>
          </w:p>
        </w:tc>
        <w:tc>
          <w:tcPr>
            <w:tcW w:w="1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E39D5">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19.20</w:t>
            </w:r>
          </w:p>
        </w:tc>
      </w:tr>
      <w:tr w14:paraId="38AF9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9D1A3">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2</w:t>
            </w:r>
          </w:p>
        </w:tc>
        <w:tc>
          <w:tcPr>
            <w:tcW w:w="1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0A02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停车场管理人员</w:t>
            </w:r>
          </w:p>
        </w:tc>
        <w:tc>
          <w:tcPr>
            <w:tcW w:w="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69C7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6050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5100</w:t>
            </w:r>
          </w:p>
        </w:tc>
        <w:tc>
          <w:tcPr>
            <w:tcW w:w="1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76F95">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30.60</w:t>
            </w:r>
          </w:p>
        </w:tc>
      </w:tr>
      <w:tr w14:paraId="4535F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34F84">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3</w:t>
            </w:r>
          </w:p>
        </w:tc>
        <w:tc>
          <w:tcPr>
            <w:tcW w:w="1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F3864">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小计</w:t>
            </w:r>
          </w:p>
        </w:tc>
        <w:tc>
          <w:tcPr>
            <w:tcW w:w="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A29FE">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7</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31B53">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5929</w:t>
            </w:r>
          </w:p>
        </w:tc>
        <w:tc>
          <w:tcPr>
            <w:tcW w:w="1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3D94E">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49.80</w:t>
            </w:r>
          </w:p>
        </w:tc>
      </w:tr>
      <w:tr w14:paraId="640D9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59CCA">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4</w:t>
            </w:r>
          </w:p>
        </w:tc>
        <w:tc>
          <w:tcPr>
            <w:tcW w:w="317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BFBEB">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含社保公积金合计</w:t>
            </w:r>
          </w:p>
        </w:tc>
        <w:tc>
          <w:tcPr>
            <w:tcW w:w="1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CF63F">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69.51</w:t>
            </w:r>
          </w:p>
        </w:tc>
      </w:tr>
    </w:tbl>
    <w:p w14:paraId="075DE30D">
      <w:pPr>
        <w:numPr>
          <w:ilvl w:val="0"/>
          <w:numId w:val="53"/>
        </w:numPr>
        <w:bidi w:val="0"/>
        <w:ind w:firstLine="560"/>
        <w:outlineLvl w:val="3"/>
        <w:rPr>
          <w:rFonts w:hint="eastAsia" w:ascii="仿宋" w:hAnsi="仿宋" w:eastAsia="仿宋"/>
          <w:color w:val="auto"/>
          <w:lang w:val="en-US" w:eastAsia="zh-CN"/>
        </w:rPr>
      </w:pPr>
      <w:r>
        <w:rPr>
          <w:rFonts w:hint="eastAsia" w:ascii="仿宋" w:hAnsi="仿宋" w:eastAsia="仿宋"/>
          <w:color w:val="auto"/>
          <w:lang w:val="en-US" w:eastAsia="zh-CN"/>
        </w:rPr>
        <w:t>电费</w:t>
      </w:r>
    </w:p>
    <w:p w14:paraId="62BF0C8C">
      <w:pPr>
        <w:bidi w:val="0"/>
        <w:rPr>
          <w:rFonts w:hint="eastAsia" w:ascii="仿宋" w:hAnsi="仿宋" w:eastAsia="仿宋"/>
          <w:color w:val="auto"/>
          <w:lang w:val="en-US" w:eastAsia="zh-CN"/>
        </w:rPr>
      </w:pPr>
      <w:r>
        <w:rPr>
          <w:rFonts w:hint="eastAsia" w:ascii="仿宋" w:hAnsi="仿宋" w:eastAsia="仿宋"/>
          <w:color w:val="auto"/>
          <w:lang w:val="en-US" w:eastAsia="zh-CN"/>
        </w:rPr>
        <w:t>本项目用电包括照明、机械通风、智慧停车系统用电等，</w:t>
      </w:r>
      <w:r>
        <w:rPr>
          <w:rFonts w:hint="eastAsia" w:ascii="仿宋" w:hAnsi="仿宋" w:eastAsia="仿宋" w:cs="仿宋"/>
          <w:snapToGrid/>
          <w:color w:val="auto"/>
          <w:kern w:val="2"/>
          <w:sz w:val="28"/>
          <w:szCs w:val="28"/>
          <w:highlight w:val="none"/>
          <w:lang w:val="en-US" w:eastAsia="zh-CN"/>
        </w:rPr>
        <w:t>假设地下停车场平均每40㎡每天耗电1千瓦时</w:t>
      </w:r>
      <w:r>
        <w:rPr>
          <w:rFonts w:hint="eastAsia" w:ascii="仿宋" w:hAnsi="仿宋" w:eastAsia="仿宋"/>
          <w:color w:val="auto"/>
          <w:lang w:val="en-US" w:eastAsia="zh-CN"/>
        </w:rPr>
        <w:t>，年耗电量为22.35万kwh。根据国网北京电力发布的2026年6月电网代理购电价格表，不满1千伏的工商业非分时电价为0.83166675元/kwh，按照每5年增长5%考虑。</w:t>
      </w:r>
    </w:p>
    <w:p w14:paraId="287905C1">
      <w:pPr>
        <w:keepNext w:val="0"/>
        <w:keepLines w:val="0"/>
        <w:pageBreakBefore w:val="0"/>
        <w:widowControl w:val="0"/>
        <w:numPr>
          <w:ilvl w:val="0"/>
          <w:numId w:val="53"/>
        </w:numPr>
        <w:kinsoku/>
        <w:wordWrap/>
        <w:overflowPunct/>
        <w:topLinePunct w:val="0"/>
        <w:autoSpaceDE/>
        <w:autoSpaceDN/>
        <w:bidi w:val="0"/>
        <w:adjustRightInd/>
        <w:snapToGrid w:val="0"/>
        <w:ind w:left="0" w:leftChars="0" w:firstLine="560" w:firstLineChars="200"/>
        <w:textAlignment w:val="auto"/>
        <w:outlineLvl w:val="3"/>
        <w:rPr>
          <w:rFonts w:hint="eastAsia" w:ascii="仿宋" w:hAnsi="仿宋" w:eastAsia="仿宋"/>
          <w:color w:val="auto"/>
          <w:lang w:val="en-US" w:eastAsia="zh-CN"/>
        </w:rPr>
      </w:pPr>
      <w:r>
        <w:rPr>
          <w:rFonts w:hint="eastAsia" w:ascii="仿宋" w:hAnsi="仿宋" w:eastAsia="仿宋"/>
          <w:color w:val="auto"/>
          <w:lang w:val="en-US" w:eastAsia="zh-CN"/>
        </w:rPr>
        <w:t>运营维护费</w:t>
      </w:r>
    </w:p>
    <w:p w14:paraId="6292FBAB">
      <w:pPr>
        <w:bidi w:val="0"/>
        <w:rPr>
          <w:rFonts w:hint="eastAsia" w:ascii="仿宋" w:hAnsi="仿宋" w:eastAsia="仿宋"/>
          <w:color w:val="auto"/>
          <w:lang w:val="en-US" w:eastAsia="zh-CN"/>
        </w:rPr>
      </w:pPr>
      <w:r>
        <w:rPr>
          <w:rFonts w:hint="eastAsia" w:ascii="仿宋" w:hAnsi="仿宋" w:eastAsia="仿宋"/>
          <w:color w:val="auto"/>
          <w:lang w:val="en-US" w:eastAsia="zh-CN"/>
        </w:rPr>
        <w:t>依据行业特点，一般运营维护费按照总投资的0.2%～1%区间进行计取。本项目运营期第1-3年按照总投资的0.2%计取，剩余年份按照总投资的0.5%计取。</w:t>
      </w:r>
    </w:p>
    <w:p w14:paraId="649EE7A8">
      <w:pPr>
        <w:keepNext w:val="0"/>
        <w:keepLines w:val="0"/>
        <w:pageBreakBefore w:val="0"/>
        <w:widowControl w:val="0"/>
        <w:numPr>
          <w:ilvl w:val="0"/>
          <w:numId w:val="53"/>
        </w:numPr>
        <w:kinsoku/>
        <w:wordWrap/>
        <w:overflowPunct/>
        <w:topLinePunct w:val="0"/>
        <w:autoSpaceDE/>
        <w:autoSpaceDN/>
        <w:bidi w:val="0"/>
        <w:adjustRightInd/>
        <w:snapToGrid w:val="0"/>
        <w:ind w:left="0" w:leftChars="0" w:firstLine="560" w:firstLineChars="200"/>
        <w:textAlignment w:val="auto"/>
        <w:outlineLvl w:val="3"/>
        <w:rPr>
          <w:rFonts w:hint="eastAsia" w:ascii="仿宋" w:hAnsi="仿宋" w:eastAsia="仿宋"/>
          <w:color w:val="auto"/>
          <w:lang w:val="en-US" w:eastAsia="zh-CN"/>
        </w:rPr>
      </w:pPr>
      <w:r>
        <w:rPr>
          <w:rFonts w:hint="eastAsia" w:ascii="仿宋" w:hAnsi="仿宋" w:eastAsia="仿宋"/>
          <w:color w:val="auto"/>
          <w:lang w:val="en-US" w:eastAsia="zh-CN"/>
        </w:rPr>
        <w:t>广告成本</w:t>
      </w:r>
    </w:p>
    <w:p w14:paraId="4C413E87">
      <w:pPr>
        <w:numPr>
          <w:ilvl w:val="0"/>
          <w:numId w:val="0"/>
        </w:numPr>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本项目广告位运营采取与第三方公司合作的方式，由第三方广告媒体公司负责本项目所有广告位的招商、制作、维护、更换等工作，该部分成本按广告收入的30%计算。</w:t>
      </w:r>
    </w:p>
    <w:p w14:paraId="42D75A55">
      <w:pPr>
        <w:keepNext w:val="0"/>
        <w:keepLines w:val="0"/>
        <w:pageBreakBefore w:val="0"/>
        <w:widowControl w:val="0"/>
        <w:numPr>
          <w:ilvl w:val="0"/>
          <w:numId w:val="53"/>
        </w:numPr>
        <w:kinsoku/>
        <w:wordWrap/>
        <w:overflowPunct/>
        <w:topLinePunct w:val="0"/>
        <w:autoSpaceDE/>
        <w:autoSpaceDN/>
        <w:bidi w:val="0"/>
        <w:adjustRightInd/>
        <w:snapToGrid w:val="0"/>
        <w:ind w:left="0" w:leftChars="0" w:firstLine="560" w:firstLineChars="200"/>
        <w:textAlignment w:val="auto"/>
        <w:outlineLvl w:val="3"/>
        <w:rPr>
          <w:rFonts w:hint="eastAsia" w:ascii="仿宋" w:hAnsi="仿宋" w:eastAsia="仿宋"/>
          <w:color w:val="auto"/>
          <w:lang w:val="en-US" w:eastAsia="zh-CN"/>
        </w:rPr>
      </w:pPr>
      <w:r>
        <w:rPr>
          <w:rFonts w:hint="eastAsia" w:ascii="仿宋" w:hAnsi="仿宋" w:eastAsia="仿宋"/>
          <w:color w:val="auto"/>
          <w:lang w:val="en-US" w:eastAsia="zh-CN"/>
        </w:rPr>
        <w:t>折旧摊销</w:t>
      </w:r>
    </w:p>
    <w:p w14:paraId="07A38B21">
      <w:pPr>
        <w:bidi w:val="0"/>
        <w:rPr>
          <w:rFonts w:hint="eastAsia" w:ascii="仿宋" w:hAnsi="仿宋" w:eastAsia="仿宋"/>
          <w:color w:val="auto"/>
          <w:highlight w:val="none"/>
          <w:lang w:val="en-US" w:eastAsia="zh-CN"/>
        </w:rPr>
      </w:pPr>
      <w:r>
        <w:rPr>
          <w:rFonts w:hint="eastAsia" w:ascii="仿宋" w:hAnsi="仿宋" w:eastAsia="仿宋"/>
          <w:color w:val="auto"/>
          <w:lang w:val="en-US" w:eastAsia="zh-CN"/>
        </w:rPr>
        <w:t>本项目特许经营权到期后，特许经营者需要将项目整体移交给政府。因此，固定资产折旧采用平均年限法，折旧年限为39年，残值率为0。</w:t>
      </w:r>
      <w:r>
        <w:rPr>
          <w:rFonts w:hint="eastAsia" w:ascii="仿宋" w:hAnsi="仿宋" w:eastAsia="仿宋"/>
          <w:color w:val="auto"/>
          <w:highlight w:val="none"/>
          <w:lang w:val="en-US" w:eastAsia="zh-CN"/>
        </w:rPr>
        <w:t>无形资产摊销采用直线法（平均年限法），其中，土地费用按照39年进行摊销，其他无形资产按照20年进行摊销，残值为0。</w:t>
      </w:r>
    </w:p>
    <w:p w14:paraId="5D3A2305">
      <w:pPr>
        <w:keepNext w:val="0"/>
        <w:keepLines w:val="0"/>
        <w:pageBreakBefore w:val="0"/>
        <w:widowControl w:val="0"/>
        <w:numPr>
          <w:ilvl w:val="0"/>
          <w:numId w:val="53"/>
        </w:numPr>
        <w:kinsoku/>
        <w:wordWrap/>
        <w:overflowPunct/>
        <w:topLinePunct w:val="0"/>
        <w:autoSpaceDE/>
        <w:autoSpaceDN/>
        <w:bidi w:val="0"/>
        <w:adjustRightInd/>
        <w:snapToGrid w:val="0"/>
        <w:ind w:left="0" w:leftChars="0" w:firstLine="560" w:firstLineChars="200"/>
        <w:textAlignment w:val="auto"/>
        <w:outlineLvl w:val="3"/>
        <w:rPr>
          <w:rFonts w:hint="eastAsia" w:ascii="仿宋" w:hAnsi="仿宋" w:eastAsia="仿宋"/>
          <w:color w:val="auto"/>
          <w:lang w:val="en-US" w:eastAsia="zh-CN"/>
        </w:rPr>
      </w:pPr>
      <w:r>
        <w:rPr>
          <w:rFonts w:hint="eastAsia" w:ascii="仿宋" w:hAnsi="仿宋" w:eastAsia="仿宋"/>
          <w:color w:val="auto"/>
          <w:lang w:val="en-US" w:eastAsia="zh-CN"/>
        </w:rPr>
        <w:t>财务费用</w:t>
      </w:r>
    </w:p>
    <w:p w14:paraId="1290CE77">
      <w:pPr>
        <w:bidi w:val="0"/>
        <w:rPr>
          <w:rFonts w:hint="eastAsia" w:ascii="仿宋" w:hAnsi="仿宋" w:eastAsia="仿宋"/>
          <w:color w:val="auto"/>
          <w:lang w:val="en-US" w:eastAsia="zh-CN"/>
        </w:rPr>
      </w:pPr>
      <w:r>
        <w:rPr>
          <w:rFonts w:hint="eastAsia" w:ascii="仿宋" w:hAnsi="仿宋" w:eastAsia="仿宋"/>
          <w:color w:val="auto"/>
          <w:lang w:val="en-US" w:eastAsia="zh-CN"/>
        </w:rPr>
        <w:t>项目总投资为22319.75万元；其中，项目资本金为5129.47万元，政府投资补助10490.28万元，银行贷款融资为6700.00万元。融资贷款的偿还方式假设为等额本息方式偿还，贷款利率为2.5%，贷款宽限期为1年，偿还期为24年，自运营期第1年开始偿还。则，本项目运营期财务费用合计为2290.78万元。</w:t>
      </w:r>
    </w:p>
    <w:p w14:paraId="6F3BE58A">
      <w:pPr>
        <w:pStyle w:val="4"/>
        <w:bidi w:val="0"/>
        <w:ind w:left="720" w:hanging="720"/>
        <w:rPr>
          <w:rFonts w:hint="eastAsia" w:ascii="仿宋" w:hAnsi="仿宋" w:eastAsia="仿宋"/>
          <w:color w:val="auto"/>
          <w:lang w:val="en-US" w:eastAsia="zh-CN"/>
        </w:rPr>
      </w:pPr>
      <w:bookmarkStart w:id="101" w:name="_Toc144879838"/>
      <w:bookmarkStart w:id="102" w:name="_Toc1911055665"/>
      <w:bookmarkStart w:id="103" w:name="_Toc21835"/>
      <w:r>
        <w:rPr>
          <w:rFonts w:hint="eastAsia" w:ascii="仿宋" w:hAnsi="仿宋" w:eastAsia="仿宋"/>
          <w:color w:val="auto"/>
          <w:lang w:val="en-US" w:eastAsia="zh-CN"/>
        </w:rPr>
        <w:t>利润总额及分配</w:t>
      </w:r>
      <w:bookmarkEnd w:id="101"/>
      <w:bookmarkEnd w:id="102"/>
      <w:bookmarkEnd w:id="103"/>
    </w:p>
    <w:p w14:paraId="75D4D8CF">
      <w:pPr>
        <w:bidi w:val="0"/>
        <w:rPr>
          <w:rFonts w:hint="eastAsia" w:ascii="仿宋" w:hAnsi="仿宋" w:eastAsia="仿宋"/>
          <w:color w:val="auto"/>
          <w:lang w:val="en-US" w:eastAsia="zh-CN"/>
        </w:rPr>
      </w:pPr>
      <w:r>
        <w:rPr>
          <w:rFonts w:hint="eastAsia" w:ascii="仿宋" w:hAnsi="仿宋" w:eastAsia="仿宋"/>
          <w:color w:val="auto"/>
          <w:lang w:val="en-US" w:eastAsia="zh-CN"/>
        </w:rPr>
        <w:t>根据《利润与利润分配表》可知，项目计算期内，利润总额为-5091.28万元。所得税按利润总额的25%计取，计算期内所得税总估算值为1.85万元，净利润为</w:t>
      </w:r>
      <w:r>
        <w:rPr>
          <w:rFonts w:hint="default" w:ascii="仿宋" w:hAnsi="仿宋" w:eastAsia="仿宋"/>
          <w:color w:val="auto"/>
          <w:lang w:val="en-US" w:eastAsia="zh-CN"/>
        </w:rPr>
        <w:t>-</w:t>
      </w:r>
      <w:r>
        <w:rPr>
          <w:rFonts w:hint="eastAsia" w:ascii="仿宋" w:hAnsi="仿宋" w:eastAsia="仿宋"/>
          <w:color w:val="auto"/>
          <w:lang w:val="en-US" w:eastAsia="zh-CN"/>
        </w:rPr>
        <w:t>5093.13万元，法定盈余公积金按净利润的10%计取。</w:t>
      </w:r>
    </w:p>
    <w:p w14:paraId="4A125B74">
      <w:pPr>
        <w:pStyle w:val="3"/>
        <w:bidi w:val="0"/>
        <w:ind w:left="575" w:hanging="575"/>
        <w:rPr>
          <w:rFonts w:hint="eastAsia" w:ascii="仿宋" w:hAnsi="仿宋" w:eastAsia="仿宋" w:cs="仿宋"/>
          <w:color w:val="auto"/>
          <w:highlight w:val="none"/>
          <w:lang w:val="en-US" w:eastAsia="zh-CN"/>
        </w:rPr>
      </w:pPr>
      <w:bookmarkStart w:id="104" w:name="_Toc10369"/>
      <w:bookmarkStart w:id="105" w:name="_Toc29834"/>
      <w:bookmarkStart w:id="106" w:name="_Toc28586"/>
      <w:bookmarkStart w:id="107" w:name="_Toc24470"/>
      <w:r>
        <w:rPr>
          <w:rFonts w:hint="eastAsia" w:ascii="仿宋" w:hAnsi="仿宋" w:eastAsia="仿宋" w:cs="仿宋"/>
          <w:color w:val="auto"/>
          <w:highlight w:val="none"/>
          <w:lang w:val="en-US" w:eastAsia="zh-CN"/>
        </w:rPr>
        <w:t>项目盈利能力分析</w:t>
      </w:r>
      <w:bookmarkEnd w:id="104"/>
      <w:bookmarkEnd w:id="105"/>
      <w:bookmarkEnd w:id="106"/>
      <w:bookmarkEnd w:id="107"/>
    </w:p>
    <w:p w14:paraId="0B1F7C32">
      <w:pPr>
        <w:pStyle w:val="4"/>
        <w:bidi w:val="0"/>
        <w:ind w:left="720" w:hanging="720"/>
        <w:rPr>
          <w:rFonts w:hint="eastAsia" w:ascii="仿宋" w:hAnsi="仿宋" w:eastAsia="仿宋"/>
          <w:color w:val="auto"/>
          <w:lang w:val="en-US" w:eastAsia="zh-CN"/>
        </w:rPr>
      </w:pPr>
      <w:bookmarkStart w:id="108" w:name="_Toc492734476"/>
      <w:r>
        <w:rPr>
          <w:rFonts w:hint="eastAsia" w:ascii="仿宋" w:hAnsi="仿宋" w:eastAsia="仿宋"/>
          <w:color w:val="auto"/>
          <w:lang w:val="en-US" w:eastAsia="zh-CN"/>
        </w:rPr>
        <w:t>盈利能力分析</w:t>
      </w:r>
    </w:p>
    <w:p w14:paraId="01E1B670">
      <w:pPr>
        <w:bidi w:val="0"/>
        <w:rPr>
          <w:rFonts w:hint="eastAsia" w:ascii="仿宋" w:hAnsi="仿宋" w:eastAsia="仿宋"/>
          <w:color w:val="auto"/>
          <w:lang w:val="en-US" w:eastAsia="zh-CN"/>
        </w:rPr>
      </w:pPr>
      <w:r>
        <w:rPr>
          <w:rFonts w:hint="eastAsia" w:ascii="仿宋" w:hAnsi="仿宋" w:eastAsia="仿宋"/>
          <w:color w:val="auto"/>
          <w:lang w:val="en-US" w:eastAsia="zh-CN"/>
        </w:rPr>
        <w:t>本项目全部投资税后财务内部收益率计算结果为-0.66%，项目如果由企业全部自有资金进行投资建设的话，在特许经营期内，无法收回投资。项目在获得政府投资补助以及申请银行贷款的情况下，项目资本金税后财务内部收益率为3.04%，资本金投资回收期27.89年（所得税后、不含建设期）。本项目财务评价指标详见下表。</w:t>
      </w:r>
    </w:p>
    <w:p w14:paraId="346DA5E2">
      <w:pPr>
        <w:numPr>
          <w:ilvl w:val="0"/>
          <w:numId w:val="0"/>
        </w:numPr>
        <w:bidi w:val="0"/>
        <w:jc w:val="center"/>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表3-6财务评价指标表</w:t>
      </w:r>
    </w:p>
    <w:tbl>
      <w:tblPr>
        <w:tblStyle w:val="31"/>
        <w:tblW w:w="776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87"/>
        <w:gridCol w:w="3025"/>
        <w:gridCol w:w="957"/>
        <w:gridCol w:w="1332"/>
        <w:gridCol w:w="1565"/>
      </w:tblGrid>
      <w:tr w14:paraId="2E977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blHeader/>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E68F0">
            <w:pPr>
              <w:widowControl/>
              <w:snapToGrid w:val="0"/>
              <w:spacing w:line="240" w:lineRule="auto"/>
              <w:ind w:left="0" w:leftChars="0" w:right="0" w:rightChars="0"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序号</w:t>
            </w:r>
          </w:p>
        </w:tc>
        <w:tc>
          <w:tcPr>
            <w:tcW w:w="3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A888C">
            <w:pPr>
              <w:widowControl/>
              <w:snapToGrid w:val="0"/>
              <w:spacing w:line="240" w:lineRule="auto"/>
              <w:ind w:left="0" w:leftChars="0" w:right="0" w:rightChars="0"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项目</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2AF5">
            <w:pPr>
              <w:widowControl/>
              <w:snapToGrid w:val="0"/>
              <w:spacing w:line="240" w:lineRule="auto"/>
              <w:ind w:left="0" w:leftChars="0" w:right="0" w:rightChars="0"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单位</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EFD6">
            <w:pPr>
              <w:widowControl/>
              <w:snapToGrid w:val="0"/>
              <w:spacing w:line="240" w:lineRule="auto"/>
              <w:ind w:left="0" w:leftChars="0" w:right="0" w:rightChars="0" w:firstLine="0" w:firstLineChars="0"/>
              <w:jc w:val="center"/>
              <w:rPr>
                <w:rFonts w:hint="eastAsia" w:ascii="仿宋" w:hAnsi="仿宋" w:eastAsia="仿宋" w:cs="仿宋"/>
                <w:b/>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指标</w:t>
            </w: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97876">
            <w:pPr>
              <w:widowControl/>
              <w:snapToGrid w:val="0"/>
              <w:spacing w:line="240" w:lineRule="auto"/>
              <w:ind w:left="0" w:leftChars="0" w:right="0" w:rightChars="0"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备注</w:t>
            </w:r>
          </w:p>
        </w:tc>
      </w:tr>
      <w:tr w14:paraId="2E43E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EEBED">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1C976">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总投资</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8D2BD">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B3516">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eastAsia" w:ascii="仿宋" w:eastAsia="仿宋" w:cs="Times New Roman"/>
                <w:i w:val="0"/>
                <w:iCs w:val="0"/>
                <w:color w:val="auto"/>
                <w:kern w:val="0"/>
                <w:sz w:val="22"/>
                <w:szCs w:val="21"/>
                <w:highlight w:val="none"/>
                <w:u w:val="none"/>
                <w:lang w:val="en-US" w:eastAsia="zh-CN" w:bidi="ar"/>
              </w:rPr>
              <w:t>22319.75</w:t>
            </w:r>
            <w:r>
              <w:rPr>
                <w:rFonts w:hint="default" w:ascii="仿宋" w:hAnsi="Times New Roman" w:eastAsia="仿宋" w:cs="Times New Roman"/>
                <w:i w:val="0"/>
                <w:iCs w:val="0"/>
                <w:color w:val="auto"/>
                <w:kern w:val="0"/>
                <w:sz w:val="22"/>
                <w:szCs w:val="21"/>
                <w:highlight w:val="none"/>
                <w:u w:val="none"/>
                <w:lang w:val="en-US" w:eastAsia="zh-CN" w:bidi="ar"/>
              </w:rPr>
              <w:t xml:space="preserve"> </w:t>
            </w: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D11A7">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p>
        </w:tc>
      </w:tr>
      <w:tr w14:paraId="00399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0C5A4">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1.1</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28E29">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资本金</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533A5">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D0FF9">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eastAsia" w:ascii="仿宋" w:eastAsia="仿宋" w:cs="Times New Roman"/>
                <w:i w:val="0"/>
                <w:iCs w:val="0"/>
                <w:color w:val="auto"/>
                <w:kern w:val="0"/>
                <w:sz w:val="22"/>
                <w:szCs w:val="21"/>
                <w:highlight w:val="none"/>
                <w:u w:val="none"/>
                <w:lang w:val="en-US" w:eastAsia="zh-CN" w:bidi="ar"/>
              </w:rPr>
              <w:t>5129.47</w:t>
            </w:r>
            <w:r>
              <w:rPr>
                <w:rFonts w:hint="default" w:ascii="仿宋" w:hAnsi="Times New Roman" w:eastAsia="仿宋" w:cs="Times New Roman"/>
                <w:i w:val="0"/>
                <w:iCs w:val="0"/>
                <w:color w:val="auto"/>
                <w:kern w:val="0"/>
                <w:sz w:val="22"/>
                <w:szCs w:val="21"/>
                <w:highlight w:val="none"/>
                <w:u w:val="none"/>
                <w:lang w:val="en-US" w:eastAsia="zh-CN" w:bidi="ar"/>
              </w:rPr>
              <w:t xml:space="preserve"> </w:t>
            </w: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97B4A">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p>
        </w:tc>
      </w:tr>
      <w:tr w14:paraId="74BA2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CA63D">
            <w:pPr>
              <w:widowControl/>
              <w:snapToGrid w:val="0"/>
              <w:spacing w:line="240" w:lineRule="auto"/>
              <w:ind w:left="0" w:leftChars="0" w:right="0" w:rightChars="0" w:firstLine="0" w:firstLineChars="0"/>
              <w:jc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1.2</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6CBB3">
            <w:pPr>
              <w:widowControl/>
              <w:snapToGrid w:val="0"/>
              <w:spacing w:line="240" w:lineRule="auto"/>
              <w:ind w:left="0" w:leftChars="0" w:right="0" w:rightChars="0" w:firstLine="0" w:firstLineChars="0"/>
              <w:jc w:val="left"/>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政府投资补助</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96905">
            <w:pPr>
              <w:widowControl/>
              <w:snapToGrid w:val="0"/>
              <w:spacing w:line="240" w:lineRule="auto"/>
              <w:ind w:left="0" w:leftChars="0" w:right="0" w:rightChars="0" w:firstLine="0" w:firstLineChars="0"/>
              <w:jc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3EDF5">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i w:val="0"/>
                <w:iCs w:val="0"/>
                <w:color w:val="auto"/>
                <w:kern w:val="0"/>
                <w:sz w:val="22"/>
                <w:szCs w:val="21"/>
                <w:highlight w:val="none"/>
                <w:u w:val="none"/>
                <w:lang w:val="en-US" w:eastAsia="zh-CN" w:bidi="ar"/>
              </w:rPr>
            </w:pPr>
            <w:r>
              <w:rPr>
                <w:rFonts w:hint="eastAsia" w:ascii="仿宋" w:eastAsia="仿宋" w:cs="Times New Roman"/>
                <w:i w:val="0"/>
                <w:iCs w:val="0"/>
                <w:color w:val="auto"/>
                <w:kern w:val="0"/>
                <w:sz w:val="22"/>
                <w:szCs w:val="21"/>
                <w:highlight w:val="none"/>
                <w:u w:val="none"/>
                <w:lang w:val="en-US" w:eastAsia="zh-CN" w:bidi="ar"/>
              </w:rPr>
              <w:t>10490.28</w:t>
            </w:r>
            <w:r>
              <w:rPr>
                <w:rFonts w:hint="default" w:ascii="仿宋" w:hAnsi="Times New Roman" w:eastAsia="仿宋" w:cs="Times New Roman"/>
                <w:i w:val="0"/>
                <w:iCs w:val="0"/>
                <w:color w:val="auto"/>
                <w:kern w:val="0"/>
                <w:sz w:val="22"/>
                <w:szCs w:val="21"/>
                <w:highlight w:val="none"/>
                <w:u w:val="none"/>
                <w:lang w:val="en-US" w:eastAsia="zh-CN" w:bidi="ar"/>
              </w:rPr>
              <w:t xml:space="preserve"> </w:t>
            </w: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13388">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p>
        </w:tc>
      </w:tr>
      <w:tr w14:paraId="73FCA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CDAC8">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1.3</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6B422">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银行贷款</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CD315">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22138">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default" w:ascii="仿宋" w:hAnsi="Times New Roman" w:eastAsia="仿宋" w:cs="Times New Roman"/>
                <w:i w:val="0"/>
                <w:iCs w:val="0"/>
                <w:color w:val="auto"/>
                <w:kern w:val="0"/>
                <w:sz w:val="22"/>
                <w:szCs w:val="21"/>
                <w:highlight w:val="none"/>
                <w:u w:val="none"/>
                <w:lang w:val="en-US" w:eastAsia="zh-CN" w:bidi="ar"/>
              </w:rPr>
              <w:t xml:space="preserve">6700.00 </w:t>
            </w: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73B7C">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p>
        </w:tc>
      </w:tr>
      <w:tr w14:paraId="53072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49614">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2</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EFACA">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营业收入</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952D0">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45C58">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default" w:ascii="仿宋" w:hAnsi="Times New Roman" w:eastAsia="仿宋" w:cs="Times New Roman"/>
                <w:i w:val="0"/>
                <w:iCs w:val="0"/>
                <w:color w:val="auto"/>
                <w:kern w:val="0"/>
                <w:sz w:val="22"/>
                <w:szCs w:val="21"/>
                <w:highlight w:val="none"/>
                <w:u w:val="none"/>
                <w:lang w:val="en-US" w:eastAsia="zh-CN" w:bidi="ar"/>
              </w:rPr>
              <w:t xml:space="preserve">31449.49 </w:t>
            </w: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ABFD3">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计算期合计</w:t>
            </w:r>
          </w:p>
        </w:tc>
      </w:tr>
      <w:tr w14:paraId="098CA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A45BB">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3</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C83BB">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总成本</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8A9EE">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5212A">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eastAsia" w:ascii="仿宋" w:eastAsia="仿宋" w:cs="Times New Roman"/>
                <w:i w:val="0"/>
                <w:iCs w:val="0"/>
                <w:color w:val="auto"/>
                <w:kern w:val="0"/>
                <w:sz w:val="22"/>
                <w:szCs w:val="21"/>
                <w:highlight w:val="none"/>
                <w:u w:val="none"/>
                <w:lang w:val="en-US" w:eastAsia="zh-CN" w:bidi="ar"/>
              </w:rPr>
              <w:t>21234.77</w:t>
            </w: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68E4E">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计算期合计</w:t>
            </w:r>
          </w:p>
        </w:tc>
      </w:tr>
      <w:tr w14:paraId="5D1B5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11E4B">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4</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F792">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税金及附加</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E70EB">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FF37C">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eastAsia" w:ascii="仿宋" w:eastAsia="仿宋" w:cs="Times New Roman"/>
                <w:i w:val="0"/>
                <w:iCs w:val="0"/>
                <w:color w:val="auto"/>
                <w:kern w:val="0"/>
                <w:sz w:val="22"/>
                <w:szCs w:val="21"/>
                <w:highlight w:val="none"/>
                <w:u w:val="none"/>
                <w:lang w:val="en-US" w:eastAsia="zh-CN" w:bidi="ar"/>
              </w:rPr>
              <w:t>3183.85</w:t>
            </w: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11523">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计算期合计</w:t>
            </w:r>
          </w:p>
        </w:tc>
      </w:tr>
      <w:tr w14:paraId="0203A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CB511">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F7DE2">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利润总额</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B0F81">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1CEF7">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eastAsia" w:ascii="仿宋" w:eastAsia="仿宋" w:cs="Times New Roman"/>
                <w:i w:val="0"/>
                <w:iCs w:val="0"/>
                <w:color w:val="auto"/>
                <w:kern w:val="0"/>
                <w:sz w:val="22"/>
                <w:szCs w:val="21"/>
                <w:highlight w:val="none"/>
                <w:u w:val="none"/>
                <w:lang w:val="en-US" w:eastAsia="zh-CN" w:bidi="ar"/>
              </w:rPr>
              <w:t>-5091.28</w:t>
            </w: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92FF">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计算期合计</w:t>
            </w:r>
          </w:p>
        </w:tc>
      </w:tr>
      <w:tr w14:paraId="54EC8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4B777">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6</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424B5">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所得税</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87EB3">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966AE">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eastAsia" w:ascii="仿宋" w:eastAsia="仿宋" w:cs="Times New Roman"/>
                <w:i w:val="0"/>
                <w:iCs w:val="0"/>
                <w:color w:val="auto"/>
                <w:kern w:val="0"/>
                <w:sz w:val="22"/>
                <w:szCs w:val="21"/>
                <w:highlight w:val="none"/>
                <w:u w:val="none"/>
                <w:lang w:val="en-US" w:eastAsia="zh-CN" w:bidi="ar"/>
              </w:rPr>
              <w:t>1.85</w:t>
            </w: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DBA7">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计算期合计</w:t>
            </w:r>
          </w:p>
        </w:tc>
      </w:tr>
      <w:tr w14:paraId="3658D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9A4F4">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7</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10679">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净利润</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0011C">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D3204">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default" w:ascii="仿宋" w:hAnsi="Times New Roman" w:eastAsia="仿宋" w:cs="Times New Roman"/>
                <w:i w:val="0"/>
                <w:iCs w:val="0"/>
                <w:color w:val="auto"/>
                <w:kern w:val="0"/>
                <w:sz w:val="22"/>
                <w:szCs w:val="21"/>
                <w:highlight w:val="none"/>
                <w:u w:val="none"/>
                <w:lang w:val="en-US" w:eastAsia="zh-CN" w:bidi="ar"/>
              </w:rPr>
              <w:t>-</w:t>
            </w:r>
            <w:r>
              <w:rPr>
                <w:rFonts w:hint="eastAsia" w:ascii="仿宋" w:eastAsia="仿宋" w:cs="Times New Roman"/>
                <w:i w:val="0"/>
                <w:iCs w:val="0"/>
                <w:color w:val="auto"/>
                <w:kern w:val="0"/>
                <w:sz w:val="22"/>
                <w:szCs w:val="21"/>
                <w:highlight w:val="none"/>
                <w:u w:val="none"/>
                <w:lang w:val="en-US" w:eastAsia="zh-CN" w:bidi="ar"/>
              </w:rPr>
              <w:t>5093.13</w:t>
            </w: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C70E">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计算期合计</w:t>
            </w:r>
          </w:p>
        </w:tc>
      </w:tr>
      <w:tr w14:paraId="0E3F3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D6B23">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8</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EE160">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增值税</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9FD31">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DAB58">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eastAsia" w:ascii="仿宋" w:eastAsia="仿宋" w:cs="Times New Roman"/>
                <w:i w:val="0"/>
                <w:iCs w:val="0"/>
                <w:color w:val="auto"/>
                <w:kern w:val="0"/>
                <w:sz w:val="22"/>
                <w:szCs w:val="21"/>
                <w:highlight w:val="none"/>
                <w:u w:val="none"/>
                <w:lang w:val="en-US" w:eastAsia="zh-CN" w:bidi="ar"/>
              </w:rPr>
              <w:t>379.12</w:t>
            </w: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44C51">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计算期合计</w:t>
            </w:r>
          </w:p>
        </w:tc>
      </w:tr>
      <w:tr w14:paraId="62A40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376E9">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9</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DD4F">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还本付息总额</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6F029">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E3B8D">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default" w:ascii="仿宋" w:hAnsi="Times New Roman" w:eastAsia="仿宋" w:cs="Times New Roman"/>
                <w:i w:val="0"/>
                <w:iCs w:val="0"/>
                <w:color w:val="auto"/>
                <w:kern w:val="0"/>
                <w:sz w:val="22"/>
                <w:szCs w:val="21"/>
                <w:highlight w:val="none"/>
                <w:u w:val="none"/>
                <w:lang w:val="en-US" w:eastAsia="zh-CN" w:bidi="ar"/>
              </w:rPr>
              <w:t xml:space="preserve">8990.78 </w:t>
            </w: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2C91E">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计算期合计</w:t>
            </w:r>
          </w:p>
        </w:tc>
      </w:tr>
      <w:tr w14:paraId="03079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462EF">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10</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E52D6">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项目还款净现金流</w:t>
            </w:r>
          </w:p>
        </w:tc>
        <w:tc>
          <w:tcPr>
            <w:tcW w:w="95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5201721">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F8FD8">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eastAsia" w:ascii="仿宋" w:eastAsia="仿宋" w:cs="Times New Roman"/>
                <w:i w:val="0"/>
                <w:iCs w:val="0"/>
                <w:color w:val="auto"/>
                <w:kern w:val="0"/>
                <w:sz w:val="22"/>
                <w:szCs w:val="21"/>
                <w:highlight w:val="none"/>
                <w:u w:val="none"/>
                <w:lang w:val="en-US" w:eastAsia="zh-CN" w:bidi="ar"/>
              </w:rPr>
              <w:t>10830.65</w:t>
            </w: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C3293">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p>
        </w:tc>
      </w:tr>
      <w:tr w14:paraId="6BD17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C6D33">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11</w:t>
            </w:r>
          </w:p>
        </w:tc>
        <w:tc>
          <w:tcPr>
            <w:tcW w:w="302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51AFA5C2">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项目偿债备付率</w:t>
            </w:r>
          </w:p>
        </w:tc>
        <w:tc>
          <w:tcPr>
            <w:tcW w:w="95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CE82B4">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p>
        </w:tc>
        <w:tc>
          <w:tcPr>
            <w:tcW w:w="1332"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BC7BE94">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default" w:ascii="仿宋" w:hAnsi="Times New Roman" w:eastAsia="仿宋" w:cs="Times New Roman"/>
                <w:i w:val="0"/>
                <w:iCs w:val="0"/>
                <w:color w:val="auto"/>
                <w:kern w:val="0"/>
                <w:sz w:val="22"/>
                <w:szCs w:val="21"/>
                <w:highlight w:val="none"/>
                <w:u w:val="none"/>
                <w:lang w:val="en-US" w:eastAsia="zh-CN" w:bidi="ar"/>
              </w:rPr>
              <w:t xml:space="preserve">1.20 </w:t>
            </w:r>
          </w:p>
        </w:tc>
        <w:tc>
          <w:tcPr>
            <w:tcW w:w="1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6E087">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p>
        </w:tc>
      </w:tr>
      <w:tr w14:paraId="39741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37591">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12</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5B77D">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盈亏平衡点</w:t>
            </w:r>
          </w:p>
        </w:tc>
        <w:tc>
          <w:tcPr>
            <w:tcW w:w="957"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355BBA9">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5C670">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eastAsia" w:ascii="仿宋" w:eastAsia="仿宋" w:cs="Times New Roman"/>
                <w:i w:val="0"/>
                <w:iCs w:val="0"/>
                <w:color w:val="auto"/>
                <w:kern w:val="0"/>
                <w:sz w:val="22"/>
                <w:szCs w:val="21"/>
                <w:highlight w:val="none"/>
                <w:u w:val="none"/>
                <w:lang w:val="en-US" w:eastAsia="zh-CN" w:bidi="ar"/>
              </w:rPr>
              <w:t>114.92%</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A3AE5">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p>
        </w:tc>
      </w:tr>
      <w:tr w14:paraId="78DB3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BC62F">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13</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A932B">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项目投资财务分析指标</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2BAC5">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2A80C">
            <w:pPr>
              <w:keepNext w:val="0"/>
              <w:keepLines w:val="0"/>
              <w:widowControl/>
              <w:suppressLineNumbers w:val="0"/>
              <w:snapToGrid w:val="0"/>
              <w:spacing w:line="240" w:lineRule="auto"/>
              <w:ind w:left="0" w:leftChars="0" w:right="0" w:rightChars="0" w:firstLine="0" w:firstLineChars="0"/>
              <w:jc w:val="right"/>
              <w:textAlignment w:val="center"/>
              <w:rPr>
                <w:rFonts w:hint="eastAsia" w:ascii="仿宋" w:hAnsi="仿宋" w:eastAsia="仿宋" w:cs="仿宋"/>
                <w:color w:val="auto"/>
                <w:sz w:val="22"/>
                <w:szCs w:val="21"/>
                <w:highlight w:val="none"/>
                <w:lang w:val="en-US" w:eastAsia="zh-CN"/>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19D8A">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p>
        </w:tc>
      </w:tr>
      <w:tr w14:paraId="54DC6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31E94">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13.1</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EB595">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项目投资财务内部收益率</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46376">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99786">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default" w:ascii="仿宋" w:hAnsi="Times New Roman" w:eastAsia="仿宋" w:cs="Times New Roman"/>
                <w:i w:val="0"/>
                <w:iCs w:val="0"/>
                <w:color w:val="auto"/>
                <w:kern w:val="0"/>
                <w:sz w:val="22"/>
                <w:szCs w:val="21"/>
                <w:highlight w:val="none"/>
                <w:u w:val="none"/>
                <w:lang w:val="en-US" w:eastAsia="zh-CN" w:bidi="ar"/>
              </w:rPr>
              <w:t>-0.66%</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B8E61">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所得税后</w:t>
            </w:r>
          </w:p>
        </w:tc>
      </w:tr>
      <w:tr w14:paraId="5D3CF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8AFB4">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13.2</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99FB1">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项目投资财务净现值</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EFF5F">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1138A">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default" w:ascii="仿宋" w:hAnsi="Times New Roman" w:eastAsia="仿宋" w:cs="Times New Roman"/>
                <w:i w:val="0"/>
                <w:iCs w:val="0"/>
                <w:color w:val="auto"/>
                <w:kern w:val="0"/>
                <w:sz w:val="22"/>
                <w:szCs w:val="21"/>
                <w:highlight w:val="none"/>
                <w:u w:val="none"/>
                <w:lang w:val="en-US" w:eastAsia="zh-CN" w:bidi="ar"/>
              </w:rPr>
              <w:t>-</w:t>
            </w:r>
            <w:r>
              <w:rPr>
                <w:rFonts w:hint="eastAsia" w:ascii="仿宋" w:eastAsia="仿宋" w:cs="Times New Roman"/>
                <w:i w:val="0"/>
                <w:iCs w:val="0"/>
                <w:color w:val="auto"/>
                <w:kern w:val="0"/>
                <w:sz w:val="22"/>
                <w:szCs w:val="21"/>
                <w:highlight w:val="none"/>
                <w:u w:val="none"/>
                <w:lang w:val="en-US" w:eastAsia="zh-CN" w:bidi="ar"/>
              </w:rPr>
              <w:t>9586.25</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E5F77">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所得税后</w:t>
            </w:r>
          </w:p>
        </w:tc>
      </w:tr>
      <w:tr w14:paraId="17D4D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3B58D">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13.3</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78066">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项目投资静态投资回收期</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9D2C3">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年</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C5643">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eastAsia" w:ascii="仿宋" w:hAnsi="Times New Roman" w:eastAsia="仿宋" w:cs="Times New Roman"/>
                <w:i w:val="0"/>
                <w:iCs w:val="0"/>
                <w:color w:val="auto"/>
                <w:kern w:val="0"/>
                <w:sz w:val="22"/>
                <w:szCs w:val="21"/>
                <w:highlight w:val="none"/>
                <w:u w:val="none"/>
                <w:lang w:val="en-US" w:eastAsia="zh-CN" w:bidi="ar"/>
              </w:rPr>
              <w:t>-</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CFEE7">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所得税后</w:t>
            </w:r>
          </w:p>
        </w:tc>
      </w:tr>
      <w:tr w14:paraId="29151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8E9C4">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13.4</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36BFB">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项目投资财务内部收益率</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C3154">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34A3D">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default" w:ascii="仿宋" w:hAnsi="Times New Roman" w:eastAsia="仿宋" w:cs="Times New Roman"/>
                <w:i w:val="0"/>
                <w:iCs w:val="0"/>
                <w:color w:val="auto"/>
                <w:kern w:val="0"/>
                <w:sz w:val="22"/>
                <w:szCs w:val="21"/>
                <w:highlight w:val="none"/>
                <w:u w:val="none"/>
                <w:lang w:val="en-US" w:eastAsia="zh-CN" w:bidi="ar"/>
              </w:rPr>
              <w:t>-0.65%</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7B248">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所得税前</w:t>
            </w:r>
          </w:p>
        </w:tc>
      </w:tr>
      <w:tr w14:paraId="2BF23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8892E">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13.5</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F3504">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项目投资财务净现值</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2D3A2">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EECD8">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default" w:ascii="仿宋" w:hAnsi="Times New Roman" w:eastAsia="仿宋" w:cs="Times New Roman"/>
                <w:i w:val="0"/>
                <w:iCs w:val="0"/>
                <w:color w:val="auto"/>
                <w:kern w:val="0"/>
                <w:sz w:val="22"/>
                <w:szCs w:val="21"/>
                <w:highlight w:val="none"/>
                <w:u w:val="none"/>
                <w:lang w:val="en-US" w:eastAsia="zh-CN" w:bidi="ar"/>
              </w:rPr>
              <w:t>-</w:t>
            </w:r>
            <w:r>
              <w:rPr>
                <w:rFonts w:hint="eastAsia" w:ascii="仿宋" w:eastAsia="仿宋" w:cs="Times New Roman"/>
                <w:i w:val="0"/>
                <w:iCs w:val="0"/>
                <w:color w:val="auto"/>
                <w:kern w:val="0"/>
                <w:sz w:val="22"/>
                <w:szCs w:val="21"/>
                <w:highlight w:val="none"/>
                <w:u w:val="none"/>
                <w:lang w:val="en-US" w:eastAsia="zh-CN" w:bidi="ar"/>
              </w:rPr>
              <w:t>9526.07</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DEE5E">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所得税前</w:t>
            </w:r>
          </w:p>
        </w:tc>
      </w:tr>
      <w:tr w14:paraId="1885E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5C979">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13.6</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1586A">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项目投资静态投资回收期</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D8376">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年</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D72F4">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eastAsia" w:ascii="仿宋" w:hAnsi="Times New Roman" w:eastAsia="仿宋" w:cs="Times New Roman"/>
                <w:i w:val="0"/>
                <w:iCs w:val="0"/>
                <w:color w:val="auto"/>
                <w:kern w:val="0"/>
                <w:sz w:val="22"/>
                <w:szCs w:val="21"/>
                <w:highlight w:val="none"/>
                <w:u w:val="none"/>
                <w:lang w:val="en-US" w:eastAsia="zh-CN" w:bidi="ar"/>
              </w:rPr>
              <w:t>-</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8749B">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所得税前</w:t>
            </w:r>
          </w:p>
        </w:tc>
      </w:tr>
      <w:tr w14:paraId="03D6E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600A4">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14</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BC74A">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项目资本金财务分析指标</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A7D97">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FB5D8">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18315">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p>
        </w:tc>
      </w:tr>
      <w:tr w14:paraId="1D23C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55961">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14.1</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54A90">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项目资本金财务内部收益率</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67E5D">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129A1">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eastAsia" w:ascii="仿宋" w:eastAsia="仿宋" w:cs="Times New Roman"/>
                <w:i w:val="0"/>
                <w:iCs w:val="0"/>
                <w:color w:val="auto"/>
                <w:kern w:val="0"/>
                <w:sz w:val="22"/>
                <w:szCs w:val="21"/>
                <w:highlight w:val="none"/>
                <w:u w:val="none"/>
                <w:lang w:val="en-US" w:eastAsia="zh-CN" w:bidi="ar"/>
              </w:rPr>
              <w:t>3.04%</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78620">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所得税后</w:t>
            </w:r>
          </w:p>
        </w:tc>
      </w:tr>
      <w:tr w14:paraId="1B79C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30DE7">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14.2</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5F5E3">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项目资本金财务净现值</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2838B">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ECAB0">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eastAsia" w:ascii="仿宋" w:eastAsia="仿宋" w:cs="Times New Roman"/>
                <w:i w:val="0"/>
                <w:iCs w:val="0"/>
                <w:color w:val="auto"/>
                <w:kern w:val="0"/>
                <w:sz w:val="22"/>
                <w:szCs w:val="21"/>
                <w:highlight w:val="none"/>
                <w:u w:val="none"/>
                <w:lang w:val="en-US" w:eastAsia="zh-CN" w:bidi="ar"/>
              </w:rPr>
              <w:t>624.93</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D9D25">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所得税后</w:t>
            </w:r>
          </w:p>
        </w:tc>
      </w:tr>
      <w:tr w14:paraId="1FA9C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737A5">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14.3</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D216A">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项目资本金静态回收期</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5509B">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年</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98887">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eastAsia" w:ascii="仿宋" w:eastAsia="仿宋" w:cs="Times New Roman"/>
                <w:i w:val="0"/>
                <w:iCs w:val="0"/>
                <w:color w:val="auto"/>
                <w:kern w:val="0"/>
                <w:sz w:val="22"/>
                <w:szCs w:val="21"/>
                <w:highlight w:val="none"/>
                <w:u w:val="none"/>
                <w:lang w:val="en-US" w:eastAsia="zh-CN" w:bidi="ar"/>
              </w:rPr>
              <w:t>27.89</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83663">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所得税后</w:t>
            </w:r>
          </w:p>
        </w:tc>
      </w:tr>
      <w:tr w14:paraId="4B4F0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5E801">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14.4</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40EAC">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项目资本金财务内部收益率</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AC924">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3D01C">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eastAsia" w:ascii="仿宋" w:eastAsia="仿宋" w:cs="Times New Roman"/>
                <w:i w:val="0"/>
                <w:iCs w:val="0"/>
                <w:color w:val="auto"/>
                <w:kern w:val="0"/>
                <w:sz w:val="22"/>
                <w:szCs w:val="21"/>
                <w:highlight w:val="none"/>
                <w:u w:val="none"/>
                <w:lang w:val="en-US" w:eastAsia="zh-CN" w:bidi="ar"/>
              </w:rPr>
              <w:t>3.04%</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A8B2A">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所得税前</w:t>
            </w:r>
          </w:p>
        </w:tc>
      </w:tr>
      <w:tr w14:paraId="65298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AC972">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14.5</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BDAFB">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项目资本金财务净现值</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06C1B">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B8309">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eastAsia" w:ascii="仿宋" w:eastAsia="仿宋" w:cs="Times New Roman"/>
                <w:i w:val="0"/>
                <w:iCs w:val="0"/>
                <w:color w:val="auto"/>
                <w:kern w:val="0"/>
                <w:sz w:val="22"/>
                <w:szCs w:val="21"/>
                <w:highlight w:val="none"/>
                <w:u w:val="none"/>
                <w:lang w:val="en-US" w:eastAsia="zh-CN" w:bidi="ar"/>
              </w:rPr>
              <w:t>626.65</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1B3D1">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所得税前</w:t>
            </w:r>
          </w:p>
        </w:tc>
      </w:tr>
      <w:tr w14:paraId="511A4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CB4AB">
            <w:pPr>
              <w:widowControl/>
              <w:snapToGrid w:val="0"/>
              <w:spacing w:line="240" w:lineRule="auto"/>
              <w:ind w:left="0" w:leftChars="0" w:right="0" w:rightChars="0"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14.6</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49B2C">
            <w:pPr>
              <w:widowControl/>
              <w:snapToGrid w:val="0"/>
              <w:spacing w:line="240" w:lineRule="auto"/>
              <w:ind w:left="0" w:leftChars="0" w:right="0" w:rightChars="0" w:firstLine="0" w:firstLineChars="0"/>
              <w:jc w:val="lef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项目资本金静态回收期</w:t>
            </w:r>
          </w:p>
        </w:tc>
        <w:tc>
          <w:tcPr>
            <w:tcW w:w="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76201">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年</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EFFE4">
            <w:pPr>
              <w:keepNext w:val="0"/>
              <w:keepLines w:val="0"/>
              <w:widowControl/>
              <w:suppressLineNumbers w:val="0"/>
              <w:snapToGrid w:val="0"/>
              <w:spacing w:line="240" w:lineRule="auto"/>
              <w:ind w:left="0" w:leftChars="0" w:right="0" w:rightChars="0" w:firstLine="0" w:firstLineChars="0"/>
              <w:jc w:val="right"/>
              <w:textAlignment w:val="center"/>
              <w:rPr>
                <w:rFonts w:hint="default" w:ascii="仿宋" w:hAnsi="Times New Roman" w:eastAsia="仿宋" w:cs="Times New Roman"/>
                <w:color w:val="auto"/>
                <w:kern w:val="0"/>
                <w:sz w:val="22"/>
                <w:szCs w:val="21"/>
                <w:highlight w:val="none"/>
                <w:u w:val="none"/>
                <w:lang w:val="en-US" w:eastAsia="zh-CN" w:bidi="ar"/>
              </w:rPr>
            </w:pPr>
            <w:r>
              <w:rPr>
                <w:rFonts w:hint="eastAsia" w:ascii="仿宋" w:eastAsia="仿宋" w:cs="Times New Roman"/>
                <w:i w:val="0"/>
                <w:iCs w:val="0"/>
                <w:color w:val="auto"/>
                <w:kern w:val="0"/>
                <w:sz w:val="22"/>
                <w:szCs w:val="21"/>
                <w:highlight w:val="none"/>
                <w:u w:val="none"/>
                <w:lang w:val="en-US" w:eastAsia="zh-CN" w:bidi="ar"/>
              </w:rPr>
              <w:t>27.88</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05BE9">
            <w:pPr>
              <w:widowControl/>
              <w:snapToGrid w:val="0"/>
              <w:spacing w:line="240" w:lineRule="auto"/>
              <w:ind w:left="0" w:leftChars="0" w:right="0" w:rightChars="0" w:firstLine="0" w:firstLineChars="0"/>
              <w:jc w:val="right"/>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所得税前</w:t>
            </w:r>
          </w:p>
        </w:tc>
      </w:tr>
    </w:tbl>
    <w:p w14:paraId="21C0623E">
      <w:pPr>
        <w:numPr>
          <w:ilvl w:val="0"/>
          <w:numId w:val="0"/>
        </w:numPr>
        <w:bidi w:val="0"/>
        <w:jc w:val="center"/>
        <w:rPr>
          <w:rFonts w:hint="eastAsia" w:ascii="仿宋" w:hAnsi="仿宋" w:eastAsia="仿宋"/>
          <w:b/>
          <w:bCs/>
          <w:color w:val="auto"/>
          <w:sz w:val="24"/>
          <w:szCs w:val="24"/>
          <w:lang w:val="en-US" w:eastAsia="zh-CN"/>
        </w:rPr>
      </w:pPr>
    </w:p>
    <w:bookmarkEnd w:id="108"/>
    <w:p w14:paraId="5CCAD220">
      <w:pPr>
        <w:pStyle w:val="4"/>
        <w:bidi w:val="0"/>
        <w:ind w:left="720" w:hanging="720"/>
        <w:rPr>
          <w:rFonts w:hint="eastAsia" w:ascii="仿宋" w:hAnsi="仿宋" w:eastAsia="仿宋"/>
          <w:color w:val="auto"/>
          <w:lang w:val="en-US" w:eastAsia="zh-CN"/>
        </w:rPr>
      </w:pPr>
      <w:bookmarkStart w:id="109" w:name="_Toc1896465215"/>
      <w:bookmarkStart w:id="110" w:name="_Toc20083"/>
      <w:r>
        <w:rPr>
          <w:rFonts w:hint="eastAsia" w:ascii="仿宋" w:hAnsi="仿宋" w:eastAsia="仿宋"/>
          <w:color w:val="auto"/>
          <w:lang w:val="en-US" w:eastAsia="zh-CN"/>
        </w:rPr>
        <w:t>偿债能力分析</w:t>
      </w:r>
    </w:p>
    <w:p w14:paraId="686CFDFF">
      <w:pPr>
        <w:bidi w:val="0"/>
        <w:rPr>
          <w:rFonts w:hint="eastAsia" w:ascii="仿宋" w:hAnsi="仿宋" w:eastAsia="仿宋"/>
          <w:color w:val="auto"/>
          <w:lang w:val="en-US" w:eastAsia="zh-CN"/>
        </w:rPr>
      </w:pPr>
      <w:r>
        <w:rPr>
          <w:rFonts w:hint="eastAsia" w:ascii="仿宋" w:hAnsi="仿宋" w:eastAsia="仿宋"/>
          <w:color w:val="auto"/>
          <w:lang w:val="en-US" w:eastAsia="zh-CN"/>
        </w:rPr>
        <w:t>项目总投资为22319.75万元；其中，项目资本金为5129.47万元，政府投资补助10490.28万元，银行贷款融资为6700.00万元。融资贷款的偿还方式假设为等额本息当年付息方式偿还，运营期贷款利率假设为2.5%，贷款宽限期为1年，偿还期为24年。偿还借款的资金来源是以息税前利润、固定资产折旧、无形及其他资产摊销以及项目公司其他经营性和非经营性收益。项目偿债备付率为</w:t>
      </w:r>
      <w:r>
        <w:rPr>
          <w:rFonts w:hint="eastAsia" w:ascii="仿宋" w:hAnsi="仿宋" w:eastAsia="仿宋"/>
          <w:color w:val="auto"/>
          <w:highlight w:val="none"/>
          <w:lang w:val="en-US" w:eastAsia="zh-CN"/>
        </w:rPr>
        <w:t>1.2</w:t>
      </w:r>
      <w:r>
        <w:rPr>
          <w:rFonts w:hint="eastAsia" w:ascii="仿宋" w:hAnsi="仿宋" w:eastAsia="仿宋"/>
          <w:color w:val="auto"/>
          <w:lang w:val="en-US" w:eastAsia="zh-CN"/>
        </w:rPr>
        <w:t>，项目具备偿债能力。</w:t>
      </w:r>
    </w:p>
    <w:p w14:paraId="2329691B">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不确定性分析</w:t>
      </w:r>
      <w:bookmarkEnd w:id="109"/>
      <w:bookmarkEnd w:id="110"/>
    </w:p>
    <w:p w14:paraId="63C77249">
      <w:pPr>
        <w:numPr>
          <w:ilvl w:val="0"/>
          <w:numId w:val="54"/>
        </w:numPr>
        <w:bidi w:val="0"/>
        <w:rPr>
          <w:rFonts w:hint="eastAsia" w:ascii="仿宋" w:hAnsi="仿宋" w:eastAsia="仿宋"/>
          <w:color w:val="auto"/>
          <w:lang w:val="en-US" w:eastAsia="zh-CN"/>
        </w:rPr>
      </w:pPr>
      <w:r>
        <w:rPr>
          <w:rFonts w:hint="eastAsia" w:ascii="仿宋" w:hAnsi="仿宋" w:eastAsia="仿宋"/>
          <w:color w:val="auto"/>
          <w:lang w:val="en-US" w:eastAsia="zh-CN"/>
        </w:rPr>
        <w:t>敏感性分析</w:t>
      </w:r>
    </w:p>
    <w:p w14:paraId="757ECA3A">
      <w:pPr>
        <w:bidi w:val="0"/>
        <w:rPr>
          <w:rFonts w:hint="eastAsia" w:ascii="仿宋" w:hAnsi="仿宋" w:eastAsia="仿宋"/>
          <w:color w:val="auto"/>
          <w:lang w:val="en-US" w:eastAsia="zh-CN"/>
        </w:rPr>
      </w:pPr>
      <w:r>
        <w:rPr>
          <w:rFonts w:hint="eastAsia" w:ascii="仿宋" w:hAnsi="仿宋" w:eastAsia="仿宋"/>
          <w:color w:val="auto"/>
          <w:lang w:val="en-US" w:eastAsia="zh-CN"/>
        </w:rPr>
        <w:t>考虑项目实施过程中一些不定因素的变化，分别对项目建设投资、营业收入、经营成本变化作了提高5%、10%、15%和降低5%、10%、15%的单因素变化对财务内部收益率的敏感性分析，其中对营业收入的提高或降低影响最为敏感，项目建设运营过程中应重点关注项目的运营情况。</w:t>
      </w:r>
    </w:p>
    <w:p w14:paraId="27EE83CF">
      <w:pPr>
        <w:numPr>
          <w:ilvl w:val="0"/>
          <w:numId w:val="0"/>
        </w:numPr>
        <w:bidi w:val="0"/>
        <w:jc w:val="center"/>
        <w:rPr>
          <w:rFonts w:hint="eastAsia" w:ascii="仿宋" w:hAnsi="仿宋" w:eastAsia="仿宋"/>
          <w:b/>
          <w:bCs/>
          <w:color w:val="auto"/>
          <w:sz w:val="24"/>
          <w:szCs w:val="24"/>
          <w:lang w:val="en-US" w:eastAsia="zh-CN"/>
        </w:rPr>
      </w:pPr>
      <w:r>
        <w:rPr>
          <w:rFonts w:hint="eastAsia" w:ascii="仿宋" w:hAnsi="仿宋" w:eastAsia="仿宋"/>
          <w:b/>
          <w:bCs/>
          <w:color w:val="auto"/>
          <w:sz w:val="24"/>
          <w:szCs w:val="24"/>
          <w:lang w:val="en-US" w:eastAsia="zh-CN"/>
        </w:rPr>
        <w:t>表3-7敏感性分析表</w:t>
      </w:r>
    </w:p>
    <w:tbl>
      <w:tblPr>
        <w:tblStyle w:val="31"/>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7"/>
        <w:gridCol w:w="1346"/>
        <w:gridCol w:w="895"/>
        <w:gridCol w:w="1852"/>
        <w:gridCol w:w="1389"/>
        <w:gridCol w:w="1389"/>
        <w:gridCol w:w="942"/>
      </w:tblGrid>
      <w:tr w14:paraId="04864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B443B">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序号</w:t>
            </w:r>
          </w:p>
        </w:tc>
        <w:tc>
          <w:tcPr>
            <w:tcW w:w="8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53065">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分析因素</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59D0A">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变化率（%）</w:t>
            </w:r>
          </w:p>
        </w:tc>
        <w:tc>
          <w:tcPr>
            <w:tcW w:w="11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7B46B">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资本金财务内部收益率（税前）</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76700">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敏感度系数</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AAA4B">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敏感性排序</w:t>
            </w: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E3295">
            <w:pPr>
              <w:widowControl/>
              <w:spacing w:line="300" w:lineRule="exact"/>
              <w:ind w:firstLine="0" w:firstLineChars="0"/>
              <w:jc w:val="center"/>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临界值</w:t>
            </w:r>
          </w:p>
        </w:tc>
      </w:tr>
      <w:tr w14:paraId="307D3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8CAB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8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9A9B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基准指标</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71EF4">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0</w:t>
            </w:r>
          </w:p>
        </w:tc>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C19F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3.04%</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9BCC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55F3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CB89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5E0A3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9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D7FC4">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w:t>
            </w:r>
          </w:p>
        </w:tc>
        <w:tc>
          <w:tcPr>
            <w:tcW w:w="8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3FCD1">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营业收入</w:t>
            </w:r>
            <w:r>
              <w:rPr>
                <w:rFonts w:hint="eastAsia" w:ascii="仿宋" w:hAnsi="仿宋" w:eastAsia="仿宋" w:cs="仿宋"/>
                <w:color w:val="auto"/>
                <w:sz w:val="22"/>
                <w:szCs w:val="22"/>
                <w:highlight w:val="none"/>
                <w:lang w:val="en-US" w:eastAsia="zh-CN"/>
              </w:rPr>
              <w:br w:type="textWrapping"/>
            </w:r>
            <w:r>
              <w:rPr>
                <w:rFonts w:hint="eastAsia" w:ascii="仿宋" w:hAnsi="仿宋" w:eastAsia="仿宋" w:cs="仿宋"/>
                <w:color w:val="auto"/>
                <w:sz w:val="22"/>
                <w:szCs w:val="22"/>
                <w:highlight w:val="none"/>
                <w:lang w:val="en-US" w:eastAsia="zh-CN"/>
              </w:rPr>
              <w:t>（+增-降）</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F79C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15</w:t>
            </w:r>
          </w:p>
        </w:tc>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368B4">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5.17%</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A3C28">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 xml:space="preserve">4.66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A052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6EBA3">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5B5FE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4BF2D">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8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14C95">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2B2F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10</w:t>
            </w:r>
          </w:p>
        </w:tc>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EEF7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4.47%</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2F7A8">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 xml:space="preserve">4.69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E8FC8">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C9D9A">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790A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C4B7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8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2E62E">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7022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w:t>
            </w:r>
          </w:p>
        </w:tc>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1BD4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3.76%</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C8FBE">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 xml:space="preserve">4.70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B0F3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1B5C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419AA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4CFCA">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8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7DA64">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91514">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w:t>
            </w:r>
          </w:p>
        </w:tc>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539DE">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2.29%</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C89BD">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 xml:space="preserve">4.98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E1D6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3</w:t>
            </w: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E3995">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7D326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84E43">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8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E8A2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9188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-10</w:t>
            </w:r>
          </w:p>
        </w:tc>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419A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1.51%</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A201B">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 xml:space="preserve">5.02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4A91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2</w:t>
            </w: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ACE3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3B96B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5F6F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8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39CD4">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3013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-15</w:t>
            </w:r>
          </w:p>
        </w:tc>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53B9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0.71%</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FE0FA">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 xml:space="preserve">5.11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2A2D5">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1</w:t>
            </w: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B50D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734F9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9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C2C94">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2</w:t>
            </w:r>
          </w:p>
        </w:tc>
        <w:tc>
          <w:tcPr>
            <w:tcW w:w="8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DF7C9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建设投资</w:t>
            </w:r>
            <w:r>
              <w:rPr>
                <w:rFonts w:hint="eastAsia" w:ascii="仿宋" w:hAnsi="仿宋" w:eastAsia="仿宋" w:cs="仿宋"/>
                <w:color w:val="auto"/>
                <w:sz w:val="22"/>
                <w:szCs w:val="22"/>
                <w:highlight w:val="none"/>
                <w:lang w:val="en-US" w:eastAsia="zh-CN"/>
              </w:rPr>
              <w:br w:type="textWrapping"/>
            </w:r>
            <w:r>
              <w:rPr>
                <w:rFonts w:hint="eastAsia" w:ascii="仿宋" w:hAnsi="仿宋" w:eastAsia="仿宋" w:cs="仿宋"/>
                <w:color w:val="auto"/>
                <w:sz w:val="22"/>
                <w:szCs w:val="22"/>
                <w:highlight w:val="none"/>
                <w:lang w:val="en-US" w:eastAsia="zh-CN"/>
              </w:rPr>
              <w:t>（+增-降）</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02AA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15</w:t>
            </w:r>
          </w:p>
        </w:tc>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439CD">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1.45%</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A17EB">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 xml:space="preserve">3.49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C179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A5E6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512DF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7569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8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F721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8D86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10</w:t>
            </w:r>
          </w:p>
        </w:tc>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0014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1.92%</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05DAB">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 xml:space="preserve">3.71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CC45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3B04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1E43A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2565B">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8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6F18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0CC2D">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w:t>
            </w:r>
          </w:p>
        </w:tc>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F7DE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2.44%</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39AA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 xml:space="preserve">3.99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DBA3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DA3B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37882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FB271">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8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77B2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A9B28">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w:t>
            </w:r>
          </w:p>
        </w:tc>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AA86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3.73%</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7299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 xml:space="preserve">4.49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2770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9A5A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3E2CE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6BE8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8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6BAA1">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42B31">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-10</w:t>
            </w:r>
          </w:p>
        </w:tc>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1F48E">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4.56%</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B455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 xml:space="preserve">4.98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61E6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D657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0ED4B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70FB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8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42F2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86675">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-15</w:t>
            </w:r>
          </w:p>
        </w:tc>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5591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5.59%</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AEBF5">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 xml:space="preserve">5.59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D73A4">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EBFA1">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4AA65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9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42A0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3</w:t>
            </w:r>
          </w:p>
        </w:tc>
        <w:tc>
          <w:tcPr>
            <w:tcW w:w="8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A596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运营成本</w:t>
            </w:r>
            <w:r>
              <w:rPr>
                <w:rFonts w:hint="eastAsia" w:ascii="仿宋" w:hAnsi="仿宋" w:eastAsia="仿宋" w:cs="仿宋"/>
                <w:color w:val="auto"/>
                <w:sz w:val="22"/>
                <w:szCs w:val="22"/>
                <w:highlight w:val="none"/>
                <w:lang w:val="en-US" w:eastAsia="zh-CN"/>
              </w:rPr>
              <w:br w:type="textWrapping"/>
            </w:r>
            <w:r>
              <w:rPr>
                <w:rFonts w:hint="eastAsia" w:ascii="仿宋" w:hAnsi="仿宋" w:eastAsia="仿宋" w:cs="仿宋"/>
                <w:color w:val="auto"/>
                <w:sz w:val="22"/>
                <w:szCs w:val="22"/>
                <w:highlight w:val="none"/>
                <w:lang w:val="en-US" w:eastAsia="zh-CN"/>
              </w:rPr>
              <w:t>（+增-降）</w:t>
            </w: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4CC08">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15</w:t>
            </w:r>
          </w:p>
        </w:tc>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EC46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2.37%</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C4C18">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 xml:space="preserve">1.47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5BE2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F0734">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4A3AA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AF544">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8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BC25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9D7F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10</w:t>
            </w:r>
          </w:p>
        </w:tc>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665E5">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2.60%</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4BF13">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 xml:space="preserve">1.47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704E4">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13DFD">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5330F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92CAA">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8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C579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8B776">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w:t>
            </w:r>
          </w:p>
        </w:tc>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17BD2">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2.82%</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C14D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 xml:space="preserve">1.50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5AADA">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2D37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2BEEE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A3888">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8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3B6BB">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71FA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-5</w:t>
            </w:r>
          </w:p>
        </w:tc>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0913B">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3.25%</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25C34">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 xml:space="preserve">1.34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7FB65">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F304A">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1A0C5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1828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8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9C077">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7CCBC">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-10</w:t>
            </w:r>
          </w:p>
        </w:tc>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51108">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3.46%</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38FA8">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 xml:space="preserve">1.37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FEDE9">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43CD3">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r w14:paraId="0F7E6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E4171">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8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EAD2A">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F19A0">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-15</w:t>
            </w:r>
          </w:p>
        </w:tc>
        <w:tc>
          <w:tcPr>
            <w:tcW w:w="1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A448F">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3.67%</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47554">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 xml:space="preserve">1.37 </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1339E">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11753">
            <w:pPr>
              <w:widowControl/>
              <w:spacing w:line="300" w:lineRule="exact"/>
              <w:ind w:firstLine="0" w:firstLineChars="0"/>
              <w:jc w:val="center"/>
              <w:rPr>
                <w:rFonts w:hint="eastAsia" w:ascii="仿宋" w:hAnsi="仿宋" w:eastAsia="仿宋" w:cs="仿宋"/>
                <w:color w:val="auto"/>
                <w:sz w:val="22"/>
                <w:szCs w:val="22"/>
                <w:highlight w:val="none"/>
                <w:lang w:val="en-US" w:eastAsia="zh-CN"/>
              </w:rPr>
            </w:pPr>
          </w:p>
        </w:tc>
      </w:tr>
    </w:tbl>
    <w:p w14:paraId="416CD596">
      <w:pPr>
        <w:numPr>
          <w:ilvl w:val="0"/>
          <w:numId w:val="54"/>
        </w:numPr>
        <w:bidi w:val="0"/>
        <w:rPr>
          <w:rFonts w:hint="eastAsia" w:ascii="仿宋" w:hAnsi="仿宋" w:eastAsia="仿宋"/>
          <w:color w:val="auto"/>
          <w:lang w:val="en-US" w:eastAsia="zh-CN"/>
        </w:rPr>
      </w:pPr>
      <w:r>
        <w:rPr>
          <w:rFonts w:hint="eastAsia" w:ascii="仿宋" w:hAnsi="仿宋" w:eastAsia="仿宋"/>
          <w:color w:val="auto"/>
          <w:lang w:val="en-US" w:eastAsia="zh-CN"/>
        </w:rPr>
        <w:t>盈亏平衡点分析</w:t>
      </w:r>
    </w:p>
    <w:p w14:paraId="2F9DB918">
      <w:pPr>
        <w:bidi w:val="0"/>
        <w:rPr>
          <w:rFonts w:hint="eastAsia" w:ascii="仿宋" w:hAnsi="仿宋" w:eastAsia="仿宋"/>
          <w:color w:val="auto"/>
          <w:lang w:val="en-US" w:eastAsia="zh-CN"/>
        </w:rPr>
      </w:pPr>
      <w:r>
        <w:rPr>
          <w:rFonts w:hint="eastAsia" w:ascii="仿宋" w:hAnsi="仿宋" w:eastAsia="仿宋"/>
          <w:color w:val="auto"/>
          <w:lang w:val="en-US" w:eastAsia="zh-CN"/>
        </w:rPr>
        <w:t>以营业能力利用率表示的盈亏平衡点（BEP），其计算公式为：</w:t>
      </w:r>
    </w:p>
    <w:p w14:paraId="77E289D7">
      <w:pPr>
        <w:bidi w:val="0"/>
        <w:rPr>
          <w:rFonts w:hint="eastAsia" w:ascii="仿宋" w:hAnsi="仿宋" w:eastAsia="仿宋"/>
          <w:color w:val="auto"/>
          <w:lang w:val="en-US" w:eastAsia="zh-CN"/>
        </w:rPr>
      </w:pPr>
      <w:r>
        <w:rPr>
          <w:rFonts w:hint="eastAsia" w:ascii="仿宋" w:hAnsi="仿宋" w:eastAsia="仿宋"/>
          <w:color w:val="auto"/>
          <w:lang w:val="en-US" w:eastAsia="zh-CN"/>
        </w:rPr>
        <w:t>BEP=年固定成本/（年收入-年可变成本-年营业税金及附加）×100%=114.92%。</w:t>
      </w:r>
    </w:p>
    <w:p w14:paraId="3189F757">
      <w:pPr>
        <w:bidi w:val="0"/>
        <w:rPr>
          <w:rFonts w:hint="eastAsia" w:ascii="仿宋" w:hAnsi="仿宋" w:eastAsia="仿宋"/>
          <w:color w:val="auto"/>
          <w:lang w:val="en-US" w:eastAsia="zh-CN"/>
        </w:rPr>
      </w:pPr>
      <w:r>
        <w:rPr>
          <w:rFonts w:hint="eastAsia" w:ascii="仿宋" w:hAnsi="仿宋" w:eastAsia="仿宋"/>
          <w:color w:val="auto"/>
          <w:lang w:val="en-US" w:eastAsia="zh-CN"/>
        </w:rPr>
        <w:t>该指标说明，本项目如仅靠使用者付费，较难实现盈亏平衡。如项目可以在建设期获取政府投资补助支持，则项目可以实现微利。</w:t>
      </w:r>
    </w:p>
    <w:p w14:paraId="70656076">
      <w:pPr>
        <w:pStyle w:val="3"/>
        <w:bidi w:val="0"/>
        <w:ind w:left="575" w:hanging="575"/>
        <w:rPr>
          <w:rFonts w:hint="eastAsia" w:ascii="仿宋" w:hAnsi="仿宋" w:eastAsia="仿宋" w:cs="仿宋"/>
          <w:color w:val="auto"/>
          <w:highlight w:val="none"/>
          <w:lang w:val="en-US" w:eastAsia="zh-CN"/>
        </w:rPr>
      </w:pPr>
      <w:bookmarkStart w:id="111" w:name="_Toc14929"/>
      <w:bookmarkStart w:id="112" w:name="_Toc3"/>
      <w:bookmarkStart w:id="113" w:name="_Toc11558"/>
      <w:bookmarkStart w:id="114" w:name="_Toc31942"/>
      <w:r>
        <w:rPr>
          <w:rFonts w:hint="eastAsia" w:ascii="仿宋" w:hAnsi="仿宋" w:eastAsia="仿宋" w:cs="仿宋"/>
          <w:color w:val="auto"/>
          <w:highlight w:val="none"/>
          <w:lang w:val="en-US" w:eastAsia="zh-CN"/>
        </w:rPr>
        <w:t>比较优势分析</w:t>
      </w:r>
      <w:bookmarkEnd w:id="111"/>
      <w:bookmarkEnd w:id="112"/>
      <w:bookmarkEnd w:id="113"/>
      <w:bookmarkEnd w:id="114"/>
    </w:p>
    <w:p w14:paraId="19A9DE4E">
      <w:pPr>
        <w:bidi w:val="0"/>
        <w:rPr>
          <w:rFonts w:hint="eastAsia" w:ascii="仿宋" w:hAnsi="仿宋" w:eastAsia="仿宋"/>
          <w:color w:val="auto"/>
        </w:rPr>
      </w:pPr>
      <w:r>
        <w:rPr>
          <w:rFonts w:hint="eastAsia" w:ascii="仿宋" w:hAnsi="仿宋" w:eastAsia="仿宋"/>
          <w:color w:val="auto"/>
          <w:lang w:val="en-US" w:eastAsia="zh-CN"/>
        </w:rPr>
        <w:t>采用特许经营模式，是政府资源与社会资本优势互补的高效运作方式，相较于全部由政府投资建设运营的传统模式，在资金筹措、运营效率、风险分担、公共服务质量等方面具备显著比较优势。</w:t>
      </w:r>
    </w:p>
    <w:p w14:paraId="718D69C6">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项目全生命周期成本对比</w:t>
      </w:r>
    </w:p>
    <w:p w14:paraId="3672B7B8">
      <w:pPr>
        <w:numPr>
          <w:ilvl w:val="0"/>
          <w:numId w:val="55"/>
        </w:numPr>
        <w:ind w:left="0" w:leftChars="0"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对比基础与前提</w:t>
      </w:r>
    </w:p>
    <w:p w14:paraId="47908652">
      <w:pPr>
        <w:keepNext w:val="0"/>
        <w:keepLines w:val="0"/>
        <w:pageBreakBefore w:val="0"/>
        <w:widowControl w:val="0"/>
        <w:numPr>
          <w:ilvl w:val="0"/>
          <w:numId w:val="56"/>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对比范围：本项目全生命周期，涵盖投资、建设、运营、维护、移交全流程，两种模式的项目建设标准、服务质量要求、功能定位保持一致。</w:t>
      </w:r>
    </w:p>
    <w:p w14:paraId="1417312B">
      <w:pPr>
        <w:keepNext w:val="0"/>
        <w:keepLines w:val="0"/>
        <w:pageBreakBefore w:val="0"/>
        <w:widowControl w:val="0"/>
        <w:numPr>
          <w:ilvl w:val="0"/>
          <w:numId w:val="56"/>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成本口径：均包含初始投资成本、建设成本、运营维护成本、移交成本、资金成本及隐性成本（如管理成本、风险成本、效率成本等），剔除与项目模式无关的个性化支出。</w:t>
      </w:r>
    </w:p>
    <w:p w14:paraId="2FAE1B4C">
      <w:pPr>
        <w:keepNext w:val="0"/>
        <w:keepLines w:val="0"/>
        <w:pageBreakBefore w:val="0"/>
        <w:widowControl w:val="0"/>
        <w:numPr>
          <w:ilvl w:val="0"/>
          <w:numId w:val="56"/>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核心假设：两种模式下，项目建设周期、运营服务标准、资产使用寿命、移交要求保持统一。</w:t>
      </w:r>
    </w:p>
    <w:p w14:paraId="5DD37A7F">
      <w:pPr>
        <w:numPr>
          <w:ilvl w:val="0"/>
          <w:numId w:val="55"/>
        </w:numPr>
        <w:ind w:left="0" w:leftChars="0"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全生命周期成本构成对比</w:t>
      </w:r>
    </w:p>
    <w:p w14:paraId="032B5761">
      <w:pPr>
        <w:keepNext w:val="0"/>
        <w:keepLines w:val="0"/>
        <w:pageBreakBefore w:val="0"/>
        <w:widowControl w:val="0"/>
        <w:numPr>
          <w:ilvl w:val="0"/>
          <w:numId w:val="0"/>
        </w:numPr>
        <w:kinsoku/>
        <w:wordWrap/>
        <w:overflowPunct/>
        <w:topLinePunct w:val="0"/>
        <w:autoSpaceDE/>
        <w:autoSpaceDN/>
        <w:bidi w:val="0"/>
        <w:adjustRightInd/>
        <w:snapToGrid w:val="0"/>
        <w:ind w:left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项目全生命周期成本构成对比详见下表。</w:t>
      </w:r>
    </w:p>
    <w:p w14:paraId="1BB66B38">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表3-8 全生命周期成本对比</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156"/>
        <w:gridCol w:w="2374"/>
        <w:gridCol w:w="2374"/>
        <w:gridCol w:w="2376"/>
      </w:tblGrid>
      <w:tr w14:paraId="4E607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blHeader/>
        </w:trPr>
        <w:tc>
          <w:tcPr>
            <w:tcW w:w="1156" w:type="dxa"/>
            <w:tcMar>
              <w:top w:w="60" w:type="dxa"/>
              <w:left w:w="120" w:type="dxa"/>
              <w:bottom w:w="30" w:type="dxa"/>
              <w:right w:w="120" w:type="dxa"/>
            </w:tcMar>
            <w:vAlign w:val="center"/>
          </w:tcPr>
          <w:p w14:paraId="1F793C65">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成本类别</w:t>
            </w:r>
          </w:p>
        </w:tc>
        <w:tc>
          <w:tcPr>
            <w:tcW w:w="2374" w:type="dxa"/>
            <w:tcMar>
              <w:top w:w="60" w:type="dxa"/>
              <w:left w:w="120" w:type="dxa"/>
              <w:bottom w:w="30" w:type="dxa"/>
              <w:right w:w="120" w:type="dxa"/>
            </w:tcMar>
            <w:vAlign w:val="center"/>
          </w:tcPr>
          <w:p w14:paraId="7B608811">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特许经营模式</w:t>
            </w:r>
          </w:p>
        </w:tc>
        <w:tc>
          <w:tcPr>
            <w:tcW w:w="2374" w:type="dxa"/>
            <w:tcMar>
              <w:top w:w="60" w:type="dxa"/>
              <w:left w:w="120" w:type="dxa"/>
              <w:bottom w:w="30" w:type="dxa"/>
              <w:right w:w="120" w:type="dxa"/>
            </w:tcMar>
            <w:vAlign w:val="center"/>
          </w:tcPr>
          <w:p w14:paraId="7B854F61">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传统政府投资模式</w:t>
            </w:r>
          </w:p>
        </w:tc>
        <w:tc>
          <w:tcPr>
            <w:tcW w:w="2376" w:type="dxa"/>
            <w:tcMar>
              <w:top w:w="60" w:type="dxa"/>
              <w:left w:w="120" w:type="dxa"/>
              <w:bottom w:w="30" w:type="dxa"/>
              <w:right w:w="120" w:type="dxa"/>
            </w:tcMar>
            <w:vAlign w:val="center"/>
          </w:tcPr>
          <w:p w14:paraId="47E1C3E9">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核心差异说明</w:t>
            </w:r>
          </w:p>
        </w:tc>
      </w:tr>
      <w:tr w14:paraId="05979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1156" w:type="dxa"/>
            <w:tcMar>
              <w:top w:w="60" w:type="dxa"/>
              <w:left w:w="120" w:type="dxa"/>
              <w:bottom w:w="30" w:type="dxa"/>
              <w:right w:w="120" w:type="dxa"/>
            </w:tcMar>
            <w:vAlign w:val="center"/>
          </w:tcPr>
          <w:p w14:paraId="3F303A0C">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初始投资成本</w:t>
            </w:r>
          </w:p>
        </w:tc>
        <w:tc>
          <w:tcPr>
            <w:tcW w:w="2374" w:type="dxa"/>
            <w:tcMar>
              <w:top w:w="60" w:type="dxa"/>
              <w:left w:w="120" w:type="dxa"/>
              <w:bottom w:w="30" w:type="dxa"/>
              <w:right w:w="120" w:type="dxa"/>
            </w:tcMar>
            <w:vAlign w:val="center"/>
          </w:tcPr>
          <w:p w14:paraId="0206B91A">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由特许经营者（或项目公司）自筹解决，包括项目前期咨询、规划设计、审批等相关费用，成本控制由特许经营者自主负责，注重成本与效益平衡。</w:t>
            </w:r>
          </w:p>
        </w:tc>
        <w:tc>
          <w:tcPr>
            <w:tcW w:w="2374" w:type="dxa"/>
            <w:tcMar>
              <w:top w:w="60" w:type="dxa"/>
              <w:left w:w="120" w:type="dxa"/>
              <w:bottom w:w="30" w:type="dxa"/>
              <w:right w:w="120" w:type="dxa"/>
            </w:tcMar>
            <w:vAlign w:val="center"/>
          </w:tcPr>
          <w:p w14:paraId="1181DC25">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由政府财政全额承担，包括前期咨询、规划设计、审批等费用，资金来源于财政拨款，成本控制依赖政府部门监管，易出现预算超支风险。</w:t>
            </w:r>
          </w:p>
        </w:tc>
        <w:tc>
          <w:tcPr>
            <w:tcW w:w="2376" w:type="dxa"/>
            <w:tcMar>
              <w:top w:w="60" w:type="dxa"/>
              <w:left w:w="120" w:type="dxa"/>
              <w:bottom w:w="30" w:type="dxa"/>
              <w:right w:w="120" w:type="dxa"/>
            </w:tcMar>
            <w:vAlign w:val="center"/>
          </w:tcPr>
          <w:p w14:paraId="4D8F54C1">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特许经营模式无需政府当期投入大量财政资金，缓解政府财政压力；政府投资模式占用当期财政预算，可能挤压其他公共服务项目资金。</w:t>
            </w:r>
          </w:p>
        </w:tc>
      </w:tr>
      <w:tr w14:paraId="140B7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1156" w:type="dxa"/>
            <w:tcMar>
              <w:top w:w="60" w:type="dxa"/>
              <w:left w:w="120" w:type="dxa"/>
              <w:bottom w:w="30" w:type="dxa"/>
              <w:right w:w="120" w:type="dxa"/>
            </w:tcMar>
            <w:vAlign w:val="center"/>
          </w:tcPr>
          <w:p w14:paraId="514720A5">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建设成本</w:t>
            </w:r>
          </w:p>
        </w:tc>
        <w:tc>
          <w:tcPr>
            <w:tcW w:w="2374" w:type="dxa"/>
            <w:tcMar>
              <w:top w:w="60" w:type="dxa"/>
              <w:left w:w="120" w:type="dxa"/>
              <w:bottom w:w="30" w:type="dxa"/>
              <w:right w:w="120" w:type="dxa"/>
            </w:tcMar>
            <w:vAlign w:val="center"/>
          </w:tcPr>
          <w:p w14:paraId="680649A6">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由特许经营者（或项目公司）负责筹措资金并组织建设，通过市场化竞争选择施工单位、设备供应商，严格控制建设成本、工期及质量，承担建设阶段各类风险，成本管控效率高。</w:t>
            </w:r>
          </w:p>
        </w:tc>
        <w:tc>
          <w:tcPr>
            <w:tcW w:w="2374" w:type="dxa"/>
            <w:tcMar>
              <w:top w:w="60" w:type="dxa"/>
              <w:left w:w="120" w:type="dxa"/>
              <w:bottom w:w="30" w:type="dxa"/>
              <w:right w:w="120" w:type="dxa"/>
            </w:tcMar>
            <w:vAlign w:val="center"/>
          </w:tcPr>
          <w:p w14:paraId="6D1618EE">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由政府部门组织建设，通过政府采购选择施工单位，建设成本由财政拨款支付，存在预算编制不合理、施工过程中变更较多、成本管控效率偏低等问题，易出现超预算、超工期情况。</w:t>
            </w:r>
          </w:p>
        </w:tc>
        <w:tc>
          <w:tcPr>
            <w:tcW w:w="2376" w:type="dxa"/>
            <w:tcMar>
              <w:top w:w="60" w:type="dxa"/>
              <w:left w:w="120" w:type="dxa"/>
              <w:bottom w:w="30" w:type="dxa"/>
              <w:right w:w="120" w:type="dxa"/>
            </w:tcMar>
            <w:vAlign w:val="center"/>
          </w:tcPr>
          <w:p w14:paraId="371BB465">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特许经营模式依托市场化机制，建设成本管控更严格，可有效降低超预算风险；传统模式受行政流程限制，成本管控灵活性不足。</w:t>
            </w:r>
          </w:p>
        </w:tc>
      </w:tr>
      <w:tr w14:paraId="0F3CB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1156" w:type="dxa"/>
            <w:tcMar>
              <w:top w:w="60" w:type="dxa"/>
              <w:left w:w="120" w:type="dxa"/>
              <w:bottom w:w="30" w:type="dxa"/>
              <w:right w:w="120" w:type="dxa"/>
            </w:tcMar>
            <w:vAlign w:val="center"/>
          </w:tcPr>
          <w:p w14:paraId="27D0AE54">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运营维护成本</w:t>
            </w:r>
          </w:p>
        </w:tc>
        <w:tc>
          <w:tcPr>
            <w:tcW w:w="2374" w:type="dxa"/>
            <w:tcMar>
              <w:top w:w="60" w:type="dxa"/>
              <w:left w:w="120" w:type="dxa"/>
              <w:bottom w:w="30" w:type="dxa"/>
              <w:right w:w="120" w:type="dxa"/>
            </w:tcMar>
            <w:vAlign w:val="center"/>
          </w:tcPr>
          <w:p w14:paraId="4FE820F9">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由特许经营者（或项目公司）全额承担，包括人工成本、设备维护、能耗、安保、清洁、税费等日常运营支出；为保障运营效益，特许经营者会通过技术优化、管理提升降低运营维护成本，注重运营效率与成本平衡。</w:t>
            </w:r>
          </w:p>
        </w:tc>
        <w:tc>
          <w:tcPr>
            <w:tcW w:w="2374" w:type="dxa"/>
            <w:tcMar>
              <w:top w:w="60" w:type="dxa"/>
              <w:left w:w="120" w:type="dxa"/>
              <w:bottom w:w="30" w:type="dxa"/>
              <w:right w:w="120" w:type="dxa"/>
            </w:tcMar>
            <w:vAlign w:val="center"/>
          </w:tcPr>
          <w:p w14:paraId="1563EAD9">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由政府财政逐年承担，运营维护资金需每年纳入财政预算，人工、设备维护等成本由政府部门核定，缺乏市场化激励机制，运营效率偏低，成本控制主动性不足，易出现浪费现象。</w:t>
            </w:r>
          </w:p>
        </w:tc>
        <w:tc>
          <w:tcPr>
            <w:tcW w:w="2376" w:type="dxa"/>
            <w:tcMar>
              <w:top w:w="60" w:type="dxa"/>
              <w:left w:w="120" w:type="dxa"/>
              <w:bottom w:w="30" w:type="dxa"/>
              <w:right w:w="120" w:type="dxa"/>
            </w:tcMar>
            <w:vAlign w:val="center"/>
          </w:tcPr>
          <w:p w14:paraId="6B9CEFB7">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特许经营模式通过市场化激励，运营维护成本更可控，效率更高；传统模式运营成本依赖财政拨款，缺乏成本控制动力，长期运营成本偏高。</w:t>
            </w:r>
          </w:p>
        </w:tc>
      </w:tr>
      <w:tr w14:paraId="0D9BA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1156" w:type="dxa"/>
            <w:tcMar>
              <w:top w:w="60" w:type="dxa"/>
              <w:left w:w="120" w:type="dxa"/>
              <w:bottom w:w="30" w:type="dxa"/>
              <w:right w:w="120" w:type="dxa"/>
            </w:tcMar>
            <w:vAlign w:val="center"/>
          </w:tcPr>
          <w:p w14:paraId="6E843522">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资金成本</w:t>
            </w:r>
          </w:p>
        </w:tc>
        <w:tc>
          <w:tcPr>
            <w:tcW w:w="2374" w:type="dxa"/>
            <w:tcMar>
              <w:top w:w="60" w:type="dxa"/>
              <w:left w:w="120" w:type="dxa"/>
              <w:bottom w:w="30" w:type="dxa"/>
              <w:right w:w="120" w:type="dxa"/>
            </w:tcMar>
            <w:vAlign w:val="center"/>
          </w:tcPr>
          <w:p w14:paraId="2659F97E">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由特许经营者（或项目公司）承担，包括融资利息、资金占用费等，特许经营者会通过优化融资方案、提高资金使用效率，降低资金成本；政府不承担任何融资风险及资金成本。</w:t>
            </w:r>
          </w:p>
        </w:tc>
        <w:tc>
          <w:tcPr>
            <w:tcW w:w="2374" w:type="dxa"/>
            <w:tcMar>
              <w:top w:w="60" w:type="dxa"/>
              <w:left w:w="120" w:type="dxa"/>
              <w:bottom w:w="30" w:type="dxa"/>
              <w:right w:w="120" w:type="dxa"/>
            </w:tcMar>
            <w:vAlign w:val="center"/>
          </w:tcPr>
          <w:p w14:paraId="213B4CED">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由政府承担，资金来源于财政拨款或政府债券，需支付债券利息、资金占用费等，资金成本纳入财政支出，增加政府债务压力。</w:t>
            </w:r>
          </w:p>
        </w:tc>
        <w:tc>
          <w:tcPr>
            <w:tcW w:w="2376" w:type="dxa"/>
            <w:tcMar>
              <w:top w:w="60" w:type="dxa"/>
              <w:left w:w="120" w:type="dxa"/>
              <w:bottom w:w="30" w:type="dxa"/>
              <w:right w:w="120" w:type="dxa"/>
            </w:tcMar>
            <w:vAlign w:val="center"/>
          </w:tcPr>
          <w:p w14:paraId="4E9EBAD0">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特许经营模式将资金成本转移给社会资本，有效规避政府债务风险；传统模式增加政府财政负担及债务压力。</w:t>
            </w:r>
          </w:p>
        </w:tc>
      </w:tr>
      <w:tr w14:paraId="3A109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1156" w:type="dxa"/>
            <w:tcMar>
              <w:top w:w="60" w:type="dxa"/>
              <w:left w:w="120" w:type="dxa"/>
              <w:bottom w:w="30" w:type="dxa"/>
              <w:right w:w="120" w:type="dxa"/>
            </w:tcMar>
            <w:vAlign w:val="center"/>
          </w:tcPr>
          <w:p w14:paraId="6AF4FDCB">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移交成本</w:t>
            </w:r>
          </w:p>
        </w:tc>
        <w:tc>
          <w:tcPr>
            <w:tcW w:w="2374" w:type="dxa"/>
            <w:tcMar>
              <w:top w:w="60" w:type="dxa"/>
              <w:left w:w="120" w:type="dxa"/>
              <w:bottom w:w="30" w:type="dxa"/>
              <w:right w:w="120" w:type="dxa"/>
            </w:tcMar>
            <w:vAlign w:val="center"/>
          </w:tcPr>
          <w:p w14:paraId="3496FA83">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由特许经营者（或项目公司）承担，包括资产恢复性维修、设备更新、资料整理、权属移交等相关费用，协议明确约定移交标准，确保资产无偿、完好移交，成本由特许经营者自主管控。</w:t>
            </w:r>
          </w:p>
        </w:tc>
        <w:tc>
          <w:tcPr>
            <w:tcW w:w="2374" w:type="dxa"/>
            <w:tcMar>
              <w:top w:w="60" w:type="dxa"/>
              <w:left w:w="120" w:type="dxa"/>
              <w:bottom w:w="30" w:type="dxa"/>
              <w:right w:w="120" w:type="dxa"/>
            </w:tcMar>
            <w:vAlign w:val="center"/>
          </w:tcPr>
          <w:p w14:paraId="7B4B6141">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由政府财政承担，包括资产维修、设备更新、移交过程中的各项费用，移交前的资产维护缺乏明确责任主体，易出现移交成本超支、资产质量不达标等问题。</w:t>
            </w:r>
          </w:p>
        </w:tc>
        <w:tc>
          <w:tcPr>
            <w:tcW w:w="2376" w:type="dxa"/>
            <w:tcMar>
              <w:top w:w="60" w:type="dxa"/>
              <w:left w:w="120" w:type="dxa"/>
              <w:bottom w:w="30" w:type="dxa"/>
              <w:right w:w="120" w:type="dxa"/>
            </w:tcMar>
            <w:vAlign w:val="center"/>
          </w:tcPr>
          <w:p w14:paraId="1ACEF137">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特许经营模式明确移交责任及成本承担主体，可有效控制移交成本；传统模式移交责任模糊，成本管控难度大。</w:t>
            </w:r>
          </w:p>
        </w:tc>
      </w:tr>
      <w:tr w14:paraId="3A7A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1156" w:type="dxa"/>
            <w:tcMar>
              <w:top w:w="60" w:type="dxa"/>
              <w:left w:w="120" w:type="dxa"/>
              <w:bottom w:w="30" w:type="dxa"/>
              <w:right w:w="120" w:type="dxa"/>
            </w:tcMar>
            <w:vAlign w:val="center"/>
          </w:tcPr>
          <w:p w14:paraId="21C01F2C">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隐性成本</w:t>
            </w:r>
          </w:p>
        </w:tc>
        <w:tc>
          <w:tcPr>
            <w:tcW w:w="2374" w:type="dxa"/>
            <w:tcMar>
              <w:top w:w="60" w:type="dxa"/>
              <w:left w:w="120" w:type="dxa"/>
              <w:bottom w:w="30" w:type="dxa"/>
              <w:right w:w="120" w:type="dxa"/>
            </w:tcMar>
            <w:vAlign w:val="center"/>
          </w:tcPr>
          <w:p w14:paraId="3E1E8EC9">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隐性成本较低，主要包括管理成本、风险成本（如建设、运营风险），均由特许经营者承担，通过市场化机制分散风险，政府仅承担政策风险等少量隐性成本。</w:t>
            </w:r>
          </w:p>
        </w:tc>
        <w:tc>
          <w:tcPr>
            <w:tcW w:w="2374" w:type="dxa"/>
            <w:tcMar>
              <w:top w:w="60" w:type="dxa"/>
              <w:left w:w="120" w:type="dxa"/>
              <w:bottom w:w="30" w:type="dxa"/>
              <w:right w:w="120" w:type="dxa"/>
            </w:tcMar>
            <w:vAlign w:val="center"/>
          </w:tcPr>
          <w:p w14:paraId="607BE602">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隐性成本较高，包括政府部门的管理成本、监管成本、风险处置成本（如建设质量不达标、运营效率低下的整改成本），均由财政承担，且难以量化管控。</w:t>
            </w:r>
          </w:p>
        </w:tc>
        <w:tc>
          <w:tcPr>
            <w:tcW w:w="2376" w:type="dxa"/>
            <w:tcMar>
              <w:top w:w="60" w:type="dxa"/>
              <w:left w:w="120" w:type="dxa"/>
              <w:bottom w:w="30" w:type="dxa"/>
              <w:right w:w="120" w:type="dxa"/>
            </w:tcMar>
            <w:vAlign w:val="center"/>
          </w:tcPr>
          <w:p w14:paraId="3CC12979">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特许经营模式通过风险分担机制，降低政府隐性成本；传统模式隐性成本分散且难以管控，长期来看增加财政负担。</w:t>
            </w:r>
          </w:p>
        </w:tc>
      </w:tr>
      <w:tr w14:paraId="3F1A4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1156" w:type="dxa"/>
            <w:tcMar>
              <w:top w:w="60" w:type="dxa"/>
              <w:left w:w="120" w:type="dxa"/>
              <w:bottom w:w="30" w:type="dxa"/>
              <w:right w:w="120" w:type="dxa"/>
            </w:tcMar>
            <w:vAlign w:val="center"/>
          </w:tcPr>
          <w:p w14:paraId="71F2366C">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全生命周期总成本</w:t>
            </w:r>
          </w:p>
        </w:tc>
        <w:tc>
          <w:tcPr>
            <w:tcW w:w="2374" w:type="dxa"/>
            <w:tcMar>
              <w:top w:w="60" w:type="dxa"/>
              <w:left w:w="120" w:type="dxa"/>
              <w:bottom w:w="30" w:type="dxa"/>
              <w:right w:w="120" w:type="dxa"/>
            </w:tcMar>
            <w:vAlign w:val="center"/>
          </w:tcPr>
          <w:p w14:paraId="64D54049">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总成本可控，通过市场化竞争、精细化管理、风险自担机制，实现全流程成本优化，无需政府财政长期投入，总体成本低于传统政府投资模式。</w:t>
            </w:r>
          </w:p>
        </w:tc>
        <w:tc>
          <w:tcPr>
            <w:tcW w:w="2374" w:type="dxa"/>
            <w:tcMar>
              <w:top w:w="60" w:type="dxa"/>
              <w:left w:w="120" w:type="dxa"/>
              <w:bottom w:w="30" w:type="dxa"/>
              <w:right w:w="120" w:type="dxa"/>
            </w:tcMar>
            <w:vAlign w:val="center"/>
          </w:tcPr>
          <w:p w14:paraId="34F57CE4">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总成本偏高，受财政预算、行政管控、缺乏市场化激励等因素影响，各阶段成本易超支，且长期占用财政资金，总体成本高于特许经营模式。</w:t>
            </w:r>
          </w:p>
        </w:tc>
        <w:tc>
          <w:tcPr>
            <w:tcW w:w="2376" w:type="dxa"/>
            <w:tcMar>
              <w:top w:w="60" w:type="dxa"/>
              <w:left w:w="120" w:type="dxa"/>
              <w:bottom w:w="30" w:type="dxa"/>
              <w:right w:w="120" w:type="dxa"/>
            </w:tcMar>
            <w:vAlign w:val="center"/>
          </w:tcPr>
          <w:p w14:paraId="0B34395A">
            <w:pPr>
              <w:keepNext w:val="0"/>
              <w:keepLines w:val="0"/>
              <w:widowControl/>
              <w:suppressLineNumbers w:val="0"/>
              <w:spacing w:line="30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特许经营模式可实现全生命周期成本最小化，同时缓解政府财政压力；传统模式总成本偏高，财政负担较重。</w:t>
            </w:r>
          </w:p>
        </w:tc>
      </w:tr>
    </w:tbl>
    <w:p w14:paraId="62799A73">
      <w:pPr>
        <w:numPr>
          <w:ilvl w:val="0"/>
          <w:numId w:val="55"/>
        </w:numPr>
        <w:ind w:left="0" w:leftChars="0"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对比</w:t>
      </w:r>
      <w:r>
        <w:rPr>
          <w:rFonts w:hint="eastAsia" w:ascii="仿宋" w:hAnsi="仿宋" w:eastAsia="仿宋" w:cs="仿宋"/>
          <w:color w:val="auto"/>
          <w:sz w:val="28"/>
          <w:szCs w:val="28"/>
          <w:highlight w:val="none"/>
          <w:lang w:val="en-US" w:eastAsia="zh-CN"/>
        </w:rPr>
        <w:t>结论</w:t>
      </w:r>
    </w:p>
    <w:p w14:paraId="4959C75D">
      <w:pPr>
        <w:ind w:firstLine="48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通过对两种模式全生命周期成本的全面对比，结合本项目实际情况，特许经营模式相较于传统政府投资模式，在成本管控、财政压力缓解、运营效率提升等方面具有显著比较优势。</w:t>
      </w:r>
    </w:p>
    <w:p w14:paraId="41F52156">
      <w:pPr>
        <w:pStyle w:val="4"/>
        <w:bidi w:val="0"/>
        <w:ind w:left="720" w:hanging="720"/>
        <w:rPr>
          <w:rFonts w:hint="default" w:ascii="仿宋" w:hAnsi="仿宋" w:eastAsia="仿宋"/>
          <w:color w:val="auto"/>
          <w:lang w:val="en-US" w:eastAsia="zh-CN"/>
        </w:rPr>
      </w:pPr>
      <w:r>
        <w:rPr>
          <w:rFonts w:hint="default" w:ascii="仿宋" w:hAnsi="仿宋" w:eastAsia="仿宋"/>
          <w:color w:val="auto"/>
          <w:lang w:val="en-US" w:eastAsia="zh-CN"/>
        </w:rPr>
        <w:t>产出或服务效果对比</w:t>
      </w:r>
    </w:p>
    <w:p w14:paraId="0A9BFBB8">
      <w:pPr>
        <w:ind w:firstLine="48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本次对比聚焦项目核心产出停车泊位供给、设施质量及服务效</w:t>
      </w:r>
      <w:r>
        <w:rPr>
          <w:rFonts w:hint="eastAsia" w:ascii="仿宋" w:hAnsi="仿宋" w:eastAsia="仿宋" w:cs="仿宋"/>
          <w:color w:val="auto"/>
          <w:sz w:val="28"/>
          <w:szCs w:val="28"/>
          <w:highlight w:val="none"/>
          <w:lang w:val="en-US" w:eastAsia="zh-CN"/>
        </w:rPr>
        <w:t>果和</w:t>
      </w:r>
      <w:r>
        <w:rPr>
          <w:rFonts w:hint="default" w:ascii="仿宋" w:hAnsi="仿宋" w:eastAsia="仿宋" w:cs="仿宋"/>
          <w:color w:val="auto"/>
          <w:sz w:val="28"/>
          <w:szCs w:val="28"/>
          <w:highlight w:val="none"/>
          <w:lang w:val="en-US" w:eastAsia="zh-CN"/>
        </w:rPr>
        <w:t>服务规范性、公众满意度，结合项目“停车便民、公益优先”的核心定位，两种模式的产出与服务效果差异如下：</w:t>
      </w:r>
    </w:p>
    <w:p w14:paraId="1E2453E2">
      <w:pPr>
        <w:ind w:firstLine="48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1.特许经营模式：以“合规运营、提升服务、保障公益”为核心，特许经营者为实现长期盈利，会严格按照协议约定及行业标准，保障停车设施建设质量、规范运营管理，完善服务流程</w:t>
      </w:r>
      <w:r>
        <w:rPr>
          <w:rFonts w:hint="eastAsia" w:ascii="仿宋" w:hAnsi="仿宋" w:eastAsia="仿宋" w:cs="仿宋"/>
          <w:color w:val="auto"/>
          <w:sz w:val="28"/>
          <w:szCs w:val="28"/>
          <w:highlight w:val="none"/>
          <w:lang w:val="en-US" w:eastAsia="zh-CN"/>
        </w:rPr>
        <w:t>，</w:t>
      </w:r>
      <w:r>
        <w:rPr>
          <w:rFonts w:hint="default" w:ascii="仿宋" w:hAnsi="仿宋" w:eastAsia="仿宋" w:cs="仿宋"/>
          <w:color w:val="auto"/>
          <w:sz w:val="28"/>
          <w:szCs w:val="28"/>
          <w:highlight w:val="none"/>
          <w:lang w:val="en-US" w:eastAsia="zh-CN"/>
        </w:rPr>
        <w:t>如智慧化停车、便捷缴费、投诉快速处置等，主动提升服务水平。同时，结合项目地面公园配套，同步优化休闲服务供给，兼顾停车便民与公众休闲需求，可有效提升公众满意度，确保项目产出与服务效果达到预期。</w:t>
      </w:r>
    </w:p>
    <w:p w14:paraId="0C8A7764">
      <w:pPr>
        <w:ind w:firstLine="48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2.传统政府投资模式：由政府部门负责建设、运营管理，服务标准依赖行政规定，缺乏市场化激励机制，运营服务主动性不足。部分情况下存在设施维护不及时、服务流程不规范、投诉处置效率偏低等问题，且难以快速响应公众多样化需求，服务效果易受行政管控效率影响，公众满意度提升空间有限。</w:t>
      </w:r>
    </w:p>
    <w:p w14:paraId="0A2060A8">
      <w:pPr>
        <w:ind w:firstLine="48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综上所述，</w:t>
      </w:r>
      <w:r>
        <w:rPr>
          <w:rFonts w:hint="default" w:ascii="仿宋" w:hAnsi="仿宋" w:eastAsia="仿宋" w:cs="仿宋"/>
          <w:color w:val="auto"/>
          <w:sz w:val="28"/>
          <w:szCs w:val="28"/>
          <w:highlight w:val="none"/>
          <w:lang w:val="en-US" w:eastAsia="zh-CN"/>
        </w:rPr>
        <w:t>特许经营模式的产出质量更有保障，服务流程更规范、响应更高效，能够更好地满足周边居民停车及休闲需求，提升项目公益价值与公众满意度，产出及服务效果优于传统政府投资模式。</w:t>
      </w:r>
    </w:p>
    <w:p w14:paraId="1E6BBEA8">
      <w:pPr>
        <w:pStyle w:val="4"/>
        <w:bidi w:val="0"/>
        <w:ind w:left="720" w:hanging="720"/>
        <w:rPr>
          <w:rFonts w:hint="default" w:ascii="仿宋" w:hAnsi="仿宋" w:eastAsia="仿宋"/>
          <w:color w:val="auto"/>
          <w:lang w:val="en-US" w:eastAsia="zh-CN"/>
        </w:rPr>
      </w:pPr>
      <w:r>
        <w:rPr>
          <w:rFonts w:hint="default" w:ascii="仿宋" w:hAnsi="仿宋" w:eastAsia="仿宋"/>
          <w:color w:val="auto"/>
          <w:lang w:val="en-US" w:eastAsia="zh-CN"/>
        </w:rPr>
        <w:t>建设运营效率对比</w:t>
      </w:r>
    </w:p>
    <w:p w14:paraId="720EE424">
      <w:pPr>
        <w:ind w:firstLine="48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建设运营效率直接影响项目落地进度、服务供给时效及长期可持续性，两种模式在流程管控、决策效率、技术应用等方面差异明显：</w:t>
      </w:r>
    </w:p>
    <w:p w14:paraId="61C9EC2C">
      <w:pPr>
        <w:ind w:firstLine="48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1.特许经营模式：采用市场化运作机制，特许经营者拥有自主决策、自主管理的权限，可快速推进项目前期审批、施工组织、设备采购等工作，有效缩短建设周期，确保项目早日落地投用。运营阶段，特许经营者可根据市场需求、技术发展，灵活优化运营方案，引入智慧化管理技术如车位引导、无感支付等，提升运营效率；同时，通过专业化团队管理，降低运营损耗，确保项目长期高效运营。</w:t>
      </w:r>
    </w:p>
    <w:p w14:paraId="6D3CF903">
      <w:pPr>
        <w:ind w:firstLine="48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2.传统政府投资模式：建设、运营均需遵循严格的行政流程，前期审批、预算拨付、施工监管等环节流程繁琐，决策</w:t>
      </w:r>
      <w:r>
        <w:rPr>
          <w:rFonts w:hint="eastAsia" w:ascii="仿宋" w:hAnsi="仿宋" w:eastAsia="仿宋" w:cs="仿宋"/>
          <w:color w:val="auto"/>
          <w:sz w:val="28"/>
          <w:szCs w:val="28"/>
          <w:highlight w:val="none"/>
          <w:lang w:val="en-US" w:eastAsia="zh-CN"/>
        </w:rPr>
        <w:t>流程较长</w:t>
      </w:r>
      <w:r>
        <w:rPr>
          <w:rFonts w:hint="default" w:ascii="仿宋" w:hAnsi="仿宋" w:eastAsia="仿宋" w:cs="仿宋"/>
          <w:color w:val="auto"/>
          <w:sz w:val="28"/>
          <w:szCs w:val="28"/>
          <w:highlight w:val="none"/>
          <w:lang w:val="en-US" w:eastAsia="zh-CN"/>
        </w:rPr>
        <w:t>，易导致建设周期延长，项目落地滞后于需求。运营阶段，受行政体制限制，运营方案调整灵活性不足，难以快速引入新技术、新方法，运营效率偏低，且易出现人力、物力浪费等问题。</w:t>
      </w:r>
    </w:p>
    <w:p w14:paraId="1EF29BD1">
      <w:pPr>
        <w:ind w:firstLine="48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综上所述，</w:t>
      </w:r>
      <w:r>
        <w:rPr>
          <w:rFonts w:hint="default" w:ascii="仿宋" w:hAnsi="仿宋" w:eastAsia="仿宋" w:cs="仿宋"/>
          <w:color w:val="auto"/>
          <w:sz w:val="28"/>
          <w:szCs w:val="28"/>
          <w:highlight w:val="none"/>
          <w:lang w:val="en-US" w:eastAsia="zh-CN"/>
        </w:rPr>
        <w:t>特许经营模式的建设周期更短、决策效率更高、运营管理更专业，能够快速响应市场需求，提升项目建设运营的整体效率，确保项目及时发挥便民效益。</w:t>
      </w:r>
    </w:p>
    <w:p w14:paraId="041A322D">
      <w:pPr>
        <w:pStyle w:val="4"/>
        <w:bidi w:val="0"/>
        <w:ind w:left="720" w:hanging="720"/>
        <w:rPr>
          <w:rFonts w:hint="default" w:ascii="仿宋" w:hAnsi="仿宋" w:eastAsia="仿宋"/>
          <w:color w:val="auto"/>
          <w:lang w:val="en-US" w:eastAsia="zh-CN"/>
        </w:rPr>
      </w:pPr>
      <w:r>
        <w:rPr>
          <w:rFonts w:hint="default" w:ascii="仿宋" w:hAnsi="仿宋" w:eastAsia="仿宋"/>
          <w:color w:val="auto"/>
          <w:lang w:val="en-US" w:eastAsia="zh-CN"/>
        </w:rPr>
        <w:t>风险防范控制对比</w:t>
      </w:r>
    </w:p>
    <w:p w14:paraId="5440E3B7">
      <w:pPr>
        <w:ind w:firstLine="48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结合本项目特点，风险主要涵盖建设风险、运营风险、资金风险、政策风险、安全风险等，两种模式的风险分担及防范控制能力差异显著：</w:t>
      </w:r>
    </w:p>
    <w:p w14:paraId="60FD6594">
      <w:pPr>
        <w:ind w:firstLine="48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1. 特许经营模式：遵循“风险与权责匹配”原则，建立清晰的风险分担机制。特许经营者承担建设、运营、资金、技术等绝大部分核心风险，通过市场化手段如购买保险、优化合同条款、专业化管理</w:t>
      </w:r>
      <w:r>
        <w:rPr>
          <w:rFonts w:hint="eastAsia" w:ascii="仿宋" w:hAnsi="仿宋" w:eastAsia="仿宋" w:cs="仿宋"/>
          <w:color w:val="auto"/>
          <w:sz w:val="28"/>
          <w:szCs w:val="28"/>
          <w:highlight w:val="none"/>
          <w:lang w:val="en-US" w:eastAsia="zh-CN"/>
        </w:rPr>
        <w:t>等方法</w:t>
      </w:r>
      <w:r>
        <w:rPr>
          <w:rFonts w:hint="default" w:ascii="仿宋" w:hAnsi="仿宋" w:eastAsia="仿宋" w:cs="仿宋"/>
          <w:color w:val="auto"/>
          <w:sz w:val="28"/>
          <w:szCs w:val="28"/>
          <w:highlight w:val="none"/>
          <w:lang w:val="en-US" w:eastAsia="zh-CN"/>
        </w:rPr>
        <w:t>防范和化解风险，具备较强的风险处置能力；政府仅承担政策调整、行政审批等少量风险，风险压力大幅降低，且通过特许经营协议明确双方权责，可有效规避监管风险。</w:t>
      </w:r>
    </w:p>
    <w:p w14:paraId="34AF1AA5">
      <w:pPr>
        <w:ind w:firstLine="48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2. 传统政府投资模式：政府承担项目全生命周期内的所有风险，包括建设超预算、运营效率低下、资金</w:t>
      </w:r>
      <w:r>
        <w:rPr>
          <w:rFonts w:hint="eastAsia" w:ascii="仿宋" w:hAnsi="仿宋" w:eastAsia="仿宋" w:cs="仿宋"/>
          <w:color w:val="auto"/>
          <w:sz w:val="28"/>
          <w:szCs w:val="28"/>
          <w:highlight w:val="none"/>
          <w:lang w:val="en-US" w:eastAsia="zh-CN"/>
        </w:rPr>
        <w:t>压力大</w:t>
      </w:r>
      <w:r>
        <w:rPr>
          <w:rFonts w:hint="default" w:ascii="仿宋" w:hAnsi="仿宋" w:eastAsia="仿宋" w:cs="仿宋"/>
          <w:color w:val="auto"/>
          <w:sz w:val="28"/>
          <w:szCs w:val="28"/>
          <w:highlight w:val="none"/>
          <w:lang w:val="en-US" w:eastAsia="zh-CN"/>
        </w:rPr>
        <w:t>、安全事故等各类风险，风险集中且处置难度大。同时，缺乏明确的风险分担机制，风险处置依赖政府行政手段，效率偏低，易造成财政资金损失，影响项目可持续推进。</w:t>
      </w:r>
    </w:p>
    <w:p w14:paraId="00C87017">
      <w:pPr>
        <w:ind w:firstLine="48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综上所述，</w:t>
      </w:r>
      <w:r>
        <w:rPr>
          <w:rFonts w:hint="default" w:ascii="仿宋" w:hAnsi="仿宋" w:eastAsia="仿宋" w:cs="仿宋"/>
          <w:color w:val="auto"/>
          <w:sz w:val="28"/>
          <w:szCs w:val="28"/>
          <w:highlight w:val="none"/>
          <w:lang w:val="en-US" w:eastAsia="zh-CN"/>
        </w:rPr>
        <w:t>特许经营模式通过科学的风险分担机制，将核心风险转移给社会资本，风险分散更合理、防范控制更高效，有效降低政府风险压力，保障项目平稳推进。</w:t>
      </w:r>
    </w:p>
    <w:p w14:paraId="1E87789D">
      <w:pPr>
        <w:pStyle w:val="4"/>
        <w:bidi w:val="0"/>
        <w:ind w:left="720" w:hanging="720"/>
        <w:rPr>
          <w:rFonts w:hint="default" w:ascii="仿宋" w:hAnsi="仿宋" w:eastAsia="仿宋"/>
          <w:color w:val="auto"/>
          <w:lang w:val="en-US" w:eastAsia="zh-CN"/>
        </w:rPr>
      </w:pPr>
      <w:r>
        <w:rPr>
          <w:rFonts w:hint="default" w:ascii="仿宋" w:hAnsi="仿宋" w:eastAsia="仿宋"/>
          <w:color w:val="auto"/>
          <w:lang w:val="en-US" w:eastAsia="zh-CN"/>
        </w:rPr>
        <w:t>项目采用特许经营模式的适用性论证</w:t>
      </w:r>
    </w:p>
    <w:p w14:paraId="5CC8672E">
      <w:pPr>
        <w:ind w:firstLine="48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经过上述综合</w:t>
      </w:r>
      <w:r>
        <w:rPr>
          <w:rFonts w:hint="default" w:ascii="仿宋" w:hAnsi="仿宋" w:eastAsia="仿宋" w:cs="仿宋"/>
          <w:color w:val="auto"/>
          <w:sz w:val="28"/>
          <w:szCs w:val="28"/>
          <w:highlight w:val="none"/>
          <w:lang w:val="en-US" w:eastAsia="zh-CN"/>
        </w:rPr>
        <w:t>对比分析，结合本项目的</w:t>
      </w:r>
      <w:r>
        <w:rPr>
          <w:rFonts w:hint="eastAsia" w:ascii="仿宋" w:hAnsi="仿宋" w:eastAsia="仿宋" w:cs="仿宋"/>
          <w:color w:val="auto"/>
          <w:sz w:val="28"/>
          <w:szCs w:val="28"/>
          <w:highlight w:val="none"/>
          <w:lang w:val="en-US" w:eastAsia="zh-CN"/>
        </w:rPr>
        <w:t>功能定位</w:t>
      </w:r>
      <w:r>
        <w:rPr>
          <w:rFonts w:hint="default" w:ascii="仿宋" w:hAnsi="仿宋" w:eastAsia="仿宋" w:cs="仿宋"/>
          <w:color w:val="auto"/>
          <w:sz w:val="28"/>
          <w:szCs w:val="28"/>
          <w:highlight w:val="none"/>
          <w:lang w:val="en-US" w:eastAsia="zh-CN"/>
        </w:rPr>
        <w:t>、生命周期运营需求及公益属性，本项目适合采用特许经营模式，核心论证如下：</w:t>
      </w:r>
    </w:p>
    <w:p w14:paraId="0153E3E4">
      <w:pPr>
        <w:ind w:firstLine="48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1. 契合财政管控要求：采用特许经营模式，可由社会资本承担全部初始投资及全生命周期成本，有效缓解政府财政压力，规避政府债务风险，将有限的财政资金投入到其他公共服务领域，优化财政资金配置效率。</w:t>
      </w:r>
    </w:p>
    <w:p w14:paraId="41C38571">
      <w:pPr>
        <w:ind w:firstLine="48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2. 保障项目产出与服务质量：依托市场化激励机制，特许经营者能够严格管控建设质量、提升运营服务水平，快速响应公众停车及休闲需求，实现项目“便民、公益、高效”的核心目标，提升项目经济社会效益。</w:t>
      </w:r>
    </w:p>
    <w:p w14:paraId="2DFB41BA">
      <w:pPr>
        <w:ind w:firstLine="48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3. 提升项目全生命周期效率：通过市场化运作，可缩短项目建设周期，提升运营管理效率，引入智慧化技术优化服务，确保项目及时落地、长期高效运营，充分发挥项目的便民价值。</w:t>
      </w:r>
    </w:p>
    <w:p w14:paraId="67BA5472">
      <w:pPr>
        <w:ind w:firstLine="48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4. 有效防范控制各类风险：通过清晰的风险分担机制，将建设、运营、资金等核心风险转移给社会资本，降低政府风险压力，同时依托特许经营者的专业化管理能力，提升风险处置效率，保障项目全生命周期平稳推进。</w:t>
      </w:r>
    </w:p>
    <w:p w14:paraId="4B4AB2B9">
      <w:pPr>
        <w:ind w:firstLine="480"/>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综上</w:t>
      </w:r>
      <w:r>
        <w:rPr>
          <w:rFonts w:hint="eastAsia" w:ascii="仿宋" w:hAnsi="仿宋" w:eastAsia="仿宋" w:cs="仿宋"/>
          <w:color w:val="auto"/>
          <w:sz w:val="28"/>
          <w:szCs w:val="28"/>
          <w:highlight w:val="none"/>
          <w:lang w:val="en-US" w:eastAsia="zh-CN"/>
        </w:rPr>
        <w:t>所述</w:t>
      </w:r>
      <w:r>
        <w:rPr>
          <w:rFonts w:hint="default" w:ascii="仿宋" w:hAnsi="仿宋" w:eastAsia="仿宋" w:cs="仿宋"/>
          <w:color w:val="auto"/>
          <w:sz w:val="28"/>
          <w:szCs w:val="28"/>
          <w:highlight w:val="none"/>
          <w:lang w:val="en-US" w:eastAsia="zh-CN"/>
        </w:rPr>
        <w:t>，相较于传统政府投资模式，特许经营模式在全生命周期成本、产出服务效果、建设运营效率、风险防范控制等方面均具有显著优势，能够更好地实现项目的公益属性与市场化运作的平衡，符合本项目的可持续发展需求，因此本项目适合采用特许经营模式。</w:t>
      </w:r>
    </w:p>
    <w:p w14:paraId="2BE4671F">
      <w:pPr>
        <w:pStyle w:val="3"/>
        <w:bidi w:val="0"/>
        <w:ind w:left="575" w:hanging="575"/>
        <w:rPr>
          <w:rFonts w:hint="eastAsia" w:ascii="仿宋" w:hAnsi="仿宋" w:eastAsia="仿宋" w:cs="仿宋"/>
          <w:color w:val="auto"/>
          <w:highlight w:val="none"/>
          <w:lang w:val="en-US" w:eastAsia="zh-CN"/>
        </w:rPr>
      </w:pPr>
      <w:bookmarkStart w:id="115" w:name="_Toc27450"/>
      <w:bookmarkStart w:id="116" w:name="_Toc11407"/>
      <w:bookmarkStart w:id="117" w:name="_Toc5223"/>
      <w:bookmarkStart w:id="118" w:name="_Toc22504"/>
      <w:r>
        <w:rPr>
          <w:rFonts w:hint="eastAsia" w:ascii="仿宋" w:hAnsi="仿宋" w:eastAsia="仿宋" w:cs="仿宋"/>
          <w:color w:val="auto"/>
          <w:highlight w:val="none"/>
          <w:lang w:val="en-US" w:eastAsia="zh-CN"/>
        </w:rPr>
        <w:t>参与意愿分析</w:t>
      </w:r>
      <w:bookmarkEnd w:id="115"/>
      <w:bookmarkEnd w:id="116"/>
      <w:bookmarkEnd w:id="117"/>
      <w:bookmarkEnd w:id="118"/>
    </w:p>
    <w:p w14:paraId="75C72397">
      <w:pPr>
        <w:ind w:firstLine="48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本项目从盈利潜力、行业可持续发展、政府支持政策等方面均对拟参与的社会资本方具有较大的吸引力。</w:t>
      </w:r>
    </w:p>
    <w:p w14:paraId="5BDAA237">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社会资本参与意愿</w:t>
      </w:r>
    </w:p>
    <w:p w14:paraId="73E9D843">
      <w:pPr>
        <w:numPr>
          <w:ilvl w:val="0"/>
          <w:numId w:val="57"/>
        </w:numPr>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需求刚性稳定</w:t>
      </w:r>
    </w:p>
    <w:p w14:paraId="038CCB9B">
      <w:pPr>
        <w:rPr>
          <w:rFonts w:hint="eastAsia" w:ascii="仿宋" w:hAnsi="仿宋" w:eastAsia="仿宋"/>
          <w:color w:val="auto"/>
          <w:lang w:val="en-US" w:eastAsia="zh-CN"/>
        </w:rPr>
      </w:pPr>
      <w:r>
        <w:rPr>
          <w:rFonts w:hint="eastAsia" w:ascii="仿宋" w:hAnsi="仿宋" w:eastAsia="仿宋"/>
          <w:color w:val="auto"/>
          <w:lang w:val="en-US" w:eastAsia="zh-CN"/>
        </w:rPr>
        <w:t>本项目坐落于密云区核心城区，紧邻成熟居住区、核心商圈及重点学校等高人口密度、高流动性区域，停车需求呈现长期刚性、规模稳定的特征，泊位利用率与周转率具备良好的市场保障；现金流可预测性强，符合社会资本对稳健收益的核心诉求。</w:t>
      </w:r>
    </w:p>
    <w:p w14:paraId="5F180E16">
      <w:pPr>
        <w:numPr>
          <w:ilvl w:val="0"/>
          <w:numId w:val="57"/>
        </w:numPr>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具备盈利能力</w:t>
      </w:r>
    </w:p>
    <w:p w14:paraId="6E95B72F">
      <w:pPr>
        <w:rPr>
          <w:rFonts w:hint="eastAsia" w:ascii="仿宋" w:hAnsi="仿宋" w:eastAsia="仿宋"/>
          <w:color w:val="auto"/>
          <w:lang w:val="en-US" w:eastAsia="zh-CN"/>
        </w:rPr>
      </w:pPr>
      <w:r>
        <w:rPr>
          <w:rFonts w:hint="eastAsia" w:ascii="仿宋" w:hAnsi="仿宋" w:eastAsia="仿宋"/>
          <w:color w:val="auto"/>
          <w:lang w:val="en-US" w:eastAsia="zh-CN"/>
        </w:rPr>
        <w:t>本项目构建了多元化、结构化的收入体系。经初步财务测算，特许经营期内，项目资本金所得税后投资回收期为27.89年（不含建设期），资本金所得税后内部收益率为3.04%。在基础设施与公用事业领域中，该收益水平具备一定的市场竞争力，对社会资本具有吸引力。</w:t>
      </w:r>
    </w:p>
    <w:p w14:paraId="748ED0E9">
      <w:pPr>
        <w:numPr>
          <w:ilvl w:val="0"/>
          <w:numId w:val="57"/>
        </w:numPr>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政策导向明确</w:t>
      </w:r>
    </w:p>
    <w:p w14:paraId="0E556C68">
      <w:pPr>
        <w:bidi w:val="0"/>
        <w:rPr>
          <w:rFonts w:hint="eastAsia" w:ascii="仿宋" w:hAnsi="仿宋" w:eastAsia="仿宋"/>
          <w:color w:val="auto"/>
          <w:lang w:val="en-US" w:eastAsia="zh-CN"/>
        </w:rPr>
      </w:pPr>
      <w:r>
        <w:rPr>
          <w:rFonts w:hint="eastAsia" w:ascii="仿宋" w:hAnsi="仿宋" w:eastAsia="仿宋"/>
          <w:color w:val="auto"/>
          <w:lang w:val="en-US" w:eastAsia="zh-CN"/>
        </w:rPr>
        <w:t>北京市通过《北京市机动车停车条例》《关于推动城市停车设施发展和管理的实施意见》（京交停车发〔2023〕22号）等政策，明确鼓励社会资本参与停车设施建设运营，配套土地、税收等优惠支持，允许企业自主定价，并推动停车设施产权登记细则落地，既降低了社会资本参与门槛，也明确了收益预期、规范了市场秩序，为项目提供了清晰的政策依据与发展机遇。</w:t>
      </w:r>
    </w:p>
    <w:p w14:paraId="5555B56A">
      <w:pPr>
        <w:numPr>
          <w:ilvl w:val="0"/>
          <w:numId w:val="57"/>
        </w:numPr>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模式适配性高</w:t>
      </w:r>
    </w:p>
    <w:p w14:paraId="626914D3">
      <w:pPr>
        <w:bidi w:val="0"/>
        <w:rPr>
          <w:rFonts w:hint="eastAsia" w:ascii="仿宋" w:hAnsi="仿宋" w:eastAsia="仿宋"/>
          <w:color w:val="auto"/>
          <w:lang w:val="en-US" w:eastAsia="zh-CN"/>
        </w:rPr>
      </w:pPr>
      <w:r>
        <w:rPr>
          <w:rFonts w:hint="eastAsia" w:ascii="仿宋" w:hAnsi="仿宋" w:eastAsia="仿宋"/>
          <w:color w:val="auto"/>
          <w:lang w:val="en-US" w:eastAsia="zh-CN"/>
        </w:rPr>
        <w:t>项目属于重资产项目，具有建设投入大、回报周期长的特点，这一点与特许经营模式下长期经营期限要求高度契合。在特许经营模式下，社会资本可充分发挥设计－建设－运营一体化的专业优势，通过智慧化管理手段压缩全周期成本、提升泊位周转率，将效率提升直接转化为收益增长，既精准契合社会资本“降本增效、利润最大化”的核心诉求，也与停车设施长回报周期高度匹配。</w:t>
      </w:r>
    </w:p>
    <w:p w14:paraId="1D42DA7B">
      <w:pPr>
        <w:bidi w:val="0"/>
        <w:rPr>
          <w:rFonts w:hint="eastAsia" w:ascii="仿宋" w:hAnsi="仿宋" w:eastAsia="仿宋"/>
          <w:color w:val="auto"/>
          <w:lang w:val="en-US" w:eastAsia="zh-CN"/>
        </w:rPr>
      </w:pPr>
      <w:r>
        <w:rPr>
          <w:rFonts w:hint="eastAsia" w:ascii="仿宋" w:hAnsi="仿宋" w:eastAsia="仿宋"/>
          <w:color w:val="auto"/>
          <w:lang w:val="en-US" w:eastAsia="zh-CN"/>
        </w:rPr>
        <w:t>综上所述，本项目在特许经营模式下，社会资本参与意愿较高。</w:t>
      </w:r>
    </w:p>
    <w:p w14:paraId="295919B2">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金融机构参与意愿</w:t>
      </w:r>
    </w:p>
    <w:p w14:paraId="5C65BFB3">
      <w:pPr>
        <w:numPr>
          <w:ilvl w:val="0"/>
          <w:numId w:val="58"/>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现金流可靠</w:t>
      </w:r>
    </w:p>
    <w:p w14:paraId="366AF2F9">
      <w:pPr>
        <w:numPr>
          <w:ilvl w:val="0"/>
          <w:numId w:val="0"/>
        </w:numPr>
        <w:bidi w:val="0"/>
        <w:ind w:firstLine="560" w:firstLineChars="200"/>
        <w:rPr>
          <w:rFonts w:hint="eastAsia" w:ascii="仿宋" w:hAnsi="仿宋" w:eastAsia="仿宋"/>
          <w:color w:val="auto"/>
          <w:lang w:eastAsia="zh-CN"/>
        </w:rPr>
      </w:pPr>
      <w:r>
        <w:rPr>
          <w:rFonts w:hint="eastAsia" w:ascii="仿宋" w:hAnsi="仿宋" w:eastAsia="仿宋"/>
          <w:color w:val="auto"/>
          <w:lang w:val="en-US" w:eastAsia="zh-CN"/>
        </w:rPr>
        <w:t>本项目地处密云区核心城区，依托周边成熟居住区、商圈及学校形成的刚性停车需求，在特许经营期限内可获得持续、稳定的停车收费现金流，现金流与回款稳定清晰，能够足额覆盖项目贷款本息，还款来源明确、可追溯，为金融机构信贷投放提供了坚实可靠的还款保障。</w:t>
      </w:r>
    </w:p>
    <w:p w14:paraId="2611821E">
      <w:pPr>
        <w:numPr>
          <w:ilvl w:val="0"/>
          <w:numId w:val="58"/>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资产属性优质</w:t>
      </w:r>
    </w:p>
    <w:p w14:paraId="0A93861F">
      <w:pPr>
        <w:numPr>
          <w:ilvl w:val="0"/>
          <w:numId w:val="0"/>
        </w:numPr>
        <w:bidi w:val="0"/>
        <w:ind w:firstLine="560" w:firstLineChars="200"/>
        <w:rPr>
          <w:rFonts w:hint="eastAsia" w:ascii="仿宋" w:hAnsi="仿宋" w:eastAsia="仿宋"/>
          <w:color w:val="auto"/>
          <w:lang w:eastAsia="zh-CN"/>
        </w:rPr>
      </w:pPr>
      <w:r>
        <w:rPr>
          <w:rFonts w:hint="eastAsia" w:ascii="仿宋" w:hAnsi="仿宋" w:eastAsia="仿宋"/>
          <w:color w:val="auto"/>
          <w:lang w:val="en-US" w:eastAsia="zh-CN"/>
        </w:rPr>
        <w:t>本项目属于城市基础设施类固定资产，权属清晰、价值稳定、变现能力较强，具备优质的抵押担保价值；同时，项目特许经营期限内形成的稳定停车收益可作为收益权质押标的，有效降低金融机构信贷风险，资产融资适配性突出。</w:t>
      </w:r>
    </w:p>
    <w:p w14:paraId="39CD14BE">
      <w:pPr>
        <w:numPr>
          <w:ilvl w:val="0"/>
          <w:numId w:val="58"/>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政策鼓励支持</w:t>
      </w:r>
    </w:p>
    <w:p w14:paraId="17152A94">
      <w:pPr>
        <w:numPr>
          <w:ilvl w:val="0"/>
          <w:numId w:val="0"/>
        </w:num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北京市联合中国人民银行、银保监会、证监会等部门，积极推进城市停车场建设金融支持试点工作，对符合条件的项目主体发行城市停车场建设专项债券予以重点支持，并在抵押融资、融资租赁等领域加大政策倾斜与资源投放，为项目拓宽多元融资渠道、降低综合融资成本提供了坚实政策保障，进一步强化了金融机构的参与意愿。</w:t>
      </w:r>
    </w:p>
    <w:p w14:paraId="0C9F09DC">
      <w:pPr>
        <w:numPr>
          <w:ilvl w:val="0"/>
          <w:numId w:val="0"/>
        </w:num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综上所述，本项目在特许经营模式下，金融机构参与意愿较高。</w:t>
      </w:r>
    </w:p>
    <w:p w14:paraId="4D61FDFD">
      <w:pPr>
        <w:pStyle w:val="3"/>
        <w:bidi w:val="0"/>
        <w:ind w:left="575" w:hanging="575"/>
        <w:rPr>
          <w:rFonts w:hint="eastAsia" w:ascii="仿宋" w:hAnsi="仿宋" w:eastAsia="仿宋" w:cs="仿宋"/>
          <w:color w:val="auto"/>
          <w:highlight w:val="none"/>
          <w:lang w:val="en-US" w:eastAsia="zh-CN"/>
        </w:rPr>
      </w:pPr>
      <w:bookmarkStart w:id="119" w:name="_Toc517"/>
      <w:bookmarkStart w:id="120" w:name="_Toc22423"/>
      <w:bookmarkStart w:id="121" w:name="_Toc16783"/>
      <w:bookmarkStart w:id="122" w:name="_Toc23045"/>
      <w:r>
        <w:rPr>
          <w:rFonts w:hint="eastAsia" w:ascii="仿宋" w:hAnsi="仿宋" w:eastAsia="仿宋" w:cs="仿宋"/>
          <w:color w:val="auto"/>
          <w:highlight w:val="none"/>
          <w:lang w:val="en-US" w:eastAsia="zh-CN"/>
        </w:rPr>
        <w:t>合法合规性分析</w:t>
      </w:r>
      <w:bookmarkEnd w:id="119"/>
      <w:bookmarkEnd w:id="120"/>
      <w:bookmarkEnd w:id="121"/>
      <w:bookmarkEnd w:id="122"/>
    </w:p>
    <w:p w14:paraId="30BD8DDA">
      <w:pPr>
        <w:bidi w:val="0"/>
        <w:rPr>
          <w:rFonts w:hint="eastAsia" w:ascii="仿宋" w:hAnsi="仿宋" w:eastAsia="仿宋"/>
          <w:color w:val="auto"/>
          <w:lang w:val="en-US" w:eastAsia="zh-CN"/>
        </w:rPr>
      </w:pPr>
      <w:r>
        <w:rPr>
          <w:rFonts w:hint="eastAsia" w:ascii="仿宋" w:hAnsi="仿宋" w:eastAsia="仿宋"/>
          <w:color w:val="auto"/>
          <w:lang w:val="en-US" w:eastAsia="zh-CN"/>
        </w:rPr>
        <w:t>本项目采用特许经营模式符合国家及地方法律法规。</w:t>
      </w:r>
    </w:p>
    <w:p w14:paraId="48A0DAA9">
      <w:pPr>
        <w:pStyle w:val="4"/>
        <w:bidi w:val="0"/>
        <w:ind w:left="720" w:hanging="720"/>
        <w:rPr>
          <w:rFonts w:hint="eastAsia" w:ascii="仿宋" w:hAnsi="仿宋" w:eastAsia="仿宋"/>
          <w:color w:val="auto"/>
          <w:lang w:val="en-US" w:eastAsia="zh-CN"/>
        </w:rPr>
      </w:pPr>
      <w:bookmarkStart w:id="123" w:name="_Toc936491009"/>
      <w:bookmarkStart w:id="124" w:name="_Toc1726"/>
      <w:bookmarkStart w:id="125" w:name="_Toc807296920"/>
      <w:r>
        <w:rPr>
          <w:rFonts w:hint="eastAsia" w:ascii="仿宋" w:hAnsi="仿宋" w:eastAsia="仿宋"/>
          <w:color w:val="auto"/>
          <w:lang w:val="en-US" w:eastAsia="zh-CN"/>
        </w:rPr>
        <w:t>国家政策符合性</w:t>
      </w:r>
      <w:bookmarkEnd w:id="123"/>
      <w:bookmarkEnd w:id="124"/>
      <w:bookmarkEnd w:id="125"/>
    </w:p>
    <w:p w14:paraId="2AA50275">
      <w:pPr>
        <w:numPr>
          <w:ilvl w:val="0"/>
          <w:numId w:val="59"/>
        </w:numPr>
        <w:bidi w:val="0"/>
        <w:rPr>
          <w:rFonts w:hint="eastAsia" w:ascii="仿宋" w:hAnsi="仿宋" w:eastAsia="仿宋"/>
          <w:color w:val="auto"/>
          <w:highlight w:val="none"/>
          <w:lang w:val="en-US" w:eastAsia="zh-CN"/>
        </w:rPr>
      </w:pPr>
      <w:r>
        <w:rPr>
          <w:rFonts w:hint="eastAsia" w:ascii="仿宋" w:hAnsi="仿宋" w:eastAsia="仿宋"/>
          <w:color w:val="auto"/>
          <w:highlight w:val="none"/>
          <w:lang w:val="en-US" w:eastAsia="zh-CN"/>
        </w:rPr>
        <w:t>《基础设施和公用事业特许经营管理办法》（国家发展改革委等六部委令第17号）</w:t>
      </w:r>
    </w:p>
    <w:p w14:paraId="52A8D6A9">
      <w:pPr>
        <w:bidi w:val="0"/>
        <w:rPr>
          <w:rFonts w:hint="eastAsia" w:ascii="仿宋" w:hAnsi="仿宋" w:eastAsia="仿宋"/>
          <w:color w:val="auto"/>
          <w:lang w:val="en-US" w:eastAsia="zh-CN"/>
        </w:rPr>
      </w:pPr>
      <w:r>
        <w:rPr>
          <w:rFonts w:hint="eastAsia" w:ascii="仿宋" w:hAnsi="仿宋" w:eastAsia="仿宋"/>
          <w:color w:val="auto"/>
          <w:lang w:val="en-US" w:eastAsia="zh-CN"/>
        </w:rPr>
        <w:t>文件明确：市政公用设施等领域可采用特许经营模式；规定风险分担原则，商业风险由社会资本承担，政策风险由政府承担，不可抗力风险共担；要求通过公开竞争方式选择特许经营者。</w:t>
      </w:r>
    </w:p>
    <w:p w14:paraId="630C1F07">
      <w:pPr>
        <w:bidi w:val="0"/>
        <w:rPr>
          <w:rFonts w:hint="eastAsia" w:ascii="仿宋" w:hAnsi="仿宋" w:eastAsia="仿宋"/>
          <w:color w:val="auto"/>
          <w:lang w:val="en-US" w:eastAsia="zh-CN"/>
        </w:rPr>
      </w:pPr>
      <w:r>
        <w:rPr>
          <w:rFonts w:hint="eastAsia" w:ascii="仿宋" w:hAnsi="仿宋" w:eastAsia="仿宋"/>
          <w:color w:val="auto"/>
          <w:lang w:val="en-US" w:eastAsia="zh-CN"/>
        </w:rPr>
        <w:t>本项目属于市政公用设施采用特许经营模式，符合该管理办法的要求。</w:t>
      </w:r>
    </w:p>
    <w:p w14:paraId="53409BA3">
      <w:pPr>
        <w:numPr>
          <w:ilvl w:val="0"/>
          <w:numId w:val="59"/>
        </w:numPr>
        <w:bidi w:val="0"/>
        <w:rPr>
          <w:rFonts w:hint="eastAsia" w:ascii="仿宋" w:hAnsi="仿宋" w:eastAsia="仿宋"/>
          <w:color w:val="auto"/>
          <w:lang w:eastAsia="zh-CN"/>
        </w:rPr>
      </w:pPr>
      <w:r>
        <w:rPr>
          <w:rFonts w:hint="eastAsia" w:ascii="仿宋" w:hAnsi="仿宋" w:eastAsia="仿宋"/>
          <w:color w:val="auto"/>
        </w:rPr>
        <w:t>《关于规范实施政府和社会资本合作新机制的指导意见》</w:t>
      </w:r>
      <w:r>
        <w:rPr>
          <w:rFonts w:hint="eastAsia" w:ascii="仿宋" w:hAnsi="仿宋" w:eastAsia="仿宋"/>
          <w:color w:val="auto"/>
          <w:lang w:eastAsia="zh-CN"/>
        </w:rPr>
        <w:t>（</w:t>
      </w:r>
      <w:r>
        <w:rPr>
          <w:rFonts w:hint="eastAsia" w:ascii="仿宋" w:hAnsi="仿宋" w:eastAsia="仿宋"/>
          <w:color w:val="auto"/>
        </w:rPr>
        <w:t>国办函〔2023〕115号</w:t>
      </w:r>
      <w:r>
        <w:rPr>
          <w:rFonts w:hint="eastAsia" w:ascii="仿宋" w:hAnsi="仿宋" w:eastAsia="仿宋"/>
          <w:color w:val="auto"/>
          <w:lang w:eastAsia="zh-CN"/>
        </w:rPr>
        <w:t>）</w:t>
      </w:r>
    </w:p>
    <w:p w14:paraId="5D6E8662">
      <w:pPr>
        <w:bidi w:val="0"/>
        <w:rPr>
          <w:rFonts w:hint="eastAsia" w:ascii="仿宋" w:hAnsi="仿宋" w:eastAsia="仿宋"/>
          <w:color w:val="auto"/>
          <w:lang w:val="en-US" w:eastAsia="zh-CN"/>
        </w:rPr>
      </w:pPr>
      <w:r>
        <w:rPr>
          <w:rFonts w:hint="eastAsia" w:ascii="仿宋" w:hAnsi="仿宋" w:eastAsia="仿宋"/>
          <w:color w:val="auto"/>
          <w:lang w:val="en-US" w:eastAsia="zh-CN"/>
        </w:rPr>
        <w:t>文件提出：合理把握重点领域。政府和社会资本合作应限定于有经营性收益的项目，主要包括公路、铁路、民航基础设施和交通枢纽等交通项目，物流枢纽、物流园区项目，城镇供水、供气、供热、</w:t>
      </w:r>
      <w:r>
        <w:rPr>
          <w:rFonts w:hint="eastAsia" w:ascii="仿宋" w:hAnsi="仿宋" w:eastAsia="仿宋"/>
          <w:b/>
          <w:bCs/>
          <w:color w:val="auto"/>
          <w:lang w:val="en-US" w:eastAsia="zh-CN"/>
        </w:rPr>
        <w:t>停车场等市政项目</w:t>
      </w:r>
      <w:r>
        <w:rPr>
          <w:rFonts w:hint="eastAsia" w:ascii="仿宋" w:hAnsi="仿宋" w:eastAsia="仿宋"/>
          <w:color w:val="auto"/>
          <w:lang w:val="en-US" w:eastAsia="zh-CN"/>
        </w:rPr>
        <w:t>，城镇污水垃圾收集处理及资源化利用等生态保护和环境治理项目，具有发电功能的水利项目，体育、旅游公共服务等社会项目，智慧城市、智慧交通、智慧农业等新型基础设施项目，城市更新、综合交通枢纽改造等盘活存量和改扩建有机结合的项目。</w:t>
      </w:r>
    </w:p>
    <w:p w14:paraId="1BF78FE7">
      <w:pPr>
        <w:bidi w:val="0"/>
        <w:rPr>
          <w:rFonts w:hint="eastAsia" w:ascii="仿宋" w:hAnsi="仿宋" w:eastAsia="仿宋"/>
          <w:color w:val="auto"/>
          <w:lang w:val="en-US" w:eastAsia="zh-CN"/>
        </w:rPr>
      </w:pPr>
      <w:r>
        <w:rPr>
          <w:rFonts w:hint="eastAsia" w:ascii="仿宋" w:hAnsi="仿宋" w:eastAsia="仿宋"/>
          <w:color w:val="auto"/>
          <w:lang w:val="en-US" w:eastAsia="zh-CN"/>
        </w:rPr>
        <w:t>政府和社会资本合作项目应聚焦使用者付费项目，明确收费渠道和方式，项目经营收入能够覆盖建设投资和运营成本、具备一定投资回报，不因采用政府和社会资本合作模式额外新增地方财政未来支出责任。政府可在严防新增地方政府隐性债务、符合法律法规和有关政策规定要求的前提下，按照一视同仁的原则，在项目建设期对使用者付费项目给予政府投资支持。</w:t>
      </w:r>
    </w:p>
    <w:p w14:paraId="16FB9E35">
      <w:pPr>
        <w:bidi w:val="0"/>
        <w:rPr>
          <w:rFonts w:hint="eastAsia" w:ascii="仿宋" w:hAnsi="仿宋" w:eastAsia="仿宋"/>
          <w:color w:val="auto"/>
          <w:lang w:val="en-US" w:eastAsia="zh-CN"/>
        </w:rPr>
      </w:pPr>
      <w:r>
        <w:rPr>
          <w:rFonts w:hint="eastAsia" w:ascii="仿宋" w:hAnsi="仿宋" w:eastAsia="仿宋"/>
          <w:color w:val="auto"/>
          <w:lang w:val="en-US" w:eastAsia="zh-CN"/>
        </w:rPr>
        <w:t>本项目属于有经营性收益的停车场项目，符合该指导意见的要求。</w:t>
      </w:r>
    </w:p>
    <w:p w14:paraId="6E948A77">
      <w:pPr>
        <w:numPr>
          <w:ilvl w:val="0"/>
          <w:numId w:val="59"/>
        </w:numPr>
        <w:bidi w:val="0"/>
        <w:rPr>
          <w:rFonts w:hint="eastAsia" w:ascii="仿宋" w:hAnsi="仿宋" w:eastAsia="仿宋"/>
          <w:color w:val="auto"/>
          <w:lang w:eastAsia="zh-CN"/>
        </w:rPr>
      </w:pPr>
      <w:r>
        <w:rPr>
          <w:rFonts w:hint="eastAsia" w:ascii="仿宋" w:hAnsi="仿宋" w:eastAsia="仿宋"/>
          <w:color w:val="auto"/>
          <w:lang w:eastAsia="zh-CN"/>
        </w:rPr>
        <w:t>《国务院办公厅转发国家发展改革委等部门关于推动城市停车设施发展意见的通知》（国办函〔2021〕46号）</w:t>
      </w:r>
    </w:p>
    <w:p w14:paraId="470F2DF6">
      <w:pPr>
        <w:bidi w:val="0"/>
        <w:rPr>
          <w:rFonts w:hint="eastAsia" w:ascii="仿宋" w:hAnsi="仿宋" w:eastAsia="仿宋"/>
          <w:color w:val="auto"/>
        </w:rPr>
      </w:pPr>
      <w:r>
        <w:rPr>
          <w:rFonts w:hint="eastAsia" w:ascii="仿宋" w:hAnsi="仿宋" w:eastAsia="仿宋"/>
          <w:color w:val="auto"/>
          <w:lang w:val="en-US" w:eastAsia="zh-CN"/>
        </w:rPr>
        <w:t>文件提出：到2025年，全国大中小城市基本建成配建停车设施为主、路外公共停车设施为辅、路内停车为补充的城市停车系统，</w:t>
      </w:r>
      <w:r>
        <w:rPr>
          <w:rFonts w:hint="eastAsia" w:ascii="仿宋" w:hAnsi="仿宋" w:eastAsia="仿宋"/>
          <w:b/>
          <w:bCs/>
          <w:color w:val="auto"/>
          <w:lang w:val="en-US" w:eastAsia="zh-CN"/>
        </w:rPr>
        <w:t>社会资本广泛参与，</w:t>
      </w:r>
      <w:r>
        <w:rPr>
          <w:rFonts w:hint="eastAsia" w:ascii="仿宋" w:hAnsi="仿宋" w:eastAsia="仿宋"/>
          <w:color w:val="auto"/>
          <w:lang w:val="en-US" w:eastAsia="zh-CN"/>
        </w:rPr>
        <w:t>信息技术与停车产业深度融合，停车资源高效利用，城市停车规范有序，依法治理、社会共治局面基本形成，</w:t>
      </w:r>
      <w:r>
        <w:rPr>
          <w:rFonts w:hint="eastAsia" w:ascii="仿宋" w:hAnsi="仿宋" w:eastAsia="仿宋"/>
          <w:b/>
          <w:bCs/>
          <w:color w:val="auto"/>
          <w:lang w:val="en-US" w:eastAsia="zh-CN"/>
        </w:rPr>
        <w:t>居住社区、医院、学校、交通枢纽等重点区域停车需求基本得到满足。</w:t>
      </w:r>
      <w:r>
        <w:rPr>
          <w:rFonts w:hint="eastAsia" w:ascii="仿宋" w:hAnsi="仿宋" w:eastAsia="仿宋"/>
          <w:color w:val="auto"/>
          <w:lang w:val="en-US" w:eastAsia="zh-CN"/>
        </w:rPr>
        <w:t>到2035年，布局合理、供给充足、智能高效、便捷可及的城市停车系统全面建成，为现代城市发展提供有力支撑</w:t>
      </w:r>
      <w:r>
        <w:rPr>
          <w:rFonts w:hint="eastAsia" w:ascii="仿宋" w:hAnsi="仿宋" w:eastAsia="仿宋"/>
          <w:color w:val="auto"/>
        </w:rPr>
        <w:t>。</w:t>
      </w:r>
    </w:p>
    <w:p w14:paraId="5682AD61">
      <w:pPr>
        <w:bidi w:val="0"/>
        <w:rPr>
          <w:rFonts w:hint="eastAsia" w:ascii="仿宋" w:hAnsi="仿宋" w:eastAsia="仿宋"/>
          <w:color w:val="auto"/>
        </w:rPr>
      </w:pPr>
      <w:r>
        <w:rPr>
          <w:rFonts w:hint="eastAsia" w:ascii="仿宋" w:hAnsi="仿宋" w:eastAsia="仿宋"/>
          <w:color w:val="auto"/>
        </w:rPr>
        <w:t>完善停车设施用地政策。加强独立新建停车设施用地保障，充分利用城市边角空闲土地、中心城区功能搬迁腾出土地、城市公共设施新改建预留土地以及机关、企事业单位自有土地增建停车设施，鼓励其他土地使用权人利用自有土地增建停车设施。充分利用地上地下空间建设停车设施，挖掘城市道路、广场、公园绿地以及公交场站、垃圾站等公共设施地下空间潜力，布局建设停车设施，鼓励建设多功能综合体。各地区结合具体实际，抓紧出台土地分层开发实施细则，落实土地要素市场化配置政策，采用长期租赁、先租后让等方式供应停车设施用地；符合《划拨用地目录》的停车设施用地，采取划拨方式供地。</w:t>
      </w:r>
    </w:p>
    <w:p w14:paraId="095D1F53">
      <w:pPr>
        <w:bidi w:val="0"/>
        <w:rPr>
          <w:rFonts w:hint="eastAsia" w:ascii="仿宋" w:hAnsi="仿宋" w:eastAsia="仿宋"/>
          <w:color w:val="auto"/>
          <w:lang w:val="en-US" w:eastAsia="zh-CN"/>
        </w:rPr>
      </w:pPr>
      <w:r>
        <w:rPr>
          <w:rFonts w:hint="eastAsia" w:ascii="仿宋" w:hAnsi="仿宋" w:eastAsia="仿宋"/>
          <w:color w:val="auto"/>
          <w:lang w:val="en-US" w:eastAsia="zh-CN"/>
        </w:rPr>
        <w:t>本项目采用特许经营模式引入社会资本广泛参与，充分挖掘公园绿地地下空间潜力布局建设停车设施，推动项目附近居住社区、学校等区域内停车泊位供需逐渐实现平衡，符合该发展意见要求。</w:t>
      </w:r>
    </w:p>
    <w:p w14:paraId="0134A720">
      <w:pPr>
        <w:numPr>
          <w:ilvl w:val="0"/>
          <w:numId w:val="59"/>
        </w:numPr>
        <w:bidi w:val="0"/>
        <w:rPr>
          <w:rFonts w:hint="eastAsia" w:ascii="仿宋" w:hAnsi="仿宋" w:eastAsia="仿宋"/>
          <w:color w:val="auto"/>
        </w:rPr>
      </w:pPr>
      <w:r>
        <w:rPr>
          <w:rFonts w:hint="eastAsia" w:ascii="仿宋" w:hAnsi="仿宋" w:eastAsia="仿宋"/>
          <w:color w:val="auto"/>
        </w:rPr>
        <w:t>《住</w:t>
      </w:r>
      <w:r>
        <w:rPr>
          <w:rFonts w:hint="eastAsia" w:ascii="仿宋" w:hAnsi="仿宋" w:eastAsia="仿宋"/>
          <w:color w:val="auto"/>
          <w:lang w:eastAsia="zh-CN"/>
        </w:rPr>
        <w:t>房和</w:t>
      </w:r>
      <w:r>
        <w:rPr>
          <w:rFonts w:hint="eastAsia" w:ascii="仿宋" w:hAnsi="仿宋" w:eastAsia="仿宋"/>
          <w:color w:val="auto"/>
        </w:rPr>
        <w:t>城乡建设部关于全面推进城市综合交通体系建设的指导意见》（建城〔2023〕74号）</w:t>
      </w:r>
    </w:p>
    <w:p w14:paraId="06031F15">
      <w:pPr>
        <w:bidi w:val="0"/>
        <w:rPr>
          <w:rFonts w:hint="eastAsia" w:ascii="仿宋" w:hAnsi="仿宋" w:eastAsia="仿宋"/>
          <w:color w:val="auto"/>
        </w:rPr>
      </w:pPr>
      <w:r>
        <w:rPr>
          <w:rFonts w:hint="eastAsia" w:ascii="仿宋" w:hAnsi="仿宋" w:eastAsia="仿宋"/>
          <w:color w:val="auto"/>
          <w:lang w:val="en-US" w:eastAsia="zh-CN"/>
        </w:rPr>
        <w:t>文件</w:t>
      </w:r>
      <w:r>
        <w:rPr>
          <w:rFonts w:hint="eastAsia" w:ascii="仿宋" w:hAnsi="仿宋" w:eastAsia="仿宋"/>
          <w:color w:val="auto"/>
        </w:rPr>
        <w:t>明确推动城市交通基础设施系统化协同化发展。加快补齐城市重点区域停车设施短板。聚焦老旧小区、医院、学校等重点区域，因地制宜加快推进外部新建、周边共享和内部挖潜等项目，增加停车设施有效供给。鼓励大中城市轨道交通外围站点建设换乘停车设施，引导居民优先选择公共交通出行方式。</w:t>
      </w:r>
    </w:p>
    <w:p w14:paraId="00C1A250">
      <w:pPr>
        <w:bidi w:val="0"/>
        <w:rPr>
          <w:rFonts w:hint="eastAsia" w:ascii="仿宋" w:hAnsi="仿宋" w:eastAsia="仿宋"/>
          <w:color w:val="auto"/>
          <w:lang w:val="en-US" w:eastAsia="zh-CN"/>
        </w:rPr>
      </w:pPr>
      <w:r>
        <w:rPr>
          <w:rFonts w:hint="eastAsia" w:ascii="仿宋" w:hAnsi="仿宋" w:eastAsia="仿宋"/>
          <w:color w:val="auto"/>
          <w:lang w:val="en-US" w:eastAsia="zh-CN"/>
        </w:rPr>
        <w:t>本项目聚焦老旧小区、学校等重点区域，增加停车设施有效供给，符合该指导意见的要求。</w:t>
      </w:r>
    </w:p>
    <w:p w14:paraId="10FF9458">
      <w:pPr>
        <w:pStyle w:val="4"/>
        <w:bidi w:val="0"/>
        <w:ind w:left="720" w:hanging="720"/>
        <w:rPr>
          <w:rFonts w:hint="eastAsia" w:ascii="仿宋" w:hAnsi="仿宋" w:eastAsia="仿宋"/>
          <w:color w:val="auto"/>
          <w:lang w:val="en-US" w:eastAsia="zh-CN"/>
        </w:rPr>
      </w:pPr>
      <w:bookmarkStart w:id="126" w:name="_Toc3141"/>
      <w:bookmarkStart w:id="127" w:name="_Toc437652694"/>
      <w:bookmarkStart w:id="128" w:name="_Toc696739400"/>
      <w:r>
        <w:rPr>
          <w:rFonts w:hint="eastAsia" w:ascii="仿宋" w:hAnsi="仿宋" w:eastAsia="仿宋"/>
          <w:color w:val="auto"/>
          <w:lang w:val="en-US" w:eastAsia="zh-CN"/>
        </w:rPr>
        <w:t>北京市政策符合性</w:t>
      </w:r>
      <w:bookmarkEnd w:id="126"/>
      <w:bookmarkEnd w:id="127"/>
      <w:bookmarkEnd w:id="128"/>
    </w:p>
    <w:p w14:paraId="4CB4EC15">
      <w:pPr>
        <w:numPr>
          <w:ilvl w:val="0"/>
          <w:numId w:val="60"/>
        </w:numPr>
        <w:bidi w:val="0"/>
        <w:rPr>
          <w:rFonts w:hint="eastAsia" w:ascii="仿宋" w:hAnsi="仿宋" w:eastAsia="仿宋"/>
          <w:color w:val="auto"/>
          <w:lang w:val="en-US" w:eastAsia="zh-CN"/>
        </w:rPr>
      </w:pPr>
      <w:r>
        <w:rPr>
          <w:rFonts w:hint="eastAsia" w:ascii="仿宋" w:hAnsi="仿宋" w:eastAsia="仿宋"/>
          <w:color w:val="auto"/>
          <w:lang w:val="en-US" w:eastAsia="zh-CN"/>
        </w:rPr>
        <w:t>《关于推动城市停车设施发展和管理的实施意见》（京交停车发〔2023〕22号）</w:t>
      </w:r>
    </w:p>
    <w:p w14:paraId="6240C9DF">
      <w:pPr>
        <w:numPr>
          <w:ilvl w:val="0"/>
          <w:numId w:val="0"/>
        </w:numPr>
        <w:bidi w:val="0"/>
        <w:ind w:firstLine="560" w:firstLineChars="200"/>
        <w:rPr>
          <w:rFonts w:hint="eastAsia" w:ascii="仿宋" w:hAnsi="仿宋" w:eastAsia="仿宋"/>
          <w:b/>
          <w:bCs/>
          <w:color w:val="auto"/>
          <w:lang w:val="en-US" w:eastAsia="zh-CN"/>
        </w:rPr>
      </w:pPr>
      <w:r>
        <w:rPr>
          <w:rFonts w:hint="eastAsia" w:ascii="仿宋" w:hAnsi="仿宋" w:eastAsia="仿宋"/>
          <w:color w:val="auto"/>
          <w:lang w:val="en-US" w:eastAsia="zh-CN"/>
        </w:rPr>
        <w:t>重点保障居住车位，城市更新腾退空间优先用于建设停车楼，并与周边环境相协调；</w:t>
      </w:r>
      <w:r>
        <w:rPr>
          <w:rFonts w:hint="eastAsia" w:ascii="仿宋" w:hAnsi="仿宋" w:eastAsia="仿宋"/>
          <w:b/>
          <w:bCs/>
          <w:color w:val="auto"/>
          <w:lang w:val="en-US" w:eastAsia="zh-CN"/>
        </w:rPr>
        <w:t>充分利用地上地下空间建设停车设施；挖掘公园绿地、城市道路、广场等公共设施地下空间潜力，布局建设停车设施。</w:t>
      </w:r>
    </w:p>
    <w:p w14:paraId="737B66FC">
      <w:pPr>
        <w:numPr>
          <w:ilvl w:val="0"/>
          <w:numId w:val="0"/>
        </w:numPr>
        <w:bidi w:val="0"/>
        <w:ind w:firstLine="560" w:firstLineChars="200"/>
        <w:rPr>
          <w:rFonts w:hint="eastAsia" w:ascii="仿宋" w:hAnsi="仿宋" w:eastAsia="仿宋"/>
          <w:b/>
          <w:bCs/>
          <w:color w:val="auto"/>
          <w:lang w:val="en-US" w:eastAsia="zh-CN"/>
        </w:rPr>
      </w:pPr>
      <w:r>
        <w:rPr>
          <w:rFonts w:hint="eastAsia" w:ascii="仿宋" w:hAnsi="仿宋" w:eastAsia="仿宋"/>
          <w:color w:val="auto"/>
          <w:lang w:val="en-US" w:eastAsia="zh-CN"/>
        </w:rPr>
        <w:t>规范运用政府和社会资本合作等模式推动共同投资运营停车设施。对于收益较好的停车设施，鼓励社会资本以市场化投资为主开发运营。有条件的片区可通过“集中打包，统一管理”方式进行规模化开发。对于服务居住停车为主等收益较小的停车设施，</w:t>
      </w:r>
      <w:r>
        <w:rPr>
          <w:rFonts w:hint="eastAsia" w:ascii="仿宋" w:hAnsi="仿宋" w:eastAsia="仿宋"/>
          <w:b/>
          <w:bCs/>
          <w:color w:val="auto"/>
          <w:lang w:val="en-US" w:eastAsia="zh-CN"/>
        </w:rPr>
        <w:t>可通过合理确定收费标准、政府适当让渡项目经营收益权等方式，积极引入社会资本参与建设。</w:t>
      </w:r>
    </w:p>
    <w:p w14:paraId="56F427AA">
      <w:pPr>
        <w:numPr>
          <w:ilvl w:val="0"/>
          <w:numId w:val="0"/>
        </w:numPr>
        <w:bidi w:val="0"/>
        <w:ind w:firstLine="562" w:firstLineChars="200"/>
        <w:rPr>
          <w:rFonts w:hint="eastAsia" w:ascii="仿宋" w:hAnsi="仿宋" w:eastAsia="仿宋"/>
          <w:color w:val="auto"/>
          <w:lang w:val="en-US" w:eastAsia="zh-CN"/>
        </w:rPr>
      </w:pPr>
      <w:r>
        <w:rPr>
          <w:rFonts w:hint="eastAsia" w:ascii="仿宋" w:hAnsi="仿宋" w:eastAsia="仿宋"/>
          <w:b/>
          <w:bCs/>
          <w:color w:val="auto"/>
          <w:lang w:val="en-US" w:eastAsia="zh-CN"/>
        </w:rPr>
        <w:t>鼓励采用租赁、政府作价出资入股等方式供应停车设施用地。</w:t>
      </w:r>
      <w:r>
        <w:rPr>
          <w:rFonts w:hint="eastAsia" w:ascii="仿宋" w:hAnsi="仿宋" w:eastAsia="仿宋"/>
          <w:color w:val="auto"/>
          <w:lang w:val="en-US" w:eastAsia="zh-CN"/>
        </w:rPr>
        <w:t>规划中独立设置的中心城区区域配套停车设施、驻车换乘停车设施、公共汽电车场站等公益性停车设施，是城市交通基础设施，</w:t>
      </w:r>
      <w:r>
        <w:rPr>
          <w:rFonts w:hint="eastAsia" w:ascii="仿宋" w:hAnsi="仿宋" w:eastAsia="仿宋"/>
          <w:b/>
          <w:bCs/>
          <w:color w:val="auto"/>
          <w:lang w:val="en-US" w:eastAsia="zh-CN"/>
        </w:rPr>
        <w:t>用地按照土地管理规定实行划拨或者协议出让等。</w:t>
      </w:r>
    </w:p>
    <w:p w14:paraId="1DDF15BF">
      <w:pPr>
        <w:numPr>
          <w:ilvl w:val="0"/>
          <w:numId w:val="0"/>
        </w:numPr>
        <w:bidi w:val="0"/>
        <w:ind w:firstLine="560" w:firstLineChars="200"/>
        <w:rPr>
          <w:rFonts w:hint="eastAsia" w:ascii="仿宋" w:hAnsi="仿宋" w:eastAsia="仿宋"/>
          <w:b/>
          <w:bCs/>
          <w:color w:val="auto"/>
          <w:highlight w:val="none"/>
          <w:lang w:val="en-US" w:eastAsia="zh-CN"/>
        </w:rPr>
      </w:pPr>
      <w:r>
        <w:rPr>
          <w:rFonts w:hint="eastAsia" w:ascii="仿宋" w:hAnsi="仿宋" w:eastAsia="仿宋"/>
          <w:color w:val="auto"/>
          <w:highlight w:val="none"/>
          <w:lang w:val="en-US" w:eastAsia="zh-CN"/>
        </w:rPr>
        <w:t>经研究论证，</w:t>
      </w:r>
      <w:r>
        <w:rPr>
          <w:rFonts w:hint="eastAsia" w:ascii="仿宋" w:hAnsi="仿宋" w:eastAsia="仿宋"/>
          <w:b/>
          <w:bCs/>
          <w:color w:val="auto"/>
          <w:highlight w:val="none"/>
          <w:lang w:val="en-US" w:eastAsia="zh-CN"/>
        </w:rPr>
        <w:t>对于确需建设的地下停车设施项目，由市政府固定资产投资安排不超过工程投资50%的资金补助。</w:t>
      </w:r>
    </w:p>
    <w:p w14:paraId="5F4824B0">
      <w:pPr>
        <w:numPr>
          <w:ilvl w:val="0"/>
          <w:numId w:val="0"/>
        </w:num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本项目充分挖掘公园绿地与地下空间潜力，通过协议出让土地，引入社会资本方运营，符合实施意见的核心要求。</w:t>
      </w:r>
    </w:p>
    <w:p w14:paraId="49328EA2">
      <w:pPr>
        <w:pStyle w:val="3"/>
        <w:bidi w:val="0"/>
        <w:ind w:left="575" w:hanging="575"/>
        <w:rPr>
          <w:rFonts w:hint="eastAsia" w:ascii="仿宋" w:hAnsi="仿宋" w:eastAsia="仿宋" w:cs="仿宋"/>
          <w:color w:val="auto"/>
          <w:highlight w:val="none"/>
          <w:lang w:val="en-US" w:eastAsia="zh-CN"/>
        </w:rPr>
      </w:pPr>
      <w:bookmarkStart w:id="129" w:name="_Toc11455"/>
      <w:bookmarkStart w:id="130" w:name="_Toc2889"/>
      <w:bookmarkStart w:id="131" w:name="_Toc30213"/>
      <w:bookmarkStart w:id="132" w:name="_Toc20419"/>
      <w:r>
        <w:rPr>
          <w:rFonts w:hint="eastAsia" w:ascii="仿宋" w:hAnsi="仿宋" w:eastAsia="仿宋" w:cs="仿宋"/>
          <w:color w:val="auto"/>
          <w:highlight w:val="none"/>
          <w:lang w:val="en-US" w:eastAsia="zh-CN"/>
        </w:rPr>
        <w:t>特许经营风险分析</w:t>
      </w:r>
      <w:bookmarkEnd w:id="129"/>
      <w:bookmarkEnd w:id="130"/>
      <w:bookmarkEnd w:id="131"/>
      <w:bookmarkEnd w:id="132"/>
    </w:p>
    <w:p w14:paraId="6278DA12">
      <w:pPr>
        <w:shd w:val="clear" w:color="auto"/>
        <w:ind w:firstLine="560"/>
        <w:rPr>
          <w:rFonts w:hint="eastAsia" w:ascii="仿宋" w:hAnsi="仿宋" w:eastAsia="仿宋"/>
          <w:bCs/>
          <w:color w:val="auto"/>
          <w:sz w:val="28"/>
          <w:szCs w:val="28"/>
          <w:highlight w:val="none"/>
          <w:lang w:val="en-US" w:eastAsia="zh-CN"/>
        </w:rPr>
      </w:pPr>
      <w:r>
        <w:rPr>
          <w:rFonts w:hint="eastAsia" w:ascii="仿宋" w:hAnsi="仿宋" w:eastAsia="仿宋"/>
          <w:bCs/>
          <w:color w:val="auto"/>
          <w:sz w:val="28"/>
          <w:szCs w:val="28"/>
          <w:highlight w:val="none"/>
          <w:lang w:val="en-US" w:eastAsia="zh-CN"/>
        </w:rPr>
        <w:t>从特许经营模式的运作逻辑与权责特性来看，本项目地下停车场采用该模式，除了常规的工程建设、运营管理类风险外，还存在特许经营模式特有的核心风险，这类风险源于政府与社会资本的合作机制、权利义务边界及长期履约特性。具体分析如下。</w:t>
      </w:r>
    </w:p>
    <w:p w14:paraId="51959810">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特许经营权边界界定风险</w:t>
      </w:r>
    </w:p>
    <w:p w14:paraId="7B9F07F9">
      <w:pPr>
        <w:shd w:val="clear" w:color="auto"/>
        <w:ind w:firstLine="560"/>
        <w:rPr>
          <w:rFonts w:hint="eastAsia" w:ascii="仿宋" w:hAnsi="仿宋" w:eastAsia="仿宋"/>
          <w:bCs/>
          <w:color w:val="auto"/>
          <w:sz w:val="28"/>
          <w:szCs w:val="28"/>
          <w:highlight w:val="none"/>
          <w:lang w:eastAsia="zh-CN"/>
        </w:rPr>
      </w:pPr>
      <w:r>
        <w:rPr>
          <w:rFonts w:hint="eastAsia" w:ascii="仿宋" w:hAnsi="仿宋" w:eastAsia="仿宋"/>
          <w:bCs/>
          <w:color w:val="auto"/>
          <w:sz w:val="28"/>
          <w:szCs w:val="28"/>
          <w:highlight w:val="none"/>
          <w:lang w:eastAsia="zh-CN"/>
        </w:rPr>
        <w:t>该风险是特许经营模式的基础性风险。一方面，若协议中对地下停车场的特许经营范围（如车位使用权限、广告位等增值服务经营权）、经营期限、收费定价调整的触发条件与流程界定模糊，易导致政府与社会资本在运营期产生权责纠纷；另一方面，若未明确项目周边同类停车设施的规划建设限制，可能出现竞争性停车资源分流客源，直接影响社会资本的投资回报，引发履约争议。</w:t>
      </w:r>
    </w:p>
    <w:p w14:paraId="717A1E53">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长期履约与政府信用风险</w:t>
      </w:r>
    </w:p>
    <w:p w14:paraId="04755E67">
      <w:pPr>
        <w:shd w:val="clear" w:color="auto"/>
        <w:ind w:firstLine="560"/>
        <w:rPr>
          <w:rFonts w:hint="eastAsia" w:ascii="仿宋" w:hAnsi="仿宋" w:eastAsia="仿宋"/>
          <w:bCs/>
          <w:color w:val="auto"/>
          <w:sz w:val="28"/>
          <w:szCs w:val="28"/>
          <w:highlight w:val="none"/>
          <w:lang w:eastAsia="zh-CN"/>
        </w:rPr>
      </w:pPr>
      <w:r>
        <w:rPr>
          <w:rFonts w:hint="eastAsia" w:ascii="仿宋" w:hAnsi="仿宋" w:eastAsia="仿宋"/>
          <w:bCs/>
          <w:color w:val="auto"/>
          <w:sz w:val="28"/>
          <w:szCs w:val="28"/>
          <w:highlight w:val="none"/>
          <w:lang w:eastAsia="zh-CN"/>
        </w:rPr>
        <w:t>特许经营项目合作周期长，其间可能面临地方政府行政决策调整等情况。新的管理团队可能对项目的重视程度、支持力度发生变化，存在政策延续性不足的风险；此外，若协议中未明确政府方的履约保障条款如审批配合等，可能出现政府</w:t>
      </w:r>
      <w:r>
        <w:rPr>
          <w:rFonts w:hint="eastAsia" w:ascii="仿宋" w:hAnsi="仿宋" w:eastAsia="仿宋"/>
          <w:bCs/>
          <w:color w:val="auto"/>
          <w:sz w:val="28"/>
          <w:szCs w:val="28"/>
          <w:highlight w:val="none"/>
          <w:lang w:val="en-US" w:eastAsia="zh-CN"/>
        </w:rPr>
        <w:t>信用风险</w:t>
      </w:r>
      <w:r>
        <w:rPr>
          <w:rFonts w:hint="eastAsia" w:ascii="仿宋" w:hAnsi="仿宋" w:eastAsia="仿宋"/>
          <w:bCs/>
          <w:color w:val="auto"/>
          <w:sz w:val="28"/>
          <w:szCs w:val="28"/>
          <w:highlight w:val="none"/>
          <w:lang w:eastAsia="zh-CN"/>
        </w:rPr>
        <w:t>，导致项目建设进度滞后或运营收益受损。</w:t>
      </w:r>
    </w:p>
    <w:p w14:paraId="715D41D8">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收益与成本倒挂的商业可持续性风险</w:t>
      </w:r>
    </w:p>
    <w:p w14:paraId="251F0DB7">
      <w:pPr>
        <w:shd w:val="clear" w:color="auto"/>
        <w:ind w:firstLine="560"/>
        <w:rPr>
          <w:rFonts w:hint="eastAsia" w:ascii="仿宋" w:hAnsi="仿宋" w:eastAsia="仿宋"/>
          <w:bCs/>
          <w:color w:val="auto"/>
          <w:sz w:val="28"/>
          <w:szCs w:val="28"/>
          <w:highlight w:val="none"/>
          <w:lang w:eastAsia="zh-CN"/>
        </w:rPr>
      </w:pPr>
      <w:r>
        <w:rPr>
          <w:rFonts w:hint="eastAsia" w:ascii="仿宋" w:hAnsi="仿宋" w:eastAsia="仿宋"/>
          <w:bCs/>
          <w:color w:val="auto"/>
          <w:sz w:val="28"/>
          <w:szCs w:val="28"/>
          <w:highlight w:val="none"/>
          <w:lang w:eastAsia="zh-CN"/>
        </w:rPr>
        <w:t>特许经营模式下，社会资本的核心诉求是实现投资收益覆盖成本并盈利。本项目若前期市场调研不足，对停车需求预测过于乐观，或收费标准受政策限价约束无法随运营成本上涨而调整，会出现运营期现金流无法覆盖运维及融资成本的风险；同时，若协议未设置合理的收益补偿机制，当项目实际收益远低于预期时，社会资本可能出现缩减运维投入、降低服务质量等违约行为，损害公共服务属性。</w:t>
      </w:r>
    </w:p>
    <w:p w14:paraId="5694390A">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移交标准与履约验收风险</w:t>
      </w:r>
    </w:p>
    <w:p w14:paraId="0CE7060F">
      <w:pPr>
        <w:shd w:val="clear" w:color="auto"/>
        <w:ind w:firstLine="560"/>
        <w:rPr>
          <w:rFonts w:hint="eastAsia" w:ascii="仿宋" w:hAnsi="仿宋" w:eastAsia="仿宋"/>
          <w:bCs/>
          <w:color w:val="auto"/>
          <w:sz w:val="28"/>
          <w:szCs w:val="28"/>
          <w:highlight w:val="none"/>
          <w:lang w:eastAsia="zh-CN"/>
        </w:rPr>
      </w:pPr>
      <w:r>
        <w:rPr>
          <w:rFonts w:hint="eastAsia" w:ascii="仿宋" w:hAnsi="仿宋" w:eastAsia="仿宋"/>
          <w:bCs/>
          <w:color w:val="auto"/>
          <w:sz w:val="28"/>
          <w:szCs w:val="28"/>
          <w:highlight w:val="none"/>
          <w:lang w:eastAsia="zh-CN"/>
        </w:rPr>
        <w:t>特许经营期满后，项目需无偿或按约定条件移交政府，这是该模式的关键收尾环节。若协议中未明确移交的技术标准、设施设备完好率指标、资料档案清单等核心要求，移交时易出现政府以“设施不达标”为由拒绝接收，或社会资本以“资料缺失”为由拖延移交的情况；此外，若未约定移交过渡期的运维责任与费用承担方式，可能导致过渡期内停车场服务中断，影响市民使用。</w:t>
      </w:r>
    </w:p>
    <w:p w14:paraId="63AD68A0">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合作双方利益诉求冲突风险</w:t>
      </w:r>
    </w:p>
    <w:p w14:paraId="3B458BB1">
      <w:pPr>
        <w:shd w:val="clear" w:color="auto"/>
        <w:ind w:left="0" w:leftChars="0" w:firstLine="560" w:firstLineChars="0"/>
        <w:rPr>
          <w:rFonts w:hint="eastAsia" w:ascii="仿宋" w:hAnsi="仿宋" w:eastAsia="仿宋"/>
          <w:color w:val="auto"/>
          <w:highlight w:val="none"/>
        </w:rPr>
      </w:pPr>
      <w:r>
        <w:rPr>
          <w:rFonts w:hint="eastAsia" w:ascii="仿宋" w:hAnsi="仿宋" w:eastAsia="仿宋"/>
          <w:bCs/>
          <w:color w:val="auto"/>
          <w:sz w:val="28"/>
          <w:szCs w:val="28"/>
          <w:highlight w:val="none"/>
          <w:lang w:eastAsia="zh-CN"/>
        </w:rPr>
        <w:t>政府方的核心目标是以最低财政投入获得高质量的公共停车服务，注重项目的公益性与社会效益；而社会资本的核心目标是实现投资利润最大化，注重项目的商业回报。双方在运营期可能因收费标准调整、增值服务拓展、成本管控等问题产生利益冲突，若缺乏有效的沟通协调机制与争议解决条款，冲突将直接影响项目的正常推进。</w:t>
      </w:r>
      <w:r>
        <w:rPr>
          <w:rFonts w:hint="eastAsia" w:ascii="仿宋" w:hAnsi="仿宋" w:eastAsia="仿宋"/>
          <w:color w:val="auto"/>
          <w:highlight w:val="none"/>
        </w:rPr>
        <w:br w:type="page"/>
      </w:r>
    </w:p>
    <w:p w14:paraId="11AAB883">
      <w:pPr>
        <w:pStyle w:val="2"/>
        <w:numPr>
          <w:ilvl w:val="0"/>
          <w:numId w:val="2"/>
        </w:numPr>
        <w:bidi w:val="0"/>
        <w:ind w:left="432" w:leftChars="0" w:hanging="432" w:firstLineChars="0"/>
        <w:rPr>
          <w:rFonts w:hint="eastAsia" w:ascii="仿宋" w:hAnsi="仿宋" w:eastAsia="仿宋" w:cs="仿宋"/>
          <w:color w:val="auto"/>
          <w:highlight w:val="none"/>
          <w:lang w:val="en-US" w:eastAsia="zh-CN"/>
        </w:rPr>
      </w:pPr>
      <w:bookmarkStart w:id="133" w:name="_Toc1518"/>
      <w:bookmarkStart w:id="134" w:name="_Toc4125"/>
      <w:bookmarkStart w:id="135" w:name="_Toc6287"/>
      <w:bookmarkStart w:id="136" w:name="_Toc26849"/>
      <w:r>
        <w:rPr>
          <w:rFonts w:hint="eastAsia" w:ascii="仿宋" w:hAnsi="仿宋" w:eastAsia="仿宋" w:cs="仿宋"/>
          <w:color w:val="auto"/>
          <w:spacing w:val="0"/>
          <w:sz w:val="44"/>
          <w:szCs w:val="44"/>
          <w:highlight w:val="none"/>
          <w:lang w:val="en-US" w:eastAsia="zh-CN"/>
        </w:rPr>
        <w:t>特许经营主要内容</w:t>
      </w:r>
      <w:bookmarkEnd w:id="51"/>
      <w:bookmarkEnd w:id="52"/>
      <w:bookmarkEnd w:id="53"/>
      <w:bookmarkEnd w:id="54"/>
      <w:bookmarkEnd w:id="55"/>
      <w:bookmarkEnd w:id="56"/>
      <w:bookmarkEnd w:id="57"/>
      <w:bookmarkEnd w:id="58"/>
      <w:bookmarkEnd w:id="59"/>
      <w:bookmarkEnd w:id="133"/>
      <w:bookmarkEnd w:id="134"/>
      <w:bookmarkEnd w:id="135"/>
      <w:bookmarkEnd w:id="136"/>
    </w:p>
    <w:p w14:paraId="13BF666B">
      <w:pPr>
        <w:pStyle w:val="3"/>
        <w:bidi w:val="0"/>
        <w:ind w:left="575" w:hanging="575"/>
        <w:rPr>
          <w:rFonts w:hint="eastAsia" w:ascii="仿宋" w:hAnsi="仿宋" w:eastAsia="仿宋" w:cs="仿宋"/>
          <w:color w:val="auto"/>
          <w:highlight w:val="none"/>
          <w:lang w:val="en-US" w:eastAsia="zh-CN"/>
        </w:rPr>
      </w:pPr>
      <w:bookmarkStart w:id="137" w:name="_Toc3625"/>
      <w:bookmarkStart w:id="138" w:name="_Toc8905"/>
      <w:bookmarkStart w:id="139" w:name="_Toc9692"/>
      <w:bookmarkStart w:id="140" w:name="_Toc14909"/>
      <w:bookmarkStart w:id="141" w:name="_Toc20501"/>
      <w:bookmarkStart w:id="142" w:name="_Toc3408"/>
      <w:bookmarkStart w:id="143" w:name="_Toc10541"/>
      <w:bookmarkStart w:id="144" w:name="_Toc9565"/>
      <w:r>
        <w:rPr>
          <w:rFonts w:hint="eastAsia" w:ascii="仿宋" w:hAnsi="仿宋" w:eastAsia="仿宋" w:cs="仿宋"/>
          <w:color w:val="auto"/>
          <w:highlight w:val="none"/>
          <w:lang w:val="en-US" w:eastAsia="zh-CN"/>
        </w:rPr>
        <w:t>特许经营范围</w:t>
      </w:r>
      <w:bookmarkEnd w:id="137"/>
      <w:bookmarkEnd w:id="138"/>
      <w:bookmarkEnd w:id="139"/>
      <w:bookmarkEnd w:id="140"/>
    </w:p>
    <w:p w14:paraId="3A8740FF">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建设内容</w:t>
      </w:r>
    </w:p>
    <w:p w14:paraId="4218B4B7">
      <w:pPr>
        <w:bidi w:val="0"/>
        <w:rPr>
          <w:rFonts w:hint="eastAsia" w:ascii="仿宋" w:hAnsi="仿宋" w:eastAsia="仿宋"/>
          <w:color w:val="auto"/>
          <w:lang w:val="en-US" w:eastAsia="zh-CN"/>
        </w:rPr>
      </w:pPr>
      <w:r>
        <w:rPr>
          <w:rFonts w:hint="eastAsia" w:ascii="仿宋" w:hAnsi="仿宋" w:eastAsia="仿宋"/>
          <w:color w:val="auto"/>
          <w:lang w:val="en-US" w:eastAsia="zh-CN"/>
        </w:rPr>
        <w:t>本项目主要建设地下二层停车场。项目用地面积为13000㎡，总建筑面积24496平方米，其中地上建筑面积850平方米，主要建设内容为地下停车场出入口；地下建筑面积23646平方米，主要建设内容为机动车停车位800个。</w:t>
      </w:r>
    </w:p>
    <w:p w14:paraId="020D5853">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运营内容及服务范围</w:t>
      </w:r>
    </w:p>
    <w:p w14:paraId="1F734E3C">
      <w:pPr>
        <w:bidi w:val="0"/>
        <w:rPr>
          <w:rFonts w:hint="eastAsia" w:ascii="仿宋" w:hAnsi="仿宋" w:eastAsia="仿宋"/>
          <w:color w:val="auto"/>
          <w:lang w:val="en-US" w:eastAsia="zh-CN"/>
        </w:rPr>
      </w:pPr>
      <w:r>
        <w:rPr>
          <w:rFonts w:hint="eastAsia" w:ascii="仿宋" w:hAnsi="仿宋" w:eastAsia="仿宋"/>
          <w:color w:val="auto"/>
          <w:lang w:val="en-US" w:eastAsia="zh-CN"/>
        </w:rPr>
        <w:t>本项目特许经营期内的主要运营内容</w:t>
      </w:r>
      <w:r>
        <w:rPr>
          <w:rFonts w:hint="eastAsia" w:ascii="仿宋" w:hAnsi="仿宋" w:eastAsia="仿宋" w:cs="仿宋"/>
          <w:bCs/>
          <w:color w:val="auto"/>
          <w:sz w:val="28"/>
          <w:szCs w:val="28"/>
          <w:highlight w:val="none"/>
          <w:lang w:val="en-US" w:eastAsia="zh-CN"/>
        </w:rPr>
        <w:t>：项目在建设完成之后，特许经营者在特许经营期限内依法对项目及附属设施进行经营管理和维护，提供专业的运营、养护与修理服务，保证项目良好的技术状态，为通行车辆及人员提供优质服务。具体包括对</w:t>
      </w:r>
      <w:r>
        <w:rPr>
          <w:rFonts w:hint="eastAsia" w:ascii="仿宋" w:hAnsi="仿宋" w:eastAsia="仿宋"/>
          <w:color w:val="auto"/>
          <w:lang w:val="en-US" w:eastAsia="zh-CN"/>
        </w:rPr>
        <w:t>为800个地下机动车停车位运营管理服务，其中长租车位160个，包月和临时租赁车位640个（含包月车位320个、临时车位320个），充电桩160个</w:t>
      </w:r>
      <w:r>
        <w:rPr>
          <w:rFonts w:hint="eastAsia" w:ascii="仿宋" w:hAnsi="仿宋" w:eastAsia="仿宋" w:cs="仿宋"/>
          <w:bCs/>
          <w:color w:val="auto"/>
          <w:sz w:val="28"/>
          <w:szCs w:val="28"/>
          <w:highlight w:val="none"/>
          <w:lang w:val="en-US" w:eastAsia="zh-CN"/>
        </w:rPr>
        <w:t>；依法对卫生服务项目、广告项目进行经营与开发管理等</w:t>
      </w:r>
      <w:r>
        <w:rPr>
          <w:rFonts w:hint="eastAsia" w:ascii="仿宋" w:hAnsi="仿宋" w:eastAsia="仿宋"/>
          <w:color w:val="auto"/>
          <w:lang w:val="en-US" w:eastAsia="zh-CN"/>
        </w:rPr>
        <w:t>；对</w:t>
      </w:r>
      <w:r>
        <w:rPr>
          <w:rFonts w:hint="eastAsia" w:ascii="仿宋" w:hAnsi="仿宋" w:eastAsia="仿宋" w:cs="仿宋"/>
          <w:bCs/>
          <w:color w:val="auto"/>
          <w:sz w:val="28"/>
          <w:szCs w:val="28"/>
          <w:highlight w:val="none"/>
          <w:lang w:val="en-US" w:eastAsia="zh-CN"/>
        </w:rPr>
        <w:t>主体构造物、附属设施等工程的维护和修理服务。</w:t>
      </w:r>
    </w:p>
    <w:p w14:paraId="6F7BF70D">
      <w:pPr>
        <w:pStyle w:val="3"/>
        <w:bidi w:val="0"/>
        <w:ind w:left="575" w:hanging="575"/>
        <w:rPr>
          <w:rFonts w:hint="eastAsia" w:ascii="仿宋" w:hAnsi="仿宋" w:eastAsia="仿宋" w:cs="仿宋"/>
          <w:color w:val="auto"/>
          <w:highlight w:val="none"/>
          <w:lang w:val="en-US" w:eastAsia="zh-CN"/>
        </w:rPr>
      </w:pPr>
      <w:bookmarkStart w:id="145" w:name="_Toc494"/>
      <w:bookmarkStart w:id="146" w:name="_Toc11260"/>
      <w:bookmarkStart w:id="147" w:name="_Toc13302"/>
      <w:bookmarkStart w:id="148" w:name="_Toc7533"/>
      <w:r>
        <w:rPr>
          <w:rFonts w:hint="eastAsia" w:ascii="仿宋" w:hAnsi="仿宋" w:eastAsia="仿宋" w:cs="仿宋"/>
          <w:color w:val="auto"/>
          <w:highlight w:val="none"/>
          <w:lang w:val="en-US" w:eastAsia="zh-CN"/>
        </w:rPr>
        <w:t>实施方式</w:t>
      </w:r>
      <w:bookmarkEnd w:id="145"/>
      <w:bookmarkEnd w:id="146"/>
      <w:bookmarkEnd w:id="147"/>
      <w:bookmarkEnd w:id="148"/>
    </w:p>
    <w:bookmarkEnd w:id="141"/>
    <w:bookmarkEnd w:id="142"/>
    <w:bookmarkEnd w:id="143"/>
    <w:bookmarkEnd w:id="144"/>
    <w:p w14:paraId="30C57AC5">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主要依据</w:t>
      </w:r>
    </w:p>
    <w:p w14:paraId="506B76C8">
      <w:pPr>
        <w:bidi w:val="0"/>
        <w:rPr>
          <w:rFonts w:hint="eastAsia" w:ascii="仿宋" w:hAnsi="仿宋" w:eastAsia="仿宋"/>
          <w:color w:val="auto"/>
        </w:rPr>
      </w:pPr>
      <w:r>
        <w:rPr>
          <w:rFonts w:hint="eastAsia" w:ascii="仿宋" w:hAnsi="仿宋" w:eastAsia="仿宋"/>
          <w:color w:val="auto"/>
        </w:rPr>
        <w:t>按《关于规范实施政府和社会资本合作新机制的指导意见》（国办函〔2023〕115号）</w:t>
      </w:r>
      <w:r>
        <w:rPr>
          <w:rFonts w:hint="eastAsia" w:ascii="仿宋" w:hAnsi="仿宋" w:eastAsia="仿宋"/>
          <w:color w:val="auto"/>
          <w:lang w:val="en-US" w:eastAsia="zh-CN"/>
        </w:rPr>
        <w:t>文件内容：</w:t>
      </w:r>
      <w:r>
        <w:rPr>
          <w:rFonts w:hint="eastAsia" w:ascii="仿宋" w:hAnsi="仿宋" w:eastAsia="仿宋"/>
          <w:color w:val="auto"/>
        </w:rPr>
        <w:t>政府和社会资本合作应全部采取特许经营模式实施，根据项目实际情况，合理采用建设—运营—移交（BOT）、转让—运营—移交（TOT）、改建—运营—移交（ROT）、建设—拥有—运营—移交（BOOT）、设计—建设—融资—运营—移交（DBFOT）等具体实施方式，并在合同中明确约定建设和运营期间的资产权属，清晰界定各方权责利关系。</w:t>
      </w:r>
    </w:p>
    <w:p w14:paraId="4A91D147">
      <w:pPr>
        <w:bidi w:val="0"/>
        <w:ind w:left="0" w:leftChars="0" w:firstLine="0" w:firstLineChars="0"/>
        <w:jc w:val="center"/>
        <w:rPr>
          <w:rFonts w:hint="eastAsia" w:ascii="仿宋" w:hAnsi="仿宋" w:eastAsia="仿宋"/>
          <w:b/>
          <w:bCs/>
          <w:color w:val="auto"/>
          <w:sz w:val="24"/>
          <w:szCs w:val="24"/>
        </w:rPr>
      </w:pPr>
      <w:r>
        <w:rPr>
          <w:rFonts w:hint="eastAsia" w:ascii="仿宋" w:hAnsi="仿宋" w:eastAsia="仿宋"/>
          <w:b/>
          <w:bCs/>
          <w:color w:val="auto"/>
          <w:sz w:val="24"/>
          <w:szCs w:val="24"/>
          <w:lang w:val="en-US" w:eastAsia="zh-CN"/>
        </w:rPr>
        <w:t>表4-1</w:t>
      </w:r>
      <w:r>
        <w:rPr>
          <w:rFonts w:hint="eastAsia" w:ascii="仿宋" w:hAnsi="仿宋" w:eastAsia="仿宋"/>
          <w:b/>
          <w:bCs/>
          <w:color w:val="auto"/>
          <w:sz w:val="24"/>
          <w:szCs w:val="24"/>
        </w:rPr>
        <w:t>特许经营常用运作方式分类一览表</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2"/>
        <w:gridCol w:w="4127"/>
        <w:gridCol w:w="1147"/>
        <w:gridCol w:w="1568"/>
      </w:tblGrid>
      <w:tr w14:paraId="0041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875" w:type="pct"/>
            <w:vAlign w:val="center"/>
          </w:tcPr>
          <w:p w14:paraId="43D30231">
            <w:pPr>
              <w:shd w:val="clear" w:color="auto"/>
              <w:kinsoku/>
              <w:wordWrap/>
              <w:overflowPunct/>
              <w:topLinePunct w:val="0"/>
              <w:autoSpaceDE/>
              <w:autoSpaceDN/>
              <w:bidi w:val="0"/>
              <w:snapToGrid w:val="0"/>
              <w:spacing w:line="240" w:lineRule="auto"/>
              <w:ind w:firstLine="0" w:firstLineChars="0"/>
              <w:jc w:val="center"/>
              <w:textAlignment w:val="auto"/>
              <w:rPr>
                <w:rFonts w:hint="eastAsia" w:ascii="仿宋" w:hAnsi="仿宋" w:eastAsia="仿宋"/>
                <w:b/>
                <w:bCs/>
                <w:color w:val="auto"/>
                <w:sz w:val="22"/>
                <w:szCs w:val="22"/>
                <w:highlight w:val="none"/>
              </w:rPr>
            </w:pPr>
            <w:r>
              <w:rPr>
                <w:rFonts w:hint="eastAsia" w:ascii="仿宋" w:hAnsi="仿宋" w:eastAsia="仿宋"/>
                <w:b/>
                <w:bCs/>
                <w:color w:val="auto"/>
                <w:sz w:val="22"/>
                <w:szCs w:val="22"/>
                <w:highlight w:val="none"/>
              </w:rPr>
              <w:t>类型</w:t>
            </w:r>
          </w:p>
        </w:tc>
        <w:tc>
          <w:tcPr>
            <w:tcW w:w="2487" w:type="pct"/>
            <w:vAlign w:val="center"/>
          </w:tcPr>
          <w:p w14:paraId="5B6FB4B7">
            <w:pPr>
              <w:shd w:val="clear" w:color="auto"/>
              <w:kinsoku/>
              <w:wordWrap/>
              <w:overflowPunct/>
              <w:topLinePunct w:val="0"/>
              <w:autoSpaceDE/>
              <w:autoSpaceDN/>
              <w:bidi w:val="0"/>
              <w:snapToGrid w:val="0"/>
              <w:spacing w:line="240" w:lineRule="auto"/>
              <w:ind w:firstLine="0" w:firstLineChars="0"/>
              <w:jc w:val="center"/>
              <w:textAlignment w:val="auto"/>
              <w:rPr>
                <w:rFonts w:hint="eastAsia" w:ascii="仿宋" w:hAnsi="仿宋" w:eastAsia="仿宋"/>
                <w:b/>
                <w:bCs/>
                <w:color w:val="auto"/>
                <w:sz w:val="22"/>
                <w:szCs w:val="22"/>
                <w:highlight w:val="none"/>
              </w:rPr>
            </w:pPr>
            <w:r>
              <w:rPr>
                <w:rFonts w:hint="eastAsia" w:ascii="仿宋" w:hAnsi="仿宋" w:eastAsia="仿宋"/>
                <w:b/>
                <w:bCs/>
                <w:color w:val="auto"/>
                <w:sz w:val="22"/>
                <w:szCs w:val="22"/>
                <w:highlight w:val="none"/>
              </w:rPr>
              <w:t>定义</w:t>
            </w:r>
          </w:p>
        </w:tc>
        <w:tc>
          <w:tcPr>
            <w:tcW w:w="691" w:type="pct"/>
            <w:vAlign w:val="center"/>
          </w:tcPr>
          <w:p w14:paraId="7A1333D7">
            <w:pPr>
              <w:shd w:val="clear" w:color="auto"/>
              <w:kinsoku/>
              <w:wordWrap/>
              <w:overflowPunct/>
              <w:topLinePunct w:val="0"/>
              <w:autoSpaceDE/>
              <w:autoSpaceDN/>
              <w:bidi w:val="0"/>
              <w:snapToGrid w:val="0"/>
              <w:spacing w:line="240" w:lineRule="auto"/>
              <w:ind w:firstLine="0" w:firstLineChars="0"/>
              <w:jc w:val="center"/>
              <w:textAlignment w:val="auto"/>
              <w:rPr>
                <w:rFonts w:hint="eastAsia" w:ascii="仿宋" w:hAnsi="仿宋" w:eastAsia="仿宋"/>
                <w:b/>
                <w:bCs/>
                <w:color w:val="auto"/>
                <w:sz w:val="22"/>
                <w:szCs w:val="22"/>
                <w:highlight w:val="none"/>
              </w:rPr>
            </w:pPr>
            <w:r>
              <w:rPr>
                <w:rFonts w:hint="eastAsia" w:ascii="仿宋" w:hAnsi="仿宋" w:eastAsia="仿宋"/>
                <w:b/>
                <w:bCs/>
                <w:color w:val="auto"/>
                <w:sz w:val="22"/>
                <w:szCs w:val="22"/>
                <w:highlight w:val="none"/>
              </w:rPr>
              <w:t>适用范围</w:t>
            </w:r>
          </w:p>
        </w:tc>
        <w:tc>
          <w:tcPr>
            <w:tcW w:w="945" w:type="pct"/>
            <w:vAlign w:val="center"/>
          </w:tcPr>
          <w:p w14:paraId="13CADB33">
            <w:pPr>
              <w:shd w:val="clear" w:color="auto"/>
              <w:kinsoku/>
              <w:wordWrap/>
              <w:overflowPunct/>
              <w:topLinePunct w:val="0"/>
              <w:autoSpaceDE/>
              <w:autoSpaceDN/>
              <w:bidi w:val="0"/>
              <w:snapToGrid w:val="0"/>
              <w:spacing w:line="240" w:lineRule="auto"/>
              <w:ind w:firstLine="0" w:firstLineChars="0"/>
              <w:jc w:val="center"/>
              <w:textAlignment w:val="auto"/>
              <w:rPr>
                <w:rFonts w:hint="eastAsia" w:ascii="仿宋" w:hAnsi="仿宋" w:eastAsia="仿宋"/>
                <w:b/>
                <w:bCs/>
                <w:color w:val="auto"/>
                <w:sz w:val="22"/>
                <w:szCs w:val="22"/>
                <w:highlight w:val="none"/>
              </w:rPr>
            </w:pPr>
            <w:r>
              <w:rPr>
                <w:rFonts w:hint="eastAsia" w:ascii="仿宋" w:hAnsi="仿宋" w:eastAsia="仿宋"/>
                <w:b/>
                <w:bCs/>
                <w:color w:val="auto"/>
                <w:sz w:val="22"/>
                <w:szCs w:val="22"/>
                <w:highlight w:val="none"/>
              </w:rPr>
              <w:t>备注</w:t>
            </w:r>
          </w:p>
        </w:tc>
      </w:tr>
      <w:tr w14:paraId="40585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75" w:type="pct"/>
            <w:vAlign w:val="center"/>
          </w:tcPr>
          <w:p w14:paraId="6C51FE0E">
            <w:pPr>
              <w:pStyle w:val="80"/>
              <w:shd w:val="clear" w:color="auto"/>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BOT（建设</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运营</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移交）</w:t>
            </w:r>
          </w:p>
        </w:tc>
        <w:tc>
          <w:tcPr>
            <w:tcW w:w="2487" w:type="pct"/>
            <w:vAlign w:val="center"/>
          </w:tcPr>
          <w:p w14:paraId="0C8E4F5C">
            <w:pPr>
              <w:pStyle w:val="80"/>
              <w:shd w:val="clear" w:color="auto"/>
              <w:kinsoku/>
              <w:wordWrap/>
              <w:overflowPunct/>
              <w:topLinePunct w:val="0"/>
              <w:autoSpaceDE/>
              <w:autoSpaceDN/>
              <w:bidi w:val="0"/>
              <w:adjustRightInd w:val="0"/>
              <w:snapToGrid w:val="0"/>
              <w:spacing w:before="0" w:beforeAutospacing="0" w:after="0" w:afterAutospacing="0" w:line="240" w:lineRule="auto"/>
              <w:ind w:firstLine="0" w:firstLineChars="0"/>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指由社会资本方或</w:t>
            </w:r>
            <w:r>
              <w:rPr>
                <w:rFonts w:hint="eastAsia" w:ascii="仿宋" w:hAnsi="仿宋" w:eastAsia="仿宋" w:cs="仿宋"/>
                <w:color w:val="auto"/>
                <w:sz w:val="22"/>
                <w:szCs w:val="22"/>
                <w:highlight w:val="none"/>
                <w:lang w:eastAsia="zh-CN"/>
              </w:rPr>
              <w:t>特许经营者</w:t>
            </w:r>
            <w:r>
              <w:rPr>
                <w:rFonts w:hint="eastAsia" w:ascii="仿宋" w:hAnsi="仿宋" w:eastAsia="仿宋" w:cs="仿宋"/>
                <w:color w:val="auto"/>
                <w:sz w:val="22"/>
                <w:szCs w:val="22"/>
                <w:highlight w:val="none"/>
              </w:rPr>
              <w:t>承担新建项目融资、建造、运营、维护和用户服务职责，合同期满后项目资产及相关权利等移交给政府的项目运作方式。</w:t>
            </w:r>
          </w:p>
        </w:tc>
        <w:tc>
          <w:tcPr>
            <w:tcW w:w="691" w:type="pct"/>
            <w:vAlign w:val="center"/>
          </w:tcPr>
          <w:p w14:paraId="1BBE85CB">
            <w:pPr>
              <w:shd w:val="clear" w:color="auto"/>
              <w:kinsoku/>
              <w:wordWrap/>
              <w:overflowPunct/>
              <w:topLinePunct w:val="0"/>
              <w:autoSpaceDE/>
              <w:autoSpaceDN/>
              <w:bidi w:val="0"/>
              <w:snapToGrid w:val="0"/>
              <w:spacing w:line="240" w:lineRule="auto"/>
              <w:ind w:firstLine="0" w:firstLineChars="0"/>
              <w:jc w:val="center"/>
              <w:textAlignment w:val="auto"/>
              <w:rPr>
                <w:rFonts w:hint="eastAsia" w:ascii="仿宋" w:hAnsi="仿宋" w:eastAsia="仿宋"/>
                <w:bCs/>
                <w:color w:val="auto"/>
                <w:sz w:val="22"/>
                <w:szCs w:val="22"/>
                <w:highlight w:val="none"/>
              </w:rPr>
            </w:pPr>
            <w:r>
              <w:rPr>
                <w:rFonts w:hint="eastAsia" w:ascii="仿宋" w:hAnsi="仿宋" w:eastAsia="仿宋"/>
                <w:bCs/>
                <w:color w:val="auto"/>
                <w:sz w:val="22"/>
                <w:szCs w:val="22"/>
                <w:highlight w:val="none"/>
              </w:rPr>
              <w:t>新建项目</w:t>
            </w:r>
          </w:p>
        </w:tc>
        <w:tc>
          <w:tcPr>
            <w:tcW w:w="945" w:type="pct"/>
            <w:vAlign w:val="center"/>
          </w:tcPr>
          <w:p w14:paraId="167A9C62">
            <w:pPr>
              <w:keepNext/>
              <w:keepLines/>
              <w:pageBreakBefore/>
              <w:shd w:val="clear" w:color="auto"/>
              <w:kinsoku/>
              <w:wordWrap/>
              <w:overflowPunct/>
              <w:topLinePunct w:val="0"/>
              <w:autoSpaceDE/>
              <w:autoSpaceDN/>
              <w:bidi w:val="0"/>
              <w:snapToGrid w:val="0"/>
              <w:spacing w:line="240" w:lineRule="auto"/>
              <w:ind w:firstLine="0" w:firstLineChars="0"/>
              <w:textAlignment w:val="auto"/>
              <w:outlineLvl w:val="0"/>
              <w:rPr>
                <w:rFonts w:hint="eastAsia" w:ascii="仿宋" w:hAnsi="仿宋" w:eastAsia="仿宋"/>
                <w:bCs/>
                <w:color w:val="auto"/>
                <w:sz w:val="22"/>
                <w:szCs w:val="22"/>
                <w:highlight w:val="none"/>
              </w:rPr>
            </w:pPr>
          </w:p>
        </w:tc>
      </w:tr>
      <w:tr w14:paraId="2CB35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75" w:type="pct"/>
            <w:vAlign w:val="center"/>
          </w:tcPr>
          <w:p w14:paraId="5EC0C894">
            <w:pPr>
              <w:pStyle w:val="80"/>
              <w:shd w:val="clear" w:color="auto"/>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TOT（转让</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运营</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移交</w:t>
            </w:r>
            <w:r>
              <w:rPr>
                <w:rFonts w:hint="eastAsia" w:ascii="仿宋" w:hAnsi="仿宋" w:eastAsia="仿宋" w:cs="仿宋"/>
                <w:bCs/>
                <w:color w:val="auto"/>
                <w:sz w:val="22"/>
                <w:szCs w:val="22"/>
                <w:highlight w:val="none"/>
              </w:rPr>
              <w:t>）</w:t>
            </w:r>
          </w:p>
        </w:tc>
        <w:tc>
          <w:tcPr>
            <w:tcW w:w="2487" w:type="pct"/>
            <w:vAlign w:val="center"/>
          </w:tcPr>
          <w:p w14:paraId="41AFFA2E">
            <w:pPr>
              <w:pStyle w:val="80"/>
              <w:shd w:val="clear" w:color="auto"/>
              <w:kinsoku/>
              <w:wordWrap/>
              <w:overflowPunct/>
              <w:topLinePunct w:val="0"/>
              <w:autoSpaceDE/>
              <w:autoSpaceDN/>
              <w:bidi w:val="0"/>
              <w:adjustRightInd w:val="0"/>
              <w:snapToGrid w:val="0"/>
              <w:spacing w:before="0" w:beforeAutospacing="0" w:after="0" w:afterAutospacing="0" w:line="240" w:lineRule="auto"/>
              <w:ind w:firstLine="0" w:firstLineChars="0"/>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指政府将存量资产所有权（或经营权）有偿转让给社会资本方或</w:t>
            </w:r>
            <w:r>
              <w:rPr>
                <w:rFonts w:hint="eastAsia" w:ascii="仿宋" w:hAnsi="仿宋" w:eastAsia="仿宋" w:cs="仿宋"/>
                <w:color w:val="auto"/>
                <w:sz w:val="22"/>
                <w:szCs w:val="22"/>
                <w:highlight w:val="none"/>
                <w:lang w:eastAsia="zh-CN"/>
              </w:rPr>
              <w:t>特许经营者</w:t>
            </w:r>
            <w:r>
              <w:rPr>
                <w:rFonts w:hint="eastAsia" w:ascii="仿宋" w:hAnsi="仿宋" w:eastAsia="仿宋" w:cs="仿宋"/>
                <w:color w:val="auto"/>
                <w:sz w:val="22"/>
                <w:szCs w:val="22"/>
                <w:highlight w:val="none"/>
              </w:rPr>
              <w:t>，并由其负责运营、维护和用户服务，合同期满后将项目资产及相关文件资料等移交给政府的项目运作方式。</w:t>
            </w:r>
          </w:p>
        </w:tc>
        <w:tc>
          <w:tcPr>
            <w:tcW w:w="691" w:type="pct"/>
            <w:vAlign w:val="center"/>
          </w:tcPr>
          <w:p w14:paraId="29CCACFA">
            <w:pPr>
              <w:pStyle w:val="80"/>
              <w:shd w:val="clear" w:color="auto"/>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已有项目</w:t>
            </w:r>
          </w:p>
        </w:tc>
        <w:tc>
          <w:tcPr>
            <w:tcW w:w="945" w:type="pct"/>
            <w:vAlign w:val="center"/>
          </w:tcPr>
          <w:p w14:paraId="264F7856">
            <w:pPr>
              <w:pStyle w:val="80"/>
              <w:shd w:val="clear" w:color="auto"/>
              <w:kinsoku/>
              <w:wordWrap/>
              <w:overflowPunct/>
              <w:topLinePunct w:val="0"/>
              <w:autoSpaceDE/>
              <w:autoSpaceDN/>
              <w:bidi w:val="0"/>
              <w:adjustRightInd w:val="0"/>
              <w:snapToGrid w:val="0"/>
              <w:spacing w:before="0" w:beforeAutospacing="0" w:after="0" w:afterAutospacing="0" w:line="240" w:lineRule="auto"/>
              <w:ind w:firstLine="0" w:firstLineChars="0"/>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TOT模式较BOT模式风险小，净资本金投资回报率适当</w:t>
            </w:r>
          </w:p>
          <w:p w14:paraId="560AFE93">
            <w:pPr>
              <w:keepNext/>
              <w:keepLines/>
              <w:pageBreakBefore/>
              <w:shd w:val="clear" w:color="auto"/>
              <w:kinsoku/>
              <w:wordWrap/>
              <w:overflowPunct/>
              <w:topLinePunct w:val="0"/>
              <w:autoSpaceDE/>
              <w:autoSpaceDN/>
              <w:bidi w:val="0"/>
              <w:snapToGrid w:val="0"/>
              <w:spacing w:line="240" w:lineRule="auto"/>
              <w:ind w:firstLine="0" w:firstLineChars="0"/>
              <w:textAlignment w:val="auto"/>
              <w:outlineLvl w:val="0"/>
              <w:rPr>
                <w:rFonts w:hint="eastAsia" w:ascii="仿宋" w:hAnsi="仿宋" w:eastAsia="仿宋"/>
                <w:bCs/>
                <w:color w:val="auto"/>
                <w:sz w:val="22"/>
                <w:szCs w:val="22"/>
                <w:highlight w:val="none"/>
              </w:rPr>
            </w:pPr>
          </w:p>
        </w:tc>
      </w:tr>
      <w:tr w14:paraId="78462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75" w:type="pct"/>
            <w:vAlign w:val="center"/>
          </w:tcPr>
          <w:p w14:paraId="72191C27">
            <w:pPr>
              <w:pStyle w:val="80"/>
              <w:shd w:val="clear" w:color="auto"/>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ROT（改建</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运营</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移交</w:t>
            </w:r>
            <w:r>
              <w:rPr>
                <w:rFonts w:hint="eastAsia" w:ascii="仿宋" w:hAnsi="仿宋" w:eastAsia="仿宋" w:cs="仿宋"/>
                <w:bCs/>
                <w:color w:val="auto"/>
                <w:sz w:val="22"/>
                <w:szCs w:val="22"/>
                <w:highlight w:val="none"/>
              </w:rPr>
              <w:t>）</w:t>
            </w:r>
          </w:p>
        </w:tc>
        <w:tc>
          <w:tcPr>
            <w:tcW w:w="2487" w:type="pct"/>
            <w:vAlign w:val="center"/>
          </w:tcPr>
          <w:p w14:paraId="5D64732F">
            <w:pPr>
              <w:pStyle w:val="80"/>
              <w:shd w:val="clear" w:color="auto"/>
              <w:kinsoku/>
              <w:wordWrap/>
              <w:overflowPunct/>
              <w:topLinePunct w:val="0"/>
              <w:autoSpaceDE/>
              <w:autoSpaceDN/>
              <w:bidi w:val="0"/>
              <w:adjustRightInd w:val="0"/>
              <w:snapToGrid w:val="0"/>
              <w:spacing w:before="0" w:beforeAutospacing="0" w:after="0" w:afterAutospacing="0" w:line="240" w:lineRule="auto"/>
              <w:ind w:firstLine="0" w:firstLineChars="0"/>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指政府在TOT模式的基础上，增加改扩建内容的项目运作方式。</w:t>
            </w:r>
          </w:p>
        </w:tc>
        <w:tc>
          <w:tcPr>
            <w:tcW w:w="691" w:type="pct"/>
            <w:vAlign w:val="center"/>
          </w:tcPr>
          <w:p w14:paraId="2EFAEB30">
            <w:pPr>
              <w:pStyle w:val="80"/>
              <w:shd w:val="clear" w:color="auto"/>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已有项目</w:t>
            </w:r>
          </w:p>
        </w:tc>
        <w:tc>
          <w:tcPr>
            <w:tcW w:w="945" w:type="pct"/>
            <w:vAlign w:val="center"/>
          </w:tcPr>
          <w:p w14:paraId="6316BF15">
            <w:pPr>
              <w:pStyle w:val="80"/>
              <w:shd w:val="clear" w:color="auto"/>
              <w:kinsoku/>
              <w:wordWrap/>
              <w:overflowPunct/>
              <w:topLinePunct w:val="0"/>
              <w:autoSpaceDE/>
              <w:autoSpaceDN/>
              <w:bidi w:val="0"/>
              <w:adjustRightInd w:val="0"/>
              <w:snapToGrid w:val="0"/>
              <w:spacing w:before="0" w:beforeAutospacing="0" w:after="0" w:afterAutospacing="0" w:line="240" w:lineRule="auto"/>
              <w:ind w:firstLine="0" w:firstLineChars="0"/>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ROT模式属于TOT模式范畴</w:t>
            </w:r>
          </w:p>
        </w:tc>
      </w:tr>
      <w:tr w14:paraId="66296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75" w:type="pct"/>
            <w:vAlign w:val="center"/>
          </w:tcPr>
          <w:p w14:paraId="445F094B">
            <w:pPr>
              <w:pStyle w:val="80"/>
              <w:shd w:val="clear" w:color="auto"/>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BOO</w:t>
            </w:r>
            <w:r>
              <w:rPr>
                <w:rFonts w:hint="eastAsia" w:ascii="仿宋" w:hAnsi="仿宋" w:eastAsia="仿宋" w:cs="仿宋"/>
                <w:color w:val="auto"/>
                <w:sz w:val="22"/>
                <w:szCs w:val="22"/>
                <w:highlight w:val="none"/>
                <w:lang w:val="en-US" w:eastAsia="zh-CN"/>
              </w:rPr>
              <w:t>T</w:t>
            </w:r>
            <w:r>
              <w:rPr>
                <w:rFonts w:hint="eastAsia" w:ascii="仿宋" w:hAnsi="仿宋" w:eastAsia="仿宋" w:cs="仿宋"/>
                <w:color w:val="auto"/>
                <w:sz w:val="22"/>
                <w:szCs w:val="22"/>
                <w:highlight w:val="none"/>
              </w:rPr>
              <w:t>（建设</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拥有</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运营</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移交</w:t>
            </w:r>
            <w:r>
              <w:rPr>
                <w:rFonts w:hint="eastAsia" w:ascii="仿宋" w:hAnsi="仿宋" w:eastAsia="仿宋" w:cs="仿宋"/>
                <w:bCs/>
                <w:color w:val="auto"/>
                <w:sz w:val="22"/>
                <w:szCs w:val="22"/>
                <w:highlight w:val="none"/>
              </w:rPr>
              <w:t>）</w:t>
            </w:r>
          </w:p>
        </w:tc>
        <w:tc>
          <w:tcPr>
            <w:tcW w:w="2487" w:type="pct"/>
            <w:vAlign w:val="center"/>
          </w:tcPr>
          <w:p w14:paraId="0FE49C1E">
            <w:pPr>
              <w:pStyle w:val="80"/>
              <w:shd w:val="clear" w:color="auto"/>
              <w:kinsoku/>
              <w:wordWrap/>
              <w:overflowPunct/>
              <w:topLinePunct w:val="0"/>
              <w:autoSpaceDE/>
              <w:autoSpaceDN/>
              <w:bidi w:val="0"/>
              <w:adjustRightInd w:val="0"/>
              <w:snapToGrid w:val="0"/>
              <w:spacing w:before="0" w:beforeAutospacing="0" w:after="0" w:afterAutospacing="0" w:line="240" w:lineRule="auto"/>
              <w:ind w:firstLine="0" w:firstLineChars="0"/>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指政府授予特许经营者特定项目建设、持有、经营和维护的权利，特许经营者通过项目运营收回投资并获取收益，特许经营期届满后，政府无偿收回项目权益</w:t>
            </w:r>
            <w:r>
              <w:rPr>
                <w:rFonts w:hint="eastAsia" w:ascii="仿宋" w:hAnsi="仿宋" w:eastAsia="仿宋" w:cs="仿宋"/>
                <w:color w:val="auto"/>
                <w:sz w:val="22"/>
                <w:szCs w:val="22"/>
                <w:highlight w:val="none"/>
                <w:lang w:eastAsia="zh-CN"/>
              </w:rPr>
              <w:t>。</w:t>
            </w:r>
          </w:p>
        </w:tc>
        <w:tc>
          <w:tcPr>
            <w:tcW w:w="691" w:type="pct"/>
            <w:vAlign w:val="center"/>
          </w:tcPr>
          <w:p w14:paraId="4F131D2D">
            <w:pPr>
              <w:shd w:val="clear" w:color="auto"/>
              <w:kinsoku/>
              <w:wordWrap/>
              <w:overflowPunct/>
              <w:topLinePunct w:val="0"/>
              <w:autoSpaceDE/>
              <w:autoSpaceDN/>
              <w:bidi w:val="0"/>
              <w:snapToGrid w:val="0"/>
              <w:spacing w:line="240" w:lineRule="auto"/>
              <w:ind w:firstLine="0" w:firstLineChars="0"/>
              <w:jc w:val="center"/>
              <w:textAlignment w:val="auto"/>
              <w:rPr>
                <w:rFonts w:hint="eastAsia" w:ascii="仿宋" w:hAnsi="仿宋" w:eastAsia="仿宋"/>
                <w:bCs/>
                <w:color w:val="auto"/>
                <w:sz w:val="22"/>
                <w:szCs w:val="22"/>
                <w:highlight w:val="none"/>
              </w:rPr>
            </w:pPr>
            <w:r>
              <w:rPr>
                <w:rFonts w:hint="eastAsia" w:ascii="仿宋" w:hAnsi="仿宋" w:eastAsia="仿宋"/>
                <w:bCs/>
                <w:color w:val="auto"/>
                <w:sz w:val="22"/>
                <w:szCs w:val="22"/>
                <w:highlight w:val="none"/>
              </w:rPr>
              <w:t>新建项目</w:t>
            </w:r>
          </w:p>
        </w:tc>
        <w:tc>
          <w:tcPr>
            <w:tcW w:w="945" w:type="pct"/>
            <w:vAlign w:val="center"/>
          </w:tcPr>
          <w:p w14:paraId="06398C9F">
            <w:pPr>
              <w:keepNext/>
              <w:keepLines/>
              <w:pageBreakBefore/>
              <w:shd w:val="clear" w:color="auto"/>
              <w:kinsoku/>
              <w:wordWrap/>
              <w:overflowPunct/>
              <w:topLinePunct w:val="0"/>
              <w:autoSpaceDE/>
              <w:autoSpaceDN/>
              <w:bidi w:val="0"/>
              <w:snapToGrid w:val="0"/>
              <w:spacing w:line="240" w:lineRule="auto"/>
              <w:ind w:firstLine="0" w:firstLineChars="0"/>
              <w:textAlignment w:val="auto"/>
              <w:outlineLvl w:val="0"/>
              <w:rPr>
                <w:rFonts w:hint="eastAsia" w:ascii="仿宋" w:hAnsi="仿宋" w:eastAsia="仿宋"/>
                <w:bCs/>
                <w:color w:val="auto"/>
                <w:sz w:val="22"/>
                <w:szCs w:val="22"/>
                <w:highlight w:val="none"/>
              </w:rPr>
            </w:pPr>
          </w:p>
        </w:tc>
      </w:tr>
      <w:tr w14:paraId="31FE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75" w:type="pct"/>
            <w:vAlign w:val="center"/>
          </w:tcPr>
          <w:p w14:paraId="4F1C6BC2">
            <w:pPr>
              <w:pStyle w:val="80"/>
              <w:shd w:val="clear" w:color="auto"/>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DBFOT或DBFO（设计、建设</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运营</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移交）</w:t>
            </w:r>
          </w:p>
        </w:tc>
        <w:tc>
          <w:tcPr>
            <w:tcW w:w="2487" w:type="pct"/>
            <w:vAlign w:val="center"/>
          </w:tcPr>
          <w:p w14:paraId="3765310F">
            <w:pPr>
              <w:pStyle w:val="80"/>
              <w:shd w:val="clear" w:color="auto"/>
              <w:kinsoku/>
              <w:wordWrap/>
              <w:overflowPunct/>
              <w:topLinePunct w:val="0"/>
              <w:autoSpaceDE/>
              <w:autoSpaceDN/>
              <w:bidi w:val="0"/>
              <w:adjustRightInd w:val="0"/>
              <w:snapToGrid w:val="0"/>
              <w:spacing w:before="0" w:beforeAutospacing="0" w:after="0" w:afterAutospacing="0" w:line="240" w:lineRule="auto"/>
              <w:ind w:firstLine="0" w:firstLineChars="0"/>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指由社会资本方或</w:t>
            </w:r>
            <w:r>
              <w:rPr>
                <w:rFonts w:hint="eastAsia" w:ascii="仿宋" w:hAnsi="仿宋" w:eastAsia="仿宋" w:cs="仿宋"/>
                <w:color w:val="auto"/>
                <w:sz w:val="22"/>
                <w:szCs w:val="22"/>
                <w:highlight w:val="none"/>
                <w:lang w:eastAsia="zh-CN"/>
              </w:rPr>
              <w:t>特许经营者</w:t>
            </w:r>
            <w:r>
              <w:rPr>
                <w:rFonts w:hint="eastAsia" w:ascii="仿宋" w:hAnsi="仿宋" w:eastAsia="仿宋" w:cs="仿宋"/>
                <w:color w:val="auto"/>
                <w:sz w:val="22"/>
                <w:szCs w:val="22"/>
                <w:highlight w:val="none"/>
              </w:rPr>
              <w:t>承担新建项目设计、融资、建造、运营、维护和用户服务职责，合同期满后项目资产及相关权利等移交给政府的项目运作方式。</w:t>
            </w:r>
          </w:p>
        </w:tc>
        <w:tc>
          <w:tcPr>
            <w:tcW w:w="691" w:type="pct"/>
            <w:vAlign w:val="center"/>
          </w:tcPr>
          <w:p w14:paraId="50ED635B">
            <w:pPr>
              <w:shd w:val="clear" w:color="auto"/>
              <w:kinsoku/>
              <w:wordWrap/>
              <w:overflowPunct/>
              <w:topLinePunct w:val="0"/>
              <w:autoSpaceDE/>
              <w:autoSpaceDN/>
              <w:bidi w:val="0"/>
              <w:snapToGrid w:val="0"/>
              <w:spacing w:line="240" w:lineRule="auto"/>
              <w:ind w:firstLine="0" w:firstLineChars="0"/>
              <w:jc w:val="center"/>
              <w:textAlignment w:val="auto"/>
              <w:rPr>
                <w:rFonts w:hint="eastAsia" w:ascii="仿宋" w:hAnsi="仿宋" w:eastAsia="仿宋"/>
                <w:bCs/>
                <w:color w:val="auto"/>
                <w:sz w:val="22"/>
                <w:szCs w:val="22"/>
                <w:highlight w:val="none"/>
              </w:rPr>
            </w:pPr>
            <w:r>
              <w:rPr>
                <w:rFonts w:hint="eastAsia" w:ascii="仿宋" w:hAnsi="仿宋" w:eastAsia="仿宋"/>
                <w:bCs/>
                <w:color w:val="auto"/>
                <w:sz w:val="22"/>
                <w:szCs w:val="22"/>
                <w:highlight w:val="none"/>
              </w:rPr>
              <w:t>新建项目</w:t>
            </w:r>
          </w:p>
        </w:tc>
        <w:tc>
          <w:tcPr>
            <w:tcW w:w="945" w:type="pct"/>
            <w:vAlign w:val="center"/>
          </w:tcPr>
          <w:p w14:paraId="32C6E5B8">
            <w:pPr>
              <w:keepNext/>
              <w:keepLines/>
              <w:pageBreakBefore/>
              <w:shd w:val="clear" w:color="auto"/>
              <w:kinsoku/>
              <w:wordWrap/>
              <w:overflowPunct/>
              <w:topLinePunct w:val="0"/>
              <w:autoSpaceDE/>
              <w:autoSpaceDN/>
              <w:bidi w:val="0"/>
              <w:snapToGrid w:val="0"/>
              <w:spacing w:line="240" w:lineRule="auto"/>
              <w:ind w:firstLine="0" w:firstLineChars="0"/>
              <w:textAlignment w:val="auto"/>
              <w:outlineLvl w:val="0"/>
              <w:rPr>
                <w:rFonts w:hint="eastAsia" w:ascii="仿宋" w:hAnsi="仿宋" w:eastAsia="仿宋"/>
                <w:bCs/>
                <w:color w:val="auto"/>
                <w:sz w:val="22"/>
                <w:szCs w:val="22"/>
                <w:highlight w:val="none"/>
              </w:rPr>
            </w:pPr>
          </w:p>
        </w:tc>
      </w:tr>
    </w:tbl>
    <w:p w14:paraId="4DC1FD69">
      <w:pPr>
        <w:pStyle w:val="4"/>
        <w:bidi w:val="0"/>
        <w:ind w:left="720" w:hanging="720"/>
        <w:rPr>
          <w:rFonts w:hint="eastAsia" w:ascii="仿宋" w:hAnsi="仿宋" w:eastAsia="仿宋"/>
          <w:color w:val="auto"/>
          <w:lang w:val="en-US" w:eastAsia="zh-CN"/>
        </w:rPr>
      </w:pPr>
      <w:r>
        <w:rPr>
          <w:rFonts w:hint="eastAsia" w:ascii="仿宋" w:hAnsi="仿宋" w:eastAsia="仿宋"/>
          <w:color w:val="auto"/>
          <w:lang w:val="en-US" w:eastAsia="zh-CN"/>
        </w:rPr>
        <w:t>具体实施方式</w:t>
      </w:r>
    </w:p>
    <w:p w14:paraId="0D5361BF">
      <w:pPr>
        <w:bidi w:val="0"/>
        <w:rPr>
          <w:rFonts w:hint="eastAsia" w:ascii="仿宋" w:hAnsi="仿宋" w:eastAsia="仿宋"/>
          <w:color w:val="auto"/>
          <w:lang w:val="en-US" w:eastAsia="zh-CN"/>
        </w:rPr>
      </w:pPr>
      <w:r>
        <w:rPr>
          <w:rFonts w:hint="eastAsia" w:ascii="仿宋" w:hAnsi="仿宋" w:eastAsia="仿宋"/>
          <w:color w:val="auto"/>
          <w:lang w:val="en-US" w:eastAsia="zh-CN"/>
        </w:rPr>
        <w:t>本项目采用D</w:t>
      </w:r>
      <w:r>
        <w:rPr>
          <w:rFonts w:hint="eastAsia" w:ascii="仿宋" w:hAnsi="仿宋" w:eastAsia="仿宋"/>
          <w:color w:val="auto"/>
          <w:highlight w:val="none"/>
        </w:rPr>
        <w:t>B</w:t>
      </w:r>
      <w:r>
        <w:rPr>
          <w:rFonts w:hint="eastAsia" w:ascii="仿宋" w:hAnsi="仿宋" w:eastAsia="仿宋"/>
          <w:color w:val="auto"/>
          <w:highlight w:val="none"/>
          <w:lang w:val="en-US" w:eastAsia="zh-CN"/>
        </w:rPr>
        <w:t>F</w:t>
      </w:r>
      <w:r>
        <w:rPr>
          <w:rFonts w:hint="eastAsia" w:ascii="仿宋" w:hAnsi="仿宋" w:eastAsia="仿宋"/>
          <w:color w:val="auto"/>
          <w:highlight w:val="none"/>
        </w:rPr>
        <w:t>OT</w:t>
      </w:r>
      <w:r>
        <w:rPr>
          <w:rFonts w:hint="eastAsia" w:ascii="仿宋" w:hAnsi="仿宋" w:eastAsia="仿宋"/>
          <w:color w:val="auto"/>
        </w:rPr>
        <w:t>（</w:t>
      </w:r>
      <w:r>
        <w:rPr>
          <w:rFonts w:hint="eastAsia" w:ascii="仿宋" w:hAnsi="仿宋" w:eastAsia="仿宋"/>
          <w:color w:val="auto"/>
          <w:lang w:val="en-US" w:eastAsia="zh-CN"/>
        </w:rPr>
        <w:t>设计—</w:t>
      </w:r>
      <w:r>
        <w:rPr>
          <w:rFonts w:hint="eastAsia" w:ascii="仿宋" w:hAnsi="仿宋" w:eastAsia="仿宋"/>
          <w:color w:val="auto"/>
        </w:rPr>
        <w:t>建设</w:t>
      </w:r>
      <w:r>
        <w:rPr>
          <w:rFonts w:hint="eastAsia" w:ascii="仿宋" w:hAnsi="仿宋" w:eastAsia="仿宋"/>
          <w:color w:val="auto"/>
          <w:lang w:eastAsia="zh-CN"/>
        </w:rPr>
        <w:t>—</w:t>
      </w:r>
      <w:r>
        <w:rPr>
          <w:rFonts w:hint="eastAsia" w:ascii="仿宋" w:hAnsi="仿宋" w:eastAsia="仿宋"/>
          <w:color w:val="auto"/>
          <w:lang w:val="en-US" w:eastAsia="zh-CN"/>
        </w:rPr>
        <w:t>融资</w:t>
      </w:r>
      <w:r>
        <w:rPr>
          <w:rFonts w:hint="eastAsia" w:ascii="仿宋" w:hAnsi="仿宋" w:eastAsia="仿宋"/>
          <w:color w:val="auto"/>
          <w:lang w:eastAsia="zh-CN"/>
        </w:rPr>
        <w:t>－</w:t>
      </w:r>
      <w:r>
        <w:rPr>
          <w:rFonts w:hint="eastAsia" w:ascii="仿宋" w:hAnsi="仿宋" w:eastAsia="仿宋"/>
          <w:color w:val="auto"/>
        </w:rPr>
        <w:t>运营</w:t>
      </w:r>
      <w:r>
        <w:rPr>
          <w:rFonts w:hint="eastAsia" w:ascii="仿宋" w:hAnsi="仿宋" w:eastAsia="仿宋"/>
          <w:color w:val="auto"/>
          <w:lang w:eastAsia="zh-CN"/>
        </w:rPr>
        <w:t>－</w:t>
      </w:r>
      <w:r>
        <w:rPr>
          <w:rFonts w:hint="eastAsia" w:ascii="仿宋" w:hAnsi="仿宋" w:eastAsia="仿宋"/>
          <w:color w:val="auto"/>
        </w:rPr>
        <w:t>移交）</w:t>
      </w:r>
      <w:r>
        <w:rPr>
          <w:rFonts w:hint="eastAsia" w:ascii="仿宋" w:hAnsi="仿宋" w:eastAsia="仿宋"/>
          <w:color w:val="auto"/>
          <w:lang w:val="en-US" w:eastAsia="zh-CN"/>
        </w:rPr>
        <w:t>的实施方式。</w:t>
      </w:r>
    </w:p>
    <w:p w14:paraId="5475703B">
      <w:pPr>
        <w:bidi w:val="0"/>
        <w:rPr>
          <w:rFonts w:hint="eastAsia" w:ascii="仿宋" w:hAnsi="仿宋" w:eastAsia="仿宋"/>
          <w:color w:val="auto"/>
          <w:lang w:val="en-US" w:eastAsia="zh-CN"/>
        </w:rPr>
      </w:pPr>
      <w:r>
        <w:rPr>
          <w:rFonts w:hint="eastAsia" w:ascii="仿宋" w:hAnsi="仿宋" w:eastAsia="仿宋"/>
          <w:color w:val="auto"/>
          <w:lang w:val="en-US" w:eastAsia="zh-CN"/>
        </w:rPr>
        <w:t>结合我国其他基础设施和公用事业特许经营项目的运作方式及本项目的特点，本项目利用社会化投资，采用D</w:t>
      </w:r>
      <w:r>
        <w:rPr>
          <w:rFonts w:hint="eastAsia" w:ascii="仿宋" w:hAnsi="仿宋" w:eastAsia="仿宋"/>
          <w:color w:val="auto"/>
          <w:highlight w:val="none"/>
        </w:rPr>
        <w:t>B</w:t>
      </w:r>
      <w:r>
        <w:rPr>
          <w:rFonts w:hint="eastAsia" w:ascii="仿宋" w:hAnsi="仿宋" w:eastAsia="仿宋"/>
          <w:color w:val="auto"/>
          <w:highlight w:val="none"/>
          <w:lang w:val="en-US" w:eastAsia="zh-CN"/>
        </w:rPr>
        <w:t>F</w:t>
      </w:r>
      <w:r>
        <w:rPr>
          <w:rFonts w:hint="eastAsia" w:ascii="仿宋" w:hAnsi="仿宋" w:eastAsia="仿宋"/>
          <w:color w:val="auto"/>
          <w:highlight w:val="none"/>
        </w:rPr>
        <w:t>OT</w:t>
      </w:r>
      <w:r>
        <w:rPr>
          <w:rFonts w:hint="eastAsia" w:ascii="仿宋" w:hAnsi="仿宋" w:eastAsia="仿宋"/>
          <w:color w:val="auto"/>
          <w:lang w:val="en-US" w:eastAsia="zh-CN"/>
        </w:rPr>
        <w:t>的实施方式，通过公开招标遴选合适的特许经营主体；即由密云区人民政府授权密云区城管委为本项目实施机构，通过公开招标遴选特许经营者，实施机构与中标社会资本方签订特许经营协议，授予中标社会资本方本项目特许经营权，中标社会资本方成为本项目的特许经营者。如社会资本方为本项目成立项目公司的，由项目实施机构与中标社会资本签订特许经营初步协议，待项目公司成立后，由实施机构与项目公司签订特许经营协议，由项目公司代社会资本方享有及履行特许经营期间的权利、责任和义务。</w:t>
      </w:r>
    </w:p>
    <w:p w14:paraId="41E9501F">
      <w:pPr>
        <w:rPr>
          <w:rFonts w:hint="eastAsia" w:ascii="仿宋" w:hAnsi="仿宋" w:eastAsia="仿宋"/>
          <w:color w:val="auto"/>
          <w:lang w:val="en-US" w:eastAsia="zh-CN"/>
        </w:rPr>
      </w:pPr>
      <w:r>
        <w:rPr>
          <w:rFonts w:hint="eastAsia" w:ascii="仿宋" w:hAnsi="仿宋" w:eastAsia="仿宋"/>
          <w:color w:val="auto"/>
          <w:lang w:val="en-US" w:eastAsia="zh-CN"/>
        </w:rPr>
        <w:t>特许经营者在特许经营期内对北京市密云区密东广场北侧地块地下停车场特许经营项目的经营范围拥有独家经营权利，根据特许经营协议及实施机构审核确定的投资、运营方案，围绕北京市密云区密东广场北侧地块地下停车场特许经营项目进行投资、建设、运营管理、维护及期满移交工作。</w:t>
      </w:r>
    </w:p>
    <w:p w14:paraId="1A372DA4">
      <w:pPr>
        <w:pStyle w:val="4"/>
        <w:bidi w:val="0"/>
        <w:ind w:left="720" w:hanging="720"/>
        <w:rPr>
          <w:rFonts w:hint="eastAsia" w:ascii="仿宋" w:hAnsi="仿宋" w:eastAsia="仿宋"/>
          <w:color w:val="auto"/>
          <w:lang w:val="en-US" w:eastAsia="zh-CN"/>
        </w:rPr>
      </w:pPr>
      <w:bookmarkStart w:id="149" w:name="_Toc31032"/>
      <w:bookmarkStart w:id="150" w:name="_Toc1177"/>
      <w:bookmarkStart w:id="151" w:name="_Toc2085560685"/>
      <w:bookmarkStart w:id="152" w:name="_Toc30805"/>
      <w:bookmarkStart w:id="153" w:name="_Toc107258321"/>
      <w:bookmarkStart w:id="154" w:name="_Toc7814"/>
      <w:bookmarkStart w:id="155" w:name="_Toc32566"/>
      <w:bookmarkStart w:id="156" w:name="_Toc1078197151"/>
      <w:bookmarkStart w:id="157" w:name="_Toc28710"/>
      <w:r>
        <w:rPr>
          <w:rFonts w:hint="eastAsia" w:ascii="仿宋" w:hAnsi="仿宋" w:eastAsia="仿宋"/>
          <w:color w:val="auto"/>
          <w:lang w:val="en-US" w:eastAsia="zh-CN"/>
        </w:rPr>
        <w:t>实施计划</w:t>
      </w:r>
      <w:bookmarkEnd w:id="149"/>
      <w:bookmarkEnd w:id="150"/>
      <w:bookmarkEnd w:id="151"/>
      <w:bookmarkEnd w:id="152"/>
      <w:bookmarkEnd w:id="153"/>
      <w:bookmarkEnd w:id="154"/>
      <w:bookmarkEnd w:id="155"/>
      <w:bookmarkEnd w:id="156"/>
      <w:bookmarkEnd w:id="157"/>
    </w:p>
    <w:p w14:paraId="24219EB8">
      <w:pPr>
        <w:bidi w:val="0"/>
        <w:rPr>
          <w:rFonts w:hint="eastAsia" w:ascii="仿宋" w:hAnsi="仿宋" w:eastAsia="仿宋"/>
          <w:color w:val="auto"/>
        </w:rPr>
      </w:pPr>
      <w:r>
        <w:rPr>
          <w:rFonts w:hint="eastAsia" w:ascii="仿宋" w:hAnsi="仿宋" w:eastAsia="仿宋"/>
          <w:color w:val="auto"/>
        </w:rPr>
        <w:t>本项目</w:t>
      </w:r>
      <w:r>
        <w:rPr>
          <w:rFonts w:hint="eastAsia" w:ascii="仿宋" w:hAnsi="仿宋" w:eastAsia="仿宋"/>
          <w:color w:val="auto"/>
          <w:lang w:val="en-US" w:eastAsia="zh-CN"/>
        </w:rPr>
        <w:t>计划</w:t>
      </w:r>
      <w:r>
        <w:rPr>
          <w:rFonts w:hint="eastAsia" w:ascii="仿宋" w:hAnsi="仿宋" w:eastAsia="仿宋"/>
          <w:color w:val="auto"/>
        </w:rPr>
        <w:t>采用</w:t>
      </w:r>
      <w:r>
        <w:rPr>
          <w:rFonts w:hint="eastAsia" w:ascii="仿宋" w:hAnsi="仿宋" w:eastAsia="仿宋"/>
          <w:color w:val="auto"/>
          <w:lang w:val="en-US" w:eastAsia="zh-CN"/>
        </w:rPr>
        <w:t>D</w:t>
      </w:r>
      <w:r>
        <w:rPr>
          <w:rFonts w:hint="eastAsia" w:ascii="仿宋" w:hAnsi="仿宋" w:eastAsia="仿宋"/>
          <w:color w:val="auto"/>
          <w:highlight w:val="none"/>
        </w:rPr>
        <w:t>B</w:t>
      </w:r>
      <w:r>
        <w:rPr>
          <w:rFonts w:hint="eastAsia" w:ascii="仿宋" w:hAnsi="仿宋" w:eastAsia="仿宋"/>
          <w:color w:val="auto"/>
          <w:highlight w:val="none"/>
          <w:lang w:val="en-US" w:eastAsia="zh-CN"/>
        </w:rPr>
        <w:t>F</w:t>
      </w:r>
      <w:r>
        <w:rPr>
          <w:rFonts w:hint="eastAsia" w:ascii="仿宋" w:hAnsi="仿宋" w:eastAsia="仿宋"/>
          <w:color w:val="auto"/>
          <w:highlight w:val="none"/>
        </w:rPr>
        <w:t>OT模式</w:t>
      </w:r>
      <w:r>
        <w:rPr>
          <w:rFonts w:hint="eastAsia" w:ascii="仿宋" w:hAnsi="仿宋" w:eastAsia="仿宋"/>
          <w:color w:val="auto"/>
          <w:lang w:eastAsia="zh-CN"/>
        </w:rPr>
        <w:t>，</w:t>
      </w:r>
      <w:r>
        <w:rPr>
          <w:rFonts w:hint="eastAsia" w:ascii="仿宋" w:hAnsi="仿宋" w:eastAsia="仿宋"/>
          <w:color w:val="auto"/>
        </w:rPr>
        <w:t>具体项目实施计划</w:t>
      </w:r>
      <w:r>
        <w:rPr>
          <w:rFonts w:hint="eastAsia" w:ascii="仿宋" w:hAnsi="仿宋" w:eastAsia="仿宋"/>
          <w:color w:val="auto"/>
          <w:lang w:val="en-US" w:eastAsia="zh-CN"/>
        </w:rPr>
        <w:t>如下</w:t>
      </w:r>
      <w:r>
        <w:rPr>
          <w:rFonts w:hint="eastAsia" w:ascii="仿宋" w:hAnsi="仿宋" w:eastAsia="仿宋"/>
          <w:color w:val="auto"/>
        </w:rPr>
        <w:t>：</w:t>
      </w:r>
    </w:p>
    <w:p w14:paraId="74E5416F">
      <w:pPr>
        <w:numPr>
          <w:ilvl w:val="0"/>
          <w:numId w:val="61"/>
        </w:numPr>
        <w:bidi w:val="0"/>
        <w:rPr>
          <w:rFonts w:hint="eastAsia" w:ascii="仿宋" w:hAnsi="仿宋" w:eastAsia="仿宋"/>
          <w:color w:val="auto"/>
        </w:rPr>
      </w:pPr>
      <w:r>
        <w:rPr>
          <w:rFonts w:hint="eastAsia" w:ascii="仿宋" w:hAnsi="仿宋" w:eastAsia="仿宋"/>
          <w:color w:val="auto"/>
        </w:rPr>
        <w:t>由</w:t>
      </w:r>
      <w:r>
        <w:rPr>
          <w:rFonts w:hint="eastAsia" w:ascii="仿宋" w:hAnsi="仿宋" w:eastAsia="仿宋"/>
          <w:color w:val="auto"/>
          <w:lang w:val="en-US" w:eastAsia="zh-CN"/>
        </w:rPr>
        <w:t>密云区</w:t>
      </w:r>
      <w:r>
        <w:rPr>
          <w:rFonts w:hint="eastAsia" w:ascii="仿宋" w:hAnsi="仿宋" w:eastAsia="仿宋"/>
          <w:color w:val="auto"/>
        </w:rPr>
        <w:t>政府授权</w:t>
      </w:r>
      <w:r>
        <w:rPr>
          <w:rFonts w:hint="eastAsia" w:ascii="仿宋" w:hAnsi="仿宋" w:eastAsia="仿宋"/>
          <w:color w:val="auto"/>
          <w:lang w:val="en-US" w:eastAsia="zh-CN"/>
        </w:rPr>
        <w:t>密云区城管委作为本项目的</w:t>
      </w:r>
      <w:r>
        <w:rPr>
          <w:rFonts w:hint="eastAsia" w:ascii="仿宋" w:hAnsi="仿宋" w:eastAsia="仿宋"/>
          <w:color w:val="auto"/>
        </w:rPr>
        <w:t>实施机构，具体负责项目的</w:t>
      </w:r>
      <w:r>
        <w:rPr>
          <w:rFonts w:hint="eastAsia" w:ascii="仿宋" w:hAnsi="仿宋" w:eastAsia="仿宋"/>
          <w:color w:val="auto"/>
          <w:lang w:val="en-US" w:eastAsia="zh-CN"/>
        </w:rPr>
        <w:t>前期工作</w:t>
      </w:r>
      <w:r>
        <w:rPr>
          <w:rFonts w:hint="eastAsia" w:ascii="仿宋" w:hAnsi="仿宋" w:eastAsia="仿宋"/>
          <w:color w:val="auto"/>
        </w:rPr>
        <w:t>准备、</w:t>
      </w:r>
      <w:r>
        <w:rPr>
          <w:rFonts w:hint="eastAsia" w:ascii="仿宋" w:hAnsi="仿宋" w:eastAsia="仿宋"/>
          <w:color w:val="auto"/>
          <w:lang w:val="en-US" w:eastAsia="zh-CN"/>
        </w:rPr>
        <w:t>特许经营实施方案编制、特许经营者选择</w:t>
      </w:r>
      <w:r>
        <w:rPr>
          <w:rFonts w:hint="eastAsia" w:ascii="仿宋" w:hAnsi="仿宋" w:eastAsia="仿宋"/>
          <w:color w:val="auto"/>
        </w:rPr>
        <w:t>、</w:t>
      </w:r>
      <w:r>
        <w:rPr>
          <w:rFonts w:hint="eastAsia" w:ascii="仿宋" w:hAnsi="仿宋" w:eastAsia="仿宋"/>
          <w:color w:val="auto"/>
          <w:lang w:val="en-US" w:eastAsia="zh-CN"/>
        </w:rPr>
        <w:t>项目实施</w:t>
      </w:r>
      <w:r>
        <w:rPr>
          <w:rFonts w:hint="eastAsia" w:ascii="仿宋" w:hAnsi="仿宋" w:eastAsia="仿宋"/>
          <w:color w:val="auto"/>
        </w:rPr>
        <w:t>监管</w:t>
      </w:r>
      <w:r>
        <w:rPr>
          <w:rFonts w:hint="eastAsia" w:ascii="仿宋" w:hAnsi="仿宋" w:eastAsia="仿宋"/>
          <w:color w:val="auto"/>
          <w:lang w:val="en-US" w:eastAsia="zh-CN"/>
        </w:rPr>
        <w:t>以及合作期满项目</w:t>
      </w:r>
      <w:r>
        <w:rPr>
          <w:rFonts w:hint="eastAsia" w:ascii="仿宋" w:hAnsi="仿宋" w:eastAsia="仿宋"/>
          <w:color w:val="auto"/>
        </w:rPr>
        <w:t>移交</w:t>
      </w:r>
      <w:r>
        <w:rPr>
          <w:rFonts w:hint="eastAsia" w:ascii="仿宋" w:hAnsi="仿宋" w:eastAsia="仿宋"/>
          <w:color w:val="auto"/>
          <w:lang w:val="en-US" w:eastAsia="zh-CN"/>
        </w:rPr>
        <w:t>接收</w:t>
      </w:r>
      <w:r>
        <w:rPr>
          <w:rFonts w:hint="eastAsia" w:ascii="仿宋" w:hAnsi="仿宋" w:eastAsia="仿宋"/>
          <w:color w:val="auto"/>
        </w:rPr>
        <w:t>等工作。</w:t>
      </w:r>
    </w:p>
    <w:p w14:paraId="4A7A4BF4">
      <w:pPr>
        <w:numPr>
          <w:ilvl w:val="0"/>
          <w:numId w:val="61"/>
        </w:numPr>
        <w:bidi w:val="0"/>
        <w:rPr>
          <w:rFonts w:hint="eastAsia" w:ascii="仿宋" w:hAnsi="仿宋" w:eastAsia="仿宋"/>
          <w:color w:val="auto"/>
        </w:rPr>
      </w:pPr>
      <w:r>
        <w:rPr>
          <w:rFonts w:hint="eastAsia" w:ascii="仿宋" w:hAnsi="仿宋" w:eastAsia="仿宋"/>
          <w:color w:val="auto"/>
        </w:rPr>
        <w:t>项目实施机构根据</w:t>
      </w:r>
      <w:r>
        <w:rPr>
          <w:rFonts w:hint="eastAsia" w:ascii="仿宋" w:hAnsi="仿宋" w:eastAsia="仿宋"/>
          <w:color w:val="auto"/>
          <w:lang w:val="en-US" w:eastAsia="zh-CN"/>
        </w:rPr>
        <w:t>法律法规要求和</w:t>
      </w:r>
      <w:r>
        <w:rPr>
          <w:rFonts w:hint="eastAsia" w:ascii="仿宋" w:hAnsi="仿宋" w:eastAsia="仿宋"/>
          <w:color w:val="auto"/>
        </w:rPr>
        <w:t>项目</w:t>
      </w:r>
      <w:r>
        <w:rPr>
          <w:rFonts w:hint="eastAsia" w:ascii="仿宋" w:hAnsi="仿宋" w:eastAsia="仿宋"/>
          <w:color w:val="auto"/>
          <w:lang w:val="en-US" w:eastAsia="zh-CN"/>
        </w:rPr>
        <w:t>实际</w:t>
      </w:r>
      <w:r>
        <w:rPr>
          <w:rFonts w:hint="eastAsia" w:ascii="仿宋" w:hAnsi="仿宋" w:eastAsia="仿宋"/>
          <w:color w:val="auto"/>
        </w:rPr>
        <w:t>需要，采用公开招标方式确定</w:t>
      </w:r>
      <w:r>
        <w:rPr>
          <w:rFonts w:hint="eastAsia" w:ascii="仿宋" w:hAnsi="仿宋" w:eastAsia="仿宋"/>
          <w:color w:val="auto"/>
          <w:lang w:val="en-US" w:eastAsia="zh-CN"/>
        </w:rPr>
        <w:t>特许经营者</w:t>
      </w:r>
      <w:r>
        <w:rPr>
          <w:rFonts w:hint="eastAsia" w:ascii="仿宋" w:hAnsi="仿宋" w:eastAsia="仿宋"/>
          <w:color w:val="auto"/>
        </w:rPr>
        <w:t>。由项目实施机构与</w:t>
      </w:r>
      <w:r>
        <w:rPr>
          <w:rFonts w:hint="eastAsia" w:ascii="仿宋" w:hAnsi="仿宋" w:eastAsia="仿宋"/>
          <w:color w:val="auto"/>
          <w:lang w:val="en-US" w:eastAsia="zh-CN"/>
        </w:rPr>
        <w:t>特许经营者</w:t>
      </w:r>
      <w:r>
        <w:rPr>
          <w:rFonts w:hint="eastAsia" w:ascii="仿宋" w:hAnsi="仿宋" w:eastAsia="仿宋"/>
          <w:color w:val="auto"/>
        </w:rPr>
        <w:t>签署项目特许经营</w:t>
      </w:r>
      <w:r>
        <w:rPr>
          <w:rFonts w:hint="eastAsia" w:ascii="仿宋" w:hAnsi="仿宋" w:eastAsia="仿宋"/>
          <w:color w:val="auto"/>
          <w:lang w:val="en-US" w:eastAsia="zh-CN"/>
        </w:rPr>
        <w:t>协议。</w:t>
      </w:r>
      <w:r>
        <w:rPr>
          <w:rFonts w:hint="eastAsia" w:ascii="仿宋" w:hAnsi="仿宋" w:eastAsia="仿宋" w:cs="仿宋"/>
          <w:color w:val="auto"/>
          <w:kern w:val="2"/>
          <w:sz w:val="28"/>
          <w:szCs w:val="28"/>
          <w:highlight w:val="none"/>
          <w:lang w:val="en-US" w:eastAsia="zh-CN" w:bidi="ar"/>
        </w:rPr>
        <w:t>需成立项目公司的，项目实施机构与特许经营者签订</w:t>
      </w:r>
      <w:r>
        <w:rPr>
          <w:rFonts w:hint="eastAsia" w:ascii="仿宋" w:hAnsi="仿宋" w:eastAsia="仿宋"/>
          <w:color w:val="auto"/>
          <w:lang w:val="en-US" w:eastAsia="zh-CN"/>
        </w:rPr>
        <w:t>特许经营初步协议</w:t>
      </w:r>
      <w:r>
        <w:rPr>
          <w:rFonts w:hint="eastAsia" w:ascii="仿宋" w:hAnsi="仿宋" w:eastAsia="仿宋" w:cs="仿宋"/>
          <w:color w:val="auto"/>
          <w:kern w:val="2"/>
          <w:sz w:val="28"/>
          <w:szCs w:val="28"/>
          <w:highlight w:val="none"/>
          <w:lang w:val="en-US" w:eastAsia="zh-CN" w:bidi="ar"/>
        </w:rPr>
        <w:t>，约定其在</w:t>
      </w:r>
      <w:r>
        <w:rPr>
          <w:rFonts w:hint="eastAsia" w:ascii="仿宋" w:hAnsi="仿宋" w:eastAsia="仿宋"/>
          <w:color w:val="auto"/>
          <w:lang w:val="en-US" w:eastAsia="zh-CN"/>
        </w:rPr>
        <w:t>特许经营初步协议</w:t>
      </w:r>
      <w:r>
        <w:rPr>
          <w:rFonts w:hint="eastAsia" w:ascii="仿宋" w:hAnsi="仿宋" w:eastAsia="仿宋" w:cs="仿宋"/>
          <w:color w:val="auto"/>
          <w:kern w:val="2"/>
          <w:sz w:val="28"/>
          <w:szCs w:val="28"/>
          <w:highlight w:val="none"/>
          <w:lang w:val="en-US" w:eastAsia="zh-CN" w:bidi="ar"/>
        </w:rPr>
        <w:t>签订3个月内成立项目公司，并与项目公司签订特许经营协议。</w:t>
      </w:r>
    </w:p>
    <w:p w14:paraId="6F86AEB9">
      <w:pPr>
        <w:numPr>
          <w:ilvl w:val="0"/>
          <w:numId w:val="61"/>
        </w:numPr>
        <w:bidi w:val="0"/>
        <w:rPr>
          <w:rFonts w:hint="eastAsia" w:ascii="仿宋" w:hAnsi="仿宋" w:eastAsia="仿宋"/>
          <w:color w:val="auto"/>
        </w:rPr>
      </w:pPr>
      <w:r>
        <w:rPr>
          <w:rFonts w:hint="eastAsia" w:ascii="仿宋" w:hAnsi="仿宋" w:eastAsia="仿宋"/>
          <w:color w:val="auto"/>
          <w:lang w:eastAsia="zh-CN"/>
        </w:rPr>
        <w:t>特许经营者</w:t>
      </w:r>
      <w:r>
        <w:rPr>
          <w:rFonts w:hint="eastAsia" w:ascii="仿宋" w:hAnsi="仿宋" w:eastAsia="仿宋"/>
          <w:color w:val="auto"/>
          <w:lang w:val="en-US" w:eastAsia="zh-CN"/>
        </w:rPr>
        <w:t>或项目公司</w:t>
      </w:r>
      <w:r>
        <w:rPr>
          <w:rFonts w:hint="eastAsia" w:ascii="仿宋" w:hAnsi="仿宋" w:eastAsia="仿宋"/>
          <w:color w:val="auto"/>
        </w:rPr>
        <w:t>根据项目特许经营</w:t>
      </w:r>
      <w:r>
        <w:rPr>
          <w:rFonts w:hint="eastAsia" w:ascii="仿宋" w:hAnsi="仿宋" w:eastAsia="仿宋"/>
          <w:color w:val="auto"/>
          <w:lang w:val="en-US" w:eastAsia="zh-CN"/>
        </w:rPr>
        <w:t>协议</w:t>
      </w:r>
      <w:r>
        <w:rPr>
          <w:rFonts w:hint="eastAsia" w:ascii="仿宋" w:hAnsi="仿宋" w:eastAsia="仿宋"/>
          <w:color w:val="auto"/>
        </w:rPr>
        <w:t>依法开展本项目的</w:t>
      </w:r>
      <w:r>
        <w:rPr>
          <w:rFonts w:hint="eastAsia" w:ascii="仿宋" w:hAnsi="仿宋" w:eastAsia="仿宋"/>
          <w:color w:val="auto"/>
          <w:lang w:val="en-US" w:eastAsia="zh-CN"/>
        </w:rPr>
        <w:t>设计、投资、筹资</w:t>
      </w:r>
      <w:r>
        <w:rPr>
          <w:rFonts w:hint="eastAsia" w:ascii="仿宋" w:hAnsi="仿宋" w:eastAsia="仿宋"/>
          <w:color w:val="auto"/>
        </w:rPr>
        <w:t>、建设、运营</w:t>
      </w:r>
      <w:r>
        <w:rPr>
          <w:rFonts w:hint="eastAsia" w:ascii="仿宋" w:hAnsi="仿宋" w:eastAsia="仿宋"/>
          <w:color w:val="auto"/>
          <w:lang w:val="en-US" w:eastAsia="zh-CN"/>
        </w:rPr>
        <w:t>管理、维护</w:t>
      </w:r>
      <w:r>
        <w:rPr>
          <w:rFonts w:hint="eastAsia" w:ascii="仿宋" w:hAnsi="仿宋" w:eastAsia="仿宋"/>
          <w:color w:val="auto"/>
        </w:rPr>
        <w:t>及移交</w:t>
      </w:r>
      <w:r>
        <w:rPr>
          <w:rFonts w:hint="eastAsia" w:ascii="仿宋" w:hAnsi="仿宋" w:eastAsia="仿宋"/>
          <w:color w:val="auto"/>
          <w:lang w:val="en-US" w:eastAsia="zh-CN"/>
        </w:rPr>
        <w:t>等工作</w:t>
      </w:r>
      <w:r>
        <w:rPr>
          <w:rFonts w:hint="eastAsia" w:ascii="仿宋" w:hAnsi="仿宋" w:eastAsia="仿宋"/>
          <w:color w:val="auto"/>
        </w:rPr>
        <w:t>。</w:t>
      </w:r>
    </w:p>
    <w:p w14:paraId="6B233EA8">
      <w:pPr>
        <w:numPr>
          <w:ilvl w:val="0"/>
          <w:numId w:val="61"/>
        </w:numPr>
        <w:bidi w:val="0"/>
        <w:rPr>
          <w:rFonts w:hint="eastAsia" w:ascii="仿宋" w:hAnsi="仿宋" w:eastAsia="仿宋"/>
          <w:color w:val="auto"/>
        </w:rPr>
      </w:pPr>
      <w:r>
        <w:rPr>
          <w:rFonts w:hint="eastAsia" w:ascii="仿宋" w:hAnsi="仿宋" w:eastAsia="仿宋"/>
          <w:color w:val="auto"/>
        </w:rPr>
        <w:t>项目移交时，项目实施机构或政府指定的其他机构代表政府收回项目特许经营权合同约定的项目资产。</w:t>
      </w:r>
    </w:p>
    <w:p w14:paraId="20E85047">
      <w:pPr>
        <w:pStyle w:val="3"/>
        <w:bidi w:val="0"/>
        <w:ind w:left="575" w:hanging="575"/>
        <w:rPr>
          <w:rFonts w:hint="eastAsia" w:ascii="仿宋" w:hAnsi="仿宋" w:eastAsia="仿宋" w:cs="仿宋"/>
          <w:color w:val="auto"/>
          <w:highlight w:val="none"/>
          <w:lang w:val="en-US" w:eastAsia="zh-CN"/>
        </w:rPr>
      </w:pPr>
      <w:bookmarkStart w:id="158" w:name="_Toc6045"/>
      <w:bookmarkStart w:id="159" w:name="_Toc32540"/>
      <w:bookmarkStart w:id="160" w:name="_Toc31197"/>
      <w:bookmarkStart w:id="161" w:name="_Toc14133"/>
      <w:bookmarkStart w:id="162" w:name="_Toc6065"/>
      <w:bookmarkStart w:id="163" w:name="_Toc4541"/>
      <w:bookmarkStart w:id="164" w:name="_Toc20592"/>
      <w:bookmarkStart w:id="165" w:name="_Toc1978"/>
      <w:r>
        <w:rPr>
          <w:rFonts w:hint="eastAsia" w:ascii="仿宋" w:hAnsi="仿宋" w:eastAsia="仿宋" w:cs="仿宋"/>
          <w:color w:val="auto"/>
          <w:highlight w:val="none"/>
          <w:lang w:val="en-US" w:eastAsia="zh-CN"/>
        </w:rPr>
        <w:t>特许经营期限</w:t>
      </w:r>
      <w:bookmarkEnd w:id="158"/>
      <w:bookmarkEnd w:id="159"/>
      <w:bookmarkEnd w:id="160"/>
      <w:bookmarkEnd w:id="161"/>
      <w:r>
        <w:rPr>
          <w:rFonts w:hint="eastAsia" w:ascii="仿宋" w:hAnsi="仿宋" w:eastAsia="仿宋" w:cs="仿宋"/>
          <w:color w:val="auto"/>
          <w:highlight w:val="none"/>
          <w:lang w:val="en-US" w:eastAsia="zh-CN"/>
        </w:rPr>
        <w:t>和资产权属</w:t>
      </w:r>
      <w:bookmarkEnd w:id="162"/>
      <w:bookmarkEnd w:id="163"/>
      <w:bookmarkEnd w:id="164"/>
      <w:bookmarkEnd w:id="165"/>
    </w:p>
    <w:p w14:paraId="7B5ADBCD">
      <w:pPr>
        <w:pStyle w:val="4"/>
        <w:ind w:left="720" w:hanging="720"/>
        <w:rPr>
          <w:rFonts w:hint="eastAsia" w:ascii="仿宋" w:hAnsi="仿宋" w:eastAsia="仿宋"/>
          <w:color w:val="auto"/>
          <w:lang w:val="en-US" w:eastAsia="zh-CN"/>
        </w:rPr>
      </w:pPr>
      <w:r>
        <w:rPr>
          <w:rFonts w:hint="eastAsia" w:ascii="仿宋" w:hAnsi="仿宋" w:eastAsia="仿宋"/>
          <w:color w:val="auto"/>
          <w:lang w:val="en-US" w:eastAsia="zh-CN"/>
        </w:rPr>
        <w:t>特许经营期限</w:t>
      </w:r>
    </w:p>
    <w:p w14:paraId="07047AE3">
      <w:pPr>
        <w:bidi w:val="0"/>
        <w:rPr>
          <w:rFonts w:hint="eastAsia" w:ascii="仿宋" w:hAnsi="仿宋" w:eastAsia="仿宋"/>
          <w:color w:val="auto"/>
        </w:rPr>
      </w:pPr>
      <w:r>
        <w:rPr>
          <w:rFonts w:hint="eastAsia" w:ascii="仿宋" w:hAnsi="仿宋" w:eastAsia="仿宋"/>
          <w:color w:val="auto"/>
        </w:rPr>
        <w:t>项目经营期应考虑多方因素，主要考虑因素有：</w:t>
      </w:r>
    </w:p>
    <w:p w14:paraId="6C418C88">
      <w:pPr>
        <w:numPr>
          <w:ilvl w:val="0"/>
          <w:numId w:val="62"/>
        </w:numPr>
        <w:bidi w:val="0"/>
        <w:ind w:left="0" w:leftChars="0" w:firstLine="560" w:firstLineChars="200"/>
        <w:rPr>
          <w:rFonts w:hint="eastAsia" w:ascii="仿宋" w:hAnsi="仿宋" w:eastAsia="仿宋"/>
          <w:color w:val="auto"/>
        </w:rPr>
      </w:pPr>
      <w:r>
        <w:rPr>
          <w:rFonts w:hint="eastAsia" w:ascii="仿宋" w:hAnsi="仿宋" w:eastAsia="仿宋"/>
          <w:color w:val="auto"/>
        </w:rPr>
        <w:t>参考已实施</w:t>
      </w:r>
      <w:r>
        <w:rPr>
          <w:rFonts w:hint="eastAsia" w:ascii="仿宋" w:hAnsi="仿宋" w:eastAsia="仿宋"/>
          <w:color w:val="auto"/>
          <w:lang w:val="en-US" w:eastAsia="zh-CN"/>
        </w:rPr>
        <w:t>特许经营模式的同类城市停车场项目</w:t>
      </w:r>
      <w:r>
        <w:rPr>
          <w:rFonts w:hint="eastAsia" w:ascii="仿宋" w:hAnsi="仿宋" w:eastAsia="仿宋"/>
          <w:color w:val="auto"/>
        </w:rPr>
        <w:t>的经营期限；</w:t>
      </w:r>
    </w:p>
    <w:p w14:paraId="05E1D0EB">
      <w:pPr>
        <w:numPr>
          <w:ilvl w:val="0"/>
          <w:numId w:val="62"/>
        </w:numPr>
        <w:bidi w:val="0"/>
        <w:ind w:left="0" w:leftChars="0" w:firstLine="560" w:firstLineChars="200"/>
        <w:rPr>
          <w:rFonts w:hint="eastAsia" w:ascii="仿宋" w:hAnsi="仿宋" w:eastAsia="仿宋"/>
          <w:color w:val="auto"/>
        </w:rPr>
      </w:pPr>
      <w:r>
        <w:rPr>
          <w:rFonts w:hint="eastAsia" w:ascii="仿宋" w:hAnsi="仿宋" w:eastAsia="仿宋"/>
          <w:color w:val="auto"/>
          <w:lang w:val="en-US" w:eastAsia="zh-CN"/>
        </w:rPr>
        <w:t>项目投资收益水平；</w:t>
      </w:r>
    </w:p>
    <w:p w14:paraId="3A05D814">
      <w:pPr>
        <w:numPr>
          <w:ilvl w:val="0"/>
          <w:numId w:val="62"/>
        </w:numPr>
        <w:bidi w:val="0"/>
        <w:ind w:left="0" w:leftChars="0" w:firstLine="560" w:firstLineChars="200"/>
        <w:rPr>
          <w:rFonts w:hint="eastAsia" w:ascii="仿宋" w:hAnsi="仿宋" w:eastAsia="仿宋"/>
          <w:color w:val="auto"/>
        </w:rPr>
      </w:pPr>
      <w:r>
        <w:rPr>
          <w:rFonts w:hint="eastAsia" w:ascii="仿宋" w:hAnsi="仿宋" w:eastAsia="仿宋"/>
          <w:color w:val="auto"/>
          <w:lang w:val="en-US" w:eastAsia="zh-CN"/>
        </w:rPr>
        <w:t>项目投资成本回收</w:t>
      </w:r>
      <w:r>
        <w:rPr>
          <w:rFonts w:hint="eastAsia" w:ascii="仿宋" w:hAnsi="仿宋" w:eastAsia="仿宋"/>
          <w:color w:val="auto"/>
        </w:rPr>
        <w:t>周期；</w:t>
      </w:r>
    </w:p>
    <w:p w14:paraId="0610BF48">
      <w:pPr>
        <w:bidi w:val="0"/>
        <w:rPr>
          <w:rFonts w:hint="eastAsia" w:ascii="仿宋" w:hAnsi="仿宋" w:eastAsia="仿宋"/>
          <w:color w:val="auto"/>
        </w:rPr>
      </w:pPr>
      <w:r>
        <w:rPr>
          <w:rFonts w:hint="eastAsia" w:ascii="仿宋" w:hAnsi="仿宋" w:eastAsia="仿宋"/>
          <w:color w:val="auto"/>
        </w:rPr>
        <w:t>根据《关于规范实施政府和社会资本合作新机制的指导意见》</w:t>
      </w:r>
      <w:r>
        <w:rPr>
          <w:rFonts w:hint="eastAsia" w:ascii="仿宋" w:hAnsi="仿宋" w:eastAsia="仿宋"/>
          <w:color w:val="auto"/>
          <w:lang w:eastAsia="zh-CN"/>
        </w:rPr>
        <w:t>（国办函〔2023〕115号）</w:t>
      </w:r>
      <w:r>
        <w:rPr>
          <w:rFonts w:hint="eastAsia" w:ascii="仿宋" w:hAnsi="仿宋" w:eastAsia="仿宋"/>
          <w:color w:val="auto"/>
        </w:rPr>
        <w:t>特许经营期限原则上不超过40年，投资规模大、回报周期长的特许经营项目可以根据实际情况适当延长，法律法规另有规定的除外。</w:t>
      </w:r>
      <w:r>
        <w:rPr>
          <w:rFonts w:hint="eastAsia" w:ascii="仿宋" w:hAnsi="仿宋" w:eastAsia="仿宋"/>
          <w:color w:val="auto"/>
          <w:lang w:val="en-US" w:eastAsia="zh-CN"/>
        </w:rPr>
        <w:t>因此，本项目</w:t>
      </w:r>
      <w:r>
        <w:rPr>
          <w:rFonts w:hint="eastAsia" w:ascii="仿宋" w:hAnsi="仿宋" w:eastAsia="仿宋"/>
          <w:color w:val="auto"/>
        </w:rPr>
        <w:t>特许经营期</w:t>
      </w:r>
      <w:r>
        <w:rPr>
          <w:rFonts w:hint="eastAsia" w:ascii="仿宋" w:hAnsi="仿宋" w:eastAsia="仿宋"/>
          <w:color w:val="auto"/>
          <w:lang w:val="en-US" w:eastAsia="zh-CN"/>
        </w:rPr>
        <w:t>设置</w:t>
      </w:r>
      <w:r>
        <w:rPr>
          <w:rFonts w:hint="eastAsia" w:ascii="仿宋" w:hAnsi="仿宋" w:eastAsia="仿宋"/>
          <w:color w:val="auto"/>
        </w:rPr>
        <w:t>为</w:t>
      </w:r>
      <w:r>
        <w:rPr>
          <w:rFonts w:hint="eastAsia" w:ascii="仿宋" w:hAnsi="仿宋" w:eastAsia="仿宋"/>
          <w:color w:val="auto"/>
          <w:lang w:val="en-US" w:eastAsia="zh-CN"/>
        </w:rPr>
        <w:t>40年</w:t>
      </w:r>
      <w:r>
        <w:rPr>
          <w:rFonts w:hint="eastAsia" w:ascii="仿宋" w:hAnsi="仿宋" w:eastAsia="仿宋"/>
          <w:color w:val="auto"/>
        </w:rPr>
        <w:t>（其中建设期时限为</w:t>
      </w:r>
      <w:r>
        <w:rPr>
          <w:rFonts w:hint="eastAsia" w:ascii="仿宋" w:hAnsi="仿宋" w:eastAsia="仿宋"/>
          <w:color w:val="auto"/>
          <w:lang w:val="en-US" w:eastAsia="zh-CN"/>
        </w:rPr>
        <w:t>13个月</w:t>
      </w:r>
      <w:r>
        <w:rPr>
          <w:rFonts w:hint="eastAsia" w:ascii="仿宋" w:hAnsi="仿宋" w:eastAsia="仿宋"/>
          <w:color w:val="auto"/>
        </w:rPr>
        <w:t>）</w:t>
      </w:r>
      <w:r>
        <w:rPr>
          <w:rFonts w:hint="eastAsia" w:ascii="仿宋" w:hAnsi="仿宋" w:eastAsia="仿宋"/>
          <w:color w:val="auto"/>
          <w:lang w:eastAsia="zh-CN"/>
        </w:rPr>
        <w:t>，</w:t>
      </w:r>
      <w:r>
        <w:rPr>
          <w:rFonts w:hint="eastAsia" w:ascii="仿宋" w:hAnsi="仿宋" w:eastAsia="仿宋"/>
          <w:color w:val="auto"/>
          <w:lang w:val="en-US" w:eastAsia="zh-CN"/>
        </w:rPr>
        <w:t>特许经营期的起始日为签订土地协议的日期</w:t>
      </w:r>
      <w:r>
        <w:rPr>
          <w:rFonts w:hint="eastAsia" w:ascii="仿宋" w:hAnsi="仿宋" w:eastAsia="仿宋"/>
          <w:color w:val="auto"/>
        </w:rPr>
        <w:t>。</w:t>
      </w:r>
    </w:p>
    <w:p w14:paraId="36FAABA0">
      <w:pPr>
        <w:bidi w:val="0"/>
        <w:rPr>
          <w:rFonts w:hint="eastAsia" w:ascii="仿宋" w:hAnsi="仿宋" w:eastAsia="仿宋"/>
          <w:color w:val="auto"/>
        </w:rPr>
      </w:pPr>
      <w:r>
        <w:rPr>
          <w:rFonts w:hint="eastAsia" w:ascii="仿宋" w:hAnsi="仿宋" w:eastAsia="仿宋"/>
          <w:color w:val="auto"/>
          <w:lang w:val="en-US" w:eastAsia="zh-CN"/>
        </w:rPr>
        <w:t>如项目提前完成整体建设，特许经营者可向政府方申请提前进行工程验收，经验收合格后进入试运营期，试运营期包含在建设期内，建设期结束后进入正式运营期；如项目建设期超过13个月，则相应减少运营期时间，不调整项目整体特许经营期限。</w:t>
      </w:r>
    </w:p>
    <w:p w14:paraId="6858D059">
      <w:pPr>
        <w:bidi w:val="0"/>
        <w:rPr>
          <w:rFonts w:hint="eastAsia" w:ascii="仿宋" w:hAnsi="仿宋" w:eastAsia="仿宋"/>
          <w:color w:val="auto"/>
        </w:rPr>
      </w:pPr>
      <w:r>
        <w:rPr>
          <w:rFonts w:hint="eastAsia" w:ascii="仿宋" w:hAnsi="仿宋" w:eastAsia="仿宋"/>
          <w:color w:val="auto"/>
        </w:rPr>
        <w:t>在特许经营期内，实施机构负责统筹有关政策措施，并组织协调特许经营项目实施和监督管理工作。</w:t>
      </w:r>
    </w:p>
    <w:p w14:paraId="057437CB">
      <w:pPr>
        <w:pStyle w:val="4"/>
        <w:ind w:left="720" w:hanging="720"/>
        <w:rPr>
          <w:rFonts w:hint="eastAsia" w:ascii="仿宋" w:hAnsi="仿宋" w:eastAsia="仿宋"/>
          <w:color w:val="auto"/>
          <w:lang w:val="en-US" w:eastAsia="zh-CN"/>
        </w:rPr>
      </w:pPr>
      <w:r>
        <w:rPr>
          <w:rFonts w:hint="eastAsia" w:ascii="仿宋" w:hAnsi="仿宋" w:eastAsia="仿宋"/>
          <w:color w:val="auto"/>
          <w:lang w:val="en-US" w:eastAsia="zh-CN"/>
        </w:rPr>
        <w:t>资产权属</w:t>
      </w:r>
    </w:p>
    <w:p w14:paraId="3280A1E3">
      <w:pPr>
        <w:ind w:firstLine="560"/>
        <w:rPr>
          <w:rFonts w:hint="eastAsia" w:ascii="仿宋" w:hAnsi="仿宋" w:eastAsia="仿宋"/>
          <w:color w:val="auto"/>
          <w:lang w:val="en-US" w:eastAsia="zh-CN"/>
        </w:rPr>
      </w:pPr>
      <w:r>
        <w:rPr>
          <w:rFonts w:hint="eastAsia" w:ascii="仿宋" w:hAnsi="仿宋" w:eastAsia="仿宋"/>
          <w:color w:val="auto"/>
          <w:lang w:val="en-US" w:eastAsia="zh-CN"/>
        </w:rPr>
        <w:t>本项目土地采用协议出让方式出让给特许经营者或项目公司，土地出让年限不少于40年（最终出让年限以土地出让协议中载明为准），在特许经营期内资产权属归属于特许经营者或项目公司；项目特许经营期满后，特许经营者应将本项目的资产完好、无偿移交给密云区城管委或密云区政府指定的机构，并应解除和清偿完毕特许经营者在此资产上设置的所有债务、抵押、质押、留置，以及源自本项目的建设、运营维护的由特许经营者引起的环境污染及其他性质的请求权。</w:t>
      </w:r>
    </w:p>
    <w:p w14:paraId="5A722D44">
      <w:pPr>
        <w:pStyle w:val="3"/>
        <w:bidi w:val="0"/>
        <w:ind w:left="575" w:hanging="575"/>
        <w:rPr>
          <w:rFonts w:hint="eastAsia" w:ascii="仿宋" w:hAnsi="仿宋" w:eastAsia="仿宋" w:cs="仿宋"/>
          <w:color w:val="auto"/>
          <w:highlight w:val="none"/>
          <w:lang w:val="en-US" w:eastAsia="zh-CN"/>
        </w:rPr>
      </w:pPr>
      <w:bookmarkStart w:id="166" w:name="_Toc19145"/>
      <w:bookmarkStart w:id="167" w:name="_Toc27367"/>
      <w:bookmarkStart w:id="168" w:name="_Toc18922"/>
      <w:bookmarkStart w:id="169" w:name="_Toc14809"/>
      <w:r>
        <w:rPr>
          <w:rFonts w:hint="eastAsia" w:ascii="仿宋" w:hAnsi="仿宋" w:eastAsia="仿宋" w:cs="仿宋"/>
          <w:color w:val="auto"/>
          <w:highlight w:val="none"/>
          <w:lang w:val="en-US" w:eastAsia="zh-CN"/>
        </w:rPr>
        <w:t>特许经营主要原则和合作边界</w:t>
      </w:r>
      <w:bookmarkEnd w:id="166"/>
      <w:bookmarkEnd w:id="167"/>
      <w:bookmarkEnd w:id="168"/>
      <w:bookmarkEnd w:id="169"/>
    </w:p>
    <w:p w14:paraId="6006AA69">
      <w:pPr>
        <w:pStyle w:val="4"/>
        <w:ind w:left="720" w:hanging="720"/>
        <w:rPr>
          <w:rFonts w:hint="eastAsia" w:ascii="仿宋" w:hAnsi="仿宋" w:eastAsia="仿宋"/>
          <w:color w:val="auto"/>
          <w:lang w:val="en-US" w:eastAsia="zh-CN"/>
        </w:rPr>
      </w:pPr>
      <w:bookmarkStart w:id="170" w:name="_Toc744573814"/>
      <w:bookmarkStart w:id="171" w:name="_Toc1441223288"/>
      <w:bookmarkStart w:id="172" w:name="_Toc79"/>
      <w:r>
        <w:rPr>
          <w:rFonts w:hint="eastAsia" w:ascii="仿宋" w:hAnsi="仿宋" w:eastAsia="仿宋"/>
          <w:color w:val="auto"/>
          <w:lang w:val="en-US" w:eastAsia="zh-CN"/>
        </w:rPr>
        <w:t>主要原则</w:t>
      </w:r>
      <w:bookmarkEnd w:id="170"/>
      <w:bookmarkEnd w:id="171"/>
      <w:bookmarkEnd w:id="172"/>
    </w:p>
    <w:p w14:paraId="6AB9E168">
      <w:pPr>
        <w:bidi w:val="0"/>
        <w:rPr>
          <w:rFonts w:hint="eastAsia" w:ascii="仿宋" w:hAnsi="仿宋" w:eastAsia="仿宋"/>
          <w:color w:val="auto"/>
          <w:lang w:val="en-US" w:eastAsia="zh-CN"/>
        </w:rPr>
      </w:pPr>
      <w:r>
        <w:rPr>
          <w:rFonts w:hint="eastAsia" w:ascii="仿宋" w:hAnsi="仿宋" w:eastAsia="仿宋"/>
          <w:color w:val="auto"/>
          <w:lang w:val="en-US" w:eastAsia="zh-CN"/>
        </w:rPr>
        <w:t>本项目拟采用特许经营模式开展项目建设、运营、移交工作，结合特许经营项目特点，本项目运作应保障以下基本原则。</w:t>
      </w:r>
    </w:p>
    <w:p w14:paraId="07345AFE">
      <w:pPr>
        <w:numPr>
          <w:ilvl w:val="0"/>
          <w:numId w:val="63"/>
        </w:numPr>
        <w:ind w:left="0" w:leftChars="0"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使用者付费定价机制与原则</w:t>
      </w:r>
    </w:p>
    <w:p w14:paraId="4E497B2C">
      <w:pPr>
        <w:keepNext w:val="0"/>
        <w:keepLines w:val="0"/>
        <w:pageBreakBefore w:val="0"/>
        <w:widowControl w:val="0"/>
        <w:numPr>
          <w:ilvl w:val="0"/>
          <w:numId w:val="64"/>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highlight w:val="none"/>
          <w:lang w:val="en-US" w:eastAsia="zh-CN"/>
        </w:rPr>
      </w:pPr>
      <w:r>
        <w:rPr>
          <w:rFonts w:hint="eastAsia" w:ascii="仿宋" w:hAnsi="仿宋" w:eastAsia="仿宋"/>
          <w:color w:val="auto"/>
          <w:highlight w:val="none"/>
          <w:lang w:val="en-US" w:eastAsia="zh-CN"/>
        </w:rPr>
        <w:t>定价原则</w:t>
      </w:r>
    </w:p>
    <w:p w14:paraId="5DAE2A05">
      <w:pPr>
        <w:ind w:firstLine="560" w:firstLineChars="200"/>
        <w:rPr>
          <w:rFonts w:hint="eastAsia" w:ascii="Times New Roman" w:hAnsi="Times New Roman" w:eastAsia="仿宋" w:cs="仿宋"/>
          <w:color w:val="auto"/>
          <w:sz w:val="28"/>
          <w:szCs w:val="28"/>
          <w:highlight w:val="none"/>
        </w:rPr>
      </w:pPr>
      <w:r>
        <w:rPr>
          <w:rFonts w:hint="eastAsia" w:ascii="仿宋" w:hAnsi="仿宋" w:eastAsia="仿宋"/>
          <w:color w:val="auto"/>
          <w:highlight w:val="none"/>
          <w:lang w:val="en-US" w:eastAsia="zh-CN"/>
        </w:rPr>
        <w:t>依法合规：</w:t>
      </w:r>
      <w:r>
        <w:rPr>
          <w:rFonts w:hint="eastAsia" w:ascii="Times New Roman" w:hAnsi="Times New Roman" w:eastAsia="仿宋" w:cs="仿宋"/>
          <w:color w:val="auto"/>
          <w:sz w:val="28"/>
          <w:szCs w:val="28"/>
          <w:highlight w:val="none"/>
          <w:lang w:val="en-US" w:eastAsia="zh-CN"/>
        </w:rPr>
        <w:t>《</w:t>
      </w:r>
      <w:r>
        <w:rPr>
          <w:rFonts w:hint="eastAsia" w:ascii="Times New Roman" w:hAnsi="Times New Roman" w:eastAsia="仿宋" w:cs="仿宋"/>
          <w:color w:val="auto"/>
          <w:sz w:val="28"/>
          <w:szCs w:val="28"/>
          <w:highlight w:val="none"/>
        </w:rPr>
        <w:t>北京市机动车停车条例</w:t>
      </w:r>
      <w:r>
        <w:rPr>
          <w:rFonts w:hint="eastAsia" w:ascii="Times New Roman" w:hAnsi="Times New Roman" w:eastAsia="仿宋" w:cs="仿宋"/>
          <w:color w:val="auto"/>
          <w:sz w:val="28"/>
          <w:szCs w:val="28"/>
          <w:highlight w:val="none"/>
          <w:lang w:val="en-US" w:eastAsia="zh-CN"/>
        </w:rPr>
        <w:t>》（</w:t>
      </w:r>
      <w:r>
        <w:rPr>
          <w:rFonts w:hint="eastAsia" w:ascii="Times New Roman" w:hAnsi="Times New Roman" w:eastAsia="仿宋" w:cs="仿宋"/>
          <w:color w:val="auto"/>
          <w:sz w:val="28"/>
          <w:szCs w:val="28"/>
          <w:highlight w:val="none"/>
        </w:rPr>
        <w:t>根据2024年3月29日北京市第十六届人民代表大会常务委员会第九次会议通过的《关于修改〈北京市机动车停车条例〉等二部地方性法规的决定》第二次修正</w:t>
      </w:r>
      <w:r>
        <w:rPr>
          <w:rFonts w:hint="eastAsia" w:ascii="Times New Roman" w:hAnsi="Times New Roman" w:eastAsia="仿宋" w:cs="仿宋"/>
          <w:color w:val="auto"/>
          <w:sz w:val="28"/>
          <w:szCs w:val="28"/>
          <w:highlight w:val="none"/>
          <w:lang w:val="en-US" w:eastAsia="zh-CN"/>
        </w:rPr>
        <w:t>）</w:t>
      </w:r>
      <w:r>
        <w:rPr>
          <w:rFonts w:hint="eastAsia" w:ascii="Times New Roman" w:hAnsi="Times New Roman" w:eastAsia="仿宋" w:cs="仿宋"/>
          <w:color w:val="auto"/>
          <w:sz w:val="28"/>
          <w:szCs w:val="28"/>
          <w:highlight w:val="none"/>
        </w:rPr>
        <w:t>第二十八条</w:t>
      </w:r>
      <w:r>
        <w:rPr>
          <w:rFonts w:hint="eastAsia" w:cs="仿宋"/>
          <w:color w:val="auto"/>
          <w:sz w:val="28"/>
          <w:szCs w:val="28"/>
          <w:highlight w:val="none"/>
          <w:lang w:eastAsia="zh-CN"/>
        </w:rPr>
        <w:t>：“</w:t>
      </w:r>
      <w:r>
        <w:rPr>
          <w:rFonts w:hint="eastAsia" w:ascii="Times New Roman" w:hAnsi="Times New Roman" w:eastAsia="仿宋" w:cs="仿宋"/>
          <w:color w:val="auto"/>
          <w:sz w:val="28"/>
          <w:szCs w:val="28"/>
          <w:highlight w:val="none"/>
        </w:rPr>
        <w:t>本市对驻车换乘停车设施和道路停车实行政府定价，道路停车收费应当按照中心城区高于外围区域、重点区域高于非重点区域、拥堵时段高于空闲时段的原则确定，并根据高于周边非道路停车收费价格的原则动态调节。</w:t>
      </w:r>
      <w:r>
        <w:rPr>
          <w:rFonts w:hint="eastAsia" w:ascii="Times New Roman" w:hAnsi="Times New Roman" w:eastAsia="仿宋" w:cs="仿宋"/>
          <w:b/>
          <w:bCs/>
          <w:color w:val="auto"/>
          <w:sz w:val="28"/>
          <w:szCs w:val="28"/>
          <w:highlight w:val="none"/>
        </w:rPr>
        <w:t>本市对其他停车设施实行市场调节价，可以根据地理位置、服务条件、供求关系等因素自主定价。</w:t>
      </w:r>
      <w:r>
        <w:rPr>
          <w:rFonts w:hint="eastAsia" w:ascii="Times New Roman" w:hAnsi="Times New Roman" w:eastAsia="仿宋" w:cs="仿宋"/>
          <w:color w:val="auto"/>
          <w:sz w:val="28"/>
          <w:szCs w:val="28"/>
          <w:highlight w:val="none"/>
        </w:rPr>
        <w:t>市价格行政主管部门应当依法加强对停车收费价格的监督。本市各类停车设施应当按照相关规定对军车停车免收停车费。残疾人持公安机关交通管理部门核发的残疾人专用通行证驾驶残疾人本人专用车辆，在本市各类非居住区停车场停放时，免收停车费</w:t>
      </w:r>
      <w:r>
        <w:rPr>
          <w:rFonts w:hint="eastAsia" w:cs="仿宋"/>
          <w:color w:val="auto"/>
          <w:sz w:val="28"/>
          <w:szCs w:val="28"/>
          <w:highlight w:val="none"/>
          <w:lang w:eastAsia="zh-CN"/>
        </w:rPr>
        <w:t>”</w:t>
      </w:r>
      <w:r>
        <w:rPr>
          <w:rFonts w:hint="eastAsia" w:ascii="Times New Roman" w:hAnsi="Times New Roman" w:eastAsia="仿宋" w:cs="仿宋"/>
          <w:color w:val="auto"/>
          <w:sz w:val="28"/>
          <w:szCs w:val="28"/>
          <w:highlight w:val="none"/>
        </w:rPr>
        <w:t>。</w:t>
      </w:r>
    </w:p>
    <w:p w14:paraId="3C4C63D0">
      <w:pPr>
        <w:pStyle w:val="18"/>
        <w:rPr>
          <w:rFonts w:hint="eastAsia"/>
          <w:color w:val="auto"/>
          <w:lang w:val="en-US" w:eastAsia="zh-CN"/>
        </w:rPr>
      </w:pPr>
      <w:r>
        <w:rPr>
          <w:rFonts w:hint="eastAsia" w:ascii="仿宋" w:hAnsi="仿宋" w:eastAsia="仿宋"/>
          <w:color w:val="auto"/>
          <w:highlight w:val="none"/>
          <w:lang w:val="en-US" w:eastAsia="zh-CN"/>
        </w:rPr>
        <w:t>严格遵循国家及</w:t>
      </w:r>
      <w:r>
        <w:rPr>
          <w:rFonts w:hint="eastAsia" w:ascii="仿宋" w:hAnsi="仿宋" w:eastAsia="仿宋"/>
          <w:color w:val="auto"/>
          <w:lang w:val="en-US" w:eastAsia="zh-CN"/>
        </w:rPr>
        <w:t>地方相关法律法规，依据《</w:t>
      </w:r>
      <w:r>
        <w:rPr>
          <w:rFonts w:hint="eastAsia" w:ascii="Times New Roman" w:hAnsi="Times New Roman" w:eastAsia="仿宋" w:cs="仿宋"/>
          <w:color w:val="auto"/>
          <w:sz w:val="28"/>
          <w:szCs w:val="28"/>
          <w:highlight w:val="none"/>
        </w:rPr>
        <w:t>北京市机动车停车条例</w:t>
      </w:r>
      <w:r>
        <w:rPr>
          <w:rFonts w:hint="eastAsia" w:ascii="仿宋" w:hAnsi="仿宋" w:eastAsia="仿宋"/>
          <w:color w:val="auto"/>
          <w:lang w:val="en-US" w:eastAsia="zh-CN"/>
        </w:rPr>
        <w:t>》，本项目采用自主定价，不执行政府定价，定价过程公开透明，接受社会监督。</w:t>
      </w:r>
    </w:p>
    <w:p w14:paraId="07E2458C">
      <w:pPr>
        <w:bidi w:val="0"/>
        <w:rPr>
          <w:rFonts w:hint="eastAsia" w:ascii="仿宋" w:hAnsi="仿宋" w:eastAsia="仿宋"/>
          <w:color w:val="auto"/>
          <w:lang w:val="en-US" w:eastAsia="zh-CN"/>
        </w:rPr>
      </w:pPr>
      <w:r>
        <w:rPr>
          <w:rFonts w:hint="eastAsia" w:ascii="仿宋" w:hAnsi="仿宋" w:eastAsia="仿宋"/>
          <w:color w:val="auto"/>
          <w:lang w:val="en-US" w:eastAsia="zh-CN"/>
        </w:rPr>
        <w:t>成本覆盖：定价需覆盖项目全生命周期内的建设、运营、维护成本，并为社会资本提供合理、可预期的投资回报，保障项目可持续运营。</w:t>
      </w:r>
    </w:p>
    <w:p w14:paraId="39A797F3">
      <w:pPr>
        <w:bidi w:val="0"/>
        <w:rPr>
          <w:rFonts w:hint="eastAsia" w:ascii="仿宋" w:hAnsi="仿宋" w:eastAsia="仿宋"/>
          <w:color w:val="auto"/>
          <w:lang w:val="en-US" w:eastAsia="zh-CN"/>
        </w:rPr>
      </w:pPr>
      <w:r>
        <w:rPr>
          <w:rFonts w:hint="eastAsia" w:ascii="仿宋" w:hAnsi="仿宋" w:eastAsia="仿宋"/>
          <w:color w:val="auto"/>
          <w:lang w:val="en-US" w:eastAsia="zh-CN"/>
        </w:rPr>
        <w:t>市场导向：参考周边同类停车场收费水平，结合项目区位、服务等级、市场供需及公众承受能力，科学确定收费标准。</w:t>
      </w:r>
    </w:p>
    <w:p w14:paraId="2140B1C7">
      <w:pPr>
        <w:bidi w:val="0"/>
        <w:rPr>
          <w:rFonts w:hint="eastAsia" w:ascii="仿宋" w:hAnsi="仿宋" w:eastAsia="仿宋"/>
          <w:color w:val="auto"/>
          <w:lang w:val="en-US" w:eastAsia="zh-CN"/>
        </w:rPr>
      </w:pPr>
      <w:r>
        <w:rPr>
          <w:rFonts w:hint="eastAsia" w:ascii="仿宋" w:hAnsi="仿宋" w:eastAsia="仿宋"/>
          <w:color w:val="auto"/>
          <w:lang w:val="en-US" w:eastAsia="zh-CN"/>
        </w:rPr>
        <w:t>公平普惠：对执行公务的特种车辆、残疾人驾驶的车辆等按规定实行免费或减免收费。</w:t>
      </w:r>
    </w:p>
    <w:p w14:paraId="373C775B">
      <w:pPr>
        <w:keepNext w:val="0"/>
        <w:keepLines w:val="0"/>
        <w:pageBreakBefore w:val="0"/>
        <w:widowControl w:val="0"/>
        <w:numPr>
          <w:ilvl w:val="0"/>
          <w:numId w:val="64"/>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lang w:val="en-US" w:eastAsia="zh-CN"/>
        </w:rPr>
      </w:pPr>
      <w:r>
        <w:rPr>
          <w:rFonts w:hint="eastAsia" w:ascii="仿宋" w:hAnsi="仿宋" w:eastAsia="仿宋"/>
          <w:color w:val="auto"/>
          <w:lang w:val="en-US" w:eastAsia="zh-CN"/>
        </w:rPr>
        <w:t>定价机制</w:t>
      </w:r>
    </w:p>
    <w:p w14:paraId="6398A298">
      <w:pPr>
        <w:bidi w:val="0"/>
        <w:rPr>
          <w:rFonts w:hint="eastAsia" w:ascii="仿宋" w:hAnsi="仿宋" w:eastAsia="仿宋"/>
          <w:color w:val="auto"/>
          <w:lang w:val="en-US" w:eastAsia="zh-CN"/>
        </w:rPr>
      </w:pPr>
      <w:r>
        <w:rPr>
          <w:rFonts w:hint="eastAsia" w:ascii="仿宋" w:hAnsi="仿宋" w:eastAsia="仿宋"/>
          <w:color w:val="auto"/>
          <w:lang w:val="en-US" w:eastAsia="zh-CN"/>
        </w:rPr>
        <w:t>项目公司在特许经营期内，根据项目成本测算、市场调研及周边同类项目收费水平，提出初始收费标准方案，报实施机构同意。</w:t>
      </w:r>
    </w:p>
    <w:p w14:paraId="00BAF8B2">
      <w:pPr>
        <w:bidi w:val="0"/>
        <w:rPr>
          <w:rFonts w:hint="eastAsia" w:ascii="仿宋" w:hAnsi="仿宋" w:eastAsia="仿宋"/>
          <w:color w:val="auto"/>
          <w:lang w:val="en-US" w:eastAsia="zh-CN"/>
        </w:rPr>
      </w:pPr>
      <w:r>
        <w:rPr>
          <w:rFonts w:hint="eastAsia" w:ascii="仿宋" w:hAnsi="仿宋" w:eastAsia="仿宋"/>
          <w:color w:val="auto"/>
          <w:lang w:val="en-US" w:eastAsia="zh-CN"/>
        </w:rPr>
        <w:t>收费标准需按程序公示后确定，作为项目运营期的初始收费依据。</w:t>
      </w:r>
    </w:p>
    <w:p w14:paraId="388FA9C8">
      <w:pPr>
        <w:keepNext w:val="0"/>
        <w:keepLines w:val="0"/>
        <w:pageBreakBefore w:val="0"/>
        <w:widowControl w:val="0"/>
        <w:numPr>
          <w:ilvl w:val="0"/>
          <w:numId w:val="63"/>
        </w:numPr>
        <w:kinsoku/>
        <w:wordWrap/>
        <w:overflowPunct/>
        <w:topLinePunct w:val="0"/>
        <w:autoSpaceDE/>
        <w:autoSpaceDN/>
        <w:bidi w:val="0"/>
        <w:adjustRightInd w:val="0"/>
        <w:snapToGrid w:val="0"/>
        <w:spacing w:before="0" w:line="360" w:lineRule="auto"/>
        <w:ind w:left="0" w:leftChars="0"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调价机制</w:t>
      </w:r>
    </w:p>
    <w:p w14:paraId="7DB849ED">
      <w:pPr>
        <w:keepNext w:val="0"/>
        <w:keepLines w:val="0"/>
        <w:pageBreakBefore w:val="0"/>
        <w:widowControl w:val="0"/>
        <w:numPr>
          <w:ilvl w:val="0"/>
          <w:numId w:val="65"/>
        </w:numPr>
        <w:kinsoku/>
        <w:wordWrap/>
        <w:overflowPunct/>
        <w:topLinePunct w:val="0"/>
        <w:autoSpaceDE/>
        <w:autoSpaceDN/>
        <w:bidi w:val="0"/>
        <w:adjustRightInd w:val="0"/>
        <w:snapToGrid w:val="0"/>
        <w:spacing w:line="360" w:lineRule="auto"/>
        <w:ind w:left="0" w:leftChars="0" w:firstLine="560" w:firstLineChars="200"/>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调价触发条件</w:t>
      </w:r>
    </w:p>
    <w:p w14:paraId="350D8925">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hint="eastAsia" w:ascii="仿宋" w:hAnsi="仿宋" w:eastAsia="仿宋"/>
          <w:color w:val="auto"/>
          <w:sz w:val="28"/>
          <w:szCs w:val="28"/>
          <w:lang w:val="en-US" w:eastAsia="zh-CN"/>
        </w:rPr>
        <w:t>1）</w:t>
      </w:r>
      <w:r>
        <w:rPr>
          <w:rFonts w:ascii="仿宋" w:hAnsi="仿宋" w:eastAsia="仿宋"/>
          <w:color w:val="auto"/>
          <w:sz w:val="28"/>
          <w:szCs w:val="28"/>
        </w:rPr>
        <w:t>成本变动触发调价</w:t>
      </w:r>
    </w:p>
    <w:p w14:paraId="4091EC56">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当项目运营成本变动幅度较大时，可向实施机构申请调价。具体触发条件及计算公式如下：</w:t>
      </w:r>
    </w:p>
    <w:p w14:paraId="5689EDB0">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CPI触发条件：当上一年度北京市统计局公布的居民消费价格指数（CPI）同比变化幅度超出±10%（不含±10%）时，可启动调价程序。</w:t>
      </w:r>
    </w:p>
    <w:p w14:paraId="1D7F2CB4">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调价幅度计算公式：</w:t>
      </w:r>
    </w:p>
    <w:p w14:paraId="11B2B05B">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P_new = P_old × (1 + ΔCPI × 调价系数</w:t>
      </w:r>
      <w:r>
        <w:rPr>
          <w:rFonts w:hint="eastAsia" w:ascii="仿宋" w:hAnsi="仿宋" w:eastAsia="仿宋"/>
          <w:color w:val="auto"/>
          <w:sz w:val="28"/>
          <w:szCs w:val="28"/>
          <w:lang w:eastAsia="zh-CN"/>
        </w:rPr>
        <w:t>）</w:t>
      </w:r>
    </w:p>
    <w:p w14:paraId="56FB2454">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其中：P_new为调整后的收费标准；P_old为调整前的收费标准；ΔCPI为上一年度CPI同比变化幅度（%，正值为上涨，负值为下降）；调价系数取0.8（即CPI变化的80%传导至收费标准，剩余20%由乙方通过提升效率自行消化）。</w:t>
      </w:r>
    </w:p>
    <w:p w14:paraId="42BB82D7">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单次调价幅度上限：每次调价幅度不得超过原收费标准的15%。如按公式计算的调价幅度超过15%，则当年按15%调整，超出部分在次年调价时合并计算。</w:t>
      </w:r>
    </w:p>
    <w:p w14:paraId="133E8CEA">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调价频率限制：基于CPI触发的调价每年最多进行1次，且两次调价间隔不得少于12个月。</w:t>
      </w:r>
    </w:p>
    <w:p w14:paraId="39F458B6">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2）市场变化触发调价</w:t>
      </w:r>
    </w:p>
    <w:p w14:paraId="470DEF5F">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当区域周边同类项目收费水平发生显著变化，影响项目可持续运营时，可启动调价程序。具体触发条件及计算公式如下：</w:t>
      </w:r>
    </w:p>
    <w:p w14:paraId="135304A8">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市场触发条件：当周边3公里范围内不少于3个同类停车场（地下停车场或公共停车场）的收费平均水平变化幅度超出±10%（不含±10%）时，可启动调价程序。</w:t>
      </w:r>
    </w:p>
    <w:p w14:paraId="24B30AC4">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调价幅度计算公式：</w:t>
      </w:r>
    </w:p>
    <w:p w14:paraId="05E691AB">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P_new = P_old × (1 + ΔMarket × 0.5)</w:t>
      </w:r>
    </w:p>
    <w:p w14:paraId="26AF9E02">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其中：ΔMarket为周边3公里范围内同类项目收费平均水平的变化幅度（%）；调价系数取0.5（即市场变化的50%传导至收费标准，体现项目的相对独立定价能力）。</w:t>
      </w:r>
    </w:p>
    <w:p w14:paraId="7A06B9B0">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市场基准价采集：由乙方委托第三方机构对周边3公里范围内不少于3个同类停车场进行收费水平调研，调研报告报甲方审核确认后作为调价依据。</w:t>
      </w:r>
    </w:p>
    <w:p w14:paraId="55A13B0D">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调价上限：调整后的收费标准不得超出周边3公里范围内同类项目收费平均水平的120%，亦不得低于平均水平的80%。</w:t>
      </w:r>
    </w:p>
    <w:p w14:paraId="21AC8158">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hint="eastAsia" w:ascii="仿宋" w:hAnsi="仿宋" w:eastAsia="仿宋"/>
          <w:color w:val="auto"/>
          <w:sz w:val="28"/>
          <w:szCs w:val="28"/>
          <w:lang w:val="en-US" w:eastAsia="zh-CN"/>
        </w:rPr>
        <w:t>3）</w:t>
      </w:r>
      <w:r>
        <w:rPr>
          <w:rFonts w:ascii="仿宋" w:hAnsi="仿宋" w:eastAsia="仿宋"/>
          <w:color w:val="auto"/>
          <w:sz w:val="28"/>
          <w:szCs w:val="28"/>
        </w:rPr>
        <w:t xml:space="preserve"> 政策变化触发调价</w:t>
      </w:r>
    </w:p>
    <w:p w14:paraId="19E1BF92">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由于</w:t>
      </w:r>
      <w:r>
        <w:rPr>
          <w:rFonts w:hint="eastAsia" w:ascii="仿宋" w:hAnsi="仿宋" w:eastAsia="仿宋"/>
          <w:color w:val="auto"/>
          <w:sz w:val="28"/>
          <w:szCs w:val="28"/>
          <w:lang w:eastAsia="zh-CN"/>
        </w:rPr>
        <w:t>法律法规</w:t>
      </w:r>
      <w:r>
        <w:rPr>
          <w:rFonts w:ascii="仿宋" w:hAnsi="仿宋" w:eastAsia="仿宋"/>
          <w:color w:val="auto"/>
          <w:sz w:val="28"/>
          <w:szCs w:val="28"/>
        </w:rPr>
        <w:t>或规范、税收政策发生变更，如国家或地方提高建设标准或运营维护标准、税率或计税方法等发生变化，乙方须按国家的法律法规执行新标准，由此引起的经营成本增加或收入减少</w:t>
      </w:r>
      <w:r>
        <w:rPr>
          <w:rFonts w:hint="eastAsia" w:ascii="仿宋" w:hAnsi="仿宋" w:eastAsia="仿宋"/>
          <w:color w:val="auto"/>
          <w:sz w:val="28"/>
          <w:szCs w:val="28"/>
          <w:lang w:val="en-US" w:eastAsia="zh-CN"/>
        </w:rPr>
        <w:t>超过10%的</w:t>
      </w:r>
      <w:r>
        <w:rPr>
          <w:rFonts w:ascii="仿宋" w:hAnsi="仿宋" w:eastAsia="仿宋"/>
          <w:color w:val="auto"/>
          <w:sz w:val="28"/>
          <w:szCs w:val="28"/>
        </w:rPr>
        <w:t>，可向实施机构提出调价。具体计算方式如下：</w:t>
      </w:r>
    </w:p>
    <w:p w14:paraId="2E7B1087">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成本增加额计算：ΔCost = （新标准下的年运营成本 - 原标准下的年运营成本）× (1 - 所得税率25%)</w:t>
      </w:r>
    </w:p>
    <w:p w14:paraId="597A4538">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 xml:space="preserve">调价幅度计算：ΔP = ΔCost / </w:t>
      </w:r>
      <w:r>
        <w:rPr>
          <w:rFonts w:hint="eastAsia" w:ascii="仿宋" w:hAnsi="仿宋" w:eastAsia="仿宋"/>
          <w:color w:val="auto"/>
          <w:sz w:val="28"/>
          <w:szCs w:val="28"/>
          <w:lang w:eastAsia="zh-CN"/>
        </w:rPr>
        <w:t>（</w:t>
      </w:r>
      <w:r>
        <w:rPr>
          <w:rFonts w:ascii="仿宋" w:hAnsi="仿宋" w:eastAsia="仿宋"/>
          <w:color w:val="auto"/>
          <w:sz w:val="28"/>
          <w:szCs w:val="28"/>
        </w:rPr>
        <w:t>年有效收费时长 × 平均车位周转率 × 800个车位</w:t>
      </w:r>
      <w:r>
        <w:rPr>
          <w:rFonts w:hint="eastAsia" w:ascii="仿宋" w:hAnsi="仿宋" w:eastAsia="仿宋"/>
          <w:color w:val="auto"/>
          <w:sz w:val="28"/>
          <w:szCs w:val="28"/>
          <w:lang w:eastAsia="zh-CN"/>
        </w:rPr>
        <w:t>）</w:t>
      </w:r>
    </w:p>
    <w:p w14:paraId="36394FA3">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新收费标准：P_new = P_old + ΔP</w:t>
      </w:r>
    </w:p>
    <w:p w14:paraId="15E92AB8">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如政策变化导致收入减少的，按减少额等额调增收费标准。</w:t>
      </w:r>
    </w:p>
    <w:p w14:paraId="2E76ACE1">
      <w:pPr>
        <w:keepNext w:val="0"/>
        <w:keepLines w:val="0"/>
        <w:pageBreakBefore w:val="0"/>
        <w:widowControl w:val="0"/>
        <w:numPr>
          <w:ilvl w:val="0"/>
          <w:numId w:val="63"/>
        </w:numPr>
        <w:kinsoku/>
        <w:wordWrap/>
        <w:overflowPunct/>
        <w:topLinePunct w:val="0"/>
        <w:autoSpaceDE/>
        <w:autoSpaceDN/>
        <w:bidi w:val="0"/>
        <w:adjustRightInd w:val="0"/>
        <w:snapToGrid w:val="0"/>
        <w:spacing w:before="0" w:line="360" w:lineRule="auto"/>
        <w:ind w:left="0" w:leftChars="0" w:firstLine="560" w:firstLineChars="200"/>
        <w:textAlignment w:val="auto"/>
        <w:rPr>
          <w:color w:val="auto"/>
          <w:sz w:val="28"/>
          <w:szCs w:val="28"/>
        </w:rPr>
      </w:pPr>
      <w:r>
        <w:rPr>
          <w:rFonts w:ascii="仿宋" w:hAnsi="仿宋" w:eastAsia="仿宋"/>
          <w:color w:val="auto"/>
          <w:sz w:val="28"/>
          <w:szCs w:val="28"/>
        </w:rPr>
        <w:t>调价原则</w:t>
      </w:r>
    </w:p>
    <w:p w14:paraId="22713CA0">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1. 动态平衡：调价需兼顾项目运营成本、公众承受能力及社会资本合理回报，确保项目可持续运营。</w:t>
      </w:r>
    </w:p>
    <w:p w14:paraId="02896930">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2. 程序规范：调价需由项目公司提出申请，并提交调价测算报告（含公式计算过程、数据来源、第三方调研报告等），征得实施机构意见。价格调整后不得超出本项目周边3公里范围内同类项目定价的平均水平，并报实施机构同意后进行公示，方可按照调整后价格进行运营。</w:t>
      </w:r>
    </w:p>
    <w:p w14:paraId="059A0033">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3. 信息公开：调价依据、调整方案（含公式计算过程）及实施时间需向社会公开，接受公众监督。</w:t>
      </w:r>
    </w:p>
    <w:p w14:paraId="1D21BCC0">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4. 调价限制：无论何种触发条件，单次调价幅度不得超过原收费标准的15%，年度累计调价幅度不得超过20%。如因极端情况需超出上述限制的，须经密云区人民政府专项批准。</w:t>
      </w:r>
    </w:p>
    <w:p w14:paraId="56A1A46A">
      <w:pPr>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color w:val="auto"/>
          <w:sz w:val="28"/>
          <w:szCs w:val="28"/>
        </w:rPr>
      </w:pPr>
      <w:r>
        <w:rPr>
          <w:rFonts w:ascii="仿宋" w:hAnsi="仿宋" w:eastAsia="仿宋"/>
          <w:color w:val="auto"/>
          <w:sz w:val="28"/>
          <w:szCs w:val="28"/>
        </w:rPr>
        <w:t>5. 调价程序：（1）乙方提交调价申请及测算报告；（2）甲方在收到申请后15个工作日内审核并出具意见；（3）甲方同意后进行公示，公示期不少于7个工作日；（4）公示期满无异议的，按调整后价格执行；（5）公示期间有异议的，由甲乙双方协商解决。</w:t>
      </w:r>
    </w:p>
    <w:p w14:paraId="1C889517">
      <w:pPr>
        <w:numPr>
          <w:ilvl w:val="0"/>
          <w:numId w:val="63"/>
        </w:numPr>
        <w:ind w:left="0" w:leftChars="0"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风险共担、利益共享</w:t>
      </w:r>
    </w:p>
    <w:p w14:paraId="602DEC53">
      <w:pPr>
        <w:ind w:firstLine="48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特许经营项目作为政府和社会资本合作项目，合理分配风险、收益是特许经营项目的基础。政府和社会资本应建立良好的合作伙伴关系，营造透明、互信、互利的合作环境，实现合理分配风险、合理分配收益，助力项目的长期成功。</w:t>
      </w:r>
    </w:p>
    <w:p w14:paraId="5A6E083A">
      <w:pPr>
        <w:numPr>
          <w:ilvl w:val="0"/>
          <w:numId w:val="63"/>
        </w:numPr>
        <w:ind w:left="0" w:leftChars="0"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规范化管理</w:t>
      </w:r>
    </w:p>
    <w:p w14:paraId="3904B87D">
      <w:pPr>
        <w:bidi w:val="0"/>
        <w:rPr>
          <w:rFonts w:hint="eastAsia" w:ascii="仿宋" w:hAnsi="仿宋" w:eastAsia="仿宋"/>
          <w:color w:val="auto"/>
          <w:lang w:val="en-US" w:eastAsia="zh-CN"/>
        </w:rPr>
      </w:pPr>
      <w:r>
        <w:rPr>
          <w:rFonts w:hint="eastAsia" w:ascii="仿宋" w:hAnsi="仿宋" w:eastAsia="仿宋"/>
          <w:color w:val="auto"/>
          <w:lang w:val="en-US" w:eastAsia="zh-CN"/>
        </w:rPr>
        <w:t>特许经营项目应在特许经营协议中明确政府和特许经营者的权利和义务，约束特许经营者的行为，明确政府监管职责。在实际经营期间，特许经营者应严格遵守相关法律法规和经营规范，确保项目合规经营。</w:t>
      </w:r>
    </w:p>
    <w:p w14:paraId="64DBECA8">
      <w:pPr>
        <w:numPr>
          <w:ilvl w:val="0"/>
          <w:numId w:val="63"/>
        </w:numPr>
        <w:ind w:left="0" w:leftChars="0"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公开选择特许经营者</w:t>
      </w:r>
    </w:p>
    <w:p w14:paraId="27265A23">
      <w:pPr>
        <w:ind w:firstLine="480"/>
        <w:rPr>
          <w:rFonts w:hint="eastAsia" w:ascii="仿宋" w:hAnsi="仿宋" w:eastAsia="仿宋" w:cs="仿宋"/>
          <w:color w:val="auto"/>
          <w:sz w:val="28"/>
          <w:szCs w:val="28"/>
          <w:highlight w:val="none"/>
          <w:lang w:val="en-US" w:eastAsia="zh-CN"/>
        </w:rPr>
      </w:pPr>
      <w:r>
        <w:rPr>
          <w:rFonts w:hint="eastAsia" w:ascii="仿宋" w:hAnsi="仿宋" w:eastAsia="仿宋"/>
          <w:color w:val="auto"/>
          <w:sz w:val="28"/>
          <w:szCs w:val="28"/>
          <w:highlight w:val="none"/>
        </w:rPr>
        <w:t>特许经营</w:t>
      </w:r>
      <w:r>
        <w:rPr>
          <w:rFonts w:hint="eastAsia" w:ascii="仿宋" w:hAnsi="仿宋" w:eastAsia="仿宋"/>
          <w:color w:val="auto"/>
          <w:sz w:val="28"/>
          <w:szCs w:val="28"/>
          <w:highlight w:val="none"/>
          <w:lang w:val="en-US" w:eastAsia="zh-CN"/>
        </w:rPr>
        <w:t>者的</w:t>
      </w:r>
      <w:r>
        <w:rPr>
          <w:rFonts w:hint="eastAsia" w:ascii="仿宋" w:hAnsi="仿宋" w:eastAsia="仿宋"/>
          <w:color w:val="auto"/>
          <w:sz w:val="28"/>
          <w:szCs w:val="28"/>
          <w:highlight w:val="none"/>
        </w:rPr>
        <w:t>采购方式</w:t>
      </w:r>
      <w:r>
        <w:rPr>
          <w:rFonts w:hint="eastAsia" w:ascii="仿宋" w:hAnsi="仿宋" w:eastAsia="仿宋"/>
          <w:color w:val="auto"/>
          <w:sz w:val="28"/>
          <w:szCs w:val="28"/>
          <w:highlight w:val="none"/>
          <w:lang w:val="en-US" w:eastAsia="zh-CN"/>
        </w:rPr>
        <w:t>应公开、透明。</w:t>
      </w:r>
      <w:r>
        <w:rPr>
          <w:rFonts w:hint="eastAsia" w:ascii="仿宋" w:hAnsi="仿宋" w:eastAsia="仿宋" w:cs="仿宋"/>
          <w:color w:val="auto"/>
          <w:sz w:val="28"/>
          <w:szCs w:val="28"/>
          <w:highlight w:val="none"/>
          <w:lang w:val="en-US" w:eastAsia="zh-CN"/>
        </w:rPr>
        <w:t>在采购阶段，项目实施机构应结合本项目建设、运营内容，根据公开、公正的评审标准择优选择特许经营者。特许经营者应在经营过程中公平对待消费者和竞争者，维护市场秩序和公平竞争环境。</w:t>
      </w:r>
    </w:p>
    <w:p w14:paraId="3D8720E2">
      <w:pPr>
        <w:numPr>
          <w:ilvl w:val="0"/>
          <w:numId w:val="63"/>
        </w:numPr>
        <w:ind w:left="0" w:leftChars="0"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项目可持续发展</w:t>
      </w:r>
    </w:p>
    <w:p w14:paraId="53E350D4">
      <w:pPr>
        <w:ind w:firstLine="48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本项目的运作应关注项目的可持续发展，注重环保、节能、资源利用，并通过创新和改进不断提升项目的竞争力和社会责任。</w:t>
      </w:r>
    </w:p>
    <w:p w14:paraId="0CC54C9B">
      <w:pPr>
        <w:numPr>
          <w:ilvl w:val="0"/>
          <w:numId w:val="63"/>
        </w:numPr>
        <w:ind w:left="0" w:leftChars="0" w:firstLine="560" w:firstLineChars="200"/>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超额收益分配原则</w:t>
      </w:r>
    </w:p>
    <w:p w14:paraId="022B1D54">
      <w:pPr>
        <w:ind w:firstLine="48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根据目前财务测算模型可知，在政府补助的支持下，本项目属于保本微利项目，较难获得超额收益；如未来在特许经营期内，特许经营者或项目公司通过加强管理、降低成本、提升效率、积极创新等获得的额外收益，即特许经营期内当年净利润率＞10%时，超过10%净利润率部分的净利润，按照50%：50%向政府方和特许经营者（项目公司）进行分配。实施机构需每年委托专业的第三方审计机构对特许经营者（项目公司）进行财务审计并出具财务审计报告。</w:t>
      </w:r>
    </w:p>
    <w:p w14:paraId="6C30A29C">
      <w:pPr>
        <w:pStyle w:val="4"/>
        <w:ind w:left="720" w:hanging="720"/>
        <w:rPr>
          <w:rFonts w:hint="eastAsia" w:ascii="仿宋" w:hAnsi="仿宋" w:eastAsia="仿宋"/>
          <w:color w:val="auto"/>
          <w:lang w:val="en-US" w:eastAsia="zh-CN"/>
        </w:rPr>
      </w:pPr>
      <w:bookmarkStart w:id="173" w:name="_Toc1171746903"/>
      <w:bookmarkStart w:id="174" w:name="_Toc664880829"/>
      <w:bookmarkStart w:id="175" w:name="_Toc1844"/>
      <w:r>
        <w:rPr>
          <w:rFonts w:hint="eastAsia" w:ascii="仿宋" w:hAnsi="仿宋" w:eastAsia="仿宋"/>
          <w:color w:val="auto"/>
          <w:lang w:val="en-US" w:eastAsia="zh-CN"/>
        </w:rPr>
        <w:t>合作边界</w:t>
      </w:r>
      <w:bookmarkEnd w:id="173"/>
      <w:bookmarkEnd w:id="174"/>
      <w:bookmarkEnd w:id="175"/>
    </w:p>
    <w:p w14:paraId="13CD4E4E">
      <w:pPr>
        <w:numPr>
          <w:ilvl w:val="0"/>
          <w:numId w:val="66"/>
        </w:numPr>
        <w:ind w:left="0" w:leftChars="0" w:firstLine="560" w:firstLineChars="200"/>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rPr>
        <w:t>权利义务边界</w:t>
      </w:r>
    </w:p>
    <w:p w14:paraId="1DEDD1C3">
      <w:pPr>
        <w:keepNext w:val="0"/>
        <w:keepLines w:val="0"/>
        <w:pageBreakBefore w:val="0"/>
        <w:widowControl w:val="0"/>
        <w:numPr>
          <w:ilvl w:val="0"/>
          <w:numId w:val="67"/>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rPr>
        <w:t>项目资产权属</w:t>
      </w:r>
    </w:p>
    <w:p w14:paraId="0598B4E1">
      <w:pPr>
        <w:ind w:firstLine="48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eastAsia="zh-CN"/>
        </w:rPr>
        <w:t>特许经营者</w:t>
      </w:r>
      <w:r>
        <w:rPr>
          <w:rFonts w:hint="eastAsia" w:ascii="仿宋" w:hAnsi="仿宋" w:eastAsia="仿宋"/>
          <w:b w:val="0"/>
          <w:bCs w:val="0"/>
          <w:color w:val="auto"/>
          <w:sz w:val="28"/>
          <w:szCs w:val="28"/>
          <w:highlight w:val="none"/>
          <w:lang w:val="en-US" w:eastAsia="zh-CN"/>
        </w:rPr>
        <w:t>或项目公司</w:t>
      </w:r>
      <w:r>
        <w:rPr>
          <w:rFonts w:hint="eastAsia" w:ascii="仿宋" w:hAnsi="仿宋" w:eastAsia="仿宋"/>
          <w:b w:val="0"/>
          <w:bCs w:val="0"/>
          <w:color w:val="auto"/>
          <w:sz w:val="28"/>
          <w:szCs w:val="28"/>
          <w:highlight w:val="none"/>
        </w:rPr>
        <w:t>拥有项目</w:t>
      </w:r>
      <w:r>
        <w:rPr>
          <w:rFonts w:hint="eastAsia" w:ascii="仿宋" w:hAnsi="仿宋" w:eastAsia="仿宋"/>
          <w:b w:val="0"/>
          <w:bCs w:val="0"/>
          <w:color w:val="auto"/>
          <w:sz w:val="28"/>
          <w:szCs w:val="28"/>
          <w:highlight w:val="none"/>
          <w:lang w:val="en-US" w:eastAsia="zh-CN"/>
        </w:rPr>
        <w:t>投资建设内容所涉及的设施</w:t>
      </w:r>
      <w:r>
        <w:rPr>
          <w:rFonts w:hint="eastAsia" w:ascii="仿宋" w:hAnsi="仿宋" w:eastAsia="仿宋"/>
          <w:b w:val="0"/>
          <w:bCs w:val="0"/>
          <w:color w:val="auto"/>
          <w:sz w:val="28"/>
          <w:szCs w:val="28"/>
          <w:highlight w:val="none"/>
        </w:rPr>
        <w:t>设备经营权</w:t>
      </w:r>
      <w:r>
        <w:rPr>
          <w:rFonts w:hint="eastAsia" w:ascii="仿宋" w:hAnsi="仿宋" w:eastAsia="仿宋"/>
          <w:b w:val="0"/>
          <w:bCs w:val="0"/>
          <w:color w:val="auto"/>
          <w:sz w:val="28"/>
          <w:szCs w:val="28"/>
          <w:highlight w:val="none"/>
          <w:lang w:eastAsia="zh-CN"/>
        </w:rPr>
        <w:t>、</w:t>
      </w:r>
      <w:r>
        <w:rPr>
          <w:rFonts w:hint="eastAsia" w:ascii="仿宋" w:hAnsi="仿宋" w:eastAsia="仿宋"/>
          <w:b w:val="0"/>
          <w:bCs w:val="0"/>
          <w:color w:val="auto"/>
          <w:sz w:val="28"/>
          <w:szCs w:val="28"/>
          <w:highlight w:val="none"/>
        </w:rPr>
        <w:t>使用权</w:t>
      </w:r>
      <w:r>
        <w:rPr>
          <w:rFonts w:hint="eastAsia" w:ascii="仿宋" w:hAnsi="仿宋" w:eastAsia="仿宋"/>
          <w:b w:val="0"/>
          <w:bCs w:val="0"/>
          <w:color w:val="auto"/>
          <w:sz w:val="28"/>
          <w:szCs w:val="28"/>
          <w:highlight w:val="none"/>
          <w:lang w:val="en-US" w:eastAsia="zh-CN"/>
        </w:rPr>
        <w:t>以及收益权；项目实施所占用的土地和建筑物载体所有权在特许经营期限内归特许经营者或项目公司所有，期满后无偿移交至政府方或政府方指定的主体，项目资产（土地、建筑物及附属设施设备等）归政府方或政府方指定的主体所有。</w:t>
      </w:r>
    </w:p>
    <w:p w14:paraId="369460C7">
      <w:pPr>
        <w:numPr>
          <w:ilvl w:val="0"/>
          <w:numId w:val="67"/>
        </w:numPr>
        <w:bidi w:val="0"/>
        <w:ind w:left="5" w:firstLine="554" w:firstLineChars="198"/>
        <w:rPr>
          <w:rFonts w:hint="eastAsia" w:ascii="仿宋" w:hAnsi="仿宋" w:eastAsia="仿宋"/>
          <w:color w:val="auto"/>
          <w:lang w:val="en-US" w:eastAsia="zh-CN"/>
        </w:rPr>
      </w:pPr>
      <w:r>
        <w:rPr>
          <w:rFonts w:hint="eastAsia" w:ascii="仿宋" w:hAnsi="仿宋" w:eastAsia="仿宋"/>
          <w:color w:val="auto"/>
          <w:lang w:val="en-US" w:eastAsia="zh-CN"/>
        </w:rPr>
        <w:t>特许经营者享有的特许经营权利</w:t>
      </w:r>
    </w:p>
    <w:p w14:paraId="622B5597">
      <w:p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 xml:space="preserve">在特许经营服务范围内，特许经营者遵守特许经营协议的前提下,政府授予特许经营者享有的特许经营权利，主要包括: </w:t>
      </w:r>
    </w:p>
    <w:p w14:paraId="46DE347F">
      <w:pPr>
        <w:numPr>
          <w:ilvl w:val="0"/>
          <w:numId w:val="68"/>
        </w:num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 xml:space="preserve">投资、建设、运营及管理本项目的权利; </w:t>
      </w:r>
    </w:p>
    <w:p w14:paraId="45FD52EF">
      <w:pPr>
        <w:numPr>
          <w:ilvl w:val="0"/>
          <w:numId w:val="68"/>
        </w:num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特许经营者若依法具备本项目勘察、设计、施工相应资质及履约能力，依据《中华人民共和国招标投标法实施条例》第九条第（三）项规定，可自行组织实施本项目勘察、设计及施工工作，对应工程服务可不再另行组织招标；特许经营者不具备相应资质能力的，应当依法对勘察、设计、施工开展招标采购；</w:t>
      </w:r>
    </w:p>
    <w:p w14:paraId="10C608D6">
      <w:pPr>
        <w:numPr>
          <w:ilvl w:val="0"/>
          <w:numId w:val="68"/>
        </w:numPr>
        <w:ind w:firstLine="560"/>
        <w:rPr>
          <w:rFonts w:hint="eastAsia" w:ascii="仿宋" w:hAnsi="仿宋" w:eastAsia="仿宋"/>
          <w:b w:val="0"/>
          <w:bCs w:val="0"/>
          <w:color w:val="auto"/>
          <w:sz w:val="28"/>
          <w:szCs w:val="28"/>
          <w:highlight w:val="none"/>
          <w:lang w:val="en-US" w:eastAsia="zh-CN"/>
        </w:rPr>
      </w:pPr>
      <w:r>
        <w:rPr>
          <w:rFonts w:hint="eastAsia" w:ascii="仿宋" w:hAnsi="仿宋" w:eastAsia="仿宋"/>
          <w:color w:val="auto"/>
          <w:lang w:val="en-US" w:eastAsia="zh-CN"/>
        </w:rPr>
        <w:t>收取车辆租赁费及充电桩费用的权利;项目范围内广告、卫生服务等项目开发、经营权。</w:t>
      </w:r>
    </w:p>
    <w:p w14:paraId="3D7EB375">
      <w:pPr>
        <w:keepNext w:val="0"/>
        <w:keepLines w:val="0"/>
        <w:pageBreakBefore w:val="0"/>
        <w:widowControl w:val="0"/>
        <w:numPr>
          <w:ilvl w:val="0"/>
          <w:numId w:val="67"/>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lang w:eastAsia="zh-CN"/>
        </w:rPr>
        <w:t>特许经营者</w:t>
      </w:r>
      <w:r>
        <w:rPr>
          <w:rFonts w:hint="eastAsia" w:ascii="仿宋" w:hAnsi="仿宋" w:eastAsia="仿宋"/>
          <w:b w:val="0"/>
          <w:bCs w:val="0"/>
          <w:color w:val="auto"/>
          <w:sz w:val="28"/>
          <w:szCs w:val="28"/>
          <w:highlight w:val="none"/>
        </w:rPr>
        <w:t>承担的公共责任</w:t>
      </w:r>
    </w:p>
    <w:p w14:paraId="4B86ABC5">
      <w:pPr>
        <w:numPr>
          <w:ilvl w:val="0"/>
          <w:numId w:val="69"/>
        </w:numPr>
        <w:ind w:left="0" w:leftChars="0" w:firstLine="560" w:firstLineChars="200"/>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rPr>
        <w:t>按绩效考核标准提供相关服务；</w:t>
      </w:r>
    </w:p>
    <w:p w14:paraId="6DA9B1ED">
      <w:pPr>
        <w:numPr>
          <w:ilvl w:val="0"/>
          <w:numId w:val="69"/>
        </w:numPr>
        <w:ind w:left="0" w:leftChars="0" w:firstLine="560" w:firstLineChars="200"/>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rPr>
        <w:t>不得损害公共利益和公共安全。</w:t>
      </w:r>
    </w:p>
    <w:p w14:paraId="2024B3CC">
      <w:pPr>
        <w:keepNext w:val="0"/>
        <w:keepLines w:val="0"/>
        <w:pageBreakBefore w:val="0"/>
        <w:widowControl w:val="0"/>
        <w:numPr>
          <w:ilvl w:val="0"/>
          <w:numId w:val="67"/>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rPr>
        <w:t>风险分配结果</w:t>
      </w:r>
    </w:p>
    <w:p w14:paraId="4A8B806A">
      <w:pPr>
        <w:numPr>
          <w:ilvl w:val="0"/>
          <w:numId w:val="70"/>
        </w:numPr>
        <w:ind w:left="0" w:leftChars="0" w:firstLine="560" w:firstLineChars="200"/>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rPr>
        <w:t>政府方承担</w:t>
      </w:r>
      <w:r>
        <w:rPr>
          <w:rFonts w:hint="eastAsia" w:ascii="仿宋" w:hAnsi="仿宋" w:eastAsia="仿宋"/>
          <w:b w:val="0"/>
          <w:bCs w:val="0"/>
          <w:color w:val="auto"/>
          <w:sz w:val="28"/>
          <w:szCs w:val="28"/>
          <w:highlight w:val="none"/>
          <w:lang w:val="en-US" w:eastAsia="zh-CN"/>
        </w:rPr>
        <w:t>审批程序等相关</w:t>
      </w:r>
      <w:r>
        <w:rPr>
          <w:rFonts w:hint="eastAsia" w:ascii="仿宋" w:hAnsi="仿宋" w:eastAsia="仿宋"/>
          <w:b w:val="0"/>
          <w:bCs w:val="0"/>
          <w:color w:val="auto"/>
          <w:sz w:val="28"/>
          <w:szCs w:val="28"/>
          <w:highlight w:val="none"/>
        </w:rPr>
        <w:t>风险；</w:t>
      </w:r>
    </w:p>
    <w:p w14:paraId="3FD818CE">
      <w:pPr>
        <w:numPr>
          <w:ilvl w:val="0"/>
          <w:numId w:val="70"/>
        </w:numPr>
        <w:ind w:left="0" w:leftChars="0" w:firstLine="560" w:firstLineChars="200"/>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lang w:eastAsia="zh-CN"/>
        </w:rPr>
        <w:t>特许经营者</w:t>
      </w:r>
      <w:r>
        <w:rPr>
          <w:rFonts w:hint="eastAsia" w:ascii="仿宋" w:hAnsi="仿宋" w:eastAsia="仿宋"/>
          <w:b w:val="0"/>
          <w:bCs w:val="0"/>
          <w:color w:val="auto"/>
          <w:sz w:val="28"/>
          <w:szCs w:val="28"/>
          <w:highlight w:val="none"/>
        </w:rPr>
        <w:t>承担</w:t>
      </w:r>
      <w:r>
        <w:rPr>
          <w:rFonts w:hint="eastAsia" w:ascii="仿宋" w:hAnsi="仿宋" w:eastAsia="仿宋"/>
          <w:b w:val="0"/>
          <w:bCs w:val="0"/>
          <w:color w:val="auto"/>
          <w:sz w:val="28"/>
          <w:szCs w:val="28"/>
          <w:highlight w:val="none"/>
          <w:lang w:val="en-US" w:eastAsia="zh-CN"/>
        </w:rPr>
        <w:t>土地、设计、</w:t>
      </w:r>
      <w:r>
        <w:rPr>
          <w:rFonts w:hint="eastAsia" w:ascii="仿宋" w:hAnsi="仿宋" w:eastAsia="仿宋"/>
          <w:b w:val="0"/>
          <w:bCs w:val="0"/>
          <w:color w:val="auto"/>
          <w:sz w:val="28"/>
          <w:szCs w:val="28"/>
          <w:highlight w:val="none"/>
        </w:rPr>
        <w:t>建设、</w:t>
      </w:r>
      <w:r>
        <w:rPr>
          <w:rFonts w:hint="eastAsia" w:ascii="仿宋" w:hAnsi="仿宋" w:eastAsia="仿宋"/>
          <w:b w:val="0"/>
          <w:bCs w:val="0"/>
          <w:color w:val="auto"/>
          <w:sz w:val="28"/>
          <w:szCs w:val="28"/>
          <w:highlight w:val="none"/>
          <w:lang w:val="en-US" w:eastAsia="zh-CN"/>
        </w:rPr>
        <w:t>资金</w:t>
      </w:r>
      <w:r>
        <w:rPr>
          <w:rFonts w:hint="eastAsia" w:ascii="仿宋" w:hAnsi="仿宋" w:eastAsia="仿宋"/>
          <w:b w:val="0"/>
          <w:bCs w:val="0"/>
          <w:color w:val="auto"/>
          <w:sz w:val="28"/>
          <w:szCs w:val="28"/>
          <w:highlight w:val="none"/>
        </w:rPr>
        <w:t>、</w:t>
      </w:r>
      <w:r>
        <w:rPr>
          <w:rFonts w:hint="eastAsia" w:ascii="仿宋" w:hAnsi="仿宋" w:eastAsia="仿宋"/>
          <w:b w:val="0"/>
          <w:bCs w:val="0"/>
          <w:color w:val="auto"/>
          <w:sz w:val="28"/>
          <w:szCs w:val="28"/>
          <w:highlight w:val="none"/>
          <w:lang w:val="en-US" w:eastAsia="zh-CN"/>
        </w:rPr>
        <w:t>融资、</w:t>
      </w:r>
      <w:r>
        <w:rPr>
          <w:rFonts w:hint="eastAsia" w:ascii="仿宋" w:hAnsi="仿宋" w:eastAsia="仿宋"/>
          <w:b w:val="0"/>
          <w:bCs w:val="0"/>
          <w:color w:val="auto"/>
          <w:sz w:val="28"/>
          <w:szCs w:val="28"/>
          <w:highlight w:val="none"/>
        </w:rPr>
        <w:t>运营</w:t>
      </w:r>
      <w:r>
        <w:rPr>
          <w:rFonts w:hint="eastAsia" w:ascii="仿宋" w:hAnsi="仿宋" w:eastAsia="仿宋"/>
          <w:b w:val="0"/>
          <w:bCs w:val="0"/>
          <w:color w:val="auto"/>
          <w:sz w:val="28"/>
          <w:szCs w:val="28"/>
          <w:highlight w:val="none"/>
          <w:lang w:val="en-US" w:eastAsia="zh-CN"/>
        </w:rPr>
        <w:t>等相关</w:t>
      </w:r>
      <w:r>
        <w:rPr>
          <w:rFonts w:hint="eastAsia" w:ascii="仿宋" w:hAnsi="仿宋" w:eastAsia="仿宋"/>
          <w:b w:val="0"/>
          <w:bCs w:val="0"/>
          <w:color w:val="auto"/>
          <w:sz w:val="28"/>
          <w:szCs w:val="28"/>
          <w:highlight w:val="none"/>
        </w:rPr>
        <w:t>风险；</w:t>
      </w:r>
    </w:p>
    <w:p w14:paraId="48ACEDFD">
      <w:pPr>
        <w:numPr>
          <w:ilvl w:val="0"/>
          <w:numId w:val="70"/>
        </w:numPr>
        <w:ind w:left="0" w:leftChars="0" w:firstLine="560" w:firstLineChars="200"/>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rPr>
        <w:t>双方共担</w:t>
      </w:r>
      <w:r>
        <w:rPr>
          <w:rFonts w:hint="eastAsia" w:ascii="仿宋" w:hAnsi="仿宋" w:eastAsia="仿宋"/>
          <w:b w:val="0"/>
          <w:bCs w:val="0"/>
          <w:color w:val="auto"/>
          <w:sz w:val="28"/>
          <w:szCs w:val="28"/>
          <w:highlight w:val="none"/>
          <w:lang w:val="en-US" w:eastAsia="zh-CN"/>
        </w:rPr>
        <w:t>政策</w:t>
      </w:r>
      <w:r>
        <w:rPr>
          <w:rFonts w:hint="eastAsia" w:ascii="仿宋" w:hAnsi="仿宋" w:eastAsia="仿宋"/>
          <w:b w:val="0"/>
          <w:bCs w:val="0"/>
          <w:color w:val="auto"/>
          <w:sz w:val="28"/>
          <w:szCs w:val="28"/>
          <w:highlight w:val="none"/>
          <w:lang w:eastAsia="zh-CN"/>
        </w:rPr>
        <w:t>、</w:t>
      </w:r>
      <w:r>
        <w:rPr>
          <w:rFonts w:hint="eastAsia" w:ascii="仿宋" w:hAnsi="仿宋" w:eastAsia="仿宋"/>
          <w:b w:val="0"/>
          <w:bCs w:val="0"/>
          <w:color w:val="auto"/>
          <w:sz w:val="28"/>
          <w:szCs w:val="28"/>
          <w:highlight w:val="none"/>
          <w:lang w:val="en-US" w:eastAsia="zh-CN"/>
        </w:rPr>
        <w:t>移交、</w:t>
      </w:r>
      <w:r>
        <w:rPr>
          <w:rFonts w:hint="eastAsia" w:ascii="仿宋" w:hAnsi="仿宋" w:eastAsia="仿宋"/>
          <w:b w:val="0"/>
          <w:bCs w:val="0"/>
          <w:color w:val="auto"/>
          <w:sz w:val="28"/>
          <w:szCs w:val="28"/>
          <w:highlight w:val="none"/>
        </w:rPr>
        <w:t>不可抗力</w:t>
      </w:r>
      <w:r>
        <w:rPr>
          <w:rFonts w:hint="eastAsia" w:ascii="仿宋" w:hAnsi="仿宋" w:eastAsia="仿宋"/>
          <w:b w:val="0"/>
          <w:bCs w:val="0"/>
          <w:color w:val="auto"/>
          <w:sz w:val="28"/>
          <w:szCs w:val="28"/>
          <w:highlight w:val="none"/>
          <w:lang w:val="en-US" w:eastAsia="zh-CN"/>
        </w:rPr>
        <w:t>等相关</w:t>
      </w:r>
      <w:r>
        <w:rPr>
          <w:rFonts w:hint="eastAsia" w:ascii="仿宋" w:hAnsi="仿宋" w:eastAsia="仿宋"/>
          <w:b w:val="0"/>
          <w:bCs w:val="0"/>
          <w:color w:val="auto"/>
          <w:sz w:val="28"/>
          <w:szCs w:val="28"/>
          <w:highlight w:val="none"/>
        </w:rPr>
        <w:t>风险。</w:t>
      </w:r>
    </w:p>
    <w:p w14:paraId="63158C5A">
      <w:pPr>
        <w:numPr>
          <w:ilvl w:val="0"/>
          <w:numId w:val="66"/>
        </w:numPr>
        <w:ind w:left="0" w:leftChars="0" w:firstLine="560" w:firstLineChars="200"/>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rPr>
        <w:t>交易边界条件</w:t>
      </w:r>
    </w:p>
    <w:p w14:paraId="28C2E691">
      <w:pPr>
        <w:keepNext w:val="0"/>
        <w:keepLines w:val="0"/>
        <w:pageBreakBefore w:val="0"/>
        <w:widowControl w:val="0"/>
        <w:numPr>
          <w:ilvl w:val="0"/>
          <w:numId w:val="71"/>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rPr>
        <w:t>项目</w:t>
      </w:r>
      <w:r>
        <w:rPr>
          <w:rFonts w:hint="eastAsia" w:ascii="仿宋" w:hAnsi="仿宋" w:eastAsia="仿宋"/>
          <w:b w:val="0"/>
          <w:bCs w:val="0"/>
          <w:color w:val="auto"/>
          <w:sz w:val="28"/>
          <w:szCs w:val="28"/>
          <w:highlight w:val="none"/>
          <w:lang w:val="en-US" w:eastAsia="zh-CN"/>
        </w:rPr>
        <w:t>特许经营</w:t>
      </w:r>
      <w:r>
        <w:rPr>
          <w:rFonts w:hint="eastAsia" w:ascii="仿宋" w:hAnsi="仿宋" w:eastAsia="仿宋"/>
          <w:b w:val="0"/>
          <w:bCs w:val="0"/>
          <w:color w:val="auto"/>
          <w:sz w:val="28"/>
          <w:szCs w:val="28"/>
          <w:highlight w:val="none"/>
        </w:rPr>
        <w:t>期限</w:t>
      </w:r>
    </w:p>
    <w:p w14:paraId="6C0541BD">
      <w:pPr>
        <w:ind w:firstLine="480"/>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rPr>
        <w:t>本</w:t>
      </w:r>
      <w:r>
        <w:rPr>
          <w:rFonts w:hint="eastAsia" w:ascii="仿宋" w:hAnsi="仿宋" w:eastAsia="仿宋"/>
          <w:b w:val="0"/>
          <w:bCs w:val="0"/>
          <w:color w:val="auto"/>
          <w:sz w:val="28"/>
          <w:szCs w:val="28"/>
          <w:highlight w:val="none"/>
          <w:lang w:eastAsia="zh-CN"/>
        </w:rPr>
        <w:t>项目</w:t>
      </w:r>
      <w:r>
        <w:rPr>
          <w:rFonts w:hint="eastAsia" w:ascii="仿宋" w:hAnsi="仿宋" w:eastAsia="仿宋"/>
          <w:b w:val="0"/>
          <w:bCs w:val="0"/>
          <w:color w:val="auto"/>
          <w:sz w:val="28"/>
          <w:szCs w:val="28"/>
          <w:highlight w:val="none"/>
        </w:rPr>
        <w:t>特许经营期限为</w:t>
      </w:r>
      <w:r>
        <w:rPr>
          <w:rFonts w:hint="eastAsia" w:ascii="仿宋" w:hAnsi="仿宋" w:eastAsia="仿宋"/>
          <w:color w:val="auto"/>
          <w:sz w:val="28"/>
          <w:szCs w:val="28"/>
          <w:highlight w:val="none"/>
          <w:lang w:val="en-US" w:eastAsia="zh-CN"/>
        </w:rPr>
        <w:t>40年</w:t>
      </w:r>
      <w:r>
        <w:rPr>
          <w:rFonts w:hint="eastAsia" w:ascii="仿宋" w:hAnsi="仿宋" w:eastAsia="仿宋"/>
          <w:b w:val="0"/>
          <w:bCs w:val="0"/>
          <w:color w:val="auto"/>
          <w:sz w:val="28"/>
          <w:szCs w:val="28"/>
          <w:highlight w:val="none"/>
        </w:rPr>
        <w:t>，具体</w:t>
      </w:r>
      <w:r>
        <w:rPr>
          <w:rFonts w:hint="eastAsia" w:ascii="仿宋" w:hAnsi="仿宋" w:eastAsia="仿宋"/>
          <w:b w:val="0"/>
          <w:bCs w:val="0"/>
          <w:color w:val="auto"/>
          <w:sz w:val="28"/>
          <w:szCs w:val="28"/>
          <w:highlight w:val="none"/>
          <w:lang w:val="en-US" w:eastAsia="zh-CN"/>
        </w:rPr>
        <w:t>起止</w:t>
      </w:r>
      <w:r>
        <w:rPr>
          <w:rFonts w:hint="eastAsia" w:ascii="仿宋" w:hAnsi="仿宋" w:eastAsia="仿宋"/>
          <w:b w:val="0"/>
          <w:bCs w:val="0"/>
          <w:color w:val="auto"/>
          <w:sz w:val="28"/>
          <w:szCs w:val="28"/>
          <w:highlight w:val="none"/>
        </w:rPr>
        <w:t>日期以</w:t>
      </w:r>
      <w:r>
        <w:rPr>
          <w:rFonts w:hint="eastAsia" w:ascii="仿宋" w:hAnsi="仿宋" w:eastAsia="仿宋"/>
          <w:b w:val="0"/>
          <w:bCs w:val="0"/>
          <w:color w:val="auto"/>
          <w:sz w:val="28"/>
          <w:szCs w:val="28"/>
          <w:highlight w:val="none"/>
          <w:lang w:val="en-US" w:eastAsia="zh-CN"/>
        </w:rPr>
        <w:t>特许经营协议</w:t>
      </w:r>
      <w:r>
        <w:rPr>
          <w:rFonts w:hint="eastAsia" w:ascii="仿宋" w:hAnsi="仿宋" w:eastAsia="仿宋"/>
          <w:b w:val="0"/>
          <w:bCs w:val="0"/>
          <w:color w:val="auto"/>
          <w:sz w:val="28"/>
          <w:szCs w:val="28"/>
          <w:highlight w:val="none"/>
        </w:rPr>
        <w:t>约定为准。</w:t>
      </w:r>
    </w:p>
    <w:p w14:paraId="098CF8DD">
      <w:pPr>
        <w:keepNext w:val="0"/>
        <w:keepLines w:val="0"/>
        <w:pageBreakBefore w:val="0"/>
        <w:widowControl w:val="0"/>
        <w:numPr>
          <w:ilvl w:val="0"/>
          <w:numId w:val="71"/>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rPr>
        <w:t>项目回报机制</w:t>
      </w:r>
    </w:p>
    <w:p w14:paraId="01F9C97A">
      <w:pPr>
        <w:ind w:firstLine="480"/>
        <w:rPr>
          <w:rFonts w:hint="eastAsia" w:ascii="仿宋" w:hAnsi="仿宋" w:eastAsia="仿宋"/>
          <w:b w:val="0"/>
          <w:bCs w:val="0"/>
          <w:color w:val="auto"/>
          <w:sz w:val="28"/>
          <w:szCs w:val="28"/>
          <w:highlight w:val="none"/>
          <w:lang w:eastAsia="zh-CN"/>
        </w:rPr>
      </w:pPr>
      <w:r>
        <w:rPr>
          <w:rFonts w:hint="eastAsia" w:ascii="仿宋" w:hAnsi="仿宋" w:eastAsia="仿宋"/>
          <w:b w:val="0"/>
          <w:bCs w:val="0"/>
          <w:color w:val="auto"/>
          <w:sz w:val="28"/>
          <w:szCs w:val="28"/>
          <w:highlight w:val="none"/>
        </w:rPr>
        <w:t>本项目回报机制为使用者付费</w:t>
      </w:r>
      <w:r>
        <w:rPr>
          <w:rFonts w:hint="eastAsia" w:ascii="仿宋" w:hAnsi="仿宋" w:eastAsia="仿宋"/>
          <w:b w:val="0"/>
          <w:bCs w:val="0"/>
          <w:color w:val="auto"/>
          <w:sz w:val="28"/>
          <w:szCs w:val="28"/>
          <w:highlight w:val="none"/>
          <w:lang w:eastAsia="zh-CN"/>
        </w:rPr>
        <w:t>。</w:t>
      </w:r>
    </w:p>
    <w:p w14:paraId="3F7C0169">
      <w:pPr>
        <w:numPr>
          <w:ilvl w:val="0"/>
          <w:numId w:val="66"/>
        </w:numPr>
        <w:ind w:left="0" w:leftChars="0" w:firstLine="560" w:firstLineChars="200"/>
        <w:rPr>
          <w:rFonts w:hint="eastAsia" w:ascii="仿宋" w:hAnsi="仿宋" w:eastAsia="仿宋"/>
          <w:color w:val="auto"/>
          <w:sz w:val="28"/>
          <w:szCs w:val="28"/>
          <w:highlight w:val="none"/>
        </w:rPr>
      </w:pPr>
      <w:bookmarkStart w:id="176" w:name="_Toc107258322"/>
      <w:bookmarkStart w:id="177" w:name="_Toc18966"/>
      <w:bookmarkStart w:id="178" w:name="_Toc2729"/>
      <w:bookmarkStart w:id="179" w:name="_Toc492734455"/>
      <w:bookmarkStart w:id="180" w:name="_Toc18135"/>
      <w:bookmarkStart w:id="181" w:name="_Toc5655"/>
      <w:bookmarkStart w:id="182" w:name="_Toc1600"/>
      <w:bookmarkStart w:id="183" w:name="_Toc31097"/>
      <w:r>
        <w:rPr>
          <w:rFonts w:hint="eastAsia" w:ascii="仿宋" w:hAnsi="仿宋" w:eastAsia="仿宋"/>
          <w:color w:val="auto"/>
          <w:sz w:val="28"/>
          <w:szCs w:val="28"/>
          <w:highlight w:val="none"/>
        </w:rPr>
        <w:t>调整衔接边界</w:t>
      </w:r>
    </w:p>
    <w:p w14:paraId="4F9A6C64">
      <w:pPr>
        <w:keepNext w:val="0"/>
        <w:keepLines w:val="0"/>
        <w:pageBreakBefore w:val="0"/>
        <w:widowControl w:val="0"/>
        <w:numPr>
          <w:ilvl w:val="0"/>
          <w:numId w:val="72"/>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应急</w:t>
      </w:r>
      <w:r>
        <w:rPr>
          <w:rFonts w:hint="eastAsia" w:ascii="仿宋" w:hAnsi="仿宋" w:eastAsia="仿宋"/>
          <w:b w:val="0"/>
          <w:bCs w:val="0"/>
          <w:color w:val="auto"/>
          <w:sz w:val="28"/>
          <w:szCs w:val="28"/>
          <w:highlight w:val="none"/>
        </w:rPr>
        <w:t>处置</w:t>
      </w:r>
    </w:p>
    <w:p w14:paraId="0085E933">
      <w:pPr>
        <w:ind w:firstLine="480"/>
        <w:rPr>
          <w:rFonts w:hint="eastAsia" w:ascii="仿宋" w:hAnsi="仿宋" w:eastAsia="仿宋"/>
          <w:color w:val="auto"/>
          <w:sz w:val="28"/>
          <w:szCs w:val="28"/>
          <w:highlight w:val="none"/>
        </w:rPr>
      </w:pPr>
      <w:r>
        <w:rPr>
          <w:rFonts w:hint="eastAsia" w:ascii="仿宋" w:hAnsi="仿宋" w:eastAsia="仿宋"/>
          <w:color w:val="auto"/>
          <w:sz w:val="28"/>
          <w:szCs w:val="28"/>
          <w:highlight w:val="none"/>
          <w:lang w:eastAsia="zh-CN"/>
        </w:rPr>
        <w:t>特许经营者</w:t>
      </w:r>
      <w:r>
        <w:rPr>
          <w:rFonts w:hint="eastAsia" w:ascii="仿宋" w:hAnsi="仿宋" w:eastAsia="仿宋"/>
          <w:color w:val="auto"/>
          <w:sz w:val="28"/>
          <w:szCs w:val="28"/>
          <w:highlight w:val="none"/>
        </w:rPr>
        <w:t>应针对自然灾害、重特大事故、环境公害及人为破坏等事件的发生等各类可能发生的事故和所有危险源制定应急预案和现场处置方案，明确事前、事中、事后的各个过程中相关部门和有关人员的职责。</w:t>
      </w:r>
      <w:r>
        <w:rPr>
          <w:rFonts w:hint="eastAsia" w:ascii="仿宋" w:hAnsi="仿宋" w:eastAsia="仿宋"/>
          <w:color w:val="auto"/>
          <w:sz w:val="28"/>
          <w:szCs w:val="28"/>
          <w:highlight w:val="none"/>
          <w:lang w:eastAsia="zh-CN"/>
        </w:rPr>
        <w:t>特许经营者</w:t>
      </w:r>
      <w:r>
        <w:rPr>
          <w:rFonts w:hint="eastAsia" w:ascii="仿宋" w:hAnsi="仿宋" w:eastAsia="仿宋"/>
          <w:color w:val="auto"/>
          <w:sz w:val="28"/>
          <w:szCs w:val="28"/>
          <w:highlight w:val="none"/>
        </w:rPr>
        <w:t>制定的应急预案应征求政府方的意见，经政府方批准后实施。</w:t>
      </w:r>
    </w:p>
    <w:p w14:paraId="45743E96">
      <w:pPr>
        <w:keepNext w:val="0"/>
        <w:keepLines w:val="0"/>
        <w:pageBreakBefore w:val="0"/>
        <w:widowControl w:val="0"/>
        <w:numPr>
          <w:ilvl w:val="0"/>
          <w:numId w:val="72"/>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违约责任</w:t>
      </w:r>
    </w:p>
    <w:p w14:paraId="4D650EE9">
      <w:pPr>
        <w:ind w:firstLine="48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政府方或</w:t>
      </w:r>
      <w:r>
        <w:rPr>
          <w:rFonts w:hint="eastAsia" w:ascii="仿宋" w:hAnsi="仿宋" w:eastAsia="仿宋"/>
          <w:color w:val="auto"/>
          <w:sz w:val="28"/>
          <w:szCs w:val="28"/>
          <w:highlight w:val="none"/>
          <w:lang w:val="en-US" w:eastAsia="zh-CN"/>
        </w:rPr>
        <w:t>特许经营者（或项目公司）</w:t>
      </w:r>
      <w:r>
        <w:rPr>
          <w:rFonts w:hint="eastAsia" w:ascii="仿宋" w:hAnsi="仿宋" w:eastAsia="仿宋"/>
          <w:color w:val="auto"/>
          <w:sz w:val="28"/>
          <w:szCs w:val="28"/>
          <w:highlight w:val="none"/>
        </w:rPr>
        <w:t>未履行特许经营协议约定义务的，应承担相应违约责任，包括停止侵害、消除影响、支付违约金、赔偿损失以及解除特许经营协议等。</w:t>
      </w:r>
      <w:bookmarkStart w:id="184" w:name="_Toc8778"/>
    </w:p>
    <w:p w14:paraId="023827EC">
      <w:pPr>
        <w:pStyle w:val="3"/>
        <w:bidi w:val="0"/>
        <w:ind w:left="575" w:hanging="575"/>
        <w:rPr>
          <w:rFonts w:hint="eastAsia" w:ascii="仿宋" w:hAnsi="仿宋" w:eastAsia="仿宋" w:cs="仿宋"/>
          <w:color w:val="auto"/>
          <w:highlight w:val="none"/>
          <w:lang w:val="en-US" w:eastAsia="zh-CN"/>
        </w:rPr>
      </w:pPr>
      <w:bookmarkStart w:id="185" w:name="_Toc19978"/>
      <w:bookmarkStart w:id="186" w:name="_Toc20853"/>
      <w:bookmarkStart w:id="187" w:name="_Toc27301"/>
      <w:bookmarkStart w:id="188" w:name="_Toc28098"/>
      <w:r>
        <w:rPr>
          <w:rFonts w:hint="eastAsia" w:ascii="仿宋" w:hAnsi="仿宋" w:eastAsia="仿宋" w:cs="仿宋"/>
          <w:color w:val="auto"/>
          <w:highlight w:val="none"/>
          <w:lang w:val="en-US" w:eastAsia="zh-CN"/>
        </w:rPr>
        <w:t>特许经营者选择</w:t>
      </w:r>
      <w:bookmarkEnd w:id="185"/>
      <w:bookmarkEnd w:id="186"/>
      <w:bookmarkEnd w:id="187"/>
      <w:bookmarkEnd w:id="188"/>
    </w:p>
    <w:p w14:paraId="69B7F585">
      <w:pPr>
        <w:pStyle w:val="4"/>
        <w:ind w:left="720" w:hanging="720"/>
        <w:rPr>
          <w:rFonts w:hint="eastAsia" w:ascii="仿宋" w:hAnsi="仿宋" w:eastAsia="仿宋"/>
          <w:color w:val="auto"/>
          <w:lang w:val="en-US" w:eastAsia="zh-CN"/>
        </w:rPr>
      </w:pPr>
      <w:bookmarkStart w:id="189" w:name="_Toc26061"/>
      <w:bookmarkStart w:id="190" w:name="_Toc32341"/>
      <w:bookmarkStart w:id="191" w:name="_Toc29902"/>
      <w:bookmarkStart w:id="192" w:name="_Toc30107"/>
      <w:bookmarkStart w:id="193" w:name="_Toc30066"/>
      <w:bookmarkStart w:id="194" w:name="_Toc455858305"/>
      <w:bookmarkStart w:id="195" w:name="_Toc10387"/>
      <w:bookmarkStart w:id="196" w:name="_Toc107258334"/>
      <w:bookmarkStart w:id="197" w:name="_Toc31367"/>
      <w:bookmarkStart w:id="198" w:name="_Toc23665"/>
      <w:bookmarkStart w:id="199" w:name="_Toc28558"/>
      <w:r>
        <w:rPr>
          <w:rFonts w:hint="eastAsia" w:ascii="仿宋" w:hAnsi="仿宋" w:eastAsia="仿宋"/>
          <w:color w:val="auto"/>
          <w:lang w:val="en-US" w:eastAsia="zh-CN"/>
        </w:rPr>
        <w:t>特许经营者基本条件</w:t>
      </w:r>
      <w:bookmarkEnd w:id="189"/>
      <w:bookmarkEnd w:id="190"/>
      <w:bookmarkEnd w:id="191"/>
    </w:p>
    <w:p w14:paraId="21C9B385">
      <w:pPr>
        <w:bidi w:val="0"/>
        <w:rPr>
          <w:rFonts w:hint="eastAsia" w:ascii="仿宋" w:hAnsi="仿宋" w:eastAsia="仿宋"/>
          <w:color w:val="auto"/>
          <w:lang w:val="en-US" w:eastAsia="zh-CN"/>
        </w:rPr>
      </w:pPr>
      <w:r>
        <w:rPr>
          <w:rFonts w:hint="eastAsia" w:ascii="仿宋" w:hAnsi="仿宋" w:eastAsia="仿宋"/>
          <w:color w:val="auto"/>
          <w:lang w:val="en-US" w:eastAsia="zh-CN"/>
        </w:rPr>
        <w:t>本项目特许经营者基本条件：除作为政府出资人代表参与地方政府通过资本金注入方式给予投资支持的项目外，地方本级国有独资或国有控股企业（含其独资或控股的子公司）不得以任何方式作为本级政府和社会资本合作新建（含改扩建）项目的投标方、联合投标方或项目公司股东；作为政府出资人代表时，原则上不得在项目公司中控股。</w:t>
      </w:r>
    </w:p>
    <w:p w14:paraId="22A1C645">
      <w:pPr>
        <w:bidi w:val="0"/>
        <w:rPr>
          <w:rFonts w:hint="eastAsia" w:ascii="仿宋" w:hAnsi="仿宋"/>
          <w:color w:val="auto"/>
          <w:lang w:val="en-US" w:eastAsia="zh-CN"/>
        </w:rPr>
      </w:pPr>
      <w:r>
        <w:rPr>
          <w:rFonts w:hint="eastAsia" w:ascii="仿宋" w:hAnsi="仿宋" w:eastAsia="仿宋"/>
          <w:color w:val="auto"/>
        </w:rPr>
        <w:t>根据《关于规范实施政府和社会资本合作新机制的指导意见》</w:t>
      </w:r>
      <w:r>
        <w:rPr>
          <w:rFonts w:hint="eastAsia" w:ascii="仿宋" w:hAnsi="仿宋" w:eastAsia="仿宋"/>
          <w:color w:val="auto"/>
          <w:lang w:eastAsia="zh-CN"/>
        </w:rPr>
        <w:t>（国办函〔2023〕115号），</w:t>
      </w:r>
      <w:r>
        <w:rPr>
          <w:rFonts w:hint="eastAsia" w:ascii="仿宋" w:hAnsi="仿宋" w:eastAsia="仿宋"/>
          <w:color w:val="auto"/>
          <w:lang w:val="en-US" w:eastAsia="zh-CN"/>
        </w:rPr>
        <w:t>本项目属于应由</w:t>
      </w:r>
      <w:r>
        <w:rPr>
          <w:rFonts w:hint="eastAsia" w:ascii="仿宋" w:hAnsi="仿宋" w:eastAsia="仿宋"/>
          <w:color w:val="auto"/>
        </w:rPr>
        <w:t>民营企业</w:t>
      </w:r>
      <w:r>
        <w:rPr>
          <w:rFonts w:hint="eastAsia" w:ascii="仿宋" w:hAnsi="仿宋" w:eastAsia="仿宋"/>
          <w:color w:val="auto"/>
          <w:lang w:val="en-US" w:eastAsia="zh-CN"/>
        </w:rPr>
        <w:t>独资或控股的项目</w:t>
      </w:r>
      <w:r>
        <w:rPr>
          <w:rFonts w:hint="eastAsia" w:ascii="仿宋" w:hAnsi="仿宋" w:eastAsia="仿宋"/>
          <w:color w:val="auto"/>
          <w:lang w:eastAsia="zh-CN"/>
        </w:rPr>
        <w:t>，</w:t>
      </w:r>
      <w:r>
        <w:rPr>
          <w:rFonts w:hint="eastAsia" w:ascii="仿宋" w:hAnsi="仿宋" w:eastAsia="仿宋"/>
          <w:color w:val="auto"/>
          <w:lang w:val="en-US" w:eastAsia="zh-CN"/>
        </w:rPr>
        <w:t>因此本项目支持民营企业积极参与。</w:t>
      </w:r>
    </w:p>
    <w:bookmarkEnd w:id="192"/>
    <w:bookmarkEnd w:id="193"/>
    <w:bookmarkEnd w:id="194"/>
    <w:bookmarkEnd w:id="195"/>
    <w:bookmarkEnd w:id="196"/>
    <w:bookmarkEnd w:id="197"/>
    <w:bookmarkEnd w:id="198"/>
    <w:bookmarkEnd w:id="199"/>
    <w:p w14:paraId="1AD71065">
      <w:pPr>
        <w:pStyle w:val="4"/>
        <w:ind w:left="720" w:hanging="720"/>
        <w:rPr>
          <w:rFonts w:hint="eastAsia" w:ascii="仿宋" w:hAnsi="仿宋" w:eastAsia="仿宋"/>
          <w:color w:val="auto"/>
          <w:lang w:val="en-US" w:eastAsia="zh-CN"/>
        </w:rPr>
      </w:pPr>
      <w:bookmarkStart w:id="200" w:name="_Toc29666"/>
      <w:bookmarkStart w:id="201" w:name="_Toc24005"/>
      <w:bookmarkStart w:id="202" w:name="_Toc7040"/>
      <w:r>
        <w:rPr>
          <w:rFonts w:hint="eastAsia" w:ascii="仿宋" w:hAnsi="仿宋" w:eastAsia="仿宋"/>
          <w:color w:val="auto"/>
          <w:lang w:val="en-US" w:eastAsia="zh-CN"/>
        </w:rPr>
        <w:t>特许经营者选择方式</w:t>
      </w:r>
      <w:bookmarkEnd w:id="200"/>
      <w:bookmarkEnd w:id="201"/>
      <w:bookmarkEnd w:id="202"/>
    </w:p>
    <w:p w14:paraId="2D66ACDA">
      <w:pPr>
        <w:ind w:firstLine="480"/>
        <w:rPr>
          <w:rFonts w:hint="eastAsia" w:ascii="仿宋" w:hAnsi="仿宋" w:eastAsia="仿宋"/>
          <w:color w:val="auto"/>
          <w:sz w:val="28"/>
          <w:szCs w:val="28"/>
          <w:highlight w:val="none"/>
          <w:lang w:eastAsia="zh-CN"/>
        </w:rPr>
      </w:pPr>
      <w:r>
        <w:rPr>
          <w:rFonts w:hint="eastAsia" w:ascii="仿宋" w:hAnsi="仿宋" w:eastAsia="仿宋"/>
          <w:color w:val="auto"/>
          <w:lang w:val="en-US" w:eastAsia="zh-CN"/>
        </w:rPr>
        <w:t>本项目将根据项目的采购需求特点，</w:t>
      </w:r>
      <w:r>
        <w:rPr>
          <w:rFonts w:hint="eastAsia" w:ascii="仿宋" w:hAnsi="仿宋" w:eastAsia="仿宋"/>
          <w:color w:val="auto"/>
        </w:rPr>
        <w:t>通过公开招标遴选合适的</w:t>
      </w:r>
      <w:r>
        <w:rPr>
          <w:rFonts w:hint="eastAsia" w:ascii="仿宋" w:hAnsi="仿宋" w:eastAsia="仿宋"/>
          <w:color w:val="auto"/>
          <w:lang w:val="en-US" w:eastAsia="zh-CN"/>
        </w:rPr>
        <w:t>特许经营者</w:t>
      </w:r>
      <w:r>
        <w:rPr>
          <w:rFonts w:hint="eastAsia" w:ascii="仿宋" w:hAnsi="仿宋" w:eastAsia="仿宋"/>
          <w:color w:val="auto"/>
        </w:rPr>
        <w:t>。公开招标适用于采购需求中核心边界条件和技术经济参数明确、完整、符合国家法律法规及政府采购政策，且采购过程中不</w:t>
      </w:r>
      <w:r>
        <w:rPr>
          <w:rFonts w:hint="eastAsia" w:ascii="仿宋" w:hAnsi="仿宋" w:eastAsia="仿宋"/>
          <w:color w:val="auto"/>
          <w:lang w:val="en-US" w:eastAsia="zh-CN"/>
        </w:rPr>
        <w:t>作</w:t>
      </w:r>
      <w:r>
        <w:rPr>
          <w:rFonts w:hint="eastAsia" w:ascii="仿宋" w:hAnsi="仿宋" w:eastAsia="仿宋"/>
          <w:color w:val="auto"/>
        </w:rPr>
        <w:t>更改的项目。公开招标是应用最为普遍、程序最为透明、竞争性最强的采购方式。根据《</w:t>
      </w:r>
      <w:r>
        <w:rPr>
          <w:rFonts w:hint="eastAsia" w:ascii="仿宋" w:hAnsi="仿宋" w:eastAsia="仿宋"/>
          <w:color w:val="auto"/>
          <w:lang w:eastAsia="zh-CN"/>
        </w:rPr>
        <w:t>中华人民共和国招标投标法</w:t>
      </w:r>
      <w:r>
        <w:rPr>
          <w:rFonts w:hint="eastAsia" w:ascii="仿宋" w:hAnsi="仿宋" w:eastAsia="仿宋"/>
          <w:color w:val="auto"/>
        </w:rPr>
        <w:t>》第三条以及《</w:t>
      </w:r>
      <w:r>
        <w:rPr>
          <w:rFonts w:hint="eastAsia" w:ascii="仿宋" w:hAnsi="仿宋" w:eastAsia="仿宋"/>
          <w:color w:val="auto"/>
          <w:lang w:eastAsia="zh-CN"/>
        </w:rPr>
        <w:t>中华人民共和国招标投标法实施条例</w:t>
      </w:r>
      <w:r>
        <w:rPr>
          <w:rFonts w:hint="eastAsia" w:ascii="仿宋" w:hAnsi="仿宋" w:eastAsia="仿宋"/>
          <w:color w:val="auto"/>
        </w:rPr>
        <w:t>》第二条规定，大型基础设施、公用事业等关系社会公共利益、公众安全的项目或者全部或者部分使用国有资金投资或者国家融资的项目，其工程以及与工程建设有关的货物、服务，必须进行招标。</w:t>
      </w:r>
    </w:p>
    <w:p w14:paraId="4C8D71C0">
      <w:pPr>
        <w:pStyle w:val="4"/>
        <w:ind w:left="720" w:hanging="720"/>
        <w:rPr>
          <w:rFonts w:hint="eastAsia" w:ascii="仿宋" w:hAnsi="仿宋" w:eastAsia="仿宋"/>
          <w:color w:val="auto"/>
          <w:lang w:val="en-US" w:eastAsia="zh-CN"/>
        </w:rPr>
      </w:pPr>
      <w:bookmarkStart w:id="203" w:name="_Toc13629"/>
      <w:bookmarkStart w:id="204" w:name="_Toc17551"/>
      <w:bookmarkStart w:id="205" w:name="_Toc23479"/>
      <w:r>
        <w:rPr>
          <w:rFonts w:hint="eastAsia" w:ascii="仿宋" w:hAnsi="仿宋" w:eastAsia="仿宋"/>
          <w:color w:val="auto"/>
          <w:lang w:val="en-US" w:eastAsia="zh-CN"/>
        </w:rPr>
        <w:t>特许经营者选择标准</w:t>
      </w:r>
      <w:bookmarkEnd w:id="203"/>
      <w:bookmarkEnd w:id="204"/>
      <w:bookmarkEnd w:id="205"/>
    </w:p>
    <w:p w14:paraId="128F8611">
      <w:pPr>
        <w:ind w:firstLine="48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本项目</w:t>
      </w:r>
      <w:r>
        <w:rPr>
          <w:rFonts w:hint="eastAsia" w:ascii="仿宋" w:hAnsi="仿宋" w:eastAsia="仿宋"/>
          <w:color w:val="auto"/>
          <w:sz w:val="28"/>
          <w:szCs w:val="28"/>
          <w:highlight w:val="none"/>
        </w:rPr>
        <w:t>采用公开招标方式选择优秀社会资本，负责项目投资、建设、运营</w:t>
      </w:r>
      <w:r>
        <w:rPr>
          <w:rFonts w:hint="eastAsia" w:ascii="仿宋" w:hAnsi="仿宋" w:eastAsia="仿宋"/>
          <w:color w:val="auto"/>
          <w:sz w:val="28"/>
          <w:szCs w:val="28"/>
          <w:highlight w:val="none"/>
          <w:lang w:val="en-US" w:eastAsia="zh-CN"/>
        </w:rPr>
        <w:t>管理、维护以及期满</w:t>
      </w:r>
      <w:r>
        <w:rPr>
          <w:rFonts w:hint="eastAsia" w:ascii="仿宋" w:hAnsi="仿宋" w:eastAsia="仿宋"/>
          <w:color w:val="auto"/>
          <w:sz w:val="28"/>
          <w:szCs w:val="28"/>
          <w:highlight w:val="none"/>
        </w:rPr>
        <w:t>移交</w:t>
      </w:r>
      <w:r>
        <w:rPr>
          <w:rFonts w:hint="eastAsia" w:ascii="仿宋" w:hAnsi="仿宋" w:eastAsia="仿宋"/>
          <w:color w:val="auto"/>
          <w:sz w:val="28"/>
          <w:szCs w:val="28"/>
          <w:highlight w:val="none"/>
          <w:lang w:val="en-US" w:eastAsia="zh-CN"/>
        </w:rPr>
        <w:t>等</w:t>
      </w:r>
      <w:r>
        <w:rPr>
          <w:rFonts w:hint="eastAsia" w:ascii="仿宋" w:hAnsi="仿宋" w:eastAsia="仿宋"/>
          <w:color w:val="auto"/>
          <w:sz w:val="28"/>
          <w:szCs w:val="28"/>
          <w:highlight w:val="none"/>
        </w:rPr>
        <w:t>工作</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具体选择标准以项目采购文件中载明信息为准。</w:t>
      </w:r>
    </w:p>
    <w:p w14:paraId="4CEAB0DC">
      <w:pPr>
        <w:numPr>
          <w:ilvl w:val="0"/>
          <w:numId w:val="73"/>
        </w:numPr>
        <w:ind w:firstLine="48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投标人具有独立企业法人资格，并具有独立承担民事责任能力。</w:t>
      </w:r>
    </w:p>
    <w:p w14:paraId="190BFB7F">
      <w:pPr>
        <w:numPr>
          <w:ilvl w:val="0"/>
          <w:numId w:val="73"/>
        </w:numPr>
        <w:ind w:left="0" w:leftChars="0"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财务要求：提供近</w:t>
      </w:r>
      <w:r>
        <w:rPr>
          <w:rFonts w:hint="eastAsia" w:ascii="仿宋" w:hAnsi="仿宋" w:eastAsia="仿宋"/>
          <w:color w:val="auto"/>
          <w:sz w:val="28"/>
          <w:szCs w:val="28"/>
          <w:highlight w:val="none"/>
          <w:lang w:eastAsia="zh-CN"/>
        </w:rPr>
        <w:t>三年</w:t>
      </w:r>
      <w:r>
        <w:rPr>
          <w:rFonts w:hint="eastAsia" w:ascii="仿宋" w:hAnsi="仿宋" w:eastAsia="仿宋"/>
          <w:color w:val="auto"/>
          <w:sz w:val="28"/>
          <w:szCs w:val="28"/>
          <w:highlight w:val="none"/>
        </w:rPr>
        <w:t>经</w:t>
      </w:r>
      <w:r>
        <w:rPr>
          <w:rFonts w:hint="eastAsia" w:ascii="仿宋" w:hAnsi="仿宋" w:eastAsia="仿宋"/>
          <w:color w:val="auto"/>
          <w:sz w:val="28"/>
          <w:szCs w:val="28"/>
          <w:highlight w:val="none"/>
          <w:lang w:eastAsia="zh-CN"/>
        </w:rPr>
        <w:t>会计师事务所</w:t>
      </w:r>
      <w:r>
        <w:rPr>
          <w:rFonts w:hint="eastAsia" w:ascii="仿宋" w:hAnsi="仿宋" w:eastAsia="仿宋"/>
          <w:color w:val="auto"/>
          <w:sz w:val="28"/>
          <w:szCs w:val="28"/>
          <w:highlight w:val="none"/>
        </w:rPr>
        <w:t>或第三方审计机构审计的财务审计报告（202</w:t>
      </w:r>
      <w:r>
        <w:rPr>
          <w:rFonts w:hint="eastAsia" w:ascii="仿宋" w:hAnsi="仿宋" w:eastAsia="仿宋"/>
          <w:color w:val="auto"/>
          <w:sz w:val="28"/>
          <w:szCs w:val="28"/>
          <w:highlight w:val="none"/>
          <w:lang w:val="en-US" w:eastAsia="zh-CN"/>
        </w:rPr>
        <w:t>5</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lang w:val="en-US" w:eastAsia="zh-CN"/>
        </w:rPr>
        <w:t>及之后</w:t>
      </w:r>
      <w:r>
        <w:rPr>
          <w:rFonts w:hint="eastAsia" w:ascii="仿宋" w:hAnsi="仿宋" w:eastAsia="仿宋"/>
          <w:color w:val="auto"/>
          <w:sz w:val="28"/>
          <w:szCs w:val="28"/>
          <w:highlight w:val="none"/>
        </w:rPr>
        <w:t>成立的企业</w:t>
      </w:r>
      <w:r>
        <w:rPr>
          <w:rFonts w:hint="eastAsia" w:ascii="仿宋" w:hAnsi="仿宋" w:eastAsia="仿宋"/>
          <w:color w:val="auto"/>
          <w:sz w:val="28"/>
          <w:szCs w:val="28"/>
          <w:highlight w:val="none"/>
          <w:lang w:val="en-US" w:eastAsia="zh-CN"/>
        </w:rPr>
        <w:t>可</w:t>
      </w:r>
      <w:r>
        <w:rPr>
          <w:rFonts w:hint="eastAsia" w:ascii="仿宋" w:hAnsi="仿宋" w:eastAsia="仿宋"/>
          <w:color w:val="auto"/>
          <w:sz w:val="28"/>
          <w:szCs w:val="28"/>
          <w:highlight w:val="none"/>
        </w:rPr>
        <w:t>提供银行出具的资信证明）。</w:t>
      </w:r>
    </w:p>
    <w:p w14:paraId="4D9622F1">
      <w:pPr>
        <w:numPr>
          <w:ilvl w:val="0"/>
          <w:numId w:val="73"/>
        </w:numPr>
        <w:ind w:left="0" w:leftChars="0"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信誉要求：</w:t>
      </w:r>
    </w:p>
    <w:p w14:paraId="15B46E57">
      <w:pPr>
        <w:ind w:firstLine="48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（1）投标人应当通过</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信用中国（www.creditchina.gov.cn）</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查询投标人信用记录，对列入</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失信被执行人、重大税收违法失信主体</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的投标人将拒绝参与本项目投标；信用信息查询的截止时点：自招标公告发布之日起至投标截止时间止。</w:t>
      </w:r>
    </w:p>
    <w:p w14:paraId="320AD2B0">
      <w:pPr>
        <w:ind w:firstLine="48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（2）单位负责人为同一个人或者存在控股、管理关系的不同单位，不得同时参加投标（以</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国家企业信用信息公示系统</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查询为准，需包含公司基本信息、股东信息及股权变更信息等内容）。</w:t>
      </w:r>
    </w:p>
    <w:p w14:paraId="365A6BB6">
      <w:pPr>
        <w:numPr>
          <w:ilvl w:val="0"/>
          <w:numId w:val="73"/>
        </w:numPr>
        <w:ind w:left="0" w:leftChars="0"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运营方案：投标人须制定科学可行的运营方案，明确智慧停车系统应用、团队配置、服务标准及资产维护措施，确保项目高效、安全、可持续运营。</w:t>
      </w:r>
    </w:p>
    <w:p w14:paraId="6B3972BE">
      <w:pPr>
        <w:numPr>
          <w:ilvl w:val="0"/>
          <w:numId w:val="73"/>
        </w:numPr>
        <w:ind w:left="0" w:leftChars="0"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特许经营期限：投标人须响应具体特许经营期限，并充分说明其与项目投资回收、资产生命周期的匹配性；特许经营期满后，项目资产须无偿、完好、无债务移交至实施机构。</w:t>
      </w:r>
    </w:p>
    <w:p w14:paraId="63D4DCA1">
      <w:pPr>
        <w:numPr>
          <w:ilvl w:val="0"/>
          <w:numId w:val="73"/>
        </w:numPr>
        <w:ind w:left="0" w:leftChars="0"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政府支持条件：投标人须充分评估并响应政府支持条件，结合自身能力与项目需求，制定合理的利用方案，明确如何依托政府支持保障项目落地实施与可持续运营；同时承诺在项目全生命周期内，严格遵守政府支持条件的相关约定，依法合规开展经营活动</w:t>
      </w:r>
    </w:p>
    <w:p w14:paraId="32785902">
      <w:pPr>
        <w:numPr>
          <w:ilvl w:val="0"/>
          <w:numId w:val="73"/>
        </w:numPr>
        <w:ind w:firstLine="560"/>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独立投标人投标的，投标人的企业性质应为民营企业独资或控股；联合体投标的，联合体成员中需包括民营企业，且联合体协议中应约定中标后成立的项目公司应由民营企业独资或控股。</w:t>
      </w:r>
      <w:r>
        <w:rPr>
          <w:rStyle w:val="33"/>
          <w:rFonts w:hint="eastAsia" w:ascii="仿宋" w:hAnsi="仿宋" w:eastAsia="仿宋"/>
          <w:color w:val="auto"/>
          <w:highlight w:val="none"/>
          <w:shd w:val="clear" w:color="auto" w:fill="auto"/>
          <w:lang w:val="en-US" w:eastAsia="zh-CN"/>
        </w:rPr>
        <w:t>根据《</w:t>
      </w:r>
      <w:r>
        <w:rPr>
          <w:rStyle w:val="33"/>
          <w:rFonts w:hint="eastAsia" w:ascii="仿宋" w:hAnsi="仿宋" w:eastAsia="仿宋" w:cs="仿宋"/>
          <w:color w:val="auto"/>
          <w:kern w:val="2"/>
          <w:sz w:val="28"/>
          <w:szCs w:val="28"/>
          <w:highlight w:val="none"/>
          <w:shd w:val="clear" w:color="auto" w:fill="auto"/>
          <w:lang w:val="en-US" w:eastAsia="zh-CN" w:bidi="ar"/>
        </w:rPr>
        <w:t>基础设施和公用事业特许经营管理办法</w:t>
      </w:r>
      <w:r>
        <w:rPr>
          <w:rStyle w:val="33"/>
          <w:rFonts w:hint="eastAsia" w:ascii="仿宋" w:hAnsi="仿宋" w:eastAsia="仿宋"/>
          <w:color w:val="auto"/>
          <w:highlight w:val="none"/>
          <w:shd w:val="clear" w:color="auto" w:fill="auto"/>
          <w:lang w:val="en-US" w:eastAsia="zh-CN"/>
        </w:rPr>
        <w:t>》第18条</w:t>
      </w:r>
      <w:r>
        <w:rPr>
          <w:rStyle w:val="33"/>
          <w:rFonts w:hint="eastAsia" w:ascii="仿宋" w:hAnsi="仿宋" w:eastAsia="仿宋"/>
          <w:color w:val="auto"/>
          <w:shd w:val="clear" w:color="auto" w:fill="auto"/>
          <w:lang w:val="en-US" w:eastAsia="zh-CN"/>
        </w:rPr>
        <w:t>规定，外商投资企业可参照</w:t>
      </w:r>
      <w:r>
        <w:rPr>
          <w:rFonts w:hint="eastAsia" w:ascii="仿宋" w:hAnsi="仿宋" w:eastAsia="仿宋"/>
          <w:color w:val="auto"/>
          <w:shd w:val="clear"/>
          <w:lang w:val="en-US" w:eastAsia="zh-CN"/>
        </w:rPr>
        <w:t>民营企业</w:t>
      </w:r>
      <w:r>
        <w:rPr>
          <w:rStyle w:val="33"/>
          <w:rFonts w:hint="eastAsia" w:ascii="仿宋" w:hAnsi="仿宋" w:eastAsia="仿宋"/>
          <w:color w:val="auto"/>
          <w:shd w:val="clear" w:color="auto" w:fill="auto"/>
          <w:lang w:val="en-US" w:eastAsia="zh-CN"/>
        </w:rPr>
        <w:t>参与本项目。</w:t>
      </w:r>
    </w:p>
    <w:p w14:paraId="50D1CAB7">
      <w:pPr>
        <w:numPr>
          <w:ilvl w:val="0"/>
          <w:numId w:val="73"/>
        </w:numPr>
        <w:ind w:firstLine="560"/>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招标接受联合体投标，联合体家数不超过4家</w:t>
      </w:r>
      <w:r>
        <w:rPr>
          <w:rFonts w:hint="eastAsia" w:ascii="仿宋" w:hAnsi="仿宋" w:eastAsia="仿宋"/>
          <w:color w:val="auto"/>
          <w:sz w:val="28"/>
          <w:szCs w:val="28"/>
          <w:highlight w:val="none"/>
        </w:rPr>
        <w:t>。</w:t>
      </w:r>
    </w:p>
    <w:p w14:paraId="6A0D07D8">
      <w:pPr>
        <w:pStyle w:val="3"/>
        <w:bidi w:val="0"/>
        <w:ind w:left="575" w:hanging="575"/>
        <w:rPr>
          <w:rFonts w:hint="eastAsia" w:ascii="仿宋" w:hAnsi="仿宋" w:eastAsia="仿宋" w:cs="仿宋"/>
          <w:color w:val="auto"/>
          <w:highlight w:val="none"/>
          <w:lang w:val="en-US" w:eastAsia="zh-CN"/>
        </w:rPr>
      </w:pPr>
      <w:bookmarkStart w:id="206" w:name="_Toc30573"/>
      <w:bookmarkStart w:id="207" w:name="_Toc4523"/>
      <w:bookmarkStart w:id="208" w:name="_Toc17374"/>
      <w:bookmarkStart w:id="209" w:name="_Toc32587"/>
      <w:r>
        <w:rPr>
          <w:rFonts w:hint="eastAsia" w:ascii="仿宋" w:hAnsi="仿宋" w:eastAsia="仿宋" w:cs="仿宋"/>
          <w:color w:val="auto"/>
          <w:highlight w:val="none"/>
          <w:lang w:val="en-US" w:eastAsia="zh-CN"/>
        </w:rPr>
        <w:t>交易结构</w:t>
      </w:r>
      <w:bookmarkEnd w:id="176"/>
      <w:bookmarkEnd w:id="177"/>
      <w:bookmarkEnd w:id="178"/>
      <w:bookmarkEnd w:id="179"/>
      <w:bookmarkEnd w:id="180"/>
      <w:bookmarkEnd w:id="181"/>
      <w:bookmarkEnd w:id="182"/>
      <w:bookmarkEnd w:id="183"/>
      <w:bookmarkEnd w:id="184"/>
      <w:r>
        <w:rPr>
          <w:rFonts w:hint="eastAsia" w:ascii="仿宋" w:hAnsi="仿宋" w:eastAsia="仿宋" w:cs="仿宋"/>
          <w:color w:val="auto"/>
          <w:highlight w:val="none"/>
          <w:lang w:val="en-US" w:eastAsia="zh-CN"/>
        </w:rPr>
        <w:t>与投融资结构</w:t>
      </w:r>
      <w:bookmarkEnd w:id="206"/>
      <w:bookmarkEnd w:id="207"/>
      <w:bookmarkEnd w:id="208"/>
      <w:bookmarkEnd w:id="209"/>
    </w:p>
    <w:p w14:paraId="303A6E2D">
      <w:pPr>
        <w:pStyle w:val="4"/>
        <w:ind w:left="720" w:hanging="720"/>
        <w:rPr>
          <w:rFonts w:hint="eastAsia" w:ascii="仿宋" w:hAnsi="仿宋" w:eastAsia="仿宋"/>
          <w:color w:val="auto"/>
          <w:lang w:val="en-US" w:eastAsia="zh-CN"/>
        </w:rPr>
      </w:pPr>
      <w:r>
        <w:rPr>
          <w:rFonts w:hint="eastAsia" w:ascii="仿宋" w:hAnsi="仿宋" w:eastAsia="仿宋"/>
          <w:color w:val="auto"/>
          <w:lang w:val="en-US" w:eastAsia="zh-CN"/>
        </w:rPr>
        <w:t>交易结构</w:t>
      </w:r>
    </w:p>
    <w:p w14:paraId="511E43D0">
      <w:pPr>
        <w:numPr>
          <w:ilvl w:val="0"/>
          <w:numId w:val="74"/>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项目授权路径</w:t>
      </w:r>
    </w:p>
    <w:p w14:paraId="587F336C">
      <w:pPr>
        <w:bidi w:val="0"/>
        <w:rPr>
          <w:rFonts w:hint="eastAsia" w:ascii="仿宋" w:hAnsi="仿宋" w:eastAsia="仿宋"/>
          <w:color w:val="auto"/>
        </w:rPr>
      </w:pPr>
      <w:r>
        <w:rPr>
          <w:rFonts w:hint="eastAsia" w:ascii="仿宋" w:hAnsi="仿宋" w:eastAsia="仿宋"/>
          <w:color w:val="auto"/>
        </w:rPr>
        <w:t>密云区人民政府作为项目发起方，授权密云区</w:t>
      </w:r>
      <w:r>
        <w:rPr>
          <w:rFonts w:hint="eastAsia" w:ascii="仿宋" w:hAnsi="仿宋" w:eastAsia="仿宋"/>
          <w:color w:val="auto"/>
          <w:lang w:eastAsia="zh-CN"/>
        </w:rPr>
        <w:t>城管委</w:t>
      </w:r>
      <w:r>
        <w:rPr>
          <w:rFonts w:hint="eastAsia" w:ascii="仿宋" w:hAnsi="仿宋" w:eastAsia="仿宋"/>
          <w:color w:val="auto"/>
        </w:rPr>
        <w:t>作为项目实施机构，负责项目的前期筹备、特许经营者招标、协议签署及全流程监管。</w:t>
      </w:r>
    </w:p>
    <w:p w14:paraId="14A4243F">
      <w:pPr>
        <w:bidi w:val="0"/>
        <w:rPr>
          <w:rFonts w:hint="eastAsia" w:ascii="仿宋" w:hAnsi="仿宋" w:eastAsia="仿宋"/>
          <w:color w:val="auto"/>
          <w:lang w:val="en-US" w:eastAsia="zh-CN"/>
        </w:rPr>
      </w:pPr>
      <w:r>
        <w:rPr>
          <w:rFonts w:hint="eastAsia" w:ascii="仿宋" w:hAnsi="仿宋" w:eastAsia="仿宋"/>
          <w:color w:val="auto"/>
        </w:rPr>
        <w:t>实施机构通过公开招标方式</w:t>
      </w:r>
      <w:r>
        <w:rPr>
          <w:rFonts w:hint="eastAsia" w:ascii="仿宋" w:hAnsi="仿宋" w:eastAsia="仿宋"/>
          <w:color w:val="auto"/>
          <w:lang w:val="en-US" w:eastAsia="zh-CN"/>
        </w:rPr>
        <w:t>确定中标社会资本方，中标社会资本方本项目的特许经营者。</w:t>
      </w:r>
      <w:r>
        <w:rPr>
          <w:rFonts w:hint="eastAsia" w:ascii="仿宋" w:hAnsi="仿宋" w:eastAsia="仿宋"/>
          <w:color w:val="auto"/>
        </w:rPr>
        <w:t>实施机构与特许经营者签署《特许经营协议》，明确双方权利义务。</w:t>
      </w:r>
      <w:r>
        <w:rPr>
          <w:rFonts w:hint="eastAsia" w:ascii="仿宋" w:hAnsi="仿宋" w:eastAsia="仿宋"/>
          <w:color w:val="auto"/>
          <w:lang w:val="en-US" w:eastAsia="zh-CN"/>
        </w:rPr>
        <w:t>如</w:t>
      </w:r>
      <w:r>
        <w:rPr>
          <w:rFonts w:hint="eastAsia" w:ascii="仿宋" w:hAnsi="仿宋" w:eastAsia="仿宋"/>
          <w:color w:val="auto"/>
        </w:rPr>
        <w:t>特许经营者</w:t>
      </w:r>
      <w:r>
        <w:rPr>
          <w:rFonts w:hint="eastAsia" w:ascii="仿宋" w:hAnsi="仿宋" w:eastAsia="仿宋"/>
          <w:color w:val="auto"/>
          <w:lang w:val="en-US" w:eastAsia="zh-CN"/>
        </w:rPr>
        <w:t>为本项目成立特许经营项目公司的，由实施机构与</w:t>
      </w:r>
      <w:r>
        <w:rPr>
          <w:rFonts w:hint="eastAsia" w:ascii="仿宋" w:hAnsi="仿宋" w:eastAsia="仿宋"/>
          <w:color w:val="auto"/>
        </w:rPr>
        <w:t>特许经营者</w:t>
      </w:r>
      <w:r>
        <w:rPr>
          <w:rFonts w:hint="eastAsia" w:ascii="仿宋" w:hAnsi="仿宋" w:eastAsia="仿宋"/>
          <w:color w:val="auto"/>
          <w:lang w:val="en-US" w:eastAsia="zh-CN"/>
        </w:rPr>
        <w:t>签订特许经营协议，待项目公司成立后，由实施机构与项目公司签订特许经营协议，由项目公司承继社会资本方的相关权利、责任和义务，但不排除社会资本方作为本项目特许经营者所应承担的责任。</w:t>
      </w:r>
    </w:p>
    <w:p w14:paraId="699A5597">
      <w:pPr>
        <w:spacing w:line="240" w:lineRule="auto"/>
        <w:ind w:left="0" w:leftChars="0" w:firstLine="0" w:firstLineChars="0"/>
        <w:rPr>
          <w:rFonts w:hint="eastAsia" w:ascii="仿宋" w:hAnsi="仿宋" w:eastAsia="仿宋"/>
          <w:color w:val="auto"/>
          <w:sz w:val="28"/>
          <w:szCs w:val="28"/>
          <w:highlight w:val="none"/>
        </w:rPr>
      </w:pPr>
      <w:r>
        <w:rPr>
          <w:rFonts w:hint="eastAsia" w:ascii="仿宋" w:hAnsi="仿宋" w:eastAsia="仿宋"/>
          <w:color w:val="auto"/>
        </w:rPr>
        <w:drawing>
          <wp:inline distT="0" distB="0" distL="114300" distR="114300">
            <wp:extent cx="5272405" cy="2906395"/>
            <wp:effectExtent l="0" t="0" r="635" b="444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41"/>
                    <a:stretch>
                      <a:fillRect/>
                    </a:stretch>
                  </pic:blipFill>
                  <pic:spPr>
                    <a:xfrm>
                      <a:off x="0" y="0"/>
                      <a:ext cx="5272405" cy="2906395"/>
                    </a:xfrm>
                    <a:prstGeom prst="rect">
                      <a:avLst/>
                    </a:prstGeom>
                    <a:noFill/>
                    <a:ln>
                      <a:noFill/>
                    </a:ln>
                  </pic:spPr>
                </pic:pic>
              </a:graphicData>
            </a:graphic>
          </wp:inline>
        </w:drawing>
      </w:r>
    </w:p>
    <w:p w14:paraId="1B4B282C">
      <w:pPr>
        <w:ind w:left="0" w:leftChars="0" w:firstLine="0" w:firstLineChars="0"/>
        <w:jc w:val="center"/>
        <w:rPr>
          <w:rFonts w:hint="eastAsia" w:ascii="仿宋" w:hAnsi="仿宋" w:eastAsia="仿宋"/>
          <w:b/>
          <w:bCs/>
          <w:color w:val="auto"/>
          <w:sz w:val="24"/>
          <w:szCs w:val="24"/>
          <w:highlight w:val="none"/>
          <w:lang w:val="en-US" w:eastAsia="zh-CN"/>
        </w:rPr>
      </w:pPr>
      <w:r>
        <w:rPr>
          <w:rFonts w:hint="eastAsia" w:ascii="仿宋" w:hAnsi="仿宋" w:eastAsia="仿宋"/>
          <w:b/>
          <w:bCs/>
          <w:color w:val="auto"/>
          <w:sz w:val="24"/>
          <w:szCs w:val="24"/>
          <w:highlight w:val="none"/>
          <w:lang w:val="en-US" w:eastAsia="zh-CN"/>
        </w:rPr>
        <w:t>图4-1项目交易结构图</w:t>
      </w:r>
    </w:p>
    <w:p w14:paraId="24F1417B">
      <w:pPr>
        <w:numPr>
          <w:ilvl w:val="0"/>
          <w:numId w:val="74"/>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特许经营者持股比例</w:t>
      </w:r>
    </w:p>
    <w:p w14:paraId="5BBFF1DC">
      <w:pPr>
        <w:bidi w:val="0"/>
        <w:rPr>
          <w:rFonts w:hint="eastAsia" w:ascii="仿宋" w:hAnsi="仿宋" w:eastAsia="仿宋"/>
          <w:color w:val="auto"/>
        </w:rPr>
      </w:pPr>
      <w:r>
        <w:rPr>
          <w:rFonts w:hint="eastAsia" w:ascii="仿宋" w:hAnsi="仿宋" w:eastAsia="仿宋"/>
          <w:color w:val="auto"/>
          <w:lang w:val="en-US" w:eastAsia="zh-CN"/>
        </w:rPr>
        <w:t>本项目为社会资本投资项目，如成立项目公司的，特许经营者需100%持股设立项目公司，自主承担项目设计、建设、投资、筹资、运营维护、移交等责任。</w:t>
      </w:r>
    </w:p>
    <w:p w14:paraId="625D57FE">
      <w:pPr>
        <w:numPr>
          <w:ilvl w:val="0"/>
          <w:numId w:val="74"/>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合同体系</w:t>
      </w:r>
    </w:p>
    <w:p w14:paraId="6194B7A1">
      <w:pPr>
        <w:bidi w:val="0"/>
        <w:rPr>
          <w:rFonts w:hint="eastAsia" w:ascii="仿宋" w:hAnsi="仿宋" w:eastAsia="仿宋"/>
          <w:color w:val="auto"/>
        </w:rPr>
      </w:pPr>
      <w:r>
        <w:rPr>
          <w:rFonts w:hint="eastAsia" w:ascii="仿宋" w:hAnsi="仿宋" w:eastAsia="仿宋"/>
          <w:color w:val="auto"/>
          <w:lang w:val="en-US" w:eastAsia="zh-CN"/>
        </w:rPr>
        <w:t>项目核心合同为《特许经营协议》（实施机构与特许经营者/项目公司签署），配套合同包括：</w:t>
      </w:r>
    </w:p>
    <w:p w14:paraId="2CB15D8F">
      <w:pPr>
        <w:bidi w:val="0"/>
        <w:rPr>
          <w:rFonts w:hint="eastAsia" w:ascii="仿宋" w:hAnsi="仿宋" w:eastAsia="仿宋"/>
          <w:color w:val="auto"/>
        </w:rPr>
      </w:pPr>
      <w:r>
        <w:rPr>
          <w:rFonts w:hint="eastAsia" w:ascii="仿宋" w:hAnsi="仿宋" w:eastAsia="仿宋"/>
          <w:color w:val="auto"/>
        </w:rPr>
        <w:t>建设类合同：特许经营者</w:t>
      </w:r>
      <w:r>
        <w:rPr>
          <w:rFonts w:hint="eastAsia" w:ascii="仿宋" w:hAnsi="仿宋" w:eastAsia="仿宋"/>
          <w:color w:val="auto"/>
          <w:lang w:val="en-US" w:eastAsia="zh-CN"/>
        </w:rPr>
        <w:t>或项目公司</w:t>
      </w:r>
      <w:r>
        <w:rPr>
          <w:rFonts w:hint="eastAsia" w:ascii="仿宋" w:hAnsi="仿宋" w:eastAsia="仿宋"/>
          <w:color w:val="auto"/>
        </w:rPr>
        <w:t>与施工、设备供应商签署的《建设工程施工合同》《设备采购合同》；</w:t>
      </w:r>
    </w:p>
    <w:p w14:paraId="36EBE8EA">
      <w:pPr>
        <w:bidi w:val="0"/>
        <w:rPr>
          <w:rFonts w:hint="eastAsia" w:ascii="仿宋" w:hAnsi="仿宋" w:eastAsia="仿宋"/>
          <w:color w:val="auto"/>
        </w:rPr>
      </w:pPr>
      <w:r>
        <w:rPr>
          <w:rFonts w:hint="eastAsia" w:ascii="仿宋" w:hAnsi="仿宋" w:eastAsia="仿宋"/>
          <w:color w:val="auto"/>
        </w:rPr>
        <w:t>运营类合同：特许经营者</w:t>
      </w:r>
      <w:r>
        <w:rPr>
          <w:rFonts w:hint="eastAsia" w:ascii="仿宋" w:hAnsi="仿宋" w:eastAsia="仿宋"/>
          <w:color w:val="auto"/>
          <w:lang w:val="en-US" w:eastAsia="zh-CN"/>
        </w:rPr>
        <w:t>或项目公司</w:t>
      </w:r>
      <w:r>
        <w:rPr>
          <w:rFonts w:hint="eastAsia" w:ascii="仿宋" w:hAnsi="仿宋" w:eastAsia="仿宋"/>
          <w:color w:val="auto"/>
        </w:rPr>
        <w:t>自主制定的服务协议（与停车使用者）；</w:t>
      </w:r>
    </w:p>
    <w:p w14:paraId="7E4E5A08">
      <w:pPr>
        <w:bidi w:val="0"/>
        <w:rPr>
          <w:rFonts w:hint="eastAsia" w:ascii="仿宋" w:hAnsi="仿宋" w:eastAsia="仿宋"/>
          <w:color w:val="auto"/>
        </w:rPr>
      </w:pPr>
      <w:r>
        <w:rPr>
          <w:rFonts w:hint="eastAsia" w:ascii="仿宋" w:hAnsi="仿宋" w:eastAsia="仿宋"/>
          <w:color w:val="auto"/>
        </w:rPr>
        <w:t>融资类合同（如有）：特许经营者</w:t>
      </w:r>
      <w:r>
        <w:rPr>
          <w:rFonts w:hint="eastAsia" w:ascii="仿宋" w:hAnsi="仿宋" w:eastAsia="仿宋"/>
          <w:color w:val="auto"/>
          <w:lang w:val="en-US" w:eastAsia="zh-CN"/>
        </w:rPr>
        <w:t>或项目公司</w:t>
      </w:r>
      <w:r>
        <w:rPr>
          <w:rFonts w:hint="eastAsia" w:ascii="仿宋" w:hAnsi="仿宋" w:eastAsia="仿宋"/>
          <w:color w:val="auto"/>
        </w:rPr>
        <w:t>与金融机构签署的《融资协议》。</w:t>
      </w:r>
    </w:p>
    <w:p w14:paraId="3F4C0158">
      <w:pPr>
        <w:numPr>
          <w:ilvl w:val="0"/>
          <w:numId w:val="74"/>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项目管理机构</w:t>
      </w:r>
    </w:p>
    <w:p w14:paraId="579A582E">
      <w:pPr>
        <w:bidi w:val="0"/>
        <w:rPr>
          <w:rFonts w:hint="eastAsia" w:ascii="仿宋" w:hAnsi="仿宋" w:eastAsia="仿宋"/>
          <w:color w:val="auto"/>
        </w:rPr>
      </w:pPr>
      <w:r>
        <w:rPr>
          <w:rFonts w:hint="eastAsia" w:ascii="仿宋" w:hAnsi="仿宋" w:eastAsia="仿宋"/>
          <w:color w:val="auto"/>
        </w:rPr>
        <w:t>决策层：实施机构（密云区</w:t>
      </w:r>
      <w:r>
        <w:rPr>
          <w:rFonts w:hint="eastAsia" w:ascii="仿宋" w:hAnsi="仿宋" w:eastAsia="仿宋"/>
          <w:color w:val="auto"/>
          <w:lang w:eastAsia="zh-CN"/>
        </w:rPr>
        <w:t>城管委</w:t>
      </w:r>
      <w:r>
        <w:rPr>
          <w:rFonts w:hint="eastAsia" w:ascii="仿宋" w:hAnsi="仿宋" w:eastAsia="仿宋"/>
          <w:color w:val="auto"/>
        </w:rPr>
        <w:t>）负责项目重大事项审批、政策协调；</w:t>
      </w:r>
    </w:p>
    <w:p w14:paraId="1FD142F4">
      <w:pPr>
        <w:bidi w:val="0"/>
        <w:rPr>
          <w:rFonts w:hint="eastAsia" w:ascii="仿宋" w:hAnsi="仿宋" w:eastAsia="仿宋"/>
          <w:color w:val="auto"/>
        </w:rPr>
      </w:pPr>
      <w:r>
        <w:rPr>
          <w:rFonts w:hint="eastAsia" w:ascii="仿宋" w:hAnsi="仿宋" w:eastAsia="仿宋"/>
          <w:color w:val="auto"/>
        </w:rPr>
        <w:t>执行层：特许经营者</w:t>
      </w:r>
      <w:r>
        <w:rPr>
          <w:rFonts w:hint="eastAsia" w:ascii="仿宋" w:hAnsi="仿宋" w:eastAsia="仿宋"/>
          <w:color w:val="auto"/>
          <w:lang w:val="en-US" w:eastAsia="zh-CN"/>
        </w:rPr>
        <w:t>或项目公司</w:t>
      </w:r>
      <w:r>
        <w:rPr>
          <w:rFonts w:hint="eastAsia" w:ascii="仿宋" w:hAnsi="仿宋" w:eastAsia="仿宋"/>
          <w:color w:val="auto"/>
        </w:rPr>
        <w:t>负责项目建设实施、运营管理、设备维护等日常工作；</w:t>
      </w:r>
    </w:p>
    <w:p w14:paraId="2601A79A">
      <w:pPr>
        <w:bidi w:val="0"/>
        <w:rPr>
          <w:rFonts w:hint="eastAsia" w:ascii="仿宋" w:hAnsi="仿宋" w:eastAsia="仿宋"/>
          <w:color w:val="auto"/>
        </w:rPr>
      </w:pPr>
      <w:r>
        <w:rPr>
          <w:rFonts w:hint="eastAsia" w:ascii="仿宋" w:hAnsi="仿宋" w:eastAsia="仿宋"/>
          <w:color w:val="auto"/>
        </w:rPr>
        <w:t>监管层：实施机构对项目建设质量、运营服务标准、收费合规性等进行全流程监管。</w:t>
      </w:r>
    </w:p>
    <w:p w14:paraId="7DF9A214">
      <w:pPr>
        <w:numPr>
          <w:ilvl w:val="0"/>
          <w:numId w:val="74"/>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资产形成与移交</w:t>
      </w:r>
    </w:p>
    <w:p w14:paraId="2ECE207E">
      <w:pPr>
        <w:bidi w:val="0"/>
        <w:rPr>
          <w:rFonts w:hint="eastAsia" w:ascii="仿宋" w:hAnsi="仿宋" w:eastAsia="仿宋"/>
          <w:color w:val="auto"/>
        </w:rPr>
      </w:pPr>
      <w:r>
        <w:rPr>
          <w:rFonts w:hint="eastAsia" w:ascii="仿宋" w:hAnsi="仿宋" w:eastAsia="仿宋"/>
          <w:color w:val="auto"/>
        </w:rPr>
        <w:t>资产形成：特许经营者</w:t>
      </w:r>
      <w:r>
        <w:rPr>
          <w:rFonts w:hint="eastAsia" w:ascii="仿宋" w:hAnsi="仿宋" w:eastAsia="仿宋"/>
          <w:color w:val="auto"/>
          <w:lang w:val="en-US" w:eastAsia="zh-CN"/>
        </w:rPr>
        <w:t>或项目公司</w:t>
      </w:r>
      <w:r>
        <w:rPr>
          <w:rFonts w:hint="eastAsia" w:ascii="仿宋" w:hAnsi="仿宋" w:eastAsia="仿宋"/>
          <w:color w:val="auto"/>
        </w:rPr>
        <w:t>负责项目建设、设备采购，形成的项目资产（地下停车场及配套设施）在特许经营期内由特许经营者</w:t>
      </w:r>
      <w:r>
        <w:rPr>
          <w:rFonts w:hint="eastAsia" w:ascii="仿宋" w:hAnsi="仿宋" w:eastAsia="仿宋"/>
          <w:color w:val="auto"/>
          <w:lang w:val="en-US" w:eastAsia="zh-CN"/>
        </w:rPr>
        <w:t>或项目公司</w:t>
      </w:r>
      <w:r>
        <w:rPr>
          <w:rFonts w:hint="eastAsia" w:ascii="仿宋" w:hAnsi="仿宋" w:eastAsia="仿宋"/>
          <w:color w:val="auto"/>
        </w:rPr>
        <w:t>占有、使用；</w:t>
      </w:r>
    </w:p>
    <w:p w14:paraId="540680E3">
      <w:pPr>
        <w:bidi w:val="0"/>
        <w:rPr>
          <w:rFonts w:hint="eastAsia" w:ascii="仿宋" w:hAnsi="仿宋" w:eastAsia="仿宋"/>
          <w:color w:val="auto"/>
        </w:rPr>
      </w:pPr>
      <w:r>
        <w:rPr>
          <w:rFonts w:hint="eastAsia" w:ascii="仿宋" w:hAnsi="仿宋" w:eastAsia="仿宋"/>
          <w:color w:val="auto"/>
        </w:rPr>
        <w:t>资产移交：特许经营期届满后，特许经营者</w:t>
      </w:r>
      <w:r>
        <w:rPr>
          <w:rFonts w:hint="eastAsia" w:ascii="仿宋" w:hAnsi="仿宋" w:eastAsia="仿宋"/>
          <w:color w:val="auto"/>
          <w:lang w:val="en-US" w:eastAsia="zh-CN"/>
        </w:rPr>
        <w:t>或项目公司</w:t>
      </w:r>
      <w:r>
        <w:rPr>
          <w:rFonts w:hint="eastAsia" w:ascii="仿宋" w:hAnsi="仿宋" w:eastAsia="仿宋"/>
          <w:color w:val="auto"/>
        </w:rPr>
        <w:t>需将项目资产无偿、完好移交给密云区</w:t>
      </w:r>
      <w:r>
        <w:rPr>
          <w:rFonts w:hint="eastAsia" w:ascii="仿宋" w:hAnsi="仿宋" w:eastAsia="仿宋"/>
          <w:color w:val="auto"/>
          <w:lang w:val="en-US" w:eastAsia="zh-CN"/>
        </w:rPr>
        <w:t>城管委</w:t>
      </w:r>
      <w:r>
        <w:rPr>
          <w:rFonts w:hint="eastAsia" w:ascii="仿宋" w:hAnsi="仿宋" w:eastAsia="仿宋"/>
          <w:color w:val="auto"/>
        </w:rPr>
        <w:t>，移交时需满足协议约定的技术标准、设施完好率及资料完整性要求。</w:t>
      </w:r>
    </w:p>
    <w:p w14:paraId="08FDFFD3">
      <w:pPr>
        <w:numPr>
          <w:ilvl w:val="0"/>
          <w:numId w:val="74"/>
        </w:numPr>
        <w:bidi w:val="0"/>
        <w:ind w:firstLine="560"/>
        <w:rPr>
          <w:rFonts w:hint="eastAsia" w:ascii="仿宋" w:hAnsi="仿宋" w:eastAsia="仿宋"/>
          <w:color w:val="auto"/>
          <w:lang w:val="en-US" w:eastAsia="zh-CN"/>
        </w:rPr>
      </w:pPr>
      <w:r>
        <w:rPr>
          <w:rFonts w:hint="eastAsia" w:ascii="仿宋" w:hAnsi="仿宋" w:eastAsia="仿宋"/>
          <w:color w:val="auto"/>
          <w:lang w:val="en-US" w:eastAsia="zh-CN"/>
        </w:rPr>
        <w:t>实施机构职责</w:t>
      </w:r>
    </w:p>
    <w:p w14:paraId="166C7822">
      <w:pPr>
        <w:bidi w:val="0"/>
        <w:rPr>
          <w:rFonts w:hint="eastAsia" w:ascii="仿宋" w:hAnsi="仿宋" w:eastAsia="仿宋"/>
          <w:color w:val="auto"/>
        </w:rPr>
      </w:pPr>
      <w:r>
        <w:rPr>
          <w:rFonts w:hint="eastAsia" w:ascii="仿宋" w:hAnsi="仿宋" w:eastAsia="仿宋"/>
          <w:color w:val="auto"/>
        </w:rPr>
        <w:t>实施机构责任（密云区</w:t>
      </w:r>
      <w:r>
        <w:rPr>
          <w:rFonts w:hint="eastAsia" w:ascii="仿宋" w:hAnsi="仿宋" w:eastAsia="仿宋"/>
          <w:color w:val="auto"/>
          <w:lang w:eastAsia="zh-CN"/>
        </w:rPr>
        <w:t>城管委</w:t>
      </w:r>
      <w:r>
        <w:rPr>
          <w:rFonts w:hint="eastAsia" w:ascii="仿宋" w:hAnsi="仿宋" w:eastAsia="仿宋"/>
          <w:color w:val="auto"/>
        </w:rPr>
        <w:t>）：负责项目前期审批协调</w:t>
      </w:r>
      <w:r>
        <w:rPr>
          <w:rFonts w:hint="eastAsia" w:ascii="仿宋" w:hAnsi="仿宋" w:eastAsia="仿宋"/>
          <w:color w:val="auto"/>
          <w:lang w:eastAsia="zh-CN"/>
        </w:rPr>
        <w:t>、</w:t>
      </w:r>
      <w:r>
        <w:rPr>
          <w:rFonts w:hint="eastAsia" w:ascii="仿宋" w:hAnsi="仿宋" w:eastAsia="仿宋"/>
          <w:color w:val="auto"/>
          <w:lang w:val="en-US" w:eastAsia="zh-CN"/>
        </w:rPr>
        <w:t>负责组织编制特许经营方案</w:t>
      </w:r>
      <w:r>
        <w:rPr>
          <w:rFonts w:hint="eastAsia" w:ascii="仿宋" w:hAnsi="仿宋" w:eastAsia="仿宋"/>
          <w:color w:val="auto"/>
        </w:rPr>
        <w:t>、特许经营者招标、</w:t>
      </w:r>
      <w:r>
        <w:rPr>
          <w:rFonts w:hint="eastAsia" w:ascii="仿宋" w:hAnsi="仿宋" w:eastAsia="仿宋"/>
          <w:color w:val="auto"/>
          <w:lang w:val="en-US" w:eastAsia="zh-CN"/>
        </w:rPr>
        <w:t>特许经营</w:t>
      </w:r>
      <w:r>
        <w:rPr>
          <w:rFonts w:hint="eastAsia" w:ascii="仿宋" w:hAnsi="仿宋" w:eastAsia="仿宋"/>
          <w:color w:val="auto"/>
        </w:rPr>
        <w:t>协议签署、建设/运营过程监管、绩效考核、移交验收等全流程工作；</w:t>
      </w:r>
    </w:p>
    <w:p w14:paraId="62793D3E">
      <w:pPr>
        <w:bidi w:val="0"/>
        <w:rPr>
          <w:rFonts w:hint="eastAsia" w:ascii="仿宋" w:hAnsi="仿宋" w:eastAsia="仿宋"/>
          <w:color w:val="auto"/>
          <w:highlight w:val="none"/>
        </w:rPr>
      </w:pPr>
      <w:r>
        <w:rPr>
          <w:rFonts w:hint="eastAsia" w:ascii="仿宋" w:hAnsi="仿宋" w:eastAsia="仿宋"/>
          <w:color w:val="auto"/>
          <w:highlight w:val="none"/>
          <w:lang w:val="en-US" w:eastAsia="zh-CN"/>
        </w:rPr>
        <w:t>本项目</w:t>
      </w:r>
      <w:r>
        <w:rPr>
          <w:rFonts w:hint="eastAsia" w:ascii="仿宋" w:hAnsi="仿宋" w:eastAsia="仿宋"/>
          <w:color w:val="auto"/>
          <w:highlight w:val="none"/>
        </w:rPr>
        <w:t>无政府方出资人代表：政府不参与项目公司持股，仅承担监管与政策支持责任。</w:t>
      </w:r>
    </w:p>
    <w:p w14:paraId="129C8D1E">
      <w:pPr>
        <w:numPr>
          <w:ilvl w:val="0"/>
          <w:numId w:val="74"/>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股权限制</w:t>
      </w:r>
    </w:p>
    <w:p w14:paraId="5F9E99E1">
      <w:pPr>
        <w:bidi w:val="0"/>
        <w:rPr>
          <w:rFonts w:hint="eastAsia" w:ascii="仿宋" w:hAnsi="仿宋" w:eastAsia="仿宋"/>
          <w:color w:val="auto"/>
          <w:highlight w:val="none"/>
          <w:lang w:val="en-US" w:eastAsia="zh-CN"/>
        </w:rPr>
      </w:pPr>
      <w:r>
        <w:rPr>
          <w:rFonts w:hint="eastAsia" w:ascii="仿宋" w:hAnsi="仿宋" w:eastAsia="仿宋"/>
          <w:color w:val="auto"/>
          <w:lang w:val="en-US" w:eastAsia="zh-CN"/>
        </w:rPr>
        <w:t>正常运营情形下，特许经营协议中应明确载明除为本项目融资之目的并经密云区政府事先书面许可，项目有关资产不得设置质押、抵</w:t>
      </w:r>
      <w:r>
        <w:rPr>
          <w:rFonts w:hint="eastAsia" w:ascii="仿宋" w:hAnsi="仿宋" w:eastAsia="仿宋"/>
          <w:color w:val="auto"/>
          <w:highlight w:val="none"/>
          <w:lang w:val="en-US" w:eastAsia="zh-CN"/>
        </w:rPr>
        <w:t>押或任何其他担保权益。社会资本方成立项目公司的，原则上特许经营者自特许经营协议签订之日起18个月内，不得转让项目公司股权；在建设期内，投资人不可通过股权转让实现退出；18个月后（如建设期超过18个月，则建设期后），特许经营者如要进行股东变更或者转让其全部或部分股权，应当经密云区人民政府书面同意批准。特许经营期内，特许经营者如出现股权的被动转移或特许经营者的母公司破产等现象，政府不承担特许经营者债权人的相关追偿责任，不免除特许经营者在特许经营协议中约定的相关义务和责任。</w:t>
      </w:r>
    </w:p>
    <w:p w14:paraId="5B63552F">
      <w:pPr>
        <w:pStyle w:val="4"/>
        <w:ind w:left="720" w:hanging="720"/>
        <w:rPr>
          <w:rFonts w:hint="eastAsia" w:ascii="仿宋" w:hAnsi="仿宋" w:eastAsia="仿宋"/>
          <w:color w:val="auto"/>
          <w:highlight w:val="none"/>
          <w:lang w:val="en-US" w:eastAsia="zh-CN"/>
        </w:rPr>
      </w:pPr>
      <w:bookmarkStart w:id="210" w:name="_Toc107258323"/>
      <w:bookmarkStart w:id="211" w:name="_Toc32630"/>
      <w:bookmarkStart w:id="212" w:name="_Toc17933"/>
      <w:bookmarkStart w:id="213" w:name="_Toc8683"/>
      <w:bookmarkStart w:id="214" w:name="_Toc16639"/>
      <w:bookmarkStart w:id="215" w:name="_Toc24320"/>
      <w:bookmarkStart w:id="216" w:name="_Toc24526"/>
      <w:bookmarkStart w:id="217" w:name="_Toc20060"/>
      <w:bookmarkStart w:id="218" w:name="_Toc11427"/>
      <w:bookmarkStart w:id="219" w:name="_Toc492734456"/>
      <w:r>
        <w:rPr>
          <w:rFonts w:hint="eastAsia" w:ascii="仿宋" w:hAnsi="仿宋" w:eastAsia="仿宋"/>
          <w:color w:val="auto"/>
          <w:highlight w:val="none"/>
          <w:lang w:val="en-US" w:eastAsia="zh-CN"/>
        </w:rPr>
        <w:t>投融资结构</w:t>
      </w:r>
      <w:bookmarkEnd w:id="210"/>
      <w:bookmarkEnd w:id="211"/>
      <w:bookmarkEnd w:id="212"/>
      <w:bookmarkEnd w:id="213"/>
      <w:bookmarkEnd w:id="214"/>
      <w:bookmarkEnd w:id="215"/>
      <w:bookmarkEnd w:id="216"/>
      <w:bookmarkEnd w:id="217"/>
      <w:bookmarkEnd w:id="218"/>
      <w:bookmarkEnd w:id="219"/>
    </w:p>
    <w:p w14:paraId="56C04DB0">
      <w:pPr>
        <w:numPr>
          <w:ilvl w:val="0"/>
          <w:numId w:val="75"/>
        </w:numPr>
        <w:bidi w:val="0"/>
        <w:ind w:left="0" w:leftChars="0" w:firstLine="560" w:firstLineChars="200"/>
        <w:rPr>
          <w:rFonts w:hint="eastAsia" w:ascii="仿宋" w:hAnsi="仿宋" w:eastAsia="仿宋"/>
          <w:color w:val="auto"/>
          <w:highlight w:val="none"/>
        </w:rPr>
      </w:pPr>
      <w:bookmarkStart w:id="220" w:name="_Toc20865"/>
      <w:bookmarkStart w:id="221" w:name="_Toc756231431"/>
      <w:bookmarkStart w:id="222" w:name="_Toc920571215"/>
      <w:r>
        <w:rPr>
          <w:rFonts w:hint="eastAsia" w:ascii="仿宋" w:hAnsi="仿宋" w:eastAsia="仿宋"/>
          <w:color w:val="auto"/>
          <w:highlight w:val="none"/>
        </w:rPr>
        <w:t>投融资结构体系</w:t>
      </w:r>
      <w:bookmarkEnd w:id="220"/>
      <w:bookmarkEnd w:id="221"/>
      <w:bookmarkEnd w:id="222"/>
    </w:p>
    <w:p w14:paraId="0A7C30FA">
      <w:pPr>
        <w:bidi w:val="0"/>
        <w:ind w:firstLine="560"/>
        <w:rPr>
          <w:rFonts w:hint="eastAsia" w:ascii="仿宋" w:hAnsi="仿宋" w:eastAsia="仿宋"/>
          <w:color w:val="auto"/>
        </w:rPr>
      </w:pPr>
      <w:r>
        <w:rPr>
          <w:rFonts w:hint="eastAsia" w:ascii="仿宋" w:hAnsi="仿宋" w:eastAsia="仿宋"/>
          <w:color w:val="auto"/>
          <w:highlight w:val="none"/>
        </w:rPr>
        <w:t>由</w:t>
      </w:r>
      <w:r>
        <w:rPr>
          <w:rFonts w:hint="eastAsia" w:ascii="仿宋" w:hAnsi="仿宋" w:eastAsia="仿宋"/>
          <w:color w:val="auto"/>
          <w:highlight w:val="none"/>
          <w:lang w:val="en-US" w:eastAsia="zh-CN"/>
        </w:rPr>
        <w:t>特许经营者自行进行项目所需投资资金、运营资金的筹措，并在特许经营协议中约定的时间内完成项目投资，如成立项目公司的，项目公司注册资本为1675万元，由社会资本100%出资持股，政府方</w:t>
      </w:r>
      <w:r>
        <w:rPr>
          <w:rFonts w:hint="eastAsia" w:ascii="仿宋" w:hAnsi="仿宋" w:eastAsia="仿宋"/>
          <w:color w:val="auto"/>
          <w:lang w:val="en-US" w:eastAsia="zh-CN"/>
        </w:rPr>
        <w:t>除申请的政府投资补助全部用于建设期补助外，政府在全生命周期中不承担额外支出责任。政府方不以任何方式承诺回购社会资本的投资本金，不以任何方式承担社会资本的投资本金损失，</w:t>
      </w:r>
      <w:r>
        <w:rPr>
          <w:rFonts w:hint="eastAsia" w:ascii="仿宋" w:hAnsi="仿宋" w:eastAsia="仿宋"/>
          <w:color w:val="auto"/>
          <w:shd w:val="clear"/>
          <w:lang w:val="en-US" w:eastAsia="zh-CN"/>
        </w:rPr>
        <w:t>不以任何方式向社会资本承诺最低收益保障或提供收益差额补足</w:t>
      </w:r>
      <w:r>
        <w:rPr>
          <w:rFonts w:hint="eastAsia" w:ascii="仿宋" w:hAnsi="仿宋" w:eastAsia="仿宋"/>
          <w:color w:val="auto"/>
          <w:lang w:val="en-US" w:eastAsia="zh-CN"/>
        </w:rPr>
        <w:t>；</w:t>
      </w:r>
      <w:r>
        <w:rPr>
          <w:rFonts w:hint="eastAsia" w:ascii="仿宋" w:hAnsi="仿宋" w:eastAsia="仿宋"/>
          <w:color w:val="auto"/>
          <w:lang w:eastAsia="zh-CN"/>
        </w:rPr>
        <w:t>特许经营</w:t>
      </w:r>
      <w:r>
        <w:rPr>
          <w:rFonts w:hint="eastAsia" w:ascii="仿宋" w:hAnsi="仿宋" w:eastAsia="仿宋"/>
          <w:color w:val="auto"/>
          <w:lang w:val="en-US" w:eastAsia="zh-CN"/>
        </w:rPr>
        <w:t>者可根据需要自行</w:t>
      </w:r>
      <w:r>
        <w:rPr>
          <w:rFonts w:hint="eastAsia" w:ascii="仿宋" w:hAnsi="仿宋" w:eastAsia="仿宋"/>
          <w:color w:val="auto"/>
        </w:rPr>
        <w:t>融资</w:t>
      </w:r>
      <w:r>
        <w:rPr>
          <w:rFonts w:hint="eastAsia" w:ascii="仿宋" w:hAnsi="仿宋" w:eastAsia="仿宋"/>
          <w:color w:val="auto"/>
          <w:lang w:eastAsia="zh-CN"/>
        </w:rPr>
        <w:t>，</w:t>
      </w:r>
      <w:r>
        <w:rPr>
          <w:rFonts w:hint="eastAsia" w:ascii="仿宋" w:hAnsi="仿宋" w:eastAsia="仿宋"/>
          <w:color w:val="auto"/>
          <w:lang w:val="en-US" w:eastAsia="zh-CN"/>
        </w:rPr>
        <w:t>政府方不参与项目融资，且不提供相关担保支持</w:t>
      </w:r>
      <w:r>
        <w:rPr>
          <w:rFonts w:hint="eastAsia" w:ascii="仿宋" w:hAnsi="仿宋" w:eastAsia="仿宋"/>
          <w:color w:val="auto"/>
        </w:rPr>
        <w:t>。</w:t>
      </w:r>
    </w:p>
    <w:p w14:paraId="469DBB90">
      <w:pPr>
        <w:numPr>
          <w:ilvl w:val="0"/>
          <w:numId w:val="75"/>
        </w:numPr>
        <w:bidi w:val="0"/>
        <w:ind w:left="0" w:leftChars="0" w:firstLine="560" w:firstLineChars="200"/>
        <w:rPr>
          <w:rFonts w:hint="eastAsia" w:ascii="仿宋" w:hAnsi="仿宋" w:eastAsia="仿宋"/>
          <w:color w:val="auto"/>
        </w:rPr>
      </w:pPr>
      <w:bookmarkStart w:id="223" w:name="_Toc1173437871"/>
      <w:bookmarkStart w:id="224" w:name="_Toc3192"/>
      <w:bookmarkStart w:id="225" w:name="_Toc1568217517"/>
      <w:r>
        <w:rPr>
          <w:rFonts w:hint="eastAsia" w:ascii="仿宋" w:hAnsi="仿宋" w:eastAsia="仿宋"/>
          <w:color w:val="auto"/>
        </w:rPr>
        <w:t>项目固定资产的形成和转移</w:t>
      </w:r>
      <w:bookmarkEnd w:id="223"/>
      <w:bookmarkEnd w:id="224"/>
      <w:bookmarkEnd w:id="225"/>
    </w:p>
    <w:p w14:paraId="7B434C01">
      <w:pPr>
        <w:bidi w:val="0"/>
        <w:rPr>
          <w:rFonts w:hint="eastAsia" w:ascii="仿宋" w:hAnsi="仿宋" w:eastAsia="仿宋"/>
          <w:color w:val="auto"/>
        </w:rPr>
      </w:pPr>
      <w:r>
        <w:rPr>
          <w:rFonts w:hint="eastAsia" w:ascii="仿宋" w:hAnsi="仿宋" w:eastAsia="仿宋"/>
          <w:color w:val="auto"/>
        </w:rPr>
        <w:t>（1）项目固定资产的形成</w:t>
      </w:r>
    </w:p>
    <w:p w14:paraId="4E04FC23">
      <w:pPr>
        <w:bidi w:val="0"/>
        <w:rPr>
          <w:rFonts w:hint="eastAsia" w:ascii="仿宋" w:hAnsi="仿宋" w:eastAsia="仿宋"/>
          <w:color w:val="auto"/>
        </w:rPr>
      </w:pPr>
      <w:r>
        <w:rPr>
          <w:rFonts w:hint="eastAsia" w:ascii="仿宋" w:hAnsi="仿宋" w:eastAsia="仿宋"/>
          <w:color w:val="auto"/>
        </w:rPr>
        <w:t>项目投资建设完成且验收合格的</w:t>
      </w:r>
      <w:r>
        <w:rPr>
          <w:rFonts w:hint="eastAsia" w:ascii="仿宋" w:hAnsi="仿宋" w:eastAsia="仿宋"/>
          <w:color w:val="auto"/>
          <w:lang w:val="en-US" w:eastAsia="zh-CN"/>
        </w:rPr>
        <w:t>工程和</w:t>
      </w:r>
      <w:r>
        <w:rPr>
          <w:rFonts w:hint="eastAsia" w:ascii="仿宋" w:hAnsi="仿宋" w:eastAsia="仿宋"/>
          <w:color w:val="auto"/>
        </w:rPr>
        <w:t>设备（设施），</w:t>
      </w:r>
      <w:r>
        <w:rPr>
          <w:rFonts w:hint="eastAsia" w:ascii="仿宋" w:hAnsi="仿宋" w:eastAsia="仿宋"/>
          <w:color w:val="auto"/>
          <w:lang w:val="en-US" w:eastAsia="zh-CN"/>
        </w:rPr>
        <w:t>经</w:t>
      </w:r>
      <w:r>
        <w:rPr>
          <w:rFonts w:hint="eastAsia" w:ascii="仿宋" w:hAnsi="仿宋" w:eastAsia="仿宋"/>
          <w:color w:val="auto"/>
        </w:rPr>
        <w:t>审计完成后形成固定资产投资。</w:t>
      </w:r>
    </w:p>
    <w:p w14:paraId="77AD579F">
      <w:pPr>
        <w:bidi w:val="0"/>
        <w:rPr>
          <w:rFonts w:hint="eastAsia" w:ascii="仿宋" w:hAnsi="仿宋" w:eastAsia="仿宋"/>
          <w:color w:val="auto"/>
        </w:rPr>
      </w:pPr>
      <w:r>
        <w:rPr>
          <w:rFonts w:hint="eastAsia" w:ascii="仿宋" w:hAnsi="仿宋" w:eastAsia="仿宋"/>
          <w:color w:val="auto"/>
        </w:rPr>
        <w:t>（2）项目固定资产归属</w:t>
      </w:r>
    </w:p>
    <w:p w14:paraId="2AFA21A8">
      <w:pPr>
        <w:bidi w:val="0"/>
        <w:rPr>
          <w:rFonts w:hint="eastAsia" w:ascii="仿宋" w:hAnsi="仿宋" w:eastAsia="仿宋"/>
          <w:color w:val="auto"/>
          <w:highlight w:val="none"/>
        </w:rPr>
      </w:pPr>
      <w:r>
        <w:rPr>
          <w:rFonts w:hint="eastAsia" w:ascii="仿宋" w:hAnsi="仿宋" w:eastAsia="仿宋"/>
          <w:color w:val="auto"/>
          <w:highlight w:val="none"/>
        </w:rPr>
        <w:t>项目合作期内，</w:t>
      </w:r>
      <w:r>
        <w:rPr>
          <w:rFonts w:hint="eastAsia" w:ascii="仿宋" w:hAnsi="仿宋" w:eastAsia="仿宋"/>
          <w:color w:val="auto"/>
          <w:highlight w:val="none"/>
          <w:lang w:val="en-US" w:eastAsia="zh-CN"/>
        </w:rPr>
        <w:t>项目固定资产和相关设施设备的</w:t>
      </w:r>
      <w:r>
        <w:rPr>
          <w:rFonts w:hint="eastAsia" w:ascii="仿宋" w:hAnsi="仿宋" w:eastAsia="仿宋"/>
          <w:color w:val="auto"/>
          <w:highlight w:val="none"/>
        </w:rPr>
        <w:t>所有权归</w:t>
      </w:r>
      <w:r>
        <w:rPr>
          <w:rFonts w:hint="eastAsia" w:ascii="仿宋" w:hAnsi="仿宋" w:eastAsia="仿宋"/>
          <w:color w:val="auto"/>
          <w:lang w:eastAsia="zh-CN"/>
        </w:rPr>
        <w:t>特许经营者</w:t>
      </w:r>
      <w:r>
        <w:rPr>
          <w:rFonts w:hint="eastAsia" w:ascii="仿宋" w:hAnsi="仿宋" w:eastAsia="仿宋"/>
          <w:color w:val="auto"/>
          <w:highlight w:val="none"/>
          <w:lang w:val="en-US" w:eastAsia="zh-CN"/>
        </w:rPr>
        <w:t>或项目公司所有</w:t>
      </w:r>
      <w:r>
        <w:rPr>
          <w:rFonts w:hint="eastAsia" w:ascii="仿宋" w:hAnsi="仿宋" w:eastAsia="仿宋"/>
          <w:color w:val="auto"/>
          <w:highlight w:val="none"/>
        </w:rPr>
        <w:t>。</w:t>
      </w:r>
    </w:p>
    <w:p w14:paraId="00C62435">
      <w:pPr>
        <w:bidi w:val="0"/>
        <w:rPr>
          <w:rFonts w:hint="eastAsia" w:ascii="仿宋" w:hAnsi="仿宋" w:eastAsia="仿宋"/>
          <w:color w:val="auto"/>
        </w:rPr>
      </w:pPr>
      <w:bookmarkStart w:id="226" w:name="_Toc492734457"/>
      <w:r>
        <w:rPr>
          <w:rFonts w:hint="eastAsia" w:ascii="仿宋" w:hAnsi="仿宋" w:eastAsia="仿宋"/>
          <w:color w:val="auto"/>
        </w:rPr>
        <w:t>（3）项目固定资产的转移</w:t>
      </w:r>
    </w:p>
    <w:p w14:paraId="20045559">
      <w:pPr>
        <w:bidi w:val="0"/>
        <w:rPr>
          <w:rFonts w:hint="eastAsia" w:ascii="仿宋" w:hAnsi="仿宋" w:eastAsia="仿宋"/>
          <w:color w:val="auto"/>
        </w:rPr>
      </w:pPr>
      <w:r>
        <w:rPr>
          <w:rFonts w:hint="eastAsia" w:ascii="仿宋" w:hAnsi="仿宋" w:eastAsia="仿宋"/>
          <w:color w:val="auto"/>
        </w:rPr>
        <w:t>运营期</w:t>
      </w:r>
      <w:r>
        <w:rPr>
          <w:rFonts w:hint="eastAsia" w:ascii="仿宋" w:hAnsi="仿宋" w:eastAsia="仿宋"/>
          <w:color w:val="auto"/>
          <w:lang w:eastAsia="zh-CN"/>
        </w:rPr>
        <w:t>满后</w:t>
      </w:r>
      <w:r>
        <w:rPr>
          <w:rFonts w:hint="eastAsia" w:ascii="仿宋" w:hAnsi="仿宋" w:eastAsia="仿宋"/>
          <w:color w:val="auto"/>
        </w:rPr>
        <w:t>，</w:t>
      </w:r>
      <w:r>
        <w:rPr>
          <w:rFonts w:hint="eastAsia" w:ascii="仿宋" w:hAnsi="仿宋" w:eastAsia="仿宋"/>
          <w:color w:val="auto"/>
          <w:lang w:eastAsia="zh-CN"/>
        </w:rPr>
        <w:t>特许经营者</w:t>
      </w:r>
      <w:r>
        <w:rPr>
          <w:rFonts w:hint="eastAsia" w:ascii="仿宋" w:hAnsi="仿宋" w:eastAsia="仿宋"/>
          <w:color w:val="auto"/>
        </w:rPr>
        <w:t>将为本项目建设的各类设备、设施等无偿移交给</w:t>
      </w:r>
      <w:r>
        <w:rPr>
          <w:rFonts w:hint="eastAsia" w:ascii="仿宋" w:hAnsi="仿宋" w:eastAsia="仿宋"/>
          <w:color w:val="auto"/>
          <w:lang w:val="en-US" w:eastAsia="zh-CN"/>
        </w:rPr>
        <w:t>实施机构</w:t>
      </w:r>
      <w:r>
        <w:rPr>
          <w:rFonts w:hint="eastAsia" w:ascii="仿宋" w:hAnsi="仿宋" w:eastAsia="仿宋"/>
          <w:color w:val="auto"/>
        </w:rPr>
        <w:t>或</w:t>
      </w:r>
      <w:r>
        <w:rPr>
          <w:rFonts w:hint="eastAsia" w:ascii="仿宋" w:hAnsi="仿宋" w:eastAsia="仿宋"/>
          <w:color w:val="auto"/>
          <w:lang w:val="en-US" w:eastAsia="zh-CN"/>
        </w:rPr>
        <w:t>密云区政府</w:t>
      </w:r>
      <w:r>
        <w:rPr>
          <w:rFonts w:hint="eastAsia" w:ascii="仿宋" w:hAnsi="仿宋" w:eastAsia="仿宋"/>
          <w:color w:val="auto"/>
        </w:rPr>
        <w:t>指定的相关部门</w:t>
      </w:r>
      <w:r>
        <w:rPr>
          <w:rFonts w:hint="eastAsia" w:ascii="仿宋" w:hAnsi="仿宋" w:eastAsia="仿宋"/>
          <w:color w:val="auto"/>
          <w:lang w:val="en-US" w:eastAsia="zh-CN"/>
        </w:rPr>
        <w:t>或单位</w:t>
      </w:r>
      <w:r>
        <w:rPr>
          <w:rFonts w:hint="eastAsia" w:ascii="仿宋" w:hAnsi="仿宋" w:eastAsia="仿宋"/>
          <w:color w:val="auto"/>
        </w:rPr>
        <w:t>。未来如政府计划将更多公共资源纳入本项目经营范围，则由政府授权后与</w:t>
      </w:r>
      <w:r>
        <w:rPr>
          <w:rFonts w:hint="eastAsia" w:ascii="仿宋" w:hAnsi="仿宋" w:eastAsia="仿宋"/>
          <w:color w:val="auto"/>
          <w:lang w:eastAsia="zh-CN"/>
        </w:rPr>
        <w:t>特许经营者</w:t>
      </w:r>
      <w:r>
        <w:rPr>
          <w:rFonts w:hint="eastAsia" w:ascii="仿宋" w:hAnsi="仿宋" w:eastAsia="仿宋"/>
          <w:color w:val="auto"/>
        </w:rPr>
        <w:t>另行协商。</w:t>
      </w:r>
    </w:p>
    <w:bookmarkEnd w:id="226"/>
    <w:p w14:paraId="6EB186E2">
      <w:pPr>
        <w:numPr>
          <w:ilvl w:val="0"/>
          <w:numId w:val="75"/>
        </w:numPr>
        <w:bidi w:val="0"/>
        <w:ind w:left="0" w:leftChars="0" w:firstLine="560" w:firstLineChars="200"/>
        <w:rPr>
          <w:rFonts w:hint="eastAsia" w:ascii="仿宋" w:hAnsi="仿宋" w:eastAsia="仿宋"/>
          <w:color w:val="auto"/>
          <w:lang w:val="en-US" w:eastAsia="zh-CN"/>
        </w:rPr>
      </w:pPr>
      <w:bookmarkStart w:id="227" w:name="_Toc20833"/>
      <w:bookmarkStart w:id="228" w:name="_Toc21568"/>
      <w:bookmarkStart w:id="229" w:name="_Toc29157"/>
      <w:bookmarkStart w:id="230" w:name="_Toc19467"/>
      <w:bookmarkStart w:id="231" w:name="_Toc5503"/>
      <w:bookmarkStart w:id="232" w:name="_Toc18841"/>
      <w:bookmarkStart w:id="233" w:name="_Toc107258324"/>
      <w:r>
        <w:rPr>
          <w:rFonts w:hint="eastAsia" w:ascii="仿宋" w:hAnsi="仿宋" w:eastAsia="仿宋"/>
          <w:color w:val="auto"/>
          <w:lang w:val="en-US" w:eastAsia="zh-CN"/>
        </w:rPr>
        <w:t>项目回报机制</w:t>
      </w:r>
      <w:bookmarkEnd w:id="227"/>
      <w:bookmarkEnd w:id="228"/>
      <w:bookmarkEnd w:id="229"/>
      <w:bookmarkEnd w:id="230"/>
      <w:bookmarkEnd w:id="231"/>
      <w:bookmarkEnd w:id="232"/>
      <w:bookmarkEnd w:id="233"/>
    </w:p>
    <w:p w14:paraId="18493611">
      <w:pPr>
        <w:bidi w:val="0"/>
        <w:rPr>
          <w:rFonts w:hint="eastAsia" w:ascii="仿宋" w:hAnsi="仿宋" w:eastAsia="仿宋"/>
          <w:color w:val="auto"/>
        </w:rPr>
      </w:pPr>
      <w:r>
        <w:rPr>
          <w:rFonts w:hint="eastAsia" w:ascii="仿宋" w:hAnsi="仿宋" w:eastAsia="仿宋"/>
          <w:color w:val="auto"/>
        </w:rPr>
        <w:t>本项目</w:t>
      </w:r>
      <w:r>
        <w:rPr>
          <w:rFonts w:hint="eastAsia" w:ascii="仿宋" w:hAnsi="仿宋" w:eastAsia="仿宋"/>
          <w:color w:val="auto"/>
          <w:lang w:val="en-US" w:eastAsia="zh-CN"/>
        </w:rPr>
        <w:t>属于</w:t>
      </w:r>
      <w:r>
        <w:rPr>
          <w:rFonts w:hint="eastAsia" w:ascii="仿宋" w:hAnsi="仿宋" w:eastAsia="仿宋"/>
          <w:color w:val="auto"/>
        </w:rPr>
        <w:t>公共停车资源经营管理</w:t>
      </w:r>
      <w:r>
        <w:rPr>
          <w:rFonts w:hint="eastAsia" w:ascii="仿宋" w:hAnsi="仿宋" w:eastAsia="仿宋"/>
          <w:color w:val="auto"/>
          <w:lang w:val="en-US" w:eastAsia="zh-CN"/>
        </w:rPr>
        <w:t>项目</w:t>
      </w:r>
      <w:r>
        <w:rPr>
          <w:rFonts w:hint="eastAsia" w:ascii="仿宋" w:hAnsi="仿宋" w:eastAsia="仿宋"/>
          <w:color w:val="auto"/>
        </w:rPr>
        <w:t>，具备市场化运作条件，项目收入来源包括但不限于</w:t>
      </w:r>
      <w:r>
        <w:rPr>
          <w:rFonts w:hint="eastAsia" w:ascii="仿宋" w:hAnsi="仿宋" w:eastAsia="仿宋"/>
          <w:color w:val="auto"/>
          <w:lang w:val="en-US" w:eastAsia="zh-CN"/>
        </w:rPr>
        <w:t>停车位租赁收入、充电桩收入、卫生管理费收入及广告收入等，以及</w:t>
      </w:r>
      <w:r>
        <w:rPr>
          <w:rFonts w:hint="eastAsia" w:ascii="仿宋" w:hAnsi="仿宋" w:eastAsia="仿宋"/>
          <w:color w:val="auto"/>
        </w:rPr>
        <w:t>依据项目建设运营且经实施机构批准的其他经营活动收入。运营期内，</w:t>
      </w:r>
      <w:r>
        <w:rPr>
          <w:rFonts w:hint="eastAsia" w:ascii="仿宋" w:hAnsi="仿宋" w:eastAsia="仿宋"/>
          <w:color w:val="auto"/>
          <w:lang w:eastAsia="zh-CN"/>
        </w:rPr>
        <w:t>特许经营者</w:t>
      </w:r>
      <w:r>
        <w:rPr>
          <w:rFonts w:hint="eastAsia" w:ascii="仿宋" w:hAnsi="仿宋" w:eastAsia="仿宋"/>
          <w:color w:val="auto"/>
        </w:rPr>
        <w:t>通过使用者付费模式实现其投资回报并获得合理利润。</w:t>
      </w:r>
    </w:p>
    <w:p w14:paraId="3EA3F4D0">
      <w:pPr>
        <w:bidi w:val="0"/>
        <w:rPr>
          <w:rFonts w:hint="eastAsia" w:ascii="仿宋" w:hAnsi="仿宋" w:eastAsia="仿宋"/>
          <w:color w:val="auto"/>
          <w:lang w:val="en-US" w:eastAsia="zh-CN"/>
        </w:rPr>
      </w:pPr>
      <w:r>
        <w:rPr>
          <w:rFonts w:hint="eastAsia" w:ascii="仿宋" w:hAnsi="仿宋" w:eastAsia="仿宋"/>
          <w:color w:val="auto"/>
          <w:lang w:val="en-US" w:eastAsia="zh-CN"/>
        </w:rPr>
        <w:t>在运营期第1年考虑总投资的47%即10490.28万元政府投资支持。</w:t>
      </w:r>
    </w:p>
    <w:p w14:paraId="7E229202">
      <w:pPr>
        <w:bidi w:val="0"/>
        <w:rPr>
          <w:rFonts w:hint="eastAsia" w:ascii="仿宋" w:hAnsi="仿宋" w:eastAsia="仿宋"/>
          <w:color w:val="auto"/>
        </w:rPr>
      </w:pPr>
      <w:r>
        <w:rPr>
          <w:rFonts w:hint="eastAsia" w:ascii="仿宋" w:hAnsi="仿宋" w:eastAsia="仿宋"/>
          <w:color w:val="auto"/>
          <w:lang w:val="en-US" w:eastAsia="zh-CN"/>
        </w:rPr>
        <w:t>通过搭建项目经营财务模式进行估算，资本金</w:t>
      </w:r>
      <w:r>
        <w:rPr>
          <w:rFonts w:hint="eastAsia" w:ascii="仿宋" w:hAnsi="仿宋" w:eastAsia="仿宋"/>
          <w:color w:val="auto"/>
        </w:rPr>
        <w:t>税前内部收益率为</w:t>
      </w:r>
      <w:r>
        <w:rPr>
          <w:rFonts w:hint="eastAsia" w:ascii="仿宋" w:hAnsi="仿宋" w:eastAsia="仿宋"/>
          <w:color w:val="auto"/>
          <w:highlight w:val="none"/>
          <w:lang w:val="en-US" w:eastAsia="zh-CN"/>
        </w:rPr>
        <w:t>3.04%</w:t>
      </w:r>
      <w:r>
        <w:rPr>
          <w:rFonts w:hint="eastAsia" w:ascii="仿宋" w:hAnsi="仿宋" w:eastAsia="仿宋"/>
          <w:color w:val="auto"/>
        </w:rPr>
        <w:t>，</w:t>
      </w:r>
      <w:r>
        <w:rPr>
          <w:rFonts w:hint="eastAsia" w:ascii="仿宋" w:hAnsi="仿宋" w:eastAsia="仿宋"/>
          <w:color w:val="auto"/>
          <w:lang w:val="en-US" w:eastAsia="zh-CN"/>
        </w:rPr>
        <w:t>资本金</w:t>
      </w:r>
      <w:r>
        <w:rPr>
          <w:rFonts w:hint="eastAsia" w:ascii="仿宋" w:hAnsi="仿宋" w:eastAsia="仿宋"/>
          <w:color w:val="auto"/>
        </w:rPr>
        <w:t>税后内部收益率为</w:t>
      </w:r>
      <w:r>
        <w:rPr>
          <w:rFonts w:hint="eastAsia" w:ascii="仿宋" w:hAnsi="仿宋" w:eastAsia="仿宋"/>
          <w:color w:val="auto"/>
          <w:highlight w:val="none"/>
          <w:lang w:val="en-US" w:eastAsia="zh-CN"/>
        </w:rPr>
        <w:t>3.04%</w:t>
      </w:r>
      <w:r>
        <w:rPr>
          <w:rFonts w:hint="eastAsia" w:ascii="仿宋" w:hAnsi="仿宋" w:eastAsia="仿宋"/>
          <w:color w:val="auto"/>
          <w:lang w:eastAsia="zh-CN"/>
        </w:rPr>
        <w:t>，</w:t>
      </w:r>
      <w:r>
        <w:rPr>
          <w:rFonts w:hint="eastAsia" w:ascii="仿宋" w:hAnsi="仿宋" w:eastAsia="仿宋"/>
          <w:color w:val="auto"/>
        </w:rPr>
        <w:t>能够满足</w:t>
      </w:r>
      <w:r>
        <w:rPr>
          <w:rFonts w:hint="eastAsia" w:ascii="仿宋" w:hAnsi="仿宋" w:eastAsia="仿宋"/>
          <w:color w:val="auto"/>
          <w:lang w:val="en-US" w:eastAsia="zh-CN"/>
        </w:rPr>
        <w:t>当前市场环境下</w:t>
      </w:r>
      <w:r>
        <w:rPr>
          <w:rFonts w:hint="eastAsia" w:ascii="仿宋" w:hAnsi="仿宋" w:eastAsia="仿宋"/>
          <w:color w:val="auto"/>
        </w:rPr>
        <w:t>特许经营者得利但不暴利的</w:t>
      </w:r>
      <w:r>
        <w:rPr>
          <w:rFonts w:hint="eastAsia" w:ascii="仿宋" w:hAnsi="仿宋" w:eastAsia="仿宋"/>
          <w:color w:val="auto"/>
          <w:lang w:val="en-US" w:eastAsia="zh-CN"/>
        </w:rPr>
        <w:t>经营</w:t>
      </w:r>
      <w:r>
        <w:rPr>
          <w:rFonts w:hint="eastAsia" w:ascii="仿宋" w:hAnsi="仿宋" w:eastAsia="仿宋"/>
          <w:color w:val="auto"/>
        </w:rPr>
        <w:t>要求。</w:t>
      </w:r>
    </w:p>
    <w:p w14:paraId="309A15B9">
      <w:pPr>
        <w:bidi w:val="0"/>
        <w:rPr>
          <w:rFonts w:hint="eastAsia" w:ascii="仿宋" w:hAnsi="仿宋" w:eastAsia="仿宋"/>
          <w:color w:val="auto"/>
        </w:rPr>
      </w:pPr>
      <w:r>
        <w:rPr>
          <w:rFonts w:hint="eastAsia" w:ascii="仿宋" w:hAnsi="仿宋" w:eastAsia="仿宋"/>
          <w:color w:val="auto"/>
        </w:rPr>
        <w:t>政府方根据</w:t>
      </w:r>
      <w:r>
        <w:rPr>
          <w:rFonts w:hint="eastAsia" w:ascii="仿宋" w:hAnsi="仿宋" w:eastAsia="仿宋"/>
          <w:color w:val="auto"/>
          <w:lang w:eastAsia="zh-CN"/>
        </w:rPr>
        <w:t>北京市密云区密东广场北侧地块地下停车场特许经营项目</w:t>
      </w:r>
      <w:r>
        <w:rPr>
          <w:rFonts w:hint="eastAsia" w:ascii="仿宋" w:hAnsi="仿宋" w:eastAsia="仿宋"/>
          <w:color w:val="auto"/>
        </w:rPr>
        <w:t>绩效考核办法在合作期内对</w:t>
      </w:r>
      <w:r>
        <w:rPr>
          <w:rFonts w:hint="eastAsia" w:ascii="仿宋" w:hAnsi="仿宋" w:eastAsia="仿宋"/>
          <w:color w:val="auto"/>
          <w:lang w:eastAsia="zh-CN"/>
        </w:rPr>
        <w:t>特许经营者</w:t>
      </w:r>
      <w:r>
        <w:rPr>
          <w:rFonts w:hint="eastAsia" w:ascii="仿宋" w:hAnsi="仿宋" w:eastAsia="仿宋"/>
          <w:color w:val="auto"/>
        </w:rPr>
        <w:t>智慧停车管理运营情况进行考核。</w:t>
      </w:r>
    </w:p>
    <w:p w14:paraId="60A68104">
      <w:pPr>
        <w:pStyle w:val="3"/>
        <w:bidi w:val="0"/>
        <w:ind w:left="575" w:hanging="575"/>
        <w:rPr>
          <w:rFonts w:hint="eastAsia" w:ascii="仿宋" w:hAnsi="仿宋" w:eastAsia="仿宋" w:cs="仿宋"/>
          <w:color w:val="auto"/>
          <w:highlight w:val="none"/>
          <w:lang w:val="en-US" w:eastAsia="zh-CN"/>
        </w:rPr>
      </w:pPr>
      <w:bookmarkStart w:id="234" w:name="_Toc17895"/>
      <w:bookmarkStart w:id="235" w:name="_Toc8389"/>
      <w:bookmarkStart w:id="236" w:name="_Toc26475"/>
      <w:bookmarkStart w:id="237" w:name="_Toc3175"/>
      <w:bookmarkStart w:id="238" w:name="_Toc15119"/>
      <w:bookmarkStart w:id="239" w:name="_Toc28209"/>
      <w:bookmarkStart w:id="240" w:name="_Toc18326"/>
      <w:bookmarkStart w:id="241" w:name="_Toc13343"/>
      <w:bookmarkStart w:id="242" w:name="_Toc19884"/>
      <w:bookmarkStart w:id="243" w:name="_Toc492734459"/>
      <w:bookmarkStart w:id="244" w:name="_Toc29581"/>
      <w:bookmarkStart w:id="245" w:name="_Toc107258326"/>
      <w:bookmarkStart w:id="246" w:name="_Toc12948"/>
      <w:r>
        <w:rPr>
          <w:rFonts w:hint="eastAsia" w:ascii="仿宋" w:hAnsi="仿宋" w:eastAsia="仿宋" w:cs="仿宋"/>
          <w:color w:val="auto"/>
          <w:highlight w:val="none"/>
          <w:lang w:val="en-US" w:eastAsia="zh-CN"/>
        </w:rPr>
        <w:t>监督管理和运营评价</w:t>
      </w:r>
      <w:bookmarkEnd w:id="234"/>
      <w:bookmarkEnd w:id="235"/>
      <w:bookmarkEnd w:id="236"/>
      <w:bookmarkEnd w:id="237"/>
    </w:p>
    <w:p w14:paraId="02040530">
      <w:pPr>
        <w:pStyle w:val="4"/>
        <w:ind w:left="720" w:hanging="720"/>
        <w:rPr>
          <w:rFonts w:hint="eastAsia" w:ascii="仿宋" w:hAnsi="仿宋" w:eastAsia="仿宋"/>
          <w:color w:val="auto"/>
          <w:lang w:val="en-US" w:eastAsia="zh-CN"/>
        </w:rPr>
      </w:pPr>
      <w:bookmarkStart w:id="247" w:name="_Toc23137"/>
      <w:bookmarkStart w:id="248" w:name="_Toc492734464"/>
      <w:bookmarkStart w:id="249" w:name="_Toc22440"/>
      <w:bookmarkStart w:id="250" w:name="_Toc11749"/>
      <w:bookmarkStart w:id="251" w:name="_Toc5747"/>
      <w:bookmarkStart w:id="252" w:name="_Toc107258331"/>
      <w:bookmarkStart w:id="253" w:name="_Toc26946"/>
      <w:bookmarkStart w:id="254" w:name="_Toc26380"/>
      <w:bookmarkStart w:id="255" w:name="_Toc1727"/>
      <w:bookmarkStart w:id="256" w:name="_Toc7223"/>
      <w:r>
        <w:rPr>
          <w:rFonts w:hint="eastAsia" w:ascii="仿宋" w:hAnsi="仿宋" w:eastAsia="仿宋"/>
          <w:color w:val="auto"/>
          <w:lang w:val="en-US" w:eastAsia="zh-CN"/>
        </w:rPr>
        <w:t>监督管理</w:t>
      </w:r>
      <w:bookmarkEnd w:id="247"/>
      <w:bookmarkEnd w:id="248"/>
      <w:bookmarkEnd w:id="249"/>
      <w:bookmarkEnd w:id="250"/>
      <w:bookmarkEnd w:id="251"/>
      <w:bookmarkEnd w:id="252"/>
      <w:bookmarkEnd w:id="253"/>
      <w:bookmarkEnd w:id="254"/>
      <w:bookmarkEnd w:id="255"/>
      <w:bookmarkEnd w:id="256"/>
    </w:p>
    <w:p w14:paraId="44CCE557">
      <w:pPr>
        <w:numPr>
          <w:ilvl w:val="0"/>
          <w:numId w:val="76"/>
        </w:numPr>
        <w:bidi w:val="0"/>
        <w:rPr>
          <w:rFonts w:hint="eastAsia" w:ascii="仿宋" w:hAnsi="仿宋" w:eastAsia="仿宋"/>
          <w:color w:val="auto"/>
        </w:rPr>
      </w:pPr>
      <w:bookmarkStart w:id="257" w:name="_Toc8818"/>
      <w:bookmarkStart w:id="258" w:name="_Toc1090445367"/>
      <w:bookmarkStart w:id="259" w:name="_Toc946453265"/>
      <w:r>
        <w:rPr>
          <w:rFonts w:hint="eastAsia" w:ascii="仿宋" w:hAnsi="仿宋" w:eastAsia="仿宋"/>
          <w:color w:val="auto"/>
        </w:rPr>
        <w:t>政府对实施机构的授权</w:t>
      </w:r>
      <w:bookmarkEnd w:id="257"/>
      <w:bookmarkEnd w:id="258"/>
      <w:bookmarkEnd w:id="259"/>
    </w:p>
    <w:p w14:paraId="59C43505">
      <w:pPr>
        <w:bidi w:val="0"/>
        <w:rPr>
          <w:rFonts w:hint="eastAsia" w:ascii="仿宋" w:hAnsi="仿宋" w:eastAsia="仿宋"/>
          <w:color w:val="auto"/>
        </w:rPr>
      </w:pPr>
      <w:r>
        <w:rPr>
          <w:rFonts w:hint="eastAsia" w:ascii="仿宋" w:hAnsi="仿宋" w:eastAsia="仿宋"/>
          <w:color w:val="auto"/>
          <w:lang w:val="en-US" w:eastAsia="zh-CN"/>
        </w:rPr>
        <w:t>密云区</w:t>
      </w:r>
      <w:r>
        <w:rPr>
          <w:rFonts w:hint="eastAsia" w:ascii="仿宋" w:hAnsi="仿宋" w:eastAsia="仿宋"/>
          <w:color w:val="auto"/>
        </w:rPr>
        <w:t>人民政府授权</w:t>
      </w:r>
      <w:r>
        <w:rPr>
          <w:rFonts w:hint="eastAsia" w:ascii="仿宋" w:hAnsi="仿宋" w:eastAsia="仿宋"/>
          <w:color w:val="auto"/>
          <w:lang w:val="en-US" w:eastAsia="zh-CN"/>
        </w:rPr>
        <w:t>北京市密云区城管委</w:t>
      </w:r>
      <w:r>
        <w:rPr>
          <w:rFonts w:hint="eastAsia" w:ascii="仿宋" w:hAnsi="仿宋" w:eastAsia="仿宋"/>
          <w:color w:val="auto"/>
        </w:rPr>
        <w:t>作为本项目实施机构，负责本项目前期工作、</w:t>
      </w:r>
      <w:r>
        <w:rPr>
          <w:rFonts w:hint="eastAsia" w:ascii="仿宋" w:hAnsi="仿宋" w:eastAsia="仿宋"/>
          <w:color w:val="auto"/>
          <w:lang w:val="en-US" w:eastAsia="zh-CN"/>
        </w:rPr>
        <w:t>选择并</w:t>
      </w:r>
      <w:r>
        <w:rPr>
          <w:rFonts w:hint="eastAsia" w:ascii="仿宋" w:hAnsi="仿宋" w:eastAsia="仿宋"/>
          <w:color w:val="auto"/>
        </w:rPr>
        <w:t>确定</w:t>
      </w:r>
      <w:r>
        <w:rPr>
          <w:rFonts w:hint="eastAsia" w:ascii="仿宋" w:hAnsi="仿宋" w:eastAsia="仿宋"/>
          <w:color w:val="auto"/>
          <w:lang w:eastAsia="zh-CN"/>
        </w:rPr>
        <w:t>特许经营者</w:t>
      </w:r>
      <w:r>
        <w:rPr>
          <w:rFonts w:hint="eastAsia" w:ascii="仿宋" w:hAnsi="仿宋" w:eastAsia="仿宋"/>
          <w:color w:val="auto"/>
        </w:rPr>
        <w:t>、</w:t>
      </w:r>
      <w:r>
        <w:rPr>
          <w:rFonts w:hint="eastAsia" w:ascii="仿宋" w:hAnsi="仿宋" w:eastAsia="仿宋"/>
          <w:color w:val="auto"/>
          <w:lang w:val="en-US" w:eastAsia="zh-CN"/>
        </w:rPr>
        <w:t>特许经营协议</w:t>
      </w:r>
      <w:r>
        <w:rPr>
          <w:rFonts w:hint="eastAsia" w:ascii="仿宋" w:hAnsi="仿宋" w:eastAsia="仿宋"/>
          <w:color w:val="auto"/>
        </w:rPr>
        <w:t>签订等，监督</w:t>
      </w:r>
      <w:r>
        <w:rPr>
          <w:rFonts w:hint="eastAsia" w:ascii="仿宋" w:hAnsi="仿宋" w:eastAsia="仿宋"/>
          <w:color w:val="auto"/>
          <w:lang w:val="en-US" w:eastAsia="zh-CN"/>
        </w:rPr>
        <w:t>项目的实施，</w:t>
      </w:r>
      <w:r>
        <w:rPr>
          <w:rFonts w:hint="eastAsia" w:ascii="仿宋" w:hAnsi="仿宋" w:eastAsia="仿宋"/>
          <w:color w:val="auto"/>
        </w:rPr>
        <w:t>履行项目</w:t>
      </w:r>
      <w:r>
        <w:rPr>
          <w:rFonts w:hint="eastAsia" w:ascii="仿宋" w:hAnsi="仿宋" w:eastAsia="仿宋"/>
          <w:color w:val="auto"/>
          <w:lang w:val="en-US" w:eastAsia="zh-CN"/>
        </w:rPr>
        <w:t>特许经营协议中约定</w:t>
      </w:r>
      <w:r>
        <w:rPr>
          <w:rFonts w:hint="eastAsia" w:ascii="仿宋" w:hAnsi="仿宋" w:eastAsia="仿宋"/>
          <w:color w:val="auto"/>
        </w:rPr>
        <w:t>的</w:t>
      </w:r>
      <w:r>
        <w:rPr>
          <w:rFonts w:hint="eastAsia" w:ascii="仿宋" w:hAnsi="仿宋" w:eastAsia="仿宋"/>
          <w:color w:val="auto"/>
          <w:lang w:val="en-US" w:eastAsia="zh-CN"/>
        </w:rPr>
        <w:t>实施机构相关</w:t>
      </w:r>
      <w:r>
        <w:rPr>
          <w:rFonts w:hint="eastAsia" w:ascii="仿宋" w:hAnsi="仿宋" w:eastAsia="仿宋"/>
          <w:color w:val="auto"/>
        </w:rPr>
        <w:t>义务。</w:t>
      </w:r>
    </w:p>
    <w:p w14:paraId="3C869163">
      <w:pPr>
        <w:numPr>
          <w:ilvl w:val="0"/>
          <w:numId w:val="76"/>
        </w:numPr>
        <w:bidi w:val="0"/>
        <w:rPr>
          <w:rFonts w:hint="eastAsia" w:ascii="仿宋" w:hAnsi="仿宋" w:eastAsia="仿宋"/>
          <w:color w:val="auto"/>
        </w:rPr>
      </w:pPr>
      <w:bookmarkStart w:id="260" w:name="_Toc16824"/>
      <w:bookmarkStart w:id="261" w:name="_Toc489839671"/>
      <w:bookmarkStart w:id="262" w:name="_Toc628651526"/>
      <w:r>
        <w:rPr>
          <w:rFonts w:hint="eastAsia" w:ascii="仿宋" w:hAnsi="仿宋" w:eastAsia="仿宋"/>
          <w:color w:val="auto"/>
        </w:rPr>
        <w:t>实施机构对</w:t>
      </w:r>
      <w:r>
        <w:rPr>
          <w:rFonts w:hint="eastAsia" w:ascii="仿宋" w:hAnsi="仿宋" w:eastAsia="仿宋"/>
          <w:color w:val="auto"/>
          <w:lang w:eastAsia="zh-CN"/>
        </w:rPr>
        <w:t>特许经营者</w:t>
      </w:r>
      <w:r>
        <w:rPr>
          <w:rFonts w:hint="eastAsia" w:ascii="仿宋" w:hAnsi="仿宋" w:eastAsia="仿宋"/>
          <w:color w:val="auto"/>
        </w:rPr>
        <w:t>的授权</w:t>
      </w:r>
      <w:bookmarkEnd w:id="260"/>
      <w:bookmarkEnd w:id="261"/>
      <w:bookmarkEnd w:id="262"/>
    </w:p>
    <w:p w14:paraId="05B72BB6">
      <w:pPr>
        <w:bidi w:val="0"/>
        <w:rPr>
          <w:rFonts w:hint="eastAsia" w:ascii="仿宋" w:hAnsi="仿宋" w:eastAsia="仿宋"/>
          <w:color w:val="auto"/>
        </w:rPr>
      </w:pPr>
      <w:r>
        <w:rPr>
          <w:rFonts w:hint="eastAsia" w:ascii="仿宋" w:hAnsi="仿宋" w:eastAsia="仿宋"/>
          <w:color w:val="auto"/>
        </w:rPr>
        <w:t>实施机构授予</w:t>
      </w:r>
      <w:r>
        <w:rPr>
          <w:rFonts w:hint="eastAsia" w:ascii="仿宋" w:hAnsi="仿宋" w:eastAsia="仿宋"/>
          <w:color w:val="auto"/>
          <w:lang w:eastAsia="zh-CN"/>
        </w:rPr>
        <w:t>特许经营者</w:t>
      </w:r>
      <w:r>
        <w:rPr>
          <w:rFonts w:hint="eastAsia" w:ascii="仿宋" w:hAnsi="仿宋" w:eastAsia="仿宋"/>
          <w:color w:val="auto"/>
        </w:rPr>
        <w:t>特许经营权，由</w:t>
      </w:r>
      <w:r>
        <w:rPr>
          <w:rFonts w:hint="eastAsia" w:ascii="仿宋" w:hAnsi="仿宋" w:eastAsia="仿宋"/>
          <w:color w:val="auto"/>
          <w:lang w:eastAsia="zh-CN"/>
        </w:rPr>
        <w:t>特许经营者</w:t>
      </w:r>
      <w:r>
        <w:rPr>
          <w:rFonts w:hint="eastAsia" w:ascii="仿宋" w:hAnsi="仿宋" w:eastAsia="仿宋"/>
          <w:color w:val="auto"/>
          <w:lang w:val="en-US" w:eastAsia="zh-CN"/>
        </w:rPr>
        <w:t>或项目公司</w:t>
      </w:r>
      <w:r>
        <w:rPr>
          <w:rFonts w:hint="eastAsia" w:ascii="仿宋" w:hAnsi="仿宋" w:eastAsia="仿宋"/>
          <w:color w:val="auto"/>
        </w:rPr>
        <w:t>负责本项目的投资、建设、运营</w:t>
      </w:r>
      <w:r>
        <w:rPr>
          <w:rFonts w:hint="eastAsia" w:ascii="仿宋" w:hAnsi="仿宋" w:eastAsia="仿宋"/>
          <w:color w:val="auto"/>
          <w:lang w:val="en-US" w:eastAsia="zh-CN"/>
        </w:rPr>
        <w:t>管理、</w:t>
      </w:r>
      <w:r>
        <w:rPr>
          <w:rFonts w:hint="eastAsia" w:ascii="仿宋" w:hAnsi="仿宋" w:eastAsia="仿宋"/>
          <w:color w:val="auto"/>
        </w:rPr>
        <w:t>维护及移交等工作。</w:t>
      </w:r>
    </w:p>
    <w:p w14:paraId="53F6B309">
      <w:pPr>
        <w:numPr>
          <w:ilvl w:val="0"/>
          <w:numId w:val="76"/>
        </w:numPr>
        <w:bidi w:val="0"/>
        <w:rPr>
          <w:rFonts w:hint="eastAsia" w:ascii="仿宋" w:hAnsi="仿宋" w:eastAsia="仿宋"/>
          <w:color w:val="auto"/>
        </w:rPr>
      </w:pPr>
      <w:bookmarkStart w:id="263" w:name="_Toc17232"/>
      <w:bookmarkStart w:id="264" w:name="_Toc1864265457"/>
      <w:bookmarkStart w:id="265" w:name="_Toc521551117"/>
      <w:r>
        <w:rPr>
          <w:rFonts w:hint="eastAsia" w:ascii="仿宋" w:hAnsi="仿宋" w:eastAsia="仿宋"/>
          <w:color w:val="auto"/>
        </w:rPr>
        <w:t>履约监管</w:t>
      </w:r>
      <w:bookmarkEnd w:id="263"/>
      <w:bookmarkEnd w:id="264"/>
      <w:bookmarkEnd w:id="265"/>
    </w:p>
    <w:p w14:paraId="4E07C80A">
      <w:pPr>
        <w:bidi w:val="0"/>
        <w:rPr>
          <w:rFonts w:hint="eastAsia" w:ascii="仿宋" w:hAnsi="仿宋" w:eastAsia="仿宋"/>
          <w:color w:val="auto"/>
        </w:rPr>
      </w:pPr>
      <w:r>
        <w:rPr>
          <w:rFonts w:hint="eastAsia" w:ascii="仿宋" w:hAnsi="仿宋" w:eastAsia="仿宋"/>
          <w:color w:val="auto"/>
        </w:rPr>
        <w:t>履约管理最主要的方式就是合同控制，因此为保证</w:t>
      </w:r>
      <w:r>
        <w:rPr>
          <w:rFonts w:hint="eastAsia" w:ascii="仿宋" w:hAnsi="仿宋" w:eastAsia="仿宋"/>
          <w:color w:val="auto"/>
          <w:lang w:eastAsia="zh-CN"/>
        </w:rPr>
        <w:t>特许经营者</w:t>
      </w:r>
      <w:r>
        <w:rPr>
          <w:rFonts w:hint="eastAsia" w:ascii="仿宋" w:hAnsi="仿宋" w:eastAsia="仿宋"/>
          <w:color w:val="auto"/>
        </w:rPr>
        <w:t>严格按照</w:t>
      </w:r>
      <w:r>
        <w:rPr>
          <w:rFonts w:hint="eastAsia" w:ascii="仿宋" w:hAnsi="仿宋" w:eastAsia="仿宋"/>
          <w:color w:val="auto"/>
          <w:lang w:val="en-US" w:eastAsia="zh-CN"/>
        </w:rPr>
        <w:t>特许</w:t>
      </w:r>
      <w:r>
        <w:rPr>
          <w:rFonts w:hint="eastAsia" w:ascii="仿宋" w:hAnsi="仿宋" w:eastAsia="仿宋"/>
          <w:color w:val="auto"/>
        </w:rPr>
        <w:t>经营权的</w:t>
      </w:r>
      <w:r>
        <w:rPr>
          <w:rFonts w:hint="eastAsia" w:ascii="仿宋" w:hAnsi="仿宋" w:eastAsia="仿宋"/>
          <w:color w:val="auto"/>
          <w:lang w:val="en-US" w:eastAsia="zh-CN"/>
        </w:rPr>
        <w:t>授权</w:t>
      </w:r>
      <w:r>
        <w:rPr>
          <w:rFonts w:hint="eastAsia" w:ascii="仿宋" w:hAnsi="仿宋" w:eastAsia="仿宋"/>
          <w:color w:val="auto"/>
        </w:rPr>
        <w:t>范围履约，项目实施机构应根据合同约定对</w:t>
      </w:r>
      <w:r>
        <w:rPr>
          <w:rFonts w:hint="eastAsia" w:ascii="仿宋" w:hAnsi="仿宋" w:eastAsia="仿宋"/>
          <w:color w:val="auto"/>
          <w:lang w:eastAsia="zh-CN"/>
        </w:rPr>
        <w:t>特许经营者</w:t>
      </w:r>
      <w:r>
        <w:rPr>
          <w:rFonts w:hint="eastAsia" w:ascii="仿宋" w:hAnsi="仿宋" w:eastAsia="仿宋"/>
          <w:color w:val="auto"/>
        </w:rPr>
        <w:t>的</w:t>
      </w:r>
      <w:r>
        <w:rPr>
          <w:rFonts w:hint="eastAsia" w:ascii="仿宋" w:hAnsi="仿宋" w:eastAsia="仿宋"/>
          <w:color w:val="auto"/>
          <w:lang w:val="en-US" w:eastAsia="zh-CN"/>
        </w:rPr>
        <w:t>建设、筹资、运营管理、维护和移交</w:t>
      </w:r>
      <w:r>
        <w:rPr>
          <w:rFonts w:hint="eastAsia" w:ascii="仿宋" w:hAnsi="仿宋" w:eastAsia="仿宋"/>
          <w:color w:val="auto"/>
        </w:rPr>
        <w:t>等进行监督管控，督促</w:t>
      </w:r>
      <w:r>
        <w:rPr>
          <w:rFonts w:hint="eastAsia" w:ascii="仿宋" w:hAnsi="仿宋" w:eastAsia="仿宋"/>
          <w:color w:val="auto"/>
          <w:lang w:eastAsia="zh-CN"/>
        </w:rPr>
        <w:t>特许经营者</w:t>
      </w:r>
      <w:r>
        <w:rPr>
          <w:rFonts w:hint="eastAsia" w:ascii="仿宋" w:hAnsi="仿宋" w:eastAsia="仿宋"/>
          <w:color w:val="auto"/>
        </w:rPr>
        <w:t>落实相关承诺。通过特许经营协议设置相应的履约条款，由</w:t>
      </w:r>
      <w:r>
        <w:rPr>
          <w:rFonts w:hint="eastAsia" w:ascii="仿宋" w:hAnsi="仿宋" w:eastAsia="仿宋"/>
          <w:color w:val="auto"/>
          <w:lang w:eastAsia="zh-CN"/>
        </w:rPr>
        <w:t>特许经营者</w:t>
      </w:r>
      <w:r>
        <w:rPr>
          <w:rFonts w:hint="eastAsia" w:ascii="仿宋" w:hAnsi="仿宋" w:eastAsia="仿宋"/>
          <w:color w:val="auto"/>
        </w:rPr>
        <w:t>向实施机构出具可接受</w:t>
      </w:r>
      <w:r>
        <w:rPr>
          <w:rFonts w:hint="eastAsia" w:ascii="仿宋" w:hAnsi="仿宋" w:eastAsia="仿宋"/>
          <w:color w:val="auto"/>
          <w:lang w:val="en-US" w:eastAsia="zh-CN"/>
        </w:rPr>
        <w:t>方式</w:t>
      </w:r>
      <w:r>
        <w:rPr>
          <w:rFonts w:hint="eastAsia" w:ascii="仿宋" w:hAnsi="仿宋" w:eastAsia="仿宋"/>
          <w:color w:val="auto"/>
        </w:rPr>
        <w:t>的特许经营履约保函，以保证</w:t>
      </w:r>
      <w:r>
        <w:rPr>
          <w:rFonts w:hint="eastAsia" w:ascii="仿宋" w:hAnsi="仿宋" w:eastAsia="仿宋"/>
          <w:color w:val="auto"/>
          <w:lang w:eastAsia="zh-CN"/>
        </w:rPr>
        <w:t>特许经营者</w:t>
      </w:r>
      <w:r>
        <w:rPr>
          <w:rFonts w:hint="eastAsia" w:ascii="仿宋" w:hAnsi="仿宋" w:eastAsia="仿宋"/>
          <w:color w:val="auto"/>
        </w:rPr>
        <w:t>履行本合同项下建设、运营维护项目设施等义务。</w:t>
      </w:r>
    </w:p>
    <w:p w14:paraId="364F365C">
      <w:pPr>
        <w:numPr>
          <w:ilvl w:val="0"/>
          <w:numId w:val="76"/>
        </w:numPr>
        <w:bidi w:val="0"/>
        <w:rPr>
          <w:rFonts w:hint="eastAsia" w:ascii="仿宋" w:hAnsi="仿宋" w:eastAsia="仿宋"/>
          <w:color w:val="auto"/>
        </w:rPr>
      </w:pPr>
      <w:bookmarkStart w:id="266" w:name="_Toc923126069"/>
      <w:bookmarkStart w:id="267" w:name="_Toc1828860012"/>
      <w:bookmarkStart w:id="268" w:name="_Toc8838"/>
      <w:r>
        <w:rPr>
          <w:rFonts w:hint="eastAsia" w:ascii="仿宋" w:hAnsi="仿宋" w:eastAsia="仿宋"/>
          <w:color w:val="auto"/>
        </w:rPr>
        <w:t>行政监管</w:t>
      </w:r>
      <w:bookmarkEnd w:id="266"/>
      <w:bookmarkEnd w:id="267"/>
      <w:bookmarkEnd w:id="268"/>
    </w:p>
    <w:p w14:paraId="4DDE2C67">
      <w:pPr>
        <w:ind w:firstLine="48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行政监管主要分为两个阶段，一是项目建设的监管；二是运营、移交的绩效监管（包括安全、质量、服务水平和资金等方面的监管）。项目建设期间，按照工程建设程序，</w:t>
      </w:r>
      <w:r>
        <w:rPr>
          <w:rFonts w:hint="eastAsia" w:ascii="仿宋" w:hAnsi="仿宋" w:eastAsia="仿宋"/>
          <w:color w:val="auto"/>
          <w:sz w:val="28"/>
          <w:szCs w:val="28"/>
          <w:highlight w:val="none"/>
          <w:lang w:val="en-US" w:eastAsia="zh-CN"/>
        </w:rPr>
        <w:t>密云区城管委</w:t>
      </w:r>
      <w:r>
        <w:rPr>
          <w:rFonts w:hint="eastAsia" w:ascii="仿宋" w:hAnsi="仿宋" w:eastAsia="仿宋"/>
          <w:color w:val="auto"/>
          <w:sz w:val="28"/>
          <w:szCs w:val="28"/>
          <w:highlight w:val="none"/>
        </w:rPr>
        <w:t>及相关行政主管部门应加强履职，对</w:t>
      </w:r>
      <w:r>
        <w:rPr>
          <w:rFonts w:hint="eastAsia" w:ascii="仿宋" w:hAnsi="仿宋" w:eastAsia="仿宋"/>
          <w:color w:val="auto"/>
          <w:sz w:val="28"/>
          <w:szCs w:val="28"/>
          <w:highlight w:val="none"/>
          <w:lang w:eastAsia="zh-CN"/>
        </w:rPr>
        <w:t>特许经营者</w:t>
      </w:r>
      <w:r>
        <w:rPr>
          <w:rFonts w:hint="eastAsia" w:ascii="仿宋" w:hAnsi="仿宋" w:eastAsia="仿宋"/>
          <w:color w:val="auto"/>
          <w:sz w:val="28"/>
          <w:szCs w:val="28"/>
          <w:highlight w:val="none"/>
        </w:rPr>
        <w:t>的工程建设的安全、质量、进度、投资进行监督</w:t>
      </w:r>
      <w:r>
        <w:rPr>
          <w:rFonts w:hint="eastAsia" w:ascii="仿宋" w:hAnsi="仿宋" w:eastAsia="仿宋"/>
          <w:color w:val="auto"/>
          <w:sz w:val="28"/>
          <w:szCs w:val="28"/>
          <w:highlight w:val="none"/>
          <w:lang w:eastAsia="zh-CN"/>
        </w:rPr>
        <w:t>；在</w:t>
      </w:r>
      <w:r>
        <w:rPr>
          <w:rFonts w:hint="eastAsia" w:ascii="仿宋" w:hAnsi="仿宋" w:eastAsia="仿宋"/>
          <w:color w:val="auto"/>
          <w:sz w:val="28"/>
          <w:szCs w:val="28"/>
          <w:highlight w:val="none"/>
        </w:rPr>
        <w:t>项目运营阶段对项目进行中期评估，重点分析项目运行的合规性、适应性、合理性，科学评估风险，制定应对措施；项目移交阶段由政府组织相关部门成立项目移交机构，对项目进行整体移交，妥善办理移交手续。</w:t>
      </w:r>
    </w:p>
    <w:p w14:paraId="790BDBBB">
      <w:pPr>
        <w:numPr>
          <w:ilvl w:val="0"/>
          <w:numId w:val="76"/>
        </w:numPr>
        <w:bidi w:val="0"/>
        <w:rPr>
          <w:rFonts w:hint="eastAsia" w:ascii="仿宋" w:hAnsi="仿宋" w:eastAsia="仿宋"/>
          <w:color w:val="auto"/>
        </w:rPr>
      </w:pPr>
      <w:bookmarkStart w:id="269" w:name="_Toc1557975755"/>
      <w:bookmarkStart w:id="270" w:name="_Toc716782173"/>
      <w:bookmarkStart w:id="271" w:name="_Toc24224"/>
      <w:r>
        <w:rPr>
          <w:rFonts w:hint="eastAsia" w:ascii="仿宋" w:hAnsi="仿宋" w:eastAsia="仿宋"/>
          <w:color w:val="auto"/>
        </w:rPr>
        <w:t>公众监管</w:t>
      </w:r>
      <w:bookmarkEnd w:id="269"/>
      <w:bookmarkEnd w:id="270"/>
      <w:bookmarkEnd w:id="271"/>
    </w:p>
    <w:p w14:paraId="596D1ACD">
      <w:pPr>
        <w:bidi w:val="0"/>
        <w:rPr>
          <w:rFonts w:hint="eastAsia" w:ascii="仿宋" w:hAnsi="仿宋" w:eastAsia="仿宋"/>
          <w:color w:val="auto"/>
        </w:rPr>
      </w:pPr>
      <w:r>
        <w:rPr>
          <w:rFonts w:hint="eastAsia" w:ascii="仿宋" w:hAnsi="仿宋" w:eastAsia="仿宋"/>
          <w:color w:val="auto"/>
          <w:lang w:eastAsia="zh-CN"/>
        </w:rPr>
        <w:t>特许经营者</w:t>
      </w:r>
      <w:r>
        <w:rPr>
          <w:rFonts w:hint="eastAsia" w:ascii="仿宋" w:hAnsi="仿宋" w:eastAsia="仿宋"/>
          <w:color w:val="auto"/>
        </w:rPr>
        <w:t>应主动建立一套有效的公众沟通机制，包括但不限于重大事项公示、建立通畅的公众意见反馈的渠道、搭建媒体沟通平台、重大事项的听证机制等。政府主管部门接受社会公众对</w:t>
      </w:r>
      <w:r>
        <w:rPr>
          <w:rFonts w:hint="eastAsia" w:ascii="仿宋" w:hAnsi="仿宋" w:eastAsia="仿宋"/>
          <w:color w:val="auto"/>
          <w:lang w:eastAsia="zh-CN"/>
        </w:rPr>
        <w:t>特许经营者</w:t>
      </w:r>
      <w:r>
        <w:rPr>
          <w:rFonts w:hint="eastAsia" w:ascii="仿宋" w:hAnsi="仿宋" w:eastAsia="仿宋"/>
          <w:color w:val="auto"/>
        </w:rPr>
        <w:t>的监督，并将监督结果纳入绩效考核。在政府方的行政监管范围外，体现</w:t>
      </w:r>
      <w:r>
        <w:rPr>
          <w:rFonts w:hint="eastAsia" w:ascii="仿宋" w:hAnsi="仿宋" w:eastAsia="仿宋"/>
          <w:color w:val="auto"/>
          <w:lang w:eastAsia="zh-CN"/>
        </w:rPr>
        <w:t>对</w:t>
      </w:r>
      <w:r>
        <w:rPr>
          <w:rFonts w:hint="eastAsia" w:ascii="仿宋" w:hAnsi="仿宋" w:eastAsia="仿宋"/>
          <w:color w:val="auto"/>
        </w:rPr>
        <w:t>社会公共责任的承担。</w:t>
      </w:r>
    </w:p>
    <w:p w14:paraId="288DBA9F">
      <w:pPr>
        <w:pStyle w:val="4"/>
        <w:ind w:left="720" w:hanging="720"/>
        <w:rPr>
          <w:rFonts w:hint="eastAsia" w:ascii="仿宋" w:hAnsi="仿宋" w:eastAsia="仿宋"/>
          <w:color w:val="auto"/>
          <w:highlight w:val="none"/>
          <w:lang w:val="en-US" w:eastAsia="zh-CN"/>
        </w:rPr>
      </w:pPr>
      <w:bookmarkStart w:id="272" w:name="_Toc5387"/>
      <w:bookmarkStart w:id="273" w:name="_Toc22024"/>
      <w:bookmarkStart w:id="274" w:name="_Toc30515"/>
      <w:r>
        <w:rPr>
          <w:rFonts w:hint="eastAsia" w:ascii="仿宋" w:hAnsi="仿宋" w:eastAsia="仿宋"/>
          <w:color w:val="auto"/>
          <w:highlight w:val="none"/>
          <w:lang w:val="en-US" w:eastAsia="zh-CN"/>
        </w:rPr>
        <w:t>运营评价</w:t>
      </w:r>
      <w:bookmarkEnd w:id="272"/>
      <w:bookmarkEnd w:id="273"/>
      <w:bookmarkEnd w:id="274"/>
    </w:p>
    <w:p w14:paraId="03224CF2">
      <w:pPr>
        <w:bidi w:val="0"/>
        <w:rPr>
          <w:rFonts w:hint="default" w:ascii="仿宋" w:hAnsi="仿宋" w:eastAsia="仿宋"/>
          <w:color w:val="auto"/>
          <w:lang w:val="en-US" w:eastAsia="zh-CN"/>
        </w:rPr>
      </w:pPr>
      <w:r>
        <w:rPr>
          <w:rFonts w:hint="eastAsia" w:ascii="仿宋" w:hAnsi="仿宋" w:eastAsia="仿宋"/>
          <w:color w:val="auto"/>
        </w:rPr>
        <w:t>本项目运营评价由</w:t>
      </w:r>
      <w:r>
        <w:rPr>
          <w:rFonts w:hint="eastAsia" w:ascii="仿宋" w:hAnsi="仿宋" w:eastAsia="仿宋"/>
          <w:color w:val="auto"/>
          <w:lang w:val="en-US" w:eastAsia="zh-CN"/>
        </w:rPr>
        <w:t>实施机构</w:t>
      </w:r>
      <w:r>
        <w:rPr>
          <w:rFonts w:hint="eastAsia" w:ascii="仿宋" w:hAnsi="仿宋" w:eastAsia="仿宋"/>
          <w:color w:val="auto"/>
        </w:rPr>
        <w:t>或其指定机构实施，</w:t>
      </w:r>
      <w:r>
        <w:rPr>
          <w:rFonts w:hint="eastAsia" w:ascii="仿宋" w:hAnsi="仿宋" w:eastAsia="仿宋"/>
          <w:color w:val="auto"/>
          <w:lang w:val="en-US" w:eastAsia="zh-CN"/>
        </w:rPr>
        <w:t>以</w:t>
      </w:r>
      <w:r>
        <w:rPr>
          <w:rFonts w:hint="eastAsia" w:ascii="仿宋" w:hAnsi="仿宋" w:eastAsia="仿宋"/>
          <w:color w:val="auto"/>
        </w:rPr>
        <w:t>年度</w:t>
      </w:r>
      <w:r>
        <w:rPr>
          <w:rFonts w:hint="eastAsia" w:ascii="仿宋" w:hAnsi="仿宋" w:eastAsia="仿宋"/>
          <w:color w:val="auto"/>
          <w:lang w:val="en-US" w:eastAsia="zh-CN"/>
        </w:rPr>
        <w:t>为周期开展</w:t>
      </w:r>
      <w:r>
        <w:rPr>
          <w:rFonts w:hint="eastAsia" w:ascii="仿宋" w:hAnsi="仿宋" w:eastAsia="仿宋"/>
          <w:color w:val="auto"/>
        </w:rPr>
        <w:t>评价，每年集中开展一次运营评价工作。</w:t>
      </w:r>
      <w:r>
        <w:rPr>
          <w:rFonts w:hint="eastAsia" w:ascii="仿宋" w:hAnsi="仿宋" w:eastAsia="仿宋"/>
          <w:color w:val="auto"/>
          <w:lang w:val="en-US" w:eastAsia="zh-CN"/>
        </w:rPr>
        <w:t>主要评价内容包括：</w:t>
      </w:r>
    </w:p>
    <w:p w14:paraId="0A6DFFDF">
      <w:pPr>
        <w:numPr>
          <w:ilvl w:val="0"/>
          <w:numId w:val="77"/>
        </w:numPr>
        <w:bidi w:val="0"/>
        <w:rPr>
          <w:rFonts w:hint="eastAsia" w:ascii="仿宋" w:hAnsi="仿宋" w:eastAsia="仿宋"/>
          <w:color w:val="auto"/>
          <w:lang w:val="en-US" w:eastAsia="zh-CN"/>
        </w:rPr>
      </w:pPr>
      <w:bookmarkStart w:id="275" w:name="_Toc1703769447"/>
      <w:bookmarkStart w:id="276" w:name="_Toc2514"/>
      <w:bookmarkStart w:id="277" w:name="_Toc1324723250"/>
      <w:r>
        <w:rPr>
          <w:rFonts w:hint="eastAsia" w:ascii="仿宋" w:hAnsi="仿宋" w:eastAsia="仿宋"/>
          <w:color w:val="auto"/>
          <w:lang w:val="en-US" w:eastAsia="zh-CN"/>
        </w:rPr>
        <w:t>通用要求</w:t>
      </w:r>
      <w:bookmarkEnd w:id="275"/>
      <w:bookmarkEnd w:id="276"/>
      <w:bookmarkEnd w:id="277"/>
    </w:p>
    <w:p w14:paraId="3BC49337">
      <w:pPr>
        <w:keepNext w:val="0"/>
        <w:keepLines w:val="0"/>
        <w:pageBreakBefore w:val="0"/>
        <w:widowControl w:val="0"/>
        <w:numPr>
          <w:ilvl w:val="0"/>
          <w:numId w:val="78"/>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人员及场地要求</w:t>
      </w:r>
    </w:p>
    <w:p w14:paraId="09DBCD69">
      <w:pPr>
        <w:numPr>
          <w:ilvl w:val="0"/>
          <w:numId w:val="79"/>
        </w:numPr>
        <w:bidi w:val="0"/>
        <w:rPr>
          <w:rFonts w:hint="eastAsia" w:ascii="仿宋" w:hAnsi="仿宋" w:eastAsia="仿宋"/>
          <w:color w:val="auto"/>
        </w:rPr>
      </w:pPr>
      <w:r>
        <w:rPr>
          <w:rFonts w:hint="eastAsia" w:ascii="仿宋" w:hAnsi="仿宋" w:eastAsia="仿宋"/>
          <w:color w:val="auto"/>
          <w:lang w:val="en-US" w:eastAsia="zh-CN"/>
        </w:rPr>
        <w:t>特许经营者或项目公司需针对本项目</w:t>
      </w:r>
      <w:r>
        <w:rPr>
          <w:rFonts w:hint="eastAsia" w:ascii="仿宋" w:hAnsi="仿宋" w:eastAsia="仿宋"/>
          <w:color w:val="auto"/>
        </w:rPr>
        <w:t>组建专业的经营团队，实施专业化的经营管理，在项目推广、企业内部管理、车位现场管理、应急措施与预案等方面应具有丰富的经营管理经验。</w:t>
      </w:r>
    </w:p>
    <w:p w14:paraId="5CA75D71">
      <w:pPr>
        <w:numPr>
          <w:ilvl w:val="0"/>
          <w:numId w:val="79"/>
        </w:numPr>
        <w:bidi w:val="0"/>
        <w:rPr>
          <w:rFonts w:hint="eastAsia" w:ascii="仿宋" w:hAnsi="仿宋" w:eastAsia="仿宋"/>
          <w:color w:val="auto"/>
        </w:rPr>
      </w:pPr>
      <w:r>
        <w:rPr>
          <w:rFonts w:hint="eastAsia" w:ascii="仿宋" w:hAnsi="仿宋" w:eastAsia="仿宋"/>
          <w:color w:val="auto"/>
        </w:rPr>
        <w:t>用工要求符合《中华人民共和国劳动法》或相关法律规定。</w:t>
      </w:r>
    </w:p>
    <w:p w14:paraId="18E5BE54">
      <w:pPr>
        <w:numPr>
          <w:ilvl w:val="0"/>
          <w:numId w:val="79"/>
        </w:numPr>
        <w:bidi w:val="0"/>
        <w:rPr>
          <w:rFonts w:hint="eastAsia" w:ascii="仿宋" w:hAnsi="仿宋" w:eastAsia="仿宋"/>
          <w:color w:val="auto"/>
        </w:rPr>
      </w:pPr>
      <w:r>
        <w:rPr>
          <w:rFonts w:hint="eastAsia" w:ascii="仿宋" w:hAnsi="仿宋" w:eastAsia="仿宋"/>
          <w:color w:val="auto"/>
        </w:rPr>
        <w:t>从事停车管理的人员，必须经过岗前培训合格后上岗，必须熟知相应收费标准以及各类收费操作流程，统一着装，佩戴工作证，注意个人仪容和礼貌，有良好的职业道德和服务态度，语言动作规范、文明。</w:t>
      </w:r>
    </w:p>
    <w:p w14:paraId="31A3A109">
      <w:pPr>
        <w:keepNext w:val="0"/>
        <w:keepLines w:val="0"/>
        <w:pageBreakBefore w:val="0"/>
        <w:widowControl w:val="0"/>
        <w:numPr>
          <w:ilvl w:val="0"/>
          <w:numId w:val="78"/>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工作配合要求</w:t>
      </w:r>
    </w:p>
    <w:p w14:paraId="3B76BBD9">
      <w:pPr>
        <w:ind w:firstLine="480"/>
        <w:rPr>
          <w:rFonts w:hint="eastAsia" w:ascii="仿宋" w:hAnsi="仿宋" w:eastAsia="仿宋"/>
          <w:color w:val="auto"/>
          <w:sz w:val="28"/>
          <w:szCs w:val="28"/>
          <w:highlight w:val="none"/>
        </w:rPr>
      </w:pPr>
      <w:r>
        <w:rPr>
          <w:rFonts w:hint="eastAsia" w:ascii="仿宋" w:hAnsi="仿宋" w:eastAsia="仿宋"/>
          <w:color w:val="auto"/>
          <w:sz w:val="28"/>
          <w:szCs w:val="28"/>
          <w:highlight w:val="none"/>
          <w:lang w:eastAsia="zh-CN"/>
        </w:rPr>
        <w:t>特许经营者</w:t>
      </w:r>
      <w:r>
        <w:rPr>
          <w:rFonts w:hint="eastAsia" w:ascii="仿宋" w:hAnsi="仿宋" w:eastAsia="仿宋"/>
          <w:color w:val="auto"/>
          <w:lang w:val="en-US" w:eastAsia="zh-CN"/>
        </w:rPr>
        <w:t>或项目公司</w:t>
      </w:r>
      <w:r>
        <w:rPr>
          <w:rFonts w:hint="eastAsia" w:ascii="仿宋" w:hAnsi="仿宋" w:eastAsia="仿宋"/>
          <w:color w:val="auto"/>
          <w:sz w:val="28"/>
          <w:szCs w:val="28"/>
          <w:highlight w:val="none"/>
        </w:rPr>
        <w:t>必须遵守市政府及监管单位各项管理规定，接受和服从市政府及监管单位的管理及考评，及时根据整改意见进行整改。</w:t>
      </w:r>
    </w:p>
    <w:p w14:paraId="49091F57">
      <w:pPr>
        <w:keepNext w:val="0"/>
        <w:keepLines w:val="0"/>
        <w:pageBreakBefore w:val="0"/>
        <w:widowControl w:val="0"/>
        <w:numPr>
          <w:ilvl w:val="0"/>
          <w:numId w:val="78"/>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投诉处理要求</w:t>
      </w:r>
    </w:p>
    <w:p w14:paraId="0B2CEAF0">
      <w:pPr>
        <w:numPr>
          <w:ilvl w:val="0"/>
          <w:numId w:val="80"/>
        </w:numPr>
        <w:bidi w:val="0"/>
        <w:rPr>
          <w:rFonts w:hint="eastAsia" w:ascii="仿宋" w:hAnsi="仿宋" w:eastAsia="仿宋"/>
          <w:color w:val="auto"/>
        </w:rPr>
      </w:pPr>
      <w:r>
        <w:rPr>
          <w:rFonts w:hint="eastAsia" w:ascii="仿宋" w:hAnsi="仿宋" w:eastAsia="仿宋"/>
          <w:color w:val="auto"/>
          <w:lang w:eastAsia="zh-CN"/>
        </w:rPr>
        <w:t>特许经营者</w:t>
      </w:r>
      <w:r>
        <w:rPr>
          <w:rFonts w:hint="eastAsia" w:ascii="仿宋" w:hAnsi="仿宋" w:eastAsia="仿宋"/>
          <w:color w:val="auto"/>
          <w:lang w:val="en-US" w:eastAsia="zh-CN"/>
        </w:rPr>
        <w:t>或项目公司</w:t>
      </w:r>
      <w:r>
        <w:rPr>
          <w:rFonts w:hint="eastAsia" w:ascii="仿宋" w:hAnsi="仿宋" w:eastAsia="仿宋"/>
          <w:color w:val="auto"/>
        </w:rPr>
        <w:t>必须按招标要求做好日常停车管理工作，减少群众通过来信、来电、来访等方式的投诉。</w:t>
      </w:r>
    </w:p>
    <w:p w14:paraId="1F1F494E">
      <w:pPr>
        <w:numPr>
          <w:ilvl w:val="0"/>
          <w:numId w:val="80"/>
        </w:numPr>
        <w:bidi w:val="0"/>
        <w:rPr>
          <w:rFonts w:hint="eastAsia" w:ascii="仿宋" w:hAnsi="仿宋" w:eastAsia="仿宋"/>
          <w:color w:val="auto"/>
        </w:rPr>
      </w:pPr>
      <w:r>
        <w:rPr>
          <w:rFonts w:hint="eastAsia" w:ascii="仿宋" w:hAnsi="仿宋" w:eastAsia="仿宋"/>
          <w:color w:val="auto"/>
          <w:lang w:eastAsia="zh-CN"/>
        </w:rPr>
        <w:t>特许经营者</w:t>
      </w:r>
      <w:r>
        <w:rPr>
          <w:rFonts w:hint="eastAsia" w:ascii="仿宋" w:hAnsi="仿宋" w:eastAsia="仿宋"/>
          <w:color w:val="auto"/>
          <w:lang w:val="en-US" w:eastAsia="zh-CN"/>
        </w:rPr>
        <w:t>或项目公司</w:t>
      </w:r>
      <w:r>
        <w:rPr>
          <w:rFonts w:hint="eastAsia" w:ascii="仿宋" w:hAnsi="仿宋" w:eastAsia="仿宋"/>
          <w:color w:val="auto"/>
        </w:rPr>
        <w:t>直接或间接收到群众通过来信、来电、来访等方式的投诉，必须及时妥善处理整改，避免反复投诉。</w:t>
      </w:r>
    </w:p>
    <w:p w14:paraId="3E1D7082">
      <w:pPr>
        <w:keepNext w:val="0"/>
        <w:keepLines w:val="0"/>
        <w:pageBreakBefore w:val="0"/>
        <w:widowControl w:val="0"/>
        <w:numPr>
          <w:ilvl w:val="0"/>
          <w:numId w:val="78"/>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特许经营者</w:t>
      </w:r>
      <w:r>
        <w:rPr>
          <w:rFonts w:hint="eastAsia" w:ascii="仿宋" w:hAnsi="仿宋" w:eastAsia="仿宋"/>
          <w:color w:val="auto"/>
          <w:lang w:val="en-US" w:eastAsia="zh-CN"/>
        </w:rPr>
        <w:t>或项目公司</w:t>
      </w:r>
      <w:r>
        <w:rPr>
          <w:rFonts w:hint="eastAsia" w:ascii="仿宋" w:hAnsi="仿宋" w:eastAsia="仿宋"/>
          <w:color w:val="auto"/>
          <w:sz w:val="28"/>
          <w:szCs w:val="28"/>
          <w:highlight w:val="none"/>
          <w:lang w:val="en-US" w:eastAsia="zh-CN"/>
        </w:rPr>
        <w:t>必须按照有关法律法规，支付停车管理相关人员的工资、福利待遇、保险等，相关人员系特许经营者方员工，政府方概不负责特许经营者方人员的一切问题。</w:t>
      </w:r>
    </w:p>
    <w:p w14:paraId="479AF078">
      <w:pPr>
        <w:numPr>
          <w:ilvl w:val="0"/>
          <w:numId w:val="77"/>
        </w:numPr>
        <w:bidi w:val="0"/>
        <w:rPr>
          <w:rFonts w:hint="eastAsia" w:ascii="仿宋" w:hAnsi="仿宋" w:eastAsia="仿宋"/>
          <w:color w:val="auto"/>
          <w:lang w:val="en-US" w:eastAsia="zh-CN"/>
        </w:rPr>
      </w:pPr>
      <w:bookmarkStart w:id="278" w:name="_Toc1660694301"/>
      <w:bookmarkStart w:id="279" w:name="_Toc6872"/>
      <w:bookmarkStart w:id="280" w:name="_Toc706146631"/>
      <w:r>
        <w:rPr>
          <w:rFonts w:hint="eastAsia" w:ascii="仿宋" w:hAnsi="仿宋" w:eastAsia="仿宋"/>
          <w:color w:val="auto"/>
          <w:lang w:val="en-US" w:eastAsia="zh-CN"/>
        </w:rPr>
        <w:t>经营服务规范要求</w:t>
      </w:r>
      <w:bookmarkEnd w:id="278"/>
      <w:bookmarkEnd w:id="279"/>
      <w:bookmarkEnd w:id="280"/>
    </w:p>
    <w:p w14:paraId="1CC1C82C">
      <w:pPr>
        <w:keepNext w:val="0"/>
        <w:keepLines w:val="0"/>
        <w:pageBreakBefore w:val="0"/>
        <w:widowControl w:val="0"/>
        <w:numPr>
          <w:ilvl w:val="0"/>
          <w:numId w:val="81"/>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特许经营者</w:t>
      </w:r>
      <w:r>
        <w:rPr>
          <w:rFonts w:hint="eastAsia" w:ascii="仿宋" w:hAnsi="仿宋" w:eastAsia="仿宋"/>
          <w:color w:val="auto"/>
          <w:lang w:val="en-US" w:eastAsia="zh-CN"/>
        </w:rPr>
        <w:t>或项目公司</w:t>
      </w:r>
      <w:r>
        <w:rPr>
          <w:rFonts w:hint="eastAsia" w:ascii="仿宋" w:hAnsi="仿宋" w:eastAsia="仿宋"/>
          <w:color w:val="auto"/>
          <w:sz w:val="28"/>
          <w:szCs w:val="28"/>
          <w:highlight w:val="none"/>
          <w:lang w:val="en-US" w:eastAsia="zh-CN"/>
        </w:rPr>
        <w:t>须配置足够数量的巡查人员、技术人员、客服人员、管理人员及设备、设施等，确保提供专业、完善的停车运营管理服务。</w:t>
      </w:r>
    </w:p>
    <w:p w14:paraId="57C83D4A">
      <w:pPr>
        <w:keepNext w:val="0"/>
        <w:keepLines w:val="0"/>
        <w:pageBreakBefore w:val="0"/>
        <w:widowControl w:val="0"/>
        <w:numPr>
          <w:ilvl w:val="0"/>
          <w:numId w:val="81"/>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特许经营者</w:t>
      </w:r>
      <w:r>
        <w:rPr>
          <w:rFonts w:hint="eastAsia" w:ascii="仿宋" w:hAnsi="仿宋" w:eastAsia="仿宋"/>
          <w:color w:val="auto"/>
          <w:lang w:val="en-US" w:eastAsia="zh-CN"/>
        </w:rPr>
        <w:t>或项目公司</w:t>
      </w:r>
      <w:r>
        <w:rPr>
          <w:rFonts w:hint="eastAsia" w:ascii="仿宋" w:hAnsi="仿宋" w:eastAsia="仿宋"/>
          <w:color w:val="auto"/>
          <w:sz w:val="28"/>
          <w:szCs w:val="28"/>
          <w:highlight w:val="none"/>
          <w:lang w:val="en-US" w:eastAsia="zh-CN"/>
        </w:rPr>
        <w:t>须维持停车位内机动车停放和行驶秩序，禁止超高、超长、超重等可能造成停车设施损坏的车辆停放。</w:t>
      </w:r>
    </w:p>
    <w:p w14:paraId="6E33DA57">
      <w:pPr>
        <w:keepNext w:val="0"/>
        <w:keepLines w:val="0"/>
        <w:pageBreakBefore w:val="0"/>
        <w:widowControl w:val="0"/>
        <w:numPr>
          <w:ilvl w:val="0"/>
          <w:numId w:val="81"/>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特许经营者</w:t>
      </w:r>
      <w:r>
        <w:rPr>
          <w:rFonts w:hint="eastAsia" w:ascii="仿宋" w:hAnsi="仿宋" w:eastAsia="仿宋"/>
          <w:color w:val="auto"/>
          <w:lang w:val="en-US" w:eastAsia="zh-CN"/>
        </w:rPr>
        <w:t>或项目公司</w:t>
      </w:r>
      <w:r>
        <w:rPr>
          <w:rFonts w:hint="eastAsia" w:ascii="仿宋" w:hAnsi="仿宋" w:eastAsia="仿宋"/>
          <w:color w:val="auto"/>
          <w:sz w:val="28"/>
          <w:szCs w:val="28"/>
          <w:highlight w:val="none"/>
          <w:lang w:val="en-US" w:eastAsia="zh-CN"/>
        </w:rPr>
        <w:t>必须做好停车区域防火、防盗、防汛等安全防范工作，发生火险、盗窃、抢劫、水淹及场内交通事故等情况时，应当依法采取紧急措施并及时向有关部门报告。</w:t>
      </w:r>
    </w:p>
    <w:p w14:paraId="0F4F4F2C">
      <w:pPr>
        <w:keepNext w:val="0"/>
        <w:keepLines w:val="0"/>
        <w:pageBreakBefore w:val="0"/>
        <w:widowControl w:val="0"/>
        <w:numPr>
          <w:ilvl w:val="0"/>
          <w:numId w:val="81"/>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特许经营者</w:t>
      </w:r>
      <w:r>
        <w:rPr>
          <w:rFonts w:hint="eastAsia" w:ascii="仿宋" w:hAnsi="仿宋" w:eastAsia="仿宋"/>
          <w:color w:val="auto"/>
          <w:lang w:val="en-US" w:eastAsia="zh-CN"/>
        </w:rPr>
        <w:t>或项目公司</w:t>
      </w:r>
      <w:r>
        <w:rPr>
          <w:rFonts w:hint="eastAsia" w:ascii="仿宋" w:hAnsi="仿宋" w:eastAsia="仿宋"/>
          <w:color w:val="auto"/>
          <w:sz w:val="28"/>
          <w:szCs w:val="28"/>
          <w:highlight w:val="none"/>
          <w:lang w:val="en-US" w:eastAsia="zh-CN"/>
        </w:rPr>
        <w:t>负责停车用户的服务工作，除设立客服部门外，还需提供电话、邮件等渠道服务用户。</w:t>
      </w:r>
    </w:p>
    <w:p w14:paraId="4FB7979F">
      <w:pPr>
        <w:keepNext w:val="0"/>
        <w:keepLines w:val="0"/>
        <w:pageBreakBefore w:val="0"/>
        <w:widowControl w:val="0"/>
        <w:numPr>
          <w:ilvl w:val="0"/>
          <w:numId w:val="81"/>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特许经营者</w:t>
      </w:r>
      <w:r>
        <w:rPr>
          <w:rFonts w:hint="eastAsia" w:ascii="仿宋" w:hAnsi="仿宋" w:eastAsia="仿宋"/>
          <w:color w:val="auto"/>
          <w:lang w:val="en-US" w:eastAsia="zh-CN"/>
        </w:rPr>
        <w:t>或项目公司</w:t>
      </w:r>
      <w:r>
        <w:rPr>
          <w:rFonts w:hint="eastAsia" w:ascii="仿宋" w:hAnsi="仿宋" w:eastAsia="仿宋"/>
          <w:color w:val="auto"/>
          <w:sz w:val="28"/>
          <w:szCs w:val="28"/>
          <w:highlight w:val="none"/>
          <w:lang w:val="en-US" w:eastAsia="zh-CN"/>
        </w:rPr>
        <w:t>须建立规范的管理制度和管理体系，保证在服务期间停车收费系统的正常运行。对项目建设范围内按规定收费，合法经营，照章纳税，出具合法的收费票据。</w:t>
      </w:r>
    </w:p>
    <w:p w14:paraId="7C296D69">
      <w:pPr>
        <w:keepNext w:val="0"/>
        <w:keepLines w:val="0"/>
        <w:pageBreakBefore w:val="0"/>
        <w:widowControl w:val="0"/>
        <w:numPr>
          <w:ilvl w:val="0"/>
          <w:numId w:val="81"/>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特许经营者</w:t>
      </w:r>
      <w:r>
        <w:rPr>
          <w:rFonts w:hint="eastAsia" w:ascii="仿宋" w:hAnsi="仿宋" w:eastAsia="仿宋"/>
          <w:color w:val="auto"/>
          <w:lang w:val="en-US" w:eastAsia="zh-CN"/>
        </w:rPr>
        <w:t>或项目公司</w:t>
      </w:r>
      <w:r>
        <w:rPr>
          <w:rFonts w:hint="eastAsia" w:ascii="仿宋" w:hAnsi="仿宋" w:eastAsia="仿宋"/>
          <w:color w:val="auto"/>
          <w:sz w:val="28"/>
          <w:szCs w:val="28"/>
          <w:highlight w:val="none"/>
          <w:lang w:val="en-US" w:eastAsia="zh-CN"/>
        </w:rPr>
        <w:t>须遵守有关法律法规和规章的规定，按停车位的规划布局情况设置醒目的停车场标志，标明经营者信息、开放时间、停车位数量、收费标准和监督电话（收费标准及监督投诉电话）。</w:t>
      </w:r>
    </w:p>
    <w:p w14:paraId="2AA48AC5">
      <w:pPr>
        <w:keepNext w:val="0"/>
        <w:keepLines w:val="0"/>
        <w:pageBreakBefore w:val="0"/>
        <w:widowControl w:val="0"/>
        <w:numPr>
          <w:ilvl w:val="0"/>
          <w:numId w:val="81"/>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特许经营者</w:t>
      </w:r>
      <w:r>
        <w:rPr>
          <w:rFonts w:hint="eastAsia" w:ascii="仿宋" w:hAnsi="仿宋" w:eastAsia="仿宋"/>
          <w:color w:val="auto"/>
          <w:lang w:val="en-US" w:eastAsia="zh-CN"/>
        </w:rPr>
        <w:t>或项目公司</w:t>
      </w:r>
      <w:r>
        <w:rPr>
          <w:rFonts w:hint="eastAsia" w:ascii="仿宋" w:hAnsi="仿宋" w:eastAsia="仿宋"/>
          <w:color w:val="auto"/>
          <w:sz w:val="28"/>
          <w:szCs w:val="28"/>
          <w:highlight w:val="none"/>
          <w:lang w:val="en-US" w:eastAsia="zh-CN"/>
        </w:rPr>
        <w:t>须建立各项经营管理制度，接受政府以及群众监督。</w:t>
      </w:r>
    </w:p>
    <w:p w14:paraId="66EB225A">
      <w:pPr>
        <w:pStyle w:val="3"/>
        <w:bidi w:val="0"/>
        <w:ind w:left="575" w:hanging="575"/>
        <w:rPr>
          <w:rFonts w:hint="eastAsia" w:ascii="仿宋" w:hAnsi="仿宋" w:eastAsia="仿宋" w:cs="仿宋"/>
          <w:color w:val="auto"/>
          <w:highlight w:val="none"/>
          <w:lang w:val="en-US" w:eastAsia="zh-CN"/>
        </w:rPr>
      </w:pPr>
      <w:bookmarkStart w:id="281" w:name="_Toc13158"/>
      <w:bookmarkStart w:id="282" w:name="_Toc15273"/>
      <w:bookmarkStart w:id="283" w:name="_Toc24161"/>
      <w:bookmarkStart w:id="284" w:name="_Toc2647"/>
      <w:r>
        <w:rPr>
          <w:rFonts w:hint="eastAsia" w:ascii="仿宋" w:hAnsi="仿宋" w:eastAsia="仿宋" w:cs="仿宋"/>
          <w:color w:val="auto"/>
          <w:highlight w:val="none"/>
          <w:lang w:val="en-US" w:eastAsia="zh-CN"/>
        </w:rPr>
        <w:t>风险管控</w:t>
      </w:r>
      <w:bookmarkEnd w:id="281"/>
      <w:bookmarkEnd w:id="282"/>
      <w:bookmarkEnd w:id="283"/>
      <w:bookmarkEnd w:id="284"/>
    </w:p>
    <w:p w14:paraId="26D4191F">
      <w:pPr>
        <w:pStyle w:val="4"/>
        <w:ind w:left="720" w:hanging="720"/>
        <w:rPr>
          <w:rFonts w:hint="eastAsia" w:ascii="仿宋" w:hAnsi="仿宋" w:eastAsia="仿宋"/>
          <w:color w:val="auto"/>
          <w:lang w:val="en-US" w:eastAsia="zh-CN"/>
        </w:rPr>
      </w:pPr>
      <w:bookmarkStart w:id="285" w:name="_Toc31180"/>
      <w:bookmarkStart w:id="286" w:name="_Toc107258317"/>
      <w:bookmarkStart w:id="287" w:name="_Toc32480"/>
      <w:bookmarkStart w:id="288" w:name="_Toc491249949"/>
      <w:bookmarkStart w:id="289" w:name="_Toc30070"/>
      <w:bookmarkStart w:id="290" w:name="_Toc11592"/>
      <w:bookmarkStart w:id="291" w:name="_Toc10772"/>
      <w:bookmarkStart w:id="292" w:name="_Toc498464858"/>
      <w:bookmarkStart w:id="293" w:name="_Toc25516"/>
      <w:bookmarkStart w:id="294" w:name="_Toc10501"/>
      <w:bookmarkStart w:id="295" w:name="_Toc18296"/>
      <w:r>
        <w:rPr>
          <w:rFonts w:hint="eastAsia" w:ascii="仿宋" w:hAnsi="仿宋" w:eastAsia="仿宋"/>
          <w:color w:val="auto"/>
          <w:lang w:val="en-US" w:eastAsia="zh-CN"/>
        </w:rPr>
        <w:t>风险分配基本原则</w:t>
      </w:r>
      <w:bookmarkEnd w:id="285"/>
      <w:bookmarkEnd w:id="286"/>
      <w:bookmarkEnd w:id="287"/>
      <w:bookmarkEnd w:id="288"/>
      <w:bookmarkEnd w:id="289"/>
      <w:bookmarkEnd w:id="290"/>
      <w:bookmarkEnd w:id="291"/>
      <w:bookmarkEnd w:id="292"/>
      <w:bookmarkEnd w:id="293"/>
      <w:bookmarkEnd w:id="294"/>
      <w:bookmarkEnd w:id="295"/>
    </w:p>
    <w:p w14:paraId="5CE65730">
      <w:pPr>
        <w:widowControl/>
        <w:ind w:firstLine="48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按照风险分配优化、风险收益对等和风险可控等原则，综合考虑政府风险管理能力、项目回报机制和市场风险管理能力等要素，在政府和社会资本间合理分配项目风险。</w:t>
      </w:r>
    </w:p>
    <w:p w14:paraId="36BCBE26">
      <w:pPr>
        <w:widowControl/>
        <w:ind w:firstLine="48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本项目中，风险分配应遵循下列基本原则：</w:t>
      </w:r>
    </w:p>
    <w:p w14:paraId="01F3EF62">
      <w:pPr>
        <w:widowControl/>
        <w:numPr>
          <w:ilvl w:val="0"/>
          <w:numId w:val="82"/>
        </w:numPr>
        <w:ind w:left="0" w:leftChars="0"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承担风险的一方应该对该风险具有控制力、最有效率；</w:t>
      </w:r>
    </w:p>
    <w:p w14:paraId="0CB1665C">
      <w:pPr>
        <w:widowControl/>
        <w:numPr>
          <w:ilvl w:val="0"/>
          <w:numId w:val="82"/>
        </w:numPr>
        <w:ind w:left="0" w:leftChars="0"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承担风险的一方能够将该风险有效应对（例如通过购买相应保险）；</w:t>
      </w:r>
    </w:p>
    <w:p w14:paraId="1936DD8F">
      <w:pPr>
        <w:widowControl/>
        <w:numPr>
          <w:ilvl w:val="0"/>
          <w:numId w:val="82"/>
        </w:numPr>
        <w:ind w:left="0" w:leftChars="0"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承担风险的一方对于控制该风险有更大的经济利益或动机；</w:t>
      </w:r>
    </w:p>
    <w:p w14:paraId="0C7F3D90">
      <w:pPr>
        <w:widowControl/>
        <w:numPr>
          <w:ilvl w:val="0"/>
          <w:numId w:val="82"/>
        </w:numPr>
        <w:ind w:left="0" w:leftChars="0"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如果风险最终发生，承担风险的一方不应将由此产生的费用和损失转移给合同相对方。</w:t>
      </w:r>
    </w:p>
    <w:p w14:paraId="0121E850">
      <w:pPr>
        <w:pStyle w:val="4"/>
        <w:ind w:left="720" w:hanging="720"/>
        <w:rPr>
          <w:rFonts w:hint="eastAsia" w:ascii="仿宋" w:hAnsi="仿宋" w:eastAsia="仿宋"/>
          <w:color w:val="auto"/>
          <w:lang w:val="en-US" w:eastAsia="zh-CN"/>
        </w:rPr>
      </w:pPr>
      <w:bookmarkStart w:id="296" w:name="_Toc107258318"/>
      <w:bookmarkStart w:id="297" w:name="_Toc498464859"/>
      <w:bookmarkStart w:id="298" w:name="_Toc25845"/>
      <w:bookmarkStart w:id="299" w:name="_Toc28662"/>
      <w:bookmarkStart w:id="300" w:name="_Toc25229"/>
      <w:bookmarkStart w:id="301" w:name="_Toc2869"/>
      <w:bookmarkStart w:id="302" w:name="_Toc29376"/>
      <w:bookmarkStart w:id="303" w:name="_Toc23960"/>
      <w:bookmarkStart w:id="304" w:name="_Toc28949"/>
      <w:bookmarkStart w:id="305" w:name="_Toc9641"/>
      <w:bookmarkStart w:id="306" w:name="_Toc491249950"/>
      <w:r>
        <w:rPr>
          <w:rFonts w:hint="eastAsia" w:ascii="仿宋" w:hAnsi="仿宋" w:eastAsia="仿宋"/>
          <w:color w:val="auto"/>
          <w:lang w:val="en-US" w:eastAsia="zh-CN"/>
        </w:rPr>
        <w:t>风险分配基本方案</w:t>
      </w:r>
      <w:bookmarkEnd w:id="296"/>
      <w:bookmarkEnd w:id="297"/>
      <w:bookmarkEnd w:id="298"/>
      <w:bookmarkEnd w:id="299"/>
      <w:bookmarkEnd w:id="300"/>
      <w:bookmarkEnd w:id="301"/>
      <w:bookmarkEnd w:id="302"/>
      <w:bookmarkEnd w:id="303"/>
      <w:bookmarkEnd w:id="304"/>
      <w:bookmarkEnd w:id="305"/>
      <w:bookmarkEnd w:id="306"/>
    </w:p>
    <w:p w14:paraId="6EBBD879">
      <w:pPr>
        <w:widowControl/>
        <w:ind w:firstLine="48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在本项目中，项目</w:t>
      </w:r>
      <w:r>
        <w:rPr>
          <w:rFonts w:hint="eastAsia" w:ascii="仿宋" w:hAnsi="仿宋" w:eastAsia="仿宋"/>
          <w:color w:val="auto"/>
          <w:sz w:val="28"/>
          <w:szCs w:val="28"/>
          <w:highlight w:val="none"/>
          <w:lang w:val="en-US" w:eastAsia="zh-CN"/>
        </w:rPr>
        <w:t>土地、设计、建设</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资金、融资</w:t>
      </w:r>
      <w:r>
        <w:rPr>
          <w:rFonts w:hint="eastAsia" w:ascii="仿宋" w:hAnsi="仿宋" w:eastAsia="仿宋"/>
          <w:color w:val="auto"/>
          <w:sz w:val="28"/>
          <w:szCs w:val="28"/>
          <w:highlight w:val="none"/>
        </w:rPr>
        <w:t>和运营等商业风险由</w:t>
      </w:r>
      <w:r>
        <w:rPr>
          <w:rFonts w:hint="eastAsia" w:ascii="仿宋" w:hAnsi="仿宋" w:eastAsia="仿宋"/>
          <w:color w:val="auto"/>
          <w:sz w:val="28"/>
          <w:szCs w:val="28"/>
          <w:highlight w:val="none"/>
          <w:lang w:val="en-US" w:eastAsia="zh-CN"/>
        </w:rPr>
        <w:t>特许经营者</w:t>
      </w:r>
      <w:r>
        <w:rPr>
          <w:rFonts w:hint="eastAsia" w:ascii="仿宋" w:hAnsi="仿宋" w:eastAsia="仿宋"/>
          <w:color w:val="auto"/>
          <w:sz w:val="28"/>
          <w:szCs w:val="28"/>
          <w:highlight w:val="none"/>
        </w:rPr>
        <w:t>承担，</w:t>
      </w:r>
      <w:r>
        <w:rPr>
          <w:rFonts w:hint="eastAsia" w:ascii="仿宋" w:hAnsi="仿宋" w:eastAsia="仿宋"/>
          <w:color w:val="auto"/>
          <w:sz w:val="28"/>
          <w:szCs w:val="28"/>
          <w:highlight w:val="none"/>
          <w:lang w:val="en-US" w:eastAsia="zh-CN"/>
        </w:rPr>
        <w:t>审批、补贴不到位</w:t>
      </w:r>
      <w:r>
        <w:rPr>
          <w:rFonts w:hint="eastAsia" w:ascii="仿宋" w:hAnsi="仿宋" w:eastAsia="仿宋"/>
          <w:color w:val="auto"/>
          <w:sz w:val="28"/>
          <w:szCs w:val="28"/>
          <w:highlight w:val="none"/>
        </w:rPr>
        <w:t>等风险由政府承担，</w:t>
      </w:r>
      <w:r>
        <w:rPr>
          <w:rFonts w:hint="eastAsia" w:ascii="仿宋" w:hAnsi="仿宋" w:eastAsia="仿宋"/>
          <w:color w:val="auto"/>
          <w:sz w:val="28"/>
          <w:szCs w:val="28"/>
          <w:highlight w:val="none"/>
          <w:lang w:val="en-US" w:eastAsia="zh-CN"/>
        </w:rPr>
        <w:t>政策、</w:t>
      </w:r>
      <w:r>
        <w:rPr>
          <w:rFonts w:hint="eastAsia" w:ascii="仿宋" w:hAnsi="仿宋" w:eastAsia="仿宋"/>
          <w:color w:val="auto"/>
          <w:sz w:val="28"/>
          <w:szCs w:val="28"/>
          <w:highlight w:val="none"/>
        </w:rPr>
        <w:t>不可抗力等风险由政府和社会资本合理共担。</w:t>
      </w:r>
    </w:p>
    <w:p w14:paraId="20255BA5">
      <w:pPr>
        <w:widowControl/>
        <w:ind w:firstLine="480"/>
        <w:rPr>
          <w:rFonts w:hint="eastAsia" w:ascii="仿宋" w:hAnsi="仿宋" w:eastAsia="仿宋" w:cs="仿宋"/>
          <w:color w:val="auto"/>
          <w:sz w:val="28"/>
          <w:szCs w:val="28"/>
          <w:highlight w:val="none"/>
        </w:rPr>
      </w:pPr>
      <w:r>
        <w:rPr>
          <w:rFonts w:hint="eastAsia" w:ascii="仿宋" w:hAnsi="仿宋" w:eastAsia="仿宋"/>
          <w:color w:val="auto"/>
          <w:sz w:val="28"/>
          <w:szCs w:val="28"/>
          <w:highlight w:val="none"/>
        </w:rPr>
        <w:t>本项目的风险分配方案如下表</w:t>
      </w:r>
      <w:r>
        <w:rPr>
          <w:rFonts w:hint="eastAsia" w:ascii="仿宋" w:hAnsi="仿宋" w:eastAsia="仿宋"/>
          <w:color w:val="auto"/>
          <w:sz w:val="28"/>
          <w:szCs w:val="28"/>
          <w:highlight w:val="none"/>
          <w:lang w:eastAsia="zh-CN"/>
        </w:rPr>
        <w:t>。</w:t>
      </w:r>
    </w:p>
    <w:p w14:paraId="08C3AE57">
      <w:pPr>
        <w:widowControl/>
        <w:shd w:val="clear" w:color="auto"/>
        <w:spacing w:before="0" w:beforeLines="-2147483648" w:after="0" w:afterLines="-2147483648"/>
        <w:ind w:firstLine="0" w:firstLineChars="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表</w:t>
      </w:r>
      <w:r>
        <w:rPr>
          <w:rFonts w:hint="eastAsia" w:ascii="仿宋" w:hAnsi="仿宋" w:eastAsia="仿宋" w:cs="仿宋"/>
          <w:b/>
          <w:bCs/>
          <w:color w:val="auto"/>
          <w:sz w:val="24"/>
          <w:szCs w:val="24"/>
          <w:highlight w:val="none"/>
          <w:lang w:val="en-US" w:eastAsia="zh-CN"/>
        </w:rPr>
        <w:t>4-3</w:t>
      </w:r>
      <w:r>
        <w:rPr>
          <w:rFonts w:hint="eastAsia" w:ascii="仿宋" w:hAnsi="仿宋" w:eastAsia="仿宋" w:cs="仿宋"/>
          <w:b/>
          <w:bCs/>
          <w:color w:val="auto"/>
          <w:sz w:val="24"/>
          <w:szCs w:val="24"/>
          <w:highlight w:val="none"/>
        </w:rPr>
        <w:t>项目风险分配框架</w:t>
      </w:r>
    </w:p>
    <w:tbl>
      <w:tblPr>
        <w:tblStyle w:val="31"/>
        <w:tblW w:w="487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6"/>
        <w:gridCol w:w="2974"/>
        <w:gridCol w:w="926"/>
        <w:gridCol w:w="1387"/>
        <w:gridCol w:w="1068"/>
        <w:gridCol w:w="860"/>
      </w:tblGrid>
      <w:tr w14:paraId="65596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4" w:hRule="atLeast"/>
          <w:tblHeader/>
          <w:jc w:val="center"/>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E75B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2"/>
                <w:szCs w:val="22"/>
                <w:lang w:val="en-US" w:eastAsia="zh-CN"/>
              </w:rPr>
            </w:pPr>
            <w:r>
              <w:rPr>
                <w:rFonts w:hint="eastAsia" w:ascii="仿宋" w:hAnsi="仿宋" w:eastAsia="仿宋"/>
                <w:b/>
                <w:bCs/>
                <w:color w:val="auto"/>
                <w:sz w:val="22"/>
                <w:szCs w:val="22"/>
                <w:lang w:val="en-US" w:eastAsia="zh-CN"/>
              </w:rPr>
              <w:t>风险类型</w:t>
            </w:r>
          </w:p>
        </w:tc>
        <w:tc>
          <w:tcPr>
            <w:tcW w:w="18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6BD7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2"/>
                <w:szCs w:val="22"/>
                <w:lang w:val="en-US" w:eastAsia="zh-CN"/>
              </w:rPr>
            </w:pPr>
            <w:r>
              <w:rPr>
                <w:rFonts w:hint="eastAsia" w:ascii="仿宋" w:hAnsi="仿宋" w:eastAsia="仿宋"/>
                <w:b/>
                <w:bCs/>
                <w:color w:val="auto"/>
                <w:sz w:val="22"/>
                <w:szCs w:val="22"/>
                <w:lang w:val="en-US" w:eastAsia="zh-CN"/>
              </w:rPr>
              <w:t>风险描述</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6795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2"/>
                <w:szCs w:val="22"/>
                <w:lang w:val="en-US" w:eastAsia="zh-CN"/>
              </w:rPr>
            </w:pPr>
            <w:r>
              <w:rPr>
                <w:rFonts w:hint="eastAsia" w:ascii="仿宋" w:hAnsi="仿宋" w:eastAsia="仿宋"/>
                <w:b/>
                <w:bCs/>
                <w:color w:val="auto"/>
                <w:sz w:val="22"/>
                <w:szCs w:val="22"/>
                <w:lang w:val="en-US" w:eastAsia="zh-CN"/>
              </w:rPr>
              <w:t>政府</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4122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2"/>
                <w:szCs w:val="22"/>
                <w:lang w:val="en-US" w:eastAsia="zh-CN"/>
              </w:rPr>
            </w:pPr>
            <w:r>
              <w:rPr>
                <w:rFonts w:hint="eastAsia" w:ascii="仿宋" w:hAnsi="仿宋" w:eastAsia="仿宋"/>
                <w:b/>
                <w:bCs/>
                <w:color w:val="auto"/>
                <w:sz w:val="22"/>
                <w:szCs w:val="22"/>
                <w:lang w:val="en-US" w:eastAsia="zh-CN"/>
              </w:rPr>
              <w:t>社会资本方</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5160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2"/>
                <w:szCs w:val="22"/>
                <w:lang w:val="en-US" w:eastAsia="zh-CN"/>
              </w:rPr>
            </w:pPr>
            <w:r>
              <w:rPr>
                <w:rFonts w:hint="eastAsia" w:ascii="仿宋" w:hAnsi="仿宋" w:eastAsia="仿宋"/>
                <w:b/>
                <w:bCs/>
                <w:color w:val="auto"/>
                <w:sz w:val="22"/>
                <w:szCs w:val="22"/>
                <w:lang w:val="en-US" w:eastAsia="zh-CN"/>
              </w:rPr>
              <w:t>共同承担</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D1F4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2"/>
                <w:szCs w:val="22"/>
                <w:lang w:val="en-US" w:eastAsia="zh-CN"/>
              </w:rPr>
            </w:pPr>
            <w:r>
              <w:rPr>
                <w:rFonts w:hint="eastAsia" w:ascii="仿宋" w:hAnsi="仿宋" w:eastAsia="仿宋"/>
                <w:b/>
                <w:bCs/>
                <w:color w:val="auto"/>
                <w:sz w:val="22"/>
                <w:szCs w:val="22"/>
                <w:lang w:val="en-US" w:eastAsia="zh-CN"/>
              </w:rPr>
              <w:t>备注</w:t>
            </w:r>
          </w:p>
        </w:tc>
      </w:tr>
      <w:tr w14:paraId="7D33B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1EC4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项目审批风险</w:t>
            </w:r>
          </w:p>
        </w:tc>
        <w:tc>
          <w:tcPr>
            <w:tcW w:w="18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395C7">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立项、规划、环评、施工许可等审批环节流程冗长；</w:t>
            </w:r>
          </w:p>
          <w:p w14:paraId="11604815">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审批政策调整导致要件补充或流程变更；</w:t>
            </w:r>
          </w:p>
          <w:p w14:paraId="28C8BC1B">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跨部门协调不畅，审批进度滞后。</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3D1B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BED7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69F4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3EA4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r>
      <w:tr w14:paraId="0DF64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2AE7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土地风险</w:t>
            </w:r>
          </w:p>
        </w:tc>
        <w:tc>
          <w:tcPr>
            <w:tcW w:w="18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2DBC0">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地块权属不清，存在隐性产权纠纷；</w:t>
            </w:r>
          </w:p>
          <w:p w14:paraId="6B53559A">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地下空间使用权界定不明，与周边项目地下结构冲突。</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3BE9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217C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FA27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665F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r>
      <w:tr w14:paraId="5FE16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D07A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设计风险</w:t>
            </w:r>
          </w:p>
        </w:tc>
        <w:tc>
          <w:tcPr>
            <w:tcW w:w="18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7B801">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地下地质条件复杂，勘察数据不准导致设计方案不合理；</w:t>
            </w:r>
          </w:p>
          <w:p w14:paraId="7BF1FE2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设计未充分考虑周边管网、人防工程等因素，引发设计变更；</w:t>
            </w:r>
          </w:p>
          <w:p w14:paraId="28D54169">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智慧停车系统等专项设计与主体设计衔接不畅。</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790F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CE6C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B26C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8469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r>
      <w:tr w14:paraId="5A170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C8C9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资金风险</w:t>
            </w:r>
          </w:p>
        </w:tc>
        <w:tc>
          <w:tcPr>
            <w:tcW w:w="18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4ECC6">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项目建设成本超支，社会资本自有资金不足；</w:t>
            </w:r>
          </w:p>
          <w:p w14:paraId="68FE929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资金支付进度与工程节点不匹配，导致施工中断；</w:t>
            </w:r>
          </w:p>
          <w:p w14:paraId="1B1B459A">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运营期现金流不足以覆盖运维成本。</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CEE6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CA9C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D069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71A4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r>
      <w:tr w14:paraId="1CD7E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9C81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融资风险</w:t>
            </w:r>
          </w:p>
        </w:tc>
        <w:tc>
          <w:tcPr>
            <w:tcW w:w="18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4F0F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金融机构信贷政策收紧，融资额度不足；</w:t>
            </w:r>
          </w:p>
          <w:p w14:paraId="5A89302A">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融资成本高于预期，增加财务负担；</w:t>
            </w:r>
          </w:p>
          <w:p w14:paraId="6E22B099">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项目收益不及预期，无法满足还款要求。</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2A5C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CA14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1BD1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3972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r>
      <w:tr w14:paraId="39076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0D3B8">
            <w:pPr>
              <w:widowControl/>
              <w:spacing w:line="300" w:lineRule="exact"/>
              <w:ind w:left="0" w:leftChars="0" w:firstLine="0" w:firstLineChars="0"/>
              <w:jc w:val="center"/>
              <w:rPr>
                <w:rFonts w:hint="eastAsia" w:ascii="仿宋" w:hAnsi="仿宋" w:eastAsia="仿宋" w:cs="仿宋"/>
                <w:b w:val="0"/>
                <w:bCs w:val="0"/>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补贴申请风险</w:t>
            </w:r>
          </w:p>
        </w:tc>
        <w:tc>
          <w:tcPr>
            <w:tcW w:w="18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6DAC5">
            <w:pPr>
              <w:keepNext w:val="0"/>
              <w:keepLines w:val="0"/>
              <w:pageBreakBefore w:val="0"/>
              <w:widowControl/>
              <w:numPr>
                <w:ilvl w:val="0"/>
                <w:numId w:val="0"/>
              </w:numPr>
              <w:kinsoku/>
              <w:wordWrap/>
              <w:overflowPunct/>
              <w:topLinePunct w:val="0"/>
              <w:autoSpaceDE/>
              <w:autoSpaceDN/>
              <w:bidi w:val="0"/>
              <w:adjustRightInd/>
              <w:snapToGrid w:val="0"/>
              <w:spacing w:line="240" w:lineRule="auto"/>
              <w:ind w:leftChars="0"/>
              <w:jc w:val="both"/>
              <w:textAlignment w:val="auto"/>
              <w:rPr>
                <w:rFonts w:hint="default"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财政预算安排滞后，补助拨付滞后于施工付款节点；</w:t>
            </w:r>
          </w:p>
          <w:p w14:paraId="546DDFD9">
            <w:pPr>
              <w:keepNext w:val="0"/>
              <w:keepLines w:val="0"/>
              <w:pageBreakBefore w:val="0"/>
              <w:widowControl/>
              <w:numPr>
                <w:ilvl w:val="0"/>
                <w:numId w:val="0"/>
              </w:numPr>
              <w:kinsoku/>
              <w:wordWrap/>
              <w:overflowPunct/>
              <w:topLinePunct w:val="0"/>
              <w:autoSpaceDE/>
              <w:autoSpaceDN/>
              <w:bidi w:val="0"/>
              <w:adjustRightInd/>
              <w:snapToGrid w:val="0"/>
              <w:spacing w:line="240" w:lineRule="auto"/>
              <w:ind w:leftChars="0"/>
              <w:jc w:val="both"/>
              <w:textAlignment w:val="auto"/>
              <w:rPr>
                <w:rFonts w:hint="eastAsia" w:ascii="仿宋" w:hAnsi="仿宋" w:eastAsia="仿宋" w:cs="仿宋"/>
                <w:b w:val="0"/>
                <w:bCs w:val="0"/>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补助缺口引发项目建设资金不足、融资成本上升、项目长期亏损，存在社会资本违约风险。</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E701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8FD9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4DD4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31DC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r>
      <w:tr w14:paraId="49B60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801A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工程建设风险</w:t>
            </w:r>
          </w:p>
        </w:tc>
        <w:tc>
          <w:tcPr>
            <w:tcW w:w="18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2EA0A">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地下施工遇复杂地质（如流沙、地下水），引发基坑坍塌等安全事故；</w:t>
            </w:r>
          </w:p>
          <w:p w14:paraId="72C9160F">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施工扬尘、噪声等引发周边居民投诉；</w:t>
            </w:r>
          </w:p>
          <w:p w14:paraId="02A2BE3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施工工艺不当导致工程质量不达标；</w:t>
            </w:r>
          </w:p>
          <w:p w14:paraId="362071CB">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工期延误，无法按时投入运营。</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B098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F3EE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CEC1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DA3C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r>
      <w:tr w14:paraId="2C412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FE04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运营风险</w:t>
            </w:r>
          </w:p>
        </w:tc>
        <w:tc>
          <w:tcPr>
            <w:tcW w:w="18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9BD9D">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停车需求不及预期，车位空置率高；</w:t>
            </w:r>
          </w:p>
          <w:p w14:paraId="3D53F64A">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收费标准调整受限，无法覆盖运营成本；</w:t>
            </w:r>
          </w:p>
          <w:p w14:paraId="5C434846">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智慧停车系统故障导致运营中断；</w:t>
            </w:r>
          </w:p>
          <w:p w14:paraId="77761D17">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停车场管理不善，引发车辆剐蹭、丢失等纠纷。</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CDF6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8F23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E267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6808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r>
      <w:tr w14:paraId="6836F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0C44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移交风险</w:t>
            </w:r>
          </w:p>
        </w:tc>
        <w:tc>
          <w:tcPr>
            <w:tcW w:w="18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A2D4D">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移交时设施设备老化、功能不达标，政府方拒绝接收；</w:t>
            </w:r>
          </w:p>
          <w:p w14:paraId="2155EE34">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移交资料不全，导致权属变更与运营衔接不畅；</w:t>
            </w:r>
          </w:p>
          <w:p w14:paraId="1A692384">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移交后质保期内出现质量问题，责任界定不清。</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D22B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C707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52CA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E8A6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r>
      <w:tr w14:paraId="44ECF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B458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政治和政策风险</w:t>
            </w:r>
          </w:p>
        </w:tc>
        <w:tc>
          <w:tcPr>
            <w:tcW w:w="18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5725D">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停车行业政策调整（如限价、共享停车强制要求）；</w:t>
            </w:r>
          </w:p>
          <w:p w14:paraId="7F1FDF8F">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城市规划调整，项目功能被替代或取消。</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0D99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FAC0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049C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4664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r>
      <w:tr w14:paraId="2D45C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4A48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不可抗力风险</w:t>
            </w:r>
          </w:p>
        </w:tc>
        <w:tc>
          <w:tcPr>
            <w:tcW w:w="18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EFF44">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自然灾害（如地震、洪水、暴雨）导致工程损毁或运营中断；</w:t>
            </w:r>
          </w:p>
          <w:p w14:paraId="6664B6AA">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突发公共事件（如疫情）导致工期延误或客流骤降。</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B148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2238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D498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421D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r>
      <w:tr w14:paraId="3C528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8C2C6">
            <w:pPr>
              <w:widowControl w:val="0"/>
              <w:spacing w:line="240" w:lineRule="auto"/>
              <w:ind w:left="0" w:leftChars="0" w:firstLine="0" w:firstLineChars="0"/>
              <w:jc w:val="center"/>
              <w:rPr>
                <w:rFonts w:hint="eastAsia" w:ascii="仿宋" w:hAnsi="仿宋" w:eastAsia="仿宋"/>
                <w:b w:val="0"/>
                <w:bCs w:val="0"/>
                <w:color w:val="auto"/>
                <w:sz w:val="22"/>
                <w:szCs w:val="22"/>
                <w:lang w:val="en-US" w:eastAsia="zh-CN"/>
              </w:rPr>
            </w:pPr>
            <w:bookmarkStart w:id="307" w:name="_Toc6945"/>
            <w:bookmarkStart w:id="308" w:name="_Toc13651"/>
            <w:bookmarkStart w:id="309" w:name="_Toc6053"/>
            <w:r>
              <w:rPr>
                <w:rFonts w:hint="eastAsia" w:ascii="仿宋" w:hAnsi="仿宋" w:eastAsia="仿宋" w:cs="仿宋"/>
                <w:color w:val="auto"/>
                <w:sz w:val="22"/>
                <w:szCs w:val="22"/>
                <w:highlight w:val="none"/>
                <w:lang w:val="en-US" w:eastAsia="zh-CN"/>
              </w:rPr>
              <w:t>法律风险</w:t>
            </w:r>
          </w:p>
        </w:tc>
        <w:tc>
          <w:tcPr>
            <w:tcW w:w="2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1FFCD">
            <w:pPr>
              <w:widowControl w:val="0"/>
              <w:numPr>
                <w:ilvl w:val="-1"/>
                <w:numId w:val="0"/>
              </w:numPr>
              <w:spacing w:line="240" w:lineRule="auto"/>
              <w:ind w:left="0" w:leftChars="0" w:firstLine="0" w:firstLineChars="0"/>
              <w:jc w:val="center"/>
              <w:rPr>
                <w:rFonts w:hint="eastAsia" w:ascii="仿宋" w:hAnsi="仿宋" w:eastAsia="仿宋"/>
                <w:b w:val="0"/>
                <w:bCs w:val="0"/>
                <w:color w:val="auto"/>
                <w:sz w:val="22"/>
                <w:szCs w:val="22"/>
                <w:lang w:val="en-US" w:eastAsia="zh-CN"/>
              </w:rPr>
            </w:pPr>
            <w:r>
              <w:rPr>
                <w:rFonts w:hint="eastAsia" w:ascii="仿宋" w:hAnsi="仿宋" w:eastAsia="仿宋" w:cs="仿宋"/>
                <w:color w:val="auto"/>
                <w:sz w:val="22"/>
                <w:szCs w:val="22"/>
                <w:highlight w:val="none"/>
                <w:lang w:val="en-US" w:eastAsia="zh-CN"/>
              </w:rPr>
              <w:t>法规政策变更；</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5FB2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DCF8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D12F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00C1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r>
      <w:tr w14:paraId="18E05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4C963">
            <w:pPr>
              <w:widowControl w:val="0"/>
              <w:spacing w:line="240" w:lineRule="auto"/>
              <w:ind w:left="0" w:leftChars="0" w:firstLine="0" w:firstLineChars="0"/>
              <w:jc w:val="center"/>
              <w:rPr>
                <w:rFonts w:hint="eastAsia" w:ascii="仿宋" w:hAnsi="仿宋" w:eastAsia="仿宋"/>
                <w:b w:val="0"/>
                <w:bCs w:val="0"/>
                <w:color w:val="auto"/>
                <w:sz w:val="22"/>
                <w:szCs w:val="22"/>
                <w:lang w:val="en-US" w:eastAsia="zh-CN"/>
              </w:rPr>
            </w:pPr>
            <w:r>
              <w:rPr>
                <w:rFonts w:hint="eastAsia" w:ascii="仿宋" w:hAnsi="仿宋" w:eastAsia="仿宋" w:cs="仿宋"/>
                <w:color w:val="auto"/>
                <w:sz w:val="22"/>
                <w:szCs w:val="22"/>
                <w:highlight w:val="none"/>
                <w:lang w:val="en-US" w:eastAsia="zh-CN"/>
              </w:rPr>
              <w:t>市场风险</w:t>
            </w:r>
          </w:p>
        </w:tc>
        <w:tc>
          <w:tcPr>
            <w:tcW w:w="2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DC435">
            <w:pPr>
              <w:widowControl w:val="0"/>
              <w:numPr>
                <w:ilvl w:val="-1"/>
                <w:numId w:val="0"/>
              </w:numPr>
              <w:spacing w:line="240" w:lineRule="auto"/>
              <w:ind w:firstLine="0" w:firstLineChars="0"/>
              <w:jc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市场需求减弱；</w:t>
            </w:r>
          </w:p>
          <w:p w14:paraId="091DF523">
            <w:pPr>
              <w:widowControl w:val="0"/>
              <w:numPr>
                <w:ilvl w:val="-1"/>
                <w:numId w:val="0"/>
              </w:numPr>
              <w:spacing w:line="240" w:lineRule="auto"/>
              <w:ind w:left="0" w:leftChars="0" w:firstLine="0" w:firstLineChars="0"/>
              <w:jc w:val="center"/>
              <w:rPr>
                <w:rFonts w:hint="eastAsia" w:ascii="仿宋" w:hAnsi="仿宋" w:eastAsia="仿宋"/>
                <w:b w:val="0"/>
                <w:bCs w:val="0"/>
                <w:color w:val="auto"/>
                <w:sz w:val="22"/>
                <w:szCs w:val="22"/>
                <w:lang w:val="en-US" w:eastAsia="zh-CN"/>
              </w:rPr>
            </w:pPr>
            <w:r>
              <w:rPr>
                <w:rFonts w:hint="eastAsia" w:ascii="仿宋" w:hAnsi="仿宋" w:eastAsia="仿宋" w:cs="仿宋"/>
                <w:color w:val="auto"/>
                <w:sz w:val="22"/>
                <w:szCs w:val="22"/>
                <w:highlight w:val="none"/>
                <w:lang w:val="en-US" w:eastAsia="zh-CN"/>
              </w:rPr>
              <w:t>市场竞争加剧。</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F6CF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4942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r>
              <w:rPr>
                <w:rFonts w:hint="eastAsia" w:ascii="仿宋" w:hAnsi="仿宋" w:eastAsia="仿宋"/>
                <w:b w:val="0"/>
                <w:bCs w:val="0"/>
                <w:color w:val="auto"/>
                <w:sz w:val="22"/>
                <w:szCs w:val="22"/>
                <w:lang w:val="en-US" w:eastAsia="zh-CN"/>
              </w:rPr>
              <w:t>√</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6CCD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0074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val="0"/>
                <w:bCs w:val="0"/>
                <w:color w:val="auto"/>
                <w:sz w:val="22"/>
                <w:szCs w:val="22"/>
                <w:lang w:val="en-US" w:eastAsia="zh-CN"/>
              </w:rPr>
            </w:pPr>
          </w:p>
        </w:tc>
      </w:tr>
    </w:tbl>
    <w:p w14:paraId="688FAFB7">
      <w:pPr>
        <w:pStyle w:val="3"/>
        <w:bidi w:val="0"/>
        <w:ind w:left="575" w:hanging="575"/>
        <w:rPr>
          <w:rFonts w:hint="eastAsia" w:ascii="仿宋" w:hAnsi="仿宋" w:eastAsia="仿宋" w:cs="仿宋"/>
          <w:color w:val="auto"/>
          <w:highlight w:val="none"/>
          <w:lang w:val="en-US" w:eastAsia="zh-CN"/>
        </w:rPr>
      </w:pPr>
      <w:bookmarkStart w:id="310" w:name="_Toc19820"/>
      <w:r>
        <w:rPr>
          <w:rFonts w:hint="eastAsia" w:ascii="仿宋" w:hAnsi="仿宋" w:eastAsia="仿宋" w:cs="仿宋"/>
          <w:color w:val="auto"/>
          <w:highlight w:val="none"/>
          <w:lang w:val="en-US" w:eastAsia="zh-CN"/>
        </w:rPr>
        <w:t>政府承诺和保障</w:t>
      </w:r>
      <w:bookmarkEnd w:id="238"/>
      <w:bookmarkEnd w:id="239"/>
      <w:bookmarkEnd w:id="240"/>
      <w:bookmarkEnd w:id="241"/>
      <w:bookmarkEnd w:id="242"/>
      <w:bookmarkEnd w:id="243"/>
      <w:bookmarkEnd w:id="244"/>
      <w:bookmarkEnd w:id="245"/>
      <w:bookmarkEnd w:id="246"/>
      <w:bookmarkEnd w:id="307"/>
      <w:bookmarkEnd w:id="308"/>
      <w:bookmarkEnd w:id="309"/>
      <w:bookmarkEnd w:id="310"/>
    </w:p>
    <w:p w14:paraId="1FA3C6AF">
      <w:pPr>
        <w:bidi w:val="0"/>
        <w:rPr>
          <w:rFonts w:hint="eastAsia" w:ascii="仿宋" w:hAnsi="仿宋" w:eastAsia="仿宋" w:cs="仿宋"/>
          <w:color w:val="auto"/>
          <w:szCs w:val="28"/>
          <w:highlight w:val="none"/>
          <w:lang w:val="en-US" w:eastAsia="zh-CN"/>
        </w:rPr>
      </w:pPr>
      <w:r>
        <w:rPr>
          <w:rFonts w:hint="eastAsia" w:ascii="仿宋" w:hAnsi="仿宋" w:eastAsia="仿宋"/>
          <w:color w:val="auto"/>
          <w:lang w:val="en-US" w:eastAsia="zh-CN"/>
        </w:rPr>
        <w:t>政府将依法依规为项目特许经营提供必要的政策支持与保障，严格履行特许经营协议约定，保证本项目特许经营权的排他性，维护社会资本方合法权益；在项目规划、用地、建设、运营等环节给予协调与指导，保障项目顺利实施与持续稳定运营，不因政府方原因影响项目正常运营；建立健全沟通协调与争议解决机制，营造公平、透明、可预期的营商环境，若因政府方原因导致项目运营受到影响，将按协议约定采取相应措施对特许经营者予以合理补偿，确保特许经营活动规范有序开展。</w:t>
      </w:r>
    </w:p>
    <w:p w14:paraId="1C6E33B9">
      <w:pPr>
        <w:bidi w:val="0"/>
        <w:rPr>
          <w:rFonts w:hint="eastAsia" w:ascii="仿宋" w:hAnsi="仿宋" w:eastAsia="仿宋"/>
          <w:color w:val="auto"/>
          <w:lang w:val="en-US" w:eastAsia="zh-CN"/>
        </w:rPr>
      </w:pPr>
      <w:r>
        <w:rPr>
          <w:rFonts w:hint="eastAsia" w:ascii="仿宋" w:hAnsi="仿宋" w:eastAsia="仿宋"/>
          <w:color w:val="auto"/>
          <w:lang w:val="en-US" w:eastAsia="zh-CN"/>
        </w:rPr>
        <w:t xml:space="preserve">为保证本项目顺利实施，密云区人民政府做出以下承诺和保障： </w:t>
      </w:r>
    </w:p>
    <w:p w14:paraId="6DC32505">
      <w:pPr>
        <w:bidi w:val="0"/>
        <w:rPr>
          <w:rFonts w:hint="eastAsia" w:ascii="仿宋" w:hAnsi="仿宋" w:eastAsia="仿宋"/>
          <w:color w:val="auto"/>
          <w:lang w:val="en-US" w:eastAsia="zh-CN"/>
        </w:rPr>
      </w:pPr>
      <w:r>
        <w:rPr>
          <w:rFonts w:hint="eastAsia" w:ascii="仿宋" w:hAnsi="仿宋" w:eastAsia="仿宋"/>
          <w:color w:val="auto"/>
          <w:lang w:val="en-US" w:eastAsia="zh-CN"/>
        </w:rPr>
        <w:t xml:space="preserve">1.有关审批工作的支持与落实：按照国家及项目所在地有关法 </w:t>
      </w:r>
    </w:p>
    <w:p w14:paraId="284CB1D7">
      <w:pPr>
        <w:bidi w:val="0"/>
        <w:ind w:firstLine="0" w:firstLineChars="0"/>
        <w:rPr>
          <w:rFonts w:hint="eastAsia" w:ascii="仿宋" w:hAnsi="仿宋" w:eastAsia="仿宋"/>
          <w:color w:val="auto"/>
          <w:lang w:val="en-US" w:eastAsia="zh-CN"/>
        </w:rPr>
      </w:pPr>
      <w:r>
        <w:rPr>
          <w:rFonts w:hint="eastAsia" w:ascii="仿宋" w:hAnsi="仿宋" w:eastAsia="仿宋"/>
          <w:color w:val="auto"/>
          <w:lang w:val="en-US" w:eastAsia="zh-CN"/>
        </w:rPr>
        <w:t xml:space="preserve">律及法规，在密云区人民政府权限和管辖范围内，由项目实施机构 </w:t>
      </w:r>
    </w:p>
    <w:p w14:paraId="74DCA26D">
      <w:pPr>
        <w:bidi w:val="0"/>
        <w:ind w:firstLine="0" w:firstLineChars="0"/>
        <w:rPr>
          <w:rFonts w:hint="eastAsia" w:ascii="仿宋" w:hAnsi="仿宋" w:eastAsia="仿宋"/>
          <w:color w:val="auto"/>
          <w:lang w:val="en-US" w:eastAsia="zh-CN"/>
        </w:rPr>
      </w:pPr>
      <w:r>
        <w:rPr>
          <w:rFonts w:hint="eastAsia" w:ascii="仿宋" w:hAnsi="仿宋" w:eastAsia="仿宋"/>
          <w:color w:val="auto"/>
          <w:lang w:val="en-US" w:eastAsia="zh-CN"/>
        </w:rPr>
        <w:t>协助中标社会资本及时获得设立项目公司（如需要）、投资以及融资、建设、运营、维护及管理所必需的相关批文或手续；保证本项目中标社会资本方或项目公司获得特许经营权；协助特许经营者办理项目核准/备案手续，以获得本项目所需的其他批准。</w:t>
      </w:r>
    </w:p>
    <w:p w14:paraId="33C15435">
      <w:p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 xml:space="preserve">2.土地获取：本项目涉及的用地符合出让用地规定的，密云区 </w:t>
      </w:r>
    </w:p>
    <w:p w14:paraId="432F6867">
      <w:pPr>
        <w:bidi w:val="0"/>
        <w:ind w:firstLine="0" w:firstLineChars="0"/>
        <w:rPr>
          <w:rFonts w:hint="eastAsia" w:ascii="仿宋" w:hAnsi="仿宋" w:eastAsia="仿宋"/>
          <w:color w:val="auto"/>
          <w:lang w:val="en-US" w:eastAsia="zh-CN"/>
        </w:rPr>
      </w:pPr>
      <w:r>
        <w:rPr>
          <w:rFonts w:hint="eastAsia" w:ascii="仿宋" w:hAnsi="仿宋" w:eastAsia="仿宋"/>
          <w:color w:val="auto"/>
          <w:lang w:val="en-US" w:eastAsia="zh-CN"/>
        </w:rPr>
        <w:t xml:space="preserve">人民政府将依据土地用途以协议出让方式提供项目的建设用地使用权，土地出让年限不少于40年（最终以土地出让协议为准），不符合出让用地规定的，按照相关政策规定执行。 </w:t>
      </w:r>
    </w:p>
    <w:p w14:paraId="5D8881FA">
      <w:pPr>
        <w:bidi w:val="0"/>
        <w:ind w:firstLine="560" w:firstLineChars="200"/>
        <w:rPr>
          <w:rFonts w:hint="eastAsia" w:ascii="仿宋" w:hAnsi="仿宋" w:eastAsia="仿宋"/>
          <w:color w:val="auto"/>
          <w:lang w:val="en-US" w:eastAsia="zh-CN"/>
        </w:rPr>
      </w:pPr>
      <w:r>
        <w:rPr>
          <w:rFonts w:hint="eastAsia" w:ascii="仿宋" w:hAnsi="仿宋" w:eastAsia="仿宋"/>
          <w:color w:val="auto"/>
          <w:highlight w:val="none"/>
          <w:lang w:val="en-US" w:eastAsia="zh-CN"/>
        </w:rPr>
        <w:t xml:space="preserve">3.征地拆迁：按本项目实施计划完成征拆工作。 </w:t>
      </w:r>
    </w:p>
    <w:p w14:paraId="0AA4C8EA">
      <w:p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 xml:space="preserve">4.水、电、气和道路等配套设施：项目正常的场地达到通水、 </w:t>
      </w:r>
    </w:p>
    <w:p w14:paraId="244F8C72">
      <w:pPr>
        <w:bidi w:val="0"/>
        <w:ind w:firstLine="0" w:firstLineChars="0"/>
        <w:rPr>
          <w:rFonts w:hint="eastAsia" w:ascii="仿宋" w:hAnsi="仿宋" w:eastAsia="仿宋"/>
          <w:color w:val="auto"/>
          <w:lang w:val="en-US" w:eastAsia="zh-CN"/>
        </w:rPr>
      </w:pPr>
      <w:r>
        <w:rPr>
          <w:rFonts w:hint="eastAsia" w:ascii="仿宋" w:hAnsi="仿宋" w:eastAsia="仿宋"/>
          <w:color w:val="auto"/>
          <w:lang w:val="en-US" w:eastAsia="zh-CN"/>
        </w:rPr>
        <w:t>通电、通气和道路等配套设施，由</w:t>
      </w:r>
      <w:r>
        <w:rPr>
          <w:rFonts w:hint="eastAsia" w:ascii="仿宋" w:hAnsi="仿宋" w:eastAsia="仿宋"/>
          <w:color w:val="auto"/>
          <w:highlight w:val="none"/>
          <w:lang w:val="en-US" w:eastAsia="zh-CN"/>
        </w:rPr>
        <w:t>特许经营者</w:t>
      </w:r>
      <w:r>
        <w:rPr>
          <w:rFonts w:hint="eastAsia" w:ascii="仿宋" w:hAnsi="仿宋" w:eastAsia="仿宋"/>
          <w:color w:val="auto"/>
          <w:lang w:val="en-US" w:eastAsia="zh-CN"/>
        </w:rPr>
        <w:t xml:space="preserve">负责，政府方提供必要 </w:t>
      </w:r>
    </w:p>
    <w:p w14:paraId="0AAF2700">
      <w:pPr>
        <w:bidi w:val="0"/>
        <w:ind w:firstLine="0" w:firstLineChars="0"/>
        <w:rPr>
          <w:rFonts w:hint="eastAsia" w:ascii="仿宋" w:hAnsi="仿宋" w:eastAsia="仿宋"/>
          <w:color w:val="auto"/>
          <w:lang w:val="en-US" w:eastAsia="zh-CN"/>
        </w:rPr>
      </w:pPr>
      <w:r>
        <w:rPr>
          <w:rFonts w:hint="eastAsia" w:ascii="仿宋" w:hAnsi="仿宋" w:eastAsia="仿宋"/>
          <w:color w:val="auto"/>
          <w:lang w:val="en-US" w:eastAsia="zh-CN"/>
        </w:rPr>
        <w:t xml:space="preserve">的协助。 </w:t>
      </w:r>
    </w:p>
    <w:p w14:paraId="3CCFD8D6">
      <w:pPr>
        <w:numPr>
          <w:ilvl w:val="-1"/>
          <w:numId w:val="0"/>
        </w:numPr>
        <w:bidi w:val="0"/>
        <w:ind w:firstLine="560"/>
        <w:rPr>
          <w:rFonts w:hint="eastAsia" w:ascii="仿宋" w:hAnsi="仿宋" w:eastAsia="仿宋"/>
          <w:color w:val="auto"/>
          <w:lang w:val="en-US" w:eastAsia="zh-CN"/>
        </w:rPr>
      </w:pPr>
      <w:r>
        <w:rPr>
          <w:rFonts w:hint="eastAsia" w:ascii="仿宋" w:hAnsi="仿宋" w:eastAsia="仿宋"/>
          <w:color w:val="auto"/>
          <w:lang w:val="en-US" w:eastAsia="zh-CN"/>
        </w:rPr>
        <w:t>5.排他性约定：政府承诺根据特许经营协议授予特许经营者的特许经营权，在特许经营期间内是专属于特许经营者的。政府应确保特许经营权的任何部分在特许经营期间将不再被授予其他方。为保障特许经营者或项目公司预期收益，政府承诺在本项目周边3公里内，原则上不再以特许经营模式新建同类型地下停车场项目。否则特许经营者或项目公司有权要求政府方采取补救措施；协商不成的，政府方应通过延长特许经营期、调整收费标准或支付违约金等方式对特许经营者或项目公司进行补偿。</w:t>
      </w:r>
    </w:p>
    <w:p w14:paraId="1A415328">
      <w:pPr>
        <w:numPr>
          <w:ilvl w:val="-1"/>
          <w:numId w:val="0"/>
        </w:numPr>
        <w:bidi w:val="0"/>
        <w:ind w:firstLine="560"/>
        <w:rPr>
          <w:rFonts w:hint="eastAsia" w:ascii="仿宋" w:hAnsi="仿宋" w:eastAsia="仿宋"/>
          <w:color w:val="auto"/>
          <w:szCs w:val="28"/>
          <w:highlight w:val="none"/>
          <w:lang w:val="en-US" w:eastAsia="zh-CN"/>
        </w:rPr>
      </w:pPr>
      <w:r>
        <w:rPr>
          <w:rFonts w:hint="eastAsia" w:ascii="仿宋" w:hAnsi="仿宋" w:eastAsia="仿宋"/>
          <w:color w:val="auto"/>
          <w:lang w:val="en-US" w:eastAsia="zh-CN"/>
        </w:rPr>
        <w:t>6.投资支持：按照相关政策规定，协助特许经营者申请政府投资补助资金。</w:t>
      </w:r>
    </w:p>
    <w:p w14:paraId="258B2167">
      <w:pPr>
        <w:pStyle w:val="3"/>
        <w:bidi w:val="0"/>
        <w:ind w:left="575" w:hanging="575"/>
        <w:rPr>
          <w:rFonts w:hint="eastAsia" w:ascii="仿宋" w:hAnsi="仿宋" w:eastAsia="仿宋" w:cs="仿宋"/>
          <w:color w:val="auto"/>
          <w:highlight w:val="none"/>
          <w:lang w:val="en-US" w:eastAsia="zh-CN"/>
        </w:rPr>
      </w:pPr>
      <w:bookmarkStart w:id="311" w:name="_Toc11198"/>
      <w:bookmarkStart w:id="312" w:name="_Toc1899"/>
      <w:bookmarkStart w:id="313" w:name="_Toc8200"/>
      <w:bookmarkStart w:id="314" w:name="_Toc27941"/>
      <w:r>
        <w:rPr>
          <w:rFonts w:hint="eastAsia" w:ascii="仿宋" w:hAnsi="仿宋" w:eastAsia="仿宋" w:cs="仿宋"/>
          <w:color w:val="auto"/>
          <w:highlight w:val="none"/>
          <w:lang w:val="en-US" w:eastAsia="zh-CN"/>
        </w:rPr>
        <w:t>调整、变更等其他要求</w:t>
      </w:r>
      <w:bookmarkEnd w:id="311"/>
      <w:bookmarkEnd w:id="312"/>
      <w:bookmarkEnd w:id="313"/>
      <w:bookmarkEnd w:id="314"/>
    </w:p>
    <w:p w14:paraId="4741B404">
      <w:pPr>
        <w:pStyle w:val="4"/>
        <w:ind w:left="720" w:hanging="720"/>
        <w:rPr>
          <w:rFonts w:hint="eastAsia" w:ascii="仿宋" w:hAnsi="仿宋" w:eastAsia="仿宋"/>
          <w:color w:val="auto"/>
          <w:lang w:val="en-US" w:eastAsia="zh-CN"/>
        </w:rPr>
      </w:pPr>
      <w:bookmarkStart w:id="315" w:name="_Toc23448"/>
      <w:bookmarkStart w:id="316" w:name="_Toc107258327"/>
      <w:bookmarkStart w:id="317" w:name="_Toc5560"/>
      <w:bookmarkStart w:id="318" w:name="_Toc28084"/>
      <w:bookmarkStart w:id="319" w:name="_Toc20486"/>
      <w:bookmarkStart w:id="320" w:name="_Toc19775"/>
      <w:bookmarkStart w:id="321" w:name="_Toc10867"/>
      <w:bookmarkStart w:id="322" w:name="_Toc17080"/>
      <w:bookmarkStart w:id="323" w:name="_Toc19245"/>
      <w:bookmarkStart w:id="324" w:name="_Toc492734460"/>
      <w:r>
        <w:rPr>
          <w:rFonts w:hint="eastAsia" w:ascii="仿宋" w:hAnsi="仿宋" w:eastAsia="仿宋"/>
          <w:color w:val="auto"/>
          <w:lang w:val="en-US" w:eastAsia="zh-CN"/>
        </w:rPr>
        <w:t>特许经营框架体系构成</w:t>
      </w:r>
      <w:bookmarkEnd w:id="315"/>
      <w:bookmarkEnd w:id="316"/>
      <w:bookmarkEnd w:id="317"/>
      <w:bookmarkEnd w:id="318"/>
      <w:bookmarkEnd w:id="319"/>
      <w:bookmarkEnd w:id="320"/>
      <w:bookmarkEnd w:id="321"/>
      <w:bookmarkEnd w:id="322"/>
      <w:bookmarkEnd w:id="323"/>
      <w:bookmarkEnd w:id="324"/>
      <w:r>
        <w:rPr>
          <w:rFonts w:hint="eastAsia" w:ascii="仿宋" w:hAnsi="仿宋" w:eastAsia="仿宋"/>
          <w:color w:val="auto"/>
          <w:lang w:val="en-US" w:eastAsia="zh-CN"/>
        </w:rPr>
        <w:t>及参与主体要求</w:t>
      </w:r>
    </w:p>
    <w:p w14:paraId="31093D19">
      <w:pPr>
        <w:numPr>
          <w:ilvl w:val="0"/>
          <w:numId w:val="83"/>
        </w:numPr>
        <w:bidi w:val="0"/>
        <w:ind w:left="0" w:leftChars="0" w:firstLine="560" w:firstLineChars="200"/>
        <w:rPr>
          <w:rFonts w:hint="eastAsia" w:ascii="仿宋" w:hAnsi="仿宋" w:eastAsia="仿宋"/>
          <w:color w:val="auto"/>
        </w:rPr>
      </w:pPr>
      <w:bookmarkStart w:id="325" w:name="_Toc1549049314"/>
      <w:bookmarkStart w:id="326" w:name="_Toc973230676"/>
      <w:bookmarkStart w:id="327" w:name="_Toc5099"/>
      <w:r>
        <w:rPr>
          <w:rFonts w:hint="eastAsia" w:ascii="仿宋" w:hAnsi="仿宋" w:eastAsia="仿宋"/>
          <w:color w:val="auto"/>
        </w:rPr>
        <w:t>框架章节体系</w:t>
      </w:r>
      <w:bookmarkEnd w:id="325"/>
      <w:bookmarkEnd w:id="326"/>
      <w:bookmarkEnd w:id="327"/>
      <w:r>
        <w:rPr>
          <w:rFonts w:hint="eastAsia" w:ascii="仿宋" w:hAnsi="仿宋" w:eastAsia="仿宋"/>
          <w:color w:val="auto"/>
          <w:lang w:val="en-US" w:eastAsia="zh-CN"/>
        </w:rPr>
        <w:t>要求</w:t>
      </w:r>
    </w:p>
    <w:p w14:paraId="1CA92736">
      <w:pPr>
        <w:bidi w:val="0"/>
        <w:rPr>
          <w:rFonts w:hint="eastAsia" w:ascii="仿宋" w:hAnsi="仿宋" w:eastAsia="仿宋"/>
          <w:color w:val="auto"/>
        </w:rPr>
      </w:pPr>
      <w:r>
        <w:rPr>
          <w:rFonts w:hint="eastAsia" w:ascii="仿宋" w:hAnsi="仿宋" w:eastAsia="仿宋"/>
          <w:color w:val="auto"/>
        </w:rPr>
        <w:t>本项目特许经营框架需涵盖总则、双方权利义务、实施范围与期限、项目建设、项目用地、经营和服务、违约责任、项目移交、不可抗力、争议解决、主体变更、保密条款等核心模块，全面覆盖项目全生命周期各项关键事项，确保框架体系完整、逻辑清晰，符合特许经营相关法律法规及政策要求。</w:t>
      </w:r>
    </w:p>
    <w:p w14:paraId="47B4087A">
      <w:pPr>
        <w:numPr>
          <w:ilvl w:val="0"/>
          <w:numId w:val="83"/>
        </w:numPr>
        <w:bidi w:val="0"/>
        <w:ind w:left="0" w:leftChars="0" w:firstLine="560" w:firstLineChars="200"/>
        <w:rPr>
          <w:rFonts w:hint="eastAsia" w:ascii="仿宋" w:hAnsi="仿宋" w:eastAsia="仿宋"/>
          <w:color w:val="auto"/>
        </w:rPr>
      </w:pPr>
      <w:bookmarkStart w:id="328" w:name="_Toc11423"/>
      <w:bookmarkStart w:id="329" w:name="_Toc1852515980"/>
      <w:bookmarkStart w:id="330" w:name="_Toc927567817"/>
      <w:r>
        <w:rPr>
          <w:rFonts w:hint="eastAsia" w:ascii="仿宋" w:hAnsi="仿宋" w:eastAsia="仿宋"/>
          <w:color w:val="auto"/>
        </w:rPr>
        <w:t>参与主体</w:t>
      </w:r>
      <w:bookmarkEnd w:id="328"/>
      <w:bookmarkEnd w:id="329"/>
      <w:bookmarkEnd w:id="330"/>
      <w:r>
        <w:rPr>
          <w:rFonts w:hint="eastAsia" w:ascii="仿宋" w:hAnsi="仿宋" w:eastAsia="仿宋"/>
          <w:color w:val="auto"/>
          <w:lang w:val="en-US" w:eastAsia="zh-CN"/>
        </w:rPr>
        <w:t>要求</w:t>
      </w:r>
    </w:p>
    <w:p w14:paraId="182F350B">
      <w:pPr>
        <w:bidi w:val="0"/>
        <w:rPr>
          <w:rFonts w:hint="eastAsia" w:ascii="仿宋" w:hAnsi="仿宋" w:eastAsia="仿宋"/>
          <w:color w:val="auto"/>
        </w:rPr>
      </w:pPr>
      <w:r>
        <w:rPr>
          <w:rFonts w:hint="eastAsia" w:ascii="仿宋" w:hAnsi="仿宋" w:eastAsia="仿宋"/>
          <w:color w:val="auto"/>
        </w:rPr>
        <w:t>本项目参与主体包括密云区人民政府、北京市密云区城管委（实施机构）及特许经营者（或项目公司），各主体需明确自身职能定位，履行相应职责，确保权责清晰、协同高效，具体职能要求如下：</w:t>
      </w:r>
    </w:p>
    <w:p w14:paraId="6814F420">
      <w:pPr>
        <w:shd w:val="clear" w:color="auto"/>
        <w:ind w:firstLine="0" w:firstLineChars="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表</w:t>
      </w:r>
      <w:r>
        <w:rPr>
          <w:rFonts w:hint="eastAsia" w:ascii="仿宋" w:hAnsi="仿宋" w:eastAsia="仿宋" w:cs="仿宋"/>
          <w:b/>
          <w:bCs/>
          <w:color w:val="auto"/>
          <w:sz w:val="24"/>
          <w:szCs w:val="24"/>
          <w:highlight w:val="none"/>
          <w:lang w:val="en-US" w:eastAsia="zh-CN"/>
        </w:rPr>
        <w:t>4-4</w:t>
      </w:r>
      <w:r>
        <w:rPr>
          <w:rFonts w:hint="eastAsia" w:ascii="仿宋" w:hAnsi="仿宋" w:eastAsia="仿宋" w:cs="仿宋"/>
          <w:b/>
          <w:bCs/>
          <w:color w:val="auto"/>
          <w:sz w:val="24"/>
          <w:szCs w:val="24"/>
          <w:highlight w:val="none"/>
        </w:rPr>
        <w:t>项目参与主体及主体职能表</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9"/>
        <w:gridCol w:w="5695"/>
      </w:tblGrid>
      <w:tr w14:paraId="00283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567" w:type="pct"/>
            <w:shd w:val="clear" w:color="auto" w:fill="auto"/>
            <w:vAlign w:val="center"/>
          </w:tcPr>
          <w:p w14:paraId="763AD134">
            <w:pPr>
              <w:pStyle w:val="30"/>
              <w:spacing w:line="240" w:lineRule="auto"/>
              <w:ind w:left="0" w:leftChars="0" w:firstLine="0" w:firstLineChars="0"/>
              <w:jc w:val="center"/>
              <w:rPr>
                <w:rFonts w:hint="eastAsia" w:ascii="仿宋" w:hAnsi="仿宋" w:eastAsia="仿宋"/>
                <w:b/>
                <w:bCs/>
                <w:color w:val="auto"/>
                <w:sz w:val="22"/>
                <w:szCs w:val="22"/>
                <w:highlight w:val="none"/>
              </w:rPr>
            </w:pPr>
            <w:r>
              <w:rPr>
                <w:rFonts w:hint="eastAsia" w:ascii="仿宋" w:hAnsi="仿宋" w:eastAsia="仿宋"/>
                <w:b/>
                <w:bCs/>
                <w:color w:val="auto"/>
                <w:sz w:val="22"/>
                <w:szCs w:val="22"/>
                <w:highlight w:val="none"/>
              </w:rPr>
              <w:t>参与主体</w:t>
            </w:r>
          </w:p>
        </w:tc>
        <w:tc>
          <w:tcPr>
            <w:tcW w:w="5850" w:type="dxa"/>
            <w:shd w:val="clear" w:color="auto" w:fill="auto"/>
            <w:vAlign w:val="center"/>
          </w:tcPr>
          <w:p w14:paraId="19307AA7">
            <w:pPr>
              <w:pStyle w:val="30"/>
              <w:spacing w:line="240" w:lineRule="auto"/>
              <w:ind w:left="0" w:leftChars="0" w:firstLine="0" w:firstLineChars="0"/>
              <w:jc w:val="center"/>
              <w:rPr>
                <w:rFonts w:hint="eastAsia" w:ascii="仿宋" w:hAnsi="仿宋" w:eastAsia="仿宋"/>
                <w:color w:val="auto"/>
                <w:sz w:val="22"/>
                <w:szCs w:val="22"/>
                <w:highlight w:val="none"/>
              </w:rPr>
            </w:pPr>
            <w:r>
              <w:rPr>
                <w:rFonts w:hint="eastAsia" w:ascii="仿宋" w:hAnsi="仿宋" w:eastAsia="仿宋"/>
                <w:b/>
                <w:bCs/>
                <w:color w:val="auto"/>
                <w:sz w:val="22"/>
                <w:szCs w:val="22"/>
                <w:highlight w:val="none"/>
              </w:rPr>
              <w:t>职能要求</w:t>
            </w:r>
          </w:p>
        </w:tc>
      </w:tr>
      <w:tr w14:paraId="77B04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67" w:type="pct"/>
            <w:vAlign w:val="center"/>
          </w:tcPr>
          <w:p w14:paraId="19AAD9A4">
            <w:pPr>
              <w:pStyle w:val="30"/>
              <w:spacing w:line="240" w:lineRule="auto"/>
              <w:ind w:left="0" w:leftChars="0" w:firstLine="0" w:firstLineChars="0"/>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lang w:val="en-US" w:eastAsia="zh-CN"/>
              </w:rPr>
              <w:t>密云区</w:t>
            </w:r>
            <w:r>
              <w:rPr>
                <w:rFonts w:hint="eastAsia" w:ascii="仿宋" w:hAnsi="仿宋" w:eastAsia="仿宋"/>
                <w:color w:val="auto"/>
                <w:sz w:val="22"/>
                <w:szCs w:val="22"/>
                <w:highlight w:val="none"/>
              </w:rPr>
              <w:t>人民政府</w:t>
            </w:r>
          </w:p>
        </w:tc>
        <w:tc>
          <w:tcPr>
            <w:tcW w:w="5850" w:type="dxa"/>
            <w:vAlign w:val="top"/>
          </w:tcPr>
          <w:p w14:paraId="5855F825">
            <w:pPr>
              <w:pStyle w:val="30"/>
              <w:spacing w:line="240" w:lineRule="auto"/>
              <w:ind w:left="0" w:leftChars="0" w:firstLine="0" w:firstLineChars="0"/>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负责授权实施机构，审核批准本项目特许经营模式，统筹保障项目政策支持落地，监督相关工作规范推进。</w:t>
            </w:r>
          </w:p>
        </w:tc>
      </w:tr>
      <w:tr w14:paraId="60DD3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67" w:type="pct"/>
            <w:vAlign w:val="center"/>
          </w:tcPr>
          <w:p w14:paraId="041A8924">
            <w:pPr>
              <w:pStyle w:val="30"/>
              <w:spacing w:line="240" w:lineRule="auto"/>
              <w:ind w:left="0" w:leftChars="0" w:firstLine="0" w:firstLineChars="0"/>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lang w:val="en-US" w:eastAsia="zh-CN"/>
              </w:rPr>
              <w:t>密云区城管委</w:t>
            </w:r>
          </w:p>
        </w:tc>
        <w:tc>
          <w:tcPr>
            <w:tcW w:w="5850" w:type="dxa"/>
            <w:vAlign w:val="top"/>
          </w:tcPr>
          <w:p w14:paraId="185465CE">
            <w:pPr>
              <w:pStyle w:val="30"/>
              <w:spacing w:line="240" w:lineRule="auto"/>
              <w:ind w:left="0" w:leftChars="0" w:firstLine="0" w:firstLineChars="0"/>
              <w:jc w:val="center"/>
              <w:rPr>
                <w:rFonts w:hint="eastAsia" w:ascii="仿宋" w:hAnsi="仿宋" w:eastAsia="仿宋"/>
                <w:color w:val="auto"/>
                <w:sz w:val="22"/>
                <w:szCs w:val="22"/>
                <w:highlight w:val="none"/>
              </w:rPr>
            </w:pPr>
            <w:r>
              <w:rPr>
                <w:rFonts w:hint="eastAsia" w:ascii="仿宋" w:hAnsi="仿宋" w:eastAsia="仿宋"/>
                <w:color w:val="auto"/>
                <w:sz w:val="22"/>
                <w:szCs w:val="22"/>
                <w:highlight w:val="none"/>
              </w:rPr>
              <w:t>作为项目实施机构，需在政府授权范围内，规范开展特许经营者采购、项目全生命周期监管，依法签订并履行特许经营协议，协调落实各项支持政策。</w:t>
            </w:r>
          </w:p>
        </w:tc>
      </w:tr>
      <w:tr w14:paraId="32D5F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67" w:type="pct"/>
            <w:vAlign w:val="center"/>
          </w:tcPr>
          <w:p w14:paraId="21B6B15A">
            <w:pPr>
              <w:pStyle w:val="30"/>
              <w:spacing w:line="240" w:lineRule="auto"/>
              <w:ind w:left="0" w:leftChars="0" w:firstLine="0" w:firstLineChars="0"/>
              <w:jc w:val="center"/>
              <w:rPr>
                <w:rFonts w:hint="eastAsia" w:ascii="仿宋" w:hAnsi="仿宋" w:eastAsia="仿宋"/>
                <w:color w:val="auto"/>
                <w:sz w:val="22"/>
                <w:szCs w:val="22"/>
                <w:highlight w:val="none"/>
                <w:lang w:val="en-US" w:eastAsia="zh-CN"/>
              </w:rPr>
            </w:pPr>
            <w:r>
              <w:rPr>
                <w:rFonts w:hint="eastAsia" w:ascii="仿宋" w:hAnsi="仿宋" w:eastAsia="仿宋"/>
                <w:color w:val="auto"/>
                <w:sz w:val="22"/>
                <w:szCs w:val="22"/>
                <w:highlight w:val="none"/>
                <w:lang w:val="en-US" w:eastAsia="zh-CN"/>
              </w:rPr>
              <w:t>特许经营者</w:t>
            </w:r>
          </w:p>
        </w:tc>
        <w:tc>
          <w:tcPr>
            <w:tcW w:w="5850" w:type="dxa"/>
            <w:vAlign w:val="top"/>
          </w:tcPr>
          <w:p w14:paraId="6680109F">
            <w:pPr>
              <w:pStyle w:val="30"/>
              <w:spacing w:line="240" w:lineRule="auto"/>
              <w:ind w:left="0" w:leftChars="0" w:firstLine="0" w:firstLineChars="0"/>
              <w:jc w:val="center"/>
              <w:rPr>
                <w:rFonts w:hint="eastAsia" w:ascii="仿宋" w:hAnsi="仿宋" w:eastAsia="仿宋"/>
                <w:color w:val="auto"/>
                <w:sz w:val="22"/>
                <w:szCs w:val="22"/>
                <w:highlight w:val="none"/>
                <w:lang w:eastAsia="zh-CN"/>
              </w:rPr>
            </w:pPr>
            <w:r>
              <w:rPr>
                <w:rFonts w:hint="eastAsia" w:ascii="仿宋" w:hAnsi="仿宋" w:eastAsia="仿宋"/>
                <w:color w:val="auto"/>
                <w:sz w:val="22"/>
                <w:szCs w:val="22"/>
                <w:highlight w:val="none"/>
              </w:rPr>
              <w:t>需全面负责项目投资、建设、运营、管理、维护和移交全过程工作，主动接受实施机构及相关部门监督管理，规范履行相关义务（如需成立项目公司，需做好项目公司监督管理）。</w:t>
            </w:r>
          </w:p>
        </w:tc>
      </w:tr>
      <w:tr w14:paraId="56186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67" w:type="pct"/>
            <w:vAlign w:val="center"/>
          </w:tcPr>
          <w:p w14:paraId="72535EBC">
            <w:pPr>
              <w:pStyle w:val="30"/>
              <w:spacing w:line="240" w:lineRule="auto"/>
              <w:ind w:left="0" w:leftChars="0" w:firstLine="0" w:firstLineChars="0"/>
              <w:jc w:val="center"/>
              <w:rPr>
                <w:rFonts w:hint="eastAsia" w:ascii="仿宋" w:hAnsi="仿宋" w:eastAsia="仿宋"/>
                <w:color w:val="auto"/>
                <w:sz w:val="22"/>
                <w:szCs w:val="22"/>
                <w:highlight w:val="none"/>
                <w:lang w:val="en-US" w:eastAsia="zh-CN"/>
              </w:rPr>
            </w:pPr>
            <w:r>
              <w:rPr>
                <w:rFonts w:hint="eastAsia" w:ascii="仿宋" w:hAnsi="仿宋" w:eastAsia="仿宋"/>
                <w:color w:val="auto"/>
                <w:sz w:val="22"/>
                <w:szCs w:val="22"/>
                <w:highlight w:val="none"/>
                <w:lang w:val="en-US" w:eastAsia="zh-CN"/>
              </w:rPr>
              <w:t>项目公司（如设立）</w:t>
            </w:r>
          </w:p>
        </w:tc>
        <w:tc>
          <w:tcPr>
            <w:tcW w:w="5850" w:type="dxa"/>
            <w:vAlign w:val="top"/>
          </w:tcPr>
          <w:p w14:paraId="2538CB9F">
            <w:pPr>
              <w:pStyle w:val="30"/>
              <w:spacing w:line="240" w:lineRule="auto"/>
              <w:ind w:left="0" w:leftChars="0" w:firstLine="0" w:firstLineChars="0"/>
              <w:jc w:val="center"/>
              <w:rPr>
                <w:rFonts w:hint="eastAsia" w:ascii="仿宋" w:hAnsi="仿宋" w:eastAsia="仿宋"/>
                <w:color w:val="auto"/>
                <w:sz w:val="22"/>
                <w:szCs w:val="22"/>
                <w:highlight w:val="none"/>
                <w:lang w:val="en-US" w:eastAsia="zh-CN"/>
              </w:rPr>
            </w:pPr>
            <w:r>
              <w:rPr>
                <w:rFonts w:hint="eastAsia" w:ascii="仿宋" w:hAnsi="仿宋" w:eastAsia="仿宋"/>
                <w:color w:val="auto"/>
                <w:sz w:val="22"/>
                <w:szCs w:val="22"/>
                <w:highlight w:val="none"/>
              </w:rPr>
              <w:t>需承继特许经营者的特许经营权，作为项目具体实施主体，全面履行特许经营相关权利、责任和义务，规范开展项目各项工作。</w:t>
            </w:r>
          </w:p>
        </w:tc>
      </w:tr>
    </w:tbl>
    <w:p w14:paraId="36DF8935">
      <w:pPr>
        <w:numPr>
          <w:ilvl w:val="0"/>
          <w:numId w:val="83"/>
        </w:numPr>
        <w:bidi w:val="0"/>
        <w:ind w:left="0" w:leftChars="0" w:firstLine="560" w:firstLineChars="200"/>
        <w:rPr>
          <w:rFonts w:hint="eastAsia" w:ascii="仿宋" w:hAnsi="仿宋" w:eastAsia="仿宋"/>
          <w:color w:val="auto"/>
        </w:rPr>
      </w:pPr>
      <w:bookmarkStart w:id="331" w:name="_Toc1048506746"/>
      <w:bookmarkStart w:id="332" w:name="_Toc21831"/>
      <w:bookmarkStart w:id="333" w:name="_Toc1018161654"/>
      <w:r>
        <w:rPr>
          <w:rFonts w:hint="eastAsia" w:ascii="仿宋" w:hAnsi="仿宋" w:eastAsia="仿宋"/>
          <w:color w:val="auto"/>
        </w:rPr>
        <w:t>法律结构</w:t>
      </w:r>
      <w:bookmarkEnd w:id="331"/>
      <w:bookmarkEnd w:id="332"/>
      <w:bookmarkEnd w:id="333"/>
      <w:r>
        <w:rPr>
          <w:rFonts w:hint="eastAsia" w:ascii="仿宋" w:hAnsi="仿宋" w:eastAsia="仿宋"/>
          <w:color w:val="auto"/>
          <w:lang w:val="en-US" w:eastAsia="zh-CN"/>
        </w:rPr>
        <w:t>要求</w:t>
      </w:r>
    </w:p>
    <w:p w14:paraId="455919C1">
      <w:pPr>
        <w:ind w:firstLine="480"/>
        <w:rPr>
          <w:rFonts w:hint="eastAsia" w:ascii="仿宋" w:hAnsi="仿宋" w:eastAsia="仿宋" w:cs="仿宋"/>
          <w:color w:val="auto"/>
          <w:sz w:val="28"/>
          <w:szCs w:val="28"/>
          <w:highlight w:val="none"/>
        </w:rPr>
      </w:pPr>
      <w:r>
        <w:rPr>
          <w:rFonts w:hint="eastAsia" w:ascii="仿宋" w:hAnsi="仿宋" w:eastAsia="仿宋"/>
          <w:color w:val="auto"/>
          <w:sz w:val="28"/>
          <w:szCs w:val="28"/>
          <w:highlight w:val="none"/>
        </w:rPr>
        <w:t>需明确密云区人民政府授权密云区城管委作为实施机构，实施机构需通过公开招标方式规范选定社会资本方，依法签订特许经营协议。如需成立项目公司，需明确初步协议签订、项目公司注册及正式特许经营协议签订的流程要求，确保项目公司依法承继相关权利义务，实施机构需履行全流程监管职责，保障法律结构合规。</w:t>
      </w:r>
    </w:p>
    <w:p w14:paraId="60627CEC">
      <w:pPr>
        <w:pStyle w:val="4"/>
        <w:ind w:left="720" w:hanging="720"/>
        <w:rPr>
          <w:rFonts w:hint="eastAsia" w:ascii="仿宋" w:hAnsi="仿宋" w:eastAsia="仿宋"/>
          <w:color w:val="auto"/>
          <w:lang w:val="en-US" w:eastAsia="zh-CN"/>
        </w:rPr>
      </w:pPr>
      <w:bookmarkStart w:id="334" w:name="_Toc107258328"/>
      <w:bookmarkStart w:id="335" w:name="_Toc12585"/>
      <w:bookmarkStart w:id="336" w:name="_Toc15730"/>
      <w:bookmarkStart w:id="337" w:name="_Toc492734461"/>
      <w:bookmarkStart w:id="338" w:name="_Toc6197"/>
      <w:bookmarkStart w:id="339" w:name="_Toc7036"/>
      <w:bookmarkStart w:id="340" w:name="_Toc2498"/>
      <w:bookmarkStart w:id="341" w:name="_Toc1382"/>
      <w:bookmarkStart w:id="342" w:name="_Toc6330"/>
      <w:bookmarkStart w:id="343" w:name="_Toc25843"/>
      <w:r>
        <w:rPr>
          <w:rFonts w:hint="eastAsia" w:ascii="仿宋" w:hAnsi="仿宋" w:eastAsia="仿宋"/>
          <w:color w:val="auto"/>
          <w:lang w:val="en-US" w:eastAsia="zh-CN"/>
        </w:rPr>
        <w:t>项目边界条件</w:t>
      </w:r>
      <w:bookmarkEnd w:id="334"/>
      <w:bookmarkEnd w:id="335"/>
      <w:bookmarkEnd w:id="336"/>
      <w:bookmarkEnd w:id="337"/>
      <w:bookmarkEnd w:id="338"/>
      <w:bookmarkEnd w:id="339"/>
      <w:bookmarkEnd w:id="340"/>
      <w:bookmarkEnd w:id="341"/>
      <w:bookmarkEnd w:id="342"/>
      <w:bookmarkEnd w:id="343"/>
      <w:r>
        <w:rPr>
          <w:rFonts w:hint="eastAsia" w:ascii="仿宋" w:hAnsi="仿宋" w:eastAsia="仿宋"/>
          <w:color w:val="auto"/>
          <w:lang w:val="en-US" w:eastAsia="zh-CN"/>
        </w:rPr>
        <w:t>要求</w:t>
      </w:r>
    </w:p>
    <w:p w14:paraId="152FF642">
      <w:pPr>
        <w:numPr>
          <w:ilvl w:val="0"/>
          <w:numId w:val="84"/>
        </w:numPr>
        <w:bidi w:val="0"/>
        <w:ind w:left="0" w:leftChars="0" w:firstLine="560" w:firstLineChars="200"/>
        <w:rPr>
          <w:rFonts w:hint="eastAsia" w:ascii="仿宋" w:hAnsi="仿宋" w:eastAsia="仿宋"/>
          <w:color w:val="auto"/>
        </w:rPr>
      </w:pPr>
      <w:bookmarkStart w:id="344" w:name="_Toc6444"/>
      <w:bookmarkStart w:id="345" w:name="_Toc2017233889"/>
      <w:bookmarkStart w:id="346" w:name="_Toc476802828"/>
      <w:r>
        <w:rPr>
          <w:rFonts w:hint="eastAsia" w:ascii="仿宋" w:hAnsi="仿宋" w:eastAsia="仿宋"/>
          <w:color w:val="auto"/>
        </w:rPr>
        <w:t>权利义务边界</w:t>
      </w:r>
      <w:bookmarkEnd w:id="344"/>
      <w:bookmarkEnd w:id="345"/>
      <w:bookmarkEnd w:id="346"/>
      <w:r>
        <w:rPr>
          <w:rFonts w:hint="eastAsia" w:ascii="仿宋" w:hAnsi="仿宋" w:eastAsia="仿宋"/>
          <w:color w:val="auto"/>
          <w:lang w:val="en-US" w:eastAsia="zh-CN"/>
        </w:rPr>
        <w:t>要求</w:t>
      </w:r>
    </w:p>
    <w:p w14:paraId="2F6B79BB">
      <w:pPr>
        <w:keepNext w:val="0"/>
        <w:keepLines w:val="0"/>
        <w:pageBreakBefore w:val="0"/>
        <w:widowControl w:val="0"/>
        <w:numPr>
          <w:ilvl w:val="0"/>
          <w:numId w:val="85"/>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rPr>
      </w:pPr>
      <w:r>
        <w:rPr>
          <w:rFonts w:hint="eastAsia" w:ascii="仿宋" w:hAnsi="仿宋" w:eastAsia="仿宋"/>
          <w:color w:val="auto"/>
        </w:rPr>
        <w:t>项目资产权属</w:t>
      </w:r>
      <w:r>
        <w:rPr>
          <w:rFonts w:hint="eastAsia" w:ascii="仿宋" w:hAnsi="仿宋" w:eastAsia="仿宋"/>
          <w:color w:val="auto"/>
          <w:lang w:val="en-US" w:eastAsia="zh-CN"/>
        </w:rPr>
        <w:t>要求</w:t>
      </w:r>
    </w:p>
    <w:p w14:paraId="51784ACB">
      <w:pPr>
        <w:numPr>
          <w:ilvl w:val="0"/>
          <w:numId w:val="0"/>
        </w:numPr>
        <w:bidi w:val="0"/>
        <w:ind w:firstLine="560" w:firstLineChars="200"/>
        <w:rPr>
          <w:rFonts w:hint="eastAsia" w:ascii="仿宋" w:hAnsi="仿宋" w:eastAsia="仿宋"/>
          <w:color w:val="auto"/>
        </w:rPr>
      </w:pPr>
      <w:r>
        <w:rPr>
          <w:rFonts w:hint="eastAsia" w:ascii="仿宋" w:hAnsi="仿宋" w:eastAsia="仿宋"/>
          <w:color w:val="auto"/>
          <w:lang w:val="en-US" w:eastAsia="zh-CN"/>
        </w:rPr>
        <w:t>在特许经营期内资产权属归属于特许经营者；特许经营到期后，资产无偿移交至密云区城管委或密云区政府指定的机构，资产权属归属于密云区城管委或密云区政府指定的机构。</w:t>
      </w:r>
    </w:p>
    <w:p w14:paraId="3EA82B8F">
      <w:pPr>
        <w:keepNext w:val="0"/>
        <w:keepLines w:val="0"/>
        <w:pageBreakBefore w:val="0"/>
        <w:widowControl w:val="0"/>
        <w:numPr>
          <w:ilvl w:val="0"/>
          <w:numId w:val="85"/>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rPr>
      </w:pPr>
      <w:r>
        <w:rPr>
          <w:rFonts w:hint="eastAsia" w:ascii="仿宋" w:hAnsi="仿宋" w:eastAsia="仿宋"/>
          <w:color w:val="auto"/>
        </w:rPr>
        <w:t>公共责任要求</w:t>
      </w:r>
    </w:p>
    <w:p w14:paraId="01A2BBAF">
      <w:pPr>
        <w:numPr>
          <w:ilvl w:val="0"/>
          <w:numId w:val="0"/>
        </w:numPr>
        <w:bidi w:val="0"/>
        <w:ind w:firstLine="560" w:firstLineChars="200"/>
        <w:rPr>
          <w:rFonts w:hint="eastAsia" w:ascii="仿宋" w:hAnsi="仿宋" w:eastAsia="仿宋"/>
          <w:color w:val="auto"/>
        </w:rPr>
      </w:pPr>
      <w:r>
        <w:rPr>
          <w:rFonts w:hint="eastAsia" w:ascii="仿宋" w:hAnsi="仿宋" w:eastAsia="仿宋"/>
          <w:color w:val="auto"/>
        </w:rPr>
        <w:t>特许经营者或项目公司需严格按照特许经营</w:t>
      </w:r>
      <w:r>
        <w:rPr>
          <w:rFonts w:hint="eastAsia" w:ascii="仿宋" w:hAnsi="仿宋" w:eastAsia="仿宋"/>
          <w:color w:val="auto"/>
          <w:lang w:val="en-US" w:eastAsia="zh-CN"/>
        </w:rPr>
        <w:t>协议确定的</w:t>
      </w:r>
      <w:r>
        <w:rPr>
          <w:rFonts w:hint="eastAsia" w:ascii="仿宋" w:hAnsi="仿宋" w:eastAsia="仿宋"/>
          <w:color w:val="auto"/>
        </w:rPr>
        <w:t>标准提供停车服务，坚守公共利益和公共安全底线，保障使用者合法权益，杜绝损害公共利益的行为。</w:t>
      </w:r>
    </w:p>
    <w:p w14:paraId="7382CB10">
      <w:pPr>
        <w:keepNext w:val="0"/>
        <w:keepLines w:val="0"/>
        <w:pageBreakBefore w:val="0"/>
        <w:widowControl w:val="0"/>
        <w:numPr>
          <w:ilvl w:val="0"/>
          <w:numId w:val="85"/>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rPr>
      </w:pPr>
      <w:r>
        <w:rPr>
          <w:rFonts w:hint="eastAsia" w:ascii="仿宋" w:hAnsi="仿宋" w:eastAsia="仿宋"/>
          <w:color w:val="auto"/>
        </w:rPr>
        <w:t>风险分配要求</w:t>
      </w:r>
    </w:p>
    <w:p w14:paraId="2F2D5C54">
      <w:pPr>
        <w:numPr>
          <w:ilvl w:val="0"/>
          <w:numId w:val="0"/>
        </w:numPr>
        <w:bidi w:val="0"/>
        <w:ind w:firstLine="560" w:firstLineChars="200"/>
        <w:rPr>
          <w:rFonts w:hint="eastAsia" w:ascii="仿宋" w:hAnsi="仿宋" w:eastAsia="仿宋"/>
          <w:color w:val="auto"/>
          <w:lang w:val="en-US" w:eastAsia="zh-CN"/>
        </w:rPr>
      </w:pPr>
      <w:r>
        <w:rPr>
          <w:rFonts w:hint="eastAsia" w:ascii="仿宋" w:hAnsi="仿宋" w:eastAsia="仿宋"/>
          <w:color w:val="auto"/>
        </w:rPr>
        <w:t>明确政府方、特许经营者或项目公司的风险承担范围，坚持风险与权责匹配原则，确保风险分配合理、可控，保障项目顺利推进。</w:t>
      </w:r>
      <w:r>
        <w:rPr>
          <w:rFonts w:hint="eastAsia" w:ascii="仿宋" w:hAnsi="仿宋" w:eastAsia="仿宋"/>
          <w:color w:val="auto"/>
          <w:lang w:val="en-US" w:eastAsia="zh-CN"/>
        </w:rPr>
        <w:t>详见4.8风险管控。</w:t>
      </w:r>
    </w:p>
    <w:p w14:paraId="4311B77A">
      <w:pPr>
        <w:keepNext w:val="0"/>
        <w:keepLines w:val="0"/>
        <w:widowControl w:val="0"/>
        <w:numPr>
          <w:ilvl w:val="-1"/>
          <w:numId w:val="0"/>
        </w:numPr>
        <w:suppressLineNumbers w:val="0"/>
        <w:ind w:left="554" w:leftChars="198" w:firstLine="0" w:firstLineChars="0"/>
        <w:jc w:val="left"/>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b w:val="0"/>
          <w:bCs w:val="0"/>
          <w:color w:val="auto"/>
          <w:kern w:val="2"/>
          <w:sz w:val="28"/>
          <w:szCs w:val="28"/>
          <w:highlight w:val="none"/>
          <w:lang w:val="en-US" w:eastAsia="zh-CN" w:bidi="ar"/>
        </w:rPr>
        <w:t xml:space="preserve">（4）实施机构的权利和义务 </w:t>
      </w:r>
    </w:p>
    <w:p w14:paraId="165D4FB5">
      <w:pPr>
        <w:keepNext w:val="0"/>
        <w:keepLines w:val="0"/>
        <w:widowControl/>
        <w:suppressLineNumbers w:val="0"/>
        <w:jc w:val="left"/>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color w:val="auto"/>
          <w:kern w:val="0"/>
          <w:sz w:val="28"/>
          <w:szCs w:val="28"/>
          <w:highlight w:val="none"/>
          <w:lang w:val="en-US" w:eastAsia="zh-CN" w:bidi="ar"/>
        </w:rPr>
        <w:t xml:space="preserve">1）实施机构的权利 </w:t>
      </w:r>
    </w:p>
    <w:p w14:paraId="1AB3B9F6">
      <w:pPr>
        <w:keepNext w:val="0"/>
        <w:keepLines w:val="0"/>
        <w:widowControl/>
        <w:numPr>
          <w:ilvl w:val="0"/>
          <w:numId w:val="86"/>
        </w:numPr>
        <w:suppressLineNumbers w:val="0"/>
        <w:ind w:firstLine="560"/>
        <w:jc w:val="left"/>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color w:val="auto"/>
          <w:kern w:val="0"/>
          <w:sz w:val="28"/>
          <w:szCs w:val="28"/>
          <w:highlight w:val="none"/>
          <w:lang w:val="en-US" w:eastAsia="zh-CN" w:bidi="ar"/>
        </w:rPr>
        <w:t xml:space="preserve">统筹管理项目，根据法律、法规、政府管理规定和合同约定， 有权自行或委托专业机构对项目公司的设立（如需要）以及项目的设计、建设、运营、维护和维修进行监督管理； </w:t>
      </w:r>
    </w:p>
    <w:p w14:paraId="66483D96">
      <w:pPr>
        <w:keepNext w:val="0"/>
        <w:keepLines w:val="0"/>
        <w:widowControl/>
        <w:numPr>
          <w:ilvl w:val="0"/>
          <w:numId w:val="86"/>
        </w:numPr>
        <w:suppressLineNumbers w:val="0"/>
        <w:ind w:firstLine="560" w:firstLineChars="200"/>
        <w:jc w:val="left"/>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color w:val="auto"/>
          <w:kern w:val="0"/>
          <w:sz w:val="28"/>
          <w:szCs w:val="28"/>
          <w:highlight w:val="none"/>
          <w:lang w:val="en-US" w:eastAsia="zh-CN" w:bidi="ar"/>
        </w:rPr>
        <w:t xml:space="preserve">有权要求特许经营者全面履行法律、法规等规定的以及特许经营协议约定的义务；对特许经营者违反法律、法规、政府管理规定和合同约定的行为依法进行处理并追究违约责任； </w:t>
      </w:r>
    </w:p>
    <w:p w14:paraId="3FCC68FD">
      <w:pPr>
        <w:keepNext w:val="0"/>
        <w:keepLines w:val="0"/>
        <w:widowControl/>
        <w:numPr>
          <w:ilvl w:val="0"/>
          <w:numId w:val="86"/>
        </w:numPr>
        <w:suppressLineNumbers w:val="0"/>
        <w:ind w:firstLine="560"/>
        <w:jc w:val="left"/>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color w:val="auto"/>
          <w:kern w:val="0"/>
          <w:sz w:val="28"/>
          <w:szCs w:val="28"/>
          <w:highlight w:val="none"/>
          <w:lang w:val="en-US" w:eastAsia="zh-CN" w:bidi="ar"/>
        </w:rPr>
        <w:t xml:space="preserve">在发生紧急事件、可能严重影响公众利益的情况下，有权统 一调度、临时接管或依法征用项目设施； </w:t>
      </w:r>
    </w:p>
    <w:p w14:paraId="4EA8270F">
      <w:pPr>
        <w:keepNext w:val="0"/>
        <w:keepLines w:val="0"/>
        <w:widowControl/>
        <w:numPr>
          <w:ilvl w:val="0"/>
          <w:numId w:val="86"/>
        </w:numPr>
        <w:suppressLineNumbers w:val="0"/>
        <w:ind w:firstLine="560"/>
        <w:jc w:val="left"/>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color w:val="auto"/>
          <w:kern w:val="0"/>
          <w:sz w:val="28"/>
          <w:szCs w:val="28"/>
          <w:highlight w:val="none"/>
          <w:lang w:val="en-US" w:eastAsia="zh-CN" w:bidi="ar"/>
        </w:rPr>
        <w:t xml:space="preserve">法律、法规规定的其他权利。 </w:t>
      </w:r>
    </w:p>
    <w:p w14:paraId="3798BA45">
      <w:pPr>
        <w:keepNext w:val="0"/>
        <w:keepLines w:val="0"/>
        <w:widowControl/>
        <w:suppressLineNumbers w:val="0"/>
        <w:jc w:val="left"/>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color w:val="auto"/>
          <w:kern w:val="0"/>
          <w:sz w:val="28"/>
          <w:szCs w:val="28"/>
          <w:highlight w:val="none"/>
          <w:lang w:val="en-US" w:eastAsia="zh-CN" w:bidi="ar"/>
        </w:rPr>
        <w:t xml:space="preserve">2）实施机构的义务 </w:t>
      </w:r>
    </w:p>
    <w:p w14:paraId="7A9486AD">
      <w:pPr>
        <w:keepNext w:val="0"/>
        <w:keepLines w:val="0"/>
        <w:widowControl/>
        <w:numPr>
          <w:ilvl w:val="0"/>
          <w:numId w:val="87"/>
        </w:numPr>
        <w:suppressLineNumbers w:val="0"/>
        <w:ind w:firstLine="560" w:firstLineChars="200"/>
        <w:jc w:val="left"/>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color w:val="auto"/>
          <w:kern w:val="0"/>
          <w:sz w:val="28"/>
          <w:szCs w:val="28"/>
          <w:highlight w:val="none"/>
          <w:lang w:val="en-US" w:eastAsia="zh-CN" w:bidi="ar"/>
        </w:rPr>
        <w:t xml:space="preserve">遵守法律、法规、政府管理规定和合同的约定，在权限和管 辖范围内尽力协助特许经营者获得项目融资、设计、建设、运营、维护和维修等所必需的核准手续和批文； </w:t>
      </w:r>
    </w:p>
    <w:p w14:paraId="7CAF6120">
      <w:pPr>
        <w:keepNext w:val="0"/>
        <w:keepLines w:val="0"/>
        <w:widowControl/>
        <w:numPr>
          <w:ilvl w:val="0"/>
          <w:numId w:val="87"/>
        </w:numPr>
        <w:suppressLineNumbers w:val="0"/>
        <w:ind w:firstLine="560"/>
        <w:jc w:val="left"/>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color w:val="auto"/>
          <w:kern w:val="0"/>
          <w:sz w:val="28"/>
          <w:szCs w:val="28"/>
          <w:highlight w:val="none"/>
          <w:lang w:val="en-US" w:eastAsia="zh-CN" w:bidi="ar"/>
        </w:rPr>
        <w:t xml:space="preserve">协助特许经营者在项目运营收费之前取得项目特许经营收费许可证； </w:t>
      </w:r>
    </w:p>
    <w:p w14:paraId="07A9054E">
      <w:pPr>
        <w:keepNext w:val="0"/>
        <w:keepLines w:val="0"/>
        <w:widowControl/>
        <w:numPr>
          <w:ilvl w:val="0"/>
          <w:numId w:val="87"/>
        </w:numPr>
        <w:suppressLineNumbers w:val="0"/>
        <w:ind w:firstLine="560"/>
        <w:jc w:val="left"/>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kern w:val="0"/>
          <w:sz w:val="28"/>
          <w:szCs w:val="28"/>
          <w:highlight w:val="none"/>
          <w:lang w:val="en-US" w:eastAsia="zh-CN" w:bidi="ar"/>
        </w:rPr>
        <w:t xml:space="preserve">由于法律、法规和政策变化的原因导致本项目无法继续履行 </w:t>
      </w:r>
    </w:p>
    <w:p w14:paraId="6AE9C2D5">
      <w:pPr>
        <w:keepNext w:val="0"/>
        <w:keepLines w:val="0"/>
        <w:widowControl/>
        <w:numPr>
          <w:ilvl w:val="-1"/>
          <w:numId w:val="0"/>
        </w:numPr>
        <w:suppressLineNumbers w:val="0"/>
        <w:ind w:firstLine="0" w:firstLineChars="0"/>
        <w:jc w:val="left"/>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color w:val="auto"/>
          <w:kern w:val="0"/>
          <w:sz w:val="28"/>
          <w:szCs w:val="28"/>
          <w:highlight w:val="none"/>
          <w:lang w:val="en-US" w:eastAsia="zh-CN" w:bidi="ar"/>
        </w:rPr>
        <w:t xml:space="preserve">的，实施机构需按照特许经营协议约定采取相应措施； </w:t>
      </w:r>
    </w:p>
    <w:p w14:paraId="630F1B11">
      <w:pPr>
        <w:keepNext w:val="0"/>
        <w:keepLines w:val="0"/>
        <w:widowControl/>
        <w:numPr>
          <w:ilvl w:val="0"/>
          <w:numId w:val="87"/>
        </w:numPr>
        <w:suppressLineNumbers w:val="0"/>
        <w:ind w:firstLine="560" w:firstLineChars="200"/>
        <w:jc w:val="left"/>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color w:val="auto"/>
          <w:kern w:val="0"/>
          <w:sz w:val="28"/>
          <w:szCs w:val="28"/>
          <w:highlight w:val="none"/>
          <w:lang w:val="en-US" w:eastAsia="zh-CN" w:bidi="ar"/>
        </w:rPr>
        <w:t xml:space="preserve">不应干预项目的正常实施，除非干预行为符合法律法规的要求或是为了保护公共利益安全所必须采取的行动； </w:t>
      </w:r>
    </w:p>
    <w:p w14:paraId="4E2E83B5">
      <w:pPr>
        <w:keepNext w:val="0"/>
        <w:keepLines w:val="0"/>
        <w:widowControl/>
        <w:numPr>
          <w:ilvl w:val="0"/>
          <w:numId w:val="87"/>
        </w:numPr>
        <w:suppressLineNumbers w:val="0"/>
        <w:ind w:firstLine="560" w:firstLineChars="200"/>
        <w:jc w:val="left"/>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color w:val="auto"/>
          <w:kern w:val="0"/>
          <w:sz w:val="28"/>
          <w:szCs w:val="28"/>
          <w:highlight w:val="none"/>
          <w:lang w:val="en-US" w:eastAsia="zh-CN" w:bidi="ar"/>
        </w:rPr>
        <w:t xml:space="preserve">在协议提前终止时，负责组织相关职能部门与特许经营者进行对接，开展移交工作、接收项目设施； </w:t>
      </w:r>
    </w:p>
    <w:p w14:paraId="19E28214">
      <w:pPr>
        <w:keepNext w:val="0"/>
        <w:keepLines w:val="0"/>
        <w:widowControl/>
        <w:numPr>
          <w:ilvl w:val="0"/>
          <w:numId w:val="87"/>
        </w:numPr>
        <w:suppressLineNumbers w:val="0"/>
        <w:ind w:firstLine="560"/>
        <w:jc w:val="left"/>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color w:val="auto"/>
          <w:kern w:val="0"/>
          <w:sz w:val="28"/>
          <w:szCs w:val="28"/>
          <w:highlight w:val="none"/>
          <w:lang w:val="en-US" w:eastAsia="zh-CN" w:bidi="ar"/>
        </w:rPr>
        <w:t>法律、法规和合同规定的其他义务。</w:t>
      </w:r>
    </w:p>
    <w:p w14:paraId="7324CDBC">
      <w:pPr>
        <w:numPr>
          <w:ilvl w:val="-1"/>
          <w:numId w:val="0"/>
        </w:numPr>
        <w:ind w:left="554" w:leftChars="198" w:firstLine="0" w:firstLineChars="0"/>
        <w:jc w:val="left"/>
        <w:rPr>
          <w:rFonts w:hint="eastAsia" w:ascii="方正仿宋_GB2312" w:hAnsi="方正仿宋_GB2312" w:eastAsia="方正仿宋_GB2312" w:cs="方正仿宋_GB2312"/>
          <w:b w:val="0"/>
          <w:bCs w:val="0"/>
          <w:color w:val="auto"/>
          <w:sz w:val="28"/>
          <w:szCs w:val="28"/>
          <w:highlight w:val="none"/>
          <w:lang w:bidi="ar"/>
        </w:rPr>
      </w:pPr>
      <w:r>
        <w:rPr>
          <w:rFonts w:hint="eastAsia" w:ascii="方正仿宋_GB2312" w:hAnsi="方正仿宋_GB2312" w:eastAsia="方正仿宋_GB2312" w:cs="方正仿宋_GB2312"/>
          <w:b w:val="0"/>
          <w:bCs w:val="0"/>
          <w:color w:val="auto"/>
          <w:sz w:val="28"/>
          <w:szCs w:val="28"/>
          <w:highlight w:val="none"/>
          <w:lang w:val="en-US" w:eastAsia="zh-CN" w:bidi="ar"/>
        </w:rPr>
        <w:t xml:space="preserve">（5）特许经营者的权利和义务 </w:t>
      </w:r>
    </w:p>
    <w:p w14:paraId="40D543FA">
      <w:pPr>
        <w:numPr>
          <w:ilvl w:val="-1"/>
          <w:numId w:val="0"/>
        </w:numPr>
        <w:ind w:left="560" w:leftChars="200" w:firstLine="0" w:firstLineChars="0"/>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lang w:val="en-US" w:eastAsia="zh-CN"/>
        </w:rPr>
        <w:t>（1）</w:t>
      </w:r>
      <w:r>
        <w:rPr>
          <w:rFonts w:hint="eastAsia" w:ascii="方正仿宋_GB2312" w:hAnsi="方正仿宋_GB2312" w:eastAsia="方正仿宋_GB2312" w:cs="方正仿宋_GB2312"/>
          <w:b w:val="0"/>
          <w:bCs w:val="0"/>
          <w:color w:val="auto"/>
          <w:sz w:val="28"/>
          <w:szCs w:val="28"/>
          <w:highlight w:val="none"/>
          <w:lang w:val="en-US" w:eastAsia="zh-CN" w:bidi="ar"/>
        </w:rPr>
        <w:t>特许经营者的</w:t>
      </w:r>
      <w:r>
        <w:rPr>
          <w:rFonts w:hint="eastAsia" w:ascii="仿宋" w:hAnsi="仿宋" w:eastAsia="仿宋"/>
          <w:b w:val="0"/>
          <w:bCs w:val="0"/>
          <w:color w:val="auto"/>
          <w:sz w:val="28"/>
          <w:szCs w:val="28"/>
          <w:highlight w:val="none"/>
          <w:lang w:val="en-US" w:eastAsia="zh-CN"/>
        </w:rPr>
        <w:t xml:space="preserve">权利 </w:t>
      </w:r>
    </w:p>
    <w:p w14:paraId="4C8DE392">
      <w:pPr>
        <w:numPr>
          <w:ilvl w:val="-1"/>
          <w:numId w:val="0"/>
        </w:numPr>
        <w:ind w:left="560" w:leftChars="200" w:firstLine="0" w:firstLineChars="0"/>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lang w:val="en-US" w:eastAsia="zh-CN"/>
        </w:rPr>
        <w:t xml:space="preserve">1）享有政府授予在项目特许经营期限内投资、建设和运营项目 </w:t>
      </w:r>
    </w:p>
    <w:p w14:paraId="6C28286D">
      <w:pPr>
        <w:numPr>
          <w:ilvl w:val="-1"/>
          <w:numId w:val="0"/>
        </w:numPr>
        <w:ind w:left="0" w:leftChars="0" w:firstLine="0" w:firstLineChars="0"/>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lang w:val="en-US" w:eastAsia="zh-CN"/>
        </w:rPr>
        <w:t xml:space="preserve">的特许经营权，并获得政府支持的其他权利； </w:t>
      </w:r>
    </w:p>
    <w:p w14:paraId="30509A3E">
      <w:pPr>
        <w:numPr>
          <w:ilvl w:val="-1"/>
          <w:numId w:val="0"/>
        </w:numPr>
        <w:ind w:left="560" w:leftChars="200" w:firstLine="0" w:firstLineChars="0"/>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lang w:val="en-US" w:eastAsia="zh-CN"/>
        </w:rPr>
        <w:t xml:space="preserve">2）有权对实施机构未按照法律、法规、政府管理规定和合同约 </w:t>
      </w:r>
    </w:p>
    <w:p w14:paraId="74DC9911">
      <w:pPr>
        <w:numPr>
          <w:ilvl w:val="-1"/>
          <w:numId w:val="0"/>
        </w:numPr>
        <w:ind w:left="0" w:leftChars="0" w:firstLine="0" w:firstLineChars="0"/>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lang w:val="en-US" w:eastAsia="zh-CN"/>
        </w:rPr>
        <w:t xml:space="preserve">定履行义务的行为追究责任； </w:t>
      </w:r>
    </w:p>
    <w:p w14:paraId="14DB0405">
      <w:pPr>
        <w:numPr>
          <w:ilvl w:val="-1"/>
          <w:numId w:val="0"/>
        </w:numPr>
        <w:ind w:left="560" w:leftChars="200" w:firstLine="0" w:firstLineChars="0"/>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lang w:val="en-US" w:eastAsia="zh-CN"/>
        </w:rPr>
        <w:t xml:space="preserve">3）享有按照合同约定实施项目及获得相应收益的权利； </w:t>
      </w:r>
    </w:p>
    <w:p w14:paraId="3E8A373E">
      <w:pPr>
        <w:numPr>
          <w:ilvl w:val="-1"/>
          <w:numId w:val="0"/>
        </w:numPr>
        <w:ind w:left="560" w:leftChars="200" w:firstLine="0" w:firstLineChars="0"/>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lang w:val="en-US" w:eastAsia="zh-CN"/>
        </w:rPr>
        <w:t xml:space="preserve">4）有权对政府方未按照法律、法规等以及特许经营协议约定履 </w:t>
      </w:r>
    </w:p>
    <w:p w14:paraId="7A3A9431">
      <w:pPr>
        <w:numPr>
          <w:ilvl w:val="-1"/>
          <w:numId w:val="0"/>
        </w:numPr>
        <w:ind w:left="0" w:leftChars="0" w:firstLine="0" w:firstLineChars="0"/>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lang w:val="en-US" w:eastAsia="zh-CN"/>
        </w:rPr>
        <w:t xml:space="preserve">行义务的行为予以投诉、控告、申诉，对政府方违反特许经营协议 </w:t>
      </w:r>
    </w:p>
    <w:p w14:paraId="4361D988">
      <w:pPr>
        <w:numPr>
          <w:ilvl w:val="-1"/>
          <w:numId w:val="0"/>
        </w:numPr>
        <w:ind w:left="0" w:leftChars="0" w:firstLine="0" w:firstLineChars="0"/>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lang w:val="en-US" w:eastAsia="zh-CN"/>
        </w:rPr>
        <w:t xml:space="preserve">约定的行为依法追究违约责任； </w:t>
      </w:r>
    </w:p>
    <w:p w14:paraId="6BD6996B">
      <w:pPr>
        <w:numPr>
          <w:ilvl w:val="-1"/>
          <w:numId w:val="0"/>
        </w:numPr>
        <w:ind w:left="560" w:leftChars="200" w:firstLine="0" w:firstLineChars="0"/>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lang w:val="en-US" w:eastAsia="zh-CN"/>
        </w:rPr>
        <w:t xml:space="preserve">6）以项目融资的目的，可以将根据特许经营协议取得的收益权 </w:t>
      </w:r>
    </w:p>
    <w:p w14:paraId="358D8E83">
      <w:pPr>
        <w:numPr>
          <w:ilvl w:val="-1"/>
          <w:numId w:val="0"/>
        </w:numPr>
        <w:ind w:left="0" w:leftChars="0" w:firstLine="0" w:firstLineChars="0"/>
        <w:rPr>
          <w:rFonts w:hint="eastAsia" w:ascii="仿宋" w:hAnsi="仿宋" w:eastAsia="仿宋"/>
          <w:b w:val="0"/>
          <w:bCs w:val="0"/>
          <w:color w:val="auto"/>
          <w:sz w:val="28"/>
          <w:szCs w:val="28"/>
          <w:highlight w:val="none"/>
        </w:rPr>
      </w:pPr>
      <w:r>
        <w:rPr>
          <w:rFonts w:hint="eastAsia" w:ascii="仿宋" w:hAnsi="仿宋" w:eastAsia="仿宋"/>
          <w:b w:val="0"/>
          <w:bCs w:val="0"/>
          <w:color w:val="auto"/>
          <w:sz w:val="28"/>
          <w:szCs w:val="28"/>
          <w:highlight w:val="none"/>
          <w:lang w:val="en-US" w:eastAsia="zh-CN"/>
        </w:rPr>
        <w:t xml:space="preserve">进行质押； </w:t>
      </w:r>
    </w:p>
    <w:p w14:paraId="228FCDEB">
      <w:pPr>
        <w:numPr>
          <w:ilvl w:val="0"/>
          <w:numId w:val="88"/>
        </w:numPr>
        <w:ind w:left="560" w:leftChars="200" w:firstLine="0" w:firstLineChars="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法律、法规规定的其他权利。</w:t>
      </w:r>
    </w:p>
    <w:p w14:paraId="55C5E97B">
      <w:pPr>
        <w:numPr>
          <w:ilvl w:val="-1"/>
          <w:numId w:val="0"/>
        </w:numPr>
        <w:ind w:left="560" w:leftChars="200" w:firstLine="0" w:firstLineChars="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（2）特许经营者的义务 </w:t>
      </w:r>
    </w:p>
    <w:p w14:paraId="4679408C">
      <w:pPr>
        <w:numPr>
          <w:ilvl w:val="-1"/>
          <w:numId w:val="0"/>
        </w:numPr>
        <w:ind w:left="560" w:leftChars="200" w:firstLine="0" w:firstLineChars="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1）遵守与项目建设、运营和维护相关的法律法规，接受实施机 </w:t>
      </w:r>
    </w:p>
    <w:p w14:paraId="0B0A4A56">
      <w:pPr>
        <w:numPr>
          <w:ilvl w:val="-1"/>
          <w:numId w:val="0"/>
        </w:numPr>
        <w:ind w:left="0" w:leftChars="0" w:firstLine="0" w:firstLineChars="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构、其他主管部门和行业主管部门对本项目建设施工和运营管理等 </w:t>
      </w:r>
    </w:p>
    <w:p w14:paraId="78510446">
      <w:pPr>
        <w:numPr>
          <w:ilvl w:val="-1"/>
          <w:numId w:val="0"/>
        </w:numPr>
        <w:ind w:left="0" w:leftChars="0" w:firstLine="0" w:firstLineChars="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方面的监督； </w:t>
      </w:r>
    </w:p>
    <w:p w14:paraId="2BC803E6">
      <w:pPr>
        <w:numPr>
          <w:ilvl w:val="-1"/>
          <w:numId w:val="0"/>
        </w:numPr>
        <w:ind w:left="560" w:leftChars="200" w:firstLine="0" w:firstLineChars="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2）负责工程项目管理、施工进度控制、质量控制、安全管理和 </w:t>
      </w:r>
    </w:p>
    <w:p w14:paraId="79E63322">
      <w:pPr>
        <w:numPr>
          <w:ilvl w:val="-1"/>
          <w:numId w:val="0"/>
        </w:numPr>
        <w:ind w:left="0" w:leftChars="0" w:firstLine="0" w:firstLineChars="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成本控制； </w:t>
      </w:r>
    </w:p>
    <w:p w14:paraId="7DB477DF">
      <w:pPr>
        <w:numPr>
          <w:ilvl w:val="-1"/>
          <w:numId w:val="0"/>
        </w:numPr>
        <w:ind w:left="560" w:leftChars="200" w:firstLine="0" w:firstLineChars="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3）严格执行有关环境保护和土地管理的规定； </w:t>
      </w:r>
    </w:p>
    <w:p w14:paraId="7098F02D">
      <w:pPr>
        <w:numPr>
          <w:ilvl w:val="-1"/>
          <w:numId w:val="0"/>
        </w:numPr>
        <w:ind w:left="560" w:leftChars="200" w:firstLine="0" w:firstLineChars="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4）为项目的设计、施工、运营、维护及管理的需要，向保险公 </w:t>
      </w:r>
    </w:p>
    <w:p w14:paraId="7765ED36">
      <w:pPr>
        <w:numPr>
          <w:ilvl w:val="-1"/>
          <w:numId w:val="0"/>
        </w:numPr>
        <w:ind w:left="0" w:leftChars="0" w:firstLine="0" w:firstLineChars="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司投保各种必需的保险； </w:t>
      </w:r>
    </w:p>
    <w:p w14:paraId="76F98DDA">
      <w:pPr>
        <w:numPr>
          <w:ilvl w:val="-1"/>
          <w:numId w:val="0"/>
        </w:numPr>
        <w:ind w:left="0" w:leftChars="0" w:firstLine="560" w:firstLineChars="20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5）承担的公共责任包括优化设计、资金筹措、建设实施、质量控制、经营管理、维护维修、债务偿还、资产管理、安全和环境保护等。项目特许经营期限届满后，将本项目及其附属设施以良好的技术状态无偿移交给实施机构或其指定单位； </w:t>
      </w:r>
    </w:p>
    <w:p w14:paraId="05693D47">
      <w:pPr>
        <w:numPr>
          <w:ilvl w:val="-1"/>
          <w:numId w:val="0"/>
        </w:numPr>
        <w:ind w:left="0" w:leftChars="0" w:firstLine="560" w:firstLineChars="20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6）按照特许经营协议约定承担应承担的风险，向社会提供公共服务； </w:t>
      </w:r>
    </w:p>
    <w:p w14:paraId="5B8E57FB">
      <w:pPr>
        <w:numPr>
          <w:ilvl w:val="-1"/>
          <w:numId w:val="0"/>
        </w:numPr>
        <w:ind w:left="560" w:leftChars="200" w:firstLine="0" w:firstLineChars="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7）严格执行项目法人责任制、项目资本金制、招标投标制、合 </w:t>
      </w:r>
    </w:p>
    <w:p w14:paraId="7848A608">
      <w:pPr>
        <w:numPr>
          <w:ilvl w:val="-1"/>
          <w:numId w:val="0"/>
        </w:numPr>
        <w:ind w:left="0" w:leftChars="0" w:firstLine="0" w:firstLineChars="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同管理制、工程监理制等有关规定； </w:t>
      </w:r>
    </w:p>
    <w:p w14:paraId="3DFFB944">
      <w:pPr>
        <w:numPr>
          <w:ilvl w:val="-1"/>
          <w:numId w:val="0"/>
        </w:numPr>
        <w:ind w:left="560" w:leftChars="200" w:firstLine="0" w:firstLineChars="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8）依法依约建立、健全并执行包括计划、统计、技术、财务、 </w:t>
      </w:r>
    </w:p>
    <w:p w14:paraId="5F8CD405">
      <w:pPr>
        <w:numPr>
          <w:ilvl w:val="-1"/>
          <w:numId w:val="0"/>
        </w:numPr>
        <w:ind w:left="0" w:leftChars="0" w:firstLine="0" w:firstLineChars="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物资资料、设备设施等在内的各项管理制度，全面完成项目建设、 </w:t>
      </w:r>
    </w:p>
    <w:p w14:paraId="6F301806">
      <w:pPr>
        <w:numPr>
          <w:ilvl w:val="-1"/>
          <w:numId w:val="0"/>
        </w:numPr>
        <w:ind w:left="0" w:leftChars="0" w:firstLine="0" w:firstLineChars="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运营任务；</w:t>
      </w:r>
    </w:p>
    <w:p w14:paraId="54B1739B">
      <w:pPr>
        <w:numPr>
          <w:ilvl w:val="-1"/>
          <w:numId w:val="0"/>
        </w:numPr>
        <w:ind w:left="0" w:leftChars="0" w:firstLine="560" w:firstLineChars="20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9）不得擅自转让、出租、质押特许经营权，或将项目设施用于特许经营协议之外的目的； </w:t>
      </w:r>
    </w:p>
    <w:p w14:paraId="0B7A4146">
      <w:pPr>
        <w:numPr>
          <w:ilvl w:val="-1"/>
          <w:numId w:val="0"/>
        </w:numPr>
        <w:ind w:left="0" w:leftChars="0" w:firstLine="560" w:firstLineChars="20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10）按照《中华人民共和国档案法》等有关法律、法规的规定 </w:t>
      </w:r>
    </w:p>
    <w:p w14:paraId="6854CD2F">
      <w:pPr>
        <w:numPr>
          <w:ilvl w:val="-1"/>
          <w:numId w:val="0"/>
        </w:numPr>
        <w:ind w:left="0" w:leftChars="0" w:firstLine="0" w:firstLineChars="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进行档案管理； </w:t>
      </w:r>
    </w:p>
    <w:p w14:paraId="2195C08A">
      <w:pPr>
        <w:numPr>
          <w:ilvl w:val="-1"/>
          <w:numId w:val="0"/>
        </w:numPr>
        <w:ind w:left="0" w:leftChars="0" w:firstLine="560" w:firstLineChars="20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11）协助和配合政府有关部门依法行政； </w:t>
      </w:r>
    </w:p>
    <w:p w14:paraId="0F167A07">
      <w:pPr>
        <w:numPr>
          <w:ilvl w:val="-1"/>
          <w:numId w:val="0"/>
        </w:numPr>
        <w:ind w:left="0" w:leftChars="0" w:firstLine="560" w:firstLineChars="20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12）依法缴纳有关税费和基金； </w:t>
      </w:r>
    </w:p>
    <w:p w14:paraId="1FF288D0">
      <w:pPr>
        <w:numPr>
          <w:ilvl w:val="-1"/>
          <w:numId w:val="0"/>
        </w:numPr>
        <w:ind w:left="0" w:leftChars="0" w:firstLine="560" w:firstLineChars="20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13）按照《特许经营协议》约定的进度、质量标准完成所有工 </w:t>
      </w:r>
    </w:p>
    <w:p w14:paraId="6F0CE6D3">
      <w:pPr>
        <w:numPr>
          <w:ilvl w:val="-1"/>
          <w:numId w:val="0"/>
        </w:numPr>
        <w:ind w:left="0" w:leftChars="0" w:firstLine="0" w:firstLineChars="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 xml:space="preserve">程的建设，自行承担建设相关的一切费用、责任和风险； </w:t>
      </w:r>
    </w:p>
    <w:p w14:paraId="1C1C55CE">
      <w:pPr>
        <w:numPr>
          <w:ilvl w:val="-1"/>
          <w:numId w:val="0"/>
        </w:numPr>
        <w:ind w:left="0" w:leftChars="0" w:firstLine="560" w:firstLineChars="200"/>
        <w:rPr>
          <w:rFonts w:hint="eastAsia" w:ascii="仿宋" w:hAnsi="仿宋" w:eastAsia="仿宋"/>
          <w:b w:val="0"/>
          <w:bCs w:val="0"/>
          <w:color w:val="auto"/>
          <w:sz w:val="28"/>
          <w:szCs w:val="28"/>
          <w:highlight w:val="none"/>
          <w:lang w:val="en-US" w:eastAsia="zh-CN"/>
        </w:rPr>
      </w:pPr>
      <w:r>
        <w:rPr>
          <w:rFonts w:hint="eastAsia" w:ascii="仿宋" w:hAnsi="仿宋" w:eastAsia="仿宋"/>
          <w:b w:val="0"/>
          <w:bCs w:val="0"/>
          <w:color w:val="auto"/>
          <w:sz w:val="28"/>
          <w:szCs w:val="28"/>
          <w:highlight w:val="none"/>
          <w:lang w:val="en-US" w:eastAsia="zh-CN"/>
        </w:rPr>
        <w:t>14）法律、法规和合同规定的其他义务。</w:t>
      </w:r>
    </w:p>
    <w:p w14:paraId="1580F749">
      <w:pPr>
        <w:numPr>
          <w:ilvl w:val="0"/>
          <w:numId w:val="84"/>
        </w:numPr>
        <w:bidi w:val="0"/>
        <w:ind w:left="0" w:leftChars="0" w:firstLine="560" w:firstLineChars="200"/>
        <w:rPr>
          <w:rFonts w:hint="eastAsia" w:ascii="仿宋" w:hAnsi="仿宋" w:eastAsia="仿宋"/>
          <w:color w:val="auto"/>
        </w:rPr>
      </w:pPr>
      <w:bookmarkStart w:id="347" w:name="_Toc30647"/>
      <w:bookmarkStart w:id="348" w:name="_Toc1363643239"/>
      <w:bookmarkStart w:id="349" w:name="_Toc1325637234"/>
      <w:r>
        <w:rPr>
          <w:rFonts w:hint="eastAsia" w:ascii="仿宋" w:hAnsi="仿宋" w:eastAsia="仿宋"/>
          <w:color w:val="auto"/>
        </w:rPr>
        <w:t>交易边界条件</w:t>
      </w:r>
      <w:bookmarkEnd w:id="347"/>
      <w:bookmarkEnd w:id="348"/>
      <w:bookmarkEnd w:id="349"/>
      <w:r>
        <w:rPr>
          <w:rFonts w:hint="eastAsia" w:ascii="仿宋" w:hAnsi="仿宋" w:eastAsia="仿宋"/>
          <w:color w:val="auto"/>
          <w:lang w:val="en-US" w:eastAsia="zh-CN"/>
        </w:rPr>
        <w:t>要求</w:t>
      </w:r>
    </w:p>
    <w:p w14:paraId="48AB98D6">
      <w:pPr>
        <w:keepNext w:val="0"/>
        <w:keepLines w:val="0"/>
        <w:pageBreakBefore w:val="0"/>
        <w:widowControl w:val="0"/>
        <w:numPr>
          <w:ilvl w:val="0"/>
          <w:numId w:val="89"/>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rPr>
      </w:pPr>
      <w:r>
        <w:rPr>
          <w:rFonts w:hint="eastAsia" w:ascii="仿宋" w:hAnsi="仿宋" w:eastAsia="仿宋"/>
          <w:color w:val="auto"/>
        </w:rPr>
        <w:t>特许经营期限要求</w:t>
      </w:r>
    </w:p>
    <w:p w14:paraId="7E1EEC6E">
      <w:pPr>
        <w:numPr>
          <w:ilvl w:val="0"/>
          <w:numId w:val="0"/>
        </w:numPr>
        <w:bidi w:val="0"/>
        <w:ind w:firstLine="560" w:firstLineChars="200"/>
        <w:rPr>
          <w:rFonts w:hint="eastAsia" w:ascii="仿宋" w:hAnsi="仿宋" w:eastAsia="仿宋"/>
          <w:color w:val="auto"/>
        </w:rPr>
      </w:pPr>
      <w:r>
        <w:rPr>
          <w:rFonts w:hint="eastAsia" w:ascii="仿宋" w:hAnsi="仿宋" w:eastAsia="仿宋"/>
          <w:color w:val="auto"/>
        </w:rPr>
        <w:t>明确本项目特许经营期限</w:t>
      </w:r>
      <w:r>
        <w:rPr>
          <w:rFonts w:hint="eastAsia" w:ascii="仿宋" w:hAnsi="仿宋" w:eastAsia="仿宋"/>
          <w:color w:val="auto"/>
          <w:lang w:val="en-US" w:eastAsia="zh-CN"/>
        </w:rPr>
        <w:t>为40年</w:t>
      </w:r>
      <w:r>
        <w:rPr>
          <w:rFonts w:hint="eastAsia" w:ascii="仿宋" w:hAnsi="仿宋" w:eastAsia="仿宋"/>
          <w:color w:val="auto"/>
        </w:rPr>
        <w:t>，</w:t>
      </w:r>
      <w:r>
        <w:rPr>
          <w:rFonts w:hint="eastAsia" w:ascii="仿宋" w:hAnsi="仿宋" w:eastAsia="仿宋"/>
          <w:color w:val="auto"/>
          <w:lang w:val="en-US" w:eastAsia="zh-CN"/>
        </w:rPr>
        <w:t>其中建设期为13个月，</w:t>
      </w:r>
      <w:r>
        <w:rPr>
          <w:rFonts w:hint="eastAsia" w:ascii="仿宋" w:hAnsi="仿宋" w:eastAsia="仿宋"/>
          <w:color w:val="auto"/>
        </w:rPr>
        <w:t>具体在后续特许经营协议中明确。</w:t>
      </w:r>
    </w:p>
    <w:p w14:paraId="53DA2D77">
      <w:pPr>
        <w:keepNext w:val="0"/>
        <w:keepLines w:val="0"/>
        <w:pageBreakBefore w:val="0"/>
        <w:widowControl w:val="0"/>
        <w:numPr>
          <w:ilvl w:val="0"/>
          <w:numId w:val="89"/>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rPr>
      </w:pPr>
      <w:r>
        <w:rPr>
          <w:rFonts w:hint="eastAsia" w:ascii="仿宋" w:hAnsi="仿宋" w:eastAsia="仿宋"/>
          <w:color w:val="auto"/>
        </w:rPr>
        <w:t>回报机制要求</w:t>
      </w:r>
    </w:p>
    <w:p w14:paraId="48C87DF3">
      <w:pPr>
        <w:numPr>
          <w:ilvl w:val="0"/>
          <w:numId w:val="0"/>
        </w:numPr>
        <w:bidi w:val="0"/>
        <w:ind w:firstLine="560" w:firstLineChars="200"/>
        <w:rPr>
          <w:rFonts w:hint="eastAsia" w:ascii="仿宋" w:hAnsi="仿宋" w:eastAsia="仿宋"/>
          <w:color w:val="auto"/>
        </w:rPr>
      </w:pPr>
      <w:r>
        <w:rPr>
          <w:rFonts w:hint="eastAsia" w:ascii="仿宋" w:hAnsi="仿宋" w:eastAsia="仿宋"/>
          <w:color w:val="auto"/>
        </w:rPr>
        <w:t>本项目采用使用者付费的回报机制，要求特许经营者或项目公司通过规范收取停车费用回收投资、覆盖成本并获得合理回报，确保回报机制合规、可持续。</w:t>
      </w:r>
    </w:p>
    <w:p w14:paraId="44671E32">
      <w:pPr>
        <w:keepNext w:val="0"/>
        <w:keepLines w:val="0"/>
        <w:pageBreakBefore w:val="0"/>
        <w:widowControl w:val="0"/>
        <w:numPr>
          <w:ilvl w:val="0"/>
          <w:numId w:val="89"/>
        </w:numPr>
        <w:kinsoku/>
        <w:wordWrap/>
        <w:overflowPunct/>
        <w:topLinePunct w:val="0"/>
        <w:autoSpaceDE/>
        <w:autoSpaceDN/>
        <w:bidi w:val="0"/>
        <w:adjustRightInd/>
        <w:snapToGrid w:val="0"/>
        <w:ind w:left="0" w:leftChars="0" w:firstLine="560" w:firstLineChars="200"/>
        <w:textAlignment w:val="auto"/>
        <w:rPr>
          <w:rFonts w:hint="eastAsia" w:ascii="仿宋" w:hAnsi="仿宋" w:eastAsia="仿宋"/>
          <w:color w:val="auto"/>
        </w:rPr>
      </w:pPr>
      <w:r>
        <w:rPr>
          <w:rFonts w:hint="eastAsia" w:ascii="仿宋" w:hAnsi="仿宋" w:eastAsia="仿宋"/>
          <w:color w:val="auto"/>
        </w:rPr>
        <w:t>前期工作与筹资要求</w:t>
      </w:r>
    </w:p>
    <w:p w14:paraId="13A324C6">
      <w:pPr>
        <w:numPr>
          <w:ilvl w:val="0"/>
          <w:numId w:val="0"/>
        </w:numPr>
        <w:bidi w:val="0"/>
        <w:ind w:firstLine="560" w:firstLineChars="200"/>
        <w:rPr>
          <w:rFonts w:hint="eastAsia" w:ascii="仿宋" w:hAnsi="仿宋" w:eastAsia="仿宋"/>
          <w:color w:val="auto"/>
        </w:rPr>
      </w:pPr>
      <w:r>
        <w:rPr>
          <w:rFonts w:hint="eastAsia" w:ascii="仿宋" w:hAnsi="仿宋" w:eastAsia="仿宋"/>
          <w:color w:val="auto"/>
        </w:rPr>
        <w:t>明确项目前期工作由密云区城管委统筹开展，招标选定特许经营者后规范移交相关成果；明确项目建设投资由特许经营者或项目公司自筹解决，政府方不参与融资、不提供担保的总体要求。</w:t>
      </w:r>
    </w:p>
    <w:p w14:paraId="21D98E2B">
      <w:pPr>
        <w:pStyle w:val="4"/>
        <w:ind w:left="720" w:hanging="720"/>
        <w:rPr>
          <w:rFonts w:hint="eastAsia" w:ascii="仿宋" w:hAnsi="仿宋" w:eastAsia="仿宋"/>
          <w:color w:val="auto"/>
          <w:lang w:val="en-US" w:eastAsia="zh-CN"/>
        </w:rPr>
      </w:pPr>
      <w:r>
        <w:rPr>
          <w:rFonts w:hint="eastAsia" w:ascii="仿宋" w:hAnsi="仿宋" w:eastAsia="仿宋"/>
          <w:color w:val="auto"/>
          <w:lang w:val="en-US" w:eastAsia="zh-CN"/>
        </w:rPr>
        <w:t>协议核心条款调整、变更及相关事项要求</w:t>
      </w:r>
    </w:p>
    <w:p w14:paraId="76D43CCE">
      <w:pPr>
        <w:numPr>
          <w:ilvl w:val="0"/>
          <w:numId w:val="90"/>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协议变更和延期要求</w:t>
      </w:r>
    </w:p>
    <w:p w14:paraId="78642605">
      <w:pPr>
        <w:numPr>
          <w:ilvl w:val="0"/>
          <w:numId w:val="0"/>
        </w:num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协议变更要求：明确协议变更的触发情形（如政策调整、规划变更、不可抗力、双方协商一致等），规范协议变更的申请、协商、审批流程，要求变更需签订补充协议，确保变更过程合规、有据可依。</w:t>
      </w:r>
    </w:p>
    <w:p w14:paraId="565EA5A1">
      <w:pPr>
        <w:numPr>
          <w:ilvl w:val="0"/>
          <w:numId w:val="0"/>
        </w:numPr>
        <w:bidi w:val="0"/>
        <w:ind w:firstLine="560" w:firstLineChars="200"/>
        <w:rPr>
          <w:rFonts w:hint="eastAsia" w:ascii="仿宋" w:hAnsi="仿宋" w:eastAsia="仿宋"/>
          <w:color w:val="auto"/>
        </w:rPr>
      </w:pPr>
      <w:r>
        <w:rPr>
          <w:rFonts w:hint="eastAsia" w:ascii="仿宋" w:hAnsi="仿宋" w:eastAsia="仿宋"/>
          <w:color w:val="auto"/>
          <w:lang w:val="en-US" w:eastAsia="zh-CN"/>
        </w:rPr>
        <w:t>期限延期要求：明确特许经营期限届满后如需延期的，需履行申请、评估、审批流程，由特许经营者提前提交延期申请，经实施机构评估论证、政府批准后，协商办理延期相关手续。</w:t>
      </w:r>
    </w:p>
    <w:p w14:paraId="188ACDED">
      <w:pPr>
        <w:numPr>
          <w:ilvl w:val="0"/>
          <w:numId w:val="90"/>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价格调整要求</w:t>
      </w:r>
    </w:p>
    <w:p w14:paraId="44E9D68C">
      <w:pPr>
        <w:numPr>
          <w:ilvl w:val="0"/>
          <w:numId w:val="0"/>
        </w:numPr>
        <w:bidi w:val="0"/>
        <w:ind w:firstLine="560" w:firstLineChars="200"/>
        <w:rPr>
          <w:rFonts w:hint="eastAsia" w:ascii="仿宋" w:hAnsi="仿宋" w:eastAsia="仿宋"/>
          <w:color w:val="auto"/>
        </w:rPr>
      </w:pPr>
      <w:r>
        <w:rPr>
          <w:rFonts w:hint="eastAsia" w:ascii="仿宋" w:hAnsi="仿宋" w:eastAsia="仿宋"/>
          <w:color w:val="auto"/>
          <w:lang w:val="en-US" w:eastAsia="zh-CN"/>
        </w:rPr>
        <w:t>明确本项目采用自主定价模式，价格调整需遵循 “成本覆盖、市场导向、公平普惠、程序规范” 的核心原则，明确价格调整的触发条件、申请流程、评审要求及公示要求，确保价格调整合理、公开、透明，兼顾项目可持续运营与公众承受能力。</w:t>
      </w:r>
    </w:p>
    <w:p w14:paraId="7B2B3016">
      <w:pPr>
        <w:numPr>
          <w:ilvl w:val="0"/>
          <w:numId w:val="90"/>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项目公司股权变更要求</w:t>
      </w:r>
    </w:p>
    <w:p w14:paraId="32F91562">
      <w:pPr>
        <w:numPr>
          <w:ilvl w:val="0"/>
          <w:numId w:val="0"/>
        </w:numPr>
        <w:bidi w:val="0"/>
        <w:ind w:firstLine="560" w:firstLineChars="200"/>
        <w:rPr>
          <w:rFonts w:hint="eastAsia" w:ascii="仿宋" w:hAnsi="仿宋" w:eastAsia="仿宋"/>
          <w:color w:val="auto"/>
        </w:rPr>
      </w:pPr>
      <w:r>
        <w:rPr>
          <w:rFonts w:hint="eastAsia" w:ascii="仿宋" w:hAnsi="仿宋" w:eastAsia="仿宋"/>
          <w:color w:val="auto"/>
          <w:lang w:val="en-US" w:eastAsia="zh-CN"/>
        </w:rPr>
        <w:t>明确特许经营期限内项目公司股权变更的管控要求，规范股权变更的申请、审核、审批流程，要求股权变更需提前提交相关材料，明确变更原因、变更比例及新股东资质，严禁未经批准擅自变更股权，杜绝通过股权变更转移项目风险、损害公共利益。</w:t>
      </w:r>
    </w:p>
    <w:p w14:paraId="51CED809">
      <w:pPr>
        <w:numPr>
          <w:ilvl w:val="0"/>
          <w:numId w:val="90"/>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政府临时接管和征用要求</w:t>
      </w:r>
    </w:p>
    <w:p w14:paraId="775B0CD9">
      <w:pPr>
        <w:numPr>
          <w:ilvl w:val="0"/>
          <w:numId w:val="0"/>
        </w:num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临时接管要求：</w:t>
      </w:r>
    </w:p>
    <w:p w14:paraId="3B583E61">
      <w:pPr>
        <w:widowControl/>
        <w:shd w:val="clear" w:color="auto" w:fill="FFFFFF"/>
        <w:ind w:firstLine="480"/>
        <w:jc w:val="left"/>
        <w:rPr>
          <w:rFonts w:hint="eastAsia" w:ascii="方正仿宋_GB2312" w:hAnsi="方正仿宋_GB2312" w:eastAsia="方正仿宋_GB2312" w:cs="方正仿宋_GB2312"/>
          <w:color w:val="auto"/>
          <w:szCs w:val="24"/>
        </w:rPr>
      </w:pPr>
      <w:r>
        <w:rPr>
          <w:rFonts w:hint="eastAsia" w:ascii="方正仿宋_GB2312" w:hAnsi="方正仿宋_GB2312" w:eastAsia="方正仿宋_GB2312" w:cs="方正仿宋_GB2312"/>
          <w:color w:val="auto"/>
          <w:szCs w:val="24"/>
          <w:lang w:val="en-US" w:eastAsia="zh-CN"/>
        </w:rPr>
        <w:t>特许经营</w:t>
      </w:r>
      <w:r>
        <w:rPr>
          <w:rFonts w:hint="eastAsia" w:ascii="方正仿宋_GB2312" w:hAnsi="方正仿宋_GB2312" w:eastAsia="方正仿宋_GB2312" w:cs="方正仿宋_GB2312"/>
          <w:color w:val="auto"/>
          <w:szCs w:val="24"/>
        </w:rPr>
        <w:t>期内，如</w:t>
      </w:r>
      <w:r>
        <w:rPr>
          <w:rFonts w:hint="eastAsia" w:ascii="方正仿宋_GB2312" w:hAnsi="方正仿宋_GB2312" w:eastAsia="方正仿宋_GB2312" w:cs="方正仿宋_GB2312"/>
          <w:color w:val="auto"/>
          <w:szCs w:val="24"/>
          <w:lang w:val="en-US" w:eastAsia="zh-CN"/>
        </w:rPr>
        <w:t>特许经营</w:t>
      </w:r>
      <w:r>
        <w:rPr>
          <w:rFonts w:hint="eastAsia" w:ascii="方正仿宋_GB2312" w:hAnsi="方正仿宋_GB2312" w:eastAsia="方正仿宋_GB2312" w:cs="方正仿宋_GB2312"/>
          <w:color w:val="auto"/>
          <w:szCs w:val="24"/>
        </w:rPr>
        <w:t>方出现以下违约行为，</w:t>
      </w:r>
      <w:r>
        <w:rPr>
          <w:rFonts w:hint="eastAsia" w:ascii="方正仿宋_GB2312" w:hAnsi="方正仿宋_GB2312" w:eastAsia="方正仿宋_GB2312" w:cs="方正仿宋_GB2312"/>
          <w:color w:val="auto"/>
          <w:szCs w:val="24"/>
          <w:lang w:val="en-US" w:eastAsia="zh-CN"/>
        </w:rPr>
        <w:t>政府</w:t>
      </w:r>
      <w:r>
        <w:rPr>
          <w:rFonts w:hint="eastAsia" w:ascii="方正仿宋_GB2312" w:hAnsi="方正仿宋_GB2312" w:eastAsia="方正仿宋_GB2312" w:cs="方正仿宋_GB2312"/>
          <w:color w:val="auto"/>
          <w:szCs w:val="24"/>
        </w:rPr>
        <w:t>方有权决定实施临时接管：</w:t>
      </w:r>
    </w:p>
    <w:p w14:paraId="0E98A590">
      <w:pPr>
        <w:widowControl/>
        <w:shd w:val="clear" w:color="auto" w:fill="FFFFFF"/>
        <w:ind w:firstLine="480"/>
        <w:jc w:val="left"/>
        <w:rPr>
          <w:rFonts w:hint="eastAsia" w:ascii="方正仿宋_GB2312" w:hAnsi="方正仿宋_GB2312" w:eastAsia="方正仿宋_GB2312" w:cs="方正仿宋_GB2312"/>
          <w:color w:val="auto"/>
          <w:szCs w:val="24"/>
        </w:rPr>
      </w:pPr>
      <w:r>
        <w:rPr>
          <w:rFonts w:hint="eastAsia" w:ascii="方正仿宋_GB2312" w:hAnsi="方正仿宋_GB2312" w:eastAsia="方正仿宋_GB2312" w:cs="方正仿宋_GB2312"/>
          <w:color w:val="auto"/>
          <w:szCs w:val="24"/>
        </w:rPr>
        <w:t>（1）擅自转让、委托经营的；</w:t>
      </w:r>
    </w:p>
    <w:p w14:paraId="6A8BA432">
      <w:pPr>
        <w:widowControl/>
        <w:shd w:val="clear" w:color="auto" w:fill="FFFFFF"/>
        <w:ind w:firstLine="480"/>
        <w:jc w:val="left"/>
        <w:rPr>
          <w:rFonts w:hint="eastAsia" w:ascii="方正仿宋_GB2312" w:hAnsi="方正仿宋_GB2312" w:eastAsia="方正仿宋_GB2312" w:cs="方正仿宋_GB2312"/>
          <w:color w:val="auto"/>
          <w:szCs w:val="24"/>
        </w:rPr>
      </w:pPr>
      <w:r>
        <w:rPr>
          <w:rFonts w:hint="eastAsia" w:ascii="方正仿宋_GB2312" w:hAnsi="方正仿宋_GB2312" w:eastAsia="方正仿宋_GB2312" w:cs="方正仿宋_GB2312"/>
          <w:color w:val="auto"/>
          <w:szCs w:val="24"/>
        </w:rPr>
        <w:t>（</w:t>
      </w:r>
      <w:r>
        <w:rPr>
          <w:rFonts w:hint="eastAsia" w:ascii="方正仿宋_GB2312" w:hAnsi="方正仿宋_GB2312" w:eastAsia="方正仿宋_GB2312" w:cs="方正仿宋_GB2312"/>
          <w:color w:val="auto"/>
          <w:szCs w:val="24"/>
          <w:lang w:val="en-US" w:eastAsia="zh-CN"/>
        </w:rPr>
        <w:t>2</w:t>
      </w:r>
      <w:r>
        <w:rPr>
          <w:rFonts w:hint="eastAsia" w:ascii="方正仿宋_GB2312" w:hAnsi="方正仿宋_GB2312" w:eastAsia="方正仿宋_GB2312" w:cs="方正仿宋_GB2312"/>
          <w:color w:val="auto"/>
          <w:szCs w:val="24"/>
        </w:rPr>
        <w:t>）因管理不善、发生重大质量、安全事故，及环保、卫生事件的；</w:t>
      </w:r>
    </w:p>
    <w:p w14:paraId="2A50B143">
      <w:pPr>
        <w:widowControl/>
        <w:shd w:val="clear" w:color="auto" w:fill="FFFFFF"/>
        <w:ind w:firstLine="480"/>
        <w:jc w:val="left"/>
        <w:rPr>
          <w:rFonts w:hint="eastAsia" w:ascii="方正仿宋_GB2312" w:hAnsi="方正仿宋_GB2312" w:eastAsia="方正仿宋_GB2312" w:cs="方正仿宋_GB2312"/>
          <w:color w:val="auto"/>
          <w:szCs w:val="24"/>
        </w:rPr>
      </w:pPr>
      <w:r>
        <w:rPr>
          <w:rFonts w:hint="eastAsia" w:ascii="方正仿宋_GB2312" w:hAnsi="方正仿宋_GB2312" w:eastAsia="方正仿宋_GB2312" w:cs="方正仿宋_GB2312"/>
          <w:color w:val="auto"/>
          <w:szCs w:val="24"/>
        </w:rPr>
        <w:t>（</w:t>
      </w:r>
      <w:r>
        <w:rPr>
          <w:rFonts w:hint="eastAsia" w:ascii="方正仿宋_GB2312" w:hAnsi="方正仿宋_GB2312" w:eastAsia="方正仿宋_GB2312" w:cs="方正仿宋_GB2312"/>
          <w:color w:val="auto"/>
          <w:szCs w:val="24"/>
          <w:lang w:val="en-US" w:eastAsia="zh-CN"/>
        </w:rPr>
        <w:t>3</w:t>
      </w:r>
      <w:r>
        <w:rPr>
          <w:rFonts w:hint="eastAsia" w:ascii="方正仿宋_GB2312" w:hAnsi="方正仿宋_GB2312" w:eastAsia="方正仿宋_GB2312" w:cs="方正仿宋_GB2312"/>
          <w:color w:val="auto"/>
          <w:szCs w:val="24"/>
        </w:rPr>
        <w:t>）擅自停业、歇业，严重影响到社会公共利益和安全的；</w:t>
      </w:r>
    </w:p>
    <w:p w14:paraId="11B68493">
      <w:pPr>
        <w:widowControl/>
        <w:shd w:val="clear" w:color="auto" w:fill="FFFFFF"/>
        <w:ind w:firstLine="480"/>
        <w:jc w:val="left"/>
        <w:rPr>
          <w:rFonts w:hint="eastAsia" w:ascii="方正仿宋_GB2312" w:hAnsi="方正仿宋_GB2312" w:eastAsia="方正仿宋_GB2312" w:cs="方正仿宋_GB2312"/>
          <w:color w:val="auto"/>
          <w:szCs w:val="24"/>
        </w:rPr>
      </w:pPr>
      <w:r>
        <w:rPr>
          <w:rFonts w:hint="eastAsia" w:ascii="方正仿宋_GB2312" w:hAnsi="方正仿宋_GB2312" w:eastAsia="方正仿宋_GB2312" w:cs="方正仿宋_GB2312"/>
          <w:color w:val="auto"/>
          <w:szCs w:val="24"/>
        </w:rPr>
        <w:t>（</w:t>
      </w:r>
      <w:r>
        <w:rPr>
          <w:rFonts w:hint="eastAsia" w:ascii="方正仿宋_GB2312" w:hAnsi="方正仿宋_GB2312" w:eastAsia="方正仿宋_GB2312" w:cs="方正仿宋_GB2312"/>
          <w:color w:val="auto"/>
          <w:szCs w:val="24"/>
          <w:lang w:val="en-US" w:eastAsia="zh-CN"/>
        </w:rPr>
        <w:t>4</w:t>
      </w:r>
      <w:r>
        <w:rPr>
          <w:rFonts w:hint="eastAsia" w:ascii="方正仿宋_GB2312" w:hAnsi="方正仿宋_GB2312" w:eastAsia="方正仿宋_GB2312" w:cs="方正仿宋_GB2312"/>
          <w:color w:val="auto"/>
          <w:szCs w:val="24"/>
        </w:rPr>
        <w:t>）</w:t>
      </w:r>
      <w:r>
        <w:rPr>
          <w:rFonts w:hint="eastAsia" w:ascii="方正仿宋_GB2312" w:hAnsi="方正仿宋_GB2312" w:eastAsia="方正仿宋_GB2312" w:cs="方正仿宋_GB2312"/>
          <w:color w:val="auto"/>
          <w:szCs w:val="24"/>
          <w:lang w:eastAsia="zh-CN"/>
        </w:rPr>
        <w:t>法律法规</w:t>
      </w:r>
      <w:r>
        <w:rPr>
          <w:rFonts w:hint="eastAsia" w:ascii="方正仿宋_GB2312" w:hAnsi="方正仿宋_GB2312" w:eastAsia="方正仿宋_GB2312" w:cs="方正仿宋_GB2312"/>
          <w:color w:val="auto"/>
          <w:szCs w:val="24"/>
        </w:rPr>
        <w:t>禁止的其他行为。</w:t>
      </w:r>
    </w:p>
    <w:p w14:paraId="1C0EC8E2">
      <w:pPr>
        <w:numPr>
          <w:ilvl w:val="0"/>
          <w:numId w:val="0"/>
        </w:numPr>
        <w:bidi w:val="0"/>
        <w:ind w:firstLine="560" w:firstLineChars="200"/>
        <w:rPr>
          <w:rFonts w:hint="eastAsia" w:ascii="方正仿宋_GB2312" w:hAnsi="方正仿宋_GB2312" w:eastAsia="方正仿宋_GB2312" w:cs="方正仿宋_GB2312"/>
          <w:color w:val="auto"/>
          <w:lang w:val="en-US"/>
        </w:rPr>
      </w:pPr>
      <w:r>
        <w:rPr>
          <w:rFonts w:hint="eastAsia" w:ascii="方正仿宋_GB2312" w:hAnsi="方正仿宋_GB2312" w:eastAsia="方正仿宋_GB2312" w:cs="方正仿宋_GB2312"/>
          <w:color w:val="auto"/>
          <w:lang w:val="en-US" w:eastAsia="zh-CN"/>
        </w:rPr>
        <w:t>政府征用要求：明确政府征用的适用情形（国家重大公共利益需要），规范征用的通知、协商、补偿流程，要求双方依法协商确定征用补偿事宜，保障各方合法权益。征用期间，政府方应按照项目正常经营时的收费水平，向特许经营方支付征用费用，如损坏项目资产，应负责恢复原样或者照价赔偿。</w:t>
      </w:r>
    </w:p>
    <w:p w14:paraId="35CE969D">
      <w:pPr>
        <w:numPr>
          <w:ilvl w:val="0"/>
          <w:numId w:val="90"/>
        </w:numPr>
        <w:bidi w:val="0"/>
        <w:ind w:left="0" w:leftChars="0" w:firstLine="560" w:firstLineChars="200"/>
        <w:rPr>
          <w:rFonts w:hint="eastAsia" w:ascii="方正仿宋_GB2312" w:hAnsi="方正仿宋_GB2312" w:eastAsia="方正仿宋_GB2312" w:cs="方正仿宋_GB2312"/>
          <w:color w:val="auto"/>
          <w:lang w:val="en-US" w:eastAsia="zh-CN"/>
        </w:rPr>
      </w:pPr>
      <w:r>
        <w:rPr>
          <w:rFonts w:hint="eastAsia" w:ascii="方正仿宋_GB2312" w:hAnsi="方正仿宋_GB2312" w:eastAsia="方正仿宋_GB2312" w:cs="方正仿宋_GB2312"/>
          <w:color w:val="auto"/>
          <w:lang w:val="en-US" w:eastAsia="zh-CN"/>
        </w:rPr>
        <w:t>项目移交或提前退出要求</w:t>
      </w:r>
    </w:p>
    <w:p w14:paraId="45A4A147">
      <w:pPr>
        <w:widowControl w:val="0"/>
        <w:ind w:firstLine="56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（1）</w:t>
      </w:r>
      <w:r>
        <w:rPr>
          <w:rFonts w:hint="eastAsia" w:ascii="方正仿宋_GB2312" w:hAnsi="方正仿宋_GB2312" w:eastAsia="方正仿宋_GB2312" w:cs="方正仿宋_GB2312"/>
          <w:color w:val="auto"/>
          <w:sz w:val="28"/>
          <w:szCs w:val="28"/>
          <w:lang w:val="en-US" w:eastAsia="zh-CN"/>
        </w:rPr>
        <w:t>特许经营</w:t>
      </w:r>
      <w:r>
        <w:rPr>
          <w:rFonts w:hint="eastAsia" w:ascii="方正仿宋_GB2312" w:hAnsi="方正仿宋_GB2312" w:eastAsia="方正仿宋_GB2312" w:cs="方正仿宋_GB2312"/>
          <w:color w:val="auto"/>
          <w:sz w:val="28"/>
          <w:szCs w:val="28"/>
        </w:rPr>
        <w:t>期满</w:t>
      </w:r>
      <w:r>
        <w:rPr>
          <w:rFonts w:hint="eastAsia" w:ascii="方正仿宋_GB2312" w:hAnsi="方正仿宋_GB2312" w:eastAsia="方正仿宋_GB2312" w:cs="方正仿宋_GB2312"/>
          <w:color w:val="auto"/>
          <w:sz w:val="28"/>
          <w:szCs w:val="28"/>
          <w:lang w:val="en-US" w:eastAsia="zh-CN"/>
        </w:rPr>
        <w:t>，特许经营者按照公司章程的规定清算，并退出项目，</w:t>
      </w:r>
      <w:r>
        <w:rPr>
          <w:rFonts w:hint="eastAsia" w:ascii="方正仿宋_GB2312" w:hAnsi="方正仿宋_GB2312" w:eastAsia="方正仿宋_GB2312" w:cs="方正仿宋_GB2312"/>
          <w:color w:val="auto"/>
          <w:sz w:val="28"/>
          <w:szCs w:val="28"/>
        </w:rPr>
        <w:t>合同终止</w:t>
      </w:r>
    </w:p>
    <w:p w14:paraId="7331F253">
      <w:pPr>
        <w:widowControl w:val="0"/>
        <w:ind w:firstLine="56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（2）提前终止</w:t>
      </w:r>
    </w:p>
    <w:p w14:paraId="6A193926">
      <w:pPr>
        <w:widowControl w:val="0"/>
        <w:ind w:firstLine="72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①</w:t>
      </w:r>
      <w:r>
        <w:rPr>
          <w:rFonts w:hint="eastAsia" w:ascii="方正仿宋_GB2312" w:hAnsi="方正仿宋_GB2312" w:eastAsia="方正仿宋_GB2312" w:cs="方正仿宋_GB2312"/>
          <w:color w:val="auto"/>
          <w:sz w:val="28"/>
          <w:szCs w:val="28"/>
          <w:lang w:val="en-US" w:eastAsia="zh-CN"/>
        </w:rPr>
        <w:t>特许经营者</w:t>
      </w:r>
      <w:r>
        <w:rPr>
          <w:rFonts w:hint="eastAsia" w:ascii="方正仿宋_GB2312" w:hAnsi="方正仿宋_GB2312" w:eastAsia="方正仿宋_GB2312" w:cs="方正仿宋_GB2312"/>
          <w:color w:val="auto"/>
          <w:sz w:val="28"/>
          <w:szCs w:val="28"/>
        </w:rPr>
        <w:t>发生严重违约行为时，政府方发出终止合同的意向通知。</w:t>
      </w:r>
    </w:p>
    <w:p w14:paraId="5EF383BF">
      <w:pPr>
        <w:widowControl w:val="0"/>
        <w:ind w:firstLine="72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②政府方发生严重违约行为</w:t>
      </w:r>
      <w:r>
        <w:rPr>
          <w:rFonts w:hint="eastAsia" w:ascii="方正仿宋_GB2312" w:hAnsi="方正仿宋_GB2312" w:eastAsia="方正仿宋_GB2312" w:cs="方正仿宋_GB2312"/>
          <w:color w:val="auto"/>
          <w:sz w:val="28"/>
          <w:szCs w:val="28"/>
          <w:lang w:val="en-US" w:eastAsia="zh-CN"/>
        </w:rPr>
        <w:t>或选择终止</w:t>
      </w:r>
      <w:r>
        <w:rPr>
          <w:rFonts w:hint="eastAsia" w:ascii="方正仿宋_GB2312" w:hAnsi="方正仿宋_GB2312" w:eastAsia="方正仿宋_GB2312" w:cs="方正仿宋_GB2312"/>
          <w:color w:val="auto"/>
          <w:sz w:val="28"/>
          <w:szCs w:val="28"/>
        </w:rPr>
        <w:t>时，</w:t>
      </w:r>
      <w:r>
        <w:rPr>
          <w:rFonts w:hint="eastAsia" w:ascii="方正仿宋_GB2312" w:hAnsi="方正仿宋_GB2312" w:eastAsia="方正仿宋_GB2312" w:cs="方正仿宋_GB2312"/>
          <w:color w:val="auto"/>
          <w:sz w:val="28"/>
          <w:szCs w:val="28"/>
          <w:lang w:val="en-US" w:eastAsia="zh-CN"/>
        </w:rPr>
        <w:t>特许经营者</w:t>
      </w:r>
      <w:r>
        <w:rPr>
          <w:rFonts w:hint="eastAsia" w:ascii="方正仿宋_GB2312" w:hAnsi="方正仿宋_GB2312" w:eastAsia="方正仿宋_GB2312" w:cs="方正仿宋_GB2312"/>
          <w:color w:val="auto"/>
          <w:sz w:val="28"/>
          <w:szCs w:val="28"/>
        </w:rPr>
        <w:t>发出终止合同的意向通知。</w:t>
      </w:r>
    </w:p>
    <w:p w14:paraId="3ACD494B">
      <w:pPr>
        <w:widowControl w:val="0"/>
        <w:ind w:firstLine="72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③发生不可抗力时，《</w:t>
      </w:r>
      <w:r>
        <w:rPr>
          <w:rFonts w:hint="eastAsia" w:ascii="方正仿宋_GB2312" w:hAnsi="方正仿宋_GB2312" w:eastAsia="方正仿宋_GB2312" w:cs="方正仿宋_GB2312"/>
          <w:color w:val="auto"/>
          <w:sz w:val="28"/>
          <w:szCs w:val="28"/>
          <w:lang w:val="en-US" w:eastAsia="zh-CN"/>
        </w:rPr>
        <w:t>特许经营协议</w:t>
      </w:r>
      <w:r>
        <w:rPr>
          <w:rFonts w:hint="eastAsia" w:ascii="方正仿宋_GB2312" w:hAnsi="方正仿宋_GB2312" w:eastAsia="方正仿宋_GB2312" w:cs="方正仿宋_GB2312"/>
          <w:color w:val="auto"/>
          <w:sz w:val="28"/>
          <w:szCs w:val="28"/>
        </w:rPr>
        <w:t>》签订双方无法协商一致继续履行各自义务，双方有权向对方发出终止合同的意向通知。</w:t>
      </w:r>
      <w:r>
        <w:rPr>
          <w:rFonts w:hint="eastAsia" w:ascii="方正仿宋_GB2312" w:hAnsi="方正仿宋_GB2312" w:eastAsia="方正仿宋_GB2312" w:cs="方正仿宋_GB2312"/>
          <w:color w:val="auto"/>
          <w:sz w:val="28"/>
          <w:szCs w:val="28"/>
          <w:lang w:val="en-US" w:eastAsia="zh-CN"/>
        </w:rPr>
        <w:t xml:space="preserve">“不可抗力”系指不能预见、不能避免并不能克服的客观情况。 </w:t>
      </w:r>
    </w:p>
    <w:p w14:paraId="039B8DF2">
      <w:pPr>
        <w:widowControl w:val="0"/>
        <w:ind w:firstLine="72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不可抗力可包括但不限于下列特殊事件或情况：</w:t>
      </w:r>
    </w:p>
    <w:p w14:paraId="668CEDA0">
      <w:pPr>
        <w:spacing w:before="0" w:after="0" w:line="360" w:lineRule="auto"/>
        <w:ind w:firstLine="720"/>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b w:val="0"/>
          <w:color w:val="auto"/>
          <w:sz w:val="28"/>
        </w:rPr>
        <w:t>（1）自然灾害（如地震、洪水、台风等）；</w:t>
      </w:r>
    </w:p>
    <w:p w14:paraId="3D6CF7BA">
      <w:pPr>
        <w:spacing w:before="0" w:after="0" w:line="360" w:lineRule="auto"/>
        <w:ind w:firstLine="720"/>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b w:val="0"/>
          <w:color w:val="auto"/>
          <w:sz w:val="28"/>
        </w:rPr>
        <w:t>（2）超过双方均认可的设计标准的气候现象；</w:t>
      </w:r>
    </w:p>
    <w:p w14:paraId="1A827FA0">
      <w:pPr>
        <w:spacing w:before="0" w:after="0" w:line="360" w:lineRule="auto"/>
        <w:ind w:firstLine="720"/>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b w:val="0"/>
          <w:color w:val="auto"/>
          <w:sz w:val="28"/>
        </w:rPr>
        <w:t>（3）传染病或因执行传染病防治法律导致的管控行为；</w:t>
      </w:r>
    </w:p>
    <w:p w14:paraId="08603459">
      <w:pPr>
        <w:spacing w:before="0" w:after="0" w:line="360" w:lineRule="auto"/>
        <w:ind w:firstLine="720"/>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b w:val="0"/>
          <w:color w:val="auto"/>
          <w:sz w:val="28"/>
        </w:rPr>
        <w:t>（4）战争、制裁、内战、武装冲突或恐怖主义的袭击；</w:t>
      </w:r>
    </w:p>
    <w:p w14:paraId="432370D0">
      <w:pPr>
        <w:spacing w:before="0" w:after="0" w:line="360" w:lineRule="auto"/>
        <w:ind w:firstLine="720"/>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b w:val="0"/>
          <w:color w:val="auto"/>
          <w:sz w:val="28"/>
        </w:rPr>
        <w:t>（5）项目现场发现文物而根据文物保护法律全部或部分中止或终止建设；</w:t>
      </w:r>
    </w:p>
    <w:p w14:paraId="0F0A467F">
      <w:pPr>
        <w:widowControl w:val="0"/>
        <w:spacing w:line="360" w:lineRule="auto"/>
        <w:ind w:firstLine="72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b w:val="0"/>
          <w:color w:val="auto"/>
          <w:sz w:val="28"/>
        </w:rPr>
        <w:t>（6）核污染、化学污染或生化污染。</w:t>
      </w:r>
    </w:p>
    <w:p w14:paraId="28C9D205">
      <w:pPr>
        <w:widowControl w:val="0"/>
        <w:ind w:firstLine="72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④其他。构成合作双方违约触发合同提前终止的因素的认定具体参见《</w:t>
      </w:r>
      <w:r>
        <w:rPr>
          <w:rFonts w:hint="eastAsia" w:ascii="方正仿宋_GB2312" w:hAnsi="方正仿宋_GB2312" w:eastAsia="方正仿宋_GB2312" w:cs="方正仿宋_GB2312"/>
          <w:color w:val="auto"/>
          <w:sz w:val="28"/>
          <w:szCs w:val="28"/>
          <w:lang w:val="en-US" w:eastAsia="zh-CN"/>
        </w:rPr>
        <w:t>特许经营协议</w:t>
      </w:r>
      <w:r>
        <w:rPr>
          <w:rFonts w:hint="eastAsia" w:ascii="方正仿宋_GB2312" w:hAnsi="方正仿宋_GB2312" w:eastAsia="方正仿宋_GB2312" w:cs="方正仿宋_GB2312"/>
          <w:color w:val="auto"/>
          <w:sz w:val="28"/>
          <w:szCs w:val="28"/>
        </w:rPr>
        <w:t>》。</w:t>
      </w:r>
    </w:p>
    <w:p w14:paraId="2FD85DB7">
      <w:pPr>
        <w:numPr>
          <w:ilvl w:val="0"/>
          <w:numId w:val="0"/>
        </w:numPr>
        <w:bidi w:val="0"/>
        <w:ind w:firstLine="560" w:firstLineChars="200"/>
        <w:rPr>
          <w:rFonts w:hint="eastAsia" w:ascii="方正仿宋_GB2312" w:hAnsi="方正仿宋_GB2312" w:eastAsia="方正仿宋_GB2312" w:cs="方正仿宋_GB2312"/>
          <w:color w:val="auto"/>
          <w:lang w:val="en-US" w:eastAsia="zh-CN"/>
        </w:rPr>
      </w:pPr>
      <w:r>
        <w:rPr>
          <w:rFonts w:hint="eastAsia" w:ascii="方正仿宋_GB2312" w:hAnsi="方正仿宋_GB2312" w:eastAsia="方正仿宋_GB2312" w:cs="方正仿宋_GB2312"/>
          <w:color w:val="auto"/>
          <w:lang w:val="en-US" w:eastAsia="zh-CN"/>
        </w:rPr>
        <w:t>期满移交要求：本项目运营期届满前 1 年，政府方与社会资本各派 3 名代表设立项目移交工作委员会，专事推进有关资料移交相关工作。</w:t>
      </w:r>
    </w:p>
    <w:p w14:paraId="1F007A37">
      <w:pPr>
        <w:numPr>
          <w:ilvl w:val="0"/>
          <w:numId w:val="0"/>
        </w:numPr>
        <w:bidi w:val="0"/>
        <w:ind w:firstLine="560" w:firstLineChars="200"/>
        <w:rPr>
          <w:rFonts w:hint="eastAsia" w:ascii="方正仿宋_GB2312" w:hAnsi="方正仿宋_GB2312" w:eastAsia="方正仿宋_GB2312" w:cs="方正仿宋_GB2312"/>
          <w:color w:val="auto"/>
          <w:lang w:val="en-US" w:eastAsia="zh-CN"/>
        </w:rPr>
      </w:pPr>
      <w:r>
        <w:rPr>
          <w:rFonts w:hint="eastAsia" w:ascii="方正仿宋_GB2312" w:hAnsi="方正仿宋_GB2312" w:eastAsia="方正仿宋_GB2312" w:cs="方正仿宋_GB2312"/>
          <w:color w:val="auto"/>
          <w:sz w:val="28"/>
          <w:szCs w:val="28"/>
        </w:rPr>
        <w:t>《</w:t>
      </w:r>
      <w:r>
        <w:rPr>
          <w:rFonts w:hint="eastAsia" w:ascii="方正仿宋_GB2312" w:hAnsi="方正仿宋_GB2312" w:eastAsia="方正仿宋_GB2312" w:cs="方正仿宋_GB2312"/>
          <w:color w:val="auto"/>
          <w:sz w:val="28"/>
          <w:szCs w:val="28"/>
          <w:lang w:val="en-US" w:eastAsia="zh-CN"/>
        </w:rPr>
        <w:t>特许经营协议</w:t>
      </w:r>
      <w:r>
        <w:rPr>
          <w:rFonts w:hint="eastAsia" w:ascii="方正仿宋_GB2312" w:hAnsi="方正仿宋_GB2312" w:eastAsia="方正仿宋_GB2312" w:cs="方正仿宋_GB2312"/>
          <w:color w:val="auto"/>
          <w:sz w:val="28"/>
          <w:szCs w:val="28"/>
        </w:rPr>
        <w:t>》</w:t>
      </w:r>
      <w:r>
        <w:rPr>
          <w:rFonts w:hint="eastAsia" w:ascii="方正仿宋_GB2312" w:hAnsi="方正仿宋_GB2312" w:eastAsia="方正仿宋_GB2312" w:cs="方正仿宋_GB2312"/>
          <w:color w:val="auto"/>
          <w:sz w:val="28"/>
          <w:szCs w:val="28"/>
          <w:lang w:val="en-US" w:eastAsia="zh-CN"/>
        </w:rPr>
        <w:t>中</w:t>
      </w:r>
      <w:r>
        <w:rPr>
          <w:rFonts w:hint="eastAsia" w:ascii="方正仿宋_GB2312" w:hAnsi="方正仿宋_GB2312" w:eastAsia="方正仿宋_GB2312" w:cs="方正仿宋_GB2312"/>
          <w:color w:val="auto"/>
          <w:lang w:val="en-US" w:eastAsia="zh-CN"/>
        </w:rPr>
        <w:t>明确特许经营期满后项目移交的总体要求，规范移交范围、移交标准、移交流程，要求组建移交工作组，做好资产性能测试、问题整改及资料移交工作，确保资产无偿、完好、无纠纷移交。</w:t>
      </w:r>
    </w:p>
    <w:p w14:paraId="313C3A23">
      <w:pPr>
        <w:numPr>
          <w:ilvl w:val="0"/>
          <w:numId w:val="0"/>
        </w:numPr>
        <w:bidi w:val="0"/>
        <w:ind w:firstLine="560" w:firstLineChars="200"/>
        <w:rPr>
          <w:rFonts w:hint="eastAsia" w:ascii="方正仿宋_GB2312" w:hAnsi="方正仿宋_GB2312" w:eastAsia="方正仿宋_GB2312" w:cs="方正仿宋_GB2312"/>
          <w:color w:val="auto"/>
          <w:lang w:val="en-US" w:eastAsia="zh-CN"/>
        </w:rPr>
      </w:pPr>
      <w:r>
        <w:rPr>
          <w:rFonts w:hint="eastAsia" w:ascii="方正仿宋_GB2312" w:hAnsi="方正仿宋_GB2312" w:eastAsia="方正仿宋_GB2312" w:cs="方正仿宋_GB2312"/>
          <w:color w:val="auto"/>
          <w:lang w:val="en-US" w:eastAsia="zh-CN"/>
        </w:rPr>
        <w:t>提前退出要求：</w:t>
      </w:r>
      <w:r>
        <w:rPr>
          <w:rFonts w:hint="eastAsia" w:ascii="方正仿宋_GB2312" w:hAnsi="方正仿宋_GB2312" w:eastAsia="方正仿宋_GB2312" w:cs="方正仿宋_GB2312"/>
          <w:color w:val="auto"/>
          <w:sz w:val="28"/>
          <w:szCs w:val="28"/>
        </w:rPr>
        <w:t>《</w:t>
      </w:r>
      <w:r>
        <w:rPr>
          <w:rFonts w:hint="eastAsia" w:ascii="方正仿宋_GB2312" w:hAnsi="方正仿宋_GB2312" w:eastAsia="方正仿宋_GB2312" w:cs="方正仿宋_GB2312"/>
          <w:color w:val="auto"/>
          <w:sz w:val="28"/>
          <w:szCs w:val="28"/>
          <w:lang w:val="en-US" w:eastAsia="zh-CN"/>
        </w:rPr>
        <w:t>特许经营协议</w:t>
      </w:r>
      <w:r>
        <w:rPr>
          <w:rFonts w:hint="eastAsia" w:ascii="方正仿宋_GB2312" w:hAnsi="方正仿宋_GB2312" w:eastAsia="方正仿宋_GB2312" w:cs="方正仿宋_GB2312"/>
          <w:color w:val="auto"/>
          <w:sz w:val="28"/>
          <w:szCs w:val="28"/>
        </w:rPr>
        <w:t>》</w:t>
      </w:r>
      <w:r>
        <w:rPr>
          <w:rFonts w:hint="eastAsia" w:ascii="方正仿宋_GB2312" w:hAnsi="方正仿宋_GB2312" w:eastAsia="方正仿宋_GB2312" w:cs="方正仿宋_GB2312"/>
          <w:color w:val="auto"/>
          <w:sz w:val="28"/>
          <w:szCs w:val="28"/>
          <w:lang w:val="en-US" w:eastAsia="zh-CN"/>
        </w:rPr>
        <w:t>中</w:t>
      </w:r>
      <w:r>
        <w:rPr>
          <w:rFonts w:hint="eastAsia" w:ascii="方正仿宋_GB2312" w:hAnsi="方正仿宋_GB2312" w:eastAsia="方正仿宋_GB2312" w:cs="方正仿宋_GB2312"/>
          <w:color w:val="auto"/>
          <w:lang w:val="en-US" w:eastAsia="zh-CN"/>
        </w:rPr>
        <w:t>明确提前退出的触发情形、申请流程、审核要求及善后处理要求，要求特许经营者提前提交退出申请及善后方案，依法承担相应责任，确保项目运营平稳过渡。</w:t>
      </w:r>
    </w:p>
    <w:p w14:paraId="321E7200">
      <w:pPr>
        <w:pStyle w:val="56"/>
        <w:widowControl w:val="0"/>
        <w:ind w:firstLine="56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项目</w:t>
      </w:r>
      <w:r>
        <w:rPr>
          <w:rFonts w:hint="eastAsia" w:ascii="方正仿宋_GB2312" w:hAnsi="方正仿宋_GB2312" w:eastAsia="方正仿宋_GB2312" w:cs="方正仿宋_GB2312"/>
          <w:color w:val="auto"/>
          <w:sz w:val="28"/>
          <w:szCs w:val="28"/>
          <w:lang w:val="en-US" w:eastAsia="zh-CN"/>
        </w:rPr>
        <w:t>特许经营</w:t>
      </w:r>
      <w:r>
        <w:rPr>
          <w:rFonts w:hint="eastAsia" w:ascii="方正仿宋_GB2312" w:hAnsi="方正仿宋_GB2312" w:eastAsia="方正仿宋_GB2312" w:cs="方正仿宋_GB2312"/>
          <w:color w:val="auto"/>
          <w:sz w:val="28"/>
          <w:szCs w:val="28"/>
        </w:rPr>
        <w:t>期内，可引发提前终止的事项主要包括不可抗力事件、政府根据城市建设需要进行规划调整或项目调整而导致的项目提前终止，法律变更或政府行为、一方违约、双方协商一致等。</w:t>
      </w:r>
    </w:p>
    <w:p w14:paraId="065AB630">
      <w:pPr>
        <w:pStyle w:val="56"/>
        <w:widowControl w:val="0"/>
        <w:ind w:firstLine="56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其中，</w:t>
      </w:r>
      <w:r>
        <w:rPr>
          <w:rFonts w:hint="eastAsia" w:ascii="方正仿宋_GB2312" w:hAnsi="方正仿宋_GB2312" w:eastAsia="方正仿宋_GB2312" w:cs="方正仿宋_GB2312"/>
          <w:color w:val="auto"/>
          <w:sz w:val="28"/>
        </w:rPr>
        <w:t>因不可抗力导致的提前终止情形，不可抗力事件造成的项目资产的损失和</w:t>
      </w:r>
      <w:r>
        <w:rPr>
          <w:rFonts w:hint="eastAsia" w:ascii="方正仿宋_GB2312" w:hAnsi="方正仿宋_GB2312" w:eastAsia="方正仿宋_GB2312" w:cs="方正仿宋_GB2312"/>
          <w:color w:val="auto"/>
          <w:sz w:val="28"/>
          <w:lang w:val="en-US" w:eastAsia="zh-CN"/>
        </w:rPr>
        <w:t>特许经营者</w:t>
      </w:r>
      <w:r>
        <w:rPr>
          <w:rFonts w:hint="eastAsia" w:ascii="方正仿宋_GB2312" w:hAnsi="方正仿宋_GB2312" w:eastAsia="方正仿宋_GB2312" w:cs="方正仿宋_GB2312"/>
          <w:color w:val="auto"/>
          <w:sz w:val="28"/>
          <w:lang w:eastAsia="zh-CN"/>
        </w:rPr>
        <w:t>（</w:t>
      </w:r>
      <w:r>
        <w:rPr>
          <w:rFonts w:hint="eastAsia" w:ascii="方正仿宋_GB2312" w:hAnsi="方正仿宋_GB2312" w:eastAsia="方正仿宋_GB2312" w:cs="方正仿宋_GB2312"/>
          <w:color w:val="auto"/>
          <w:sz w:val="28"/>
        </w:rPr>
        <w:t>项目公司</w:t>
      </w:r>
      <w:r>
        <w:rPr>
          <w:rFonts w:hint="eastAsia" w:ascii="方正仿宋_GB2312" w:hAnsi="方正仿宋_GB2312" w:eastAsia="方正仿宋_GB2312" w:cs="方正仿宋_GB2312"/>
          <w:color w:val="auto"/>
          <w:sz w:val="28"/>
          <w:lang w:eastAsia="zh-CN"/>
        </w:rPr>
        <w:t>）</w:t>
      </w:r>
      <w:r>
        <w:rPr>
          <w:rFonts w:hint="eastAsia" w:ascii="方正仿宋_GB2312" w:hAnsi="方正仿宋_GB2312" w:eastAsia="方正仿宋_GB2312" w:cs="方正仿宋_GB2312"/>
          <w:color w:val="auto"/>
          <w:sz w:val="28"/>
        </w:rPr>
        <w:t>自身资产的损失，</w:t>
      </w:r>
      <w:r>
        <w:rPr>
          <w:rFonts w:hint="eastAsia" w:ascii="方正仿宋_GB2312" w:hAnsi="方正仿宋_GB2312" w:eastAsia="方正仿宋_GB2312" w:cs="方正仿宋_GB2312"/>
          <w:color w:val="auto"/>
          <w:sz w:val="28"/>
          <w:szCs w:val="28"/>
        </w:rPr>
        <w:t>终止补偿金由实施机构与</w:t>
      </w:r>
      <w:r>
        <w:rPr>
          <w:rFonts w:hint="eastAsia" w:ascii="方正仿宋_GB2312" w:hAnsi="方正仿宋_GB2312" w:eastAsia="方正仿宋_GB2312" w:cs="方正仿宋_GB2312"/>
          <w:color w:val="auto"/>
          <w:sz w:val="28"/>
          <w:lang w:val="en-US" w:eastAsia="zh-CN"/>
        </w:rPr>
        <w:t>特许经营者</w:t>
      </w:r>
      <w:r>
        <w:rPr>
          <w:rFonts w:hint="eastAsia" w:ascii="方正仿宋_GB2312" w:hAnsi="方正仿宋_GB2312" w:eastAsia="方正仿宋_GB2312" w:cs="方正仿宋_GB2312"/>
          <w:color w:val="auto"/>
          <w:sz w:val="28"/>
          <w:szCs w:val="28"/>
        </w:rPr>
        <w:t>另行协商</w:t>
      </w:r>
      <w:r>
        <w:rPr>
          <w:rFonts w:hint="eastAsia" w:ascii="方正仿宋_GB2312" w:hAnsi="方正仿宋_GB2312" w:eastAsia="方正仿宋_GB2312" w:cs="方正仿宋_GB2312"/>
          <w:color w:val="auto"/>
          <w:sz w:val="28"/>
        </w:rPr>
        <w:t>。</w:t>
      </w:r>
    </w:p>
    <w:p w14:paraId="75E2C7D1">
      <w:pPr>
        <w:pStyle w:val="56"/>
        <w:adjustRightInd w:val="0"/>
        <w:snapToGrid w:val="0"/>
        <w:spacing w:line="360" w:lineRule="auto"/>
        <w:ind w:left="428" w:firstLine="0" w:firstLineChars="0"/>
        <w:jc w:val="center"/>
        <w:rPr>
          <w:rFonts w:hint="eastAsia" w:ascii="方正仿宋_GB2312" w:hAnsi="方正仿宋_GB2312" w:eastAsia="方正仿宋_GB2312" w:cs="方正仿宋_GB2312"/>
          <w:b/>
          <w:color w:val="auto"/>
          <w:sz w:val="28"/>
          <w:szCs w:val="28"/>
        </w:rPr>
      </w:pPr>
      <w:r>
        <w:rPr>
          <w:rFonts w:hint="eastAsia" w:ascii="方正仿宋_GB2312" w:hAnsi="方正仿宋_GB2312" w:eastAsia="方正仿宋_GB2312" w:cs="方正仿宋_GB2312"/>
          <w:b/>
          <w:color w:val="auto"/>
          <w:sz w:val="28"/>
          <w:szCs w:val="28"/>
        </w:rPr>
        <w:t>提前终止补偿情形及补偿表</w:t>
      </w:r>
    </w:p>
    <w:tbl>
      <w:tblPr>
        <w:tblStyle w:val="3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714"/>
        <w:gridCol w:w="3991"/>
      </w:tblGrid>
      <w:tr w14:paraId="10C47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blHeader/>
        </w:trPr>
        <w:tc>
          <w:tcPr>
            <w:tcW w:w="817" w:type="dxa"/>
            <w:shd w:val="clear" w:color="auto" w:fill="auto"/>
            <w:vAlign w:val="center"/>
          </w:tcPr>
          <w:p w14:paraId="23B90D9E">
            <w:pPr>
              <w:pStyle w:val="56"/>
              <w:adjustRightInd w:val="0"/>
              <w:snapToGrid w:val="0"/>
              <w:spacing w:line="360" w:lineRule="auto"/>
              <w:ind w:firstLine="0" w:firstLineChars="0"/>
              <w:jc w:val="center"/>
              <w:rPr>
                <w:rFonts w:hint="eastAsia" w:ascii="方正仿宋_GB2312" w:hAnsi="方正仿宋_GB2312" w:eastAsia="方正仿宋_GB2312" w:cs="方正仿宋_GB2312"/>
                <w:b/>
                <w:color w:val="auto"/>
                <w:sz w:val="24"/>
                <w:szCs w:val="24"/>
              </w:rPr>
            </w:pPr>
            <w:r>
              <w:rPr>
                <w:rFonts w:hint="eastAsia" w:ascii="方正仿宋_GB2312" w:hAnsi="方正仿宋_GB2312" w:eastAsia="方正仿宋_GB2312" w:cs="方正仿宋_GB2312"/>
                <w:b/>
                <w:color w:val="auto"/>
                <w:sz w:val="24"/>
                <w:szCs w:val="24"/>
              </w:rPr>
              <w:t>序号</w:t>
            </w:r>
          </w:p>
        </w:tc>
        <w:tc>
          <w:tcPr>
            <w:tcW w:w="3714" w:type="dxa"/>
            <w:shd w:val="clear" w:color="auto" w:fill="auto"/>
            <w:vAlign w:val="center"/>
          </w:tcPr>
          <w:p w14:paraId="4329B3B5">
            <w:pPr>
              <w:pStyle w:val="56"/>
              <w:adjustRightInd w:val="0"/>
              <w:snapToGrid w:val="0"/>
              <w:spacing w:line="360" w:lineRule="auto"/>
              <w:ind w:firstLine="0" w:firstLineChars="0"/>
              <w:jc w:val="center"/>
              <w:rPr>
                <w:rFonts w:hint="eastAsia" w:ascii="方正仿宋_GB2312" w:hAnsi="方正仿宋_GB2312" w:eastAsia="方正仿宋_GB2312" w:cs="方正仿宋_GB2312"/>
                <w:b/>
                <w:color w:val="auto"/>
                <w:sz w:val="24"/>
                <w:szCs w:val="24"/>
              </w:rPr>
            </w:pPr>
            <w:r>
              <w:rPr>
                <w:rFonts w:hint="eastAsia" w:ascii="方正仿宋_GB2312" w:hAnsi="方正仿宋_GB2312" w:eastAsia="方正仿宋_GB2312" w:cs="方正仿宋_GB2312"/>
                <w:b/>
                <w:color w:val="auto"/>
                <w:sz w:val="24"/>
                <w:szCs w:val="24"/>
              </w:rPr>
              <w:t>本合同提前终止之情形</w:t>
            </w:r>
          </w:p>
        </w:tc>
        <w:tc>
          <w:tcPr>
            <w:tcW w:w="3991" w:type="dxa"/>
            <w:shd w:val="clear" w:color="auto" w:fill="auto"/>
            <w:vAlign w:val="center"/>
          </w:tcPr>
          <w:p w14:paraId="16B3DD35">
            <w:pPr>
              <w:pStyle w:val="56"/>
              <w:adjustRightInd w:val="0"/>
              <w:snapToGrid w:val="0"/>
              <w:spacing w:line="360" w:lineRule="auto"/>
              <w:ind w:firstLine="0" w:firstLineChars="0"/>
              <w:jc w:val="center"/>
              <w:rPr>
                <w:rFonts w:hint="eastAsia" w:ascii="方正仿宋_GB2312" w:hAnsi="方正仿宋_GB2312" w:eastAsia="方正仿宋_GB2312" w:cs="方正仿宋_GB2312"/>
                <w:b/>
                <w:color w:val="auto"/>
                <w:sz w:val="24"/>
                <w:szCs w:val="24"/>
              </w:rPr>
            </w:pPr>
            <w:r>
              <w:rPr>
                <w:rFonts w:hint="eastAsia" w:ascii="方正仿宋_GB2312" w:hAnsi="方正仿宋_GB2312" w:eastAsia="方正仿宋_GB2312" w:cs="方正仿宋_GB2312"/>
                <w:b/>
                <w:color w:val="auto"/>
                <w:sz w:val="24"/>
                <w:szCs w:val="24"/>
              </w:rPr>
              <w:t>终止补偿金</w:t>
            </w:r>
          </w:p>
        </w:tc>
      </w:tr>
      <w:tr w14:paraId="4F587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7" w:type="dxa"/>
            <w:vMerge w:val="restart"/>
            <w:shd w:val="clear" w:color="auto" w:fill="auto"/>
            <w:vAlign w:val="center"/>
          </w:tcPr>
          <w:p w14:paraId="6E7429F8">
            <w:pPr>
              <w:pStyle w:val="56"/>
              <w:adjustRightInd w:val="0"/>
              <w:snapToGrid w:val="0"/>
              <w:spacing w:line="360" w:lineRule="auto"/>
              <w:ind w:firstLine="0" w:firstLineChars="0"/>
              <w:jc w:val="center"/>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1</w:t>
            </w:r>
          </w:p>
        </w:tc>
        <w:tc>
          <w:tcPr>
            <w:tcW w:w="3714" w:type="dxa"/>
            <w:vMerge w:val="restart"/>
            <w:shd w:val="clear" w:color="auto" w:fill="auto"/>
            <w:vAlign w:val="center"/>
          </w:tcPr>
          <w:p w14:paraId="5CC2BED0">
            <w:pPr>
              <w:pStyle w:val="56"/>
              <w:adjustRightInd w:val="0"/>
              <w:snapToGrid w:val="0"/>
              <w:spacing w:line="360" w:lineRule="auto"/>
              <w:ind w:firstLine="0" w:firstLineChars="0"/>
              <w:jc w:val="center"/>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lang w:val="en-US" w:eastAsia="zh-CN"/>
              </w:rPr>
              <w:t>特许经营者</w:t>
            </w:r>
            <w:r>
              <w:rPr>
                <w:rFonts w:hint="eastAsia" w:ascii="方正仿宋_GB2312" w:hAnsi="方正仿宋_GB2312" w:eastAsia="方正仿宋_GB2312" w:cs="方正仿宋_GB2312"/>
                <w:color w:val="auto"/>
                <w:sz w:val="24"/>
                <w:szCs w:val="24"/>
                <w:lang w:eastAsia="zh-CN"/>
              </w:rPr>
              <w:t>（</w:t>
            </w:r>
            <w:r>
              <w:rPr>
                <w:rFonts w:hint="eastAsia" w:ascii="方正仿宋_GB2312" w:hAnsi="方正仿宋_GB2312" w:eastAsia="方正仿宋_GB2312" w:cs="方正仿宋_GB2312"/>
                <w:color w:val="auto"/>
                <w:sz w:val="24"/>
                <w:szCs w:val="24"/>
                <w:lang w:val="en-US" w:eastAsia="zh-CN"/>
              </w:rPr>
              <w:t>项目公司</w:t>
            </w:r>
            <w:r>
              <w:rPr>
                <w:rFonts w:hint="eastAsia" w:ascii="方正仿宋_GB2312" w:hAnsi="方正仿宋_GB2312" w:eastAsia="方正仿宋_GB2312" w:cs="方正仿宋_GB2312"/>
                <w:color w:val="auto"/>
                <w:sz w:val="24"/>
                <w:szCs w:val="24"/>
                <w:lang w:eastAsia="zh-CN"/>
              </w:rPr>
              <w:t>）</w:t>
            </w:r>
            <w:r>
              <w:rPr>
                <w:rFonts w:hint="eastAsia" w:ascii="方正仿宋_GB2312" w:hAnsi="方正仿宋_GB2312" w:eastAsia="方正仿宋_GB2312" w:cs="方正仿宋_GB2312"/>
                <w:color w:val="auto"/>
                <w:sz w:val="24"/>
                <w:szCs w:val="24"/>
              </w:rPr>
              <w:t>违约</w:t>
            </w:r>
          </w:p>
        </w:tc>
        <w:tc>
          <w:tcPr>
            <w:tcW w:w="3991" w:type="dxa"/>
            <w:shd w:val="clear" w:color="auto" w:fill="auto"/>
            <w:vAlign w:val="center"/>
          </w:tcPr>
          <w:p w14:paraId="719F89A3">
            <w:pPr>
              <w:pStyle w:val="56"/>
              <w:adjustRightInd w:val="0"/>
              <w:snapToGrid w:val="0"/>
              <w:spacing w:line="360" w:lineRule="auto"/>
              <w:ind w:firstLine="0" w:firstLineChars="0"/>
              <w:jc w:val="center"/>
              <w:rPr>
                <w:rFonts w:hint="eastAsia" w:ascii="方正仿宋_GB2312" w:hAnsi="方正仿宋_GB2312" w:eastAsia="方正仿宋_GB2312" w:cs="方正仿宋_GB2312"/>
                <w:color w:val="auto"/>
                <w:sz w:val="24"/>
                <w:szCs w:val="24"/>
                <w:lang w:val="en-US" w:eastAsia="zh-CN"/>
              </w:rPr>
            </w:pPr>
            <w:r>
              <w:rPr>
                <w:rFonts w:hint="eastAsia" w:ascii="方正仿宋_GB2312" w:hAnsi="方正仿宋_GB2312" w:eastAsia="方正仿宋_GB2312" w:cs="方正仿宋_GB2312"/>
                <w:color w:val="auto"/>
                <w:sz w:val="24"/>
                <w:szCs w:val="24"/>
              </w:rPr>
              <w:t>建设期终止时，为A</w:t>
            </w:r>
            <w:r>
              <w:rPr>
                <w:rFonts w:hint="eastAsia" w:ascii="方正仿宋_GB2312" w:hAnsi="方正仿宋_GB2312" w:eastAsia="方正仿宋_GB2312" w:cs="方正仿宋_GB2312"/>
                <w:color w:val="auto"/>
                <w:sz w:val="24"/>
                <w:szCs w:val="24"/>
                <w:vertAlign w:val="subscript"/>
              </w:rPr>
              <w:t>1</w:t>
            </w:r>
            <w:r>
              <w:rPr>
                <w:rFonts w:hint="eastAsia" w:ascii="方正仿宋_GB2312" w:hAnsi="方正仿宋_GB2312" w:eastAsia="方正仿宋_GB2312" w:cs="方正仿宋_GB2312"/>
                <w:color w:val="auto"/>
                <w:sz w:val="24"/>
                <w:szCs w:val="24"/>
              </w:rPr>
              <w:t>-B+C</w:t>
            </w:r>
            <w:r>
              <w:rPr>
                <w:rFonts w:hint="eastAsia" w:ascii="方正仿宋_GB2312" w:hAnsi="方正仿宋_GB2312" w:eastAsia="方正仿宋_GB2312" w:cs="方正仿宋_GB2312"/>
                <w:color w:val="auto"/>
                <w:sz w:val="24"/>
                <w:szCs w:val="24"/>
                <w:lang w:val="en-US" w:eastAsia="zh-CN"/>
              </w:rPr>
              <w:t>+D</w:t>
            </w:r>
            <w:r>
              <w:rPr>
                <w:rFonts w:hint="eastAsia" w:ascii="方正仿宋_GB2312" w:hAnsi="方正仿宋_GB2312" w:eastAsia="方正仿宋_GB2312" w:cs="方正仿宋_GB2312"/>
                <w:color w:val="auto"/>
                <w:sz w:val="24"/>
                <w:szCs w:val="24"/>
                <w:vertAlign w:val="subscript"/>
                <w:lang w:val="en-US" w:eastAsia="zh-CN"/>
              </w:rPr>
              <w:t>1</w:t>
            </w:r>
          </w:p>
        </w:tc>
      </w:tr>
      <w:tr w14:paraId="640D1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17" w:type="dxa"/>
            <w:vMerge w:val="continue"/>
            <w:shd w:val="clear" w:color="auto" w:fill="auto"/>
            <w:vAlign w:val="center"/>
          </w:tcPr>
          <w:p w14:paraId="794E442D">
            <w:pPr>
              <w:pStyle w:val="56"/>
              <w:adjustRightInd w:val="0"/>
              <w:snapToGrid w:val="0"/>
              <w:spacing w:line="360" w:lineRule="auto"/>
              <w:ind w:firstLine="0" w:firstLineChars="0"/>
              <w:jc w:val="center"/>
              <w:rPr>
                <w:rFonts w:hint="eastAsia" w:ascii="方正仿宋_GB2312" w:hAnsi="方正仿宋_GB2312" w:eastAsia="方正仿宋_GB2312" w:cs="方正仿宋_GB2312"/>
                <w:color w:val="auto"/>
                <w:sz w:val="24"/>
                <w:szCs w:val="24"/>
              </w:rPr>
            </w:pPr>
          </w:p>
        </w:tc>
        <w:tc>
          <w:tcPr>
            <w:tcW w:w="3714" w:type="dxa"/>
            <w:vMerge w:val="continue"/>
            <w:shd w:val="clear" w:color="auto" w:fill="auto"/>
            <w:vAlign w:val="center"/>
          </w:tcPr>
          <w:p w14:paraId="5B8CF869">
            <w:pPr>
              <w:pStyle w:val="56"/>
              <w:adjustRightInd w:val="0"/>
              <w:snapToGrid w:val="0"/>
              <w:spacing w:line="360" w:lineRule="auto"/>
              <w:ind w:firstLine="0" w:firstLineChars="0"/>
              <w:jc w:val="center"/>
              <w:rPr>
                <w:rFonts w:hint="eastAsia" w:ascii="方正仿宋_GB2312" w:hAnsi="方正仿宋_GB2312" w:eastAsia="方正仿宋_GB2312" w:cs="方正仿宋_GB2312"/>
                <w:color w:val="auto"/>
                <w:sz w:val="24"/>
                <w:szCs w:val="24"/>
              </w:rPr>
            </w:pPr>
          </w:p>
        </w:tc>
        <w:tc>
          <w:tcPr>
            <w:tcW w:w="3991" w:type="dxa"/>
            <w:shd w:val="clear" w:color="auto" w:fill="auto"/>
            <w:vAlign w:val="center"/>
          </w:tcPr>
          <w:p w14:paraId="359E3E8F">
            <w:pPr>
              <w:pStyle w:val="56"/>
              <w:adjustRightInd w:val="0"/>
              <w:snapToGrid w:val="0"/>
              <w:spacing w:line="360" w:lineRule="auto"/>
              <w:ind w:firstLine="0" w:firstLineChars="0"/>
              <w:jc w:val="center"/>
              <w:rPr>
                <w:rFonts w:hint="eastAsia" w:ascii="方正仿宋_GB2312" w:hAnsi="方正仿宋_GB2312" w:eastAsia="方正仿宋_GB2312" w:cs="方正仿宋_GB2312"/>
                <w:color w:val="auto"/>
                <w:sz w:val="24"/>
                <w:szCs w:val="24"/>
                <w:lang w:val="en-US" w:eastAsia="zh-CN"/>
              </w:rPr>
            </w:pPr>
            <w:r>
              <w:rPr>
                <w:rFonts w:hint="eastAsia" w:ascii="方正仿宋_GB2312" w:hAnsi="方正仿宋_GB2312" w:eastAsia="方正仿宋_GB2312" w:cs="方正仿宋_GB2312"/>
                <w:color w:val="auto"/>
                <w:sz w:val="24"/>
                <w:szCs w:val="24"/>
              </w:rPr>
              <w:t>运营期终止时，为A</w:t>
            </w:r>
            <w:r>
              <w:rPr>
                <w:rFonts w:hint="eastAsia" w:ascii="方正仿宋_GB2312" w:hAnsi="方正仿宋_GB2312" w:eastAsia="方正仿宋_GB2312" w:cs="方正仿宋_GB2312"/>
                <w:color w:val="auto"/>
                <w:sz w:val="24"/>
                <w:szCs w:val="24"/>
                <w:vertAlign w:val="subscript"/>
              </w:rPr>
              <w:t>2</w:t>
            </w:r>
            <w:r>
              <w:rPr>
                <w:rFonts w:hint="eastAsia" w:ascii="方正仿宋_GB2312" w:hAnsi="方正仿宋_GB2312" w:eastAsia="方正仿宋_GB2312" w:cs="方正仿宋_GB2312"/>
                <w:color w:val="auto"/>
                <w:sz w:val="24"/>
                <w:szCs w:val="24"/>
              </w:rPr>
              <w:t>-B+C</w:t>
            </w:r>
            <w:r>
              <w:rPr>
                <w:rFonts w:hint="eastAsia" w:ascii="方正仿宋_GB2312" w:hAnsi="方正仿宋_GB2312" w:eastAsia="方正仿宋_GB2312" w:cs="方正仿宋_GB2312"/>
                <w:color w:val="auto"/>
                <w:sz w:val="24"/>
                <w:szCs w:val="24"/>
                <w:lang w:val="en-US" w:eastAsia="zh-CN"/>
              </w:rPr>
              <w:t>+D</w:t>
            </w:r>
            <w:r>
              <w:rPr>
                <w:rFonts w:hint="eastAsia" w:ascii="方正仿宋_GB2312" w:hAnsi="方正仿宋_GB2312" w:eastAsia="方正仿宋_GB2312" w:cs="方正仿宋_GB2312"/>
                <w:color w:val="auto"/>
                <w:sz w:val="24"/>
                <w:szCs w:val="24"/>
                <w:vertAlign w:val="subscript"/>
                <w:lang w:val="en-US" w:eastAsia="zh-CN"/>
              </w:rPr>
              <w:t>2</w:t>
            </w:r>
          </w:p>
        </w:tc>
      </w:tr>
      <w:tr w14:paraId="37A84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817" w:type="dxa"/>
            <w:vMerge w:val="restart"/>
            <w:shd w:val="clear" w:color="auto" w:fill="auto"/>
            <w:vAlign w:val="center"/>
          </w:tcPr>
          <w:p w14:paraId="75EDEFFD">
            <w:pPr>
              <w:pStyle w:val="56"/>
              <w:adjustRightInd w:val="0"/>
              <w:snapToGrid w:val="0"/>
              <w:spacing w:line="360" w:lineRule="auto"/>
              <w:ind w:firstLine="0" w:firstLineChars="0"/>
              <w:jc w:val="center"/>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2</w:t>
            </w:r>
          </w:p>
        </w:tc>
        <w:tc>
          <w:tcPr>
            <w:tcW w:w="3714" w:type="dxa"/>
            <w:vMerge w:val="restart"/>
            <w:shd w:val="clear" w:color="auto" w:fill="auto"/>
            <w:vAlign w:val="center"/>
          </w:tcPr>
          <w:p w14:paraId="52DB64F2">
            <w:pPr>
              <w:pStyle w:val="56"/>
              <w:adjustRightInd w:val="0"/>
              <w:snapToGrid w:val="0"/>
              <w:spacing w:line="360" w:lineRule="auto"/>
              <w:ind w:firstLine="0" w:firstLineChars="0"/>
              <w:jc w:val="center"/>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政府方违约</w:t>
            </w:r>
          </w:p>
        </w:tc>
        <w:tc>
          <w:tcPr>
            <w:tcW w:w="3991" w:type="dxa"/>
            <w:shd w:val="clear" w:color="auto" w:fill="auto"/>
            <w:vAlign w:val="center"/>
          </w:tcPr>
          <w:p w14:paraId="55833306">
            <w:pPr>
              <w:pStyle w:val="56"/>
              <w:adjustRightInd w:val="0"/>
              <w:snapToGrid w:val="0"/>
              <w:spacing w:line="360" w:lineRule="auto"/>
              <w:ind w:firstLine="0" w:firstLineChars="0"/>
              <w:jc w:val="center"/>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建设期终止时，为A</w:t>
            </w:r>
            <w:r>
              <w:rPr>
                <w:rFonts w:hint="eastAsia" w:ascii="方正仿宋_GB2312" w:hAnsi="方正仿宋_GB2312" w:eastAsia="方正仿宋_GB2312" w:cs="方正仿宋_GB2312"/>
                <w:color w:val="auto"/>
                <w:sz w:val="24"/>
                <w:szCs w:val="24"/>
                <w:vertAlign w:val="subscript"/>
              </w:rPr>
              <w:t>1</w:t>
            </w:r>
            <w:r>
              <w:rPr>
                <w:rFonts w:hint="eastAsia" w:ascii="方正仿宋_GB2312" w:hAnsi="方正仿宋_GB2312" w:eastAsia="方正仿宋_GB2312" w:cs="方正仿宋_GB2312"/>
                <w:color w:val="auto"/>
                <w:sz w:val="24"/>
                <w:szCs w:val="24"/>
              </w:rPr>
              <w:t>+B+C</w:t>
            </w:r>
            <w:r>
              <w:rPr>
                <w:rFonts w:hint="eastAsia" w:ascii="方正仿宋_GB2312" w:hAnsi="方正仿宋_GB2312" w:eastAsia="方正仿宋_GB2312" w:cs="方正仿宋_GB2312"/>
                <w:color w:val="auto"/>
                <w:sz w:val="24"/>
                <w:szCs w:val="24"/>
                <w:lang w:val="en-US" w:eastAsia="zh-CN"/>
              </w:rPr>
              <w:t>+D</w:t>
            </w:r>
            <w:r>
              <w:rPr>
                <w:rFonts w:hint="eastAsia" w:ascii="方正仿宋_GB2312" w:hAnsi="方正仿宋_GB2312" w:eastAsia="方正仿宋_GB2312" w:cs="方正仿宋_GB2312"/>
                <w:color w:val="auto"/>
                <w:sz w:val="24"/>
                <w:szCs w:val="24"/>
                <w:vertAlign w:val="subscript"/>
                <w:lang w:val="en-US" w:eastAsia="zh-CN"/>
              </w:rPr>
              <w:t>1</w:t>
            </w:r>
          </w:p>
        </w:tc>
      </w:tr>
      <w:tr w14:paraId="789F1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17" w:type="dxa"/>
            <w:vMerge w:val="continue"/>
            <w:shd w:val="clear" w:color="auto" w:fill="auto"/>
            <w:vAlign w:val="center"/>
          </w:tcPr>
          <w:p w14:paraId="6E2E7B72">
            <w:pPr>
              <w:pStyle w:val="56"/>
              <w:adjustRightInd w:val="0"/>
              <w:snapToGrid w:val="0"/>
              <w:spacing w:line="360" w:lineRule="auto"/>
              <w:ind w:firstLine="0" w:firstLineChars="0"/>
              <w:jc w:val="center"/>
              <w:rPr>
                <w:rFonts w:hint="eastAsia" w:ascii="方正仿宋_GB2312" w:hAnsi="方正仿宋_GB2312" w:eastAsia="方正仿宋_GB2312" w:cs="方正仿宋_GB2312"/>
                <w:color w:val="auto"/>
                <w:sz w:val="24"/>
                <w:szCs w:val="24"/>
              </w:rPr>
            </w:pPr>
          </w:p>
        </w:tc>
        <w:tc>
          <w:tcPr>
            <w:tcW w:w="3714" w:type="dxa"/>
            <w:vMerge w:val="continue"/>
            <w:shd w:val="clear" w:color="auto" w:fill="auto"/>
            <w:vAlign w:val="center"/>
          </w:tcPr>
          <w:p w14:paraId="10B48ABE">
            <w:pPr>
              <w:pStyle w:val="56"/>
              <w:adjustRightInd w:val="0"/>
              <w:snapToGrid w:val="0"/>
              <w:spacing w:line="360" w:lineRule="auto"/>
              <w:ind w:firstLine="0" w:firstLineChars="0"/>
              <w:jc w:val="center"/>
              <w:rPr>
                <w:rFonts w:hint="eastAsia" w:ascii="方正仿宋_GB2312" w:hAnsi="方正仿宋_GB2312" w:eastAsia="方正仿宋_GB2312" w:cs="方正仿宋_GB2312"/>
                <w:color w:val="auto"/>
                <w:sz w:val="24"/>
                <w:szCs w:val="24"/>
              </w:rPr>
            </w:pPr>
          </w:p>
        </w:tc>
        <w:tc>
          <w:tcPr>
            <w:tcW w:w="3991" w:type="dxa"/>
            <w:shd w:val="clear" w:color="auto" w:fill="auto"/>
            <w:vAlign w:val="center"/>
          </w:tcPr>
          <w:p w14:paraId="5D688533">
            <w:pPr>
              <w:pStyle w:val="56"/>
              <w:adjustRightInd w:val="0"/>
              <w:snapToGrid w:val="0"/>
              <w:spacing w:line="360" w:lineRule="auto"/>
              <w:ind w:firstLine="0" w:firstLineChars="0"/>
              <w:jc w:val="center"/>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运营期终止时，为A</w:t>
            </w:r>
            <w:r>
              <w:rPr>
                <w:rFonts w:hint="eastAsia" w:ascii="方正仿宋_GB2312" w:hAnsi="方正仿宋_GB2312" w:eastAsia="方正仿宋_GB2312" w:cs="方正仿宋_GB2312"/>
                <w:color w:val="auto"/>
                <w:sz w:val="24"/>
                <w:szCs w:val="24"/>
                <w:vertAlign w:val="subscript"/>
              </w:rPr>
              <w:t>2</w:t>
            </w:r>
            <w:r>
              <w:rPr>
                <w:rFonts w:hint="eastAsia" w:ascii="方正仿宋_GB2312" w:hAnsi="方正仿宋_GB2312" w:eastAsia="方正仿宋_GB2312" w:cs="方正仿宋_GB2312"/>
                <w:color w:val="auto"/>
                <w:sz w:val="24"/>
                <w:szCs w:val="24"/>
              </w:rPr>
              <w:t>+B+C</w:t>
            </w:r>
            <w:r>
              <w:rPr>
                <w:rFonts w:hint="eastAsia" w:ascii="方正仿宋_GB2312" w:hAnsi="方正仿宋_GB2312" w:eastAsia="方正仿宋_GB2312" w:cs="方正仿宋_GB2312"/>
                <w:color w:val="auto"/>
                <w:sz w:val="24"/>
                <w:szCs w:val="24"/>
                <w:lang w:val="en-US" w:eastAsia="zh-CN"/>
              </w:rPr>
              <w:t>+D</w:t>
            </w:r>
            <w:r>
              <w:rPr>
                <w:rFonts w:hint="eastAsia" w:ascii="方正仿宋_GB2312" w:hAnsi="方正仿宋_GB2312" w:eastAsia="方正仿宋_GB2312" w:cs="方正仿宋_GB2312"/>
                <w:color w:val="auto"/>
                <w:sz w:val="24"/>
                <w:szCs w:val="24"/>
                <w:vertAlign w:val="subscript"/>
                <w:lang w:val="en-US" w:eastAsia="zh-CN"/>
              </w:rPr>
              <w:t>2</w:t>
            </w:r>
          </w:p>
        </w:tc>
      </w:tr>
    </w:tbl>
    <w:p w14:paraId="655DD8D1">
      <w:pPr>
        <w:pStyle w:val="56"/>
        <w:adjustRightInd w:val="0"/>
        <w:snapToGrid w:val="0"/>
        <w:spacing w:line="360" w:lineRule="auto"/>
        <w:ind w:firstLine="56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上表中：</w:t>
      </w:r>
    </w:p>
    <w:p w14:paraId="5D57C0AB">
      <w:pPr>
        <w:pStyle w:val="56"/>
        <w:adjustRightInd w:val="0"/>
        <w:snapToGrid w:val="0"/>
        <w:spacing w:line="360" w:lineRule="auto"/>
        <w:ind w:firstLine="56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4"/>
        </w:rPr>
        <w:t>A</w:t>
      </w:r>
      <w:r>
        <w:rPr>
          <w:rFonts w:hint="eastAsia" w:ascii="方正仿宋_GB2312" w:hAnsi="方正仿宋_GB2312" w:eastAsia="方正仿宋_GB2312" w:cs="方正仿宋_GB2312"/>
          <w:color w:val="auto"/>
          <w:sz w:val="28"/>
          <w:szCs w:val="24"/>
          <w:vertAlign w:val="subscript"/>
        </w:rPr>
        <w:t>1</w:t>
      </w:r>
      <w:r>
        <w:rPr>
          <w:rFonts w:hint="eastAsia" w:ascii="方正仿宋_GB2312" w:hAnsi="方正仿宋_GB2312" w:eastAsia="方正仿宋_GB2312" w:cs="方正仿宋_GB2312"/>
          <w:color w:val="auto"/>
          <w:sz w:val="28"/>
          <w:szCs w:val="28"/>
        </w:rPr>
        <w:t xml:space="preserve"> 为</w:t>
      </w:r>
      <w:r>
        <w:rPr>
          <w:rFonts w:hint="eastAsia" w:ascii="方正仿宋_GB2312" w:hAnsi="方正仿宋_GB2312" w:eastAsia="方正仿宋_GB2312" w:cs="方正仿宋_GB2312"/>
          <w:color w:val="auto"/>
          <w:sz w:val="28"/>
          <w:szCs w:val="28"/>
          <w:lang w:val="en-US" w:eastAsia="zh-CN"/>
        </w:rPr>
        <w:t>特许经营者</w:t>
      </w:r>
      <w:r>
        <w:rPr>
          <w:rFonts w:hint="eastAsia" w:ascii="方正仿宋_GB2312" w:hAnsi="方正仿宋_GB2312" w:eastAsia="方正仿宋_GB2312" w:cs="方正仿宋_GB2312"/>
          <w:color w:val="auto"/>
          <w:sz w:val="28"/>
          <w:szCs w:val="28"/>
        </w:rPr>
        <w:t>方尚未收回的项目建设成本（</w:t>
      </w:r>
      <w:r>
        <w:rPr>
          <w:rFonts w:hint="eastAsia" w:ascii="方正仿宋_GB2312" w:hAnsi="方正仿宋_GB2312" w:eastAsia="方正仿宋_GB2312" w:cs="方正仿宋_GB2312"/>
          <w:color w:val="auto"/>
          <w:sz w:val="28"/>
          <w:szCs w:val="28"/>
          <w:lang w:val="en-US" w:eastAsia="zh-CN"/>
        </w:rPr>
        <w:t>不含土地费用，</w:t>
      </w:r>
      <w:r>
        <w:rPr>
          <w:rFonts w:hint="eastAsia" w:ascii="方正仿宋_GB2312" w:hAnsi="方正仿宋_GB2312" w:eastAsia="方正仿宋_GB2312" w:cs="方正仿宋_GB2312"/>
          <w:color w:val="auto"/>
          <w:sz w:val="28"/>
          <w:szCs w:val="28"/>
        </w:rPr>
        <w:t>含相应发生的建设期利息，以双方共同委托的审计机构的审计金额为准）；</w:t>
      </w:r>
    </w:p>
    <w:p w14:paraId="46EF2261">
      <w:pPr>
        <w:pStyle w:val="56"/>
        <w:adjustRightInd w:val="0"/>
        <w:snapToGrid w:val="0"/>
        <w:spacing w:line="360" w:lineRule="auto"/>
        <w:ind w:firstLine="56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A</w:t>
      </w:r>
      <w:r>
        <w:rPr>
          <w:rFonts w:hint="eastAsia" w:ascii="方正仿宋_GB2312" w:hAnsi="方正仿宋_GB2312" w:eastAsia="方正仿宋_GB2312" w:cs="方正仿宋_GB2312"/>
          <w:color w:val="auto"/>
          <w:sz w:val="28"/>
          <w:szCs w:val="28"/>
          <w:vertAlign w:val="subscript"/>
        </w:rPr>
        <w:t>2</w:t>
      </w:r>
      <w:r>
        <w:rPr>
          <w:rFonts w:hint="eastAsia" w:ascii="方正仿宋_GB2312" w:hAnsi="方正仿宋_GB2312" w:eastAsia="方正仿宋_GB2312" w:cs="方正仿宋_GB2312"/>
          <w:color w:val="auto"/>
          <w:sz w:val="28"/>
          <w:szCs w:val="28"/>
        </w:rPr>
        <w:t xml:space="preserve"> 为经审计确认的</w:t>
      </w:r>
      <w:r>
        <w:rPr>
          <w:rFonts w:hint="eastAsia" w:ascii="方正仿宋_GB2312" w:hAnsi="方正仿宋_GB2312" w:eastAsia="方正仿宋_GB2312" w:cs="方正仿宋_GB2312"/>
          <w:color w:val="auto"/>
          <w:sz w:val="28"/>
          <w:szCs w:val="28"/>
          <w:lang w:val="en-US" w:eastAsia="zh-CN"/>
        </w:rPr>
        <w:t>特许经营者</w:t>
      </w:r>
      <w:r>
        <w:rPr>
          <w:rFonts w:hint="eastAsia" w:ascii="方正仿宋_GB2312" w:hAnsi="方正仿宋_GB2312" w:eastAsia="方正仿宋_GB2312" w:cs="方正仿宋_GB2312"/>
          <w:color w:val="auto"/>
          <w:sz w:val="28"/>
          <w:szCs w:val="28"/>
        </w:rPr>
        <w:t>尚未收回的项目建设成本</w:t>
      </w:r>
      <w:r>
        <w:rPr>
          <w:rFonts w:hint="eastAsia" w:ascii="方正仿宋_GB2312" w:hAnsi="方正仿宋_GB2312" w:eastAsia="方正仿宋_GB2312" w:cs="方正仿宋_GB2312"/>
          <w:color w:val="auto"/>
          <w:sz w:val="28"/>
          <w:szCs w:val="28"/>
          <w:lang w:eastAsia="zh-CN"/>
        </w:rPr>
        <w:t>（</w:t>
      </w:r>
      <w:r>
        <w:rPr>
          <w:rFonts w:hint="eastAsia" w:ascii="方正仿宋_GB2312" w:hAnsi="方正仿宋_GB2312" w:eastAsia="方正仿宋_GB2312" w:cs="方正仿宋_GB2312"/>
          <w:color w:val="auto"/>
          <w:sz w:val="28"/>
          <w:szCs w:val="28"/>
          <w:lang w:val="en-US" w:eastAsia="zh-CN"/>
        </w:rPr>
        <w:t>不含土地费用</w:t>
      </w:r>
      <w:r>
        <w:rPr>
          <w:rFonts w:hint="eastAsia" w:ascii="方正仿宋_GB2312" w:hAnsi="方正仿宋_GB2312" w:eastAsia="方正仿宋_GB2312" w:cs="方正仿宋_GB2312"/>
          <w:color w:val="auto"/>
          <w:sz w:val="28"/>
          <w:szCs w:val="28"/>
          <w:lang w:eastAsia="zh-CN"/>
        </w:rPr>
        <w:t>）</w:t>
      </w:r>
      <w:r>
        <w:rPr>
          <w:rFonts w:hint="eastAsia" w:ascii="方正仿宋_GB2312" w:hAnsi="方正仿宋_GB2312" w:eastAsia="方正仿宋_GB2312" w:cs="方正仿宋_GB2312"/>
          <w:color w:val="auto"/>
          <w:sz w:val="28"/>
          <w:szCs w:val="28"/>
        </w:rPr>
        <w:t>以及经</w:t>
      </w:r>
      <w:r>
        <w:rPr>
          <w:rFonts w:hint="eastAsia" w:ascii="方正仿宋_GB2312" w:hAnsi="方正仿宋_GB2312" w:eastAsia="方正仿宋_GB2312" w:cs="方正仿宋_GB2312"/>
          <w:color w:val="auto"/>
          <w:sz w:val="28"/>
          <w:szCs w:val="28"/>
          <w:lang w:val="en-US" w:eastAsia="zh-CN"/>
        </w:rPr>
        <w:t>政府</w:t>
      </w:r>
      <w:r>
        <w:rPr>
          <w:rFonts w:hint="eastAsia" w:ascii="方正仿宋_GB2312" w:hAnsi="方正仿宋_GB2312" w:eastAsia="方正仿宋_GB2312" w:cs="方正仿宋_GB2312"/>
          <w:color w:val="auto"/>
          <w:sz w:val="28"/>
          <w:szCs w:val="28"/>
        </w:rPr>
        <w:t>方审定的</w:t>
      </w:r>
      <w:r>
        <w:rPr>
          <w:rFonts w:hint="eastAsia" w:ascii="方正仿宋_GB2312" w:hAnsi="方正仿宋_GB2312" w:eastAsia="方正仿宋_GB2312" w:cs="方正仿宋_GB2312"/>
          <w:color w:val="auto"/>
          <w:sz w:val="28"/>
          <w:szCs w:val="28"/>
          <w:lang w:val="en-US" w:eastAsia="zh-CN"/>
        </w:rPr>
        <w:t>特许经营者（项目公司）</w:t>
      </w:r>
      <w:r>
        <w:rPr>
          <w:rFonts w:hint="eastAsia" w:ascii="方正仿宋_GB2312" w:hAnsi="方正仿宋_GB2312" w:eastAsia="方正仿宋_GB2312" w:cs="方正仿宋_GB2312"/>
          <w:color w:val="auto"/>
          <w:sz w:val="28"/>
          <w:szCs w:val="28"/>
        </w:rPr>
        <w:t>实际发生的应付未付的运营维护费用减去当期使用者付费；</w:t>
      </w:r>
    </w:p>
    <w:p w14:paraId="52E895AA">
      <w:pPr>
        <w:pStyle w:val="56"/>
        <w:adjustRightInd w:val="0"/>
        <w:snapToGrid w:val="0"/>
        <w:spacing w:line="360" w:lineRule="auto"/>
        <w:ind w:firstLine="56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B 为合同终止时违约方应支付给守约方的违约金，人民币</w:t>
      </w:r>
      <w:r>
        <w:rPr>
          <w:rFonts w:hint="eastAsia" w:ascii="方正仿宋_GB2312" w:hAnsi="方正仿宋_GB2312" w:eastAsia="方正仿宋_GB2312" w:cs="方正仿宋_GB2312"/>
          <w:color w:val="auto"/>
          <w:sz w:val="28"/>
          <w:szCs w:val="28"/>
          <w:lang w:val="en-US" w:eastAsia="zh-CN"/>
        </w:rPr>
        <w:t>肆佰</w:t>
      </w:r>
      <w:r>
        <w:rPr>
          <w:rFonts w:hint="eastAsia" w:ascii="方正仿宋_GB2312" w:hAnsi="方正仿宋_GB2312" w:eastAsia="方正仿宋_GB2312" w:cs="方正仿宋_GB2312"/>
          <w:color w:val="auto"/>
          <w:sz w:val="28"/>
          <w:szCs w:val="28"/>
        </w:rPr>
        <w:t>万元（￥</w:t>
      </w:r>
      <w:r>
        <w:rPr>
          <w:rFonts w:hint="eastAsia" w:ascii="方正仿宋_GB2312" w:hAnsi="方正仿宋_GB2312" w:eastAsia="方正仿宋_GB2312" w:cs="方正仿宋_GB2312"/>
          <w:color w:val="auto"/>
          <w:sz w:val="28"/>
          <w:szCs w:val="28"/>
          <w:lang w:val="en-US" w:eastAsia="zh-CN"/>
        </w:rPr>
        <w:t>4</w:t>
      </w:r>
      <w:r>
        <w:rPr>
          <w:rFonts w:hint="eastAsia" w:ascii="方正仿宋_GB2312" w:hAnsi="方正仿宋_GB2312" w:eastAsia="方正仿宋_GB2312" w:cs="方正仿宋_GB2312"/>
          <w:color w:val="auto"/>
          <w:sz w:val="28"/>
          <w:szCs w:val="28"/>
        </w:rPr>
        <w:t>,000,000.00）；</w:t>
      </w:r>
    </w:p>
    <w:p w14:paraId="2A00AF19">
      <w:pPr>
        <w:pStyle w:val="56"/>
        <w:adjustRightInd w:val="0"/>
        <w:snapToGrid w:val="0"/>
        <w:spacing w:line="360" w:lineRule="auto"/>
        <w:ind w:firstLine="560"/>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rPr>
        <w:t>C 为终止后根据本合同的约定，</w:t>
      </w:r>
      <w:r>
        <w:rPr>
          <w:rFonts w:hint="eastAsia" w:ascii="方正仿宋_GB2312" w:hAnsi="方正仿宋_GB2312" w:eastAsia="方正仿宋_GB2312" w:cs="方正仿宋_GB2312"/>
          <w:color w:val="auto"/>
          <w:sz w:val="28"/>
          <w:szCs w:val="28"/>
          <w:lang w:val="en-US" w:eastAsia="zh-CN"/>
        </w:rPr>
        <w:t>特许经营者</w:t>
      </w:r>
      <w:r>
        <w:rPr>
          <w:rFonts w:hint="eastAsia" w:ascii="方正仿宋_GB2312" w:hAnsi="方正仿宋_GB2312" w:eastAsia="方正仿宋_GB2312" w:cs="方正仿宋_GB2312"/>
          <w:color w:val="auto"/>
          <w:sz w:val="28"/>
          <w:szCs w:val="28"/>
        </w:rPr>
        <w:t>应向</w:t>
      </w:r>
      <w:r>
        <w:rPr>
          <w:rFonts w:hint="eastAsia" w:ascii="方正仿宋_GB2312" w:hAnsi="方正仿宋_GB2312" w:eastAsia="方正仿宋_GB2312" w:cs="方正仿宋_GB2312"/>
          <w:color w:val="auto"/>
          <w:sz w:val="28"/>
          <w:szCs w:val="28"/>
          <w:lang w:val="en-US" w:eastAsia="zh-CN"/>
        </w:rPr>
        <w:t>区</w:t>
      </w:r>
      <w:r>
        <w:rPr>
          <w:rFonts w:hint="eastAsia" w:ascii="方正仿宋_GB2312" w:hAnsi="方正仿宋_GB2312" w:eastAsia="方正仿宋_GB2312" w:cs="方正仿宋_GB2312"/>
          <w:color w:val="auto"/>
          <w:sz w:val="28"/>
          <w:szCs w:val="28"/>
        </w:rPr>
        <w:t>政府指定机构移交建设或运营维护的</w:t>
      </w:r>
      <w:r>
        <w:rPr>
          <w:rFonts w:hint="eastAsia" w:ascii="方正仿宋_GB2312" w:hAnsi="方正仿宋_GB2312" w:eastAsia="方正仿宋_GB2312" w:cs="方正仿宋_GB2312"/>
          <w:color w:val="auto"/>
          <w:sz w:val="28"/>
          <w:szCs w:val="28"/>
          <w:lang w:val="en-US" w:eastAsia="zh-CN"/>
        </w:rPr>
        <w:t>特许经营者</w:t>
      </w:r>
      <w:r>
        <w:rPr>
          <w:rFonts w:hint="eastAsia" w:ascii="方正仿宋_GB2312" w:hAnsi="方正仿宋_GB2312" w:eastAsia="方正仿宋_GB2312" w:cs="方正仿宋_GB2312"/>
          <w:color w:val="auto"/>
          <w:sz w:val="28"/>
          <w:szCs w:val="28"/>
        </w:rPr>
        <w:t>的库存材料、</w:t>
      </w:r>
      <w:r>
        <w:rPr>
          <w:rFonts w:hint="eastAsia" w:ascii="方正仿宋_GB2312" w:hAnsi="方正仿宋_GB2312" w:eastAsia="方正仿宋_GB2312" w:cs="方正仿宋_GB2312"/>
          <w:color w:val="auto"/>
          <w:sz w:val="28"/>
          <w:szCs w:val="28"/>
          <w:lang w:val="en-US" w:eastAsia="zh-CN"/>
        </w:rPr>
        <w:t>设备、</w:t>
      </w:r>
      <w:r>
        <w:rPr>
          <w:rFonts w:hint="eastAsia" w:ascii="方正仿宋_GB2312" w:hAnsi="方正仿宋_GB2312" w:eastAsia="方正仿宋_GB2312" w:cs="方正仿宋_GB2312"/>
          <w:color w:val="auto"/>
          <w:sz w:val="28"/>
          <w:szCs w:val="28"/>
        </w:rPr>
        <w:t>零部件、备品备件和化学品的合理评估值（建设期，C值为0）</w:t>
      </w:r>
      <w:r>
        <w:rPr>
          <w:rFonts w:hint="eastAsia" w:ascii="方正仿宋_GB2312" w:hAnsi="方正仿宋_GB2312" w:eastAsia="方正仿宋_GB2312" w:cs="方正仿宋_GB2312"/>
          <w:color w:val="auto"/>
          <w:sz w:val="28"/>
          <w:szCs w:val="28"/>
          <w:lang w:eastAsia="zh-CN"/>
        </w:rPr>
        <w:t>；</w:t>
      </w:r>
    </w:p>
    <w:p w14:paraId="570EE432">
      <w:pPr>
        <w:pStyle w:val="56"/>
        <w:adjustRightInd w:val="0"/>
        <w:snapToGrid w:val="0"/>
        <w:spacing w:line="360" w:lineRule="auto"/>
        <w:ind w:firstLine="560"/>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D</w:t>
      </w:r>
      <w:r>
        <w:rPr>
          <w:rFonts w:hint="eastAsia" w:ascii="方正仿宋_GB2312" w:hAnsi="方正仿宋_GB2312" w:eastAsia="方正仿宋_GB2312" w:cs="方正仿宋_GB2312"/>
          <w:color w:val="auto"/>
          <w:sz w:val="28"/>
          <w:szCs w:val="28"/>
          <w:vertAlign w:val="subscript"/>
          <w:lang w:val="en-US" w:eastAsia="zh-CN"/>
        </w:rPr>
        <w:t>1</w:t>
      </w:r>
      <w:r>
        <w:rPr>
          <w:rFonts w:hint="eastAsia" w:ascii="方正仿宋_GB2312" w:hAnsi="方正仿宋_GB2312" w:eastAsia="方正仿宋_GB2312" w:cs="方正仿宋_GB2312"/>
          <w:color w:val="auto"/>
          <w:sz w:val="28"/>
          <w:szCs w:val="28"/>
          <w:lang w:val="en-US" w:eastAsia="zh-CN"/>
        </w:rPr>
        <w:t>为特许经营者实际支付的土地费用；</w:t>
      </w:r>
    </w:p>
    <w:p w14:paraId="4A237C73">
      <w:pPr>
        <w:pStyle w:val="56"/>
        <w:adjustRightInd w:val="0"/>
        <w:snapToGrid w:val="0"/>
        <w:spacing w:line="360" w:lineRule="auto"/>
        <w:ind w:firstLine="560"/>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D</w:t>
      </w:r>
      <w:r>
        <w:rPr>
          <w:rFonts w:hint="eastAsia" w:ascii="方正仿宋_GB2312" w:hAnsi="方正仿宋_GB2312" w:eastAsia="方正仿宋_GB2312" w:cs="方正仿宋_GB2312"/>
          <w:color w:val="auto"/>
          <w:sz w:val="28"/>
          <w:szCs w:val="28"/>
          <w:vertAlign w:val="subscript"/>
          <w:lang w:val="en-US" w:eastAsia="zh-CN"/>
        </w:rPr>
        <w:t>2</w:t>
      </w:r>
      <w:r>
        <w:rPr>
          <w:rFonts w:hint="eastAsia" w:ascii="方正仿宋_GB2312" w:hAnsi="方正仿宋_GB2312" w:eastAsia="方正仿宋_GB2312" w:cs="方正仿宋_GB2312"/>
          <w:color w:val="auto"/>
          <w:sz w:val="28"/>
          <w:szCs w:val="28"/>
          <w:lang w:val="en-US" w:eastAsia="zh-CN"/>
        </w:rPr>
        <w:t>为特许经营者实际支付的土地费用*已发生的特许经营年限/40；</w:t>
      </w:r>
    </w:p>
    <w:p w14:paraId="430035E6">
      <w:pPr>
        <w:pStyle w:val="56"/>
        <w:adjustRightInd w:val="0"/>
        <w:snapToGrid w:val="0"/>
        <w:spacing w:line="360" w:lineRule="auto"/>
        <w:ind w:firstLine="56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需要说明的是：若属</w:t>
      </w:r>
      <w:r>
        <w:rPr>
          <w:rFonts w:hint="eastAsia" w:ascii="方正仿宋_GB2312" w:hAnsi="方正仿宋_GB2312" w:eastAsia="方正仿宋_GB2312" w:cs="方正仿宋_GB2312"/>
          <w:color w:val="auto"/>
          <w:sz w:val="28"/>
          <w:szCs w:val="28"/>
          <w:lang w:val="en-US" w:eastAsia="zh-CN"/>
        </w:rPr>
        <w:t>特许经营者</w:t>
      </w:r>
      <w:r>
        <w:rPr>
          <w:rFonts w:hint="eastAsia" w:ascii="方正仿宋_GB2312" w:hAnsi="方正仿宋_GB2312" w:eastAsia="方正仿宋_GB2312" w:cs="方正仿宋_GB2312"/>
          <w:color w:val="auto"/>
          <w:sz w:val="28"/>
          <w:szCs w:val="28"/>
        </w:rPr>
        <w:t>违约发生提前终止的，按对应公式计算终止补偿金的值为负数的，则</w:t>
      </w:r>
      <w:r>
        <w:rPr>
          <w:rFonts w:hint="eastAsia" w:ascii="方正仿宋_GB2312" w:hAnsi="方正仿宋_GB2312" w:eastAsia="方正仿宋_GB2312" w:cs="方正仿宋_GB2312"/>
          <w:color w:val="auto"/>
          <w:sz w:val="28"/>
          <w:szCs w:val="28"/>
          <w:lang w:val="en-US" w:eastAsia="zh-CN"/>
        </w:rPr>
        <w:t>特许经营者</w:t>
      </w:r>
      <w:r>
        <w:rPr>
          <w:rFonts w:hint="eastAsia" w:ascii="方正仿宋_GB2312" w:hAnsi="方正仿宋_GB2312" w:eastAsia="方正仿宋_GB2312" w:cs="方正仿宋_GB2312"/>
          <w:color w:val="auto"/>
          <w:sz w:val="28"/>
          <w:szCs w:val="28"/>
        </w:rPr>
        <w:t>应向</w:t>
      </w:r>
      <w:r>
        <w:rPr>
          <w:rFonts w:hint="eastAsia" w:ascii="方正仿宋_GB2312" w:hAnsi="方正仿宋_GB2312" w:eastAsia="方正仿宋_GB2312" w:cs="方正仿宋_GB2312"/>
          <w:color w:val="auto"/>
          <w:sz w:val="28"/>
          <w:szCs w:val="28"/>
          <w:lang w:val="en-US" w:eastAsia="zh-CN"/>
        </w:rPr>
        <w:t>政府方</w:t>
      </w:r>
      <w:r>
        <w:rPr>
          <w:rFonts w:hint="eastAsia" w:ascii="方正仿宋_GB2312" w:hAnsi="方正仿宋_GB2312" w:eastAsia="方正仿宋_GB2312" w:cs="方正仿宋_GB2312"/>
          <w:color w:val="auto"/>
          <w:sz w:val="28"/>
          <w:szCs w:val="28"/>
        </w:rPr>
        <w:t>支付本条所述负数的绝对值。</w:t>
      </w:r>
    </w:p>
    <w:p w14:paraId="0A431959">
      <w:pPr>
        <w:numPr>
          <w:ilvl w:val="0"/>
          <w:numId w:val="90"/>
        </w:numPr>
        <w:bidi w:val="0"/>
        <w:ind w:left="0" w:leftChars="0" w:firstLine="560" w:firstLineChars="200"/>
        <w:rPr>
          <w:rFonts w:hint="eastAsia" w:ascii="方正仿宋_GB2312" w:hAnsi="方正仿宋_GB2312" w:eastAsia="方正仿宋_GB2312" w:cs="方正仿宋_GB2312"/>
          <w:color w:val="auto"/>
          <w:lang w:val="en-US" w:eastAsia="zh-CN"/>
        </w:rPr>
      </w:pPr>
      <w:r>
        <w:rPr>
          <w:rFonts w:hint="eastAsia" w:ascii="方正仿宋_GB2312" w:hAnsi="方正仿宋_GB2312" w:eastAsia="方正仿宋_GB2312" w:cs="方正仿宋_GB2312"/>
          <w:color w:val="auto"/>
          <w:lang w:val="en-US" w:eastAsia="zh-CN"/>
        </w:rPr>
        <w:t>履约担保要求</w:t>
      </w:r>
    </w:p>
    <w:p w14:paraId="398EE417">
      <w:pPr>
        <w:pStyle w:val="56"/>
        <w:widowControl w:val="0"/>
        <w:ind w:firstLine="562"/>
        <w:rPr>
          <w:rFonts w:hint="eastAsia" w:ascii="方正仿宋_GB2312" w:hAnsi="方正仿宋_GB2312" w:eastAsia="方正仿宋_GB2312" w:cs="方正仿宋_GB2312"/>
          <w:b/>
          <w:color w:val="auto"/>
          <w:sz w:val="28"/>
          <w:szCs w:val="28"/>
          <w:highlight w:val="none"/>
        </w:rPr>
      </w:pPr>
      <w:r>
        <w:rPr>
          <w:rFonts w:hint="eastAsia" w:ascii="方正仿宋_GB2312" w:hAnsi="方正仿宋_GB2312" w:eastAsia="方正仿宋_GB2312" w:cs="方正仿宋_GB2312"/>
          <w:b/>
          <w:color w:val="auto"/>
          <w:sz w:val="28"/>
          <w:szCs w:val="28"/>
          <w:highlight w:val="none"/>
          <w:lang w:eastAsia="zh-CN"/>
        </w:rPr>
        <w:t>（</w:t>
      </w:r>
      <w:r>
        <w:rPr>
          <w:rFonts w:hint="eastAsia" w:ascii="方正仿宋_GB2312" w:hAnsi="方正仿宋_GB2312" w:eastAsia="方正仿宋_GB2312" w:cs="方正仿宋_GB2312"/>
          <w:b/>
          <w:color w:val="auto"/>
          <w:sz w:val="28"/>
          <w:szCs w:val="28"/>
          <w:highlight w:val="none"/>
          <w:lang w:val="en-US" w:eastAsia="zh-CN"/>
        </w:rPr>
        <w:t>1</w:t>
      </w:r>
      <w:r>
        <w:rPr>
          <w:rFonts w:hint="eastAsia" w:ascii="方正仿宋_GB2312" w:hAnsi="方正仿宋_GB2312" w:eastAsia="方正仿宋_GB2312" w:cs="方正仿宋_GB2312"/>
          <w:b/>
          <w:color w:val="auto"/>
          <w:sz w:val="28"/>
          <w:szCs w:val="28"/>
          <w:highlight w:val="none"/>
          <w:lang w:eastAsia="zh-CN"/>
        </w:rPr>
        <w:t>）</w:t>
      </w:r>
      <w:r>
        <w:rPr>
          <w:rFonts w:hint="eastAsia" w:ascii="方正仿宋_GB2312" w:hAnsi="方正仿宋_GB2312" w:eastAsia="方正仿宋_GB2312" w:cs="方正仿宋_GB2312"/>
          <w:b/>
          <w:color w:val="auto"/>
          <w:sz w:val="28"/>
          <w:szCs w:val="28"/>
          <w:highlight w:val="none"/>
        </w:rPr>
        <w:t>投标保证金</w:t>
      </w:r>
    </w:p>
    <w:p w14:paraId="5BF9C70E">
      <w:pPr>
        <w:pStyle w:val="56"/>
        <w:widowControl w:val="0"/>
        <w:ind w:firstLine="561"/>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投标人</w:t>
      </w:r>
      <w:r>
        <w:rPr>
          <w:rFonts w:hint="eastAsia" w:ascii="方正仿宋_GB2312" w:hAnsi="方正仿宋_GB2312" w:eastAsia="方正仿宋_GB2312" w:cs="方正仿宋_GB2312"/>
          <w:color w:val="auto"/>
          <w:sz w:val="28"/>
          <w:szCs w:val="28"/>
          <w:highlight w:val="none"/>
        </w:rPr>
        <w:t>在参与本项目招标时，应按招标文件要求形式提交一定金额的投标保证金作为履行响应投标义务之保证。按照规定，投标保证金的数额不得超过招标项目预算金额的2%。本项目投标保证金/保函暂定为</w:t>
      </w:r>
      <w:r>
        <w:rPr>
          <w:rFonts w:hint="eastAsia" w:ascii="方正仿宋_GB2312" w:hAnsi="方正仿宋_GB2312" w:eastAsia="方正仿宋_GB2312" w:cs="方正仿宋_GB2312"/>
          <w:color w:val="auto"/>
          <w:sz w:val="28"/>
          <w:szCs w:val="28"/>
          <w:highlight w:val="none"/>
          <w:lang w:val="en-US" w:eastAsia="zh-CN"/>
        </w:rPr>
        <w:t>2</w:t>
      </w:r>
      <w:r>
        <w:rPr>
          <w:rFonts w:hint="eastAsia" w:ascii="方正仿宋_GB2312" w:hAnsi="方正仿宋_GB2312" w:eastAsia="方正仿宋_GB2312" w:cs="方正仿宋_GB2312"/>
          <w:color w:val="auto"/>
          <w:sz w:val="28"/>
          <w:szCs w:val="28"/>
          <w:highlight w:val="none"/>
        </w:rPr>
        <w:t>0万元整，最终以采购文件约定为准。</w:t>
      </w:r>
      <w:r>
        <w:rPr>
          <w:rFonts w:hint="eastAsia" w:ascii="方正仿宋_GB2312" w:hAnsi="方正仿宋_GB2312" w:eastAsia="方正仿宋_GB2312" w:cs="方正仿宋_GB2312"/>
          <w:color w:val="auto"/>
          <w:sz w:val="28"/>
          <w:szCs w:val="28"/>
          <w:highlight w:val="none"/>
          <w:lang w:val="en-US" w:eastAsia="zh-CN"/>
        </w:rPr>
        <w:t>投标人</w:t>
      </w:r>
      <w:r>
        <w:rPr>
          <w:rFonts w:hint="eastAsia" w:ascii="方正仿宋_GB2312" w:hAnsi="方正仿宋_GB2312" w:eastAsia="方正仿宋_GB2312" w:cs="方正仿宋_GB2312"/>
          <w:color w:val="auto"/>
          <w:sz w:val="28"/>
          <w:szCs w:val="28"/>
          <w:highlight w:val="none"/>
        </w:rPr>
        <w:t>中标后，未按照规定时间到位资本金或未按实施机构书面通知到位资金以满足土地费用支付要求的，其投标保证金不予退还。中选</w:t>
      </w:r>
      <w:r>
        <w:rPr>
          <w:rFonts w:hint="eastAsia" w:ascii="方正仿宋_GB2312" w:hAnsi="方正仿宋_GB2312" w:eastAsia="方正仿宋_GB2312" w:cs="方正仿宋_GB2312"/>
          <w:color w:val="auto"/>
          <w:sz w:val="28"/>
          <w:szCs w:val="28"/>
          <w:highlight w:val="none"/>
          <w:lang w:val="en-US" w:eastAsia="zh-CN"/>
        </w:rPr>
        <w:t>投标人</w:t>
      </w:r>
      <w:r>
        <w:rPr>
          <w:rFonts w:hint="eastAsia" w:ascii="方正仿宋_GB2312" w:hAnsi="方正仿宋_GB2312" w:eastAsia="方正仿宋_GB2312" w:cs="方正仿宋_GB2312"/>
          <w:color w:val="auto"/>
          <w:sz w:val="28"/>
          <w:szCs w:val="28"/>
          <w:highlight w:val="none"/>
        </w:rPr>
        <w:t>的投标保证金将在《</w:t>
      </w:r>
      <w:r>
        <w:rPr>
          <w:rFonts w:hint="eastAsia" w:ascii="方正仿宋_GB2312" w:hAnsi="方正仿宋_GB2312" w:eastAsia="方正仿宋_GB2312" w:cs="方正仿宋_GB2312"/>
          <w:color w:val="auto"/>
          <w:sz w:val="28"/>
          <w:szCs w:val="28"/>
          <w:highlight w:val="none"/>
          <w:lang w:val="en-US" w:eastAsia="zh-CN"/>
        </w:rPr>
        <w:t>特许经营协议</w:t>
      </w:r>
      <w:r>
        <w:rPr>
          <w:rFonts w:hint="eastAsia" w:ascii="方正仿宋_GB2312" w:hAnsi="方正仿宋_GB2312" w:eastAsia="方正仿宋_GB2312" w:cs="方正仿宋_GB2312"/>
          <w:color w:val="auto"/>
          <w:sz w:val="28"/>
          <w:szCs w:val="28"/>
          <w:highlight w:val="none"/>
        </w:rPr>
        <w:t>》签订且提交</w:t>
      </w:r>
      <w:r>
        <w:rPr>
          <w:rFonts w:hint="eastAsia" w:ascii="方正仿宋_GB2312" w:hAnsi="方正仿宋_GB2312" w:eastAsia="方正仿宋_GB2312" w:cs="方正仿宋_GB2312"/>
          <w:color w:val="auto"/>
          <w:sz w:val="28"/>
          <w:szCs w:val="28"/>
          <w:highlight w:val="none"/>
          <w:lang w:val="en-US" w:eastAsia="zh-CN"/>
        </w:rPr>
        <w:t>特许经营履约保函</w:t>
      </w:r>
      <w:r>
        <w:rPr>
          <w:rFonts w:hint="eastAsia" w:ascii="方正仿宋_GB2312" w:hAnsi="方正仿宋_GB2312" w:eastAsia="方正仿宋_GB2312" w:cs="方正仿宋_GB2312"/>
          <w:color w:val="auto"/>
          <w:sz w:val="28"/>
          <w:szCs w:val="28"/>
          <w:highlight w:val="none"/>
        </w:rPr>
        <w:t>之日起5个工作日内无息返还。</w:t>
      </w:r>
    </w:p>
    <w:p w14:paraId="37AE43CA">
      <w:pPr>
        <w:pStyle w:val="56"/>
        <w:widowControl w:val="0"/>
        <w:ind w:firstLine="560"/>
        <w:rPr>
          <w:rFonts w:hint="eastAsia" w:ascii="方正仿宋_GB2312" w:hAnsi="方正仿宋_GB2312" w:eastAsia="方正仿宋_GB2312" w:cs="方正仿宋_GB2312"/>
          <w:b/>
          <w:color w:val="auto"/>
          <w:sz w:val="28"/>
          <w:szCs w:val="28"/>
          <w:highlight w:val="none"/>
        </w:rPr>
      </w:pPr>
      <w:r>
        <w:rPr>
          <w:rFonts w:hint="eastAsia" w:ascii="方正仿宋_GB2312" w:hAnsi="方正仿宋_GB2312" w:eastAsia="方正仿宋_GB2312" w:cs="方正仿宋_GB2312"/>
          <w:b/>
          <w:color w:val="auto"/>
          <w:sz w:val="28"/>
          <w:szCs w:val="28"/>
          <w:highlight w:val="none"/>
          <w:lang w:val="en-US" w:eastAsia="zh-CN"/>
        </w:rPr>
        <w:t>（2）特许经营</w:t>
      </w:r>
      <w:r>
        <w:rPr>
          <w:rFonts w:hint="eastAsia" w:ascii="方正仿宋_GB2312" w:hAnsi="方正仿宋_GB2312" w:eastAsia="方正仿宋_GB2312" w:cs="方正仿宋_GB2312"/>
          <w:b/>
          <w:color w:val="auto"/>
          <w:sz w:val="28"/>
          <w:szCs w:val="28"/>
          <w:highlight w:val="none"/>
        </w:rPr>
        <w:t>履约保函</w:t>
      </w:r>
    </w:p>
    <w:p w14:paraId="61F1918B">
      <w:pPr>
        <w:pStyle w:val="56"/>
        <w:widowControl w:val="0"/>
        <w:ind w:firstLine="561"/>
        <w:rPr>
          <w:rFonts w:hint="eastAsia" w:ascii="方正仿宋_GB2312" w:hAnsi="方正仿宋_GB2312" w:eastAsia="方正仿宋_GB2312" w:cs="方正仿宋_GB2312"/>
          <w:color w:val="auto"/>
          <w:sz w:val="28"/>
          <w:szCs w:val="28"/>
          <w:highlight w:val="none"/>
        </w:rPr>
      </w:pPr>
      <w:bookmarkStart w:id="350" w:name="_Hlk493594621"/>
      <w:r>
        <w:rPr>
          <w:rFonts w:hint="eastAsia" w:ascii="方正仿宋_GB2312" w:hAnsi="方正仿宋_GB2312" w:eastAsia="方正仿宋_GB2312" w:cs="方正仿宋_GB2312"/>
          <w:color w:val="auto"/>
          <w:sz w:val="28"/>
          <w:szCs w:val="28"/>
          <w:highlight w:val="none"/>
        </w:rPr>
        <w:t>项目进入</w:t>
      </w:r>
      <w:r>
        <w:rPr>
          <w:rFonts w:hint="eastAsia" w:ascii="方正仿宋_GB2312" w:hAnsi="方正仿宋_GB2312" w:eastAsia="方正仿宋_GB2312" w:cs="方正仿宋_GB2312"/>
          <w:color w:val="auto"/>
          <w:sz w:val="28"/>
          <w:szCs w:val="28"/>
          <w:highlight w:val="none"/>
          <w:lang w:val="en-US" w:eastAsia="zh-CN"/>
        </w:rPr>
        <w:t>特许经营</w:t>
      </w:r>
      <w:r>
        <w:rPr>
          <w:rFonts w:hint="eastAsia" w:ascii="方正仿宋_GB2312" w:hAnsi="方正仿宋_GB2312" w:eastAsia="方正仿宋_GB2312" w:cs="方正仿宋_GB2312"/>
          <w:color w:val="auto"/>
          <w:sz w:val="28"/>
          <w:szCs w:val="28"/>
          <w:highlight w:val="none"/>
        </w:rPr>
        <w:t>期后10个工作日内，向实施机构提交</w:t>
      </w:r>
      <w:r>
        <w:rPr>
          <w:rFonts w:hint="eastAsia" w:ascii="方正仿宋_GB2312" w:hAnsi="方正仿宋_GB2312" w:eastAsia="方正仿宋_GB2312" w:cs="方正仿宋_GB2312"/>
          <w:color w:val="auto"/>
          <w:sz w:val="28"/>
          <w:szCs w:val="28"/>
          <w:highlight w:val="none"/>
          <w:lang w:val="en-US" w:eastAsia="zh-CN"/>
        </w:rPr>
        <w:t>特许经营</w:t>
      </w:r>
      <w:r>
        <w:rPr>
          <w:rFonts w:hint="eastAsia" w:ascii="方正仿宋_GB2312" w:hAnsi="方正仿宋_GB2312" w:eastAsia="方正仿宋_GB2312" w:cs="方正仿宋_GB2312"/>
          <w:color w:val="auto"/>
          <w:sz w:val="28"/>
          <w:szCs w:val="28"/>
          <w:highlight w:val="none"/>
        </w:rPr>
        <w:t>履约保函，作为</w:t>
      </w:r>
      <w:r>
        <w:rPr>
          <w:rFonts w:hint="eastAsia" w:ascii="方正仿宋_GB2312" w:hAnsi="方正仿宋_GB2312" w:eastAsia="方正仿宋_GB2312" w:cs="方正仿宋_GB2312"/>
          <w:color w:val="auto"/>
          <w:sz w:val="28"/>
          <w:szCs w:val="28"/>
          <w:highlight w:val="none"/>
          <w:lang w:val="en-US" w:eastAsia="zh-CN"/>
        </w:rPr>
        <w:t>特许经营者（</w:t>
      </w:r>
      <w:r>
        <w:rPr>
          <w:rFonts w:hint="eastAsia" w:ascii="方正仿宋_GB2312" w:hAnsi="方正仿宋_GB2312" w:eastAsia="方正仿宋_GB2312" w:cs="方正仿宋_GB2312"/>
          <w:color w:val="auto"/>
          <w:sz w:val="28"/>
          <w:szCs w:val="28"/>
          <w:highlight w:val="none"/>
        </w:rPr>
        <w:t>项目公司</w:t>
      </w:r>
      <w:r>
        <w:rPr>
          <w:rFonts w:hint="eastAsia" w:ascii="方正仿宋_GB2312" w:hAnsi="方正仿宋_GB2312" w:eastAsia="方正仿宋_GB2312" w:cs="方正仿宋_GB2312"/>
          <w:color w:val="auto"/>
          <w:sz w:val="28"/>
          <w:szCs w:val="28"/>
          <w:highlight w:val="none"/>
          <w:lang w:val="en-US" w:eastAsia="zh-CN"/>
        </w:rPr>
        <w:t>）</w:t>
      </w:r>
      <w:r>
        <w:rPr>
          <w:rFonts w:hint="eastAsia" w:ascii="方正仿宋_GB2312" w:hAnsi="方正仿宋_GB2312" w:eastAsia="方正仿宋_GB2312" w:cs="方正仿宋_GB2312"/>
          <w:color w:val="auto"/>
          <w:sz w:val="28"/>
          <w:szCs w:val="28"/>
          <w:highlight w:val="none"/>
        </w:rPr>
        <w:t>履行</w:t>
      </w:r>
      <w:r>
        <w:rPr>
          <w:rFonts w:hint="eastAsia" w:ascii="方正仿宋_GB2312" w:hAnsi="方正仿宋_GB2312" w:eastAsia="方正仿宋_GB2312" w:cs="方正仿宋_GB2312"/>
          <w:color w:val="auto"/>
          <w:sz w:val="28"/>
          <w:szCs w:val="28"/>
          <w:highlight w:val="none"/>
          <w:lang w:val="en-US" w:eastAsia="zh-CN"/>
        </w:rPr>
        <w:t>特许经营</w:t>
      </w:r>
      <w:r>
        <w:rPr>
          <w:rFonts w:hint="eastAsia" w:ascii="方正仿宋_GB2312" w:hAnsi="方正仿宋_GB2312" w:eastAsia="方正仿宋_GB2312" w:cs="方正仿宋_GB2312"/>
          <w:color w:val="auto"/>
          <w:sz w:val="28"/>
          <w:szCs w:val="28"/>
          <w:highlight w:val="none"/>
        </w:rPr>
        <w:t>义务的保证。</w:t>
      </w:r>
      <w:r>
        <w:rPr>
          <w:rFonts w:hint="eastAsia" w:ascii="方正仿宋_GB2312" w:hAnsi="方正仿宋_GB2312" w:eastAsia="方正仿宋_GB2312" w:cs="方正仿宋_GB2312"/>
          <w:color w:val="auto"/>
          <w:sz w:val="28"/>
          <w:szCs w:val="28"/>
          <w:highlight w:val="none"/>
          <w:lang w:val="en-US" w:eastAsia="zh-CN"/>
        </w:rPr>
        <w:t>特许经营</w:t>
      </w:r>
      <w:r>
        <w:rPr>
          <w:rFonts w:hint="eastAsia" w:ascii="方正仿宋_GB2312" w:hAnsi="方正仿宋_GB2312" w:eastAsia="方正仿宋_GB2312" w:cs="方正仿宋_GB2312"/>
          <w:color w:val="auto"/>
          <w:sz w:val="28"/>
          <w:szCs w:val="28"/>
          <w:highlight w:val="none"/>
        </w:rPr>
        <w:t>履约保函的有效期从</w:t>
      </w:r>
      <w:r>
        <w:rPr>
          <w:rFonts w:hint="eastAsia" w:ascii="方正仿宋_GB2312" w:hAnsi="方正仿宋_GB2312" w:eastAsia="方正仿宋_GB2312" w:cs="方正仿宋_GB2312"/>
          <w:color w:val="auto"/>
          <w:sz w:val="28"/>
          <w:szCs w:val="28"/>
          <w:highlight w:val="none"/>
          <w:lang w:val="en-US" w:eastAsia="zh-CN"/>
        </w:rPr>
        <w:t>该履约保函缴纳</w:t>
      </w:r>
      <w:r>
        <w:rPr>
          <w:rFonts w:hint="eastAsia" w:ascii="方正仿宋_GB2312" w:hAnsi="方正仿宋_GB2312" w:eastAsia="方正仿宋_GB2312" w:cs="方正仿宋_GB2312"/>
          <w:color w:val="auto"/>
          <w:sz w:val="28"/>
          <w:szCs w:val="28"/>
          <w:highlight w:val="none"/>
        </w:rPr>
        <w:t>之日起至项目移交日后质保期结束</w:t>
      </w:r>
      <w:r>
        <w:rPr>
          <w:rFonts w:hint="eastAsia" w:ascii="方正仿宋_GB2312" w:hAnsi="方正仿宋_GB2312" w:eastAsia="方正仿宋_GB2312" w:cs="方正仿宋_GB2312"/>
          <w:color w:val="auto"/>
          <w:sz w:val="28"/>
          <w:szCs w:val="28"/>
          <w:highlight w:val="none"/>
          <w:lang w:val="en-US" w:eastAsia="zh-CN"/>
        </w:rPr>
        <w:t>之日</w:t>
      </w:r>
      <w:r>
        <w:rPr>
          <w:rFonts w:hint="eastAsia" w:ascii="方正仿宋_GB2312" w:hAnsi="方正仿宋_GB2312" w:eastAsia="方正仿宋_GB2312" w:cs="方正仿宋_GB2312"/>
          <w:color w:val="auto"/>
          <w:sz w:val="28"/>
          <w:szCs w:val="28"/>
          <w:highlight w:val="none"/>
        </w:rPr>
        <w:t>。保函金额不超过项目初始投资额的10%，特许经营履约保函金额暂定为</w:t>
      </w:r>
      <w:r>
        <w:rPr>
          <w:rFonts w:hint="eastAsia" w:ascii="方正仿宋_GB2312" w:hAnsi="方正仿宋_GB2312" w:eastAsia="方正仿宋_GB2312" w:cs="方正仿宋_GB2312"/>
          <w:color w:val="auto"/>
          <w:sz w:val="28"/>
          <w:szCs w:val="28"/>
          <w:highlight w:val="none"/>
          <w:lang w:val="en-US" w:eastAsia="zh-CN"/>
        </w:rPr>
        <w:t>2</w:t>
      </w:r>
      <w:r>
        <w:rPr>
          <w:rFonts w:hint="eastAsia" w:ascii="方正仿宋_GB2312" w:hAnsi="方正仿宋_GB2312" w:eastAsia="方正仿宋_GB2312" w:cs="方正仿宋_GB2312"/>
          <w:color w:val="auto"/>
          <w:sz w:val="28"/>
          <w:szCs w:val="28"/>
          <w:highlight w:val="none"/>
        </w:rPr>
        <w:t>0万元，具体金额以采购文件和《</w:t>
      </w:r>
      <w:r>
        <w:rPr>
          <w:rFonts w:hint="eastAsia" w:ascii="方正仿宋_GB2312" w:hAnsi="方正仿宋_GB2312" w:eastAsia="方正仿宋_GB2312" w:cs="方正仿宋_GB2312"/>
          <w:color w:val="auto"/>
          <w:sz w:val="28"/>
          <w:szCs w:val="28"/>
          <w:highlight w:val="none"/>
          <w:lang w:val="en-US" w:eastAsia="zh-CN"/>
        </w:rPr>
        <w:t>特许经营协议</w:t>
      </w:r>
      <w:r>
        <w:rPr>
          <w:rFonts w:hint="eastAsia" w:ascii="方正仿宋_GB2312" w:hAnsi="方正仿宋_GB2312" w:eastAsia="方正仿宋_GB2312" w:cs="方正仿宋_GB2312"/>
          <w:color w:val="auto"/>
          <w:sz w:val="28"/>
          <w:szCs w:val="28"/>
          <w:highlight w:val="none"/>
        </w:rPr>
        <w:t>》的约定为准。</w:t>
      </w:r>
    </w:p>
    <w:p w14:paraId="58B4D0F7">
      <w:pPr>
        <w:widowControl w:val="0"/>
        <w:adjustRightInd w:val="0"/>
        <w:spacing w:line="360" w:lineRule="auto"/>
        <w:ind w:firstLine="565" w:firstLineChars="202"/>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在</w:t>
      </w:r>
      <w:r>
        <w:rPr>
          <w:rFonts w:hint="eastAsia" w:ascii="方正仿宋_GB2312" w:hAnsi="方正仿宋_GB2312" w:eastAsia="方正仿宋_GB2312" w:cs="方正仿宋_GB2312"/>
          <w:color w:val="auto"/>
          <w:sz w:val="28"/>
          <w:szCs w:val="28"/>
          <w:highlight w:val="none"/>
          <w:lang w:val="en-US" w:eastAsia="zh-CN"/>
        </w:rPr>
        <w:t>特许经营</w:t>
      </w:r>
      <w:r>
        <w:rPr>
          <w:rFonts w:hint="eastAsia" w:ascii="方正仿宋_GB2312" w:hAnsi="方正仿宋_GB2312" w:eastAsia="方正仿宋_GB2312" w:cs="方正仿宋_GB2312"/>
          <w:color w:val="auto"/>
          <w:sz w:val="28"/>
          <w:szCs w:val="28"/>
          <w:highlight w:val="none"/>
        </w:rPr>
        <w:t>期内，如果项目公司未能合格的履行</w:t>
      </w:r>
      <w:r>
        <w:rPr>
          <w:rFonts w:hint="eastAsia" w:ascii="方正仿宋_GB2312" w:hAnsi="方正仿宋_GB2312" w:eastAsia="方正仿宋_GB2312" w:cs="方正仿宋_GB2312"/>
          <w:color w:val="auto"/>
          <w:sz w:val="28"/>
          <w:szCs w:val="28"/>
          <w:highlight w:val="none"/>
          <w:lang w:val="en-US" w:eastAsia="zh-CN"/>
        </w:rPr>
        <w:t>特许经营</w:t>
      </w:r>
      <w:r>
        <w:rPr>
          <w:rFonts w:hint="eastAsia" w:ascii="方正仿宋_GB2312" w:hAnsi="方正仿宋_GB2312" w:eastAsia="方正仿宋_GB2312" w:cs="方正仿宋_GB2312"/>
          <w:color w:val="auto"/>
          <w:sz w:val="28"/>
          <w:szCs w:val="28"/>
          <w:highlight w:val="none"/>
        </w:rPr>
        <w:t>义务，政府方有权提取</w:t>
      </w:r>
      <w:r>
        <w:rPr>
          <w:rFonts w:hint="eastAsia" w:ascii="方正仿宋_GB2312" w:hAnsi="方正仿宋_GB2312" w:eastAsia="方正仿宋_GB2312" w:cs="方正仿宋_GB2312"/>
          <w:color w:val="auto"/>
          <w:sz w:val="28"/>
          <w:szCs w:val="28"/>
          <w:highlight w:val="none"/>
          <w:lang w:val="en-US" w:eastAsia="zh-CN"/>
        </w:rPr>
        <w:t>特许经营</w:t>
      </w:r>
      <w:r>
        <w:rPr>
          <w:rFonts w:hint="eastAsia" w:ascii="方正仿宋_GB2312" w:hAnsi="方正仿宋_GB2312" w:eastAsia="方正仿宋_GB2312" w:cs="方正仿宋_GB2312"/>
          <w:color w:val="auto"/>
          <w:sz w:val="28"/>
          <w:szCs w:val="28"/>
          <w:highlight w:val="none"/>
        </w:rPr>
        <w:t>履约保函的金额。如果政府方在</w:t>
      </w:r>
      <w:r>
        <w:rPr>
          <w:rFonts w:hint="eastAsia" w:ascii="方正仿宋_GB2312" w:hAnsi="方正仿宋_GB2312" w:eastAsia="方正仿宋_GB2312" w:cs="方正仿宋_GB2312"/>
          <w:color w:val="auto"/>
          <w:sz w:val="28"/>
          <w:szCs w:val="28"/>
          <w:highlight w:val="none"/>
          <w:lang w:val="en-US" w:eastAsia="zh-CN"/>
        </w:rPr>
        <w:t>特许经营</w:t>
      </w:r>
      <w:r>
        <w:rPr>
          <w:rFonts w:hint="eastAsia" w:ascii="方正仿宋_GB2312" w:hAnsi="方正仿宋_GB2312" w:eastAsia="方正仿宋_GB2312" w:cs="方正仿宋_GB2312"/>
          <w:color w:val="auto"/>
          <w:sz w:val="28"/>
          <w:szCs w:val="28"/>
          <w:highlight w:val="none"/>
        </w:rPr>
        <w:t>期内根据《</w:t>
      </w:r>
      <w:r>
        <w:rPr>
          <w:rFonts w:hint="eastAsia" w:ascii="方正仿宋_GB2312" w:hAnsi="方正仿宋_GB2312" w:eastAsia="方正仿宋_GB2312" w:cs="方正仿宋_GB2312"/>
          <w:color w:val="auto"/>
          <w:sz w:val="28"/>
          <w:szCs w:val="28"/>
          <w:highlight w:val="none"/>
          <w:lang w:val="en-US" w:eastAsia="zh-CN"/>
        </w:rPr>
        <w:t>特许经营协议</w:t>
      </w:r>
      <w:r>
        <w:rPr>
          <w:rFonts w:hint="eastAsia" w:ascii="方正仿宋_GB2312" w:hAnsi="方正仿宋_GB2312" w:eastAsia="方正仿宋_GB2312" w:cs="方正仿宋_GB2312"/>
          <w:color w:val="auto"/>
          <w:sz w:val="28"/>
          <w:szCs w:val="28"/>
          <w:highlight w:val="none"/>
        </w:rPr>
        <w:t>》的有关规定提取</w:t>
      </w:r>
      <w:r>
        <w:rPr>
          <w:rFonts w:hint="eastAsia" w:ascii="方正仿宋_GB2312" w:hAnsi="方正仿宋_GB2312" w:eastAsia="方正仿宋_GB2312" w:cs="方正仿宋_GB2312"/>
          <w:color w:val="auto"/>
          <w:sz w:val="28"/>
          <w:szCs w:val="28"/>
          <w:highlight w:val="none"/>
          <w:lang w:val="en-US" w:eastAsia="zh-CN"/>
        </w:rPr>
        <w:t>特许经营</w:t>
      </w:r>
      <w:r>
        <w:rPr>
          <w:rFonts w:hint="eastAsia" w:ascii="方正仿宋_GB2312" w:hAnsi="方正仿宋_GB2312" w:eastAsia="方正仿宋_GB2312" w:cs="方正仿宋_GB2312"/>
          <w:color w:val="auto"/>
          <w:sz w:val="28"/>
          <w:szCs w:val="28"/>
          <w:highlight w:val="none"/>
        </w:rPr>
        <w:t>履约保函项下的款项，</w:t>
      </w:r>
      <w:r>
        <w:rPr>
          <w:rFonts w:hint="eastAsia" w:ascii="方正仿宋_GB2312" w:hAnsi="方正仿宋_GB2312" w:eastAsia="方正仿宋_GB2312" w:cs="方正仿宋_GB2312"/>
          <w:color w:val="auto"/>
          <w:sz w:val="28"/>
          <w:szCs w:val="28"/>
          <w:highlight w:val="none"/>
          <w:lang w:val="en-US" w:eastAsia="zh-CN"/>
        </w:rPr>
        <w:t>特许经营者（</w:t>
      </w:r>
      <w:r>
        <w:rPr>
          <w:rFonts w:hint="eastAsia" w:ascii="方正仿宋_GB2312" w:hAnsi="方正仿宋_GB2312" w:eastAsia="方正仿宋_GB2312" w:cs="方正仿宋_GB2312"/>
          <w:color w:val="auto"/>
          <w:sz w:val="28"/>
          <w:szCs w:val="28"/>
          <w:highlight w:val="none"/>
        </w:rPr>
        <w:t>项目公司</w:t>
      </w:r>
      <w:r>
        <w:rPr>
          <w:rFonts w:hint="eastAsia" w:ascii="方正仿宋_GB2312" w:hAnsi="方正仿宋_GB2312" w:eastAsia="方正仿宋_GB2312" w:cs="方正仿宋_GB2312"/>
          <w:color w:val="auto"/>
          <w:sz w:val="28"/>
          <w:szCs w:val="28"/>
          <w:highlight w:val="none"/>
          <w:lang w:val="en-US" w:eastAsia="zh-CN"/>
        </w:rPr>
        <w:t>）</w:t>
      </w:r>
      <w:r>
        <w:rPr>
          <w:rFonts w:hint="eastAsia" w:ascii="方正仿宋_GB2312" w:hAnsi="方正仿宋_GB2312" w:eastAsia="方正仿宋_GB2312" w:cs="方正仿宋_GB2312"/>
          <w:color w:val="auto"/>
          <w:sz w:val="28"/>
          <w:szCs w:val="28"/>
          <w:highlight w:val="none"/>
        </w:rPr>
        <w:t>应确保在政府方提取后的15日内，将</w:t>
      </w:r>
      <w:r>
        <w:rPr>
          <w:rFonts w:hint="eastAsia" w:ascii="方正仿宋_GB2312" w:hAnsi="方正仿宋_GB2312" w:eastAsia="方正仿宋_GB2312" w:cs="方正仿宋_GB2312"/>
          <w:color w:val="auto"/>
          <w:sz w:val="28"/>
          <w:szCs w:val="28"/>
          <w:highlight w:val="none"/>
          <w:lang w:val="en-US" w:eastAsia="zh-CN"/>
        </w:rPr>
        <w:t>特许经营</w:t>
      </w:r>
      <w:r>
        <w:rPr>
          <w:rFonts w:hint="eastAsia" w:ascii="方正仿宋_GB2312" w:hAnsi="方正仿宋_GB2312" w:eastAsia="方正仿宋_GB2312" w:cs="方正仿宋_GB2312"/>
          <w:color w:val="auto"/>
          <w:sz w:val="28"/>
          <w:szCs w:val="28"/>
          <w:highlight w:val="none"/>
        </w:rPr>
        <w:t>履约保函的数额更新到《</w:t>
      </w:r>
      <w:r>
        <w:rPr>
          <w:rFonts w:hint="eastAsia" w:ascii="方正仿宋_GB2312" w:hAnsi="方正仿宋_GB2312" w:eastAsia="方正仿宋_GB2312" w:cs="方正仿宋_GB2312"/>
          <w:color w:val="auto"/>
          <w:sz w:val="28"/>
          <w:szCs w:val="28"/>
          <w:highlight w:val="none"/>
          <w:lang w:val="en-US" w:eastAsia="zh-CN"/>
        </w:rPr>
        <w:t>特许经营协议</w:t>
      </w:r>
      <w:r>
        <w:rPr>
          <w:rFonts w:hint="eastAsia" w:ascii="方正仿宋_GB2312" w:hAnsi="方正仿宋_GB2312" w:eastAsia="方正仿宋_GB2312" w:cs="方正仿宋_GB2312"/>
          <w:color w:val="auto"/>
          <w:sz w:val="28"/>
          <w:szCs w:val="28"/>
          <w:highlight w:val="none"/>
        </w:rPr>
        <w:t>》约定的数额。</w:t>
      </w:r>
    </w:p>
    <w:bookmarkEnd w:id="350"/>
    <w:p w14:paraId="384B0311">
      <w:pPr>
        <w:numPr>
          <w:ilvl w:val="0"/>
          <w:numId w:val="90"/>
        </w:numPr>
        <w:bidi w:val="0"/>
        <w:adjustRightInd w:val="0"/>
        <w:spacing w:line="360" w:lineRule="auto"/>
        <w:ind w:left="0" w:leftChars="0" w:firstLine="560" w:firstLineChars="200"/>
        <w:rPr>
          <w:rFonts w:hint="eastAsia" w:ascii="方正仿宋_GB2312" w:hAnsi="方正仿宋_GB2312" w:eastAsia="方正仿宋_GB2312" w:cs="方正仿宋_GB2312"/>
          <w:color w:val="auto"/>
          <w:lang w:val="en-US" w:eastAsia="zh-CN"/>
        </w:rPr>
      </w:pPr>
      <w:r>
        <w:rPr>
          <w:rFonts w:hint="eastAsia" w:ascii="方正仿宋_GB2312" w:hAnsi="方正仿宋_GB2312" w:eastAsia="方正仿宋_GB2312" w:cs="方正仿宋_GB2312"/>
          <w:color w:val="auto"/>
          <w:lang w:val="en-US" w:eastAsia="zh-CN"/>
        </w:rPr>
        <w:t>违约责任与争议解决要求</w:t>
      </w:r>
    </w:p>
    <w:p w14:paraId="540EE358">
      <w:pPr>
        <w:numPr>
          <w:ilvl w:val="0"/>
          <w:numId w:val="0"/>
        </w:numPr>
        <w:bidi w:val="0"/>
        <w:adjustRightInd w:val="0"/>
        <w:spacing w:line="360" w:lineRule="auto"/>
        <w:ind w:firstLine="560" w:firstLineChars="200"/>
        <w:rPr>
          <w:rFonts w:hint="eastAsia" w:ascii="方正仿宋_GB2312" w:hAnsi="方正仿宋_GB2312" w:eastAsia="方正仿宋_GB2312" w:cs="方正仿宋_GB2312"/>
          <w:color w:val="auto"/>
          <w:lang w:val="en-US" w:eastAsia="zh-CN"/>
        </w:rPr>
      </w:pPr>
      <w:r>
        <w:rPr>
          <w:rFonts w:hint="eastAsia" w:ascii="方正仿宋_GB2312" w:hAnsi="方正仿宋_GB2312" w:eastAsia="方正仿宋_GB2312" w:cs="方正仿宋_GB2312"/>
          <w:color w:val="auto"/>
          <w:lang w:val="en-US" w:eastAsia="zh-CN"/>
        </w:rPr>
        <w:t>违约责任要求：特许经营协议中将明确各方未履行特许经营相关义务时需承担的违约责任类型，要求违约责任设定合理、有据，起到约束和惩戒作用，保障协议履行。</w:t>
      </w:r>
    </w:p>
    <w:p w14:paraId="1276AAEA">
      <w:pPr>
        <w:pStyle w:val="56"/>
        <w:bidi w:val="0"/>
        <w:adjustRightInd w:val="0"/>
        <w:spacing w:line="360" w:lineRule="auto"/>
        <w:ind w:firstLine="560" w:firstLineChars="200"/>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color w:val="auto"/>
          <w:lang w:val="en-US" w:eastAsia="zh-CN"/>
        </w:rPr>
        <w:t>争议解决要求：特许经营期间特许经营方与政府方发生的</w:t>
      </w:r>
      <w:r>
        <w:rPr>
          <w:rFonts w:hint="eastAsia" w:ascii="方正仿宋_GB2312" w:hAnsi="方正仿宋_GB2312" w:eastAsia="方正仿宋_GB2312" w:cs="方正仿宋_GB2312"/>
          <w:color w:val="auto"/>
          <w:sz w:val="28"/>
        </w:rPr>
        <w:t>任何争议，首先由项目协调委员会进行协商解决。项目协调委员会的一致书面决议对双方均有约束力。项目协调委员会在30日内无法协商解决的，则任何一方有权向项目所在地有管辖权的人民法院提起诉讼。</w:t>
      </w:r>
    </w:p>
    <w:p w14:paraId="21399B1C">
      <w:pPr>
        <w:pStyle w:val="4"/>
        <w:ind w:left="720" w:hanging="720"/>
        <w:rPr>
          <w:rFonts w:hint="eastAsia" w:ascii="仿宋" w:hAnsi="仿宋" w:eastAsia="仿宋"/>
          <w:color w:val="auto"/>
          <w:lang w:val="en-US" w:eastAsia="zh-CN"/>
        </w:rPr>
      </w:pPr>
      <w:r>
        <w:rPr>
          <w:rFonts w:hint="eastAsia" w:ascii="仿宋" w:hAnsi="仿宋" w:eastAsia="仿宋"/>
          <w:color w:val="auto"/>
          <w:lang w:val="en-US" w:eastAsia="zh-CN"/>
        </w:rPr>
        <w:t>其他补充要求</w:t>
      </w:r>
    </w:p>
    <w:p w14:paraId="5C954A3C">
      <w:pPr>
        <w:numPr>
          <w:ilvl w:val="0"/>
          <w:numId w:val="91"/>
        </w:num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应急处置要求：特许经营者或项目公司需制定完善的突发事件应急预案，明确应急处置流程、责任分工，经实施机构批准后实施，确保突发事件得到及时、有效处置。</w:t>
      </w:r>
    </w:p>
    <w:p w14:paraId="3ED90D22">
      <w:pPr>
        <w:numPr>
          <w:ilvl w:val="0"/>
          <w:numId w:val="91"/>
        </w:num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追加投资要求：明确特许经营期限内追加投资、更新改造及技术优化的管控要求，规范申请、审核流程，要求双方协商确定费用及补偿事宜，保障项目持续优化。</w:t>
      </w:r>
    </w:p>
    <w:p w14:paraId="3CD91448">
      <w:pPr>
        <w:numPr>
          <w:ilvl w:val="0"/>
          <w:numId w:val="91"/>
        </w:num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剩余资产处置要求：明确项目经营所得剩余资产的处置原则及方式，确保处置流程合规、合理，兼顾各方权益。</w:t>
      </w:r>
    </w:p>
    <w:p w14:paraId="0662A9BF">
      <w:pPr>
        <w:numPr>
          <w:ilvl w:val="0"/>
          <w:numId w:val="91"/>
        </w:numPr>
        <w:bidi w:val="0"/>
        <w:ind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政府承诺要求：明确实施机构需履行的保障义务，确保特许经营者独家经营权，保障协议履行不受行政区划调整、政府换届等因素影响，明确原特许经营者的优先权要求。</w:t>
      </w:r>
    </w:p>
    <w:p w14:paraId="3D186874">
      <w:pPr>
        <w:numPr>
          <w:ilvl w:val="0"/>
          <w:numId w:val="91"/>
        </w:numPr>
        <w:bidi w:val="0"/>
        <w:ind w:firstLine="560" w:firstLineChars="200"/>
        <w:rPr>
          <w:rFonts w:hint="eastAsia" w:ascii="仿宋" w:hAnsi="仿宋" w:eastAsia="仿宋"/>
          <w:color w:val="auto"/>
          <w:lang w:val="en-US" w:eastAsia="zh-CN"/>
        </w:rPr>
        <w:sectPr>
          <w:pgSz w:w="11907" w:h="16839"/>
          <w:pgMar w:top="1440" w:right="1800" w:bottom="1440" w:left="1800" w:header="851" w:footer="624" w:gutter="0"/>
          <w:pgNumType w:fmt="decimal"/>
          <w:cols w:space="720" w:num="1"/>
          <w:docGrid w:type="lines" w:linePitch="326" w:charSpace="0"/>
        </w:sectPr>
      </w:pPr>
      <w:r>
        <w:rPr>
          <w:rFonts w:hint="eastAsia" w:ascii="仿宋" w:hAnsi="仿宋" w:eastAsia="仿宋"/>
          <w:color w:val="auto"/>
          <w:lang w:val="en-US" w:eastAsia="zh-CN"/>
        </w:rPr>
        <w:t>5.本小节所涉及的与特许经营协议有关的内容，以特许经营协议中的具体约定为准。</w:t>
      </w:r>
    </w:p>
    <w:p w14:paraId="2652ECD7">
      <w:pPr>
        <w:pStyle w:val="2"/>
        <w:numPr>
          <w:ilvl w:val="0"/>
          <w:numId w:val="2"/>
        </w:numPr>
        <w:bidi w:val="0"/>
        <w:ind w:left="432" w:leftChars="0" w:hanging="432" w:firstLineChars="0"/>
        <w:rPr>
          <w:rFonts w:hint="eastAsia" w:ascii="仿宋" w:hAnsi="仿宋" w:eastAsia="仿宋" w:cs="仿宋"/>
          <w:color w:val="auto"/>
          <w:highlight w:val="none"/>
          <w:lang w:val="en-US" w:eastAsia="zh-CN"/>
        </w:rPr>
      </w:pPr>
      <w:bookmarkStart w:id="351" w:name="_Toc25058"/>
      <w:bookmarkStart w:id="352" w:name="_Toc28584"/>
      <w:bookmarkStart w:id="353" w:name="_Toc6216"/>
      <w:bookmarkStart w:id="354" w:name="_Toc7920"/>
      <w:r>
        <w:rPr>
          <w:rFonts w:hint="eastAsia" w:ascii="仿宋" w:hAnsi="仿宋" w:eastAsia="仿宋" w:cs="仿宋"/>
          <w:color w:val="auto"/>
          <w:highlight w:val="none"/>
          <w:lang w:val="en-US" w:eastAsia="zh-CN"/>
        </w:rPr>
        <w:t>结论和建议</w:t>
      </w:r>
      <w:bookmarkEnd w:id="351"/>
      <w:bookmarkEnd w:id="352"/>
      <w:bookmarkEnd w:id="353"/>
      <w:bookmarkEnd w:id="354"/>
    </w:p>
    <w:p w14:paraId="0AA3B14D">
      <w:pPr>
        <w:pStyle w:val="3"/>
        <w:bidi w:val="0"/>
        <w:ind w:left="575" w:hanging="575"/>
        <w:rPr>
          <w:rFonts w:hint="eastAsia" w:ascii="仿宋" w:hAnsi="仿宋" w:eastAsia="仿宋" w:cs="仿宋"/>
          <w:color w:val="auto"/>
          <w:highlight w:val="none"/>
          <w:lang w:val="en-US" w:eastAsia="zh-CN"/>
        </w:rPr>
      </w:pPr>
      <w:bookmarkStart w:id="355" w:name="_Toc17043"/>
      <w:bookmarkStart w:id="356" w:name="_Toc15493"/>
      <w:bookmarkStart w:id="357" w:name="_Toc22471"/>
      <w:bookmarkStart w:id="358" w:name="_Toc24021"/>
      <w:bookmarkStart w:id="359" w:name="_Toc869953893"/>
      <w:r>
        <w:rPr>
          <w:rFonts w:hint="eastAsia" w:ascii="仿宋" w:hAnsi="仿宋" w:eastAsia="仿宋" w:cs="仿宋"/>
          <w:color w:val="auto"/>
          <w:highlight w:val="none"/>
          <w:lang w:val="en-US" w:eastAsia="zh-CN"/>
        </w:rPr>
        <w:t>主要研究结论</w:t>
      </w:r>
      <w:bookmarkEnd w:id="355"/>
      <w:bookmarkEnd w:id="356"/>
      <w:bookmarkEnd w:id="357"/>
      <w:bookmarkEnd w:id="358"/>
      <w:bookmarkEnd w:id="359"/>
    </w:p>
    <w:p w14:paraId="47E299EB">
      <w:pPr>
        <w:numPr>
          <w:ilvl w:val="0"/>
          <w:numId w:val="92"/>
        </w:numPr>
        <w:bidi w:val="0"/>
        <w:rPr>
          <w:rFonts w:hint="eastAsia" w:ascii="仿宋" w:hAnsi="仿宋" w:eastAsia="仿宋"/>
          <w:color w:val="auto"/>
          <w:lang w:val="zh-CN"/>
        </w:rPr>
      </w:pPr>
      <w:r>
        <w:rPr>
          <w:rFonts w:hint="eastAsia" w:ascii="仿宋" w:hAnsi="仿宋" w:eastAsia="仿宋"/>
          <w:color w:val="auto"/>
          <w:lang w:val="zh-CN"/>
        </w:rPr>
        <w:t>本项目深度契合《国务院办公厅转发国家发展改革委等部门关于推动城市停车设施发展意见的通知》及北京市《关于推动城市停车设施发展和管理的实施意见》、密云区</w:t>
      </w:r>
      <w:r>
        <w:rPr>
          <w:rFonts w:hint="eastAsia" w:ascii="仿宋" w:hAnsi="仿宋" w:eastAsia="仿宋"/>
          <w:color w:val="auto"/>
          <w:highlight w:val="none"/>
          <w:lang w:val="en-US" w:eastAsia="zh-CN"/>
        </w:rPr>
        <w:t>上位</w:t>
      </w:r>
      <w:r>
        <w:rPr>
          <w:rFonts w:hint="eastAsia" w:ascii="仿宋" w:hAnsi="仿宋" w:eastAsia="仿宋"/>
          <w:color w:val="auto"/>
          <w:highlight w:val="none"/>
          <w:lang w:val="zh-CN"/>
        </w:rPr>
        <w:t>规划</w:t>
      </w:r>
      <w:r>
        <w:rPr>
          <w:rFonts w:hint="eastAsia" w:ascii="仿宋" w:hAnsi="仿宋" w:eastAsia="仿宋"/>
          <w:color w:val="auto"/>
          <w:highlight w:val="none"/>
          <w:lang w:val="en-US" w:eastAsia="zh-CN"/>
        </w:rPr>
        <w:t>政策</w:t>
      </w:r>
      <w:r>
        <w:rPr>
          <w:rFonts w:hint="eastAsia" w:ascii="仿宋" w:hAnsi="仿宋" w:eastAsia="仿宋"/>
          <w:color w:val="auto"/>
          <w:lang w:val="zh-CN"/>
        </w:rPr>
        <w:t>要求，是破解核心城区停车难题、优化静态交通秩序的关键民生工程，对提升区域服务品质、支撑密云区城市功能升级具有重要推动作用，项目实施具备充分的政策依据与现实紧迫性。</w:t>
      </w:r>
    </w:p>
    <w:p w14:paraId="348103E6">
      <w:pPr>
        <w:numPr>
          <w:ilvl w:val="0"/>
          <w:numId w:val="92"/>
        </w:numPr>
        <w:bidi w:val="0"/>
        <w:rPr>
          <w:rFonts w:hint="eastAsia" w:ascii="仿宋" w:hAnsi="仿宋" w:eastAsia="仿宋"/>
          <w:color w:val="auto"/>
        </w:rPr>
      </w:pPr>
      <w:r>
        <w:rPr>
          <w:rFonts w:hint="eastAsia" w:ascii="仿宋" w:hAnsi="仿宋" w:eastAsia="仿宋"/>
          <w:color w:val="auto"/>
          <w:lang w:val="en-US" w:eastAsia="zh-CN"/>
        </w:rPr>
        <w:t>本项目采用特许经营模式，通过引入专业社会资本实现“设计－建设－运营”一体化，既能发挥市场化主体的专业运营优势，推动停车服务从“基本保障型”向“品质提升型”转变，也能有效分担政府财政压力，是盘活存量土地资源、提升城市治理效能的创新路径，本项目采用特许经营模式具有较强的可行性。</w:t>
      </w:r>
    </w:p>
    <w:p w14:paraId="75B028C6">
      <w:pPr>
        <w:numPr>
          <w:ilvl w:val="0"/>
          <w:numId w:val="92"/>
        </w:numPr>
        <w:bidi w:val="0"/>
        <w:rPr>
          <w:rFonts w:hint="eastAsia" w:ascii="仿宋" w:hAnsi="仿宋" w:eastAsia="仿宋"/>
          <w:color w:val="auto"/>
        </w:rPr>
      </w:pPr>
      <w:r>
        <w:rPr>
          <w:rFonts w:hint="eastAsia" w:ascii="仿宋" w:hAnsi="仿宋" w:eastAsia="仿宋"/>
          <w:color w:val="auto"/>
          <w:lang w:val="en-US" w:eastAsia="zh-CN"/>
        </w:rPr>
        <w:t>本项目特许经营期限为40年，其中建设期13个月。通过搭建项目经营财务模式进行测算，在获得总投资47%的政府资金补助支持情况下，资本金税后内部收益率为</w:t>
      </w:r>
      <w:r>
        <w:rPr>
          <w:rFonts w:hint="eastAsia" w:ascii="仿宋" w:hAnsi="仿宋" w:eastAsia="仿宋"/>
          <w:color w:val="auto"/>
          <w:highlight w:val="none"/>
          <w:lang w:val="en-US" w:eastAsia="zh-CN"/>
        </w:rPr>
        <w:t>3.04%</w:t>
      </w:r>
      <w:r>
        <w:rPr>
          <w:rFonts w:hint="eastAsia" w:ascii="仿宋" w:hAnsi="仿宋" w:eastAsia="仿宋"/>
          <w:color w:val="auto"/>
          <w:lang w:val="en-US" w:eastAsia="zh-CN"/>
        </w:rPr>
        <w:t>，既符合“得利但不暴利”的特许经营核心原则，也能为社会资本提供稳定合理的收益预期，保障项目长期可持续运营。</w:t>
      </w:r>
    </w:p>
    <w:p w14:paraId="6925E477">
      <w:pPr>
        <w:numPr>
          <w:ilvl w:val="0"/>
          <w:numId w:val="92"/>
        </w:numPr>
        <w:bidi w:val="0"/>
        <w:rPr>
          <w:rFonts w:hint="eastAsia" w:ascii="仿宋" w:hAnsi="仿宋" w:eastAsia="仿宋"/>
          <w:color w:val="auto"/>
        </w:rPr>
      </w:pPr>
      <w:r>
        <w:rPr>
          <w:rFonts w:hint="eastAsia" w:ascii="仿宋" w:hAnsi="仿宋" w:eastAsia="仿宋"/>
          <w:color w:val="auto"/>
          <w:lang w:val="en-US" w:eastAsia="zh-CN"/>
        </w:rPr>
        <w:t>本项目用地面积13000.00㎡，总建筑面积24496㎡，规划建设机动车停车位800个，建设内容与规模清晰合理，精准匹配区域停车需求缺口。项目总投资22319.75万元，资金来源为资本金5129.47万元（占比22.98%）、银行贷款6700.00万元（占比30.02%）以及申请政府补助10490.28万元（占总投资的47%）。投资估算科学严谨，资金来源明确合规。项目建设工期为13个月，选址配套基础设施完善，规划布局科学合理，工程技术方案兼具安全性与经济性，整体可实施性较强。</w:t>
      </w:r>
    </w:p>
    <w:p w14:paraId="6132EB2D">
      <w:pPr>
        <w:numPr>
          <w:ilvl w:val="0"/>
          <w:numId w:val="92"/>
        </w:numPr>
        <w:bidi w:val="0"/>
        <w:rPr>
          <w:rFonts w:hint="eastAsia" w:ascii="仿宋" w:hAnsi="仿宋" w:eastAsia="仿宋"/>
          <w:color w:val="auto"/>
        </w:rPr>
      </w:pPr>
      <w:r>
        <w:rPr>
          <w:rFonts w:hint="eastAsia" w:ascii="仿宋" w:hAnsi="仿宋" w:eastAsia="仿宋"/>
          <w:color w:val="auto"/>
        </w:rPr>
        <w:t>通过对</w:t>
      </w:r>
      <w:r>
        <w:rPr>
          <w:rFonts w:hint="eastAsia" w:ascii="仿宋" w:hAnsi="仿宋" w:eastAsia="仿宋"/>
          <w:color w:val="auto"/>
          <w:lang w:eastAsia="zh-CN"/>
        </w:rPr>
        <w:t>北京市密云区密东广场北侧地块地下停车场特许经营项目</w:t>
      </w:r>
      <w:r>
        <w:rPr>
          <w:rFonts w:hint="eastAsia" w:ascii="仿宋" w:hAnsi="仿宋" w:eastAsia="仿宋"/>
          <w:color w:val="auto"/>
        </w:rPr>
        <w:t>的项目概况、</w:t>
      </w:r>
      <w:r>
        <w:rPr>
          <w:rFonts w:hint="eastAsia" w:ascii="仿宋" w:hAnsi="仿宋" w:eastAsia="仿宋"/>
          <w:color w:val="auto"/>
          <w:lang w:val="en-US" w:eastAsia="zh-CN"/>
        </w:rPr>
        <w:t>可行性、运作方式、</w:t>
      </w:r>
      <w:r>
        <w:rPr>
          <w:rFonts w:hint="eastAsia" w:ascii="仿宋" w:hAnsi="仿宋" w:eastAsia="仿宋"/>
          <w:color w:val="auto"/>
        </w:rPr>
        <w:t>边界条件、风险分配、交易结构、合同体系、监管架构、采购方式选择</w:t>
      </w:r>
      <w:r>
        <w:rPr>
          <w:rFonts w:hint="eastAsia" w:ascii="仿宋" w:hAnsi="仿宋" w:eastAsia="仿宋"/>
          <w:color w:val="auto"/>
          <w:lang w:eastAsia="zh-CN"/>
        </w:rPr>
        <w:t>、</w:t>
      </w:r>
      <w:r>
        <w:rPr>
          <w:rFonts w:hint="eastAsia" w:ascii="仿宋" w:hAnsi="仿宋" w:eastAsia="仿宋"/>
          <w:color w:val="auto"/>
        </w:rPr>
        <w:t>经济指标分析、项目的投资回报及价格测算等内容的研究，从政府方的角度审慎地分析研究</w:t>
      </w:r>
      <w:r>
        <w:rPr>
          <w:rFonts w:hint="eastAsia" w:ascii="仿宋" w:hAnsi="仿宋" w:eastAsia="仿宋"/>
          <w:color w:val="auto"/>
          <w:lang w:eastAsia="zh-CN"/>
        </w:rPr>
        <w:t>，</w:t>
      </w:r>
      <w:r>
        <w:rPr>
          <w:rFonts w:hint="eastAsia" w:ascii="仿宋" w:hAnsi="仿宋" w:eastAsia="仿宋"/>
          <w:color w:val="auto"/>
          <w:lang w:val="en-US" w:eastAsia="zh-CN"/>
        </w:rPr>
        <w:t>本项目采取特许经营模式基本可行</w:t>
      </w:r>
      <w:r>
        <w:rPr>
          <w:rFonts w:hint="eastAsia" w:ascii="仿宋" w:hAnsi="仿宋" w:eastAsia="仿宋"/>
          <w:color w:val="auto"/>
        </w:rPr>
        <w:t>。</w:t>
      </w:r>
    </w:p>
    <w:p w14:paraId="03D6BA78">
      <w:pPr>
        <w:pStyle w:val="3"/>
        <w:bidi w:val="0"/>
        <w:ind w:left="575" w:hanging="575"/>
        <w:rPr>
          <w:rFonts w:hint="eastAsia" w:ascii="仿宋" w:hAnsi="仿宋" w:eastAsia="仿宋" w:cs="仿宋"/>
          <w:color w:val="auto"/>
          <w:highlight w:val="none"/>
          <w:lang w:val="en-US" w:eastAsia="zh-CN"/>
        </w:rPr>
      </w:pPr>
      <w:bookmarkStart w:id="360" w:name="_Toc16572"/>
      <w:bookmarkStart w:id="361" w:name="_Toc30738"/>
      <w:bookmarkStart w:id="362" w:name="_Toc3605"/>
      <w:bookmarkStart w:id="363" w:name="_Toc29681"/>
      <w:r>
        <w:rPr>
          <w:rFonts w:hint="eastAsia" w:ascii="仿宋" w:hAnsi="仿宋" w:eastAsia="仿宋" w:cs="仿宋"/>
          <w:color w:val="auto"/>
          <w:highlight w:val="none"/>
          <w:lang w:val="en-US" w:eastAsia="zh-CN"/>
        </w:rPr>
        <w:t>问题与建议</w:t>
      </w:r>
      <w:bookmarkEnd w:id="360"/>
      <w:bookmarkEnd w:id="361"/>
      <w:bookmarkEnd w:id="362"/>
      <w:bookmarkEnd w:id="363"/>
    </w:p>
    <w:p w14:paraId="6E62B5A2">
      <w:pPr>
        <w:numPr>
          <w:ilvl w:val="0"/>
          <w:numId w:val="93"/>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建议</w:t>
      </w:r>
      <w:r>
        <w:rPr>
          <w:rFonts w:hint="eastAsia" w:ascii="仿宋" w:hAnsi="仿宋" w:eastAsia="仿宋"/>
          <w:color w:val="auto"/>
        </w:rPr>
        <w:t>特许经营模式设计应坚持权责对等、风险共担、民生优先原则，明确政府与社会资本的权责边界、收益分配规则及调价联动机制，兼顾社会资本合理收益与项目公共服务属性，保障项目全周期合规落地与可持续运营。</w:t>
      </w:r>
    </w:p>
    <w:p w14:paraId="543D62C1">
      <w:pPr>
        <w:numPr>
          <w:ilvl w:val="0"/>
          <w:numId w:val="93"/>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建议工程建设应坚持安全第一、防护优先原则，强化地下空间地质详勘、基坑支护及沉降动态监测，严控施工工艺与荷载标准，采取有效防护措施避免对周边既有老旧建筑、市政管线造成扰动与损害。</w:t>
      </w:r>
    </w:p>
    <w:p w14:paraId="7843BFEE">
      <w:pPr>
        <w:numPr>
          <w:ilvl w:val="0"/>
          <w:numId w:val="93"/>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建议运营管理应遵循提质增效、稳健经营原则，通过精细化管控、资源优化配置提升泊位周转效率，压降运营综合成本，构建“核心停车收益+增值服务”的多元收益结构，保障项目现金流持续稳定。</w:t>
      </w:r>
    </w:p>
    <w:p w14:paraId="4F180895">
      <w:pPr>
        <w:numPr>
          <w:ilvl w:val="0"/>
          <w:numId w:val="93"/>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项建议目移交应恪守完整移交、平稳接续原则，确保移交资产性能达标、设施完好，工程技术、运营管理等资料齐全规范，实现服务供给与管理责任的无缝衔接。</w:t>
      </w:r>
    </w:p>
    <w:p w14:paraId="41683B87">
      <w:pPr>
        <w:numPr>
          <w:ilvl w:val="0"/>
          <w:numId w:val="93"/>
        </w:numPr>
        <w:bidi w:val="0"/>
        <w:ind w:left="0" w:leftChars="0" w:firstLine="560" w:firstLineChars="200"/>
        <w:rPr>
          <w:rFonts w:hint="eastAsia" w:ascii="仿宋" w:hAnsi="仿宋" w:eastAsia="仿宋"/>
          <w:color w:val="auto"/>
          <w:lang w:val="en-US" w:eastAsia="zh-CN"/>
        </w:rPr>
      </w:pPr>
      <w:r>
        <w:rPr>
          <w:rFonts w:hint="eastAsia" w:ascii="仿宋" w:hAnsi="仿宋" w:eastAsia="仿宋"/>
          <w:color w:val="auto"/>
          <w:lang w:val="en-US" w:eastAsia="zh-CN"/>
        </w:rPr>
        <w:t>建议项目坚持技术赋能、低碳引领原则，融合前沿智慧停车技术与绿色建造、节能降碳工艺，推动项目智能化运营与生态效益协同提升，契合城市低碳发展与智慧治理要求。</w:t>
      </w:r>
    </w:p>
    <w:p w14:paraId="2E8B57AE">
      <w:pPr>
        <w:pStyle w:val="30"/>
        <w:rPr>
          <w:rFonts w:hint="eastAsia" w:ascii="仿宋" w:hAnsi="仿宋" w:eastAsia="仿宋"/>
          <w:color w:val="auto"/>
        </w:rPr>
      </w:pPr>
    </w:p>
    <w:p w14:paraId="25F35E13">
      <w:pPr>
        <w:pStyle w:val="20"/>
        <w:rPr>
          <w:rFonts w:hint="eastAsia" w:ascii="仿宋" w:hAnsi="仿宋" w:eastAsia="仿宋"/>
          <w:color w:val="auto"/>
          <w:lang w:val="en-US" w:eastAsia="zh-CN"/>
        </w:rPr>
        <w:sectPr>
          <w:footerReference r:id="rId17" w:type="default"/>
          <w:footerReference r:id="rId18" w:type="even"/>
          <w:pgSz w:w="11907" w:h="16839"/>
          <w:pgMar w:top="1440" w:right="1800" w:bottom="1440" w:left="1800" w:header="851" w:footer="624" w:gutter="0"/>
          <w:pgNumType w:fmt="decimal"/>
          <w:cols w:space="720" w:num="1"/>
          <w:docGrid w:type="lines" w:linePitch="326" w:charSpace="0"/>
        </w:sectPr>
      </w:pPr>
    </w:p>
    <w:p w14:paraId="41F2344E">
      <w:pPr>
        <w:pStyle w:val="3"/>
        <w:bidi w:val="0"/>
        <w:ind w:left="575" w:hanging="575"/>
        <w:rPr>
          <w:rFonts w:hint="eastAsia" w:ascii="仿宋" w:hAnsi="仿宋" w:eastAsia="仿宋" w:cs="仿宋"/>
          <w:color w:val="auto"/>
          <w:highlight w:val="none"/>
          <w:lang w:val="en-US" w:eastAsia="zh-CN"/>
        </w:rPr>
      </w:pPr>
      <w:bookmarkStart w:id="364" w:name="_Toc24280"/>
      <w:bookmarkStart w:id="365" w:name="_Toc14965"/>
      <w:bookmarkStart w:id="366" w:name="_Toc30880"/>
      <w:bookmarkStart w:id="367" w:name="_Toc31334"/>
      <w:r>
        <w:rPr>
          <w:rFonts w:hint="eastAsia" w:ascii="仿宋" w:hAnsi="仿宋" w:eastAsia="仿宋" w:cs="仿宋"/>
          <w:color w:val="auto"/>
          <w:highlight w:val="none"/>
          <w:lang w:val="en-US" w:eastAsia="zh-CN"/>
        </w:rPr>
        <w:t>附表</w:t>
      </w:r>
      <w:bookmarkEnd w:id="364"/>
      <w:bookmarkEnd w:id="365"/>
      <w:bookmarkEnd w:id="366"/>
      <w:bookmarkEnd w:id="367"/>
    </w:p>
    <w:p w14:paraId="1698EE8F">
      <w:pPr>
        <w:widowControl/>
        <w:spacing w:line="240" w:lineRule="auto"/>
        <w:ind w:firstLine="0" w:firstLineChars="0"/>
        <w:jc w:val="both"/>
        <w:outlineLvl w:val="2"/>
        <w:rPr>
          <w:rFonts w:hint="eastAsia" w:ascii="仿宋" w:hAnsi="仿宋" w:eastAsia="仿宋"/>
          <w:b/>
          <w:color w:val="auto"/>
          <w:sz w:val="24"/>
          <w:szCs w:val="24"/>
          <w:highlight w:val="none"/>
          <w:lang w:eastAsia="zh-CN"/>
        </w:rPr>
      </w:pPr>
      <w:bookmarkStart w:id="368" w:name="_Toc10546"/>
      <w:bookmarkStart w:id="369" w:name="_Toc27011"/>
      <w:bookmarkStart w:id="370" w:name="_Toc31740"/>
      <w:bookmarkStart w:id="371" w:name="_Toc29651"/>
      <w:bookmarkStart w:id="372" w:name="_Toc1244239618"/>
      <w:bookmarkStart w:id="373" w:name="_Toc2857"/>
      <w:bookmarkStart w:id="374" w:name="_Toc12247"/>
      <w:bookmarkStart w:id="375" w:name="_Toc9413"/>
      <w:bookmarkStart w:id="376" w:name="_Toc12318"/>
      <w:bookmarkStart w:id="377" w:name="_Toc6485"/>
      <w:bookmarkStart w:id="378" w:name="_Toc11188"/>
      <w:bookmarkStart w:id="379" w:name="_Toc3345"/>
      <w:r>
        <w:rPr>
          <w:rFonts w:hint="eastAsia" w:ascii="仿宋" w:hAnsi="仿宋" w:eastAsia="仿宋"/>
          <w:b/>
          <w:color w:val="auto"/>
          <w:sz w:val="24"/>
          <w:szCs w:val="24"/>
          <w:highlight w:val="none"/>
        </w:rPr>
        <w:t>附</w:t>
      </w:r>
      <w:r>
        <w:rPr>
          <w:rFonts w:hint="eastAsia" w:ascii="仿宋" w:hAnsi="仿宋" w:eastAsia="仿宋"/>
          <w:b/>
          <w:color w:val="auto"/>
          <w:sz w:val="24"/>
          <w:szCs w:val="24"/>
          <w:highlight w:val="none"/>
          <w:lang w:val="en-US" w:eastAsia="zh-CN"/>
        </w:rPr>
        <w:t>表1：</w:t>
      </w:r>
      <w:r>
        <w:rPr>
          <w:rFonts w:hint="eastAsia" w:ascii="仿宋" w:hAnsi="仿宋" w:eastAsia="仿宋"/>
          <w:b/>
          <w:color w:val="auto"/>
          <w:sz w:val="24"/>
          <w:szCs w:val="24"/>
          <w:highlight w:val="none"/>
        </w:rPr>
        <w:t>投资计划及资金筹措表</w:t>
      </w:r>
      <w:bookmarkEnd w:id="368"/>
      <w:bookmarkEnd w:id="369"/>
      <w:bookmarkEnd w:id="370"/>
      <w:bookmarkEnd w:id="371"/>
      <w:bookmarkEnd w:id="372"/>
      <w:bookmarkEnd w:id="373"/>
      <w:bookmarkEnd w:id="374"/>
      <w:bookmarkEnd w:id="375"/>
      <w:bookmarkEnd w:id="376"/>
      <w:bookmarkEnd w:id="377"/>
      <w:bookmarkEnd w:id="378"/>
      <w:bookmarkEnd w:id="379"/>
      <w:r>
        <w:rPr>
          <w:rFonts w:hint="eastAsia" w:ascii="仿宋" w:hAnsi="仿宋" w:eastAsia="仿宋"/>
          <w:b/>
          <w:color w:val="auto"/>
          <w:sz w:val="24"/>
          <w:szCs w:val="24"/>
          <w:highlight w:val="none"/>
          <w:lang w:eastAsia="zh-CN"/>
        </w:rPr>
        <w:t>（</w:t>
      </w:r>
      <w:r>
        <w:rPr>
          <w:rFonts w:hint="eastAsia" w:ascii="仿宋" w:hAnsi="仿宋" w:eastAsia="仿宋"/>
          <w:b/>
          <w:color w:val="auto"/>
          <w:sz w:val="24"/>
          <w:szCs w:val="24"/>
          <w:highlight w:val="none"/>
          <w:lang w:val="en-US" w:eastAsia="zh-CN"/>
        </w:rPr>
        <w:t>单位：万元</w:t>
      </w:r>
      <w:r>
        <w:rPr>
          <w:rFonts w:hint="eastAsia" w:ascii="仿宋" w:hAnsi="仿宋" w:eastAsia="仿宋"/>
          <w:b/>
          <w:color w:val="auto"/>
          <w:sz w:val="24"/>
          <w:szCs w:val="24"/>
          <w:highlight w:val="none"/>
          <w:lang w:eastAsia="zh-CN"/>
        </w:rPr>
        <w:t>）</w:t>
      </w:r>
    </w:p>
    <w:p w14:paraId="2BC9F10C">
      <w:pPr>
        <w:widowControl/>
        <w:spacing w:line="240" w:lineRule="auto"/>
        <w:ind w:firstLine="0" w:firstLineChars="0"/>
        <w:jc w:val="center"/>
        <w:outlineLvl w:val="9"/>
        <w:rPr>
          <w:rFonts w:hint="eastAsia" w:ascii="仿宋" w:hAnsi="仿宋" w:eastAsia="仿宋"/>
          <w:b/>
          <w:color w:val="auto"/>
          <w:sz w:val="28"/>
          <w:szCs w:val="28"/>
          <w:highlight w:val="none"/>
        </w:rPr>
      </w:pPr>
    </w:p>
    <w:tbl>
      <w:tblPr>
        <w:tblStyle w:val="3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9"/>
        <w:gridCol w:w="2125"/>
        <w:gridCol w:w="1737"/>
        <w:gridCol w:w="1737"/>
        <w:gridCol w:w="1739"/>
      </w:tblGrid>
      <w:tr w14:paraId="53550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5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AFA2FE">
            <w:pPr>
              <w:widowControl/>
              <w:spacing w:line="240" w:lineRule="auto"/>
              <w:ind w:firstLine="0" w:firstLineChars="0"/>
              <w:jc w:val="center"/>
              <w:outlineLvl w:val="9"/>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lang w:val="en-US" w:eastAsia="zh-CN"/>
              </w:rPr>
              <w:t>序号</w:t>
            </w:r>
          </w:p>
        </w:tc>
        <w:tc>
          <w:tcPr>
            <w:tcW w:w="12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FBDD73">
            <w:pPr>
              <w:widowControl/>
              <w:spacing w:line="240" w:lineRule="auto"/>
              <w:ind w:firstLine="0" w:firstLineChars="0"/>
              <w:jc w:val="center"/>
              <w:outlineLvl w:val="9"/>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lang w:val="en-US" w:eastAsia="zh-CN"/>
              </w:rPr>
              <w:t>名称</w:t>
            </w:r>
          </w:p>
        </w:tc>
        <w:tc>
          <w:tcPr>
            <w:tcW w:w="10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41DFC">
            <w:pPr>
              <w:widowControl/>
              <w:spacing w:line="240" w:lineRule="auto"/>
              <w:ind w:firstLine="0" w:firstLineChars="0"/>
              <w:jc w:val="center"/>
              <w:outlineLvl w:val="9"/>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lang w:val="en-US" w:eastAsia="zh-CN"/>
              </w:rPr>
              <w:t>合计</w:t>
            </w:r>
          </w:p>
        </w:tc>
        <w:tc>
          <w:tcPr>
            <w:tcW w:w="1045" w:type="pct"/>
            <w:tcBorders>
              <w:top w:val="single" w:color="000000" w:sz="4" w:space="0"/>
              <w:left w:val="single" w:color="000000" w:sz="4" w:space="0"/>
              <w:bottom w:val="single" w:color="000000" w:sz="4" w:space="0"/>
              <w:right w:val="nil"/>
            </w:tcBorders>
            <w:shd w:val="clear" w:color="auto" w:fill="auto"/>
            <w:vAlign w:val="center"/>
          </w:tcPr>
          <w:p w14:paraId="5AA2AEF1">
            <w:pPr>
              <w:widowControl/>
              <w:spacing w:line="240" w:lineRule="auto"/>
              <w:ind w:firstLine="0" w:firstLineChars="0"/>
              <w:jc w:val="center"/>
              <w:outlineLvl w:val="9"/>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lang w:val="en-US" w:eastAsia="zh-CN"/>
              </w:rPr>
              <w:t>建设期</w:t>
            </w:r>
          </w:p>
        </w:tc>
        <w:tc>
          <w:tcPr>
            <w:tcW w:w="104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D57D8">
            <w:pPr>
              <w:widowControl/>
              <w:spacing w:line="240" w:lineRule="auto"/>
              <w:ind w:firstLine="0" w:firstLineChars="0"/>
              <w:jc w:val="center"/>
              <w:outlineLvl w:val="9"/>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lang w:val="en-US" w:eastAsia="zh-CN"/>
              </w:rPr>
              <w:t>比例</w:t>
            </w:r>
          </w:p>
        </w:tc>
      </w:tr>
      <w:tr w14:paraId="4923F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blHeader/>
        </w:trPr>
        <w:tc>
          <w:tcPr>
            <w:tcW w:w="5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F9D3B">
            <w:pPr>
              <w:widowControl/>
              <w:spacing w:line="240" w:lineRule="auto"/>
              <w:ind w:firstLine="0" w:firstLineChars="0"/>
              <w:jc w:val="center"/>
              <w:outlineLvl w:val="9"/>
              <w:rPr>
                <w:rFonts w:hint="eastAsia" w:ascii="仿宋" w:hAnsi="仿宋" w:eastAsia="仿宋" w:cs="仿宋"/>
                <w:b w:val="0"/>
                <w:bCs/>
                <w:color w:val="auto"/>
                <w:sz w:val="24"/>
                <w:szCs w:val="24"/>
                <w:highlight w:val="none"/>
              </w:rPr>
            </w:pPr>
          </w:p>
        </w:tc>
        <w:tc>
          <w:tcPr>
            <w:tcW w:w="12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AB42E">
            <w:pPr>
              <w:widowControl/>
              <w:spacing w:line="240" w:lineRule="auto"/>
              <w:ind w:firstLine="0" w:firstLineChars="0"/>
              <w:jc w:val="center"/>
              <w:outlineLvl w:val="9"/>
              <w:rPr>
                <w:rFonts w:hint="eastAsia" w:ascii="仿宋" w:hAnsi="仿宋" w:eastAsia="仿宋" w:cs="仿宋"/>
                <w:b w:val="0"/>
                <w:bCs/>
                <w:color w:val="auto"/>
                <w:sz w:val="24"/>
                <w:szCs w:val="24"/>
                <w:highlight w:val="none"/>
              </w:rPr>
            </w:pPr>
          </w:p>
        </w:tc>
        <w:tc>
          <w:tcPr>
            <w:tcW w:w="10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89C09">
            <w:pPr>
              <w:widowControl/>
              <w:spacing w:line="240" w:lineRule="auto"/>
              <w:ind w:firstLine="0" w:firstLineChars="0"/>
              <w:jc w:val="center"/>
              <w:outlineLvl w:val="9"/>
              <w:rPr>
                <w:rFonts w:hint="eastAsia" w:ascii="仿宋" w:hAnsi="仿宋" w:eastAsia="仿宋" w:cs="仿宋"/>
                <w:b w:val="0"/>
                <w:bCs/>
                <w:color w:val="auto"/>
                <w:sz w:val="24"/>
                <w:szCs w:val="24"/>
                <w:highlight w:val="none"/>
              </w:rPr>
            </w:pPr>
          </w:p>
        </w:tc>
        <w:tc>
          <w:tcPr>
            <w:tcW w:w="10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F12B1">
            <w:pPr>
              <w:widowControl/>
              <w:spacing w:line="240" w:lineRule="auto"/>
              <w:ind w:firstLine="0" w:firstLineChars="0"/>
              <w:jc w:val="center"/>
              <w:outlineLvl w:val="9"/>
              <w:rPr>
                <w:rFonts w:hint="eastAsia" w:ascii="仿宋" w:hAnsi="仿宋" w:eastAsia="仿宋" w:cs="仿宋"/>
                <w:b w:val="0"/>
                <w:bCs/>
                <w:color w:val="auto"/>
                <w:sz w:val="24"/>
                <w:szCs w:val="24"/>
                <w:highlight w:val="none"/>
              </w:rPr>
            </w:pPr>
            <w:r>
              <w:rPr>
                <w:rFonts w:hint="eastAsia" w:ascii="仿宋" w:hAnsi="仿宋" w:eastAsia="仿宋" w:cs="仿宋"/>
                <w:b/>
                <w:bCs w:val="0"/>
                <w:color w:val="auto"/>
                <w:sz w:val="24"/>
                <w:szCs w:val="24"/>
                <w:highlight w:val="none"/>
                <w:lang w:val="en-US" w:eastAsia="zh-CN"/>
              </w:rPr>
              <w:t>1</w:t>
            </w:r>
          </w:p>
        </w:tc>
        <w:tc>
          <w:tcPr>
            <w:tcW w:w="10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2BBCB">
            <w:pPr>
              <w:widowControl/>
              <w:spacing w:line="240" w:lineRule="auto"/>
              <w:ind w:firstLine="0" w:firstLineChars="0"/>
              <w:jc w:val="center"/>
              <w:outlineLvl w:val="9"/>
              <w:rPr>
                <w:rFonts w:hint="eastAsia" w:ascii="仿宋" w:hAnsi="仿宋" w:eastAsia="仿宋" w:cs="仿宋"/>
                <w:b w:val="0"/>
                <w:bCs/>
                <w:color w:val="auto"/>
                <w:sz w:val="24"/>
                <w:szCs w:val="24"/>
                <w:highlight w:val="none"/>
              </w:rPr>
            </w:pPr>
          </w:p>
        </w:tc>
      </w:tr>
      <w:tr w14:paraId="748B7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C04AF">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i w:val="0"/>
                <w:iCs w:val="0"/>
                <w:color w:val="auto"/>
                <w:kern w:val="0"/>
                <w:sz w:val="24"/>
                <w:szCs w:val="24"/>
                <w:highlight w:val="none"/>
                <w:u w:val="none"/>
                <w:lang w:val="en-US" w:eastAsia="zh-CN" w:bidi="ar"/>
              </w:rPr>
              <w:t xml:space="preserve">1 </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10D8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总投资</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73F0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22319.75 </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D223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22319.75 </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867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100.00%</w:t>
            </w:r>
          </w:p>
        </w:tc>
      </w:tr>
      <w:tr w14:paraId="17186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9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242FF">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 xml:space="preserve">1.1 </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D85C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建设投资</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5348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22236.00 </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AC53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22236.00 </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1DA8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100%</w:t>
            </w:r>
          </w:p>
        </w:tc>
      </w:tr>
      <w:tr w14:paraId="6CC65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9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19937">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 xml:space="preserve">1.2 </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42FB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建设期利息</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6233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83.75 </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DC2A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83.75 </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BAEB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w:t>
            </w:r>
          </w:p>
        </w:tc>
      </w:tr>
      <w:tr w14:paraId="510CE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9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8BA80">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i w:val="0"/>
                <w:iCs w:val="0"/>
                <w:color w:val="auto"/>
                <w:kern w:val="0"/>
                <w:sz w:val="24"/>
                <w:szCs w:val="24"/>
                <w:highlight w:val="none"/>
                <w:u w:val="none"/>
                <w:lang w:val="en-US" w:eastAsia="zh-CN" w:bidi="ar"/>
              </w:rPr>
              <w:t xml:space="preserve">2 </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D999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资金筹措</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4F04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22319.75 </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2B90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22319.75 </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6998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100.00%</w:t>
            </w:r>
          </w:p>
        </w:tc>
      </w:tr>
      <w:tr w14:paraId="649D7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9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133D6">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 xml:space="preserve">2.1 </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6502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资本金</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50C4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5129.47 </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1A3E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5129.47 </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E6B7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22.98%</w:t>
            </w:r>
          </w:p>
        </w:tc>
      </w:tr>
      <w:tr w14:paraId="74A43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9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C7A01">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color w:val="auto"/>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 xml:space="preserve">2.2 </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C617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政府投资补助</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3410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10490.28 </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754A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10490.28 </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BD3E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47.00%</w:t>
            </w:r>
          </w:p>
        </w:tc>
      </w:tr>
      <w:tr w14:paraId="4E21B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9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18820">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val="0"/>
                <w:bCs/>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 xml:space="preserve">2.2 </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16FD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融资资金</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F299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6700.00 </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DC42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6700.00 </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477E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30.02%</w:t>
            </w:r>
          </w:p>
        </w:tc>
      </w:tr>
      <w:tr w14:paraId="68CE2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9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7AC09">
            <w:pPr>
              <w:keepNext w:val="0"/>
              <w:keepLines w:val="0"/>
              <w:widowControl/>
              <w:suppressLineNumbers w:val="0"/>
              <w:spacing w:line="240" w:lineRule="auto"/>
              <w:ind w:left="0" w:leftChars="0" w:firstLine="0" w:firstLineChars="0"/>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i w:val="0"/>
                <w:iCs w:val="0"/>
                <w:color w:val="auto"/>
                <w:kern w:val="0"/>
                <w:sz w:val="24"/>
                <w:szCs w:val="24"/>
                <w:highlight w:val="none"/>
                <w:u w:val="none"/>
                <w:lang w:val="en-US" w:eastAsia="zh-CN" w:bidi="ar"/>
              </w:rPr>
              <w:t>3</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5B97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投资比例</w:t>
            </w: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74B7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color w:val="auto"/>
                <w:sz w:val="24"/>
                <w:szCs w:val="24"/>
                <w:highlight w:val="none"/>
                <w:lang w:val="en-US" w:eastAsia="zh-CN"/>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9F45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100%</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AA2B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bCs/>
                <w:color w:val="auto"/>
                <w:sz w:val="24"/>
                <w:szCs w:val="24"/>
                <w:highlight w:val="none"/>
                <w:lang w:val="en-US" w:eastAsia="zh-CN"/>
              </w:rPr>
            </w:pPr>
          </w:p>
        </w:tc>
      </w:tr>
    </w:tbl>
    <w:p w14:paraId="3F705EAA">
      <w:pPr>
        <w:widowControl/>
        <w:spacing w:line="240" w:lineRule="auto"/>
        <w:ind w:firstLine="0" w:firstLineChars="0"/>
        <w:jc w:val="center"/>
        <w:outlineLvl w:val="9"/>
        <w:rPr>
          <w:rFonts w:hint="eastAsia" w:ascii="仿宋" w:hAnsi="仿宋" w:eastAsia="仿宋"/>
          <w:b/>
          <w:color w:val="auto"/>
          <w:sz w:val="28"/>
          <w:szCs w:val="28"/>
          <w:highlight w:val="none"/>
        </w:rPr>
      </w:pPr>
    </w:p>
    <w:p w14:paraId="540030C6">
      <w:pPr>
        <w:pStyle w:val="56"/>
        <w:rPr>
          <w:rFonts w:hint="eastAsia" w:ascii="仿宋" w:hAnsi="仿宋" w:eastAsia="仿宋"/>
          <w:color w:val="auto"/>
          <w:highlight w:val="none"/>
        </w:rPr>
        <w:sectPr>
          <w:pgSz w:w="11907" w:h="16839"/>
          <w:pgMar w:top="1440" w:right="1800" w:bottom="1440" w:left="1800" w:header="851" w:footer="624" w:gutter="0"/>
          <w:pgNumType w:fmt="decimal"/>
          <w:cols w:space="720" w:num="1"/>
          <w:docGrid w:type="lines" w:linePitch="326" w:charSpace="0"/>
        </w:sectPr>
      </w:pPr>
    </w:p>
    <w:p w14:paraId="52482FD9">
      <w:pPr>
        <w:widowControl/>
        <w:spacing w:line="240" w:lineRule="auto"/>
        <w:ind w:firstLine="0" w:firstLineChars="0"/>
        <w:jc w:val="both"/>
        <w:outlineLvl w:val="2"/>
        <w:rPr>
          <w:rFonts w:hint="eastAsia" w:ascii="仿宋" w:hAnsi="仿宋" w:eastAsia="仿宋"/>
          <w:b/>
          <w:color w:val="auto"/>
          <w:sz w:val="24"/>
          <w:szCs w:val="24"/>
          <w:highlight w:val="none"/>
          <w:lang w:val="en-US" w:eastAsia="zh-CN"/>
        </w:rPr>
      </w:pPr>
      <w:bookmarkStart w:id="380" w:name="_Toc24462"/>
      <w:bookmarkStart w:id="381" w:name="_Toc1886988887"/>
      <w:r>
        <w:rPr>
          <w:rFonts w:hint="eastAsia" w:ascii="仿宋" w:hAnsi="仿宋" w:eastAsia="仿宋"/>
          <w:b/>
          <w:color w:val="auto"/>
          <w:sz w:val="24"/>
          <w:szCs w:val="24"/>
          <w:highlight w:val="none"/>
        </w:rPr>
        <w:t>附</w:t>
      </w:r>
      <w:r>
        <w:rPr>
          <w:rFonts w:hint="eastAsia" w:ascii="仿宋" w:hAnsi="仿宋" w:eastAsia="仿宋"/>
          <w:b/>
          <w:color w:val="auto"/>
          <w:sz w:val="24"/>
          <w:szCs w:val="24"/>
          <w:highlight w:val="none"/>
          <w:lang w:val="en-US" w:eastAsia="zh-CN"/>
        </w:rPr>
        <w:t>表2：还本付息表（单位：万元）</w:t>
      </w:r>
    </w:p>
    <w:tbl>
      <w:tblPr>
        <w:tblStyle w:val="31"/>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4"/>
        <w:gridCol w:w="1228"/>
        <w:gridCol w:w="685"/>
        <w:gridCol w:w="857"/>
        <w:gridCol w:w="733"/>
        <w:gridCol w:w="733"/>
        <w:gridCol w:w="733"/>
        <w:gridCol w:w="733"/>
        <w:gridCol w:w="733"/>
        <w:gridCol w:w="733"/>
        <w:gridCol w:w="733"/>
        <w:gridCol w:w="733"/>
        <w:gridCol w:w="733"/>
        <w:gridCol w:w="733"/>
        <w:gridCol w:w="733"/>
        <w:gridCol w:w="733"/>
        <w:gridCol w:w="733"/>
        <w:gridCol w:w="733"/>
        <w:gridCol w:w="733"/>
        <w:gridCol w:w="733"/>
        <w:gridCol w:w="733"/>
        <w:gridCol w:w="733"/>
        <w:gridCol w:w="733"/>
        <w:gridCol w:w="733"/>
        <w:gridCol w:w="733"/>
        <w:gridCol w:w="733"/>
        <w:gridCol w:w="733"/>
        <w:gridCol w:w="752"/>
      </w:tblGrid>
      <w:tr w14:paraId="38D47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jc w:val="center"/>
        </w:trPr>
        <w:tc>
          <w:tcPr>
            <w:tcW w:w="12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B649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序号</w:t>
            </w:r>
          </w:p>
        </w:tc>
        <w:tc>
          <w:tcPr>
            <w:tcW w:w="2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89E1B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名目</w:t>
            </w:r>
          </w:p>
        </w:tc>
        <w:tc>
          <w:tcPr>
            <w:tcW w:w="1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CFB21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合计</w:t>
            </w:r>
          </w:p>
        </w:tc>
        <w:tc>
          <w:tcPr>
            <w:tcW w:w="204" w:type="pct"/>
            <w:tcBorders>
              <w:top w:val="single" w:color="000000" w:sz="4" w:space="0"/>
              <w:left w:val="single" w:color="000000" w:sz="4" w:space="0"/>
              <w:bottom w:val="single" w:color="000000" w:sz="4" w:space="0"/>
              <w:right w:val="nil"/>
            </w:tcBorders>
            <w:shd w:val="clear" w:color="auto" w:fill="auto"/>
            <w:noWrap/>
            <w:vAlign w:val="center"/>
          </w:tcPr>
          <w:p w14:paraId="5A0ABEC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建设期</w:t>
            </w:r>
          </w:p>
        </w:tc>
        <w:tc>
          <w:tcPr>
            <w:tcW w:w="4210" w:type="pct"/>
            <w:gridSpan w:val="2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FF05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运营期</w:t>
            </w:r>
          </w:p>
        </w:tc>
      </w:tr>
      <w:tr w14:paraId="652DB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jc w:val="center"/>
        </w:trPr>
        <w:tc>
          <w:tcPr>
            <w:tcW w:w="1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8EFD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p>
        </w:tc>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86FE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p>
        </w:tc>
        <w:tc>
          <w:tcPr>
            <w:tcW w:w="1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5060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p>
        </w:tc>
        <w:tc>
          <w:tcPr>
            <w:tcW w:w="2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ED7E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1</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A669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1</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5139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2</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FDC5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3</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77BB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4</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CC32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5</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966E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6</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221E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7</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FEF5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8</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8159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9</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CA4F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10</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FC22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11</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053B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12</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4E8E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13</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7752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14</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B2EC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15</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BF41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16</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DEFE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17</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D5CE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18</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7CED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19</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9C61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20</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6A8C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21</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1752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22</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2F28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23</w:t>
            </w:r>
          </w:p>
        </w:tc>
        <w:tc>
          <w:tcPr>
            <w:tcW w:w="1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540E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b/>
                <w:bCs/>
                <w:color w:val="auto"/>
                <w:sz w:val="21"/>
                <w:szCs w:val="21"/>
                <w:lang w:val="en-US" w:eastAsia="zh-CN"/>
              </w:rPr>
            </w:pPr>
            <w:r>
              <w:rPr>
                <w:rFonts w:hint="eastAsia" w:ascii="仿宋" w:hAnsi="仿宋" w:eastAsia="仿宋"/>
                <w:b/>
                <w:bCs/>
                <w:color w:val="auto"/>
                <w:sz w:val="21"/>
                <w:szCs w:val="21"/>
                <w:lang w:val="en-US" w:eastAsia="zh-CN"/>
              </w:rPr>
              <w:t>24</w:t>
            </w:r>
          </w:p>
        </w:tc>
      </w:tr>
      <w:tr w14:paraId="779D1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6092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olor w:val="auto"/>
                <w:sz w:val="21"/>
                <w:szCs w:val="21"/>
                <w:lang w:val="en-US" w:eastAsia="zh-CN"/>
              </w:rPr>
            </w:pPr>
            <w:r>
              <w:rPr>
                <w:rFonts w:hint="eastAsia" w:ascii="仿宋" w:hAnsi="仿宋" w:eastAsia="仿宋"/>
                <w:color w:val="auto"/>
                <w:sz w:val="21"/>
                <w:szCs w:val="21"/>
                <w:lang w:val="en-US" w:eastAsia="zh-CN"/>
              </w:rPr>
              <w:t>1</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69F4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olor w:val="auto"/>
                <w:sz w:val="21"/>
                <w:szCs w:val="21"/>
                <w:lang w:val="en-US" w:eastAsia="zh-CN"/>
              </w:rPr>
            </w:pPr>
            <w:r>
              <w:rPr>
                <w:rFonts w:hint="eastAsia" w:ascii="仿宋" w:hAnsi="仿宋" w:eastAsia="仿宋"/>
                <w:color w:val="auto"/>
                <w:sz w:val="21"/>
                <w:szCs w:val="21"/>
                <w:lang w:val="en-US" w:eastAsia="zh-CN"/>
              </w:rPr>
              <w:t>借款及还本付息</w:t>
            </w:r>
          </w:p>
        </w:tc>
        <w:tc>
          <w:tcPr>
            <w:tcW w:w="1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50226">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AFDA7">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C6AF4">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E507">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72CE7">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A2D17">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B8793">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56FBE">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9327F">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973EA">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727EA">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60204">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3F0DB">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1E09E">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82FEA">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02A7F">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5BF10">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A7654">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BB23D">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FA224">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183F6">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7E321">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DE914">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E3302">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6F5DF">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3CE33">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r>
      <w:tr w14:paraId="719F9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D6EB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olor w:val="auto"/>
                <w:sz w:val="21"/>
                <w:szCs w:val="21"/>
                <w:lang w:val="en-US" w:eastAsia="zh-CN"/>
              </w:rPr>
            </w:pPr>
            <w:r>
              <w:rPr>
                <w:rFonts w:hint="eastAsia" w:ascii="仿宋" w:hAnsi="仿宋" w:eastAsia="仿宋"/>
                <w:color w:val="auto"/>
                <w:sz w:val="21"/>
                <w:szCs w:val="21"/>
                <w:lang w:val="en-US" w:eastAsia="zh-CN"/>
              </w:rPr>
              <w:t>1.1</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9803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olor w:val="auto"/>
                <w:sz w:val="21"/>
                <w:szCs w:val="21"/>
                <w:lang w:val="en-US" w:eastAsia="zh-CN"/>
              </w:rPr>
            </w:pPr>
            <w:r>
              <w:rPr>
                <w:rFonts w:hint="eastAsia" w:ascii="仿宋" w:hAnsi="仿宋" w:eastAsia="仿宋"/>
                <w:color w:val="auto"/>
                <w:sz w:val="21"/>
                <w:szCs w:val="21"/>
                <w:lang w:val="en-US" w:eastAsia="zh-CN"/>
              </w:rPr>
              <w:t>期初借款余额</w:t>
            </w:r>
          </w:p>
        </w:tc>
        <w:tc>
          <w:tcPr>
            <w:tcW w:w="1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D83DA">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653E7">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0D04D">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6700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2435C">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6493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CBEE7">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6281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C6F56">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6063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974F2">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5840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C02FA">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5611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C39E1">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5377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6F3C5">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5137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8DE4B">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4891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A5D2A">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4638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BB691">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4380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58E48">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4114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F0B9C">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3843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F503B">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3564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75AB8">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3279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60C10">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2986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085E0">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2686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F410C">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2379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7280B">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2063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EACA1">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1740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34769">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1409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02309">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1070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380D4">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722 </w:t>
            </w:r>
          </w:p>
        </w:tc>
        <w:tc>
          <w:tcPr>
            <w:tcW w:w="1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DC2A2">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365 </w:t>
            </w:r>
          </w:p>
        </w:tc>
      </w:tr>
      <w:tr w14:paraId="7EEE2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F54E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olor w:val="auto"/>
                <w:sz w:val="21"/>
                <w:szCs w:val="21"/>
                <w:lang w:val="en-US" w:eastAsia="zh-CN"/>
              </w:rPr>
            </w:pPr>
            <w:r>
              <w:rPr>
                <w:rFonts w:hint="eastAsia" w:ascii="仿宋" w:hAnsi="仿宋" w:eastAsia="仿宋"/>
                <w:color w:val="auto"/>
                <w:sz w:val="21"/>
                <w:szCs w:val="21"/>
                <w:lang w:val="en-US" w:eastAsia="zh-CN"/>
              </w:rPr>
              <w:t>1.2</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3D6D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olor w:val="auto"/>
                <w:sz w:val="21"/>
                <w:szCs w:val="21"/>
                <w:lang w:val="en-US" w:eastAsia="zh-CN"/>
              </w:rPr>
            </w:pPr>
            <w:r>
              <w:rPr>
                <w:rFonts w:hint="eastAsia" w:ascii="仿宋" w:hAnsi="仿宋" w:eastAsia="仿宋"/>
                <w:color w:val="auto"/>
                <w:sz w:val="21"/>
                <w:szCs w:val="21"/>
                <w:lang w:val="en-US" w:eastAsia="zh-CN"/>
              </w:rPr>
              <w:t>当期借款金额</w:t>
            </w:r>
          </w:p>
        </w:tc>
        <w:tc>
          <w:tcPr>
            <w:tcW w:w="1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9BB0B">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6700</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BFB4F">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6700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11E86">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1EC3F">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6A101">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F6093">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AA382">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2417D">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3DEE4">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8ED31">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6D94E">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DC9CA">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75E63">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931D9">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A0818">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278E5">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3BD7A">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87B9D">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6BCBC">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6B541">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68C77">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3A165">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742E6">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4A75B">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3AA81">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58DA4">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r>
      <w:tr w14:paraId="55EE4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5564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olor w:val="auto"/>
                <w:sz w:val="21"/>
                <w:szCs w:val="21"/>
                <w:lang w:val="en-US" w:eastAsia="zh-CN"/>
              </w:rPr>
            </w:pPr>
            <w:r>
              <w:rPr>
                <w:rFonts w:hint="eastAsia" w:ascii="仿宋" w:hAnsi="仿宋" w:eastAsia="仿宋"/>
                <w:color w:val="auto"/>
                <w:sz w:val="21"/>
                <w:szCs w:val="21"/>
                <w:lang w:val="en-US" w:eastAsia="zh-CN"/>
              </w:rPr>
              <w:t>1.3</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DF6D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olor w:val="auto"/>
                <w:sz w:val="21"/>
                <w:szCs w:val="21"/>
                <w:lang w:val="en-US" w:eastAsia="zh-CN"/>
              </w:rPr>
            </w:pPr>
            <w:r>
              <w:rPr>
                <w:rFonts w:hint="eastAsia" w:ascii="仿宋" w:hAnsi="仿宋" w:eastAsia="仿宋"/>
                <w:color w:val="auto"/>
                <w:sz w:val="21"/>
                <w:szCs w:val="21"/>
                <w:lang w:val="en-US" w:eastAsia="zh-CN"/>
              </w:rPr>
              <w:t>当期计息</w:t>
            </w:r>
          </w:p>
        </w:tc>
        <w:tc>
          <w:tcPr>
            <w:tcW w:w="1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6382D">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07A69">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3350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D8CE8">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6700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77AC5">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6493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A89E6">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6281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4847E">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6063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46763">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5840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E7200">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5611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D38AC">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5377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E936F">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5137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2F86F">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4891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41F42">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4638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496D0">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4380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86BAB">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4114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611EA">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3843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5FE54">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3564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08D3A">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3279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CFEC0">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2986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9A7D5">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2686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5C85D">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2379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56017">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2063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FD9C2">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1740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C4A8D">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1409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CFE7B">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1070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0723D">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722 </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A563A">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365 </w:t>
            </w:r>
          </w:p>
        </w:tc>
      </w:tr>
      <w:tr w14:paraId="3C153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760F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olor w:val="auto"/>
                <w:sz w:val="21"/>
                <w:szCs w:val="21"/>
                <w:lang w:val="en-US" w:eastAsia="zh-CN"/>
              </w:rPr>
            </w:pPr>
            <w:r>
              <w:rPr>
                <w:rFonts w:hint="eastAsia" w:ascii="仿宋" w:hAnsi="仿宋" w:eastAsia="仿宋"/>
                <w:color w:val="auto"/>
                <w:sz w:val="21"/>
                <w:szCs w:val="21"/>
                <w:lang w:val="en-US" w:eastAsia="zh-CN"/>
              </w:rPr>
              <w:t>2</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5BC8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olor w:val="auto"/>
                <w:sz w:val="21"/>
                <w:szCs w:val="21"/>
                <w:lang w:val="en-US" w:eastAsia="zh-CN"/>
              </w:rPr>
            </w:pPr>
            <w:r>
              <w:rPr>
                <w:rFonts w:hint="eastAsia" w:ascii="仿宋" w:hAnsi="仿宋" w:eastAsia="仿宋"/>
                <w:color w:val="auto"/>
                <w:sz w:val="21"/>
                <w:szCs w:val="21"/>
                <w:lang w:val="en-US" w:eastAsia="zh-CN"/>
              </w:rPr>
              <w:t>当期还本付息</w:t>
            </w:r>
          </w:p>
        </w:tc>
        <w:tc>
          <w:tcPr>
            <w:tcW w:w="1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F457D">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8991 </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155C6">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84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C1E8D">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A6532">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BB2E7">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DBA23">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3FB27">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A66D6">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C8607">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9C860">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F3786">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376FB">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A3F5A">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77BE5">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F15D2">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BC3D0">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7D082">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893FA">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774D5">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3C999">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8B662">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795B3">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71941">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4518D">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0F8CD">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BE9D9">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375 </w:t>
            </w:r>
          </w:p>
        </w:tc>
      </w:tr>
      <w:tr w14:paraId="723EB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6765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olor w:val="auto"/>
                <w:sz w:val="21"/>
                <w:szCs w:val="21"/>
                <w:lang w:val="en-US" w:eastAsia="zh-CN"/>
              </w:rPr>
            </w:pPr>
            <w:r>
              <w:rPr>
                <w:rFonts w:hint="eastAsia" w:ascii="仿宋" w:hAnsi="仿宋" w:eastAsia="仿宋"/>
                <w:color w:val="auto"/>
                <w:sz w:val="21"/>
                <w:szCs w:val="21"/>
                <w:lang w:val="en-US" w:eastAsia="zh-CN"/>
              </w:rPr>
              <w:t>2.1</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7D7D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olor w:val="auto"/>
                <w:sz w:val="21"/>
                <w:szCs w:val="21"/>
                <w:lang w:val="en-US" w:eastAsia="zh-CN"/>
              </w:rPr>
            </w:pPr>
            <w:r>
              <w:rPr>
                <w:rFonts w:hint="eastAsia" w:ascii="仿宋" w:hAnsi="仿宋" w:eastAsia="仿宋"/>
                <w:color w:val="auto"/>
                <w:sz w:val="21"/>
                <w:szCs w:val="21"/>
                <w:lang w:val="en-US" w:eastAsia="zh-CN"/>
              </w:rPr>
              <w:t>还本</w:t>
            </w:r>
          </w:p>
        </w:tc>
        <w:tc>
          <w:tcPr>
            <w:tcW w:w="1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7624F">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6700 </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EC217">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7DEA1">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207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FD333">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212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D81C1">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218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F35E6">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223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58E71">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229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1DCFA">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234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E38F8">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240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5F19C">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246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3E0D5">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252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0AE02">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259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EC900">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265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ACCF0">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272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3AC0C">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279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811DC">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286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E4E7F">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293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3D251">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300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73312">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307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FB191">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315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7B950">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323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0B28D">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331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1676E">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339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ABE5D">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348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34565">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357 </w:t>
            </w:r>
          </w:p>
        </w:tc>
        <w:tc>
          <w:tcPr>
            <w:tcW w:w="1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27F84">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365 </w:t>
            </w:r>
          </w:p>
        </w:tc>
      </w:tr>
      <w:tr w14:paraId="35520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DF54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olor w:val="auto"/>
                <w:sz w:val="21"/>
                <w:szCs w:val="21"/>
                <w:lang w:val="en-US" w:eastAsia="zh-CN"/>
              </w:rPr>
            </w:pPr>
            <w:r>
              <w:rPr>
                <w:rFonts w:hint="eastAsia" w:ascii="仿宋" w:hAnsi="仿宋" w:eastAsia="仿宋"/>
                <w:color w:val="auto"/>
                <w:sz w:val="21"/>
                <w:szCs w:val="21"/>
                <w:lang w:val="en-US" w:eastAsia="zh-CN"/>
              </w:rPr>
              <w:t>2.2</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FCF0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olor w:val="auto"/>
                <w:sz w:val="21"/>
                <w:szCs w:val="21"/>
                <w:lang w:val="en-US" w:eastAsia="zh-CN"/>
              </w:rPr>
            </w:pPr>
            <w:r>
              <w:rPr>
                <w:rFonts w:hint="eastAsia" w:ascii="仿宋" w:hAnsi="仿宋" w:eastAsia="仿宋"/>
                <w:color w:val="auto"/>
                <w:sz w:val="21"/>
                <w:szCs w:val="21"/>
                <w:lang w:val="en-US" w:eastAsia="zh-CN"/>
              </w:rPr>
              <w:t>付息</w:t>
            </w:r>
          </w:p>
        </w:tc>
        <w:tc>
          <w:tcPr>
            <w:tcW w:w="1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BBD9C">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2291 </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8C15F">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84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A117E">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168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346B8">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162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46B5B">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157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DA5D3">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152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BA350">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146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AD03E">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140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7BC78">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134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BC1AD">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128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5771F">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122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C5648">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116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A9F1A">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109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3BC1E">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103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A71BB">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96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8D850">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89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BB254">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82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71FF8">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75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6D7A0">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67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EC2F4">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59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13B26">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52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8236E">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44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098AD">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35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4E6D5">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27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8C815">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18 </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9D55D">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9 </w:t>
            </w:r>
          </w:p>
        </w:tc>
      </w:tr>
      <w:tr w14:paraId="6F08D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1A7E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olor w:val="auto"/>
                <w:sz w:val="21"/>
                <w:szCs w:val="21"/>
                <w:lang w:val="en-US" w:eastAsia="zh-CN"/>
              </w:rPr>
            </w:pPr>
            <w:r>
              <w:rPr>
                <w:rFonts w:hint="eastAsia" w:ascii="仿宋" w:hAnsi="仿宋" w:eastAsia="仿宋"/>
                <w:color w:val="auto"/>
                <w:sz w:val="21"/>
                <w:szCs w:val="21"/>
                <w:lang w:val="en-US" w:eastAsia="zh-CN"/>
              </w:rPr>
              <w:t>2.3</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1BCF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olor w:val="auto"/>
                <w:sz w:val="21"/>
                <w:szCs w:val="21"/>
                <w:lang w:val="en-US" w:eastAsia="zh-CN"/>
              </w:rPr>
            </w:pPr>
            <w:r>
              <w:rPr>
                <w:rFonts w:hint="eastAsia" w:ascii="仿宋" w:hAnsi="仿宋" w:eastAsia="仿宋"/>
                <w:color w:val="auto"/>
                <w:sz w:val="21"/>
                <w:szCs w:val="21"/>
                <w:lang w:val="en-US" w:eastAsia="zh-CN"/>
              </w:rPr>
              <w:t>期末余额</w:t>
            </w:r>
          </w:p>
        </w:tc>
        <w:tc>
          <w:tcPr>
            <w:tcW w:w="1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AB393">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p>
        </w:tc>
        <w:tc>
          <w:tcPr>
            <w:tcW w:w="2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F9404">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6700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A3406">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6493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251E1">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6281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62A6E">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6063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44FA8">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5840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DA904">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5611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E93BC">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5377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333CB">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5137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2EDF9">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4891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75AE0">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4638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06943">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4380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CCB42">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4114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3BEE7">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3843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B70AF">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3564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5B795">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3279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978CD">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2986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FA64C">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2686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8B3BE">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2379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E72DB">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2063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7E442">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1740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ED20E">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1409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3B7B9">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1070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E1355">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722 </w:t>
            </w:r>
          </w:p>
        </w:tc>
        <w:tc>
          <w:tcPr>
            <w:tcW w:w="1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4B3E8">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365 </w:t>
            </w:r>
          </w:p>
        </w:tc>
        <w:tc>
          <w:tcPr>
            <w:tcW w:w="1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D77B4">
            <w:pPr>
              <w:keepNext w:val="0"/>
              <w:keepLines w:val="0"/>
              <w:widowControl/>
              <w:suppressLineNumbers w:val="0"/>
              <w:spacing w:line="240" w:lineRule="auto"/>
              <w:ind w:left="0" w:leftChars="0" w:firstLine="0" w:firstLineChars="0"/>
              <w:jc w:val="center"/>
              <w:textAlignment w:val="center"/>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0 </w:t>
            </w:r>
          </w:p>
        </w:tc>
      </w:tr>
      <w:tr w14:paraId="0015B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58D0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等线" w:cs="Times New Roman"/>
                <w:color w:val="auto"/>
                <w:kern w:val="0"/>
                <w:sz w:val="18"/>
                <w:szCs w:val="18"/>
                <w:u w:val="none"/>
                <w:lang w:val="en-US" w:eastAsia="zh-CN" w:bidi="ar"/>
              </w:rPr>
            </w:pPr>
            <w:r>
              <w:rPr>
                <w:rFonts w:hint="default" w:ascii="Times New Roman" w:hAnsi="Times New Roman" w:eastAsia="等线" w:cs="Times New Roman"/>
                <w:color w:val="auto"/>
                <w:kern w:val="0"/>
                <w:sz w:val="18"/>
                <w:szCs w:val="18"/>
                <w:u w:val="none"/>
                <w:lang w:val="en-US" w:eastAsia="zh-CN" w:bidi="ar"/>
              </w:rPr>
              <w:t>3</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C463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等线" w:cs="Times New Roman"/>
                <w:color w:val="auto"/>
                <w:kern w:val="0"/>
                <w:sz w:val="18"/>
                <w:szCs w:val="18"/>
                <w:u w:val="none"/>
                <w:lang w:val="en-US" w:eastAsia="zh-CN" w:bidi="ar"/>
              </w:rPr>
            </w:pPr>
            <w:r>
              <w:rPr>
                <w:rFonts w:hint="default" w:ascii="Times New Roman" w:hAnsi="Times New Roman" w:eastAsia="等线" w:cs="Times New Roman"/>
                <w:color w:val="auto"/>
                <w:kern w:val="0"/>
                <w:sz w:val="18"/>
                <w:szCs w:val="18"/>
                <w:u w:val="none"/>
                <w:lang w:val="en-US" w:eastAsia="zh-CN" w:bidi="ar"/>
              </w:rPr>
              <w:t>项目可供偿债金额</w:t>
            </w:r>
          </w:p>
        </w:tc>
        <w:tc>
          <w:tcPr>
            <w:tcW w:w="1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5DA55">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10831 </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13678">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CFCB9">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661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1AC3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742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593FF">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550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73E38">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297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307A6">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306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AF92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377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58051">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387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8B4F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387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27F7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387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21665">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387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E9C5B">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449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7CD09">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449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808C2">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449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7ADCF">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449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41E37">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449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ED7B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454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9B48A">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454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B309F">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454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87EE8">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454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DCC2A">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454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46ACA">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459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F894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459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00488">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459 </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9D85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459 </w:t>
            </w:r>
          </w:p>
        </w:tc>
      </w:tr>
      <w:tr w14:paraId="5E725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3A4A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等线" w:cs="Times New Roman"/>
                <w:color w:val="auto"/>
                <w:kern w:val="0"/>
                <w:sz w:val="18"/>
                <w:szCs w:val="18"/>
                <w:u w:val="none"/>
                <w:lang w:val="en-US" w:eastAsia="zh-CN" w:bidi="ar"/>
              </w:rPr>
            </w:pPr>
            <w:r>
              <w:rPr>
                <w:rFonts w:hint="default" w:ascii="Times New Roman" w:hAnsi="Times New Roman" w:eastAsia="等线" w:cs="Times New Roman"/>
                <w:color w:val="auto"/>
                <w:kern w:val="0"/>
                <w:sz w:val="18"/>
                <w:szCs w:val="18"/>
                <w:u w:val="none"/>
                <w:lang w:val="en-US" w:eastAsia="zh-CN" w:bidi="ar"/>
              </w:rPr>
              <w:t>4</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B6DB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等线" w:cs="Times New Roman"/>
                <w:color w:val="auto"/>
                <w:kern w:val="0"/>
                <w:sz w:val="18"/>
                <w:szCs w:val="18"/>
                <w:u w:val="none"/>
                <w:lang w:val="en-US" w:eastAsia="zh-CN" w:bidi="ar"/>
              </w:rPr>
            </w:pPr>
            <w:r>
              <w:rPr>
                <w:rFonts w:hint="default" w:ascii="Times New Roman" w:hAnsi="Times New Roman" w:eastAsia="等线" w:cs="Times New Roman"/>
                <w:color w:val="auto"/>
                <w:kern w:val="0"/>
                <w:sz w:val="18"/>
                <w:szCs w:val="18"/>
                <w:u w:val="none"/>
                <w:lang w:val="en-US" w:eastAsia="zh-CN" w:bidi="ar"/>
              </w:rPr>
              <w:t>偿债备付率（项目）</w:t>
            </w:r>
          </w:p>
        </w:tc>
        <w:tc>
          <w:tcPr>
            <w:tcW w:w="1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4EBA8">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1.20 </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1B0DB">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E5DB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1.77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348C3">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1.98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6753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1.47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A0A8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0.79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27BA1">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0.82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4F836">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1.01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FFE0D">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1.03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048A6">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1.03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7A85A">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1.03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ED3C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1.03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A1E2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1.20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34BCA">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1.20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2D54D">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1.20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93EE5">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1.20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B6D68">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1.20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73FEF">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1.21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19D7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1.21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5E34F">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1.21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AF4F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1.21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B08EA">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1.21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B7462">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1.23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3B2BD">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1.23 </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9FF0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1.23 </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0D49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等线" w:cs="Times New Roman"/>
                <w:i w:val="0"/>
                <w:iCs w:val="0"/>
                <w:color w:val="auto"/>
                <w:kern w:val="0"/>
                <w:sz w:val="18"/>
                <w:szCs w:val="18"/>
                <w:highlight w:val="none"/>
                <w:u w:val="none"/>
                <w:lang w:val="en-US" w:eastAsia="zh-CN" w:bidi="ar"/>
              </w:rPr>
              <w:t xml:space="preserve">1.23 </w:t>
            </w:r>
          </w:p>
        </w:tc>
      </w:tr>
    </w:tbl>
    <w:p w14:paraId="3E97CDA3">
      <w:pPr>
        <w:bidi w:val="0"/>
        <w:rPr>
          <w:rFonts w:hint="eastAsia" w:ascii="仿宋" w:hAnsi="仿宋" w:eastAsia="仿宋"/>
          <w:color w:val="auto"/>
          <w:lang w:val="en-US" w:eastAsia="zh-CN"/>
        </w:rPr>
      </w:pPr>
    </w:p>
    <w:p w14:paraId="5A5EFC8A">
      <w:pPr>
        <w:bidi w:val="0"/>
        <w:rPr>
          <w:rFonts w:hint="eastAsia" w:ascii="仿宋" w:hAnsi="仿宋" w:eastAsia="仿宋"/>
          <w:color w:val="auto"/>
          <w:lang w:val="en-US" w:eastAsia="zh-CN"/>
        </w:rPr>
      </w:pPr>
    </w:p>
    <w:p w14:paraId="24393F1C">
      <w:pPr>
        <w:keepNext w:val="0"/>
        <w:keepLines w:val="0"/>
        <w:pageBreakBefore/>
        <w:widowControl/>
        <w:kinsoku/>
        <w:wordWrap/>
        <w:overflowPunct/>
        <w:topLinePunct w:val="0"/>
        <w:autoSpaceDE/>
        <w:autoSpaceDN/>
        <w:bidi w:val="0"/>
        <w:adjustRightInd/>
        <w:snapToGrid w:val="0"/>
        <w:spacing w:line="240" w:lineRule="auto"/>
        <w:ind w:firstLine="0" w:firstLineChars="0"/>
        <w:jc w:val="both"/>
        <w:textAlignment w:val="auto"/>
        <w:outlineLvl w:val="2"/>
        <w:rPr>
          <w:rFonts w:hint="eastAsia" w:ascii="仿宋" w:hAnsi="仿宋" w:eastAsia="仿宋"/>
          <w:b/>
          <w:color w:val="auto"/>
          <w:sz w:val="24"/>
          <w:szCs w:val="24"/>
          <w:highlight w:val="none"/>
        </w:rPr>
      </w:pPr>
      <w:r>
        <w:rPr>
          <w:rFonts w:hint="eastAsia" w:ascii="仿宋" w:hAnsi="仿宋" w:eastAsia="仿宋"/>
          <w:b/>
          <w:color w:val="auto"/>
          <w:sz w:val="24"/>
          <w:szCs w:val="24"/>
          <w:highlight w:val="none"/>
          <w:lang w:val="en-US" w:eastAsia="zh-CN"/>
        </w:rPr>
        <w:t>附表3：折旧摊销</w:t>
      </w:r>
      <w:r>
        <w:rPr>
          <w:rFonts w:hint="eastAsia" w:ascii="仿宋" w:hAnsi="仿宋" w:eastAsia="仿宋"/>
          <w:b/>
          <w:color w:val="auto"/>
          <w:sz w:val="24"/>
          <w:szCs w:val="24"/>
          <w:highlight w:val="none"/>
        </w:rPr>
        <w:t>表</w:t>
      </w:r>
      <w:bookmarkEnd w:id="380"/>
      <w:bookmarkEnd w:id="381"/>
      <w:r>
        <w:rPr>
          <w:rFonts w:hint="eastAsia" w:ascii="仿宋" w:hAnsi="仿宋" w:eastAsia="仿宋"/>
          <w:b/>
          <w:color w:val="auto"/>
          <w:sz w:val="24"/>
          <w:szCs w:val="24"/>
          <w:highlight w:val="none"/>
          <w:lang w:eastAsia="zh-CN"/>
        </w:rPr>
        <w:t>（</w:t>
      </w:r>
      <w:r>
        <w:rPr>
          <w:rFonts w:hint="eastAsia" w:ascii="仿宋" w:hAnsi="仿宋" w:eastAsia="仿宋"/>
          <w:b/>
          <w:color w:val="auto"/>
          <w:sz w:val="24"/>
          <w:szCs w:val="24"/>
          <w:highlight w:val="none"/>
          <w:lang w:val="en-US" w:eastAsia="zh-CN"/>
        </w:rPr>
        <w:t>单位：万元</w:t>
      </w:r>
      <w:r>
        <w:rPr>
          <w:rFonts w:hint="eastAsia" w:ascii="仿宋" w:hAnsi="仿宋" w:eastAsia="仿宋"/>
          <w:b/>
          <w:color w:val="auto"/>
          <w:sz w:val="24"/>
          <w:szCs w:val="24"/>
          <w:highlight w:val="none"/>
          <w:lang w:eastAsia="zh-CN"/>
        </w:rPr>
        <w:t>）</w:t>
      </w:r>
    </w:p>
    <w:p w14:paraId="58EBE959">
      <w:pPr>
        <w:bidi w:val="0"/>
        <w:spacing w:line="240" w:lineRule="auto"/>
        <w:rPr>
          <w:rFonts w:hint="eastAsia" w:ascii="仿宋" w:hAnsi="仿宋" w:eastAsia="仿宋"/>
          <w:color w:val="auto"/>
        </w:rPr>
      </w:pPr>
    </w:p>
    <w:p w14:paraId="5E5F678F">
      <w:pPr>
        <w:bidi w:val="0"/>
        <w:spacing w:line="240" w:lineRule="auto"/>
        <w:ind w:left="0" w:leftChars="0" w:firstLine="0" w:firstLineChars="0"/>
        <w:rPr>
          <w:rFonts w:hint="eastAsia" w:ascii="仿宋" w:hAnsi="仿宋" w:eastAsia="仿宋"/>
          <w:color w:val="auto"/>
          <w:lang w:eastAsia="zh-CN"/>
        </w:rPr>
      </w:pPr>
      <w:r>
        <w:rPr>
          <w:rFonts w:hint="eastAsia" w:ascii="仿宋" w:hAnsi="仿宋" w:eastAsia="仿宋"/>
          <w:color w:val="auto"/>
          <w:lang w:eastAsia="zh-CN"/>
        </w:rPr>
        <w:drawing>
          <wp:inline distT="0" distB="0" distL="114300" distR="114300">
            <wp:extent cx="13286105" cy="2377440"/>
            <wp:effectExtent l="0" t="0" r="3175" b="0"/>
            <wp:docPr id="21" name="图片 21" descr="005a7eba-2eb4-482a-afc8-be92b7ef5f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05a7eba-2eb4-482a-afc8-be92b7ef5fce"/>
                    <pic:cNvPicPr>
                      <a:picLocks noChangeAspect="1"/>
                    </pic:cNvPicPr>
                  </pic:nvPicPr>
                  <pic:blipFill>
                    <a:blip r:embed="rId42"/>
                    <a:stretch>
                      <a:fillRect/>
                    </a:stretch>
                  </pic:blipFill>
                  <pic:spPr>
                    <a:xfrm>
                      <a:off x="0" y="0"/>
                      <a:ext cx="13286105" cy="2377440"/>
                    </a:xfrm>
                    <a:prstGeom prst="rect">
                      <a:avLst/>
                    </a:prstGeom>
                  </pic:spPr>
                </pic:pic>
              </a:graphicData>
            </a:graphic>
          </wp:inline>
        </w:drawing>
      </w:r>
    </w:p>
    <w:p w14:paraId="32625322">
      <w:pPr>
        <w:bidi w:val="0"/>
        <w:rPr>
          <w:rFonts w:hint="eastAsia" w:ascii="仿宋" w:hAnsi="仿宋" w:eastAsia="仿宋"/>
          <w:color w:val="auto"/>
        </w:rPr>
      </w:pPr>
    </w:p>
    <w:p w14:paraId="4A7A70B7">
      <w:pPr>
        <w:bidi w:val="0"/>
        <w:rPr>
          <w:rFonts w:hint="eastAsia" w:ascii="仿宋" w:hAnsi="仿宋" w:eastAsia="仿宋"/>
          <w:color w:val="auto"/>
        </w:rPr>
      </w:pPr>
    </w:p>
    <w:p w14:paraId="19BD7182">
      <w:pPr>
        <w:rPr>
          <w:rFonts w:hint="eastAsia" w:ascii="仿宋" w:hAnsi="仿宋" w:eastAsia="仿宋"/>
          <w:color w:val="auto"/>
          <w:highlight w:val="none"/>
        </w:rPr>
      </w:pPr>
      <w:r>
        <w:rPr>
          <w:rFonts w:hint="eastAsia" w:ascii="仿宋" w:hAnsi="仿宋" w:eastAsia="仿宋"/>
          <w:color w:val="auto"/>
          <w:highlight w:val="none"/>
        </w:rPr>
        <w:br w:type="page"/>
      </w:r>
    </w:p>
    <w:p w14:paraId="076979FA">
      <w:pPr>
        <w:widowControl/>
        <w:spacing w:line="240" w:lineRule="auto"/>
        <w:ind w:firstLine="0" w:firstLineChars="0"/>
        <w:jc w:val="both"/>
        <w:outlineLvl w:val="2"/>
        <w:rPr>
          <w:rFonts w:hint="eastAsia" w:ascii="仿宋" w:hAnsi="仿宋" w:eastAsia="仿宋"/>
          <w:b/>
          <w:color w:val="auto"/>
          <w:sz w:val="24"/>
          <w:szCs w:val="24"/>
          <w:highlight w:val="none"/>
          <w:lang w:val="en-US" w:eastAsia="zh-CN"/>
        </w:rPr>
      </w:pPr>
      <w:bookmarkStart w:id="382" w:name="_Toc5274"/>
      <w:bookmarkStart w:id="383" w:name="_Toc583724913"/>
      <w:r>
        <w:rPr>
          <w:rFonts w:hint="eastAsia" w:ascii="仿宋" w:hAnsi="仿宋" w:eastAsia="仿宋"/>
          <w:b/>
          <w:color w:val="auto"/>
          <w:sz w:val="24"/>
          <w:szCs w:val="24"/>
          <w:highlight w:val="none"/>
        </w:rPr>
        <w:t>附</w:t>
      </w:r>
      <w:r>
        <w:rPr>
          <w:rFonts w:hint="eastAsia" w:ascii="仿宋" w:hAnsi="仿宋" w:eastAsia="仿宋"/>
          <w:b/>
          <w:color w:val="auto"/>
          <w:sz w:val="24"/>
          <w:szCs w:val="24"/>
          <w:highlight w:val="none"/>
          <w:lang w:val="en-US" w:eastAsia="zh-CN"/>
        </w:rPr>
        <w:t>表4：成本费用表</w:t>
      </w:r>
      <w:bookmarkEnd w:id="382"/>
      <w:bookmarkEnd w:id="383"/>
      <w:r>
        <w:rPr>
          <w:rFonts w:hint="eastAsia" w:ascii="仿宋" w:hAnsi="仿宋" w:eastAsia="仿宋"/>
          <w:b/>
          <w:color w:val="auto"/>
          <w:sz w:val="24"/>
          <w:szCs w:val="24"/>
          <w:highlight w:val="none"/>
          <w:lang w:val="en-US" w:eastAsia="zh-CN"/>
        </w:rPr>
        <w:t>（单位：万元）</w:t>
      </w:r>
    </w:p>
    <w:p w14:paraId="746CE054">
      <w:pPr>
        <w:widowControl/>
        <w:spacing w:line="240" w:lineRule="auto"/>
        <w:ind w:firstLine="0" w:firstLineChars="0"/>
        <w:jc w:val="both"/>
        <w:outlineLvl w:val="9"/>
        <w:rPr>
          <w:rFonts w:hint="eastAsia" w:ascii="仿宋" w:hAnsi="仿宋" w:eastAsia="仿宋"/>
          <w:b/>
          <w:color w:val="auto"/>
          <w:sz w:val="24"/>
          <w:szCs w:val="24"/>
          <w:highlight w:val="none"/>
          <w:lang w:val="en-US" w:eastAsia="zh-CN"/>
        </w:rPr>
      </w:pPr>
      <w:r>
        <w:rPr>
          <w:rFonts w:hint="eastAsia" w:ascii="仿宋" w:hAnsi="仿宋" w:eastAsia="仿宋"/>
          <w:b/>
          <w:color w:val="auto"/>
          <w:sz w:val="24"/>
          <w:szCs w:val="24"/>
          <w:highlight w:val="none"/>
          <w:lang w:val="en-US" w:eastAsia="zh-CN"/>
        </w:rPr>
        <w:drawing>
          <wp:inline distT="0" distB="0" distL="114300" distR="114300">
            <wp:extent cx="13281660" cy="3608705"/>
            <wp:effectExtent l="0" t="0" r="7620" b="3175"/>
            <wp:docPr id="22" name="图片 22" descr="a6e6c817-2b19-4332-b49a-b7e2c35d0f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a6e6c817-2b19-4332-b49a-b7e2c35d0fe7"/>
                    <pic:cNvPicPr>
                      <a:picLocks noChangeAspect="1"/>
                    </pic:cNvPicPr>
                  </pic:nvPicPr>
                  <pic:blipFill>
                    <a:blip r:embed="rId43"/>
                    <a:stretch>
                      <a:fillRect/>
                    </a:stretch>
                  </pic:blipFill>
                  <pic:spPr>
                    <a:xfrm>
                      <a:off x="0" y="0"/>
                      <a:ext cx="13281660" cy="3608705"/>
                    </a:xfrm>
                    <a:prstGeom prst="rect">
                      <a:avLst/>
                    </a:prstGeom>
                  </pic:spPr>
                </pic:pic>
              </a:graphicData>
            </a:graphic>
          </wp:inline>
        </w:drawing>
      </w:r>
    </w:p>
    <w:p w14:paraId="14157408">
      <w:pPr>
        <w:widowControl/>
        <w:spacing w:line="240" w:lineRule="auto"/>
        <w:ind w:firstLine="0" w:firstLineChars="0"/>
        <w:jc w:val="both"/>
        <w:outlineLvl w:val="9"/>
        <w:rPr>
          <w:rFonts w:hint="eastAsia" w:ascii="仿宋" w:hAnsi="仿宋" w:eastAsia="仿宋"/>
          <w:b/>
          <w:color w:val="auto"/>
          <w:sz w:val="24"/>
          <w:szCs w:val="24"/>
          <w:highlight w:val="none"/>
          <w:lang w:val="en-US" w:eastAsia="zh-CN"/>
        </w:rPr>
      </w:pPr>
    </w:p>
    <w:p w14:paraId="11CD6672">
      <w:pPr>
        <w:widowControl/>
        <w:spacing w:line="240" w:lineRule="auto"/>
        <w:ind w:firstLine="0" w:firstLineChars="0"/>
        <w:jc w:val="both"/>
        <w:outlineLvl w:val="9"/>
        <w:rPr>
          <w:rFonts w:hint="eastAsia" w:ascii="仿宋" w:hAnsi="仿宋" w:eastAsia="仿宋"/>
          <w:b/>
          <w:color w:val="auto"/>
          <w:sz w:val="24"/>
          <w:szCs w:val="24"/>
          <w:highlight w:val="none"/>
          <w:lang w:val="en-US" w:eastAsia="zh-CN"/>
        </w:rPr>
      </w:pPr>
    </w:p>
    <w:p w14:paraId="1A7CCE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仿宋" w:hAnsi="仿宋" w:eastAsia="仿宋"/>
          <w:color w:val="auto"/>
          <w:highlight w:val="none"/>
        </w:rPr>
      </w:pPr>
    </w:p>
    <w:p w14:paraId="6D2E6B08">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ascii="仿宋" w:hAnsi="仿宋" w:eastAsia="仿宋"/>
          <w:color w:val="auto"/>
          <w:highlight w:val="none"/>
        </w:rPr>
      </w:pPr>
    </w:p>
    <w:p w14:paraId="781D6030">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ascii="仿宋" w:hAnsi="仿宋" w:eastAsia="仿宋"/>
          <w:color w:val="auto"/>
          <w:highlight w:val="none"/>
        </w:rPr>
      </w:pPr>
    </w:p>
    <w:p w14:paraId="2152FE13">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ascii="仿宋" w:hAnsi="仿宋" w:eastAsia="仿宋" w:cs="仿宋"/>
          <w:color w:val="auto"/>
          <w:highlight w:val="none"/>
        </w:rPr>
      </w:pPr>
    </w:p>
    <w:p w14:paraId="3778B8F1">
      <w:pPr>
        <w:outlineLvl w:val="9"/>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br w:type="page"/>
      </w:r>
    </w:p>
    <w:p w14:paraId="464BB54A">
      <w:pPr>
        <w:widowControl/>
        <w:spacing w:line="240" w:lineRule="auto"/>
        <w:ind w:firstLine="0" w:firstLineChars="0"/>
        <w:jc w:val="both"/>
        <w:outlineLvl w:val="2"/>
        <w:rPr>
          <w:rFonts w:hint="eastAsia" w:ascii="仿宋" w:hAnsi="仿宋" w:eastAsia="仿宋"/>
          <w:b/>
          <w:color w:val="auto"/>
          <w:sz w:val="24"/>
          <w:szCs w:val="24"/>
          <w:highlight w:val="none"/>
          <w:lang w:val="en-US" w:eastAsia="zh-CN"/>
        </w:rPr>
      </w:pPr>
      <w:bookmarkStart w:id="384" w:name="_Toc959313295"/>
      <w:bookmarkStart w:id="385" w:name="_Toc9112"/>
      <w:r>
        <w:rPr>
          <w:rFonts w:hint="eastAsia" w:ascii="仿宋" w:hAnsi="仿宋" w:eastAsia="仿宋"/>
          <w:b/>
          <w:color w:val="auto"/>
          <w:sz w:val="24"/>
          <w:szCs w:val="24"/>
          <w:highlight w:val="none"/>
          <w:lang w:val="en-US" w:eastAsia="zh-CN"/>
        </w:rPr>
        <w:t>附表5：运营收入表</w:t>
      </w:r>
      <w:bookmarkEnd w:id="384"/>
      <w:bookmarkEnd w:id="385"/>
      <w:r>
        <w:rPr>
          <w:rFonts w:hint="eastAsia" w:ascii="仿宋" w:hAnsi="仿宋" w:eastAsia="仿宋"/>
          <w:b/>
          <w:color w:val="auto"/>
          <w:sz w:val="24"/>
          <w:szCs w:val="24"/>
          <w:highlight w:val="none"/>
          <w:lang w:val="en-US" w:eastAsia="zh-CN"/>
        </w:rPr>
        <w:t>（单位：万元）</w:t>
      </w:r>
    </w:p>
    <w:p w14:paraId="04F696CC">
      <w:pPr>
        <w:widowControl/>
        <w:spacing w:line="240" w:lineRule="auto"/>
        <w:ind w:firstLine="0" w:firstLineChars="0"/>
        <w:jc w:val="both"/>
        <w:outlineLvl w:val="9"/>
        <w:rPr>
          <w:rFonts w:hint="eastAsia" w:ascii="仿宋" w:hAnsi="仿宋" w:eastAsia="仿宋"/>
          <w:b/>
          <w:color w:val="auto"/>
          <w:sz w:val="24"/>
          <w:szCs w:val="24"/>
          <w:highlight w:val="none"/>
          <w:lang w:val="en-US" w:eastAsia="zh-CN"/>
        </w:rPr>
      </w:pPr>
    </w:p>
    <w:p w14:paraId="11BEFF55">
      <w:pPr>
        <w:spacing w:line="240" w:lineRule="auto"/>
        <w:ind w:left="0" w:leftChars="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drawing>
          <wp:inline distT="0" distB="0" distL="114300" distR="114300">
            <wp:extent cx="13287375" cy="6000750"/>
            <wp:effectExtent l="0" t="0" r="1905" b="3810"/>
            <wp:docPr id="24" name="图片 24" descr="ff6d40ad-c772-48c5-861f-49d4003d4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ff6d40ad-c772-48c5-861f-49d4003d4525"/>
                    <pic:cNvPicPr>
                      <a:picLocks noChangeAspect="1"/>
                    </pic:cNvPicPr>
                  </pic:nvPicPr>
                  <pic:blipFill>
                    <a:blip r:embed="rId44"/>
                    <a:stretch>
                      <a:fillRect/>
                    </a:stretch>
                  </pic:blipFill>
                  <pic:spPr>
                    <a:xfrm>
                      <a:off x="0" y="0"/>
                      <a:ext cx="13287375" cy="6000750"/>
                    </a:xfrm>
                    <a:prstGeom prst="rect">
                      <a:avLst/>
                    </a:prstGeom>
                  </pic:spPr>
                </pic:pic>
              </a:graphicData>
            </a:graphic>
          </wp:inline>
        </w:drawing>
      </w:r>
      <w:r>
        <w:rPr>
          <w:rFonts w:hint="eastAsia" w:ascii="仿宋" w:hAnsi="仿宋" w:eastAsia="仿宋" w:cs="仿宋"/>
          <w:color w:val="auto"/>
          <w:highlight w:val="none"/>
        </w:rPr>
        <w:br w:type="page"/>
      </w:r>
    </w:p>
    <w:p w14:paraId="6CA09765">
      <w:pPr>
        <w:widowControl/>
        <w:spacing w:line="240" w:lineRule="auto"/>
        <w:ind w:firstLine="0" w:firstLineChars="0"/>
        <w:jc w:val="both"/>
        <w:outlineLvl w:val="2"/>
        <w:rPr>
          <w:rFonts w:hint="eastAsia" w:ascii="仿宋" w:hAnsi="仿宋" w:eastAsia="仿宋"/>
          <w:b/>
          <w:color w:val="auto"/>
          <w:sz w:val="24"/>
          <w:szCs w:val="24"/>
          <w:highlight w:val="none"/>
          <w:lang w:val="en-US" w:eastAsia="zh-CN"/>
        </w:rPr>
      </w:pPr>
      <w:bookmarkStart w:id="386" w:name="_Toc2018811036"/>
      <w:bookmarkStart w:id="387" w:name="_Toc17516"/>
      <w:r>
        <w:rPr>
          <w:rFonts w:hint="eastAsia" w:ascii="仿宋" w:hAnsi="仿宋" w:eastAsia="仿宋"/>
          <w:b/>
          <w:color w:val="auto"/>
          <w:sz w:val="24"/>
          <w:szCs w:val="24"/>
          <w:highlight w:val="none"/>
          <w:lang w:val="en-US" w:eastAsia="zh-CN"/>
        </w:rPr>
        <w:t>附表6：税金及附加表</w:t>
      </w:r>
      <w:bookmarkEnd w:id="386"/>
      <w:bookmarkEnd w:id="387"/>
      <w:r>
        <w:rPr>
          <w:rFonts w:hint="eastAsia" w:ascii="仿宋" w:hAnsi="仿宋" w:eastAsia="仿宋"/>
          <w:b/>
          <w:color w:val="auto"/>
          <w:sz w:val="24"/>
          <w:szCs w:val="24"/>
          <w:highlight w:val="none"/>
          <w:lang w:val="en-US" w:eastAsia="zh-CN"/>
        </w:rPr>
        <w:t>（单位：万元）</w:t>
      </w:r>
    </w:p>
    <w:p w14:paraId="62DD5A3D">
      <w:pPr>
        <w:widowControl/>
        <w:spacing w:line="240" w:lineRule="auto"/>
        <w:ind w:firstLine="0" w:firstLineChars="0"/>
        <w:jc w:val="left"/>
        <w:outlineLvl w:val="9"/>
        <w:rPr>
          <w:rFonts w:hint="eastAsia" w:ascii="仿宋" w:hAnsi="仿宋" w:eastAsia="仿宋"/>
          <w:color w:val="auto"/>
          <w:lang w:val="en-US" w:eastAsia="zh-CN"/>
        </w:rPr>
      </w:pPr>
    </w:p>
    <w:p w14:paraId="22983BC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drawing>
          <wp:anchor distT="0" distB="0" distL="114300" distR="114300" simplePos="0" relativeHeight="251672576" behindDoc="0" locked="0" layoutInCell="1" allowOverlap="1">
            <wp:simplePos x="0" y="0"/>
            <wp:positionH relativeFrom="column">
              <wp:posOffset>-46990</wp:posOffset>
            </wp:positionH>
            <wp:positionV relativeFrom="paragraph">
              <wp:posOffset>74930</wp:posOffset>
            </wp:positionV>
            <wp:extent cx="13709015" cy="2778125"/>
            <wp:effectExtent l="0" t="0" r="6985" b="10795"/>
            <wp:wrapSquare wrapText="bothSides"/>
            <wp:docPr id="26" name="图片 26" descr="8b977d2e-d021-4583-b51d-cb42695c5a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8b977d2e-d021-4583-b51d-cb42695c5a81"/>
                    <pic:cNvPicPr>
                      <a:picLocks noChangeAspect="1"/>
                    </pic:cNvPicPr>
                  </pic:nvPicPr>
                  <pic:blipFill>
                    <a:blip r:embed="rId45"/>
                    <a:stretch>
                      <a:fillRect/>
                    </a:stretch>
                  </pic:blipFill>
                  <pic:spPr>
                    <a:xfrm>
                      <a:off x="0" y="0"/>
                      <a:ext cx="13709015" cy="2778125"/>
                    </a:xfrm>
                    <a:prstGeom prst="rect">
                      <a:avLst/>
                    </a:prstGeom>
                  </pic:spPr>
                </pic:pic>
              </a:graphicData>
            </a:graphic>
          </wp:anchor>
        </w:drawing>
      </w:r>
    </w:p>
    <w:p w14:paraId="64657C3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auto"/>
          <w:highlight w:val="none"/>
        </w:rPr>
      </w:pPr>
      <w:r>
        <w:rPr>
          <w:rFonts w:hint="eastAsia" w:ascii="仿宋" w:hAnsi="仿宋" w:eastAsia="仿宋" w:cs="仿宋"/>
          <w:color w:val="auto"/>
          <w:highlight w:val="none"/>
        </w:rPr>
        <w:br w:type="page"/>
      </w:r>
    </w:p>
    <w:p w14:paraId="61D8E2B0">
      <w:pPr>
        <w:widowControl/>
        <w:spacing w:line="240" w:lineRule="auto"/>
        <w:ind w:firstLine="0" w:firstLineChars="0"/>
        <w:jc w:val="both"/>
        <w:outlineLvl w:val="2"/>
        <w:rPr>
          <w:rFonts w:hint="eastAsia" w:ascii="仿宋" w:hAnsi="仿宋" w:eastAsia="仿宋"/>
          <w:b/>
          <w:color w:val="auto"/>
          <w:sz w:val="24"/>
          <w:szCs w:val="24"/>
          <w:highlight w:val="none"/>
          <w:lang w:val="en-US" w:eastAsia="zh-CN"/>
        </w:rPr>
      </w:pPr>
      <w:bookmarkStart w:id="388" w:name="_Toc4407"/>
      <w:bookmarkStart w:id="389" w:name="_Toc2062943099"/>
      <w:r>
        <w:rPr>
          <w:rFonts w:hint="eastAsia" w:ascii="仿宋" w:hAnsi="仿宋" w:eastAsia="仿宋"/>
          <w:b/>
          <w:color w:val="auto"/>
          <w:sz w:val="24"/>
          <w:szCs w:val="24"/>
          <w:highlight w:val="none"/>
          <w:lang w:val="en-US" w:eastAsia="zh-CN"/>
        </w:rPr>
        <w:t>附表7：利润表</w:t>
      </w:r>
      <w:bookmarkEnd w:id="388"/>
      <w:bookmarkEnd w:id="389"/>
      <w:r>
        <w:rPr>
          <w:rFonts w:hint="eastAsia" w:ascii="仿宋" w:hAnsi="仿宋" w:eastAsia="仿宋"/>
          <w:b/>
          <w:color w:val="auto"/>
          <w:sz w:val="24"/>
          <w:szCs w:val="24"/>
          <w:highlight w:val="none"/>
          <w:lang w:val="en-US" w:eastAsia="zh-CN"/>
        </w:rPr>
        <w:t>（单位：万元）</w:t>
      </w:r>
    </w:p>
    <w:p w14:paraId="5E7D5955">
      <w:pPr>
        <w:widowControl/>
        <w:spacing w:line="240" w:lineRule="auto"/>
        <w:ind w:firstLine="0" w:firstLineChars="0"/>
        <w:jc w:val="both"/>
        <w:outlineLvl w:val="9"/>
        <w:rPr>
          <w:rFonts w:hint="eastAsia" w:ascii="仿宋" w:hAnsi="仿宋" w:eastAsia="仿宋"/>
          <w:b/>
          <w:color w:val="auto"/>
          <w:sz w:val="24"/>
          <w:szCs w:val="24"/>
          <w:highlight w:val="none"/>
          <w:lang w:val="en-US" w:eastAsia="zh-CN"/>
        </w:rPr>
      </w:pPr>
    </w:p>
    <w:p w14:paraId="286CD5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olor w:val="auto"/>
          <w:lang w:eastAsia="zh-CN"/>
        </w:rPr>
      </w:pPr>
      <w:r>
        <w:rPr>
          <w:rFonts w:hint="eastAsia" w:ascii="仿宋" w:hAnsi="仿宋" w:eastAsia="仿宋"/>
          <w:color w:val="auto"/>
          <w:lang w:eastAsia="zh-CN"/>
        </w:rPr>
        <w:drawing>
          <wp:inline distT="0" distB="0" distL="114300" distR="114300">
            <wp:extent cx="13554075" cy="3319780"/>
            <wp:effectExtent l="0" t="0" r="9525" b="2540"/>
            <wp:docPr id="27" name="图片 27" descr="1cc55584-75b4-4a00-9cf9-59b9516188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cc55584-75b4-4a00-9cf9-59b95161886e"/>
                    <pic:cNvPicPr>
                      <a:picLocks noChangeAspect="1"/>
                    </pic:cNvPicPr>
                  </pic:nvPicPr>
                  <pic:blipFill>
                    <a:blip r:embed="rId46"/>
                    <a:stretch>
                      <a:fillRect/>
                    </a:stretch>
                  </pic:blipFill>
                  <pic:spPr>
                    <a:xfrm>
                      <a:off x="0" y="0"/>
                      <a:ext cx="13554075" cy="3319780"/>
                    </a:xfrm>
                    <a:prstGeom prst="rect">
                      <a:avLst/>
                    </a:prstGeom>
                  </pic:spPr>
                </pic:pic>
              </a:graphicData>
            </a:graphic>
          </wp:inline>
        </w:drawing>
      </w:r>
    </w:p>
    <w:p w14:paraId="3250633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仿宋" w:hAnsi="仿宋" w:eastAsia="仿宋"/>
          <w:color w:val="auto"/>
          <w:lang w:eastAsia="zh-CN"/>
        </w:rPr>
      </w:pPr>
    </w:p>
    <w:p w14:paraId="5D4357D8">
      <w:pPr>
        <w:ind w:firstLine="0" w:firstLineChars="0"/>
        <w:jc w:val="center"/>
        <w:rPr>
          <w:rFonts w:hint="eastAsia" w:ascii="仿宋" w:hAnsi="仿宋" w:eastAsia="仿宋"/>
          <w:color w:val="auto"/>
          <w:highlight w:val="none"/>
        </w:rPr>
      </w:pPr>
      <w:r>
        <w:rPr>
          <w:rFonts w:hint="eastAsia" w:ascii="仿宋" w:hAnsi="仿宋" w:eastAsia="仿宋"/>
          <w:color w:val="auto"/>
          <w:highlight w:val="none"/>
        </w:rPr>
        <w:br w:type="page"/>
      </w:r>
    </w:p>
    <w:p w14:paraId="28BB2CB6">
      <w:pPr>
        <w:widowControl/>
        <w:spacing w:line="240" w:lineRule="auto"/>
        <w:ind w:firstLine="0" w:firstLineChars="0"/>
        <w:jc w:val="both"/>
        <w:outlineLvl w:val="2"/>
        <w:rPr>
          <w:rFonts w:hint="eastAsia" w:ascii="仿宋" w:hAnsi="仿宋" w:eastAsia="仿宋"/>
          <w:b/>
          <w:color w:val="auto"/>
          <w:sz w:val="24"/>
          <w:szCs w:val="24"/>
          <w:highlight w:val="none"/>
          <w:lang w:val="en-US" w:eastAsia="zh-CN"/>
        </w:rPr>
      </w:pPr>
      <w:bookmarkStart w:id="390" w:name="_Toc761184078"/>
      <w:bookmarkStart w:id="391" w:name="_Toc4855"/>
      <w:r>
        <w:rPr>
          <w:rFonts w:hint="eastAsia" w:ascii="仿宋" w:hAnsi="仿宋" w:eastAsia="仿宋"/>
          <w:b/>
          <w:color w:val="auto"/>
          <w:sz w:val="24"/>
          <w:szCs w:val="24"/>
          <w:highlight w:val="none"/>
          <w:lang w:val="en-US" w:eastAsia="zh-CN"/>
        </w:rPr>
        <w:t>附表8：全投资现金流量表</w:t>
      </w:r>
      <w:bookmarkEnd w:id="390"/>
      <w:bookmarkEnd w:id="391"/>
      <w:r>
        <w:rPr>
          <w:rFonts w:hint="eastAsia" w:ascii="仿宋" w:hAnsi="仿宋" w:eastAsia="仿宋"/>
          <w:b/>
          <w:color w:val="auto"/>
          <w:sz w:val="24"/>
          <w:szCs w:val="24"/>
          <w:highlight w:val="none"/>
          <w:lang w:val="en-US" w:eastAsia="zh-CN"/>
        </w:rPr>
        <w:t>（单位：万元）</w:t>
      </w:r>
    </w:p>
    <w:p w14:paraId="65C38EC0">
      <w:pPr>
        <w:widowControl/>
        <w:spacing w:line="240" w:lineRule="auto"/>
        <w:ind w:firstLine="0" w:firstLineChars="0"/>
        <w:jc w:val="both"/>
        <w:outlineLvl w:val="9"/>
        <w:rPr>
          <w:rFonts w:hint="eastAsia" w:ascii="仿宋" w:hAnsi="仿宋" w:eastAsia="仿宋"/>
          <w:b/>
          <w:color w:val="auto"/>
          <w:sz w:val="24"/>
          <w:szCs w:val="24"/>
          <w:highlight w:val="none"/>
          <w:lang w:val="en-US" w:eastAsia="zh-CN"/>
        </w:rPr>
      </w:pPr>
    </w:p>
    <w:p w14:paraId="2D2D2DCE">
      <w:pPr>
        <w:widowControl/>
        <w:spacing w:line="240" w:lineRule="auto"/>
        <w:ind w:firstLine="0" w:firstLineChars="0"/>
        <w:jc w:val="left"/>
        <w:outlineLvl w:val="9"/>
        <w:rPr>
          <w:rFonts w:hint="eastAsia" w:ascii="仿宋" w:hAnsi="仿宋" w:eastAsia="仿宋"/>
          <w:color w:val="auto"/>
          <w:lang w:val="en-US" w:eastAsia="zh-CN"/>
        </w:rPr>
      </w:pPr>
      <w:r>
        <w:rPr>
          <w:rFonts w:hint="eastAsia" w:ascii="仿宋" w:hAnsi="仿宋" w:eastAsia="仿宋"/>
          <w:color w:val="auto"/>
          <w:lang w:val="en-US" w:eastAsia="zh-CN"/>
        </w:rPr>
        <w:drawing>
          <wp:inline distT="0" distB="0" distL="114300" distR="114300">
            <wp:extent cx="13284835" cy="3486785"/>
            <wp:effectExtent l="0" t="0" r="4445" b="3175"/>
            <wp:docPr id="28" name="图片 28" descr="44c7d62d-9351-493d-b840-95f9adc6d0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44c7d62d-9351-493d-b840-95f9adc6d0be"/>
                    <pic:cNvPicPr>
                      <a:picLocks noChangeAspect="1"/>
                    </pic:cNvPicPr>
                  </pic:nvPicPr>
                  <pic:blipFill>
                    <a:blip r:embed="rId47"/>
                    <a:stretch>
                      <a:fillRect/>
                    </a:stretch>
                  </pic:blipFill>
                  <pic:spPr>
                    <a:xfrm>
                      <a:off x="0" y="0"/>
                      <a:ext cx="13284835" cy="3486785"/>
                    </a:xfrm>
                    <a:prstGeom prst="rect">
                      <a:avLst/>
                    </a:prstGeom>
                  </pic:spPr>
                </pic:pic>
              </a:graphicData>
            </a:graphic>
          </wp:inline>
        </w:drawing>
      </w:r>
    </w:p>
    <w:p w14:paraId="44401980">
      <w:pPr>
        <w:bidi w:val="0"/>
        <w:rPr>
          <w:rFonts w:hint="eastAsia" w:ascii="仿宋" w:hAnsi="仿宋" w:eastAsia="仿宋"/>
          <w:color w:val="auto"/>
          <w:lang w:val="en-US" w:eastAsia="zh-CN"/>
        </w:rPr>
      </w:pPr>
    </w:p>
    <w:p w14:paraId="5D07CB74">
      <w:pPr>
        <w:bidi w:val="0"/>
        <w:spacing w:line="240" w:lineRule="auto"/>
        <w:ind w:left="0" w:leftChars="0" w:firstLine="0" w:firstLineChars="0"/>
        <w:rPr>
          <w:rFonts w:hint="eastAsia" w:ascii="仿宋" w:hAnsi="仿宋" w:eastAsia="仿宋"/>
          <w:color w:val="auto"/>
          <w:lang w:val="en-US" w:eastAsia="zh-CN"/>
        </w:rPr>
      </w:pPr>
    </w:p>
    <w:p w14:paraId="12D94000">
      <w:pPr>
        <w:bidi w:val="0"/>
        <w:rPr>
          <w:rFonts w:hint="eastAsia" w:ascii="仿宋" w:hAnsi="仿宋" w:eastAsia="仿宋"/>
          <w:color w:val="auto"/>
          <w:lang w:val="en-US" w:eastAsia="zh-CN"/>
        </w:rPr>
      </w:pPr>
    </w:p>
    <w:p w14:paraId="10022DD2">
      <w:pPr>
        <w:bidi w:val="0"/>
        <w:rPr>
          <w:rFonts w:hint="eastAsia" w:ascii="仿宋" w:hAnsi="仿宋" w:eastAsia="仿宋"/>
          <w:color w:val="auto"/>
          <w:lang w:val="en-US" w:eastAsia="zh-CN"/>
        </w:rPr>
      </w:pPr>
    </w:p>
    <w:p w14:paraId="083F4BD0">
      <w:pPr>
        <w:bidi w:val="0"/>
        <w:rPr>
          <w:rFonts w:hint="eastAsia" w:ascii="仿宋" w:hAnsi="仿宋" w:eastAsia="仿宋"/>
          <w:color w:val="auto"/>
          <w:lang w:val="en-US" w:eastAsia="zh-CN"/>
        </w:rPr>
      </w:pPr>
    </w:p>
    <w:p w14:paraId="20C96DC3">
      <w:pPr>
        <w:bidi w:val="0"/>
        <w:rPr>
          <w:rFonts w:hint="eastAsia" w:ascii="仿宋" w:hAnsi="仿宋" w:eastAsia="仿宋"/>
          <w:color w:val="auto"/>
          <w:lang w:val="en-US" w:eastAsia="zh-CN"/>
        </w:rPr>
      </w:pPr>
    </w:p>
    <w:p w14:paraId="443ABB3D">
      <w:pPr>
        <w:bidi w:val="0"/>
        <w:rPr>
          <w:rFonts w:hint="eastAsia" w:ascii="仿宋" w:hAnsi="仿宋" w:eastAsia="仿宋"/>
          <w:color w:val="auto"/>
          <w:lang w:val="en-US" w:eastAsia="zh-CN"/>
        </w:rPr>
      </w:pPr>
    </w:p>
    <w:p w14:paraId="3B5119EC">
      <w:pPr>
        <w:bidi w:val="0"/>
        <w:rPr>
          <w:rFonts w:hint="eastAsia" w:ascii="仿宋" w:hAnsi="仿宋" w:eastAsia="仿宋"/>
          <w:color w:val="auto"/>
          <w:lang w:val="en-US" w:eastAsia="zh-CN"/>
        </w:rPr>
      </w:pPr>
    </w:p>
    <w:p w14:paraId="41E8F868">
      <w:pPr>
        <w:bidi w:val="0"/>
        <w:rPr>
          <w:rFonts w:hint="eastAsia" w:ascii="仿宋" w:hAnsi="仿宋" w:eastAsia="仿宋"/>
          <w:color w:val="auto"/>
          <w:lang w:val="en-US" w:eastAsia="zh-CN"/>
        </w:rPr>
      </w:pPr>
    </w:p>
    <w:p w14:paraId="781037DF">
      <w:pPr>
        <w:bidi w:val="0"/>
        <w:rPr>
          <w:rFonts w:hint="eastAsia" w:ascii="仿宋" w:hAnsi="仿宋" w:eastAsia="仿宋"/>
          <w:color w:val="auto"/>
          <w:lang w:val="en-US" w:eastAsia="zh-CN"/>
        </w:rPr>
      </w:pPr>
    </w:p>
    <w:p w14:paraId="440E2B7B">
      <w:pPr>
        <w:bidi w:val="0"/>
        <w:rPr>
          <w:rFonts w:hint="eastAsia" w:ascii="仿宋" w:hAnsi="仿宋" w:eastAsia="仿宋"/>
          <w:color w:val="auto"/>
          <w:lang w:val="en-US" w:eastAsia="zh-CN"/>
        </w:rPr>
      </w:pPr>
    </w:p>
    <w:p w14:paraId="0B551EE8">
      <w:pPr>
        <w:bidi w:val="0"/>
        <w:rPr>
          <w:rFonts w:hint="eastAsia" w:ascii="仿宋" w:hAnsi="仿宋" w:eastAsia="仿宋"/>
          <w:color w:val="auto"/>
          <w:lang w:val="en-US" w:eastAsia="zh-CN"/>
        </w:rPr>
      </w:pPr>
    </w:p>
    <w:p w14:paraId="518404DE">
      <w:pPr>
        <w:bidi w:val="0"/>
        <w:rPr>
          <w:rFonts w:hint="eastAsia" w:ascii="仿宋" w:hAnsi="仿宋" w:eastAsia="仿宋"/>
          <w:color w:val="auto"/>
          <w:lang w:val="en-US" w:eastAsia="zh-CN"/>
        </w:rPr>
      </w:pPr>
    </w:p>
    <w:p w14:paraId="7D3864BB">
      <w:pPr>
        <w:widowControl/>
        <w:spacing w:line="240" w:lineRule="auto"/>
        <w:ind w:firstLine="0" w:firstLineChars="0"/>
        <w:jc w:val="both"/>
        <w:outlineLvl w:val="2"/>
        <w:rPr>
          <w:rFonts w:hint="eastAsia" w:ascii="仿宋" w:hAnsi="仿宋" w:eastAsia="仿宋"/>
          <w:b/>
          <w:color w:val="auto"/>
          <w:sz w:val="24"/>
          <w:szCs w:val="24"/>
          <w:highlight w:val="none"/>
          <w:lang w:val="en-US" w:eastAsia="zh-CN"/>
        </w:rPr>
      </w:pPr>
      <w:r>
        <w:rPr>
          <w:rFonts w:hint="eastAsia" w:ascii="仿宋" w:hAnsi="仿宋" w:eastAsia="仿宋"/>
          <w:b/>
          <w:color w:val="auto"/>
          <w:sz w:val="24"/>
          <w:szCs w:val="24"/>
          <w:highlight w:val="none"/>
          <w:lang w:val="en-US" w:eastAsia="zh-CN"/>
        </w:rPr>
        <w:t>附表9：资本金现金流量表（单位：万元）</w:t>
      </w:r>
    </w:p>
    <w:p w14:paraId="5A90BE66">
      <w:pPr>
        <w:widowControl/>
        <w:spacing w:line="240" w:lineRule="auto"/>
        <w:ind w:firstLine="0" w:firstLineChars="0"/>
        <w:jc w:val="left"/>
        <w:outlineLvl w:val="9"/>
        <w:rPr>
          <w:rFonts w:hint="eastAsia" w:ascii="仿宋" w:hAnsi="仿宋" w:eastAsia="仿宋"/>
          <w:color w:val="auto"/>
          <w:lang w:val="en-US" w:eastAsia="zh-CN"/>
        </w:rPr>
      </w:pPr>
      <w:r>
        <w:rPr>
          <w:rFonts w:hint="eastAsia" w:ascii="仿宋" w:hAnsi="仿宋" w:eastAsia="仿宋"/>
          <w:color w:val="auto"/>
          <w:lang w:val="en-US" w:eastAsia="zh-CN"/>
        </w:rPr>
        <w:drawing>
          <wp:inline distT="0" distB="0" distL="114300" distR="114300">
            <wp:extent cx="13548360" cy="3949700"/>
            <wp:effectExtent l="0" t="0" r="0" b="12700"/>
            <wp:docPr id="29" name="图片 29" descr="858423a2-0ef7-47e7-820a-51090709a2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858423a2-0ef7-47e7-820a-51090709a2df"/>
                    <pic:cNvPicPr>
                      <a:picLocks noChangeAspect="1"/>
                    </pic:cNvPicPr>
                  </pic:nvPicPr>
                  <pic:blipFill>
                    <a:blip r:embed="rId48"/>
                    <a:stretch>
                      <a:fillRect/>
                    </a:stretch>
                  </pic:blipFill>
                  <pic:spPr>
                    <a:xfrm>
                      <a:off x="0" y="0"/>
                      <a:ext cx="13548360" cy="3949700"/>
                    </a:xfrm>
                    <a:prstGeom prst="rect">
                      <a:avLst/>
                    </a:prstGeom>
                  </pic:spPr>
                </pic:pic>
              </a:graphicData>
            </a:graphic>
          </wp:inline>
        </w:drawing>
      </w:r>
    </w:p>
    <w:p w14:paraId="2B0D1ACB">
      <w:pPr>
        <w:bidi w:val="0"/>
        <w:spacing w:line="240" w:lineRule="auto"/>
        <w:ind w:left="0" w:leftChars="0" w:firstLine="0" w:firstLineChars="0"/>
        <w:rPr>
          <w:rFonts w:hint="eastAsia" w:ascii="仿宋" w:hAnsi="仿宋" w:eastAsia="仿宋"/>
          <w:color w:val="auto"/>
        </w:rPr>
      </w:pPr>
    </w:p>
    <w:p w14:paraId="7CB09216">
      <w:pPr>
        <w:bidi w:val="0"/>
        <w:rPr>
          <w:rFonts w:hint="eastAsia" w:ascii="仿宋" w:hAnsi="仿宋" w:eastAsia="仿宋"/>
          <w:color w:val="auto"/>
        </w:rPr>
        <w:sectPr>
          <w:pgSz w:w="23811" w:h="16838" w:orient="landscape"/>
          <w:pgMar w:top="1803" w:right="1440" w:bottom="1803" w:left="1440" w:header="851" w:footer="624" w:gutter="0"/>
          <w:pgNumType w:fmt="decimal"/>
          <w:cols w:space="425" w:num="1"/>
          <w:rtlGutter w:val="0"/>
          <w:docGrid w:type="lines" w:linePitch="332" w:charSpace="0"/>
        </w:sectPr>
      </w:pPr>
    </w:p>
    <w:p w14:paraId="0B9A0471">
      <w:pPr>
        <w:pStyle w:val="3"/>
        <w:bidi w:val="0"/>
        <w:ind w:left="575" w:hanging="575"/>
        <w:rPr>
          <w:rFonts w:hint="default" w:ascii="仿宋" w:hAnsi="仿宋" w:eastAsia="仿宋" w:cs="仿宋"/>
          <w:color w:val="auto"/>
          <w:highlight w:val="none"/>
          <w:lang w:val="en-US" w:eastAsia="zh-CN"/>
        </w:rPr>
      </w:pPr>
      <w:bookmarkStart w:id="392" w:name="_Toc26027"/>
      <w:bookmarkStart w:id="393" w:name="_Toc6205"/>
      <w:r>
        <w:rPr>
          <w:rFonts w:hint="eastAsia" w:ascii="仿宋" w:hAnsi="仿宋" w:eastAsia="仿宋" w:cs="仿宋"/>
          <w:color w:val="auto"/>
          <w:highlight w:val="none"/>
          <w:lang w:val="en-US" w:eastAsia="zh-CN"/>
        </w:rPr>
        <w:t>附件</w:t>
      </w:r>
      <w:bookmarkEnd w:id="392"/>
      <w:bookmarkEnd w:id="393"/>
    </w:p>
    <w:p w14:paraId="7789ECFB">
      <w:pPr>
        <w:pStyle w:val="4"/>
        <w:numPr>
          <w:ilvl w:val="2"/>
          <w:numId w:val="0"/>
        </w:numPr>
        <w:ind w:leftChars="0"/>
        <w:rPr>
          <w:rFonts w:hint="eastAsia"/>
          <w:lang w:val="en-US" w:eastAsia="zh-CN"/>
        </w:rPr>
      </w:pPr>
      <w:r>
        <w:rPr>
          <w:rFonts w:hint="eastAsia"/>
          <w:lang w:val="en-US" w:eastAsia="zh-CN"/>
        </w:rPr>
        <w:t>附件1 政府授权文件</w:t>
      </w:r>
    </w:p>
    <w:p w14:paraId="71B492CB">
      <w:pPr>
        <w:spacing w:line="240" w:lineRule="auto"/>
        <w:ind w:left="0" w:leftChars="0" w:firstLine="0" w:firstLineChars="0"/>
        <w:rPr>
          <w:rFonts w:hint="default"/>
          <w:lang w:val="en-US" w:eastAsia="zh-CN"/>
        </w:rPr>
        <w:sectPr>
          <w:pgSz w:w="16838" w:h="23811"/>
          <w:pgMar w:top="1440" w:right="1803" w:bottom="1440" w:left="1803" w:header="851" w:footer="624" w:gutter="0"/>
          <w:pgNumType w:fmt="decimal"/>
          <w:cols w:space="425" w:num="1"/>
          <w:rtlGutter w:val="0"/>
          <w:docGrid w:type="lines" w:linePitch="332" w:charSpace="0"/>
        </w:sectPr>
      </w:pPr>
      <w:r>
        <w:rPr>
          <w:rFonts w:hint="default"/>
          <w:lang w:val="en-US" w:eastAsia="zh-CN"/>
        </w:rPr>
        <w:drawing>
          <wp:inline distT="0" distB="0" distL="114300" distR="114300">
            <wp:extent cx="8082915" cy="11698605"/>
            <wp:effectExtent l="0" t="0" r="9525" b="5715"/>
            <wp:docPr id="15" name="图片 15" descr="密东广场地块规综方案编制报审和地下停车场项目推进专题会议纪要2025.12.29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密东广场地块规综方案编制报审和地下停车场项目推进专题会议纪要2025.12.29_01"/>
                    <pic:cNvPicPr>
                      <a:picLocks noChangeAspect="1"/>
                    </pic:cNvPicPr>
                  </pic:nvPicPr>
                  <pic:blipFill>
                    <a:blip r:embed="rId49"/>
                    <a:stretch>
                      <a:fillRect/>
                    </a:stretch>
                  </pic:blipFill>
                  <pic:spPr>
                    <a:xfrm>
                      <a:off x="0" y="0"/>
                      <a:ext cx="8082915" cy="11698605"/>
                    </a:xfrm>
                    <a:prstGeom prst="rect">
                      <a:avLst/>
                    </a:prstGeom>
                  </pic:spPr>
                </pic:pic>
              </a:graphicData>
            </a:graphic>
          </wp:inline>
        </w:drawing>
      </w:r>
      <w:r>
        <w:rPr>
          <w:rFonts w:hint="default"/>
          <w:lang w:val="en-US" w:eastAsia="zh-CN"/>
        </w:rPr>
        <w:drawing>
          <wp:inline distT="0" distB="0" distL="114300" distR="114300">
            <wp:extent cx="8394700" cy="11884025"/>
            <wp:effectExtent l="0" t="0" r="2540" b="3175"/>
            <wp:docPr id="8" name="图片 8" descr="密东广场地块规综方案编制报审和地下停车场项目推进专题会议纪要2025.12.29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密东广场地块规综方案编制报审和地下停车场项目推进专题会议纪要2025.12.29_02"/>
                    <pic:cNvPicPr>
                      <a:picLocks noChangeAspect="1"/>
                    </pic:cNvPicPr>
                  </pic:nvPicPr>
                  <pic:blipFill>
                    <a:blip r:embed="rId50"/>
                    <a:stretch>
                      <a:fillRect/>
                    </a:stretch>
                  </pic:blipFill>
                  <pic:spPr>
                    <a:xfrm>
                      <a:off x="0" y="0"/>
                      <a:ext cx="8394700" cy="11884025"/>
                    </a:xfrm>
                    <a:prstGeom prst="rect">
                      <a:avLst/>
                    </a:prstGeom>
                  </pic:spPr>
                </pic:pic>
              </a:graphicData>
            </a:graphic>
          </wp:inline>
        </w:drawing>
      </w:r>
    </w:p>
    <w:p w14:paraId="3C713137">
      <w:pPr>
        <w:pStyle w:val="4"/>
        <w:numPr>
          <w:ilvl w:val="2"/>
          <w:numId w:val="0"/>
        </w:numPr>
        <w:ind w:leftChars="0"/>
        <w:rPr>
          <w:rFonts w:hint="eastAsia"/>
          <w:lang w:val="en-US" w:eastAsia="zh-CN"/>
        </w:rPr>
      </w:pPr>
      <w:r>
        <w:rPr>
          <w:rFonts w:hint="eastAsia"/>
          <w:lang w:val="en-US" w:eastAsia="zh-CN"/>
        </w:rPr>
        <w:t>附件2 资金证明函</w:t>
      </w:r>
    </w:p>
    <w:p w14:paraId="2E0E1FFC">
      <w:pPr>
        <w:spacing w:line="240" w:lineRule="auto"/>
        <w:ind w:left="0" w:leftChars="0" w:firstLine="0" w:firstLineChars="0"/>
        <w:rPr>
          <w:rFonts w:hint="default"/>
          <w:lang w:val="en-US" w:eastAsia="zh-CN"/>
        </w:rPr>
      </w:pPr>
      <w:r>
        <w:rPr>
          <w:rFonts w:hint="default"/>
          <w:lang w:val="en-US" w:eastAsia="zh-CN"/>
        </w:rPr>
        <w:drawing>
          <wp:inline distT="0" distB="0" distL="114300" distR="114300">
            <wp:extent cx="8352790" cy="11932285"/>
            <wp:effectExtent l="0" t="0" r="13970" b="635"/>
            <wp:docPr id="20" name="图片 20" descr="资金证明函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资金证明函_01"/>
                    <pic:cNvPicPr>
                      <a:picLocks noChangeAspect="1"/>
                    </pic:cNvPicPr>
                  </pic:nvPicPr>
                  <pic:blipFill>
                    <a:blip r:embed="rId51"/>
                    <a:stretch>
                      <a:fillRect/>
                    </a:stretch>
                  </pic:blipFill>
                  <pic:spPr>
                    <a:xfrm>
                      <a:off x="0" y="0"/>
                      <a:ext cx="8352790" cy="11932285"/>
                    </a:xfrm>
                    <a:prstGeom prst="rect">
                      <a:avLst/>
                    </a:prstGeom>
                  </pic:spPr>
                </pic:pic>
              </a:graphicData>
            </a:graphic>
          </wp:inline>
        </w:drawing>
      </w:r>
    </w:p>
    <w:p w14:paraId="5D61F3B5">
      <w:pPr>
        <w:spacing w:line="240" w:lineRule="auto"/>
        <w:ind w:left="0" w:leftChars="0" w:firstLine="0" w:firstLineChars="0"/>
        <w:rPr>
          <w:rFonts w:hint="default"/>
          <w:lang w:val="en-US" w:eastAsia="zh-CN"/>
        </w:rPr>
      </w:pPr>
    </w:p>
    <w:p w14:paraId="65F51A6C">
      <w:pPr>
        <w:bidi w:val="0"/>
        <w:rPr>
          <w:rFonts w:hint="eastAsia" w:ascii="仿宋" w:hAnsi="仿宋" w:eastAsia="仿宋"/>
          <w:color w:val="auto"/>
        </w:rPr>
      </w:pPr>
    </w:p>
    <w:p w14:paraId="55233D59">
      <w:pPr>
        <w:spacing w:line="240" w:lineRule="auto"/>
        <w:ind w:left="0" w:leftChars="0" w:firstLine="0" w:firstLineChars="0"/>
        <w:rPr>
          <w:rFonts w:hint="default"/>
          <w:color w:val="auto"/>
          <w:lang w:val="en-US" w:eastAsia="zh-CN"/>
        </w:rPr>
      </w:pPr>
    </w:p>
    <w:p w14:paraId="7EA33DDE">
      <w:pPr>
        <w:pStyle w:val="4"/>
        <w:numPr>
          <w:ilvl w:val="2"/>
          <w:numId w:val="0"/>
        </w:numPr>
        <w:ind w:leftChars="0"/>
        <w:rPr>
          <w:rFonts w:hint="default"/>
          <w:lang w:val="en-US" w:eastAsia="zh-CN"/>
        </w:rPr>
      </w:pPr>
      <w:r>
        <w:rPr>
          <w:rFonts w:hint="eastAsia"/>
          <w:lang w:val="en-US" w:eastAsia="zh-CN"/>
        </w:rPr>
        <w:t>附件3 项目所在地块规划综合实施方案</w:t>
      </w:r>
    </w:p>
    <w:p w14:paraId="01C2ECA1">
      <w:pPr>
        <w:rPr>
          <w:color w:val="auto"/>
        </w:rPr>
      </w:pPr>
    </w:p>
    <w:p w14:paraId="4D6785D6">
      <w:pPr>
        <w:rPr>
          <w:color w:val="auto"/>
        </w:rPr>
      </w:pPr>
      <w:r>
        <w:rPr>
          <w:rFonts w:hint="eastAsia" w:eastAsia="仿宋_GB2312"/>
          <w:color w:val="auto"/>
          <w:lang w:eastAsia="zh-CN"/>
        </w:rPr>
        <w:drawing>
          <wp:anchor distT="0" distB="0" distL="114300" distR="114300" simplePos="0" relativeHeight="251673600" behindDoc="0" locked="0" layoutInCell="1" allowOverlap="1">
            <wp:simplePos x="0" y="0"/>
            <wp:positionH relativeFrom="column">
              <wp:posOffset>202565</wp:posOffset>
            </wp:positionH>
            <wp:positionV relativeFrom="paragraph">
              <wp:posOffset>290195</wp:posOffset>
            </wp:positionV>
            <wp:extent cx="8377555" cy="5916295"/>
            <wp:effectExtent l="0" t="0" r="4445" b="12065"/>
            <wp:wrapTopAndBottom/>
            <wp:docPr id="33" name="图片 33" descr="deeeceb089b14ea1431ca5a29ffca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deeeceb089b14ea1431ca5a29ffca234"/>
                    <pic:cNvPicPr>
                      <a:picLocks noChangeAspect="1"/>
                    </pic:cNvPicPr>
                  </pic:nvPicPr>
                  <pic:blipFill>
                    <a:blip r:embed="rId52"/>
                    <a:stretch>
                      <a:fillRect/>
                    </a:stretch>
                  </pic:blipFill>
                  <pic:spPr>
                    <a:xfrm>
                      <a:off x="0" y="0"/>
                      <a:ext cx="8377555" cy="5916295"/>
                    </a:xfrm>
                    <a:prstGeom prst="rect">
                      <a:avLst/>
                    </a:prstGeom>
                  </pic:spPr>
                </pic:pic>
              </a:graphicData>
            </a:graphic>
          </wp:anchor>
        </w:drawing>
      </w:r>
    </w:p>
    <w:p w14:paraId="6781FB71">
      <w:pPr>
        <w:rPr>
          <w:rFonts w:hint="eastAsia" w:eastAsia="仿宋_GB2312"/>
          <w:color w:val="auto"/>
          <w:lang w:eastAsia="zh-CN"/>
        </w:rPr>
        <w:sectPr>
          <w:pgSz w:w="16838" w:h="23811"/>
          <w:pgMar w:top="1440" w:right="1803" w:bottom="1440" w:left="1803" w:header="851" w:footer="624" w:gutter="0"/>
          <w:pgNumType w:fmt="decimal"/>
          <w:cols w:space="425" w:num="1"/>
          <w:rtlGutter w:val="0"/>
          <w:docGrid w:type="lines" w:linePitch="332" w:charSpace="0"/>
        </w:sectPr>
      </w:pPr>
    </w:p>
    <w:p w14:paraId="59C155B2">
      <w:pPr>
        <w:pStyle w:val="4"/>
        <w:numPr>
          <w:ilvl w:val="2"/>
          <w:numId w:val="0"/>
        </w:numPr>
        <w:ind w:leftChars="0"/>
        <w:rPr>
          <w:rFonts w:hint="default"/>
          <w:lang w:val="en-US" w:eastAsia="zh-CN"/>
        </w:rPr>
      </w:pPr>
      <w:bookmarkStart w:id="394" w:name="_GoBack"/>
      <w:bookmarkEnd w:id="394"/>
      <w:r>
        <w:rPr>
          <w:rFonts w:hint="eastAsia"/>
          <w:lang w:val="en-US" w:eastAsia="zh-CN"/>
        </w:rPr>
        <w:t>附件4 项目所在地块规划综合实施方案相关批复</w:t>
      </w:r>
    </w:p>
    <w:p w14:paraId="75DCE7F2">
      <w:pPr>
        <w:rPr>
          <w:rFonts w:hint="default"/>
          <w:lang w:val="en-US" w:eastAsia="zh-CN"/>
        </w:rPr>
      </w:pPr>
      <w:r>
        <w:drawing>
          <wp:anchor distT="0" distB="0" distL="114300" distR="114300" simplePos="0" relativeHeight="251674624" behindDoc="0" locked="0" layoutInCell="1" allowOverlap="1">
            <wp:simplePos x="0" y="0"/>
            <wp:positionH relativeFrom="column">
              <wp:posOffset>215900</wp:posOffset>
            </wp:positionH>
            <wp:positionV relativeFrom="paragraph">
              <wp:posOffset>618490</wp:posOffset>
            </wp:positionV>
            <wp:extent cx="8607425" cy="12014200"/>
            <wp:effectExtent l="0" t="0" r="3175" b="10160"/>
            <wp:wrapTopAndBottom/>
            <wp:docPr id="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pic:cNvPicPr>
                      <a:picLocks noChangeAspect="1"/>
                    </pic:cNvPicPr>
                  </pic:nvPicPr>
                  <pic:blipFill>
                    <a:blip r:embed="rId53"/>
                    <a:stretch>
                      <a:fillRect/>
                    </a:stretch>
                  </pic:blipFill>
                  <pic:spPr>
                    <a:xfrm>
                      <a:off x="0" y="0"/>
                      <a:ext cx="8607425" cy="12014200"/>
                    </a:xfrm>
                    <a:prstGeom prst="rect">
                      <a:avLst/>
                    </a:prstGeom>
                    <a:noFill/>
                    <a:ln>
                      <a:noFill/>
                    </a:ln>
                  </pic:spPr>
                </pic:pic>
              </a:graphicData>
            </a:graphic>
          </wp:anchor>
        </w:drawing>
      </w:r>
    </w:p>
    <w:sectPr>
      <w:pgSz w:w="16838" w:h="23811"/>
      <w:pgMar w:top="1440" w:right="1803" w:bottom="1440" w:left="1803" w:header="851" w:footer="624" w:gutter="0"/>
      <w:pgNumType w:fmt="decimal"/>
      <w:cols w:space="425" w:num="1"/>
      <w:rtlGutter w:val="0"/>
      <w:docGrid w:type="lines" w:linePitch="33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F6E20745-6C07-4B03-880A-39B8E2AB9C88}"/>
  </w:font>
  <w:font w:name="仿宋">
    <w:panose1 w:val="02010609060101010101"/>
    <w:charset w:val="86"/>
    <w:family w:val="modern"/>
    <w:pitch w:val="default"/>
    <w:sig w:usb0="800002BF" w:usb1="38CF7CFA" w:usb2="00000016" w:usb3="00000000" w:csb0="00040001" w:csb1="00000000"/>
    <w:embedRegular r:id="rId2" w:fontKey="{B4CC3DB1-03CF-4E69-8536-EA2C25DBD2F1}"/>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embedRegular r:id="rId3" w:fontKey="{BDD6B6D5-F34B-48FE-A279-F094BAC0AA2F}"/>
  </w:font>
  <w:font w:name="华文中宋">
    <w:panose1 w:val="02010600040101010101"/>
    <w:charset w:val="86"/>
    <w:family w:val="auto"/>
    <w:pitch w:val="default"/>
    <w:sig w:usb0="00000287" w:usb1="080F0000" w:usb2="00000000" w:usb3="00000000" w:csb0="0004009F" w:csb1="DFD70000"/>
    <w:embedRegular r:id="rId4" w:fontKey="{E0E2AFDE-6FCA-42E6-88E6-89737EEC55CE}"/>
  </w:font>
  <w:font w:name="等线 Light">
    <w:panose1 w:val="02010600030101010101"/>
    <w:charset w:val="86"/>
    <w:family w:val="auto"/>
    <w:pitch w:val="default"/>
    <w:sig w:usb0="A00002BF" w:usb1="38CF7CFA" w:usb2="00000016" w:usb3="00000000" w:csb0="0004000F" w:csb1="00000000"/>
  </w:font>
  <w:font w:name="宋体-简">
    <w:altName w:val="宋体"/>
    <w:panose1 w:val="02010800040101010101"/>
    <w:charset w:val="86"/>
    <w:family w:val="auto"/>
    <w:pitch w:val="default"/>
    <w:sig w:usb0="00000000" w:usb1="00000000" w:usb2="00000000" w:usb3="00000000" w:csb0="00040000" w:csb1="00000000"/>
    <w:embedRegular r:id="rId5" w:fontKey="{3932EA5F-B8F9-44FB-8A09-E6E2EE910962}"/>
  </w:font>
  <w:font w:name="方正仿宋_GB2312">
    <w:panose1 w:val="02000000000000000000"/>
    <w:charset w:val="86"/>
    <w:family w:val="auto"/>
    <w:pitch w:val="default"/>
    <w:sig w:usb0="A00002BF" w:usb1="184F6CFA" w:usb2="00000012" w:usb3="00000000" w:csb0="00040001" w:csb1="00000000"/>
    <w:embedRegular r:id="rId6" w:fontKey="{C422B0FF-FA31-469C-9702-90EA6A72DA82}"/>
  </w:font>
  <w:font w:name="WPSEMBED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E67F5">
    <w:pPr>
      <w:pStyle w:val="2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4B543">
    <w:pPr>
      <w:pStyle w:val="2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033A0">
    <w:pPr>
      <w:pStyle w:val="2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2BD7C">
    <w:pPr>
      <w:pStyle w:val="22"/>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84E65">
    <w:pPr>
      <w:pStyle w:val="22"/>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75D8A">
    <w:pPr>
      <w:pStyle w:val="22"/>
      <w:ind w:firstLine="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65B3B4">
                          <w:pPr>
                            <w:pStyle w:val="2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3E65B3B4">
                    <w:pPr>
                      <w:pStyle w:val="2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56983">
    <w:pPr>
      <w:pStyle w:val="22"/>
      <w:ind w:firstLine="36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A8DB5D">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0EA8DB5D">
                    <w:pPr>
                      <w:pStyle w:val="22"/>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B622D0"/>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49B622D0"/>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5E6B6">
    <w:pPr>
      <w:pStyle w:val="22"/>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D4A12A">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3ED4A12A">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E16BD">
    <w:pPr>
      <w:pStyle w:val="22"/>
      <w:ind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D10CA9">
                          <w:pPr>
                            <w:pStyle w:val="22"/>
                          </w:pPr>
                          <w:r>
                            <w:fldChar w:fldCharType="begin"/>
                          </w:r>
                          <w:r>
                            <w:instrText xml:space="preserve"> PAGE  \* MERGEFORMAT </w:instrText>
                          </w:r>
                          <w:r>
                            <w:fldChar w:fldCharType="separate"/>
                          </w:r>
                          <w:r>
                            <w:t>102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2DD10CA9">
                    <w:pPr>
                      <w:pStyle w:val="22"/>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EF22A">
    <w:pPr>
      <w:pStyle w:val="22"/>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E3A82">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80E3A82">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CEE56">
    <w:pPr>
      <w:pStyle w:val="2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CF4B3">
    <w:pPr>
      <w:pStyle w:val="2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CA62B">
    <w:pPr>
      <w:pStyle w:val="23"/>
      <w:keepNext w:val="0"/>
      <w:keepLines w:val="0"/>
      <w:pageBreakBefore w:val="0"/>
      <w:widowControl w:val="0"/>
      <w:kinsoku/>
      <w:wordWrap/>
      <w:overflowPunct/>
      <w:topLinePunct w:val="0"/>
      <w:bidi w:val="0"/>
      <w:adjustRightInd/>
      <w:snapToGrid w:val="0"/>
      <w:spacing w:line="240" w:lineRule="auto"/>
      <w:ind w:firstLine="0" w:firstLineChars="0"/>
      <w:textAlignment w:val="auto"/>
      <w:rPr>
        <w:rFonts w:hint="default" w:eastAsia="仿宋"/>
        <w:lang w:val="en-US" w:eastAsia="zh-CN"/>
      </w:rPr>
    </w:pPr>
    <w:r>
      <w:rPr>
        <w:rFonts w:hint="eastAsia"/>
        <w:lang w:eastAsia="zh-CN"/>
      </w:rPr>
      <w:t>北京市密云区密东广场北侧地块地下停车场项目特许经营方案</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CC788">
    <w:pPr>
      <w:pStyle w:val="23"/>
      <w:keepNext w:val="0"/>
      <w:keepLines w:val="0"/>
      <w:pageBreakBefore w:val="0"/>
      <w:widowControl w:val="0"/>
      <w:kinsoku/>
      <w:wordWrap/>
      <w:overflowPunct/>
      <w:topLinePunct w:val="0"/>
      <w:bidi w:val="0"/>
      <w:adjustRightInd/>
      <w:snapToGrid w:val="0"/>
      <w:spacing w:line="240" w:lineRule="auto"/>
      <w:ind w:firstLine="0" w:firstLineChars="0"/>
      <w:jc w:val="right"/>
      <w:textAlignment w:val="auto"/>
      <w:rPr>
        <w:rFonts w:hint="default" w:eastAsia="仿宋"/>
        <w:lang w:val="en-US" w:eastAsia="zh-CN"/>
      </w:rPr>
    </w:pPr>
    <w:r>
      <w:rPr>
        <w:rFonts w:hint="eastAsia"/>
        <w:lang w:eastAsia="zh-CN"/>
      </w:rPr>
      <w:t>北京市密云区密东广场北侧地块地下停车场项目特许经营方案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1FDE7B"/>
    <w:multiLevelType w:val="singleLevel"/>
    <w:tmpl w:val="811FDE7B"/>
    <w:lvl w:ilvl="0" w:tentative="0">
      <w:start w:val="1"/>
      <w:numFmt w:val="decimal"/>
      <w:suff w:val="nothing"/>
      <w:lvlText w:val="%1．"/>
      <w:lvlJc w:val="left"/>
      <w:pPr>
        <w:ind w:left="0" w:firstLine="400"/>
      </w:pPr>
      <w:rPr>
        <w:rFonts w:hint="default"/>
      </w:rPr>
    </w:lvl>
  </w:abstractNum>
  <w:abstractNum w:abstractNumId="1">
    <w:nsid w:val="8312808D"/>
    <w:multiLevelType w:val="singleLevel"/>
    <w:tmpl w:val="8312808D"/>
    <w:lvl w:ilvl="0" w:tentative="0">
      <w:start w:val="1"/>
      <w:numFmt w:val="decimal"/>
      <w:suff w:val="nothing"/>
      <w:lvlText w:val="%1．"/>
      <w:lvlJc w:val="left"/>
      <w:pPr>
        <w:ind w:left="0" w:firstLine="400"/>
      </w:pPr>
      <w:rPr>
        <w:rFonts w:hint="default"/>
      </w:rPr>
    </w:lvl>
  </w:abstractNum>
  <w:abstractNum w:abstractNumId="2">
    <w:nsid w:val="8A0B23AA"/>
    <w:multiLevelType w:val="singleLevel"/>
    <w:tmpl w:val="8A0B23AA"/>
    <w:lvl w:ilvl="0" w:tentative="0">
      <w:start w:val="1"/>
      <w:numFmt w:val="decimal"/>
      <w:suff w:val="nothing"/>
      <w:lvlText w:val="%1．"/>
      <w:lvlJc w:val="left"/>
      <w:pPr>
        <w:ind w:left="0" w:firstLine="400"/>
      </w:pPr>
      <w:rPr>
        <w:rFonts w:hint="default"/>
      </w:rPr>
    </w:lvl>
  </w:abstractNum>
  <w:abstractNum w:abstractNumId="3">
    <w:nsid w:val="8BC760E2"/>
    <w:multiLevelType w:val="singleLevel"/>
    <w:tmpl w:val="8BC760E2"/>
    <w:lvl w:ilvl="0" w:tentative="0">
      <w:start w:val="1"/>
      <w:numFmt w:val="decimal"/>
      <w:lvlText w:val="%1."/>
      <w:lvlJc w:val="left"/>
      <w:pPr>
        <w:tabs>
          <w:tab w:val="left" w:pos="312"/>
        </w:tabs>
      </w:pPr>
    </w:lvl>
  </w:abstractNum>
  <w:abstractNum w:abstractNumId="4">
    <w:nsid w:val="8E4B1BB0"/>
    <w:multiLevelType w:val="singleLevel"/>
    <w:tmpl w:val="8E4B1BB0"/>
    <w:lvl w:ilvl="0" w:tentative="0">
      <w:start w:val="1"/>
      <w:numFmt w:val="decimal"/>
      <w:suff w:val="nothing"/>
      <w:lvlText w:val="%1．"/>
      <w:lvlJc w:val="left"/>
      <w:pPr>
        <w:ind w:left="0" w:firstLine="400"/>
      </w:pPr>
      <w:rPr>
        <w:rFonts w:hint="default"/>
      </w:rPr>
    </w:lvl>
  </w:abstractNum>
  <w:abstractNum w:abstractNumId="5">
    <w:nsid w:val="8E695D8F"/>
    <w:multiLevelType w:val="singleLevel"/>
    <w:tmpl w:val="8E695D8F"/>
    <w:lvl w:ilvl="0" w:tentative="0">
      <w:start w:val="1"/>
      <w:numFmt w:val="decimal"/>
      <w:suff w:val="nothing"/>
      <w:lvlText w:val="%1．"/>
      <w:lvlJc w:val="left"/>
      <w:pPr>
        <w:ind w:left="0" w:firstLine="400"/>
      </w:pPr>
      <w:rPr>
        <w:rFonts w:hint="default"/>
      </w:rPr>
    </w:lvl>
  </w:abstractNum>
  <w:abstractNum w:abstractNumId="6">
    <w:nsid w:val="933E6C17"/>
    <w:multiLevelType w:val="singleLevel"/>
    <w:tmpl w:val="933E6C17"/>
    <w:lvl w:ilvl="0" w:tentative="0">
      <w:start w:val="1"/>
      <w:numFmt w:val="decimal"/>
      <w:suff w:val="nothing"/>
      <w:lvlText w:val="%1．"/>
      <w:lvlJc w:val="left"/>
      <w:pPr>
        <w:ind w:left="0" w:firstLine="400"/>
      </w:pPr>
      <w:rPr>
        <w:rFonts w:hint="default"/>
      </w:rPr>
    </w:lvl>
  </w:abstractNum>
  <w:abstractNum w:abstractNumId="7">
    <w:nsid w:val="93B16A19"/>
    <w:multiLevelType w:val="singleLevel"/>
    <w:tmpl w:val="93B16A19"/>
    <w:lvl w:ilvl="0" w:tentative="0">
      <w:start w:val="1"/>
      <w:numFmt w:val="decimal"/>
      <w:suff w:val="space"/>
      <w:lvlText w:val="%1."/>
      <w:lvlJc w:val="left"/>
    </w:lvl>
  </w:abstractNum>
  <w:abstractNum w:abstractNumId="8">
    <w:nsid w:val="941C35F8"/>
    <w:multiLevelType w:val="singleLevel"/>
    <w:tmpl w:val="941C35F8"/>
    <w:lvl w:ilvl="0" w:tentative="0">
      <w:start w:val="1"/>
      <w:numFmt w:val="decimalEnclosedCircleChinese"/>
      <w:suff w:val="nothing"/>
      <w:lvlText w:val="%1　"/>
      <w:lvlJc w:val="left"/>
      <w:pPr>
        <w:ind w:left="0" w:firstLine="400"/>
      </w:pPr>
      <w:rPr>
        <w:rFonts w:hint="eastAsia"/>
      </w:rPr>
    </w:lvl>
  </w:abstractNum>
  <w:abstractNum w:abstractNumId="9">
    <w:nsid w:val="946A8367"/>
    <w:multiLevelType w:val="singleLevel"/>
    <w:tmpl w:val="946A8367"/>
    <w:lvl w:ilvl="0" w:tentative="0">
      <w:start w:val="1"/>
      <w:numFmt w:val="decimal"/>
      <w:lvlText w:val="(%1)"/>
      <w:lvlJc w:val="left"/>
      <w:pPr>
        <w:ind w:left="425" w:hanging="425"/>
      </w:pPr>
      <w:rPr>
        <w:rFonts w:hint="default"/>
      </w:rPr>
    </w:lvl>
  </w:abstractNum>
  <w:abstractNum w:abstractNumId="10">
    <w:nsid w:val="9507677C"/>
    <w:multiLevelType w:val="singleLevel"/>
    <w:tmpl w:val="9507677C"/>
    <w:lvl w:ilvl="0" w:tentative="0">
      <w:start w:val="1"/>
      <w:numFmt w:val="decimal"/>
      <w:suff w:val="nothing"/>
      <w:lvlText w:val="%1．"/>
      <w:lvlJc w:val="left"/>
      <w:pPr>
        <w:ind w:left="0" w:firstLine="400"/>
      </w:pPr>
      <w:rPr>
        <w:rFonts w:hint="default"/>
      </w:rPr>
    </w:lvl>
  </w:abstractNum>
  <w:abstractNum w:abstractNumId="11">
    <w:nsid w:val="9603F4F2"/>
    <w:multiLevelType w:val="singleLevel"/>
    <w:tmpl w:val="9603F4F2"/>
    <w:lvl w:ilvl="0" w:tentative="0">
      <w:start w:val="1"/>
      <w:numFmt w:val="decimal"/>
      <w:suff w:val="nothing"/>
      <w:lvlText w:val="%1．"/>
      <w:lvlJc w:val="left"/>
      <w:pPr>
        <w:ind w:left="0" w:firstLine="400"/>
      </w:pPr>
      <w:rPr>
        <w:rFonts w:hint="default"/>
      </w:rPr>
    </w:lvl>
  </w:abstractNum>
  <w:abstractNum w:abstractNumId="12">
    <w:nsid w:val="9696AC6A"/>
    <w:multiLevelType w:val="singleLevel"/>
    <w:tmpl w:val="9696AC6A"/>
    <w:lvl w:ilvl="0" w:tentative="0">
      <w:start w:val="1"/>
      <w:numFmt w:val="decimalEnclosedCircleChinese"/>
      <w:suff w:val="nothing"/>
      <w:lvlText w:val="%1　"/>
      <w:lvlJc w:val="left"/>
      <w:pPr>
        <w:ind w:left="0" w:firstLine="400"/>
      </w:pPr>
      <w:rPr>
        <w:rFonts w:hint="eastAsia"/>
      </w:rPr>
    </w:lvl>
  </w:abstractNum>
  <w:abstractNum w:abstractNumId="13">
    <w:nsid w:val="971590D4"/>
    <w:multiLevelType w:val="singleLevel"/>
    <w:tmpl w:val="971590D4"/>
    <w:lvl w:ilvl="0" w:tentative="0">
      <w:start w:val="1"/>
      <w:numFmt w:val="decimal"/>
      <w:suff w:val="nothing"/>
      <w:lvlText w:val="%1．"/>
      <w:lvlJc w:val="left"/>
      <w:pPr>
        <w:ind w:left="0" w:firstLine="400"/>
      </w:pPr>
      <w:rPr>
        <w:rFonts w:hint="default"/>
      </w:rPr>
    </w:lvl>
  </w:abstractNum>
  <w:abstractNum w:abstractNumId="14">
    <w:nsid w:val="97B178C7"/>
    <w:multiLevelType w:val="singleLevel"/>
    <w:tmpl w:val="97B178C7"/>
    <w:lvl w:ilvl="0" w:tentative="0">
      <w:start w:val="1"/>
      <w:numFmt w:val="decimal"/>
      <w:suff w:val="nothing"/>
      <w:lvlText w:val="%1．"/>
      <w:lvlJc w:val="left"/>
      <w:pPr>
        <w:ind w:left="0" w:firstLine="400"/>
      </w:pPr>
      <w:rPr>
        <w:rFonts w:hint="default"/>
      </w:rPr>
    </w:lvl>
  </w:abstractNum>
  <w:abstractNum w:abstractNumId="15">
    <w:nsid w:val="986C24FA"/>
    <w:multiLevelType w:val="multilevel"/>
    <w:tmpl w:val="986C24FA"/>
    <w:lvl w:ilvl="0" w:tentative="0">
      <w:start w:val="1"/>
      <w:numFmt w:val="chineseCounting"/>
      <w:suff w:val="nothing"/>
      <w:lvlText w:val="第%1章 "/>
      <w:lvlJc w:val="left"/>
      <w:pPr>
        <w:tabs>
          <w:tab w:val="left" w:pos="0"/>
        </w:tabs>
        <w:ind w:left="432" w:hanging="432"/>
      </w:pPr>
      <w:rPr>
        <w:rFonts w:hint="eastAsia"/>
      </w:rPr>
    </w:lvl>
    <w:lvl w:ilvl="1" w:tentative="0">
      <w:start w:val="1"/>
      <w:numFmt w:val="decimal"/>
      <w:pStyle w:val="3"/>
      <w:isLgl/>
      <w:lvlText w:val="%1.%2"/>
      <w:lvlJc w:val="left"/>
      <w:pPr>
        <w:tabs>
          <w:tab w:val="left" w:pos="420"/>
        </w:tabs>
        <w:ind w:left="575" w:hanging="575"/>
      </w:pPr>
      <w:rPr>
        <w:rFonts w:hint="eastAsia"/>
      </w:rPr>
    </w:lvl>
    <w:lvl w:ilvl="2" w:tentative="0">
      <w:start w:val="1"/>
      <w:numFmt w:val="decimal"/>
      <w:pStyle w:val="4"/>
      <w:isLgl/>
      <w:suff w:val="space"/>
      <w:lvlText w:val="%1.%2.%3"/>
      <w:lvlJc w:val="left"/>
      <w:pPr>
        <w:ind w:left="720" w:hanging="720"/>
      </w:pPr>
      <w:rPr>
        <w:rFonts w:hint="eastAsia"/>
      </w:rPr>
    </w:lvl>
    <w:lvl w:ilvl="3" w:tentative="0">
      <w:start w:val="1"/>
      <w:numFmt w:val="decimal"/>
      <w:pStyle w:val="5"/>
      <w:isLgl/>
      <w:lvlText w:val="%1.%2.%3.%4"/>
      <w:lvlJc w:val="left"/>
      <w:pPr>
        <w:ind w:left="864" w:hanging="864"/>
      </w:pPr>
      <w:rPr>
        <w:rFonts w:hint="eastAsia"/>
      </w:rPr>
    </w:lvl>
    <w:lvl w:ilvl="4" w:tentative="0">
      <w:start w:val="1"/>
      <w:numFmt w:val="decimal"/>
      <w:pStyle w:val="6"/>
      <w:isLgl/>
      <w:lvlText w:val="%1.%2.%3.%4.%5"/>
      <w:lvlJc w:val="left"/>
      <w:pPr>
        <w:ind w:left="1008" w:hanging="1008"/>
      </w:pPr>
      <w:rPr>
        <w:rFonts w:hint="eastAsia"/>
      </w:rPr>
    </w:lvl>
    <w:lvl w:ilvl="5" w:tentative="0">
      <w:start w:val="1"/>
      <w:numFmt w:val="decimal"/>
      <w:pStyle w:val="7"/>
      <w:isLgl/>
      <w:lvlText w:val="%1.%2.%3.%4.%5.%6."/>
      <w:lvlJc w:val="left"/>
      <w:pPr>
        <w:ind w:left="1151" w:hanging="1151"/>
      </w:pPr>
      <w:rPr>
        <w:rFonts w:hint="eastAsia"/>
      </w:rPr>
    </w:lvl>
    <w:lvl w:ilvl="6" w:tentative="0">
      <w:start w:val="1"/>
      <w:numFmt w:val="decimal"/>
      <w:pStyle w:val="8"/>
      <w:isLgl/>
      <w:lvlText w:val="%1.%2.%3.%4.%5.%6.%7."/>
      <w:lvlJc w:val="left"/>
      <w:pPr>
        <w:ind w:left="1296" w:hanging="1296"/>
      </w:pPr>
      <w:rPr>
        <w:rFonts w:hint="eastAsia"/>
      </w:rPr>
    </w:lvl>
    <w:lvl w:ilvl="7" w:tentative="0">
      <w:start w:val="1"/>
      <w:numFmt w:val="decimal"/>
      <w:pStyle w:val="9"/>
      <w:isLgl/>
      <w:lvlText w:val="%1.%2.%3.%4.%5.%6.%7.%8."/>
      <w:lvlJc w:val="left"/>
      <w:pPr>
        <w:ind w:left="1440" w:hanging="1440"/>
      </w:pPr>
      <w:rPr>
        <w:rFonts w:hint="eastAsia"/>
      </w:rPr>
    </w:lvl>
    <w:lvl w:ilvl="8" w:tentative="0">
      <w:start w:val="1"/>
      <w:numFmt w:val="decimal"/>
      <w:pStyle w:val="10"/>
      <w:isLgl/>
      <w:lvlText w:val="%1.%2.%3.%4.%5.%6.%7.%8.%9."/>
      <w:lvlJc w:val="left"/>
      <w:pPr>
        <w:ind w:left="1583" w:hanging="1583"/>
      </w:pPr>
      <w:rPr>
        <w:rFonts w:hint="eastAsia"/>
      </w:rPr>
    </w:lvl>
  </w:abstractNum>
  <w:abstractNum w:abstractNumId="16">
    <w:nsid w:val="9AAE88EA"/>
    <w:multiLevelType w:val="singleLevel"/>
    <w:tmpl w:val="9AAE88EA"/>
    <w:lvl w:ilvl="0" w:tentative="0">
      <w:start w:val="1"/>
      <w:numFmt w:val="decimal"/>
      <w:suff w:val="space"/>
      <w:lvlText w:val="%1."/>
      <w:lvlJc w:val="left"/>
    </w:lvl>
  </w:abstractNum>
  <w:abstractNum w:abstractNumId="17">
    <w:nsid w:val="9D82B024"/>
    <w:multiLevelType w:val="singleLevel"/>
    <w:tmpl w:val="9D82B024"/>
    <w:lvl w:ilvl="0" w:tentative="0">
      <w:start w:val="1"/>
      <w:numFmt w:val="decimal"/>
      <w:suff w:val="nothing"/>
      <w:lvlText w:val="%1．"/>
      <w:lvlJc w:val="left"/>
      <w:pPr>
        <w:ind w:left="0" w:firstLine="400"/>
      </w:pPr>
      <w:rPr>
        <w:rFonts w:hint="default"/>
      </w:rPr>
    </w:lvl>
  </w:abstractNum>
  <w:abstractNum w:abstractNumId="18">
    <w:nsid w:val="A18687B3"/>
    <w:multiLevelType w:val="singleLevel"/>
    <w:tmpl w:val="A18687B3"/>
    <w:lvl w:ilvl="0" w:tentative="0">
      <w:start w:val="1"/>
      <w:numFmt w:val="decimal"/>
      <w:suff w:val="nothing"/>
      <w:lvlText w:val="%1．"/>
      <w:lvlJc w:val="left"/>
      <w:pPr>
        <w:ind w:left="0" w:firstLine="400"/>
      </w:pPr>
      <w:rPr>
        <w:rFonts w:hint="default"/>
      </w:rPr>
    </w:lvl>
  </w:abstractNum>
  <w:abstractNum w:abstractNumId="19">
    <w:nsid w:val="A80EC4E1"/>
    <w:multiLevelType w:val="singleLevel"/>
    <w:tmpl w:val="A80EC4E1"/>
    <w:lvl w:ilvl="0" w:tentative="0">
      <w:start w:val="1"/>
      <w:numFmt w:val="decimal"/>
      <w:suff w:val="nothing"/>
      <w:lvlText w:val="%1．"/>
      <w:lvlJc w:val="left"/>
      <w:pPr>
        <w:ind w:left="0" w:firstLine="400"/>
      </w:pPr>
      <w:rPr>
        <w:rFonts w:hint="default"/>
      </w:rPr>
    </w:lvl>
  </w:abstractNum>
  <w:abstractNum w:abstractNumId="20">
    <w:nsid w:val="A9185234"/>
    <w:multiLevelType w:val="singleLevel"/>
    <w:tmpl w:val="A9185234"/>
    <w:lvl w:ilvl="0" w:tentative="0">
      <w:start w:val="1"/>
      <w:numFmt w:val="decimal"/>
      <w:suff w:val="nothing"/>
      <w:lvlText w:val="%1．"/>
      <w:lvlJc w:val="left"/>
      <w:pPr>
        <w:ind w:left="0" w:firstLine="400"/>
      </w:pPr>
      <w:rPr>
        <w:rFonts w:hint="default"/>
      </w:rPr>
    </w:lvl>
  </w:abstractNum>
  <w:abstractNum w:abstractNumId="21">
    <w:nsid w:val="AAD54F1A"/>
    <w:multiLevelType w:val="singleLevel"/>
    <w:tmpl w:val="AAD54F1A"/>
    <w:lvl w:ilvl="0" w:tentative="0">
      <w:start w:val="1"/>
      <w:numFmt w:val="decimal"/>
      <w:suff w:val="space"/>
      <w:lvlText w:val="%1."/>
      <w:lvlJc w:val="left"/>
    </w:lvl>
  </w:abstractNum>
  <w:abstractNum w:abstractNumId="22">
    <w:nsid w:val="ABC27EC9"/>
    <w:multiLevelType w:val="singleLevel"/>
    <w:tmpl w:val="ABC27EC9"/>
    <w:lvl w:ilvl="0" w:tentative="0">
      <w:start w:val="1"/>
      <w:numFmt w:val="decimalEnclosedCircleChinese"/>
      <w:suff w:val="nothing"/>
      <w:lvlText w:val="%1　"/>
      <w:lvlJc w:val="left"/>
      <w:pPr>
        <w:ind w:left="0" w:firstLine="400"/>
      </w:pPr>
      <w:rPr>
        <w:rFonts w:hint="eastAsia"/>
      </w:rPr>
    </w:lvl>
  </w:abstractNum>
  <w:abstractNum w:abstractNumId="23">
    <w:nsid w:val="B43BF0C8"/>
    <w:multiLevelType w:val="singleLevel"/>
    <w:tmpl w:val="B43BF0C8"/>
    <w:lvl w:ilvl="0" w:tentative="0">
      <w:start w:val="1"/>
      <w:numFmt w:val="decimal"/>
      <w:suff w:val="nothing"/>
      <w:lvlText w:val="%1．"/>
      <w:lvlJc w:val="left"/>
      <w:pPr>
        <w:ind w:left="0" w:firstLine="400"/>
      </w:pPr>
      <w:rPr>
        <w:rFonts w:hint="default"/>
      </w:rPr>
    </w:lvl>
  </w:abstractNum>
  <w:abstractNum w:abstractNumId="24">
    <w:nsid w:val="B988670F"/>
    <w:multiLevelType w:val="singleLevel"/>
    <w:tmpl w:val="B988670F"/>
    <w:lvl w:ilvl="0" w:tentative="0">
      <w:start w:val="1"/>
      <w:numFmt w:val="decimal"/>
      <w:suff w:val="nothing"/>
      <w:lvlText w:val="%1．"/>
      <w:lvlJc w:val="left"/>
      <w:pPr>
        <w:ind w:left="0" w:firstLine="400"/>
      </w:pPr>
      <w:rPr>
        <w:rFonts w:hint="default"/>
      </w:rPr>
    </w:lvl>
  </w:abstractNum>
  <w:abstractNum w:abstractNumId="25">
    <w:nsid w:val="BBC88596"/>
    <w:multiLevelType w:val="singleLevel"/>
    <w:tmpl w:val="BBC88596"/>
    <w:lvl w:ilvl="0" w:tentative="0">
      <w:start w:val="1"/>
      <w:numFmt w:val="decimal"/>
      <w:suff w:val="space"/>
      <w:lvlText w:val="%1."/>
      <w:lvlJc w:val="left"/>
    </w:lvl>
  </w:abstractNum>
  <w:abstractNum w:abstractNumId="26">
    <w:nsid w:val="C26ACCE2"/>
    <w:multiLevelType w:val="singleLevel"/>
    <w:tmpl w:val="C26ACCE2"/>
    <w:lvl w:ilvl="0" w:tentative="0">
      <w:start w:val="1"/>
      <w:numFmt w:val="decimal"/>
      <w:suff w:val="space"/>
      <w:lvlText w:val="%1."/>
      <w:lvlJc w:val="left"/>
    </w:lvl>
  </w:abstractNum>
  <w:abstractNum w:abstractNumId="27">
    <w:nsid w:val="C3933D7E"/>
    <w:multiLevelType w:val="singleLevel"/>
    <w:tmpl w:val="C3933D7E"/>
    <w:lvl w:ilvl="0" w:tentative="0">
      <w:start w:val="1"/>
      <w:numFmt w:val="decimalEnclosedCircleChinese"/>
      <w:suff w:val="nothing"/>
      <w:lvlText w:val="%1　"/>
      <w:lvlJc w:val="left"/>
      <w:pPr>
        <w:ind w:left="0" w:firstLine="400"/>
      </w:pPr>
      <w:rPr>
        <w:rFonts w:hint="eastAsia"/>
      </w:rPr>
    </w:lvl>
  </w:abstractNum>
  <w:abstractNum w:abstractNumId="28">
    <w:nsid w:val="C575E9E6"/>
    <w:multiLevelType w:val="singleLevel"/>
    <w:tmpl w:val="C575E9E6"/>
    <w:lvl w:ilvl="0" w:tentative="0">
      <w:start w:val="1"/>
      <w:numFmt w:val="decimal"/>
      <w:suff w:val="nothing"/>
      <w:lvlText w:val="%1．"/>
      <w:lvlJc w:val="left"/>
      <w:pPr>
        <w:ind w:left="0" w:firstLine="400"/>
      </w:pPr>
      <w:rPr>
        <w:rFonts w:hint="default"/>
      </w:rPr>
    </w:lvl>
  </w:abstractNum>
  <w:abstractNum w:abstractNumId="29">
    <w:nsid w:val="C64F976F"/>
    <w:multiLevelType w:val="singleLevel"/>
    <w:tmpl w:val="C64F976F"/>
    <w:lvl w:ilvl="0" w:tentative="0">
      <w:start w:val="1"/>
      <w:numFmt w:val="decimal"/>
      <w:suff w:val="nothing"/>
      <w:lvlText w:val="%1．"/>
      <w:lvlJc w:val="left"/>
      <w:pPr>
        <w:ind w:left="0" w:firstLine="400"/>
      </w:pPr>
      <w:rPr>
        <w:rFonts w:hint="default"/>
      </w:rPr>
    </w:lvl>
  </w:abstractNum>
  <w:abstractNum w:abstractNumId="30">
    <w:nsid w:val="C8C40502"/>
    <w:multiLevelType w:val="singleLevel"/>
    <w:tmpl w:val="C8C40502"/>
    <w:lvl w:ilvl="0" w:tentative="0">
      <w:start w:val="1"/>
      <w:numFmt w:val="decimal"/>
      <w:suff w:val="nothing"/>
      <w:lvlText w:val="%1．"/>
      <w:lvlJc w:val="left"/>
      <w:pPr>
        <w:ind w:left="0" w:firstLine="400"/>
      </w:pPr>
      <w:rPr>
        <w:rFonts w:hint="default"/>
      </w:rPr>
    </w:lvl>
  </w:abstractNum>
  <w:abstractNum w:abstractNumId="31">
    <w:nsid w:val="C9E3D3F1"/>
    <w:multiLevelType w:val="singleLevel"/>
    <w:tmpl w:val="C9E3D3F1"/>
    <w:lvl w:ilvl="0" w:tentative="0">
      <w:start w:val="1"/>
      <w:numFmt w:val="decimal"/>
      <w:lvlText w:val="(%1)"/>
      <w:lvlJc w:val="left"/>
      <w:pPr>
        <w:ind w:left="425" w:hanging="425"/>
      </w:pPr>
      <w:rPr>
        <w:rFonts w:hint="default"/>
      </w:rPr>
    </w:lvl>
  </w:abstractNum>
  <w:abstractNum w:abstractNumId="32">
    <w:nsid w:val="CA09C09A"/>
    <w:multiLevelType w:val="singleLevel"/>
    <w:tmpl w:val="CA09C09A"/>
    <w:lvl w:ilvl="0" w:tentative="0">
      <w:start w:val="1"/>
      <w:numFmt w:val="decimal"/>
      <w:suff w:val="space"/>
      <w:lvlText w:val="%1."/>
      <w:lvlJc w:val="left"/>
    </w:lvl>
  </w:abstractNum>
  <w:abstractNum w:abstractNumId="33">
    <w:nsid w:val="CD5067D7"/>
    <w:multiLevelType w:val="singleLevel"/>
    <w:tmpl w:val="CD5067D7"/>
    <w:lvl w:ilvl="0" w:tentative="0">
      <w:start w:val="1"/>
      <w:numFmt w:val="decimal"/>
      <w:suff w:val="nothing"/>
      <w:lvlText w:val="%1．"/>
      <w:lvlJc w:val="left"/>
      <w:pPr>
        <w:ind w:left="0" w:firstLine="400"/>
      </w:pPr>
      <w:rPr>
        <w:rFonts w:hint="default"/>
      </w:rPr>
    </w:lvl>
  </w:abstractNum>
  <w:abstractNum w:abstractNumId="34">
    <w:nsid w:val="CF8096F9"/>
    <w:multiLevelType w:val="singleLevel"/>
    <w:tmpl w:val="CF8096F9"/>
    <w:lvl w:ilvl="0" w:tentative="0">
      <w:start w:val="1"/>
      <w:numFmt w:val="decimal"/>
      <w:suff w:val="nothing"/>
      <w:lvlText w:val="%1．"/>
      <w:lvlJc w:val="left"/>
      <w:pPr>
        <w:ind w:left="0" w:firstLine="400"/>
      </w:pPr>
      <w:rPr>
        <w:rFonts w:hint="default"/>
      </w:rPr>
    </w:lvl>
  </w:abstractNum>
  <w:abstractNum w:abstractNumId="35">
    <w:nsid w:val="D14F74B7"/>
    <w:multiLevelType w:val="singleLevel"/>
    <w:tmpl w:val="D14F74B7"/>
    <w:lvl w:ilvl="0" w:tentative="0">
      <w:start w:val="1"/>
      <w:numFmt w:val="decimal"/>
      <w:suff w:val="nothing"/>
      <w:lvlText w:val="%1．"/>
      <w:lvlJc w:val="left"/>
      <w:pPr>
        <w:ind w:left="0" w:firstLine="400"/>
      </w:pPr>
      <w:rPr>
        <w:rFonts w:hint="default"/>
      </w:rPr>
    </w:lvl>
  </w:abstractNum>
  <w:abstractNum w:abstractNumId="36">
    <w:nsid w:val="D49FDB62"/>
    <w:multiLevelType w:val="singleLevel"/>
    <w:tmpl w:val="D49FDB62"/>
    <w:lvl w:ilvl="0" w:tentative="0">
      <w:start w:val="1"/>
      <w:numFmt w:val="decimal"/>
      <w:lvlText w:val="(%1)"/>
      <w:lvlJc w:val="left"/>
      <w:pPr>
        <w:ind w:left="425" w:hanging="425"/>
      </w:pPr>
      <w:rPr>
        <w:rFonts w:hint="default"/>
      </w:rPr>
    </w:lvl>
  </w:abstractNum>
  <w:abstractNum w:abstractNumId="37">
    <w:nsid w:val="DB068ACC"/>
    <w:multiLevelType w:val="singleLevel"/>
    <w:tmpl w:val="DB068ACC"/>
    <w:lvl w:ilvl="0" w:tentative="0">
      <w:start w:val="1"/>
      <w:numFmt w:val="decimal"/>
      <w:suff w:val="nothing"/>
      <w:lvlText w:val="%1．"/>
      <w:lvlJc w:val="left"/>
      <w:pPr>
        <w:ind w:left="0" w:firstLine="400"/>
      </w:pPr>
      <w:rPr>
        <w:rFonts w:hint="default"/>
      </w:rPr>
    </w:lvl>
  </w:abstractNum>
  <w:abstractNum w:abstractNumId="38">
    <w:nsid w:val="DDBC2AE5"/>
    <w:multiLevelType w:val="singleLevel"/>
    <w:tmpl w:val="DDBC2AE5"/>
    <w:lvl w:ilvl="0" w:tentative="0">
      <w:start w:val="1"/>
      <w:numFmt w:val="decimal"/>
      <w:lvlText w:val="(%1)"/>
      <w:lvlJc w:val="left"/>
      <w:pPr>
        <w:ind w:left="425" w:hanging="425"/>
      </w:pPr>
      <w:rPr>
        <w:rFonts w:hint="default"/>
      </w:rPr>
    </w:lvl>
  </w:abstractNum>
  <w:abstractNum w:abstractNumId="39">
    <w:nsid w:val="DE1AC0FA"/>
    <w:multiLevelType w:val="singleLevel"/>
    <w:tmpl w:val="DE1AC0FA"/>
    <w:lvl w:ilvl="0" w:tentative="0">
      <w:start w:val="1"/>
      <w:numFmt w:val="decimal"/>
      <w:lvlText w:val="(%1)"/>
      <w:lvlJc w:val="left"/>
      <w:pPr>
        <w:ind w:left="425" w:hanging="425"/>
      </w:pPr>
      <w:rPr>
        <w:rFonts w:hint="default"/>
      </w:rPr>
    </w:lvl>
  </w:abstractNum>
  <w:abstractNum w:abstractNumId="40">
    <w:nsid w:val="DEDFE4A1"/>
    <w:multiLevelType w:val="singleLevel"/>
    <w:tmpl w:val="DEDFE4A1"/>
    <w:lvl w:ilvl="0" w:tentative="0">
      <w:start w:val="1"/>
      <w:numFmt w:val="decimal"/>
      <w:suff w:val="nothing"/>
      <w:lvlText w:val="%1．"/>
      <w:lvlJc w:val="left"/>
      <w:pPr>
        <w:ind w:left="0" w:firstLine="400"/>
      </w:pPr>
      <w:rPr>
        <w:rFonts w:hint="default"/>
      </w:rPr>
    </w:lvl>
  </w:abstractNum>
  <w:abstractNum w:abstractNumId="41">
    <w:nsid w:val="E1B69E29"/>
    <w:multiLevelType w:val="singleLevel"/>
    <w:tmpl w:val="E1B69E29"/>
    <w:lvl w:ilvl="0" w:tentative="0">
      <w:start w:val="1"/>
      <w:numFmt w:val="decimal"/>
      <w:suff w:val="nothing"/>
      <w:lvlText w:val="%1．"/>
      <w:lvlJc w:val="left"/>
      <w:pPr>
        <w:ind w:left="0" w:firstLine="400"/>
      </w:pPr>
      <w:rPr>
        <w:rFonts w:hint="default"/>
      </w:rPr>
    </w:lvl>
  </w:abstractNum>
  <w:abstractNum w:abstractNumId="42">
    <w:nsid w:val="E6853B2A"/>
    <w:multiLevelType w:val="singleLevel"/>
    <w:tmpl w:val="E6853B2A"/>
    <w:lvl w:ilvl="0" w:tentative="0">
      <w:start w:val="1"/>
      <w:numFmt w:val="decimal"/>
      <w:suff w:val="nothing"/>
      <w:lvlText w:val="%1．"/>
      <w:lvlJc w:val="left"/>
      <w:pPr>
        <w:ind w:left="0" w:firstLine="400"/>
      </w:pPr>
      <w:rPr>
        <w:rFonts w:hint="default"/>
      </w:rPr>
    </w:lvl>
  </w:abstractNum>
  <w:abstractNum w:abstractNumId="43">
    <w:nsid w:val="F0E987CC"/>
    <w:multiLevelType w:val="singleLevel"/>
    <w:tmpl w:val="F0E987CC"/>
    <w:lvl w:ilvl="0" w:tentative="0">
      <w:start w:val="1"/>
      <w:numFmt w:val="decimalEnclosedCircleChinese"/>
      <w:suff w:val="nothing"/>
      <w:lvlText w:val="%1　"/>
      <w:lvlJc w:val="left"/>
      <w:pPr>
        <w:ind w:left="0" w:firstLine="400"/>
      </w:pPr>
      <w:rPr>
        <w:rFonts w:hint="eastAsia"/>
      </w:rPr>
    </w:lvl>
  </w:abstractNum>
  <w:abstractNum w:abstractNumId="44">
    <w:nsid w:val="F12E7A45"/>
    <w:multiLevelType w:val="singleLevel"/>
    <w:tmpl w:val="F12E7A45"/>
    <w:lvl w:ilvl="0" w:tentative="0">
      <w:start w:val="1"/>
      <w:numFmt w:val="decimal"/>
      <w:suff w:val="space"/>
      <w:lvlText w:val="%1."/>
      <w:lvlJc w:val="left"/>
    </w:lvl>
  </w:abstractNum>
  <w:abstractNum w:abstractNumId="45">
    <w:nsid w:val="F33E4703"/>
    <w:multiLevelType w:val="singleLevel"/>
    <w:tmpl w:val="F33E4703"/>
    <w:lvl w:ilvl="0" w:tentative="0">
      <w:start w:val="1"/>
      <w:numFmt w:val="decimalEnclosedCircleChinese"/>
      <w:suff w:val="nothing"/>
      <w:lvlText w:val="%1　"/>
      <w:lvlJc w:val="left"/>
      <w:pPr>
        <w:ind w:left="0" w:firstLine="400"/>
      </w:pPr>
      <w:rPr>
        <w:rFonts w:hint="eastAsia"/>
      </w:rPr>
    </w:lvl>
  </w:abstractNum>
  <w:abstractNum w:abstractNumId="46">
    <w:nsid w:val="FF271F1A"/>
    <w:multiLevelType w:val="singleLevel"/>
    <w:tmpl w:val="FF271F1A"/>
    <w:lvl w:ilvl="0" w:tentative="0">
      <w:start w:val="1"/>
      <w:numFmt w:val="decimal"/>
      <w:suff w:val="nothing"/>
      <w:lvlText w:val="%1．"/>
      <w:lvlJc w:val="left"/>
      <w:pPr>
        <w:ind w:left="0" w:firstLine="400"/>
      </w:pPr>
      <w:rPr>
        <w:rFonts w:hint="default"/>
      </w:rPr>
    </w:lvl>
  </w:abstractNum>
  <w:abstractNum w:abstractNumId="47">
    <w:nsid w:val="FFE8D753"/>
    <w:multiLevelType w:val="singleLevel"/>
    <w:tmpl w:val="FFE8D753"/>
    <w:lvl w:ilvl="0" w:tentative="0">
      <w:start w:val="1"/>
      <w:numFmt w:val="decimal"/>
      <w:suff w:val="nothing"/>
      <w:lvlText w:val="%1．"/>
      <w:lvlJc w:val="left"/>
      <w:pPr>
        <w:ind w:left="0" w:firstLine="400"/>
      </w:pPr>
      <w:rPr>
        <w:rFonts w:hint="default"/>
      </w:rPr>
    </w:lvl>
  </w:abstractNum>
  <w:abstractNum w:abstractNumId="48">
    <w:nsid w:val="0642BCC6"/>
    <w:multiLevelType w:val="singleLevel"/>
    <w:tmpl w:val="0642BCC6"/>
    <w:lvl w:ilvl="0" w:tentative="0">
      <w:start w:val="1"/>
      <w:numFmt w:val="decimal"/>
      <w:suff w:val="nothing"/>
      <w:lvlText w:val="%1．"/>
      <w:lvlJc w:val="left"/>
      <w:pPr>
        <w:ind w:left="0" w:firstLine="400"/>
      </w:pPr>
      <w:rPr>
        <w:rFonts w:hint="default"/>
      </w:rPr>
    </w:lvl>
  </w:abstractNum>
  <w:abstractNum w:abstractNumId="49">
    <w:nsid w:val="06F6B6EA"/>
    <w:multiLevelType w:val="singleLevel"/>
    <w:tmpl w:val="06F6B6EA"/>
    <w:lvl w:ilvl="0" w:tentative="0">
      <w:start w:val="1"/>
      <w:numFmt w:val="decimal"/>
      <w:suff w:val="space"/>
      <w:lvlText w:val="%1."/>
      <w:lvlJc w:val="left"/>
    </w:lvl>
  </w:abstractNum>
  <w:abstractNum w:abstractNumId="50">
    <w:nsid w:val="0923BBBE"/>
    <w:multiLevelType w:val="singleLevel"/>
    <w:tmpl w:val="0923BBBE"/>
    <w:lvl w:ilvl="0" w:tentative="0">
      <w:start w:val="1"/>
      <w:numFmt w:val="bullet"/>
      <w:lvlText w:val=""/>
      <w:lvlJc w:val="left"/>
      <w:pPr>
        <w:ind w:left="420" w:hanging="420"/>
      </w:pPr>
      <w:rPr>
        <w:rFonts w:hint="default" w:ascii="Wingdings" w:hAnsi="Wingdings"/>
      </w:rPr>
    </w:lvl>
  </w:abstractNum>
  <w:abstractNum w:abstractNumId="51">
    <w:nsid w:val="10BB621A"/>
    <w:multiLevelType w:val="singleLevel"/>
    <w:tmpl w:val="10BB621A"/>
    <w:lvl w:ilvl="0" w:tentative="0">
      <w:start w:val="1"/>
      <w:numFmt w:val="decimal"/>
      <w:suff w:val="space"/>
      <w:lvlText w:val="%1."/>
      <w:lvlJc w:val="left"/>
    </w:lvl>
  </w:abstractNum>
  <w:abstractNum w:abstractNumId="52">
    <w:nsid w:val="10CB92A1"/>
    <w:multiLevelType w:val="singleLevel"/>
    <w:tmpl w:val="10CB92A1"/>
    <w:lvl w:ilvl="0" w:tentative="0">
      <w:start w:val="1"/>
      <w:numFmt w:val="decimal"/>
      <w:suff w:val="nothing"/>
      <w:lvlText w:val="%1．"/>
      <w:lvlJc w:val="left"/>
      <w:pPr>
        <w:ind w:left="0" w:firstLine="400"/>
      </w:pPr>
      <w:rPr>
        <w:rFonts w:hint="default"/>
      </w:rPr>
    </w:lvl>
  </w:abstractNum>
  <w:abstractNum w:abstractNumId="53">
    <w:nsid w:val="110997A9"/>
    <w:multiLevelType w:val="singleLevel"/>
    <w:tmpl w:val="110997A9"/>
    <w:lvl w:ilvl="0" w:tentative="0">
      <w:start w:val="7"/>
      <w:numFmt w:val="decimal"/>
      <w:suff w:val="nothing"/>
      <w:lvlText w:val="%1）"/>
      <w:lvlJc w:val="left"/>
    </w:lvl>
  </w:abstractNum>
  <w:abstractNum w:abstractNumId="54">
    <w:nsid w:val="12D76A07"/>
    <w:multiLevelType w:val="singleLevel"/>
    <w:tmpl w:val="12D76A07"/>
    <w:lvl w:ilvl="0" w:tentative="0">
      <w:start w:val="1"/>
      <w:numFmt w:val="decimal"/>
      <w:suff w:val="nothing"/>
      <w:lvlText w:val="%1．"/>
      <w:lvlJc w:val="left"/>
      <w:pPr>
        <w:ind w:left="0" w:firstLine="400"/>
      </w:pPr>
      <w:rPr>
        <w:rFonts w:hint="default"/>
      </w:rPr>
    </w:lvl>
  </w:abstractNum>
  <w:abstractNum w:abstractNumId="55">
    <w:nsid w:val="15B7993A"/>
    <w:multiLevelType w:val="singleLevel"/>
    <w:tmpl w:val="15B7993A"/>
    <w:lvl w:ilvl="0" w:tentative="0">
      <w:start w:val="1"/>
      <w:numFmt w:val="decimal"/>
      <w:suff w:val="nothing"/>
      <w:lvlText w:val="%1．"/>
      <w:lvlJc w:val="left"/>
      <w:pPr>
        <w:ind w:left="0" w:firstLine="400"/>
      </w:pPr>
      <w:rPr>
        <w:rFonts w:hint="default"/>
      </w:rPr>
    </w:lvl>
  </w:abstractNum>
  <w:abstractNum w:abstractNumId="56">
    <w:nsid w:val="19231802"/>
    <w:multiLevelType w:val="singleLevel"/>
    <w:tmpl w:val="19231802"/>
    <w:lvl w:ilvl="0" w:tentative="0">
      <w:start w:val="1"/>
      <w:numFmt w:val="decimal"/>
      <w:suff w:val="space"/>
      <w:lvlText w:val="%1."/>
      <w:lvlJc w:val="left"/>
    </w:lvl>
  </w:abstractNum>
  <w:abstractNum w:abstractNumId="57">
    <w:nsid w:val="1957DC34"/>
    <w:multiLevelType w:val="singleLevel"/>
    <w:tmpl w:val="1957DC34"/>
    <w:lvl w:ilvl="0" w:tentative="0">
      <w:start w:val="1"/>
      <w:numFmt w:val="decimal"/>
      <w:suff w:val="space"/>
      <w:lvlText w:val="%1."/>
      <w:lvlJc w:val="left"/>
    </w:lvl>
  </w:abstractNum>
  <w:abstractNum w:abstractNumId="58">
    <w:nsid w:val="1BEAF6C7"/>
    <w:multiLevelType w:val="singleLevel"/>
    <w:tmpl w:val="1BEAF6C7"/>
    <w:lvl w:ilvl="0" w:tentative="0">
      <w:start w:val="1"/>
      <w:numFmt w:val="decimal"/>
      <w:suff w:val="nothing"/>
      <w:lvlText w:val="%1．"/>
      <w:lvlJc w:val="left"/>
      <w:pPr>
        <w:ind w:left="0" w:firstLine="400"/>
      </w:pPr>
      <w:rPr>
        <w:rFonts w:hint="default"/>
      </w:rPr>
    </w:lvl>
  </w:abstractNum>
  <w:abstractNum w:abstractNumId="59">
    <w:nsid w:val="1C291094"/>
    <w:multiLevelType w:val="singleLevel"/>
    <w:tmpl w:val="1C291094"/>
    <w:lvl w:ilvl="0" w:tentative="0">
      <w:start w:val="1"/>
      <w:numFmt w:val="decimal"/>
      <w:suff w:val="nothing"/>
      <w:lvlText w:val="%1．"/>
      <w:lvlJc w:val="left"/>
      <w:pPr>
        <w:ind w:left="0" w:firstLine="400"/>
      </w:pPr>
      <w:rPr>
        <w:rFonts w:hint="default"/>
      </w:rPr>
    </w:lvl>
  </w:abstractNum>
  <w:abstractNum w:abstractNumId="60">
    <w:nsid w:val="22E4DB0E"/>
    <w:multiLevelType w:val="singleLevel"/>
    <w:tmpl w:val="22E4DB0E"/>
    <w:lvl w:ilvl="0" w:tentative="0">
      <w:start w:val="1"/>
      <w:numFmt w:val="bullet"/>
      <w:pStyle w:val="16"/>
      <w:lvlText w:val=""/>
      <w:lvlJc w:val="left"/>
      <w:pPr>
        <w:tabs>
          <w:tab w:val="left" w:pos="780"/>
        </w:tabs>
        <w:ind w:left="780" w:hanging="360"/>
      </w:pPr>
      <w:rPr>
        <w:rFonts w:hint="default" w:ascii="Wingdings" w:hAnsi="Wingdings"/>
      </w:rPr>
    </w:lvl>
  </w:abstractNum>
  <w:abstractNum w:abstractNumId="61">
    <w:nsid w:val="26541EBD"/>
    <w:multiLevelType w:val="singleLevel"/>
    <w:tmpl w:val="26541EBD"/>
    <w:lvl w:ilvl="0" w:tentative="0">
      <w:start w:val="1"/>
      <w:numFmt w:val="decimal"/>
      <w:suff w:val="nothing"/>
      <w:lvlText w:val="%1．"/>
      <w:lvlJc w:val="left"/>
      <w:pPr>
        <w:ind w:left="0" w:firstLine="400"/>
      </w:pPr>
      <w:rPr>
        <w:rFonts w:hint="default"/>
      </w:rPr>
    </w:lvl>
  </w:abstractNum>
  <w:abstractNum w:abstractNumId="62">
    <w:nsid w:val="26855BF5"/>
    <w:multiLevelType w:val="singleLevel"/>
    <w:tmpl w:val="26855BF5"/>
    <w:lvl w:ilvl="0" w:tentative="0">
      <w:start w:val="1"/>
      <w:numFmt w:val="decimal"/>
      <w:suff w:val="space"/>
      <w:lvlText w:val="%1."/>
      <w:lvlJc w:val="left"/>
    </w:lvl>
  </w:abstractNum>
  <w:abstractNum w:abstractNumId="63">
    <w:nsid w:val="307A52CC"/>
    <w:multiLevelType w:val="singleLevel"/>
    <w:tmpl w:val="307A52CC"/>
    <w:lvl w:ilvl="0" w:tentative="0">
      <w:start w:val="1"/>
      <w:numFmt w:val="decimal"/>
      <w:lvlText w:val="(%1)"/>
      <w:lvlJc w:val="left"/>
      <w:pPr>
        <w:ind w:left="425" w:hanging="425"/>
      </w:pPr>
      <w:rPr>
        <w:rFonts w:hint="default"/>
      </w:rPr>
    </w:lvl>
  </w:abstractNum>
  <w:abstractNum w:abstractNumId="64">
    <w:nsid w:val="30BCD948"/>
    <w:multiLevelType w:val="singleLevel"/>
    <w:tmpl w:val="30BCD948"/>
    <w:lvl w:ilvl="0" w:tentative="0">
      <w:start w:val="1"/>
      <w:numFmt w:val="decimal"/>
      <w:suff w:val="nothing"/>
      <w:lvlText w:val="%1．"/>
      <w:lvlJc w:val="left"/>
      <w:pPr>
        <w:ind w:left="0" w:firstLine="400"/>
      </w:pPr>
      <w:rPr>
        <w:rFonts w:hint="default"/>
      </w:rPr>
    </w:lvl>
  </w:abstractNum>
  <w:abstractNum w:abstractNumId="65">
    <w:nsid w:val="361AA532"/>
    <w:multiLevelType w:val="singleLevel"/>
    <w:tmpl w:val="361AA532"/>
    <w:lvl w:ilvl="0" w:tentative="0">
      <w:start w:val="1"/>
      <w:numFmt w:val="decimal"/>
      <w:lvlText w:val="%1."/>
      <w:lvlJc w:val="left"/>
      <w:pPr>
        <w:tabs>
          <w:tab w:val="left" w:pos="312"/>
        </w:tabs>
      </w:pPr>
    </w:lvl>
  </w:abstractNum>
  <w:abstractNum w:abstractNumId="66">
    <w:nsid w:val="36B73EA9"/>
    <w:multiLevelType w:val="multilevel"/>
    <w:tmpl w:val="36B73EA9"/>
    <w:lvl w:ilvl="0" w:tentative="0">
      <w:start w:val="1"/>
      <w:numFmt w:val="decimal"/>
      <w:suff w:val="space"/>
      <w:lvlText w:val="第%1章"/>
      <w:lvlJc w:val="left"/>
      <w:pPr>
        <w:ind w:left="142" w:hanging="142"/>
      </w:pPr>
      <w:rPr>
        <w:rFonts w:hint="default" w:ascii="Times New Roman" w:hAnsi="Times New Roman" w:eastAsia="仿宋" w:cs="Times New Roman"/>
        <w:b/>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1" w:tentative="0">
      <w:start w:val="1"/>
      <w:numFmt w:val="decimal"/>
      <w:pStyle w:val="75"/>
      <w:suff w:val="space"/>
      <w:lvlText w:val="%1.%2"/>
      <w:lvlJc w:val="left"/>
      <w:pPr>
        <w:ind w:left="284" w:hanging="142"/>
      </w:pPr>
      <w:rPr>
        <w:rFonts w:hint="eastAsia"/>
      </w:rPr>
    </w:lvl>
    <w:lvl w:ilvl="2" w:tentative="0">
      <w:start w:val="1"/>
      <w:numFmt w:val="decimal"/>
      <w:pStyle w:val="73"/>
      <w:suff w:val="space"/>
      <w:lvlText w:val="%1.%2.%3"/>
      <w:lvlJc w:val="left"/>
      <w:pPr>
        <w:ind w:left="426" w:hanging="142"/>
      </w:pPr>
      <w:rPr>
        <w:rFonts w:hint="eastAsia"/>
      </w:rPr>
    </w:lvl>
    <w:lvl w:ilvl="3" w:tentative="0">
      <w:start w:val="1"/>
      <w:numFmt w:val="decimal"/>
      <w:suff w:val="space"/>
      <w:lvlText w:val="（%4）"/>
      <w:lvlJc w:val="left"/>
      <w:pPr>
        <w:ind w:left="142" w:hanging="142"/>
      </w:pPr>
      <w:rPr>
        <w:rFonts w:hint="default" w:ascii="Times New Roman" w:hAnsi="Times New Roman" w:cs="Times New Roman"/>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4" w:tentative="0">
      <w:start w:val="1"/>
      <w:numFmt w:val="decimal"/>
      <w:lvlText w:val="%1.%2.%3.%4.%5"/>
      <w:lvlJc w:val="left"/>
      <w:pPr>
        <w:ind w:left="710" w:hanging="142"/>
      </w:pPr>
      <w:rPr>
        <w:rFonts w:hint="eastAsia"/>
      </w:rPr>
    </w:lvl>
    <w:lvl w:ilvl="5" w:tentative="0">
      <w:start w:val="1"/>
      <w:numFmt w:val="decimal"/>
      <w:lvlText w:val="%1.%2.%3.%4.%5.%6"/>
      <w:lvlJc w:val="left"/>
      <w:pPr>
        <w:ind w:left="852" w:hanging="142"/>
      </w:pPr>
      <w:rPr>
        <w:rFonts w:hint="eastAsia"/>
      </w:rPr>
    </w:lvl>
    <w:lvl w:ilvl="6" w:tentative="0">
      <w:start w:val="1"/>
      <w:numFmt w:val="decimal"/>
      <w:lvlText w:val="%1.%2.%3.%4.%5.%6.%7"/>
      <w:lvlJc w:val="left"/>
      <w:pPr>
        <w:ind w:left="994" w:hanging="142"/>
      </w:pPr>
      <w:rPr>
        <w:rFonts w:hint="eastAsia"/>
      </w:rPr>
    </w:lvl>
    <w:lvl w:ilvl="7" w:tentative="0">
      <w:start w:val="1"/>
      <w:numFmt w:val="decimal"/>
      <w:lvlText w:val="%1.%2.%3.%4.%5.%6.%7.%8"/>
      <w:lvlJc w:val="left"/>
      <w:pPr>
        <w:ind w:left="1136" w:hanging="142"/>
      </w:pPr>
      <w:rPr>
        <w:rFonts w:hint="eastAsia"/>
      </w:rPr>
    </w:lvl>
    <w:lvl w:ilvl="8" w:tentative="0">
      <w:start w:val="1"/>
      <w:numFmt w:val="decimal"/>
      <w:lvlText w:val="%1.%2.%3.%4.%5.%6.%7.%8.%9"/>
      <w:lvlJc w:val="left"/>
      <w:pPr>
        <w:ind w:left="1278" w:hanging="142"/>
      </w:pPr>
      <w:rPr>
        <w:rFonts w:hint="eastAsia"/>
      </w:rPr>
    </w:lvl>
  </w:abstractNum>
  <w:abstractNum w:abstractNumId="67">
    <w:nsid w:val="38837CC1"/>
    <w:multiLevelType w:val="singleLevel"/>
    <w:tmpl w:val="38837CC1"/>
    <w:lvl w:ilvl="0" w:tentative="0">
      <w:start w:val="1"/>
      <w:numFmt w:val="decimal"/>
      <w:suff w:val="nothing"/>
      <w:lvlText w:val="%1．"/>
      <w:lvlJc w:val="left"/>
      <w:pPr>
        <w:ind w:left="0" w:firstLine="400"/>
      </w:pPr>
      <w:rPr>
        <w:rFonts w:hint="default"/>
      </w:rPr>
    </w:lvl>
  </w:abstractNum>
  <w:abstractNum w:abstractNumId="68">
    <w:nsid w:val="3E5B0DEA"/>
    <w:multiLevelType w:val="singleLevel"/>
    <w:tmpl w:val="3E5B0DEA"/>
    <w:lvl w:ilvl="0" w:tentative="0">
      <w:start w:val="1"/>
      <w:numFmt w:val="decimal"/>
      <w:lvlText w:val="(%1)"/>
      <w:lvlJc w:val="left"/>
      <w:pPr>
        <w:ind w:left="425" w:hanging="425"/>
      </w:pPr>
      <w:rPr>
        <w:rFonts w:hint="default"/>
      </w:rPr>
    </w:lvl>
  </w:abstractNum>
  <w:abstractNum w:abstractNumId="69">
    <w:nsid w:val="3F675338"/>
    <w:multiLevelType w:val="singleLevel"/>
    <w:tmpl w:val="3F675338"/>
    <w:lvl w:ilvl="0" w:tentative="0">
      <w:start w:val="1"/>
      <w:numFmt w:val="decimal"/>
      <w:suff w:val="nothing"/>
      <w:lvlText w:val="%1．"/>
      <w:lvlJc w:val="left"/>
      <w:pPr>
        <w:ind w:left="0" w:firstLine="400"/>
      </w:pPr>
      <w:rPr>
        <w:rFonts w:hint="default"/>
      </w:rPr>
    </w:lvl>
  </w:abstractNum>
  <w:abstractNum w:abstractNumId="70">
    <w:nsid w:val="45003764"/>
    <w:multiLevelType w:val="singleLevel"/>
    <w:tmpl w:val="45003764"/>
    <w:lvl w:ilvl="0" w:tentative="0">
      <w:start w:val="1"/>
      <w:numFmt w:val="decimal"/>
      <w:suff w:val="nothing"/>
      <w:lvlText w:val="%1．"/>
      <w:lvlJc w:val="left"/>
      <w:pPr>
        <w:ind w:left="0" w:firstLine="400"/>
      </w:pPr>
      <w:rPr>
        <w:rFonts w:hint="default"/>
      </w:rPr>
    </w:lvl>
  </w:abstractNum>
  <w:abstractNum w:abstractNumId="71">
    <w:nsid w:val="4634C445"/>
    <w:multiLevelType w:val="singleLevel"/>
    <w:tmpl w:val="4634C445"/>
    <w:lvl w:ilvl="0" w:tentative="0">
      <w:start w:val="1"/>
      <w:numFmt w:val="decimalEnclosedCircleChinese"/>
      <w:suff w:val="nothing"/>
      <w:lvlText w:val="%1　"/>
      <w:lvlJc w:val="left"/>
      <w:pPr>
        <w:ind w:left="0" w:firstLine="400"/>
      </w:pPr>
      <w:rPr>
        <w:rFonts w:hint="eastAsia"/>
      </w:rPr>
    </w:lvl>
  </w:abstractNum>
  <w:abstractNum w:abstractNumId="72">
    <w:nsid w:val="4B9E6BB1"/>
    <w:multiLevelType w:val="singleLevel"/>
    <w:tmpl w:val="4B9E6BB1"/>
    <w:lvl w:ilvl="0" w:tentative="0">
      <w:start w:val="1"/>
      <w:numFmt w:val="decimalEnclosedCircleChinese"/>
      <w:suff w:val="nothing"/>
      <w:lvlText w:val="%1　"/>
      <w:lvlJc w:val="left"/>
      <w:pPr>
        <w:ind w:left="0" w:firstLine="400"/>
      </w:pPr>
      <w:rPr>
        <w:rFonts w:hint="eastAsia"/>
      </w:rPr>
    </w:lvl>
  </w:abstractNum>
  <w:abstractNum w:abstractNumId="73">
    <w:nsid w:val="51CBD270"/>
    <w:multiLevelType w:val="singleLevel"/>
    <w:tmpl w:val="51CBD270"/>
    <w:lvl w:ilvl="0" w:tentative="0">
      <w:start w:val="1"/>
      <w:numFmt w:val="decimal"/>
      <w:lvlText w:val="(%1)"/>
      <w:lvlJc w:val="left"/>
      <w:pPr>
        <w:ind w:left="425" w:hanging="425"/>
      </w:pPr>
      <w:rPr>
        <w:rFonts w:hint="default"/>
      </w:rPr>
    </w:lvl>
  </w:abstractNum>
  <w:abstractNum w:abstractNumId="74">
    <w:nsid w:val="552892C6"/>
    <w:multiLevelType w:val="singleLevel"/>
    <w:tmpl w:val="552892C6"/>
    <w:lvl w:ilvl="0" w:tentative="0">
      <w:start w:val="1"/>
      <w:numFmt w:val="decimal"/>
      <w:suff w:val="nothing"/>
      <w:lvlText w:val="%1．"/>
      <w:lvlJc w:val="left"/>
      <w:pPr>
        <w:ind w:left="0" w:firstLine="400"/>
      </w:pPr>
      <w:rPr>
        <w:rFonts w:hint="default"/>
      </w:rPr>
    </w:lvl>
  </w:abstractNum>
  <w:abstractNum w:abstractNumId="75">
    <w:nsid w:val="5ADDFB82"/>
    <w:multiLevelType w:val="singleLevel"/>
    <w:tmpl w:val="5ADDFB82"/>
    <w:lvl w:ilvl="0" w:tentative="0">
      <w:start w:val="1"/>
      <w:numFmt w:val="decimalEnclosedCircleChinese"/>
      <w:suff w:val="nothing"/>
      <w:lvlText w:val="%1　"/>
      <w:lvlJc w:val="left"/>
      <w:pPr>
        <w:ind w:left="0" w:firstLine="400"/>
      </w:pPr>
      <w:rPr>
        <w:rFonts w:hint="eastAsia"/>
      </w:rPr>
    </w:lvl>
  </w:abstractNum>
  <w:abstractNum w:abstractNumId="76">
    <w:nsid w:val="5C57DAC8"/>
    <w:multiLevelType w:val="singleLevel"/>
    <w:tmpl w:val="5C57DAC8"/>
    <w:lvl w:ilvl="0" w:tentative="0">
      <w:start w:val="1"/>
      <w:numFmt w:val="decimal"/>
      <w:lvlText w:val="(%1)"/>
      <w:lvlJc w:val="left"/>
      <w:pPr>
        <w:ind w:left="425" w:hanging="425"/>
      </w:pPr>
      <w:rPr>
        <w:rFonts w:hint="default"/>
      </w:rPr>
    </w:lvl>
  </w:abstractNum>
  <w:abstractNum w:abstractNumId="77">
    <w:nsid w:val="5E535C42"/>
    <w:multiLevelType w:val="singleLevel"/>
    <w:tmpl w:val="5E535C42"/>
    <w:lvl w:ilvl="0" w:tentative="0">
      <w:start w:val="1"/>
      <w:numFmt w:val="decimal"/>
      <w:suff w:val="nothing"/>
      <w:lvlText w:val="%1．"/>
      <w:lvlJc w:val="left"/>
      <w:pPr>
        <w:ind w:left="0" w:firstLine="400"/>
      </w:pPr>
      <w:rPr>
        <w:rFonts w:hint="default"/>
      </w:rPr>
    </w:lvl>
  </w:abstractNum>
  <w:abstractNum w:abstractNumId="78">
    <w:nsid w:val="5EEC8480"/>
    <w:multiLevelType w:val="singleLevel"/>
    <w:tmpl w:val="5EEC8480"/>
    <w:lvl w:ilvl="0" w:tentative="0">
      <w:start w:val="1"/>
      <w:numFmt w:val="decimal"/>
      <w:suff w:val="nothing"/>
      <w:lvlText w:val="%1．"/>
      <w:lvlJc w:val="left"/>
      <w:pPr>
        <w:ind w:left="0" w:firstLine="400"/>
      </w:pPr>
      <w:rPr>
        <w:rFonts w:hint="default"/>
      </w:rPr>
    </w:lvl>
  </w:abstractNum>
  <w:abstractNum w:abstractNumId="79">
    <w:nsid w:val="62741B30"/>
    <w:multiLevelType w:val="singleLevel"/>
    <w:tmpl w:val="62741B30"/>
    <w:lvl w:ilvl="0" w:tentative="0">
      <w:start w:val="1"/>
      <w:numFmt w:val="bullet"/>
      <w:lvlText w:val=""/>
      <w:lvlJc w:val="left"/>
      <w:pPr>
        <w:ind w:left="420" w:hanging="420"/>
      </w:pPr>
      <w:rPr>
        <w:rFonts w:hint="default" w:ascii="Wingdings" w:hAnsi="Wingdings"/>
      </w:rPr>
    </w:lvl>
  </w:abstractNum>
  <w:abstractNum w:abstractNumId="80">
    <w:nsid w:val="656D9973"/>
    <w:multiLevelType w:val="singleLevel"/>
    <w:tmpl w:val="656D9973"/>
    <w:lvl w:ilvl="0" w:tentative="0">
      <w:start w:val="1"/>
      <w:numFmt w:val="decimalEnclosedCircleChinese"/>
      <w:suff w:val="nothing"/>
      <w:lvlText w:val="%1　"/>
      <w:lvlJc w:val="left"/>
      <w:pPr>
        <w:ind w:left="0" w:firstLine="400"/>
      </w:pPr>
      <w:rPr>
        <w:rFonts w:hint="eastAsia"/>
      </w:rPr>
    </w:lvl>
  </w:abstractNum>
  <w:abstractNum w:abstractNumId="81">
    <w:nsid w:val="6732D102"/>
    <w:multiLevelType w:val="singleLevel"/>
    <w:tmpl w:val="6732D102"/>
    <w:lvl w:ilvl="0" w:tentative="0">
      <w:start w:val="1"/>
      <w:numFmt w:val="decimal"/>
      <w:suff w:val="nothing"/>
      <w:lvlText w:val="%1．"/>
      <w:lvlJc w:val="left"/>
      <w:pPr>
        <w:ind w:left="0" w:firstLine="400"/>
      </w:pPr>
      <w:rPr>
        <w:rFonts w:hint="default"/>
      </w:rPr>
    </w:lvl>
  </w:abstractNum>
  <w:abstractNum w:abstractNumId="82">
    <w:nsid w:val="6860D50D"/>
    <w:multiLevelType w:val="singleLevel"/>
    <w:tmpl w:val="6860D50D"/>
    <w:lvl w:ilvl="0" w:tentative="0">
      <w:start w:val="1"/>
      <w:numFmt w:val="decimal"/>
      <w:lvlText w:val="(%1)"/>
      <w:lvlJc w:val="left"/>
      <w:pPr>
        <w:ind w:left="425" w:hanging="425"/>
      </w:pPr>
      <w:rPr>
        <w:rFonts w:hint="default"/>
      </w:rPr>
    </w:lvl>
  </w:abstractNum>
  <w:abstractNum w:abstractNumId="83">
    <w:nsid w:val="6C94500C"/>
    <w:multiLevelType w:val="singleLevel"/>
    <w:tmpl w:val="6C94500C"/>
    <w:lvl w:ilvl="0" w:tentative="0">
      <w:start w:val="1"/>
      <w:numFmt w:val="decimal"/>
      <w:suff w:val="nothing"/>
      <w:lvlText w:val="%1．"/>
      <w:lvlJc w:val="left"/>
      <w:pPr>
        <w:ind w:left="0" w:firstLine="400"/>
      </w:pPr>
      <w:rPr>
        <w:rFonts w:hint="default"/>
      </w:rPr>
    </w:lvl>
  </w:abstractNum>
  <w:abstractNum w:abstractNumId="84">
    <w:nsid w:val="70FD1967"/>
    <w:multiLevelType w:val="singleLevel"/>
    <w:tmpl w:val="70FD1967"/>
    <w:lvl w:ilvl="0" w:tentative="0">
      <w:start w:val="1"/>
      <w:numFmt w:val="decimal"/>
      <w:lvlText w:val="(%1)"/>
      <w:lvlJc w:val="left"/>
      <w:pPr>
        <w:ind w:left="425" w:hanging="425"/>
      </w:pPr>
      <w:rPr>
        <w:rFonts w:hint="default"/>
      </w:rPr>
    </w:lvl>
  </w:abstractNum>
  <w:abstractNum w:abstractNumId="85">
    <w:nsid w:val="7240A788"/>
    <w:multiLevelType w:val="singleLevel"/>
    <w:tmpl w:val="7240A788"/>
    <w:lvl w:ilvl="0" w:tentative="0">
      <w:start w:val="1"/>
      <w:numFmt w:val="decimal"/>
      <w:suff w:val="nothing"/>
      <w:lvlText w:val="%1．"/>
      <w:lvlJc w:val="left"/>
      <w:pPr>
        <w:ind w:left="0" w:firstLine="400"/>
      </w:pPr>
      <w:rPr>
        <w:rFonts w:hint="default"/>
      </w:rPr>
    </w:lvl>
  </w:abstractNum>
  <w:abstractNum w:abstractNumId="86">
    <w:nsid w:val="75C935DC"/>
    <w:multiLevelType w:val="singleLevel"/>
    <w:tmpl w:val="75C935DC"/>
    <w:lvl w:ilvl="0" w:tentative="0">
      <w:start w:val="1"/>
      <w:numFmt w:val="decimal"/>
      <w:lvlText w:val="(%1)"/>
      <w:lvlJc w:val="left"/>
      <w:pPr>
        <w:ind w:left="425" w:hanging="425"/>
      </w:pPr>
      <w:rPr>
        <w:rFonts w:hint="default"/>
      </w:rPr>
    </w:lvl>
  </w:abstractNum>
  <w:abstractNum w:abstractNumId="87">
    <w:nsid w:val="76923EF2"/>
    <w:multiLevelType w:val="singleLevel"/>
    <w:tmpl w:val="76923EF2"/>
    <w:lvl w:ilvl="0" w:tentative="0">
      <w:start w:val="1"/>
      <w:numFmt w:val="decimal"/>
      <w:lvlText w:val="(%1)"/>
      <w:lvlJc w:val="left"/>
      <w:pPr>
        <w:ind w:left="425" w:hanging="425"/>
      </w:pPr>
      <w:rPr>
        <w:rFonts w:hint="default"/>
      </w:rPr>
    </w:lvl>
  </w:abstractNum>
  <w:abstractNum w:abstractNumId="88">
    <w:nsid w:val="7BAE9919"/>
    <w:multiLevelType w:val="singleLevel"/>
    <w:tmpl w:val="7BAE9919"/>
    <w:lvl w:ilvl="0" w:tentative="0">
      <w:start w:val="1"/>
      <w:numFmt w:val="decimal"/>
      <w:suff w:val="nothing"/>
      <w:lvlText w:val="%1．"/>
      <w:lvlJc w:val="left"/>
      <w:pPr>
        <w:ind w:left="0" w:firstLine="400"/>
      </w:pPr>
      <w:rPr>
        <w:rFonts w:hint="default"/>
      </w:rPr>
    </w:lvl>
  </w:abstractNum>
  <w:abstractNum w:abstractNumId="89">
    <w:nsid w:val="7C2AD1BA"/>
    <w:multiLevelType w:val="singleLevel"/>
    <w:tmpl w:val="7C2AD1BA"/>
    <w:lvl w:ilvl="0" w:tentative="0">
      <w:start w:val="1"/>
      <w:numFmt w:val="decimal"/>
      <w:suff w:val="nothing"/>
      <w:lvlText w:val="%1．"/>
      <w:lvlJc w:val="left"/>
      <w:pPr>
        <w:ind w:left="0" w:firstLine="400"/>
      </w:pPr>
      <w:rPr>
        <w:rFonts w:hint="default"/>
      </w:rPr>
    </w:lvl>
  </w:abstractNum>
  <w:abstractNum w:abstractNumId="90">
    <w:nsid w:val="7DA089CC"/>
    <w:multiLevelType w:val="multilevel"/>
    <w:tmpl w:val="7DA089CC"/>
    <w:lvl w:ilvl="0" w:tentative="0">
      <w:start w:val="1"/>
      <w:numFmt w:val="chineseCounting"/>
      <w:pStyle w:val="2"/>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91">
    <w:nsid w:val="7DF931EE"/>
    <w:multiLevelType w:val="singleLevel"/>
    <w:tmpl w:val="7DF931EE"/>
    <w:lvl w:ilvl="0" w:tentative="0">
      <w:start w:val="1"/>
      <w:numFmt w:val="decimal"/>
      <w:lvlText w:val="(%1)"/>
      <w:lvlJc w:val="left"/>
      <w:pPr>
        <w:ind w:left="425" w:hanging="425"/>
      </w:pPr>
      <w:rPr>
        <w:rFonts w:hint="default"/>
      </w:rPr>
    </w:lvl>
  </w:abstractNum>
  <w:abstractNum w:abstractNumId="92">
    <w:nsid w:val="7F0C520A"/>
    <w:multiLevelType w:val="singleLevel"/>
    <w:tmpl w:val="7F0C520A"/>
    <w:lvl w:ilvl="0" w:tentative="0">
      <w:start w:val="1"/>
      <w:numFmt w:val="decimal"/>
      <w:suff w:val="nothing"/>
      <w:lvlText w:val="%1．"/>
      <w:lvlJc w:val="left"/>
      <w:pPr>
        <w:ind w:left="0" w:firstLine="400"/>
      </w:pPr>
      <w:rPr>
        <w:rFonts w:hint="default"/>
      </w:rPr>
    </w:lvl>
  </w:abstractNum>
  <w:num w:numId="1">
    <w:abstractNumId w:val="90"/>
  </w:num>
  <w:num w:numId="2">
    <w:abstractNumId w:val="15"/>
  </w:num>
  <w:num w:numId="3">
    <w:abstractNumId w:val="60"/>
  </w:num>
  <w:num w:numId="4">
    <w:abstractNumId w:val="66"/>
  </w:num>
  <w:num w:numId="5">
    <w:abstractNumId w:val="47"/>
  </w:num>
  <w:num w:numId="6">
    <w:abstractNumId w:val="28"/>
  </w:num>
  <w:num w:numId="7">
    <w:abstractNumId w:val="62"/>
  </w:num>
  <w:num w:numId="8">
    <w:abstractNumId w:val="30"/>
  </w:num>
  <w:num w:numId="9">
    <w:abstractNumId w:val="70"/>
  </w:num>
  <w:num w:numId="10">
    <w:abstractNumId w:val="61"/>
  </w:num>
  <w:num w:numId="11">
    <w:abstractNumId w:val="39"/>
  </w:num>
  <w:num w:numId="12">
    <w:abstractNumId w:val="78"/>
  </w:num>
  <w:num w:numId="13">
    <w:abstractNumId w:val="67"/>
  </w:num>
  <w:num w:numId="14">
    <w:abstractNumId w:val="46"/>
  </w:num>
  <w:num w:numId="15">
    <w:abstractNumId w:val="38"/>
  </w:num>
  <w:num w:numId="16">
    <w:abstractNumId w:val="72"/>
  </w:num>
  <w:num w:numId="17">
    <w:abstractNumId w:val="12"/>
  </w:num>
  <w:num w:numId="18">
    <w:abstractNumId w:val="50"/>
  </w:num>
  <w:num w:numId="19">
    <w:abstractNumId w:val="8"/>
  </w:num>
  <w:num w:numId="20">
    <w:abstractNumId w:val="79"/>
  </w:num>
  <w:num w:numId="21">
    <w:abstractNumId w:val="1"/>
  </w:num>
  <w:num w:numId="22">
    <w:abstractNumId w:val="13"/>
  </w:num>
  <w:num w:numId="23">
    <w:abstractNumId w:val="34"/>
  </w:num>
  <w:num w:numId="24">
    <w:abstractNumId w:val="58"/>
  </w:num>
  <w:num w:numId="25">
    <w:abstractNumId w:val="5"/>
  </w:num>
  <w:num w:numId="26">
    <w:abstractNumId w:val="0"/>
  </w:num>
  <w:num w:numId="27">
    <w:abstractNumId w:val="54"/>
  </w:num>
  <w:num w:numId="28">
    <w:abstractNumId w:val="20"/>
  </w:num>
  <w:num w:numId="29">
    <w:abstractNumId w:val="10"/>
  </w:num>
  <w:num w:numId="30">
    <w:abstractNumId w:val="37"/>
  </w:num>
  <w:num w:numId="31">
    <w:abstractNumId w:val="85"/>
  </w:num>
  <w:num w:numId="32">
    <w:abstractNumId w:val="21"/>
  </w:num>
  <w:num w:numId="33">
    <w:abstractNumId w:val="40"/>
  </w:num>
  <w:num w:numId="34">
    <w:abstractNumId w:val="56"/>
  </w:num>
  <w:num w:numId="35">
    <w:abstractNumId w:val="51"/>
  </w:num>
  <w:num w:numId="36">
    <w:abstractNumId w:val="57"/>
  </w:num>
  <w:num w:numId="37">
    <w:abstractNumId w:val="49"/>
  </w:num>
  <w:num w:numId="38">
    <w:abstractNumId w:val="25"/>
  </w:num>
  <w:num w:numId="39">
    <w:abstractNumId w:val="16"/>
  </w:num>
  <w:num w:numId="40">
    <w:abstractNumId w:val="26"/>
  </w:num>
  <w:num w:numId="41">
    <w:abstractNumId w:val="32"/>
  </w:num>
  <w:num w:numId="42">
    <w:abstractNumId w:val="7"/>
  </w:num>
  <w:num w:numId="43">
    <w:abstractNumId w:val="3"/>
  </w:num>
  <w:num w:numId="44">
    <w:abstractNumId w:val="65"/>
  </w:num>
  <w:num w:numId="45">
    <w:abstractNumId w:val="2"/>
  </w:num>
  <w:num w:numId="46">
    <w:abstractNumId w:val="17"/>
  </w:num>
  <w:num w:numId="47">
    <w:abstractNumId w:val="92"/>
  </w:num>
  <w:num w:numId="48">
    <w:abstractNumId w:val="83"/>
  </w:num>
  <w:num w:numId="49">
    <w:abstractNumId w:val="33"/>
  </w:num>
  <w:num w:numId="50">
    <w:abstractNumId w:val="36"/>
  </w:num>
  <w:num w:numId="51">
    <w:abstractNumId w:val="41"/>
  </w:num>
  <w:num w:numId="52">
    <w:abstractNumId w:val="76"/>
  </w:num>
  <w:num w:numId="53">
    <w:abstractNumId w:val="77"/>
  </w:num>
  <w:num w:numId="54">
    <w:abstractNumId w:val="4"/>
  </w:num>
  <w:num w:numId="55">
    <w:abstractNumId w:val="23"/>
  </w:num>
  <w:num w:numId="56">
    <w:abstractNumId w:val="31"/>
  </w:num>
  <w:num w:numId="57">
    <w:abstractNumId w:val="11"/>
  </w:num>
  <w:num w:numId="58">
    <w:abstractNumId w:val="14"/>
  </w:num>
  <w:num w:numId="59">
    <w:abstractNumId w:val="6"/>
  </w:num>
  <w:num w:numId="60">
    <w:abstractNumId w:val="42"/>
  </w:num>
  <w:num w:numId="61">
    <w:abstractNumId w:val="89"/>
  </w:num>
  <w:num w:numId="62">
    <w:abstractNumId w:val="29"/>
  </w:num>
  <w:num w:numId="63">
    <w:abstractNumId w:val="64"/>
  </w:num>
  <w:num w:numId="64">
    <w:abstractNumId w:val="63"/>
  </w:num>
  <w:num w:numId="65">
    <w:abstractNumId w:val="86"/>
  </w:num>
  <w:num w:numId="66">
    <w:abstractNumId w:val="69"/>
  </w:num>
  <w:num w:numId="67">
    <w:abstractNumId w:val="84"/>
  </w:num>
  <w:num w:numId="68">
    <w:abstractNumId w:val="71"/>
  </w:num>
  <w:num w:numId="69">
    <w:abstractNumId w:val="75"/>
  </w:num>
  <w:num w:numId="70">
    <w:abstractNumId w:val="45"/>
  </w:num>
  <w:num w:numId="71">
    <w:abstractNumId w:val="82"/>
  </w:num>
  <w:num w:numId="72">
    <w:abstractNumId w:val="87"/>
  </w:num>
  <w:num w:numId="73">
    <w:abstractNumId w:val="44"/>
  </w:num>
  <w:num w:numId="74">
    <w:abstractNumId w:val="55"/>
  </w:num>
  <w:num w:numId="75">
    <w:abstractNumId w:val="18"/>
  </w:num>
  <w:num w:numId="76">
    <w:abstractNumId w:val="88"/>
  </w:num>
  <w:num w:numId="77">
    <w:abstractNumId w:val="48"/>
  </w:num>
  <w:num w:numId="78">
    <w:abstractNumId w:val="91"/>
  </w:num>
  <w:num w:numId="79">
    <w:abstractNumId w:val="22"/>
  </w:num>
  <w:num w:numId="80">
    <w:abstractNumId w:val="27"/>
  </w:num>
  <w:num w:numId="81">
    <w:abstractNumId w:val="68"/>
  </w:num>
  <w:num w:numId="82">
    <w:abstractNumId w:val="59"/>
  </w:num>
  <w:num w:numId="83">
    <w:abstractNumId w:val="74"/>
  </w:num>
  <w:num w:numId="84">
    <w:abstractNumId w:val="19"/>
  </w:num>
  <w:num w:numId="85">
    <w:abstractNumId w:val="73"/>
  </w:num>
  <w:num w:numId="86">
    <w:abstractNumId w:val="80"/>
  </w:num>
  <w:num w:numId="87">
    <w:abstractNumId w:val="43"/>
  </w:num>
  <w:num w:numId="88">
    <w:abstractNumId w:val="53"/>
  </w:num>
  <w:num w:numId="89">
    <w:abstractNumId w:val="9"/>
  </w:num>
  <w:num w:numId="90">
    <w:abstractNumId w:val="52"/>
  </w:num>
  <w:num w:numId="91">
    <w:abstractNumId w:val="81"/>
  </w:num>
  <w:num w:numId="92">
    <w:abstractNumId w:val="24"/>
  </w:num>
  <w:num w:numId="9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hideSpellingErrors/>
  <w:hideGrammaticalErrors/>
  <w:documentProtection w:enforcement="0"/>
  <w:defaultTabStop w:val="420"/>
  <w:drawingGridHorizontalSpacing w:val="120"/>
  <w:drawingGridVerticalSpacing w:val="16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QzMTMzMmQ5ODMzYThjMzMyMDRjYjAxNGUzNjY4ZjcifQ=="/>
  </w:docVars>
  <w:rsids>
    <w:rsidRoot w:val="00FD5D2F"/>
    <w:rsid w:val="00020FE6"/>
    <w:rsid w:val="00060510"/>
    <w:rsid w:val="000E232B"/>
    <w:rsid w:val="0017632C"/>
    <w:rsid w:val="00184365"/>
    <w:rsid w:val="001A715F"/>
    <w:rsid w:val="00272486"/>
    <w:rsid w:val="002728A3"/>
    <w:rsid w:val="00382DEE"/>
    <w:rsid w:val="003B7183"/>
    <w:rsid w:val="00481F2D"/>
    <w:rsid w:val="004D7812"/>
    <w:rsid w:val="00616456"/>
    <w:rsid w:val="006B604B"/>
    <w:rsid w:val="006E275A"/>
    <w:rsid w:val="008D71A4"/>
    <w:rsid w:val="00983699"/>
    <w:rsid w:val="00A65778"/>
    <w:rsid w:val="00AF0213"/>
    <w:rsid w:val="00B14FFC"/>
    <w:rsid w:val="00B21677"/>
    <w:rsid w:val="00BC614B"/>
    <w:rsid w:val="00C56BBA"/>
    <w:rsid w:val="00C57FBC"/>
    <w:rsid w:val="00CB3D1D"/>
    <w:rsid w:val="00D37DB4"/>
    <w:rsid w:val="00D86428"/>
    <w:rsid w:val="00E37C3F"/>
    <w:rsid w:val="00E47475"/>
    <w:rsid w:val="00E6547A"/>
    <w:rsid w:val="00EB5108"/>
    <w:rsid w:val="00F9011D"/>
    <w:rsid w:val="00FD5D2F"/>
    <w:rsid w:val="0147153B"/>
    <w:rsid w:val="019F37E7"/>
    <w:rsid w:val="01FD7E4B"/>
    <w:rsid w:val="020408AD"/>
    <w:rsid w:val="02140E40"/>
    <w:rsid w:val="021B0BE9"/>
    <w:rsid w:val="023B2E67"/>
    <w:rsid w:val="02625F86"/>
    <w:rsid w:val="02C802FA"/>
    <w:rsid w:val="032640B7"/>
    <w:rsid w:val="033A4CA1"/>
    <w:rsid w:val="03463E42"/>
    <w:rsid w:val="035D7E14"/>
    <w:rsid w:val="03A70D11"/>
    <w:rsid w:val="03E50381"/>
    <w:rsid w:val="041722EE"/>
    <w:rsid w:val="042F73F7"/>
    <w:rsid w:val="047047B5"/>
    <w:rsid w:val="04A11BC4"/>
    <w:rsid w:val="04B64BC9"/>
    <w:rsid w:val="04D01C82"/>
    <w:rsid w:val="04ED085E"/>
    <w:rsid w:val="054D7A1C"/>
    <w:rsid w:val="05587C17"/>
    <w:rsid w:val="05863317"/>
    <w:rsid w:val="060C6BA2"/>
    <w:rsid w:val="061C433E"/>
    <w:rsid w:val="061C759E"/>
    <w:rsid w:val="0648365F"/>
    <w:rsid w:val="065FDB8D"/>
    <w:rsid w:val="0671239A"/>
    <w:rsid w:val="06E61F44"/>
    <w:rsid w:val="072B5913"/>
    <w:rsid w:val="07451D85"/>
    <w:rsid w:val="076C1DBB"/>
    <w:rsid w:val="07843549"/>
    <w:rsid w:val="078660C9"/>
    <w:rsid w:val="07CA4C73"/>
    <w:rsid w:val="08894AD4"/>
    <w:rsid w:val="089934ED"/>
    <w:rsid w:val="092935D9"/>
    <w:rsid w:val="09363FEA"/>
    <w:rsid w:val="094B31A7"/>
    <w:rsid w:val="094B77E8"/>
    <w:rsid w:val="095377FB"/>
    <w:rsid w:val="096E7880"/>
    <w:rsid w:val="098F7E6A"/>
    <w:rsid w:val="09902773"/>
    <w:rsid w:val="09A514F4"/>
    <w:rsid w:val="09CF055F"/>
    <w:rsid w:val="09D72C53"/>
    <w:rsid w:val="09E33D80"/>
    <w:rsid w:val="0A075D0B"/>
    <w:rsid w:val="0A0F0F6A"/>
    <w:rsid w:val="0A171CC6"/>
    <w:rsid w:val="0A275113"/>
    <w:rsid w:val="0A414887"/>
    <w:rsid w:val="0A445AA6"/>
    <w:rsid w:val="0A645C16"/>
    <w:rsid w:val="0A7B1FF9"/>
    <w:rsid w:val="0A88138B"/>
    <w:rsid w:val="0AE434AA"/>
    <w:rsid w:val="0AFF5E70"/>
    <w:rsid w:val="0B350AE5"/>
    <w:rsid w:val="0BDA3B4F"/>
    <w:rsid w:val="0C0E5C0A"/>
    <w:rsid w:val="0C1055CF"/>
    <w:rsid w:val="0C566BB6"/>
    <w:rsid w:val="0C613435"/>
    <w:rsid w:val="0CCE2975"/>
    <w:rsid w:val="0D305579"/>
    <w:rsid w:val="0D5B5B5C"/>
    <w:rsid w:val="0D613984"/>
    <w:rsid w:val="0D6B436D"/>
    <w:rsid w:val="0D7C0F27"/>
    <w:rsid w:val="0DC566A4"/>
    <w:rsid w:val="0DF3195E"/>
    <w:rsid w:val="0E0E117E"/>
    <w:rsid w:val="0E944985"/>
    <w:rsid w:val="0E9A6834"/>
    <w:rsid w:val="0EAA44E7"/>
    <w:rsid w:val="0EF23C10"/>
    <w:rsid w:val="0F0D60E1"/>
    <w:rsid w:val="0F202414"/>
    <w:rsid w:val="0F235325"/>
    <w:rsid w:val="0F4C3EFF"/>
    <w:rsid w:val="0F5DE31F"/>
    <w:rsid w:val="0F7110A3"/>
    <w:rsid w:val="0F8C4F72"/>
    <w:rsid w:val="0F9E45B1"/>
    <w:rsid w:val="0FEB1C2B"/>
    <w:rsid w:val="10414B17"/>
    <w:rsid w:val="106D7726"/>
    <w:rsid w:val="10A97D81"/>
    <w:rsid w:val="10FF5A5E"/>
    <w:rsid w:val="113976E8"/>
    <w:rsid w:val="119F4A7B"/>
    <w:rsid w:val="11A022AE"/>
    <w:rsid w:val="11F37CEF"/>
    <w:rsid w:val="12BB1A40"/>
    <w:rsid w:val="12CA74FA"/>
    <w:rsid w:val="12DF72E2"/>
    <w:rsid w:val="12F64B6E"/>
    <w:rsid w:val="13021765"/>
    <w:rsid w:val="132C6F4E"/>
    <w:rsid w:val="13426790"/>
    <w:rsid w:val="138A1BA0"/>
    <w:rsid w:val="13C36AF0"/>
    <w:rsid w:val="141D18A5"/>
    <w:rsid w:val="142508C7"/>
    <w:rsid w:val="142B4F44"/>
    <w:rsid w:val="143376FC"/>
    <w:rsid w:val="14CD073C"/>
    <w:rsid w:val="14CD69E1"/>
    <w:rsid w:val="14E26AF2"/>
    <w:rsid w:val="150A7E7D"/>
    <w:rsid w:val="15142A02"/>
    <w:rsid w:val="151A2ED4"/>
    <w:rsid w:val="152B3E38"/>
    <w:rsid w:val="15A50C9E"/>
    <w:rsid w:val="15DB51D2"/>
    <w:rsid w:val="165E0201"/>
    <w:rsid w:val="16A87E97"/>
    <w:rsid w:val="17037D24"/>
    <w:rsid w:val="173E38E2"/>
    <w:rsid w:val="178D1819"/>
    <w:rsid w:val="179E240A"/>
    <w:rsid w:val="17CE60BA"/>
    <w:rsid w:val="17DD9B46"/>
    <w:rsid w:val="17F70F4F"/>
    <w:rsid w:val="17FD0062"/>
    <w:rsid w:val="18AB1F57"/>
    <w:rsid w:val="18CE5C46"/>
    <w:rsid w:val="18FC0A05"/>
    <w:rsid w:val="19031D93"/>
    <w:rsid w:val="19174783"/>
    <w:rsid w:val="192E1479"/>
    <w:rsid w:val="195BAC61"/>
    <w:rsid w:val="197A5C88"/>
    <w:rsid w:val="199E6BBC"/>
    <w:rsid w:val="19C060B2"/>
    <w:rsid w:val="1A09162B"/>
    <w:rsid w:val="1A2A6D8D"/>
    <w:rsid w:val="1A836B0F"/>
    <w:rsid w:val="1A937D1E"/>
    <w:rsid w:val="1AED6F38"/>
    <w:rsid w:val="1B79008E"/>
    <w:rsid w:val="1BEB0A75"/>
    <w:rsid w:val="1C4C57FF"/>
    <w:rsid w:val="1C590DDC"/>
    <w:rsid w:val="1C7A05BE"/>
    <w:rsid w:val="1C901B90"/>
    <w:rsid w:val="1CA64B61"/>
    <w:rsid w:val="1CB10E69"/>
    <w:rsid w:val="1CB57848"/>
    <w:rsid w:val="1CC42E82"/>
    <w:rsid w:val="1D6C28C7"/>
    <w:rsid w:val="1D877E4D"/>
    <w:rsid w:val="1DB67AB4"/>
    <w:rsid w:val="1DD122B5"/>
    <w:rsid w:val="1DDA2581"/>
    <w:rsid w:val="1DED0804"/>
    <w:rsid w:val="1DF54671"/>
    <w:rsid w:val="1DFE1A9D"/>
    <w:rsid w:val="1E277EBA"/>
    <w:rsid w:val="1E5B2573"/>
    <w:rsid w:val="1E62130A"/>
    <w:rsid w:val="1E8079E2"/>
    <w:rsid w:val="1EBF6092"/>
    <w:rsid w:val="1EDD251B"/>
    <w:rsid w:val="1EE63FDC"/>
    <w:rsid w:val="1F287393"/>
    <w:rsid w:val="1F3261A1"/>
    <w:rsid w:val="1F7D3338"/>
    <w:rsid w:val="1F9379C9"/>
    <w:rsid w:val="1FB20441"/>
    <w:rsid w:val="1FBC194F"/>
    <w:rsid w:val="1FEF1427"/>
    <w:rsid w:val="1FF16DE9"/>
    <w:rsid w:val="206B39C8"/>
    <w:rsid w:val="208F7643"/>
    <w:rsid w:val="20B45596"/>
    <w:rsid w:val="20B864E9"/>
    <w:rsid w:val="20C76D4A"/>
    <w:rsid w:val="20D23025"/>
    <w:rsid w:val="21104ABE"/>
    <w:rsid w:val="211C4E67"/>
    <w:rsid w:val="21711584"/>
    <w:rsid w:val="21AB083B"/>
    <w:rsid w:val="21B74BFA"/>
    <w:rsid w:val="22391124"/>
    <w:rsid w:val="228D555B"/>
    <w:rsid w:val="22E21A88"/>
    <w:rsid w:val="232C0139"/>
    <w:rsid w:val="234361D7"/>
    <w:rsid w:val="23603908"/>
    <w:rsid w:val="236B5699"/>
    <w:rsid w:val="23977CB2"/>
    <w:rsid w:val="23A6613D"/>
    <w:rsid w:val="23A75162"/>
    <w:rsid w:val="23E869F5"/>
    <w:rsid w:val="23EE1B97"/>
    <w:rsid w:val="24213F37"/>
    <w:rsid w:val="247A7590"/>
    <w:rsid w:val="24B46637"/>
    <w:rsid w:val="24E0742D"/>
    <w:rsid w:val="25030805"/>
    <w:rsid w:val="255D053C"/>
    <w:rsid w:val="25870DBB"/>
    <w:rsid w:val="25B1688C"/>
    <w:rsid w:val="25B55649"/>
    <w:rsid w:val="25EE2869"/>
    <w:rsid w:val="26021C92"/>
    <w:rsid w:val="262D1869"/>
    <w:rsid w:val="269F08F9"/>
    <w:rsid w:val="26AA1AA0"/>
    <w:rsid w:val="26C46738"/>
    <w:rsid w:val="26F22C75"/>
    <w:rsid w:val="26FA2133"/>
    <w:rsid w:val="27351421"/>
    <w:rsid w:val="274E640F"/>
    <w:rsid w:val="27582E99"/>
    <w:rsid w:val="2826278A"/>
    <w:rsid w:val="28551EE0"/>
    <w:rsid w:val="28BB7332"/>
    <w:rsid w:val="28D200A6"/>
    <w:rsid w:val="28F74D45"/>
    <w:rsid w:val="293A01E8"/>
    <w:rsid w:val="293B10D5"/>
    <w:rsid w:val="29BD1BAD"/>
    <w:rsid w:val="2A464F58"/>
    <w:rsid w:val="2A4C19F3"/>
    <w:rsid w:val="2A5A1930"/>
    <w:rsid w:val="2A8D4D62"/>
    <w:rsid w:val="2A9845F0"/>
    <w:rsid w:val="2A9865AB"/>
    <w:rsid w:val="2AC74991"/>
    <w:rsid w:val="2AFE685E"/>
    <w:rsid w:val="2B013C59"/>
    <w:rsid w:val="2B386DFA"/>
    <w:rsid w:val="2B575927"/>
    <w:rsid w:val="2B6C1120"/>
    <w:rsid w:val="2B844FB6"/>
    <w:rsid w:val="2B92292F"/>
    <w:rsid w:val="2BCF992C"/>
    <w:rsid w:val="2BF043F9"/>
    <w:rsid w:val="2C13729A"/>
    <w:rsid w:val="2C912377"/>
    <w:rsid w:val="2CA57FCC"/>
    <w:rsid w:val="2CB47724"/>
    <w:rsid w:val="2CBD3F75"/>
    <w:rsid w:val="2CFE52BA"/>
    <w:rsid w:val="2D09157D"/>
    <w:rsid w:val="2D217BDC"/>
    <w:rsid w:val="2D6C3FD1"/>
    <w:rsid w:val="2DAA277C"/>
    <w:rsid w:val="2DB15B07"/>
    <w:rsid w:val="2DE27D71"/>
    <w:rsid w:val="2E0836A1"/>
    <w:rsid w:val="2E9C66F2"/>
    <w:rsid w:val="2EB95D11"/>
    <w:rsid w:val="2EEE5387"/>
    <w:rsid w:val="2F0C1E75"/>
    <w:rsid w:val="2F2B43F8"/>
    <w:rsid w:val="2F562592"/>
    <w:rsid w:val="2FB21CAC"/>
    <w:rsid w:val="2FB2BC44"/>
    <w:rsid w:val="2FBA27F3"/>
    <w:rsid w:val="2FBB4D1E"/>
    <w:rsid w:val="2FEC4ED7"/>
    <w:rsid w:val="2FEDFD1B"/>
    <w:rsid w:val="2FF9C374"/>
    <w:rsid w:val="2FFFFB4B"/>
    <w:rsid w:val="307153DD"/>
    <w:rsid w:val="30BD7209"/>
    <w:rsid w:val="30F7482A"/>
    <w:rsid w:val="30FC0B6F"/>
    <w:rsid w:val="31154B69"/>
    <w:rsid w:val="313B31C1"/>
    <w:rsid w:val="316A1BD4"/>
    <w:rsid w:val="316D42EC"/>
    <w:rsid w:val="319F477D"/>
    <w:rsid w:val="31C123DE"/>
    <w:rsid w:val="328C4750"/>
    <w:rsid w:val="32905609"/>
    <w:rsid w:val="32B93550"/>
    <w:rsid w:val="338A5133"/>
    <w:rsid w:val="339D60CD"/>
    <w:rsid w:val="33A641FE"/>
    <w:rsid w:val="33BA709B"/>
    <w:rsid w:val="34293685"/>
    <w:rsid w:val="348E4A35"/>
    <w:rsid w:val="349B3370"/>
    <w:rsid w:val="34CB6814"/>
    <w:rsid w:val="35280048"/>
    <w:rsid w:val="353263EE"/>
    <w:rsid w:val="35686425"/>
    <w:rsid w:val="35AD5FB3"/>
    <w:rsid w:val="36051267"/>
    <w:rsid w:val="360568FC"/>
    <w:rsid w:val="36720631"/>
    <w:rsid w:val="36A80E7B"/>
    <w:rsid w:val="36B77456"/>
    <w:rsid w:val="36BD17B1"/>
    <w:rsid w:val="36ED44FD"/>
    <w:rsid w:val="370B593F"/>
    <w:rsid w:val="371E2DFF"/>
    <w:rsid w:val="37557806"/>
    <w:rsid w:val="37A470A7"/>
    <w:rsid w:val="37AC223E"/>
    <w:rsid w:val="37BED9FB"/>
    <w:rsid w:val="38367638"/>
    <w:rsid w:val="385A01F9"/>
    <w:rsid w:val="38CE3F94"/>
    <w:rsid w:val="395112E5"/>
    <w:rsid w:val="39535FE4"/>
    <w:rsid w:val="395E0232"/>
    <w:rsid w:val="39645449"/>
    <w:rsid w:val="39BE3E4B"/>
    <w:rsid w:val="3A1D34D6"/>
    <w:rsid w:val="3A2527CF"/>
    <w:rsid w:val="3A2A264F"/>
    <w:rsid w:val="3A484299"/>
    <w:rsid w:val="3A676B3F"/>
    <w:rsid w:val="3A6F0BDF"/>
    <w:rsid w:val="3AD82C28"/>
    <w:rsid w:val="3ADF02DC"/>
    <w:rsid w:val="3B5058F4"/>
    <w:rsid w:val="3B881FAE"/>
    <w:rsid w:val="3B892DBA"/>
    <w:rsid w:val="3BE95FBF"/>
    <w:rsid w:val="3BFC0B81"/>
    <w:rsid w:val="3C0435A9"/>
    <w:rsid w:val="3C554F9E"/>
    <w:rsid w:val="3C7D5776"/>
    <w:rsid w:val="3CB75A03"/>
    <w:rsid w:val="3CC03802"/>
    <w:rsid w:val="3DD02752"/>
    <w:rsid w:val="3DFC1F8F"/>
    <w:rsid w:val="3E00245E"/>
    <w:rsid w:val="3E061658"/>
    <w:rsid w:val="3E3968C9"/>
    <w:rsid w:val="3E524989"/>
    <w:rsid w:val="3E63033A"/>
    <w:rsid w:val="3E6DC1CB"/>
    <w:rsid w:val="3E7E82C8"/>
    <w:rsid w:val="3E954A7D"/>
    <w:rsid w:val="3F053C6B"/>
    <w:rsid w:val="3F0A6ED5"/>
    <w:rsid w:val="3F36C94E"/>
    <w:rsid w:val="3F3D266F"/>
    <w:rsid w:val="3F797E8F"/>
    <w:rsid w:val="3F9257C2"/>
    <w:rsid w:val="3FAD720A"/>
    <w:rsid w:val="3FB9AFB7"/>
    <w:rsid w:val="3FD151B7"/>
    <w:rsid w:val="3FD7090A"/>
    <w:rsid w:val="40147FD7"/>
    <w:rsid w:val="40677481"/>
    <w:rsid w:val="41215DCA"/>
    <w:rsid w:val="412F37E7"/>
    <w:rsid w:val="41465551"/>
    <w:rsid w:val="419172A0"/>
    <w:rsid w:val="419403F5"/>
    <w:rsid w:val="41973D48"/>
    <w:rsid w:val="419F6C24"/>
    <w:rsid w:val="41C0714A"/>
    <w:rsid w:val="41F656C7"/>
    <w:rsid w:val="4206369F"/>
    <w:rsid w:val="421309EA"/>
    <w:rsid w:val="4221507D"/>
    <w:rsid w:val="42243B8A"/>
    <w:rsid w:val="422D7567"/>
    <w:rsid w:val="429B1CC1"/>
    <w:rsid w:val="431E0314"/>
    <w:rsid w:val="4350168D"/>
    <w:rsid w:val="43774C37"/>
    <w:rsid w:val="438438FD"/>
    <w:rsid w:val="439B2A45"/>
    <w:rsid w:val="43A56EC3"/>
    <w:rsid w:val="43A9529A"/>
    <w:rsid w:val="43C11E63"/>
    <w:rsid w:val="43F11A5C"/>
    <w:rsid w:val="4429359A"/>
    <w:rsid w:val="44756557"/>
    <w:rsid w:val="44865E1A"/>
    <w:rsid w:val="44F21F74"/>
    <w:rsid w:val="44F229DC"/>
    <w:rsid w:val="450B26B9"/>
    <w:rsid w:val="450C5132"/>
    <w:rsid w:val="451508BD"/>
    <w:rsid w:val="452137A8"/>
    <w:rsid w:val="45326B40"/>
    <w:rsid w:val="454B0FF9"/>
    <w:rsid w:val="45822297"/>
    <w:rsid w:val="45965AB8"/>
    <w:rsid w:val="45A31FEE"/>
    <w:rsid w:val="45DD7B07"/>
    <w:rsid w:val="464D7259"/>
    <w:rsid w:val="465C0EA9"/>
    <w:rsid w:val="466B289F"/>
    <w:rsid w:val="46850E67"/>
    <w:rsid w:val="46A42874"/>
    <w:rsid w:val="46CB013E"/>
    <w:rsid w:val="46CC307F"/>
    <w:rsid w:val="46CE76E0"/>
    <w:rsid w:val="46F6477A"/>
    <w:rsid w:val="471F43A2"/>
    <w:rsid w:val="472374A8"/>
    <w:rsid w:val="472904C2"/>
    <w:rsid w:val="472B6F94"/>
    <w:rsid w:val="474125DD"/>
    <w:rsid w:val="474E02F0"/>
    <w:rsid w:val="478F5ABE"/>
    <w:rsid w:val="47997DE7"/>
    <w:rsid w:val="47A45C40"/>
    <w:rsid w:val="47AA7738"/>
    <w:rsid w:val="47CF1E3D"/>
    <w:rsid w:val="47E20035"/>
    <w:rsid w:val="480C5CBF"/>
    <w:rsid w:val="481D5547"/>
    <w:rsid w:val="487B3813"/>
    <w:rsid w:val="48AC1FAB"/>
    <w:rsid w:val="48BF489A"/>
    <w:rsid w:val="48C12F4D"/>
    <w:rsid w:val="48CB3C91"/>
    <w:rsid w:val="48E028F7"/>
    <w:rsid w:val="48F84495"/>
    <w:rsid w:val="49063ECB"/>
    <w:rsid w:val="49116216"/>
    <w:rsid w:val="493259EA"/>
    <w:rsid w:val="493A1706"/>
    <w:rsid w:val="49732380"/>
    <w:rsid w:val="498F4D76"/>
    <w:rsid w:val="49CA1854"/>
    <w:rsid w:val="4A276700"/>
    <w:rsid w:val="4A2C3F3D"/>
    <w:rsid w:val="4A321E8D"/>
    <w:rsid w:val="4A486EC7"/>
    <w:rsid w:val="4A5F74D0"/>
    <w:rsid w:val="4A6E4AF5"/>
    <w:rsid w:val="4A823F2B"/>
    <w:rsid w:val="4AA93444"/>
    <w:rsid w:val="4ACC5BD9"/>
    <w:rsid w:val="4B678CE2"/>
    <w:rsid w:val="4B8168AB"/>
    <w:rsid w:val="4BB64DA3"/>
    <w:rsid w:val="4BBA0768"/>
    <w:rsid w:val="4BD1545C"/>
    <w:rsid w:val="4BD75BFD"/>
    <w:rsid w:val="4BDE4E0D"/>
    <w:rsid w:val="4C127627"/>
    <w:rsid w:val="4D4B531F"/>
    <w:rsid w:val="4D4C2FF4"/>
    <w:rsid w:val="4D550108"/>
    <w:rsid w:val="4DD33EB3"/>
    <w:rsid w:val="4DFC6FAF"/>
    <w:rsid w:val="4E154F53"/>
    <w:rsid w:val="4E1C08E3"/>
    <w:rsid w:val="4E345F70"/>
    <w:rsid w:val="4E3945E5"/>
    <w:rsid w:val="4E740A62"/>
    <w:rsid w:val="4E7B71B0"/>
    <w:rsid w:val="4E860B26"/>
    <w:rsid w:val="4EAE06F4"/>
    <w:rsid w:val="4EBA6B6D"/>
    <w:rsid w:val="4EE259CC"/>
    <w:rsid w:val="4EE25AE1"/>
    <w:rsid w:val="4EEC7437"/>
    <w:rsid w:val="4EFF58C1"/>
    <w:rsid w:val="4F6C44A7"/>
    <w:rsid w:val="4F797D03"/>
    <w:rsid w:val="4FA73D89"/>
    <w:rsid w:val="4FAC49CD"/>
    <w:rsid w:val="50035A66"/>
    <w:rsid w:val="5012018D"/>
    <w:rsid w:val="50245B70"/>
    <w:rsid w:val="508557AF"/>
    <w:rsid w:val="509A3EE6"/>
    <w:rsid w:val="50E0580E"/>
    <w:rsid w:val="513149E8"/>
    <w:rsid w:val="51B0562D"/>
    <w:rsid w:val="51D94D85"/>
    <w:rsid w:val="51E324AF"/>
    <w:rsid w:val="521A63D8"/>
    <w:rsid w:val="52686179"/>
    <w:rsid w:val="527525AD"/>
    <w:rsid w:val="52D67D34"/>
    <w:rsid w:val="52F51248"/>
    <w:rsid w:val="531B0588"/>
    <w:rsid w:val="53282DD0"/>
    <w:rsid w:val="532D2063"/>
    <w:rsid w:val="5336727E"/>
    <w:rsid w:val="53550D72"/>
    <w:rsid w:val="53D53D51"/>
    <w:rsid w:val="543C5B7E"/>
    <w:rsid w:val="544D0CC2"/>
    <w:rsid w:val="54505185"/>
    <w:rsid w:val="54680721"/>
    <w:rsid w:val="55634099"/>
    <w:rsid w:val="55D84FFF"/>
    <w:rsid w:val="56455D97"/>
    <w:rsid w:val="565A783E"/>
    <w:rsid w:val="56BE1131"/>
    <w:rsid w:val="56FE2375"/>
    <w:rsid w:val="572F0F20"/>
    <w:rsid w:val="575071B9"/>
    <w:rsid w:val="57C68A28"/>
    <w:rsid w:val="57CE6920"/>
    <w:rsid w:val="58586CFE"/>
    <w:rsid w:val="58A41254"/>
    <w:rsid w:val="58C42B4B"/>
    <w:rsid w:val="58D84827"/>
    <w:rsid w:val="58E52242"/>
    <w:rsid w:val="58E609D0"/>
    <w:rsid w:val="58EE31BF"/>
    <w:rsid w:val="590A1172"/>
    <w:rsid w:val="591E33E0"/>
    <w:rsid w:val="596015FF"/>
    <w:rsid w:val="59A165DB"/>
    <w:rsid w:val="59C1D638"/>
    <w:rsid w:val="59C862A2"/>
    <w:rsid w:val="59D90982"/>
    <w:rsid w:val="5A2178F8"/>
    <w:rsid w:val="5A304EC5"/>
    <w:rsid w:val="5A4B4A66"/>
    <w:rsid w:val="5A7E2C61"/>
    <w:rsid w:val="5AEE39CF"/>
    <w:rsid w:val="5AEF6CF1"/>
    <w:rsid w:val="5B052E41"/>
    <w:rsid w:val="5B220814"/>
    <w:rsid w:val="5B2A4BF8"/>
    <w:rsid w:val="5B613FA7"/>
    <w:rsid w:val="5B63DD89"/>
    <w:rsid w:val="5B760E1A"/>
    <w:rsid w:val="5B76389F"/>
    <w:rsid w:val="5BD365DE"/>
    <w:rsid w:val="5BF25068"/>
    <w:rsid w:val="5C0056E3"/>
    <w:rsid w:val="5C0B2999"/>
    <w:rsid w:val="5CBA6783"/>
    <w:rsid w:val="5DA33985"/>
    <w:rsid w:val="5DD04B30"/>
    <w:rsid w:val="5DF64736"/>
    <w:rsid w:val="5DFF31B0"/>
    <w:rsid w:val="5E120575"/>
    <w:rsid w:val="5E454893"/>
    <w:rsid w:val="5E7A231D"/>
    <w:rsid w:val="5EA56C50"/>
    <w:rsid w:val="5EC724E8"/>
    <w:rsid w:val="5F360F90"/>
    <w:rsid w:val="5F362ADA"/>
    <w:rsid w:val="5F6D1977"/>
    <w:rsid w:val="5F706C5E"/>
    <w:rsid w:val="5F796B12"/>
    <w:rsid w:val="5FB45FF1"/>
    <w:rsid w:val="5FBB325D"/>
    <w:rsid w:val="5FDA0587"/>
    <w:rsid w:val="5FDF5C6C"/>
    <w:rsid w:val="5FF05A6E"/>
    <w:rsid w:val="601411E1"/>
    <w:rsid w:val="60372198"/>
    <w:rsid w:val="60822C84"/>
    <w:rsid w:val="60A859EF"/>
    <w:rsid w:val="60FD6E15"/>
    <w:rsid w:val="612F569F"/>
    <w:rsid w:val="61323B7B"/>
    <w:rsid w:val="61476BF9"/>
    <w:rsid w:val="61575A28"/>
    <w:rsid w:val="617263E7"/>
    <w:rsid w:val="61AD70A1"/>
    <w:rsid w:val="61C62509"/>
    <w:rsid w:val="61CA2A1B"/>
    <w:rsid w:val="61F41846"/>
    <w:rsid w:val="6200643D"/>
    <w:rsid w:val="62735C71"/>
    <w:rsid w:val="62AD751C"/>
    <w:rsid w:val="62D00CD3"/>
    <w:rsid w:val="62E53885"/>
    <w:rsid w:val="62F43156"/>
    <w:rsid w:val="639A17E0"/>
    <w:rsid w:val="63BD2361"/>
    <w:rsid w:val="63CA2346"/>
    <w:rsid w:val="63CD05A1"/>
    <w:rsid w:val="64256EF9"/>
    <w:rsid w:val="646E3B0C"/>
    <w:rsid w:val="647B528B"/>
    <w:rsid w:val="64C93F4F"/>
    <w:rsid w:val="65170915"/>
    <w:rsid w:val="65744A4C"/>
    <w:rsid w:val="657C525E"/>
    <w:rsid w:val="65CF1A06"/>
    <w:rsid w:val="65E7BB52"/>
    <w:rsid w:val="65E7DCDD"/>
    <w:rsid w:val="65EB3E5C"/>
    <w:rsid w:val="65FE5ED6"/>
    <w:rsid w:val="65FEE1BC"/>
    <w:rsid w:val="665A5E0B"/>
    <w:rsid w:val="66857CF8"/>
    <w:rsid w:val="66943110"/>
    <w:rsid w:val="66B21E3E"/>
    <w:rsid w:val="66C714E5"/>
    <w:rsid w:val="673476F2"/>
    <w:rsid w:val="6788024C"/>
    <w:rsid w:val="67A74948"/>
    <w:rsid w:val="67C8616F"/>
    <w:rsid w:val="681A6331"/>
    <w:rsid w:val="682E2E95"/>
    <w:rsid w:val="68421C50"/>
    <w:rsid w:val="684B5F38"/>
    <w:rsid w:val="68525BCF"/>
    <w:rsid w:val="687C7CF8"/>
    <w:rsid w:val="68EA467F"/>
    <w:rsid w:val="690D56A5"/>
    <w:rsid w:val="69216912"/>
    <w:rsid w:val="695D0009"/>
    <w:rsid w:val="69675CFC"/>
    <w:rsid w:val="69A3397B"/>
    <w:rsid w:val="69C0147F"/>
    <w:rsid w:val="6A093829"/>
    <w:rsid w:val="6A5D01A4"/>
    <w:rsid w:val="6A770B8F"/>
    <w:rsid w:val="6ABE0C43"/>
    <w:rsid w:val="6AC33791"/>
    <w:rsid w:val="6B2C1649"/>
    <w:rsid w:val="6B3431D2"/>
    <w:rsid w:val="6B4C29FE"/>
    <w:rsid w:val="6B8F17C7"/>
    <w:rsid w:val="6B990DAA"/>
    <w:rsid w:val="6B99520C"/>
    <w:rsid w:val="6BBF0AE5"/>
    <w:rsid w:val="6C0A57A7"/>
    <w:rsid w:val="6C4C227F"/>
    <w:rsid w:val="6CE76197"/>
    <w:rsid w:val="6D4374F1"/>
    <w:rsid w:val="6D9F4911"/>
    <w:rsid w:val="6DA90C5C"/>
    <w:rsid w:val="6DB4457F"/>
    <w:rsid w:val="6DC46050"/>
    <w:rsid w:val="6DDA093A"/>
    <w:rsid w:val="6DEBEBC7"/>
    <w:rsid w:val="6DF193B9"/>
    <w:rsid w:val="6E6018D4"/>
    <w:rsid w:val="6E77E86C"/>
    <w:rsid w:val="6EA003B7"/>
    <w:rsid w:val="6EBB387A"/>
    <w:rsid w:val="6EDFC4FE"/>
    <w:rsid w:val="6EE70B5C"/>
    <w:rsid w:val="6EEAE7FF"/>
    <w:rsid w:val="6EFF0D35"/>
    <w:rsid w:val="6F1932C4"/>
    <w:rsid w:val="6F6D7887"/>
    <w:rsid w:val="6FBFEA26"/>
    <w:rsid w:val="6FFC746B"/>
    <w:rsid w:val="700F3D18"/>
    <w:rsid w:val="70102E29"/>
    <w:rsid w:val="704E4817"/>
    <w:rsid w:val="70BA1EAD"/>
    <w:rsid w:val="70C00686"/>
    <w:rsid w:val="70CB4B7F"/>
    <w:rsid w:val="70CF25C6"/>
    <w:rsid w:val="70EE1FBF"/>
    <w:rsid w:val="717D5A31"/>
    <w:rsid w:val="71ED3E94"/>
    <w:rsid w:val="720952F8"/>
    <w:rsid w:val="722E5DF4"/>
    <w:rsid w:val="723F4D5F"/>
    <w:rsid w:val="72550329"/>
    <w:rsid w:val="727853DE"/>
    <w:rsid w:val="727C6924"/>
    <w:rsid w:val="73375A36"/>
    <w:rsid w:val="736600CA"/>
    <w:rsid w:val="73840550"/>
    <w:rsid w:val="73A6496A"/>
    <w:rsid w:val="73AE1B56"/>
    <w:rsid w:val="73B90C4D"/>
    <w:rsid w:val="73E516D4"/>
    <w:rsid w:val="73ED042F"/>
    <w:rsid w:val="73FE30CD"/>
    <w:rsid w:val="740912F4"/>
    <w:rsid w:val="74643A1A"/>
    <w:rsid w:val="74FB2792"/>
    <w:rsid w:val="75390472"/>
    <w:rsid w:val="753F0684"/>
    <w:rsid w:val="75662603"/>
    <w:rsid w:val="756643B1"/>
    <w:rsid w:val="75A2199E"/>
    <w:rsid w:val="75C054DC"/>
    <w:rsid w:val="75F9E719"/>
    <w:rsid w:val="763410D2"/>
    <w:rsid w:val="765267AB"/>
    <w:rsid w:val="7669291E"/>
    <w:rsid w:val="76A2766B"/>
    <w:rsid w:val="76E318C2"/>
    <w:rsid w:val="76F70D03"/>
    <w:rsid w:val="77317B66"/>
    <w:rsid w:val="77323239"/>
    <w:rsid w:val="775FD5E2"/>
    <w:rsid w:val="77DA652D"/>
    <w:rsid w:val="77DF5953"/>
    <w:rsid w:val="77F653C3"/>
    <w:rsid w:val="77F673E6"/>
    <w:rsid w:val="77F7E69D"/>
    <w:rsid w:val="77FB6038"/>
    <w:rsid w:val="77FB9722"/>
    <w:rsid w:val="77FD2B6E"/>
    <w:rsid w:val="77FF84B0"/>
    <w:rsid w:val="78473A2F"/>
    <w:rsid w:val="78540E39"/>
    <w:rsid w:val="78857AB4"/>
    <w:rsid w:val="78D260FE"/>
    <w:rsid w:val="78FF8715"/>
    <w:rsid w:val="79240A4F"/>
    <w:rsid w:val="792E5DA1"/>
    <w:rsid w:val="79366790"/>
    <w:rsid w:val="799A6D1F"/>
    <w:rsid w:val="79FF4CBA"/>
    <w:rsid w:val="7A140357"/>
    <w:rsid w:val="7A35468C"/>
    <w:rsid w:val="7A6F4310"/>
    <w:rsid w:val="7AD372AF"/>
    <w:rsid w:val="7B317B15"/>
    <w:rsid w:val="7B7C7641"/>
    <w:rsid w:val="7BFB5177"/>
    <w:rsid w:val="7BFE15DF"/>
    <w:rsid w:val="7C010818"/>
    <w:rsid w:val="7C0C13B5"/>
    <w:rsid w:val="7C4411C4"/>
    <w:rsid w:val="7C4F3DF1"/>
    <w:rsid w:val="7C751A11"/>
    <w:rsid w:val="7CBD1DA3"/>
    <w:rsid w:val="7CDA48F4"/>
    <w:rsid w:val="7D562F5D"/>
    <w:rsid w:val="7DDE0ED1"/>
    <w:rsid w:val="7DFB8EF7"/>
    <w:rsid w:val="7E0C3400"/>
    <w:rsid w:val="7E132BFC"/>
    <w:rsid w:val="7E2E1411"/>
    <w:rsid w:val="7E362AF5"/>
    <w:rsid w:val="7E73737F"/>
    <w:rsid w:val="7E75FF3D"/>
    <w:rsid w:val="7EB52B63"/>
    <w:rsid w:val="7EC753D0"/>
    <w:rsid w:val="7EF53D9D"/>
    <w:rsid w:val="7F1C6C72"/>
    <w:rsid w:val="7F475508"/>
    <w:rsid w:val="7F6B28B0"/>
    <w:rsid w:val="7F6BC928"/>
    <w:rsid w:val="7F7FC114"/>
    <w:rsid w:val="7F8B35B7"/>
    <w:rsid w:val="7F930CDC"/>
    <w:rsid w:val="7FBB2827"/>
    <w:rsid w:val="7FDBB168"/>
    <w:rsid w:val="7FEF79F2"/>
    <w:rsid w:val="7FFD8E41"/>
    <w:rsid w:val="7FFFBA1E"/>
    <w:rsid w:val="7FFFDE44"/>
    <w:rsid w:val="8CFF88A7"/>
    <w:rsid w:val="8FFBBBC9"/>
    <w:rsid w:val="96FF6CF6"/>
    <w:rsid w:val="9BDE19EF"/>
    <w:rsid w:val="9EF9E4A7"/>
    <w:rsid w:val="A5EDE8F6"/>
    <w:rsid w:val="A8C68D31"/>
    <w:rsid w:val="AF6D3F5F"/>
    <w:rsid w:val="AFAC78D0"/>
    <w:rsid w:val="AFE77582"/>
    <w:rsid w:val="B3F53C0D"/>
    <w:rsid w:val="B7F79AA0"/>
    <w:rsid w:val="B9E70F8B"/>
    <w:rsid w:val="B9EF52A8"/>
    <w:rsid w:val="BD7A59AD"/>
    <w:rsid w:val="BEC954D2"/>
    <w:rsid w:val="BF5E03D9"/>
    <w:rsid w:val="BFF7F832"/>
    <w:rsid w:val="BFF97F0F"/>
    <w:rsid w:val="CDF55B28"/>
    <w:rsid w:val="CE96336F"/>
    <w:rsid w:val="CEF9395C"/>
    <w:rsid w:val="CF2B9FEE"/>
    <w:rsid w:val="D31BD655"/>
    <w:rsid w:val="D37DC5EB"/>
    <w:rsid w:val="D5B70045"/>
    <w:rsid w:val="D6BBD5ED"/>
    <w:rsid w:val="D7FE7234"/>
    <w:rsid w:val="D8BFB299"/>
    <w:rsid w:val="DBDBC12A"/>
    <w:rsid w:val="DBDFE6B2"/>
    <w:rsid w:val="DBFF63AC"/>
    <w:rsid w:val="DE6DA919"/>
    <w:rsid w:val="DEDB3BD7"/>
    <w:rsid w:val="DF7E5AAF"/>
    <w:rsid w:val="DF9F949D"/>
    <w:rsid w:val="DFEFBD77"/>
    <w:rsid w:val="DFF9A005"/>
    <w:rsid w:val="DFFBC478"/>
    <w:rsid w:val="E4DEB9C3"/>
    <w:rsid w:val="EA7316C9"/>
    <w:rsid w:val="EBFDC6CD"/>
    <w:rsid w:val="ED5ED76B"/>
    <w:rsid w:val="EE777BE7"/>
    <w:rsid w:val="EF7F34B1"/>
    <w:rsid w:val="EFA6C2D7"/>
    <w:rsid w:val="EFCF636E"/>
    <w:rsid w:val="EFFB96E9"/>
    <w:rsid w:val="F3FF9B2A"/>
    <w:rsid w:val="F7B7ABFF"/>
    <w:rsid w:val="F976099B"/>
    <w:rsid w:val="FBBC5E31"/>
    <w:rsid w:val="FBBEFF43"/>
    <w:rsid w:val="FBEFFF82"/>
    <w:rsid w:val="FBF96EDD"/>
    <w:rsid w:val="FC9FA4CD"/>
    <w:rsid w:val="FDB34988"/>
    <w:rsid w:val="FEB7057F"/>
    <w:rsid w:val="FEDE1D17"/>
    <w:rsid w:val="FEFFC285"/>
    <w:rsid w:val="FF6F07B7"/>
    <w:rsid w:val="FFB76F28"/>
    <w:rsid w:val="FFBD5471"/>
    <w:rsid w:val="FFDB0A94"/>
    <w:rsid w:val="FFDF84B9"/>
    <w:rsid w:val="FFE557DA"/>
    <w:rsid w:val="FFFB2494"/>
    <w:rsid w:val="FFFE3455"/>
    <w:rsid w:val="FFFEA915"/>
    <w:rsid w:val="FFFF6DD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numPr>
        <w:ilvl w:val="0"/>
        <w:numId w:val="0"/>
      </w:numPr>
      <w:bidi w:val="0"/>
      <w:snapToGrid w:val="0"/>
      <w:spacing w:line="580" w:lineRule="exact"/>
      <w:ind w:left="0" w:leftChars="0" w:firstLine="480" w:firstLineChars="200"/>
      <w:jc w:val="both"/>
    </w:pPr>
    <w:rPr>
      <w:rFonts w:ascii="Times New Roman" w:hAnsi="Times New Roman" w:eastAsia="仿宋_GB2312" w:cs="仿宋"/>
      <w:color w:val="auto"/>
      <w:kern w:val="2"/>
      <w:sz w:val="28"/>
      <w:szCs w:val="28"/>
      <w:highlight w:val="none"/>
      <w:lang w:val="en-US" w:eastAsia="zh-CN" w:bidi="ar-SA"/>
    </w:rPr>
  </w:style>
  <w:style w:type="paragraph" w:styleId="2">
    <w:name w:val="heading 1"/>
    <w:next w:val="3"/>
    <w:link w:val="39"/>
    <w:qFormat/>
    <w:uiPriority w:val="9"/>
    <w:pPr>
      <w:keepNext/>
      <w:keepLines/>
      <w:numPr>
        <w:ilvl w:val="0"/>
        <w:numId w:val="1"/>
      </w:numPr>
      <w:snapToGrid w:val="0"/>
      <w:spacing w:before="100" w:beforeLines="100" w:after="100" w:afterLines="100" w:line="600" w:lineRule="exact"/>
      <w:ind w:left="432" w:hanging="432" w:firstLineChars="0"/>
      <w:jc w:val="center"/>
      <w:outlineLvl w:val="0"/>
    </w:pPr>
    <w:rPr>
      <w:rFonts w:ascii="Times New Roman" w:hAnsi="Times New Roman" w:eastAsia="楷体_GB2312" w:cs="Times New Roman"/>
      <w:b/>
      <w:bCs/>
      <w:kern w:val="44"/>
      <w:sz w:val="44"/>
      <w:szCs w:val="44"/>
    </w:rPr>
  </w:style>
  <w:style w:type="paragraph" w:styleId="3">
    <w:name w:val="heading 2"/>
    <w:basedOn w:val="2"/>
    <w:next w:val="4"/>
    <w:link w:val="40"/>
    <w:qFormat/>
    <w:uiPriority w:val="9"/>
    <w:pPr>
      <w:keepNext/>
      <w:keepLines/>
      <w:numPr>
        <w:ilvl w:val="1"/>
        <w:numId w:val="2"/>
      </w:numPr>
      <w:snapToGrid w:val="0"/>
      <w:spacing w:before="100" w:beforeLines="100" w:after="100" w:afterLines="100" w:line="580" w:lineRule="exact"/>
      <w:ind w:left="575" w:hanging="575" w:firstLineChars="0"/>
      <w:jc w:val="both"/>
      <w:outlineLvl w:val="1"/>
    </w:pPr>
    <w:rPr>
      <w:rFonts w:ascii="Times New Roman" w:hAnsi="Times New Roman" w:eastAsia="仿宋_GB2312"/>
      <w:sz w:val="32"/>
      <w:szCs w:val="32"/>
    </w:rPr>
  </w:style>
  <w:style w:type="paragraph" w:styleId="4">
    <w:name w:val="heading 3"/>
    <w:basedOn w:val="1"/>
    <w:next w:val="1"/>
    <w:link w:val="41"/>
    <w:qFormat/>
    <w:uiPriority w:val="9"/>
    <w:pPr>
      <w:keepNext/>
      <w:keepLines/>
      <w:numPr>
        <w:ilvl w:val="2"/>
        <w:numId w:val="2"/>
      </w:numPr>
      <w:adjustRightInd w:val="0"/>
      <w:spacing w:before="50" w:beforeLines="50" w:after="50" w:afterLines="50" w:line="580" w:lineRule="exact"/>
      <w:ind w:left="720" w:hanging="720" w:firstLineChars="0"/>
      <w:outlineLvl w:val="2"/>
    </w:pPr>
    <w:rPr>
      <w:rFonts w:ascii="Times New Roman" w:hAnsi="Times New Roman"/>
      <w:b/>
      <w:bCs/>
      <w:sz w:val="30"/>
      <w:szCs w:val="32"/>
    </w:rPr>
  </w:style>
  <w:style w:type="paragraph" w:styleId="5">
    <w:name w:val="heading 4"/>
    <w:basedOn w:val="1"/>
    <w:next w:val="1"/>
    <w:link w:val="42"/>
    <w:autoRedefine/>
    <w:qFormat/>
    <w:uiPriority w:val="9"/>
    <w:pPr>
      <w:keepNext/>
      <w:keepLines/>
      <w:numPr>
        <w:ilvl w:val="3"/>
        <w:numId w:val="2"/>
      </w:numPr>
      <w:spacing w:before="280" w:after="290" w:line="377" w:lineRule="auto"/>
      <w:ind w:left="864" w:hanging="864" w:firstLineChars="0"/>
      <w:outlineLvl w:val="3"/>
    </w:pPr>
    <w:rPr>
      <w:b/>
      <w:bCs/>
      <w:szCs w:val="28"/>
    </w:rPr>
  </w:style>
  <w:style w:type="paragraph" w:styleId="6">
    <w:name w:val="heading 5"/>
    <w:basedOn w:val="1"/>
    <w:next w:val="1"/>
    <w:semiHidden/>
    <w:unhideWhenUsed/>
    <w:qFormat/>
    <w:uiPriority w:val="9"/>
    <w:pPr>
      <w:keepNext/>
      <w:keepLines/>
      <w:numPr>
        <w:ilvl w:val="4"/>
        <w:numId w:val="2"/>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9"/>
    <w:pPr>
      <w:keepNext/>
      <w:keepLines/>
      <w:numPr>
        <w:ilvl w:val="5"/>
        <w:numId w:val="2"/>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9"/>
    <w:pPr>
      <w:keepNext/>
      <w:keepLines/>
      <w:numPr>
        <w:ilvl w:val="6"/>
        <w:numId w:val="2"/>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9"/>
    <w:pPr>
      <w:keepNext/>
      <w:keepLines/>
      <w:numPr>
        <w:ilvl w:val="7"/>
        <w:numId w:val="2"/>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9"/>
    <w:pPr>
      <w:keepNext/>
      <w:keepLines/>
      <w:numPr>
        <w:ilvl w:val="8"/>
        <w:numId w:val="2"/>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33">
    <w:name w:val="Default Paragraph Font"/>
    <w:autoRedefine/>
    <w:semiHidden/>
    <w:unhideWhenUsed/>
    <w:qFormat/>
    <w:uiPriority w:val="1"/>
  </w:style>
  <w:style w:type="table" w:default="1" w:styleId="31">
    <w:name w:val="Normal Table"/>
    <w:autoRedefine/>
    <w:semiHidden/>
    <w:unhideWhenUsed/>
    <w:qFormat/>
    <w:uiPriority w:val="99"/>
    <w:tblPr>
      <w:tblCellMar>
        <w:top w:w="0" w:type="dxa"/>
        <w:left w:w="108" w:type="dxa"/>
        <w:bottom w:w="0" w:type="dxa"/>
        <w:right w:w="108" w:type="dxa"/>
      </w:tblCellMar>
    </w:tblPr>
  </w:style>
  <w:style w:type="paragraph" w:styleId="11">
    <w:name w:val="caption"/>
    <w:basedOn w:val="1"/>
    <w:next w:val="1"/>
    <w:link w:val="68"/>
    <w:autoRedefine/>
    <w:qFormat/>
    <w:uiPriority w:val="35"/>
    <w:pPr>
      <w:adjustRightInd w:val="0"/>
      <w:spacing w:line="300" w:lineRule="auto"/>
    </w:pPr>
    <w:rPr>
      <w:rFonts w:ascii="Cambria" w:hAnsi="Cambria" w:eastAsia="黑体"/>
      <w:sz w:val="20"/>
      <w:szCs w:val="20"/>
    </w:rPr>
  </w:style>
  <w:style w:type="paragraph" w:styleId="12">
    <w:name w:val="Document Map"/>
    <w:basedOn w:val="1"/>
    <w:link w:val="43"/>
    <w:autoRedefine/>
    <w:unhideWhenUsed/>
    <w:qFormat/>
    <w:uiPriority w:val="99"/>
    <w:pPr>
      <w:spacing w:line="240" w:lineRule="auto"/>
      <w:ind w:firstLine="0" w:firstLineChars="0"/>
    </w:pPr>
    <w:rPr>
      <w:rFonts w:ascii="宋体" w:hAnsi="等线" w:eastAsia="宋体"/>
      <w:sz w:val="18"/>
      <w:szCs w:val="18"/>
    </w:rPr>
  </w:style>
  <w:style w:type="paragraph" w:styleId="13">
    <w:name w:val="annotation text"/>
    <w:basedOn w:val="1"/>
    <w:link w:val="44"/>
    <w:autoRedefine/>
    <w:unhideWhenUsed/>
    <w:qFormat/>
    <w:uiPriority w:val="99"/>
    <w:pPr>
      <w:spacing w:line="240" w:lineRule="auto"/>
      <w:ind w:firstLine="0" w:firstLineChars="0"/>
      <w:jc w:val="left"/>
    </w:pPr>
    <w:rPr>
      <w:rFonts w:ascii="等线" w:hAnsi="等线" w:eastAsia="等线"/>
      <w:sz w:val="21"/>
    </w:rPr>
  </w:style>
  <w:style w:type="paragraph" w:styleId="14">
    <w:name w:val="Body Text"/>
    <w:basedOn w:val="1"/>
    <w:link w:val="67"/>
    <w:autoRedefine/>
    <w:semiHidden/>
    <w:unhideWhenUsed/>
    <w:qFormat/>
    <w:uiPriority w:val="99"/>
    <w:pPr>
      <w:spacing w:after="120"/>
    </w:pPr>
  </w:style>
  <w:style w:type="paragraph" w:styleId="15">
    <w:name w:val="Body Text Indent"/>
    <w:basedOn w:val="1"/>
    <w:link w:val="37"/>
    <w:autoRedefine/>
    <w:unhideWhenUsed/>
    <w:qFormat/>
    <w:uiPriority w:val="99"/>
    <w:pPr>
      <w:ind w:left="420" w:leftChars="200"/>
    </w:pPr>
  </w:style>
  <w:style w:type="paragraph" w:styleId="16">
    <w:name w:val="List Bullet 2"/>
    <w:basedOn w:val="1"/>
    <w:semiHidden/>
    <w:unhideWhenUsed/>
    <w:qFormat/>
    <w:uiPriority w:val="99"/>
    <w:pPr>
      <w:numPr>
        <w:ilvl w:val="0"/>
        <w:numId w:val="3"/>
      </w:numPr>
    </w:pPr>
  </w:style>
  <w:style w:type="paragraph" w:styleId="17">
    <w:name w:val="toc 3"/>
    <w:basedOn w:val="1"/>
    <w:next w:val="1"/>
    <w:autoRedefine/>
    <w:unhideWhenUsed/>
    <w:qFormat/>
    <w:uiPriority w:val="39"/>
    <w:pPr>
      <w:ind w:left="840" w:leftChars="400"/>
    </w:pPr>
  </w:style>
  <w:style w:type="paragraph" w:styleId="18">
    <w:name w:val="Plain Text"/>
    <w:basedOn w:val="1"/>
    <w:qFormat/>
    <w:uiPriority w:val="0"/>
    <w:rPr>
      <w:rFonts w:ascii="宋体" w:hAnsi="Courier New"/>
    </w:rPr>
  </w:style>
  <w:style w:type="paragraph" w:styleId="19">
    <w:name w:val="Date"/>
    <w:basedOn w:val="1"/>
    <w:next w:val="1"/>
    <w:link w:val="45"/>
    <w:autoRedefine/>
    <w:unhideWhenUsed/>
    <w:qFormat/>
    <w:uiPriority w:val="99"/>
    <w:pPr>
      <w:ind w:left="100" w:leftChars="2500"/>
    </w:pPr>
  </w:style>
  <w:style w:type="paragraph" w:styleId="20">
    <w:name w:val="Body Text Indent 2"/>
    <w:basedOn w:val="1"/>
    <w:qFormat/>
    <w:uiPriority w:val="99"/>
    <w:pPr>
      <w:spacing w:line="480" w:lineRule="auto"/>
      <w:ind w:firstLine="600" w:firstLineChars="200"/>
    </w:pPr>
    <w:rPr>
      <w:sz w:val="30"/>
    </w:rPr>
  </w:style>
  <w:style w:type="paragraph" w:styleId="21">
    <w:name w:val="Balloon Text"/>
    <w:basedOn w:val="1"/>
    <w:link w:val="46"/>
    <w:autoRedefine/>
    <w:unhideWhenUsed/>
    <w:qFormat/>
    <w:uiPriority w:val="99"/>
    <w:pPr>
      <w:spacing w:line="240" w:lineRule="auto"/>
    </w:pPr>
    <w:rPr>
      <w:sz w:val="18"/>
      <w:szCs w:val="18"/>
    </w:rPr>
  </w:style>
  <w:style w:type="paragraph" w:styleId="22">
    <w:name w:val="footer"/>
    <w:basedOn w:val="1"/>
    <w:link w:val="47"/>
    <w:autoRedefine/>
    <w:unhideWhenUsed/>
    <w:qFormat/>
    <w:uiPriority w:val="99"/>
    <w:pPr>
      <w:tabs>
        <w:tab w:val="center" w:pos="4153"/>
        <w:tab w:val="right" w:pos="8306"/>
      </w:tabs>
      <w:snapToGrid w:val="0"/>
      <w:jc w:val="left"/>
    </w:pPr>
    <w:rPr>
      <w:sz w:val="18"/>
      <w:szCs w:val="18"/>
    </w:rPr>
  </w:style>
  <w:style w:type="paragraph" w:styleId="23">
    <w:name w:val="header"/>
    <w:basedOn w:val="1"/>
    <w:link w:val="4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unhideWhenUsed/>
    <w:qFormat/>
    <w:uiPriority w:val="39"/>
    <w:pPr>
      <w:tabs>
        <w:tab w:val="right" w:leader="dot" w:pos="9060"/>
      </w:tabs>
      <w:ind w:firstLine="0" w:firstLineChars="0"/>
    </w:pPr>
    <w:rPr>
      <w:rFonts w:ascii="华文中宋" w:hAnsi="华文中宋" w:eastAsia="华文中宋"/>
      <w:b/>
    </w:rPr>
  </w:style>
  <w:style w:type="paragraph" w:styleId="25">
    <w:name w:val="toc 2"/>
    <w:basedOn w:val="1"/>
    <w:next w:val="1"/>
    <w:autoRedefine/>
    <w:unhideWhenUsed/>
    <w:qFormat/>
    <w:uiPriority w:val="39"/>
    <w:pPr>
      <w:tabs>
        <w:tab w:val="right" w:leader="dot" w:pos="9060"/>
      </w:tabs>
      <w:ind w:left="480" w:leftChars="200" w:firstLine="0" w:firstLineChars="0"/>
    </w:pPr>
  </w:style>
  <w:style w:type="paragraph" w:styleId="26">
    <w:name w:val="Normal (Web)"/>
    <w:basedOn w:val="1"/>
    <w:unhideWhenUsed/>
    <w:qFormat/>
    <w:uiPriority w:val="99"/>
    <w:pPr>
      <w:spacing w:beforeAutospacing="1" w:afterAutospacing="1"/>
      <w:jc w:val="left"/>
    </w:pPr>
    <w:rPr>
      <w:kern w:val="0"/>
    </w:rPr>
  </w:style>
  <w:style w:type="paragraph" w:styleId="27">
    <w:name w:val="Title"/>
    <w:basedOn w:val="1"/>
    <w:next w:val="1"/>
    <w:link w:val="49"/>
    <w:qFormat/>
    <w:uiPriority w:val="0"/>
    <w:pPr>
      <w:spacing w:before="240" w:after="60"/>
      <w:jc w:val="center"/>
      <w:outlineLvl w:val="0"/>
    </w:pPr>
    <w:rPr>
      <w:rFonts w:ascii="等线 Light" w:hAnsi="等线 Light" w:eastAsia="等线 Light"/>
      <w:b/>
      <w:bCs/>
      <w:sz w:val="32"/>
      <w:szCs w:val="32"/>
    </w:rPr>
  </w:style>
  <w:style w:type="paragraph" w:styleId="28">
    <w:name w:val="annotation subject"/>
    <w:basedOn w:val="13"/>
    <w:next w:val="13"/>
    <w:link w:val="50"/>
    <w:autoRedefine/>
    <w:unhideWhenUsed/>
    <w:qFormat/>
    <w:uiPriority w:val="99"/>
    <w:pPr>
      <w:spacing w:line="360" w:lineRule="auto"/>
      <w:ind w:firstLine="200" w:firstLineChars="200"/>
    </w:pPr>
    <w:rPr>
      <w:rFonts w:ascii="Times New Roman" w:hAnsi="Times New Roman" w:eastAsia="仿宋"/>
      <w:b/>
      <w:bCs/>
      <w:sz w:val="24"/>
    </w:rPr>
  </w:style>
  <w:style w:type="paragraph" w:styleId="29">
    <w:name w:val="Body Text First Indent"/>
    <w:basedOn w:val="14"/>
    <w:autoRedefine/>
    <w:qFormat/>
    <w:uiPriority w:val="0"/>
    <w:pPr>
      <w:ind w:firstLine="420" w:firstLineChars="100"/>
    </w:pPr>
  </w:style>
  <w:style w:type="paragraph" w:styleId="30">
    <w:name w:val="Body Text First Indent 2"/>
    <w:basedOn w:val="15"/>
    <w:link w:val="38"/>
    <w:autoRedefine/>
    <w:unhideWhenUsed/>
    <w:qFormat/>
    <w:uiPriority w:val="99"/>
    <w:pPr>
      <w:ind w:firstLine="420"/>
    </w:pPr>
    <w:rPr>
      <w:sz w:val="21"/>
      <w:szCs w:val="24"/>
    </w:rPr>
  </w:style>
  <w:style w:type="table" w:styleId="32">
    <w:name w:val="Table Grid"/>
    <w:basedOn w:val="3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basedOn w:val="33"/>
    <w:autoRedefine/>
    <w:qFormat/>
    <w:uiPriority w:val="22"/>
    <w:rPr>
      <w:b/>
      <w:bCs/>
    </w:rPr>
  </w:style>
  <w:style w:type="character" w:styleId="35">
    <w:name w:val="Hyperlink"/>
    <w:basedOn w:val="33"/>
    <w:autoRedefine/>
    <w:unhideWhenUsed/>
    <w:qFormat/>
    <w:uiPriority w:val="99"/>
    <w:rPr>
      <w:color w:val="0563C1"/>
      <w:u w:val="single"/>
    </w:rPr>
  </w:style>
  <w:style w:type="character" w:styleId="36">
    <w:name w:val="annotation reference"/>
    <w:basedOn w:val="33"/>
    <w:autoRedefine/>
    <w:unhideWhenUsed/>
    <w:qFormat/>
    <w:uiPriority w:val="99"/>
    <w:rPr>
      <w:sz w:val="21"/>
      <w:szCs w:val="21"/>
    </w:rPr>
  </w:style>
  <w:style w:type="character" w:customStyle="1" w:styleId="37">
    <w:name w:val="正文文本缩进 字符"/>
    <w:basedOn w:val="33"/>
    <w:link w:val="15"/>
    <w:autoRedefine/>
    <w:qFormat/>
    <w:uiPriority w:val="99"/>
    <w:rPr>
      <w:rFonts w:eastAsia="仿宋"/>
      <w:kern w:val="2"/>
      <w:sz w:val="24"/>
      <w:szCs w:val="22"/>
    </w:rPr>
  </w:style>
  <w:style w:type="character" w:customStyle="1" w:styleId="38">
    <w:name w:val="正文文本首行缩进 2 字符"/>
    <w:basedOn w:val="37"/>
    <w:link w:val="30"/>
    <w:qFormat/>
    <w:uiPriority w:val="99"/>
    <w:rPr>
      <w:rFonts w:eastAsia="仿宋"/>
      <w:kern w:val="2"/>
      <w:sz w:val="21"/>
      <w:szCs w:val="24"/>
    </w:rPr>
  </w:style>
  <w:style w:type="character" w:customStyle="1" w:styleId="39">
    <w:name w:val="标题 1 字符"/>
    <w:basedOn w:val="33"/>
    <w:link w:val="2"/>
    <w:qFormat/>
    <w:uiPriority w:val="9"/>
    <w:rPr>
      <w:rFonts w:ascii="Times New Roman" w:hAnsi="Times New Roman" w:eastAsia="楷体_GB2312"/>
      <w:b/>
      <w:bCs/>
      <w:kern w:val="44"/>
      <w:sz w:val="44"/>
      <w:szCs w:val="44"/>
    </w:rPr>
  </w:style>
  <w:style w:type="character" w:customStyle="1" w:styleId="40">
    <w:name w:val="标题 2 字符"/>
    <w:basedOn w:val="33"/>
    <w:link w:val="3"/>
    <w:autoRedefine/>
    <w:qFormat/>
    <w:uiPriority w:val="9"/>
    <w:rPr>
      <w:rFonts w:ascii="Times New Roman" w:hAnsi="Times New Roman" w:eastAsia="仿宋_GB2312" w:cs="Times New Roman"/>
      <w:b/>
      <w:bCs/>
      <w:sz w:val="32"/>
      <w:szCs w:val="32"/>
    </w:rPr>
  </w:style>
  <w:style w:type="character" w:customStyle="1" w:styleId="41">
    <w:name w:val="标题 3 字符"/>
    <w:basedOn w:val="33"/>
    <w:link w:val="4"/>
    <w:autoRedefine/>
    <w:qFormat/>
    <w:uiPriority w:val="9"/>
    <w:rPr>
      <w:rFonts w:ascii="Times New Roman" w:hAnsi="Times New Roman" w:eastAsia="仿宋_GB2312"/>
      <w:b/>
      <w:bCs/>
      <w:sz w:val="30"/>
      <w:szCs w:val="32"/>
    </w:rPr>
  </w:style>
  <w:style w:type="character" w:customStyle="1" w:styleId="42">
    <w:name w:val="标题 4 字符"/>
    <w:basedOn w:val="33"/>
    <w:link w:val="5"/>
    <w:autoRedefine/>
    <w:qFormat/>
    <w:uiPriority w:val="9"/>
    <w:rPr>
      <w:rFonts w:ascii="Times New Roman" w:hAnsi="Times New Roman" w:eastAsia="仿宋" w:cs="Times New Roman"/>
      <w:b/>
      <w:bCs/>
      <w:sz w:val="24"/>
      <w:szCs w:val="28"/>
    </w:rPr>
  </w:style>
  <w:style w:type="character" w:customStyle="1" w:styleId="43">
    <w:name w:val="文档结构图 字符"/>
    <w:basedOn w:val="33"/>
    <w:link w:val="12"/>
    <w:autoRedefine/>
    <w:semiHidden/>
    <w:qFormat/>
    <w:uiPriority w:val="99"/>
    <w:rPr>
      <w:rFonts w:ascii="宋体" w:eastAsia="宋体"/>
      <w:sz w:val="18"/>
      <w:szCs w:val="18"/>
    </w:rPr>
  </w:style>
  <w:style w:type="character" w:customStyle="1" w:styleId="44">
    <w:name w:val="批注文字 字符"/>
    <w:basedOn w:val="33"/>
    <w:link w:val="13"/>
    <w:autoRedefine/>
    <w:semiHidden/>
    <w:qFormat/>
    <w:uiPriority w:val="99"/>
  </w:style>
  <w:style w:type="character" w:customStyle="1" w:styleId="45">
    <w:name w:val="日期 字符"/>
    <w:basedOn w:val="33"/>
    <w:link w:val="19"/>
    <w:autoRedefine/>
    <w:semiHidden/>
    <w:qFormat/>
    <w:uiPriority w:val="99"/>
    <w:rPr>
      <w:rFonts w:ascii="Times New Roman" w:hAnsi="Times New Roman" w:eastAsia="仿宋"/>
      <w:sz w:val="24"/>
    </w:rPr>
  </w:style>
  <w:style w:type="character" w:customStyle="1" w:styleId="46">
    <w:name w:val="批注框文本 字符"/>
    <w:basedOn w:val="33"/>
    <w:link w:val="21"/>
    <w:autoRedefine/>
    <w:semiHidden/>
    <w:qFormat/>
    <w:uiPriority w:val="99"/>
    <w:rPr>
      <w:rFonts w:ascii="Times New Roman" w:hAnsi="Times New Roman" w:eastAsia="仿宋"/>
      <w:sz w:val="18"/>
      <w:szCs w:val="18"/>
    </w:rPr>
  </w:style>
  <w:style w:type="character" w:customStyle="1" w:styleId="47">
    <w:name w:val="页脚 字符"/>
    <w:basedOn w:val="33"/>
    <w:link w:val="22"/>
    <w:autoRedefine/>
    <w:qFormat/>
    <w:uiPriority w:val="99"/>
    <w:rPr>
      <w:sz w:val="18"/>
      <w:szCs w:val="18"/>
    </w:rPr>
  </w:style>
  <w:style w:type="character" w:customStyle="1" w:styleId="48">
    <w:name w:val="页眉 字符"/>
    <w:basedOn w:val="33"/>
    <w:link w:val="23"/>
    <w:autoRedefine/>
    <w:qFormat/>
    <w:uiPriority w:val="99"/>
    <w:rPr>
      <w:sz w:val="18"/>
      <w:szCs w:val="18"/>
    </w:rPr>
  </w:style>
  <w:style w:type="character" w:customStyle="1" w:styleId="49">
    <w:name w:val="标题 字符"/>
    <w:basedOn w:val="33"/>
    <w:link w:val="27"/>
    <w:qFormat/>
    <w:uiPriority w:val="0"/>
    <w:rPr>
      <w:rFonts w:ascii="等线 Light" w:hAnsi="等线 Light" w:eastAsia="等线 Light" w:cs="Times New Roman"/>
      <w:b/>
      <w:bCs/>
      <w:sz w:val="32"/>
      <w:szCs w:val="32"/>
    </w:rPr>
  </w:style>
  <w:style w:type="character" w:customStyle="1" w:styleId="50">
    <w:name w:val="批注主题 字符"/>
    <w:basedOn w:val="44"/>
    <w:link w:val="28"/>
    <w:autoRedefine/>
    <w:semiHidden/>
    <w:qFormat/>
    <w:uiPriority w:val="99"/>
    <w:rPr>
      <w:rFonts w:ascii="Times New Roman" w:hAnsi="Times New Roman" w:eastAsia="仿宋"/>
      <w:b/>
      <w:bCs/>
      <w:sz w:val="24"/>
    </w:rPr>
  </w:style>
  <w:style w:type="character" w:customStyle="1" w:styleId="51">
    <w:name w:val="font11"/>
    <w:basedOn w:val="33"/>
    <w:qFormat/>
    <w:uiPriority w:val="0"/>
    <w:rPr>
      <w:rFonts w:hint="eastAsia" w:ascii="宋体" w:hAnsi="宋体" w:eastAsia="宋体" w:cs="宋体"/>
      <w:color w:val="000000"/>
      <w:sz w:val="22"/>
      <w:szCs w:val="22"/>
      <w:u w:val="none"/>
    </w:rPr>
  </w:style>
  <w:style w:type="character" w:customStyle="1" w:styleId="52">
    <w:name w:val="font31"/>
    <w:basedOn w:val="33"/>
    <w:qFormat/>
    <w:uiPriority w:val="0"/>
    <w:rPr>
      <w:rFonts w:hint="eastAsia" w:ascii="宋体" w:hAnsi="宋体" w:eastAsia="宋体" w:cs="宋体"/>
      <w:color w:val="000000"/>
      <w:sz w:val="22"/>
      <w:szCs w:val="22"/>
      <w:u w:val="none"/>
    </w:rPr>
  </w:style>
  <w:style w:type="character" w:customStyle="1" w:styleId="53">
    <w:name w:val="页眉 Char1"/>
    <w:basedOn w:val="33"/>
    <w:qFormat/>
    <w:uiPriority w:val="99"/>
    <w:rPr>
      <w:sz w:val="18"/>
      <w:szCs w:val="18"/>
    </w:rPr>
  </w:style>
  <w:style w:type="paragraph" w:customStyle="1" w:styleId="54">
    <w:name w:val="无间隔1"/>
    <w:autoRedefine/>
    <w:qFormat/>
    <w:uiPriority w:val="1"/>
    <w:pPr>
      <w:widowControl w:val="0"/>
      <w:ind w:firstLine="200" w:firstLineChars="200"/>
      <w:jc w:val="both"/>
    </w:pPr>
    <w:rPr>
      <w:rFonts w:ascii="Times New Roman" w:hAnsi="Times New Roman" w:eastAsia="仿宋" w:cs="Times New Roman"/>
      <w:kern w:val="2"/>
      <w:sz w:val="24"/>
      <w:szCs w:val="22"/>
      <w:lang w:val="en-US" w:eastAsia="zh-CN" w:bidi="ar-SA"/>
    </w:rPr>
  </w:style>
  <w:style w:type="paragraph" w:customStyle="1" w:styleId="55">
    <w:name w:val="TOC 标题1"/>
    <w:basedOn w:val="2"/>
    <w:next w:val="1"/>
    <w:autoRedefine/>
    <w:unhideWhenUsed/>
    <w:qFormat/>
    <w:uiPriority w:val="39"/>
    <w:pPr>
      <w:widowControl/>
      <w:spacing w:before="240" w:after="0" w:line="259" w:lineRule="auto"/>
      <w:jc w:val="left"/>
      <w:outlineLvl w:val="9"/>
    </w:pPr>
    <w:rPr>
      <w:rFonts w:ascii="等线 Light" w:hAnsi="等线 Light" w:eastAsia="等线 Light"/>
      <w:b w:val="0"/>
      <w:bCs w:val="0"/>
      <w:color w:val="2F5496"/>
      <w:kern w:val="0"/>
      <w:szCs w:val="32"/>
    </w:rPr>
  </w:style>
  <w:style w:type="paragraph" w:customStyle="1" w:styleId="56">
    <w:name w:val="列出段落1"/>
    <w:basedOn w:val="1"/>
    <w:qFormat/>
    <w:uiPriority w:val="34"/>
    <w:pPr>
      <w:ind w:firstLine="420"/>
    </w:pPr>
  </w:style>
  <w:style w:type="paragraph" w:customStyle="1" w:styleId="57">
    <w:name w:val="列出段落11"/>
    <w:basedOn w:val="1"/>
    <w:qFormat/>
    <w:uiPriority w:val="0"/>
    <w:pPr>
      <w:spacing w:line="240" w:lineRule="auto"/>
      <w:ind w:firstLine="420"/>
    </w:pPr>
    <w:rPr>
      <w:rFonts w:eastAsia="宋体"/>
      <w:sz w:val="21"/>
    </w:rPr>
  </w:style>
  <w:style w:type="paragraph" w:customStyle="1" w:styleId="58">
    <w:name w:val="WPSOffice手动目录 1"/>
    <w:autoRedefine/>
    <w:qFormat/>
    <w:uiPriority w:val="0"/>
    <w:rPr>
      <w:rFonts w:ascii="等线" w:hAnsi="等线" w:eastAsia="等线" w:cs="Times New Roman"/>
      <w:lang w:val="en-US" w:eastAsia="zh-CN" w:bidi="ar-SA"/>
    </w:rPr>
  </w:style>
  <w:style w:type="paragraph" w:customStyle="1" w:styleId="59">
    <w:name w:val="Table Paragraph"/>
    <w:basedOn w:val="1"/>
    <w:autoRedefine/>
    <w:qFormat/>
    <w:uiPriority w:val="1"/>
    <w:pPr>
      <w:spacing w:line="240" w:lineRule="auto"/>
      <w:ind w:firstLine="0" w:firstLineChars="0"/>
      <w:jc w:val="left"/>
    </w:pPr>
    <w:rPr>
      <w:rFonts w:ascii="等线" w:hAnsi="等线" w:eastAsia="等线"/>
      <w:kern w:val="0"/>
      <w:sz w:val="22"/>
      <w:lang w:eastAsia="en-US"/>
    </w:rPr>
  </w:style>
  <w:style w:type="paragraph" w:customStyle="1" w:styleId="60">
    <w:name w:val="列出段落2"/>
    <w:basedOn w:val="1"/>
    <w:autoRedefine/>
    <w:unhideWhenUsed/>
    <w:qFormat/>
    <w:uiPriority w:val="99"/>
    <w:pPr>
      <w:spacing w:line="240" w:lineRule="auto"/>
      <w:ind w:firstLine="420"/>
    </w:pPr>
    <w:rPr>
      <w:rFonts w:eastAsia="宋体"/>
      <w:sz w:val="21"/>
      <w:szCs w:val="24"/>
    </w:rPr>
  </w:style>
  <w:style w:type="table" w:customStyle="1" w:styleId="61">
    <w:name w:val="Table Normal_0"/>
    <w:unhideWhenUsed/>
    <w:qFormat/>
    <w:uiPriority w:val="2"/>
    <w:pPr>
      <w:widowControl w:val="0"/>
    </w:pPr>
    <w:rPr>
      <w:sz w:val="22"/>
      <w:lang w:eastAsia="en-US"/>
    </w:rPr>
    <w:tblPr>
      <w:tblCellMar>
        <w:top w:w="0" w:type="dxa"/>
        <w:left w:w="0" w:type="dxa"/>
        <w:bottom w:w="0" w:type="dxa"/>
        <w:right w:w="0" w:type="dxa"/>
      </w:tblCellMar>
    </w:tblPr>
  </w:style>
  <w:style w:type="paragraph" w:customStyle="1" w:styleId="62">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3">
    <w:name w:val="内容 Char Char Char Char Char1"/>
    <w:link w:val="64"/>
    <w:autoRedefine/>
    <w:qFormat/>
    <w:uiPriority w:val="0"/>
    <w:rPr>
      <w:kern w:val="2"/>
      <w:sz w:val="28"/>
    </w:rPr>
  </w:style>
  <w:style w:type="paragraph" w:customStyle="1" w:styleId="64">
    <w:name w:val="内容 Char Char Char Char"/>
    <w:basedOn w:val="1"/>
    <w:link w:val="63"/>
    <w:autoRedefine/>
    <w:qFormat/>
    <w:uiPriority w:val="0"/>
    <w:pPr>
      <w:ind w:firstLine="420" w:firstLineChars="0"/>
    </w:pPr>
    <w:rPr>
      <w:rFonts w:eastAsia="宋体"/>
      <w:sz w:val="28"/>
      <w:szCs w:val="20"/>
    </w:rPr>
  </w:style>
  <w:style w:type="character" w:customStyle="1" w:styleId="65">
    <w:name w:val="占位符文本1"/>
    <w:basedOn w:val="33"/>
    <w:unhideWhenUsed/>
    <w:qFormat/>
    <w:uiPriority w:val="99"/>
    <w:rPr>
      <w:color w:val="808080"/>
    </w:rPr>
  </w:style>
  <w:style w:type="paragraph" w:styleId="66">
    <w:name w:val="List Paragraph"/>
    <w:basedOn w:val="1"/>
    <w:unhideWhenUsed/>
    <w:qFormat/>
    <w:uiPriority w:val="99"/>
    <w:pPr>
      <w:ind w:firstLine="420"/>
    </w:pPr>
  </w:style>
  <w:style w:type="character" w:customStyle="1" w:styleId="67">
    <w:name w:val="正文文本 字符"/>
    <w:basedOn w:val="33"/>
    <w:link w:val="14"/>
    <w:autoRedefine/>
    <w:semiHidden/>
    <w:qFormat/>
    <w:uiPriority w:val="99"/>
    <w:rPr>
      <w:rFonts w:eastAsia="仿宋"/>
      <w:kern w:val="2"/>
      <w:sz w:val="24"/>
      <w:szCs w:val="22"/>
    </w:rPr>
  </w:style>
  <w:style w:type="character" w:customStyle="1" w:styleId="68">
    <w:name w:val="题注 字符"/>
    <w:link w:val="11"/>
    <w:autoRedefine/>
    <w:qFormat/>
    <w:uiPriority w:val="35"/>
    <w:rPr>
      <w:rFonts w:ascii="Cambria" w:hAnsi="Cambria" w:eastAsia="黑体"/>
      <w:kern w:val="2"/>
    </w:rPr>
  </w:style>
  <w:style w:type="character" w:customStyle="1" w:styleId="69">
    <w:name w:val="font41"/>
    <w:basedOn w:val="33"/>
    <w:autoRedefine/>
    <w:qFormat/>
    <w:uiPriority w:val="0"/>
    <w:rPr>
      <w:rFonts w:hint="default" w:ascii="Times New Roman" w:hAnsi="Times New Roman" w:cs="Times New Roman"/>
      <w:b/>
      <w:bCs/>
      <w:color w:val="000000"/>
      <w:sz w:val="18"/>
      <w:szCs w:val="18"/>
      <w:u w:val="none"/>
    </w:rPr>
  </w:style>
  <w:style w:type="character" w:customStyle="1" w:styleId="70">
    <w:name w:val="font21"/>
    <w:basedOn w:val="33"/>
    <w:autoRedefine/>
    <w:qFormat/>
    <w:uiPriority w:val="0"/>
    <w:rPr>
      <w:rFonts w:hint="default" w:ascii="Times New Roman" w:hAnsi="Times New Roman" w:cs="Times New Roman"/>
      <w:color w:val="000000"/>
      <w:sz w:val="18"/>
      <w:szCs w:val="18"/>
      <w:u w:val="none"/>
    </w:rPr>
  </w:style>
  <w:style w:type="paragraph" w:customStyle="1" w:styleId="71">
    <w:name w:val="正文_0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2">
    <w:name w:val="Fließtext"/>
    <w:basedOn w:val="1"/>
    <w:autoRedefine/>
    <w:qFormat/>
    <w:uiPriority w:val="99"/>
    <w:pPr>
      <w:overflowPunct w:val="0"/>
      <w:autoSpaceDE w:val="0"/>
      <w:autoSpaceDN w:val="0"/>
      <w:adjustRightInd w:val="0"/>
      <w:textAlignment w:val="baseline"/>
    </w:pPr>
    <w:rPr>
      <w:kern w:val="28"/>
      <w:szCs w:val="20"/>
    </w:rPr>
  </w:style>
  <w:style w:type="paragraph" w:customStyle="1" w:styleId="73">
    <w:name w:val="我的样式3"/>
    <w:basedOn w:val="74"/>
    <w:next w:val="74"/>
    <w:qFormat/>
    <w:uiPriority w:val="0"/>
    <w:pPr>
      <w:keepNext/>
      <w:numPr>
        <w:ilvl w:val="2"/>
        <w:numId w:val="4"/>
      </w:numPr>
      <w:spacing w:before="190" w:beforeLines="50" w:after="190" w:afterLines="50"/>
      <w:outlineLvl w:val="2"/>
    </w:pPr>
    <w:rPr>
      <w:rFonts w:ascii="Times New Roman" w:hAnsi="Times New Roman"/>
      <w:b/>
    </w:rPr>
  </w:style>
  <w:style w:type="paragraph" w:customStyle="1" w:styleId="74">
    <w:name w:val="我的样式正文"/>
    <w:basedOn w:val="1"/>
    <w:autoRedefine/>
    <w:qFormat/>
    <w:uiPriority w:val="0"/>
    <w:pPr>
      <w:ind w:firstLine="560"/>
    </w:pPr>
    <w:rPr>
      <w:rFonts w:ascii="仿宋" w:hAnsi="仿宋"/>
      <w:szCs w:val="28"/>
    </w:rPr>
  </w:style>
  <w:style w:type="paragraph" w:customStyle="1" w:styleId="75">
    <w:name w:val="我的样式2"/>
    <w:basedOn w:val="74"/>
    <w:next w:val="74"/>
    <w:autoRedefine/>
    <w:qFormat/>
    <w:uiPriority w:val="0"/>
    <w:pPr>
      <w:numPr>
        <w:ilvl w:val="1"/>
        <w:numId w:val="4"/>
      </w:numPr>
      <w:spacing w:before="190" w:beforeLines="50" w:after="190" w:afterLines="50"/>
      <w:outlineLvl w:val="1"/>
    </w:pPr>
    <w:rPr>
      <w:rFonts w:ascii="Times New Roman" w:hAnsi="Times New Roman"/>
      <w:b/>
    </w:rPr>
  </w:style>
  <w:style w:type="character" w:customStyle="1" w:styleId="76">
    <w:name w:val="font51"/>
    <w:basedOn w:val="33"/>
    <w:autoRedefine/>
    <w:qFormat/>
    <w:uiPriority w:val="0"/>
    <w:rPr>
      <w:rFonts w:hint="default" w:ascii="Times New Roman" w:hAnsi="Times New Roman" w:cs="Times New Roman"/>
      <w:b/>
      <w:bCs/>
      <w:color w:val="000000"/>
      <w:sz w:val="18"/>
      <w:szCs w:val="18"/>
      <w:u w:val="none"/>
    </w:rPr>
  </w:style>
  <w:style w:type="character" w:customStyle="1" w:styleId="77">
    <w:name w:val="font71"/>
    <w:basedOn w:val="33"/>
    <w:qFormat/>
    <w:uiPriority w:val="0"/>
    <w:rPr>
      <w:rFonts w:hint="eastAsia" w:ascii="宋体" w:hAnsi="宋体" w:eastAsia="宋体" w:cs="宋体"/>
      <w:b/>
      <w:bCs/>
      <w:color w:val="000000"/>
      <w:sz w:val="18"/>
      <w:szCs w:val="18"/>
      <w:u w:val="none"/>
    </w:rPr>
  </w:style>
  <w:style w:type="character" w:customStyle="1" w:styleId="78">
    <w:name w:val="font81"/>
    <w:basedOn w:val="33"/>
    <w:qFormat/>
    <w:uiPriority w:val="0"/>
    <w:rPr>
      <w:rFonts w:hint="eastAsia" w:ascii="宋体" w:hAnsi="宋体" w:eastAsia="宋体" w:cs="宋体"/>
      <w:b/>
      <w:bCs/>
      <w:color w:val="000000"/>
      <w:sz w:val="18"/>
      <w:szCs w:val="18"/>
      <w:u w:val="none"/>
    </w:rPr>
  </w:style>
  <w:style w:type="character" w:customStyle="1" w:styleId="79">
    <w:name w:val="font91"/>
    <w:basedOn w:val="33"/>
    <w:autoRedefine/>
    <w:qFormat/>
    <w:uiPriority w:val="0"/>
    <w:rPr>
      <w:rFonts w:ascii="宋体-简" w:hAnsi="宋体-简" w:eastAsia="宋体-简" w:cs="宋体-简"/>
      <w:color w:val="000000"/>
      <w:sz w:val="18"/>
      <w:szCs w:val="18"/>
      <w:u w:val="none"/>
    </w:rPr>
  </w:style>
  <w:style w:type="paragraph" w:customStyle="1" w:styleId="80">
    <w:name w:val="p0"/>
    <w:basedOn w:val="1"/>
    <w:qFormat/>
    <w:uiPriority w:val="99"/>
    <w:pPr>
      <w:widowControl/>
      <w:spacing w:before="100" w:beforeAutospacing="1" w:after="100" w:afterAutospacing="1"/>
    </w:pPr>
    <w:rPr>
      <w:rFonts w:cs="宋体"/>
      <w:kern w:val="0"/>
      <w:sz w:val="24"/>
      <w:szCs w:val="24"/>
    </w:rPr>
  </w:style>
  <w:style w:type="paragraph" w:customStyle="1" w:styleId="81">
    <w:name w:val="正文2"/>
    <w:basedOn w:val="1"/>
    <w:autoRedefine/>
    <w:qFormat/>
    <w:uiPriority w:val="0"/>
    <w:pPr>
      <w:spacing w:line="360" w:lineRule="auto"/>
      <w:ind w:firstLine="480" w:firstLineChars="200"/>
    </w:pPr>
    <w:rPr>
      <w:rFonts w:ascii="Times New Roman" w:hAnsi="Times New Roman" w:eastAsia="仿宋_GB2312" w:cs="宋体"/>
      <w:sz w:val="28"/>
      <w:szCs w:val="20"/>
    </w:rPr>
  </w:style>
  <w:style w:type="character" w:customStyle="1" w:styleId="82">
    <w:name w:val="font101"/>
    <w:basedOn w:val="33"/>
    <w:qFormat/>
    <w:uiPriority w:val="0"/>
    <w:rPr>
      <w:rFonts w:hint="default" w:ascii="宋体-简" w:hAnsi="宋体-简" w:eastAsia="宋体-简" w:cs="宋体-简"/>
      <w:b/>
      <w:bCs/>
      <w:color w:val="000000"/>
      <w:sz w:val="18"/>
      <w:szCs w:val="18"/>
      <w:u w:val="none"/>
    </w:rPr>
  </w:style>
  <w:style w:type="character" w:customStyle="1" w:styleId="83">
    <w:name w:val="font161"/>
    <w:basedOn w:val="33"/>
    <w:qFormat/>
    <w:uiPriority w:val="0"/>
    <w:rPr>
      <w:rFonts w:hint="default" w:ascii="Times New Roman" w:hAnsi="Times New Roman" w:cs="Times New Roman"/>
      <w:color w:val="FF0000"/>
      <w:sz w:val="22"/>
      <w:szCs w:val="22"/>
      <w:u w:val="none"/>
    </w:rPr>
  </w:style>
  <w:style w:type="character" w:customStyle="1" w:styleId="84">
    <w:name w:val="font171"/>
    <w:basedOn w:val="33"/>
    <w:qFormat/>
    <w:uiPriority w:val="0"/>
    <w:rPr>
      <w:rFonts w:hint="eastAsia" w:ascii="宋体" w:hAnsi="宋体" w:eastAsia="宋体" w:cs="宋体"/>
      <w:color w:val="FF0000"/>
      <w:sz w:val="22"/>
      <w:szCs w:val="22"/>
      <w:u w:val="none"/>
    </w:rPr>
  </w:style>
  <w:style w:type="character" w:customStyle="1" w:styleId="85">
    <w:name w:val="font111"/>
    <w:basedOn w:val="33"/>
    <w:qFormat/>
    <w:uiPriority w:val="0"/>
    <w:rPr>
      <w:rFonts w:hint="eastAsia" w:ascii="宋体" w:hAnsi="宋体" w:eastAsia="宋体" w:cs="宋体"/>
      <w:b/>
      <w:bCs/>
      <w:color w:val="000000"/>
      <w:sz w:val="22"/>
      <w:szCs w:val="22"/>
      <w:u w:val="none"/>
    </w:rPr>
  </w:style>
  <w:style w:type="character" w:customStyle="1" w:styleId="86">
    <w:name w:val="font61"/>
    <w:basedOn w:val="33"/>
    <w:qFormat/>
    <w:uiPriority w:val="0"/>
    <w:rPr>
      <w:rFonts w:hint="default" w:ascii="Times New Roman" w:hAnsi="Times New Roman" w:cs="Times New Roman"/>
      <w:b/>
      <w:bCs/>
      <w:color w:val="000000"/>
      <w:sz w:val="22"/>
      <w:szCs w:val="22"/>
      <w:u w:val="none"/>
    </w:rPr>
  </w:style>
  <w:style w:type="character" w:customStyle="1" w:styleId="87">
    <w:name w:val="font121"/>
    <w:basedOn w:val="33"/>
    <w:qFormat/>
    <w:uiPriority w:val="0"/>
    <w:rPr>
      <w:rFonts w:hint="eastAsia" w:ascii="宋体" w:hAnsi="宋体" w:eastAsia="宋体" w:cs="宋体"/>
      <w:b/>
      <w:bCs/>
      <w:color w:val="000000"/>
      <w:sz w:val="22"/>
      <w:szCs w:val="22"/>
      <w:u w:val="none"/>
    </w:rPr>
  </w:style>
  <w:style w:type="character" w:customStyle="1" w:styleId="88">
    <w:name w:val="font132"/>
    <w:basedOn w:val="33"/>
    <w:qFormat/>
    <w:uiPriority w:val="0"/>
    <w:rPr>
      <w:rFonts w:ascii="宋体-简" w:hAnsi="宋体-简" w:eastAsia="宋体-简" w:cs="宋体-简"/>
      <w:b/>
      <w:bCs/>
      <w:color w:val="000000"/>
      <w:sz w:val="22"/>
      <w:szCs w:val="22"/>
      <w:u w:val="none"/>
    </w:rPr>
  </w:style>
  <w:style w:type="character" w:customStyle="1" w:styleId="89">
    <w:name w:val="font141"/>
    <w:basedOn w:val="33"/>
    <w:qFormat/>
    <w:uiPriority w:val="0"/>
    <w:rPr>
      <w:rFonts w:hint="eastAsia" w:ascii="宋体" w:hAnsi="宋体" w:eastAsia="宋体" w:cs="宋体"/>
      <w:color w:val="000000"/>
      <w:sz w:val="22"/>
      <w:szCs w:val="22"/>
      <w:u w:val="none"/>
    </w:rPr>
  </w:style>
  <w:style w:type="character" w:customStyle="1" w:styleId="90">
    <w:name w:val="font151"/>
    <w:basedOn w:val="33"/>
    <w:qFormat/>
    <w:uiPriority w:val="0"/>
    <w:rPr>
      <w:rFonts w:hint="eastAsia" w:ascii="宋体" w:hAnsi="宋体" w:eastAsia="宋体" w:cs="宋体"/>
      <w:color w:val="000000"/>
      <w:sz w:val="22"/>
      <w:szCs w:val="22"/>
      <w:u w:val="none"/>
    </w:rPr>
  </w:style>
  <w:style w:type="character" w:customStyle="1" w:styleId="91">
    <w:name w:val="font112"/>
    <w:basedOn w:val="33"/>
    <w:qFormat/>
    <w:uiPriority w:val="0"/>
    <w:rPr>
      <w:rFonts w:ascii="宋体-简" w:hAnsi="宋体-简" w:eastAsia="宋体-简" w:cs="宋体-简"/>
      <w:b/>
      <w:bCs/>
      <w:color w:val="000000"/>
      <w:sz w:val="18"/>
      <w:szCs w:val="18"/>
      <w:u w:val="none"/>
    </w:rPr>
  </w:style>
  <w:style w:type="character" w:customStyle="1" w:styleId="92">
    <w:name w:val="font131"/>
    <w:basedOn w:val="33"/>
    <w:qFormat/>
    <w:uiPriority w:val="0"/>
    <w:rPr>
      <w:rFonts w:hint="default" w:ascii="宋体-简" w:hAnsi="宋体-简" w:eastAsia="宋体-简" w:cs="宋体-简"/>
      <w:color w:val="000000"/>
      <w:sz w:val="18"/>
      <w:szCs w:val="18"/>
      <w:u w:val="none"/>
    </w:rPr>
  </w:style>
  <w:style w:type="character" w:customStyle="1" w:styleId="93">
    <w:name w:val="font181"/>
    <w:basedOn w:val="33"/>
    <w:qFormat/>
    <w:uiPriority w:val="0"/>
    <w:rPr>
      <w:rFonts w:hint="eastAsia" w:ascii="宋体" w:hAnsi="宋体" w:eastAsia="宋体" w:cs="宋体"/>
      <w:b/>
      <w:bCs/>
      <w:color w:val="000000"/>
      <w:sz w:val="22"/>
      <w:szCs w:val="22"/>
      <w:u w:val="none"/>
    </w:rPr>
  </w:style>
  <w:style w:type="character" w:customStyle="1" w:styleId="94">
    <w:name w:val="font191"/>
    <w:basedOn w:val="33"/>
    <w:qFormat/>
    <w:uiPriority w:val="0"/>
    <w:rPr>
      <w:rFonts w:ascii="宋体-简" w:hAnsi="宋体-简" w:eastAsia="宋体-简" w:cs="宋体-简"/>
      <w:b/>
      <w:bCs/>
      <w:color w:val="000000"/>
      <w:sz w:val="22"/>
      <w:szCs w:val="22"/>
      <w:u w:val="none"/>
    </w:rPr>
  </w:style>
  <w:style w:type="character" w:customStyle="1" w:styleId="95">
    <w:name w:val="font201"/>
    <w:basedOn w:val="33"/>
    <w:qFormat/>
    <w:uiPriority w:val="0"/>
    <w:rPr>
      <w:rFonts w:hint="eastAsia" w:ascii="宋体" w:hAnsi="宋体" w:eastAsia="宋体" w:cs="宋体"/>
      <w:color w:val="000000"/>
      <w:sz w:val="22"/>
      <w:szCs w:val="22"/>
      <w:u w:val="none"/>
    </w:rPr>
  </w:style>
  <w:style w:type="character" w:customStyle="1" w:styleId="96">
    <w:name w:val="font13"/>
    <w:basedOn w:val="33"/>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7" Type="http://schemas.openxmlformats.org/officeDocument/2006/relationships/fontTable" Target="fontTable.xml"/><Relationship Id="rId56" Type="http://schemas.openxmlformats.org/officeDocument/2006/relationships/customXml" Target="../customXml/item2.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image" Target="media/image34.png"/><Relationship Id="rId52" Type="http://schemas.openxmlformats.org/officeDocument/2006/relationships/image" Target="media/image33.jpeg"/><Relationship Id="rId51" Type="http://schemas.openxmlformats.org/officeDocument/2006/relationships/image" Target="media/image32.png"/><Relationship Id="rId50" Type="http://schemas.openxmlformats.org/officeDocument/2006/relationships/image" Target="media/image31.png"/><Relationship Id="rId5" Type="http://schemas.openxmlformats.org/officeDocument/2006/relationships/header" Target="header1.xml"/><Relationship Id="rId49" Type="http://schemas.openxmlformats.org/officeDocument/2006/relationships/image" Target="media/image30.png"/><Relationship Id="rId48" Type="http://schemas.openxmlformats.org/officeDocument/2006/relationships/image" Target="media/image29.png"/><Relationship Id="rId47" Type="http://schemas.openxmlformats.org/officeDocument/2006/relationships/image" Target="media/image28.png"/><Relationship Id="rId46" Type="http://schemas.openxmlformats.org/officeDocument/2006/relationships/image" Target="media/image27.png"/><Relationship Id="rId45" Type="http://schemas.openxmlformats.org/officeDocument/2006/relationships/image" Target="media/image26.png"/><Relationship Id="rId44" Type="http://schemas.openxmlformats.org/officeDocument/2006/relationships/image" Target="media/image25.png"/><Relationship Id="rId43" Type="http://schemas.openxmlformats.org/officeDocument/2006/relationships/image" Target="media/image24.png"/><Relationship Id="rId42" Type="http://schemas.openxmlformats.org/officeDocument/2006/relationships/image" Target="media/image23.png"/><Relationship Id="rId41" Type="http://schemas.openxmlformats.org/officeDocument/2006/relationships/image" Target="media/image22.png"/><Relationship Id="rId40" Type="http://schemas.openxmlformats.org/officeDocument/2006/relationships/image" Target="media/image21.png"/><Relationship Id="rId4" Type="http://schemas.openxmlformats.org/officeDocument/2006/relationships/endnotes" Target="endnotes.xml"/><Relationship Id="rId39" Type="http://schemas.openxmlformats.org/officeDocument/2006/relationships/image" Target="media/image20.png"/><Relationship Id="rId38" Type="http://schemas.openxmlformats.org/officeDocument/2006/relationships/image" Target="media/image19.png"/><Relationship Id="rId37" Type="http://schemas.openxmlformats.org/officeDocument/2006/relationships/image" Target="media/image18.jpeg"/><Relationship Id="rId36" Type="http://schemas.openxmlformats.org/officeDocument/2006/relationships/image" Target="media/image17.jpeg"/><Relationship Id="rId35" Type="http://schemas.openxmlformats.org/officeDocument/2006/relationships/image" Target="media/image16.jpeg"/><Relationship Id="rId34" Type="http://schemas.openxmlformats.org/officeDocument/2006/relationships/image" Target="media/image15.png"/><Relationship Id="rId33" Type="http://schemas.openxmlformats.org/officeDocument/2006/relationships/image" Target="media/image14.jpeg"/><Relationship Id="rId32" Type="http://schemas.openxmlformats.org/officeDocument/2006/relationships/image" Target="media/image13.jpeg"/><Relationship Id="rId31" Type="http://schemas.openxmlformats.org/officeDocument/2006/relationships/image" Target="media/image12.jpeg"/><Relationship Id="rId30" Type="http://schemas.openxmlformats.org/officeDocument/2006/relationships/image" Target="media/image11.jpeg"/><Relationship Id="rId3" Type="http://schemas.openxmlformats.org/officeDocument/2006/relationships/footnotes" Target="footnotes.xml"/><Relationship Id="rId29" Type="http://schemas.openxmlformats.org/officeDocument/2006/relationships/image" Target="media/image10.png"/><Relationship Id="rId28" Type="http://schemas.openxmlformats.org/officeDocument/2006/relationships/image" Target="media/image9.png"/><Relationship Id="rId27" Type="http://schemas.openxmlformats.org/officeDocument/2006/relationships/image" Target="media/image8.png"/><Relationship Id="rId26" Type="http://schemas.openxmlformats.org/officeDocument/2006/relationships/image" Target="media/image7.png"/><Relationship Id="rId25" Type="http://schemas.openxmlformats.org/officeDocument/2006/relationships/image" Target="media/image6.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3.png"/><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3.xml"/><Relationship Id="rId12" Type="http://schemas.openxmlformats.org/officeDocument/2006/relationships/footer" Target="footer6.xml"/><Relationship Id="rId11" Type="http://schemas.openxmlformats.org/officeDocument/2006/relationships/header" Target="header2.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03a26392-488a-40ca-b1bb-8c8e63ebbdc9</errorID>
      <errorWord>杜绝</errorWord>
      <group>L1_Word</group>
      <groupName>字词问题</groupName>
      <ability>L2_Typo</ability>
      <abilityName>字词错误</abilityName>
      <candidateList>
        <item>和杜绝</item>
      </candidateList>
      <explain/>
      <paraID>4646B59A</paraID>
      <start>52</start>
      <end>54</end>
      <status>unmodified</status>
      <modifiedWord/>
      <trackRevisions>false</trackRevisions>
    </reviewItem>
    <reviewItem>
      <errorID>b15a3c77-bad2-47cb-bc24-09dcc6fa6a1e</errorID>
      <errorWord>，</errorWord>
      <group>L1_Grammar</group>
      <groupName>语法问题</groupName>
      <ability>L2_Grammar</ability>
      <abilityName>语法错误</abilityName>
      <candidateList>
        <item>排放，</item>
      </candidateList>
      <explain/>
      <paraID>4646B59A</paraID>
      <start>103</start>
      <end>104</end>
      <status>unmodified</status>
      <modifiedWord/>
      <trackRevisions>false</trackRevisions>
    </reviewItem>
    <reviewItem>
      <errorID>4e9702b6-0e04-4cd1-8178-e0f2e5db0b83</errorID>
      <errorWord>与</errorWord>
      <group>L1_Word</group>
      <groupName>字词问题</groupName>
      <ability>L2_Typo</ability>
      <abilityName>字词错误</abilityName>
      <candidateList>
        <item>和</item>
      </candidateList>
      <explain/>
      <paraID>5257DFE9</paraID>
      <start>40</start>
      <end>41</end>
      <status>unmodified</status>
      <modifiedWord/>
      <trackRevisions>false</trackRevisions>
    </reviewItem>
    <reviewItem>
      <errorID>4e63a8b4-0708-44c9-82f4-58e757f3f2f5</errorID>
      <errorWord>；</errorWord>
      <group>L1_Punc</group>
      <groupName>标点问题</groupName>
      <ability>L2_Punc_CN</ability>
      <abilityName>标点符号问题</abilityName>
      <candidateList>
        <item>，</item>
      </candidateList>
      <explain/>
      <paraID>5E5AA92C</paraID>
      <start>11</start>
      <end>12</end>
      <status>unmodified</status>
      <modifiedWord/>
      <trackRevisions>false</trackRevisions>
    </reviewItem>
    <reviewItem>
      <errorID>9125d8cf-ac50-4b61-9c2f-db6daf1cba91</errorID>
      <errorWord>至</errorWord>
      <group>L1_Punc</group>
      <groupName>标点问题</groupName>
      <ability>L2_Punc_CN</ability>
      <abilityName>标点符号问题</abilityName>
      <candidateList>
        <item>，至</item>
      </candidateList>
      <explain/>
      <paraID>5E5AA92C</paraID>
      <start>27</start>
      <end>28</end>
      <status>unmodified</status>
      <modifiedWord/>
      <trackRevisions>false</trackRevisions>
    </reviewItem>
    <reviewItem>
      <errorID>db265da1-3e54-4f7e-99cf-0efb1f140aa2</errorID>
      <errorWord>主要</errorWord>
      <group>L1_Word</group>
      <groupName>字词问题</groupName>
      <ability>L2_Typo</ability>
      <abilityName>字词错误</abilityName>
      <candidateList>
        <item> 主要</item>
      </candidateList>
      <explain/>
      <paraID>72C1A591</paraID>
      <start>0</start>
      <end>2</end>
      <status>unmodified</status>
      <modifiedWord/>
      <trackRevisions>false</trackRevisions>
    </reviewItem>
    <reviewItem>
      <errorID>4f11831b-760c-4d54-98cf-1e6d118419e3</errorID>
      <errorWord>经济指标表</errorWord>
      <group>L1_Word</group>
      <groupName>字词问题</groupName>
      <ability>L2_Typo</ability>
      <abilityName>字词错误</abilityName>
      <candidateList>
        <item>经济指标</item>
      </candidateList>
      <explain/>
      <paraID>6043B8CE</paraID>
      <start>9</start>
      <end>14</end>
      <status>unmodified</status>
      <modifiedWord/>
      <trackRevisions>false</trackRevisions>
    </reviewItem>
    <reviewItem>
      <errorID>c829d1ae-a6bd-48d5-b94a-d23f0cdbcb63</errorID>
      <errorWord>－</errorWord>
      <group>L1_Punc</group>
      <groupName>标点问题</groupName>
      <ability>L2_Punc_CN</ability>
      <abilityName>标点符号问题</abilityName>
      <candidateList>
        <item>—</item>
      </candidateList>
      <explain/>
      <paraID>245764E2</paraID>
      <start>40</start>
      <end>41</end>
      <status>unmodified</status>
      <modifiedWord/>
      <trackRevisions>false</trackRevisions>
    </reviewItem>
    <reviewItem>
      <errorID>0c0502a4-4f8b-472d-9430-354ee7f2a5d1</errorID>
      <errorWord>－</errorWord>
      <group>L1_Punc</group>
      <groupName>标点问题</groupName>
      <ability>L2_Punc_CN</ability>
      <abilityName>标点符号问题</abilityName>
      <candidateList>
        <item>—</item>
      </candidateList>
      <explain/>
      <paraID>245764E2</paraID>
      <start>43</start>
      <end>44</end>
      <status>unmodified</status>
      <modifiedWord/>
      <trackRevisions>false</trackRevisions>
    </reviewItem>
    <reviewItem>
      <errorID>deee72ea-826e-4265-b7df-0762d16b1c39</errorID>
      <errorWord>【2023】22号</errorWord>
      <group>L1_Knowledge</group>
      <groupName>知识性问题</groupName>
      <ability>L2_Knowledge</ability>
      <abilityName>其他知识</abilityName>
      <candidateList>
        <item>〔2023〕22号</item>
      </candidateList>
      <explain>发文字号格式错误。</explain>
      <paraID>627C18D8</paraID>
      <start>30</start>
      <end>39</end>
      <status>unmodified</status>
      <modifiedWord/>
      <trackRevisions>false</trackRevisions>
    </reviewItem>
    <reviewItem>
      <errorID>96538e60-9bb2-4276-8c51-2fdbe7e53beb</errorID>
      <errorWord>，</errorWord>
      <group>L1_Punc</group>
      <groupName>标点问题</groupName>
      <ability>L2_Punc_CN</ability>
      <abilityName>标点符号问题</abilityName>
      <candidateList>
        <item>。</item>
      </candidateList>
      <explain/>
      <paraID>5D2CA1FE</paraID>
      <start>13</start>
      <end>14</end>
      <status>unmodified</status>
      <modifiedWord/>
      <trackRevisions>false</trackRevisions>
    </reviewItem>
    <reviewItem>
      <errorID>32712eb3-5314-480b-9468-2e51b2782d3f</errorID>
      <errorWord>）</errorWord>
      <group>L1_Punc</group>
      <groupName>标点问题</groupName>
      <ability>L2_Punc_CN</ability>
      <abilityName>标点符号问题</abilityName>
      <candidateList>
        <item>）；</item>
      </candidateList>
      <explain/>
      <paraID>578FB80A</paraID>
      <start>59</start>
      <end>60</end>
      <status>unmodified</status>
      <modifiedWord/>
      <trackRevisions>false</trackRevisions>
    </reviewItem>
    <reviewItem>
      <errorID>f6799e9d-321b-4022-9ccd-9e0fa13da421</errorID>
      <errorWord>与</errorWord>
      <group>L1_Word</group>
      <groupName>字词问题</groupName>
      <ability>L2_Typo</ability>
      <abilityName>字词错误</abilityName>
      <candidateList>
        <item>和</item>
      </candidateList>
      <explain/>
      <paraID>2796F3CC</paraID>
      <start>6</start>
      <end>7</end>
      <status>unmodified</status>
      <modifiedWord/>
      <trackRevisions>false</trackRevisions>
    </reviewItem>
    <reviewItem>
      <errorID>946e2c0e-2f57-4270-b963-57c1b0cff925</errorID>
      <errorWord>）</errorWord>
      <group>L1_Punc</group>
      <groupName>标点问题</groupName>
      <ability>L2_Punc_CN</ability>
      <abilityName>标点符号问题</abilityName>
      <candidateList>
        <item>）；</item>
      </candidateList>
      <explain/>
      <paraID>2796F3CC</paraID>
      <start>63</start>
      <end>64</end>
      <status>unmodified</status>
      <modifiedWord/>
      <trackRevisions>false</trackRevisions>
    </reviewItem>
    <reviewItem>
      <errorID>ac4a6b5b-37e1-47f1-b689-9365eebcfe59</errorID>
      <errorWord>》</errorWord>
      <group>L1_Punc</group>
      <groupName>标点问题</groupName>
      <ability>L2_Punc_CN</ability>
      <abilityName>标点符号问题</abilityName>
      <candidateList>
        <item>》；</item>
      </candidateList>
      <explain/>
      <paraID>471FD09C</paraID>
      <start>32</start>
      <end>33</end>
      <status>unmodified</status>
      <modifiedWord/>
      <trackRevisions>false</trackRevisions>
    </reviewItem>
    <reviewItem>
      <errorID>e682cde9-35c7-48f8-a26e-c724b56c7b23</errorID>
      <errorWord>。</errorWord>
      <group>L1_Punc</group>
      <groupName>标点问题</groupName>
      <ability>L2_Punc_CN</ability>
      <abilityName>标点符号问题</abilityName>
      <candidateList>
        <item>；</item>
      </candidateList>
      <explain/>
      <paraID>53819A12</paraID>
      <start>32</start>
      <end>33</end>
      <status>unmodified</status>
      <modifiedWord/>
      <trackRevisions>false</trackRevisions>
    </reviewItem>
    <reviewItem>
      <errorID>1b31c61f-dad1-4684-a9c8-fda39393597d</errorID>
      <errorWord>需要</errorWord>
      <group>L1_Punc</group>
      <groupName>标点问题</groupName>
      <ability>L2_Punc_CN</ability>
      <abilityName>标点符号问题</abilityName>
      <candidateList>
        <item>需要。</item>
      </candidateList>
      <explain/>
      <paraID>24F14932</paraID>
      <start>35</start>
      <end>37</end>
      <status>unmodified</status>
      <modifiedWord/>
      <trackRevisions>false</trackRevisions>
    </reviewItem>
    <reviewItem>
      <errorID>53301071-bbe0-47e0-ad24-fe099610b631</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63D50A5D</paraID>
      <start>305</start>
      <end>306</end>
      <status>unmodified</status>
      <modifiedWord/>
      <trackRevisions>false</trackRevisions>
    </reviewItem>
    <reviewItem>
      <errorID>6b57a846-2d66-499b-b826-dbd432b0a605</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63D50A5D</paraID>
      <start>315</start>
      <end>316</end>
      <status>unmodified</status>
      <modifiedWord/>
      <trackRevisions>false</trackRevisions>
    </reviewItem>
    <reviewItem>
      <errorID>54245d82-a4e2-4c5c-ae4a-ab6a8fa4866d</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63D50A5D</paraID>
      <start>321</start>
      <end>322</end>
      <status>unmodified</status>
      <modifiedWord/>
      <trackRevisions>false</trackRevisions>
    </reviewItem>
    <reviewItem>
      <errorID>9ef1ca1d-82d5-4084-a884-371a26e3bc31</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63D50A5D</paraID>
      <start>331</start>
      <end>332</end>
      <status>unmodified</status>
      <modifiedWord/>
      <trackRevisions>false</trackRevisions>
    </reviewItem>
    <reviewItem>
      <errorID>8778be63-a8d9-468e-9525-a3cb9bc6ed80</errorID>
      <errorWord>需要</errorWord>
      <group>L1_Punc</group>
      <groupName>标点问题</groupName>
      <ability>L2_Punc_CN</ability>
      <abilityName>标点符号问题</abilityName>
      <candidateList>
        <item>需要。</item>
      </candidateList>
      <explain/>
      <paraID>485D5106</paraID>
      <start>33</start>
      <end>35</end>
      <status>unmodified</status>
      <modifiedWord/>
      <trackRevisions>false</trackRevisions>
    </reviewItem>
    <reviewItem>
      <errorID>03f68a6f-d8b0-4f68-96ff-f2f82a1bc594</errorID>
      <errorWord>项目</errorWord>
      <group>L1_Word</group>
      <groupName>字词问题</groupName>
      <ability>L2_Typo</ability>
      <abilityName>字词错误</abilityName>
      <candidateList>
        <item> 项目</item>
      </candidateList>
      <explain/>
      <paraID>4961F616</paraID>
      <start>6</start>
      <end>8</end>
      <status>unmodified</status>
      <modifiedWord/>
      <trackRevisions>false</trackRevisions>
    </reviewItem>
    <reviewItem>
      <errorID>aa728870-141a-4d95-8ba0-ca0939f3a9fa</errorID>
      <errorWord>通讯</errorWord>
      <group>L1_Word</group>
      <groupName>字词问题</groupName>
      <ability>L2_Typo</ability>
      <abilityName>字词错误</abilityName>
      <candidateList>
        <item>通信</item>
      </candidateList>
      <explain/>
      <paraID>4AA7179F</paraID>
      <start>0</start>
      <end>2</end>
      <status>unmodified</status>
      <modifiedWord/>
      <trackRevisions>false</trackRevisions>
    </reviewItem>
    <reviewItem>
      <errorID>c3a71845-4473-436d-bce1-4e22c7dfbfc9</errorID>
      <errorWord>月</errorWord>
      <group>L1_Punc</group>
      <groupName>标点问题</groupName>
      <ability>L2_Punc_CN</ability>
      <abilityName>标点符号问题</abilityName>
      <candidateList>
        <item>月。</item>
      </candidateList>
      <explain/>
      <paraID> C31BF18</paraID>
      <start>22</start>
      <end>23</end>
      <status>unmodified</status>
      <modifiedWord/>
      <trackRevisions>false</trackRevisions>
    </reviewItem>
    <reviewItem>
      <errorID>fc342427-1575-41f7-98d4-3ae49f86d1ce</errorID>
      <errorWord>个人行出入口交通核</errorWord>
      <group>L1_Grammar</group>
      <groupName>语法问题</groupName>
      <ability>L2_Grammar</ability>
      <abilityName>语法错误</abilityName>
      <candidateList>
        <item>个交通核作为人行出入口</item>
      </candidateList>
      <explain/>
      <paraID>3EE5EE32</paraID>
      <start>97</start>
      <end>106</end>
      <status>unmodified</status>
      <modifiedWord/>
      <trackRevisions>false</trackRevisions>
    </reviewItem>
    <reviewItem>
      <errorID>fe65ad6b-597f-41e7-9aea-a1330a08726c</errorID>
      <errorWord>地上公园</errorWord>
      <group>L1_Knowledge</group>
      <groupName>知识性问题</groupName>
      <ability>L2_Term</ability>
      <abilityName>专业术语</abilityName>
      <candidateList>
        <item>地质公园</item>
      </candidateList>
      <explain/>
      <paraID>3EE5EE32</paraID>
      <start>117</start>
      <end>121</end>
      <status>unmodified</status>
      <modifiedWord/>
      <trackRevisions>false</trackRevisions>
    </reviewItem>
    <reviewItem>
      <errorID>e864ce9e-eef3-496b-ac95-63307adc5e9c</errorID>
      <errorWord>地上公园</errorWord>
      <group>L1_Knowledge</group>
      <groupName>知识性问题</groupName>
      <ability>L2_Term</ability>
      <abilityName>专业术语</abilityName>
      <candidateList>
        <item>地质公园</item>
      </candidateList>
      <explain/>
      <paraID>3FF70C11</paraID>
      <start>128</start>
      <end>132</end>
      <status>unmodified</status>
      <modifiedWord/>
      <trackRevisions>false</trackRevisions>
    </reviewItem>
    <reviewItem>
      <errorID>35dbcbc0-21c0-46b0-b1c1-67f75d376e1f</errorID>
      <errorWord>；</errorWord>
      <group>L1_Punc</group>
      <groupName>标点问题</groupName>
      <ability>L2_Punc_CN</ability>
      <abilityName>标点符号问题</abilityName>
      <candidateList>
        <item>。</item>
      </candidateList>
      <explain/>
      <paraID>7D48CCFC</paraID>
      <start>41</start>
      <end>42</end>
      <status>unmodified</status>
      <modifiedWord/>
      <trackRevisions>false</trackRevisions>
    </reviewItem>
    <reviewItem>
      <errorID>71395b2f-aa9a-4875-a21a-20852339aba3</errorID>
      <errorWord>：</errorWord>
      <group>L1_Punc</group>
      <groupName>标点问题</groupName>
      <ability>L2_Punc_CN</ability>
      <abilityName>标点符号问题</abilityName>
      <candidateList>
        <item>，</item>
      </candidateList>
      <explain/>
      <paraID> C595BCE</paraID>
      <start>12</start>
      <end>13</end>
      <status>unmodified</status>
      <modifiedWord/>
      <trackRevisions>false</trackRevisions>
    </reviewItem>
    <reviewItem>
      <errorID>03308aa9-8df9-4d6f-9e18-ca550da9854b</errorID>
      <errorWord>、</errorWord>
      <group>L1_Punc</group>
      <groupName>标点问题</groupName>
      <ability>L2_Punc_CN</ability>
      <abilityName>标点符号问题</abilityName>
      <candidateList>
        <item>，</item>
      </candidateList>
      <explain/>
      <paraID> 4DD2D65</paraID>
      <start>4</start>
      <end>5</end>
      <status>unmodified</status>
      <modifiedWord/>
      <trackRevisions>false</trackRevisions>
    </reviewItem>
    <reviewItem>
      <errorID>b3324192-ccc9-4060-b4ec-66402c0b87ed</errorID>
      <errorWord>；</errorWord>
      <group>L1_Punc</group>
      <groupName>标点问题</groupName>
      <ability>L2_Punc_CN</ability>
      <abilityName>标点符号问题</abilityName>
      <candidateList>
        <item>，</item>
      </candidateList>
      <explain/>
      <paraID>54A85285</paraID>
      <start>24</start>
      <end>25</end>
      <status>unmodified</status>
      <modifiedWord/>
      <trackRevisions>false</trackRevisions>
    </reviewItem>
    <reviewItem>
      <errorID>8698f388-ff0c-449f-b428-15f052bcda12</errorID>
      <errorWord>；</errorWord>
      <group>L1_Punc</group>
      <groupName>标点问题</groupName>
      <ability>L2_Punc_CN</ability>
      <abilityName>标点符号问题</abilityName>
      <candidateList>
        <item>，</item>
      </candidateList>
      <explain/>
      <paraID>54A85285</paraID>
      <start>39</start>
      <end>40</end>
      <status>unmodified</status>
      <modifiedWord/>
      <trackRevisions>false</trackRevisions>
    </reviewItem>
    <reviewItem>
      <errorID>fff4cac2-a17f-40ad-96b5-7f494fe6b60f</errorID>
      <errorWord>；</errorWord>
      <group>L1_Punc</group>
      <groupName>标点问题</groupName>
      <ability>L2_Punc_CN</ability>
      <abilityName>标点符号问题</abilityName>
      <candidateList>
        <item>，</item>
      </candidateList>
      <explain/>
      <paraID>5B627952</paraID>
      <start>26</start>
      <end>27</end>
      <status>unmodified</status>
      <modifiedWord/>
      <trackRevisions>false</trackRevisions>
    </reviewItem>
    <reviewItem>
      <errorID>e800b0d1-ea60-4d6c-a49b-b4799faf7fe3</errorID>
      <errorWord>；</errorWord>
      <group>L1_Punc</group>
      <groupName>标点问题</groupName>
      <ability>L2_Punc_CN</ability>
      <abilityName>标点符号问题</abilityName>
      <candidateList>
        <item>，</item>
      </candidateList>
      <explain/>
      <paraID>7C91886E</paraID>
      <start>18</start>
      <end>19</end>
      <status>unmodified</status>
      <modifiedWord/>
      <trackRevisions>false</trackRevisions>
    </reviewItem>
    <reviewItem>
      <errorID>25ff5025-c6b8-4935-bc6f-73297a2a1b33</errorID>
      <errorWord>；</errorWord>
      <group>L1_Punc</group>
      <groupName>标点问题</groupName>
      <ability>L2_Punc_CN</ability>
      <abilityName>标点符号问题</abilityName>
      <candidateList>
        <item>，</item>
      </candidateList>
      <explain/>
      <paraID>7C91886E</paraID>
      <start>27</start>
      <end>28</end>
      <status>unmodified</status>
      <modifiedWord/>
      <trackRevisions>false</trackRevisions>
    </reviewItem>
    <reviewItem>
      <errorID>c811cd36-2d8a-4e36-b689-823b54f7095c</errorID>
      <errorWord>、</errorWord>
      <group>L1_Punc</group>
      <groupName>标点问题</groupName>
      <ability>L2_Punc_CN</ability>
      <abilityName>标点符号问题</abilityName>
      <candidateList>
        <item>，</item>
      </candidateList>
      <explain/>
      <paraID>1B5D8775</paraID>
      <start>14</start>
      <end>15</end>
      <status>unmodified</status>
      <modifiedWord/>
      <trackRevisions>false</trackRevisions>
    </reviewItem>
    <reviewItem>
      <errorID>53e043a1-1883-4820-8f77-1a7ff63c8a14</errorID>
      <errorWord>、</errorWord>
      <group>L1_Punc</group>
      <groupName>标点问题</groupName>
      <ability>L2_Punc_CN</ability>
      <abilityName>标点符号问题</abilityName>
      <candidateList>
        <item>，</item>
      </candidateList>
      <explain/>
      <paraID>1B5D8775</paraID>
      <start>20</start>
      <end>21</end>
      <status>unmodified</status>
      <modifiedWord/>
      <trackRevisions>false</trackRevisions>
    </reviewItem>
    <reviewItem>
      <errorID>47b9fb94-f9d7-4de7-9478-5e4647fd8872</errorID>
      <errorWord>、</errorWord>
      <group>L1_Punc</group>
      <groupName>标点问题</groupName>
      <ability>L2_Punc_CN</ability>
      <abilityName>标点符号问题</abilityName>
      <candidateList>
        <item>，</item>
      </candidateList>
      <explain/>
      <paraID>3744D96D</paraID>
      <start>19</start>
      <end>20</end>
      <status>unmodified</status>
      <modifiedWord/>
      <trackRevisions>false</trackRevisions>
    </reviewItem>
    <reviewItem>
      <errorID>a605daae-d3ca-44b6-a0e6-ccd19de56941</errorID>
      <errorWord>、</errorWord>
      <group>L1_Punc</group>
      <groupName>标点问题</groupName>
      <ability>L2_Punc_CN</ability>
      <abilityName>标点符号问题</abilityName>
      <candidateList>
        <item>，</item>
      </candidateList>
      <explain/>
      <paraID>16B237E1</paraID>
      <start>13</start>
      <end>14</end>
      <status>unmodified</status>
      <modifiedWord/>
      <trackRevisions>false</trackRevisions>
    </reviewItem>
    <reviewItem>
      <errorID>dbc941eb-99c1-4fe4-9ccc-91308d552fe4</errorID>
      <errorWord>、</errorWord>
      <group>L1_Punc</group>
      <groupName>标点问题</groupName>
      <ability>L2_Punc_CN</ability>
      <abilityName>标点符号问题</abilityName>
      <candidateList>
        <item>，</item>
      </candidateList>
      <explain/>
      <paraID>16B237E1</paraID>
      <start>18</start>
      <end>19</end>
      <status>unmodified</status>
      <modifiedWord/>
      <trackRevisions>false</trackRevisions>
    </reviewItem>
    <reviewItem>
      <errorID>a33b7bf0-43c1-437e-9a4b-58f492c950a4</errorID>
      <errorWord>、</errorWord>
      <group>L1_Punc</group>
      <groupName>标点问题</groupName>
      <ability>L2_Punc_CN</ability>
      <abilityName>标点符号问题</abilityName>
      <candidateList>
        <item>，</item>
      </candidateList>
      <explain/>
      <paraID>16B237E1</paraID>
      <start>23</start>
      <end>24</end>
      <status>unmodified</status>
      <modifiedWord/>
      <trackRevisions>false</trackRevisions>
    </reviewItem>
    <reviewItem>
      <errorID>b3fa75da-29c3-4f5a-a7ed-9c660e8377df</errorID>
      <errorWord>、</errorWord>
      <group>L1_Punc</group>
      <groupName>标点问题</groupName>
      <ability>L2_Punc_CN</ability>
      <abilityName>标点符号问题</abilityName>
      <candidateList>
        <item>，</item>
      </candidateList>
      <explain/>
      <paraID>353FA28D</paraID>
      <start>12</start>
      <end>13</end>
      <status>unmodified</status>
      <modifiedWord/>
      <trackRevisions>false</trackRevisions>
    </reviewItem>
    <reviewItem>
      <errorID>1e8177bc-e634-4151-b2b3-ec4a728d303d</errorID>
      <errorWord>、</errorWord>
      <group>L1_Punc</group>
      <groupName>标点问题</groupName>
      <ability>L2_Punc_CN</ability>
      <abilityName>标点符号问题</abilityName>
      <candidateList>
        <item>，</item>
      </candidateList>
      <explain/>
      <paraID>353FA28D</paraID>
      <start>17</start>
      <end>18</end>
      <status>unmodified</status>
      <modifiedWord/>
      <trackRevisions>false</trackRevisions>
    </reviewItem>
    <reviewItem>
      <errorID>0764672f-5d67-4b5b-aabc-c710dd6ef4fb</errorID>
      <errorWord>、</errorWord>
      <group>L1_Punc</group>
      <groupName>标点问题</groupName>
      <ability>L2_Punc_CN</ability>
      <abilityName>标点符号问题</abilityName>
      <candidateList>
        <item>，</item>
      </candidateList>
      <explain/>
      <paraID>528AD700</paraID>
      <start>9</start>
      <end>10</end>
      <status>unmodified</status>
      <modifiedWord/>
      <trackRevisions>false</trackRevisions>
    </reviewItem>
    <reviewItem>
      <errorID>ad34103d-becb-4ed9-8d7c-c90543e72f4d</errorID>
      <errorWord>北京市契税管理规定</errorWord>
      <group>L1_Knowledge</group>
      <groupName>知识性问题</groupName>
      <ability>L2_Knowledge</ability>
      <abilityName>其他知识</abilityName>
      <candidateList>
        <item>北京市养犬管理规定</item>
      </candidateList>
      <explain>当前法律法规未收录或尚未生效，注意核查是否正确。</explain>
      <paraID> 8C3598E</paraID>
      <start>1</start>
      <end>10</end>
      <status>unmodified</status>
      <modifiedWord/>
      <trackRevisions>false</trackRevisions>
    </reviewItem>
    <reviewItem>
      <errorID>7e5e48e2-9f22-413e-b047-302002cbc10d</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52022A7A</paraID>
      <start>21</start>
      <end>28</end>
      <status>unmodified</status>
      <modifiedWord/>
      <trackRevisions>false</trackRevisions>
    </reviewItem>
    <reviewItem>
      <errorID>9e5c36df-eae5-4510-9d9e-0a859a82ee40</errorID>
      <errorWord>0.3%-0.6%</errorWord>
      <group>L1_Knowledge</group>
      <groupName>知识性问题</groupName>
      <ability>L2_Knowledge</ability>
      <abilityName>其他知识</abilityName>
      <candidateList>
        <item>0.3%—0.6%</item>
      </candidateList>
      <explain>1. “0.3%-0.6%”中的单位“%”仅出现在后一个数字上，容易引起歧义；根据《现代汉语标点符号数字用法规范手册》，数字表示范围两边需要使用统一的格式。2. 根据标点国标 4.13 中的规则，数字、时间或地域连接符应使用（视觉上更长的）“—”或“～”。</explain>
      <paraID>4B4A3698</paraID>
      <start>10</start>
      <end>19</end>
      <status>unmodified</status>
      <modifiedWord/>
      <trackRevisions>false</trackRevisions>
    </reviewItem>
    <reviewItem>
      <errorID>1d8c7d66-8203-4bd9-af37-ced7d93f5566</errorID>
      <errorWord>报告</errorWord>
      <group>L1_Punc</group>
      <groupName>标点问题</groupName>
      <ability>L2_Punc_CN</ability>
      <abilityName>标点符号问题</abilityName>
      <candidateList>
        <item>、报告</item>
      </candidateList>
      <explain/>
      <paraID>770EED1E</paraID>
      <start>7</start>
      <end>9</end>
      <status>unmodified</status>
      <modifiedWord/>
      <trackRevisions>false</trackRevisions>
    </reviewItem>
    <reviewItem>
      <errorID>d511041f-1bed-436d-9e1c-764a37d4f2bc</errorID>
      <errorWord>0.5%-2%</errorWord>
      <group>L1_Knowledge</group>
      <groupName>知识性问题</groupName>
      <ability>L2_Knowledge</ability>
      <abilityName>其他知识</abilityName>
      <candidateList>
        <item>0.5%—2%</item>
      </candidateList>
      <explain>1. “0.5%-2%”中的单位“%”仅出现在后一个数字上，容易引起歧义；根据《现代汉语标点符号数字用法规范手册》，数字表示范围两边需要使用统一的格式。2. 根据标点国标 4.13 中的规则，数字、时间或地域连接符应使用（视觉上更长的）“—”或“～”。</explain>
      <paraID>6A8041F1</paraID>
      <start>10</start>
      <end>17</end>
      <status>unmodified</status>
      <modifiedWord/>
      <trackRevisions>false</trackRevisions>
    </reviewItem>
    <reviewItem>
      <errorID>8407d2b2-c100-4d28-b992-5edcb4921fcd</errorID>
      <errorWord>剐</errorWord>
      <group>L1_Word</group>
      <groupName>字词问题</groupName>
      <ability>L2_Typo</ability>
      <abilityName>字词错误</abilityName>
      <candidateList>
        <item>刮</item>
      </candidateList>
      <explain>存在发音相同字词的误用。</explain>
      <paraID>446356A6</paraID>
      <start>543</start>
      <end>544</end>
      <status>unmodified</status>
      <modifiedWord/>
      <trackRevisions>false</trackRevisions>
    </reviewItem>
    <reviewItem>
      <errorID>02ed5a2c-a99c-42d3-bd88-656636af1e47</errorID>
      <errorWord>5%-8%</errorWord>
      <group>L1_Knowledge</group>
      <groupName>知识性问题</groupName>
      <ability>L2_Knowledge</ability>
      <abilityName>其他知识</abilityName>
      <candidateList>
        <item>5%—8%</item>
      </candidateList>
      <explain>1. “5%-8%”中的单位“%”仅出现在后一个数字上，容易引起歧义；根据《现代汉语标点符号数字用法规范手册》，数字表示范围两边需要使用统一的格式。2. 根据标点国标 4.13 中的规则，数字、时间或地域连接符应使用（视觉上更长的）“—”或“～”。</explain>
      <paraID>24060397</paraID>
      <start>18</start>
      <end>23</end>
      <status>unmodified</status>
      <modifiedWord/>
      <trackRevisions>false</trackRevisions>
    </reviewItem>
    <reviewItem>
      <errorID>a2bade88-8fe3-4415-a48c-71982e6de01e</errorID>
      <errorWord>区级</errorWord>
      <group>L1_Word</group>
      <groupName>字词问题</groupName>
      <ability>L2_Typo</ability>
      <abilityName>字词错误</abilityName>
      <candidateList>
        <item> 区级</item>
      </candidateList>
      <explain/>
      <paraID>412B7E99</paraID>
      <start>0</start>
      <end>2</end>
      <status>unmodified</status>
      <modifiedWord/>
      <trackRevisions>false</trackRevisions>
    </reviewItem>
    <reviewItem>
      <errorID>d0db6ddb-85d5-4f7a-9e73-1f2d9065b915</errorID>
      <errorWord>特许</errorWord>
      <group>L1_Word</group>
      <groupName>字词问题</groupName>
      <ability>L2_Typo</ability>
      <abilityName>字词错误</abilityName>
      <candidateList>
        <item> 特许</item>
      </candidateList>
      <explain/>
      <paraID>4A3273EA</paraID>
      <start>0</start>
      <end>2</end>
      <status>unmodified</status>
      <modifiedWord/>
      <trackRevisions>false</trackRevisions>
    </reviewItem>
    <reviewItem>
      <errorID>9ed65232-97d4-4a90-8265-e641936430fd</errorID>
      <errorWord>社会</errorWord>
      <group>L1_Word</group>
      <groupName>字词问题</groupName>
      <ability>L2_Typo</ability>
      <abilityName>字词错误</abilityName>
      <candidateList>
        <item> 社会</item>
      </candidateList>
      <explain/>
      <paraID>4D973990</paraID>
      <start>0</start>
      <end>2</end>
      <status>unmodified</status>
      <modifiedWord/>
      <trackRevisions>false</trackRevisions>
    </reviewItem>
    <reviewItem>
      <errorID>425a7ddb-cdbb-46f5-b38b-7cd1b6286473</errorID>
      <errorWord>委托</errorWord>
      <group>L1_Word</group>
      <groupName>字词问题</groupName>
      <ability>L2_Typo</ability>
      <abilityName>字词错误</abilityName>
      <candidateList>
        <item> 委托</item>
      </candidateList>
      <explain/>
      <paraID>317F5BCB</paraID>
      <start>0</start>
      <end>2</end>
      <status>unmodified</status>
      <modifiedWord/>
      <trackRevisions>false</trackRevisions>
    </reviewItem>
    <reviewItem>
      <errorID>7d83f493-d7db-447d-a75b-ccb41b22380d</errorID>
      <errorWord>建立</errorWord>
      <group>L1_Word</group>
      <groupName>字词问题</groupName>
      <ability>L2_Typo</ability>
      <abilityName>字词错误</abilityName>
      <candidateList>
        <item> 建立</item>
      </candidateList>
      <explain/>
      <paraID>1F27A2DC</paraID>
      <start>0</start>
      <end>2</end>
      <status>unmodified</status>
      <modifiedWord/>
      <trackRevisions>false</trackRevisions>
    </reviewItem>
    <reviewItem>
      <errorID>7e657d97-a9bd-4e88-941e-83c95d84be78</errorID>
      <errorWord>制定</errorWord>
      <group>L1_Word</group>
      <groupName>字词问题</groupName>
      <ability>L2_Typo</ability>
      <abilityName>字词错误</abilityName>
      <candidateList>
        <item> 制定</item>
      </candidateList>
      <explain/>
      <paraID>7E08FAB8</paraID>
      <start>0</start>
      <end>2</end>
      <status>unmodified</status>
      <modifiedWord/>
      <trackRevisions>false</trackRevisions>
    </reviewItem>
    <reviewItem>
      <errorID>b4f0f99d-c661-47cf-9ca6-552c4f095172</errorID>
      <errorWord>优化</errorWord>
      <group>L1_Word</group>
      <groupName>字词问题</groupName>
      <ability>L2_Typo</ability>
      <abilityName>字词错误</abilityName>
      <candidateList>
        <item> 优化</item>
      </candidateList>
      <explain/>
      <paraID>7F9674DA</paraID>
      <start>0</start>
      <end>2</end>
      <status>unmodified</status>
      <modifiedWord/>
      <trackRevisions>false</trackRevisions>
    </reviewItem>
    <reviewItem>
      <errorID>a541f0fb-5646-401c-a063-fc9664255231</errorID>
      <errorWord>剐</errorWord>
      <group>L1_Word</group>
      <groupName>字词问题</groupName>
      <ability>L2_Typo</ability>
      <abilityName>字词错误</abilityName>
      <candidateList>
        <item>刮</item>
      </candidateList>
      <explain>存在发音相同字词的误用。</explain>
      <paraID>79845FED</paraID>
      <start>12</start>
      <end>13</end>
      <status>unmodified</status>
      <modifiedWord/>
      <trackRevisions>false</trackRevisions>
    </reviewItem>
    <reviewItem>
      <errorID>f03be1b3-4665-4d42-a521-921419e2a6f1</errorID>
      <errorWord>开展</errorWord>
      <group>L1_Word</group>
      <groupName>字词问题</groupName>
      <ability>L2_Typo</ability>
      <abilityName>字词错误</abilityName>
      <candidateList>
        <item> 开展</item>
      </candidateList>
      <explain/>
      <paraID>6F16E7CD</paraID>
      <start>0</start>
      <end>2</end>
      <status>unmodified</status>
      <modifiedWord/>
      <trackRevisions>false</trackRevisions>
    </reviewItem>
    <reviewItem>
      <errorID>c6888269-d0b8-47f9-9d52-d3c727dcb769</errorID>
      <errorWord>协议</errorWord>
      <group>L1_Word</group>
      <groupName>字词问题</groupName>
      <ability>L2_Typo</ability>
      <abilityName>字词错误</abilityName>
      <candidateList>
        <item> 协议</item>
      </candidateList>
      <explain/>
      <paraID> 3FA5CDC</paraID>
      <start>0</start>
      <end>2</end>
      <status>unmodified</status>
      <modifiedWord/>
      <trackRevisions>false</trackRevisions>
    </reviewItem>
    <reviewItem>
      <errorID>e02fba90-cea4-4c17-af2a-af185d53844d</errorID>
      <errorWord>引入</errorWord>
      <group>L1_Word</group>
      <groupName>字词问题</groupName>
      <ability>L2_Typo</ability>
      <abilityName>字词错误</abilityName>
      <candidateList>
        <item> 引入</item>
      </candidateList>
      <explain/>
      <paraID>470EDA9A</paraID>
      <start>0</start>
      <end>2</end>
      <status>unmodified</status>
      <modifiedWord/>
      <trackRevisions>false</trackRevisions>
    </reviewItem>
    <reviewItem>
      <errorID>73bcb825-16b1-4ce4-bf6c-6e2ca11fd5c0</errorID>
      <errorWord>移交</errorWord>
      <group>L1_Word</group>
      <groupName>字词问题</groupName>
      <ability>L2_Typo</ability>
      <abilityName>字词错误</abilityName>
      <candidateList>
        <item> 移交</item>
      </candidateList>
      <explain/>
      <paraID>35E631FB</paraID>
      <start>0</start>
      <end>2</end>
      <status>unmodified</status>
      <modifiedWord/>
      <trackRevisions>false</trackRevisions>
    </reviewItem>
    <reviewItem>
      <errorID>64a9a8a0-6481-445b-b313-ff02765afc8c</errorID>
      <errorWord>约定</errorWord>
      <group>L1_Word</group>
      <groupName>字词问题</groupName>
      <ability>L2_Typo</ability>
      <abilityName>字词错误</abilityName>
      <candidateList>
        <item> 约定</item>
      </candidateList>
      <explain/>
      <paraID>4C22F2BC</paraID>
      <start>0</start>
      <end>2</end>
      <status>unmodified</status>
      <modifiedWord/>
      <trackRevisions>false</trackRevisions>
    </reviewItem>
    <reviewItem>
      <errorID>b661bc3f-5db9-4353-95e2-ed659716f9a0</errorID>
      <errorWord>法律、法规</errorWord>
      <group>L1_Word</group>
      <groupName>字词问题</groupName>
      <ability>L2_Typo</ability>
      <abilityName>字词错误</abilityName>
      <candidateList>
        <item>法律法规</item>
      </candidateList>
      <explain/>
      <paraID>63C2A504</paraID>
      <start>2</start>
      <end>7</end>
      <status>unmodified</status>
      <modifiedWord/>
      <trackRevisions>false</trackRevisions>
    </reviewItem>
    <reviewItem>
      <errorID>da5fc3ba-a9e5-4fd5-96b2-1d5c933b33e5</errorID>
      <errorWord>收益</errorWord>
      <group>L1_Punc</group>
      <groupName>标点问题</groupName>
      <ability>L2_Punc_CN</ability>
      <abilityName>标点符号问题</abilityName>
      <candidateList>
        <item>、收益</item>
      </candidateList>
      <explain/>
      <paraID>63C2A504</paraID>
      <start>38</start>
      <end>40</end>
      <status>unmodified</status>
      <modifiedWord/>
      <trackRevisions>false</trackRevisions>
    </reviewItem>
    <reviewItem>
      <errorID>28c80490-6f55-48d5-bb53-4602eecee922</errorID>
      <errorWord>达</errorWord>
      <group>L1_Punc</group>
      <groupName>标点问题</groupName>
      <ability>L2_Punc_CN</ability>
      <abilityName>标点符号问题</abilityName>
      <candidateList>
        <item>，达</item>
      </candidateList>
      <explain/>
      <paraID>39D7C8F7</paraID>
      <start>26</start>
      <end>27</end>
      <status>unmodified</status>
      <modifiedWord/>
      <trackRevisions>false</trackRevisions>
    </reviewItem>
    <reviewItem>
      <errorID>90ab2239-7503-4dc7-9f51-5b2f255ccd41</errorID>
      <errorWord>第18条</errorWord>
      <group>L1_Knowledge</group>
      <groupName>知识性问题</groupName>
      <ability>L2_Knowledge</ability>
      <abilityName>其他知识</abilityName>
      <candidateList>
        <item>第十八条</item>
      </candidateList>
      <explain>法律条目书写应使用汉字数字，不使用阿拉伯数字。</explain>
      <paraID>44E57155</paraID>
      <start>90</start>
      <end>94</end>
      <status>unmodified</status>
      <modifiedWord/>
      <trackRevisions>false</trackRevisions>
    </reviewItem>
    <reviewItem>
      <errorID>64766dab-03ae-4077-a443-0d072c8f15c4</errorID>
      <errorWord>；</errorWord>
      <group>L1_Punc</group>
      <groupName>标点问题</groupName>
      <ability>L2_Punc_CN</ability>
      <abilityName>标点符号问题</abilityName>
      <candidateList>
        <item>，</item>
      </candidateList>
      <explain/>
      <paraID>7AAB3C88</paraID>
      <start>23</start>
      <end>24</end>
      <status>unmodified</status>
      <modifiedWord/>
      <trackRevisions>false</trackRevisions>
    </reviewItem>
    <reviewItem>
      <errorID>f808e429-e685-4107-9a5b-eb8d5ae9f7d9</errorID>
      <errorWord>，其中</errorWord>
      <group>L1_Word</group>
      <groupName>字词问题</groupName>
      <ability>L2_Typo</ability>
      <abilityName>字词错误</abilityName>
      <candidateList>
        <item>。其中，</item>
      </candidateList>
      <explain/>
      <paraID>72B15436</paraID>
      <start>48</start>
      <end>51</end>
      <status>unmodified</status>
      <modifiedWord/>
      <trackRevisions>false</trackRevisions>
    </reviewItem>
    <reviewItem>
      <errorID>a7c9e14f-77cd-4074-bf68-a6be1362258d</errorID>
      <errorWord>，</errorWord>
      <group>L1_Punc</group>
      <groupName>标点问题</groupName>
      <ability>L2_Punc_CN</ability>
      <abilityName>标点符号问题</abilityName>
      <candidateList>
        <item>、</item>
      </candidateList>
      <explain/>
      <paraID>4FAEA557</paraID>
      <start>17</start>
      <end>18</end>
      <status>unmodified</status>
      <modifiedWord/>
      <trackRevisions>false</trackRevisions>
    </reviewItem>
    <reviewItem>
      <errorID>9fec8d01-298d-42dd-be45-db5ec5b9945a</errorID>
      <errorWord>，</errorWord>
      <group>L1_Punc</group>
      <groupName>标点问题</groupName>
      <ability>L2_Punc_CN</ability>
      <abilityName>标点符号问题</abilityName>
      <candidateList>
        <item>、</item>
      </candidateList>
      <explain/>
      <paraID>4FAEA557</paraID>
      <start>30</start>
      <end>31</end>
      <status>unmodified</status>
      <modifiedWord/>
      <trackRevisions>false</trackRevisions>
    </reviewItem>
    <reviewItem>
      <errorID>531b1125-3654-4a11-b856-253d86018ed9</errorID>
      <errorWord>，</errorWord>
      <group>L1_Punc</group>
      <groupName>标点问题</groupName>
      <ability>L2_Punc_CN</ability>
      <abilityName>标点符号问题</abilityName>
      <candidateList>
        <item>、</item>
      </candidateList>
      <explain/>
      <paraID>4FAEA557</paraID>
      <start>43</start>
      <end>44</end>
      <status>unmodified</status>
      <modifiedWord/>
      <trackRevisions>false</trackRevisions>
    </reviewItem>
    <reviewItem>
      <errorID>5636b3f1-67a1-4ce7-ad56-68c4f2aca23f</errorID>
      <errorWord>，</errorWord>
      <group>L1_Punc</group>
      <groupName>标点问题</groupName>
      <ability>L2_Punc_CN</ability>
      <abilityName>标点符号问题</abilityName>
      <candidateList>
        <item>、</item>
      </candidateList>
      <explain/>
      <paraID>4FAEA557</paraID>
      <start>55</start>
      <end>56</end>
      <status>unmodified</status>
      <modifiedWord/>
      <trackRevisions>false</trackRevisions>
    </reviewItem>
    <reviewItem>
      <errorID>68a4a0ef-e5d5-4ced-901d-4c21f3b6aca7</errorID>
      <errorWord>，</errorWord>
      <group>L1_Punc</group>
      <groupName>标点问题</groupName>
      <ability>L2_Punc_CN</ability>
      <abilityName>标点符号问题</abilityName>
      <candidateList>
        <item>、</item>
      </candidateList>
      <explain/>
      <paraID>4FAEA557</paraID>
      <start>69</start>
      <end>70</end>
      <status>unmodified</status>
      <modifiedWord/>
      <trackRevisions>false</trackRevisions>
    </reviewItem>
    <reviewItem>
      <errorID>a0de4923-80ea-4451-996c-a81fcab93ab9</errorID>
      <errorWord>和</errorWord>
      <group>L1_Word</group>
      <groupName>字词问题</groupName>
      <ability>L2_Typo</ability>
      <abilityName>字词错误</abilityName>
      <candidateList>
        <item>、</item>
      </candidateList>
      <explain/>
      <paraID>7696EEBD</paraID>
      <start>45</start>
      <end>46</end>
      <status>unmodified</status>
      <modifiedWord/>
      <trackRevisions>false</trackRevisions>
    </reviewItem>
    <reviewItem>
      <errorID>cddd5952-2c81-4001-b342-ddd646c7afaf</errorID>
      <errorWord>以及</errorWord>
      <group>L1_Word</group>
      <groupName>字词问题</groupName>
      <ability>L2_Typo</ability>
      <abilityName>字词错误</abilityName>
      <candidateList>
        <item>和</item>
      </candidateList>
      <explain/>
      <paraID>7696EEBD</paraID>
      <start>57</start>
      <end>59</end>
      <status>unmodified</status>
      <modifiedWord/>
      <trackRevisions>false</trackRevisions>
    </reviewItem>
    <reviewItem>
      <errorID>3490406c-32e5-44d0-8803-1be00f34abc4</errorID>
      <errorWord>项目</errorWord>
      <group>L1_Word</group>
      <groupName>字词问题</groupName>
      <ability>L2_Typo</ability>
      <abilityName>字词错误</abilityName>
      <candidateList>
        <item>从项目</item>
      </candidateList>
      <explain/>
      <paraID>211D468F</paraID>
      <start>0</start>
      <end>2</end>
      <status>unmodified</status>
      <modifiedWord/>
      <trackRevisions>false</trackRevisions>
    </reviewItem>
    <reviewItem>
      <errorID>f3b3fc42-5a17-44d8-94d3-433bedfcfd9d</errorID>
      <errorWord>（</errorWord>
      <group>L1_Punc</group>
      <groupName>标点问题</groupName>
      <ability>L2_Punc_CN</ability>
      <abilityName>标点符号问题</abilityName>
      <candidateList/>
      <explain>同一形式括号套用。</explain>
      <paraID>301A9B64</paraID>
      <start>42</start>
      <end>43</end>
      <status>unmodified</status>
      <modifiedWord/>
      <trackRevisions>false</trackRevisions>
    </reviewItem>
    <reviewItem>
      <errorID>39f32e2f-2a53-4a79-89cd-819d107452da</errorID>
      <errorWord>）</errorWord>
      <group>L1_Punc</group>
      <groupName>标点问题</groupName>
      <ability>L2_Punc_CN</ability>
      <abilityName>标点符号问题</abilityName>
      <candidateList/>
      <explain>同一形式括号套用。</explain>
      <paraID>301A9B64</paraID>
      <start>49</start>
      <end>50</end>
      <status>unmodified</status>
      <modifiedWord/>
      <trackRevisions>false</trackRevisions>
    </reviewItem>
    <reviewItem>
      <errorID>c943c3ae-4b3f-46a5-bd83-8b07295c239e</errorID>
      <errorWord>与</errorWord>
      <group>L1_Word</group>
      <groupName>字词问题</groupName>
      <ability>L2_Typo</ability>
      <abilityName>字词错误</abilityName>
      <candidateList>
        <item>和</item>
      </candidateList>
      <explain/>
      <paraID>301A9B64</paraID>
      <start>58</start>
      <end>59</end>
      <status>unmodified</status>
      <modifiedWord/>
      <trackRevisions>false</trackRevisions>
    </reviewItem>
    <reviewItem>
      <errorID>9000bafe-1bc2-4af4-a1db-0c91738f056a</errorID>
      <errorWord>及</errorWord>
      <group>L1_Word</group>
      <groupName>字词问题</groupName>
      <ability>L2_Typo</ability>
      <abilityName>字词错误</abilityName>
      <candidateList>
        <item>和</item>
      </candidateList>
      <explain/>
      <paraID>3204A463</paraID>
      <start>33</start>
      <end>34</end>
      <status>unmodified</status>
      <modifiedWord/>
      <trackRevisions>false</trackRevisions>
    </reviewItem>
    <reviewItem>
      <errorID>8ab23043-fea6-45fd-b9ce-289855db20c6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5571FE3C</paraID>
      <start>33</start>
      <end>34</end>
      <status>unmodified</status>
      <modifiedWord/>
      <trackRevisions>false</trackRevisions>
    </reviewItem>
    <reviewItem>
      <errorID>4cdfaede-b0b0-40ee-8b97-99a541baaaa6</errorID>
      <errorWord>万</errorWord>
      <group>L1_Word</group>
      <groupName>字词问题</groupName>
      <ability>L2_Typo</ability>
      <abilityName>字词错误</abilityName>
      <candidateList>
        <item>万元</item>
      </candidateList>
      <explain/>
      <paraID>1CB90FE1</paraID>
      <start>27</start>
      <end>28</end>
      <status>unmodified</status>
      <modifiedWord/>
      <trackRevisions>false</trackRevisions>
    </reviewItem>
    <reviewItem>
      <errorID>dc064842-fd90-4b03-953e-af204f73b561</errorID>
      <errorWord>密云区长</errorWord>
      <group>L1_Political</group>
      <groupName>政治性问题</groupName>
      <ability>L2_Unpolitical</ability>
      <abilityName>政治敏感错误</abilityName>
      <candidateList>
        <item>密云区区长</item>
      </candidateList>
      <explain/>
      <paraID>78871972</paraID>
      <start>4</start>
      <end>8</end>
      <status>unmodified</status>
      <modifiedWord/>
      <trackRevisions>false</trackRevisions>
    </reviewItem>
    <reviewItem>
      <errorID>19e4a177-9629-413f-91d3-0d8e2386d954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6292FBAB</paraID>
      <start>42</start>
      <end>43</end>
      <status>unmodified</status>
      <modifiedWord/>
      <trackRevisions>false</trackRevisions>
    </reviewItem>
    <reviewItem>
      <errorID>92293561-e2fe-4d66-92f6-8c6b13720265</errorID>
      <errorWord>繁琐</errorWord>
      <group>L1_Word</group>
      <groupName>字词问题</groupName>
      <ability>L2_Typo</ability>
      <abilityName>字词错误</abilityName>
      <candidateList>
        <item>烦琐</item>
      </candidateList>
      <explain/>
      <paraID>6D3CF903</paraID>
      <start>47</start>
      <end>49</end>
      <status>unmodified</status>
      <modifiedWord/>
      <trackRevisions>false</trackRevisions>
    </reviewItem>
    <reviewItem>
      <errorID>0d34e2f3-418b-4260-b3c4-18516ebf2c24</errorID>
      <errorWord>防范和化解风险</errorWord>
      <group>L1_Political</group>
      <groupName>政治性问题</groupName>
      <ability>L2_Keyword</ability>
      <abilityName>固定表述</abilityName>
      <candidateList>
        <item>防范化解风险</item>
      </candidateList>
      <explain>词汇“防范化解风险”在特定场景下为固定表述形式，请确认此处的“防范和化解风险”是否存在不当。</explain>
      <paraID>60FD6594</paraID>
      <start>92</start>
      <end>99</end>
      <status>unmodified</status>
      <modifiedWord/>
      <trackRevisions>false</trackRevisions>
    </reviewItem>
    <reviewItem>
      <errorID>6c7ecfac-a434-4b2d-938d-4598ebf56f5c</errorID>
      <errorWord>对为</errorWord>
      <group>L1_Word</group>
      <groupName>字词问题</groupName>
      <ability>L2_Typo</ability>
      <abilityName>字词错误</abilityName>
      <candidateList>
        <item>对</item>
      </candidateList>
      <explain/>
      <paraID>1F734E3C</paraID>
      <start>107</start>
      <end>109</end>
      <status>unmodified</status>
      <modifiedWord/>
      <trackRevisions>false</trackRevisions>
    </reviewItem>
    <reviewItem>
      <errorID>7589234f-a058-474d-82d6-9b8bff69a674</errorID>
      <errorWord>(</errorWord>
      <group>L1_Format</group>
      <groupName>格式问题</groupName>
      <ability>L2_HalfPunc_CN</ability>
      <abilityName>全半角问题</abilityName>
      <candidateList>
        <item>（</item>
      </candidateList>
      <explain>文本全半角错误。</explain>
      <paraID>11B2B05B</paraID>
      <start>16</start>
      <end>17</end>
      <status>unmodified</status>
      <modifiedWord/>
      <trackRevisions>false</trackRevisions>
    </reviewItem>
    <reviewItem>
      <errorID>e72cf99a-5080-4f88-8b5a-fc18be12bf35</errorID>
      <errorWord>，</errorWord>
      <group>L1_Word</group>
      <groupName>字词问题</groupName>
      <ability>L2_Typo</ability>
      <abilityName>字词错误</abilityName>
      <candidateList>
        <item>，在</item>
      </candidateList>
      <explain/>
      <paraID>622B5597</paraID>
      <start>10</start>
      <end>11</end>
      <status>unmodified</status>
      <modifiedWord/>
      <trackRevisions>false</trackRevisions>
    </reviewItem>
    <reviewItem>
      <errorID>8d6cee3b-bbcd-474d-882d-91fa882634ac</errorID>
      <errorWord>,</errorWord>
      <group>L1_Format</group>
      <groupName>格式问题</groupName>
      <ability>L2_HalfPunc_CN</ability>
      <abilityName>全半角问题</abilityName>
      <candidateList>
        <item>，</item>
      </candidateList>
      <explain>文本全半角错误。</explain>
      <paraID>622B5597</paraID>
      <start>28</start>
      <end>29</end>
      <status>unmodified</status>
      <modifiedWord/>
      <trackRevisions>false</trackRevisions>
    </reviewItem>
    <reviewItem>
      <errorID>3a11dd8c-6aae-4b82-81ad-7a8878c99110</errorID>
      <errorWord>:</errorWord>
      <group>L1_Format</group>
      <groupName>格式问题</groupName>
      <ability>L2_HalfPunc_CN</ability>
      <abilityName>全半角问题</abilityName>
      <candidateList>
        <item>：</item>
      </candidateList>
      <explain>文本全半角错误。</explain>
      <paraID>622B5597</paraID>
      <start>52</start>
      <end>53</end>
      <status>unmodified</status>
      <modifiedWord/>
      <trackRevisions>false</trackRevisions>
    </reviewItem>
    <reviewItem>
      <errorID>bda2e218-5056-43b0-92a0-26c940b848c7</errorID>
      <errorWord>;</errorWord>
      <group>L1_Format</group>
      <groupName>格式问题</groupName>
      <ability>L2_HalfPunc_CN</ability>
      <abilityName>全半角问题</abilityName>
      <candidateList>
        <item>；</item>
      </candidateList>
      <explain>文本全半角错误。</explain>
      <paraID>46DE347F</paraID>
      <start>17</start>
      <end>18</end>
      <status>unmodified</status>
      <modifiedWord/>
      <trackRevisions>false</trackRevisions>
    </reviewItem>
    <reviewItem>
      <errorID>537e4402-3902-4266-b0b0-a8b5d72a2387</errorID>
      <errorWord>;</errorWord>
      <group>L1_Format</group>
      <groupName>格式问题</groupName>
      <ability>L2_HalfPunc_CN</ability>
      <abilityName>全半角问题</abilityName>
      <candidateList>
        <item>；</item>
      </candidateList>
      <explain>文本全半角错误。</explain>
      <paraID>10C608D6</paraID>
      <start>16</start>
      <end>17</end>
      <status>unmodified</status>
      <modifiedWord/>
      <trackRevisions>false</trackRevisions>
    </reviewItem>
    <reviewItem>
      <errorID>6fa82576-2af8-44ba-b039-fed3047dfedc</errorID>
      <errorWord>第18条</errorWord>
      <group>L1_Knowledge</group>
      <groupName>知识性问题</groupName>
      <ability>L2_Knowledge</ability>
      <abilityName>其他知识</abilityName>
      <candidateList>
        <item>第十八条</item>
      </candidateList>
      <explain>法律条目书写应使用汉字数字，不使用阿拉伯数字。</explain>
      <paraID>32785902</paraID>
      <start>103</start>
      <end>107</end>
      <status>unmodified</status>
      <modifiedWord/>
      <trackRevisions>false</trackRevisions>
    </reviewItem>
    <reviewItem>
      <errorID>d98e3290-3380-4650-bab7-74c8549c0a11</errorID>
      <errorWord>剐</errorWord>
      <group>L1_Word</group>
      <groupName>字词问题</groupName>
      <ability>L2_Typo</ability>
      <abilityName>字词错误</abilityName>
      <candidateList>
        <item>刮</item>
      </candidateList>
      <explain>存在发音相同字词的误用。</explain>
      <paraID>77761D17</paraID>
      <start>12</start>
      <end>13</end>
      <status>unmodified</status>
      <modifiedWord/>
      <trackRevisions>false</trackRevisions>
    </reviewItem>
    <reviewItem>
      <errorID>e576dd06-a087-4add-95fe-e80a038b9e17</errorID>
      <errorWord>法律、法规</errorWord>
      <group>L1_Word</group>
      <groupName>字词问题</groupName>
      <ability>L2_Typo</ability>
      <abilityName>字词错误</abilityName>
      <candidateList>
        <item>法律法规</item>
      </candidateList>
      <explain/>
      <paraID>1AB3B9F6</paraID>
      <start>9</start>
      <end>14</end>
      <status>unmodified</status>
      <modifiedWord/>
      <trackRevisions>false</trackRevisions>
    </reviewItem>
    <reviewItem>
      <errorID>8c96e87d-062e-4ce5-bfb2-2439bdd9d611</errorID>
      <errorWord>法律、法规</errorWord>
      <group>L1_Word</group>
      <groupName>字词问题</groupName>
      <ability>L2_Typo</ability>
      <abilityName>字词错误</abilityName>
      <candidateList>
        <item>法律法规</item>
      </candidateList>
      <explain/>
      <paraID>66483D96</paraID>
      <start>13</start>
      <end>18</end>
      <status>unmodified</status>
      <modifiedWord/>
      <trackRevisions>false</trackRevisions>
    </reviewItem>
    <reviewItem>
      <errorID>ff3c7b03-8142-40d7-9718-aa4120d87458</errorID>
      <errorWord>法律、法规</errorWord>
      <group>L1_Word</group>
      <groupName>字词问题</groupName>
      <ability>L2_Typo</ability>
      <abilityName>字词错误</abilityName>
      <candidateList>
        <item>法律法规</item>
      </candidateList>
      <explain/>
      <paraID>66483D96</paraID>
      <start>44</start>
      <end>49</end>
      <status>unmodified</status>
      <modifiedWord/>
      <trackRevisions>false</trackRevisions>
    </reviewItem>
    <reviewItem>
      <errorID>74af2f2a-567d-4f81-8aa2-071092c4ea14</errorID>
      <errorWord>法律、法规</errorWord>
      <group>L1_Word</group>
      <groupName>字词问题</groupName>
      <ability>L2_Typo</ability>
      <abilityName>字词错误</abilityName>
      <candidateList>
        <item>法律法规</item>
      </candidateList>
      <explain/>
      <paraID>4EA8270F</paraID>
      <start>0</start>
      <end>5</end>
      <status>unmodified</status>
      <modifiedWord/>
      <trackRevisions>false</trackRevisions>
    </reviewItem>
    <reviewItem>
      <errorID>be8d4ba4-9621-4698-a1c3-8ef43bf95e44</errorID>
      <errorWord>法律、法规</errorWord>
      <group>L1_Word</group>
      <groupName>字词问题</groupName>
      <ability>L2_Typo</ability>
      <abilityName>字词错误</abilityName>
      <candidateList>
        <item>法律法规</item>
      </candidateList>
      <explain/>
      <paraID>7A9486AD</paraID>
      <start>2</start>
      <end>7</end>
      <status>unmodified</status>
      <modifiedWord/>
      <trackRevisions>false</trackRevisions>
    </reviewItem>
    <reviewItem>
      <errorID>f1a33a9d-f6c4-40da-8b93-12a1a8cb4ca1</errorID>
      <errorWord>法律、法规</errorWord>
      <group>L1_Word</group>
      <groupName>字词问题</groupName>
      <ability>L2_Typo</ability>
      <abilityName>字词错误</abilityName>
      <candidateList>
        <item>法律法规</item>
      </candidateList>
      <explain/>
      <paraID> 7A9054E</paraID>
      <start>2</start>
      <end>7</end>
      <status>unmodified</status>
      <modifiedWord/>
      <trackRevisions>false</trackRevisions>
    </reviewItem>
    <reviewItem>
      <errorID>5128d217-03a7-4d9b-b88c-9b43358eae56</errorID>
      <errorWord>法律、法规</errorWord>
      <group>L1_Word</group>
      <groupName>字词问题</groupName>
      <ability>L2_Typo</ability>
      <abilityName>字词错误</abilityName>
      <candidateList>
        <item>法律法规</item>
      </candidateList>
      <explain/>
      <paraID>19E28214</paraID>
      <start>0</start>
      <end>5</end>
      <status>unmodified</status>
      <modifiedWord/>
      <trackRevisions>false</trackRevisions>
    </reviewItem>
    <reviewItem>
      <errorID>7b03adaf-1c01-4af7-9ef8-c28ce5f30135</errorID>
      <errorWord>法律、法规</errorWord>
      <group>L1_Word</group>
      <groupName>字词问题</groupName>
      <ability>L2_Typo</ability>
      <abilityName>字词错误</abilityName>
      <candidateList>
        <item>法律法规</item>
      </candidateList>
      <explain/>
      <paraID>30509A3E</paraID>
      <start>12</start>
      <end>17</end>
      <status>unmodified</status>
      <modifiedWord/>
      <trackRevisions>false</trackRevisions>
    </reviewItem>
    <reviewItem>
      <errorID>b1e13036-3a8a-402e-981f-bcb9cc48e204</errorID>
      <errorWord>法律、法规</errorWord>
      <group>L1_Word</group>
      <groupName>字词问题</groupName>
      <ability>L2_Typo</ability>
      <abilityName>字词错误</abilityName>
      <candidateList>
        <item>法律法规</item>
      </candidateList>
      <explain/>
      <paraID>3E8A373E</paraID>
      <start>11</start>
      <end>16</end>
      <status>unmodified</status>
      <modifiedWord/>
      <trackRevisions>false</trackRevisions>
    </reviewItem>
    <reviewItem>
      <errorID>f6675e40-1367-4ef6-b54b-3e496d37e66c</errorID>
      <errorWord>法律、法规</errorWord>
      <group>L1_Word</group>
      <groupName>字词问题</groupName>
      <ability>L2_Typo</ability>
      <abilityName>字词错误</abilityName>
      <candidateList>
        <item>法律法规</item>
      </candidateList>
      <explain/>
      <paraID>228FCDEB</paraID>
      <start>0</start>
      <end>5</end>
      <status>unmodified</status>
      <modifiedWord/>
      <trackRevisions>false</trackRevisions>
    </reviewItem>
    <reviewItem>
      <errorID>9663aa4a-5610-414a-898c-d679fcf1e1ce</errorID>
      <errorWord>保险公</errorWord>
      <group>L1_Word</group>
      <groupName>字词问题</groupName>
      <ability>L2_Typo</ability>
      <abilityName>字词错误</abilityName>
      <candidateList>
        <item>保险公司</item>
      </candidateList>
      <explain/>
      <paraID>7098F02D</paraID>
      <start>25</start>
      <end>28</end>
      <status>unmodified</status>
      <modifiedWord/>
      <trackRevisions>false</trackRevisions>
    </reviewItem>
    <reviewItem>
      <errorID>436cde0f-7963-41b4-833c-e9e965f5aebd</errorID>
      <errorWord>满</errorWord>
      <group>L1_Word</group>
      <groupName>字词问题</groupName>
      <ability>L2_Typo</ability>
      <abilityName>字词错误</abilityName>
      <candidateList>
        <item>满后</item>
      </candidateList>
      <explain/>
      <paraID>76F98DDA</paraID>
      <start>69</start>
      <end>71</end>
      <status>modified</status>
      <modifiedWord>满后</modifiedWord>
      <trackRevisions>false</trackRevisions>
    </reviewItem>
    <reviewItem>
      <errorID>cf8b18cd-a264-4b35-b2d9-86f140122d84</errorID>
      <errorWord>法律、法规</errorWord>
      <group>L1_Word</group>
      <groupName>字词问题</groupName>
      <ability>L2_Typo</ability>
      <abilityName>字词错误</abilityName>
      <candidateList>
        <item>法律法规</item>
      </candidateList>
      <explain/>
      <paraID> B7A4146</paraID>
      <start>20</start>
      <end>25</end>
      <status>unmodified</status>
      <modifiedWord/>
      <trackRevisions>false</trackRevisions>
    </reviewItem>
    <reviewItem>
      <errorID>7c263780-2180-477e-8df3-ca1bd4492e19</errorID>
      <errorWord>工</errorWord>
      <group>L1_Word</group>
      <groupName>字词问题</groupName>
      <ability>L2_Typo</ability>
      <abilityName>字词错误</abilityName>
      <candidateList>
        <item>工作</item>
      </candidateList>
      <explain/>
      <paraID>1FF288D0</paraID>
      <start>27</start>
      <end>28</end>
      <status>unmodified</status>
      <modifiedWord/>
      <trackRevisions>false</trackRevisions>
    </reviewItem>
    <reviewItem>
      <errorID>f0b35f14-d516-4c98-8338-b753a2644f8e</errorID>
      <errorWord>法律、法规</errorWord>
      <group>L1_Word</group>
      <groupName>字词问题</groupName>
      <ability>L2_Typo</ability>
      <abilityName>字词错误</abilityName>
      <candidateList>
        <item>法律法规</item>
      </candidateList>
      <explain/>
      <paraID>1C1C55CE</paraID>
      <start>3</start>
      <end>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dabd26-df81-4ea4-8ada-efb93352b169}">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140</Pages>
  <Words>11915</Words>
  <Characters>12510</Characters>
  <Lines>369</Lines>
  <Paragraphs>104</Paragraphs>
  <TotalTime>10</TotalTime>
  <ScaleCrop>false</ScaleCrop>
  <LinksUpToDate>false</LinksUpToDate>
  <CharactersWithSpaces>12614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2024-01-04T22:14:00Z</dcterms:created>
  <dc:creator>lenovo</dc:creator>
  <cp:lastModifiedBy>ZZ</cp:lastModifiedBy>
  <cp:lastPrinted>2024-01-05T03:17:00Z</cp:lastPrinted>
  <dcterms:modified xsi:type="dcterms:W3CDTF">2026-10-10T04:02:20Z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266A1E2E4D7D418C9E3812395B058175_13</vt:lpwstr>
  </property>
  <property fmtid="{D5CDD505-2E9C-101B-9397-08002B2CF9AE}" pid="3" name="KSOProductBuildVer">
    <vt:lpwstr>2052-12.1.0.28802</vt:lpwstr>
  </property>
  <property fmtid="{D5CDD505-2E9C-101B-9397-08002B2CF9AE}" pid="4" name="KSORubyTemplateID">
    <vt:lpwstr>6</vt:lpwstr>
  </property>
  <property fmtid="{D5CDD505-2E9C-101B-9397-08002B2CF9AE}" pid="5" name="KSOTemplateDocerSaveRecord">
    <vt:lpwstr>eyJoZGlkIjoiZjE1MGU2OTAwZTI5MTg2NjQwYTU1ZGFiNWJhNmY1ZTAiLCJ1c2VySWQiOiI0ODUyNTY1MzkifQ==</vt:lpwstr>
  </property>
</Properties>
</file>