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5C303">
      <w:pPr>
        <w:widowControl w:val="0"/>
        <w:spacing w:after="0" w:line="560" w:lineRule="exact"/>
        <w:jc w:val="both"/>
        <w:textAlignment w:val="baseline"/>
        <w:rPr>
          <w:rFonts w:hint="default" w:ascii="黑体" w:hAnsi="黑体" w:eastAsia="黑体" w:cs="黑体"/>
          <w:bCs/>
          <w:kern w:val="2"/>
          <w:sz w:val="32"/>
          <w:szCs w:val="32"/>
          <w:highlight w:val="none"/>
          <w:lang w:val="en-US" w:eastAsia="zh-CN"/>
        </w:rPr>
      </w:pPr>
      <w:r>
        <w:rPr>
          <w:rFonts w:hint="eastAsia" w:ascii="黑体" w:hAnsi="黑体" w:eastAsia="黑体" w:cs="黑体"/>
          <w:bCs/>
          <w:kern w:val="2"/>
          <w:sz w:val="32"/>
          <w:szCs w:val="32"/>
          <w:highlight w:val="none"/>
          <w:lang w:eastAsia="zh-CN"/>
        </w:rPr>
        <w:t>附件</w:t>
      </w:r>
      <w:r>
        <w:rPr>
          <w:rFonts w:hint="eastAsia" w:ascii="黑体" w:hAnsi="黑体" w:eastAsia="黑体" w:cs="黑体"/>
          <w:bCs/>
          <w:kern w:val="2"/>
          <w:sz w:val="32"/>
          <w:szCs w:val="32"/>
          <w:highlight w:val="none"/>
          <w:lang w:val="en-US" w:eastAsia="zh-CN"/>
        </w:rPr>
        <w:t>1</w:t>
      </w:r>
      <w:bookmarkStart w:id="3" w:name="_GoBack"/>
      <w:bookmarkEnd w:id="3"/>
    </w:p>
    <w:p w14:paraId="3BA15D0D">
      <w:pPr>
        <w:widowControl w:val="0"/>
        <w:spacing w:after="156" w:line="560" w:lineRule="exact"/>
        <w:jc w:val="center"/>
        <w:rPr>
          <w:rFonts w:hint="eastAsia" w:ascii="方正小标宋简体" w:hAnsi="黑体" w:eastAsia="方正小标宋简体"/>
          <w:spacing w:val="-10"/>
          <w:sz w:val="44"/>
          <w:szCs w:val="44"/>
          <w:lang w:eastAsia="zh-CN"/>
        </w:rPr>
      </w:pPr>
      <w:r>
        <w:rPr>
          <w:rFonts w:hint="eastAsia" w:ascii="方正小标宋简体" w:hAnsi="黑体" w:eastAsia="方正小标宋简体"/>
          <w:spacing w:val="-10"/>
          <w:sz w:val="44"/>
          <w:szCs w:val="44"/>
          <w:lang w:eastAsia="zh-CN"/>
        </w:rPr>
        <w:t>昌平新城“十五五”时期发展规划</w:t>
      </w:r>
    </w:p>
    <w:p w14:paraId="387B9770">
      <w:pPr>
        <w:spacing w:line="560" w:lineRule="exact"/>
        <w:jc w:val="center"/>
        <w:rPr>
          <w:rFonts w:hint="eastAsia"/>
          <w:sz w:val="28"/>
          <w:szCs w:val="24"/>
          <w:lang w:eastAsia="zh-CN"/>
        </w:rPr>
      </w:pPr>
      <w:r>
        <w:rPr>
          <w:rFonts w:ascii="楷体" w:hAnsi="楷体" w:eastAsia="楷体"/>
          <w:sz w:val="32"/>
          <w:szCs w:val="24"/>
          <w:lang w:eastAsia="zh-CN"/>
        </w:rPr>
        <w:t>（</w:t>
      </w:r>
      <w:r>
        <w:rPr>
          <w:rFonts w:hint="eastAsia" w:ascii="楷体" w:hAnsi="楷体" w:eastAsia="楷体"/>
          <w:sz w:val="32"/>
          <w:szCs w:val="24"/>
          <w:lang w:eastAsia="zh-CN"/>
        </w:rPr>
        <w:t>征求意见稿</w:t>
      </w:r>
      <w:r>
        <w:rPr>
          <w:rFonts w:ascii="楷体" w:hAnsi="楷体" w:eastAsia="楷体"/>
          <w:sz w:val="32"/>
          <w:szCs w:val="24"/>
          <w:lang w:eastAsia="zh-CN"/>
        </w:rPr>
        <w:t>）</w:t>
      </w:r>
    </w:p>
    <w:p w14:paraId="786D63C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p>
    <w:p w14:paraId="1798A23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为贯彻落实中央城市工作会议精神，推动昌平新城高质量发展，依据北京城市总体规划、昌平分区规划及平原新城高质量发展实施方案，制定本规划。规划</w:t>
      </w:r>
      <w:r>
        <w:rPr>
          <w:rFonts w:hint="eastAsia" w:ascii="仿宋_GB2312" w:hAnsi="Times New Roman" w:eastAsia="仿宋_GB2312" w:cs="仿宋_GB2312"/>
          <w:kern w:val="2"/>
          <w:sz w:val="32"/>
          <w:szCs w:val="32"/>
          <w:lang w:eastAsia="zh-CN"/>
        </w:rPr>
        <w:t>实施</w:t>
      </w:r>
      <w:r>
        <w:rPr>
          <w:rFonts w:ascii="仿宋_GB2312" w:hAnsi="Times New Roman" w:eastAsia="仿宋_GB2312" w:cs="仿宋_GB2312"/>
          <w:kern w:val="2"/>
          <w:sz w:val="32"/>
          <w:szCs w:val="32"/>
          <w:lang w:eastAsia="zh-CN"/>
        </w:rPr>
        <w:t>期限为2026</w:t>
      </w:r>
      <w:r>
        <w:rPr>
          <w:rFonts w:hint="eastAsia" w:ascii="仿宋_GB2312" w:hAnsi="Times New Roman" w:eastAsia="仿宋_GB2312" w:cs="仿宋_GB2312"/>
          <w:kern w:val="2"/>
          <w:sz w:val="32"/>
          <w:szCs w:val="32"/>
          <w:lang w:eastAsia="zh-CN"/>
        </w:rPr>
        <w:t>年</w:t>
      </w:r>
      <w:r>
        <w:rPr>
          <w:rFonts w:ascii="仿宋_GB2312" w:hAnsi="Times New Roman" w:eastAsia="仿宋_GB2312" w:cs="仿宋_GB2312"/>
          <w:kern w:val="2"/>
          <w:sz w:val="32"/>
          <w:szCs w:val="32"/>
          <w:lang w:eastAsia="zh-CN"/>
        </w:rPr>
        <w:t>—2030年。规划坚持以国土空间规划为基础，强化规划统筹、空间管控和实施传导，推动发展目标、空间布局、重大项目与资源要素配置相衔接，着力破解空间协同不足、创新要素与承载空间适配不够、新老城区和城乡融合不深等问题，形成目标明确、任务清晰、实施有序的工作体系。</w:t>
      </w:r>
    </w:p>
    <w:p w14:paraId="55937CA1">
      <w:pPr>
        <w:pageBreakBefore w:val="0"/>
        <w:widowControl w:val="0"/>
        <w:kinsoku/>
        <w:wordWrap/>
        <w:overflowPunct/>
        <w:topLinePunct w:val="0"/>
        <w:autoSpaceDE/>
        <w:autoSpaceDN/>
        <w:bidi w:val="0"/>
        <w:adjustRightInd/>
        <w:snapToGrid/>
        <w:spacing w:after="0" w:line="560" w:lineRule="exact"/>
        <w:ind w:firstLine="720" w:firstLineChars="0"/>
        <w:jc w:val="both"/>
        <w:textAlignment w:val="auto"/>
        <w:outlineLvl w:val="1"/>
        <w:rPr>
          <w:rFonts w:hint="eastAsia" w:ascii="黑体" w:hAnsi="黑体" w:eastAsia="黑体"/>
          <w:kern w:val="2"/>
          <w:sz w:val="32"/>
          <w:szCs w:val="32"/>
          <w:lang w:eastAsia="zh-CN"/>
        </w:rPr>
      </w:pPr>
      <w:r>
        <w:rPr>
          <w:rFonts w:ascii="黑体" w:hAnsi="黑体" w:eastAsia="黑体"/>
          <w:kern w:val="2"/>
          <w:sz w:val="32"/>
          <w:szCs w:val="32"/>
          <w:lang w:eastAsia="zh-CN"/>
        </w:rPr>
        <w:t>一、总体要求</w:t>
      </w:r>
    </w:p>
    <w:p w14:paraId="1621213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以习近平新时代中国特色社会主义思想为指导，深入贯彻党的二十大和二十届历次全会精神，认真落实习近平总书记对北京重要讲话精神和中央城市工作会议部署要求，紧紧围绕北京率先基本实现社会主义现代化目标，服务新时代首都发展大局，立足昌平新城作为平原新城高质量发展重要承载区和首都北部重要增长极的功能定位，坚持以推动高质量发展为主题，以改革创新为动力，以满足人民美好生活需要为根本目的，聚焦昌平“四区”建设，充分发挥教育、科技、人才优势，强化创新资源集聚和产业功能提升，统筹推进空间优化、产业升级、城市更新、公共服务、生态保护和安全韧性建设，持续提升昌平新城综合承载能力和综合服务水平。</w:t>
      </w:r>
    </w:p>
    <w:p w14:paraId="5CC38840">
      <w:pPr>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sz w:val="32"/>
          <w:szCs w:val="32"/>
          <w:lang w:eastAsia="zh-CN"/>
        </w:rPr>
      </w:pPr>
      <w:r>
        <w:rPr>
          <w:rFonts w:ascii="仿宋_GB2312" w:hAnsi="Times New Roman" w:eastAsia="仿宋_GB2312" w:cs="仿宋_GB2312"/>
          <w:b/>
          <w:bCs/>
          <w:kern w:val="2"/>
          <w:sz w:val="32"/>
          <w:szCs w:val="32"/>
          <w:lang w:eastAsia="zh-CN"/>
        </w:rPr>
        <w:t>发展目标：</w:t>
      </w:r>
      <w:bookmarkStart w:id="0" w:name="OLE_LINK2"/>
      <w:r>
        <w:rPr>
          <w:rFonts w:hint="eastAsia" w:ascii="仿宋_GB2312" w:eastAsia="仿宋_GB2312"/>
          <w:sz w:val="32"/>
          <w:szCs w:val="32"/>
          <w:lang w:eastAsia="zh-CN"/>
        </w:rPr>
        <w:t>以昌平新城为空间载体，以平原新城高质量发展实施方案为行动纲领，聚焦“四区”建设，积极承接首都优质功能，强化与中心城区联动，综合承载力明显提升。国家重点实验室创新集群成效显著，G6科学走廊成为重要增长极。公共服务更加优质均衡，复合型交通体系高水平建成，实现疏解人口与功能高效对接，建成全区综合功能核心枢纽。坚守生态优先，促进城绿共融，创建花园城市，建成山水蓝绿交织的生态宜居典范。活化十三陵、永安古城等历史文化资源，持续擦亮文化金名片，加强农文旅融合发展，促进城乡要素流动，推进和美乡村建设。</w:t>
      </w:r>
      <w:bookmarkEnd w:id="0"/>
    </w:p>
    <w:p w14:paraId="3D416E4D">
      <w:pPr>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sz w:val="32"/>
          <w:szCs w:val="32"/>
          <w:lang w:eastAsia="zh-CN"/>
        </w:rPr>
      </w:pPr>
      <w:r>
        <w:rPr>
          <w:rFonts w:ascii="仿宋_GB2312" w:hAnsi="Times New Roman" w:eastAsia="仿宋_GB2312" w:cs="仿宋_GB2312"/>
          <w:b/>
          <w:bCs/>
          <w:kern w:val="2"/>
          <w:sz w:val="32"/>
          <w:szCs w:val="32"/>
          <w:lang w:eastAsia="zh-CN"/>
        </w:rPr>
        <w:t>总体布局：</w:t>
      </w:r>
      <w:r>
        <w:rPr>
          <w:rFonts w:ascii="仿宋_GB2312" w:eastAsia="仿宋_GB2312"/>
          <w:sz w:val="32"/>
          <w:szCs w:val="32"/>
          <w:lang w:eastAsia="zh-CN"/>
        </w:rPr>
        <w:t>立足昌平新城功能定位和空间资源禀赋，构建“一主三副、一轴一带两廊”空间发展格局。以老城片区为综合服务核心，以东扩片区、马池口高铁站前片区、十三陵门户区为重要功能支点，推动城市服务、科技创新、文化旅游等功能组团协同发展，形成核心引领、支点支撑、组团联动的空间组织体系。</w:t>
      </w:r>
    </w:p>
    <w:p w14:paraId="55A9C2A1">
      <w:pPr>
        <w:pageBreakBefore w:val="0"/>
        <w:widowControl w:val="0"/>
        <w:kinsoku/>
        <w:wordWrap/>
        <w:overflowPunct/>
        <w:topLinePunct w:val="0"/>
        <w:autoSpaceDE/>
        <w:autoSpaceDN/>
        <w:bidi w:val="0"/>
        <w:adjustRightInd/>
        <w:snapToGrid/>
        <w:spacing w:after="0" w:line="560" w:lineRule="exact"/>
        <w:ind w:firstLine="720" w:firstLineChars="0"/>
        <w:jc w:val="both"/>
        <w:textAlignment w:val="auto"/>
        <w:outlineLvl w:val="1"/>
        <w:rPr>
          <w:rFonts w:hint="eastAsia" w:ascii="黑体" w:hAnsi="黑体" w:eastAsia="黑体"/>
          <w:kern w:val="2"/>
          <w:sz w:val="32"/>
          <w:szCs w:val="32"/>
          <w:lang w:eastAsia="zh-CN"/>
        </w:rPr>
      </w:pPr>
      <w:r>
        <w:rPr>
          <w:rFonts w:ascii="黑体" w:hAnsi="黑体" w:eastAsia="黑体"/>
          <w:kern w:val="2"/>
          <w:sz w:val="32"/>
          <w:szCs w:val="32"/>
          <w:lang w:eastAsia="zh-CN"/>
        </w:rPr>
        <w:t>二、“十五五”时期主要任务</w:t>
      </w:r>
    </w:p>
    <w:p w14:paraId="6C9C90A6">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（一）协同发展，打造空间融合新格局</w:t>
      </w:r>
    </w:p>
    <w:p w14:paraId="4D661B4D">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1.加强“一主三副”空间协同发展</w:t>
      </w:r>
    </w:p>
    <w:p w14:paraId="6132417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强化老城片区核心引领作用，提升综合服务和城市更新水平。以老城片区为城市综合服务主中心，统筹历史文化保护、公共服务完善和城市更新提升，持续推进永安古城、政府街及周边区域功能优化，完善商业服务、文化体验和公共空间体系，提升城市核心功能承载能力。加强老城与新城各功能片区之间的空间衔接和资源共享，推动传统城区与现代城市功能融合发展。</w:t>
      </w:r>
    </w:p>
    <w:p w14:paraId="60078DE3">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推动东扩片区品质提升，打造生态宜居和消费活力特色副中心。依托生态资源、轨道交通和公共服务基础，完善居住、商业、文化、体育等综合服务功能，推动消费场景创新和公共空间品质提升。加强生态空间与城市功能融合，打造宜居宜游、功能完善的城市新片区，增强对人口集聚和城市品质提升的支撑能力。</w:t>
      </w:r>
    </w:p>
    <w:p w14:paraId="1CDB14C2">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依托马池口高铁站前片区，建设科技创新和成果转化特色副中心。以北大产教研融合创新中心、北京大学新燕园校区和京张高铁昌平站建设为牵引，强化科技创新、成果转化、产业服务和城市配套功能，推进北大马池口科学小镇建设。加强站城融合发展，完善交通联系和公共服务设施，促进创新资源、产业空间和城市功能协同布局，打造产教研融合发展的创新高地。</w:t>
      </w:r>
    </w:p>
    <w:p w14:paraId="1BB82168">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发挥十三陵门户区文化生态优势，打造文旅融合特色副中心。统筹世界文化遗产保护、文化体验和旅游服务功能，推动明文化资源保护利用与现代文旅消费融合发展。完善旅游服务设施和生态空间建设，串联历史文化资源、自然景观和特色体验场景，提升区域文化影响力和旅游服务能力。</w:t>
      </w:r>
    </w:p>
    <w:p w14:paraId="01E65ED6">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加强“一主三副”联动发展，促进功能互补和资源共享。完善片区之间交通联系、公共服务和产业协作机制，推动老城综合服务功能与东扩片区、马池口片区、十三陵门户区特色功能协同发展，形成主次联动、优势互补、特色鲜明的新城空间发展格局</w:t>
      </w:r>
      <w:r>
        <w:rPr>
          <w:rFonts w:hint="eastAsia" w:ascii="仿宋_GB2312" w:hAnsi="Times New Roman" w:eastAsia="仿宋_GB2312" w:cs="仿宋_GB2312"/>
          <w:kern w:val="2"/>
          <w:sz w:val="32"/>
          <w:szCs w:val="32"/>
          <w:lang w:eastAsia="zh-CN"/>
        </w:rPr>
        <w:t>。</w:t>
      </w:r>
    </w:p>
    <w:p w14:paraId="7DD0F93A">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2.聚能聚势“两轴”空间发展资源</w:t>
      </w:r>
    </w:p>
    <w:p w14:paraId="54F61CD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沿水南路—白浮泉路—南环南路打造东西向城镇融合发展轴，强化老城综合服务、新城功能提升和东扩片区战略支撑功能衔接，推动城市空间由单一组团发展向多片区协同融合转变。依托沿线公共服务设施、商业消费空间、产业载体和生态资源，加强功能复合与空间串联，促进优质资源向轴线集聚。完善道路交通、公共空间和慢行系统衔接，提升沿线空间品质和服务能力，推动老城历史文化资源、新城综合服务功能和东扩片区发展潜力有效联动，打造承载城市功能优化、人口集聚和品质提升的重要发展廊道。</w:t>
      </w:r>
    </w:p>
    <w:p w14:paraId="00BD0467">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依托</w:t>
      </w:r>
      <w:r>
        <w:rPr>
          <w:rFonts w:ascii="仿宋_GB2312" w:hAnsi="Times New Roman" w:eastAsia="仿宋_GB2312" w:cs="仿宋_GB2312"/>
          <w:kern w:val="2"/>
          <w:sz w:val="32"/>
          <w:szCs w:val="32"/>
          <w:lang w:eastAsia="zh-CN"/>
        </w:rPr>
        <w:t>G6科创走廊</w:t>
      </w:r>
      <w:r>
        <w:rPr>
          <w:rFonts w:hint="eastAsia" w:ascii="仿宋_GB2312" w:hAnsi="Times New Roman" w:eastAsia="仿宋_GB2312" w:cs="仿宋_GB2312"/>
          <w:kern w:val="2"/>
          <w:sz w:val="32"/>
          <w:szCs w:val="32"/>
          <w:lang w:eastAsia="zh-CN"/>
        </w:rPr>
        <w:t>形成昌平新城科创发展轴</w:t>
      </w:r>
      <w:r>
        <w:rPr>
          <w:rFonts w:ascii="仿宋_GB2312" w:hAnsi="Times New Roman" w:eastAsia="仿宋_GB2312" w:cs="仿宋_GB2312"/>
          <w:kern w:val="2"/>
          <w:sz w:val="32"/>
          <w:szCs w:val="32"/>
          <w:lang w:eastAsia="zh-CN"/>
        </w:rPr>
        <w:t>，强化与南口清华国重基地、未来科学城、生命科学园、沙河高教园等创新平台协同联动，发挥昌平科技创新资源优势，推动科研机构、高校院所、创新企业和产业空间高效衔接。围绕基础研究、技术研发、中试验证、成果转化和产业化应用等关键环节，完善创新链、产业链、人才链融合发展机制，促进科技成果加速转化和未来产业培育。推动沿线创新空间优化布局，提升科技服务、创新孵化、产业承载和综合配套能力，打造连接创新源头与产业应用场景的高水平科创发展轴，增强昌平新城创新策源能力和产业带动能力。</w:t>
      </w:r>
    </w:p>
    <w:p w14:paraId="6E5EA1E8">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3.减量提质复绿增蓝“一带一廊”</w:t>
      </w:r>
    </w:p>
    <w:p w14:paraId="3F762DD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落实减量提质要求，强化生态空间保护与修复。</w:t>
      </w:r>
      <w:r>
        <w:rPr>
          <w:rFonts w:ascii="仿宋_GB2312" w:hAnsi="Times New Roman" w:eastAsia="仿宋_GB2312" w:cs="仿宋_GB2312"/>
          <w:kern w:val="2"/>
          <w:sz w:val="32"/>
          <w:szCs w:val="32"/>
          <w:lang w:eastAsia="zh-CN"/>
        </w:rPr>
        <w:t>依托绿化隔离地区、生态体验走廊和非建设空间，统筹优化国土空间布局，推动低效空间整合利用和生态修复。结合存量建设用地更新，分类推进环境整治和功能优化，促进建设空间集约高效利用，提升生态空间质量，构建与城市发展相协调的绿色空间格局。</w:t>
      </w:r>
    </w:p>
    <w:p w14:paraId="33C9F138">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加强蓝绿空间系统建设，提升生态服务和公共休闲功能。加强东沙河、京密引水渠等水系廊道及两侧绿地保护，推进河道治理、生态岸线建设、生物多样性保护和滨水空间品质提升。完善河流、绿道、公园与社区之间的连接体系，推动生态空间向城市内部延伸，提升蓝绿空间连续性和可达性，打造山水相依、蓝绿交融的生态网络，为居民提供更多亲近自然、休闲游憩的公共空间。</w:t>
      </w:r>
    </w:p>
    <w:p w14:paraId="6537AFD5">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（二）有机更新，营造活力新城新场景</w:t>
      </w:r>
    </w:p>
    <w:p w14:paraId="24616AF4">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1.打造永安古城更新活力心</w:t>
      </w:r>
    </w:p>
    <w:p w14:paraId="4850CDA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坚持保护优先、活化利用，推动永安古城历史空间保护与品质提升。</w:t>
      </w:r>
      <w:r>
        <w:rPr>
          <w:rFonts w:ascii="仿宋_GB2312" w:hAnsi="Times New Roman" w:eastAsia="仿宋_GB2312" w:cs="仿宋_GB2312"/>
          <w:kern w:val="2"/>
          <w:sz w:val="32"/>
          <w:szCs w:val="32"/>
          <w:lang w:eastAsia="zh-CN"/>
        </w:rPr>
        <w:t>注重历史建筑、历史街巷与周边整体环境协调保护，延续古城传统空间肌理和历史风貌。推进古城博物馆、文化馆、城隍庙等文化节点改造提升，完善文化展示、公共活动和游客服务功能。结合一街、六街等平房区改造和站点周边更新，推进街巷环境整治、沿街立面提升、公共空间织补和慢行系统优化，改善古城居住环境和空间品质。</w:t>
      </w:r>
    </w:p>
    <w:p w14:paraId="5EEF9182">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促进文化资源转化利用，打造特色文化消费和城市生活场景。依托政府街、永安古城及周边街区，推动历史文化、公共空间与现代生活融合发展，鼓励植入创意书店、非遗工坊、特色餐饮、文化体验等特色业态，丰富街区消费场景。完善交通换乘、公共服务和市政配套设施，提升古城综合服务能力，推动文化资源转化为可参与、可体验、可持续的城市生活空间，增强区域文化魅力和消费活力。</w:t>
      </w:r>
    </w:p>
    <w:p w14:paraId="27AE0763">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2.培育区域产业更新活力源</w:t>
      </w:r>
    </w:p>
    <w:p w14:paraId="5A5E2EAA">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以存量空间盘活和产业转型升级为重点，推动低效工业空间更新改造和城市功能提升。</w:t>
      </w:r>
      <w:r>
        <w:rPr>
          <w:rFonts w:ascii="仿宋_GB2312" w:hAnsi="Times New Roman" w:eastAsia="仿宋_GB2312" w:cs="仿宋_GB2312"/>
          <w:kern w:val="2"/>
          <w:sz w:val="32"/>
          <w:szCs w:val="32"/>
          <w:lang w:eastAsia="zh-CN"/>
        </w:rPr>
        <w:t>坚持分类施策、因地制宜，结合英特莱老工业厂区、红冶钢厂、中车厂区等存量空间资源条件，探索差异化更新利用路径，推动老旧工业厂区向创新产业空间、城市服务空间和特色消费空间转型。注重保护利用工业遗存和场所记忆，导入科技服务、创新办公、文化展示、商业服务等功能，促进工业空间再利用与城市品质提升协同发展。</w:t>
      </w:r>
    </w:p>
    <w:p w14:paraId="6A31177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强化存量更新与产业导入相结合，促进文商旅居融合发展和产业集群培育。围绕医药健康、智能制造等优势产业方向，推动产业载体提质增效，完善公共服务、交通组织、停车设施等配套功能，提升存量片区综合承载能力。依托京张高铁昌平站和北大昌平新校区建设契机，统筹推进站前空间优化、道路交通完善和城市景观提升，推动工业遗产保护利用、创新功能植入与站城一体化发展，打造集产业承载、科技服务、文化展示于一体的城市门户空间。</w:t>
      </w:r>
    </w:p>
    <w:p w14:paraId="785DCC53">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3.提升人居环境更新活力场</w:t>
      </w:r>
    </w:p>
    <w:p w14:paraId="417490C7">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分类推进老旧小区、平房区和城中村改造，统筹实施建筑节能、管线更新、加装电梯、无障碍环境建设和安全隐患治理，改善居民居住条件。盘活老旧厂房、闲置锅炉房、边角地和社区闲置用房，嵌入养老托育、社区食堂、文化体育和便民商业等服务，完善一刻钟便民生活圈。推进口袋公园、小微绿地和街角空间建设，提升公园绿地全龄友好水平；结合道路和地块更新改造老旧市政管网，优化停车组织和慢行系统，持续改善社区环境。</w:t>
      </w:r>
    </w:p>
    <w:p w14:paraId="2FE2E94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坚持问题导向，结合居民诉求和设施短板，统筹推进建筑本体、公共空间、市政管线和社区服务设施更新。对具备条件的老旧小区推进节能改造、加装电梯和适老化改造，对平房区、城中村等分类研究改造提升路径，强化安全隐患排查整治和基础设施补短板。通过盘活社区闲置用房、边角地和低效空间，补充养老托育、社区助餐、文化活动、体育健身和便民商业设施，推动公共服务设施就近布局、复合利用，提升社区环境品质和居民生活便利度。</w:t>
      </w:r>
    </w:p>
    <w:p w14:paraId="2F1B169D">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（三）创新驱动，强育高端产业新集群</w:t>
      </w:r>
    </w:p>
    <w:p w14:paraId="3D3F611F">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1.打造G6科创走廊北段成果转化“主轴线”</w:t>
      </w:r>
    </w:p>
    <w:p w14:paraId="437DC52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优化产业空间布局，提升高精尖产业承载能力。</w:t>
      </w:r>
      <w:r>
        <w:rPr>
          <w:rFonts w:ascii="仿宋_GB2312" w:hAnsi="Times New Roman" w:eastAsia="仿宋_GB2312" w:cs="仿宋_GB2312"/>
          <w:kern w:val="2"/>
          <w:sz w:val="32"/>
          <w:szCs w:val="32"/>
          <w:lang w:eastAsia="zh-CN"/>
        </w:rPr>
        <w:t>统筹中关村昌平园中心区西区、东区及水屯产业园等重点产业空间，结合区域产业基础和发展需求，优化用地功能和产业布局，推动产业空间集约高效利用。完善园区基础设施和综合服务配套，促进产业空间连片整合与功能提升，增强医药健康、先进制造等重点产业承载能力，打造特色鲜明、功能完善的高质量产业发展空间。</w:t>
      </w:r>
    </w:p>
    <w:p w14:paraId="4B01D378">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强化创新资源协同，推动科技成果转化和产业链融合发展。发挥昌平新城东区土地资源和公共服务配套优势，加强与未来科学城、生命科学园等创新平台协同联动，承接区域创新资源外溢。围绕研发设计、技术验证、中试熟化、生产制造、场景应用等关键环节，推动创新链与产业链深度融合，促进科技成果就地转化和产业上下游协同发展，提升产业发展的创新驱动能力和综合竞争力。</w:t>
      </w:r>
    </w:p>
    <w:p w14:paraId="201A7C0F">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bCs/>
          <w:sz w:val="32"/>
          <w:szCs w:val="32"/>
          <w:lang w:eastAsia="zh-CN"/>
        </w:rPr>
      </w:pPr>
      <w:r>
        <w:rPr>
          <w:rFonts w:ascii="仿宋_GB2312" w:hAnsi="Times New Roman" w:eastAsia="仿宋_GB2312" w:cs="仿宋_GB2312"/>
          <w:b/>
          <w:bCs/>
          <w:kern w:val="2"/>
          <w:sz w:val="32"/>
          <w:szCs w:val="32"/>
          <w:lang w:eastAsia="zh-CN"/>
        </w:rPr>
        <w:t>2.建设北大马池口未来产业创新“策源地”</w:t>
      </w:r>
    </w:p>
    <w:p w14:paraId="331620A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强化创新策源能力，建设北大马池口未来产业创新“策源地”。</w:t>
      </w:r>
      <w:r>
        <w:rPr>
          <w:rFonts w:ascii="仿宋_GB2312" w:hAnsi="Times New Roman" w:eastAsia="仿宋_GB2312" w:cs="仿宋_GB2312"/>
          <w:kern w:val="2"/>
          <w:sz w:val="32"/>
          <w:szCs w:val="32"/>
          <w:lang w:eastAsia="zh-CN"/>
        </w:rPr>
        <w:t>全力保障北京大学新燕园校区、北大产教研融合创新中心和全国重点实验室创新集群建设，推进北大马池口科学小镇和北大全重科技园建设。依托北大新工科优势和科研创新平台，围绕生物医药、精准医疗、人工智能与健康等前沿领域，统筹科技研发、成果转化、产业承载和生活配套，推动基础研究、技术研发、成果转化和企业孵化有效衔接，构建“原始创新—成果转化—产业创新”全链条创新生态。</w:t>
      </w:r>
    </w:p>
    <w:p w14:paraId="72EF2192">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加强区域创新协同，提升产教研融合和综合服务能力。推动北大产教研融合创新中心与北京大学新燕园校区、北大全国重点实验室创新集群协同发展，完善创新平台周边交通、居住、商业和公共服务配套，促进创新空间与城市功能融合。加强与清华南口国重基地、沙河高教园等区域创新资源联动，推动人才、技术、资本和产业空间高效互动，打造产教研融合、站城一体、具有区域影响力的未来产业创新高地。</w:t>
      </w:r>
    </w:p>
    <w:p w14:paraId="5AE7D0C1">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3.提升中关村昌平园高精尖产业“主阵地”</w:t>
      </w:r>
    </w:p>
    <w:p w14:paraId="0A40598D">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以中关村昌平园为核心载体，推动主导产业提质升级，增强产业集群竞争力。</w:t>
      </w:r>
      <w:r>
        <w:rPr>
          <w:rFonts w:ascii="仿宋_GB2312" w:hAnsi="Times New Roman" w:eastAsia="仿宋_GB2312" w:cs="仿宋_GB2312"/>
          <w:kern w:val="2"/>
          <w:sz w:val="32"/>
          <w:szCs w:val="32"/>
          <w:lang w:eastAsia="zh-CN"/>
        </w:rPr>
        <w:t>围绕医药健康、先进能源、先进制造三大主导产业，推动产业向高端化、智能化、绿色化方向发展，支持龙头企业牵头组建创新联合体，强化企业、高校院所和科研平台协同创新，提升关键核心技术攻关、成果转化和产业链协作能力。聚焦重点产业链关键环节，促进上下游企业集聚发展，推动产业链、创新链、人才链深度融合，提升昌平新城产业发展的核心竞争力。</w:t>
      </w:r>
    </w:p>
    <w:p w14:paraId="61B83D1A">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bookmarkStart w:id="1" w:name="OLE_LINK3"/>
      <w:r>
        <w:rPr>
          <w:rFonts w:ascii="仿宋_GB2312" w:hAnsi="Times New Roman" w:eastAsia="仿宋_GB2312" w:cs="仿宋_GB2312"/>
          <w:kern w:val="2"/>
          <w:sz w:val="32"/>
          <w:szCs w:val="32"/>
          <w:lang w:eastAsia="zh-CN"/>
        </w:rPr>
        <w:t>优化园区空间布局和综合服务能力，提升产业承载效率。</w:t>
      </w:r>
      <w:bookmarkEnd w:id="1"/>
      <w:r>
        <w:rPr>
          <w:rFonts w:ascii="仿宋_GB2312" w:hAnsi="Times New Roman" w:eastAsia="仿宋_GB2312" w:cs="仿宋_GB2312"/>
          <w:kern w:val="2"/>
          <w:sz w:val="32"/>
          <w:szCs w:val="32"/>
          <w:lang w:eastAsia="zh-CN"/>
        </w:rPr>
        <w:t>根据各园区资源禀赋和产业基础，明确差异化发展定位，推动园区功能错位互补，避免同质化竞争。大力发展科技服务业，完善研发办公、生产制造、物流仓储、生活服务和交通配套，推动低效产业空间更新改造，探索“产业+配套+公共服务”融合发展模式，提高土地利用效率和园区综合服务水平，打造功能完善、特色鲜明、协同高效的产业发展空间。</w:t>
      </w:r>
    </w:p>
    <w:p w14:paraId="740D0833">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（四）宜居家园，建设品质生活新愿景</w:t>
      </w:r>
    </w:p>
    <w:p w14:paraId="3300931A">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1.深化“四好”建设提质普惠民生</w:t>
      </w:r>
    </w:p>
    <w:p w14:paraId="3818089D">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坚持多主体供给、多渠道保障、租购并举，优化住房供应结构。</w:t>
      </w:r>
      <w:r>
        <w:rPr>
          <w:rFonts w:ascii="仿宋_GB2312" w:hAnsi="Times New Roman" w:eastAsia="仿宋_GB2312" w:cs="仿宋_GB2312"/>
          <w:kern w:val="2"/>
          <w:sz w:val="32"/>
          <w:szCs w:val="32"/>
          <w:lang w:eastAsia="zh-CN"/>
        </w:rPr>
        <w:t>围绕不同人群住房需求，合理布局商品住房、保障性租赁住房、公租房等多层次住房类型，推动住房供应与产业布局、人口规模和交通条件相协调。结合轨道站点周边和就业集中区域，完善住房空间布局，促进职住平衡。持续推进老旧小区和危旧楼房改造，深化“好房子、好小区、好社区、好城区”建设，推广绿色建筑、装配式建筑和超低能耗建筑应用，提升住宅建设品质、居住舒适性和安全性。</w:t>
      </w:r>
    </w:p>
    <w:p w14:paraId="0D0F4368">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持续完善社区服务体系和城市综合配套，提升新城整体功能品质。推进完整社区建设，完善物业服务和社区协同治理机制，提升基层服务能力和社区治理水平。优化城市路网、公共交通、慢行系统和停车设施布局，加强生活服务设施配套，推动公共服务资源均衡配置，促进产城融合发展，提升城市综合承载能力和居民生活品质。</w:t>
      </w:r>
    </w:p>
    <w:p w14:paraId="1D99B47D">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2.织密公共服务网络增进民生福祉</w:t>
      </w:r>
    </w:p>
    <w:p w14:paraId="2CADF2B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围绕人口增长和功能布局，持续优化公共服务资源配置，提升基本民生保障能力。</w:t>
      </w:r>
      <w:r>
        <w:rPr>
          <w:rFonts w:ascii="仿宋_GB2312" w:hAnsi="Times New Roman" w:eastAsia="仿宋_GB2312" w:cs="仿宋_GB2312"/>
          <w:kern w:val="2"/>
          <w:sz w:val="32"/>
          <w:szCs w:val="32"/>
          <w:lang w:eastAsia="zh-CN"/>
        </w:rPr>
        <w:t>教育服务方面，结合人口变化和重点片区开发建设，动态优化学位布局，推进优质教育资源向昌平新城东区、马池口科学小镇等重点区域合理配置，完善中小学、幼儿园和普惠托育服务体系。医疗卫生方面，加快优质医疗资源引入，完善综合医院、公共卫生和社区卫生服务网络，提升基层诊疗和健康服务能力。养老服务方面，健全居家、社区、机构相协调的养老服务体系，完善养老服务驿站、助餐点和适老化设施，满足多层次养老服务需求。</w:t>
      </w:r>
    </w:p>
    <w:p w14:paraId="2845C92D">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完善公共文化体育服务体系，推动公共服务设施与城市空间融合发展。推进大运河源头遗址公园、明文化文博旅综合体等文化项目建设，完善社区文化空间和体育健身设施，丰富群众精神文化生活。结合社区生活圈、轨道站点和重点功能组团布局，加强公共服务设施统筹配置，推动教育、医疗、养老、文化、体育等资源便捷共享，提升公共服务均衡化水平和城市生活品质。</w:t>
      </w:r>
    </w:p>
    <w:p w14:paraId="184383A4">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3.整治乡村人居环境提升宜居品质</w:t>
      </w:r>
    </w:p>
    <w:p w14:paraId="711DD83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坚持分类引导、因地制宜推进乡村建设，提升乡村空间品质。</w:t>
      </w:r>
      <w:r>
        <w:rPr>
          <w:rFonts w:ascii="仿宋_GB2312" w:hAnsi="Times New Roman" w:eastAsia="仿宋_GB2312" w:cs="仿宋_GB2312"/>
          <w:kern w:val="2"/>
          <w:sz w:val="32"/>
          <w:szCs w:val="32"/>
          <w:lang w:eastAsia="zh-CN"/>
        </w:rPr>
        <w:t>结合村庄区位条件、资源禀赋和发展基础，分类引导村庄建设与整治提升，有序推进城镇集建型村庄安置和老城平房区改造，统筹做好安置空间、基础设施和公共服务设施配置。加强非建设空间腾退还绿、村庄周边环境整治和河道滨水空间建设，推动蓝绿空间与城市生态网络有机衔接，改善乡村生态环境和整体风貌。</w:t>
      </w:r>
    </w:p>
    <w:p w14:paraId="20FC5AD9">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完善乡村基础设施和公共服务体系，促进城乡融合发展。持续完善村级综合文化室、健身场地、清洁能源、供电保障、污水处理和农村养老服务等设施，推动城乡公共服务和基础设施互联互通。提升农村生活便利度和公共服务保障水平，促进城乡公共服务均等化，持续改善乡村人居环境，打造宜居宜业的美丽乡村。</w:t>
      </w:r>
    </w:p>
    <w:p w14:paraId="0C35F866">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（五）美丽山水，谱写新城蓝绿新篇章</w:t>
      </w:r>
    </w:p>
    <w:p w14:paraId="0D871210">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1.严控自然资源保护底线和资源环境承载力</w:t>
      </w:r>
    </w:p>
    <w:p w14:paraId="11CC9B59">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坚持底线约束，强化国土空间统筹管控。</w:t>
      </w:r>
      <w:r>
        <w:rPr>
          <w:rFonts w:ascii="仿宋_GB2312" w:hAnsi="Times New Roman" w:eastAsia="仿宋_GB2312" w:cs="仿宋_GB2312"/>
          <w:kern w:val="2"/>
          <w:sz w:val="32"/>
          <w:szCs w:val="32"/>
          <w:lang w:eastAsia="zh-CN"/>
        </w:rPr>
        <w:t>严格落实生态保护红线、永久基本农田和城镇开发边界管控要求，统筹集中建设区、限制建设区和生态控制区，完善“三区三线”空间治理体系。强化国土空间规划对各类开发保护活动的基础约束作用，统筹建设空间、农业空间和生态空间布局，推动城市发展与资源环境承载能力相协调，促进自然资源保护与城市建设有机融合。</w:t>
      </w:r>
    </w:p>
    <w:p w14:paraId="71706D43">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坚持节约集约利用，提升土地资源配置效能。优先盘活存量空间，推动低效用地更新改造和集约高效利用，合理控制新增建设规模和开发强度。加强耕地保护和用途管制，落实耕地占补平衡要求，推进耕地集中连片保护和高标准农田建设，促进土地资源利用与人口、产业、基础设施布局相匹配，实现资源保护与高质量发展的协同统一。</w:t>
      </w:r>
    </w:p>
    <w:p w14:paraId="011C8B92">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2.持续改善区域生态环境赋能浅山自然资源</w:t>
      </w:r>
    </w:p>
    <w:p w14:paraId="3F2306A1">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推进绿色低碳转型，提升城市生态环境品质。</w:t>
      </w:r>
      <w:bookmarkStart w:id="2" w:name="OLE_LINK4"/>
      <w:r>
        <w:rPr>
          <w:rFonts w:ascii="仿宋_GB2312" w:hAnsi="Times New Roman" w:eastAsia="仿宋_GB2312" w:cs="仿宋_GB2312"/>
          <w:kern w:val="2"/>
          <w:sz w:val="32"/>
          <w:szCs w:val="32"/>
          <w:lang w:eastAsia="zh-CN"/>
        </w:rPr>
        <w:t>协同推进降碳、减污、扩绿、增长，持续推进大气、水、土壤污染防治，推动能源、建筑、交通等重点领域绿色低碳转型，提升资源能源利用效率。</w:t>
      </w:r>
      <w:bookmarkEnd w:id="2"/>
      <w:r>
        <w:rPr>
          <w:rFonts w:ascii="仿宋_GB2312" w:hAnsi="Times New Roman" w:eastAsia="仿宋_GB2312" w:cs="仿宋_GB2312"/>
          <w:kern w:val="2"/>
          <w:sz w:val="32"/>
          <w:szCs w:val="32"/>
          <w:lang w:eastAsia="zh-CN"/>
        </w:rPr>
        <w:t>加强水资源节约集约利用，推进污水收集处理、再生水利用和农业面源污染治理，促进水环境治理与河湖生态修复协同实施，不断提升生态系统质量和稳定性。</w:t>
      </w:r>
    </w:p>
    <w:p w14:paraId="3DC216D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强化生态资源保护利用，探索生态价值转化路径。依托北部山区自然生态和历史文化资源，加强生态保护与文化资源协同利用，发展生态体验、休闲旅游、康养等绿色业态，推动生态产品价值实现。完善生态空间保护和利用机制，促进生态保护、文化传承与绿色发展相互促进，提升区域生态服务功能和可持续发展能力。</w:t>
      </w:r>
    </w:p>
    <w:p w14:paraId="59F439C8">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3.推进花园城市建设提升绿色空间生态品质</w:t>
      </w:r>
    </w:p>
    <w:p w14:paraId="0959A68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构建花园城市空间格局，提升绿色空间品质。构建“一轴两廊、两城一区、多点、多集群”的花园城市空间体系，高标准推进新城生态休闲公园等示范片区建设，完善公园绿地、滨水空间和街旁绿地相互衔接的绿色空间网络。结合城市更新，补充口袋公园、小微绿地和公共开放空间，推进立体绿化、屋顶绿化和第五立面绿化，促进商业、文体设施与生态空间融合布局，提升城市环境品质。</w:t>
      </w:r>
    </w:p>
    <w:p w14:paraId="4F55EF44">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加强生态文化空间串联，营造城绿融合生活场景。依托白浮泉公园、十三陵水库、永安古城等生态文化节点，串联自然资源、历史文化和公共活动空间，建设文化探访路、城市绿道及配套服务设施，推动公园、绿道、商业和产业空间互联互通。鼓励社会公众参与花园城市建设，提升绿色空间的可达性、连续性和共享水平，打造人与自然和谐共生的高品质城市空间。</w:t>
      </w:r>
    </w:p>
    <w:p w14:paraId="2EC8F153">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（六）韧性城市，筑牢风险防控新屏障</w:t>
      </w:r>
    </w:p>
    <w:p w14:paraId="6DDECD06">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1.打通干路联通堵点集聚轨道站点空间资源</w:t>
      </w:r>
    </w:p>
    <w:p w14:paraId="176C5126">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完善综合交通网络，提升区域联通和发展支撑能力。加快完善新城干线路网，增强南口、马池口与新城东西片区之间的交通联系，优先打通影响组团协同、产业运输和居民出行的关键道路节点。统筹道路建设与重点片区开发时序，推动重点产业园区周边道路、供地和项目建设协同实施，提升道路网络整体效率和城市综合承载能力。</w:t>
      </w:r>
    </w:p>
    <w:p w14:paraId="3171DCEC">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强化轨道交通引领，构建便捷高效绿色出行体系。围绕现状轨道交通和规划东北环线站点，统筹轨道、公交、慢行系统一体化发展，完善站点接驳换乘、慢行通道和公共服务设施，引导居住、办公、商业和公共服务等功能向轨道站点周边集聚，提升站城一体化发展水平。构建连续、安全、舒适的步行、自行车和绿道网络，打造开放共享的街道空间，提升居民出行品质。</w:t>
      </w:r>
    </w:p>
    <w:p w14:paraId="78351376">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2.加强重点项目能源保障构建城市能源系统</w:t>
      </w:r>
    </w:p>
    <w:p w14:paraId="27388BE2">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推进市政设施更新改造，提升城市生命线安全水平。结合老旧小区改造、道路整治和产业空间更新，统筹推进给水、排水、电力、通信、燃气等老旧管线升级改造，加强地下管线运行维护和风险排查，提升城市生命线安全保障能力。完善供水设施布局和互联互通体系，推进雨污分流和重点区域污水处理设施建设，增强市政基础设施服务能力。</w:t>
      </w:r>
    </w:p>
    <w:p w14:paraId="3F5B13E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完善韧性基础设施体系，增强城市综合承载能力。统筹海绵城市建设，完善雨水收集、调蓄和利用设施，提升雨水就地消纳和资源化利用水平。推动市政基础设施与重点项目建设同步谋划、同步实施，优化燃气、电力等设施布局，促进城乡基础设施一体化发展，提升新城应对极端天气、人口增长和产业发展的综合承载能力。</w:t>
      </w:r>
    </w:p>
    <w:p w14:paraId="241649C0">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3.稳固提升水生态环境加强水治理</w:t>
      </w:r>
    </w:p>
    <w:p w14:paraId="0618084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强化水环境综合治理，提升水资源保障能力。坚持水环境治理与水生态修复并重，持续巩固黑臭水体治理成效，保障重点河湖水功能区水质达标。完善河湖水系连通和水资源调配机制，推进再生水利用、雨洪资源利用和生态补水，提升水资源利用效率和河湖生态流动性。加强农村生活污水收集处理和雨水排放治理，完善城乡水环境治理体系，持续改善区域水环境质量。</w:t>
      </w:r>
    </w:p>
    <w:p w14:paraId="6301F769">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推进滨水空间品质提升，打造生态宜游公共空间。围绕东沙河等重点河段开展滨水空间建设，优化生态岸线和亲水空间，合理布局滨水步道、休憩空间和公共活动场所。推动河道治理与绿道、公园、慢行系统及周边社区有机衔接，促进水生态、城市空间和居民生活融合发展，打造水清岸绿、功能复合、宜居宜业宜游的滨水生态空间。</w:t>
      </w:r>
    </w:p>
    <w:p w14:paraId="5D7D67C3">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（七）文化魅力，彰显区域精神新风貌</w:t>
      </w:r>
    </w:p>
    <w:p w14:paraId="2F027DE8">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1.加强大运河文化带文化资源保护与利用</w:t>
      </w:r>
    </w:p>
    <w:p w14:paraId="0DA4ED8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加强大运河文化遗产保护，提升源头地区文化景观品质。统筹推进大运河源头遗址公园建设和周边环境提升，积极争创国家</w:t>
      </w:r>
      <w:r>
        <w:rPr>
          <w:rFonts w:hint="eastAsia" w:ascii="仿宋_GB2312" w:hAnsi="Times New Roman" w:eastAsia="仿宋_GB2312" w:cs="仿宋_GB2312"/>
          <w:kern w:val="2"/>
          <w:sz w:val="32"/>
          <w:szCs w:val="32"/>
          <w:lang w:eastAsia="zh-CN"/>
        </w:rPr>
        <w:t>AAA</w:t>
      </w:r>
      <w:r>
        <w:rPr>
          <w:rFonts w:ascii="仿宋_GB2312" w:hAnsi="Times New Roman" w:eastAsia="仿宋_GB2312" w:cs="仿宋_GB2312"/>
          <w:kern w:val="2"/>
          <w:sz w:val="32"/>
          <w:szCs w:val="32"/>
          <w:lang w:eastAsia="zh-CN"/>
        </w:rPr>
        <w:t>A级景区，系统挖掘和阐释运河源头历史文化价值，加强遗址本体、周边环境风貌和文化生态整体保护。提升京密引水渠沿线环境品质，推动水系空间与历史文化资源融合，打造水清岸绿、文景共融的生态文化景观。</w:t>
      </w:r>
    </w:p>
    <w:p w14:paraId="0B37EE2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推动文化遗产活化利用，丰富公共文化服务和体验场景。创新文化展示传播方式，运用专题展览、文化论坛、读书交流以及VR、AR等数字化手段，增强文化体验和传播能力。策划主题文化探访线路，推动大运河文化保护传承与公共文化服务、生态休闲体验相结合，将文化资源转化为可感知、可参与、可持续利用的城市文化空间。</w:t>
      </w:r>
    </w:p>
    <w:p w14:paraId="7BB8909B">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2.推进明文化的辐射力与影响力</w:t>
      </w:r>
    </w:p>
    <w:p w14:paraId="729071D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加强明文化资源保护传承，提升区域文化影响力。依托明十三陵世界文化遗产和丰富的明文化资源，加强历史文化资源保护利用，持续举办明文化论坛，推进文化研究、展览展示、学术交流和公众教育，深入挖掘明文化时代价值。探索数字化展示、沉浸式体验等创新方式，提升文化传播能力，打造具有昌平辨识度的明文化品牌。</w:t>
      </w:r>
    </w:p>
    <w:p w14:paraId="2A6CDFF6">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推动文旅融合发展，打造多元文化体验场景。加强明文化与休闲旅游、户外运动、农业体验和节庆活动融合，联动“铁三圣地”户外运动目的地、十三陵水库、白浮泉公园等特色资源节点，推动文化资源由单点展示向线路组织、场景营造和区域联动拓展。探索实景演艺、互动体验等文旅产品开发，丰富游客体验，提升明文化资源的吸引力和消费带动能力。</w:t>
      </w:r>
    </w:p>
    <w:p w14:paraId="2DD8AE85">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3.赋能文旅创新激发文旅消费潜力</w:t>
      </w:r>
    </w:p>
    <w:p w14:paraId="6CABE919">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推动文旅资源融合发展，打造区域消费新场景。以明十三陵世界文化遗产为核心，统筹景区、传统村落和周边消费资源，推进明文化文博旅综合体建设，拓展文化体验、研学旅游和特色消费等功能。加强明十三陵景区与八达岭奥莱、乐多港商圈等消费载体联动，完善旅游交通接驳、游客服务和消费配套，探索文旅、商业、科技、研学等业态融合发展，构建“文旅商科”融合的区域消费网络，提升区域旅游吸引力和消费带动能力。</w:t>
      </w:r>
    </w:p>
    <w:p w14:paraId="1A1A5A8C">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促进乡村特色发展，培育文旅消费增长点。推动保留村庄结合资源禀赋和发展基础实施差异化发展，支持精品民宿、特色餐饮、文创工坊、非遗体验和特色农产品等业态融合发展。盘活乡村闲置空间和特色资源，推动乡村文化传承、就业增收与旅游消费协同发展，打造具有昌平特色的乡村文旅体验场景。</w:t>
      </w:r>
    </w:p>
    <w:p w14:paraId="00106715">
      <w:pPr>
        <w:pStyle w:val="6"/>
        <w:keepNext/>
        <w:keepLines/>
        <w:pageBreakBefore w:val="0"/>
        <w:widowControl/>
        <w:kinsoku/>
        <w:wordWrap/>
        <w:overflowPunct/>
        <w:topLinePunct w:val="0"/>
        <w:autoSpaceDE/>
        <w:autoSpaceDN/>
        <w:bidi w:val="0"/>
        <w:adjustRightInd/>
        <w:snapToGrid/>
        <w:spacing w:before="0" w:after="0" w:line="560" w:lineRule="exact"/>
        <w:ind w:firstLine="720" w:firstLineChars="0"/>
        <w:jc w:val="both"/>
        <w:textAlignment w:val="auto"/>
        <w:rPr>
          <w:rFonts w:hint="eastAsia" w:ascii="仿宋_GB2312" w:hAnsi="仿宋" w:eastAsia="仿宋_GB2312" w:cstheme="minorBidi"/>
          <w:bCs w:val="0"/>
          <w:color w:val="auto"/>
          <w:sz w:val="32"/>
          <w:szCs w:val="32"/>
          <w:lang w:eastAsia="zh-CN"/>
        </w:rPr>
      </w:pPr>
      <w:r>
        <w:rPr>
          <w:rFonts w:ascii="仿宋_GB2312" w:hAnsi="仿宋" w:eastAsia="仿宋_GB2312" w:cstheme="minorBidi"/>
          <w:bCs w:val="0"/>
          <w:color w:val="auto"/>
          <w:sz w:val="32"/>
          <w:szCs w:val="32"/>
          <w:lang w:eastAsia="zh-CN"/>
        </w:rPr>
        <w:t>（八）智慧高效，开创城市治理新模式</w:t>
      </w:r>
    </w:p>
    <w:p w14:paraId="104F4947">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1.加快智慧城市建设与智能新技术应用</w:t>
      </w:r>
    </w:p>
    <w:p w14:paraId="4CBAE88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加快智慧城市建设，提升城市运行治理能力。以智慧新城建设为抓手，完善城市运行数字化管理平台，统筹政务、社会和企业数据资源，推动数据依法依规共享利用。促进公安、交通、生态环境、市政设施等领域信息协同，加强人口流动、交通运行、环境质量和公共设施运行状态动态监测，提升城市运行态势感知、风险预警和辅助决策能力，推动城市治理更加精准高效。</w:t>
      </w:r>
    </w:p>
    <w:p w14:paraId="39788D2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推进智慧社区建设，提升公共服务便利化水平。完善社区问题发现、派单处置、结果反馈闭环机制，推动基层治理精细化。拓展智慧养老、便民服务等应用场景，促进线上线下服务融合，推动高频政务服务线上办理、就近办理，提升居民生活便利度和社区服务水平。</w:t>
      </w:r>
    </w:p>
    <w:p w14:paraId="60CD2687">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2.树立全周期管理意识夯实社会治理基础</w:t>
      </w:r>
    </w:p>
    <w:p w14:paraId="394BFCC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树立全周期管理理念，推动城市治理由被动响应向主动治理转变。完善问题发现、分析研判、任务派发、协同处置、结果反馈和跟踪评估的闭环管理机制，推动城市治理从事后处置向源头治理、主动治理转变。依托数字平台和基层治理数据，加强诉求分析和趋势研判，精准识别高频问题和治理薄弱环节，统筹推进专项整治和服务优化，提升城市治理精准化、精细化水平。</w:t>
      </w:r>
    </w:p>
    <w:p w14:paraId="332E5D07">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完善基层共建共治机制，提升社会参与和服务效能。健全群众意见收集、办理、反馈机制，推动居民、社会组织和市场主体参与社区事务协商和城市治理。加强跨部门协同，推动解决跨领域、跨层级治理问题，促进“接诉即办”向“未诉先办”延伸，持续提升基层治理能力和群众获得感。</w:t>
      </w:r>
    </w:p>
    <w:p w14:paraId="14B3A87E">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ascii="仿宋_GB2312" w:hAnsi="Times New Roman" w:eastAsia="仿宋_GB2312" w:cs="仿宋_GB2312"/>
          <w:b/>
          <w:bCs/>
          <w:kern w:val="2"/>
          <w:sz w:val="32"/>
          <w:szCs w:val="32"/>
          <w:lang w:eastAsia="zh-CN"/>
        </w:rPr>
        <w:t>3.夯实网格化城市管理服务基础</w:t>
      </w:r>
    </w:p>
    <w:p w14:paraId="4B53A02C">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完善党建引领基层治理体系，提升城市治理精细化水平。坚持党建引领基层治理，完善网格化治理体系，推动治理力量、服务资源和管理事项向基层延伸。强化街道与区级职能部门协同联动，健全横向协同、纵向贯通的基层治理机制，提升城市管理和公共服务精准化水平，形成职责清晰、响应高效的基层治理体系。</w:t>
      </w:r>
    </w:p>
    <w:p w14:paraId="62348CE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ascii="仿宋_GB2312" w:hAnsi="Times New Roman" w:eastAsia="仿宋_GB2312" w:cs="仿宋_GB2312"/>
          <w:kern w:val="2"/>
          <w:sz w:val="32"/>
          <w:szCs w:val="32"/>
          <w:lang w:eastAsia="zh-CN"/>
        </w:rPr>
        <w:t>深化协商治理实践，推动形成共建共治共享格局。健全社区协商议事、居民议事听证和民意征集反馈机制，畅通群众参与基层治理渠道，及时回应群众诉求。总结推广“昌盛小街”等协商治理实践，推动居民、社区和相关主体共同参与社区事务管理，促进城市管理、公共服务与社区治理有机衔接，不断提升基层治理效能和群众获得感。</w:t>
      </w:r>
    </w:p>
    <w:p w14:paraId="150D65DD">
      <w:pPr>
        <w:pageBreakBefore w:val="0"/>
        <w:widowControl w:val="0"/>
        <w:kinsoku/>
        <w:wordWrap/>
        <w:overflowPunct/>
        <w:topLinePunct w:val="0"/>
        <w:autoSpaceDE/>
        <w:autoSpaceDN/>
        <w:bidi w:val="0"/>
        <w:adjustRightInd/>
        <w:snapToGrid/>
        <w:spacing w:after="0" w:line="560" w:lineRule="exact"/>
        <w:ind w:firstLine="720" w:firstLineChars="0"/>
        <w:jc w:val="both"/>
        <w:textAlignment w:val="auto"/>
        <w:outlineLvl w:val="1"/>
        <w:rPr>
          <w:rFonts w:hint="eastAsia" w:ascii="黑体" w:hAnsi="黑体" w:eastAsia="黑体"/>
          <w:kern w:val="2"/>
          <w:sz w:val="32"/>
          <w:szCs w:val="32"/>
          <w:lang w:eastAsia="zh-CN"/>
        </w:rPr>
      </w:pPr>
      <w:r>
        <w:rPr>
          <w:rFonts w:ascii="黑体" w:hAnsi="黑体" w:eastAsia="黑体"/>
          <w:kern w:val="2"/>
          <w:sz w:val="32"/>
          <w:szCs w:val="32"/>
          <w:lang w:eastAsia="zh-CN"/>
        </w:rPr>
        <w:t>三、规划实施保障</w:t>
      </w:r>
    </w:p>
    <w:p w14:paraId="3E0985C2">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hint="eastAsia" w:ascii="仿宋_GB2312" w:hAnsi="Times New Roman" w:eastAsia="仿宋_GB2312" w:cs="仿宋_GB2312"/>
          <w:b/>
          <w:bCs/>
          <w:kern w:val="2"/>
          <w:sz w:val="32"/>
          <w:szCs w:val="32"/>
          <w:lang w:eastAsia="zh-CN"/>
        </w:rPr>
        <w:t>1</w:t>
      </w:r>
      <w:r>
        <w:rPr>
          <w:rFonts w:ascii="仿宋_GB2312" w:hAnsi="Times New Roman" w:eastAsia="仿宋_GB2312" w:cs="仿宋_GB2312"/>
          <w:b/>
          <w:bCs/>
          <w:kern w:val="2"/>
          <w:sz w:val="32"/>
          <w:szCs w:val="32"/>
          <w:lang w:eastAsia="zh-CN"/>
        </w:rPr>
        <w:t>.组织保障</w:t>
      </w:r>
    </w:p>
    <w:p w14:paraId="0E5D3F58">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坚持党对规划实施的全面领导，强化新城建设发展的组织统筹和协调推进，建立健全规划实施机制，协调解决功能承接、产业升级、生态保护等重点问题。压实主体责任，围绕空间布局、产业发展、公共服务、基础设施等重点任务，建立任务清单，明确责任单位和实施要求，完善部门联动、属地落实工作机制。加强重大项目统筹和要素保障，推动规划实施与年度工作安排、重点建设项目协同衔接，确保各项任务有序推进、取得实效。</w:t>
      </w:r>
    </w:p>
    <w:p w14:paraId="2A53BA9C">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仿宋_GB2312"/>
          <w:b/>
          <w:bCs/>
          <w:kern w:val="2"/>
          <w:sz w:val="32"/>
          <w:szCs w:val="32"/>
          <w:lang w:eastAsia="zh-CN"/>
        </w:rPr>
      </w:pPr>
      <w:r>
        <w:rPr>
          <w:rFonts w:hint="eastAsia" w:ascii="仿宋_GB2312" w:hAnsi="Times New Roman" w:eastAsia="仿宋_GB2312" w:cs="仿宋_GB2312"/>
          <w:b/>
          <w:bCs/>
          <w:kern w:val="2"/>
          <w:sz w:val="32"/>
          <w:szCs w:val="32"/>
          <w:lang w:eastAsia="zh-CN"/>
        </w:rPr>
        <w:t>2</w:t>
      </w:r>
      <w:r>
        <w:rPr>
          <w:rFonts w:ascii="仿宋_GB2312" w:hAnsi="Times New Roman" w:eastAsia="仿宋_GB2312" w:cs="仿宋_GB2312"/>
          <w:b/>
          <w:bCs/>
          <w:kern w:val="2"/>
          <w:sz w:val="32"/>
          <w:szCs w:val="32"/>
          <w:lang w:eastAsia="zh-CN"/>
        </w:rPr>
        <w:t>.规划实施</w:t>
      </w:r>
    </w:p>
    <w:p w14:paraId="23B633F6">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仿宋_GB2312"/>
          <w:kern w:val="2"/>
          <w:sz w:val="32"/>
          <w:szCs w:val="32"/>
          <w:lang w:eastAsia="zh-CN"/>
        </w:rPr>
      </w:pPr>
      <w:r>
        <w:rPr>
          <w:rFonts w:hint="eastAsia" w:ascii="仿宋_GB2312" w:hAnsi="Times New Roman" w:eastAsia="仿宋_GB2312" w:cs="仿宋_GB2312"/>
          <w:kern w:val="2"/>
          <w:sz w:val="32"/>
          <w:szCs w:val="32"/>
          <w:lang w:eastAsia="zh-CN"/>
        </w:rPr>
        <w:t>强化本规划与昌平区“十五五”规划以及平原新城高质量发展实施方案等相关规划的衔接，强化规划传导和刚性管控，统筹存量空间盘活与增量空间优化，推动规划目标、空间布局和建设时序协调统一。围绕主导产业和重点功能组团，统筹推进重大项目、重点工程实施，促进资源要素高效配置。建立规划实施监测评估和动态调整机制，及时跟踪重点任务推进、目标完成、空间资源利用和公共服务提升情况，根据实施过程中的新形势、新需求优化工作举措。加强规划宣传和信息公开，主动接受社会监督，鼓励社会各界参与规划实施，共同推动昌平新城高质量发展。</w:t>
      </w:r>
    </w:p>
    <w:sectPr>
      <w:footerReference r:id="rId5" w:type="default"/>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仿宋_GB2312"/>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2B4C4">
    <w:pPr>
      <w:pStyle w:val="25"/>
      <w:jc w:val="center"/>
      <w:rPr>
        <w:rFonts w:hint="eastAsia"/>
      </w:rP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20"/>
  <w:drawingGridVerticalSpacing w:val="163"/>
  <w:displayHorizontalDrawingGridEvery w:val="2"/>
  <w:displayVertic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4A9E"/>
    <w:rsid w:val="0015074B"/>
    <w:rsid w:val="0029639D"/>
    <w:rsid w:val="00326F90"/>
    <w:rsid w:val="003721E6"/>
    <w:rsid w:val="003740B1"/>
    <w:rsid w:val="004E2D44"/>
    <w:rsid w:val="00602F1C"/>
    <w:rsid w:val="00643060"/>
    <w:rsid w:val="0072752A"/>
    <w:rsid w:val="0074376B"/>
    <w:rsid w:val="007552E2"/>
    <w:rsid w:val="007969BD"/>
    <w:rsid w:val="00876DFE"/>
    <w:rsid w:val="00931F3B"/>
    <w:rsid w:val="00957D83"/>
    <w:rsid w:val="00AA1D8D"/>
    <w:rsid w:val="00B47730"/>
    <w:rsid w:val="00B5077C"/>
    <w:rsid w:val="00B87B5D"/>
    <w:rsid w:val="00C14C29"/>
    <w:rsid w:val="00C60ACE"/>
    <w:rsid w:val="00C6388B"/>
    <w:rsid w:val="00CB0664"/>
    <w:rsid w:val="00CC2392"/>
    <w:rsid w:val="00EA2141"/>
    <w:rsid w:val="00EA7CF7"/>
    <w:rsid w:val="00FB32A1"/>
    <w:rsid w:val="00FC693F"/>
    <w:rsid w:val="302C23F4"/>
    <w:rsid w:val="5FFE4128"/>
    <w:rsid w:val="688555B6"/>
    <w:rsid w:val="69266F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40" w:line="360" w:lineRule="auto"/>
    </w:pPr>
    <w:rPr>
      <w:rFonts w:ascii="仿宋" w:hAnsi="仿宋" w:eastAsia="仿宋" w:cstheme="minorBidi"/>
      <w:sz w:val="24"/>
      <w:szCs w:val="22"/>
      <w:lang w:val="en-US" w:eastAsia="en-US" w:bidi="ar-SA"/>
    </w:rPr>
  </w:style>
  <w:style w:type="paragraph" w:styleId="5">
    <w:name w:val="heading 1"/>
    <w:basedOn w:val="1"/>
    <w:next w:val="1"/>
    <w:link w:val="139"/>
    <w:qFormat/>
    <w:uiPriority w:val="9"/>
    <w:pPr>
      <w:keepNext/>
      <w:keepLines/>
      <w:spacing w:before="200" w:after="120"/>
      <w:outlineLvl w:val="0"/>
    </w:pPr>
    <w:rPr>
      <w:rFonts w:asciiTheme="majorHAnsi" w:hAnsiTheme="majorHAnsi" w:eastAsiaTheme="majorEastAsia" w:cstheme="majorBidi"/>
      <w:bCs/>
      <w:color w:val="376092" w:themeColor="accent1" w:themeShade="BF"/>
      <w:sz w:val="32"/>
      <w:szCs w:val="28"/>
    </w:rPr>
  </w:style>
  <w:style w:type="paragraph" w:styleId="6">
    <w:name w:val="heading 2"/>
    <w:basedOn w:val="1"/>
    <w:next w:val="1"/>
    <w:link w:val="140"/>
    <w:unhideWhenUsed/>
    <w:qFormat/>
    <w:uiPriority w:val="9"/>
    <w:pPr>
      <w:keepNext/>
      <w:keepLines/>
      <w:spacing w:before="200" w:after="120"/>
      <w:outlineLvl w:val="1"/>
    </w:pPr>
    <w:rPr>
      <w:rFonts w:asciiTheme="majorHAnsi" w:hAnsiTheme="majorHAnsi" w:eastAsiaTheme="majorEastAsia" w:cstheme="majorBidi"/>
      <w:bCs/>
      <w:color w:val="4F81BD" w:themeColor="accent1"/>
      <w:sz w:val="28"/>
      <w:szCs w:val="26"/>
      <w14:textFill>
        <w14:solidFill>
          <w14:schemeClr w14:val="accent1"/>
        </w14:solidFill>
      </w14:textFill>
    </w:rPr>
  </w:style>
  <w:style w:type="paragraph" w:styleId="7">
    <w:name w:val="heading 3"/>
    <w:basedOn w:val="1"/>
    <w:next w:val="1"/>
    <w:link w:val="141"/>
    <w:unhideWhenUsed/>
    <w:qFormat/>
    <w:uiPriority w:val="9"/>
    <w:pPr>
      <w:keepNext/>
      <w:keepLines/>
      <w:spacing w:before="200" w:after="12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45"/>
    <w:unhideWhenUsed/>
    <w:qFormat/>
    <w:uiPriority w:val="99"/>
    <w:pPr>
      <w:spacing w:after="120"/>
    </w:pPr>
  </w:style>
  <w:style w:type="paragraph" w:customStyle="1" w:styleId="3">
    <w:name w:val="toc 11"/>
    <w:next w:val="1"/>
    <w:qFormat/>
    <w:uiPriority w:val="0"/>
    <w:pPr>
      <w:wordWrap w:val="0"/>
      <w:jc w:val="both"/>
    </w:pPr>
    <w:rPr>
      <w:rFonts w:asciiTheme="minorHAnsi" w:hAnsiTheme="minorHAnsi" w:eastAsiaTheme="minorEastAsia" w:cstheme="minorBidi"/>
      <w:sz w:val="21"/>
      <w:szCs w:val="22"/>
      <w:lang w:val="en-US" w:eastAsia="zh-CN" w:bidi="ar-SA"/>
    </w:rPr>
  </w:style>
  <w:style w:type="paragraph" w:styleId="4">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47"/>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120" w:line="240" w:lineRule="auto"/>
      <w:contextualSpacing/>
    </w:pPr>
    <w:rPr>
      <w:rFonts w:asciiTheme="majorHAnsi" w:hAnsiTheme="majorHAnsi" w:eastAsiaTheme="majorEastAsia" w:cstheme="majorBidi"/>
      <w:color w:val="17375E" w:themeColor="text2" w:themeShade="BF"/>
      <w:spacing w:val="5"/>
      <w:kern w:val="28"/>
      <w:sz w:val="44"/>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0"/>
    <w:rPr>
      <w:b/>
      <w:bCs/>
    </w:rPr>
  </w:style>
  <w:style w:type="character" w:styleId="135">
    <w:name w:val="Emphasis"/>
    <w:basedOn w:val="133"/>
    <w:qFormat/>
    <w:uiPriority w:val="20"/>
    <w:rPr>
      <w:i/>
      <w:iCs/>
    </w:rPr>
  </w:style>
  <w:style w:type="character" w:customStyle="1" w:styleId="136">
    <w:name w:val="页眉 字符"/>
    <w:basedOn w:val="133"/>
    <w:link w:val="26"/>
    <w:qFormat/>
    <w:uiPriority w:val="99"/>
  </w:style>
  <w:style w:type="character" w:customStyle="1" w:styleId="137">
    <w:name w:val="页脚 字符"/>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标题 1 字符"/>
    <w:basedOn w:val="133"/>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标题 2 字符"/>
    <w:basedOn w:val="133"/>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标题 3 字符"/>
    <w:basedOn w:val="133"/>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标题 字符"/>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副标题 字符"/>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正文文本 字符"/>
    <w:basedOn w:val="133"/>
    <w:link w:val="2"/>
    <w:qFormat/>
    <w:uiPriority w:val="99"/>
  </w:style>
  <w:style w:type="character" w:customStyle="1" w:styleId="146">
    <w:name w:val="正文文本 2 字符"/>
    <w:basedOn w:val="133"/>
    <w:link w:val="29"/>
    <w:qFormat/>
    <w:uiPriority w:val="99"/>
  </w:style>
  <w:style w:type="character" w:customStyle="1" w:styleId="147">
    <w:name w:val="正文文本 3 字符"/>
    <w:basedOn w:val="133"/>
    <w:link w:val="19"/>
    <w:qFormat/>
    <w:uiPriority w:val="99"/>
    <w:rPr>
      <w:sz w:val="16"/>
      <w:szCs w:val="16"/>
    </w:rPr>
  </w:style>
  <w:style w:type="character" w:customStyle="1" w:styleId="148">
    <w:name w:val="宏文本 字符"/>
    <w:basedOn w:val="133"/>
    <w:link w:val="4"/>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引用 字符"/>
    <w:basedOn w:val="133"/>
    <w:link w:val="149"/>
    <w:qFormat/>
    <w:uiPriority w:val="29"/>
    <w:rPr>
      <w:i/>
      <w:iCs/>
      <w:color w:val="000000" w:themeColor="text1"/>
      <w14:textFill>
        <w14:solidFill>
          <w14:schemeClr w14:val="tx1"/>
        </w14:solidFill>
      </w14:textFill>
    </w:rPr>
  </w:style>
  <w:style w:type="character" w:customStyle="1" w:styleId="151">
    <w:name w:val="标题 4 字符"/>
    <w:basedOn w:val="133"/>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标题 5 字符"/>
    <w:basedOn w:val="133"/>
    <w:link w:val="9"/>
    <w:semiHidden/>
    <w:qFormat/>
    <w:uiPriority w:val="9"/>
    <w:rPr>
      <w:rFonts w:asciiTheme="majorHAnsi" w:hAnsiTheme="majorHAnsi" w:eastAsiaTheme="majorEastAsia" w:cstheme="majorBidi"/>
      <w:color w:val="254061" w:themeColor="accent1" w:themeShade="80"/>
    </w:rPr>
  </w:style>
  <w:style w:type="character" w:customStyle="1" w:styleId="153">
    <w:name w:val="标题 6 字符"/>
    <w:basedOn w:val="133"/>
    <w:link w:val="10"/>
    <w:semiHidden/>
    <w:qFormat/>
    <w:uiPriority w:val="9"/>
    <w:rPr>
      <w:rFonts w:asciiTheme="majorHAnsi" w:hAnsiTheme="majorHAnsi" w:eastAsiaTheme="majorEastAsia" w:cstheme="majorBidi"/>
      <w:i/>
      <w:iCs/>
      <w:color w:val="254061" w:themeColor="accent1" w:themeShade="80"/>
    </w:rPr>
  </w:style>
  <w:style w:type="character" w:customStyle="1" w:styleId="154">
    <w:name w:val="标题 7 字符"/>
    <w:basedOn w:val="133"/>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标题 8 字符"/>
    <w:basedOn w:val="133"/>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标题 9 字符"/>
    <w:basedOn w:val="133"/>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明显引用 字符"/>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5"/>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1111</Words>
  <Characters>1120</Characters>
  <Lines>305</Lines>
  <Paragraphs>242</Paragraphs>
  <TotalTime>6</TotalTime>
  <ScaleCrop>false</ScaleCrop>
  <LinksUpToDate>false</LinksUpToDate>
  <CharactersWithSpaces>1120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2026-10-14T11:07:00Z</dcterms:created>
  <dc:creator>python-docx</dc:creator>
  <dc:description>generated by python-docx</dc:description>
  <cp:lastModifiedBy>纪沐之</cp:lastModifiedBy>
  <cp:lastPrinted>2026-10-13T15:37:00Z</cp:lastPrinted>
  <dcterms:modified xsi:type="dcterms:W3CDTF">2026-10-21T01:43:14Z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eyJoZGlkIjoiZTIzNTgzMjIwNTcwYThiMDdhOGUzMGRjZDMzN2Y2MjkiLCJ1c2VySWQiOiI3MjgwNjYzOTEifQ==</vt:lpwstr>
  </property>
  <property fmtid="{D5CDD505-2E9C-101B-9397-08002B2CF9AE}" pid="3" name="KSOProductBuildVer">
    <vt:lpwstr>2052-12.1.0.29161</vt:lpwstr>
  </property>
  <property fmtid="{D5CDD505-2E9C-101B-9397-08002B2CF9AE}" pid="4" name="ICV">
    <vt:lpwstr>A1CEE69DC5734A4999865FAF5326619E_13</vt:lpwstr>
  </property>
</Properties>
</file>