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CCE9E">
      <w:pPr>
        <w:wordWrap w:val="0"/>
        <w:adjustRightInd w:val="0"/>
        <w:snapToGrid w:val="0"/>
        <w:spacing w:line="240" w:lineRule="auto"/>
        <w:ind w:firstLine="0" w:firstLineChars="0"/>
        <w:jc w:val="center"/>
        <w:outlineLvl w:val="0"/>
        <w:rPr>
          <w:rFonts w:hint="eastAsia" w:ascii="方正小标宋简体" w:hAnsi="Arial Unicode MS" w:eastAsia="方正小标宋简体" w:cs="Arial Unicode MS"/>
          <w:bCs/>
          <w:kern w:val="2"/>
          <w:sz w:val="56"/>
          <w:szCs w:val="32"/>
        </w:rPr>
      </w:pPr>
      <w:bookmarkStart w:id="12" w:name="_GoBack"/>
      <w:bookmarkEnd w:id="12"/>
      <w:r>
        <w:rPr>
          <w:rFonts w:hint="eastAsia" w:ascii="方正小标宋简体" w:hAnsi="Arial Unicode MS" w:eastAsia="方正小标宋简体" w:cs="Arial Unicode MS"/>
          <w:bCs/>
          <w:kern w:val="2"/>
          <w:sz w:val="56"/>
          <w:szCs w:val="32"/>
        </w:rPr>
        <w:t>丰台区“十五五”时期</w:t>
      </w:r>
    </w:p>
    <w:p w14:paraId="73AF5EBC">
      <w:pPr>
        <w:wordWrap w:val="0"/>
        <w:adjustRightInd w:val="0"/>
        <w:snapToGrid w:val="0"/>
        <w:spacing w:line="240" w:lineRule="auto"/>
        <w:ind w:firstLine="0" w:firstLineChars="0"/>
        <w:jc w:val="center"/>
        <w:outlineLvl w:val="0"/>
        <w:rPr>
          <w:rFonts w:hint="eastAsia" w:ascii="方正小标宋简体" w:hAnsi="Arial Unicode MS" w:eastAsia="方正小标宋简体" w:cs="Arial Unicode MS"/>
          <w:bCs/>
          <w:kern w:val="2"/>
          <w:sz w:val="56"/>
          <w:szCs w:val="32"/>
        </w:rPr>
      </w:pPr>
      <w:r>
        <w:rPr>
          <w:rFonts w:hint="eastAsia" w:ascii="方正小标宋简体" w:hAnsi="Arial Unicode MS" w:eastAsia="方正小标宋简体" w:cs="Arial Unicode MS"/>
          <w:bCs/>
          <w:kern w:val="2"/>
          <w:sz w:val="56"/>
          <w:szCs w:val="32"/>
        </w:rPr>
        <w:t>消防事业发展规划</w:t>
      </w:r>
    </w:p>
    <w:p w14:paraId="29D23C3F">
      <w:pPr>
        <w:ind w:firstLine="640"/>
        <w:rPr>
          <w:rFonts w:hint="eastAsia"/>
          <w:sz w:val="32"/>
          <w:szCs w:val="32"/>
        </w:rPr>
      </w:pPr>
    </w:p>
    <w:p w14:paraId="015E10BC">
      <w:pPr>
        <w:ind w:firstLine="640"/>
        <w:jc w:val="both"/>
        <w:rPr>
          <w:rFonts w:hint="eastAsia"/>
          <w:sz w:val="32"/>
          <w:szCs w:val="32"/>
        </w:rPr>
      </w:pPr>
      <w:r>
        <w:rPr>
          <w:rFonts w:hint="eastAsia"/>
          <w:sz w:val="32"/>
          <w:szCs w:val="32"/>
        </w:rPr>
        <w:t>为</w:t>
      </w:r>
      <w:r>
        <w:rPr>
          <w:sz w:val="32"/>
          <w:szCs w:val="32"/>
        </w:rPr>
        <w:t>深入推动消防救援转型升级，全力防范化解重大消防安全风险，有效应对处置各类灾害事故，加快推进消防安全治理体系和治理能力现代化</w:t>
      </w:r>
      <w:r>
        <w:rPr>
          <w:rFonts w:hint="eastAsia"/>
          <w:sz w:val="32"/>
          <w:szCs w:val="32"/>
        </w:rPr>
        <w:t>，根据</w:t>
      </w:r>
      <w:r>
        <w:rPr>
          <w:sz w:val="32"/>
          <w:szCs w:val="32"/>
        </w:rPr>
        <w:t>《北京市丰台区国民经济和社会发展第十</w:t>
      </w:r>
      <w:r>
        <w:rPr>
          <w:rFonts w:hint="eastAsia"/>
          <w:sz w:val="32"/>
          <w:szCs w:val="32"/>
        </w:rPr>
        <w:t>五</w:t>
      </w:r>
      <w:r>
        <w:rPr>
          <w:sz w:val="32"/>
          <w:szCs w:val="32"/>
        </w:rPr>
        <w:t>个五年规划和二</w:t>
      </w:r>
      <w:r>
        <w:rPr>
          <w:rFonts w:hint="eastAsia" w:ascii="微软雅黑" w:hAnsi="微软雅黑" w:eastAsia="微软雅黑" w:cs="微软雅黑"/>
          <w:sz w:val="32"/>
          <w:szCs w:val="32"/>
        </w:rPr>
        <w:t>〇</w:t>
      </w:r>
      <w:r>
        <w:rPr>
          <w:sz w:val="32"/>
          <w:szCs w:val="32"/>
        </w:rPr>
        <w:t>三五年远景目标纲要》《北京城市消防规划（2016年-2035年）》和《北京市</w:t>
      </w:r>
      <w:r>
        <w:rPr>
          <w:rFonts w:hint="eastAsia"/>
          <w:sz w:val="32"/>
          <w:szCs w:val="32"/>
        </w:rPr>
        <w:t>“</w:t>
      </w:r>
      <w:r>
        <w:rPr>
          <w:sz w:val="32"/>
          <w:szCs w:val="32"/>
        </w:rPr>
        <w:t>十</w:t>
      </w:r>
      <w:r>
        <w:rPr>
          <w:rFonts w:hint="eastAsia"/>
          <w:sz w:val="32"/>
          <w:szCs w:val="32"/>
        </w:rPr>
        <w:t>五</w:t>
      </w:r>
      <w:r>
        <w:rPr>
          <w:sz w:val="32"/>
          <w:szCs w:val="32"/>
        </w:rPr>
        <w:t>五</w:t>
      </w:r>
      <w:r>
        <w:rPr>
          <w:rFonts w:hint="eastAsia"/>
          <w:sz w:val="32"/>
          <w:szCs w:val="32"/>
        </w:rPr>
        <w:t>”</w:t>
      </w:r>
      <w:r>
        <w:rPr>
          <w:sz w:val="32"/>
          <w:szCs w:val="32"/>
        </w:rPr>
        <w:t>时期消防事业发展规划》</w:t>
      </w:r>
      <w:r>
        <w:rPr>
          <w:rFonts w:hint="eastAsia"/>
          <w:sz w:val="32"/>
          <w:szCs w:val="32"/>
        </w:rPr>
        <w:t>,制定本规划。</w:t>
      </w:r>
    </w:p>
    <w:p w14:paraId="10B4B997">
      <w:pPr>
        <w:ind w:firstLine="643"/>
        <w:jc w:val="both"/>
        <w:rPr>
          <w:rFonts w:hint="eastAsia" w:ascii="黑体" w:hAnsi="黑体" w:eastAsia="黑体"/>
          <w:b/>
          <w:bCs/>
          <w:sz w:val="32"/>
          <w:szCs w:val="32"/>
        </w:rPr>
      </w:pPr>
      <w:r>
        <w:rPr>
          <w:rFonts w:hint="eastAsia" w:ascii="黑体" w:hAnsi="黑体" w:eastAsia="黑体"/>
          <w:b/>
          <w:bCs/>
          <w:sz w:val="32"/>
          <w:szCs w:val="32"/>
        </w:rPr>
        <w:t>一、规划背景</w:t>
      </w:r>
    </w:p>
    <w:p w14:paraId="00409FAA">
      <w:pPr>
        <w:spacing w:after="156" w:afterLines="50"/>
        <w:ind w:firstLine="640"/>
        <w:jc w:val="both"/>
        <w:rPr>
          <w:rFonts w:hint="eastAsia"/>
          <w:sz w:val="32"/>
          <w:szCs w:val="32"/>
        </w:rPr>
      </w:pPr>
      <w:r>
        <w:rPr>
          <w:sz w:val="32"/>
          <w:szCs w:val="32"/>
        </w:rPr>
        <w:t>“十四五”时期</w:t>
      </w:r>
      <w:r>
        <w:rPr>
          <w:rFonts w:hint="eastAsia"/>
          <w:sz w:val="32"/>
          <w:szCs w:val="32"/>
        </w:rPr>
        <w:t>，</w:t>
      </w:r>
      <w:r>
        <w:rPr>
          <w:sz w:val="32"/>
          <w:szCs w:val="32"/>
        </w:rPr>
        <w:t>丰台区积极构建</w:t>
      </w:r>
      <w:r>
        <w:rPr>
          <w:rFonts w:hint="eastAsia"/>
          <w:sz w:val="32"/>
          <w:szCs w:val="32"/>
        </w:rPr>
        <w:t>“</w:t>
      </w:r>
      <w:r>
        <w:rPr>
          <w:sz w:val="32"/>
          <w:szCs w:val="32"/>
        </w:rPr>
        <w:t>政府统一领导</w:t>
      </w:r>
      <w:r>
        <w:rPr>
          <w:rFonts w:hint="eastAsia"/>
          <w:sz w:val="32"/>
          <w:szCs w:val="32"/>
        </w:rPr>
        <w:t>、</w:t>
      </w:r>
      <w:r>
        <w:rPr>
          <w:sz w:val="32"/>
          <w:szCs w:val="32"/>
        </w:rPr>
        <w:t>部门依法监管</w:t>
      </w:r>
      <w:r>
        <w:rPr>
          <w:rFonts w:hint="eastAsia"/>
          <w:sz w:val="32"/>
          <w:szCs w:val="32"/>
        </w:rPr>
        <w:t>、</w:t>
      </w:r>
      <w:r>
        <w:rPr>
          <w:sz w:val="32"/>
          <w:szCs w:val="32"/>
        </w:rPr>
        <w:t>单位全面负责</w:t>
      </w:r>
      <w:r>
        <w:rPr>
          <w:rFonts w:hint="eastAsia"/>
          <w:sz w:val="32"/>
          <w:szCs w:val="32"/>
        </w:rPr>
        <w:t>、</w:t>
      </w:r>
      <w:r>
        <w:rPr>
          <w:sz w:val="32"/>
          <w:szCs w:val="32"/>
        </w:rPr>
        <w:t>公民积极参与</w:t>
      </w:r>
      <w:r>
        <w:rPr>
          <w:rFonts w:hint="eastAsia"/>
          <w:sz w:val="32"/>
          <w:szCs w:val="32"/>
        </w:rPr>
        <w:t>”</w:t>
      </w:r>
      <w:r>
        <w:rPr>
          <w:sz w:val="32"/>
          <w:szCs w:val="32"/>
        </w:rPr>
        <w:t>的消防工作格局</w:t>
      </w:r>
      <w:r>
        <w:rPr>
          <w:rFonts w:hint="eastAsia"/>
          <w:sz w:val="32"/>
          <w:szCs w:val="32"/>
        </w:rPr>
        <w:t>，</w:t>
      </w:r>
      <w:r>
        <w:rPr>
          <w:sz w:val="32"/>
          <w:szCs w:val="32"/>
        </w:rPr>
        <w:t>加快推进消防安全治理体系和治理能力现代化。全力防范化解重大消防安全风险</w:t>
      </w:r>
      <w:r>
        <w:rPr>
          <w:rFonts w:hint="eastAsia"/>
          <w:sz w:val="32"/>
          <w:szCs w:val="32"/>
        </w:rPr>
        <w:t>，对</w:t>
      </w:r>
      <w:r>
        <w:rPr>
          <w:sz w:val="32"/>
          <w:szCs w:val="32"/>
        </w:rPr>
        <w:t>15</w:t>
      </w:r>
      <w:r>
        <w:rPr>
          <w:rFonts w:hint="eastAsia"/>
          <w:sz w:val="32"/>
          <w:szCs w:val="32"/>
        </w:rPr>
        <w:t>类高风险场所实施清单化、闭环式严管严控，加强对村民自建房“双通道”、电动自行车违规充电等高频隐患的专项治理。</w:t>
      </w:r>
      <w:r>
        <w:rPr>
          <w:sz w:val="32"/>
          <w:szCs w:val="32"/>
        </w:rPr>
        <w:t>深入推动消防救援转型升级</w:t>
      </w:r>
      <w:r>
        <w:rPr>
          <w:rFonts w:hint="eastAsia"/>
          <w:sz w:val="32"/>
          <w:szCs w:val="32"/>
        </w:rPr>
        <w:t>，国家综合性消防救援队伍消防员达到满编，专职消防员最高达620人，微型消防站</w:t>
      </w:r>
      <w:r>
        <w:rPr>
          <w:sz w:val="32"/>
          <w:szCs w:val="32"/>
        </w:rPr>
        <w:t>1205个</w:t>
      </w:r>
      <w:r>
        <w:rPr>
          <w:rFonts w:hint="eastAsia"/>
          <w:sz w:val="32"/>
          <w:szCs w:val="32"/>
        </w:rPr>
        <w:t>，构建专业化救援队30支，并建立了“消防</w:t>
      </w:r>
      <w:r>
        <w:rPr>
          <w:sz w:val="32"/>
          <w:szCs w:val="32"/>
        </w:rPr>
        <w:t>+环卫</w:t>
      </w:r>
      <w:r>
        <w:rPr>
          <w:rFonts w:hint="eastAsia"/>
          <w:sz w:val="32"/>
          <w:szCs w:val="32"/>
        </w:rPr>
        <w:t>”</w:t>
      </w:r>
      <w:r>
        <w:rPr>
          <w:sz w:val="32"/>
          <w:szCs w:val="32"/>
        </w:rPr>
        <w:t>灭火救援联勤联动工作机制</w:t>
      </w:r>
      <w:r>
        <w:rPr>
          <w:rFonts w:hint="eastAsia"/>
          <w:sz w:val="32"/>
          <w:szCs w:val="32"/>
        </w:rPr>
        <w:t>。全面完善</w:t>
      </w:r>
      <w:r>
        <w:rPr>
          <w:sz w:val="32"/>
          <w:szCs w:val="32"/>
        </w:rPr>
        <w:t>公共消防基础设施</w:t>
      </w:r>
      <w:r>
        <w:rPr>
          <w:rFonts w:hint="eastAsia"/>
          <w:sz w:val="32"/>
          <w:szCs w:val="32"/>
        </w:rPr>
        <w:t>，结合街区层面控制性详细规划编制全覆盖工作优化了全区消防队站体系规划布局，新建消防站2座、</w:t>
      </w:r>
      <w:r>
        <w:rPr>
          <w:sz w:val="32"/>
          <w:szCs w:val="32"/>
        </w:rPr>
        <w:t>消火栓500座</w:t>
      </w:r>
      <w:r>
        <w:rPr>
          <w:rFonts w:hint="eastAsia"/>
          <w:sz w:val="32"/>
          <w:szCs w:val="32"/>
        </w:rPr>
        <w:t>、</w:t>
      </w:r>
      <w:r>
        <w:rPr>
          <w:sz w:val="32"/>
          <w:szCs w:val="32"/>
        </w:rPr>
        <w:t>消防水鹤5座</w:t>
      </w:r>
      <w:r>
        <w:rPr>
          <w:rFonts w:hint="eastAsia"/>
          <w:sz w:val="32"/>
          <w:szCs w:val="32"/>
        </w:rPr>
        <w:t>，</w:t>
      </w:r>
      <w:r>
        <w:rPr>
          <w:sz w:val="32"/>
          <w:szCs w:val="32"/>
        </w:rPr>
        <w:t>取水码头</w:t>
      </w:r>
      <w:r>
        <w:rPr>
          <w:rFonts w:hint="eastAsia"/>
          <w:sz w:val="32"/>
          <w:szCs w:val="32"/>
        </w:rPr>
        <w:t>2座，建设了统一的消防救援大数据库和“智慧消防”一张图系统，并建成27个消防科普基地，实现了全区多元化消防宣传载体“零的突破”。</w:t>
      </w:r>
      <w:r>
        <w:rPr>
          <w:sz w:val="32"/>
          <w:szCs w:val="32"/>
        </w:rPr>
        <w:t>消防</w:t>
      </w:r>
      <w:r>
        <w:rPr>
          <w:rFonts w:hint="eastAsia"/>
          <w:sz w:val="32"/>
          <w:szCs w:val="32"/>
        </w:rPr>
        <w:t>安全制度化建设进一步健全，严格执行“扫码检查”“无事不扰”白名单工作要求，积极实施非现场监管，</w:t>
      </w:r>
      <w:r>
        <w:rPr>
          <w:sz w:val="32"/>
          <w:szCs w:val="32"/>
        </w:rPr>
        <w:t>提升监管的精准度</w:t>
      </w:r>
      <w:r>
        <w:rPr>
          <w:rFonts w:hint="eastAsia"/>
          <w:sz w:val="32"/>
          <w:szCs w:val="32"/>
        </w:rPr>
        <w:t>，并制定印发《街道办事处、镇政府、地区管委消防工作联席会议制度（暂行）》，</w:t>
      </w:r>
      <w:r>
        <w:rPr>
          <w:sz w:val="32"/>
          <w:szCs w:val="32"/>
        </w:rPr>
        <w:t>消防安全责任制进一步落实</w:t>
      </w:r>
      <w:r>
        <w:rPr>
          <w:rFonts w:hint="eastAsia"/>
          <w:sz w:val="32"/>
          <w:szCs w:val="32"/>
        </w:rPr>
        <w:t>。然而，“</w:t>
      </w:r>
      <w:r>
        <w:rPr>
          <w:sz w:val="32"/>
          <w:szCs w:val="32"/>
        </w:rPr>
        <w:t>十</w:t>
      </w:r>
      <w:r>
        <w:rPr>
          <w:rFonts w:hint="eastAsia"/>
          <w:sz w:val="32"/>
          <w:szCs w:val="32"/>
        </w:rPr>
        <w:t>四</w:t>
      </w:r>
      <w:r>
        <w:rPr>
          <w:sz w:val="32"/>
          <w:szCs w:val="32"/>
        </w:rPr>
        <w:t>五</w:t>
      </w:r>
      <w:r>
        <w:rPr>
          <w:rFonts w:hint="eastAsia"/>
          <w:sz w:val="32"/>
          <w:szCs w:val="32"/>
        </w:rPr>
        <w:t>”</w:t>
      </w:r>
      <w:r>
        <w:rPr>
          <w:sz w:val="32"/>
          <w:szCs w:val="32"/>
        </w:rPr>
        <w:t>期间</w:t>
      </w:r>
      <w:r>
        <w:rPr>
          <w:rFonts w:hint="eastAsia"/>
          <w:sz w:val="32"/>
          <w:szCs w:val="32"/>
        </w:rPr>
        <w:t>长峰医院“</w:t>
      </w:r>
      <w:r>
        <w:rPr>
          <w:sz w:val="32"/>
          <w:szCs w:val="32"/>
        </w:rPr>
        <w:t>4·18</w:t>
      </w:r>
      <w:r>
        <w:rPr>
          <w:rFonts w:hint="eastAsia"/>
          <w:sz w:val="32"/>
          <w:szCs w:val="32"/>
        </w:rPr>
        <w:t>”重大火灾事故损失非常惨重，仍需深刻反思。</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96"/>
      </w:tblGrid>
      <w:tr w14:paraId="2CFF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trPr>
        <w:tc>
          <w:tcPr>
            <w:tcW w:w="5000" w:type="pct"/>
            <w:shd w:val="clear" w:color="auto" w:fill="D7D7D7" w:themeFill="background1" w:themeFillShade="D8"/>
            <w:vAlign w:val="center"/>
          </w:tcPr>
          <w:p w14:paraId="4A39F883">
            <w:pPr>
              <w:spacing w:line="240" w:lineRule="auto"/>
              <w:ind w:firstLine="0" w:firstLineChars="0"/>
              <w:jc w:val="center"/>
              <w:rPr>
                <w:rFonts w:hint="eastAsia" w:ascii="仿宋_GB2312" w:hAnsiTheme="minorHAnsi" w:cstheme="minorBidi"/>
                <w:b/>
                <w:bCs/>
                <w:snapToGrid/>
                <w:color w:val="auto"/>
                <w:kern w:val="2"/>
                <w:sz w:val="30"/>
                <w:szCs w:val="30"/>
                <w:lang w:eastAsia="zh-CN"/>
              </w:rPr>
            </w:pPr>
            <w:r>
              <w:rPr>
                <w:rFonts w:hint="eastAsia" w:ascii="仿宋_GB2312" w:hAnsiTheme="minorHAnsi" w:cstheme="minorBidi"/>
                <w:b/>
                <w:bCs/>
                <w:snapToGrid w:val="0"/>
                <w:color w:val="000000"/>
                <w:kern w:val="2"/>
                <w:sz w:val="30"/>
                <w:szCs w:val="30"/>
                <w:lang w:eastAsia="zh-CN"/>
              </w:rPr>
              <w:t xml:space="preserve">专栏1 </w:t>
            </w:r>
            <w:r>
              <w:rPr>
                <w:rFonts w:ascii="仿宋_GB2312" w:hAnsiTheme="minorHAnsi" w:cstheme="minorBidi"/>
                <w:b/>
                <w:bCs/>
                <w:snapToGrid w:val="0"/>
                <w:color w:val="000000"/>
                <w:kern w:val="2"/>
                <w:sz w:val="30"/>
                <w:szCs w:val="30"/>
                <w:lang w:eastAsia="zh-CN"/>
              </w:rPr>
              <w:t>北京丰台长峰医院“4·18”重大火灾事故回顾与警示</w:t>
            </w:r>
          </w:p>
        </w:tc>
      </w:tr>
      <w:tr w14:paraId="28E2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 w:hRule="atLeast"/>
        </w:trPr>
        <w:tc>
          <w:tcPr>
            <w:tcW w:w="5000" w:type="pct"/>
            <w:vAlign w:val="center"/>
          </w:tcPr>
          <w:p w14:paraId="65D73B40">
            <w:pPr>
              <w:spacing w:after="156" w:afterLines="50" w:line="440" w:lineRule="exact"/>
              <w:ind w:firstLine="0" w:firstLineChars="0"/>
              <w:jc w:val="both"/>
              <w:rPr>
                <w:rFonts w:hint="eastAsia" w:ascii="仿宋_GB2312" w:hAnsiTheme="minorHAnsi" w:cstheme="minorBidi"/>
                <w:b/>
                <w:bCs/>
                <w:snapToGrid/>
                <w:color w:val="auto"/>
                <w:kern w:val="2"/>
                <w:sz w:val="30"/>
                <w:szCs w:val="30"/>
                <w:lang w:eastAsia="zh-CN"/>
              </w:rPr>
            </w:pPr>
            <w:r>
              <w:rPr>
                <w:rFonts w:hint="eastAsia" w:ascii="仿宋_GB2312" w:hAnsiTheme="minorHAnsi" w:cstheme="minorBidi"/>
                <w:b/>
                <w:bCs/>
                <w:snapToGrid/>
                <w:color w:val="auto"/>
                <w:kern w:val="2"/>
                <w:sz w:val="30"/>
                <w:szCs w:val="30"/>
                <w:lang w:eastAsia="zh-CN"/>
              </w:rPr>
              <w:t>事故回顾</w:t>
            </w:r>
            <w:r>
              <w:rPr>
                <w:rFonts w:hint="eastAsia" w:ascii="仿宋_GB2312" w:hAnsiTheme="minorHAnsi" w:cstheme="minorBidi"/>
                <w:b/>
                <w:bCs/>
                <w:snapToGrid w:val="0"/>
                <w:color w:val="000000"/>
                <w:kern w:val="2"/>
                <w:sz w:val="30"/>
                <w:szCs w:val="30"/>
                <w:lang w:eastAsia="zh-CN"/>
              </w:rPr>
              <w:t>：</w:t>
            </w:r>
            <w:r>
              <w:rPr>
                <w:rFonts w:ascii="仿宋_GB2312" w:hAnsiTheme="minorHAnsi" w:cstheme="minorBidi"/>
                <w:snapToGrid w:val="0"/>
                <w:color w:val="000000"/>
                <w:kern w:val="2"/>
                <w:sz w:val="30"/>
                <w:szCs w:val="30"/>
                <w:lang w:eastAsia="zh-CN"/>
              </w:rPr>
              <w:t>2023年4月18日，北京市丰台区北京长峰医院发生重大火灾事故，事后统计共夺走29条生命，致42人受伤，直接经济损失高达3831.82万元</w:t>
            </w:r>
            <w:r>
              <w:rPr>
                <w:rFonts w:hint="eastAsia" w:ascii="仿宋_GB2312" w:hAnsiTheme="minorHAnsi" w:cstheme="minorBidi"/>
                <w:snapToGrid w:val="0"/>
                <w:color w:val="000000"/>
                <w:kern w:val="2"/>
                <w:sz w:val="30"/>
                <w:szCs w:val="30"/>
                <w:lang w:eastAsia="zh-CN"/>
              </w:rPr>
              <w:t>。</w:t>
            </w:r>
            <w:r>
              <w:rPr>
                <w:rFonts w:ascii="仿宋_GB2312" w:hAnsiTheme="minorHAnsi" w:cstheme="minorBidi"/>
                <w:snapToGrid w:val="0"/>
                <w:color w:val="000000"/>
                <w:kern w:val="2"/>
                <w:sz w:val="30"/>
                <w:szCs w:val="30"/>
                <w:lang w:eastAsia="zh-CN"/>
              </w:rPr>
              <w:t>事故主因是由于多重违规叠加，隐患长期积聚。直接导火索源于北京长峰医院东楼的一场违法违规的ICU改造工程。施工单位未取得施工许可、未落实动火审批、无专人监护的情况下，组织工人进行角磨机切割作业。与此同时，另一班组正在涂刷含有易燃易爆成分的环氧树脂底涂材料，该材料挥发后形成爆炸性气体混合物，且施工现场通风不畅，可燃物随意堆放，防火分隔缺失，结果遇切割火花瞬间爆燃。事故过程中，由于声光警报、喷淋泵、消火栓泵均未自动启动，消防管网无水，消防用电未设专用回路，断电导致供氧中断、医院消防系统全面失效，火势迅速蔓延，同时医院初期处置失当，未启动应急预案，未组织有效疏散，大量行动不便的重症患者被困高楼层，最终因吸入含一氧化碳浓烟窒息身亡</w:t>
            </w:r>
            <w:r>
              <w:rPr>
                <w:rFonts w:hint="eastAsia" w:ascii="仿宋_GB2312" w:hAnsiTheme="minorHAnsi" w:cstheme="minorBidi"/>
                <w:snapToGrid w:val="0"/>
                <w:color w:val="000000"/>
                <w:kern w:val="2"/>
                <w:sz w:val="30"/>
                <w:szCs w:val="30"/>
                <w:lang w:eastAsia="zh-CN"/>
              </w:rPr>
              <w:t>。</w:t>
            </w:r>
          </w:p>
          <w:p w14:paraId="0D08E26A">
            <w:pPr>
              <w:spacing w:line="440" w:lineRule="exact"/>
              <w:ind w:firstLine="0" w:firstLineChars="0"/>
              <w:jc w:val="both"/>
              <w:rPr>
                <w:rFonts w:hint="eastAsia" w:ascii="仿宋_GB2312" w:hAnsiTheme="minorHAnsi" w:cstheme="minorBidi"/>
                <w:b/>
                <w:bCs/>
                <w:snapToGrid w:val="0"/>
                <w:color w:val="000000"/>
                <w:kern w:val="2"/>
                <w:sz w:val="30"/>
                <w:szCs w:val="30"/>
                <w:lang w:eastAsia="zh-CN"/>
              </w:rPr>
            </w:pPr>
            <w:r>
              <w:rPr>
                <w:rFonts w:hint="eastAsia" w:ascii="仿宋_GB2312" w:hAnsiTheme="minorHAnsi" w:cstheme="minorBidi"/>
                <w:b/>
                <w:bCs/>
                <w:snapToGrid/>
                <w:color w:val="auto"/>
                <w:kern w:val="2"/>
                <w:sz w:val="30"/>
                <w:szCs w:val="30"/>
                <w:lang w:eastAsia="zh-CN"/>
              </w:rPr>
              <w:t>事故警示</w:t>
            </w:r>
            <w:r>
              <w:rPr>
                <w:rFonts w:hint="eastAsia" w:ascii="仿宋_GB2312" w:hAnsiTheme="minorHAnsi" w:cstheme="minorBidi"/>
                <w:b/>
                <w:bCs/>
                <w:snapToGrid w:val="0"/>
                <w:color w:val="000000"/>
                <w:kern w:val="2"/>
                <w:sz w:val="30"/>
                <w:szCs w:val="30"/>
                <w:lang w:eastAsia="zh-CN"/>
              </w:rPr>
              <w:t>：</w:t>
            </w:r>
            <w:r>
              <w:rPr>
                <w:rFonts w:hint="eastAsia" w:ascii="仿宋_GB2312" w:hAnsiTheme="minorHAnsi" w:cstheme="minorBidi"/>
                <w:snapToGrid w:val="0"/>
                <w:color w:val="000000"/>
                <w:kern w:val="2"/>
                <w:sz w:val="30"/>
                <w:szCs w:val="30"/>
                <w:lang w:eastAsia="zh-CN"/>
              </w:rPr>
              <w:t>深入剖析，事故深层问题主要包括五方面。一是防范化解重大风险意识薄弱；二是医疗卫生行业行政审批和安全管理不严格；三是建设工程规划、施工安全监管存在短板漏洞；四是消防监督检查和专项整治不深入；五是初期应急处置能力不足。基于此提出事故整改和防范措施建议，主要包括五方面。一是切实扛起防范化解重大风险政治责任。各地区、各部门、各单位要切实提高风险隐患排查整改质量。二是着力补齐医疗卫生机构安全管理短板。各级卫生健康部门要加强医疗卫生行业安全管理。三是坚决堵塞建设工程安全监督管理漏洞。各级住房城乡建设部门要加大资质审批后动态监管力度，严格建设工程施工许可管理，加强施工现场特别是施工动火作业安全管理。四是全面织牢织密消防安全风险防控网。进一步压实行业部门消防安全管理责任。五是加快提升基层一线应急处置能力和水平。各地区要进一步强化对各类企事业单位应急预案、演练、培训等应急准备的组织指导、监督检查，着力解决应急预案流于形式、应急演练走过场、应急培训不专业等突出问题。</w:t>
            </w:r>
          </w:p>
        </w:tc>
      </w:tr>
    </w:tbl>
    <w:p w14:paraId="1DED4C8C">
      <w:pPr>
        <w:ind w:firstLine="640"/>
        <w:jc w:val="both"/>
        <w:rPr>
          <w:rFonts w:hint="eastAsia"/>
          <w:sz w:val="32"/>
          <w:szCs w:val="32"/>
        </w:rPr>
      </w:pPr>
      <w:r>
        <w:rPr>
          <w:rFonts w:hint="eastAsia"/>
          <w:sz w:val="32"/>
          <w:szCs w:val="32"/>
        </w:rPr>
        <w:t>“十五五”时期，丰台区消防事业发展面临新挑战。深化消防救援改革还需纵深推进，</w:t>
      </w:r>
      <w:r>
        <w:rPr>
          <w:rFonts w:hint="eastAsia" w:hAnsi="Times New Roman"/>
          <w:sz w:val="32"/>
          <w:szCs w:val="32"/>
        </w:rPr>
        <w:t>国家消防救援局正式挂牌成立，为面向</w:t>
      </w:r>
      <w:r>
        <w:rPr>
          <w:rFonts w:hint="eastAsia" w:ascii="Times New Roman" w:hAnsi="Times New Roman" w:cs="Times New Roman"/>
          <w:sz w:val="32"/>
          <w:szCs w:val="32"/>
        </w:rPr>
        <w:t>“</w:t>
      </w:r>
      <w:r>
        <w:rPr>
          <w:rFonts w:hint="eastAsia" w:hAnsi="Times New Roman"/>
          <w:sz w:val="32"/>
          <w:szCs w:val="32"/>
        </w:rPr>
        <w:t>全灾种</w:t>
      </w:r>
      <w:r>
        <w:rPr>
          <w:rFonts w:hint="eastAsia" w:ascii="Times New Roman" w:hAnsi="Times New Roman" w:cs="Times New Roman"/>
          <w:sz w:val="32"/>
          <w:szCs w:val="32"/>
        </w:rPr>
        <w:t>”的</w:t>
      </w:r>
      <w:r>
        <w:rPr>
          <w:rFonts w:hint="eastAsia" w:hAnsi="Times New Roman"/>
          <w:sz w:val="32"/>
          <w:szCs w:val="32"/>
        </w:rPr>
        <w:t>消防救援队伍建设带来新机遇。</w:t>
      </w:r>
      <w:r>
        <w:rPr>
          <w:rFonts w:hint="eastAsia"/>
          <w:sz w:val="32"/>
          <w:szCs w:val="32"/>
        </w:rPr>
        <w:t>中共中央办公厅、国务院办公厅发布《关于深化消防执法改革的意见》及系列政策文件，为健全执法制度、规范执法行为、完善执法程序、创新执法方式、加强执法监督提出新要求。韧性城市建设作为中央城市工作会议部署城市工作七个方面的重点任务之一，对城市抵御极端风险的资源整合、多元备份、转换适应等能力建设带来新课题。此外，</w:t>
      </w:r>
      <w:r>
        <w:rPr>
          <w:sz w:val="32"/>
          <w:szCs w:val="32"/>
        </w:rPr>
        <w:t>科技创新发展对消防安全智慧化、信息化发展</w:t>
      </w:r>
      <w:r>
        <w:rPr>
          <w:rFonts w:hint="eastAsia"/>
          <w:sz w:val="32"/>
          <w:szCs w:val="32"/>
        </w:rPr>
        <w:t>带来</w:t>
      </w:r>
      <w:r>
        <w:rPr>
          <w:sz w:val="32"/>
          <w:szCs w:val="32"/>
        </w:rPr>
        <w:t>新期待</w:t>
      </w:r>
      <w:r>
        <w:rPr>
          <w:rFonts w:hint="eastAsia"/>
          <w:sz w:val="32"/>
          <w:szCs w:val="32"/>
        </w:rPr>
        <w:t>。</w:t>
      </w:r>
    </w:p>
    <w:p w14:paraId="339E4A56">
      <w:pPr>
        <w:ind w:firstLine="643"/>
        <w:jc w:val="both"/>
        <w:rPr>
          <w:rFonts w:hint="eastAsia" w:ascii="黑体" w:hAnsi="黑体" w:eastAsia="黑体"/>
          <w:b/>
          <w:bCs/>
          <w:sz w:val="32"/>
          <w:szCs w:val="32"/>
        </w:rPr>
      </w:pPr>
      <w:r>
        <w:rPr>
          <w:rFonts w:hint="eastAsia" w:ascii="黑体" w:hAnsi="黑体" w:eastAsia="黑体"/>
          <w:b/>
          <w:bCs/>
          <w:sz w:val="32"/>
          <w:szCs w:val="32"/>
        </w:rPr>
        <w:t>二、总体要求</w:t>
      </w:r>
    </w:p>
    <w:p w14:paraId="5A9696EA">
      <w:pPr>
        <w:ind w:firstLine="640"/>
        <w:jc w:val="both"/>
        <w:rPr>
          <w:rFonts w:hint="eastAsia"/>
          <w:sz w:val="32"/>
          <w:szCs w:val="32"/>
        </w:rPr>
      </w:pPr>
      <w:r>
        <w:rPr>
          <w:rFonts w:hint="eastAsia"/>
          <w:sz w:val="32"/>
          <w:szCs w:val="32"/>
        </w:rPr>
        <w:t>坚持以习近平新时代中国特色社会主义思想为指导，全面贯彻落实党的二十大和二十届历次全会精神，忠实践行习近平总书记重要训词精神，紧紧围绕北京“四个中心”建设要求，牢牢把握丰台区战略定位，</w:t>
      </w:r>
      <w:r>
        <w:rPr>
          <w:sz w:val="32"/>
          <w:szCs w:val="32"/>
        </w:rPr>
        <w:t>坚持预防为主、防消结合</w:t>
      </w:r>
      <w:r>
        <w:rPr>
          <w:rFonts w:hint="eastAsia"/>
          <w:sz w:val="32"/>
          <w:szCs w:val="32"/>
        </w:rPr>
        <w:t>，</w:t>
      </w:r>
      <w:r>
        <w:rPr>
          <w:sz w:val="32"/>
          <w:szCs w:val="32"/>
        </w:rPr>
        <w:t>推动消防安全治理向事前预防转型</w:t>
      </w:r>
      <w:r>
        <w:rPr>
          <w:rFonts w:hint="eastAsia"/>
          <w:sz w:val="32"/>
          <w:szCs w:val="32"/>
        </w:rPr>
        <w:t>，将消防工作融入经济社会发展大局，统筹发展和安全，高起点、高标准、高水平地推进消防事业发展，最大限度降低火灾事故发生概率、最大程度控制火灾事故造成损失，为率先基本实现社会主义现代化和建设国际一流的和谐宜居之都关键地区提供坚强的消防安全保障。</w:t>
      </w:r>
    </w:p>
    <w:p w14:paraId="5E286865">
      <w:pPr>
        <w:ind w:firstLine="640"/>
        <w:jc w:val="both"/>
        <w:rPr>
          <w:rFonts w:hint="eastAsia"/>
          <w:sz w:val="32"/>
          <w:szCs w:val="32"/>
        </w:rPr>
      </w:pPr>
      <w:r>
        <w:rPr>
          <w:sz w:val="32"/>
          <w:szCs w:val="32"/>
        </w:rPr>
        <w:t>到2030年，</w:t>
      </w:r>
      <w:r>
        <w:rPr>
          <w:rFonts w:hint="eastAsia"/>
          <w:sz w:val="32"/>
          <w:szCs w:val="32"/>
        </w:rPr>
        <w:t>全区</w:t>
      </w:r>
      <w:r>
        <w:rPr>
          <w:sz w:val="32"/>
          <w:szCs w:val="32"/>
        </w:rPr>
        <w:t>消防治理体系和治理能力现代化水平显著提升，消防安全形势持续稳定向好</w:t>
      </w:r>
      <w:r>
        <w:rPr>
          <w:rFonts w:hint="eastAsia"/>
          <w:sz w:val="32"/>
          <w:szCs w:val="32"/>
        </w:rPr>
        <w:t>，</w:t>
      </w:r>
      <w:r>
        <w:rPr>
          <w:sz w:val="32"/>
          <w:szCs w:val="32"/>
        </w:rPr>
        <w:t>坚决杜绝重特大火灾发生</w:t>
      </w:r>
      <w:r>
        <w:rPr>
          <w:rFonts w:hint="eastAsia"/>
          <w:sz w:val="32"/>
          <w:szCs w:val="32"/>
        </w:rPr>
        <w:t>，</w:t>
      </w:r>
      <w:r>
        <w:rPr>
          <w:sz w:val="32"/>
          <w:szCs w:val="32"/>
        </w:rPr>
        <w:t>消防安全制度化建设及社会治理能力</w:t>
      </w:r>
      <w:r>
        <w:rPr>
          <w:rFonts w:hint="eastAsia"/>
          <w:sz w:val="32"/>
          <w:szCs w:val="32"/>
        </w:rPr>
        <w:t>不断</w:t>
      </w:r>
      <w:r>
        <w:rPr>
          <w:sz w:val="32"/>
          <w:szCs w:val="32"/>
        </w:rPr>
        <w:t>健全</w:t>
      </w:r>
      <w:r>
        <w:rPr>
          <w:rFonts w:hint="eastAsia"/>
          <w:sz w:val="32"/>
          <w:szCs w:val="32"/>
        </w:rPr>
        <w:t>，</w:t>
      </w:r>
      <w:r>
        <w:rPr>
          <w:sz w:val="32"/>
          <w:szCs w:val="32"/>
        </w:rPr>
        <w:t>综合应急救援能力</w:t>
      </w:r>
      <w:r>
        <w:rPr>
          <w:rFonts w:hint="eastAsia"/>
          <w:sz w:val="32"/>
          <w:szCs w:val="32"/>
        </w:rPr>
        <w:t>大幅</w:t>
      </w:r>
      <w:r>
        <w:rPr>
          <w:sz w:val="32"/>
          <w:szCs w:val="32"/>
        </w:rPr>
        <w:t>提升</w:t>
      </w:r>
      <w:r>
        <w:rPr>
          <w:rFonts w:hint="eastAsia"/>
          <w:sz w:val="32"/>
          <w:szCs w:val="32"/>
        </w:rPr>
        <w:t>，</w:t>
      </w:r>
      <w:r>
        <w:rPr>
          <w:sz w:val="32"/>
          <w:szCs w:val="32"/>
        </w:rPr>
        <w:t>公共消防设施建设</w:t>
      </w:r>
      <w:r>
        <w:rPr>
          <w:rFonts w:hint="eastAsia"/>
          <w:sz w:val="32"/>
          <w:szCs w:val="32"/>
        </w:rPr>
        <w:t>显著</w:t>
      </w:r>
      <w:r>
        <w:rPr>
          <w:sz w:val="32"/>
          <w:szCs w:val="32"/>
        </w:rPr>
        <w:t>完善</w:t>
      </w:r>
      <w:r>
        <w:rPr>
          <w:rFonts w:hint="eastAsia"/>
          <w:sz w:val="32"/>
          <w:szCs w:val="32"/>
        </w:rPr>
        <w:t>，</w:t>
      </w:r>
      <w:r>
        <w:rPr>
          <w:sz w:val="32"/>
          <w:szCs w:val="32"/>
        </w:rPr>
        <w:t>消防安全智慧化、信息化水平</w:t>
      </w:r>
      <w:r>
        <w:rPr>
          <w:rFonts w:hint="eastAsia"/>
          <w:sz w:val="32"/>
          <w:szCs w:val="32"/>
        </w:rPr>
        <w:t>持续</w:t>
      </w:r>
      <w:r>
        <w:rPr>
          <w:sz w:val="32"/>
          <w:szCs w:val="32"/>
        </w:rPr>
        <w:t>增强</w:t>
      </w:r>
      <w:r>
        <w:rPr>
          <w:rFonts w:hint="eastAsia"/>
          <w:sz w:val="32"/>
          <w:szCs w:val="32"/>
        </w:rPr>
        <w:t>。</w:t>
      </w:r>
    </w:p>
    <w:p w14:paraId="4F39DF47">
      <w:pPr>
        <w:ind w:firstLine="0" w:firstLineChars="0"/>
        <w:jc w:val="center"/>
        <w:rPr>
          <w:rFonts w:hint="eastAsia" w:ascii="仿宋" w:hAnsi="仿宋" w:eastAsia="仿宋" w:cs="仿宋"/>
        </w:rPr>
      </w:pPr>
      <w:r>
        <w:rPr>
          <w:rFonts w:ascii="仿宋" w:hAnsi="仿宋" w:eastAsia="仿宋" w:cs="仿宋"/>
        </w:rPr>
        <w:t>表2-1“十五五”时期主要指标表</w:t>
      </w:r>
    </w:p>
    <w:tbl>
      <w:tblPr>
        <w:tblStyle w:val="4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3937"/>
        <w:gridCol w:w="2268"/>
        <w:gridCol w:w="1276"/>
      </w:tblGrid>
      <w:tr w14:paraId="11C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78" w:type="dxa"/>
            <w:vAlign w:val="center"/>
          </w:tcPr>
          <w:p w14:paraId="7A3798E8">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序号</w:t>
            </w:r>
          </w:p>
        </w:tc>
        <w:tc>
          <w:tcPr>
            <w:tcW w:w="3937" w:type="dxa"/>
            <w:vAlign w:val="center"/>
          </w:tcPr>
          <w:p w14:paraId="41F1EE9F">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指标</w:t>
            </w:r>
          </w:p>
        </w:tc>
        <w:tc>
          <w:tcPr>
            <w:tcW w:w="2268" w:type="dxa"/>
            <w:vAlign w:val="center"/>
          </w:tcPr>
          <w:p w14:paraId="795C2ACA">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目标值（2030年）</w:t>
            </w:r>
          </w:p>
        </w:tc>
        <w:tc>
          <w:tcPr>
            <w:tcW w:w="1276" w:type="dxa"/>
            <w:vAlign w:val="center"/>
          </w:tcPr>
          <w:p w14:paraId="5FE29033">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指标属性</w:t>
            </w:r>
          </w:p>
        </w:tc>
      </w:tr>
      <w:tr w14:paraId="596F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7D5C10D0">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1</w:t>
            </w:r>
          </w:p>
        </w:tc>
        <w:tc>
          <w:tcPr>
            <w:tcW w:w="3937" w:type="dxa"/>
            <w:vAlign w:val="center"/>
          </w:tcPr>
          <w:p w14:paraId="4FFDECA1">
            <w:pPr>
              <w:spacing w:line="240" w:lineRule="auto"/>
              <w:ind w:firstLine="0" w:firstLineChars="0"/>
              <w:jc w:val="both"/>
              <w:rPr>
                <w:rFonts w:hint="eastAsia" w:ascii="楷体_GB2312" w:hAnsi="仿宋" w:eastAsia="楷体_GB2312" w:cs="仿宋"/>
                <w:szCs w:val="20"/>
              </w:rPr>
            </w:pPr>
            <w:r>
              <w:rPr>
                <w:rFonts w:ascii="楷体_GB2312" w:hAnsi="仿宋" w:eastAsia="楷体_GB2312" w:cs="仿宋"/>
                <w:szCs w:val="20"/>
              </w:rPr>
              <w:t>十万常住人口年火灾死亡率</w:t>
            </w:r>
          </w:p>
        </w:tc>
        <w:tc>
          <w:tcPr>
            <w:tcW w:w="2268" w:type="dxa"/>
            <w:vAlign w:val="center"/>
          </w:tcPr>
          <w:p w14:paraId="5B6BBA13">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＜0.2</w:t>
            </w:r>
          </w:p>
        </w:tc>
        <w:tc>
          <w:tcPr>
            <w:tcW w:w="1276" w:type="dxa"/>
            <w:vAlign w:val="center"/>
          </w:tcPr>
          <w:p w14:paraId="4ECE3FB8">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预期性</w:t>
            </w:r>
          </w:p>
        </w:tc>
      </w:tr>
      <w:tr w14:paraId="5E19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21DD1562">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2</w:t>
            </w:r>
          </w:p>
        </w:tc>
        <w:tc>
          <w:tcPr>
            <w:tcW w:w="3937" w:type="dxa"/>
            <w:vAlign w:val="center"/>
          </w:tcPr>
          <w:p w14:paraId="398A05BA">
            <w:pPr>
              <w:spacing w:line="240" w:lineRule="auto"/>
              <w:ind w:firstLine="0" w:firstLineChars="0"/>
              <w:jc w:val="both"/>
              <w:rPr>
                <w:rFonts w:hint="eastAsia" w:ascii="楷体_GB2312" w:hAnsi="仿宋" w:eastAsia="楷体_GB2312" w:cs="仿宋"/>
                <w:szCs w:val="20"/>
              </w:rPr>
            </w:pPr>
            <w:r>
              <w:rPr>
                <w:rFonts w:ascii="楷体_GB2312" w:hAnsi="仿宋" w:eastAsia="楷体_GB2312" w:cs="仿宋"/>
                <w:szCs w:val="20"/>
              </w:rPr>
              <w:t>万人火灾事故发生率（起/万人）</w:t>
            </w:r>
          </w:p>
        </w:tc>
        <w:tc>
          <w:tcPr>
            <w:tcW w:w="2268" w:type="dxa"/>
            <w:vAlign w:val="center"/>
          </w:tcPr>
          <w:p w14:paraId="7F0A8217">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Calibri" w:eastAsia="楷体_GB2312" w:cs="Calibri"/>
                <w:szCs w:val="20"/>
              </w:rPr>
              <w:t>≤2.4</w:t>
            </w:r>
          </w:p>
        </w:tc>
        <w:tc>
          <w:tcPr>
            <w:tcW w:w="1276" w:type="dxa"/>
            <w:vAlign w:val="center"/>
          </w:tcPr>
          <w:p w14:paraId="512D9E2C">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预期性</w:t>
            </w:r>
          </w:p>
        </w:tc>
      </w:tr>
      <w:tr w14:paraId="489E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1FFB1104">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3</w:t>
            </w:r>
          </w:p>
        </w:tc>
        <w:tc>
          <w:tcPr>
            <w:tcW w:w="3937" w:type="dxa"/>
            <w:vAlign w:val="center"/>
          </w:tcPr>
          <w:p w14:paraId="7DC89559">
            <w:pPr>
              <w:spacing w:line="240" w:lineRule="auto"/>
              <w:ind w:firstLine="0" w:firstLineChars="0"/>
              <w:jc w:val="both"/>
              <w:rPr>
                <w:rFonts w:hint="eastAsia" w:ascii="楷体_GB2312" w:hAnsi="仿宋" w:eastAsia="楷体_GB2312" w:cs="仿宋"/>
                <w:szCs w:val="20"/>
              </w:rPr>
            </w:pPr>
            <w:r>
              <w:rPr>
                <w:rFonts w:ascii="楷体_GB2312" w:hAnsi="Calibri" w:eastAsia="楷体_GB2312" w:cs="Calibri"/>
                <w:szCs w:val="20"/>
              </w:rPr>
              <w:t>村民经营性自建房“双通道”建设率</w:t>
            </w:r>
          </w:p>
        </w:tc>
        <w:tc>
          <w:tcPr>
            <w:tcW w:w="2268" w:type="dxa"/>
            <w:vAlign w:val="center"/>
          </w:tcPr>
          <w:p w14:paraId="131681CD">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Calibri" w:eastAsia="楷体_GB2312" w:cs="Calibri"/>
                <w:szCs w:val="20"/>
              </w:rPr>
              <w:t>100%</w:t>
            </w:r>
          </w:p>
        </w:tc>
        <w:tc>
          <w:tcPr>
            <w:tcW w:w="1276" w:type="dxa"/>
            <w:vAlign w:val="center"/>
          </w:tcPr>
          <w:p w14:paraId="617E62B9">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预期性</w:t>
            </w:r>
          </w:p>
        </w:tc>
      </w:tr>
      <w:tr w14:paraId="3A8E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78C2850D">
            <w:pPr>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4</w:t>
            </w:r>
          </w:p>
        </w:tc>
        <w:tc>
          <w:tcPr>
            <w:tcW w:w="3937" w:type="dxa"/>
            <w:vAlign w:val="center"/>
          </w:tcPr>
          <w:p w14:paraId="59774619">
            <w:pPr>
              <w:spacing w:line="240" w:lineRule="auto"/>
              <w:ind w:firstLine="0" w:firstLineChars="0"/>
              <w:jc w:val="both"/>
              <w:rPr>
                <w:rFonts w:hint="eastAsia" w:ascii="楷体_GB2312" w:hAnsi="仿宋" w:eastAsia="楷体_GB2312" w:cs="仿宋"/>
                <w:szCs w:val="20"/>
              </w:rPr>
            </w:pPr>
            <w:r>
              <w:rPr>
                <w:rFonts w:ascii="楷体_GB2312" w:hAnsi="仿宋" w:eastAsia="楷体_GB2312" w:cs="仿宋"/>
                <w:szCs w:val="20"/>
              </w:rPr>
              <w:t>谋划规划建设消防救援站（座）</w:t>
            </w:r>
          </w:p>
        </w:tc>
        <w:tc>
          <w:tcPr>
            <w:tcW w:w="2268" w:type="dxa"/>
            <w:vAlign w:val="center"/>
          </w:tcPr>
          <w:p w14:paraId="4FC90905">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5</w:t>
            </w:r>
          </w:p>
        </w:tc>
        <w:tc>
          <w:tcPr>
            <w:tcW w:w="1276" w:type="dxa"/>
            <w:vAlign w:val="center"/>
          </w:tcPr>
          <w:p w14:paraId="6E6BD9C8">
            <w:pPr>
              <w:widowControl w:val="0"/>
              <w:autoSpaceDE w:val="0"/>
              <w:autoSpaceDN w:val="0"/>
              <w:adjustRightInd w:val="0"/>
              <w:spacing w:line="240" w:lineRule="auto"/>
              <w:ind w:firstLine="0" w:firstLineChars="0"/>
              <w:jc w:val="center"/>
              <w:rPr>
                <w:rFonts w:hint="eastAsia" w:ascii="楷体_GB2312" w:hAnsi="仿宋" w:eastAsia="楷体_GB2312" w:cs="仿宋"/>
                <w:szCs w:val="20"/>
              </w:rPr>
            </w:pPr>
            <w:r>
              <w:rPr>
                <w:rFonts w:ascii="楷体_GB2312" w:hAnsi="仿宋" w:eastAsia="楷体_GB2312" w:cs="仿宋"/>
                <w:szCs w:val="20"/>
              </w:rPr>
              <w:t>预期性</w:t>
            </w:r>
          </w:p>
        </w:tc>
      </w:tr>
      <w:tr w14:paraId="6CE8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135F83F7">
            <w:pPr>
              <w:adjustRightInd w:val="0"/>
              <w:snapToGrid w:val="0"/>
              <w:spacing w:line="240" w:lineRule="auto"/>
              <w:ind w:firstLine="0" w:firstLineChars="0"/>
              <w:jc w:val="center"/>
              <w:rPr>
                <w:rFonts w:hint="eastAsia" w:ascii="楷体_GB2312" w:eastAsia="楷体_GB2312"/>
                <w:szCs w:val="20"/>
              </w:rPr>
            </w:pPr>
            <w:r>
              <w:rPr>
                <w:rFonts w:ascii="楷体_GB2312" w:hAnsi="仿宋" w:eastAsia="楷体_GB2312" w:cs="仿宋"/>
                <w:szCs w:val="20"/>
              </w:rPr>
              <w:t>5</w:t>
            </w:r>
          </w:p>
        </w:tc>
        <w:tc>
          <w:tcPr>
            <w:tcW w:w="3937" w:type="dxa"/>
            <w:vAlign w:val="center"/>
          </w:tcPr>
          <w:p w14:paraId="52565792">
            <w:pPr>
              <w:adjustRightInd w:val="0"/>
              <w:snapToGrid w:val="0"/>
              <w:spacing w:line="240" w:lineRule="auto"/>
              <w:ind w:firstLine="0" w:firstLineChars="0"/>
              <w:jc w:val="both"/>
              <w:rPr>
                <w:rFonts w:hint="eastAsia" w:ascii="楷体_GB2312" w:eastAsia="楷体_GB2312"/>
                <w:szCs w:val="20"/>
              </w:rPr>
            </w:pPr>
            <w:r>
              <w:rPr>
                <w:rFonts w:ascii="楷体_GB2312" w:eastAsia="楷体_GB2312"/>
                <w:szCs w:val="20"/>
              </w:rPr>
              <w:t>市政消火栓完好率</w:t>
            </w:r>
          </w:p>
        </w:tc>
        <w:tc>
          <w:tcPr>
            <w:tcW w:w="2268" w:type="dxa"/>
            <w:vAlign w:val="center"/>
          </w:tcPr>
          <w:p w14:paraId="556A68C2">
            <w:pPr>
              <w:adjustRightInd w:val="0"/>
              <w:snapToGrid w:val="0"/>
              <w:spacing w:line="240" w:lineRule="auto"/>
              <w:ind w:firstLine="0" w:firstLineChars="0"/>
              <w:jc w:val="center"/>
              <w:rPr>
                <w:rFonts w:hint="eastAsia" w:ascii="楷体_GB2312" w:eastAsia="楷体_GB2312"/>
                <w:bCs/>
                <w:szCs w:val="20"/>
              </w:rPr>
            </w:pPr>
            <w:r>
              <w:rPr>
                <w:rFonts w:ascii="楷体_GB2312" w:hAnsi="仿宋" w:eastAsia="楷体_GB2312" w:cs="仿宋"/>
                <w:szCs w:val="20"/>
              </w:rPr>
              <w:t>98%</w:t>
            </w:r>
          </w:p>
        </w:tc>
        <w:tc>
          <w:tcPr>
            <w:tcW w:w="1276" w:type="dxa"/>
            <w:vAlign w:val="center"/>
          </w:tcPr>
          <w:p w14:paraId="6E41C9D1">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预期性</w:t>
            </w:r>
          </w:p>
        </w:tc>
      </w:tr>
      <w:tr w14:paraId="1305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27EAA42B">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6</w:t>
            </w:r>
          </w:p>
        </w:tc>
        <w:tc>
          <w:tcPr>
            <w:tcW w:w="3937" w:type="dxa"/>
            <w:vAlign w:val="center"/>
          </w:tcPr>
          <w:p w14:paraId="6FA8D352">
            <w:pPr>
              <w:adjustRightInd w:val="0"/>
              <w:snapToGrid w:val="0"/>
              <w:spacing w:line="240" w:lineRule="auto"/>
              <w:ind w:firstLine="0" w:firstLineChars="0"/>
              <w:jc w:val="both"/>
              <w:rPr>
                <w:rFonts w:hint="eastAsia" w:ascii="楷体_GB2312" w:eastAsia="楷体_GB2312"/>
                <w:szCs w:val="20"/>
              </w:rPr>
            </w:pPr>
            <w:r>
              <w:rPr>
                <w:rFonts w:ascii="楷体_GB2312" w:hAnsi="Calibri" w:eastAsia="楷体_GB2312" w:cs="Calibri"/>
                <w:szCs w:val="20"/>
              </w:rPr>
              <w:t>全区万人拥有消防员数大于（人）</w:t>
            </w:r>
          </w:p>
        </w:tc>
        <w:tc>
          <w:tcPr>
            <w:tcW w:w="2268" w:type="dxa"/>
            <w:vAlign w:val="center"/>
          </w:tcPr>
          <w:p w14:paraId="3ABFD87E">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bCs/>
                <w:szCs w:val="20"/>
              </w:rPr>
              <w:t>7.0</w:t>
            </w:r>
          </w:p>
        </w:tc>
        <w:tc>
          <w:tcPr>
            <w:tcW w:w="1276" w:type="dxa"/>
            <w:vAlign w:val="center"/>
          </w:tcPr>
          <w:p w14:paraId="6CE11C3B">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预期性</w:t>
            </w:r>
          </w:p>
        </w:tc>
      </w:tr>
      <w:tr w14:paraId="4049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4312EE68">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7</w:t>
            </w:r>
          </w:p>
        </w:tc>
        <w:tc>
          <w:tcPr>
            <w:tcW w:w="3937" w:type="dxa"/>
            <w:vAlign w:val="center"/>
          </w:tcPr>
          <w:p w14:paraId="4850E625">
            <w:pPr>
              <w:adjustRightInd w:val="0"/>
              <w:snapToGrid w:val="0"/>
              <w:spacing w:line="240" w:lineRule="auto"/>
              <w:ind w:firstLine="0" w:firstLineChars="0"/>
              <w:jc w:val="both"/>
              <w:rPr>
                <w:rFonts w:hint="eastAsia" w:ascii="楷体_GB2312" w:eastAsia="楷体_GB2312"/>
                <w:szCs w:val="20"/>
              </w:rPr>
            </w:pPr>
            <w:r>
              <w:rPr>
                <w:rFonts w:ascii="楷体_GB2312" w:hAnsi="仿宋" w:eastAsia="楷体_GB2312" w:cs="仿宋"/>
                <w:szCs w:val="20"/>
              </w:rPr>
              <w:t>居民消防安全普及率、知晓率</w:t>
            </w:r>
          </w:p>
        </w:tc>
        <w:tc>
          <w:tcPr>
            <w:tcW w:w="2268" w:type="dxa"/>
            <w:vAlign w:val="center"/>
          </w:tcPr>
          <w:p w14:paraId="6299F587">
            <w:pPr>
              <w:adjustRightInd w:val="0"/>
              <w:snapToGrid w:val="0"/>
              <w:spacing w:line="240" w:lineRule="auto"/>
              <w:ind w:firstLine="0" w:firstLineChars="0"/>
              <w:jc w:val="center"/>
              <w:rPr>
                <w:rFonts w:hint="eastAsia" w:ascii="楷体_GB2312" w:eastAsia="楷体_GB2312"/>
                <w:szCs w:val="20"/>
              </w:rPr>
            </w:pPr>
            <w:r>
              <w:rPr>
                <w:rFonts w:ascii="楷体_GB2312" w:hAnsi="仿宋" w:eastAsia="楷体_GB2312" w:cs="仿宋"/>
                <w:szCs w:val="20"/>
              </w:rPr>
              <w:t>90%</w:t>
            </w:r>
          </w:p>
        </w:tc>
        <w:tc>
          <w:tcPr>
            <w:tcW w:w="1276" w:type="dxa"/>
            <w:vAlign w:val="center"/>
          </w:tcPr>
          <w:p w14:paraId="476D1EF3">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预期性</w:t>
            </w:r>
          </w:p>
        </w:tc>
      </w:tr>
      <w:tr w14:paraId="6A7A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vAlign w:val="center"/>
          </w:tcPr>
          <w:p w14:paraId="5088A217">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8</w:t>
            </w:r>
          </w:p>
        </w:tc>
        <w:tc>
          <w:tcPr>
            <w:tcW w:w="3937" w:type="dxa"/>
            <w:vAlign w:val="center"/>
          </w:tcPr>
          <w:p w14:paraId="24BF218D">
            <w:pPr>
              <w:adjustRightInd w:val="0"/>
              <w:snapToGrid w:val="0"/>
              <w:spacing w:line="240" w:lineRule="auto"/>
              <w:ind w:firstLine="0" w:firstLineChars="0"/>
              <w:jc w:val="both"/>
              <w:rPr>
                <w:rFonts w:hint="eastAsia" w:ascii="楷体_GB2312" w:eastAsia="楷体_GB2312"/>
                <w:szCs w:val="20"/>
              </w:rPr>
            </w:pPr>
            <w:r>
              <w:rPr>
                <w:rFonts w:ascii="楷体_GB2312" w:hAnsi="Calibri" w:eastAsia="楷体_GB2312" w:cs="Calibri"/>
                <w:szCs w:val="20"/>
              </w:rPr>
              <w:t>消防基本技能实操实训人数（人）</w:t>
            </w:r>
          </w:p>
        </w:tc>
        <w:tc>
          <w:tcPr>
            <w:tcW w:w="2268" w:type="dxa"/>
            <w:vAlign w:val="center"/>
          </w:tcPr>
          <w:p w14:paraId="5376E5DA">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每年1万</w:t>
            </w:r>
          </w:p>
        </w:tc>
        <w:tc>
          <w:tcPr>
            <w:tcW w:w="1276" w:type="dxa"/>
            <w:vAlign w:val="center"/>
          </w:tcPr>
          <w:p w14:paraId="135CCEEA">
            <w:pPr>
              <w:adjustRightInd w:val="0"/>
              <w:snapToGrid w:val="0"/>
              <w:spacing w:line="240" w:lineRule="auto"/>
              <w:ind w:firstLine="0" w:firstLineChars="0"/>
              <w:jc w:val="center"/>
              <w:rPr>
                <w:rFonts w:hint="eastAsia" w:ascii="楷体_GB2312" w:eastAsia="楷体_GB2312"/>
                <w:szCs w:val="20"/>
              </w:rPr>
            </w:pPr>
            <w:r>
              <w:rPr>
                <w:rFonts w:ascii="楷体_GB2312" w:hAnsi="Calibri" w:eastAsia="楷体_GB2312" w:cs="Calibri"/>
                <w:szCs w:val="20"/>
              </w:rPr>
              <w:t>约束性</w:t>
            </w:r>
          </w:p>
        </w:tc>
      </w:tr>
      <w:tr w14:paraId="6196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gridSpan w:val="4"/>
            <w:vAlign w:val="center"/>
          </w:tcPr>
          <w:p w14:paraId="7D0C72A3">
            <w:pPr>
              <w:adjustRightInd w:val="0"/>
              <w:snapToGrid w:val="0"/>
              <w:spacing w:line="240" w:lineRule="auto"/>
              <w:ind w:firstLine="0" w:firstLineChars="0"/>
              <w:rPr>
                <w:rFonts w:ascii="楷体_GB2312" w:hAnsi="Calibri" w:eastAsia="楷体_GB2312" w:cs="Calibri"/>
                <w:szCs w:val="20"/>
              </w:rPr>
            </w:pPr>
            <w:r>
              <w:rPr>
                <w:rFonts w:ascii="楷体_GB2312" w:hAnsi="Calibri" w:eastAsia="楷体_GB2312" w:cs="Calibri"/>
                <w:szCs w:val="20"/>
              </w:rPr>
              <w:t>注：除第</w:t>
            </w:r>
            <w:r>
              <w:rPr>
                <w:rFonts w:hint="eastAsia" w:ascii="楷体_GB2312" w:hAnsi="Calibri" w:eastAsia="楷体_GB2312" w:cs="Calibri"/>
                <w:szCs w:val="20"/>
              </w:rPr>
              <w:t>8</w:t>
            </w:r>
            <w:r>
              <w:rPr>
                <w:rFonts w:ascii="楷体_GB2312" w:hAnsi="Calibri" w:eastAsia="楷体_GB2312" w:cs="Calibri"/>
                <w:szCs w:val="20"/>
              </w:rPr>
              <w:t>项，其余涉及人数均为常住人口。</w:t>
            </w:r>
          </w:p>
        </w:tc>
      </w:tr>
    </w:tbl>
    <w:p w14:paraId="7279D98D">
      <w:pPr>
        <w:ind w:firstLine="643"/>
        <w:jc w:val="both"/>
        <w:rPr>
          <w:rFonts w:hint="eastAsia"/>
          <w:b/>
          <w:bCs/>
          <w:sz w:val="32"/>
          <w:szCs w:val="32"/>
        </w:rPr>
      </w:pPr>
      <w:r>
        <w:rPr>
          <w:rFonts w:hint="eastAsia" w:ascii="黑体" w:hAnsi="黑体" w:eastAsia="黑体"/>
          <w:b/>
          <w:bCs/>
          <w:sz w:val="32"/>
          <w:szCs w:val="32"/>
        </w:rPr>
        <w:t>三、</w:t>
      </w:r>
      <w:r>
        <w:rPr>
          <w:rFonts w:ascii="黑体" w:hAnsi="黑体" w:eastAsia="黑体"/>
          <w:b/>
          <w:bCs/>
          <w:sz w:val="32"/>
          <w:szCs w:val="32"/>
        </w:rPr>
        <w:t>筑牢火灾风险防控体系</w:t>
      </w:r>
    </w:p>
    <w:p w14:paraId="479BDC46">
      <w:pPr>
        <w:ind w:firstLine="643"/>
        <w:jc w:val="both"/>
        <w:rPr>
          <w:rFonts w:hint="eastAsia"/>
          <w:sz w:val="32"/>
          <w:szCs w:val="32"/>
        </w:rPr>
      </w:pPr>
      <w:r>
        <w:rPr>
          <w:b/>
          <w:bCs/>
          <w:sz w:val="32"/>
          <w:szCs w:val="32"/>
        </w:rPr>
        <w:t>（一）优化城市消防安全布局</w:t>
      </w:r>
      <w:r>
        <w:rPr>
          <w:rFonts w:hint="eastAsia"/>
          <w:b/>
          <w:bCs/>
          <w:sz w:val="32"/>
          <w:szCs w:val="32"/>
        </w:rPr>
        <w:t>。</w:t>
      </w:r>
      <w:r>
        <w:rPr>
          <w:sz w:val="32"/>
          <w:szCs w:val="32"/>
        </w:rPr>
        <w:t>按照城市建设用地布局，加强对火灾危险性和危害性较大场所或设施用地的管制，减少火灾风险源。针对城市用地功能</w:t>
      </w:r>
      <w:r>
        <w:rPr>
          <w:rFonts w:hint="eastAsia"/>
          <w:sz w:val="32"/>
          <w:szCs w:val="32"/>
        </w:rPr>
        <w:t>，</w:t>
      </w:r>
      <w:r>
        <w:rPr>
          <w:sz w:val="32"/>
          <w:szCs w:val="32"/>
        </w:rPr>
        <w:t>合理设置耐火等级</w:t>
      </w:r>
      <w:r>
        <w:rPr>
          <w:rFonts w:hint="eastAsia"/>
          <w:sz w:val="32"/>
          <w:szCs w:val="32"/>
        </w:rPr>
        <w:t>、</w:t>
      </w:r>
      <w:r>
        <w:rPr>
          <w:sz w:val="32"/>
          <w:szCs w:val="32"/>
        </w:rPr>
        <w:t>防火间距</w:t>
      </w:r>
      <w:r>
        <w:rPr>
          <w:rFonts w:hint="eastAsia"/>
          <w:sz w:val="32"/>
          <w:szCs w:val="32"/>
        </w:rPr>
        <w:t>、</w:t>
      </w:r>
      <w:r>
        <w:rPr>
          <w:sz w:val="32"/>
          <w:szCs w:val="32"/>
        </w:rPr>
        <w:t>消防设施等</w:t>
      </w:r>
      <w:r>
        <w:rPr>
          <w:rFonts w:hint="eastAsia"/>
          <w:sz w:val="32"/>
          <w:szCs w:val="32"/>
        </w:rPr>
        <w:t>，</w:t>
      </w:r>
      <w:r>
        <w:rPr>
          <w:sz w:val="32"/>
          <w:szCs w:val="32"/>
        </w:rPr>
        <w:t>提高消防安全设防等级。结合非首都功能疏解</w:t>
      </w:r>
      <w:r>
        <w:rPr>
          <w:rFonts w:hint="eastAsia"/>
          <w:sz w:val="32"/>
          <w:szCs w:val="32"/>
        </w:rPr>
        <w:t>，</w:t>
      </w:r>
      <w:r>
        <w:rPr>
          <w:sz w:val="32"/>
          <w:szCs w:val="32"/>
        </w:rPr>
        <w:t>推动人员聚集</w:t>
      </w:r>
      <w:r>
        <w:rPr>
          <w:rFonts w:hint="eastAsia"/>
          <w:sz w:val="32"/>
          <w:szCs w:val="32"/>
        </w:rPr>
        <w:t>、</w:t>
      </w:r>
      <w:r>
        <w:rPr>
          <w:sz w:val="32"/>
          <w:szCs w:val="32"/>
        </w:rPr>
        <w:t>火灾荷载大</w:t>
      </w:r>
      <w:r>
        <w:rPr>
          <w:rFonts w:hint="eastAsia"/>
          <w:sz w:val="32"/>
          <w:szCs w:val="32"/>
        </w:rPr>
        <w:t>、</w:t>
      </w:r>
      <w:r>
        <w:rPr>
          <w:sz w:val="32"/>
          <w:szCs w:val="32"/>
        </w:rPr>
        <w:t>火灾隐患突出的</w:t>
      </w:r>
      <w:r>
        <w:rPr>
          <w:rFonts w:hint="eastAsia"/>
          <w:sz w:val="32"/>
          <w:szCs w:val="32"/>
        </w:rPr>
        <w:t>非首都功能</w:t>
      </w:r>
      <w:r>
        <w:rPr>
          <w:sz w:val="32"/>
          <w:szCs w:val="32"/>
        </w:rPr>
        <w:t>建筑场所疏解腾退</w:t>
      </w:r>
      <w:r>
        <w:rPr>
          <w:rFonts w:hint="eastAsia"/>
          <w:sz w:val="32"/>
          <w:szCs w:val="32"/>
        </w:rPr>
        <w:t>，结合违法建设专项治理工作，推动相关</w:t>
      </w:r>
      <w:r>
        <w:rPr>
          <w:sz w:val="32"/>
          <w:szCs w:val="32"/>
        </w:rPr>
        <w:t>场所补建消防设施。完善南中轴等重点区域公共消防设施</w:t>
      </w:r>
      <w:r>
        <w:rPr>
          <w:rFonts w:hint="eastAsia"/>
          <w:sz w:val="32"/>
          <w:szCs w:val="32"/>
        </w:rPr>
        <w:t>，</w:t>
      </w:r>
      <w:r>
        <w:rPr>
          <w:sz w:val="32"/>
          <w:szCs w:val="32"/>
        </w:rPr>
        <w:t>严</w:t>
      </w:r>
      <w:r>
        <w:rPr>
          <w:rFonts w:hint="eastAsia"/>
          <w:sz w:val="32"/>
          <w:szCs w:val="32"/>
        </w:rPr>
        <w:t>控</w:t>
      </w:r>
      <w:r>
        <w:rPr>
          <w:sz w:val="32"/>
          <w:szCs w:val="32"/>
        </w:rPr>
        <w:t>消防安全布局</w:t>
      </w:r>
      <w:r>
        <w:rPr>
          <w:rFonts w:hint="eastAsia"/>
          <w:sz w:val="32"/>
          <w:szCs w:val="32"/>
        </w:rPr>
        <w:t>，</w:t>
      </w:r>
      <w:r>
        <w:rPr>
          <w:sz w:val="32"/>
          <w:szCs w:val="32"/>
        </w:rPr>
        <w:t>减少火灾风险源</w:t>
      </w:r>
      <w:r>
        <w:rPr>
          <w:rFonts w:hint="eastAsia"/>
          <w:sz w:val="32"/>
          <w:szCs w:val="32"/>
        </w:rPr>
        <w:t>，</w:t>
      </w:r>
      <w:r>
        <w:rPr>
          <w:sz w:val="32"/>
          <w:szCs w:val="32"/>
        </w:rPr>
        <w:t>降低火灾风险。</w:t>
      </w:r>
    </w:p>
    <w:p w14:paraId="415E528E">
      <w:pPr>
        <w:ind w:firstLine="643"/>
        <w:jc w:val="both"/>
        <w:rPr>
          <w:rFonts w:hint="eastAsia"/>
          <w:b/>
          <w:bCs/>
          <w:sz w:val="32"/>
          <w:szCs w:val="32"/>
        </w:rPr>
      </w:pPr>
      <w:r>
        <w:rPr>
          <w:b/>
          <w:bCs/>
          <w:sz w:val="32"/>
          <w:szCs w:val="32"/>
        </w:rPr>
        <w:t>（二）</w:t>
      </w:r>
      <w:r>
        <w:rPr>
          <w:rFonts w:hint="eastAsia"/>
          <w:b/>
          <w:bCs/>
          <w:sz w:val="32"/>
          <w:szCs w:val="32"/>
        </w:rPr>
        <w:t>深化重大</w:t>
      </w:r>
      <w:r>
        <w:rPr>
          <w:b/>
          <w:bCs/>
          <w:sz w:val="32"/>
          <w:szCs w:val="32"/>
        </w:rPr>
        <w:t>火灾隐患</w:t>
      </w:r>
      <w:r>
        <w:rPr>
          <w:rFonts w:hint="eastAsia"/>
          <w:b/>
          <w:bCs/>
          <w:sz w:val="32"/>
          <w:szCs w:val="32"/>
        </w:rPr>
        <w:t>整治。</w:t>
      </w:r>
      <w:r>
        <w:rPr>
          <w:sz w:val="32"/>
          <w:szCs w:val="32"/>
        </w:rPr>
        <w:t>严格人员密集场所</w:t>
      </w:r>
      <w:r>
        <w:rPr>
          <w:rFonts w:hint="eastAsia"/>
          <w:sz w:val="32"/>
          <w:szCs w:val="32"/>
        </w:rPr>
        <w:t>、</w:t>
      </w:r>
      <w:r>
        <w:rPr>
          <w:sz w:val="32"/>
          <w:szCs w:val="32"/>
        </w:rPr>
        <w:t>高层建筑</w:t>
      </w:r>
      <w:r>
        <w:rPr>
          <w:rFonts w:hint="eastAsia"/>
          <w:sz w:val="32"/>
          <w:szCs w:val="32"/>
        </w:rPr>
        <w:t>、地下空间、</w:t>
      </w:r>
      <w:r>
        <w:rPr>
          <w:sz w:val="32"/>
          <w:szCs w:val="32"/>
        </w:rPr>
        <w:t>大型商业综合体</w:t>
      </w:r>
      <w:r>
        <w:rPr>
          <w:rFonts w:hint="eastAsia"/>
          <w:sz w:val="32"/>
          <w:szCs w:val="32"/>
        </w:rPr>
        <w:t>、</w:t>
      </w:r>
      <w:r>
        <w:rPr>
          <w:sz w:val="32"/>
          <w:szCs w:val="32"/>
        </w:rPr>
        <w:t>石油化工企业</w:t>
      </w:r>
      <w:r>
        <w:rPr>
          <w:rFonts w:hint="eastAsia"/>
          <w:sz w:val="32"/>
          <w:szCs w:val="32"/>
        </w:rPr>
        <w:t>、</w:t>
      </w:r>
      <w:r>
        <w:rPr>
          <w:sz w:val="32"/>
          <w:szCs w:val="32"/>
        </w:rPr>
        <w:t>文物古建等重点</w:t>
      </w:r>
      <w:r>
        <w:rPr>
          <w:rFonts w:hint="eastAsia"/>
          <w:sz w:val="32"/>
          <w:szCs w:val="32"/>
        </w:rPr>
        <w:t>场所</w:t>
      </w:r>
      <w:r>
        <w:rPr>
          <w:sz w:val="32"/>
          <w:szCs w:val="32"/>
        </w:rPr>
        <w:t>消防安全</w:t>
      </w:r>
      <w:r>
        <w:rPr>
          <w:rFonts w:hint="eastAsia"/>
          <w:sz w:val="32"/>
          <w:szCs w:val="32"/>
        </w:rPr>
        <w:t>整治，</w:t>
      </w:r>
      <w:r>
        <w:rPr>
          <w:sz w:val="32"/>
          <w:szCs w:val="32"/>
        </w:rPr>
        <w:t>进一步完善常态化火灾隐患排查整治机制</w:t>
      </w:r>
      <w:r>
        <w:rPr>
          <w:rFonts w:hint="eastAsia"/>
          <w:sz w:val="32"/>
          <w:szCs w:val="32"/>
        </w:rPr>
        <w:t>，对相关重点场所开展消防安全定期巡查，在火灾高发期和重大活动期间加大巡查频次，采取警示提醒、通报批评、约谈曝光、监督问责等措施，提升火灾隐患排查质量</w:t>
      </w:r>
      <w:r>
        <w:rPr>
          <w:sz w:val="32"/>
          <w:szCs w:val="32"/>
        </w:rPr>
        <w:t>。推动重大火灾事故隐患动态清零</w:t>
      </w:r>
      <w:r>
        <w:rPr>
          <w:rFonts w:hint="eastAsia"/>
          <w:sz w:val="32"/>
          <w:szCs w:val="32"/>
        </w:rPr>
        <w:t>，严格施工动火作业“同类同管”</w:t>
      </w:r>
      <w:r>
        <w:rPr>
          <w:rStyle w:val="24"/>
          <w:rFonts w:hint="eastAsia"/>
          <w:sz w:val="32"/>
          <w:szCs w:val="32"/>
        </w:rPr>
        <w:footnoteReference w:id="0"/>
      </w:r>
      <w:r>
        <w:rPr>
          <w:rFonts w:hint="eastAsia"/>
          <w:sz w:val="32"/>
          <w:szCs w:val="32"/>
        </w:rPr>
        <w:t>，深化燃气、电动自行车、建筑保温材料等“一件事”全链条治理，严格落实“双疏散通道”等兜底措施，深入开展用电安全隐患排查整治，筑牢高层建筑安全防线。</w:t>
      </w:r>
      <w:r>
        <w:rPr>
          <w:sz w:val="32"/>
          <w:szCs w:val="32"/>
        </w:rPr>
        <w:t>提升全龄友好消防安全保障</w:t>
      </w:r>
      <w:r>
        <w:rPr>
          <w:rFonts w:hint="eastAsia"/>
          <w:sz w:val="32"/>
          <w:szCs w:val="32"/>
        </w:rPr>
        <w:t>，</w:t>
      </w:r>
      <w:r>
        <w:rPr>
          <w:sz w:val="32"/>
          <w:szCs w:val="32"/>
        </w:rPr>
        <w:t>强化养老机构、医院等场所的标准化管理，建立</w:t>
      </w:r>
      <w:r>
        <w:rPr>
          <w:rFonts w:hint="eastAsia"/>
          <w:sz w:val="32"/>
          <w:szCs w:val="32"/>
        </w:rPr>
        <w:t>“</w:t>
      </w:r>
      <w:r>
        <w:rPr>
          <w:sz w:val="32"/>
          <w:szCs w:val="32"/>
        </w:rPr>
        <w:t>风险自查、隐患自除、责任自负</w:t>
      </w:r>
      <w:r>
        <w:rPr>
          <w:rFonts w:hint="eastAsia"/>
          <w:sz w:val="32"/>
          <w:szCs w:val="32"/>
        </w:rPr>
        <w:t>”</w:t>
      </w:r>
      <w:r>
        <w:rPr>
          <w:sz w:val="32"/>
          <w:szCs w:val="32"/>
        </w:rPr>
        <w:t>的自我管理与约束机制。</w:t>
      </w:r>
    </w:p>
    <w:p w14:paraId="5A91E55B">
      <w:pPr>
        <w:ind w:firstLine="643"/>
        <w:jc w:val="both"/>
        <w:rPr>
          <w:rFonts w:hint="eastAsia"/>
          <w:sz w:val="32"/>
          <w:szCs w:val="32"/>
        </w:rPr>
      </w:pPr>
      <w:r>
        <w:rPr>
          <w:b/>
          <w:bCs/>
          <w:sz w:val="32"/>
          <w:szCs w:val="32"/>
        </w:rPr>
        <w:t>（三）改善</w:t>
      </w:r>
      <w:r>
        <w:rPr>
          <w:rFonts w:hint="eastAsia"/>
          <w:b/>
          <w:bCs/>
          <w:sz w:val="32"/>
          <w:szCs w:val="32"/>
        </w:rPr>
        <w:t>老旧小区、平房区等重点地区的</w:t>
      </w:r>
      <w:r>
        <w:rPr>
          <w:b/>
          <w:bCs/>
          <w:sz w:val="32"/>
          <w:szCs w:val="32"/>
        </w:rPr>
        <w:t>消防安全条件</w:t>
      </w:r>
      <w:r>
        <w:rPr>
          <w:rFonts w:hint="eastAsia"/>
          <w:b/>
          <w:bCs/>
          <w:sz w:val="32"/>
          <w:szCs w:val="32"/>
        </w:rPr>
        <w:t>。</w:t>
      </w:r>
      <w:r>
        <w:rPr>
          <w:sz w:val="32"/>
          <w:szCs w:val="32"/>
        </w:rPr>
        <w:t>强化村民自建房源头治理</w:t>
      </w:r>
      <w:r>
        <w:rPr>
          <w:rFonts w:hint="eastAsia"/>
          <w:sz w:val="32"/>
          <w:szCs w:val="32"/>
        </w:rPr>
        <w:t>，按照“谁审批、谁负责”的原则，强化村民自建房全生命周期管理，持续推进既有房屋“双通道”的核查核验、问题整改上账工作。</w:t>
      </w:r>
      <w:r>
        <w:rPr>
          <w:sz w:val="32"/>
          <w:szCs w:val="32"/>
        </w:rPr>
        <w:t>持续开展</w:t>
      </w:r>
      <w:r>
        <w:rPr>
          <w:rFonts w:hint="eastAsia"/>
          <w:sz w:val="32"/>
          <w:szCs w:val="32"/>
        </w:rPr>
        <w:t>老旧小区、城乡结合部</w:t>
      </w:r>
      <w:r>
        <w:rPr>
          <w:sz w:val="32"/>
          <w:szCs w:val="32"/>
        </w:rPr>
        <w:t>地区消防安全隐患排查治理</w:t>
      </w:r>
      <w:r>
        <w:rPr>
          <w:rFonts w:hint="eastAsia"/>
          <w:sz w:val="32"/>
          <w:szCs w:val="32"/>
        </w:rPr>
        <w:t>，推动技防措施在重点部位的应用，</w:t>
      </w:r>
      <w:r>
        <w:rPr>
          <w:sz w:val="32"/>
          <w:szCs w:val="32"/>
        </w:rPr>
        <w:t>提升</w:t>
      </w:r>
      <w:r>
        <w:rPr>
          <w:rFonts w:hint="eastAsia"/>
          <w:sz w:val="32"/>
          <w:szCs w:val="32"/>
        </w:rPr>
        <w:t>城乡结合部</w:t>
      </w:r>
      <w:r>
        <w:rPr>
          <w:sz w:val="32"/>
          <w:szCs w:val="32"/>
        </w:rPr>
        <w:t>经营活动场所的消防安全条件</w:t>
      </w:r>
      <w:r>
        <w:rPr>
          <w:rFonts w:hint="eastAsia"/>
          <w:sz w:val="32"/>
          <w:szCs w:val="32"/>
        </w:rPr>
        <w:t>。</w:t>
      </w:r>
      <w:r>
        <w:rPr>
          <w:sz w:val="32"/>
          <w:szCs w:val="32"/>
        </w:rPr>
        <w:t>加强针对“六小单位”消防安全工作的综合管理</w:t>
      </w:r>
      <w:r>
        <w:rPr>
          <w:rFonts w:hint="eastAsia"/>
          <w:sz w:val="32"/>
          <w:szCs w:val="32"/>
        </w:rPr>
        <w:t>，</w:t>
      </w:r>
      <w:r>
        <w:rPr>
          <w:sz w:val="32"/>
          <w:szCs w:val="32"/>
        </w:rPr>
        <w:t>多种形式进行用火用电用气安全知识教育培训。</w:t>
      </w:r>
    </w:p>
    <w:p w14:paraId="2A18B0BF">
      <w:pPr>
        <w:ind w:firstLine="643"/>
        <w:jc w:val="both"/>
        <w:rPr>
          <w:rFonts w:hint="eastAsia"/>
          <w:sz w:val="32"/>
          <w:szCs w:val="32"/>
        </w:rPr>
      </w:pPr>
      <w:r>
        <w:rPr>
          <w:b/>
          <w:bCs/>
          <w:sz w:val="32"/>
          <w:szCs w:val="32"/>
        </w:rPr>
        <w:t>（四）强化新材料新业态火灾风险防控</w:t>
      </w:r>
      <w:r>
        <w:rPr>
          <w:rFonts w:hint="eastAsia"/>
          <w:b/>
          <w:bCs/>
          <w:sz w:val="32"/>
          <w:szCs w:val="32"/>
        </w:rPr>
        <w:t>。</w:t>
      </w:r>
      <w:r>
        <w:rPr>
          <w:rFonts w:hint="eastAsia"/>
          <w:sz w:val="32"/>
          <w:szCs w:val="32"/>
        </w:rPr>
        <w:t>加强</w:t>
      </w:r>
      <w:r>
        <w:rPr>
          <w:sz w:val="32"/>
          <w:szCs w:val="32"/>
        </w:rPr>
        <w:t>电子商务</w:t>
      </w:r>
      <w:r>
        <w:rPr>
          <w:rFonts w:hint="eastAsia"/>
          <w:sz w:val="32"/>
          <w:szCs w:val="32"/>
        </w:rPr>
        <w:t>、</w:t>
      </w:r>
      <w:r>
        <w:rPr>
          <w:sz w:val="32"/>
          <w:szCs w:val="32"/>
        </w:rPr>
        <w:t>现代物流</w:t>
      </w:r>
      <w:r>
        <w:rPr>
          <w:rFonts w:hint="eastAsia"/>
          <w:sz w:val="32"/>
          <w:szCs w:val="32"/>
        </w:rPr>
        <w:t>、</w:t>
      </w:r>
      <w:r>
        <w:rPr>
          <w:sz w:val="32"/>
          <w:szCs w:val="32"/>
        </w:rPr>
        <w:t>新能源应用等新材料</w:t>
      </w:r>
      <w:r>
        <w:rPr>
          <w:rFonts w:hint="eastAsia"/>
          <w:sz w:val="32"/>
          <w:szCs w:val="32"/>
        </w:rPr>
        <w:t>、</w:t>
      </w:r>
      <w:r>
        <w:rPr>
          <w:sz w:val="32"/>
          <w:szCs w:val="32"/>
        </w:rPr>
        <w:t>新能源</w:t>
      </w:r>
      <w:r>
        <w:rPr>
          <w:rFonts w:hint="eastAsia"/>
          <w:sz w:val="32"/>
          <w:szCs w:val="32"/>
        </w:rPr>
        <w:t>、</w:t>
      </w:r>
      <w:r>
        <w:rPr>
          <w:sz w:val="32"/>
          <w:szCs w:val="32"/>
        </w:rPr>
        <w:t>新业态火灾风险源</w:t>
      </w:r>
      <w:r>
        <w:rPr>
          <w:rFonts w:hint="eastAsia"/>
          <w:sz w:val="32"/>
          <w:szCs w:val="32"/>
        </w:rPr>
        <w:t>的</w:t>
      </w:r>
      <w:r>
        <w:rPr>
          <w:sz w:val="32"/>
          <w:szCs w:val="32"/>
        </w:rPr>
        <w:t>识别</w:t>
      </w:r>
      <w:r>
        <w:rPr>
          <w:rFonts w:hint="eastAsia"/>
          <w:sz w:val="32"/>
          <w:szCs w:val="32"/>
        </w:rPr>
        <w:t>和防范管理，</w:t>
      </w:r>
      <w:r>
        <w:rPr>
          <w:sz w:val="32"/>
          <w:szCs w:val="32"/>
        </w:rPr>
        <w:t>推动行业主管部门落实消防安全监管责任</w:t>
      </w:r>
      <w:r>
        <w:rPr>
          <w:rFonts w:hint="eastAsia"/>
          <w:sz w:val="32"/>
          <w:szCs w:val="32"/>
        </w:rPr>
        <w:t>，推广视频监控、物联感知、感烟探测器等技防设施，</w:t>
      </w:r>
      <w:r>
        <w:rPr>
          <w:sz w:val="32"/>
          <w:szCs w:val="32"/>
        </w:rPr>
        <w:t>完善火灾风险预估预判机制</w:t>
      </w:r>
      <w:r>
        <w:rPr>
          <w:rFonts w:hint="eastAsia"/>
          <w:sz w:val="32"/>
          <w:szCs w:val="32"/>
        </w:rPr>
        <w:t>。加强电动自行车火灾风险防控，</w:t>
      </w:r>
      <w:r>
        <w:rPr>
          <w:sz w:val="32"/>
          <w:szCs w:val="32"/>
        </w:rPr>
        <w:t>推动开展电动自行车强制性国家标准宣贯</w:t>
      </w:r>
      <w:r>
        <w:rPr>
          <w:rFonts w:hint="eastAsia"/>
          <w:sz w:val="32"/>
          <w:szCs w:val="32"/>
        </w:rPr>
        <w:t>，</w:t>
      </w:r>
      <w:r>
        <w:rPr>
          <w:sz w:val="32"/>
          <w:szCs w:val="32"/>
        </w:rPr>
        <w:t>依法查处违法违规生产</w:t>
      </w:r>
      <w:r>
        <w:rPr>
          <w:rFonts w:hint="eastAsia"/>
          <w:sz w:val="32"/>
          <w:szCs w:val="32"/>
        </w:rPr>
        <w:t>、</w:t>
      </w:r>
      <w:r>
        <w:rPr>
          <w:sz w:val="32"/>
          <w:szCs w:val="32"/>
        </w:rPr>
        <w:t>销售电动自行车以及改装电池行为</w:t>
      </w:r>
      <w:r>
        <w:rPr>
          <w:rFonts w:hint="eastAsia"/>
          <w:sz w:val="32"/>
          <w:szCs w:val="32"/>
        </w:rPr>
        <w:t>，加强源头管控；</w:t>
      </w:r>
      <w:r>
        <w:rPr>
          <w:sz w:val="32"/>
          <w:szCs w:val="32"/>
        </w:rPr>
        <w:t>推动居住小区落实电动自行车集中管理措施</w:t>
      </w:r>
      <w:r>
        <w:rPr>
          <w:rFonts w:hint="eastAsia"/>
          <w:sz w:val="32"/>
          <w:szCs w:val="32"/>
        </w:rPr>
        <w:t>，</w:t>
      </w:r>
      <w:r>
        <w:rPr>
          <w:sz w:val="32"/>
          <w:szCs w:val="32"/>
        </w:rPr>
        <w:t>设置电动自行车集中充电</w:t>
      </w:r>
      <w:r>
        <w:rPr>
          <w:rFonts w:hint="eastAsia"/>
          <w:sz w:val="32"/>
          <w:szCs w:val="32"/>
        </w:rPr>
        <w:t>、</w:t>
      </w:r>
      <w:r>
        <w:rPr>
          <w:sz w:val="32"/>
          <w:szCs w:val="32"/>
        </w:rPr>
        <w:t>停放场所</w:t>
      </w:r>
      <w:r>
        <w:rPr>
          <w:rFonts w:hint="eastAsia"/>
          <w:sz w:val="32"/>
          <w:szCs w:val="32"/>
        </w:rPr>
        <w:t>，整治电动自行车进楼入户、</w:t>
      </w:r>
      <w:r>
        <w:rPr>
          <w:sz w:val="32"/>
          <w:szCs w:val="32"/>
        </w:rPr>
        <w:t>违规</w:t>
      </w:r>
      <w:r>
        <w:rPr>
          <w:rFonts w:hint="eastAsia"/>
          <w:sz w:val="32"/>
          <w:szCs w:val="32"/>
        </w:rPr>
        <w:t>飞线、</w:t>
      </w:r>
      <w:r>
        <w:rPr>
          <w:sz w:val="32"/>
          <w:szCs w:val="32"/>
        </w:rPr>
        <w:t>私拉</w:t>
      </w:r>
      <w:r>
        <w:rPr>
          <w:rFonts w:hint="eastAsia"/>
          <w:sz w:val="32"/>
          <w:szCs w:val="32"/>
        </w:rPr>
        <w:t>乱接</w:t>
      </w:r>
      <w:r>
        <w:rPr>
          <w:sz w:val="32"/>
          <w:szCs w:val="32"/>
        </w:rPr>
        <w:t>电线充电</w:t>
      </w:r>
      <w:r>
        <w:rPr>
          <w:rFonts w:hint="eastAsia"/>
          <w:sz w:val="32"/>
          <w:szCs w:val="32"/>
        </w:rPr>
        <w:t>的违法违规</w:t>
      </w:r>
      <w:r>
        <w:rPr>
          <w:sz w:val="32"/>
          <w:szCs w:val="32"/>
        </w:rPr>
        <w:t>行为。</w:t>
      </w:r>
    </w:p>
    <w:p w14:paraId="10415D51">
      <w:pPr>
        <w:ind w:firstLine="643"/>
        <w:jc w:val="both"/>
        <w:rPr>
          <w:rFonts w:hint="eastAsia" w:ascii="黑体" w:hAnsi="黑体" w:eastAsia="黑体"/>
          <w:b/>
          <w:bCs/>
          <w:sz w:val="32"/>
          <w:szCs w:val="32"/>
        </w:rPr>
      </w:pPr>
      <w:r>
        <w:rPr>
          <w:rFonts w:hint="eastAsia" w:ascii="黑体" w:hAnsi="黑体" w:eastAsia="黑体"/>
          <w:b/>
          <w:bCs/>
          <w:sz w:val="32"/>
          <w:szCs w:val="32"/>
        </w:rPr>
        <w:t>四、</w:t>
      </w:r>
      <w:r>
        <w:rPr>
          <w:rFonts w:ascii="黑体" w:hAnsi="黑体" w:eastAsia="黑体"/>
          <w:b/>
          <w:bCs/>
          <w:sz w:val="32"/>
          <w:szCs w:val="32"/>
        </w:rPr>
        <w:t>优化消防安全制度建设、提升社会治理能力</w:t>
      </w:r>
    </w:p>
    <w:p w14:paraId="36A59C4E">
      <w:pPr>
        <w:ind w:firstLine="643"/>
        <w:jc w:val="both"/>
        <w:rPr>
          <w:rFonts w:hint="eastAsia"/>
          <w:sz w:val="32"/>
          <w:szCs w:val="32"/>
        </w:rPr>
      </w:pPr>
      <w:r>
        <w:rPr>
          <w:rFonts w:hint="eastAsia"/>
          <w:b/>
          <w:bCs/>
          <w:sz w:val="32"/>
          <w:szCs w:val="32"/>
        </w:rPr>
        <w:t>（一）</w:t>
      </w:r>
      <w:r>
        <w:rPr>
          <w:b/>
          <w:bCs/>
          <w:sz w:val="32"/>
          <w:szCs w:val="32"/>
        </w:rPr>
        <w:t>加强消防安全责任制</w:t>
      </w:r>
      <w:r>
        <w:rPr>
          <w:rFonts w:hint="eastAsia"/>
          <w:b/>
          <w:bCs/>
          <w:sz w:val="32"/>
          <w:szCs w:val="32"/>
        </w:rPr>
        <w:t>。</w:t>
      </w:r>
      <w:r>
        <w:rPr>
          <w:rFonts w:hint="eastAsia" w:ascii="仿宋_GB2312"/>
          <w:sz w:val="32"/>
        </w:rPr>
        <w:t>进一步优化防火安全委员会的组织架构，强化防火委平台应用和管理工作，强化消防工作联席会议制度统筹协调作用，建立健全以“消防监管+</w:t>
      </w:r>
      <w:r>
        <w:rPr>
          <w:rFonts w:ascii="仿宋_GB2312"/>
          <w:sz w:val="32"/>
        </w:rPr>
        <w:t>属地</w:t>
      </w:r>
      <w:r>
        <w:rPr>
          <w:rFonts w:hint="eastAsia" w:ascii="仿宋_GB2312"/>
          <w:sz w:val="32"/>
        </w:rPr>
        <w:t>监管+行业监管+机构主体责任”四合一的</w:t>
      </w:r>
      <w:r>
        <w:rPr>
          <w:rFonts w:ascii="仿宋_GB2312"/>
          <w:sz w:val="32"/>
        </w:rPr>
        <w:t>消防安全监管体系</w:t>
      </w:r>
      <w:r>
        <w:rPr>
          <w:rFonts w:hint="eastAsia" w:ascii="仿宋_GB2312"/>
          <w:sz w:val="32"/>
        </w:rPr>
        <w:t>，研究制定《丰台区消防安全责任制实施细则》。立足区级、街镇、社区、网格四级责任体系，将消防检查、消防宣传、应急处置等职责融入基层综治网格。建立健全行业消防安全管理制度，执行消防安全“六进”</w:t>
      </w:r>
      <w:r>
        <w:rPr>
          <w:rStyle w:val="24"/>
          <w:rFonts w:hint="eastAsia" w:ascii="仿宋_GB2312"/>
          <w:sz w:val="32"/>
        </w:rPr>
        <w:footnoteReference w:id="1"/>
      </w:r>
      <w:r>
        <w:rPr>
          <w:rFonts w:hint="eastAsia" w:ascii="仿宋_GB2312"/>
          <w:sz w:val="32"/>
        </w:rPr>
        <w:t>，在行业规划、产业政策、法规标准、行政管理中统筹消防安全要求。打通责任落实“最后一公里”，推动小微企业、“九小场所”签订消防安全承诺书；单位实行全员消防安全责任制，推行标准化管理，主动整改建筑消防设施监测、维护保养“不合格”问题。</w:t>
      </w:r>
    </w:p>
    <w:p w14:paraId="0A6A38CD">
      <w:pPr>
        <w:ind w:firstLine="643"/>
        <w:jc w:val="both"/>
        <w:rPr>
          <w:rFonts w:hint="eastAsia"/>
          <w:sz w:val="32"/>
          <w:szCs w:val="32"/>
        </w:rPr>
      </w:pPr>
      <w:r>
        <w:rPr>
          <w:rFonts w:hint="eastAsia"/>
          <w:b/>
          <w:bCs/>
          <w:sz w:val="32"/>
          <w:szCs w:val="32"/>
        </w:rPr>
        <w:t>（二）</w:t>
      </w:r>
      <w:r>
        <w:rPr>
          <w:b/>
          <w:bCs/>
          <w:sz w:val="32"/>
          <w:szCs w:val="32"/>
        </w:rPr>
        <w:t>多措并举优化消防执法环境</w:t>
      </w:r>
      <w:r>
        <w:rPr>
          <w:rFonts w:hint="eastAsia"/>
          <w:b/>
          <w:bCs/>
          <w:sz w:val="32"/>
          <w:szCs w:val="32"/>
        </w:rPr>
        <w:t>。</w:t>
      </w:r>
      <w:r>
        <w:rPr>
          <w:sz w:val="32"/>
          <w:szCs w:val="32"/>
        </w:rPr>
        <w:t>优化消防手续审批办理</w:t>
      </w:r>
      <w:r>
        <w:rPr>
          <w:rFonts w:hint="eastAsia"/>
          <w:sz w:val="32"/>
          <w:szCs w:val="32"/>
        </w:rPr>
        <w:t>，全面推行公众聚集场所投入使用和营业前消防安全检查告知承诺制，开展预检查服务，精简审批流程，提供一站式“帮办”集成化服务。</w:t>
      </w:r>
      <w:r>
        <w:rPr>
          <w:sz w:val="32"/>
          <w:szCs w:val="32"/>
        </w:rPr>
        <w:t>优化消防执法日常监管</w:t>
      </w:r>
      <w:r>
        <w:rPr>
          <w:rFonts w:hint="eastAsia"/>
          <w:sz w:val="32"/>
          <w:szCs w:val="32"/>
        </w:rPr>
        <w:t>，完善重点单位一体化综合监管线上服务；创新涉企行政检查监督方式，落实“一码检查”和“无事不扰”白名单制度，深化消防非现场监管、“风险+信用”监管，提升消防监管效率和信息化水平，用信用手段倒逼强化主体责任；</w:t>
      </w:r>
      <w:r>
        <w:rPr>
          <w:sz w:val="32"/>
          <w:szCs w:val="32"/>
        </w:rPr>
        <w:t>加强消防安全柔性执法工作</w:t>
      </w:r>
      <w:r>
        <w:rPr>
          <w:rFonts w:hint="eastAsia"/>
          <w:sz w:val="32"/>
          <w:szCs w:val="32"/>
        </w:rPr>
        <w:t>，研究制定《丰台区优化营商环境消防柔性执法工作规定》，完善消防安全信用记录工作制度。</w:t>
      </w:r>
    </w:p>
    <w:p w14:paraId="2811C97F">
      <w:pPr>
        <w:ind w:firstLine="643"/>
        <w:jc w:val="both"/>
        <w:rPr>
          <w:rFonts w:hint="eastAsia"/>
          <w:sz w:val="32"/>
          <w:szCs w:val="32"/>
        </w:rPr>
      </w:pPr>
      <w:r>
        <w:rPr>
          <w:rFonts w:hint="eastAsia"/>
          <w:b/>
          <w:bCs/>
          <w:sz w:val="32"/>
          <w:szCs w:val="32"/>
        </w:rPr>
        <w:t>（三）强化</w:t>
      </w:r>
      <w:r>
        <w:rPr>
          <w:b/>
          <w:bCs/>
          <w:sz w:val="32"/>
          <w:szCs w:val="32"/>
        </w:rPr>
        <w:t>火灾</w:t>
      </w:r>
      <w:r>
        <w:rPr>
          <w:rFonts w:hint="eastAsia"/>
          <w:b/>
          <w:bCs/>
          <w:sz w:val="32"/>
          <w:szCs w:val="32"/>
        </w:rPr>
        <w:t>事故</w:t>
      </w:r>
      <w:r>
        <w:rPr>
          <w:b/>
          <w:bCs/>
          <w:sz w:val="32"/>
          <w:szCs w:val="32"/>
        </w:rPr>
        <w:t>调查追究机制</w:t>
      </w:r>
      <w:r>
        <w:rPr>
          <w:rFonts w:hint="eastAsia"/>
          <w:b/>
          <w:bCs/>
          <w:sz w:val="32"/>
          <w:szCs w:val="32"/>
        </w:rPr>
        <w:t>。</w:t>
      </w:r>
      <w:r>
        <w:rPr>
          <w:rFonts w:hint="eastAsia"/>
          <w:sz w:val="32"/>
          <w:szCs w:val="32"/>
        </w:rPr>
        <w:t>完善火灾事故倒查追责制度，</w:t>
      </w:r>
      <w:r>
        <w:rPr>
          <w:rFonts w:hint="eastAsia" w:ascii="仿宋_GB2312"/>
          <w:sz w:val="32"/>
        </w:rPr>
        <w:t>研究制定《丰台区火灾事故调查处理规定》。</w:t>
      </w:r>
      <w:r>
        <w:rPr>
          <w:rFonts w:hint="eastAsia"/>
          <w:sz w:val="32"/>
          <w:szCs w:val="32"/>
        </w:rPr>
        <w:t>建立全过程责任追究机制</w:t>
      </w:r>
      <w:r>
        <w:rPr>
          <w:sz w:val="32"/>
          <w:szCs w:val="32"/>
        </w:rPr>
        <w:t>,对工程建设</w:t>
      </w:r>
      <w:r>
        <w:rPr>
          <w:rFonts w:hint="eastAsia"/>
          <w:sz w:val="32"/>
          <w:szCs w:val="32"/>
        </w:rPr>
        <w:t>、</w:t>
      </w:r>
      <w:r>
        <w:rPr>
          <w:sz w:val="32"/>
          <w:szCs w:val="32"/>
        </w:rPr>
        <w:t>中介服务</w:t>
      </w:r>
      <w:r>
        <w:rPr>
          <w:rFonts w:hint="eastAsia"/>
          <w:sz w:val="32"/>
          <w:szCs w:val="32"/>
        </w:rPr>
        <w:t>、</w:t>
      </w:r>
      <w:r>
        <w:rPr>
          <w:sz w:val="32"/>
          <w:szCs w:val="32"/>
        </w:rPr>
        <w:t>产品质量</w:t>
      </w:r>
      <w:r>
        <w:rPr>
          <w:rFonts w:hint="eastAsia"/>
          <w:sz w:val="32"/>
          <w:szCs w:val="32"/>
        </w:rPr>
        <w:t>、</w:t>
      </w:r>
      <w:r>
        <w:rPr>
          <w:sz w:val="32"/>
          <w:szCs w:val="32"/>
        </w:rPr>
        <w:t>使用管理</w:t>
      </w:r>
      <w:r>
        <w:rPr>
          <w:rFonts w:hint="eastAsia"/>
          <w:sz w:val="32"/>
          <w:szCs w:val="32"/>
        </w:rPr>
        <w:t>、</w:t>
      </w:r>
      <w:r>
        <w:rPr>
          <w:sz w:val="32"/>
          <w:szCs w:val="32"/>
        </w:rPr>
        <w:t>日常监管等情况开展延伸调查和责任倒查</w:t>
      </w:r>
      <w:r>
        <w:rPr>
          <w:rFonts w:hint="eastAsia"/>
          <w:sz w:val="32"/>
          <w:szCs w:val="32"/>
        </w:rPr>
        <w:t>，将相关经验教训进一步反馈应用到日常消防监管环节，建立“防-灭-防”的整改闭环机制</w:t>
      </w:r>
      <w:r>
        <w:rPr>
          <w:sz w:val="32"/>
          <w:szCs w:val="32"/>
        </w:rPr>
        <w:t>。</w:t>
      </w:r>
    </w:p>
    <w:p w14:paraId="4D6BC961">
      <w:pPr>
        <w:snapToGrid w:val="0"/>
        <w:ind w:firstLine="643"/>
        <w:jc w:val="both"/>
        <w:rPr>
          <w:rFonts w:hint="eastAsia"/>
          <w:sz w:val="32"/>
          <w:szCs w:val="32"/>
        </w:rPr>
      </w:pPr>
      <w:r>
        <w:rPr>
          <w:b/>
          <w:bCs/>
          <w:sz w:val="32"/>
          <w:szCs w:val="32"/>
        </w:rPr>
        <w:t>（四）完善全民消防教育培训体系</w:t>
      </w:r>
      <w:r>
        <w:rPr>
          <w:rFonts w:hint="eastAsia"/>
          <w:b/>
          <w:bCs/>
          <w:sz w:val="32"/>
          <w:szCs w:val="32"/>
        </w:rPr>
        <w:t>。</w:t>
      </w:r>
      <w:r>
        <w:rPr>
          <w:rFonts w:hint="eastAsia"/>
          <w:sz w:val="32"/>
          <w:szCs w:val="32"/>
        </w:rPr>
        <w:t>实施全民消防安全素质提升行动，将消防安全教育纳入国民素质教育、职业培训、科普宣传、警示教育等，广泛开展消防宣传月和消防宣传“五进”活动；通过入门入户</w:t>
      </w:r>
      <w:r>
        <w:rPr>
          <w:sz w:val="32"/>
          <w:szCs w:val="32"/>
        </w:rPr>
        <w:t>等方式</w:t>
      </w:r>
      <w:r>
        <w:rPr>
          <w:rFonts w:hint="eastAsia"/>
          <w:sz w:val="32"/>
          <w:szCs w:val="32"/>
        </w:rPr>
        <w:t>，加强对老年人、残疾人、来京务工人员等重点群体的针对性宣传，</w:t>
      </w:r>
      <w:r>
        <w:rPr>
          <w:sz w:val="32"/>
          <w:szCs w:val="32"/>
        </w:rPr>
        <w:t>开展</w:t>
      </w:r>
      <w:r>
        <w:rPr>
          <w:rFonts w:hint="eastAsia"/>
          <w:sz w:val="32"/>
          <w:szCs w:val="32"/>
        </w:rPr>
        <w:t>“</w:t>
      </w:r>
      <w:r>
        <w:rPr>
          <w:sz w:val="32"/>
          <w:szCs w:val="32"/>
        </w:rPr>
        <w:t>一警六员</w:t>
      </w:r>
      <w:r>
        <w:rPr>
          <w:rFonts w:hint="eastAsia"/>
          <w:sz w:val="32"/>
          <w:szCs w:val="32"/>
        </w:rPr>
        <w:t>”</w:t>
      </w:r>
      <w:r>
        <w:rPr>
          <w:sz w:val="32"/>
          <w:szCs w:val="32"/>
        </w:rPr>
        <w:t>实操实训</w:t>
      </w:r>
      <w:r>
        <w:rPr>
          <w:rFonts w:hint="eastAsia"/>
          <w:sz w:val="32"/>
          <w:szCs w:val="32"/>
        </w:rPr>
        <w:t>，重点培训单位消防责任人、管理员及安保等人员。</w:t>
      </w:r>
      <w:r>
        <w:rPr>
          <w:sz w:val="32"/>
          <w:szCs w:val="32"/>
        </w:rPr>
        <w:t>完善宣传阵地建设</w:t>
      </w:r>
      <w:r>
        <w:rPr>
          <w:rFonts w:hint="eastAsia"/>
          <w:sz w:val="32"/>
          <w:szCs w:val="32"/>
        </w:rPr>
        <w:t>，</w:t>
      </w:r>
      <w:r>
        <w:rPr>
          <w:sz w:val="32"/>
          <w:szCs w:val="32"/>
        </w:rPr>
        <w:t>升级市民防灾教育馆，依托区级公园打造消防主题公园</w:t>
      </w:r>
      <w:r>
        <w:rPr>
          <w:rFonts w:hint="eastAsia"/>
          <w:sz w:val="32"/>
          <w:szCs w:val="32"/>
        </w:rPr>
        <w:t>，加强新媒体矩阵建设，强化资源协同与传播效能。</w:t>
      </w:r>
      <w:r>
        <w:rPr>
          <w:sz w:val="32"/>
          <w:szCs w:val="32"/>
        </w:rPr>
        <w:t>增强社会协同参与能力</w:t>
      </w:r>
      <w:r>
        <w:rPr>
          <w:rFonts w:hint="eastAsia"/>
          <w:sz w:val="32"/>
          <w:szCs w:val="32"/>
        </w:rPr>
        <w:t>，建立“政府主导、社会协同、公众参与”的消防宣传格局，推广“企业</w:t>
      </w:r>
      <w:r>
        <w:rPr>
          <w:sz w:val="32"/>
          <w:szCs w:val="32"/>
        </w:rPr>
        <w:t>+社区+消防</w:t>
      </w:r>
      <w:r>
        <w:rPr>
          <w:rFonts w:hint="eastAsia"/>
          <w:sz w:val="32"/>
          <w:szCs w:val="32"/>
        </w:rPr>
        <w:t>”</w:t>
      </w:r>
      <w:r>
        <w:rPr>
          <w:sz w:val="32"/>
          <w:szCs w:val="32"/>
        </w:rPr>
        <w:t>的联动宣传机制</w:t>
      </w:r>
      <w:r>
        <w:rPr>
          <w:rFonts w:hint="eastAsia"/>
          <w:sz w:val="32"/>
          <w:szCs w:val="32"/>
        </w:rPr>
        <w:t>，</w:t>
      </w:r>
      <w:r>
        <w:rPr>
          <w:sz w:val="32"/>
          <w:szCs w:val="32"/>
        </w:rPr>
        <w:t>构建多元共治模式</w:t>
      </w:r>
      <w:r>
        <w:rPr>
          <w:rFonts w:hint="eastAsia"/>
          <w:sz w:val="32"/>
          <w:szCs w:val="32"/>
        </w:rPr>
        <w:t>。</w:t>
      </w:r>
    </w:p>
    <w:p w14:paraId="3B196994">
      <w:pPr>
        <w:ind w:firstLine="643"/>
        <w:jc w:val="both"/>
        <w:rPr>
          <w:rFonts w:hint="eastAsia" w:ascii="黑体" w:hAnsi="黑体" w:eastAsia="黑体"/>
          <w:b/>
          <w:bCs/>
          <w:sz w:val="32"/>
          <w:szCs w:val="32"/>
        </w:rPr>
      </w:pPr>
      <w:r>
        <w:rPr>
          <w:rFonts w:hint="eastAsia" w:ascii="黑体" w:hAnsi="黑体" w:eastAsia="黑体"/>
          <w:b/>
          <w:bCs/>
          <w:sz w:val="32"/>
          <w:szCs w:val="32"/>
        </w:rPr>
        <w:t>五</w:t>
      </w:r>
      <w:r>
        <w:rPr>
          <w:rFonts w:ascii="黑体" w:hAnsi="黑体" w:eastAsia="黑体"/>
          <w:b/>
          <w:bCs/>
          <w:sz w:val="32"/>
          <w:szCs w:val="32"/>
        </w:rPr>
        <w:t>、提升灾害事故应对处置能力及应急实战救援能力</w:t>
      </w:r>
    </w:p>
    <w:p w14:paraId="58F4165A">
      <w:pPr>
        <w:ind w:firstLine="643"/>
        <w:jc w:val="both"/>
        <w:rPr>
          <w:rFonts w:hint="eastAsia"/>
          <w:sz w:val="32"/>
        </w:rPr>
      </w:pPr>
      <w:r>
        <w:rPr>
          <w:b/>
          <w:bCs/>
          <w:sz w:val="32"/>
          <w:szCs w:val="32"/>
        </w:rPr>
        <w:t>（一）加强多元消防救援力量</w:t>
      </w:r>
      <w:r>
        <w:rPr>
          <w:rFonts w:hint="eastAsia"/>
          <w:b/>
          <w:bCs/>
          <w:sz w:val="32"/>
          <w:szCs w:val="32"/>
        </w:rPr>
        <w:t>。</w:t>
      </w:r>
      <w:r>
        <w:rPr>
          <w:rFonts w:hint="eastAsia"/>
          <w:sz w:val="32"/>
        </w:rPr>
        <w:t>壮大以国家综合性消防救援力量为主力、专职消防救援力量为基础、志愿消防力量为补充的城乡多元消防救援力量体系。</w:t>
      </w:r>
      <w:r>
        <w:rPr>
          <w:sz w:val="32"/>
        </w:rPr>
        <w:t>建强国家综合性消防救援队伍“主力军”</w:t>
      </w:r>
      <w:r>
        <w:rPr>
          <w:rFonts w:hint="eastAsia"/>
          <w:sz w:val="32"/>
        </w:rPr>
        <w:t>，健全消防员平时考核、年度考核、晋升考核“三位一体、层层递进”的考核评价体系。</w:t>
      </w:r>
      <w:r>
        <w:rPr>
          <w:sz w:val="32"/>
        </w:rPr>
        <w:t>壮大</w:t>
      </w:r>
      <w:r>
        <w:rPr>
          <w:rFonts w:hint="eastAsia"/>
          <w:sz w:val="32"/>
        </w:rPr>
        <w:t>政府</w:t>
      </w:r>
      <w:r>
        <w:rPr>
          <w:sz w:val="32"/>
        </w:rPr>
        <w:t>专职消防力量</w:t>
      </w:r>
      <w:r>
        <w:rPr>
          <w:rFonts w:hint="eastAsia"/>
          <w:sz w:val="32"/>
        </w:rPr>
        <w:t>，与国家综合性消防救援力量统筹规划布局，实行一体化管理、一体化训练、一体化作战、一体化保障；建立乡镇（企事业）专职消防队作战能力达标验收机制。</w:t>
      </w:r>
      <w:r>
        <w:rPr>
          <w:sz w:val="32"/>
        </w:rPr>
        <w:t>加强志愿消防队伍建设</w:t>
      </w:r>
      <w:r>
        <w:rPr>
          <w:rFonts w:hint="eastAsia"/>
          <w:sz w:val="32"/>
        </w:rPr>
        <w:t>，推进社区（村）、社会单位微型消防站等自防自救力量全覆盖，深化“大站带小站联微站”共训共练、联勤联防模式。</w:t>
      </w:r>
    </w:p>
    <w:p w14:paraId="270A4E64">
      <w:pPr>
        <w:ind w:firstLine="643"/>
        <w:jc w:val="both"/>
        <w:rPr>
          <w:rFonts w:hint="eastAsia"/>
          <w:sz w:val="32"/>
          <w:szCs w:val="32"/>
        </w:rPr>
      </w:pPr>
      <w:r>
        <w:rPr>
          <w:b/>
          <w:bCs/>
          <w:sz w:val="32"/>
          <w:szCs w:val="32"/>
        </w:rPr>
        <w:t>（二）完善现代化应急救援指挥体系</w:t>
      </w:r>
      <w:r>
        <w:rPr>
          <w:rFonts w:hint="eastAsia"/>
          <w:b/>
          <w:bCs/>
          <w:sz w:val="32"/>
          <w:szCs w:val="32"/>
        </w:rPr>
        <w:t>。</w:t>
      </w:r>
      <w:r>
        <w:rPr>
          <w:rFonts w:hint="eastAsia"/>
          <w:sz w:val="32"/>
          <w:szCs w:val="32"/>
        </w:rPr>
        <w:t>建立“区—街道（镇）—社区（村）—网格单元”四级消防指挥调度体系，对救援力量、重点单位、场所及人员活动实施网格化管理。优化全勤指挥部值守、出动、指挥流程，完善与区政府、应急、气象、公安、交通等部门及街镇的信息资源共享机制，拓展多种形式消防力量“直联式”指挥调度途径。</w:t>
      </w:r>
    </w:p>
    <w:p w14:paraId="516E280C">
      <w:pPr>
        <w:ind w:firstLine="643"/>
        <w:jc w:val="both"/>
        <w:rPr>
          <w:rFonts w:hint="eastAsia"/>
          <w:sz w:val="32"/>
          <w:szCs w:val="32"/>
        </w:rPr>
      </w:pPr>
      <w:r>
        <w:rPr>
          <w:b/>
          <w:bCs/>
          <w:sz w:val="32"/>
          <w:szCs w:val="32"/>
        </w:rPr>
        <w:t>（三）健全应急预案体系建设</w:t>
      </w:r>
      <w:r>
        <w:rPr>
          <w:rFonts w:hint="eastAsia"/>
          <w:b/>
          <w:bCs/>
          <w:sz w:val="32"/>
          <w:szCs w:val="32"/>
        </w:rPr>
        <w:t>。</w:t>
      </w:r>
      <w:r>
        <w:rPr>
          <w:rFonts w:hint="eastAsia"/>
          <w:sz w:val="32"/>
          <w:szCs w:val="32"/>
        </w:rPr>
        <w:t>落实和完善三类（类型预案、对象预案、勤务预案）、三级（总队、支队、消防站）预案体系，修订完善《丰台区火灾事故应急救援预案》。</w:t>
      </w:r>
      <w:r>
        <w:rPr>
          <w:sz w:val="32"/>
          <w:szCs w:val="32"/>
        </w:rPr>
        <w:t>多层面</w:t>
      </w:r>
      <w:r>
        <w:rPr>
          <w:rFonts w:hint="eastAsia"/>
          <w:sz w:val="32"/>
          <w:szCs w:val="32"/>
        </w:rPr>
        <w:t>、</w:t>
      </w:r>
      <w:r>
        <w:rPr>
          <w:sz w:val="32"/>
          <w:szCs w:val="32"/>
        </w:rPr>
        <w:t>多渠道丰富完善灭火救援预案数据库</w:t>
      </w:r>
      <w:r>
        <w:rPr>
          <w:rFonts w:hint="eastAsia"/>
          <w:sz w:val="32"/>
          <w:szCs w:val="32"/>
        </w:rPr>
        <w:t>，探索数字化预案管理体系，</w:t>
      </w:r>
      <w:r>
        <w:rPr>
          <w:sz w:val="32"/>
          <w:szCs w:val="32"/>
        </w:rPr>
        <w:t>实现预案动态更新</w:t>
      </w:r>
      <w:r>
        <w:rPr>
          <w:rFonts w:hint="eastAsia"/>
          <w:sz w:val="32"/>
          <w:szCs w:val="32"/>
        </w:rPr>
        <w:t>、</w:t>
      </w:r>
      <w:r>
        <w:rPr>
          <w:sz w:val="32"/>
          <w:szCs w:val="32"/>
        </w:rPr>
        <w:t>一键启动和多部门协同。拓展应用数字化预案</w:t>
      </w:r>
      <w:r>
        <w:rPr>
          <w:rFonts w:hint="eastAsia"/>
          <w:sz w:val="32"/>
          <w:szCs w:val="32"/>
        </w:rPr>
        <w:t>，</w:t>
      </w:r>
      <w:r>
        <w:rPr>
          <w:sz w:val="32"/>
          <w:szCs w:val="32"/>
        </w:rPr>
        <w:t>推进预案实战效能从</w:t>
      </w:r>
      <w:r>
        <w:rPr>
          <w:rFonts w:hint="eastAsia"/>
          <w:sz w:val="32"/>
          <w:szCs w:val="32"/>
        </w:rPr>
        <w:t>“</w:t>
      </w:r>
      <w:r>
        <w:rPr>
          <w:sz w:val="32"/>
          <w:szCs w:val="32"/>
        </w:rPr>
        <w:t>桌面端</w:t>
      </w:r>
      <w:r>
        <w:rPr>
          <w:rFonts w:hint="eastAsia"/>
          <w:sz w:val="32"/>
          <w:szCs w:val="32"/>
        </w:rPr>
        <w:t>”</w:t>
      </w:r>
      <w:r>
        <w:rPr>
          <w:sz w:val="32"/>
          <w:szCs w:val="32"/>
        </w:rPr>
        <w:t>向</w:t>
      </w:r>
      <w:r>
        <w:rPr>
          <w:rFonts w:hint="eastAsia"/>
          <w:sz w:val="32"/>
          <w:szCs w:val="32"/>
        </w:rPr>
        <w:t>“</w:t>
      </w:r>
      <w:r>
        <w:rPr>
          <w:sz w:val="32"/>
          <w:szCs w:val="32"/>
        </w:rPr>
        <w:t>移动端</w:t>
      </w:r>
      <w:r>
        <w:rPr>
          <w:rFonts w:hint="eastAsia"/>
          <w:sz w:val="32"/>
          <w:szCs w:val="32"/>
        </w:rPr>
        <w:t>”</w:t>
      </w:r>
      <w:r>
        <w:rPr>
          <w:sz w:val="32"/>
          <w:szCs w:val="32"/>
        </w:rPr>
        <w:t>延伸</w:t>
      </w:r>
      <w:r>
        <w:rPr>
          <w:rFonts w:hint="eastAsia"/>
          <w:sz w:val="32"/>
          <w:szCs w:val="32"/>
        </w:rPr>
        <w:t>，</w:t>
      </w:r>
      <w:r>
        <w:rPr>
          <w:sz w:val="32"/>
          <w:szCs w:val="32"/>
        </w:rPr>
        <w:t>最大化服务作战一线</w:t>
      </w:r>
      <w:r>
        <w:rPr>
          <w:rFonts w:hint="eastAsia"/>
          <w:sz w:val="32"/>
          <w:szCs w:val="32"/>
        </w:rPr>
        <w:t>。</w:t>
      </w:r>
    </w:p>
    <w:p w14:paraId="0A032669">
      <w:pPr>
        <w:ind w:firstLine="643"/>
        <w:jc w:val="both"/>
        <w:rPr>
          <w:rFonts w:hint="eastAsia"/>
          <w:sz w:val="32"/>
          <w:szCs w:val="32"/>
        </w:rPr>
      </w:pPr>
      <w:r>
        <w:rPr>
          <w:b/>
          <w:bCs/>
          <w:sz w:val="32"/>
          <w:szCs w:val="32"/>
        </w:rPr>
        <w:t>（四）完善实战化训练体系</w:t>
      </w:r>
      <w:r>
        <w:rPr>
          <w:rFonts w:hint="eastAsia"/>
          <w:b/>
          <w:bCs/>
          <w:sz w:val="32"/>
          <w:szCs w:val="32"/>
        </w:rPr>
        <w:t>。</w:t>
      </w:r>
      <w:r>
        <w:rPr>
          <w:rFonts w:hint="eastAsia"/>
          <w:sz w:val="32"/>
          <w:szCs w:val="32"/>
        </w:rPr>
        <w:t>推进全员体能普训、实操练兵，完善战训师资力量培训、指挥员（初、中、高级）培训、新入职消防员岗前培训制度，逐步建立统一、成熟、规范的教育培训体系。制定规范、统一、便于实战应用的作战信息卡，强化“初战编成”实训。针对地下交通枢纽、石油化工场所、高层建筑、大跨度厂库房、人员密集场所等重点场所、新业态及典型森林火灾案例，通过桌面推演、复盘研讨等平台，提炼技战术方法，锻炼指挥员指挥习惯和消防员行动记忆，提升应急救援综合实战能力。</w:t>
      </w:r>
    </w:p>
    <w:p w14:paraId="35E539A6">
      <w:pPr>
        <w:ind w:firstLine="643"/>
        <w:jc w:val="both"/>
        <w:rPr>
          <w:rFonts w:hint="eastAsia"/>
          <w:sz w:val="32"/>
          <w:szCs w:val="32"/>
        </w:rPr>
      </w:pPr>
      <w:r>
        <w:rPr>
          <w:b/>
          <w:bCs/>
          <w:sz w:val="32"/>
          <w:szCs w:val="32"/>
        </w:rPr>
        <w:t>（五）强化薄弱区域的火灾消防救援应急能力</w:t>
      </w:r>
      <w:r>
        <w:rPr>
          <w:rFonts w:hint="eastAsia"/>
          <w:b/>
          <w:bCs/>
          <w:sz w:val="32"/>
          <w:szCs w:val="32"/>
        </w:rPr>
        <w:t>。</w:t>
      </w:r>
      <w:r>
        <w:rPr>
          <w:sz w:val="32"/>
          <w:szCs w:val="32"/>
        </w:rPr>
        <w:t>提升城乡结合部、老旧</w:t>
      </w:r>
      <w:r>
        <w:rPr>
          <w:rFonts w:hint="eastAsia"/>
          <w:sz w:val="32"/>
          <w:szCs w:val="32"/>
        </w:rPr>
        <w:t>小</w:t>
      </w:r>
      <w:r>
        <w:rPr>
          <w:sz w:val="32"/>
          <w:szCs w:val="32"/>
        </w:rPr>
        <w:t>区</w:t>
      </w:r>
      <w:r>
        <w:rPr>
          <w:rFonts w:hint="eastAsia"/>
          <w:sz w:val="32"/>
          <w:szCs w:val="32"/>
        </w:rPr>
        <w:t>、平房区</w:t>
      </w:r>
      <w:r>
        <w:rPr>
          <w:sz w:val="32"/>
          <w:szCs w:val="32"/>
        </w:rPr>
        <w:t>等火灾相对高发的薄弱区域火灾救援应急能力</w:t>
      </w:r>
      <w:r>
        <w:rPr>
          <w:rFonts w:hint="eastAsia"/>
          <w:sz w:val="32"/>
          <w:szCs w:val="32"/>
        </w:rPr>
        <w:t>，加强灭火救援准备工作，优化微型消防站布局和装备配备，常态化开展复杂火灾桌面推演和技战术研究；加强属地消防队站与专职队、微型站、志愿队的联勤联训，提升协同作战和初起火灾扑救能力。灾时联动社区、公安疏通消防通道，利用大功率水罐车、水带铺设车、市政环卫洒水车等保障供水，依托移动消防装备快速控火，防止火势向毗邻建筑蔓延；灾后同步指导整改隐患。优化森林消防力量布局，</w:t>
      </w:r>
      <w:r>
        <w:rPr>
          <w:sz w:val="32"/>
          <w:szCs w:val="32"/>
        </w:rPr>
        <w:t>推进北京消防救援机动支队驻丰台中队</w:t>
      </w:r>
      <w:r>
        <w:rPr>
          <w:rFonts w:hint="eastAsia"/>
          <w:sz w:val="32"/>
          <w:szCs w:val="32"/>
        </w:rPr>
        <w:t>的</w:t>
      </w:r>
      <w:r>
        <w:rPr>
          <w:sz w:val="32"/>
          <w:szCs w:val="32"/>
        </w:rPr>
        <w:t>近期和永久队站建设，</w:t>
      </w:r>
      <w:r>
        <w:rPr>
          <w:rFonts w:hint="eastAsia"/>
          <w:sz w:val="32"/>
          <w:szCs w:val="32"/>
        </w:rPr>
        <w:t>整合北京消防救援机动支队驻丰台中队和区应急局综合应急救援支队专业力量，以联勤联训强化能力建设；探索林区风险等级划分，按照风险等级逐步推动力量派驻，实现重点林区、主要流域力量布局全覆盖，构建重点目标、重要林区快速响应联动体系。</w:t>
      </w:r>
    </w:p>
    <w:p w14:paraId="35E1754A">
      <w:pPr>
        <w:ind w:firstLine="643"/>
        <w:jc w:val="both"/>
        <w:rPr>
          <w:rFonts w:hint="eastAsia"/>
          <w:sz w:val="32"/>
          <w:szCs w:val="32"/>
        </w:rPr>
      </w:pPr>
      <w:r>
        <w:rPr>
          <w:b/>
          <w:bCs/>
          <w:sz w:val="32"/>
          <w:szCs w:val="32"/>
        </w:rPr>
        <w:t>（六）强化特种灾害综合救援能力</w:t>
      </w:r>
      <w:r>
        <w:rPr>
          <w:rFonts w:hint="eastAsia"/>
          <w:b/>
          <w:bCs/>
          <w:sz w:val="32"/>
          <w:szCs w:val="32"/>
        </w:rPr>
        <w:t>。</w:t>
      </w:r>
      <w:r>
        <w:rPr>
          <w:rFonts w:hint="eastAsia"/>
          <w:sz w:val="32"/>
          <w:szCs w:val="32"/>
        </w:rPr>
        <w:t>立足区域灾害特点，深化地震、水域、高空山岳、有限空间、核生化专业队建设，提升队员专业持证率。以常态化实战拉动演练、专业培训、预案修订提升综合救援能力，依托区应急平台联勤会商，完善消防与警航、通航企业及相关单位协同作战机制。</w:t>
      </w:r>
    </w:p>
    <w:p w14:paraId="255D6583">
      <w:pPr>
        <w:ind w:firstLine="643"/>
        <w:jc w:val="both"/>
        <w:rPr>
          <w:rFonts w:hint="eastAsia"/>
          <w:sz w:val="32"/>
          <w:szCs w:val="32"/>
        </w:rPr>
      </w:pPr>
      <w:r>
        <w:rPr>
          <w:b/>
          <w:bCs/>
          <w:sz w:val="32"/>
          <w:szCs w:val="32"/>
        </w:rPr>
        <w:t>（七）优化提升消防救援装备</w:t>
      </w:r>
      <w:r>
        <w:rPr>
          <w:rFonts w:hint="eastAsia"/>
          <w:b/>
          <w:bCs/>
          <w:sz w:val="32"/>
          <w:szCs w:val="32"/>
        </w:rPr>
        <w:t>。</w:t>
      </w:r>
      <w:r>
        <w:rPr>
          <w:rFonts w:hint="eastAsia"/>
          <w:sz w:val="32"/>
          <w:szCs w:val="32"/>
        </w:rPr>
        <w:t>加强消防站装备达标建设，新建消防站和政府小型消防站装备配备达标率达到1</w:t>
      </w:r>
      <w:r>
        <w:rPr>
          <w:sz w:val="32"/>
          <w:szCs w:val="32"/>
        </w:rPr>
        <w:t>00%</w:t>
      </w:r>
      <w:r>
        <w:rPr>
          <w:rFonts w:hint="eastAsia"/>
          <w:sz w:val="32"/>
          <w:szCs w:val="32"/>
        </w:rPr>
        <w:t>；已建成消防站个人防护装备配备达标率达到100%，其余装备不低于90%。推动装备</w:t>
      </w:r>
      <w:r>
        <w:rPr>
          <w:rFonts w:hint="eastAsia" w:ascii="仿宋_GB2312" w:hAnsi="Times New Roman" w:cs="Times New Roman"/>
          <w:sz w:val="32"/>
          <w:szCs w:val="32"/>
        </w:rPr>
        <w:t>提档升级</w:t>
      </w:r>
      <w:r>
        <w:rPr>
          <w:rFonts w:hint="eastAsia"/>
          <w:sz w:val="32"/>
          <w:szCs w:val="32"/>
        </w:rPr>
        <w:t>，</w:t>
      </w:r>
      <w:r>
        <w:rPr>
          <w:rFonts w:hint="eastAsia" w:ascii="仿宋_GB2312" w:hAnsi="Times New Roman" w:cs="Times New Roman"/>
          <w:sz w:val="32"/>
          <w:szCs w:val="32"/>
        </w:rPr>
        <w:t>列装快速侦察检测、便携电动破拆、高效照明排烟、紧急呼救报警、安全逃生导向等先进装备。</w:t>
      </w:r>
      <w:r>
        <w:rPr>
          <w:rFonts w:hint="eastAsia"/>
          <w:sz w:val="32"/>
          <w:szCs w:val="32"/>
        </w:rPr>
        <w:t>迭代升级消防车，服役超过15年的淘汰率不低于总量的20%，增加具有救援功能、便于展开的举高类消防车配备，进一步推进车辆标准化、模块化建设。健全</w:t>
      </w:r>
      <w:r>
        <w:rPr>
          <w:sz w:val="32"/>
          <w:szCs w:val="32"/>
        </w:rPr>
        <w:t>6</w:t>
      </w:r>
      <w:r>
        <w:rPr>
          <w:rFonts w:hint="eastAsia"/>
          <w:sz w:val="32"/>
          <w:szCs w:val="32"/>
        </w:rPr>
        <w:t>类专业救援装备，完善水域救援、高层（地下）建筑灭火作战、山岳救援、雨雪冰冻灾害救援、石油化工灭火作战及地震救援的应急装备物资储备，提升消防救援专业水平。</w:t>
      </w:r>
    </w:p>
    <w:p w14:paraId="0B0C0CF6">
      <w:pPr>
        <w:ind w:firstLine="643"/>
        <w:jc w:val="both"/>
        <w:rPr>
          <w:rFonts w:hint="eastAsia"/>
          <w:b/>
          <w:bCs/>
          <w:sz w:val="32"/>
          <w:szCs w:val="32"/>
        </w:rPr>
      </w:pPr>
      <w:r>
        <w:rPr>
          <w:rFonts w:hint="eastAsia" w:ascii="黑体" w:hAnsi="黑体" w:eastAsia="黑体"/>
          <w:b/>
          <w:bCs/>
          <w:sz w:val="32"/>
          <w:szCs w:val="32"/>
        </w:rPr>
        <w:t>六</w:t>
      </w:r>
      <w:r>
        <w:rPr>
          <w:rFonts w:ascii="黑体" w:hAnsi="黑体" w:eastAsia="黑体"/>
          <w:b/>
          <w:bCs/>
          <w:sz w:val="32"/>
          <w:szCs w:val="32"/>
        </w:rPr>
        <w:t>、夯实公共消防基础设施网络</w:t>
      </w:r>
    </w:p>
    <w:p w14:paraId="6859FFF3">
      <w:pPr>
        <w:ind w:firstLine="643"/>
        <w:jc w:val="both"/>
        <w:rPr>
          <w:rFonts w:hint="eastAsia"/>
          <w:b/>
          <w:bCs/>
        </w:rPr>
      </w:pPr>
      <w:r>
        <w:rPr>
          <w:rFonts w:hint="eastAsia"/>
          <w:b/>
          <w:bCs/>
          <w:sz w:val="32"/>
          <w:szCs w:val="32"/>
        </w:rPr>
        <w:t>（一）强化训练设施建设和战勤保障水平。</w:t>
      </w:r>
      <w:r>
        <w:rPr>
          <w:rFonts w:hint="eastAsia"/>
          <w:sz w:val="32"/>
          <w:szCs w:val="32"/>
        </w:rPr>
        <w:t>推动丰台区消防训练基地及战勤保障站合建项目，集成物资储备、应急运输、油料供给、卫勤保障、技术服务等功能，逐步提升救灾物资储备、综合防灾减灾与应急救援能力；适时结合任务特点完善专业训练设施，提供专业性训练。</w:t>
      </w:r>
    </w:p>
    <w:p w14:paraId="5FBCEB29">
      <w:pPr>
        <w:ind w:firstLine="643"/>
        <w:jc w:val="both"/>
        <w:rPr>
          <w:rFonts w:hint="eastAsia"/>
          <w:b/>
          <w:bCs/>
        </w:rPr>
      </w:pPr>
      <w:r>
        <w:rPr>
          <w:rFonts w:hint="eastAsia"/>
          <w:b/>
          <w:bCs/>
          <w:sz w:val="32"/>
          <w:szCs w:val="32"/>
        </w:rPr>
        <w:t>（二）完善多层次消防设施布局体系。</w:t>
      </w:r>
      <w:r>
        <w:rPr>
          <w:rFonts w:hint="eastAsia"/>
          <w:sz w:val="32"/>
          <w:szCs w:val="32"/>
        </w:rPr>
        <w:t>结合韧性城市空间规划，优化韧性消防体系布局，将消防安全布局、公共消防设施等纳入国土空间规划“一张图”。规划建设四合庄、张郭庄、崔村、羊坊4座消防救援站，推进看丹、新宫、小井、小瓦窑4座站点前期研究谋划。以提升“消防救援5分钟覆盖率”为原则，在商业密集、交通拥堵、火灾高发等区域，采取新建、改建、配建、租用等方式建设小型消防站。研究制定《丰台区社会单位微型消防站建设意见》，按“一社区一站、一重点单位一站”要求推进微型消防站实现全覆盖。健全多形式消防队伍联勤联训联动机制，完善“5分钟消防救援圈”，提升“灭早、灭小、灭初期”能力。完善森林防火救援设施布局，依托丰台区河西地区，建设森林消防综合应急救援基地，并协助建立森防国家队驻地，按照中队级对应标准配套训练场地，推进消防综合应急救援基地能力建设。</w:t>
      </w:r>
    </w:p>
    <w:p w14:paraId="6D967496">
      <w:pPr>
        <w:ind w:firstLine="643"/>
        <w:jc w:val="both"/>
        <w:rPr>
          <w:rFonts w:hint="eastAsia"/>
          <w:b/>
          <w:bCs/>
        </w:rPr>
      </w:pPr>
      <w:r>
        <w:rPr>
          <w:rFonts w:hint="eastAsia"/>
          <w:b/>
          <w:bCs/>
          <w:sz w:val="32"/>
          <w:szCs w:val="32"/>
        </w:rPr>
        <w:t>（三）完善消防水源设施建设。</w:t>
      </w:r>
      <w:r>
        <w:rPr>
          <w:rFonts w:hint="eastAsia"/>
          <w:sz w:val="32"/>
          <w:szCs w:val="32"/>
        </w:rPr>
        <w:t>构建市政供水、消防水池供水和井水供水等多元化供水渠道。推动市政消火栓与城市供水、道路等基础设施同步规划建设。针对部分平房胡同、老旧小区、城乡结合部、农村等消防水源匮乏区域，依托市政供水管网、机井、移动水箱或天然水源，增建或补建消防水池、取水码头、消防水鹤，提高消防供水覆盖面。持续推进消火栓治理，压实相关单位日常管养职责，统一标注标识，确保市政消火栓完好率达98%。依托“消防+环卫”灭火救援联勤联动机制，持续深化联勤、联训、联调、联战</w:t>
      </w:r>
      <w:r>
        <w:rPr>
          <w:rFonts w:hint="eastAsia" w:ascii="仿宋" w:hAnsi="仿宋" w:cs="仿宋"/>
          <w:sz w:val="32"/>
          <w:szCs w:val="32"/>
        </w:rPr>
        <w:t>“</w:t>
      </w:r>
      <w:r>
        <w:rPr>
          <w:rFonts w:ascii="仿宋" w:hAnsi="仿宋" w:cs="仿宋"/>
          <w:sz w:val="32"/>
          <w:szCs w:val="32"/>
        </w:rPr>
        <w:t>四联</w:t>
      </w:r>
      <w:r>
        <w:rPr>
          <w:rFonts w:hint="eastAsia" w:ascii="仿宋" w:hAnsi="仿宋" w:cs="仿宋"/>
          <w:sz w:val="32"/>
          <w:szCs w:val="32"/>
        </w:rPr>
        <w:t>”</w:t>
      </w:r>
      <w:r>
        <w:rPr>
          <w:rFonts w:hint="eastAsia"/>
          <w:sz w:val="32"/>
          <w:szCs w:val="32"/>
        </w:rPr>
        <w:t>举措，将环卫洒水车等统筹纳入全域指挥调度</w:t>
      </w:r>
      <w:r>
        <w:rPr>
          <w:rFonts w:ascii="仿宋" w:hAnsi="仿宋" w:cs="仿宋"/>
          <w:sz w:val="32"/>
          <w:szCs w:val="32"/>
        </w:rPr>
        <w:t>体系</w:t>
      </w:r>
      <w:r>
        <w:rPr>
          <w:rFonts w:hint="eastAsia"/>
          <w:sz w:val="32"/>
          <w:szCs w:val="32"/>
        </w:rPr>
        <w:t>，</w:t>
      </w:r>
      <w:r>
        <w:rPr>
          <w:rFonts w:ascii="仿宋" w:hAnsi="仿宋" w:cs="仿宋"/>
          <w:sz w:val="32"/>
          <w:szCs w:val="32"/>
        </w:rPr>
        <w:t>推进火场供水</w:t>
      </w:r>
      <w:r>
        <w:rPr>
          <w:rFonts w:hint="eastAsia" w:ascii="仿宋" w:hAnsi="仿宋" w:cs="仿宋"/>
          <w:sz w:val="32"/>
          <w:szCs w:val="32"/>
        </w:rPr>
        <w:t>、</w:t>
      </w:r>
      <w:r>
        <w:rPr>
          <w:rFonts w:ascii="仿宋" w:hAnsi="仿宋" w:cs="仿宋"/>
          <w:sz w:val="32"/>
          <w:szCs w:val="32"/>
        </w:rPr>
        <w:t>协同演练</w:t>
      </w:r>
      <w:r>
        <w:rPr>
          <w:rFonts w:hint="eastAsia" w:ascii="仿宋" w:hAnsi="仿宋" w:cs="仿宋"/>
          <w:sz w:val="32"/>
          <w:szCs w:val="32"/>
        </w:rPr>
        <w:t>、</w:t>
      </w:r>
      <w:r>
        <w:rPr>
          <w:rFonts w:ascii="仿宋" w:hAnsi="仿宋" w:cs="仿宋"/>
          <w:sz w:val="32"/>
          <w:szCs w:val="32"/>
        </w:rPr>
        <w:t>联合执勤工作</w:t>
      </w:r>
      <w:r>
        <w:rPr>
          <w:rFonts w:hint="eastAsia"/>
          <w:sz w:val="32"/>
          <w:szCs w:val="32"/>
        </w:rPr>
        <w:t>。探索利用大数据、物联网等技术搭建消防水源信息化管理平台，实现空间位置、技术参数、工况状态的动态指挥管控，破解灭火现场找水难问题。</w:t>
      </w:r>
    </w:p>
    <w:p w14:paraId="40037F86">
      <w:pPr>
        <w:ind w:firstLine="643"/>
        <w:jc w:val="both"/>
        <w:rPr>
          <w:rFonts w:hint="eastAsia"/>
          <w:b/>
          <w:bCs/>
        </w:rPr>
      </w:pPr>
      <w:r>
        <w:rPr>
          <w:rFonts w:hint="eastAsia"/>
          <w:b/>
          <w:bCs/>
          <w:sz w:val="32"/>
          <w:szCs w:val="32"/>
        </w:rPr>
        <w:t>（四）畅通消防车通道。</w:t>
      </w:r>
      <w:r>
        <w:rPr>
          <w:rFonts w:hint="eastAsia"/>
          <w:sz w:val="32"/>
          <w:szCs w:val="32"/>
        </w:rPr>
        <w:t>构建高效畅通的消防交通网络。结合“小街区密路网”提升建成区道路网密度，将消防车通道建设融入各类专项规划，推动消防车通道与城市建设协调发展。结合城市更新打通道路瓶颈和微循环，通过拆违、打通断头路、优化拓宽瓶颈路段、改造街巷胡同等方式，改善老旧区域消防通行条件，确保消防车顺利通行，提高消防站出警到场速度；常态化治理消防车通道占用、堵塞、封闭问题，规范消防车通道与登高操作场地的标识。</w:t>
      </w:r>
      <w:r>
        <w:rPr>
          <w:sz w:val="32"/>
          <w:szCs w:val="32"/>
        </w:rPr>
        <w:t>完善消防车道应急管理</w:t>
      </w:r>
      <w:r>
        <w:rPr>
          <w:rFonts w:hint="eastAsia"/>
          <w:sz w:val="32"/>
          <w:szCs w:val="32"/>
        </w:rPr>
        <w:t>，依托城市智慧交通开发消防车通道专用导航系统，推动管理智能化升级；建立“平急结合”的应急联动机制，日常由城管、物业等常态管理，突发火情时通过应急指挥平台一键调度清障，同步推送火情信息，确保“秒级响应、分钟处置”，最大限度缩短消防车到场时间。</w:t>
      </w:r>
    </w:p>
    <w:p w14:paraId="61401A35">
      <w:pPr>
        <w:spacing w:after="156" w:afterLines="50"/>
        <w:ind w:firstLine="643"/>
        <w:jc w:val="both"/>
        <w:rPr>
          <w:rFonts w:hint="eastAsia"/>
          <w:sz w:val="32"/>
          <w:szCs w:val="32"/>
        </w:rPr>
      </w:pPr>
      <w:r>
        <w:rPr>
          <w:rFonts w:hint="eastAsia"/>
          <w:b/>
          <w:bCs/>
          <w:sz w:val="32"/>
          <w:szCs w:val="32"/>
        </w:rPr>
        <w:t>（五）健全指挥通信系统。</w:t>
      </w:r>
      <w:r>
        <w:rPr>
          <w:rFonts w:hint="eastAsia"/>
          <w:sz w:val="32"/>
          <w:szCs w:val="32"/>
        </w:rPr>
        <w:t>建设大队级消防指挥中心，增设移动数据采集、指挥端，增加移动报警和信息报送渠道，推广智能化接警系统。</w:t>
      </w:r>
      <w:r>
        <w:rPr>
          <w:sz w:val="32"/>
          <w:szCs w:val="32"/>
        </w:rPr>
        <w:t>提升应对“三断”情况下的通信保障能力，</w:t>
      </w:r>
      <w:r>
        <w:rPr>
          <w:rFonts w:hint="eastAsia"/>
          <w:sz w:val="32"/>
          <w:szCs w:val="32"/>
        </w:rPr>
        <w:t>为基层队站配齐电台，按标准配齐卫星通信、无线通信、5G公网单兵图传、自组网、视频传输、定位与导航、指挥调度平台等新型应急通信装备，确保多手段互为备份，保障音视频通信畅通；按需配备通信先导车、通信指挥车等专业车辆。建立多层级跨部门数据共享机制，建立与政府相关部门、电信运营商和社会专业单位的“一键响应”“一键护航”协作机制，以多源数据支撑灾情准确研判。</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96"/>
      </w:tblGrid>
      <w:tr w14:paraId="2134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trPr>
        <w:tc>
          <w:tcPr>
            <w:tcW w:w="5000" w:type="pct"/>
            <w:shd w:val="clear" w:color="auto" w:fill="D7D7D7" w:themeFill="background1" w:themeFillShade="D8"/>
            <w:vAlign w:val="center"/>
          </w:tcPr>
          <w:p w14:paraId="733A5DFC">
            <w:pPr>
              <w:spacing w:line="240" w:lineRule="auto"/>
              <w:ind w:firstLine="0" w:firstLineChars="0"/>
              <w:jc w:val="center"/>
              <w:rPr>
                <w:rFonts w:hint="eastAsia" w:ascii="仿宋_GB2312" w:hAnsiTheme="minorHAnsi" w:cstheme="minorBidi"/>
                <w:b/>
                <w:bCs/>
                <w:snapToGrid/>
                <w:color w:val="auto"/>
                <w:kern w:val="2"/>
                <w:sz w:val="30"/>
                <w:szCs w:val="30"/>
                <w:lang w:eastAsia="zh-CN"/>
              </w:rPr>
            </w:pPr>
            <w:r>
              <w:rPr>
                <w:rFonts w:hint="eastAsia" w:ascii="仿宋_GB2312" w:hAnsiTheme="minorHAnsi" w:cstheme="minorBidi"/>
                <w:b/>
                <w:bCs/>
                <w:snapToGrid w:val="0"/>
                <w:color w:val="000000"/>
                <w:kern w:val="2"/>
                <w:sz w:val="30"/>
                <w:szCs w:val="30"/>
                <w:lang w:eastAsia="zh-CN"/>
              </w:rPr>
              <w:t>专栏2 公共消防基础设施网络</w:t>
            </w:r>
            <w:r>
              <w:rPr>
                <w:rFonts w:hint="eastAsia" w:ascii="仿宋_GB2312" w:hAnsiTheme="minorHAnsi" w:cstheme="minorBidi"/>
                <w:b/>
                <w:bCs/>
                <w:snapToGrid/>
                <w:color w:val="auto"/>
                <w:kern w:val="2"/>
                <w:sz w:val="30"/>
                <w:szCs w:val="30"/>
                <w:lang w:eastAsia="zh-CN"/>
              </w:rPr>
              <w:t>建设</w:t>
            </w:r>
          </w:p>
        </w:tc>
      </w:tr>
      <w:tr w14:paraId="5C8C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8" w:hRule="atLeast"/>
        </w:trPr>
        <w:tc>
          <w:tcPr>
            <w:tcW w:w="5000" w:type="pct"/>
            <w:vAlign w:val="center"/>
          </w:tcPr>
          <w:p w14:paraId="7550D2CA">
            <w:pPr>
              <w:spacing w:after="156" w:afterLines="50" w:line="440" w:lineRule="exact"/>
              <w:ind w:firstLine="0" w:firstLineChars="0"/>
              <w:rPr>
                <w:rFonts w:hint="eastAsia" w:ascii="仿宋_GB2312" w:hAnsiTheme="minorHAnsi" w:cstheme="minorBidi"/>
                <w:b/>
                <w:bCs/>
                <w:snapToGrid/>
                <w:color w:val="auto"/>
                <w:kern w:val="2"/>
                <w:sz w:val="30"/>
                <w:szCs w:val="30"/>
                <w:lang w:eastAsia="zh-CN"/>
              </w:rPr>
            </w:pPr>
            <w:r>
              <w:rPr>
                <w:rFonts w:ascii="仿宋_GB2312" w:hAnsiTheme="minorHAnsi" w:cstheme="minorBidi"/>
                <w:b/>
                <w:bCs/>
                <w:snapToGrid/>
                <w:color w:val="auto"/>
                <w:kern w:val="2"/>
                <w:sz w:val="30"/>
                <w:szCs w:val="30"/>
                <w:lang w:eastAsia="zh-CN"/>
              </w:rPr>
              <w:t>消防训练基地及战勤保障站</w:t>
            </w:r>
            <w:r>
              <w:rPr>
                <w:rFonts w:hint="eastAsia" w:ascii="仿宋_GB2312" w:hAnsiTheme="minorHAnsi" w:cstheme="minorBidi"/>
                <w:b/>
                <w:bCs/>
                <w:snapToGrid w:val="0"/>
                <w:color w:val="000000"/>
                <w:kern w:val="2"/>
                <w:sz w:val="30"/>
                <w:szCs w:val="30"/>
                <w:lang w:eastAsia="zh-CN"/>
              </w:rPr>
              <w:t>：</w:t>
            </w:r>
            <w:r>
              <w:rPr>
                <w:rFonts w:hint="eastAsia" w:ascii="仿宋_GB2312" w:hAnsiTheme="minorHAnsi" w:cstheme="minorBidi"/>
                <w:snapToGrid w:val="0"/>
                <w:color w:val="000000"/>
                <w:kern w:val="2"/>
                <w:sz w:val="30"/>
                <w:szCs w:val="30"/>
                <w:lang w:eastAsia="zh-CN"/>
              </w:rPr>
              <w:t>预计2027年开工建设、2029年竣工。依托训练基地，构建更加精细、分级管理的专业队伍模式，探索完善训练基地地下工程火灾事故处置训练区建设及基地化训练模式，不断锻造队伍应急救援处置能力，满足“全灾种、大应急”的实战需求。</w:t>
            </w:r>
          </w:p>
          <w:p w14:paraId="38B395F4">
            <w:pPr>
              <w:spacing w:line="440" w:lineRule="exact"/>
              <w:ind w:firstLine="0" w:firstLineChars="0"/>
              <w:rPr>
                <w:rFonts w:hint="eastAsia" w:ascii="仿宋_GB2312" w:hAnsiTheme="minorHAnsi" w:cstheme="minorBidi"/>
                <w:b/>
                <w:bCs/>
                <w:snapToGrid w:val="0"/>
                <w:color w:val="000000"/>
                <w:kern w:val="2"/>
                <w:sz w:val="30"/>
                <w:szCs w:val="30"/>
                <w:lang w:eastAsia="zh-CN"/>
              </w:rPr>
            </w:pPr>
            <w:r>
              <w:rPr>
                <w:rFonts w:ascii="仿宋_GB2312" w:hAnsiTheme="minorHAnsi" w:cstheme="minorBidi"/>
                <w:b/>
                <w:bCs/>
                <w:snapToGrid/>
                <w:color w:val="auto"/>
                <w:kern w:val="2"/>
                <w:sz w:val="30"/>
                <w:szCs w:val="30"/>
                <w:lang w:eastAsia="zh-CN"/>
              </w:rPr>
              <w:t>消防救援站</w:t>
            </w:r>
            <w:r>
              <w:rPr>
                <w:rFonts w:hint="eastAsia" w:ascii="仿宋_GB2312" w:hAnsiTheme="minorHAnsi" w:cstheme="minorBidi"/>
                <w:b/>
                <w:bCs/>
                <w:snapToGrid w:val="0"/>
                <w:color w:val="000000"/>
                <w:kern w:val="2"/>
                <w:sz w:val="30"/>
                <w:szCs w:val="30"/>
                <w:lang w:eastAsia="zh-CN"/>
              </w:rPr>
              <w:t>：</w:t>
            </w:r>
            <w:r>
              <w:rPr>
                <w:rFonts w:hint="eastAsia" w:ascii="仿宋_GB2312" w:hAnsiTheme="minorHAnsi" w:cstheme="minorBidi"/>
                <w:snapToGrid w:val="0"/>
                <w:color w:val="000000"/>
                <w:kern w:val="2"/>
                <w:sz w:val="30"/>
                <w:szCs w:val="30"/>
                <w:lang w:eastAsia="zh-CN"/>
              </w:rPr>
              <w:t>在北宫镇、云岗街道、看丹街道新建3座一级消防救援站（张郭庄消防救援站、崔村消防救援站、四合庄消防救援站）、在花乡街道新建1座二级消防救援站（羊坊消防救援站）。同时，进一步谋划在卢沟桥街道、看丹街道、南苑街道、六里桥街道新建3座一级、1座二级消防救援站（小瓦窑消防救援站、看丹消防救援站、新宫消防救援站、小井消防救援站）相关事宜</w:t>
            </w:r>
            <w:r>
              <w:rPr>
                <w:rFonts w:hint="eastAsia" w:ascii="仿宋_GB2312" w:hAnsiTheme="minorHAnsi" w:cstheme="minorBidi"/>
                <w:snapToGrid/>
                <w:color w:val="auto"/>
                <w:kern w:val="2"/>
                <w:sz w:val="30"/>
                <w:szCs w:val="30"/>
                <w:lang w:eastAsia="zh-CN"/>
              </w:rPr>
              <w:t>，统筹优化设施空间布局，提升消防救援效能</w:t>
            </w:r>
            <w:r>
              <w:rPr>
                <w:rFonts w:hint="eastAsia" w:ascii="仿宋_GB2312" w:hAnsiTheme="minorHAnsi" w:cstheme="minorBidi"/>
                <w:snapToGrid w:val="0"/>
                <w:color w:val="000000"/>
                <w:kern w:val="2"/>
                <w:sz w:val="30"/>
                <w:szCs w:val="30"/>
                <w:lang w:eastAsia="zh-CN"/>
              </w:rPr>
              <w:t>。</w:t>
            </w:r>
          </w:p>
        </w:tc>
      </w:tr>
    </w:tbl>
    <w:p w14:paraId="181D305B">
      <w:pPr>
        <w:ind w:firstLine="643"/>
        <w:jc w:val="both"/>
        <w:rPr>
          <w:rFonts w:hint="eastAsia" w:ascii="黑体" w:hAnsi="黑体" w:eastAsia="黑体"/>
          <w:b/>
          <w:bCs/>
          <w:sz w:val="32"/>
          <w:szCs w:val="32"/>
        </w:rPr>
      </w:pPr>
      <w:r>
        <w:rPr>
          <w:rFonts w:hint="eastAsia" w:ascii="黑体" w:hAnsi="黑体" w:eastAsia="黑体"/>
          <w:b/>
          <w:bCs/>
          <w:sz w:val="32"/>
          <w:szCs w:val="32"/>
        </w:rPr>
        <w:t>七</w:t>
      </w:r>
      <w:r>
        <w:rPr>
          <w:rFonts w:ascii="黑体" w:hAnsi="黑体" w:eastAsia="黑体"/>
          <w:b/>
          <w:bCs/>
          <w:sz w:val="32"/>
          <w:szCs w:val="32"/>
        </w:rPr>
        <w:t>、优化提升消防安全智慧化信息化支撑体系</w:t>
      </w:r>
    </w:p>
    <w:p w14:paraId="32D4DAC4">
      <w:pPr>
        <w:ind w:firstLine="643"/>
        <w:jc w:val="both"/>
        <w:rPr>
          <w:rFonts w:hint="eastAsia"/>
          <w:sz w:val="32"/>
          <w:szCs w:val="32"/>
        </w:rPr>
      </w:pPr>
      <w:r>
        <w:rPr>
          <w:rFonts w:hint="eastAsia"/>
          <w:b/>
          <w:bCs/>
          <w:sz w:val="32"/>
          <w:szCs w:val="32"/>
        </w:rPr>
        <w:t>（一）智慧化防火监督。</w:t>
      </w:r>
      <w:r>
        <w:rPr>
          <w:rFonts w:hint="eastAsia"/>
          <w:sz w:val="32"/>
          <w:szCs w:val="32"/>
        </w:rPr>
        <w:t>以智慧化、数字化改革推动火灾防控向事前预防转型。优化消防物联感知预警网络，实现建筑消防设施物联感知监控设备的远程监控和数据汇集。聚焦薄弱区域和重点环节强化智慧化防火监督，升级施工动火作业管理调度系统、建设村民经营性自建房消防安全排查治理系统。探索建设消防监督管理信息系统，实现消防勤务全过程管理。综合运用大数据、物联网、人工智能等技术，探索建设涉企执法监督与质效考评、消防非现场监管系统，推行“风险+信用”分级分类监管，提升</w:t>
      </w:r>
      <w:r>
        <w:rPr>
          <w:rFonts w:ascii="仿宋" w:hAnsi="仿宋" w:cs="仿宋"/>
          <w:sz w:val="32"/>
          <w:szCs w:val="32"/>
        </w:rPr>
        <w:t>消防</w:t>
      </w:r>
      <w:r>
        <w:rPr>
          <w:rFonts w:hint="eastAsia"/>
          <w:sz w:val="32"/>
          <w:szCs w:val="32"/>
        </w:rPr>
        <w:t>监管效率，优化营商环境。</w:t>
      </w:r>
    </w:p>
    <w:p w14:paraId="2AD96486">
      <w:pPr>
        <w:ind w:firstLine="643"/>
        <w:jc w:val="both"/>
        <w:rPr>
          <w:rFonts w:hint="eastAsia"/>
          <w:sz w:val="32"/>
          <w:szCs w:val="32"/>
        </w:rPr>
      </w:pPr>
      <w:r>
        <w:rPr>
          <w:rFonts w:hint="eastAsia"/>
          <w:b/>
          <w:bCs/>
          <w:sz w:val="32"/>
          <w:szCs w:val="32"/>
        </w:rPr>
        <w:t>（二）智慧化救援指挥。</w:t>
      </w:r>
      <w:r>
        <w:rPr>
          <w:rFonts w:hint="eastAsia" w:ascii="仿宋" w:hAnsi="仿宋" w:cs="仿宋"/>
          <w:sz w:val="32"/>
          <w:szCs w:val="32"/>
        </w:rPr>
        <w:t>瞄准专业化、职业化建设方向，以智慧化手段提升综合实战救援能力。</w:t>
      </w:r>
      <w:r>
        <w:rPr>
          <w:rFonts w:hint="eastAsia"/>
          <w:sz w:val="32"/>
          <w:szCs w:val="32"/>
        </w:rPr>
        <w:t>升级智能接处警系统，实现接警调派向“专而精”转型。探索搭建“智慧消防”一张图平台，整合消防水源、车道、救援力量分布等数据建设综合数据库；探索开发动态火灾风险评估、辅助决策模块，为监督执法、灭火救援提供智能化支持。提升应急通信保障能力，形成“全天候、全地域、全时段”通信，保障</w:t>
      </w:r>
      <w:r>
        <w:rPr>
          <w:rFonts w:hint="eastAsia" w:ascii="仿宋" w:hAnsi="仿宋" w:cs="仿宋"/>
          <w:sz w:val="32"/>
          <w:szCs w:val="32"/>
        </w:rPr>
        <w:t>推动4G/5G通信系统与数字集群专网深度融合，</w:t>
      </w:r>
      <w:r>
        <w:rPr>
          <w:rFonts w:ascii="仿宋" w:hAnsi="仿宋" w:cs="仿宋"/>
          <w:sz w:val="32"/>
          <w:szCs w:val="32"/>
        </w:rPr>
        <w:t>重点突破超高速传输</w:t>
      </w:r>
      <w:r>
        <w:rPr>
          <w:rFonts w:hint="eastAsia" w:ascii="仿宋" w:hAnsi="仿宋" w:cs="仿宋"/>
          <w:sz w:val="32"/>
          <w:szCs w:val="32"/>
        </w:rPr>
        <w:t>、</w:t>
      </w:r>
      <w:r>
        <w:rPr>
          <w:rFonts w:ascii="仿宋" w:hAnsi="仿宋" w:cs="仿宋"/>
          <w:sz w:val="32"/>
          <w:szCs w:val="32"/>
        </w:rPr>
        <w:t>低时延通信等技术</w:t>
      </w:r>
      <w:r>
        <w:rPr>
          <w:rFonts w:hint="eastAsia"/>
          <w:sz w:val="32"/>
          <w:szCs w:val="32"/>
        </w:rPr>
        <w:t>；</w:t>
      </w:r>
      <w:r>
        <w:rPr>
          <w:rFonts w:hint="eastAsia" w:ascii="仿宋" w:hAnsi="仿宋" w:cs="仿宋"/>
          <w:sz w:val="32"/>
          <w:szCs w:val="32"/>
        </w:rPr>
        <w:t>整合卫星通信（如北斗系统）、无人机中继、浮空平台等，加快1.4GHz宽带集群专网、5G单兵图传系统建设，</w:t>
      </w:r>
      <w:r>
        <w:rPr>
          <w:rFonts w:hint="eastAsia"/>
          <w:sz w:val="32"/>
          <w:szCs w:val="32"/>
        </w:rPr>
        <w:t>增强“三断”情况及极端场景应急通信保障。探索建设消防救援作战训练管理和特种灾害研训学习系统；推行社会单位智慧消防管理和信息查询；探索打造“消防码”便民应用等。</w:t>
      </w:r>
    </w:p>
    <w:p w14:paraId="70F241EB">
      <w:pPr>
        <w:ind w:firstLine="643"/>
        <w:jc w:val="both"/>
        <w:rPr>
          <w:rFonts w:hint="eastAsia"/>
          <w:sz w:val="32"/>
          <w:szCs w:val="32"/>
        </w:rPr>
      </w:pPr>
      <w:r>
        <w:rPr>
          <w:rFonts w:hint="eastAsia"/>
          <w:b/>
          <w:bCs/>
          <w:sz w:val="32"/>
          <w:szCs w:val="32"/>
        </w:rPr>
        <w:t>（三）智慧化队伍管理。</w:t>
      </w:r>
      <w:r>
        <w:rPr>
          <w:rFonts w:hint="eastAsia"/>
          <w:sz w:val="32"/>
          <w:szCs w:val="32"/>
        </w:rPr>
        <w:t>依托智能化、信息化工具，完善全流程、全要素覆盖的消防队伍新型管理措施。探索建设国家综合性消防救援队伍消防员、政府专职消防员人员管理系统，实现队伍建设精细化管理。探索建设消防装备全生命周期管理体系，实现“采、供、管、发”全流程可视化追溯。升级车辆维修系统，构建覆盖接单、派工、维修、质检、配件管理、成本核算全流程的闭环管理平台。</w:t>
      </w:r>
    </w:p>
    <w:p w14:paraId="18D7BB07">
      <w:pPr>
        <w:ind w:firstLine="643"/>
        <w:jc w:val="both"/>
        <w:rPr>
          <w:rFonts w:hint="eastAsia" w:ascii="黑体" w:hAnsi="黑体" w:eastAsia="黑体"/>
          <w:b/>
          <w:bCs/>
          <w:sz w:val="32"/>
          <w:szCs w:val="32"/>
        </w:rPr>
      </w:pPr>
      <w:r>
        <w:rPr>
          <w:rFonts w:hint="eastAsia" w:ascii="黑体" w:hAnsi="黑体" w:eastAsia="黑体"/>
          <w:b/>
          <w:bCs/>
          <w:sz w:val="32"/>
          <w:szCs w:val="32"/>
        </w:rPr>
        <w:t>八</w:t>
      </w:r>
      <w:r>
        <w:rPr>
          <w:rFonts w:ascii="黑体" w:hAnsi="黑体" w:eastAsia="黑体"/>
          <w:b/>
          <w:bCs/>
          <w:sz w:val="32"/>
          <w:szCs w:val="32"/>
        </w:rPr>
        <w:t>、提升韧性城市消防安全水平</w:t>
      </w:r>
    </w:p>
    <w:p w14:paraId="272EA953">
      <w:pPr>
        <w:ind w:firstLine="643"/>
        <w:jc w:val="both"/>
        <w:rPr>
          <w:rFonts w:hint="eastAsia"/>
          <w:sz w:val="32"/>
          <w:szCs w:val="32"/>
        </w:rPr>
      </w:pPr>
      <w:r>
        <w:rPr>
          <w:rFonts w:hint="eastAsia"/>
          <w:b/>
          <w:bCs/>
          <w:sz w:val="32"/>
          <w:szCs w:val="32"/>
        </w:rPr>
        <w:t>（一）构建灾时韧性消防指挥体系。</w:t>
      </w:r>
      <w:r>
        <w:rPr>
          <w:rFonts w:hint="eastAsia"/>
          <w:sz w:val="32"/>
          <w:szCs w:val="32"/>
        </w:rPr>
        <w:t>立足“集中式”与“分布式”相结合的韧性消防指挥体系，极端灾害下服从中心城区战区统一调度，实现对海淀、朝阳、石景山等相邻区域高效互助救援。落实市、区两级指挥中心值守模式要求，为“运转高效、平战结合、情指一体”的韧性消防指挥体系做好支撑。强化各类消防力量及行业部门联动指挥作战机制，整合应急、电力、燃气、地震、森林、环卫等行业专业救援力量，完善政府统一领导、专业应急救援力量协同、信息共享机制。构建多维度抗干扰通信传递网络，保障极端情境下信息通信。</w:t>
      </w:r>
    </w:p>
    <w:p w14:paraId="4422AE51">
      <w:pPr>
        <w:ind w:firstLine="643"/>
        <w:jc w:val="both"/>
        <w:rPr>
          <w:rFonts w:hint="eastAsia"/>
          <w:sz w:val="32"/>
          <w:szCs w:val="32"/>
        </w:rPr>
      </w:pPr>
      <w:bookmarkStart w:id="0" w:name="_Toc18305"/>
      <w:r>
        <w:rPr>
          <w:rFonts w:hint="eastAsia"/>
          <w:b/>
          <w:bCs/>
          <w:sz w:val="32"/>
          <w:szCs w:val="32"/>
        </w:rPr>
        <w:t>（二）加强极端灾害应对防控措施</w:t>
      </w:r>
      <w:bookmarkEnd w:id="0"/>
      <w:r>
        <w:rPr>
          <w:rFonts w:hint="eastAsia"/>
          <w:b/>
          <w:bCs/>
          <w:sz w:val="32"/>
          <w:szCs w:val="32"/>
        </w:rPr>
        <w:t>。</w:t>
      </w:r>
      <w:r>
        <w:rPr>
          <w:rFonts w:hint="eastAsia"/>
          <w:sz w:val="32"/>
          <w:szCs w:val="32"/>
        </w:rPr>
        <w:t>立足丰台灾害事故特点和反恐处突需要，结合极端灾害的突发性、破坏性及次生火灾风险特点，提高对极端高温、暴雨、强风、地震及复合灾害的应对防控。建立极端灾害分级预警响应机制，优化消防装备结构，配齐防水型灭火装备、应急发电设备、化学侦检、远程供水、高温防护等特种车辆和新型装备。强化反恐处突能力，提升消防综合应急救援能力。强化跨部门协同，与气象、交通、电力等部门建立“极端灾害—火灾风险”会商机制，完善极端灾害后协同联动与恢复机制。</w:t>
      </w:r>
    </w:p>
    <w:p w14:paraId="0186391D">
      <w:pPr>
        <w:ind w:firstLine="643"/>
        <w:jc w:val="both"/>
        <w:rPr>
          <w:rFonts w:hint="eastAsia"/>
          <w:sz w:val="32"/>
          <w:szCs w:val="32"/>
        </w:rPr>
      </w:pPr>
      <w:bookmarkStart w:id="1" w:name="_Toc202965865"/>
      <w:bookmarkStart w:id="2" w:name="_Toc4840"/>
      <w:bookmarkStart w:id="3" w:name="_Toc14188"/>
      <w:r>
        <w:rPr>
          <w:rFonts w:hint="eastAsia"/>
          <w:b/>
          <w:bCs/>
          <w:sz w:val="32"/>
          <w:szCs w:val="32"/>
        </w:rPr>
        <w:t>（三）提升平急两用</w:t>
      </w:r>
      <w:bookmarkEnd w:id="1"/>
      <w:r>
        <w:rPr>
          <w:rFonts w:hint="eastAsia"/>
          <w:b/>
          <w:bCs/>
          <w:sz w:val="32"/>
          <w:szCs w:val="32"/>
        </w:rPr>
        <w:t>资源利用水平</w:t>
      </w:r>
      <w:bookmarkEnd w:id="2"/>
      <w:bookmarkEnd w:id="3"/>
      <w:r>
        <w:rPr>
          <w:rFonts w:hint="eastAsia"/>
          <w:b/>
          <w:bCs/>
          <w:sz w:val="32"/>
          <w:szCs w:val="32"/>
        </w:rPr>
        <w:t>。</w:t>
      </w:r>
      <w:r>
        <w:rPr>
          <w:rFonts w:hint="eastAsia"/>
          <w:sz w:val="32"/>
          <w:szCs w:val="32"/>
        </w:rPr>
        <w:t>统筹考虑特定服务功能和消防救援需求，打造一批紧急情况下辅助火灾救援、安置、隔离的公共基础设施。将大型消防水池设计为“应急蓄水+雨水调蓄”的平急两用设施，兼顾日常灌溉降尘、汛期滞洪错峰、灾时稳定供水，实现“一水三用”。推动城市监控系统与消防系统联动，构建“智能预警第一防线”，通过AI算法进行烟火识别，接警时调取周边监控，辅助快速研判火情。</w:t>
      </w:r>
    </w:p>
    <w:p w14:paraId="1549BF4A">
      <w:pPr>
        <w:ind w:firstLine="480"/>
        <w:jc w:val="both"/>
        <w:rPr>
          <w:rFonts w:hint="eastAsia" w:ascii="黑体" w:hAnsi="黑体" w:eastAsia="黑体"/>
          <w:b/>
          <w:bCs/>
          <w:sz w:val="32"/>
          <w:szCs w:val="32"/>
        </w:rPr>
      </w:pPr>
      <w:r>
        <w:fldChar w:fldCharType="begin"/>
      </w:r>
      <w:r>
        <w:instrText xml:space="preserve"> HYPERLINK \l "_Toc31565" </w:instrText>
      </w:r>
      <w:r>
        <w:fldChar w:fldCharType="separate"/>
      </w:r>
      <w:bookmarkStart w:id="4" w:name="_Toc219394181"/>
      <w:r>
        <w:rPr>
          <w:rFonts w:hint="eastAsia" w:ascii="黑体" w:hAnsi="黑体" w:eastAsia="黑体"/>
          <w:b/>
          <w:bCs/>
          <w:sz w:val="32"/>
          <w:szCs w:val="32"/>
        </w:rPr>
        <w:t>九、实施保障</w:t>
      </w:r>
      <w:bookmarkEnd w:id="4"/>
      <w:r>
        <w:rPr>
          <w:rFonts w:hint="eastAsia" w:ascii="黑体" w:hAnsi="黑体" w:eastAsia="黑体"/>
          <w:b/>
          <w:bCs/>
          <w:sz w:val="32"/>
          <w:szCs w:val="32"/>
        </w:rPr>
        <w:fldChar w:fldCharType="end"/>
      </w:r>
    </w:p>
    <w:p w14:paraId="493C44BD">
      <w:pPr>
        <w:ind w:firstLine="643"/>
        <w:jc w:val="both"/>
        <w:rPr>
          <w:rFonts w:hint="eastAsia"/>
          <w:sz w:val="32"/>
          <w:szCs w:val="32"/>
        </w:rPr>
      </w:pPr>
      <w:bookmarkStart w:id="5" w:name="OLE_LINK6"/>
      <w:r>
        <w:rPr>
          <w:rFonts w:hint="eastAsia"/>
          <w:b/>
          <w:bCs/>
          <w:sz w:val="32"/>
          <w:szCs w:val="32"/>
        </w:rPr>
        <w:t>（</w:t>
      </w:r>
      <w:bookmarkStart w:id="6" w:name="_Toc219394182"/>
      <w:r>
        <w:rPr>
          <w:rFonts w:hint="eastAsia"/>
          <w:b/>
          <w:bCs/>
          <w:sz w:val="32"/>
          <w:szCs w:val="32"/>
        </w:rPr>
        <w:t>一）</w:t>
      </w:r>
      <w:bookmarkEnd w:id="5"/>
      <w:r>
        <w:rPr>
          <w:b/>
          <w:bCs/>
          <w:sz w:val="32"/>
          <w:szCs w:val="32"/>
        </w:rPr>
        <w:fldChar w:fldCharType="begin"/>
      </w:r>
      <w:r>
        <w:rPr>
          <w:rFonts w:hint="eastAsia"/>
          <w:b/>
          <w:bCs/>
          <w:sz w:val="32"/>
          <w:szCs w:val="32"/>
        </w:rPr>
        <w:instrText xml:space="preserve">HYPERLINK \l "_Toc9898"</w:instrText>
      </w:r>
      <w:r>
        <w:rPr>
          <w:b/>
          <w:bCs/>
          <w:sz w:val="32"/>
          <w:szCs w:val="32"/>
        </w:rPr>
        <w:fldChar w:fldCharType="separate"/>
      </w:r>
      <w:r>
        <w:rPr>
          <w:rFonts w:hint="eastAsia"/>
          <w:b/>
          <w:bCs/>
          <w:sz w:val="32"/>
          <w:szCs w:val="32"/>
        </w:rPr>
        <w:t>加强组织领导</w:t>
      </w:r>
      <w:bookmarkEnd w:id="6"/>
      <w:r>
        <w:rPr>
          <w:b/>
          <w:bCs/>
          <w:sz w:val="32"/>
          <w:szCs w:val="32"/>
        </w:rPr>
        <w:fldChar w:fldCharType="end"/>
      </w:r>
      <w:r>
        <w:rPr>
          <w:rFonts w:hint="eastAsia"/>
          <w:b/>
          <w:bCs/>
          <w:sz w:val="32"/>
          <w:szCs w:val="32"/>
        </w:rPr>
        <w:t>。</w:t>
      </w:r>
      <w:bookmarkStart w:id="7" w:name="_Toc26426"/>
      <w:r>
        <w:rPr>
          <w:rFonts w:hint="eastAsia"/>
          <w:sz w:val="32"/>
          <w:szCs w:val="32"/>
        </w:rPr>
        <w:t>积极争取区委、区政府高位统筹，将本次规划重要工程纳入议事日程，整体引领全区消防事业发展。充分发挥区防火安全委员会职能作用，依托主管区领导牵头的重点任务专班，调动各方力量协同推进，将规划实施纳入各街镇、各职能部门消防工作责任制工作考评，强化督促落实。</w:t>
      </w:r>
    </w:p>
    <w:bookmarkEnd w:id="7"/>
    <w:p w14:paraId="2825D73F">
      <w:pPr>
        <w:ind w:firstLine="643"/>
        <w:jc w:val="both"/>
        <w:rPr>
          <w:rFonts w:hint="eastAsia"/>
          <w:sz w:val="32"/>
          <w:szCs w:val="32"/>
        </w:rPr>
      </w:pPr>
      <w:r>
        <w:rPr>
          <w:b/>
          <w:bCs/>
          <w:sz w:val="32"/>
          <w:szCs w:val="32"/>
        </w:rPr>
        <w:fldChar w:fldCharType="begin"/>
      </w:r>
      <w:r>
        <w:rPr>
          <w:rFonts w:hint="eastAsia"/>
          <w:b/>
          <w:bCs/>
          <w:sz w:val="32"/>
          <w:szCs w:val="32"/>
        </w:rPr>
        <w:instrText xml:space="preserve"> HYPERLINK \l "_Toc29742" </w:instrText>
      </w:r>
      <w:r>
        <w:rPr>
          <w:b/>
          <w:bCs/>
          <w:sz w:val="32"/>
          <w:szCs w:val="32"/>
        </w:rPr>
        <w:fldChar w:fldCharType="separate"/>
      </w:r>
      <w:bookmarkStart w:id="8" w:name="_Toc219394183"/>
      <w:r>
        <w:rPr>
          <w:rFonts w:hint="eastAsia"/>
          <w:b/>
          <w:bCs/>
          <w:sz w:val="32"/>
          <w:szCs w:val="32"/>
        </w:rPr>
        <w:t>（二）明确职责任务</w:t>
      </w:r>
      <w:bookmarkEnd w:id="8"/>
      <w:r>
        <w:rPr>
          <w:b/>
          <w:bCs/>
          <w:sz w:val="32"/>
          <w:szCs w:val="32"/>
        </w:rPr>
        <w:fldChar w:fldCharType="end"/>
      </w:r>
      <w:r>
        <w:rPr>
          <w:rFonts w:hint="eastAsia"/>
          <w:b/>
          <w:bCs/>
          <w:sz w:val="32"/>
          <w:szCs w:val="32"/>
        </w:rPr>
        <w:t>。</w:t>
      </w:r>
      <w:r>
        <w:rPr>
          <w:rFonts w:hint="eastAsia"/>
          <w:sz w:val="32"/>
          <w:szCs w:val="32"/>
        </w:rPr>
        <w:t>各相关政府职能部门协同发力，加快解决消防规划建设过程中的有关问题。区发展和改革委员会应加快项目审批与资金拨付；区规自分局应加快推进消防设施选址审批落地；区财政局应保障消防经费与装备更新。各街镇政府应履行属地职责，将消防安全纳入基层治理。</w:t>
      </w:r>
    </w:p>
    <w:p w14:paraId="4EBF601B">
      <w:pPr>
        <w:ind w:firstLine="480"/>
        <w:jc w:val="both"/>
        <w:rPr>
          <w:rFonts w:hint="eastAsia"/>
          <w:sz w:val="32"/>
          <w:szCs w:val="32"/>
        </w:rPr>
      </w:pPr>
      <w:r>
        <w:fldChar w:fldCharType="begin"/>
      </w:r>
      <w:r>
        <w:instrText xml:space="preserve"> HYPERLINK \l "_Toc23161" </w:instrText>
      </w:r>
      <w:r>
        <w:fldChar w:fldCharType="separate"/>
      </w:r>
      <w:bookmarkStart w:id="9" w:name="_Toc219394184"/>
      <w:r>
        <w:rPr>
          <w:rFonts w:hint="eastAsia"/>
          <w:b/>
          <w:bCs/>
          <w:sz w:val="32"/>
          <w:szCs w:val="32"/>
        </w:rPr>
        <w:t>（三）强化政策保障</w:t>
      </w:r>
      <w:bookmarkEnd w:id="9"/>
      <w:r>
        <w:rPr>
          <w:rFonts w:hint="eastAsia"/>
          <w:b/>
          <w:bCs/>
          <w:sz w:val="32"/>
          <w:szCs w:val="32"/>
        </w:rPr>
        <w:fldChar w:fldCharType="end"/>
      </w:r>
      <w:r>
        <w:rPr>
          <w:rFonts w:hint="eastAsia"/>
          <w:b/>
          <w:bCs/>
          <w:sz w:val="32"/>
          <w:szCs w:val="32"/>
        </w:rPr>
        <w:t>。</w:t>
      </w:r>
      <w:r>
        <w:rPr>
          <w:rFonts w:hint="eastAsia"/>
          <w:sz w:val="32"/>
          <w:szCs w:val="32"/>
        </w:rPr>
        <w:t>建议积极争取区委、区政府支持，加强资金保障力度，将消防工作经费纳入相应政府预算，拓宽筹资渠道。完善配套政策，建立重大项目建设动态更新机制。加强消防规划宣传，引导公众参与实施和监督，保障规划落到实处。</w:t>
      </w:r>
    </w:p>
    <w:p w14:paraId="1ED6CBF2">
      <w:pPr>
        <w:ind w:left="643" w:firstLine="0" w:firstLineChars="0"/>
        <w:jc w:val="both"/>
        <w:rPr>
          <w:rFonts w:hint="eastAsia"/>
          <w:b/>
          <w:bCs/>
          <w:sz w:val="32"/>
          <w:szCs w:val="32"/>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315AB81D">
      <w:pPr>
        <w:pStyle w:val="51"/>
        <w:jc w:val="both"/>
        <w:rPr>
          <w:rFonts w:hint="eastAsia" w:ascii="黑体" w:hAnsi="黑体" w:eastAsia="黑体" w:cs="黑体"/>
          <w:color w:val="000000"/>
          <w:sz w:val="32"/>
          <w:szCs w:val="32"/>
        </w:rPr>
      </w:pPr>
      <w:bookmarkStart w:id="10" w:name="_Toc230016377"/>
      <w:bookmarkStart w:id="11" w:name="_Toc6445"/>
      <w:r>
        <w:rPr>
          <w:rFonts w:hint="eastAsia" w:ascii="黑体" w:hAnsi="黑体" w:eastAsia="黑体" w:cs="黑体"/>
          <w:color w:val="000000"/>
          <w:sz w:val="32"/>
          <w:szCs w:val="32"/>
        </w:rPr>
        <w:t>附表1</w:t>
      </w:r>
      <w:bookmarkEnd w:id="10"/>
      <w:bookmarkEnd w:id="11"/>
    </w:p>
    <w:p w14:paraId="00560908">
      <w:pPr>
        <w:pStyle w:val="50"/>
        <w:spacing w:after="120"/>
        <w:ind w:firstLine="0" w:firstLineChars="0"/>
        <w:jc w:val="center"/>
        <w:rPr>
          <w:rFonts w:hint="eastAsia" w:ascii="黑体" w:hAnsi="黑体" w:eastAsia="黑体" w:cs="黑体"/>
          <w:color w:val="000000"/>
          <w:sz w:val="21"/>
          <w:szCs w:val="21"/>
        </w:rPr>
      </w:pPr>
      <w:r>
        <w:rPr>
          <w:rFonts w:ascii="方正小标宋简体" w:hAnsi="方正小标宋简体" w:eastAsia="方正小标宋简体" w:cs="仿宋_GB2312"/>
          <w:color w:val="000000"/>
          <w:sz w:val="44"/>
          <w:szCs w:val="44"/>
        </w:rPr>
        <w:t>丰台区“十五五”时期消防事业任务清单</w:t>
      </w:r>
    </w:p>
    <w:tbl>
      <w:tblPr>
        <w:tblStyle w:val="21"/>
        <w:tblW w:w="5000" w:type="pct"/>
        <w:tblInd w:w="0" w:type="dxa"/>
        <w:tblLayout w:type="autofit"/>
        <w:tblCellMar>
          <w:top w:w="0" w:type="dxa"/>
          <w:left w:w="108" w:type="dxa"/>
          <w:bottom w:w="0" w:type="dxa"/>
          <w:right w:w="108" w:type="dxa"/>
        </w:tblCellMar>
      </w:tblPr>
      <w:tblGrid>
        <w:gridCol w:w="436"/>
        <w:gridCol w:w="2345"/>
        <w:gridCol w:w="859"/>
        <w:gridCol w:w="3719"/>
        <w:gridCol w:w="6035"/>
        <w:gridCol w:w="2857"/>
        <w:gridCol w:w="2874"/>
        <w:gridCol w:w="1806"/>
      </w:tblGrid>
      <w:tr w14:paraId="5D796AC0">
        <w:tblPrEx>
          <w:tblCellMar>
            <w:top w:w="0" w:type="dxa"/>
            <w:left w:w="108" w:type="dxa"/>
            <w:bottom w:w="0" w:type="dxa"/>
            <w:right w:w="108" w:type="dxa"/>
          </w:tblCellMar>
        </w:tblPrEx>
        <w:trPr>
          <w:trHeight w:val="708" w:hRule="atLeast"/>
          <w:tblHeader/>
        </w:trPr>
        <w:tc>
          <w:tcPr>
            <w:tcW w:w="664" w:type="pct"/>
            <w:gridSpan w:val="2"/>
            <w:tcBorders>
              <w:top w:val="single" w:color="auto" w:sz="4" w:space="0"/>
              <w:left w:val="single" w:color="auto" w:sz="4" w:space="0"/>
              <w:bottom w:val="single" w:color="auto" w:sz="4" w:space="0"/>
              <w:right w:val="single" w:color="auto" w:sz="4" w:space="0"/>
            </w:tcBorders>
            <w:noWrap/>
            <w:vAlign w:val="center"/>
          </w:tcPr>
          <w:p w14:paraId="7FA518DF">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领域</w:t>
            </w:r>
          </w:p>
        </w:tc>
        <w:tc>
          <w:tcPr>
            <w:tcW w:w="203" w:type="pct"/>
            <w:tcBorders>
              <w:top w:val="single" w:color="auto" w:sz="4" w:space="0"/>
              <w:left w:val="nil"/>
              <w:bottom w:val="single" w:color="auto" w:sz="4" w:space="0"/>
              <w:right w:val="single" w:color="auto" w:sz="4" w:space="0"/>
            </w:tcBorders>
            <w:noWrap/>
            <w:vAlign w:val="center"/>
          </w:tcPr>
          <w:p w14:paraId="7BB82037">
            <w:pPr>
              <w:spacing w:line="240" w:lineRule="auto"/>
              <w:ind w:firstLine="0" w:firstLineChars="0"/>
              <w:jc w:val="center"/>
              <w:rPr>
                <w:rFonts w:hint="eastAsia" w:ascii="仿宋" w:hAnsi="仿宋" w:eastAsia="仿宋"/>
                <w:b/>
                <w:bCs/>
                <w:sz w:val="32"/>
                <w:szCs w:val="32"/>
              </w:rPr>
            </w:pPr>
            <w:r>
              <w:rPr>
                <w:rFonts w:hint="eastAsia" w:ascii="仿宋" w:hAnsi="仿宋" w:eastAsia="仿宋"/>
                <w:b/>
                <w:bCs/>
                <w:sz w:val="32"/>
                <w:szCs w:val="32"/>
              </w:rPr>
              <w:t>序号</w:t>
            </w:r>
            <w:r>
              <w:rPr>
                <w:rFonts w:ascii="仿宋" w:hAnsi="仿宋" w:eastAsia="仿宋"/>
                <w:b/>
                <w:bCs/>
                <w:sz w:val="32"/>
                <w:szCs w:val="32"/>
              </w:rPr>
              <w:t>　</w:t>
            </w:r>
          </w:p>
        </w:tc>
        <w:tc>
          <w:tcPr>
            <w:tcW w:w="889" w:type="pct"/>
            <w:tcBorders>
              <w:top w:val="single" w:color="auto" w:sz="4" w:space="0"/>
              <w:left w:val="nil"/>
              <w:bottom w:val="single" w:color="auto" w:sz="4" w:space="0"/>
              <w:right w:val="single" w:color="auto" w:sz="4" w:space="0"/>
            </w:tcBorders>
            <w:noWrap/>
            <w:vAlign w:val="center"/>
          </w:tcPr>
          <w:p w14:paraId="61B8DA49">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任务名称</w:t>
            </w:r>
          </w:p>
        </w:tc>
        <w:tc>
          <w:tcPr>
            <w:tcW w:w="1442" w:type="pct"/>
            <w:tcBorders>
              <w:top w:val="single" w:color="auto" w:sz="4" w:space="0"/>
              <w:left w:val="nil"/>
              <w:bottom w:val="single" w:color="auto" w:sz="4" w:space="0"/>
              <w:right w:val="single" w:color="auto" w:sz="4" w:space="0"/>
            </w:tcBorders>
            <w:vAlign w:val="center"/>
          </w:tcPr>
          <w:p w14:paraId="0B9B098D">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具体内容</w:t>
            </w:r>
          </w:p>
        </w:tc>
        <w:tc>
          <w:tcPr>
            <w:tcW w:w="683" w:type="pct"/>
            <w:tcBorders>
              <w:top w:val="single" w:color="auto" w:sz="4" w:space="0"/>
              <w:left w:val="nil"/>
              <w:bottom w:val="single" w:color="auto" w:sz="4" w:space="0"/>
              <w:right w:val="single" w:color="auto" w:sz="4" w:space="0"/>
            </w:tcBorders>
            <w:vAlign w:val="center"/>
          </w:tcPr>
          <w:p w14:paraId="55CA1055">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牵头单位</w:t>
            </w:r>
          </w:p>
        </w:tc>
        <w:tc>
          <w:tcPr>
            <w:tcW w:w="687" w:type="pct"/>
            <w:tcBorders>
              <w:top w:val="single" w:color="auto" w:sz="4" w:space="0"/>
              <w:left w:val="nil"/>
              <w:bottom w:val="single" w:color="auto" w:sz="4" w:space="0"/>
              <w:right w:val="single" w:color="auto" w:sz="4" w:space="0"/>
            </w:tcBorders>
            <w:vAlign w:val="center"/>
          </w:tcPr>
          <w:p w14:paraId="43E169DD">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配合单位</w:t>
            </w:r>
          </w:p>
        </w:tc>
        <w:tc>
          <w:tcPr>
            <w:tcW w:w="432" w:type="pct"/>
            <w:tcBorders>
              <w:top w:val="single" w:color="auto" w:sz="4" w:space="0"/>
              <w:left w:val="nil"/>
              <w:bottom w:val="single" w:color="auto" w:sz="4" w:space="0"/>
              <w:right w:val="single" w:color="auto" w:sz="4" w:space="0"/>
            </w:tcBorders>
            <w:noWrap/>
            <w:vAlign w:val="center"/>
          </w:tcPr>
          <w:p w14:paraId="39A72D16">
            <w:pPr>
              <w:spacing w:line="240" w:lineRule="auto"/>
              <w:ind w:firstLine="0" w:firstLineChars="0"/>
              <w:jc w:val="center"/>
              <w:rPr>
                <w:rFonts w:hint="eastAsia" w:ascii="仿宋" w:hAnsi="仿宋" w:eastAsia="仿宋"/>
                <w:b/>
                <w:bCs/>
                <w:sz w:val="32"/>
                <w:szCs w:val="32"/>
              </w:rPr>
            </w:pPr>
            <w:r>
              <w:rPr>
                <w:rFonts w:ascii="仿宋" w:hAnsi="仿宋" w:eastAsia="仿宋"/>
                <w:b/>
                <w:bCs/>
                <w:sz w:val="32"/>
                <w:szCs w:val="32"/>
              </w:rPr>
              <w:t>时间</w:t>
            </w:r>
          </w:p>
        </w:tc>
      </w:tr>
      <w:tr w14:paraId="6B8CAB58">
        <w:tblPrEx>
          <w:tblCellMar>
            <w:top w:w="0" w:type="dxa"/>
            <w:left w:w="108" w:type="dxa"/>
            <w:bottom w:w="0" w:type="dxa"/>
            <w:right w:w="108" w:type="dxa"/>
          </w:tblCellMar>
        </w:tblPrEx>
        <w:trPr>
          <w:trHeight w:val="1260" w:hRule="atLeast"/>
        </w:trPr>
        <w:tc>
          <w:tcPr>
            <w:tcW w:w="103" w:type="pct"/>
            <w:vMerge w:val="restart"/>
            <w:tcBorders>
              <w:top w:val="nil"/>
              <w:left w:val="single" w:color="auto" w:sz="4" w:space="0"/>
              <w:bottom w:val="single" w:color="auto" w:sz="4" w:space="0"/>
              <w:right w:val="single" w:color="auto" w:sz="4" w:space="0"/>
            </w:tcBorders>
            <w:noWrap/>
            <w:vAlign w:val="center"/>
          </w:tcPr>
          <w:p w14:paraId="160125B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一</w:t>
            </w:r>
          </w:p>
        </w:tc>
        <w:tc>
          <w:tcPr>
            <w:tcW w:w="561" w:type="pct"/>
            <w:vMerge w:val="restart"/>
            <w:tcBorders>
              <w:top w:val="nil"/>
              <w:left w:val="single" w:color="auto" w:sz="4" w:space="0"/>
              <w:bottom w:val="single" w:color="auto" w:sz="4" w:space="0"/>
              <w:right w:val="single" w:color="auto" w:sz="4" w:space="0"/>
            </w:tcBorders>
            <w:noWrap/>
            <w:vAlign w:val="center"/>
          </w:tcPr>
          <w:p w14:paraId="4510886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火灾风险防控</w:t>
            </w:r>
          </w:p>
        </w:tc>
        <w:tc>
          <w:tcPr>
            <w:tcW w:w="203" w:type="pct"/>
            <w:tcBorders>
              <w:top w:val="nil"/>
              <w:left w:val="nil"/>
              <w:bottom w:val="single" w:color="auto" w:sz="4" w:space="0"/>
              <w:right w:val="single" w:color="auto" w:sz="4" w:space="0"/>
            </w:tcBorders>
            <w:noWrap/>
            <w:vAlign w:val="center"/>
          </w:tcPr>
          <w:p w14:paraId="264E276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w:t>
            </w:r>
          </w:p>
        </w:tc>
        <w:tc>
          <w:tcPr>
            <w:tcW w:w="889" w:type="pct"/>
            <w:tcBorders>
              <w:top w:val="nil"/>
              <w:left w:val="nil"/>
              <w:bottom w:val="single" w:color="auto" w:sz="4" w:space="0"/>
              <w:right w:val="single" w:color="auto" w:sz="4" w:space="0"/>
            </w:tcBorders>
            <w:vAlign w:val="center"/>
          </w:tcPr>
          <w:p w14:paraId="1F4B16B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违法建设综合治理与安全隐患消除</w:t>
            </w:r>
          </w:p>
        </w:tc>
        <w:tc>
          <w:tcPr>
            <w:tcW w:w="1442" w:type="pct"/>
            <w:tcBorders>
              <w:top w:val="nil"/>
              <w:left w:val="nil"/>
              <w:bottom w:val="single" w:color="auto" w:sz="4" w:space="0"/>
              <w:right w:val="single" w:color="auto" w:sz="4" w:space="0"/>
            </w:tcBorders>
            <w:vAlign w:val="center"/>
          </w:tcPr>
          <w:p w14:paraId="1EB2C146">
            <w:pPr>
              <w:spacing w:line="240" w:lineRule="auto"/>
              <w:ind w:firstLine="0" w:firstLineChars="0"/>
              <w:rPr>
                <w:rFonts w:hint="eastAsia" w:ascii="仿宋" w:hAnsi="仿宋" w:eastAsia="仿宋"/>
                <w:sz w:val="22"/>
                <w:szCs w:val="22"/>
              </w:rPr>
            </w:pPr>
            <w:r>
              <w:rPr>
                <w:rFonts w:ascii="仿宋" w:hAnsi="仿宋" w:eastAsia="仿宋"/>
                <w:sz w:val="22"/>
                <w:szCs w:val="22"/>
              </w:rPr>
              <w:t>结合非首都功能疏解，推动人员聚集、火灾荷载大、火灾隐患突出的非首都功能建筑场所疏解腾退，结合违法建设专项治理工作，推动相关场所补建消防设施。</w:t>
            </w:r>
          </w:p>
        </w:tc>
        <w:tc>
          <w:tcPr>
            <w:tcW w:w="683" w:type="pct"/>
            <w:tcBorders>
              <w:top w:val="nil"/>
              <w:left w:val="nil"/>
              <w:bottom w:val="single" w:color="auto" w:sz="4" w:space="0"/>
              <w:right w:val="single" w:color="auto" w:sz="4" w:space="0"/>
            </w:tcBorders>
            <w:vAlign w:val="center"/>
          </w:tcPr>
          <w:p w14:paraId="4AAD51A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区城管委</w:t>
            </w:r>
          </w:p>
        </w:tc>
        <w:tc>
          <w:tcPr>
            <w:tcW w:w="687" w:type="pct"/>
            <w:tcBorders>
              <w:top w:val="nil"/>
              <w:left w:val="nil"/>
              <w:bottom w:val="single" w:color="auto" w:sz="4" w:space="0"/>
              <w:right w:val="single" w:color="auto" w:sz="4" w:space="0"/>
            </w:tcBorders>
            <w:vAlign w:val="center"/>
          </w:tcPr>
          <w:p w14:paraId="7622487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区消防支队、区规自分局等</w:t>
            </w:r>
          </w:p>
        </w:tc>
        <w:tc>
          <w:tcPr>
            <w:tcW w:w="432" w:type="pct"/>
            <w:tcBorders>
              <w:top w:val="nil"/>
              <w:left w:val="nil"/>
              <w:bottom w:val="single" w:color="auto" w:sz="4" w:space="0"/>
              <w:right w:val="single" w:color="auto" w:sz="4" w:space="0"/>
            </w:tcBorders>
            <w:noWrap/>
            <w:vAlign w:val="center"/>
          </w:tcPr>
          <w:p w14:paraId="1C43AE9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15BAC236">
        <w:tblPrEx>
          <w:tblCellMar>
            <w:top w:w="0" w:type="dxa"/>
            <w:left w:w="108" w:type="dxa"/>
            <w:bottom w:w="0" w:type="dxa"/>
            <w:right w:w="108" w:type="dxa"/>
          </w:tblCellMar>
        </w:tblPrEx>
        <w:trPr>
          <w:trHeight w:val="1260" w:hRule="atLeast"/>
        </w:trPr>
        <w:tc>
          <w:tcPr>
            <w:tcW w:w="103" w:type="pct"/>
            <w:vMerge w:val="continue"/>
            <w:tcBorders>
              <w:top w:val="nil"/>
              <w:left w:val="single" w:color="auto" w:sz="4" w:space="0"/>
              <w:bottom w:val="single" w:color="auto" w:sz="4" w:space="0"/>
              <w:right w:val="single" w:color="auto" w:sz="4" w:space="0"/>
            </w:tcBorders>
            <w:vAlign w:val="center"/>
          </w:tcPr>
          <w:p w14:paraId="0E96316E">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32F2F026">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2CF3BB9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w:t>
            </w:r>
          </w:p>
        </w:tc>
        <w:tc>
          <w:tcPr>
            <w:tcW w:w="889" w:type="pct"/>
            <w:tcBorders>
              <w:top w:val="nil"/>
              <w:left w:val="nil"/>
              <w:bottom w:val="single" w:color="auto" w:sz="4" w:space="0"/>
              <w:right w:val="single" w:color="auto" w:sz="4" w:space="0"/>
            </w:tcBorders>
            <w:vAlign w:val="center"/>
          </w:tcPr>
          <w:p w14:paraId="1D6F9AB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重点场所欠配消防设施补建</w:t>
            </w:r>
          </w:p>
        </w:tc>
        <w:tc>
          <w:tcPr>
            <w:tcW w:w="1442" w:type="pct"/>
            <w:tcBorders>
              <w:top w:val="nil"/>
              <w:left w:val="nil"/>
              <w:bottom w:val="single" w:color="auto" w:sz="4" w:space="0"/>
              <w:right w:val="single" w:color="auto" w:sz="4" w:space="0"/>
            </w:tcBorders>
            <w:vAlign w:val="center"/>
          </w:tcPr>
          <w:p w14:paraId="5D904888">
            <w:pPr>
              <w:spacing w:line="240" w:lineRule="auto"/>
              <w:ind w:firstLine="0" w:firstLineChars="0"/>
              <w:rPr>
                <w:rFonts w:hint="eastAsia" w:ascii="仿宋" w:hAnsi="仿宋" w:eastAsia="仿宋"/>
                <w:sz w:val="22"/>
                <w:szCs w:val="22"/>
              </w:rPr>
            </w:pPr>
            <w:r>
              <w:rPr>
                <w:rFonts w:ascii="仿宋" w:hAnsi="仿宋" w:eastAsia="仿宋"/>
                <w:sz w:val="22"/>
                <w:szCs w:val="22"/>
              </w:rPr>
              <w:t>完善南中轴等重点区域公共消防设施，严控消防安全布局，减少火灾风险源，降低火灾风险。</w:t>
            </w:r>
          </w:p>
        </w:tc>
        <w:tc>
          <w:tcPr>
            <w:tcW w:w="683" w:type="pct"/>
            <w:tcBorders>
              <w:top w:val="nil"/>
              <w:left w:val="nil"/>
              <w:bottom w:val="single" w:color="auto" w:sz="4" w:space="0"/>
              <w:right w:val="single" w:color="auto" w:sz="4" w:space="0"/>
            </w:tcBorders>
            <w:vAlign w:val="center"/>
          </w:tcPr>
          <w:p w14:paraId="033B7DA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北京市丰台区南中轴地区管理委员会、北京丽泽金融商务区管理委员会、中关村科技园区丰台园管理委员会等</w:t>
            </w:r>
          </w:p>
        </w:tc>
        <w:tc>
          <w:tcPr>
            <w:tcW w:w="687" w:type="pct"/>
            <w:tcBorders>
              <w:top w:val="nil"/>
              <w:left w:val="nil"/>
              <w:bottom w:val="single" w:color="auto" w:sz="4" w:space="0"/>
              <w:right w:val="single" w:color="auto" w:sz="4" w:space="0"/>
            </w:tcBorders>
            <w:vAlign w:val="center"/>
          </w:tcPr>
          <w:p w14:paraId="1C4F0C0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1F8D95D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71CE11E6">
        <w:tblPrEx>
          <w:tblCellMar>
            <w:top w:w="0" w:type="dxa"/>
            <w:left w:w="108" w:type="dxa"/>
            <w:bottom w:w="0" w:type="dxa"/>
            <w:right w:w="108" w:type="dxa"/>
          </w:tblCellMar>
        </w:tblPrEx>
        <w:trPr>
          <w:trHeight w:val="1260" w:hRule="atLeast"/>
        </w:trPr>
        <w:tc>
          <w:tcPr>
            <w:tcW w:w="103" w:type="pct"/>
            <w:vMerge w:val="continue"/>
            <w:tcBorders>
              <w:top w:val="nil"/>
              <w:left w:val="single" w:color="auto" w:sz="4" w:space="0"/>
              <w:bottom w:val="single" w:color="auto" w:sz="4" w:space="0"/>
              <w:right w:val="single" w:color="auto" w:sz="4" w:space="0"/>
            </w:tcBorders>
            <w:vAlign w:val="center"/>
          </w:tcPr>
          <w:p w14:paraId="38B94851">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371815D5">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20A4E0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w:t>
            </w:r>
          </w:p>
        </w:tc>
        <w:tc>
          <w:tcPr>
            <w:tcW w:w="889" w:type="pct"/>
            <w:tcBorders>
              <w:top w:val="nil"/>
              <w:left w:val="nil"/>
              <w:bottom w:val="single" w:color="auto" w:sz="4" w:space="0"/>
              <w:right w:val="single" w:color="auto" w:sz="4" w:space="0"/>
            </w:tcBorders>
            <w:vAlign w:val="center"/>
          </w:tcPr>
          <w:p w14:paraId="505FCDC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重点场所消防安全整治</w:t>
            </w:r>
          </w:p>
        </w:tc>
        <w:tc>
          <w:tcPr>
            <w:tcW w:w="1442" w:type="pct"/>
            <w:tcBorders>
              <w:top w:val="nil"/>
              <w:left w:val="nil"/>
              <w:bottom w:val="single" w:color="auto" w:sz="4" w:space="0"/>
              <w:right w:val="single" w:color="auto" w:sz="4" w:space="0"/>
            </w:tcBorders>
            <w:vAlign w:val="center"/>
          </w:tcPr>
          <w:p w14:paraId="06668C2A">
            <w:pPr>
              <w:spacing w:line="240" w:lineRule="auto"/>
              <w:ind w:firstLine="0" w:firstLineChars="0"/>
              <w:rPr>
                <w:rFonts w:hint="eastAsia" w:ascii="仿宋" w:hAnsi="仿宋" w:eastAsia="仿宋"/>
                <w:sz w:val="22"/>
                <w:szCs w:val="22"/>
              </w:rPr>
            </w:pPr>
            <w:r>
              <w:rPr>
                <w:rFonts w:ascii="仿宋" w:hAnsi="仿宋" w:eastAsia="仿宋"/>
                <w:sz w:val="22"/>
                <w:szCs w:val="22"/>
              </w:rPr>
              <w:t>严格人员密集场所、高层建筑、地下空间、大型商业综合体、石油化工企业、文物古建等重点场所消防安全整治，进一步完善常态化火灾隐患排查整治机制</w:t>
            </w:r>
            <w:r>
              <w:rPr>
                <w:rFonts w:hint="eastAsia" w:ascii="仿宋" w:hAnsi="仿宋" w:eastAsia="仿宋"/>
                <w:sz w:val="22"/>
                <w:szCs w:val="22"/>
              </w:rPr>
              <w:t>，</w:t>
            </w:r>
            <w:r>
              <w:rPr>
                <w:rFonts w:ascii="仿宋" w:hAnsi="仿宋" w:eastAsia="仿宋"/>
                <w:sz w:val="22"/>
                <w:szCs w:val="22"/>
              </w:rPr>
              <w:t>对相关重点场所开展消防安全定期巡查，在火灾高发期和重大活动期间加大巡查频次，采取警示提醒、通报批评、约谈曝光、监督问责等措施，提升火灾隐患排查质量。</w:t>
            </w:r>
          </w:p>
        </w:tc>
        <w:tc>
          <w:tcPr>
            <w:tcW w:w="683" w:type="pct"/>
            <w:tcBorders>
              <w:top w:val="nil"/>
              <w:left w:val="nil"/>
              <w:bottom w:val="single" w:color="auto" w:sz="4" w:space="0"/>
              <w:right w:val="single" w:color="auto" w:sz="4" w:space="0"/>
            </w:tcBorders>
            <w:vAlign w:val="center"/>
          </w:tcPr>
          <w:p w14:paraId="271BC93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区商务局、区文旅局、区住建委、各街镇等</w:t>
            </w:r>
          </w:p>
        </w:tc>
        <w:tc>
          <w:tcPr>
            <w:tcW w:w="687" w:type="pct"/>
            <w:tcBorders>
              <w:top w:val="nil"/>
              <w:left w:val="nil"/>
              <w:bottom w:val="single" w:color="auto" w:sz="4" w:space="0"/>
              <w:right w:val="single" w:color="auto" w:sz="4" w:space="0"/>
            </w:tcBorders>
            <w:vAlign w:val="center"/>
          </w:tcPr>
          <w:p w14:paraId="70028E3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2D174C1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56385F43">
        <w:tblPrEx>
          <w:tblCellMar>
            <w:top w:w="0" w:type="dxa"/>
            <w:left w:w="108" w:type="dxa"/>
            <w:bottom w:w="0" w:type="dxa"/>
            <w:right w:w="108" w:type="dxa"/>
          </w:tblCellMar>
        </w:tblPrEx>
        <w:trPr>
          <w:trHeight w:val="600" w:hRule="atLeast"/>
        </w:trPr>
        <w:tc>
          <w:tcPr>
            <w:tcW w:w="103" w:type="pct"/>
            <w:vMerge w:val="continue"/>
            <w:tcBorders>
              <w:top w:val="nil"/>
              <w:left w:val="single" w:color="auto" w:sz="4" w:space="0"/>
              <w:bottom w:val="single" w:color="auto" w:sz="4" w:space="0"/>
              <w:right w:val="single" w:color="auto" w:sz="4" w:space="0"/>
            </w:tcBorders>
            <w:vAlign w:val="center"/>
          </w:tcPr>
          <w:p w14:paraId="099189B6">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2F5CC6FC">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154A906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4</w:t>
            </w:r>
          </w:p>
        </w:tc>
        <w:tc>
          <w:tcPr>
            <w:tcW w:w="889" w:type="pct"/>
            <w:tcBorders>
              <w:top w:val="nil"/>
              <w:left w:val="nil"/>
              <w:bottom w:val="single" w:color="auto" w:sz="4" w:space="0"/>
              <w:right w:val="single" w:color="auto" w:sz="4" w:space="0"/>
            </w:tcBorders>
            <w:vAlign w:val="center"/>
          </w:tcPr>
          <w:p w14:paraId="6892BDF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在建工地消防安全专项治理</w:t>
            </w:r>
          </w:p>
        </w:tc>
        <w:tc>
          <w:tcPr>
            <w:tcW w:w="1442" w:type="pct"/>
            <w:tcBorders>
              <w:top w:val="nil"/>
              <w:left w:val="nil"/>
              <w:bottom w:val="single" w:color="auto" w:sz="4" w:space="0"/>
              <w:right w:val="single" w:color="auto" w:sz="4" w:space="0"/>
            </w:tcBorders>
            <w:vAlign w:val="center"/>
          </w:tcPr>
          <w:p w14:paraId="608ECB47">
            <w:pPr>
              <w:spacing w:line="240" w:lineRule="auto"/>
              <w:ind w:firstLine="0" w:firstLineChars="0"/>
              <w:rPr>
                <w:rFonts w:hint="eastAsia" w:ascii="仿宋" w:hAnsi="仿宋" w:eastAsia="仿宋"/>
                <w:sz w:val="22"/>
                <w:szCs w:val="22"/>
              </w:rPr>
            </w:pPr>
            <w:r>
              <w:rPr>
                <w:rFonts w:ascii="仿宋" w:hAnsi="仿宋" w:eastAsia="仿宋"/>
                <w:sz w:val="22"/>
                <w:szCs w:val="22"/>
              </w:rPr>
              <w:t>推动重大火灾事故隐患动态清零，严格施工动火作业“同类同管”，深化全链条治理。</w:t>
            </w:r>
          </w:p>
        </w:tc>
        <w:tc>
          <w:tcPr>
            <w:tcW w:w="683" w:type="pct"/>
            <w:tcBorders>
              <w:top w:val="nil"/>
              <w:left w:val="nil"/>
              <w:bottom w:val="single" w:color="auto" w:sz="4" w:space="0"/>
              <w:right w:val="single" w:color="auto" w:sz="4" w:space="0"/>
            </w:tcBorders>
            <w:vAlign w:val="center"/>
          </w:tcPr>
          <w:p w14:paraId="61194A1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区住建委</w:t>
            </w:r>
          </w:p>
        </w:tc>
        <w:tc>
          <w:tcPr>
            <w:tcW w:w="687" w:type="pct"/>
            <w:tcBorders>
              <w:top w:val="nil"/>
              <w:left w:val="nil"/>
              <w:bottom w:val="single" w:color="auto" w:sz="4" w:space="0"/>
              <w:right w:val="single" w:color="auto" w:sz="4" w:space="0"/>
            </w:tcBorders>
            <w:vAlign w:val="center"/>
          </w:tcPr>
          <w:p w14:paraId="223D4D3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24C9366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69389CE7">
        <w:tblPrEx>
          <w:tblCellMar>
            <w:top w:w="0" w:type="dxa"/>
            <w:left w:w="108" w:type="dxa"/>
            <w:bottom w:w="0" w:type="dxa"/>
            <w:right w:w="108" w:type="dxa"/>
          </w:tblCellMar>
        </w:tblPrEx>
        <w:trPr>
          <w:trHeight w:val="985" w:hRule="atLeast"/>
        </w:trPr>
        <w:tc>
          <w:tcPr>
            <w:tcW w:w="103" w:type="pct"/>
            <w:vMerge w:val="continue"/>
            <w:tcBorders>
              <w:top w:val="nil"/>
              <w:left w:val="single" w:color="auto" w:sz="4" w:space="0"/>
              <w:bottom w:val="single" w:color="auto" w:sz="4" w:space="0"/>
              <w:right w:val="single" w:color="auto" w:sz="4" w:space="0"/>
            </w:tcBorders>
            <w:vAlign w:val="center"/>
          </w:tcPr>
          <w:p w14:paraId="4BAB6B60">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0A431A25">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B4EAFD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5</w:t>
            </w:r>
          </w:p>
        </w:tc>
        <w:tc>
          <w:tcPr>
            <w:tcW w:w="889" w:type="pct"/>
            <w:tcBorders>
              <w:top w:val="nil"/>
              <w:left w:val="nil"/>
              <w:bottom w:val="single" w:color="auto" w:sz="4" w:space="0"/>
              <w:right w:val="single" w:color="auto" w:sz="4" w:space="0"/>
            </w:tcBorders>
            <w:vAlign w:val="center"/>
          </w:tcPr>
          <w:p w14:paraId="24BDBAD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养老机构消防安全专项提升</w:t>
            </w:r>
          </w:p>
        </w:tc>
        <w:tc>
          <w:tcPr>
            <w:tcW w:w="1442" w:type="pct"/>
            <w:tcBorders>
              <w:top w:val="nil"/>
              <w:left w:val="nil"/>
              <w:bottom w:val="single" w:color="auto" w:sz="4" w:space="0"/>
              <w:right w:val="single" w:color="auto" w:sz="4" w:space="0"/>
            </w:tcBorders>
            <w:vAlign w:val="center"/>
          </w:tcPr>
          <w:p w14:paraId="1DB629EB">
            <w:pPr>
              <w:spacing w:line="240" w:lineRule="auto"/>
              <w:ind w:firstLine="0" w:firstLineChars="0"/>
              <w:rPr>
                <w:rFonts w:hint="eastAsia" w:ascii="仿宋" w:hAnsi="仿宋" w:eastAsia="仿宋"/>
                <w:sz w:val="22"/>
                <w:szCs w:val="22"/>
              </w:rPr>
            </w:pPr>
            <w:r>
              <w:rPr>
                <w:rFonts w:ascii="仿宋" w:hAnsi="仿宋" w:eastAsia="仿宋"/>
                <w:sz w:val="22"/>
                <w:szCs w:val="22"/>
              </w:rPr>
              <w:t>提升全龄友好消防安全保障，强化养老机构、医院等场所的标准化管理，建立“风险自查、隐患自除、责任自负”的自我管理与约束机制。</w:t>
            </w:r>
          </w:p>
        </w:tc>
        <w:tc>
          <w:tcPr>
            <w:tcW w:w="683" w:type="pct"/>
            <w:tcBorders>
              <w:top w:val="nil"/>
              <w:left w:val="nil"/>
              <w:bottom w:val="single" w:color="auto" w:sz="4" w:space="0"/>
              <w:right w:val="single" w:color="auto" w:sz="4" w:space="0"/>
            </w:tcBorders>
            <w:vAlign w:val="center"/>
          </w:tcPr>
          <w:p w14:paraId="7072E55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区民政局、区卫健委</w:t>
            </w:r>
          </w:p>
        </w:tc>
        <w:tc>
          <w:tcPr>
            <w:tcW w:w="687" w:type="pct"/>
            <w:tcBorders>
              <w:top w:val="nil"/>
              <w:left w:val="nil"/>
              <w:bottom w:val="single" w:color="auto" w:sz="4" w:space="0"/>
              <w:right w:val="single" w:color="auto" w:sz="4" w:space="0"/>
            </w:tcBorders>
            <w:vAlign w:val="center"/>
          </w:tcPr>
          <w:p w14:paraId="02D5846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5444A9F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2026年</w:t>
            </w:r>
          </w:p>
        </w:tc>
      </w:tr>
      <w:tr w14:paraId="5E711AC4">
        <w:tblPrEx>
          <w:tblCellMar>
            <w:top w:w="0" w:type="dxa"/>
            <w:left w:w="108" w:type="dxa"/>
            <w:bottom w:w="0" w:type="dxa"/>
            <w:right w:w="108" w:type="dxa"/>
          </w:tblCellMar>
        </w:tblPrEx>
        <w:trPr>
          <w:trHeight w:val="940" w:hRule="atLeast"/>
        </w:trPr>
        <w:tc>
          <w:tcPr>
            <w:tcW w:w="103" w:type="pct"/>
            <w:vMerge w:val="continue"/>
            <w:tcBorders>
              <w:top w:val="nil"/>
              <w:left w:val="single" w:color="auto" w:sz="4" w:space="0"/>
              <w:bottom w:val="single" w:color="auto" w:sz="4" w:space="0"/>
              <w:right w:val="single" w:color="auto" w:sz="4" w:space="0"/>
            </w:tcBorders>
            <w:vAlign w:val="center"/>
          </w:tcPr>
          <w:p w14:paraId="3BE841A7">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582B878C">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18FBE49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6</w:t>
            </w:r>
          </w:p>
        </w:tc>
        <w:tc>
          <w:tcPr>
            <w:tcW w:w="889" w:type="pct"/>
            <w:tcBorders>
              <w:top w:val="nil"/>
              <w:left w:val="nil"/>
              <w:bottom w:val="single" w:color="auto" w:sz="4" w:space="0"/>
              <w:right w:val="single" w:color="auto" w:sz="4" w:space="0"/>
            </w:tcBorders>
            <w:vAlign w:val="center"/>
          </w:tcPr>
          <w:p w14:paraId="127C7F4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村民自建房双通道建设</w:t>
            </w:r>
          </w:p>
        </w:tc>
        <w:tc>
          <w:tcPr>
            <w:tcW w:w="1442" w:type="pct"/>
            <w:tcBorders>
              <w:top w:val="nil"/>
              <w:left w:val="nil"/>
              <w:bottom w:val="single" w:color="auto" w:sz="4" w:space="0"/>
              <w:right w:val="single" w:color="auto" w:sz="4" w:space="0"/>
            </w:tcBorders>
            <w:vAlign w:val="center"/>
          </w:tcPr>
          <w:p w14:paraId="4D2C3A4F">
            <w:pPr>
              <w:spacing w:line="240" w:lineRule="auto"/>
              <w:ind w:firstLine="0" w:firstLineChars="0"/>
              <w:rPr>
                <w:rFonts w:hint="eastAsia" w:ascii="仿宋" w:hAnsi="仿宋" w:eastAsia="仿宋"/>
                <w:sz w:val="22"/>
                <w:szCs w:val="22"/>
              </w:rPr>
            </w:pPr>
            <w:r>
              <w:rPr>
                <w:rFonts w:ascii="仿宋" w:hAnsi="仿宋" w:eastAsia="仿宋"/>
                <w:sz w:val="22"/>
                <w:szCs w:val="22"/>
              </w:rPr>
              <w:t>强化村民自建房源头治理，按照“谁审批、谁负责”的原则，强化村民自建房全生命周期管理，持续推进既有房屋“双通道”的核查核验、问题整改上账工作。</w:t>
            </w:r>
          </w:p>
        </w:tc>
        <w:tc>
          <w:tcPr>
            <w:tcW w:w="683" w:type="pct"/>
            <w:tcBorders>
              <w:top w:val="nil"/>
              <w:left w:val="nil"/>
              <w:bottom w:val="single" w:color="auto" w:sz="4" w:space="0"/>
              <w:right w:val="single" w:color="auto" w:sz="4" w:space="0"/>
            </w:tcBorders>
            <w:vAlign w:val="center"/>
          </w:tcPr>
          <w:p w14:paraId="34C5CF4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区住建委、各街镇</w:t>
            </w:r>
          </w:p>
        </w:tc>
        <w:tc>
          <w:tcPr>
            <w:tcW w:w="687" w:type="pct"/>
            <w:tcBorders>
              <w:top w:val="nil"/>
              <w:left w:val="nil"/>
              <w:bottom w:val="single" w:color="auto" w:sz="4" w:space="0"/>
              <w:right w:val="single" w:color="auto" w:sz="4" w:space="0"/>
            </w:tcBorders>
            <w:vAlign w:val="center"/>
          </w:tcPr>
          <w:p w14:paraId="23ADA3D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57727EA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2026年</w:t>
            </w:r>
          </w:p>
        </w:tc>
      </w:tr>
      <w:tr w14:paraId="0ABF66E3">
        <w:tblPrEx>
          <w:tblCellMar>
            <w:top w:w="0" w:type="dxa"/>
            <w:left w:w="108" w:type="dxa"/>
            <w:bottom w:w="0" w:type="dxa"/>
            <w:right w:w="108" w:type="dxa"/>
          </w:tblCellMar>
        </w:tblPrEx>
        <w:trPr>
          <w:trHeight w:val="1060" w:hRule="atLeast"/>
        </w:trPr>
        <w:tc>
          <w:tcPr>
            <w:tcW w:w="103" w:type="pct"/>
            <w:vMerge w:val="continue"/>
            <w:tcBorders>
              <w:top w:val="nil"/>
              <w:left w:val="single" w:color="auto" w:sz="4" w:space="0"/>
              <w:bottom w:val="single" w:color="auto" w:sz="4" w:space="0"/>
              <w:right w:val="single" w:color="auto" w:sz="4" w:space="0"/>
            </w:tcBorders>
            <w:vAlign w:val="center"/>
          </w:tcPr>
          <w:p w14:paraId="341CAC18">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4B02D4DB">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6ACC1F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7</w:t>
            </w:r>
          </w:p>
        </w:tc>
        <w:tc>
          <w:tcPr>
            <w:tcW w:w="889" w:type="pct"/>
            <w:tcBorders>
              <w:top w:val="nil"/>
              <w:left w:val="nil"/>
              <w:bottom w:val="single" w:color="auto" w:sz="4" w:space="0"/>
              <w:right w:val="single" w:color="auto" w:sz="4" w:space="0"/>
            </w:tcBorders>
            <w:vAlign w:val="center"/>
          </w:tcPr>
          <w:p w14:paraId="6C9A8DA7">
            <w:pPr>
              <w:spacing w:line="240" w:lineRule="auto"/>
              <w:ind w:firstLine="0" w:firstLineChars="0"/>
              <w:jc w:val="center"/>
              <w:rPr>
                <w:rFonts w:hint="eastAsia" w:ascii="仿宋" w:hAnsi="仿宋" w:eastAsia="仿宋"/>
                <w:sz w:val="22"/>
                <w:szCs w:val="22"/>
              </w:rPr>
            </w:pPr>
            <w:r>
              <w:rPr>
                <w:rFonts w:hint="eastAsia" w:ascii="仿宋" w:hAnsi="仿宋" w:eastAsia="仿宋"/>
                <w:sz w:val="22"/>
                <w:szCs w:val="22"/>
              </w:rPr>
              <w:t>老旧小区、城乡结合部</w:t>
            </w:r>
            <w:r>
              <w:rPr>
                <w:rFonts w:ascii="仿宋" w:hAnsi="仿宋" w:eastAsia="仿宋"/>
                <w:sz w:val="22"/>
                <w:szCs w:val="22"/>
              </w:rPr>
              <w:t>消防安全整治</w:t>
            </w:r>
          </w:p>
        </w:tc>
        <w:tc>
          <w:tcPr>
            <w:tcW w:w="1442" w:type="pct"/>
            <w:tcBorders>
              <w:top w:val="nil"/>
              <w:left w:val="nil"/>
              <w:bottom w:val="single" w:color="auto" w:sz="4" w:space="0"/>
              <w:right w:val="single" w:color="auto" w:sz="4" w:space="0"/>
            </w:tcBorders>
            <w:vAlign w:val="center"/>
          </w:tcPr>
          <w:p w14:paraId="003926D9">
            <w:pPr>
              <w:spacing w:line="240" w:lineRule="auto"/>
              <w:ind w:firstLine="0" w:firstLineChars="0"/>
              <w:rPr>
                <w:rFonts w:hint="eastAsia" w:ascii="仿宋" w:hAnsi="仿宋" w:eastAsia="仿宋"/>
                <w:sz w:val="22"/>
                <w:szCs w:val="22"/>
              </w:rPr>
            </w:pPr>
            <w:r>
              <w:rPr>
                <w:rFonts w:ascii="仿宋" w:hAnsi="仿宋" w:eastAsia="仿宋"/>
                <w:sz w:val="22"/>
                <w:szCs w:val="22"/>
              </w:rPr>
              <w:t>持续开展</w:t>
            </w:r>
            <w:r>
              <w:rPr>
                <w:rFonts w:hint="eastAsia" w:ascii="仿宋" w:hAnsi="仿宋" w:eastAsia="仿宋"/>
                <w:sz w:val="22"/>
                <w:szCs w:val="22"/>
              </w:rPr>
              <w:t>老旧小区、</w:t>
            </w:r>
            <w:r>
              <w:rPr>
                <w:rFonts w:ascii="仿宋" w:hAnsi="仿宋" w:eastAsia="仿宋"/>
                <w:sz w:val="22"/>
                <w:szCs w:val="22"/>
              </w:rPr>
              <w:t>城乡结合部地区消防安全隐患排查治理，推动技防措施在重点部位的应用，提升城乡结合部经营活动场所的消防安全条件。</w:t>
            </w:r>
          </w:p>
        </w:tc>
        <w:tc>
          <w:tcPr>
            <w:tcW w:w="683" w:type="pct"/>
            <w:tcBorders>
              <w:top w:val="nil"/>
              <w:left w:val="nil"/>
              <w:bottom w:val="single" w:color="auto" w:sz="4" w:space="0"/>
              <w:right w:val="single" w:color="auto" w:sz="4" w:space="0"/>
            </w:tcBorders>
            <w:vAlign w:val="center"/>
          </w:tcPr>
          <w:p w14:paraId="2B940AF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区住建委、区农委、各街镇</w:t>
            </w:r>
          </w:p>
        </w:tc>
        <w:tc>
          <w:tcPr>
            <w:tcW w:w="687" w:type="pct"/>
            <w:tcBorders>
              <w:top w:val="nil"/>
              <w:left w:val="nil"/>
              <w:bottom w:val="single" w:color="auto" w:sz="4" w:space="0"/>
              <w:right w:val="single" w:color="auto" w:sz="4" w:space="0"/>
            </w:tcBorders>
            <w:vAlign w:val="center"/>
          </w:tcPr>
          <w:p w14:paraId="69750E5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4AB4878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4439E41C">
        <w:tblPrEx>
          <w:tblCellMar>
            <w:top w:w="0" w:type="dxa"/>
            <w:left w:w="108" w:type="dxa"/>
            <w:bottom w:w="0" w:type="dxa"/>
            <w:right w:w="108" w:type="dxa"/>
          </w:tblCellMar>
        </w:tblPrEx>
        <w:trPr>
          <w:trHeight w:val="820" w:hRule="atLeast"/>
        </w:trPr>
        <w:tc>
          <w:tcPr>
            <w:tcW w:w="103" w:type="pct"/>
            <w:vMerge w:val="continue"/>
            <w:tcBorders>
              <w:top w:val="nil"/>
              <w:left w:val="single" w:color="auto" w:sz="4" w:space="0"/>
              <w:bottom w:val="single" w:color="auto" w:sz="4" w:space="0"/>
              <w:right w:val="single" w:color="auto" w:sz="4" w:space="0"/>
            </w:tcBorders>
            <w:vAlign w:val="center"/>
          </w:tcPr>
          <w:p w14:paraId="6BDAD214">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44BA2B46">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51AE66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8</w:t>
            </w:r>
          </w:p>
        </w:tc>
        <w:tc>
          <w:tcPr>
            <w:tcW w:w="889" w:type="pct"/>
            <w:tcBorders>
              <w:top w:val="nil"/>
              <w:left w:val="nil"/>
              <w:bottom w:val="single" w:color="auto" w:sz="4" w:space="0"/>
              <w:right w:val="single" w:color="auto" w:sz="4" w:space="0"/>
            </w:tcBorders>
            <w:vAlign w:val="center"/>
          </w:tcPr>
          <w:p w14:paraId="6405222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加强“六小单位”消防安全综合管理</w:t>
            </w:r>
          </w:p>
        </w:tc>
        <w:tc>
          <w:tcPr>
            <w:tcW w:w="1442" w:type="pct"/>
            <w:tcBorders>
              <w:top w:val="nil"/>
              <w:left w:val="nil"/>
              <w:bottom w:val="single" w:color="auto" w:sz="4" w:space="0"/>
              <w:right w:val="single" w:color="auto" w:sz="4" w:space="0"/>
            </w:tcBorders>
            <w:vAlign w:val="center"/>
          </w:tcPr>
          <w:p w14:paraId="33FC293B">
            <w:pPr>
              <w:spacing w:line="240" w:lineRule="auto"/>
              <w:ind w:firstLine="0" w:firstLineChars="0"/>
              <w:rPr>
                <w:rFonts w:hint="eastAsia" w:ascii="仿宋" w:hAnsi="仿宋" w:eastAsia="仿宋"/>
                <w:sz w:val="22"/>
                <w:szCs w:val="22"/>
              </w:rPr>
            </w:pPr>
            <w:r>
              <w:rPr>
                <w:rFonts w:ascii="仿宋" w:hAnsi="仿宋" w:eastAsia="仿宋"/>
                <w:sz w:val="22"/>
                <w:szCs w:val="22"/>
              </w:rPr>
              <w:t>加强针对“六小单位”消防安全工作的综合管理，多种形式进行用火用电用气安全知识教育培训。</w:t>
            </w:r>
          </w:p>
        </w:tc>
        <w:tc>
          <w:tcPr>
            <w:tcW w:w="683" w:type="pct"/>
            <w:tcBorders>
              <w:top w:val="nil"/>
              <w:left w:val="nil"/>
              <w:bottom w:val="single" w:color="auto" w:sz="4" w:space="0"/>
              <w:right w:val="single" w:color="auto" w:sz="4" w:space="0"/>
            </w:tcBorders>
            <w:vAlign w:val="center"/>
          </w:tcPr>
          <w:p w14:paraId="6BC687F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区农委、各街镇</w:t>
            </w:r>
          </w:p>
        </w:tc>
        <w:tc>
          <w:tcPr>
            <w:tcW w:w="687" w:type="pct"/>
            <w:tcBorders>
              <w:top w:val="nil"/>
              <w:left w:val="nil"/>
              <w:bottom w:val="single" w:color="auto" w:sz="4" w:space="0"/>
              <w:right w:val="single" w:color="auto" w:sz="4" w:space="0"/>
            </w:tcBorders>
            <w:vAlign w:val="center"/>
          </w:tcPr>
          <w:p w14:paraId="3A5AC5C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区消防支队、区公安局、区应急局等</w:t>
            </w:r>
          </w:p>
        </w:tc>
        <w:tc>
          <w:tcPr>
            <w:tcW w:w="432" w:type="pct"/>
            <w:tcBorders>
              <w:top w:val="nil"/>
              <w:left w:val="nil"/>
              <w:bottom w:val="single" w:color="auto" w:sz="4" w:space="0"/>
              <w:right w:val="single" w:color="auto" w:sz="4" w:space="0"/>
            </w:tcBorders>
            <w:noWrap/>
            <w:vAlign w:val="center"/>
          </w:tcPr>
          <w:p w14:paraId="476336C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367827C0">
        <w:tblPrEx>
          <w:tblCellMar>
            <w:top w:w="0" w:type="dxa"/>
            <w:left w:w="108" w:type="dxa"/>
            <w:bottom w:w="0" w:type="dxa"/>
            <w:right w:w="108" w:type="dxa"/>
          </w:tblCellMar>
        </w:tblPrEx>
        <w:trPr>
          <w:trHeight w:val="990" w:hRule="atLeast"/>
        </w:trPr>
        <w:tc>
          <w:tcPr>
            <w:tcW w:w="103" w:type="pct"/>
            <w:vMerge w:val="continue"/>
            <w:tcBorders>
              <w:top w:val="nil"/>
              <w:left w:val="single" w:color="auto" w:sz="4" w:space="0"/>
              <w:bottom w:val="single" w:color="auto" w:sz="4" w:space="0"/>
              <w:right w:val="single" w:color="auto" w:sz="4" w:space="0"/>
            </w:tcBorders>
            <w:vAlign w:val="center"/>
          </w:tcPr>
          <w:p w14:paraId="7BF0E241">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324E0E1">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18D40EF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9</w:t>
            </w:r>
          </w:p>
        </w:tc>
        <w:tc>
          <w:tcPr>
            <w:tcW w:w="889" w:type="pct"/>
            <w:tcBorders>
              <w:top w:val="nil"/>
              <w:left w:val="nil"/>
              <w:bottom w:val="single" w:color="auto" w:sz="4" w:space="0"/>
              <w:right w:val="single" w:color="auto" w:sz="4" w:space="0"/>
            </w:tcBorders>
            <w:vAlign w:val="center"/>
          </w:tcPr>
          <w:p w14:paraId="1A4E59B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新业态消防安全隐患专项排查</w:t>
            </w:r>
          </w:p>
        </w:tc>
        <w:tc>
          <w:tcPr>
            <w:tcW w:w="1442" w:type="pct"/>
            <w:tcBorders>
              <w:top w:val="nil"/>
              <w:left w:val="nil"/>
              <w:bottom w:val="single" w:color="auto" w:sz="4" w:space="0"/>
              <w:right w:val="single" w:color="auto" w:sz="4" w:space="0"/>
            </w:tcBorders>
            <w:vAlign w:val="center"/>
          </w:tcPr>
          <w:p w14:paraId="4AD5A337">
            <w:pPr>
              <w:spacing w:line="240" w:lineRule="auto"/>
              <w:ind w:firstLine="0" w:firstLineChars="0"/>
              <w:rPr>
                <w:rFonts w:hint="eastAsia" w:ascii="仿宋" w:hAnsi="仿宋" w:eastAsia="仿宋"/>
                <w:sz w:val="22"/>
                <w:szCs w:val="22"/>
              </w:rPr>
            </w:pPr>
            <w:r>
              <w:rPr>
                <w:rFonts w:ascii="仿宋" w:hAnsi="仿宋" w:eastAsia="仿宋"/>
                <w:sz w:val="22"/>
                <w:szCs w:val="22"/>
              </w:rPr>
              <w:t>针对演艺新空间、电竞酒店等新业态，分析新业态火灾风险特点，推广视频监控、物联感知、感烟探测器等技防设施，实现风险早发现、事故早处置。</w:t>
            </w:r>
          </w:p>
        </w:tc>
        <w:tc>
          <w:tcPr>
            <w:tcW w:w="683" w:type="pct"/>
            <w:tcBorders>
              <w:top w:val="nil"/>
              <w:left w:val="nil"/>
              <w:bottom w:val="single" w:color="auto" w:sz="4" w:space="0"/>
              <w:right w:val="single" w:color="auto" w:sz="4" w:space="0"/>
            </w:tcBorders>
            <w:vAlign w:val="center"/>
          </w:tcPr>
          <w:p w14:paraId="00E362F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区商务局、各街镇</w:t>
            </w:r>
          </w:p>
        </w:tc>
        <w:tc>
          <w:tcPr>
            <w:tcW w:w="687" w:type="pct"/>
            <w:tcBorders>
              <w:top w:val="nil"/>
              <w:left w:val="nil"/>
              <w:bottom w:val="single" w:color="auto" w:sz="4" w:space="0"/>
              <w:right w:val="single" w:color="auto" w:sz="4" w:space="0"/>
            </w:tcBorders>
            <w:vAlign w:val="center"/>
          </w:tcPr>
          <w:p w14:paraId="2E58DD2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2229BE5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2027-2028年</w:t>
            </w:r>
          </w:p>
        </w:tc>
      </w:tr>
      <w:tr w14:paraId="4B8FD02F">
        <w:tblPrEx>
          <w:tblCellMar>
            <w:top w:w="0" w:type="dxa"/>
            <w:left w:w="108" w:type="dxa"/>
            <w:bottom w:w="0" w:type="dxa"/>
            <w:right w:w="108" w:type="dxa"/>
          </w:tblCellMar>
        </w:tblPrEx>
        <w:trPr>
          <w:trHeight w:val="1550" w:hRule="atLeast"/>
        </w:trPr>
        <w:tc>
          <w:tcPr>
            <w:tcW w:w="103" w:type="pct"/>
            <w:vMerge w:val="continue"/>
            <w:tcBorders>
              <w:top w:val="nil"/>
              <w:left w:val="single" w:color="auto" w:sz="4" w:space="0"/>
              <w:bottom w:val="single" w:color="auto" w:sz="4" w:space="0"/>
              <w:right w:val="single" w:color="auto" w:sz="4" w:space="0"/>
            </w:tcBorders>
            <w:vAlign w:val="center"/>
          </w:tcPr>
          <w:p w14:paraId="3A99B08D">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3516F16E">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C38EB7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10</w:t>
            </w:r>
          </w:p>
        </w:tc>
        <w:tc>
          <w:tcPr>
            <w:tcW w:w="889" w:type="pct"/>
            <w:tcBorders>
              <w:top w:val="nil"/>
              <w:left w:val="nil"/>
              <w:bottom w:val="single" w:color="auto" w:sz="4" w:space="0"/>
              <w:right w:val="single" w:color="auto" w:sz="4" w:space="0"/>
            </w:tcBorders>
            <w:vAlign w:val="center"/>
          </w:tcPr>
          <w:p w14:paraId="3EAF152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加强电动自行车火灾风险防控</w:t>
            </w:r>
          </w:p>
        </w:tc>
        <w:tc>
          <w:tcPr>
            <w:tcW w:w="1442" w:type="pct"/>
            <w:tcBorders>
              <w:top w:val="nil"/>
              <w:left w:val="nil"/>
              <w:bottom w:val="single" w:color="auto" w:sz="4" w:space="0"/>
              <w:right w:val="single" w:color="auto" w:sz="4" w:space="0"/>
            </w:tcBorders>
            <w:vAlign w:val="center"/>
          </w:tcPr>
          <w:p w14:paraId="5DCAF425">
            <w:pPr>
              <w:spacing w:line="240" w:lineRule="auto"/>
              <w:ind w:firstLine="0" w:firstLineChars="0"/>
              <w:rPr>
                <w:rFonts w:hint="eastAsia" w:ascii="仿宋" w:hAnsi="仿宋" w:eastAsia="仿宋"/>
                <w:sz w:val="22"/>
                <w:szCs w:val="22"/>
              </w:rPr>
            </w:pPr>
            <w:r>
              <w:rPr>
                <w:rFonts w:ascii="仿宋" w:hAnsi="仿宋" w:eastAsia="仿宋"/>
                <w:sz w:val="22"/>
                <w:szCs w:val="22"/>
              </w:rPr>
              <w:t>加强电动自行车火灾风险防控，推动开展电动自行车强制性国家标准宣贯，依法查处违法违规生产、销售电动自行车以及改装电池行为，加强源头管控；推动居住小区落实电动自行车集中管理措施，设置电动自行车集中充电、停放场所，整治电动自行车进楼入户、违规飞线、私拉乱接电线充电的违法违规行为。</w:t>
            </w:r>
          </w:p>
        </w:tc>
        <w:tc>
          <w:tcPr>
            <w:tcW w:w="683" w:type="pct"/>
            <w:tcBorders>
              <w:top w:val="nil"/>
              <w:left w:val="nil"/>
              <w:bottom w:val="single" w:color="auto" w:sz="4" w:space="0"/>
              <w:right w:val="single" w:color="auto" w:sz="4" w:space="0"/>
            </w:tcBorders>
            <w:vAlign w:val="center"/>
          </w:tcPr>
          <w:p w14:paraId="4E05292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各街镇</w:t>
            </w:r>
          </w:p>
        </w:tc>
        <w:tc>
          <w:tcPr>
            <w:tcW w:w="687" w:type="pct"/>
            <w:tcBorders>
              <w:top w:val="nil"/>
              <w:left w:val="nil"/>
              <w:bottom w:val="single" w:color="auto" w:sz="4" w:space="0"/>
              <w:right w:val="single" w:color="auto" w:sz="4" w:space="0"/>
            </w:tcBorders>
            <w:vAlign w:val="center"/>
          </w:tcPr>
          <w:p w14:paraId="370789D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432" w:type="pct"/>
            <w:tcBorders>
              <w:top w:val="nil"/>
              <w:left w:val="nil"/>
              <w:bottom w:val="single" w:color="auto" w:sz="4" w:space="0"/>
              <w:right w:val="single" w:color="auto" w:sz="4" w:space="0"/>
            </w:tcBorders>
            <w:noWrap/>
            <w:vAlign w:val="center"/>
          </w:tcPr>
          <w:p w14:paraId="3740C9F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5402B103">
        <w:tblPrEx>
          <w:tblCellMar>
            <w:top w:w="0" w:type="dxa"/>
            <w:left w:w="108" w:type="dxa"/>
            <w:bottom w:w="0" w:type="dxa"/>
            <w:right w:w="108" w:type="dxa"/>
          </w:tblCellMar>
        </w:tblPrEx>
        <w:trPr>
          <w:trHeight w:val="2120" w:hRule="atLeast"/>
        </w:trPr>
        <w:tc>
          <w:tcPr>
            <w:tcW w:w="103" w:type="pct"/>
            <w:vMerge w:val="restart"/>
            <w:tcBorders>
              <w:top w:val="nil"/>
              <w:left w:val="single" w:color="auto" w:sz="4" w:space="0"/>
              <w:bottom w:val="single" w:color="auto" w:sz="4" w:space="0"/>
              <w:right w:val="single" w:color="auto" w:sz="4" w:space="0"/>
            </w:tcBorders>
            <w:noWrap/>
            <w:vAlign w:val="center"/>
          </w:tcPr>
          <w:p w14:paraId="6732664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二</w:t>
            </w:r>
          </w:p>
        </w:tc>
        <w:tc>
          <w:tcPr>
            <w:tcW w:w="561" w:type="pct"/>
            <w:vMerge w:val="restart"/>
            <w:tcBorders>
              <w:top w:val="nil"/>
              <w:left w:val="single" w:color="auto" w:sz="4" w:space="0"/>
              <w:bottom w:val="single" w:color="auto" w:sz="4" w:space="0"/>
              <w:right w:val="single" w:color="auto" w:sz="4" w:space="0"/>
            </w:tcBorders>
            <w:vAlign w:val="center"/>
          </w:tcPr>
          <w:p w14:paraId="138B7FE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消防安全制度建设</w:t>
            </w:r>
            <w:r>
              <w:rPr>
                <w:rFonts w:ascii="仿宋" w:hAnsi="仿宋" w:eastAsia="仿宋"/>
                <w:sz w:val="22"/>
                <w:szCs w:val="22"/>
              </w:rPr>
              <w:br w:type="textWrapping"/>
            </w:r>
            <w:r>
              <w:rPr>
                <w:rFonts w:ascii="仿宋" w:hAnsi="仿宋" w:eastAsia="仿宋"/>
                <w:sz w:val="22"/>
                <w:szCs w:val="22"/>
              </w:rPr>
              <w:t>与营商环境优化</w:t>
            </w:r>
          </w:p>
        </w:tc>
        <w:tc>
          <w:tcPr>
            <w:tcW w:w="203" w:type="pct"/>
            <w:tcBorders>
              <w:top w:val="nil"/>
              <w:left w:val="nil"/>
              <w:bottom w:val="single" w:color="auto" w:sz="4" w:space="0"/>
              <w:right w:val="single" w:color="auto" w:sz="4" w:space="0"/>
            </w:tcBorders>
            <w:noWrap/>
            <w:vAlign w:val="center"/>
          </w:tcPr>
          <w:p w14:paraId="69B671E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11</w:t>
            </w:r>
          </w:p>
        </w:tc>
        <w:tc>
          <w:tcPr>
            <w:tcW w:w="889" w:type="pct"/>
            <w:tcBorders>
              <w:top w:val="nil"/>
              <w:left w:val="nil"/>
              <w:bottom w:val="single" w:color="auto" w:sz="4" w:space="0"/>
              <w:right w:val="single" w:color="auto" w:sz="4" w:space="0"/>
            </w:tcBorders>
            <w:vAlign w:val="center"/>
          </w:tcPr>
          <w:p w14:paraId="173D3CA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研究制定《丰台区消防安全责任制实施细则》</w:t>
            </w:r>
          </w:p>
        </w:tc>
        <w:tc>
          <w:tcPr>
            <w:tcW w:w="1442" w:type="pct"/>
            <w:tcBorders>
              <w:top w:val="nil"/>
              <w:left w:val="nil"/>
              <w:bottom w:val="single" w:color="auto" w:sz="4" w:space="0"/>
              <w:right w:val="single" w:color="auto" w:sz="4" w:space="0"/>
            </w:tcBorders>
            <w:vAlign w:val="center"/>
          </w:tcPr>
          <w:p w14:paraId="234BDAC9">
            <w:pPr>
              <w:spacing w:line="240" w:lineRule="auto"/>
              <w:ind w:firstLine="0" w:firstLineChars="0"/>
              <w:rPr>
                <w:rFonts w:hint="eastAsia" w:ascii="仿宋" w:hAnsi="仿宋" w:eastAsia="仿宋"/>
                <w:sz w:val="22"/>
                <w:szCs w:val="22"/>
              </w:rPr>
            </w:pPr>
            <w:r>
              <w:rPr>
                <w:rFonts w:ascii="仿宋" w:hAnsi="仿宋" w:eastAsia="仿宋"/>
                <w:sz w:val="22"/>
                <w:szCs w:val="22"/>
              </w:rPr>
              <w:t>建立健全以“消防监管+属地监管+行业监管+机构主体责任”四合一的消防安全监管体系；建立健全行业消防安全管理制度，执行消防安全“六进”，在行业规划、产业政策、法规标准、行政管理中统筹消防安全要求。</w:t>
            </w:r>
          </w:p>
        </w:tc>
        <w:tc>
          <w:tcPr>
            <w:tcW w:w="683" w:type="pct"/>
            <w:tcBorders>
              <w:top w:val="nil"/>
              <w:left w:val="nil"/>
              <w:bottom w:val="single" w:color="auto" w:sz="4" w:space="0"/>
              <w:right w:val="single" w:color="auto" w:sz="4" w:space="0"/>
            </w:tcBorders>
            <w:vAlign w:val="center"/>
          </w:tcPr>
          <w:p w14:paraId="301512E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338234F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区应急局、区公安局、北京消防救援机动支队驻丰台中队、区发改委、区规自分局、区住建委、区财政局、区城管委、区商务局、区教委、区农委、区民政局、区气象局、区经信局、各街镇等</w:t>
            </w:r>
          </w:p>
        </w:tc>
        <w:tc>
          <w:tcPr>
            <w:tcW w:w="432" w:type="pct"/>
            <w:tcBorders>
              <w:top w:val="nil"/>
              <w:left w:val="nil"/>
              <w:bottom w:val="single" w:color="auto" w:sz="4" w:space="0"/>
              <w:right w:val="single" w:color="auto" w:sz="4" w:space="0"/>
            </w:tcBorders>
            <w:noWrap/>
            <w:vAlign w:val="center"/>
          </w:tcPr>
          <w:p w14:paraId="2537429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15EAFA4C">
        <w:tblPrEx>
          <w:tblCellMar>
            <w:top w:w="0" w:type="dxa"/>
            <w:left w:w="108" w:type="dxa"/>
            <w:bottom w:w="0" w:type="dxa"/>
            <w:right w:w="108" w:type="dxa"/>
          </w:tblCellMar>
        </w:tblPrEx>
        <w:trPr>
          <w:trHeight w:val="780" w:hRule="atLeast"/>
        </w:trPr>
        <w:tc>
          <w:tcPr>
            <w:tcW w:w="103" w:type="pct"/>
            <w:vMerge w:val="continue"/>
            <w:tcBorders>
              <w:top w:val="nil"/>
              <w:left w:val="single" w:color="auto" w:sz="4" w:space="0"/>
              <w:bottom w:val="single" w:color="auto" w:sz="4" w:space="0"/>
              <w:right w:val="single" w:color="auto" w:sz="4" w:space="0"/>
            </w:tcBorders>
            <w:vAlign w:val="center"/>
          </w:tcPr>
          <w:p w14:paraId="064D9A3C">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A22909D">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B12C64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12</w:t>
            </w:r>
          </w:p>
        </w:tc>
        <w:tc>
          <w:tcPr>
            <w:tcW w:w="889" w:type="pct"/>
            <w:tcBorders>
              <w:top w:val="nil"/>
              <w:left w:val="nil"/>
              <w:bottom w:val="single" w:color="auto" w:sz="4" w:space="0"/>
              <w:right w:val="single" w:color="auto" w:sz="4" w:space="0"/>
            </w:tcBorders>
            <w:vAlign w:val="center"/>
          </w:tcPr>
          <w:p w14:paraId="2A4E6E1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消防设计单位“信用库”建设</w:t>
            </w:r>
          </w:p>
        </w:tc>
        <w:tc>
          <w:tcPr>
            <w:tcW w:w="1442" w:type="pct"/>
            <w:tcBorders>
              <w:top w:val="nil"/>
              <w:left w:val="nil"/>
              <w:bottom w:val="single" w:color="auto" w:sz="4" w:space="0"/>
              <w:right w:val="single" w:color="auto" w:sz="4" w:space="0"/>
            </w:tcBorders>
            <w:vAlign w:val="center"/>
          </w:tcPr>
          <w:p w14:paraId="1DE1197B">
            <w:pPr>
              <w:spacing w:line="240" w:lineRule="auto"/>
              <w:ind w:firstLine="0" w:firstLineChars="0"/>
              <w:rPr>
                <w:rFonts w:hint="eastAsia" w:ascii="仿宋" w:hAnsi="仿宋" w:eastAsia="仿宋"/>
                <w:sz w:val="22"/>
                <w:szCs w:val="22"/>
              </w:rPr>
            </w:pPr>
            <w:r>
              <w:rPr>
                <w:rFonts w:ascii="仿宋" w:hAnsi="仿宋" w:eastAsia="仿宋"/>
                <w:sz w:val="22"/>
                <w:szCs w:val="22"/>
              </w:rPr>
              <w:t>建立消防设计单位“信用库”，统筹消防设计单位设计安全风险和信用状况，源头上解决企业问题。</w:t>
            </w:r>
          </w:p>
        </w:tc>
        <w:tc>
          <w:tcPr>
            <w:tcW w:w="683" w:type="pct"/>
            <w:tcBorders>
              <w:top w:val="nil"/>
              <w:left w:val="nil"/>
              <w:bottom w:val="single" w:color="auto" w:sz="4" w:space="0"/>
              <w:right w:val="single" w:color="auto" w:sz="4" w:space="0"/>
            </w:tcBorders>
            <w:vAlign w:val="center"/>
          </w:tcPr>
          <w:p w14:paraId="5F9B49F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区规自分局</w:t>
            </w:r>
          </w:p>
        </w:tc>
        <w:tc>
          <w:tcPr>
            <w:tcW w:w="687" w:type="pct"/>
            <w:tcBorders>
              <w:top w:val="nil"/>
              <w:left w:val="nil"/>
              <w:bottom w:val="single" w:color="auto" w:sz="4" w:space="0"/>
              <w:right w:val="single" w:color="auto" w:sz="4" w:space="0"/>
            </w:tcBorders>
            <w:vAlign w:val="center"/>
          </w:tcPr>
          <w:p w14:paraId="6371711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区消防支队、区应急局、区住建委等</w:t>
            </w:r>
          </w:p>
        </w:tc>
        <w:tc>
          <w:tcPr>
            <w:tcW w:w="432" w:type="pct"/>
            <w:tcBorders>
              <w:top w:val="nil"/>
              <w:left w:val="nil"/>
              <w:bottom w:val="single" w:color="auto" w:sz="4" w:space="0"/>
              <w:right w:val="single" w:color="auto" w:sz="4" w:space="0"/>
            </w:tcBorders>
            <w:noWrap/>
            <w:vAlign w:val="center"/>
          </w:tcPr>
          <w:p w14:paraId="120CF3A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20137C17">
        <w:tblPrEx>
          <w:tblCellMar>
            <w:top w:w="0" w:type="dxa"/>
            <w:left w:w="108" w:type="dxa"/>
            <w:bottom w:w="0" w:type="dxa"/>
            <w:right w:w="108" w:type="dxa"/>
          </w:tblCellMar>
        </w:tblPrEx>
        <w:trPr>
          <w:trHeight w:val="740" w:hRule="atLeast"/>
        </w:trPr>
        <w:tc>
          <w:tcPr>
            <w:tcW w:w="103" w:type="pct"/>
            <w:vMerge w:val="continue"/>
            <w:tcBorders>
              <w:top w:val="nil"/>
              <w:left w:val="single" w:color="auto" w:sz="4" w:space="0"/>
              <w:bottom w:val="single" w:color="auto" w:sz="4" w:space="0"/>
              <w:right w:val="single" w:color="auto" w:sz="4" w:space="0"/>
            </w:tcBorders>
            <w:vAlign w:val="center"/>
          </w:tcPr>
          <w:p w14:paraId="7290FFC9">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3FB1BB7B">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2072221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13</w:t>
            </w:r>
          </w:p>
        </w:tc>
        <w:tc>
          <w:tcPr>
            <w:tcW w:w="889" w:type="pct"/>
            <w:tcBorders>
              <w:top w:val="nil"/>
              <w:left w:val="nil"/>
              <w:bottom w:val="single" w:color="auto" w:sz="4" w:space="0"/>
              <w:right w:val="single" w:color="auto" w:sz="4" w:space="0"/>
            </w:tcBorders>
            <w:vAlign w:val="center"/>
          </w:tcPr>
          <w:p w14:paraId="5592C65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全面推行消防安全检查告知承诺制建设和预检查服务</w:t>
            </w:r>
          </w:p>
        </w:tc>
        <w:tc>
          <w:tcPr>
            <w:tcW w:w="1442" w:type="pct"/>
            <w:tcBorders>
              <w:top w:val="nil"/>
              <w:left w:val="nil"/>
              <w:bottom w:val="single" w:color="auto" w:sz="4" w:space="0"/>
              <w:right w:val="single" w:color="auto" w:sz="4" w:space="0"/>
            </w:tcBorders>
            <w:vAlign w:val="center"/>
          </w:tcPr>
          <w:p w14:paraId="7ACFC65A">
            <w:pPr>
              <w:spacing w:line="240" w:lineRule="auto"/>
              <w:ind w:firstLine="0" w:firstLineChars="0"/>
              <w:rPr>
                <w:rFonts w:hint="eastAsia" w:ascii="仿宋" w:hAnsi="仿宋" w:eastAsia="仿宋"/>
                <w:sz w:val="22"/>
                <w:szCs w:val="22"/>
              </w:rPr>
            </w:pPr>
            <w:r>
              <w:rPr>
                <w:rFonts w:ascii="仿宋" w:hAnsi="仿宋" w:eastAsia="仿宋"/>
                <w:sz w:val="22"/>
                <w:szCs w:val="22"/>
              </w:rPr>
              <w:t>全面推行公众聚集场所投入使用和营业前消防安全检查告知承诺制，开展预检查服务。</w:t>
            </w:r>
          </w:p>
        </w:tc>
        <w:tc>
          <w:tcPr>
            <w:tcW w:w="683" w:type="pct"/>
            <w:tcBorders>
              <w:top w:val="nil"/>
              <w:left w:val="nil"/>
              <w:bottom w:val="single" w:color="auto" w:sz="4" w:space="0"/>
              <w:right w:val="single" w:color="auto" w:sz="4" w:space="0"/>
            </w:tcBorders>
            <w:vAlign w:val="center"/>
          </w:tcPr>
          <w:p w14:paraId="0FF9673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6DF9F1B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区住</w:t>
            </w:r>
            <w:r>
              <w:rPr>
                <w:rFonts w:hint="eastAsia" w:ascii="仿宋" w:hAnsi="仿宋" w:eastAsia="仿宋"/>
                <w:sz w:val="22"/>
                <w:szCs w:val="22"/>
              </w:rPr>
              <w:t>建</w:t>
            </w:r>
            <w:r>
              <w:rPr>
                <w:rFonts w:ascii="仿宋" w:hAnsi="仿宋" w:eastAsia="仿宋"/>
                <w:sz w:val="22"/>
                <w:szCs w:val="22"/>
              </w:rPr>
              <w:t>委、区应急局、区民政局等</w:t>
            </w:r>
          </w:p>
        </w:tc>
        <w:tc>
          <w:tcPr>
            <w:tcW w:w="432" w:type="pct"/>
            <w:tcBorders>
              <w:top w:val="nil"/>
              <w:left w:val="nil"/>
              <w:bottom w:val="single" w:color="auto" w:sz="4" w:space="0"/>
              <w:right w:val="single" w:color="auto" w:sz="4" w:space="0"/>
            </w:tcBorders>
            <w:noWrap/>
            <w:vAlign w:val="center"/>
          </w:tcPr>
          <w:p w14:paraId="28BAC48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0A05521B">
        <w:tblPrEx>
          <w:tblCellMar>
            <w:top w:w="0" w:type="dxa"/>
            <w:left w:w="108" w:type="dxa"/>
            <w:bottom w:w="0" w:type="dxa"/>
            <w:right w:w="108" w:type="dxa"/>
          </w:tblCellMar>
        </w:tblPrEx>
        <w:trPr>
          <w:trHeight w:val="1170" w:hRule="atLeast"/>
        </w:trPr>
        <w:tc>
          <w:tcPr>
            <w:tcW w:w="103" w:type="pct"/>
            <w:vMerge w:val="continue"/>
            <w:tcBorders>
              <w:top w:val="nil"/>
              <w:left w:val="single" w:color="auto" w:sz="4" w:space="0"/>
              <w:bottom w:val="single" w:color="auto" w:sz="4" w:space="0"/>
              <w:right w:val="single" w:color="auto" w:sz="4" w:space="0"/>
            </w:tcBorders>
            <w:vAlign w:val="center"/>
          </w:tcPr>
          <w:p w14:paraId="268C458A">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E548809">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BF3B75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14</w:t>
            </w:r>
          </w:p>
        </w:tc>
        <w:tc>
          <w:tcPr>
            <w:tcW w:w="889" w:type="pct"/>
            <w:tcBorders>
              <w:top w:val="nil"/>
              <w:left w:val="nil"/>
              <w:bottom w:val="single" w:color="auto" w:sz="4" w:space="0"/>
              <w:right w:val="single" w:color="auto" w:sz="4" w:space="0"/>
            </w:tcBorders>
            <w:vAlign w:val="center"/>
          </w:tcPr>
          <w:p w14:paraId="0FCE021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优化消防执法日常监管优化和非现场执法</w:t>
            </w:r>
          </w:p>
        </w:tc>
        <w:tc>
          <w:tcPr>
            <w:tcW w:w="1442" w:type="pct"/>
            <w:tcBorders>
              <w:top w:val="nil"/>
              <w:left w:val="nil"/>
              <w:bottom w:val="single" w:color="auto" w:sz="4" w:space="0"/>
              <w:right w:val="single" w:color="auto" w:sz="4" w:space="0"/>
            </w:tcBorders>
            <w:vAlign w:val="center"/>
          </w:tcPr>
          <w:p w14:paraId="6D32F2A3">
            <w:pPr>
              <w:spacing w:line="240" w:lineRule="auto"/>
              <w:ind w:firstLine="0" w:firstLineChars="0"/>
              <w:rPr>
                <w:rFonts w:hint="eastAsia" w:ascii="仿宋" w:hAnsi="仿宋" w:eastAsia="仿宋"/>
                <w:sz w:val="22"/>
                <w:szCs w:val="22"/>
              </w:rPr>
            </w:pPr>
            <w:r>
              <w:rPr>
                <w:rFonts w:ascii="仿宋" w:hAnsi="仿宋" w:eastAsia="仿宋"/>
                <w:sz w:val="22"/>
                <w:szCs w:val="22"/>
              </w:rPr>
              <w:t>优化消防执法日常监管，完善重点单位一体化综合监管线上服务；创新涉企行政检查监督方式，落实“一码检查”和“无事不扰”白名单制度，深化消防非现场监管、“风险+信用”监管，提升消防监管效率和信息化水平，用信用手段倒逼</w:t>
            </w:r>
            <w:r>
              <w:rPr>
                <w:rFonts w:hint="eastAsia" w:ascii="仿宋" w:hAnsi="仿宋" w:eastAsia="仿宋"/>
                <w:sz w:val="22"/>
                <w:szCs w:val="22"/>
              </w:rPr>
              <w:t>强化</w:t>
            </w:r>
            <w:r>
              <w:rPr>
                <w:rFonts w:ascii="仿宋" w:hAnsi="仿宋" w:eastAsia="仿宋"/>
                <w:sz w:val="22"/>
                <w:szCs w:val="22"/>
              </w:rPr>
              <w:t>主体责任。</w:t>
            </w:r>
          </w:p>
        </w:tc>
        <w:tc>
          <w:tcPr>
            <w:tcW w:w="683" w:type="pct"/>
            <w:tcBorders>
              <w:top w:val="nil"/>
              <w:left w:val="nil"/>
              <w:bottom w:val="single" w:color="auto" w:sz="4" w:space="0"/>
              <w:right w:val="single" w:color="auto" w:sz="4" w:space="0"/>
            </w:tcBorders>
            <w:vAlign w:val="center"/>
          </w:tcPr>
          <w:p w14:paraId="56933F9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69FB5EB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区消防支队、区商务局、区住建委、各街镇等</w:t>
            </w:r>
          </w:p>
        </w:tc>
        <w:tc>
          <w:tcPr>
            <w:tcW w:w="432" w:type="pct"/>
            <w:tcBorders>
              <w:top w:val="nil"/>
              <w:left w:val="nil"/>
              <w:bottom w:val="single" w:color="auto" w:sz="4" w:space="0"/>
              <w:right w:val="single" w:color="auto" w:sz="4" w:space="0"/>
            </w:tcBorders>
            <w:noWrap/>
            <w:vAlign w:val="center"/>
          </w:tcPr>
          <w:p w14:paraId="6B6E858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01274C52">
        <w:tblPrEx>
          <w:tblCellMar>
            <w:top w:w="0" w:type="dxa"/>
            <w:left w:w="108" w:type="dxa"/>
            <w:bottom w:w="0" w:type="dxa"/>
            <w:right w:w="108" w:type="dxa"/>
          </w:tblCellMar>
        </w:tblPrEx>
        <w:trPr>
          <w:trHeight w:val="720" w:hRule="atLeast"/>
        </w:trPr>
        <w:tc>
          <w:tcPr>
            <w:tcW w:w="103" w:type="pct"/>
            <w:vMerge w:val="continue"/>
            <w:tcBorders>
              <w:top w:val="nil"/>
              <w:left w:val="single" w:color="auto" w:sz="4" w:space="0"/>
              <w:bottom w:val="single" w:color="auto" w:sz="4" w:space="0"/>
              <w:right w:val="single" w:color="auto" w:sz="4" w:space="0"/>
            </w:tcBorders>
            <w:vAlign w:val="center"/>
          </w:tcPr>
          <w:p w14:paraId="092B82FE">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54D120E">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58BA7D6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15</w:t>
            </w:r>
          </w:p>
        </w:tc>
        <w:tc>
          <w:tcPr>
            <w:tcW w:w="889" w:type="pct"/>
            <w:tcBorders>
              <w:top w:val="nil"/>
              <w:left w:val="nil"/>
              <w:bottom w:val="single" w:color="auto" w:sz="4" w:space="0"/>
              <w:right w:val="single" w:color="auto" w:sz="4" w:space="0"/>
            </w:tcBorders>
            <w:vAlign w:val="center"/>
          </w:tcPr>
          <w:p w14:paraId="0568A0F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研究制定《丰台区优化营商环境消防柔性执法工作规定》</w:t>
            </w:r>
          </w:p>
        </w:tc>
        <w:tc>
          <w:tcPr>
            <w:tcW w:w="1442" w:type="pct"/>
            <w:tcBorders>
              <w:top w:val="nil"/>
              <w:left w:val="nil"/>
              <w:bottom w:val="single" w:color="auto" w:sz="4" w:space="0"/>
              <w:right w:val="single" w:color="auto" w:sz="4" w:space="0"/>
            </w:tcBorders>
            <w:vAlign w:val="center"/>
          </w:tcPr>
          <w:p w14:paraId="19F5174D">
            <w:pPr>
              <w:spacing w:line="240" w:lineRule="auto"/>
              <w:ind w:firstLine="0" w:firstLineChars="0"/>
              <w:rPr>
                <w:rFonts w:hint="eastAsia" w:ascii="仿宋" w:hAnsi="仿宋" w:eastAsia="仿宋"/>
                <w:sz w:val="22"/>
                <w:szCs w:val="22"/>
              </w:rPr>
            </w:pPr>
            <w:r>
              <w:rPr>
                <w:rFonts w:ascii="仿宋" w:hAnsi="仿宋" w:eastAsia="仿宋"/>
                <w:sz w:val="22"/>
                <w:szCs w:val="22"/>
              </w:rPr>
              <w:t>加强消防安全柔性执法，完善消防安全信用记录工作制度。</w:t>
            </w:r>
          </w:p>
        </w:tc>
        <w:tc>
          <w:tcPr>
            <w:tcW w:w="683" w:type="pct"/>
            <w:tcBorders>
              <w:top w:val="nil"/>
              <w:left w:val="nil"/>
              <w:bottom w:val="single" w:color="auto" w:sz="4" w:space="0"/>
              <w:right w:val="single" w:color="auto" w:sz="4" w:space="0"/>
            </w:tcBorders>
            <w:vAlign w:val="center"/>
          </w:tcPr>
          <w:p w14:paraId="6A8BB57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0CBCB36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区商务局、区应急局、区公安局等</w:t>
            </w:r>
          </w:p>
        </w:tc>
        <w:tc>
          <w:tcPr>
            <w:tcW w:w="432" w:type="pct"/>
            <w:tcBorders>
              <w:top w:val="nil"/>
              <w:left w:val="nil"/>
              <w:bottom w:val="single" w:color="auto" w:sz="4" w:space="0"/>
              <w:right w:val="single" w:color="auto" w:sz="4" w:space="0"/>
            </w:tcBorders>
            <w:noWrap/>
            <w:vAlign w:val="center"/>
          </w:tcPr>
          <w:p w14:paraId="3E3B39D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4BC3BEB4">
        <w:tblPrEx>
          <w:tblCellMar>
            <w:top w:w="0" w:type="dxa"/>
            <w:left w:w="108" w:type="dxa"/>
            <w:bottom w:w="0" w:type="dxa"/>
            <w:right w:w="108" w:type="dxa"/>
          </w:tblCellMar>
        </w:tblPrEx>
        <w:trPr>
          <w:trHeight w:val="1600" w:hRule="atLeast"/>
        </w:trPr>
        <w:tc>
          <w:tcPr>
            <w:tcW w:w="103" w:type="pct"/>
            <w:vMerge w:val="continue"/>
            <w:tcBorders>
              <w:top w:val="nil"/>
              <w:left w:val="single" w:color="auto" w:sz="4" w:space="0"/>
              <w:bottom w:val="single" w:color="auto" w:sz="4" w:space="0"/>
              <w:right w:val="single" w:color="auto" w:sz="4" w:space="0"/>
            </w:tcBorders>
            <w:vAlign w:val="center"/>
          </w:tcPr>
          <w:p w14:paraId="5BA79D62">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484DB043">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676FE2B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16</w:t>
            </w:r>
          </w:p>
        </w:tc>
        <w:tc>
          <w:tcPr>
            <w:tcW w:w="889" w:type="pct"/>
            <w:tcBorders>
              <w:top w:val="nil"/>
              <w:left w:val="nil"/>
              <w:bottom w:val="single" w:color="auto" w:sz="4" w:space="0"/>
              <w:right w:val="single" w:color="auto" w:sz="4" w:space="0"/>
            </w:tcBorders>
            <w:vAlign w:val="center"/>
          </w:tcPr>
          <w:p w14:paraId="4A59614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研究制定《丰台区火灾事故调查处理规定》</w:t>
            </w:r>
          </w:p>
        </w:tc>
        <w:tc>
          <w:tcPr>
            <w:tcW w:w="1442" w:type="pct"/>
            <w:tcBorders>
              <w:top w:val="nil"/>
              <w:left w:val="nil"/>
              <w:bottom w:val="single" w:color="auto" w:sz="4" w:space="0"/>
              <w:right w:val="single" w:color="auto" w:sz="4" w:space="0"/>
            </w:tcBorders>
            <w:vAlign w:val="center"/>
          </w:tcPr>
          <w:p w14:paraId="61F659C7">
            <w:pPr>
              <w:spacing w:line="240" w:lineRule="auto"/>
              <w:ind w:firstLine="0" w:firstLineChars="0"/>
              <w:rPr>
                <w:rFonts w:hint="eastAsia" w:ascii="仿宋" w:hAnsi="仿宋" w:eastAsia="仿宋"/>
                <w:sz w:val="22"/>
                <w:szCs w:val="22"/>
              </w:rPr>
            </w:pPr>
            <w:r>
              <w:rPr>
                <w:rFonts w:ascii="仿宋" w:hAnsi="仿宋" w:eastAsia="仿宋"/>
                <w:sz w:val="22"/>
                <w:szCs w:val="22"/>
              </w:rPr>
              <w:t>完善火灾事故倒查追责制度。建立全过程责任追究机制，对工程建设、中介服务、产品质量、使用管理、日常监管等情况开展延伸调查和责任倒查，将相关经验教训进一步反馈应用到日常消防监管环节，建立“防-灭-防”的整改闭环机制。</w:t>
            </w:r>
          </w:p>
        </w:tc>
        <w:tc>
          <w:tcPr>
            <w:tcW w:w="683" w:type="pct"/>
            <w:tcBorders>
              <w:top w:val="nil"/>
              <w:left w:val="nil"/>
              <w:bottom w:val="single" w:color="auto" w:sz="4" w:space="0"/>
              <w:right w:val="single" w:color="auto" w:sz="4" w:space="0"/>
            </w:tcBorders>
            <w:vAlign w:val="center"/>
          </w:tcPr>
          <w:p w14:paraId="42DF17D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03A23FD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北京消防救援机动支队驻丰台中队、区应急局等</w:t>
            </w:r>
          </w:p>
        </w:tc>
        <w:tc>
          <w:tcPr>
            <w:tcW w:w="432" w:type="pct"/>
            <w:tcBorders>
              <w:top w:val="nil"/>
              <w:left w:val="nil"/>
              <w:bottom w:val="single" w:color="auto" w:sz="4" w:space="0"/>
              <w:right w:val="single" w:color="auto" w:sz="4" w:space="0"/>
            </w:tcBorders>
            <w:noWrap/>
            <w:vAlign w:val="center"/>
          </w:tcPr>
          <w:p w14:paraId="0277DF7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3C440EBA">
        <w:tblPrEx>
          <w:tblCellMar>
            <w:top w:w="0" w:type="dxa"/>
            <w:left w:w="108" w:type="dxa"/>
            <w:bottom w:w="0" w:type="dxa"/>
            <w:right w:w="108" w:type="dxa"/>
          </w:tblCellMar>
        </w:tblPrEx>
        <w:trPr>
          <w:trHeight w:val="2970" w:hRule="atLeast"/>
        </w:trPr>
        <w:tc>
          <w:tcPr>
            <w:tcW w:w="103" w:type="pct"/>
            <w:vMerge w:val="continue"/>
            <w:tcBorders>
              <w:top w:val="nil"/>
              <w:left w:val="single" w:color="auto" w:sz="4" w:space="0"/>
              <w:bottom w:val="single" w:color="auto" w:sz="4" w:space="0"/>
              <w:right w:val="single" w:color="auto" w:sz="4" w:space="0"/>
            </w:tcBorders>
            <w:vAlign w:val="center"/>
          </w:tcPr>
          <w:p w14:paraId="2F77D244">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22CA4123">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431ABA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17</w:t>
            </w:r>
          </w:p>
        </w:tc>
        <w:tc>
          <w:tcPr>
            <w:tcW w:w="889" w:type="pct"/>
            <w:tcBorders>
              <w:top w:val="nil"/>
              <w:left w:val="nil"/>
              <w:bottom w:val="single" w:color="auto" w:sz="4" w:space="0"/>
              <w:right w:val="single" w:color="auto" w:sz="4" w:space="0"/>
            </w:tcBorders>
            <w:vAlign w:val="center"/>
          </w:tcPr>
          <w:p w14:paraId="40936B5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完善全民消防教育培训体系</w:t>
            </w:r>
          </w:p>
        </w:tc>
        <w:tc>
          <w:tcPr>
            <w:tcW w:w="1442" w:type="pct"/>
            <w:tcBorders>
              <w:top w:val="nil"/>
              <w:left w:val="nil"/>
              <w:bottom w:val="single" w:color="auto" w:sz="4" w:space="0"/>
              <w:right w:val="single" w:color="auto" w:sz="4" w:space="0"/>
            </w:tcBorders>
            <w:vAlign w:val="center"/>
          </w:tcPr>
          <w:p w14:paraId="728955CC">
            <w:pPr>
              <w:spacing w:line="240" w:lineRule="auto"/>
              <w:ind w:firstLine="0" w:firstLineChars="0"/>
              <w:rPr>
                <w:rFonts w:hint="eastAsia" w:ascii="仿宋" w:hAnsi="仿宋" w:eastAsia="仿宋"/>
                <w:sz w:val="22"/>
                <w:szCs w:val="22"/>
              </w:rPr>
            </w:pPr>
            <w:r>
              <w:rPr>
                <w:rFonts w:ascii="仿宋" w:hAnsi="仿宋" w:eastAsia="仿宋"/>
                <w:sz w:val="22"/>
                <w:szCs w:val="22"/>
              </w:rPr>
              <w:t>实施全民消防安全素质提升行动，将消防安全教育纳入国民素质教育、职业培训、科普宣传、警示教育等，广泛开展消防宣传月和消防宣传“五进”活动；通过入门入户</w:t>
            </w:r>
            <w:r>
              <w:rPr>
                <w:rFonts w:hint="eastAsia" w:ascii="仿宋" w:hAnsi="仿宋" w:eastAsia="仿宋"/>
                <w:sz w:val="22"/>
                <w:szCs w:val="22"/>
              </w:rPr>
              <w:t>等方式</w:t>
            </w:r>
            <w:r>
              <w:rPr>
                <w:rFonts w:ascii="仿宋" w:hAnsi="仿宋" w:eastAsia="仿宋"/>
                <w:sz w:val="22"/>
                <w:szCs w:val="22"/>
              </w:rPr>
              <w:t>，加强对老年人、残疾人、来京务工人员等重点群体的针对性宣传，开展“一警六员”实操实训，重点培训单位消防责任人、管理员及安保等人员。完善宣传阵地建设，升级市民防灾教育馆，依托区级公园打造消防主题公园，加强新媒体矩阵建设，强化资源协同与传播效能。增强社会协同参与能力，建立“政府主导、社会协同、公众参与”的消防宣传格局，推广“企业+社区+消防”的联动宣传机制，构建多元共治模式。</w:t>
            </w:r>
          </w:p>
        </w:tc>
        <w:tc>
          <w:tcPr>
            <w:tcW w:w="683" w:type="pct"/>
            <w:tcBorders>
              <w:top w:val="nil"/>
              <w:left w:val="nil"/>
              <w:bottom w:val="single" w:color="auto" w:sz="4" w:space="0"/>
              <w:right w:val="single" w:color="auto" w:sz="4" w:space="0"/>
            </w:tcBorders>
            <w:vAlign w:val="center"/>
          </w:tcPr>
          <w:p w14:paraId="19AD5C9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2AC69CE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区园林局、各街镇等</w:t>
            </w:r>
          </w:p>
        </w:tc>
        <w:tc>
          <w:tcPr>
            <w:tcW w:w="432" w:type="pct"/>
            <w:tcBorders>
              <w:top w:val="nil"/>
              <w:left w:val="nil"/>
              <w:bottom w:val="single" w:color="auto" w:sz="4" w:space="0"/>
              <w:right w:val="single" w:color="auto" w:sz="4" w:space="0"/>
            </w:tcBorders>
            <w:noWrap/>
            <w:vAlign w:val="center"/>
          </w:tcPr>
          <w:p w14:paraId="207ED1D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630938B0">
        <w:tblPrEx>
          <w:tblCellMar>
            <w:top w:w="0" w:type="dxa"/>
            <w:left w:w="108" w:type="dxa"/>
            <w:bottom w:w="0" w:type="dxa"/>
            <w:right w:w="108" w:type="dxa"/>
          </w:tblCellMar>
        </w:tblPrEx>
        <w:trPr>
          <w:trHeight w:val="950" w:hRule="atLeast"/>
        </w:trPr>
        <w:tc>
          <w:tcPr>
            <w:tcW w:w="103" w:type="pct"/>
            <w:vMerge w:val="restart"/>
            <w:tcBorders>
              <w:top w:val="nil"/>
              <w:left w:val="single" w:color="auto" w:sz="4" w:space="0"/>
              <w:bottom w:val="single" w:color="000000" w:sz="4" w:space="0"/>
              <w:right w:val="single" w:color="auto" w:sz="4" w:space="0"/>
            </w:tcBorders>
            <w:vAlign w:val="center"/>
          </w:tcPr>
          <w:p w14:paraId="19F5BA35">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br w:type="textWrapping"/>
            </w:r>
            <w:r>
              <w:rPr>
                <w:rFonts w:ascii="仿宋" w:hAnsi="仿宋" w:eastAsia="仿宋"/>
                <w:sz w:val="22"/>
                <w:szCs w:val="22"/>
              </w:rPr>
              <w:br w:type="textWrapping"/>
            </w:r>
          </w:p>
          <w:p w14:paraId="02F5456B">
            <w:pPr>
              <w:spacing w:line="240" w:lineRule="auto"/>
              <w:ind w:firstLine="0" w:firstLineChars="0"/>
              <w:jc w:val="center"/>
              <w:rPr>
                <w:rFonts w:hint="eastAsia" w:ascii="仿宋" w:hAnsi="仿宋" w:eastAsia="仿宋"/>
                <w:sz w:val="22"/>
                <w:szCs w:val="22"/>
              </w:rPr>
            </w:pPr>
          </w:p>
          <w:p w14:paraId="1674DC43">
            <w:pPr>
              <w:spacing w:line="240" w:lineRule="auto"/>
              <w:ind w:firstLine="0" w:firstLineChars="0"/>
              <w:jc w:val="center"/>
              <w:rPr>
                <w:rFonts w:hint="eastAsia" w:ascii="仿宋" w:hAnsi="仿宋" w:eastAsia="仿宋"/>
                <w:sz w:val="22"/>
                <w:szCs w:val="22"/>
              </w:rPr>
            </w:pPr>
          </w:p>
          <w:p w14:paraId="1C32A746">
            <w:pPr>
              <w:spacing w:line="240" w:lineRule="auto"/>
              <w:ind w:firstLine="0" w:firstLineChars="0"/>
              <w:jc w:val="center"/>
              <w:rPr>
                <w:rFonts w:hint="eastAsia" w:ascii="仿宋" w:hAnsi="仿宋" w:eastAsia="仿宋"/>
                <w:sz w:val="22"/>
                <w:szCs w:val="22"/>
              </w:rPr>
            </w:pPr>
          </w:p>
          <w:p w14:paraId="5E47E3FF">
            <w:pPr>
              <w:spacing w:line="240" w:lineRule="auto"/>
              <w:ind w:firstLine="0" w:firstLineChars="0"/>
              <w:jc w:val="center"/>
              <w:rPr>
                <w:rFonts w:hint="eastAsia" w:ascii="仿宋" w:hAnsi="仿宋" w:eastAsia="仿宋"/>
                <w:sz w:val="22"/>
                <w:szCs w:val="22"/>
              </w:rPr>
            </w:pPr>
          </w:p>
          <w:p w14:paraId="070296FD">
            <w:pPr>
              <w:spacing w:line="240" w:lineRule="auto"/>
              <w:ind w:firstLine="0" w:firstLineChars="0"/>
              <w:jc w:val="center"/>
              <w:rPr>
                <w:rFonts w:hint="eastAsia" w:ascii="仿宋" w:hAnsi="仿宋" w:eastAsia="仿宋"/>
                <w:sz w:val="22"/>
                <w:szCs w:val="22"/>
              </w:rPr>
            </w:pPr>
          </w:p>
          <w:p w14:paraId="09672A3A">
            <w:pPr>
              <w:spacing w:line="240" w:lineRule="auto"/>
              <w:ind w:firstLine="0" w:firstLineChars="0"/>
              <w:jc w:val="center"/>
              <w:rPr>
                <w:rFonts w:hint="eastAsia" w:ascii="仿宋" w:hAnsi="仿宋" w:eastAsia="仿宋"/>
                <w:sz w:val="22"/>
                <w:szCs w:val="22"/>
              </w:rPr>
            </w:pPr>
          </w:p>
          <w:p w14:paraId="55CB9D07">
            <w:pPr>
              <w:spacing w:line="240" w:lineRule="auto"/>
              <w:ind w:firstLine="0" w:firstLineChars="0"/>
              <w:jc w:val="center"/>
              <w:rPr>
                <w:rFonts w:hint="eastAsia" w:ascii="仿宋" w:hAnsi="仿宋" w:eastAsia="仿宋"/>
                <w:sz w:val="22"/>
                <w:szCs w:val="22"/>
              </w:rPr>
            </w:pPr>
          </w:p>
          <w:p w14:paraId="7F540AF4">
            <w:pPr>
              <w:spacing w:line="240" w:lineRule="auto"/>
              <w:ind w:firstLine="0" w:firstLineChars="0"/>
              <w:jc w:val="center"/>
              <w:rPr>
                <w:rFonts w:hint="eastAsia" w:ascii="仿宋" w:hAnsi="仿宋" w:eastAsia="仿宋"/>
                <w:sz w:val="22"/>
                <w:szCs w:val="22"/>
              </w:rPr>
            </w:pPr>
          </w:p>
          <w:p w14:paraId="563524AE">
            <w:pPr>
              <w:spacing w:line="240" w:lineRule="auto"/>
              <w:ind w:firstLine="0" w:firstLineChars="0"/>
              <w:jc w:val="center"/>
              <w:rPr>
                <w:rFonts w:hint="eastAsia" w:ascii="仿宋" w:hAnsi="仿宋" w:eastAsia="仿宋"/>
                <w:sz w:val="22"/>
                <w:szCs w:val="22"/>
              </w:rPr>
            </w:pPr>
          </w:p>
          <w:p w14:paraId="4FCD12BB">
            <w:pPr>
              <w:spacing w:line="240" w:lineRule="auto"/>
              <w:ind w:firstLine="0" w:firstLineChars="0"/>
              <w:jc w:val="center"/>
              <w:rPr>
                <w:rFonts w:hint="eastAsia" w:ascii="仿宋" w:hAnsi="仿宋" w:eastAsia="仿宋"/>
                <w:sz w:val="22"/>
                <w:szCs w:val="22"/>
              </w:rPr>
            </w:pPr>
          </w:p>
          <w:p w14:paraId="095482E1">
            <w:pPr>
              <w:spacing w:line="240" w:lineRule="auto"/>
              <w:ind w:firstLine="0" w:firstLineChars="0"/>
              <w:jc w:val="center"/>
              <w:rPr>
                <w:rFonts w:hint="eastAsia" w:ascii="仿宋" w:hAnsi="仿宋" w:eastAsia="仿宋"/>
                <w:sz w:val="22"/>
                <w:szCs w:val="22"/>
              </w:rPr>
            </w:pPr>
          </w:p>
          <w:p w14:paraId="0A2D9748">
            <w:pPr>
              <w:spacing w:line="240" w:lineRule="auto"/>
              <w:ind w:firstLine="0" w:firstLineChars="0"/>
              <w:jc w:val="center"/>
              <w:rPr>
                <w:rFonts w:hint="eastAsia" w:ascii="仿宋" w:hAnsi="仿宋" w:eastAsia="仿宋"/>
                <w:sz w:val="22"/>
                <w:szCs w:val="22"/>
              </w:rPr>
            </w:pPr>
          </w:p>
          <w:p w14:paraId="121158B6">
            <w:pPr>
              <w:spacing w:line="240" w:lineRule="auto"/>
              <w:ind w:firstLine="0" w:firstLineChars="0"/>
              <w:jc w:val="center"/>
              <w:rPr>
                <w:rFonts w:hint="eastAsia" w:ascii="仿宋" w:hAnsi="仿宋" w:eastAsia="仿宋"/>
                <w:sz w:val="22"/>
                <w:szCs w:val="22"/>
              </w:rPr>
            </w:pPr>
          </w:p>
          <w:p w14:paraId="3E84F065">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t>三</w:t>
            </w:r>
          </w:p>
        </w:tc>
        <w:tc>
          <w:tcPr>
            <w:tcW w:w="561" w:type="pct"/>
            <w:vMerge w:val="restart"/>
            <w:tcBorders>
              <w:top w:val="nil"/>
              <w:left w:val="single" w:color="auto" w:sz="4" w:space="0"/>
              <w:bottom w:val="single" w:color="000000" w:sz="4" w:space="0"/>
              <w:right w:val="single" w:color="auto" w:sz="4" w:space="0"/>
            </w:tcBorders>
            <w:vAlign w:val="center"/>
          </w:tcPr>
          <w:p w14:paraId="0D0727F7">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br w:type="textWrapping"/>
            </w:r>
            <w:r>
              <w:rPr>
                <w:rFonts w:ascii="仿宋" w:hAnsi="仿宋" w:eastAsia="仿宋"/>
                <w:sz w:val="22"/>
                <w:szCs w:val="22"/>
              </w:rPr>
              <w:br w:type="textWrapping"/>
            </w:r>
          </w:p>
          <w:p w14:paraId="6694D6F7">
            <w:pPr>
              <w:spacing w:line="240" w:lineRule="auto"/>
              <w:ind w:firstLine="0" w:firstLineChars="0"/>
              <w:jc w:val="center"/>
              <w:rPr>
                <w:rFonts w:hint="eastAsia" w:ascii="仿宋" w:hAnsi="仿宋" w:eastAsia="仿宋"/>
                <w:sz w:val="22"/>
                <w:szCs w:val="22"/>
              </w:rPr>
            </w:pPr>
          </w:p>
          <w:p w14:paraId="7707B052">
            <w:pPr>
              <w:spacing w:line="240" w:lineRule="auto"/>
              <w:ind w:firstLine="0" w:firstLineChars="0"/>
              <w:jc w:val="center"/>
              <w:rPr>
                <w:rFonts w:hint="eastAsia" w:ascii="仿宋" w:hAnsi="仿宋" w:eastAsia="仿宋"/>
                <w:sz w:val="22"/>
                <w:szCs w:val="22"/>
              </w:rPr>
            </w:pPr>
          </w:p>
          <w:p w14:paraId="7D043DE2">
            <w:pPr>
              <w:spacing w:line="240" w:lineRule="auto"/>
              <w:ind w:firstLine="0" w:firstLineChars="0"/>
              <w:jc w:val="center"/>
              <w:rPr>
                <w:rFonts w:hint="eastAsia" w:ascii="仿宋" w:hAnsi="仿宋" w:eastAsia="仿宋"/>
                <w:sz w:val="22"/>
                <w:szCs w:val="22"/>
              </w:rPr>
            </w:pPr>
          </w:p>
          <w:p w14:paraId="26C7104C">
            <w:pPr>
              <w:spacing w:line="240" w:lineRule="auto"/>
              <w:ind w:firstLine="0" w:firstLineChars="0"/>
              <w:jc w:val="center"/>
              <w:rPr>
                <w:rFonts w:hint="eastAsia" w:ascii="仿宋" w:hAnsi="仿宋" w:eastAsia="仿宋"/>
                <w:sz w:val="22"/>
                <w:szCs w:val="22"/>
              </w:rPr>
            </w:pPr>
          </w:p>
          <w:p w14:paraId="3DC8FD90">
            <w:pPr>
              <w:spacing w:line="240" w:lineRule="auto"/>
              <w:ind w:firstLine="0" w:firstLineChars="0"/>
              <w:jc w:val="center"/>
              <w:rPr>
                <w:rFonts w:hint="eastAsia" w:ascii="仿宋" w:hAnsi="仿宋" w:eastAsia="仿宋"/>
                <w:sz w:val="22"/>
                <w:szCs w:val="22"/>
              </w:rPr>
            </w:pPr>
          </w:p>
          <w:p w14:paraId="62B461DD">
            <w:pPr>
              <w:spacing w:line="240" w:lineRule="auto"/>
              <w:ind w:firstLine="0" w:firstLineChars="0"/>
              <w:jc w:val="center"/>
              <w:rPr>
                <w:rFonts w:hint="eastAsia" w:ascii="仿宋" w:hAnsi="仿宋" w:eastAsia="仿宋"/>
                <w:sz w:val="22"/>
                <w:szCs w:val="22"/>
              </w:rPr>
            </w:pPr>
          </w:p>
          <w:p w14:paraId="3D1B5259">
            <w:pPr>
              <w:spacing w:line="240" w:lineRule="auto"/>
              <w:ind w:firstLine="0" w:firstLineChars="0"/>
              <w:jc w:val="center"/>
              <w:rPr>
                <w:rFonts w:hint="eastAsia" w:ascii="仿宋" w:hAnsi="仿宋" w:eastAsia="仿宋"/>
                <w:sz w:val="22"/>
                <w:szCs w:val="22"/>
              </w:rPr>
            </w:pPr>
          </w:p>
          <w:p w14:paraId="5C32EBDC">
            <w:pPr>
              <w:spacing w:line="240" w:lineRule="auto"/>
              <w:ind w:firstLine="0" w:firstLineChars="0"/>
              <w:jc w:val="center"/>
              <w:rPr>
                <w:rFonts w:hint="eastAsia" w:ascii="仿宋" w:hAnsi="仿宋" w:eastAsia="仿宋"/>
                <w:sz w:val="22"/>
                <w:szCs w:val="22"/>
              </w:rPr>
            </w:pPr>
          </w:p>
          <w:p w14:paraId="288F345C">
            <w:pPr>
              <w:spacing w:line="240" w:lineRule="auto"/>
              <w:ind w:firstLine="0" w:firstLineChars="0"/>
              <w:jc w:val="center"/>
              <w:rPr>
                <w:rFonts w:hint="eastAsia" w:ascii="仿宋" w:hAnsi="仿宋" w:eastAsia="仿宋"/>
                <w:sz w:val="22"/>
                <w:szCs w:val="22"/>
              </w:rPr>
            </w:pPr>
          </w:p>
          <w:p w14:paraId="18D8744F">
            <w:pPr>
              <w:spacing w:line="240" w:lineRule="auto"/>
              <w:ind w:firstLine="0" w:firstLineChars="0"/>
              <w:jc w:val="center"/>
              <w:rPr>
                <w:rFonts w:hint="eastAsia" w:ascii="仿宋" w:hAnsi="仿宋" w:eastAsia="仿宋"/>
                <w:sz w:val="22"/>
                <w:szCs w:val="22"/>
              </w:rPr>
            </w:pPr>
          </w:p>
          <w:p w14:paraId="42F2A7BB">
            <w:pPr>
              <w:spacing w:line="240" w:lineRule="auto"/>
              <w:ind w:firstLine="0" w:firstLineChars="0"/>
              <w:jc w:val="center"/>
              <w:rPr>
                <w:rFonts w:hint="eastAsia" w:ascii="仿宋" w:hAnsi="仿宋" w:eastAsia="仿宋"/>
                <w:sz w:val="22"/>
                <w:szCs w:val="22"/>
              </w:rPr>
            </w:pPr>
          </w:p>
          <w:p w14:paraId="72199124">
            <w:pPr>
              <w:spacing w:line="240" w:lineRule="auto"/>
              <w:ind w:firstLine="0" w:firstLineChars="0"/>
              <w:jc w:val="center"/>
              <w:rPr>
                <w:rFonts w:hint="eastAsia" w:ascii="仿宋" w:hAnsi="仿宋" w:eastAsia="仿宋"/>
                <w:sz w:val="22"/>
                <w:szCs w:val="22"/>
              </w:rPr>
            </w:pPr>
          </w:p>
          <w:p w14:paraId="59E1F49C">
            <w:pPr>
              <w:spacing w:line="240" w:lineRule="exact"/>
              <w:ind w:firstLine="0" w:firstLineChars="0"/>
              <w:jc w:val="center"/>
              <w:rPr>
                <w:rFonts w:hint="eastAsia" w:ascii="仿宋" w:hAnsi="仿宋" w:eastAsia="仿宋"/>
                <w:sz w:val="22"/>
                <w:szCs w:val="22"/>
              </w:rPr>
            </w:pPr>
          </w:p>
          <w:p w14:paraId="4C71D91E">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t>灾害事故应对和</w:t>
            </w:r>
            <w:r>
              <w:rPr>
                <w:rFonts w:ascii="仿宋" w:hAnsi="仿宋" w:eastAsia="仿宋"/>
                <w:sz w:val="22"/>
                <w:szCs w:val="22"/>
              </w:rPr>
              <w:br w:type="textWrapping"/>
            </w:r>
            <w:r>
              <w:rPr>
                <w:rFonts w:ascii="仿宋" w:hAnsi="仿宋" w:eastAsia="仿宋"/>
                <w:sz w:val="22"/>
                <w:szCs w:val="22"/>
              </w:rPr>
              <w:t>应急救援能力建设</w:t>
            </w:r>
          </w:p>
        </w:tc>
        <w:tc>
          <w:tcPr>
            <w:tcW w:w="203" w:type="pct"/>
            <w:tcBorders>
              <w:top w:val="nil"/>
              <w:left w:val="nil"/>
              <w:bottom w:val="single" w:color="auto" w:sz="4" w:space="0"/>
              <w:right w:val="single" w:color="auto" w:sz="4" w:space="0"/>
            </w:tcBorders>
            <w:noWrap/>
            <w:vAlign w:val="center"/>
          </w:tcPr>
          <w:p w14:paraId="46A3229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18</w:t>
            </w:r>
          </w:p>
        </w:tc>
        <w:tc>
          <w:tcPr>
            <w:tcW w:w="889" w:type="pct"/>
            <w:tcBorders>
              <w:top w:val="nil"/>
              <w:left w:val="nil"/>
              <w:bottom w:val="single" w:color="auto" w:sz="4" w:space="0"/>
              <w:right w:val="single" w:color="auto" w:sz="4" w:space="0"/>
            </w:tcBorders>
            <w:vAlign w:val="center"/>
          </w:tcPr>
          <w:p w14:paraId="7B72309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国家综合性消防救援队伍建设</w:t>
            </w:r>
          </w:p>
        </w:tc>
        <w:tc>
          <w:tcPr>
            <w:tcW w:w="1442" w:type="pct"/>
            <w:tcBorders>
              <w:top w:val="nil"/>
              <w:left w:val="nil"/>
              <w:bottom w:val="single" w:color="auto" w:sz="4" w:space="0"/>
              <w:right w:val="single" w:color="auto" w:sz="4" w:space="0"/>
            </w:tcBorders>
            <w:vAlign w:val="center"/>
          </w:tcPr>
          <w:p w14:paraId="66BF5D8F">
            <w:pPr>
              <w:spacing w:line="240" w:lineRule="auto"/>
              <w:ind w:firstLine="0" w:firstLineChars="0"/>
              <w:rPr>
                <w:rFonts w:hint="eastAsia" w:ascii="仿宋" w:hAnsi="仿宋" w:eastAsia="仿宋"/>
                <w:sz w:val="22"/>
                <w:szCs w:val="22"/>
              </w:rPr>
            </w:pPr>
            <w:r>
              <w:rPr>
                <w:rFonts w:ascii="仿宋" w:hAnsi="仿宋" w:eastAsia="仿宋"/>
                <w:sz w:val="22"/>
                <w:szCs w:val="22"/>
              </w:rPr>
              <w:t>建强国家综合性消防救援队伍“主力军”，健全消防员平时考核、年度考核、晋升考核“三位一体、层层递进”的考核评价体系。</w:t>
            </w:r>
          </w:p>
        </w:tc>
        <w:tc>
          <w:tcPr>
            <w:tcW w:w="683" w:type="pct"/>
            <w:tcBorders>
              <w:top w:val="nil"/>
              <w:left w:val="nil"/>
              <w:bottom w:val="single" w:color="auto" w:sz="4" w:space="0"/>
              <w:right w:val="single" w:color="auto" w:sz="4" w:space="0"/>
            </w:tcBorders>
            <w:vAlign w:val="center"/>
          </w:tcPr>
          <w:p w14:paraId="56751A1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6576570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区财政局等</w:t>
            </w:r>
          </w:p>
        </w:tc>
        <w:tc>
          <w:tcPr>
            <w:tcW w:w="432" w:type="pct"/>
            <w:tcBorders>
              <w:top w:val="nil"/>
              <w:left w:val="nil"/>
              <w:bottom w:val="single" w:color="auto" w:sz="4" w:space="0"/>
              <w:right w:val="single" w:color="auto" w:sz="4" w:space="0"/>
            </w:tcBorders>
            <w:noWrap/>
            <w:vAlign w:val="center"/>
          </w:tcPr>
          <w:p w14:paraId="07F527E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2B01C102">
        <w:tblPrEx>
          <w:tblCellMar>
            <w:top w:w="0" w:type="dxa"/>
            <w:left w:w="108" w:type="dxa"/>
            <w:bottom w:w="0" w:type="dxa"/>
            <w:right w:w="108" w:type="dxa"/>
          </w:tblCellMar>
        </w:tblPrEx>
        <w:trPr>
          <w:trHeight w:val="1150" w:hRule="atLeast"/>
        </w:trPr>
        <w:tc>
          <w:tcPr>
            <w:tcW w:w="103" w:type="pct"/>
            <w:vMerge w:val="continue"/>
            <w:tcBorders>
              <w:top w:val="nil"/>
              <w:left w:val="single" w:color="auto" w:sz="4" w:space="0"/>
              <w:bottom w:val="single" w:color="000000" w:sz="4" w:space="0"/>
              <w:right w:val="single" w:color="auto" w:sz="4" w:space="0"/>
            </w:tcBorders>
            <w:vAlign w:val="center"/>
          </w:tcPr>
          <w:p w14:paraId="73D09B5D">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24E5406A">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09E4DF4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19</w:t>
            </w:r>
          </w:p>
        </w:tc>
        <w:tc>
          <w:tcPr>
            <w:tcW w:w="889" w:type="pct"/>
            <w:tcBorders>
              <w:top w:val="nil"/>
              <w:left w:val="nil"/>
              <w:bottom w:val="single" w:color="auto" w:sz="4" w:space="0"/>
              <w:right w:val="single" w:color="auto" w:sz="4" w:space="0"/>
            </w:tcBorders>
            <w:vAlign w:val="center"/>
          </w:tcPr>
          <w:p w14:paraId="2C56662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专职消防队伍建设</w:t>
            </w:r>
          </w:p>
        </w:tc>
        <w:tc>
          <w:tcPr>
            <w:tcW w:w="1442" w:type="pct"/>
            <w:tcBorders>
              <w:top w:val="nil"/>
              <w:left w:val="nil"/>
              <w:bottom w:val="single" w:color="auto" w:sz="4" w:space="0"/>
              <w:right w:val="single" w:color="auto" w:sz="4" w:space="0"/>
            </w:tcBorders>
            <w:vAlign w:val="center"/>
          </w:tcPr>
          <w:p w14:paraId="099AE62E">
            <w:pPr>
              <w:spacing w:line="240" w:lineRule="auto"/>
              <w:ind w:firstLine="0" w:firstLineChars="0"/>
              <w:rPr>
                <w:rFonts w:hint="eastAsia" w:ascii="仿宋" w:hAnsi="仿宋" w:eastAsia="仿宋"/>
                <w:sz w:val="22"/>
                <w:szCs w:val="22"/>
              </w:rPr>
            </w:pPr>
            <w:r>
              <w:rPr>
                <w:rFonts w:ascii="仿宋" w:hAnsi="仿宋" w:eastAsia="仿宋"/>
                <w:sz w:val="22"/>
                <w:szCs w:val="22"/>
              </w:rPr>
              <w:t>壮大政府专职消防力量，与国家综合性消防救援力量统筹规划布局，实行一体化管理、一体化训练、一体化作战、一体化保障；建立乡镇（企事业）专职消防队作战能力达标验收机制。</w:t>
            </w:r>
          </w:p>
        </w:tc>
        <w:tc>
          <w:tcPr>
            <w:tcW w:w="683" w:type="pct"/>
            <w:tcBorders>
              <w:top w:val="nil"/>
              <w:left w:val="nil"/>
              <w:bottom w:val="single" w:color="auto" w:sz="4" w:space="0"/>
              <w:right w:val="single" w:color="auto" w:sz="4" w:space="0"/>
            </w:tcBorders>
            <w:vAlign w:val="center"/>
          </w:tcPr>
          <w:p w14:paraId="167D22A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59A7B73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区财政局等</w:t>
            </w:r>
          </w:p>
        </w:tc>
        <w:tc>
          <w:tcPr>
            <w:tcW w:w="432" w:type="pct"/>
            <w:tcBorders>
              <w:top w:val="nil"/>
              <w:left w:val="nil"/>
              <w:bottom w:val="single" w:color="auto" w:sz="4" w:space="0"/>
              <w:right w:val="single" w:color="auto" w:sz="4" w:space="0"/>
            </w:tcBorders>
            <w:noWrap/>
            <w:vAlign w:val="center"/>
          </w:tcPr>
          <w:p w14:paraId="122B87B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48656123">
        <w:tblPrEx>
          <w:tblCellMar>
            <w:top w:w="0" w:type="dxa"/>
            <w:left w:w="108" w:type="dxa"/>
            <w:bottom w:w="0" w:type="dxa"/>
            <w:right w:w="108" w:type="dxa"/>
          </w:tblCellMar>
        </w:tblPrEx>
        <w:trPr>
          <w:trHeight w:val="1070" w:hRule="atLeast"/>
        </w:trPr>
        <w:tc>
          <w:tcPr>
            <w:tcW w:w="103" w:type="pct"/>
            <w:vMerge w:val="continue"/>
            <w:tcBorders>
              <w:top w:val="nil"/>
              <w:left w:val="single" w:color="auto" w:sz="4" w:space="0"/>
              <w:bottom w:val="single" w:color="000000" w:sz="4" w:space="0"/>
              <w:right w:val="single" w:color="auto" w:sz="4" w:space="0"/>
            </w:tcBorders>
            <w:vAlign w:val="center"/>
          </w:tcPr>
          <w:p w14:paraId="7D56418A">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711D46D6">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0B337BC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w:t>
            </w:r>
          </w:p>
        </w:tc>
        <w:tc>
          <w:tcPr>
            <w:tcW w:w="889" w:type="pct"/>
            <w:tcBorders>
              <w:top w:val="nil"/>
              <w:left w:val="nil"/>
              <w:bottom w:val="single" w:color="auto" w:sz="4" w:space="0"/>
              <w:right w:val="single" w:color="auto" w:sz="4" w:space="0"/>
            </w:tcBorders>
            <w:vAlign w:val="center"/>
          </w:tcPr>
          <w:p w14:paraId="511F3FE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志愿消防队伍建设</w:t>
            </w:r>
          </w:p>
        </w:tc>
        <w:tc>
          <w:tcPr>
            <w:tcW w:w="1442" w:type="pct"/>
            <w:tcBorders>
              <w:top w:val="nil"/>
              <w:left w:val="nil"/>
              <w:bottom w:val="single" w:color="auto" w:sz="4" w:space="0"/>
              <w:right w:val="single" w:color="auto" w:sz="4" w:space="0"/>
            </w:tcBorders>
            <w:vAlign w:val="center"/>
          </w:tcPr>
          <w:p w14:paraId="36E361E0">
            <w:pPr>
              <w:spacing w:line="240" w:lineRule="auto"/>
              <w:ind w:firstLine="0" w:firstLineChars="0"/>
              <w:rPr>
                <w:rFonts w:hint="eastAsia" w:ascii="仿宋" w:hAnsi="仿宋" w:eastAsia="仿宋"/>
                <w:sz w:val="22"/>
                <w:szCs w:val="22"/>
              </w:rPr>
            </w:pPr>
            <w:r>
              <w:rPr>
                <w:rFonts w:ascii="仿宋" w:hAnsi="仿宋" w:eastAsia="仿宋"/>
                <w:sz w:val="22"/>
                <w:szCs w:val="22"/>
              </w:rPr>
              <w:t>加强志愿消防队伍建设，推进社区（村）、社会单位微型消防站等自防自救力量全覆盖，深化“大站带小站联微站”共训共练、联勤联防模式。</w:t>
            </w:r>
          </w:p>
        </w:tc>
        <w:tc>
          <w:tcPr>
            <w:tcW w:w="683" w:type="pct"/>
            <w:tcBorders>
              <w:top w:val="nil"/>
              <w:left w:val="nil"/>
              <w:bottom w:val="single" w:color="auto" w:sz="4" w:space="0"/>
              <w:right w:val="single" w:color="auto" w:sz="4" w:space="0"/>
            </w:tcBorders>
            <w:vAlign w:val="center"/>
          </w:tcPr>
          <w:p w14:paraId="4C2EA9D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353754C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区财政局、各街镇等</w:t>
            </w:r>
          </w:p>
        </w:tc>
        <w:tc>
          <w:tcPr>
            <w:tcW w:w="432" w:type="pct"/>
            <w:tcBorders>
              <w:top w:val="nil"/>
              <w:left w:val="nil"/>
              <w:bottom w:val="single" w:color="auto" w:sz="4" w:space="0"/>
              <w:right w:val="single" w:color="auto" w:sz="4" w:space="0"/>
            </w:tcBorders>
            <w:noWrap/>
            <w:vAlign w:val="center"/>
          </w:tcPr>
          <w:p w14:paraId="26BD54A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12C0A6E9">
        <w:tblPrEx>
          <w:tblCellMar>
            <w:top w:w="0" w:type="dxa"/>
            <w:left w:w="108" w:type="dxa"/>
            <w:bottom w:w="0" w:type="dxa"/>
            <w:right w:w="108" w:type="dxa"/>
          </w:tblCellMar>
        </w:tblPrEx>
        <w:trPr>
          <w:trHeight w:val="1040" w:hRule="atLeast"/>
        </w:trPr>
        <w:tc>
          <w:tcPr>
            <w:tcW w:w="103" w:type="pct"/>
            <w:vMerge w:val="continue"/>
            <w:tcBorders>
              <w:top w:val="nil"/>
              <w:left w:val="single" w:color="auto" w:sz="4" w:space="0"/>
              <w:bottom w:val="single" w:color="000000" w:sz="4" w:space="0"/>
              <w:right w:val="single" w:color="auto" w:sz="4" w:space="0"/>
            </w:tcBorders>
            <w:vAlign w:val="center"/>
          </w:tcPr>
          <w:p w14:paraId="744C46B7">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2D41D3DE">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5169A90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21</w:t>
            </w:r>
          </w:p>
        </w:tc>
        <w:tc>
          <w:tcPr>
            <w:tcW w:w="889" w:type="pct"/>
            <w:tcBorders>
              <w:top w:val="nil"/>
              <w:left w:val="nil"/>
              <w:bottom w:val="single" w:color="auto" w:sz="4" w:space="0"/>
              <w:right w:val="single" w:color="auto" w:sz="4" w:space="0"/>
            </w:tcBorders>
            <w:vAlign w:val="center"/>
          </w:tcPr>
          <w:p w14:paraId="5D85CF3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应急救援指挥、通信、信息化体系建设和能力提升</w:t>
            </w:r>
          </w:p>
        </w:tc>
        <w:tc>
          <w:tcPr>
            <w:tcW w:w="1442" w:type="pct"/>
            <w:tcBorders>
              <w:top w:val="nil"/>
              <w:left w:val="nil"/>
              <w:bottom w:val="single" w:color="auto" w:sz="4" w:space="0"/>
              <w:right w:val="single" w:color="auto" w:sz="4" w:space="0"/>
            </w:tcBorders>
            <w:vAlign w:val="center"/>
          </w:tcPr>
          <w:p w14:paraId="716BB690">
            <w:pPr>
              <w:spacing w:line="240" w:lineRule="auto"/>
              <w:ind w:firstLine="0" w:firstLineChars="0"/>
              <w:rPr>
                <w:rFonts w:hint="eastAsia" w:ascii="仿宋" w:hAnsi="仿宋" w:eastAsia="仿宋"/>
                <w:sz w:val="22"/>
                <w:szCs w:val="22"/>
              </w:rPr>
            </w:pPr>
            <w:r>
              <w:rPr>
                <w:rFonts w:ascii="仿宋" w:hAnsi="仿宋" w:eastAsia="仿宋"/>
                <w:sz w:val="22"/>
                <w:szCs w:val="22"/>
              </w:rPr>
              <w:t>优化全勤指挥部值守、出动、指挥流程，完善与区政府、应急、气象、公安、交通等部门及街镇的信息资源共享机制，拓展多种形式消防力量“直联式”指挥调度途径。</w:t>
            </w:r>
          </w:p>
        </w:tc>
        <w:tc>
          <w:tcPr>
            <w:tcW w:w="683" w:type="pct"/>
            <w:tcBorders>
              <w:top w:val="nil"/>
              <w:left w:val="nil"/>
              <w:bottom w:val="single" w:color="auto" w:sz="4" w:space="0"/>
              <w:right w:val="single" w:color="auto" w:sz="4" w:space="0"/>
            </w:tcBorders>
            <w:vAlign w:val="center"/>
          </w:tcPr>
          <w:p w14:paraId="4C47B1F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7584248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北京消防救援机动支队驻丰台中队、区应急局、区经信局、区财政局等</w:t>
            </w:r>
          </w:p>
        </w:tc>
        <w:tc>
          <w:tcPr>
            <w:tcW w:w="432" w:type="pct"/>
            <w:tcBorders>
              <w:top w:val="nil"/>
              <w:left w:val="nil"/>
              <w:bottom w:val="single" w:color="auto" w:sz="4" w:space="0"/>
              <w:right w:val="single" w:color="auto" w:sz="4" w:space="0"/>
            </w:tcBorders>
            <w:noWrap/>
            <w:vAlign w:val="center"/>
          </w:tcPr>
          <w:p w14:paraId="697A454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401CAB0D">
        <w:tblPrEx>
          <w:tblCellMar>
            <w:top w:w="0" w:type="dxa"/>
            <w:left w:w="108" w:type="dxa"/>
            <w:bottom w:w="0" w:type="dxa"/>
            <w:right w:w="108" w:type="dxa"/>
          </w:tblCellMar>
        </w:tblPrEx>
        <w:trPr>
          <w:trHeight w:val="1690" w:hRule="atLeast"/>
        </w:trPr>
        <w:tc>
          <w:tcPr>
            <w:tcW w:w="103" w:type="pct"/>
            <w:vMerge w:val="continue"/>
            <w:tcBorders>
              <w:top w:val="nil"/>
              <w:left w:val="single" w:color="auto" w:sz="4" w:space="0"/>
              <w:bottom w:val="single" w:color="000000" w:sz="4" w:space="0"/>
              <w:right w:val="single" w:color="auto" w:sz="4" w:space="0"/>
            </w:tcBorders>
            <w:vAlign w:val="center"/>
          </w:tcPr>
          <w:p w14:paraId="03D004A0">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5E4E28A4">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777A167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22</w:t>
            </w:r>
          </w:p>
        </w:tc>
        <w:tc>
          <w:tcPr>
            <w:tcW w:w="889" w:type="pct"/>
            <w:tcBorders>
              <w:top w:val="nil"/>
              <w:left w:val="nil"/>
              <w:bottom w:val="single" w:color="auto" w:sz="4" w:space="0"/>
              <w:right w:val="single" w:color="auto" w:sz="4" w:space="0"/>
            </w:tcBorders>
            <w:vAlign w:val="center"/>
          </w:tcPr>
          <w:p w14:paraId="21BC828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强化多种力量协同联动</w:t>
            </w:r>
          </w:p>
        </w:tc>
        <w:tc>
          <w:tcPr>
            <w:tcW w:w="1442" w:type="pct"/>
            <w:tcBorders>
              <w:top w:val="nil"/>
              <w:left w:val="nil"/>
              <w:bottom w:val="single" w:color="auto" w:sz="4" w:space="0"/>
              <w:right w:val="single" w:color="auto" w:sz="4" w:space="0"/>
            </w:tcBorders>
            <w:vAlign w:val="center"/>
          </w:tcPr>
          <w:p w14:paraId="57E7A6BE">
            <w:pPr>
              <w:spacing w:line="240" w:lineRule="auto"/>
              <w:ind w:firstLine="0" w:firstLineChars="0"/>
              <w:rPr>
                <w:rFonts w:hint="eastAsia" w:ascii="仿宋" w:hAnsi="仿宋" w:eastAsia="仿宋"/>
                <w:sz w:val="22"/>
                <w:szCs w:val="22"/>
              </w:rPr>
            </w:pPr>
            <w:r>
              <w:rPr>
                <w:rFonts w:ascii="仿宋" w:hAnsi="仿宋" w:eastAsia="仿宋"/>
                <w:sz w:val="22"/>
                <w:szCs w:val="22"/>
              </w:rPr>
              <w:t>统筹城市消防和森林消防，加强区消防救援支队、区应急局、北京消防救援机动支队驻丰台中队、各类支援消防队伍等消防救援应急力量的联动协作，统筹提升全域全要素综合防火救援能力建设；将镇政府和企业专职消防队伍、微型消防站纳入区消防救援指挥调度体系，统一调度、综合使用。</w:t>
            </w:r>
          </w:p>
        </w:tc>
        <w:tc>
          <w:tcPr>
            <w:tcW w:w="683" w:type="pct"/>
            <w:tcBorders>
              <w:top w:val="nil"/>
              <w:left w:val="nil"/>
              <w:bottom w:val="single" w:color="auto" w:sz="4" w:space="0"/>
              <w:right w:val="single" w:color="auto" w:sz="4" w:space="0"/>
            </w:tcBorders>
            <w:vAlign w:val="center"/>
          </w:tcPr>
          <w:p w14:paraId="6CF4A7F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区消防支队、区应急局、北京消防救援机动支队驻丰台中队</w:t>
            </w:r>
          </w:p>
        </w:tc>
        <w:tc>
          <w:tcPr>
            <w:tcW w:w="687" w:type="pct"/>
            <w:tcBorders>
              <w:top w:val="nil"/>
              <w:left w:val="nil"/>
              <w:bottom w:val="single" w:color="auto" w:sz="4" w:space="0"/>
              <w:right w:val="single" w:color="auto" w:sz="4" w:space="0"/>
            </w:tcBorders>
            <w:vAlign w:val="center"/>
          </w:tcPr>
          <w:p w14:paraId="00DD23A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各街镇等</w:t>
            </w:r>
          </w:p>
        </w:tc>
        <w:tc>
          <w:tcPr>
            <w:tcW w:w="432" w:type="pct"/>
            <w:tcBorders>
              <w:top w:val="nil"/>
              <w:left w:val="nil"/>
              <w:bottom w:val="single" w:color="auto" w:sz="4" w:space="0"/>
              <w:right w:val="single" w:color="auto" w:sz="4" w:space="0"/>
            </w:tcBorders>
            <w:noWrap/>
            <w:vAlign w:val="center"/>
          </w:tcPr>
          <w:p w14:paraId="3EAE4F1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74C5FD58">
        <w:tblPrEx>
          <w:tblCellMar>
            <w:top w:w="0" w:type="dxa"/>
            <w:left w:w="108" w:type="dxa"/>
            <w:bottom w:w="0" w:type="dxa"/>
            <w:right w:w="108" w:type="dxa"/>
          </w:tblCellMar>
        </w:tblPrEx>
        <w:trPr>
          <w:trHeight w:val="880" w:hRule="atLeast"/>
        </w:trPr>
        <w:tc>
          <w:tcPr>
            <w:tcW w:w="103" w:type="pct"/>
            <w:vMerge w:val="continue"/>
            <w:tcBorders>
              <w:top w:val="nil"/>
              <w:left w:val="single" w:color="auto" w:sz="4" w:space="0"/>
              <w:bottom w:val="single" w:color="000000" w:sz="4" w:space="0"/>
              <w:right w:val="single" w:color="auto" w:sz="4" w:space="0"/>
            </w:tcBorders>
            <w:vAlign w:val="center"/>
          </w:tcPr>
          <w:p w14:paraId="26DAEF89">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38241E22">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5CA4BD2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23</w:t>
            </w:r>
          </w:p>
        </w:tc>
        <w:tc>
          <w:tcPr>
            <w:tcW w:w="889" w:type="pct"/>
            <w:tcBorders>
              <w:top w:val="nil"/>
              <w:left w:val="nil"/>
              <w:bottom w:val="single" w:color="auto" w:sz="4" w:space="0"/>
              <w:right w:val="single" w:color="auto" w:sz="4" w:space="0"/>
            </w:tcBorders>
            <w:vAlign w:val="center"/>
          </w:tcPr>
          <w:p w14:paraId="36F8F02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完善现代化应急救援指挥体系</w:t>
            </w:r>
          </w:p>
        </w:tc>
        <w:tc>
          <w:tcPr>
            <w:tcW w:w="1442" w:type="pct"/>
            <w:tcBorders>
              <w:top w:val="nil"/>
              <w:left w:val="nil"/>
              <w:bottom w:val="single" w:color="auto" w:sz="4" w:space="0"/>
              <w:right w:val="single" w:color="auto" w:sz="4" w:space="0"/>
            </w:tcBorders>
            <w:vAlign w:val="center"/>
          </w:tcPr>
          <w:p w14:paraId="072225D2">
            <w:pPr>
              <w:spacing w:line="240" w:lineRule="auto"/>
              <w:ind w:firstLine="0" w:firstLineChars="0"/>
              <w:rPr>
                <w:rFonts w:hint="eastAsia" w:ascii="仿宋" w:hAnsi="仿宋" w:eastAsia="仿宋"/>
                <w:sz w:val="22"/>
                <w:szCs w:val="22"/>
              </w:rPr>
            </w:pPr>
            <w:r>
              <w:rPr>
                <w:rFonts w:ascii="仿宋" w:hAnsi="仿宋" w:eastAsia="仿宋"/>
                <w:sz w:val="22"/>
                <w:szCs w:val="22"/>
              </w:rPr>
              <w:t>建立“区—街道（镇）</w:t>
            </w:r>
            <w:r>
              <w:rPr>
                <w:rFonts w:hint="eastAsia" w:ascii="仿宋" w:hAnsi="仿宋" w:eastAsia="仿宋"/>
                <w:sz w:val="22"/>
                <w:szCs w:val="22"/>
              </w:rPr>
              <w:t>—社区（村）</w:t>
            </w:r>
            <w:r>
              <w:rPr>
                <w:rFonts w:ascii="仿宋" w:hAnsi="仿宋" w:eastAsia="仿宋"/>
                <w:sz w:val="22"/>
                <w:szCs w:val="22"/>
              </w:rPr>
              <w:t>—网格单元”</w:t>
            </w:r>
            <w:r>
              <w:rPr>
                <w:rFonts w:hint="eastAsia" w:ascii="仿宋" w:hAnsi="仿宋" w:eastAsia="仿宋"/>
                <w:sz w:val="22"/>
                <w:szCs w:val="22"/>
              </w:rPr>
              <w:t>四</w:t>
            </w:r>
            <w:r>
              <w:rPr>
                <w:rFonts w:ascii="仿宋" w:hAnsi="仿宋" w:eastAsia="仿宋"/>
                <w:sz w:val="22"/>
                <w:szCs w:val="22"/>
              </w:rPr>
              <w:t>级消防指挥调度体系，对救援力量、重点单位、场所及人员活动实施网格化管理。</w:t>
            </w:r>
          </w:p>
        </w:tc>
        <w:tc>
          <w:tcPr>
            <w:tcW w:w="683" w:type="pct"/>
            <w:tcBorders>
              <w:top w:val="nil"/>
              <w:left w:val="nil"/>
              <w:bottom w:val="single" w:color="auto" w:sz="4" w:space="0"/>
              <w:right w:val="single" w:color="auto" w:sz="4" w:space="0"/>
            </w:tcBorders>
            <w:vAlign w:val="center"/>
          </w:tcPr>
          <w:p w14:paraId="4411A35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73B4D17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各街镇等</w:t>
            </w:r>
          </w:p>
        </w:tc>
        <w:tc>
          <w:tcPr>
            <w:tcW w:w="432" w:type="pct"/>
            <w:tcBorders>
              <w:top w:val="nil"/>
              <w:left w:val="nil"/>
              <w:bottom w:val="single" w:color="auto" w:sz="4" w:space="0"/>
              <w:right w:val="single" w:color="auto" w:sz="4" w:space="0"/>
            </w:tcBorders>
            <w:noWrap/>
            <w:vAlign w:val="center"/>
          </w:tcPr>
          <w:p w14:paraId="7AD5BD2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61C81D1C">
        <w:tblPrEx>
          <w:tblCellMar>
            <w:top w:w="0" w:type="dxa"/>
            <w:left w:w="108" w:type="dxa"/>
            <w:bottom w:w="0" w:type="dxa"/>
            <w:right w:w="108" w:type="dxa"/>
          </w:tblCellMar>
        </w:tblPrEx>
        <w:trPr>
          <w:trHeight w:val="1830" w:hRule="atLeast"/>
        </w:trPr>
        <w:tc>
          <w:tcPr>
            <w:tcW w:w="103" w:type="pct"/>
            <w:vMerge w:val="continue"/>
            <w:tcBorders>
              <w:top w:val="nil"/>
              <w:left w:val="single" w:color="auto" w:sz="4" w:space="0"/>
              <w:bottom w:val="single" w:color="000000" w:sz="4" w:space="0"/>
              <w:right w:val="single" w:color="auto" w:sz="4" w:space="0"/>
            </w:tcBorders>
            <w:vAlign w:val="center"/>
          </w:tcPr>
          <w:p w14:paraId="6A950F21">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7372500F">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03763EF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24</w:t>
            </w:r>
          </w:p>
        </w:tc>
        <w:tc>
          <w:tcPr>
            <w:tcW w:w="889" w:type="pct"/>
            <w:tcBorders>
              <w:top w:val="nil"/>
              <w:left w:val="nil"/>
              <w:bottom w:val="single" w:color="auto" w:sz="4" w:space="0"/>
              <w:right w:val="single" w:color="auto" w:sz="4" w:space="0"/>
            </w:tcBorders>
            <w:vAlign w:val="center"/>
          </w:tcPr>
          <w:p w14:paraId="6A59882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健全应急预案体系建设</w:t>
            </w:r>
          </w:p>
        </w:tc>
        <w:tc>
          <w:tcPr>
            <w:tcW w:w="1442" w:type="pct"/>
            <w:tcBorders>
              <w:top w:val="nil"/>
              <w:left w:val="nil"/>
              <w:bottom w:val="single" w:color="auto" w:sz="4" w:space="0"/>
              <w:right w:val="single" w:color="auto" w:sz="4" w:space="0"/>
            </w:tcBorders>
            <w:vAlign w:val="center"/>
          </w:tcPr>
          <w:p w14:paraId="07CA2461">
            <w:pPr>
              <w:spacing w:line="240" w:lineRule="auto"/>
              <w:ind w:firstLine="0" w:firstLineChars="0"/>
              <w:rPr>
                <w:rFonts w:hint="eastAsia" w:ascii="仿宋" w:hAnsi="仿宋" w:eastAsia="仿宋"/>
                <w:sz w:val="22"/>
                <w:szCs w:val="22"/>
              </w:rPr>
            </w:pPr>
            <w:r>
              <w:rPr>
                <w:rFonts w:ascii="仿宋" w:hAnsi="仿宋" w:eastAsia="仿宋"/>
                <w:sz w:val="22"/>
                <w:szCs w:val="22"/>
              </w:rPr>
              <w:t>落实和完善三类（类型预案、对象预案、勤务预案）、三级（总队、支队、消防站）预案体系，修订完善《丰台区火灾事故应急救援预案》。多层面、多渠道丰富完善灭火救援预案数据库，探索数字化预案管理体系，实现预案动态更新、一键启动和多部门协同。拓展应用数字化预案，推进预案实战效能从“桌面端”向“移动端”延伸，最大化服务作战一线。</w:t>
            </w:r>
          </w:p>
        </w:tc>
        <w:tc>
          <w:tcPr>
            <w:tcW w:w="683" w:type="pct"/>
            <w:tcBorders>
              <w:top w:val="nil"/>
              <w:left w:val="nil"/>
              <w:bottom w:val="single" w:color="auto" w:sz="4" w:space="0"/>
              <w:right w:val="single" w:color="auto" w:sz="4" w:space="0"/>
            </w:tcBorders>
            <w:vAlign w:val="center"/>
          </w:tcPr>
          <w:p w14:paraId="70E264A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383BEBC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　</w:t>
            </w:r>
          </w:p>
        </w:tc>
        <w:tc>
          <w:tcPr>
            <w:tcW w:w="432" w:type="pct"/>
            <w:tcBorders>
              <w:top w:val="nil"/>
              <w:left w:val="nil"/>
              <w:bottom w:val="single" w:color="auto" w:sz="4" w:space="0"/>
              <w:right w:val="single" w:color="auto" w:sz="4" w:space="0"/>
            </w:tcBorders>
            <w:noWrap/>
            <w:vAlign w:val="center"/>
          </w:tcPr>
          <w:p w14:paraId="6DD00E7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74106099">
        <w:tblPrEx>
          <w:tblCellMar>
            <w:top w:w="0" w:type="dxa"/>
            <w:left w:w="108" w:type="dxa"/>
            <w:bottom w:w="0" w:type="dxa"/>
            <w:right w:w="108" w:type="dxa"/>
          </w:tblCellMar>
        </w:tblPrEx>
        <w:trPr>
          <w:trHeight w:val="2450" w:hRule="atLeast"/>
        </w:trPr>
        <w:tc>
          <w:tcPr>
            <w:tcW w:w="103" w:type="pct"/>
            <w:vMerge w:val="continue"/>
            <w:tcBorders>
              <w:top w:val="nil"/>
              <w:left w:val="single" w:color="auto" w:sz="4" w:space="0"/>
              <w:bottom w:val="single" w:color="000000" w:sz="4" w:space="0"/>
              <w:right w:val="single" w:color="auto" w:sz="4" w:space="0"/>
            </w:tcBorders>
            <w:vAlign w:val="center"/>
          </w:tcPr>
          <w:p w14:paraId="55119D67">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1FD05748">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16B116F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25</w:t>
            </w:r>
          </w:p>
        </w:tc>
        <w:tc>
          <w:tcPr>
            <w:tcW w:w="889" w:type="pct"/>
            <w:tcBorders>
              <w:top w:val="nil"/>
              <w:left w:val="nil"/>
              <w:bottom w:val="single" w:color="auto" w:sz="4" w:space="0"/>
              <w:right w:val="single" w:color="auto" w:sz="4" w:space="0"/>
            </w:tcBorders>
            <w:vAlign w:val="center"/>
          </w:tcPr>
          <w:p w14:paraId="22CB935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完善实战化训练体系</w:t>
            </w:r>
          </w:p>
        </w:tc>
        <w:tc>
          <w:tcPr>
            <w:tcW w:w="1442" w:type="pct"/>
            <w:tcBorders>
              <w:top w:val="nil"/>
              <w:left w:val="nil"/>
              <w:bottom w:val="single" w:color="auto" w:sz="4" w:space="0"/>
              <w:right w:val="single" w:color="auto" w:sz="4" w:space="0"/>
            </w:tcBorders>
            <w:vAlign w:val="center"/>
          </w:tcPr>
          <w:p w14:paraId="76E16479">
            <w:pPr>
              <w:spacing w:line="240" w:lineRule="auto"/>
              <w:ind w:firstLine="0" w:firstLineChars="0"/>
              <w:rPr>
                <w:rFonts w:hint="eastAsia" w:ascii="仿宋" w:hAnsi="仿宋" w:eastAsia="仿宋"/>
                <w:sz w:val="22"/>
                <w:szCs w:val="22"/>
              </w:rPr>
            </w:pPr>
            <w:r>
              <w:rPr>
                <w:rFonts w:ascii="仿宋" w:hAnsi="仿宋" w:eastAsia="仿宋"/>
                <w:sz w:val="22"/>
                <w:szCs w:val="22"/>
              </w:rPr>
              <w:t>推进全员体能普训、实操练兵，完善战训师资力量培训、指挥员（初、中、高级）培训、新入职消防员岗前培训制度，逐步建立统一、成熟、规范的教育培训体系。制定规范、统一、便于实战应用的作战信息卡，强化“初战编成”实训。针对地下交通枢纽、石油化工场所、高层建筑、大跨度厂库房、人员密集场所等重点场所、新业态及典型森林火灾案例，通过桌面推演、复盘研讨等平台，提炼技战术方法，锻炼指挥员指挥习惯和消防员行动记忆，提升应急救援综合实战能力。</w:t>
            </w:r>
          </w:p>
        </w:tc>
        <w:tc>
          <w:tcPr>
            <w:tcW w:w="683" w:type="pct"/>
            <w:tcBorders>
              <w:top w:val="nil"/>
              <w:left w:val="nil"/>
              <w:bottom w:val="single" w:color="auto" w:sz="4" w:space="0"/>
              <w:right w:val="single" w:color="auto" w:sz="4" w:space="0"/>
            </w:tcBorders>
            <w:vAlign w:val="center"/>
          </w:tcPr>
          <w:p w14:paraId="3FD8624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6B4016F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区应急局、北京消防救援机动支队驻丰台中队等</w:t>
            </w:r>
          </w:p>
        </w:tc>
        <w:tc>
          <w:tcPr>
            <w:tcW w:w="432" w:type="pct"/>
            <w:tcBorders>
              <w:top w:val="nil"/>
              <w:left w:val="nil"/>
              <w:bottom w:val="single" w:color="auto" w:sz="4" w:space="0"/>
              <w:right w:val="single" w:color="auto" w:sz="4" w:space="0"/>
            </w:tcBorders>
            <w:noWrap/>
            <w:vAlign w:val="center"/>
          </w:tcPr>
          <w:p w14:paraId="14BEBAC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5AF99FD0">
        <w:tblPrEx>
          <w:tblCellMar>
            <w:top w:w="0" w:type="dxa"/>
            <w:left w:w="108" w:type="dxa"/>
            <w:bottom w:w="0" w:type="dxa"/>
            <w:right w:w="108" w:type="dxa"/>
          </w:tblCellMar>
        </w:tblPrEx>
        <w:trPr>
          <w:trHeight w:val="2050" w:hRule="atLeast"/>
        </w:trPr>
        <w:tc>
          <w:tcPr>
            <w:tcW w:w="103" w:type="pct"/>
            <w:vMerge w:val="continue"/>
            <w:tcBorders>
              <w:top w:val="nil"/>
              <w:left w:val="single" w:color="auto" w:sz="4" w:space="0"/>
              <w:bottom w:val="single" w:color="000000" w:sz="4" w:space="0"/>
              <w:right w:val="single" w:color="auto" w:sz="4" w:space="0"/>
            </w:tcBorders>
            <w:vAlign w:val="center"/>
          </w:tcPr>
          <w:p w14:paraId="3356B489">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2058B56D">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0634DF4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26</w:t>
            </w:r>
          </w:p>
        </w:tc>
        <w:tc>
          <w:tcPr>
            <w:tcW w:w="889" w:type="pct"/>
            <w:tcBorders>
              <w:top w:val="nil"/>
              <w:left w:val="nil"/>
              <w:bottom w:val="single" w:color="auto" w:sz="4" w:space="0"/>
              <w:right w:val="single" w:color="auto" w:sz="4" w:space="0"/>
            </w:tcBorders>
            <w:vAlign w:val="center"/>
          </w:tcPr>
          <w:p w14:paraId="356687F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提升城乡结合部、</w:t>
            </w:r>
            <w:r>
              <w:rPr>
                <w:rFonts w:hint="eastAsia" w:ascii="仿宋" w:hAnsi="仿宋" w:eastAsia="仿宋"/>
                <w:sz w:val="22"/>
                <w:szCs w:val="22"/>
              </w:rPr>
              <w:t>老旧小区、平房区</w:t>
            </w:r>
            <w:r>
              <w:rPr>
                <w:rFonts w:ascii="仿宋" w:hAnsi="仿宋" w:eastAsia="仿宋"/>
                <w:sz w:val="22"/>
                <w:szCs w:val="22"/>
              </w:rPr>
              <w:t>等火灾相对高发的薄弱区域火灾救援应急能力</w:t>
            </w:r>
          </w:p>
        </w:tc>
        <w:tc>
          <w:tcPr>
            <w:tcW w:w="1442" w:type="pct"/>
            <w:tcBorders>
              <w:top w:val="nil"/>
              <w:left w:val="nil"/>
              <w:bottom w:val="single" w:color="auto" w:sz="4" w:space="0"/>
              <w:right w:val="single" w:color="auto" w:sz="4" w:space="0"/>
            </w:tcBorders>
            <w:vAlign w:val="center"/>
          </w:tcPr>
          <w:p w14:paraId="397B4BDA">
            <w:pPr>
              <w:spacing w:line="240" w:lineRule="auto"/>
              <w:ind w:firstLine="0" w:firstLineChars="0"/>
              <w:rPr>
                <w:rFonts w:hint="eastAsia" w:ascii="仿宋" w:hAnsi="仿宋" w:eastAsia="仿宋"/>
                <w:sz w:val="22"/>
                <w:szCs w:val="22"/>
              </w:rPr>
            </w:pPr>
            <w:r>
              <w:rPr>
                <w:rFonts w:ascii="仿宋" w:hAnsi="仿宋" w:eastAsia="仿宋"/>
                <w:sz w:val="22"/>
                <w:szCs w:val="22"/>
              </w:rPr>
              <w:t>加强灭火救援准备工作，优化微型消防站布局和装备配备，常态化开展复杂火灾桌面推演和技战术研究。加强属地消防队站与专职队、微型站、志愿队的联勤联训，提升协同作战和初起火灾扑救能力。灾时联动社区、公安疏通消防通道，利用大功率水罐车、水带铺设车、市政环卫洒水车等保障供水，依托移动消防装备快速控火，防止火势向毗邻建筑蔓延；灾后同步指导整改隐患。</w:t>
            </w:r>
          </w:p>
        </w:tc>
        <w:tc>
          <w:tcPr>
            <w:tcW w:w="683" w:type="pct"/>
            <w:tcBorders>
              <w:top w:val="nil"/>
              <w:left w:val="nil"/>
              <w:bottom w:val="single" w:color="auto" w:sz="4" w:space="0"/>
              <w:right w:val="single" w:color="auto" w:sz="4" w:space="0"/>
            </w:tcBorders>
            <w:vAlign w:val="center"/>
          </w:tcPr>
          <w:p w14:paraId="4A19AF5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566902A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区农委、各街镇等</w:t>
            </w:r>
          </w:p>
        </w:tc>
        <w:tc>
          <w:tcPr>
            <w:tcW w:w="432" w:type="pct"/>
            <w:tcBorders>
              <w:top w:val="nil"/>
              <w:left w:val="nil"/>
              <w:bottom w:val="single" w:color="auto" w:sz="4" w:space="0"/>
              <w:right w:val="single" w:color="auto" w:sz="4" w:space="0"/>
            </w:tcBorders>
            <w:noWrap/>
            <w:vAlign w:val="center"/>
          </w:tcPr>
          <w:p w14:paraId="1596F31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3497384F">
        <w:tblPrEx>
          <w:tblCellMar>
            <w:top w:w="0" w:type="dxa"/>
            <w:left w:w="108" w:type="dxa"/>
            <w:bottom w:w="0" w:type="dxa"/>
            <w:right w:w="108" w:type="dxa"/>
          </w:tblCellMar>
        </w:tblPrEx>
        <w:trPr>
          <w:trHeight w:val="1590" w:hRule="atLeast"/>
        </w:trPr>
        <w:tc>
          <w:tcPr>
            <w:tcW w:w="103" w:type="pct"/>
            <w:vMerge w:val="continue"/>
            <w:tcBorders>
              <w:top w:val="nil"/>
              <w:left w:val="single" w:color="auto" w:sz="4" w:space="0"/>
              <w:bottom w:val="single" w:color="000000" w:sz="4" w:space="0"/>
              <w:right w:val="single" w:color="auto" w:sz="4" w:space="0"/>
            </w:tcBorders>
            <w:vAlign w:val="center"/>
          </w:tcPr>
          <w:p w14:paraId="3574C734">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5C0AEB28">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29EC527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27</w:t>
            </w:r>
          </w:p>
        </w:tc>
        <w:tc>
          <w:tcPr>
            <w:tcW w:w="889" w:type="pct"/>
            <w:tcBorders>
              <w:top w:val="nil"/>
              <w:left w:val="nil"/>
              <w:bottom w:val="single" w:color="auto" w:sz="4" w:space="0"/>
              <w:right w:val="single" w:color="auto" w:sz="4" w:space="0"/>
            </w:tcBorders>
            <w:vAlign w:val="center"/>
          </w:tcPr>
          <w:p w14:paraId="6A259A5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强化特种灾害综合救援能力提升</w:t>
            </w:r>
          </w:p>
        </w:tc>
        <w:tc>
          <w:tcPr>
            <w:tcW w:w="1442" w:type="pct"/>
            <w:tcBorders>
              <w:top w:val="nil"/>
              <w:left w:val="nil"/>
              <w:bottom w:val="single" w:color="auto" w:sz="4" w:space="0"/>
              <w:right w:val="single" w:color="auto" w:sz="4" w:space="0"/>
            </w:tcBorders>
            <w:vAlign w:val="center"/>
          </w:tcPr>
          <w:p w14:paraId="3F9FE5E2">
            <w:pPr>
              <w:spacing w:line="240" w:lineRule="auto"/>
              <w:ind w:firstLine="0" w:firstLineChars="0"/>
              <w:rPr>
                <w:rFonts w:hint="eastAsia" w:ascii="仿宋" w:hAnsi="仿宋" w:eastAsia="仿宋"/>
                <w:sz w:val="22"/>
                <w:szCs w:val="22"/>
              </w:rPr>
            </w:pPr>
            <w:r>
              <w:rPr>
                <w:rFonts w:ascii="仿宋" w:hAnsi="仿宋" w:eastAsia="仿宋"/>
                <w:sz w:val="22"/>
                <w:szCs w:val="22"/>
              </w:rPr>
              <w:t>立足区域灾害特点，深化地震、水域、高空山岳、有限空间、核生化专业队建设，提升队员专业持证率。以常态化实战拉动演练、专业培训、预案修订提升综合救援能力，依托区应急平台联勤会商，完善消防与警航、通航企业</w:t>
            </w:r>
            <w:r>
              <w:rPr>
                <w:rFonts w:hint="eastAsia" w:ascii="仿宋" w:hAnsi="仿宋" w:eastAsia="仿宋"/>
                <w:sz w:val="22"/>
                <w:szCs w:val="22"/>
              </w:rPr>
              <w:t>及</w:t>
            </w:r>
            <w:r>
              <w:rPr>
                <w:rFonts w:ascii="仿宋" w:hAnsi="仿宋" w:eastAsia="仿宋"/>
                <w:sz w:val="22"/>
                <w:szCs w:val="22"/>
              </w:rPr>
              <w:t>相关单位协同作战机制。</w:t>
            </w:r>
          </w:p>
        </w:tc>
        <w:tc>
          <w:tcPr>
            <w:tcW w:w="683" w:type="pct"/>
            <w:tcBorders>
              <w:top w:val="nil"/>
              <w:left w:val="nil"/>
              <w:bottom w:val="single" w:color="auto" w:sz="4" w:space="0"/>
              <w:right w:val="single" w:color="auto" w:sz="4" w:space="0"/>
            </w:tcBorders>
            <w:vAlign w:val="center"/>
          </w:tcPr>
          <w:p w14:paraId="7442F1D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474547D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区应急局、北京消防救援机动支队驻丰台中队等</w:t>
            </w:r>
          </w:p>
        </w:tc>
        <w:tc>
          <w:tcPr>
            <w:tcW w:w="432" w:type="pct"/>
            <w:tcBorders>
              <w:top w:val="nil"/>
              <w:left w:val="nil"/>
              <w:bottom w:val="single" w:color="auto" w:sz="4" w:space="0"/>
              <w:right w:val="single" w:color="auto" w:sz="4" w:space="0"/>
            </w:tcBorders>
            <w:noWrap/>
            <w:vAlign w:val="center"/>
          </w:tcPr>
          <w:p w14:paraId="47E1982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351C4863">
        <w:tblPrEx>
          <w:tblCellMar>
            <w:top w:w="0" w:type="dxa"/>
            <w:left w:w="108" w:type="dxa"/>
            <w:bottom w:w="0" w:type="dxa"/>
            <w:right w:w="108" w:type="dxa"/>
          </w:tblCellMar>
        </w:tblPrEx>
        <w:trPr>
          <w:trHeight w:val="1590" w:hRule="atLeast"/>
        </w:trPr>
        <w:tc>
          <w:tcPr>
            <w:tcW w:w="103" w:type="pct"/>
            <w:vMerge w:val="continue"/>
            <w:tcBorders>
              <w:top w:val="nil"/>
              <w:left w:val="single" w:color="auto" w:sz="4" w:space="0"/>
              <w:bottom w:val="single" w:color="000000" w:sz="4" w:space="0"/>
              <w:right w:val="single" w:color="auto" w:sz="4" w:space="0"/>
            </w:tcBorders>
            <w:vAlign w:val="center"/>
          </w:tcPr>
          <w:p w14:paraId="2857F941">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52020230">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21AC18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28</w:t>
            </w:r>
          </w:p>
        </w:tc>
        <w:tc>
          <w:tcPr>
            <w:tcW w:w="889" w:type="pct"/>
            <w:tcBorders>
              <w:top w:val="nil"/>
              <w:left w:val="nil"/>
              <w:bottom w:val="single" w:color="auto" w:sz="4" w:space="0"/>
              <w:right w:val="single" w:color="auto" w:sz="4" w:space="0"/>
            </w:tcBorders>
            <w:vAlign w:val="center"/>
          </w:tcPr>
          <w:p w14:paraId="477F4CE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区消防训练基地及战勤保障站建设</w:t>
            </w:r>
          </w:p>
        </w:tc>
        <w:tc>
          <w:tcPr>
            <w:tcW w:w="1442" w:type="pct"/>
            <w:tcBorders>
              <w:top w:val="nil"/>
              <w:left w:val="nil"/>
              <w:bottom w:val="single" w:color="auto" w:sz="4" w:space="0"/>
              <w:right w:val="single" w:color="auto" w:sz="4" w:space="0"/>
            </w:tcBorders>
            <w:vAlign w:val="center"/>
          </w:tcPr>
          <w:p w14:paraId="79B72E15">
            <w:pPr>
              <w:spacing w:line="240" w:lineRule="auto"/>
              <w:ind w:firstLine="0" w:firstLineChars="0"/>
              <w:rPr>
                <w:rFonts w:hint="eastAsia" w:ascii="仿宋" w:hAnsi="仿宋" w:eastAsia="仿宋"/>
                <w:sz w:val="22"/>
                <w:szCs w:val="22"/>
              </w:rPr>
            </w:pPr>
            <w:r>
              <w:rPr>
                <w:rFonts w:ascii="仿宋" w:hAnsi="仿宋" w:eastAsia="仿宋"/>
                <w:sz w:val="22"/>
                <w:szCs w:val="22"/>
              </w:rPr>
              <w:t>推动丰台区消防训练基地及战勤保障站合建项目，集成物资储备、应急运输、油料供给、卫勤保障、技术服务等功能，逐步提升救灾物资储备、综合防灾减灾与应急救援能力；适时结合任务特点完善专业训练设施，提供专业性训练。</w:t>
            </w:r>
          </w:p>
        </w:tc>
        <w:tc>
          <w:tcPr>
            <w:tcW w:w="683" w:type="pct"/>
            <w:tcBorders>
              <w:top w:val="nil"/>
              <w:left w:val="nil"/>
              <w:bottom w:val="single" w:color="auto" w:sz="4" w:space="0"/>
              <w:right w:val="single" w:color="auto" w:sz="4" w:space="0"/>
            </w:tcBorders>
            <w:vAlign w:val="center"/>
          </w:tcPr>
          <w:p w14:paraId="036FE3D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7684DE5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区发改委、区规自分局、区财政局、区住建委等</w:t>
            </w:r>
          </w:p>
        </w:tc>
        <w:tc>
          <w:tcPr>
            <w:tcW w:w="432" w:type="pct"/>
            <w:tcBorders>
              <w:top w:val="nil"/>
              <w:left w:val="nil"/>
              <w:bottom w:val="single" w:color="auto" w:sz="4" w:space="0"/>
              <w:right w:val="single" w:color="auto" w:sz="4" w:space="0"/>
            </w:tcBorders>
            <w:noWrap/>
            <w:vAlign w:val="center"/>
          </w:tcPr>
          <w:p w14:paraId="62536A2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2026-2029年</w:t>
            </w:r>
          </w:p>
        </w:tc>
      </w:tr>
      <w:tr w14:paraId="24E42B0A">
        <w:tblPrEx>
          <w:tblCellMar>
            <w:top w:w="0" w:type="dxa"/>
            <w:left w:w="108" w:type="dxa"/>
            <w:bottom w:w="0" w:type="dxa"/>
            <w:right w:w="108" w:type="dxa"/>
          </w:tblCellMar>
        </w:tblPrEx>
        <w:trPr>
          <w:trHeight w:val="1260" w:hRule="atLeast"/>
        </w:trPr>
        <w:tc>
          <w:tcPr>
            <w:tcW w:w="103" w:type="pct"/>
            <w:vMerge w:val="continue"/>
            <w:tcBorders>
              <w:top w:val="nil"/>
              <w:left w:val="single" w:color="auto" w:sz="4" w:space="0"/>
              <w:bottom w:val="single" w:color="000000" w:sz="4" w:space="0"/>
              <w:right w:val="single" w:color="auto" w:sz="4" w:space="0"/>
            </w:tcBorders>
            <w:vAlign w:val="center"/>
          </w:tcPr>
          <w:p w14:paraId="1911DF39">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5DAD5EB4">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5F1706CA">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29</w:t>
            </w:r>
          </w:p>
        </w:tc>
        <w:tc>
          <w:tcPr>
            <w:tcW w:w="889" w:type="pct"/>
            <w:tcBorders>
              <w:top w:val="nil"/>
              <w:left w:val="nil"/>
              <w:bottom w:val="single" w:color="auto" w:sz="4" w:space="0"/>
              <w:right w:val="single" w:color="auto" w:sz="4" w:space="0"/>
            </w:tcBorders>
            <w:vAlign w:val="center"/>
          </w:tcPr>
          <w:p w14:paraId="116C66B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推动消防救援装备配置与更新</w:t>
            </w:r>
          </w:p>
        </w:tc>
        <w:tc>
          <w:tcPr>
            <w:tcW w:w="1442" w:type="pct"/>
            <w:tcBorders>
              <w:top w:val="nil"/>
              <w:left w:val="nil"/>
              <w:bottom w:val="single" w:color="auto" w:sz="4" w:space="0"/>
              <w:right w:val="single" w:color="auto" w:sz="4" w:space="0"/>
            </w:tcBorders>
            <w:vAlign w:val="center"/>
          </w:tcPr>
          <w:p w14:paraId="06ACA969">
            <w:pPr>
              <w:spacing w:line="240" w:lineRule="auto"/>
              <w:ind w:firstLine="0" w:firstLineChars="0"/>
              <w:rPr>
                <w:rFonts w:hint="eastAsia" w:ascii="仿宋" w:hAnsi="仿宋" w:eastAsia="仿宋"/>
                <w:sz w:val="22"/>
                <w:szCs w:val="22"/>
              </w:rPr>
            </w:pPr>
            <w:r>
              <w:rPr>
                <w:rFonts w:ascii="仿宋" w:hAnsi="仿宋" w:eastAsia="仿宋"/>
                <w:sz w:val="22"/>
                <w:szCs w:val="22"/>
              </w:rPr>
              <w:t>加强消防站装备达标建设，新建消防站和政府小型消防站装备配备达标率</w:t>
            </w:r>
            <w:r>
              <w:rPr>
                <w:rFonts w:hint="eastAsia" w:ascii="仿宋" w:hAnsi="仿宋" w:eastAsia="仿宋"/>
                <w:sz w:val="22"/>
                <w:szCs w:val="22"/>
              </w:rPr>
              <w:t>达到</w:t>
            </w:r>
            <w:r>
              <w:rPr>
                <w:rFonts w:ascii="仿宋" w:hAnsi="仿宋" w:eastAsia="仿宋"/>
                <w:sz w:val="22"/>
                <w:szCs w:val="22"/>
              </w:rPr>
              <w:t>100%；已建成消防站个人防护装备配备达标率达到100%，其余装备不低于90%。推动装备提档升级，列装快速侦察检测、便携电动破拆、高效照明排烟、紧急呼救报警、安全逃生导向等先进装备。迭代升级消防车，服役超过15年的淘汰率不低于总量的20%，增加具有救援功能、便于展开的举高类消防车配备，进一步推进车辆标准化、模块化建设。健全6类专业救援装备，完善水域救援、高层（地下）建筑灭火作战、山岳救援、雨雪冰冻灾害救援、石油化工灭火作战及地震救援的应急装备物资储备。</w:t>
            </w:r>
          </w:p>
        </w:tc>
        <w:tc>
          <w:tcPr>
            <w:tcW w:w="683" w:type="pct"/>
            <w:tcBorders>
              <w:top w:val="nil"/>
              <w:left w:val="nil"/>
              <w:bottom w:val="single" w:color="auto" w:sz="4" w:space="0"/>
              <w:right w:val="single" w:color="auto" w:sz="4" w:space="0"/>
            </w:tcBorders>
            <w:vAlign w:val="center"/>
          </w:tcPr>
          <w:p w14:paraId="28EBE67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7CF4CAA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区应急局、北京消防救援机动支队驻丰台中队、区财政局</w:t>
            </w:r>
          </w:p>
        </w:tc>
        <w:tc>
          <w:tcPr>
            <w:tcW w:w="432" w:type="pct"/>
            <w:tcBorders>
              <w:top w:val="nil"/>
              <w:left w:val="nil"/>
              <w:bottom w:val="single" w:color="auto" w:sz="4" w:space="0"/>
              <w:right w:val="single" w:color="auto" w:sz="4" w:space="0"/>
            </w:tcBorders>
            <w:noWrap/>
            <w:vAlign w:val="center"/>
          </w:tcPr>
          <w:p w14:paraId="560F52B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4765F4F6">
        <w:tblPrEx>
          <w:tblCellMar>
            <w:top w:w="0" w:type="dxa"/>
            <w:left w:w="108" w:type="dxa"/>
            <w:bottom w:w="0" w:type="dxa"/>
            <w:right w:w="108" w:type="dxa"/>
          </w:tblCellMar>
        </w:tblPrEx>
        <w:trPr>
          <w:trHeight w:val="2910" w:hRule="atLeast"/>
        </w:trPr>
        <w:tc>
          <w:tcPr>
            <w:tcW w:w="103" w:type="pct"/>
            <w:vMerge w:val="restart"/>
            <w:tcBorders>
              <w:top w:val="nil"/>
              <w:left w:val="single" w:color="auto" w:sz="4" w:space="0"/>
              <w:bottom w:val="single" w:color="auto" w:sz="4" w:space="0"/>
              <w:right w:val="single" w:color="auto" w:sz="4" w:space="0"/>
            </w:tcBorders>
            <w:vAlign w:val="center"/>
          </w:tcPr>
          <w:p w14:paraId="6053F732">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br w:type="textWrapping"/>
            </w:r>
            <w:r>
              <w:rPr>
                <w:rFonts w:ascii="仿宋" w:hAnsi="仿宋" w:eastAsia="仿宋"/>
                <w:sz w:val="22"/>
                <w:szCs w:val="22"/>
              </w:rPr>
              <w:t>四</w:t>
            </w:r>
          </w:p>
        </w:tc>
        <w:tc>
          <w:tcPr>
            <w:tcW w:w="561" w:type="pct"/>
            <w:vMerge w:val="restart"/>
            <w:tcBorders>
              <w:top w:val="nil"/>
              <w:left w:val="single" w:color="auto" w:sz="4" w:space="0"/>
              <w:bottom w:val="single" w:color="auto" w:sz="4" w:space="0"/>
              <w:right w:val="single" w:color="auto" w:sz="4" w:space="0"/>
            </w:tcBorders>
            <w:vAlign w:val="center"/>
          </w:tcPr>
          <w:p w14:paraId="103F2DD5">
            <w:pPr>
              <w:spacing w:line="240" w:lineRule="auto"/>
              <w:ind w:firstLine="0" w:firstLineChars="0"/>
              <w:jc w:val="center"/>
              <w:rPr>
                <w:rFonts w:hint="eastAsia" w:ascii="仿宋" w:hAnsi="仿宋" w:eastAsia="仿宋"/>
                <w:sz w:val="22"/>
                <w:szCs w:val="22"/>
              </w:rPr>
            </w:pPr>
            <w:r>
              <w:rPr>
                <w:rFonts w:ascii="仿宋" w:hAnsi="仿宋" w:eastAsia="仿宋"/>
                <w:sz w:val="22"/>
                <w:szCs w:val="22"/>
              </w:rPr>
              <w:br w:type="textWrapping"/>
            </w:r>
            <w:r>
              <w:rPr>
                <w:rFonts w:ascii="仿宋" w:hAnsi="仿宋" w:eastAsia="仿宋"/>
                <w:sz w:val="22"/>
                <w:szCs w:val="22"/>
              </w:rPr>
              <w:br w:type="textWrapping"/>
            </w:r>
            <w:r>
              <w:rPr>
                <w:rFonts w:ascii="仿宋" w:hAnsi="仿宋" w:eastAsia="仿宋"/>
                <w:sz w:val="22"/>
                <w:szCs w:val="22"/>
              </w:rPr>
              <w:t>消防基础设施网络建设</w:t>
            </w:r>
          </w:p>
        </w:tc>
        <w:tc>
          <w:tcPr>
            <w:tcW w:w="203" w:type="pct"/>
            <w:tcBorders>
              <w:top w:val="nil"/>
              <w:left w:val="nil"/>
              <w:bottom w:val="single" w:color="auto" w:sz="4" w:space="0"/>
              <w:right w:val="single" w:color="auto" w:sz="4" w:space="0"/>
            </w:tcBorders>
            <w:noWrap/>
            <w:vAlign w:val="center"/>
          </w:tcPr>
          <w:p w14:paraId="62CDF0B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30</w:t>
            </w:r>
          </w:p>
        </w:tc>
        <w:tc>
          <w:tcPr>
            <w:tcW w:w="889" w:type="pct"/>
            <w:tcBorders>
              <w:top w:val="nil"/>
              <w:left w:val="nil"/>
              <w:bottom w:val="single" w:color="auto" w:sz="4" w:space="0"/>
              <w:right w:val="single" w:color="auto" w:sz="4" w:space="0"/>
            </w:tcBorders>
            <w:vAlign w:val="center"/>
          </w:tcPr>
          <w:p w14:paraId="11994A8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优化消防救援站建设布局</w:t>
            </w:r>
          </w:p>
        </w:tc>
        <w:tc>
          <w:tcPr>
            <w:tcW w:w="1442" w:type="pct"/>
            <w:tcBorders>
              <w:top w:val="nil"/>
              <w:left w:val="nil"/>
              <w:bottom w:val="single" w:color="auto" w:sz="4" w:space="0"/>
              <w:right w:val="single" w:color="auto" w:sz="4" w:space="0"/>
            </w:tcBorders>
            <w:vAlign w:val="center"/>
          </w:tcPr>
          <w:p w14:paraId="40CC8B36">
            <w:pPr>
              <w:spacing w:line="240" w:lineRule="auto"/>
              <w:ind w:firstLine="0" w:firstLineChars="0"/>
              <w:rPr>
                <w:rFonts w:hint="eastAsia" w:ascii="仿宋" w:hAnsi="仿宋" w:eastAsia="仿宋"/>
                <w:sz w:val="22"/>
                <w:szCs w:val="22"/>
              </w:rPr>
            </w:pPr>
            <w:r>
              <w:rPr>
                <w:rFonts w:ascii="仿宋" w:hAnsi="仿宋" w:eastAsia="仿宋"/>
                <w:sz w:val="22"/>
                <w:szCs w:val="22"/>
              </w:rPr>
              <w:t>规划在北宫镇、云岗街道、看丹街道新建3座一级消防救援站（张郭庄消防救援站、崔村消防救援站、四合庄消防救援站），在花乡街道新建1座二级消防救援站（羊坊消防救援站），十五五期末实现投入使用；进一步研究谋划在卢沟桥街道、看丹街道、南苑街道、六里桥街道新建3座一级消防救援站（小瓦窑消防救援站、看丹消防救援站、新宫消防救援站）、1座二级消防救援站（小井消防救援站），十五五期末力争完成设施项目立项。以提升“消防救援5分钟覆盖率”为原则，在商业密集、交通拥堵、火灾高发等区域，采取新建、改建、配建、租用等方式建设小型消防站。</w:t>
            </w:r>
          </w:p>
        </w:tc>
        <w:tc>
          <w:tcPr>
            <w:tcW w:w="683" w:type="pct"/>
            <w:tcBorders>
              <w:top w:val="nil"/>
              <w:left w:val="nil"/>
              <w:bottom w:val="single" w:color="auto" w:sz="4" w:space="0"/>
              <w:right w:val="single" w:color="auto" w:sz="4" w:space="0"/>
            </w:tcBorders>
            <w:vAlign w:val="center"/>
          </w:tcPr>
          <w:p w14:paraId="0205679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2464D97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区发改委、区规自分局、区财政局、相关街镇等</w:t>
            </w:r>
          </w:p>
        </w:tc>
        <w:tc>
          <w:tcPr>
            <w:tcW w:w="432" w:type="pct"/>
            <w:tcBorders>
              <w:top w:val="nil"/>
              <w:left w:val="nil"/>
              <w:bottom w:val="single" w:color="auto" w:sz="4" w:space="0"/>
              <w:right w:val="single" w:color="auto" w:sz="4" w:space="0"/>
            </w:tcBorders>
            <w:noWrap/>
            <w:vAlign w:val="center"/>
          </w:tcPr>
          <w:p w14:paraId="4BF66AA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59DEDB89">
        <w:tblPrEx>
          <w:tblCellMar>
            <w:top w:w="0" w:type="dxa"/>
            <w:left w:w="108" w:type="dxa"/>
            <w:bottom w:w="0" w:type="dxa"/>
            <w:right w:w="108" w:type="dxa"/>
          </w:tblCellMar>
        </w:tblPrEx>
        <w:trPr>
          <w:trHeight w:val="1160" w:hRule="atLeast"/>
        </w:trPr>
        <w:tc>
          <w:tcPr>
            <w:tcW w:w="103" w:type="pct"/>
            <w:vMerge w:val="continue"/>
            <w:tcBorders>
              <w:top w:val="nil"/>
              <w:left w:val="single" w:color="auto" w:sz="4" w:space="0"/>
              <w:bottom w:val="single" w:color="auto" w:sz="4" w:space="0"/>
              <w:right w:val="single" w:color="auto" w:sz="4" w:space="0"/>
            </w:tcBorders>
            <w:vAlign w:val="center"/>
          </w:tcPr>
          <w:p w14:paraId="2D7363F9">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3ECF22CC">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2B76AFB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31</w:t>
            </w:r>
          </w:p>
        </w:tc>
        <w:tc>
          <w:tcPr>
            <w:tcW w:w="889" w:type="pct"/>
            <w:tcBorders>
              <w:top w:val="nil"/>
              <w:left w:val="nil"/>
              <w:bottom w:val="single" w:color="auto" w:sz="4" w:space="0"/>
              <w:right w:val="single" w:color="auto" w:sz="4" w:space="0"/>
            </w:tcBorders>
            <w:vAlign w:val="center"/>
          </w:tcPr>
          <w:p w14:paraId="033F135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全面推动社区和重点单位微型消防站建设</w:t>
            </w:r>
          </w:p>
        </w:tc>
        <w:tc>
          <w:tcPr>
            <w:tcW w:w="1442" w:type="pct"/>
            <w:tcBorders>
              <w:top w:val="nil"/>
              <w:left w:val="nil"/>
              <w:bottom w:val="single" w:color="auto" w:sz="4" w:space="0"/>
              <w:right w:val="single" w:color="auto" w:sz="4" w:space="0"/>
            </w:tcBorders>
            <w:vAlign w:val="center"/>
          </w:tcPr>
          <w:p w14:paraId="25D68624">
            <w:pPr>
              <w:spacing w:line="240" w:lineRule="auto"/>
              <w:ind w:firstLine="0" w:firstLineChars="0"/>
              <w:rPr>
                <w:rFonts w:hint="eastAsia" w:ascii="仿宋" w:hAnsi="仿宋" w:eastAsia="仿宋"/>
                <w:sz w:val="22"/>
                <w:szCs w:val="22"/>
              </w:rPr>
            </w:pPr>
            <w:r>
              <w:rPr>
                <w:rFonts w:ascii="仿宋" w:hAnsi="仿宋" w:eastAsia="仿宋"/>
                <w:sz w:val="22"/>
                <w:szCs w:val="22"/>
              </w:rPr>
              <w:t>研究制定《丰台区社会单位微型消防站建设意见》，按照“一社区一站、一重点单位一站”的要求推进微型消防站实现全覆盖。</w:t>
            </w:r>
          </w:p>
        </w:tc>
        <w:tc>
          <w:tcPr>
            <w:tcW w:w="683" w:type="pct"/>
            <w:tcBorders>
              <w:top w:val="nil"/>
              <w:left w:val="nil"/>
              <w:bottom w:val="single" w:color="auto" w:sz="4" w:space="0"/>
              <w:right w:val="single" w:color="auto" w:sz="4" w:space="0"/>
            </w:tcBorders>
            <w:vAlign w:val="center"/>
          </w:tcPr>
          <w:p w14:paraId="31E4E52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区规自分局</w:t>
            </w:r>
          </w:p>
        </w:tc>
        <w:tc>
          <w:tcPr>
            <w:tcW w:w="687" w:type="pct"/>
            <w:tcBorders>
              <w:top w:val="nil"/>
              <w:left w:val="nil"/>
              <w:bottom w:val="single" w:color="auto" w:sz="4" w:space="0"/>
              <w:right w:val="single" w:color="auto" w:sz="4" w:space="0"/>
            </w:tcBorders>
            <w:vAlign w:val="center"/>
          </w:tcPr>
          <w:p w14:paraId="3536E97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区发改委、区规自分局、区财政局、相关街镇等</w:t>
            </w:r>
          </w:p>
        </w:tc>
        <w:tc>
          <w:tcPr>
            <w:tcW w:w="432" w:type="pct"/>
            <w:tcBorders>
              <w:top w:val="nil"/>
              <w:left w:val="nil"/>
              <w:bottom w:val="single" w:color="auto" w:sz="4" w:space="0"/>
              <w:right w:val="single" w:color="auto" w:sz="4" w:space="0"/>
            </w:tcBorders>
            <w:noWrap/>
            <w:vAlign w:val="center"/>
          </w:tcPr>
          <w:p w14:paraId="16A8840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017F6624">
        <w:tblPrEx>
          <w:tblCellMar>
            <w:top w:w="0" w:type="dxa"/>
            <w:left w:w="108" w:type="dxa"/>
            <w:bottom w:w="0" w:type="dxa"/>
            <w:right w:w="108" w:type="dxa"/>
          </w:tblCellMar>
        </w:tblPrEx>
        <w:trPr>
          <w:trHeight w:val="930" w:hRule="atLeast"/>
        </w:trPr>
        <w:tc>
          <w:tcPr>
            <w:tcW w:w="103" w:type="pct"/>
            <w:vMerge w:val="continue"/>
            <w:tcBorders>
              <w:top w:val="nil"/>
              <w:left w:val="single" w:color="auto" w:sz="4" w:space="0"/>
              <w:bottom w:val="single" w:color="auto" w:sz="4" w:space="0"/>
              <w:right w:val="single" w:color="auto" w:sz="4" w:space="0"/>
            </w:tcBorders>
            <w:vAlign w:val="center"/>
          </w:tcPr>
          <w:p w14:paraId="5598F76D">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858F693">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7F8476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32</w:t>
            </w:r>
          </w:p>
        </w:tc>
        <w:tc>
          <w:tcPr>
            <w:tcW w:w="889" w:type="pct"/>
            <w:tcBorders>
              <w:top w:val="nil"/>
              <w:left w:val="nil"/>
              <w:bottom w:val="single" w:color="auto" w:sz="4" w:space="0"/>
              <w:right w:val="single" w:color="auto" w:sz="4" w:space="0"/>
            </w:tcBorders>
            <w:vAlign w:val="center"/>
          </w:tcPr>
          <w:p w14:paraId="4AD8511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完善森林防火救援设施布局</w:t>
            </w:r>
          </w:p>
        </w:tc>
        <w:tc>
          <w:tcPr>
            <w:tcW w:w="1442" w:type="pct"/>
            <w:tcBorders>
              <w:top w:val="nil"/>
              <w:left w:val="nil"/>
              <w:bottom w:val="single" w:color="auto" w:sz="4" w:space="0"/>
              <w:right w:val="single" w:color="auto" w:sz="4" w:space="0"/>
            </w:tcBorders>
            <w:vAlign w:val="center"/>
          </w:tcPr>
          <w:p w14:paraId="67AC10A2">
            <w:pPr>
              <w:spacing w:line="240" w:lineRule="auto"/>
              <w:ind w:firstLine="0" w:firstLineChars="0"/>
              <w:rPr>
                <w:rFonts w:hint="eastAsia" w:ascii="仿宋" w:hAnsi="仿宋" w:eastAsia="仿宋"/>
                <w:sz w:val="22"/>
                <w:szCs w:val="22"/>
              </w:rPr>
            </w:pPr>
            <w:r>
              <w:rPr>
                <w:rFonts w:ascii="仿宋" w:hAnsi="仿宋" w:eastAsia="仿宋"/>
                <w:sz w:val="22"/>
                <w:szCs w:val="22"/>
              </w:rPr>
              <w:t>依托丰台区河西地区，建设森林消防综合应急救援基地，并协助建立森防国家队驻地，按照中队级对应标准配套训练场地，推进消防综合应急救援基地能力建设。</w:t>
            </w:r>
            <w:r>
              <w:rPr>
                <w:rFonts w:hint="eastAsia" w:ascii="仿宋" w:hAnsi="仿宋" w:eastAsia="仿宋"/>
                <w:sz w:val="22"/>
                <w:szCs w:val="22"/>
              </w:rPr>
              <w:t>探索林区风险等级划分，按照风险等级逐步推动力量派驻，实现重点林区、主要流域力量布局全覆盖，构建重点目标、重要林区快速响应联动体系。</w:t>
            </w:r>
          </w:p>
        </w:tc>
        <w:tc>
          <w:tcPr>
            <w:tcW w:w="683" w:type="pct"/>
            <w:tcBorders>
              <w:top w:val="nil"/>
              <w:left w:val="nil"/>
              <w:bottom w:val="single" w:color="auto" w:sz="4" w:space="0"/>
              <w:right w:val="single" w:color="auto" w:sz="4" w:space="0"/>
            </w:tcBorders>
            <w:vAlign w:val="center"/>
          </w:tcPr>
          <w:p w14:paraId="4F070DE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区应急局、北京消防救援机动支队驻丰台中队</w:t>
            </w:r>
          </w:p>
        </w:tc>
        <w:tc>
          <w:tcPr>
            <w:tcW w:w="687" w:type="pct"/>
            <w:tcBorders>
              <w:top w:val="nil"/>
              <w:left w:val="nil"/>
              <w:bottom w:val="single" w:color="auto" w:sz="4" w:space="0"/>
              <w:right w:val="single" w:color="auto" w:sz="4" w:space="0"/>
            </w:tcBorders>
            <w:vAlign w:val="center"/>
          </w:tcPr>
          <w:p w14:paraId="5CAD958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区规自委、相关街镇等</w:t>
            </w:r>
          </w:p>
        </w:tc>
        <w:tc>
          <w:tcPr>
            <w:tcW w:w="432" w:type="pct"/>
            <w:tcBorders>
              <w:top w:val="nil"/>
              <w:left w:val="nil"/>
              <w:bottom w:val="single" w:color="auto" w:sz="4" w:space="0"/>
              <w:right w:val="single" w:color="auto" w:sz="4" w:space="0"/>
            </w:tcBorders>
            <w:noWrap/>
            <w:vAlign w:val="center"/>
          </w:tcPr>
          <w:p w14:paraId="0A4E863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409C3D2F">
        <w:tblPrEx>
          <w:tblCellMar>
            <w:top w:w="0" w:type="dxa"/>
            <w:left w:w="108" w:type="dxa"/>
            <w:bottom w:w="0" w:type="dxa"/>
            <w:right w:w="108" w:type="dxa"/>
          </w:tblCellMar>
        </w:tblPrEx>
        <w:trPr>
          <w:trHeight w:val="2840" w:hRule="atLeast"/>
        </w:trPr>
        <w:tc>
          <w:tcPr>
            <w:tcW w:w="103" w:type="pct"/>
            <w:vMerge w:val="continue"/>
            <w:tcBorders>
              <w:top w:val="nil"/>
              <w:left w:val="single" w:color="auto" w:sz="4" w:space="0"/>
              <w:bottom w:val="single" w:color="auto" w:sz="4" w:space="0"/>
              <w:right w:val="single" w:color="auto" w:sz="4" w:space="0"/>
            </w:tcBorders>
            <w:vAlign w:val="center"/>
          </w:tcPr>
          <w:p w14:paraId="0F7E201D">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74A2B261">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20A2214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33</w:t>
            </w:r>
          </w:p>
        </w:tc>
        <w:tc>
          <w:tcPr>
            <w:tcW w:w="889" w:type="pct"/>
            <w:tcBorders>
              <w:top w:val="nil"/>
              <w:left w:val="nil"/>
              <w:bottom w:val="single" w:color="auto" w:sz="4" w:space="0"/>
              <w:right w:val="single" w:color="auto" w:sz="4" w:space="0"/>
            </w:tcBorders>
            <w:vAlign w:val="center"/>
          </w:tcPr>
          <w:p w14:paraId="06E3373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推动消防水源建设专项行动</w:t>
            </w:r>
          </w:p>
        </w:tc>
        <w:tc>
          <w:tcPr>
            <w:tcW w:w="1442" w:type="pct"/>
            <w:tcBorders>
              <w:top w:val="nil"/>
              <w:left w:val="nil"/>
              <w:bottom w:val="single" w:color="auto" w:sz="4" w:space="0"/>
              <w:right w:val="single" w:color="auto" w:sz="4" w:space="0"/>
            </w:tcBorders>
            <w:vAlign w:val="center"/>
          </w:tcPr>
          <w:p w14:paraId="55C95EEA">
            <w:pPr>
              <w:spacing w:line="240" w:lineRule="auto"/>
              <w:ind w:firstLine="0" w:firstLineChars="0"/>
              <w:rPr>
                <w:rFonts w:hint="eastAsia" w:ascii="仿宋" w:hAnsi="仿宋" w:eastAsia="仿宋"/>
                <w:sz w:val="22"/>
                <w:szCs w:val="22"/>
              </w:rPr>
            </w:pPr>
            <w:r>
              <w:rPr>
                <w:rFonts w:ascii="仿宋" w:hAnsi="仿宋" w:eastAsia="仿宋"/>
                <w:sz w:val="22"/>
                <w:szCs w:val="22"/>
              </w:rPr>
              <w:t>构建市政供水、消防水池供水和井水供水等多元化供水渠道。推动市政消火栓与城市供水、道路等基础设施同步规划建设。持续推进消火栓治理，压实相关单位日常管养职责，统一标注标识，确保市政消火栓完好率达98%。依托“</w:t>
            </w:r>
            <w:r>
              <w:rPr>
                <w:rFonts w:hint="eastAsia" w:ascii="仿宋" w:hAnsi="仿宋" w:eastAsia="仿宋"/>
                <w:sz w:val="22"/>
                <w:szCs w:val="22"/>
              </w:rPr>
              <w:t>消防</w:t>
            </w:r>
            <w:r>
              <w:rPr>
                <w:rFonts w:ascii="仿宋" w:hAnsi="仿宋" w:eastAsia="仿宋"/>
                <w:sz w:val="22"/>
                <w:szCs w:val="22"/>
              </w:rPr>
              <w:t>+环卫”灭火救援联勤联动机制，持续深化联勤、联训、联调、联战“四联”举措，将环卫洒水车等统筹纳入全域指挥调度体系，推进火场供水、协同演练、联合执勤工作。探索利用大数据、物联网等技术搭建消防水源信息化管理平台，实现空间位置、技术参数、工况状态的动态指挥管控，破解灭火现场找水难问题。</w:t>
            </w:r>
          </w:p>
        </w:tc>
        <w:tc>
          <w:tcPr>
            <w:tcW w:w="683" w:type="pct"/>
            <w:tcBorders>
              <w:top w:val="nil"/>
              <w:left w:val="nil"/>
              <w:bottom w:val="single" w:color="auto" w:sz="4" w:space="0"/>
              <w:right w:val="single" w:color="auto" w:sz="4" w:space="0"/>
            </w:tcBorders>
            <w:vAlign w:val="center"/>
          </w:tcPr>
          <w:p w14:paraId="294B2A7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区消防支队、区自来水公司</w:t>
            </w:r>
          </w:p>
        </w:tc>
        <w:tc>
          <w:tcPr>
            <w:tcW w:w="687" w:type="pct"/>
            <w:tcBorders>
              <w:top w:val="nil"/>
              <w:left w:val="nil"/>
              <w:bottom w:val="single" w:color="auto" w:sz="4" w:space="0"/>
              <w:right w:val="single" w:color="auto" w:sz="4" w:space="0"/>
            </w:tcBorders>
            <w:vAlign w:val="center"/>
          </w:tcPr>
          <w:p w14:paraId="43A93A4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各街镇</w:t>
            </w:r>
          </w:p>
        </w:tc>
        <w:tc>
          <w:tcPr>
            <w:tcW w:w="432" w:type="pct"/>
            <w:tcBorders>
              <w:top w:val="nil"/>
              <w:left w:val="nil"/>
              <w:bottom w:val="single" w:color="auto" w:sz="4" w:space="0"/>
              <w:right w:val="single" w:color="auto" w:sz="4" w:space="0"/>
            </w:tcBorders>
            <w:noWrap/>
            <w:vAlign w:val="center"/>
          </w:tcPr>
          <w:p w14:paraId="4E2D72D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2C840498">
        <w:tblPrEx>
          <w:tblCellMar>
            <w:top w:w="0" w:type="dxa"/>
            <w:left w:w="108" w:type="dxa"/>
            <w:bottom w:w="0" w:type="dxa"/>
            <w:right w:w="108" w:type="dxa"/>
          </w:tblCellMar>
        </w:tblPrEx>
        <w:trPr>
          <w:trHeight w:val="2340" w:hRule="atLeast"/>
        </w:trPr>
        <w:tc>
          <w:tcPr>
            <w:tcW w:w="103" w:type="pct"/>
            <w:vMerge w:val="continue"/>
            <w:tcBorders>
              <w:top w:val="nil"/>
              <w:left w:val="single" w:color="auto" w:sz="4" w:space="0"/>
              <w:bottom w:val="single" w:color="auto" w:sz="4" w:space="0"/>
              <w:right w:val="single" w:color="auto" w:sz="4" w:space="0"/>
            </w:tcBorders>
            <w:vAlign w:val="center"/>
          </w:tcPr>
          <w:p w14:paraId="44E4170E">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7D554BE6">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4C4DB24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34</w:t>
            </w:r>
          </w:p>
        </w:tc>
        <w:tc>
          <w:tcPr>
            <w:tcW w:w="889" w:type="pct"/>
            <w:tcBorders>
              <w:top w:val="nil"/>
              <w:left w:val="nil"/>
              <w:bottom w:val="single" w:color="auto" w:sz="4" w:space="0"/>
              <w:right w:val="single" w:color="auto" w:sz="4" w:space="0"/>
            </w:tcBorders>
            <w:vAlign w:val="center"/>
          </w:tcPr>
          <w:p w14:paraId="5BBC89F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推动消防车道畅通行动</w:t>
            </w:r>
          </w:p>
        </w:tc>
        <w:tc>
          <w:tcPr>
            <w:tcW w:w="1442" w:type="pct"/>
            <w:tcBorders>
              <w:top w:val="nil"/>
              <w:left w:val="nil"/>
              <w:bottom w:val="single" w:color="auto" w:sz="4" w:space="0"/>
              <w:right w:val="single" w:color="auto" w:sz="4" w:space="0"/>
            </w:tcBorders>
            <w:vAlign w:val="center"/>
          </w:tcPr>
          <w:p w14:paraId="6B06539F">
            <w:pPr>
              <w:spacing w:line="240" w:lineRule="auto"/>
              <w:ind w:firstLine="0" w:firstLineChars="0"/>
              <w:rPr>
                <w:rFonts w:hint="eastAsia" w:ascii="仿宋" w:hAnsi="仿宋" w:eastAsia="仿宋"/>
                <w:sz w:val="22"/>
                <w:szCs w:val="22"/>
              </w:rPr>
            </w:pPr>
            <w:r>
              <w:rPr>
                <w:rFonts w:ascii="仿宋" w:hAnsi="仿宋" w:eastAsia="仿宋"/>
                <w:sz w:val="22"/>
                <w:szCs w:val="22"/>
              </w:rPr>
              <w:t>构建高效畅通的消防交通网络。结合城市更新打通道路瓶颈和微循环，通过拆违、打通断头路、优化拓宽瓶颈路段、改造街巷胡同等方式，改善老旧区域消防通行条件，确保消防车顺利通行，提高消防站出警到场速度；常态化治理消防车通道占用、堵塞、封闭问题，规范消防车通道与登高操作场地的标识。完善消防车道应急管理，依托城市智慧交通开发消防车通道专用导航系统，推动管理智能化升级；建立“平急结合”的应急联动机制。</w:t>
            </w:r>
          </w:p>
        </w:tc>
        <w:tc>
          <w:tcPr>
            <w:tcW w:w="683" w:type="pct"/>
            <w:tcBorders>
              <w:top w:val="nil"/>
              <w:left w:val="nil"/>
              <w:bottom w:val="single" w:color="auto" w:sz="4" w:space="0"/>
              <w:right w:val="single" w:color="auto" w:sz="4" w:space="0"/>
            </w:tcBorders>
            <w:vAlign w:val="center"/>
          </w:tcPr>
          <w:p w14:paraId="6CC2FB1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区城管委、区规自委、区住建委</w:t>
            </w:r>
          </w:p>
        </w:tc>
        <w:tc>
          <w:tcPr>
            <w:tcW w:w="687" w:type="pct"/>
            <w:tcBorders>
              <w:top w:val="nil"/>
              <w:left w:val="nil"/>
              <w:bottom w:val="single" w:color="auto" w:sz="4" w:space="0"/>
              <w:right w:val="single" w:color="auto" w:sz="4" w:space="0"/>
            </w:tcBorders>
            <w:vAlign w:val="center"/>
          </w:tcPr>
          <w:p w14:paraId="0F28673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区消防支队、各街镇</w:t>
            </w:r>
          </w:p>
        </w:tc>
        <w:tc>
          <w:tcPr>
            <w:tcW w:w="432" w:type="pct"/>
            <w:tcBorders>
              <w:top w:val="nil"/>
              <w:left w:val="nil"/>
              <w:bottom w:val="single" w:color="auto" w:sz="4" w:space="0"/>
              <w:right w:val="single" w:color="auto" w:sz="4" w:space="0"/>
            </w:tcBorders>
            <w:noWrap/>
            <w:vAlign w:val="center"/>
          </w:tcPr>
          <w:p w14:paraId="1C0CA78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2026-2027年</w:t>
            </w:r>
          </w:p>
        </w:tc>
      </w:tr>
      <w:tr w14:paraId="6D7779C2">
        <w:tblPrEx>
          <w:tblCellMar>
            <w:top w:w="0" w:type="dxa"/>
            <w:left w:w="108" w:type="dxa"/>
            <w:bottom w:w="0" w:type="dxa"/>
            <w:right w:w="108" w:type="dxa"/>
          </w:tblCellMar>
        </w:tblPrEx>
        <w:trPr>
          <w:trHeight w:val="1470" w:hRule="atLeast"/>
        </w:trPr>
        <w:tc>
          <w:tcPr>
            <w:tcW w:w="103" w:type="pct"/>
            <w:vMerge w:val="continue"/>
            <w:tcBorders>
              <w:top w:val="nil"/>
              <w:left w:val="single" w:color="auto" w:sz="4" w:space="0"/>
              <w:bottom w:val="single" w:color="auto" w:sz="4" w:space="0"/>
              <w:right w:val="single" w:color="auto" w:sz="4" w:space="0"/>
            </w:tcBorders>
            <w:vAlign w:val="center"/>
          </w:tcPr>
          <w:p w14:paraId="5FB0FC2E">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23C75D0F">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249D4F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35</w:t>
            </w:r>
          </w:p>
        </w:tc>
        <w:tc>
          <w:tcPr>
            <w:tcW w:w="889" w:type="pct"/>
            <w:tcBorders>
              <w:top w:val="nil"/>
              <w:left w:val="nil"/>
              <w:bottom w:val="single" w:color="auto" w:sz="4" w:space="0"/>
              <w:right w:val="single" w:color="auto" w:sz="4" w:space="0"/>
            </w:tcBorders>
            <w:vAlign w:val="center"/>
          </w:tcPr>
          <w:p w14:paraId="557B599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健全指挥通信系统</w:t>
            </w:r>
          </w:p>
        </w:tc>
        <w:tc>
          <w:tcPr>
            <w:tcW w:w="1442" w:type="pct"/>
            <w:tcBorders>
              <w:top w:val="nil"/>
              <w:left w:val="nil"/>
              <w:bottom w:val="single" w:color="auto" w:sz="4" w:space="0"/>
              <w:right w:val="single" w:color="auto" w:sz="4" w:space="0"/>
            </w:tcBorders>
            <w:vAlign w:val="center"/>
          </w:tcPr>
          <w:p w14:paraId="78283A6F">
            <w:pPr>
              <w:spacing w:line="240" w:lineRule="auto"/>
              <w:ind w:firstLine="0" w:firstLineChars="0"/>
              <w:rPr>
                <w:rFonts w:hint="eastAsia" w:ascii="仿宋" w:hAnsi="仿宋" w:eastAsia="仿宋"/>
                <w:sz w:val="22"/>
                <w:szCs w:val="22"/>
              </w:rPr>
            </w:pPr>
            <w:r>
              <w:rPr>
                <w:rFonts w:ascii="仿宋" w:hAnsi="仿宋" w:eastAsia="仿宋"/>
                <w:sz w:val="22"/>
                <w:szCs w:val="22"/>
              </w:rPr>
              <w:t>建设大队级消防指挥中心，增设移动数据采集、指挥端，增加移动报警和信息报送渠道，推广智能化接警系统。提升应对“三断”情况下的通信保障能力。建立多层级跨部门数据共享机制，建立与政府相关部门、电信运营商和社会专业单位的“一键响应”“一键护航”协作机制。</w:t>
            </w:r>
          </w:p>
        </w:tc>
        <w:tc>
          <w:tcPr>
            <w:tcW w:w="683" w:type="pct"/>
            <w:tcBorders>
              <w:top w:val="nil"/>
              <w:left w:val="nil"/>
              <w:bottom w:val="single" w:color="auto" w:sz="4" w:space="0"/>
              <w:right w:val="single" w:color="auto" w:sz="4" w:space="0"/>
            </w:tcBorders>
            <w:vAlign w:val="center"/>
          </w:tcPr>
          <w:p w14:paraId="3A56B2F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2B1C139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区应急局等</w:t>
            </w:r>
          </w:p>
        </w:tc>
        <w:tc>
          <w:tcPr>
            <w:tcW w:w="432" w:type="pct"/>
            <w:tcBorders>
              <w:top w:val="nil"/>
              <w:left w:val="nil"/>
              <w:bottom w:val="single" w:color="auto" w:sz="4" w:space="0"/>
              <w:right w:val="single" w:color="auto" w:sz="4" w:space="0"/>
            </w:tcBorders>
            <w:noWrap/>
            <w:vAlign w:val="center"/>
          </w:tcPr>
          <w:p w14:paraId="6F2805E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2026-2028年</w:t>
            </w:r>
          </w:p>
        </w:tc>
      </w:tr>
      <w:tr w14:paraId="5AC97556">
        <w:tblPrEx>
          <w:tblCellMar>
            <w:top w:w="0" w:type="dxa"/>
            <w:left w:w="108" w:type="dxa"/>
            <w:bottom w:w="0" w:type="dxa"/>
            <w:right w:w="108" w:type="dxa"/>
          </w:tblCellMar>
        </w:tblPrEx>
        <w:trPr>
          <w:trHeight w:val="1760" w:hRule="atLeast"/>
        </w:trPr>
        <w:tc>
          <w:tcPr>
            <w:tcW w:w="103" w:type="pct"/>
            <w:vMerge w:val="continue"/>
            <w:tcBorders>
              <w:top w:val="nil"/>
              <w:left w:val="single" w:color="auto" w:sz="4" w:space="0"/>
              <w:bottom w:val="single" w:color="auto" w:sz="4" w:space="0"/>
              <w:right w:val="single" w:color="auto" w:sz="4" w:space="0"/>
            </w:tcBorders>
            <w:vAlign w:val="center"/>
          </w:tcPr>
          <w:p w14:paraId="1B86F7A6">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23D74BA3">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157D65C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36</w:t>
            </w:r>
          </w:p>
        </w:tc>
        <w:tc>
          <w:tcPr>
            <w:tcW w:w="889" w:type="pct"/>
            <w:tcBorders>
              <w:top w:val="nil"/>
              <w:left w:val="nil"/>
              <w:bottom w:val="single" w:color="auto" w:sz="4" w:space="0"/>
              <w:right w:val="single" w:color="auto" w:sz="4" w:space="0"/>
            </w:tcBorders>
            <w:vAlign w:val="center"/>
          </w:tcPr>
          <w:p w14:paraId="06B5B08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智慧化防火监督</w:t>
            </w:r>
          </w:p>
        </w:tc>
        <w:tc>
          <w:tcPr>
            <w:tcW w:w="1442" w:type="pct"/>
            <w:tcBorders>
              <w:top w:val="nil"/>
              <w:left w:val="nil"/>
              <w:bottom w:val="single" w:color="auto" w:sz="4" w:space="0"/>
              <w:right w:val="single" w:color="auto" w:sz="4" w:space="0"/>
            </w:tcBorders>
            <w:vAlign w:val="center"/>
          </w:tcPr>
          <w:p w14:paraId="0340DCFF">
            <w:pPr>
              <w:spacing w:line="240" w:lineRule="auto"/>
              <w:ind w:firstLine="0" w:firstLineChars="0"/>
              <w:rPr>
                <w:rFonts w:hint="eastAsia" w:ascii="仿宋" w:hAnsi="仿宋" w:eastAsia="仿宋"/>
                <w:sz w:val="22"/>
                <w:szCs w:val="22"/>
              </w:rPr>
            </w:pPr>
            <w:r>
              <w:rPr>
                <w:rFonts w:ascii="仿宋" w:hAnsi="仿宋" w:eastAsia="仿宋"/>
                <w:sz w:val="22"/>
                <w:szCs w:val="22"/>
              </w:rPr>
              <w:t>优化消防物联感知预警网络；升级施工动火作业管理调度系统、建设村民经营性自建房消防安全排查治理系统。探索建设消防监督管理信息系统，实现消防勤务全过程管理。综合运用大数据、物联网、人工智能等技术，探索建设涉企执法监督与质效考评、消防非现场监管系统，推行“风险+信用”分级分类监管。</w:t>
            </w:r>
          </w:p>
        </w:tc>
        <w:tc>
          <w:tcPr>
            <w:tcW w:w="683" w:type="pct"/>
            <w:tcBorders>
              <w:top w:val="nil"/>
              <w:left w:val="nil"/>
              <w:bottom w:val="single" w:color="auto" w:sz="4" w:space="0"/>
              <w:right w:val="single" w:color="auto" w:sz="4" w:space="0"/>
            </w:tcBorders>
            <w:vAlign w:val="center"/>
          </w:tcPr>
          <w:p w14:paraId="6A6AC27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1CB3CA1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区应急局、各街镇等</w:t>
            </w:r>
          </w:p>
        </w:tc>
        <w:tc>
          <w:tcPr>
            <w:tcW w:w="432" w:type="pct"/>
            <w:tcBorders>
              <w:top w:val="nil"/>
              <w:left w:val="nil"/>
              <w:bottom w:val="single" w:color="auto" w:sz="4" w:space="0"/>
              <w:right w:val="single" w:color="auto" w:sz="4" w:space="0"/>
            </w:tcBorders>
            <w:noWrap/>
            <w:vAlign w:val="center"/>
          </w:tcPr>
          <w:p w14:paraId="385CCA4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06FC54CE">
        <w:tblPrEx>
          <w:tblCellMar>
            <w:top w:w="0" w:type="dxa"/>
            <w:left w:w="108" w:type="dxa"/>
            <w:bottom w:w="0" w:type="dxa"/>
            <w:right w:w="108" w:type="dxa"/>
          </w:tblCellMar>
        </w:tblPrEx>
        <w:trPr>
          <w:trHeight w:val="2480" w:hRule="atLeast"/>
        </w:trPr>
        <w:tc>
          <w:tcPr>
            <w:tcW w:w="103" w:type="pct"/>
            <w:vMerge w:val="restart"/>
            <w:tcBorders>
              <w:top w:val="nil"/>
              <w:left w:val="single" w:color="auto" w:sz="4" w:space="0"/>
              <w:bottom w:val="single" w:color="auto" w:sz="4" w:space="0"/>
              <w:right w:val="single" w:color="auto" w:sz="4" w:space="0"/>
            </w:tcBorders>
            <w:noWrap/>
            <w:vAlign w:val="center"/>
          </w:tcPr>
          <w:p w14:paraId="7DA7592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五</w:t>
            </w:r>
          </w:p>
        </w:tc>
        <w:tc>
          <w:tcPr>
            <w:tcW w:w="561" w:type="pct"/>
            <w:vMerge w:val="restart"/>
            <w:tcBorders>
              <w:top w:val="nil"/>
              <w:left w:val="single" w:color="auto" w:sz="4" w:space="0"/>
              <w:bottom w:val="single" w:color="auto" w:sz="4" w:space="0"/>
              <w:right w:val="single" w:color="auto" w:sz="4" w:space="0"/>
            </w:tcBorders>
            <w:vAlign w:val="center"/>
          </w:tcPr>
          <w:p w14:paraId="18132E9E">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消防安全智慧化信息化建设</w:t>
            </w:r>
          </w:p>
        </w:tc>
        <w:tc>
          <w:tcPr>
            <w:tcW w:w="203" w:type="pct"/>
            <w:tcBorders>
              <w:top w:val="nil"/>
              <w:left w:val="nil"/>
              <w:bottom w:val="single" w:color="auto" w:sz="4" w:space="0"/>
              <w:right w:val="single" w:color="auto" w:sz="4" w:space="0"/>
            </w:tcBorders>
            <w:noWrap/>
            <w:vAlign w:val="center"/>
          </w:tcPr>
          <w:p w14:paraId="32F01EF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37</w:t>
            </w:r>
          </w:p>
        </w:tc>
        <w:tc>
          <w:tcPr>
            <w:tcW w:w="889" w:type="pct"/>
            <w:tcBorders>
              <w:top w:val="nil"/>
              <w:left w:val="nil"/>
              <w:bottom w:val="single" w:color="auto" w:sz="4" w:space="0"/>
              <w:right w:val="single" w:color="auto" w:sz="4" w:space="0"/>
            </w:tcBorders>
            <w:vAlign w:val="center"/>
          </w:tcPr>
          <w:p w14:paraId="40E0D31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智慧化救援指挥</w:t>
            </w:r>
          </w:p>
        </w:tc>
        <w:tc>
          <w:tcPr>
            <w:tcW w:w="1442" w:type="pct"/>
            <w:tcBorders>
              <w:top w:val="nil"/>
              <w:left w:val="nil"/>
              <w:bottom w:val="single" w:color="auto" w:sz="4" w:space="0"/>
              <w:right w:val="single" w:color="auto" w:sz="4" w:space="0"/>
            </w:tcBorders>
            <w:vAlign w:val="center"/>
          </w:tcPr>
          <w:p w14:paraId="0C0E8EF2">
            <w:pPr>
              <w:spacing w:line="240" w:lineRule="auto"/>
              <w:ind w:firstLine="0" w:firstLineChars="0"/>
              <w:rPr>
                <w:rFonts w:hint="eastAsia" w:ascii="仿宋" w:hAnsi="仿宋" w:eastAsia="仿宋"/>
                <w:sz w:val="22"/>
                <w:szCs w:val="22"/>
              </w:rPr>
            </w:pPr>
            <w:r>
              <w:rPr>
                <w:rFonts w:ascii="仿宋" w:hAnsi="仿宋" w:eastAsia="仿宋"/>
                <w:sz w:val="22"/>
                <w:szCs w:val="22"/>
              </w:rPr>
              <w:t>探索搭建“智慧消防”一张图平台，整合消防水源、车道、救援力量分布等数据建设综合数据库；探索开发动态火灾风险评估、辅助决策模块。提升应急通信保障能力，推动4G/5G通信系统与数字集群专网深度融合；整合卫星通信、无人机中继、浮空平台等，加快1.4GHz宽带集群专网、5G单兵图传系统建设，增强“三断”情况及极端场景应急通信保障。探索建设消防救援作战训练管理和特种灾害研训学习系统；推行社会单位智慧消防管理和信息查询；探索打造“消防码”便民应用等。</w:t>
            </w:r>
          </w:p>
        </w:tc>
        <w:tc>
          <w:tcPr>
            <w:tcW w:w="683" w:type="pct"/>
            <w:tcBorders>
              <w:top w:val="nil"/>
              <w:left w:val="nil"/>
              <w:bottom w:val="single" w:color="auto" w:sz="4" w:space="0"/>
              <w:right w:val="single" w:color="auto" w:sz="4" w:space="0"/>
            </w:tcBorders>
            <w:vAlign w:val="center"/>
          </w:tcPr>
          <w:p w14:paraId="258E83E0">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6765F76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区应急局、各街镇等</w:t>
            </w:r>
          </w:p>
        </w:tc>
        <w:tc>
          <w:tcPr>
            <w:tcW w:w="432" w:type="pct"/>
            <w:tcBorders>
              <w:top w:val="nil"/>
              <w:left w:val="nil"/>
              <w:bottom w:val="single" w:color="auto" w:sz="4" w:space="0"/>
              <w:right w:val="single" w:color="auto" w:sz="4" w:space="0"/>
            </w:tcBorders>
            <w:noWrap/>
            <w:vAlign w:val="center"/>
          </w:tcPr>
          <w:p w14:paraId="4DD1DC46">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5E4E84E9">
        <w:tblPrEx>
          <w:tblCellMar>
            <w:top w:w="0" w:type="dxa"/>
            <w:left w:w="108" w:type="dxa"/>
            <w:bottom w:w="0" w:type="dxa"/>
            <w:right w:w="108" w:type="dxa"/>
          </w:tblCellMar>
        </w:tblPrEx>
        <w:trPr>
          <w:trHeight w:val="1670" w:hRule="atLeast"/>
        </w:trPr>
        <w:tc>
          <w:tcPr>
            <w:tcW w:w="103" w:type="pct"/>
            <w:vMerge w:val="continue"/>
            <w:tcBorders>
              <w:top w:val="nil"/>
              <w:left w:val="single" w:color="auto" w:sz="4" w:space="0"/>
              <w:bottom w:val="single" w:color="auto" w:sz="4" w:space="0"/>
              <w:right w:val="single" w:color="auto" w:sz="4" w:space="0"/>
            </w:tcBorders>
            <w:vAlign w:val="center"/>
          </w:tcPr>
          <w:p w14:paraId="194E217B">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65671976">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3F48C36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38</w:t>
            </w:r>
          </w:p>
        </w:tc>
        <w:tc>
          <w:tcPr>
            <w:tcW w:w="889" w:type="pct"/>
            <w:tcBorders>
              <w:top w:val="nil"/>
              <w:left w:val="nil"/>
              <w:bottom w:val="single" w:color="auto" w:sz="4" w:space="0"/>
              <w:right w:val="single" w:color="auto" w:sz="4" w:space="0"/>
            </w:tcBorders>
            <w:vAlign w:val="center"/>
          </w:tcPr>
          <w:p w14:paraId="657CD95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智慧化队伍管理</w:t>
            </w:r>
          </w:p>
        </w:tc>
        <w:tc>
          <w:tcPr>
            <w:tcW w:w="1442" w:type="pct"/>
            <w:tcBorders>
              <w:top w:val="nil"/>
              <w:left w:val="nil"/>
              <w:bottom w:val="single" w:color="auto" w:sz="4" w:space="0"/>
              <w:right w:val="single" w:color="auto" w:sz="4" w:space="0"/>
            </w:tcBorders>
            <w:vAlign w:val="center"/>
          </w:tcPr>
          <w:p w14:paraId="01AC0FFF">
            <w:pPr>
              <w:spacing w:line="240" w:lineRule="auto"/>
              <w:ind w:firstLine="0" w:firstLineChars="0"/>
              <w:rPr>
                <w:rFonts w:hint="eastAsia" w:ascii="仿宋" w:hAnsi="仿宋" w:eastAsia="仿宋"/>
                <w:sz w:val="22"/>
                <w:szCs w:val="22"/>
              </w:rPr>
            </w:pPr>
            <w:r>
              <w:rPr>
                <w:rFonts w:ascii="仿宋" w:hAnsi="仿宋" w:eastAsia="仿宋"/>
                <w:sz w:val="22"/>
                <w:szCs w:val="22"/>
              </w:rPr>
              <w:t>探索建设国家综合性消防救援队伍消防员、政府专职消防员人员管理系统，实现队伍建设精细化管理。探索建设消防装备全生命周期管理体系，实现“采、供、管、发”全流程可视化追溯。升级车辆维修系统，构建覆盖维修接单、派工、维修、质检、配件管理、成本核算全流程的闭环管理平台。</w:t>
            </w:r>
          </w:p>
        </w:tc>
        <w:tc>
          <w:tcPr>
            <w:tcW w:w="683" w:type="pct"/>
            <w:tcBorders>
              <w:top w:val="nil"/>
              <w:left w:val="nil"/>
              <w:bottom w:val="single" w:color="auto" w:sz="4" w:space="0"/>
              <w:right w:val="single" w:color="auto" w:sz="4" w:space="0"/>
            </w:tcBorders>
            <w:vAlign w:val="center"/>
          </w:tcPr>
          <w:p w14:paraId="40EE4E2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11380D1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区应急局、各街镇等</w:t>
            </w:r>
          </w:p>
        </w:tc>
        <w:tc>
          <w:tcPr>
            <w:tcW w:w="432" w:type="pct"/>
            <w:tcBorders>
              <w:top w:val="nil"/>
              <w:left w:val="nil"/>
              <w:bottom w:val="single" w:color="auto" w:sz="4" w:space="0"/>
              <w:right w:val="single" w:color="auto" w:sz="4" w:space="0"/>
            </w:tcBorders>
            <w:noWrap/>
            <w:vAlign w:val="center"/>
          </w:tcPr>
          <w:p w14:paraId="2E5A6E8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2FDB8A5D">
        <w:tblPrEx>
          <w:tblCellMar>
            <w:top w:w="0" w:type="dxa"/>
            <w:left w:w="108" w:type="dxa"/>
            <w:bottom w:w="0" w:type="dxa"/>
            <w:right w:w="108" w:type="dxa"/>
          </w:tblCellMar>
        </w:tblPrEx>
        <w:trPr>
          <w:trHeight w:val="2080" w:hRule="atLeast"/>
        </w:trPr>
        <w:tc>
          <w:tcPr>
            <w:tcW w:w="103" w:type="pct"/>
            <w:vMerge w:val="continue"/>
            <w:tcBorders>
              <w:top w:val="nil"/>
              <w:left w:val="single" w:color="auto" w:sz="4" w:space="0"/>
              <w:bottom w:val="single" w:color="auto" w:sz="4" w:space="0"/>
              <w:right w:val="single" w:color="auto" w:sz="4" w:space="0"/>
            </w:tcBorders>
            <w:vAlign w:val="center"/>
          </w:tcPr>
          <w:p w14:paraId="054DB903">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auto" w:sz="4" w:space="0"/>
              <w:right w:val="single" w:color="auto" w:sz="4" w:space="0"/>
            </w:tcBorders>
            <w:vAlign w:val="center"/>
          </w:tcPr>
          <w:p w14:paraId="11BF5DD1">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757ED777">
            <w:pPr>
              <w:spacing w:line="240" w:lineRule="auto"/>
              <w:ind w:firstLine="0" w:firstLineChars="0"/>
              <w:jc w:val="center"/>
              <w:rPr>
                <w:rFonts w:hint="eastAsia" w:ascii="仿宋" w:hAnsi="仿宋" w:eastAsia="仿宋"/>
                <w:sz w:val="22"/>
                <w:szCs w:val="22"/>
              </w:rPr>
            </w:pPr>
            <w:r>
              <w:rPr>
                <w:rFonts w:ascii="仿宋" w:hAnsi="仿宋" w:eastAsia="仿宋"/>
                <w:sz w:val="22"/>
                <w:szCs w:val="22"/>
              </w:rPr>
              <w:t>39</w:t>
            </w:r>
          </w:p>
        </w:tc>
        <w:tc>
          <w:tcPr>
            <w:tcW w:w="889" w:type="pct"/>
            <w:tcBorders>
              <w:top w:val="nil"/>
              <w:left w:val="nil"/>
              <w:bottom w:val="single" w:color="auto" w:sz="4" w:space="0"/>
              <w:right w:val="single" w:color="auto" w:sz="4" w:space="0"/>
            </w:tcBorders>
            <w:vAlign w:val="center"/>
          </w:tcPr>
          <w:p w14:paraId="1E1CE772">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构建灾时韧性消防指挥体系</w:t>
            </w:r>
          </w:p>
        </w:tc>
        <w:tc>
          <w:tcPr>
            <w:tcW w:w="1442" w:type="pct"/>
            <w:tcBorders>
              <w:top w:val="nil"/>
              <w:left w:val="nil"/>
              <w:bottom w:val="single" w:color="auto" w:sz="4" w:space="0"/>
              <w:right w:val="single" w:color="auto" w:sz="4" w:space="0"/>
            </w:tcBorders>
            <w:vAlign w:val="center"/>
          </w:tcPr>
          <w:p w14:paraId="55E7B397">
            <w:pPr>
              <w:spacing w:line="240" w:lineRule="auto"/>
              <w:ind w:firstLine="0" w:firstLineChars="0"/>
              <w:rPr>
                <w:rFonts w:hint="eastAsia" w:ascii="仿宋" w:hAnsi="仿宋" w:eastAsia="仿宋"/>
                <w:sz w:val="22"/>
                <w:szCs w:val="22"/>
              </w:rPr>
            </w:pPr>
            <w:r>
              <w:rPr>
                <w:rFonts w:ascii="仿宋" w:hAnsi="仿宋" w:eastAsia="仿宋"/>
                <w:sz w:val="22"/>
                <w:szCs w:val="22"/>
              </w:rPr>
              <w:t>立足“集中式”与“分布式”相结合的韧性消防指挥体系，极端灾害下服从中心城区战区统一调度，实现对海淀、朝阳、石景山等相邻区域高效互助救援。落实市、区两级指挥中心值守模式要求。强化各类消防力量及行业部门联动指挥作战机制，整合应急、电力、燃气、地震、森林、环卫等行业专业救援力量，完善政府统一领导、专业应急救援力量协同、信息共享机制。</w:t>
            </w:r>
          </w:p>
        </w:tc>
        <w:tc>
          <w:tcPr>
            <w:tcW w:w="683" w:type="pct"/>
            <w:tcBorders>
              <w:top w:val="nil"/>
              <w:left w:val="nil"/>
              <w:bottom w:val="single" w:color="auto" w:sz="4" w:space="0"/>
              <w:right w:val="single" w:color="auto" w:sz="4" w:space="0"/>
            </w:tcBorders>
            <w:vAlign w:val="center"/>
          </w:tcPr>
          <w:p w14:paraId="34E1840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w:t>
            </w:r>
          </w:p>
        </w:tc>
        <w:tc>
          <w:tcPr>
            <w:tcW w:w="687" w:type="pct"/>
            <w:tcBorders>
              <w:top w:val="nil"/>
              <w:left w:val="nil"/>
              <w:bottom w:val="single" w:color="auto" w:sz="4" w:space="0"/>
              <w:right w:val="single" w:color="auto" w:sz="4" w:space="0"/>
            </w:tcBorders>
            <w:vAlign w:val="center"/>
          </w:tcPr>
          <w:p w14:paraId="4A92775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区应急局、北京消防救援机动支队驻丰台中队、各街镇等</w:t>
            </w:r>
          </w:p>
        </w:tc>
        <w:tc>
          <w:tcPr>
            <w:tcW w:w="432" w:type="pct"/>
            <w:tcBorders>
              <w:top w:val="nil"/>
              <w:left w:val="nil"/>
              <w:bottom w:val="single" w:color="auto" w:sz="4" w:space="0"/>
              <w:right w:val="single" w:color="auto" w:sz="4" w:space="0"/>
            </w:tcBorders>
            <w:noWrap/>
            <w:vAlign w:val="center"/>
          </w:tcPr>
          <w:p w14:paraId="6FF89E3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6B96E1C1">
        <w:tblPrEx>
          <w:tblCellMar>
            <w:top w:w="0" w:type="dxa"/>
            <w:left w:w="108" w:type="dxa"/>
            <w:bottom w:w="0" w:type="dxa"/>
            <w:right w:w="108" w:type="dxa"/>
          </w:tblCellMar>
        </w:tblPrEx>
        <w:trPr>
          <w:trHeight w:val="2090" w:hRule="atLeast"/>
        </w:trPr>
        <w:tc>
          <w:tcPr>
            <w:tcW w:w="103" w:type="pct"/>
            <w:vMerge w:val="restart"/>
            <w:tcBorders>
              <w:top w:val="nil"/>
              <w:left w:val="single" w:color="auto" w:sz="4" w:space="0"/>
              <w:bottom w:val="single" w:color="000000" w:sz="4" w:space="0"/>
              <w:right w:val="single" w:color="auto" w:sz="4" w:space="0"/>
            </w:tcBorders>
            <w:noWrap/>
            <w:vAlign w:val="center"/>
          </w:tcPr>
          <w:p w14:paraId="1457E38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六</w:t>
            </w:r>
          </w:p>
        </w:tc>
        <w:tc>
          <w:tcPr>
            <w:tcW w:w="561" w:type="pct"/>
            <w:vMerge w:val="restart"/>
            <w:tcBorders>
              <w:top w:val="nil"/>
              <w:left w:val="single" w:color="auto" w:sz="4" w:space="0"/>
              <w:bottom w:val="single" w:color="000000" w:sz="4" w:space="0"/>
              <w:right w:val="single" w:color="auto" w:sz="4" w:space="0"/>
            </w:tcBorders>
            <w:vAlign w:val="center"/>
          </w:tcPr>
          <w:p w14:paraId="0AC0B8C5">
            <w:pPr>
              <w:spacing w:line="240" w:lineRule="auto"/>
              <w:ind w:firstLine="0" w:firstLineChars="0"/>
              <w:jc w:val="center"/>
              <w:rPr>
                <w:rFonts w:hint="eastAsia" w:ascii="仿宋" w:hAnsi="仿宋" w:eastAsia="仿宋"/>
                <w:sz w:val="22"/>
                <w:szCs w:val="22"/>
              </w:rPr>
            </w:pPr>
            <w:r>
              <w:rPr>
                <w:rFonts w:ascii="仿宋" w:hAnsi="仿宋" w:eastAsia="仿宋"/>
                <w:sz w:val="22"/>
                <w:szCs w:val="22"/>
              </w:rPr>
              <w:t>韧性城市消防安全水平提升</w:t>
            </w:r>
          </w:p>
        </w:tc>
        <w:tc>
          <w:tcPr>
            <w:tcW w:w="203" w:type="pct"/>
            <w:tcBorders>
              <w:top w:val="nil"/>
              <w:left w:val="nil"/>
              <w:bottom w:val="single" w:color="auto" w:sz="4" w:space="0"/>
              <w:right w:val="single" w:color="auto" w:sz="4" w:space="0"/>
            </w:tcBorders>
            <w:noWrap/>
            <w:vAlign w:val="center"/>
          </w:tcPr>
          <w:p w14:paraId="1E7D014F">
            <w:pPr>
              <w:spacing w:line="240" w:lineRule="auto"/>
              <w:ind w:firstLine="0" w:firstLineChars="0"/>
              <w:jc w:val="center"/>
              <w:rPr>
                <w:rFonts w:hint="eastAsia" w:ascii="仿宋" w:hAnsi="仿宋" w:eastAsia="仿宋"/>
                <w:sz w:val="22"/>
                <w:szCs w:val="22"/>
              </w:rPr>
            </w:pPr>
            <w:r>
              <w:rPr>
                <w:rFonts w:ascii="仿宋" w:hAnsi="仿宋" w:eastAsia="仿宋"/>
                <w:sz w:val="22"/>
                <w:szCs w:val="22"/>
              </w:rPr>
              <w:t>40</w:t>
            </w:r>
          </w:p>
        </w:tc>
        <w:tc>
          <w:tcPr>
            <w:tcW w:w="889" w:type="pct"/>
            <w:tcBorders>
              <w:top w:val="nil"/>
              <w:left w:val="nil"/>
              <w:bottom w:val="single" w:color="auto" w:sz="4" w:space="0"/>
              <w:right w:val="single" w:color="auto" w:sz="4" w:space="0"/>
            </w:tcBorders>
            <w:vAlign w:val="center"/>
          </w:tcPr>
          <w:p w14:paraId="3CA7FFD4">
            <w:pPr>
              <w:spacing w:line="240" w:lineRule="auto"/>
              <w:ind w:firstLine="0" w:firstLineChars="0"/>
              <w:jc w:val="center"/>
              <w:rPr>
                <w:rFonts w:hint="eastAsia" w:ascii="仿宋" w:hAnsi="仿宋" w:eastAsia="仿宋"/>
                <w:sz w:val="22"/>
                <w:szCs w:val="22"/>
              </w:rPr>
            </w:pPr>
            <w:r>
              <w:rPr>
                <w:rFonts w:ascii="仿宋" w:hAnsi="仿宋" w:eastAsia="仿宋"/>
                <w:sz w:val="22"/>
                <w:szCs w:val="22"/>
              </w:rPr>
              <w:t>极端灾害应对防控</w:t>
            </w:r>
          </w:p>
        </w:tc>
        <w:tc>
          <w:tcPr>
            <w:tcW w:w="1442" w:type="pct"/>
            <w:tcBorders>
              <w:top w:val="nil"/>
              <w:left w:val="nil"/>
              <w:bottom w:val="single" w:color="auto" w:sz="4" w:space="0"/>
              <w:right w:val="single" w:color="auto" w:sz="4" w:space="0"/>
            </w:tcBorders>
            <w:vAlign w:val="center"/>
          </w:tcPr>
          <w:p w14:paraId="140E3079">
            <w:pPr>
              <w:spacing w:line="240" w:lineRule="auto"/>
              <w:ind w:firstLine="0" w:firstLineChars="0"/>
              <w:rPr>
                <w:rFonts w:hint="eastAsia" w:ascii="仿宋" w:hAnsi="仿宋" w:eastAsia="仿宋"/>
                <w:sz w:val="22"/>
                <w:szCs w:val="22"/>
              </w:rPr>
            </w:pPr>
            <w:r>
              <w:rPr>
                <w:rFonts w:ascii="仿宋" w:hAnsi="仿宋" w:eastAsia="仿宋"/>
                <w:sz w:val="22"/>
                <w:szCs w:val="22"/>
              </w:rPr>
              <w:t>提高对极端高温、暴雨、强风、地震及复合灾害的应对防控。建立极端灾害分级预警响应机制，优化消防装备结构，配齐防水型灭火装备、应急发电设备、化学侦检、远程供水、高温防护等特种车辆和新型装备。强化反恐处突能力，提升消防综合应急救援能力。强化跨部门协同，与气象、交通、电力等部门建立“极端灾害—火灾风险”会商机制，完善极端灾害后的协同联动与恢复机制。</w:t>
            </w:r>
          </w:p>
        </w:tc>
        <w:tc>
          <w:tcPr>
            <w:tcW w:w="683" w:type="pct"/>
            <w:tcBorders>
              <w:top w:val="nil"/>
              <w:left w:val="nil"/>
              <w:bottom w:val="single" w:color="auto" w:sz="4" w:space="0"/>
              <w:right w:val="single" w:color="auto" w:sz="4" w:space="0"/>
            </w:tcBorders>
            <w:vAlign w:val="center"/>
          </w:tcPr>
          <w:p w14:paraId="7F665E3B">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区应急局、区消防支队</w:t>
            </w:r>
          </w:p>
        </w:tc>
        <w:tc>
          <w:tcPr>
            <w:tcW w:w="687" w:type="pct"/>
            <w:tcBorders>
              <w:top w:val="nil"/>
              <w:left w:val="nil"/>
              <w:bottom w:val="single" w:color="auto" w:sz="4" w:space="0"/>
              <w:right w:val="single" w:color="auto" w:sz="4" w:space="0"/>
            </w:tcBorders>
            <w:vAlign w:val="center"/>
          </w:tcPr>
          <w:p w14:paraId="1539FA31">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区气象局、区城管委、各街镇等</w:t>
            </w:r>
          </w:p>
        </w:tc>
        <w:tc>
          <w:tcPr>
            <w:tcW w:w="432" w:type="pct"/>
            <w:tcBorders>
              <w:top w:val="nil"/>
              <w:left w:val="nil"/>
              <w:bottom w:val="single" w:color="auto" w:sz="4" w:space="0"/>
              <w:right w:val="single" w:color="auto" w:sz="4" w:space="0"/>
            </w:tcBorders>
            <w:noWrap/>
            <w:vAlign w:val="center"/>
          </w:tcPr>
          <w:p w14:paraId="6C3FEDE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r w14:paraId="3CE4B823">
        <w:tblPrEx>
          <w:tblCellMar>
            <w:top w:w="0" w:type="dxa"/>
            <w:left w:w="108" w:type="dxa"/>
            <w:bottom w:w="0" w:type="dxa"/>
            <w:right w:w="108" w:type="dxa"/>
          </w:tblCellMar>
        </w:tblPrEx>
        <w:trPr>
          <w:trHeight w:val="780" w:hRule="atLeast"/>
        </w:trPr>
        <w:tc>
          <w:tcPr>
            <w:tcW w:w="103" w:type="pct"/>
            <w:vMerge w:val="continue"/>
            <w:tcBorders>
              <w:top w:val="nil"/>
              <w:left w:val="single" w:color="auto" w:sz="4" w:space="0"/>
              <w:bottom w:val="single" w:color="000000" w:sz="4" w:space="0"/>
              <w:right w:val="single" w:color="auto" w:sz="4" w:space="0"/>
            </w:tcBorders>
            <w:vAlign w:val="center"/>
          </w:tcPr>
          <w:p w14:paraId="165F885A">
            <w:pPr>
              <w:spacing w:line="240" w:lineRule="auto"/>
              <w:ind w:firstLine="0" w:firstLineChars="0"/>
              <w:rPr>
                <w:rFonts w:hint="eastAsia" w:ascii="仿宋" w:hAnsi="仿宋" w:eastAsia="仿宋"/>
                <w:sz w:val="22"/>
                <w:szCs w:val="22"/>
              </w:rPr>
            </w:pPr>
          </w:p>
        </w:tc>
        <w:tc>
          <w:tcPr>
            <w:tcW w:w="561" w:type="pct"/>
            <w:vMerge w:val="continue"/>
            <w:tcBorders>
              <w:top w:val="nil"/>
              <w:left w:val="single" w:color="auto" w:sz="4" w:space="0"/>
              <w:bottom w:val="single" w:color="000000" w:sz="4" w:space="0"/>
              <w:right w:val="single" w:color="auto" w:sz="4" w:space="0"/>
            </w:tcBorders>
            <w:vAlign w:val="center"/>
          </w:tcPr>
          <w:p w14:paraId="69FE9313">
            <w:pPr>
              <w:spacing w:line="240" w:lineRule="auto"/>
              <w:ind w:firstLine="0" w:firstLineChars="0"/>
              <w:rPr>
                <w:rFonts w:hint="eastAsia" w:ascii="仿宋" w:hAnsi="仿宋" w:eastAsia="仿宋"/>
                <w:sz w:val="22"/>
                <w:szCs w:val="22"/>
              </w:rPr>
            </w:pPr>
          </w:p>
        </w:tc>
        <w:tc>
          <w:tcPr>
            <w:tcW w:w="203" w:type="pct"/>
            <w:tcBorders>
              <w:top w:val="nil"/>
              <w:left w:val="nil"/>
              <w:bottom w:val="single" w:color="auto" w:sz="4" w:space="0"/>
              <w:right w:val="single" w:color="auto" w:sz="4" w:space="0"/>
            </w:tcBorders>
            <w:noWrap/>
            <w:vAlign w:val="center"/>
          </w:tcPr>
          <w:p w14:paraId="665D2A73">
            <w:pPr>
              <w:spacing w:line="240" w:lineRule="auto"/>
              <w:ind w:firstLine="0" w:firstLineChars="0"/>
              <w:jc w:val="center"/>
              <w:rPr>
                <w:rFonts w:hint="eastAsia" w:ascii="仿宋" w:hAnsi="仿宋" w:eastAsia="仿宋"/>
                <w:sz w:val="22"/>
                <w:szCs w:val="22"/>
              </w:rPr>
            </w:pPr>
            <w:r>
              <w:rPr>
                <w:rFonts w:ascii="仿宋" w:hAnsi="仿宋" w:eastAsia="仿宋"/>
                <w:sz w:val="22"/>
                <w:szCs w:val="22"/>
              </w:rPr>
              <w:t>41</w:t>
            </w:r>
          </w:p>
        </w:tc>
        <w:tc>
          <w:tcPr>
            <w:tcW w:w="889" w:type="pct"/>
            <w:tcBorders>
              <w:top w:val="nil"/>
              <w:left w:val="nil"/>
              <w:bottom w:val="single" w:color="auto" w:sz="4" w:space="0"/>
              <w:right w:val="single" w:color="auto" w:sz="4" w:space="0"/>
            </w:tcBorders>
            <w:vAlign w:val="center"/>
          </w:tcPr>
          <w:p w14:paraId="1F3262DC">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平急两用资源利用提升</w:t>
            </w:r>
          </w:p>
        </w:tc>
        <w:tc>
          <w:tcPr>
            <w:tcW w:w="1442" w:type="pct"/>
            <w:tcBorders>
              <w:top w:val="nil"/>
              <w:left w:val="nil"/>
              <w:bottom w:val="single" w:color="auto" w:sz="4" w:space="0"/>
              <w:right w:val="single" w:color="auto" w:sz="4" w:space="0"/>
            </w:tcBorders>
            <w:vAlign w:val="center"/>
          </w:tcPr>
          <w:p w14:paraId="6B0746AB">
            <w:pPr>
              <w:spacing w:line="240" w:lineRule="auto"/>
              <w:ind w:firstLine="0" w:firstLineChars="0"/>
              <w:rPr>
                <w:rFonts w:hint="eastAsia" w:ascii="仿宋" w:hAnsi="仿宋" w:eastAsia="仿宋"/>
                <w:sz w:val="22"/>
                <w:szCs w:val="22"/>
              </w:rPr>
            </w:pPr>
            <w:r>
              <w:rPr>
                <w:rFonts w:ascii="仿宋" w:hAnsi="仿宋" w:eastAsia="仿宋"/>
                <w:sz w:val="22"/>
                <w:szCs w:val="22"/>
              </w:rPr>
              <w:t>打造一批紧急情况下辅助火灾救援、安置、隔离的公共基础设施。</w:t>
            </w:r>
          </w:p>
        </w:tc>
        <w:tc>
          <w:tcPr>
            <w:tcW w:w="683" w:type="pct"/>
            <w:tcBorders>
              <w:top w:val="nil"/>
              <w:left w:val="nil"/>
              <w:bottom w:val="single" w:color="auto" w:sz="4" w:space="0"/>
              <w:right w:val="single" w:color="auto" w:sz="4" w:space="0"/>
            </w:tcBorders>
            <w:vAlign w:val="center"/>
          </w:tcPr>
          <w:p w14:paraId="112F0988">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区发改委、区规自分局</w:t>
            </w:r>
          </w:p>
        </w:tc>
        <w:tc>
          <w:tcPr>
            <w:tcW w:w="687" w:type="pct"/>
            <w:tcBorders>
              <w:top w:val="nil"/>
              <w:left w:val="nil"/>
              <w:bottom w:val="single" w:color="auto" w:sz="4" w:space="0"/>
              <w:right w:val="single" w:color="auto" w:sz="4" w:space="0"/>
            </w:tcBorders>
            <w:vAlign w:val="center"/>
          </w:tcPr>
          <w:p w14:paraId="548D602D">
            <w:pPr>
              <w:spacing w:line="240" w:lineRule="auto"/>
              <w:ind w:firstLine="0" w:firstLineChars="0"/>
              <w:jc w:val="center"/>
              <w:rPr>
                <w:rFonts w:hint="eastAsia" w:ascii="仿宋" w:hAnsi="仿宋" w:eastAsia="仿宋"/>
                <w:sz w:val="22"/>
                <w:szCs w:val="22"/>
              </w:rPr>
            </w:pPr>
            <w:r>
              <w:rPr>
                <w:rFonts w:ascii="仿宋" w:hAnsi="仿宋" w:eastAsia="仿宋"/>
                <w:sz w:val="22"/>
                <w:szCs w:val="22"/>
              </w:rPr>
              <w:t>区消防支队、各街镇等</w:t>
            </w:r>
          </w:p>
        </w:tc>
        <w:tc>
          <w:tcPr>
            <w:tcW w:w="432" w:type="pct"/>
            <w:tcBorders>
              <w:top w:val="nil"/>
              <w:left w:val="nil"/>
              <w:bottom w:val="single" w:color="auto" w:sz="4" w:space="0"/>
              <w:right w:val="single" w:color="auto" w:sz="4" w:space="0"/>
            </w:tcBorders>
            <w:noWrap/>
            <w:vAlign w:val="center"/>
          </w:tcPr>
          <w:p w14:paraId="4EAF79E9">
            <w:pPr>
              <w:spacing w:line="240" w:lineRule="auto"/>
              <w:ind w:firstLine="0" w:firstLineChars="0"/>
              <w:jc w:val="center"/>
              <w:rPr>
                <w:rFonts w:hint="eastAsia" w:ascii="仿宋" w:hAnsi="仿宋" w:eastAsia="仿宋"/>
                <w:sz w:val="22"/>
                <w:szCs w:val="22"/>
              </w:rPr>
            </w:pPr>
            <w:r>
              <w:rPr>
                <w:rFonts w:ascii="仿宋" w:hAnsi="仿宋" w:eastAsia="仿宋"/>
                <w:sz w:val="22"/>
                <w:szCs w:val="22"/>
              </w:rPr>
              <w:t>2026-2030年</w:t>
            </w:r>
          </w:p>
        </w:tc>
      </w:tr>
    </w:tbl>
    <w:p w14:paraId="2D78DE0C">
      <w:pPr>
        <w:ind w:left="643" w:firstLine="0" w:firstLineChars="0"/>
        <w:jc w:val="both"/>
        <w:rPr>
          <w:rFonts w:hint="eastAsia"/>
          <w:b/>
          <w:bCs/>
          <w:sz w:val="32"/>
          <w:szCs w:val="32"/>
        </w:rPr>
      </w:pPr>
    </w:p>
    <w:sectPr>
      <w:pgSz w:w="23811" w:h="16838" w:orient="landscape"/>
      <w:pgMar w:top="1800" w:right="1440" w:bottom="1800" w:left="144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AC59D5-74DE-4675-B06D-42A75FBBBC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5137D14-E6C0-4C53-95B6-463152F5D1A4}"/>
  </w:font>
  <w:font w:name="等线">
    <w:panose1 w:val="02010600030101010101"/>
    <w:charset w:val="86"/>
    <w:family w:val="auto"/>
    <w:pitch w:val="default"/>
    <w:sig w:usb0="A00002BF" w:usb1="38CF7CFA" w:usb2="00000016" w:usb3="00000000" w:csb0="0004000F" w:csb1="00000000"/>
    <w:embedRegular r:id="rId3" w:fontKey="{2ECC7D03-EC97-483E-9A5E-77EEEA8D2752}"/>
  </w:font>
  <w:font w:name="仿宋_GB2312">
    <w:altName w:val="仿宋"/>
    <w:panose1 w:val="02010609030101010101"/>
    <w:charset w:val="86"/>
    <w:family w:val="modern"/>
    <w:pitch w:val="default"/>
    <w:sig w:usb0="00000000" w:usb1="00000000" w:usb2="00000010" w:usb3="00000000" w:csb0="00040000" w:csb1="00000000"/>
    <w:embedRegular r:id="rId4" w:fontKey="{32318BD1-5627-44BE-8A40-5844C786E442}"/>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5" w:fontKey="{789802A0-8FBD-4924-8838-93F37BAE4E59}"/>
  </w:font>
  <w:font w:name="楷体_GB2312">
    <w:altName w:val="楷体"/>
    <w:panose1 w:val="02010609030101010101"/>
    <w:charset w:val="86"/>
    <w:family w:val="modern"/>
    <w:pitch w:val="default"/>
    <w:sig w:usb0="00000000" w:usb1="00000000" w:usb2="00000010" w:usb3="00000000" w:csb0="00040000" w:csb1="00000000"/>
    <w:embedRegular r:id="rId6" w:fontKey="{D266561F-B6CF-460F-9DAB-A99FE36E7DCC}"/>
  </w:font>
  <w:font w:name="Arial Unicode MS">
    <w:altName w:val="宋体"/>
    <w:panose1 w:val="020B0604020202020204"/>
    <w:charset w:val="86"/>
    <w:family w:val="roman"/>
    <w:pitch w:val="default"/>
    <w:sig w:usb0="00000000" w:usb1="00000000" w:usb2="0000003F" w:usb3="00000000" w:csb0="603F01FF" w:csb1="FFFF0000"/>
    <w:embedRegular r:id="rId7" w:fontKey="{6334BEB9-1E76-4674-B10E-981D814C9CB3}"/>
  </w:font>
  <w:font w:name="微软雅黑">
    <w:panose1 w:val="020B0503020204020204"/>
    <w:charset w:val="86"/>
    <w:family w:val="swiss"/>
    <w:pitch w:val="default"/>
    <w:sig w:usb0="80000287" w:usb1="2ACF3C50" w:usb2="00000016" w:usb3="00000000" w:csb0="0004001F" w:csb1="00000000"/>
    <w:embedRegular r:id="rId8" w:fontKey="{4C62587A-C0A0-437D-A37A-A1973288B9FD}"/>
  </w:font>
  <w:font w:name="仿宋">
    <w:panose1 w:val="02010609060101010101"/>
    <w:charset w:val="86"/>
    <w:family w:val="modern"/>
    <w:pitch w:val="default"/>
    <w:sig w:usb0="800002BF" w:usb1="38CF7CFA" w:usb2="00000016" w:usb3="00000000" w:csb0="00040001" w:csb1="00000000"/>
    <w:embedRegular r:id="rId9" w:fontKey="{5A3CC6EF-25E3-453D-9D1D-38CC94C6758B}"/>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737704"/>
      <w:docPartObj>
        <w:docPartGallery w:val="autotext"/>
      </w:docPartObj>
    </w:sdtPr>
    <w:sdtContent>
      <w:p w14:paraId="20AF9DE9">
        <w:pPr>
          <w:pStyle w:val="14"/>
          <w:ind w:firstLine="360"/>
          <w:jc w:val="center"/>
          <w:rPr>
            <w:rFonts w:hint="eastAsia"/>
          </w:rPr>
        </w:pPr>
        <w:r>
          <w:fldChar w:fldCharType="begin"/>
        </w:r>
        <w:r>
          <w:instrText xml:space="preserve">PAGE   \* MERGEFORMAT</w:instrText>
        </w:r>
        <w:r>
          <w:fldChar w:fldCharType="separate"/>
        </w:r>
        <w:r>
          <w:rPr>
            <w:lang w:val="zh-CN"/>
          </w:rPr>
          <w:t>22</w:t>
        </w:r>
        <w:r>
          <w:fldChar w:fldCharType="end"/>
        </w:r>
      </w:p>
    </w:sdtContent>
  </w:sdt>
  <w:p w14:paraId="0C49B30A">
    <w:pPr>
      <w:pStyle w:val="14"/>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240" w:lineRule="auto"/>
        <w:ind w:firstLine="480"/>
      </w:pPr>
      <w:r>
        <w:separator/>
      </w:r>
    </w:p>
  </w:footnote>
  <w:footnote w:type="continuationSeparator" w:id="5">
    <w:p>
      <w:pPr>
        <w:spacing w:line="240" w:lineRule="auto"/>
        <w:ind w:firstLine="480"/>
      </w:pPr>
      <w:r>
        <w:continuationSeparator/>
      </w:r>
    </w:p>
  </w:footnote>
  <w:footnote w:id="0">
    <w:p w14:paraId="304E08F9">
      <w:pPr>
        <w:widowControl w:val="0"/>
        <w:snapToGrid w:val="0"/>
        <w:spacing w:line="240" w:lineRule="auto"/>
        <w:ind w:firstLine="480"/>
        <w:jc w:val="both"/>
        <w:rPr>
          <w:rFonts w:hint="eastAsia" w:ascii="仿宋_GB2312"/>
          <w:color w:val="000000"/>
          <w:kern w:val="2"/>
        </w:rPr>
      </w:pPr>
      <w:r>
        <w:rPr>
          <w:rFonts w:ascii="仿宋_GB2312"/>
          <w:color w:val="000000"/>
          <w:kern w:val="2"/>
        </w:rPr>
        <w:footnoteRef/>
      </w:r>
      <w:r>
        <w:rPr>
          <w:rFonts w:ascii="仿宋_GB2312"/>
          <w:color w:val="000000"/>
          <w:kern w:val="2"/>
        </w:rPr>
        <w:t>.同类同管：采用酒精炉、喷灯、砂轮、电钻等可能产生火花、火焰和炽热表面的临时作业，与电焊、气焊等危险作业一并纳入动火审批。</w:t>
      </w:r>
    </w:p>
  </w:footnote>
  <w:footnote w:id="1">
    <w:p w14:paraId="3CBB0735">
      <w:pPr>
        <w:widowControl w:val="0"/>
        <w:snapToGrid w:val="0"/>
        <w:spacing w:line="240" w:lineRule="auto"/>
        <w:ind w:firstLine="480"/>
        <w:jc w:val="both"/>
        <w:rPr>
          <w:rFonts w:hint="eastAsia"/>
        </w:rPr>
      </w:pPr>
      <w:r>
        <w:rPr>
          <w:rFonts w:hint="eastAsia" w:ascii="仿宋_GB2312"/>
          <w:color w:val="000000"/>
          <w:kern w:val="2"/>
        </w:rPr>
        <w:footnoteRef/>
      </w:r>
      <w:r>
        <w:rPr>
          <w:rFonts w:hint="eastAsia" w:ascii="仿宋_GB2312"/>
          <w:color w:val="000000"/>
          <w:kern w:val="2"/>
        </w:rPr>
        <w:t>.“六进”：进法规政策、进行业规划、进组织机构、进行政许可、进管理制度、进教育培训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28B1">
    <w:pPr>
      <w:pStyle w:val="15"/>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4"/>
    <w:footnote w:id="5"/>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DB8"/>
    <w:rsid w:val="000014D4"/>
    <w:rsid w:val="00006207"/>
    <w:rsid w:val="00021BFF"/>
    <w:rsid w:val="0002306B"/>
    <w:rsid w:val="00031046"/>
    <w:rsid w:val="00031B16"/>
    <w:rsid w:val="00031E87"/>
    <w:rsid w:val="00033357"/>
    <w:rsid w:val="00044DB0"/>
    <w:rsid w:val="0004562C"/>
    <w:rsid w:val="000506BF"/>
    <w:rsid w:val="0005225C"/>
    <w:rsid w:val="0005237E"/>
    <w:rsid w:val="000550CD"/>
    <w:rsid w:val="00076D0E"/>
    <w:rsid w:val="00086356"/>
    <w:rsid w:val="000903D8"/>
    <w:rsid w:val="0009099B"/>
    <w:rsid w:val="00091ED1"/>
    <w:rsid w:val="0009511C"/>
    <w:rsid w:val="000A0BC4"/>
    <w:rsid w:val="000A4753"/>
    <w:rsid w:val="000A4E4A"/>
    <w:rsid w:val="000B5914"/>
    <w:rsid w:val="000C1907"/>
    <w:rsid w:val="000D14F1"/>
    <w:rsid w:val="000D6025"/>
    <w:rsid w:val="000E1971"/>
    <w:rsid w:val="000E62F5"/>
    <w:rsid w:val="000F1529"/>
    <w:rsid w:val="000F570B"/>
    <w:rsid w:val="00113192"/>
    <w:rsid w:val="00122D1D"/>
    <w:rsid w:val="0014066C"/>
    <w:rsid w:val="00142530"/>
    <w:rsid w:val="00147A4E"/>
    <w:rsid w:val="0015403A"/>
    <w:rsid w:val="001640C5"/>
    <w:rsid w:val="0017186C"/>
    <w:rsid w:val="001772B8"/>
    <w:rsid w:val="00181114"/>
    <w:rsid w:val="001838E3"/>
    <w:rsid w:val="00184F31"/>
    <w:rsid w:val="0018567B"/>
    <w:rsid w:val="00192B76"/>
    <w:rsid w:val="00195A90"/>
    <w:rsid w:val="001A1CAA"/>
    <w:rsid w:val="001A4398"/>
    <w:rsid w:val="001A50F7"/>
    <w:rsid w:val="001B4216"/>
    <w:rsid w:val="001B5196"/>
    <w:rsid w:val="001B6D9C"/>
    <w:rsid w:val="001C2061"/>
    <w:rsid w:val="001C5391"/>
    <w:rsid w:val="001D1549"/>
    <w:rsid w:val="001E1520"/>
    <w:rsid w:val="001F3656"/>
    <w:rsid w:val="001F3EE9"/>
    <w:rsid w:val="0020192E"/>
    <w:rsid w:val="002020FA"/>
    <w:rsid w:val="00210F30"/>
    <w:rsid w:val="002405CC"/>
    <w:rsid w:val="00251280"/>
    <w:rsid w:val="00262FED"/>
    <w:rsid w:val="00272981"/>
    <w:rsid w:val="002810B2"/>
    <w:rsid w:val="002857E2"/>
    <w:rsid w:val="00285A56"/>
    <w:rsid w:val="00290777"/>
    <w:rsid w:val="0029418B"/>
    <w:rsid w:val="002B18AE"/>
    <w:rsid w:val="002B2711"/>
    <w:rsid w:val="002B4038"/>
    <w:rsid w:val="002B6B7F"/>
    <w:rsid w:val="002B7C02"/>
    <w:rsid w:val="002C0030"/>
    <w:rsid w:val="002D099A"/>
    <w:rsid w:val="002D4371"/>
    <w:rsid w:val="002D7453"/>
    <w:rsid w:val="002F3411"/>
    <w:rsid w:val="00300E90"/>
    <w:rsid w:val="00300EBA"/>
    <w:rsid w:val="00301D8D"/>
    <w:rsid w:val="00302CFF"/>
    <w:rsid w:val="00305BA5"/>
    <w:rsid w:val="00306F8A"/>
    <w:rsid w:val="00313CCA"/>
    <w:rsid w:val="00314D70"/>
    <w:rsid w:val="003154BF"/>
    <w:rsid w:val="00320D5F"/>
    <w:rsid w:val="00322106"/>
    <w:rsid w:val="00322241"/>
    <w:rsid w:val="00322AFB"/>
    <w:rsid w:val="00324A85"/>
    <w:rsid w:val="003276B8"/>
    <w:rsid w:val="00335A2B"/>
    <w:rsid w:val="003438C6"/>
    <w:rsid w:val="003446E5"/>
    <w:rsid w:val="00344E53"/>
    <w:rsid w:val="0034632A"/>
    <w:rsid w:val="00374908"/>
    <w:rsid w:val="00381916"/>
    <w:rsid w:val="00383487"/>
    <w:rsid w:val="00390085"/>
    <w:rsid w:val="00391D83"/>
    <w:rsid w:val="0039472E"/>
    <w:rsid w:val="00397B46"/>
    <w:rsid w:val="003A56E1"/>
    <w:rsid w:val="003B6475"/>
    <w:rsid w:val="003C1364"/>
    <w:rsid w:val="003C63AE"/>
    <w:rsid w:val="003C7D27"/>
    <w:rsid w:val="003D2ACC"/>
    <w:rsid w:val="003D42DC"/>
    <w:rsid w:val="003D6CCA"/>
    <w:rsid w:val="003E0650"/>
    <w:rsid w:val="003E4B8F"/>
    <w:rsid w:val="003E6E72"/>
    <w:rsid w:val="003F15FF"/>
    <w:rsid w:val="003F31C7"/>
    <w:rsid w:val="00401011"/>
    <w:rsid w:val="0040387A"/>
    <w:rsid w:val="00412B58"/>
    <w:rsid w:val="00415438"/>
    <w:rsid w:val="0041567E"/>
    <w:rsid w:val="00420FAB"/>
    <w:rsid w:val="004211B3"/>
    <w:rsid w:val="00432E32"/>
    <w:rsid w:val="004371A9"/>
    <w:rsid w:val="00440826"/>
    <w:rsid w:val="00442A8A"/>
    <w:rsid w:val="0045100A"/>
    <w:rsid w:val="00456D0E"/>
    <w:rsid w:val="00460D4B"/>
    <w:rsid w:val="00472F7A"/>
    <w:rsid w:val="00473043"/>
    <w:rsid w:val="00475F9C"/>
    <w:rsid w:val="00482478"/>
    <w:rsid w:val="00485200"/>
    <w:rsid w:val="004919BC"/>
    <w:rsid w:val="004A3EF7"/>
    <w:rsid w:val="004B0BB8"/>
    <w:rsid w:val="004C4FE6"/>
    <w:rsid w:val="004C541E"/>
    <w:rsid w:val="004C7BD5"/>
    <w:rsid w:val="004E1FA3"/>
    <w:rsid w:val="004F0829"/>
    <w:rsid w:val="004F513C"/>
    <w:rsid w:val="00501F65"/>
    <w:rsid w:val="005113F2"/>
    <w:rsid w:val="00515C57"/>
    <w:rsid w:val="005310DB"/>
    <w:rsid w:val="00534149"/>
    <w:rsid w:val="00534A0B"/>
    <w:rsid w:val="005355B7"/>
    <w:rsid w:val="00535E23"/>
    <w:rsid w:val="00536D52"/>
    <w:rsid w:val="00543238"/>
    <w:rsid w:val="00551A0F"/>
    <w:rsid w:val="0056006C"/>
    <w:rsid w:val="00565751"/>
    <w:rsid w:val="00576514"/>
    <w:rsid w:val="00577827"/>
    <w:rsid w:val="005845F1"/>
    <w:rsid w:val="00585134"/>
    <w:rsid w:val="0058526D"/>
    <w:rsid w:val="00585936"/>
    <w:rsid w:val="0059134A"/>
    <w:rsid w:val="0059588D"/>
    <w:rsid w:val="005A100E"/>
    <w:rsid w:val="005A1DE7"/>
    <w:rsid w:val="005A5D9C"/>
    <w:rsid w:val="005B1257"/>
    <w:rsid w:val="005B1CD2"/>
    <w:rsid w:val="005B44D2"/>
    <w:rsid w:val="005B7F4E"/>
    <w:rsid w:val="005C206D"/>
    <w:rsid w:val="005D019D"/>
    <w:rsid w:val="005D0211"/>
    <w:rsid w:val="005D4826"/>
    <w:rsid w:val="005D65DF"/>
    <w:rsid w:val="005E7636"/>
    <w:rsid w:val="005F3688"/>
    <w:rsid w:val="005F4196"/>
    <w:rsid w:val="00601D38"/>
    <w:rsid w:val="006030D5"/>
    <w:rsid w:val="00603E96"/>
    <w:rsid w:val="0061236D"/>
    <w:rsid w:val="006140EF"/>
    <w:rsid w:val="00622897"/>
    <w:rsid w:val="00625BF7"/>
    <w:rsid w:val="00637482"/>
    <w:rsid w:val="0064163C"/>
    <w:rsid w:val="00645184"/>
    <w:rsid w:val="006478EA"/>
    <w:rsid w:val="00652B7A"/>
    <w:rsid w:val="006565DB"/>
    <w:rsid w:val="00657CD1"/>
    <w:rsid w:val="00684C20"/>
    <w:rsid w:val="006B180B"/>
    <w:rsid w:val="006C69AF"/>
    <w:rsid w:val="006C6E35"/>
    <w:rsid w:val="006C79DD"/>
    <w:rsid w:val="006D253E"/>
    <w:rsid w:val="006D315A"/>
    <w:rsid w:val="006D399A"/>
    <w:rsid w:val="006D49A8"/>
    <w:rsid w:val="006D5F5F"/>
    <w:rsid w:val="006E24C4"/>
    <w:rsid w:val="006E50E9"/>
    <w:rsid w:val="006F45AC"/>
    <w:rsid w:val="006F734B"/>
    <w:rsid w:val="00700887"/>
    <w:rsid w:val="00700C50"/>
    <w:rsid w:val="00714649"/>
    <w:rsid w:val="00714F8D"/>
    <w:rsid w:val="0071767A"/>
    <w:rsid w:val="00722A4F"/>
    <w:rsid w:val="00732B59"/>
    <w:rsid w:val="0073489F"/>
    <w:rsid w:val="00743244"/>
    <w:rsid w:val="00744C9F"/>
    <w:rsid w:val="00753BAB"/>
    <w:rsid w:val="00763D28"/>
    <w:rsid w:val="00767D8E"/>
    <w:rsid w:val="007705E4"/>
    <w:rsid w:val="007857E4"/>
    <w:rsid w:val="007A177A"/>
    <w:rsid w:val="007A4ECD"/>
    <w:rsid w:val="007B463D"/>
    <w:rsid w:val="007C28EF"/>
    <w:rsid w:val="007C2D54"/>
    <w:rsid w:val="007C76CB"/>
    <w:rsid w:val="007D17D6"/>
    <w:rsid w:val="007E6E4E"/>
    <w:rsid w:val="007F48C3"/>
    <w:rsid w:val="007F4EB9"/>
    <w:rsid w:val="00801368"/>
    <w:rsid w:val="0081425F"/>
    <w:rsid w:val="00816C10"/>
    <w:rsid w:val="008208B0"/>
    <w:rsid w:val="00824220"/>
    <w:rsid w:val="00824C37"/>
    <w:rsid w:val="00831681"/>
    <w:rsid w:val="00832EA7"/>
    <w:rsid w:val="008362D6"/>
    <w:rsid w:val="00837A82"/>
    <w:rsid w:val="008403AF"/>
    <w:rsid w:val="00842DCC"/>
    <w:rsid w:val="00844C4D"/>
    <w:rsid w:val="008567B5"/>
    <w:rsid w:val="008632F3"/>
    <w:rsid w:val="008635DB"/>
    <w:rsid w:val="00866BCF"/>
    <w:rsid w:val="00890DB9"/>
    <w:rsid w:val="008928B3"/>
    <w:rsid w:val="008969C6"/>
    <w:rsid w:val="008A16D4"/>
    <w:rsid w:val="008B289D"/>
    <w:rsid w:val="008B4A89"/>
    <w:rsid w:val="008C2E77"/>
    <w:rsid w:val="008C3505"/>
    <w:rsid w:val="008D203C"/>
    <w:rsid w:val="008E212E"/>
    <w:rsid w:val="008E2B73"/>
    <w:rsid w:val="008E4DBC"/>
    <w:rsid w:val="008F3882"/>
    <w:rsid w:val="008F74AD"/>
    <w:rsid w:val="009006E8"/>
    <w:rsid w:val="009013D3"/>
    <w:rsid w:val="00901C5F"/>
    <w:rsid w:val="00915D59"/>
    <w:rsid w:val="00920942"/>
    <w:rsid w:val="00920AFB"/>
    <w:rsid w:val="00922DB8"/>
    <w:rsid w:val="00923AA6"/>
    <w:rsid w:val="009245CE"/>
    <w:rsid w:val="00941CB2"/>
    <w:rsid w:val="009431A4"/>
    <w:rsid w:val="00946FA2"/>
    <w:rsid w:val="00953E1C"/>
    <w:rsid w:val="00963142"/>
    <w:rsid w:val="0096425E"/>
    <w:rsid w:val="009768B9"/>
    <w:rsid w:val="00982BDF"/>
    <w:rsid w:val="00984680"/>
    <w:rsid w:val="00992585"/>
    <w:rsid w:val="009A2E7E"/>
    <w:rsid w:val="009B2813"/>
    <w:rsid w:val="009C00F0"/>
    <w:rsid w:val="009C17F7"/>
    <w:rsid w:val="009D07AC"/>
    <w:rsid w:val="009D16BF"/>
    <w:rsid w:val="009D443E"/>
    <w:rsid w:val="009E6E07"/>
    <w:rsid w:val="009F04D5"/>
    <w:rsid w:val="009F6B0F"/>
    <w:rsid w:val="00A00A8B"/>
    <w:rsid w:val="00A04DB9"/>
    <w:rsid w:val="00A059DA"/>
    <w:rsid w:val="00A077A0"/>
    <w:rsid w:val="00A11EF0"/>
    <w:rsid w:val="00A147B3"/>
    <w:rsid w:val="00A14D72"/>
    <w:rsid w:val="00A225D5"/>
    <w:rsid w:val="00A22CA0"/>
    <w:rsid w:val="00A24144"/>
    <w:rsid w:val="00A308B3"/>
    <w:rsid w:val="00A31896"/>
    <w:rsid w:val="00A36EA6"/>
    <w:rsid w:val="00A4061C"/>
    <w:rsid w:val="00A447A4"/>
    <w:rsid w:val="00A47349"/>
    <w:rsid w:val="00A57453"/>
    <w:rsid w:val="00A57B4A"/>
    <w:rsid w:val="00A63B09"/>
    <w:rsid w:val="00A647E7"/>
    <w:rsid w:val="00A65568"/>
    <w:rsid w:val="00A74199"/>
    <w:rsid w:val="00A76914"/>
    <w:rsid w:val="00A856C5"/>
    <w:rsid w:val="00A970B7"/>
    <w:rsid w:val="00AA05D2"/>
    <w:rsid w:val="00AA0D22"/>
    <w:rsid w:val="00AA67E4"/>
    <w:rsid w:val="00AB5410"/>
    <w:rsid w:val="00AC21D0"/>
    <w:rsid w:val="00AC674E"/>
    <w:rsid w:val="00AD59BC"/>
    <w:rsid w:val="00AD5A75"/>
    <w:rsid w:val="00AE0063"/>
    <w:rsid w:val="00AE1C4B"/>
    <w:rsid w:val="00AE276C"/>
    <w:rsid w:val="00AE6408"/>
    <w:rsid w:val="00AF1945"/>
    <w:rsid w:val="00AF758A"/>
    <w:rsid w:val="00B23696"/>
    <w:rsid w:val="00B24195"/>
    <w:rsid w:val="00B2700C"/>
    <w:rsid w:val="00B308F8"/>
    <w:rsid w:val="00B31369"/>
    <w:rsid w:val="00B40379"/>
    <w:rsid w:val="00B423CA"/>
    <w:rsid w:val="00B4373C"/>
    <w:rsid w:val="00B45309"/>
    <w:rsid w:val="00B47E27"/>
    <w:rsid w:val="00B64EEA"/>
    <w:rsid w:val="00B65E39"/>
    <w:rsid w:val="00B662F7"/>
    <w:rsid w:val="00B66395"/>
    <w:rsid w:val="00B7026F"/>
    <w:rsid w:val="00B70E7D"/>
    <w:rsid w:val="00B712F0"/>
    <w:rsid w:val="00B72FA2"/>
    <w:rsid w:val="00B77615"/>
    <w:rsid w:val="00B83044"/>
    <w:rsid w:val="00B84577"/>
    <w:rsid w:val="00B9023D"/>
    <w:rsid w:val="00B9380D"/>
    <w:rsid w:val="00B9557B"/>
    <w:rsid w:val="00B96016"/>
    <w:rsid w:val="00BA3232"/>
    <w:rsid w:val="00BA37CB"/>
    <w:rsid w:val="00BA43F5"/>
    <w:rsid w:val="00BC5311"/>
    <w:rsid w:val="00BD7C6A"/>
    <w:rsid w:val="00BE5258"/>
    <w:rsid w:val="00BE72A3"/>
    <w:rsid w:val="00BF28C0"/>
    <w:rsid w:val="00C00076"/>
    <w:rsid w:val="00C03FD2"/>
    <w:rsid w:val="00C10B90"/>
    <w:rsid w:val="00C25A47"/>
    <w:rsid w:val="00C33A49"/>
    <w:rsid w:val="00C33C85"/>
    <w:rsid w:val="00C452FE"/>
    <w:rsid w:val="00C548A8"/>
    <w:rsid w:val="00C573F4"/>
    <w:rsid w:val="00C71993"/>
    <w:rsid w:val="00C73811"/>
    <w:rsid w:val="00C7409A"/>
    <w:rsid w:val="00C81A79"/>
    <w:rsid w:val="00C87B1A"/>
    <w:rsid w:val="00C93AA9"/>
    <w:rsid w:val="00CA34D4"/>
    <w:rsid w:val="00CA6900"/>
    <w:rsid w:val="00CB6B4D"/>
    <w:rsid w:val="00CC47C5"/>
    <w:rsid w:val="00CC4823"/>
    <w:rsid w:val="00CC7654"/>
    <w:rsid w:val="00CD1B8E"/>
    <w:rsid w:val="00CD3700"/>
    <w:rsid w:val="00CE42C1"/>
    <w:rsid w:val="00CF021A"/>
    <w:rsid w:val="00CF2EED"/>
    <w:rsid w:val="00CF4DD0"/>
    <w:rsid w:val="00D06200"/>
    <w:rsid w:val="00D06BF7"/>
    <w:rsid w:val="00D1274D"/>
    <w:rsid w:val="00D14077"/>
    <w:rsid w:val="00D145C2"/>
    <w:rsid w:val="00D2397E"/>
    <w:rsid w:val="00D40C22"/>
    <w:rsid w:val="00D46E0E"/>
    <w:rsid w:val="00D54692"/>
    <w:rsid w:val="00D54BFC"/>
    <w:rsid w:val="00D56131"/>
    <w:rsid w:val="00D56B9D"/>
    <w:rsid w:val="00D66EE1"/>
    <w:rsid w:val="00D72485"/>
    <w:rsid w:val="00D74AD5"/>
    <w:rsid w:val="00D82E01"/>
    <w:rsid w:val="00D92DB5"/>
    <w:rsid w:val="00DA6A25"/>
    <w:rsid w:val="00DB03EA"/>
    <w:rsid w:val="00DB23CB"/>
    <w:rsid w:val="00DB3BA4"/>
    <w:rsid w:val="00DB46CA"/>
    <w:rsid w:val="00DB4F83"/>
    <w:rsid w:val="00DB6833"/>
    <w:rsid w:val="00DB724F"/>
    <w:rsid w:val="00DC0075"/>
    <w:rsid w:val="00DC17C1"/>
    <w:rsid w:val="00DC2521"/>
    <w:rsid w:val="00DC40ED"/>
    <w:rsid w:val="00DD3483"/>
    <w:rsid w:val="00DD705D"/>
    <w:rsid w:val="00DE31B3"/>
    <w:rsid w:val="00DE79F4"/>
    <w:rsid w:val="00DF1F38"/>
    <w:rsid w:val="00DF6BF7"/>
    <w:rsid w:val="00E00146"/>
    <w:rsid w:val="00E02144"/>
    <w:rsid w:val="00E04EDB"/>
    <w:rsid w:val="00E056FD"/>
    <w:rsid w:val="00E13A81"/>
    <w:rsid w:val="00E204E0"/>
    <w:rsid w:val="00E22958"/>
    <w:rsid w:val="00E274C9"/>
    <w:rsid w:val="00E30D6B"/>
    <w:rsid w:val="00E3237A"/>
    <w:rsid w:val="00E33C7B"/>
    <w:rsid w:val="00E35D95"/>
    <w:rsid w:val="00E517AE"/>
    <w:rsid w:val="00E52C22"/>
    <w:rsid w:val="00E533B3"/>
    <w:rsid w:val="00E540F1"/>
    <w:rsid w:val="00E55DF2"/>
    <w:rsid w:val="00E61893"/>
    <w:rsid w:val="00E64050"/>
    <w:rsid w:val="00E71B28"/>
    <w:rsid w:val="00E85C15"/>
    <w:rsid w:val="00E86CF0"/>
    <w:rsid w:val="00E9227B"/>
    <w:rsid w:val="00E9689B"/>
    <w:rsid w:val="00EA38AB"/>
    <w:rsid w:val="00EA6923"/>
    <w:rsid w:val="00EB151C"/>
    <w:rsid w:val="00EB3CC9"/>
    <w:rsid w:val="00EB5481"/>
    <w:rsid w:val="00EC0718"/>
    <w:rsid w:val="00EC2443"/>
    <w:rsid w:val="00EC2C32"/>
    <w:rsid w:val="00EC3014"/>
    <w:rsid w:val="00ED10A7"/>
    <w:rsid w:val="00ED32E1"/>
    <w:rsid w:val="00EE6CD8"/>
    <w:rsid w:val="00F00C35"/>
    <w:rsid w:val="00F05583"/>
    <w:rsid w:val="00F14A6D"/>
    <w:rsid w:val="00F176F6"/>
    <w:rsid w:val="00F2021A"/>
    <w:rsid w:val="00F2112B"/>
    <w:rsid w:val="00F220A5"/>
    <w:rsid w:val="00F23E3E"/>
    <w:rsid w:val="00F26135"/>
    <w:rsid w:val="00F272CC"/>
    <w:rsid w:val="00F279EB"/>
    <w:rsid w:val="00F30F32"/>
    <w:rsid w:val="00F349CE"/>
    <w:rsid w:val="00F34F40"/>
    <w:rsid w:val="00F3560F"/>
    <w:rsid w:val="00F36D5E"/>
    <w:rsid w:val="00F414BE"/>
    <w:rsid w:val="00F416C3"/>
    <w:rsid w:val="00F42FCD"/>
    <w:rsid w:val="00F4322C"/>
    <w:rsid w:val="00F453AE"/>
    <w:rsid w:val="00F458D9"/>
    <w:rsid w:val="00F45D6B"/>
    <w:rsid w:val="00F46C28"/>
    <w:rsid w:val="00F50221"/>
    <w:rsid w:val="00F70069"/>
    <w:rsid w:val="00F7148C"/>
    <w:rsid w:val="00F81462"/>
    <w:rsid w:val="00F81BD5"/>
    <w:rsid w:val="00F82A5E"/>
    <w:rsid w:val="00F867DD"/>
    <w:rsid w:val="00F92AD5"/>
    <w:rsid w:val="00FB6500"/>
    <w:rsid w:val="00FC3B5A"/>
    <w:rsid w:val="00FC50B9"/>
    <w:rsid w:val="00FD2EB3"/>
    <w:rsid w:val="00FD3AC6"/>
    <w:rsid w:val="00FE2612"/>
    <w:rsid w:val="00FE6C7B"/>
    <w:rsid w:val="00FF5BAD"/>
    <w:rsid w:val="06521B3B"/>
    <w:rsid w:val="700E7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pPr>
    <w:rPr>
      <w:rFonts w:ascii="宋体" w:hAnsi="宋体" w:eastAsia="仿宋_GB2312" w:cs="宋体"/>
      <w:sz w:val="24"/>
      <w:szCs w:val="24"/>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30"/>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11">
    <w:name w:val="Normal Indent"/>
    <w:basedOn w:val="1"/>
    <w:next w:val="12"/>
    <w:qFormat/>
    <w:uiPriority w:val="0"/>
    <w:pPr>
      <w:widowControl w:val="0"/>
      <w:spacing w:line="240" w:lineRule="auto"/>
      <w:ind w:firstLine="420" w:firstLineChars="0"/>
      <w:jc w:val="both"/>
    </w:pPr>
    <w:rPr>
      <w:rFonts w:ascii="Calibri" w:hAnsi="Calibri" w:eastAsia="宋体" w:cs="Times New Roman"/>
      <w:kern w:val="2"/>
      <w:sz w:val="21"/>
    </w:rPr>
  </w:style>
  <w:style w:type="paragraph" w:styleId="12">
    <w:name w:val="toc 8"/>
    <w:basedOn w:val="1"/>
    <w:next w:val="1"/>
    <w:autoRedefine/>
    <w:semiHidden/>
    <w:unhideWhenUsed/>
    <w:uiPriority w:val="39"/>
    <w:pPr>
      <w:ind w:left="2940" w:leftChars="1400"/>
    </w:pPr>
  </w:style>
  <w:style w:type="paragraph" w:styleId="13">
    <w:name w:val="Body Text"/>
    <w:basedOn w:val="1"/>
    <w:link w:val="45"/>
    <w:semiHidden/>
    <w:qFormat/>
    <w:uiPriority w:val="0"/>
    <w:pPr>
      <w:kinsoku w:val="0"/>
      <w:autoSpaceDE w:val="0"/>
      <w:autoSpaceDN w:val="0"/>
      <w:adjustRightInd w:val="0"/>
      <w:snapToGrid w:val="0"/>
      <w:spacing w:after="160" w:line="240" w:lineRule="auto"/>
      <w:ind w:firstLine="0" w:firstLineChars="0"/>
      <w:textAlignment w:val="baseline"/>
    </w:pPr>
    <w:rPr>
      <w:rFonts w:ascii="黑体" w:hAnsi="黑体" w:eastAsia="黑体" w:cs="黑体"/>
      <w:snapToGrid w:val="0"/>
      <w:color w:val="000000"/>
      <w:sz w:val="45"/>
      <w:szCs w:val="45"/>
      <w:lang w:eastAsia="en-US"/>
    </w:rPr>
  </w:style>
  <w:style w:type="paragraph" w:styleId="14">
    <w:name w:val="footer"/>
    <w:basedOn w:val="1"/>
    <w:link w:val="44"/>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3"/>
    <w:unhideWhenUsed/>
    <w:qFormat/>
    <w:uiPriority w:val="99"/>
    <w:pPr>
      <w:tabs>
        <w:tab w:val="center" w:pos="4153"/>
        <w:tab w:val="right" w:pos="8306"/>
      </w:tabs>
      <w:snapToGrid w:val="0"/>
      <w:spacing w:line="240" w:lineRule="auto"/>
      <w:jc w:val="center"/>
    </w:pPr>
    <w:rPr>
      <w:sz w:val="18"/>
      <w:szCs w:val="18"/>
    </w:rPr>
  </w:style>
  <w:style w:type="paragraph" w:styleId="16">
    <w:name w:val="Subtitle"/>
    <w:basedOn w:val="1"/>
    <w:next w:val="1"/>
    <w:link w:val="3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footnote text"/>
    <w:basedOn w:val="1"/>
    <w:link w:val="47"/>
    <w:semiHidden/>
    <w:unhideWhenUsed/>
    <w:qFormat/>
    <w:uiPriority w:val="99"/>
    <w:pPr>
      <w:snapToGrid w:val="0"/>
    </w:pPr>
    <w:rPr>
      <w:sz w:val="18"/>
      <w:szCs w:val="18"/>
    </w:rPr>
  </w:style>
  <w:style w:type="paragraph" w:styleId="18">
    <w:name w:val="toc 2"/>
    <w:basedOn w:val="1"/>
    <w:next w:val="1"/>
    <w:qFormat/>
    <w:uiPriority w:val="39"/>
    <w:pPr>
      <w:widowControl w:val="0"/>
      <w:spacing w:line="240" w:lineRule="auto"/>
      <w:ind w:left="420" w:leftChars="200" w:firstLine="0" w:firstLineChars="0"/>
      <w:jc w:val="both"/>
    </w:pPr>
    <w:rPr>
      <w:rFonts w:ascii="Calibri" w:hAnsi="Calibri" w:eastAsia="宋体" w:cs="Times New Roman"/>
      <w:kern w:val="2"/>
      <w:sz w:val="21"/>
    </w:rPr>
  </w:style>
  <w:style w:type="paragraph" w:styleId="19">
    <w:name w:val="Normal (Web)"/>
    <w:basedOn w:val="1"/>
    <w:semiHidden/>
    <w:unhideWhenUsed/>
    <w:uiPriority w:val="99"/>
    <w:pPr>
      <w:spacing w:before="100" w:beforeAutospacing="1" w:after="100" w:afterAutospacing="1" w:line="240" w:lineRule="auto"/>
      <w:ind w:firstLine="0" w:firstLineChars="0"/>
    </w:pPr>
    <w:rPr>
      <w:rFonts w:eastAsia="宋体"/>
    </w:rPr>
  </w:style>
  <w:style w:type="paragraph" w:styleId="20">
    <w:name w:val="Title"/>
    <w:basedOn w:val="1"/>
    <w:next w:val="1"/>
    <w:link w:val="3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otnote reference"/>
    <w:basedOn w:val="23"/>
    <w:semiHidden/>
    <w:unhideWhenUsed/>
    <w:qFormat/>
    <w:uiPriority w:val="99"/>
    <w:rPr>
      <w:vertAlign w:val="superscript"/>
    </w:rPr>
  </w:style>
  <w:style w:type="character" w:customStyle="1" w:styleId="25">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6">
    <w:name w:val="标题 2 字符"/>
    <w:basedOn w:val="23"/>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7">
    <w:name w:val="标题 3 字符"/>
    <w:basedOn w:val="23"/>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8">
    <w:name w:val="标题 4 字符"/>
    <w:basedOn w:val="23"/>
    <w:link w:val="5"/>
    <w:semiHidden/>
    <w:qFormat/>
    <w:uiPriority w:val="9"/>
    <w:rPr>
      <w:rFonts w:cstheme="majorBidi"/>
      <w:color w:val="2F5597" w:themeColor="accent1" w:themeShade="BF"/>
      <w:sz w:val="28"/>
      <w:szCs w:val="28"/>
    </w:rPr>
  </w:style>
  <w:style w:type="character" w:customStyle="1" w:styleId="29">
    <w:name w:val="标题 5 字符"/>
    <w:basedOn w:val="23"/>
    <w:link w:val="6"/>
    <w:semiHidden/>
    <w:qFormat/>
    <w:uiPriority w:val="9"/>
    <w:rPr>
      <w:rFonts w:cstheme="majorBidi"/>
      <w:color w:val="2F5597" w:themeColor="accent1" w:themeShade="BF"/>
      <w:sz w:val="24"/>
    </w:rPr>
  </w:style>
  <w:style w:type="character" w:customStyle="1" w:styleId="30">
    <w:name w:val="标题 6 字符"/>
    <w:basedOn w:val="23"/>
    <w:link w:val="7"/>
    <w:semiHidden/>
    <w:qFormat/>
    <w:uiPriority w:val="9"/>
    <w:rPr>
      <w:rFonts w:cstheme="majorBidi"/>
      <w:b/>
      <w:bCs/>
      <w:color w:val="2F5597" w:themeColor="accent1" w:themeShade="BF"/>
    </w:rPr>
  </w:style>
  <w:style w:type="character" w:customStyle="1" w:styleId="31">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23"/>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明显引用 字符"/>
    <w:basedOn w:val="23"/>
    <w:link w:val="40"/>
    <w:qFormat/>
    <w:uiPriority w:val="30"/>
    <w:rPr>
      <w:i/>
      <w:iCs/>
      <w:color w:val="2F5597" w:themeColor="accent1" w:themeShade="BF"/>
    </w:rPr>
  </w:style>
  <w:style w:type="character" w:customStyle="1" w:styleId="42">
    <w:name w:val="明显参考1"/>
    <w:basedOn w:val="23"/>
    <w:qFormat/>
    <w:uiPriority w:val="32"/>
    <w:rPr>
      <w:b/>
      <w:bCs/>
      <w:smallCaps/>
      <w:color w:val="2F5597" w:themeColor="accent1" w:themeShade="BF"/>
      <w:spacing w:val="5"/>
    </w:rPr>
  </w:style>
  <w:style w:type="character" w:customStyle="1" w:styleId="43">
    <w:name w:val="页眉 字符"/>
    <w:basedOn w:val="23"/>
    <w:link w:val="15"/>
    <w:qFormat/>
    <w:uiPriority w:val="99"/>
    <w:rPr>
      <w:sz w:val="18"/>
      <w:szCs w:val="18"/>
    </w:rPr>
  </w:style>
  <w:style w:type="character" w:customStyle="1" w:styleId="44">
    <w:name w:val="页脚 字符"/>
    <w:basedOn w:val="23"/>
    <w:link w:val="14"/>
    <w:qFormat/>
    <w:uiPriority w:val="99"/>
    <w:rPr>
      <w:sz w:val="18"/>
      <w:szCs w:val="18"/>
    </w:rPr>
  </w:style>
  <w:style w:type="character" w:customStyle="1" w:styleId="45">
    <w:name w:val="正文文本 字符"/>
    <w:basedOn w:val="23"/>
    <w:link w:val="13"/>
    <w:semiHidden/>
    <w:qFormat/>
    <w:uiPriority w:val="0"/>
    <w:rPr>
      <w:rFonts w:ascii="黑体" w:hAnsi="黑体" w:eastAsia="黑体" w:cs="黑体"/>
      <w:snapToGrid w:val="0"/>
      <w:color w:val="000000"/>
      <w:kern w:val="0"/>
      <w:sz w:val="45"/>
      <w:szCs w:val="45"/>
      <w:lang w:eastAsia="en-US"/>
      <w14:ligatures w14:val="none"/>
    </w:rPr>
  </w:style>
  <w:style w:type="table" w:customStyle="1" w:styleId="46">
    <w:name w:val="Table Normal"/>
    <w:semiHidden/>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character" w:customStyle="1" w:styleId="47">
    <w:name w:val="脚注文本 字符"/>
    <w:basedOn w:val="23"/>
    <w:link w:val="17"/>
    <w:semiHidden/>
    <w:qFormat/>
    <w:uiPriority w:val="99"/>
    <w:rPr>
      <w:rFonts w:ascii="宋体" w:hAnsi="宋体" w:eastAsia="仿宋_GB2312" w:cs="宋体"/>
      <w:kern w:val="0"/>
      <w:sz w:val="18"/>
      <w:szCs w:val="18"/>
      <w14:ligatures w14:val="none"/>
    </w:rPr>
  </w:style>
  <w:style w:type="table" w:customStyle="1" w:styleId="48">
    <w:name w:val="网格型1"/>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
    <w:name w:val="网格型2"/>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CJX文件正文"/>
    <w:basedOn w:val="1"/>
    <w:qFormat/>
    <w:uiPriority w:val="0"/>
    <w:pPr>
      <w:widowControl w:val="0"/>
      <w:ind w:firstLine="640"/>
      <w:jc w:val="both"/>
    </w:pPr>
    <w:rPr>
      <w:rFonts w:ascii="Times New Roman" w:hAnsi="Times New Roman" w:cs="Times New Roman"/>
      <w:bCs/>
      <w:kern w:val="2"/>
      <w:sz w:val="32"/>
      <w:szCs w:val="32"/>
    </w:rPr>
  </w:style>
  <w:style w:type="paragraph" w:customStyle="1" w:styleId="51">
    <w:name w:val="CJX文件标题"/>
    <w:basedOn w:val="20"/>
    <w:qFormat/>
    <w:uiPriority w:val="0"/>
    <w:pPr>
      <w:widowControl w:val="0"/>
      <w:spacing w:after="0" w:line="560" w:lineRule="exact"/>
      <w:ind w:firstLine="0" w:firstLineChars="0"/>
      <w:contextualSpacing w:val="0"/>
      <w:outlineLvl w:val="0"/>
    </w:pPr>
    <w:rPr>
      <w:rFonts w:ascii="Times New Roman" w:hAnsi="Times New Roman" w:eastAsia="方正小标宋_GBK" w:cs="方正小标宋_GBK"/>
      <w:spacing w:val="0"/>
      <w:kern w:val="2"/>
      <w:sz w:val="44"/>
      <w:szCs w:val="44"/>
    </w:rPr>
  </w:style>
  <w:style w:type="paragraph" w:customStyle="1" w:styleId="52">
    <w:name w:val="CJX公文正文"/>
    <w:basedOn w:val="1"/>
    <w:qFormat/>
    <w:uiPriority w:val="0"/>
    <w:pPr>
      <w:widowControl w:val="0"/>
      <w:ind w:firstLine="420"/>
      <w:jc w:val="both"/>
    </w:pPr>
    <w:rPr>
      <w:rFonts w:ascii="Times New Roman" w:hAnsi="Times New Roman" w:cs="Times New Roman"/>
      <w:kern w:val="2"/>
      <w:sz w:val="32"/>
    </w:rPr>
  </w:style>
  <w:style w:type="paragraph" w:customStyle="1" w:styleId="53">
    <w:name w:val="Revision"/>
    <w:hidden/>
    <w:unhideWhenUsed/>
    <w:uiPriority w:val="99"/>
    <w:rPr>
      <w:rFonts w:ascii="宋体" w:hAnsi="宋体" w:eastAsia="仿宋_GB2312"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B449-7246-49F8-A39C-6C1010EA58A2}">
  <ds:schemaRefs/>
</ds:datastoreItem>
</file>

<file path=docProps/app.xml><?xml version="1.0" encoding="utf-8"?>
<Properties xmlns="http://schemas.openxmlformats.org/officeDocument/2006/extended-properties" xmlns:vt="http://schemas.openxmlformats.org/officeDocument/2006/docPropsVTypes">
  <Template>Normal</Template>
  <Pages>24</Pages>
  <Words>11132</Words>
  <Characters>11234</Characters>
  <Lines>584</Lines>
  <Paragraphs>386</Paragraphs>
  <TotalTime>24</TotalTime>
  <ScaleCrop>false</ScaleCrop>
  <LinksUpToDate>false</LinksUpToDate>
  <CharactersWithSpaces>11238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2026-09-21T07:56:00Z</dcterms:created>
  <dc:creator>颖 梁</dc:creator>
  <cp:lastModifiedBy>楊楊de溢</cp:lastModifiedBy>
  <dcterms:modified xsi:type="dcterms:W3CDTF">2026-10-21T00:33:24Z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eyJoZGlkIjoiNGMzMjYyOGUwMTQ5MWIzZmMyMDMyMzg1OTQ4MThlZWEiLCJ1c2VySWQiOiIzMTc3Mzk1MTAifQ==</vt:lpwstr>
  </property>
  <property fmtid="{D5CDD505-2E9C-101B-9397-08002B2CF9AE}" pid="3" name="KSOProductBuildVer">
    <vt:lpwstr>2052-12.1.0.28505</vt:lpwstr>
  </property>
  <property fmtid="{D5CDD505-2E9C-101B-9397-08002B2CF9AE}" pid="4" name="ICV">
    <vt:lpwstr>B454500CC34D429E9CAA117B6C868FB1_13</vt:lpwstr>
  </property>
</Properties>
</file>