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1AC6D3">
      <w:pPr>
        <w:topLinePunct/>
        <w:spacing w:line="240" w:lineRule="auto"/>
        <w:ind w:firstLine="0" w:firstLineChars="0"/>
        <w:jc w:val="left"/>
        <w:rPr>
          <w:rFonts w:ascii="黑体" w:hAnsi="黑体" w:eastAsia="黑体" w:cs="黑体"/>
          <w:kern w:val="11"/>
        </w:rPr>
      </w:pPr>
      <w:r>
        <w:rPr>
          <w:rFonts w:hint="eastAsia" w:ascii="黑体" w:hAnsi="黑体" w:eastAsia="黑体" w:cs="黑体"/>
          <w:kern w:val="11"/>
        </w:rPr>
        <w:t>附件2</w:t>
      </w:r>
    </w:p>
    <w:p w14:paraId="6FF0BEC5">
      <w:pPr>
        <w:pStyle w:val="15"/>
        <w:jc w:val="both"/>
        <w:rPr>
          <w:rFonts w:ascii="方正小标宋简体" w:hAnsi="方正小标宋简体" w:cs="方正小标宋简体"/>
        </w:rPr>
      </w:pPr>
    </w:p>
    <w:p w14:paraId="756C306D">
      <w:pPr>
        <w:pStyle w:val="15"/>
      </w:pPr>
      <w:r>
        <w:rPr>
          <w:rFonts w:hint="eastAsia" w:ascii="方正小标宋简体" w:hAnsi="方正小标宋简体" w:cs="方正小标宋简体"/>
        </w:rPr>
        <w:t>关于《丰台区“十五五”时期卫生健康发展规划》的起草说明</w:t>
      </w:r>
    </w:p>
    <w:p w14:paraId="6A952850">
      <w:pPr>
        <w:pStyle w:val="3"/>
        <w:ind w:firstLine="640"/>
      </w:pPr>
      <w:r>
        <w:rPr>
          <w:rFonts w:hint="eastAsia"/>
        </w:rPr>
        <w:t>起草背景</w:t>
      </w:r>
    </w:p>
    <w:p w14:paraId="4DEE6707">
      <w:pPr>
        <w:ind w:firstLine="640"/>
        <w:rPr>
          <w:rFonts w:ascii="仿宋_GB2312" w:hAnsi="仿宋_GB2312" w:cs="仿宋_GB2312"/>
          <w:szCs w:val="32"/>
        </w:rPr>
      </w:pPr>
      <w:r>
        <w:rPr>
          <w:rFonts w:hint="eastAsia"/>
          <w:szCs w:val="32"/>
        </w:rPr>
        <w:t>“十五五”时期是丰台区卫生健康事业提质升级、全面攻坚的关键阶段，是落实健康中国战略、推进人口高质量发展的重要抓手。按照区委、区政府工作部署，全面评估“十四五”时期卫生健康规划实施成效，丰台区卫生健康委牵头研究编制了</w:t>
      </w:r>
      <w:r>
        <w:rPr>
          <w:szCs w:val="32"/>
        </w:rPr>
        <w:t>《</w:t>
      </w:r>
      <w:r>
        <w:rPr>
          <w:rFonts w:hint="eastAsia"/>
          <w:szCs w:val="32"/>
        </w:rPr>
        <w:t>丰台区“十五五”时期卫生健康发展规划</w:t>
      </w:r>
      <w:r>
        <w:rPr>
          <w:szCs w:val="32"/>
        </w:rPr>
        <w:t>》</w:t>
      </w:r>
      <w:r>
        <w:rPr>
          <w:rFonts w:hint="eastAsia"/>
          <w:szCs w:val="32"/>
        </w:rPr>
        <w:t>（以下简称“规划”）。</w:t>
      </w:r>
    </w:p>
    <w:p w14:paraId="799AD6B5">
      <w:pPr>
        <w:pStyle w:val="3"/>
        <w:ind w:firstLine="640"/>
      </w:pPr>
      <w:r>
        <w:rPr>
          <w:rFonts w:hint="eastAsia"/>
        </w:rPr>
        <w:t>起草过程</w:t>
      </w:r>
    </w:p>
    <w:p w14:paraId="2F61B405">
      <w:pPr>
        <w:ind w:firstLine="640"/>
      </w:pPr>
      <w:r>
        <w:rPr>
          <w:rFonts w:hint="eastAsia" w:ascii="仿宋_GB2312" w:hAnsi="仿宋_GB2312" w:cs="仿宋_GB2312"/>
          <w:szCs w:val="32"/>
        </w:rPr>
        <w:t>在规划起草过程中，丰台区</w:t>
      </w:r>
      <w:r>
        <w:rPr>
          <w:rFonts w:hint="eastAsia"/>
          <w:szCs w:val="32"/>
        </w:rPr>
        <w:t>卫生健康委深入总结分析“十四五”发展成效，全面梳理 “十五五”核心政策，紧密衔接市级专项规划与区域发展规划，以目标导向和问题导向明确编制整体思路。</w:t>
      </w:r>
      <w:r>
        <w:rPr>
          <w:rFonts w:hint="eastAsia" w:ascii="仿宋_GB2312" w:hAnsi="仿宋_GB2312" w:cs="仿宋_GB2312"/>
          <w:szCs w:val="32"/>
        </w:rPr>
        <w:t>同时，广泛征求各部门、医疗机构及社会各界意见，经过反复研究、论证与多轮讨论修订，最终凝聚共识形成规划成果。</w:t>
      </w:r>
    </w:p>
    <w:p w14:paraId="574CFEFD">
      <w:pPr>
        <w:pStyle w:val="3"/>
        <w:ind w:firstLine="640"/>
      </w:pPr>
      <w:r>
        <w:rPr>
          <w:rFonts w:hint="eastAsia"/>
        </w:rPr>
        <w:t>主要内容</w:t>
      </w:r>
    </w:p>
    <w:p w14:paraId="18125822">
      <w:pPr>
        <w:ind w:firstLine="640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本规划全文设3部分10节8个专栏，设置13个主要指标。</w:t>
      </w:r>
    </w:p>
    <w:p w14:paraId="43A53DA4">
      <w:pPr>
        <w:ind w:firstLine="640"/>
        <w:rPr>
          <w:rFonts w:ascii="仿宋_GB2312" w:hAnsi="仿宋_GB2312" w:cs="仿宋_GB2312"/>
          <w:szCs w:val="32"/>
        </w:rPr>
      </w:pPr>
      <w:r>
        <w:rPr>
          <w:rFonts w:hint="eastAsia" w:ascii="楷体" w:hAnsi="楷体" w:eastAsia="楷体" w:cs="楷体"/>
          <w:szCs w:val="32"/>
        </w:rPr>
        <w:t>第一部分总体要求</w:t>
      </w:r>
      <w:r>
        <w:rPr>
          <w:rFonts w:hint="eastAsia" w:ascii="楷体_GB2312" w:hAnsi="楷体_GB2312" w:eastAsia="楷体_GB2312" w:cs="楷体_GB2312"/>
          <w:szCs w:val="32"/>
        </w:rPr>
        <w:t>，确立指导思想和基本原则，明确总体目标。坚持</w:t>
      </w:r>
      <w:r>
        <w:rPr>
          <w:rFonts w:hint="eastAsia" w:ascii="仿宋_GB2312" w:hAnsi="仿宋_GB2312" w:cs="仿宋_GB2312"/>
          <w:szCs w:val="32"/>
        </w:rPr>
        <w:t>以人民健康为中心，紧扣</w:t>
      </w:r>
      <w:r>
        <w:rPr>
          <w:rFonts w:hint="eastAsia" w:ascii="仿宋_GB2312" w:hAnsi="仿宋_GB2312" w:cs="仿宋_GB2312"/>
          <w:b/>
          <w:bCs/>
          <w:szCs w:val="32"/>
        </w:rPr>
        <w:t>“三化五区”</w:t>
      </w:r>
      <w:r>
        <w:rPr>
          <w:rFonts w:hint="eastAsia" w:ascii="仿宋_GB2312" w:hAnsi="仿宋_GB2312" w:cs="仿宋_GB2312"/>
          <w:szCs w:val="32"/>
        </w:rPr>
        <w:t>建设，坚持</w:t>
      </w:r>
      <w:r>
        <w:rPr>
          <w:rFonts w:hint="eastAsia" w:ascii="仿宋_GB2312" w:hAnsi="仿宋_GB2312" w:cs="仿宋_GB2312"/>
          <w:b/>
          <w:bCs/>
          <w:szCs w:val="32"/>
        </w:rPr>
        <w:t>五个原则</w:t>
      </w:r>
      <w:r>
        <w:rPr>
          <w:rFonts w:hint="eastAsia" w:ascii="仿宋_GB2312" w:hAnsi="仿宋_GB2312" w:cs="仿宋_GB2312"/>
          <w:szCs w:val="32"/>
        </w:rPr>
        <w:t>，全力实现</w:t>
      </w:r>
      <w:r>
        <w:rPr>
          <w:rFonts w:hint="eastAsia" w:ascii="仿宋_GB2312" w:hAnsi="仿宋_GB2312" w:cs="仿宋_GB2312"/>
          <w:b/>
          <w:bCs/>
          <w:szCs w:val="32"/>
        </w:rPr>
        <w:t>“五个更加”</w:t>
      </w:r>
      <w:r>
        <w:rPr>
          <w:rFonts w:hint="eastAsia" w:ascii="仿宋_GB2312" w:hAnsi="仿宋_GB2312" w:cs="仿宋_GB2312"/>
          <w:szCs w:val="32"/>
        </w:rPr>
        <w:t>发展目标，建成与区域经济社会发展相匹配的卫生健康服务体系。</w:t>
      </w:r>
    </w:p>
    <w:p w14:paraId="5495F227">
      <w:pPr>
        <w:ind w:firstLine="640"/>
        <w:rPr>
          <w:rFonts w:ascii="仿宋_GB2312" w:hAnsi="仿宋_GB2312" w:cs="仿宋_GB2312"/>
          <w:szCs w:val="32"/>
        </w:rPr>
      </w:pPr>
      <w:bookmarkStart w:id="0" w:name="OLE_LINK21"/>
      <w:bookmarkStart w:id="1" w:name="OLE_LINK20"/>
      <w:r>
        <w:rPr>
          <w:rFonts w:hint="eastAsia" w:ascii="楷体_GB2312" w:hAnsi="楷体_GB2312" w:eastAsia="楷体_GB2312" w:cs="楷体_GB2312"/>
          <w:szCs w:val="32"/>
        </w:rPr>
        <w:t>第二部分共8节，为规划实施的主要内容，重点从8个方面部署了35项工作任务，实施68项具体措施</w:t>
      </w:r>
      <w:r>
        <w:rPr>
          <w:rFonts w:hint="eastAsia" w:ascii="楷体_GB2312" w:hAnsi="楷体_GB2312" w:eastAsia="楷体_GB2312" w:cs="楷体_GB2312"/>
          <w:szCs w:val="32"/>
          <w:lang w:eastAsia="zh"/>
        </w:rPr>
        <w:t>。</w:t>
      </w:r>
    </w:p>
    <w:p w14:paraId="30C829F8">
      <w:pPr>
        <w:ind w:firstLine="643"/>
        <w:rPr>
          <w:rFonts w:ascii="仿宋_GB2312" w:hAnsi="仿宋_GB2312" w:cs="仿宋_GB2312"/>
          <w:b/>
          <w:bCs/>
          <w:szCs w:val="32"/>
        </w:rPr>
      </w:pPr>
      <w:r>
        <w:rPr>
          <w:rFonts w:hint="eastAsia" w:ascii="仿宋_GB2312" w:hAnsi="仿宋_GB2312" w:cs="仿宋_GB2312"/>
          <w:b/>
          <w:bCs/>
          <w:szCs w:val="32"/>
        </w:rPr>
        <w:t>第一节推进全域主动健康行动，共3项任务，7项措施。</w:t>
      </w:r>
      <w:r>
        <w:rPr>
          <w:rFonts w:hint="eastAsia" w:ascii="仿宋_GB2312" w:hAnsi="仿宋_GB2312" w:cs="仿宋_GB2312"/>
        </w:rPr>
        <w:t>全面贯彻落实健康中国战略，坚持以人民健康为中心，将健康融入所有政策。以15分钟主动健康生活圈和主动健康职业场所为重点，建设主动健康友好环境；构建健康科普矩阵，提升健康教育质效。倡导健康文明生活方式，实施合理膳食健康提升工程和国民营养计划；扩大健康体重管理门诊服务；推进规范化戒烟门诊建设。创新爱国卫生运动方式方法，推进爱国卫生运动融入基层治理和群众日常生活。</w:t>
      </w:r>
    </w:p>
    <w:p w14:paraId="7727BFC7">
      <w:pPr>
        <w:ind w:firstLine="643"/>
        <w:rPr>
          <w:b/>
          <w:bCs/>
        </w:rPr>
      </w:pPr>
      <w:r>
        <w:rPr>
          <w:rFonts w:hint="eastAsia" w:ascii="仿宋_GB2312" w:hAnsi="仿宋_GB2312" w:cs="仿宋_GB2312"/>
          <w:b/>
          <w:bCs/>
          <w:szCs w:val="32"/>
        </w:rPr>
        <w:t>第二节深化公共卫生体系改革，共4项任务，11项措施。</w:t>
      </w:r>
      <w:r>
        <w:rPr>
          <w:rFonts w:hint="eastAsia" w:ascii="仿宋_GB2312" w:hAnsi="仿宋_GB2312" w:cs="仿宋_GB2312"/>
          <w:szCs w:val="32"/>
        </w:rPr>
        <w:t>构建智慧监测预警体系，建立区级监测预警平台；强化传染病联防联控体系，实施全龄免疫提升行动，健全传染病救治体系。优化慢性病综合防治体系，贯通优化“防筛管救治康”全链条一体化综合防控体系；建成4个慢性病管理中心，搭建“丰台区慢性病监测及数智管理平台”；健全精神心理卫生服务体系，建设“二中心一基地”。强化危重症紧急救治能力，完成“一街镇一站点”院前急救网络布局；强化区域血液保障能力和卫生应急处置能力。</w:t>
      </w:r>
    </w:p>
    <w:p w14:paraId="0A8FBF4E">
      <w:pPr>
        <w:ind w:firstLine="643"/>
        <w:jc w:val="both"/>
        <w:rPr>
          <w:rFonts w:ascii="仿宋_GB2312"/>
          <w:b/>
          <w:bCs/>
        </w:rPr>
      </w:pPr>
      <w:bookmarkStart w:id="2" w:name="_GoBack"/>
      <w:bookmarkEnd w:id="2"/>
      <w:r>
        <w:rPr>
          <w:rFonts w:hint="eastAsia"/>
          <w:b/>
          <w:bCs/>
        </w:rPr>
        <w:t>第三节完善医疗卫生服务体系</w:t>
      </w:r>
      <w:r>
        <w:rPr>
          <w:rFonts w:hint="eastAsia"/>
        </w:rPr>
        <w:t>，</w:t>
      </w:r>
      <w:r>
        <w:rPr>
          <w:rFonts w:hint="eastAsia" w:ascii="仿宋_GB2312" w:hAnsi="仿宋_GB2312" w:cs="仿宋_GB2312"/>
          <w:b/>
          <w:bCs/>
        </w:rPr>
        <w:t>共6项任务，15项</w:t>
      </w:r>
      <w:r>
        <w:rPr>
          <w:rFonts w:hint="eastAsia"/>
          <w:b/>
          <w:bCs/>
        </w:rPr>
        <w:t>措施。</w:t>
      </w:r>
      <w:r>
        <w:rPr>
          <w:rFonts w:hint="eastAsia" w:ascii="仿宋_GB2312" w:hAnsi="仿宋_GB2312" w:cs="仿宋_GB2312"/>
        </w:rPr>
        <w:t>强化国家医学中心引领，优化医疗资源功能，推动医院特色化发展，建设三级联动体系。补齐区属医院短板，推进优质资源扩容。建设医学影像、检验等7个资源共享中心，建成7家转会诊中心，组建多学科专家团队，基层首诊率和上下转诊率实现双提升。深化三个儿科紧密型医联体建设，构建三级妇幼健康服务网络。发展互联网医疗，扩大优质护理服务。引导社会办医疗机构向高水平、特色化方向转型，鼓励短缺专科社会办医疗机构发展。</w:t>
      </w:r>
    </w:p>
    <w:p w14:paraId="374BD6AB">
      <w:pPr>
        <w:ind w:firstLine="643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b/>
          <w:bCs/>
          <w:szCs w:val="32"/>
        </w:rPr>
        <w:t>第四节优化基层卫生提档升级，共4项任务，7项措施。</w:t>
      </w:r>
      <w:r>
        <w:rPr>
          <w:rFonts w:hint="eastAsia" w:ascii="仿宋_GB2312" w:hAnsi="仿宋_GB2312" w:cs="仿宋_GB2312"/>
          <w:szCs w:val="32"/>
        </w:rPr>
        <w:t>设置“智慧家医巡诊工作室”，织密15分钟健康服务圈。实现家庭医生健康管理中心全覆盖；擦亮“丰台智慧家医”品牌，推进“签约有感”行动。重点建设16类专病特色科室，培育“大全科、小专科”社区专病品牌；打造社区诊疗中心矩阵，深化血透、眼科、老年护理等十大社区特色诊疗中心内涵建设。通过创新基本公卫考核机制，加强社区卫生服务监管。</w:t>
      </w:r>
    </w:p>
    <w:p w14:paraId="025857A4">
      <w:pPr>
        <w:ind w:firstLine="643"/>
        <w:rPr>
          <w:rFonts w:ascii="仿宋_GB2312"/>
          <w:b/>
          <w:bCs/>
        </w:rPr>
      </w:pPr>
      <w:r>
        <w:rPr>
          <w:rFonts w:hint="eastAsia" w:ascii="仿宋_GB2312"/>
          <w:b/>
          <w:bCs/>
        </w:rPr>
        <w:t>第五节推进中医药传承创新发展</w:t>
      </w:r>
      <w:r>
        <w:rPr>
          <w:rFonts w:hint="eastAsia" w:ascii="仿宋_GB2312"/>
        </w:rPr>
        <w:t>，</w:t>
      </w:r>
      <w:r>
        <w:rPr>
          <w:rFonts w:hint="eastAsia" w:ascii="仿宋_GB2312" w:hAnsi="仿宋_GB2312" w:cs="仿宋_GB2312"/>
          <w:b/>
          <w:bCs/>
        </w:rPr>
        <w:t>共4项任务，8项</w:t>
      </w:r>
      <w:r>
        <w:rPr>
          <w:rFonts w:hint="eastAsia" w:ascii="仿宋_GB2312"/>
          <w:b/>
          <w:bCs/>
        </w:rPr>
        <w:t>措施。</w:t>
      </w:r>
      <w:r>
        <w:rPr>
          <w:rFonts w:hint="eastAsia" w:ascii="仿宋_GB2312"/>
        </w:rPr>
        <w:t>实施中医药能力提振工程。提升基层中医药服务能力。推进中西医协同防治疾病，推动中西医协同康复模式延伸。建成全国基层中医药工作示范区，拓展中医药健康文化普及阵地。</w:t>
      </w:r>
    </w:p>
    <w:p w14:paraId="2EBE0C4F">
      <w:pPr>
        <w:ind w:firstLine="643"/>
        <w:jc w:val="left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b/>
          <w:bCs/>
          <w:szCs w:val="32"/>
        </w:rPr>
        <w:t>第六节健全人口发展支持服务体系，共4项任务，4项措施。</w:t>
      </w:r>
      <w:r>
        <w:rPr>
          <w:rFonts w:hint="eastAsia" w:ascii="仿宋_GB2312" w:hAnsi="仿宋_GB2312" w:cs="仿宋_GB2312"/>
          <w:szCs w:val="32"/>
        </w:rPr>
        <w:t>完善生育友好配套政策，做优妇女儿童全周期保健服务，推进医养结合促进行动项目，构建“医、护、康、养、疗”一体化老年健康服务体系。</w:t>
      </w:r>
    </w:p>
    <w:p w14:paraId="4C6EEAD1">
      <w:pPr>
        <w:ind w:firstLine="643"/>
        <w:jc w:val="left"/>
      </w:pPr>
      <w:r>
        <w:rPr>
          <w:rFonts w:hint="eastAsia"/>
          <w:b/>
          <w:bCs/>
        </w:rPr>
        <w:t>第七节深化医药卫生体制改革</w:t>
      </w:r>
      <w:r>
        <w:rPr>
          <w:rFonts w:hint="eastAsia"/>
        </w:rPr>
        <w:t>，</w:t>
      </w:r>
      <w:r>
        <w:rPr>
          <w:rFonts w:hint="eastAsia" w:ascii="仿宋_GB2312" w:hAnsi="仿宋_GB2312" w:cs="仿宋_GB2312"/>
          <w:b/>
          <w:bCs/>
        </w:rPr>
        <w:t>共5项任务，11项</w:t>
      </w:r>
      <w:r>
        <w:rPr>
          <w:rFonts w:hint="eastAsia"/>
          <w:b/>
          <w:bCs/>
        </w:rPr>
        <w:t>措施。</w:t>
      </w:r>
      <w:r>
        <w:rPr>
          <w:rFonts w:hint="eastAsia"/>
        </w:rPr>
        <w:t>统筹推进“三医”协同发展，建全“三医”协同监管机制。夯实全民参保基础，深化医保支付方式改革，创新经办管理模式，提升医保服务管理水平。深化以公益性为导向的公立医院改革，推进公立医院人事薪酬制度改革，强化卫生健康人才队伍建设。深化平安医院建设，压实主体责任，提升安全生产智能防控能力，深化部门联动上下贯通的安全治理质效。</w:t>
      </w:r>
    </w:p>
    <w:p w14:paraId="4C846FE4">
      <w:pPr>
        <w:ind w:firstLine="643"/>
        <w:jc w:val="left"/>
      </w:pPr>
      <w:r>
        <w:rPr>
          <w:rFonts w:hint="eastAsia" w:ascii="仿宋_GB2312" w:hAnsi="仿宋_GB2312" w:cs="仿宋_GB2312"/>
          <w:b/>
          <w:bCs/>
        </w:rPr>
        <w:t>第八节数智赋能健康服务与产业协同发展，共5项任务，5项措施。</w:t>
      </w:r>
      <w:r>
        <w:rPr>
          <w:rFonts w:hint="eastAsia"/>
        </w:rPr>
        <w:t>按照“六个一”的建设目标，推进信息管理系统建设及功能优化。加强“三位一体”智慧医院建设，示范引领各级各类医疗机构开展智慧化建设。聚焦临床诊疗、患者服务、行业管理三大维度，拓展多场景人工智能应用。强化科创产业联动，服务区域经济社会发展大局。</w:t>
      </w:r>
    </w:p>
    <w:p w14:paraId="074B5EDB">
      <w:pPr>
        <w:ind w:firstLine="640"/>
        <w:rPr>
          <w:rFonts w:ascii="仿宋_GB2312" w:hAnsi="仿宋_GB2312" w:cs="仿宋_GB2312"/>
          <w:szCs w:val="32"/>
        </w:rPr>
      </w:pPr>
      <w:r>
        <w:rPr>
          <w:rFonts w:hint="eastAsia" w:ascii="楷体_GB2312" w:hAnsi="楷体_GB2312" w:eastAsia="楷体_GB2312" w:cs="楷体_GB2312"/>
          <w:szCs w:val="32"/>
        </w:rPr>
        <w:t>第三部分保障措施。</w:t>
      </w:r>
      <w:r>
        <w:rPr>
          <w:rFonts w:hint="eastAsia" w:ascii="仿宋_GB2312" w:hAnsi="仿宋_GB2312" w:cs="仿宋_GB2312"/>
          <w:szCs w:val="32"/>
        </w:rPr>
        <w:t>包括</w:t>
      </w:r>
      <w:r>
        <w:rPr>
          <w:rFonts w:hint="eastAsia" w:ascii="仿宋_GB2312" w:hAnsi="仿宋_GB2312" w:cs="仿宋_GB2312"/>
          <w:b/>
          <w:bCs/>
          <w:szCs w:val="32"/>
        </w:rPr>
        <w:t>加强组织领导</w:t>
      </w:r>
      <w:r>
        <w:rPr>
          <w:rFonts w:hint="eastAsia" w:ascii="仿宋_GB2312" w:hAnsi="仿宋_GB2312" w:cs="仿宋_GB2312"/>
          <w:szCs w:val="32"/>
        </w:rPr>
        <w:t>，</w:t>
      </w:r>
      <w:r>
        <w:rPr>
          <w:rFonts w:hint="eastAsia" w:ascii="仿宋_GB2312" w:hAnsi="仿宋_GB2312" w:cs="仿宋_GB2312"/>
          <w:b/>
          <w:bCs/>
          <w:szCs w:val="32"/>
        </w:rPr>
        <w:t>强化资源保障</w:t>
      </w:r>
      <w:r>
        <w:rPr>
          <w:rFonts w:hint="eastAsia" w:ascii="仿宋_GB2312" w:hAnsi="仿宋_GB2312" w:cs="仿宋_GB2312"/>
          <w:szCs w:val="32"/>
        </w:rPr>
        <w:t>，</w:t>
      </w:r>
      <w:r>
        <w:rPr>
          <w:rFonts w:hint="eastAsia" w:ascii="仿宋_GB2312" w:hAnsi="仿宋_GB2312" w:cs="仿宋_GB2312"/>
          <w:b/>
          <w:szCs w:val="32"/>
        </w:rPr>
        <w:t>推进法治医院建设，</w:t>
      </w:r>
      <w:r>
        <w:rPr>
          <w:rFonts w:hint="eastAsia" w:ascii="仿宋_GB2312" w:hAnsi="仿宋_GB2312" w:cs="仿宋_GB2312"/>
          <w:b/>
          <w:bCs/>
          <w:szCs w:val="32"/>
        </w:rPr>
        <w:t>加强宣传指导</w:t>
      </w:r>
      <w:r>
        <w:rPr>
          <w:rFonts w:hint="eastAsia" w:ascii="仿宋_GB2312" w:hAnsi="仿宋_GB2312" w:cs="仿宋_GB2312"/>
          <w:szCs w:val="32"/>
        </w:rPr>
        <w:t>，</w:t>
      </w:r>
      <w:r>
        <w:rPr>
          <w:rFonts w:hint="eastAsia" w:ascii="仿宋_GB2312" w:hAnsi="仿宋_GB2312" w:cs="仿宋_GB2312"/>
          <w:b/>
          <w:bCs/>
          <w:szCs w:val="32"/>
        </w:rPr>
        <w:t>强化监督评价</w:t>
      </w:r>
      <w:r>
        <w:rPr>
          <w:rFonts w:hint="eastAsia" w:ascii="仿宋_GB2312" w:hAnsi="仿宋_GB2312" w:cs="仿宋_GB2312"/>
          <w:szCs w:val="32"/>
        </w:rPr>
        <w:t>。</w:t>
      </w:r>
      <w:bookmarkEnd w:id="0"/>
      <w:bookmarkEnd w:id="1"/>
    </w:p>
    <w:p w14:paraId="07A7195D">
      <w:pPr>
        <w:pStyle w:val="3"/>
        <w:ind w:firstLine="640"/>
      </w:pPr>
      <w:r>
        <w:rPr>
          <w:rFonts w:hint="eastAsia"/>
        </w:rPr>
        <w:t>需要特别说明的问题</w:t>
      </w:r>
    </w:p>
    <w:p w14:paraId="52EEC03E">
      <w:pPr>
        <w:autoSpaceDE w:val="0"/>
        <w:spacing w:line="550" w:lineRule="exact"/>
        <w:ind w:firstLine="640"/>
      </w:pPr>
      <w:r>
        <w:rPr>
          <w:rFonts w:hint="eastAsia" w:ascii="仿宋_GB2312" w:cs="仿宋_GB2312"/>
          <w:szCs w:val="32"/>
          <w:lang w:bidi="ar"/>
        </w:rPr>
        <w:t>无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417" w:bottom="1984" w:left="1417" w:header="794" w:footer="794" w:gutter="0"/>
      <w:pgNumType w:start="1"/>
      <w:cols w:space="0" w:num="1"/>
      <w:docGrid w:type="lines" w:linePitch="43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13488B">
    <w:pPr>
      <w:snapToGrid w:val="0"/>
      <w:ind w:firstLine="360"/>
      <w:jc w:val="left"/>
      <w:rPr>
        <w:rFonts w:eastAsia="宋体" w:cs="Times New Roman"/>
        <w:sz w:val="18"/>
        <w:szCs w:val="18"/>
      </w:rPr>
    </w:pPr>
    <w:r>
      <w:rPr>
        <w:rFonts w:eastAsia="宋体" w:cs="Times New Roman"/>
        <w:sz w:val="18"/>
        <w:szCs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6D7BA14">
                          <w:pPr>
                            <w:snapToGrid w:val="0"/>
                            <w:ind w:firstLine="360"/>
                            <w:jc w:val="left"/>
                            <w:rPr>
                              <w:rFonts w:eastAsia="宋体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eastAsia="宋体" w:cs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eastAsia="宋体" w:cs="Times New Roman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 w:cs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eastAsia="宋体" w:cs="Times New Roman"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rFonts w:eastAsia="宋体" w:cs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2Zxg5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D7BA14">
                    <w:pPr>
                      <w:snapToGrid w:val="0"/>
                      <w:ind w:firstLine="360"/>
                      <w:jc w:val="left"/>
                      <w:rPr>
                        <w:rFonts w:eastAsia="宋体" w:cs="Times New Roman"/>
                        <w:sz w:val="18"/>
                        <w:szCs w:val="18"/>
                      </w:rPr>
                    </w:pPr>
                    <w:r>
                      <w:rPr>
                        <w:rFonts w:eastAsia="宋体" w:cs="Times New Roman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eastAsia="宋体" w:cs="Times New Roman"/>
                        <w:sz w:val="18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rFonts w:eastAsia="宋体" w:cs="Times New Roman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eastAsia="宋体" w:cs="Times New Roman"/>
                        <w:sz w:val="18"/>
                        <w:szCs w:val="18"/>
                      </w:rPr>
                      <w:t>2</w:t>
                    </w:r>
                    <w:r>
                      <w:rPr>
                        <w:rFonts w:eastAsia="宋体" w:cs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eastAsia="宋体" w:cs="Times New Roman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257FEB5">
                          <w:pPr>
                            <w:snapToGrid w:val="0"/>
                            <w:ind w:firstLine="360"/>
                            <w:jc w:val="left"/>
                            <w:rPr>
                              <w:rFonts w:eastAsia="宋体" w:cs="Times New Roman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8V5Q0wAgAAYw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A8V5Q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57FEB5">
                    <w:pPr>
                      <w:snapToGrid w:val="0"/>
                      <w:ind w:firstLine="360"/>
                      <w:jc w:val="left"/>
                      <w:rPr>
                        <w:rFonts w:eastAsia="宋体" w:cs="Times New Roman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895B74">
    <w:pPr>
      <w:pStyle w:val="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3CD71C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FC33F0">
    <w:pPr>
      <w:ind w:firstLine="0" w:firstLineChars="0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B91AF2">
    <w:pPr>
      <w:pStyle w:val="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D5DE15"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066B16"/>
    <w:multiLevelType w:val="multilevel"/>
    <w:tmpl w:val="14066B16"/>
    <w:lvl w:ilvl="0" w:tentative="0">
      <w:start w:val="1"/>
      <w:numFmt w:val="chineseCountingThousand"/>
      <w:pStyle w:val="3"/>
      <w:suff w:val="nothing"/>
      <w:lvlText w:val="%1、"/>
      <w:lvlJc w:val="left"/>
      <w:pPr>
        <w:ind w:left="0" w:firstLine="0"/>
      </w:pPr>
      <w:rPr>
        <w:rFonts w:hint="default" w:ascii="Times New Roman" w:hAnsi="Times New Roman" w:eastAsia="黑体"/>
        <w:sz w:val="32"/>
      </w:rPr>
    </w:lvl>
    <w:lvl w:ilvl="1" w:tentative="0">
      <w:start w:val="1"/>
      <w:numFmt w:val="chineseCountingThousand"/>
      <w:pStyle w:val="4"/>
      <w:suff w:val="nothing"/>
      <w:lvlText w:val="（%2）"/>
      <w:lvlJc w:val="left"/>
      <w:pPr>
        <w:ind w:left="0" w:firstLine="0"/>
      </w:pPr>
      <w:rPr>
        <w:rFonts w:hint="eastAsia" w:ascii="Times New Roman" w:hAnsi="Times New Roman" w:eastAsia="楷体_GB2312"/>
        <w:b w:val="0"/>
        <w:bCs/>
        <w:i w:val="0"/>
        <w:sz w:val="32"/>
      </w:rPr>
    </w:lvl>
    <w:lvl w:ilvl="2" w:tentative="0">
      <w:start w:val="1"/>
      <w:numFmt w:val="decimal"/>
      <w:pStyle w:val="5"/>
      <w:suff w:val="nothing"/>
      <w:lvlText w:val="%3. "/>
      <w:lvlJc w:val="left"/>
      <w:pPr>
        <w:ind w:left="0" w:firstLine="0"/>
      </w:pPr>
      <w:rPr>
        <w:rFonts w:hint="default" w:ascii="Times New Roman" w:hAnsi="Times New Roman" w:eastAsia="仿宋_GB2312"/>
        <w:b/>
        <w:i w:val="0"/>
        <w:sz w:val="32"/>
      </w:rPr>
    </w:lvl>
    <w:lvl w:ilvl="3" w:tentative="0">
      <w:start w:val="1"/>
      <w:numFmt w:val="decimal"/>
      <w:pStyle w:val="6"/>
      <w:isLgl/>
      <w:suff w:val="nothing"/>
      <w:lvlText w:val="（%4）"/>
      <w:lvlJc w:val="left"/>
      <w:pPr>
        <w:ind w:left="0" w:firstLine="0"/>
      </w:pPr>
      <w:rPr>
        <w:rFonts w:hint="default" w:ascii="Times New Roman" w:hAnsi="Times New Roman" w:eastAsia="仿宋_GB2312"/>
        <w:sz w:val="32"/>
      </w:rPr>
    </w:lvl>
    <w:lvl w:ilvl="4" w:tentative="0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60"/>
  <w:drawingGridVerticalSpacing w:val="220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5DD"/>
    <w:rsid w:val="000063F5"/>
    <w:rsid w:val="00006C95"/>
    <w:rsid w:val="00012E33"/>
    <w:rsid w:val="00013ABE"/>
    <w:rsid w:val="00013C01"/>
    <w:rsid w:val="000159D7"/>
    <w:rsid w:val="00021F3F"/>
    <w:rsid w:val="00022675"/>
    <w:rsid w:val="00026B6F"/>
    <w:rsid w:val="000272E6"/>
    <w:rsid w:val="00031EFD"/>
    <w:rsid w:val="000328F8"/>
    <w:rsid w:val="0004045E"/>
    <w:rsid w:val="0005097C"/>
    <w:rsid w:val="000600E5"/>
    <w:rsid w:val="0007231A"/>
    <w:rsid w:val="00074489"/>
    <w:rsid w:val="000918D6"/>
    <w:rsid w:val="00096823"/>
    <w:rsid w:val="000A2F24"/>
    <w:rsid w:val="000A7802"/>
    <w:rsid w:val="000B59BC"/>
    <w:rsid w:val="000C2D15"/>
    <w:rsid w:val="000C3DC5"/>
    <w:rsid w:val="000C767F"/>
    <w:rsid w:val="000D5435"/>
    <w:rsid w:val="000E2708"/>
    <w:rsid w:val="000E2C4F"/>
    <w:rsid w:val="000E78BC"/>
    <w:rsid w:val="000E78C0"/>
    <w:rsid w:val="000F61ED"/>
    <w:rsid w:val="00103A98"/>
    <w:rsid w:val="0012112F"/>
    <w:rsid w:val="00126F88"/>
    <w:rsid w:val="00127EDA"/>
    <w:rsid w:val="00140F0C"/>
    <w:rsid w:val="0015258A"/>
    <w:rsid w:val="00155CA4"/>
    <w:rsid w:val="00157E4E"/>
    <w:rsid w:val="00172AA4"/>
    <w:rsid w:val="001755ED"/>
    <w:rsid w:val="00194E84"/>
    <w:rsid w:val="001A2908"/>
    <w:rsid w:val="001A4931"/>
    <w:rsid w:val="001A4ED5"/>
    <w:rsid w:val="001B3A48"/>
    <w:rsid w:val="001B797F"/>
    <w:rsid w:val="001C1A11"/>
    <w:rsid w:val="001C57BD"/>
    <w:rsid w:val="001D57FA"/>
    <w:rsid w:val="001D74D8"/>
    <w:rsid w:val="001E58F4"/>
    <w:rsid w:val="001F091E"/>
    <w:rsid w:val="001F631F"/>
    <w:rsid w:val="001F7B16"/>
    <w:rsid w:val="001F7CF2"/>
    <w:rsid w:val="00200D0B"/>
    <w:rsid w:val="002035B7"/>
    <w:rsid w:val="00203C2E"/>
    <w:rsid w:val="002118A6"/>
    <w:rsid w:val="00215D66"/>
    <w:rsid w:val="002323CC"/>
    <w:rsid w:val="0023432D"/>
    <w:rsid w:val="0023489F"/>
    <w:rsid w:val="00235FF2"/>
    <w:rsid w:val="00236E2A"/>
    <w:rsid w:val="00237682"/>
    <w:rsid w:val="00243C99"/>
    <w:rsid w:val="002504C2"/>
    <w:rsid w:val="00255AA8"/>
    <w:rsid w:val="00262B9B"/>
    <w:rsid w:val="002646D5"/>
    <w:rsid w:val="002864FD"/>
    <w:rsid w:val="002903E4"/>
    <w:rsid w:val="002974A6"/>
    <w:rsid w:val="002A2142"/>
    <w:rsid w:val="002A2AE8"/>
    <w:rsid w:val="002A7431"/>
    <w:rsid w:val="002B54FE"/>
    <w:rsid w:val="002B7480"/>
    <w:rsid w:val="002C04A5"/>
    <w:rsid w:val="002C0B83"/>
    <w:rsid w:val="002C1F2C"/>
    <w:rsid w:val="002C2D55"/>
    <w:rsid w:val="002C563E"/>
    <w:rsid w:val="002C61C0"/>
    <w:rsid w:val="002D7D53"/>
    <w:rsid w:val="002F4F45"/>
    <w:rsid w:val="002F73EF"/>
    <w:rsid w:val="00314626"/>
    <w:rsid w:val="00314B31"/>
    <w:rsid w:val="0032384C"/>
    <w:rsid w:val="00331B22"/>
    <w:rsid w:val="00336F1C"/>
    <w:rsid w:val="00345F17"/>
    <w:rsid w:val="00353A92"/>
    <w:rsid w:val="00372F73"/>
    <w:rsid w:val="00374E41"/>
    <w:rsid w:val="0037586A"/>
    <w:rsid w:val="00377AF7"/>
    <w:rsid w:val="00380E2A"/>
    <w:rsid w:val="00380FDA"/>
    <w:rsid w:val="00381F59"/>
    <w:rsid w:val="00386294"/>
    <w:rsid w:val="003924DA"/>
    <w:rsid w:val="00393A82"/>
    <w:rsid w:val="00396E92"/>
    <w:rsid w:val="003A07F7"/>
    <w:rsid w:val="003A570F"/>
    <w:rsid w:val="003A5B8C"/>
    <w:rsid w:val="003A62F3"/>
    <w:rsid w:val="003C67B6"/>
    <w:rsid w:val="003F193F"/>
    <w:rsid w:val="00401ECA"/>
    <w:rsid w:val="00411FC4"/>
    <w:rsid w:val="00421903"/>
    <w:rsid w:val="004225EE"/>
    <w:rsid w:val="004228E0"/>
    <w:rsid w:val="004233E9"/>
    <w:rsid w:val="00424D71"/>
    <w:rsid w:val="00430769"/>
    <w:rsid w:val="00434491"/>
    <w:rsid w:val="0043688A"/>
    <w:rsid w:val="00436A77"/>
    <w:rsid w:val="00437B65"/>
    <w:rsid w:val="0044685F"/>
    <w:rsid w:val="00447D21"/>
    <w:rsid w:val="00460CFE"/>
    <w:rsid w:val="004676EE"/>
    <w:rsid w:val="00474F82"/>
    <w:rsid w:val="0047615F"/>
    <w:rsid w:val="00482E67"/>
    <w:rsid w:val="0049457D"/>
    <w:rsid w:val="00496CAA"/>
    <w:rsid w:val="004A1693"/>
    <w:rsid w:val="004A5735"/>
    <w:rsid w:val="004B1A54"/>
    <w:rsid w:val="004B67CA"/>
    <w:rsid w:val="004C09C5"/>
    <w:rsid w:val="004C1D22"/>
    <w:rsid w:val="004C23D2"/>
    <w:rsid w:val="004C3E6B"/>
    <w:rsid w:val="004D2DD0"/>
    <w:rsid w:val="004E6965"/>
    <w:rsid w:val="004E7607"/>
    <w:rsid w:val="00501171"/>
    <w:rsid w:val="005059AA"/>
    <w:rsid w:val="00516F81"/>
    <w:rsid w:val="005270BC"/>
    <w:rsid w:val="00546376"/>
    <w:rsid w:val="00556E95"/>
    <w:rsid w:val="005570B4"/>
    <w:rsid w:val="00557BCB"/>
    <w:rsid w:val="00563BFB"/>
    <w:rsid w:val="00571281"/>
    <w:rsid w:val="00571EF0"/>
    <w:rsid w:val="005737AC"/>
    <w:rsid w:val="0057651B"/>
    <w:rsid w:val="00594070"/>
    <w:rsid w:val="00595281"/>
    <w:rsid w:val="00595485"/>
    <w:rsid w:val="005A4827"/>
    <w:rsid w:val="005A7BC4"/>
    <w:rsid w:val="005B0E49"/>
    <w:rsid w:val="005B1A98"/>
    <w:rsid w:val="005B23E3"/>
    <w:rsid w:val="005B4654"/>
    <w:rsid w:val="005B5D55"/>
    <w:rsid w:val="005B68CC"/>
    <w:rsid w:val="005D0DA2"/>
    <w:rsid w:val="005D79E0"/>
    <w:rsid w:val="005E3F14"/>
    <w:rsid w:val="005E7676"/>
    <w:rsid w:val="005F0A3E"/>
    <w:rsid w:val="006010B3"/>
    <w:rsid w:val="00602DC5"/>
    <w:rsid w:val="006172BF"/>
    <w:rsid w:val="00621A46"/>
    <w:rsid w:val="00642432"/>
    <w:rsid w:val="00644488"/>
    <w:rsid w:val="0065408F"/>
    <w:rsid w:val="00661D4B"/>
    <w:rsid w:val="00662297"/>
    <w:rsid w:val="00665A95"/>
    <w:rsid w:val="00666CB1"/>
    <w:rsid w:val="00671757"/>
    <w:rsid w:val="006737B1"/>
    <w:rsid w:val="0068091B"/>
    <w:rsid w:val="006829E5"/>
    <w:rsid w:val="0068605B"/>
    <w:rsid w:val="00686FF1"/>
    <w:rsid w:val="00695084"/>
    <w:rsid w:val="006966AF"/>
    <w:rsid w:val="00696BF1"/>
    <w:rsid w:val="006A1771"/>
    <w:rsid w:val="006A6C3C"/>
    <w:rsid w:val="006C1513"/>
    <w:rsid w:val="006C3AAA"/>
    <w:rsid w:val="006C70DF"/>
    <w:rsid w:val="006D4C1C"/>
    <w:rsid w:val="006D65DD"/>
    <w:rsid w:val="006D6B40"/>
    <w:rsid w:val="006D75D2"/>
    <w:rsid w:val="006E45D1"/>
    <w:rsid w:val="006E6A68"/>
    <w:rsid w:val="006E7C1B"/>
    <w:rsid w:val="006F2835"/>
    <w:rsid w:val="006F460F"/>
    <w:rsid w:val="006F7DD4"/>
    <w:rsid w:val="00702442"/>
    <w:rsid w:val="007101BE"/>
    <w:rsid w:val="0071301F"/>
    <w:rsid w:val="00716E91"/>
    <w:rsid w:val="007216AF"/>
    <w:rsid w:val="0072581E"/>
    <w:rsid w:val="007314B0"/>
    <w:rsid w:val="007323F4"/>
    <w:rsid w:val="007401D4"/>
    <w:rsid w:val="00745093"/>
    <w:rsid w:val="0074647F"/>
    <w:rsid w:val="00751157"/>
    <w:rsid w:val="007512E8"/>
    <w:rsid w:val="007552FB"/>
    <w:rsid w:val="00757346"/>
    <w:rsid w:val="0076030C"/>
    <w:rsid w:val="00764F7C"/>
    <w:rsid w:val="00765F04"/>
    <w:rsid w:val="00766C6D"/>
    <w:rsid w:val="00773201"/>
    <w:rsid w:val="007746B9"/>
    <w:rsid w:val="00777AC5"/>
    <w:rsid w:val="00782E9A"/>
    <w:rsid w:val="00784DA4"/>
    <w:rsid w:val="00785337"/>
    <w:rsid w:val="007916BF"/>
    <w:rsid w:val="00793CFB"/>
    <w:rsid w:val="00795B19"/>
    <w:rsid w:val="00796D5B"/>
    <w:rsid w:val="007974F7"/>
    <w:rsid w:val="0079779D"/>
    <w:rsid w:val="00797A34"/>
    <w:rsid w:val="007A4CE2"/>
    <w:rsid w:val="007B41BA"/>
    <w:rsid w:val="007D1087"/>
    <w:rsid w:val="007D75CE"/>
    <w:rsid w:val="007E0128"/>
    <w:rsid w:val="007E75D1"/>
    <w:rsid w:val="007F169C"/>
    <w:rsid w:val="007F1F30"/>
    <w:rsid w:val="007F55D1"/>
    <w:rsid w:val="00807E4B"/>
    <w:rsid w:val="00811A96"/>
    <w:rsid w:val="00821FD8"/>
    <w:rsid w:val="00823A23"/>
    <w:rsid w:val="00827644"/>
    <w:rsid w:val="00827D2F"/>
    <w:rsid w:val="00830989"/>
    <w:rsid w:val="00831194"/>
    <w:rsid w:val="008337B1"/>
    <w:rsid w:val="00854442"/>
    <w:rsid w:val="00854974"/>
    <w:rsid w:val="008604D1"/>
    <w:rsid w:val="00861910"/>
    <w:rsid w:val="00861D99"/>
    <w:rsid w:val="00886231"/>
    <w:rsid w:val="00886641"/>
    <w:rsid w:val="008B4404"/>
    <w:rsid w:val="008C0F9E"/>
    <w:rsid w:val="008C3D74"/>
    <w:rsid w:val="008C4545"/>
    <w:rsid w:val="008D4E4E"/>
    <w:rsid w:val="008D65D6"/>
    <w:rsid w:val="008E1122"/>
    <w:rsid w:val="008E2E64"/>
    <w:rsid w:val="008E580C"/>
    <w:rsid w:val="008F3B29"/>
    <w:rsid w:val="008F574C"/>
    <w:rsid w:val="00906998"/>
    <w:rsid w:val="00907ED8"/>
    <w:rsid w:val="00913281"/>
    <w:rsid w:val="00923AD7"/>
    <w:rsid w:val="0093170E"/>
    <w:rsid w:val="00933E8C"/>
    <w:rsid w:val="009413C5"/>
    <w:rsid w:val="00943ECF"/>
    <w:rsid w:val="009464B8"/>
    <w:rsid w:val="00952ED3"/>
    <w:rsid w:val="00967275"/>
    <w:rsid w:val="00967B79"/>
    <w:rsid w:val="0097645E"/>
    <w:rsid w:val="009909C9"/>
    <w:rsid w:val="00993996"/>
    <w:rsid w:val="00993CEA"/>
    <w:rsid w:val="00996051"/>
    <w:rsid w:val="009A2C0F"/>
    <w:rsid w:val="009A4B3F"/>
    <w:rsid w:val="009A76FE"/>
    <w:rsid w:val="009A7BAC"/>
    <w:rsid w:val="009B10B9"/>
    <w:rsid w:val="009C0B2F"/>
    <w:rsid w:val="009C42E1"/>
    <w:rsid w:val="009C7410"/>
    <w:rsid w:val="009D6A0F"/>
    <w:rsid w:val="009E69B5"/>
    <w:rsid w:val="009E7F6F"/>
    <w:rsid w:val="00A00AA1"/>
    <w:rsid w:val="00A021D3"/>
    <w:rsid w:val="00A22A05"/>
    <w:rsid w:val="00A26C4F"/>
    <w:rsid w:val="00A339D8"/>
    <w:rsid w:val="00A34140"/>
    <w:rsid w:val="00A35AD7"/>
    <w:rsid w:val="00A54432"/>
    <w:rsid w:val="00A65349"/>
    <w:rsid w:val="00A74935"/>
    <w:rsid w:val="00A813D9"/>
    <w:rsid w:val="00A82F25"/>
    <w:rsid w:val="00A97020"/>
    <w:rsid w:val="00A97604"/>
    <w:rsid w:val="00AA18CB"/>
    <w:rsid w:val="00AA4342"/>
    <w:rsid w:val="00AB2EEC"/>
    <w:rsid w:val="00AC620C"/>
    <w:rsid w:val="00AC67BB"/>
    <w:rsid w:val="00AD3A1A"/>
    <w:rsid w:val="00AD3DFC"/>
    <w:rsid w:val="00AD4C86"/>
    <w:rsid w:val="00AD5290"/>
    <w:rsid w:val="00AD6430"/>
    <w:rsid w:val="00AE0A1E"/>
    <w:rsid w:val="00AF07EF"/>
    <w:rsid w:val="00AF1205"/>
    <w:rsid w:val="00AF6EEE"/>
    <w:rsid w:val="00B03291"/>
    <w:rsid w:val="00B07454"/>
    <w:rsid w:val="00B30668"/>
    <w:rsid w:val="00B428A2"/>
    <w:rsid w:val="00B442EB"/>
    <w:rsid w:val="00B44E93"/>
    <w:rsid w:val="00B47D85"/>
    <w:rsid w:val="00B660FE"/>
    <w:rsid w:val="00B673B3"/>
    <w:rsid w:val="00B72D80"/>
    <w:rsid w:val="00B72E80"/>
    <w:rsid w:val="00B74B78"/>
    <w:rsid w:val="00B857C1"/>
    <w:rsid w:val="00B86C8F"/>
    <w:rsid w:val="00B93511"/>
    <w:rsid w:val="00B96554"/>
    <w:rsid w:val="00BA0373"/>
    <w:rsid w:val="00BA0421"/>
    <w:rsid w:val="00BA0946"/>
    <w:rsid w:val="00BA3690"/>
    <w:rsid w:val="00BA3FD1"/>
    <w:rsid w:val="00BA5150"/>
    <w:rsid w:val="00BB5850"/>
    <w:rsid w:val="00BB5F96"/>
    <w:rsid w:val="00BB6141"/>
    <w:rsid w:val="00BC01E0"/>
    <w:rsid w:val="00BC4B2E"/>
    <w:rsid w:val="00BD5382"/>
    <w:rsid w:val="00BE177B"/>
    <w:rsid w:val="00BE6873"/>
    <w:rsid w:val="00BF5E78"/>
    <w:rsid w:val="00BF686D"/>
    <w:rsid w:val="00C0306B"/>
    <w:rsid w:val="00C0643F"/>
    <w:rsid w:val="00C071A6"/>
    <w:rsid w:val="00C16A70"/>
    <w:rsid w:val="00C172D2"/>
    <w:rsid w:val="00C17A94"/>
    <w:rsid w:val="00C25CB6"/>
    <w:rsid w:val="00C2651F"/>
    <w:rsid w:val="00C26A7B"/>
    <w:rsid w:val="00C36D81"/>
    <w:rsid w:val="00C44DFC"/>
    <w:rsid w:val="00C46A65"/>
    <w:rsid w:val="00C51CFF"/>
    <w:rsid w:val="00C520A1"/>
    <w:rsid w:val="00C5250E"/>
    <w:rsid w:val="00C57AC9"/>
    <w:rsid w:val="00C65B59"/>
    <w:rsid w:val="00C65F21"/>
    <w:rsid w:val="00C664ED"/>
    <w:rsid w:val="00C77F09"/>
    <w:rsid w:val="00C80A93"/>
    <w:rsid w:val="00C84B3E"/>
    <w:rsid w:val="00C90F5A"/>
    <w:rsid w:val="00C92EF8"/>
    <w:rsid w:val="00CA58AC"/>
    <w:rsid w:val="00CB1E42"/>
    <w:rsid w:val="00CB4EFF"/>
    <w:rsid w:val="00CC475A"/>
    <w:rsid w:val="00CC75EC"/>
    <w:rsid w:val="00CD2624"/>
    <w:rsid w:val="00CD2726"/>
    <w:rsid w:val="00CD2E3B"/>
    <w:rsid w:val="00CE1CB0"/>
    <w:rsid w:val="00CE5313"/>
    <w:rsid w:val="00CE6615"/>
    <w:rsid w:val="00CE76CF"/>
    <w:rsid w:val="00CF1ED5"/>
    <w:rsid w:val="00CF716F"/>
    <w:rsid w:val="00CF74BA"/>
    <w:rsid w:val="00D010CD"/>
    <w:rsid w:val="00D01196"/>
    <w:rsid w:val="00D10DE3"/>
    <w:rsid w:val="00D16ABE"/>
    <w:rsid w:val="00D20E76"/>
    <w:rsid w:val="00D340CB"/>
    <w:rsid w:val="00D3644D"/>
    <w:rsid w:val="00D3703A"/>
    <w:rsid w:val="00D42DDE"/>
    <w:rsid w:val="00D51026"/>
    <w:rsid w:val="00D51CAB"/>
    <w:rsid w:val="00D634B5"/>
    <w:rsid w:val="00D66FB2"/>
    <w:rsid w:val="00D8719E"/>
    <w:rsid w:val="00DA01FC"/>
    <w:rsid w:val="00DA3DCC"/>
    <w:rsid w:val="00DB1627"/>
    <w:rsid w:val="00DB1DE7"/>
    <w:rsid w:val="00DB481D"/>
    <w:rsid w:val="00DB5379"/>
    <w:rsid w:val="00DC22DA"/>
    <w:rsid w:val="00DC2FF7"/>
    <w:rsid w:val="00DD7037"/>
    <w:rsid w:val="00DE0F95"/>
    <w:rsid w:val="00DE2AC6"/>
    <w:rsid w:val="00DE63DB"/>
    <w:rsid w:val="00DF2112"/>
    <w:rsid w:val="00E04E62"/>
    <w:rsid w:val="00E161AF"/>
    <w:rsid w:val="00E16673"/>
    <w:rsid w:val="00E2296F"/>
    <w:rsid w:val="00E232CE"/>
    <w:rsid w:val="00E23B8D"/>
    <w:rsid w:val="00E268F9"/>
    <w:rsid w:val="00E27643"/>
    <w:rsid w:val="00E35583"/>
    <w:rsid w:val="00E41D40"/>
    <w:rsid w:val="00E53291"/>
    <w:rsid w:val="00E60755"/>
    <w:rsid w:val="00E6348C"/>
    <w:rsid w:val="00E640E9"/>
    <w:rsid w:val="00E65961"/>
    <w:rsid w:val="00E75AD6"/>
    <w:rsid w:val="00E816A6"/>
    <w:rsid w:val="00E835E6"/>
    <w:rsid w:val="00E83780"/>
    <w:rsid w:val="00E87A3A"/>
    <w:rsid w:val="00E92F94"/>
    <w:rsid w:val="00E93BED"/>
    <w:rsid w:val="00E9416C"/>
    <w:rsid w:val="00E94D98"/>
    <w:rsid w:val="00E96A15"/>
    <w:rsid w:val="00EA4FD5"/>
    <w:rsid w:val="00EB0B58"/>
    <w:rsid w:val="00EC0A82"/>
    <w:rsid w:val="00EE1F29"/>
    <w:rsid w:val="00EE5BAD"/>
    <w:rsid w:val="00F028B4"/>
    <w:rsid w:val="00F035B8"/>
    <w:rsid w:val="00F03607"/>
    <w:rsid w:val="00F04921"/>
    <w:rsid w:val="00F16E1A"/>
    <w:rsid w:val="00F2435D"/>
    <w:rsid w:val="00F311DB"/>
    <w:rsid w:val="00F34706"/>
    <w:rsid w:val="00F37768"/>
    <w:rsid w:val="00F37BF7"/>
    <w:rsid w:val="00F41A27"/>
    <w:rsid w:val="00F631F7"/>
    <w:rsid w:val="00F6575F"/>
    <w:rsid w:val="00F6590D"/>
    <w:rsid w:val="00F66914"/>
    <w:rsid w:val="00F704A8"/>
    <w:rsid w:val="00F72FDC"/>
    <w:rsid w:val="00F9501A"/>
    <w:rsid w:val="00FA04A7"/>
    <w:rsid w:val="00FA1582"/>
    <w:rsid w:val="00FA5009"/>
    <w:rsid w:val="00FA6B32"/>
    <w:rsid w:val="00FB10BF"/>
    <w:rsid w:val="00FB6163"/>
    <w:rsid w:val="00FC140F"/>
    <w:rsid w:val="00FC347B"/>
    <w:rsid w:val="00FD1F94"/>
    <w:rsid w:val="00FE44BF"/>
    <w:rsid w:val="00FF485E"/>
    <w:rsid w:val="06F4757A"/>
    <w:rsid w:val="0A233B07"/>
    <w:rsid w:val="0C277EFD"/>
    <w:rsid w:val="0D315BD9"/>
    <w:rsid w:val="0DBF2821"/>
    <w:rsid w:val="0F2E23BA"/>
    <w:rsid w:val="14117379"/>
    <w:rsid w:val="16EEB61A"/>
    <w:rsid w:val="19671878"/>
    <w:rsid w:val="22636BF9"/>
    <w:rsid w:val="285223EF"/>
    <w:rsid w:val="2FBF3559"/>
    <w:rsid w:val="3A9E14C4"/>
    <w:rsid w:val="3BFA085F"/>
    <w:rsid w:val="3DA923CA"/>
    <w:rsid w:val="3EEB9503"/>
    <w:rsid w:val="3FBD8C39"/>
    <w:rsid w:val="44AF3F11"/>
    <w:rsid w:val="48687B93"/>
    <w:rsid w:val="4F6398FE"/>
    <w:rsid w:val="528F20AE"/>
    <w:rsid w:val="56BD3627"/>
    <w:rsid w:val="5A7DAD17"/>
    <w:rsid w:val="5BF10ACC"/>
    <w:rsid w:val="5EF05A47"/>
    <w:rsid w:val="5FFD7BB0"/>
    <w:rsid w:val="6C5845F5"/>
    <w:rsid w:val="6E8F6156"/>
    <w:rsid w:val="6F102107"/>
    <w:rsid w:val="70115A26"/>
    <w:rsid w:val="7193135A"/>
    <w:rsid w:val="72BC2329"/>
    <w:rsid w:val="767FC294"/>
    <w:rsid w:val="7C59227F"/>
    <w:rsid w:val="7CAF571D"/>
    <w:rsid w:val="7EDF2ED2"/>
    <w:rsid w:val="7EF518DA"/>
    <w:rsid w:val="7F3A98EB"/>
    <w:rsid w:val="7FFA2AFE"/>
    <w:rsid w:val="AF9752E8"/>
    <w:rsid w:val="CEED6DEC"/>
    <w:rsid w:val="F1BD6943"/>
    <w:rsid w:val="F77E2D5E"/>
    <w:rsid w:val="F7FC9163"/>
    <w:rsid w:val="FA6E350A"/>
    <w:rsid w:val="FB9F130D"/>
    <w:rsid w:val="FEFF6C33"/>
    <w:rsid w:val="FFFB5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nhideWhenUsed="0" w:uiPriority="0" w:semiHidden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nhideWhenUsed="0" w:uiPriority="0" w:semiHidden="0" w:name="footnote reference"/>
    <w:lsdException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_GB2312" w:cstheme="minorBidi"/>
      <w:kern w:val="2"/>
      <w:sz w:val="32"/>
      <w:szCs w:val="21"/>
      <w:lang w:val="en-US" w:eastAsia="zh-CN" w:bidi="ar-SA"/>
    </w:rPr>
  </w:style>
  <w:style w:type="paragraph" w:styleId="3">
    <w:name w:val="heading 1"/>
    <w:basedOn w:val="1"/>
    <w:next w:val="1"/>
    <w:link w:val="22"/>
    <w:qFormat/>
    <w:uiPriority w:val="9"/>
    <w:pPr>
      <w:keepNext/>
      <w:keepLines/>
      <w:numPr>
        <w:ilvl w:val="0"/>
        <w:numId w:val="1"/>
      </w:numPr>
      <w:ind w:firstLine="200"/>
      <w:outlineLvl w:val="0"/>
    </w:pPr>
    <w:rPr>
      <w:rFonts w:eastAsia="黑体"/>
      <w:bCs/>
      <w:kern w:val="44"/>
      <w:szCs w:val="44"/>
    </w:rPr>
  </w:style>
  <w:style w:type="paragraph" w:styleId="4">
    <w:name w:val="heading 2"/>
    <w:basedOn w:val="1"/>
    <w:next w:val="1"/>
    <w:link w:val="23"/>
    <w:unhideWhenUsed/>
    <w:qFormat/>
    <w:uiPriority w:val="9"/>
    <w:pPr>
      <w:keepNext/>
      <w:keepLines/>
      <w:numPr>
        <w:ilvl w:val="1"/>
        <w:numId w:val="1"/>
      </w:numPr>
      <w:ind w:firstLine="150" w:firstLineChars="150"/>
      <w:outlineLvl w:val="1"/>
    </w:pPr>
    <w:rPr>
      <w:rFonts w:eastAsia="楷体_GB2312" w:cstheme="majorBidi"/>
      <w:bCs/>
      <w:szCs w:val="32"/>
    </w:rPr>
  </w:style>
  <w:style w:type="paragraph" w:styleId="5">
    <w:name w:val="heading 3"/>
    <w:basedOn w:val="1"/>
    <w:next w:val="1"/>
    <w:link w:val="24"/>
    <w:unhideWhenUsed/>
    <w:qFormat/>
    <w:uiPriority w:val="9"/>
    <w:pPr>
      <w:keepNext/>
      <w:keepLines/>
      <w:numPr>
        <w:ilvl w:val="2"/>
        <w:numId w:val="1"/>
      </w:numPr>
      <w:ind w:firstLine="200"/>
      <w:outlineLvl w:val="2"/>
    </w:pPr>
    <w:rPr>
      <w:b/>
      <w:bCs/>
      <w:szCs w:val="32"/>
    </w:rPr>
  </w:style>
  <w:style w:type="paragraph" w:styleId="6">
    <w:name w:val="heading 4"/>
    <w:basedOn w:val="1"/>
    <w:next w:val="1"/>
    <w:link w:val="25"/>
    <w:unhideWhenUsed/>
    <w:qFormat/>
    <w:uiPriority w:val="9"/>
    <w:pPr>
      <w:keepNext/>
      <w:keepLines/>
      <w:numPr>
        <w:ilvl w:val="3"/>
        <w:numId w:val="1"/>
      </w:numPr>
      <w:ind w:firstLine="150" w:firstLineChars="150"/>
      <w:outlineLvl w:val="3"/>
    </w:pPr>
    <w:rPr>
      <w:rFonts w:cstheme="majorBidi"/>
      <w:b/>
      <w:bCs/>
      <w:szCs w:val="28"/>
    </w:rPr>
  </w:style>
  <w:style w:type="paragraph" w:styleId="7">
    <w:name w:val="heading 5"/>
    <w:basedOn w:val="1"/>
    <w:next w:val="1"/>
    <w:link w:val="34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Cs w:val="28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unhideWhenUsed/>
    <w:qFormat/>
    <w:uiPriority w:val="39"/>
    <w:pPr>
      <w:spacing w:line="240" w:lineRule="auto"/>
      <w:ind w:firstLine="400" w:firstLineChars="400"/>
      <w:jc w:val="left"/>
    </w:pPr>
    <w:rPr>
      <w:rFonts w:eastAsia="楷体_GB2312"/>
      <w:iCs/>
      <w:sz w:val="24"/>
      <w:szCs w:val="20"/>
    </w:rPr>
  </w:style>
  <w:style w:type="paragraph" w:styleId="8">
    <w:name w:val="footer"/>
    <w:basedOn w:val="1"/>
    <w:link w:val="20"/>
    <w:unhideWhenUsed/>
    <w:qFormat/>
    <w:uiPriority w:val="99"/>
    <w:pPr>
      <w:snapToGrid w:val="0"/>
      <w:ind w:firstLine="0" w:firstLineChars="0"/>
      <w:jc w:val="center"/>
    </w:pPr>
    <w:rPr>
      <w:sz w:val="24"/>
      <w:szCs w:val="18"/>
    </w:rPr>
  </w:style>
  <w:style w:type="paragraph" w:styleId="9">
    <w:name w:val="header"/>
    <w:basedOn w:val="1"/>
    <w:link w:val="19"/>
    <w:unhideWhenUsed/>
    <w:qFormat/>
    <w:uiPriority w:val="99"/>
    <w:pPr>
      <w:snapToGrid w:val="0"/>
      <w:ind w:firstLine="0" w:firstLineChars="0"/>
      <w:jc w:val="center"/>
    </w:pPr>
    <w:rPr>
      <w:b/>
      <w:szCs w:val="18"/>
    </w:rPr>
  </w:style>
  <w:style w:type="paragraph" w:styleId="10">
    <w:name w:val="toc 1"/>
    <w:basedOn w:val="1"/>
    <w:next w:val="1"/>
    <w:unhideWhenUsed/>
    <w:qFormat/>
    <w:uiPriority w:val="39"/>
    <w:pPr>
      <w:tabs>
        <w:tab w:val="right" w:leader="dot" w:pos="8494"/>
      </w:tabs>
      <w:spacing w:line="240" w:lineRule="auto"/>
      <w:ind w:firstLine="0" w:firstLineChars="0"/>
      <w:jc w:val="left"/>
    </w:pPr>
    <w:rPr>
      <w:rFonts w:eastAsia="黑体"/>
      <w:bCs/>
      <w:caps/>
      <w:sz w:val="28"/>
      <w:szCs w:val="20"/>
    </w:rPr>
  </w:style>
  <w:style w:type="paragraph" w:styleId="11">
    <w:name w:val="toc 4"/>
    <w:basedOn w:val="1"/>
    <w:next w:val="1"/>
    <w:unhideWhenUsed/>
    <w:qFormat/>
    <w:uiPriority w:val="39"/>
    <w:pPr>
      <w:ind w:left="960"/>
      <w:jc w:val="left"/>
    </w:pPr>
    <w:rPr>
      <w:rFonts w:asciiTheme="minorHAnsi" w:eastAsiaTheme="minorHAnsi"/>
      <w:sz w:val="18"/>
      <w:szCs w:val="18"/>
    </w:rPr>
  </w:style>
  <w:style w:type="paragraph" w:styleId="12">
    <w:name w:val="Subtitle"/>
    <w:basedOn w:val="1"/>
    <w:next w:val="1"/>
    <w:link w:val="26"/>
    <w:qFormat/>
    <w:uiPriority w:val="11"/>
    <w:pPr>
      <w:ind w:firstLine="0" w:firstLineChars="0"/>
      <w:jc w:val="center"/>
      <w:outlineLvl w:val="1"/>
    </w:pPr>
    <w:rPr>
      <w:rFonts w:eastAsia="楷体"/>
      <w:bCs/>
      <w:kern w:val="28"/>
      <w:sz w:val="30"/>
      <w:szCs w:val="32"/>
    </w:rPr>
  </w:style>
  <w:style w:type="paragraph" w:styleId="13">
    <w:name w:val="toc 2"/>
    <w:basedOn w:val="1"/>
    <w:next w:val="1"/>
    <w:unhideWhenUsed/>
    <w:qFormat/>
    <w:uiPriority w:val="39"/>
    <w:pPr>
      <w:spacing w:line="240" w:lineRule="auto"/>
      <w:jc w:val="left"/>
    </w:pPr>
    <w:rPr>
      <w:rFonts w:eastAsia="宋体"/>
      <w:smallCaps/>
      <w:sz w:val="24"/>
      <w:szCs w:val="20"/>
    </w:rPr>
  </w:style>
  <w:style w:type="paragraph" w:styleId="1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5">
    <w:name w:val="Title"/>
    <w:basedOn w:val="1"/>
    <w:next w:val="1"/>
    <w:link w:val="21"/>
    <w:qFormat/>
    <w:uiPriority w:val="10"/>
    <w:pPr>
      <w:ind w:firstLine="0" w:firstLineChars="0"/>
      <w:jc w:val="center"/>
      <w:outlineLvl w:val="0"/>
    </w:pPr>
    <w:rPr>
      <w:rFonts w:eastAsia="方正小标宋简体" w:cstheme="majorBidi"/>
      <w:bCs/>
      <w:sz w:val="44"/>
      <w:szCs w:val="32"/>
    </w:r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页眉 Char"/>
    <w:basedOn w:val="18"/>
    <w:link w:val="9"/>
    <w:qFormat/>
    <w:uiPriority w:val="99"/>
    <w:rPr>
      <w:rFonts w:ascii="Times New Roman" w:hAnsi="Times New Roman" w:eastAsia="仿宋_GB2312"/>
      <w:b/>
      <w:szCs w:val="18"/>
    </w:rPr>
  </w:style>
  <w:style w:type="character" w:customStyle="1" w:styleId="20">
    <w:name w:val="页脚 Char"/>
    <w:basedOn w:val="18"/>
    <w:link w:val="8"/>
    <w:qFormat/>
    <w:uiPriority w:val="99"/>
    <w:rPr>
      <w:rFonts w:ascii="Times New Roman" w:hAnsi="Times New Roman" w:eastAsia="仿宋_GB2312"/>
      <w:sz w:val="24"/>
      <w:szCs w:val="18"/>
    </w:rPr>
  </w:style>
  <w:style w:type="character" w:customStyle="1" w:styleId="21">
    <w:name w:val="标题 Char"/>
    <w:basedOn w:val="18"/>
    <w:link w:val="15"/>
    <w:qFormat/>
    <w:uiPriority w:val="10"/>
    <w:rPr>
      <w:rFonts w:ascii="Times New Roman" w:hAnsi="Times New Roman" w:eastAsia="方正小标宋简体" w:cstheme="majorBidi"/>
      <w:bCs/>
      <w:sz w:val="44"/>
      <w:szCs w:val="32"/>
    </w:rPr>
  </w:style>
  <w:style w:type="character" w:customStyle="1" w:styleId="22">
    <w:name w:val="标题 1 Char"/>
    <w:basedOn w:val="18"/>
    <w:link w:val="3"/>
    <w:qFormat/>
    <w:uiPriority w:val="9"/>
    <w:rPr>
      <w:rFonts w:ascii="Times New Roman" w:hAnsi="Times New Roman" w:eastAsia="黑体"/>
      <w:bCs/>
      <w:kern w:val="44"/>
      <w:sz w:val="32"/>
      <w:szCs w:val="44"/>
    </w:rPr>
  </w:style>
  <w:style w:type="character" w:customStyle="1" w:styleId="23">
    <w:name w:val="标题 2 Char"/>
    <w:basedOn w:val="18"/>
    <w:link w:val="4"/>
    <w:qFormat/>
    <w:uiPriority w:val="9"/>
    <w:rPr>
      <w:rFonts w:ascii="Times New Roman" w:hAnsi="Times New Roman" w:eastAsia="楷体_GB2312" w:cstheme="majorBidi"/>
      <w:bCs/>
      <w:sz w:val="32"/>
      <w:szCs w:val="32"/>
    </w:rPr>
  </w:style>
  <w:style w:type="character" w:customStyle="1" w:styleId="24">
    <w:name w:val="标题 3 Char"/>
    <w:basedOn w:val="18"/>
    <w:link w:val="5"/>
    <w:qFormat/>
    <w:uiPriority w:val="9"/>
    <w:rPr>
      <w:rFonts w:ascii="Times New Roman" w:hAnsi="Times New Roman" w:eastAsia="仿宋_GB2312"/>
      <w:b/>
      <w:bCs/>
      <w:sz w:val="32"/>
      <w:szCs w:val="32"/>
    </w:rPr>
  </w:style>
  <w:style w:type="character" w:customStyle="1" w:styleId="25">
    <w:name w:val="标题 4 Char"/>
    <w:basedOn w:val="18"/>
    <w:link w:val="6"/>
    <w:qFormat/>
    <w:uiPriority w:val="9"/>
    <w:rPr>
      <w:rFonts w:ascii="Times New Roman" w:hAnsi="Times New Roman" w:eastAsia="仿宋_GB2312" w:cstheme="majorBidi"/>
      <w:b/>
      <w:bCs/>
      <w:sz w:val="32"/>
      <w:szCs w:val="28"/>
    </w:rPr>
  </w:style>
  <w:style w:type="character" w:customStyle="1" w:styleId="26">
    <w:name w:val="副标题 Char"/>
    <w:basedOn w:val="18"/>
    <w:link w:val="12"/>
    <w:qFormat/>
    <w:uiPriority w:val="11"/>
    <w:rPr>
      <w:rFonts w:ascii="Times New Roman" w:hAnsi="Times New Roman" w:eastAsia="楷体"/>
      <w:bCs/>
      <w:kern w:val="28"/>
      <w:sz w:val="30"/>
      <w:szCs w:val="32"/>
    </w:rPr>
  </w:style>
  <w:style w:type="paragraph" w:customStyle="1" w:styleId="27">
    <w:name w:val="图头"/>
    <w:basedOn w:val="1"/>
    <w:next w:val="1"/>
    <w:qFormat/>
    <w:uiPriority w:val="0"/>
    <w:pPr>
      <w:spacing w:after="50" w:afterLines="50" w:line="240" w:lineRule="auto"/>
      <w:ind w:firstLine="0" w:firstLineChars="0"/>
      <w:jc w:val="center"/>
    </w:pPr>
    <w:rPr>
      <w:rFonts w:eastAsia="宋体"/>
      <w:b/>
      <w:sz w:val="24"/>
    </w:rPr>
  </w:style>
  <w:style w:type="paragraph" w:customStyle="1" w:styleId="28">
    <w:name w:val="图片"/>
    <w:basedOn w:val="1"/>
    <w:next w:val="27"/>
    <w:qFormat/>
    <w:uiPriority w:val="0"/>
    <w:pPr>
      <w:spacing w:line="240" w:lineRule="auto"/>
      <w:ind w:firstLine="0" w:firstLineChars="0"/>
      <w:jc w:val="center"/>
    </w:pPr>
    <w:rPr>
      <w:sz w:val="24"/>
    </w:rPr>
  </w:style>
  <w:style w:type="paragraph" w:customStyle="1" w:styleId="29">
    <w:name w:val="表头"/>
    <w:basedOn w:val="1"/>
    <w:next w:val="1"/>
    <w:qFormat/>
    <w:uiPriority w:val="0"/>
    <w:pPr>
      <w:spacing w:before="50" w:beforeLines="50" w:line="240" w:lineRule="auto"/>
      <w:ind w:firstLine="0" w:firstLineChars="0"/>
      <w:jc w:val="center"/>
    </w:pPr>
    <w:rPr>
      <w:rFonts w:eastAsia="宋体"/>
      <w:b/>
      <w:sz w:val="24"/>
    </w:rPr>
  </w:style>
  <w:style w:type="paragraph" w:customStyle="1" w:styleId="30">
    <w:name w:val="表格"/>
    <w:basedOn w:val="29"/>
    <w:next w:val="1"/>
    <w:qFormat/>
    <w:uiPriority w:val="0"/>
    <w:pPr>
      <w:spacing w:before="0" w:beforeLines="0"/>
    </w:pPr>
    <w:rPr>
      <w:rFonts w:eastAsia="仿宋_GB2312"/>
      <w:b w:val="0"/>
    </w:rPr>
  </w:style>
  <w:style w:type="paragraph" w:customStyle="1" w:styleId="31">
    <w:name w:val="注释"/>
    <w:basedOn w:val="1"/>
    <w:qFormat/>
    <w:uiPriority w:val="0"/>
    <w:pPr>
      <w:spacing w:line="240" w:lineRule="auto"/>
      <w:ind w:firstLine="0" w:firstLineChars="0"/>
      <w:jc w:val="right"/>
    </w:pPr>
    <w:rPr>
      <w:sz w:val="24"/>
    </w:rPr>
  </w:style>
  <w:style w:type="paragraph" w:customStyle="1" w:styleId="32">
    <w:name w:val="专栏标题"/>
    <w:basedOn w:val="1"/>
    <w:qFormat/>
    <w:uiPriority w:val="0"/>
    <w:pPr>
      <w:spacing w:line="240" w:lineRule="auto"/>
      <w:ind w:firstLine="0" w:firstLineChars="0"/>
    </w:pPr>
    <w:rPr>
      <w:rFonts w:eastAsia="黑体"/>
      <w:sz w:val="24"/>
    </w:rPr>
  </w:style>
  <w:style w:type="paragraph" w:customStyle="1" w:styleId="33">
    <w:name w:val="附件"/>
    <w:basedOn w:val="3"/>
    <w:qFormat/>
    <w:uiPriority w:val="0"/>
    <w:pPr>
      <w:numPr>
        <w:numId w:val="0"/>
      </w:numPr>
    </w:pPr>
    <w:rPr>
      <w:rFonts w:eastAsia="仿宋_GB2312"/>
      <w:b/>
    </w:rPr>
  </w:style>
  <w:style w:type="character" w:customStyle="1" w:styleId="34">
    <w:name w:val="标题 5 Char"/>
    <w:basedOn w:val="18"/>
    <w:link w:val="7"/>
    <w:semiHidden/>
    <w:qFormat/>
    <w:uiPriority w:val="9"/>
    <w:rPr>
      <w:rFonts w:ascii="Times New Roman" w:hAnsi="Times New Roman" w:eastAsia="宋体"/>
      <w:b/>
      <w:bCs/>
      <w:sz w:val="28"/>
      <w:szCs w:val="28"/>
    </w:rPr>
  </w:style>
  <w:style w:type="paragraph" w:customStyle="1" w:styleId="35">
    <w:name w:val="【封面】目录前言"/>
    <w:basedOn w:val="12"/>
    <w:qFormat/>
    <w:uiPriority w:val="0"/>
    <w:rPr>
      <w:rFonts w:eastAsia="黑体"/>
      <w:sz w:val="36"/>
    </w:rPr>
  </w:style>
  <w:style w:type="paragraph" w:customStyle="1" w:styleId="36">
    <w:name w:val="【封面】单位时间"/>
    <w:basedOn w:val="1"/>
    <w:qFormat/>
    <w:uiPriority w:val="0"/>
    <w:pPr>
      <w:ind w:firstLine="0" w:firstLineChars="0"/>
      <w:jc w:val="center"/>
    </w:pPr>
    <w:rPr>
      <w:rFonts w:eastAsia="楷体_GB2312"/>
    </w:rPr>
  </w:style>
  <w:style w:type="paragraph" w:customStyle="1" w:styleId="37">
    <w:name w:val="正文强调"/>
    <w:basedOn w:val="1"/>
    <w:next w:val="1"/>
    <w:link w:val="38"/>
    <w:qFormat/>
    <w:uiPriority w:val="0"/>
    <w:rPr>
      <w:b/>
    </w:rPr>
  </w:style>
  <w:style w:type="character" w:customStyle="1" w:styleId="38">
    <w:name w:val="正文强调 字符"/>
    <w:basedOn w:val="18"/>
    <w:link w:val="37"/>
    <w:qFormat/>
    <w:uiPriority w:val="0"/>
    <w:rPr>
      <w:rFonts w:ascii="Times New Roman" w:hAnsi="Times New Roman" w:eastAsia="仿宋_GB2312"/>
      <w:b/>
      <w:sz w:val="32"/>
    </w:rPr>
  </w:style>
  <w:style w:type="paragraph" w:customStyle="1" w:styleId="39">
    <w:name w:val="修订1"/>
    <w:hidden/>
    <w:semiHidden/>
    <w:qFormat/>
    <w:uiPriority w:val="99"/>
    <w:rPr>
      <w:rFonts w:ascii="Times New Roman" w:hAnsi="Times New Roman" w:eastAsia="仿宋_GB2312" w:cstheme="minorBidi"/>
      <w:kern w:val="2"/>
      <w:sz w:val="32"/>
      <w:szCs w:val="21"/>
      <w:lang w:val="en-US" w:eastAsia="zh-CN" w:bidi="ar-SA"/>
    </w:rPr>
  </w:style>
  <w:style w:type="paragraph" w:customStyle="1" w:styleId="40">
    <w:name w:val="专栏内容"/>
    <w:basedOn w:val="1"/>
    <w:qFormat/>
    <w:uiPriority w:val="0"/>
    <w:pPr>
      <w:spacing w:line="240" w:lineRule="auto"/>
    </w:pPr>
    <w:rPr>
      <w:rFonts w:eastAsia="楷体_GB2312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4</Pages>
  <Words>1900</Words>
  <Characters>1910</Characters>
  <Lines>13</Lines>
  <Paragraphs>3</Paragraphs>
  <TotalTime>39</TotalTime>
  <ScaleCrop>false</ScaleCrop>
  <LinksUpToDate>false</LinksUpToDate>
  <CharactersWithSpaces>1911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2020-02-07T10:16:00Z</dcterms:created>
  <dc:creator>张 天宫</dc:creator>
  <cp:lastModifiedBy>zyby</cp:lastModifiedBy>
  <cp:lastPrinted>2020-03-11T04:06:00Z</cp:lastPrinted>
  <dcterms:modified xsi:type="dcterms:W3CDTF">2026-10-19T07:12:50Z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eyJoZGlkIjoiMjc4OGUyMTQ1ZjhhNzUxNTg2NjBkNzlhZGE5ZmRlZTIiLCJ1c2VySWQiOiI1MTQxMDk1MTAifQ==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02D2A8A6E3604602B28877694E0E0DF8_13</vt:lpwstr>
  </property>
</Properties>
</file>