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BD722">
      <w:pPr>
        <w:pStyle w:val="15"/>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center"/>
        <w:textAlignment w:val="auto"/>
        <w:rPr>
          <w:rFonts w:hint="eastAsia" w:ascii="方正小标宋简体" w:hAnsi="方正小标宋简体" w:cs="方正小标宋简体"/>
        </w:rPr>
      </w:pPr>
      <w:r>
        <w:rPr>
          <w:rFonts w:hint="eastAsia" w:ascii="方正小标宋简体" w:hAnsi="方正小标宋简体" w:cs="方正小标宋简体"/>
        </w:rPr>
        <w:t>关于《</w:t>
      </w:r>
      <w:r>
        <w:rPr>
          <w:rFonts w:ascii="方正小标宋简体" w:hAnsi="方正小标宋简体" w:cs="方正小标宋简体"/>
        </w:rPr>
        <w:t>丰台区“十五五”时期</w:t>
      </w:r>
      <w:r>
        <w:rPr>
          <w:rFonts w:hint="eastAsia"/>
          <w:lang w:val="en-US" w:eastAsia="zh-CN"/>
        </w:rPr>
        <w:t>永定河以西地区建设发展规划</w:t>
      </w:r>
      <w:r>
        <w:rPr>
          <w:rFonts w:hint="eastAsia" w:ascii="方正小标宋简体" w:hAnsi="方正小标宋简体" w:cs="方正小标宋简体"/>
        </w:rPr>
        <w:t>》的起草说明</w:t>
      </w:r>
    </w:p>
    <w:p w14:paraId="5C40029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pPr>
    </w:p>
    <w:p w14:paraId="2DAD7CF8">
      <w:pPr>
        <w:pStyle w:val="2"/>
        <w:keepNext w:val="0"/>
        <w:keepLines w:val="0"/>
        <w:pageBreakBefore w:val="0"/>
        <w:widowControl w:val="0"/>
        <w:kinsoku/>
        <w:wordWrap/>
        <w:overflowPunct/>
        <w:topLinePunct w:val="0"/>
        <w:autoSpaceDE/>
        <w:autoSpaceDN/>
        <w:bidi w:val="0"/>
        <w:adjustRightInd/>
        <w:snapToGrid/>
        <w:spacing w:after="0" w:line="560" w:lineRule="exact"/>
        <w:ind w:firstLine="632" w:firstLineChars="200"/>
        <w:textAlignment w:val="auto"/>
      </w:pPr>
      <w:r>
        <w:rPr>
          <w:rFonts w:hint="eastAsia"/>
        </w:rPr>
        <w:t>起草背景</w:t>
      </w:r>
    </w:p>
    <w:p w14:paraId="73A009A3">
      <w:pPr>
        <w:keepNext w:val="0"/>
        <w:keepLines w:val="0"/>
        <w:pageBreakBefore w:val="0"/>
        <w:widowControl w:val="0"/>
        <w:kinsoku/>
        <w:wordWrap/>
        <w:overflowPunct/>
        <w:topLinePunct w:val="0"/>
        <w:autoSpaceDE/>
        <w:autoSpaceDN/>
        <w:bidi w:val="0"/>
        <w:adjustRightInd/>
        <w:snapToGrid/>
        <w:spacing w:after="0" w:line="560" w:lineRule="exact"/>
        <w:ind w:firstLine="632" w:firstLineChars="200"/>
        <w:textAlignment w:val="auto"/>
        <w:rPr>
          <w:rFonts w:hint="eastAsia"/>
          <w:szCs w:val="32"/>
          <w:highlight w:val="none"/>
        </w:rPr>
      </w:pPr>
      <w:r>
        <w:rPr>
          <w:rFonts w:hint="eastAsia"/>
          <w:lang w:val="en-US" w:eastAsia="zh-CN"/>
        </w:rPr>
        <w:t>为贯彻落实《北京市国民经济和社会发展第十五个五年规划纲要》及《北京市丰台区国民经济和社会发展第十五个五年规划和二〇三五年远景目标纲要》等上级规划要求</w:t>
      </w:r>
      <w:r>
        <w:rPr>
          <w:rFonts w:hint="eastAsia"/>
        </w:rPr>
        <w:t>，实现“科技绿谷·山水新城”的建设目标，按照</w:t>
      </w:r>
      <w:r>
        <w:rPr>
          <w:rFonts w:hint="eastAsia" w:ascii="Times New Roman" w:hAnsi="Times New Roman"/>
        </w:rPr>
        <w:t>丰台区</w:t>
      </w:r>
      <w:r>
        <w:rPr>
          <w:rFonts w:hint="eastAsia"/>
          <w:lang w:val="en-US" w:eastAsia="zh-CN"/>
        </w:rPr>
        <w:t>区</w:t>
      </w:r>
      <w:r>
        <w:rPr>
          <w:rFonts w:hint="eastAsia" w:ascii="Times New Roman" w:hAnsi="Times New Roman"/>
        </w:rPr>
        <w:t>委</w:t>
      </w:r>
      <w:r>
        <w:rPr>
          <w:rFonts w:hint="eastAsia" w:ascii="Times New Roman" w:hAnsi="Times New Roman"/>
          <w:lang w:val="en-US" w:eastAsia="zh-CN"/>
        </w:rPr>
        <w:t>、</w:t>
      </w:r>
      <w:r>
        <w:rPr>
          <w:rFonts w:hint="eastAsia" w:ascii="Times New Roman" w:hAnsi="Times New Roman"/>
        </w:rPr>
        <w:t>区政府工作部署，</w:t>
      </w:r>
      <w:r>
        <w:rPr>
          <w:rFonts w:hint="eastAsia" w:ascii="Times New Roman" w:hAnsi="Times New Roman"/>
          <w:lang w:val="en-US" w:eastAsia="zh-CN"/>
        </w:rPr>
        <w:t>区重大办</w:t>
      </w:r>
      <w:r>
        <w:rPr>
          <w:rFonts w:hint="eastAsia"/>
        </w:rPr>
        <w:t>锚定“三化五区”战略定位</w:t>
      </w:r>
      <w:r>
        <w:rPr>
          <w:rFonts w:hint="eastAsia" w:ascii="Times New Roman" w:hAnsi="Times New Roman"/>
        </w:rPr>
        <w:t>，着力打基础、补短板、提动能、利长远，</w:t>
      </w:r>
      <w:r>
        <w:rPr>
          <w:rFonts w:hint="eastAsia"/>
          <w:lang w:val="en-US" w:eastAsia="zh-CN"/>
        </w:rPr>
        <w:t>以实施</w:t>
      </w:r>
      <w:r>
        <w:rPr>
          <w:rFonts w:hint="eastAsia" w:ascii="Times New Roman" w:hAnsi="Times New Roman"/>
        </w:rPr>
        <w:t>“一升五动”行动</w:t>
      </w:r>
      <w:r>
        <w:rPr>
          <w:rFonts w:hint="eastAsia"/>
          <w:lang w:val="en-US" w:eastAsia="zh-CN"/>
        </w:rPr>
        <w:t>为重点，以重大项目为牵引</w:t>
      </w:r>
      <w:r>
        <w:rPr>
          <w:rFonts w:hint="eastAsia" w:ascii="Times New Roman" w:hAnsi="Times New Roman"/>
        </w:rPr>
        <w:t>，在全面总结</w:t>
      </w:r>
      <w:r>
        <w:rPr>
          <w:rFonts w:hint="eastAsia"/>
          <w:lang w:val="en-US" w:eastAsia="zh-CN"/>
        </w:rPr>
        <w:t>永定河以西地区（以下简称河西地区）</w:t>
      </w:r>
      <w:r>
        <w:rPr>
          <w:rFonts w:hint="eastAsia" w:ascii="Times New Roman" w:hAnsi="Times New Roman"/>
        </w:rPr>
        <w:t>“十四五”</w:t>
      </w:r>
      <w:r>
        <w:rPr>
          <w:rFonts w:hint="eastAsia"/>
          <w:lang w:val="en-US" w:eastAsia="zh-CN"/>
        </w:rPr>
        <w:t>时期发展成效</w:t>
      </w:r>
      <w:r>
        <w:rPr>
          <w:rFonts w:hint="eastAsia" w:ascii="Times New Roman" w:hAnsi="Times New Roman"/>
        </w:rPr>
        <w:t>的基础上，组织编制了《丰台区“十五五”时期永定河以西地区建设</w:t>
      </w:r>
      <w:r>
        <w:rPr>
          <w:rFonts w:hint="eastAsia" w:ascii="Times New Roman" w:hAnsi="Times New Roman"/>
          <w:highlight w:val="none"/>
        </w:rPr>
        <w:t>发展规划》（以下简称“规划”</w:t>
      </w:r>
      <w:r>
        <w:rPr>
          <w:rFonts w:hint="eastAsia"/>
          <w:szCs w:val="32"/>
          <w:highlight w:val="none"/>
        </w:rPr>
        <w:t>）。</w:t>
      </w:r>
    </w:p>
    <w:p w14:paraId="5D9EB75C">
      <w:pPr>
        <w:pStyle w:val="2"/>
        <w:keepNext w:val="0"/>
        <w:keepLines w:val="0"/>
        <w:pageBreakBefore w:val="0"/>
        <w:widowControl w:val="0"/>
        <w:kinsoku/>
        <w:wordWrap/>
        <w:overflowPunct/>
        <w:topLinePunct w:val="0"/>
        <w:autoSpaceDE/>
        <w:autoSpaceDN/>
        <w:bidi w:val="0"/>
        <w:adjustRightInd/>
        <w:snapToGrid/>
        <w:spacing w:after="0" w:line="560" w:lineRule="exact"/>
        <w:ind w:firstLine="632" w:firstLineChars="200"/>
        <w:textAlignment w:val="auto"/>
        <w:rPr>
          <w:highlight w:val="none"/>
        </w:rPr>
      </w:pPr>
      <w:r>
        <w:rPr>
          <w:rFonts w:hint="eastAsia"/>
          <w:highlight w:val="none"/>
        </w:rPr>
        <w:t>起草过程</w:t>
      </w:r>
    </w:p>
    <w:p w14:paraId="1129B83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lang w:eastAsia="zh-CN"/>
        </w:rPr>
      </w:pPr>
      <w:r>
        <w:rPr>
          <w:rFonts w:hint="eastAsia"/>
          <w:highlight w:val="none"/>
          <w:lang w:val="en-US" w:eastAsia="zh-CN"/>
        </w:rPr>
        <w:t>在规划起草</w:t>
      </w:r>
      <w:r>
        <w:rPr>
          <w:rFonts w:hint="eastAsia"/>
          <w:lang w:val="en-US" w:eastAsia="zh-CN"/>
        </w:rPr>
        <w:t>过程中，区重大办严格对标北京市、丰台区两级“十五五”规划纲要核心导向，确保本规划与市、区整体发展战略同频同步、有机衔接。立足区域实际，聚焦核心发展诉求，</w:t>
      </w:r>
      <w:r>
        <w:rPr>
          <w:rFonts w:hint="eastAsia"/>
        </w:rPr>
        <w:t>对接</w:t>
      </w:r>
      <w:r>
        <w:rPr>
          <w:rFonts w:hint="eastAsia"/>
          <w:lang w:val="en-US" w:eastAsia="zh-CN"/>
        </w:rPr>
        <w:t>相关</w:t>
      </w:r>
      <w:r>
        <w:rPr>
          <w:rFonts w:hint="eastAsia"/>
        </w:rPr>
        <w:t>行业主管部门、</w:t>
      </w:r>
      <w:r>
        <w:rPr>
          <w:rFonts w:hint="eastAsia"/>
          <w:lang w:val="en-US" w:eastAsia="zh-CN"/>
        </w:rPr>
        <w:t>街道（镇）</w:t>
      </w:r>
      <w:r>
        <w:rPr>
          <w:rFonts w:hint="eastAsia"/>
        </w:rPr>
        <w:t>及大院大所，分层分类开展座谈调研</w:t>
      </w:r>
      <w:r>
        <w:rPr>
          <w:rFonts w:hint="eastAsia"/>
          <w:lang w:eastAsia="zh-CN"/>
        </w:rPr>
        <w:t>。强化顶层统筹，集中研讨打磨规划文本，</w:t>
      </w:r>
      <w:r>
        <w:rPr>
          <w:rFonts w:hint="eastAsia"/>
        </w:rPr>
        <w:t>广泛征求各</w:t>
      </w:r>
      <w:r>
        <w:rPr>
          <w:rFonts w:hint="eastAsia"/>
          <w:lang w:val="en-US" w:eastAsia="zh-CN"/>
        </w:rPr>
        <w:t>行业主管部门</w:t>
      </w:r>
      <w:r>
        <w:rPr>
          <w:rFonts w:hint="eastAsia"/>
        </w:rPr>
        <w:t>及</w:t>
      </w:r>
      <w:r>
        <w:rPr>
          <w:rFonts w:hint="eastAsia"/>
          <w:lang w:val="en-US" w:eastAsia="zh-CN"/>
        </w:rPr>
        <w:t>相关领域专家</w:t>
      </w:r>
      <w:r>
        <w:rPr>
          <w:rFonts w:hint="eastAsia"/>
        </w:rPr>
        <w:t>意见，经过反复研究、论证与多轮讨论修订，凝聚共识形成规划成果</w:t>
      </w:r>
      <w:r>
        <w:rPr>
          <w:rFonts w:hint="eastAsia"/>
          <w:lang w:eastAsia="zh-CN"/>
        </w:rPr>
        <w:t>。</w:t>
      </w:r>
    </w:p>
    <w:p w14:paraId="2426CE8B">
      <w:pPr>
        <w:pStyle w:val="2"/>
        <w:keepNext w:val="0"/>
        <w:keepLines w:val="0"/>
        <w:pageBreakBefore w:val="0"/>
        <w:widowControl w:val="0"/>
        <w:kinsoku/>
        <w:wordWrap/>
        <w:overflowPunct/>
        <w:topLinePunct w:val="0"/>
        <w:autoSpaceDE/>
        <w:autoSpaceDN/>
        <w:bidi w:val="0"/>
        <w:adjustRightInd/>
        <w:snapToGrid/>
        <w:spacing w:after="0" w:line="560" w:lineRule="exact"/>
        <w:ind w:firstLine="632" w:firstLineChars="200"/>
        <w:textAlignment w:val="auto"/>
      </w:pPr>
      <w:r>
        <w:rPr>
          <w:rFonts w:hint="eastAsia"/>
        </w:rPr>
        <w:t>主要内容</w:t>
      </w:r>
    </w:p>
    <w:p w14:paraId="7FCE66F6">
      <w:pPr>
        <w:keepNext w:val="0"/>
        <w:keepLines w:val="0"/>
        <w:pageBreakBefore w:val="0"/>
        <w:widowControl w:val="0"/>
        <w:kinsoku/>
        <w:wordWrap/>
        <w:overflowPunct/>
        <w:topLinePunct w:val="0"/>
        <w:autoSpaceDE/>
        <w:autoSpaceDN/>
        <w:bidi w:val="0"/>
        <w:adjustRightInd/>
        <w:snapToGrid/>
        <w:spacing w:after="0" w:line="560" w:lineRule="exact"/>
        <w:ind w:firstLine="632" w:firstLineChars="200"/>
        <w:textAlignment w:val="auto"/>
        <w:rPr>
          <w:rFonts w:hint="eastAsia" w:ascii="仿宋_GB2312" w:hAnsi="仿宋_GB2312" w:eastAsia="仿宋_GB2312" w:cs="仿宋_GB2312"/>
          <w:color w:val="4472C4" w:themeColor="accent1"/>
          <w:szCs w:val="32"/>
          <w:lang w:eastAsia="zh-CN"/>
          <w14:textFill>
            <w14:solidFill>
              <w14:schemeClr w14:val="accent1"/>
            </w14:solidFill>
          </w14:textFill>
        </w:rPr>
      </w:pPr>
      <w:r>
        <w:rPr>
          <w:rFonts w:hint="eastAsia" w:ascii="仿宋_GB2312" w:hAnsi="仿宋_GB2312" w:cs="仿宋_GB2312"/>
          <w:color w:val="auto"/>
          <w:szCs w:val="32"/>
        </w:rPr>
        <w:t>规划</w:t>
      </w:r>
      <w:r>
        <w:rPr>
          <w:rFonts w:hint="eastAsia" w:ascii="仿宋_GB2312" w:hAnsi="仿宋_GB2312" w:cs="仿宋_GB2312"/>
          <w:color w:val="auto"/>
          <w:szCs w:val="32"/>
          <w:lang w:val="en-US" w:eastAsia="zh-CN"/>
        </w:rPr>
        <w:t>共</w:t>
      </w:r>
      <w:r>
        <w:rPr>
          <w:rFonts w:hint="eastAsia" w:ascii="仿宋_GB2312" w:hAnsi="仿宋_GB2312" w:cs="仿宋_GB2312"/>
          <w:color w:val="auto"/>
          <w:szCs w:val="32"/>
        </w:rPr>
        <w:t>分</w:t>
      </w:r>
      <w:r>
        <w:rPr>
          <w:rFonts w:hint="eastAsia" w:ascii="仿宋_GB2312" w:hAnsi="仿宋_GB2312" w:cs="仿宋_GB2312"/>
          <w:color w:val="auto"/>
          <w:szCs w:val="32"/>
          <w:lang w:val="en-US" w:eastAsia="zh-CN"/>
        </w:rPr>
        <w:t>为</w:t>
      </w:r>
      <w:r>
        <w:rPr>
          <w:rFonts w:hint="eastAsia" w:ascii="仿宋_GB2312" w:hAnsi="仿宋_GB2312" w:cs="仿宋_GB2312"/>
          <w:color w:val="auto"/>
          <w:szCs w:val="32"/>
        </w:rPr>
        <w:t>三个板块</w:t>
      </w:r>
      <w:r>
        <w:rPr>
          <w:rFonts w:hint="eastAsia" w:ascii="仿宋_GB2312" w:hAnsi="仿宋_GB2312" w:cs="仿宋_GB2312"/>
          <w:color w:val="4472C4" w:themeColor="accent1"/>
          <w:szCs w:val="32"/>
          <w:lang w:eastAsia="zh-CN"/>
          <w14:textFill>
            <w14:solidFill>
              <w14:schemeClr w14:val="accent1"/>
            </w14:solidFill>
          </w14:textFill>
        </w:rPr>
        <w:t>。</w:t>
      </w:r>
    </w:p>
    <w:p w14:paraId="3505CD68">
      <w:pPr>
        <w:keepNext w:val="0"/>
        <w:keepLines w:val="0"/>
        <w:pageBreakBefore w:val="0"/>
        <w:widowControl w:val="0"/>
        <w:kinsoku/>
        <w:wordWrap/>
        <w:overflowPunct/>
        <w:topLinePunct w:val="0"/>
        <w:autoSpaceDE/>
        <w:autoSpaceDN/>
        <w:bidi w:val="0"/>
        <w:adjustRightInd/>
        <w:snapToGrid/>
        <w:spacing w:after="0" w:line="560" w:lineRule="exact"/>
        <w:ind w:firstLine="632" w:firstLineChars="200"/>
        <w:textAlignment w:val="auto"/>
        <w:rPr>
          <w:rFonts w:ascii="仿宋_GB2312" w:hAnsi="仿宋_GB2312" w:cs="仿宋_GB2312"/>
          <w:color w:val="4472C4" w:themeColor="accent1"/>
          <w:szCs w:val="32"/>
          <w14:textFill>
            <w14:solidFill>
              <w14:schemeClr w14:val="accent1"/>
            </w14:solidFill>
          </w14:textFill>
        </w:rPr>
      </w:pPr>
      <w:r>
        <w:rPr>
          <w:rFonts w:hint="eastAsia" w:ascii="仿宋_GB2312" w:hAnsi="仿宋_GB2312" w:cs="仿宋_GB2312"/>
          <w:b/>
          <w:bCs/>
          <w:szCs w:val="32"/>
        </w:rPr>
        <w:t>第一板块为总体要求</w:t>
      </w:r>
      <w:r>
        <w:rPr>
          <w:rFonts w:hint="eastAsia" w:ascii="仿宋_GB2312" w:hAnsi="仿宋_GB2312" w:cs="仿宋_GB2312"/>
          <w:szCs w:val="32"/>
          <w:lang w:eastAsia="zh-CN"/>
        </w:rPr>
        <w:t>，</w:t>
      </w:r>
      <w:r>
        <w:rPr>
          <w:rFonts w:hint="eastAsia"/>
          <w:lang w:eastAsia="zh-CN"/>
        </w:rPr>
        <w:t>明确总体发展思路，以新时代首都发展为统领、以高质量发展为主题</w:t>
      </w:r>
      <w:r>
        <w:rPr>
          <w:rFonts w:hint="eastAsia"/>
          <w:lang w:val="en-US" w:eastAsia="zh-CN"/>
        </w:rPr>
        <w:t>、以重大项目为牵引，</w:t>
      </w:r>
      <w:r>
        <w:rPr>
          <w:rFonts w:hint="eastAsia"/>
        </w:rPr>
        <w:t>围绕提升服务保障能级、拉动产业高质量发展、带动区域承载能力提升、联动城乡融合发展、推动民生福祉提质增效、驱动高品质生态空间焕新有步骤、分时序实施一批重点项目，以“两园一河”为核心，以地铁1号线支线为发展轴线，联动卢沟桥—宛平城—长辛店文化翼、园博园—北宫—千灵山生态翼，激活全域功能节点，</w:t>
      </w:r>
      <w:r>
        <w:rPr>
          <w:rFonts w:hint="eastAsia"/>
          <w:color w:val="auto"/>
        </w:rPr>
        <w:t>构建“一核·一轴·两翼·多点”城市发展格局</w:t>
      </w:r>
      <w:r>
        <w:rPr>
          <w:rFonts w:hint="eastAsia"/>
          <w:color w:val="auto"/>
          <w:lang w:eastAsia="zh-CN"/>
        </w:rPr>
        <w:t>，</w:t>
      </w:r>
      <w:r>
        <w:rPr>
          <w:rFonts w:hint="eastAsia"/>
          <w:color w:val="auto"/>
        </w:rPr>
        <w:t>将河西地区打造成为承载首都功能新的前沿阵地</w:t>
      </w:r>
      <w:r>
        <w:rPr>
          <w:rFonts w:hint="eastAsia"/>
          <w:color w:val="auto"/>
          <w:lang w:eastAsia="zh-CN"/>
        </w:rPr>
        <w:t>，明确2030年</w:t>
      </w:r>
      <w:r>
        <w:rPr>
          <w:rFonts w:hint="eastAsia"/>
          <w:color w:val="auto"/>
          <w:lang w:val="en-US" w:eastAsia="zh-CN"/>
        </w:rPr>
        <w:t>初步实现</w:t>
      </w:r>
      <w:r>
        <w:rPr>
          <w:rFonts w:hint="eastAsia"/>
          <w:color w:val="auto"/>
          <w:lang w:eastAsia="zh-CN"/>
        </w:rPr>
        <w:t>“科技绿谷、山水新城”</w:t>
      </w:r>
      <w:r>
        <w:rPr>
          <w:rFonts w:hint="eastAsia"/>
          <w:color w:val="auto"/>
          <w:lang w:val="en-US" w:eastAsia="zh-CN"/>
        </w:rPr>
        <w:t>的</w:t>
      </w:r>
      <w:r>
        <w:rPr>
          <w:rFonts w:hint="eastAsia"/>
          <w:color w:val="auto"/>
          <w:lang w:eastAsia="zh-CN"/>
        </w:rPr>
        <w:t>发展愿景。</w:t>
      </w:r>
      <w:r>
        <w:rPr>
          <w:rFonts w:hint="eastAsia" w:ascii="仿宋_GB2312" w:hAnsi="仿宋_GB2312" w:cs="仿宋_GB2312"/>
          <w:color w:val="auto"/>
          <w:szCs w:val="32"/>
        </w:rPr>
        <w:t>对标上级规划</w:t>
      </w:r>
      <w:r>
        <w:rPr>
          <w:rFonts w:hint="eastAsia" w:ascii="仿宋_GB2312" w:hAnsi="仿宋_GB2312" w:cs="仿宋_GB2312"/>
          <w:color w:val="auto"/>
          <w:szCs w:val="32"/>
          <w:lang w:val="en-US" w:eastAsia="zh-CN"/>
        </w:rPr>
        <w:t>及各类专项规划</w:t>
      </w:r>
      <w:r>
        <w:rPr>
          <w:rFonts w:hint="eastAsia" w:ascii="仿宋_GB2312" w:hAnsi="仿宋_GB2312" w:cs="仿宋_GB2312"/>
          <w:color w:val="auto"/>
          <w:szCs w:val="32"/>
        </w:rPr>
        <w:t>设置</w:t>
      </w:r>
      <w:r>
        <w:rPr>
          <w:rFonts w:hint="eastAsia" w:ascii="仿宋_GB2312" w:hAnsi="仿宋_GB2312" w:cs="仿宋_GB2312"/>
          <w:color w:val="auto"/>
          <w:szCs w:val="32"/>
          <w:lang w:val="en-US" w:eastAsia="zh-CN"/>
        </w:rPr>
        <w:t>8</w:t>
      </w:r>
      <w:r>
        <w:rPr>
          <w:rFonts w:hint="eastAsia" w:ascii="仿宋_GB2312" w:hAnsi="仿宋_GB2312" w:cs="仿宋_GB2312"/>
          <w:color w:val="auto"/>
          <w:szCs w:val="32"/>
        </w:rPr>
        <w:t>项指标。</w:t>
      </w:r>
    </w:p>
    <w:p w14:paraId="7E4B4096">
      <w:pPr>
        <w:keepNext w:val="0"/>
        <w:keepLines w:val="0"/>
        <w:pageBreakBefore w:val="0"/>
        <w:widowControl w:val="0"/>
        <w:kinsoku/>
        <w:wordWrap/>
        <w:overflowPunct/>
        <w:topLinePunct w:val="0"/>
        <w:autoSpaceDE/>
        <w:autoSpaceDN/>
        <w:bidi w:val="0"/>
        <w:adjustRightInd/>
        <w:snapToGrid/>
        <w:spacing w:after="0" w:line="560" w:lineRule="exact"/>
        <w:ind w:firstLine="632" w:firstLineChars="200"/>
        <w:textAlignment w:val="auto"/>
        <w:rPr>
          <w:rFonts w:hint="eastAsia" w:ascii="仿宋_GB2312" w:hAnsi="仿宋_GB2312" w:cs="仿宋_GB2312"/>
          <w:szCs w:val="32"/>
        </w:rPr>
      </w:pPr>
      <w:r>
        <w:rPr>
          <w:rFonts w:hint="eastAsia" w:ascii="仿宋_GB2312" w:hAnsi="仿宋_GB2312" w:cs="仿宋_GB2312"/>
          <w:b/>
          <w:bCs/>
          <w:szCs w:val="32"/>
        </w:rPr>
        <w:t>第二板块为重点任务</w:t>
      </w:r>
      <w:r>
        <w:rPr>
          <w:rFonts w:hint="eastAsia" w:ascii="仿宋_GB2312" w:hAnsi="仿宋_GB2312" w:cs="仿宋_GB2312"/>
          <w:szCs w:val="32"/>
        </w:rPr>
        <w:t>，</w:t>
      </w:r>
      <w:r>
        <w:rPr>
          <w:rFonts w:hint="eastAsia" w:ascii="仿宋_GB2312" w:hAnsi="仿宋_GB2312" w:cs="仿宋_GB2312"/>
          <w:szCs w:val="32"/>
          <w:lang w:val="en-US" w:eastAsia="zh-CN"/>
        </w:rPr>
        <w:t>围绕“一升五动”部署六项重点</w:t>
      </w:r>
      <w:r>
        <w:rPr>
          <w:rFonts w:hint="eastAsia" w:ascii="仿宋_GB2312" w:hAnsi="仿宋_GB2312" w:cs="仿宋_GB2312"/>
          <w:szCs w:val="32"/>
        </w:rPr>
        <w:t>任务：</w:t>
      </w:r>
    </w:p>
    <w:p w14:paraId="70E65533">
      <w:pPr>
        <w:keepNext w:val="0"/>
        <w:keepLines w:val="0"/>
        <w:pageBreakBefore w:val="0"/>
        <w:widowControl w:val="0"/>
        <w:kinsoku/>
        <w:wordWrap/>
        <w:overflowPunct/>
        <w:topLinePunct w:val="0"/>
        <w:autoSpaceDE/>
        <w:autoSpaceDN/>
        <w:bidi w:val="0"/>
        <w:adjustRightInd/>
        <w:snapToGrid/>
        <w:textAlignment w:val="auto"/>
        <w:rPr>
          <w:rFonts w:hint="eastAsia" w:eastAsia="仿宋_GB2312"/>
          <w:lang w:eastAsia="zh-CN"/>
        </w:rPr>
      </w:pPr>
      <w:r>
        <w:rPr>
          <w:rFonts w:hint="eastAsia"/>
          <w:b/>
          <w:bCs/>
          <w:lang w:val="en-US" w:eastAsia="zh-CN"/>
        </w:rPr>
        <w:t>（一）</w:t>
      </w:r>
      <w:r>
        <w:rPr>
          <w:rFonts w:hint="eastAsia"/>
          <w:b/>
          <w:bCs/>
        </w:rPr>
        <w:t>聚焦首都功能定位，提升服务保障能级</w:t>
      </w:r>
      <w:r>
        <w:rPr>
          <w:rFonts w:hint="eastAsia"/>
          <w:b/>
          <w:bCs/>
          <w:lang w:eastAsia="zh-CN"/>
        </w:rPr>
        <w:t>。</w:t>
      </w:r>
      <w:r>
        <w:rPr>
          <w:rFonts w:hint="eastAsia"/>
        </w:rPr>
        <w:t>立足首都功能定位，夯实服务保障、文化交往、科技创新支撑，提升区域综合承载能力，推进建设首都功能拓展区，打造首都功能承载前沿阵地</w:t>
      </w:r>
      <w:r>
        <w:rPr>
          <w:rFonts w:hint="eastAsia"/>
          <w:lang w:eastAsia="zh-CN"/>
        </w:rPr>
        <w:t>。</w:t>
      </w:r>
    </w:p>
    <w:p w14:paraId="61904736">
      <w:pPr>
        <w:keepNext w:val="0"/>
        <w:keepLines w:val="0"/>
        <w:pageBreakBefore w:val="0"/>
        <w:widowControl w:val="0"/>
        <w:kinsoku/>
        <w:wordWrap/>
        <w:overflowPunct/>
        <w:topLinePunct w:val="0"/>
        <w:autoSpaceDE/>
        <w:autoSpaceDN/>
        <w:bidi w:val="0"/>
        <w:adjustRightInd/>
        <w:snapToGrid/>
        <w:textAlignment w:val="auto"/>
        <w:rPr>
          <w:rFonts w:hint="eastAsia" w:eastAsia="仿宋_GB2312"/>
          <w:lang w:eastAsia="zh-CN"/>
        </w:rPr>
      </w:pPr>
      <w:r>
        <w:rPr>
          <w:rFonts w:hint="eastAsia"/>
          <w:b/>
          <w:bCs/>
          <w:lang w:val="en-US" w:eastAsia="zh-CN"/>
        </w:rPr>
        <w:t>（二）</w:t>
      </w:r>
      <w:r>
        <w:rPr>
          <w:rFonts w:hint="eastAsia"/>
          <w:b/>
          <w:bCs/>
        </w:rPr>
        <w:t>打造优质产业空间，拉动产业高质量发展</w:t>
      </w:r>
      <w:r>
        <w:rPr>
          <w:rFonts w:hint="eastAsia"/>
          <w:b/>
          <w:bCs/>
          <w:lang w:eastAsia="zh-CN"/>
        </w:rPr>
        <w:t>。</w:t>
      </w:r>
      <w:r>
        <w:rPr>
          <w:rFonts w:hint="eastAsia"/>
        </w:rPr>
        <w:t>紧抓“两园一河”协同联动发展重大战略机遇，打造兼具生态底蕴与文化内涵的高品质产业空间，引导优质资源要素向轨道沿线集聚，盘活区域存量低效产业空间，为河西地区轨道交通、航空航天、科技服务等产业发展筑牢坚实基础，将场景创新作为培育新质生产力的重要路径，有力支撑全区“4+5+X”现代产业体系构建，助力全区建设产城融合创新区</w:t>
      </w:r>
      <w:r>
        <w:rPr>
          <w:rFonts w:hint="eastAsia"/>
          <w:lang w:eastAsia="zh-CN"/>
        </w:rPr>
        <w:t>。</w:t>
      </w:r>
    </w:p>
    <w:p w14:paraId="4EF1C881">
      <w:pPr>
        <w:keepNext w:val="0"/>
        <w:keepLines w:val="0"/>
        <w:pageBreakBefore w:val="0"/>
        <w:widowControl w:val="0"/>
        <w:kinsoku/>
        <w:wordWrap/>
        <w:overflowPunct/>
        <w:topLinePunct w:val="0"/>
        <w:autoSpaceDE/>
        <w:autoSpaceDN/>
        <w:bidi w:val="0"/>
        <w:adjustRightInd/>
        <w:snapToGrid/>
        <w:textAlignment w:val="auto"/>
      </w:pPr>
      <w:r>
        <w:rPr>
          <w:rFonts w:hint="eastAsia"/>
          <w:b/>
          <w:bCs/>
          <w:lang w:val="en-US" w:eastAsia="zh-CN"/>
        </w:rPr>
        <w:t>（三）</w:t>
      </w:r>
      <w:r>
        <w:rPr>
          <w:rFonts w:hint="eastAsia"/>
          <w:b/>
          <w:bCs/>
        </w:rPr>
        <w:t>完善基础设施布局，带动区域承载能力提升</w:t>
      </w:r>
      <w:r>
        <w:rPr>
          <w:rFonts w:hint="eastAsia"/>
          <w:b/>
          <w:bCs/>
          <w:lang w:eastAsia="zh-CN"/>
        </w:rPr>
        <w:t>。</w:t>
      </w:r>
      <w:r>
        <w:rPr>
          <w:rFonts w:hint="eastAsia"/>
        </w:rPr>
        <w:t>聚焦区域基础设施网络优化完善，统筹推进轨道交通、城市道路、市政设施、能源保障</w:t>
      </w:r>
      <w:r>
        <w:rPr>
          <w:rFonts w:hint="eastAsia"/>
          <w:lang w:eastAsia="zh-CN"/>
        </w:rPr>
        <w:t>、</w:t>
      </w:r>
      <w:r>
        <w:rPr>
          <w:rFonts w:hint="eastAsia"/>
          <w:lang w:val="en-US" w:eastAsia="zh-CN"/>
        </w:rPr>
        <w:t>城市安全</w:t>
      </w:r>
      <w:r>
        <w:rPr>
          <w:rFonts w:hint="eastAsia"/>
        </w:rPr>
        <w:t>等领域重点项目，推动基础设施项目围绕重点区域优先布局，建立与产业承载提升以及服务首都功能相契合的现代化基础设施体系，推进城市现代化发展</w:t>
      </w:r>
      <w:r>
        <w:rPr>
          <w:rFonts w:hint="eastAsia"/>
          <w:lang w:eastAsia="zh-CN"/>
        </w:rPr>
        <w:t>。</w:t>
      </w:r>
    </w:p>
    <w:p w14:paraId="6D6AA153">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b/>
          <w:bCs/>
          <w:lang w:val="en-US" w:eastAsia="zh-CN"/>
        </w:rPr>
        <w:t>（四）</w:t>
      </w:r>
      <w:r>
        <w:rPr>
          <w:rFonts w:hint="eastAsia"/>
          <w:b/>
          <w:bCs/>
        </w:rPr>
        <w:t>锚定“三农”领域需求，联动城乡融合发展</w:t>
      </w:r>
      <w:r>
        <w:rPr>
          <w:rFonts w:hint="eastAsia"/>
          <w:b/>
          <w:bCs/>
          <w:lang w:eastAsia="zh-CN"/>
        </w:rPr>
        <w:t>。</w:t>
      </w:r>
      <w:r>
        <w:rPr>
          <w:rFonts w:hint="eastAsia"/>
        </w:rPr>
        <w:t>紧抓轨道交通1号线支线建设契机，坚持城市化发展思路，围绕轨道交通站点优化城乡空间格局，做强村级集体经济，促进农文旅体商深度融合发展，推动乡村环境持续改善，促进农业增效益、农村增活力、农民增收入，扎实推进乡村全面振兴</w:t>
      </w:r>
      <w:r>
        <w:rPr>
          <w:rFonts w:hint="eastAsia"/>
          <w:lang w:eastAsia="zh-CN"/>
        </w:rPr>
        <w:t>。</w:t>
      </w:r>
    </w:p>
    <w:p w14:paraId="287474B1">
      <w:pPr>
        <w:keepNext w:val="0"/>
        <w:keepLines w:val="0"/>
        <w:pageBreakBefore w:val="0"/>
        <w:widowControl w:val="0"/>
        <w:kinsoku/>
        <w:wordWrap/>
        <w:overflowPunct/>
        <w:topLinePunct w:val="0"/>
        <w:autoSpaceDE/>
        <w:autoSpaceDN/>
        <w:bidi w:val="0"/>
        <w:adjustRightInd/>
        <w:snapToGrid/>
        <w:textAlignment w:val="auto"/>
        <w:rPr>
          <w:rFonts w:hint="eastAsia" w:eastAsia="仿宋_GB2312"/>
          <w:lang w:eastAsia="zh-CN"/>
        </w:rPr>
      </w:pPr>
      <w:r>
        <w:rPr>
          <w:rFonts w:hint="eastAsia"/>
          <w:b/>
          <w:bCs/>
          <w:lang w:val="en-US" w:eastAsia="zh-CN"/>
        </w:rPr>
        <w:t>（五）</w:t>
      </w:r>
      <w:r>
        <w:rPr>
          <w:rFonts w:hint="eastAsia"/>
          <w:b/>
          <w:bCs/>
        </w:rPr>
        <w:t>优化公共资源配置，推动民生福祉提质增效</w:t>
      </w:r>
      <w:r>
        <w:rPr>
          <w:rFonts w:hint="eastAsia"/>
          <w:b/>
          <w:bCs/>
          <w:lang w:eastAsia="zh-CN"/>
        </w:rPr>
        <w:t>。</w:t>
      </w:r>
      <w:r>
        <w:rPr>
          <w:rFonts w:hint="eastAsia"/>
        </w:rPr>
        <w:t>坚持以人民为中心的发展思想，健全与人口结构变化相协调的服务体系，推动全民普惠、全龄贯通的公共服务资源共建共享，完善住房、教育、医疗、养老配套</w:t>
      </w:r>
      <w:r>
        <w:rPr>
          <w:rFonts w:hint="eastAsia"/>
          <w:lang w:val="en-US" w:eastAsia="zh-CN"/>
        </w:rPr>
        <w:t>及就业服务</w:t>
      </w:r>
      <w:r>
        <w:rPr>
          <w:rFonts w:hint="eastAsia"/>
        </w:rPr>
        <w:t>，提升民生服务品质</w:t>
      </w:r>
      <w:r>
        <w:rPr>
          <w:rFonts w:hint="eastAsia"/>
          <w:lang w:eastAsia="zh-CN"/>
        </w:rPr>
        <w:t>，</w:t>
      </w:r>
      <w:r>
        <w:rPr>
          <w:rFonts w:hint="eastAsia"/>
        </w:rPr>
        <w:t>不断增强人民群众的获得感、幸福感与安全感</w:t>
      </w:r>
      <w:r>
        <w:rPr>
          <w:rFonts w:hint="eastAsia"/>
          <w:lang w:eastAsia="zh-CN"/>
        </w:rPr>
        <w:t>。</w:t>
      </w:r>
      <w:bookmarkStart w:id="0" w:name="_GoBack"/>
      <w:bookmarkEnd w:id="0"/>
    </w:p>
    <w:p w14:paraId="2ED45677">
      <w:pPr>
        <w:keepNext w:val="0"/>
        <w:keepLines w:val="0"/>
        <w:pageBreakBefore w:val="0"/>
        <w:widowControl w:val="0"/>
        <w:kinsoku/>
        <w:wordWrap/>
        <w:overflowPunct/>
        <w:topLinePunct w:val="0"/>
        <w:autoSpaceDE/>
        <w:autoSpaceDN/>
        <w:bidi w:val="0"/>
        <w:adjustRightInd/>
        <w:snapToGrid/>
        <w:textAlignment w:val="auto"/>
      </w:pPr>
      <w:r>
        <w:rPr>
          <w:rFonts w:hint="eastAsia"/>
          <w:b/>
          <w:bCs/>
          <w:lang w:val="en-US" w:eastAsia="zh-CN"/>
        </w:rPr>
        <w:t>（六）</w:t>
      </w:r>
      <w:r>
        <w:rPr>
          <w:rFonts w:hint="eastAsia"/>
          <w:b/>
          <w:bCs/>
        </w:rPr>
        <w:t>筑牢山水生态基底，驱动高品质生态空间焕新</w:t>
      </w:r>
      <w:r>
        <w:rPr>
          <w:rFonts w:hint="eastAsia"/>
          <w:b/>
          <w:bCs/>
          <w:lang w:eastAsia="zh-CN"/>
        </w:rPr>
        <w:t>。</w:t>
      </w:r>
      <w:r>
        <w:rPr>
          <w:rFonts w:hint="eastAsia"/>
        </w:rPr>
        <w:t>高标准推进美丽河湖建设，构建区域蓝色生态廊道网络，强化北部山区生态保护与系统治理，构建绿色生态屏障，积极打造一批贴近市民、功能复合的自然生态活力空间，推动花园城市特色区建设，构建以山水生态筑基、以蓝绿空间赋能的发展模式。</w:t>
      </w:r>
    </w:p>
    <w:p w14:paraId="071EB54D">
      <w:pPr>
        <w:keepNext w:val="0"/>
        <w:keepLines w:val="0"/>
        <w:pageBreakBefore w:val="0"/>
        <w:widowControl w:val="0"/>
        <w:kinsoku/>
        <w:wordWrap/>
        <w:overflowPunct/>
        <w:topLinePunct w:val="0"/>
        <w:autoSpaceDE/>
        <w:autoSpaceDN/>
        <w:bidi w:val="0"/>
        <w:adjustRightInd/>
        <w:snapToGrid/>
        <w:textAlignment w:val="auto"/>
      </w:pPr>
      <w:r>
        <w:rPr>
          <w:rFonts w:hint="eastAsia"/>
          <w:b/>
          <w:bCs/>
        </w:rPr>
        <w:t>第三板块为保障措施</w:t>
      </w:r>
      <w:r>
        <w:rPr>
          <w:rFonts w:hint="eastAsia"/>
          <w:lang w:eastAsia="zh-CN"/>
        </w:rPr>
        <w:t>，</w:t>
      </w:r>
      <w:r>
        <w:rPr>
          <w:rFonts w:hint="eastAsia"/>
        </w:rPr>
        <w:t>包括</w:t>
      </w:r>
      <w:r>
        <w:t>加强组织领导</w:t>
      </w:r>
      <w:r>
        <w:rPr>
          <w:rFonts w:hint="eastAsia"/>
        </w:rPr>
        <w:t>，</w:t>
      </w:r>
      <w:r>
        <w:t>落实资金保障</w:t>
      </w:r>
      <w:r>
        <w:rPr>
          <w:rFonts w:hint="eastAsia"/>
        </w:rPr>
        <w:t>、加强人才引育等</w:t>
      </w:r>
      <w:r>
        <w:rPr>
          <w:rFonts w:hint="eastAsia"/>
          <w:lang w:val="en-US" w:eastAsia="zh-CN"/>
        </w:rPr>
        <w:t>重点措施</w:t>
      </w:r>
      <w:r>
        <w:rPr>
          <w:rFonts w:hint="eastAsia"/>
        </w:rPr>
        <w:t>。</w:t>
      </w:r>
    </w:p>
    <w:p w14:paraId="5B833EC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1418" w:gutter="0"/>
      <w:pgNumType w:start="1"/>
      <w:cols w:space="0"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Microsoft YaHei">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1705F">
    <w:pPr>
      <w:pStyle w:val="8"/>
      <w:ind w:right="320" w:rightChars="100" w:firstLine="1120"/>
      <w:jc w:val="right"/>
      <w:rPr>
        <w:rFonts w:ascii="宋体"/>
        <w:b/>
        <w:sz w:val="28"/>
        <w:szCs w:val="28"/>
      </w:rPr>
    </w:pPr>
    <w:r>
      <w:rPr>
        <w:rFonts w:hint="eastAsia" w:ascii="宋体"/>
        <w:sz w:val="28"/>
        <w:szCs w:val="28"/>
      </w:rPr>
      <w:t xml:space="preserve">— </w:t>
    </w: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3</w:t>
    </w:r>
    <w:r>
      <w:rPr>
        <w:rFonts w:ascii="宋体"/>
        <w:sz w:val="28"/>
        <w:szCs w:val="28"/>
      </w:rPr>
      <w:fldChar w:fldCharType="end"/>
    </w:r>
    <w:r>
      <w:rPr>
        <w:rFonts w:ascii="宋体"/>
        <w:sz w:val="28"/>
        <w:szCs w:val="28"/>
      </w:rPr>
      <w:t xml:space="preserve"> </w:t>
    </w:r>
    <w:r>
      <w:rPr>
        <w:rFonts w:hint="eastAsia" w:ascii="宋体"/>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1474D">
    <w:pPr>
      <w:pStyle w:val="8"/>
      <w:ind w:left="320" w:leftChars="100" w:right="320" w:rightChars="100"/>
      <w:jc w:val="both"/>
      <w:rPr>
        <w:rFonts w:ascii="宋体"/>
        <w:b/>
        <w:sz w:val="28"/>
        <w:szCs w:val="28"/>
      </w:rPr>
    </w:pPr>
    <w:r>
      <w:rPr>
        <w:rFonts w:hint="eastAsia" w:ascii="宋体"/>
        <w:sz w:val="28"/>
        <w:szCs w:val="28"/>
      </w:rPr>
      <w:t xml:space="preserve">— </w:t>
    </w: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2</w:t>
    </w:r>
    <w:r>
      <w:rPr>
        <w:rFonts w:ascii="宋体"/>
        <w:sz w:val="28"/>
        <w:szCs w:val="28"/>
      </w:rPr>
      <w:fldChar w:fldCharType="end"/>
    </w:r>
    <w:r>
      <w:rPr>
        <w:rFonts w:ascii="宋体"/>
        <w:sz w:val="28"/>
        <w:szCs w:val="28"/>
      </w:rPr>
      <w:t xml:space="preserve"> </w:t>
    </w:r>
    <w:r>
      <w:rPr>
        <w:rFonts w:hint="eastAsia" w:ascii="宋体"/>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AEA23">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32"/>
      </w:pPr>
      <w:r>
        <w:separator/>
      </w:r>
    </w:p>
  </w:footnote>
  <w:footnote w:type="continuationSeparator" w:id="1">
    <w:p>
      <w:pPr>
        <w:spacing w:before="0" w:after="0" w:line="240" w:lineRule="auto"/>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7B9EF">
    <w:pPr>
      <w:ind w:firstLine="0" w:firstLineChars="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06B05">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E180E">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066B16"/>
    <w:multiLevelType w:val="multilevel"/>
    <w:tmpl w:val="14066B16"/>
    <w:lvl w:ilvl="0" w:tentative="0">
      <w:start w:val="1"/>
      <w:numFmt w:val="chineseCountingThousand"/>
      <w:pStyle w:val="2"/>
      <w:suff w:val="nothing"/>
      <w:lvlText w:val="%1、"/>
      <w:lvlJc w:val="left"/>
      <w:pPr>
        <w:ind w:left="0" w:firstLine="0"/>
      </w:pPr>
      <w:rPr>
        <w:rFonts w:hint="default" w:ascii="Times New Roman" w:hAnsi="Times New Roman" w:eastAsia="黑体"/>
        <w:sz w:val="32"/>
      </w:rPr>
    </w:lvl>
    <w:lvl w:ilvl="1" w:tentative="0">
      <w:start w:val="1"/>
      <w:numFmt w:val="chineseCountingThousand"/>
      <w:pStyle w:val="3"/>
      <w:suff w:val="nothing"/>
      <w:lvlText w:val="（%2）"/>
      <w:lvlJc w:val="left"/>
      <w:pPr>
        <w:ind w:left="0" w:firstLine="0"/>
      </w:pPr>
      <w:rPr>
        <w:rFonts w:hint="eastAsia" w:ascii="Times New Roman" w:hAnsi="Times New Roman" w:eastAsia="楷体_GB2312"/>
        <w:b w:val="0"/>
        <w:bCs/>
        <w:i w:val="0"/>
        <w:sz w:val="32"/>
      </w:rPr>
    </w:lvl>
    <w:lvl w:ilvl="2" w:tentative="0">
      <w:start w:val="1"/>
      <w:numFmt w:val="decimal"/>
      <w:pStyle w:val="4"/>
      <w:suff w:val="nothing"/>
      <w:lvlText w:val="%3. "/>
      <w:lvlJc w:val="left"/>
      <w:pPr>
        <w:ind w:left="0" w:firstLine="0"/>
      </w:pPr>
      <w:rPr>
        <w:rFonts w:hint="default" w:ascii="Times New Roman" w:hAnsi="Times New Roman" w:eastAsia="仿宋_GB2312"/>
        <w:b/>
        <w:i w:val="0"/>
        <w:sz w:val="32"/>
      </w:rPr>
    </w:lvl>
    <w:lvl w:ilvl="3" w:tentative="0">
      <w:start w:val="1"/>
      <w:numFmt w:val="decimal"/>
      <w:pStyle w:val="5"/>
      <w:isLgl/>
      <w:suff w:val="nothing"/>
      <w:lvlText w:val="（%4）"/>
      <w:lvlJc w:val="left"/>
      <w:pPr>
        <w:ind w:left="0" w:firstLine="0"/>
      </w:pPr>
      <w:rPr>
        <w:rFonts w:hint="default" w:ascii="Times New Roman" w:hAnsi="Times New Roman" w:eastAsia="仿宋_GB2312"/>
        <w:sz w:val="32"/>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evenAndOddHeaders w:val="1"/>
  <w:drawingGridHorizontalSpacing w:val="158"/>
  <w:drawingGridVerticalSpacing w:val="579"/>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5DD"/>
    <w:rsid w:val="000063F5"/>
    <w:rsid w:val="00006C95"/>
    <w:rsid w:val="00012E33"/>
    <w:rsid w:val="00013ABE"/>
    <w:rsid w:val="00013C01"/>
    <w:rsid w:val="000159D7"/>
    <w:rsid w:val="00021F3F"/>
    <w:rsid w:val="00022675"/>
    <w:rsid w:val="00026B6F"/>
    <w:rsid w:val="000272E6"/>
    <w:rsid w:val="00031EFD"/>
    <w:rsid w:val="000328F8"/>
    <w:rsid w:val="0004045E"/>
    <w:rsid w:val="0005097C"/>
    <w:rsid w:val="000600E5"/>
    <w:rsid w:val="0007231A"/>
    <w:rsid w:val="00074489"/>
    <w:rsid w:val="000918D6"/>
    <w:rsid w:val="00096823"/>
    <w:rsid w:val="000A2F24"/>
    <w:rsid w:val="000A7802"/>
    <w:rsid w:val="000B59BC"/>
    <w:rsid w:val="000C2D15"/>
    <w:rsid w:val="000C3DC5"/>
    <w:rsid w:val="000C767F"/>
    <w:rsid w:val="000D5435"/>
    <w:rsid w:val="000E2708"/>
    <w:rsid w:val="000E2C4F"/>
    <w:rsid w:val="000E78BC"/>
    <w:rsid w:val="000E78C0"/>
    <w:rsid w:val="000F61ED"/>
    <w:rsid w:val="00103A98"/>
    <w:rsid w:val="0012112F"/>
    <w:rsid w:val="00126F88"/>
    <w:rsid w:val="00127EDA"/>
    <w:rsid w:val="00132930"/>
    <w:rsid w:val="00140F0C"/>
    <w:rsid w:val="0015258A"/>
    <w:rsid w:val="00155CA4"/>
    <w:rsid w:val="00157E4E"/>
    <w:rsid w:val="00172AA4"/>
    <w:rsid w:val="001755ED"/>
    <w:rsid w:val="00194E84"/>
    <w:rsid w:val="001A2908"/>
    <w:rsid w:val="001A4931"/>
    <w:rsid w:val="001A4ED5"/>
    <w:rsid w:val="001B3A48"/>
    <w:rsid w:val="001B797F"/>
    <w:rsid w:val="001C1A11"/>
    <w:rsid w:val="001C1EF5"/>
    <w:rsid w:val="001C57BD"/>
    <w:rsid w:val="001D74D8"/>
    <w:rsid w:val="001E58F4"/>
    <w:rsid w:val="001F091E"/>
    <w:rsid w:val="001F631F"/>
    <w:rsid w:val="001F7B16"/>
    <w:rsid w:val="001F7CF2"/>
    <w:rsid w:val="00200D0B"/>
    <w:rsid w:val="002035B7"/>
    <w:rsid w:val="00203C2E"/>
    <w:rsid w:val="002118A6"/>
    <w:rsid w:val="00215D66"/>
    <w:rsid w:val="002323CC"/>
    <w:rsid w:val="0023432D"/>
    <w:rsid w:val="0023489F"/>
    <w:rsid w:val="00235FF2"/>
    <w:rsid w:val="00236E2A"/>
    <w:rsid w:val="00237682"/>
    <w:rsid w:val="00243C99"/>
    <w:rsid w:val="002469EB"/>
    <w:rsid w:val="002504C2"/>
    <w:rsid w:val="00255AA8"/>
    <w:rsid w:val="00262B9B"/>
    <w:rsid w:val="002646D5"/>
    <w:rsid w:val="002864FD"/>
    <w:rsid w:val="002903E4"/>
    <w:rsid w:val="002974A6"/>
    <w:rsid w:val="002A2142"/>
    <w:rsid w:val="002A2AE8"/>
    <w:rsid w:val="002A7431"/>
    <w:rsid w:val="002B54FE"/>
    <w:rsid w:val="002B7480"/>
    <w:rsid w:val="002C04A5"/>
    <w:rsid w:val="002C0B83"/>
    <w:rsid w:val="002C1F2C"/>
    <w:rsid w:val="002C2D55"/>
    <w:rsid w:val="002C563E"/>
    <w:rsid w:val="002C61C0"/>
    <w:rsid w:val="002D7D53"/>
    <w:rsid w:val="002F4F45"/>
    <w:rsid w:val="002F73EF"/>
    <w:rsid w:val="00314626"/>
    <w:rsid w:val="00314B31"/>
    <w:rsid w:val="0032384C"/>
    <w:rsid w:val="00331B22"/>
    <w:rsid w:val="00336F1C"/>
    <w:rsid w:val="00345F17"/>
    <w:rsid w:val="00353A92"/>
    <w:rsid w:val="00354626"/>
    <w:rsid w:val="00360ACB"/>
    <w:rsid w:val="00372F73"/>
    <w:rsid w:val="00374E41"/>
    <w:rsid w:val="0037586A"/>
    <w:rsid w:val="0037690F"/>
    <w:rsid w:val="00377AF7"/>
    <w:rsid w:val="00380E2A"/>
    <w:rsid w:val="00380FDA"/>
    <w:rsid w:val="00381F59"/>
    <w:rsid w:val="00386294"/>
    <w:rsid w:val="003924DA"/>
    <w:rsid w:val="00393A82"/>
    <w:rsid w:val="00396E92"/>
    <w:rsid w:val="003A07F7"/>
    <w:rsid w:val="003A570F"/>
    <w:rsid w:val="003A5B8C"/>
    <w:rsid w:val="003A62F3"/>
    <w:rsid w:val="003C67B6"/>
    <w:rsid w:val="003F193F"/>
    <w:rsid w:val="00401ECA"/>
    <w:rsid w:val="00411FC4"/>
    <w:rsid w:val="00421903"/>
    <w:rsid w:val="004225EE"/>
    <w:rsid w:val="004228E0"/>
    <w:rsid w:val="004233E9"/>
    <w:rsid w:val="00424D71"/>
    <w:rsid w:val="00430769"/>
    <w:rsid w:val="0043178E"/>
    <w:rsid w:val="00434491"/>
    <w:rsid w:val="0043688A"/>
    <w:rsid w:val="00436A77"/>
    <w:rsid w:val="00437B65"/>
    <w:rsid w:val="0044685F"/>
    <w:rsid w:val="00447D21"/>
    <w:rsid w:val="00460CFE"/>
    <w:rsid w:val="004676EE"/>
    <w:rsid w:val="00474F82"/>
    <w:rsid w:val="0047615F"/>
    <w:rsid w:val="00482E67"/>
    <w:rsid w:val="0049457D"/>
    <w:rsid w:val="00496CAA"/>
    <w:rsid w:val="004A1693"/>
    <w:rsid w:val="004A5735"/>
    <w:rsid w:val="004B1A54"/>
    <w:rsid w:val="004B67CA"/>
    <w:rsid w:val="004C09C5"/>
    <w:rsid w:val="004C1D22"/>
    <w:rsid w:val="004C23D2"/>
    <w:rsid w:val="004C3E6B"/>
    <w:rsid w:val="004D2DD0"/>
    <w:rsid w:val="004D4210"/>
    <w:rsid w:val="004E6965"/>
    <w:rsid w:val="004E7607"/>
    <w:rsid w:val="00501171"/>
    <w:rsid w:val="005059AA"/>
    <w:rsid w:val="00506E67"/>
    <w:rsid w:val="00516F81"/>
    <w:rsid w:val="005270BC"/>
    <w:rsid w:val="00546376"/>
    <w:rsid w:val="00556E95"/>
    <w:rsid w:val="005570B4"/>
    <w:rsid w:val="00557BCB"/>
    <w:rsid w:val="00563BFB"/>
    <w:rsid w:val="00571281"/>
    <w:rsid w:val="00571EF0"/>
    <w:rsid w:val="005737AC"/>
    <w:rsid w:val="0057651B"/>
    <w:rsid w:val="00594070"/>
    <w:rsid w:val="00595281"/>
    <w:rsid w:val="00595485"/>
    <w:rsid w:val="005A4827"/>
    <w:rsid w:val="005A7BC4"/>
    <w:rsid w:val="005B0E49"/>
    <w:rsid w:val="005B1A98"/>
    <w:rsid w:val="005B23E3"/>
    <w:rsid w:val="005B4654"/>
    <w:rsid w:val="005B5D55"/>
    <w:rsid w:val="005B68CC"/>
    <w:rsid w:val="005D0DA2"/>
    <w:rsid w:val="005D79E0"/>
    <w:rsid w:val="005E3F14"/>
    <w:rsid w:val="005E7676"/>
    <w:rsid w:val="005F0A3E"/>
    <w:rsid w:val="006010B3"/>
    <w:rsid w:val="00602DC5"/>
    <w:rsid w:val="006172BF"/>
    <w:rsid w:val="00621A46"/>
    <w:rsid w:val="00642432"/>
    <w:rsid w:val="00644488"/>
    <w:rsid w:val="00647ACE"/>
    <w:rsid w:val="0065005B"/>
    <w:rsid w:val="0065408F"/>
    <w:rsid w:val="00661D4B"/>
    <w:rsid w:val="00662297"/>
    <w:rsid w:val="00665A95"/>
    <w:rsid w:val="00666CB1"/>
    <w:rsid w:val="00671757"/>
    <w:rsid w:val="006737B1"/>
    <w:rsid w:val="0068091B"/>
    <w:rsid w:val="006829E5"/>
    <w:rsid w:val="0068605B"/>
    <w:rsid w:val="00686FF1"/>
    <w:rsid w:val="00695084"/>
    <w:rsid w:val="00695328"/>
    <w:rsid w:val="006966AF"/>
    <w:rsid w:val="00696BF1"/>
    <w:rsid w:val="006A1771"/>
    <w:rsid w:val="006A6C3C"/>
    <w:rsid w:val="006C1513"/>
    <w:rsid w:val="006C3AAA"/>
    <w:rsid w:val="006C70DF"/>
    <w:rsid w:val="006C7CDB"/>
    <w:rsid w:val="006D4C1C"/>
    <w:rsid w:val="006D65DD"/>
    <w:rsid w:val="006D6B40"/>
    <w:rsid w:val="006D75D2"/>
    <w:rsid w:val="006E45D1"/>
    <w:rsid w:val="006E6A68"/>
    <w:rsid w:val="006E7C1B"/>
    <w:rsid w:val="006F2835"/>
    <w:rsid w:val="006F460F"/>
    <w:rsid w:val="006F7DD4"/>
    <w:rsid w:val="00702442"/>
    <w:rsid w:val="007101BE"/>
    <w:rsid w:val="0071301F"/>
    <w:rsid w:val="00716BB0"/>
    <w:rsid w:val="00716E91"/>
    <w:rsid w:val="007216AF"/>
    <w:rsid w:val="0072581E"/>
    <w:rsid w:val="007314B0"/>
    <w:rsid w:val="007323F4"/>
    <w:rsid w:val="007401D4"/>
    <w:rsid w:val="00745093"/>
    <w:rsid w:val="0074647F"/>
    <w:rsid w:val="00751157"/>
    <w:rsid w:val="007512E8"/>
    <w:rsid w:val="007552FB"/>
    <w:rsid w:val="00757346"/>
    <w:rsid w:val="0076030C"/>
    <w:rsid w:val="00764F7C"/>
    <w:rsid w:val="00765F04"/>
    <w:rsid w:val="00766C6D"/>
    <w:rsid w:val="00773201"/>
    <w:rsid w:val="007746B9"/>
    <w:rsid w:val="00777AC5"/>
    <w:rsid w:val="00782E9A"/>
    <w:rsid w:val="00784DA4"/>
    <w:rsid w:val="007916BF"/>
    <w:rsid w:val="00793CFB"/>
    <w:rsid w:val="00795B19"/>
    <w:rsid w:val="00796D5B"/>
    <w:rsid w:val="007974F7"/>
    <w:rsid w:val="0079779D"/>
    <w:rsid w:val="00797A34"/>
    <w:rsid w:val="007A4CE2"/>
    <w:rsid w:val="007B41BA"/>
    <w:rsid w:val="007D1087"/>
    <w:rsid w:val="007D75CE"/>
    <w:rsid w:val="007E0128"/>
    <w:rsid w:val="007E75D1"/>
    <w:rsid w:val="007F169C"/>
    <w:rsid w:val="007F1F30"/>
    <w:rsid w:val="007F55D1"/>
    <w:rsid w:val="00807E4B"/>
    <w:rsid w:val="008113EE"/>
    <w:rsid w:val="00811A96"/>
    <w:rsid w:val="00821FD8"/>
    <w:rsid w:val="0082283C"/>
    <w:rsid w:val="00823A23"/>
    <w:rsid w:val="00827644"/>
    <w:rsid w:val="00827D2F"/>
    <w:rsid w:val="00830989"/>
    <w:rsid w:val="00831194"/>
    <w:rsid w:val="008337B1"/>
    <w:rsid w:val="00854442"/>
    <w:rsid w:val="00854974"/>
    <w:rsid w:val="008604D1"/>
    <w:rsid w:val="00861910"/>
    <w:rsid w:val="00861D99"/>
    <w:rsid w:val="00886231"/>
    <w:rsid w:val="00886641"/>
    <w:rsid w:val="008B4404"/>
    <w:rsid w:val="008C0F9E"/>
    <w:rsid w:val="008C3D74"/>
    <w:rsid w:val="008C4545"/>
    <w:rsid w:val="008C615F"/>
    <w:rsid w:val="008D4E4E"/>
    <w:rsid w:val="008D65D6"/>
    <w:rsid w:val="008E1122"/>
    <w:rsid w:val="008E2E64"/>
    <w:rsid w:val="008E580C"/>
    <w:rsid w:val="008F3B29"/>
    <w:rsid w:val="008F574C"/>
    <w:rsid w:val="00906998"/>
    <w:rsid w:val="00907ED8"/>
    <w:rsid w:val="00913281"/>
    <w:rsid w:val="00923AD7"/>
    <w:rsid w:val="0093170E"/>
    <w:rsid w:val="00933E8C"/>
    <w:rsid w:val="009413C5"/>
    <w:rsid w:val="00943ECF"/>
    <w:rsid w:val="009464B8"/>
    <w:rsid w:val="00967275"/>
    <w:rsid w:val="00967B79"/>
    <w:rsid w:val="0097645E"/>
    <w:rsid w:val="009909C9"/>
    <w:rsid w:val="00993996"/>
    <w:rsid w:val="00993CEA"/>
    <w:rsid w:val="00996051"/>
    <w:rsid w:val="009A2C0F"/>
    <w:rsid w:val="009A4B3F"/>
    <w:rsid w:val="009A76FE"/>
    <w:rsid w:val="009A7BAC"/>
    <w:rsid w:val="009B10B9"/>
    <w:rsid w:val="009C0B2F"/>
    <w:rsid w:val="009C42E1"/>
    <w:rsid w:val="009C5492"/>
    <w:rsid w:val="009C7410"/>
    <w:rsid w:val="009D6A0F"/>
    <w:rsid w:val="009D7FCB"/>
    <w:rsid w:val="009E0C2B"/>
    <w:rsid w:val="009E69B5"/>
    <w:rsid w:val="009E7F6F"/>
    <w:rsid w:val="00A00AA1"/>
    <w:rsid w:val="00A021D3"/>
    <w:rsid w:val="00A02617"/>
    <w:rsid w:val="00A22A05"/>
    <w:rsid w:val="00A26C4F"/>
    <w:rsid w:val="00A339D8"/>
    <w:rsid w:val="00A34140"/>
    <w:rsid w:val="00A35AD7"/>
    <w:rsid w:val="00A54432"/>
    <w:rsid w:val="00A65349"/>
    <w:rsid w:val="00A67DE9"/>
    <w:rsid w:val="00A74935"/>
    <w:rsid w:val="00A813D9"/>
    <w:rsid w:val="00A82F25"/>
    <w:rsid w:val="00A97020"/>
    <w:rsid w:val="00A97604"/>
    <w:rsid w:val="00AA18CB"/>
    <w:rsid w:val="00AA4342"/>
    <w:rsid w:val="00AA46FB"/>
    <w:rsid w:val="00AB2EEC"/>
    <w:rsid w:val="00AC620C"/>
    <w:rsid w:val="00AC67BB"/>
    <w:rsid w:val="00AD3A1A"/>
    <w:rsid w:val="00AD3DFC"/>
    <w:rsid w:val="00AD4C86"/>
    <w:rsid w:val="00AD5290"/>
    <w:rsid w:val="00AD6430"/>
    <w:rsid w:val="00AE0A1E"/>
    <w:rsid w:val="00AF07EF"/>
    <w:rsid w:val="00AF1205"/>
    <w:rsid w:val="00AF6EEE"/>
    <w:rsid w:val="00B03291"/>
    <w:rsid w:val="00B07454"/>
    <w:rsid w:val="00B30668"/>
    <w:rsid w:val="00B428A2"/>
    <w:rsid w:val="00B442EB"/>
    <w:rsid w:val="00B44E93"/>
    <w:rsid w:val="00B47D85"/>
    <w:rsid w:val="00B660FE"/>
    <w:rsid w:val="00B673B3"/>
    <w:rsid w:val="00B67A2A"/>
    <w:rsid w:val="00B72D80"/>
    <w:rsid w:val="00B72E80"/>
    <w:rsid w:val="00B74B78"/>
    <w:rsid w:val="00B857C1"/>
    <w:rsid w:val="00B86C8F"/>
    <w:rsid w:val="00B93511"/>
    <w:rsid w:val="00B96554"/>
    <w:rsid w:val="00BA0373"/>
    <w:rsid w:val="00BA0421"/>
    <w:rsid w:val="00BA0946"/>
    <w:rsid w:val="00BA3690"/>
    <w:rsid w:val="00BA3FD1"/>
    <w:rsid w:val="00BA5150"/>
    <w:rsid w:val="00BB5850"/>
    <w:rsid w:val="00BB6141"/>
    <w:rsid w:val="00BB61EB"/>
    <w:rsid w:val="00BC01E0"/>
    <w:rsid w:val="00BC4B2E"/>
    <w:rsid w:val="00BD5382"/>
    <w:rsid w:val="00BE177B"/>
    <w:rsid w:val="00BE6873"/>
    <w:rsid w:val="00BF5E78"/>
    <w:rsid w:val="00BF686D"/>
    <w:rsid w:val="00C0306B"/>
    <w:rsid w:val="00C0643F"/>
    <w:rsid w:val="00C071A6"/>
    <w:rsid w:val="00C16A70"/>
    <w:rsid w:val="00C172D2"/>
    <w:rsid w:val="00C17A94"/>
    <w:rsid w:val="00C25CB6"/>
    <w:rsid w:val="00C2651F"/>
    <w:rsid w:val="00C26A7B"/>
    <w:rsid w:val="00C30924"/>
    <w:rsid w:val="00C36D81"/>
    <w:rsid w:val="00C44DFC"/>
    <w:rsid w:val="00C46A65"/>
    <w:rsid w:val="00C51CFF"/>
    <w:rsid w:val="00C520A1"/>
    <w:rsid w:val="00C5250E"/>
    <w:rsid w:val="00C57AC9"/>
    <w:rsid w:val="00C65B59"/>
    <w:rsid w:val="00C65F21"/>
    <w:rsid w:val="00C664ED"/>
    <w:rsid w:val="00C77F09"/>
    <w:rsid w:val="00C80A93"/>
    <w:rsid w:val="00C84B3E"/>
    <w:rsid w:val="00C90F5A"/>
    <w:rsid w:val="00C92EF8"/>
    <w:rsid w:val="00CA58AC"/>
    <w:rsid w:val="00CB1E42"/>
    <w:rsid w:val="00CB4EFF"/>
    <w:rsid w:val="00CC475A"/>
    <w:rsid w:val="00CC75EC"/>
    <w:rsid w:val="00CD2624"/>
    <w:rsid w:val="00CD2726"/>
    <w:rsid w:val="00CD2E3B"/>
    <w:rsid w:val="00CE1CB0"/>
    <w:rsid w:val="00CE5313"/>
    <w:rsid w:val="00CE6615"/>
    <w:rsid w:val="00CE76CF"/>
    <w:rsid w:val="00CF1ED5"/>
    <w:rsid w:val="00CF716F"/>
    <w:rsid w:val="00CF74BA"/>
    <w:rsid w:val="00D010CD"/>
    <w:rsid w:val="00D01196"/>
    <w:rsid w:val="00D10DE3"/>
    <w:rsid w:val="00D16ABE"/>
    <w:rsid w:val="00D20E76"/>
    <w:rsid w:val="00D340CB"/>
    <w:rsid w:val="00D3644D"/>
    <w:rsid w:val="00D3703A"/>
    <w:rsid w:val="00D42DDE"/>
    <w:rsid w:val="00D51026"/>
    <w:rsid w:val="00D51CAB"/>
    <w:rsid w:val="00D634B5"/>
    <w:rsid w:val="00D66FB2"/>
    <w:rsid w:val="00D8719E"/>
    <w:rsid w:val="00DA01FC"/>
    <w:rsid w:val="00DA3DCC"/>
    <w:rsid w:val="00DA6D8A"/>
    <w:rsid w:val="00DB1627"/>
    <w:rsid w:val="00DB1DE7"/>
    <w:rsid w:val="00DB481D"/>
    <w:rsid w:val="00DB5379"/>
    <w:rsid w:val="00DC22DA"/>
    <w:rsid w:val="00DC2FF7"/>
    <w:rsid w:val="00DD7037"/>
    <w:rsid w:val="00DE0F95"/>
    <w:rsid w:val="00DE2AC6"/>
    <w:rsid w:val="00DE63DB"/>
    <w:rsid w:val="00DF2112"/>
    <w:rsid w:val="00E04E62"/>
    <w:rsid w:val="00E161AF"/>
    <w:rsid w:val="00E16673"/>
    <w:rsid w:val="00E2296F"/>
    <w:rsid w:val="00E232CE"/>
    <w:rsid w:val="00E23B8D"/>
    <w:rsid w:val="00E268F9"/>
    <w:rsid w:val="00E27643"/>
    <w:rsid w:val="00E35583"/>
    <w:rsid w:val="00E41D40"/>
    <w:rsid w:val="00E53291"/>
    <w:rsid w:val="00E60755"/>
    <w:rsid w:val="00E6348C"/>
    <w:rsid w:val="00E640E9"/>
    <w:rsid w:val="00E65961"/>
    <w:rsid w:val="00E75AD6"/>
    <w:rsid w:val="00E816A6"/>
    <w:rsid w:val="00E835E6"/>
    <w:rsid w:val="00E83780"/>
    <w:rsid w:val="00E87A3A"/>
    <w:rsid w:val="00E92F94"/>
    <w:rsid w:val="00E93BED"/>
    <w:rsid w:val="00E9416C"/>
    <w:rsid w:val="00E94D98"/>
    <w:rsid w:val="00E96A15"/>
    <w:rsid w:val="00EA4FD5"/>
    <w:rsid w:val="00EB0B58"/>
    <w:rsid w:val="00EC0A82"/>
    <w:rsid w:val="00EE1F29"/>
    <w:rsid w:val="00EE5BAD"/>
    <w:rsid w:val="00F028B4"/>
    <w:rsid w:val="00F035B8"/>
    <w:rsid w:val="00F03607"/>
    <w:rsid w:val="00F04921"/>
    <w:rsid w:val="00F070D0"/>
    <w:rsid w:val="00F16E1A"/>
    <w:rsid w:val="00F2435D"/>
    <w:rsid w:val="00F311DB"/>
    <w:rsid w:val="00F34706"/>
    <w:rsid w:val="00F37768"/>
    <w:rsid w:val="00F37BF7"/>
    <w:rsid w:val="00F41A27"/>
    <w:rsid w:val="00F5170D"/>
    <w:rsid w:val="00F631F7"/>
    <w:rsid w:val="00F6575F"/>
    <w:rsid w:val="00F6590D"/>
    <w:rsid w:val="00F66914"/>
    <w:rsid w:val="00F704A8"/>
    <w:rsid w:val="00F72FDC"/>
    <w:rsid w:val="00F9501A"/>
    <w:rsid w:val="00FA04A7"/>
    <w:rsid w:val="00FA1582"/>
    <w:rsid w:val="00FA434B"/>
    <w:rsid w:val="00FA5009"/>
    <w:rsid w:val="00FA6B32"/>
    <w:rsid w:val="00FB10BF"/>
    <w:rsid w:val="00FB6163"/>
    <w:rsid w:val="00FC140F"/>
    <w:rsid w:val="00FC347B"/>
    <w:rsid w:val="00FD1F94"/>
    <w:rsid w:val="00FE44BF"/>
    <w:rsid w:val="00FF485E"/>
    <w:rsid w:val="0370381D"/>
    <w:rsid w:val="049F51EA"/>
    <w:rsid w:val="06F4757A"/>
    <w:rsid w:val="0A233B07"/>
    <w:rsid w:val="0C277EFD"/>
    <w:rsid w:val="0D315BD9"/>
    <w:rsid w:val="0DBF2821"/>
    <w:rsid w:val="0DF2080D"/>
    <w:rsid w:val="0F2E23BA"/>
    <w:rsid w:val="10B71B0D"/>
    <w:rsid w:val="14117379"/>
    <w:rsid w:val="163349B3"/>
    <w:rsid w:val="16EEB61A"/>
    <w:rsid w:val="19671878"/>
    <w:rsid w:val="19F87A2E"/>
    <w:rsid w:val="1E871148"/>
    <w:rsid w:val="22636BF9"/>
    <w:rsid w:val="26747E2C"/>
    <w:rsid w:val="285223EF"/>
    <w:rsid w:val="2BC92A13"/>
    <w:rsid w:val="2FBF3559"/>
    <w:rsid w:val="321D3148"/>
    <w:rsid w:val="35384579"/>
    <w:rsid w:val="36050AA1"/>
    <w:rsid w:val="3A9E14C4"/>
    <w:rsid w:val="3BFA085F"/>
    <w:rsid w:val="3DA923CA"/>
    <w:rsid w:val="3EEB9503"/>
    <w:rsid w:val="3FBD8C39"/>
    <w:rsid w:val="44AF3F11"/>
    <w:rsid w:val="48687B93"/>
    <w:rsid w:val="4BE447B1"/>
    <w:rsid w:val="4EBF6518"/>
    <w:rsid w:val="4F6398FE"/>
    <w:rsid w:val="528F20AE"/>
    <w:rsid w:val="5A7DAD17"/>
    <w:rsid w:val="5BF10ACC"/>
    <w:rsid w:val="5EF05A47"/>
    <w:rsid w:val="5FFD7BB0"/>
    <w:rsid w:val="61AC7DCD"/>
    <w:rsid w:val="6AF2348D"/>
    <w:rsid w:val="6C5845F5"/>
    <w:rsid w:val="6E8F6156"/>
    <w:rsid w:val="6F102107"/>
    <w:rsid w:val="70115A26"/>
    <w:rsid w:val="708A066B"/>
    <w:rsid w:val="7193135A"/>
    <w:rsid w:val="72BC2329"/>
    <w:rsid w:val="767FC294"/>
    <w:rsid w:val="7CAF571D"/>
    <w:rsid w:val="7D052701"/>
    <w:rsid w:val="7EDF2ED2"/>
    <w:rsid w:val="7EF518DA"/>
    <w:rsid w:val="7F3A98EB"/>
    <w:rsid w:val="7FFA2AFE"/>
    <w:rsid w:val="AF9752E8"/>
    <w:rsid w:val="CEED6DEC"/>
    <w:rsid w:val="D3B9711D"/>
    <w:rsid w:val="F1BD6943"/>
    <w:rsid w:val="F6BF1A48"/>
    <w:rsid w:val="F77E2D5E"/>
    <w:rsid w:val="F7FC9163"/>
    <w:rsid w:val="FA6E350A"/>
    <w:rsid w:val="FB9F130D"/>
    <w:rsid w:val="FEFF6C33"/>
    <w:rsid w:val="FFFB52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uiPriority="0"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nhideWhenUsed="0" w:uiPriority="0" w:semiHidden="0"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560" w:lineRule="exact"/>
      <w:ind w:firstLine="200" w:firstLineChars="200"/>
      <w:jc w:val="both"/>
    </w:pPr>
    <w:rPr>
      <w:rFonts w:ascii="Times New Roman" w:hAnsi="Times New Roman" w:eastAsia="仿宋_GB2312" w:cstheme="minorBidi"/>
      <w:kern w:val="2"/>
      <w:sz w:val="32"/>
      <w:szCs w:val="21"/>
      <w:lang w:val="en-US" w:eastAsia="zh-CN" w:bidi="ar-SA"/>
    </w:rPr>
  </w:style>
  <w:style w:type="paragraph" w:styleId="2">
    <w:name w:val="heading 1"/>
    <w:basedOn w:val="1"/>
    <w:next w:val="1"/>
    <w:link w:val="22"/>
    <w:qFormat/>
    <w:uiPriority w:val="9"/>
    <w:pPr>
      <w:keepNext/>
      <w:keepLines/>
      <w:numPr>
        <w:ilvl w:val="0"/>
        <w:numId w:val="1"/>
      </w:numPr>
      <w:ind w:firstLine="200"/>
      <w:outlineLvl w:val="0"/>
    </w:pPr>
    <w:rPr>
      <w:rFonts w:eastAsia="黑体"/>
      <w:bCs/>
      <w:kern w:val="44"/>
      <w:szCs w:val="44"/>
    </w:rPr>
  </w:style>
  <w:style w:type="paragraph" w:styleId="3">
    <w:name w:val="heading 2"/>
    <w:basedOn w:val="1"/>
    <w:next w:val="1"/>
    <w:link w:val="23"/>
    <w:unhideWhenUsed/>
    <w:qFormat/>
    <w:uiPriority w:val="9"/>
    <w:pPr>
      <w:keepNext/>
      <w:keepLines/>
      <w:numPr>
        <w:ilvl w:val="1"/>
        <w:numId w:val="1"/>
      </w:numPr>
      <w:ind w:firstLine="150" w:firstLineChars="150"/>
      <w:outlineLvl w:val="1"/>
    </w:pPr>
    <w:rPr>
      <w:rFonts w:eastAsia="楷体_GB2312" w:cstheme="majorBidi"/>
      <w:bCs/>
      <w:szCs w:val="32"/>
    </w:rPr>
  </w:style>
  <w:style w:type="paragraph" w:styleId="4">
    <w:name w:val="heading 3"/>
    <w:basedOn w:val="1"/>
    <w:next w:val="1"/>
    <w:link w:val="24"/>
    <w:unhideWhenUsed/>
    <w:qFormat/>
    <w:uiPriority w:val="9"/>
    <w:pPr>
      <w:keepNext/>
      <w:keepLines/>
      <w:numPr>
        <w:ilvl w:val="2"/>
        <w:numId w:val="1"/>
      </w:numPr>
      <w:ind w:firstLine="200"/>
      <w:outlineLvl w:val="2"/>
    </w:pPr>
    <w:rPr>
      <w:b/>
      <w:bCs/>
      <w:szCs w:val="32"/>
    </w:rPr>
  </w:style>
  <w:style w:type="paragraph" w:styleId="5">
    <w:name w:val="heading 4"/>
    <w:basedOn w:val="1"/>
    <w:next w:val="1"/>
    <w:link w:val="25"/>
    <w:unhideWhenUsed/>
    <w:qFormat/>
    <w:uiPriority w:val="9"/>
    <w:pPr>
      <w:keepNext/>
      <w:keepLines/>
      <w:numPr>
        <w:ilvl w:val="3"/>
        <w:numId w:val="1"/>
      </w:numPr>
      <w:ind w:firstLine="150" w:firstLineChars="150"/>
      <w:outlineLvl w:val="3"/>
    </w:pPr>
    <w:rPr>
      <w:rFonts w:cstheme="majorBidi"/>
      <w:b/>
      <w:bCs/>
      <w:szCs w:val="28"/>
    </w:rPr>
  </w:style>
  <w:style w:type="paragraph" w:styleId="6">
    <w:name w:val="heading 5"/>
    <w:basedOn w:val="1"/>
    <w:next w:val="1"/>
    <w:link w:val="34"/>
    <w:semiHidden/>
    <w:unhideWhenUsed/>
    <w:qFormat/>
    <w:uiPriority w:val="9"/>
    <w:pPr>
      <w:keepNext/>
      <w:keepLines/>
      <w:spacing w:before="280" w:after="290" w:line="376" w:lineRule="auto"/>
      <w:outlineLvl w:val="4"/>
    </w:pPr>
    <w:rPr>
      <w:b/>
      <w:bCs/>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7">
    <w:name w:val="toc 3"/>
    <w:basedOn w:val="1"/>
    <w:next w:val="1"/>
    <w:unhideWhenUsed/>
    <w:qFormat/>
    <w:uiPriority w:val="39"/>
    <w:pPr>
      <w:spacing w:line="240" w:lineRule="auto"/>
      <w:ind w:firstLine="400" w:firstLineChars="400"/>
      <w:jc w:val="left"/>
    </w:pPr>
    <w:rPr>
      <w:rFonts w:eastAsia="楷体_GB2312"/>
      <w:iCs/>
      <w:sz w:val="24"/>
      <w:szCs w:val="20"/>
    </w:rPr>
  </w:style>
  <w:style w:type="paragraph" w:styleId="8">
    <w:name w:val="footer"/>
    <w:basedOn w:val="1"/>
    <w:link w:val="20"/>
    <w:unhideWhenUsed/>
    <w:qFormat/>
    <w:uiPriority w:val="99"/>
    <w:pPr>
      <w:snapToGrid w:val="0"/>
      <w:ind w:firstLine="0" w:firstLineChars="0"/>
      <w:jc w:val="center"/>
    </w:pPr>
    <w:rPr>
      <w:sz w:val="24"/>
      <w:szCs w:val="18"/>
    </w:rPr>
  </w:style>
  <w:style w:type="paragraph" w:styleId="9">
    <w:name w:val="header"/>
    <w:basedOn w:val="1"/>
    <w:link w:val="19"/>
    <w:unhideWhenUsed/>
    <w:qFormat/>
    <w:uiPriority w:val="99"/>
    <w:pPr>
      <w:snapToGrid w:val="0"/>
      <w:ind w:firstLine="0" w:firstLineChars="0"/>
      <w:jc w:val="center"/>
    </w:pPr>
    <w:rPr>
      <w:b/>
      <w:szCs w:val="18"/>
    </w:rPr>
  </w:style>
  <w:style w:type="paragraph" w:styleId="10">
    <w:name w:val="toc 1"/>
    <w:basedOn w:val="1"/>
    <w:next w:val="1"/>
    <w:unhideWhenUsed/>
    <w:qFormat/>
    <w:uiPriority w:val="39"/>
    <w:pPr>
      <w:tabs>
        <w:tab w:val="right" w:leader="dot" w:pos="8494"/>
      </w:tabs>
      <w:spacing w:line="240" w:lineRule="auto"/>
      <w:ind w:firstLine="0" w:firstLineChars="0"/>
      <w:jc w:val="left"/>
    </w:pPr>
    <w:rPr>
      <w:rFonts w:eastAsia="黑体"/>
      <w:bCs/>
      <w:caps/>
      <w:sz w:val="28"/>
      <w:szCs w:val="20"/>
    </w:rPr>
  </w:style>
  <w:style w:type="paragraph" w:styleId="11">
    <w:name w:val="toc 4"/>
    <w:basedOn w:val="1"/>
    <w:next w:val="1"/>
    <w:unhideWhenUsed/>
    <w:qFormat/>
    <w:uiPriority w:val="39"/>
    <w:pPr>
      <w:ind w:left="960"/>
      <w:jc w:val="left"/>
    </w:pPr>
    <w:rPr>
      <w:rFonts w:asciiTheme="minorHAnsi" w:eastAsiaTheme="minorHAnsi"/>
      <w:sz w:val="18"/>
      <w:szCs w:val="18"/>
    </w:rPr>
  </w:style>
  <w:style w:type="paragraph" w:styleId="12">
    <w:name w:val="Subtitle"/>
    <w:basedOn w:val="1"/>
    <w:next w:val="1"/>
    <w:link w:val="26"/>
    <w:qFormat/>
    <w:uiPriority w:val="11"/>
    <w:pPr>
      <w:ind w:firstLine="0" w:firstLineChars="0"/>
      <w:jc w:val="center"/>
      <w:outlineLvl w:val="1"/>
    </w:pPr>
    <w:rPr>
      <w:rFonts w:eastAsia="楷体"/>
      <w:bCs/>
      <w:kern w:val="28"/>
      <w:sz w:val="30"/>
      <w:szCs w:val="32"/>
    </w:rPr>
  </w:style>
  <w:style w:type="paragraph" w:styleId="13">
    <w:name w:val="toc 2"/>
    <w:basedOn w:val="1"/>
    <w:next w:val="1"/>
    <w:unhideWhenUsed/>
    <w:qFormat/>
    <w:uiPriority w:val="39"/>
    <w:pPr>
      <w:spacing w:line="240" w:lineRule="auto"/>
      <w:jc w:val="left"/>
    </w:pPr>
    <w:rPr>
      <w:rFonts w:eastAsia="宋体"/>
      <w:smallCaps/>
      <w:sz w:val="24"/>
      <w:szCs w:val="20"/>
    </w:rPr>
  </w:style>
  <w:style w:type="paragraph" w:styleId="14">
    <w:name w:val="Normal (Web)"/>
    <w:basedOn w:val="1"/>
    <w:qFormat/>
    <w:uiPriority w:val="0"/>
    <w:pPr>
      <w:spacing w:beforeAutospacing="1" w:after="0" w:afterAutospacing="1"/>
      <w:jc w:val="left"/>
    </w:pPr>
    <w:rPr>
      <w:rFonts w:cs="Times New Roman"/>
      <w:kern w:val="0"/>
      <w:sz w:val="24"/>
    </w:rPr>
  </w:style>
  <w:style w:type="paragraph" w:styleId="15">
    <w:name w:val="Title"/>
    <w:basedOn w:val="1"/>
    <w:next w:val="1"/>
    <w:link w:val="21"/>
    <w:qFormat/>
    <w:uiPriority w:val="10"/>
    <w:pPr>
      <w:ind w:firstLine="0" w:firstLineChars="0"/>
      <w:jc w:val="center"/>
      <w:outlineLvl w:val="0"/>
    </w:pPr>
    <w:rPr>
      <w:rFonts w:eastAsia="方正小标宋简体" w:cstheme="majorBidi"/>
      <w:bCs/>
      <w:sz w:val="44"/>
      <w:szCs w:val="32"/>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页眉 字符"/>
    <w:basedOn w:val="18"/>
    <w:link w:val="9"/>
    <w:qFormat/>
    <w:uiPriority w:val="99"/>
    <w:rPr>
      <w:rFonts w:ascii="Times New Roman" w:hAnsi="Times New Roman" w:eastAsia="仿宋_GB2312"/>
      <w:b/>
      <w:szCs w:val="18"/>
    </w:rPr>
  </w:style>
  <w:style w:type="character" w:customStyle="1" w:styleId="20">
    <w:name w:val="页脚 字符"/>
    <w:basedOn w:val="18"/>
    <w:link w:val="8"/>
    <w:qFormat/>
    <w:uiPriority w:val="99"/>
    <w:rPr>
      <w:rFonts w:ascii="Times New Roman" w:hAnsi="Times New Roman" w:eastAsia="仿宋_GB2312"/>
      <w:sz w:val="24"/>
      <w:szCs w:val="18"/>
    </w:rPr>
  </w:style>
  <w:style w:type="character" w:customStyle="1" w:styleId="21">
    <w:name w:val="标题 字符"/>
    <w:basedOn w:val="18"/>
    <w:link w:val="15"/>
    <w:qFormat/>
    <w:uiPriority w:val="10"/>
    <w:rPr>
      <w:rFonts w:ascii="Times New Roman" w:hAnsi="Times New Roman" w:eastAsia="方正小标宋简体" w:cstheme="majorBidi"/>
      <w:bCs/>
      <w:sz w:val="44"/>
      <w:szCs w:val="32"/>
    </w:rPr>
  </w:style>
  <w:style w:type="character" w:customStyle="1" w:styleId="22">
    <w:name w:val="标题 1 字符"/>
    <w:basedOn w:val="18"/>
    <w:link w:val="2"/>
    <w:qFormat/>
    <w:uiPriority w:val="9"/>
    <w:rPr>
      <w:rFonts w:ascii="Times New Roman" w:hAnsi="Times New Roman" w:eastAsia="黑体"/>
      <w:bCs/>
      <w:kern w:val="44"/>
      <w:sz w:val="32"/>
      <w:szCs w:val="44"/>
    </w:rPr>
  </w:style>
  <w:style w:type="character" w:customStyle="1" w:styleId="23">
    <w:name w:val="标题 2 字符"/>
    <w:basedOn w:val="18"/>
    <w:link w:val="3"/>
    <w:qFormat/>
    <w:uiPriority w:val="9"/>
    <w:rPr>
      <w:rFonts w:ascii="Times New Roman" w:hAnsi="Times New Roman" w:eastAsia="楷体_GB2312" w:cstheme="majorBidi"/>
      <w:bCs/>
      <w:sz w:val="32"/>
      <w:szCs w:val="32"/>
    </w:rPr>
  </w:style>
  <w:style w:type="character" w:customStyle="1" w:styleId="24">
    <w:name w:val="标题 3 字符"/>
    <w:basedOn w:val="18"/>
    <w:link w:val="4"/>
    <w:qFormat/>
    <w:uiPriority w:val="9"/>
    <w:rPr>
      <w:rFonts w:ascii="Times New Roman" w:hAnsi="Times New Roman" w:eastAsia="仿宋_GB2312"/>
      <w:b/>
      <w:bCs/>
      <w:sz w:val="32"/>
      <w:szCs w:val="32"/>
    </w:rPr>
  </w:style>
  <w:style w:type="character" w:customStyle="1" w:styleId="25">
    <w:name w:val="标题 4 字符"/>
    <w:basedOn w:val="18"/>
    <w:link w:val="5"/>
    <w:qFormat/>
    <w:uiPriority w:val="9"/>
    <w:rPr>
      <w:rFonts w:ascii="Times New Roman" w:hAnsi="Times New Roman" w:eastAsia="仿宋_GB2312" w:cstheme="majorBidi"/>
      <w:b/>
      <w:bCs/>
      <w:sz w:val="32"/>
      <w:szCs w:val="28"/>
    </w:rPr>
  </w:style>
  <w:style w:type="character" w:customStyle="1" w:styleId="26">
    <w:name w:val="副标题 字符"/>
    <w:basedOn w:val="18"/>
    <w:link w:val="12"/>
    <w:qFormat/>
    <w:uiPriority w:val="11"/>
    <w:rPr>
      <w:rFonts w:ascii="Times New Roman" w:hAnsi="Times New Roman" w:eastAsia="楷体"/>
      <w:bCs/>
      <w:kern w:val="28"/>
      <w:sz w:val="30"/>
      <w:szCs w:val="32"/>
    </w:rPr>
  </w:style>
  <w:style w:type="paragraph" w:customStyle="1" w:styleId="27">
    <w:name w:val="图头"/>
    <w:basedOn w:val="1"/>
    <w:next w:val="1"/>
    <w:qFormat/>
    <w:uiPriority w:val="0"/>
    <w:pPr>
      <w:spacing w:after="50" w:afterLines="50" w:line="240" w:lineRule="auto"/>
      <w:ind w:firstLine="0" w:firstLineChars="0"/>
      <w:jc w:val="center"/>
    </w:pPr>
    <w:rPr>
      <w:rFonts w:eastAsia="宋体"/>
      <w:b/>
      <w:sz w:val="24"/>
    </w:rPr>
  </w:style>
  <w:style w:type="paragraph" w:customStyle="1" w:styleId="28">
    <w:name w:val="图片"/>
    <w:basedOn w:val="1"/>
    <w:next w:val="27"/>
    <w:qFormat/>
    <w:uiPriority w:val="0"/>
    <w:pPr>
      <w:spacing w:line="240" w:lineRule="auto"/>
      <w:ind w:firstLine="0" w:firstLineChars="0"/>
      <w:jc w:val="center"/>
    </w:pPr>
    <w:rPr>
      <w:sz w:val="24"/>
    </w:rPr>
  </w:style>
  <w:style w:type="paragraph" w:customStyle="1" w:styleId="29">
    <w:name w:val="表头"/>
    <w:basedOn w:val="1"/>
    <w:next w:val="1"/>
    <w:qFormat/>
    <w:uiPriority w:val="0"/>
    <w:pPr>
      <w:spacing w:before="50" w:beforeLines="50" w:line="240" w:lineRule="auto"/>
      <w:ind w:firstLine="0" w:firstLineChars="0"/>
      <w:jc w:val="center"/>
    </w:pPr>
    <w:rPr>
      <w:rFonts w:eastAsia="宋体"/>
      <w:b/>
      <w:sz w:val="24"/>
    </w:rPr>
  </w:style>
  <w:style w:type="paragraph" w:customStyle="1" w:styleId="30">
    <w:name w:val="表格"/>
    <w:basedOn w:val="29"/>
    <w:next w:val="1"/>
    <w:qFormat/>
    <w:uiPriority w:val="0"/>
    <w:pPr>
      <w:spacing w:before="0" w:beforeLines="0"/>
    </w:pPr>
    <w:rPr>
      <w:rFonts w:eastAsia="仿宋_GB2312"/>
      <w:b w:val="0"/>
    </w:rPr>
  </w:style>
  <w:style w:type="paragraph" w:customStyle="1" w:styleId="31">
    <w:name w:val="注释"/>
    <w:basedOn w:val="1"/>
    <w:qFormat/>
    <w:uiPriority w:val="0"/>
    <w:pPr>
      <w:spacing w:line="240" w:lineRule="auto"/>
      <w:ind w:firstLine="0" w:firstLineChars="0"/>
      <w:jc w:val="right"/>
    </w:pPr>
    <w:rPr>
      <w:sz w:val="24"/>
    </w:rPr>
  </w:style>
  <w:style w:type="paragraph" w:customStyle="1" w:styleId="32">
    <w:name w:val="专栏标题"/>
    <w:basedOn w:val="1"/>
    <w:qFormat/>
    <w:uiPriority w:val="0"/>
    <w:pPr>
      <w:spacing w:line="240" w:lineRule="auto"/>
      <w:ind w:firstLine="0" w:firstLineChars="0"/>
    </w:pPr>
    <w:rPr>
      <w:rFonts w:eastAsia="黑体"/>
      <w:sz w:val="24"/>
    </w:rPr>
  </w:style>
  <w:style w:type="paragraph" w:customStyle="1" w:styleId="33">
    <w:name w:val="附件"/>
    <w:basedOn w:val="2"/>
    <w:qFormat/>
    <w:uiPriority w:val="0"/>
    <w:pPr>
      <w:numPr>
        <w:numId w:val="0"/>
      </w:numPr>
    </w:pPr>
    <w:rPr>
      <w:rFonts w:eastAsia="仿宋_GB2312"/>
      <w:b/>
    </w:rPr>
  </w:style>
  <w:style w:type="character" w:customStyle="1" w:styleId="34">
    <w:name w:val="标题 5 字符"/>
    <w:basedOn w:val="18"/>
    <w:link w:val="6"/>
    <w:semiHidden/>
    <w:qFormat/>
    <w:uiPriority w:val="9"/>
    <w:rPr>
      <w:rFonts w:ascii="Times New Roman" w:hAnsi="Times New Roman" w:eastAsia="宋体"/>
      <w:b/>
      <w:bCs/>
      <w:sz w:val="28"/>
      <w:szCs w:val="28"/>
    </w:rPr>
  </w:style>
  <w:style w:type="paragraph" w:customStyle="1" w:styleId="35">
    <w:name w:val="【封面】目录前言"/>
    <w:basedOn w:val="12"/>
    <w:qFormat/>
    <w:uiPriority w:val="0"/>
    <w:rPr>
      <w:rFonts w:eastAsia="黑体"/>
      <w:sz w:val="36"/>
    </w:rPr>
  </w:style>
  <w:style w:type="paragraph" w:customStyle="1" w:styleId="36">
    <w:name w:val="【封面】单位时间"/>
    <w:basedOn w:val="1"/>
    <w:qFormat/>
    <w:uiPriority w:val="0"/>
    <w:pPr>
      <w:ind w:firstLine="0" w:firstLineChars="0"/>
      <w:jc w:val="center"/>
    </w:pPr>
    <w:rPr>
      <w:rFonts w:eastAsia="楷体_GB2312"/>
    </w:rPr>
  </w:style>
  <w:style w:type="paragraph" w:customStyle="1" w:styleId="37">
    <w:name w:val="正文强调"/>
    <w:basedOn w:val="1"/>
    <w:next w:val="1"/>
    <w:link w:val="38"/>
    <w:qFormat/>
    <w:uiPriority w:val="0"/>
    <w:rPr>
      <w:b/>
    </w:rPr>
  </w:style>
  <w:style w:type="character" w:customStyle="1" w:styleId="38">
    <w:name w:val="正文强调 字符"/>
    <w:basedOn w:val="18"/>
    <w:link w:val="37"/>
    <w:qFormat/>
    <w:uiPriority w:val="0"/>
    <w:rPr>
      <w:rFonts w:ascii="Times New Roman" w:hAnsi="Times New Roman" w:eastAsia="仿宋_GB2312"/>
      <w:b/>
      <w:sz w:val="32"/>
    </w:rPr>
  </w:style>
  <w:style w:type="paragraph" w:customStyle="1" w:styleId="39">
    <w:name w:val="修订1"/>
    <w:hidden/>
    <w:semiHidden/>
    <w:qFormat/>
    <w:uiPriority w:val="99"/>
    <w:pPr>
      <w:spacing w:after="160" w:line="278" w:lineRule="auto"/>
    </w:pPr>
    <w:rPr>
      <w:rFonts w:ascii="Times New Roman" w:hAnsi="Times New Roman" w:eastAsia="仿宋_GB2312" w:cstheme="minorBidi"/>
      <w:kern w:val="2"/>
      <w:sz w:val="32"/>
      <w:szCs w:val="21"/>
      <w:lang w:val="en-US" w:eastAsia="zh-CN" w:bidi="ar-SA"/>
    </w:rPr>
  </w:style>
  <w:style w:type="paragraph" w:customStyle="1" w:styleId="40">
    <w:name w:val="专栏内容"/>
    <w:basedOn w:val="1"/>
    <w:qFormat/>
    <w:uiPriority w:val="0"/>
    <w:pPr>
      <w:spacing w:line="240" w:lineRule="auto"/>
    </w:pPr>
    <w:rPr>
      <w:rFonts w:eastAsia="楷体_GB2312"/>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f4b9172a-3369-47eb-84c1-7ac6b8fef546</errorID>
      <errorWord xmlns="http://schemas.wps.cn/vas-ai-hub/contract-review">科技绿谷 山水新城</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科技绿谷、山水新城</item>
      </candidateList>
      <explain xmlns="http://schemas.wps.cn/vas-ai-hub/contract-review">术语一致性错误，原文后续统一使用“科技绿谷、山水新城”，此处表述不一致</explain>
      <paraID xmlns="http://schemas.wps.cn/vas-ai-hub/contract-review">73A009A3</paraID>
      <start xmlns="http://schemas.wps.cn/vas-ai-hub/contract-review">78</start>
      <end xmlns="http://schemas.wps.cn/vas-ai-hub/contract-review">87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f034c725-91af-4819-983d-673e0aa7cb3f</errorID>
      <errorWord xmlns="http://schemas.wps.cn/vas-ai-hub/contract-review">以高质量发展为主题</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以推动高质量发展为主题</item>
      </candidateList>
      <explain xmlns="http://schemas.wps.cn/vas-ai-hub/contract-review">词汇“以推动高质量发展为主题”在特定场景下为固定表述形式，请确认此处的“以高质量发展为主题”是否存在不当。</explain>
      <paraID xmlns="http://schemas.wps.cn/vas-ai-hub/contract-review">3505CD68</paraID>
      <start xmlns="http://schemas.wps.cn/vas-ai-hub/contract-review">31</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29d6f863-bd24-41cf-ae39-b74ccb7962c3</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3505CD68</paraID>
      <start xmlns="http://schemas.wps.cn/vas-ai-hub/contract-review">201</start>
      <end xmlns="http://schemas.wps.cn/vas-ai-hub/contract-review">202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62a2d966-4f6c-40ea-855e-1b0fd4e567bf</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3505CD68</paraID>
      <start xmlns="http://schemas.wps.cn/vas-ai-hub/contract-review">204</start>
      <end xmlns="http://schemas.wps.cn/vas-ai-hub/contract-review">205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92f74136-3dc3-416c-9145-5f8a96058d1e</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
      </candidateList>
      <explain xmlns="http://schemas.wps.cn/vas-ai-hub/contract-review">此处空格冗余，建议删除。</explain>
      <paraID xmlns="http://schemas.wps.cn/vas-ai-hub/contract-review">3505CD68</paraID>
      <start xmlns="http://schemas.wps.cn/vas-ai-hub/contract-review">207</start>
      <end xmlns="http://schemas.wps.cn/vas-ai-hub/contract-review">208</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593bfd77-8e01-4d57-8c77-83d0ca0e743e}">
  <ds:schemaRefs/>
</ds:datastoreItem>
</file>

<file path=docProps/app.xml><?xml version="1.0" encoding="utf-8"?>
<Properties xmlns="http://schemas.openxmlformats.org/officeDocument/2006/extended-properties" xmlns:vt="http://schemas.openxmlformats.org/officeDocument/2006/docPropsVTypes">
  <Template>Normal</Template>
  <Pages>4</Pages>
  <Words>1692</Words>
  <Characters>1699</Characters>
  <Lines>10</Lines>
  <Paragraphs>2</Paragraphs>
  <TotalTime>22</TotalTime>
  <ScaleCrop>false</ScaleCrop>
  <LinksUpToDate>false</LinksUpToDate>
  <CharactersWithSpaces>1699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2020-02-08T02:16:00Z</dcterms:created>
  <dc:creator>张 天宫</dc:creator>
  <cp:lastModifiedBy>Y</cp:lastModifiedBy>
  <cp:lastPrinted>2026-10-19T18:15:59Z</cp:lastPrinted>
  <dcterms:modified xsi:type="dcterms:W3CDTF">2026-10-20T10:13:51Z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eyJoZGlkIjoiNTJkOTQ2OGRjNTk1NTZhOTcwZjVmM2VlNWY1NGY2NDgiLCJ1c2VySWQiOiIyODQ0MzI2MjMifQ==</vt:lpwstr>
  </property>
  <property fmtid="{D5CDD505-2E9C-101B-9397-08002B2CF9AE}" pid="3" name="KSOProductBuildVer">
    <vt:lpwstr>2052-12.8.2.1119</vt:lpwstr>
  </property>
  <property fmtid="{D5CDD505-2E9C-101B-9397-08002B2CF9AE}" pid="4" name="ICV">
    <vt:lpwstr>CC3B72A636272F85A0EDD56AB2469757_43</vt:lpwstr>
  </property>
</Properties>
</file>