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B3A7E">
      <w:pPr>
        <w:pStyle w:val="18"/>
        <w:ind w:firstLine="880"/>
        <w:rPr>
          <w:rFonts w:hint="eastAsia"/>
          <w:highlight w:val="none"/>
        </w:rPr>
      </w:pPr>
    </w:p>
    <w:p w14:paraId="5F2FCB83">
      <w:pPr>
        <w:pStyle w:val="18"/>
        <w:ind w:firstLine="880"/>
        <w:rPr>
          <w:rFonts w:hint="eastAsia"/>
          <w:highlight w:val="none"/>
        </w:rPr>
      </w:pPr>
    </w:p>
    <w:p w14:paraId="479F5554">
      <w:pPr>
        <w:pStyle w:val="18"/>
        <w:ind w:firstLine="640"/>
        <w:rPr>
          <w:rFonts w:hint="eastAsia"/>
          <w:highlight w:val="none"/>
        </w:rPr>
      </w:pPr>
    </w:p>
    <w:p w14:paraId="46995134">
      <w:pPr>
        <w:pStyle w:val="18"/>
        <w:ind w:firstLine="640"/>
        <w:rPr>
          <w:rFonts w:hint="eastAsia"/>
          <w:highlight w:val="none"/>
        </w:rPr>
      </w:pPr>
    </w:p>
    <w:p w14:paraId="02CD21FE">
      <w:pPr>
        <w:pStyle w:val="18"/>
        <w:rPr>
          <w:rFonts w:hint="eastAsia"/>
          <w:highlight w:val="none"/>
        </w:rPr>
      </w:pPr>
    </w:p>
    <w:p w14:paraId="129DC88B">
      <w:pPr>
        <w:pStyle w:val="18"/>
        <w:rPr>
          <w:rFonts w:hint="eastAsia"/>
          <w:sz w:val="52"/>
          <w:szCs w:val="52"/>
          <w:highlight w:val="none"/>
        </w:rPr>
      </w:pPr>
      <w:r>
        <w:rPr>
          <w:rFonts w:hint="eastAsia" w:ascii="方正小标宋简体" w:hAnsi="方正小标宋简体"/>
          <w:sz w:val="52"/>
          <w:szCs w:val="52"/>
          <w:highlight w:val="none"/>
        </w:rPr>
        <w:t>丰台区“十五五”时期永定河以西地区</w:t>
      </w:r>
    </w:p>
    <w:p w14:paraId="4A2349F9">
      <w:pPr>
        <w:pStyle w:val="18"/>
        <w:rPr>
          <w:rFonts w:hint="eastAsia" w:ascii="方正小标宋简体" w:hAnsi="方正小标宋简体" w:eastAsia="方正小标宋简体"/>
          <w:sz w:val="52"/>
          <w:szCs w:val="52"/>
          <w:highlight w:val="none"/>
          <w:lang w:eastAsia="zh-CN"/>
        </w:rPr>
      </w:pPr>
      <w:r>
        <w:rPr>
          <w:rFonts w:hint="eastAsia" w:ascii="方正小标宋简体" w:hAnsi="方正小标宋简体"/>
          <w:sz w:val="52"/>
          <w:szCs w:val="52"/>
          <w:highlight w:val="none"/>
          <w:lang w:eastAsia="zh-CN"/>
        </w:rPr>
        <w:t>建设发展规划</w:t>
      </w:r>
    </w:p>
    <w:p w14:paraId="46D9BF41">
      <w:pPr>
        <w:ind w:firstLine="0" w:firstLineChars="0"/>
        <w:jc w:val="center"/>
        <w:rPr>
          <w:rFonts w:hint="eastAsia"/>
          <w:highlight w:val="none"/>
        </w:rPr>
      </w:pPr>
      <w:r>
        <w:rPr>
          <w:rFonts w:ascii="楷体_GB2312" w:hAnsi="楷体_GB2312" w:eastAsia="楷体_GB2312" w:cs="楷体_GB2312"/>
          <w:sz w:val="36"/>
          <w:highlight w:val="none"/>
        </w:rPr>
        <w:t>（</w:t>
      </w:r>
      <w:r>
        <w:rPr>
          <w:rFonts w:hint="eastAsia" w:ascii="楷体_GB2312" w:hAnsi="楷体_GB2312" w:eastAsia="楷体_GB2312" w:cs="楷体_GB2312"/>
          <w:sz w:val="36"/>
          <w:highlight w:val="none"/>
          <w:lang w:val="en-US" w:eastAsia="zh-CN"/>
        </w:rPr>
        <w:t>征求意见</w:t>
      </w:r>
      <w:r>
        <w:rPr>
          <w:rFonts w:hint="eastAsia" w:ascii="楷体_GB2312" w:hAnsi="楷体_GB2312" w:eastAsia="楷体_GB2312" w:cs="楷体_GB2312"/>
          <w:sz w:val="36"/>
          <w:highlight w:val="none"/>
        </w:rPr>
        <w:t>稿</w:t>
      </w:r>
      <w:r>
        <w:rPr>
          <w:rFonts w:ascii="楷体_GB2312" w:hAnsi="楷体_GB2312" w:eastAsia="楷体_GB2312" w:cs="楷体_GB2312"/>
          <w:sz w:val="36"/>
          <w:highlight w:val="none"/>
        </w:rPr>
        <w:t>）</w:t>
      </w:r>
    </w:p>
    <w:p w14:paraId="2A8B0CBD">
      <w:pPr>
        <w:ind w:firstLine="0" w:firstLineChars="0"/>
        <w:jc w:val="center"/>
        <w:rPr>
          <w:rFonts w:hint="eastAsia"/>
          <w:highlight w:val="none"/>
        </w:rPr>
      </w:pPr>
    </w:p>
    <w:p w14:paraId="33746642">
      <w:pPr>
        <w:ind w:firstLine="640"/>
        <w:rPr>
          <w:rFonts w:hint="eastAsia"/>
          <w:highlight w:val="none"/>
        </w:rPr>
      </w:pPr>
      <w:r>
        <w:rPr>
          <w:rFonts w:hint="eastAsia"/>
          <w:highlight w:val="none"/>
        </w:rPr>
        <w:t xml:space="preserve"> </w:t>
      </w:r>
    </w:p>
    <w:p w14:paraId="1383C347">
      <w:pPr>
        <w:ind w:firstLine="640"/>
        <w:rPr>
          <w:rFonts w:hint="eastAsia"/>
          <w:highlight w:val="none"/>
        </w:rPr>
      </w:pPr>
      <w:r>
        <w:rPr>
          <w:rFonts w:hint="eastAsia"/>
          <w:highlight w:val="none"/>
        </w:rPr>
        <w:t xml:space="preserve"> </w:t>
      </w:r>
    </w:p>
    <w:p w14:paraId="40E73157">
      <w:pPr>
        <w:ind w:firstLine="640"/>
        <w:rPr>
          <w:rFonts w:hint="eastAsia"/>
          <w:highlight w:val="none"/>
        </w:rPr>
      </w:pPr>
      <w:r>
        <w:rPr>
          <w:rFonts w:hint="eastAsia"/>
          <w:highlight w:val="none"/>
        </w:rPr>
        <w:t xml:space="preserve"> </w:t>
      </w:r>
    </w:p>
    <w:p w14:paraId="005CB971">
      <w:pPr>
        <w:ind w:firstLine="640"/>
        <w:rPr>
          <w:rFonts w:hint="eastAsia"/>
          <w:highlight w:val="none"/>
        </w:rPr>
      </w:pPr>
      <w:r>
        <w:rPr>
          <w:rFonts w:hint="eastAsia"/>
          <w:highlight w:val="none"/>
        </w:rPr>
        <w:t xml:space="preserve"> </w:t>
      </w:r>
    </w:p>
    <w:p w14:paraId="0042C792">
      <w:pPr>
        <w:ind w:firstLine="640"/>
        <w:rPr>
          <w:rFonts w:hint="eastAsia"/>
          <w:highlight w:val="none"/>
        </w:rPr>
      </w:pPr>
      <w:r>
        <w:rPr>
          <w:rFonts w:hint="eastAsia"/>
          <w:highlight w:val="none"/>
        </w:rPr>
        <w:t xml:space="preserve"> </w:t>
      </w:r>
    </w:p>
    <w:p w14:paraId="1CEEE344">
      <w:pPr>
        <w:ind w:firstLine="640"/>
        <w:rPr>
          <w:rFonts w:hint="eastAsia"/>
          <w:highlight w:val="none"/>
        </w:rPr>
      </w:pPr>
      <w:r>
        <w:rPr>
          <w:rFonts w:hint="eastAsia"/>
          <w:highlight w:val="none"/>
        </w:rPr>
        <w:t xml:space="preserve"> </w:t>
      </w:r>
    </w:p>
    <w:p w14:paraId="13916489">
      <w:pPr>
        <w:ind w:firstLine="640"/>
        <w:rPr>
          <w:rFonts w:hint="eastAsia"/>
          <w:highlight w:val="none"/>
        </w:rPr>
      </w:pPr>
    </w:p>
    <w:p w14:paraId="4BCA9C78">
      <w:pPr>
        <w:ind w:firstLine="640"/>
        <w:rPr>
          <w:rFonts w:hint="eastAsia"/>
          <w:highlight w:val="none"/>
        </w:rPr>
      </w:pPr>
    </w:p>
    <w:p w14:paraId="36E18EBC">
      <w:pPr>
        <w:ind w:firstLine="640"/>
        <w:rPr>
          <w:rFonts w:hint="eastAsia"/>
          <w:highlight w:val="none"/>
        </w:rPr>
      </w:pPr>
    </w:p>
    <w:p w14:paraId="062D8A15">
      <w:pPr>
        <w:ind w:firstLine="640"/>
        <w:rPr>
          <w:rFonts w:hint="eastAsia"/>
          <w:highlight w:val="none"/>
        </w:rPr>
      </w:pPr>
      <w:r>
        <w:rPr>
          <w:rFonts w:hint="eastAsia"/>
          <w:highlight w:val="none"/>
        </w:rPr>
        <w:t xml:space="preserve"> </w:t>
      </w:r>
    </w:p>
    <w:p w14:paraId="1C16FB8F">
      <w:pPr>
        <w:ind w:firstLine="640"/>
        <w:rPr>
          <w:rFonts w:hint="eastAsia"/>
          <w:highlight w:val="none"/>
        </w:rPr>
      </w:pPr>
      <w:r>
        <w:rPr>
          <w:rFonts w:hint="eastAsia"/>
          <w:highlight w:val="none"/>
        </w:rPr>
        <w:t xml:space="preserve"> </w:t>
      </w:r>
    </w:p>
    <w:p w14:paraId="38BD4BB5">
      <w:pPr>
        <w:ind w:firstLineChars="0"/>
        <w:jc w:val="center"/>
        <w:rPr>
          <w:rFonts w:hint="eastAsia"/>
          <w:highlight w:val="none"/>
        </w:rPr>
      </w:pPr>
    </w:p>
    <w:p w14:paraId="510E1F6B">
      <w:pPr>
        <w:ind w:firstLine="0" w:firstLineChars="0"/>
        <w:jc w:val="center"/>
        <w:rPr>
          <w:rFonts w:hint="eastAsia" w:ascii="楷体_GB2312" w:hAnsi="楷体_GB2312" w:eastAsia="楷体_GB2312" w:cs="楷体_GB2312"/>
          <w:highlight w:val="none"/>
        </w:rPr>
        <w:sectPr>
          <w:headerReference r:id="rId7" w:type="first"/>
          <w:footerReference r:id="rId10" w:type="first"/>
          <w:headerReference r:id="rId5" w:type="default"/>
          <w:footerReference r:id="rId8" w:type="default"/>
          <w:headerReference r:id="rId6" w:type="even"/>
          <w:footerReference r:id="rId9" w:type="even"/>
          <w:pgSz w:w="11900" w:h="16840"/>
          <w:pgMar w:top="1440" w:right="1800" w:bottom="1440" w:left="1800" w:header="720" w:footer="720" w:gutter="0"/>
          <w:pgNumType w:start="1"/>
          <w:cols w:space="720" w:num="1"/>
        </w:sectPr>
      </w:pPr>
      <w:r>
        <w:rPr>
          <w:rFonts w:hint="eastAsia" w:ascii="楷体_GB2312" w:hAnsi="楷体_GB2312" w:eastAsia="楷体_GB2312" w:cs="楷体_GB2312"/>
          <w:highlight w:val="none"/>
        </w:rPr>
        <w:t>2026年</w:t>
      </w:r>
      <w:r>
        <w:rPr>
          <w:rFonts w:hint="eastAsia" w:ascii="楷体_GB2312" w:hAnsi="楷体_GB2312" w:eastAsia="楷体_GB2312" w:cs="楷体_GB2312"/>
          <w:highlight w:val="none"/>
          <w:lang w:val="en-US" w:eastAsia="zh-CN"/>
        </w:rPr>
        <w:t>10</w:t>
      </w:r>
      <w:r>
        <w:rPr>
          <w:rFonts w:hint="eastAsia" w:ascii="楷体_GB2312" w:hAnsi="楷体_GB2312" w:eastAsia="楷体_GB2312" w:cs="楷体_GB2312"/>
          <w:highlight w:val="none"/>
        </w:rPr>
        <w:t>月</w:t>
      </w:r>
    </w:p>
    <w:p w14:paraId="25D81C59">
      <w:pPr>
        <w:ind w:firstLineChars="0"/>
        <w:jc w:val="center"/>
        <w:rPr>
          <w:rFonts w:hint="eastAsia"/>
          <w:highlight w:val="none"/>
        </w:rPr>
        <w:sectPr>
          <w:footerReference r:id="rId11" w:type="default"/>
          <w:pgSz w:w="11900" w:h="16840"/>
          <w:pgMar w:top="1440" w:right="1800" w:bottom="1440" w:left="1800" w:header="720" w:footer="720" w:gutter="0"/>
          <w:cols w:space="720" w:num="1"/>
        </w:sectPr>
      </w:pPr>
    </w:p>
    <w:p w14:paraId="6EC438F4">
      <w:pPr>
        <w:ind w:firstLine="0" w:firstLineChars="0"/>
        <w:rPr>
          <w:rFonts w:hint="eastAsia"/>
          <w:highlight w:val="none"/>
        </w:rPr>
      </w:pPr>
    </w:p>
    <w:sdt>
      <w:sdtPr>
        <w:rPr>
          <w:rFonts w:hint="eastAsia" w:ascii="黑体" w:hAnsi="黑体" w:eastAsia="黑体" w:cs="黑体"/>
          <w:highlight w:val="none"/>
        </w:rPr>
        <w:id w:val="565970186"/>
        <w15:color w:val="DBDBDB"/>
        <w:docPartObj>
          <w:docPartGallery w:val="Table of Contents"/>
          <w:docPartUnique/>
        </w:docPartObj>
      </w:sdtPr>
      <w:sdtEndPr>
        <w:rPr>
          <w:rFonts w:hint="eastAsia" w:ascii="仿宋_GB2312" w:hAnsi="仿宋_GB2312" w:eastAsia="黑体" w:cs="黑体"/>
          <w:highlight w:val="none"/>
        </w:rPr>
      </w:sdtEndPr>
      <w:sdtContent>
        <w:p w14:paraId="78C9D270">
          <w:pPr>
            <w:spacing w:line="240" w:lineRule="auto"/>
            <w:ind w:firstLine="0" w:firstLineChars="0"/>
            <w:jc w:val="center"/>
            <w:rPr>
              <w:rFonts w:hint="eastAsia" w:ascii="Times New Roman" w:hAnsi="Times New Roman" w:eastAsia="黑体" w:cs="黑体"/>
              <w:highlight w:val="none"/>
            </w:rPr>
          </w:pPr>
          <w:r>
            <w:rPr>
              <w:rFonts w:hint="eastAsia" w:ascii="Times New Roman" w:hAnsi="Times New Roman" w:eastAsia="黑体" w:cs="黑体"/>
              <w:sz w:val="36"/>
              <w:szCs w:val="36"/>
              <w:highlight w:val="none"/>
            </w:rPr>
            <w:t>目录</w:t>
          </w:r>
        </w:p>
        <w:p w14:paraId="2431056A">
          <w:pPr>
            <w:pStyle w:val="16"/>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TOC \o "1-4" \h \u </w:instrText>
          </w:r>
          <w:r>
            <w:rPr>
              <w:rFonts w:ascii="Times New Roman" w:hAnsi="Times New Roman"/>
              <w:highlight w:val="none"/>
            </w:rPr>
            <w:fldChar w:fldCharType="separate"/>
          </w: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HYPERLINK \l _Toc25818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一、发展基础与形势</w:t>
          </w:r>
          <w:r>
            <w:rPr>
              <w:rFonts w:hint="eastAsia" w:ascii="Times New Roman" w:hAnsi="Times New Roman" w:eastAsia="黑体" w:cs="黑体"/>
              <w:highlight w:val="none"/>
            </w:rPr>
            <w:tab/>
          </w: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PAGEREF _Toc25818 \h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1</w:t>
          </w:r>
          <w:r>
            <w:rPr>
              <w:rFonts w:hint="eastAsia" w:ascii="Times New Roman" w:hAnsi="Times New Roman" w:eastAsia="黑体" w:cs="黑体"/>
              <w:highlight w:val="none"/>
            </w:rPr>
            <w:fldChar w:fldCharType="end"/>
          </w:r>
          <w:r>
            <w:rPr>
              <w:rFonts w:hint="eastAsia" w:ascii="Times New Roman" w:hAnsi="Times New Roman" w:eastAsia="黑体" w:cs="黑体"/>
              <w:highlight w:val="none"/>
            </w:rPr>
            <w:fldChar w:fldCharType="end"/>
          </w:r>
        </w:p>
        <w:p w14:paraId="4AC5A167">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_Toc22424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（一）“十四五”时期发展成效</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_Toc22424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302AFAE1">
          <w:pPr>
            <w:pStyle w:val="10"/>
            <w:tabs>
              <w:tab w:val="right" w:leader="dot" w:pos="8306"/>
            </w:tabs>
            <w:ind w:left="0" w:leftChars="0" w:firstLine="0" w:firstLineChars="0"/>
            <w:rPr>
              <w:rFonts w:ascii="Times New Roman" w:hAnsi="Times New Roman"/>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_Toc6202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（二）“十五五”时期发展机遇</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_Toc6202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3</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747F0486">
          <w:pPr>
            <w:pStyle w:val="16"/>
            <w:tabs>
              <w:tab w:val="right" w:leader="dot" w:pos="8306"/>
            </w:tabs>
            <w:ind w:left="0" w:leftChars="0" w:firstLine="0" w:firstLineChars="0"/>
            <w:rPr>
              <w:rFonts w:hint="eastAsia" w:ascii="Times New Roman" w:hAnsi="Times New Roman" w:eastAsia="黑体" w:cs="黑体"/>
              <w:highlight w:val="none"/>
            </w:rPr>
          </w:pP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HYPERLINK \l _Toc27693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二、总体思路</w:t>
          </w:r>
          <w:r>
            <w:rPr>
              <w:rFonts w:hint="eastAsia" w:ascii="Times New Roman" w:hAnsi="Times New Roman" w:eastAsia="黑体" w:cs="黑体"/>
              <w:highlight w:val="none"/>
            </w:rPr>
            <w:tab/>
          </w: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PAGEREF _Toc27693 \h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4</w:t>
          </w:r>
          <w:r>
            <w:rPr>
              <w:rFonts w:hint="eastAsia" w:ascii="Times New Roman" w:hAnsi="Times New Roman" w:eastAsia="黑体" w:cs="黑体"/>
              <w:highlight w:val="none"/>
            </w:rPr>
            <w:fldChar w:fldCharType="end"/>
          </w:r>
          <w:r>
            <w:rPr>
              <w:rFonts w:hint="eastAsia" w:ascii="Times New Roman" w:hAnsi="Times New Roman" w:eastAsia="黑体" w:cs="黑体"/>
              <w:highlight w:val="none"/>
            </w:rPr>
            <w:fldChar w:fldCharType="end"/>
          </w:r>
        </w:p>
        <w:p w14:paraId="0A2F0D3F">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_Toc19838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（一）指导思想</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_Toc19838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4</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58A371D6">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_Toc30210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（二）发展原则</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_Toc30210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5</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7E315B71">
          <w:pPr>
            <w:pStyle w:val="10"/>
            <w:tabs>
              <w:tab w:val="right" w:leader="dot" w:pos="8306"/>
            </w:tabs>
            <w:ind w:left="0" w:leftChars="0" w:firstLine="0" w:firstLineChars="0"/>
            <w:rPr>
              <w:rFonts w:ascii="Times New Roman" w:hAnsi="Times New Roman"/>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_Toc11073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（三）发展目标</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_Toc11073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6</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346EBF91">
          <w:pPr>
            <w:pStyle w:val="16"/>
            <w:tabs>
              <w:tab w:val="right" w:leader="dot" w:pos="8306"/>
            </w:tabs>
            <w:ind w:left="0" w:leftChars="0" w:firstLine="0" w:firstLineChars="0"/>
            <w:rPr>
              <w:rFonts w:hint="eastAsia" w:ascii="Times New Roman" w:hAnsi="Times New Roman" w:eastAsia="黑体" w:cs="黑体"/>
              <w:highlight w:val="none"/>
            </w:rPr>
          </w:pP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HYPERLINK \l _Toc660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三、重点任务</w:t>
          </w:r>
          <w:r>
            <w:rPr>
              <w:rFonts w:hint="eastAsia" w:ascii="Times New Roman" w:hAnsi="Times New Roman" w:eastAsia="黑体" w:cs="黑体"/>
              <w:highlight w:val="none"/>
            </w:rPr>
            <w:tab/>
          </w: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PAGEREF _Toc660 \h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8</w:t>
          </w:r>
          <w:r>
            <w:rPr>
              <w:rFonts w:hint="eastAsia" w:ascii="Times New Roman" w:hAnsi="Times New Roman" w:eastAsia="黑体" w:cs="黑体"/>
              <w:highlight w:val="none"/>
            </w:rPr>
            <w:fldChar w:fldCharType="end"/>
          </w:r>
          <w:r>
            <w:rPr>
              <w:rFonts w:hint="eastAsia" w:ascii="Times New Roman" w:hAnsi="Times New Roman" w:eastAsia="黑体" w:cs="黑体"/>
              <w:highlight w:val="none"/>
            </w:rPr>
            <w:fldChar w:fldCharType="end"/>
          </w:r>
        </w:p>
        <w:p w14:paraId="231F570C">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_Toc19733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（一）聚焦首都功能定位，提升服务保障能级</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_Toc19733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8</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35E73883">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_Toc6931 </w:instrText>
          </w:r>
          <w:r>
            <w:rPr>
              <w:rFonts w:ascii="Times New Roman" w:hAnsi="Times New Roman"/>
              <w:highlight w:val="none"/>
            </w:rPr>
            <w:fldChar w:fldCharType="separate"/>
          </w:r>
          <w:r>
            <w:rPr>
              <w:rFonts w:hint="eastAsia" w:ascii="Times New Roman" w:hAnsi="Times New Roman"/>
              <w:highlight w:val="none"/>
            </w:rPr>
            <w:t>1.筑牢政治服务保障根基</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_Toc6931 \h </w:instrText>
          </w:r>
          <w:r>
            <w:rPr>
              <w:rFonts w:ascii="Times New Roman" w:hAnsi="Times New Roman"/>
              <w:highlight w:val="none"/>
            </w:rPr>
            <w:fldChar w:fldCharType="separate"/>
          </w:r>
          <w:r>
            <w:rPr>
              <w:rFonts w:ascii="Times New Roman" w:hAnsi="Times New Roman"/>
              <w:highlight w:val="none"/>
            </w:rPr>
            <w:t>8</w:t>
          </w:r>
          <w:r>
            <w:rPr>
              <w:rFonts w:ascii="Times New Roman" w:hAnsi="Times New Roman"/>
              <w:highlight w:val="none"/>
            </w:rPr>
            <w:fldChar w:fldCharType="end"/>
          </w:r>
          <w:r>
            <w:rPr>
              <w:rFonts w:ascii="Times New Roman" w:hAnsi="Times New Roman"/>
              <w:highlight w:val="none"/>
            </w:rPr>
            <w:fldChar w:fldCharType="end"/>
          </w:r>
        </w:p>
        <w:p w14:paraId="78E68357">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_Toc3020 </w:instrText>
          </w:r>
          <w:r>
            <w:rPr>
              <w:rFonts w:ascii="Times New Roman" w:hAnsi="Times New Roman"/>
              <w:highlight w:val="none"/>
            </w:rPr>
            <w:fldChar w:fldCharType="separate"/>
          </w:r>
          <w:r>
            <w:rPr>
              <w:rFonts w:hint="eastAsia" w:ascii="Times New Roman" w:hAnsi="Times New Roman"/>
              <w:highlight w:val="none"/>
            </w:rPr>
            <w:t>2.激活文化交往服务动能</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_Toc3020 \h </w:instrText>
          </w:r>
          <w:r>
            <w:rPr>
              <w:rFonts w:ascii="Times New Roman" w:hAnsi="Times New Roman"/>
              <w:highlight w:val="none"/>
            </w:rPr>
            <w:fldChar w:fldCharType="separate"/>
          </w:r>
          <w:r>
            <w:rPr>
              <w:rFonts w:ascii="Times New Roman" w:hAnsi="Times New Roman"/>
              <w:highlight w:val="none"/>
            </w:rPr>
            <w:t>8</w:t>
          </w:r>
          <w:r>
            <w:rPr>
              <w:rFonts w:ascii="Times New Roman" w:hAnsi="Times New Roman"/>
              <w:highlight w:val="none"/>
            </w:rPr>
            <w:fldChar w:fldCharType="end"/>
          </w:r>
          <w:r>
            <w:rPr>
              <w:rFonts w:ascii="Times New Roman" w:hAnsi="Times New Roman"/>
              <w:highlight w:val="none"/>
            </w:rPr>
            <w:fldChar w:fldCharType="end"/>
          </w:r>
        </w:p>
        <w:p w14:paraId="2EC60F19">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_Toc16376 </w:instrText>
          </w:r>
          <w:r>
            <w:rPr>
              <w:rFonts w:ascii="Times New Roman" w:hAnsi="Times New Roman"/>
              <w:highlight w:val="none"/>
            </w:rPr>
            <w:fldChar w:fldCharType="separate"/>
          </w:r>
          <w:r>
            <w:rPr>
              <w:rFonts w:hint="eastAsia" w:ascii="Times New Roman" w:hAnsi="Times New Roman"/>
              <w:highlight w:val="none"/>
            </w:rPr>
            <w:t>3.强化科技创新服务支撑</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_Toc16376 \h </w:instrText>
          </w:r>
          <w:r>
            <w:rPr>
              <w:rFonts w:ascii="Times New Roman" w:hAnsi="Times New Roman"/>
              <w:highlight w:val="none"/>
            </w:rPr>
            <w:fldChar w:fldCharType="separate"/>
          </w:r>
          <w:r>
            <w:rPr>
              <w:rFonts w:ascii="Times New Roman" w:hAnsi="Times New Roman"/>
              <w:highlight w:val="none"/>
            </w:rPr>
            <w:t>9</w:t>
          </w:r>
          <w:r>
            <w:rPr>
              <w:rFonts w:ascii="Times New Roman" w:hAnsi="Times New Roman"/>
              <w:highlight w:val="none"/>
            </w:rPr>
            <w:fldChar w:fldCharType="end"/>
          </w:r>
          <w:r>
            <w:rPr>
              <w:rFonts w:ascii="Times New Roman" w:hAnsi="Times New Roman"/>
              <w:highlight w:val="none"/>
            </w:rPr>
            <w:fldChar w:fldCharType="end"/>
          </w:r>
        </w:p>
        <w:p w14:paraId="5CD1D169">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_Toc3356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（二）打造优质产业空间，拉动产业高质量发展</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_Toc3356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9</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6FA8906C">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_Toc12963 </w:instrText>
          </w:r>
          <w:r>
            <w:rPr>
              <w:rFonts w:ascii="Times New Roman" w:hAnsi="Times New Roman"/>
              <w:highlight w:val="none"/>
            </w:rPr>
            <w:fldChar w:fldCharType="separate"/>
          </w:r>
          <w:r>
            <w:rPr>
              <w:rFonts w:hint="eastAsia" w:ascii="Times New Roman" w:hAnsi="Times New Roman"/>
              <w:highlight w:val="none"/>
            </w:rPr>
            <w:t>1.</w:t>
          </w:r>
          <w:r>
            <w:rPr>
              <w:rFonts w:hint="eastAsia" w:ascii="Times New Roman" w:hAnsi="Times New Roman"/>
              <w:bCs/>
              <w:highlight w:val="none"/>
            </w:rPr>
            <w:t>构建“两园一河”区域产业核心</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_Toc12963 \h </w:instrText>
          </w:r>
          <w:r>
            <w:rPr>
              <w:rFonts w:ascii="Times New Roman" w:hAnsi="Times New Roman"/>
              <w:highlight w:val="none"/>
            </w:rPr>
            <w:fldChar w:fldCharType="separate"/>
          </w:r>
          <w:r>
            <w:rPr>
              <w:rFonts w:ascii="Times New Roman" w:hAnsi="Times New Roman"/>
              <w:highlight w:val="none"/>
            </w:rPr>
            <w:t>10</w:t>
          </w:r>
          <w:r>
            <w:rPr>
              <w:rFonts w:ascii="Times New Roman" w:hAnsi="Times New Roman"/>
              <w:highlight w:val="none"/>
            </w:rPr>
            <w:fldChar w:fldCharType="end"/>
          </w:r>
          <w:r>
            <w:rPr>
              <w:rFonts w:ascii="Times New Roman" w:hAnsi="Times New Roman"/>
              <w:highlight w:val="none"/>
            </w:rPr>
            <w:fldChar w:fldCharType="end"/>
          </w:r>
        </w:p>
        <w:p w14:paraId="77A3BC1E">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_Toc32103 </w:instrText>
          </w:r>
          <w:r>
            <w:rPr>
              <w:rFonts w:ascii="Times New Roman" w:hAnsi="Times New Roman"/>
              <w:highlight w:val="none"/>
            </w:rPr>
            <w:fldChar w:fldCharType="separate"/>
          </w:r>
          <w:r>
            <w:rPr>
              <w:rFonts w:hint="eastAsia" w:ascii="Times New Roman" w:hAnsi="Times New Roman"/>
              <w:highlight w:val="none"/>
            </w:rPr>
            <w:t>2.打造1号线支线站产城融合示范</w:t>
          </w:r>
          <w:r>
            <w:rPr>
              <w:rFonts w:hint="eastAsia" w:ascii="Times New Roman" w:hAnsi="Times New Roman"/>
              <w:highlight w:val="none"/>
              <w:lang w:val="en-US" w:eastAsia="zh-CN"/>
            </w:rPr>
            <w:t>片区</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_Toc32103 \h </w:instrText>
          </w:r>
          <w:r>
            <w:rPr>
              <w:rFonts w:ascii="Times New Roman" w:hAnsi="Times New Roman"/>
              <w:highlight w:val="none"/>
            </w:rPr>
            <w:fldChar w:fldCharType="separate"/>
          </w:r>
          <w:r>
            <w:rPr>
              <w:rFonts w:ascii="Times New Roman" w:hAnsi="Times New Roman"/>
              <w:highlight w:val="none"/>
            </w:rPr>
            <w:t>10</w:t>
          </w:r>
          <w:r>
            <w:rPr>
              <w:rFonts w:ascii="Times New Roman" w:hAnsi="Times New Roman"/>
              <w:highlight w:val="none"/>
            </w:rPr>
            <w:fldChar w:fldCharType="end"/>
          </w:r>
          <w:r>
            <w:rPr>
              <w:rFonts w:ascii="Times New Roman" w:hAnsi="Times New Roman"/>
              <w:highlight w:val="none"/>
            </w:rPr>
            <w:fldChar w:fldCharType="end"/>
          </w:r>
        </w:p>
        <w:p w14:paraId="4D309402">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_Toc1155 </w:instrText>
          </w:r>
          <w:r>
            <w:rPr>
              <w:rFonts w:ascii="Times New Roman" w:hAnsi="Times New Roman"/>
              <w:highlight w:val="none"/>
            </w:rPr>
            <w:fldChar w:fldCharType="separate"/>
          </w:r>
          <w:r>
            <w:rPr>
              <w:rFonts w:hint="eastAsia" w:ascii="Times New Roman" w:hAnsi="Times New Roman"/>
              <w:highlight w:val="none"/>
            </w:rPr>
            <w:t>3.深化</w:t>
          </w:r>
          <w:r>
            <w:rPr>
              <w:rFonts w:hint="eastAsia" w:ascii="Times New Roman" w:hAnsi="Times New Roman" w:cs="宋体"/>
              <w:kern w:val="0"/>
              <w:highlight w:val="none"/>
            </w:rPr>
            <w:t>西山永定河文化带（丰台段）内涵</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_Toc1155 \h </w:instrText>
          </w:r>
          <w:r>
            <w:rPr>
              <w:rFonts w:ascii="Times New Roman" w:hAnsi="Times New Roman"/>
              <w:highlight w:val="none"/>
            </w:rPr>
            <w:fldChar w:fldCharType="separate"/>
          </w:r>
          <w:r>
            <w:rPr>
              <w:rFonts w:ascii="Times New Roman" w:hAnsi="Times New Roman"/>
              <w:highlight w:val="none"/>
            </w:rPr>
            <w:t>11</w:t>
          </w:r>
          <w:r>
            <w:rPr>
              <w:rFonts w:ascii="Times New Roman" w:hAnsi="Times New Roman"/>
              <w:highlight w:val="none"/>
            </w:rPr>
            <w:fldChar w:fldCharType="end"/>
          </w:r>
          <w:r>
            <w:rPr>
              <w:rFonts w:ascii="Times New Roman" w:hAnsi="Times New Roman"/>
              <w:highlight w:val="none"/>
            </w:rPr>
            <w:fldChar w:fldCharType="end"/>
          </w:r>
        </w:p>
        <w:p w14:paraId="53153A27">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_Toc11429 </w:instrText>
          </w:r>
          <w:r>
            <w:rPr>
              <w:rFonts w:ascii="Times New Roman" w:hAnsi="Times New Roman"/>
              <w:highlight w:val="none"/>
            </w:rPr>
            <w:fldChar w:fldCharType="separate"/>
          </w:r>
          <w:r>
            <w:rPr>
              <w:rFonts w:hint="eastAsia" w:ascii="Times New Roman" w:hAnsi="Times New Roman"/>
              <w:highlight w:val="none"/>
            </w:rPr>
            <w:t>4.激活“多点”区域发展新活力</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_Toc11429 \h </w:instrText>
          </w:r>
          <w:r>
            <w:rPr>
              <w:rFonts w:ascii="Times New Roman" w:hAnsi="Times New Roman"/>
              <w:highlight w:val="none"/>
            </w:rPr>
            <w:fldChar w:fldCharType="separate"/>
          </w:r>
          <w:r>
            <w:rPr>
              <w:rFonts w:ascii="Times New Roman" w:hAnsi="Times New Roman"/>
              <w:highlight w:val="none"/>
            </w:rPr>
            <w:t>11</w:t>
          </w:r>
          <w:r>
            <w:rPr>
              <w:rFonts w:ascii="Times New Roman" w:hAnsi="Times New Roman"/>
              <w:highlight w:val="none"/>
            </w:rPr>
            <w:fldChar w:fldCharType="end"/>
          </w:r>
          <w:r>
            <w:rPr>
              <w:rFonts w:ascii="Times New Roman" w:hAnsi="Times New Roman"/>
              <w:highlight w:val="none"/>
            </w:rPr>
            <w:fldChar w:fldCharType="end"/>
          </w:r>
        </w:p>
        <w:p w14:paraId="2E2DCF04">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_Toc24785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（三）完善基础设施布局，带动</w:t>
          </w:r>
          <w:r>
            <w:rPr>
              <w:rFonts w:hint="eastAsia" w:ascii="Times New Roman" w:hAnsi="Times New Roman" w:eastAsia="楷体_GB2312" w:cs="楷体_GB2312"/>
              <w:highlight w:val="none"/>
              <w:lang w:val="en-US" w:eastAsia="zh-CN"/>
            </w:rPr>
            <w:t>区域</w:t>
          </w:r>
          <w:r>
            <w:rPr>
              <w:rFonts w:hint="eastAsia" w:ascii="Times New Roman" w:hAnsi="Times New Roman" w:eastAsia="楷体_GB2312" w:cs="楷体_GB2312"/>
              <w:highlight w:val="none"/>
            </w:rPr>
            <w:t>承载能力提升</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_Toc24785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12</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6C33CB73">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_Toc20420 </w:instrText>
          </w:r>
          <w:r>
            <w:rPr>
              <w:rFonts w:ascii="Times New Roman" w:hAnsi="Times New Roman"/>
              <w:highlight w:val="none"/>
            </w:rPr>
            <w:fldChar w:fldCharType="separate"/>
          </w:r>
          <w:r>
            <w:rPr>
              <w:rFonts w:hint="eastAsia" w:ascii="Times New Roman" w:hAnsi="Times New Roman"/>
              <w:highlight w:val="none"/>
            </w:rPr>
            <w:t>1.构建内外畅通的交通网络</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_Toc20420 \h </w:instrText>
          </w:r>
          <w:r>
            <w:rPr>
              <w:rFonts w:ascii="Times New Roman" w:hAnsi="Times New Roman"/>
              <w:highlight w:val="none"/>
            </w:rPr>
            <w:fldChar w:fldCharType="separate"/>
          </w:r>
          <w:r>
            <w:rPr>
              <w:rFonts w:ascii="Times New Roman" w:hAnsi="Times New Roman"/>
              <w:highlight w:val="none"/>
            </w:rPr>
            <w:t>12</w:t>
          </w:r>
          <w:r>
            <w:rPr>
              <w:rFonts w:ascii="Times New Roman" w:hAnsi="Times New Roman"/>
              <w:highlight w:val="none"/>
            </w:rPr>
            <w:fldChar w:fldCharType="end"/>
          </w:r>
          <w:r>
            <w:rPr>
              <w:rFonts w:ascii="Times New Roman" w:hAnsi="Times New Roman"/>
              <w:highlight w:val="none"/>
            </w:rPr>
            <w:fldChar w:fldCharType="end"/>
          </w:r>
        </w:p>
        <w:p w14:paraId="7D25E637">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_Toc27890 </w:instrText>
          </w:r>
          <w:r>
            <w:rPr>
              <w:rFonts w:ascii="Times New Roman" w:hAnsi="Times New Roman"/>
              <w:highlight w:val="none"/>
            </w:rPr>
            <w:fldChar w:fldCharType="separate"/>
          </w:r>
          <w:r>
            <w:rPr>
              <w:rFonts w:hint="eastAsia" w:ascii="Times New Roman" w:hAnsi="Times New Roman"/>
              <w:highlight w:val="none"/>
            </w:rPr>
            <w:t>2.提高市政设施保障水平</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_Toc27890 \h </w:instrText>
          </w:r>
          <w:r>
            <w:rPr>
              <w:rFonts w:ascii="Times New Roman" w:hAnsi="Times New Roman"/>
              <w:highlight w:val="none"/>
            </w:rPr>
            <w:fldChar w:fldCharType="separate"/>
          </w:r>
          <w:r>
            <w:rPr>
              <w:rFonts w:ascii="Times New Roman" w:hAnsi="Times New Roman"/>
              <w:highlight w:val="none"/>
            </w:rPr>
            <w:t>12</w:t>
          </w:r>
          <w:r>
            <w:rPr>
              <w:rFonts w:ascii="Times New Roman" w:hAnsi="Times New Roman"/>
              <w:highlight w:val="none"/>
            </w:rPr>
            <w:fldChar w:fldCharType="end"/>
          </w:r>
          <w:r>
            <w:rPr>
              <w:rFonts w:ascii="Times New Roman" w:hAnsi="Times New Roman"/>
              <w:highlight w:val="none"/>
            </w:rPr>
            <w:fldChar w:fldCharType="end"/>
          </w:r>
        </w:p>
        <w:p w14:paraId="169A2872">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_Toc29188 </w:instrText>
          </w:r>
          <w:r>
            <w:rPr>
              <w:rFonts w:ascii="Times New Roman" w:hAnsi="Times New Roman"/>
              <w:highlight w:val="none"/>
            </w:rPr>
            <w:fldChar w:fldCharType="separate"/>
          </w:r>
          <w:r>
            <w:rPr>
              <w:rFonts w:hint="eastAsia" w:ascii="Times New Roman" w:hAnsi="Times New Roman"/>
              <w:highlight w:val="none"/>
            </w:rPr>
            <w:t>3.加强安全韧性城市建设</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_Toc29188 \h </w:instrText>
          </w:r>
          <w:r>
            <w:rPr>
              <w:rFonts w:ascii="Times New Roman" w:hAnsi="Times New Roman"/>
              <w:highlight w:val="none"/>
            </w:rPr>
            <w:fldChar w:fldCharType="separate"/>
          </w:r>
          <w:r>
            <w:rPr>
              <w:rFonts w:ascii="Times New Roman" w:hAnsi="Times New Roman"/>
              <w:highlight w:val="none"/>
            </w:rPr>
            <w:t>13</w:t>
          </w:r>
          <w:r>
            <w:rPr>
              <w:rFonts w:ascii="Times New Roman" w:hAnsi="Times New Roman"/>
              <w:highlight w:val="none"/>
            </w:rPr>
            <w:fldChar w:fldCharType="end"/>
          </w:r>
          <w:r>
            <w:rPr>
              <w:rFonts w:ascii="Times New Roman" w:hAnsi="Times New Roman"/>
              <w:highlight w:val="none"/>
            </w:rPr>
            <w:fldChar w:fldCharType="end"/>
          </w:r>
        </w:p>
        <w:p w14:paraId="282941F1">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_Toc15595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（四）锚定“三农”领域需求，联动城乡融合发展</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_Toc15595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13</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5E015B55">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_Toc15884 </w:instrText>
          </w:r>
          <w:r>
            <w:rPr>
              <w:rFonts w:ascii="Times New Roman" w:hAnsi="Times New Roman"/>
              <w:highlight w:val="none"/>
            </w:rPr>
            <w:fldChar w:fldCharType="separate"/>
          </w:r>
          <w:r>
            <w:rPr>
              <w:rFonts w:hint="eastAsia" w:ascii="Times New Roman" w:hAnsi="Times New Roman"/>
              <w:highlight w:val="none"/>
            </w:rPr>
            <w:t>1.推动乡村产业现代化发展</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_Toc15884 \h </w:instrText>
          </w:r>
          <w:r>
            <w:rPr>
              <w:rFonts w:ascii="Times New Roman" w:hAnsi="Times New Roman"/>
              <w:highlight w:val="none"/>
            </w:rPr>
            <w:fldChar w:fldCharType="separate"/>
          </w:r>
          <w:r>
            <w:rPr>
              <w:rFonts w:ascii="Times New Roman" w:hAnsi="Times New Roman"/>
              <w:highlight w:val="none"/>
            </w:rPr>
            <w:t>14</w:t>
          </w:r>
          <w:r>
            <w:rPr>
              <w:rFonts w:ascii="Times New Roman" w:hAnsi="Times New Roman"/>
              <w:highlight w:val="none"/>
            </w:rPr>
            <w:fldChar w:fldCharType="end"/>
          </w:r>
          <w:r>
            <w:rPr>
              <w:rFonts w:ascii="Times New Roman" w:hAnsi="Times New Roman"/>
              <w:highlight w:val="none"/>
            </w:rPr>
            <w:fldChar w:fldCharType="end"/>
          </w:r>
        </w:p>
        <w:p w14:paraId="41CFF4CC">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_Toc1179 </w:instrText>
          </w:r>
          <w:r>
            <w:rPr>
              <w:rFonts w:ascii="Times New Roman" w:hAnsi="Times New Roman"/>
              <w:highlight w:val="none"/>
            </w:rPr>
            <w:fldChar w:fldCharType="separate"/>
          </w:r>
          <w:r>
            <w:rPr>
              <w:rFonts w:hint="eastAsia" w:ascii="Times New Roman" w:hAnsi="Times New Roman"/>
              <w:highlight w:val="none"/>
            </w:rPr>
            <w:t>2.扎实推进农村城市化进程</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_Toc1179 \h </w:instrText>
          </w:r>
          <w:r>
            <w:rPr>
              <w:rFonts w:ascii="Times New Roman" w:hAnsi="Times New Roman"/>
              <w:highlight w:val="none"/>
            </w:rPr>
            <w:fldChar w:fldCharType="separate"/>
          </w:r>
          <w:r>
            <w:rPr>
              <w:rFonts w:ascii="Times New Roman" w:hAnsi="Times New Roman"/>
              <w:highlight w:val="none"/>
            </w:rPr>
            <w:t>14</w:t>
          </w:r>
          <w:r>
            <w:rPr>
              <w:rFonts w:ascii="Times New Roman" w:hAnsi="Times New Roman"/>
              <w:highlight w:val="none"/>
            </w:rPr>
            <w:fldChar w:fldCharType="end"/>
          </w:r>
          <w:r>
            <w:rPr>
              <w:rFonts w:ascii="Times New Roman" w:hAnsi="Times New Roman"/>
              <w:highlight w:val="none"/>
            </w:rPr>
            <w:fldChar w:fldCharType="end"/>
          </w:r>
        </w:p>
        <w:p w14:paraId="221CBEC7">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_Toc17612 </w:instrText>
          </w:r>
          <w:r>
            <w:rPr>
              <w:rFonts w:ascii="Times New Roman" w:hAnsi="Times New Roman"/>
              <w:highlight w:val="none"/>
            </w:rPr>
            <w:fldChar w:fldCharType="separate"/>
          </w:r>
          <w:r>
            <w:rPr>
              <w:rFonts w:ascii="Times New Roman" w:hAnsi="Times New Roman"/>
              <w:highlight w:val="none"/>
            </w:rPr>
            <w:t>3.</w:t>
          </w:r>
          <w:r>
            <w:rPr>
              <w:rFonts w:hint="eastAsia" w:ascii="Times New Roman" w:hAnsi="Times New Roman"/>
              <w:highlight w:val="none"/>
            </w:rPr>
            <w:t>提高农村居民生活水平</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_Toc17612 \h </w:instrText>
          </w:r>
          <w:r>
            <w:rPr>
              <w:rFonts w:ascii="Times New Roman" w:hAnsi="Times New Roman"/>
              <w:highlight w:val="none"/>
            </w:rPr>
            <w:fldChar w:fldCharType="separate"/>
          </w:r>
          <w:r>
            <w:rPr>
              <w:rFonts w:ascii="Times New Roman" w:hAnsi="Times New Roman"/>
              <w:highlight w:val="none"/>
            </w:rPr>
            <w:t>15</w:t>
          </w:r>
          <w:r>
            <w:rPr>
              <w:rFonts w:ascii="Times New Roman" w:hAnsi="Times New Roman"/>
              <w:highlight w:val="none"/>
            </w:rPr>
            <w:fldChar w:fldCharType="end"/>
          </w:r>
          <w:r>
            <w:rPr>
              <w:rFonts w:ascii="Times New Roman" w:hAnsi="Times New Roman"/>
              <w:highlight w:val="none"/>
            </w:rPr>
            <w:fldChar w:fldCharType="end"/>
          </w:r>
        </w:p>
        <w:p w14:paraId="60D1A788">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_Toc13199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（五）优化公共资源配置，推动民生福祉提质增效</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_Toc13199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15</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5FAE290C">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_Toc22643 </w:instrText>
          </w:r>
          <w:r>
            <w:rPr>
              <w:rFonts w:ascii="Times New Roman" w:hAnsi="Times New Roman"/>
              <w:highlight w:val="none"/>
            </w:rPr>
            <w:fldChar w:fldCharType="separate"/>
          </w:r>
          <w:r>
            <w:rPr>
              <w:rFonts w:hint="eastAsia" w:ascii="Times New Roman" w:hAnsi="Times New Roman"/>
              <w:highlight w:val="none"/>
            </w:rPr>
            <w:t>1.完善和谐宜居住房保障体系。</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_Toc22643 \h </w:instrText>
          </w:r>
          <w:r>
            <w:rPr>
              <w:rFonts w:ascii="Times New Roman" w:hAnsi="Times New Roman"/>
              <w:highlight w:val="none"/>
            </w:rPr>
            <w:fldChar w:fldCharType="separate"/>
          </w:r>
          <w:r>
            <w:rPr>
              <w:rFonts w:ascii="Times New Roman" w:hAnsi="Times New Roman"/>
              <w:highlight w:val="none"/>
            </w:rPr>
            <w:t>15</w:t>
          </w:r>
          <w:r>
            <w:rPr>
              <w:rFonts w:ascii="Times New Roman" w:hAnsi="Times New Roman"/>
              <w:highlight w:val="none"/>
            </w:rPr>
            <w:fldChar w:fldCharType="end"/>
          </w:r>
          <w:r>
            <w:rPr>
              <w:rFonts w:ascii="Times New Roman" w:hAnsi="Times New Roman"/>
              <w:highlight w:val="none"/>
            </w:rPr>
            <w:fldChar w:fldCharType="end"/>
          </w:r>
        </w:p>
        <w:p w14:paraId="43579EEB">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_Toc22702 </w:instrText>
          </w:r>
          <w:r>
            <w:rPr>
              <w:rFonts w:ascii="Times New Roman" w:hAnsi="Times New Roman"/>
              <w:highlight w:val="none"/>
            </w:rPr>
            <w:fldChar w:fldCharType="separate"/>
          </w:r>
          <w:r>
            <w:rPr>
              <w:rFonts w:hint="eastAsia" w:ascii="Times New Roman" w:hAnsi="Times New Roman"/>
              <w:highlight w:val="none"/>
            </w:rPr>
            <w:t>2.构建优质均衡的教育体系</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_Toc22702 \h </w:instrText>
          </w:r>
          <w:r>
            <w:rPr>
              <w:rFonts w:ascii="Times New Roman" w:hAnsi="Times New Roman"/>
              <w:highlight w:val="none"/>
            </w:rPr>
            <w:fldChar w:fldCharType="separate"/>
          </w:r>
          <w:r>
            <w:rPr>
              <w:rFonts w:ascii="Times New Roman" w:hAnsi="Times New Roman"/>
              <w:highlight w:val="none"/>
            </w:rPr>
            <w:t>16</w:t>
          </w:r>
          <w:r>
            <w:rPr>
              <w:rFonts w:ascii="Times New Roman" w:hAnsi="Times New Roman"/>
              <w:highlight w:val="none"/>
            </w:rPr>
            <w:fldChar w:fldCharType="end"/>
          </w:r>
          <w:r>
            <w:rPr>
              <w:rFonts w:ascii="Times New Roman" w:hAnsi="Times New Roman"/>
              <w:highlight w:val="none"/>
            </w:rPr>
            <w:fldChar w:fldCharType="end"/>
          </w:r>
        </w:p>
        <w:p w14:paraId="693891FE">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_Toc1018 </w:instrText>
          </w:r>
          <w:r>
            <w:rPr>
              <w:rFonts w:ascii="Times New Roman" w:hAnsi="Times New Roman"/>
              <w:highlight w:val="none"/>
            </w:rPr>
            <w:fldChar w:fldCharType="separate"/>
          </w:r>
          <w:r>
            <w:rPr>
              <w:rFonts w:hint="eastAsia" w:ascii="Times New Roman" w:hAnsi="Times New Roman"/>
              <w:highlight w:val="none"/>
            </w:rPr>
            <w:t>3.提升医疗卫生服务供给能力</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_Toc1018 \h </w:instrText>
          </w:r>
          <w:r>
            <w:rPr>
              <w:rFonts w:ascii="Times New Roman" w:hAnsi="Times New Roman"/>
              <w:highlight w:val="none"/>
            </w:rPr>
            <w:fldChar w:fldCharType="separate"/>
          </w:r>
          <w:r>
            <w:rPr>
              <w:rFonts w:ascii="Times New Roman" w:hAnsi="Times New Roman"/>
              <w:highlight w:val="none"/>
            </w:rPr>
            <w:t>16</w:t>
          </w:r>
          <w:r>
            <w:rPr>
              <w:rFonts w:ascii="Times New Roman" w:hAnsi="Times New Roman"/>
              <w:highlight w:val="none"/>
            </w:rPr>
            <w:fldChar w:fldCharType="end"/>
          </w:r>
          <w:r>
            <w:rPr>
              <w:rFonts w:ascii="Times New Roman" w:hAnsi="Times New Roman"/>
              <w:highlight w:val="none"/>
            </w:rPr>
            <w:fldChar w:fldCharType="end"/>
          </w:r>
        </w:p>
        <w:p w14:paraId="1FFD7E42">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_Toc21520 </w:instrText>
          </w:r>
          <w:r>
            <w:rPr>
              <w:rFonts w:ascii="Times New Roman" w:hAnsi="Times New Roman"/>
              <w:highlight w:val="none"/>
            </w:rPr>
            <w:fldChar w:fldCharType="separate"/>
          </w:r>
          <w:r>
            <w:rPr>
              <w:rFonts w:hint="eastAsia" w:ascii="Times New Roman" w:hAnsi="Times New Roman"/>
              <w:highlight w:val="none"/>
            </w:rPr>
            <w:t>4.打造多元化养老服务模式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_Toc21520 \h </w:instrText>
          </w:r>
          <w:r>
            <w:rPr>
              <w:rFonts w:ascii="Times New Roman" w:hAnsi="Times New Roman"/>
              <w:highlight w:val="none"/>
            </w:rPr>
            <w:fldChar w:fldCharType="separate"/>
          </w:r>
          <w:r>
            <w:rPr>
              <w:rFonts w:ascii="Times New Roman" w:hAnsi="Times New Roman"/>
              <w:highlight w:val="none"/>
            </w:rPr>
            <w:t>16</w:t>
          </w:r>
          <w:r>
            <w:rPr>
              <w:rFonts w:ascii="Times New Roman" w:hAnsi="Times New Roman"/>
              <w:highlight w:val="none"/>
            </w:rPr>
            <w:fldChar w:fldCharType="end"/>
          </w:r>
          <w:r>
            <w:rPr>
              <w:rFonts w:ascii="Times New Roman" w:hAnsi="Times New Roman"/>
              <w:highlight w:val="none"/>
            </w:rPr>
            <w:fldChar w:fldCharType="end"/>
          </w:r>
        </w:p>
        <w:p w14:paraId="1E102AAE">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_Toc11279 </w:instrText>
          </w:r>
          <w:r>
            <w:rPr>
              <w:rFonts w:ascii="Times New Roman" w:hAnsi="Times New Roman"/>
              <w:highlight w:val="none"/>
            </w:rPr>
            <w:fldChar w:fldCharType="separate"/>
          </w:r>
          <w:r>
            <w:rPr>
              <w:rFonts w:hint="eastAsia" w:ascii="Times New Roman" w:hAnsi="Times New Roman"/>
              <w:highlight w:val="none"/>
            </w:rPr>
            <w:t>5.扩大河西地区文体服务空间</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_Toc11279 \h </w:instrText>
          </w:r>
          <w:r>
            <w:rPr>
              <w:rFonts w:ascii="Times New Roman" w:hAnsi="Times New Roman"/>
              <w:highlight w:val="none"/>
            </w:rPr>
            <w:fldChar w:fldCharType="separate"/>
          </w:r>
          <w:r>
            <w:rPr>
              <w:rFonts w:ascii="Times New Roman" w:hAnsi="Times New Roman"/>
              <w:highlight w:val="none"/>
            </w:rPr>
            <w:t>17</w:t>
          </w:r>
          <w:r>
            <w:rPr>
              <w:rFonts w:ascii="Times New Roman" w:hAnsi="Times New Roman"/>
              <w:highlight w:val="none"/>
            </w:rPr>
            <w:fldChar w:fldCharType="end"/>
          </w:r>
          <w:r>
            <w:rPr>
              <w:rFonts w:ascii="Times New Roman" w:hAnsi="Times New Roman"/>
              <w:highlight w:val="none"/>
            </w:rPr>
            <w:fldChar w:fldCharType="end"/>
          </w:r>
        </w:p>
        <w:p w14:paraId="5DEFBA71">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_Toc20667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（六）筑牢山水生态基底，驱动高品质生态空间焕新</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_Toc20667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17</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4E12A86B">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_Toc3183 </w:instrText>
          </w:r>
          <w:r>
            <w:rPr>
              <w:rFonts w:ascii="Times New Roman" w:hAnsi="Times New Roman"/>
              <w:highlight w:val="none"/>
            </w:rPr>
            <w:fldChar w:fldCharType="separate"/>
          </w:r>
          <w:r>
            <w:rPr>
              <w:rFonts w:hint="eastAsia" w:ascii="Times New Roman" w:hAnsi="Times New Roman"/>
              <w:highlight w:val="none"/>
            </w:rPr>
            <w:t>1.筑牢蓝色生态基底</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_Toc3183 \h </w:instrText>
          </w:r>
          <w:r>
            <w:rPr>
              <w:rFonts w:ascii="Times New Roman" w:hAnsi="Times New Roman"/>
              <w:highlight w:val="none"/>
            </w:rPr>
            <w:fldChar w:fldCharType="separate"/>
          </w:r>
          <w:r>
            <w:rPr>
              <w:rFonts w:ascii="Times New Roman" w:hAnsi="Times New Roman"/>
              <w:highlight w:val="none"/>
            </w:rPr>
            <w:t>17</w:t>
          </w:r>
          <w:r>
            <w:rPr>
              <w:rFonts w:ascii="Times New Roman" w:hAnsi="Times New Roman"/>
              <w:highlight w:val="none"/>
            </w:rPr>
            <w:fldChar w:fldCharType="end"/>
          </w:r>
          <w:r>
            <w:rPr>
              <w:rFonts w:ascii="Times New Roman" w:hAnsi="Times New Roman"/>
              <w:highlight w:val="none"/>
            </w:rPr>
            <w:fldChar w:fldCharType="end"/>
          </w:r>
        </w:p>
        <w:p w14:paraId="167B0B57">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_Toc3355 </w:instrText>
          </w:r>
          <w:r>
            <w:rPr>
              <w:rFonts w:ascii="Times New Roman" w:hAnsi="Times New Roman"/>
              <w:highlight w:val="none"/>
            </w:rPr>
            <w:fldChar w:fldCharType="separate"/>
          </w:r>
          <w:r>
            <w:rPr>
              <w:rFonts w:hint="eastAsia" w:ascii="Times New Roman" w:hAnsi="Times New Roman"/>
              <w:highlight w:val="none"/>
            </w:rPr>
            <w:t>2.巩固绿色生态屏障</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_Toc3355 \h </w:instrText>
          </w:r>
          <w:r>
            <w:rPr>
              <w:rFonts w:ascii="Times New Roman" w:hAnsi="Times New Roman"/>
              <w:highlight w:val="none"/>
            </w:rPr>
            <w:fldChar w:fldCharType="separate"/>
          </w:r>
          <w:r>
            <w:rPr>
              <w:rFonts w:ascii="Times New Roman" w:hAnsi="Times New Roman"/>
              <w:highlight w:val="none"/>
            </w:rPr>
            <w:t>18</w:t>
          </w:r>
          <w:r>
            <w:rPr>
              <w:rFonts w:ascii="Times New Roman" w:hAnsi="Times New Roman"/>
              <w:highlight w:val="none"/>
            </w:rPr>
            <w:fldChar w:fldCharType="end"/>
          </w:r>
          <w:r>
            <w:rPr>
              <w:rFonts w:ascii="Times New Roman" w:hAnsi="Times New Roman"/>
              <w:highlight w:val="none"/>
            </w:rPr>
            <w:fldChar w:fldCharType="end"/>
          </w:r>
        </w:p>
        <w:p w14:paraId="659653A8">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_Toc7402 </w:instrText>
          </w:r>
          <w:r>
            <w:rPr>
              <w:rFonts w:ascii="Times New Roman" w:hAnsi="Times New Roman"/>
              <w:highlight w:val="none"/>
            </w:rPr>
            <w:fldChar w:fldCharType="separate"/>
          </w:r>
          <w:r>
            <w:rPr>
              <w:rFonts w:hint="eastAsia" w:ascii="Times New Roman" w:hAnsi="Times New Roman"/>
              <w:highlight w:val="none"/>
            </w:rPr>
            <w:t>3.打造生态活力空间</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_Toc7402 \h </w:instrText>
          </w:r>
          <w:r>
            <w:rPr>
              <w:rFonts w:ascii="Times New Roman" w:hAnsi="Times New Roman"/>
              <w:highlight w:val="none"/>
            </w:rPr>
            <w:fldChar w:fldCharType="separate"/>
          </w:r>
          <w:r>
            <w:rPr>
              <w:rFonts w:ascii="Times New Roman" w:hAnsi="Times New Roman"/>
              <w:highlight w:val="none"/>
            </w:rPr>
            <w:t>18</w:t>
          </w:r>
          <w:r>
            <w:rPr>
              <w:rFonts w:ascii="Times New Roman" w:hAnsi="Times New Roman"/>
              <w:highlight w:val="none"/>
            </w:rPr>
            <w:fldChar w:fldCharType="end"/>
          </w:r>
          <w:r>
            <w:rPr>
              <w:rFonts w:ascii="Times New Roman" w:hAnsi="Times New Roman"/>
              <w:highlight w:val="none"/>
            </w:rPr>
            <w:fldChar w:fldCharType="end"/>
          </w:r>
        </w:p>
        <w:p w14:paraId="034581F3">
          <w:pPr>
            <w:pStyle w:val="13"/>
            <w:tabs>
              <w:tab w:val="right" w:leader="dot" w:pos="8306"/>
            </w:tabs>
            <w:ind w:left="0" w:leftChars="0" w:firstLine="0" w:firstLineChars="0"/>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_Toc28788 </w:instrText>
          </w:r>
          <w:r>
            <w:rPr>
              <w:rFonts w:ascii="Times New Roman" w:hAnsi="Times New Roman"/>
              <w:highlight w:val="none"/>
            </w:rPr>
            <w:fldChar w:fldCharType="separate"/>
          </w:r>
          <w:r>
            <w:rPr>
              <w:rFonts w:hint="eastAsia" w:ascii="Times New Roman" w:hAnsi="Times New Roman"/>
              <w:highlight w:val="none"/>
            </w:rPr>
            <w:t>4.推动生态产品价值转化</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_Toc28788 \h </w:instrText>
          </w:r>
          <w:r>
            <w:rPr>
              <w:rFonts w:ascii="Times New Roman" w:hAnsi="Times New Roman"/>
              <w:highlight w:val="none"/>
            </w:rPr>
            <w:fldChar w:fldCharType="separate"/>
          </w:r>
          <w:r>
            <w:rPr>
              <w:rFonts w:ascii="Times New Roman" w:hAnsi="Times New Roman"/>
              <w:highlight w:val="none"/>
            </w:rPr>
            <w:t>18</w:t>
          </w:r>
          <w:r>
            <w:rPr>
              <w:rFonts w:ascii="Times New Roman" w:hAnsi="Times New Roman"/>
              <w:highlight w:val="none"/>
            </w:rPr>
            <w:fldChar w:fldCharType="end"/>
          </w:r>
          <w:r>
            <w:rPr>
              <w:rFonts w:ascii="Times New Roman" w:hAnsi="Times New Roman"/>
              <w:highlight w:val="none"/>
            </w:rPr>
            <w:fldChar w:fldCharType="end"/>
          </w:r>
        </w:p>
        <w:p w14:paraId="0E5911D9">
          <w:pPr>
            <w:pStyle w:val="16"/>
            <w:tabs>
              <w:tab w:val="right" w:leader="dot" w:pos="8306"/>
            </w:tabs>
            <w:ind w:left="0" w:leftChars="0" w:firstLine="0" w:firstLineChars="0"/>
            <w:rPr>
              <w:rFonts w:hint="eastAsia" w:ascii="Times New Roman" w:hAnsi="Times New Roman" w:eastAsia="黑体" w:cs="黑体"/>
              <w:highlight w:val="none"/>
            </w:rPr>
          </w:pP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HYPERLINK \l _Toc932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四、保障措施</w:t>
          </w:r>
          <w:r>
            <w:rPr>
              <w:rFonts w:hint="eastAsia" w:ascii="Times New Roman" w:hAnsi="Times New Roman" w:eastAsia="黑体" w:cs="黑体"/>
              <w:highlight w:val="none"/>
            </w:rPr>
            <w:tab/>
          </w:r>
          <w:r>
            <w:rPr>
              <w:rFonts w:hint="eastAsia" w:ascii="Times New Roman" w:hAnsi="Times New Roman" w:eastAsia="黑体" w:cs="黑体"/>
              <w:highlight w:val="none"/>
            </w:rPr>
            <w:fldChar w:fldCharType="begin"/>
          </w:r>
          <w:r>
            <w:rPr>
              <w:rFonts w:hint="eastAsia" w:ascii="Times New Roman" w:hAnsi="Times New Roman" w:eastAsia="黑体" w:cs="黑体"/>
              <w:highlight w:val="none"/>
            </w:rPr>
            <w:instrText xml:space="preserve"> PAGEREF _Toc932 \h </w:instrText>
          </w:r>
          <w:r>
            <w:rPr>
              <w:rFonts w:hint="eastAsia" w:ascii="Times New Roman" w:hAnsi="Times New Roman" w:eastAsia="黑体" w:cs="黑体"/>
              <w:highlight w:val="none"/>
            </w:rPr>
            <w:fldChar w:fldCharType="separate"/>
          </w:r>
          <w:r>
            <w:rPr>
              <w:rFonts w:hint="eastAsia" w:ascii="Times New Roman" w:hAnsi="Times New Roman" w:eastAsia="黑体" w:cs="黑体"/>
              <w:highlight w:val="none"/>
            </w:rPr>
            <w:t>19</w:t>
          </w:r>
          <w:r>
            <w:rPr>
              <w:rFonts w:hint="eastAsia" w:ascii="Times New Roman" w:hAnsi="Times New Roman" w:eastAsia="黑体" w:cs="黑体"/>
              <w:highlight w:val="none"/>
            </w:rPr>
            <w:fldChar w:fldCharType="end"/>
          </w:r>
          <w:r>
            <w:rPr>
              <w:rFonts w:hint="eastAsia" w:ascii="Times New Roman" w:hAnsi="Times New Roman" w:eastAsia="黑体" w:cs="黑体"/>
              <w:highlight w:val="none"/>
            </w:rPr>
            <w:fldChar w:fldCharType="end"/>
          </w:r>
        </w:p>
        <w:p w14:paraId="4635F7B6">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_Toc7323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（一）坚持党建引领，深化机制创新</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_Toc7323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19</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132463B1">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_Toc9814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（二）多元资金保障，促进项目落地</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_Toc9814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19</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72B18E0F">
          <w:pPr>
            <w:pStyle w:val="10"/>
            <w:tabs>
              <w:tab w:val="right" w:leader="dot" w:pos="8306"/>
            </w:tabs>
            <w:ind w:left="0" w:leftChars="0" w:firstLine="0" w:firstLineChars="0"/>
            <w:rPr>
              <w:rFonts w:hint="eastAsia" w:ascii="Times New Roman" w:hAnsi="Times New Roman" w:eastAsia="楷体_GB2312" w:cs="楷体_GB2312"/>
              <w:highlight w:val="none"/>
            </w:rPr>
          </w:pP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HYPERLINK \l _Toc26293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（三）加强人才引育，助力创新发展</w:t>
          </w:r>
          <w:r>
            <w:rPr>
              <w:rFonts w:hint="eastAsia" w:ascii="Times New Roman" w:hAnsi="Times New Roman" w:eastAsia="楷体_GB2312" w:cs="楷体_GB2312"/>
              <w:highlight w:val="none"/>
            </w:rPr>
            <w:tab/>
          </w:r>
          <w:r>
            <w:rPr>
              <w:rFonts w:hint="eastAsia" w:ascii="Times New Roman" w:hAnsi="Times New Roman" w:eastAsia="楷体_GB2312" w:cs="楷体_GB2312"/>
              <w:highlight w:val="none"/>
            </w:rPr>
            <w:fldChar w:fldCharType="begin"/>
          </w:r>
          <w:r>
            <w:rPr>
              <w:rFonts w:hint="eastAsia" w:ascii="Times New Roman" w:hAnsi="Times New Roman" w:eastAsia="楷体_GB2312" w:cs="楷体_GB2312"/>
              <w:highlight w:val="none"/>
            </w:rPr>
            <w:instrText xml:space="preserve"> PAGEREF _Toc26293 \h </w:instrText>
          </w:r>
          <w:r>
            <w:rPr>
              <w:rFonts w:hint="eastAsia" w:ascii="Times New Roman" w:hAnsi="Times New Roman" w:eastAsia="楷体_GB2312" w:cs="楷体_GB2312"/>
              <w:highlight w:val="none"/>
            </w:rPr>
            <w:fldChar w:fldCharType="separate"/>
          </w:r>
          <w:r>
            <w:rPr>
              <w:rFonts w:hint="eastAsia" w:ascii="Times New Roman" w:hAnsi="Times New Roman" w:eastAsia="楷体_GB2312" w:cs="楷体_GB2312"/>
              <w:highlight w:val="none"/>
            </w:rPr>
            <w:t>19</w:t>
          </w:r>
          <w:r>
            <w:rPr>
              <w:rFonts w:hint="eastAsia" w:ascii="Times New Roman" w:hAnsi="Times New Roman" w:eastAsia="楷体_GB2312" w:cs="楷体_GB2312"/>
              <w:highlight w:val="none"/>
            </w:rPr>
            <w:fldChar w:fldCharType="end"/>
          </w:r>
          <w:r>
            <w:rPr>
              <w:rFonts w:hint="eastAsia" w:ascii="Times New Roman" w:hAnsi="Times New Roman" w:eastAsia="楷体_GB2312" w:cs="楷体_GB2312"/>
              <w:highlight w:val="none"/>
            </w:rPr>
            <w:fldChar w:fldCharType="end"/>
          </w:r>
        </w:p>
        <w:p w14:paraId="69363788">
          <w:pPr>
            <w:ind w:firstLine="0" w:firstLineChars="0"/>
            <w:rPr>
              <w:rFonts w:hint="eastAsia"/>
              <w:highlight w:val="none"/>
            </w:rPr>
          </w:pPr>
          <w:r>
            <w:rPr>
              <w:rFonts w:ascii="Times New Roman" w:hAnsi="Times New Roman"/>
              <w:highlight w:val="none"/>
            </w:rPr>
            <w:fldChar w:fldCharType="end"/>
          </w:r>
        </w:p>
      </w:sdtContent>
    </w:sdt>
    <w:p w14:paraId="5FFD3AF7">
      <w:pPr>
        <w:ind w:firstLine="640"/>
        <w:rPr>
          <w:rFonts w:hint="eastAsia"/>
          <w:highlight w:val="none"/>
        </w:rPr>
      </w:pPr>
    </w:p>
    <w:p w14:paraId="10CBF86A">
      <w:pPr>
        <w:ind w:firstLine="640"/>
        <w:rPr>
          <w:rFonts w:hint="eastAsia"/>
          <w:highlight w:val="none"/>
        </w:rPr>
        <w:sectPr>
          <w:footerReference r:id="rId12" w:type="default"/>
          <w:pgSz w:w="11906" w:h="16838"/>
          <w:pgMar w:top="1440" w:right="1800" w:bottom="1440" w:left="1800" w:header="851" w:footer="992" w:gutter="0"/>
          <w:cols w:space="425" w:num="1"/>
          <w:docGrid w:type="lines" w:linePitch="312" w:charSpace="0"/>
        </w:sectPr>
      </w:pPr>
    </w:p>
    <w:p w14:paraId="7C05B672">
      <w:pPr>
        <w:widowControl/>
        <w:ind w:firstLine="640"/>
        <w:jc w:val="left"/>
        <w:rPr>
          <w:rFonts w:hint="eastAsia"/>
          <w:highlight w:val="none"/>
        </w:rPr>
      </w:pPr>
      <w:r>
        <w:rPr>
          <w:rFonts w:hint="eastAsia"/>
          <w:highlight w:val="none"/>
        </w:rPr>
        <w:t>“十五五”时期是丰台区为基本实现社会主义现代化夯实基础、全面发力的关键时期，是以先锋引领破解难题，深入推动站产城融合发展、促进区域活力加速迸发的重要五年。丰台区永定河以西地区（以下简称河西地区）</w:t>
      </w:r>
      <w:r>
        <w:rPr>
          <w:rStyle w:val="26"/>
          <w:rFonts w:hint="eastAsia"/>
          <w:highlight w:val="none"/>
        </w:rPr>
        <w:footnoteReference w:id="0"/>
      </w:r>
      <w:r>
        <w:rPr>
          <w:rFonts w:hint="eastAsia"/>
          <w:highlight w:val="none"/>
        </w:rPr>
        <w:t>是丰台区高质量发展的重要承载空间，也是承载首都功能新的前沿阵地，为锚定“三化五区”战略定位，实现“科技绿谷·山水新城”的建设目标，依据《中华人民共和国国民经济和社会发展第十五个五年规划纲要》《北京市国民经济和社会发展第十五个五年规划纲要》《北京市丰台区国民经济和社会发展第十五个五年规划纲要》，特编制本规划。</w:t>
      </w:r>
    </w:p>
    <w:p w14:paraId="02353F9C">
      <w:pPr>
        <w:pStyle w:val="3"/>
        <w:ind w:firstLine="640"/>
        <w:rPr>
          <w:rFonts w:hint="eastAsia"/>
          <w:highlight w:val="none"/>
        </w:rPr>
      </w:pPr>
      <w:bookmarkStart w:id="0" w:name="_Toc413832846"/>
      <w:bookmarkStart w:id="1" w:name="_Toc1644711562"/>
      <w:bookmarkStart w:id="2" w:name="_Toc939927871"/>
      <w:bookmarkStart w:id="3" w:name="_Toc919259355"/>
      <w:bookmarkStart w:id="4" w:name="_Toc783797039"/>
      <w:bookmarkStart w:id="5" w:name="_Toc22986"/>
      <w:bookmarkStart w:id="6" w:name="_Toc1176284242"/>
      <w:bookmarkStart w:id="7" w:name="_Toc3152"/>
      <w:bookmarkStart w:id="8" w:name="_Toc1689293493"/>
      <w:bookmarkStart w:id="9" w:name="_Toc914693810"/>
      <w:bookmarkStart w:id="10" w:name="_Toc22987"/>
      <w:bookmarkStart w:id="11" w:name="_Toc23005"/>
      <w:bookmarkStart w:id="12" w:name="_Toc9580"/>
      <w:bookmarkStart w:id="13" w:name="_Toc16706"/>
      <w:bookmarkStart w:id="14" w:name="_Toc7680"/>
      <w:bookmarkStart w:id="15" w:name="_Toc6899"/>
      <w:bookmarkStart w:id="16" w:name="_Toc169505467"/>
      <w:bookmarkStart w:id="17" w:name="_Toc20494"/>
      <w:bookmarkStart w:id="18" w:name="_Toc25818"/>
      <w:bookmarkStart w:id="19" w:name="_Toc234"/>
      <w:r>
        <w:rPr>
          <w:rFonts w:hint="eastAsia"/>
          <w:highlight w:val="none"/>
        </w:rPr>
        <w:t>一、</w:t>
      </w:r>
      <w:bookmarkEnd w:id="0"/>
      <w:bookmarkEnd w:id="1"/>
      <w:bookmarkEnd w:id="2"/>
      <w:r>
        <w:rPr>
          <w:rFonts w:hint="eastAsia"/>
          <w:highlight w:val="none"/>
        </w:rPr>
        <w:t>发展基础与形势</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FD5F174">
      <w:pPr>
        <w:pStyle w:val="4"/>
        <w:ind w:firstLine="640"/>
        <w:rPr>
          <w:rFonts w:hint="eastAsia"/>
          <w:highlight w:val="none"/>
        </w:rPr>
      </w:pPr>
      <w:bookmarkStart w:id="20" w:name="_Toc478020565"/>
      <w:bookmarkStart w:id="21" w:name="_Toc257718350"/>
      <w:bookmarkStart w:id="22" w:name="_Toc1736593736"/>
      <w:bookmarkStart w:id="23" w:name="_Toc74439864"/>
      <w:bookmarkStart w:id="24" w:name="_Toc7540"/>
      <w:bookmarkStart w:id="25" w:name="_Toc74801012"/>
      <w:bookmarkStart w:id="26" w:name="_Toc27259"/>
      <w:bookmarkStart w:id="27" w:name="_Toc994622967"/>
      <w:bookmarkStart w:id="28" w:name="_Toc21578"/>
      <w:bookmarkStart w:id="29" w:name="_Toc25180"/>
      <w:bookmarkStart w:id="30" w:name="_Toc3239"/>
      <w:bookmarkStart w:id="31" w:name="_Toc612143775"/>
      <w:bookmarkStart w:id="32" w:name="_Toc816976031"/>
      <w:bookmarkStart w:id="33" w:name="_Toc28033"/>
      <w:bookmarkStart w:id="34" w:name="_Toc32329"/>
      <w:bookmarkStart w:id="35" w:name="_Toc26230"/>
      <w:bookmarkStart w:id="36" w:name="_Toc22424"/>
      <w:bookmarkStart w:id="37" w:name="_Toc26900"/>
      <w:bookmarkStart w:id="38" w:name="_Toc1315067947"/>
      <w:bookmarkStart w:id="39" w:name="_Toc25610"/>
      <w:r>
        <w:rPr>
          <w:rFonts w:hint="eastAsia"/>
          <w:highlight w:val="none"/>
        </w:rPr>
        <w:t>（一）“十四五”时期发展</w:t>
      </w:r>
      <w:bookmarkEnd w:id="20"/>
      <w:bookmarkEnd w:id="21"/>
      <w:bookmarkEnd w:id="22"/>
      <w:r>
        <w:rPr>
          <w:rFonts w:hint="eastAsia"/>
          <w:highlight w:val="none"/>
        </w:rPr>
        <w:t>成效</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5D9CC84E">
      <w:pPr>
        <w:ind w:firstLine="640"/>
        <w:rPr>
          <w:rFonts w:hint="eastAsia"/>
          <w:highlight w:val="none"/>
        </w:rPr>
      </w:pPr>
      <w:r>
        <w:rPr>
          <w:rFonts w:hint="eastAsia" w:hAnsi="仿宋"/>
          <w:highlight w:val="none"/>
        </w:rPr>
        <w:t>“十四五”时期是河西地区踔厉奋发、勇毅前行的五年，在攻坚克难中实现区域发展突破，为全区经济社会高质量发展提供坚实支撑</w:t>
      </w:r>
      <w:r>
        <w:rPr>
          <w:rFonts w:hint="eastAsia"/>
          <w:highlight w:val="none"/>
        </w:rPr>
        <w:t>，经济实力持续提升，城市化进程不断加快，生态空间基底持续夯实，</w:t>
      </w:r>
      <w:bookmarkStart w:id="40" w:name="_Hlk211502975"/>
      <w:r>
        <w:rPr>
          <w:rFonts w:hint="eastAsia"/>
          <w:highlight w:val="none"/>
        </w:rPr>
        <w:t>民生福祉水平有效提高</w:t>
      </w:r>
      <w:bookmarkEnd w:id="40"/>
      <w:r>
        <w:rPr>
          <w:rFonts w:hint="eastAsia"/>
          <w:highlight w:val="none"/>
        </w:rPr>
        <w:t>。</w:t>
      </w:r>
    </w:p>
    <w:p w14:paraId="62BD4F05">
      <w:pPr>
        <w:ind w:firstLine="643"/>
        <w:rPr>
          <w:rFonts w:hint="eastAsia"/>
          <w:color w:val="000000"/>
          <w:highlight w:val="none"/>
        </w:rPr>
      </w:pPr>
      <w:r>
        <w:rPr>
          <w:rFonts w:hint="eastAsia" w:ascii="楷体_GB2312" w:hAnsi="楷体_GB2312" w:eastAsia="楷体_GB2312" w:cs="楷体_GB2312"/>
          <w:b/>
          <w:bCs/>
          <w:highlight w:val="none"/>
        </w:rPr>
        <w:t>经济实力持续提升。</w:t>
      </w:r>
      <w:r>
        <w:rPr>
          <w:rFonts w:hint="eastAsia"/>
          <w:highlight w:val="none"/>
        </w:rPr>
        <w:t>地区生产总值实现稳步增长，固定资产投资规模持续扩大，一批重点项目有序开工。重点功能区</w:t>
      </w:r>
      <w:r>
        <w:rPr>
          <w:rStyle w:val="26"/>
          <w:rFonts w:hint="eastAsia"/>
          <w:highlight w:val="none"/>
        </w:rPr>
        <w:footnoteReference w:id="1"/>
      </w:r>
      <w:r>
        <w:rPr>
          <w:rFonts w:hint="eastAsia"/>
          <w:highlight w:val="none"/>
        </w:rPr>
        <w:t>对经济发展支撑及带动作用初步显现，中关村丰台园西Ⅰ区建设稳步推进，园博数字经济产业园成为全市首个以数字经济产业为主导的集聚空间，</w:t>
      </w:r>
      <w:r>
        <w:rPr>
          <w:rFonts w:hint="eastAsia"/>
          <w:color w:val="000000"/>
          <w:highlight w:val="none"/>
        </w:rPr>
        <w:t>新增产业空间</w:t>
      </w:r>
      <w:r>
        <w:rPr>
          <w:rFonts w:hint="eastAsia"/>
          <w:color w:val="000000"/>
          <w:highlight w:val="none"/>
          <w:lang w:val="en-US" w:eastAsia="zh-CN"/>
        </w:rPr>
        <w:t>14</w:t>
      </w:r>
      <w:r>
        <w:rPr>
          <w:rFonts w:hint="eastAsia"/>
          <w:color w:val="000000"/>
          <w:highlight w:val="none"/>
        </w:rPr>
        <w:t>万平方米</w:t>
      </w:r>
      <w:r>
        <w:rPr>
          <w:rFonts w:hint="eastAsia"/>
          <w:color w:val="000000"/>
          <w:highlight w:val="none"/>
          <w:lang w:eastAsia="zh-CN"/>
        </w:rPr>
        <w:t>。</w:t>
      </w:r>
      <w:r>
        <w:rPr>
          <w:rFonts w:hint="eastAsia"/>
          <w:highlight w:val="none"/>
        </w:rPr>
        <w:t>西山永定河文化精华区成为“两园一河”协同联动发展战略的重要载体，河西地区</w:t>
      </w:r>
      <w:r>
        <w:rPr>
          <w:rFonts w:hint="eastAsia"/>
          <w:color w:val="000000"/>
          <w:highlight w:val="none"/>
        </w:rPr>
        <w:t>形成存量提质、增量拓优的发展新格局。</w:t>
      </w:r>
    </w:p>
    <w:p w14:paraId="138D683B">
      <w:pPr>
        <w:pStyle w:val="33"/>
        <w:ind w:firstLine="643"/>
        <w:rPr>
          <w:rFonts w:ascii="Times New Roman" w:hAnsi="Times New Roman" w:cs="仿宋_GB2312"/>
          <w:color w:val="auto"/>
          <w:kern w:val="0"/>
          <w:highlight w:val="none"/>
        </w:rPr>
      </w:pPr>
      <w:r>
        <w:rPr>
          <w:rFonts w:hint="eastAsia" w:ascii="楷体_GB2312" w:hAnsi="楷体_GB2312" w:eastAsia="楷体_GB2312" w:cs="楷体_GB2312"/>
          <w:b/>
          <w:bCs/>
          <w:color w:val="auto"/>
          <w:highlight w:val="none"/>
        </w:rPr>
        <w:t>城市化进程不断加快</w:t>
      </w:r>
      <w:r>
        <w:rPr>
          <w:rFonts w:hint="eastAsia" w:ascii="楷体_GB2312" w:hAnsi="楷体_GB2312" w:eastAsia="楷体_GB2312" w:cs="楷体_GB2312"/>
          <w:b/>
          <w:color w:val="auto"/>
          <w:highlight w:val="none"/>
        </w:rPr>
        <w:t>。</w:t>
      </w:r>
      <w:r>
        <w:rPr>
          <w:rFonts w:hint="eastAsia"/>
          <w:bCs/>
          <w:color w:val="auto"/>
          <w:highlight w:val="none"/>
        </w:rPr>
        <w:t>河西地区实现街区控规全覆盖。</w:t>
      </w:r>
      <w:r>
        <w:rPr>
          <w:rFonts w:hint="eastAsia"/>
          <w:color w:val="auto"/>
          <w:highlight w:val="none"/>
        </w:rPr>
        <w:t>地铁1号线支线加速推进，京良路西段实现通车，大灰厂东路等一批道路开工建设，河西第三水厂建成投用，区域基础设施承载能力进一步提升</w:t>
      </w:r>
      <w:r>
        <w:rPr>
          <w:rFonts w:hint="eastAsia" w:cs="仿宋_GB2312"/>
          <w:color w:val="auto"/>
          <w:kern w:val="0"/>
          <w:highlight w:val="none"/>
          <w:lang w:bidi="ar"/>
        </w:rPr>
        <w:t>。</w:t>
      </w:r>
      <w:r>
        <w:rPr>
          <w:rFonts w:hint="eastAsia"/>
          <w:bCs/>
          <w:color w:val="auto"/>
          <w:highlight w:val="none"/>
        </w:rPr>
        <w:t>长辛店老镇城市更新项目获评“北京城市更新最佳实践”，宛平城全力保障中国人民抗日战争暨世界反法西斯战争胜利80周年系列活动。</w:t>
      </w:r>
    </w:p>
    <w:p w14:paraId="32E46B1D">
      <w:pPr>
        <w:spacing w:line="520" w:lineRule="exact"/>
        <w:ind w:firstLine="643"/>
        <w:rPr>
          <w:rFonts w:hint="eastAsia"/>
          <w:highlight w:val="none"/>
        </w:rPr>
      </w:pPr>
      <w:r>
        <w:rPr>
          <w:rFonts w:hint="eastAsia" w:ascii="楷体_GB2312" w:hAnsi="楷体_GB2312" w:eastAsia="楷体_GB2312" w:cs="楷体_GB2312"/>
          <w:b/>
          <w:bCs/>
          <w:highlight w:val="none"/>
        </w:rPr>
        <w:t>生态空间基底持续夯实。</w:t>
      </w:r>
      <w:r>
        <w:rPr>
          <w:rFonts w:hint="eastAsia"/>
          <w:highlight w:val="none"/>
        </w:rPr>
        <w:t>统筹推动山水林田湖草一体化保护和修复，实施一批矿山生态修复治理及斜坡治理防护工程，完成平原造林1600多亩。永定河实现生态补水共约15亿立方米，园博园湿地累计净化再生水约3500万立方米，完成一批河道提升工程与生态清洁小流域治理工程，区域水生态环境得到整体改善。实施“金角银边”“三道工程”，完成航岭公园一期建设，南宫村、西庄店村获评“北京市美丽休闲乡村”，宛平街道挂牌成立全市首个博士林场</w:t>
      </w:r>
      <w:r>
        <w:rPr>
          <w:highlight w:val="none"/>
        </w:rPr>
        <w:t>，为首都</w:t>
      </w:r>
      <w:r>
        <w:rPr>
          <w:rFonts w:hint="eastAsia"/>
          <w:highlight w:val="none"/>
        </w:rPr>
        <w:t>西</w:t>
      </w:r>
      <w:r>
        <w:rPr>
          <w:highlight w:val="none"/>
        </w:rPr>
        <w:t>南部绿色发展注入强劲动能</w:t>
      </w:r>
      <w:r>
        <w:rPr>
          <w:rFonts w:hint="eastAsia"/>
          <w:highlight w:val="none"/>
        </w:rPr>
        <w:t>。</w:t>
      </w:r>
    </w:p>
    <w:p w14:paraId="7FEDFC8A">
      <w:pPr>
        <w:ind w:firstLine="643"/>
        <w:rPr>
          <w:rFonts w:hint="eastAsia"/>
          <w:highlight w:val="none"/>
        </w:rPr>
      </w:pPr>
      <w:r>
        <w:rPr>
          <w:rFonts w:hint="eastAsia" w:ascii="楷体_GB2312" w:hAnsi="楷体_GB2312" w:eastAsia="楷体_GB2312" w:cs="楷体_GB2312"/>
          <w:b/>
          <w:bCs/>
          <w:highlight w:val="none"/>
        </w:rPr>
        <w:t>民生福祉水平有效提高。</w:t>
      </w:r>
      <w:r>
        <w:rPr>
          <w:rFonts w:hint="eastAsia"/>
          <w:highlight w:val="none"/>
        </w:rPr>
        <w:t>北京市丰台中西医结合医院二期工程顺利开工，北京十中国望府校区等一批学校投入使用，区域医疗教育资源供给持续优化。长辛店、东河沿棚改安置基本完成，一批棚改项目在河西地区稳步推进，居住环境持续优化。建设完成河西农村地区9个行政村污水骨干管网，推进治理河西地区多个住宅小区和京周路沿线商户的污水问题，</w:t>
      </w:r>
      <w:r>
        <w:rPr>
          <w:rFonts w:hint="eastAsia" w:cs="仿宋_GB2312"/>
          <w:highlight w:val="none"/>
        </w:rPr>
        <w:t>持续</w:t>
      </w:r>
      <w:r>
        <w:rPr>
          <w:rFonts w:cs="仿宋_GB2312"/>
          <w:highlight w:val="none"/>
        </w:rPr>
        <w:t>完善道路、公厕等设施</w:t>
      </w:r>
      <w:r>
        <w:rPr>
          <w:rFonts w:hint="eastAsia" w:cs="仿宋_GB2312"/>
          <w:highlight w:val="none"/>
        </w:rPr>
        <w:t>，稳步推动乡村基础设施提质升级。</w:t>
      </w:r>
      <w:bookmarkStart w:id="41" w:name="_Toc355312528"/>
      <w:bookmarkStart w:id="42" w:name="_Toc480674575"/>
      <w:bookmarkStart w:id="43" w:name="_Toc2145276098"/>
      <w:bookmarkStart w:id="44" w:name="_Toc26005"/>
      <w:bookmarkStart w:id="45" w:name="_Toc28619"/>
      <w:bookmarkStart w:id="46" w:name="_Toc1275311694"/>
      <w:bookmarkStart w:id="47" w:name="_Toc29823"/>
      <w:bookmarkStart w:id="48" w:name="_Toc615498121"/>
      <w:bookmarkStart w:id="49" w:name="_Toc30872"/>
      <w:bookmarkStart w:id="50" w:name="_Toc902675189"/>
      <w:bookmarkStart w:id="51" w:name="_Toc9171"/>
      <w:bookmarkStart w:id="52" w:name="_Toc445290305"/>
      <w:bookmarkStart w:id="53" w:name="_Toc1853757295"/>
      <w:bookmarkStart w:id="54" w:name="_Toc733"/>
    </w:p>
    <w:p w14:paraId="67FE457F">
      <w:pPr>
        <w:pStyle w:val="4"/>
        <w:ind w:firstLine="640"/>
        <w:rPr>
          <w:rFonts w:hint="eastAsia"/>
          <w:highlight w:val="none"/>
        </w:rPr>
      </w:pPr>
      <w:bookmarkStart w:id="55" w:name="_Toc22299"/>
      <w:bookmarkStart w:id="56" w:name="_Toc17779"/>
      <w:bookmarkStart w:id="57" w:name="_Toc695089392"/>
      <w:bookmarkStart w:id="58" w:name="_Toc6202"/>
      <w:bookmarkStart w:id="59" w:name="_Toc21005"/>
      <w:bookmarkStart w:id="60" w:name="_Toc5655"/>
      <w:r>
        <w:rPr>
          <w:rFonts w:hint="eastAsia"/>
          <w:highlight w:val="none"/>
        </w:rPr>
        <w:t>（二）“十五五”时期发展</w:t>
      </w:r>
      <w:bookmarkEnd w:id="41"/>
      <w:bookmarkEnd w:id="42"/>
      <w:bookmarkEnd w:id="43"/>
      <w:r>
        <w:rPr>
          <w:rFonts w:hint="eastAsia"/>
          <w:highlight w:val="none"/>
        </w:rPr>
        <w:t>机遇</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0BD13A6">
      <w:pPr>
        <w:ind w:firstLine="640"/>
        <w:rPr>
          <w:rFonts w:hint="eastAsia"/>
          <w:highlight w:val="none"/>
        </w:rPr>
      </w:pPr>
      <w:r>
        <w:rPr>
          <w:rFonts w:hint="eastAsia"/>
          <w:highlight w:val="none"/>
        </w:rPr>
        <w:t>“十五五”时期作为</w:t>
      </w:r>
      <w:r>
        <w:rPr>
          <w:highlight w:val="none"/>
        </w:rPr>
        <w:t>承前启后</w:t>
      </w:r>
      <w:r>
        <w:rPr>
          <w:rFonts w:hint="eastAsia"/>
          <w:highlight w:val="none"/>
        </w:rPr>
        <w:t>的</w:t>
      </w:r>
      <w:r>
        <w:rPr>
          <w:highlight w:val="none"/>
        </w:rPr>
        <w:t>关键五年</w:t>
      </w:r>
      <w:r>
        <w:rPr>
          <w:rFonts w:hint="eastAsia"/>
          <w:highlight w:val="none"/>
        </w:rPr>
        <w:t>，河西地区</w:t>
      </w:r>
      <w:r>
        <w:rPr>
          <w:highlight w:val="none"/>
        </w:rPr>
        <w:t>发展将处于</w:t>
      </w:r>
      <w:r>
        <w:rPr>
          <w:rFonts w:hint="eastAsia"/>
          <w:highlight w:val="none"/>
        </w:rPr>
        <w:t>经济增长动能转换、基础设施完善提质、城乡融合协同发展和生态人文价值融合的关键时期。</w:t>
      </w:r>
    </w:p>
    <w:p w14:paraId="10A77A1C">
      <w:pPr>
        <w:ind w:firstLine="643"/>
        <w:rPr>
          <w:rFonts w:hint="eastAsia"/>
          <w:highlight w:val="none"/>
        </w:rPr>
      </w:pPr>
      <w:r>
        <w:rPr>
          <w:rFonts w:hint="eastAsia" w:ascii="楷体_GB2312" w:eastAsia="楷体_GB2312"/>
          <w:b/>
          <w:bCs/>
          <w:highlight w:val="none"/>
        </w:rPr>
        <w:t>经济增长动能转换的攻坚期。</w:t>
      </w:r>
      <w:r>
        <w:rPr>
          <w:rFonts w:hint="eastAsia"/>
          <w:highlight w:val="none"/>
        </w:rPr>
        <w:t>河西地区尚未形成现代产业体系，主导产业集中于国防军工领域的大院大所，产业外溢转化不足，新兴产业规模较小且缺乏标志性项目，未形成集群效应。未来五年，将依托有序释放的产业空间，围绕数字经济、智能制造等领域，建设基础研发基地，布局工业放大环节，促进科技成果就地转化，打造新领域新赛道应用场景，实现由传统产业驱动向新质生产力引领的跨越。</w:t>
      </w:r>
    </w:p>
    <w:p w14:paraId="04043D7F">
      <w:pPr>
        <w:ind w:firstLine="643"/>
        <w:rPr>
          <w:rFonts w:hint="eastAsia"/>
          <w:highlight w:val="none"/>
        </w:rPr>
      </w:pPr>
      <w:r>
        <w:rPr>
          <w:rFonts w:hint="eastAsia" w:ascii="楷体_GB2312" w:eastAsia="楷体_GB2312"/>
          <w:b/>
          <w:bCs/>
          <w:highlight w:val="none"/>
        </w:rPr>
        <w:t>基础设施完善提质的加速期。</w:t>
      </w:r>
      <w:r>
        <w:rPr>
          <w:rFonts w:hint="eastAsia"/>
          <w:highlight w:val="none"/>
        </w:rPr>
        <w:t>河西地区基础设施和公共服务建设滞后，服务保障首都功能能力不足，通勤效率不高，削弱了综合承载力。未来五年，将以交通设施为先导，</w:t>
      </w:r>
      <w:r>
        <w:rPr>
          <w:rFonts w:hint="eastAsia"/>
          <w:highlight w:val="none"/>
          <w:lang w:val="en-US" w:eastAsia="zh-CN"/>
        </w:rPr>
        <w:t>推进1号线支线全线通车，着力扩大</w:t>
      </w:r>
      <w:r>
        <w:rPr>
          <w:rFonts w:hint="eastAsia"/>
          <w:highlight w:val="none"/>
        </w:rPr>
        <w:t>轨道交通</w:t>
      </w:r>
      <w:r>
        <w:rPr>
          <w:rFonts w:hint="eastAsia"/>
          <w:highlight w:val="none"/>
          <w:lang w:val="en-US" w:eastAsia="zh-CN"/>
        </w:rPr>
        <w:t>服务保障范围</w:t>
      </w:r>
      <w:r>
        <w:rPr>
          <w:rFonts w:hint="eastAsia"/>
          <w:highlight w:val="none"/>
        </w:rPr>
        <w:t>，</w:t>
      </w:r>
      <w:r>
        <w:rPr>
          <w:rFonts w:hint="eastAsia"/>
          <w:highlight w:val="none"/>
          <w:lang w:val="en-US" w:eastAsia="zh-CN"/>
        </w:rPr>
        <w:t>持续</w:t>
      </w:r>
      <w:r>
        <w:rPr>
          <w:rFonts w:hint="eastAsia"/>
          <w:highlight w:val="none"/>
        </w:rPr>
        <w:t>完善区域路网</w:t>
      </w:r>
      <w:r>
        <w:rPr>
          <w:rFonts w:hint="eastAsia"/>
          <w:highlight w:val="none"/>
          <w:lang w:val="en-US" w:eastAsia="zh-CN"/>
        </w:rPr>
        <w:t>体系</w:t>
      </w:r>
      <w:r>
        <w:rPr>
          <w:rFonts w:hint="eastAsia"/>
          <w:highlight w:val="none"/>
          <w:lang w:eastAsia="zh-CN"/>
        </w:rPr>
        <w:t>，</w:t>
      </w:r>
      <w:r>
        <w:rPr>
          <w:rFonts w:hint="eastAsia"/>
          <w:highlight w:val="none"/>
        </w:rPr>
        <w:t>打通断头路，构建内通外联的综合交通网络，同步推进水电气热等市政设施升级，加强韧性城市建设，加大教育、医疗、文化等公共服务供给，为产业升级和城乡融合提供坚实支撑。</w:t>
      </w:r>
    </w:p>
    <w:p w14:paraId="31B7E2E4">
      <w:pPr>
        <w:ind w:firstLine="643"/>
        <w:rPr>
          <w:rFonts w:hint="eastAsia"/>
          <w:strike/>
          <w:highlight w:val="none"/>
        </w:rPr>
      </w:pPr>
      <w:r>
        <w:rPr>
          <w:rFonts w:hint="eastAsia" w:ascii="楷体_GB2312" w:eastAsia="楷体_GB2312"/>
          <w:b/>
          <w:bCs/>
          <w:highlight w:val="none"/>
        </w:rPr>
        <w:t>城乡融合协同发展的跃升期。</w:t>
      </w:r>
      <w:r>
        <w:rPr>
          <w:rFonts w:hint="eastAsia"/>
          <w:highlight w:val="none"/>
        </w:rPr>
        <w:t>河西地区正处于城市化加速阶段，空间资源与需求难以有效适配，存量用地利用低效，产业导入和公共服务提升面临资金压力。未来五年，将着力推进城乡空间优化、要素互通和服务共享，通过现代化农业产业布局、集体产业升级、基础设施提升以及公共服务配套补短板等项目，增强城乡发展整体性与协调性，加快建设宜居、韧性、智慧的居住环境。</w:t>
      </w:r>
    </w:p>
    <w:p w14:paraId="76880FAE">
      <w:pPr>
        <w:tabs>
          <w:tab w:val="left" w:pos="4516"/>
        </w:tabs>
        <w:ind w:firstLine="643"/>
        <w:rPr>
          <w:rFonts w:hint="eastAsia"/>
          <w:highlight w:val="none"/>
        </w:rPr>
      </w:pPr>
      <w:r>
        <w:rPr>
          <w:rFonts w:hint="eastAsia" w:ascii="楷体_GB2312" w:eastAsia="楷体_GB2312"/>
          <w:b/>
          <w:bCs/>
          <w:highlight w:val="none"/>
        </w:rPr>
        <w:t>生态人文价值融合的突破期。</w:t>
      </w:r>
      <w:r>
        <w:rPr>
          <w:rFonts w:hint="eastAsia"/>
          <w:highlight w:val="none"/>
        </w:rPr>
        <w:t>河西地区对永定河、卢沟桥、宛平城等文化资源开发深度不足，生态资源整合利用程度不高，缺乏跨区域协同，独特资源潜力未有效挖掘。未来五年，将依托生态文化本底，培育生态康养、自然教育、工业旅游、红色旅游等新业态，推动农业、文化、旅游、教育深度融合，加快形成“生态美、产业兴、百姓富”的可持续发展新局面。</w:t>
      </w:r>
    </w:p>
    <w:p w14:paraId="5CCE71A8">
      <w:pPr>
        <w:pStyle w:val="3"/>
        <w:ind w:firstLine="640"/>
        <w:rPr>
          <w:rFonts w:hint="eastAsia"/>
          <w:highlight w:val="none"/>
        </w:rPr>
      </w:pPr>
      <w:bookmarkStart w:id="61" w:name="_Toc7436"/>
      <w:bookmarkStart w:id="62" w:name="_Toc515"/>
      <w:bookmarkStart w:id="63" w:name="_Toc31128"/>
      <w:bookmarkStart w:id="64" w:name="_Toc406106389"/>
      <w:bookmarkStart w:id="65" w:name="_Toc244460226"/>
      <w:bookmarkStart w:id="66" w:name="_Toc129360351"/>
      <w:bookmarkStart w:id="67" w:name="_Toc1437419115"/>
      <w:bookmarkStart w:id="68" w:name="_Toc8002"/>
      <w:bookmarkStart w:id="69" w:name="_Toc2144"/>
      <w:bookmarkStart w:id="70" w:name="_Toc486606215"/>
      <w:bookmarkStart w:id="71" w:name="_Toc31962"/>
      <w:bookmarkStart w:id="72" w:name="_Toc7257"/>
      <w:bookmarkStart w:id="73" w:name="_Toc32037"/>
      <w:bookmarkStart w:id="74" w:name="_Toc61509401"/>
      <w:bookmarkStart w:id="75" w:name="_Toc27693"/>
      <w:bookmarkStart w:id="76" w:name="_Toc1733119436"/>
      <w:bookmarkStart w:id="77" w:name="_Toc4515"/>
      <w:bookmarkStart w:id="78" w:name="_Toc408837997"/>
      <w:bookmarkStart w:id="79" w:name="_Toc9346"/>
      <w:bookmarkStart w:id="80" w:name="_Toc13646340"/>
      <w:r>
        <w:rPr>
          <w:rFonts w:hint="eastAsia"/>
          <w:highlight w:val="none"/>
        </w:rPr>
        <w:t>二、总体思路</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76EB2626">
      <w:pPr>
        <w:pStyle w:val="4"/>
        <w:ind w:firstLine="640"/>
        <w:rPr>
          <w:rFonts w:hint="eastAsia"/>
          <w:highlight w:val="none"/>
        </w:rPr>
      </w:pPr>
      <w:bookmarkStart w:id="81" w:name="_Toc32217"/>
      <w:bookmarkStart w:id="82" w:name="_Toc70172944"/>
      <w:bookmarkStart w:id="83" w:name="_Toc19838"/>
      <w:bookmarkStart w:id="84" w:name="_Toc848868400"/>
      <w:bookmarkStart w:id="85" w:name="_Toc1659520702"/>
      <w:bookmarkStart w:id="86" w:name="_Toc7578"/>
      <w:bookmarkStart w:id="87" w:name="_Toc15155"/>
      <w:bookmarkStart w:id="88" w:name="_Toc151274900"/>
      <w:bookmarkStart w:id="89" w:name="_Toc905968493"/>
      <w:bookmarkStart w:id="90" w:name="_Toc1720769798"/>
      <w:bookmarkStart w:id="91" w:name="_Toc30453"/>
      <w:bookmarkStart w:id="92" w:name="_Toc21501"/>
      <w:bookmarkStart w:id="93" w:name="_Toc19234"/>
      <w:bookmarkStart w:id="94" w:name="_Toc727049757"/>
      <w:bookmarkStart w:id="95" w:name="_Toc7569"/>
      <w:bookmarkStart w:id="96" w:name="_Toc4034"/>
      <w:bookmarkStart w:id="97" w:name="_Toc22616"/>
      <w:bookmarkStart w:id="98" w:name="_Toc772927729"/>
      <w:bookmarkStart w:id="99" w:name="_Toc1466"/>
      <w:bookmarkStart w:id="100" w:name="_Toc506801671"/>
      <w:bookmarkStart w:id="101" w:name="_Toc1806579785"/>
      <w:bookmarkStart w:id="102" w:name="_Toc1862256180"/>
      <w:bookmarkStart w:id="103" w:name="_Toc1783701289"/>
      <w:r>
        <w:rPr>
          <w:highlight w:val="none"/>
        </w:rPr>
        <w:t>（一）指导思想</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36238421">
      <w:pPr>
        <w:ind w:firstLine="640"/>
        <w:rPr>
          <w:rFonts w:hint="eastAsia"/>
          <w:highlight w:val="none"/>
        </w:rPr>
      </w:pPr>
      <w:bookmarkStart w:id="104" w:name="_Hlk209168668"/>
      <w:r>
        <w:rPr>
          <w:rFonts w:hint="eastAsia" w:hAnsi="微软雅黑" w:cs="宋体"/>
          <w:kern w:val="0"/>
          <w:highlight w:val="none"/>
          <w:shd w:val="clear" w:color="auto" w:fill="FFFFFF"/>
          <w:lang w:bidi="ar"/>
        </w:rPr>
        <w:t>坚持马克思列宁主义、毛泽东思想、邓小平理论、“三个代表”重要思想、科学发展观，全面贯彻习近平新时代中国特色社会主义思想，深入贯彻党的二十大和二十届历次全会精神，深入贯彻习近平总书记对北京重要讲话精神，坚持以新时代首都发展为统领，以经济建设为中心，以推动高质量发展为主题</w:t>
      </w:r>
      <w:r>
        <w:rPr>
          <w:rFonts w:hint="eastAsia" w:cs="仿宋_GB2312"/>
          <w:kern w:val="0"/>
          <w:highlight w:val="none"/>
        </w:rPr>
        <w:t>，</w:t>
      </w:r>
      <w:r>
        <w:rPr>
          <w:rFonts w:hint="eastAsia"/>
          <w:highlight w:val="none"/>
        </w:rPr>
        <w:t>以重大项目建设带动为抓手，围绕产业空间打造、基础设施提质、</w:t>
      </w:r>
      <w:r>
        <w:rPr>
          <w:rFonts w:hint="eastAsia"/>
          <w:highlight w:val="none"/>
          <w:lang w:val="en-US" w:eastAsia="zh-CN"/>
        </w:rPr>
        <w:t>城乡融合发展</w:t>
      </w:r>
      <w:r>
        <w:rPr>
          <w:rFonts w:hint="eastAsia"/>
          <w:highlight w:val="none"/>
        </w:rPr>
        <w:t>、民生福</w:t>
      </w:r>
      <w:r>
        <w:rPr>
          <w:rFonts w:hint="eastAsia" w:hAnsi="微软雅黑" w:cs="宋体"/>
          <w:kern w:val="0"/>
          <w:highlight w:val="none"/>
        </w:rPr>
        <w:t>祉提升</w:t>
      </w:r>
      <w:r>
        <w:rPr>
          <w:rFonts w:hint="eastAsia" w:hAnsi="微软雅黑" w:cs="宋体"/>
          <w:kern w:val="0"/>
          <w:highlight w:val="none"/>
          <w:lang w:eastAsia="zh-CN"/>
        </w:rPr>
        <w:t>、</w:t>
      </w:r>
      <w:r>
        <w:rPr>
          <w:rFonts w:hint="eastAsia"/>
          <w:highlight w:val="none"/>
        </w:rPr>
        <w:t>生态文明建设</w:t>
      </w:r>
      <w:r>
        <w:rPr>
          <w:rFonts w:hint="eastAsia" w:hAnsi="微软雅黑" w:cs="宋体"/>
          <w:kern w:val="0"/>
          <w:highlight w:val="none"/>
        </w:rPr>
        <w:t>等方面</w:t>
      </w:r>
      <w:r>
        <w:rPr>
          <w:rFonts w:hint="eastAsia" w:hAnsi="微软雅黑" w:cs="宋体"/>
          <w:kern w:val="0"/>
          <w:highlight w:val="none"/>
          <w:shd w:val="clear" w:color="auto" w:fill="FFFFFF"/>
          <w:lang w:bidi="ar"/>
        </w:rPr>
        <w:t>有步骤、分时序实施一批重点项目</w:t>
      </w:r>
      <w:r>
        <w:rPr>
          <w:rFonts w:hint="eastAsia" w:cs="仿宋_GB2312"/>
          <w:szCs w:val="24"/>
          <w:highlight w:val="none"/>
          <w:shd w:val="clear" w:color="auto" w:fill="FFFFFF"/>
          <w:lang w:bidi="ar"/>
        </w:rPr>
        <w:t>，</w:t>
      </w:r>
      <w:bookmarkEnd w:id="104"/>
      <w:r>
        <w:rPr>
          <w:rFonts w:hint="eastAsia" w:cs="仿宋_GB2312"/>
          <w:szCs w:val="24"/>
          <w:highlight w:val="none"/>
          <w:shd w:val="clear" w:color="auto" w:fill="FFFFFF"/>
          <w:lang w:bidi="ar"/>
        </w:rPr>
        <w:t>全力建设融合</w:t>
      </w:r>
      <w:r>
        <w:rPr>
          <w:rFonts w:hAnsi="微软雅黑" w:cs="宋体"/>
          <w:kern w:val="0"/>
          <w:szCs w:val="24"/>
          <w:highlight w:val="none"/>
          <w:shd w:val="clear" w:color="auto" w:fill="FFFFFF"/>
          <w:lang w:bidi="ar"/>
        </w:rPr>
        <w:t>生态、</w:t>
      </w:r>
      <w:r>
        <w:rPr>
          <w:rFonts w:hint="eastAsia" w:hAnsi="微软雅黑" w:cs="宋体"/>
          <w:kern w:val="0"/>
          <w:szCs w:val="24"/>
          <w:highlight w:val="none"/>
          <w:shd w:val="clear" w:color="auto" w:fill="FFFFFF"/>
          <w:lang w:bidi="ar"/>
        </w:rPr>
        <w:t>文化</w:t>
      </w:r>
      <w:r>
        <w:rPr>
          <w:rFonts w:hAnsi="微软雅黑" w:cs="宋体"/>
          <w:kern w:val="0"/>
          <w:szCs w:val="24"/>
          <w:highlight w:val="none"/>
          <w:shd w:val="clear" w:color="auto" w:fill="FFFFFF"/>
          <w:lang w:bidi="ar"/>
        </w:rPr>
        <w:t>、</w:t>
      </w:r>
      <w:r>
        <w:rPr>
          <w:rFonts w:hint="eastAsia" w:hAnsi="微软雅黑" w:cs="宋体"/>
          <w:kern w:val="0"/>
          <w:szCs w:val="24"/>
          <w:highlight w:val="none"/>
          <w:shd w:val="clear" w:color="auto" w:fill="FFFFFF"/>
          <w:lang w:bidi="ar"/>
        </w:rPr>
        <w:t>产业</w:t>
      </w:r>
      <w:r>
        <w:rPr>
          <w:rFonts w:hAnsi="微软雅黑" w:cs="宋体"/>
          <w:kern w:val="0"/>
          <w:szCs w:val="24"/>
          <w:highlight w:val="none"/>
          <w:shd w:val="clear" w:color="auto" w:fill="FFFFFF"/>
          <w:lang w:bidi="ar"/>
        </w:rPr>
        <w:t>等优势</w:t>
      </w:r>
      <w:r>
        <w:rPr>
          <w:rFonts w:hint="eastAsia" w:hAnsi="微软雅黑" w:cs="宋体"/>
          <w:kern w:val="0"/>
          <w:szCs w:val="24"/>
          <w:highlight w:val="none"/>
          <w:shd w:val="clear" w:color="auto" w:fill="FFFFFF"/>
          <w:lang w:bidi="ar"/>
        </w:rPr>
        <w:t>的</w:t>
      </w:r>
      <w:r>
        <w:rPr>
          <w:rFonts w:hAnsi="微软雅黑" w:cs="宋体"/>
          <w:kern w:val="0"/>
          <w:szCs w:val="24"/>
          <w:highlight w:val="none"/>
          <w:shd w:val="clear" w:color="auto" w:fill="FFFFFF"/>
          <w:lang w:bidi="ar"/>
        </w:rPr>
        <w:t>宜</w:t>
      </w:r>
      <w:r>
        <w:rPr>
          <w:rFonts w:hint="eastAsia" w:hAnsi="微软雅黑" w:cs="宋体"/>
          <w:kern w:val="0"/>
          <w:szCs w:val="24"/>
          <w:highlight w:val="none"/>
          <w:shd w:val="clear" w:color="auto" w:fill="FFFFFF"/>
          <w:lang w:bidi="ar"/>
        </w:rPr>
        <w:t>业</w:t>
      </w:r>
      <w:r>
        <w:rPr>
          <w:rFonts w:hAnsi="微软雅黑" w:cs="宋体"/>
          <w:kern w:val="0"/>
          <w:szCs w:val="24"/>
          <w:highlight w:val="none"/>
          <w:shd w:val="clear" w:color="auto" w:fill="FFFFFF"/>
          <w:lang w:bidi="ar"/>
        </w:rPr>
        <w:t>、</w:t>
      </w:r>
      <w:r>
        <w:rPr>
          <w:rFonts w:hint="eastAsia" w:hAnsi="微软雅黑" w:cs="宋体"/>
          <w:kern w:val="0"/>
          <w:szCs w:val="24"/>
          <w:highlight w:val="none"/>
          <w:shd w:val="clear" w:color="auto" w:fill="FFFFFF"/>
          <w:lang w:bidi="ar"/>
        </w:rPr>
        <w:t>宜居、宜游高品质城区，深度融入丰台区“四区一枢纽”功能建设，以“倍增追赶、合作发展”为动力、“三化五区”为引领，推动丰台农村城市化、城市现代化、全域场景化“三化”发展，助力丰台区首都功能拓展区、区域协同先行区、产城融合创新区、花园城市特色区、全龄友好活力区“五区”建设，将河西地区打造成为承载首都功能新的前沿阵地。</w:t>
      </w:r>
    </w:p>
    <w:p w14:paraId="0B90B770">
      <w:pPr>
        <w:pStyle w:val="4"/>
        <w:ind w:firstLine="640"/>
        <w:rPr>
          <w:rFonts w:hint="eastAsia"/>
          <w:highlight w:val="none"/>
        </w:rPr>
      </w:pPr>
      <w:bookmarkStart w:id="105" w:name="_Toc953404621"/>
      <w:bookmarkStart w:id="106" w:name="_Toc343314469"/>
      <w:bookmarkStart w:id="107" w:name="_Toc22514"/>
      <w:bookmarkStart w:id="108" w:name="_Toc3836"/>
      <w:bookmarkStart w:id="109" w:name="_Toc7153"/>
      <w:bookmarkStart w:id="110" w:name="_Toc1197331779"/>
      <w:bookmarkStart w:id="111" w:name="_Toc3235"/>
      <w:bookmarkStart w:id="112" w:name="_Toc27470"/>
      <w:bookmarkStart w:id="113" w:name="_Toc15629"/>
      <w:bookmarkStart w:id="114" w:name="_Toc815720837"/>
      <w:bookmarkStart w:id="115" w:name="_Toc25175"/>
      <w:bookmarkStart w:id="116" w:name="_Toc644929687"/>
      <w:bookmarkStart w:id="117" w:name="_Toc30210"/>
      <w:bookmarkStart w:id="118" w:name="_Toc895540495"/>
      <w:bookmarkStart w:id="119" w:name="_Toc46831278"/>
      <w:bookmarkStart w:id="120" w:name="_Toc11123"/>
      <w:bookmarkStart w:id="121" w:name="_Toc10894"/>
      <w:bookmarkStart w:id="122" w:name="_Toc10007"/>
      <w:bookmarkStart w:id="123" w:name="_Toc467760600"/>
      <w:r>
        <w:rPr>
          <w:rFonts w:hint="eastAsia"/>
          <w:highlight w:val="none"/>
        </w:rPr>
        <w:t>（二）发展原则</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49DA082C">
      <w:pPr>
        <w:widowControl/>
        <w:ind w:firstLine="643"/>
        <w:rPr>
          <w:rFonts w:hint="eastAsia"/>
          <w:highlight w:val="none"/>
        </w:rPr>
      </w:pPr>
      <w:r>
        <w:rPr>
          <w:rFonts w:hint="eastAsia" w:ascii="楷体_GB2312" w:hAnsi="楷体_GB2312" w:eastAsia="楷体_GB2312" w:cs="楷体_GB2312"/>
          <w:b/>
          <w:bCs/>
          <w:highlight w:val="none"/>
        </w:rPr>
        <w:t>坚持服务首都，协同发展。</w:t>
      </w:r>
      <w:r>
        <w:rPr>
          <w:rFonts w:hint="eastAsia" w:hAnsi="宋体" w:cs="仿宋_GB2312"/>
          <w:kern w:val="0"/>
          <w:sz w:val="31"/>
          <w:szCs w:val="31"/>
          <w:highlight w:val="none"/>
          <w:lang w:bidi="ar"/>
        </w:rPr>
        <w:t>主动对接首都发展需要，精准服务</w:t>
      </w:r>
      <w:r>
        <w:rPr>
          <w:rFonts w:hint="eastAsia" w:cs="仿宋_GB2312"/>
          <w:highlight w:val="none"/>
          <w:lang w:bidi="ar"/>
        </w:rPr>
        <w:t>保障首</w:t>
      </w:r>
      <w:r>
        <w:rPr>
          <w:rFonts w:hint="eastAsia" w:hAnsi="宋体" w:cs="仿宋_GB2312"/>
          <w:kern w:val="0"/>
          <w:sz w:val="31"/>
          <w:szCs w:val="31"/>
          <w:highlight w:val="none"/>
          <w:lang w:bidi="ar"/>
        </w:rPr>
        <w:t>都功能，</w:t>
      </w:r>
      <w:r>
        <w:rPr>
          <w:rFonts w:hint="eastAsia" w:cs="仿宋_GB2312"/>
          <w:highlight w:val="none"/>
        </w:rPr>
        <w:t>持续保障国家及市级重大工程建设，落实“两园一河”协同联动发展等重大战略，</w:t>
      </w:r>
      <w:r>
        <w:rPr>
          <w:rFonts w:hint="eastAsia" w:hAnsi="宋体" w:cs="仿宋_GB2312"/>
          <w:kern w:val="0"/>
          <w:sz w:val="31"/>
          <w:szCs w:val="31"/>
          <w:highlight w:val="none"/>
          <w:lang w:bidi="ar"/>
        </w:rPr>
        <w:t>提升重点区域核心功能承载力与辐射带动力。</w:t>
      </w:r>
    </w:p>
    <w:p w14:paraId="4C785A92">
      <w:pPr>
        <w:ind w:firstLine="643"/>
        <w:rPr>
          <w:rFonts w:hint="eastAsia"/>
          <w:highlight w:val="none"/>
        </w:rPr>
      </w:pPr>
      <w:r>
        <w:rPr>
          <w:rFonts w:hint="eastAsia" w:ascii="楷体_GB2312" w:hAnsi="楷体_GB2312" w:eastAsia="楷体_GB2312" w:cs="楷体_GB2312"/>
          <w:b/>
          <w:bCs/>
          <w:highlight w:val="none"/>
        </w:rPr>
        <w:t>坚持以人为本，共享发展。</w:t>
      </w:r>
      <w:r>
        <w:rPr>
          <w:highlight w:val="none"/>
        </w:rPr>
        <w:t>持续推进基本公共服务均等化、普惠化，打造具有鲜明河西文化印记</w:t>
      </w:r>
      <w:r>
        <w:rPr>
          <w:rFonts w:hint="eastAsia"/>
          <w:highlight w:val="none"/>
        </w:rPr>
        <w:t>的城市风貌、特色经济与独特品牌</w:t>
      </w:r>
      <w:r>
        <w:rPr>
          <w:highlight w:val="none"/>
        </w:rPr>
        <w:t>，</w:t>
      </w:r>
      <w:r>
        <w:rPr>
          <w:rFonts w:hint="eastAsia"/>
          <w:highlight w:val="none"/>
        </w:rPr>
        <w:t>让人民群众在发展中拥有更多的自豪感、获得感和幸福感。</w:t>
      </w:r>
    </w:p>
    <w:p w14:paraId="40378408">
      <w:pPr>
        <w:ind w:firstLine="643"/>
        <w:rPr>
          <w:rFonts w:hint="eastAsia"/>
          <w:highlight w:val="none"/>
        </w:rPr>
      </w:pPr>
      <w:r>
        <w:rPr>
          <w:rFonts w:hint="eastAsia" w:ascii="楷体_GB2312" w:hAnsi="楷体_GB2312" w:eastAsia="楷体_GB2312" w:cs="楷体_GB2312"/>
          <w:b/>
          <w:bCs/>
          <w:highlight w:val="none"/>
        </w:rPr>
        <w:t>坚持生态优先，绿色发展。</w:t>
      </w:r>
      <w:r>
        <w:rPr>
          <w:rFonts w:hint="eastAsia"/>
          <w:highlight w:val="none"/>
        </w:rPr>
        <w:t>持续提升生态系统调节服务价值，</w:t>
      </w:r>
      <w:r>
        <w:rPr>
          <w:highlight w:val="none"/>
        </w:rPr>
        <w:t>将生态</w:t>
      </w:r>
      <w:r>
        <w:rPr>
          <w:rFonts w:hint="eastAsia"/>
          <w:highlight w:val="none"/>
        </w:rPr>
        <w:t>空间</w:t>
      </w:r>
      <w:r>
        <w:rPr>
          <w:highlight w:val="none"/>
        </w:rPr>
        <w:t>作为河西地区发展</w:t>
      </w:r>
      <w:r>
        <w:rPr>
          <w:rFonts w:hint="eastAsia"/>
          <w:highlight w:val="none"/>
        </w:rPr>
        <w:t>的鲜明底色</w:t>
      </w:r>
      <w:r>
        <w:rPr>
          <w:highlight w:val="none"/>
        </w:rPr>
        <w:t>和</w:t>
      </w:r>
      <w:r>
        <w:rPr>
          <w:rFonts w:hint="eastAsia"/>
          <w:highlight w:val="none"/>
        </w:rPr>
        <w:t>重要优势</w:t>
      </w:r>
      <w:r>
        <w:rPr>
          <w:highlight w:val="none"/>
        </w:rPr>
        <w:t>，创新发展生态文旅、康养休闲等绿色产业，</w:t>
      </w:r>
      <w:r>
        <w:rPr>
          <w:rFonts w:hint="eastAsia"/>
          <w:highlight w:val="none"/>
        </w:rPr>
        <w:t>形成生态保护与经济发展的良性循环。</w:t>
      </w:r>
    </w:p>
    <w:p w14:paraId="6C83A1BC">
      <w:pPr>
        <w:ind w:firstLine="643"/>
        <w:rPr>
          <w:rFonts w:hint="eastAsia"/>
          <w:b/>
          <w:highlight w:val="none"/>
        </w:rPr>
      </w:pPr>
      <w:r>
        <w:rPr>
          <w:rFonts w:hint="eastAsia" w:ascii="楷体_GB2312" w:hAnsi="楷体_GB2312" w:eastAsia="楷体_GB2312" w:cs="楷体_GB2312"/>
          <w:b/>
          <w:bCs/>
          <w:highlight w:val="none"/>
        </w:rPr>
        <w:t>坚持创新驱动，未来发展。</w:t>
      </w:r>
      <w:r>
        <w:rPr>
          <w:rFonts w:hint="eastAsia" w:cs="仿宋_GB2312"/>
          <w:b w:val="0"/>
          <w:bCs w:val="0"/>
          <w:highlight w:val="none"/>
          <w:lang w:val="en-US" w:eastAsia="zh-CN"/>
        </w:rPr>
        <w:t>积极</w:t>
      </w:r>
      <w:r>
        <w:rPr>
          <w:rFonts w:hint="eastAsia" w:cs="仿宋_GB2312"/>
          <w:highlight w:val="none"/>
        </w:rPr>
        <w:t>布局数字经济等新兴产业赛道，加</w:t>
      </w:r>
      <w:r>
        <w:rPr>
          <w:rFonts w:hint="eastAsia" w:cs="仿宋_GB2312"/>
          <w:highlight w:val="none"/>
          <w:lang w:val="en-US" w:eastAsia="zh-CN"/>
        </w:rPr>
        <w:t>快</w:t>
      </w:r>
      <w:r>
        <w:rPr>
          <w:rFonts w:hint="eastAsia" w:cs="仿宋_GB2312"/>
          <w:highlight w:val="none"/>
        </w:rPr>
        <w:t>产业动能转换与新质生产力培育</w:t>
      </w:r>
      <w:r>
        <w:rPr>
          <w:rFonts w:hint="eastAsia" w:cs="仿宋_GB2312"/>
          <w:highlight w:val="none"/>
          <w:lang w:eastAsia="zh-CN"/>
        </w:rPr>
        <w:t>，</w:t>
      </w:r>
      <w:r>
        <w:rPr>
          <w:rFonts w:hint="eastAsia"/>
          <w:highlight w:val="none"/>
          <w:lang w:eastAsia="zh-CN"/>
        </w:rPr>
        <w:t>开展</w:t>
      </w:r>
      <w:r>
        <w:rPr>
          <w:rFonts w:hint="eastAsia" w:cs="仿宋_GB2312"/>
          <w:highlight w:val="none"/>
          <w:lang w:val="en-US" w:eastAsia="zh-CN"/>
        </w:rPr>
        <w:t>场景创新、</w:t>
      </w:r>
      <w:r>
        <w:rPr>
          <w:rFonts w:hint="eastAsia" w:cs="仿宋_GB2312"/>
          <w:highlight w:val="none"/>
        </w:rPr>
        <w:t>功能塑新</w:t>
      </w:r>
      <w:r>
        <w:rPr>
          <w:rFonts w:hint="eastAsia" w:cs="仿宋_GB2312"/>
          <w:highlight w:val="none"/>
          <w:lang w:val="en-US" w:eastAsia="zh-CN"/>
        </w:rPr>
        <w:t>与</w:t>
      </w:r>
      <w:r>
        <w:rPr>
          <w:rFonts w:hint="eastAsia" w:cs="仿宋_GB2312"/>
          <w:highlight w:val="none"/>
        </w:rPr>
        <w:t>产业焕新，推动</w:t>
      </w:r>
      <w:r>
        <w:rPr>
          <w:rFonts w:hint="eastAsia" w:cs="仿宋_GB2312"/>
          <w:highlight w:val="none"/>
          <w:lang w:eastAsia="zh-CN"/>
        </w:rPr>
        <w:t>发展模式从</w:t>
      </w:r>
      <w:r>
        <w:rPr>
          <w:highlight w:val="none"/>
        </w:rPr>
        <w:t>要素驱动向创新驱动转变，</w:t>
      </w:r>
      <w:r>
        <w:rPr>
          <w:rFonts w:hint="eastAsia" w:cs="仿宋_GB2312"/>
          <w:highlight w:val="none"/>
        </w:rPr>
        <w:t>实现空间资源优势</w:t>
      </w:r>
      <w:r>
        <w:rPr>
          <w:rFonts w:hint="eastAsia" w:cs="仿宋_GB2312"/>
          <w:highlight w:val="none"/>
          <w:lang w:eastAsia="zh-CN"/>
        </w:rPr>
        <w:t>向</w:t>
      </w:r>
      <w:r>
        <w:rPr>
          <w:rFonts w:hint="eastAsia" w:cs="仿宋_GB2312"/>
          <w:highlight w:val="none"/>
        </w:rPr>
        <w:t>产业竞争优势的转化</w:t>
      </w:r>
      <w:r>
        <w:rPr>
          <w:rFonts w:hint="eastAsia"/>
          <w:highlight w:val="none"/>
        </w:rPr>
        <w:t>。</w:t>
      </w:r>
    </w:p>
    <w:p w14:paraId="6897F6BF">
      <w:pPr>
        <w:pStyle w:val="4"/>
        <w:ind w:firstLine="640"/>
        <w:rPr>
          <w:rFonts w:hint="eastAsia"/>
          <w:highlight w:val="none"/>
        </w:rPr>
      </w:pPr>
      <w:bookmarkStart w:id="124" w:name="_Toc21466"/>
      <w:bookmarkStart w:id="125" w:name="_Toc284505011"/>
      <w:bookmarkStart w:id="126" w:name="_Toc18736"/>
      <w:bookmarkStart w:id="127" w:name="_Toc1495974880"/>
      <w:bookmarkStart w:id="128" w:name="_Toc1945204641"/>
      <w:bookmarkStart w:id="129" w:name="_Toc1633437263"/>
      <w:bookmarkStart w:id="130" w:name="_Toc7046"/>
      <w:bookmarkStart w:id="131" w:name="_Toc6510"/>
      <w:bookmarkStart w:id="132" w:name="_Toc10197"/>
      <w:bookmarkStart w:id="133" w:name="_Toc859651488"/>
      <w:bookmarkStart w:id="134" w:name="_Toc27250"/>
      <w:bookmarkStart w:id="135" w:name="_Toc1114274544"/>
      <w:bookmarkStart w:id="136" w:name="_Toc6554"/>
      <w:bookmarkStart w:id="137" w:name="_Toc3563"/>
      <w:bookmarkStart w:id="138" w:name="_Toc14421"/>
      <w:bookmarkStart w:id="139" w:name="_Toc9492"/>
      <w:bookmarkStart w:id="140" w:name="_Toc11073"/>
      <w:r>
        <w:rPr>
          <w:rFonts w:hint="eastAsia"/>
          <w:highlight w:val="none"/>
        </w:rPr>
        <w:t>（三）发展目标</w:t>
      </w:r>
      <w:bookmarkEnd w:id="101"/>
      <w:bookmarkEnd w:id="102"/>
      <w:bookmarkEnd w:id="10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28E1F2A7">
      <w:pPr>
        <w:ind w:firstLine="640"/>
        <w:rPr>
          <w:rFonts w:hint="eastAsia"/>
          <w:highlight w:val="none"/>
        </w:rPr>
      </w:pPr>
      <w:r>
        <w:rPr>
          <w:rFonts w:hint="eastAsia"/>
          <w:highlight w:val="none"/>
        </w:rPr>
        <w:t>立足生态优势，强化科技赋能，围绕产业动能培育、基础设施提质、城乡融合引领、公共服务塑强、山水生态固本等发展重点，</w:t>
      </w:r>
      <w:r>
        <w:rPr>
          <w:rFonts w:hint="eastAsia" w:hAnsi="微软雅黑" w:cs="宋体"/>
          <w:kern w:val="0"/>
          <w:highlight w:val="none"/>
        </w:rPr>
        <w:t>构建河西地区“</w:t>
      </w:r>
      <w:r>
        <w:rPr>
          <w:rFonts w:hint="eastAsia" w:hAnsi="微软雅黑" w:cs="宋体"/>
          <w:b/>
          <w:bCs/>
          <w:kern w:val="0"/>
          <w:highlight w:val="none"/>
        </w:rPr>
        <w:t>一核·一轴·两翼·多点</w:t>
      </w:r>
      <w:r>
        <w:rPr>
          <w:rFonts w:hint="eastAsia" w:hAnsi="微软雅黑" w:cs="宋体"/>
          <w:kern w:val="0"/>
          <w:highlight w:val="none"/>
        </w:rPr>
        <w:t>”</w:t>
      </w:r>
      <w:r>
        <w:rPr>
          <w:rStyle w:val="26"/>
          <w:rFonts w:hint="eastAsia" w:hAnsi="微软雅黑" w:cs="宋体"/>
          <w:kern w:val="0"/>
          <w:highlight w:val="none"/>
        </w:rPr>
        <w:footnoteReference w:id="2"/>
      </w:r>
      <w:r>
        <w:rPr>
          <w:rFonts w:hint="eastAsia" w:hAnsi="微软雅黑" w:cs="宋体"/>
          <w:kern w:val="0"/>
          <w:highlight w:val="none"/>
        </w:rPr>
        <w:t>的城市化发展格局，提升</w:t>
      </w:r>
      <w:r>
        <w:rPr>
          <w:rFonts w:hint="eastAsia"/>
          <w:highlight w:val="none"/>
        </w:rPr>
        <w:t>河西生态科技组团能级，建设科技创新与新兴产业集聚发展的“科技绿谷”，构建生态和文化引领高品质生活的“山水新城”。</w:t>
      </w:r>
    </w:p>
    <w:p w14:paraId="7F26AE68">
      <w:pPr>
        <w:ind w:firstLine="640"/>
        <w:rPr>
          <w:rFonts w:hint="eastAsia"/>
          <w:highlight w:val="none"/>
        </w:rPr>
      </w:pPr>
      <w:r>
        <w:rPr>
          <w:rFonts w:hint="eastAsia"/>
          <w:highlight w:val="none"/>
        </w:rPr>
        <w:t>到2030年，经济发展总量持续攀升，产业空间建设取得重大进展，产业核心竞争力显著增强。城市功能品质全面提升，综合交通体系基本建成，市政设施保障更加完善，医疗教育水平持续提高，公共资源配置不断优化。城乡融合发展取得重要突破，乡村全面振兴扎实推进，加快集体经济转型升级，补齐基础设施和公共服务短板，推动河西农村地区构建城市化发展格局。绿色低碳发展形成显著优势，蓝绿空间持续扩容，生态资源价值转化新路径初步构建，生态环境赋能效应充分释放。</w:t>
      </w:r>
      <w:r>
        <w:rPr>
          <w:highlight w:val="none"/>
        </w:rPr>
        <w:br w:type="page"/>
      </w:r>
    </w:p>
    <w:p w14:paraId="09FDBF66">
      <w:pPr>
        <w:pStyle w:val="15"/>
        <w:rPr>
          <w:rFonts w:hint="eastAsia"/>
          <w:highlight w:val="none"/>
        </w:rPr>
      </w:pPr>
    </w:p>
    <w:p w14:paraId="66A46A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表1 “十五五”时期永定河以西地区</w:t>
      </w:r>
      <w:r>
        <w:rPr>
          <w:rFonts w:hint="eastAsia" w:ascii="楷体_GB2312" w:hAnsi="楷体_GB2312" w:eastAsia="楷体_GB2312" w:cs="楷体_GB2312"/>
          <w:sz w:val="28"/>
          <w:szCs w:val="28"/>
          <w:highlight w:val="none"/>
          <w:lang w:eastAsia="zh-CN"/>
        </w:rPr>
        <w:t>建设发展规划</w:t>
      </w:r>
      <w:r>
        <w:rPr>
          <w:rFonts w:hint="eastAsia" w:ascii="楷体_GB2312" w:hAnsi="楷体_GB2312" w:eastAsia="楷体_GB2312" w:cs="楷体_GB2312"/>
          <w:sz w:val="28"/>
          <w:szCs w:val="28"/>
          <w:highlight w:val="none"/>
        </w:rPr>
        <w:t>指标表</w:t>
      </w:r>
    </w:p>
    <w:tbl>
      <w:tblPr>
        <w:tblStyle w:val="20"/>
        <w:tblW w:w="8536" w:type="dxa"/>
        <w:jc w:val="center"/>
        <w:tblLayout w:type="fixed"/>
        <w:tblCellMar>
          <w:top w:w="0" w:type="dxa"/>
          <w:left w:w="108" w:type="dxa"/>
          <w:bottom w:w="0" w:type="dxa"/>
          <w:right w:w="108" w:type="dxa"/>
        </w:tblCellMar>
      </w:tblPr>
      <w:tblGrid>
        <w:gridCol w:w="700"/>
        <w:gridCol w:w="2596"/>
        <w:gridCol w:w="1738"/>
        <w:gridCol w:w="1733"/>
        <w:gridCol w:w="1769"/>
      </w:tblGrid>
      <w:tr w14:paraId="2D1B44A7">
        <w:tblPrEx>
          <w:tblCellMar>
            <w:top w:w="0" w:type="dxa"/>
            <w:left w:w="108" w:type="dxa"/>
            <w:bottom w:w="0" w:type="dxa"/>
            <w:right w:w="108" w:type="dxa"/>
          </w:tblCellMar>
        </w:tblPrEx>
        <w:trPr>
          <w:trHeight w:val="763"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4C8423F9">
            <w:pPr>
              <w:widowControl/>
              <w:spacing w:line="240" w:lineRule="atLeast"/>
              <w:ind w:firstLine="0" w:firstLineChars="0"/>
              <w:jc w:val="center"/>
              <w:textAlignment w:val="center"/>
              <w:rPr>
                <w:rFonts w:hint="eastAsia" w:ascii="黑体" w:hAnsi="宋体" w:eastAsia="黑体" w:cs="黑体"/>
                <w:color w:val="000000"/>
                <w:sz w:val="22"/>
                <w:szCs w:val="22"/>
                <w:highlight w:val="none"/>
              </w:rPr>
            </w:pPr>
            <w:bookmarkStart w:id="141" w:name="_Toc12083"/>
            <w:bookmarkStart w:id="142" w:name="_Toc2062645209"/>
            <w:bookmarkStart w:id="143" w:name="_Toc1943335750"/>
            <w:bookmarkStart w:id="144" w:name="_Toc32226"/>
            <w:bookmarkStart w:id="145" w:name="_Toc157785591"/>
            <w:bookmarkStart w:id="146" w:name="_Toc13249"/>
            <w:bookmarkStart w:id="147" w:name="_Toc1512945882"/>
            <w:bookmarkStart w:id="148" w:name="_Toc32444"/>
            <w:bookmarkStart w:id="149" w:name="_Toc1910843006"/>
            <w:r>
              <w:rPr>
                <w:rFonts w:hint="eastAsia" w:ascii="黑体" w:hAnsi="宋体" w:eastAsia="黑体" w:cs="黑体"/>
                <w:color w:val="000000"/>
                <w:kern w:val="0"/>
                <w:sz w:val="22"/>
                <w:szCs w:val="22"/>
                <w:highlight w:val="none"/>
                <w:lang w:bidi="ar"/>
              </w:rPr>
              <w:t>序号</w:t>
            </w:r>
          </w:p>
        </w:tc>
        <w:tc>
          <w:tcPr>
            <w:tcW w:w="2596" w:type="dxa"/>
            <w:tcBorders>
              <w:top w:val="single" w:color="auto" w:sz="4" w:space="0"/>
              <w:left w:val="single" w:color="auto" w:sz="4" w:space="0"/>
              <w:bottom w:val="single" w:color="auto" w:sz="4" w:space="0"/>
              <w:right w:val="single" w:color="auto" w:sz="4" w:space="0"/>
            </w:tcBorders>
            <w:vAlign w:val="center"/>
          </w:tcPr>
          <w:p w14:paraId="0464DF5A">
            <w:pPr>
              <w:widowControl/>
              <w:spacing w:line="240" w:lineRule="atLeast"/>
              <w:ind w:firstLine="0" w:firstLineChars="0"/>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指标名称</w:t>
            </w:r>
          </w:p>
        </w:tc>
        <w:tc>
          <w:tcPr>
            <w:tcW w:w="1738" w:type="dxa"/>
            <w:tcBorders>
              <w:top w:val="single" w:color="auto" w:sz="4" w:space="0"/>
              <w:left w:val="single" w:color="auto" w:sz="4" w:space="0"/>
              <w:bottom w:val="single" w:color="auto" w:sz="4" w:space="0"/>
              <w:right w:val="single" w:color="auto" w:sz="4" w:space="0"/>
            </w:tcBorders>
            <w:vAlign w:val="center"/>
          </w:tcPr>
          <w:p w14:paraId="2CD935A5">
            <w:pPr>
              <w:widowControl/>
              <w:spacing w:line="240" w:lineRule="atLeast"/>
              <w:ind w:firstLine="0" w:firstLineChars="0"/>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单位</w:t>
            </w:r>
          </w:p>
        </w:tc>
        <w:tc>
          <w:tcPr>
            <w:tcW w:w="1733" w:type="dxa"/>
            <w:tcBorders>
              <w:top w:val="single" w:color="auto" w:sz="4" w:space="0"/>
              <w:left w:val="single" w:color="auto" w:sz="4" w:space="0"/>
              <w:bottom w:val="single" w:color="auto" w:sz="4" w:space="0"/>
              <w:right w:val="single" w:color="auto" w:sz="4" w:space="0"/>
            </w:tcBorders>
            <w:vAlign w:val="center"/>
          </w:tcPr>
          <w:p w14:paraId="23EBCC64">
            <w:pPr>
              <w:widowControl/>
              <w:spacing w:line="240" w:lineRule="atLeast"/>
              <w:ind w:firstLine="0" w:firstLineChars="0"/>
              <w:jc w:val="center"/>
              <w:textAlignment w:val="center"/>
              <w:rPr>
                <w:rFonts w:hint="eastAsia"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bidi="ar"/>
              </w:rPr>
              <w:t>“十五五”</w:t>
            </w:r>
          </w:p>
          <w:p w14:paraId="280CDCD0">
            <w:pPr>
              <w:widowControl/>
              <w:spacing w:line="240" w:lineRule="atLeast"/>
              <w:ind w:firstLine="0" w:firstLineChars="0"/>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目标值</w:t>
            </w:r>
          </w:p>
        </w:tc>
        <w:tc>
          <w:tcPr>
            <w:tcW w:w="1769" w:type="dxa"/>
            <w:tcBorders>
              <w:top w:val="single" w:color="auto" w:sz="4" w:space="0"/>
              <w:left w:val="single" w:color="auto" w:sz="4" w:space="0"/>
              <w:bottom w:val="single" w:color="auto" w:sz="4" w:space="0"/>
              <w:right w:val="single" w:color="auto" w:sz="4" w:space="0"/>
            </w:tcBorders>
            <w:vAlign w:val="center"/>
          </w:tcPr>
          <w:p w14:paraId="4969B40F">
            <w:pPr>
              <w:widowControl/>
              <w:spacing w:line="240" w:lineRule="atLeast"/>
              <w:ind w:firstLine="0" w:firstLineChars="0"/>
              <w:jc w:val="center"/>
              <w:textAlignment w:val="center"/>
              <w:rPr>
                <w:rFonts w:hint="eastAsia" w:ascii="黑体" w:hAnsi="宋体" w:eastAsia="黑体" w:cs="黑体"/>
                <w:color w:val="000000"/>
                <w:kern w:val="0"/>
                <w:sz w:val="22"/>
                <w:szCs w:val="22"/>
                <w:highlight w:val="none"/>
                <w:lang w:bidi="ar"/>
              </w:rPr>
            </w:pPr>
            <w:r>
              <w:rPr>
                <w:rFonts w:hint="eastAsia" w:ascii="黑体" w:hAnsi="宋体" w:eastAsia="黑体" w:cs="黑体"/>
                <w:color w:val="000000"/>
                <w:kern w:val="0"/>
                <w:sz w:val="22"/>
                <w:szCs w:val="22"/>
                <w:highlight w:val="none"/>
                <w:lang w:bidi="ar"/>
              </w:rPr>
              <w:t>指标</w:t>
            </w:r>
          </w:p>
          <w:p w14:paraId="107FF227">
            <w:pPr>
              <w:widowControl/>
              <w:spacing w:line="240" w:lineRule="atLeast"/>
              <w:ind w:firstLine="0" w:firstLineChars="0"/>
              <w:jc w:val="center"/>
              <w:textAlignment w:val="center"/>
              <w:rPr>
                <w:rFonts w:hint="eastAsia" w:ascii="黑体" w:hAnsi="宋体" w:eastAsia="黑体" w:cs="黑体"/>
                <w:color w:val="000000"/>
                <w:sz w:val="22"/>
                <w:szCs w:val="22"/>
                <w:highlight w:val="none"/>
              </w:rPr>
            </w:pPr>
            <w:r>
              <w:rPr>
                <w:rFonts w:hint="eastAsia" w:ascii="黑体" w:hAnsi="宋体" w:eastAsia="黑体" w:cs="黑体"/>
                <w:color w:val="000000"/>
                <w:kern w:val="0"/>
                <w:sz w:val="22"/>
                <w:szCs w:val="22"/>
                <w:highlight w:val="none"/>
                <w:lang w:bidi="ar"/>
              </w:rPr>
              <w:t>属性</w:t>
            </w:r>
          </w:p>
        </w:tc>
      </w:tr>
      <w:tr w14:paraId="762F58B8">
        <w:tblPrEx>
          <w:tblCellMar>
            <w:top w:w="0" w:type="dxa"/>
            <w:left w:w="108" w:type="dxa"/>
            <w:bottom w:w="0" w:type="dxa"/>
            <w:right w:w="108" w:type="dxa"/>
          </w:tblCellMar>
        </w:tblPrEx>
        <w:trPr>
          <w:trHeight w:val="947"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0A258CA5">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1</w:t>
            </w:r>
          </w:p>
        </w:tc>
        <w:tc>
          <w:tcPr>
            <w:tcW w:w="2596" w:type="dxa"/>
            <w:tcBorders>
              <w:top w:val="single" w:color="auto" w:sz="4" w:space="0"/>
              <w:left w:val="single" w:color="auto" w:sz="4" w:space="0"/>
              <w:bottom w:val="single" w:color="auto" w:sz="4" w:space="0"/>
              <w:right w:val="single" w:color="auto" w:sz="4" w:space="0"/>
            </w:tcBorders>
            <w:vAlign w:val="center"/>
          </w:tcPr>
          <w:p w14:paraId="5D913E7A">
            <w:pPr>
              <w:widowControl/>
              <w:spacing w:line="240" w:lineRule="atLeast"/>
              <w:ind w:firstLine="0" w:firstLineChars="0"/>
              <w:jc w:val="left"/>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永定河以西片区固定资产投资规模（累计值）</w:t>
            </w:r>
          </w:p>
        </w:tc>
        <w:tc>
          <w:tcPr>
            <w:tcW w:w="1738" w:type="dxa"/>
            <w:tcBorders>
              <w:top w:val="single" w:color="auto" w:sz="4" w:space="0"/>
              <w:left w:val="single" w:color="auto" w:sz="4" w:space="0"/>
              <w:bottom w:val="single" w:color="auto" w:sz="4" w:space="0"/>
              <w:right w:val="single" w:color="auto" w:sz="4" w:space="0"/>
            </w:tcBorders>
            <w:vAlign w:val="center"/>
          </w:tcPr>
          <w:p w14:paraId="2816B26D">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亿元</w:t>
            </w:r>
          </w:p>
        </w:tc>
        <w:tc>
          <w:tcPr>
            <w:tcW w:w="1733" w:type="dxa"/>
            <w:tcBorders>
              <w:top w:val="single" w:color="auto" w:sz="4" w:space="0"/>
              <w:left w:val="single" w:color="auto" w:sz="4" w:space="0"/>
              <w:bottom w:val="single" w:color="auto" w:sz="4" w:space="0"/>
              <w:right w:val="single" w:color="auto" w:sz="4" w:space="0"/>
            </w:tcBorders>
            <w:vAlign w:val="center"/>
          </w:tcPr>
          <w:p w14:paraId="09C7CCDA">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400</w:t>
            </w:r>
          </w:p>
        </w:tc>
        <w:tc>
          <w:tcPr>
            <w:tcW w:w="1769" w:type="dxa"/>
            <w:tcBorders>
              <w:top w:val="single" w:color="auto" w:sz="4" w:space="0"/>
              <w:left w:val="single" w:color="auto" w:sz="4" w:space="0"/>
              <w:bottom w:val="single" w:color="auto" w:sz="4" w:space="0"/>
              <w:right w:val="single" w:color="auto" w:sz="4" w:space="0"/>
            </w:tcBorders>
            <w:vAlign w:val="center"/>
          </w:tcPr>
          <w:p w14:paraId="510A8516">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预期性</w:t>
            </w:r>
          </w:p>
        </w:tc>
      </w:tr>
      <w:tr w14:paraId="3A7B0D8A">
        <w:tblPrEx>
          <w:tblCellMar>
            <w:top w:w="0" w:type="dxa"/>
            <w:left w:w="108" w:type="dxa"/>
            <w:bottom w:w="0" w:type="dxa"/>
            <w:right w:w="108" w:type="dxa"/>
          </w:tblCellMar>
        </w:tblPrEx>
        <w:trPr>
          <w:trHeight w:val="1122"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116B8D26">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2</w:t>
            </w:r>
          </w:p>
        </w:tc>
        <w:tc>
          <w:tcPr>
            <w:tcW w:w="2596" w:type="dxa"/>
            <w:tcBorders>
              <w:top w:val="single" w:color="auto" w:sz="4" w:space="0"/>
              <w:left w:val="single" w:color="auto" w:sz="4" w:space="0"/>
              <w:bottom w:val="single" w:color="auto" w:sz="4" w:space="0"/>
              <w:right w:val="single" w:color="auto" w:sz="4" w:space="0"/>
            </w:tcBorders>
            <w:vAlign w:val="center"/>
          </w:tcPr>
          <w:p w14:paraId="6612997C">
            <w:pPr>
              <w:widowControl/>
              <w:spacing w:line="240" w:lineRule="atLeast"/>
              <w:ind w:firstLine="0" w:firstLineChars="0"/>
              <w:jc w:val="left"/>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专精特新中小企业数量</w:t>
            </w:r>
          </w:p>
        </w:tc>
        <w:tc>
          <w:tcPr>
            <w:tcW w:w="1738" w:type="dxa"/>
            <w:tcBorders>
              <w:top w:val="single" w:color="auto" w:sz="4" w:space="0"/>
              <w:left w:val="single" w:color="auto" w:sz="4" w:space="0"/>
              <w:bottom w:val="single" w:color="auto" w:sz="4" w:space="0"/>
              <w:right w:val="single" w:color="auto" w:sz="4" w:space="0"/>
            </w:tcBorders>
            <w:vAlign w:val="center"/>
          </w:tcPr>
          <w:p w14:paraId="72970A1A">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个</w:t>
            </w:r>
          </w:p>
        </w:tc>
        <w:tc>
          <w:tcPr>
            <w:tcW w:w="1733" w:type="dxa"/>
            <w:tcBorders>
              <w:top w:val="single" w:color="auto" w:sz="4" w:space="0"/>
              <w:left w:val="single" w:color="auto" w:sz="4" w:space="0"/>
              <w:bottom w:val="single" w:color="auto" w:sz="4" w:space="0"/>
              <w:right w:val="single" w:color="auto" w:sz="4" w:space="0"/>
            </w:tcBorders>
            <w:vAlign w:val="center"/>
          </w:tcPr>
          <w:p w14:paraId="276B8268">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sz w:val="22"/>
                <w:szCs w:val="22"/>
                <w:highlight w:val="none"/>
              </w:rPr>
              <w:t>30</w:t>
            </w:r>
          </w:p>
        </w:tc>
        <w:tc>
          <w:tcPr>
            <w:tcW w:w="1769" w:type="dxa"/>
            <w:tcBorders>
              <w:top w:val="single" w:color="auto" w:sz="4" w:space="0"/>
              <w:left w:val="single" w:color="auto" w:sz="4" w:space="0"/>
              <w:bottom w:val="single" w:color="auto" w:sz="4" w:space="0"/>
              <w:right w:val="single" w:color="auto" w:sz="4" w:space="0"/>
            </w:tcBorders>
            <w:vAlign w:val="center"/>
          </w:tcPr>
          <w:p w14:paraId="6276861A">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预期性</w:t>
            </w:r>
          </w:p>
        </w:tc>
      </w:tr>
      <w:tr w14:paraId="34F6B620">
        <w:tblPrEx>
          <w:tblCellMar>
            <w:top w:w="0" w:type="dxa"/>
            <w:left w:w="108" w:type="dxa"/>
            <w:bottom w:w="0" w:type="dxa"/>
            <w:right w:w="108" w:type="dxa"/>
          </w:tblCellMar>
        </w:tblPrEx>
        <w:trPr>
          <w:trHeight w:val="762"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1DC343AC">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3</w:t>
            </w:r>
          </w:p>
        </w:tc>
        <w:tc>
          <w:tcPr>
            <w:tcW w:w="2596" w:type="dxa"/>
            <w:tcBorders>
              <w:top w:val="single" w:color="auto" w:sz="4" w:space="0"/>
              <w:left w:val="single" w:color="auto" w:sz="4" w:space="0"/>
              <w:bottom w:val="single" w:color="auto" w:sz="4" w:space="0"/>
              <w:right w:val="single" w:color="auto" w:sz="4" w:space="0"/>
            </w:tcBorders>
            <w:vAlign w:val="center"/>
          </w:tcPr>
          <w:p w14:paraId="6707DD79">
            <w:pPr>
              <w:widowControl/>
              <w:spacing w:line="240" w:lineRule="atLeast"/>
              <w:ind w:firstLine="0" w:firstLineChars="0"/>
              <w:jc w:val="left"/>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路网实现率</w:t>
            </w:r>
          </w:p>
        </w:tc>
        <w:tc>
          <w:tcPr>
            <w:tcW w:w="1738" w:type="dxa"/>
            <w:tcBorders>
              <w:top w:val="single" w:color="auto" w:sz="4" w:space="0"/>
              <w:left w:val="single" w:color="auto" w:sz="4" w:space="0"/>
              <w:bottom w:val="single" w:color="auto" w:sz="4" w:space="0"/>
              <w:right w:val="single" w:color="auto" w:sz="4" w:space="0"/>
            </w:tcBorders>
            <w:vAlign w:val="center"/>
          </w:tcPr>
          <w:p w14:paraId="33C84971">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w:t>
            </w:r>
          </w:p>
        </w:tc>
        <w:tc>
          <w:tcPr>
            <w:tcW w:w="1733" w:type="dxa"/>
            <w:tcBorders>
              <w:top w:val="single" w:color="auto" w:sz="4" w:space="0"/>
              <w:left w:val="single" w:color="auto" w:sz="4" w:space="0"/>
              <w:bottom w:val="single" w:color="auto" w:sz="4" w:space="0"/>
              <w:right w:val="single" w:color="auto" w:sz="4" w:space="0"/>
            </w:tcBorders>
            <w:vAlign w:val="center"/>
          </w:tcPr>
          <w:p w14:paraId="25B64FC4">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36.8</w:t>
            </w:r>
          </w:p>
        </w:tc>
        <w:tc>
          <w:tcPr>
            <w:tcW w:w="1769" w:type="dxa"/>
            <w:tcBorders>
              <w:top w:val="single" w:color="auto" w:sz="4" w:space="0"/>
              <w:left w:val="single" w:color="auto" w:sz="4" w:space="0"/>
              <w:bottom w:val="single" w:color="auto" w:sz="4" w:space="0"/>
              <w:right w:val="single" w:color="auto" w:sz="4" w:space="0"/>
            </w:tcBorders>
            <w:vAlign w:val="center"/>
          </w:tcPr>
          <w:p w14:paraId="5E1ED244">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预期性</w:t>
            </w:r>
          </w:p>
        </w:tc>
      </w:tr>
      <w:tr w14:paraId="766011D1">
        <w:tblPrEx>
          <w:tblCellMar>
            <w:top w:w="0" w:type="dxa"/>
            <w:left w:w="108" w:type="dxa"/>
            <w:bottom w:w="0" w:type="dxa"/>
            <w:right w:w="108" w:type="dxa"/>
          </w:tblCellMar>
        </w:tblPrEx>
        <w:trPr>
          <w:trHeight w:val="1122"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77B5AA0F">
            <w:pPr>
              <w:widowControl/>
              <w:spacing w:line="240" w:lineRule="atLeast"/>
              <w:ind w:firstLine="0" w:firstLineChars="0"/>
              <w:jc w:val="center"/>
              <w:textAlignment w:val="center"/>
              <w:rPr>
                <w:rFonts w:hint="eastAsia" w:hAnsi="宋体" w:cs="仿宋_GB2312"/>
                <w:sz w:val="22"/>
                <w:szCs w:val="22"/>
                <w:highlight w:val="none"/>
              </w:rPr>
            </w:pPr>
            <w:r>
              <w:rPr>
                <w:rFonts w:hint="eastAsia" w:hAnsi="宋体" w:cs="仿宋_GB2312"/>
                <w:kern w:val="0"/>
                <w:sz w:val="22"/>
                <w:szCs w:val="22"/>
                <w:highlight w:val="none"/>
                <w:lang w:bidi="ar"/>
              </w:rPr>
              <w:t>4</w:t>
            </w:r>
          </w:p>
        </w:tc>
        <w:tc>
          <w:tcPr>
            <w:tcW w:w="2596" w:type="dxa"/>
            <w:tcBorders>
              <w:top w:val="single" w:color="auto" w:sz="4" w:space="0"/>
              <w:left w:val="single" w:color="auto" w:sz="4" w:space="0"/>
              <w:bottom w:val="single" w:color="auto" w:sz="4" w:space="0"/>
              <w:right w:val="single" w:color="auto" w:sz="4" w:space="0"/>
            </w:tcBorders>
            <w:vAlign w:val="center"/>
          </w:tcPr>
          <w:p w14:paraId="0F4A09BF">
            <w:pPr>
              <w:widowControl/>
              <w:spacing w:line="240" w:lineRule="atLeast"/>
              <w:ind w:firstLine="0" w:firstLineChars="0"/>
              <w:jc w:val="left"/>
              <w:textAlignment w:val="center"/>
              <w:rPr>
                <w:rFonts w:hint="eastAsia" w:hAnsi="宋体" w:cs="仿宋_GB2312"/>
                <w:strike/>
                <w:sz w:val="22"/>
                <w:szCs w:val="22"/>
                <w:highlight w:val="none"/>
              </w:rPr>
            </w:pPr>
            <w:r>
              <w:rPr>
                <w:rFonts w:hint="eastAsia" w:hAnsi="宋体" w:cs="仿宋_GB2312"/>
                <w:sz w:val="22"/>
                <w:szCs w:val="22"/>
                <w:highlight w:val="none"/>
              </w:rPr>
              <w:t>供水能力</w:t>
            </w:r>
          </w:p>
        </w:tc>
        <w:tc>
          <w:tcPr>
            <w:tcW w:w="1738" w:type="dxa"/>
            <w:tcBorders>
              <w:top w:val="single" w:color="auto" w:sz="4" w:space="0"/>
              <w:left w:val="single" w:color="auto" w:sz="4" w:space="0"/>
              <w:bottom w:val="single" w:color="auto" w:sz="4" w:space="0"/>
              <w:right w:val="single" w:color="auto" w:sz="4" w:space="0"/>
            </w:tcBorders>
            <w:vAlign w:val="center"/>
          </w:tcPr>
          <w:p w14:paraId="2664A773">
            <w:pPr>
              <w:widowControl/>
              <w:spacing w:line="240" w:lineRule="atLeast"/>
              <w:ind w:firstLine="0" w:firstLineChars="0"/>
              <w:jc w:val="center"/>
              <w:textAlignment w:val="center"/>
              <w:rPr>
                <w:rFonts w:hint="eastAsia" w:hAnsi="宋体" w:cs="仿宋_GB2312"/>
                <w:sz w:val="22"/>
                <w:szCs w:val="22"/>
                <w:highlight w:val="none"/>
              </w:rPr>
            </w:pPr>
            <w:r>
              <w:rPr>
                <w:rFonts w:hint="eastAsia" w:hAnsi="宋体" w:cs="仿宋_GB2312"/>
                <w:sz w:val="22"/>
                <w:szCs w:val="22"/>
                <w:highlight w:val="none"/>
              </w:rPr>
              <w:t>万立方米/日</w:t>
            </w:r>
          </w:p>
        </w:tc>
        <w:tc>
          <w:tcPr>
            <w:tcW w:w="1733" w:type="dxa"/>
            <w:tcBorders>
              <w:top w:val="single" w:color="auto" w:sz="4" w:space="0"/>
              <w:left w:val="single" w:color="auto" w:sz="4" w:space="0"/>
              <w:bottom w:val="single" w:color="auto" w:sz="4" w:space="0"/>
              <w:right w:val="single" w:color="auto" w:sz="4" w:space="0"/>
            </w:tcBorders>
            <w:noWrap/>
            <w:vAlign w:val="center"/>
          </w:tcPr>
          <w:p w14:paraId="7E78B00E">
            <w:pPr>
              <w:widowControl/>
              <w:spacing w:line="240" w:lineRule="atLeast"/>
              <w:ind w:firstLine="0" w:firstLineChars="0"/>
              <w:jc w:val="center"/>
              <w:textAlignment w:val="center"/>
              <w:rPr>
                <w:rFonts w:hint="eastAsia" w:hAnsi="宋体" w:cs="仿宋_GB2312"/>
                <w:sz w:val="22"/>
                <w:szCs w:val="22"/>
                <w:highlight w:val="none"/>
              </w:rPr>
            </w:pPr>
            <w:r>
              <w:rPr>
                <w:rFonts w:hint="eastAsia" w:hAnsi="宋体" w:cs="仿宋_GB2312"/>
                <w:kern w:val="0"/>
                <w:sz w:val="22"/>
                <w:szCs w:val="22"/>
                <w:highlight w:val="none"/>
                <w:lang w:bidi="ar"/>
              </w:rPr>
              <w:t>21.35</w:t>
            </w:r>
          </w:p>
        </w:tc>
        <w:tc>
          <w:tcPr>
            <w:tcW w:w="1769" w:type="dxa"/>
            <w:tcBorders>
              <w:top w:val="single" w:color="auto" w:sz="4" w:space="0"/>
              <w:left w:val="single" w:color="auto" w:sz="4" w:space="0"/>
              <w:bottom w:val="single" w:color="auto" w:sz="4" w:space="0"/>
              <w:right w:val="single" w:color="auto" w:sz="4" w:space="0"/>
            </w:tcBorders>
            <w:vAlign w:val="center"/>
          </w:tcPr>
          <w:p w14:paraId="7706FBA6">
            <w:pPr>
              <w:widowControl/>
              <w:spacing w:line="240" w:lineRule="atLeast"/>
              <w:ind w:firstLine="0" w:firstLineChars="0"/>
              <w:jc w:val="center"/>
              <w:textAlignment w:val="center"/>
              <w:rPr>
                <w:rFonts w:hint="eastAsia" w:hAnsi="宋体" w:cs="仿宋_GB2312"/>
                <w:sz w:val="22"/>
                <w:szCs w:val="22"/>
                <w:highlight w:val="none"/>
              </w:rPr>
            </w:pPr>
            <w:r>
              <w:rPr>
                <w:rFonts w:hint="eastAsia" w:hAnsi="宋体" w:cs="仿宋_GB2312"/>
                <w:kern w:val="0"/>
                <w:sz w:val="22"/>
                <w:szCs w:val="22"/>
                <w:highlight w:val="none"/>
                <w:lang w:bidi="ar"/>
              </w:rPr>
              <w:t>预期性</w:t>
            </w:r>
          </w:p>
        </w:tc>
      </w:tr>
      <w:tr w14:paraId="36E90201">
        <w:tblPrEx>
          <w:tblCellMar>
            <w:top w:w="0" w:type="dxa"/>
            <w:left w:w="108" w:type="dxa"/>
            <w:bottom w:w="0" w:type="dxa"/>
            <w:right w:w="108" w:type="dxa"/>
          </w:tblCellMar>
        </w:tblPrEx>
        <w:trPr>
          <w:trHeight w:val="1122"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5E987EE7">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5</w:t>
            </w:r>
          </w:p>
        </w:tc>
        <w:tc>
          <w:tcPr>
            <w:tcW w:w="2596" w:type="dxa"/>
            <w:tcBorders>
              <w:top w:val="single" w:color="auto" w:sz="4" w:space="0"/>
              <w:left w:val="single" w:color="auto" w:sz="4" w:space="0"/>
              <w:bottom w:val="single" w:color="auto" w:sz="4" w:space="0"/>
              <w:right w:val="single" w:color="auto" w:sz="4" w:space="0"/>
            </w:tcBorders>
            <w:vAlign w:val="center"/>
          </w:tcPr>
          <w:p w14:paraId="1B49470D">
            <w:pPr>
              <w:widowControl/>
              <w:spacing w:line="240" w:lineRule="atLeast"/>
              <w:ind w:firstLine="0" w:firstLineChars="0"/>
              <w:jc w:val="left"/>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养老机构护理型床位占比</w:t>
            </w:r>
          </w:p>
        </w:tc>
        <w:tc>
          <w:tcPr>
            <w:tcW w:w="1738" w:type="dxa"/>
            <w:tcBorders>
              <w:top w:val="single" w:color="auto" w:sz="4" w:space="0"/>
              <w:left w:val="single" w:color="auto" w:sz="4" w:space="0"/>
              <w:bottom w:val="single" w:color="auto" w:sz="4" w:space="0"/>
              <w:right w:val="single" w:color="auto" w:sz="4" w:space="0"/>
            </w:tcBorders>
            <w:vAlign w:val="center"/>
          </w:tcPr>
          <w:p w14:paraId="65377D1C">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w:t>
            </w:r>
          </w:p>
        </w:tc>
        <w:tc>
          <w:tcPr>
            <w:tcW w:w="1733" w:type="dxa"/>
            <w:tcBorders>
              <w:top w:val="single" w:color="auto" w:sz="4" w:space="0"/>
              <w:left w:val="single" w:color="auto" w:sz="4" w:space="0"/>
              <w:bottom w:val="single" w:color="auto" w:sz="4" w:space="0"/>
              <w:right w:val="single" w:color="auto" w:sz="4" w:space="0"/>
            </w:tcBorders>
            <w:vAlign w:val="center"/>
          </w:tcPr>
          <w:p w14:paraId="1CC78EA4">
            <w:pPr>
              <w:widowControl/>
              <w:spacing w:line="240" w:lineRule="atLeast"/>
              <w:ind w:firstLine="0" w:firstLineChars="0"/>
              <w:jc w:val="center"/>
              <w:textAlignment w:val="center"/>
              <w:rPr>
                <w:rFonts w:hint="default" w:hAnsi="宋体" w:eastAsia="仿宋_GB2312" w:cs="仿宋_GB2312"/>
                <w:color w:val="000000"/>
                <w:sz w:val="22"/>
                <w:szCs w:val="22"/>
                <w:highlight w:val="none"/>
                <w:lang w:val="en-US" w:eastAsia="zh-CN"/>
              </w:rPr>
            </w:pPr>
            <w:r>
              <w:rPr>
                <w:rFonts w:hint="default" w:hAnsi="宋体" w:cs="仿宋_GB2312"/>
                <w:color w:val="auto"/>
                <w:kern w:val="0"/>
                <w:sz w:val="22"/>
                <w:szCs w:val="22"/>
                <w:highlight w:val="none"/>
                <w:lang w:val="en-US" w:bidi="ar"/>
              </w:rPr>
              <w:t>73</w:t>
            </w:r>
          </w:p>
        </w:tc>
        <w:tc>
          <w:tcPr>
            <w:tcW w:w="1769" w:type="dxa"/>
            <w:tcBorders>
              <w:top w:val="single" w:color="auto" w:sz="4" w:space="0"/>
              <w:left w:val="single" w:color="auto" w:sz="4" w:space="0"/>
              <w:bottom w:val="single" w:color="auto" w:sz="4" w:space="0"/>
              <w:right w:val="single" w:color="auto" w:sz="4" w:space="0"/>
            </w:tcBorders>
            <w:vAlign w:val="center"/>
          </w:tcPr>
          <w:p w14:paraId="2EB7D989">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预期性</w:t>
            </w:r>
          </w:p>
        </w:tc>
      </w:tr>
      <w:tr w14:paraId="7F315A5E">
        <w:tblPrEx>
          <w:tblCellMar>
            <w:top w:w="0" w:type="dxa"/>
            <w:left w:w="108" w:type="dxa"/>
            <w:bottom w:w="0" w:type="dxa"/>
            <w:right w:w="108" w:type="dxa"/>
          </w:tblCellMar>
        </w:tblPrEx>
        <w:trPr>
          <w:trHeight w:val="685"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23FEC358">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6</w:t>
            </w:r>
          </w:p>
        </w:tc>
        <w:tc>
          <w:tcPr>
            <w:tcW w:w="2596" w:type="dxa"/>
            <w:tcBorders>
              <w:top w:val="single" w:color="auto" w:sz="4" w:space="0"/>
              <w:left w:val="single" w:color="auto" w:sz="4" w:space="0"/>
              <w:bottom w:val="single" w:color="auto" w:sz="4" w:space="0"/>
              <w:right w:val="single" w:color="auto" w:sz="4" w:space="0"/>
            </w:tcBorders>
            <w:vAlign w:val="center"/>
          </w:tcPr>
          <w:p w14:paraId="7F98DEC8">
            <w:pPr>
              <w:widowControl/>
              <w:spacing w:line="240" w:lineRule="atLeast"/>
              <w:ind w:firstLine="0" w:firstLineChars="0"/>
              <w:jc w:val="left"/>
              <w:textAlignment w:val="center"/>
              <w:rPr>
                <w:rFonts w:hint="eastAsia" w:hAnsi="宋体" w:cs="仿宋_GB2312"/>
                <w:color w:val="000000"/>
                <w:sz w:val="22"/>
                <w:szCs w:val="22"/>
                <w:highlight w:val="none"/>
              </w:rPr>
            </w:pPr>
            <w:r>
              <w:rPr>
                <w:rFonts w:hint="eastAsia" w:hAnsi="宋体" w:cs="仿宋_GB2312"/>
                <w:color w:val="000000"/>
                <w:sz w:val="22"/>
                <w:szCs w:val="22"/>
                <w:highlight w:val="none"/>
              </w:rPr>
              <w:t>永久基本农田保有率</w:t>
            </w:r>
          </w:p>
        </w:tc>
        <w:tc>
          <w:tcPr>
            <w:tcW w:w="1738" w:type="dxa"/>
            <w:tcBorders>
              <w:top w:val="single" w:color="auto" w:sz="4" w:space="0"/>
              <w:left w:val="single" w:color="auto" w:sz="4" w:space="0"/>
              <w:bottom w:val="single" w:color="auto" w:sz="4" w:space="0"/>
              <w:right w:val="single" w:color="auto" w:sz="4" w:space="0"/>
            </w:tcBorders>
            <w:vAlign w:val="center"/>
          </w:tcPr>
          <w:p w14:paraId="26A79A5D">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sz w:val="22"/>
                <w:szCs w:val="22"/>
                <w:highlight w:val="none"/>
              </w:rPr>
              <w:t>%</w:t>
            </w:r>
          </w:p>
        </w:tc>
        <w:tc>
          <w:tcPr>
            <w:tcW w:w="1733" w:type="dxa"/>
            <w:tcBorders>
              <w:top w:val="single" w:color="auto" w:sz="4" w:space="0"/>
              <w:left w:val="single" w:color="auto" w:sz="4" w:space="0"/>
              <w:bottom w:val="single" w:color="auto" w:sz="4" w:space="0"/>
              <w:right w:val="single" w:color="auto" w:sz="4" w:space="0"/>
            </w:tcBorders>
            <w:vAlign w:val="center"/>
          </w:tcPr>
          <w:p w14:paraId="06D9B76F">
            <w:pPr>
              <w:widowControl/>
              <w:spacing w:line="240" w:lineRule="atLeast"/>
              <w:ind w:firstLine="0" w:firstLineChars="0"/>
              <w:jc w:val="center"/>
              <w:textAlignment w:val="center"/>
              <w:rPr>
                <w:rFonts w:hint="default" w:hAnsi="宋体" w:eastAsia="仿宋_GB2312" w:cs="仿宋_GB2312"/>
                <w:color w:val="000000"/>
                <w:sz w:val="22"/>
                <w:szCs w:val="22"/>
                <w:highlight w:val="none"/>
                <w:lang w:val="en-US" w:eastAsia="zh-CN"/>
              </w:rPr>
            </w:pPr>
            <w:r>
              <w:rPr>
                <w:rFonts w:hint="eastAsia" w:hAnsi="宋体" w:cs="仿宋_GB2312"/>
                <w:color w:val="000000"/>
                <w:sz w:val="22"/>
                <w:szCs w:val="22"/>
                <w:highlight w:val="none"/>
                <w:lang w:val="en-US" w:eastAsia="zh-CN"/>
              </w:rPr>
              <w:t>89</w:t>
            </w:r>
          </w:p>
        </w:tc>
        <w:tc>
          <w:tcPr>
            <w:tcW w:w="1769" w:type="dxa"/>
            <w:tcBorders>
              <w:top w:val="single" w:color="auto" w:sz="4" w:space="0"/>
              <w:left w:val="single" w:color="auto" w:sz="4" w:space="0"/>
              <w:bottom w:val="single" w:color="auto" w:sz="4" w:space="0"/>
              <w:right w:val="single" w:color="auto" w:sz="4" w:space="0"/>
            </w:tcBorders>
            <w:vAlign w:val="center"/>
          </w:tcPr>
          <w:p w14:paraId="695EC209">
            <w:pPr>
              <w:widowControl/>
              <w:spacing w:line="240" w:lineRule="atLeast"/>
              <w:ind w:firstLine="0" w:firstLineChars="0"/>
              <w:jc w:val="center"/>
              <w:textAlignment w:val="center"/>
              <w:rPr>
                <w:rFonts w:hint="eastAsia" w:hAnsi="宋体" w:cs="仿宋_GB2312"/>
                <w:color w:val="000000"/>
                <w:sz w:val="22"/>
                <w:szCs w:val="22"/>
                <w:highlight w:val="none"/>
              </w:rPr>
            </w:pPr>
            <w:r>
              <w:rPr>
                <w:rFonts w:hint="eastAsia" w:hAnsi="宋体" w:cs="仿宋_GB2312"/>
                <w:color w:val="000000"/>
                <w:kern w:val="0"/>
                <w:sz w:val="22"/>
                <w:szCs w:val="22"/>
                <w:highlight w:val="none"/>
                <w:lang w:bidi="ar"/>
              </w:rPr>
              <w:t>预期性</w:t>
            </w:r>
          </w:p>
        </w:tc>
      </w:tr>
      <w:tr w14:paraId="5BCD8A6E">
        <w:tblPrEx>
          <w:tblCellMar>
            <w:top w:w="0" w:type="dxa"/>
            <w:left w:w="108" w:type="dxa"/>
            <w:bottom w:w="0" w:type="dxa"/>
            <w:right w:w="108" w:type="dxa"/>
          </w:tblCellMar>
        </w:tblPrEx>
        <w:trPr>
          <w:trHeight w:val="723"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2364BFA9">
            <w:pPr>
              <w:widowControl/>
              <w:spacing w:line="240" w:lineRule="atLeast"/>
              <w:ind w:firstLine="0" w:firstLineChars="0"/>
              <w:jc w:val="center"/>
              <w:textAlignment w:val="center"/>
              <w:rPr>
                <w:rFonts w:hint="eastAsia" w:hAnsi="宋体" w:cs="仿宋_GB2312"/>
                <w:color w:val="000000"/>
                <w:kern w:val="0"/>
                <w:sz w:val="22"/>
                <w:szCs w:val="22"/>
                <w:highlight w:val="none"/>
                <w:lang w:bidi="ar"/>
              </w:rPr>
            </w:pPr>
            <w:r>
              <w:rPr>
                <w:rFonts w:hint="eastAsia" w:hAnsi="宋体" w:cs="仿宋_GB2312"/>
                <w:color w:val="000000"/>
                <w:kern w:val="0"/>
                <w:sz w:val="22"/>
                <w:szCs w:val="22"/>
                <w:highlight w:val="none"/>
                <w:lang w:bidi="ar"/>
              </w:rPr>
              <w:t>7</w:t>
            </w:r>
          </w:p>
        </w:tc>
        <w:tc>
          <w:tcPr>
            <w:tcW w:w="2596" w:type="dxa"/>
            <w:tcBorders>
              <w:top w:val="single" w:color="auto" w:sz="4" w:space="0"/>
              <w:left w:val="single" w:color="auto" w:sz="4" w:space="0"/>
              <w:bottom w:val="single" w:color="auto" w:sz="4" w:space="0"/>
              <w:right w:val="single" w:color="auto" w:sz="4" w:space="0"/>
            </w:tcBorders>
            <w:vAlign w:val="center"/>
          </w:tcPr>
          <w:p w14:paraId="6B198571">
            <w:pPr>
              <w:widowControl/>
              <w:spacing w:line="240" w:lineRule="atLeast"/>
              <w:ind w:firstLine="0" w:firstLineChars="0"/>
              <w:jc w:val="left"/>
              <w:textAlignment w:val="center"/>
              <w:rPr>
                <w:rFonts w:hint="eastAsia" w:hAnsi="宋体" w:cs="仿宋_GB2312"/>
                <w:color w:val="000000"/>
                <w:kern w:val="0"/>
                <w:sz w:val="22"/>
                <w:szCs w:val="22"/>
                <w:highlight w:val="none"/>
                <w:lang w:bidi="ar"/>
              </w:rPr>
            </w:pPr>
            <w:r>
              <w:rPr>
                <w:rFonts w:hint="eastAsia" w:hAnsi="宋体" w:cs="仿宋_GB2312"/>
                <w:color w:val="000000"/>
                <w:kern w:val="0"/>
                <w:sz w:val="22"/>
                <w:szCs w:val="22"/>
                <w:highlight w:val="none"/>
                <w:lang w:bidi="ar"/>
              </w:rPr>
              <w:t>生活垃圾回收利用率</w:t>
            </w:r>
          </w:p>
        </w:tc>
        <w:tc>
          <w:tcPr>
            <w:tcW w:w="1738" w:type="dxa"/>
            <w:tcBorders>
              <w:top w:val="single" w:color="auto" w:sz="4" w:space="0"/>
              <w:left w:val="single" w:color="auto" w:sz="4" w:space="0"/>
              <w:bottom w:val="single" w:color="auto" w:sz="4" w:space="0"/>
              <w:right w:val="single" w:color="auto" w:sz="4" w:space="0"/>
            </w:tcBorders>
            <w:vAlign w:val="center"/>
          </w:tcPr>
          <w:p w14:paraId="4D213217">
            <w:pPr>
              <w:widowControl/>
              <w:spacing w:line="240" w:lineRule="atLeast"/>
              <w:ind w:firstLine="0" w:firstLineChars="0"/>
              <w:jc w:val="center"/>
              <w:textAlignment w:val="center"/>
              <w:rPr>
                <w:rFonts w:hint="eastAsia" w:hAnsi="宋体" w:cs="仿宋_GB2312"/>
                <w:color w:val="000000"/>
                <w:kern w:val="0"/>
                <w:sz w:val="22"/>
                <w:szCs w:val="22"/>
                <w:highlight w:val="none"/>
                <w:lang w:bidi="ar"/>
              </w:rPr>
            </w:pPr>
            <w:r>
              <w:rPr>
                <w:rFonts w:hint="eastAsia" w:hAnsi="宋体" w:cs="仿宋_GB2312"/>
                <w:color w:val="000000"/>
                <w:kern w:val="0"/>
                <w:sz w:val="22"/>
                <w:szCs w:val="22"/>
                <w:highlight w:val="none"/>
                <w:lang w:bidi="ar"/>
              </w:rPr>
              <w:t>%</w:t>
            </w:r>
          </w:p>
        </w:tc>
        <w:tc>
          <w:tcPr>
            <w:tcW w:w="1733" w:type="dxa"/>
            <w:tcBorders>
              <w:top w:val="single" w:color="auto" w:sz="4" w:space="0"/>
              <w:left w:val="single" w:color="auto" w:sz="4" w:space="0"/>
              <w:bottom w:val="single" w:color="auto" w:sz="4" w:space="0"/>
              <w:right w:val="single" w:color="auto" w:sz="4" w:space="0"/>
            </w:tcBorders>
            <w:vAlign w:val="center"/>
          </w:tcPr>
          <w:p w14:paraId="0D8B87E2">
            <w:pPr>
              <w:widowControl/>
              <w:spacing w:line="240" w:lineRule="atLeast"/>
              <w:ind w:firstLine="0" w:firstLineChars="0"/>
              <w:jc w:val="center"/>
              <w:textAlignment w:val="center"/>
              <w:rPr>
                <w:rFonts w:hint="eastAsia" w:hAnsi="宋体" w:cs="仿宋_GB2312"/>
                <w:color w:val="000000"/>
                <w:kern w:val="0"/>
                <w:sz w:val="22"/>
                <w:szCs w:val="22"/>
                <w:highlight w:val="none"/>
                <w:lang w:bidi="ar"/>
              </w:rPr>
            </w:pPr>
            <w:r>
              <w:rPr>
                <w:rFonts w:hint="eastAsia" w:hAnsi="宋体" w:cs="仿宋_GB2312"/>
                <w:color w:val="000000"/>
                <w:kern w:val="0"/>
                <w:sz w:val="21"/>
                <w:szCs w:val="21"/>
                <w:highlight w:val="none"/>
                <w:lang w:bidi="ar"/>
              </w:rPr>
              <w:t>&gt;46</w:t>
            </w:r>
          </w:p>
        </w:tc>
        <w:tc>
          <w:tcPr>
            <w:tcW w:w="1769" w:type="dxa"/>
            <w:tcBorders>
              <w:top w:val="single" w:color="auto" w:sz="4" w:space="0"/>
              <w:left w:val="single" w:color="auto" w:sz="4" w:space="0"/>
              <w:bottom w:val="single" w:color="auto" w:sz="4" w:space="0"/>
              <w:right w:val="single" w:color="auto" w:sz="4" w:space="0"/>
            </w:tcBorders>
            <w:vAlign w:val="center"/>
          </w:tcPr>
          <w:p w14:paraId="3CE88F51">
            <w:pPr>
              <w:widowControl/>
              <w:spacing w:line="240" w:lineRule="atLeast"/>
              <w:ind w:firstLine="0" w:firstLineChars="0"/>
              <w:jc w:val="center"/>
              <w:textAlignment w:val="center"/>
              <w:rPr>
                <w:rFonts w:hint="eastAsia" w:hAnsi="宋体" w:cs="仿宋_GB2312"/>
                <w:color w:val="000000"/>
                <w:kern w:val="0"/>
                <w:sz w:val="22"/>
                <w:szCs w:val="22"/>
                <w:highlight w:val="none"/>
                <w:lang w:bidi="ar"/>
              </w:rPr>
            </w:pPr>
            <w:r>
              <w:rPr>
                <w:rFonts w:hint="eastAsia" w:hAnsi="宋体" w:cs="仿宋_GB2312"/>
                <w:kern w:val="0"/>
                <w:sz w:val="22"/>
                <w:szCs w:val="22"/>
                <w:highlight w:val="none"/>
                <w:lang w:bidi="ar"/>
              </w:rPr>
              <w:t>约束性</w:t>
            </w:r>
          </w:p>
        </w:tc>
      </w:tr>
      <w:tr w14:paraId="684FF788">
        <w:tblPrEx>
          <w:tblCellMar>
            <w:top w:w="0" w:type="dxa"/>
            <w:left w:w="108" w:type="dxa"/>
            <w:bottom w:w="0" w:type="dxa"/>
            <w:right w:w="108" w:type="dxa"/>
          </w:tblCellMar>
        </w:tblPrEx>
        <w:trPr>
          <w:trHeight w:val="900"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77447699">
            <w:pPr>
              <w:widowControl/>
              <w:spacing w:line="240" w:lineRule="atLeast"/>
              <w:ind w:firstLine="0" w:firstLineChars="0"/>
              <w:jc w:val="center"/>
              <w:textAlignment w:val="center"/>
              <w:rPr>
                <w:rFonts w:hint="eastAsia" w:hAnsi="宋体" w:cs="仿宋_GB2312"/>
                <w:kern w:val="0"/>
                <w:sz w:val="22"/>
                <w:szCs w:val="22"/>
                <w:highlight w:val="none"/>
                <w:lang w:bidi="ar"/>
              </w:rPr>
            </w:pPr>
            <w:r>
              <w:rPr>
                <w:rFonts w:hint="eastAsia" w:hAnsi="宋体" w:cs="仿宋_GB2312"/>
                <w:kern w:val="0"/>
                <w:sz w:val="22"/>
                <w:szCs w:val="22"/>
                <w:highlight w:val="none"/>
                <w:lang w:bidi="ar"/>
              </w:rPr>
              <w:t>8</w:t>
            </w:r>
          </w:p>
        </w:tc>
        <w:tc>
          <w:tcPr>
            <w:tcW w:w="2596" w:type="dxa"/>
            <w:tcBorders>
              <w:top w:val="single" w:color="auto" w:sz="4" w:space="0"/>
              <w:left w:val="single" w:color="auto" w:sz="4" w:space="0"/>
              <w:bottom w:val="single" w:color="auto" w:sz="4" w:space="0"/>
              <w:right w:val="single" w:color="auto" w:sz="4" w:space="0"/>
            </w:tcBorders>
            <w:vAlign w:val="center"/>
          </w:tcPr>
          <w:p w14:paraId="1886C737">
            <w:pPr>
              <w:widowControl/>
              <w:spacing w:line="240" w:lineRule="atLeast"/>
              <w:ind w:firstLine="0" w:firstLineChars="0"/>
              <w:jc w:val="left"/>
              <w:textAlignment w:val="center"/>
              <w:rPr>
                <w:rFonts w:hint="eastAsia" w:hAnsi="宋体" w:cs="仿宋_GB2312"/>
                <w:strike/>
                <w:kern w:val="0"/>
                <w:sz w:val="22"/>
                <w:szCs w:val="22"/>
                <w:highlight w:val="none"/>
                <w:lang w:bidi="ar"/>
              </w:rPr>
            </w:pPr>
            <w:r>
              <w:rPr>
                <w:rFonts w:hint="eastAsia" w:hAnsi="宋体" w:cs="仿宋_GB2312"/>
                <w:kern w:val="0"/>
                <w:sz w:val="22"/>
                <w:szCs w:val="22"/>
                <w:highlight w:val="none"/>
                <w:lang w:bidi="ar"/>
              </w:rPr>
              <w:t>市级绿道长度</w:t>
            </w:r>
          </w:p>
        </w:tc>
        <w:tc>
          <w:tcPr>
            <w:tcW w:w="1738" w:type="dxa"/>
            <w:tcBorders>
              <w:top w:val="single" w:color="auto" w:sz="4" w:space="0"/>
              <w:left w:val="single" w:color="auto" w:sz="4" w:space="0"/>
              <w:bottom w:val="single" w:color="auto" w:sz="4" w:space="0"/>
              <w:right w:val="single" w:color="auto" w:sz="4" w:space="0"/>
            </w:tcBorders>
            <w:vAlign w:val="center"/>
          </w:tcPr>
          <w:p w14:paraId="059557BC">
            <w:pPr>
              <w:widowControl/>
              <w:spacing w:line="240" w:lineRule="atLeast"/>
              <w:ind w:firstLine="0" w:firstLineChars="0"/>
              <w:jc w:val="center"/>
              <w:textAlignment w:val="center"/>
              <w:rPr>
                <w:rFonts w:hint="eastAsia" w:hAnsi="宋体" w:cs="仿宋_GB2312"/>
                <w:kern w:val="0"/>
                <w:sz w:val="22"/>
                <w:szCs w:val="22"/>
                <w:highlight w:val="none"/>
                <w:lang w:bidi="ar"/>
              </w:rPr>
            </w:pPr>
            <w:r>
              <w:rPr>
                <w:rFonts w:hint="eastAsia" w:hAnsi="宋体" w:cs="仿宋_GB2312"/>
                <w:kern w:val="0"/>
                <w:sz w:val="22"/>
                <w:szCs w:val="22"/>
                <w:highlight w:val="none"/>
                <w:lang w:bidi="ar"/>
              </w:rPr>
              <w:t>公里</w:t>
            </w:r>
          </w:p>
        </w:tc>
        <w:tc>
          <w:tcPr>
            <w:tcW w:w="1733" w:type="dxa"/>
            <w:tcBorders>
              <w:top w:val="single" w:color="auto" w:sz="4" w:space="0"/>
              <w:left w:val="single" w:color="auto" w:sz="4" w:space="0"/>
              <w:bottom w:val="single" w:color="auto" w:sz="4" w:space="0"/>
              <w:right w:val="single" w:color="auto" w:sz="4" w:space="0"/>
            </w:tcBorders>
            <w:vAlign w:val="center"/>
          </w:tcPr>
          <w:p w14:paraId="4D53771A">
            <w:pPr>
              <w:widowControl/>
              <w:spacing w:line="240" w:lineRule="atLeast"/>
              <w:ind w:firstLine="0" w:firstLineChars="0"/>
              <w:jc w:val="center"/>
              <w:textAlignment w:val="center"/>
              <w:rPr>
                <w:rFonts w:hint="default" w:hAnsi="宋体" w:eastAsia="仿宋_GB2312" w:cs="仿宋_GB2312"/>
                <w:kern w:val="0"/>
                <w:sz w:val="22"/>
                <w:szCs w:val="22"/>
                <w:highlight w:val="none"/>
                <w:lang w:val="en-US" w:eastAsia="zh-CN" w:bidi="ar"/>
              </w:rPr>
            </w:pPr>
            <w:r>
              <w:rPr>
                <w:rFonts w:hint="eastAsia" w:hAnsi="宋体" w:cs="仿宋_GB2312"/>
                <w:kern w:val="0"/>
                <w:sz w:val="22"/>
                <w:szCs w:val="22"/>
                <w:highlight w:val="none"/>
                <w:lang w:val="en-US" w:eastAsia="zh-CN" w:bidi="ar"/>
              </w:rPr>
              <w:t>123.59</w:t>
            </w:r>
          </w:p>
        </w:tc>
        <w:tc>
          <w:tcPr>
            <w:tcW w:w="1769" w:type="dxa"/>
            <w:tcBorders>
              <w:top w:val="single" w:color="auto" w:sz="4" w:space="0"/>
              <w:left w:val="single" w:color="auto" w:sz="4" w:space="0"/>
              <w:bottom w:val="single" w:color="auto" w:sz="4" w:space="0"/>
              <w:right w:val="single" w:color="auto" w:sz="4" w:space="0"/>
            </w:tcBorders>
            <w:vAlign w:val="center"/>
          </w:tcPr>
          <w:p w14:paraId="160CF5F1">
            <w:pPr>
              <w:widowControl/>
              <w:spacing w:line="240" w:lineRule="atLeast"/>
              <w:ind w:firstLine="0" w:firstLineChars="0"/>
              <w:jc w:val="center"/>
              <w:textAlignment w:val="center"/>
              <w:rPr>
                <w:rFonts w:hint="eastAsia" w:hAnsi="宋体" w:eastAsia="仿宋_GB2312" w:cs="仿宋_GB2312"/>
                <w:kern w:val="0"/>
                <w:sz w:val="22"/>
                <w:szCs w:val="22"/>
                <w:highlight w:val="none"/>
                <w:lang w:eastAsia="zh-CN" w:bidi="ar"/>
              </w:rPr>
            </w:pPr>
            <w:r>
              <w:rPr>
                <w:rFonts w:hint="eastAsia" w:hAnsi="宋体" w:cs="仿宋_GB2312"/>
                <w:kern w:val="0"/>
                <w:sz w:val="22"/>
                <w:szCs w:val="22"/>
                <w:highlight w:val="none"/>
                <w:lang w:val="en-US" w:eastAsia="zh-CN" w:bidi="ar"/>
              </w:rPr>
              <w:t>预期性</w:t>
            </w:r>
          </w:p>
        </w:tc>
      </w:tr>
    </w:tbl>
    <w:p w14:paraId="5ED7FB44">
      <w:pPr>
        <w:ind w:firstLine="0" w:firstLineChars="0"/>
        <w:rPr>
          <w:rFonts w:hint="eastAsia"/>
          <w:highlight w:val="none"/>
        </w:rPr>
      </w:pPr>
      <w:r>
        <w:rPr>
          <w:rFonts w:hint="eastAsia"/>
          <w:highlight w:val="none"/>
        </w:rPr>
        <w:br w:type="page"/>
      </w:r>
    </w:p>
    <w:bookmarkEnd w:id="141"/>
    <w:bookmarkEnd w:id="142"/>
    <w:bookmarkEnd w:id="143"/>
    <w:bookmarkEnd w:id="144"/>
    <w:bookmarkEnd w:id="145"/>
    <w:bookmarkEnd w:id="146"/>
    <w:bookmarkEnd w:id="147"/>
    <w:bookmarkEnd w:id="148"/>
    <w:bookmarkEnd w:id="149"/>
    <w:p w14:paraId="1ECF37E5">
      <w:pPr>
        <w:pStyle w:val="3"/>
        <w:ind w:firstLine="640"/>
        <w:rPr>
          <w:rFonts w:hint="eastAsia"/>
          <w:highlight w:val="none"/>
        </w:rPr>
      </w:pPr>
      <w:bookmarkStart w:id="150" w:name="_Toc660"/>
      <w:bookmarkStart w:id="151" w:name="_Toc20546"/>
      <w:bookmarkStart w:id="152" w:name="_Toc5508"/>
      <w:bookmarkStart w:id="153" w:name="_Toc15021"/>
      <w:bookmarkStart w:id="154" w:name="_Toc876"/>
      <w:bookmarkStart w:id="155" w:name="_Toc8593"/>
      <w:bookmarkStart w:id="156" w:name="_Toc6107"/>
      <w:bookmarkStart w:id="157" w:name="_Toc50017153"/>
      <w:bookmarkStart w:id="158" w:name="_Toc22485"/>
      <w:bookmarkStart w:id="159" w:name="_Toc12454"/>
      <w:bookmarkStart w:id="160" w:name="_Toc12994"/>
      <w:bookmarkStart w:id="161" w:name="_Toc2067944604"/>
      <w:bookmarkStart w:id="162" w:name="_Toc1377121655"/>
      <w:bookmarkStart w:id="163" w:name="_Toc22120"/>
      <w:bookmarkStart w:id="164" w:name="_Toc1554859168"/>
      <w:bookmarkStart w:id="165" w:name="_Toc1896619640"/>
      <w:bookmarkStart w:id="166" w:name="_Toc111269084"/>
      <w:r>
        <w:rPr>
          <w:rFonts w:hint="eastAsia"/>
          <w:highlight w:val="none"/>
        </w:rPr>
        <w:t>三、重点任务</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4B56B43A">
      <w:pPr>
        <w:rPr>
          <w:rFonts w:hint="default" w:eastAsia="仿宋_GB2312"/>
          <w:highlight w:val="none"/>
          <w:lang w:val="en-US" w:eastAsia="zh-CN"/>
        </w:rPr>
      </w:pPr>
      <w:r>
        <w:rPr>
          <w:rFonts w:hint="eastAsia"/>
          <w:highlight w:val="none"/>
        </w:rPr>
        <w:t>“十五五”时期</w:t>
      </w:r>
      <w:r>
        <w:rPr>
          <w:rFonts w:hint="eastAsia"/>
          <w:highlight w:val="none"/>
          <w:lang w:eastAsia="zh-CN"/>
        </w:rPr>
        <w:t>，</w:t>
      </w:r>
      <w:r>
        <w:rPr>
          <w:rFonts w:hint="eastAsia"/>
          <w:highlight w:val="none"/>
          <w:lang w:val="en-US" w:eastAsia="zh-CN"/>
        </w:rPr>
        <w:t>河西地区将</w:t>
      </w:r>
      <w:r>
        <w:rPr>
          <w:rFonts w:hint="eastAsia"/>
          <w:highlight w:val="none"/>
        </w:rPr>
        <w:t>着力打基础、补短板、</w:t>
      </w:r>
      <w:r>
        <w:rPr>
          <w:rFonts w:hint="eastAsia"/>
          <w:highlight w:val="none"/>
          <w:lang w:val="en-US" w:eastAsia="zh-CN"/>
        </w:rPr>
        <w:t>提动能</w:t>
      </w:r>
      <w:r>
        <w:rPr>
          <w:rFonts w:hint="eastAsia"/>
          <w:highlight w:val="none"/>
        </w:rPr>
        <w:t>、利长</w:t>
      </w:r>
      <w:r>
        <w:rPr>
          <w:rFonts w:hint="eastAsia"/>
          <w:b w:val="0"/>
          <w:bCs w:val="0"/>
          <w:highlight w:val="none"/>
        </w:rPr>
        <w:t>远，</w:t>
      </w:r>
      <w:r>
        <w:rPr>
          <w:rFonts w:hint="eastAsia"/>
          <w:b w:val="0"/>
          <w:bCs w:val="0"/>
          <w:highlight w:val="none"/>
          <w:lang w:val="en-US" w:eastAsia="zh-CN"/>
        </w:rPr>
        <w:t>实施“一升五动”行动，以重大项目为牵引，</w:t>
      </w:r>
      <w:r>
        <w:rPr>
          <w:rFonts w:hint="eastAsia"/>
          <w:b w:val="0"/>
          <w:bCs w:val="0"/>
          <w:highlight w:val="none"/>
        </w:rPr>
        <w:t>提升服务保障能级</w:t>
      </w:r>
      <w:r>
        <w:rPr>
          <w:rFonts w:hint="eastAsia"/>
          <w:b w:val="0"/>
          <w:bCs w:val="0"/>
          <w:highlight w:val="none"/>
          <w:lang w:eastAsia="zh-CN"/>
        </w:rPr>
        <w:t>、</w:t>
      </w:r>
      <w:r>
        <w:rPr>
          <w:rFonts w:hint="eastAsia"/>
          <w:b w:val="0"/>
          <w:bCs w:val="0"/>
          <w:highlight w:val="none"/>
        </w:rPr>
        <w:t>拉动产业高质量发展</w:t>
      </w:r>
      <w:r>
        <w:rPr>
          <w:rFonts w:hint="eastAsia"/>
          <w:b w:val="0"/>
          <w:bCs w:val="0"/>
          <w:highlight w:val="none"/>
          <w:lang w:eastAsia="zh-CN"/>
        </w:rPr>
        <w:t>、</w:t>
      </w:r>
      <w:r>
        <w:rPr>
          <w:rFonts w:hint="eastAsia"/>
          <w:b w:val="0"/>
          <w:bCs w:val="0"/>
          <w:highlight w:val="none"/>
        </w:rPr>
        <w:t>带动区域承载能力提升</w:t>
      </w:r>
      <w:r>
        <w:rPr>
          <w:rFonts w:hint="eastAsia"/>
          <w:b w:val="0"/>
          <w:bCs w:val="0"/>
          <w:highlight w:val="none"/>
          <w:lang w:eastAsia="zh-CN"/>
        </w:rPr>
        <w:t>、</w:t>
      </w:r>
      <w:r>
        <w:rPr>
          <w:rFonts w:hint="eastAsia"/>
          <w:b w:val="0"/>
          <w:bCs w:val="0"/>
          <w:highlight w:val="none"/>
        </w:rPr>
        <w:t>联动城乡融合发展</w:t>
      </w:r>
      <w:r>
        <w:rPr>
          <w:rFonts w:hint="eastAsia"/>
          <w:b w:val="0"/>
          <w:bCs w:val="0"/>
          <w:highlight w:val="none"/>
          <w:lang w:eastAsia="zh-CN"/>
        </w:rPr>
        <w:t>、</w:t>
      </w:r>
      <w:r>
        <w:rPr>
          <w:rFonts w:hint="eastAsia"/>
          <w:b w:val="0"/>
          <w:bCs w:val="0"/>
          <w:highlight w:val="none"/>
        </w:rPr>
        <w:t>推动民生福祉提质增效</w:t>
      </w:r>
      <w:r>
        <w:rPr>
          <w:rFonts w:hint="eastAsia"/>
          <w:b w:val="0"/>
          <w:bCs w:val="0"/>
          <w:highlight w:val="none"/>
          <w:lang w:eastAsia="zh-CN"/>
        </w:rPr>
        <w:t>、</w:t>
      </w:r>
      <w:r>
        <w:rPr>
          <w:rFonts w:hint="eastAsia"/>
          <w:b w:val="0"/>
          <w:bCs w:val="0"/>
          <w:highlight w:val="none"/>
        </w:rPr>
        <w:t>驱动高品质生态空间焕新</w:t>
      </w:r>
      <w:r>
        <w:rPr>
          <w:rFonts w:hint="eastAsia"/>
          <w:b w:val="0"/>
          <w:bCs w:val="0"/>
          <w:highlight w:val="none"/>
          <w:lang w:eastAsia="zh-CN"/>
        </w:rPr>
        <w:t>，</w:t>
      </w:r>
      <w:r>
        <w:rPr>
          <w:rFonts w:hint="eastAsia"/>
          <w:b w:val="0"/>
          <w:bCs w:val="0"/>
          <w:highlight w:val="none"/>
          <w:lang w:val="en-US" w:eastAsia="zh-CN"/>
        </w:rPr>
        <w:t>拉开河西地区</w:t>
      </w:r>
      <w:r>
        <w:rPr>
          <w:rFonts w:hint="eastAsia"/>
          <w:b w:val="0"/>
          <w:bCs w:val="0"/>
          <w:highlight w:val="none"/>
          <w:lang w:eastAsia="zh-CN"/>
        </w:rPr>
        <w:t>城市化发展格局，</w:t>
      </w:r>
      <w:r>
        <w:rPr>
          <w:rFonts w:hint="eastAsia"/>
          <w:b w:val="0"/>
          <w:bCs w:val="0"/>
          <w:highlight w:val="none"/>
          <w:lang w:val="en-US" w:eastAsia="zh-CN"/>
        </w:rPr>
        <w:t>推动“科技绿谷、山水新城”建设。</w:t>
      </w:r>
    </w:p>
    <w:p w14:paraId="0EA01E04">
      <w:pPr>
        <w:pStyle w:val="4"/>
        <w:ind w:firstLine="640"/>
        <w:rPr>
          <w:rFonts w:hint="eastAsia"/>
          <w:highlight w:val="none"/>
        </w:rPr>
      </w:pPr>
      <w:bookmarkStart w:id="167" w:name="_Toc21083"/>
      <w:bookmarkStart w:id="168" w:name="_Toc9435"/>
      <w:bookmarkStart w:id="169" w:name="_Toc19733"/>
      <w:bookmarkStart w:id="170" w:name="_Toc22439"/>
      <w:bookmarkStart w:id="171" w:name="_Toc806141178"/>
      <w:bookmarkStart w:id="172" w:name="_Toc28064"/>
      <w:bookmarkStart w:id="173" w:name="_Toc1967"/>
      <w:bookmarkStart w:id="174" w:name="_Toc13868"/>
      <w:bookmarkStart w:id="175" w:name="_Toc3553"/>
      <w:bookmarkStart w:id="176" w:name="_Toc1852391866"/>
      <w:bookmarkStart w:id="177" w:name="_Toc28540"/>
      <w:bookmarkStart w:id="178" w:name="_Toc20201"/>
      <w:bookmarkStart w:id="179" w:name="_Toc32346"/>
      <w:bookmarkStart w:id="180" w:name="_Toc1069616380"/>
      <w:r>
        <w:rPr>
          <w:rFonts w:hint="eastAsia"/>
          <w:highlight w:val="none"/>
        </w:rPr>
        <w:t>（一）聚焦首都功能定位，提升服务保障能级</w:t>
      </w:r>
      <w:bookmarkEnd w:id="167"/>
      <w:bookmarkEnd w:id="168"/>
      <w:bookmarkEnd w:id="169"/>
      <w:bookmarkEnd w:id="170"/>
      <w:bookmarkEnd w:id="171"/>
      <w:bookmarkEnd w:id="172"/>
    </w:p>
    <w:p w14:paraId="2FAC406B">
      <w:pPr>
        <w:ind w:firstLine="640"/>
        <w:rPr>
          <w:rFonts w:hint="eastAsia"/>
          <w:highlight w:val="none"/>
        </w:rPr>
      </w:pPr>
      <w:r>
        <w:rPr>
          <w:rFonts w:hint="eastAsia"/>
          <w:highlight w:val="none"/>
        </w:rPr>
        <w:t>“十五五”时期丰台河西地区将立足区域生态、文化、空间资源禀赋，以服务保障首都功能为核心主线，提升区域综合承载能力，推进建设首都功能拓展区，打造服务保障首都发展新的前沿阵地。</w:t>
      </w:r>
    </w:p>
    <w:p w14:paraId="7E300EDA">
      <w:pPr>
        <w:pStyle w:val="5"/>
        <w:ind w:firstLine="643"/>
        <w:rPr>
          <w:rFonts w:hint="eastAsia"/>
          <w:highlight w:val="none"/>
        </w:rPr>
      </w:pPr>
      <w:bookmarkStart w:id="181" w:name="_Toc1194215890"/>
      <w:bookmarkStart w:id="182" w:name="_Toc6931"/>
      <w:bookmarkStart w:id="183" w:name="_Toc17574"/>
      <w:bookmarkStart w:id="184" w:name="_Toc22584"/>
      <w:bookmarkStart w:id="185" w:name="_Toc11978"/>
      <w:bookmarkStart w:id="186" w:name="_Toc5285"/>
      <w:r>
        <w:rPr>
          <w:rFonts w:hint="eastAsia"/>
          <w:highlight w:val="none"/>
        </w:rPr>
        <w:t>1.筑牢政治服务保障根基</w:t>
      </w:r>
      <w:bookmarkEnd w:id="181"/>
      <w:bookmarkEnd w:id="182"/>
      <w:bookmarkEnd w:id="183"/>
      <w:bookmarkEnd w:id="184"/>
      <w:bookmarkEnd w:id="185"/>
      <w:bookmarkEnd w:id="186"/>
    </w:p>
    <w:p w14:paraId="14B6B410">
      <w:pPr>
        <w:ind w:firstLine="640"/>
        <w:rPr>
          <w:rFonts w:hint="eastAsia"/>
          <w:highlight w:val="none"/>
        </w:rPr>
      </w:pPr>
      <w:r>
        <w:rPr>
          <w:rFonts w:hint="eastAsia"/>
          <w:highlight w:val="none"/>
        </w:rPr>
        <w:t>牢牢把握“看北京首先要从政治上看”的要求，坚持首善标准，强化卢沟桥－宛平城世界和平纪念地功能，完善重大活动常态化服务机制，高标准服务国家公祭等重大活动。树牢首都意识、主动担当作为，持续为中央单位和驻区央企做好服务，打造安全有序、保障有力的服务配套环境，坚决捍卫首都政治安全。</w:t>
      </w:r>
    </w:p>
    <w:p w14:paraId="40268ED2">
      <w:pPr>
        <w:pStyle w:val="5"/>
        <w:ind w:firstLine="643"/>
        <w:rPr>
          <w:rFonts w:hint="eastAsia"/>
          <w:highlight w:val="none"/>
        </w:rPr>
      </w:pPr>
      <w:bookmarkStart w:id="187" w:name="_Toc6465"/>
      <w:bookmarkStart w:id="188" w:name="_Toc26857"/>
      <w:bookmarkStart w:id="189" w:name="_Toc1468035795"/>
      <w:bookmarkStart w:id="190" w:name="_Toc31982"/>
      <w:bookmarkStart w:id="191" w:name="_Toc3020"/>
      <w:bookmarkStart w:id="192" w:name="_Toc9976"/>
      <w:r>
        <w:rPr>
          <w:rFonts w:hint="eastAsia"/>
          <w:highlight w:val="none"/>
        </w:rPr>
        <w:t>2.激活文化交往服务动能</w:t>
      </w:r>
      <w:bookmarkEnd w:id="187"/>
      <w:bookmarkEnd w:id="188"/>
      <w:bookmarkEnd w:id="189"/>
      <w:bookmarkEnd w:id="190"/>
      <w:bookmarkEnd w:id="191"/>
      <w:bookmarkEnd w:id="192"/>
    </w:p>
    <w:p w14:paraId="2241F34B">
      <w:pPr>
        <w:ind w:firstLine="640"/>
        <w:rPr>
          <w:rFonts w:hint="eastAsia"/>
          <w:highlight w:val="none"/>
        </w:rPr>
      </w:pPr>
      <w:r>
        <w:rPr>
          <w:rFonts w:hint="eastAsia" w:cs="仿宋_GB2312"/>
          <w:bCs/>
          <w:highlight w:val="none"/>
        </w:rPr>
        <w:t>深度融入西山永定河文化带建设，推动“两园一河”水岸客厅建设，助力区域文化交往中心建设。以国家5A级旅游景区标准加快卢沟桥文化公园建设，彰显红色文化底蕴。焕新长辛店老镇，弘扬伟大建党精神，彰显中共早期工人运动重要活动阵地的时代价值。推动园博园成为国际文化交流合作的重要窗口，承接</w:t>
      </w:r>
      <w:r>
        <w:rPr>
          <w:rFonts w:hint="eastAsia"/>
          <w:highlight w:val="none"/>
        </w:rPr>
        <w:t>服贸会等重大</w:t>
      </w:r>
      <w:r>
        <w:rPr>
          <w:rFonts w:hint="eastAsia" w:cs="仿宋_GB2312"/>
          <w:bCs/>
          <w:highlight w:val="none"/>
        </w:rPr>
        <w:t>国际交流活动，展示首都多元文化魅力。</w:t>
      </w:r>
    </w:p>
    <w:p w14:paraId="571F5864">
      <w:pPr>
        <w:pStyle w:val="5"/>
        <w:ind w:firstLine="643"/>
        <w:rPr>
          <w:rFonts w:hint="eastAsia"/>
          <w:highlight w:val="none"/>
        </w:rPr>
      </w:pPr>
      <w:bookmarkStart w:id="193" w:name="_Toc1399"/>
      <w:bookmarkStart w:id="194" w:name="_Toc24911"/>
      <w:bookmarkStart w:id="195" w:name="_Toc1229743770"/>
      <w:bookmarkStart w:id="196" w:name="_Toc18527"/>
      <w:bookmarkStart w:id="197" w:name="_Toc16376"/>
      <w:bookmarkStart w:id="198" w:name="_Toc18968"/>
      <w:r>
        <w:rPr>
          <w:rFonts w:hint="eastAsia"/>
          <w:highlight w:val="none"/>
        </w:rPr>
        <w:t>3.强化科技创新服务支撑</w:t>
      </w:r>
      <w:bookmarkEnd w:id="193"/>
      <w:bookmarkEnd w:id="194"/>
      <w:bookmarkEnd w:id="195"/>
      <w:bookmarkEnd w:id="196"/>
      <w:bookmarkEnd w:id="197"/>
      <w:bookmarkEnd w:id="198"/>
    </w:p>
    <w:p w14:paraId="688ECD7E">
      <w:pPr>
        <w:ind w:firstLine="640"/>
        <w:rPr>
          <w:rFonts w:hint="eastAsia" w:cs="仿宋_GB2312"/>
          <w:highlight w:val="none"/>
        </w:rPr>
      </w:pPr>
      <w:r>
        <w:rPr>
          <w:rFonts w:hint="eastAsia" w:cs="仿宋_GB2312"/>
          <w:highlight w:val="none"/>
        </w:rPr>
        <w:t>依托河西地区丰富产业空间，推动中央企业及科研院所的研发优势、科技创新需求与区域经济高质量发展精准对接，</w:t>
      </w:r>
      <w:r>
        <w:rPr>
          <w:rFonts w:hint="eastAsia" w:cs="仿宋_GB2312"/>
          <w:highlight w:val="none"/>
          <w:lang w:val="en-US" w:eastAsia="zh-CN"/>
        </w:rPr>
        <w:t>探索</w:t>
      </w:r>
      <w:r>
        <w:rPr>
          <w:rFonts w:hint="eastAsia" w:cs="仿宋_GB2312"/>
          <w:highlight w:val="none"/>
        </w:rPr>
        <w:t>新技术、新产品、新业态、新模式率先应用推广</w:t>
      </w:r>
      <w:r>
        <w:rPr>
          <w:rFonts w:hint="eastAsia" w:cs="仿宋_GB2312"/>
          <w:highlight w:val="none"/>
          <w:lang w:eastAsia="zh-CN"/>
        </w:rPr>
        <w:t>，</w:t>
      </w:r>
      <w:r>
        <w:rPr>
          <w:rFonts w:hint="eastAsia" w:cs="仿宋_GB2312"/>
          <w:highlight w:val="none"/>
        </w:rPr>
        <w:t>为首都新质生产力发展注入河西动能。通过完善园区基础设施、创新服务体系等为企业科技创新提供高品质服务与有力支撑，夯实产业空间承载基础。依托大院大所技术优势，强化基础研究与前沿技术攻关协同，畅通科技成果从实验室到生产线的转化通道，打造特色鲜明的产业集群。</w:t>
      </w:r>
    </w:p>
    <w:p w14:paraId="496E3A75">
      <w:pPr>
        <w:pStyle w:val="4"/>
        <w:ind w:firstLine="640"/>
        <w:rPr>
          <w:rFonts w:hint="eastAsia"/>
          <w:highlight w:val="none"/>
        </w:rPr>
      </w:pPr>
      <w:bookmarkStart w:id="199" w:name="_Toc32084"/>
      <w:bookmarkStart w:id="200" w:name="_Toc20462"/>
      <w:bookmarkStart w:id="201" w:name="_Toc20360"/>
      <w:bookmarkStart w:id="202" w:name="_Toc19847"/>
      <w:bookmarkStart w:id="203" w:name="_Toc283004781"/>
      <w:bookmarkStart w:id="204" w:name="_Toc3356"/>
      <w:r>
        <w:rPr>
          <w:rFonts w:hint="eastAsia"/>
          <w:highlight w:val="none"/>
        </w:rPr>
        <w:t>（二）打造优质产业空间，拉动产业高质量发展</w:t>
      </w:r>
      <w:bookmarkEnd w:id="164"/>
      <w:bookmarkEnd w:id="165"/>
      <w:bookmarkEnd w:id="166"/>
      <w:bookmarkEnd w:id="173"/>
      <w:bookmarkEnd w:id="174"/>
      <w:bookmarkEnd w:id="175"/>
      <w:bookmarkEnd w:id="176"/>
      <w:bookmarkEnd w:id="177"/>
      <w:bookmarkEnd w:id="178"/>
      <w:bookmarkEnd w:id="179"/>
      <w:bookmarkEnd w:id="180"/>
      <w:bookmarkEnd w:id="199"/>
      <w:bookmarkEnd w:id="200"/>
      <w:bookmarkEnd w:id="201"/>
      <w:bookmarkEnd w:id="202"/>
      <w:bookmarkEnd w:id="203"/>
      <w:bookmarkEnd w:id="204"/>
    </w:p>
    <w:p w14:paraId="24C5729F">
      <w:pPr>
        <w:ind w:firstLine="640"/>
        <w:rPr>
          <w:rFonts w:ascii="Times New Roman" w:hAnsi="Times New Roman" w:cs="Times New Roman"/>
          <w:bCs/>
          <w:highlight w:val="none"/>
        </w:rPr>
      </w:pPr>
      <w:bookmarkStart w:id="205" w:name="_Toc1079661303"/>
      <w:bookmarkStart w:id="206" w:name="_Toc5253"/>
      <w:bookmarkStart w:id="207" w:name="_Toc382"/>
      <w:bookmarkStart w:id="208" w:name="_Toc1937019880"/>
      <w:bookmarkStart w:id="209" w:name="_Toc1788721898"/>
      <w:bookmarkStart w:id="210" w:name="_Toc1386517059"/>
      <w:r>
        <w:rPr>
          <w:rFonts w:hint="eastAsia" w:ascii="Times New Roman" w:hAnsi="Times New Roman" w:cs="Times New Roman"/>
          <w:bCs/>
          <w:highlight w:val="none"/>
        </w:rPr>
        <w:t>紧抓“两园一河”协同联动发展重大战略机遇，打造兼具生态底蕴与文化内涵的高品质产业空间，引导优质资源要素向轨道沿线集聚，盘活区域存量低效产业空间，为河西地区轨道交通、航空航天、科技服务等产业发展筑牢坚实基础，</w:t>
      </w:r>
      <w:r>
        <w:rPr>
          <w:rFonts w:hint="eastAsia" w:hAnsi="微软雅黑" w:cs="宋体"/>
          <w:kern w:val="0"/>
          <w:highlight w:val="none"/>
        </w:rPr>
        <w:t>将场景创新作为培育新质生产力的重要路径</w:t>
      </w:r>
      <w:r>
        <w:rPr>
          <w:rFonts w:hint="eastAsia" w:hAnsi="微软雅黑" w:cs="宋体"/>
          <w:kern w:val="0"/>
          <w:highlight w:val="none"/>
          <w:lang w:eastAsia="zh-CN"/>
        </w:rPr>
        <w:t>，</w:t>
      </w:r>
      <w:r>
        <w:rPr>
          <w:rFonts w:hint="eastAsia" w:ascii="Times New Roman" w:hAnsi="Times New Roman" w:cs="Times New Roman"/>
          <w:bCs/>
          <w:highlight w:val="none"/>
        </w:rPr>
        <w:t>有力支撑全区“</w:t>
      </w:r>
      <w:r>
        <w:rPr>
          <w:rFonts w:hint="eastAsia" w:cs="仿宋_GB2312"/>
          <w:kern w:val="0"/>
          <w:highlight w:val="none"/>
        </w:rPr>
        <w:t>4+5+X</w:t>
      </w:r>
      <w:r>
        <w:rPr>
          <w:rFonts w:hint="eastAsia" w:ascii="Times New Roman" w:hAnsi="Times New Roman" w:cs="Times New Roman"/>
          <w:bCs/>
          <w:highlight w:val="none"/>
        </w:rPr>
        <w:t>”</w:t>
      </w:r>
      <w:r>
        <w:rPr>
          <w:rStyle w:val="26"/>
          <w:rFonts w:hint="eastAsia" w:ascii="Times New Roman" w:hAnsi="Times New Roman" w:cs="Times New Roman"/>
          <w:bCs/>
          <w:highlight w:val="none"/>
        </w:rPr>
        <w:footnoteReference w:id="3"/>
      </w:r>
      <w:r>
        <w:rPr>
          <w:rFonts w:hint="eastAsia" w:ascii="Times New Roman" w:hAnsi="Times New Roman" w:cs="Times New Roman"/>
          <w:bCs/>
          <w:highlight w:val="none"/>
        </w:rPr>
        <w:t>现代产业体系构建，助力全区建设产城融合创新区。</w:t>
      </w:r>
    </w:p>
    <w:bookmarkEnd w:id="205"/>
    <w:p w14:paraId="45CB089D">
      <w:pPr>
        <w:pStyle w:val="5"/>
        <w:ind w:firstLine="643"/>
        <w:rPr>
          <w:rFonts w:hint="eastAsia"/>
          <w:highlight w:val="none"/>
        </w:rPr>
      </w:pPr>
      <w:bookmarkStart w:id="211" w:name="_Toc9851"/>
      <w:bookmarkStart w:id="212" w:name="_Toc26370"/>
      <w:bookmarkStart w:id="213" w:name="_Toc9713"/>
      <w:bookmarkStart w:id="214" w:name="_Toc19315"/>
      <w:bookmarkStart w:id="215" w:name="_Toc6576"/>
      <w:bookmarkStart w:id="216" w:name="_Toc7266"/>
      <w:bookmarkStart w:id="217" w:name="_Toc1071534345"/>
      <w:bookmarkStart w:id="218" w:name="_Toc456889623"/>
      <w:bookmarkStart w:id="219" w:name="_Toc1778186018"/>
      <w:bookmarkStart w:id="220" w:name="_Toc19036"/>
      <w:bookmarkStart w:id="221" w:name="_Toc12963"/>
      <w:bookmarkStart w:id="222" w:name="_Toc16620"/>
      <w:r>
        <w:rPr>
          <w:rFonts w:hint="eastAsia"/>
          <w:highlight w:val="none"/>
        </w:rPr>
        <w:t>1.</w:t>
      </w:r>
      <w:r>
        <w:rPr>
          <w:rFonts w:hint="eastAsia"/>
          <w:bCs/>
          <w:highlight w:val="none"/>
        </w:rPr>
        <w:t>构建“两园一河”区域产业核心</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19165A7C">
      <w:pPr>
        <w:ind w:firstLine="643"/>
        <w:rPr>
          <w:rFonts w:hint="eastAsia" w:hAnsi="微软雅黑" w:cs="宋体"/>
          <w:kern w:val="0"/>
          <w:highlight w:val="none"/>
        </w:rPr>
      </w:pPr>
      <w:r>
        <w:rPr>
          <w:rFonts w:hint="eastAsia" w:hAnsi="微软雅黑" w:cs="宋体"/>
          <w:b w:val="0"/>
          <w:bCs w:val="0"/>
          <w:kern w:val="0"/>
          <w:highlight w:val="none"/>
        </w:rPr>
        <w:t>打造园博产研融合科创湾区。立足中关村丰台园功能定位，统筹园博园花园总部、园博数字经济产业园建设，以未来产业场景开放赋能企业创新发展</w:t>
      </w:r>
      <w:r>
        <w:rPr>
          <w:rFonts w:hint="eastAsia" w:hAnsi="微软雅黑" w:cs="宋体"/>
          <w:b w:val="0"/>
          <w:bCs w:val="0"/>
          <w:kern w:val="0"/>
          <w:highlight w:val="none"/>
          <w:lang w:eastAsia="zh-CN"/>
        </w:rPr>
        <w:t>，</w:t>
      </w:r>
      <w:r>
        <w:rPr>
          <w:rFonts w:hint="eastAsia" w:hAnsi="微软雅黑" w:cs="宋体"/>
          <w:b w:val="0"/>
          <w:bCs w:val="0"/>
          <w:kern w:val="0"/>
          <w:highlight w:val="none"/>
        </w:rPr>
        <w:t>聚力打造</w:t>
      </w:r>
      <w:r>
        <w:rPr>
          <w:rFonts w:hint="eastAsia" w:ascii="仿宋_GB2312" w:hAnsi="仿宋_GB2312" w:eastAsia="仿宋_GB2312" w:cs="仿宋_GB2312"/>
          <w:b w:val="0"/>
          <w:bCs w:val="0"/>
          <w:color w:val="auto"/>
          <w:kern w:val="0"/>
          <w:sz w:val="32"/>
          <w:szCs w:val="32"/>
          <w:highlight w:val="none"/>
        </w:rPr>
        <w:t>科技与公园无界共享的</w:t>
      </w:r>
      <w:r>
        <w:rPr>
          <w:rFonts w:hint="eastAsia" w:hAnsi="微软雅黑" w:cs="宋体"/>
          <w:b w:val="0"/>
          <w:bCs w:val="0"/>
          <w:kern w:val="0"/>
          <w:highlight w:val="none"/>
        </w:rPr>
        <w:t>园博产研融合科创湾区。辐射带动区域产业空间建设。以科创湾区为核心引擎，引领带动区域产业高质量发展。西Ⅰ区加速布局基础研发基地，打造数字经济产业新高地，西Ⅱ区布局工业放大环节，打造“弹性空间+定制化生产”产业载体，加快王佐新质产业园及周边基础服务配套建设，形成“技术突破－场景验证</w:t>
      </w:r>
      <w:r>
        <w:rPr>
          <w:rFonts w:hint="eastAsia" w:hAnsi="微软雅黑" w:cs="宋体"/>
          <w:kern w:val="0"/>
          <w:highlight w:val="none"/>
        </w:rPr>
        <w:t>－产业应用－体系升级”成熟路径，持续释放产业空间</w:t>
      </w:r>
      <w:r>
        <w:rPr>
          <w:rFonts w:hint="eastAsia" w:hAnsi="微软雅黑" w:cs="宋体"/>
          <w:kern w:val="0"/>
          <w:highlight w:val="none"/>
          <w:lang w:val="en-US" w:eastAsia="zh-CN"/>
        </w:rPr>
        <w:t>活力</w:t>
      </w:r>
      <w:r>
        <w:rPr>
          <w:rFonts w:hint="eastAsia" w:hAnsi="微软雅黑" w:cs="宋体"/>
          <w:kern w:val="0"/>
          <w:highlight w:val="none"/>
        </w:rPr>
        <w:t>。</w:t>
      </w:r>
    </w:p>
    <w:p w14:paraId="099A0CA9">
      <w:pPr>
        <w:pStyle w:val="5"/>
        <w:ind w:firstLine="643"/>
        <w:rPr>
          <w:rFonts w:hint="eastAsia"/>
          <w:highlight w:val="none"/>
        </w:rPr>
      </w:pPr>
      <w:bookmarkStart w:id="223" w:name="_Toc881"/>
      <w:bookmarkStart w:id="224" w:name="_Toc847157016"/>
      <w:bookmarkStart w:id="225" w:name="_Toc425365333"/>
      <w:bookmarkStart w:id="226" w:name="_Toc1689855736"/>
      <w:bookmarkStart w:id="227" w:name="_Toc1589972874"/>
      <w:bookmarkStart w:id="228" w:name="_Toc17797"/>
      <w:bookmarkStart w:id="229" w:name="_Toc25244"/>
      <w:bookmarkStart w:id="230" w:name="_Toc2060407568"/>
      <w:bookmarkStart w:id="231" w:name="_Toc15880"/>
      <w:bookmarkStart w:id="232" w:name="_Toc22568"/>
      <w:bookmarkStart w:id="233" w:name="_Toc6787"/>
      <w:bookmarkStart w:id="234" w:name="_Toc22266"/>
      <w:bookmarkStart w:id="235" w:name="_Toc11050"/>
      <w:bookmarkStart w:id="236" w:name="_Toc1788518287"/>
      <w:bookmarkStart w:id="237" w:name="_Toc377"/>
      <w:bookmarkStart w:id="238" w:name="_Toc4746"/>
      <w:bookmarkStart w:id="239" w:name="_Toc32103"/>
      <w:r>
        <w:rPr>
          <w:rFonts w:hint="eastAsia"/>
          <w:highlight w:val="none"/>
        </w:rPr>
        <w:t>2.打造1号线支线站产城融合示范</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Fonts w:hint="eastAsia"/>
          <w:highlight w:val="none"/>
          <w:lang w:val="en-US" w:eastAsia="zh-CN"/>
        </w:rPr>
        <w:t>片</w:t>
      </w:r>
      <w:r>
        <w:rPr>
          <w:rFonts w:hint="eastAsia"/>
          <w:highlight w:val="none"/>
        </w:rPr>
        <w:t>区</w:t>
      </w:r>
      <w:bookmarkEnd w:id="237"/>
      <w:bookmarkEnd w:id="238"/>
      <w:bookmarkEnd w:id="239"/>
    </w:p>
    <w:p w14:paraId="75E4590D">
      <w:pPr>
        <w:ind w:firstLine="643"/>
        <w:rPr>
          <w:rFonts w:hint="eastAsia" w:cs="仿宋_GB2312"/>
          <w:b w:val="0"/>
          <w:bCs w:val="0"/>
          <w:highlight w:val="none"/>
          <w:lang w:eastAsia="zh-CN"/>
        </w:rPr>
      </w:pPr>
      <w:r>
        <w:rPr>
          <w:rFonts w:hint="eastAsia"/>
          <w:b w:val="0"/>
          <w:bCs w:val="0"/>
          <w:highlight w:val="none"/>
        </w:rPr>
        <w:t>打造站产城融合发展样板。以1号线支线为轴线串联河西地区优质产业空间，加快推进轨道微中心建设，</w:t>
      </w:r>
      <w:r>
        <w:rPr>
          <w:rFonts w:hint="eastAsia" w:hAnsi="微软雅黑" w:cs="宋体"/>
          <w:b w:val="0"/>
          <w:bCs w:val="0"/>
          <w:kern w:val="0"/>
          <w:highlight w:val="none"/>
        </w:rPr>
        <w:t>推动站点从通勤节点向创新节点转型</w:t>
      </w:r>
      <w:r>
        <w:rPr>
          <w:rFonts w:hint="eastAsia" w:hAnsi="微软雅黑" w:cs="宋体"/>
          <w:b w:val="0"/>
          <w:bCs w:val="0"/>
          <w:kern w:val="0"/>
          <w:highlight w:val="none"/>
          <w:lang w:eastAsia="zh-CN"/>
        </w:rPr>
        <w:t>，</w:t>
      </w:r>
      <w:r>
        <w:rPr>
          <w:rFonts w:hint="eastAsia" w:hAnsi="微软雅黑" w:cs="宋体"/>
          <w:b w:val="0"/>
          <w:bCs w:val="0"/>
          <w:kern w:val="0"/>
          <w:highlight w:val="none"/>
        </w:rPr>
        <w:t>将构建站产城融合发展新格局作为优化河西地区功能布局的重要抓手。</w:t>
      </w:r>
      <w:r>
        <w:rPr>
          <w:rFonts w:hint="eastAsia"/>
          <w:b w:val="0"/>
          <w:bCs w:val="0"/>
          <w:highlight w:val="none"/>
        </w:rPr>
        <w:t>园博园西站聚焦</w:t>
      </w:r>
      <w:r>
        <w:rPr>
          <w:rFonts w:hint="eastAsia"/>
          <w:b w:val="0"/>
          <w:bCs w:val="0"/>
          <w:highlight w:val="none"/>
          <w:lang w:val="en-US" w:eastAsia="zh-CN"/>
        </w:rPr>
        <w:t>园博园花园总部，联动</w:t>
      </w:r>
      <w:r>
        <w:rPr>
          <w:rFonts w:hint="eastAsia" w:hAnsi="微软雅黑" w:cs="宋体"/>
          <w:b w:val="0"/>
          <w:bCs w:val="0"/>
          <w:kern w:val="0"/>
          <w:highlight w:val="none"/>
        </w:rPr>
        <w:t>西Ⅰ区</w:t>
      </w:r>
      <w:r>
        <w:rPr>
          <w:rFonts w:hint="eastAsia"/>
          <w:b w:val="0"/>
          <w:bCs w:val="0"/>
          <w:highlight w:val="none"/>
        </w:rPr>
        <w:t>，推动站产城绿融合发展；北宫站推进</w:t>
      </w:r>
      <w:r>
        <w:rPr>
          <w:rFonts w:hint="eastAsia"/>
          <w:b w:val="0"/>
          <w:bCs w:val="0"/>
          <w:highlight w:val="none"/>
          <w:lang w:eastAsia="zh-CN"/>
        </w:rPr>
        <w:t>站点</w:t>
      </w:r>
      <w:r>
        <w:rPr>
          <w:rFonts w:hint="eastAsia"/>
          <w:b w:val="0"/>
          <w:bCs w:val="0"/>
          <w:highlight w:val="none"/>
          <w:lang w:val="en-US" w:eastAsia="zh-CN"/>
        </w:rPr>
        <w:t>周边路网</w:t>
      </w:r>
      <w:r>
        <w:rPr>
          <w:rFonts w:hint="eastAsia"/>
          <w:b w:val="0"/>
          <w:bCs w:val="0"/>
          <w:highlight w:val="none"/>
        </w:rPr>
        <w:t>建设，激发区域产业活力；云岗站</w:t>
      </w:r>
      <w:r>
        <w:rPr>
          <w:rFonts w:hint="eastAsia"/>
          <w:b w:val="0"/>
          <w:bCs w:val="0"/>
          <w:highlight w:val="none"/>
          <w:lang w:val="en-US" w:eastAsia="zh-CN"/>
        </w:rPr>
        <w:t>围绕</w:t>
      </w:r>
      <w:r>
        <w:rPr>
          <w:rFonts w:hint="eastAsia"/>
          <w:b w:val="0"/>
          <w:bCs w:val="0"/>
          <w:highlight w:val="none"/>
        </w:rPr>
        <w:t>站城一体化项目</w:t>
      </w:r>
      <w:r>
        <w:rPr>
          <w:rFonts w:hint="eastAsia"/>
          <w:b w:val="0"/>
          <w:bCs w:val="0"/>
          <w:highlight w:val="none"/>
          <w:lang w:val="en-US" w:eastAsia="zh-CN"/>
        </w:rPr>
        <w:t>，</w:t>
      </w:r>
      <w:r>
        <w:rPr>
          <w:rFonts w:hint="eastAsia"/>
          <w:b w:val="0"/>
          <w:bCs w:val="0"/>
          <w:highlight w:val="none"/>
        </w:rPr>
        <w:t>构建军民融合协同创新平台；后吕村站充分发挥双轨换乘优势，</w:t>
      </w:r>
      <w:r>
        <w:rPr>
          <w:rFonts w:hint="eastAsia"/>
          <w:b w:val="0"/>
          <w:bCs w:val="0"/>
          <w:highlight w:val="none"/>
          <w:lang w:val="en-US" w:eastAsia="zh-CN"/>
        </w:rPr>
        <w:t>依托云岗航天智谷释放</w:t>
      </w:r>
      <w:r>
        <w:rPr>
          <w:rFonts w:hint="eastAsia"/>
          <w:b w:val="0"/>
          <w:bCs w:val="0"/>
          <w:highlight w:val="none"/>
        </w:rPr>
        <w:t>客运枢纽与研发办公</w:t>
      </w:r>
      <w:r>
        <w:rPr>
          <w:rFonts w:hint="eastAsia"/>
          <w:b w:val="0"/>
          <w:bCs w:val="0"/>
          <w:highlight w:val="none"/>
          <w:lang w:eastAsia="zh-CN"/>
        </w:rPr>
        <w:t>效能；</w:t>
      </w:r>
      <w:r>
        <w:rPr>
          <w:rFonts w:hint="eastAsia"/>
          <w:b w:val="0"/>
          <w:bCs w:val="0"/>
          <w:highlight w:val="none"/>
        </w:rPr>
        <w:t>王佐站打造轨道微中心，推进综合商业体建设，提升区域生活品质</w:t>
      </w:r>
      <w:r>
        <w:rPr>
          <w:rFonts w:hint="eastAsia"/>
          <w:b w:val="0"/>
          <w:bCs w:val="0"/>
          <w:highlight w:val="none"/>
          <w:lang w:eastAsia="zh-CN"/>
        </w:rPr>
        <w:t>；魏各庄站联动民族文化园、中央民族大学丰台校区，挖掘民族非遗文化内涵，汇聚商业资源，培育创业动能。</w:t>
      </w:r>
    </w:p>
    <w:p w14:paraId="543947A0">
      <w:pPr>
        <w:pStyle w:val="5"/>
        <w:ind w:firstLine="643"/>
        <w:rPr>
          <w:rFonts w:hint="eastAsia"/>
          <w:highlight w:val="none"/>
        </w:rPr>
      </w:pPr>
      <w:bookmarkStart w:id="240" w:name="_Toc142090868"/>
      <w:bookmarkStart w:id="241" w:name="_Toc1298242550"/>
      <w:bookmarkStart w:id="242" w:name="_Toc1535073697"/>
      <w:bookmarkStart w:id="243" w:name="_Toc17101"/>
      <w:bookmarkStart w:id="244" w:name="_Toc351388302"/>
      <w:bookmarkStart w:id="245" w:name="_Toc31597"/>
      <w:bookmarkStart w:id="246" w:name="_Toc14127"/>
      <w:bookmarkStart w:id="247" w:name="_Toc934123377"/>
      <w:bookmarkStart w:id="248" w:name="_Toc1155"/>
      <w:bookmarkStart w:id="249" w:name="_Toc31375"/>
      <w:bookmarkStart w:id="250" w:name="_Toc26043"/>
      <w:bookmarkStart w:id="251" w:name="_Toc32147"/>
      <w:bookmarkStart w:id="252" w:name="_Toc4147"/>
      <w:bookmarkStart w:id="253" w:name="_Toc14007"/>
      <w:bookmarkStart w:id="254" w:name="_Toc11957"/>
      <w:bookmarkStart w:id="255" w:name="_Toc1382382953"/>
      <w:bookmarkStart w:id="256" w:name="_Toc5792"/>
      <w:r>
        <w:rPr>
          <w:rFonts w:hint="eastAsia"/>
          <w:highlight w:val="none"/>
        </w:rPr>
        <w:t>3.</w:t>
      </w:r>
      <w:bookmarkEnd w:id="240"/>
      <w:bookmarkEnd w:id="241"/>
      <w:bookmarkEnd w:id="242"/>
      <w:bookmarkEnd w:id="243"/>
      <w:bookmarkEnd w:id="244"/>
      <w:bookmarkEnd w:id="245"/>
      <w:r>
        <w:rPr>
          <w:rFonts w:hint="eastAsia"/>
          <w:highlight w:val="none"/>
        </w:rPr>
        <w:t>深化</w:t>
      </w:r>
      <w:r>
        <w:rPr>
          <w:rFonts w:hint="eastAsia" w:hAnsi="微软雅黑" w:cs="宋体"/>
          <w:kern w:val="0"/>
          <w:highlight w:val="none"/>
        </w:rPr>
        <w:t>西山永定河文化带（丰台段）内涵</w:t>
      </w:r>
      <w:bookmarkEnd w:id="246"/>
      <w:bookmarkEnd w:id="247"/>
      <w:bookmarkEnd w:id="248"/>
      <w:bookmarkEnd w:id="249"/>
      <w:bookmarkEnd w:id="250"/>
      <w:bookmarkEnd w:id="251"/>
      <w:bookmarkEnd w:id="252"/>
      <w:bookmarkEnd w:id="253"/>
      <w:bookmarkEnd w:id="254"/>
      <w:bookmarkEnd w:id="255"/>
      <w:bookmarkEnd w:id="256"/>
    </w:p>
    <w:p w14:paraId="347DA15D">
      <w:pPr>
        <w:ind w:firstLine="643"/>
        <w:rPr>
          <w:rFonts w:hint="eastAsia" w:hAnsi="微软雅黑" w:cs="宋体"/>
          <w:b w:val="0"/>
          <w:bCs w:val="0"/>
          <w:kern w:val="0"/>
          <w:highlight w:val="none"/>
        </w:rPr>
      </w:pPr>
      <w:r>
        <w:rPr>
          <w:rFonts w:hint="eastAsia"/>
          <w:b w:val="0"/>
          <w:bCs w:val="0"/>
          <w:highlight w:val="none"/>
        </w:rPr>
        <w:t>依托卢沟桥－宛平城－长辛店老镇历史文化资源，构筑区域发展“文化翼”。以卢沟桥文化公园建设为抓手，推进“馆桥城园岛河”一体化运营</w:t>
      </w:r>
      <w:r>
        <w:rPr>
          <w:rFonts w:hint="eastAsia"/>
          <w:b w:val="0"/>
          <w:bCs w:val="0"/>
          <w:highlight w:val="none"/>
          <w:lang w:eastAsia="zh-CN"/>
        </w:rPr>
        <w:t>，</w:t>
      </w:r>
      <w:r>
        <w:rPr>
          <w:rFonts w:hint="eastAsia"/>
          <w:b w:val="0"/>
          <w:bCs w:val="0"/>
          <w:highlight w:val="none"/>
          <w:lang w:val="en-US" w:eastAsia="zh-CN"/>
        </w:rPr>
        <w:t>打造</w:t>
      </w:r>
      <w:r>
        <w:rPr>
          <w:rFonts w:hint="eastAsia"/>
          <w:b w:val="0"/>
          <w:bCs w:val="0"/>
          <w:highlight w:val="none"/>
        </w:rPr>
        <w:t>沉浸式文化</w:t>
      </w:r>
      <w:r>
        <w:rPr>
          <w:rFonts w:hint="eastAsia"/>
          <w:b w:val="0"/>
          <w:bCs w:val="0"/>
          <w:highlight w:val="none"/>
          <w:lang w:val="en-US" w:eastAsia="zh-CN"/>
        </w:rPr>
        <w:t>新场景</w:t>
      </w:r>
      <w:r>
        <w:rPr>
          <w:rFonts w:hint="eastAsia"/>
          <w:b w:val="0"/>
          <w:bCs w:val="0"/>
          <w:highlight w:val="none"/>
        </w:rPr>
        <w:t>。以卢沟桥－宛平城城市更新项目为载体，打造“活态”历史文化博览区。持续推进长辛店老镇更新改造，打造</w:t>
      </w:r>
      <w:r>
        <w:rPr>
          <w:rFonts w:hint="eastAsia" w:hAnsi="微软雅黑" w:cs="宋体"/>
          <w:b w:val="0"/>
          <w:bCs w:val="0"/>
          <w:kern w:val="0"/>
          <w:highlight w:val="none"/>
        </w:rPr>
        <w:t>文商旅融合发展</w:t>
      </w:r>
      <w:r>
        <w:rPr>
          <w:rFonts w:hint="eastAsia" w:cs="仿宋_GB2312"/>
          <w:b w:val="0"/>
          <w:bCs w:val="0"/>
          <w:highlight w:val="none"/>
        </w:rPr>
        <w:t>的综合片区。</w:t>
      </w:r>
      <w:r>
        <w:rPr>
          <w:rFonts w:hint="eastAsia" w:hAnsi="微软雅黑" w:cs="宋体"/>
          <w:b w:val="0"/>
          <w:bCs w:val="0"/>
          <w:kern w:val="0"/>
          <w:highlight w:val="none"/>
        </w:rPr>
        <w:t>传承“九省御道”文化脉络，加快推进云岗文化绿芯建设，深挖镇岗塔历史文化内涵，打造河西地区文化翼。</w:t>
      </w:r>
    </w:p>
    <w:p w14:paraId="52A43743">
      <w:pPr>
        <w:ind w:firstLine="643"/>
        <w:rPr>
          <w:rFonts w:hint="eastAsia"/>
          <w:b w:val="0"/>
          <w:bCs w:val="0"/>
          <w:highlight w:val="none"/>
        </w:rPr>
      </w:pPr>
      <w:r>
        <w:rPr>
          <w:rFonts w:hint="eastAsia"/>
          <w:b w:val="0"/>
          <w:bCs w:val="0"/>
          <w:highlight w:val="none"/>
        </w:rPr>
        <w:t>依托园博园－北宫－千灵山连片生态空间，打造区域发展“生态翼”。以</w:t>
      </w:r>
      <w:r>
        <w:rPr>
          <w:rFonts w:hint="eastAsia"/>
          <w:b w:val="0"/>
          <w:bCs w:val="0"/>
          <w:highlight w:val="none"/>
          <w:lang w:val="en-US" w:eastAsia="zh-CN"/>
        </w:rPr>
        <w:t>园博园</w:t>
      </w:r>
      <w:r>
        <w:rPr>
          <w:rFonts w:hint="eastAsia"/>
          <w:b w:val="0"/>
          <w:bCs w:val="0"/>
          <w:highlight w:val="none"/>
        </w:rPr>
        <w:t>生态基底赋能文旅高质量发展</w:t>
      </w:r>
      <w:r>
        <w:rPr>
          <w:rFonts w:hint="eastAsia"/>
          <w:b w:val="0"/>
          <w:bCs w:val="0"/>
          <w:highlight w:val="none"/>
          <w:lang w:eastAsia="zh-CN"/>
        </w:rPr>
        <w:t>，</w:t>
      </w:r>
      <w:r>
        <w:rPr>
          <w:rFonts w:hint="eastAsia"/>
          <w:b w:val="0"/>
          <w:bCs w:val="0"/>
          <w:highlight w:val="none"/>
        </w:rPr>
        <w:t>推进北京园博园焕新项目，打造园博园文商旅体</w:t>
      </w:r>
      <w:r>
        <w:rPr>
          <w:rFonts w:hint="eastAsia"/>
          <w:b w:val="0"/>
          <w:bCs w:val="0"/>
          <w:highlight w:val="none"/>
          <w:lang w:eastAsia="zh-CN"/>
        </w:rPr>
        <w:t>展</w:t>
      </w:r>
      <w:r>
        <w:rPr>
          <w:rFonts w:hint="eastAsia"/>
          <w:b w:val="0"/>
          <w:bCs w:val="0"/>
          <w:highlight w:val="none"/>
        </w:rPr>
        <w:t>消费新场景。依托北宫国家森林公园优质生态禀赋，推动绿色康养与“河西微度假”</w:t>
      </w:r>
      <w:r>
        <w:rPr>
          <w:rFonts w:hint="eastAsia"/>
          <w:b w:val="0"/>
          <w:bCs w:val="0"/>
          <w:highlight w:val="none"/>
          <w:lang w:val="en-US" w:eastAsia="zh-CN"/>
        </w:rPr>
        <w:t>场景</w:t>
      </w:r>
      <w:r>
        <w:rPr>
          <w:rFonts w:hint="eastAsia"/>
          <w:b w:val="0"/>
          <w:bCs w:val="0"/>
          <w:highlight w:val="none"/>
        </w:rPr>
        <w:t>深度融合。推进千灵山风景区环境提升，构建首都西南部重要生态屏障与市民休闲游憩优选目的地</w:t>
      </w:r>
      <w:r>
        <w:rPr>
          <w:rFonts w:hint="eastAsia" w:hAnsi="微软雅黑" w:cs="宋体"/>
          <w:b w:val="0"/>
          <w:bCs w:val="0"/>
          <w:kern w:val="0"/>
          <w:highlight w:val="none"/>
        </w:rPr>
        <w:t>，打造河西地区</w:t>
      </w:r>
      <w:r>
        <w:rPr>
          <w:rFonts w:hint="eastAsia" w:hAnsi="微软雅黑" w:cs="宋体"/>
          <w:b w:val="0"/>
          <w:bCs w:val="0"/>
          <w:kern w:val="0"/>
          <w:highlight w:val="none"/>
          <w:lang w:val="en-US" w:eastAsia="zh-CN"/>
        </w:rPr>
        <w:t>生态</w:t>
      </w:r>
      <w:r>
        <w:rPr>
          <w:rFonts w:hint="eastAsia" w:hAnsi="微软雅黑" w:cs="宋体"/>
          <w:b w:val="0"/>
          <w:bCs w:val="0"/>
          <w:kern w:val="0"/>
          <w:highlight w:val="none"/>
        </w:rPr>
        <w:t>翼。</w:t>
      </w:r>
    </w:p>
    <w:p w14:paraId="00E8F450">
      <w:pPr>
        <w:pStyle w:val="5"/>
        <w:ind w:firstLine="643"/>
        <w:rPr>
          <w:rFonts w:hint="eastAsia"/>
          <w:highlight w:val="none"/>
        </w:rPr>
      </w:pPr>
      <w:bookmarkStart w:id="257" w:name="_Toc119403012"/>
      <w:bookmarkStart w:id="258" w:name="_Toc1128684330"/>
      <w:bookmarkStart w:id="259" w:name="_Toc203162464"/>
      <w:bookmarkStart w:id="260" w:name="_Toc11983"/>
      <w:bookmarkStart w:id="261" w:name="_Toc23201"/>
      <w:bookmarkStart w:id="262" w:name="_Toc7415"/>
      <w:bookmarkStart w:id="263" w:name="_Toc7975"/>
      <w:bookmarkStart w:id="264" w:name="_Toc31858"/>
      <w:bookmarkStart w:id="265" w:name="_Toc11429"/>
      <w:bookmarkStart w:id="266" w:name="_Toc5983"/>
      <w:bookmarkStart w:id="267" w:name="_Toc13462"/>
      <w:bookmarkStart w:id="268" w:name="_Toc9916"/>
      <w:bookmarkStart w:id="269" w:name="_Toc8339"/>
      <w:bookmarkStart w:id="270" w:name="_Toc1706137669"/>
      <w:bookmarkStart w:id="271" w:name="_Toc115090421"/>
      <w:bookmarkStart w:id="272" w:name="_Toc576130369"/>
      <w:bookmarkStart w:id="273" w:name="_Toc22947"/>
      <w:r>
        <w:rPr>
          <w:rFonts w:hint="eastAsia"/>
          <w:highlight w:val="none"/>
        </w:rPr>
        <w:t>4.激活“多点”区域</w:t>
      </w:r>
      <w:bookmarkEnd w:id="257"/>
      <w:bookmarkEnd w:id="258"/>
      <w:bookmarkEnd w:id="259"/>
      <w:r>
        <w:rPr>
          <w:rFonts w:hint="eastAsia"/>
          <w:highlight w:val="none"/>
        </w:rPr>
        <w:t>发展新活力</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03F154EB">
      <w:pPr>
        <w:ind w:firstLine="643"/>
        <w:rPr>
          <w:rFonts w:hint="eastAsia" w:hAnsi="微软雅黑" w:cs="宋体"/>
          <w:b w:val="0"/>
          <w:bCs w:val="0"/>
          <w:kern w:val="0"/>
          <w:highlight w:val="none"/>
        </w:rPr>
      </w:pPr>
      <w:r>
        <w:rPr>
          <w:rFonts w:hint="eastAsia"/>
          <w:b w:val="0"/>
          <w:bCs w:val="0"/>
          <w:highlight w:val="none"/>
        </w:rPr>
        <w:t>推动存量工业空间焕新提质。</w:t>
      </w:r>
      <w:r>
        <w:rPr>
          <w:rFonts w:hint="eastAsia"/>
          <w:b w:val="0"/>
          <w:bCs w:val="0"/>
          <w:highlight w:val="none"/>
          <w:lang w:val="en-US" w:eastAsia="zh-CN"/>
        </w:rPr>
        <w:t>围绕河西地区存量园区空间，</w:t>
      </w:r>
      <w:r>
        <w:rPr>
          <w:rFonts w:hint="eastAsia"/>
          <w:b w:val="0"/>
          <w:bCs w:val="0"/>
          <w:highlight w:val="none"/>
          <w:lang w:bidi="ar"/>
        </w:rPr>
        <w:t>推动“中车1号”</w:t>
      </w:r>
      <w:r>
        <w:rPr>
          <w:rFonts w:hint="eastAsia"/>
          <w:b w:val="0"/>
          <w:bCs w:val="0"/>
          <w:highlight w:val="none"/>
          <w:lang w:eastAsia="zh-CN" w:bidi="ar"/>
        </w:rPr>
        <w:t>项目</w:t>
      </w:r>
      <w:r>
        <w:rPr>
          <w:rFonts w:hint="eastAsia"/>
          <w:b w:val="0"/>
          <w:bCs w:val="0"/>
          <w:highlight w:val="none"/>
          <w:lang w:bidi="ar"/>
        </w:rPr>
        <w:t>建设，焕新打造“三中心两平台一高地”；有序推进</w:t>
      </w:r>
      <w:r>
        <w:rPr>
          <w:rFonts w:hint="eastAsia"/>
          <w:b w:val="0"/>
          <w:bCs w:val="0"/>
          <w:kern w:val="0"/>
          <w:highlight w:val="none"/>
          <w:lang w:bidi="ar"/>
        </w:rPr>
        <w:t>中车北京二七智能制造园升级改造，建设具有特色历史文化属性的高端智能制造园；推动618厂升级改造，打造军民融合及智能制造创新示范园。</w:t>
      </w:r>
      <w:r>
        <w:rPr>
          <w:rFonts w:hint="eastAsia" w:hAnsi="微软雅黑" w:cs="宋体"/>
          <w:b w:val="0"/>
          <w:bCs w:val="0"/>
          <w:kern w:val="0"/>
          <w:highlight w:val="none"/>
        </w:rPr>
        <w:t>加强大院大所技术转化。依托河西地区航天院所、北方车辆集团、中车集团等大院大所技术优势，强化技术转化与成果高效利用，全力构建“技术－产品－市场”的产业形态和产业化发展路径，实现技术价值向经济价值的高效转变，并辐射带动集体经济产业园区发展。</w:t>
      </w:r>
    </w:p>
    <w:p w14:paraId="5C536328">
      <w:pPr>
        <w:pStyle w:val="4"/>
        <w:ind w:firstLine="640"/>
        <w:rPr>
          <w:rFonts w:hint="eastAsia"/>
          <w:highlight w:val="none"/>
        </w:rPr>
      </w:pPr>
      <w:bookmarkStart w:id="274" w:name="_Toc52533718"/>
      <w:bookmarkStart w:id="275" w:name="_Toc24785"/>
      <w:bookmarkStart w:id="276" w:name="_Toc1589423447"/>
      <w:bookmarkStart w:id="277" w:name="_Toc1821774089"/>
      <w:bookmarkStart w:id="278" w:name="_Toc13879"/>
      <w:bookmarkStart w:id="279" w:name="_Toc11132"/>
      <w:bookmarkStart w:id="280" w:name="_Toc2046208757"/>
      <w:bookmarkStart w:id="281" w:name="_Toc29819"/>
      <w:bookmarkStart w:id="282" w:name="_Toc1854148139"/>
      <w:bookmarkStart w:id="283" w:name="_Toc27679"/>
      <w:bookmarkStart w:id="284" w:name="_Toc31469"/>
      <w:bookmarkStart w:id="285" w:name="_Toc26448"/>
      <w:bookmarkStart w:id="286" w:name="_Toc1074480359"/>
      <w:bookmarkStart w:id="287" w:name="_Toc1056696386"/>
      <w:bookmarkStart w:id="288" w:name="_Toc470557963"/>
      <w:bookmarkStart w:id="289" w:name="_Toc18220"/>
      <w:bookmarkStart w:id="290" w:name="_Toc19811"/>
      <w:bookmarkStart w:id="291" w:name="_Toc575853415"/>
      <w:bookmarkStart w:id="292" w:name="_Toc358"/>
      <w:bookmarkStart w:id="293" w:name="_Toc31255"/>
      <w:r>
        <w:rPr>
          <w:rFonts w:hint="eastAsia"/>
          <w:highlight w:val="none"/>
        </w:rPr>
        <w:t>（三）完善基础设施布局，带动</w:t>
      </w:r>
      <w:r>
        <w:rPr>
          <w:rFonts w:hint="eastAsia"/>
          <w:highlight w:val="none"/>
          <w:lang w:val="en-US" w:eastAsia="zh-CN"/>
        </w:rPr>
        <w:t>区域</w:t>
      </w:r>
      <w:r>
        <w:rPr>
          <w:rFonts w:hint="eastAsia"/>
          <w:highlight w:val="none"/>
        </w:rPr>
        <w:t>承载能力提升</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060FEC2E">
      <w:pPr>
        <w:ind w:firstLine="640"/>
        <w:rPr>
          <w:rFonts w:hint="eastAsia"/>
          <w:highlight w:val="none"/>
        </w:rPr>
      </w:pPr>
      <w:bookmarkStart w:id="294" w:name="_Toc1882758544"/>
      <w:bookmarkStart w:id="295" w:name="_Toc318419509"/>
      <w:bookmarkStart w:id="296" w:name="_Toc827455841"/>
      <w:bookmarkStart w:id="297" w:name="_Toc20837"/>
      <w:bookmarkStart w:id="298" w:name="_Toc601406090"/>
      <w:bookmarkStart w:id="299" w:name="_Toc12560"/>
      <w:bookmarkStart w:id="300" w:name="_Toc890788696"/>
      <w:bookmarkStart w:id="301" w:name="_Toc206398812"/>
      <w:r>
        <w:rPr>
          <w:rFonts w:cs="Times New Roman (标题 CS)" w:hAnsiTheme="majorHAnsi"/>
          <w:highlight w:val="none"/>
        </w:rPr>
        <w:t>聚焦区域基础设施网络优化完善，统筹</w:t>
      </w:r>
      <w:r>
        <w:rPr>
          <w:rFonts w:hint="eastAsia" w:cs="Times New Roman (标题 CS)" w:hAnsiTheme="majorHAnsi"/>
          <w:highlight w:val="none"/>
        </w:rPr>
        <w:t>推进</w:t>
      </w:r>
      <w:r>
        <w:rPr>
          <w:rFonts w:cs="Times New Roman (标题 CS)" w:hAnsiTheme="majorHAnsi"/>
          <w:highlight w:val="none"/>
        </w:rPr>
        <w:t>轨道交通、城市道路、市政设施、能源保障等领域重点项目，</w:t>
      </w:r>
      <w:r>
        <w:rPr>
          <w:rFonts w:hint="eastAsia"/>
          <w:highlight w:val="none"/>
        </w:rPr>
        <w:t>推动基础设施项目围绕重点区域优先布局，着力加强管线随路建设。</w:t>
      </w:r>
      <w:r>
        <w:rPr>
          <w:rFonts w:cs="Times New Roman (标题 CS)" w:hAnsiTheme="majorHAnsi"/>
          <w:highlight w:val="none"/>
        </w:rPr>
        <w:t>建立与产业承载提升以及服务首都功能相契合的现代化基础设施体系</w:t>
      </w:r>
      <w:r>
        <w:rPr>
          <w:rFonts w:hint="eastAsia" w:cs="Times New Roman (标题 CS)" w:hAnsiTheme="majorHAnsi"/>
          <w:highlight w:val="none"/>
        </w:rPr>
        <w:t>，推进城市现代化发展。</w:t>
      </w:r>
    </w:p>
    <w:p w14:paraId="2BE4517E">
      <w:pPr>
        <w:pStyle w:val="5"/>
        <w:ind w:firstLine="643"/>
        <w:rPr>
          <w:rFonts w:hint="eastAsia"/>
          <w:highlight w:val="none"/>
        </w:rPr>
      </w:pPr>
      <w:bookmarkStart w:id="302" w:name="_Toc9758"/>
      <w:bookmarkStart w:id="303" w:name="_Toc532570556"/>
      <w:bookmarkStart w:id="304" w:name="_Toc28895"/>
      <w:bookmarkStart w:id="305" w:name="_Toc23212"/>
      <w:bookmarkStart w:id="306" w:name="_Toc20420"/>
      <w:bookmarkStart w:id="307" w:name="_Toc14996"/>
      <w:bookmarkStart w:id="308" w:name="_Toc10769"/>
      <w:bookmarkStart w:id="309" w:name="_Toc8084"/>
      <w:bookmarkStart w:id="310" w:name="_Toc2021933485"/>
      <w:bookmarkStart w:id="311" w:name="_Toc18258"/>
      <w:bookmarkStart w:id="312" w:name="_Toc24756"/>
      <w:r>
        <w:rPr>
          <w:rFonts w:hint="eastAsia"/>
          <w:highlight w:val="none"/>
        </w:rPr>
        <w:t>1.构建内外畅通的交通网络</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71170BC3">
      <w:pPr>
        <w:ind w:firstLine="663"/>
        <w:rPr>
          <w:rFonts w:hint="eastAsia"/>
          <w:b w:val="0"/>
          <w:bCs w:val="0"/>
          <w:highlight w:val="none"/>
        </w:rPr>
      </w:pPr>
      <w:r>
        <w:rPr>
          <w:rFonts w:hint="eastAsia" w:cs="仿宋_GB2312"/>
          <w:b w:val="0"/>
          <w:bCs w:val="0"/>
          <w:spacing w:val="5"/>
          <w:highlight w:val="none"/>
        </w:rPr>
        <w:t>优化对外骨干交通体系。依托市郊铁路城市副中心线后吕村站开通运营以及</w:t>
      </w:r>
      <w:r>
        <w:rPr>
          <w:b w:val="0"/>
          <w:bCs w:val="0"/>
          <w:highlight w:val="none"/>
        </w:rPr>
        <w:t>地铁1号线支线</w:t>
      </w:r>
      <w:r>
        <w:rPr>
          <w:rFonts w:hint="eastAsia" w:cs="仿宋_GB2312"/>
          <w:b w:val="0"/>
          <w:bCs w:val="0"/>
          <w:spacing w:val="5"/>
          <w:highlight w:val="none"/>
        </w:rPr>
        <w:t>建成契机</w:t>
      </w:r>
      <w:r>
        <w:rPr>
          <w:rFonts w:hint="eastAsia"/>
          <w:b w:val="0"/>
          <w:bCs w:val="0"/>
          <w:highlight w:val="none"/>
        </w:rPr>
        <w:t>，</w:t>
      </w:r>
      <w:r>
        <w:rPr>
          <w:rFonts w:hint="eastAsia" w:cs="仿宋_GB2312"/>
          <w:b w:val="0"/>
          <w:bCs w:val="0"/>
          <w:spacing w:val="5"/>
          <w:highlight w:val="none"/>
        </w:rPr>
        <w:t>发挥轨道交通辐射带动作用。</w:t>
      </w:r>
      <w:r>
        <w:rPr>
          <w:rFonts w:hint="eastAsia"/>
          <w:b w:val="0"/>
          <w:bCs w:val="0"/>
          <w:highlight w:val="none"/>
        </w:rPr>
        <w:t>建成京原漫水桥，建设京周路、梅市口路二期等对外交通主干路，推进长辛店北一路前期研究</w:t>
      </w:r>
      <w:r>
        <w:rPr>
          <w:rFonts w:hint="eastAsia" w:cs="仿宋_GB2312"/>
          <w:b w:val="0"/>
          <w:bCs w:val="0"/>
          <w:spacing w:val="5"/>
          <w:highlight w:val="none"/>
        </w:rPr>
        <w:t>。完善内部道路网络。</w:t>
      </w:r>
      <w:r>
        <w:rPr>
          <w:rFonts w:hint="eastAsia"/>
          <w:b w:val="0"/>
          <w:bCs w:val="0"/>
          <w:highlight w:val="none"/>
        </w:rPr>
        <w:t>加快沙羊路、山湖路等重点道路建设，推动长辛店西路、郭庄路、云岗路等主干路方案稳定，围绕轨道交通站点、产业园区、棚改区域、高品质住宅区、学校医院等有序实施一批配套次干路、支路建设。畅通轨道微中心交通微循环。衔接轨道微中心建设与发展需求，结合新开轨道站点及出入口布局，推进周边道路及公交车站、出租汽车停靠站等接驳设施建设。</w:t>
      </w:r>
    </w:p>
    <w:p w14:paraId="1C2B3280">
      <w:pPr>
        <w:pStyle w:val="5"/>
        <w:ind w:firstLine="643"/>
        <w:rPr>
          <w:rFonts w:hint="eastAsia"/>
          <w:highlight w:val="none"/>
        </w:rPr>
      </w:pPr>
      <w:bookmarkStart w:id="313" w:name="_Toc758743379"/>
      <w:bookmarkStart w:id="314" w:name="_Toc5185"/>
      <w:bookmarkStart w:id="315" w:name="_Toc27890"/>
      <w:bookmarkStart w:id="316" w:name="_Toc774739935"/>
      <w:bookmarkStart w:id="317" w:name="_Toc28013"/>
      <w:bookmarkStart w:id="318" w:name="_Toc7108"/>
      <w:bookmarkStart w:id="319" w:name="_Toc1498"/>
      <w:bookmarkStart w:id="320" w:name="_Toc24087"/>
      <w:bookmarkStart w:id="321" w:name="_Toc201493996"/>
      <w:bookmarkStart w:id="322" w:name="_Toc351310463"/>
      <w:bookmarkStart w:id="323" w:name="_Toc13961"/>
      <w:bookmarkStart w:id="324" w:name="_Toc1377110435"/>
      <w:bookmarkStart w:id="325" w:name="_Toc147439439"/>
      <w:bookmarkStart w:id="326" w:name="_Toc24083"/>
      <w:bookmarkStart w:id="327" w:name="_Toc2093705362"/>
      <w:bookmarkStart w:id="328" w:name="_Toc14"/>
      <w:bookmarkStart w:id="329" w:name="_Toc30811"/>
      <w:bookmarkStart w:id="330" w:name="_Toc20241"/>
      <w:bookmarkStart w:id="331" w:name="_Toc1774111848"/>
      <w:r>
        <w:rPr>
          <w:rFonts w:hint="eastAsia"/>
          <w:highlight w:val="none"/>
        </w:rPr>
        <w:t>2.提高市政设施保障水平</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403D1950">
      <w:pPr>
        <w:ind w:firstLine="643"/>
        <w:rPr>
          <w:rFonts w:hint="eastAsia"/>
          <w:highlight w:val="none"/>
        </w:rPr>
      </w:pPr>
      <w:r>
        <w:rPr>
          <w:rFonts w:hint="eastAsia"/>
          <w:b w:val="0"/>
          <w:bCs w:val="0"/>
          <w:highlight w:val="none"/>
        </w:rPr>
        <w:t>提升区域供水保障能力。</w:t>
      </w:r>
      <w:r>
        <w:rPr>
          <w:rFonts w:hint="eastAsia"/>
          <w:b w:val="0"/>
          <w:bCs w:val="0"/>
          <w:highlight w:val="none"/>
          <w:lang w:val="en-US" w:eastAsia="zh-CN"/>
        </w:rPr>
        <w:t>聚焦河西地区供水安全，</w:t>
      </w:r>
      <w:r>
        <w:rPr>
          <w:rFonts w:hint="eastAsia"/>
          <w:b w:val="0"/>
          <w:bCs w:val="0"/>
          <w:highlight w:val="none"/>
        </w:rPr>
        <w:t>稳步完成丰台河西第二水厂建设，推进河西地区供水管线消隐改造工程，逐步完善河西供水管网体系建设。</w:t>
      </w:r>
      <w:r>
        <w:rPr>
          <w:rFonts w:hint="eastAsia" w:cs="仿宋_GB2312"/>
          <w:b w:val="0"/>
          <w:bCs w:val="0"/>
          <w:highlight w:val="none"/>
        </w:rPr>
        <w:t>提高再生水循环利用水平。推进随路污水及再生水管网完善工程建设，做好各类居住小区、产业地块等项目再生水管道配套建设，提高再生水利用率。</w:t>
      </w:r>
      <w:r>
        <w:rPr>
          <w:rFonts w:hint="eastAsia"/>
          <w:b w:val="0"/>
          <w:bCs w:val="0"/>
          <w:highlight w:val="none"/>
        </w:rPr>
        <w:t>优化区域能源结构。实施一批外电源工程及输变电工程，随路建设一批天然气工程，推进京丰绿电供热试点工程等多元供热能力</w:t>
      </w:r>
      <w:r>
        <w:rPr>
          <w:rFonts w:hint="eastAsia"/>
          <w:highlight w:val="none"/>
        </w:rPr>
        <w:t>提升项目建设，保障区域能源供应。</w:t>
      </w:r>
      <w:bookmarkStart w:id="332" w:name="_Toc1663817326"/>
      <w:bookmarkStart w:id="333" w:name="_Toc2075363100"/>
      <w:bookmarkStart w:id="334" w:name="_Toc20336"/>
      <w:bookmarkStart w:id="335" w:name="_Toc1042406038"/>
      <w:bookmarkStart w:id="336" w:name="_Toc22970"/>
      <w:bookmarkStart w:id="337" w:name="_Toc13121"/>
      <w:bookmarkStart w:id="338" w:name="_Toc1966006282"/>
      <w:bookmarkStart w:id="339" w:name="_Toc442074967"/>
      <w:bookmarkStart w:id="340" w:name="_Toc238979392"/>
      <w:bookmarkStart w:id="341" w:name="_Toc8128"/>
      <w:bookmarkStart w:id="342" w:name="_Toc1834874388"/>
      <w:bookmarkStart w:id="343" w:name="_Toc28687"/>
      <w:bookmarkStart w:id="344" w:name="_Toc6409"/>
    </w:p>
    <w:p w14:paraId="0300F07A">
      <w:pPr>
        <w:pStyle w:val="5"/>
        <w:ind w:firstLine="643"/>
        <w:rPr>
          <w:rFonts w:hint="eastAsia"/>
          <w:highlight w:val="none"/>
        </w:rPr>
      </w:pPr>
      <w:bookmarkStart w:id="345" w:name="_Toc24354"/>
      <w:bookmarkStart w:id="346" w:name="_Toc291059298"/>
      <w:bookmarkStart w:id="347" w:name="_Toc31300"/>
      <w:bookmarkStart w:id="348" w:name="_Toc12096"/>
      <w:bookmarkStart w:id="349" w:name="_Toc12880"/>
      <w:bookmarkStart w:id="350" w:name="_Toc29188"/>
      <w:r>
        <w:rPr>
          <w:rFonts w:hint="eastAsia"/>
          <w:highlight w:val="none"/>
        </w:rPr>
        <w:t>3.加强安全韧性城市建设</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561626B3">
      <w:pPr>
        <w:ind w:firstLine="643"/>
        <w:rPr>
          <w:rFonts w:hint="eastAsia" w:cs="仿宋_GB2312"/>
          <w:highlight w:val="none"/>
        </w:rPr>
      </w:pPr>
      <w:r>
        <w:rPr>
          <w:rFonts w:hint="eastAsia" w:cs="仿宋_GB2312"/>
          <w:b w:val="0"/>
          <w:bCs w:val="0"/>
          <w:highlight w:val="none"/>
        </w:rPr>
        <w:t>提升基础设施安全韧性水平。</w:t>
      </w:r>
      <w:r>
        <w:rPr>
          <w:rFonts w:hint="eastAsia" w:cs="仿宋_GB2312"/>
          <w:b w:val="0"/>
          <w:bCs w:val="0"/>
          <w:highlight w:val="none"/>
          <w:lang w:val="en-US" w:eastAsia="zh-CN"/>
        </w:rPr>
        <w:t>全面</w:t>
      </w:r>
      <w:r>
        <w:rPr>
          <w:rFonts w:hint="eastAsia" w:cs="仿宋_GB2312"/>
          <w:b w:val="0"/>
          <w:bCs w:val="0"/>
          <w:highlight w:val="none"/>
        </w:rPr>
        <w:t>提升城市行洪排涝能力，完成牤牛河流域等河道治理工程，推进</w:t>
      </w:r>
      <w:r>
        <w:rPr>
          <w:rFonts w:hint="eastAsia" w:cs="仿宋_GB2312"/>
          <w:b w:val="0"/>
          <w:bCs w:val="0"/>
          <w:highlight w:val="none"/>
          <w:lang w:val="en-US" w:eastAsia="zh-CN"/>
        </w:rPr>
        <w:t>长青路</w:t>
      </w:r>
      <w:r>
        <w:rPr>
          <w:rFonts w:hint="eastAsia" w:cs="仿宋_GB2312"/>
          <w:b w:val="0"/>
          <w:bCs w:val="0"/>
          <w:highlight w:val="none"/>
        </w:rPr>
        <w:t>等多地积水点治理工程前期工作，系统提升城市行洪排涝能力。加快“平急两用”设施建设。</w:t>
      </w:r>
      <w:r>
        <w:rPr>
          <w:rFonts w:hint="eastAsia" w:cs="仿宋_GB2312"/>
          <w:b w:val="0"/>
          <w:bCs w:val="0"/>
          <w:highlight w:val="none"/>
          <w:lang w:val="en-US" w:eastAsia="zh-CN"/>
        </w:rPr>
        <w:t>完成“平急两用”高地堡垒建设，</w:t>
      </w:r>
      <w:r>
        <w:rPr>
          <w:rFonts w:hint="eastAsia" w:cs="仿宋_GB2312"/>
          <w:b w:val="0"/>
          <w:bCs w:val="0"/>
          <w:highlight w:val="none"/>
        </w:rPr>
        <w:t>将学校、会展中心、地下停车场、社区公园等空间纳入“平急两用”应急资源体系，构建总量充足、布局合理的应急避难场所体系，增强应对突发公共事件的综合保障能力。提升区域综合应急救援能力。聚焦森林火灾、地质灾害、城区内涝三大高风险领域，加强智能感知、大数据等新技术在监测预警和快速处置等方面的应用。完成永定河</w:t>
      </w:r>
      <w:r>
        <w:rPr>
          <w:rFonts w:hint="eastAsia" w:cs="仿宋_GB2312"/>
          <w:b w:val="0"/>
          <w:bCs w:val="0"/>
          <w:highlight w:val="none"/>
          <w:lang w:eastAsia="zh-CN"/>
        </w:rPr>
        <w:t>瞭望塔升级改造</w:t>
      </w:r>
      <w:r>
        <w:rPr>
          <w:rFonts w:hint="eastAsia" w:cs="仿宋_GB2312"/>
          <w:b w:val="0"/>
          <w:bCs w:val="0"/>
          <w:highlight w:val="none"/>
        </w:rPr>
        <w:t>，兼顾森林防火监测等实用功能与景观展示、登高眺望等附加功能。推动区级森林消防综合应急救援基地建设</w:t>
      </w:r>
      <w:r>
        <w:rPr>
          <w:rFonts w:hint="eastAsia" w:cs="仿宋_GB2312"/>
          <w:highlight w:val="none"/>
        </w:rPr>
        <w:t>，提高区级综合救援队伍实战能力及协同配合水平。</w:t>
      </w:r>
    </w:p>
    <w:p w14:paraId="2AD78B94">
      <w:pPr>
        <w:pStyle w:val="4"/>
        <w:ind w:firstLine="640"/>
        <w:rPr>
          <w:rFonts w:hint="eastAsia"/>
          <w:highlight w:val="none"/>
        </w:rPr>
      </w:pPr>
      <w:bookmarkStart w:id="351" w:name="_Toc777744453"/>
      <w:bookmarkStart w:id="352" w:name="_Toc1547233298"/>
      <w:bookmarkStart w:id="353" w:name="_Toc1808035396"/>
      <w:bookmarkStart w:id="354" w:name="_Toc1874"/>
      <w:bookmarkStart w:id="355" w:name="_Toc3576"/>
      <w:bookmarkStart w:id="356" w:name="_Toc6844"/>
      <w:bookmarkStart w:id="357" w:name="_Toc546688440"/>
      <w:bookmarkStart w:id="358" w:name="_Toc1198227126"/>
      <w:bookmarkStart w:id="359" w:name="_Toc868668196"/>
      <w:bookmarkStart w:id="360" w:name="_Toc15595"/>
      <w:bookmarkStart w:id="361" w:name="_Toc4581"/>
      <w:bookmarkStart w:id="362" w:name="_Toc15514"/>
      <w:bookmarkStart w:id="363" w:name="_Toc1857"/>
      <w:bookmarkStart w:id="364" w:name="_Toc1393230495"/>
      <w:bookmarkStart w:id="365" w:name="_Toc17718"/>
      <w:bookmarkStart w:id="366" w:name="_Toc27609"/>
      <w:bookmarkStart w:id="367" w:name="_Toc23044"/>
      <w:bookmarkStart w:id="368" w:name="_Toc1484188832"/>
      <w:bookmarkStart w:id="369" w:name="_Toc732221454"/>
      <w:bookmarkStart w:id="370" w:name="_Toc26308"/>
      <w:r>
        <w:rPr>
          <w:rFonts w:hint="eastAsia"/>
          <w:highlight w:val="none"/>
        </w:rPr>
        <w:t>（四）锚定“三农”领域需求，联动城乡融合发展</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2A12827C">
      <w:pPr>
        <w:ind w:firstLine="641" w:firstLineChars="0"/>
        <w:rPr>
          <w:rFonts w:hint="eastAsia"/>
          <w:highlight w:val="none"/>
        </w:rPr>
      </w:pPr>
      <w:bookmarkStart w:id="371" w:name="_Toc29680"/>
      <w:bookmarkStart w:id="372" w:name="_Toc1112537866"/>
      <w:bookmarkStart w:id="373" w:name="_Toc757295522"/>
      <w:bookmarkStart w:id="374" w:name="_Toc1739139519"/>
      <w:bookmarkStart w:id="375" w:name="_Toc28803"/>
      <w:bookmarkStart w:id="376" w:name="_Toc2010726224"/>
      <w:r>
        <w:rPr>
          <w:rFonts w:hint="eastAsia"/>
          <w:highlight w:val="none"/>
        </w:rPr>
        <w:t>紧抓轨道交通</w:t>
      </w:r>
      <w:r>
        <w:rPr>
          <w:rFonts w:hint="eastAsia"/>
          <w:highlight w:val="none"/>
          <w:lang w:val="en-US" w:eastAsia="zh-CN"/>
        </w:rPr>
        <w:t>1</w:t>
      </w:r>
      <w:r>
        <w:rPr>
          <w:rFonts w:hint="eastAsia"/>
          <w:highlight w:val="none"/>
        </w:rPr>
        <w:t>号线支线建设契机，坚持城市化发展思路，</w:t>
      </w:r>
      <w:r>
        <w:rPr>
          <w:rFonts w:hint="eastAsia"/>
          <w:highlight w:val="none"/>
          <w:lang w:val="en-US" w:eastAsia="zh-CN"/>
        </w:rPr>
        <w:t>围绕轨道交通站点</w:t>
      </w:r>
      <w:r>
        <w:rPr>
          <w:rFonts w:hint="eastAsia"/>
          <w:highlight w:val="none"/>
        </w:rPr>
        <w:t>优化</w:t>
      </w:r>
      <w:r>
        <w:rPr>
          <w:rFonts w:hint="eastAsia"/>
          <w:highlight w:val="none"/>
          <w:lang w:val="en-US" w:eastAsia="zh-CN"/>
        </w:rPr>
        <w:t>城乡</w:t>
      </w:r>
      <w:r>
        <w:rPr>
          <w:rFonts w:hint="eastAsia"/>
          <w:highlight w:val="none"/>
        </w:rPr>
        <w:t>空间格局，做强村级集体经济，</w:t>
      </w:r>
      <w:r>
        <w:rPr>
          <w:rFonts w:hint="eastAsia" w:cs="仿宋_GB2312"/>
          <w:kern w:val="0"/>
          <w:highlight w:val="none"/>
        </w:rPr>
        <w:t>促进农文旅体商深度融合发展，推动</w:t>
      </w:r>
      <w:r>
        <w:rPr>
          <w:rFonts w:hint="eastAsia"/>
          <w:highlight w:val="none"/>
        </w:rPr>
        <w:t>乡村环境持续改善，</w:t>
      </w:r>
      <w:r>
        <w:rPr>
          <w:rFonts w:hint="eastAsia" w:cs="仿宋_GB2312"/>
          <w:kern w:val="0"/>
          <w:highlight w:val="none"/>
        </w:rPr>
        <w:t>促进农业增效益、农村增活力、农民增收入</w:t>
      </w:r>
      <w:r>
        <w:rPr>
          <w:rFonts w:hint="eastAsia" w:cs="仿宋_GB2312"/>
          <w:kern w:val="0"/>
          <w:highlight w:val="none"/>
          <w:lang w:eastAsia="zh-CN"/>
        </w:rPr>
        <w:t>，</w:t>
      </w:r>
      <w:r>
        <w:rPr>
          <w:rFonts w:hint="eastAsia" w:cs="仿宋_GB2312"/>
          <w:kern w:val="0"/>
          <w:highlight w:val="none"/>
        </w:rPr>
        <w:t>扎实推进乡村全面振兴。</w:t>
      </w:r>
    </w:p>
    <w:p w14:paraId="2324A118">
      <w:pPr>
        <w:pStyle w:val="5"/>
        <w:ind w:firstLine="643"/>
        <w:rPr>
          <w:rFonts w:hint="eastAsia"/>
          <w:highlight w:val="none"/>
        </w:rPr>
      </w:pPr>
      <w:bookmarkStart w:id="377" w:name="_Toc1649148763"/>
      <w:bookmarkStart w:id="378" w:name="_Toc17983"/>
      <w:bookmarkStart w:id="379" w:name="_Toc27824"/>
      <w:bookmarkStart w:id="380" w:name="_Toc15884"/>
      <w:bookmarkStart w:id="381" w:name="_Toc32404"/>
      <w:bookmarkStart w:id="382" w:name="_Toc11097"/>
      <w:bookmarkStart w:id="383" w:name="_Toc2951"/>
      <w:bookmarkStart w:id="384" w:name="_Toc1186949757"/>
      <w:bookmarkStart w:id="385" w:name="_Toc22294"/>
      <w:bookmarkStart w:id="386" w:name="_Toc11349"/>
      <w:bookmarkStart w:id="387" w:name="_Toc22672"/>
      <w:r>
        <w:rPr>
          <w:rFonts w:hint="eastAsia"/>
          <w:highlight w:val="none"/>
        </w:rPr>
        <w:t>1.推动乡村产业</w:t>
      </w:r>
      <w:bookmarkEnd w:id="371"/>
      <w:bookmarkEnd w:id="372"/>
      <w:bookmarkEnd w:id="373"/>
      <w:bookmarkEnd w:id="374"/>
      <w:bookmarkEnd w:id="375"/>
      <w:bookmarkEnd w:id="376"/>
      <w:bookmarkEnd w:id="377"/>
      <w:r>
        <w:rPr>
          <w:rFonts w:hint="eastAsia"/>
          <w:highlight w:val="none"/>
        </w:rPr>
        <w:t>现代化发展</w:t>
      </w:r>
      <w:bookmarkEnd w:id="378"/>
      <w:bookmarkEnd w:id="379"/>
      <w:bookmarkEnd w:id="380"/>
      <w:bookmarkEnd w:id="381"/>
      <w:bookmarkEnd w:id="382"/>
      <w:bookmarkEnd w:id="383"/>
      <w:bookmarkEnd w:id="384"/>
      <w:bookmarkEnd w:id="385"/>
      <w:bookmarkEnd w:id="386"/>
      <w:bookmarkEnd w:id="387"/>
    </w:p>
    <w:p w14:paraId="4F44EB96">
      <w:pPr>
        <w:ind w:firstLine="643"/>
        <w:rPr>
          <w:rFonts w:hint="eastAsia"/>
          <w:b w:val="0"/>
          <w:bCs w:val="0"/>
          <w:color w:val="0000FF"/>
          <w:highlight w:val="none"/>
          <w:lang w:bidi="ar"/>
        </w:rPr>
      </w:pPr>
      <w:r>
        <w:rPr>
          <w:rFonts w:hint="eastAsia" w:ascii="Times New Roman" w:hAnsi="Times New Roman" w:cs="Times New Roman"/>
          <w:b w:val="0"/>
          <w:bCs w:val="0"/>
          <w:kern w:val="0"/>
          <w:highlight w:val="none"/>
        </w:rPr>
        <w:t>聚力新型集体经济发展壮大。</w:t>
      </w:r>
      <w:r>
        <w:rPr>
          <w:rFonts w:hint="eastAsia" w:ascii="Times New Roman" w:hAnsi="Times New Roman" w:cs="Times New Roman"/>
          <w:b w:val="0"/>
          <w:bCs w:val="0"/>
          <w:kern w:val="0"/>
          <w:highlight w:val="none"/>
          <w:lang w:val="en-US" w:eastAsia="zh-CN"/>
        </w:rPr>
        <w:t>加强</w:t>
      </w:r>
      <w:r>
        <w:rPr>
          <w:rFonts w:hint="eastAsia" w:ascii="Times New Roman" w:hAnsi="Times New Roman" w:cs="Times New Roman"/>
          <w:b w:val="0"/>
          <w:bCs w:val="0"/>
          <w:kern w:val="0"/>
          <w:highlight w:val="none"/>
        </w:rPr>
        <w:t>集体经营性建设用地集约利用，</w:t>
      </w:r>
      <w:r>
        <w:rPr>
          <w:rFonts w:hint="eastAsia" w:ascii="Times New Roman" w:hAnsi="Times New Roman" w:cs="Times New Roman"/>
          <w:b w:val="0"/>
          <w:bCs w:val="0"/>
          <w:kern w:val="0"/>
          <w:highlight w:val="none"/>
          <w:lang w:val="en-US" w:eastAsia="zh-CN"/>
        </w:rPr>
        <w:t>鼓励</w:t>
      </w:r>
      <w:r>
        <w:rPr>
          <w:rFonts w:hint="eastAsia" w:ascii="Times New Roman" w:hAnsi="Times New Roman" w:cs="Times New Roman"/>
          <w:b w:val="0"/>
          <w:bCs w:val="0"/>
          <w:kern w:val="0"/>
          <w:highlight w:val="none"/>
        </w:rPr>
        <w:t>集体产业项目向轨道交通沿线、重点功能区周边等交通便利区域集聚，促进集体经济从传统“瓦片经济”向多元新业态转型升级，推进集体产业提质升级。</w:t>
      </w:r>
      <w:r>
        <w:rPr>
          <w:rFonts w:hint="eastAsia" w:ascii="Times New Roman" w:hAnsi="Times New Roman" w:cs="Times New Roman"/>
          <w:b w:val="0"/>
          <w:bCs w:val="0"/>
          <w:highlight w:val="none"/>
          <w:lang w:bidi="ar"/>
        </w:rPr>
        <w:t>推动现代农业高质量发展。推进丰台区河东河西大田整合优化，促进河西地区千亩现代农业园建设。深入实施种业振兴行动，推动农业生产模式从单一生产向复合业态转型，加快构建都市型现代农业产业体系。</w:t>
      </w:r>
      <w:r>
        <w:rPr>
          <w:rFonts w:hint="eastAsia" w:cs="仿宋_GB2312"/>
          <w:b w:val="0"/>
          <w:bCs w:val="0"/>
          <w:highlight w:val="none"/>
        </w:rPr>
        <w:t>促进农文旅体商融合发展。</w:t>
      </w:r>
      <w:r>
        <w:rPr>
          <w:rFonts w:hint="eastAsia"/>
          <w:b w:val="0"/>
          <w:bCs w:val="0"/>
          <w:highlight w:val="none"/>
          <w:lang w:bidi="ar"/>
        </w:rPr>
        <w:t>在大林大田、郊野公园、滨水沿岸推动农村特色风貌、乡土文化、自然景观塑造，布局一批文旅休闲、智慧农业、郊野运动等项目，促进农文旅体商融合发展。</w:t>
      </w:r>
    </w:p>
    <w:p w14:paraId="220EB97A">
      <w:pPr>
        <w:pStyle w:val="5"/>
        <w:ind w:firstLine="643"/>
        <w:rPr>
          <w:rFonts w:hint="eastAsia"/>
          <w:highlight w:val="none"/>
        </w:rPr>
      </w:pPr>
      <w:bookmarkStart w:id="388" w:name="_Toc25350"/>
      <w:bookmarkStart w:id="389" w:name="_Toc1472977576"/>
      <w:bookmarkStart w:id="390" w:name="_Toc28672"/>
      <w:bookmarkStart w:id="391" w:name="_Toc6208"/>
      <w:bookmarkStart w:id="392" w:name="_Toc1075"/>
      <w:bookmarkStart w:id="393" w:name="_Toc317976516"/>
      <w:bookmarkStart w:id="394" w:name="_Toc9639"/>
      <w:bookmarkStart w:id="395" w:name="_Toc1179"/>
      <w:bookmarkStart w:id="396" w:name="_Toc27465"/>
      <w:bookmarkStart w:id="397" w:name="_Toc8691"/>
      <w:bookmarkStart w:id="398" w:name="_Toc14781"/>
      <w:bookmarkStart w:id="399" w:name="_Toc1771011467"/>
      <w:bookmarkStart w:id="400" w:name="_Toc1819311559"/>
      <w:bookmarkStart w:id="401" w:name="_Toc1877746132"/>
      <w:bookmarkStart w:id="402" w:name="_Toc19392"/>
      <w:bookmarkStart w:id="403" w:name="_Toc1045"/>
      <w:bookmarkStart w:id="404" w:name="_Toc283799433"/>
      <w:r>
        <w:rPr>
          <w:rFonts w:hint="eastAsia"/>
          <w:highlight w:val="none"/>
        </w:rPr>
        <w:t>2.扎实推进农村城市化进程</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29EE4AF3">
      <w:pPr>
        <w:wordWrap w:val="0"/>
        <w:ind w:firstLine="643"/>
        <w:rPr>
          <w:rFonts w:hint="eastAsia"/>
          <w:highlight w:val="none"/>
        </w:rPr>
      </w:pPr>
      <w:r>
        <w:rPr>
          <w:rFonts w:hint="eastAsia"/>
          <w:b w:val="0"/>
          <w:bCs w:val="0"/>
          <w:highlight w:val="none"/>
          <w:lang w:val="en-US" w:eastAsia="zh-CN"/>
        </w:rPr>
        <w:t>提升</w:t>
      </w:r>
      <w:r>
        <w:rPr>
          <w:rFonts w:hint="eastAsia"/>
          <w:b w:val="0"/>
          <w:bCs w:val="0"/>
          <w:highlight w:val="none"/>
        </w:rPr>
        <w:t>乡村基础设施均等化</w:t>
      </w:r>
      <w:r>
        <w:rPr>
          <w:rFonts w:hint="eastAsia"/>
          <w:b w:val="0"/>
          <w:bCs w:val="0"/>
          <w:highlight w:val="none"/>
          <w:lang w:val="en-US" w:eastAsia="zh-CN"/>
        </w:rPr>
        <w:t>水平</w:t>
      </w:r>
      <w:r>
        <w:rPr>
          <w:rFonts w:hint="eastAsia"/>
          <w:b w:val="0"/>
          <w:bCs w:val="0"/>
          <w:highlight w:val="none"/>
        </w:rPr>
        <w:t>。强化农村与地铁</w:t>
      </w:r>
      <w:r>
        <w:rPr>
          <w:rFonts w:hint="eastAsia"/>
          <w:b w:val="0"/>
          <w:bCs w:val="0"/>
          <w:highlight w:val="none"/>
          <w:lang w:val="en-US" w:eastAsia="zh-CN"/>
        </w:rPr>
        <w:t>公共交通</w:t>
      </w:r>
      <w:r>
        <w:rPr>
          <w:rFonts w:hint="eastAsia"/>
          <w:b w:val="0"/>
          <w:bCs w:val="0"/>
          <w:highlight w:val="none"/>
        </w:rPr>
        <w:t>接驳，改善农村公共交通通达条件。推进河西地区水源置换，提升农村供水保障能力。建成丰台区河西地区雨污分流改造工程（一期），打通农村污水收集“最后一米”。提升社区卫生、养老服务等基本公共服务均衡化、优质化水平。推动乡村特色风貌塑造。常态化开展村庄绿化美化与环境清洁专项行动，推进环境综合整治提升。探索可复制可推广的乡村环境治理新模式，以点带面提升乡村生态治理水平。完善多元共治机制，推进村庄风貌引导</w:t>
      </w:r>
      <w:r>
        <w:rPr>
          <w:rFonts w:hint="eastAsia"/>
          <w:highlight w:val="none"/>
        </w:rPr>
        <w:t>与品质提升</w:t>
      </w:r>
      <w:r>
        <w:rPr>
          <w:rFonts w:hint="eastAsia"/>
          <w:color w:val="000000" w:themeColor="text1"/>
          <w:kern w:val="0"/>
          <w:highlight w:val="none"/>
          <w:lang w:bidi="ar"/>
          <w14:textFill>
            <w14:solidFill>
              <w14:schemeClr w14:val="tx1"/>
            </w14:solidFill>
          </w14:textFill>
        </w:rPr>
        <w:t>。</w:t>
      </w:r>
    </w:p>
    <w:p w14:paraId="35BE06A6">
      <w:pPr>
        <w:pStyle w:val="5"/>
        <w:ind w:firstLine="643"/>
        <w:rPr>
          <w:rFonts w:hint="eastAsia"/>
          <w:highlight w:val="none"/>
        </w:rPr>
      </w:pPr>
      <w:bookmarkStart w:id="405" w:name="_Toc21805"/>
      <w:bookmarkStart w:id="406" w:name="_Toc4862"/>
      <w:bookmarkStart w:id="407" w:name="_Toc22091"/>
      <w:bookmarkStart w:id="408" w:name="_Toc18039"/>
      <w:bookmarkStart w:id="409" w:name="_Toc18785"/>
      <w:bookmarkStart w:id="410" w:name="_Toc17212"/>
      <w:bookmarkStart w:id="411" w:name="_Toc1527330625"/>
      <w:bookmarkStart w:id="412" w:name="_Toc17612"/>
      <w:r>
        <w:rPr>
          <w:highlight w:val="none"/>
        </w:rPr>
        <w:t>3.</w:t>
      </w:r>
      <w:r>
        <w:rPr>
          <w:rFonts w:hint="eastAsia"/>
          <w:highlight w:val="none"/>
        </w:rPr>
        <w:t>提高农村居民生活水平</w:t>
      </w:r>
      <w:bookmarkEnd w:id="405"/>
      <w:bookmarkEnd w:id="406"/>
      <w:bookmarkEnd w:id="407"/>
      <w:bookmarkEnd w:id="408"/>
      <w:bookmarkEnd w:id="409"/>
      <w:bookmarkEnd w:id="410"/>
      <w:bookmarkEnd w:id="411"/>
      <w:bookmarkEnd w:id="412"/>
    </w:p>
    <w:p w14:paraId="5611D4E3">
      <w:pPr>
        <w:wordWrap w:val="0"/>
        <w:ind w:firstLine="643"/>
        <w:rPr>
          <w:rFonts w:hint="eastAsia" w:ascii="Times New Roman" w:hAnsi="Times New Roman" w:cs="Times New Roman"/>
          <w:kern w:val="0"/>
          <w:highlight w:val="none"/>
        </w:rPr>
      </w:pPr>
      <w:r>
        <w:rPr>
          <w:rFonts w:hint="eastAsia" w:ascii="Times New Roman" w:hAnsi="Times New Roman" w:cs="Times New Roman"/>
          <w:b w:val="0"/>
          <w:bCs w:val="0"/>
          <w:kern w:val="0"/>
          <w:highlight w:val="none"/>
        </w:rPr>
        <w:t>巩固拓展持续增收成果。夯实一产增收根基，健全农业经营主体与农户利益联结机制，优化新型农业经营主体培育体系，提升发展质量与带动能力，</w:t>
      </w:r>
      <w:r>
        <w:rPr>
          <w:rFonts w:hint="eastAsia"/>
          <w:b w:val="0"/>
          <w:bCs w:val="0"/>
          <w:kern w:val="0"/>
          <w:highlight w:val="none"/>
        </w:rPr>
        <w:t>发展乡村特色产业，</w:t>
      </w:r>
      <w:r>
        <w:rPr>
          <w:rFonts w:hint="eastAsia" w:ascii="Times New Roman" w:hAnsi="Times New Roman" w:cs="Times New Roman"/>
          <w:b w:val="0"/>
          <w:bCs w:val="0"/>
          <w:kern w:val="0"/>
          <w:highlight w:val="none"/>
        </w:rPr>
        <w:t>构建稳固可持续的农民增收渠道。完善农村社会保障体系。</w:t>
      </w:r>
      <w:r>
        <w:rPr>
          <w:rFonts w:hint="eastAsia"/>
          <w:b w:val="0"/>
          <w:bCs w:val="0"/>
          <w:kern w:val="0"/>
          <w:highlight w:val="none"/>
        </w:rPr>
        <w:t>将更多农村劳动力纳入城镇职工保险体系。</w:t>
      </w:r>
      <w:r>
        <w:rPr>
          <w:rFonts w:hint="eastAsia" w:ascii="Times New Roman" w:hAnsi="Times New Roman" w:cs="Times New Roman"/>
          <w:b w:val="0"/>
          <w:bCs w:val="0"/>
          <w:kern w:val="0"/>
          <w:highlight w:val="none"/>
        </w:rPr>
        <w:t>引导有条件的农村集体经济组织为成员设置社保缴费补贴或建立补充养老基金，</w:t>
      </w:r>
      <w:r>
        <w:rPr>
          <w:rFonts w:hint="eastAsia" w:ascii="Times New Roman" w:hAnsi="Times New Roman" w:cs="Times New Roman"/>
          <w:kern w:val="0"/>
          <w:highlight w:val="none"/>
        </w:rPr>
        <w:t>形成政府、集体、个人共同参与的保障格局。</w:t>
      </w:r>
    </w:p>
    <w:p w14:paraId="0520E65B">
      <w:pPr>
        <w:pStyle w:val="4"/>
        <w:ind w:firstLine="640"/>
        <w:rPr>
          <w:rFonts w:hint="eastAsia"/>
          <w:highlight w:val="none"/>
        </w:rPr>
      </w:pPr>
      <w:bookmarkStart w:id="413" w:name="_Toc20525"/>
      <w:bookmarkStart w:id="414" w:name="_Toc17096"/>
      <w:bookmarkStart w:id="415" w:name="_Toc21002"/>
      <w:bookmarkStart w:id="416" w:name="_Toc10204"/>
      <w:bookmarkStart w:id="417" w:name="_Toc338"/>
      <w:bookmarkStart w:id="418" w:name="_Toc19962"/>
      <w:bookmarkStart w:id="419" w:name="_Toc2373"/>
      <w:bookmarkStart w:id="420" w:name="_Toc31496"/>
      <w:bookmarkStart w:id="421" w:name="_Toc1297206127"/>
      <w:bookmarkStart w:id="422" w:name="_Toc1291990676"/>
      <w:bookmarkStart w:id="423" w:name="_Toc25488"/>
      <w:bookmarkStart w:id="424" w:name="_Toc2007047859"/>
      <w:bookmarkStart w:id="425" w:name="_Toc13199"/>
      <w:bookmarkStart w:id="426" w:name="_Toc142637216"/>
      <w:bookmarkStart w:id="427" w:name="_Toc1172"/>
      <w:bookmarkStart w:id="428" w:name="_Toc255890444"/>
      <w:bookmarkStart w:id="429" w:name="_Toc1175705786"/>
      <w:r>
        <w:rPr>
          <w:rFonts w:hint="eastAsia"/>
          <w:highlight w:val="none"/>
        </w:rPr>
        <w:t>（五）优化公共资源配置，推动民生福祉提质增效</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5A31D506">
      <w:pPr>
        <w:ind w:firstLine="640"/>
        <w:rPr>
          <w:rFonts w:hint="eastAsia"/>
          <w:highlight w:val="none"/>
        </w:rPr>
      </w:pPr>
      <w:bookmarkStart w:id="430" w:name="_Toc10458"/>
      <w:bookmarkStart w:id="431" w:name="_Toc711939260"/>
      <w:bookmarkStart w:id="432" w:name="_Toc1488431014"/>
      <w:bookmarkStart w:id="433" w:name="_Toc1280136715"/>
      <w:bookmarkStart w:id="434" w:name="_Toc2554"/>
      <w:bookmarkStart w:id="435" w:name="_Toc1927722784"/>
      <w:r>
        <w:rPr>
          <w:highlight w:val="none"/>
        </w:rPr>
        <w:t>坚持以人民为中心的发展思想，</w:t>
      </w:r>
      <w:r>
        <w:rPr>
          <w:rFonts w:hint="eastAsia"/>
          <w:highlight w:val="none"/>
        </w:rPr>
        <w:t>健全与人口结构变化相协调的服务体系，推动全民普惠、全龄贯通的公共服务资源共建共享</w:t>
      </w:r>
      <w:r>
        <w:rPr>
          <w:highlight w:val="none"/>
        </w:rPr>
        <w:t>，不断增强人民群众的获得感、幸福感与安全感</w:t>
      </w:r>
      <w:r>
        <w:rPr>
          <w:rFonts w:hint="eastAsia"/>
          <w:highlight w:val="none"/>
        </w:rPr>
        <w:t>，推动全区建设全龄友好活力区</w:t>
      </w:r>
      <w:r>
        <w:rPr>
          <w:highlight w:val="none"/>
        </w:rPr>
        <w:t>。</w:t>
      </w:r>
    </w:p>
    <w:p w14:paraId="44C62836">
      <w:pPr>
        <w:pStyle w:val="5"/>
        <w:ind w:firstLine="643"/>
        <w:rPr>
          <w:rFonts w:hint="eastAsia"/>
          <w:highlight w:val="none"/>
        </w:rPr>
      </w:pPr>
      <w:bookmarkStart w:id="436" w:name="_Toc97972304"/>
      <w:bookmarkStart w:id="437" w:name="_Toc22643"/>
      <w:bookmarkStart w:id="438" w:name="_Toc9279"/>
      <w:bookmarkStart w:id="439" w:name="_Toc9172"/>
      <w:bookmarkStart w:id="440" w:name="_Toc12442"/>
      <w:bookmarkStart w:id="441" w:name="_Toc5706"/>
      <w:bookmarkStart w:id="442" w:name="_Toc14610"/>
      <w:bookmarkStart w:id="443" w:name="_Toc579"/>
      <w:bookmarkStart w:id="444" w:name="_Toc6941"/>
      <w:bookmarkStart w:id="445" w:name="_Toc18283"/>
      <w:bookmarkStart w:id="446" w:name="_Toc889392145"/>
      <w:r>
        <w:rPr>
          <w:rFonts w:hint="eastAsia"/>
          <w:highlight w:val="none"/>
        </w:rPr>
        <w:t>1.完善和谐宜居住房保障体系。</w:t>
      </w:r>
      <w:bookmarkEnd w:id="436"/>
      <w:bookmarkEnd w:id="437"/>
      <w:bookmarkEnd w:id="438"/>
      <w:bookmarkEnd w:id="439"/>
      <w:bookmarkEnd w:id="440"/>
      <w:bookmarkEnd w:id="441"/>
    </w:p>
    <w:p w14:paraId="01018214">
      <w:pPr>
        <w:ind w:firstLine="643"/>
        <w:rPr>
          <w:rFonts w:hint="eastAsia"/>
          <w:highlight w:val="none"/>
        </w:rPr>
      </w:pPr>
      <w:r>
        <w:rPr>
          <w:rFonts w:hint="eastAsia" w:cs="仿宋_GB2312"/>
          <w:b w:val="0"/>
          <w:bCs w:val="0"/>
          <w:highlight w:val="none"/>
        </w:rPr>
        <w:t>加快改善民生居住条件。推动增量提质和存量更新双向发力，稳步提升居住条件。建设安全舒适绿色智慧的“好房子”，实施房屋品质提升工程，建立房屋全生命周期安全管理制度。统筹推进存量住房更新与民生保障项目建设，</w:t>
      </w:r>
      <w:r>
        <w:rPr>
          <w:rFonts w:hint="eastAsia" w:ascii="Times New Roman" w:hAnsi="Times New Roman" w:cs="仿宋_GB2312"/>
          <w:b w:val="0"/>
          <w:bCs w:val="0"/>
          <w:kern w:val="0"/>
          <w:highlight w:val="none"/>
        </w:rPr>
        <w:t>实施</w:t>
      </w:r>
      <w:r>
        <w:rPr>
          <w:rFonts w:hint="eastAsia" w:cs="仿宋_GB2312"/>
          <w:b w:val="0"/>
          <w:bCs w:val="0"/>
          <w:highlight w:val="none"/>
        </w:rPr>
        <w:t>云岗街道北山生活区危旧房改造等项目，改善居民生活环境。</w:t>
      </w:r>
      <w:r>
        <w:rPr>
          <w:rFonts w:hint="eastAsia"/>
          <w:b w:val="0"/>
          <w:bCs w:val="0"/>
          <w:highlight w:val="none"/>
        </w:rPr>
        <w:t>优化住房供给体系。丰富保障性住房供给，满足青年人才、工薪群体和困难家庭住房需求</w:t>
      </w:r>
      <w:bookmarkEnd w:id="430"/>
      <w:bookmarkEnd w:id="431"/>
      <w:bookmarkEnd w:id="442"/>
      <w:bookmarkEnd w:id="443"/>
      <w:bookmarkEnd w:id="444"/>
      <w:bookmarkEnd w:id="445"/>
      <w:bookmarkEnd w:id="446"/>
      <w:bookmarkStart w:id="447" w:name="_Toc32426"/>
      <w:bookmarkStart w:id="448" w:name="_Toc17958"/>
      <w:bookmarkStart w:id="449" w:name="_Toc1527597895"/>
      <w:bookmarkStart w:id="450" w:name="_Toc18707"/>
      <w:bookmarkStart w:id="451" w:name="_Toc30637"/>
      <w:bookmarkStart w:id="452" w:name="_Toc1931745383"/>
      <w:bookmarkStart w:id="453" w:name="_Toc4690"/>
      <w:r>
        <w:rPr>
          <w:rFonts w:hint="eastAsia"/>
          <w:b w:val="0"/>
          <w:bCs w:val="0"/>
          <w:highlight w:val="none"/>
        </w:rPr>
        <w:t>。加快推进辛庄村棚改土地开发等项目，切实解决棚户区居民的安置需求。推进张郭庄棚户区改造上市</w:t>
      </w:r>
      <w:r>
        <w:rPr>
          <w:rFonts w:hint="eastAsia"/>
          <w:highlight w:val="none"/>
        </w:rPr>
        <w:t>地块建设，增加商品住房市场有效供应，丰富居住</w:t>
      </w:r>
      <w:r>
        <w:rPr>
          <w:highlight w:val="none"/>
        </w:rPr>
        <w:t>供给体系</w:t>
      </w:r>
      <w:r>
        <w:rPr>
          <w:rFonts w:hint="eastAsia"/>
          <w:highlight w:val="none"/>
        </w:rPr>
        <w:t>。</w:t>
      </w:r>
    </w:p>
    <w:p w14:paraId="31E7E04E">
      <w:pPr>
        <w:pStyle w:val="5"/>
        <w:ind w:firstLine="643"/>
        <w:rPr>
          <w:rFonts w:hint="eastAsia"/>
          <w:highlight w:val="none"/>
        </w:rPr>
      </w:pPr>
      <w:bookmarkStart w:id="454" w:name="_Toc1576"/>
      <w:bookmarkStart w:id="455" w:name="_Toc22702"/>
      <w:bookmarkStart w:id="456" w:name="_Toc26763"/>
      <w:bookmarkStart w:id="457" w:name="_Toc852534462"/>
      <w:bookmarkStart w:id="458" w:name="_Toc14727"/>
      <w:bookmarkStart w:id="459" w:name="_Toc5413"/>
      <w:r>
        <w:rPr>
          <w:rFonts w:hint="eastAsia"/>
          <w:highlight w:val="none"/>
        </w:rPr>
        <w:t>2.构建优质均衡的教育体系</w:t>
      </w:r>
      <w:bookmarkEnd w:id="432"/>
      <w:bookmarkEnd w:id="433"/>
      <w:bookmarkEnd w:id="434"/>
      <w:bookmarkEnd w:id="435"/>
      <w:bookmarkEnd w:id="447"/>
      <w:bookmarkEnd w:id="448"/>
      <w:bookmarkEnd w:id="449"/>
      <w:bookmarkEnd w:id="450"/>
      <w:bookmarkEnd w:id="451"/>
      <w:bookmarkEnd w:id="452"/>
      <w:bookmarkEnd w:id="453"/>
      <w:bookmarkEnd w:id="454"/>
      <w:bookmarkEnd w:id="455"/>
      <w:bookmarkEnd w:id="456"/>
      <w:bookmarkEnd w:id="457"/>
      <w:bookmarkEnd w:id="458"/>
      <w:bookmarkEnd w:id="459"/>
    </w:p>
    <w:p w14:paraId="2794DC2B">
      <w:pPr>
        <w:ind w:firstLine="643"/>
        <w:rPr>
          <w:rFonts w:hint="eastAsia" w:eastAsia="仿宋_GB2312"/>
          <w:highlight w:val="none"/>
          <w:lang w:eastAsia="zh-CN"/>
        </w:rPr>
      </w:pPr>
      <w:r>
        <w:rPr>
          <w:rFonts w:hint="eastAsia" w:cs="仿宋_GB2312"/>
          <w:b w:val="0"/>
          <w:bCs w:val="0"/>
          <w:highlight w:val="none"/>
        </w:rPr>
        <w:t>统筹优化基础教育资源配置。</w:t>
      </w:r>
      <w:r>
        <w:rPr>
          <w:rFonts w:hint="eastAsia"/>
          <w:b w:val="0"/>
          <w:bCs w:val="0"/>
          <w:highlight w:val="none"/>
          <w:lang w:eastAsia="zh-CN"/>
        </w:rPr>
        <w:t>伴随河西地区</w:t>
      </w:r>
      <w:r>
        <w:rPr>
          <w:rFonts w:hint="eastAsia"/>
          <w:b w:val="0"/>
          <w:bCs w:val="0"/>
          <w:highlight w:val="none"/>
          <w:lang w:val="en-US" w:eastAsia="zh-CN"/>
        </w:rPr>
        <w:t>有序</w:t>
      </w:r>
      <w:r>
        <w:rPr>
          <w:rFonts w:hint="eastAsia"/>
          <w:b w:val="0"/>
          <w:bCs w:val="0"/>
          <w:highlight w:val="none"/>
          <w:lang w:eastAsia="zh-CN"/>
        </w:rPr>
        <w:t>开发建设，</w:t>
      </w:r>
      <w:r>
        <w:rPr>
          <w:rFonts w:hint="eastAsia"/>
          <w:b w:val="0"/>
          <w:bCs w:val="0"/>
          <w:spacing w:val="-2"/>
          <w:highlight w:val="none"/>
          <w:lang w:val="en-US" w:eastAsia="zh-CN"/>
        </w:rPr>
        <w:t>基于人口流入趋势，研究区域学位需求，实现</w:t>
      </w:r>
      <w:r>
        <w:rPr>
          <w:rFonts w:hint="eastAsia"/>
          <w:b w:val="0"/>
          <w:bCs w:val="0"/>
          <w:highlight w:val="none"/>
          <w:shd w:val="clear" w:color="auto" w:fill="FFFFFF"/>
          <w:lang w:val="en-US" w:eastAsia="zh-CN"/>
        </w:rPr>
        <w:t>教育资源配置与人口变化协调适配，</w:t>
      </w:r>
      <w:r>
        <w:rPr>
          <w:rFonts w:hint="eastAsia"/>
          <w:b w:val="0"/>
          <w:bCs w:val="0"/>
          <w:highlight w:val="none"/>
          <w:shd w:val="clear" w:color="auto" w:fill="FFFFFF"/>
        </w:rPr>
        <w:t>建成中国人民大学附属中学园博园校区等</w:t>
      </w:r>
      <w:r>
        <w:rPr>
          <w:rFonts w:hint="eastAsia"/>
          <w:b w:val="0"/>
          <w:bCs w:val="0"/>
          <w:highlight w:val="none"/>
        </w:rPr>
        <w:t>一批优质学校。以幼儿园办托为主渠道，以社区办托和托育机构为辅助，优化托位供给布局。深入推进学区制改革</w:t>
      </w:r>
      <w:r>
        <w:rPr>
          <w:rFonts w:hint="eastAsia"/>
          <w:b w:val="0"/>
          <w:bCs w:val="0"/>
          <w:highlight w:val="none"/>
          <w:lang w:eastAsia="zh-CN"/>
        </w:rPr>
        <w:t>。</w:t>
      </w:r>
      <w:r>
        <w:rPr>
          <w:rFonts w:hint="eastAsia"/>
          <w:b w:val="0"/>
          <w:bCs w:val="0"/>
          <w:highlight w:val="none"/>
        </w:rPr>
        <w:t>推进整合合并、联合办学、级部制管理，实现“每个学区每个学段都有</w:t>
      </w:r>
      <w:r>
        <w:rPr>
          <w:rFonts w:hint="eastAsia"/>
          <w:highlight w:val="none"/>
        </w:rPr>
        <w:t>优质学校”。</w:t>
      </w:r>
    </w:p>
    <w:p w14:paraId="14CF15B5">
      <w:pPr>
        <w:pStyle w:val="5"/>
        <w:ind w:firstLine="643"/>
        <w:rPr>
          <w:rFonts w:hint="eastAsia"/>
          <w:highlight w:val="none"/>
        </w:rPr>
      </w:pPr>
      <w:bookmarkStart w:id="460" w:name="_Toc7937"/>
      <w:bookmarkStart w:id="461" w:name="_Toc23048395"/>
      <w:bookmarkStart w:id="462" w:name="_Toc5340"/>
      <w:bookmarkStart w:id="463" w:name="_Toc550050166"/>
      <w:bookmarkStart w:id="464" w:name="_Toc11219"/>
      <w:bookmarkStart w:id="465" w:name="_Toc1011"/>
      <w:bookmarkStart w:id="466" w:name="_Toc19303"/>
      <w:bookmarkStart w:id="467" w:name="_Toc1186876735"/>
      <w:bookmarkStart w:id="468" w:name="_Toc25415"/>
      <w:bookmarkStart w:id="469" w:name="_Toc151048399"/>
      <w:bookmarkStart w:id="470" w:name="_Toc12969"/>
      <w:bookmarkStart w:id="471" w:name="_Toc12185"/>
      <w:bookmarkStart w:id="472" w:name="_Toc11372"/>
      <w:bookmarkStart w:id="473" w:name="_Toc1018"/>
      <w:bookmarkStart w:id="474" w:name="_Toc1205"/>
      <w:bookmarkStart w:id="475" w:name="_Toc1766593359"/>
      <w:bookmarkStart w:id="476" w:name="_Toc1170821380"/>
      <w:r>
        <w:rPr>
          <w:rFonts w:hint="eastAsia"/>
          <w:highlight w:val="none"/>
        </w:rPr>
        <w:t>3.提升医疗卫生服务供给能力</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678085CC">
      <w:pPr>
        <w:ind w:firstLine="643" w:firstLineChars="0"/>
        <w:rPr>
          <w:rFonts w:hint="eastAsia"/>
          <w:b w:val="0"/>
          <w:bCs w:val="0"/>
          <w:highlight w:val="none"/>
        </w:rPr>
      </w:pPr>
      <w:r>
        <w:rPr>
          <w:rFonts w:hint="eastAsia" w:cs="仿宋_GB2312"/>
          <w:b w:val="0"/>
          <w:bCs w:val="0"/>
          <w:highlight w:val="none"/>
        </w:rPr>
        <w:t>推进医疗卫生硬件设施升级。</w:t>
      </w:r>
      <w:r>
        <w:rPr>
          <w:rFonts w:hint="eastAsia"/>
          <w:b w:val="0"/>
          <w:bCs w:val="0"/>
          <w:highlight w:val="none"/>
        </w:rPr>
        <w:t>提升重点区域医疗服务能力，加快推进丰台中西医结合医院二期等项目，填补优质医疗资源供给空白。谋划新建居住区配套基层卫生机构，夯实基层医疗卫生服务能力。推进丰台区心理卫生中心项目建设，补齐精神卫生服务短板。</w:t>
      </w:r>
      <w:r>
        <w:rPr>
          <w:rFonts w:hint="eastAsia" w:cs="仿宋_GB2312"/>
          <w:b w:val="0"/>
          <w:bCs w:val="0"/>
          <w:highlight w:val="none"/>
        </w:rPr>
        <w:t>建设智慧医疗信息体系。</w:t>
      </w:r>
      <w:r>
        <w:rPr>
          <w:rFonts w:hint="eastAsia"/>
          <w:b w:val="0"/>
          <w:bCs w:val="0"/>
          <w:highlight w:val="none"/>
        </w:rPr>
        <w:t>持续深化“智慧家医”服务模式，利用信息化手段优化就医流程，提升基层医疗服务的可及性与群众就医体验感。</w:t>
      </w:r>
    </w:p>
    <w:p w14:paraId="4899DEC7">
      <w:pPr>
        <w:pStyle w:val="5"/>
        <w:ind w:firstLine="643"/>
        <w:rPr>
          <w:rFonts w:hint="eastAsia"/>
          <w:highlight w:val="none"/>
        </w:rPr>
      </w:pPr>
      <w:bookmarkStart w:id="477" w:name="_Toc16925"/>
      <w:bookmarkStart w:id="478" w:name="_Toc2009171809"/>
      <w:bookmarkStart w:id="479" w:name="_Toc827318305"/>
      <w:bookmarkStart w:id="480" w:name="_Toc25692"/>
      <w:bookmarkStart w:id="481" w:name="_Toc31630"/>
      <w:bookmarkStart w:id="482" w:name="_Toc21520"/>
      <w:bookmarkStart w:id="483" w:name="_Toc4720"/>
      <w:bookmarkStart w:id="484" w:name="_Toc2686"/>
      <w:bookmarkStart w:id="485" w:name="_Toc602276199"/>
      <w:bookmarkStart w:id="486" w:name="_Toc1958051808"/>
      <w:bookmarkStart w:id="487" w:name="_Toc26214"/>
      <w:bookmarkStart w:id="488" w:name="_Toc344771239"/>
      <w:bookmarkStart w:id="489" w:name="_Toc32045"/>
      <w:bookmarkStart w:id="490" w:name="_Toc10883"/>
      <w:bookmarkStart w:id="491" w:name="_Toc22936"/>
      <w:bookmarkStart w:id="492" w:name="_Toc14002"/>
      <w:bookmarkStart w:id="493" w:name="_Toc25681291"/>
      <w:r>
        <w:rPr>
          <w:rFonts w:hint="eastAsia"/>
          <w:highlight w:val="none"/>
        </w:rPr>
        <w:t>4.打造多元化养老服务模式</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52045D98">
      <w:pPr>
        <w:ind w:firstLine="643"/>
        <w:rPr>
          <w:rFonts w:hint="eastAsia"/>
          <w:highlight w:val="none"/>
        </w:rPr>
      </w:pPr>
      <w:r>
        <w:rPr>
          <w:rFonts w:hint="eastAsia" w:cs="仿宋_GB2312"/>
          <w:b w:val="0"/>
          <w:bCs w:val="0"/>
          <w:highlight w:val="none"/>
        </w:rPr>
        <w:t>全面补足养老服务短板。</w:t>
      </w:r>
      <w:r>
        <w:rPr>
          <w:rFonts w:hint="eastAsia"/>
          <w:b w:val="0"/>
          <w:bCs w:val="0"/>
          <w:highlight w:val="none"/>
        </w:rPr>
        <w:t>创新居家社区养老服务模式，聚焦重点老年群体，提供多元服务，整合资源推动专业服务向居家延伸。加快补齐养老服务设施缺口，推动新建小区配建养老设施。</w:t>
      </w:r>
      <w:r>
        <w:rPr>
          <w:rFonts w:hint="eastAsia" w:cs="仿宋_GB2312"/>
          <w:b w:val="0"/>
          <w:bCs w:val="0"/>
          <w:highlight w:val="none"/>
        </w:rPr>
        <w:t>打造区域特色养老场景。</w:t>
      </w:r>
      <w:r>
        <w:rPr>
          <w:rFonts w:hint="eastAsia"/>
          <w:b w:val="0"/>
          <w:bCs w:val="0"/>
          <w:highlight w:val="none"/>
        </w:rPr>
        <w:t>深挖河西生态资源优势，谋划特色养老文化活动，</w:t>
      </w:r>
      <w:r>
        <w:rPr>
          <w:rFonts w:hint="eastAsia"/>
          <w:b w:val="0"/>
          <w:bCs w:val="0"/>
          <w:highlight w:val="none"/>
          <w:lang w:val="en-US" w:eastAsia="zh-CN"/>
        </w:rPr>
        <w:t>打造</w:t>
      </w:r>
      <w:r>
        <w:rPr>
          <w:rFonts w:hint="eastAsia"/>
          <w:b w:val="0"/>
          <w:bCs w:val="0"/>
          <w:highlight w:val="none"/>
        </w:rPr>
        <w:t>丰富的高水平养</w:t>
      </w:r>
      <w:r>
        <w:rPr>
          <w:rFonts w:hint="eastAsia"/>
          <w:highlight w:val="none"/>
        </w:rPr>
        <w:t>老产业</w:t>
      </w:r>
      <w:r>
        <w:rPr>
          <w:rFonts w:hint="eastAsia"/>
          <w:highlight w:val="none"/>
          <w:lang w:val="en-US" w:eastAsia="zh-CN"/>
        </w:rPr>
        <w:t>场景</w:t>
      </w:r>
      <w:r>
        <w:rPr>
          <w:rFonts w:hint="eastAsia"/>
          <w:highlight w:val="none"/>
        </w:rPr>
        <w:t>，让老年人老有所乐、老有所为、老有所享。</w:t>
      </w:r>
    </w:p>
    <w:p w14:paraId="0C87803D">
      <w:pPr>
        <w:pStyle w:val="5"/>
        <w:ind w:firstLine="643"/>
        <w:rPr>
          <w:rFonts w:hint="eastAsia"/>
          <w:highlight w:val="none"/>
        </w:rPr>
      </w:pPr>
      <w:bookmarkStart w:id="494" w:name="_Toc12487"/>
      <w:bookmarkStart w:id="495" w:name="_Toc1365648282"/>
      <w:bookmarkStart w:id="496" w:name="_Toc9680"/>
      <w:bookmarkStart w:id="497" w:name="_Toc1117728435"/>
      <w:bookmarkStart w:id="498" w:name="_Toc5720"/>
      <w:bookmarkStart w:id="499" w:name="_Toc2128728437"/>
      <w:bookmarkStart w:id="500" w:name="_Toc2476"/>
      <w:bookmarkStart w:id="501" w:name="_Toc19595"/>
      <w:bookmarkStart w:id="502" w:name="_Toc14234"/>
      <w:bookmarkStart w:id="503" w:name="_Toc23559"/>
      <w:bookmarkStart w:id="504" w:name="_Toc20025"/>
      <w:bookmarkStart w:id="505" w:name="_Toc29685"/>
      <w:bookmarkStart w:id="506" w:name="_Toc11279"/>
      <w:bookmarkStart w:id="507" w:name="_Toc659334267"/>
      <w:bookmarkStart w:id="508" w:name="_Toc22769"/>
      <w:bookmarkStart w:id="509" w:name="_Toc1767228273"/>
      <w:bookmarkStart w:id="510" w:name="_Toc1929621457"/>
      <w:r>
        <w:rPr>
          <w:rFonts w:hint="eastAsia"/>
          <w:highlight w:val="none"/>
        </w:rPr>
        <w:t>5.扩大河西地区文体服务空间</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130F554A">
      <w:pPr>
        <w:ind w:firstLine="640"/>
        <w:rPr>
          <w:rFonts w:hint="eastAsia" w:cs="仿宋_GB2312"/>
          <w:b w:val="0"/>
          <w:bCs w:val="0"/>
          <w:highlight w:val="none"/>
        </w:rPr>
      </w:pPr>
      <w:r>
        <w:rPr>
          <w:rFonts w:hint="eastAsia" w:cs="仿宋_GB2312"/>
          <w:b w:val="0"/>
          <w:bCs w:val="0"/>
          <w:highlight w:val="none"/>
        </w:rPr>
        <w:t>完善基层文化服务体系。以补空白、提品质、强服务为目标，聚焦河西地区基层文化设施短板，</w:t>
      </w:r>
      <w:r>
        <w:rPr>
          <w:rFonts w:hint="eastAsia"/>
          <w:b w:val="0"/>
          <w:bCs w:val="0"/>
          <w:highlight w:val="none"/>
        </w:rPr>
        <w:t>依托城市更新政策盘活各类空间与现有文化资源，</w:t>
      </w:r>
      <w:r>
        <w:rPr>
          <w:rFonts w:hint="eastAsia"/>
          <w:b w:val="0"/>
          <w:bCs w:val="0"/>
          <w:highlight w:val="none"/>
          <w:lang w:val="en-US" w:eastAsia="zh-CN"/>
        </w:rPr>
        <w:t>争取</w:t>
      </w:r>
      <w:r>
        <w:rPr>
          <w:rFonts w:hint="eastAsia" w:cs="仿宋_GB2312"/>
          <w:b w:val="0"/>
          <w:bCs w:val="0"/>
          <w:highlight w:val="none"/>
        </w:rPr>
        <w:t>各级财政文化专项资金，引导社会力量参与，推进基层文化设施提质升级。优化体育设施配套。老旧小区通过“微改造”嵌入运动空间，更新全民健身工程器材。鼓励社会资本按规划、按标准配建健身场地</w:t>
      </w:r>
      <w:r>
        <w:rPr>
          <w:rFonts w:hint="eastAsia" w:ascii="仿宋_GB2312" w:hAnsi="仿宋_GB2312" w:eastAsia="仿宋_GB2312" w:cs="仿宋_GB2312"/>
          <w:b w:val="0"/>
          <w:bCs w:val="0"/>
          <w:highlight w:val="none"/>
        </w:rPr>
        <w:t>，</w:t>
      </w:r>
      <w:r>
        <w:rPr>
          <w:rFonts w:hint="eastAsia" w:cs="仿宋_GB2312"/>
          <w:b w:val="0"/>
          <w:bCs w:val="0"/>
          <w:highlight w:val="none"/>
        </w:rPr>
        <w:t>科学布局点位、集中打造多品类全民健身场地设施，统筹构建河西城乡一体化、层级化公共体育空间体系，推动健身场地设施建设从“数量覆盖”向“品质升级”。打造文商旅体展融合场景，</w:t>
      </w:r>
      <w:r>
        <w:rPr>
          <w:rFonts w:hint="eastAsia" w:cs="仿宋_GB2312"/>
          <w:b w:val="0"/>
          <w:bCs w:val="0"/>
          <w:highlight w:val="none"/>
          <w:lang w:val="en-US" w:eastAsia="zh-CN"/>
        </w:rPr>
        <w:t>以</w:t>
      </w:r>
      <w:r>
        <w:rPr>
          <w:rFonts w:hint="eastAsia" w:cs="仿宋_GB2312"/>
          <w:b w:val="0"/>
          <w:bCs w:val="0"/>
          <w:highlight w:val="none"/>
        </w:rPr>
        <w:t>场景</w:t>
      </w:r>
      <w:r>
        <w:rPr>
          <w:rFonts w:hint="eastAsia" w:cs="仿宋_GB2312"/>
          <w:b w:val="0"/>
          <w:bCs w:val="0"/>
          <w:highlight w:val="none"/>
          <w:lang w:val="en-US" w:eastAsia="zh-CN"/>
        </w:rPr>
        <w:t>营造</w:t>
      </w:r>
      <w:r>
        <w:rPr>
          <w:rFonts w:hint="eastAsia" w:cs="仿宋_GB2312"/>
          <w:b w:val="0"/>
          <w:bCs w:val="0"/>
          <w:highlight w:val="none"/>
        </w:rPr>
        <w:t>带</w:t>
      </w:r>
      <w:r>
        <w:rPr>
          <w:rFonts w:hint="eastAsia" w:cs="仿宋_GB2312"/>
          <w:b w:val="0"/>
          <w:bCs w:val="0"/>
          <w:highlight w:val="none"/>
          <w:lang w:val="en-US" w:eastAsia="zh-CN"/>
        </w:rPr>
        <w:t>动</w:t>
      </w:r>
      <w:r>
        <w:rPr>
          <w:rFonts w:hint="eastAsia" w:cs="仿宋_GB2312"/>
          <w:b w:val="0"/>
          <w:bCs w:val="0"/>
          <w:highlight w:val="none"/>
        </w:rPr>
        <w:t>流量</w:t>
      </w:r>
      <w:r>
        <w:rPr>
          <w:rFonts w:hint="eastAsia" w:cs="仿宋_GB2312"/>
          <w:b w:val="0"/>
          <w:bCs w:val="0"/>
          <w:highlight w:val="none"/>
          <w:lang w:val="en-US" w:eastAsia="zh-CN"/>
        </w:rPr>
        <w:t>集聚</w:t>
      </w:r>
      <w:r>
        <w:rPr>
          <w:rFonts w:hint="eastAsia" w:cs="仿宋_GB2312"/>
          <w:b w:val="0"/>
          <w:bCs w:val="0"/>
          <w:highlight w:val="none"/>
        </w:rPr>
        <w:t>、</w:t>
      </w:r>
      <w:r>
        <w:rPr>
          <w:rFonts w:hint="eastAsia" w:cs="仿宋_GB2312"/>
          <w:b w:val="0"/>
          <w:bCs w:val="0"/>
          <w:highlight w:val="none"/>
          <w:lang w:val="en-US" w:eastAsia="zh-CN"/>
        </w:rPr>
        <w:t>以</w:t>
      </w:r>
      <w:r>
        <w:rPr>
          <w:rFonts w:hint="eastAsia" w:cs="仿宋_GB2312"/>
          <w:b w:val="0"/>
          <w:bCs w:val="0"/>
          <w:highlight w:val="none"/>
        </w:rPr>
        <w:t>流量</w:t>
      </w:r>
      <w:r>
        <w:rPr>
          <w:rFonts w:hint="eastAsia" w:cs="仿宋_GB2312"/>
          <w:b w:val="0"/>
          <w:bCs w:val="0"/>
          <w:highlight w:val="none"/>
          <w:lang w:val="en-US" w:eastAsia="zh-CN"/>
        </w:rPr>
        <w:t>集聚激发</w:t>
      </w:r>
      <w:r>
        <w:rPr>
          <w:rFonts w:hint="eastAsia" w:cs="仿宋_GB2312"/>
          <w:b w:val="0"/>
          <w:bCs w:val="0"/>
          <w:highlight w:val="none"/>
        </w:rPr>
        <w:t>消费</w:t>
      </w:r>
      <w:r>
        <w:rPr>
          <w:rFonts w:hint="eastAsia" w:cs="仿宋_GB2312"/>
          <w:b w:val="0"/>
          <w:bCs w:val="0"/>
          <w:highlight w:val="none"/>
          <w:lang w:val="en-US" w:eastAsia="zh-CN"/>
        </w:rPr>
        <w:t>活力</w:t>
      </w:r>
      <w:r>
        <w:rPr>
          <w:rFonts w:hint="eastAsia" w:cs="仿宋_GB2312"/>
          <w:b w:val="0"/>
          <w:bCs w:val="0"/>
          <w:highlight w:val="none"/>
        </w:rPr>
        <w:t>、</w:t>
      </w:r>
      <w:r>
        <w:rPr>
          <w:rFonts w:hint="eastAsia" w:cs="仿宋_GB2312"/>
          <w:b w:val="0"/>
          <w:bCs w:val="0"/>
          <w:highlight w:val="none"/>
          <w:lang w:val="en-US" w:eastAsia="zh-CN"/>
        </w:rPr>
        <w:t>以</w:t>
      </w:r>
      <w:r>
        <w:rPr>
          <w:rFonts w:hint="eastAsia" w:cs="仿宋_GB2312"/>
          <w:b w:val="0"/>
          <w:bCs w:val="0"/>
          <w:highlight w:val="none"/>
        </w:rPr>
        <w:t>消费</w:t>
      </w:r>
      <w:r>
        <w:rPr>
          <w:rFonts w:hint="eastAsia" w:cs="仿宋_GB2312"/>
          <w:b w:val="0"/>
          <w:bCs w:val="0"/>
          <w:highlight w:val="none"/>
          <w:lang w:val="en-US" w:eastAsia="zh-CN"/>
        </w:rPr>
        <w:t>活力焕新</w:t>
      </w:r>
      <w:r>
        <w:rPr>
          <w:rFonts w:hint="eastAsia" w:cs="仿宋_GB2312"/>
          <w:b w:val="0"/>
          <w:bCs w:val="0"/>
          <w:highlight w:val="none"/>
        </w:rPr>
        <w:t>全域</w:t>
      </w:r>
      <w:r>
        <w:rPr>
          <w:rFonts w:hint="eastAsia" w:cs="仿宋_GB2312"/>
          <w:b w:val="0"/>
          <w:bCs w:val="0"/>
          <w:highlight w:val="none"/>
          <w:lang w:val="en-US" w:eastAsia="zh-CN"/>
        </w:rPr>
        <w:t>发展</w:t>
      </w:r>
      <w:r>
        <w:rPr>
          <w:rFonts w:hint="eastAsia" w:cs="仿宋_GB2312"/>
          <w:b w:val="0"/>
          <w:bCs w:val="0"/>
          <w:highlight w:val="none"/>
        </w:rPr>
        <w:t>，</w:t>
      </w:r>
      <w:r>
        <w:rPr>
          <w:rFonts w:hint="eastAsia" w:cs="仿宋_GB2312"/>
          <w:b w:val="0"/>
          <w:bCs w:val="0"/>
          <w:highlight w:val="none"/>
          <w:lang w:eastAsia="zh-CN"/>
        </w:rPr>
        <w:t>形成“场景—流量—消费—</w:t>
      </w:r>
      <w:r>
        <w:rPr>
          <w:rFonts w:hint="eastAsia" w:cs="仿宋_GB2312"/>
          <w:b w:val="0"/>
          <w:bCs w:val="0"/>
          <w:highlight w:val="none"/>
          <w:lang w:val="en-US" w:eastAsia="zh-CN"/>
        </w:rPr>
        <w:t>发展</w:t>
      </w:r>
      <w:r>
        <w:rPr>
          <w:rFonts w:hint="eastAsia" w:cs="仿宋_GB2312"/>
          <w:b w:val="0"/>
          <w:bCs w:val="0"/>
          <w:highlight w:val="none"/>
          <w:lang w:eastAsia="zh-CN"/>
        </w:rPr>
        <w:t>”的良性循环，全面提升河西地区的吸引力与竞争力，</w:t>
      </w:r>
      <w:r>
        <w:rPr>
          <w:rFonts w:hint="eastAsia" w:cs="仿宋_GB2312"/>
          <w:b w:val="0"/>
          <w:bCs w:val="0"/>
          <w:highlight w:val="none"/>
        </w:rPr>
        <w:t>打造河西地区文商旅体展融合发展新名片。</w:t>
      </w:r>
    </w:p>
    <w:p w14:paraId="4E47C1E9">
      <w:pPr>
        <w:pStyle w:val="4"/>
        <w:ind w:firstLine="640"/>
        <w:rPr>
          <w:rFonts w:hint="eastAsia"/>
          <w:highlight w:val="none"/>
        </w:rPr>
      </w:pPr>
      <w:bookmarkStart w:id="511" w:name="_Toc415406949"/>
      <w:bookmarkStart w:id="512" w:name="_Toc1622346736"/>
      <w:bookmarkStart w:id="513" w:name="_Toc13246"/>
      <w:bookmarkStart w:id="514" w:name="_Toc32710"/>
      <w:bookmarkStart w:id="515" w:name="_Toc475671373"/>
      <w:bookmarkStart w:id="516" w:name="_Toc30533"/>
      <w:bookmarkStart w:id="517" w:name="_Toc1997274452"/>
      <w:bookmarkStart w:id="518" w:name="_Toc597"/>
      <w:bookmarkStart w:id="519" w:name="_Toc272783445"/>
      <w:bookmarkStart w:id="520" w:name="_Toc11285"/>
      <w:bookmarkStart w:id="521" w:name="_Toc22411"/>
      <w:bookmarkStart w:id="522" w:name="_Toc145456438"/>
      <w:bookmarkStart w:id="523" w:name="_Toc27287"/>
      <w:bookmarkStart w:id="524" w:name="_Toc461281639"/>
      <w:bookmarkStart w:id="525" w:name="_Toc20667"/>
      <w:bookmarkStart w:id="526" w:name="_Toc30688"/>
      <w:bookmarkStart w:id="527" w:name="_Toc1367026197"/>
      <w:r>
        <w:rPr>
          <w:rFonts w:hint="eastAsia"/>
          <w:highlight w:val="none"/>
        </w:rPr>
        <w:t>（六）筑牢山水生态基底，驱动高品质生态空间焕新</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31E6F32B">
      <w:pPr>
        <w:ind w:firstLine="640"/>
        <w:rPr>
          <w:rFonts w:hint="eastAsia"/>
          <w:highlight w:val="none"/>
        </w:rPr>
      </w:pPr>
      <w:bookmarkStart w:id="528" w:name="_Toc275255446"/>
      <w:bookmarkStart w:id="529" w:name="_Toc874828507"/>
      <w:bookmarkStart w:id="530" w:name="_Toc1674631877"/>
      <w:bookmarkStart w:id="531" w:name="_Toc1941257417"/>
      <w:bookmarkStart w:id="532" w:name="_Toc17332"/>
      <w:bookmarkStart w:id="533" w:name="_Toc181725993"/>
      <w:bookmarkStart w:id="534" w:name="_Toc13118"/>
      <w:bookmarkStart w:id="535" w:name="_Toc344541003"/>
      <w:r>
        <w:rPr>
          <w:highlight w:val="none"/>
        </w:rPr>
        <w:t>高标准推进美丽河湖建设，构建区域蓝色生态廊道网络</w:t>
      </w:r>
      <w:r>
        <w:rPr>
          <w:rFonts w:hint="eastAsia"/>
          <w:highlight w:val="none"/>
        </w:rPr>
        <w:t>，</w:t>
      </w:r>
      <w:r>
        <w:rPr>
          <w:highlight w:val="none"/>
        </w:rPr>
        <w:t>强化北部山区生态保护与系统治理，</w:t>
      </w:r>
      <w:r>
        <w:rPr>
          <w:rFonts w:hint="eastAsia"/>
          <w:highlight w:val="none"/>
        </w:rPr>
        <w:t>构建绿色生态屏障，</w:t>
      </w:r>
      <w:r>
        <w:rPr>
          <w:highlight w:val="none"/>
        </w:rPr>
        <w:t>积极打造一批贴近市民、功能复合的自然生态活力空间，</w:t>
      </w:r>
      <w:r>
        <w:rPr>
          <w:rFonts w:hint="eastAsia"/>
          <w:highlight w:val="none"/>
        </w:rPr>
        <w:t>推动花园城市特色区建设，构建以山水生态</w:t>
      </w:r>
      <w:r>
        <w:rPr>
          <w:highlight w:val="none"/>
        </w:rPr>
        <w:t>筑基</w:t>
      </w:r>
      <w:r>
        <w:rPr>
          <w:rFonts w:hint="eastAsia"/>
          <w:highlight w:val="none"/>
        </w:rPr>
        <w:t>、以蓝绿空间</w:t>
      </w:r>
      <w:r>
        <w:rPr>
          <w:highlight w:val="none"/>
        </w:rPr>
        <w:t>赋能</w:t>
      </w:r>
      <w:r>
        <w:rPr>
          <w:rFonts w:hint="eastAsia"/>
          <w:highlight w:val="none"/>
        </w:rPr>
        <w:t>的发展模式</w:t>
      </w:r>
      <w:r>
        <w:rPr>
          <w:highlight w:val="none"/>
        </w:rPr>
        <w:t>。</w:t>
      </w:r>
    </w:p>
    <w:p w14:paraId="040B8534">
      <w:pPr>
        <w:pStyle w:val="5"/>
        <w:ind w:firstLine="643"/>
        <w:rPr>
          <w:rFonts w:hint="eastAsia"/>
          <w:highlight w:val="none"/>
        </w:rPr>
      </w:pPr>
      <w:bookmarkStart w:id="536" w:name="_Toc14596"/>
      <w:bookmarkStart w:id="537" w:name="_Toc31712"/>
      <w:bookmarkStart w:id="538" w:name="_Toc8510"/>
      <w:bookmarkStart w:id="539" w:name="_Toc3183"/>
      <w:bookmarkStart w:id="540" w:name="_Toc14374"/>
      <w:bookmarkStart w:id="541" w:name="_Toc6617"/>
      <w:bookmarkStart w:id="542" w:name="_Toc7916"/>
      <w:bookmarkStart w:id="543" w:name="_Toc14458"/>
      <w:bookmarkStart w:id="544" w:name="_Toc505657552"/>
      <w:bookmarkStart w:id="545" w:name="_Toc849963180"/>
      <w:bookmarkStart w:id="546" w:name="_Toc24729"/>
      <w:r>
        <w:rPr>
          <w:rFonts w:hint="eastAsia"/>
          <w:highlight w:val="none"/>
        </w:rPr>
        <w:t>1.筑牢蓝色生态基底</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4901C16E">
      <w:pPr>
        <w:ind w:firstLine="640"/>
        <w:rPr>
          <w:rFonts w:hint="eastAsia"/>
          <w:highlight w:val="none"/>
        </w:rPr>
      </w:pPr>
      <w:r>
        <w:rPr>
          <w:rFonts w:hint="eastAsia"/>
          <w:highlight w:val="none"/>
        </w:rPr>
        <w:t>以北京市永定河美丽河湖保护与建设为契机，推进永定河园博园湿地生态环境提升改造等工程，建设水源涵养区生态廊道。加强湿地保护修复，推动湿地岸带景观生态建设，提升区域湿地保护效能。推进马家坟、周家坡等重点小流域生态清洁治理系列工程，打造小流域综合治理示范样板。</w:t>
      </w:r>
    </w:p>
    <w:p w14:paraId="636672E0">
      <w:pPr>
        <w:pStyle w:val="5"/>
        <w:ind w:firstLine="643"/>
        <w:rPr>
          <w:rFonts w:hint="eastAsia"/>
          <w:highlight w:val="none"/>
        </w:rPr>
      </w:pPr>
      <w:bookmarkStart w:id="547" w:name="_Toc4309"/>
      <w:bookmarkStart w:id="548" w:name="_Toc538505284"/>
      <w:bookmarkStart w:id="549" w:name="_Toc11202"/>
      <w:bookmarkStart w:id="550" w:name="_Toc1569669787"/>
      <w:bookmarkStart w:id="551" w:name="_Toc547018317"/>
      <w:bookmarkStart w:id="552" w:name="_Toc2141842295"/>
      <w:bookmarkStart w:id="553" w:name="_Toc1084725109"/>
      <w:bookmarkStart w:id="554" w:name="_Toc30010"/>
      <w:bookmarkStart w:id="555" w:name="_Toc28582622"/>
      <w:bookmarkStart w:id="556" w:name="_Toc21892"/>
      <w:bookmarkStart w:id="557" w:name="_Toc29271"/>
      <w:bookmarkStart w:id="558" w:name="_Toc28814"/>
      <w:bookmarkStart w:id="559" w:name="_Toc19707"/>
      <w:bookmarkStart w:id="560" w:name="_Toc5521"/>
      <w:bookmarkStart w:id="561" w:name="_Toc617279157"/>
      <w:bookmarkStart w:id="562" w:name="_Toc3355"/>
      <w:bookmarkStart w:id="563" w:name="_Toc25789"/>
      <w:bookmarkStart w:id="564" w:name="_Toc269946416"/>
      <w:bookmarkStart w:id="565" w:name="_Toc29513"/>
      <w:r>
        <w:rPr>
          <w:rFonts w:hint="eastAsia"/>
          <w:highlight w:val="none"/>
        </w:rPr>
        <w:t>2.巩固绿色生态屏障</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Fonts w:hint="eastAsia"/>
          <w:highlight w:val="none"/>
        </w:rPr>
        <w:t xml:space="preserve"> </w:t>
      </w:r>
    </w:p>
    <w:p w14:paraId="6C51D403">
      <w:pPr>
        <w:pStyle w:val="46"/>
        <w:spacing w:line="520" w:lineRule="exact"/>
        <w:rPr>
          <w:highlight w:val="none"/>
        </w:rPr>
      </w:pPr>
      <w:r>
        <w:rPr>
          <w:rFonts w:hint="eastAsia" w:ascii="仿宋_GB2312" w:hAnsi="仿宋_GB2312" w:cs="仿宋_GB2312"/>
          <w:kern w:val="0"/>
          <w:highlight w:val="none"/>
          <w:lang w:bidi="ar"/>
        </w:rPr>
        <w:t>推进林地提质改造</w:t>
      </w:r>
      <w:r>
        <w:rPr>
          <w:rFonts w:hint="eastAsia" w:ascii="仿宋_GB2312" w:hAnsi="仿宋_GB2312" w:cs="仿宋_GB2312"/>
          <w:highlight w:val="none"/>
        </w:rPr>
        <w:t>，精准提升森林质量</w:t>
      </w:r>
      <w:r>
        <w:rPr>
          <w:rFonts w:hint="eastAsia" w:cs="仿宋_GB2312"/>
          <w:bCs w:val="0"/>
          <w:highlight w:val="none"/>
        </w:rPr>
        <w:t>，打造河西地区</w:t>
      </w:r>
      <w:r>
        <w:rPr>
          <w:rFonts w:hint="eastAsia" w:ascii="仿宋_GB2312"/>
          <w:sz w:val="32"/>
          <w:szCs w:val="32"/>
          <w:highlight w:val="none"/>
          <w:lang w:eastAsia="zh-CN"/>
        </w:rPr>
        <w:t>“</w:t>
      </w:r>
      <w:r>
        <w:rPr>
          <w:rFonts w:ascii="仿宋_GB2312" w:eastAsia="仿宋_GB2312"/>
          <w:sz w:val="32"/>
          <w:szCs w:val="32"/>
          <w:highlight w:val="none"/>
        </w:rPr>
        <w:t>林海绵延、五彩斑斓</w:t>
      </w:r>
      <w:r>
        <w:rPr>
          <w:rFonts w:hint="eastAsia" w:ascii="仿宋_GB2312"/>
          <w:sz w:val="32"/>
          <w:szCs w:val="32"/>
          <w:highlight w:val="none"/>
          <w:lang w:eastAsia="zh-CN"/>
        </w:rPr>
        <w:t>”</w:t>
      </w:r>
      <w:r>
        <w:rPr>
          <w:rFonts w:hint="eastAsia" w:ascii="仿宋_GB2312"/>
          <w:sz w:val="32"/>
          <w:szCs w:val="32"/>
          <w:highlight w:val="none"/>
          <w:lang w:val="en-US" w:eastAsia="zh-CN"/>
        </w:rPr>
        <w:t>的</w:t>
      </w:r>
      <w:r>
        <w:rPr>
          <w:rFonts w:hint="eastAsia" w:cs="仿宋_GB2312"/>
          <w:bCs w:val="0"/>
          <w:highlight w:val="none"/>
        </w:rPr>
        <w:t>特色景观。</w:t>
      </w:r>
      <w:r>
        <w:rPr>
          <w:rFonts w:hint="eastAsia"/>
          <w:kern w:val="0"/>
          <w:highlight w:val="none"/>
        </w:rPr>
        <w:t>强化资源分级保护管控，做好森林防火与林业有害生物防控，健全森林资源、野生动植物以及古树名木的监测保护体系。</w:t>
      </w:r>
      <w:r>
        <w:rPr>
          <w:rFonts w:hint="eastAsia"/>
          <w:highlight w:val="none"/>
        </w:rPr>
        <w:t>强化平原生态林管护经营，优化景观与服务品质，在不破坏生态功能的前提下适度发展林下经济</w:t>
      </w:r>
      <w:r>
        <w:rPr>
          <w:rFonts w:hint="eastAsia"/>
          <w:highlight w:val="none"/>
          <w:lang w:eastAsia="zh-CN"/>
        </w:rPr>
        <w:t>，</w:t>
      </w:r>
      <w:r>
        <w:rPr>
          <w:rFonts w:hint="eastAsia"/>
          <w:highlight w:val="none"/>
          <w:lang w:val="en-US" w:eastAsia="zh-CN"/>
        </w:rPr>
        <w:t>加快</w:t>
      </w:r>
      <w:r>
        <w:rPr>
          <w:rFonts w:ascii="仿宋_GB2312" w:eastAsia="仿宋_GB2312"/>
          <w:sz w:val="32"/>
          <w:szCs w:val="32"/>
          <w:highlight w:val="none"/>
        </w:rPr>
        <w:t>博士林场建设</w:t>
      </w:r>
      <w:r>
        <w:rPr>
          <w:rFonts w:hint="eastAsia"/>
          <w:highlight w:val="none"/>
        </w:rPr>
        <w:t>。</w:t>
      </w:r>
    </w:p>
    <w:p w14:paraId="1A3F72B9">
      <w:pPr>
        <w:pStyle w:val="5"/>
        <w:ind w:firstLine="643"/>
        <w:rPr>
          <w:rFonts w:hint="eastAsia"/>
          <w:highlight w:val="none"/>
        </w:rPr>
      </w:pPr>
      <w:bookmarkStart w:id="566" w:name="_Toc25992"/>
      <w:bookmarkStart w:id="567" w:name="_Toc20100"/>
      <w:bookmarkStart w:id="568" w:name="_Toc30508"/>
      <w:bookmarkStart w:id="569" w:name="_Toc359361012"/>
      <w:bookmarkStart w:id="570" w:name="_Toc1518301098"/>
      <w:bookmarkStart w:id="571" w:name="_Toc9749"/>
      <w:bookmarkStart w:id="572" w:name="_Toc10757"/>
      <w:bookmarkStart w:id="573" w:name="_Toc1822561051"/>
      <w:bookmarkStart w:id="574" w:name="_Toc986227580"/>
      <w:bookmarkStart w:id="575" w:name="_Toc117293042"/>
      <w:bookmarkStart w:id="576" w:name="_Toc23438"/>
      <w:bookmarkStart w:id="577" w:name="_Toc1162219730"/>
      <w:bookmarkStart w:id="578" w:name="_Toc18886"/>
      <w:bookmarkStart w:id="579" w:name="_Toc8399"/>
      <w:bookmarkStart w:id="580" w:name="_Toc31382"/>
      <w:bookmarkStart w:id="581" w:name="_Toc20045"/>
      <w:bookmarkStart w:id="582" w:name="_Toc7402"/>
      <w:bookmarkStart w:id="583" w:name="_Toc1503951248"/>
      <w:bookmarkStart w:id="584" w:name="_Toc1750990361"/>
      <w:r>
        <w:rPr>
          <w:rFonts w:hint="eastAsia"/>
          <w:highlight w:val="none"/>
        </w:rPr>
        <w:t>3.打造生态活力空间</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F20F1F6">
      <w:pPr>
        <w:ind w:firstLine="643"/>
        <w:rPr>
          <w:rFonts w:hint="eastAsia"/>
          <w:b w:val="0"/>
          <w:bCs w:val="0"/>
          <w:highlight w:val="none"/>
        </w:rPr>
      </w:pPr>
      <w:r>
        <w:rPr>
          <w:rFonts w:hint="eastAsia" w:cs="仿宋_GB2312"/>
          <w:b w:val="0"/>
          <w:bCs w:val="0"/>
          <w:highlight w:val="none"/>
        </w:rPr>
        <w:t>建设高品质滨水生态空间。聚焦园博湖、宛平湖等开阔水面，研究推进</w:t>
      </w:r>
      <w:r>
        <w:rPr>
          <w:rFonts w:hint="eastAsia" w:ascii="Times New Roman" w:hAnsi="Times New Roman" w:cs="Times New Roman"/>
          <w:b w:val="0"/>
          <w:bCs w:val="0"/>
          <w:kern w:val="0"/>
          <w:highlight w:val="none"/>
        </w:rPr>
        <w:t>滨水步道及</w:t>
      </w:r>
      <w:r>
        <w:rPr>
          <w:rFonts w:hint="eastAsia" w:cs="仿宋_GB2312"/>
          <w:b w:val="0"/>
          <w:bCs w:val="0"/>
          <w:highlight w:val="none"/>
        </w:rPr>
        <w:t>亲水平台建设</w:t>
      </w:r>
      <w:r>
        <w:rPr>
          <w:rFonts w:hint="eastAsia" w:ascii="Times New Roman" w:hAnsi="Times New Roman" w:cs="Times New Roman"/>
          <w:b w:val="0"/>
          <w:bCs w:val="0"/>
          <w:kern w:val="0"/>
          <w:highlight w:val="none"/>
        </w:rPr>
        <w:t>，</w:t>
      </w:r>
      <w:r>
        <w:rPr>
          <w:rFonts w:hint="eastAsia" w:cs="仿宋_GB2312"/>
          <w:b w:val="0"/>
          <w:bCs w:val="0"/>
          <w:highlight w:val="none"/>
        </w:rPr>
        <w:t>塑造层次丰富、特色鲜明的滨水景观风貌。推进</w:t>
      </w:r>
      <w:r>
        <w:rPr>
          <w:rFonts w:hint="eastAsia" w:ascii="Times New Roman" w:hAnsi="Times New Roman" w:cs="Times New Roman"/>
          <w:b w:val="0"/>
          <w:bCs w:val="0"/>
          <w:kern w:val="0"/>
          <w:highlight w:val="none"/>
        </w:rPr>
        <w:t>卢沟晓月·永定河集建设，激活滨水活力空间，打造特色场景与休闲目的地。建成高品质绿色空间。推进航岭公园二期</w:t>
      </w:r>
      <w:r>
        <w:rPr>
          <w:rFonts w:hint="eastAsia" w:cs="仿宋_GB2312"/>
          <w:b w:val="0"/>
          <w:bCs w:val="0"/>
          <w:highlight w:val="none"/>
        </w:rPr>
        <w:t>等绿色空间营造，</w:t>
      </w:r>
      <w:r>
        <w:rPr>
          <w:rFonts w:hint="eastAsia" w:cs="仿宋_GB2312"/>
          <w:b w:val="0"/>
          <w:bCs w:val="0"/>
          <w:highlight w:val="none"/>
          <w:lang w:val="en-US" w:eastAsia="zh-CN"/>
        </w:rPr>
        <w:t>完成</w:t>
      </w:r>
      <w:r>
        <w:rPr>
          <w:rFonts w:hint="eastAsia" w:ascii="Times New Roman" w:hAnsi="Times New Roman" w:cs="Times New Roman"/>
          <w:b w:val="0"/>
          <w:bCs w:val="0"/>
          <w:kern w:val="0"/>
          <w:highlight w:val="none"/>
        </w:rPr>
        <w:t>西山永定河文化带绿道（丰台段）建设</w:t>
      </w:r>
      <w:r>
        <w:rPr>
          <w:rFonts w:ascii="Times New Roman" w:hAnsi="Times New Roman" w:cs="Times New Roman"/>
          <w:b w:val="0"/>
          <w:bCs w:val="0"/>
          <w:kern w:val="0"/>
          <w:highlight w:val="none"/>
        </w:rPr>
        <w:t>，</w:t>
      </w:r>
      <w:r>
        <w:rPr>
          <w:rFonts w:hint="eastAsia" w:cs="仿宋_GB2312"/>
          <w:b w:val="0"/>
          <w:bCs w:val="0"/>
          <w:highlight w:val="none"/>
        </w:rPr>
        <w:t>为宜居宜业宜游的高品质城区筑牢绿色生态基底</w:t>
      </w:r>
      <w:r>
        <w:rPr>
          <w:rFonts w:hint="eastAsia" w:ascii="Times New Roman" w:hAnsi="Times New Roman" w:cs="Times New Roman"/>
          <w:b w:val="0"/>
          <w:bCs w:val="0"/>
          <w:kern w:val="0"/>
          <w:highlight w:val="none"/>
        </w:rPr>
        <w:t>。</w:t>
      </w:r>
    </w:p>
    <w:p w14:paraId="7DEF1A2B">
      <w:pPr>
        <w:pStyle w:val="5"/>
        <w:ind w:firstLine="643"/>
        <w:rPr>
          <w:rFonts w:hint="eastAsia"/>
          <w:highlight w:val="none"/>
        </w:rPr>
      </w:pPr>
      <w:bookmarkStart w:id="585" w:name="_Toc28802"/>
      <w:bookmarkStart w:id="586" w:name="_Toc1150587239"/>
      <w:bookmarkStart w:id="587" w:name="_Toc19552"/>
      <w:bookmarkStart w:id="588" w:name="_Toc27638"/>
      <w:bookmarkStart w:id="589" w:name="_Toc28788"/>
      <w:bookmarkStart w:id="590" w:name="_Toc11380"/>
      <w:bookmarkStart w:id="591" w:name="_Toc20104"/>
      <w:bookmarkStart w:id="592" w:name="_Toc8747"/>
      <w:bookmarkStart w:id="593" w:name="_Toc13748"/>
      <w:r>
        <w:rPr>
          <w:rFonts w:hint="eastAsia"/>
          <w:highlight w:val="none"/>
        </w:rPr>
        <w:t>4.推动生态产品价值转化</w:t>
      </w:r>
      <w:bookmarkEnd w:id="585"/>
      <w:bookmarkEnd w:id="586"/>
      <w:bookmarkEnd w:id="587"/>
      <w:bookmarkEnd w:id="588"/>
      <w:bookmarkEnd w:id="589"/>
      <w:bookmarkEnd w:id="590"/>
      <w:bookmarkEnd w:id="591"/>
      <w:bookmarkEnd w:id="592"/>
      <w:bookmarkEnd w:id="593"/>
    </w:p>
    <w:p w14:paraId="58CBDF7A">
      <w:pPr>
        <w:ind w:firstLine="641" w:firstLineChars="0"/>
        <w:rPr>
          <w:rFonts w:hint="eastAsia" w:cs="仿宋_GB2312"/>
          <w:kern w:val="0"/>
          <w:highlight w:val="none"/>
        </w:rPr>
      </w:pPr>
      <w:r>
        <w:rPr>
          <w:rFonts w:hint="eastAsia" w:cs="仿宋_GB2312"/>
          <w:kern w:val="0"/>
          <w:highlight w:val="none"/>
        </w:rPr>
        <w:t>积极探索流域价值交易，创新“政府引导+市场参与”机制，推动生态产品价值实现。聚焦“两园一河</w:t>
      </w:r>
      <w:bookmarkStart w:id="670" w:name="_GoBack"/>
      <w:bookmarkEnd w:id="670"/>
      <w:r>
        <w:rPr>
          <w:rFonts w:hint="eastAsia" w:cs="仿宋_GB2312"/>
          <w:kern w:val="0"/>
          <w:highlight w:val="none"/>
        </w:rPr>
        <w:t>”地区开展VEP项目探索培育，谋划推动园博园湿地“湿地研学+观鸟经济”、河西生态农业综合体等各类文旅融合项目</w:t>
      </w:r>
      <w:r>
        <w:rPr>
          <w:rFonts w:hint="eastAsia" w:cs="仿宋_GB2312"/>
          <w:kern w:val="0"/>
          <w:highlight w:val="none"/>
          <w:lang w:val="en-US" w:eastAsia="zh-CN"/>
        </w:rPr>
        <w:t>和特色场景</w:t>
      </w:r>
      <w:r>
        <w:rPr>
          <w:rFonts w:hint="eastAsia" w:cs="仿宋_GB2312"/>
          <w:kern w:val="0"/>
          <w:highlight w:val="none"/>
        </w:rPr>
        <w:t>，激发教育文化旅游开发价值。</w:t>
      </w:r>
    </w:p>
    <w:p w14:paraId="20492EE7">
      <w:pPr>
        <w:pStyle w:val="3"/>
        <w:ind w:firstLine="640"/>
        <w:rPr>
          <w:rFonts w:hint="eastAsia"/>
          <w:highlight w:val="none"/>
        </w:rPr>
      </w:pPr>
      <w:bookmarkStart w:id="594" w:name="_Toc664138309"/>
      <w:bookmarkStart w:id="595" w:name="_Toc17302"/>
      <w:bookmarkStart w:id="596" w:name="_Toc116"/>
      <w:bookmarkStart w:id="597" w:name="_Toc1471"/>
      <w:bookmarkStart w:id="598" w:name="_Toc28509"/>
      <w:bookmarkStart w:id="599" w:name="_Toc1028617902"/>
      <w:bookmarkStart w:id="600" w:name="_Toc27303"/>
      <w:bookmarkStart w:id="601" w:name="_Toc7888"/>
      <w:bookmarkStart w:id="602" w:name="_Toc1332616406"/>
      <w:bookmarkStart w:id="603" w:name="_Toc868494796"/>
      <w:bookmarkStart w:id="604" w:name="_Toc30487"/>
      <w:bookmarkStart w:id="605" w:name="_Toc27750"/>
      <w:bookmarkStart w:id="606" w:name="_Toc888234110"/>
      <w:bookmarkStart w:id="607" w:name="_Toc664"/>
      <w:bookmarkStart w:id="608" w:name="_Toc1387647796"/>
      <w:bookmarkStart w:id="609" w:name="_Toc1424575844"/>
      <w:bookmarkStart w:id="610" w:name="_Toc6359"/>
      <w:bookmarkStart w:id="611" w:name="_Toc1368107012"/>
      <w:bookmarkStart w:id="612" w:name="_Toc313412736"/>
      <w:bookmarkStart w:id="613" w:name="_Toc932"/>
      <w:r>
        <w:rPr>
          <w:rFonts w:hint="eastAsia"/>
          <w:highlight w:val="none"/>
        </w:rPr>
        <w:t>四、保障措施</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14:paraId="329916C1">
      <w:pPr>
        <w:pStyle w:val="4"/>
        <w:ind w:firstLine="640"/>
        <w:rPr>
          <w:rFonts w:hint="eastAsia"/>
          <w:highlight w:val="none"/>
        </w:rPr>
      </w:pPr>
      <w:bookmarkStart w:id="614" w:name="_Toc667142255"/>
      <w:bookmarkStart w:id="615" w:name="_Toc26249"/>
      <w:bookmarkStart w:id="616" w:name="_Toc1897951508"/>
      <w:bookmarkStart w:id="617" w:name="_Toc345687713"/>
      <w:bookmarkStart w:id="618" w:name="_Toc4676"/>
      <w:bookmarkStart w:id="619" w:name="_Toc26197"/>
      <w:bookmarkStart w:id="620" w:name="_Toc7323"/>
      <w:bookmarkStart w:id="621" w:name="_Toc1692"/>
      <w:bookmarkStart w:id="622" w:name="_Toc524100952"/>
      <w:bookmarkStart w:id="623" w:name="_Toc1176981079"/>
      <w:bookmarkStart w:id="624" w:name="_Toc551029705"/>
      <w:bookmarkStart w:id="625" w:name="_Toc1700045904"/>
      <w:bookmarkStart w:id="626" w:name="_Toc21441"/>
      <w:bookmarkStart w:id="627" w:name="_Toc1020"/>
      <w:bookmarkStart w:id="628" w:name="_Toc19506"/>
      <w:bookmarkStart w:id="629" w:name="_Toc286490723"/>
      <w:bookmarkStart w:id="630" w:name="_Toc737720564"/>
      <w:bookmarkStart w:id="631" w:name="_Toc23140"/>
      <w:bookmarkStart w:id="632" w:name="_Toc8900"/>
      <w:bookmarkStart w:id="633" w:name="_Toc8077"/>
      <w:r>
        <w:rPr>
          <w:rFonts w:hint="eastAsia"/>
          <w:highlight w:val="none"/>
        </w:rPr>
        <w:t>（一）坚持党建引领，深化机制创新</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360AC4DA">
      <w:pPr>
        <w:ind w:firstLine="640"/>
        <w:rPr>
          <w:rFonts w:hint="eastAsia"/>
          <w:highlight w:val="none"/>
        </w:rPr>
      </w:pPr>
      <w:r>
        <w:rPr>
          <w:rFonts w:hint="eastAsia"/>
          <w:highlight w:val="none"/>
        </w:rPr>
        <w:t>坚持党的全面领导，以高质量党建引领高质量发展</w:t>
      </w:r>
      <w:r>
        <w:rPr>
          <w:rFonts w:hint="eastAsia"/>
          <w:highlight w:val="none"/>
          <w:lang w:eastAsia="zh-CN"/>
        </w:rPr>
        <w:t>，</w:t>
      </w:r>
      <w:r>
        <w:rPr>
          <w:rFonts w:hint="eastAsia"/>
          <w:highlight w:val="none"/>
        </w:rPr>
        <w:t>深入践行“长辛先锋”精神，推动党的建设与区域发展同频共振、深度融合共进。</w:t>
      </w:r>
      <w:r>
        <w:rPr>
          <w:rFonts w:hint="eastAsia"/>
          <w:highlight w:val="none"/>
          <w:lang w:val="en-US" w:eastAsia="zh-CN"/>
        </w:rPr>
        <w:t>深化</w:t>
      </w:r>
      <w:r>
        <w:rPr>
          <w:rFonts w:hint="eastAsia"/>
          <w:highlight w:val="none"/>
        </w:rPr>
        <w:t>职能部门各尽其职、条块协作的工作机制</w:t>
      </w:r>
      <w:r>
        <w:rPr>
          <w:rFonts w:hint="eastAsia"/>
          <w:highlight w:val="none"/>
          <w:lang w:eastAsia="zh-CN"/>
        </w:rPr>
        <w:t>，</w:t>
      </w:r>
      <w:r>
        <w:rPr>
          <w:rFonts w:hint="eastAsia"/>
          <w:highlight w:val="none"/>
          <w:lang w:val="en-US" w:eastAsia="zh-CN"/>
        </w:rPr>
        <w:t>统筹部门强化</w:t>
      </w:r>
      <w:r>
        <w:rPr>
          <w:rFonts w:hint="eastAsia"/>
          <w:highlight w:val="none"/>
        </w:rPr>
        <w:t>重点项目跟进调度</w:t>
      </w:r>
      <w:r>
        <w:rPr>
          <w:rFonts w:hint="eastAsia"/>
          <w:highlight w:val="none"/>
          <w:lang w:eastAsia="zh-CN"/>
        </w:rPr>
        <w:t>；</w:t>
      </w:r>
      <w:r>
        <w:rPr>
          <w:rFonts w:hint="eastAsia"/>
          <w:highlight w:val="none"/>
        </w:rPr>
        <w:t>行业主管部门</w:t>
      </w:r>
      <w:r>
        <w:rPr>
          <w:rFonts w:hint="eastAsia"/>
          <w:highlight w:val="none"/>
          <w:lang w:val="en-US" w:eastAsia="zh-CN"/>
        </w:rPr>
        <w:t>推进本领域</w:t>
      </w:r>
      <w:r>
        <w:rPr>
          <w:rFonts w:hint="eastAsia"/>
          <w:highlight w:val="none"/>
        </w:rPr>
        <w:t>项目</w:t>
      </w:r>
      <w:r>
        <w:rPr>
          <w:rFonts w:hint="eastAsia"/>
          <w:highlight w:val="none"/>
          <w:lang w:val="en-US" w:eastAsia="zh-CN"/>
        </w:rPr>
        <w:t>储备与实施；发挥产业链高质量发展“十个一”</w:t>
      </w:r>
      <w:r>
        <w:rPr>
          <w:rFonts w:hint="eastAsia" w:cs="仿宋_GB2312"/>
          <w:i w:val="0"/>
          <w:iCs w:val="0"/>
          <w:caps w:val="0"/>
          <w:color w:val="0F1115"/>
          <w:spacing w:val="0"/>
          <w:sz w:val="32"/>
          <w:szCs w:val="32"/>
          <w:highlight w:val="none"/>
          <w:shd w:val="clear" w:color="auto" w:fill="FFFFFF"/>
          <w:lang w:val="en-US" w:eastAsia="zh-CN"/>
        </w:rPr>
        <w:t>体系</w:t>
      </w:r>
      <w:r>
        <w:rPr>
          <w:rStyle w:val="26"/>
          <w:rFonts w:hint="eastAsia"/>
          <w:highlight w:val="none"/>
          <w:lang w:val="en-US" w:eastAsia="zh-CN"/>
        </w:rPr>
        <w:footnoteReference w:id="4"/>
      </w:r>
      <w:r>
        <w:rPr>
          <w:rFonts w:hint="eastAsia" w:cs="仿宋_GB2312"/>
          <w:i w:val="0"/>
          <w:iCs w:val="0"/>
          <w:caps w:val="0"/>
          <w:color w:val="0F1115"/>
          <w:spacing w:val="0"/>
          <w:sz w:val="32"/>
          <w:szCs w:val="32"/>
          <w:highlight w:val="none"/>
          <w:shd w:val="clear" w:color="auto" w:fill="FFFFFF"/>
          <w:lang w:val="en-US" w:eastAsia="zh-CN"/>
        </w:rPr>
        <w:t>协同促进作用，赋能河西地区产业升级</w:t>
      </w:r>
      <w:r>
        <w:rPr>
          <w:rFonts w:hint="eastAsia" w:cs="仿宋_GB2312"/>
          <w:color w:val="0F1115"/>
          <w:highlight w:val="none"/>
          <w:shd w:val="clear" w:color="auto" w:fill="FFFFFF"/>
          <w:lang w:eastAsia="zh-CN"/>
        </w:rPr>
        <w:t>，</w:t>
      </w:r>
      <w:r>
        <w:rPr>
          <w:rFonts w:hint="eastAsia" w:cs="仿宋_GB2312"/>
          <w:color w:val="0F1115"/>
          <w:highlight w:val="none"/>
          <w:shd w:val="clear" w:color="auto" w:fill="FFFFFF"/>
        </w:rPr>
        <w:t>凝聚齐抓共促工作合力</w:t>
      </w:r>
      <w:r>
        <w:rPr>
          <w:rFonts w:hint="eastAsia" w:cs="仿宋_GB2312"/>
          <w:i w:val="0"/>
          <w:iCs w:val="0"/>
          <w:caps w:val="0"/>
          <w:color w:val="0F1115"/>
          <w:spacing w:val="0"/>
          <w:sz w:val="32"/>
          <w:szCs w:val="32"/>
          <w:highlight w:val="none"/>
          <w:shd w:val="clear" w:color="auto" w:fill="FFFFFF"/>
          <w:lang w:val="en-US" w:eastAsia="zh-CN"/>
        </w:rPr>
        <w:t>。</w:t>
      </w:r>
    </w:p>
    <w:p w14:paraId="562EB7C2">
      <w:pPr>
        <w:pStyle w:val="4"/>
        <w:ind w:firstLine="640"/>
        <w:rPr>
          <w:rFonts w:hint="eastAsia"/>
          <w:highlight w:val="none"/>
        </w:rPr>
      </w:pPr>
      <w:bookmarkStart w:id="634" w:name="_Toc20439"/>
      <w:bookmarkStart w:id="635" w:name="_Toc1049122236"/>
      <w:bookmarkStart w:id="636" w:name="_Toc5664"/>
      <w:bookmarkStart w:id="637" w:name="_Toc23701"/>
      <w:bookmarkStart w:id="638" w:name="_Toc1200604392"/>
      <w:bookmarkStart w:id="639" w:name="_Toc897"/>
      <w:bookmarkStart w:id="640" w:name="_Toc148902418"/>
      <w:bookmarkStart w:id="641" w:name="_Toc12377"/>
      <w:bookmarkStart w:id="642" w:name="_Toc24964"/>
      <w:bookmarkStart w:id="643" w:name="_Toc8597"/>
      <w:bookmarkStart w:id="644" w:name="_Toc647758798"/>
      <w:bookmarkStart w:id="645" w:name="_Toc9814"/>
      <w:bookmarkStart w:id="646" w:name="_Toc1446425017"/>
      <w:bookmarkStart w:id="647" w:name="_Toc1030127256"/>
      <w:bookmarkStart w:id="648" w:name="_Toc4989"/>
      <w:bookmarkStart w:id="649" w:name="_Toc1206766071"/>
      <w:bookmarkStart w:id="650" w:name="_Toc19836"/>
      <w:bookmarkStart w:id="651" w:name="_Toc7738"/>
      <w:r>
        <w:rPr>
          <w:rFonts w:hint="eastAsia"/>
          <w:highlight w:val="none"/>
        </w:rPr>
        <w:t>（二）多元资金保障</w:t>
      </w:r>
      <w:r>
        <w:rPr>
          <w:highlight w:val="none"/>
        </w:rPr>
        <w:t>，促进</w:t>
      </w:r>
      <w:r>
        <w:rPr>
          <w:rFonts w:hint="eastAsia"/>
          <w:highlight w:val="none"/>
        </w:rPr>
        <w:t>项目</w:t>
      </w:r>
      <w:r>
        <w:rPr>
          <w:highlight w:val="none"/>
        </w:rPr>
        <w:t>落地</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19C1CAEB">
      <w:pPr>
        <w:ind w:firstLine="640"/>
        <w:rPr>
          <w:rFonts w:hint="eastAsia"/>
          <w:highlight w:val="none"/>
        </w:rPr>
      </w:pPr>
      <w:r>
        <w:rPr>
          <w:rFonts w:hint="eastAsia"/>
          <w:highlight w:val="none"/>
        </w:rPr>
        <w:t>积极争取中央预算内投资和超长期特别国债等国家级资金支持及市级各类奖补资金</w:t>
      </w:r>
      <w:r>
        <w:rPr>
          <w:rFonts w:hint="eastAsia" w:cs="仿宋_GB2312"/>
          <w:highlight w:val="none"/>
        </w:rPr>
        <w:t>，</w:t>
      </w:r>
      <w:r>
        <w:rPr>
          <w:rFonts w:cs="仿宋_GB2312"/>
          <w:highlight w:val="none"/>
        </w:rPr>
        <w:t>统筹用好</w:t>
      </w:r>
      <w:r>
        <w:rPr>
          <w:rFonts w:hint="eastAsia" w:cs="仿宋_GB2312"/>
          <w:highlight w:val="none"/>
        </w:rPr>
        <w:t>市固定资产投资和区</w:t>
      </w:r>
      <w:r>
        <w:rPr>
          <w:rFonts w:cs="仿宋_GB2312"/>
          <w:highlight w:val="none"/>
        </w:rPr>
        <w:t>政府投资</w:t>
      </w:r>
      <w:r>
        <w:rPr>
          <w:rFonts w:hint="eastAsia" w:cs="仿宋_GB2312"/>
          <w:highlight w:val="none"/>
        </w:rPr>
        <w:t>。</w:t>
      </w:r>
      <w:r>
        <w:rPr>
          <w:rFonts w:cs="仿宋_GB2312"/>
          <w:highlight w:val="none"/>
        </w:rPr>
        <w:t>吸引社会</w:t>
      </w:r>
      <w:r>
        <w:rPr>
          <w:rFonts w:hint="eastAsia" w:cs="仿宋_GB2312"/>
          <w:highlight w:val="none"/>
        </w:rPr>
        <w:t>资本</w:t>
      </w:r>
      <w:r>
        <w:rPr>
          <w:rFonts w:cs="仿宋_GB2312"/>
          <w:highlight w:val="none"/>
        </w:rPr>
        <w:t>参与</w:t>
      </w:r>
      <w:r>
        <w:rPr>
          <w:rFonts w:hint="eastAsia"/>
          <w:highlight w:val="none"/>
        </w:rPr>
        <w:t>开</w:t>
      </w:r>
      <w:r>
        <w:rPr>
          <w:highlight w:val="none"/>
        </w:rPr>
        <w:t>发建设，</w:t>
      </w:r>
      <w:r>
        <w:rPr>
          <w:rFonts w:hint="eastAsia" w:cs="仿宋_GB2312"/>
          <w:highlight w:val="none"/>
        </w:rPr>
        <w:t>引导金融资源投向河西地区</w:t>
      </w:r>
      <w:r>
        <w:rPr>
          <w:rFonts w:hint="eastAsia" w:cs="仿宋_GB2312"/>
          <w:highlight w:val="none"/>
          <w:lang w:val="en-US" w:eastAsia="zh-CN"/>
        </w:rPr>
        <w:t>重点领域，</w:t>
      </w:r>
      <w:r>
        <w:rPr>
          <w:rFonts w:hint="eastAsia" w:cs="仿宋_GB2312"/>
          <w:highlight w:val="none"/>
        </w:rPr>
        <w:t>支持符合条件的项目发行不动产投资信托基金（REITs），构建市场化、可持续的投融资和运营管理长效机制</w:t>
      </w:r>
      <w:r>
        <w:rPr>
          <w:rFonts w:hint="eastAsia" w:cs="仿宋_GB2312"/>
          <w:highlight w:val="none"/>
          <w:lang w:eastAsia="zh-CN"/>
        </w:rPr>
        <w:t>，</w:t>
      </w:r>
      <w:r>
        <w:rPr>
          <w:rFonts w:hint="eastAsia" w:cs="仿宋_GB2312"/>
          <w:highlight w:val="none"/>
          <w:lang w:val="en-US" w:eastAsia="zh-CN"/>
        </w:rPr>
        <w:t>为区域高质量</w:t>
      </w:r>
      <w:r>
        <w:rPr>
          <w:rFonts w:hint="eastAsia" w:cs="仿宋_GB2312"/>
          <w:highlight w:val="none"/>
        </w:rPr>
        <w:t>发展提供多元化融资保障。</w:t>
      </w:r>
    </w:p>
    <w:p w14:paraId="672971CC">
      <w:pPr>
        <w:pStyle w:val="4"/>
        <w:ind w:firstLine="640"/>
        <w:rPr>
          <w:rFonts w:hint="eastAsia"/>
          <w:highlight w:val="none"/>
        </w:rPr>
      </w:pPr>
      <w:bookmarkStart w:id="652" w:name="_Toc1281793029"/>
      <w:bookmarkStart w:id="653" w:name="_Toc23599"/>
      <w:bookmarkStart w:id="654" w:name="_Toc1287511343"/>
      <w:bookmarkStart w:id="655" w:name="_Toc1694375288"/>
      <w:bookmarkStart w:id="656" w:name="_Toc17248"/>
      <w:bookmarkStart w:id="657" w:name="_Toc200"/>
      <w:bookmarkStart w:id="658" w:name="_Toc18731"/>
      <w:bookmarkStart w:id="659" w:name="_Toc22854"/>
      <w:bookmarkStart w:id="660" w:name="_Toc784490571"/>
      <w:bookmarkStart w:id="661" w:name="_Toc26293"/>
      <w:bookmarkStart w:id="662" w:name="_Toc9579"/>
      <w:bookmarkStart w:id="663" w:name="_Toc679"/>
      <w:bookmarkStart w:id="664" w:name="_Toc1756678582"/>
      <w:bookmarkStart w:id="665" w:name="_Toc550376679"/>
      <w:bookmarkStart w:id="666" w:name="_Toc15057"/>
      <w:bookmarkStart w:id="667" w:name="_Toc3209"/>
      <w:bookmarkStart w:id="668" w:name="_Toc335629478"/>
      <w:bookmarkStart w:id="669" w:name="_Toc6345"/>
      <w:r>
        <w:rPr>
          <w:rFonts w:hint="eastAsia"/>
          <w:highlight w:val="none"/>
        </w:rPr>
        <w:t>（三）加强人才引育，助力创新发展</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3BFF8D54">
      <w:pPr>
        <w:ind w:firstLine="640"/>
        <w:rPr>
          <w:rFonts w:ascii="Times New Roman" w:hAnsi="Times New Roman" w:cs="Times New Roman"/>
          <w:highlight w:val="none"/>
        </w:rPr>
      </w:pPr>
      <w:r>
        <w:rPr>
          <w:rFonts w:hint="eastAsia" w:ascii="Times New Roman" w:hAnsi="Times New Roman" w:cs="Times New Roman"/>
          <w:highlight w:val="none"/>
        </w:rPr>
        <w:t>持续依托“丰泽计划”“学子回家”</w:t>
      </w:r>
      <w:r>
        <w:rPr>
          <w:rFonts w:hint="eastAsia"/>
          <w:highlight w:val="none"/>
        </w:rPr>
        <w:t>等人才政策，精准吸引数字技术、智能制造等领域高端技术人才。</w:t>
      </w:r>
      <w:r>
        <w:rPr>
          <w:rFonts w:hint="eastAsia" w:ascii="Times New Roman" w:hAnsi="Times New Roman" w:cs="Times New Roman"/>
          <w:highlight w:val="none"/>
        </w:rPr>
        <w:t>加大与高校、科研机构合作建立人才培养基地，增强高层次人才、青年人才对河西地区建设发展的支撑作用。完善人才评价激励机制，对在关键技术攻关、重大项目建设中作出突出贡献的人才给予奖励，支持人才开展科研创新和成果转化。</w:t>
      </w:r>
    </w:p>
    <w:p w14:paraId="55DDB0C6">
      <w:pPr>
        <w:ind w:firstLine="0" w:firstLineChars="0"/>
        <w:rPr>
          <w:rFonts w:ascii="Times New Roman" w:hAnsi="Times New Roman" w:cs="Times New Roman"/>
          <w:highlight w:val="none"/>
        </w:rPr>
      </w:pPr>
    </w:p>
    <w:sectPr>
      <w:footerReference r:id="rId13" w:type="default"/>
      <w:pgSz w:w="11906" w:h="16838"/>
      <w:pgMar w:top="2098" w:right="1474" w:bottom="1984" w:left="1587"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imes New Roman (正文 CS 字体)">
    <w:altName w:val="宋体"/>
    <w:panose1 w:val="00000000000000000000"/>
    <w:charset w:val="86"/>
    <w:family w:val="roma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Times New Roman (标题 CS)">
    <w:altName w:val="宋体"/>
    <w:panose1 w:val="00000000000000000000"/>
    <w:charset w:val="86"/>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Batang">
    <w:panose1 w:val="02030600000101010101"/>
    <w:charset w:val="81"/>
    <w:family w:val="auto"/>
    <w:pitch w:val="default"/>
    <w:sig w:usb0="B00002AF" w:usb1="69D77CFB" w:usb2="00000030" w:usb3="00000000" w:csb0="4008009F" w:csb1="DFD7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2000000000000000000"/>
    <w:charset w:val="86"/>
    <w:family w:val="auto"/>
    <w:pitch w:val="default"/>
    <w:sig w:usb0="00000001" w:usb1="08000000" w:usb2="00000000" w:usb3="00000000" w:csb0="00040000" w:csb1="00000000"/>
  </w:font>
  <w:font w:name="等线 Light">
    <w:altName w:val="仿宋"/>
    <w:panose1 w:val="00000000000000000000"/>
    <w:charset w:val="00"/>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16B60">
    <w:pPr>
      <w:pStyle w:val="1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32596">
    <w:pPr>
      <w:pStyle w:val="1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6430B">
    <w:pPr>
      <w:pStyle w:val="1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5472E">
    <w:pPr>
      <w:pStyle w:val="11"/>
      <w:ind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D2293">
    <w:pPr>
      <w:pStyle w:val="11"/>
      <w:ind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5B072">
    <w:pPr>
      <w:pStyle w:val="11"/>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8A7B7">
                          <w:pPr>
                            <w:pStyle w:val="11"/>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08A7B7">
                    <w:pPr>
                      <w:pStyle w:val="11"/>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pPr>
        <w:spacing w:line="240" w:lineRule="auto"/>
        <w:ind w:firstLine="640"/>
      </w:pPr>
      <w:r>
        <w:separator/>
      </w:r>
    </w:p>
  </w:footnote>
  <w:footnote w:type="continuationSeparator" w:id="11">
    <w:p>
      <w:pPr>
        <w:spacing w:line="240" w:lineRule="auto"/>
        <w:ind w:firstLine="640"/>
      </w:pPr>
      <w:r>
        <w:continuationSeparator/>
      </w:r>
    </w:p>
  </w:footnote>
  <w:footnote w:id="0">
    <w:p w14:paraId="44ED04D1">
      <w:pPr>
        <w:pStyle w:val="14"/>
        <w:rPr>
          <w:rFonts w:hint="eastAsia" w:ascii="仿宋_GB2312" w:eastAsia="仿宋_GB2312" w:cs="仿宋_GB2312"/>
          <w:sz w:val="21"/>
          <w:szCs w:val="21"/>
        </w:rPr>
      </w:pPr>
      <w:r>
        <w:rPr>
          <w:rStyle w:val="26"/>
          <w:rFonts w:hint="eastAsia" w:ascii="仿宋_GB2312" w:eastAsia="仿宋_GB2312" w:cs="仿宋_GB2312"/>
          <w:sz w:val="21"/>
          <w:szCs w:val="21"/>
        </w:rPr>
        <w:footnoteRef/>
      </w:r>
      <w:r>
        <w:rPr>
          <w:rFonts w:hint="eastAsia" w:ascii="仿宋_GB2312" w:eastAsia="仿宋_GB2312" w:cs="仿宋_GB2312"/>
          <w:sz w:val="21"/>
          <w:szCs w:val="21"/>
        </w:rPr>
        <w:t>河西地区北侧与石景山区、门头沟区相接，南侧与房山区相连，包含长辛店街道、云岗街道、王佐镇和北宫镇及宛平街道卢沟桥文化公园区域。</w:t>
      </w:r>
    </w:p>
  </w:footnote>
  <w:footnote w:id="1">
    <w:p w14:paraId="4C370EF7">
      <w:pPr>
        <w:pStyle w:val="14"/>
        <w:rPr>
          <w:rFonts w:hint="eastAsia" w:ascii="仿宋_GB2312" w:eastAsia="仿宋_GB2312" w:cs="仿宋_GB2312"/>
          <w:sz w:val="21"/>
          <w:szCs w:val="21"/>
          <w:lang w:eastAsia="zh-CN"/>
        </w:rPr>
      </w:pPr>
      <w:r>
        <w:rPr>
          <w:rStyle w:val="26"/>
          <w:rFonts w:hint="eastAsia" w:ascii="仿宋_GB2312" w:eastAsia="仿宋_GB2312" w:cs="仿宋_GB2312"/>
          <w:sz w:val="21"/>
          <w:szCs w:val="21"/>
        </w:rPr>
        <w:footnoteRef/>
      </w:r>
      <w:r>
        <w:rPr>
          <w:rFonts w:hint="eastAsia" w:ascii="仿宋_GB2312" w:eastAsia="仿宋_GB2312" w:cs="仿宋_GB2312"/>
          <w:sz w:val="21"/>
          <w:szCs w:val="21"/>
          <w:lang w:eastAsia="zh-CN"/>
        </w:rPr>
        <w:t>重点功能区指《中共北京市丰台区委关于加快重点功能区建设、促进产城融合高质量发展的意见》（京丰发〔2025〕1号）提出的南中轴地区、西山永定河文化精华区、丽泽金融商务区、中关村丰台园四大重点功能区。其中，河西地区范围涵盖西山永定河文化精华区、中关村丰台园两大功能板块。</w:t>
      </w:r>
    </w:p>
  </w:footnote>
  <w:footnote w:id="2">
    <w:p w14:paraId="53DEA1A3">
      <w:pPr>
        <w:pStyle w:val="14"/>
        <w:rPr>
          <w:rFonts w:hint="eastAsia" w:ascii="仿宋_GB2312" w:eastAsia="仿宋_GB2312" w:cs="仿宋_GB2312"/>
          <w:sz w:val="21"/>
          <w:szCs w:val="21"/>
        </w:rPr>
      </w:pPr>
      <w:r>
        <w:rPr>
          <w:rStyle w:val="26"/>
        </w:rPr>
        <w:footnoteRef/>
      </w:r>
      <w:r>
        <w:rPr>
          <w:rFonts w:hint="eastAsia" w:ascii="仿宋_GB2312" w:eastAsia="仿宋_GB2312" w:cs="仿宋_GB2312"/>
          <w:sz w:val="21"/>
          <w:szCs w:val="21"/>
        </w:rPr>
        <w:t>“一核”引领：以“两园一河”区域为“核心”，发挥龙头带动作用。</w:t>
      </w:r>
    </w:p>
    <w:p w14:paraId="1EEBD0A5">
      <w:pPr>
        <w:pStyle w:val="14"/>
        <w:rPr>
          <w:rFonts w:hint="eastAsia" w:ascii="仿宋_GB2312" w:eastAsia="仿宋_GB2312" w:cs="仿宋_GB2312"/>
          <w:sz w:val="21"/>
          <w:szCs w:val="21"/>
        </w:rPr>
      </w:pPr>
      <w:r>
        <w:rPr>
          <w:rFonts w:hint="eastAsia" w:ascii="仿宋_GB2312" w:eastAsia="仿宋_GB2312" w:cs="仿宋_GB2312"/>
          <w:sz w:val="21"/>
          <w:szCs w:val="21"/>
        </w:rPr>
        <w:t>“一轴”带动：以地铁1号线支线为“轴线”，发挥轨道交通对空间布局的引导作用。</w:t>
      </w:r>
    </w:p>
    <w:p w14:paraId="57B00908">
      <w:pPr>
        <w:pStyle w:val="14"/>
        <w:rPr>
          <w:rFonts w:hint="eastAsia" w:ascii="仿宋_GB2312" w:eastAsia="仿宋_GB2312" w:cs="仿宋_GB2312"/>
          <w:sz w:val="21"/>
          <w:szCs w:val="21"/>
        </w:rPr>
      </w:pPr>
      <w:r>
        <w:rPr>
          <w:rFonts w:hint="eastAsia" w:ascii="仿宋_GB2312" w:eastAsia="仿宋_GB2312" w:cs="仿宋_GB2312"/>
          <w:sz w:val="21"/>
          <w:szCs w:val="21"/>
        </w:rPr>
        <w:t>“两翼”：以卢沟桥－宛平城－长辛店老镇文化空间廊道为“文化翼”，打造历史教育和红色文旅体验目的地，塑造河西地区文旅新格局；以园博园－北宫－千灵山连片生态空间为“生态翼”，打造首都西南部重要生态屏障和市民休闲游憩目的地。</w:t>
      </w:r>
    </w:p>
    <w:p w14:paraId="17574F80">
      <w:pPr>
        <w:pStyle w:val="14"/>
        <w:rPr>
          <w:rFonts w:hint="eastAsia"/>
        </w:rPr>
      </w:pPr>
      <w:r>
        <w:rPr>
          <w:rFonts w:hint="eastAsia" w:ascii="仿宋_GB2312" w:eastAsia="仿宋_GB2312" w:cs="仿宋_GB2312"/>
          <w:sz w:val="21"/>
          <w:szCs w:val="21"/>
        </w:rPr>
        <w:t>“多点”支撑：以服务保障重大项目、地铁沿线站点、重点产业园区、大院大所及集体产业等为“多点”，辐射带动周边区域协同发展。</w:t>
      </w:r>
    </w:p>
  </w:footnote>
  <w:footnote w:id="3">
    <w:p w14:paraId="0B91A1F1">
      <w:pPr>
        <w:pStyle w:val="14"/>
        <w:rPr>
          <w:rFonts w:hint="eastAsia" w:ascii="仿宋_GB2312" w:eastAsia="仿宋_GB2312" w:cs="仿宋_GB2312"/>
          <w:sz w:val="21"/>
          <w:szCs w:val="21"/>
        </w:rPr>
      </w:pPr>
      <w:r>
        <w:rPr>
          <w:rStyle w:val="26"/>
          <w:rFonts w:hint="eastAsia" w:ascii="仿宋_GB2312" w:eastAsia="仿宋_GB2312" w:cs="仿宋_GB2312"/>
          <w:sz w:val="21"/>
          <w:szCs w:val="21"/>
        </w:rPr>
        <w:footnoteRef/>
      </w:r>
      <w:r>
        <w:rPr>
          <w:rFonts w:hint="eastAsia" w:ascii="仿宋_GB2312" w:eastAsia="仿宋_GB2312" w:cs="仿宋_GB2312"/>
          <w:sz w:val="21"/>
          <w:szCs w:val="21"/>
        </w:rPr>
        <w:t xml:space="preserve"> “4”为主导产业，包括轨道交通、航空航天、新兴金融、科技服务产业；“5”为新兴产业，包括人工智能、智能制造、低空技术、医药健康、高端商务产业；未来产业包括未来信息、未来健康、未来制造、未来能源、未来材料、未来空间六大未来产业方向。</w:t>
      </w:r>
    </w:p>
    <w:p w14:paraId="6CFE561E">
      <w:pPr>
        <w:pStyle w:val="14"/>
        <w:rPr>
          <w:rFonts w:hint="eastAsia" w:ascii="仿宋_GB2312" w:eastAsia="仿宋_GB2312" w:cs="仿宋_GB2312"/>
          <w:sz w:val="21"/>
          <w:szCs w:val="21"/>
        </w:rPr>
      </w:pPr>
    </w:p>
  </w:footnote>
  <w:footnote w:id="4">
    <w:p w14:paraId="575CA3BA">
      <w:pPr>
        <w:pStyle w:val="14"/>
        <w:snapToGrid w:val="0"/>
        <w:rPr>
          <w:rFonts w:hint="eastAsia" w:eastAsia="仿宋_GB2312"/>
          <w:lang w:eastAsia="zh-CN"/>
        </w:rPr>
      </w:pPr>
      <w:r>
        <w:rPr>
          <w:rStyle w:val="26"/>
        </w:rPr>
        <w:footnoteRef/>
      </w:r>
      <w:r>
        <w:rPr>
          <w:rFonts w:hint="eastAsia" w:ascii="仿宋_GB2312" w:eastAsia="仿宋_GB2312" w:cs="仿宋_GB2312"/>
          <w:sz w:val="21"/>
          <w:szCs w:val="21"/>
          <w:lang w:val="en-US" w:eastAsia="zh-CN"/>
        </w:rPr>
        <w:t xml:space="preserve"> </w:t>
      </w:r>
      <w:r>
        <w:rPr>
          <w:rFonts w:hint="eastAsia" w:ascii="仿宋_GB2312" w:eastAsia="仿宋_GB2312" w:cs="仿宋_GB2312"/>
          <w:sz w:val="21"/>
          <w:szCs w:val="21"/>
        </w:rPr>
        <w:t>每条产业链绘制一个产业图谱，编制一个产业规划，建立一个工作专班，制定一套扶持政策，释放一批产业空间，遴选吸纳一批链长单位，谋划实施一批重点项目，建立一支专家团队</w:t>
      </w:r>
      <w:r>
        <w:rPr>
          <w:rFonts w:hint="eastAsia" w:ascii="仿宋_GB2312" w:eastAsia="仿宋_GB2312" w:cs="仿宋_GB2312"/>
          <w:sz w:val="21"/>
          <w:szCs w:val="21"/>
          <w:lang w:eastAsia="zh-CN"/>
        </w:rPr>
        <w:t>，</w:t>
      </w:r>
      <w:r>
        <w:rPr>
          <w:rFonts w:hint="eastAsia" w:ascii="仿宋_GB2312" w:eastAsia="仿宋_GB2312" w:cs="仿宋_GB2312"/>
          <w:sz w:val="21"/>
          <w:szCs w:val="21"/>
        </w:rPr>
        <w:t>聚集一批金融机构</w:t>
      </w:r>
      <w:r>
        <w:rPr>
          <w:rFonts w:hint="eastAsia" w:ascii="仿宋_GB2312" w:eastAsia="仿宋_GB2312" w:cs="仿宋_GB2312"/>
          <w:sz w:val="21"/>
          <w:szCs w:val="21"/>
          <w:lang w:eastAsia="zh-CN"/>
        </w:rPr>
        <w:t>，</w:t>
      </w:r>
      <w:r>
        <w:rPr>
          <w:rFonts w:hint="eastAsia" w:ascii="仿宋_GB2312" w:eastAsia="仿宋_GB2312" w:cs="仿宋_GB2312"/>
          <w:sz w:val="21"/>
          <w:szCs w:val="21"/>
        </w:rPr>
        <w:t>搭建一个合作平台</w:t>
      </w:r>
      <w:r>
        <w:rPr>
          <w:rFonts w:hint="eastAsia" w:ascii="仿宋_GB2312" w:eastAsia="仿宋_GB2312" w:cs="仿宋_GB2312"/>
          <w:sz w:val="21"/>
          <w:szCs w:val="21"/>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4A541">
    <w:pPr>
      <w:pStyle w:val="12"/>
      <w:ind w:firstLine="361"/>
      <w:rPr>
        <w:rFonts w:hint="eastAsia"/>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A1C41">
    <w:pPr>
      <w:pStyle w:val="1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60A0D">
    <w:pPr>
      <w:pStyle w:val="12"/>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0"/>
    <w:footnote w:id="1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6C8"/>
    <w:rsid w:val="00000227"/>
    <w:rsid w:val="000015D2"/>
    <w:rsid w:val="00001B08"/>
    <w:rsid w:val="00010312"/>
    <w:rsid w:val="000139D2"/>
    <w:rsid w:val="000175DC"/>
    <w:rsid w:val="0002567F"/>
    <w:rsid w:val="0002729C"/>
    <w:rsid w:val="0003057F"/>
    <w:rsid w:val="00032763"/>
    <w:rsid w:val="00033D3D"/>
    <w:rsid w:val="000358F1"/>
    <w:rsid w:val="00044086"/>
    <w:rsid w:val="000449D5"/>
    <w:rsid w:val="000566C8"/>
    <w:rsid w:val="000615D8"/>
    <w:rsid w:val="00067B1F"/>
    <w:rsid w:val="00074ADA"/>
    <w:rsid w:val="000849B1"/>
    <w:rsid w:val="0008776C"/>
    <w:rsid w:val="00096849"/>
    <w:rsid w:val="00096ED6"/>
    <w:rsid w:val="000A7473"/>
    <w:rsid w:val="000B1458"/>
    <w:rsid w:val="000C6E61"/>
    <w:rsid w:val="000D1761"/>
    <w:rsid w:val="000D705E"/>
    <w:rsid w:val="000D7891"/>
    <w:rsid w:val="000E0D38"/>
    <w:rsid w:val="000F3AF8"/>
    <w:rsid w:val="000F7FD6"/>
    <w:rsid w:val="00113517"/>
    <w:rsid w:val="00123E25"/>
    <w:rsid w:val="001253E0"/>
    <w:rsid w:val="001266BA"/>
    <w:rsid w:val="0012683A"/>
    <w:rsid w:val="00136F9A"/>
    <w:rsid w:val="00142B3C"/>
    <w:rsid w:val="00143B7D"/>
    <w:rsid w:val="00152075"/>
    <w:rsid w:val="0015239A"/>
    <w:rsid w:val="00153D12"/>
    <w:rsid w:val="001617A6"/>
    <w:rsid w:val="00166E38"/>
    <w:rsid w:val="001677A2"/>
    <w:rsid w:val="00175DC4"/>
    <w:rsid w:val="0017777C"/>
    <w:rsid w:val="00182A2B"/>
    <w:rsid w:val="00196041"/>
    <w:rsid w:val="00196CF5"/>
    <w:rsid w:val="001A0A44"/>
    <w:rsid w:val="001A73ED"/>
    <w:rsid w:val="001B7853"/>
    <w:rsid w:val="001C512C"/>
    <w:rsid w:val="001C77E1"/>
    <w:rsid w:val="001D4412"/>
    <w:rsid w:val="001E3137"/>
    <w:rsid w:val="001F0FA9"/>
    <w:rsid w:val="001F5B1F"/>
    <w:rsid w:val="00202AEE"/>
    <w:rsid w:val="00205FDC"/>
    <w:rsid w:val="002227F9"/>
    <w:rsid w:val="0022292E"/>
    <w:rsid w:val="00226606"/>
    <w:rsid w:val="00230816"/>
    <w:rsid w:val="00237251"/>
    <w:rsid w:val="002434D7"/>
    <w:rsid w:val="00244BFF"/>
    <w:rsid w:val="00253110"/>
    <w:rsid w:val="00256999"/>
    <w:rsid w:val="0025737B"/>
    <w:rsid w:val="002810C6"/>
    <w:rsid w:val="0028120A"/>
    <w:rsid w:val="0028153E"/>
    <w:rsid w:val="00283C1A"/>
    <w:rsid w:val="00284835"/>
    <w:rsid w:val="002926BF"/>
    <w:rsid w:val="00294666"/>
    <w:rsid w:val="002952C5"/>
    <w:rsid w:val="002A3B93"/>
    <w:rsid w:val="002C1AC0"/>
    <w:rsid w:val="002C2A6B"/>
    <w:rsid w:val="002C5069"/>
    <w:rsid w:val="002D0275"/>
    <w:rsid w:val="002D585D"/>
    <w:rsid w:val="002E1421"/>
    <w:rsid w:val="002E1D9B"/>
    <w:rsid w:val="002F0FB5"/>
    <w:rsid w:val="002F68D4"/>
    <w:rsid w:val="00303F7C"/>
    <w:rsid w:val="00305E7E"/>
    <w:rsid w:val="00306778"/>
    <w:rsid w:val="00311167"/>
    <w:rsid w:val="00311461"/>
    <w:rsid w:val="00315B37"/>
    <w:rsid w:val="003320E8"/>
    <w:rsid w:val="003369FB"/>
    <w:rsid w:val="00336E09"/>
    <w:rsid w:val="00337AB6"/>
    <w:rsid w:val="00342D6A"/>
    <w:rsid w:val="00342EC0"/>
    <w:rsid w:val="003476C8"/>
    <w:rsid w:val="00356516"/>
    <w:rsid w:val="0036443F"/>
    <w:rsid w:val="00366244"/>
    <w:rsid w:val="003753A0"/>
    <w:rsid w:val="00384F40"/>
    <w:rsid w:val="003857B7"/>
    <w:rsid w:val="00395919"/>
    <w:rsid w:val="00395FE5"/>
    <w:rsid w:val="003A033E"/>
    <w:rsid w:val="003A12C2"/>
    <w:rsid w:val="003A2DE6"/>
    <w:rsid w:val="003A34E2"/>
    <w:rsid w:val="003A4ACA"/>
    <w:rsid w:val="003B14AF"/>
    <w:rsid w:val="003C0CD7"/>
    <w:rsid w:val="003C62B1"/>
    <w:rsid w:val="003C6BD8"/>
    <w:rsid w:val="003C7E60"/>
    <w:rsid w:val="003D2974"/>
    <w:rsid w:val="003D342E"/>
    <w:rsid w:val="003D5889"/>
    <w:rsid w:val="003E3FF3"/>
    <w:rsid w:val="003E4BCA"/>
    <w:rsid w:val="003E69E1"/>
    <w:rsid w:val="003E7BBB"/>
    <w:rsid w:val="003F049B"/>
    <w:rsid w:val="003F4C3D"/>
    <w:rsid w:val="00401FD0"/>
    <w:rsid w:val="00406FB0"/>
    <w:rsid w:val="00416B2B"/>
    <w:rsid w:val="00425D37"/>
    <w:rsid w:val="004328A1"/>
    <w:rsid w:val="00435E07"/>
    <w:rsid w:val="0044172D"/>
    <w:rsid w:val="00450B26"/>
    <w:rsid w:val="00454205"/>
    <w:rsid w:val="00457DD8"/>
    <w:rsid w:val="00462714"/>
    <w:rsid w:val="00465DBB"/>
    <w:rsid w:val="00472DCF"/>
    <w:rsid w:val="00474EE4"/>
    <w:rsid w:val="00477441"/>
    <w:rsid w:val="004811F6"/>
    <w:rsid w:val="00481283"/>
    <w:rsid w:val="00481659"/>
    <w:rsid w:val="0048626B"/>
    <w:rsid w:val="00491AA0"/>
    <w:rsid w:val="00491E47"/>
    <w:rsid w:val="004A0A3E"/>
    <w:rsid w:val="004A3C18"/>
    <w:rsid w:val="004A6318"/>
    <w:rsid w:val="004B0081"/>
    <w:rsid w:val="004B0BF0"/>
    <w:rsid w:val="004B1BE5"/>
    <w:rsid w:val="004B6127"/>
    <w:rsid w:val="004C42D3"/>
    <w:rsid w:val="004C68EB"/>
    <w:rsid w:val="004E2101"/>
    <w:rsid w:val="004F7330"/>
    <w:rsid w:val="00500A43"/>
    <w:rsid w:val="00514134"/>
    <w:rsid w:val="005160B0"/>
    <w:rsid w:val="005178D3"/>
    <w:rsid w:val="005229AD"/>
    <w:rsid w:val="00523088"/>
    <w:rsid w:val="00531804"/>
    <w:rsid w:val="0053496E"/>
    <w:rsid w:val="005406FD"/>
    <w:rsid w:val="005501C6"/>
    <w:rsid w:val="00551263"/>
    <w:rsid w:val="00554823"/>
    <w:rsid w:val="00565AB3"/>
    <w:rsid w:val="0056779E"/>
    <w:rsid w:val="00570459"/>
    <w:rsid w:val="00572313"/>
    <w:rsid w:val="005731CD"/>
    <w:rsid w:val="005747ED"/>
    <w:rsid w:val="0058618F"/>
    <w:rsid w:val="00586284"/>
    <w:rsid w:val="005A1192"/>
    <w:rsid w:val="005A7B6A"/>
    <w:rsid w:val="005C6B71"/>
    <w:rsid w:val="005D4AEC"/>
    <w:rsid w:val="005D537A"/>
    <w:rsid w:val="006034BE"/>
    <w:rsid w:val="00604124"/>
    <w:rsid w:val="00607288"/>
    <w:rsid w:val="006177FD"/>
    <w:rsid w:val="00622210"/>
    <w:rsid w:val="00622744"/>
    <w:rsid w:val="00623725"/>
    <w:rsid w:val="00625C3D"/>
    <w:rsid w:val="00627E93"/>
    <w:rsid w:val="00637B8C"/>
    <w:rsid w:val="00641E2B"/>
    <w:rsid w:val="0064489B"/>
    <w:rsid w:val="006514A0"/>
    <w:rsid w:val="00653F02"/>
    <w:rsid w:val="00672058"/>
    <w:rsid w:val="00681567"/>
    <w:rsid w:val="006865A8"/>
    <w:rsid w:val="00692335"/>
    <w:rsid w:val="00692867"/>
    <w:rsid w:val="006B0256"/>
    <w:rsid w:val="006D6D27"/>
    <w:rsid w:val="006F0265"/>
    <w:rsid w:val="006F3B02"/>
    <w:rsid w:val="006F3BC9"/>
    <w:rsid w:val="006F5BBC"/>
    <w:rsid w:val="006F784C"/>
    <w:rsid w:val="007014D4"/>
    <w:rsid w:val="0071589C"/>
    <w:rsid w:val="00721BF6"/>
    <w:rsid w:val="00724FFC"/>
    <w:rsid w:val="0074074D"/>
    <w:rsid w:val="00750E3C"/>
    <w:rsid w:val="00752996"/>
    <w:rsid w:val="00752BC0"/>
    <w:rsid w:val="00755EF0"/>
    <w:rsid w:val="00756CE3"/>
    <w:rsid w:val="00761D2E"/>
    <w:rsid w:val="007711A1"/>
    <w:rsid w:val="00774D9D"/>
    <w:rsid w:val="00783F76"/>
    <w:rsid w:val="007A5BE5"/>
    <w:rsid w:val="007B03AC"/>
    <w:rsid w:val="007B2DBE"/>
    <w:rsid w:val="007B3DEB"/>
    <w:rsid w:val="007C1BB6"/>
    <w:rsid w:val="007D2E92"/>
    <w:rsid w:val="007D700A"/>
    <w:rsid w:val="007E1478"/>
    <w:rsid w:val="007E66AD"/>
    <w:rsid w:val="007F0339"/>
    <w:rsid w:val="007F7794"/>
    <w:rsid w:val="0082283F"/>
    <w:rsid w:val="008254B0"/>
    <w:rsid w:val="00835146"/>
    <w:rsid w:val="00846852"/>
    <w:rsid w:val="00850F99"/>
    <w:rsid w:val="008654B9"/>
    <w:rsid w:val="00866D9E"/>
    <w:rsid w:val="00867E3E"/>
    <w:rsid w:val="008766C5"/>
    <w:rsid w:val="0088382E"/>
    <w:rsid w:val="00893C02"/>
    <w:rsid w:val="008A79D5"/>
    <w:rsid w:val="008B6764"/>
    <w:rsid w:val="008D30AB"/>
    <w:rsid w:val="008D4157"/>
    <w:rsid w:val="008D6B5B"/>
    <w:rsid w:val="008E0A4A"/>
    <w:rsid w:val="008E6DC2"/>
    <w:rsid w:val="008F05AC"/>
    <w:rsid w:val="009009DE"/>
    <w:rsid w:val="00905A76"/>
    <w:rsid w:val="00916C16"/>
    <w:rsid w:val="009339D0"/>
    <w:rsid w:val="00936135"/>
    <w:rsid w:val="00937A3D"/>
    <w:rsid w:val="009450C0"/>
    <w:rsid w:val="00946C15"/>
    <w:rsid w:val="00952FCA"/>
    <w:rsid w:val="009553D0"/>
    <w:rsid w:val="00961442"/>
    <w:rsid w:val="00961564"/>
    <w:rsid w:val="00966F99"/>
    <w:rsid w:val="009931E8"/>
    <w:rsid w:val="00995779"/>
    <w:rsid w:val="009B04FA"/>
    <w:rsid w:val="009B3E7E"/>
    <w:rsid w:val="009B6DEA"/>
    <w:rsid w:val="009B7BD5"/>
    <w:rsid w:val="009D1A1C"/>
    <w:rsid w:val="009D2DE4"/>
    <w:rsid w:val="009D6A42"/>
    <w:rsid w:val="009E1AF9"/>
    <w:rsid w:val="009E33D3"/>
    <w:rsid w:val="009F4B77"/>
    <w:rsid w:val="009F6AD1"/>
    <w:rsid w:val="00A017CB"/>
    <w:rsid w:val="00A111A1"/>
    <w:rsid w:val="00A23AAF"/>
    <w:rsid w:val="00A27869"/>
    <w:rsid w:val="00A33BD6"/>
    <w:rsid w:val="00A653BE"/>
    <w:rsid w:val="00A65D28"/>
    <w:rsid w:val="00AA79F3"/>
    <w:rsid w:val="00AD2B5E"/>
    <w:rsid w:val="00AD3577"/>
    <w:rsid w:val="00AD72E2"/>
    <w:rsid w:val="00AE00A5"/>
    <w:rsid w:val="00AF1968"/>
    <w:rsid w:val="00B01EF2"/>
    <w:rsid w:val="00B03919"/>
    <w:rsid w:val="00B077A6"/>
    <w:rsid w:val="00B104D8"/>
    <w:rsid w:val="00B20FDF"/>
    <w:rsid w:val="00B22936"/>
    <w:rsid w:val="00B24051"/>
    <w:rsid w:val="00B332F0"/>
    <w:rsid w:val="00B3470A"/>
    <w:rsid w:val="00B41512"/>
    <w:rsid w:val="00B41EDA"/>
    <w:rsid w:val="00B52B38"/>
    <w:rsid w:val="00B55503"/>
    <w:rsid w:val="00B57D42"/>
    <w:rsid w:val="00B625C8"/>
    <w:rsid w:val="00B675E2"/>
    <w:rsid w:val="00B73A9E"/>
    <w:rsid w:val="00B740D7"/>
    <w:rsid w:val="00B8270C"/>
    <w:rsid w:val="00B83C3C"/>
    <w:rsid w:val="00B844FC"/>
    <w:rsid w:val="00B93C6D"/>
    <w:rsid w:val="00B965E9"/>
    <w:rsid w:val="00BA1392"/>
    <w:rsid w:val="00BB1A3F"/>
    <w:rsid w:val="00BB26A9"/>
    <w:rsid w:val="00BB5B1E"/>
    <w:rsid w:val="00BB7C47"/>
    <w:rsid w:val="00BC1DEC"/>
    <w:rsid w:val="00BC5418"/>
    <w:rsid w:val="00BF5CD6"/>
    <w:rsid w:val="00BF7074"/>
    <w:rsid w:val="00BF7982"/>
    <w:rsid w:val="00C002AE"/>
    <w:rsid w:val="00C00E65"/>
    <w:rsid w:val="00C10469"/>
    <w:rsid w:val="00C14070"/>
    <w:rsid w:val="00C22558"/>
    <w:rsid w:val="00C2473A"/>
    <w:rsid w:val="00C265AE"/>
    <w:rsid w:val="00C31ED0"/>
    <w:rsid w:val="00C332A6"/>
    <w:rsid w:val="00C3356D"/>
    <w:rsid w:val="00C446C4"/>
    <w:rsid w:val="00C57082"/>
    <w:rsid w:val="00C70E4B"/>
    <w:rsid w:val="00C73621"/>
    <w:rsid w:val="00C74A54"/>
    <w:rsid w:val="00C810D8"/>
    <w:rsid w:val="00C85EF0"/>
    <w:rsid w:val="00C86983"/>
    <w:rsid w:val="00C94B6B"/>
    <w:rsid w:val="00C95DB7"/>
    <w:rsid w:val="00CA2A55"/>
    <w:rsid w:val="00CC52A8"/>
    <w:rsid w:val="00CD0282"/>
    <w:rsid w:val="00CD6077"/>
    <w:rsid w:val="00CE097B"/>
    <w:rsid w:val="00CF2E3D"/>
    <w:rsid w:val="00CF3604"/>
    <w:rsid w:val="00CF7219"/>
    <w:rsid w:val="00CF72A1"/>
    <w:rsid w:val="00CF7500"/>
    <w:rsid w:val="00D04259"/>
    <w:rsid w:val="00D1468D"/>
    <w:rsid w:val="00D168EC"/>
    <w:rsid w:val="00D2450F"/>
    <w:rsid w:val="00D26141"/>
    <w:rsid w:val="00D40EE9"/>
    <w:rsid w:val="00D46691"/>
    <w:rsid w:val="00D57947"/>
    <w:rsid w:val="00D60A83"/>
    <w:rsid w:val="00D6279D"/>
    <w:rsid w:val="00D710E5"/>
    <w:rsid w:val="00D72ECE"/>
    <w:rsid w:val="00D77ECC"/>
    <w:rsid w:val="00D86635"/>
    <w:rsid w:val="00D91EF4"/>
    <w:rsid w:val="00D95B6B"/>
    <w:rsid w:val="00DA1B48"/>
    <w:rsid w:val="00DA2454"/>
    <w:rsid w:val="00DA3F02"/>
    <w:rsid w:val="00DA5C42"/>
    <w:rsid w:val="00DD08C6"/>
    <w:rsid w:val="00DD38AE"/>
    <w:rsid w:val="00DE1706"/>
    <w:rsid w:val="00DE3676"/>
    <w:rsid w:val="00DE4B90"/>
    <w:rsid w:val="00DE7B40"/>
    <w:rsid w:val="00E034F9"/>
    <w:rsid w:val="00E05F4E"/>
    <w:rsid w:val="00E13303"/>
    <w:rsid w:val="00E32A10"/>
    <w:rsid w:val="00E4269B"/>
    <w:rsid w:val="00E43F62"/>
    <w:rsid w:val="00E5285A"/>
    <w:rsid w:val="00E646CA"/>
    <w:rsid w:val="00E72A65"/>
    <w:rsid w:val="00E76DD6"/>
    <w:rsid w:val="00E9395F"/>
    <w:rsid w:val="00E97A5C"/>
    <w:rsid w:val="00EA3139"/>
    <w:rsid w:val="00EA45B6"/>
    <w:rsid w:val="00EA6BE9"/>
    <w:rsid w:val="00EB0BED"/>
    <w:rsid w:val="00EB12C0"/>
    <w:rsid w:val="00EB192A"/>
    <w:rsid w:val="00ED373A"/>
    <w:rsid w:val="00ED7E5A"/>
    <w:rsid w:val="00EE3FD0"/>
    <w:rsid w:val="00EE67D8"/>
    <w:rsid w:val="00EE6A34"/>
    <w:rsid w:val="00EE7A0E"/>
    <w:rsid w:val="00EF0836"/>
    <w:rsid w:val="00EF7A88"/>
    <w:rsid w:val="00F00F1B"/>
    <w:rsid w:val="00F025B2"/>
    <w:rsid w:val="00F03CB9"/>
    <w:rsid w:val="00F05CEF"/>
    <w:rsid w:val="00F10882"/>
    <w:rsid w:val="00F243E9"/>
    <w:rsid w:val="00F24891"/>
    <w:rsid w:val="00F253A5"/>
    <w:rsid w:val="00F25874"/>
    <w:rsid w:val="00F2636B"/>
    <w:rsid w:val="00F5323E"/>
    <w:rsid w:val="00F66745"/>
    <w:rsid w:val="00F75871"/>
    <w:rsid w:val="00F80096"/>
    <w:rsid w:val="00F86DC1"/>
    <w:rsid w:val="00F87E1C"/>
    <w:rsid w:val="00F90302"/>
    <w:rsid w:val="00F924B0"/>
    <w:rsid w:val="00F9446D"/>
    <w:rsid w:val="00FA41EF"/>
    <w:rsid w:val="00FA5A0A"/>
    <w:rsid w:val="00FB444F"/>
    <w:rsid w:val="00FB739C"/>
    <w:rsid w:val="00FC3B0B"/>
    <w:rsid w:val="00FC74DA"/>
    <w:rsid w:val="00FD22DC"/>
    <w:rsid w:val="00FD70C4"/>
    <w:rsid w:val="00FE1329"/>
    <w:rsid w:val="00FE293C"/>
    <w:rsid w:val="00FE34EA"/>
    <w:rsid w:val="00FE4A49"/>
    <w:rsid w:val="00FE51B1"/>
    <w:rsid w:val="00FF78CD"/>
    <w:rsid w:val="0163515D"/>
    <w:rsid w:val="018169C8"/>
    <w:rsid w:val="02B00A23"/>
    <w:rsid w:val="04363AAC"/>
    <w:rsid w:val="04731B5B"/>
    <w:rsid w:val="04CD6B46"/>
    <w:rsid w:val="05362844"/>
    <w:rsid w:val="054D711D"/>
    <w:rsid w:val="067D5433"/>
    <w:rsid w:val="073626C5"/>
    <w:rsid w:val="076D05BF"/>
    <w:rsid w:val="07A96E12"/>
    <w:rsid w:val="07B92C3C"/>
    <w:rsid w:val="07BD17A3"/>
    <w:rsid w:val="07D13033"/>
    <w:rsid w:val="07E758FD"/>
    <w:rsid w:val="087D7F38"/>
    <w:rsid w:val="08B31E9C"/>
    <w:rsid w:val="0A47089D"/>
    <w:rsid w:val="0A80786B"/>
    <w:rsid w:val="0AE71648"/>
    <w:rsid w:val="0B82360D"/>
    <w:rsid w:val="0B942527"/>
    <w:rsid w:val="0C126B3E"/>
    <w:rsid w:val="0C8A7EC4"/>
    <w:rsid w:val="0CA77870"/>
    <w:rsid w:val="0DD45631"/>
    <w:rsid w:val="0DDA78D3"/>
    <w:rsid w:val="0E2A12DC"/>
    <w:rsid w:val="0ED66EB0"/>
    <w:rsid w:val="0F8C6CB2"/>
    <w:rsid w:val="0FA45EA9"/>
    <w:rsid w:val="0FDF6AC2"/>
    <w:rsid w:val="0FF6BBA4"/>
    <w:rsid w:val="10637E9F"/>
    <w:rsid w:val="1070776A"/>
    <w:rsid w:val="10D1634B"/>
    <w:rsid w:val="10EA2F1F"/>
    <w:rsid w:val="10F27DD7"/>
    <w:rsid w:val="11093B08"/>
    <w:rsid w:val="12900868"/>
    <w:rsid w:val="12EC0194"/>
    <w:rsid w:val="133E02C4"/>
    <w:rsid w:val="1347361C"/>
    <w:rsid w:val="137C728F"/>
    <w:rsid w:val="13BE5F0E"/>
    <w:rsid w:val="13C214F8"/>
    <w:rsid w:val="13F73065"/>
    <w:rsid w:val="14516504"/>
    <w:rsid w:val="14E22366"/>
    <w:rsid w:val="15076350"/>
    <w:rsid w:val="15112CB7"/>
    <w:rsid w:val="158001C0"/>
    <w:rsid w:val="15EE4924"/>
    <w:rsid w:val="16543899"/>
    <w:rsid w:val="16AF310B"/>
    <w:rsid w:val="17682DAD"/>
    <w:rsid w:val="17A82B1F"/>
    <w:rsid w:val="1818208E"/>
    <w:rsid w:val="182B30B6"/>
    <w:rsid w:val="18642187"/>
    <w:rsid w:val="18CB271A"/>
    <w:rsid w:val="191E09D2"/>
    <w:rsid w:val="194C7EF0"/>
    <w:rsid w:val="196D3259"/>
    <w:rsid w:val="19FFF1F5"/>
    <w:rsid w:val="1A89451A"/>
    <w:rsid w:val="1B365B45"/>
    <w:rsid w:val="1B60171F"/>
    <w:rsid w:val="1BB9458C"/>
    <w:rsid w:val="1BFB5B70"/>
    <w:rsid w:val="1BFD656B"/>
    <w:rsid w:val="1C7A442E"/>
    <w:rsid w:val="1CDA2465"/>
    <w:rsid w:val="1D0742CA"/>
    <w:rsid w:val="1D562A3D"/>
    <w:rsid w:val="1D856CFB"/>
    <w:rsid w:val="1DFE47FB"/>
    <w:rsid w:val="1DFF8993"/>
    <w:rsid w:val="1E6611D2"/>
    <w:rsid w:val="1EAA6F87"/>
    <w:rsid w:val="1EDE01A7"/>
    <w:rsid w:val="1EFF1E73"/>
    <w:rsid w:val="1F027225"/>
    <w:rsid w:val="1FED16D1"/>
    <w:rsid w:val="20136B65"/>
    <w:rsid w:val="203B7E52"/>
    <w:rsid w:val="2106717D"/>
    <w:rsid w:val="214D79C0"/>
    <w:rsid w:val="21AC7014"/>
    <w:rsid w:val="21BA1CE9"/>
    <w:rsid w:val="21DF6E6C"/>
    <w:rsid w:val="22034DDB"/>
    <w:rsid w:val="229C3037"/>
    <w:rsid w:val="22F30A66"/>
    <w:rsid w:val="2318468D"/>
    <w:rsid w:val="23C46D3B"/>
    <w:rsid w:val="242F3AAF"/>
    <w:rsid w:val="25577CF1"/>
    <w:rsid w:val="26430119"/>
    <w:rsid w:val="265B4414"/>
    <w:rsid w:val="265F542B"/>
    <w:rsid w:val="269D7312"/>
    <w:rsid w:val="26A125B1"/>
    <w:rsid w:val="26BF49FA"/>
    <w:rsid w:val="274B7E8A"/>
    <w:rsid w:val="277806E0"/>
    <w:rsid w:val="27787132"/>
    <w:rsid w:val="27C608B1"/>
    <w:rsid w:val="27FF2E62"/>
    <w:rsid w:val="28A108CA"/>
    <w:rsid w:val="28AD5878"/>
    <w:rsid w:val="29B75BEB"/>
    <w:rsid w:val="29ED1109"/>
    <w:rsid w:val="2A325111"/>
    <w:rsid w:val="2A6FA73B"/>
    <w:rsid w:val="2A826BE1"/>
    <w:rsid w:val="2A85547A"/>
    <w:rsid w:val="2AB13D02"/>
    <w:rsid w:val="2B163EC5"/>
    <w:rsid w:val="2BDA53DA"/>
    <w:rsid w:val="2C522FD9"/>
    <w:rsid w:val="2C6D3C9C"/>
    <w:rsid w:val="2CDA7CD5"/>
    <w:rsid w:val="2D023E06"/>
    <w:rsid w:val="2D8E3946"/>
    <w:rsid w:val="2DFE0346"/>
    <w:rsid w:val="2E036B33"/>
    <w:rsid w:val="2EEB0D06"/>
    <w:rsid w:val="2F7F65D8"/>
    <w:rsid w:val="2FBEF08A"/>
    <w:rsid w:val="30313232"/>
    <w:rsid w:val="30455DB9"/>
    <w:rsid w:val="3094019C"/>
    <w:rsid w:val="31712506"/>
    <w:rsid w:val="31D37211"/>
    <w:rsid w:val="32D56BAD"/>
    <w:rsid w:val="32F143F0"/>
    <w:rsid w:val="3346062B"/>
    <w:rsid w:val="33BC09FF"/>
    <w:rsid w:val="33F44FD0"/>
    <w:rsid w:val="33FB4D06"/>
    <w:rsid w:val="34191C89"/>
    <w:rsid w:val="342F7AC4"/>
    <w:rsid w:val="349F0F4D"/>
    <w:rsid w:val="34ED2550"/>
    <w:rsid w:val="351D1843"/>
    <w:rsid w:val="352769B2"/>
    <w:rsid w:val="35282378"/>
    <w:rsid w:val="356E0845"/>
    <w:rsid w:val="35B516AA"/>
    <w:rsid w:val="35FE80B5"/>
    <w:rsid w:val="361534A1"/>
    <w:rsid w:val="36BA0141"/>
    <w:rsid w:val="36BD5EF5"/>
    <w:rsid w:val="373B04F2"/>
    <w:rsid w:val="374E0983"/>
    <w:rsid w:val="379B3884"/>
    <w:rsid w:val="37E9AB73"/>
    <w:rsid w:val="38166F6B"/>
    <w:rsid w:val="384B5F8F"/>
    <w:rsid w:val="393375AC"/>
    <w:rsid w:val="39EFA75E"/>
    <w:rsid w:val="3A0472A9"/>
    <w:rsid w:val="3A1322A6"/>
    <w:rsid w:val="3A68038D"/>
    <w:rsid w:val="3AFE51A9"/>
    <w:rsid w:val="3B3D2BB3"/>
    <w:rsid w:val="3B615C4E"/>
    <w:rsid w:val="3B776B28"/>
    <w:rsid w:val="3B980E56"/>
    <w:rsid w:val="3BB03367"/>
    <w:rsid w:val="3C081D7A"/>
    <w:rsid w:val="3C7B7229"/>
    <w:rsid w:val="3CCA6C49"/>
    <w:rsid w:val="3CCB6988"/>
    <w:rsid w:val="3CCE2667"/>
    <w:rsid w:val="3D372A08"/>
    <w:rsid w:val="3D82560E"/>
    <w:rsid w:val="3DF12916"/>
    <w:rsid w:val="3E1D0952"/>
    <w:rsid w:val="3E2B558B"/>
    <w:rsid w:val="3E6F39EE"/>
    <w:rsid w:val="3E9D380E"/>
    <w:rsid w:val="3EF6062A"/>
    <w:rsid w:val="3EFB4F77"/>
    <w:rsid w:val="3EFDDD59"/>
    <w:rsid w:val="3EFDF5FD"/>
    <w:rsid w:val="3EFF24BA"/>
    <w:rsid w:val="3EFFC9E6"/>
    <w:rsid w:val="3F1CF501"/>
    <w:rsid w:val="3F3BD692"/>
    <w:rsid w:val="3FCBBFB5"/>
    <w:rsid w:val="3FCE6670"/>
    <w:rsid w:val="3FEE3A22"/>
    <w:rsid w:val="3FF377A3"/>
    <w:rsid w:val="3FF72523"/>
    <w:rsid w:val="3FFF3FEE"/>
    <w:rsid w:val="40387CC5"/>
    <w:rsid w:val="403D09F1"/>
    <w:rsid w:val="40F57895"/>
    <w:rsid w:val="412929F5"/>
    <w:rsid w:val="417D5980"/>
    <w:rsid w:val="4207155E"/>
    <w:rsid w:val="425C3259"/>
    <w:rsid w:val="437517D5"/>
    <w:rsid w:val="43994F1E"/>
    <w:rsid w:val="43A76C29"/>
    <w:rsid w:val="43C7383A"/>
    <w:rsid w:val="45316278"/>
    <w:rsid w:val="45677DF2"/>
    <w:rsid w:val="45FD41BC"/>
    <w:rsid w:val="461D2D42"/>
    <w:rsid w:val="46751420"/>
    <w:rsid w:val="46DE0983"/>
    <w:rsid w:val="474766CF"/>
    <w:rsid w:val="475F6775"/>
    <w:rsid w:val="47696E0F"/>
    <w:rsid w:val="47C11E3C"/>
    <w:rsid w:val="484D49A8"/>
    <w:rsid w:val="487E33E8"/>
    <w:rsid w:val="48ED13AA"/>
    <w:rsid w:val="492A4BB1"/>
    <w:rsid w:val="4B3027D5"/>
    <w:rsid w:val="4B953239"/>
    <w:rsid w:val="4BBC17AA"/>
    <w:rsid w:val="4BE23EA2"/>
    <w:rsid w:val="4C2343F8"/>
    <w:rsid w:val="4C672949"/>
    <w:rsid w:val="4CD13297"/>
    <w:rsid w:val="4D0D1EA9"/>
    <w:rsid w:val="4D5912C1"/>
    <w:rsid w:val="4D6B7030"/>
    <w:rsid w:val="4DF46002"/>
    <w:rsid w:val="4E4B41F9"/>
    <w:rsid w:val="4E504545"/>
    <w:rsid w:val="4EBD18E4"/>
    <w:rsid w:val="4EEC5BEC"/>
    <w:rsid w:val="4F573AD6"/>
    <w:rsid w:val="4F791EF0"/>
    <w:rsid w:val="4F9636DF"/>
    <w:rsid w:val="4FD40F99"/>
    <w:rsid w:val="4FE47521"/>
    <w:rsid w:val="505B1B99"/>
    <w:rsid w:val="506E0BAC"/>
    <w:rsid w:val="50743A3A"/>
    <w:rsid w:val="50AE0CB4"/>
    <w:rsid w:val="51034531"/>
    <w:rsid w:val="51232E70"/>
    <w:rsid w:val="52185100"/>
    <w:rsid w:val="526E0C49"/>
    <w:rsid w:val="527502D0"/>
    <w:rsid w:val="52927709"/>
    <w:rsid w:val="52FF5C3B"/>
    <w:rsid w:val="5386213B"/>
    <w:rsid w:val="545D28DF"/>
    <w:rsid w:val="54CC545A"/>
    <w:rsid w:val="554A487A"/>
    <w:rsid w:val="55625341"/>
    <w:rsid w:val="55AE0F7D"/>
    <w:rsid w:val="55C455FD"/>
    <w:rsid w:val="568B3B27"/>
    <w:rsid w:val="571FA7DB"/>
    <w:rsid w:val="57435319"/>
    <w:rsid w:val="575D4BB4"/>
    <w:rsid w:val="57784E8F"/>
    <w:rsid w:val="57CFFDD6"/>
    <w:rsid w:val="57EA769F"/>
    <w:rsid w:val="57FA3FFA"/>
    <w:rsid w:val="5836241E"/>
    <w:rsid w:val="58921373"/>
    <w:rsid w:val="58E11518"/>
    <w:rsid w:val="593A108E"/>
    <w:rsid w:val="59F31B63"/>
    <w:rsid w:val="5A054C64"/>
    <w:rsid w:val="5A621979"/>
    <w:rsid w:val="5ABB0EB8"/>
    <w:rsid w:val="5ABD4CBA"/>
    <w:rsid w:val="5AE361C4"/>
    <w:rsid w:val="5AFE50EE"/>
    <w:rsid w:val="5B4C6EF7"/>
    <w:rsid w:val="5B5F383D"/>
    <w:rsid w:val="5B943C2B"/>
    <w:rsid w:val="5BA7CEBC"/>
    <w:rsid w:val="5BC07A0C"/>
    <w:rsid w:val="5BC67C74"/>
    <w:rsid w:val="5BD06AE0"/>
    <w:rsid w:val="5C2F2153"/>
    <w:rsid w:val="5C5969E5"/>
    <w:rsid w:val="5C702869"/>
    <w:rsid w:val="5C7642AE"/>
    <w:rsid w:val="5C76C45E"/>
    <w:rsid w:val="5C7F37D8"/>
    <w:rsid w:val="5CAC0C35"/>
    <w:rsid w:val="5CD72BC1"/>
    <w:rsid w:val="5CF26F44"/>
    <w:rsid w:val="5D5723B1"/>
    <w:rsid w:val="5D6677C8"/>
    <w:rsid w:val="5DB9ED98"/>
    <w:rsid w:val="5DF7C00F"/>
    <w:rsid w:val="5DFF672B"/>
    <w:rsid w:val="5E2F4DA1"/>
    <w:rsid w:val="5E403F95"/>
    <w:rsid w:val="5E77562F"/>
    <w:rsid w:val="5E777959"/>
    <w:rsid w:val="5EBB49EB"/>
    <w:rsid w:val="5EBFCC8C"/>
    <w:rsid w:val="5EE93A96"/>
    <w:rsid w:val="5EF73C69"/>
    <w:rsid w:val="5EF9CD4B"/>
    <w:rsid w:val="5F43CB55"/>
    <w:rsid w:val="5F4F7033"/>
    <w:rsid w:val="5F5E0823"/>
    <w:rsid w:val="5FA2114C"/>
    <w:rsid w:val="5FB67DF0"/>
    <w:rsid w:val="5FC208EA"/>
    <w:rsid w:val="5FDA7598"/>
    <w:rsid w:val="5FECF18B"/>
    <w:rsid w:val="5FF134B3"/>
    <w:rsid w:val="5FFCC73F"/>
    <w:rsid w:val="5FFF6A5A"/>
    <w:rsid w:val="60805E37"/>
    <w:rsid w:val="6128253F"/>
    <w:rsid w:val="621041A6"/>
    <w:rsid w:val="6263757E"/>
    <w:rsid w:val="62CD2A55"/>
    <w:rsid w:val="63200C96"/>
    <w:rsid w:val="6344466B"/>
    <w:rsid w:val="63B7287B"/>
    <w:rsid w:val="63BD280C"/>
    <w:rsid w:val="63D50F6C"/>
    <w:rsid w:val="63E477ED"/>
    <w:rsid w:val="63FF8EDD"/>
    <w:rsid w:val="642D7291"/>
    <w:rsid w:val="64606258"/>
    <w:rsid w:val="64A3723E"/>
    <w:rsid w:val="64CA2084"/>
    <w:rsid w:val="651313E3"/>
    <w:rsid w:val="654D0AF9"/>
    <w:rsid w:val="65CB4E09"/>
    <w:rsid w:val="65E7473E"/>
    <w:rsid w:val="66FD0D64"/>
    <w:rsid w:val="67157F4A"/>
    <w:rsid w:val="678A004E"/>
    <w:rsid w:val="67BB83A3"/>
    <w:rsid w:val="681D2BC7"/>
    <w:rsid w:val="682A2F0F"/>
    <w:rsid w:val="68537D45"/>
    <w:rsid w:val="68585345"/>
    <w:rsid w:val="686A0DA5"/>
    <w:rsid w:val="68922D61"/>
    <w:rsid w:val="68FB5EE4"/>
    <w:rsid w:val="69012ABA"/>
    <w:rsid w:val="692073C4"/>
    <w:rsid w:val="69D244FB"/>
    <w:rsid w:val="6A0D5B9B"/>
    <w:rsid w:val="6A7A6FA8"/>
    <w:rsid w:val="6AF30FD7"/>
    <w:rsid w:val="6B0205D3"/>
    <w:rsid w:val="6B1F06CE"/>
    <w:rsid w:val="6B3E47C6"/>
    <w:rsid w:val="6B5CD5D2"/>
    <w:rsid w:val="6B6F1752"/>
    <w:rsid w:val="6BBF1405"/>
    <w:rsid w:val="6BF7D87A"/>
    <w:rsid w:val="6C076698"/>
    <w:rsid w:val="6C470DAA"/>
    <w:rsid w:val="6C66483E"/>
    <w:rsid w:val="6CA50A8D"/>
    <w:rsid w:val="6CB973D8"/>
    <w:rsid w:val="6CD000AF"/>
    <w:rsid w:val="6CD77789"/>
    <w:rsid w:val="6CFF6285"/>
    <w:rsid w:val="6D322A85"/>
    <w:rsid w:val="6D585DCB"/>
    <w:rsid w:val="6D9B5794"/>
    <w:rsid w:val="6D9C57ED"/>
    <w:rsid w:val="6DEE0FDC"/>
    <w:rsid w:val="6E3147D9"/>
    <w:rsid w:val="6E6E29A6"/>
    <w:rsid w:val="6EB266FC"/>
    <w:rsid w:val="6ECD5206"/>
    <w:rsid w:val="6EEEF7BB"/>
    <w:rsid w:val="6EF33BE0"/>
    <w:rsid w:val="6EFA3DB0"/>
    <w:rsid w:val="6EFD4EBF"/>
    <w:rsid w:val="6F71B146"/>
    <w:rsid w:val="6FB70357"/>
    <w:rsid w:val="6FEF03E8"/>
    <w:rsid w:val="6FF7E8FD"/>
    <w:rsid w:val="6FFD370E"/>
    <w:rsid w:val="6FFE3A3A"/>
    <w:rsid w:val="703B2D36"/>
    <w:rsid w:val="704A0D97"/>
    <w:rsid w:val="70712C7C"/>
    <w:rsid w:val="716F4B69"/>
    <w:rsid w:val="717371BB"/>
    <w:rsid w:val="71A84C65"/>
    <w:rsid w:val="71F60CFE"/>
    <w:rsid w:val="72A050D2"/>
    <w:rsid w:val="72BF1CD3"/>
    <w:rsid w:val="737B5F85"/>
    <w:rsid w:val="73AF100E"/>
    <w:rsid w:val="73DBD73F"/>
    <w:rsid w:val="742D5A28"/>
    <w:rsid w:val="74A301B0"/>
    <w:rsid w:val="74F2258F"/>
    <w:rsid w:val="754FBB43"/>
    <w:rsid w:val="75B6651B"/>
    <w:rsid w:val="75D68562"/>
    <w:rsid w:val="76366479"/>
    <w:rsid w:val="766DDBEB"/>
    <w:rsid w:val="76C5112B"/>
    <w:rsid w:val="76C65C97"/>
    <w:rsid w:val="76CC0923"/>
    <w:rsid w:val="76F87A83"/>
    <w:rsid w:val="7762316F"/>
    <w:rsid w:val="776798DF"/>
    <w:rsid w:val="779F5217"/>
    <w:rsid w:val="77AB3CDC"/>
    <w:rsid w:val="77EFD173"/>
    <w:rsid w:val="77FFA4BF"/>
    <w:rsid w:val="78B546B1"/>
    <w:rsid w:val="78BE5827"/>
    <w:rsid w:val="79AC5E97"/>
    <w:rsid w:val="79B244EC"/>
    <w:rsid w:val="79B51C61"/>
    <w:rsid w:val="79FF2577"/>
    <w:rsid w:val="7A454B5F"/>
    <w:rsid w:val="7A586BE2"/>
    <w:rsid w:val="7A605981"/>
    <w:rsid w:val="7A611EC9"/>
    <w:rsid w:val="7AD0560A"/>
    <w:rsid w:val="7B5E3EA0"/>
    <w:rsid w:val="7B6213DE"/>
    <w:rsid w:val="7B7B95F1"/>
    <w:rsid w:val="7BAF166F"/>
    <w:rsid w:val="7BD215B2"/>
    <w:rsid w:val="7BF307C5"/>
    <w:rsid w:val="7BF584D9"/>
    <w:rsid w:val="7BFFE904"/>
    <w:rsid w:val="7C4531AF"/>
    <w:rsid w:val="7C705E34"/>
    <w:rsid w:val="7C9A5C6A"/>
    <w:rsid w:val="7CBAAA76"/>
    <w:rsid w:val="7CBF275C"/>
    <w:rsid w:val="7CC76C88"/>
    <w:rsid w:val="7CDBCFAC"/>
    <w:rsid w:val="7D18281C"/>
    <w:rsid w:val="7D271EE3"/>
    <w:rsid w:val="7D517F7A"/>
    <w:rsid w:val="7D5FA9B4"/>
    <w:rsid w:val="7D5FC297"/>
    <w:rsid w:val="7D7F472A"/>
    <w:rsid w:val="7DBD1B87"/>
    <w:rsid w:val="7DCAF23C"/>
    <w:rsid w:val="7DFACD89"/>
    <w:rsid w:val="7DFD8E8F"/>
    <w:rsid w:val="7DFDC492"/>
    <w:rsid w:val="7DFEF4CF"/>
    <w:rsid w:val="7DFFDC67"/>
    <w:rsid w:val="7E620B30"/>
    <w:rsid w:val="7E7B1064"/>
    <w:rsid w:val="7EB70D51"/>
    <w:rsid w:val="7EFB1370"/>
    <w:rsid w:val="7EFB58A1"/>
    <w:rsid w:val="7EFF0474"/>
    <w:rsid w:val="7F033321"/>
    <w:rsid w:val="7F770B46"/>
    <w:rsid w:val="7F77AF5A"/>
    <w:rsid w:val="7F7FE62A"/>
    <w:rsid w:val="7FB1C738"/>
    <w:rsid w:val="7FBF9440"/>
    <w:rsid w:val="7FBFA89A"/>
    <w:rsid w:val="7FD791A3"/>
    <w:rsid w:val="7FDEFC68"/>
    <w:rsid w:val="7FF6777C"/>
    <w:rsid w:val="7FF7FE0A"/>
    <w:rsid w:val="7FF9B073"/>
    <w:rsid w:val="7FFBF664"/>
    <w:rsid w:val="7FFD962C"/>
    <w:rsid w:val="7FFDB3EF"/>
    <w:rsid w:val="7FFE1DAD"/>
    <w:rsid w:val="7FFF3A7A"/>
    <w:rsid w:val="7FFF59FD"/>
    <w:rsid w:val="7FFFA47D"/>
    <w:rsid w:val="7FFFBA8B"/>
    <w:rsid w:val="7FFFF956"/>
    <w:rsid w:val="8ADF043E"/>
    <w:rsid w:val="8FCB476E"/>
    <w:rsid w:val="93F3B76A"/>
    <w:rsid w:val="93FFEF58"/>
    <w:rsid w:val="96BFDE50"/>
    <w:rsid w:val="97D70DCF"/>
    <w:rsid w:val="97FFCF7E"/>
    <w:rsid w:val="9EEC4D11"/>
    <w:rsid w:val="9F487EB1"/>
    <w:rsid w:val="9FBB7514"/>
    <w:rsid w:val="9FBE5C66"/>
    <w:rsid w:val="A3731744"/>
    <w:rsid w:val="A7FF4E7B"/>
    <w:rsid w:val="AE7F3DB6"/>
    <w:rsid w:val="AFD3D406"/>
    <w:rsid w:val="AFF294A8"/>
    <w:rsid w:val="AFF829AB"/>
    <w:rsid w:val="B173EA36"/>
    <w:rsid w:val="B71F5D59"/>
    <w:rsid w:val="B7F7E89D"/>
    <w:rsid w:val="B9F96A88"/>
    <w:rsid w:val="BB7E2697"/>
    <w:rsid w:val="BB7F5502"/>
    <w:rsid w:val="BD97098F"/>
    <w:rsid w:val="BDFF4958"/>
    <w:rsid w:val="BE3F2BD4"/>
    <w:rsid w:val="BE6FAC24"/>
    <w:rsid w:val="BEFE4EC2"/>
    <w:rsid w:val="BEFF78DD"/>
    <w:rsid w:val="BF4F858C"/>
    <w:rsid w:val="BF6F15E9"/>
    <w:rsid w:val="BFB7783B"/>
    <w:rsid w:val="BFCDD101"/>
    <w:rsid w:val="BFDF81CC"/>
    <w:rsid w:val="BFFD056E"/>
    <w:rsid w:val="BFFD4E74"/>
    <w:rsid w:val="CD73B365"/>
    <w:rsid w:val="CEC3892F"/>
    <w:rsid w:val="CEEF9E7F"/>
    <w:rsid w:val="CF79C2CA"/>
    <w:rsid w:val="CFDE1549"/>
    <w:rsid w:val="D3FE23E4"/>
    <w:rsid w:val="D5D2A2F3"/>
    <w:rsid w:val="D6CFAD0F"/>
    <w:rsid w:val="D6FF47C8"/>
    <w:rsid w:val="D7B74851"/>
    <w:rsid w:val="D7DEEF65"/>
    <w:rsid w:val="DB6E1E1C"/>
    <w:rsid w:val="DB79FDCA"/>
    <w:rsid w:val="DB7FCE53"/>
    <w:rsid w:val="DBAF8A8E"/>
    <w:rsid w:val="DBBBFE45"/>
    <w:rsid w:val="DC85AF64"/>
    <w:rsid w:val="DEDB21DF"/>
    <w:rsid w:val="DF4FE373"/>
    <w:rsid w:val="DF7B3BFF"/>
    <w:rsid w:val="DF7F8110"/>
    <w:rsid w:val="DFF9E785"/>
    <w:rsid w:val="DFFBB299"/>
    <w:rsid w:val="DFFCDE71"/>
    <w:rsid w:val="DFFD78F0"/>
    <w:rsid w:val="E15561F8"/>
    <w:rsid w:val="E37304B7"/>
    <w:rsid w:val="E4FBD54C"/>
    <w:rsid w:val="E7F7A6F0"/>
    <w:rsid w:val="E9FABEFF"/>
    <w:rsid w:val="E9FB3970"/>
    <w:rsid w:val="EBBEBCE2"/>
    <w:rsid w:val="EBBF10E9"/>
    <w:rsid w:val="EBF9CA3B"/>
    <w:rsid w:val="EBFE8212"/>
    <w:rsid w:val="EDAF116C"/>
    <w:rsid w:val="EDC33F55"/>
    <w:rsid w:val="EF6305F8"/>
    <w:rsid w:val="EFAF4DD1"/>
    <w:rsid w:val="EFD6365A"/>
    <w:rsid w:val="EFDF5A9B"/>
    <w:rsid w:val="EFEF7684"/>
    <w:rsid w:val="EFF66177"/>
    <w:rsid w:val="EFF9098C"/>
    <w:rsid w:val="EFFF1436"/>
    <w:rsid w:val="F0F58C3C"/>
    <w:rsid w:val="F3FD43E7"/>
    <w:rsid w:val="F554BD4F"/>
    <w:rsid w:val="F575B933"/>
    <w:rsid w:val="F57F3967"/>
    <w:rsid w:val="F5B65EBC"/>
    <w:rsid w:val="F5F76AB2"/>
    <w:rsid w:val="F6BC4D1D"/>
    <w:rsid w:val="F6FF4FD0"/>
    <w:rsid w:val="F6FFEDA4"/>
    <w:rsid w:val="F70F8C2B"/>
    <w:rsid w:val="F76CE5E0"/>
    <w:rsid w:val="F7CF9DAB"/>
    <w:rsid w:val="F7DF7886"/>
    <w:rsid w:val="F7EAA001"/>
    <w:rsid w:val="F7F13DC3"/>
    <w:rsid w:val="F7F38F15"/>
    <w:rsid w:val="F9A71B26"/>
    <w:rsid w:val="F9EEA85E"/>
    <w:rsid w:val="F9FDB849"/>
    <w:rsid w:val="F9FFA78A"/>
    <w:rsid w:val="FACB7B04"/>
    <w:rsid w:val="FB9CFE7A"/>
    <w:rsid w:val="FBCC358D"/>
    <w:rsid w:val="FBDB78EF"/>
    <w:rsid w:val="FBEA21A1"/>
    <w:rsid w:val="FBFF07BB"/>
    <w:rsid w:val="FC7F1CB2"/>
    <w:rsid w:val="FCBFB270"/>
    <w:rsid w:val="FCFD0437"/>
    <w:rsid w:val="FD333DE5"/>
    <w:rsid w:val="FD47C39D"/>
    <w:rsid w:val="FD6E19AE"/>
    <w:rsid w:val="FD9F80C6"/>
    <w:rsid w:val="FDBCD8D4"/>
    <w:rsid w:val="FDBF5552"/>
    <w:rsid w:val="FDCDAB51"/>
    <w:rsid w:val="FDD3694F"/>
    <w:rsid w:val="FDEB657E"/>
    <w:rsid w:val="FDEF60FA"/>
    <w:rsid w:val="FDF64BD6"/>
    <w:rsid w:val="FDFBC276"/>
    <w:rsid w:val="FE7F8F61"/>
    <w:rsid w:val="FE9E7E28"/>
    <w:rsid w:val="FE9F0AF6"/>
    <w:rsid w:val="FEB7B0E6"/>
    <w:rsid w:val="FEFE3360"/>
    <w:rsid w:val="FEFF76AC"/>
    <w:rsid w:val="FF0F7F62"/>
    <w:rsid w:val="FF1F6D06"/>
    <w:rsid w:val="FF7D4C9D"/>
    <w:rsid w:val="FF7FA4C1"/>
    <w:rsid w:val="FF85EE7B"/>
    <w:rsid w:val="FFBDC10F"/>
    <w:rsid w:val="FFBF2EC0"/>
    <w:rsid w:val="FFD81266"/>
    <w:rsid w:val="FFDF7518"/>
    <w:rsid w:val="FFDFC808"/>
    <w:rsid w:val="FFEF3AAC"/>
    <w:rsid w:val="FFEFDB39"/>
    <w:rsid w:val="FFFEEA93"/>
    <w:rsid w:val="FFFF38E7"/>
    <w:rsid w:val="FFFF4043"/>
    <w:rsid w:val="FFFF609C"/>
    <w:rsid w:val="FFFFBEAA"/>
    <w:rsid w:val="FFFFF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nhideWhenUsed="0" w:uiPriority="0" w:semiHidden="0"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仿宋_GB2312" w:hAnsi="仿宋_GB2312" w:eastAsia="仿宋_GB2312" w:cs="Times New Roman (正文 CS 字体)"/>
      <w:kern w:val="2"/>
      <w:sz w:val="32"/>
      <w:szCs w:val="32"/>
      <w:lang w:val="en-US" w:eastAsia="zh-CN" w:bidi="ar-SA"/>
    </w:rPr>
  </w:style>
  <w:style w:type="paragraph" w:styleId="2">
    <w:name w:val="heading 1"/>
    <w:basedOn w:val="1"/>
    <w:next w:val="1"/>
    <w:link w:val="29"/>
    <w:qFormat/>
    <w:uiPriority w:val="9"/>
    <w:pPr>
      <w:keepNext/>
      <w:keepLines/>
      <w:ind w:firstLine="0" w:firstLineChars="0"/>
      <w:jc w:val="center"/>
      <w:outlineLvl w:val="0"/>
    </w:pPr>
    <w:rPr>
      <w:rFonts w:ascii="方正小标宋简体" w:eastAsia="方正小标宋简体"/>
      <w:bCs/>
      <w:kern w:val="44"/>
      <w:sz w:val="44"/>
      <w:szCs w:val="44"/>
    </w:rPr>
  </w:style>
  <w:style w:type="paragraph" w:styleId="3">
    <w:name w:val="heading 2"/>
    <w:basedOn w:val="1"/>
    <w:next w:val="1"/>
    <w:link w:val="28"/>
    <w:unhideWhenUsed/>
    <w:qFormat/>
    <w:uiPriority w:val="9"/>
    <w:pPr>
      <w:keepNext/>
      <w:keepLines/>
      <w:outlineLvl w:val="1"/>
    </w:pPr>
    <w:rPr>
      <w:rFonts w:ascii="黑体" w:eastAsia="黑体" w:cs="Times New Roman (标题 CS)" w:hAnsiTheme="majorHAnsi"/>
      <w:bCs/>
    </w:rPr>
  </w:style>
  <w:style w:type="paragraph" w:styleId="4">
    <w:name w:val="heading 3"/>
    <w:basedOn w:val="1"/>
    <w:next w:val="1"/>
    <w:link w:val="30"/>
    <w:unhideWhenUsed/>
    <w:qFormat/>
    <w:uiPriority w:val="9"/>
    <w:pPr>
      <w:keepNext/>
      <w:keepLines/>
      <w:outlineLvl w:val="2"/>
    </w:pPr>
    <w:rPr>
      <w:rFonts w:ascii="楷体_GB2312" w:eastAsia="楷体_GB2312"/>
      <w:bCs/>
    </w:rPr>
  </w:style>
  <w:style w:type="paragraph" w:styleId="5">
    <w:name w:val="heading 4"/>
    <w:basedOn w:val="4"/>
    <w:next w:val="1"/>
    <w:link w:val="31"/>
    <w:unhideWhenUsed/>
    <w:qFormat/>
    <w:uiPriority w:val="9"/>
    <w:pPr>
      <w:outlineLvl w:val="3"/>
    </w:pPr>
    <w:rPr>
      <w:rFonts w:ascii="仿宋_GB2312" w:eastAsia="仿宋_GB2312" w:cs="Times New Roman (标题 CS)" w:hAnsiTheme="majorHAnsi"/>
      <w:b/>
      <w:bCs w:val="0"/>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semiHidden/>
    <w:unhideWhenUsed/>
    <w:qFormat/>
    <w:uiPriority w:val="99"/>
    <w:pPr>
      <w:ind w:firstLine="420"/>
    </w:pPr>
  </w:style>
  <w:style w:type="paragraph" w:styleId="7">
    <w:name w:val="caption"/>
    <w:basedOn w:val="1"/>
    <w:next w:val="1"/>
    <w:unhideWhenUsed/>
    <w:qFormat/>
    <w:uiPriority w:val="35"/>
    <w:pPr>
      <w:spacing w:line="400" w:lineRule="exact"/>
      <w:ind w:firstLine="0" w:firstLineChars="0"/>
      <w:jc w:val="center"/>
    </w:pPr>
    <w:rPr>
      <w:rFonts w:eastAsia="楷体" w:asciiTheme="majorHAnsi" w:hAnsiTheme="majorHAnsi" w:cstheme="majorBidi"/>
      <w:sz w:val="28"/>
    </w:rPr>
  </w:style>
  <w:style w:type="paragraph" w:styleId="8">
    <w:name w:val="annotation text"/>
    <w:basedOn w:val="1"/>
    <w:link w:val="37"/>
    <w:unhideWhenUsed/>
    <w:qFormat/>
    <w:uiPriority w:val="99"/>
    <w:pPr>
      <w:jc w:val="left"/>
    </w:pPr>
  </w:style>
  <w:style w:type="paragraph" w:styleId="9">
    <w:name w:val="Body Text"/>
    <w:basedOn w:val="1"/>
    <w:link w:val="35"/>
    <w:semiHidden/>
    <w:unhideWhenUsed/>
    <w:qFormat/>
    <w:uiPriority w:val="99"/>
    <w:pPr>
      <w:spacing w:after="120"/>
    </w:pPr>
  </w:style>
  <w:style w:type="paragraph" w:styleId="10">
    <w:name w:val="toc 3"/>
    <w:basedOn w:val="1"/>
    <w:next w:val="1"/>
    <w:unhideWhenUsed/>
    <w:qFormat/>
    <w:uiPriority w:val="39"/>
    <w:pPr>
      <w:ind w:left="840" w:leftChars="400"/>
    </w:pPr>
  </w:style>
  <w:style w:type="paragraph" w:styleId="11">
    <w:name w:val="footer"/>
    <w:basedOn w:val="1"/>
    <w:unhideWhenUsed/>
    <w:qFormat/>
    <w:uiPriority w:val="99"/>
    <w:pPr>
      <w:tabs>
        <w:tab w:val="center" w:pos="4153"/>
        <w:tab w:val="right" w:pos="8306"/>
      </w:tabs>
      <w:snapToGrid w:val="0"/>
      <w:jc w:val="left"/>
    </w:pPr>
    <w:rPr>
      <w:sz w:val="18"/>
    </w:rPr>
  </w:style>
  <w:style w:type="paragraph" w:styleId="12">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3">
    <w:name w:val="toc 4"/>
    <w:basedOn w:val="1"/>
    <w:next w:val="1"/>
    <w:unhideWhenUsed/>
    <w:qFormat/>
    <w:uiPriority w:val="39"/>
    <w:pPr>
      <w:ind w:left="1260" w:leftChars="600"/>
    </w:pPr>
  </w:style>
  <w:style w:type="paragraph" w:styleId="14">
    <w:name w:val="footnote text"/>
    <w:basedOn w:val="1"/>
    <w:unhideWhenUsed/>
    <w:qFormat/>
    <w:uiPriority w:val="99"/>
    <w:pPr>
      <w:snapToGrid w:val="0"/>
      <w:spacing w:line="240" w:lineRule="auto"/>
      <w:ind w:firstLine="0" w:firstLineChars="0"/>
      <w:jc w:val="left"/>
    </w:pPr>
    <w:rPr>
      <w:rFonts w:ascii="等线" w:eastAsia="等线" w:cs="Arial Unicode MS"/>
      <w:color w:val="000000"/>
      <w:sz w:val="18"/>
      <w:szCs w:val="18"/>
    </w:rPr>
  </w:style>
  <w:style w:type="paragraph" w:styleId="15">
    <w:name w:val="table of figures"/>
    <w:basedOn w:val="1"/>
    <w:next w:val="1"/>
    <w:qFormat/>
    <w:uiPriority w:val="0"/>
    <w:pPr>
      <w:adjustRightInd w:val="0"/>
      <w:snapToGrid w:val="0"/>
      <w:ind w:firstLine="0" w:firstLineChars="0"/>
      <w:jc w:val="center"/>
    </w:pPr>
    <w:rPr>
      <w:rFonts w:eastAsiaTheme="minorEastAsia"/>
      <w:sz w:val="24"/>
    </w:rPr>
  </w:style>
  <w:style w:type="paragraph" w:styleId="16">
    <w:name w:val="toc 2"/>
    <w:basedOn w:val="1"/>
    <w:next w:val="1"/>
    <w:unhideWhenUsed/>
    <w:qFormat/>
    <w:uiPriority w:val="39"/>
    <w:pPr>
      <w:ind w:left="420" w:leftChars="200"/>
    </w:pPr>
  </w:style>
  <w:style w:type="paragraph" w:styleId="17">
    <w:name w:val="Normal (Web)"/>
    <w:basedOn w:val="1"/>
    <w:semiHidden/>
    <w:unhideWhenUsed/>
    <w:qFormat/>
    <w:uiPriority w:val="99"/>
    <w:pPr>
      <w:spacing w:beforeAutospacing="1" w:afterAutospacing="1"/>
      <w:jc w:val="left"/>
    </w:pPr>
    <w:rPr>
      <w:rFonts w:cs="Times New Roman"/>
      <w:kern w:val="0"/>
      <w:sz w:val="24"/>
    </w:rPr>
  </w:style>
  <w:style w:type="paragraph" w:styleId="18">
    <w:name w:val="Title"/>
    <w:basedOn w:val="1"/>
    <w:next w:val="1"/>
    <w:link w:val="27"/>
    <w:qFormat/>
    <w:uiPriority w:val="99"/>
    <w:pPr>
      <w:ind w:firstLine="0" w:firstLineChars="0"/>
      <w:contextualSpacing/>
      <w:jc w:val="center"/>
    </w:pPr>
    <w:rPr>
      <w:rFonts w:ascii="等线 Light" w:hAnsi="等线 Light" w:eastAsia="方正小标宋简体"/>
      <w:spacing w:val="-10"/>
      <w:kern w:val="28"/>
      <w:sz w:val="44"/>
      <w:szCs w:val="44"/>
    </w:rPr>
  </w:style>
  <w:style w:type="paragraph" w:styleId="19">
    <w:name w:val="annotation subject"/>
    <w:basedOn w:val="8"/>
    <w:next w:val="8"/>
    <w:link w:val="38"/>
    <w:semiHidden/>
    <w:unhideWhenUsed/>
    <w:qFormat/>
    <w:uiPriority w:val="99"/>
    <w:rPr>
      <w:b/>
      <w:bCs/>
    </w:rPr>
  </w:style>
  <w:style w:type="table" w:styleId="21">
    <w:name w:val="Table Grid"/>
    <w:basedOn w:val="20"/>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character" w:styleId="26">
    <w:name w:val="footnote reference"/>
    <w:basedOn w:val="22"/>
    <w:unhideWhenUsed/>
    <w:qFormat/>
    <w:uiPriority w:val="0"/>
    <w:rPr>
      <w:vertAlign w:val="superscript"/>
    </w:rPr>
  </w:style>
  <w:style w:type="character" w:customStyle="1" w:styleId="27">
    <w:name w:val="标题 字符"/>
    <w:basedOn w:val="22"/>
    <w:link w:val="18"/>
    <w:qFormat/>
    <w:uiPriority w:val="99"/>
    <w:rPr>
      <w:rFonts w:ascii="等线 Light" w:hAnsi="等线 Light" w:eastAsia="方正小标宋简体" w:cs="Times New Roman"/>
      <w:spacing w:val="-10"/>
      <w:kern w:val="28"/>
      <w:sz w:val="44"/>
      <w:szCs w:val="44"/>
    </w:rPr>
  </w:style>
  <w:style w:type="character" w:customStyle="1" w:styleId="28">
    <w:name w:val="标题 2 字符"/>
    <w:basedOn w:val="22"/>
    <w:link w:val="3"/>
    <w:qFormat/>
    <w:uiPriority w:val="9"/>
    <w:rPr>
      <w:rFonts w:ascii="黑体" w:eastAsia="黑体" w:cs="Times New Roman (标题 CS)" w:hAnsiTheme="majorHAnsi"/>
      <w:bCs/>
      <w:sz w:val="32"/>
      <w:szCs w:val="32"/>
    </w:rPr>
  </w:style>
  <w:style w:type="character" w:customStyle="1" w:styleId="29">
    <w:name w:val="标题 1 字符"/>
    <w:basedOn w:val="22"/>
    <w:link w:val="2"/>
    <w:qFormat/>
    <w:uiPriority w:val="9"/>
    <w:rPr>
      <w:rFonts w:ascii="方正小标宋简体" w:hAnsi="Times New Roman" w:eastAsia="方正小标宋简体" w:cs="Times New Roman"/>
      <w:bCs/>
      <w:kern w:val="44"/>
      <w:sz w:val="44"/>
      <w:szCs w:val="44"/>
    </w:rPr>
  </w:style>
  <w:style w:type="character" w:customStyle="1" w:styleId="30">
    <w:name w:val="标题 3 字符"/>
    <w:basedOn w:val="22"/>
    <w:link w:val="4"/>
    <w:qFormat/>
    <w:uiPriority w:val="9"/>
    <w:rPr>
      <w:rFonts w:ascii="楷体_GB2312" w:eastAsia="楷体_GB2312" w:cs="Times New Roman (正文 CS 字体)"/>
      <w:bCs/>
      <w:sz w:val="32"/>
      <w:szCs w:val="32"/>
      <w14:ligatures w14:val="standardContextual"/>
    </w:rPr>
  </w:style>
  <w:style w:type="character" w:customStyle="1" w:styleId="31">
    <w:name w:val="标题 4 字符"/>
    <w:basedOn w:val="22"/>
    <w:link w:val="5"/>
    <w:qFormat/>
    <w:uiPriority w:val="9"/>
    <w:rPr>
      <w:rFonts w:ascii="仿宋_GB2312" w:eastAsia="仿宋_GB2312" w:cs="Times New Roman (标题 CS)" w:hAnsiTheme="majorHAnsi"/>
      <w:b/>
      <w:sz w:val="32"/>
      <w:szCs w:val="28"/>
      <w14:ligatures w14:val="standardContextual"/>
    </w:rPr>
  </w:style>
  <w:style w:type="character" w:customStyle="1" w:styleId="32">
    <w:name w:val="15"/>
    <w:basedOn w:val="22"/>
    <w:qFormat/>
    <w:uiPriority w:val="0"/>
    <w:rPr>
      <w:rFonts w:hint="default" w:ascii="Times New Roman" w:hAnsi="Times New Roman" w:cs="Times New Roman"/>
    </w:rPr>
  </w:style>
  <w:style w:type="paragraph" w:customStyle="1" w:styleId="33">
    <w:name w:val="样式12"/>
    <w:basedOn w:val="1"/>
    <w:qFormat/>
    <w:uiPriority w:val="0"/>
    <w:pPr>
      <w:snapToGrid w:val="0"/>
      <w:ind w:firstLine="640"/>
    </w:pPr>
    <w:rPr>
      <w:color w:val="000000"/>
    </w:rPr>
  </w:style>
  <w:style w:type="paragraph" w:customStyle="1" w:styleId="34">
    <w:name w:val="h-表格"/>
    <w:basedOn w:val="1"/>
    <w:qFormat/>
    <w:uiPriority w:val="0"/>
    <w:pPr>
      <w:spacing w:line="240" w:lineRule="auto"/>
      <w:ind w:firstLine="0" w:firstLineChars="0"/>
    </w:pPr>
    <w:rPr>
      <w:rFonts w:eastAsia="宋体"/>
      <w:sz w:val="24"/>
    </w:rPr>
  </w:style>
  <w:style w:type="character" w:customStyle="1" w:styleId="35">
    <w:name w:val="正文文本 字符"/>
    <w:basedOn w:val="22"/>
    <w:link w:val="9"/>
    <w:qFormat/>
    <w:uiPriority w:val="99"/>
    <w:rPr>
      <w:rFonts w:hint="eastAsia" w:ascii="仿宋_GB2312" w:hAnsi="等线" w:eastAsia="仿宋_GB2312" w:cs="Times New Roman (正文 CS 字体)"/>
      <w:kern w:val="2"/>
      <w:sz w:val="32"/>
      <w:szCs w:val="24"/>
    </w:rPr>
  </w:style>
  <w:style w:type="paragraph" w:customStyle="1" w:styleId="36">
    <w:name w:val="修订1"/>
    <w:hidden/>
    <w:unhideWhenUsed/>
    <w:qFormat/>
    <w:uiPriority w:val="99"/>
    <w:rPr>
      <w:rFonts w:ascii="仿宋_GB2312" w:hAnsi="等线" w:eastAsia="仿宋_GB2312" w:cs="Times New Roman (正文 CS 字体)"/>
      <w:kern w:val="2"/>
      <w:sz w:val="32"/>
      <w:szCs w:val="32"/>
      <w:lang w:val="en-US" w:eastAsia="zh-CN" w:bidi="ar-SA"/>
    </w:rPr>
  </w:style>
  <w:style w:type="character" w:customStyle="1" w:styleId="37">
    <w:name w:val="批注文字 字符"/>
    <w:basedOn w:val="22"/>
    <w:link w:val="8"/>
    <w:qFormat/>
    <w:uiPriority w:val="99"/>
    <w:rPr>
      <w:rFonts w:ascii="仿宋_GB2312" w:hAnsi="等线" w:eastAsia="仿宋_GB2312" w:cs="Times New Roman (正文 CS 字体)"/>
      <w:kern w:val="2"/>
      <w:sz w:val="32"/>
      <w:szCs w:val="32"/>
    </w:rPr>
  </w:style>
  <w:style w:type="character" w:customStyle="1" w:styleId="38">
    <w:name w:val="批注主题 字符"/>
    <w:basedOn w:val="37"/>
    <w:link w:val="19"/>
    <w:semiHidden/>
    <w:qFormat/>
    <w:uiPriority w:val="99"/>
    <w:rPr>
      <w:rFonts w:ascii="仿宋_GB2312" w:hAnsi="等线" w:eastAsia="仿宋_GB2312" w:cs="Times New Roman (正文 CS 字体)"/>
      <w:b/>
      <w:bCs/>
      <w:kern w:val="2"/>
      <w:sz w:val="32"/>
      <w:szCs w:val="32"/>
    </w:rPr>
  </w:style>
  <w:style w:type="paragraph" w:customStyle="1" w:styleId="39">
    <w:name w:val="p1"/>
    <w:basedOn w:val="1"/>
    <w:qFormat/>
    <w:uiPriority w:val="0"/>
    <w:pPr>
      <w:jc w:val="left"/>
    </w:pPr>
    <w:rPr>
      <w:rFonts w:cs="Times New Roman"/>
      <w:color w:val="000000"/>
      <w:kern w:val="0"/>
    </w:rPr>
  </w:style>
  <w:style w:type="character" w:customStyle="1" w:styleId="40">
    <w:name w:val="s1"/>
    <w:basedOn w:val="22"/>
    <w:qFormat/>
    <w:uiPriority w:val="0"/>
    <w:rPr>
      <w:rFonts w:ascii="Times New Roman" w:hAnsi="Times New Roman" w:cs="Times New Roman"/>
      <w:sz w:val="32"/>
      <w:szCs w:val="32"/>
    </w:rPr>
  </w:style>
  <w:style w:type="paragraph" w:customStyle="1" w:styleId="41">
    <w:name w:val="修订2"/>
    <w:hidden/>
    <w:unhideWhenUsed/>
    <w:qFormat/>
    <w:uiPriority w:val="99"/>
    <w:rPr>
      <w:rFonts w:ascii="仿宋_GB2312" w:hAnsi="等线" w:eastAsia="仿宋_GB2312" w:cs="Times New Roman (正文 CS 字体)"/>
      <w:kern w:val="2"/>
      <w:sz w:val="32"/>
      <w:szCs w:val="32"/>
      <w:lang w:val="en-US" w:eastAsia="zh-CN" w:bidi="ar-SA"/>
    </w:rPr>
  </w:style>
  <w:style w:type="paragraph" w:customStyle="1" w:styleId="42">
    <w:name w:val="修订3"/>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43">
    <w:name w:val="修订4"/>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44">
    <w:name w:val="修订5"/>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45">
    <w:name w:val="修订6"/>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46">
    <w:name w:val="CJX文件正文"/>
    <w:basedOn w:val="1"/>
    <w:qFormat/>
    <w:uiPriority w:val="0"/>
    <w:pPr>
      <w:ind w:firstLine="640"/>
    </w:pPr>
    <w:rPr>
      <w:rFonts w:ascii="Times New Roman" w:hAnsi="Times New Roman" w:cs="Times New Roman"/>
      <w:bCs/>
    </w:rPr>
  </w:style>
  <w:style w:type="paragraph" w:customStyle="1" w:styleId="47">
    <w:name w:val="修订7"/>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48">
    <w:name w:val="Default"/>
    <w:qFormat/>
    <w:uiPriority w:val="0"/>
    <w:pPr>
      <w:widowControl w:val="0"/>
      <w:autoSpaceDE w:val="0"/>
      <w:autoSpaceDN w:val="0"/>
      <w:adjustRightInd w:val="0"/>
    </w:pPr>
    <w:rPr>
      <w:rFonts w:ascii="楷体_GB2312" w:hAnsi="楷体_GB2312" w:eastAsia="宋体" w:cs="楷体_GB2312"/>
      <w:color w:val="000000"/>
      <w:sz w:val="24"/>
      <w:szCs w:val="24"/>
      <w:lang w:val="en-US" w:eastAsia="zh-CN" w:bidi="ar-SA"/>
    </w:rPr>
  </w:style>
  <w:style w:type="paragraph" w:customStyle="1" w:styleId="49">
    <w:name w:val="修订8"/>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50">
    <w:name w:val="附件"/>
    <w:basedOn w:val="1"/>
    <w:qFormat/>
    <w:uiPriority w:val="0"/>
    <w:pPr>
      <w:ind w:firstLine="0" w:firstLineChars="0"/>
      <w:jc w:val="left"/>
    </w:pPr>
    <w:rPr>
      <w:rFonts w:ascii="黑体" w:hAnsi="黑体" w:eastAsia="黑体"/>
    </w:rPr>
  </w:style>
  <w:style w:type="paragraph" w:customStyle="1" w:styleId="51">
    <w:name w:val="修订9"/>
    <w:hidden/>
    <w:unhideWhenUsed/>
    <w:qFormat/>
    <w:uiPriority w:val="99"/>
    <w:rPr>
      <w:rFonts w:ascii="仿宋_GB2312" w:hAnsi="仿宋_GB2312" w:eastAsia="仿宋_GB2312" w:cs="Times New Roman (正文 CS 字体)"/>
      <w:kern w:val="2"/>
      <w:sz w:val="32"/>
      <w:szCs w:val="32"/>
      <w:lang w:val="en-US" w:eastAsia="zh-CN" w:bidi="ar-SA"/>
    </w:rPr>
  </w:style>
  <w:style w:type="paragraph" w:customStyle="1" w:styleId="52">
    <w:name w:val="Revision"/>
    <w:hidden/>
    <w:unhideWhenUsed/>
    <w:qFormat/>
    <w:uiPriority w:val="99"/>
    <w:rPr>
      <w:rFonts w:ascii="仿宋_GB2312" w:hAnsi="仿宋_GB2312" w:eastAsia="仿宋_GB2312" w:cs="Times New Roman (正文 CS 字体)"/>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4459eb9b-75fd-42bd-9d0b-5579b07ed0f7</errorID>
      <errorWord xmlns="http://schemas.wps.cn/vas-ai-hub/contract-review">难题</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难题。</item>
      </candidateList>
      <explain xmlns="http://schemas.wps.cn/vas-ai-hub/contract-review"/>
      <paraID xmlns="http://schemas.wps.cn/vas-ai-hub/contract-review">4AAC1E1E</paraID>
      <start xmlns="http://schemas.wps.cn/vas-ai-hub/contract-review">46</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a8081e4f-cfa1-493f-9b85-d43e0aa981f8</errorID>
      <errorWord xmlns="http://schemas.wps.cn/vas-ai-hub/contract-review">五年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时期</item>
      </candidateList>
      <explain xmlns="http://schemas.wps.cn/vas-ai-hub/contract-review"/>
      <paraID xmlns="http://schemas.wps.cn/vas-ai-hub/contract-review">4AAC1E1E</paraID>
      <start xmlns="http://schemas.wps.cn/vas-ai-hub/contract-review">74</start>
      <end xmlns="http://schemas.wps.cn/vas-ai-hub/contract-review">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18c0323b-c7f7-49a5-b4a6-60e2ed35007a</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4AAC1E1E</paraID>
      <start xmlns="http://schemas.wps.cn/vas-ai-hub/contract-review">97</start>
      <end xmlns="http://schemas.wps.cn/vas-ai-hub/contract-review">98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23d281ab-9cf3-4379-a0bf-23ab5a0cde90</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4AAC1E1E</paraID>
      <start xmlns="http://schemas.wps.cn/vas-ai-hub/contract-review">151</start>
      <end xmlns="http://schemas.wps.cn/vas-ai-hub/contract-review">152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daa42ca6-da96-4e0c-8887-34d6243fc06b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3471BA58</paraID>
      <start xmlns="http://schemas.wps.cn/vas-ai-hub/contract-review">24</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7e2d26d7-b6ae-447e-8340-c01efcba301c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3DC537D3</paraID>
      <start xmlns="http://schemas.wps.cn/vas-ai-hub/contract-review">82</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9e89879e-705c-4aef-9dd3-a4d59912d934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51FB6FF8</paraID>
      <start xmlns="http://schemas.wps.cn/vas-ai-hub/contract-review">156</start>
      <end xmlns="http://schemas.wps.cn/vas-ai-hub/contract-review">157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627feab2-05fa-4257-a9d1-b9073d680534</errorID>
      <errorWord xmlns="http://schemas.wps.cn/vas-ai-hub/contract-review">自豪感、获得感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获得感、幸福感</item>
      </candidateList>
      <explain xmlns="http://schemas.wps.cn/vas-ai-hub/contract-review">此处内容疑似含有固定表述相关错误，建议核查。</explain>
      <paraID xmlns="http://schemas.wps.cn/vas-ai-hub/contract-review">5F936353</paraID>
      <start xmlns="http://schemas.wps.cn/vas-ai-hub/contract-review">72</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f550e5c0-3b20-4b43-914a-98e482ace918</errorID>
      <errorWord xmlns="http://schemas.wps.cn/vas-ai-hub/contract-review">幸福感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自豪感</item>
      </candidateList>
      <explain xmlns="http://schemas.wps.cn/vas-ai-hub/contract-review"/>
      <paraID xmlns="http://schemas.wps.cn/vas-ai-hub/contract-review">5F936353</paraID>
      <start xmlns="http://schemas.wps.cn/vas-ai-hub/contract-review">80</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a37c8569-fe23-4168-b018-3c41e5ad2ec5</errorID>
      <errorWord xmlns="http://schemas.wps.cn/vas-ai-hub/contract-review">生态优先，绿色发展</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生态优先、绿色发展</item>
      </candidateList>
      <explain xmlns="http://schemas.wps.cn/vas-ai-hub/contract-review"/>
      <paraID xmlns="http://schemas.wps.cn/vas-ai-hub/contract-review">34565DC4</paraID>
      <start xmlns="http://schemas.wps.cn/vas-ai-hub/contract-review">2</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497d06e4-45ec-43c8-8891-98722d59677f</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2A753E80</paraID>
      <start xmlns="http://schemas.wps.cn/vas-ai-hub/contract-review">65</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1dcb84aa-d8f2-4869-8772-844f07608665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2A753E80</paraID>
      <start xmlns="http://schemas.wps.cn/vas-ai-hub/contract-review">68</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ff912a83-8d85-426d-8937-4e4311258ea0</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2A753E80</paraID>
      <start xmlns="http://schemas.wps.cn/vas-ai-hub/contract-review">71</start>
      <end xmlns="http://schemas.wps.cn/vas-ai-hub/contract-review">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9183b245-27db-47a4-99e3-2384f0cb015b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2A753E80</paraID>
      <start xmlns="http://schemas.wps.cn/vas-ai-hub/contract-review">75</start>
      <end xmlns="http://schemas.wps.cn/vas-ai-hub/contract-review">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cbc62046-709f-476a-8af4-55ad8c177e9b</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 2D6A7EA</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1bf0d719-c2db-43f3-8ce1-46a0aef7b798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77376520</paraID>
      <start xmlns="http://schemas.wps.cn/vas-ai-hub/contract-review">105</start>
      <end xmlns="http://schemas.wps.cn/vas-ai-hub/contract-review">106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b58db549-90d7-4cba-8cc2-41cc0cd275c1</errorID>
      <errorWord xmlns="http://schemas.wps.cn/vas-ai-hub/contract-review">契机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的契机</item>
      </candidateList>
      <explain xmlns="http://schemas.wps.cn/vas-ai-hub/contract-review"/>
      <paraID xmlns="http://schemas.wps.cn/vas-ai-hub/contract-review">6ABBB3B8</paraID>
      <start xmlns="http://schemas.wps.cn/vas-ai-hub/contract-review">42</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182daa03-0e16-487d-a76b-81a4a859321a</errorID>
      <errorWord xmlns="http://schemas.wps.cn/vas-ai-hub/contract-review">进程</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建设进程</item>
      </candidateList>
      <explain xmlns="http://schemas.wps.cn/vas-ai-hub/contract-review"/>
      <paraID xmlns="http://schemas.wps.cn/vas-ai-hub/contract-review">6D86FD03</paraID>
      <start xmlns="http://schemas.wps.cn/vas-ai-hub/contract-review">11</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0d7a2501-d20e-41d5-ba99-7c1f99065f6f</errorID>
      <errorWord xmlns="http://schemas.wps.cn/vas-ai-hub/contract-review">与</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，增强</item>
      </candidateList>
      <explain xmlns="http://schemas.wps.cn/vas-ai-hub/contract-review"/>
      <paraID xmlns="http://schemas.wps.cn/vas-ai-hub/contract-review">6F14E768</paraID>
      <start xmlns="http://schemas.wps.cn/vas-ai-hub/contract-review">188</start>
      <end xmlns="http://schemas.wps.cn/vas-ai-hub/contract-review">189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3d635a9f-5dd8-4da2-9574-a3d95905d992</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的局面，</item>
      </candidateList>
      <explain xmlns="http://schemas.wps.cn/vas-ai-hub/contract-review"/>
      <paraID xmlns="http://schemas.wps.cn/vas-ai-hub/contract-review">307F88FD</paraID>
      <start xmlns="http://schemas.wps.cn/vas-ai-hub/contract-review">252</start>
      <end xmlns="http://schemas.wps.cn/vas-ai-hub/contract-review">253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3436f253-5895-4320-bc33-337ae06ec4ad</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5D143EE3</paraID>
      <start xmlns="http://schemas.wps.cn/vas-ai-hub/contract-review">68</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11294dac-7b3f-41ff-ab07-081119ac7a46</errorID>
      <errorWord xmlns="http://schemas.wps.cn/vas-ai-hub/contract-review">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探索将</item>
      </candidateList>
      <explain xmlns="http://schemas.wps.cn/vas-ai-hub/contract-review"/>
      <paraID xmlns="http://schemas.wps.cn/vas-ai-hub/contract-review"> 9489862</paraID>
      <start xmlns="http://schemas.wps.cn/vas-ai-hub/contract-review">60</start>
      <end xmlns="http://schemas.wps.cn/vas-ai-hub/contract-review">61</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C402E7-B4DF-41A4-BC8E-E66025C339A7}">
  <ds:schemaRefs/>
</ds:datastoreItem>
</file>

<file path=customXml/itemProps3.xml><?xml version="1.0" encoding="utf-8"?>
<ds:datastoreItem xmlns:ds="http://schemas.openxmlformats.org/officeDocument/2006/customXml" ds:itemID="{0B10816B-0E73-4FFA-8C20-8789C26E4DED}">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8530</Words>
  <Characters>8724</Characters>
  <Lines>335</Lines>
  <Paragraphs>239</Paragraphs>
  <TotalTime>533</TotalTime>
  <ScaleCrop>false</ScaleCrop>
  <LinksUpToDate>false</LinksUpToDate>
  <CharactersWithSpaces>8776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2025-11-05T02:29:00Z</dcterms:created>
  <dc:creator>WangziRui</dc:creator>
  <cp:lastModifiedBy>Y</cp:lastModifiedBy>
  <cp:lastPrinted>2026-10-19T18:15:43Z</cp:lastPrinted>
  <dcterms:modified xsi:type="dcterms:W3CDTF">2026-10-20T10:13:18Z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583E0F13E82A431974EDD56A9BE3B694_43</vt:lpwstr>
  </property>
  <property fmtid="{D5CDD505-2E9C-101B-9397-08002B2CF9AE}" pid="4" name="KSOTemplateDocerSaveRecord">
    <vt:lpwstr>eyJoZGlkIjoiNTJkOTQ2OGRjNTk1NTZhOTcwZjVmM2VlNWY1NGY2NDgiLCJ1c2VySWQiOiIyODQ0MzI2MjMifQ==</vt:lpwstr>
  </property>
  <property fmtid="{D5CDD505-2E9C-101B-9397-08002B2CF9AE}" pid="5" name="GrammarlyDocumentId">
    <vt:lpwstr>3681876a-e70d-48d8-a7aa-2e07a2b46933</vt:lpwstr>
  </property>
</Properties>
</file>