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4F1AB">
      <w:pPr>
        <w:pStyle w:val="10"/>
        <w:pageBreakBefore w:val="0"/>
        <w:spacing w:before="0" w:beforeLines="0" w:after="0" w:afterLines="0" w:line="560" w:lineRule="exact"/>
        <w:ind w:leftChars="-44" w:right="-126" w:rightChars="-60" w:hanging="140" w:hangingChars="32"/>
        <w:jc w:val="center"/>
        <w:outlineLvl w:val="9"/>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w:t>
      </w:r>
      <w:r>
        <w:rPr>
          <w:rFonts w:hint="eastAsia" w:eastAsia="方正小标宋简体" w:cs="Times New Roman"/>
          <w:sz w:val="44"/>
          <w:szCs w:val="44"/>
          <w:highlight w:val="none"/>
          <w:lang w:val="en-US" w:eastAsia="zh-CN"/>
        </w:rPr>
        <w:t>“</w:t>
      </w:r>
      <w:r>
        <w:rPr>
          <w:rFonts w:hint="default" w:ascii="Times New Roman" w:hAnsi="Times New Roman" w:eastAsia="方正小标宋简体" w:cs="Times New Roman"/>
          <w:sz w:val="44"/>
          <w:szCs w:val="44"/>
          <w:highlight w:val="none"/>
          <w:lang w:val="en-US" w:eastAsia="zh-CN"/>
        </w:rPr>
        <w:t>十五五</w:t>
      </w:r>
      <w:r>
        <w:rPr>
          <w:rFonts w:hint="eastAsia" w:eastAsia="方正小标宋简体" w:cs="Times New Roman"/>
          <w:sz w:val="44"/>
          <w:szCs w:val="44"/>
          <w:highlight w:val="none"/>
          <w:lang w:val="en-US" w:eastAsia="zh-CN"/>
        </w:rPr>
        <w:t>”</w:t>
      </w:r>
      <w:r>
        <w:rPr>
          <w:rFonts w:hint="default" w:ascii="Times New Roman" w:hAnsi="Times New Roman" w:eastAsia="方正小标宋简体" w:cs="Times New Roman"/>
          <w:sz w:val="44"/>
          <w:szCs w:val="44"/>
          <w:highlight w:val="none"/>
          <w:lang w:val="en-US" w:eastAsia="zh-CN"/>
        </w:rPr>
        <w:t>时期丰台区文化产业发展规划</w:t>
      </w:r>
      <w:r>
        <w:rPr>
          <w:rFonts w:hint="default" w:ascii="Times New Roman" w:hAnsi="Times New Roman" w:eastAsia="方正小标宋简体" w:cs="Times New Roman"/>
          <w:b w:val="0"/>
          <w:kern w:val="2"/>
          <w:sz w:val="44"/>
          <w:szCs w:val="44"/>
          <w:highlight w:val="none"/>
          <w:lang w:val="en-US" w:eastAsia="zh-CN" w:bidi="ar-SA"/>
        </w:rPr>
        <w:t>（征求意见稿）</w:t>
      </w:r>
      <w:r>
        <w:rPr>
          <w:rFonts w:hint="default" w:ascii="Times New Roman" w:hAnsi="Times New Roman" w:eastAsia="方正小标宋简体" w:cs="Times New Roman"/>
          <w:sz w:val="44"/>
          <w:szCs w:val="44"/>
          <w:highlight w:val="none"/>
          <w:lang w:val="en-US" w:eastAsia="zh-CN"/>
        </w:rPr>
        <w:t>》</w:t>
      </w:r>
      <w:r>
        <w:rPr>
          <w:rFonts w:hint="eastAsia" w:eastAsia="方正小标宋简体" w:cs="Times New Roman"/>
          <w:sz w:val="44"/>
          <w:szCs w:val="44"/>
          <w:highlight w:val="none"/>
          <w:lang w:val="en-US" w:eastAsia="zh-CN"/>
        </w:rPr>
        <w:t>的</w:t>
      </w:r>
      <w:bookmarkStart w:id="39" w:name="_GoBack"/>
      <w:bookmarkEnd w:id="39"/>
      <w:r>
        <w:rPr>
          <w:rFonts w:hint="default" w:ascii="Times New Roman" w:hAnsi="Times New Roman" w:eastAsia="方正小标宋简体" w:cs="Times New Roman"/>
          <w:sz w:val="44"/>
          <w:szCs w:val="44"/>
          <w:highlight w:val="none"/>
          <w:lang w:val="en-US" w:eastAsia="zh-CN"/>
        </w:rPr>
        <w:t>起草说明</w:t>
      </w:r>
    </w:p>
    <w:p w14:paraId="1DC68DFE">
      <w:pPr>
        <w:pStyle w:val="10"/>
        <w:pageBreakBefore w:val="0"/>
        <w:spacing w:before="0" w:beforeLines="0" w:after="0" w:afterLines="0" w:line="560" w:lineRule="exact"/>
        <w:ind w:leftChars="-44" w:right="-126" w:rightChars="-60" w:hanging="140" w:hangingChars="32"/>
        <w:jc w:val="both"/>
        <w:outlineLvl w:val="9"/>
        <w:rPr>
          <w:rFonts w:hint="default" w:ascii="Times New Roman" w:hAnsi="Times New Roman" w:eastAsia="方正小标宋简体" w:cs="Times New Roman"/>
          <w:sz w:val="44"/>
          <w:szCs w:val="44"/>
          <w:highlight w:val="none"/>
          <w:lang w:val="en-US" w:eastAsia="zh-CN"/>
        </w:rPr>
      </w:pPr>
    </w:p>
    <w:p w14:paraId="4C8207B4">
      <w:pPr>
        <w:pStyle w:val="2"/>
        <w:keepNext w:val="0"/>
        <w:keepLines w:val="0"/>
        <w:pageBreakBefore w:val="0"/>
        <w:widowControl w:val="0"/>
        <w:kinsoku/>
        <w:wordWrap/>
        <w:overflowPunct/>
        <w:autoSpaceDN/>
        <w:bidi w:val="0"/>
        <w:spacing w:line="560" w:lineRule="exact"/>
        <w:ind w:firstLineChars="200"/>
        <w:jc w:val="both"/>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起草背景</w:t>
      </w:r>
    </w:p>
    <w:p w14:paraId="43E4813E">
      <w:pPr>
        <w:keepNext w:val="0"/>
        <w:keepLines w:val="0"/>
        <w:pageBreakBefore w:val="0"/>
        <w:widowControl w:val="0"/>
        <w:suppressAutoHyphens/>
        <w:kinsoku/>
        <w:wordWrap/>
        <w:overflowPunct/>
        <w:topLinePunct/>
        <w:autoSpaceDN/>
        <w:bidi w:val="0"/>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u w:val="none"/>
          <w:lang w:val="en-US" w:eastAsia="zh-CN" w:bidi="ar-SA"/>
        </w:rPr>
      </w:pPr>
      <w:r>
        <w:rPr>
          <w:rFonts w:hint="default" w:ascii="仿宋_GB2312" w:hAnsi="仿宋_GB2312" w:eastAsia="仿宋_GB2312" w:cs="仿宋_GB2312"/>
          <w:b w:val="0"/>
          <w:bCs w:val="0"/>
          <w:color w:val="auto"/>
          <w:kern w:val="2"/>
          <w:sz w:val="32"/>
          <w:szCs w:val="32"/>
          <w:highlight w:val="none"/>
          <w:u w:val="none"/>
          <w:lang w:val="en-US" w:eastAsia="zh-CN" w:bidi="ar-SA"/>
        </w:rPr>
        <w:t>为深入贯彻《北京市“十五五”时期加强全国文化中心建设规划》及《北京市丰台区国民经济和社会发展第十五个五年规划和二〇三五年远景目标纲要》等上位规划中关于文化产业发展的工作部署，全面推进丰台区文化产业高质量发展，丰台区委宣传部、区文化创意</w:t>
      </w:r>
      <w:r>
        <w:rPr>
          <w:rFonts w:hint="eastAsia" w:ascii="仿宋_GB2312" w:hAnsi="仿宋_GB2312" w:eastAsia="仿宋_GB2312" w:cs="仿宋_GB2312"/>
          <w:b w:val="0"/>
          <w:bCs w:val="0"/>
          <w:color w:val="auto"/>
          <w:kern w:val="2"/>
          <w:sz w:val="32"/>
          <w:szCs w:val="32"/>
          <w:highlight w:val="none"/>
          <w:u w:val="none"/>
          <w:lang w:val="en-US" w:eastAsia="zh-CN" w:bidi="ar-SA"/>
        </w:rPr>
        <w:t>产业促进</w:t>
      </w:r>
      <w:r>
        <w:rPr>
          <w:rFonts w:hint="default" w:ascii="仿宋_GB2312" w:hAnsi="仿宋_GB2312" w:eastAsia="仿宋_GB2312" w:cs="仿宋_GB2312"/>
          <w:b w:val="0"/>
          <w:bCs w:val="0"/>
          <w:color w:val="auto"/>
          <w:kern w:val="2"/>
          <w:sz w:val="32"/>
          <w:szCs w:val="32"/>
          <w:highlight w:val="none"/>
          <w:u w:val="none"/>
          <w:lang w:val="en-US" w:eastAsia="zh-CN" w:bidi="ar-SA"/>
        </w:rPr>
        <w:t>中心牵头研究编制了《“十五五”时期丰台区文化产业发展规划》（以下简称“《规划》”）。</w:t>
      </w:r>
    </w:p>
    <w:p w14:paraId="6E1913DF">
      <w:pPr>
        <w:pStyle w:val="2"/>
        <w:keepNext w:val="0"/>
        <w:keepLines w:val="0"/>
        <w:pageBreakBefore w:val="0"/>
        <w:widowControl w:val="0"/>
        <w:kinsoku/>
        <w:wordWrap/>
        <w:overflowPunct/>
        <w:autoSpaceDN/>
        <w:bidi w:val="0"/>
        <w:spacing w:line="560" w:lineRule="exact"/>
        <w:ind w:firstLineChars="200"/>
        <w:jc w:val="both"/>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起草过程</w:t>
      </w:r>
    </w:p>
    <w:p w14:paraId="2CC3DE45">
      <w:pPr>
        <w:keepNext w:val="0"/>
        <w:keepLines w:val="0"/>
        <w:pageBreakBefore w:val="0"/>
        <w:widowControl w:val="0"/>
        <w:suppressAutoHyphens/>
        <w:kinsoku/>
        <w:wordWrap/>
        <w:overflowPunct/>
        <w:topLinePunct/>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仿宋_GB2312" w:hAnsi="仿宋_GB2312" w:eastAsia="仿宋_GB2312" w:cs="仿宋_GB2312"/>
          <w:b w:val="0"/>
          <w:bCs w:val="0"/>
          <w:color w:val="auto"/>
          <w:kern w:val="2"/>
          <w:sz w:val="32"/>
          <w:szCs w:val="32"/>
          <w:highlight w:val="none"/>
          <w:u w:val="none"/>
          <w:lang w:val="en-US" w:eastAsia="zh-CN" w:bidi="ar-SA"/>
        </w:rPr>
        <w:t>在规划起草过程中，丰台区委宣传部、区文化创意</w:t>
      </w:r>
      <w:r>
        <w:rPr>
          <w:rFonts w:hint="eastAsia" w:ascii="仿宋_GB2312" w:hAnsi="仿宋_GB2312" w:eastAsia="仿宋_GB2312" w:cs="仿宋_GB2312"/>
          <w:b w:val="0"/>
          <w:bCs w:val="0"/>
          <w:color w:val="auto"/>
          <w:kern w:val="2"/>
          <w:sz w:val="32"/>
          <w:szCs w:val="32"/>
          <w:highlight w:val="none"/>
          <w:u w:val="none"/>
          <w:lang w:val="en-US" w:eastAsia="zh-CN" w:bidi="ar-SA"/>
        </w:rPr>
        <w:t>产业促进</w:t>
      </w:r>
      <w:r>
        <w:rPr>
          <w:rFonts w:hint="default" w:ascii="仿宋_GB2312" w:hAnsi="仿宋_GB2312" w:eastAsia="仿宋_GB2312" w:cs="仿宋_GB2312"/>
          <w:b w:val="0"/>
          <w:bCs w:val="0"/>
          <w:color w:val="auto"/>
          <w:kern w:val="2"/>
          <w:sz w:val="32"/>
          <w:szCs w:val="32"/>
          <w:highlight w:val="none"/>
          <w:u w:val="none"/>
          <w:lang w:val="en-US" w:eastAsia="zh-CN" w:bidi="ar-SA"/>
        </w:rPr>
        <w:t>中心紧扣文化产业发展态势与丰台区发展基础开展调研，统筹做好规划衔接。立足本区实际，对接区发展规划纲要、市级加强全国文化中心建设规划等上位规划，并与区内文旅体发展规划错位协同；聚焦特色文化产业体系构建、产业布局优化、发展动能培育等重点任务，广泛征求各职能部门、市场主体及社会各界意见建议，经多轮研讨、论证与修改完善，凝聚各方共识，最终形成本规划成果。</w:t>
      </w:r>
    </w:p>
    <w:p w14:paraId="50B8A08B">
      <w:pPr>
        <w:pStyle w:val="2"/>
        <w:keepNext w:val="0"/>
        <w:keepLines w:val="0"/>
        <w:pageBreakBefore w:val="0"/>
        <w:widowControl w:val="0"/>
        <w:kinsoku/>
        <w:wordWrap/>
        <w:overflowPunct/>
        <w:autoSpaceDN/>
        <w:bidi w:val="0"/>
        <w:spacing w:line="560" w:lineRule="exact"/>
        <w:ind w:firstLineChars="200"/>
        <w:jc w:val="both"/>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主要内容</w:t>
      </w:r>
    </w:p>
    <w:p w14:paraId="6DEAF360">
      <w:pPr>
        <w:keepNext w:val="0"/>
        <w:keepLines w:val="0"/>
        <w:pageBreakBefore w:val="0"/>
        <w:widowControl w:val="0"/>
        <w:numPr>
          <w:ilvl w:val="0"/>
          <w:numId w:val="0"/>
        </w:numPr>
        <w:tabs>
          <w:tab w:val="left" w:pos="4516"/>
        </w:tabs>
        <w:kinsoku/>
        <w:wordWrap/>
        <w:overflowPunct/>
        <w:topLinePunct w:val="0"/>
        <w:autoSpaceDE/>
        <w:autoSpaceDN/>
        <w:bidi w:val="0"/>
        <w:adjustRightInd w:val="0"/>
        <w:snapToGrid w:val="0"/>
        <w:spacing w:after="0" w:line="560" w:lineRule="exact"/>
        <w:ind w:left="0" w:right="0" w:righ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规划</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主要分为五个部分，具体内容如下</w:t>
      </w:r>
      <w:r>
        <w:rPr>
          <w:rFonts w:hint="default" w:ascii="Times New Roman" w:hAnsi="Times New Roman" w:eastAsia="仿宋_GB2312" w:cs="Times New Roman"/>
          <w:sz w:val="32"/>
          <w:szCs w:val="32"/>
          <w:lang w:eastAsia="zh-CN"/>
        </w:rPr>
        <w:t>。</w:t>
      </w:r>
    </w:p>
    <w:p w14:paraId="6EBCE8A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（一）总体要求</w:t>
      </w:r>
    </w:p>
    <w:p w14:paraId="69A53A94">
      <w:pPr>
        <w:keepNext w:val="0"/>
        <w:keepLines w:val="0"/>
        <w:pageBreakBefore w:val="0"/>
        <w:widowControl w:val="0"/>
        <w:suppressAutoHyphens/>
        <w:kinsoku/>
        <w:wordWrap/>
        <w:overflowPunct/>
        <w:topLinePunct/>
        <w:autoSpaceDN/>
        <w:bidi w:val="0"/>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u w:val="none"/>
          <w:lang w:val="en-US" w:eastAsia="zh-CN" w:bidi="ar-SA"/>
        </w:rPr>
      </w:pPr>
      <w:r>
        <w:rPr>
          <w:rFonts w:hint="default" w:ascii="仿宋_GB2312" w:hAnsi="仿宋_GB2312" w:eastAsia="仿宋_GB2312" w:cs="仿宋_GB2312"/>
          <w:b w:val="0"/>
          <w:bCs w:val="0"/>
          <w:color w:val="auto"/>
          <w:kern w:val="2"/>
          <w:sz w:val="32"/>
          <w:szCs w:val="32"/>
          <w:highlight w:val="none"/>
          <w:u w:val="none"/>
          <w:lang w:val="en-US" w:eastAsia="zh-CN" w:bidi="ar-SA"/>
        </w:rPr>
        <w:t>主要包括：立足丰台区“三化五区”发展战略，以培育文化新质生产力为主线，以“数字+”催生文化新业态、以“场景+”丰富文化新供给、以“融合+”释放文化新潜力，推动文化产业固本强基、创新育新、提质扩容，加快建设大国首都文化客厅，成为全国文化中心建设的重要承载区。到2030年，丰台区文化产业体系更加健全，产业空间载体提质增效，产业创新能力不断提升，优质文化产品供给更加丰富，文化产业贡献力稳步提高，文商旅体展融合发展进一步深化，文化新业态、新模式、新场景不断涌现，形成一批具有丰台标识的优势文化产业集群，要素集聚、融合高效、活力迸发的文化产业发展生态基本形成。</w:t>
      </w:r>
    </w:p>
    <w:p w14:paraId="69B6B3A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（二）聚焦重点赛道，构建特色文化产业体系</w:t>
      </w:r>
    </w:p>
    <w:p w14:paraId="14877977">
      <w:pPr>
        <w:keepNext w:val="0"/>
        <w:keepLines w:val="0"/>
        <w:pageBreakBefore w:val="0"/>
        <w:widowControl w:val="0"/>
        <w:suppressAutoHyphens/>
        <w:kinsoku/>
        <w:wordWrap/>
        <w:overflowPunct/>
        <w:topLinePunct/>
        <w:autoSpaceDN/>
        <w:bidi w:val="0"/>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u w:val="none"/>
          <w:lang w:val="en-US" w:eastAsia="zh-CN" w:bidi="ar-SA"/>
        </w:rPr>
      </w:pPr>
      <w:r>
        <w:rPr>
          <w:rFonts w:hint="default" w:ascii="仿宋_GB2312" w:hAnsi="仿宋_GB2312" w:eastAsia="仿宋_GB2312" w:cs="仿宋_GB2312"/>
          <w:b w:val="0"/>
          <w:bCs w:val="0"/>
          <w:color w:val="auto"/>
          <w:kern w:val="2"/>
          <w:sz w:val="32"/>
          <w:szCs w:val="32"/>
          <w:highlight w:val="none"/>
          <w:u w:val="none"/>
          <w:lang w:val="en-US" w:eastAsia="zh-CN" w:bidi="ar-SA"/>
        </w:rPr>
        <w:t>主要包括：</w:t>
      </w:r>
      <w:bookmarkStart w:id="0" w:name="_Toc15362"/>
      <w:bookmarkStart w:id="1" w:name="_Toc236230728"/>
      <w:bookmarkStart w:id="2" w:name="_Toc29587"/>
      <w:r>
        <w:rPr>
          <w:rFonts w:hint="default" w:ascii="仿宋_GB2312" w:hAnsi="仿宋_GB2312" w:eastAsia="仿宋_GB2312" w:cs="仿宋_GB2312"/>
          <w:b w:val="0"/>
          <w:bCs w:val="0"/>
          <w:color w:val="auto"/>
          <w:kern w:val="2"/>
          <w:sz w:val="32"/>
          <w:szCs w:val="32"/>
          <w:highlight w:val="none"/>
          <w:u w:val="none"/>
          <w:lang w:val="en-US" w:eastAsia="zh-CN" w:bidi="ar-SA"/>
        </w:rPr>
        <w:t>一是转型提升新闻出版产业</w:t>
      </w:r>
      <w:bookmarkEnd w:id="0"/>
      <w:bookmarkEnd w:id="1"/>
      <w:bookmarkEnd w:id="2"/>
      <w:r>
        <w:rPr>
          <w:rFonts w:hint="default" w:ascii="仿宋_GB2312" w:hAnsi="仿宋_GB2312" w:eastAsia="仿宋_GB2312" w:cs="仿宋_GB2312"/>
          <w:b w:val="0"/>
          <w:bCs w:val="0"/>
          <w:color w:val="auto"/>
          <w:kern w:val="2"/>
          <w:sz w:val="32"/>
          <w:szCs w:val="32"/>
          <w:highlight w:val="none"/>
          <w:u w:val="none"/>
          <w:lang w:val="en-US" w:eastAsia="zh-CN" w:bidi="ar-SA"/>
        </w:rPr>
        <w:t>，推进新闻出版业数智化转型，深化新闻出版业跨界融合。二是</w:t>
      </w:r>
      <w:bookmarkStart w:id="3" w:name="_Toc19067"/>
      <w:r>
        <w:rPr>
          <w:rFonts w:hint="default" w:ascii="仿宋_GB2312" w:hAnsi="仿宋_GB2312" w:eastAsia="仿宋_GB2312" w:cs="仿宋_GB2312"/>
          <w:b w:val="0"/>
          <w:bCs w:val="0"/>
          <w:color w:val="auto"/>
          <w:kern w:val="2"/>
          <w:sz w:val="32"/>
          <w:szCs w:val="32"/>
          <w:highlight w:val="none"/>
          <w:u w:val="none"/>
          <w:lang w:val="en-US" w:eastAsia="zh-CN" w:bidi="ar-SA"/>
        </w:rPr>
        <w:t>提质扩容创意设计产业</w:t>
      </w:r>
      <w:bookmarkEnd w:id="3"/>
      <w:r>
        <w:rPr>
          <w:rFonts w:hint="default" w:ascii="仿宋_GB2312" w:hAnsi="仿宋_GB2312" w:eastAsia="仿宋_GB2312" w:cs="仿宋_GB2312"/>
          <w:b w:val="0"/>
          <w:bCs w:val="0"/>
          <w:color w:val="auto"/>
          <w:kern w:val="2"/>
          <w:sz w:val="32"/>
          <w:szCs w:val="32"/>
          <w:highlight w:val="none"/>
          <w:u w:val="none"/>
          <w:lang w:val="en-US" w:eastAsia="zh-CN" w:bidi="ar-SA"/>
        </w:rPr>
        <w:t>，扩大设计服务优势，建强广告产业生态。三是</w:t>
      </w:r>
      <w:bookmarkStart w:id="4" w:name="_Toc11331"/>
      <w:r>
        <w:rPr>
          <w:rFonts w:hint="default" w:ascii="仿宋_GB2312" w:hAnsi="仿宋_GB2312" w:eastAsia="仿宋_GB2312" w:cs="仿宋_GB2312"/>
          <w:b w:val="0"/>
          <w:bCs w:val="0"/>
          <w:color w:val="auto"/>
          <w:kern w:val="2"/>
          <w:sz w:val="32"/>
          <w:szCs w:val="32"/>
          <w:highlight w:val="none"/>
          <w:u w:val="none"/>
          <w:lang w:val="en-US" w:eastAsia="zh-CN" w:bidi="ar-SA"/>
        </w:rPr>
        <w:t>多维激活文化演艺产业</w:t>
      </w:r>
      <w:bookmarkEnd w:id="4"/>
      <w:r>
        <w:rPr>
          <w:rFonts w:hint="default" w:ascii="仿宋_GB2312" w:hAnsi="仿宋_GB2312" w:eastAsia="仿宋_GB2312" w:cs="仿宋_GB2312"/>
          <w:b w:val="0"/>
          <w:bCs w:val="0"/>
          <w:color w:val="auto"/>
          <w:kern w:val="2"/>
          <w:sz w:val="32"/>
          <w:szCs w:val="32"/>
          <w:highlight w:val="none"/>
          <w:u w:val="none"/>
          <w:lang w:val="en-US" w:eastAsia="zh-CN" w:bidi="ar-SA"/>
        </w:rPr>
        <w:t>，丰富演艺新供给，培育演艺新动能。四是</w:t>
      </w:r>
      <w:bookmarkStart w:id="5" w:name="_Toc26816"/>
      <w:r>
        <w:rPr>
          <w:rFonts w:hint="default" w:ascii="仿宋_GB2312" w:hAnsi="仿宋_GB2312" w:eastAsia="仿宋_GB2312" w:cs="仿宋_GB2312"/>
          <w:b w:val="0"/>
          <w:bCs w:val="0"/>
          <w:color w:val="auto"/>
          <w:kern w:val="2"/>
          <w:sz w:val="32"/>
          <w:szCs w:val="32"/>
          <w:highlight w:val="none"/>
          <w:u w:val="none"/>
          <w:lang w:val="en-US" w:eastAsia="zh-CN" w:bidi="ar-SA"/>
        </w:rPr>
        <w:t>焕新升级文博服务产业</w:t>
      </w:r>
      <w:bookmarkEnd w:id="5"/>
      <w:r>
        <w:rPr>
          <w:rFonts w:hint="default" w:ascii="仿宋_GB2312" w:hAnsi="仿宋_GB2312" w:eastAsia="仿宋_GB2312" w:cs="仿宋_GB2312"/>
          <w:b w:val="0"/>
          <w:bCs w:val="0"/>
          <w:color w:val="auto"/>
          <w:kern w:val="2"/>
          <w:sz w:val="32"/>
          <w:szCs w:val="32"/>
          <w:highlight w:val="none"/>
          <w:u w:val="none"/>
          <w:lang w:val="en-US" w:eastAsia="zh-CN" w:bidi="ar-SA"/>
        </w:rPr>
        <w:t>，拓展文博场馆消费空间，推进文博资源数字化。五是</w:t>
      </w:r>
      <w:bookmarkStart w:id="6" w:name="_Toc12667"/>
      <w:r>
        <w:rPr>
          <w:rFonts w:hint="default" w:ascii="仿宋_GB2312" w:hAnsi="仿宋_GB2312" w:eastAsia="仿宋_GB2312" w:cs="仿宋_GB2312"/>
          <w:b w:val="0"/>
          <w:bCs w:val="0"/>
          <w:color w:val="auto"/>
          <w:kern w:val="2"/>
          <w:sz w:val="32"/>
          <w:szCs w:val="32"/>
          <w:highlight w:val="none"/>
          <w:u w:val="none"/>
          <w:lang w:val="en-US" w:eastAsia="zh-CN" w:bidi="ar-SA"/>
        </w:rPr>
        <w:t>加快发展数字视听产业</w:t>
      </w:r>
      <w:bookmarkEnd w:id="6"/>
      <w:r>
        <w:rPr>
          <w:rFonts w:hint="default" w:ascii="仿宋_GB2312" w:hAnsi="仿宋_GB2312" w:eastAsia="仿宋_GB2312" w:cs="仿宋_GB2312"/>
          <w:b w:val="0"/>
          <w:bCs w:val="0"/>
          <w:color w:val="auto"/>
          <w:kern w:val="2"/>
          <w:sz w:val="32"/>
          <w:szCs w:val="32"/>
          <w:highlight w:val="none"/>
          <w:u w:val="none"/>
          <w:lang w:val="en-US" w:eastAsia="zh-CN" w:bidi="ar-SA"/>
        </w:rPr>
        <w:t>，完善“大视听”服务体系，建设微短剧产业集群。六是积极培育文旅休闲产业，提升文化旅游发展水平，激发娱乐休闲活力。</w:t>
      </w:r>
    </w:p>
    <w:p w14:paraId="01000925">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sz w:val="32"/>
          <w:szCs w:val="32"/>
          <w:lang w:val="en-US" w:eastAsia="zh-CN"/>
        </w:rPr>
      </w:pPr>
      <w:bookmarkStart w:id="7" w:name="_Toc236230734"/>
      <w:bookmarkStart w:id="8" w:name="_Toc24732"/>
      <w:bookmarkStart w:id="9" w:name="_Toc232438860"/>
      <w:bookmarkStart w:id="10" w:name="_Toc25396"/>
      <w:r>
        <w:rPr>
          <w:rFonts w:hint="default" w:ascii="Times New Roman" w:hAnsi="Times New Roman" w:eastAsia="楷体_GB2312" w:cs="Times New Roman"/>
          <w:sz w:val="32"/>
          <w:szCs w:val="32"/>
          <w:lang w:val="en-US" w:eastAsia="zh-CN"/>
        </w:rPr>
        <w:t>强化资源集聚，优化文化产业发展布局</w:t>
      </w:r>
      <w:bookmarkEnd w:id="7"/>
      <w:bookmarkEnd w:id="8"/>
      <w:bookmarkEnd w:id="9"/>
      <w:bookmarkEnd w:id="10"/>
    </w:p>
    <w:p w14:paraId="06F8CC90">
      <w:pPr>
        <w:keepNext w:val="0"/>
        <w:keepLines w:val="0"/>
        <w:pageBreakBefore w:val="0"/>
        <w:widowControl w:val="0"/>
        <w:suppressAutoHyphens/>
        <w:kinsoku/>
        <w:wordWrap/>
        <w:overflowPunct/>
        <w:topLinePunct/>
        <w:autoSpaceDN/>
        <w:bidi w:val="0"/>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u w:val="none"/>
          <w:lang w:val="en-US" w:eastAsia="zh-CN" w:bidi="ar-SA"/>
        </w:rPr>
      </w:pPr>
      <w:r>
        <w:rPr>
          <w:rFonts w:hint="default" w:ascii="仿宋_GB2312" w:hAnsi="仿宋_GB2312" w:eastAsia="仿宋_GB2312" w:cs="仿宋_GB2312"/>
          <w:b w:val="0"/>
          <w:bCs w:val="0"/>
          <w:color w:val="auto"/>
          <w:kern w:val="2"/>
          <w:sz w:val="32"/>
          <w:szCs w:val="32"/>
          <w:highlight w:val="none"/>
          <w:u w:val="none"/>
          <w:lang w:val="en-US" w:eastAsia="zh-CN" w:bidi="ar-SA"/>
        </w:rPr>
        <w:t>主要包括:着力构建“四区多点”文化产业空间发展格局。一是打造文博演艺活力片区，二是做强文化科技活力片区，三是</w:t>
      </w:r>
      <w:bookmarkStart w:id="11" w:name="_Toc15317"/>
      <w:bookmarkStart w:id="12" w:name="_Toc1428"/>
      <w:r>
        <w:rPr>
          <w:rFonts w:hint="default" w:ascii="仿宋_GB2312" w:hAnsi="仿宋_GB2312" w:eastAsia="仿宋_GB2312" w:cs="仿宋_GB2312"/>
          <w:b w:val="0"/>
          <w:bCs w:val="0"/>
          <w:color w:val="auto"/>
          <w:kern w:val="2"/>
          <w:sz w:val="32"/>
          <w:szCs w:val="32"/>
          <w:highlight w:val="none"/>
          <w:u w:val="none"/>
          <w:lang w:val="en-US" w:eastAsia="zh-CN" w:bidi="ar-SA"/>
        </w:rPr>
        <w:t>拓展文旅融合活力片区</w:t>
      </w:r>
      <w:bookmarkEnd w:id="11"/>
      <w:bookmarkEnd w:id="12"/>
      <w:r>
        <w:rPr>
          <w:rFonts w:hint="default" w:ascii="仿宋_GB2312" w:hAnsi="仿宋_GB2312" w:eastAsia="仿宋_GB2312" w:cs="仿宋_GB2312"/>
          <w:b w:val="0"/>
          <w:bCs w:val="0"/>
          <w:color w:val="auto"/>
          <w:kern w:val="2"/>
          <w:sz w:val="32"/>
          <w:szCs w:val="32"/>
          <w:highlight w:val="none"/>
          <w:u w:val="none"/>
          <w:lang w:val="en-US" w:eastAsia="zh-CN" w:bidi="ar-SA"/>
        </w:rPr>
        <w:t>，四是壮大文化商务活力片区，五是培育东铁匠营中医药、玉泉营花卉、花乡农产品花卉、东高地航天等特色文化产业节点。</w:t>
      </w:r>
    </w:p>
    <w:p w14:paraId="1850304B">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楷体_GB2312" w:cs="Times New Roman"/>
          <w:sz w:val="32"/>
          <w:szCs w:val="32"/>
          <w:lang w:val="en-US" w:eastAsia="zh-CN"/>
        </w:rPr>
      </w:pPr>
      <w:bookmarkStart w:id="13" w:name="_Toc15107"/>
      <w:bookmarkStart w:id="14" w:name="_Toc13098"/>
      <w:bookmarkStart w:id="15" w:name="_Toc232438864"/>
      <w:bookmarkStart w:id="16" w:name="_Toc7088"/>
      <w:bookmarkStart w:id="17" w:name="_Toc236230739"/>
      <w:r>
        <w:rPr>
          <w:rFonts w:hint="default" w:ascii="Times New Roman" w:hAnsi="Times New Roman" w:eastAsia="楷体_GB2312" w:cs="Times New Roman"/>
          <w:sz w:val="32"/>
          <w:szCs w:val="32"/>
          <w:lang w:val="en-US" w:eastAsia="zh-CN"/>
        </w:rPr>
        <w:t>深化融合赋能，壮大文化产业发展动能</w:t>
      </w:r>
      <w:bookmarkEnd w:id="13"/>
      <w:bookmarkEnd w:id="14"/>
      <w:bookmarkEnd w:id="15"/>
      <w:bookmarkEnd w:id="16"/>
      <w:bookmarkEnd w:id="17"/>
    </w:p>
    <w:p w14:paraId="55FE93D7">
      <w:pPr>
        <w:keepNext w:val="0"/>
        <w:keepLines w:val="0"/>
        <w:pageBreakBefore w:val="0"/>
        <w:widowControl w:val="0"/>
        <w:suppressAutoHyphens/>
        <w:kinsoku/>
        <w:wordWrap/>
        <w:overflowPunct/>
        <w:topLinePunct/>
        <w:autoSpaceDN/>
        <w:bidi w:val="0"/>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u w:val="none"/>
          <w:lang w:val="en-US" w:eastAsia="zh-CN" w:bidi="ar-SA"/>
        </w:rPr>
      </w:pPr>
      <w:r>
        <w:rPr>
          <w:rFonts w:hint="default" w:ascii="仿宋_GB2312" w:hAnsi="仿宋_GB2312" w:eastAsia="仿宋_GB2312" w:cs="仿宋_GB2312"/>
          <w:b w:val="0"/>
          <w:bCs w:val="0"/>
          <w:color w:val="auto"/>
          <w:kern w:val="2"/>
          <w:sz w:val="32"/>
          <w:szCs w:val="32"/>
          <w:highlight w:val="none"/>
          <w:u w:val="none"/>
          <w:lang w:val="en-US" w:eastAsia="zh-CN" w:bidi="ar-SA"/>
        </w:rPr>
        <w:t>主要包括：</w:t>
      </w:r>
      <w:bookmarkStart w:id="18" w:name="_Toc9362"/>
      <w:bookmarkStart w:id="19" w:name="_Toc236230741"/>
      <w:bookmarkStart w:id="20" w:name="_Toc6369"/>
      <w:r>
        <w:rPr>
          <w:rFonts w:hint="default" w:ascii="仿宋_GB2312" w:hAnsi="仿宋_GB2312" w:eastAsia="仿宋_GB2312" w:cs="仿宋_GB2312"/>
          <w:b w:val="0"/>
          <w:bCs w:val="0"/>
          <w:color w:val="auto"/>
          <w:kern w:val="2"/>
          <w:sz w:val="32"/>
          <w:szCs w:val="32"/>
          <w:highlight w:val="none"/>
          <w:u w:val="none"/>
          <w:lang w:val="en-US" w:eastAsia="zh-CN" w:bidi="ar-SA"/>
        </w:rPr>
        <w:t>一是推动文化与科技深度融合，激活数智赋能强引擎</w:t>
      </w:r>
      <w:bookmarkEnd w:id="18"/>
      <w:bookmarkEnd w:id="19"/>
      <w:bookmarkEnd w:id="20"/>
      <w:r>
        <w:rPr>
          <w:rFonts w:hint="default" w:ascii="仿宋_GB2312" w:hAnsi="仿宋_GB2312" w:eastAsia="仿宋_GB2312" w:cs="仿宋_GB2312"/>
          <w:b w:val="0"/>
          <w:bCs w:val="0"/>
          <w:color w:val="auto"/>
          <w:kern w:val="2"/>
          <w:sz w:val="32"/>
          <w:szCs w:val="32"/>
          <w:highlight w:val="none"/>
          <w:u w:val="none"/>
          <w:lang w:val="en-US" w:eastAsia="zh-CN" w:bidi="ar-SA"/>
        </w:rPr>
        <w:t>，</w:t>
      </w:r>
      <w:bookmarkStart w:id="21" w:name="_Toc236230742"/>
      <w:bookmarkStart w:id="22" w:name="_Toc32094"/>
      <w:bookmarkStart w:id="23" w:name="_Toc29842"/>
      <w:r>
        <w:rPr>
          <w:rFonts w:hint="default" w:ascii="仿宋_GB2312" w:hAnsi="仿宋_GB2312" w:eastAsia="仿宋_GB2312" w:cs="仿宋_GB2312"/>
          <w:b w:val="0"/>
          <w:bCs w:val="0"/>
          <w:color w:val="auto"/>
          <w:kern w:val="2"/>
          <w:sz w:val="32"/>
          <w:szCs w:val="32"/>
          <w:highlight w:val="none"/>
          <w:u w:val="none"/>
          <w:lang w:val="en-US" w:eastAsia="zh-CN" w:bidi="ar-SA"/>
        </w:rPr>
        <w:t>二是推动文化主体引优培强，扩充产业发展主力军</w:t>
      </w:r>
      <w:bookmarkEnd w:id="21"/>
      <w:bookmarkEnd w:id="22"/>
      <w:bookmarkEnd w:id="23"/>
      <w:r>
        <w:rPr>
          <w:rFonts w:hint="default" w:ascii="仿宋_GB2312" w:hAnsi="仿宋_GB2312" w:eastAsia="仿宋_GB2312" w:cs="仿宋_GB2312"/>
          <w:b w:val="0"/>
          <w:bCs w:val="0"/>
          <w:color w:val="auto"/>
          <w:kern w:val="2"/>
          <w:sz w:val="32"/>
          <w:szCs w:val="32"/>
          <w:highlight w:val="none"/>
          <w:u w:val="none"/>
          <w:lang w:val="en-US" w:eastAsia="zh-CN" w:bidi="ar-SA"/>
        </w:rPr>
        <w:t>，</w:t>
      </w:r>
      <w:bookmarkStart w:id="24" w:name="_Toc236230743"/>
      <w:bookmarkStart w:id="25" w:name="_Toc13330"/>
      <w:bookmarkStart w:id="26" w:name="_Toc232438867"/>
      <w:bookmarkStart w:id="27" w:name="_Toc15650"/>
      <w:r>
        <w:rPr>
          <w:rFonts w:hint="default" w:ascii="仿宋_GB2312" w:hAnsi="仿宋_GB2312" w:eastAsia="仿宋_GB2312" w:cs="仿宋_GB2312"/>
          <w:b w:val="0"/>
          <w:bCs w:val="0"/>
          <w:color w:val="auto"/>
          <w:kern w:val="2"/>
          <w:sz w:val="32"/>
          <w:szCs w:val="32"/>
          <w:highlight w:val="none"/>
          <w:u w:val="none"/>
          <w:lang w:val="en-US" w:eastAsia="zh-CN" w:bidi="ar-SA"/>
        </w:rPr>
        <w:t>三是推动文化园区提质增效，打造产业活力新样板</w:t>
      </w:r>
      <w:bookmarkEnd w:id="24"/>
      <w:bookmarkEnd w:id="25"/>
      <w:bookmarkEnd w:id="26"/>
      <w:bookmarkEnd w:id="27"/>
      <w:r>
        <w:rPr>
          <w:rFonts w:hint="default" w:ascii="仿宋_GB2312" w:hAnsi="仿宋_GB2312" w:eastAsia="仿宋_GB2312" w:cs="仿宋_GB2312"/>
          <w:b w:val="0"/>
          <w:bCs w:val="0"/>
          <w:color w:val="auto"/>
          <w:kern w:val="2"/>
          <w:sz w:val="32"/>
          <w:szCs w:val="32"/>
          <w:highlight w:val="none"/>
          <w:u w:val="none"/>
          <w:lang w:val="en-US" w:eastAsia="zh-CN" w:bidi="ar-SA"/>
        </w:rPr>
        <w:t>，</w:t>
      </w:r>
      <w:bookmarkStart w:id="28" w:name="_Toc236230745"/>
      <w:bookmarkStart w:id="29" w:name="_Toc232438869"/>
      <w:bookmarkStart w:id="30" w:name="_Toc28819"/>
      <w:bookmarkStart w:id="31" w:name="_Toc9867"/>
      <w:r>
        <w:rPr>
          <w:rFonts w:hint="default" w:ascii="仿宋_GB2312" w:hAnsi="仿宋_GB2312" w:eastAsia="仿宋_GB2312" w:cs="仿宋_GB2312"/>
          <w:b w:val="0"/>
          <w:bCs w:val="0"/>
          <w:color w:val="auto"/>
          <w:kern w:val="2"/>
          <w:sz w:val="32"/>
          <w:szCs w:val="32"/>
          <w:highlight w:val="none"/>
          <w:u w:val="none"/>
          <w:lang w:val="en-US" w:eastAsia="zh-CN" w:bidi="ar-SA"/>
        </w:rPr>
        <w:t>四是推动文商旅体展融合发展，</w:t>
      </w:r>
      <w:bookmarkEnd w:id="28"/>
      <w:bookmarkEnd w:id="29"/>
      <w:bookmarkEnd w:id="30"/>
      <w:r>
        <w:rPr>
          <w:rFonts w:hint="default" w:ascii="仿宋_GB2312" w:hAnsi="仿宋_GB2312" w:eastAsia="仿宋_GB2312" w:cs="仿宋_GB2312"/>
          <w:b w:val="0"/>
          <w:bCs w:val="0"/>
          <w:color w:val="auto"/>
          <w:kern w:val="2"/>
          <w:sz w:val="32"/>
          <w:szCs w:val="32"/>
          <w:highlight w:val="none"/>
          <w:u w:val="none"/>
          <w:lang w:val="en-US" w:eastAsia="zh-CN" w:bidi="ar-SA"/>
        </w:rPr>
        <w:t>拓展文化消费新空间</w:t>
      </w:r>
      <w:bookmarkEnd w:id="31"/>
      <w:r>
        <w:rPr>
          <w:rFonts w:hint="default" w:ascii="仿宋_GB2312" w:hAnsi="仿宋_GB2312" w:eastAsia="仿宋_GB2312" w:cs="仿宋_GB2312"/>
          <w:b w:val="0"/>
          <w:bCs w:val="0"/>
          <w:color w:val="auto"/>
          <w:kern w:val="2"/>
          <w:sz w:val="32"/>
          <w:szCs w:val="32"/>
          <w:highlight w:val="none"/>
          <w:u w:val="none"/>
          <w:lang w:val="en-US" w:eastAsia="zh-CN" w:bidi="ar-SA"/>
        </w:rPr>
        <w:t>，</w:t>
      </w:r>
      <w:bookmarkStart w:id="32" w:name="_Toc551"/>
      <w:bookmarkStart w:id="33" w:name="_Toc24532"/>
      <w:bookmarkStart w:id="34" w:name="_Toc232438870"/>
      <w:bookmarkStart w:id="35" w:name="_Toc236230746"/>
      <w:r>
        <w:rPr>
          <w:rFonts w:hint="default" w:ascii="仿宋_GB2312" w:hAnsi="仿宋_GB2312" w:eastAsia="仿宋_GB2312" w:cs="仿宋_GB2312"/>
          <w:b w:val="0"/>
          <w:bCs w:val="0"/>
          <w:color w:val="auto"/>
          <w:kern w:val="2"/>
          <w:sz w:val="32"/>
          <w:szCs w:val="32"/>
          <w:highlight w:val="none"/>
          <w:u w:val="none"/>
          <w:lang w:val="en-US" w:eastAsia="zh-CN" w:bidi="ar-SA"/>
        </w:rPr>
        <w:t>五是推动文化产业生态完善，构筑要素集聚强磁场</w:t>
      </w:r>
      <w:bookmarkEnd w:id="32"/>
      <w:bookmarkEnd w:id="33"/>
      <w:bookmarkEnd w:id="34"/>
      <w:bookmarkEnd w:id="35"/>
      <w:r>
        <w:rPr>
          <w:rFonts w:hint="default" w:ascii="仿宋_GB2312" w:hAnsi="仿宋_GB2312" w:eastAsia="仿宋_GB2312" w:cs="仿宋_GB2312"/>
          <w:b w:val="0"/>
          <w:bCs w:val="0"/>
          <w:color w:val="auto"/>
          <w:kern w:val="2"/>
          <w:sz w:val="32"/>
          <w:szCs w:val="32"/>
          <w:highlight w:val="none"/>
          <w:u w:val="none"/>
          <w:lang w:val="en-US" w:eastAsia="zh-CN" w:bidi="ar-SA"/>
        </w:rPr>
        <w:t>。</w:t>
      </w:r>
    </w:p>
    <w:p w14:paraId="6C62D25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sz w:val="32"/>
          <w:szCs w:val="32"/>
          <w:lang w:val="en-US" w:eastAsia="zh-CN"/>
        </w:rPr>
      </w:pPr>
      <w:bookmarkStart w:id="36" w:name="_Toc236230747"/>
      <w:bookmarkStart w:id="37" w:name="_Toc18839"/>
      <w:bookmarkStart w:id="38" w:name="_Toc17521"/>
      <w:r>
        <w:rPr>
          <w:rFonts w:hint="default" w:ascii="Times New Roman" w:hAnsi="Times New Roman" w:eastAsia="楷体_GB2312" w:cs="Times New Roman"/>
          <w:sz w:val="32"/>
          <w:szCs w:val="32"/>
          <w:lang w:val="en-US" w:eastAsia="zh-CN"/>
        </w:rPr>
        <w:t>（五）压实工作责任，完善规划实施保障</w:t>
      </w:r>
      <w:bookmarkEnd w:id="36"/>
      <w:r>
        <w:rPr>
          <w:rFonts w:hint="default" w:ascii="Times New Roman" w:hAnsi="Times New Roman" w:eastAsia="楷体_GB2312" w:cs="Times New Roman"/>
          <w:sz w:val="32"/>
          <w:szCs w:val="32"/>
          <w:lang w:val="en-US" w:eastAsia="zh-CN"/>
        </w:rPr>
        <w:t>机制</w:t>
      </w:r>
      <w:bookmarkEnd w:id="37"/>
      <w:bookmarkEnd w:id="38"/>
    </w:p>
    <w:p w14:paraId="517D9372">
      <w:pPr>
        <w:keepNext w:val="0"/>
        <w:keepLines w:val="0"/>
        <w:pageBreakBefore w:val="0"/>
        <w:widowControl w:val="0"/>
        <w:suppressAutoHyphens/>
        <w:kinsoku/>
        <w:wordWrap/>
        <w:overflowPunct/>
        <w:topLinePunct/>
        <w:autoSpaceDN/>
        <w:bidi w:val="0"/>
        <w:spacing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u w:val="none"/>
          <w:lang w:val="en-US" w:eastAsia="zh-CN" w:bidi="ar-SA"/>
        </w:rPr>
      </w:pPr>
      <w:r>
        <w:rPr>
          <w:rFonts w:hint="default" w:ascii="仿宋_GB2312" w:hAnsi="仿宋_GB2312" w:eastAsia="仿宋_GB2312" w:cs="仿宋_GB2312"/>
          <w:b w:val="0"/>
          <w:bCs w:val="0"/>
          <w:color w:val="auto"/>
          <w:kern w:val="2"/>
          <w:sz w:val="32"/>
          <w:szCs w:val="32"/>
          <w:highlight w:val="none"/>
          <w:u w:val="none"/>
          <w:lang w:val="en-US" w:eastAsia="zh-CN" w:bidi="ar-SA"/>
        </w:rPr>
        <w:t>主要包括：构建权责清晰、闭环落实的规划实施保障体系，建立规划动态监测与评估机制，加强文化产业企业统计归集，广泛开展政策宣讲与典型宣传。</w:t>
      </w:r>
    </w:p>
    <w:p w14:paraId="1B3B06A9">
      <w:pPr>
        <w:pStyle w:val="2"/>
        <w:keepNext w:val="0"/>
        <w:keepLines w:val="0"/>
        <w:pageBreakBefore w:val="0"/>
        <w:widowControl w:val="0"/>
        <w:kinsoku/>
        <w:wordWrap/>
        <w:overflowPunct/>
        <w:autoSpaceDN/>
        <w:bidi w:val="0"/>
        <w:spacing w:line="560" w:lineRule="exact"/>
        <w:ind w:firstLineChars="200"/>
        <w:jc w:val="both"/>
        <w:textAlignment w:val="auto"/>
        <w:rPr>
          <w:rFonts w:hint="default" w:ascii="Times New Roman" w:hAnsi="Times New Roman" w:cs="Times New Roman"/>
          <w:sz w:val="32"/>
          <w:lang w:val="en-US" w:eastAsia="zh-CN"/>
        </w:rPr>
      </w:pPr>
      <w:r>
        <w:rPr>
          <w:rFonts w:hint="default" w:ascii="Times New Roman" w:hAnsi="Times New Roman" w:cs="Times New Roman"/>
          <w:sz w:val="32"/>
          <w:lang w:val="en-US" w:eastAsia="zh-CN"/>
        </w:rPr>
        <w:t>需要特别说明的问题</w:t>
      </w:r>
    </w:p>
    <w:p w14:paraId="0BFFBBBF">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bidi="ar"/>
        </w:rPr>
      </w:pPr>
      <w:r>
        <w:rPr>
          <w:rFonts w:hint="default" w:ascii="Times New Roman" w:hAnsi="Times New Roman" w:eastAsia="仿宋_GB2312" w:cs="Times New Roman"/>
          <w:sz w:val="32"/>
          <w:szCs w:val="32"/>
          <w:lang w:val="en-US" w:eastAsia="zh-CN" w:bidi="ar"/>
        </w:rPr>
        <w:t>无。</w:t>
      </w:r>
    </w:p>
    <w:sectPr>
      <w:pgSz w:w="11906" w:h="16838"/>
      <w:pgMar w:top="2098" w:right="1587"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25D905"/>
    <w:multiLevelType w:val="singleLevel"/>
    <w:tmpl w:val="F425D905"/>
    <w:lvl w:ilvl="0" w:tentative="0">
      <w:start w:val="3"/>
      <w:numFmt w:val="chineseCounting"/>
      <w:suff w:val="nothing"/>
      <w:lvlText w:val="（%1）"/>
      <w:lvlJc w:val="left"/>
      <w:rPr>
        <w:rFonts w:hint="eastAsia"/>
      </w:rPr>
    </w:lvl>
  </w:abstractNum>
  <w:abstractNum w:abstractNumId="1">
    <w:nsid w:val="14066B16"/>
    <w:multiLevelType w:val="multilevel"/>
    <w:tmpl w:val="14066B16"/>
    <w:lvl w:ilvl="0" w:tentative="0">
      <w:start w:val="1"/>
      <w:numFmt w:val="chineseCountingThousand"/>
      <w:pStyle w:val="2"/>
      <w:suff w:val="nothing"/>
      <w:lvlText w:val="%1、"/>
      <w:lvlJc w:val="left"/>
      <w:pPr>
        <w:ind w:left="0" w:firstLine="0"/>
      </w:pPr>
      <w:rPr>
        <w:rFonts w:hint="default" w:ascii="Times New Roman" w:hAnsi="Times New Roman" w:eastAsia="黑体"/>
        <w:sz w:val="32"/>
      </w:rPr>
    </w:lvl>
    <w:lvl w:ilvl="1" w:tentative="0">
      <w:start w:val="1"/>
      <w:numFmt w:val="chineseCountingThousand"/>
      <w:suff w:val="nothing"/>
      <w:lvlText w:val="（%2）"/>
      <w:lvlJc w:val="left"/>
      <w:pPr>
        <w:ind w:left="0" w:firstLine="0"/>
      </w:pPr>
      <w:rPr>
        <w:rFonts w:hint="eastAsia" w:ascii="Times New Roman" w:hAnsi="Times New Roman" w:eastAsia="楷体_GB2312"/>
        <w:b w:val="0"/>
        <w:bCs/>
        <w:i w:val="0"/>
        <w:sz w:val="32"/>
      </w:rPr>
    </w:lvl>
    <w:lvl w:ilvl="2" w:tentative="0">
      <w:start w:val="1"/>
      <w:numFmt w:val="decimal"/>
      <w:suff w:val="nothing"/>
      <w:lvlText w:val="%3. "/>
      <w:lvlJc w:val="left"/>
      <w:pPr>
        <w:ind w:left="0" w:firstLine="0"/>
      </w:pPr>
      <w:rPr>
        <w:rFonts w:hint="default" w:ascii="Times New Roman" w:hAnsi="Times New Roman" w:eastAsia="仿宋_GB2312"/>
        <w:b/>
        <w:i w:val="0"/>
        <w:sz w:val="32"/>
      </w:rPr>
    </w:lvl>
    <w:lvl w:ilvl="3" w:tentative="0">
      <w:start w:val="1"/>
      <w:numFmt w:val="decimal"/>
      <w:isLgl/>
      <w:suff w:val="nothing"/>
      <w:lvlText w:val="（%4）"/>
      <w:lvlJc w:val="left"/>
      <w:pPr>
        <w:ind w:left="0" w:firstLine="0"/>
      </w:pPr>
      <w:rPr>
        <w:rFonts w:hint="default" w:ascii="Times New Roman" w:hAnsi="Times New Roman" w:eastAsia="仿宋_GB2312"/>
        <w:sz w:val="32"/>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D3D69"/>
    <w:rsid w:val="1AAD645B"/>
    <w:rsid w:val="227930C6"/>
    <w:rsid w:val="28416434"/>
    <w:rsid w:val="2FDE6795"/>
    <w:rsid w:val="53F8359B"/>
    <w:rsid w:val="63F97611"/>
    <w:rsid w:val="6E4F40E8"/>
    <w:rsid w:val="6FAD3D69"/>
    <w:rsid w:val="73245D03"/>
    <w:rsid w:val="BEEF72C9"/>
    <w:rsid w:val="FBDE0EB6"/>
    <w:rsid w:val="FFABB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numPr>
        <w:ilvl w:val="0"/>
        <w:numId w:val="1"/>
      </w:numPr>
      <w:ind w:firstLine="200"/>
      <w:outlineLvl w:val="0"/>
    </w:pPr>
    <w:rPr>
      <w:rFonts w:eastAsia="黑体"/>
      <w:bCs/>
      <w:kern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afterAutospacing="0"/>
    </w:pPr>
  </w:style>
  <w:style w:type="paragraph" w:customStyle="1" w:styleId="4">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5">
    <w:name w:val="toc 3"/>
    <w:basedOn w:val="1"/>
    <w:next w:val="1"/>
    <w:unhideWhenUsed/>
    <w:qFormat/>
    <w:uiPriority w:val="39"/>
    <w:pPr>
      <w:spacing w:line="240" w:lineRule="auto"/>
      <w:ind w:firstLine="400" w:firstLineChars="400"/>
      <w:jc w:val="left"/>
    </w:pPr>
    <w:rPr>
      <w:rFonts w:eastAsia="楷体_GB2312"/>
      <w:iCs/>
      <w:sz w:val="24"/>
      <w:szCs w:val="20"/>
    </w:rPr>
  </w:style>
  <w:style w:type="paragraph" w:styleId="6">
    <w:name w:val="Title"/>
    <w:basedOn w:val="1"/>
    <w:next w:val="1"/>
    <w:qFormat/>
    <w:uiPriority w:val="10"/>
    <w:pPr>
      <w:spacing w:before="240" w:after="60"/>
      <w:jc w:val="center"/>
      <w:outlineLvl w:val="0"/>
    </w:pPr>
    <w:rPr>
      <w:rFonts w:ascii="Arial" w:hAnsi="Arial"/>
      <w:b/>
      <w:sz w:val="32"/>
    </w:rPr>
  </w:style>
  <w:style w:type="paragraph" w:styleId="7">
    <w:name w:val="Body Text First Indent"/>
    <w:basedOn w:val="3"/>
    <w:qFormat/>
    <w:uiPriority w:val="0"/>
    <w:pPr>
      <w:ind w:firstLine="420" w:firstLineChars="100"/>
    </w:pPr>
  </w:style>
  <w:style w:type="paragraph" w:customStyle="1" w:styleId="10">
    <w:name w:val="标题一"/>
    <w:basedOn w:val="1"/>
    <w:qFormat/>
    <w:uiPriority w:val="0"/>
    <w:pPr>
      <w:pageBreakBefore/>
      <w:adjustRightInd/>
      <w:snapToGrid/>
      <w:spacing w:before="312" w:beforeLines="100" w:after="312" w:afterLines="100"/>
      <w:ind w:firstLine="0" w:firstLineChars="0"/>
      <w:jc w:val="center"/>
      <w:outlineLvl w:val="0"/>
    </w:pPr>
    <w:rPr>
      <w:rFonts w:ascii="Times New Roman" w:hAnsi="Times New Roman" w:eastAsia="黑体" w:cs="Times New Roman"/>
      <w:kern w:val="2"/>
      <w:sz w:val="36"/>
      <w:szCs w:val="36"/>
      <w:lang w:eastAsia="zh-CN"/>
    </w:rPr>
  </w:style>
  <w:style w:type="paragraph" w:customStyle="1" w:styleId="11">
    <w:name w:val="CJX文件标题"/>
    <w:basedOn w:val="6"/>
    <w:qFormat/>
    <w:uiPriority w:val="0"/>
    <w:pPr>
      <w:spacing w:before="0" w:after="0" w:line="560" w:lineRule="exact"/>
    </w:pPr>
    <w:rPr>
      <w:rFonts w:ascii="Times New Roman" w:hAnsi="Times New Roman" w:eastAsia="方正小标宋_GBK" w:cs="方正小标宋_GBK"/>
      <w:b w:val="0"/>
      <w:sz w:val="44"/>
      <w:szCs w:val="44"/>
    </w:rPr>
  </w:style>
  <w:style w:type="paragraph" w:customStyle="1" w:styleId="12">
    <w:name w:val="标题 21"/>
    <w:basedOn w:val="1"/>
    <w:qFormat/>
    <w:uiPriority w:val="0"/>
    <w:pPr>
      <w:keepNext/>
      <w:keepLines/>
      <w:spacing w:before="260" w:after="260" w:line="416" w:lineRule="auto"/>
      <w:outlineLvl w:val="1"/>
    </w:pPr>
    <w:rPr>
      <w:rFonts w:ascii="Cambria" w:hAnsi="Cambria"/>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407</Words>
  <Characters>407</Characters>
  <Lines>0</Lines>
  <Paragraphs>0</Paragraphs>
  <TotalTime>0</TotalTime>
  <ScaleCrop>false</ScaleCrop>
  <LinksUpToDate>false</LinksUpToDate>
  <CharactersWithSpaces>407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2026-10-15T01:15:00Z</dcterms:created>
  <dc:creator>郝姑娘</dc:creator>
  <cp:lastModifiedBy>jty</cp:lastModifiedBy>
  <dcterms:modified xsi:type="dcterms:W3CDTF">2026-10-19T17:31:23Z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74865774CFFC4B1D8EDAC3CB577E14AD_11</vt:lpwstr>
  </property>
  <property fmtid="{D5CDD505-2E9C-101B-9397-08002B2CF9AE}" pid="4" name="KSOTemplateDocerSaveRecord">
    <vt:lpwstr>eyJoZGlkIjoiZGMxZmVjNDBmZmU0M2UyYTgxZmRkMmY3YThmOTgzZGUiLCJ1c2VySWQiOiIyNTg3ODUzODUifQ==</vt:lpwstr>
  </property>
</Properties>
</file>