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CA1B1">
      <w:pPr>
        <w:suppressAutoHyphens/>
        <w:spacing w:after="0" w:line="6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14:ligatures w14:val="none"/>
        </w:rPr>
      </w:pPr>
      <w:bookmarkStart w:id="0" w:name="OLE_LINK26"/>
      <w:r>
        <w:rPr>
          <w:rFonts w:ascii="方正小标宋简体" w:hAnsi="方正小标宋简体" w:eastAsia="方正小标宋简体" w:cs="方正小标宋简体"/>
          <w:sz w:val="44"/>
          <w:szCs w:val="44"/>
          <w14:ligatures w14:val="none"/>
        </w:rPr>
        <w:t>《“十五五”时期东城区体育事业和体育产业发展规划（征求意见稿）》</w:t>
      </w:r>
      <w:bookmarkEnd w:id="0"/>
      <w:r>
        <w:rPr>
          <w:rFonts w:ascii="方正小标宋简体" w:hAnsi="方正小标宋简体" w:eastAsia="方正小标宋简体" w:cs="方正小标宋简体"/>
          <w:sz w:val="44"/>
          <w:szCs w:val="44"/>
          <w14:ligatures w14:val="none"/>
        </w:rPr>
        <w:t>起草说明</w:t>
      </w:r>
    </w:p>
    <w:p w14:paraId="5693ED8C">
      <w:pPr>
        <w:suppressAutoHyphens/>
        <w:spacing w:after="0" w:line="6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14:ligatures w14:val="none"/>
        </w:rPr>
      </w:pPr>
    </w:p>
    <w:p w14:paraId="040D036E">
      <w:pPr>
        <w:pStyle w:val="11"/>
        <w:spacing w:line="560" w:lineRule="exact"/>
        <w:ind w:firstLine="600" w:firstLineChars="200"/>
        <w:rPr>
          <w:rFonts w:hint="eastAsia"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一、编制背景</w:t>
      </w:r>
    </w:p>
    <w:p w14:paraId="02495833">
      <w:pPr>
        <w:pStyle w:val="11"/>
        <w:spacing w:line="560" w:lineRule="exact"/>
        <w:ind w:firstLine="600" w:firstLineChars="200"/>
        <w:rPr>
          <w:rFonts w:ascii="Times New Roman" w:hAnsi="Times New Roman" w:eastAsia="仿宋_GB2312"/>
          <w:kern w:val="0"/>
          <w:sz w:val="30"/>
          <w:szCs w:val="30"/>
        </w:rPr>
      </w:pPr>
      <w:bookmarkStart w:id="1" w:name="OLE_LINK21"/>
      <w:r>
        <w:rPr>
          <w:rFonts w:hint="eastAsia" w:ascii="Times New Roman" w:hAnsi="Times New Roman" w:eastAsia="仿宋_GB2312"/>
          <w:kern w:val="0"/>
          <w:sz w:val="30"/>
          <w:szCs w:val="30"/>
        </w:rPr>
        <w:t>“</w:t>
      </w:r>
      <w:r>
        <w:rPr>
          <w:rFonts w:ascii="Times New Roman" w:hAnsi="Times New Roman" w:eastAsia="仿宋_GB2312"/>
          <w:kern w:val="0"/>
          <w:sz w:val="30"/>
          <w:szCs w:val="30"/>
        </w:rPr>
        <w:t>十五五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”</w:t>
      </w:r>
      <w:r>
        <w:rPr>
          <w:rFonts w:ascii="Times New Roman" w:hAnsi="Times New Roman" w:eastAsia="仿宋_GB2312"/>
          <w:kern w:val="0"/>
          <w:sz w:val="30"/>
          <w:szCs w:val="30"/>
        </w:rPr>
        <w:t>时期是基本实现社会主义现代化夯实基础、全面发力的关键时期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，</w:t>
      </w:r>
      <w:r>
        <w:rPr>
          <w:rFonts w:ascii="Times New Roman" w:hAnsi="Times New Roman" w:eastAsia="仿宋_GB2312"/>
          <w:kern w:val="0"/>
          <w:sz w:val="30"/>
          <w:szCs w:val="30"/>
        </w:rPr>
        <w:t>也是北京加快建设双奥国际赛事名城、推动体育事业与体育产业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高质量发展</w:t>
      </w:r>
      <w:r>
        <w:rPr>
          <w:rFonts w:ascii="Times New Roman" w:hAnsi="Times New Roman" w:eastAsia="仿宋_GB2312"/>
          <w:kern w:val="0"/>
          <w:sz w:val="30"/>
          <w:szCs w:val="30"/>
        </w:rPr>
        <w:t>的重要机遇期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。</w:t>
      </w:r>
      <w:r>
        <w:rPr>
          <w:rFonts w:ascii="Times New Roman" w:hAnsi="Times New Roman" w:eastAsia="仿宋_GB2312"/>
          <w:kern w:val="0"/>
          <w:sz w:val="30"/>
          <w:szCs w:val="30"/>
        </w:rPr>
        <w:t>东城区作为首都功能核心区，始终将体育发展作为增进民生福祉、激活消费活力、提升城市品质的重要内容。立足体育强区建设新起点、新征程，《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“</w:t>
      </w:r>
      <w:r>
        <w:rPr>
          <w:rFonts w:ascii="Times New Roman" w:hAnsi="Times New Roman" w:eastAsia="仿宋_GB2312"/>
          <w:kern w:val="0"/>
          <w:sz w:val="30"/>
          <w:szCs w:val="30"/>
        </w:rPr>
        <w:t>十五五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”</w:t>
      </w:r>
      <w:r>
        <w:rPr>
          <w:rFonts w:ascii="Times New Roman" w:hAnsi="Times New Roman" w:eastAsia="仿宋_GB2312"/>
          <w:kern w:val="0"/>
          <w:sz w:val="30"/>
          <w:szCs w:val="30"/>
        </w:rPr>
        <w:t>时期东城区体育事业和体育产业发展规划》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（以下简称“《规划》”）以</w:t>
      </w:r>
      <w:r>
        <w:rPr>
          <w:rFonts w:ascii="Times New Roman" w:hAnsi="Times New Roman" w:eastAsia="仿宋_GB2312"/>
          <w:kern w:val="0"/>
          <w:sz w:val="30"/>
          <w:szCs w:val="30"/>
        </w:rPr>
        <w:t>《体育强国建设“十五五”规划》《东城区国民经济和社会发展第十五个五年规划纲要》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等上位政策为依据，</w:t>
      </w:r>
      <w:r>
        <w:rPr>
          <w:rFonts w:ascii="Times New Roman" w:hAnsi="Times New Roman" w:eastAsia="仿宋_GB2312"/>
          <w:kern w:val="0"/>
          <w:sz w:val="30"/>
          <w:szCs w:val="30"/>
        </w:rPr>
        <w:t>对于持续巩固全民健身发展成果、保持竞技体育全市领先优势、加快推动体育产业创新集聚与多元融合、全面深化“体育+”跨界发展模式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等具有重要作用</w:t>
      </w:r>
      <w:r>
        <w:rPr>
          <w:rFonts w:ascii="Times New Roman" w:hAnsi="Times New Roman" w:eastAsia="仿宋_GB2312"/>
          <w:kern w:val="0"/>
          <w:sz w:val="30"/>
          <w:szCs w:val="30"/>
        </w:rPr>
        <w:t>。</w:t>
      </w:r>
    </w:p>
    <w:bookmarkEnd w:id="1"/>
    <w:p w14:paraId="52C949B5">
      <w:pPr>
        <w:pStyle w:val="11"/>
        <w:spacing w:line="560" w:lineRule="exact"/>
        <w:ind w:firstLine="600" w:firstLineChars="200"/>
        <w:rPr>
          <w:rFonts w:hint="eastAsia" w:ascii="黑体" w:hAnsi="黑体" w:eastAsia="黑体"/>
          <w:kern w:val="0"/>
          <w:sz w:val="30"/>
          <w:szCs w:val="30"/>
        </w:rPr>
      </w:pPr>
      <w:bookmarkStart w:id="2" w:name="OLE_LINK32"/>
      <w:r>
        <w:rPr>
          <w:rFonts w:hint="eastAsia" w:ascii="黑体" w:hAnsi="黑体" w:eastAsia="黑体"/>
          <w:kern w:val="0"/>
          <w:sz w:val="30"/>
          <w:szCs w:val="30"/>
        </w:rPr>
        <w:t>二、编制过程</w:t>
      </w:r>
    </w:p>
    <w:p w14:paraId="0F1D92E7">
      <w:pPr>
        <w:pStyle w:val="11"/>
        <w:spacing w:line="560" w:lineRule="exact"/>
        <w:ind w:firstLine="600" w:firstLineChars="200"/>
        <w:rPr>
          <w:rFonts w:ascii="Times New Roman" w:hAnsi="Times New Roman" w:eastAsia="仿宋_GB2312"/>
          <w:kern w:val="0"/>
          <w:sz w:val="30"/>
          <w:szCs w:val="30"/>
        </w:rPr>
      </w:pPr>
      <w:r>
        <w:rPr>
          <w:rFonts w:hint="eastAsia" w:ascii="Times New Roman" w:hAnsi="Times New Roman" w:eastAsia="仿宋_GB2312"/>
          <w:kern w:val="0"/>
          <w:sz w:val="30"/>
          <w:szCs w:val="30"/>
        </w:rPr>
        <w:t>规划编制工作</w:t>
      </w: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  <w:lang w:eastAsia="zh-CN"/>
        </w:rPr>
        <w:t>始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于2</w:t>
      </w:r>
      <w:r>
        <w:rPr>
          <w:rFonts w:ascii="Times New Roman" w:hAnsi="Times New Roman" w:eastAsia="仿宋_GB2312"/>
          <w:kern w:val="0"/>
          <w:sz w:val="30"/>
          <w:szCs w:val="30"/>
        </w:rPr>
        <w:t>025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年2月，大致分为三个阶段。</w:t>
      </w:r>
    </w:p>
    <w:p w14:paraId="7C9972D8">
      <w:pPr>
        <w:pStyle w:val="11"/>
        <w:spacing w:line="560" w:lineRule="exact"/>
        <w:ind w:firstLine="600" w:firstLineChars="200"/>
        <w:rPr>
          <w:rFonts w:ascii="Times New Roman" w:hAnsi="Times New Roman" w:eastAsia="仿宋_GB2312"/>
          <w:kern w:val="0"/>
          <w:sz w:val="30"/>
          <w:szCs w:val="30"/>
        </w:rPr>
      </w:pPr>
      <w:r>
        <w:rPr>
          <w:rFonts w:hint="eastAsia" w:ascii="Times New Roman" w:hAnsi="Times New Roman" w:eastAsia="仿宋_GB2312"/>
          <w:kern w:val="0"/>
          <w:sz w:val="30"/>
          <w:szCs w:val="30"/>
        </w:rPr>
        <w:t>第一阶段为总结研究阶段（2</w:t>
      </w:r>
      <w:r>
        <w:rPr>
          <w:rFonts w:ascii="Times New Roman" w:hAnsi="Times New Roman" w:eastAsia="仿宋_GB2312"/>
          <w:kern w:val="0"/>
          <w:sz w:val="30"/>
          <w:szCs w:val="30"/>
        </w:rPr>
        <w:t>02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5年2月至6月）。2025年2月《规划》编制课题组正式成立，系统收集国家和东城区体育相关政策、各部门工作汇报总结，开展相关方面的专题调研，完成《</w:t>
      </w:r>
      <w:r>
        <w:rPr>
          <w:rFonts w:ascii="Times New Roman" w:hAnsi="Times New Roman" w:eastAsia="仿宋_GB2312"/>
          <w:kern w:val="0"/>
          <w:sz w:val="30"/>
          <w:szCs w:val="30"/>
        </w:rPr>
        <w:t>“十五五”时期东城区体育事业和体育产业发展前期研究报告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》，由此形成第一手调研资料和专题研究成果，为后续规划编制奠定坚实基础。</w:t>
      </w:r>
    </w:p>
    <w:p w14:paraId="25D7BAE3">
      <w:pPr>
        <w:pStyle w:val="11"/>
        <w:spacing w:line="560" w:lineRule="exact"/>
        <w:ind w:firstLine="600" w:firstLineChars="200"/>
        <w:rPr>
          <w:rFonts w:ascii="Times New Roman" w:hAnsi="Times New Roman" w:eastAsia="仿宋_GB2312"/>
          <w:kern w:val="0"/>
          <w:sz w:val="30"/>
          <w:szCs w:val="30"/>
        </w:rPr>
      </w:pPr>
      <w:bookmarkStart w:id="3" w:name="OLE_LINK9"/>
      <w:r>
        <w:rPr>
          <w:rFonts w:hint="eastAsia" w:ascii="Times New Roman" w:hAnsi="Times New Roman" w:eastAsia="仿宋_GB2312"/>
          <w:kern w:val="0"/>
          <w:sz w:val="30"/>
          <w:szCs w:val="30"/>
        </w:rPr>
        <w:t>第二阶段为规划编制阶段（2025年7月至2026年4月）。</w:t>
      </w:r>
      <w:bookmarkEnd w:id="3"/>
      <w:bookmarkStart w:id="4" w:name="OLE_LINK8"/>
      <w:r>
        <w:rPr>
          <w:rFonts w:hint="eastAsia" w:ascii="Times New Roman" w:hAnsi="Times New Roman" w:eastAsia="仿宋_GB2312"/>
          <w:kern w:val="0"/>
          <w:sz w:val="30"/>
          <w:szCs w:val="30"/>
        </w:rPr>
        <w:t>《规划》</w:t>
      </w:r>
      <w:bookmarkEnd w:id="4"/>
      <w:r>
        <w:rPr>
          <w:rFonts w:hint="eastAsia" w:ascii="Times New Roman" w:hAnsi="Times New Roman" w:eastAsia="仿宋_GB2312"/>
          <w:kern w:val="0"/>
          <w:sz w:val="30"/>
          <w:szCs w:val="30"/>
        </w:rPr>
        <w:t>课题组全面梳理东城区体育工作资源禀赋与现实挑战，开展专项课题研究，并紧密对接国家体育总局、北京市等相关上位政策精神，通过内部研讨会议、专家访谈等方式，系统推进编制相关工作，经过多轮次研讨修改完善，于2026年4月完成《规划》征求意见稿。</w:t>
      </w:r>
    </w:p>
    <w:p w14:paraId="60295807">
      <w:pPr>
        <w:pStyle w:val="11"/>
        <w:spacing w:line="560" w:lineRule="exact"/>
        <w:ind w:firstLine="600" w:firstLineChars="200"/>
        <w:rPr>
          <w:rFonts w:ascii="Times New Roman" w:hAnsi="Times New Roman" w:eastAsia="仿宋_GB2312"/>
          <w:kern w:val="0"/>
          <w:sz w:val="30"/>
          <w:szCs w:val="30"/>
        </w:rPr>
      </w:pPr>
      <w:r>
        <w:rPr>
          <w:rFonts w:hint="eastAsia" w:ascii="Times New Roman" w:hAnsi="Times New Roman" w:eastAsia="仿宋_GB2312"/>
          <w:kern w:val="0"/>
          <w:sz w:val="30"/>
          <w:szCs w:val="30"/>
        </w:rPr>
        <w:t>第三阶段为规划完善阶段（2026年5月至今）。为有力提升《规划》编制质量，东城区多渠道征求规划意见，并紧密结合全区体育工作新成果与新举措，持续推进《规划》动态调整。根据上位政策精神与各方反馈意见，课题组于2026年10月形成</w:t>
      </w:r>
      <w:r>
        <w:rPr>
          <w:rFonts w:ascii="Times New Roman" w:hAnsi="Times New Roman" w:eastAsia="仿宋_GB2312"/>
          <w:kern w:val="0"/>
          <w:sz w:val="30"/>
          <w:szCs w:val="30"/>
        </w:rPr>
        <w:t>本次征求意见稿。</w:t>
      </w:r>
    </w:p>
    <w:bookmarkEnd w:id="2"/>
    <w:p w14:paraId="2D22DBE9">
      <w:pPr>
        <w:pStyle w:val="11"/>
        <w:spacing w:line="560" w:lineRule="exact"/>
        <w:ind w:firstLine="600" w:firstLineChars="200"/>
        <w:rPr>
          <w:rFonts w:hint="eastAsia"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三、</w:t>
      </w:r>
      <w:r>
        <w:rPr>
          <w:rFonts w:ascii="黑体" w:hAnsi="黑体" w:eastAsia="黑体"/>
          <w:kern w:val="0"/>
          <w:sz w:val="30"/>
          <w:szCs w:val="30"/>
        </w:rPr>
        <w:t>主要内容</w:t>
      </w:r>
    </w:p>
    <w:p w14:paraId="2D5B4B8B">
      <w:pPr>
        <w:pStyle w:val="11"/>
        <w:spacing w:line="560" w:lineRule="exact"/>
        <w:ind w:firstLine="600" w:firstLineChars="200"/>
        <w:rPr>
          <w:rFonts w:ascii="Times New Roman" w:hAnsi="Times New Roman" w:eastAsia="仿宋_GB2312"/>
          <w:kern w:val="0"/>
          <w:sz w:val="30"/>
          <w:szCs w:val="30"/>
        </w:rPr>
      </w:pPr>
      <w:r>
        <w:rPr>
          <w:rFonts w:ascii="Times New Roman" w:hAnsi="Times New Roman" w:eastAsia="仿宋_GB2312"/>
          <w:kern w:val="0"/>
          <w:sz w:val="30"/>
          <w:szCs w:val="30"/>
        </w:rPr>
        <w:t>《规划》全文共四个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部分</w:t>
      </w:r>
      <w:r>
        <w:rPr>
          <w:rFonts w:ascii="Times New Roman" w:hAnsi="Times New Roman" w:eastAsia="仿宋_GB2312"/>
          <w:kern w:val="0"/>
          <w:sz w:val="30"/>
          <w:szCs w:val="30"/>
        </w:rPr>
        <w:t>，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包括规划背景、总体战略、重点任务、保障举措等内容</w:t>
      </w:r>
      <w:r>
        <w:rPr>
          <w:rFonts w:ascii="Times New Roman" w:hAnsi="Times New Roman" w:eastAsia="仿宋_GB2312"/>
          <w:kern w:val="0"/>
          <w:sz w:val="30"/>
          <w:szCs w:val="30"/>
        </w:rPr>
        <w:t>。</w:t>
      </w:r>
    </w:p>
    <w:p w14:paraId="226DDB6E">
      <w:pPr>
        <w:pStyle w:val="11"/>
        <w:spacing w:line="560" w:lineRule="exact"/>
        <w:ind w:firstLine="602" w:firstLineChars="200"/>
        <w:rPr>
          <w:rFonts w:ascii="Times New Roman" w:hAnsi="Times New Roman" w:eastAsia="仿宋_GB2312"/>
          <w:kern w:val="0"/>
          <w:sz w:val="30"/>
          <w:szCs w:val="30"/>
        </w:rPr>
      </w:pPr>
      <w:bookmarkStart w:id="5" w:name="OLE_LINK28"/>
      <w:r>
        <w:rPr>
          <w:rFonts w:ascii="Times New Roman" w:hAnsi="Times New Roman" w:eastAsia="仿宋_GB2312"/>
          <w:b/>
          <w:bCs/>
          <w:kern w:val="0"/>
          <w:sz w:val="30"/>
          <w:szCs w:val="30"/>
        </w:rPr>
        <w:t>第一</w:t>
      </w:r>
      <w:r>
        <w:rPr>
          <w:rFonts w:hint="eastAsia" w:ascii="Times New Roman" w:hAnsi="Times New Roman" w:eastAsia="仿宋_GB2312"/>
          <w:b/>
          <w:bCs/>
          <w:kern w:val="0"/>
          <w:sz w:val="30"/>
          <w:szCs w:val="30"/>
        </w:rPr>
        <w:t>部分</w:t>
      </w:r>
      <w:r>
        <w:rPr>
          <w:rFonts w:ascii="Times New Roman" w:hAnsi="Times New Roman" w:eastAsia="仿宋_GB2312"/>
          <w:b/>
          <w:bCs/>
          <w:kern w:val="0"/>
          <w:sz w:val="30"/>
          <w:szCs w:val="30"/>
        </w:rPr>
        <w:t>为规划背景。</w:t>
      </w:r>
      <w:r>
        <w:rPr>
          <w:rFonts w:ascii="Times New Roman" w:hAnsi="Times New Roman" w:eastAsia="仿宋_GB2312"/>
          <w:kern w:val="0"/>
          <w:sz w:val="30"/>
          <w:szCs w:val="30"/>
        </w:rPr>
        <w:t>系统梳理“十四五”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时期东城区体育工作发展成果，特别是在成功创建首批国家全民运动健身模范市（区）、进一步增强竞技体育综合实力、加快体育产业发展、多措加强行业监管等方面取得的主要成果，并综合研判</w:t>
      </w:r>
      <w:r>
        <w:rPr>
          <w:rFonts w:ascii="Times New Roman" w:hAnsi="Times New Roman" w:eastAsia="仿宋_GB2312"/>
          <w:kern w:val="0"/>
          <w:sz w:val="30"/>
          <w:szCs w:val="30"/>
        </w:rPr>
        <w:t>“十五五”时期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东城区体育工作发展</w:t>
      </w:r>
      <w:r>
        <w:rPr>
          <w:rFonts w:hint="eastAsia" w:ascii="Times New Roman" w:hAnsi="Times New Roman" w:eastAsia="仿宋_GB2312"/>
          <w:color w:val="auto"/>
          <w:kern w:val="0"/>
          <w:sz w:val="30"/>
          <w:szCs w:val="30"/>
        </w:rPr>
        <w:t>面临的机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遇与挑战</w:t>
      </w:r>
      <w:r>
        <w:rPr>
          <w:rFonts w:ascii="Times New Roman" w:hAnsi="Times New Roman" w:eastAsia="仿宋_GB2312"/>
          <w:kern w:val="0"/>
          <w:sz w:val="30"/>
          <w:szCs w:val="30"/>
        </w:rPr>
        <w:t>。</w:t>
      </w:r>
    </w:p>
    <w:p w14:paraId="6B87CCD2">
      <w:pPr>
        <w:pStyle w:val="11"/>
        <w:spacing w:line="560" w:lineRule="exact"/>
        <w:ind w:firstLine="602" w:firstLineChars="200"/>
        <w:rPr>
          <w:rFonts w:ascii="Times New Roman" w:hAnsi="Times New Roman" w:eastAsia="仿宋_GB2312"/>
          <w:kern w:val="0"/>
          <w:sz w:val="30"/>
          <w:szCs w:val="30"/>
        </w:rPr>
      </w:pPr>
      <w:bookmarkStart w:id="6" w:name="OLE_LINK55"/>
      <w:r>
        <w:rPr>
          <w:rFonts w:ascii="Times New Roman" w:hAnsi="Times New Roman" w:eastAsia="仿宋_GB2312"/>
          <w:b/>
          <w:bCs/>
          <w:kern w:val="0"/>
          <w:sz w:val="30"/>
          <w:szCs w:val="30"/>
        </w:rPr>
        <w:t>第二</w:t>
      </w:r>
      <w:r>
        <w:rPr>
          <w:rFonts w:hint="eastAsia" w:ascii="Times New Roman" w:hAnsi="Times New Roman" w:eastAsia="仿宋_GB2312"/>
          <w:b/>
          <w:bCs/>
          <w:kern w:val="0"/>
          <w:sz w:val="30"/>
          <w:szCs w:val="30"/>
        </w:rPr>
        <w:t>部分</w:t>
      </w:r>
      <w:r>
        <w:rPr>
          <w:rFonts w:ascii="Times New Roman" w:hAnsi="Times New Roman" w:eastAsia="仿宋_GB2312"/>
          <w:b/>
          <w:bCs/>
          <w:kern w:val="0"/>
          <w:sz w:val="30"/>
          <w:szCs w:val="30"/>
        </w:rPr>
        <w:t>为总体战略</w:t>
      </w:r>
      <w:bookmarkEnd w:id="6"/>
      <w:r>
        <w:rPr>
          <w:rFonts w:ascii="Times New Roman" w:hAnsi="Times New Roman" w:eastAsia="仿宋_GB2312"/>
          <w:b/>
          <w:bCs/>
          <w:kern w:val="0"/>
          <w:sz w:val="30"/>
          <w:szCs w:val="30"/>
        </w:rPr>
        <w:t>。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主要包括发展思路、基本原则和主要目标。</w:t>
      </w:r>
    </w:p>
    <w:p w14:paraId="53C98787">
      <w:pPr>
        <w:pStyle w:val="11"/>
        <w:spacing w:line="560" w:lineRule="exact"/>
        <w:ind w:firstLine="600" w:firstLineChars="200"/>
        <w:rPr>
          <w:rFonts w:ascii="Times New Roman" w:hAnsi="Times New Roman" w:eastAsia="仿宋_GB2312"/>
          <w:kern w:val="0"/>
          <w:sz w:val="30"/>
          <w:szCs w:val="30"/>
        </w:rPr>
      </w:pPr>
      <w:r>
        <w:rPr>
          <w:rFonts w:hint="eastAsia" w:ascii="Times New Roman" w:hAnsi="Times New Roman" w:eastAsia="仿宋_GB2312"/>
          <w:kern w:val="0"/>
          <w:sz w:val="30"/>
          <w:szCs w:val="30"/>
        </w:rPr>
        <w:t>指导思想，特别强调</w:t>
      </w:r>
      <w:r>
        <w:rPr>
          <w:rFonts w:ascii="Times New Roman" w:hAnsi="Times New Roman" w:eastAsia="仿宋_GB2312"/>
          <w:kern w:val="0"/>
          <w:sz w:val="30"/>
          <w:szCs w:val="30"/>
        </w:rPr>
        <w:t>锚定习近平新时代中国特色社会主义思想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，立足核心区功能定位，聚焦建设体育强区，充分发挥体育“为人民幸福生活助力，为社会发展</w:t>
      </w:r>
      <w:bookmarkStart w:id="9" w:name="_GoBack"/>
      <w:bookmarkEnd w:id="9"/>
      <w:r>
        <w:rPr>
          <w:rFonts w:hint="eastAsia" w:ascii="Times New Roman" w:hAnsi="Times New Roman" w:eastAsia="仿宋_GB2312"/>
          <w:kern w:val="0"/>
          <w:sz w:val="30"/>
          <w:szCs w:val="30"/>
        </w:rPr>
        <w:t>注能”功能，助力双奥国际赛事名城建设。</w:t>
      </w:r>
    </w:p>
    <w:p w14:paraId="2C2D5A76">
      <w:pPr>
        <w:pStyle w:val="11"/>
        <w:spacing w:line="560" w:lineRule="exact"/>
        <w:ind w:firstLine="600" w:firstLineChars="200"/>
        <w:rPr>
          <w:rFonts w:ascii="Times New Roman" w:hAnsi="Times New Roman" w:eastAsia="仿宋_GB2312"/>
          <w:kern w:val="0"/>
          <w:sz w:val="30"/>
          <w:szCs w:val="30"/>
        </w:rPr>
      </w:pPr>
      <w:r>
        <w:rPr>
          <w:rFonts w:hint="eastAsia" w:ascii="Times New Roman" w:hAnsi="Times New Roman" w:eastAsia="仿宋_GB2312"/>
          <w:kern w:val="0"/>
          <w:sz w:val="30"/>
          <w:szCs w:val="30"/>
        </w:rPr>
        <w:t>发展思路，一方面是巩固双核优势，持续增强群众体育与竞技体育核心优势，充分发挥东城特色的“群众体育+竞技体育”双螺旋发展模式；另一方面是发力体育产业新增长点，激活产业动能，把握体育消费、赛事经济与总部经济三大抓手，积极拓展“体育+”融合发展与创新实践。</w:t>
      </w:r>
    </w:p>
    <w:p w14:paraId="62F432E9">
      <w:pPr>
        <w:pStyle w:val="11"/>
        <w:spacing w:line="560" w:lineRule="exact"/>
        <w:ind w:firstLine="600" w:firstLineChars="200"/>
        <w:rPr>
          <w:rFonts w:ascii="Times New Roman" w:hAnsi="Times New Roman" w:eastAsia="仿宋_GB2312"/>
          <w:kern w:val="0"/>
          <w:sz w:val="30"/>
          <w:szCs w:val="30"/>
        </w:rPr>
      </w:pPr>
      <w:r>
        <w:rPr>
          <w:rFonts w:hint="eastAsia" w:ascii="Times New Roman" w:hAnsi="Times New Roman" w:eastAsia="仿宋_GB2312"/>
          <w:kern w:val="0"/>
          <w:sz w:val="30"/>
          <w:szCs w:val="30"/>
        </w:rPr>
        <w:t>发展原则，确立</w:t>
      </w:r>
      <w:r>
        <w:rPr>
          <w:rFonts w:ascii="Times New Roman" w:hAnsi="Times New Roman" w:eastAsia="仿宋_GB2312"/>
          <w:kern w:val="0"/>
          <w:sz w:val="30"/>
          <w:szCs w:val="30"/>
        </w:rPr>
        <w:t>人民至上、质量优先、健康为本、融合发展、创新驱动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等</w:t>
      </w:r>
      <w:r>
        <w:rPr>
          <w:rFonts w:ascii="Times New Roman" w:hAnsi="Times New Roman" w:eastAsia="仿宋_GB2312"/>
          <w:kern w:val="0"/>
          <w:sz w:val="30"/>
          <w:szCs w:val="30"/>
        </w:rPr>
        <w:t>五项原则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。</w:t>
      </w:r>
    </w:p>
    <w:p w14:paraId="4D5210E0">
      <w:pPr>
        <w:pStyle w:val="11"/>
        <w:spacing w:line="560" w:lineRule="exact"/>
        <w:ind w:firstLine="600" w:firstLineChars="200"/>
        <w:rPr>
          <w:rFonts w:ascii="Times New Roman" w:hAnsi="Times New Roman" w:eastAsia="仿宋_GB2312"/>
          <w:kern w:val="0"/>
          <w:sz w:val="30"/>
          <w:szCs w:val="30"/>
        </w:rPr>
      </w:pPr>
      <w:r>
        <w:rPr>
          <w:rFonts w:hint="eastAsia" w:ascii="Times New Roman" w:hAnsi="Times New Roman" w:eastAsia="仿宋_GB2312"/>
          <w:kern w:val="0"/>
          <w:sz w:val="30"/>
          <w:szCs w:val="30"/>
        </w:rPr>
        <w:t>主要目标，针对东城区体育强区建设，明确</w:t>
      </w:r>
      <w:r>
        <w:rPr>
          <w:rFonts w:ascii="Times New Roman" w:hAnsi="Times New Roman" w:eastAsia="仿宋_GB2312"/>
          <w:kern w:val="0"/>
          <w:sz w:val="30"/>
          <w:szCs w:val="30"/>
        </w:rPr>
        <w:t>全民健身、竞技体育、体育产业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三</w:t>
      </w:r>
      <w:r>
        <w:rPr>
          <w:rFonts w:ascii="Times New Roman" w:hAnsi="Times New Roman" w:eastAsia="仿宋_GB2312"/>
          <w:kern w:val="0"/>
          <w:sz w:val="30"/>
          <w:szCs w:val="30"/>
        </w:rPr>
        <w:t>大类共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6</w:t>
      </w:r>
      <w:r>
        <w:rPr>
          <w:rFonts w:ascii="Times New Roman" w:hAnsi="Times New Roman" w:eastAsia="仿宋_GB2312"/>
          <w:kern w:val="0"/>
          <w:sz w:val="30"/>
          <w:szCs w:val="30"/>
        </w:rPr>
        <w:t>项指导性指标</w:t>
      </w:r>
      <w:r>
        <w:rPr>
          <w:rFonts w:hint="eastAsia" w:ascii="Times New Roman" w:hAnsi="Times New Roman" w:eastAsia="仿宋_GB2312"/>
          <w:kern w:val="0"/>
          <w:sz w:val="30"/>
          <w:szCs w:val="30"/>
        </w:rPr>
        <w:t>。</w:t>
      </w:r>
    </w:p>
    <w:bookmarkEnd w:id="5"/>
    <w:p w14:paraId="605E415B">
      <w:pPr>
        <w:pStyle w:val="11"/>
        <w:spacing w:line="560" w:lineRule="exact"/>
        <w:ind w:firstLine="602" w:firstLineChars="200"/>
        <w:rPr>
          <w:rFonts w:ascii="Times New Roman" w:hAnsi="Times New Roman" w:eastAsia="仿宋_GB2312"/>
          <w:b/>
          <w:bCs/>
          <w:kern w:val="0"/>
          <w:sz w:val="30"/>
          <w:szCs w:val="30"/>
        </w:rPr>
      </w:pPr>
      <w:bookmarkStart w:id="7" w:name="OLE_LINK56"/>
      <w:r>
        <w:rPr>
          <w:rFonts w:ascii="Times New Roman" w:hAnsi="Times New Roman" w:eastAsia="仿宋_GB2312"/>
          <w:b/>
          <w:bCs/>
          <w:kern w:val="0"/>
          <w:sz w:val="30"/>
          <w:szCs w:val="30"/>
        </w:rPr>
        <w:t>第三</w:t>
      </w:r>
      <w:r>
        <w:rPr>
          <w:rFonts w:hint="eastAsia" w:ascii="Times New Roman" w:hAnsi="Times New Roman" w:eastAsia="仿宋_GB2312"/>
          <w:b/>
          <w:bCs/>
          <w:kern w:val="0"/>
          <w:sz w:val="30"/>
          <w:szCs w:val="30"/>
        </w:rPr>
        <w:t>部分</w:t>
      </w:r>
      <w:r>
        <w:rPr>
          <w:rFonts w:ascii="Times New Roman" w:hAnsi="Times New Roman" w:eastAsia="仿宋_GB2312"/>
          <w:b/>
          <w:bCs/>
          <w:kern w:val="0"/>
          <w:sz w:val="30"/>
          <w:szCs w:val="30"/>
        </w:rPr>
        <w:t>为重点任务，共四个方面</w:t>
      </w:r>
      <w:r>
        <w:rPr>
          <w:rFonts w:hint="eastAsia" w:ascii="Times New Roman" w:hAnsi="Times New Roman" w:eastAsia="仿宋_GB2312"/>
          <w:b/>
          <w:bCs/>
          <w:kern w:val="0"/>
          <w:sz w:val="30"/>
          <w:szCs w:val="30"/>
        </w:rPr>
        <w:t>。</w:t>
      </w:r>
    </w:p>
    <w:p w14:paraId="65D17449">
      <w:pPr>
        <w:pStyle w:val="11"/>
        <w:spacing w:line="560" w:lineRule="exact"/>
        <w:ind w:firstLine="602" w:firstLineChars="200"/>
        <w:rPr>
          <w:rFonts w:hint="eastAsia" w:ascii="Times New Roman" w:hAnsi="Times New Roman" w:eastAsia="仿宋_GB2312"/>
          <w:kern w:val="0"/>
          <w:sz w:val="30"/>
          <w:szCs w:val="30"/>
        </w:rPr>
      </w:pPr>
      <w:r>
        <w:rPr>
          <w:rFonts w:ascii="Times New Roman" w:hAnsi="Times New Roman" w:eastAsia="仿宋_GB2312"/>
          <w:b/>
          <w:bCs/>
          <w:kern w:val="0"/>
          <w:sz w:val="30"/>
          <w:szCs w:val="30"/>
        </w:rPr>
        <w:t>一是夯实全民健身模范区成果，构建更高水平公共服务体系。</w:t>
      </w:r>
      <w:r>
        <w:rPr>
          <w:rFonts w:ascii="Times New Roman" w:hAnsi="Times New Roman" w:eastAsia="仿宋_GB2312"/>
          <w:kern w:val="0"/>
          <w:sz w:val="30"/>
          <w:szCs w:val="30"/>
        </w:rPr>
        <w:t>涵盖4个方面18项重点任务，围绕完善顶层设计、优化设施供给、丰富赛事活动、促进全民健康，推动全民健身公共服务提质增效。编制实施新一轮全民健身实施计划，健全“区</w:t>
      </w:r>
      <w:r>
        <w:rPr>
          <w:rFonts w:hint="eastAsia" w:ascii="Times New Roman" w:hAnsi="Times New Roman" w:eastAsia="仿宋_GB2312"/>
          <w:kern w:val="0"/>
          <w:sz w:val="30"/>
          <w:szCs w:val="30"/>
          <w:lang w:eastAsia="zh-CN"/>
        </w:rPr>
        <w:t>—</w:t>
      </w:r>
      <w:r>
        <w:rPr>
          <w:rFonts w:ascii="Times New Roman" w:hAnsi="Times New Roman" w:eastAsia="仿宋_GB2312"/>
          <w:kern w:val="0"/>
          <w:sz w:val="30"/>
          <w:szCs w:val="30"/>
        </w:rPr>
        <w:t>街道</w:t>
      </w:r>
      <w:r>
        <w:rPr>
          <w:rFonts w:hint="eastAsia" w:ascii="Times New Roman" w:hAnsi="Times New Roman" w:eastAsia="仿宋_GB2312"/>
          <w:kern w:val="0"/>
          <w:sz w:val="30"/>
          <w:szCs w:val="30"/>
          <w:lang w:eastAsia="zh-CN"/>
        </w:rPr>
        <w:t>—</w:t>
      </w:r>
      <w:r>
        <w:rPr>
          <w:rFonts w:ascii="Times New Roman" w:hAnsi="Times New Roman" w:eastAsia="仿宋_GB2312"/>
          <w:kern w:val="0"/>
          <w:sz w:val="30"/>
          <w:szCs w:val="30"/>
        </w:rPr>
        <w:t>社区”三级组织体系，推进“六个身边”工程和“五有阵地”建设。持续推动“三中心一场馆”“三公园一中心”建设，利用“金角银边”等空间补充小型化、社区化健身设施，深化“京体通”平台应用，推动场馆智慧化升级和学校等内部体育设施有序开放。面向青年群体、文化传承和全民参与，完善多元赛事供给体系，培育街道特色赛事品牌。深化体卫融合，推进体质测试站点常态化开放，加强科学健身指导和志愿服务，构建“测试、评估、指导、训练、测评”服务闭环，提升运动促进健康服务水平。</w:t>
      </w:r>
    </w:p>
    <w:p w14:paraId="1BBF9F83">
      <w:pPr>
        <w:pStyle w:val="11"/>
        <w:spacing w:line="560" w:lineRule="exact"/>
        <w:ind w:firstLine="602" w:firstLineChars="200"/>
        <w:rPr>
          <w:rFonts w:hint="eastAsia" w:ascii="Times New Roman" w:hAnsi="Times New Roman" w:eastAsia="仿宋_GB2312"/>
          <w:kern w:val="0"/>
          <w:sz w:val="30"/>
          <w:szCs w:val="30"/>
        </w:rPr>
      </w:pPr>
      <w:bookmarkStart w:id="8" w:name="OLE_LINK39"/>
      <w:r>
        <w:rPr>
          <w:rFonts w:ascii="Times New Roman" w:hAnsi="Times New Roman" w:eastAsia="仿宋_GB2312"/>
          <w:b/>
          <w:bCs/>
          <w:kern w:val="0"/>
          <w:sz w:val="30"/>
          <w:szCs w:val="30"/>
        </w:rPr>
        <w:t>二是推进新型青训体系建设，增强竞技体育发展动能。</w:t>
      </w:r>
      <w:r>
        <w:rPr>
          <w:rFonts w:ascii="Times New Roman" w:hAnsi="Times New Roman" w:eastAsia="仿宋_GB2312"/>
          <w:kern w:val="0"/>
          <w:sz w:val="30"/>
          <w:szCs w:val="30"/>
        </w:rPr>
        <w:t>涵盖4个方面16项重点任务，围绕基地引领、人才培养、科技保障和体教融合，构建具有东城特色的新型青训体系。以“国家奥运后备人才梯队”共建为牵引，推进国家奥运后备人才基地建设，制定竞技体育高质量发展专项行动计划。优化运动项目布局，巩固传统优势项目，补齐集体球类项目短板，拓展新兴奥运项目，夯实青少年三大球发展基础，推进足球青训中心建设。加快体校转型升级，完善“1248一条龙”训练升学体系，探索“校队市办”等协同育人模式，规范引导社会力量参与，拓宽后备人才培养渠道，加强教练员等专业人才队伍建设。强化科学选材、训练评测等科技支撑，推进训练器材更新和场地改造。健全体教融合运行机制，加强传统项目学校建设，整合社会资源，完善班级、年级、校级、区级竞赛体系，推动青少年体育普及与竞技人才培养相互促进。</w:t>
      </w:r>
    </w:p>
    <w:bookmarkEnd w:id="8"/>
    <w:p w14:paraId="616285B6">
      <w:pPr>
        <w:pStyle w:val="11"/>
        <w:spacing w:line="560" w:lineRule="exact"/>
        <w:ind w:firstLine="602" w:firstLineChars="200"/>
        <w:rPr>
          <w:rFonts w:hint="eastAsia" w:ascii="Times New Roman" w:hAnsi="Times New Roman" w:eastAsia="仿宋_GB2312"/>
          <w:kern w:val="0"/>
          <w:sz w:val="30"/>
          <w:szCs w:val="30"/>
        </w:rPr>
      </w:pPr>
      <w:r>
        <w:rPr>
          <w:rFonts w:ascii="Times New Roman" w:hAnsi="Times New Roman" w:eastAsia="仿宋_GB2312"/>
          <w:b/>
          <w:bCs/>
          <w:kern w:val="0"/>
          <w:sz w:val="30"/>
          <w:szCs w:val="30"/>
        </w:rPr>
        <w:t>三是发挥区域资源优势，激发体育产业活力。</w:t>
      </w:r>
      <w:r>
        <w:rPr>
          <w:rFonts w:ascii="Times New Roman" w:hAnsi="Times New Roman" w:eastAsia="仿宋_GB2312"/>
          <w:kern w:val="0"/>
          <w:sz w:val="30"/>
          <w:szCs w:val="30"/>
        </w:rPr>
        <w:t>涵盖3个方面9项重点任务，围绕产业集聚、消费提振和融合创新，培育体育产业发展新动能。发挥国家体育总局驻地优势，强化常态化工作联动与政策协同，激活体育馆路及周边区域承载力，引进体育高端企业、国际体育机构和创新型主体，推动总部经济、专业服务与商贸业态协同发展。构建覆盖社区、街区、商圈的体育消费空间体系，增加健身休闲、培训教育、康复健康等优质服务供给，推进体育赛事进景区、进街区、进商圈，发挥票根经济和“8·8”体育消费节的消费牵引作用。依托中轴线、特色商圈和文博资源，推动文商旅体展协同发展，培育体卫融合服务产业链，拓展人工智能、大数据等技术应用，丰富体育消费新业态、新模式、新场景。</w:t>
      </w:r>
    </w:p>
    <w:p w14:paraId="1CC46F34">
      <w:pPr>
        <w:pStyle w:val="11"/>
        <w:spacing w:line="560" w:lineRule="exact"/>
        <w:ind w:firstLine="602" w:firstLineChars="200"/>
        <w:rPr>
          <w:rFonts w:hint="eastAsia" w:ascii="Times New Roman" w:hAnsi="Times New Roman" w:eastAsia="仿宋_GB2312"/>
          <w:kern w:val="0"/>
          <w:sz w:val="30"/>
          <w:szCs w:val="30"/>
        </w:rPr>
      </w:pPr>
      <w:r>
        <w:rPr>
          <w:rFonts w:ascii="Times New Roman" w:hAnsi="Times New Roman" w:eastAsia="仿宋_GB2312"/>
          <w:b/>
          <w:bCs/>
          <w:kern w:val="0"/>
          <w:sz w:val="30"/>
          <w:szCs w:val="30"/>
        </w:rPr>
        <w:t>四是加大行业监管力度，服务市场健康发展。</w:t>
      </w:r>
      <w:r>
        <w:rPr>
          <w:rFonts w:ascii="Times New Roman" w:hAnsi="Times New Roman" w:eastAsia="仿宋_GB2312"/>
          <w:kern w:val="0"/>
          <w:sz w:val="30"/>
          <w:szCs w:val="30"/>
        </w:rPr>
        <w:t>涵盖4个方面4项重点任务，围绕主体责任、制度落实、行政检查和智慧监管，提升行业治理效能。督促体育经营单位健全安全生产责任制和规章制度，强化隐患排查、教育培训和应急演练，推动重大隐患动态清零。聚焦高危险性体育项目、青少年培训等重点领域，科学制定检查计划，统筹现场与非现场检查、全面与重点检查，提高监管精准性和有效性。探索建立网络监管平台，推进非现场行政检查，加强预付费资金监管，维护群众合法权益，持续优化体育市场发展环境。</w:t>
      </w:r>
    </w:p>
    <w:bookmarkEnd w:id="7"/>
    <w:p w14:paraId="17DCD2F6">
      <w:pPr>
        <w:pStyle w:val="11"/>
        <w:spacing w:line="560" w:lineRule="exact"/>
        <w:ind w:firstLine="602" w:firstLineChars="200"/>
        <w:rPr>
          <w:rFonts w:ascii="Times New Roman" w:hAnsi="Times New Roman" w:eastAsia="仿宋_GB2312"/>
          <w:kern w:val="0"/>
          <w:sz w:val="30"/>
          <w:szCs w:val="30"/>
        </w:rPr>
      </w:pPr>
      <w:r>
        <w:rPr>
          <w:rFonts w:ascii="Times New Roman" w:hAnsi="Times New Roman" w:eastAsia="仿宋_GB2312"/>
          <w:b/>
          <w:bCs/>
          <w:kern w:val="0"/>
          <w:sz w:val="30"/>
          <w:szCs w:val="30"/>
        </w:rPr>
        <w:t>第四</w:t>
      </w:r>
      <w:r>
        <w:rPr>
          <w:rFonts w:hint="eastAsia" w:ascii="Times New Roman" w:hAnsi="Times New Roman" w:eastAsia="仿宋_GB2312"/>
          <w:b/>
          <w:bCs/>
          <w:kern w:val="0"/>
          <w:sz w:val="30"/>
          <w:szCs w:val="30"/>
        </w:rPr>
        <w:t>部分</w:t>
      </w:r>
      <w:r>
        <w:rPr>
          <w:rFonts w:ascii="Times New Roman" w:hAnsi="Times New Roman" w:eastAsia="仿宋_GB2312"/>
          <w:b/>
          <w:bCs/>
          <w:kern w:val="0"/>
          <w:sz w:val="30"/>
          <w:szCs w:val="30"/>
        </w:rPr>
        <w:t>为保障措施。</w:t>
      </w:r>
      <w:r>
        <w:rPr>
          <w:rFonts w:ascii="Times New Roman" w:hAnsi="Times New Roman" w:eastAsia="仿宋_GB2312"/>
          <w:kern w:val="0"/>
          <w:sz w:val="30"/>
          <w:szCs w:val="30"/>
        </w:rPr>
        <w:t>从加强组织领导、完善规划实施机制、优化资源要素保障、加强实施监督考核四个方面提出保障举措。健全跨部门协同机制，做好与上位规划衔接；强化财政、社会资本、人才、用地要素保障；实行规划中期第三方评估，主动接受社会监督，保障规划各项任务落地实施。</w:t>
      </w:r>
    </w:p>
    <w:p w14:paraId="0D95EB7B">
      <w:pPr>
        <w:rPr>
          <w:rFonts w:hint="eastAsia"/>
        </w:rPr>
      </w:pPr>
    </w:p>
    <w:sectPr>
      <w:footerReference r:id="rId5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altName w:val="汇文明朝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汇文明朝体">
    <w:panose1 w:val="02000600000000000000"/>
    <w:charset w:val="80"/>
    <w:family w:val="auto"/>
    <w:pitch w:val="default"/>
    <w:sig w:usb0="800002D7" w:usb1="1A4F6C50" w:usb2="00000010" w:usb3="00000000" w:csb0="0002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E2E2B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CD69D9"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CD69D9"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0A8"/>
    <w:rsid w:val="00054A2C"/>
    <w:rsid w:val="00064010"/>
    <w:rsid w:val="0025770E"/>
    <w:rsid w:val="0026709F"/>
    <w:rsid w:val="002A1C73"/>
    <w:rsid w:val="002F10A8"/>
    <w:rsid w:val="00355708"/>
    <w:rsid w:val="00356B88"/>
    <w:rsid w:val="00366D33"/>
    <w:rsid w:val="003B35F4"/>
    <w:rsid w:val="003C5D1A"/>
    <w:rsid w:val="003C6F0A"/>
    <w:rsid w:val="004141BF"/>
    <w:rsid w:val="00462D63"/>
    <w:rsid w:val="0048554F"/>
    <w:rsid w:val="004D02A7"/>
    <w:rsid w:val="00516449"/>
    <w:rsid w:val="00593477"/>
    <w:rsid w:val="005D3C99"/>
    <w:rsid w:val="00641367"/>
    <w:rsid w:val="006967D9"/>
    <w:rsid w:val="007270CD"/>
    <w:rsid w:val="007B03C2"/>
    <w:rsid w:val="007D5C0B"/>
    <w:rsid w:val="008413F0"/>
    <w:rsid w:val="00856D30"/>
    <w:rsid w:val="00866661"/>
    <w:rsid w:val="008A299F"/>
    <w:rsid w:val="009447A4"/>
    <w:rsid w:val="009568BB"/>
    <w:rsid w:val="00997C36"/>
    <w:rsid w:val="00A12C57"/>
    <w:rsid w:val="00A60EA2"/>
    <w:rsid w:val="00A76B98"/>
    <w:rsid w:val="00B439D9"/>
    <w:rsid w:val="00C30A3F"/>
    <w:rsid w:val="00C84922"/>
    <w:rsid w:val="00CB27D8"/>
    <w:rsid w:val="00D461D5"/>
    <w:rsid w:val="00D615C5"/>
    <w:rsid w:val="00D8248B"/>
    <w:rsid w:val="00DA3059"/>
    <w:rsid w:val="00E73272"/>
    <w:rsid w:val="00EA20B9"/>
    <w:rsid w:val="00F277F2"/>
    <w:rsid w:val="00F77A36"/>
    <w:rsid w:val="00FD7E96"/>
    <w:rsid w:val="065564A8"/>
    <w:rsid w:val="077B70F0"/>
    <w:rsid w:val="290E4722"/>
    <w:rsid w:val="36EF1705"/>
    <w:rsid w:val="38CD19F8"/>
    <w:rsid w:val="564A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Plain Text"/>
    <w:basedOn w:val="1"/>
    <w:next w:val="1"/>
    <w:link w:val="36"/>
    <w:qFormat/>
    <w:uiPriority w:val="0"/>
    <w:pPr>
      <w:suppressAutoHyphens/>
      <w:spacing w:after="0" w:line="240" w:lineRule="auto"/>
      <w:jc w:val="both"/>
    </w:pPr>
    <w:rPr>
      <w:rFonts w:ascii="宋体" w:hAnsi="Courier New" w:eastAsia="宋体" w:cs="Times New Roman"/>
      <w:sz w:val="21"/>
      <w14:ligatures w14:val="none"/>
    </w:rPr>
  </w:style>
  <w:style w:type="paragraph" w:styleId="12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纯文本 字符"/>
    <w:basedOn w:val="17"/>
    <w:link w:val="11"/>
    <w:uiPriority w:val="0"/>
    <w:rPr>
      <w:rFonts w:ascii="宋体" w:hAnsi="Courier New" w:eastAsia="宋体" w:cs="Times New Roman"/>
      <w:sz w:val="21"/>
      <w14:ligatures w14:val="none"/>
    </w:rPr>
  </w:style>
  <w:style w:type="character" w:customStyle="1" w:styleId="37">
    <w:name w:val="页眉 字符"/>
    <w:basedOn w:val="17"/>
    <w:link w:val="13"/>
    <w:uiPriority w:val="99"/>
    <w:rPr>
      <w:sz w:val="18"/>
      <w:szCs w:val="18"/>
    </w:rPr>
  </w:style>
  <w:style w:type="character" w:customStyle="1" w:styleId="38">
    <w:name w:val="页脚 字符"/>
    <w:basedOn w:val="17"/>
    <w:link w:val="1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2638</Words>
  <Characters>2675</Characters>
  <Lines>19</Lines>
  <Paragraphs>5</Paragraphs>
  <TotalTime>2</TotalTime>
  <ScaleCrop>false</ScaleCrop>
  <LinksUpToDate>false</LinksUpToDate>
  <CharactersWithSpaces>2675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2026-10-13T03:07:00Z</dcterms:created>
  <dc:creator>H100730@365mmt.com</dc:creator>
  <cp:lastModifiedBy>zzz</cp:lastModifiedBy>
  <dcterms:modified xsi:type="dcterms:W3CDTF">2026-10-16T01:39:10Z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eyJoZGlkIjoiYmEwZTQ4NDI1NjE3OWVjOWJlMzkyOTE0NzA0MTczMDgiLCJ1c2VySWQiOiIzMTk1NDIwOTAifQ==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A0732FC3020B423AAB24EE72A0318B8B_12</vt:lpwstr>
  </property>
</Properties>
</file>