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560"/>
        <w:rPr>
          <w:rFonts w:hint="eastAsia"/>
        </w:rPr>
      </w:pPr>
    </w:p>
    <w:p>
      <w:pPr>
        <w:ind w:firstLine="560"/>
        <w:rPr>
          <w:rFonts w:hint="eastAsia"/>
        </w:rPr>
      </w:pPr>
    </w:p>
    <w:p>
      <w:pPr>
        <w:ind w:firstLine="560"/>
        <w:rPr>
          <w:rFonts w:hint="eastAsia"/>
        </w:rPr>
      </w:pPr>
    </w:p>
    <w:p>
      <w:pPr>
        <w:ind w:firstLine="0" w:firstLineChars="0"/>
        <w:jc w:val="center"/>
        <w:rPr>
          <w:rFonts w:hint="eastAsia" w:ascii="方正小标宋简体" w:hAnsi="方正小标宋简体" w:eastAsia="方正小标宋简体" w:cs="方正小标宋简体"/>
          <w:sz w:val="44"/>
        </w:rPr>
      </w:pPr>
    </w:p>
    <w:p>
      <w:pPr>
        <w:ind w:firstLine="0" w:firstLineChars="0"/>
        <w:jc w:val="center"/>
        <w:rPr>
          <w:rFonts w:hint="eastAsia" w:ascii="黑体" w:hAnsi="黑体" w:eastAsia="黑体" w:cs="方正小标宋简体"/>
          <w:sz w:val="44"/>
        </w:rPr>
      </w:pPr>
      <w:r>
        <w:rPr>
          <w:rFonts w:hint="eastAsia" w:ascii="黑体" w:hAnsi="黑体" w:eastAsia="黑体" w:cs="方正小标宋简体"/>
          <w:sz w:val="44"/>
        </w:rPr>
        <w:t>“十五五”时期东城区体育事业和</w:t>
      </w:r>
    </w:p>
    <w:p>
      <w:pPr>
        <w:ind w:firstLine="0" w:firstLineChars="0"/>
        <w:jc w:val="center"/>
        <w:rPr>
          <w:rFonts w:hint="eastAsia" w:ascii="黑体" w:hAnsi="黑体" w:eastAsia="黑体" w:cs="方正小标宋简体"/>
          <w:sz w:val="44"/>
        </w:rPr>
      </w:pPr>
      <w:r>
        <w:rPr>
          <w:rFonts w:hint="eastAsia" w:ascii="黑体" w:hAnsi="黑体" w:eastAsia="黑体" w:cs="方正小标宋简体"/>
          <w:sz w:val="44"/>
        </w:rPr>
        <w:t>体育产业发展规划</w:t>
      </w:r>
    </w:p>
    <w:p>
      <w:pPr>
        <w:ind w:firstLine="0" w:firstLineChars="0"/>
        <w:jc w:val="center"/>
        <w:rPr>
          <w:rFonts w:hint="eastAsia" w:hAnsi="方正小标宋简体" w:cs="方正小标宋简体"/>
          <w:sz w:val="44"/>
        </w:rPr>
      </w:pPr>
    </w:p>
    <w:p>
      <w:pPr>
        <w:ind w:firstLine="0" w:firstLineChars="0"/>
        <w:jc w:val="center"/>
        <w:rPr>
          <w:rFonts w:hint="eastAsia" w:ascii="楷体_GB2312" w:eastAsia="楷体_GB2312"/>
          <w:sz w:val="44"/>
        </w:rPr>
      </w:pPr>
      <w:r>
        <w:rPr>
          <w:rFonts w:hint="eastAsia" w:ascii="楷体_GB2312" w:eastAsia="楷体_GB2312"/>
          <w:sz w:val="44"/>
        </w:rPr>
        <w:t>（</w:t>
      </w:r>
      <w:r>
        <w:rPr>
          <w:rFonts w:hint="eastAsia" w:ascii="楷体_GB2312" w:eastAsia="楷体_GB2312"/>
          <w:sz w:val="44"/>
          <w:lang w:eastAsia="zh-CN"/>
        </w:rPr>
        <w:t>征求意见</w:t>
      </w:r>
      <w:r>
        <w:rPr>
          <w:rFonts w:hint="eastAsia" w:ascii="楷体_GB2312" w:eastAsia="楷体_GB2312"/>
          <w:sz w:val="44"/>
        </w:rPr>
        <w:t>稿）</w:t>
      </w:r>
    </w:p>
    <w:p>
      <w:pPr>
        <w:ind w:firstLine="560"/>
        <w:rPr>
          <w:rFonts w:hint="eastAsia"/>
        </w:rPr>
      </w:pPr>
    </w:p>
    <w:p>
      <w:pPr>
        <w:ind w:firstLine="560"/>
        <w:rPr>
          <w:rFonts w:hint="eastAsia"/>
        </w:rPr>
      </w:pPr>
    </w:p>
    <w:p>
      <w:pPr>
        <w:ind w:firstLine="560"/>
        <w:rPr>
          <w:rFonts w:hint="eastAsia"/>
        </w:rPr>
      </w:pPr>
    </w:p>
    <w:p>
      <w:pPr>
        <w:ind w:firstLine="560"/>
        <w:rPr>
          <w:rFonts w:hint="eastAsia"/>
        </w:rPr>
      </w:pPr>
    </w:p>
    <w:p>
      <w:pPr>
        <w:ind w:firstLine="560"/>
        <w:rPr>
          <w:rFonts w:hint="eastAsia"/>
        </w:rPr>
      </w:pPr>
    </w:p>
    <w:p>
      <w:pPr>
        <w:ind w:firstLine="560"/>
        <w:rPr>
          <w:rFonts w:hint="eastAsia"/>
        </w:rPr>
      </w:pPr>
    </w:p>
    <w:p>
      <w:pPr>
        <w:ind w:firstLine="560"/>
        <w:rPr>
          <w:rFonts w:hint="eastAsia"/>
        </w:rPr>
      </w:pPr>
    </w:p>
    <w:p>
      <w:pPr>
        <w:ind w:firstLine="0" w:firstLineChars="0"/>
        <w:jc w:val="center"/>
        <w:rPr>
          <w:rFonts w:hint="eastAsia" w:ascii="黑体" w:hAnsi="黑体" w:eastAsia="黑体" w:cs="方正小标宋简体"/>
        </w:rPr>
      </w:pPr>
      <w:r>
        <w:rPr>
          <w:rFonts w:hint="eastAsia" w:ascii="黑体" w:hAnsi="黑体" w:eastAsia="黑体" w:cs="方正小标宋简体"/>
        </w:rPr>
        <w:t>北京市东城区体育局</w:t>
      </w:r>
    </w:p>
    <w:p>
      <w:pPr>
        <w:ind w:firstLine="0" w:firstLineChars="0"/>
        <w:jc w:val="center"/>
        <w:rPr>
          <w:rFonts w:hint="eastAsia" w:ascii="黑体" w:hAnsi="黑体" w:eastAsia="黑体" w:cs="方正小标宋简体"/>
        </w:rPr>
      </w:pPr>
      <w:r>
        <w:rPr>
          <w:rFonts w:hint="eastAsia" w:ascii="黑体" w:hAnsi="黑体" w:eastAsia="黑体" w:cs="方正小标宋简体"/>
        </w:rPr>
        <w:t>二〇二六年</w:t>
      </w:r>
      <w:r>
        <w:rPr>
          <w:rFonts w:hint="eastAsia" w:ascii="黑体" w:hAnsi="黑体" w:eastAsia="黑体" w:cs="方正小标宋简体"/>
          <w:lang w:eastAsia="zh-CN"/>
        </w:rPr>
        <w:t>十</w:t>
      </w:r>
      <w:bookmarkStart w:id="35" w:name="_GoBack"/>
      <w:bookmarkEnd w:id="35"/>
      <w:r>
        <w:rPr>
          <w:rFonts w:hint="eastAsia" w:ascii="黑体" w:hAnsi="黑体" w:eastAsia="黑体" w:cs="方正小标宋简体"/>
        </w:rPr>
        <w:t>月</w:t>
      </w:r>
    </w:p>
    <w:p>
      <w:pPr>
        <w:ind w:firstLine="0" w:firstLineChars="0"/>
        <w:rPr>
          <w:rFonts w:hint="eastAsia"/>
        </w:rPr>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851" w:footer="992" w:gutter="0"/>
          <w:cols w:space="425" w:num="1"/>
          <w:docGrid w:type="lines" w:linePitch="312" w:charSpace="0"/>
        </w:sectPr>
      </w:pPr>
      <w:r>
        <w:br w:type="page"/>
      </w:r>
    </w:p>
    <w:sdt>
      <w:sdtPr>
        <w:rPr>
          <w:rFonts w:ascii="楷体_GB2312" w:eastAsia="楷体_GB2312"/>
          <w:smallCaps/>
          <w:kern w:val="0"/>
          <w:lang w:val="zh-CN"/>
        </w:rPr>
        <w:id w:val="1780447709"/>
      </w:sdtPr>
      <w:sdtEndPr>
        <w:rPr>
          <w:rFonts w:ascii="楷体_GB2312" w:eastAsia="楷体_GB2312"/>
          <w:b/>
          <w:smallCaps/>
          <w:kern w:val="0"/>
          <w:lang w:val="zh-CN"/>
        </w:rPr>
      </w:sdtEndPr>
      <w:sdtContent>
        <w:p>
          <w:pPr>
            <w:spacing w:before="312" w:beforeLines="100" w:after="312" w:afterLines="100" w:line="500" w:lineRule="exact"/>
            <w:ind w:firstLine="0" w:firstLineChars="0"/>
            <w:jc w:val="center"/>
            <w:rPr>
              <w:rFonts w:hint="eastAsia" w:ascii="黑体" w:hAnsi="黑体" w:eastAsia="黑体"/>
              <w:sz w:val="32"/>
              <w:lang w:val="zh-CN"/>
            </w:rPr>
          </w:pPr>
          <w:bookmarkStart w:id="0" w:name="_Toc3726590"/>
          <w:bookmarkStart w:id="1" w:name="_Toc3725375"/>
          <w:r>
            <w:rPr>
              <w:rFonts w:ascii="黑体" w:hAnsi="黑体" w:eastAsia="黑体"/>
              <w:sz w:val="32"/>
              <w:lang w:val="zh-CN"/>
            </w:rPr>
            <w:t>目</w:t>
          </w:r>
          <w:r>
            <w:rPr>
              <w:rFonts w:hint="eastAsia" w:ascii="黑体" w:hAnsi="黑体" w:eastAsia="黑体"/>
              <w:sz w:val="32"/>
              <w:lang w:val="zh-CN"/>
            </w:rPr>
            <w:t xml:space="preserve">  </w:t>
          </w:r>
          <w:r>
            <w:rPr>
              <w:rFonts w:ascii="黑体" w:hAnsi="黑体" w:eastAsia="黑体"/>
              <w:sz w:val="32"/>
              <w:lang w:val="zh-CN"/>
            </w:rPr>
            <w:t>录</w:t>
          </w:r>
          <w:bookmarkEnd w:id="0"/>
          <w:bookmarkEnd w:id="1"/>
        </w:p>
        <w:p>
          <w:pPr>
            <w:pStyle w:val="13"/>
            <w:rPr>
              <w:rFonts w:hint="eastAsia" w:asciiTheme="minorHAnsi" w:hAnsiTheme="minorHAnsi" w:eastAsiaTheme="minorEastAsia" w:cstheme="minorBidi"/>
              <w:bCs w:val="0"/>
              <w:caps w:val="0"/>
              <w:kern w:val="2"/>
              <w:sz w:val="22"/>
              <w:szCs w:val="24"/>
              <w14:ligatures w14:val="standardContextual"/>
            </w:rPr>
          </w:pPr>
          <w:r>
            <w:rPr>
              <w:rFonts w:eastAsia="宋体"/>
              <w:sz w:val="24"/>
              <w:szCs w:val="24"/>
              <w:lang w:val="zh-CN"/>
            </w:rPr>
            <w:fldChar w:fldCharType="begin"/>
          </w:r>
          <w:r>
            <w:rPr>
              <w:rFonts w:eastAsia="宋体"/>
              <w:sz w:val="24"/>
              <w:szCs w:val="24"/>
              <w:lang w:val="zh-CN"/>
            </w:rPr>
            <w:instrText xml:space="preserve"> TOC \o "1-2" \h \z \u </w:instrText>
          </w:r>
          <w:r>
            <w:rPr>
              <w:rFonts w:eastAsia="宋体"/>
              <w:sz w:val="24"/>
              <w:szCs w:val="24"/>
              <w:lang w:val="zh-CN"/>
            </w:rPr>
            <w:fldChar w:fldCharType="separate"/>
          </w:r>
          <w:r>
            <w:fldChar w:fldCharType="begin"/>
          </w:r>
          <w:r>
            <w:instrText xml:space="preserve"> HYPERLINK \l "_Toc219116688" </w:instrText>
          </w:r>
          <w:r>
            <w:fldChar w:fldCharType="separate"/>
          </w:r>
          <w:r>
            <w:rPr>
              <w:rStyle w:val="23"/>
              <w:rFonts w:hint="eastAsia"/>
            </w:rPr>
            <w:t>第一章规划背景</w:t>
          </w:r>
          <w:r>
            <w:rPr>
              <w:rFonts w:hint="eastAsia"/>
            </w:rPr>
            <w:tab/>
          </w:r>
          <w:r>
            <w:rPr>
              <w:rFonts w:hint="eastAsia"/>
            </w:rPr>
            <w:fldChar w:fldCharType="begin"/>
          </w:r>
          <w:r>
            <w:rPr>
              <w:rFonts w:hint="eastAsia"/>
            </w:rPr>
            <w:instrText xml:space="preserve"> </w:instrText>
          </w:r>
          <w:r>
            <w:instrText xml:space="preserve">PAGEREF _Toc219116688 \h</w:instrText>
          </w:r>
          <w:r>
            <w:rPr>
              <w:rFonts w:hint="eastAsia"/>
            </w:rPr>
            <w:instrText xml:space="preserve"> </w:instrText>
          </w:r>
          <w:r>
            <w:rPr>
              <w:rFonts w:hint="eastAsia"/>
            </w:rPr>
            <w:fldChar w:fldCharType="separate"/>
          </w:r>
          <w:r>
            <w:t>1</w:t>
          </w:r>
          <w:r>
            <w:rPr>
              <w:rFonts w:hint="eastAsia"/>
            </w:rPr>
            <w:fldChar w:fldCharType="end"/>
          </w:r>
          <w:r>
            <w:rPr>
              <w:rFonts w:hint="eastAsia"/>
            </w:rPr>
            <w:fldChar w:fldCharType="end"/>
          </w:r>
        </w:p>
        <w:p>
          <w:pPr>
            <w:pStyle w:val="15"/>
            <w:tabs>
              <w:tab w:val="right" w:leader="dot" w:pos="8835"/>
            </w:tabs>
            <w:rPr>
              <w:rFonts w:hint="eastAsia" w:asciiTheme="minorHAnsi" w:hAnsiTheme="minorHAnsi" w:eastAsiaTheme="minorEastAsia" w:cstheme="minorBidi"/>
              <w:smallCaps w:val="0"/>
              <w:kern w:val="2"/>
              <w:sz w:val="22"/>
              <w:szCs w:val="24"/>
              <w14:ligatures w14:val="standardContextual"/>
            </w:rPr>
          </w:pPr>
          <w:r>
            <w:fldChar w:fldCharType="begin"/>
          </w:r>
          <w:r>
            <w:instrText xml:space="preserve"> HYPERLINK \l "_Toc219116689" </w:instrText>
          </w:r>
          <w:r>
            <w:fldChar w:fldCharType="separate"/>
          </w:r>
          <w:r>
            <w:rPr>
              <w:rStyle w:val="23"/>
              <w:rFonts w:hint="eastAsia"/>
            </w:rPr>
            <w:t>一、“十四五”时期东城区体育发展成果</w:t>
          </w:r>
          <w:r>
            <w:rPr>
              <w:rFonts w:hint="eastAsia"/>
            </w:rPr>
            <w:tab/>
          </w:r>
          <w:r>
            <w:rPr>
              <w:rFonts w:hint="eastAsia"/>
            </w:rPr>
            <w:fldChar w:fldCharType="begin"/>
          </w:r>
          <w:r>
            <w:rPr>
              <w:rFonts w:hint="eastAsia"/>
            </w:rPr>
            <w:instrText xml:space="preserve"> </w:instrText>
          </w:r>
          <w:r>
            <w:instrText xml:space="preserve">PAGEREF _Toc219116689 \h</w:instrText>
          </w:r>
          <w:r>
            <w:rPr>
              <w:rFonts w:hint="eastAsia"/>
            </w:rPr>
            <w:instrText xml:space="preserve"> </w:instrText>
          </w:r>
          <w:r>
            <w:rPr>
              <w:rFonts w:hint="eastAsia"/>
            </w:rPr>
            <w:fldChar w:fldCharType="separate"/>
          </w:r>
          <w:r>
            <w:t>1</w:t>
          </w:r>
          <w:r>
            <w:rPr>
              <w:rFonts w:hint="eastAsia"/>
            </w:rPr>
            <w:fldChar w:fldCharType="end"/>
          </w:r>
          <w:r>
            <w:rPr>
              <w:rFonts w:hint="eastAsia"/>
            </w:rPr>
            <w:fldChar w:fldCharType="end"/>
          </w:r>
        </w:p>
        <w:p>
          <w:pPr>
            <w:pStyle w:val="15"/>
            <w:tabs>
              <w:tab w:val="right" w:leader="dot" w:pos="8835"/>
            </w:tabs>
            <w:rPr>
              <w:rFonts w:hint="eastAsia" w:asciiTheme="minorHAnsi" w:hAnsiTheme="minorHAnsi" w:eastAsiaTheme="minorEastAsia" w:cstheme="minorBidi"/>
              <w:smallCaps w:val="0"/>
              <w:kern w:val="2"/>
              <w:sz w:val="22"/>
              <w:szCs w:val="24"/>
              <w14:ligatures w14:val="standardContextual"/>
            </w:rPr>
          </w:pPr>
          <w:r>
            <w:fldChar w:fldCharType="begin"/>
          </w:r>
          <w:r>
            <w:instrText xml:space="preserve"> HYPERLINK \l "_Toc219116690" </w:instrText>
          </w:r>
          <w:r>
            <w:fldChar w:fldCharType="separate"/>
          </w:r>
          <w:r>
            <w:rPr>
              <w:rStyle w:val="23"/>
              <w:rFonts w:hint="eastAsia"/>
            </w:rPr>
            <w:t>二、“十五五”时期东城区体育发展面临的机遇与挑战</w:t>
          </w:r>
          <w:r>
            <w:rPr>
              <w:rFonts w:hint="eastAsia"/>
            </w:rPr>
            <w:tab/>
          </w:r>
          <w:r>
            <w:rPr>
              <w:rFonts w:hint="eastAsia"/>
            </w:rPr>
            <w:fldChar w:fldCharType="begin"/>
          </w:r>
          <w:r>
            <w:rPr>
              <w:rFonts w:hint="eastAsia"/>
            </w:rPr>
            <w:instrText xml:space="preserve"> </w:instrText>
          </w:r>
          <w:r>
            <w:instrText xml:space="preserve">PAGEREF _Toc219116690 \h</w:instrText>
          </w:r>
          <w:r>
            <w:rPr>
              <w:rFonts w:hint="eastAsia"/>
            </w:rPr>
            <w:instrText xml:space="preserve"> </w:instrText>
          </w:r>
          <w:r>
            <w:rPr>
              <w:rFonts w:hint="eastAsia"/>
            </w:rPr>
            <w:fldChar w:fldCharType="separate"/>
          </w:r>
          <w:r>
            <w:t>4</w:t>
          </w:r>
          <w:r>
            <w:rPr>
              <w:rFonts w:hint="eastAsia"/>
            </w:rPr>
            <w:fldChar w:fldCharType="end"/>
          </w:r>
          <w:r>
            <w:rPr>
              <w:rFonts w:hint="eastAsia"/>
            </w:rPr>
            <w:fldChar w:fldCharType="end"/>
          </w:r>
        </w:p>
        <w:p>
          <w:pPr>
            <w:pStyle w:val="13"/>
            <w:rPr>
              <w:rFonts w:hint="eastAsia" w:asciiTheme="minorHAnsi" w:hAnsiTheme="minorHAnsi" w:eastAsiaTheme="minorEastAsia" w:cstheme="minorBidi"/>
              <w:bCs w:val="0"/>
              <w:caps w:val="0"/>
              <w:kern w:val="2"/>
              <w:sz w:val="22"/>
              <w:szCs w:val="24"/>
              <w14:ligatures w14:val="standardContextual"/>
            </w:rPr>
          </w:pPr>
          <w:r>
            <w:fldChar w:fldCharType="begin"/>
          </w:r>
          <w:r>
            <w:instrText xml:space="preserve"> HYPERLINK \l "_Toc219116691" </w:instrText>
          </w:r>
          <w:r>
            <w:fldChar w:fldCharType="separate"/>
          </w:r>
          <w:r>
            <w:rPr>
              <w:rStyle w:val="23"/>
              <w:rFonts w:hint="eastAsia"/>
            </w:rPr>
            <w:t>第二章总体战略</w:t>
          </w:r>
          <w:r>
            <w:rPr>
              <w:rFonts w:hint="eastAsia"/>
            </w:rPr>
            <w:tab/>
          </w:r>
          <w:r>
            <w:rPr>
              <w:rFonts w:hint="eastAsia"/>
            </w:rPr>
            <w:fldChar w:fldCharType="begin"/>
          </w:r>
          <w:r>
            <w:rPr>
              <w:rFonts w:hint="eastAsia"/>
            </w:rPr>
            <w:instrText xml:space="preserve"> </w:instrText>
          </w:r>
          <w:r>
            <w:instrText xml:space="preserve">PAGEREF _Toc219116691 \h</w:instrText>
          </w:r>
          <w:r>
            <w:rPr>
              <w:rFonts w:hint="eastAsia"/>
            </w:rPr>
            <w:instrText xml:space="preserve"> </w:instrText>
          </w:r>
          <w:r>
            <w:rPr>
              <w:rFonts w:hint="eastAsia"/>
            </w:rPr>
            <w:fldChar w:fldCharType="separate"/>
          </w:r>
          <w:r>
            <w:t>6</w:t>
          </w:r>
          <w:r>
            <w:rPr>
              <w:rFonts w:hint="eastAsia"/>
            </w:rPr>
            <w:fldChar w:fldCharType="end"/>
          </w:r>
          <w:r>
            <w:rPr>
              <w:rFonts w:hint="eastAsia"/>
            </w:rPr>
            <w:fldChar w:fldCharType="end"/>
          </w:r>
        </w:p>
        <w:p>
          <w:pPr>
            <w:pStyle w:val="15"/>
            <w:tabs>
              <w:tab w:val="right" w:leader="dot" w:pos="8835"/>
            </w:tabs>
            <w:rPr>
              <w:rFonts w:hint="eastAsia" w:asciiTheme="minorHAnsi" w:hAnsiTheme="minorHAnsi" w:eastAsiaTheme="minorEastAsia" w:cstheme="minorBidi"/>
              <w:smallCaps w:val="0"/>
              <w:kern w:val="2"/>
              <w:sz w:val="22"/>
              <w:szCs w:val="24"/>
              <w14:ligatures w14:val="standardContextual"/>
            </w:rPr>
          </w:pPr>
          <w:r>
            <w:fldChar w:fldCharType="begin"/>
          </w:r>
          <w:r>
            <w:instrText xml:space="preserve"> HYPERLINK \l "_Toc219116692" </w:instrText>
          </w:r>
          <w:r>
            <w:fldChar w:fldCharType="separate"/>
          </w:r>
          <w:r>
            <w:rPr>
              <w:rStyle w:val="23"/>
              <w:rFonts w:hint="eastAsia"/>
            </w:rPr>
            <w:t>一、指导思想</w:t>
          </w:r>
          <w:r>
            <w:rPr>
              <w:rFonts w:hint="eastAsia"/>
            </w:rPr>
            <w:tab/>
          </w:r>
          <w:r>
            <w:rPr>
              <w:rFonts w:hint="eastAsia"/>
            </w:rPr>
            <w:fldChar w:fldCharType="begin"/>
          </w:r>
          <w:r>
            <w:rPr>
              <w:rFonts w:hint="eastAsia"/>
            </w:rPr>
            <w:instrText xml:space="preserve"> </w:instrText>
          </w:r>
          <w:r>
            <w:instrText xml:space="preserve">PAGEREF _Toc219116692 \h</w:instrText>
          </w:r>
          <w:r>
            <w:rPr>
              <w:rFonts w:hint="eastAsia"/>
            </w:rPr>
            <w:instrText xml:space="preserve"> </w:instrText>
          </w:r>
          <w:r>
            <w:rPr>
              <w:rFonts w:hint="eastAsia"/>
            </w:rPr>
            <w:fldChar w:fldCharType="separate"/>
          </w:r>
          <w:r>
            <w:t>6</w:t>
          </w:r>
          <w:r>
            <w:rPr>
              <w:rFonts w:hint="eastAsia"/>
            </w:rPr>
            <w:fldChar w:fldCharType="end"/>
          </w:r>
          <w:r>
            <w:rPr>
              <w:rFonts w:hint="eastAsia"/>
            </w:rPr>
            <w:fldChar w:fldCharType="end"/>
          </w:r>
        </w:p>
        <w:p>
          <w:pPr>
            <w:pStyle w:val="15"/>
            <w:tabs>
              <w:tab w:val="right" w:leader="dot" w:pos="8835"/>
            </w:tabs>
            <w:rPr>
              <w:rFonts w:hint="eastAsia" w:asciiTheme="minorHAnsi" w:hAnsiTheme="minorHAnsi" w:eastAsiaTheme="minorEastAsia" w:cstheme="minorBidi"/>
              <w:smallCaps w:val="0"/>
              <w:kern w:val="2"/>
              <w:sz w:val="22"/>
              <w:szCs w:val="24"/>
              <w14:ligatures w14:val="standardContextual"/>
            </w:rPr>
          </w:pPr>
          <w:r>
            <w:fldChar w:fldCharType="begin"/>
          </w:r>
          <w:r>
            <w:instrText xml:space="preserve"> HYPERLINK \l "_Toc219116693" </w:instrText>
          </w:r>
          <w:r>
            <w:fldChar w:fldCharType="separate"/>
          </w:r>
          <w:r>
            <w:rPr>
              <w:rStyle w:val="23"/>
              <w:rFonts w:hint="eastAsia"/>
            </w:rPr>
            <w:t>二、发展思路</w:t>
          </w:r>
          <w:r>
            <w:rPr>
              <w:rFonts w:hint="eastAsia"/>
            </w:rPr>
            <w:tab/>
          </w:r>
          <w:r>
            <w:rPr>
              <w:rFonts w:hint="eastAsia"/>
            </w:rPr>
            <w:fldChar w:fldCharType="begin"/>
          </w:r>
          <w:r>
            <w:rPr>
              <w:rFonts w:hint="eastAsia"/>
            </w:rPr>
            <w:instrText xml:space="preserve"> </w:instrText>
          </w:r>
          <w:r>
            <w:instrText xml:space="preserve">PAGEREF _Toc219116693 \h</w:instrText>
          </w:r>
          <w:r>
            <w:rPr>
              <w:rFonts w:hint="eastAsia"/>
            </w:rPr>
            <w:instrText xml:space="preserve"> </w:instrText>
          </w:r>
          <w:r>
            <w:rPr>
              <w:rFonts w:hint="eastAsia"/>
            </w:rPr>
            <w:fldChar w:fldCharType="separate"/>
          </w:r>
          <w:r>
            <w:t>6</w:t>
          </w:r>
          <w:r>
            <w:rPr>
              <w:rFonts w:hint="eastAsia"/>
            </w:rPr>
            <w:fldChar w:fldCharType="end"/>
          </w:r>
          <w:r>
            <w:rPr>
              <w:rFonts w:hint="eastAsia"/>
            </w:rPr>
            <w:fldChar w:fldCharType="end"/>
          </w:r>
        </w:p>
        <w:p>
          <w:pPr>
            <w:pStyle w:val="15"/>
            <w:tabs>
              <w:tab w:val="right" w:leader="dot" w:pos="8835"/>
            </w:tabs>
            <w:rPr>
              <w:rFonts w:hint="eastAsia" w:asciiTheme="minorHAnsi" w:hAnsiTheme="minorHAnsi" w:eastAsiaTheme="minorEastAsia" w:cstheme="minorBidi"/>
              <w:smallCaps w:val="0"/>
              <w:kern w:val="2"/>
              <w:sz w:val="22"/>
              <w:szCs w:val="24"/>
              <w14:ligatures w14:val="standardContextual"/>
            </w:rPr>
          </w:pPr>
          <w:r>
            <w:fldChar w:fldCharType="begin"/>
          </w:r>
          <w:r>
            <w:instrText xml:space="preserve"> HYPERLINK \l "_Toc219116694" </w:instrText>
          </w:r>
          <w:r>
            <w:fldChar w:fldCharType="separate"/>
          </w:r>
          <w:r>
            <w:rPr>
              <w:rStyle w:val="23"/>
              <w:rFonts w:hint="eastAsia"/>
            </w:rPr>
            <w:t>三、基本原则</w:t>
          </w:r>
          <w:r>
            <w:rPr>
              <w:rFonts w:hint="eastAsia"/>
            </w:rPr>
            <w:tab/>
          </w:r>
          <w:r>
            <w:rPr>
              <w:rFonts w:hint="eastAsia"/>
            </w:rPr>
            <w:fldChar w:fldCharType="begin"/>
          </w:r>
          <w:r>
            <w:rPr>
              <w:rFonts w:hint="eastAsia"/>
            </w:rPr>
            <w:instrText xml:space="preserve"> </w:instrText>
          </w:r>
          <w:r>
            <w:instrText xml:space="preserve">PAGEREF _Toc219116694 \h</w:instrText>
          </w:r>
          <w:r>
            <w:rPr>
              <w:rFonts w:hint="eastAsia"/>
            </w:rPr>
            <w:instrText xml:space="preserve"> </w:instrText>
          </w:r>
          <w:r>
            <w:rPr>
              <w:rFonts w:hint="eastAsia"/>
            </w:rPr>
            <w:fldChar w:fldCharType="separate"/>
          </w:r>
          <w:r>
            <w:t>7</w:t>
          </w:r>
          <w:r>
            <w:rPr>
              <w:rFonts w:hint="eastAsia"/>
            </w:rPr>
            <w:fldChar w:fldCharType="end"/>
          </w:r>
          <w:r>
            <w:rPr>
              <w:rFonts w:hint="eastAsia"/>
            </w:rPr>
            <w:fldChar w:fldCharType="end"/>
          </w:r>
        </w:p>
        <w:p>
          <w:pPr>
            <w:pStyle w:val="15"/>
            <w:tabs>
              <w:tab w:val="right" w:leader="dot" w:pos="8835"/>
            </w:tabs>
            <w:rPr>
              <w:rFonts w:hint="eastAsia" w:asciiTheme="minorHAnsi" w:hAnsiTheme="minorHAnsi" w:eastAsiaTheme="minorEastAsia" w:cstheme="minorBidi"/>
              <w:smallCaps w:val="0"/>
              <w:kern w:val="2"/>
              <w:sz w:val="22"/>
              <w:szCs w:val="24"/>
              <w14:ligatures w14:val="standardContextual"/>
            </w:rPr>
          </w:pPr>
          <w:r>
            <w:fldChar w:fldCharType="begin"/>
          </w:r>
          <w:r>
            <w:instrText xml:space="preserve"> HYPERLINK \l "_Toc219116695" </w:instrText>
          </w:r>
          <w:r>
            <w:fldChar w:fldCharType="separate"/>
          </w:r>
          <w:r>
            <w:rPr>
              <w:rStyle w:val="23"/>
              <w:rFonts w:hint="eastAsia"/>
            </w:rPr>
            <w:t>四、主要目标</w:t>
          </w:r>
          <w:r>
            <w:rPr>
              <w:rFonts w:hint="eastAsia"/>
            </w:rPr>
            <w:tab/>
          </w:r>
          <w:r>
            <w:rPr>
              <w:rFonts w:hint="eastAsia"/>
            </w:rPr>
            <w:fldChar w:fldCharType="begin"/>
          </w:r>
          <w:r>
            <w:rPr>
              <w:rFonts w:hint="eastAsia"/>
            </w:rPr>
            <w:instrText xml:space="preserve"> </w:instrText>
          </w:r>
          <w:r>
            <w:instrText xml:space="preserve">PAGEREF _Toc219116695 \h</w:instrText>
          </w:r>
          <w:r>
            <w:rPr>
              <w:rFonts w:hint="eastAsia"/>
            </w:rPr>
            <w:instrText xml:space="preserve"> </w:instrText>
          </w:r>
          <w:r>
            <w:rPr>
              <w:rFonts w:hint="eastAsia"/>
            </w:rPr>
            <w:fldChar w:fldCharType="separate"/>
          </w:r>
          <w:r>
            <w:t>8</w:t>
          </w:r>
          <w:r>
            <w:rPr>
              <w:rFonts w:hint="eastAsia"/>
            </w:rPr>
            <w:fldChar w:fldCharType="end"/>
          </w:r>
          <w:r>
            <w:rPr>
              <w:rFonts w:hint="eastAsia"/>
            </w:rPr>
            <w:fldChar w:fldCharType="end"/>
          </w:r>
        </w:p>
        <w:p>
          <w:pPr>
            <w:pStyle w:val="13"/>
            <w:rPr>
              <w:rFonts w:hint="eastAsia" w:asciiTheme="minorHAnsi" w:hAnsiTheme="minorHAnsi" w:eastAsiaTheme="minorEastAsia" w:cstheme="minorBidi"/>
              <w:bCs w:val="0"/>
              <w:caps w:val="0"/>
              <w:kern w:val="2"/>
              <w:sz w:val="22"/>
              <w:szCs w:val="24"/>
              <w14:ligatures w14:val="standardContextual"/>
            </w:rPr>
          </w:pPr>
          <w:r>
            <w:fldChar w:fldCharType="begin"/>
          </w:r>
          <w:r>
            <w:instrText xml:space="preserve"> HYPERLINK \l "_Toc219116696" </w:instrText>
          </w:r>
          <w:r>
            <w:fldChar w:fldCharType="separate"/>
          </w:r>
          <w:r>
            <w:rPr>
              <w:rStyle w:val="23"/>
              <w:rFonts w:hint="eastAsia"/>
            </w:rPr>
            <w:t>第三章重点任务</w:t>
          </w:r>
          <w:r>
            <w:rPr>
              <w:rFonts w:hint="eastAsia"/>
            </w:rPr>
            <w:tab/>
          </w:r>
          <w:r>
            <w:rPr>
              <w:rFonts w:hint="eastAsia"/>
            </w:rPr>
            <w:fldChar w:fldCharType="begin"/>
          </w:r>
          <w:r>
            <w:rPr>
              <w:rFonts w:hint="eastAsia"/>
            </w:rPr>
            <w:instrText xml:space="preserve"> </w:instrText>
          </w:r>
          <w:r>
            <w:instrText xml:space="preserve">PAGEREF _Toc219116696 \h</w:instrText>
          </w:r>
          <w:r>
            <w:rPr>
              <w:rFonts w:hint="eastAsia"/>
            </w:rPr>
            <w:instrText xml:space="preserve"> </w:instrText>
          </w:r>
          <w:r>
            <w:rPr>
              <w:rFonts w:hint="eastAsia"/>
            </w:rPr>
            <w:fldChar w:fldCharType="separate"/>
          </w:r>
          <w:r>
            <w:t>12</w:t>
          </w:r>
          <w:r>
            <w:rPr>
              <w:rFonts w:hint="eastAsia"/>
            </w:rPr>
            <w:fldChar w:fldCharType="end"/>
          </w:r>
          <w:r>
            <w:rPr>
              <w:rFonts w:hint="eastAsia"/>
            </w:rPr>
            <w:fldChar w:fldCharType="end"/>
          </w:r>
        </w:p>
        <w:p>
          <w:pPr>
            <w:pStyle w:val="15"/>
            <w:tabs>
              <w:tab w:val="right" w:leader="dot" w:pos="8835"/>
            </w:tabs>
            <w:rPr>
              <w:rFonts w:hint="eastAsia" w:asciiTheme="minorHAnsi" w:hAnsiTheme="minorHAnsi" w:eastAsiaTheme="minorEastAsia" w:cstheme="minorBidi"/>
              <w:smallCaps w:val="0"/>
              <w:kern w:val="2"/>
              <w:sz w:val="22"/>
              <w:szCs w:val="24"/>
              <w14:ligatures w14:val="standardContextual"/>
            </w:rPr>
          </w:pPr>
          <w:r>
            <w:fldChar w:fldCharType="begin"/>
          </w:r>
          <w:r>
            <w:instrText xml:space="preserve"> HYPERLINK \l "_Toc219116697" </w:instrText>
          </w:r>
          <w:r>
            <w:fldChar w:fldCharType="separate"/>
          </w:r>
          <w:r>
            <w:rPr>
              <w:rStyle w:val="23"/>
              <w:rFonts w:hint="eastAsia"/>
            </w:rPr>
            <w:t>一、夯实全民健身模范区成果，构建更高水平公共服务体系</w:t>
          </w:r>
          <w:r>
            <w:rPr>
              <w:rFonts w:hint="eastAsia"/>
            </w:rPr>
            <w:tab/>
          </w:r>
          <w:r>
            <w:rPr>
              <w:rFonts w:hint="eastAsia"/>
            </w:rPr>
            <w:fldChar w:fldCharType="begin"/>
          </w:r>
          <w:r>
            <w:rPr>
              <w:rFonts w:hint="eastAsia"/>
            </w:rPr>
            <w:instrText xml:space="preserve"> </w:instrText>
          </w:r>
          <w:r>
            <w:instrText xml:space="preserve">PAGEREF _Toc219116697 \h</w:instrText>
          </w:r>
          <w:r>
            <w:rPr>
              <w:rFonts w:hint="eastAsia"/>
            </w:rPr>
            <w:instrText xml:space="preserve"> </w:instrText>
          </w:r>
          <w:r>
            <w:rPr>
              <w:rFonts w:hint="eastAsia"/>
            </w:rPr>
            <w:fldChar w:fldCharType="separate"/>
          </w:r>
          <w:r>
            <w:t>12</w:t>
          </w:r>
          <w:r>
            <w:rPr>
              <w:rFonts w:hint="eastAsia"/>
            </w:rPr>
            <w:fldChar w:fldCharType="end"/>
          </w:r>
          <w:r>
            <w:rPr>
              <w:rFonts w:hint="eastAsia"/>
            </w:rPr>
            <w:fldChar w:fldCharType="end"/>
          </w:r>
        </w:p>
        <w:p>
          <w:pPr>
            <w:pStyle w:val="15"/>
            <w:tabs>
              <w:tab w:val="right" w:leader="dot" w:pos="8835"/>
            </w:tabs>
            <w:rPr>
              <w:rFonts w:hint="eastAsia" w:asciiTheme="minorHAnsi" w:hAnsiTheme="minorHAnsi" w:eastAsiaTheme="minorEastAsia" w:cstheme="minorBidi"/>
              <w:smallCaps w:val="0"/>
              <w:kern w:val="2"/>
              <w:sz w:val="22"/>
              <w:szCs w:val="24"/>
              <w14:ligatures w14:val="standardContextual"/>
            </w:rPr>
          </w:pPr>
          <w:r>
            <w:fldChar w:fldCharType="begin"/>
          </w:r>
          <w:r>
            <w:instrText xml:space="preserve"> HYPERLINK \l "_Toc219116698" </w:instrText>
          </w:r>
          <w:r>
            <w:fldChar w:fldCharType="separate"/>
          </w:r>
          <w:r>
            <w:rPr>
              <w:rStyle w:val="23"/>
              <w:rFonts w:hint="eastAsia"/>
            </w:rPr>
            <w:t>二、推进新型青训体系建设，增强竞技体育发展动能</w:t>
          </w:r>
          <w:r>
            <w:rPr>
              <w:rFonts w:hint="eastAsia"/>
            </w:rPr>
            <w:tab/>
          </w:r>
          <w:r>
            <w:rPr>
              <w:rFonts w:hint="eastAsia"/>
            </w:rPr>
            <w:fldChar w:fldCharType="begin"/>
          </w:r>
          <w:r>
            <w:rPr>
              <w:rFonts w:hint="eastAsia"/>
            </w:rPr>
            <w:instrText xml:space="preserve"> </w:instrText>
          </w:r>
          <w:r>
            <w:instrText xml:space="preserve">PAGEREF _Toc219116698 \h</w:instrText>
          </w:r>
          <w:r>
            <w:rPr>
              <w:rFonts w:hint="eastAsia"/>
            </w:rPr>
            <w:instrText xml:space="preserve"> </w:instrText>
          </w:r>
          <w:r>
            <w:rPr>
              <w:rFonts w:hint="eastAsia"/>
            </w:rPr>
            <w:fldChar w:fldCharType="separate"/>
          </w:r>
          <w:r>
            <w:t>17</w:t>
          </w:r>
          <w:r>
            <w:rPr>
              <w:rFonts w:hint="eastAsia"/>
            </w:rPr>
            <w:fldChar w:fldCharType="end"/>
          </w:r>
          <w:r>
            <w:rPr>
              <w:rFonts w:hint="eastAsia"/>
            </w:rPr>
            <w:fldChar w:fldCharType="end"/>
          </w:r>
        </w:p>
        <w:p>
          <w:pPr>
            <w:pStyle w:val="15"/>
            <w:tabs>
              <w:tab w:val="right" w:leader="dot" w:pos="8835"/>
            </w:tabs>
            <w:rPr>
              <w:rFonts w:hint="eastAsia" w:asciiTheme="minorHAnsi" w:hAnsiTheme="minorHAnsi" w:eastAsiaTheme="minorEastAsia" w:cstheme="minorBidi"/>
              <w:smallCaps w:val="0"/>
              <w:kern w:val="2"/>
              <w:sz w:val="22"/>
              <w:szCs w:val="24"/>
              <w14:ligatures w14:val="standardContextual"/>
            </w:rPr>
          </w:pPr>
          <w:r>
            <w:fldChar w:fldCharType="begin"/>
          </w:r>
          <w:r>
            <w:instrText xml:space="preserve"> HYPERLINK \l "_Toc219116699" </w:instrText>
          </w:r>
          <w:r>
            <w:fldChar w:fldCharType="separate"/>
          </w:r>
          <w:r>
            <w:rPr>
              <w:rStyle w:val="23"/>
              <w:rFonts w:hint="eastAsia"/>
            </w:rPr>
            <w:t>三、发挥区域资源优势，激发体育产业活力</w:t>
          </w:r>
          <w:r>
            <w:rPr>
              <w:rFonts w:hint="eastAsia"/>
            </w:rPr>
            <w:tab/>
          </w:r>
          <w:r>
            <w:rPr>
              <w:rFonts w:hint="eastAsia"/>
            </w:rPr>
            <w:fldChar w:fldCharType="begin"/>
          </w:r>
          <w:r>
            <w:rPr>
              <w:rFonts w:hint="eastAsia"/>
            </w:rPr>
            <w:instrText xml:space="preserve"> </w:instrText>
          </w:r>
          <w:r>
            <w:instrText xml:space="preserve">PAGEREF _Toc219116699 \h</w:instrText>
          </w:r>
          <w:r>
            <w:rPr>
              <w:rFonts w:hint="eastAsia"/>
            </w:rPr>
            <w:instrText xml:space="preserve"> </w:instrText>
          </w:r>
          <w:r>
            <w:rPr>
              <w:rFonts w:hint="eastAsia"/>
            </w:rPr>
            <w:fldChar w:fldCharType="separate"/>
          </w:r>
          <w:r>
            <w:t>23</w:t>
          </w:r>
          <w:r>
            <w:rPr>
              <w:rFonts w:hint="eastAsia"/>
            </w:rPr>
            <w:fldChar w:fldCharType="end"/>
          </w:r>
          <w:r>
            <w:rPr>
              <w:rFonts w:hint="eastAsia"/>
            </w:rPr>
            <w:fldChar w:fldCharType="end"/>
          </w:r>
        </w:p>
        <w:p>
          <w:pPr>
            <w:pStyle w:val="15"/>
            <w:tabs>
              <w:tab w:val="right" w:leader="dot" w:pos="8835"/>
            </w:tabs>
            <w:rPr>
              <w:rFonts w:hint="eastAsia" w:asciiTheme="minorHAnsi" w:hAnsiTheme="minorHAnsi" w:eastAsiaTheme="minorEastAsia" w:cstheme="minorBidi"/>
              <w:smallCaps w:val="0"/>
              <w:kern w:val="2"/>
              <w:sz w:val="22"/>
              <w:szCs w:val="24"/>
              <w14:ligatures w14:val="standardContextual"/>
            </w:rPr>
          </w:pPr>
          <w:r>
            <w:fldChar w:fldCharType="begin"/>
          </w:r>
          <w:r>
            <w:instrText xml:space="preserve"> HYPERLINK \l "_Toc219116700" </w:instrText>
          </w:r>
          <w:r>
            <w:fldChar w:fldCharType="separate"/>
          </w:r>
          <w:r>
            <w:rPr>
              <w:rStyle w:val="23"/>
              <w:rFonts w:hint="eastAsia"/>
            </w:rPr>
            <w:t>四、加大行业监管力度，服务市场健康发展</w:t>
          </w:r>
          <w:r>
            <w:rPr>
              <w:rFonts w:hint="eastAsia"/>
            </w:rPr>
            <w:tab/>
          </w:r>
          <w:r>
            <w:rPr>
              <w:rFonts w:hint="eastAsia"/>
            </w:rPr>
            <w:fldChar w:fldCharType="begin"/>
          </w:r>
          <w:r>
            <w:rPr>
              <w:rFonts w:hint="eastAsia"/>
            </w:rPr>
            <w:instrText xml:space="preserve"> </w:instrText>
          </w:r>
          <w:r>
            <w:instrText xml:space="preserve">PAGEREF _Toc219116700 \h</w:instrText>
          </w:r>
          <w:r>
            <w:rPr>
              <w:rFonts w:hint="eastAsia"/>
            </w:rPr>
            <w:instrText xml:space="preserve"> </w:instrText>
          </w:r>
          <w:r>
            <w:rPr>
              <w:rFonts w:hint="eastAsia"/>
            </w:rPr>
            <w:fldChar w:fldCharType="separate"/>
          </w:r>
          <w:r>
            <w:t>25</w:t>
          </w:r>
          <w:r>
            <w:rPr>
              <w:rFonts w:hint="eastAsia"/>
            </w:rPr>
            <w:fldChar w:fldCharType="end"/>
          </w:r>
          <w:r>
            <w:rPr>
              <w:rFonts w:hint="eastAsia"/>
            </w:rPr>
            <w:fldChar w:fldCharType="end"/>
          </w:r>
        </w:p>
        <w:p>
          <w:pPr>
            <w:pStyle w:val="13"/>
            <w:rPr>
              <w:rFonts w:hint="eastAsia" w:asciiTheme="minorHAnsi" w:hAnsiTheme="minorHAnsi" w:eastAsiaTheme="minorEastAsia" w:cstheme="minorBidi"/>
              <w:bCs w:val="0"/>
              <w:caps w:val="0"/>
              <w:kern w:val="2"/>
              <w:sz w:val="22"/>
              <w:szCs w:val="24"/>
              <w14:ligatures w14:val="standardContextual"/>
            </w:rPr>
          </w:pPr>
          <w:r>
            <w:fldChar w:fldCharType="begin"/>
          </w:r>
          <w:r>
            <w:instrText xml:space="preserve"> HYPERLINK \l "_Toc219116701" </w:instrText>
          </w:r>
          <w:r>
            <w:fldChar w:fldCharType="separate"/>
          </w:r>
          <w:r>
            <w:rPr>
              <w:rStyle w:val="23"/>
              <w:rFonts w:hint="eastAsia"/>
            </w:rPr>
            <w:t>第四章 保障措施</w:t>
          </w:r>
          <w:r>
            <w:rPr>
              <w:rFonts w:hint="eastAsia"/>
            </w:rPr>
            <w:tab/>
          </w:r>
          <w:r>
            <w:rPr>
              <w:rFonts w:hint="eastAsia"/>
            </w:rPr>
            <w:fldChar w:fldCharType="begin"/>
          </w:r>
          <w:r>
            <w:rPr>
              <w:rFonts w:hint="eastAsia"/>
            </w:rPr>
            <w:instrText xml:space="preserve"> </w:instrText>
          </w:r>
          <w:r>
            <w:instrText xml:space="preserve">PAGEREF _Toc219116701 \h</w:instrText>
          </w:r>
          <w:r>
            <w:rPr>
              <w:rFonts w:hint="eastAsia"/>
            </w:rPr>
            <w:instrText xml:space="preserve"> </w:instrText>
          </w:r>
          <w:r>
            <w:rPr>
              <w:rFonts w:hint="eastAsia"/>
            </w:rPr>
            <w:fldChar w:fldCharType="separate"/>
          </w:r>
          <w:r>
            <w:t>27</w:t>
          </w:r>
          <w:r>
            <w:rPr>
              <w:rFonts w:hint="eastAsia"/>
            </w:rPr>
            <w:fldChar w:fldCharType="end"/>
          </w:r>
          <w:r>
            <w:rPr>
              <w:rFonts w:hint="eastAsia"/>
            </w:rPr>
            <w:fldChar w:fldCharType="end"/>
          </w:r>
        </w:p>
        <w:p>
          <w:pPr>
            <w:pStyle w:val="15"/>
            <w:tabs>
              <w:tab w:val="right" w:leader="dot" w:pos="8835"/>
            </w:tabs>
            <w:rPr>
              <w:rFonts w:hint="eastAsia" w:asciiTheme="minorHAnsi" w:hAnsiTheme="minorHAnsi" w:eastAsiaTheme="minorEastAsia" w:cstheme="minorBidi"/>
              <w:smallCaps w:val="0"/>
              <w:kern w:val="2"/>
              <w:sz w:val="22"/>
              <w:szCs w:val="24"/>
              <w14:ligatures w14:val="standardContextual"/>
            </w:rPr>
          </w:pPr>
          <w:r>
            <w:fldChar w:fldCharType="begin"/>
          </w:r>
          <w:r>
            <w:instrText xml:space="preserve"> HYPERLINK \l "_Toc219116702" </w:instrText>
          </w:r>
          <w:r>
            <w:fldChar w:fldCharType="separate"/>
          </w:r>
          <w:r>
            <w:rPr>
              <w:rStyle w:val="23"/>
              <w:rFonts w:hint="eastAsia"/>
            </w:rPr>
            <w:t>一、加强组织领导</w:t>
          </w:r>
          <w:r>
            <w:rPr>
              <w:rFonts w:hint="eastAsia"/>
            </w:rPr>
            <w:tab/>
          </w:r>
          <w:r>
            <w:rPr>
              <w:rFonts w:hint="eastAsia"/>
            </w:rPr>
            <w:fldChar w:fldCharType="begin"/>
          </w:r>
          <w:r>
            <w:rPr>
              <w:rFonts w:hint="eastAsia"/>
            </w:rPr>
            <w:instrText xml:space="preserve"> </w:instrText>
          </w:r>
          <w:r>
            <w:instrText xml:space="preserve">PAGEREF _Toc219116702 \h</w:instrText>
          </w:r>
          <w:r>
            <w:rPr>
              <w:rFonts w:hint="eastAsia"/>
            </w:rPr>
            <w:instrText xml:space="preserve"> </w:instrText>
          </w:r>
          <w:r>
            <w:rPr>
              <w:rFonts w:hint="eastAsia"/>
            </w:rPr>
            <w:fldChar w:fldCharType="separate"/>
          </w:r>
          <w:r>
            <w:t>27</w:t>
          </w:r>
          <w:r>
            <w:rPr>
              <w:rFonts w:hint="eastAsia"/>
            </w:rPr>
            <w:fldChar w:fldCharType="end"/>
          </w:r>
          <w:r>
            <w:rPr>
              <w:rFonts w:hint="eastAsia"/>
            </w:rPr>
            <w:fldChar w:fldCharType="end"/>
          </w:r>
        </w:p>
        <w:p>
          <w:pPr>
            <w:pStyle w:val="15"/>
            <w:tabs>
              <w:tab w:val="right" w:leader="dot" w:pos="8835"/>
            </w:tabs>
            <w:rPr>
              <w:rFonts w:hint="eastAsia" w:asciiTheme="minorHAnsi" w:hAnsiTheme="minorHAnsi" w:eastAsiaTheme="minorEastAsia" w:cstheme="minorBidi"/>
              <w:smallCaps w:val="0"/>
              <w:kern w:val="2"/>
              <w:sz w:val="22"/>
              <w:szCs w:val="24"/>
              <w14:ligatures w14:val="standardContextual"/>
            </w:rPr>
          </w:pPr>
          <w:r>
            <w:fldChar w:fldCharType="begin"/>
          </w:r>
          <w:r>
            <w:instrText xml:space="preserve"> HYPERLINK \l "_Toc219116703" </w:instrText>
          </w:r>
          <w:r>
            <w:fldChar w:fldCharType="separate"/>
          </w:r>
          <w:r>
            <w:rPr>
              <w:rStyle w:val="23"/>
              <w:rFonts w:hint="eastAsia"/>
            </w:rPr>
            <w:t>二、完善规划实施机制</w:t>
          </w:r>
          <w:r>
            <w:rPr>
              <w:rFonts w:hint="eastAsia"/>
            </w:rPr>
            <w:tab/>
          </w:r>
          <w:r>
            <w:rPr>
              <w:rFonts w:hint="eastAsia"/>
            </w:rPr>
            <w:fldChar w:fldCharType="begin"/>
          </w:r>
          <w:r>
            <w:rPr>
              <w:rFonts w:hint="eastAsia"/>
            </w:rPr>
            <w:instrText xml:space="preserve"> </w:instrText>
          </w:r>
          <w:r>
            <w:instrText xml:space="preserve">PAGEREF _Toc219116703 \h</w:instrText>
          </w:r>
          <w:r>
            <w:rPr>
              <w:rFonts w:hint="eastAsia"/>
            </w:rPr>
            <w:instrText xml:space="preserve"> </w:instrText>
          </w:r>
          <w:r>
            <w:rPr>
              <w:rFonts w:hint="eastAsia"/>
            </w:rPr>
            <w:fldChar w:fldCharType="separate"/>
          </w:r>
          <w:r>
            <w:t>27</w:t>
          </w:r>
          <w:r>
            <w:rPr>
              <w:rFonts w:hint="eastAsia"/>
            </w:rPr>
            <w:fldChar w:fldCharType="end"/>
          </w:r>
          <w:r>
            <w:rPr>
              <w:rFonts w:hint="eastAsia"/>
            </w:rPr>
            <w:fldChar w:fldCharType="end"/>
          </w:r>
        </w:p>
        <w:p>
          <w:pPr>
            <w:pStyle w:val="15"/>
            <w:tabs>
              <w:tab w:val="right" w:leader="dot" w:pos="8835"/>
            </w:tabs>
            <w:rPr>
              <w:rFonts w:hint="eastAsia" w:asciiTheme="minorHAnsi" w:hAnsiTheme="minorHAnsi" w:eastAsiaTheme="minorEastAsia" w:cstheme="minorBidi"/>
              <w:smallCaps w:val="0"/>
              <w:kern w:val="2"/>
              <w:sz w:val="22"/>
              <w:szCs w:val="24"/>
              <w14:ligatures w14:val="standardContextual"/>
            </w:rPr>
          </w:pPr>
          <w:r>
            <w:fldChar w:fldCharType="begin"/>
          </w:r>
          <w:r>
            <w:instrText xml:space="preserve"> HYPERLINK \l "_Toc219116704" </w:instrText>
          </w:r>
          <w:r>
            <w:fldChar w:fldCharType="separate"/>
          </w:r>
          <w:r>
            <w:rPr>
              <w:rStyle w:val="23"/>
              <w:rFonts w:hint="eastAsia"/>
            </w:rPr>
            <w:t>三、优化资源要素保障</w:t>
          </w:r>
          <w:r>
            <w:rPr>
              <w:rFonts w:hint="eastAsia"/>
            </w:rPr>
            <w:tab/>
          </w:r>
          <w:r>
            <w:rPr>
              <w:rFonts w:hint="eastAsia"/>
            </w:rPr>
            <w:fldChar w:fldCharType="begin"/>
          </w:r>
          <w:r>
            <w:rPr>
              <w:rFonts w:hint="eastAsia"/>
            </w:rPr>
            <w:instrText xml:space="preserve"> </w:instrText>
          </w:r>
          <w:r>
            <w:instrText xml:space="preserve">PAGEREF _Toc219116704 \h</w:instrText>
          </w:r>
          <w:r>
            <w:rPr>
              <w:rFonts w:hint="eastAsia"/>
            </w:rPr>
            <w:instrText xml:space="preserve"> </w:instrText>
          </w:r>
          <w:r>
            <w:rPr>
              <w:rFonts w:hint="eastAsia"/>
            </w:rPr>
            <w:fldChar w:fldCharType="separate"/>
          </w:r>
          <w:r>
            <w:t>27</w:t>
          </w:r>
          <w:r>
            <w:rPr>
              <w:rFonts w:hint="eastAsia"/>
            </w:rPr>
            <w:fldChar w:fldCharType="end"/>
          </w:r>
          <w:r>
            <w:rPr>
              <w:rFonts w:hint="eastAsia"/>
            </w:rPr>
            <w:fldChar w:fldCharType="end"/>
          </w:r>
        </w:p>
        <w:p>
          <w:pPr>
            <w:pStyle w:val="15"/>
            <w:tabs>
              <w:tab w:val="right" w:leader="dot" w:pos="8835"/>
            </w:tabs>
            <w:rPr>
              <w:rFonts w:hint="eastAsia" w:asciiTheme="minorHAnsi" w:hAnsiTheme="minorHAnsi" w:eastAsiaTheme="minorEastAsia" w:cstheme="minorBidi"/>
              <w:smallCaps w:val="0"/>
              <w:kern w:val="2"/>
              <w:sz w:val="22"/>
              <w:szCs w:val="24"/>
              <w14:ligatures w14:val="standardContextual"/>
            </w:rPr>
          </w:pPr>
          <w:r>
            <w:fldChar w:fldCharType="begin"/>
          </w:r>
          <w:r>
            <w:instrText xml:space="preserve"> HYPERLINK \l "_Toc219116705" </w:instrText>
          </w:r>
          <w:r>
            <w:fldChar w:fldCharType="separate"/>
          </w:r>
          <w:r>
            <w:rPr>
              <w:rStyle w:val="23"/>
              <w:rFonts w:hint="eastAsia"/>
            </w:rPr>
            <w:t>四、加强实施监督考核</w:t>
          </w:r>
          <w:r>
            <w:rPr>
              <w:rFonts w:hint="eastAsia"/>
            </w:rPr>
            <w:tab/>
          </w:r>
          <w:r>
            <w:rPr>
              <w:rFonts w:hint="eastAsia"/>
            </w:rPr>
            <w:fldChar w:fldCharType="begin"/>
          </w:r>
          <w:r>
            <w:rPr>
              <w:rFonts w:hint="eastAsia"/>
            </w:rPr>
            <w:instrText xml:space="preserve"> </w:instrText>
          </w:r>
          <w:r>
            <w:instrText xml:space="preserve">PAGEREF _Toc219116705 \h</w:instrText>
          </w:r>
          <w:r>
            <w:rPr>
              <w:rFonts w:hint="eastAsia"/>
            </w:rPr>
            <w:instrText xml:space="preserve"> </w:instrText>
          </w:r>
          <w:r>
            <w:rPr>
              <w:rFonts w:hint="eastAsia"/>
            </w:rPr>
            <w:fldChar w:fldCharType="separate"/>
          </w:r>
          <w:r>
            <w:t>28</w:t>
          </w:r>
          <w:r>
            <w:rPr>
              <w:rFonts w:hint="eastAsia"/>
            </w:rPr>
            <w:fldChar w:fldCharType="end"/>
          </w:r>
          <w:r>
            <w:rPr>
              <w:rFonts w:hint="eastAsia"/>
            </w:rPr>
            <w:fldChar w:fldCharType="end"/>
          </w:r>
        </w:p>
        <w:p>
          <w:pPr>
            <w:pStyle w:val="15"/>
            <w:spacing w:line="500" w:lineRule="exact"/>
            <w:rPr>
              <w:rFonts w:hint="eastAsia" w:ascii="方正小标宋简体" w:hAnsi="方正小标宋简体" w:eastAsia="方正小标宋简体" w:cs="方正小标宋简体"/>
            </w:rPr>
            <w:sectPr>
              <w:pgSz w:w="11906" w:h="16838"/>
              <w:pgMar w:top="2098" w:right="1474" w:bottom="1984" w:left="1587" w:header="851" w:footer="992" w:gutter="0"/>
              <w:cols w:space="425" w:num="1"/>
              <w:docGrid w:type="lines" w:linePitch="312" w:charSpace="0"/>
            </w:sectPr>
          </w:pPr>
          <w:r>
            <w:rPr>
              <w:bCs/>
              <w:caps/>
              <w:lang w:val="zh-CN"/>
            </w:rPr>
            <w:fldChar w:fldCharType="end"/>
          </w:r>
        </w:p>
      </w:sdtContent>
    </w:sdt>
    <w:p>
      <w:pPr>
        <w:pStyle w:val="2"/>
        <w:pageBreakBefore w:val="0"/>
        <w:numPr>
          <w:ilvl w:val="0"/>
          <w:numId w:val="0"/>
        </w:numPr>
        <w:kinsoku/>
        <w:wordWrap/>
        <w:overflowPunct/>
        <w:topLinePunct w:val="0"/>
        <w:autoSpaceDE/>
        <w:autoSpaceDN/>
        <w:bidi w:val="0"/>
        <w:adjustRightInd/>
        <w:spacing w:before="312" w:after="312" w:line="560" w:lineRule="exact"/>
        <w:rPr>
          <w:rFonts w:hint="eastAsia"/>
        </w:rPr>
      </w:pPr>
      <w:bookmarkStart w:id="2" w:name="_Toc219116688"/>
      <w:r>
        <w:rPr>
          <w:rFonts w:hint="eastAsia"/>
        </w:rPr>
        <w:t>第一章  规划背景</w:t>
      </w:r>
      <w:bookmarkEnd w:id="2"/>
    </w:p>
    <w:p>
      <w:pPr>
        <w:pStyle w:val="3"/>
        <w:pageBreakBefore w:val="0"/>
        <w:numPr>
          <w:ilvl w:val="1"/>
          <w:numId w:val="0"/>
        </w:numPr>
        <w:kinsoku/>
        <w:wordWrap/>
        <w:overflowPunct/>
        <w:topLinePunct w:val="0"/>
        <w:autoSpaceDE/>
        <w:autoSpaceDN/>
        <w:bidi w:val="0"/>
        <w:adjustRightInd/>
        <w:spacing w:line="560" w:lineRule="exact"/>
        <w:ind w:firstLine="640"/>
        <w:rPr>
          <w:rFonts w:hint="eastAsia"/>
          <w:sz w:val="32"/>
        </w:rPr>
      </w:pPr>
      <w:bookmarkStart w:id="3" w:name="_Toc219116689"/>
      <w:r>
        <w:rPr>
          <w:rFonts w:hint="eastAsia"/>
          <w:sz w:val="32"/>
        </w:rPr>
        <w:t>一、“十四五”时期东城区体育发展成果</w:t>
      </w:r>
      <w:bookmarkEnd w:id="3"/>
    </w:p>
    <w:p>
      <w:pPr>
        <w:pStyle w:val="42"/>
        <w:pageBreakBefore w:val="0"/>
        <w:kinsoku/>
        <w:wordWrap/>
        <w:overflowPunct/>
        <w:topLinePunct w:val="0"/>
        <w:autoSpaceDE/>
        <w:autoSpaceDN/>
        <w:bidi w:val="0"/>
        <w:adjustRightInd/>
        <w:spacing w:after="0" w:line="560" w:lineRule="exact"/>
        <w:ind w:firstLine="643"/>
        <w:rPr>
          <w:rFonts w:hint="eastAsia" w:hAnsi="仿宋_GB2312" w:cs="仿宋_GB2312"/>
          <w:color w:val="000000"/>
          <w:kern w:val="0"/>
          <w:sz w:val="32"/>
          <w:szCs w:val="32"/>
        </w:rPr>
      </w:pPr>
      <w:r>
        <w:rPr>
          <w:rFonts w:hint="eastAsia" w:hAnsi="仿宋_GB2312" w:cs="仿宋_GB2312"/>
          <w:b/>
          <w:bCs/>
          <w:color w:val="000000"/>
          <w:sz w:val="32"/>
          <w:szCs w:val="32"/>
        </w:rPr>
        <w:t>创建首批国家全民运动健身模范市（区），</w:t>
      </w:r>
      <w:r>
        <w:rPr>
          <w:rFonts w:hint="eastAsia" w:hAnsi="仿宋_GB2312" w:cs="仿宋_GB2312"/>
          <w:b/>
          <w:bCs/>
          <w:sz w:val="32"/>
          <w:szCs w:val="32"/>
        </w:rPr>
        <w:t>全民健身开创新局面。</w:t>
      </w:r>
      <w:r>
        <w:rPr>
          <w:rFonts w:hint="eastAsia" w:hAnsi="仿宋_GB2312" w:cs="仿宋_GB2312"/>
          <w:color w:val="000000"/>
          <w:sz w:val="32"/>
          <w:szCs w:val="32"/>
          <w:shd w:val="clear" w:color="auto" w:fill="FFFFFF"/>
        </w:rPr>
        <w:t>积极探索具有东城特色的全民健身工作方法和路径，加快构建更高水平的全民健身公共服务体系，</w:t>
      </w:r>
      <w:r>
        <w:rPr>
          <w:rFonts w:hint="eastAsia" w:hAnsi="仿宋_GB2312" w:cs="仿宋_GB2312"/>
          <w:color w:val="000000"/>
          <w:sz w:val="32"/>
          <w:szCs w:val="32"/>
        </w:rPr>
        <w:t>圆满完成首批国家全民运动健身模范市（区）创建工作，入选“首批全国县域足球典型”，东城区国民体质测试中心（东城区体育科学研究所）</w:t>
      </w:r>
      <w:r>
        <w:rPr>
          <w:rFonts w:hint="eastAsia" w:hAnsi="仿宋_GB2312" w:cs="仿宋_GB2312"/>
          <w:sz w:val="32"/>
          <w:szCs w:val="32"/>
        </w:rPr>
        <w:t>荣获“体质测定与科学健身指导站典型示范站点”称号。</w:t>
      </w:r>
      <w:r>
        <w:rPr>
          <w:rFonts w:hint="eastAsia" w:hAnsi="仿宋_GB2312" w:cs="仿宋_GB2312"/>
          <w:color w:val="000000"/>
          <w:sz w:val="32"/>
          <w:szCs w:val="32"/>
        </w:rPr>
        <w:t>构建“政府领导、部门协作、社会联动、齐抓共管”的工作机制，形成群众体育、竞技体育相互促进、共同提升的“双螺旋”发展模式。</w:t>
      </w:r>
      <w:r>
        <w:rPr>
          <w:rFonts w:hint="eastAsia" w:hAnsi="仿宋_GB2312" w:cs="仿宋_GB2312"/>
          <w:sz w:val="32"/>
          <w:szCs w:val="32"/>
        </w:rPr>
        <w:t>织密全民健身服务网络，新增专项体育协会4个、全民健身团队102个、社会体育指导员1212名</w:t>
      </w:r>
      <w:r>
        <w:rPr>
          <w:rFonts w:hint="eastAsia" w:hAnsi="仿宋_GB2312" w:cs="仿宋_GB2312"/>
          <w:sz w:val="32"/>
          <w:szCs w:val="32"/>
          <w:lang w:eastAsia="zh-CN"/>
        </w:rPr>
        <w:t>、</w:t>
      </w:r>
      <w:r>
        <w:rPr>
          <w:rFonts w:hint="eastAsia" w:hAnsi="仿宋_GB2312" w:cs="仿宋_GB2312"/>
          <w:sz w:val="32"/>
          <w:szCs w:val="32"/>
        </w:rPr>
        <w:t>市级星级健身团队73支，全区共有</w:t>
      </w:r>
      <w:r>
        <w:rPr>
          <w:rFonts w:hint="eastAsia" w:hAnsi="仿宋_GB2312" w:cs="仿宋_GB2312"/>
          <w:sz w:val="32"/>
          <w:szCs w:val="32"/>
          <w:lang w:val="zh-CN"/>
        </w:rPr>
        <w:t>17个街道体育组织、2</w:t>
      </w:r>
      <w:r>
        <w:rPr>
          <w:rFonts w:hint="eastAsia" w:hAnsi="仿宋_GB2312" w:cs="仿宋_GB2312"/>
          <w:sz w:val="32"/>
          <w:szCs w:val="32"/>
        </w:rPr>
        <w:t>1</w:t>
      </w:r>
      <w:r>
        <w:rPr>
          <w:rFonts w:hint="eastAsia" w:hAnsi="仿宋_GB2312" w:cs="仿宋_GB2312"/>
          <w:sz w:val="32"/>
          <w:szCs w:val="32"/>
          <w:lang w:val="zh-CN"/>
        </w:rPr>
        <w:t>个体育协会、</w:t>
      </w:r>
      <w:r>
        <w:rPr>
          <w:rFonts w:hint="eastAsia" w:hAnsi="仿宋_GB2312" w:cs="仿宋_GB2312"/>
          <w:sz w:val="32"/>
          <w:szCs w:val="32"/>
        </w:rPr>
        <w:t>300</w:t>
      </w:r>
      <w:r>
        <w:rPr>
          <w:rFonts w:hint="eastAsia" w:hAnsi="仿宋_GB2312" w:cs="仿宋_GB2312"/>
          <w:sz w:val="32"/>
          <w:szCs w:val="32"/>
          <w:lang w:val="zh-CN"/>
        </w:rPr>
        <w:t>个全民健身团队、</w:t>
      </w:r>
      <w:r>
        <w:rPr>
          <w:rFonts w:hint="eastAsia" w:hAnsi="仿宋_GB2312" w:cs="仿宋_GB2312"/>
          <w:sz w:val="32"/>
          <w:szCs w:val="32"/>
        </w:rPr>
        <w:t>45</w:t>
      </w:r>
      <w:r>
        <w:rPr>
          <w:rFonts w:hint="eastAsia" w:hAnsi="仿宋_GB2312" w:cs="仿宋_GB2312"/>
          <w:sz w:val="32"/>
          <w:szCs w:val="32"/>
          <w:lang w:val="zh-CN"/>
        </w:rPr>
        <w:t>个健身气功站点，7000余名社会体育指导员常年活跃在基层一线，广泛开展群众健身活动和科学健身指导服务。</w:t>
      </w:r>
      <w:r>
        <w:rPr>
          <w:rFonts w:hint="eastAsia" w:hAnsi="仿宋_GB2312" w:cs="仿宋_GB2312"/>
          <w:sz w:val="32"/>
          <w:szCs w:val="32"/>
        </w:rPr>
        <w:t>推进体育场地均衡分布、提质增量，规划建设“三中心一场馆”体育场馆体系与“三公园一中心”全民健身特色场景，以全龄友好理念提升“15分钟健身圈”品质，体育场地面积达到</w:t>
      </w:r>
      <w:r>
        <w:rPr>
          <w:rFonts w:hint="eastAsia" w:hAnsi="仿宋_GB2312" w:cs="仿宋_GB2312"/>
          <w:sz w:val="32"/>
          <w:szCs w:val="32"/>
          <w:lang w:val="en-US" w:eastAsia="zh-CN"/>
        </w:rPr>
        <w:t>189.3649万</w:t>
      </w:r>
      <w:r>
        <w:rPr>
          <w:rFonts w:hint="eastAsia" w:hAnsi="仿宋_GB2312" w:cs="仿宋_GB2312"/>
          <w:sz w:val="32"/>
          <w:szCs w:val="32"/>
        </w:rPr>
        <w:t>平方米，人均体育场地面积增至</w:t>
      </w:r>
      <w:r>
        <w:rPr>
          <w:rFonts w:hint="eastAsia" w:hAnsi="仿宋_GB2312" w:cs="仿宋_GB2312"/>
          <w:sz w:val="32"/>
          <w:szCs w:val="32"/>
          <w:lang w:val="en-US" w:eastAsia="zh-CN"/>
        </w:rPr>
        <w:t>2.69</w:t>
      </w:r>
      <w:r>
        <w:rPr>
          <w:rFonts w:hint="eastAsia" w:hAnsi="仿宋_GB2312" w:cs="仿宋_GB2312"/>
          <w:sz w:val="32"/>
          <w:szCs w:val="32"/>
        </w:rPr>
        <w:t>平方米；创新“公益共享+智能管理”模式，确保公共体育设施免费或低收费开放率达到100%，</w:t>
      </w:r>
      <w:r>
        <w:rPr>
          <w:rFonts w:hint="eastAsia" w:hAnsi="仿宋_GB2312" w:cs="仿宋_GB2312"/>
          <w:color w:val="000000"/>
          <w:sz w:val="32"/>
          <w:szCs w:val="32"/>
        </w:rPr>
        <w:t>搭建全市首个</w:t>
      </w:r>
      <w:r>
        <w:rPr>
          <w:rFonts w:hint="eastAsia" w:hAnsi="仿宋_GB2312" w:cs="仿宋_GB2312"/>
          <w:sz w:val="32"/>
          <w:szCs w:val="32"/>
        </w:rPr>
        <w:t>智慧文体信息化平台，实现场馆设施管理一网通办，累计服务590万人次。</w:t>
      </w:r>
      <w:r>
        <w:rPr>
          <w:rFonts w:hint="eastAsia" w:hAnsi="仿宋_GB2312" w:cs="仿宋_GB2312"/>
          <w:sz w:val="32"/>
          <w:szCs w:val="32"/>
          <w:lang w:val="zh-CN"/>
        </w:rPr>
        <w:t>探索构建</w:t>
      </w:r>
      <w:r>
        <w:rPr>
          <w:rFonts w:hint="eastAsia" w:hAnsi="仿宋_GB2312" w:cs="仿宋_GB2312"/>
          <w:sz w:val="32"/>
          <w:szCs w:val="32"/>
        </w:rPr>
        <w:t>分层多元的赛事供给体系，</w:t>
      </w:r>
      <w:r>
        <w:rPr>
          <w:rFonts w:hint="eastAsia" w:hAnsi="仿宋_GB2312" w:cs="仿宋_GB2312"/>
          <w:sz w:val="32"/>
          <w:szCs w:val="32"/>
          <w:lang w:val="zh-CN"/>
        </w:rPr>
        <w:t>累计举办全民健身赛事活动1838场次、参与128万人次；</w:t>
      </w:r>
      <w:r>
        <w:rPr>
          <w:rFonts w:hint="eastAsia" w:hAnsi="仿宋_GB2312" w:cs="仿宋_GB2312"/>
          <w:sz w:val="32"/>
          <w:szCs w:val="32"/>
        </w:rPr>
        <w:t>推动冰雪运动普及发展</w:t>
      </w:r>
      <w:r>
        <w:rPr>
          <w:rFonts w:hint="eastAsia" w:hAnsi="仿宋_GB2312" w:cs="仿宋_GB2312"/>
          <w:sz w:val="32"/>
          <w:szCs w:val="32"/>
          <w:lang w:eastAsia="zh-CN"/>
        </w:rPr>
        <w:t>，</w:t>
      </w:r>
      <w:r>
        <w:rPr>
          <w:rFonts w:hint="eastAsia" w:hAnsi="仿宋_GB2312" w:cs="仿宋_GB2312"/>
          <w:color w:val="000000"/>
          <w:sz w:val="32"/>
          <w:szCs w:val="32"/>
        </w:rPr>
        <w:t>鼓励支持多元主体建设运营季节性冰雪场地，</w:t>
      </w:r>
      <w:r>
        <w:rPr>
          <w:rFonts w:hint="eastAsia" w:hAnsi="仿宋_GB2312" w:cs="仿宋_GB2312"/>
          <w:sz w:val="32"/>
          <w:szCs w:val="32"/>
        </w:rPr>
        <w:t>拉动冰雪消费，</w:t>
      </w:r>
      <w:r>
        <w:rPr>
          <w:rFonts w:hint="eastAsia" w:hAnsi="仿宋_GB2312" w:cs="仿宋_GB2312"/>
          <w:color w:val="000000"/>
          <w:sz w:val="32"/>
          <w:szCs w:val="32"/>
        </w:rPr>
        <w:t>年均举办冰雪活动10余场次，参与群众超过10万人次。</w:t>
      </w:r>
      <w:r>
        <w:rPr>
          <w:rFonts w:hint="eastAsia" w:hAnsi="仿宋_GB2312" w:cs="仿宋_GB2312"/>
          <w:color w:val="000000"/>
          <w:sz w:val="32"/>
          <w:szCs w:val="32"/>
          <w:lang w:val="zh-CN"/>
        </w:rPr>
        <w:t>体卫融合先试先行，</w:t>
      </w:r>
      <w:r>
        <w:rPr>
          <w:rFonts w:hint="eastAsia" w:hAnsi="仿宋_GB2312" w:cs="仿宋_GB2312"/>
          <w:color w:val="000000"/>
          <w:kern w:val="0"/>
          <w:sz w:val="32"/>
          <w:szCs w:val="32"/>
        </w:rPr>
        <w:t>落户北京市首个社区健康促进中心，建立两家运动健康指导中心，累计开展体质测试服务1.7万人次，</w:t>
      </w:r>
      <w:r>
        <w:rPr>
          <w:rFonts w:hint="eastAsia" w:hAnsi="仿宋_GB2312" w:cs="仿宋_GB2312"/>
          <w:sz w:val="32"/>
          <w:szCs w:val="32"/>
        </w:rPr>
        <w:t>科学健身指导进社区活动惠及群众650余人。截至2025年，东城区经常参加体育锻炼人数比例</w:t>
      </w:r>
      <w:r>
        <w:rPr>
          <w:rFonts w:hint="default" w:hAnsi="仿宋_GB2312" w:cs="仿宋_GB2312"/>
          <w:sz w:val="32"/>
          <w:szCs w:val="32"/>
          <w:lang w:val="en-US"/>
        </w:rPr>
        <w:t>53.77</w:t>
      </w:r>
      <w:r>
        <w:rPr>
          <w:rFonts w:hint="eastAsia" w:hAnsi="仿宋_GB2312" w:cs="仿宋_GB2312"/>
          <w:sz w:val="32"/>
          <w:szCs w:val="32"/>
        </w:rPr>
        <w:t>%，国民体质测试合格率为89.5%，</w:t>
      </w:r>
      <w:r>
        <w:rPr>
          <w:rFonts w:hint="eastAsia" w:hAnsi="仿宋_GB2312" w:cs="仿宋_GB2312"/>
          <w:color w:val="000000"/>
          <w:kern w:val="0"/>
          <w:sz w:val="32"/>
          <w:szCs w:val="32"/>
        </w:rPr>
        <w:t>每千人拥有社会体育指导员10.2名。</w:t>
      </w:r>
    </w:p>
    <w:p>
      <w:pPr>
        <w:pageBreakBefore w:val="0"/>
        <w:kinsoku/>
        <w:wordWrap/>
        <w:overflowPunct/>
        <w:topLinePunct w:val="0"/>
        <w:autoSpaceDE/>
        <w:autoSpaceDN/>
        <w:bidi w:val="0"/>
        <w:adjustRightInd/>
        <w:spacing w:line="560" w:lineRule="exact"/>
        <w:ind w:firstLine="643"/>
        <w:rPr>
          <w:rFonts w:hint="eastAsia" w:hAnsi="仿宋_GB2312" w:cs="仿宋_GB2312"/>
          <w:sz w:val="32"/>
          <w:szCs w:val="32"/>
        </w:rPr>
      </w:pPr>
      <w:bookmarkStart w:id="4" w:name="OLE_LINK8"/>
      <w:r>
        <w:rPr>
          <w:rFonts w:hint="eastAsia" w:hAnsi="仿宋_GB2312" w:cs="仿宋_GB2312"/>
          <w:b/>
          <w:bCs/>
          <w:sz w:val="32"/>
          <w:szCs w:val="32"/>
          <w:highlight w:val="none"/>
        </w:rPr>
        <w:t>青少年体育工作开新篇，竞技体育综合实力进一步增强。</w:t>
      </w:r>
      <w:r>
        <w:rPr>
          <w:rFonts w:hint="eastAsia" w:hAnsi="仿宋_GB2312" w:cs="仿宋_GB2312"/>
          <w:sz w:val="32"/>
          <w:szCs w:val="32"/>
        </w:rPr>
        <w:t>紧紧围绕“以输送为主线、以奥亚全青为目标、以市运会为重点”的发展战略，“十四五”时期竞技体育成果丰硕</w:t>
      </w:r>
      <w:r>
        <w:rPr>
          <w:rFonts w:hint="eastAsia" w:hAnsi="仿宋_GB2312" w:cs="仿宋_GB2312"/>
          <w:sz w:val="32"/>
          <w:szCs w:val="32"/>
          <w:lang w:eastAsia="zh-CN"/>
        </w:rPr>
        <w:t>。</w:t>
      </w:r>
      <w:r>
        <w:rPr>
          <w:rFonts w:hint="eastAsia" w:hAnsi="仿宋_GB2312" w:cs="仿宋_GB2312"/>
          <w:sz w:val="32"/>
          <w:szCs w:val="32"/>
        </w:rPr>
        <w:t>累计向上级运动队输送运动员255人</w:t>
      </w:r>
      <w:r>
        <w:rPr>
          <w:rFonts w:hint="eastAsia" w:hAnsi="仿宋_GB2312" w:cs="仿宋_GB2312"/>
          <w:sz w:val="32"/>
          <w:szCs w:val="32"/>
          <w:lang w:eastAsia="zh-CN"/>
        </w:rPr>
        <w:t>，</w:t>
      </w:r>
      <w:r>
        <w:rPr>
          <w:rFonts w:hint="eastAsia" w:hAnsi="仿宋_GB2312" w:cs="仿宋_GB2312"/>
          <w:sz w:val="32"/>
          <w:szCs w:val="32"/>
        </w:rPr>
        <w:t>在东京、巴黎两届奥运会中获得5金、5银、4铜</w:t>
      </w:r>
      <w:r>
        <w:rPr>
          <w:rFonts w:hint="eastAsia" w:hAnsi="仿宋_GB2312" w:cs="仿宋_GB2312"/>
          <w:sz w:val="32"/>
          <w:szCs w:val="32"/>
          <w:lang w:eastAsia="zh-CN"/>
        </w:rPr>
        <w:t>，</w:t>
      </w:r>
      <w:r>
        <w:rPr>
          <w:rFonts w:hint="eastAsia" w:hAnsi="仿宋_GB2312" w:cs="仿宋_GB2312"/>
          <w:sz w:val="32"/>
          <w:szCs w:val="32"/>
        </w:rPr>
        <w:t>在杭州亚运会中获得3金、1银、1铜</w:t>
      </w:r>
      <w:r>
        <w:rPr>
          <w:rFonts w:hint="eastAsia" w:hAnsi="仿宋_GB2312" w:cs="仿宋_GB2312"/>
          <w:sz w:val="32"/>
          <w:szCs w:val="32"/>
          <w:lang w:eastAsia="zh-CN"/>
        </w:rPr>
        <w:t>，</w:t>
      </w:r>
      <w:r>
        <w:rPr>
          <w:rFonts w:hint="eastAsia" w:hAnsi="仿宋_GB2312" w:cs="仿宋_GB2312"/>
          <w:sz w:val="32"/>
          <w:szCs w:val="32"/>
        </w:rPr>
        <w:t>在第14届陕西全运会中获得11金、4银、3铜，在第15届“粤港澳”全运会中获得7金、4银、5铜</w:t>
      </w:r>
      <w:r>
        <w:rPr>
          <w:rFonts w:hint="eastAsia" w:hAnsi="仿宋_GB2312" w:cs="仿宋_GB2312"/>
          <w:sz w:val="32"/>
          <w:szCs w:val="32"/>
          <w:lang w:eastAsia="zh-CN"/>
        </w:rPr>
        <w:t>，</w:t>
      </w:r>
      <w:r>
        <w:rPr>
          <w:rFonts w:hint="eastAsia" w:hAnsi="仿宋_GB2312" w:cs="仿宋_GB2312"/>
          <w:sz w:val="32"/>
          <w:szCs w:val="32"/>
        </w:rPr>
        <w:t>在全国第一届学生（青年）运动会（公开组）中获得9金、12银、13铜</w:t>
      </w:r>
      <w:r>
        <w:rPr>
          <w:rFonts w:hint="eastAsia" w:hAnsi="仿宋_GB2312" w:cs="仿宋_GB2312"/>
          <w:sz w:val="32"/>
          <w:szCs w:val="32"/>
          <w:lang w:eastAsia="zh-CN"/>
        </w:rPr>
        <w:t>，</w:t>
      </w:r>
      <w:r>
        <w:rPr>
          <w:rFonts w:hint="eastAsia" w:hAnsi="仿宋_GB2312" w:cs="仿宋_GB2312"/>
          <w:sz w:val="32"/>
          <w:szCs w:val="32"/>
        </w:rPr>
        <w:t>均贡献</w:t>
      </w:r>
      <w:r>
        <w:rPr>
          <w:rFonts w:hint="eastAsia" w:hAnsi="仿宋_GB2312" w:cs="仿宋_GB2312"/>
          <w:sz w:val="32"/>
          <w:szCs w:val="32"/>
          <w:lang w:eastAsia="zh-CN"/>
        </w:rPr>
        <w:t>了</w:t>
      </w:r>
      <w:r>
        <w:rPr>
          <w:rFonts w:hint="eastAsia" w:hAnsi="仿宋_GB2312" w:cs="仿宋_GB2312"/>
          <w:sz w:val="32"/>
          <w:szCs w:val="32"/>
        </w:rPr>
        <w:t>北京市奖牌总数的“半壁江山”。</w:t>
      </w:r>
      <w:r>
        <w:rPr>
          <w:rFonts w:hint="eastAsia" w:hAnsi="仿宋_GB2312" w:cs="仿宋_GB2312"/>
          <w:sz w:val="32"/>
          <w:szCs w:val="32"/>
          <w:lang w:eastAsia="zh-CN"/>
        </w:rPr>
        <w:t>此外</w:t>
      </w:r>
      <w:r>
        <w:rPr>
          <w:rFonts w:hint="eastAsia" w:hAnsi="仿宋_GB2312" w:cs="仿宋_GB2312"/>
          <w:sz w:val="32"/>
          <w:szCs w:val="32"/>
        </w:rPr>
        <w:t>，我区健儿在国际重大赛事中累计夺得64金22银14铜，展现了奋勇争先、为国争光的体育精神。人才培养方面，构建以业余体校为主体，传统项目学校、体育俱乐部为依托，社会力量为补充的体育后备人才贯通式培训体系。深化体教融合，建立体育与教育部门协同联动的青少年体育发展体系；优化全区70家体育传统特色学校的项目设置，逐步落实“1248一条龙”训练升学体系，创新打造“区队校办”模式；“阳光体育”与“奔跑吧·少年”系列主题赛事相结合，青少年赛事活动数量与参与人数显著增长。</w:t>
      </w:r>
    </w:p>
    <w:p>
      <w:pPr>
        <w:pageBreakBefore w:val="0"/>
        <w:kinsoku/>
        <w:wordWrap/>
        <w:overflowPunct/>
        <w:topLinePunct w:val="0"/>
        <w:autoSpaceDE/>
        <w:autoSpaceDN/>
        <w:bidi w:val="0"/>
        <w:adjustRightInd/>
        <w:spacing w:line="560" w:lineRule="exact"/>
        <w:ind w:firstLine="643"/>
        <w:rPr>
          <w:rFonts w:hint="eastAsia" w:hAnsi="仿宋_GB2312" w:cs="仿宋_GB2312"/>
          <w:sz w:val="32"/>
          <w:szCs w:val="32"/>
        </w:rPr>
      </w:pPr>
      <w:r>
        <w:rPr>
          <w:rFonts w:hint="eastAsia"/>
          <w:b/>
          <w:bCs/>
          <w:sz w:val="32"/>
          <w:szCs w:val="32"/>
        </w:rPr>
        <w:t>体育产业加快发展，消费动能日益强劲。</w:t>
      </w:r>
      <w:r>
        <w:rPr>
          <w:rFonts w:hint="eastAsia" w:hAnsi="仿宋_GB2312" w:cs="仿宋_GB2312"/>
          <w:sz w:val="32"/>
          <w:szCs w:val="32"/>
        </w:rPr>
        <w:t>持续激发体育产业主体活力，深入梳理产业上下游链条，建立体育企业清单，截至2025年，共有体育业法人和产业活动单位1660家，国家体育产业示范单位1家，北京市体育产业示范单位（项目）数量达到11个。充分发挥服务管家作用，成功引进中足联体育发展（北京）有限责任公司等体育产业龙头企业。截至2025年，东城区规模以上体育业企业达到32家，营业收入在全市体育产业中占比约20%，占据重要地位。加快推进“体育赛事进景区、进街区、进商圈”，重点培育东城区“8·8”体育消费节、“冰雪嘉年华”等特色品牌活动，积极释放体育赛事经济溢出效应。推进文商旅体深度融合，12个项目获得北京市体育旅游精品项目，多措并举创新体育消费场景。</w:t>
      </w:r>
    </w:p>
    <w:bookmarkEnd w:id="4"/>
    <w:p>
      <w:pPr>
        <w:pageBreakBefore w:val="0"/>
        <w:kinsoku/>
        <w:wordWrap/>
        <w:overflowPunct/>
        <w:topLinePunct w:val="0"/>
        <w:autoSpaceDE/>
        <w:autoSpaceDN/>
        <w:bidi w:val="0"/>
        <w:adjustRightInd/>
        <w:spacing w:line="560" w:lineRule="exact"/>
        <w:ind w:firstLine="643"/>
        <w:rPr>
          <w:rFonts w:hint="eastAsia" w:hAnsi="仿宋_GB2312" w:cs="仿宋_GB2312"/>
          <w:sz w:val="32"/>
          <w:szCs w:val="32"/>
        </w:rPr>
      </w:pPr>
      <w:bookmarkStart w:id="5" w:name="OLE_LINK9"/>
      <w:r>
        <w:rPr>
          <w:rFonts w:hint="eastAsia" w:hAnsi="仿宋_GB2312" w:cs="仿宋_GB2312"/>
          <w:b/>
          <w:bCs/>
          <w:sz w:val="32"/>
          <w:szCs w:val="32"/>
        </w:rPr>
        <w:t>行业监管多措并举。</w:t>
      </w:r>
      <w:r>
        <w:rPr>
          <w:rFonts w:hint="eastAsia" w:hAnsi="仿宋_GB2312" w:cs="仿宋_GB2312"/>
          <w:sz w:val="32"/>
          <w:szCs w:val="32"/>
        </w:rPr>
        <w:t>在行业安全监管方面，督促体育经营单位严格落实安全生产各项规章制度，结合《东城区体育局安全生产治本攻坚三年行动方案（2024-2026年）》，狠抓隐患排查整治，实现安全生产“零事故”的目标。在预付费监管方面，严格执行《北京市单用途预付卡管理条例》，深化体育行业预付费治理，实现涉及预付费的体育经营单位资金监管账户开户率、备案率与启用率均达100%。</w:t>
      </w:r>
    </w:p>
    <w:bookmarkEnd w:id="5"/>
    <w:p>
      <w:pPr>
        <w:pStyle w:val="3"/>
        <w:pageBreakBefore w:val="0"/>
        <w:numPr>
          <w:ilvl w:val="1"/>
          <w:numId w:val="0"/>
        </w:numPr>
        <w:kinsoku/>
        <w:wordWrap/>
        <w:overflowPunct/>
        <w:topLinePunct w:val="0"/>
        <w:autoSpaceDE/>
        <w:autoSpaceDN/>
        <w:bidi w:val="0"/>
        <w:adjustRightInd/>
        <w:spacing w:line="560" w:lineRule="exact"/>
        <w:ind w:firstLine="640"/>
        <w:rPr>
          <w:rFonts w:hint="eastAsia"/>
          <w:sz w:val="32"/>
          <w:highlight w:val="none"/>
        </w:rPr>
      </w:pPr>
      <w:bookmarkStart w:id="6" w:name="_Toc219116690"/>
      <w:r>
        <w:rPr>
          <w:rFonts w:hint="eastAsia"/>
          <w:sz w:val="32"/>
          <w:highlight w:val="none"/>
        </w:rPr>
        <w:t>二、“十五五”时期东城区体育发展面临的机遇与挑战</w:t>
      </w:r>
      <w:bookmarkEnd w:id="6"/>
    </w:p>
    <w:p>
      <w:pPr>
        <w:pageBreakBefore w:val="0"/>
        <w:kinsoku/>
        <w:wordWrap/>
        <w:overflowPunct/>
        <w:topLinePunct w:val="0"/>
        <w:autoSpaceDE/>
        <w:autoSpaceDN/>
        <w:bidi w:val="0"/>
        <w:adjustRightInd/>
        <w:spacing w:line="560" w:lineRule="exact"/>
        <w:ind w:firstLine="643"/>
        <w:rPr>
          <w:rFonts w:hint="eastAsia"/>
          <w:sz w:val="32"/>
          <w:szCs w:val="32"/>
          <w:highlight w:val="none"/>
        </w:rPr>
      </w:pPr>
      <w:bookmarkStart w:id="7" w:name="OLE_LINK4"/>
      <w:r>
        <w:rPr>
          <w:rFonts w:hint="eastAsia"/>
          <w:b/>
          <w:bCs/>
          <w:sz w:val="32"/>
          <w:szCs w:val="32"/>
          <w:highlight w:val="none"/>
        </w:rPr>
        <w:t>国家战略赋能，双奥名城助力。</w:t>
      </w:r>
      <w:r>
        <w:rPr>
          <w:rFonts w:hint="eastAsia"/>
          <w:sz w:val="32"/>
          <w:szCs w:val="32"/>
          <w:highlight w:val="none"/>
        </w:rPr>
        <w:t>“十五五”时期将是我国从体育大国、奥运强国迈向体育强国</w:t>
      </w:r>
      <w:r>
        <w:rPr>
          <w:rFonts w:hint="eastAsia"/>
          <w:color w:val="auto"/>
          <w:sz w:val="32"/>
          <w:szCs w:val="32"/>
          <w:highlight w:val="none"/>
          <w:lang w:eastAsia="zh-CN"/>
        </w:rPr>
        <w:t>的</w:t>
      </w:r>
      <w:r>
        <w:rPr>
          <w:rFonts w:hint="eastAsia"/>
          <w:sz w:val="32"/>
          <w:szCs w:val="32"/>
          <w:highlight w:val="none"/>
        </w:rPr>
        <w:t>重要阶段，也是全面建设北京双奥国际赛事名城的新征程。东城区立足体育强区目标，</w:t>
      </w:r>
      <w:r>
        <w:rPr>
          <w:rFonts w:hint="eastAsia" w:hAnsi="仿宋_GB2312" w:cs="仿宋_GB2312"/>
          <w:color w:val="000000"/>
          <w:kern w:val="0"/>
          <w:sz w:val="32"/>
          <w:szCs w:val="32"/>
          <w:highlight w:val="none"/>
        </w:rPr>
        <w:t>把体育工作融入国家经济发展大局</w:t>
      </w:r>
      <w:r>
        <w:rPr>
          <w:rFonts w:hint="eastAsia"/>
          <w:sz w:val="32"/>
          <w:szCs w:val="32"/>
          <w:highlight w:val="none"/>
        </w:rPr>
        <w:t>，向外融合实现双向赋能，向内激活内生增长动能，在全民健身体系创新建设、体育公共服务高质量供给、竞技体育核心人才培育、体育产业集聚建设和创新发展等方面具有广阔发展空间。</w:t>
      </w:r>
    </w:p>
    <w:p>
      <w:pPr>
        <w:pageBreakBefore w:val="0"/>
        <w:kinsoku/>
        <w:wordWrap/>
        <w:overflowPunct/>
        <w:topLinePunct w:val="0"/>
        <w:autoSpaceDE/>
        <w:autoSpaceDN/>
        <w:bidi w:val="0"/>
        <w:adjustRightInd/>
        <w:spacing w:line="560" w:lineRule="exact"/>
        <w:ind w:firstLine="643"/>
        <w:rPr>
          <w:rFonts w:hint="eastAsia"/>
          <w:sz w:val="32"/>
          <w:szCs w:val="32"/>
          <w:highlight w:val="none"/>
        </w:rPr>
      </w:pPr>
      <w:r>
        <w:rPr>
          <w:rFonts w:hint="eastAsia"/>
          <w:b/>
          <w:bCs/>
          <w:sz w:val="32"/>
          <w:szCs w:val="32"/>
          <w:highlight w:val="none"/>
        </w:rPr>
        <w:t>青训体系升级，人才基地筑基。</w:t>
      </w:r>
      <w:r>
        <w:rPr>
          <w:rFonts w:hint="eastAsia" w:hAnsi="仿宋_GB2312" w:cs="仿宋_GB2312"/>
          <w:sz w:val="32"/>
          <w:szCs w:val="32"/>
          <w:highlight w:val="none"/>
        </w:rPr>
        <w:t>国家体育总局竞技体育“633战略”的深入实施为竞技体育工作指明方向。</w:t>
      </w:r>
      <w:r>
        <w:rPr>
          <w:rFonts w:hint="eastAsia"/>
          <w:sz w:val="32"/>
          <w:szCs w:val="32"/>
          <w:highlight w:val="none"/>
        </w:rPr>
        <w:t>北京市聚焦落实该战略，加强全生命周期人才梯队建设，构建全要素融合发展生态体系。东城区全力推进体育人才高地的全面建设，为东城青少年体育工作带来高质量发展的战略机遇。以此为契机，进一步发挥区域资源禀赋优势，优化项目布局，加强高水平体育后备人才基地建设，为北京体育发展做出更多“东城贡献”。</w:t>
      </w:r>
    </w:p>
    <w:p>
      <w:pPr>
        <w:pageBreakBefore w:val="0"/>
        <w:kinsoku/>
        <w:wordWrap/>
        <w:overflowPunct/>
        <w:topLinePunct w:val="0"/>
        <w:autoSpaceDE/>
        <w:autoSpaceDN/>
        <w:bidi w:val="0"/>
        <w:adjustRightInd/>
        <w:spacing w:line="560" w:lineRule="exact"/>
        <w:ind w:firstLine="643"/>
        <w:rPr>
          <w:rFonts w:hint="eastAsia"/>
          <w:b/>
          <w:bCs/>
          <w:sz w:val="32"/>
          <w:szCs w:val="32"/>
        </w:rPr>
      </w:pPr>
      <w:bookmarkStart w:id="8" w:name="OLE_LINK10"/>
      <w:r>
        <w:rPr>
          <w:rFonts w:hint="eastAsia"/>
          <w:b/>
          <w:bCs/>
          <w:sz w:val="32"/>
          <w:szCs w:val="32"/>
        </w:rPr>
        <w:t>体育产业政策集聚，多维释放体育消费潜能。</w:t>
      </w:r>
      <w:r>
        <w:rPr>
          <w:rFonts w:hint="eastAsia"/>
          <w:sz w:val="32"/>
          <w:szCs w:val="32"/>
        </w:rPr>
        <w:t>体育产业进入全新发展阶段，加速成为国民经济新增长点，国办发</w:t>
      </w:r>
      <w:r>
        <w:rPr>
          <w:rFonts w:hint="eastAsia" w:ascii="方正小标宋简体" w:hAnsi="方正小标宋简体" w:eastAsia="方正小标宋简体" w:cs="方正小标宋简体"/>
          <w:sz w:val="32"/>
          <w:szCs w:val="32"/>
        </w:rPr>
        <w:t>〔</w:t>
      </w:r>
      <w:r>
        <w:rPr>
          <w:rFonts w:hint="eastAsia" w:eastAsia="方正小标宋简体"/>
          <w:sz w:val="32"/>
          <w:szCs w:val="32"/>
          <w:lang w:val="en-US" w:eastAsia="zh-CN"/>
        </w:rPr>
        <w:t>2025</w:t>
      </w:r>
      <w:r>
        <w:rPr>
          <w:rFonts w:hint="eastAsia" w:ascii="方正小标宋简体" w:hAnsi="方正小标宋简体" w:eastAsia="方正小标宋简体" w:cs="方正小标宋简体"/>
          <w:sz w:val="32"/>
          <w:szCs w:val="32"/>
          <w:lang w:val="en-US" w:eastAsia="zh-CN"/>
        </w:rPr>
        <w:t>〕</w:t>
      </w:r>
      <w:r>
        <w:rPr>
          <w:rFonts w:hint="eastAsia"/>
          <w:sz w:val="32"/>
          <w:szCs w:val="32"/>
        </w:rPr>
        <w:t>31号文特别明确要提振体育消费，推进体育产业提质扩容。结合</w:t>
      </w:r>
      <w:r>
        <w:rPr>
          <w:sz w:val="32"/>
          <w:szCs w:val="32"/>
        </w:rPr>
        <w:t>国际消费中心城市</w:t>
      </w:r>
      <w:r>
        <w:rPr>
          <w:rFonts w:hint="eastAsia"/>
          <w:sz w:val="32"/>
          <w:szCs w:val="32"/>
        </w:rPr>
        <w:t>示范区建设，东城区体育产业应以体育消费为主线，发挥独特优势，提升发展能级，为</w:t>
      </w:r>
      <w:r>
        <w:rPr>
          <w:sz w:val="32"/>
          <w:szCs w:val="32"/>
        </w:rPr>
        <w:t>区域经济社会发展</w:t>
      </w:r>
      <w:r>
        <w:rPr>
          <w:rFonts w:hint="eastAsia"/>
          <w:sz w:val="32"/>
          <w:szCs w:val="32"/>
        </w:rPr>
        <w:t>注入体育新动能。</w:t>
      </w:r>
    </w:p>
    <w:p>
      <w:pPr>
        <w:pageBreakBefore w:val="0"/>
        <w:kinsoku/>
        <w:wordWrap/>
        <w:overflowPunct/>
        <w:topLinePunct w:val="0"/>
        <w:autoSpaceDE/>
        <w:autoSpaceDN/>
        <w:bidi w:val="0"/>
        <w:adjustRightInd/>
        <w:spacing w:line="560" w:lineRule="exact"/>
        <w:ind w:firstLine="643"/>
        <w:rPr>
          <w:rFonts w:hint="eastAsia"/>
          <w:sz w:val="32"/>
          <w:szCs w:val="32"/>
        </w:rPr>
      </w:pPr>
      <w:r>
        <w:rPr>
          <w:rFonts w:hint="eastAsia"/>
          <w:b/>
          <w:bCs/>
          <w:sz w:val="32"/>
          <w:szCs w:val="32"/>
        </w:rPr>
        <w:t>“体育+”融合持续深入，多元动能全面激活。</w:t>
      </w:r>
      <w:r>
        <w:rPr>
          <w:rFonts w:hint="eastAsia"/>
          <w:sz w:val="32"/>
          <w:szCs w:val="32"/>
        </w:rPr>
        <w:t>体育的多元功能和价值效应日益显现，具有极强的经济拉动乘数效应、文化传承融合效应与社会促进协同效应。东城区应紧密对接辖区优势资源，拓展融合广度，强化融合深度，加强相互赋能</w:t>
      </w:r>
      <w:r>
        <w:rPr>
          <w:rFonts w:hint="eastAsia"/>
          <w:b w:val="0"/>
          <w:bCs w:val="0"/>
          <w:sz w:val="32"/>
          <w:szCs w:val="32"/>
        </w:rPr>
        <w:t>，</w:t>
      </w:r>
      <w:r>
        <w:rPr>
          <w:rFonts w:hint="eastAsia"/>
          <w:sz w:val="32"/>
          <w:szCs w:val="32"/>
        </w:rPr>
        <w:t>开创“体育+”融合发展新模式。</w:t>
      </w:r>
    </w:p>
    <w:p>
      <w:pPr>
        <w:pageBreakBefore w:val="0"/>
        <w:kinsoku/>
        <w:wordWrap/>
        <w:overflowPunct/>
        <w:topLinePunct w:val="0"/>
        <w:autoSpaceDE/>
        <w:autoSpaceDN/>
        <w:bidi w:val="0"/>
        <w:adjustRightInd/>
        <w:spacing w:line="560" w:lineRule="exact"/>
        <w:ind w:firstLine="643"/>
        <w:rPr>
          <w:rFonts w:hint="eastAsia"/>
          <w:sz w:val="32"/>
          <w:szCs w:val="32"/>
        </w:rPr>
      </w:pPr>
      <w:r>
        <w:rPr>
          <w:rFonts w:hint="eastAsia"/>
          <w:b/>
          <w:bCs/>
          <w:sz w:val="32"/>
          <w:szCs w:val="32"/>
        </w:rPr>
        <w:t>体育需求迭代升级，发展空间持续拓展。</w:t>
      </w:r>
      <w:bookmarkStart w:id="9" w:name="OLE_LINK2"/>
      <w:r>
        <w:rPr>
          <w:rFonts w:hint="eastAsia"/>
          <w:sz w:val="32"/>
          <w:szCs w:val="32"/>
        </w:rPr>
        <w:t>体育成为居民重要生活方式，进一步推进体育需求从“有没有”向“好不好”“优不优”升级</w:t>
      </w:r>
      <w:bookmarkEnd w:id="9"/>
      <w:r>
        <w:rPr>
          <w:rFonts w:hint="eastAsia"/>
          <w:sz w:val="32"/>
          <w:szCs w:val="32"/>
        </w:rPr>
        <w:t>。东城区需精准把握新趋势，全面增加各类体育产品和服务供给，更好满足人民群众对于体育工作的更高要求。</w:t>
      </w:r>
    </w:p>
    <w:p>
      <w:pPr>
        <w:pageBreakBefore w:val="0"/>
        <w:kinsoku/>
        <w:wordWrap/>
        <w:overflowPunct/>
        <w:topLinePunct w:val="0"/>
        <w:autoSpaceDE/>
        <w:autoSpaceDN/>
        <w:bidi w:val="0"/>
        <w:adjustRightInd/>
        <w:spacing w:line="560" w:lineRule="exact"/>
        <w:ind w:firstLine="640"/>
        <w:rPr>
          <w:rFonts w:hint="eastAsia"/>
          <w:sz w:val="32"/>
          <w:szCs w:val="32"/>
          <w:highlight w:val="none"/>
        </w:rPr>
      </w:pPr>
      <w:r>
        <w:rPr>
          <w:rFonts w:hint="eastAsia"/>
          <w:sz w:val="32"/>
          <w:szCs w:val="32"/>
          <w:highlight w:val="none"/>
        </w:rPr>
        <w:t>在把握机遇的同时，东城区体育需要清醒认识诸多挑战。城市空间资源约束问题凸显，体育场地设施难以有效满足全民健身新需求，竞技体育场地设施亟待提升高质量训练保障能力，赛事活动承载能力不足。竞技体育专业人才队伍可持续发展能力需全面优化，部分项目存在选材困难、科学训练软硬件支撑不足，教练员队伍的视野与学习意识有待加强。特色体育资源与属地联动发展机制不健全，未能充分发挥自身资源优势，在体育消费场景开发、“体育+”深度融合等方面潜力有待进一步挖掘。</w:t>
      </w:r>
    </w:p>
    <w:bookmarkEnd w:id="7"/>
    <w:p>
      <w:pPr>
        <w:pageBreakBefore w:val="0"/>
        <w:kinsoku/>
        <w:wordWrap/>
        <w:overflowPunct/>
        <w:topLinePunct w:val="0"/>
        <w:autoSpaceDE/>
        <w:autoSpaceDN/>
        <w:bidi w:val="0"/>
        <w:adjustRightInd/>
        <w:spacing w:line="560" w:lineRule="exact"/>
        <w:ind w:firstLine="640"/>
        <w:rPr>
          <w:rFonts w:hint="eastAsia"/>
          <w:sz w:val="32"/>
          <w:szCs w:val="32"/>
        </w:rPr>
      </w:pPr>
      <w:r>
        <w:rPr>
          <w:rFonts w:hint="eastAsia"/>
          <w:sz w:val="32"/>
          <w:szCs w:val="32"/>
        </w:rPr>
        <w:t>综合判断，“十五五”时期是东城区体育发展的重要战略机遇期。需要主动服务和融入国家战略与首都发展大局，持续巩固和深化拓展国家全民运动健身模范区创建成果，以建设青少年体育人才高地与体育产业特色资源聚集地为主线，系统加强体育行业监管，深化“体育+”融合发展，奋力开创“体育强区”建设新局面。</w:t>
      </w:r>
    </w:p>
    <w:bookmarkEnd w:id="8"/>
    <w:p>
      <w:pPr>
        <w:pageBreakBefore w:val="0"/>
        <w:kinsoku/>
        <w:wordWrap/>
        <w:overflowPunct/>
        <w:topLinePunct w:val="0"/>
        <w:autoSpaceDE/>
        <w:autoSpaceDN/>
        <w:bidi w:val="0"/>
        <w:adjustRightInd/>
        <w:spacing w:line="560" w:lineRule="exact"/>
        <w:ind w:firstLine="560"/>
        <w:rPr>
          <w:rFonts w:hint="eastAsia"/>
        </w:rPr>
      </w:pPr>
    </w:p>
    <w:p>
      <w:pPr>
        <w:pStyle w:val="2"/>
        <w:pageBreakBefore w:val="0"/>
        <w:numPr>
          <w:ilvl w:val="0"/>
          <w:numId w:val="0"/>
        </w:numPr>
        <w:kinsoku/>
        <w:wordWrap/>
        <w:overflowPunct/>
        <w:topLinePunct w:val="0"/>
        <w:autoSpaceDE/>
        <w:autoSpaceDN/>
        <w:bidi w:val="0"/>
        <w:adjustRightInd/>
        <w:spacing w:before="312" w:after="312" w:line="560" w:lineRule="exact"/>
        <w:rPr>
          <w:rFonts w:hint="eastAsia"/>
        </w:rPr>
      </w:pPr>
      <w:bookmarkStart w:id="10" w:name="_Toc219116691"/>
      <w:r>
        <w:rPr>
          <w:rFonts w:hint="eastAsia"/>
        </w:rPr>
        <w:t>第二章  总体战略</w:t>
      </w:r>
      <w:bookmarkEnd w:id="10"/>
    </w:p>
    <w:p>
      <w:pPr>
        <w:pStyle w:val="3"/>
        <w:pageBreakBefore w:val="0"/>
        <w:numPr>
          <w:ilvl w:val="1"/>
          <w:numId w:val="0"/>
        </w:numPr>
        <w:kinsoku/>
        <w:wordWrap/>
        <w:overflowPunct/>
        <w:topLinePunct w:val="0"/>
        <w:autoSpaceDE/>
        <w:autoSpaceDN/>
        <w:bidi w:val="0"/>
        <w:adjustRightInd/>
        <w:spacing w:line="560" w:lineRule="exact"/>
        <w:ind w:firstLine="640"/>
        <w:rPr>
          <w:rFonts w:hint="eastAsia"/>
          <w:sz w:val="32"/>
        </w:rPr>
      </w:pPr>
      <w:bookmarkStart w:id="11" w:name="_Toc219116692"/>
      <w:bookmarkStart w:id="12" w:name="OLE_LINK22"/>
      <w:r>
        <w:rPr>
          <w:rFonts w:hint="eastAsia"/>
          <w:sz w:val="32"/>
        </w:rPr>
        <w:t>一、指导思想</w:t>
      </w:r>
      <w:bookmarkEnd w:id="11"/>
    </w:p>
    <w:p>
      <w:pPr>
        <w:pageBreakBefore w:val="0"/>
        <w:kinsoku/>
        <w:wordWrap/>
        <w:overflowPunct/>
        <w:topLinePunct w:val="0"/>
        <w:autoSpaceDE/>
        <w:autoSpaceDN/>
        <w:bidi w:val="0"/>
        <w:adjustRightInd/>
        <w:spacing w:line="560" w:lineRule="exact"/>
        <w:ind w:firstLine="640"/>
        <w:rPr>
          <w:rFonts w:hint="eastAsia"/>
          <w:sz w:val="32"/>
          <w:szCs w:val="32"/>
        </w:rPr>
      </w:pPr>
      <w:r>
        <w:rPr>
          <w:rFonts w:hint="eastAsia"/>
          <w:sz w:val="32"/>
          <w:szCs w:val="32"/>
        </w:rPr>
        <w:t>全面贯彻习近平新时代中国特色社会主义思想，全面落实党的二十大和</w:t>
      </w:r>
      <w:r>
        <w:rPr>
          <w:rFonts w:hAnsi="仿宋_GB2312" w:cs="仿宋_GB2312"/>
          <w:sz w:val="32"/>
          <w:szCs w:val="32"/>
        </w:rPr>
        <w:t>历次全会</w:t>
      </w:r>
      <w:r>
        <w:rPr>
          <w:rFonts w:hint="eastAsia"/>
          <w:sz w:val="32"/>
          <w:szCs w:val="32"/>
        </w:rPr>
        <w:t>精神，深入贯彻习近平总书记</w:t>
      </w:r>
      <w:r>
        <w:rPr>
          <w:sz w:val="32"/>
          <w:szCs w:val="32"/>
        </w:rPr>
        <w:t>关于北京工作重要讲话精神和体育工作重要论述及重要指示批示精神</w:t>
      </w:r>
      <w:r>
        <w:rPr>
          <w:rFonts w:hint="eastAsia"/>
          <w:sz w:val="32"/>
          <w:szCs w:val="32"/>
        </w:rPr>
        <w:t>，</w:t>
      </w:r>
      <w:r>
        <w:rPr>
          <w:rFonts w:hint="eastAsia" w:ascii="Times New Roman" w:hAnsi="Times New Roman"/>
          <w:kern w:val="0"/>
          <w:sz w:val="32"/>
          <w:szCs w:val="32"/>
        </w:rPr>
        <w:t>完整准确全面贯彻新发展理念。</w:t>
      </w:r>
      <w:r>
        <w:rPr>
          <w:rFonts w:hint="eastAsia"/>
          <w:sz w:val="32"/>
          <w:szCs w:val="32"/>
        </w:rPr>
        <w:t>立足核心区功能定位，坚持稳中求进、以进促稳，创新做好“六字文章”、改革强化“六力提升”，聚焦建设体育强区，充分发挥体育“为人民幸福生活助力，为社会发展注能”功能，助力双奥国际赛事名城建设，</w:t>
      </w:r>
      <w:r>
        <w:rPr>
          <w:rFonts w:hint="eastAsia" w:ascii="Times New Roman" w:hAnsi="Times New Roman"/>
          <w:sz w:val="32"/>
          <w:szCs w:val="32"/>
        </w:rPr>
        <w:t>为加快建设国际一流的和谐宜居之都首善之区</w:t>
      </w:r>
      <w:r>
        <w:rPr>
          <w:rFonts w:hint="eastAsia"/>
          <w:sz w:val="32"/>
          <w:szCs w:val="32"/>
        </w:rPr>
        <w:t>贡献体育力量。</w:t>
      </w:r>
    </w:p>
    <w:p>
      <w:pPr>
        <w:pStyle w:val="3"/>
        <w:pageBreakBefore w:val="0"/>
        <w:numPr>
          <w:ilvl w:val="1"/>
          <w:numId w:val="0"/>
        </w:numPr>
        <w:kinsoku/>
        <w:wordWrap/>
        <w:overflowPunct/>
        <w:topLinePunct w:val="0"/>
        <w:autoSpaceDE/>
        <w:autoSpaceDN/>
        <w:bidi w:val="0"/>
        <w:adjustRightInd/>
        <w:spacing w:line="560" w:lineRule="exact"/>
        <w:ind w:firstLine="640" w:firstLineChars="200"/>
        <w:rPr>
          <w:rFonts w:hint="eastAsia"/>
          <w:sz w:val="32"/>
        </w:rPr>
      </w:pPr>
      <w:bookmarkStart w:id="13" w:name="_Toc219116693"/>
      <w:bookmarkStart w:id="14" w:name="OLE_LINK17"/>
      <w:bookmarkStart w:id="15" w:name="OLE_LINK16"/>
      <w:r>
        <w:rPr>
          <w:rFonts w:hint="eastAsia"/>
          <w:sz w:val="32"/>
        </w:rPr>
        <w:t>二、发展思路</w:t>
      </w:r>
      <w:bookmarkEnd w:id="13"/>
      <w:bookmarkEnd w:id="14"/>
    </w:p>
    <w:bookmarkEnd w:id="15"/>
    <w:p>
      <w:pPr>
        <w:pageBreakBefore w:val="0"/>
        <w:tabs>
          <w:tab w:val="left" w:pos="720"/>
        </w:tabs>
        <w:kinsoku/>
        <w:wordWrap/>
        <w:overflowPunct/>
        <w:topLinePunct w:val="0"/>
        <w:autoSpaceDE/>
        <w:autoSpaceDN/>
        <w:bidi w:val="0"/>
        <w:adjustRightInd/>
        <w:snapToGrid w:val="0"/>
        <w:spacing w:line="560" w:lineRule="exact"/>
        <w:ind w:firstLine="643"/>
        <w:textAlignment w:val="baseline"/>
        <w:rPr>
          <w:rFonts w:hint="eastAsia"/>
          <w:sz w:val="32"/>
          <w:szCs w:val="32"/>
        </w:rPr>
      </w:pPr>
      <w:r>
        <w:rPr>
          <w:rFonts w:hint="eastAsia"/>
          <w:b/>
          <w:bCs/>
          <w:sz w:val="32"/>
          <w:szCs w:val="32"/>
        </w:rPr>
        <w:t>巩固双核优势，夯实发展根基。</w:t>
      </w:r>
      <w:r>
        <w:rPr>
          <w:rFonts w:hint="eastAsia"/>
          <w:sz w:val="32"/>
          <w:szCs w:val="32"/>
        </w:rPr>
        <w:t>持续增强群众体育与竞技体育核心优势，巩固北京乃至全国领先位置，充分发挥东城特色的</w:t>
      </w:r>
      <w:r>
        <w:rPr>
          <w:rFonts w:hint="eastAsia"/>
          <w:sz w:val="32"/>
          <w:szCs w:val="32"/>
          <w:lang w:eastAsia="zh-CN"/>
        </w:rPr>
        <w:t>“</w:t>
      </w:r>
      <w:r>
        <w:rPr>
          <w:rFonts w:hint="eastAsia"/>
          <w:sz w:val="32"/>
          <w:szCs w:val="32"/>
        </w:rPr>
        <w:t>群众体育</w:t>
      </w:r>
      <w:r>
        <w:rPr>
          <w:rFonts w:hint="eastAsia"/>
          <w:sz w:val="32"/>
          <w:szCs w:val="32"/>
          <w:lang w:val="en-US" w:eastAsia="zh-CN"/>
        </w:rPr>
        <w:t>+</w:t>
      </w:r>
      <w:r>
        <w:rPr>
          <w:rFonts w:hint="eastAsia"/>
          <w:sz w:val="32"/>
          <w:szCs w:val="32"/>
        </w:rPr>
        <w:t>竞技体育</w:t>
      </w:r>
      <w:r>
        <w:rPr>
          <w:rFonts w:hint="eastAsia"/>
          <w:sz w:val="32"/>
          <w:szCs w:val="32"/>
          <w:lang w:eastAsia="zh-CN"/>
        </w:rPr>
        <w:t>”</w:t>
      </w:r>
      <w:r>
        <w:rPr>
          <w:rFonts w:hint="eastAsia"/>
          <w:sz w:val="32"/>
          <w:szCs w:val="32"/>
        </w:rPr>
        <w:t>双螺旋发展模式。夯实</w:t>
      </w:r>
      <w:r>
        <w:rPr>
          <w:rFonts w:hint="eastAsia"/>
          <w:color w:val="auto"/>
          <w:sz w:val="32"/>
          <w:szCs w:val="32"/>
          <w:lang w:eastAsia="zh-CN"/>
        </w:rPr>
        <w:t>国家</w:t>
      </w:r>
      <w:r>
        <w:rPr>
          <w:rFonts w:hint="eastAsia"/>
          <w:color w:val="auto"/>
          <w:sz w:val="32"/>
          <w:szCs w:val="32"/>
        </w:rPr>
        <w:t>全民运动健身模范</w:t>
      </w:r>
      <w:r>
        <w:rPr>
          <w:rFonts w:hint="eastAsia"/>
          <w:color w:val="auto"/>
          <w:sz w:val="32"/>
          <w:szCs w:val="32"/>
          <w:lang w:eastAsia="zh-CN"/>
        </w:rPr>
        <w:t>市（</w:t>
      </w:r>
      <w:r>
        <w:rPr>
          <w:rFonts w:hint="eastAsia"/>
          <w:color w:val="auto"/>
          <w:sz w:val="32"/>
          <w:szCs w:val="32"/>
        </w:rPr>
        <w:t>区</w:t>
      </w:r>
      <w:r>
        <w:rPr>
          <w:rFonts w:hint="eastAsia"/>
          <w:color w:val="auto"/>
          <w:sz w:val="32"/>
          <w:szCs w:val="32"/>
          <w:lang w:eastAsia="zh-CN"/>
        </w:rPr>
        <w:t>）</w:t>
      </w:r>
      <w:r>
        <w:rPr>
          <w:rFonts w:hint="eastAsia"/>
          <w:color w:val="auto"/>
          <w:sz w:val="32"/>
          <w:szCs w:val="32"/>
        </w:rPr>
        <w:t>建设成果，兼顾</w:t>
      </w:r>
      <w:r>
        <w:rPr>
          <w:color w:val="auto"/>
          <w:sz w:val="32"/>
          <w:szCs w:val="32"/>
        </w:rPr>
        <w:t>锻长板、补短板</w:t>
      </w:r>
      <w:r>
        <w:rPr>
          <w:rFonts w:hint="eastAsia"/>
          <w:color w:val="auto"/>
          <w:sz w:val="32"/>
          <w:szCs w:val="32"/>
        </w:rPr>
        <w:t>，构</w:t>
      </w:r>
      <w:r>
        <w:rPr>
          <w:rFonts w:hint="eastAsia"/>
          <w:sz w:val="32"/>
          <w:szCs w:val="32"/>
        </w:rPr>
        <w:t>建更高水平的全民健身公共服务体系，不断</w:t>
      </w:r>
      <w:r>
        <w:rPr>
          <w:sz w:val="32"/>
          <w:szCs w:val="32"/>
        </w:rPr>
        <w:t>增加经常参加体育锻炼的人口比</w:t>
      </w:r>
      <w:r>
        <w:rPr>
          <w:rFonts w:hint="eastAsia"/>
          <w:sz w:val="32"/>
          <w:szCs w:val="32"/>
        </w:rPr>
        <w:t>例，强化体育事业支撑基础。以全面落实与国家体育总局、北京市体育局共建“国家奥运后备人才梯队”工作为抓手，全面加强东城区传统优势项目后备人才队伍建设，高标准推进新型青训体系建设，加大优秀人才的挖掘与培育力度，筑牢竞技体育中长期发展的战略根基，充分发挥竞技体育在区域体育发展中的引领作用。</w:t>
      </w:r>
    </w:p>
    <w:p>
      <w:pPr>
        <w:pageBreakBefore w:val="0"/>
        <w:tabs>
          <w:tab w:val="left" w:pos="720"/>
        </w:tabs>
        <w:kinsoku/>
        <w:wordWrap/>
        <w:overflowPunct/>
        <w:topLinePunct w:val="0"/>
        <w:autoSpaceDE/>
        <w:autoSpaceDN/>
        <w:bidi w:val="0"/>
        <w:adjustRightInd/>
        <w:snapToGrid w:val="0"/>
        <w:spacing w:line="560" w:lineRule="exact"/>
        <w:ind w:firstLine="643"/>
        <w:textAlignment w:val="baseline"/>
        <w:rPr>
          <w:rFonts w:hint="eastAsia"/>
          <w:sz w:val="32"/>
          <w:szCs w:val="32"/>
        </w:rPr>
      </w:pPr>
      <w:r>
        <w:rPr>
          <w:rFonts w:hint="eastAsia"/>
          <w:b/>
          <w:bCs/>
          <w:sz w:val="32"/>
          <w:szCs w:val="32"/>
        </w:rPr>
        <w:t>发力一个增长点，激活产业动能。</w:t>
      </w:r>
      <w:r>
        <w:rPr>
          <w:rFonts w:hint="eastAsia"/>
          <w:sz w:val="32"/>
          <w:szCs w:val="32"/>
        </w:rPr>
        <w:t>贯彻落实培育建设国际消费中心城市的总体目标，多维开拓东城区体育产业高质量发展突破口，把握体育消费、赛事经济与总部经济三大抓手，积极拓展</w:t>
      </w:r>
      <w:r>
        <w:rPr>
          <w:rFonts w:hint="eastAsia" w:hAnsi="仿宋_GB2312" w:cs="仿宋_GB2312"/>
          <w:sz w:val="32"/>
          <w:szCs w:val="32"/>
        </w:rPr>
        <w:t>“体育+文商旅”“体育+卫生”“体育+科技”融合发展与创新实践</w:t>
      </w:r>
      <w:r>
        <w:rPr>
          <w:rFonts w:hint="eastAsia"/>
          <w:sz w:val="32"/>
          <w:szCs w:val="32"/>
        </w:rPr>
        <w:t>。完善行业监管机制，有力保障行业安全，全面优化营商环境。</w:t>
      </w:r>
    </w:p>
    <w:p>
      <w:pPr>
        <w:pStyle w:val="3"/>
        <w:pageBreakBefore w:val="0"/>
        <w:numPr>
          <w:ilvl w:val="1"/>
          <w:numId w:val="0"/>
        </w:numPr>
        <w:kinsoku/>
        <w:wordWrap/>
        <w:overflowPunct/>
        <w:topLinePunct w:val="0"/>
        <w:autoSpaceDE/>
        <w:autoSpaceDN/>
        <w:bidi w:val="0"/>
        <w:adjustRightInd/>
        <w:spacing w:line="560" w:lineRule="exact"/>
        <w:ind w:firstLine="640" w:firstLineChars="200"/>
        <w:rPr>
          <w:rFonts w:hint="eastAsia"/>
          <w:sz w:val="32"/>
        </w:rPr>
      </w:pPr>
      <w:bookmarkStart w:id="16" w:name="_Toc219116694"/>
      <w:r>
        <w:rPr>
          <w:rFonts w:hint="eastAsia"/>
          <w:sz w:val="32"/>
        </w:rPr>
        <w:t>三、基本原则</w:t>
      </w:r>
      <w:bookmarkEnd w:id="12"/>
      <w:bookmarkEnd w:id="16"/>
    </w:p>
    <w:p>
      <w:pPr>
        <w:pageBreakBefore w:val="0"/>
        <w:tabs>
          <w:tab w:val="left" w:pos="720"/>
        </w:tabs>
        <w:kinsoku/>
        <w:wordWrap/>
        <w:overflowPunct/>
        <w:topLinePunct w:val="0"/>
        <w:autoSpaceDE/>
        <w:autoSpaceDN/>
        <w:bidi w:val="0"/>
        <w:adjustRightInd/>
        <w:snapToGrid w:val="0"/>
        <w:spacing w:line="560" w:lineRule="exact"/>
        <w:ind w:firstLine="643"/>
        <w:textAlignment w:val="baseline"/>
        <w:rPr>
          <w:rFonts w:hint="eastAsia"/>
          <w:sz w:val="32"/>
          <w:szCs w:val="32"/>
        </w:rPr>
      </w:pPr>
      <w:r>
        <w:rPr>
          <w:rFonts w:hint="eastAsia"/>
          <w:b/>
          <w:bCs/>
          <w:sz w:val="32"/>
          <w:szCs w:val="32"/>
        </w:rPr>
        <w:t>坚持人民至上。</w:t>
      </w:r>
      <w:r>
        <w:rPr>
          <w:rFonts w:hint="eastAsia"/>
          <w:sz w:val="32"/>
          <w:szCs w:val="32"/>
        </w:rPr>
        <w:t>始终将满足人民群众对美好体育生活的需要作为工作的出发点与落脚点，深入实施全民健身国家战略，加快构建更高水平的全民健身公共服务体系，充分激发群众参与体育的积极性、主动性与创造性，推动体育发展成果惠及全区、造福于民。</w:t>
      </w:r>
    </w:p>
    <w:p>
      <w:pPr>
        <w:pageBreakBefore w:val="0"/>
        <w:tabs>
          <w:tab w:val="left" w:pos="720"/>
        </w:tabs>
        <w:kinsoku/>
        <w:wordWrap/>
        <w:overflowPunct/>
        <w:topLinePunct w:val="0"/>
        <w:autoSpaceDE/>
        <w:autoSpaceDN/>
        <w:bidi w:val="0"/>
        <w:adjustRightInd/>
        <w:snapToGrid w:val="0"/>
        <w:spacing w:line="560" w:lineRule="exact"/>
        <w:ind w:firstLine="643"/>
        <w:textAlignment w:val="baseline"/>
        <w:rPr>
          <w:rFonts w:hint="eastAsia"/>
          <w:sz w:val="32"/>
          <w:szCs w:val="32"/>
        </w:rPr>
      </w:pPr>
      <w:r>
        <w:rPr>
          <w:rFonts w:hint="eastAsia"/>
          <w:b/>
          <w:bCs/>
          <w:sz w:val="32"/>
          <w:szCs w:val="32"/>
        </w:rPr>
        <w:t>坚持质量优先。</w:t>
      </w:r>
      <w:r>
        <w:rPr>
          <w:rFonts w:hint="eastAsia"/>
          <w:sz w:val="32"/>
          <w:szCs w:val="32"/>
        </w:rPr>
        <w:t>把高质量发展要求贯穿于体育工作各领域全过程，推动体育设施建设、公共服务与赛事供给实现从“有”到“优”的系统提升，精心打造一批彰显东城特色、具有广泛影响的体育品牌，引领全区体育事业提质增效、行稳致远。</w:t>
      </w:r>
    </w:p>
    <w:p>
      <w:pPr>
        <w:pageBreakBefore w:val="0"/>
        <w:tabs>
          <w:tab w:val="left" w:pos="720"/>
        </w:tabs>
        <w:kinsoku/>
        <w:wordWrap/>
        <w:overflowPunct/>
        <w:topLinePunct w:val="0"/>
        <w:autoSpaceDE/>
        <w:autoSpaceDN/>
        <w:bidi w:val="0"/>
        <w:adjustRightInd/>
        <w:snapToGrid w:val="0"/>
        <w:spacing w:line="560" w:lineRule="exact"/>
        <w:ind w:firstLine="643"/>
        <w:textAlignment w:val="baseline"/>
        <w:rPr>
          <w:rFonts w:hint="eastAsia"/>
          <w:sz w:val="32"/>
          <w:szCs w:val="32"/>
        </w:rPr>
      </w:pPr>
      <w:r>
        <w:rPr>
          <w:rFonts w:hint="eastAsia"/>
          <w:b/>
          <w:bCs/>
          <w:sz w:val="32"/>
          <w:szCs w:val="32"/>
        </w:rPr>
        <w:t>坚持健康为本。</w:t>
      </w:r>
      <w:r>
        <w:rPr>
          <w:rFonts w:hint="eastAsia"/>
          <w:sz w:val="32"/>
          <w:szCs w:val="32"/>
        </w:rPr>
        <w:t>持续巩固国家全民运动健身模范市（区）建设成果，突出科学健身在健康促进中的核心作用，积极推广覆盖全生命周期的运动健康服务，切实增强人民群众的获得感、幸福感与安全感。</w:t>
      </w:r>
    </w:p>
    <w:p>
      <w:pPr>
        <w:pageBreakBefore w:val="0"/>
        <w:tabs>
          <w:tab w:val="left" w:pos="720"/>
        </w:tabs>
        <w:kinsoku/>
        <w:wordWrap/>
        <w:overflowPunct/>
        <w:topLinePunct w:val="0"/>
        <w:autoSpaceDE/>
        <w:autoSpaceDN/>
        <w:bidi w:val="0"/>
        <w:adjustRightInd/>
        <w:snapToGrid w:val="0"/>
        <w:spacing w:line="560" w:lineRule="exact"/>
        <w:ind w:firstLine="643"/>
        <w:textAlignment w:val="baseline"/>
        <w:rPr>
          <w:rFonts w:hint="eastAsia"/>
          <w:sz w:val="32"/>
          <w:szCs w:val="32"/>
        </w:rPr>
      </w:pPr>
      <w:r>
        <w:rPr>
          <w:rFonts w:hint="eastAsia"/>
          <w:b/>
          <w:bCs/>
          <w:sz w:val="32"/>
          <w:szCs w:val="32"/>
        </w:rPr>
        <w:t>坚持融合发展。</w:t>
      </w:r>
      <w:r>
        <w:rPr>
          <w:rFonts w:hint="eastAsia"/>
          <w:sz w:val="32"/>
          <w:szCs w:val="32"/>
        </w:rPr>
        <w:t>深入推进体育与教育、文化、卫生、旅游、科技等领域深度融合，多维整合政府、社会、市场等各方面力量，构建开放共享、协同共生的体育融合发展新格局。</w:t>
      </w:r>
    </w:p>
    <w:p>
      <w:pPr>
        <w:pageBreakBefore w:val="0"/>
        <w:tabs>
          <w:tab w:val="left" w:pos="720"/>
        </w:tabs>
        <w:kinsoku/>
        <w:wordWrap/>
        <w:overflowPunct/>
        <w:topLinePunct w:val="0"/>
        <w:autoSpaceDE/>
        <w:autoSpaceDN/>
        <w:bidi w:val="0"/>
        <w:adjustRightInd/>
        <w:snapToGrid w:val="0"/>
        <w:spacing w:line="560" w:lineRule="exact"/>
        <w:ind w:firstLine="643"/>
        <w:textAlignment w:val="baseline"/>
        <w:rPr>
          <w:rFonts w:hint="eastAsia"/>
        </w:rPr>
      </w:pPr>
      <w:r>
        <w:rPr>
          <w:rFonts w:hint="eastAsia"/>
          <w:b/>
          <w:bCs/>
          <w:sz w:val="32"/>
          <w:szCs w:val="32"/>
        </w:rPr>
        <w:t>坚持创新驱动。</w:t>
      </w:r>
      <w:r>
        <w:rPr>
          <w:rFonts w:hint="eastAsia"/>
          <w:sz w:val="32"/>
          <w:szCs w:val="32"/>
        </w:rPr>
        <w:t>将创新作为破解发展难题、激发内生动能的核心动力，以改革创新破除体制壁垒，以科技创新重塑发展范式，以融合创新拓展产业边界，积极培育新业态、新模式、新场景，构筑发展新动能</w:t>
      </w:r>
      <w:r>
        <w:rPr>
          <w:rFonts w:hint="eastAsia"/>
          <w:color w:val="C00000"/>
          <w:sz w:val="32"/>
          <w:szCs w:val="32"/>
          <w:lang w:eastAsia="zh-CN"/>
        </w:rPr>
        <w:t>、</w:t>
      </w:r>
      <w:r>
        <w:rPr>
          <w:rFonts w:hint="eastAsia"/>
          <w:sz w:val="32"/>
          <w:szCs w:val="32"/>
        </w:rPr>
        <w:t>新优势。</w:t>
      </w:r>
    </w:p>
    <w:p>
      <w:pPr>
        <w:pStyle w:val="3"/>
        <w:pageBreakBefore w:val="0"/>
        <w:numPr>
          <w:ilvl w:val="1"/>
          <w:numId w:val="0"/>
        </w:numPr>
        <w:kinsoku/>
        <w:wordWrap/>
        <w:overflowPunct/>
        <w:topLinePunct w:val="0"/>
        <w:autoSpaceDE/>
        <w:autoSpaceDN/>
        <w:bidi w:val="0"/>
        <w:adjustRightInd/>
        <w:spacing w:line="560" w:lineRule="exact"/>
        <w:ind w:firstLine="640" w:firstLineChars="200"/>
        <w:rPr>
          <w:rFonts w:hint="eastAsia"/>
          <w:sz w:val="32"/>
        </w:rPr>
      </w:pPr>
      <w:bookmarkStart w:id="17" w:name="_Toc219116695"/>
      <w:r>
        <w:rPr>
          <w:rFonts w:hint="eastAsia"/>
          <w:sz w:val="32"/>
        </w:rPr>
        <w:t>四、主要目标</w:t>
      </w:r>
      <w:bookmarkEnd w:id="17"/>
    </w:p>
    <w:p>
      <w:pPr>
        <w:pageBreakBefore w:val="0"/>
        <w:kinsoku/>
        <w:wordWrap/>
        <w:overflowPunct/>
        <w:topLinePunct w:val="0"/>
        <w:autoSpaceDE/>
        <w:autoSpaceDN/>
        <w:bidi w:val="0"/>
        <w:adjustRightInd/>
        <w:spacing w:line="560" w:lineRule="exact"/>
        <w:ind w:firstLine="640"/>
        <w:rPr>
          <w:rFonts w:hint="eastAsia"/>
          <w:sz w:val="32"/>
          <w:szCs w:val="32"/>
        </w:rPr>
      </w:pPr>
      <w:r>
        <w:rPr>
          <w:rFonts w:hint="eastAsia"/>
          <w:sz w:val="32"/>
          <w:szCs w:val="32"/>
        </w:rPr>
        <w:t>“十五五”时期，东城区体育强区建设取得显著成效，满足人民群众日益增长体育需求的能力全面增强，建成更高水平的全民健身公共服务体系，保持竞技体育综合实力领先水平，体育产业发展在北京市总体布局中发挥示范引领作用，初步建成安全、顺畅的非现场行政检查平台，预付费治理</w:t>
      </w:r>
      <w:r>
        <w:rPr>
          <w:rFonts w:hint="eastAsia"/>
          <w:sz w:val="32"/>
          <w:szCs w:val="32"/>
          <w:lang w:eastAsia="zh-CN"/>
        </w:rPr>
        <w:t>迈上</w:t>
      </w:r>
      <w:r>
        <w:rPr>
          <w:rFonts w:hint="eastAsia"/>
          <w:sz w:val="32"/>
          <w:szCs w:val="32"/>
        </w:rPr>
        <w:t>新台阶。</w:t>
      </w:r>
    </w:p>
    <w:p>
      <w:pPr>
        <w:pageBreakBefore w:val="0"/>
        <w:kinsoku/>
        <w:wordWrap/>
        <w:overflowPunct/>
        <w:topLinePunct w:val="0"/>
        <w:autoSpaceDE/>
        <w:autoSpaceDN/>
        <w:bidi w:val="0"/>
        <w:adjustRightInd/>
        <w:spacing w:line="560" w:lineRule="exact"/>
        <w:ind w:firstLine="643"/>
        <w:rPr>
          <w:rFonts w:hint="eastAsia"/>
          <w:sz w:val="32"/>
          <w:szCs w:val="32"/>
        </w:rPr>
      </w:pPr>
      <w:r>
        <w:rPr>
          <w:rFonts w:hint="eastAsia" w:hAnsi="仿宋_GB2312" w:cs="仿宋_GB2312"/>
          <w:b/>
          <w:bCs/>
          <w:color w:val="000000"/>
          <w:kern w:val="0"/>
          <w:sz w:val="32"/>
          <w:szCs w:val="32"/>
        </w:rPr>
        <w:t>全民健身公共服务全面完善升级。</w:t>
      </w:r>
      <w:r>
        <w:rPr>
          <w:rFonts w:hint="eastAsia" w:hAnsi="仿宋_GB2312" w:cs="仿宋_GB2312"/>
          <w:color w:val="000000"/>
          <w:kern w:val="0"/>
          <w:sz w:val="32"/>
          <w:szCs w:val="32"/>
        </w:rPr>
        <w:t>建立更高水平的全民健身公共服务体系，健身设施实现从有到优提质增效，</w:t>
      </w:r>
      <w:r>
        <w:rPr>
          <w:rFonts w:hint="eastAsia" w:hAnsi="仿宋_GB2312" w:cs="仿宋_GB2312"/>
          <w:sz w:val="32"/>
          <w:szCs w:val="32"/>
        </w:rPr>
        <w:t>分层多元的赛事供给体系更加完善</w:t>
      </w:r>
      <w:r>
        <w:rPr>
          <w:rFonts w:hint="eastAsia" w:hAnsi="仿宋_GB2312" w:cs="仿宋_GB2312"/>
          <w:color w:val="000000"/>
          <w:kern w:val="0"/>
          <w:sz w:val="32"/>
          <w:szCs w:val="32"/>
        </w:rPr>
        <w:t>，科学健身指导水平显著提高，社会体育指导员队伍和体育社会组织量质齐升，运动促进健康新模式基本建立，全民健身对全民健康的促进作用进一步凸显。到2030年，经常参加体育锻炼人数比例达到55%，人均体育场地面积达2.7平方米，每千人拥有社会体育指导员11</w:t>
      </w:r>
      <w:r>
        <w:rPr>
          <w:rFonts w:hint="eastAsia" w:hAnsi="仿宋_GB2312" w:cs="仿宋_GB2312"/>
          <w:color w:val="auto"/>
          <w:kern w:val="0"/>
          <w:sz w:val="32"/>
          <w:szCs w:val="32"/>
          <w:lang w:eastAsia="zh-CN"/>
        </w:rPr>
        <w:t>名</w:t>
      </w:r>
      <w:r>
        <w:rPr>
          <w:rFonts w:hint="eastAsia" w:hAnsi="仿宋_GB2312" w:cs="仿宋_GB2312"/>
          <w:color w:val="000000"/>
          <w:kern w:val="0"/>
          <w:sz w:val="32"/>
          <w:szCs w:val="32"/>
        </w:rPr>
        <w:t>。</w:t>
      </w:r>
    </w:p>
    <w:p>
      <w:pPr>
        <w:pageBreakBefore w:val="0"/>
        <w:kinsoku/>
        <w:wordWrap/>
        <w:overflowPunct/>
        <w:topLinePunct w:val="0"/>
        <w:autoSpaceDE/>
        <w:autoSpaceDN/>
        <w:bidi w:val="0"/>
        <w:adjustRightInd/>
        <w:spacing w:line="560" w:lineRule="exact"/>
        <w:ind w:firstLine="643"/>
        <w:rPr>
          <w:rFonts w:hint="eastAsia" w:hAnsi="仿宋_GB2312" w:cs="仿宋_GB2312"/>
          <w:color w:val="000000"/>
          <w:kern w:val="0"/>
          <w:sz w:val="32"/>
          <w:szCs w:val="32"/>
          <w:highlight w:val="none"/>
        </w:rPr>
      </w:pPr>
      <w:r>
        <w:rPr>
          <w:rFonts w:hAnsi="仿宋_GB2312" w:cs="仿宋_GB2312"/>
          <w:b/>
          <w:bCs/>
          <w:color w:val="000000"/>
          <w:kern w:val="0"/>
          <w:sz w:val="32"/>
          <w:szCs w:val="32"/>
          <w:highlight w:val="none"/>
        </w:rPr>
        <w:t>竞技体育实力再上新台阶。</w:t>
      </w:r>
      <w:r>
        <w:rPr>
          <w:rFonts w:hint="eastAsia" w:hAnsi="仿宋_GB2312" w:cs="仿宋_GB2312"/>
          <w:color w:val="000000"/>
          <w:kern w:val="0"/>
          <w:sz w:val="32"/>
          <w:szCs w:val="32"/>
          <w:highlight w:val="none"/>
        </w:rPr>
        <w:t>高标准推进“国家奥运后备人才梯队”共建工程，建成国家奥运后备人才基地。</w:t>
      </w:r>
      <w:r>
        <w:rPr>
          <w:rFonts w:hAnsi="仿宋_GB2312" w:cs="仿宋_GB2312"/>
          <w:color w:val="000000"/>
          <w:kern w:val="0"/>
          <w:sz w:val="32"/>
          <w:szCs w:val="32"/>
          <w:highlight w:val="none"/>
        </w:rPr>
        <w:t>体校专业训练主阵地作用得到进一步巩固，体教融合实现全面深化，学校传统优势项目发展阵地持续做强。构建</w:t>
      </w:r>
      <w:r>
        <w:rPr>
          <w:rFonts w:hint="eastAsia" w:hAnsi="仿宋_GB2312" w:cs="仿宋_GB2312"/>
          <w:color w:val="000000"/>
          <w:kern w:val="0"/>
          <w:sz w:val="32"/>
          <w:szCs w:val="32"/>
          <w:highlight w:val="none"/>
        </w:rPr>
        <w:t>东城特色鲜明</w:t>
      </w:r>
      <w:r>
        <w:rPr>
          <w:rFonts w:hAnsi="仿宋_GB2312" w:cs="仿宋_GB2312"/>
          <w:color w:val="000000"/>
          <w:kern w:val="0"/>
          <w:sz w:val="32"/>
          <w:szCs w:val="32"/>
          <w:highlight w:val="none"/>
        </w:rPr>
        <w:t>的新型青训体系，向上级运动队输送优秀后备人才的质量与数量稳居北京市前列。在2026年北京市第十七届运动会、北京市第三届冬季运动会中，确保综合成绩位居全市一流水平。</w:t>
      </w:r>
    </w:p>
    <w:p>
      <w:pPr>
        <w:pageBreakBefore w:val="0"/>
        <w:kinsoku/>
        <w:wordWrap/>
        <w:overflowPunct/>
        <w:topLinePunct w:val="0"/>
        <w:autoSpaceDE/>
        <w:autoSpaceDN/>
        <w:bidi w:val="0"/>
        <w:adjustRightInd/>
        <w:spacing w:line="560" w:lineRule="exact"/>
        <w:ind w:firstLine="643"/>
        <w:rPr>
          <w:rFonts w:hint="eastAsia"/>
          <w:sz w:val="32"/>
          <w:szCs w:val="32"/>
        </w:rPr>
      </w:pPr>
      <w:r>
        <w:rPr>
          <w:rFonts w:hint="eastAsia"/>
          <w:b/>
          <w:sz w:val="32"/>
          <w:szCs w:val="32"/>
        </w:rPr>
        <w:t>体育产业活力显著提升。</w:t>
      </w:r>
      <w:r>
        <w:rPr>
          <w:rFonts w:hint="eastAsia"/>
          <w:sz w:val="32"/>
          <w:szCs w:val="32"/>
        </w:rPr>
        <w:t>区域体育产业资源广泛激活，</w:t>
      </w:r>
      <w:r>
        <w:rPr>
          <w:rFonts w:hint="eastAsia" w:hAnsi="仿宋_GB2312" w:cs="仿宋_GB2312"/>
          <w:sz w:val="32"/>
          <w:szCs w:val="32"/>
        </w:rPr>
        <w:t>体育消费市场规模显著扩大，体育服务供给体系更加完善，</w:t>
      </w:r>
      <w:r>
        <w:rPr>
          <w:rFonts w:hint="eastAsia"/>
          <w:sz w:val="32"/>
          <w:szCs w:val="32"/>
        </w:rPr>
        <w:t>“体育+”融合发展成果突出，</w:t>
      </w:r>
      <w:r>
        <w:rPr>
          <w:rFonts w:hint="eastAsia" w:hAnsi="仿宋_GB2312" w:cs="仿宋_GB2312"/>
          <w:sz w:val="32"/>
          <w:szCs w:val="32"/>
        </w:rPr>
        <w:t>体育产业对东城区经济增长、消费提升、城市功能完善的贡献有效增强</w:t>
      </w:r>
      <w:r>
        <w:rPr>
          <w:rFonts w:hint="eastAsia"/>
          <w:sz w:val="32"/>
          <w:szCs w:val="32"/>
        </w:rPr>
        <w:t>。到2030年我区规模以上体育业企业</w:t>
      </w:r>
      <w:r>
        <w:rPr>
          <w:rFonts w:hint="eastAsia"/>
          <w:color w:val="auto"/>
          <w:sz w:val="32"/>
          <w:szCs w:val="32"/>
          <w:lang w:eastAsia="zh-CN"/>
        </w:rPr>
        <w:t>数量</w:t>
      </w:r>
      <w:r>
        <w:rPr>
          <w:rFonts w:hint="eastAsia"/>
          <w:sz w:val="32"/>
          <w:szCs w:val="32"/>
        </w:rPr>
        <w:t>稳中有进。</w:t>
      </w:r>
    </w:p>
    <w:p>
      <w:pPr>
        <w:pageBreakBefore w:val="0"/>
        <w:kinsoku/>
        <w:wordWrap/>
        <w:overflowPunct/>
        <w:topLinePunct w:val="0"/>
        <w:autoSpaceDE/>
        <w:autoSpaceDN/>
        <w:bidi w:val="0"/>
        <w:adjustRightInd/>
        <w:spacing w:line="560" w:lineRule="exact"/>
        <w:ind w:firstLine="643"/>
        <w:rPr>
          <w:rFonts w:hint="eastAsia"/>
          <w:sz w:val="32"/>
          <w:szCs w:val="32"/>
        </w:rPr>
      </w:pPr>
      <w:r>
        <w:rPr>
          <w:rFonts w:hint="eastAsia"/>
          <w:b/>
          <w:bCs/>
          <w:sz w:val="32"/>
          <w:szCs w:val="32"/>
        </w:rPr>
        <w:t>体育行业监管水平持续提升。</w:t>
      </w:r>
      <w:r>
        <w:rPr>
          <w:rFonts w:hint="eastAsia"/>
          <w:sz w:val="32"/>
          <w:szCs w:val="32"/>
        </w:rPr>
        <w:t>继续夯实行业监管工作机制，全面增强依法行政能力，持续优化营商环境，初步建成非现场行政检查平台，基本实现重大隐患动态清零，</w:t>
      </w:r>
      <w:r>
        <w:rPr>
          <w:sz w:val="32"/>
          <w:szCs w:val="32"/>
        </w:rPr>
        <w:t>非现场检查占比达到80%以上</w:t>
      </w:r>
      <w:r>
        <w:rPr>
          <w:rFonts w:hint="eastAsia"/>
          <w:sz w:val="32"/>
          <w:szCs w:val="32"/>
        </w:rPr>
        <w:t>。</w:t>
      </w:r>
    </w:p>
    <w:p>
      <w:pPr>
        <w:pageBreakBefore w:val="0"/>
        <w:kinsoku/>
        <w:wordWrap/>
        <w:overflowPunct/>
        <w:topLinePunct w:val="0"/>
        <w:autoSpaceDE/>
        <w:autoSpaceDN/>
        <w:bidi w:val="0"/>
        <w:adjustRightInd/>
        <w:spacing w:line="560" w:lineRule="exact"/>
        <w:ind w:firstLine="560"/>
        <w:rPr>
          <w:rFonts w:hint="eastAsia"/>
        </w:rPr>
      </w:pPr>
    </w:p>
    <w:p>
      <w:pPr>
        <w:pageBreakBefore w:val="0"/>
        <w:kinsoku/>
        <w:wordWrap/>
        <w:overflowPunct/>
        <w:topLinePunct w:val="0"/>
        <w:autoSpaceDE/>
        <w:autoSpaceDN/>
        <w:bidi w:val="0"/>
        <w:adjustRightInd/>
        <w:spacing w:line="560" w:lineRule="exact"/>
        <w:ind w:firstLine="560"/>
        <w:rPr>
          <w:rFonts w:hint="eastAsia"/>
        </w:rPr>
      </w:pPr>
    </w:p>
    <w:p>
      <w:pPr>
        <w:pageBreakBefore w:val="0"/>
        <w:kinsoku/>
        <w:wordWrap/>
        <w:overflowPunct/>
        <w:topLinePunct w:val="0"/>
        <w:autoSpaceDE/>
        <w:autoSpaceDN/>
        <w:bidi w:val="0"/>
        <w:adjustRightInd/>
        <w:spacing w:line="560" w:lineRule="exact"/>
        <w:ind w:firstLine="560"/>
        <w:rPr>
          <w:rFonts w:hint="eastAsia"/>
        </w:rPr>
      </w:pPr>
      <w:r>
        <w:rPr>
          <w:rFonts w:hint="eastAsia"/>
        </w:rPr>
        <w:br w:type="page"/>
      </w:r>
    </w:p>
    <w:p>
      <w:pPr>
        <w:pageBreakBefore w:val="0"/>
        <w:kinsoku/>
        <w:wordWrap/>
        <w:overflowPunct/>
        <w:topLinePunct w:val="0"/>
        <w:autoSpaceDE/>
        <w:autoSpaceDN/>
        <w:bidi w:val="0"/>
        <w:adjustRightInd/>
        <w:spacing w:line="560" w:lineRule="exact"/>
        <w:ind w:firstLine="560"/>
        <w:rPr>
          <w:rFonts w:hint="eastAsia"/>
        </w:rPr>
      </w:pPr>
    </w:p>
    <w:tbl>
      <w:tblPr>
        <w:tblStyle w:val="19"/>
        <w:tblW w:w="9368" w:type="dxa"/>
        <w:jc w:val="center"/>
        <w:tblLayout w:type="fixed"/>
        <w:tblCellMar>
          <w:top w:w="0" w:type="dxa"/>
          <w:left w:w="108" w:type="dxa"/>
          <w:bottom w:w="0" w:type="dxa"/>
          <w:right w:w="108" w:type="dxa"/>
        </w:tblCellMar>
      </w:tblPr>
      <w:tblGrid>
        <w:gridCol w:w="1501"/>
        <w:gridCol w:w="3219"/>
        <w:gridCol w:w="1226"/>
        <w:gridCol w:w="1426"/>
        <w:gridCol w:w="1996"/>
      </w:tblGrid>
      <w:tr>
        <w:tblPrEx>
          <w:tblCellMar>
            <w:top w:w="0" w:type="dxa"/>
            <w:left w:w="108" w:type="dxa"/>
            <w:bottom w:w="0" w:type="dxa"/>
            <w:right w:w="108" w:type="dxa"/>
          </w:tblCellMar>
        </w:tblPrEx>
        <w:trPr>
          <w:trHeight w:val="270" w:hRule="atLeast"/>
          <w:jc w:val="center"/>
        </w:trPr>
        <w:tc>
          <w:tcPr>
            <w:tcW w:w="9368" w:type="dxa"/>
            <w:gridSpan w:val="5"/>
            <w:tcBorders>
              <w:top w:val="nil"/>
              <w:left w:val="nil"/>
              <w:bottom w:val="nil"/>
              <w:right w:val="nil"/>
            </w:tcBorders>
            <w:vAlign w:val="center"/>
          </w:tcPr>
          <w:p>
            <w:pPr>
              <w:pageBreakBefore w:val="0"/>
              <w:widowControl/>
              <w:kinsoku/>
              <w:wordWrap/>
              <w:overflowPunct/>
              <w:topLinePunct w:val="0"/>
              <w:autoSpaceDE/>
              <w:autoSpaceDN/>
              <w:bidi w:val="0"/>
              <w:adjustRightInd/>
              <w:spacing w:line="560" w:lineRule="exact"/>
              <w:ind w:firstLine="0" w:firstLineChars="0"/>
              <w:jc w:val="center"/>
              <w:rPr>
                <w:rFonts w:hint="eastAsia" w:ascii="黑体" w:hAnsi="黑体" w:eastAsia="黑体" w:cs="黑体"/>
                <w:b/>
                <w:bCs/>
                <w:color w:val="000000"/>
                <w:kern w:val="0"/>
                <w:sz w:val="40"/>
                <w:szCs w:val="40"/>
              </w:rPr>
            </w:pPr>
            <w:r>
              <w:rPr>
                <w:rFonts w:hint="eastAsia" w:ascii="黑体" w:hAnsi="黑体" w:eastAsia="黑体" w:cs="黑体"/>
                <w:b/>
                <w:bCs/>
                <w:color w:val="000000"/>
                <w:kern w:val="0"/>
                <w:sz w:val="40"/>
                <w:szCs w:val="40"/>
              </w:rPr>
              <w:t>东城区“十五五”时期体育事业和体育产业</w:t>
            </w:r>
          </w:p>
          <w:p>
            <w:pPr>
              <w:pageBreakBefore w:val="0"/>
              <w:widowControl/>
              <w:kinsoku/>
              <w:wordWrap/>
              <w:overflowPunct/>
              <w:topLinePunct w:val="0"/>
              <w:autoSpaceDE/>
              <w:autoSpaceDN/>
              <w:bidi w:val="0"/>
              <w:adjustRightInd/>
              <w:spacing w:line="560" w:lineRule="exact"/>
              <w:ind w:firstLine="0" w:firstLineChars="0"/>
              <w:jc w:val="center"/>
              <w:rPr>
                <w:rFonts w:hint="eastAsia" w:ascii="黑体" w:hAnsi="黑体" w:eastAsia="黑体" w:cs="黑体"/>
                <w:b/>
                <w:bCs/>
                <w:color w:val="000000"/>
                <w:kern w:val="0"/>
                <w:sz w:val="40"/>
                <w:szCs w:val="40"/>
              </w:rPr>
            </w:pPr>
            <w:r>
              <w:rPr>
                <w:rFonts w:hint="eastAsia" w:ascii="黑体" w:hAnsi="黑体" w:eastAsia="黑体" w:cs="黑体"/>
                <w:b/>
                <w:bCs/>
                <w:color w:val="000000"/>
                <w:kern w:val="0"/>
                <w:sz w:val="40"/>
                <w:szCs w:val="40"/>
              </w:rPr>
              <w:t>发展目标体系</w:t>
            </w:r>
          </w:p>
          <w:p>
            <w:pPr>
              <w:pageBreakBefore w:val="0"/>
              <w:widowControl/>
              <w:kinsoku/>
              <w:wordWrap/>
              <w:overflowPunct/>
              <w:topLinePunct w:val="0"/>
              <w:autoSpaceDE/>
              <w:autoSpaceDN/>
              <w:bidi w:val="0"/>
              <w:adjustRightInd/>
              <w:spacing w:line="560" w:lineRule="exact"/>
              <w:ind w:firstLine="0" w:firstLineChars="0"/>
              <w:jc w:val="left"/>
              <w:rPr>
                <w:rFonts w:hint="eastAsia" w:hAnsi="宋体" w:cs="宋体"/>
                <w:b/>
                <w:bCs/>
                <w:color w:val="000000"/>
                <w:kern w:val="0"/>
                <w:sz w:val="32"/>
                <w:szCs w:val="32"/>
              </w:rPr>
            </w:pPr>
          </w:p>
        </w:tc>
      </w:tr>
      <w:tr>
        <w:tblPrEx>
          <w:tblCellMar>
            <w:top w:w="0" w:type="dxa"/>
            <w:left w:w="108" w:type="dxa"/>
            <w:bottom w:w="0" w:type="dxa"/>
            <w:right w:w="108" w:type="dxa"/>
          </w:tblCellMar>
        </w:tblPrEx>
        <w:trPr>
          <w:trHeight w:val="270" w:hRule="atLeast"/>
          <w:jc w:val="center"/>
        </w:trPr>
        <w:tc>
          <w:tcPr>
            <w:tcW w:w="1501" w:type="dxa"/>
            <w:tcBorders>
              <w:top w:val="single" w:color="auto" w:sz="4" w:space="0"/>
              <w:left w:val="single" w:color="auto" w:sz="4" w:space="0"/>
              <w:bottom w:val="single" w:color="auto" w:sz="4" w:space="0"/>
              <w:right w:val="single" w:color="auto" w:sz="4" w:space="0"/>
            </w:tcBorders>
            <w:vAlign w:val="center"/>
          </w:tcPr>
          <w:p>
            <w:pPr>
              <w:pageBreakBefore w:val="0"/>
              <w:widowControl/>
              <w:kinsoku/>
              <w:wordWrap/>
              <w:overflowPunct/>
              <w:topLinePunct w:val="0"/>
              <w:autoSpaceDE/>
              <w:autoSpaceDN/>
              <w:bidi w:val="0"/>
              <w:adjustRightInd/>
              <w:spacing w:line="560" w:lineRule="exact"/>
              <w:ind w:firstLine="0" w:firstLineChars="0"/>
              <w:jc w:val="center"/>
              <w:rPr>
                <w:rFonts w:hint="eastAsia" w:ascii="黑体" w:hAnsi="黑体" w:eastAsia="黑体" w:cs="黑体"/>
                <w:color w:val="000000"/>
                <w:kern w:val="0"/>
                <w:sz w:val="32"/>
                <w:szCs w:val="32"/>
              </w:rPr>
            </w:pPr>
            <w:r>
              <w:rPr>
                <w:rFonts w:hint="eastAsia" w:ascii="黑体" w:hAnsi="黑体" w:eastAsia="黑体" w:cs="黑体"/>
                <w:color w:val="000000"/>
                <w:kern w:val="0"/>
                <w:sz w:val="32"/>
                <w:szCs w:val="32"/>
              </w:rPr>
              <w:t>类别</w:t>
            </w:r>
          </w:p>
        </w:tc>
        <w:tc>
          <w:tcPr>
            <w:tcW w:w="3219" w:type="dxa"/>
            <w:tcBorders>
              <w:top w:val="single" w:color="auto" w:sz="4" w:space="0"/>
              <w:left w:val="nil"/>
              <w:bottom w:val="single" w:color="auto" w:sz="4" w:space="0"/>
              <w:right w:val="single" w:color="auto" w:sz="4" w:space="0"/>
            </w:tcBorders>
            <w:vAlign w:val="center"/>
          </w:tcPr>
          <w:p>
            <w:pPr>
              <w:pageBreakBefore w:val="0"/>
              <w:widowControl/>
              <w:kinsoku/>
              <w:wordWrap/>
              <w:overflowPunct/>
              <w:topLinePunct w:val="0"/>
              <w:autoSpaceDE/>
              <w:autoSpaceDN/>
              <w:bidi w:val="0"/>
              <w:adjustRightInd/>
              <w:spacing w:line="560" w:lineRule="exact"/>
              <w:ind w:firstLine="0" w:firstLineChars="0"/>
              <w:jc w:val="center"/>
              <w:rPr>
                <w:rFonts w:hint="eastAsia" w:ascii="黑体" w:hAnsi="黑体" w:eastAsia="黑体" w:cs="黑体"/>
                <w:color w:val="000000"/>
                <w:kern w:val="0"/>
                <w:sz w:val="32"/>
                <w:szCs w:val="32"/>
              </w:rPr>
            </w:pPr>
            <w:r>
              <w:rPr>
                <w:rFonts w:hint="eastAsia" w:ascii="黑体" w:hAnsi="黑体" w:eastAsia="黑体" w:cs="黑体"/>
                <w:color w:val="000000"/>
                <w:kern w:val="0"/>
                <w:sz w:val="32"/>
                <w:szCs w:val="32"/>
              </w:rPr>
              <w:t>指标名称</w:t>
            </w:r>
          </w:p>
        </w:tc>
        <w:tc>
          <w:tcPr>
            <w:tcW w:w="1226" w:type="dxa"/>
            <w:tcBorders>
              <w:top w:val="single" w:color="auto" w:sz="4" w:space="0"/>
              <w:left w:val="nil"/>
              <w:bottom w:val="single" w:color="auto" w:sz="4" w:space="0"/>
              <w:right w:val="single" w:color="auto" w:sz="4" w:space="0"/>
            </w:tcBorders>
            <w:vAlign w:val="center"/>
          </w:tcPr>
          <w:p>
            <w:pPr>
              <w:pageBreakBefore w:val="0"/>
              <w:widowControl/>
              <w:kinsoku/>
              <w:wordWrap/>
              <w:overflowPunct/>
              <w:topLinePunct w:val="0"/>
              <w:autoSpaceDE/>
              <w:autoSpaceDN/>
              <w:bidi w:val="0"/>
              <w:adjustRightInd/>
              <w:spacing w:line="560" w:lineRule="exact"/>
              <w:ind w:firstLine="0" w:firstLineChars="0"/>
              <w:jc w:val="center"/>
              <w:rPr>
                <w:rFonts w:hint="eastAsia" w:ascii="黑体" w:hAnsi="黑体" w:eastAsia="黑体" w:cs="黑体"/>
                <w:color w:val="000000"/>
                <w:kern w:val="0"/>
                <w:sz w:val="32"/>
                <w:szCs w:val="32"/>
              </w:rPr>
            </w:pPr>
            <w:r>
              <w:rPr>
                <w:rFonts w:hint="eastAsia" w:ascii="黑体" w:hAnsi="黑体" w:eastAsia="黑体" w:cs="黑体"/>
                <w:color w:val="000000"/>
                <w:kern w:val="0"/>
                <w:sz w:val="32"/>
                <w:szCs w:val="32"/>
              </w:rPr>
              <w:t>单位</w:t>
            </w:r>
          </w:p>
        </w:tc>
        <w:tc>
          <w:tcPr>
            <w:tcW w:w="1426" w:type="dxa"/>
            <w:tcBorders>
              <w:top w:val="single" w:color="auto" w:sz="4" w:space="0"/>
              <w:left w:val="nil"/>
              <w:bottom w:val="single" w:color="auto" w:sz="4" w:space="0"/>
              <w:right w:val="single" w:color="auto" w:sz="4" w:space="0"/>
            </w:tcBorders>
            <w:vAlign w:val="center"/>
          </w:tcPr>
          <w:p>
            <w:pPr>
              <w:pageBreakBefore w:val="0"/>
              <w:widowControl/>
              <w:kinsoku/>
              <w:wordWrap/>
              <w:overflowPunct/>
              <w:topLinePunct w:val="0"/>
              <w:autoSpaceDE/>
              <w:autoSpaceDN/>
              <w:bidi w:val="0"/>
              <w:adjustRightInd/>
              <w:spacing w:line="560" w:lineRule="exact"/>
              <w:ind w:firstLine="0" w:firstLineChars="0"/>
              <w:jc w:val="center"/>
              <w:rPr>
                <w:rFonts w:hint="eastAsia" w:ascii="黑体" w:hAnsi="黑体" w:eastAsia="黑体" w:cs="黑体"/>
                <w:color w:val="000000"/>
                <w:kern w:val="0"/>
                <w:sz w:val="32"/>
                <w:szCs w:val="32"/>
              </w:rPr>
            </w:pPr>
            <w:r>
              <w:rPr>
                <w:rFonts w:hint="eastAsia" w:ascii="黑体" w:hAnsi="黑体" w:eastAsia="黑体" w:cs="黑体"/>
                <w:color w:val="000000"/>
                <w:kern w:val="0"/>
                <w:sz w:val="32"/>
                <w:szCs w:val="32"/>
              </w:rPr>
              <w:t>目标值</w:t>
            </w:r>
          </w:p>
        </w:tc>
        <w:tc>
          <w:tcPr>
            <w:tcW w:w="1996" w:type="dxa"/>
            <w:tcBorders>
              <w:top w:val="single" w:color="auto" w:sz="4" w:space="0"/>
              <w:left w:val="nil"/>
              <w:bottom w:val="single" w:color="auto" w:sz="4" w:space="0"/>
              <w:right w:val="single" w:color="auto" w:sz="4" w:space="0"/>
            </w:tcBorders>
            <w:vAlign w:val="center"/>
          </w:tcPr>
          <w:p>
            <w:pPr>
              <w:pageBreakBefore w:val="0"/>
              <w:widowControl/>
              <w:kinsoku/>
              <w:wordWrap/>
              <w:overflowPunct/>
              <w:topLinePunct w:val="0"/>
              <w:autoSpaceDE/>
              <w:autoSpaceDN/>
              <w:bidi w:val="0"/>
              <w:adjustRightInd/>
              <w:spacing w:line="560" w:lineRule="exact"/>
              <w:ind w:firstLine="0" w:firstLineChars="0"/>
              <w:jc w:val="center"/>
              <w:rPr>
                <w:rFonts w:hint="eastAsia" w:ascii="黑体" w:hAnsi="黑体" w:eastAsia="黑体" w:cs="黑体"/>
                <w:color w:val="000000"/>
                <w:kern w:val="0"/>
                <w:sz w:val="32"/>
                <w:szCs w:val="32"/>
              </w:rPr>
            </w:pPr>
            <w:r>
              <w:rPr>
                <w:rFonts w:hint="eastAsia" w:ascii="黑体" w:hAnsi="黑体" w:eastAsia="黑体" w:cs="黑体"/>
                <w:color w:val="000000"/>
                <w:kern w:val="0"/>
                <w:sz w:val="32"/>
                <w:szCs w:val="32"/>
              </w:rPr>
              <w:t>指标性质</w:t>
            </w:r>
          </w:p>
        </w:tc>
      </w:tr>
      <w:tr>
        <w:tblPrEx>
          <w:tblCellMar>
            <w:top w:w="0" w:type="dxa"/>
            <w:left w:w="108" w:type="dxa"/>
            <w:bottom w:w="0" w:type="dxa"/>
            <w:right w:w="108" w:type="dxa"/>
          </w:tblCellMar>
        </w:tblPrEx>
        <w:trPr>
          <w:trHeight w:val="810" w:hRule="atLeast"/>
          <w:jc w:val="center"/>
        </w:trPr>
        <w:tc>
          <w:tcPr>
            <w:tcW w:w="1501" w:type="dxa"/>
            <w:vMerge w:val="restart"/>
            <w:tcBorders>
              <w:top w:val="nil"/>
              <w:left w:val="single" w:color="auto" w:sz="4" w:space="0"/>
              <w:bottom w:val="single" w:color="000000" w:sz="4" w:space="0"/>
              <w:right w:val="single" w:color="auto" w:sz="4" w:space="0"/>
            </w:tcBorders>
            <w:vAlign w:val="center"/>
          </w:tcPr>
          <w:p>
            <w:pPr>
              <w:pageBreakBefore w:val="0"/>
              <w:widowControl/>
              <w:kinsoku/>
              <w:wordWrap/>
              <w:overflowPunct/>
              <w:topLinePunct w:val="0"/>
              <w:autoSpaceDE/>
              <w:autoSpaceDN/>
              <w:bidi w:val="0"/>
              <w:adjustRightInd/>
              <w:spacing w:line="560" w:lineRule="exact"/>
              <w:ind w:firstLine="0" w:firstLineChars="0"/>
              <w:jc w:val="center"/>
              <w:rPr>
                <w:rFonts w:hint="eastAsia" w:hAnsi="宋体" w:cs="宋体"/>
                <w:b/>
                <w:bCs/>
                <w:color w:val="000000"/>
                <w:kern w:val="0"/>
                <w:sz w:val="32"/>
                <w:szCs w:val="32"/>
              </w:rPr>
            </w:pPr>
            <w:r>
              <w:rPr>
                <w:rFonts w:hint="eastAsia" w:hAnsi="宋体" w:cs="宋体"/>
                <w:b/>
                <w:bCs/>
                <w:color w:val="000000"/>
                <w:kern w:val="0"/>
                <w:sz w:val="32"/>
                <w:szCs w:val="32"/>
              </w:rPr>
              <w:t>全民健身</w:t>
            </w:r>
          </w:p>
        </w:tc>
        <w:tc>
          <w:tcPr>
            <w:tcW w:w="3219" w:type="dxa"/>
            <w:tcBorders>
              <w:top w:val="nil"/>
              <w:left w:val="nil"/>
              <w:bottom w:val="single" w:color="auto" w:sz="4" w:space="0"/>
              <w:right w:val="single" w:color="auto" w:sz="4" w:space="0"/>
            </w:tcBorders>
            <w:vAlign w:val="center"/>
          </w:tcPr>
          <w:p>
            <w:pPr>
              <w:pageBreakBefore w:val="0"/>
              <w:widowControl/>
              <w:kinsoku/>
              <w:wordWrap/>
              <w:overflowPunct/>
              <w:topLinePunct w:val="0"/>
              <w:autoSpaceDE/>
              <w:autoSpaceDN/>
              <w:bidi w:val="0"/>
              <w:adjustRightInd/>
              <w:spacing w:line="560" w:lineRule="exact"/>
              <w:ind w:firstLine="0" w:firstLineChars="0"/>
              <w:jc w:val="left"/>
              <w:rPr>
                <w:rFonts w:hint="eastAsia" w:hAnsi="宋体" w:cs="宋体"/>
                <w:color w:val="000000"/>
                <w:kern w:val="0"/>
                <w:sz w:val="32"/>
                <w:szCs w:val="32"/>
              </w:rPr>
            </w:pPr>
            <w:r>
              <w:rPr>
                <w:rFonts w:hint="eastAsia" w:hAnsi="宋体" w:cs="宋体"/>
                <w:color w:val="000000"/>
                <w:kern w:val="0"/>
                <w:sz w:val="32"/>
                <w:szCs w:val="32"/>
              </w:rPr>
              <w:t>经常参加体育锻炼人数占全区总人口比例</w:t>
            </w:r>
          </w:p>
        </w:tc>
        <w:tc>
          <w:tcPr>
            <w:tcW w:w="1226" w:type="dxa"/>
            <w:tcBorders>
              <w:top w:val="nil"/>
              <w:left w:val="nil"/>
              <w:bottom w:val="single" w:color="auto" w:sz="4" w:space="0"/>
              <w:right w:val="single" w:color="auto" w:sz="4" w:space="0"/>
            </w:tcBorders>
            <w:vAlign w:val="center"/>
          </w:tcPr>
          <w:p>
            <w:pPr>
              <w:pageBreakBefore w:val="0"/>
              <w:widowControl/>
              <w:kinsoku/>
              <w:wordWrap/>
              <w:overflowPunct/>
              <w:topLinePunct w:val="0"/>
              <w:autoSpaceDE/>
              <w:autoSpaceDN/>
              <w:bidi w:val="0"/>
              <w:adjustRightInd/>
              <w:spacing w:line="560" w:lineRule="exact"/>
              <w:ind w:firstLine="0" w:firstLineChars="0"/>
              <w:jc w:val="center"/>
              <w:rPr>
                <w:rFonts w:hint="eastAsia" w:hAnsi="宋体" w:cs="宋体"/>
                <w:color w:val="000000"/>
                <w:kern w:val="0"/>
                <w:sz w:val="32"/>
                <w:szCs w:val="32"/>
              </w:rPr>
            </w:pPr>
            <w:r>
              <w:rPr>
                <w:rFonts w:hint="eastAsia" w:hAnsi="宋体" w:cs="宋体"/>
                <w:color w:val="000000"/>
                <w:kern w:val="0"/>
                <w:sz w:val="32"/>
                <w:szCs w:val="32"/>
              </w:rPr>
              <w:t>%</w:t>
            </w:r>
          </w:p>
        </w:tc>
        <w:tc>
          <w:tcPr>
            <w:tcW w:w="1426" w:type="dxa"/>
            <w:tcBorders>
              <w:top w:val="nil"/>
              <w:left w:val="nil"/>
              <w:bottom w:val="single" w:color="auto" w:sz="4" w:space="0"/>
              <w:right w:val="single" w:color="auto" w:sz="4" w:space="0"/>
            </w:tcBorders>
            <w:vAlign w:val="center"/>
          </w:tcPr>
          <w:p>
            <w:pPr>
              <w:pageBreakBefore w:val="0"/>
              <w:widowControl/>
              <w:kinsoku/>
              <w:wordWrap/>
              <w:overflowPunct/>
              <w:topLinePunct w:val="0"/>
              <w:autoSpaceDE/>
              <w:autoSpaceDN/>
              <w:bidi w:val="0"/>
              <w:adjustRightInd/>
              <w:spacing w:line="560" w:lineRule="exact"/>
              <w:ind w:firstLine="0" w:firstLineChars="0"/>
              <w:jc w:val="center"/>
              <w:rPr>
                <w:rFonts w:hint="eastAsia" w:hAnsi="宋体" w:cs="宋体"/>
                <w:color w:val="000000"/>
                <w:kern w:val="0"/>
                <w:sz w:val="32"/>
                <w:szCs w:val="32"/>
              </w:rPr>
            </w:pPr>
            <w:r>
              <w:rPr>
                <w:rFonts w:hint="eastAsia" w:hAnsi="宋体" w:cs="宋体"/>
                <w:color w:val="000000"/>
                <w:kern w:val="0"/>
                <w:sz w:val="32"/>
                <w:szCs w:val="32"/>
              </w:rPr>
              <w:t>55</w:t>
            </w:r>
          </w:p>
        </w:tc>
        <w:tc>
          <w:tcPr>
            <w:tcW w:w="1996" w:type="dxa"/>
            <w:tcBorders>
              <w:top w:val="nil"/>
              <w:left w:val="nil"/>
              <w:bottom w:val="single" w:color="auto" w:sz="4" w:space="0"/>
              <w:right w:val="single" w:color="auto" w:sz="4" w:space="0"/>
            </w:tcBorders>
            <w:vAlign w:val="center"/>
          </w:tcPr>
          <w:p>
            <w:pPr>
              <w:pageBreakBefore w:val="0"/>
              <w:widowControl/>
              <w:kinsoku/>
              <w:wordWrap/>
              <w:overflowPunct/>
              <w:topLinePunct w:val="0"/>
              <w:autoSpaceDE/>
              <w:autoSpaceDN/>
              <w:bidi w:val="0"/>
              <w:adjustRightInd/>
              <w:spacing w:line="560" w:lineRule="exact"/>
              <w:ind w:firstLine="0" w:firstLineChars="0"/>
              <w:jc w:val="center"/>
              <w:rPr>
                <w:rFonts w:hint="eastAsia" w:hAnsi="宋体" w:cs="宋体"/>
                <w:color w:val="000000"/>
                <w:kern w:val="0"/>
                <w:sz w:val="32"/>
                <w:szCs w:val="32"/>
              </w:rPr>
            </w:pPr>
            <w:r>
              <w:rPr>
                <w:rFonts w:hint="eastAsia" w:hAnsi="宋体" w:cs="宋体"/>
                <w:color w:val="000000"/>
                <w:kern w:val="0"/>
                <w:sz w:val="32"/>
                <w:szCs w:val="32"/>
              </w:rPr>
              <w:t>指导性</w:t>
            </w:r>
          </w:p>
        </w:tc>
      </w:tr>
      <w:tr>
        <w:tblPrEx>
          <w:tblCellMar>
            <w:top w:w="0" w:type="dxa"/>
            <w:left w:w="108" w:type="dxa"/>
            <w:bottom w:w="0" w:type="dxa"/>
            <w:right w:w="108" w:type="dxa"/>
          </w:tblCellMar>
        </w:tblPrEx>
        <w:trPr>
          <w:trHeight w:val="546" w:hRule="atLeast"/>
          <w:jc w:val="center"/>
        </w:trPr>
        <w:tc>
          <w:tcPr>
            <w:tcW w:w="1501" w:type="dxa"/>
            <w:vMerge w:val="continue"/>
            <w:tcBorders>
              <w:top w:val="nil"/>
              <w:left w:val="single" w:color="auto" w:sz="4" w:space="0"/>
              <w:bottom w:val="single" w:color="000000" w:sz="4" w:space="0"/>
              <w:right w:val="single" w:color="auto" w:sz="4" w:space="0"/>
            </w:tcBorders>
            <w:vAlign w:val="center"/>
          </w:tcPr>
          <w:p>
            <w:pPr>
              <w:pageBreakBefore w:val="0"/>
              <w:widowControl/>
              <w:kinsoku/>
              <w:wordWrap/>
              <w:overflowPunct/>
              <w:topLinePunct w:val="0"/>
              <w:autoSpaceDE/>
              <w:autoSpaceDN/>
              <w:bidi w:val="0"/>
              <w:adjustRightInd/>
              <w:spacing w:line="560" w:lineRule="exact"/>
              <w:ind w:firstLine="0" w:firstLineChars="0"/>
              <w:jc w:val="left"/>
              <w:rPr>
                <w:rFonts w:hint="eastAsia" w:hAnsi="宋体" w:cs="宋体"/>
                <w:b/>
                <w:bCs/>
                <w:color w:val="000000"/>
                <w:kern w:val="0"/>
                <w:sz w:val="32"/>
                <w:szCs w:val="32"/>
              </w:rPr>
            </w:pPr>
          </w:p>
        </w:tc>
        <w:tc>
          <w:tcPr>
            <w:tcW w:w="3219" w:type="dxa"/>
            <w:tcBorders>
              <w:top w:val="nil"/>
              <w:left w:val="nil"/>
              <w:bottom w:val="single" w:color="auto" w:sz="4" w:space="0"/>
              <w:right w:val="single" w:color="auto" w:sz="4" w:space="0"/>
            </w:tcBorders>
            <w:vAlign w:val="center"/>
          </w:tcPr>
          <w:p>
            <w:pPr>
              <w:pageBreakBefore w:val="0"/>
              <w:widowControl/>
              <w:kinsoku/>
              <w:wordWrap/>
              <w:overflowPunct/>
              <w:topLinePunct w:val="0"/>
              <w:autoSpaceDE/>
              <w:autoSpaceDN/>
              <w:bidi w:val="0"/>
              <w:adjustRightInd/>
              <w:spacing w:line="560" w:lineRule="exact"/>
              <w:ind w:firstLine="0" w:firstLineChars="0"/>
              <w:jc w:val="left"/>
              <w:rPr>
                <w:rFonts w:hint="eastAsia" w:hAnsi="宋体" w:cs="宋体"/>
                <w:color w:val="000000"/>
                <w:kern w:val="0"/>
                <w:sz w:val="32"/>
                <w:szCs w:val="32"/>
              </w:rPr>
            </w:pPr>
            <w:r>
              <w:rPr>
                <w:rFonts w:hint="eastAsia" w:hAnsi="宋体" w:cs="宋体"/>
                <w:color w:val="000000"/>
                <w:kern w:val="0"/>
                <w:sz w:val="32"/>
                <w:szCs w:val="32"/>
              </w:rPr>
              <w:t>人均体育场地面积</w:t>
            </w:r>
          </w:p>
        </w:tc>
        <w:tc>
          <w:tcPr>
            <w:tcW w:w="1226" w:type="dxa"/>
            <w:tcBorders>
              <w:top w:val="nil"/>
              <w:left w:val="nil"/>
              <w:bottom w:val="single" w:color="auto" w:sz="4" w:space="0"/>
              <w:right w:val="single" w:color="auto" w:sz="4" w:space="0"/>
            </w:tcBorders>
            <w:vAlign w:val="center"/>
          </w:tcPr>
          <w:p>
            <w:pPr>
              <w:pageBreakBefore w:val="0"/>
              <w:widowControl/>
              <w:kinsoku/>
              <w:wordWrap/>
              <w:overflowPunct/>
              <w:topLinePunct w:val="0"/>
              <w:autoSpaceDE/>
              <w:autoSpaceDN/>
              <w:bidi w:val="0"/>
              <w:adjustRightInd/>
              <w:spacing w:line="560" w:lineRule="exact"/>
              <w:ind w:firstLine="0" w:firstLineChars="0"/>
              <w:jc w:val="center"/>
              <w:rPr>
                <w:rFonts w:hint="eastAsia" w:hAnsi="宋体" w:cs="宋体"/>
                <w:color w:val="000000"/>
                <w:kern w:val="0"/>
                <w:sz w:val="32"/>
                <w:szCs w:val="32"/>
              </w:rPr>
            </w:pPr>
            <w:r>
              <w:rPr>
                <w:rFonts w:hint="eastAsia" w:hAnsi="宋体" w:cs="宋体"/>
                <w:color w:val="000000"/>
                <w:kern w:val="0"/>
                <w:sz w:val="32"/>
                <w:szCs w:val="32"/>
              </w:rPr>
              <w:t>平方米</w:t>
            </w:r>
          </w:p>
        </w:tc>
        <w:tc>
          <w:tcPr>
            <w:tcW w:w="1426" w:type="dxa"/>
            <w:tcBorders>
              <w:top w:val="nil"/>
              <w:left w:val="nil"/>
              <w:bottom w:val="single" w:color="auto" w:sz="4" w:space="0"/>
              <w:right w:val="single" w:color="auto" w:sz="4" w:space="0"/>
            </w:tcBorders>
            <w:vAlign w:val="center"/>
          </w:tcPr>
          <w:p>
            <w:pPr>
              <w:pageBreakBefore w:val="0"/>
              <w:widowControl/>
              <w:kinsoku/>
              <w:wordWrap/>
              <w:overflowPunct/>
              <w:topLinePunct w:val="0"/>
              <w:autoSpaceDE/>
              <w:autoSpaceDN/>
              <w:bidi w:val="0"/>
              <w:adjustRightInd/>
              <w:spacing w:line="560" w:lineRule="exact"/>
              <w:ind w:firstLine="0" w:firstLineChars="0"/>
              <w:jc w:val="center"/>
              <w:rPr>
                <w:rFonts w:hint="eastAsia" w:hAnsi="宋体" w:cs="宋体"/>
                <w:color w:val="000000"/>
                <w:kern w:val="0"/>
                <w:sz w:val="32"/>
                <w:szCs w:val="32"/>
              </w:rPr>
            </w:pPr>
            <w:r>
              <w:rPr>
                <w:rFonts w:hint="eastAsia" w:hAnsi="宋体" w:cs="宋体"/>
                <w:color w:val="000000"/>
                <w:kern w:val="0"/>
                <w:sz w:val="32"/>
                <w:szCs w:val="32"/>
              </w:rPr>
              <w:t>2.7</w:t>
            </w:r>
          </w:p>
        </w:tc>
        <w:tc>
          <w:tcPr>
            <w:tcW w:w="1996" w:type="dxa"/>
            <w:tcBorders>
              <w:top w:val="nil"/>
              <w:left w:val="nil"/>
              <w:bottom w:val="single" w:color="auto" w:sz="4" w:space="0"/>
              <w:right w:val="single" w:color="auto" w:sz="4" w:space="0"/>
            </w:tcBorders>
            <w:vAlign w:val="center"/>
          </w:tcPr>
          <w:p>
            <w:pPr>
              <w:pageBreakBefore w:val="0"/>
              <w:widowControl/>
              <w:kinsoku/>
              <w:wordWrap/>
              <w:overflowPunct/>
              <w:topLinePunct w:val="0"/>
              <w:autoSpaceDE/>
              <w:autoSpaceDN/>
              <w:bidi w:val="0"/>
              <w:adjustRightInd/>
              <w:spacing w:line="560" w:lineRule="exact"/>
              <w:ind w:firstLine="0" w:firstLineChars="0"/>
              <w:jc w:val="center"/>
              <w:rPr>
                <w:rFonts w:hint="eastAsia" w:hAnsi="宋体" w:cs="宋体"/>
                <w:color w:val="000000"/>
                <w:kern w:val="0"/>
                <w:sz w:val="32"/>
                <w:szCs w:val="32"/>
              </w:rPr>
            </w:pPr>
            <w:r>
              <w:rPr>
                <w:rFonts w:hint="eastAsia" w:hAnsi="宋体" w:cs="宋体"/>
                <w:color w:val="000000"/>
                <w:kern w:val="0"/>
                <w:sz w:val="32"/>
                <w:szCs w:val="32"/>
              </w:rPr>
              <w:t>指导性</w:t>
            </w:r>
          </w:p>
        </w:tc>
      </w:tr>
      <w:tr>
        <w:tblPrEx>
          <w:tblCellMar>
            <w:top w:w="0" w:type="dxa"/>
            <w:left w:w="108" w:type="dxa"/>
            <w:bottom w:w="0" w:type="dxa"/>
            <w:right w:w="108" w:type="dxa"/>
          </w:tblCellMar>
        </w:tblPrEx>
        <w:trPr>
          <w:trHeight w:val="405" w:hRule="atLeast"/>
          <w:jc w:val="center"/>
        </w:trPr>
        <w:tc>
          <w:tcPr>
            <w:tcW w:w="1501" w:type="dxa"/>
            <w:vMerge w:val="continue"/>
            <w:tcBorders>
              <w:top w:val="nil"/>
              <w:left w:val="single" w:color="auto" w:sz="4" w:space="0"/>
              <w:bottom w:val="single" w:color="000000" w:sz="4" w:space="0"/>
              <w:right w:val="single" w:color="auto" w:sz="4" w:space="0"/>
            </w:tcBorders>
            <w:vAlign w:val="center"/>
          </w:tcPr>
          <w:p>
            <w:pPr>
              <w:pageBreakBefore w:val="0"/>
              <w:widowControl/>
              <w:kinsoku/>
              <w:wordWrap/>
              <w:overflowPunct/>
              <w:topLinePunct w:val="0"/>
              <w:autoSpaceDE/>
              <w:autoSpaceDN/>
              <w:bidi w:val="0"/>
              <w:adjustRightInd/>
              <w:spacing w:line="560" w:lineRule="exact"/>
              <w:ind w:firstLine="0" w:firstLineChars="0"/>
              <w:jc w:val="left"/>
              <w:rPr>
                <w:rFonts w:hint="eastAsia" w:hAnsi="宋体" w:cs="宋体"/>
                <w:b/>
                <w:bCs/>
                <w:color w:val="000000"/>
                <w:kern w:val="0"/>
                <w:sz w:val="32"/>
                <w:szCs w:val="32"/>
              </w:rPr>
            </w:pPr>
          </w:p>
        </w:tc>
        <w:tc>
          <w:tcPr>
            <w:tcW w:w="3219" w:type="dxa"/>
            <w:tcBorders>
              <w:top w:val="nil"/>
              <w:left w:val="nil"/>
              <w:bottom w:val="nil"/>
              <w:right w:val="nil"/>
            </w:tcBorders>
            <w:vAlign w:val="center"/>
          </w:tcPr>
          <w:p>
            <w:pPr>
              <w:pageBreakBefore w:val="0"/>
              <w:widowControl/>
              <w:kinsoku/>
              <w:wordWrap/>
              <w:overflowPunct/>
              <w:topLinePunct w:val="0"/>
              <w:autoSpaceDE/>
              <w:autoSpaceDN/>
              <w:bidi w:val="0"/>
              <w:adjustRightInd/>
              <w:spacing w:line="560" w:lineRule="exact"/>
              <w:ind w:firstLine="0" w:firstLineChars="0"/>
              <w:jc w:val="left"/>
              <w:rPr>
                <w:rFonts w:hint="eastAsia" w:hAnsi="宋体" w:cs="宋体"/>
                <w:color w:val="000000"/>
                <w:kern w:val="0"/>
                <w:sz w:val="32"/>
                <w:szCs w:val="32"/>
              </w:rPr>
            </w:pPr>
            <w:r>
              <w:rPr>
                <w:rFonts w:hint="eastAsia" w:hAnsi="宋体" w:cs="宋体"/>
                <w:color w:val="000000"/>
                <w:kern w:val="0"/>
                <w:sz w:val="32"/>
                <w:szCs w:val="32"/>
              </w:rPr>
              <w:t>每千人拥有社会体育指导员</w:t>
            </w:r>
          </w:p>
        </w:tc>
        <w:tc>
          <w:tcPr>
            <w:tcW w:w="1226" w:type="dxa"/>
            <w:tcBorders>
              <w:top w:val="nil"/>
              <w:left w:val="single" w:color="auto" w:sz="4" w:space="0"/>
              <w:bottom w:val="single" w:color="auto" w:sz="4" w:space="0"/>
              <w:right w:val="single" w:color="auto" w:sz="4" w:space="0"/>
            </w:tcBorders>
            <w:vAlign w:val="center"/>
          </w:tcPr>
          <w:p>
            <w:pPr>
              <w:pageBreakBefore w:val="0"/>
              <w:widowControl/>
              <w:kinsoku/>
              <w:wordWrap/>
              <w:overflowPunct/>
              <w:topLinePunct w:val="0"/>
              <w:autoSpaceDE/>
              <w:autoSpaceDN/>
              <w:bidi w:val="0"/>
              <w:adjustRightInd/>
              <w:spacing w:line="560" w:lineRule="exact"/>
              <w:ind w:firstLine="0" w:firstLineChars="0"/>
              <w:jc w:val="center"/>
              <w:rPr>
                <w:rFonts w:hint="eastAsia" w:hAnsi="宋体" w:cs="宋体"/>
                <w:color w:val="000000"/>
                <w:kern w:val="0"/>
                <w:sz w:val="32"/>
                <w:szCs w:val="32"/>
              </w:rPr>
            </w:pPr>
            <w:r>
              <w:rPr>
                <w:rFonts w:hint="eastAsia" w:hAnsi="宋体" w:cs="宋体"/>
                <w:color w:val="000000"/>
                <w:kern w:val="0"/>
                <w:sz w:val="32"/>
                <w:szCs w:val="32"/>
              </w:rPr>
              <w:t>人</w:t>
            </w:r>
          </w:p>
        </w:tc>
        <w:tc>
          <w:tcPr>
            <w:tcW w:w="1426" w:type="dxa"/>
            <w:tcBorders>
              <w:top w:val="nil"/>
              <w:left w:val="nil"/>
              <w:bottom w:val="single" w:color="auto" w:sz="4" w:space="0"/>
              <w:right w:val="single" w:color="auto" w:sz="4" w:space="0"/>
            </w:tcBorders>
            <w:vAlign w:val="center"/>
          </w:tcPr>
          <w:p>
            <w:pPr>
              <w:pageBreakBefore w:val="0"/>
              <w:widowControl/>
              <w:kinsoku/>
              <w:wordWrap/>
              <w:overflowPunct/>
              <w:topLinePunct w:val="0"/>
              <w:autoSpaceDE/>
              <w:autoSpaceDN/>
              <w:bidi w:val="0"/>
              <w:adjustRightInd/>
              <w:spacing w:line="560" w:lineRule="exact"/>
              <w:ind w:firstLine="0" w:firstLineChars="0"/>
              <w:jc w:val="center"/>
              <w:rPr>
                <w:rFonts w:hint="eastAsia" w:hAnsi="宋体" w:cs="宋体"/>
                <w:color w:val="000000"/>
                <w:kern w:val="0"/>
                <w:sz w:val="32"/>
                <w:szCs w:val="32"/>
              </w:rPr>
            </w:pPr>
            <w:r>
              <w:rPr>
                <w:rFonts w:hint="eastAsia" w:hAnsi="宋体" w:cs="宋体"/>
                <w:color w:val="000000"/>
                <w:kern w:val="0"/>
                <w:sz w:val="32"/>
                <w:szCs w:val="32"/>
              </w:rPr>
              <w:t>11</w:t>
            </w:r>
          </w:p>
        </w:tc>
        <w:tc>
          <w:tcPr>
            <w:tcW w:w="1996" w:type="dxa"/>
            <w:tcBorders>
              <w:top w:val="nil"/>
              <w:left w:val="nil"/>
              <w:bottom w:val="single" w:color="auto" w:sz="4" w:space="0"/>
              <w:right w:val="single" w:color="auto" w:sz="4" w:space="0"/>
            </w:tcBorders>
            <w:vAlign w:val="center"/>
          </w:tcPr>
          <w:p>
            <w:pPr>
              <w:pageBreakBefore w:val="0"/>
              <w:widowControl/>
              <w:kinsoku/>
              <w:wordWrap/>
              <w:overflowPunct/>
              <w:topLinePunct w:val="0"/>
              <w:autoSpaceDE/>
              <w:autoSpaceDN/>
              <w:bidi w:val="0"/>
              <w:adjustRightInd/>
              <w:spacing w:line="560" w:lineRule="exact"/>
              <w:ind w:firstLine="0" w:firstLineChars="0"/>
              <w:jc w:val="center"/>
              <w:rPr>
                <w:rFonts w:hint="eastAsia" w:hAnsi="宋体" w:cs="宋体"/>
                <w:color w:val="000000"/>
                <w:kern w:val="0"/>
                <w:sz w:val="32"/>
                <w:szCs w:val="32"/>
              </w:rPr>
            </w:pPr>
            <w:r>
              <w:rPr>
                <w:rFonts w:hint="eastAsia" w:hAnsi="宋体" w:cs="宋体"/>
                <w:color w:val="000000"/>
                <w:kern w:val="0"/>
                <w:sz w:val="32"/>
                <w:szCs w:val="32"/>
              </w:rPr>
              <w:t>指导性</w:t>
            </w:r>
          </w:p>
        </w:tc>
      </w:tr>
      <w:tr>
        <w:tblPrEx>
          <w:tblCellMar>
            <w:top w:w="0" w:type="dxa"/>
            <w:left w:w="108" w:type="dxa"/>
            <w:bottom w:w="0" w:type="dxa"/>
            <w:right w:w="108" w:type="dxa"/>
          </w:tblCellMar>
        </w:tblPrEx>
        <w:trPr>
          <w:trHeight w:val="1321" w:hRule="atLeast"/>
          <w:jc w:val="center"/>
        </w:trPr>
        <w:tc>
          <w:tcPr>
            <w:tcW w:w="1501" w:type="dxa"/>
            <w:vMerge w:val="restart"/>
            <w:tcBorders>
              <w:top w:val="nil"/>
              <w:left w:val="single" w:color="auto" w:sz="4" w:space="0"/>
              <w:bottom w:val="single" w:color="auto" w:sz="4" w:space="0"/>
              <w:right w:val="single" w:color="auto" w:sz="4" w:space="0"/>
            </w:tcBorders>
            <w:vAlign w:val="center"/>
          </w:tcPr>
          <w:p>
            <w:pPr>
              <w:pageBreakBefore w:val="0"/>
              <w:widowControl/>
              <w:kinsoku/>
              <w:wordWrap/>
              <w:overflowPunct/>
              <w:topLinePunct w:val="0"/>
              <w:autoSpaceDE/>
              <w:autoSpaceDN/>
              <w:bidi w:val="0"/>
              <w:adjustRightInd/>
              <w:spacing w:line="560" w:lineRule="exact"/>
              <w:ind w:firstLine="0" w:firstLineChars="0"/>
              <w:jc w:val="center"/>
              <w:rPr>
                <w:rFonts w:hint="eastAsia" w:hAnsi="宋体" w:cs="宋体"/>
                <w:b/>
                <w:bCs/>
                <w:color w:val="000000"/>
                <w:kern w:val="0"/>
                <w:sz w:val="32"/>
                <w:szCs w:val="32"/>
              </w:rPr>
            </w:pPr>
            <w:r>
              <w:rPr>
                <w:rFonts w:hint="eastAsia" w:hAnsi="宋体" w:cs="宋体"/>
                <w:b/>
                <w:bCs/>
                <w:color w:val="000000"/>
                <w:kern w:val="0"/>
                <w:sz w:val="32"/>
                <w:szCs w:val="32"/>
              </w:rPr>
              <w:t>竞技体育</w:t>
            </w:r>
          </w:p>
        </w:tc>
        <w:tc>
          <w:tcPr>
            <w:tcW w:w="3219" w:type="dxa"/>
            <w:tcBorders>
              <w:top w:val="single" w:color="auto" w:sz="4" w:space="0"/>
              <w:left w:val="nil"/>
              <w:bottom w:val="single" w:color="auto" w:sz="4" w:space="0"/>
              <w:right w:val="single" w:color="auto" w:sz="4" w:space="0"/>
            </w:tcBorders>
            <w:vAlign w:val="center"/>
          </w:tcPr>
          <w:p>
            <w:pPr>
              <w:pageBreakBefore w:val="0"/>
              <w:widowControl/>
              <w:kinsoku/>
              <w:wordWrap/>
              <w:overflowPunct/>
              <w:topLinePunct w:val="0"/>
              <w:autoSpaceDE/>
              <w:autoSpaceDN/>
              <w:bidi w:val="0"/>
              <w:adjustRightInd/>
              <w:spacing w:line="560" w:lineRule="exact"/>
              <w:ind w:firstLine="0" w:firstLineChars="0"/>
              <w:jc w:val="left"/>
              <w:rPr>
                <w:rFonts w:hint="eastAsia" w:hAnsi="宋体" w:cs="宋体"/>
                <w:color w:val="000000"/>
                <w:kern w:val="0"/>
                <w:sz w:val="32"/>
                <w:szCs w:val="32"/>
              </w:rPr>
            </w:pPr>
            <w:r>
              <w:rPr>
                <w:rFonts w:hint="eastAsia" w:hAnsi="宋体" w:cs="宋体"/>
                <w:color w:val="000000"/>
                <w:kern w:val="0"/>
                <w:sz w:val="32"/>
                <w:szCs w:val="32"/>
              </w:rPr>
              <w:t>2026年北京第十七届运动会、北京第三届冬季运动会</w:t>
            </w:r>
          </w:p>
        </w:tc>
        <w:tc>
          <w:tcPr>
            <w:tcW w:w="1226" w:type="dxa"/>
            <w:tcBorders>
              <w:top w:val="nil"/>
              <w:left w:val="nil"/>
              <w:bottom w:val="single" w:color="auto" w:sz="4" w:space="0"/>
              <w:right w:val="single" w:color="auto" w:sz="4" w:space="0"/>
            </w:tcBorders>
            <w:vAlign w:val="center"/>
          </w:tcPr>
          <w:p>
            <w:pPr>
              <w:pageBreakBefore w:val="0"/>
              <w:widowControl/>
              <w:kinsoku/>
              <w:wordWrap/>
              <w:overflowPunct/>
              <w:topLinePunct w:val="0"/>
              <w:autoSpaceDE/>
              <w:autoSpaceDN/>
              <w:bidi w:val="0"/>
              <w:adjustRightInd/>
              <w:spacing w:line="560" w:lineRule="exact"/>
              <w:ind w:firstLine="0" w:firstLineChars="0"/>
              <w:jc w:val="center"/>
              <w:rPr>
                <w:rFonts w:hint="eastAsia" w:hAnsi="宋体" w:cs="宋体"/>
                <w:color w:val="000000"/>
                <w:kern w:val="0"/>
                <w:sz w:val="32"/>
                <w:szCs w:val="32"/>
              </w:rPr>
            </w:pPr>
            <w:r>
              <w:rPr>
                <w:rFonts w:hint="eastAsia" w:hAnsi="宋体" w:cs="宋体"/>
                <w:color w:val="000000"/>
                <w:kern w:val="0"/>
                <w:sz w:val="32"/>
                <w:szCs w:val="32"/>
              </w:rPr>
              <w:t>名次</w:t>
            </w:r>
          </w:p>
        </w:tc>
        <w:tc>
          <w:tcPr>
            <w:tcW w:w="1426" w:type="dxa"/>
            <w:tcBorders>
              <w:top w:val="nil"/>
              <w:left w:val="nil"/>
              <w:bottom w:val="single" w:color="auto" w:sz="4" w:space="0"/>
              <w:right w:val="single" w:color="auto" w:sz="4" w:space="0"/>
            </w:tcBorders>
            <w:vAlign w:val="center"/>
          </w:tcPr>
          <w:p>
            <w:pPr>
              <w:pageBreakBefore w:val="0"/>
              <w:widowControl/>
              <w:kinsoku/>
              <w:wordWrap/>
              <w:overflowPunct/>
              <w:topLinePunct w:val="0"/>
              <w:autoSpaceDE/>
              <w:autoSpaceDN/>
              <w:bidi w:val="0"/>
              <w:adjustRightInd/>
              <w:spacing w:line="560" w:lineRule="exact"/>
              <w:ind w:firstLine="0" w:firstLineChars="0"/>
              <w:jc w:val="center"/>
              <w:rPr>
                <w:rFonts w:hint="eastAsia" w:hAnsi="宋体" w:cs="宋体"/>
                <w:color w:val="000000"/>
                <w:kern w:val="0"/>
                <w:sz w:val="32"/>
                <w:szCs w:val="32"/>
              </w:rPr>
            </w:pPr>
            <w:r>
              <w:rPr>
                <w:rFonts w:hint="eastAsia" w:hAnsi="宋体" w:cs="宋体"/>
                <w:color w:val="000000"/>
                <w:kern w:val="0"/>
                <w:sz w:val="32"/>
                <w:szCs w:val="32"/>
              </w:rPr>
              <w:t>领先</w:t>
            </w:r>
          </w:p>
        </w:tc>
        <w:tc>
          <w:tcPr>
            <w:tcW w:w="1996" w:type="dxa"/>
            <w:tcBorders>
              <w:top w:val="nil"/>
              <w:left w:val="nil"/>
              <w:bottom w:val="single" w:color="auto" w:sz="4" w:space="0"/>
              <w:right w:val="single" w:color="auto" w:sz="4" w:space="0"/>
            </w:tcBorders>
            <w:vAlign w:val="center"/>
          </w:tcPr>
          <w:p>
            <w:pPr>
              <w:pageBreakBefore w:val="0"/>
              <w:widowControl/>
              <w:kinsoku/>
              <w:wordWrap/>
              <w:overflowPunct/>
              <w:topLinePunct w:val="0"/>
              <w:autoSpaceDE/>
              <w:autoSpaceDN/>
              <w:bidi w:val="0"/>
              <w:adjustRightInd/>
              <w:spacing w:line="560" w:lineRule="exact"/>
              <w:ind w:firstLine="0" w:firstLineChars="0"/>
              <w:jc w:val="center"/>
              <w:rPr>
                <w:rFonts w:hint="eastAsia" w:hAnsi="宋体" w:cs="宋体"/>
                <w:color w:val="000000"/>
                <w:kern w:val="0"/>
                <w:sz w:val="32"/>
                <w:szCs w:val="32"/>
              </w:rPr>
            </w:pPr>
            <w:r>
              <w:rPr>
                <w:rFonts w:hint="eastAsia" w:hAnsi="宋体" w:cs="宋体"/>
                <w:color w:val="000000"/>
                <w:kern w:val="0"/>
                <w:sz w:val="32"/>
                <w:szCs w:val="32"/>
              </w:rPr>
              <w:t>指导性</w:t>
            </w:r>
          </w:p>
        </w:tc>
      </w:tr>
      <w:tr>
        <w:tblPrEx>
          <w:tblCellMar>
            <w:top w:w="0" w:type="dxa"/>
            <w:left w:w="108" w:type="dxa"/>
            <w:bottom w:w="0" w:type="dxa"/>
            <w:right w:w="108" w:type="dxa"/>
          </w:tblCellMar>
        </w:tblPrEx>
        <w:trPr>
          <w:trHeight w:val="1081" w:hRule="atLeast"/>
          <w:jc w:val="center"/>
        </w:trPr>
        <w:tc>
          <w:tcPr>
            <w:tcW w:w="1501" w:type="dxa"/>
            <w:vMerge w:val="continue"/>
            <w:tcBorders>
              <w:top w:val="nil"/>
              <w:left w:val="single" w:color="auto" w:sz="4" w:space="0"/>
              <w:bottom w:val="single" w:color="auto" w:sz="4" w:space="0"/>
              <w:right w:val="single" w:color="auto" w:sz="4" w:space="0"/>
            </w:tcBorders>
            <w:vAlign w:val="center"/>
          </w:tcPr>
          <w:p>
            <w:pPr>
              <w:pageBreakBefore w:val="0"/>
              <w:widowControl/>
              <w:kinsoku/>
              <w:wordWrap/>
              <w:overflowPunct/>
              <w:topLinePunct w:val="0"/>
              <w:autoSpaceDE/>
              <w:autoSpaceDN/>
              <w:bidi w:val="0"/>
              <w:adjustRightInd/>
              <w:spacing w:line="560" w:lineRule="exact"/>
              <w:ind w:firstLine="0" w:firstLineChars="0"/>
              <w:jc w:val="left"/>
              <w:rPr>
                <w:rFonts w:hint="eastAsia" w:hAnsi="宋体" w:cs="宋体"/>
                <w:b/>
                <w:bCs/>
                <w:color w:val="000000"/>
                <w:kern w:val="0"/>
                <w:sz w:val="32"/>
                <w:szCs w:val="32"/>
              </w:rPr>
            </w:pPr>
          </w:p>
        </w:tc>
        <w:tc>
          <w:tcPr>
            <w:tcW w:w="3219" w:type="dxa"/>
            <w:tcBorders>
              <w:top w:val="nil"/>
              <w:left w:val="nil"/>
              <w:bottom w:val="single" w:color="auto" w:sz="4" w:space="0"/>
              <w:right w:val="single" w:color="auto" w:sz="4" w:space="0"/>
            </w:tcBorders>
            <w:vAlign w:val="center"/>
          </w:tcPr>
          <w:p>
            <w:pPr>
              <w:pageBreakBefore w:val="0"/>
              <w:widowControl/>
              <w:kinsoku/>
              <w:wordWrap/>
              <w:overflowPunct/>
              <w:topLinePunct w:val="0"/>
              <w:autoSpaceDE/>
              <w:autoSpaceDN/>
              <w:bidi w:val="0"/>
              <w:adjustRightInd/>
              <w:spacing w:line="560" w:lineRule="exact"/>
              <w:ind w:firstLine="0" w:firstLineChars="0"/>
              <w:jc w:val="left"/>
              <w:rPr>
                <w:rFonts w:hint="eastAsia" w:hAnsi="宋体" w:cs="宋体"/>
                <w:color w:val="000000"/>
                <w:kern w:val="0"/>
                <w:sz w:val="32"/>
                <w:szCs w:val="32"/>
              </w:rPr>
            </w:pPr>
            <w:r>
              <w:rPr>
                <w:rFonts w:hint="eastAsia" w:hAnsi="宋体" w:cs="宋体"/>
                <w:color w:val="000000"/>
                <w:kern w:val="0"/>
                <w:sz w:val="32"/>
                <w:szCs w:val="32"/>
              </w:rPr>
              <w:t>输送后备人才数量（全市排名）</w:t>
            </w:r>
          </w:p>
        </w:tc>
        <w:tc>
          <w:tcPr>
            <w:tcW w:w="1226" w:type="dxa"/>
            <w:tcBorders>
              <w:top w:val="nil"/>
              <w:left w:val="nil"/>
              <w:bottom w:val="single" w:color="auto" w:sz="4" w:space="0"/>
              <w:right w:val="single" w:color="auto" w:sz="4" w:space="0"/>
            </w:tcBorders>
            <w:vAlign w:val="center"/>
          </w:tcPr>
          <w:p>
            <w:pPr>
              <w:pageBreakBefore w:val="0"/>
              <w:widowControl/>
              <w:kinsoku/>
              <w:wordWrap/>
              <w:overflowPunct/>
              <w:topLinePunct w:val="0"/>
              <w:autoSpaceDE/>
              <w:autoSpaceDN/>
              <w:bidi w:val="0"/>
              <w:adjustRightInd/>
              <w:spacing w:line="560" w:lineRule="exact"/>
              <w:ind w:firstLine="0" w:firstLineChars="0"/>
              <w:jc w:val="center"/>
              <w:rPr>
                <w:rFonts w:hint="eastAsia" w:hAnsi="宋体" w:cs="宋体"/>
                <w:color w:val="000000"/>
                <w:kern w:val="0"/>
                <w:sz w:val="32"/>
                <w:szCs w:val="32"/>
              </w:rPr>
            </w:pPr>
            <w:r>
              <w:rPr>
                <w:rFonts w:hint="eastAsia" w:hAnsi="宋体" w:cs="宋体"/>
                <w:color w:val="000000"/>
                <w:kern w:val="0"/>
                <w:sz w:val="32"/>
                <w:szCs w:val="32"/>
              </w:rPr>
              <w:t>名次</w:t>
            </w:r>
          </w:p>
        </w:tc>
        <w:tc>
          <w:tcPr>
            <w:tcW w:w="1426" w:type="dxa"/>
            <w:tcBorders>
              <w:top w:val="nil"/>
              <w:left w:val="nil"/>
              <w:bottom w:val="single" w:color="auto" w:sz="4" w:space="0"/>
              <w:right w:val="single" w:color="auto" w:sz="4" w:space="0"/>
            </w:tcBorders>
            <w:vAlign w:val="center"/>
          </w:tcPr>
          <w:p>
            <w:pPr>
              <w:pageBreakBefore w:val="0"/>
              <w:widowControl/>
              <w:kinsoku/>
              <w:wordWrap/>
              <w:overflowPunct/>
              <w:topLinePunct w:val="0"/>
              <w:autoSpaceDE/>
              <w:autoSpaceDN/>
              <w:bidi w:val="0"/>
              <w:adjustRightInd/>
              <w:spacing w:line="560" w:lineRule="exact"/>
              <w:ind w:firstLine="0" w:firstLineChars="0"/>
              <w:jc w:val="center"/>
              <w:rPr>
                <w:rFonts w:hint="eastAsia" w:hAnsi="宋体" w:cs="宋体"/>
                <w:color w:val="000000"/>
                <w:kern w:val="0"/>
                <w:sz w:val="32"/>
                <w:szCs w:val="32"/>
              </w:rPr>
            </w:pPr>
            <w:r>
              <w:rPr>
                <w:rFonts w:hint="eastAsia" w:hAnsi="宋体" w:cs="宋体"/>
                <w:color w:val="000000"/>
                <w:kern w:val="0"/>
                <w:sz w:val="32"/>
                <w:szCs w:val="32"/>
              </w:rPr>
              <w:t>前列</w:t>
            </w:r>
          </w:p>
        </w:tc>
        <w:tc>
          <w:tcPr>
            <w:tcW w:w="1996" w:type="dxa"/>
            <w:tcBorders>
              <w:top w:val="nil"/>
              <w:left w:val="nil"/>
              <w:bottom w:val="single" w:color="auto" w:sz="4" w:space="0"/>
              <w:right w:val="single" w:color="auto" w:sz="4" w:space="0"/>
            </w:tcBorders>
            <w:vAlign w:val="center"/>
          </w:tcPr>
          <w:p>
            <w:pPr>
              <w:pageBreakBefore w:val="0"/>
              <w:widowControl/>
              <w:kinsoku/>
              <w:wordWrap/>
              <w:overflowPunct/>
              <w:topLinePunct w:val="0"/>
              <w:autoSpaceDE/>
              <w:autoSpaceDN/>
              <w:bidi w:val="0"/>
              <w:adjustRightInd/>
              <w:spacing w:line="560" w:lineRule="exact"/>
              <w:ind w:firstLine="0" w:firstLineChars="0"/>
              <w:jc w:val="center"/>
              <w:rPr>
                <w:rFonts w:hint="eastAsia" w:hAnsi="宋体" w:cs="宋体"/>
                <w:color w:val="000000"/>
                <w:kern w:val="0"/>
                <w:sz w:val="32"/>
                <w:szCs w:val="32"/>
              </w:rPr>
            </w:pPr>
            <w:r>
              <w:rPr>
                <w:rFonts w:hint="eastAsia" w:hAnsi="宋体" w:cs="宋体"/>
                <w:color w:val="000000"/>
                <w:kern w:val="0"/>
                <w:sz w:val="32"/>
                <w:szCs w:val="32"/>
              </w:rPr>
              <w:t>指导性</w:t>
            </w:r>
          </w:p>
        </w:tc>
      </w:tr>
      <w:tr>
        <w:tblPrEx>
          <w:tblCellMar>
            <w:top w:w="0" w:type="dxa"/>
            <w:left w:w="108" w:type="dxa"/>
            <w:bottom w:w="0" w:type="dxa"/>
            <w:right w:w="108" w:type="dxa"/>
          </w:tblCellMar>
        </w:tblPrEx>
        <w:trPr>
          <w:trHeight w:val="985" w:hRule="atLeast"/>
          <w:jc w:val="center"/>
        </w:trPr>
        <w:tc>
          <w:tcPr>
            <w:tcW w:w="1501" w:type="dxa"/>
            <w:tcBorders>
              <w:top w:val="nil"/>
              <w:left w:val="single" w:color="auto" w:sz="4" w:space="0"/>
              <w:bottom w:val="single" w:color="auto" w:sz="4" w:space="0"/>
              <w:right w:val="single" w:color="auto" w:sz="4" w:space="0"/>
            </w:tcBorders>
            <w:vAlign w:val="center"/>
          </w:tcPr>
          <w:p>
            <w:pPr>
              <w:pageBreakBefore w:val="0"/>
              <w:widowControl/>
              <w:kinsoku/>
              <w:wordWrap/>
              <w:overflowPunct/>
              <w:topLinePunct w:val="0"/>
              <w:autoSpaceDE/>
              <w:autoSpaceDN/>
              <w:bidi w:val="0"/>
              <w:adjustRightInd/>
              <w:spacing w:line="560" w:lineRule="exact"/>
              <w:ind w:firstLine="0" w:firstLineChars="0"/>
              <w:jc w:val="center"/>
              <w:rPr>
                <w:rFonts w:hint="eastAsia" w:hAnsi="宋体" w:cs="宋体"/>
                <w:b/>
                <w:bCs/>
                <w:color w:val="000000"/>
                <w:kern w:val="0"/>
                <w:sz w:val="32"/>
                <w:szCs w:val="32"/>
              </w:rPr>
            </w:pPr>
            <w:r>
              <w:rPr>
                <w:rFonts w:hint="eastAsia" w:hAnsi="宋体" w:cs="宋体"/>
                <w:b/>
                <w:bCs/>
                <w:color w:val="000000"/>
                <w:kern w:val="0"/>
                <w:sz w:val="32"/>
                <w:szCs w:val="32"/>
              </w:rPr>
              <w:t>体育产业</w:t>
            </w:r>
          </w:p>
        </w:tc>
        <w:tc>
          <w:tcPr>
            <w:tcW w:w="3219" w:type="dxa"/>
            <w:tcBorders>
              <w:top w:val="nil"/>
              <w:left w:val="nil"/>
              <w:bottom w:val="single" w:color="auto" w:sz="4" w:space="0"/>
              <w:right w:val="single" w:color="auto" w:sz="4" w:space="0"/>
            </w:tcBorders>
            <w:vAlign w:val="center"/>
          </w:tcPr>
          <w:p>
            <w:pPr>
              <w:pageBreakBefore w:val="0"/>
              <w:widowControl/>
              <w:kinsoku/>
              <w:wordWrap/>
              <w:overflowPunct/>
              <w:topLinePunct w:val="0"/>
              <w:autoSpaceDE/>
              <w:autoSpaceDN/>
              <w:bidi w:val="0"/>
              <w:adjustRightInd/>
              <w:spacing w:line="560" w:lineRule="exact"/>
              <w:ind w:firstLine="0" w:firstLineChars="0"/>
              <w:jc w:val="left"/>
              <w:rPr>
                <w:rFonts w:hint="eastAsia" w:hAnsi="宋体" w:cs="宋体"/>
                <w:color w:val="000000"/>
                <w:kern w:val="0"/>
                <w:sz w:val="32"/>
                <w:szCs w:val="32"/>
              </w:rPr>
            </w:pPr>
            <w:r>
              <w:rPr>
                <w:rFonts w:hint="eastAsia" w:hAnsi="宋体" w:cs="宋体"/>
                <w:color w:val="000000"/>
                <w:kern w:val="0"/>
                <w:sz w:val="32"/>
                <w:szCs w:val="32"/>
              </w:rPr>
              <w:t>规模以上体育业企业</w:t>
            </w:r>
          </w:p>
        </w:tc>
        <w:tc>
          <w:tcPr>
            <w:tcW w:w="1226" w:type="dxa"/>
            <w:tcBorders>
              <w:top w:val="nil"/>
              <w:left w:val="nil"/>
              <w:bottom w:val="single" w:color="auto" w:sz="4" w:space="0"/>
              <w:right w:val="single" w:color="auto" w:sz="4" w:space="0"/>
            </w:tcBorders>
            <w:vAlign w:val="center"/>
          </w:tcPr>
          <w:p>
            <w:pPr>
              <w:pageBreakBefore w:val="0"/>
              <w:widowControl/>
              <w:kinsoku/>
              <w:wordWrap/>
              <w:overflowPunct/>
              <w:topLinePunct w:val="0"/>
              <w:autoSpaceDE/>
              <w:autoSpaceDN/>
              <w:bidi w:val="0"/>
              <w:adjustRightInd/>
              <w:spacing w:line="560" w:lineRule="exact"/>
              <w:ind w:firstLine="0" w:firstLineChars="0"/>
              <w:jc w:val="center"/>
              <w:rPr>
                <w:rFonts w:hint="eastAsia" w:hAnsi="宋体" w:cs="宋体"/>
                <w:color w:val="000000"/>
                <w:kern w:val="0"/>
                <w:sz w:val="32"/>
                <w:szCs w:val="32"/>
              </w:rPr>
            </w:pPr>
            <w:r>
              <w:rPr>
                <w:rFonts w:hint="eastAsia" w:hAnsi="宋体" w:cs="宋体"/>
                <w:color w:val="000000"/>
                <w:kern w:val="0"/>
                <w:sz w:val="32"/>
                <w:szCs w:val="32"/>
              </w:rPr>
              <w:t>家</w:t>
            </w:r>
          </w:p>
        </w:tc>
        <w:tc>
          <w:tcPr>
            <w:tcW w:w="1426" w:type="dxa"/>
            <w:tcBorders>
              <w:top w:val="nil"/>
              <w:left w:val="nil"/>
              <w:bottom w:val="single" w:color="auto" w:sz="4" w:space="0"/>
              <w:right w:val="single" w:color="auto" w:sz="4" w:space="0"/>
            </w:tcBorders>
            <w:vAlign w:val="center"/>
          </w:tcPr>
          <w:p>
            <w:pPr>
              <w:pageBreakBefore w:val="0"/>
              <w:widowControl/>
              <w:kinsoku/>
              <w:wordWrap/>
              <w:overflowPunct/>
              <w:topLinePunct w:val="0"/>
              <w:autoSpaceDE/>
              <w:autoSpaceDN/>
              <w:bidi w:val="0"/>
              <w:adjustRightInd/>
              <w:spacing w:line="560" w:lineRule="exact"/>
              <w:ind w:firstLine="0" w:firstLineChars="0"/>
              <w:jc w:val="center"/>
              <w:rPr>
                <w:rFonts w:hint="eastAsia" w:hAnsi="宋体" w:cs="宋体"/>
                <w:color w:val="000000"/>
                <w:kern w:val="0"/>
                <w:sz w:val="32"/>
                <w:szCs w:val="32"/>
              </w:rPr>
            </w:pPr>
            <w:r>
              <w:rPr>
                <w:rFonts w:hint="eastAsia" w:hAnsi="宋体" w:cs="宋体"/>
                <w:color w:val="000000"/>
                <w:kern w:val="0"/>
                <w:sz w:val="32"/>
                <w:szCs w:val="32"/>
              </w:rPr>
              <w:t>36</w:t>
            </w:r>
          </w:p>
        </w:tc>
        <w:tc>
          <w:tcPr>
            <w:tcW w:w="1996" w:type="dxa"/>
            <w:tcBorders>
              <w:top w:val="nil"/>
              <w:left w:val="nil"/>
              <w:bottom w:val="single" w:color="auto" w:sz="4" w:space="0"/>
              <w:right w:val="single" w:color="auto" w:sz="4" w:space="0"/>
            </w:tcBorders>
            <w:vAlign w:val="center"/>
          </w:tcPr>
          <w:p>
            <w:pPr>
              <w:pageBreakBefore w:val="0"/>
              <w:widowControl/>
              <w:kinsoku/>
              <w:wordWrap/>
              <w:overflowPunct/>
              <w:topLinePunct w:val="0"/>
              <w:autoSpaceDE/>
              <w:autoSpaceDN/>
              <w:bidi w:val="0"/>
              <w:adjustRightInd/>
              <w:spacing w:line="560" w:lineRule="exact"/>
              <w:ind w:firstLine="0" w:firstLineChars="0"/>
              <w:jc w:val="center"/>
              <w:rPr>
                <w:rFonts w:hint="eastAsia" w:hAnsi="宋体" w:cs="宋体"/>
                <w:color w:val="000000"/>
                <w:kern w:val="0"/>
                <w:sz w:val="32"/>
                <w:szCs w:val="32"/>
              </w:rPr>
            </w:pPr>
            <w:r>
              <w:rPr>
                <w:rFonts w:hint="eastAsia" w:hAnsi="宋体" w:cs="宋体"/>
                <w:color w:val="000000"/>
                <w:kern w:val="0"/>
                <w:sz w:val="32"/>
                <w:szCs w:val="32"/>
              </w:rPr>
              <w:t>指导性</w:t>
            </w:r>
          </w:p>
        </w:tc>
      </w:tr>
    </w:tbl>
    <w:p>
      <w:pPr>
        <w:pageBreakBefore w:val="0"/>
        <w:kinsoku/>
        <w:wordWrap/>
        <w:overflowPunct/>
        <w:topLinePunct w:val="0"/>
        <w:autoSpaceDE/>
        <w:autoSpaceDN/>
        <w:bidi w:val="0"/>
        <w:adjustRightInd/>
        <w:spacing w:line="560" w:lineRule="exact"/>
        <w:ind w:firstLine="640"/>
        <w:rPr>
          <w:rFonts w:hint="eastAsia"/>
          <w:sz w:val="32"/>
          <w:szCs w:val="32"/>
        </w:rPr>
      </w:pPr>
    </w:p>
    <w:p>
      <w:pPr>
        <w:pageBreakBefore w:val="0"/>
        <w:kinsoku/>
        <w:wordWrap/>
        <w:overflowPunct/>
        <w:topLinePunct w:val="0"/>
        <w:autoSpaceDE/>
        <w:autoSpaceDN/>
        <w:bidi w:val="0"/>
        <w:adjustRightInd/>
        <w:spacing w:line="560" w:lineRule="exact"/>
        <w:ind w:firstLine="560"/>
        <w:rPr>
          <w:rFonts w:hint="eastAsia"/>
        </w:rPr>
      </w:pPr>
      <w:r>
        <w:br w:type="page"/>
      </w:r>
    </w:p>
    <w:p>
      <w:pPr>
        <w:pStyle w:val="2"/>
        <w:pageBreakBefore w:val="0"/>
        <w:numPr>
          <w:ilvl w:val="0"/>
          <w:numId w:val="0"/>
        </w:numPr>
        <w:kinsoku/>
        <w:wordWrap/>
        <w:overflowPunct/>
        <w:topLinePunct w:val="0"/>
        <w:autoSpaceDE/>
        <w:autoSpaceDN/>
        <w:bidi w:val="0"/>
        <w:adjustRightInd/>
        <w:spacing w:before="312" w:after="312" w:line="560" w:lineRule="exact"/>
        <w:rPr>
          <w:rFonts w:hint="eastAsia"/>
        </w:rPr>
      </w:pPr>
      <w:bookmarkStart w:id="18" w:name="_Toc219116696"/>
      <w:r>
        <w:rPr>
          <w:rFonts w:hint="eastAsia"/>
        </w:rPr>
        <w:t>第三章  重点任务</w:t>
      </w:r>
      <w:bookmarkEnd w:id="18"/>
    </w:p>
    <w:p>
      <w:pPr>
        <w:pStyle w:val="3"/>
        <w:pageBreakBefore w:val="0"/>
        <w:numPr>
          <w:ilvl w:val="1"/>
          <w:numId w:val="0"/>
        </w:numPr>
        <w:kinsoku/>
        <w:wordWrap/>
        <w:overflowPunct/>
        <w:topLinePunct w:val="0"/>
        <w:autoSpaceDE/>
        <w:autoSpaceDN/>
        <w:bidi w:val="0"/>
        <w:adjustRightInd/>
        <w:spacing w:line="560" w:lineRule="exact"/>
        <w:ind w:firstLine="640" w:firstLineChars="200"/>
        <w:rPr>
          <w:rFonts w:hint="eastAsia"/>
          <w:sz w:val="32"/>
        </w:rPr>
      </w:pPr>
      <w:bookmarkStart w:id="19" w:name="_Toc219116697"/>
      <w:r>
        <w:rPr>
          <w:rFonts w:hint="eastAsia"/>
          <w:sz w:val="32"/>
        </w:rPr>
        <w:t>一、夯实全民健身模范区成果，构建更高水平公共服务体系</w:t>
      </w:r>
      <w:bookmarkEnd w:id="19"/>
    </w:p>
    <w:p>
      <w:pPr>
        <w:pStyle w:val="4"/>
        <w:pageBreakBefore w:val="0"/>
        <w:numPr>
          <w:ilvl w:val="2"/>
          <w:numId w:val="0"/>
        </w:numPr>
        <w:kinsoku/>
        <w:wordWrap/>
        <w:overflowPunct/>
        <w:topLinePunct w:val="0"/>
        <w:autoSpaceDE/>
        <w:autoSpaceDN/>
        <w:bidi w:val="0"/>
        <w:adjustRightInd/>
        <w:spacing w:line="560" w:lineRule="exact"/>
        <w:ind w:firstLine="643" w:firstLineChars="200"/>
        <w:rPr>
          <w:rFonts w:hint="eastAsia" w:hAnsi="仿宋_GB2312" w:cs="仿宋_GB2312"/>
          <w:b/>
          <w:sz w:val="32"/>
        </w:rPr>
      </w:pPr>
      <w:r>
        <w:rPr>
          <w:rFonts w:hint="eastAsia" w:hAnsi="仿宋_GB2312" w:cs="仿宋_GB2312"/>
          <w:b/>
          <w:sz w:val="32"/>
        </w:rPr>
        <w:t>（一）完善顶层设计，健全工作机制</w:t>
      </w:r>
    </w:p>
    <w:p>
      <w:pPr>
        <w:pageBreakBefore w:val="0"/>
        <w:kinsoku/>
        <w:wordWrap/>
        <w:overflowPunct/>
        <w:topLinePunct w:val="0"/>
        <w:autoSpaceDE/>
        <w:autoSpaceDN/>
        <w:bidi w:val="0"/>
        <w:adjustRightInd/>
        <w:spacing w:line="560" w:lineRule="exact"/>
        <w:ind w:firstLine="640"/>
        <w:rPr>
          <w:rFonts w:hint="eastAsia" w:hAnsi="仿宋_GB2312" w:cs="仿宋_GB2312"/>
          <w:sz w:val="32"/>
          <w:szCs w:val="32"/>
        </w:rPr>
      </w:pPr>
      <w:r>
        <w:rPr>
          <w:rFonts w:hint="eastAsia" w:hAnsi="仿宋_GB2312" w:cs="仿宋_GB2312"/>
          <w:sz w:val="32"/>
          <w:szCs w:val="32"/>
        </w:rPr>
        <w:t>1.加强政策引领，高质量完成《北京市东城区全民健身实施计划(2026-2030年)》编制工作，确立“十五五”时期全民健身工作战略主线，明确工作目标任务，为下一周期东城区全民健身工作指明方向和实施路径。</w:t>
      </w:r>
    </w:p>
    <w:p>
      <w:pPr>
        <w:pageBreakBefore w:val="0"/>
        <w:kinsoku/>
        <w:wordWrap/>
        <w:overflowPunct/>
        <w:topLinePunct w:val="0"/>
        <w:autoSpaceDE/>
        <w:autoSpaceDN/>
        <w:bidi w:val="0"/>
        <w:adjustRightInd/>
        <w:spacing w:line="560" w:lineRule="exact"/>
        <w:ind w:firstLine="640"/>
        <w:rPr>
          <w:rFonts w:hint="eastAsia" w:hAnsi="仿宋_GB2312" w:cs="仿宋_GB2312"/>
          <w:sz w:val="32"/>
          <w:szCs w:val="32"/>
        </w:rPr>
      </w:pPr>
      <w:bookmarkStart w:id="20" w:name="OLE_LINK12"/>
      <w:r>
        <w:rPr>
          <w:rFonts w:hint="eastAsia" w:hAnsi="仿宋_GB2312" w:cs="仿宋_GB2312"/>
          <w:sz w:val="32"/>
          <w:szCs w:val="32"/>
        </w:rPr>
        <w:t>2.夯实全民健身组织基础。认真落实《东城区全民健身工作联席会议制度》，</w:t>
      </w:r>
      <w:r>
        <w:rPr>
          <w:rFonts w:hint="eastAsia" w:hAnsi="仿宋_GB2312" w:cs="仿宋_GB2312"/>
          <w:color w:val="000000"/>
          <w:sz w:val="32"/>
          <w:szCs w:val="32"/>
        </w:rPr>
        <w:t>进一步强化“政府领导、部门协作、社会联动、齐抓共管”的工作机制和</w:t>
      </w:r>
      <w:r>
        <w:rPr>
          <w:rFonts w:hint="eastAsia" w:hAnsi="仿宋_GB2312" w:cs="仿宋_GB2312"/>
          <w:color w:val="auto"/>
          <w:sz w:val="32"/>
          <w:szCs w:val="32"/>
        </w:rPr>
        <w:t>“区</w:t>
      </w:r>
      <w:r>
        <w:rPr>
          <w:rFonts w:hint="eastAsia" w:hAnsi="仿宋_GB2312" w:cs="仿宋_GB2312"/>
          <w:color w:val="auto"/>
          <w:sz w:val="32"/>
          <w:szCs w:val="32"/>
          <w:lang w:eastAsia="zh-CN"/>
        </w:rPr>
        <w:t>—</w:t>
      </w:r>
      <w:r>
        <w:rPr>
          <w:rFonts w:hint="eastAsia" w:hAnsi="仿宋_GB2312" w:cs="仿宋_GB2312"/>
          <w:color w:val="auto"/>
          <w:sz w:val="32"/>
          <w:szCs w:val="32"/>
        </w:rPr>
        <w:t>街道</w:t>
      </w:r>
      <w:r>
        <w:rPr>
          <w:rFonts w:hint="eastAsia" w:hAnsi="仿宋_GB2312" w:cs="仿宋_GB2312"/>
          <w:color w:val="auto"/>
          <w:sz w:val="32"/>
          <w:szCs w:val="32"/>
          <w:lang w:eastAsia="zh-CN"/>
        </w:rPr>
        <w:t>—</w:t>
      </w:r>
      <w:r>
        <w:rPr>
          <w:rFonts w:hint="eastAsia" w:hAnsi="仿宋_GB2312" w:cs="仿宋_GB2312"/>
          <w:color w:val="auto"/>
          <w:sz w:val="32"/>
          <w:szCs w:val="32"/>
        </w:rPr>
        <w:t>社区”三级</w:t>
      </w:r>
      <w:r>
        <w:rPr>
          <w:rFonts w:hint="eastAsia" w:hAnsi="仿宋_GB2312" w:cs="仿宋_GB2312"/>
          <w:sz w:val="32"/>
          <w:szCs w:val="32"/>
        </w:rPr>
        <w:t>全民健身组织体系建设。加大激励与支持力度，强化体育社会组织建设，加强</w:t>
      </w:r>
      <w:r>
        <w:rPr>
          <w:rStyle w:val="37"/>
          <w:rFonts w:hint="eastAsia" w:hAnsi="仿宋_GB2312" w:cs="仿宋_GB2312"/>
          <w:color w:val="000000"/>
        </w:rPr>
        <w:t>全民健身赛事安全监管</w:t>
      </w:r>
      <w:r>
        <w:rPr>
          <w:rFonts w:hint="eastAsia" w:hAnsi="仿宋_GB2312" w:cs="仿宋_GB2312"/>
          <w:sz w:val="32"/>
          <w:szCs w:val="32"/>
        </w:rPr>
        <w:t>。</w:t>
      </w:r>
    </w:p>
    <w:p>
      <w:pPr>
        <w:pageBreakBefore w:val="0"/>
        <w:kinsoku/>
        <w:wordWrap/>
        <w:overflowPunct/>
        <w:topLinePunct w:val="0"/>
        <w:autoSpaceDE/>
        <w:autoSpaceDN/>
        <w:bidi w:val="0"/>
        <w:adjustRightInd/>
        <w:spacing w:line="560" w:lineRule="exact"/>
        <w:ind w:firstLine="640"/>
        <w:rPr>
          <w:rFonts w:hint="eastAsia" w:hAnsi="仿宋_GB2312" w:cs="仿宋_GB2312"/>
          <w:sz w:val="32"/>
          <w:szCs w:val="32"/>
        </w:rPr>
      </w:pPr>
      <w:r>
        <w:rPr>
          <w:rFonts w:hint="eastAsia" w:hAnsi="仿宋_GB2312" w:cs="仿宋_GB2312"/>
          <w:sz w:val="32"/>
          <w:szCs w:val="32"/>
        </w:rPr>
        <w:t>3．倡导体育生活化理念，扎实推进“六个身边”工程</w:t>
      </w:r>
      <w:r>
        <w:rPr>
          <w:rFonts w:hAnsi="仿宋_GB2312" w:cs="仿宋_GB2312"/>
          <w:sz w:val="32"/>
          <w:szCs w:val="32"/>
        </w:rPr>
        <w:t>（</w:t>
      </w:r>
      <w:r>
        <w:rPr>
          <w:rFonts w:hint="eastAsia" w:hAnsi="仿宋_GB2312" w:cs="仿宋_GB2312"/>
          <w:sz w:val="32"/>
          <w:szCs w:val="32"/>
        </w:rPr>
        <w:t>健全群众身边的体育健身组织、建设群众身边的体育健身设施、丰富群众身边的体育健身活动、支持群众身边的体育健身赛事、加强群众身边的体育健身指导、弘扬群众身边的体育健身文化</w:t>
      </w:r>
      <w:r>
        <w:rPr>
          <w:rFonts w:hAnsi="仿宋_GB2312" w:cs="仿宋_GB2312"/>
          <w:sz w:val="32"/>
          <w:szCs w:val="32"/>
        </w:rPr>
        <w:t>）</w:t>
      </w:r>
      <w:r>
        <w:rPr>
          <w:rFonts w:hint="eastAsia" w:hAnsi="仿宋_GB2312" w:cs="仿宋_GB2312"/>
          <w:sz w:val="32"/>
          <w:szCs w:val="32"/>
        </w:rPr>
        <w:t>和“五有阵地”（有场地服务、有健身组织、有赛事活动、有健身指导、有传播推广）建设。结合东城区实际，适时打造标杆项目，探索更好满足群众健身需求的新模式。</w:t>
      </w:r>
    </w:p>
    <w:bookmarkEnd w:id="20"/>
    <w:p>
      <w:pPr>
        <w:pStyle w:val="4"/>
        <w:pageBreakBefore w:val="0"/>
        <w:numPr>
          <w:ilvl w:val="2"/>
          <w:numId w:val="0"/>
        </w:numPr>
        <w:kinsoku/>
        <w:wordWrap/>
        <w:overflowPunct/>
        <w:topLinePunct w:val="0"/>
        <w:autoSpaceDE/>
        <w:autoSpaceDN/>
        <w:bidi w:val="0"/>
        <w:adjustRightInd/>
        <w:spacing w:line="560" w:lineRule="exact"/>
        <w:ind w:firstLine="643" w:firstLineChars="200"/>
        <w:rPr>
          <w:rFonts w:hint="eastAsia" w:hAnsi="仿宋_GB2312" w:cs="仿宋_GB2312"/>
          <w:b/>
          <w:sz w:val="32"/>
        </w:rPr>
      </w:pPr>
      <w:bookmarkStart w:id="21" w:name="OLE_LINK13"/>
      <w:r>
        <w:rPr>
          <w:rFonts w:hint="eastAsia" w:hAnsi="仿宋_GB2312" w:cs="仿宋_GB2312"/>
          <w:b/>
          <w:sz w:val="32"/>
        </w:rPr>
        <w:t>（二）优化设施供给，推动提质增效</w:t>
      </w:r>
    </w:p>
    <w:p>
      <w:pPr>
        <w:pageBreakBefore w:val="0"/>
        <w:kinsoku/>
        <w:wordWrap/>
        <w:overflowPunct/>
        <w:topLinePunct w:val="0"/>
        <w:autoSpaceDE/>
        <w:autoSpaceDN/>
        <w:bidi w:val="0"/>
        <w:adjustRightInd/>
        <w:spacing w:line="560" w:lineRule="exact"/>
        <w:ind w:firstLine="640"/>
        <w:rPr>
          <w:rFonts w:hint="eastAsia" w:hAnsi="仿宋_GB2312" w:cs="仿宋_GB2312"/>
          <w:sz w:val="32"/>
          <w:szCs w:val="32"/>
        </w:rPr>
      </w:pPr>
      <w:r>
        <w:rPr>
          <w:rFonts w:hint="eastAsia" w:hAnsi="仿宋_GB2312" w:cs="仿宋_GB2312"/>
          <w:sz w:val="32"/>
          <w:szCs w:val="32"/>
        </w:rPr>
        <w:t>1.推进“三中心一场馆”“三公园一中心”地标性体育健身消费圈建设。持续推动区属场馆改造升级，引入多元化运营主体，提升高规格赛事与全民健身活动承载能力，增强体育产品和健康运动服务消费活力。</w:t>
      </w:r>
    </w:p>
    <w:p>
      <w:pPr>
        <w:pageBreakBefore w:val="0"/>
        <w:kinsoku/>
        <w:wordWrap/>
        <w:overflowPunct/>
        <w:topLinePunct w:val="0"/>
        <w:autoSpaceDE/>
        <w:autoSpaceDN/>
        <w:bidi w:val="0"/>
        <w:adjustRightInd/>
        <w:spacing w:line="560" w:lineRule="exact"/>
        <w:ind w:firstLine="640"/>
        <w:rPr>
          <w:rFonts w:hint="eastAsia" w:hAnsi="仿宋_GB2312" w:cs="仿宋_GB2312"/>
          <w:sz w:val="32"/>
          <w:szCs w:val="32"/>
        </w:rPr>
      </w:pPr>
      <w:r>
        <w:rPr>
          <w:rFonts w:hint="eastAsia" w:hAnsi="仿宋_GB2312" w:cs="仿宋_GB2312"/>
          <w:sz w:val="32"/>
          <w:szCs w:val="32"/>
        </w:rPr>
        <w:t>2.科学布局“小而美”“小而精”的体育场地设施。复合利用“金角银边”、公园绿地、河湖水面、空置场域、屋顶地下等空间，建设小型化、社区化、一地多能的全民健身场地设施。</w:t>
      </w:r>
    </w:p>
    <w:p>
      <w:pPr>
        <w:pageBreakBefore w:val="0"/>
        <w:kinsoku/>
        <w:wordWrap/>
        <w:overflowPunct/>
        <w:topLinePunct w:val="0"/>
        <w:autoSpaceDE/>
        <w:autoSpaceDN/>
        <w:bidi w:val="0"/>
        <w:adjustRightInd/>
        <w:spacing w:line="560" w:lineRule="exact"/>
        <w:ind w:firstLine="640"/>
        <w:rPr>
          <w:rFonts w:hint="eastAsia" w:hAnsi="仿宋_GB2312" w:cs="仿宋_GB2312"/>
          <w:sz w:val="32"/>
          <w:szCs w:val="32"/>
          <w:shd w:val="clear" w:color="auto" w:fill="FFFF00"/>
        </w:rPr>
      </w:pPr>
      <w:bookmarkStart w:id="22" w:name="OLE_LINK1"/>
      <w:r>
        <w:rPr>
          <w:rFonts w:hint="eastAsia" w:hAnsi="仿宋_GB2312" w:cs="仿宋_GB2312"/>
          <w:sz w:val="32"/>
          <w:szCs w:val="32"/>
        </w:rPr>
        <w:t>3.推进体育场地设施智慧化升级。进一步开发完善“京体通”</w:t>
      </w:r>
      <w:r>
        <w:rPr>
          <w:rFonts w:hint="eastAsia" w:hAnsi="仿宋_GB2312" w:cs="仿宋_GB2312"/>
          <w:sz w:val="32"/>
          <w:szCs w:val="32"/>
          <w:lang w:val="zh-CN"/>
        </w:rPr>
        <w:t>智慧文体信息化平台</w:t>
      </w:r>
      <w:r>
        <w:rPr>
          <w:rFonts w:hint="eastAsia" w:hAnsi="仿宋_GB2312" w:cs="仿宋_GB2312"/>
          <w:sz w:val="32"/>
          <w:szCs w:val="32"/>
        </w:rPr>
        <w:t>功能，深化全民健身信息服务平台应用。</w:t>
      </w:r>
      <w:r>
        <w:rPr>
          <w:rStyle w:val="37"/>
          <w:rFonts w:hint="eastAsia" w:hAnsi="仿宋_GB2312" w:cs="仿宋_GB2312"/>
          <w:color w:val="000000"/>
        </w:rPr>
        <w:t>依托区属场馆客流智能监测系统，完善场馆开放时间、收费政策等，</w:t>
      </w:r>
      <w:r>
        <w:rPr>
          <w:rFonts w:hint="eastAsia" w:hAnsi="仿宋_GB2312" w:cs="仿宋_GB2312"/>
          <w:sz w:val="32"/>
          <w:szCs w:val="32"/>
        </w:rPr>
        <w:t>提升场地设施使用效率和管理水平。针对游泳馆等高危运动项目场馆，加强防溺水系统等体育安全防护设施配置力度。巩固室外健身“一键报修”服务与多维巡查机制，</w:t>
      </w:r>
      <w:r>
        <w:rPr>
          <w:rFonts w:hAnsi="仿宋_GB2312" w:cs="仿宋_GB2312"/>
          <w:sz w:val="32"/>
          <w:szCs w:val="32"/>
        </w:rPr>
        <w:t>着力构建“线上响应高效、线下巡查扎实、管理责任明晰”的智慧运维新体系。</w:t>
      </w:r>
    </w:p>
    <w:bookmarkEnd w:id="22"/>
    <w:p>
      <w:pPr>
        <w:pageBreakBefore w:val="0"/>
        <w:kinsoku/>
        <w:wordWrap/>
        <w:overflowPunct/>
        <w:topLinePunct w:val="0"/>
        <w:autoSpaceDE/>
        <w:autoSpaceDN/>
        <w:bidi w:val="0"/>
        <w:adjustRightInd/>
        <w:spacing w:line="560" w:lineRule="exact"/>
        <w:ind w:firstLine="640"/>
        <w:rPr>
          <w:rFonts w:hint="eastAsia"/>
          <w:sz w:val="32"/>
          <w:szCs w:val="32"/>
        </w:rPr>
      </w:pPr>
      <w:r>
        <w:rPr>
          <w:rFonts w:hint="eastAsia"/>
          <w:sz w:val="32"/>
          <w:szCs w:val="32"/>
        </w:rPr>
        <w:t>4.吸引社会力量提升体育场地设施供给质量。</w:t>
      </w:r>
      <w:r>
        <w:rPr>
          <w:sz w:val="32"/>
          <w:szCs w:val="32"/>
        </w:rPr>
        <w:t>探索建立</w:t>
      </w:r>
      <w:r>
        <w:rPr>
          <w:rFonts w:hint="eastAsia"/>
          <w:sz w:val="32"/>
          <w:szCs w:val="32"/>
        </w:rPr>
        <w:t>体育场地设施建设和运营的</w:t>
      </w:r>
      <w:r>
        <w:rPr>
          <w:sz w:val="32"/>
          <w:szCs w:val="32"/>
        </w:rPr>
        <w:t>政企合作</w:t>
      </w:r>
      <w:r>
        <w:rPr>
          <w:rFonts w:hint="eastAsia"/>
          <w:sz w:val="32"/>
          <w:szCs w:val="32"/>
        </w:rPr>
        <w:t>、社区共建、社会化运营等新模式，加大与社会资本在场地方面的合作力度，积极引进社会资本参与体育场地设施运营。</w:t>
      </w:r>
    </w:p>
    <w:p>
      <w:pPr>
        <w:pStyle w:val="9"/>
        <w:pageBreakBefore w:val="0"/>
        <w:kinsoku/>
        <w:wordWrap/>
        <w:overflowPunct/>
        <w:topLinePunct w:val="0"/>
        <w:autoSpaceDE/>
        <w:autoSpaceDN/>
        <w:bidi w:val="0"/>
        <w:adjustRightInd/>
        <w:spacing w:line="560" w:lineRule="exact"/>
        <w:ind w:firstLine="640"/>
        <w:rPr>
          <w:rFonts w:hint="eastAsia" w:ascii="仿宋_GB2312" w:hAnsi="仿宋_GB2312" w:cs="仿宋_GB2312"/>
          <w:sz w:val="32"/>
          <w:szCs w:val="32"/>
        </w:rPr>
      </w:pPr>
      <w:r>
        <w:rPr>
          <w:rStyle w:val="37"/>
          <w:rFonts w:hint="eastAsia" w:ascii="仿宋_GB2312" w:hAnsi="仿宋_GB2312" w:cs="仿宋_GB2312"/>
          <w:color w:val="000000"/>
        </w:rPr>
        <w:t>5.积极推动学校、机关企事业单位内部体育设施有序开放。鼓励街道社区通过社区共建等形式，利用辖区中小学校、机关企事业单位内部体育健身设施举办全民健身赛事活动。配合区教委，探索东城区学校体育设施对外开放路径和模式。</w:t>
      </w:r>
    </w:p>
    <w:bookmarkEnd w:id="21"/>
    <w:p>
      <w:pPr>
        <w:pStyle w:val="4"/>
        <w:pageBreakBefore w:val="0"/>
        <w:numPr>
          <w:ilvl w:val="2"/>
          <w:numId w:val="0"/>
        </w:numPr>
        <w:kinsoku/>
        <w:wordWrap/>
        <w:overflowPunct/>
        <w:topLinePunct w:val="0"/>
        <w:autoSpaceDE/>
        <w:autoSpaceDN/>
        <w:bidi w:val="0"/>
        <w:adjustRightInd/>
        <w:spacing w:line="560" w:lineRule="exact"/>
        <w:ind w:firstLine="643" w:firstLineChars="200"/>
        <w:rPr>
          <w:rFonts w:hint="eastAsia" w:hAnsi="仿宋_GB2312" w:cs="仿宋_GB2312"/>
          <w:b/>
          <w:sz w:val="32"/>
        </w:rPr>
      </w:pPr>
      <w:bookmarkStart w:id="23" w:name="OLE_LINK14"/>
      <w:r>
        <w:rPr>
          <w:rFonts w:hint="eastAsia" w:hAnsi="仿宋_GB2312" w:cs="仿宋_GB2312"/>
          <w:b/>
          <w:sz w:val="32"/>
        </w:rPr>
        <w:t>（三）构建“全域覆盖、梯次衔接”的多元赛事供给体系</w:t>
      </w:r>
    </w:p>
    <w:p>
      <w:pPr>
        <w:pageBreakBefore w:val="0"/>
        <w:kinsoku/>
        <w:wordWrap/>
        <w:overflowPunct/>
        <w:topLinePunct w:val="0"/>
        <w:autoSpaceDE/>
        <w:autoSpaceDN/>
        <w:bidi w:val="0"/>
        <w:adjustRightInd/>
        <w:spacing w:line="560" w:lineRule="exact"/>
        <w:ind w:firstLine="640"/>
        <w:rPr>
          <w:rFonts w:hint="eastAsia" w:hAnsi="仿宋_GB2312" w:cs="仿宋_GB2312"/>
          <w:sz w:val="32"/>
          <w:szCs w:val="32"/>
        </w:rPr>
      </w:pPr>
      <w:r>
        <w:rPr>
          <w:rFonts w:hint="eastAsia" w:hAnsi="仿宋_GB2312" w:cs="仿宋_GB2312"/>
          <w:sz w:val="32"/>
          <w:szCs w:val="32"/>
        </w:rPr>
        <w:t>1.聚焦青年群体的运动喜好与消费趋势，打造兼具潮流属性与地域特色的青年体育赛事矩阵。大力引入以青年热门运动项目为重点的国际潮流赛事IP。以中轴地标为依托，打造沉浸式潮流运动赛事承载平台。加强赛事与商圈深度绑定，推出贴合青年运动消费一体化需求的赛事活动，联动商圈推出赛事联名消费券，实现“观赛+消费”服务闭环，构建体育赛事引领、潮流消费赋能的融合发展模式。</w:t>
      </w:r>
    </w:p>
    <w:p>
      <w:pPr>
        <w:pageBreakBefore w:val="0"/>
        <w:kinsoku/>
        <w:wordWrap/>
        <w:overflowPunct/>
        <w:topLinePunct w:val="0"/>
        <w:autoSpaceDE/>
        <w:autoSpaceDN/>
        <w:bidi w:val="0"/>
        <w:adjustRightInd/>
        <w:spacing w:line="560" w:lineRule="exact"/>
        <w:ind w:firstLine="640"/>
        <w:rPr>
          <w:rFonts w:hint="eastAsia"/>
        </w:rPr>
      </w:pPr>
      <w:r>
        <w:rPr>
          <w:rFonts w:hint="eastAsia" w:hAnsi="仿宋_GB2312" w:cs="仿宋_GB2312"/>
          <w:sz w:val="32"/>
          <w:szCs w:val="32"/>
        </w:rPr>
        <w:t>2.聚焦东城文化根脉的活化与创新，打造兼具文化底蕴与时代活力的特色体育赛事品牌。用活文化地标资源，赋能全国体育舞蹈大赛、京津冀“钟鼓楼杯”象棋赛等传统品牌赛事。结合传统节日和节气，适时举办龙舟、保龄球、冰雪等赛事活动。引入小轮车、匹克球、魔方等新兴赛事IP，丰富赛事场景和供给维度。积极推进赛事活动植入非遗文创展销、老字号品牌赞助等商业元素，以文化赋能激活赛事商业价值，构建“文化+体育+商业”融合发展模式。</w:t>
      </w:r>
    </w:p>
    <w:p>
      <w:pPr>
        <w:pageBreakBefore w:val="0"/>
        <w:kinsoku/>
        <w:wordWrap/>
        <w:overflowPunct/>
        <w:topLinePunct w:val="0"/>
        <w:autoSpaceDE/>
        <w:autoSpaceDN/>
        <w:bidi w:val="0"/>
        <w:adjustRightInd/>
        <w:spacing w:line="560" w:lineRule="exact"/>
        <w:ind w:firstLine="640"/>
        <w:rPr>
          <w:rFonts w:hint="eastAsia"/>
        </w:rPr>
      </w:pPr>
      <w:r>
        <w:rPr>
          <w:rFonts w:hint="eastAsia" w:hAnsi="仿宋_GB2312" w:cs="仿宋_GB2312"/>
          <w:sz w:val="32"/>
          <w:szCs w:val="32"/>
        </w:rPr>
        <w:t>3.聚焦全民参与与休闲服务，打造普惠包容、全民乐享的全民健身赛事体系。兼顾不同人群、</w:t>
      </w:r>
      <w:r>
        <w:rPr>
          <w:rFonts w:hAnsi="仿宋_GB2312" w:cs="仿宋_GB2312"/>
          <w:sz w:val="32"/>
          <w:szCs w:val="32"/>
        </w:rPr>
        <w:t>不同年龄层运动需求</w:t>
      </w:r>
      <w:r>
        <w:rPr>
          <w:rFonts w:hint="eastAsia" w:hAnsi="仿宋_GB2312" w:cs="仿宋_GB2312"/>
          <w:sz w:val="32"/>
          <w:szCs w:val="32"/>
        </w:rPr>
        <w:t>，推出更具针对性的全民健身赛事活动，</w:t>
      </w:r>
      <w:r>
        <w:rPr>
          <w:rFonts w:hAnsi="仿宋_GB2312" w:cs="仿宋_GB2312"/>
          <w:sz w:val="32"/>
          <w:szCs w:val="32"/>
        </w:rPr>
        <w:t>实现</w:t>
      </w:r>
      <w:r>
        <w:rPr>
          <w:rFonts w:hint="eastAsia" w:hAnsi="仿宋_GB2312" w:cs="仿宋_GB2312"/>
          <w:sz w:val="32"/>
          <w:szCs w:val="32"/>
        </w:rPr>
        <w:t>人群全</w:t>
      </w:r>
      <w:r>
        <w:rPr>
          <w:rFonts w:hAnsi="仿宋_GB2312" w:cs="仿宋_GB2312"/>
          <w:sz w:val="32"/>
          <w:szCs w:val="32"/>
        </w:rPr>
        <w:t>覆盖</w:t>
      </w:r>
      <w:r>
        <w:rPr>
          <w:rFonts w:hint="eastAsia" w:hAnsi="仿宋_GB2312" w:cs="仿宋_GB2312"/>
          <w:sz w:val="32"/>
          <w:szCs w:val="32"/>
        </w:rPr>
        <w:t>。</w:t>
      </w:r>
    </w:p>
    <w:p>
      <w:pPr>
        <w:pageBreakBefore w:val="0"/>
        <w:kinsoku/>
        <w:wordWrap/>
        <w:overflowPunct/>
        <w:topLinePunct w:val="0"/>
        <w:autoSpaceDE/>
        <w:autoSpaceDN/>
        <w:bidi w:val="0"/>
        <w:adjustRightInd/>
        <w:spacing w:line="560" w:lineRule="exact"/>
        <w:ind w:firstLine="640"/>
        <w:rPr>
          <w:rFonts w:hint="eastAsia"/>
          <w:sz w:val="32"/>
          <w:szCs w:val="32"/>
        </w:rPr>
      </w:pPr>
      <w:r>
        <w:rPr>
          <w:rFonts w:hint="eastAsia" w:hAnsi="仿宋_GB2312" w:cs="仿宋_GB2312"/>
          <w:sz w:val="32"/>
          <w:szCs w:val="32"/>
        </w:rPr>
        <w:t>4.聚焦群众身边赛事活动供给，深入培育“一街一品”“一街数品”街道赛事活动品牌。支持鼓励街道结合辖区情况，因地制宜举办具有街道特色的全民健身赛事活动，逐步提升影响力和参与度，满足群众对普惠性健身赛事活动的需求。</w:t>
      </w:r>
    </w:p>
    <w:bookmarkEnd w:id="23"/>
    <w:p>
      <w:pPr>
        <w:pStyle w:val="4"/>
        <w:pageBreakBefore w:val="0"/>
        <w:numPr>
          <w:ilvl w:val="2"/>
          <w:numId w:val="0"/>
        </w:numPr>
        <w:kinsoku/>
        <w:wordWrap/>
        <w:overflowPunct/>
        <w:topLinePunct w:val="0"/>
        <w:autoSpaceDE/>
        <w:autoSpaceDN/>
        <w:bidi w:val="0"/>
        <w:adjustRightInd/>
        <w:spacing w:line="560" w:lineRule="exact"/>
        <w:ind w:firstLine="643" w:firstLineChars="200"/>
        <w:rPr>
          <w:rFonts w:hint="eastAsia" w:hAnsi="仿宋_GB2312" w:cs="仿宋_GB2312"/>
          <w:b/>
          <w:sz w:val="32"/>
        </w:rPr>
      </w:pPr>
      <w:bookmarkStart w:id="24" w:name="OLE_LINK15"/>
      <w:r>
        <w:rPr>
          <w:rFonts w:hint="eastAsia" w:hAnsi="仿宋_GB2312" w:cs="仿宋_GB2312"/>
          <w:b/>
          <w:sz w:val="32"/>
        </w:rPr>
        <w:t>（四）运动促进健康，服务健康东城</w:t>
      </w:r>
    </w:p>
    <w:p>
      <w:pPr>
        <w:pageBreakBefore w:val="0"/>
        <w:kinsoku/>
        <w:wordWrap/>
        <w:overflowPunct/>
        <w:topLinePunct w:val="0"/>
        <w:autoSpaceDE/>
        <w:autoSpaceDN/>
        <w:bidi w:val="0"/>
        <w:adjustRightInd/>
        <w:spacing w:line="560" w:lineRule="exact"/>
        <w:ind w:firstLine="640"/>
        <w:rPr>
          <w:rFonts w:hint="eastAsia"/>
          <w:sz w:val="32"/>
          <w:szCs w:val="32"/>
        </w:rPr>
      </w:pPr>
      <w:r>
        <w:rPr>
          <w:rFonts w:hint="eastAsia"/>
          <w:sz w:val="32"/>
          <w:szCs w:val="32"/>
        </w:rPr>
        <w:t>1.探索运动促进健康模式。加强部门合作，总结我区健康指导中心、北京市体检中心社区健康促进中心、安定门社区卫生服务中心体重管理门诊的成功经验并试点推广，打造体卫融合精品项目，提供个性化科学健身指导服务，构建覆盖全生命周期的体卫融合服务体系。</w:t>
      </w:r>
    </w:p>
    <w:p>
      <w:pPr>
        <w:pageBreakBefore w:val="0"/>
        <w:kinsoku/>
        <w:wordWrap/>
        <w:overflowPunct/>
        <w:topLinePunct w:val="0"/>
        <w:autoSpaceDE/>
        <w:autoSpaceDN/>
        <w:bidi w:val="0"/>
        <w:adjustRightInd/>
        <w:spacing w:line="560" w:lineRule="exact"/>
        <w:ind w:firstLine="640"/>
        <w:rPr>
          <w:rFonts w:hint="eastAsia"/>
          <w:sz w:val="32"/>
          <w:szCs w:val="32"/>
        </w:rPr>
      </w:pPr>
      <w:r>
        <w:rPr>
          <w:rFonts w:hint="eastAsia"/>
          <w:sz w:val="32"/>
          <w:szCs w:val="32"/>
        </w:rPr>
        <w:t>2.进一步探索研究“体教融合”新路径。</w:t>
      </w:r>
      <w:r>
        <w:rPr>
          <w:rFonts w:hint="eastAsia"/>
          <w:sz w:val="32"/>
          <w:szCs w:val="32"/>
          <w:lang w:eastAsia="zh-CN"/>
        </w:rPr>
        <w:t>深化</w:t>
      </w:r>
      <w:r>
        <w:rPr>
          <w:rFonts w:hint="eastAsia"/>
          <w:sz w:val="32"/>
          <w:szCs w:val="32"/>
        </w:rPr>
        <w:t>奥运冠军进校园对服务青少年心理健康的课题论证，坚持育心与育德相结合，通过奥运冠军进校园系列活动，深度探寻青少年心理健康和体育锻炼行为的干预模式，创新形成系统全面的促进青少年心理健康运动处方库。</w:t>
      </w:r>
    </w:p>
    <w:p>
      <w:pPr>
        <w:pageBreakBefore w:val="0"/>
        <w:kinsoku/>
        <w:wordWrap/>
        <w:overflowPunct/>
        <w:topLinePunct w:val="0"/>
        <w:autoSpaceDE/>
        <w:autoSpaceDN/>
        <w:bidi w:val="0"/>
        <w:adjustRightInd/>
        <w:spacing w:line="560" w:lineRule="exact"/>
        <w:ind w:firstLine="640"/>
        <w:rPr>
          <w:rFonts w:hint="eastAsia"/>
          <w:sz w:val="32"/>
          <w:szCs w:val="32"/>
        </w:rPr>
      </w:pPr>
      <w:r>
        <w:rPr>
          <w:rFonts w:hint="eastAsia"/>
          <w:sz w:val="32"/>
          <w:szCs w:val="32"/>
        </w:rPr>
        <w:t>3.推动体质测试站点常态化开放。进一步巩固国家级体质测定与运动健身指导站成果，提升测试站硬件水平，依托“京体通”平台开展体质测试网上预约服务，推动站点面向社会常态化开放路径，在预防、管理、康复全链条构建健康服务体系，为辖区群众提供免费体质测试及报告解读。</w:t>
      </w:r>
    </w:p>
    <w:p>
      <w:pPr>
        <w:pageBreakBefore w:val="0"/>
        <w:kinsoku/>
        <w:wordWrap/>
        <w:overflowPunct/>
        <w:topLinePunct w:val="0"/>
        <w:autoSpaceDE/>
        <w:autoSpaceDN/>
        <w:bidi w:val="0"/>
        <w:adjustRightInd/>
        <w:spacing w:line="560" w:lineRule="exact"/>
        <w:ind w:firstLine="640"/>
        <w:rPr>
          <w:rFonts w:hint="eastAsia"/>
          <w:sz w:val="32"/>
          <w:szCs w:val="32"/>
        </w:rPr>
      </w:pPr>
      <w:r>
        <w:rPr>
          <w:rFonts w:hint="eastAsia"/>
          <w:sz w:val="32"/>
          <w:szCs w:val="32"/>
        </w:rPr>
        <w:t>4.全面开展全民健身科学指导服务活动。以科学健身指导为载体创建党建品牌，选取试点街道，实现街道、社区卫生中心与体育科学研究所的贯通。坚持党建引领，搭建“党组织牵头、专业力量支撑、党员带头参与、群众广泛受益”的服务平台，将党建工作与全民健康深度融合，打造“有温度、有知识、有实效”的党建服务标杆，将社会体育指导员培训</w:t>
      </w:r>
      <w:r>
        <w:rPr>
          <w:rFonts w:hint="eastAsia"/>
          <w:sz w:val="32"/>
          <w:szCs w:val="32"/>
          <w:lang w:eastAsia="zh-CN"/>
        </w:rPr>
        <w:t>、</w:t>
      </w:r>
      <w:r>
        <w:rPr>
          <w:rFonts w:hint="eastAsia"/>
          <w:sz w:val="32"/>
          <w:szCs w:val="32"/>
        </w:rPr>
        <w:t>科学大讲堂</w:t>
      </w:r>
      <w:r>
        <w:rPr>
          <w:rFonts w:hint="eastAsia"/>
          <w:color w:val="auto"/>
          <w:sz w:val="32"/>
          <w:szCs w:val="32"/>
          <w:lang w:eastAsia="zh-CN"/>
        </w:rPr>
        <w:t>、</w:t>
      </w:r>
      <w:r>
        <w:rPr>
          <w:rFonts w:hint="eastAsia"/>
          <w:color w:val="auto"/>
          <w:sz w:val="32"/>
          <w:szCs w:val="32"/>
        </w:rPr>
        <w:t>国民体质</w:t>
      </w:r>
      <w:r>
        <w:rPr>
          <w:rFonts w:hint="eastAsia"/>
          <w:color w:val="auto"/>
          <w:sz w:val="32"/>
          <w:szCs w:val="32"/>
          <w:lang w:eastAsia="zh-CN"/>
        </w:rPr>
        <w:t>监测、</w:t>
      </w:r>
      <w:r>
        <w:rPr>
          <w:rFonts w:hint="eastAsia"/>
          <w:color w:val="auto"/>
          <w:sz w:val="32"/>
          <w:szCs w:val="32"/>
        </w:rPr>
        <w:t>全</w:t>
      </w:r>
      <w:r>
        <w:rPr>
          <w:rFonts w:hint="eastAsia"/>
          <w:sz w:val="32"/>
          <w:szCs w:val="32"/>
        </w:rPr>
        <w:t>民健身活动调查等工作融为一体，提供运动指导服务，开展运动指导健康宣传，提升科学健身素养。践行“关口前移、健康促进”的健康管理理念，推动科学健身指导进社区、进机关、进企业。广泛开展群众喜闻乐见、面向基层、内容丰富的（全民健身）志愿服务，重点培育一批全民健身志愿服务特色品牌，实现17个街道全覆盖。</w:t>
      </w:r>
    </w:p>
    <w:p>
      <w:pPr>
        <w:pageBreakBefore w:val="0"/>
        <w:kinsoku/>
        <w:wordWrap/>
        <w:overflowPunct/>
        <w:topLinePunct w:val="0"/>
        <w:autoSpaceDE/>
        <w:autoSpaceDN/>
        <w:bidi w:val="0"/>
        <w:adjustRightInd/>
        <w:spacing w:line="560" w:lineRule="exact"/>
        <w:ind w:firstLine="640"/>
        <w:rPr>
          <w:rFonts w:hint="eastAsia"/>
          <w:sz w:val="32"/>
          <w:szCs w:val="32"/>
        </w:rPr>
      </w:pPr>
      <w:r>
        <w:rPr>
          <w:rFonts w:hint="eastAsia"/>
          <w:sz w:val="32"/>
          <w:szCs w:val="32"/>
        </w:rPr>
        <w:t>5.构建“测试、评估、指导、训练、测评”的科学健身指导服务闭环。努力开创“体质有评估、健身有指导、科研有成效”的科学健身指导工作新局面。通过标准化测试，为居民提供全套体质测试，确保数据规范采集；科学化评价，依据国家标准，识别体质短板与健康风险，并出具体质报告；个性化指导，结合测试结果为不同人群提供科学健身指导建议；场景化练习支持，开设社区公益课，帮助居民将指导转化为行动；长效跟踪服务，针对辖区居民（特别是慢病人群）与街道社区卫生服务中心配合联动，建立居民体质档案（形成数据库）定期复测并动态调整方案，形成“监测-干预-提升”的持续闭环。</w:t>
      </w:r>
    </w:p>
    <w:p>
      <w:pPr>
        <w:pageBreakBefore w:val="0"/>
        <w:kinsoku/>
        <w:wordWrap/>
        <w:overflowPunct/>
        <w:topLinePunct w:val="0"/>
        <w:autoSpaceDE/>
        <w:autoSpaceDN/>
        <w:bidi w:val="0"/>
        <w:adjustRightInd/>
        <w:spacing w:line="560" w:lineRule="exact"/>
        <w:ind w:firstLine="640"/>
        <w:rPr>
          <w:rFonts w:hint="eastAsia"/>
          <w:sz w:val="32"/>
          <w:szCs w:val="32"/>
        </w:rPr>
      </w:pPr>
      <w:r>
        <w:rPr>
          <w:rFonts w:hint="eastAsia"/>
          <w:sz w:val="32"/>
          <w:szCs w:val="32"/>
        </w:rPr>
        <w:t>6.加强宣传普及力度，倡导运动健康理念。开展运动促进健康主题传播活动，推广“运动是良医”等主动健康理念；结合全民健身日、体育宣传周、爱国卫生月等重要时间节点和体重管理年等主题宣传活动，充分利用“体育+”和“+体育”融合场景，开展多种形式的运动促进健康主题活动，在全社会营造“爱健身、常健身、会健身”的浓厚氛围。</w:t>
      </w:r>
    </w:p>
    <w:bookmarkEnd w:id="24"/>
    <w:p>
      <w:pPr>
        <w:pStyle w:val="3"/>
        <w:pageBreakBefore w:val="0"/>
        <w:numPr>
          <w:ilvl w:val="0"/>
          <w:numId w:val="0"/>
        </w:numPr>
        <w:kinsoku/>
        <w:wordWrap/>
        <w:overflowPunct/>
        <w:topLinePunct w:val="0"/>
        <w:autoSpaceDE/>
        <w:autoSpaceDN/>
        <w:bidi w:val="0"/>
        <w:adjustRightInd/>
        <w:spacing w:line="560" w:lineRule="exact"/>
        <w:ind w:firstLine="640" w:firstLineChars="200"/>
        <w:rPr>
          <w:rFonts w:hint="eastAsia"/>
          <w:sz w:val="32"/>
          <w:highlight w:val="none"/>
        </w:rPr>
      </w:pPr>
      <w:bookmarkStart w:id="25" w:name="_Toc219116698"/>
      <w:r>
        <w:rPr>
          <w:rFonts w:hint="eastAsia"/>
          <w:sz w:val="32"/>
          <w:highlight w:val="none"/>
        </w:rPr>
        <w:t>二、推进新型青训体系建设，增强竞技体育发展动能</w:t>
      </w:r>
      <w:bookmarkEnd w:id="25"/>
    </w:p>
    <w:p>
      <w:pPr>
        <w:pStyle w:val="4"/>
        <w:pageBreakBefore w:val="0"/>
        <w:numPr>
          <w:ilvl w:val="2"/>
          <w:numId w:val="0"/>
        </w:numPr>
        <w:kinsoku/>
        <w:wordWrap/>
        <w:overflowPunct/>
        <w:topLinePunct w:val="0"/>
        <w:autoSpaceDE/>
        <w:autoSpaceDN/>
        <w:bidi w:val="0"/>
        <w:adjustRightInd/>
        <w:spacing w:line="560" w:lineRule="exact"/>
        <w:ind w:firstLine="643" w:firstLineChars="200"/>
        <w:rPr>
          <w:rFonts w:hint="eastAsia" w:hAnsi="仿宋_GB2312" w:cs="仿宋_GB2312"/>
          <w:b/>
          <w:sz w:val="32"/>
          <w:highlight w:val="none"/>
        </w:rPr>
      </w:pPr>
      <w:r>
        <w:rPr>
          <w:rFonts w:hint="eastAsia" w:hAnsi="仿宋_GB2312" w:cs="仿宋_GB2312"/>
          <w:b/>
          <w:sz w:val="32"/>
          <w:highlight w:val="none"/>
        </w:rPr>
        <w:t>（一）强化基地引领，优化项目布局</w:t>
      </w:r>
    </w:p>
    <w:p>
      <w:pPr>
        <w:pageBreakBefore w:val="0"/>
        <w:numPr>
          <w:ilvl w:val="255"/>
          <w:numId w:val="0"/>
        </w:numPr>
        <w:kinsoku/>
        <w:wordWrap/>
        <w:overflowPunct/>
        <w:topLinePunct w:val="0"/>
        <w:autoSpaceDE/>
        <w:autoSpaceDN/>
        <w:bidi w:val="0"/>
        <w:adjustRightInd/>
        <w:spacing w:line="560" w:lineRule="exact"/>
        <w:ind w:firstLine="643"/>
        <w:rPr>
          <w:rFonts w:hint="eastAsia" w:hAnsi="仿宋_GB2312" w:cs="仿宋_GB2312"/>
          <w:b w:val="0"/>
          <w:bCs w:val="0"/>
          <w:color w:val="000000"/>
          <w:sz w:val="32"/>
          <w:szCs w:val="32"/>
          <w:highlight w:val="none"/>
        </w:rPr>
      </w:pPr>
      <w:r>
        <w:rPr>
          <w:rFonts w:hint="eastAsia" w:hAnsi="仿宋_GB2312" w:cs="仿宋_GB2312"/>
          <w:b w:val="0"/>
          <w:bCs w:val="0"/>
          <w:color w:val="000000"/>
          <w:sz w:val="32"/>
          <w:szCs w:val="32"/>
          <w:highlight w:val="none"/>
        </w:rPr>
        <w:t>1.全面推进“国家奥运后备人才梯队”共建工作。落实《“国家奥运后备人才梯队”共建协议》，建立健全东城区共建工作机制，充分激活共建工作的总牵引作用，构建“体系筑基”与“尖子护航”双轮驱动发展模式，整合国家、市、区三级资源，构建“选材科学、培养专业、输送畅通、保障有力”的可持续发展格局，推动东城区竞技体育高质量发展，构建具有东城特色的后备人才培养体系，为国家奥运战略贡献东城力量。</w:t>
      </w:r>
    </w:p>
    <w:p>
      <w:pPr>
        <w:pageBreakBefore w:val="0"/>
        <w:numPr>
          <w:ilvl w:val="255"/>
          <w:numId w:val="0"/>
        </w:numPr>
        <w:kinsoku/>
        <w:wordWrap/>
        <w:overflowPunct/>
        <w:topLinePunct w:val="0"/>
        <w:autoSpaceDE/>
        <w:autoSpaceDN/>
        <w:bidi w:val="0"/>
        <w:adjustRightInd/>
        <w:spacing w:line="560" w:lineRule="exact"/>
        <w:ind w:firstLine="643"/>
        <w:rPr>
          <w:rFonts w:hint="eastAsia" w:hAnsi="仿宋_GB2312" w:cs="仿宋_GB2312"/>
          <w:color w:val="000000"/>
          <w:sz w:val="32"/>
          <w:szCs w:val="32"/>
          <w:highlight w:val="none"/>
        </w:rPr>
      </w:pPr>
      <w:r>
        <w:rPr>
          <w:rFonts w:hint="eastAsia" w:hAnsi="仿宋_GB2312" w:cs="仿宋_GB2312"/>
          <w:b w:val="0"/>
          <w:bCs w:val="0"/>
          <w:color w:val="000000"/>
          <w:sz w:val="32"/>
          <w:szCs w:val="32"/>
          <w:highlight w:val="none"/>
        </w:rPr>
        <w:t>2.紧密衔接《北京市体育局构建新型青训体系实施意见（试行）》。制定东城</w:t>
      </w:r>
      <w:r>
        <w:rPr>
          <w:rFonts w:hint="eastAsia" w:hAnsi="仿宋_GB2312" w:cs="仿宋_GB2312"/>
          <w:color w:val="000000"/>
          <w:sz w:val="32"/>
          <w:szCs w:val="32"/>
          <w:highlight w:val="none"/>
        </w:rPr>
        <w:t>区竞技体育高质量发展专项行动计划，以建设国家奥运后备人才基地为统领，加强高水平后备人才发展所需软硬件建设，构建具有鲜明东城特色的新型青训体系，推动区域竞技体育核心竞争力全面升级。</w:t>
      </w:r>
    </w:p>
    <w:p>
      <w:pPr>
        <w:pageBreakBefore w:val="0"/>
        <w:kinsoku/>
        <w:wordWrap/>
        <w:overflowPunct/>
        <w:topLinePunct w:val="0"/>
        <w:autoSpaceDE/>
        <w:autoSpaceDN/>
        <w:bidi w:val="0"/>
        <w:adjustRightInd/>
        <w:spacing w:line="560" w:lineRule="exact"/>
        <w:ind w:firstLine="643"/>
        <w:rPr>
          <w:rFonts w:hint="eastAsia" w:hAnsi="仿宋_GB2312" w:cs="仿宋_GB2312"/>
          <w:b w:val="0"/>
          <w:bCs w:val="0"/>
          <w:color w:val="000000"/>
          <w:sz w:val="32"/>
          <w:szCs w:val="32"/>
          <w:highlight w:val="none"/>
        </w:rPr>
      </w:pPr>
      <w:r>
        <w:rPr>
          <w:rFonts w:hint="eastAsia" w:hAnsi="仿宋_GB2312" w:cs="仿宋_GB2312"/>
          <w:b w:val="0"/>
          <w:bCs w:val="0"/>
          <w:color w:val="000000"/>
          <w:sz w:val="32"/>
          <w:szCs w:val="32"/>
          <w:highlight w:val="none"/>
        </w:rPr>
        <w:t>3.优化新周期运动项目布局。聚焦国家竞技体育“633战略”，重点巩固和提升体操、跳水、乒乓球、花样游泳、游泳、射击等传统优势项目，补齐曲棍球、橄榄球等集体球类弱势项目短板，积极拓展攀岩、滑板、小轮车等新兴奥运项目，构建起结构合理、重点突出、东城特色鲜明的项目发展格局。</w:t>
      </w:r>
    </w:p>
    <w:p>
      <w:pPr>
        <w:pageBreakBefore w:val="0"/>
        <w:kinsoku/>
        <w:wordWrap/>
        <w:overflowPunct/>
        <w:topLinePunct w:val="0"/>
        <w:autoSpaceDE/>
        <w:autoSpaceDN/>
        <w:bidi w:val="0"/>
        <w:adjustRightInd/>
        <w:spacing w:line="560" w:lineRule="exact"/>
        <w:ind w:firstLine="643"/>
        <w:rPr>
          <w:rFonts w:hint="eastAsia" w:hAnsi="仿宋_GB2312" w:cs="仿宋_GB2312"/>
          <w:b w:val="0"/>
          <w:bCs w:val="0"/>
          <w:color w:val="000000"/>
          <w:sz w:val="32"/>
          <w:szCs w:val="32"/>
          <w:highlight w:val="none"/>
        </w:rPr>
      </w:pPr>
      <w:r>
        <w:rPr>
          <w:rFonts w:hint="eastAsia" w:hAnsi="仿宋_GB2312" w:cs="仿宋_GB2312"/>
          <w:b w:val="0"/>
          <w:bCs w:val="0"/>
          <w:color w:val="000000"/>
          <w:sz w:val="32"/>
          <w:szCs w:val="32"/>
          <w:highlight w:val="none"/>
        </w:rPr>
        <w:t>4.夯实青少年三大球发展基础。完善“体育+教育+社会”三位一体的三大球后备人才发展机制。</w:t>
      </w:r>
      <w:r>
        <w:rPr>
          <w:rFonts w:hint="eastAsia" w:hAnsi="仿宋_GB2312" w:cs="仿宋_GB2312"/>
          <w:b w:val="0"/>
          <w:bCs w:val="0"/>
          <w:color w:val="000000"/>
          <w:sz w:val="32"/>
          <w:szCs w:val="32"/>
          <w:highlight w:val="none"/>
          <w:lang w:eastAsia="zh-CN"/>
        </w:rPr>
        <w:t>深化</w:t>
      </w:r>
      <w:r>
        <w:rPr>
          <w:rFonts w:hint="eastAsia" w:hAnsi="仿宋_GB2312" w:cs="仿宋_GB2312"/>
          <w:b w:val="0"/>
          <w:bCs w:val="0"/>
          <w:color w:val="000000"/>
          <w:sz w:val="32"/>
          <w:szCs w:val="32"/>
          <w:highlight w:val="none"/>
        </w:rPr>
        <w:t>与北京市三大球协会、职业俱乐部的</w:t>
      </w:r>
      <w:r>
        <w:rPr>
          <w:rFonts w:hint="eastAsia" w:hAnsi="仿宋_GB2312" w:cs="仿宋_GB2312"/>
          <w:b w:val="0"/>
          <w:bCs w:val="0"/>
          <w:color w:val="000000"/>
          <w:sz w:val="32"/>
          <w:szCs w:val="32"/>
          <w:highlight w:val="none"/>
          <w:lang w:eastAsia="zh-CN"/>
        </w:rPr>
        <w:t>战略协作</w:t>
      </w:r>
      <w:r>
        <w:rPr>
          <w:rFonts w:hint="eastAsia" w:hAnsi="仿宋_GB2312" w:cs="仿宋_GB2312"/>
          <w:b w:val="0"/>
          <w:bCs w:val="0"/>
          <w:color w:val="000000"/>
          <w:sz w:val="32"/>
          <w:szCs w:val="32"/>
          <w:highlight w:val="none"/>
        </w:rPr>
        <w:t>，构建以</w:t>
      </w:r>
      <w:r>
        <w:rPr>
          <w:rFonts w:hint="eastAsia" w:hAnsi="仿宋_GB2312" w:cs="仿宋_GB2312"/>
          <w:b w:val="0"/>
          <w:bCs w:val="0"/>
          <w:color w:val="000000"/>
          <w:sz w:val="32"/>
          <w:szCs w:val="32"/>
          <w:highlight w:val="none"/>
          <w:lang w:eastAsia="zh-CN"/>
        </w:rPr>
        <w:t>业余体校</w:t>
      </w:r>
      <w:r>
        <w:rPr>
          <w:rFonts w:hint="eastAsia" w:hAnsi="仿宋_GB2312" w:cs="仿宋_GB2312"/>
          <w:b w:val="0"/>
          <w:bCs w:val="0"/>
          <w:color w:val="000000"/>
          <w:sz w:val="32"/>
          <w:szCs w:val="32"/>
          <w:highlight w:val="none"/>
        </w:rPr>
        <w:t>为</w:t>
      </w:r>
      <w:r>
        <w:rPr>
          <w:rFonts w:hint="eastAsia" w:hAnsi="仿宋_GB2312" w:cs="仿宋_GB2312"/>
          <w:b w:val="0"/>
          <w:bCs w:val="0"/>
          <w:color w:val="000000"/>
          <w:sz w:val="32"/>
          <w:szCs w:val="32"/>
          <w:highlight w:val="none"/>
          <w:lang w:eastAsia="zh-CN"/>
        </w:rPr>
        <w:t>龙头</w:t>
      </w:r>
      <w:r>
        <w:rPr>
          <w:rFonts w:hint="eastAsia" w:hAnsi="仿宋_GB2312" w:cs="仿宋_GB2312"/>
          <w:b w:val="0"/>
          <w:bCs w:val="0"/>
          <w:color w:val="000000"/>
          <w:sz w:val="32"/>
          <w:szCs w:val="32"/>
          <w:highlight w:val="none"/>
        </w:rPr>
        <w:t>、以</w:t>
      </w:r>
      <w:r>
        <w:rPr>
          <w:rFonts w:hint="eastAsia" w:hAnsi="仿宋_GB2312" w:cs="仿宋_GB2312"/>
          <w:b w:val="0"/>
          <w:bCs w:val="0"/>
          <w:color w:val="000000"/>
          <w:sz w:val="32"/>
          <w:szCs w:val="32"/>
          <w:highlight w:val="none"/>
          <w:lang w:eastAsia="zh-CN"/>
        </w:rPr>
        <w:t>三大球网点校、示范校为支撑</w:t>
      </w:r>
      <w:r>
        <w:rPr>
          <w:rFonts w:hint="eastAsia" w:hAnsi="仿宋_GB2312" w:cs="仿宋_GB2312"/>
          <w:b w:val="0"/>
          <w:bCs w:val="0"/>
          <w:color w:val="000000"/>
          <w:sz w:val="32"/>
          <w:szCs w:val="32"/>
          <w:highlight w:val="none"/>
        </w:rPr>
        <w:t>的协同培养机制。探索“校队市办”等体教融合创新模式，提升三大球传统校专业化运作水平</w:t>
      </w:r>
      <w:r>
        <w:rPr>
          <w:rFonts w:hint="eastAsia" w:hAnsi="仿宋_GB2312" w:cs="仿宋_GB2312"/>
          <w:b w:val="0"/>
          <w:bCs w:val="0"/>
          <w:color w:val="000000"/>
          <w:sz w:val="32"/>
          <w:szCs w:val="32"/>
          <w:highlight w:val="none"/>
          <w:lang w:eastAsia="zh-CN"/>
        </w:rPr>
        <w:t>。</w:t>
      </w:r>
      <w:r>
        <w:rPr>
          <w:rFonts w:hint="eastAsia" w:hAnsi="仿宋_GB2312" w:cs="仿宋_GB2312"/>
          <w:b w:val="0"/>
          <w:bCs w:val="0"/>
          <w:color w:val="000000"/>
          <w:sz w:val="32"/>
          <w:szCs w:val="32"/>
          <w:highlight w:val="none"/>
        </w:rPr>
        <w:t>紧抓足球青训改革发展的历史机遇，整合全区足球资源，高标准创建东城区足球青训中心，系统化培养高素质足球后备人才。强化社会俱乐部合作监管，严格赛风赛纪管理，营造风清气正的青少年三大球发展环境。</w:t>
      </w:r>
    </w:p>
    <w:p>
      <w:pPr>
        <w:pageBreakBefore w:val="0"/>
        <w:kinsoku/>
        <w:wordWrap/>
        <w:overflowPunct/>
        <w:topLinePunct w:val="0"/>
        <w:autoSpaceDE/>
        <w:autoSpaceDN/>
        <w:bidi w:val="0"/>
        <w:adjustRightInd/>
        <w:spacing w:line="560" w:lineRule="exact"/>
        <w:ind w:firstLine="643"/>
        <w:rPr>
          <w:rFonts w:hint="eastAsia" w:hAnsi="仿宋_GB2312" w:cs="仿宋_GB2312"/>
          <w:color w:val="000000"/>
          <w:sz w:val="32"/>
          <w:szCs w:val="32"/>
          <w:highlight w:val="none"/>
        </w:rPr>
      </w:pPr>
      <w:r>
        <w:rPr>
          <w:rFonts w:hint="eastAsia" w:hAnsi="仿宋_GB2312" w:cs="仿宋_GB2312"/>
          <w:b w:val="0"/>
          <w:bCs w:val="0"/>
          <w:color w:val="000000"/>
          <w:sz w:val="32"/>
          <w:szCs w:val="32"/>
          <w:highlight w:val="none"/>
        </w:rPr>
        <w:t>5.开拓运动项目发展新增长点。结合区内各校实际情况，推进射击、柔道、摔跤、棋类、匹克球、机器人足球等特色体育项目与新兴潜力项目进校园。巩固和拓展学校、体校、青少</w:t>
      </w:r>
      <w:r>
        <w:rPr>
          <w:rFonts w:hint="eastAsia" w:hAnsi="仿宋_GB2312" w:cs="仿宋_GB2312"/>
          <w:color w:val="000000"/>
          <w:sz w:val="32"/>
          <w:szCs w:val="32"/>
          <w:highlight w:val="none"/>
        </w:rPr>
        <w:t>年体育俱乐部三大阵地，多维开展训练基地共建、教练团队共组、集训赛事共办等方式，提升新增项目青少年参与度，扩大后备人才选拔范围。</w:t>
      </w:r>
    </w:p>
    <w:p>
      <w:pPr>
        <w:pStyle w:val="4"/>
        <w:pageBreakBefore w:val="0"/>
        <w:numPr>
          <w:ilvl w:val="2"/>
          <w:numId w:val="0"/>
        </w:numPr>
        <w:kinsoku/>
        <w:wordWrap/>
        <w:overflowPunct/>
        <w:topLinePunct w:val="0"/>
        <w:autoSpaceDE/>
        <w:autoSpaceDN/>
        <w:bidi w:val="0"/>
        <w:adjustRightInd/>
        <w:spacing w:line="560" w:lineRule="exact"/>
        <w:ind w:firstLine="643" w:firstLineChars="200"/>
        <w:rPr>
          <w:rFonts w:hint="eastAsia" w:hAnsi="仿宋_GB2312" w:cs="仿宋_GB2312"/>
          <w:b/>
          <w:sz w:val="32"/>
          <w:highlight w:val="none"/>
        </w:rPr>
      </w:pPr>
      <w:r>
        <w:rPr>
          <w:rFonts w:hint="eastAsia" w:hAnsi="仿宋_GB2312" w:cs="仿宋_GB2312"/>
          <w:b/>
          <w:sz w:val="32"/>
          <w:highlight w:val="none"/>
        </w:rPr>
        <w:t>（二）构建多元体系，拓宽培养渠道</w:t>
      </w:r>
    </w:p>
    <w:p>
      <w:pPr>
        <w:pageBreakBefore w:val="0"/>
        <w:kinsoku/>
        <w:wordWrap/>
        <w:overflowPunct/>
        <w:topLinePunct w:val="0"/>
        <w:autoSpaceDE/>
        <w:autoSpaceDN/>
        <w:bidi w:val="0"/>
        <w:adjustRightInd/>
        <w:spacing w:line="560" w:lineRule="exact"/>
        <w:ind w:firstLine="643"/>
        <w:rPr>
          <w:rFonts w:hint="eastAsia" w:hAnsi="仿宋_GB2312" w:cs="仿宋_GB2312"/>
          <w:b w:val="0"/>
          <w:bCs w:val="0"/>
          <w:color w:val="000000"/>
          <w:sz w:val="32"/>
          <w:szCs w:val="32"/>
          <w:highlight w:val="none"/>
        </w:rPr>
      </w:pPr>
      <w:r>
        <w:rPr>
          <w:rFonts w:hint="eastAsia" w:hAnsi="仿宋_GB2312" w:cs="仿宋_GB2312"/>
          <w:b w:val="0"/>
          <w:bCs w:val="0"/>
          <w:color w:val="000000"/>
          <w:sz w:val="32"/>
          <w:szCs w:val="32"/>
          <w:highlight w:val="none"/>
        </w:rPr>
        <w:t>1.加快体校转型升级，打造区域青训中心。围绕“</w:t>
      </w:r>
      <w:r>
        <w:rPr>
          <w:rFonts w:hint="eastAsia" w:hAnsi="仿宋_GB2312" w:cs="仿宋_GB2312"/>
          <w:color w:val="000000"/>
          <w:sz w:val="32"/>
          <w:szCs w:val="32"/>
          <w:highlight w:val="none"/>
        </w:rPr>
        <w:t>国家奥运后备人才梯队”建设任务与国家重点高水平体育后备人才基地创建目标，加大投入力度，改善体校训练设施及教学训练条件，加强高水平教练队伍建设，有力提升东城优势项目运动员的训练培育支撑与服务保障能力。深化体校改革，强化龙头</w:t>
      </w:r>
      <w:r>
        <w:rPr>
          <w:rFonts w:hAnsi="仿宋_GB2312" w:cs="仿宋_GB2312"/>
          <w:color w:val="000000"/>
          <w:sz w:val="32"/>
          <w:szCs w:val="32"/>
          <w:highlight w:val="none"/>
        </w:rPr>
        <w:t>引领作用</w:t>
      </w:r>
      <w:r>
        <w:rPr>
          <w:rFonts w:hint="eastAsia" w:hAnsi="仿宋_GB2312" w:cs="仿宋_GB2312"/>
          <w:color w:val="000000"/>
          <w:sz w:val="32"/>
          <w:szCs w:val="32"/>
          <w:highlight w:val="none"/>
        </w:rPr>
        <w:t>，持续推进体校与学校结对发展新机制，发挥体校专业资源优势，辐射带动区</w:t>
      </w:r>
      <w:r>
        <w:rPr>
          <w:rFonts w:hint="eastAsia" w:hAnsi="仿宋_GB2312" w:cs="仿宋_GB2312"/>
          <w:b w:val="0"/>
          <w:bCs w:val="0"/>
          <w:color w:val="000000"/>
          <w:sz w:val="32"/>
          <w:szCs w:val="32"/>
          <w:highlight w:val="none"/>
        </w:rPr>
        <w:t>域青少年体育普及与提高。建立以体校为中心，融业余训练、技能培养与课余锻炼为一体的区级青少年体育训练中心。</w:t>
      </w:r>
    </w:p>
    <w:p>
      <w:pPr>
        <w:pageBreakBefore w:val="0"/>
        <w:kinsoku/>
        <w:wordWrap/>
        <w:overflowPunct/>
        <w:topLinePunct w:val="0"/>
        <w:autoSpaceDE/>
        <w:autoSpaceDN/>
        <w:bidi w:val="0"/>
        <w:adjustRightInd/>
        <w:spacing w:line="560" w:lineRule="exact"/>
        <w:ind w:firstLine="643"/>
        <w:rPr>
          <w:rFonts w:hint="eastAsia" w:hAnsi="仿宋_GB2312" w:cs="仿宋_GB2312"/>
          <w:color w:val="000000"/>
          <w:sz w:val="32"/>
          <w:szCs w:val="32"/>
          <w:highlight w:val="none"/>
        </w:rPr>
      </w:pPr>
      <w:bookmarkStart w:id="26" w:name="OLE_LINK18"/>
      <w:r>
        <w:rPr>
          <w:rFonts w:hint="eastAsia" w:hAnsi="仿宋_GB2312" w:cs="仿宋_GB2312"/>
          <w:color w:val="000000"/>
          <w:sz w:val="32"/>
          <w:szCs w:val="32"/>
          <w:highlight w:val="none"/>
        </w:rPr>
        <w:t>2.创新体教协同育人模式，拓宽后备人才培养渠道。完善“1248一条龙”训练升学体系，畅通运动员入学升学通道、</w:t>
      </w:r>
      <w:r>
        <w:rPr>
          <w:rFonts w:hint="eastAsia" w:hAnsi="仿宋_GB2312" w:cs="仿宋_GB2312"/>
          <w:color w:val="000000"/>
          <w:sz w:val="32"/>
          <w:szCs w:val="32"/>
          <w:highlight w:val="none"/>
          <w:lang w:eastAsia="zh-CN"/>
        </w:rPr>
        <w:t>推动</w:t>
      </w:r>
      <w:r>
        <w:rPr>
          <w:rFonts w:hint="eastAsia" w:hAnsi="仿宋_GB2312" w:cs="仿宋_GB2312"/>
          <w:color w:val="000000"/>
          <w:sz w:val="32"/>
          <w:szCs w:val="32"/>
          <w:highlight w:val="none"/>
        </w:rPr>
        <w:t>体教融合</w:t>
      </w:r>
      <w:r>
        <w:rPr>
          <w:rFonts w:hint="eastAsia" w:hAnsi="仿宋_GB2312" w:cs="仿宋_GB2312"/>
          <w:color w:val="000000"/>
          <w:sz w:val="32"/>
          <w:szCs w:val="32"/>
          <w:highlight w:val="none"/>
          <w:lang w:eastAsia="zh-CN"/>
        </w:rPr>
        <w:t>关键指标</w:t>
      </w:r>
      <w:r>
        <w:rPr>
          <w:rFonts w:hint="eastAsia" w:hAnsi="仿宋_GB2312" w:cs="仿宋_GB2312"/>
          <w:color w:val="000000"/>
          <w:sz w:val="32"/>
          <w:szCs w:val="32"/>
          <w:highlight w:val="none"/>
        </w:rPr>
        <w:t>纳入教育考核。构建常态化校园赛事体系，在全员参与中发现苗子、夯实基础。重点针对“三大球”及田径、游泳、乒乓球、冰雪等特色项目，动态优化传统校项目布局，深入落实“把运动队办到学校，让优秀运动员从校园走出”理念。联合区教委建立体校教练员驻校教学机制，以专业力量带动学校体育提质增效。积极促进区内学校与省（市）级专业队合作，创建“校队市办”新型青训体系，</w:t>
      </w:r>
      <w:r>
        <w:rPr>
          <w:rFonts w:hint="eastAsia" w:hAnsi="仿宋_GB2312" w:cs="仿宋_GB2312"/>
          <w:color w:val="000000"/>
          <w:sz w:val="32"/>
          <w:szCs w:val="32"/>
          <w:highlight w:val="none"/>
          <w:lang w:eastAsia="zh-CN"/>
        </w:rPr>
        <w:t>北京市</w:t>
      </w:r>
      <w:r>
        <w:rPr>
          <w:rFonts w:hint="eastAsia" w:hAnsi="仿宋_GB2312" w:cs="仿宋_GB2312"/>
          <w:color w:val="000000"/>
          <w:sz w:val="32"/>
          <w:szCs w:val="32"/>
          <w:highlight w:val="none"/>
        </w:rPr>
        <w:t>景山学校、</w:t>
      </w:r>
      <w:r>
        <w:rPr>
          <w:rFonts w:hint="eastAsia" w:hAnsi="仿宋_GB2312" w:cs="仿宋_GB2312"/>
          <w:color w:val="000000"/>
          <w:sz w:val="32"/>
          <w:szCs w:val="32"/>
          <w:highlight w:val="none"/>
          <w:lang w:eastAsia="zh-CN"/>
        </w:rPr>
        <w:t>北京市</w:t>
      </w:r>
      <w:r>
        <w:rPr>
          <w:rFonts w:hint="eastAsia" w:hAnsi="仿宋_GB2312" w:cs="仿宋_GB2312"/>
          <w:color w:val="000000"/>
          <w:sz w:val="32"/>
          <w:szCs w:val="32"/>
          <w:highlight w:val="none"/>
        </w:rPr>
        <w:t>汇文中学</w:t>
      </w:r>
      <w:r>
        <w:rPr>
          <w:rFonts w:hint="eastAsia" w:hAnsi="仿宋_GB2312" w:cs="仿宋_GB2312"/>
          <w:color w:val="000000"/>
          <w:sz w:val="32"/>
          <w:szCs w:val="32"/>
          <w:highlight w:val="none"/>
          <w:lang w:eastAsia="zh-CN"/>
        </w:rPr>
        <w:t>、北京市第五中学、北京市东直门中学</w:t>
      </w:r>
      <w:r>
        <w:rPr>
          <w:rFonts w:hint="eastAsia" w:hAnsi="仿宋_GB2312" w:cs="仿宋_GB2312"/>
          <w:color w:val="000000"/>
          <w:sz w:val="32"/>
          <w:szCs w:val="32"/>
          <w:highlight w:val="none"/>
        </w:rPr>
        <w:t>已与木樨园、先农坛等市属体校达成合作意向，为培养具有国际竞争力的体育人才开辟了新路径。真正实现普及中发掘、校园中培育、专业中输送，为东城青少年体育高质量发展夯实人才根基。</w:t>
      </w:r>
    </w:p>
    <w:p>
      <w:pPr>
        <w:pageBreakBefore w:val="0"/>
        <w:kinsoku/>
        <w:wordWrap/>
        <w:overflowPunct/>
        <w:topLinePunct w:val="0"/>
        <w:autoSpaceDE/>
        <w:autoSpaceDN/>
        <w:bidi w:val="0"/>
        <w:adjustRightInd/>
        <w:spacing w:line="560" w:lineRule="exact"/>
        <w:ind w:firstLine="643"/>
        <w:rPr>
          <w:rFonts w:hint="eastAsia" w:hAnsi="仿宋_GB2312" w:cs="仿宋_GB2312"/>
          <w:b w:val="0"/>
          <w:bCs w:val="0"/>
          <w:color w:val="000000"/>
          <w:sz w:val="32"/>
          <w:szCs w:val="32"/>
          <w:highlight w:val="none"/>
        </w:rPr>
      </w:pPr>
      <w:r>
        <w:rPr>
          <w:rFonts w:hint="eastAsia" w:hAnsi="仿宋_GB2312" w:cs="仿宋_GB2312"/>
          <w:b w:val="0"/>
          <w:bCs w:val="0"/>
          <w:color w:val="000000"/>
          <w:sz w:val="32"/>
          <w:szCs w:val="32"/>
          <w:highlight w:val="none"/>
        </w:rPr>
        <w:t>3.规范引导社会力量参与，构建多元协同育人格局。坚持合作与监管并重，建立健全社会体育机构准入、训练、安全、赛风赛纪等全链条监管机制，强化常态化监管与动态调整，引导社会体育机构规范发展。积极探索与社会体育俱乐部合作模式，</w:t>
      </w:r>
      <w:r>
        <w:rPr>
          <w:rFonts w:hint="eastAsia" w:hAnsi="仿宋_GB2312" w:cs="仿宋_GB2312"/>
          <w:b w:val="0"/>
          <w:bCs w:val="0"/>
          <w:color w:val="000000"/>
          <w:sz w:val="32"/>
          <w:szCs w:val="32"/>
          <w:highlight w:val="none"/>
          <w:lang w:eastAsia="zh-CN"/>
        </w:rPr>
        <w:t>持续</w:t>
      </w:r>
      <w:r>
        <w:rPr>
          <w:rFonts w:hint="eastAsia" w:hAnsi="仿宋_GB2312" w:cs="仿宋_GB2312"/>
          <w:b w:val="0"/>
          <w:bCs w:val="0"/>
          <w:color w:val="000000"/>
          <w:sz w:val="32"/>
          <w:szCs w:val="32"/>
          <w:highlight w:val="none"/>
        </w:rPr>
        <w:t>开展优质体育资源进校园专项行动，依托社会体育培训机构优质资源，拓宽体育后备人才培养渠道</w:t>
      </w:r>
      <w:r>
        <w:rPr>
          <w:rFonts w:hint="eastAsia" w:hAnsi="仿宋_GB2312" w:cs="仿宋_GB2312"/>
          <w:b w:val="0"/>
          <w:bCs w:val="0"/>
          <w:color w:val="000000"/>
          <w:sz w:val="32"/>
          <w:szCs w:val="32"/>
          <w:highlight w:val="none"/>
          <w:lang w:eastAsia="zh-CN"/>
        </w:rPr>
        <w:t>。</w:t>
      </w:r>
      <w:r>
        <w:rPr>
          <w:rFonts w:hint="eastAsia" w:hAnsi="仿宋_GB2312" w:cs="仿宋_GB2312"/>
          <w:b w:val="0"/>
          <w:bCs w:val="0"/>
          <w:color w:val="000000"/>
          <w:sz w:val="32"/>
          <w:szCs w:val="32"/>
          <w:highlight w:val="none"/>
        </w:rPr>
        <w:t>持续推进与北京市五大训练基地和北京国安俱乐部等高水平专业运动队以及国家体育总局相关项目中心、协会的深度交流与合作，积极争取安排重点项目国青、国少队来区集训，并选派我区教练员、运动员跟训学习。</w:t>
      </w:r>
    </w:p>
    <w:p>
      <w:pPr>
        <w:pageBreakBefore w:val="0"/>
        <w:kinsoku/>
        <w:wordWrap/>
        <w:overflowPunct/>
        <w:topLinePunct w:val="0"/>
        <w:autoSpaceDE/>
        <w:autoSpaceDN/>
        <w:bidi w:val="0"/>
        <w:adjustRightInd/>
        <w:spacing w:line="560" w:lineRule="exact"/>
        <w:ind w:firstLine="643"/>
        <w:rPr>
          <w:rFonts w:hint="eastAsia" w:hAnsi="仿宋_GB2312" w:cs="仿宋_GB2312"/>
          <w:color w:val="000000"/>
          <w:sz w:val="32"/>
          <w:szCs w:val="32"/>
          <w:highlight w:val="none"/>
        </w:rPr>
      </w:pPr>
      <w:r>
        <w:rPr>
          <w:rFonts w:hint="eastAsia" w:hAnsi="仿宋_GB2312" w:cs="仿宋_GB2312"/>
          <w:b w:val="0"/>
          <w:bCs w:val="0"/>
          <w:color w:val="000000"/>
          <w:sz w:val="32"/>
          <w:szCs w:val="32"/>
          <w:highlight w:val="none"/>
        </w:rPr>
        <w:t>4.加强专业人才队伍建设。优</w:t>
      </w:r>
      <w:r>
        <w:rPr>
          <w:rFonts w:hint="eastAsia" w:hAnsi="仿宋_GB2312" w:cs="仿宋_GB2312"/>
          <w:color w:val="000000"/>
          <w:sz w:val="32"/>
          <w:szCs w:val="32"/>
          <w:highlight w:val="none"/>
        </w:rPr>
        <w:t>化教练员招聘制度，破解考试、户籍等人才引进难点。聚焦东城区竞技体育发展核心需求，精准引进高水平教练员、裁判员。系统总结过往成功经验与“冠军模型”</w:t>
      </w:r>
      <w:r>
        <w:rPr>
          <w:rFonts w:hint="eastAsia" w:hAnsi="仿宋_GB2312" w:cs="仿宋_GB2312"/>
          <w:color w:val="000000"/>
          <w:sz w:val="32"/>
          <w:szCs w:val="32"/>
          <w:highlight w:val="none"/>
          <w:lang w:eastAsia="zh-CN"/>
        </w:rPr>
        <w:t>，</w:t>
      </w:r>
      <w:r>
        <w:rPr>
          <w:rFonts w:hint="eastAsia" w:hAnsi="仿宋_GB2312" w:cs="仿宋_GB2312"/>
          <w:color w:val="000000"/>
          <w:sz w:val="32"/>
          <w:szCs w:val="32"/>
          <w:highlight w:val="none"/>
        </w:rPr>
        <w:t>借鉴国内外专业人才建设典型模式，持续提升东城区竞技体育软实力。</w:t>
      </w:r>
    </w:p>
    <w:bookmarkEnd w:id="26"/>
    <w:p>
      <w:pPr>
        <w:pStyle w:val="4"/>
        <w:pageBreakBefore w:val="0"/>
        <w:numPr>
          <w:ilvl w:val="2"/>
          <w:numId w:val="0"/>
        </w:numPr>
        <w:kinsoku/>
        <w:wordWrap/>
        <w:overflowPunct/>
        <w:topLinePunct w:val="0"/>
        <w:autoSpaceDE/>
        <w:autoSpaceDN/>
        <w:bidi w:val="0"/>
        <w:adjustRightInd/>
        <w:spacing w:line="560" w:lineRule="exact"/>
        <w:ind w:firstLine="643" w:firstLineChars="200"/>
        <w:rPr>
          <w:rFonts w:hint="eastAsia" w:hAnsi="仿宋_GB2312" w:cs="仿宋_GB2312"/>
          <w:b/>
          <w:sz w:val="32"/>
        </w:rPr>
      </w:pPr>
      <w:r>
        <w:rPr>
          <w:rFonts w:hint="eastAsia" w:hAnsi="仿宋_GB2312" w:cs="仿宋_GB2312"/>
          <w:b/>
          <w:sz w:val="32"/>
        </w:rPr>
        <w:t>（三）强化科技支撑，完善训练保障</w:t>
      </w:r>
    </w:p>
    <w:p>
      <w:pPr>
        <w:pageBreakBefore w:val="0"/>
        <w:kinsoku/>
        <w:wordWrap/>
        <w:overflowPunct/>
        <w:topLinePunct w:val="0"/>
        <w:autoSpaceDE/>
        <w:autoSpaceDN/>
        <w:bidi w:val="0"/>
        <w:adjustRightInd/>
        <w:spacing w:line="560" w:lineRule="exact"/>
        <w:ind w:firstLine="643"/>
        <w:rPr>
          <w:rFonts w:hint="eastAsia" w:hAnsi="仿宋_GB2312" w:cs="仿宋_GB2312"/>
          <w:b w:val="0"/>
          <w:bCs w:val="0"/>
          <w:color w:val="000000"/>
          <w:sz w:val="32"/>
          <w:szCs w:val="32"/>
        </w:rPr>
      </w:pPr>
      <w:r>
        <w:rPr>
          <w:rFonts w:hint="eastAsia" w:hAnsi="仿宋_GB2312" w:cs="仿宋_GB2312"/>
          <w:b w:val="0"/>
          <w:bCs w:val="0"/>
          <w:color w:val="000000"/>
          <w:sz w:val="32"/>
          <w:szCs w:val="32"/>
        </w:rPr>
        <w:t>1.加大新科技赋能力度。广泛建立并加强与国家体育总局、市局相关部门开展“科技兴体”专项合作，重点聚焦后备人才挖掘、科学训练、运动技能评测等领域，补齐青训短板，努力开拓竞技体育发展新突破口。</w:t>
      </w:r>
    </w:p>
    <w:p>
      <w:pPr>
        <w:pageBreakBefore w:val="0"/>
        <w:kinsoku/>
        <w:wordWrap/>
        <w:overflowPunct/>
        <w:topLinePunct w:val="0"/>
        <w:autoSpaceDE/>
        <w:autoSpaceDN/>
        <w:bidi w:val="0"/>
        <w:adjustRightInd/>
        <w:spacing w:line="560" w:lineRule="exact"/>
        <w:ind w:firstLine="643"/>
        <w:rPr>
          <w:rFonts w:hint="eastAsia" w:hAnsi="仿宋_GB2312" w:cs="仿宋_GB2312"/>
          <w:b w:val="0"/>
          <w:bCs w:val="0"/>
          <w:color w:val="000000"/>
          <w:sz w:val="32"/>
          <w:szCs w:val="32"/>
        </w:rPr>
      </w:pPr>
      <w:r>
        <w:rPr>
          <w:rFonts w:hint="eastAsia" w:hAnsi="仿宋_GB2312" w:cs="仿宋_GB2312"/>
          <w:b w:val="0"/>
          <w:bCs w:val="0"/>
          <w:color w:val="000000"/>
          <w:sz w:val="32"/>
          <w:szCs w:val="32"/>
        </w:rPr>
        <w:t>2.加快高新训练器材动态更新升级。优先保障重点项目的现代化训练设备配置，定期评估设备性能，综合提升训练质量及人才发展承载能力，为高水平运动员培养和后备人才梯队建设提供坚实物质支撑。</w:t>
      </w:r>
    </w:p>
    <w:p>
      <w:pPr>
        <w:pageBreakBefore w:val="0"/>
        <w:kinsoku/>
        <w:wordWrap/>
        <w:overflowPunct/>
        <w:topLinePunct w:val="0"/>
        <w:autoSpaceDE/>
        <w:autoSpaceDN/>
        <w:bidi w:val="0"/>
        <w:adjustRightInd/>
        <w:spacing w:line="560" w:lineRule="exact"/>
        <w:ind w:firstLine="643"/>
        <w:rPr>
          <w:rFonts w:hint="eastAsia" w:hAnsi="仿宋_GB2312" w:cs="仿宋_GB2312"/>
          <w:color w:val="000000"/>
          <w:sz w:val="32"/>
          <w:szCs w:val="32"/>
        </w:rPr>
      </w:pPr>
      <w:r>
        <w:rPr>
          <w:rFonts w:hint="eastAsia" w:hAnsi="仿宋_GB2312" w:cs="仿宋_GB2312"/>
          <w:b w:val="0"/>
          <w:bCs w:val="0"/>
          <w:color w:val="000000"/>
          <w:sz w:val="32"/>
          <w:szCs w:val="32"/>
        </w:rPr>
        <w:t>3.完善场地设施建设。加快</w:t>
      </w:r>
      <w:r>
        <w:rPr>
          <w:rFonts w:hint="eastAsia" w:hAnsi="仿宋_GB2312" w:cs="仿宋_GB2312"/>
          <w:color w:val="000000"/>
          <w:sz w:val="32"/>
          <w:szCs w:val="32"/>
        </w:rPr>
        <w:t>现有场地设施现代化改造，建设层次分明、功能互补的体育训练场地设施。重点与学校、社会力量合作规划建设各类运动项目特色场地，填补区域专项训练设施短板。</w:t>
      </w:r>
    </w:p>
    <w:p>
      <w:pPr>
        <w:pStyle w:val="4"/>
        <w:pageBreakBefore w:val="0"/>
        <w:numPr>
          <w:ilvl w:val="2"/>
          <w:numId w:val="0"/>
        </w:numPr>
        <w:kinsoku/>
        <w:wordWrap/>
        <w:overflowPunct/>
        <w:topLinePunct w:val="0"/>
        <w:autoSpaceDE/>
        <w:autoSpaceDN/>
        <w:bidi w:val="0"/>
        <w:adjustRightInd/>
        <w:spacing w:line="560" w:lineRule="exact"/>
        <w:ind w:firstLine="643" w:firstLineChars="200"/>
        <w:rPr>
          <w:rFonts w:hint="eastAsia" w:hAnsi="仿宋_GB2312" w:cs="仿宋_GB2312"/>
          <w:b/>
          <w:sz w:val="32"/>
          <w:highlight w:val="none"/>
        </w:rPr>
      </w:pPr>
      <w:r>
        <w:rPr>
          <w:rFonts w:hint="eastAsia" w:hAnsi="仿宋_GB2312" w:cs="仿宋_GB2312"/>
          <w:b/>
          <w:sz w:val="32"/>
          <w:highlight w:val="none"/>
        </w:rPr>
        <w:t>（四）深化体教融合，促进青少年体育</w:t>
      </w:r>
    </w:p>
    <w:p>
      <w:pPr>
        <w:pageBreakBefore w:val="0"/>
        <w:kinsoku/>
        <w:wordWrap/>
        <w:overflowPunct/>
        <w:topLinePunct w:val="0"/>
        <w:autoSpaceDE/>
        <w:autoSpaceDN/>
        <w:bidi w:val="0"/>
        <w:adjustRightInd/>
        <w:spacing w:line="560" w:lineRule="exact"/>
        <w:ind w:firstLine="643"/>
        <w:rPr>
          <w:rFonts w:hint="eastAsia" w:hAnsi="仿宋_GB2312" w:cs="仿宋_GB2312"/>
          <w:color w:val="000000"/>
          <w:sz w:val="32"/>
          <w:szCs w:val="32"/>
          <w:highlight w:val="none"/>
        </w:rPr>
      </w:pPr>
      <w:r>
        <w:rPr>
          <w:rFonts w:hint="eastAsia" w:hAnsi="仿宋_GB2312" w:cs="仿宋_GB2312"/>
          <w:b w:val="0"/>
          <w:bCs w:val="0"/>
          <w:color w:val="000000"/>
          <w:sz w:val="32"/>
          <w:szCs w:val="32"/>
          <w:highlight w:val="none"/>
        </w:rPr>
        <w:t>1.完善体教融合体制机制。健全</w:t>
      </w:r>
      <w:r>
        <w:rPr>
          <w:rFonts w:hint="eastAsia" w:hAnsi="仿宋_GB2312" w:cs="仿宋_GB2312"/>
          <w:color w:val="000000"/>
          <w:sz w:val="32"/>
          <w:szCs w:val="32"/>
          <w:highlight w:val="none"/>
        </w:rPr>
        <w:t>体教融合的运行机制，充分发挥体教联席会议机制作用，强化多部门协同参与，着力破解工作难点，在学生体质健康水平提升、体育后备人才培养引进、竞赛体系搭建等方面形成合力，促进东城区青少年体育高质量发展。</w:t>
      </w:r>
    </w:p>
    <w:p>
      <w:pPr>
        <w:pageBreakBefore w:val="0"/>
        <w:kinsoku/>
        <w:wordWrap/>
        <w:overflowPunct/>
        <w:topLinePunct w:val="0"/>
        <w:autoSpaceDE/>
        <w:autoSpaceDN/>
        <w:bidi w:val="0"/>
        <w:adjustRightInd/>
        <w:spacing w:line="560" w:lineRule="exact"/>
        <w:ind w:firstLine="643"/>
        <w:rPr>
          <w:rFonts w:hint="eastAsia" w:hAnsi="仿宋_GB2312" w:cs="仿宋_GB2312"/>
          <w:b w:val="0"/>
          <w:bCs w:val="0"/>
          <w:color w:val="000000"/>
          <w:sz w:val="32"/>
          <w:szCs w:val="32"/>
          <w:highlight w:val="none"/>
        </w:rPr>
      </w:pPr>
      <w:r>
        <w:rPr>
          <w:rFonts w:hint="eastAsia" w:hAnsi="仿宋_GB2312" w:cs="仿宋_GB2312"/>
          <w:b w:val="0"/>
          <w:bCs w:val="0"/>
          <w:color w:val="000000"/>
          <w:sz w:val="32"/>
          <w:szCs w:val="32"/>
          <w:highlight w:val="none"/>
        </w:rPr>
        <w:t>2.夯实青少年体育阵地建设。加强对传统项目学校的管理监督，支持学校根据自身特色组建高水平运动队。充分发挥区内体育传统特色学校与三大球网点校的示范引领作用，开展形式丰富的体育活动，巩固青少年体育运动发展基础，加快提升三大球竞技水平。优化和平北路学校、115中学的教学、训练、住宿一体化九年一贯制联合办校模式。</w:t>
      </w:r>
    </w:p>
    <w:p>
      <w:pPr>
        <w:pageBreakBefore w:val="0"/>
        <w:kinsoku/>
        <w:wordWrap/>
        <w:overflowPunct/>
        <w:topLinePunct w:val="0"/>
        <w:autoSpaceDE/>
        <w:autoSpaceDN/>
        <w:bidi w:val="0"/>
        <w:adjustRightInd/>
        <w:spacing w:line="560" w:lineRule="exact"/>
        <w:ind w:firstLine="643"/>
        <w:rPr>
          <w:rFonts w:hint="eastAsia" w:hAnsi="仿宋_GB2312" w:cs="仿宋_GB2312"/>
          <w:color w:val="000000"/>
          <w:sz w:val="32"/>
          <w:szCs w:val="32"/>
          <w:highlight w:val="none"/>
        </w:rPr>
      </w:pPr>
      <w:r>
        <w:rPr>
          <w:rFonts w:hint="eastAsia" w:hAnsi="仿宋_GB2312" w:cs="仿宋_GB2312"/>
          <w:color w:val="000000"/>
          <w:sz w:val="32"/>
          <w:szCs w:val="32"/>
          <w:highlight w:val="none"/>
        </w:rPr>
        <w:t>3.整合社会资源协同育人。充分发挥东城区文化资源与区位优势，搭建学校与社会体育资源对接平台，引导和支持体育社团组织、体育培训机构等社会力量提供专项服务，开展丰富多彩的青少年体育实践活动。鼓励青少年体育俱乐部及职业体育资源下沉校园，通过公益培训、赛事联办、场馆共享、冠军进校园等形式，提供体育专业指导，普及体育运动技能，弘扬体育精神。以东城区“奥运冠军摇篮”的影响力为契机，深入挖掘其育人价值，形成学校需求与社会资源精准对接、良性互动的协同育人格局。</w:t>
      </w:r>
    </w:p>
    <w:p>
      <w:pPr>
        <w:pageBreakBefore w:val="0"/>
        <w:kinsoku/>
        <w:wordWrap/>
        <w:overflowPunct/>
        <w:topLinePunct w:val="0"/>
        <w:autoSpaceDE/>
        <w:autoSpaceDN/>
        <w:bidi w:val="0"/>
        <w:adjustRightInd/>
        <w:spacing w:line="560" w:lineRule="exact"/>
        <w:ind w:firstLine="643"/>
        <w:rPr>
          <w:rFonts w:hint="eastAsia" w:hAnsi="仿宋_GB2312" w:cs="仿宋_GB2312"/>
          <w:color w:val="000000"/>
          <w:sz w:val="32"/>
          <w:szCs w:val="32"/>
          <w:highlight w:val="none"/>
        </w:rPr>
      </w:pPr>
      <w:r>
        <w:rPr>
          <w:rFonts w:hint="eastAsia" w:hAnsi="仿宋_GB2312" w:cs="仿宋_GB2312"/>
          <w:b w:val="0"/>
          <w:bCs w:val="0"/>
          <w:color w:val="000000"/>
          <w:sz w:val="32"/>
          <w:szCs w:val="32"/>
          <w:highlight w:val="none"/>
        </w:rPr>
        <w:t>4.持续完善竞赛体系。与</w:t>
      </w:r>
      <w:r>
        <w:rPr>
          <w:rFonts w:hint="eastAsia" w:hAnsi="仿宋_GB2312" w:cs="仿宋_GB2312"/>
          <w:color w:val="000000"/>
          <w:sz w:val="32"/>
          <w:szCs w:val="32"/>
          <w:highlight w:val="none"/>
        </w:rPr>
        <w:t>区教委共同完善东城区青少年赛事体系，以“奔跑吧</w:t>
      </w:r>
      <w:r>
        <w:rPr>
          <w:rFonts w:hint="eastAsia" w:hAnsi="仿宋_GB2312" w:cs="仿宋_GB2312"/>
          <w:color w:val="auto"/>
          <w:sz w:val="32"/>
          <w:szCs w:val="32"/>
          <w:highlight w:val="none"/>
          <w:lang w:val="en-US" w:eastAsia="zh-CN"/>
        </w:rPr>
        <w:t>·</w:t>
      </w:r>
      <w:r>
        <w:rPr>
          <w:rFonts w:hint="eastAsia" w:hAnsi="仿宋_GB2312" w:cs="仿宋_GB2312"/>
          <w:color w:val="000000"/>
          <w:sz w:val="32"/>
          <w:szCs w:val="32"/>
          <w:highlight w:val="none"/>
        </w:rPr>
        <w:t>少年”等品牌活动为引领，开展形式多样的课余训练与竞赛，构建班级、年级、校级、区级四级竞赛格局，扩大校内、校际体育比赛覆盖面和参与度。抢抓北京市“体育八条”中校园“三大球”发展机遇，大力支持“三大球”青少年赛事活动。积极承办各级各类优质青少年赛事活动，充分发挥赛事多元功能，激发青少年体育热情，广泛培养后备人才。</w:t>
      </w:r>
    </w:p>
    <w:p>
      <w:pPr>
        <w:pStyle w:val="3"/>
        <w:pageBreakBefore w:val="0"/>
        <w:numPr>
          <w:ilvl w:val="1"/>
          <w:numId w:val="0"/>
        </w:numPr>
        <w:kinsoku/>
        <w:wordWrap/>
        <w:overflowPunct/>
        <w:topLinePunct w:val="0"/>
        <w:autoSpaceDE/>
        <w:autoSpaceDN/>
        <w:bidi w:val="0"/>
        <w:adjustRightInd/>
        <w:spacing w:line="560" w:lineRule="exact"/>
        <w:ind w:firstLine="640" w:firstLineChars="200"/>
        <w:rPr>
          <w:rFonts w:hint="eastAsia"/>
          <w:sz w:val="32"/>
        </w:rPr>
      </w:pPr>
      <w:bookmarkStart w:id="27" w:name="_Toc219116699"/>
      <w:r>
        <w:rPr>
          <w:rFonts w:hint="eastAsia"/>
          <w:sz w:val="32"/>
        </w:rPr>
        <w:t>三、发挥区域资源优势，激发体育产业活力</w:t>
      </w:r>
      <w:bookmarkEnd w:id="27"/>
    </w:p>
    <w:p>
      <w:pPr>
        <w:pStyle w:val="4"/>
        <w:pageBreakBefore w:val="0"/>
        <w:numPr>
          <w:ilvl w:val="2"/>
          <w:numId w:val="0"/>
        </w:numPr>
        <w:kinsoku/>
        <w:wordWrap/>
        <w:overflowPunct/>
        <w:topLinePunct w:val="0"/>
        <w:autoSpaceDE/>
        <w:autoSpaceDN/>
        <w:bidi w:val="0"/>
        <w:adjustRightInd/>
        <w:spacing w:line="560" w:lineRule="exact"/>
        <w:ind w:firstLine="643" w:firstLineChars="200"/>
        <w:rPr>
          <w:rFonts w:hint="eastAsia" w:hAnsi="仿宋_GB2312" w:cs="仿宋_GB2312"/>
          <w:b/>
          <w:sz w:val="32"/>
        </w:rPr>
      </w:pPr>
      <w:r>
        <w:rPr>
          <w:rFonts w:hint="eastAsia" w:hAnsi="仿宋_GB2312" w:cs="仿宋_GB2312"/>
          <w:b/>
          <w:sz w:val="32"/>
        </w:rPr>
        <w:t>（一）发挥国家体育总局驻地优势，打造体育产业战略高地</w:t>
      </w:r>
    </w:p>
    <w:p>
      <w:pPr>
        <w:pageBreakBefore w:val="0"/>
        <w:kinsoku/>
        <w:wordWrap/>
        <w:overflowPunct/>
        <w:topLinePunct w:val="0"/>
        <w:autoSpaceDE/>
        <w:autoSpaceDN/>
        <w:bidi w:val="0"/>
        <w:adjustRightInd/>
        <w:spacing w:line="560" w:lineRule="exact"/>
        <w:ind w:firstLine="643"/>
        <w:rPr>
          <w:rFonts w:hint="eastAsia"/>
          <w:sz w:val="32"/>
          <w:szCs w:val="32"/>
        </w:rPr>
      </w:pPr>
      <w:r>
        <w:rPr>
          <w:rFonts w:hint="eastAsia"/>
          <w:b w:val="0"/>
          <w:bCs w:val="0"/>
          <w:sz w:val="32"/>
          <w:szCs w:val="32"/>
        </w:rPr>
        <w:t>1.强化工作联动与政策协同。</w:t>
      </w:r>
      <w:r>
        <w:rPr>
          <w:rFonts w:hint="eastAsia"/>
          <w:sz w:val="32"/>
          <w:szCs w:val="32"/>
        </w:rPr>
        <w:t>建</w:t>
      </w:r>
      <w:r>
        <w:rPr>
          <w:rFonts w:hint="eastAsia"/>
          <w:b w:val="0"/>
          <w:bCs w:val="0"/>
          <w:sz w:val="32"/>
          <w:szCs w:val="32"/>
        </w:rPr>
        <w:t>立</w:t>
      </w:r>
      <w:r>
        <w:rPr>
          <w:rFonts w:hint="eastAsia"/>
          <w:sz w:val="32"/>
          <w:szCs w:val="32"/>
        </w:rPr>
        <w:t>东城区与国家体育总局相关单位的常态化联动工作机制，推动政策资源、研究成果、赛事活动等要素向东城集聚；共同建设体育产业研究与政策试点平台，探索体育产业标准体系、政策创新与示范应用。</w:t>
      </w:r>
    </w:p>
    <w:p>
      <w:pPr>
        <w:pageBreakBefore w:val="0"/>
        <w:kinsoku/>
        <w:wordWrap/>
        <w:overflowPunct/>
        <w:topLinePunct w:val="0"/>
        <w:autoSpaceDE/>
        <w:autoSpaceDN/>
        <w:bidi w:val="0"/>
        <w:adjustRightInd/>
        <w:spacing w:line="560" w:lineRule="exact"/>
        <w:ind w:firstLine="643"/>
        <w:rPr>
          <w:rFonts w:hint="eastAsia"/>
          <w:sz w:val="32"/>
          <w:szCs w:val="32"/>
        </w:rPr>
      </w:pPr>
      <w:r>
        <w:rPr>
          <w:rFonts w:hint="eastAsia"/>
          <w:b w:val="0"/>
          <w:bCs w:val="0"/>
          <w:sz w:val="32"/>
          <w:szCs w:val="32"/>
        </w:rPr>
        <w:t>2.构建首都体育产业核心承载区。激</w:t>
      </w:r>
      <w:r>
        <w:rPr>
          <w:rFonts w:hint="eastAsia"/>
          <w:sz w:val="32"/>
          <w:szCs w:val="32"/>
        </w:rPr>
        <w:t>活体育馆路及周边区域的体育产业承载力，积极引进国内外体育高端企业、国际体育机构和体育产业创新型主体，大力培育以总部机构、赛事公司、培训机构、体育科技企业和社会组织为主体的体育服务业集聚区，形成以龙头企业牵引、中小企业协同的现代体育产业集群，推动体育总部经济、专业服务与商贸业态协同发展。</w:t>
      </w:r>
    </w:p>
    <w:p>
      <w:pPr>
        <w:pStyle w:val="4"/>
        <w:pageBreakBefore w:val="0"/>
        <w:numPr>
          <w:ilvl w:val="2"/>
          <w:numId w:val="0"/>
        </w:numPr>
        <w:kinsoku/>
        <w:wordWrap/>
        <w:overflowPunct/>
        <w:topLinePunct w:val="0"/>
        <w:autoSpaceDE/>
        <w:autoSpaceDN/>
        <w:bidi w:val="0"/>
        <w:adjustRightInd/>
        <w:spacing w:line="560" w:lineRule="exact"/>
        <w:ind w:firstLine="643" w:firstLineChars="200"/>
        <w:rPr>
          <w:rFonts w:hint="eastAsia" w:hAnsi="仿宋_GB2312" w:cs="仿宋_GB2312"/>
          <w:b/>
          <w:sz w:val="32"/>
        </w:rPr>
      </w:pPr>
      <w:r>
        <w:rPr>
          <w:rFonts w:hint="eastAsia" w:hAnsi="仿宋_GB2312" w:cs="仿宋_GB2312"/>
          <w:b/>
          <w:sz w:val="32"/>
        </w:rPr>
        <w:t>（二）以体育消费提振为引擎，激发体育产业发展活力</w:t>
      </w:r>
    </w:p>
    <w:p>
      <w:pPr>
        <w:pageBreakBefore w:val="0"/>
        <w:kinsoku/>
        <w:wordWrap/>
        <w:overflowPunct/>
        <w:topLinePunct w:val="0"/>
        <w:autoSpaceDE/>
        <w:autoSpaceDN/>
        <w:bidi w:val="0"/>
        <w:adjustRightInd/>
        <w:spacing w:line="560" w:lineRule="exact"/>
        <w:ind w:firstLine="643"/>
        <w:rPr>
          <w:rFonts w:hint="eastAsia"/>
          <w:sz w:val="32"/>
          <w:szCs w:val="32"/>
        </w:rPr>
      </w:pPr>
      <w:r>
        <w:rPr>
          <w:rFonts w:hint="eastAsia"/>
          <w:b w:val="0"/>
          <w:bCs w:val="0"/>
          <w:sz w:val="32"/>
          <w:szCs w:val="32"/>
        </w:rPr>
        <w:t>1.构建体育消费空间体系。</w:t>
      </w:r>
      <w:r>
        <w:rPr>
          <w:rFonts w:hint="eastAsia"/>
          <w:sz w:val="32"/>
          <w:szCs w:val="32"/>
        </w:rPr>
        <w:t>加快体育场馆和公共空间的建设与更新，构建覆盖社区、街区、商圈的多层次健身设施体系。推动体育场地设施多业态、多场景融合发展，结合</w:t>
      </w:r>
      <w:r>
        <w:rPr>
          <w:rFonts w:hint="eastAsia"/>
          <w:sz w:val="32"/>
          <w:szCs w:val="32"/>
          <w:lang w:eastAsia="zh-CN"/>
        </w:rPr>
        <w:t>北京中轴线</w:t>
      </w:r>
      <w:r>
        <w:rPr>
          <w:rFonts w:hint="eastAsia"/>
          <w:sz w:val="32"/>
          <w:szCs w:val="32"/>
        </w:rPr>
        <w:t>、胡同院落更新等项目，设置智能步道打卡点，依托古建风貌设置传统体育项目体验区；加大商圈、街区、产业园区的特色体育设施配置力度，打造“运动+消费”主题区；支持特色运动空间建设，培育“体育+文创”“体育+艺术”“体育+康养”等体育新消费孵化地。</w:t>
      </w:r>
    </w:p>
    <w:p>
      <w:pPr>
        <w:pageBreakBefore w:val="0"/>
        <w:kinsoku/>
        <w:wordWrap/>
        <w:overflowPunct/>
        <w:topLinePunct w:val="0"/>
        <w:autoSpaceDE/>
        <w:autoSpaceDN/>
        <w:bidi w:val="0"/>
        <w:adjustRightInd/>
        <w:spacing w:line="560" w:lineRule="exact"/>
        <w:ind w:firstLine="643"/>
        <w:rPr>
          <w:rFonts w:hint="eastAsia"/>
          <w:sz w:val="32"/>
          <w:szCs w:val="32"/>
        </w:rPr>
      </w:pPr>
      <w:r>
        <w:rPr>
          <w:rFonts w:hint="eastAsia"/>
          <w:b w:val="0"/>
          <w:bCs w:val="0"/>
          <w:sz w:val="32"/>
          <w:szCs w:val="32"/>
        </w:rPr>
        <w:t>2.提升体育消费供给能力。加</w:t>
      </w:r>
      <w:r>
        <w:rPr>
          <w:rFonts w:hint="eastAsia"/>
          <w:sz w:val="32"/>
          <w:szCs w:val="32"/>
        </w:rPr>
        <w:t>大健身休闲、培训教育、康复健康等重点领域的优质体育品牌培育与引进力度。支持各类市场主体优化服务模式，优化消费体验，释放消费潜力。</w:t>
      </w:r>
    </w:p>
    <w:p>
      <w:pPr>
        <w:pageBreakBefore w:val="0"/>
        <w:kinsoku/>
        <w:wordWrap/>
        <w:overflowPunct/>
        <w:topLinePunct w:val="0"/>
        <w:autoSpaceDE/>
        <w:autoSpaceDN/>
        <w:bidi w:val="0"/>
        <w:adjustRightInd/>
        <w:spacing w:line="560" w:lineRule="exact"/>
        <w:ind w:firstLine="643"/>
        <w:rPr>
          <w:rFonts w:hint="eastAsia"/>
          <w:sz w:val="32"/>
          <w:szCs w:val="32"/>
        </w:rPr>
      </w:pPr>
      <w:r>
        <w:rPr>
          <w:rFonts w:hint="eastAsia"/>
          <w:b w:val="0"/>
          <w:bCs w:val="0"/>
          <w:sz w:val="32"/>
          <w:szCs w:val="32"/>
        </w:rPr>
        <w:t>3.发挥赛事活动消费牵引作用。重</w:t>
      </w:r>
      <w:r>
        <w:rPr>
          <w:rFonts w:hint="eastAsia"/>
          <w:sz w:val="32"/>
          <w:szCs w:val="32"/>
        </w:rPr>
        <w:t>点承办中小型高端体育赛事活动，积极推进现有体育赛事活动的品牌化、系列化、IP化升级，深入推进“体育赛事进景区、进街区、进商圈”，多维激活票根经济，打造具有鲜明东城特色的赛事经济，持续构建以赛事驱动消费的良性循环。</w:t>
      </w:r>
    </w:p>
    <w:p>
      <w:pPr>
        <w:pageBreakBefore w:val="0"/>
        <w:kinsoku/>
        <w:wordWrap/>
        <w:overflowPunct/>
        <w:topLinePunct w:val="0"/>
        <w:autoSpaceDE/>
        <w:autoSpaceDN/>
        <w:bidi w:val="0"/>
        <w:adjustRightInd/>
        <w:spacing w:line="560" w:lineRule="exact"/>
        <w:ind w:firstLine="643"/>
        <w:rPr>
          <w:rFonts w:hint="eastAsia"/>
        </w:rPr>
      </w:pPr>
      <w:r>
        <w:rPr>
          <w:rFonts w:hint="eastAsia"/>
          <w:b w:val="0"/>
          <w:bCs w:val="0"/>
          <w:sz w:val="32"/>
          <w:szCs w:val="32"/>
        </w:rPr>
        <w:t>4.打造体育消费品牌载体。深</w:t>
      </w:r>
      <w:r>
        <w:rPr>
          <w:rFonts w:hint="eastAsia"/>
          <w:sz w:val="32"/>
          <w:szCs w:val="32"/>
        </w:rPr>
        <w:t>化“8·8</w:t>
      </w:r>
      <w:r>
        <w:rPr>
          <w:rFonts w:hint="eastAsia"/>
          <w:sz w:val="32"/>
          <w:szCs w:val="32"/>
          <w:lang w:eastAsia="zh-CN"/>
        </w:rPr>
        <w:t>”</w:t>
      </w:r>
      <w:r>
        <w:rPr>
          <w:rFonts w:hint="eastAsia"/>
          <w:sz w:val="32"/>
          <w:szCs w:val="32"/>
        </w:rPr>
        <w:t>体育消费节品牌建设，推动形成联动商圈、企业机构和线上平台的全域促消费活动体系，逐步向全区覆盖与常态化运营迭代升级，推出多样化体育消费产品与活动，打造东城区体育消费特色名片，持续提升体育消费活力与影响力。</w:t>
      </w:r>
    </w:p>
    <w:p>
      <w:pPr>
        <w:pStyle w:val="4"/>
        <w:pageBreakBefore w:val="0"/>
        <w:numPr>
          <w:ilvl w:val="2"/>
          <w:numId w:val="0"/>
        </w:numPr>
        <w:kinsoku/>
        <w:wordWrap/>
        <w:overflowPunct/>
        <w:topLinePunct w:val="0"/>
        <w:autoSpaceDE/>
        <w:autoSpaceDN/>
        <w:bidi w:val="0"/>
        <w:adjustRightInd/>
        <w:spacing w:line="560" w:lineRule="exact"/>
        <w:ind w:firstLine="643" w:firstLineChars="200"/>
        <w:rPr>
          <w:rFonts w:hint="eastAsia" w:hAnsi="仿宋_GB2312" w:cs="仿宋_GB2312"/>
          <w:b/>
          <w:sz w:val="32"/>
        </w:rPr>
      </w:pPr>
      <w:r>
        <w:rPr>
          <w:rFonts w:hint="eastAsia" w:hAnsi="仿宋_GB2312" w:cs="仿宋_GB2312"/>
          <w:b/>
          <w:sz w:val="32"/>
        </w:rPr>
        <w:t>（三）以融合创新为路径，拓展体育产业发展空间</w:t>
      </w:r>
    </w:p>
    <w:p>
      <w:pPr>
        <w:pageBreakBefore w:val="0"/>
        <w:kinsoku/>
        <w:wordWrap/>
        <w:overflowPunct/>
        <w:topLinePunct w:val="0"/>
        <w:autoSpaceDE/>
        <w:autoSpaceDN/>
        <w:bidi w:val="0"/>
        <w:adjustRightInd/>
        <w:spacing w:line="560" w:lineRule="exact"/>
        <w:ind w:firstLine="643"/>
        <w:rPr>
          <w:rFonts w:hint="eastAsia"/>
          <w:sz w:val="32"/>
          <w:szCs w:val="32"/>
        </w:rPr>
      </w:pPr>
      <w:r>
        <w:rPr>
          <w:rFonts w:hint="eastAsia"/>
          <w:b w:val="0"/>
          <w:bCs w:val="0"/>
          <w:sz w:val="32"/>
          <w:szCs w:val="32"/>
        </w:rPr>
        <w:t>1.推动文商旅体</w:t>
      </w:r>
      <w:r>
        <w:rPr>
          <w:rFonts w:hint="eastAsia"/>
          <w:b w:val="0"/>
          <w:bCs w:val="0"/>
          <w:sz w:val="32"/>
          <w:szCs w:val="32"/>
          <w:lang w:eastAsia="zh-CN"/>
        </w:rPr>
        <w:t>展</w:t>
      </w:r>
      <w:r>
        <w:rPr>
          <w:rFonts w:hint="eastAsia"/>
          <w:b w:val="0"/>
          <w:bCs w:val="0"/>
          <w:sz w:val="32"/>
          <w:szCs w:val="32"/>
        </w:rPr>
        <w:t>协同发展。依托</w:t>
      </w:r>
      <w:r>
        <w:rPr>
          <w:rFonts w:hint="eastAsia"/>
          <w:b w:val="0"/>
          <w:bCs w:val="0"/>
          <w:sz w:val="32"/>
          <w:szCs w:val="32"/>
          <w:lang w:eastAsia="zh-CN"/>
        </w:rPr>
        <w:t>北京中轴线</w:t>
      </w:r>
      <w:r>
        <w:rPr>
          <w:rFonts w:hint="eastAsia"/>
          <w:sz w:val="32"/>
          <w:szCs w:val="32"/>
        </w:rPr>
        <w:t>、文物建筑活化地标点位</w:t>
      </w:r>
      <w:r>
        <w:rPr>
          <w:rFonts w:hint="eastAsia"/>
          <w:color w:val="auto"/>
          <w:sz w:val="32"/>
          <w:szCs w:val="32"/>
          <w:lang w:eastAsia="zh-CN"/>
        </w:rPr>
        <w:t>，</w:t>
      </w:r>
      <w:r>
        <w:rPr>
          <w:rFonts w:hint="eastAsia"/>
          <w:sz w:val="32"/>
          <w:szCs w:val="32"/>
        </w:rPr>
        <w:t>前门、王府井、隆福寺等五大商圈和特色商业街以及特色文博资源，通过“空间赋能、产品创新、活动牵引、生态构建”四维发力，推动“体育+”多元业态深度融合。配建“小而美”的健身设施，鼓励商圈及公共资源向体育活动开放，推动“体育+”融合发展，打造独具东城文化、商业地标魅力的体育赛事和休闲活动融合发展新标杆。结合庙会、</w:t>
      </w:r>
      <w:r>
        <w:rPr>
          <w:rFonts w:hint="eastAsia"/>
          <w:sz w:val="32"/>
          <w:szCs w:val="32"/>
          <w:lang w:eastAsia="zh-CN"/>
        </w:rPr>
        <w:t>传统节日</w:t>
      </w:r>
      <w:r>
        <w:rPr>
          <w:rFonts w:hint="eastAsia"/>
          <w:sz w:val="32"/>
          <w:szCs w:val="32"/>
        </w:rPr>
        <w:t>、冰雪节等活动，打造特色体育文化赛事活动，丰富节庆体育文化产品供给。</w:t>
      </w:r>
    </w:p>
    <w:p>
      <w:pPr>
        <w:pageBreakBefore w:val="0"/>
        <w:kinsoku/>
        <w:wordWrap/>
        <w:overflowPunct/>
        <w:topLinePunct w:val="0"/>
        <w:autoSpaceDE/>
        <w:autoSpaceDN/>
        <w:bidi w:val="0"/>
        <w:adjustRightInd/>
        <w:spacing w:line="560" w:lineRule="exact"/>
        <w:ind w:firstLine="643"/>
        <w:rPr>
          <w:rFonts w:hint="eastAsia"/>
          <w:b w:val="0"/>
          <w:bCs w:val="0"/>
          <w:sz w:val="32"/>
          <w:szCs w:val="32"/>
        </w:rPr>
      </w:pPr>
      <w:r>
        <w:rPr>
          <w:rFonts w:hint="eastAsia"/>
          <w:b w:val="0"/>
          <w:bCs w:val="0"/>
          <w:sz w:val="32"/>
          <w:szCs w:val="32"/>
        </w:rPr>
        <w:t>2.推进体卫融合服务体系建设。依托国家体育总局科研优势及东城区优质医疗、康复、体育资源，发展体质测评、运动处方、运动康复和健康管理等专业化服务，构建体卫融合服务产业链。鼓励体育企业、医疗机构和健康服务机构跨界合作，开发运动健康产品与服务，推动“运动指导健康”市场化运营，形成可复制的体卫融合服务品牌。通过政府引导、市场主导、机构协同，培育区域运动健康产业集群，打造东城区体育产业新的增长点。</w:t>
      </w:r>
    </w:p>
    <w:p>
      <w:pPr>
        <w:pageBreakBefore w:val="0"/>
        <w:kinsoku/>
        <w:wordWrap/>
        <w:overflowPunct/>
        <w:topLinePunct w:val="0"/>
        <w:autoSpaceDE/>
        <w:autoSpaceDN/>
        <w:bidi w:val="0"/>
        <w:adjustRightInd/>
        <w:spacing w:line="560" w:lineRule="exact"/>
        <w:ind w:firstLine="643"/>
        <w:rPr>
          <w:rFonts w:hint="eastAsia"/>
          <w:b w:val="0"/>
          <w:bCs w:val="0"/>
          <w:sz w:val="32"/>
          <w:szCs w:val="32"/>
        </w:rPr>
      </w:pPr>
      <w:r>
        <w:rPr>
          <w:rFonts w:hint="eastAsia"/>
          <w:b w:val="0"/>
          <w:bCs w:val="0"/>
          <w:sz w:val="32"/>
          <w:szCs w:val="32"/>
        </w:rPr>
        <w:t>3.推进“体育+科技”创新实践。搭建“体育+科技”合作平台，支持人工智能、虚拟现实、大数据、可穿戴设备、新型转播技术等新兴科技在体育赛事、运动训练、体育休闲、体育消费等领域的应用。拓展“京体通”小程序更多附加功能，提升服务质量与用户体验。大力培育和引进发展潜力突出的“体育+科技”项目与专精特新“小巨人”企业，打造体育科技创新高地，培育东城区体育产业高质量发展的新引擎。</w:t>
      </w:r>
    </w:p>
    <w:p>
      <w:pPr>
        <w:pStyle w:val="3"/>
        <w:pageBreakBefore w:val="0"/>
        <w:numPr>
          <w:ilvl w:val="1"/>
          <w:numId w:val="0"/>
        </w:numPr>
        <w:kinsoku/>
        <w:wordWrap/>
        <w:overflowPunct/>
        <w:topLinePunct w:val="0"/>
        <w:autoSpaceDE/>
        <w:autoSpaceDN/>
        <w:bidi w:val="0"/>
        <w:adjustRightInd/>
        <w:spacing w:line="560" w:lineRule="exact"/>
        <w:ind w:firstLine="640" w:firstLineChars="200"/>
        <w:rPr>
          <w:rFonts w:hint="eastAsia"/>
          <w:sz w:val="32"/>
        </w:rPr>
      </w:pPr>
      <w:bookmarkStart w:id="28" w:name="_Toc219116700"/>
      <w:bookmarkStart w:id="29" w:name="OLE_LINK20"/>
      <w:r>
        <w:rPr>
          <w:rFonts w:hint="eastAsia"/>
          <w:sz w:val="32"/>
        </w:rPr>
        <w:t>四、加大行业监管力度，服务市场健康发展</w:t>
      </w:r>
      <w:bookmarkEnd w:id="28"/>
    </w:p>
    <w:p>
      <w:pPr>
        <w:pStyle w:val="4"/>
        <w:pageBreakBefore w:val="0"/>
        <w:numPr>
          <w:ilvl w:val="2"/>
          <w:numId w:val="0"/>
        </w:numPr>
        <w:kinsoku/>
        <w:wordWrap/>
        <w:overflowPunct/>
        <w:topLinePunct w:val="0"/>
        <w:autoSpaceDE/>
        <w:autoSpaceDN/>
        <w:bidi w:val="0"/>
        <w:adjustRightInd/>
        <w:spacing w:line="560" w:lineRule="exact"/>
        <w:ind w:firstLine="643" w:firstLineChars="200"/>
        <w:rPr>
          <w:rFonts w:hint="eastAsia" w:hAnsi="仿宋_GB2312" w:cs="仿宋_GB2312"/>
          <w:b/>
          <w:sz w:val="32"/>
        </w:rPr>
      </w:pPr>
      <w:r>
        <w:rPr>
          <w:rFonts w:hint="eastAsia" w:hAnsi="仿宋_GB2312" w:cs="仿宋_GB2312"/>
          <w:b/>
          <w:sz w:val="32"/>
        </w:rPr>
        <w:t>（一）压实主体责任，筑牢安全底线</w:t>
      </w:r>
    </w:p>
    <w:p>
      <w:pPr>
        <w:pageBreakBefore w:val="0"/>
        <w:kinsoku/>
        <w:wordWrap/>
        <w:overflowPunct/>
        <w:topLinePunct w:val="0"/>
        <w:autoSpaceDE/>
        <w:autoSpaceDN/>
        <w:bidi w:val="0"/>
        <w:adjustRightInd/>
        <w:spacing w:line="560" w:lineRule="exact"/>
        <w:ind w:firstLine="640"/>
        <w:rPr>
          <w:rFonts w:hint="eastAsia"/>
          <w:sz w:val="32"/>
          <w:szCs w:val="32"/>
        </w:rPr>
      </w:pPr>
      <w:r>
        <w:rPr>
          <w:rFonts w:hint="eastAsia"/>
          <w:sz w:val="32"/>
          <w:szCs w:val="32"/>
        </w:rPr>
        <w:t>打好安全生产治本攻坚三年行动收官战，指导督促体育经营单位建立健全安全生产责任制和安全生产规章制度，持续改善安全生产条件，实现重大隐患动态清零，持续提高企业主体安全责任，提高安全生产水平。</w:t>
      </w:r>
    </w:p>
    <w:p>
      <w:pPr>
        <w:pStyle w:val="4"/>
        <w:pageBreakBefore w:val="0"/>
        <w:numPr>
          <w:ilvl w:val="2"/>
          <w:numId w:val="0"/>
        </w:numPr>
        <w:kinsoku/>
        <w:wordWrap/>
        <w:overflowPunct/>
        <w:topLinePunct w:val="0"/>
        <w:autoSpaceDE/>
        <w:autoSpaceDN/>
        <w:bidi w:val="0"/>
        <w:adjustRightInd/>
        <w:spacing w:line="560" w:lineRule="exact"/>
        <w:ind w:firstLine="643" w:firstLineChars="200"/>
        <w:rPr>
          <w:rFonts w:hint="eastAsia" w:hAnsi="仿宋_GB2312" w:cs="仿宋_GB2312"/>
          <w:b/>
          <w:sz w:val="32"/>
        </w:rPr>
      </w:pPr>
      <w:r>
        <w:rPr>
          <w:rFonts w:hint="eastAsia" w:hAnsi="仿宋_GB2312" w:cs="仿宋_GB2312"/>
          <w:b/>
          <w:sz w:val="32"/>
        </w:rPr>
        <w:t>（二）严格制度落实，规范行业运行</w:t>
      </w:r>
    </w:p>
    <w:p>
      <w:pPr>
        <w:pageBreakBefore w:val="0"/>
        <w:kinsoku/>
        <w:wordWrap/>
        <w:overflowPunct/>
        <w:topLinePunct w:val="0"/>
        <w:autoSpaceDE/>
        <w:autoSpaceDN/>
        <w:bidi w:val="0"/>
        <w:adjustRightInd/>
        <w:spacing w:line="560" w:lineRule="exact"/>
        <w:ind w:firstLine="640"/>
        <w:rPr>
          <w:rFonts w:hint="eastAsia"/>
          <w:sz w:val="32"/>
          <w:szCs w:val="32"/>
        </w:rPr>
      </w:pPr>
      <w:r>
        <w:rPr>
          <w:rFonts w:hint="eastAsia"/>
          <w:sz w:val="32"/>
          <w:szCs w:val="32"/>
        </w:rPr>
        <w:t>严查体育经营单位、民办非企业、青少年体育俱乐部等单位的安全生产制度落实情况，重点推动隐患排查、安全生产例会、教育和培训、应急救援演练等各项规章制度的制定和实施。</w:t>
      </w:r>
    </w:p>
    <w:p>
      <w:pPr>
        <w:pStyle w:val="4"/>
        <w:pageBreakBefore w:val="0"/>
        <w:numPr>
          <w:ilvl w:val="2"/>
          <w:numId w:val="0"/>
        </w:numPr>
        <w:kinsoku/>
        <w:wordWrap/>
        <w:overflowPunct/>
        <w:topLinePunct w:val="0"/>
        <w:autoSpaceDE/>
        <w:autoSpaceDN/>
        <w:bidi w:val="0"/>
        <w:adjustRightInd/>
        <w:spacing w:line="560" w:lineRule="exact"/>
        <w:ind w:firstLine="643" w:firstLineChars="200"/>
        <w:rPr>
          <w:rFonts w:hint="eastAsia" w:hAnsi="仿宋_GB2312" w:cs="仿宋_GB2312"/>
          <w:b/>
          <w:sz w:val="32"/>
        </w:rPr>
      </w:pPr>
      <w:r>
        <w:rPr>
          <w:rFonts w:hint="eastAsia" w:hAnsi="仿宋_GB2312" w:cs="仿宋_GB2312"/>
          <w:b/>
          <w:sz w:val="32"/>
        </w:rPr>
        <w:t>（三）科学制定检查计划，持续提升监管效能</w:t>
      </w:r>
    </w:p>
    <w:p>
      <w:pPr>
        <w:pageBreakBefore w:val="0"/>
        <w:kinsoku/>
        <w:wordWrap/>
        <w:overflowPunct/>
        <w:topLinePunct w:val="0"/>
        <w:autoSpaceDE/>
        <w:autoSpaceDN/>
        <w:bidi w:val="0"/>
        <w:adjustRightInd/>
        <w:spacing w:line="560" w:lineRule="exact"/>
        <w:ind w:firstLine="640"/>
        <w:rPr>
          <w:rFonts w:hint="eastAsia"/>
          <w:sz w:val="32"/>
          <w:szCs w:val="32"/>
        </w:rPr>
      </w:pPr>
      <w:r>
        <w:rPr>
          <w:rFonts w:hint="eastAsia"/>
          <w:sz w:val="32"/>
          <w:szCs w:val="32"/>
        </w:rPr>
        <w:t>针对高危行业、危化品管理、青少年培训、高危赛事、民办非企业、青少年体育俱乐部等重点领域，采取计划查与随机查、现场查与非现场查、全面查与重点查相结合的方式，对体育经营单位实施精准有效的行政检查。结合行业实际和季节变化等特点，加大对存在问题较多的体育经营单位的行政检查，确保隐患清零。</w:t>
      </w:r>
    </w:p>
    <w:p>
      <w:pPr>
        <w:pStyle w:val="4"/>
        <w:pageBreakBefore w:val="0"/>
        <w:numPr>
          <w:ilvl w:val="2"/>
          <w:numId w:val="0"/>
        </w:numPr>
        <w:kinsoku/>
        <w:wordWrap/>
        <w:overflowPunct/>
        <w:topLinePunct w:val="0"/>
        <w:autoSpaceDE/>
        <w:autoSpaceDN/>
        <w:bidi w:val="0"/>
        <w:adjustRightInd/>
        <w:spacing w:line="560" w:lineRule="exact"/>
        <w:ind w:firstLine="643" w:firstLineChars="200"/>
        <w:rPr>
          <w:rFonts w:hint="eastAsia" w:hAnsi="仿宋_GB2312" w:cs="仿宋_GB2312"/>
          <w:b/>
          <w:sz w:val="32"/>
        </w:rPr>
      </w:pPr>
      <w:r>
        <w:rPr>
          <w:rFonts w:hint="eastAsia" w:hAnsi="仿宋_GB2312" w:cs="仿宋_GB2312"/>
          <w:b/>
          <w:sz w:val="32"/>
        </w:rPr>
        <w:t>（四）推进智慧监管，优化服务体验</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rPr>
      </w:pPr>
      <w:r>
        <w:rPr>
          <w:rFonts w:hint="eastAsia"/>
          <w:sz w:val="32"/>
          <w:szCs w:val="32"/>
        </w:rPr>
        <w:t>探索建立网络监管平台，实现对经营高危险性项目的体育经营单位、体育类校外培训机构实施精准、高效、无感的网络监管。大力推进预付费资金监管工作，初步建立安全</w:t>
      </w:r>
      <w:r>
        <w:rPr>
          <w:rFonts w:hint="eastAsia"/>
          <w:sz w:val="32"/>
          <w:szCs w:val="32"/>
          <w:lang w:eastAsia="zh-CN"/>
        </w:rPr>
        <w:t>、</w:t>
      </w:r>
      <w:r>
        <w:rPr>
          <w:rFonts w:hint="eastAsia"/>
          <w:sz w:val="32"/>
          <w:szCs w:val="32"/>
        </w:rPr>
        <w:t>顺畅</w:t>
      </w:r>
      <w:r>
        <w:rPr>
          <w:rFonts w:hint="eastAsia"/>
          <w:sz w:val="32"/>
          <w:szCs w:val="32"/>
          <w:lang w:eastAsia="zh-CN"/>
        </w:rPr>
        <w:t>、</w:t>
      </w:r>
      <w:r>
        <w:rPr>
          <w:rFonts w:hint="eastAsia"/>
          <w:sz w:val="32"/>
          <w:szCs w:val="32"/>
        </w:rPr>
        <w:t>便捷的监管体系，维护好体育健身群众的合法权益。</w:t>
      </w:r>
      <w:bookmarkEnd w:id="29"/>
      <w:r>
        <w:rPr>
          <w:rFonts w:hint="eastAsia"/>
        </w:rPr>
        <w:br w:type="page"/>
      </w:r>
    </w:p>
    <w:p>
      <w:pPr>
        <w:pStyle w:val="2"/>
        <w:pageBreakBefore w:val="0"/>
        <w:numPr>
          <w:ilvl w:val="0"/>
          <w:numId w:val="0"/>
        </w:numPr>
        <w:kinsoku/>
        <w:wordWrap/>
        <w:overflowPunct/>
        <w:topLinePunct w:val="0"/>
        <w:autoSpaceDE/>
        <w:autoSpaceDN/>
        <w:bidi w:val="0"/>
        <w:adjustRightInd/>
        <w:spacing w:before="312" w:after="312" w:line="560" w:lineRule="exact"/>
        <w:rPr>
          <w:rFonts w:hint="eastAsia"/>
        </w:rPr>
      </w:pPr>
      <w:bookmarkStart w:id="30" w:name="_Toc219116701"/>
      <w:r>
        <w:rPr>
          <w:rFonts w:hint="eastAsia"/>
        </w:rPr>
        <w:t>第四章  保障措施</w:t>
      </w:r>
      <w:bookmarkEnd w:id="30"/>
    </w:p>
    <w:p>
      <w:pPr>
        <w:pStyle w:val="3"/>
        <w:pageBreakBefore w:val="0"/>
        <w:numPr>
          <w:ilvl w:val="1"/>
          <w:numId w:val="0"/>
        </w:numPr>
        <w:kinsoku/>
        <w:wordWrap/>
        <w:overflowPunct/>
        <w:topLinePunct w:val="0"/>
        <w:autoSpaceDE/>
        <w:autoSpaceDN/>
        <w:bidi w:val="0"/>
        <w:adjustRightInd/>
        <w:spacing w:line="560" w:lineRule="exact"/>
        <w:ind w:firstLine="640" w:firstLineChars="200"/>
        <w:jc w:val="left"/>
        <w:rPr>
          <w:rFonts w:hint="eastAsia"/>
          <w:sz w:val="32"/>
        </w:rPr>
      </w:pPr>
      <w:bookmarkStart w:id="31" w:name="_Toc219116702"/>
      <w:r>
        <w:rPr>
          <w:rFonts w:hint="eastAsia"/>
          <w:sz w:val="32"/>
        </w:rPr>
        <w:t>一、加强组织领导</w:t>
      </w:r>
      <w:bookmarkEnd w:id="31"/>
    </w:p>
    <w:p>
      <w:pPr>
        <w:pageBreakBefore w:val="0"/>
        <w:kinsoku/>
        <w:wordWrap/>
        <w:overflowPunct/>
        <w:topLinePunct w:val="0"/>
        <w:autoSpaceDE/>
        <w:autoSpaceDN/>
        <w:bidi w:val="0"/>
        <w:adjustRightInd/>
        <w:spacing w:line="560" w:lineRule="exact"/>
        <w:ind w:firstLine="640"/>
        <w:rPr>
          <w:rFonts w:hint="eastAsia"/>
          <w:sz w:val="32"/>
          <w:szCs w:val="32"/>
        </w:rPr>
      </w:pPr>
      <w:r>
        <w:rPr>
          <w:rFonts w:hint="eastAsia"/>
          <w:sz w:val="32"/>
          <w:szCs w:val="32"/>
        </w:rPr>
        <w:t>加强党的全面领导,</w:t>
      </w:r>
      <w:r>
        <w:rPr>
          <w:sz w:val="32"/>
          <w:szCs w:val="32"/>
        </w:rPr>
        <w:t>深入贯彻落实党中央、国务院关于体育工作的方针政策和决策部署，以及市委市政府、区委区政府的工作要求</w:t>
      </w:r>
      <w:r>
        <w:rPr>
          <w:rFonts w:hint="eastAsia"/>
          <w:sz w:val="32"/>
          <w:szCs w:val="32"/>
        </w:rPr>
        <w:t>。立足区域实际，</w:t>
      </w:r>
      <w:r>
        <w:rPr>
          <w:rFonts w:hint="eastAsia" w:hAnsi="仿宋_GB2312" w:cs="仿宋_GB2312"/>
          <w:sz w:val="32"/>
          <w:szCs w:val="32"/>
        </w:rPr>
        <w:t>健全体育与发展改革、教育、文化和旅游、卫生健康、科技和信息化等部门的工作协调机制，精准破解体育事业和体育产业发展中的堵点难点问题。</w:t>
      </w:r>
      <w:r>
        <w:rPr>
          <w:rFonts w:hAnsi="仿宋_GB2312" w:cs="仿宋_GB2312"/>
          <w:sz w:val="32"/>
          <w:szCs w:val="32"/>
        </w:rPr>
        <w:t>明确规划各项任务的责任部门与单位，制定年度实施计划和重点任务清单，</w:t>
      </w:r>
      <w:r>
        <w:rPr>
          <w:rFonts w:hint="eastAsia"/>
          <w:sz w:val="32"/>
          <w:szCs w:val="32"/>
        </w:rPr>
        <w:t>加强阶段性绩效考核</w:t>
      </w:r>
      <w:r>
        <w:rPr>
          <w:rFonts w:hint="eastAsia" w:hAnsi="仿宋_GB2312" w:cs="仿宋_GB2312"/>
          <w:sz w:val="32"/>
          <w:szCs w:val="32"/>
        </w:rPr>
        <w:t>，</w:t>
      </w:r>
      <w:r>
        <w:rPr>
          <w:rFonts w:hAnsi="仿宋_GB2312" w:cs="仿宋_GB2312"/>
          <w:sz w:val="32"/>
          <w:szCs w:val="32"/>
        </w:rPr>
        <w:t>确保责任到位、任务落地。</w:t>
      </w:r>
    </w:p>
    <w:p>
      <w:pPr>
        <w:pStyle w:val="3"/>
        <w:pageBreakBefore w:val="0"/>
        <w:numPr>
          <w:ilvl w:val="1"/>
          <w:numId w:val="0"/>
        </w:numPr>
        <w:kinsoku/>
        <w:wordWrap/>
        <w:overflowPunct/>
        <w:topLinePunct w:val="0"/>
        <w:autoSpaceDE/>
        <w:autoSpaceDN/>
        <w:bidi w:val="0"/>
        <w:adjustRightInd/>
        <w:spacing w:line="560" w:lineRule="exact"/>
        <w:ind w:firstLine="640" w:firstLineChars="200"/>
        <w:jc w:val="left"/>
        <w:rPr>
          <w:rFonts w:hint="eastAsia"/>
          <w:sz w:val="32"/>
        </w:rPr>
      </w:pPr>
      <w:bookmarkStart w:id="32" w:name="_Toc219116703"/>
      <w:r>
        <w:rPr>
          <w:rFonts w:hint="eastAsia"/>
          <w:sz w:val="32"/>
        </w:rPr>
        <w:t>二、完善规划实施机制</w:t>
      </w:r>
      <w:bookmarkEnd w:id="32"/>
    </w:p>
    <w:p>
      <w:pPr>
        <w:pageBreakBefore w:val="0"/>
        <w:kinsoku/>
        <w:wordWrap/>
        <w:overflowPunct/>
        <w:topLinePunct w:val="0"/>
        <w:autoSpaceDE/>
        <w:autoSpaceDN/>
        <w:bidi w:val="0"/>
        <w:adjustRightInd/>
        <w:spacing w:line="560" w:lineRule="exact"/>
        <w:ind w:firstLine="640"/>
        <w:rPr>
          <w:rFonts w:hint="eastAsia"/>
          <w:sz w:val="32"/>
          <w:szCs w:val="32"/>
        </w:rPr>
      </w:pPr>
      <w:r>
        <w:rPr>
          <w:rFonts w:hint="eastAsia"/>
          <w:sz w:val="32"/>
          <w:szCs w:val="32"/>
        </w:rPr>
        <w:t>加强本规划与东城区总体规划、北京市体育发展规划等</w:t>
      </w:r>
      <w:r>
        <w:rPr>
          <w:sz w:val="32"/>
          <w:szCs w:val="32"/>
        </w:rPr>
        <w:t>上位规划</w:t>
      </w:r>
      <w:r>
        <w:rPr>
          <w:rFonts w:hint="eastAsia"/>
          <w:sz w:val="32"/>
          <w:szCs w:val="32"/>
        </w:rPr>
        <w:t>衔接。发挥本规划战略引领作用，制定配套行动计划和实施方案，细化重点任务推进路径。建立规划动态调整机制，根据实施情况适时优化工作举措，确保规划前瞻性和可操作性。</w:t>
      </w:r>
    </w:p>
    <w:p>
      <w:pPr>
        <w:pStyle w:val="3"/>
        <w:pageBreakBefore w:val="0"/>
        <w:numPr>
          <w:ilvl w:val="1"/>
          <w:numId w:val="0"/>
        </w:numPr>
        <w:kinsoku/>
        <w:wordWrap/>
        <w:overflowPunct/>
        <w:topLinePunct w:val="0"/>
        <w:autoSpaceDE/>
        <w:autoSpaceDN/>
        <w:bidi w:val="0"/>
        <w:adjustRightInd/>
        <w:spacing w:line="560" w:lineRule="exact"/>
        <w:ind w:firstLine="640" w:firstLineChars="200"/>
        <w:jc w:val="left"/>
        <w:rPr>
          <w:rFonts w:hint="eastAsia"/>
          <w:sz w:val="32"/>
        </w:rPr>
      </w:pPr>
      <w:bookmarkStart w:id="33" w:name="_Toc219116704"/>
      <w:r>
        <w:rPr>
          <w:rFonts w:hint="eastAsia"/>
          <w:sz w:val="32"/>
        </w:rPr>
        <w:t>三、优化资源要素保障</w:t>
      </w:r>
      <w:bookmarkEnd w:id="33"/>
    </w:p>
    <w:p>
      <w:pPr>
        <w:pageBreakBefore w:val="0"/>
        <w:kinsoku/>
        <w:wordWrap/>
        <w:overflowPunct/>
        <w:topLinePunct w:val="0"/>
        <w:autoSpaceDE/>
        <w:autoSpaceDN/>
        <w:bidi w:val="0"/>
        <w:adjustRightInd/>
        <w:spacing w:line="560" w:lineRule="exact"/>
        <w:ind w:firstLine="640"/>
        <w:rPr>
          <w:rFonts w:hint="eastAsia"/>
          <w:sz w:val="32"/>
          <w:szCs w:val="32"/>
        </w:rPr>
      </w:pPr>
      <w:r>
        <w:rPr>
          <w:sz w:val="32"/>
          <w:szCs w:val="32"/>
        </w:rPr>
        <w:t>建立与体育强区建设目标任务相适应的区级财政体育投入</w:t>
      </w:r>
      <w:r>
        <w:rPr>
          <w:rFonts w:hint="eastAsia"/>
          <w:sz w:val="32"/>
          <w:szCs w:val="32"/>
        </w:rPr>
        <w:t>机制，发挥财政资金杠杆作用，重点项目予以重点投入。完善多元筹资机制，</w:t>
      </w:r>
      <w:r>
        <w:rPr>
          <w:sz w:val="32"/>
          <w:szCs w:val="32"/>
        </w:rPr>
        <w:t>鼓励和引导社会资本投入体育领域，提高资金使用效益。</w:t>
      </w:r>
      <w:r>
        <w:rPr>
          <w:rFonts w:hint="eastAsia"/>
          <w:sz w:val="32"/>
          <w:szCs w:val="32"/>
        </w:rPr>
        <w:t>强化人才保障力度，聚焦高水平教练员、高潜力体育后备人才、高等级裁判员、高科技科研人员、体育产业高端人才等重点群体，加大引育力度，完善人才引进、培育、激励、保障、流动等全流程服务机制。强化体育用地保障，积极对接相关部门，加强体育民生项目土地资源保障力度。</w:t>
      </w:r>
    </w:p>
    <w:p>
      <w:pPr>
        <w:pStyle w:val="3"/>
        <w:pageBreakBefore w:val="0"/>
        <w:numPr>
          <w:ilvl w:val="1"/>
          <w:numId w:val="0"/>
        </w:numPr>
        <w:kinsoku/>
        <w:wordWrap/>
        <w:overflowPunct/>
        <w:topLinePunct w:val="0"/>
        <w:autoSpaceDE/>
        <w:autoSpaceDN/>
        <w:bidi w:val="0"/>
        <w:adjustRightInd/>
        <w:spacing w:line="560" w:lineRule="exact"/>
        <w:ind w:firstLine="640" w:firstLineChars="200"/>
        <w:jc w:val="left"/>
        <w:rPr>
          <w:rFonts w:hint="eastAsia"/>
          <w:sz w:val="32"/>
        </w:rPr>
      </w:pPr>
      <w:bookmarkStart w:id="34" w:name="_Toc219116705"/>
      <w:r>
        <w:rPr>
          <w:rFonts w:hint="eastAsia"/>
          <w:sz w:val="32"/>
        </w:rPr>
        <w:t>四、加强实施监督考核</w:t>
      </w:r>
      <w:bookmarkEnd w:id="34"/>
    </w:p>
    <w:p>
      <w:pPr>
        <w:pageBreakBefore w:val="0"/>
        <w:kinsoku/>
        <w:wordWrap/>
        <w:overflowPunct/>
        <w:topLinePunct w:val="0"/>
        <w:autoSpaceDE/>
        <w:autoSpaceDN/>
        <w:bidi w:val="0"/>
        <w:adjustRightInd/>
        <w:spacing w:line="560" w:lineRule="exact"/>
        <w:ind w:firstLine="640"/>
        <w:jc w:val="left"/>
        <w:rPr>
          <w:rFonts w:ascii="Times New Roman" w:hAnsi="Times New Roman" w:cs="仿宋_GB2312"/>
          <w:kern w:val="0"/>
          <w:sz w:val="32"/>
          <w:szCs w:val="32"/>
        </w:rPr>
      </w:pPr>
      <w:r>
        <w:rPr>
          <w:rFonts w:hint="eastAsia"/>
          <w:sz w:val="32"/>
          <w:szCs w:val="32"/>
        </w:rPr>
        <w:t>在规划实施的中期阶段，引入第三方独立评估，根据各项目标与重点任务的完成情况，及时编制、提交中期评估报告。主动</w:t>
      </w:r>
      <w:r>
        <w:rPr>
          <w:sz w:val="32"/>
          <w:szCs w:val="32"/>
        </w:rPr>
        <w:t>接受社会监督</w:t>
      </w:r>
      <w:r>
        <w:rPr>
          <w:rFonts w:hint="eastAsia"/>
          <w:sz w:val="32"/>
          <w:szCs w:val="32"/>
        </w:rPr>
        <w:t>，听取社会各界和广大群众对规划实施的意见和建议</w:t>
      </w:r>
      <w:r>
        <w:rPr>
          <w:rFonts w:hint="eastAsia" w:ascii="Times New Roman" w:hAnsi="Times New Roman" w:cs="仿宋_GB2312"/>
          <w:kern w:val="0"/>
          <w:sz w:val="32"/>
          <w:szCs w:val="32"/>
        </w:rPr>
        <w:t>，将民意反馈作为规划优化的重要依据，不断提升规划实施的科学性与群众满意度。</w:t>
      </w:r>
    </w:p>
    <w:p>
      <w:pPr>
        <w:ind w:firstLine="640"/>
        <w:rPr>
          <w:rFonts w:hint="eastAsia"/>
          <w:sz w:val="32"/>
          <w:szCs w:val="32"/>
        </w:rPr>
      </w:pPr>
    </w:p>
    <w:p>
      <w:pPr>
        <w:ind w:firstLine="640"/>
        <w:rPr>
          <w:rFonts w:hint="eastAsia"/>
          <w:sz w:val="32"/>
          <w:szCs w:val="32"/>
        </w:rPr>
      </w:pPr>
    </w:p>
    <w:p>
      <w:pPr>
        <w:ind w:firstLine="560"/>
        <w:jc w:val="left"/>
        <w:rPr>
          <w:rFonts w:hint="eastAsia"/>
        </w:rPr>
      </w:pPr>
    </w:p>
    <w:p>
      <w:pPr>
        <w:bidi w:val="0"/>
        <w:rPr>
          <w:rFonts w:hint="eastAsia" w:ascii="仿宋_GB2312" w:hAnsi="楷体_GB2312" w:eastAsia="仿宋_GB2312" w:cs="楷体_GB2312"/>
          <w:kern w:val="2"/>
          <w:sz w:val="28"/>
          <w:szCs w:val="28"/>
          <w:lang w:val="en-US" w:eastAsia="zh-CN" w:bidi="ar-SA"/>
        </w:rPr>
      </w:pPr>
    </w:p>
    <w:p>
      <w:pPr>
        <w:bidi w:val="0"/>
        <w:rPr>
          <w:rFonts w:hint="eastAsia"/>
          <w:lang w:val="en-US" w:eastAsia="zh-CN"/>
        </w:rPr>
      </w:pPr>
    </w:p>
    <w:p>
      <w:pPr>
        <w:tabs>
          <w:tab w:val="left" w:pos="4158"/>
        </w:tabs>
        <w:bidi w:val="0"/>
        <w:jc w:val="left"/>
        <w:rPr>
          <w:rFonts w:hint="eastAsia"/>
          <w:lang w:val="en-US" w:eastAsia="zh-CN"/>
        </w:rPr>
      </w:pPr>
      <w:r>
        <w:rPr>
          <w:rFonts w:hint="eastAsia"/>
          <w:lang w:val="en-US" w:eastAsia="zh-CN"/>
        </w:rPr>
        <w:tab/>
      </w:r>
    </w:p>
    <w:sectPr>
      <w:footerReference r:id="rId11" w:type="default"/>
      <w:pgSz w:w="11906" w:h="16838"/>
      <w:pgMar w:top="2098" w:right="1474" w:bottom="1985" w:left="1588" w:header="851" w:footer="992" w:gutter="0"/>
      <w:pgNumType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等线 Light">
    <w:altName w:val="宋体"/>
    <w:panose1 w:val="02010600030101010101"/>
    <w:charset w:val="86"/>
    <w:family w:val="auto"/>
    <w:pitch w:val="default"/>
    <w:sig w:usb0="00000000" w:usb1="00000000" w:usb2="00000016" w:usb3="00000000" w:csb0="0004000F" w:csb1="00000000"/>
  </w:font>
  <w:font w:name="等线">
    <w:altName w:val="微软雅黑"/>
    <w:panose1 w:val="02010600030101010101"/>
    <w:charset w:val="86"/>
    <w:family w:val="auto"/>
    <w:pitch w:val="default"/>
    <w:sig w:usb0="00000000" w:usb1="00000000" w:usb2="00000016" w:usb3="00000000" w:csb0="0004000F" w:csb1="00000000"/>
  </w:font>
  <w:font w:name="方正小标宋简体">
    <w:panose1 w:val="03000509000000000000"/>
    <w:charset w:val="86"/>
    <w:family w:val="auto"/>
    <w:pitch w:val="default"/>
    <w:sig w:usb0="00000001" w:usb1="080E0000" w:usb2="00000000" w:usb3="00000000" w:csb0="00040000" w:csb1="00000000"/>
  </w:font>
  <w:font w:name="等线">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 w:name="等线 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firstLine="36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firstLine="360"/>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firstLine="360"/>
      <w:rPr>
        <w:rFonts w:hint="eastAsi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68133936"/>
    </w:sdtPr>
    <w:sdtContent>
      <w:p>
        <w:pPr>
          <w:pStyle w:val="11"/>
          <w:ind w:firstLine="360"/>
          <w:jc w:val="center"/>
          <w:rPr>
            <w:rFonts w:hint="eastAsia"/>
          </w:rPr>
        </w:pPr>
        <w:r>
          <w:fldChar w:fldCharType="begin"/>
        </w:r>
        <w:r>
          <w:instrText xml:space="preserve">PAGE   \* MERGEFORMAT</w:instrText>
        </w:r>
        <w:r>
          <w:fldChar w:fldCharType="separate"/>
        </w:r>
        <w:r>
          <w:rPr>
            <w:lang w:val="zh-CN"/>
          </w:rPr>
          <w:t>9</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ind w:firstLine="560"/>
      </w:pPr>
      <w:r>
        <w:separator/>
      </w:r>
    </w:p>
  </w:footnote>
  <w:footnote w:type="continuationSeparator" w:id="1">
    <w:p>
      <w:pPr>
        <w:spacing w:before="0" w:after="0" w:line="240" w:lineRule="auto"/>
        <w:ind w:firstLine="5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0" w:firstLineChars="0"/>
      <w:rPr>
        <w:rFonts w:hint="eastAsia"/>
        <w:sz w:val="52"/>
        <w:szCs w:val="5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ind w:firstLine="360"/>
      <w:rPr>
        <w:rFonts w:hint="eastAsi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ind w:firstLine="360"/>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28C3FB3"/>
    <w:multiLevelType w:val="multilevel"/>
    <w:tmpl w:val="728C3FB3"/>
    <w:lvl w:ilvl="0" w:tentative="0">
      <w:start w:val="1"/>
      <w:numFmt w:val="chineseCountingThousand"/>
      <w:pStyle w:val="2"/>
      <w:lvlText w:val="第%1章"/>
      <w:lvlJc w:val="left"/>
      <w:pPr>
        <w:ind w:left="0" w:firstLine="0"/>
      </w:pPr>
      <w:rPr>
        <w:rFonts w:hint="eastAsia"/>
      </w:rPr>
    </w:lvl>
    <w:lvl w:ilvl="1" w:tentative="0">
      <w:start w:val="1"/>
      <w:numFmt w:val="chineseCountingThousand"/>
      <w:pStyle w:val="3"/>
      <w:suff w:val="nothing"/>
      <w:lvlText w:val="%2、"/>
      <w:lvlJc w:val="left"/>
      <w:pPr>
        <w:ind w:left="0" w:firstLine="0"/>
      </w:pPr>
      <w:rPr>
        <w:rFonts w:hint="eastAsia"/>
      </w:rPr>
    </w:lvl>
    <w:lvl w:ilvl="2" w:tentative="0">
      <w:start w:val="1"/>
      <w:numFmt w:val="chineseCountingThousand"/>
      <w:pStyle w:val="4"/>
      <w:suff w:val="nothing"/>
      <w:lvlText w:val="（%3）"/>
      <w:lvlJc w:val="left"/>
      <w:pPr>
        <w:ind w:left="566" w:firstLine="0"/>
      </w:pPr>
      <w:rPr>
        <w:rFonts w:hint="eastAsia"/>
        <w:lang w:val="en-US"/>
      </w:rPr>
    </w:lvl>
    <w:lvl w:ilvl="3" w:tentative="0">
      <w:start w:val="1"/>
      <w:numFmt w:val="decimal"/>
      <w:pStyle w:val="5"/>
      <w:suff w:val="space"/>
      <w:lvlText w:val="%4."/>
      <w:lvlJc w:val="left"/>
      <w:rPr>
        <w:rFonts w:ascii="Times New Roman" w:hAnsi="Times New Roman" w:cs="Times New Roman"/>
        <w:b w:val="0"/>
        <w:bCs w:val="0"/>
        <w:i w:val="0"/>
        <w:iCs w:val="0"/>
        <w:caps w:val="0"/>
        <w:smallCaps w:val="0"/>
        <w:strike w:val="0"/>
        <w:dstrike w:val="0"/>
        <w:snapToGrid w:val="0"/>
        <w:vanish w:val="0"/>
        <w:color w:val="000000"/>
        <w:spacing w:val="0"/>
        <w:w w:val="0"/>
        <w:kern w:val="0"/>
        <w:position w:val="0"/>
        <w:sz w:val="0"/>
        <w:szCs w:val="0"/>
        <w:u w:val="none" w:color="000000"/>
        <w:shd w:val="clear" w:color="000000" w:fill="000000"/>
        <w:vertAlign w:val="baseline"/>
        <w:lang w:val="zh-CN" w:eastAsia="zh-CN" w:bidi="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4" w:tentative="0">
      <w:start w:val="1"/>
      <w:numFmt w:val="lowerLetter"/>
      <w:lvlText w:val="%5)"/>
      <w:lvlJc w:val="left"/>
      <w:pPr>
        <w:ind w:left="2743" w:hanging="420"/>
      </w:pPr>
      <w:rPr>
        <w:rFonts w:hint="eastAsia"/>
      </w:rPr>
    </w:lvl>
    <w:lvl w:ilvl="5" w:tentative="0">
      <w:start w:val="1"/>
      <w:numFmt w:val="lowerRoman"/>
      <w:lvlText w:val="%6."/>
      <w:lvlJc w:val="right"/>
      <w:pPr>
        <w:ind w:left="3163" w:hanging="420"/>
      </w:pPr>
      <w:rPr>
        <w:rFonts w:hint="eastAsia"/>
      </w:rPr>
    </w:lvl>
    <w:lvl w:ilvl="6" w:tentative="0">
      <w:start w:val="1"/>
      <w:numFmt w:val="decimal"/>
      <w:lvlText w:val="%7."/>
      <w:lvlJc w:val="left"/>
      <w:pPr>
        <w:ind w:left="3583" w:hanging="420"/>
      </w:pPr>
      <w:rPr>
        <w:rFonts w:hint="eastAsia"/>
      </w:rPr>
    </w:lvl>
    <w:lvl w:ilvl="7" w:tentative="0">
      <w:start w:val="1"/>
      <w:numFmt w:val="lowerLetter"/>
      <w:lvlText w:val="%8)"/>
      <w:lvlJc w:val="left"/>
      <w:pPr>
        <w:ind w:left="4003" w:hanging="420"/>
      </w:pPr>
      <w:rPr>
        <w:rFonts w:hint="eastAsia"/>
      </w:rPr>
    </w:lvl>
    <w:lvl w:ilvl="8" w:tentative="0">
      <w:start w:val="1"/>
      <w:numFmt w:val="lowerRoman"/>
      <w:lvlText w:val="%9."/>
      <w:lvlJc w:val="right"/>
      <w:pPr>
        <w:ind w:left="4423" w:hanging="42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bordersDoNotSurroundHeader w:val="0"/>
  <w:bordersDoNotSurroundFooter w:val="0"/>
  <w:documentProtection w:enforcement="0"/>
  <w:defaultTabStop w:val="4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3DF1"/>
    <w:rsid w:val="0000133D"/>
    <w:rsid w:val="00002E0E"/>
    <w:rsid w:val="000058D5"/>
    <w:rsid w:val="000070BC"/>
    <w:rsid w:val="000074C8"/>
    <w:rsid w:val="00007969"/>
    <w:rsid w:val="00011D4E"/>
    <w:rsid w:val="000137AB"/>
    <w:rsid w:val="00014478"/>
    <w:rsid w:val="00022E7B"/>
    <w:rsid w:val="00027F6F"/>
    <w:rsid w:val="00033170"/>
    <w:rsid w:val="0003496E"/>
    <w:rsid w:val="000353D5"/>
    <w:rsid w:val="0004375B"/>
    <w:rsid w:val="00045529"/>
    <w:rsid w:val="00045EB4"/>
    <w:rsid w:val="00046A5E"/>
    <w:rsid w:val="00047137"/>
    <w:rsid w:val="000522A3"/>
    <w:rsid w:val="00052D6E"/>
    <w:rsid w:val="00056AE1"/>
    <w:rsid w:val="00060A16"/>
    <w:rsid w:val="00061A91"/>
    <w:rsid w:val="00062C20"/>
    <w:rsid w:val="00065DEE"/>
    <w:rsid w:val="00071DB4"/>
    <w:rsid w:val="00076D75"/>
    <w:rsid w:val="0008149B"/>
    <w:rsid w:val="00082A81"/>
    <w:rsid w:val="00087F3C"/>
    <w:rsid w:val="00097A65"/>
    <w:rsid w:val="000A218D"/>
    <w:rsid w:val="000B13F6"/>
    <w:rsid w:val="000B1893"/>
    <w:rsid w:val="000B1D85"/>
    <w:rsid w:val="000B2FA3"/>
    <w:rsid w:val="000B4FFD"/>
    <w:rsid w:val="000B5B05"/>
    <w:rsid w:val="000B5BBF"/>
    <w:rsid w:val="000B6343"/>
    <w:rsid w:val="000B7D62"/>
    <w:rsid w:val="000C19F7"/>
    <w:rsid w:val="000C673F"/>
    <w:rsid w:val="000C7FF7"/>
    <w:rsid w:val="000D2097"/>
    <w:rsid w:val="000D3942"/>
    <w:rsid w:val="000D5079"/>
    <w:rsid w:val="000D5F92"/>
    <w:rsid w:val="000D707B"/>
    <w:rsid w:val="000D7D7F"/>
    <w:rsid w:val="000D7F38"/>
    <w:rsid w:val="000E14B3"/>
    <w:rsid w:val="000E1CE4"/>
    <w:rsid w:val="000E1D8E"/>
    <w:rsid w:val="000E1F95"/>
    <w:rsid w:val="000E5352"/>
    <w:rsid w:val="000E598C"/>
    <w:rsid w:val="000E59D7"/>
    <w:rsid w:val="000E6D46"/>
    <w:rsid w:val="000E714A"/>
    <w:rsid w:val="000E75AA"/>
    <w:rsid w:val="000F59B6"/>
    <w:rsid w:val="000F6639"/>
    <w:rsid w:val="000F6A2A"/>
    <w:rsid w:val="0010288A"/>
    <w:rsid w:val="00103643"/>
    <w:rsid w:val="00105C89"/>
    <w:rsid w:val="00106149"/>
    <w:rsid w:val="0010651B"/>
    <w:rsid w:val="00107C56"/>
    <w:rsid w:val="00111EF2"/>
    <w:rsid w:val="001159C4"/>
    <w:rsid w:val="00116C78"/>
    <w:rsid w:val="0011779C"/>
    <w:rsid w:val="00121172"/>
    <w:rsid w:val="00121A2A"/>
    <w:rsid w:val="001247C7"/>
    <w:rsid w:val="001253EE"/>
    <w:rsid w:val="0012540E"/>
    <w:rsid w:val="00132381"/>
    <w:rsid w:val="00136503"/>
    <w:rsid w:val="00142A33"/>
    <w:rsid w:val="001430C6"/>
    <w:rsid w:val="001468C3"/>
    <w:rsid w:val="00146974"/>
    <w:rsid w:val="0015111E"/>
    <w:rsid w:val="0015146F"/>
    <w:rsid w:val="00154DE9"/>
    <w:rsid w:val="0015624B"/>
    <w:rsid w:val="00161AC1"/>
    <w:rsid w:val="00161FF6"/>
    <w:rsid w:val="00162D7F"/>
    <w:rsid w:val="00163654"/>
    <w:rsid w:val="00163C97"/>
    <w:rsid w:val="001668A9"/>
    <w:rsid w:val="00167512"/>
    <w:rsid w:val="00173D78"/>
    <w:rsid w:val="0017470C"/>
    <w:rsid w:val="001759D1"/>
    <w:rsid w:val="0017799D"/>
    <w:rsid w:val="00180082"/>
    <w:rsid w:val="001824A3"/>
    <w:rsid w:val="001827A5"/>
    <w:rsid w:val="00183066"/>
    <w:rsid w:val="001841DF"/>
    <w:rsid w:val="0019132E"/>
    <w:rsid w:val="00195B59"/>
    <w:rsid w:val="00196AEA"/>
    <w:rsid w:val="0019760A"/>
    <w:rsid w:val="001A116C"/>
    <w:rsid w:val="001A12EA"/>
    <w:rsid w:val="001A1C5D"/>
    <w:rsid w:val="001A4425"/>
    <w:rsid w:val="001A4FB0"/>
    <w:rsid w:val="001A5795"/>
    <w:rsid w:val="001A5DDE"/>
    <w:rsid w:val="001A67D8"/>
    <w:rsid w:val="001A6E21"/>
    <w:rsid w:val="001B0703"/>
    <w:rsid w:val="001B2741"/>
    <w:rsid w:val="001B4C62"/>
    <w:rsid w:val="001B6A26"/>
    <w:rsid w:val="001B7D27"/>
    <w:rsid w:val="001C0A10"/>
    <w:rsid w:val="001C20D1"/>
    <w:rsid w:val="001C45B9"/>
    <w:rsid w:val="001C48B5"/>
    <w:rsid w:val="001D04CE"/>
    <w:rsid w:val="001D0BF3"/>
    <w:rsid w:val="001D0C84"/>
    <w:rsid w:val="001D1377"/>
    <w:rsid w:val="001D37FA"/>
    <w:rsid w:val="001E1BE0"/>
    <w:rsid w:val="001E2486"/>
    <w:rsid w:val="001E36E7"/>
    <w:rsid w:val="001E3987"/>
    <w:rsid w:val="001E5BB2"/>
    <w:rsid w:val="001F0DB7"/>
    <w:rsid w:val="001F23EA"/>
    <w:rsid w:val="001F2DA0"/>
    <w:rsid w:val="001F4EF0"/>
    <w:rsid w:val="001F7A89"/>
    <w:rsid w:val="001F7C0E"/>
    <w:rsid w:val="00201EC8"/>
    <w:rsid w:val="0020346A"/>
    <w:rsid w:val="00203E54"/>
    <w:rsid w:val="00206736"/>
    <w:rsid w:val="00206AEA"/>
    <w:rsid w:val="00206EFC"/>
    <w:rsid w:val="00211230"/>
    <w:rsid w:val="00214ABE"/>
    <w:rsid w:val="00216271"/>
    <w:rsid w:val="00216824"/>
    <w:rsid w:val="00216D2E"/>
    <w:rsid w:val="00220018"/>
    <w:rsid w:val="00220821"/>
    <w:rsid w:val="00220B11"/>
    <w:rsid w:val="002220C2"/>
    <w:rsid w:val="00222BB0"/>
    <w:rsid w:val="00223C2F"/>
    <w:rsid w:val="00225BFB"/>
    <w:rsid w:val="002269F9"/>
    <w:rsid w:val="00226D7C"/>
    <w:rsid w:val="0022709D"/>
    <w:rsid w:val="0023048A"/>
    <w:rsid w:val="002347C3"/>
    <w:rsid w:val="002408EC"/>
    <w:rsid w:val="00240C53"/>
    <w:rsid w:val="00247DE0"/>
    <w:rsid w:val="00247E6D"/>
    <w:rsid w:val="00250289"/>
    <w:rsid w:val="00250861"/>
    <w:rsid w:val="0025093B"/>
    <w:rsid w:val="00250D0E"/>
    <w:rsid w:val="00252C56"/>
    <w:rsid w:val="00253104"/>
    <w:rsid w:val="0026040F"/>
    <w:rsid w:val="002609E8"/>
    <w:rsid w:val="00261D45"/>
    <w:rsid w:val="002627C2"/>
    <w:rsid w:val="0027025C"/>
    <w:rsid w:val="00272BE0"/>
    <w:rsid w:val="002731CA"/>
    <w:rsid w:val="00276FF0"/>
    <w:rsid w:val="00283A24"/>
    <w:rsid w:val="00290D52"/>
    <w:rsid w:val="00295906"/>
    <w:rsid w:val="00295BFB"/>
    <w:rsid w:val="002A27A2"/>
    <w:rsid w:val="002B1C52"/>
    <w:rsid w:val="002B4ED3"/>
    <w:rsid w:val="002C3001"/>
    <w:rsid w:val="002C46CD"/>
    <w:rsid w:val="002C59AA"/>
    <w:rsid w:val="002C6466"/>
    <w:rsid w:val="002C75FC"/>
    <w:rsid w:val="002D2428"/>
    <w:rsid w:val="002D6FE7"/>
    <w:rsid w:val="002E3089"/>
    <w:rsid w:val="002E36FA"/>
    <w:rsid w:val="002F0671"/>
    <w:rsid w:val="002F1212"/>
    <w:rsid w:val="002F478C"/>
    <w:rsid w:val="002F7F01"/>
    <w:rsid w:val="003018EC"/>
    <w:rsid w:val="00301ED3"/>
    <w:rsid w:val="00302CF3"/>
    <w:rsid w:val="00304916"/>
    <w:rsid w:val="003059B4"/>
    <w:rsid w:val="0031355D"/>
    <w:rsid w:val="00315023"/>
    <w:rsid w:val="0031689C"/>
    <w:rsid w:val="00316DCA"/>
    <w:rsid w:val="003173C3"/>
    <w:rsid w:val="00324683"/>
    <w:rsid w:val="00326B63"/>
    <w:rsid w:val="00331B9B"/>
    <w:rsid w:val="003401AB"/>
    <w:rsid w:val="0034403C"/>
    <w:rsid w:val="00347BCE"/>
    <w:rsid w:val="00350AA3"/>
    <w:rsid w:val="00351BC6"/>
    <w:rsid w:val="003564C3"/>
    <w:rsid w:val="00362790"/>
    <w:rsid w:val="003638F1"/>
    <w:rsid w:val="00363E43"/>
    <w:rsid w:val="00366113"/>
    <w:rsid w:val="003722D3"/>
    <w:rsid w:val="00375662"/>
    <w:rsid w:val="0037569B"/>
    <w:rsid w:val="0038646B"/>
    <w:rsid w:val="00391A32"/>
    <w:rsid w:val="00391FD8"/>
    <w:rsid w:val="003946FC"/>
    <w:rsid w:val="00395039"/>
    <w:rsid w:val="0039648F"/>
    <w:rsid w:val="003A1865"/>
    <w:rsid w:val="003A1A78"/>
    <w:rsid w:val="003A3362"/>
    <w:rsid w:val="003A4494"/>
    <w:rsid w:val="003A520A"/>
    <w:rsid w:val="003A639E"/>
    <w:rsid w:val="003A7A04"/>
    <w:rsid w:val="003B01EE"/>
    <w:rsid w:val="003B15F5"/>
    <w:rsid w:val="003B2F62"/>
    <w:rsid w:val="003B73B0"/>
    <w:rsid w:val="003B741E"/>
    <w:rsid w:val="003C1187"/>
    <w:rsid w:val="003C181E"/>
    <w:rsid w:val="003C1EF2"/>
    <w:rsid w:val="003C284F"/>
    <w:rsid w:val="003C4E90"/>
    <w:rsid w:val="003C5D8E"/>
    <w:rsid w:val="003D15C9"/>
    <w:rsid w:val="003D1826"/>
    <w:rsid w:val="003D1A4D"/>
    <w:rsid w:val="003D298D"/>
    <w:rsid w:val="003D3964"/>
    <w:rsid w:val="003D59E6"/>
    <w:rsid w:val="003E0D1B"/>
    <w:rsid w:val="003E0F90"/>
    <w:rsid w:val="003E2230"/>
    <w:rsid w:val="003E2758"/>
    <w:rsid w:val="003E3896"/>
    <w:rsid w:val="003E49B3"/>
    <w:rsid w:val="003E53C0"/>
    <w:rsid w:val="003F067B"/>
    <w:rsid w:val="003F1EBE"/>
    <w:rsid w:val="003F28E9"/>
    <w:rsid w:val="003F7953"/>
    <w:rsid w:val="00401EB2"/>
    <w:rsid w:val="00403415"/>
    <w:rsid w:val="00403EED"/>
    <w:rsid w:val="004066BE"/>
    <w:rsid w:val="00410A5B"/>
    <w:rsid w:val="00411025"/>
    <w:rsid w:val="00411107"/>
    <w:rsid w:val="00417411"/>
    <w:rsid w:val="00421620"/>
    <w:rsid w:val="00422369"/>
    <w:rsid w:val="004265AC"/>
    <w:rsid w:val="004322CE"/>
    <w:rsid w:val="00432679"/>
    <w:rsid w:val="00432C97"/>
    <w:rsid w:val="004345DB"/>
    <w:rsid w:val="004349DA"/>
    <w:rsid w:val="004426B9"/>
    <w:rsid w:val="00442C55"/>
    <w:rsid w:val="0044313F"/>
    <w:rsid w:val="00450712"/>
    <w:rsid w:val="004516EE"/>
    <w:rsid w:val="00453DE5"/>
    <w:rsid w:val="00454AC6"/>
    <w:rsid w:val="0045761C"/>
    <w:rsid w:val="004578A3"/>
    <w:rsid w:val="00464D29"/>
    <w:rsid w:val="0047069C"/>
    <w:rsid w:val="004728EE"/>
    <w:rsid w:val="004815AD"/>
    <w:rsid w:val="00483AA4"/>
    <w:rsid w:val="00484743"/>
    <w:rsid w:val="004853FA"/>
    <w:rsid w:val="004916AC"/>
    <w:rsid w:val="00492546"/>
    <w:rsid w:val="0049343C"/>
    <w:rsid w:val="00494825"/>
    <w:rsid w:val="0049670B"/>
    <w:rsid w:val="004970AA"/>
    <w:rsid w:val="004B09D1"/>
    <w:rsid w:val="004B3FB8"/>
    <w:rsid w:val="004B4E51"/>
    <w:rsid w:val="004B6FD4"/>
    <w:rsid w:val="004C2017"/>
    <w:rsid w:val="004C212F"/>
    <w:rsid w:val="004C38F5"/>
    <w:rsid w:val="004D042F"/>
    <w:rsid w:val="004D16A5"/>
    <w:rsid w:val="004D3DDC"/>
    <w:rsid w:val="004D5169"/>
    <w:rsid w:val="004D5C22"/>
    <w:rsid w:val="004D77D2"/>
    <w:rsid w:val="004E0F02"/>
    <w:rsid w:val="004E13E1"/>
    <w:rsid w:val="004E2017"/>
    <w:rsid w:val="004F15ED"/>
    <w:rsid w:val="004F2DD6"/>
    <w:rsid w:val="004F44D8"/>
    <w:rsid w:val="005001F7"/>
    <w:rsid w:val="00504F0A"/>
    <w:rsid w:val="005068C2"/>
    <w:rsid w:val="005068E0"/>
    <w:rsid w:val="00511499"/>
    <w:rsid w:val="005125D6"/>
    <w:rsid w:val="00512F50"/>
    <w:rsid w:val="005133B4"/>
    <w:rsid w:val="00513D99"/>
    <w:rsid w:val="00514724"/>
    <w:rsid w:val="005149AD"/>
    <w:rsid w:val="0052517E"/>
    <w:rsid w:val="00525CAC"/>
    <w:rsid w:val="00531805"/>
    <w:rsid w:val="00531CD1"/>
    <w:rsid w:val="005350F6"/>
    <w:rsid w:val="00535467"/>
    <w:rsid w:val="00535972"/>
    <w:rsid w:val="005404BC"/>
    <w:rsid w:val="005454C6"/>
    <w:rsid w:val="00546261"/>
    <w:rsid w:val="00550408"/>
    <w:rsid w:val="00552B56"/>
    <w:rsid w:val="0055356C"/>
    <w:rsid w:val="00553DE1"/>
    <w:rsid w:val="00554C01"/>
    <w:rsid w:val="00554C40"/>
    <w:rsid w:val="005557B6"/>
    <w:rsid w:val="00556569"/>
    <w:rsid w:val="00564413"/>
    <w:rsid w:val="00566B30"/>
    <w:rsid w:val="00570D98"/>
    <w:rsid w:val="005723A2"/>
    <w:rsid w:val="005850B7"/>
    <w:rsid w:val="00585B42"/>
    <w:rsid w:val="00591E9E"/>
    <w:rsid w:val="005929D9"/>
    <w:rsid w:val="00593BB6"/>
    <w:rsid w:val="00594982"/>
    <w:rsid w:val="0059556C"/>
    <w:rsid w:val="005974E6"/>
    <w:rsid w:val="005A5EC0"/>
    <w:rsid w:val="005A62B8"/>
    <w:rsid w:val="005A6E99"/>
    <w:rsid w:val="005C1872"/>
    <w:rsid w:val="005C594C"/>
    <w:rsid w:val="005C6A64"/>
    <w:rsid w:val="005D4C0A"/>
    <w:rsid w:val="005D53FE"/>
    <w:rsid w:val="005D77BF"/>
    <w:rsid w:val="005E21D8"/>
    <w:rsid w:val="005E27FA"/>
    <w:rsid w:val="005E3B58"/>
    <w:rsid w:val="005E44A2"/>
    <w:rsid w:val="005E5B5B"/>
    <w:rsid w:val="005F1B68"/>
    <w:rsid w:val="005F205B"/>
    <w:rsid w:val="005F3009"/>
    <w:rsid w:val="005F33A4"/>
    <w:rsid w:val="005F35E9"/>
    <w:rsid w:val="005F56FD"/>
    <w:rsid w:val="005F5AB9"/>
    <w:rsid w:val="006003CA"/>
    <w:rsid w:val="006021FB"/>
    <w:rsid w:val="0060648B"/>
    <w:rsid w:val="00611805"/>
    <w:rsid w:val="00611EF4"/>
    <w:rsid w:val="0061258C"/>
    <w:rsid w:val="00612904"/>
    <w:rsid w:val="00612B96"/>
    <w:rsid w:val="00612BFF"/>
    <w:rsid w:val="0061311D"/>
    <w:rsid w:val="00614A75"/>
    <w:rsid w:val="0061586F"/>
    <w:rsid w:val="00617D87"/>
    <w:rsid w:val="00621FDE"/>
    <w:rsid w:val="00622C8C"/>
    <w:rsid w:val="006238D6"/>
    <w:rsid w:val="00623FCF"/>
    <w:rsid w:val="00630A30"/>
    <w:rsid w:val="00631F36"/>
    <w:rsid w:val="006322BA"/>
    <w:rsid w:val="00634779"/>
    <w:rsid w:val="00637391"/>
    <w:rsid w:val="00637C58"/>
    <w:rsid w:val="006433D3"/>
    <w:rsid w:val="00645360"/>
    <w:rsid w:val="006458BE"/>
    <w:rsid w:val="00646157"/>
    <w:rsid w:val="00652B96"/>
    <w:rsid w:val="00652BD3"/>
    <w:rsid w:val="0065534F"/>
    <w:rsid w:val="00655380"/>
    <w:rsid w:val="006578EF"/>
    <w:rsid w:val="00666D57"/>
    <w:rsid w:val="00667F10"/>
    <w:rsid w:val="006717DC"/>
    <w:rsid w:val="0067255C"/>
    <w:rsid w:val="00675FE4"/>
    <w:rsid w:val="00681694"/>
    <w:rsid w:val="00683178"/>
    <w:rsid w:val="00683A43"/>
    <w:rsid w:val="00685C55"/>
    <w:rsid w:val="006865A0"/>
    <w:rsid w:val="00690F09"/>
    <w:rsid w:val="00696049"/>
    <w:rsid w:val="006A2191"/>
    <w:rsid w:val="006A236C"/>
    <w:rsid w:val="006A3F50"/>
    <w:rsid w:val="006A469C"/>
    <w:rsid w:val="006A515D"/>
    <w:rsid w:val="006A5763"/>
    <w:rsid w:val="006B1122"/>
    <w:rsid w:val="006B7313"/>
    <w:rsid w:val="006B7CAB"/>
    <w:rsid w:val="006B7ECB"/>
    <w:rsid w:val="006C0B86"/>
    <w:rsid w:val="006C1B30"/>
    <w:rsid w:val="006C2934"/>
    <w:rsid w:val="006C3E6E"/>
    <w:rsid w:val="006C5634"/>
    <w:rsid w:val="006C5FAD"/>
    <w:rsid w:val="006D10EE"/>
    <w:rsid w:val="006D5EB3"/>
    <w:rsid w:val="006D7705"/>
    <w:rsid w:val="006D7CFA"/>
    <w:rsid w:val="006F027F"/>
    <w:rsid w:val="006F1179"/>
    <w:rsid w:val="006F1674"/>
    <w:rsid w:val="006F4A93"/>
    <w:rsid w:val="006F4D91"/>
    <w:rsid w:val="006F5D78"/>
    <w:rsid w:val="00706052"/>
    <w:rsid w:val="00707AA1"/>
    <w:rsid w:val="00710F6E"/>
    <w:rsid w:val="00711C45"/>
    <w:rsid w:val="00716651"/>
    <w:rsid w:val="00717B59"/>
    <w:rsid w:val="00717CAF"/>
    <w:rsid w:val="00717D85"/>
    <w:rsid w:val="0072085A"/>
    <w:rsid w:val="00720978"/>
    <w:rsid w:val="00721469"/>
    <w:rsid w:val="007216A9"/>
    <w:rsid w:val="00722BA3"/>
    <w:rsid w:val="00724DB9"/>
    <w:rsid w:val="00726D79"/>
    <w:rsid w:val="00727DAE"/>
    <w:rsid w:val="0073380A"/>
    <w:rsid w:val="0073392D"/>
    <w:rsid w:val="007343D5"/>
    <w:rsid w:val="00734C4C"/>
    <w:rsid w:val="00737011"/>
    <w:rsid w:val="007420A8"/>
    <w:rsid w:val="00746308"/>
    <w:rsid w:val="00746850"/>
    <w:rsid w:val="007531CB"/>
    <w:rsid w:val="0075348A"/>
    <w:rsid w:val="00754CAD"/>
    <w:rsid w:val="00755514"/>
    <w:rsid w:val="00755DD2"/>
    <w:rsid w:val="00760A08"/>
    <w:rsid w:val="00760AA8"/>
    <w:rsid w:val="0076206E"/>
    <w:rsid w:val="007642EF"/>
    <w:rsid w:val="007668AA"/>
    <w:rsid w:val="007718B0"/>
    <w:rsid w:val="00773F93"/>
    <w:rsid w:val="0077662C"/>
    <w:rsid w:val="0077754F"/>
    <w:rsid w:val="007808B0"/>
    <w:rsid w:val="00780B28"/>
    <w:rsid w:val="00783004"/>
    <w:rsid w:val="00783264"/>
    <w:rsid w:val="00787973"/>
    <w:rsid w:val="00791133"/>
    <w:rsid w:val="0079322D"/>
    <w:rsid w:val="007935D9"/>
    <w:rsid w:val="007A0422"/>
    <w:rsid w:val="007A086A"/>
    <w:rsid w:val="007A0AB7"/>
    <w:rsid w:val="007A2512"/>
    <w:rsid w:val="007A3249"/>
    <w:rsid w:val="007A44BE"/>
    <w:rsid w:val="007B2CE0"/>
    <w:rsid w:val="007B492D"/>
    <w:rsid w:val="007B5F24"/>
    <w:rsid w:val="007B6248"/>
    <w:rsid w:val="007B6983"/>
    <w:rsid w:val="007B6DD1"/>
    <w:rsid w:val="007B6F2C"/>
    <w:rsid w:val="007C2AEE"/>
    <w:rsid w:val="007C3084"/>
    <w:rsid w:val="007C38CB"/>
    <w:rsid w:val="007C3AB8"/>
    <w:rsid w:val="007D3677"/>
    <w:rsid w:val="007D3BE1"/>
    <w:rsid w:val="007D3D3E"/>
    <w:rsid w:val="007D4982"/>
    <w:rsid w:val="007D4BE1"/>
    <w:rsid w:val="007D6424"/>
    <w:rsid w:val="007D73E4"/>
    <w:rsid w:val="007D7767"/>
    <w:rsid w:val="007E0C18"/>
    <w:rsid w:val="007E1936"/>
    <w:rsid w:val="007E269B"/>
    <w:rsid w:val="007E41FB"/>
    <w:rsid w:val="007E4987"/>
    <w:rsid w:val="007F2417"/>
    <w:rsid w:val="007F4B29"/>
    <w:rsid w:val="007F730B"/>
    <w:rsid w:val="008043AB"/>
    <w:rsid w:val="008053B4"/>
    <w:rsid w:val="00805964"/>
    <w:rsid w:val="00805F99"/>
    <w:rsid w:val="00807CDD"/>
    <w:rsid w:val="008110AF"/>
    <w:rsid w:val="008114AA"/>
    <w:rsid w:val="00813600"/>
    <w:rsid w:val="00814E6B"/>
    <w:rsid w:val="00815566"/>
    <w:rsid w:val="00816240"/>
    <w:rsid w:val="00816C10"/>
    <w:rsid w:val="00817163"/>
    <w:rsid w:val="00817C62"/>
    <w:rsid w:val="008232DA"/>
    <w:rsid w:val="00824BBB"/>
    <w:rsid w:val="0082537D"/>
    <w:rsid w:val="008268BC"/>
    <w:rsid w:val="008269DE"/>
    <w:rsid w:val="00827053"/>
    <w:rsid w:val="008271E5"/>
    <w:rsid w:val="00827E15"/>
    <w:rsid w:val="00832261"/>
    <w:rsid w:val="00833181"/>
    <w:rsid w:val="00840E6E"/>
    <w:rsid w:val="00841AA0"/>
    <w:rsid w:val="0084231C"/>
    <w:rsid w:val="00844472"/>
    <w:rsid w:val="00845940"/>
    <w:rsid w:val="0084645B"/>
    <w:rsid w:val="00852E55"/>
    <w:rsid w:val="00855C77"/>
    <w:rsid w:val="008570BC"/>
    <w:rsid w:val="00860C1D"/>
    <w:rsid w:val="00860E3B"/>
    <w:rsid w:val="00861855"/>
    <w:rsid w:val="00861EE5"/>
    <w:rsid w:val="008628FA"/>
    <w:rsid w:val="008658D9"/>
    <w:rsid w:val="00872CAE"/>
    <w:rsid w:val="008736A7"/>
    <w:rsid w:val="00875221"/>
    <w:rsid w:val="008776BF"/>
    <w:rsid w:val="00877E49"/>
    <w:rsid w:val="00881A09"/>
    <w:rsid w:val="00883D17"/>
    <w:rsid w:val="00883FCC"/>
    <w:rsid w:val="0088458F"/>
    <w:rsid w:val="0088527D"/>
    <w:rsid w:val="0088609A"/>
    <w:rsid w:val="008878DD"/>
    <w:rsid w:val="008921CF"/>
    <w:rsid w:val="00895C8B"/>
    <w:rsid w:val="008A0788"/>
    <w:rsid w:val="008A1287"/>
    <w:rsid w:val="008B2AD4"/>
    <w:rsid w:val="008B7F66"/>
    <w:rsid w:val="008C478D"/>
    <w:rsid w:val="008C5A5C"/>
    <w:rsid w:val="008C66ED"/>
    <w:rsid w:val="008D00BB"/>
    <w:rsid w:val="008D5358"/>
    <w:rsid w:val="008E0026"/>
    <w:rsid w:val="008E1A98"/>
    <w:rsid w:val="008E250B"/>
    <w:rsid w:val="008E45F2"/>
    <w:rsid w:val="008E53F7"/>
    <w:rsid w:val="008E5C98"/>
    <w:rsid w:val="008E6911"/>
    <w:rsid w:val="008F0674"/>
    <w:rsid w:val="008F1B09"/>
    <w:rsid w:val="008F1F67"/>
    <w:rsid w:val="008F236C"/>
    <w:rsid w:val="008F48BC"/>
    <w:rsid w:val="008F534A"/>
    <w:rsid w:val="00900ACF"/>
    <w:rsid w:val="00902917"/>
    <w:rsid w:val="00905C0B"/>
    <w:rsid w:val="0091313C"/>
    <w:rsid w:val="00915652"/>
    <w:rsid w:val="00916F03"/>
    <w:rsid w:val="009176BC"/>
    <w:rsid w:val="00920926"/>
    <w:rsid w:val="00920B6E"/>
    <w:rsid w:val="00920D9E"/>
    <w:rsid w:val="0092140E"/>
    <w:rsid w:val="00922277"/>
    <w:rsid w:val="00922B13"/>
    <w:rsid w:val="00922C87"/>
    <w:rsid w:val="00925CDF"/>
    <w:rsid w:val="00925DA8"/>
    <w:rsid w:val="00927E8E"/>
    <w:rsid w:val="009345D7"/>
    <w:rsid w:val="00935033"/>
    <w:rsid w:val="0094086A"/>
    <w:rsid w:val="0094472C"/>
    <w:rsid w:val="00945A4A"/>
    <w:rsid w:val="00955C88"/>
    <w:rsid w:val="00957ADC"/>
    <w:rsid w:val="00960242"/>
    <w:rsid w:val="00964411"/>
    <w:rsid w:val="00964B1E"/>
    <w:rsid w:val="0096619A"/>
    <w:rsid w:val="0097268D"/>
    <w:rsid w:val="009730A5"/>
    <w:rsid w:val="009744AC"/>
    <w:rsid w:val="00977D95"/>
    <w:rsid w:val="0098112A"/>
    <w:rsid w:val="0098655C"/>
    <w:rsid w:val="009909BB"/>
    <w:rsid w:val="0099276B"/>
    <w:rsid w:val="00992E62"/>
    <w:rsid w:val="00993E11"/>
    <w:rsid w:val="009948D9"/>
    <w:rsid w:val="009954CF"/>
    <w:rsid w:val="009974C3"/>
    <w:rsid w:val="00997789"/>
    <w:rsid w:val="009A0749"/>
    <w:rsid w:val="009A0936"/>
    <w:rsid w:val="009A1C06"/>
    <w:rsid w:val="009B0325"/>
    <w:rsid w:val="009B0441"/>
    <w:rsid w:val="009B0A71"/>
    <w:rsid w:val="009B1022"/>
    <w:rsid w:val="009B1DDF"/>
    <w:rsid w:val="009B1F24"/>
    <w:rsid w:val="009B4465"/>
    <w:rsid w:val="009B5C8F"/>
    <w:rsid w:val="009C08F7"/>
    <w:rsid w:val="009C2FAB"/>
    <w:rsid w:val="009C4AF3"/>
    <w:rsid w:val="009C740A"/>
    <w:rsid w:val="009C7577"/>
    <w:rsid w:val="009D0351"/>
    <w:rsid w:val="009D24BC"/>
    <w:rsid w:val="009D3B45"/>
    <w:rsid w:val="009E1898"/>
    <w:rsid w:val="009E3321"/>
    <w:rsid w:val="009E347D"/>
    <w:rsid w:val="009E46AA"/>
    <w:rsid w:val="009E6500"/>
    <w:rsid w:val="009E6874"/>
    <w:rsid w:val="009F0721"/>
    <w:rsid w:val="009F278D"/>
    <w:rsid w:val="009F2F70"/>
    <w:rsid w:val="009F7902"/>
    <w:rsid w:val="00A01291"/>
    <w:rsid w:val="00A021E7"/>
    <w:rsid w:val="00A10519"/>
    <w:rsid w:val="00A10D63"/>
    <w:rsid w:val="00A144B4"/>
    <w:rsid w:val="00A14512"/>
    <w:rsid w:val="00A16B26"/>
    <w:rsid w:val="00A20ACE"/>
    <w:rsid w:val="00A21306"/>
    <w:rsid w:val="00A224FD"/>
    <w:rsid w:val="00A24E49"/>
    <w:rsid w:val="00A27CF9"/>
    <w:rsid w:val="00A3075F"/>
    <w:rsid w:val="00A31770"/>
    <w:rsid w:val="00A33EF7"/>
    <w:rsid w:val="00A34010"/>
    <w:rsid w:val="00A35D76"/>
    <w:rsid w:val="00A36536"/>
    <w:rsid w:val="00A368ED"/>
    <w:rsid w:val="00A40270"/>
    <w:rsid w:val="00A4055D"/>
    <w:rsid w:val="00A43B36"/>
    <w:rsid w:val="00A4406E"/>
    <w:rsid w:val="00A4636C"/>
    <w:rsid w:val="00A53A85"/>
    <w:rsid w:val="00A53A90"/>
    <w:rsid w:val="00A54BE9"/>
    <w:rsid w:val="00A54E69"/>
    <w:rsid w:val="00A57530"/>
    <w:rsid w:val="00A63BE8"/>
    <w:rsid w:val="00A654B0"/>
    <w:rsid w:val="00A679FF"/>
    <w:rsid w:val="00A70F7F"/>
    <w:rsid w:val="00A71AFA"/>
    <w:rsid w:val="00A7274C"/>
    <w:rsid w:val="00A75BFE"/>
    <w:rsid w:val="00A77204"/>
    <w:rsid w:val="00A8162A"/>
    <w:rsid w:val="00A85C6D"/>
    <w:rsid w:val="00A87F9F"/>
    <w:rsid w:val="00A937D8"/>
    <w:rsid w:val="00A9464B"/>
    <w:rsid w:val="00A96680"/>
    <w:rsid w:val="00A972DE"/>
    <w:rsid w:val="00AA064E"/>
    <w:rsid w:val="00AA0BBE"/>
    <w:rsid w:val="00AA47AF"/>
    <w:rsid w:val="00AA5C27"/>
    <w:rsid w:val="00AA64A8"/>
    <w:rsid w:val="00AB0E7E"/>
    <w:rsid w:val="00AB2152"/>
    <w:rsid w:val="00AB3DA4"/>
    <w:rsid w:val="00AB4A18"/>
    <w:rsid w:val="00AB58DB"/>
    <w:rsid w:val="00AB5BD1"/>
    <w:rsid w:val="00AB60D3"/>
    <w:rsid w:val="00AB6226"/>
    <w:rsid w:val="00AC20C2"/>
    <w:rsid w:val="00AC4404"/>
    <w:rsid w:val="00AC504B"/>
    <w:rsid w:val="00AC64F7"/>
    <w:rsid w:val="00AD00C8"/>
    <w:rsid w:val="00AD0C72"/>
    <w:rsid w:val="00AD0DC0"/>
    <w:rsid w:val="00AD40B4"/>
    <w:rsid w:val="00AD4D85"/>
    <w:rsid w:val="00AD5F4D"/>
    <w:rsid w:val="00AD60AB"/>
    <w:rsid w:val="00AD6FB8"/>
    <w:rsid w:val="00AE1F07"/>
    <w:rsid w:val="00AE21C1"/>
    <w:rsid w:val="00AE5426"/>
    <w:rsid w:val="00AE5F82"/>
    <w:rsid w:val="00AE6C61"/>
    <w:rsid w:val="00AF06D4"/>
    <w:rsid w:val="00AF0E46"/>
    <w:rsid w:val="00AF0F9D"/>
    <w:rsid w:val="00AF404E"/>
    <w:rsid w:val="00AF4270"/>
    <w:rsid w:val="00AF6B28"/>
    <w:rsid w:val="00B12539"/>
    <w:rsid w:val="00B14868"/>
    <w:rsid w:val="00B16CFC"/>
    <w:rsid w:val="00B16E71"/>
    <w:rsid w:val="00B27C6C"/>
    <w:rsid w:val="00B31793"/>
    <w:rsid w:val="00B41ECA"/>
    <w:rsid w:val="00B44751"/>
    <w:rsid w:val="00B45CF8"/>
    <w:rsid w:val="00B4771F"/>
    <w:rsid w:val="00B47780"/>
    <w:rsid w:val="00B503E9"/>
    <w:rsid w:val="00B5326E"/>
    <w:rsid w:val="00B54034"/>
    <w:rsid w:val="00B549CC"/>
    <w:rsid w:val="00B57F3F"/>
    <w:rsid w:val="00B62F69"/>
    <w:rsid w:val="00B65D44"/>
    <w:rsid w:val="00B66A80"/>
    <w:rsid w:val="00B66FC9"/>
    <w:rsid w:val="00B70720"/>
    <w:rsid w:val="00B71439"/>
    <w:rsid w:val="00B72815"/>
    <w:rsid w:val="00B73CA6"/>
    <w:rsid w:val="00B74C48"/>
    <w:rsid w:val="00B8028D"/>
    <w:rsid w:val="00B83061"/>
    <w:rsid w:val="00B83A45"/>
    <w:rsid w:val="00B85698"/>
    <w:rsid w:val="00B85770"/>
    <w:rsid w:val="00B86CCA"/>
    <w:rsid w:val="00B87091"/>
    <w:rsid w:val="00B92B61"/>
    <w:rsid w:val="00B955C4"/>
    <w:rsid w:val="00B95975"/>
    <w:rsid w:val="00B95DB2"/>
    <w:rsid w:val="00B967FF"/>
    <w:rsid w:val="00B97C8B"/>
    <w:rsid w:val="00BA38C5"/>
    <w:rsid w:val="00BA5B97"/>
    <w:rsid w:val="00BA7EB0"/>
    <w:rsid w:val="00BB1872"/>
    <w:rsid w:val="00BB20C0"/>
    <w:rsid w:val="00BB2514"/>
    <w:rsid w:val="00BB56EE"/>
    <w:rsid w:val="00BB57B4"/>
    <w:rsid w:val="00BB74BA"/>
    <w:rsid w:val="00BC2536"/>
    <w:rsid w:val="00BC2684"/>
    <w:rsid w:val="00BC4065"/>
    <w:rsid w:val="00BC4FE5"/>
    <w:rsid w:val="00BD0946"/>
    <w:rsid w:val="00BD21BB"/>
    <w:rsid w:val="00BD3311"/>
    <w:rsid w:val="00BE1492"/>
    <w:rsid w:val="00BE1CB8"/>
    <w:rsid w:val="00BE6D3E"/>
    <w:rsid w:val="00BF3129"/>
    <w:rsid w:val="00BF4FD1"/>
    <w:rsid w:val="00BF5B22"/>
    <w:rsid w:val="00C00E92"/>
    <w:rsid w:val="00C02031"/>
    <w:rsid w:val="00C03A3D"/>
    <w:rsid w:val="00C04646"/>
    <w:rsid w:val="00C04E94"/>
    <w:rsid w:val="00C0584F"/>
    <w:rsid w:val="00C079C8"/>
    <w:rsid w:val="00C12DFA"/>
    <w:rsid w:val="00C13228"/>
    <w:rsid w:val="00C133C5"/>
    <w:rsid w:val="00C136BB"/>
    <w:rsid w:val="00C1563F"/>
    <w:rsid w:val="00C16FBD"/>
    <w:rsid w:val="00C177D8"/>
    <w:rsid w:val="00C17F0E"/>
    <w:rsid w:val="00C21729"/>
    <w:rsid w:val="00C22235"/>
    <w:rsid w:val="00C23577"/>
    <w:rsid w:val="00C25A44"/>
    <w:rsid w:val="00C265B7"/>
    <w:rsid w:val="00C26F92"/>
    <w:rsid w:val="00C31E84"/>
    <w:rsid w:val="00C321A8"/>
    <w:rsid w:val="00C32553"/>
    <w:rsid w:val="00C35054"/>
    <w:rsid w:val="00C3548C"/>
    <w:rsid w:val="00C36C5A"/>
    <w:rsid w:val="00C370B2"/>
    <w:rsid w:val="00C37446"/>
    <w:rsid w:val="00C41E1C"/>
    <w:rsid w:val="00C426CA"/>
    <w:rsid w:val="00C433AA"/>
    <w:rsid w:val="00C461EE"/>
    <w:rsid w:val="00C504BD"/>
    <w:rsid w:val="00C51474"/>
    <w:rsid w:val="00C56CA4"/>
    <w:rsid w:val="00C57736"/>
    <w:rsid w:val="00C65C5E"/>
    <w:rsid w:val="00C73EF1"/>
    <w:rsid w:val="00C76DBC"/>
    <w:rsid w:val="00C80579"/>
    <w:rsid w:val="00C8298F"/>
    <w:rsid w:val="00C82B7A"/>
    <w:rsid w:val="00C93020"/>
    <w:rsid w:val="00C948F5"/>
    <w:rsid w:val="00C96878"/>
    <w:rsid w:val="00CA609D"/>
    <w:rsid w:val="00CB033F"/>
    <w:rsid w:val="00CB2A83"/>
    <w:rsid w:val="00CB47E7"/>
    <w:rsid w:val="00CC06C9"/>
    <w:rsid w:val="00CC16DD"/>
    <w:rsid w:val="00CC1A00"/>
    <w:rsid w:val="00CC36C9"/>
    <w:rsid w:val="00CC76A6"/>
    <w:rsid w:val="00CC7A40"/>
    <w:rsid w:val="00CD05E3"/>
    <w:rsid w:val="00CD5547"/>
    <w:rsid w:val="00CD6F35"/>
    <w:rsid w:val="00CE47AA"/>
    <w:rsid w:val="00CF5451"/>
    <w:rsid w:val="00D0130B"/>
    <w:rsid w:val="00D02F3F"/>
    <w:rsid w:val="00D0512B"/>
    <w:rsid w:val="00D054F1"/>
    <w:rsid w:val="00D11096"/>
    <w:rsid w:val="00D15D1A"/>
    <w:rsid w:val="00D163B7"/>
    <w:rsid w:val="00D2437D"/>
    <w:rsid w:val="00D2527A"/>
    <w:rsid w:val="00D258BF"/>
    <w:rsid w:val="00D265E6"/>
    <w:rsid w:val="00D27133"/>
    <w:rsid w:val="00D27504"/>
    <w:rsid w:val="00D30C18"/>
    <w:rsid w:val="00D30FB6"/>
    <w:rsid w:val="00D326B4"/>
    <w:rsid w:val="00D3281A"/>
    <w:rsid w:val="00D34578"/>
    <w:rsid w:val="00D352FA"/>
    <w:rsid w:val="00D36480"/>
    <w:rsid w:val="00D36C08"/>
    <w:rsid w:val="00D50F82"/>
    <w:rsid w:val="00D51BF9"/>
    <w:rsid w:val="00D52FCB"/>
    <w:rsid w:val="00D53730"/>
    <w:rsid w:val="00D539DB"/>
    <w:rsid w:val="00D54329"/>
    <w:rsid w:val="00D546BD"/>
    <w:rsid w:val="00D5519C"/>
    <w:rsid w:val="00D56873"/>
    <w:rsid w:val="00D56E17"/>
    <w:rsid w:val="00D6085F"/>
    <w:rsid w:val="00D617B3"/>
    <w:rsid w:val="00D62F56"/>
    <w:rsid w:val="00D639C0"/>
    <w:rsid w:val="00D63D65"/>
    <w:rsid w:val="00D65A1B"/>
    <w:rsid w:val="00D65D91"/>
    <w:rsid w:val="00D65E92"/>
    <w:rsid w:val="00D70FF2"/>
    <w:rsid w:val="00D73ECE"/>
    <w:rsid w:val="00D77527"/>
    <w:rsid w:val="00D81DD8"/>
    <w:rsid w:val="00D85585"/>
    <w:rsid w:val="00D85AD0"/>
    <w:rsid w:val="00D90057"/>
    <w:rsid w:val="00D932C4"/>
    <w:rsid w:val="00D936DC"/>
    <w:rsid w:val="00D97B21"/>
    <w:rsid w:val="00DA184D"/>
    <w:rsid w:val="00DA4AD2"/>
    <w:rsid w:val="00DA6F81"/>
    <w:rsid w:val="00DB210B"/>
    <w:rsid w:val="00DB39AC"/>
    <w:rsid w:val="00DB3E3C"/>
    <w:rsid w:val="00DB52C3"/>
    <w:rsid w:val="00DB539D"/>
    <w:rsid w:val="00DB7F1C"/>
    <w:rsid w:val="00DC009C"/>
    <w:rsid w:val="00DC0850"/>
    <w:rsid w:val="00DC264B"/>
    <w:rsid w:val="00DC4852"/>
    <w:rsid w:val="00DD15E2"/>
    <w:rsid w:val="00DD3AFF"/>
    <w:rsid w:val="00DD44BA"/>
    <w:rsid w:val="00DE248C"/>
    <w:rsid w:val="00DE2823"/>
    <w:rsid w:val="00DF15F8"/>
    <w:rsid w:val="00DF347E"/>
    <w:rsid w:val="00DF45AF"/>
    <w:rsid w:val="00DF4686"/>
    <w:rsid w:val="00DF5BA5"/>
    <w:rsid w:val="00DF5D4B"/>
    <w:rsid w:val="00E012C3"/>
    <w:rsid w:val="00E01379"/>
    <w:rsid w:val="00E02010"/>
    <w:rsid w:val="00E037DA"/>
    <w:rsid w:val="00E03F4F"/>
    <w:rsid w:val="00E05001"/>
    <w:rsid w:val="00E12627"/>
    <w:rsid w:val="00E16D1C"/>
    <w:rsid w:val="00E174C5"/>
    <w:rsid w:val="00E17B68"/>
    <w:rsid w:val="00E22BEE"/>
    <w:rsid w:val="00E23259"/>
    <w:rsid w:val="00E24820"/>
    <w:rsid w:val="00E267CA"/>
    <w:rsid w:val="00E2726E"/>
    <w:rsid w:val="00E30D5A"/>
    <w:rsid w:val="00E33682"/>
    <w:rsid w:val="00E33936"/>
    <w:rsid w:val="00E34A33"/>
    <w:rsid w:val="00E35149"/>
    <w:rsid w:val="00E35D02"/>
    <w:rsid w:val="00E36261"/>
    <w:rsid w:val="00E3630A"/>
    <w:rsid w:val="00E46DC9"/>
    <w:rsid w:val="00E534BD"/>
    <w:rsid w:val="00E55465"/>
    <w:rsid w:val="00E56976"/>
    <w:rsid w:val="00E57225"/>
    <w:rsid w:val="00E57239"/>
    <w:rsid w:val="00E60A31"/>
    <w:rsid w:val="00E60C6F"/>
    <w:rsid w:val="00E638C9"/>
    <w:rsid w:val="00E63E23"/>
    <w:rsid w:val="00E65269"/>
    <w:rsid w:val="00E65FC5"/>
    <w:rsid w:val="00E70610"/>
    <w:rsid w:val="00E708F3"/>
    <w:rsid w:val="00E74846"/>
    <w:rsid w:val="00E75423"/>
    <w:rsid w:val="00E75717"/>
    <w:rsid w:val="00E76ACF"/>
    <w:rsid w:val="00E831D5"/>
    <w:rsid w:val="00E83787"/>
    <w:rsid w:val="00E850C0"/>
    <w:rsid w:val="00E91251"/>
    <w:rsid w:val="00E91CB9"/>
    <w:rsid w:val="00E94631"/>
    <w:rsid w:val="00E9691D"/>
    <w:rsid w:val="00EA2BD0"/>
    <w:rsid w:val="00EA3502"/>
    <w:rsid w:val="00EA3F2D"/>
    <w:rsid w:val="00EB0E6D"/>
    <w:rsid w:val="00EB5BC9"/>
    <w:rsid w:val="00EB7E1C"/>
    <w:rsid w:val="00EB7F45"/>
    <w:rsid w:val="00EC1642"/>
    <w:rsid w:val="00EC20CC"/>
    <w:rsid w:val="00EC6A4E"/>
    <w:rsid w:val="00ED381F"/>
    <w:rsid w:val="00ED3DF1"/>
    <w:rsid w:val="00ED497E"/>
    <w:rsid w:val="00EE22C8"/>
    <w:rsid w:val="00EE27F6"/>
    <w:rsid w:val="00EE326F"/>
    <w:rsid w:val="00EF0D9E"/>
    <w:rsid w:val="00EF4005"/>
    <w:rsid w:val="00EF6ACC"/>
    <w:rsid w:val="00F010A9"/>
    <w:rsid w:val="00F01CC6"/>
    <w:rsid w:val="00F02B7D"/>
    <w:rsid w:val="00F02DAA"/>
    <w:rsid w:val="00F03C18"/>
    <w:rsid w:val="00F05E03"/>
    <w:rsid w:val="00F06DCF"/>
    <w:rsid w:val="00F06F0A"/>
    <w:rsid w:val="00F121CA"/>
    <w:rsid w:val="00F12FFD"/>
    <w:rsid w:val="00F13209"/>
    <w:rsid w:val="00F14241"/>
    <w:rsid w:val="00F24A4D"/>
    <w:rsid w:val="00F257E8"/>
    <w:rsid w:val="00F25F7E"/>
    <w:rsid w:val="00F268B7"/>
    <w:rsid w:val="00F272BD"/>
    <w:rsid w:val="00F3738A"/>
    <w:rsid w:val="00F37B93"/>
    <w:rsid w:val="00F4276B"/>
    <w:rsid w:val="00F502E1"/>
    <w:rsid w:val="00F51B71"/>
    <w:rsid w:val="00F52621"/>
    <w:rsid w:val="00F5333F"/>
    <w:rsid w:val="00F53345"/>
    <w:rsid w:val="00F53CE9"/>
    <w:rsid w:val="00F549AD"/>
    <w:rsid w:val="00F63959"/>
    <w:rsid w:val="00F63D34"/>
    <w:rsid w:val="00F64C8A"/>
    <w:rsid w:val="00F65581"/>
    <w:rsid w:val="00F752B4"/>
    <w:rsid w:val="00F76019"/>
    <w:rsid w:val="00F8019B"/>
    <w:rsid w:val="00F81CC4"/>
    <w:rsid w:val="00F86F01"/>
    <w:rsid w:val="00F871BD"/>
    <w:rsid w:val="00F8744E"/>
    <w:rsid w:val="00F90173"/>
    <w:rsid w:val="00F90D88"/>
    <w:rsid w:val="00F921CF"/>
    <w:rsid w:val="00F9256E"/>
    <w:rsid w:val="00F92845"/>
    <w:rsid w:val="00F93B35"/>
    <w:rsid w:val="00F94427"/>
    <w:rsid w:val="00F94D81"/>
    <w:rsid w:val="00F9553E"/>
    <w:rsid w:val="00F96CB3"/>
    <w:rsid w:val="00FA1348"/>
    <w:rsid w:val="00FA44A9"/>
    <w:rsid w:val="00FA6336"/>
    <w:rsid w:val="00FA65E6"/>
    <w:rsid w:val="00FA75A3"/>
    <w:rsid w:val="00FB10F6"/>
    <w:rsid w:val="00FB1A6A"/>
    <w:rsid w:val="00FB76CB"/>
    <w:rsid w:val="00FC0718"/>
    <w:rsid w:val="00FC0A5A"/>
    <w:rsid w:val="00FC2A92"/>
    <w:rsid w:val="00FC5596"/>
    <w:rsid w:val="00FD141D"/>
    <w:rsid w:val="00FD1F42"/>
    <w:rsid w:val="00FD4C22"/>
    <w:rsid w:val="00FD53D7"/>
    <w:rsid w:val="00FD71C1"/>
    <w:rsid w:val="00FE36E0"/>
    <w:rsid w:val="00FE4453"/>
    <w:rsid w:val="00FE589A"/>
    <w:rsid w:val="00FE78EE"/>
    <w:rsid w:val="00FF148E"/>
    <w:rsid w:val="00FF3558"/>
    <w:rsid w:val="00FF435D"/>
    <w:rsid w:val="00FF5BB8"/>
    <w:rsid w:val="00FF5E42"/>
    <w:rsid w:val="00FF69A2"/>
    <w:rsid w:val="00FF6EB7"/>
    <w:rsid w:val="00FF7173"/>
    <w:rsid w:val="00FF7A81"/>
    <w:rsid w:val="041C007B"/>
    <w:rsid w:val="045E5B97"/>
    <w:rsid w:val="06A97C02"/>
    <w:rsid w:val="07835749"/>
    <w:rsid w:val="07C043A2"/>
    <w:rsid w:val="08AC16F7"/>
    <w:rsid w:val="0AE8450D"/>
    <w:rsid w:val="0C063013"/>
    <w:rsid w:val="0C637445"/>
    <w:rsid w:val="0D2D6EF4"/>
    <w:rsid w:val="0D8812A8"/>
    <w:rsid w:val="0E1830CF"/>
    <w:rsid w:val="0E3B1045"/>
    <w:rsid w:val="0FFC7D89"/>
    <w:rsid w:val="10E82A8A"/>
    <w:rsid w:val="13821E79"/>
    <w:rsid w:val="14643D5A"/>
    <w:rsid w:val="14DF0AA4"/>
    <w:rsid w:val="16753FFC"/>
    <w:rsid w:val="167F6351"/>
    <w:rsid w:val="18485C73"/>
    <w:rsid w:val="1875452B"/>
    <w:rsid w:val="1A300DC6"/>
    <w:rsid w:val="1A3B555D"/>
    <w:rsid w:val="1ACF215C"/>
    <w:rsid w:val="1B696202"/>
    <w:rsid w:val="1C5D4A83"/>
    <w:rsid w:val="1CF32AAB"/>
    <w:rsid w:val="1CF97E15"/>
    <w:rsid w:val="1DF7565B"/>
    <w:rsid w:val="1F5F8754"/>
    <w:rsid w:val="1F8B1095"/>
    <w:rsid w:val="1FDFF59E"/>
    <w:rsid w:val="1FE340AA"/>
    <w:rsid w:val="1FE7A54B"/>
    <w:rsid w:val="21825E94"/>
    <w:rsid w:val="224D7A95"/>
    <w:rsid w:val="23534B15"/>
    <w:rsid w:val="23B14E2C"/>
    <w:rsid w:val="23F23130"/>
    <w:rsid w:val="250652B8"/>
    <w:rsid w:val="26F2FCBC"/>
    <w:rsid w:val="2801558A"/>
    <w:rsid w:val="2BB34E5E"/>
    <w:rsid w:val="2BDD46C6"/>
    <w:rsid w:val="2CA3251F"/>
    <w:rsid w:val="2D56AFE0"/>
    <w:rsid w:val="2F44344B"/>
    <w:rsid w:val="2FA216DB"/>
    <w:rsid w:val="31CE3E78"/>
    <w:rsid w:val="32DF14A3"/>
    <w:rsid w:val="332FB943"/>
    <w:rsid w:val="3393A2F8"/>
    <w:rsid w:val="35CCB24E"/>
    <w:rsid w:val="36150E2C"/>
    <w:rsid w:val="3681011A"/>
    <w:rsid w:val="3728671F"/>
    <w:rsid w:val="37D320DB"/>
    <w:rsid w:val="37FF0C21"/>
    <w:rsid w:val="39DF3DD1"/>
    <w:rsid w:val="3ADE558F"/>
    <w:rsid w:val="3B5A08A1"/>
    <w:rsid w:val="3BD66A3C"/>
    <w:rsid w:val="3CBE3B78"/>
    <w:rsid w:val="3CC50F8A"/>
    <w:rsid w:val="3DF9C4E8"/>
    <w:rsid w:val="3E77B01E"/>
    <w:rsid w:val="3EFFC2C2"/>
    <w:rsid w:val="3F7F3E92"/>
    <w:rsid w:val="3FABB30A"/>
    <w:rsid w:val="3FB51A72"/>
    <w:rsid w:val="3FBF3BA1"/>
    <w:rsid w:val="3FBFD719"/>
    <w:rsid w:val="3FE79666"/>
    <w:rsid w:val="3FEAB338"/>
    <w:rsid w:val="3FFF0623"/>
    <w:rsid w:val="409B5382"/>
    <w:rsid w:val="412C60F6"/>
    <w:rsid w:val="41780CC1"/>
    <w:rsid w:val="41F44B61"/>
    <w:rsid w:val="42004812"/>
    <w:rsid w:val="42C34E0B"/>
    <w:rsid w:val="43302655"/>
    <w:rsid w:val="435C1CD1"/>
    <w:rsid w:val="47BE4914"/>
    <w:rsid w:val="4A9E7283"/>
    <w:rsid w:val="4B7F372D"/>
    <w:rsid w:val="4C7F4F05"/>
    <w:rsid w:val="4D1333DC"/>
    <w:rsid w:val="4DC71AF2"/>
    <w:rsid w:val="4DD059E1"/>
    <w:rsid w:val="4EB75275"/>
    <w:rsid w:val="4EF3C3D7"/>
    <w:rsid w:val="4F87FC70"/>
    <w:rsid w:val="4FDFC5B1"/>
    <w:rsid w:val="4FFED951"/>
    <w:rsid w:val="4FFF5DE8"/>
    <w:rsid w:val="50466608"/>
    <w:rsid w:val="50B54D9E"/>
    <w:rsid w:val="50C45053"/>
    <w:rsid w:val="50DF623B"/>
    <w:rsid w:val="51D00906"/>
    <w:rsid w:val="51F56DAA"/>
    <w:rsid w:val="565FC184"/>
    <w:rsid w:val="566A1C30"/>
    <w:rsid w:val="587A0A23"/>
    <w:rsid w:val="5B432628"/>
    <w:rsid w:val="5C3845D2"/>
    <w:rsid w:val="5C3C280C"/>
    <w:rsid w:val="5CD53824"/>
    <w:rsid w:val="5DEFAAEF"/>
    <w:rsid w:val="5DFF1247"/>
    <w:rsid w:val="5E0A6681"/>
    <w:rsid w:val="5EAFD95A"/>
    <w:rsid w:val="5EDE39A5"/>
    <w:rsid w:val="5EE6B584"/>
    <w:rsid w:val="5EF6E695"/>
    <w:rsid w:val="5F1FD7F2"/>
    <w:rsid w:val="5F301063"/>
    <w:rsid w:val="5FC80BA6"/>
    <w:rsid w:val="605C1B48"/>
    <w:rsid w:val="62E53A6B"/>
    <w:rsid w:val="63BF0FD5"/>
    <w:rsid w:val="6405390E"/>
    <w:rsid w:val="65F5138C"/>
    <w:rsid w:val="687F3A74"/>
    <w:rsid w:val="6AFFFA91"/>
    <w:rsid w:val="6BC54DA1"/>
    <w:rsid w:val="6C143822"/>
    <w:rsid w:val="6CEC045B"/>
    <w:rsid w:val="6D3F3A55"/>
    <w:rsid w:val="6EFA741C"/>
    <w:rsid w:val="6EFF7F9F"/>
    <w:rsid w:val="6F3B4C8B"/>
    <w:rsid w:val="6F3D30B8"/>
    <w:rsid w:val="6FB65073"/>
    <w:rsid w:val="6FB773E9"/>
    <w:rsid w:val="6FCD1981"/>
    <w:rsid w:val="6FDF3EA2"/>
    <w:rsid w:val="6FEB0F4A"/>
    <w:rsid w:val="6FFF5497"/>
    <w:rsid w:val="70EA1F50"/>
    <w:rsid w:val="723859A3"/>
    <w:rsid w:val="730FCA38"/>
    <w:rsid w:val="73FEF467"/>
    <w:rsid w:val="7558480C"/>
    <w:rsid w:val="7565719A"/>
    <w:rsid w:val="756C5A99"/>
    <w:rsid w:val="7573F5B0"/>
    <w:rsid w:val="75860645"/>
    <w:rsid w:val="75D30962"/>
    <w:rsid w:val="763F2C2B"/>
    <w:rsid w:val="76706E6B"/>
    <w:rsid w:val="76FB7121"/>
    <w:rsid w:val="76FD18B0"/>
    <w:rsid w:val="77B3634D"/>
    <w:rsid w:val="77EF5406"/>
    <w:rsid w:val="78197309"/>
    <w:rsid w:val="79AB7579"/>
    <w:rsid w:val="79AF0A6F"/>
    <w:rsid w:val="7A3FA787"/>
    <w:rsid w:val="7A9DF825"/>
    <w:rsid w:val="7A9E5E35"/>
    <w:rsid w:val="7ABA2EB3"/>
    <w:rsid w:val="7AE9D805"/>
    <w:rsid w:val="7AFE5E89"/>
    <w:rsid w:val="7AFEF547"/>
    <w:rsid w:val="7B79EECB"/>
    <w:rsid w:val="7B7F65CA"/>
    <w:rsid w:val="7BAF4DD9"/>
    <w:rsid w:val="7BF7CF09"/>
    <w:rsid w:val="7BFF646B"/>
    <w:rsid w:val="7D4F39E4"/>
    <w:rsid w:val="7D6D416D"/>
    <w:rsid w:val="7D7102CE"/>
    <w:rsid w:val="7DE6ED10"/>
    <w:rsid w:val="7DEC30CC"/>
    <w:rsid w:val="7DFFA83C"/>
    <w:rsid w:val="7DFFA8EF"/>
    <w:rsid w:val="7E072210"/>
    <w:rsid w:val="7E577471"/>
    <w:rsid w:val="7E6DC9FC"/>
    <w:rsid w:val="7E732708"/>
    <w:rsid w:val="7E972F83"/>
    <w:rsid w:val="7EDA000F"/>
    <w:rsid w:val="7EFF1623"/>
    <w:rsid w:val="7EFF7174"/>
    <w:rsid w:val="7F0E03F5"/>
    <w:rsid w:val="7F4B31C4"/>
    <w:rsid w:val="7F7B9785"/>
    <w:rsid w:val="7F7D3D13"/>
    <w:rsid w:val="7F7F3C4F"/>
    <w:rsid w:val="7F9757C3"/>
    <w:rsid w:val="7F99D5C7"/>
    <w:rsid w:val="7F9B7F1A"/>
    <w:rsid w:val="7FB690B8"/>
    <w:rsid w:val="7FBF0ADF"/>
    <w:rsid w:val="7FCF3348"/>
    <w:rsid w:val="7FD31305"/>
    <w:rsid w:val="7FD7F622"/>
    <w:rsid w:val="7FD9E035"/>
    <w:rsid w:val="7FE76CB5"/>
    <w:rsid w:val="7FF07599"/>
    <w:rsid w:val="7FF76CE7"/>
    <w:rsid w:val="7FFDFD0B"/>
    <w:rsid w:val="7FFF63D0"/>
    <w:rsid w:val="7FFFA423"/>
    <w:rsid w:val="86A7E641"/>
    <w:rsid w:val="8A0E4FCF"/>
    <w:rsid w:val="92FB6BCC"/>
    <w:rsid w:val="9A5EBDAF"/>
    <w:rsid w:val="9A7223CB"/>
    <w:rsid w:val="9BEF08AB"/>
    <w:rsid w:val="9BF76643"/>
    <w:rsid w:val="9DBF44AB"/>
    <w:rsid w:val="9DD73580"/>
    <w:rsid w:val="9ED370F5"/>
    <w:rsid w:val="9F672F09"/>
    <w:rsid w:val="9FC6DC50"/>
    <w:rsid w:val="9FE50B82"/>
    <w:rsid w:val="A3B7C915"/>
    <w:rsid w:val="A5DED024"/>
    <w:rsid w:val="A5FC00EC"/>
    <w:rsid w:val="A6EB04AA"/>
    <w:rsid w:val="A77BC3C4"/>
    <w:rsid w:val="ABBB6759"/>
    <w:rsid w:val="ABDD2C68"/>
    <w:rsid w:val="AD722973"/>
    <w:rsid w:val="ADFFE960"/>
    <w:rsid w:val="AFE76542"/>
    <w:rsid w:val="B5BDA3CD"/>
    <w:rsid w:val="B5DE5222"/>
    <w:rsid w:val="B6FF19DB"/>
    <w:rsid w:val="B7AD0A7B"/>
    <w:rsid w:val="B7FF8260"/>
    <w:rsid w:val="B8F6F878"/>
    <w:rsid w:val="BB5E7439"/>
    <w:rsid w:val="BBDA28D3"/>
    <w:rsid w:val="BBFD4F70"/>
    <w:rsid w:val="BBFED352"/>
    <w:rsid w:val="BBFF4F68"/>
    <w:rsid w:val="BCCB1F2A"/>
    <w:rsid w:val="BD151693"/>
    <w:rsid w:val="BDB425C3"/>
    <w:rsid w:val="BDFB09A7"/>
    <w:rsid w:val="BEAA36EA"/>
    <w:rsid w:val="BEDEC122"/>
    <w:rsid w:val="BEEE9B2E"/>
    <w:rsid w:val="BEF7304C"/>
    <w:rsid w:val="BFBEC622"/>
    <w:rsid w:val="BFFD8822"/>
    <w:rsid w:val="BFFFAE7D"/>
    <w:rsid w:val="C7FFE6D5"/>
    <w:rsid w:val="CDF9154C"/>
    <w:rsid w:val="CFF3CD45"/>
    <w:rsid w:val="D55F75BE"/>
    <w:rsid w:val="D6E7E060"/>
    <w:rsid w:val="D6FB5BDE"/>
    <w:rsid w:val="D7F14665"/>
    <w:rsid w:val="D7FDB56F"/>
    <w:rsid w:val="D7FF6B3D"/>
    <w:rsid w:val="D9BBB060"/>
    <w:rsid w:val="D9BE1BA8"/>
    <w:rsid w:val="DB9D49D3"/>
    <w:rsid w:val="DBDF42C0"/>
    <w:rsid w:val="DD57D022"/>
    <w:rsid w:val="DDD7DC2F"/>
    <w:rsid w:val="DEFBE326"/>
    <w:rsid w:val="DF7AC655"/>
    <w:rsid w:val="DFFD19D9"/>
    <w:rsid w:val="DFFF788C"/>
    <w:rsid w:val="E3D5AED1"/>
    <w:rsid w:val="E67A0F27"/>
    <w:rsid w:val="E6FFA6AB"/>
    <w:rsid w:val="E753C3BE"/>
    <w:rsid w:val="E7F5375F"/>
    <w:rsid w:val="EACFD562"/>
    <w:rsid w:val="EBADB697"/>
    <w:rsid w:val="EBCF3A20"/>
    <w:rsid w:val="EBFFB9E7"/>
    <w:rsid w:val="ED7B9A29"/>
    <w:rsid w:val="EEFF50F3"/>
    <w:rsid w:val="EF7C5AAE"/>
    <w:rsid w:val="EFA1F69B"/>
    <w:rsid w:val="EFC7C37B"/>
    <w:rsid w:val="EFF3C7FA"/>
    <w:rsid w:val="EFF7A9C0"/>
    <w:rsid w:val="EFFEE506"/>
    <w:rsid w:val="F0EF0E3B"/>
    <w:rsid w:val="F2D95057"/>
    <w:rsid w:val="F3EE8692"/>
    <w:rsid w:val="F3F683F5"/>
    <w:rsid w:val="F3FBC40B"/>
    <w:rsid w:val="F6CE86A2"/>
    <w:rsid w:val="F6FE855D"/>
    <w:rsid w:val="F77C054B"/>
    <w:rsid w:val="F77F0133"/>
    <w:rsid w:val="F7ADA3E1"/>
    <w:rsid w:val="F7BF0763"/>
    <w:rsid w:val="F7BFFE46"/>
    <w:rsid w:val="F7E709CA"/>
    <w:rsid w:val="F7E7410F"/>
    <w:rsid w:val="F7E78CE5"/>
    <w:rsid w:val="F7FF7FD8"/>
    <w:rsid w:val="F9233B5F"/>
    <w:rsid w:val="F97F8983"/>
    <w:rsid w:val="F97FFF85"/>
    <w:rsid w:val="FA7A6922"/>
    <w:rsid w:val="FAEF53FB"/>
    <w:rsid w:val="FB5D8AD6"/>
    <w:rsid w:val="FBC7896A"/>
    <w:rsid w:val="FBE52EE9"/>
    <w:rsid w:val="FBEF31D3"/>
    <w:rsid w:val="FBF37E10"/>
    <w:rsid w:val="FBF42BAE"/>
    <w:rsid w:val="FBF67C13"/>
    <w:rsid w:val="FBFDBBE4"/>
    <w:rsid w:val="FBFE1E02"/>
    <w:rsid w:val="FCBF5EFF"/>
    <w:rsid w:val="FCD3ABA4"/>
    <w:rsid w:val="FCFE7E55"/>
    <w:rsid w:val="FCFFCC2C"/>
    <w:rsid w:val="FD7F398F"/>
    <w:rsid w:val="FDBB9CC5"/>
    <w:rsid w:val="FDBDD76F"/>
    <w:rsid w:val="FDBFA689"/>
    <w:rsid w:val="FDCB68E5"/>
    <w:rsid w:val="FDEDCD13"/>
    <w:rsid w:val="FDEF649E"/>
    <w:rsid w:val="FDFD17F6"/>
    <w:rsid w:val="FE7DC53D"/>
    <w:rsid w:val="FEFED587"/>
    <w:rsid w:val="FF0FBA6D"/>
    <w:rsid w:val="FF371DD9"/>
    <w:rsid w:val="FF57C611"/>
    <w:rsid w:val="FF58D29B"/>
    <w:rsid w:val="FF5F1B7F"/>
    <w:rsid w:val="FF7BC9D2"/>
    <w:rsid w:val="FF7F3829"/>
    <w:rsid w:val="FF9B7574"/>
    <w:rsid w:val="FF9D267F"/>
    <w:rsid w:val="FFAF0C2E"/>
    <w:rsid w:val="FFBFD909"/>
    <w:rsid w:val="FFC93ED9"/>
    <w:rsid w:val="FFDCEC38"/>
    <w:rsid w:val="FFDF3E73"/>
    <w:rsid w:val="FFEB0420"/>
    <w:rsid w:val="FFEC69F3"/>
    <w:rsid w:val="FFEC6E48"/>
    <w:rsid w:val="FFED8C17"/>
    <w:rsid w:val="FFEE464B"/>
    <w:rsid w:val="FFEE6013"/>
    <w:rsid w:val="FFF601B3"/>
    <w:rsid w:val="FFFBDCB9"/>
    <w:rsid w:val="FFFD50FA"/>
    <w:rsid w:val="FFFF4A34"/>
    <w:rsid w:val="FFFF9A42"/>
    <w:rsid w:val="FFFFB2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qFormat="1" w:uiPriority="39" w:semiHidden="0" w:name="toc 9"/>
    <w:lsdException w:uiPriority="99" w:name="Normal Indent"/>
    <w:lsdException w:qFormat="1" w:uiPriority="99" w:semiHidden="0"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560" w:lineRule="exact"/>
      <w:ind w:firstLine="562" w:firstLineChars="200"/>
      <w:jc w:val="both"/>
    </w:pPr>
    <w:rPr>
      <w:rFonts w:ascii="仿宋_GB2312" w:hAnsi="楷体_GB2312" w:eastAsia="仿宋_GB2312" w:cs="楷体_GB2312"/>
      <w:kern w:val="2"/>
      <w:sz w:val="28"/>
      <w:szCs w:val="28"/>
      <w:lang w:val="en-US" w:eastAsia="zh-CN" w:bidi="ar-SA"/>
    </w:rPr>
  </w:style>
  <w:style w:type="paragraph" w:styleId="2">
    <w:name w:val="heading 1"/>
    <w:basedOn w:val="1"/>
    <w:next w:val="1"/>
    <w:link w:val="25"/>
    <w:qFormat/>
    <w:uiPriority w:val="9"/>
    <w:pPr>
      <w:keepNext/>
      <w:keepLines/>
      <w:numPr>
        <w:ilvl w:val="0"/>
        <w:numId w:val="1"/>
      </w:numPr>
      <w:spacing w:before="100" w:beforeLines="100" w:after="100" w:afterLines="100"/>
      <w:ind w:firstLineChars="0"/>
      <w:jc w:val="center"/>
      <w:outlineLvl w:val="0"/>
    </w:pPr>
    <w:rPr>
      <w:rFonts w:ascii="黑体" w:eastAsia="黑体"/>
      <w:bCs/>
      <w:kern w:val="44"/>
      <w:sz w:val="32"/>
      <w:szCs w:val="44"/>
    </w:rPr>
  </w:style>
  <w:style w:type="paragraph" w:styleId="3">
    <w:name w:val="heading 2"/>
    <w:basedOn w:val="1"/>
    <w:next w:val="1"/>
    <w:link w:val="27"/>
    <w:unhideWhenUsed/>
    <w:qFormat/>
    <w:uiPriority w:val="9"/>
    <w:pPr>
      <w:keepNext/>
      <w:keepLines/>
      <w:numPr>
        <w:ilvl w:val="1"/>
        <w:numId w:val="1"/>
      </w:numPr>
      <w:ind w:firstLineChars="0"/>
      <w:outlineLvl w:val="1"/>
    </w:pPr>
    <w:rPr>
      <w:rFonts w:eastAsia="楷体_GB2312" w:asciiTheme="majorHAnsi" w:hAnsiTheme="majorHAnsi" w:cstheme="majorBidi"/>
      <w:bCs/>
      <w:szCs w:val="32"/>
    </w:rPr>
  </w:style>
  <w:style w:type="paragraph" w:styleId="4">
    <w:name w:val="heading 3"/>
    <w:basedOn w:val="1"/>
    <w:next w:val="1"/>
    <w:link w:val="28"/>
    <w:unhideWhenUsed/>
    <w:qFormat/>
    <w:uiPriority w:val="9"/>
    <w:pPr>
      <w:keepNext/>
      <w:keepLines/>
      <w:numPr>
        <w:ilvl w:val="2"/>
        <w:numId w:val="1"/>
      </w:numPr>
      <w:ind w:firstLineChars="0"/>
      <w:outlineLvl w:val="2"/>
    </w:pPr>
    <w:rPr>
      <w:bCs/>
      <w:szCs w:val="32"/>
    </w:rPr>
  </w:style>
  <w:style w:type="paragraph" w:styleId="5">
    <w:name w:val="heading 4"/>
    <w:basedOn w:val="1"/>
    <w:next w:val="1"/>
    <w:link w:val="29"/>
    <w:unhideWhenUsed/>
    <w:qFormat/>
    <w:uiPriority w:val="9"/>
    <w:pPr>
      <w:keepNext/>
      <w:keepLines/>
      <w:numPr>
        <w:ilvl w:val="3"/>
        <w:numId w:val="1"/>
      </w:numPr>
      <w:ind w:firstLine="560"/>
      <w:outlineLvl w:val="3"/>
    </w:pPr>
    <w:rPr>
      <w:rFonts w:cstheme="majorBidi"/>
      <w:bCs/>
    </w:rPr>
  </w:style>
  <w:style w:type="character" w:default="1" w:styleId="20">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link w:val="34"/>
    <w:unhideWhenUsed/>
    <w:qFormat/>
    <w:uiPriority w:val="99"/>
    <w:pPr>
      <w:jc w:val="left"/>
    </w:pPr>
  </w:style>
  <w:style w:type="paragraph" w:styleId="7">
    <w:name w:val="Body Text"/>
    <w:basedOn w:val="1"/>
    <w:next w:val="1"/>
    <w:link w:val="36"/>
    <w:unhideWhenUsed/>
    <w:qFormat/>
    <w:uiPriority w:val="99"/>
    <w:pPr>
      <w:spacing w:after="120" w:line="240" w:lineRule="auto"/>
      <w:ind w:firstLine="0" w:firstLineChars="0"/>
    </w:pPr>
    <w:rPr>
      <w:rFonts w:asciiTheme="minorHAnsi" w:hAnsiTheme="minorHAnsi" w:eastAsiaTheme="minorEastAsia" w:cstheme="minorBidi"/>
      <w:sz w:val="21"/>
      <w:szCs w:val="24"/>
    </w:rPr>
  </w:style>
  <w:style w:type="paragraph" w:styleId="8">
    <w:name w:val="toc 3"/>
    <w:basedOn w:val="1"/>
    <w:next w:val="1"/>
    <w:unhideWhenUsed/>
    <w:qFormat/>
    <w:uiPriority w:val="39"/>
    <w:pPr>
      <w:widowControl/>
      <w:ind w:left="482" w:firstLine="0" w:firstLineChars="0"/>
      <w:jc w:val="left"/>
    </w:pPr>
    <w:rPr>
      <w:iCs/>
      <w:kern w:val="0"/>
    </w:rPr>
  </w:style>
  <w:style w:type="paragraph" w:styleId="9">
    <w:name w:val="Plain Text"/>
    <w:basedOn w:val="1"/>
    <w:link w:val="44"/>
    <w:unhideWhenUsed/>
    <w:qFormat/>
    <w:uiPriority w:val="0"/>
    <w:rPr>
      <w:rFonts w:ascii="宋体" w:hAnsi="Courier New"/>
      <w:szCs w:val="20"/>
    </w:rPr>
  </w:style>
  <w:style w:type="paragraph" w:styleId="10">
    <w:name w:val="Balloon Text"/>
    <w:basedOn w:val="1"/>
    <w:link w:val="33"/>
    <w:unhideWhenUsed/>
    <w:qFormat/>
    <w:uiPriority w:val="99"/>
    <w:pPr>
      <w:spacing w:line="240" w:lineRule="auto"/>
    </w:pPr>
    <w:rPr>
      <w:sz w:val="18"/>
      <w:szCs w:val="18"/>
    </w:rPr>
  </w:style>
  <w:style w:type="paragraph" w:styleId="11">
    <w:name w:val="footer"/>
    <w:basedOn w:val="1"/>
    <w:link w:val="31"/>
    <w:unhideWhenUsed/>
    <w:qFormat/>
    <w:uiPriority w:val="99"/>
    <w:pPr>
      <w:tabs>
        <w:tab w:val="center" w:pos="4153"/>
        <w:tab w:val="right" w:pos="8306"/>
      </w:tabs>
      <w:snapToGrid w:val="0"/>
      <w:spacing w:line="240" w:lineRule="atLeast"/>
      <w:jc w:val="left"/>
    </w:pPr>
    <w:rPr>
      <w:sz w:val="18"/>
      <w:szCs w:val="18"/>
    </w:rPr>
  </w:style>
  <w:style w:type="paragraph" w:styleId="12">
    <w:name w:val="header"/>
    <w:basedOn w:val="1"/>
    <w:link w:val="30"/>
    <w:unhideWhenUsed/>
    <w:qFormat/>
    <w:uiPriority w:val="99"/>
    <w:pPr>
      <w:pBdr>
        <w:bottom w:val="single" w:color="auto" w:sz="6" w:space="1"/>
      </w:pBdr>
      <w:tabs>
        <w:tab w:val="center" w:pos="4153"/>
        <w:tab w:val="right" w:pos="8306"/>
      </w:tabs>
      <w:snapToGrid w:val="0"/>
      <w:spacing w:line="240" w:lineRule="atLeast"/>
      <w:jc w:val="center"/>
    </w:pPr>
    <w:rPr>
      <w:sz w:val="18"/>
      <w:szCs w:val="18"/>
    </w:rPr>
  </w:style>
  <w:style w:type="paragraph" w:styleId="13">
    <w:name w:val="toc 1"/>
    <w:basedOn w:val="1"/>
    <w:next w:val="1"/>
    <w:unhideWhenUsed/>
    <w:qFormat/>
    <w:uiPriority w:val="39"/>
    <w:pPr>
      <w:widowControl/>
      <w:tabs>
        <w:tab w:val="right" w:leader="dot" w:pos="8302"/>
      </w:tabs>
      <w:ind w:firstLine="0" w:firstLineChars="0"/>
      <w:jc w:val="left"/>
    </w:pPr>
    <w:rPr>
      <w:rFonts w:ascii="黑体" w:eastAsia="黑体"/>
      <w:bCs/>
      <w:caps/>
      <w:kern w:val="0"/>
    </w:rPr>
  </w:style>
  <w:style w:type="paragraph" w:styleId="14">
    <w:name w:val="footnote text"/>
    <w:basedOn w:val="1"/>
    <w:unhideWhenUsed/>
    <w:qFormat/>
    <w:uiPriority w:val="99"/>
    <w:rPr>
      <w:rFonts w:ascii="Calibri" w:hAnsi="Calibri" w:eastAsia="宋体" w:cs="Times New Roman"/>
      <w:kern w:val="0"/>
      <w:sz w:val="20"/>
      <w:szCs w:val="20"/>
    </w:rPr>
  </w:style>
  <w:style w:type="paragraph" w:styleId="15">
    <w:name w:val="toc 2"/>
    <w:basedOn w:val="1"/>
    <w:next w:val="1"/>
    <w:unhideWhenUsed/>
    <w:qFormat/>
    <w:uiPriority w:val="39"/>
    <w:pPr>
      <w:widowControl/>
      <w:ind w:left="238" w:firstLine="0" w:firstLineChars="0"/>
      <w:jc w:val="left"/>
    </w:pPr>
    <w:rPr>
      <w:rFonts w:ascii="楷体_GB2312" w:eastAsia="楷体_GB2312"/>
      <w:smallCaps/>
      <w:kern w:val="0"/>
    </w:rPr>
  </w:style>
  <w:style w:type="paragraph" w:styleId="16">
    <w:name w:val="toc 9"/>
    <w:basedOn w:val="1"/>
    <w:next w:val="1"/>
    <w:unhideWhenUsed/>
    <w:qFormat/>
    <w:uiPriority w:val="39"/>
    <w:pPr>
      <w:ind w:left="3360" w:leftChars="1600"/>
    </w:pPr>
  </w:style>
  <w:style w:type="paragraph" w:styleId="17">
    <w:name w:val="Normal (Web)"/>
    <w:basedOn w:val="1"/>
    <w:unhideWhenUsed/>
    <w:qFormat/>
    <w:uiPriority w:val="0"/>
    <w:pPr>
      <w:widowControl/>
      <w:spacing w:before="100" w:beforeAutospacing="1" w:after="100" w:afterAutospacing="1" w:line="240" w:lineRule="auto"/>
      <w:ind w:firstLine="0" w:firstLineChars="0"/>
      <w:jc w:val="left"/>
    </w:pPr>
    <w:rPr>
      <w:rFonts w:ascii="宋体" w:hAnsi="宋体" w:eastAsia="宋体" w:cs="宋体"/>
      <w:kern w:val="0"/>
      <w:sz w:val="24"/>
      <w:szCs w:val="24"/>
    </w:rPr>
  </w:style>
  <w:style w:type="paragraph" w:styleId="18">
    <w:name w:val="annotation subject"/>
    <w:basedOn w:val="6"/>
    <w:next w:val="6"/>
    <w:link w:val="35"/>
    <w:unhideWhenUsed/>
    <w:qFormat/>
    <w:uiPriority w:val="99"/>
    <w:rPr>
      <w:b/>
      <w:bCs/>
    </w:rPr>
  </w:style>
  <w:style w:type="character" w:styleId="21">
    <w:name w:val="Strong"/>
    <w:basedOn w:val="20"/>
    <w:qFormat/>
    <w:uiPriority w:val="22"/>
    <w:rPr>
      <w:b/>
    </w:rPr>
  </w:style>
  <w:style w:type="character" w:styleId="22">
    <w:name w:val="Emphasis"/>
    <w:basedOn w:val="20"/>
    <w:qFormat/>
    <w:uiPriority w:val="20"/>
    <w:rPr>
      <w:i/>
      <w:iCs/>
    </w:rPr>
  </w:style>
  <w:style w:type="character" w:styleId="23">
    <w:name w:val="Hyperlink"/>
    <w:basedOn w:val="20"/>
    <w:unhideWhenUsed/>
    <w:qFormat/>
    <w:uiPriority w:val="99"/>
    <w:rPr>
      <w:color w:val="0563C1" w:themeColor="hyperlink"/>
      <w:u w:val="single"/>
      <w14:textFill>
        <w14:solidFill>
          <w14:schemeClr w14:val="hlink"/>
        </w14:solidFill>
      </w14:textFill>
    </w:rPr>
  </w:style>
  <w:style w:type="character" w:styleId="24">
    <w:name w:val="annotation reference"/>
    <w:basedOn w:val="20"/>
    <w:unhideWhenUsed/>
    <w:qFormat/>
    <w:uiPriority w:val="99"/>
    <w:rPr>
      <w:sz w:val="21"/>
      <w:szCs w:val="21"/>
    </w:rPr>
  </w:style>
  <w:style w:type="character" w:customStyle="1" w:styleId="25">
    <w:name w:val="标题 1 字符"/>
    <w:basedOn w:val="20"/>
    <w:link w:val="2"/>
    <w:qFormat/>
    <w:uiPriority w:val="9"/>
    <w:rPr>
      <w:rFonts w:ascii="黑体" w:hAnsi="楷体_GB2312" w:eastAsia="黑体" w:cs="楷体_GB2312"/>
      <w:bCs/>
      <w:kern w:val="44"/>
      <w:sz w:val="32"/>
      <w:szCs w:val="44"/>
    </w:rPr>
  </w:style>
  <w:style w:type="paragraph" w:customStyle="1" w:styleId="26">
    <w:name w:val="列表段落1"/>
    <w:basedOn w:val="1"/>
    <w:qFormat/>
    <w:uiPriority w:val="34"/>
    <w:pPr>
      <w:ind w:firstLine="420"/>
    </w:pPr>
  </w:style>
  <w:style w:type="character" w:customStyle="1" w:styleId="27">
    <w:name w:val="标题 2 字符"/>
    <w:basedOn w:val="20"/>
    <w:link w:val="3"/>
    <w:qFormat/>
    <w:uiPriority w:val="9"/>
    <w:rPr>
      <w:rFonts w:eastAsia="楷体_GB2312" w:asciiTheme="majorHAnsi" w:hAnsiTheme="majorHAnsi" w:cstheme="majorBidi"/>
      <w:bCs/>
      <w:sz w:val="28"/>
      <w:szCs w:val="32"/>
    </w:rPr>
  </w:style>
  <w:style w:type="character" w:customStyle="1" w:styleId="28">
    <w:name w:val="标题 3 字符"/>
    <w:basedOn w:val="20"/>
    <w:link w:val="4"/>
    <w:qFormat/>
    <w:uiPriority w:val="9"/>
    <w:rPr>
      <w:rFonts w:ascii="仿宋_GB2312" w:hAnsi="楷体_GB2312" w:eastAsia="仿宋_GB2312" w:cs="楷体_GB2312"/>
      <w:bCs/>
      <w:kern w:val="2"/>
      <w:sz w:val="28"/>
      <w:szCs w:val="32"/>
    </w:rPr>
  </w:style>
  <w:style w:type="character" w:customStyle="1" w:styleId="29">
    <w:name w:val="标题 4 字符"/>
    <w:basedOn w:val="20"/>
    <w:link w:val="5"/>
    <w:qFormat/>
    <w:uiPriority w:val="9"/>
    <w:rPr>
      <w:rFonts w:ascii="Times New Roman" w:hAnsi="Times New Roman" w:eastAsia="仿宋_GB2312" w:cstheme="majorBidi"/>
      <w:bCs/>
      <w:sz w:val="28"/>
      <w:szCs w:val="28"/>
    </w:rPr>
  </w:style>
  <w:style w:type="character" w:customStyle="1" w:styleId="30">
    <w:name w:val="页眉 字符"/>
    <w:basedOn w:val="20"/>
    <w:link w:val="12"/>
    <w:qFormat/>
    <w:uiPriority w:val="99"/>
    <w:rPr>
      <w:rFonts w:ascii="Times New Roman" w:hAnsi="Times New Roman" w:eastAsia="仿宋_GB2312" w:cs="Times New Roman"/>
      <w:sz w:val="18"/>
      <w:szCs w:val="18"/>
    </w:rPr>
  </w:style>
  <w:style w:type="character" w:customStyle="1" w:styleId="31">
    <w:name w:val="页脚 字符"/>
    <w:basedOn w:val="20"/>
    <w:link w:val="11"/>
    <w:qFormat/>
    <w:uiPriority w:val="99"/>
    <w:rPr>
      <w:rFonts w:ascii="Times New Roman" w:hAnsi="Times New Roman" w:eastAsia="仿宋_GB2312" w:cs="Times New Roman"/>
      <w:sz w:val="18"/>
      <w:szCs w:val="18"/>
    </w:rPr>
  </w:style>
  <w:style w:type="character" w:customStyle="1" w:styleId="32">
    <w:name w:val="fontstyle01"/>
    <w:basedOn w:val="20"/>
    <w:qFormat/>
    <w:uiPriority w:val="0"/>
    <w:rPr>
      <w:rFonts w:hint="eastAsia" w:ascii="仿宋_GB2312" w:eastAsia="仿宋_GB2312"/>
      <w:color w:val="000000"/>
      <w:sz w:val="30"/>
      <w:szCs w:val="30"/>
    </w:rPr>
  </w:style>
  <w:style w:type="character" w:customStyle="1" w:styleId="33">
    <w:name w:val="批注框文本 字符"/>
    <w:basedOn w:val="20"/>
    <w:link w:val="10"/>
    <w:semiHidden/>
    <w:qFormat/>
    <w:uiPriority w:val="99"/>
    <w:rPr>
      <w:rFonts w:ascii="仿宋_GB2312" w:hAnsi="楷体_GB2312" w:eastAsia="仿宋_GB2312" w:cs="楷体_GB2312"/>
      <w:kern w:val="2"/>
      <w:sz w:val="18"/>
      <w:szCs w:val="18"/>
    </w:rPr>
  </w:style>
  <w:style w:type="character" w:customStyle="1" w:styleId="34">
    <w:name w:val="批注文字 字符"/>
    <w:basedOn w:val="20"/>
    <w:link w:val="6"/>
    <w:qFormat/>
    <w:uiPriority w:val="99"/>
    <w:rPr>
      <w:rFonts w:ascii="仿宋_GB2312" w:hAnsi="楷体_GB2312" w:eastAsia="仿宋_GB2312" w:cs="楷体_GB2312"/>
      <w:kern w:val="2"/>
      <w:sz w:val="28"/>
      <w:szCs w:val="28"/>
    </w:rPr>
  </w:style>
  <w:style w:type="character" w:customStyle="1" w:styleId="35">
    <w:name w:val="批注主题 字符"/>
    <w:basedOn w:val="34"/>
    <w:link w:val="18"/>
    <w:semiHidden/>
    <w:qFormat/>
    <w:uiPriority w:val="99"/>
    <w:rPr>
      <w:rFonts w:ascii="仿宋_GB2312" w:hAnsi="楷体_GB2312" w:eastAsia="仿宋_GB2312" w:cs="楷体_GB2312"/>
      <w:b/>
      <w:bCs/>
      <w:kern w:val="2"/>
      <w:sz w:val="28"/>
      <w:szCs w:val="28"/>
    </w:rPr>
  </w:style>
  <w:style w:type="character" w:customStyle="1" w:styleId="36">
    <w:name w:val="正文文本 字符"/>
    <w:basedOn w:val="20"/>
    <w:link w:val="7"/>
    <w:semiHidden/>
    <w:qFormat/>
    <w:uiPriority w:val="99"/>
    <w:rPr>
      <w:kern w:val="2"/>
      <w:sz w:val="21"/>
      <w:szCs w:val="24"/>
    </w:rPr>
  </w:style>
  <w:style w:type="character" w:customStyle="1" w:styleId="37">
    <w:name w:val="NormalCharacter"/>
    <w:link w:val="38"/>
    <w:qFormat/>
    <w:uiPriority w:val="0"/>
    <w:rPr>
      <w:rFonts w:ascii="宋体" w:hAnsi="宋体"/>
      <w:kern w:val="2"/>
      <w:sz w:val="32"/>
      <w:szCs w:val="32"/>
    </w:rPr>
  </w:style>
  <w:style w:type="paragraph" w:customStyle="1" w:styleId="38">
    <w:name w:val="UserStyle_2"/>
    <w:basedOn w:val="1"/>
    <w:link w:val="37"/>
    <w:qFormat/>
    <w:uiPriority w:val="0"/>
    <w:pPr>
      <w:spacing w:line="240" w:lineRule="auto"/>
      <w:ind w:firstLine="0" w:firstLineChars="0"/>
      <w:textAlignment w:val="baseline"/>
    </w:pPr>
    <w:rPr>
      <w:rFonts w:ascii="宋体" w:hAnsi="宋体" w:eastAsiaTheme="minorEastAsia" w:cstheme="minorBidi"/>
      <w:sz w:val="32"/>
      <w:szCs w:val="32"/>
    </w:rPr>
  </w:style>
  <w:style w:type="character" w:customStyle="1" w:styleId="39">
    <w:name w:val="bold"/>
    <w:basedOn w:val="20"/>
    <w:qFormat/>
    <w:uiPriority w:val="0"/>
  </w:style>
  <w:style w:type="character" w:customStyle="1" w:styleId="40">
    <w:name w:val="content"/>
    <w:basedOn w:val="20"/>
    <w:qFormat/>
    <w:uiPriority w:val="0"/>
  </w:style>
  <w:style w:type="character" w:customStyle="1" w:styleId="41">
    <w:name w:val="未处理的提及1"/>
    <w:basedOn w:val="20"/>
    <w:unhideWhenUsed/>
    <w:qFormat/>
    <w:uiPriority w:val="99"/>
    <w:rPr>
      <w:color w:val="605E5C"/>
      <w:shd w:val="clear" w:color="auto" w:fill="E1DFDD"/>
    </w:rPr>
  </w:style>
  <w:style w:type="paragraph" w:customStyle="1" w:styleId="42">
    <w:name w:val="BodyText"/>
    <w:basedOn w:val="1"/>
    <w:qFormat/>
    <w:uiPriority w:val="0"/>
    <w:pPr>
      <w:spacing w:after="120"/>
      <w:textAlignment w:val="baseline"/>
    </w:pPr>
  </w:style>
  <w:style w:type="paragraph" w:customStyle="1" w:styleId="43">
    <w:name w:val="修订1"/>
    <w:hidden/>
    <w:unhideWhenUsed/>
    <w:qFormat/>
    <w:uiPriority w:val="99"/>
    <w:pPr>
      <w:spacing w:after="160" w:line="278" w:lineRule="auto"/>
    </w:pPr>
    <w:rPr>
      <w:rFonts w:ascii="仿宋_GB2312" w:hAnsi="楷体_GB2312" w:eastAsia="仿宋_GB2312" w:cs="楷体_GB2312"/>
      <w:kern w:val="2"/>
      <w:sz w:val="28"/>
      <w:szCs w:val="28"/>
      <w:lang w:val="en-US" w:eastAsia="zh-CN" w:bidi="ar-SA"/>
    </w:rPr>
  </w:style>
  <w:style w:type="character" w:customStyle="1" w:styleId="44">
    <w:name w:val="纯文本 字符"/>
    <w:basedOn w:val="20"/>
    <w:link w:val="9"/>
    <w:qFormat/>
    <w:uiPriority w:val="0"/>
    <w:rPr>
      <w:rFonts w:ascii="宋体" w:hAnsi="Courier New" w:eastAsia="仿宋_GB2312" w:cs="楷体_GB2312"/>
      <w:kern w:val="2"/>
      <w:sz w:val="28"/>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numbering" Target="numbering.xml"/><Relationship Id="rId12" Type="http://schemas.openxmlformats.org/officeDocument/2006/relationships/theme" Target="theme/theme1.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electedStyle="\APASixthEditionOfficeOnline.xsl" Version="6" StyleName="APA"/>
</file>

<file path=customXml/itemProps1.xml><?xml version="1.0" encoding="utf-8"?>
<ds:datastoreItem xmlns:ds="http://schemas.openxmlformats.org/officeDocument/2006/customXml" ds:itemID="{D19F2477-87C1-4B1A-BDFD-8DFDE443240E}">
  <ds:schemaRefs/>
</ds:datastoreItem>
</file>

<file path=docProps/app.xml><?xml version="1.0" encoding="utf-8"?>
<Properties xmlns="http://schemas.openxmlformats.org/officeDocument/2006/extended-properties" xmlns:vt="http://schemas.openxmlformats.org/officeDocument/2006/docPropsVTypes">
  <Template>Normal</Template>
  <Pages>31</Pages>
  <Words>13271</Words>
  <Characters>13468</Characters>
  <Lines>348</Lines>
  <Paragraphs>184</Paragraphs>
  <TotalTime>6</TotalTime>
  <ScaleCrop>false</ScaleCrop>
  <LinksUpToDate>false</LinksUpToDate>
  <CharactersWithSpaces>13534</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2026-01-13T19:29:00Z</dcterms:created>
  <dc:creator>Zhang Nikki</dc:creator>
  <cp:lastModifiedBy>Administrator</cp:lastModifiedBy>
  <cp:lastPrinted>2026-09-20T10:00:00Z</cp:lastPrinted>
  <dcterms:modified xsi:type="dcterms:W3CDTF">2026-10-19T07:21:57Z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2052-11.8.2.12195</vt:lpwstr>
  </property>
  <property fmtid="{D5CDD505-2E9C-101B-9397-08002B2CF9AE}" pid="3" name="KSOTemplateDocerSaveRecord">
    <vt:lpwstr>eyJoZGlkIjoiYmEwZTQ4NDI1NjE3OWVjOWJlMzkyOTE0NzA0MTczMDgiLCJ1c2VySWQiOiIzMTk1NDIwOTAifQ==</vt:lpwstr>
  </property>
  <property fmtid="{D5CDD505-2E9C-101B-9397-08002B2CF9AE}" pid="4" name="ICV">
    <vt:lpwstr>D52E2922A89663AB3032AF6A64920CDD_43</vt:lpwstr>
  </property>
</Properties>
</file>