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49E8B">
      <w:pPr>
        <w:pStyle w:val="17"/>
        <w:rPr>
          <w:rFonts w:hint="eastAsia"/>
          <w:color w:val="auto"/>
          <w:highlight w:val="none"/>
          <w:lang w:val="en-US" w:eastAsia="zh-CN"/>
        </w:rPr>
      </w:pPr>
      <w:bookmarkStart w:id="140" w:name="_GoBack"/>
      <w:bookmarkEnd w:id="140"/>
    </w:p>
    <w:p w14:paraId="793E3282">
      <w:pPr>
        <w:keepNext w:val="0"/>
        <w:keepLines w:val="0"/>
        <w:widowControl w:val="0"/>
        <w:suppressLineNumbers w:val="0"/>
        <w:spacing w:before="0" w:beforeAutospacing="0" w:after="0" w:afterAutospacing="0" w:line="560" w:lineRule="exact"/>
        <w:ind w:left="0" w:right="0" w:firstLine="0" w:firstLineChars="0"/>
        <w:jc w:val="center"/>
        <w:rPr>
          <w:rFonts w:hint="eastAsia" w:ascii="微软雅黑" w:hAnsi="黑体" w:eastAsia="微软雅黑" w:cs="Times New Roman"/>
          <w:b/>
          <w:bCs w:val="0"/>
          <w:caps w:val="0"/>
          <w:color w:val="auto"/>
          <w:kern w:val="2"/>
          <w:sz w:val="44"/>
          <w:szCs w:val="44"/>
          <w:highlight w:val="none"/>
          <w:lang w:val="en-US" w:eastAsia="zh-CN" w:bidi="ar-SA"/>
        </w:rPr>
      </w:pPr>
    </w:p>
    <w:p w14:paraId="7D04C53D">
      <w:pPr>
        <w:keepNext w:val="0"/>
        <w:keepLines w:val="0"/>
        <w:widowControl w:val="0"/>
        <w:suppressLineNumbers w:val="0"/>
        <w:spacing w:before="0" w:beforeAutospacing="0" w:after="0" w:afterAutospacing="0" w:line="560" w:lineRule="exact"/>
        <w:ind w:left="0" w:right="0" w:firstLine="0" w:firstLineChars="0"/>
        <w:jc w:val="center"/>
        <w:rPr>
          <w:rFonts w:hint="eastAsia" w:ascii="微软雅黑" w:hAnsi="黑体" w:eastAsia="微软雅黑" w:cs="Times New Roman"/>
          <w:b/>
          <w:bCs w:val="0"/>
          <w:caps w:val="0"/>
          <w:color w:val="auto"/>
          <w:kern w:val="2"/>
          <w:sz w:val="44"/>
          <w:szCs w:val="44"/>
          <w:highlight w:val="none"/>
          <w:lang w:val="en-US" w:eastAsia="zh-CN" w:bidi="ar-SA"/>
        </w:rPr>
      </w:pPr>
    </w:p>
    <w:p w14:paraId="21A20528">
      <w:pPr>
        <w:keepNext w:val="0"/>
        <w:keepLines w:val="0"/>
        <w:widowControl w:val="0"/>
        <w:suppressLineNumbers w:val="0"/>
        <w:spacing w:before="0" w:beforeAutospacing="0" w:after="0" w:afterAutospacing="0" w:line="560" w:lineRule="exact"/>
        <w:ind w:left="0" w:right="0" w:firstLine="0" w:firstLineChars="0"/>
        <w:jc w:val="center"/>
        <w:rPr>
          <w:rFonts w:hint="eastAsia" w:ascii="微软雅黑" w:hAnsi="黑体" w:eastAsia="微软雅黑" w:cs="Times New Roman"/>
          <w:b/>
          <w:bCs w:val="0"/>
          <w:caps w:val="0"/>
          <w:color w:val="auto"/>
          <w:kern w:val="2"/>
          <w:sz w:val="44"/>
          <w:szCs w:val="44"/>
          <w:highlight w:val="none"/>
          <w:lang w:val="en-US" w:eastAsia="zh-CN" w:bidi="ar-SA"/>
        </w:rPr>
      </w:pPr>
    </w:p>
    <w:p w14:paraId="44482094">
      <w:pPr>
        <w:keepNext w:val="0"/>
        <w:keepLines w:val="0"/>
        <w:widowControl w:val="0"/>
        <w:suppressLineNumbers w:val="0"/>
        <w:spacing w:before="0" w:beforeAutospacing="0" w:after="0" w:afterAutospacing="0" w:line="560" w:lineRule="exact"/>
        <w:ind w:left="0" w:right="0" w:firstLine="0" w:firstLineChars="0"/>
        <w:jc w:val="center"/>
        <w:rPr>
          <w:rFonts w:hint="eastAsia" w:ascii="微软雅黑" w:hAnsi="黑体" w:eastAsia="微软雅黑" w:cs="Times New Roman"/>
          <w:b/>
          <w:bCs w:val="0"/>
          <w:caps w:val="0"/>
          <w:color w:val="auto"/>
          <w:kern w:val="2"/>
          <w:sz w:val="44"/>
          <w:szCs w:val="44"/>
          <w:highlight w:val="none"/>
          <w:lang w:val="en-US" w:eastAsia="zh-CN" w:bidi="ar-SA"/>
        </w:rPr>
      </w:pPr>
    </w:p>
    <w:p w14:paraId="7182C59F">
      <w:pPr>
        <w:keepNext w:val="0"/>
        <w:keepLines w:val="0"/>
        <w:pageBreakBefore w:val="0"/>
        <w:widowControl w:val="0"/>
        <w:suppressAutoHyphens/>
        <w:kinsoku/>
        <w:wordWrap/>
        <w:overflowPunct w:val="0"/>
        <w:topLinePunct w:val="0"/>
        <w:autoSpaceDE/>
        <w:autoSpaceDN/>
        <w:bidi w:val="0"/>
        <w:adjustRightInd/>
        <w:snapToGrid/>
        <w:spacing w:afterAutospacing="0" w:line="560" w:lineRule="exact"/>
        <w:ind w:left="0" w:leftChars="0" w:firstLine="0" w:firstLineChars="0"/>
        <w:jc w:val="center"/>
        <w:textAlignment w:val="auto"/>
        <w:rPr>
          <w:rFonts w:hint="eastAsia" w:ascii="方正仿宋_GBK" w:hAnsi="方正仿宋_GBK" w:eastAsia="方正小标宋简体" w:cs="方正仿宋_GBK"/>
          <w:b/>
          <w:bCs/>
          <w:color w:val="auto"/>
          <w:sz w:val="44"/>
          <w:szCs w:val="44"/>
          <w:highlight w:val="none"/>
          <w:u w:val="none"/>
          <w:lang w:val="en-US" w:eastAsia="zh-CN"/>
        </w:rPr>
      </w:pPr>
      <w:r>
        <w:rPr>
          <w:rFonts w:hint="eastAsia" w:ascii="方正仿宋_GBK" w:hAnsi="方正仿宋_GBK" w:eastAsia="方正小标宋简体" w:cs="方正仿宋_GBK"/>
          <w:b/>
          <w:bCs/>
          <w:color w:val="auto"/>
          <w:sz w:val="44"/>
          <w:szCs w:val="44"/>
          <w:highlight w:val="none"/>
          <w:u w:val="none"/>
          <w:lang w:val="en-US" w:eastAsia="zh-CN"/>
        </w:rPr>
        <w:t>昌平区“十五五”时期民政事业发展规划</w:t>
      </w:r>
    </w:p>
    <w:p w14:paraId="5C5B2A09">
      <w:pPr>
        <w:keepNext w:val="0"/>
        <w:keepLines w:val="0"/>
        <w:pageBreakBefore w:val="0"/>
        <w:widowControl w:val="0"/>
        <w:suppressAutoHyphens/>
        <w:kinsoku/>
        <w:wordWrap/>
        <w:overflowPunct w:val="0"/>
        <w:topLinePunct w:val="0"/>
        <w:autoSpaceDE/>
        <w:autoSpaceDN/>
        <w:bidi w:val="0"/>
        <w:adjustRightInd/>
        <w:snapToGrid/>
        <w:spacing w:afterAutospacing="0" w:line="560" w:lineRule="exact"/>
        <w:ind w:left="0" w:leftChars="0" w:firstLine="0" w:firstLineChars="0"/>
        <w:jc w:val="center"/>
        <w:textAlignment w:val="auto"/>
        <w:rPr>
          <w:rFonts w:hint="eastAsia" w:ascii="方正小标宋简体" w:hAnsi="方正小标宋简体" w:eastAsia="方正小标宋简体" w:cs="方正小标宋简体"/>
          <w:b/>
          <w:bCs/>
          <w:color w:val="auto"/>
          <w:sz w:val="44"/>
          <w:szCs w:val="44"/>
          <w:highlight w:val="none"/>
          <w:u w:val="none"/>
          <w:lang w:val="en-US" w:eastAsia="zh-CN"/>
        </w:rPr>
      </w:pPr>
      <w:r>
        <w:rPr>
          <w:rFonts w:hint="eastAsia" w:ascii="方正小标宋简体" w:hAnsi="方正小标宋简体" w:eastAsia="方正小标宋简体" w:cs="方正小标宋简体"/>
          <w:b/>
          <w:bCs/>
          <w:color w:val="auto"/>
          <w:sz w:val="44"/>
          <w:szCs w:val="44"/>
          <w:highlight w:val="none"/>
          <w:u w:val="none"/>
          <w:lang w:val="en-US" w:eastAsia="zh-CN"/>
        </w:rPr>
        <w:t>（2026—2030）</w:t>
      </w:r>
    </w:p>
    <w:p w14:paraId="32DC4271">
      <w:pPr>
        <w:keepNext w:val="0"/>
        <w:keepLines w:val="0"/>
        <w:widowControl w:val="0"/>
        <w:suppressLineNumbers w:val="0"/>
        <w:spacing w:before="0" w:beforeAutospacing="0" w:after="0" w:afterAutospacing="0" w:line="560" w:lineRule="exact"/>
        <w:ind w:left="0" w:right="0" w:firstLine="0" w:firstLineChars="0"/>
        <w:jc w:val="center"/>
        <w:rPr>
          <w:rFonts w:hint="eastAsia" w:ascii="仿宋" w:hAnsi="仿宋" w:eastAsia="仿宋" w:cs="仿宋"/>
          <w:b w:val="0"/>
          <w:bCs/>
          <w:caps w:val="0"/>
          <w:color w:val="auto"/>
          <w:kern w:val="2"/>
          <w:sz w:val="32"/>
          <w:szCs w:val="32"/>
          <w:highlight w:val="none"/>
          <w:lang w:val="en-US" w:eastAsia="zh-CN" w:bidi="ar-SA"/>
        </w:rPr>
      </w:pPr>
      <w:r>
        <w:rPr>
          <w:rFonts w:hint="eastAsia" w:ascii="仿宋" w:hAnsi="仿宋" w:eastAsia="仿宋" w:cs="仿宋"/>
          <w:b w:val="0"/>
          <w:bCs/>
          <w:caps w:val="0"/>
          <w:color w:val="auto"/>
          <w:kern w:val="2"/>
          <w:sz w:val="32"/>
          <w:szCs w:val="32"/>
          <w:highlight w:val="none"/>
          <w:lang w:val="en-US" w:eastAsia="zh-CN" w:bidi="ar-SA"/>
        </w:rPr>
        <w:t>征求意见稿</w:t>
      </w:r>
    </w:p>
    <w:p w14:paraId="2C8A4519">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1E3303AB">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31BEF5DF">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3099499B">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1FD7C681">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31C06D36">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7036BDBE">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1A7BC897">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18AB53D2">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68A891A7">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黑体" w:hAnsi="微软雅黑" w:eastAsia="黑体" w:cs="微软雅黑"/>
          <w:color w:val="auto"/>
          <w:kern w:val="2"/>
          <w:sz w:val="32"/>
          <w:szCs w:val="32"/>
          <w:highlight w:val="none"/>
          <w:lang w:val="en-US" w:eastAsia="zh-CN" w:bidi="ar-SA"/>
        </w:rPr>
      </w:pPr>
    </w:p>
    <w:p w14:paraId="6378DA19">
      <w:pPr>
        <w:keepNext w:val="0"/>
        <w:keepLines w:val="0"/>
        <w:pageBreakBefore w:val="0"/>
        <w:widowControl w:val="0"/>
        <w:suppressAutoHyphens/>
        <w:kinsoku/>
        <w:wordWrap/>
        <w:overflowPunct w:val="0"/>
        <w:topLinePunct w:val="0"/>
        <w:autoSpaceDE/>
        <w:autoSpaceDN/>
        <w:bidi w:val="0"/>
        <w:adjustRightInd/>
        <w:snapToGrid/>
        <w:spacing w:afterAutospacing="0" w:line="560" w:lineRule="exact"/>
        <w:ind w:left="0" w:leftChars="0" w:right="0" w:rightChars="0" w:firstLine="0" w:firstLineChars="0"/>
        <w:jc w:val="both"/>
        <w:textAlignment w:val="auto"/>
        <w:rPr>
          <w:rFonts w:hint="eastAsia" w:ascii="黑体" w:hAnsi="微软雅黑" w:eastAsia="黑体" w:cs="微软雅黑"/>
          <w:color w:val="auto"/>
          <w:kern w:val="2"/>
          <w:sz w:val="32"/>
          <w:szCs w:val="32"/>
          <w:highlight w:val="none"/>
          <w:lang w:val="en-US" w:eastAsia="zh-CN" w:bidi="ar-SA"/>
        </w:rPr>
      </w:pPr>
    </w:p>
    <w:p w14:paraId="33D4DAD6">
      <w:pPr>
        <w:keepNext w:val="0"/>
        <w:keepLines w:val="0"/>
        <w:pageBreakBefore w:val="0"/>
        <w:widowControl w:val="0"/>
        <w:suppressAutoHyphens/>
        <w:kinsoku/>
        <w:wordWrap/>
        <w:overflowPunct w:val="0"/>
        <w:topLinePunct w:val="0"/>
        <w:autoSpaceDE/>
        <w:autoSpaceDN/>
        <w:bidi w:val="0"/>
        <w:adjustRightInd/>
        <w:snapToGrid/>
        <w:spacing w:afterAutospacing="0" w:line="560" w:lineRule="exact"/>
        <w:ind w:left="0" w:leftChars="0" w:right="0" w:rightChars="0" w:firstLine="0" w:firstLineChars="0"/>
        <w:jc w:val="center"/>
        <w:textAlignment w:val="auto"/>
        <w:rPr>
          <w:rFonts w:hint="eastAsia" w:ascii="楷体_GB2312" w:hAnsi="楷体_GB2312" w:eastAsia="楷体_GB2312" w:cs="楷体_GB2312"/>
          <w:b w:val="0"/>
          <w:bCs w:val="0"/>
          <w:color w:val="auto"/>
          <w:sz w:val="36"/>
          <w:szCs w:val="36"/>
          <w:highlight w:val="none"/>
          <w:u w:val="none"/>
          <w:lang w:val="en-US" w:eastAsia="zh-CN"/>
        </w:rPr>
      </w:pPr>
      <w:r>
        <w:rPr>
          <w:rFonts w:hint="eastAsia" w:ascii="楷体_GB2312" w:hAnsi="楷体_GB2312" w:eastAsia="楷体_GB2312" w:cs="楷体_GB2312"/>
          <w:b w:val="0"/>
          <w:bCs w:val="0"/>
          <w:color w:val="auto"/>
          <w:sz w:val="36"/>
          <w:szCs w:val="36"/>
          <w:highlight w:val="none"/>
          <w:u w:val="none"/>
          <w:lang w:val="en-US" w:eastAsia="zh-CN"/>
        </w:rPr>
        <w:t>北京市昌平区民政局</w:t>
      </w:r>
    </w:p>
    <w:p w14:paraId="25BE2E63">
      <w:pPr>
        <w:keepNext w:val="0"/>
        <w:keepLines w:val="0"/>
        <w:pageBreakBefore w:val="0"/>
        <w:widowControl w:val="0"/>
        <w:suppressAutoHyphens/>
        <w:kinsoku/>
        <w:wordWrap/>
        <w:overflowPunct w:val="0"/>
        <w:topLinePunct w:val="0"/>
        <w:autoSpaceDE/>
        <w:autoSpaceDN/>
        <w:bidi w:val="0"/>
        <w:adjustRightInd/>
        <w:snapToGrid/>
        <w:spacing w:afterAutospacing="0" w:line="560" w:lineRule="exact"/>
        <w:ind w:left="0" w:leftChars="0" w:right="0" w:rightChars="0" w:firstLine="0" w:firstLineChars="0"/>
        <w:jc w:val="center"/>
        <w:textAlignment w:val="auto"/>
        <w:rPr>
          <w:rFonts w:hint="eastAsia" w:ascii="楷体_GB2312" w:hAnsi="楷体_GB2312" w:eastAsia="楷体_GB2312" w:cs="楷体_GB2312"/>
          <w:b w:val="0"/>
          <w:bCs w:val="0"/>
          <w:color w:val="auto"/>
          <w:sz w:val="36"/>
          <w:szCs w:val="36"/>
          <w:highlight w:val="none"/>
          <w:u w:val="none"/>
          <w:lang w:val="en-US" w:eastAsia="zh-CN"/>
        </w:rPr>
      </w:pPr>
      <w:r>
        <w:rPr>
          <w:rFonts w:hint="eastAsia" w:ascii="楷体_GB2312" w:hAnsi="楷体_GB2312" w:eastAsia="楷体_GB2312" w:cs="楷体_GB2312"/>
          <w:b w:val="0"/>
          <w:bCs w:val="0"/>
          <w:color w:val="auto"/>
          <w:sz w:val="36"/>
          <w:szCs w:val="36"/>
          <w:highlight w:val="none"/>
          <w:u w:val="none"/>
          <w:lang w:val="en-US" w:eastAsia="zh-CN"/>
        </w:rPr>
        <w:t>2026年10月</w:t>
      </w:r>
    </w:p>
    <w:p w14:paraId="1E0307A1">
      <w:pPr>
        <w:keepNext w:val="0"/>
        <w:keepLines w:val="0"/>
        <w:pageBreakBefore w:val="0"/>
        <w:widowControl w:val="0"/>
        <w:suppressAutoHyphens/>
        <w:kinsoku/>
        <w:wordWrap/>
        <w:overflowPunct w:val="0"/>
        <w:topLinePunct w:val="0"/>
        <w:autoSpaceDE/>
        <w:autoSpaceDN/>
        <w:bidi w:val="0"/>
        <w:adjustRightInd/>
        <w:snapToGrid/>
        <w:spacing w:afterAutospacing="0" w:line="560" w:lineRule="exact"/>
        <w:ind w:left="0" w:leftChars="0" w:right="0" w:rightChars="0" w:firstLine="0" w:firstLineChars="0"/>
        <w:jc w:val="center"/>
        <w:textAlignment w:val="auto"/>
        <w:rPr>
          <w:rFonts w:ascii="宋体" w:hAnsi="宋体" w:eastAsia="宋体" w:cstheme="minorBidi"/>
          <w:color w:val="auto"/>
          <w:kern w:val="2"/>
          <w:sz w:val="21"/>
          <w:szCs w:val="24"/>
          <w:highlight w:val="none"/>
          <w:lang w:val="en-US" w:eastAsia="zh-CN" w:bidi="ar-SA"/>
        </w:rPr>
        <w:sectPr>
          <w:footerReference r:id="rId5" w:type="default"/>
          <w:footnotePr>
            <w:numFmt w:val="decimalEnclosedCircleChinese"/>
          </w:footnotePr>
          <w:pgSz w:w="11906" w:h="16838"/>
          <w:pgMar w:top="1440" w:right="1800" w:bottom="1440" w:left="1800" w:header="851" w:footer="992" w:gutter="0"/>
          <w:pgNumType w:fmt="decimal" w:start="1"/>
          <w:cols w:space="425" w:num="1"/>
          <w:docGrid w:type="lines" w:linePitch="312" w:charSpace="0"/>
        </w:sectPr>
      </w:pPr>
    </w:p>
    <w:sdt>
      <w:sdtPr>
        <w:rPr>
          <w:rFonts w:ascii="宋体" w:hAnsi="宋体" w:eastAsia="宋体" w:cstheme="minorBidi"/>
          <w:color w:val="auto"/>
          <w:kern w:val="2"/>
          <w:sz w:val="21"/>
          <w:szCs w:val="24"/>
          <w:highlight w:val="none"/>
          <w:lang w:val="en-US" w:eastAsia="zh-CN" w:bidi="ar-SA"/>
        </w:rPr>
        <w:id w:val="147480766"/>
        <w15:color w:val="DBDBDB"/>
        <w:docPartObj>
          <w:docPartGallery w:val="Table of Contents"/>
          <w:docPartUnique/>
        </w:docPartObj>
      </w:sdtPr>
      <w:sdtEndPr>
        <w:rPr>
          <w:rFonts w:ascii="宋体" w:hAnsi="宋体" w:eastAsia="宋体" w:cstheme="minorBidi"/>
          <w:color w:val="auto"/>
          <w:kern w:val="2"/>
          <w:sz w:val="21"/>
          <w:szCs w:val="24"/>
          <w:highlight w:val="none"/>
          <w:lang w:val="en-US" w:eastAsia="zh-CN" w:bidi="ar-SA"/>
        </w:rPr>
      </w:sdtEndPr>
      <w:sdtContent>
        <w:p w14:paraId="670A2464">
          <w:pPr>
            <w:spacing w:before="0" w:beforeLines="0" w:after="0" w:afterLines="0" w:line="240" w:lineRule="auto"/>
            <w:ind w:left="0" w:leftChars="0" w:right="0" w:rightChars="0" w:firstLine="0" w:firstLineChars="0"/>
            <w:jc w:val="center"/>
            <w:rPr>
              <w:rFonts w:ascii="宋体" w:hAnsi="宋体" w:eastAsia="宋体" w:cstheme="minorBidi"/>
              <w:color w:val="auto"/>
              <w:kern w:val="2"/>
              <w:sz w:val="21"/>
              <w:szCs w:val="24"/>
              <w:highlight w:val="none"/>
              <w:lang w:val="en-US" w:eastAsia="zh-CN" w:bidi="ar-SA"/>
            </w:rPr>
          </w:pPr>
        </w:p>
        <w:p w14:paraId="2CB4353D">
          <w:pPr>
            <w:spacing w:before="0" w:beforeLines="0" w:after="0" w:afterLines="0" w:line="240" w:lineRule="auto"/>
            <w:ind w:left="0" w:leftChars="0" w:right="0" w:rightChars="0" w:firstLine="0" w:firstLineChars="0"/>
            <w:jc w:val="center"/>
            <w:rPr>
              <w:color w:val="auto"/>
              <w:highlight w:val="none"/>
            </w:rPr>
          </w:pPr>
          <w:r>
            <w:rPr>
              <w:rFonts w:hint="eastAsia" w:ascii="黑体" w:hAnsi="黑体" w:eastAsia="黑体" w:cs="黑体"/>
              <w:color w:val="auto"/>
              <w:sz w:val="32"/>
              <w:szCs w:val="40"/>
              <w:highlight w:val="none"/>
            </w:rPr>
            <w:t>目录</w:t>
          </w:r>
        </w:p>
        <w:p w14:paraId="1CBE9863">
          <w:pPr>
            <w:pStyle w:val="20"/>
            <w:tabs>
              <w:tab w:val="right" w:leader="dot" w:pos="8306"/>
            </w:tabs>
            <w:rPr>
              <w:highlight w:val="none"/>
            </w:rPr>
          </w:pPr>
          <w:r>
            <w:rPr>
              <w:color w:val="auto"/>
              <w:highlight w:val="none"/>
            </w:rPr>
            <w:fldChar w:fldCharType="begin"/>
          </w:r>
          <w:r>
            <w:rPr>
              <w:color w:val="auto"/>
              <w:highlight w:val="none"/>
            </w:rPr>
            <w:instrText xml:space="preserve">TOC \o "1-2" \h \u </w:instrText>
          </w:r>
          <w:r>
            <w:rPr>
              <w:color w:val="auto"/>
              <w:highlight w:val="none"/>
            </w:rPr>
            <w:fldChar w:fldCharType="separate"/>
          </w:r>
          <w:r>
            <w:rPr>
              <w:color w:val="auto"/>
              <w:highlight w:val="none"/>
            </w:rPr>
            <w:fldChar w:fldCharType="begin"/>
          </w:r>
          <w:r>
            <w:rPr>
              <w:highlight w:val="none"/>
            </w:rPr>
            <w:instrText xml:space="preserve"> HYPERLINK \l _Toc18068 </w:instrText>
          </w:r>
          <w:r>
            <w:rPr>
              <w:highlight w:val="none"/>
            </w:rPr>
            <w:fldChar w:fldCharType="separate"/>
          </w:r>
          <w:r>
            <w:rPr>
              <w:rFonts w:hint="eastAsia"/>
              <w:highlight w:val="none"/>
              <w:lang w:val="en-US" w:eastAsia="zh-CN"/>
            </w:rPr>
            <w:t>一</w:t>
          </w:r>
          <w:r>
            <w:rPr>
              <w:rFonts w:hint="default"/>
              <w:highlight w:val="none"/>
              <w:lang w:val="en-US" w:eastAsia="zh-CN"/>
            </w:rPr>
            <w:t>、</w:t>
          </w:r>
          <w:r>
            <w:rPr>
              <w:rFonts w:hint="eastAsia"/>
              <w:highlight w:val="none"/>
              <w:lang w:val="en-US" w:eastAsia="zh-CN"/>
            </w:rPr>
            <w:t>总体要求</w:t>
          </w:r>
          <w:r>
            <w:rPr>
              <w:highlight w:val="none"/>
            </w:rPr>
            <w:tab/>
          </w:r>
          <w:r>
            <w:rPr>
              <w:highlight w:val="none"/>
            </w:rPr>
            <w:fldChar w:fldCharType="begin"/>
          </w:r>
          <w:r>
            <w:rPr>
              <w:highlight w:val="none"/>
            </w:rPr>
            <w:instrText xml:space="preserve"> PAGEREF _Toc18068 \h </w:instrText>
          </w:r>
          <w:r>
            <w:rPr>
              <w:highlight w:val="none"/>
            </w:rPr>
            <w:fldChar w:fldCharType="separate"/>
          </w:r>
          <w:r>
            <w:rPr>
              <w:highlight w:val="none"/>
            </w:rPr>
            <w:t>1</w:t>
          </w:r>
          <w:r>
            <w:rPr>
              <w:highlight w:val="none"/>
            </w:rPr>
            <w:fldChar w:fldCharType="end"/>
          </w:r>
          <w:r>
            <w:rPr>
              <w:color w:val="auto"/>
              <w:highlight w:val="none"/>
            </w:rPr>
            <w:fldChar w:fldCharType="end"/>
          </w:r>
        </w:p>
        <w:p w14:paraId="0DE3E48F">
          <w:pPr>
            <w:pStyle w:val="20"/>
            <w:tabs>
              <w:tab w:val="right" w:leader="dot" w:pos="8306"/>
            </w:tabs>
            <w:rPr>
              <w:highlight w:val="none"/>
            </w:rPr>
          </w:pPr>
          <w:r>
            <w:rPr>
              <w:color w:val="auto"/>
              <w:highlight w:val="none"/>
            </w:rPr>
            <w:fldChar w:fldCharType="begin"/>
          </w:r>
          <w:r>
            <w:rPr>
              <w:highlight w:val="none"/>
            </w:rPr>
            <w:instrText xml:space="preserve"> HYPERLINK \l _Toc5308 </w:instrText>
          </w:r>
          <w:r>
            <w:rPr>
              <w:highlight w:val="none"/>
            </w:rPr>
            <w:fldChar w:fldCharType="separate"/>
          </w:r>
          <w:r>
            <w:rPr>
              <w:rFonts w:hint="eastAsia"/>
              <w:highlight w:val="none"/>
              <w:lang w:val="en-US" w:eastAsia="zh-CN"/>
            </w:rPr>
            <w:t>二、构建全域覆盖、统筹协同的养老服务格局</w:t>
          </w:r>
          <w:r>
            <w:rPr>
              <w:highlight w:val="none"/>
            </w:rPr>
            <w:tab/>
          </w:r>
          <w:r>
            <w:rPr>
              <w:highlight w:val="none"/>
            </w:rPr>
            <w:fldChar w:fldCharType="begin"/>
          </w:r>
          <w:r>
            <w:rPr>
              <w:highlight w:val="none"/>
            </w:rPr>
            <w:instrText xml:space="preserve"> PAGEREF _Toc5308 \h </w:instrText>
          </w:r>
          <w:r>
            <w:rPr>
              <w:highlight w:val="none"/>
            </w:rPr>
            <w:fldChar w:fldCharType="separate"/>
          </w:r>
          <w:r>
            <w:rPr>
              <w:highlight w:val="none"/>
            </w:rPr>
            <w:t>2</w:t>
          </w:r>
          <w:r>
            <w:rPr>
              <w:highlight w:val="none"/>
            </w:rPr>
            <w:fldChar w:fldCharType="end"/>
          </w:r>
          <w:r>
            <w:rPr>
              <w:color w:val="auto"/>
              <w:highlight w:val="none"/>
            </w:rPr>
            <w:fldChar w:fldCharType="end"/>
          </w:r>
        </w:p>
        <w:p w14:paraId="1348BD03">
          <w:pPr>
            <w:pStyle w:val="24"/>
            <w:tabs>
              <w:tab w:val="right" w:leader="dot" w:pos="8306"/>
            </w:tabs>
            <w:rPr>
              <w:highlight w:val="none"/>
            </w:rPr>
          </w:pPr>
          <w:r>
            <w:rPr>
              <w:color w:val="auto"/>
              <w:highlight w:val="none"/>
            </w:rPr>
            <w:fldChar w:fldCharType="begin"/>
          </w:r>
          <w:r>
            <w:rPr>
              <w:highlight w:val="none"/>
            </w:rPr>
            <w:instrText xml:space="preserve"> HYPERLINK \l _Toc9148 </w:instrText>
          </w:r>
          <w:r>
            <w:rPr>
              <w:highlight w:val="none"/>
            </w:rPr>
            <w:fldChar w:fldCharType="separate"/>
          </w:r>
          <w:r>
            <w:rPr>
              <w:rFonts w:hint="default"/>
              <w:highlight w:val="none"/>
              <w:lang w:val="en-US" w:eastAsia="zh-CN"/>
            </w:rPr>
            <w:t>（一）</w:t>
          </w:r>
          <w:r>
            <w:rPr>
              <w:rFonts w:hint="eastAsia"/>
              <w:highlight w:val="none"/>
              <w:lang w:val="en-US" w:eastAsia="zh-CN"/>
            </w:rPr>
            <w:t>积极推进老龄事业发展</w:t>
          </w:r>
          <w:r>
            <w:rPr>
              <w:highlight w:val="none"/>
            </w:rPr>
            <w:tab/>
          </w:r>
          <w:r>
            <w:rPr>
              <w:highlight w:val="none"/>
            </w:rPr>
            <w:fldChar w:fldCharType="begin"/>
          </w:r>
          <w:r>
            <w:rPr>
              <w:highlight w:val="none"/>
            </w:rPr>
            <w:instrText xml:space="preserve"> PAGEREF _Toc9148 \h </w:instrText>
          </w:r>
          <w:r>
            <w:rPr>
              <w:highlight w:val="none"/>
            </w:rPr>
            <w:fldChar w:fldCharType="separate"/>
          </w:r>
          <w:r>
            <w:rPr>
              <w:highlight w:val="none"/>
            </w:rPr>
            <w:t>2</w:t>
          </w:r>
          <w:r>
            <w:rPr>
              <w:highlight w:val="none"/>
            </w:rPr>
            <w:fldChar w:fldCharType="end"/>
          </w:r>
          <w:r>
            <w:rPr>
              <w:color w:val="auto"/>
              <w:highlight w:val="none"/>
            </w:rPr>
            <w:fldChar w:fldCharType="end"/>
          </w:r>
        </w:p>
        <w:p w14:paraId="6FDA5233">
          <w:pPr>
            <w:pStyle w:val="24"/>
            <w:tabs>
              <w:tab w:val="right" w:leader="dot" w:pos="8306"/>
            </w:tabs>
            <w:rPr>
              <w:highlight w:val="none"/>
            </w:rPr>
          </w:pPr>
          <w:r>
            <w:rPr>
              <w:color w:val="auto"/>
              <w:highlight w:val="none"/>
            </w:rPr>
            <w:fldChar w:fldCharType="begin"/>
          </w:r>
          <w:r>
            <w:rPr>
              <w:highlight w:val="none"/>
            </w:rPr>
            <w:instrText xml:space="preserve"> HYPERLINK \l _Toc17217 </w:instrText>
          </w:r>
          <w:r>
            <w:rPr>
              <w:highlight w:val="none"/>
            </w:rPr>
            <w:fldChar w:fldCharType="separate"/>
          </w:r>
          <w:r>
            <w:rPr>
              <w:rFonts w:hint="default" w:ascii="宋体" w:hAnsi="宋体" w:eastAsia="楷体_GB2312" w:cs="宋体"/>
              <w:bCs/>
              <w:kern w:val="0"/>
              <w:szCs w:val="36"/>
              <w:highlight w:val="none"/>
              <w:lang w:val="en-US" w:eastAsia="zh-CN" w:bidi="ar"/>
            </w:rPr>
            <w:t>（二）</w:t>
          </w:r>
          <w:r>
            <w:rPr>
              <w:rFonts w:hint="eastAsia" w:ascii="宋体" w:hAnsi="宋体" w:eastAsia="楷体_GB2312" w:cs="宋体"/>
              <w:bCs/>
              <w:kern w:val="0"/>
              <w:szCs w:val="36"/>
              <w:highlight w:val="none"/>
              <w:lang w:val="en-US" w:eastAsia="zh-CN" w:bidi="ar"/>
            </w:rPr>
            <w:t>完善养老服务“四个体系”</w:t>
          </w:r>
          <w:r>
            <w:rPr>
              <w:highlight w:val="none"/>
            </w:rPr>
            <w:tab/>
          </w:r>
          <w:r>
            <w:rPr>
              <w:highlight w:val="none"/>
            </w:rPr>
            <w:fldChar w:fldCharType="begin"/>
          </w:r>
          <w:r>
            <w:rPr>
              <w:highlight w:val="none"/>
            </w:rPr>
            <w:instrText xml:space="preserve"> PAGEREF _Toc17217 \h </w:instrText>
          </w:r>
          <w:r>
            <w:rPr>
              <w:highlight w:val="none"/>
            </w:rPr>
            <w:fldChar w:fldCharType="separate"/>
          </w:r>
          <w:r>
            <w:rPr>
              <w:highlight w:val="none"/>
            </w:rPr>
            <w:t>3</w:t>
          </w:r>
          <w:r>
            <w:rPr>
              <w:highlight w:val="none"/>
            </w:rPr>
            <w:fldChar w:fldCharType="end"/>
          </w:r>
          <w:r>
            <w:rPr>
              <w:color w:val="auto"/>
              <w:highlight w:val="none"/>
            </w:rPr>
            <w:fldChar w:fldCharType="end"/>
          </w:r>
        </w:p>
        <w:p w14:paraId="03C392C7">
          <w:pPr>
            <w:pStyle w:val="20"/>
            <w:tabs>
              <w:tab w:val="right" w:leader="dot" w:pos="8306"/>
            </w:tabs>
            <w:rPr>
              <w:highlight w:val="none"/>
            </w:rPr>
          </w:pPr>
          <w:r>
            <w:rPr>
              <w:color w:val="auto"/>
              <w:highlight w:val="none"/>
            </w:rPr>
            <w:fldChar w:fldCharType="begin"/>
          </w:r>
          <w:r>
            <w:rPr>
              <w:highlight w:val="none"/>
            </w:rPr>
            <w:instrText xml:space="preserve"> HYPERLINK \l _Toc5206 </w:instrText>
          </w:r>
          <w:r>
            <w:rPr>
              <w:highlight w:val="none"/>
            </w:rPr>
            <w:fldChar w:fldCharType="separate"/>
          </w:r>
          <w:r>
            <w:rPr>
              <w:rFonts w:hint="eastAsia" w:ascii="宋体" w:hAnsi="宋体" w:eastAsia="黑体" w:cs="宋体"/>
              <w:bCs/>
              <w:kern w:val="44"/>
              <w:szCs w:val="48"/>
              <w:highlight w:val="none"/>
              <w:lang w:val="en-US" w:eastAsia="zh-CN" w:bidi="ar"/>
            </w:rPr>
            <w:t>三</w:t>
          </w:r>
          <w:r>
            <w:rPr>
              <w:rFonts w:hint="default" w:ascii="宋体" w:hAnsi="宋体" w:eastAsia="黑体" w:cs="宋体"/>
              <w:bCs/>
              <w:kern w:val="44"/>
              <w:szCs w:val="48"/>
              <w:highlight w:val="none"/>
              <w:lang w:val="en-US" w:eastAsia="zh-CN" w:bidi="ar"/>
            </w:rPr>
            <w:t>、</w:t>
          </w:r>
          <w:r>
            <w:rPr>
              <w:rFonts w:hint="eastAsia" w:ascii="宋体" w:hAnsi="宋体" w:eastAsia="黑体" w:cs="宋体"/>
              <w:bCs/>
              <w:kern w:val="44"/>
              <w:szCs w:val="48"/>
              <w:highlight w:val="none"/>
              <w:lang w:val="en-US" w:eastAsia="zh-CN" w:bidi="ar"/>
            </w:rPr>
            <w:t>打造精准施策、高效便捷的</w:t>
          </w:r>
          <w:r>
            <w:rPr>
              <w:rFonts w:hint="default" w:ascii="宋体" w:hAnsi="宋体" w:eastAsia="黑体" w:cs="宋体"/>
              <w:bCs/>
              <w:kern w:val="44"/>
              <w:szCs w:val="48"/>
              <w:highlight w:val="none"/>
              <w:lang w:val="en-US" w:eastAsia="zh-CN" w:bidi="ar"/>
            </w:rPr>
            <w:t>社会救助体系</w:t>
          </w:r>
          <w:r>
            <w:rPr>
              <w:highlight w:val="none"/>
            </w:rPr>
            <w:tab/>
          </w:r>
          <w:r>
            <w:rPr>
              <w:highlight w:val="none"/>
            </w:rPr>
            <w:fldChar w:fldCharType="begin"/>
          </w:r>
          <w:r>
            <w:rPr>
              <w:highlight w:val="none"/>
            </w:rPr>
            <w:instrText xml:space="preserve"> PAGEREF _Toc5206 \h </w:instrText>
          </w:r>
          <w:r>
            <w:rPr>
              <w:highlight w:val="none"/>
            </w:rPr>
            <w:fldChar w:fldCharType="separate"/>
          </w:r>
          <w:r>
            <w:rPr>
              <w:highlight w:val="none"/>
            </w:rPr>
            <w:t>6</w:t>
          </w:r>
          <w:r>
            <w:rPr>
              <w:highlight w:val="none"/>
            </w:rPr>
            <w:fldChar w:fldCharType="end"/>
          </w:r>
          <w:r>
            <w:rPr>
              <w:color w:val="auto"/>
              <w:highlight w:val="none"/>
            </w:rPr>
            <w:fldChar w:fldCharType="end"/>
          </w:r>
        </w:p>
        <w:p w14:paraId="18A6CC28">
          <w:pPr>
            <w:pStyle w:val="24"/>
            <w:tabs>
              <w:tab w:val="right" w:leader="dot" w:pos="8306"/>
            </w:tabs>
            <w:rPr>
              <w:highlight w:val="none"/>
            </w:rPr>
          </w:pPr>
          <w:r>
            <w:rPr>
              <w:color w:val="auto"/>
              <w:highlight w:val="none"/>
            </w:rPr>
            <w:fldChar w:fldCharType="begin"/>
          </w:r>
          <w:r>
            <w:rPr>
              <w:highlight w:val="none"/>
            </w:rPr>
            <w:instrText xml:space="preserve"> HYPERLINK \l _Toc4760 </w:instrText>
          </w:r>
          <w:r>
            <w:rPr>
              <w:highlight w:val="none"/>
            </w:rPr>
            <w:fldChar w:fldCharType="separate"/>
          </w:r>
          <w:r>
            <w:rPr>
              <w:rFonts w:hint="eastAsia" w:ascii="宋体" w:hAnsi="宋体" w:eastAsia="楷体_GB2312" w:cs="宋体"/>
              <w:bCs/>
              <w:kern w:val="0"/>
              <w:szCs w:val="36"/>
              <w:highlight w:val="none"/>
              <w:lang w:val="en-US" w:eastAsia="zh-CN" w:bidi="ar"/>
            </w:rPr>
            <w:t>（一）优化</w:t>
          </w:r>
          <w:r>
            <w:rPr>
              <w:rFonts w:hint="default" w:ascii="宋体" w:hAnsi="宋体" w:eastAsia="楷体_GB2312" w:cs="宋体"/>
              <w:bCs/>
              <w:kern w:val="0"/>
              <w:szCs w:val="36"/>
              <w:highlight w:val="none"/>
              <w:lang w:val="en-US" w:eastAsia="zh-CN" w:bidi="ar"/>
            </w:rPr>
            <w:t>精准救助</w:t>
          </w:r>
          <w:r>
            <w:rPr>
              <w:rFonts w:hint="eastAsia" w:ascii="宋体" w:hAnsi="宋体" w:eastAsia="楷体_GB2312" w:cs="宋体"/>
              <w:bCs/>
              <w:kern w:val="0"/>
              <w:szCs w:val="36"/>
              <w:highlight w:val="none"/>
              <w:lang w:val="en-US" w:eastAsia="zh-CN" w:bidi="ar"/>
            </w:rPr>
            <w:t>帮扶</w:t>
          </w:r>
          <w:r>
            <w:rPr>
              <w:rFonts w:hint="default" w:ascii="宋体" w:hAnsi="宋体" w:eastAsia="楷体_GB2312" w:cs="宋体"/>
              <w:bCs/>
              <w:kern w:val="0"/>
              <w:szCs w:val="36"/>
              <w:highlight w:val="none"/>
              <w:lang w:val="en-US" w:eastAsia="zh-CN" w:bidi="ar"/>
            </w:rPr>
            <w:t>机制</w:t>
          </w:r>
          <w:r>
            <w:rPr>
              <w:highlight w:val="none"/>
            </w:rPr>
            <w:tab/>
          </w:r>
          <w:r>
            <w:rPr>
              <w:highlight w:val="none"/>
            </w:rPr>
            <w:fldChar w:fldCharType="begin"/>
          </w:r>
          <w:r>
            <w:rPr>
              <w:highlight w:val="none"/>
            </w:rPr>
            <w:instrText xml:space="preserve"> PAGEREF _Toc4760 \h </w:instrText>
          </w:r>
          <w:r>
            <w:rPr>
              <w:highlight w:val="none"/>
            </w:rPr>
            <w:fldChar w:fldCharType="separate"/>
          </w:r>
          <w:r>
            <w:rPr>
              <w:highlight w:val="none"/>
            </w:rPr>
            <w:t>6</w:t>
          </w:r>
          <w:r>
            <w:rPr>
              <w:highlight w:val="none"/>
            </w:rPr>
            <w:fldChar w:fldCharType="end"/>
          </w:r>
          <w:r>
            <w:rPr>
              <w:color w:val="auto"/>
              <w:highlight w:val="none"/>
            </w:rPr>
            <w:fldChar w:fldCharType="end"/>
          </w:r>
        </w:p>
        <w:p w14:paraId="7A718432">
          <w:pPr>
            <w:pStyle w:val="24"/>
            <w:tabs>
              <w:tab w:val="right" w:leader="dot" w:pos="8306"/>
            </w:tabs>
            <w:rPr>
              <w:highlight w:val="none"/>
            </w:rPr>
          </w:pPr>
          <w:r>
            <w:rPr>
              <w:color w:val="auto"/>
              <w:highlight w:val="none"/>
            </w:rPr>
            <w:fldChar w:fldCharType="begin"/>
          </w:r>
          <w:r>
            <w:rPr>
              <w:highlight w:val="none"/>
            </w:rPr>
            <w:instrText xml:space="preserve"> HYPERLINK \l _Toc514 </w:instrText>
          </w:r>
          <w:r>
            <w:rPr>
              <w:highlight w:val="none"/>
            </w:rPr>
            <w:fldChar w:fldCharType="separate"/>
          </w:r>
          <w:r>
            <w:rPr>
              <w:rFonts w:hint="eastAsia" w:ascii="宋体" w:hAnsi="宋体" w:eastAsia="楷体_GB2312" w:cs="宋体"/>
              <w:bCs/>
              <w:kern w:val="0"/>
              <w:szCs w:val="36"/>
              <w:highlight w:val="none"/>
              <w:lang w:val="en-US" w:eastAsia="zh-CN" w:bidi="ar"/>
            </w:rPr>
            <w:t>（二）深化多元救助服务保障</w:t>
          </w:r>
          <w:r>
            <w:rPr>
              <w:highlight w:val="none"/>
            </w:rPr>
            <w:tab/>
          </w:r>
          <w:r>
            <w:rPr>
              <w:highlight w:val="none"/>
            </w:rPr>
            <w:fldChar w:fldCharType="begin"/>
          </w:r>
          <w:r>
            <w:rPr>
              <w:highlight w:val="none"/>
            </w:rPr>
            <w:instrText xml:space="preserve"> PAGEREF _Toc514 \h </w:instrText>
          </w:r>
          <w:r>
            <w:rPr>
              <w:highlight w:val="none"/>
            </w:rPr>
            <w:fldChar w:fldCharType="separate"/>
          </w:r>
          <w:r>
            <w:rPr>
              <w:highlight w:val="none"/>
            </w:rPr>
            <w:t>7</w:t>
          </w:r>
          <w:r>
            <w:rPr>
              <w:highlight w:val="none"/>
            </w:rPr>
            <w:fldChar w:fldCharType="end"/>
          </w:r>
          <w:r>
            <w:rPr>
              <w:color w:val="auto"/>
              <w:highlight w:val="none"/>
            </w:rPr>
            <w:fldChar w:fldCharType="end"/>
          </w:r>
        </w:p>
        <w:p w14:paraId="007CE840">
          <w:pPr>
            <w:pStyle w:val="24"/>
            <w:tabs>
              <w:tab w:val="right" w:leader="dot" w:pos="8306"/>
            </w:tabs>
            <w:rPr>
              <w:highlight w:val="none"/>
            </w:rPr>
          </w:pPr>
          <w:r>
            <w:rPr>
              <w:color w:val="auto"/>
              <w:highlight w:val="none"/>
            </w:rPr>
            <w:fldChar w:fldCharType="begin"/>
          </w:r>
          <w:r>
            <w:rPr>
              <w:highlight w:val="none"/>
            </w:rPr>
            <w:instrText xml:space="preserve"> HYPERLINK \l _Toc31011 </w:instrText>
          </w:r>
          <w:r>
            <w:rPr>
              <w:highlight w:val="none"/>
            </w:rPr>
            <w:fldChar w:fldCharType="separate"/>
          </w:r>
          <w:r>
            <w:rPr>
              <w:rFonts w:hint="eastAsia" w:ascii="宋体" w:hAnsi="宋体" w:eastAsia="楷体_GB2312" w:cs="宋体"/>
              <w:bCs/>
              <w:kern w:val="0"/>
              <w:szCs w:val="36"/>
              <w:highlight w:val="none"/>
              <w:lang w:val="en-US" w:eastAsia="zh-CN" w:bidi="ar"/>
            </w:rPr>
            <w:t>（三）细化规范救助监督</w:t>
          </w:r>
          <w:r>
            <w:rPr>
              <w:rFonts w:hint="default" w:ascii="宋体" w:hAnsi="宋体" w:eastAsia="楷体_GB2312" w:cs="宋体"/>
              <w:bCs/>
              <w:kern w:val="0"/>
              <w:szCs w:val="36"/>
              <w:highlight w:val="none"/>
              <w:lang w:val="en-US" w:eastAsia="zh-CN" w:bidi="ar"/>
            </w:rPr>
            <w:t>管理</w:t>
          </w:r>
          <w:r>
            <w:rPr>
              <w:highlight w:val="none"/>
            </w:rPr>
            <w:tab/>
          </w:r>
          <w:r>
            <w:rPr>
              <w:highlight w:val="none"/>
            </w:rPr>
            <w:fldChar w:fldCharType="begin"/>
          </w:r>
          <w:r>
            <w:rPr>
              <w:highlight w:val="none"/>
            </w:rPr>
            <w:instrText xml:space="preserve"> PAGEREF _Toc31011 \h </w:instrText>
          </w:r>
          <w:r>
            <w:rPr>
              <w:highlight w:val="none"/>
            </w:rPr>
            <w:fldChar w:fldCharType="separate"/>
          </w:r>
          <w:r>
            <w:rPr>
              <w:highlight w:val="none"/>
            </w:rPr>
            <w:t>7</w:t>
          </w:r>
          <w:r>
            <w:rPr>
              <w:highlight w:val="none"/>
            </w:rPr>
            <w:fldChar w:fldCharType="end"/>
          </w:r>
          <w:r>
            <w:rPr>
              <w:color w:val="auto"/>
              <w:highlight w:val="none"/>
            </w:rPr>
            <w:fldChar w:fldCharType="end"/>
          </w:r>
        </w:p>
        <w:p w14:paraId="0DBBF12E">
          <w:pPr>
            <w:pStyle w:val="24"/>
            <w:tabs>
              <w:tab w:val="right" w:leader="dot" w:pos="8306"/>
            </w:tabs>
            <w:rPr>
              <w:highlight w:val="none"/>
            </w:rPr>
          </w:pPr>
          <w:r>
            <w:rPr>
              <w:color w:val="auto"/>
              <w:highlight w:val="none"/>
            </w:rPr>
            <w:fldChar w:fldCharType="begin"/>
          </w:r>
          <w:r>
            <w:rPr>
              <w:highlight w:val="none"/>
            </w:rPr>
            <w:instrText xml:space="preserve"> HYPERLINK \l _Toc30676 </w:instrText>
          </w:r>
          <w:r>
            <w:rPr>
              <w:highlight w:val="none"/>
            </w:rPr>
            <w:fldChar w:fldCharType="separate"/>
          </w:r>
          <w:r>
            <w:rPr>
              <w:rFonts w:hint="eastAsia" w:ascii="宋体" w:hAnsi="宋体" w:eastAsia="楷体_GB2312" w:cs="宋体"/>
              <w:bCs/>
              <w:kern w:val="0"/>
              <w:szCs w:val="36"/>
              <w:highlight w:val="none"/>
              <w:lang w:val="en-US" w:eastAsia="zh-CN" w:bidi="ar"/>
            </w:rPr>
            <w:t>（四）强化</w:t>
          </w:r>
          <w:r>
            <w:rPr>
              <w:rFonts w:hint="default" w:ascii="宋体" w:hAnsi="宋体" w:eastAsia="楷体_GB2312" w:cs="宋体"/>
              <w:bCs/>
              <w:kern w:val="0"/>
              <w:szCs w:val="36"/>
              <w:highlight w:val="none"/>
              <w:lang w:val="en-US" w:eastAsia="zh-CN" w:bidi="ar"/>
            </w:rPr>
            <w:t>慈善</w:t>
          </w:r>
          <w:r>
            <w:rPr>
              <w:rFonts w:hint="eastAsia" w:ascii="宋体" w:hAnsi="宋体" w:eastAsia="楷体_GB2312" w:cs="宋体"/>
              <w:bCs/>
              <w:kern w:val="0"/>
              <w:szCs w:val="36"/>
              <w:highlight w:val="none"/>
              <w:lang w:val="en-US" w:eastAsia="zh-CN" w:bidi="ar"/>
            </w:rPr>
            <w:t>帮扶</w:t>
          </w:r>
          <w:r>
            <w:rPr>
              <w:rFonts w:hint="default" w:ascii="宋体" w:hAnsi="宋体" w:eastAsia="楷体_GB2312" w:cs="宋体"/>
              <w:bCs/>
              <w:kern w:val="0"/>
              <w:szCs w:val="36"/>
              <w:highlight w:val="none"/>
              <w:lang w:val="en-US" w:eastAsia="zh-CN" w:bidi="ar"/>
            </w:rPr>
            <w:t>社会参与</w:t>
          </w:r>
          <w:r>
            <w:rPr>
              <w:highlight w:val="none"/>
            </w:rPr>
            <w:tab/>
          </w:r>
          <w:r>
            <w:rPr>
              <w:highlight w:val="none"/>
            </w:rPr>
            <w:fldChar w:fldCharType="begin"/>
          </w:r>
          <w:r>
            <w:rPr>
              <w:highlight w:val="none"/>
            </w:rPr>
            <w:instrText xml:space="preserve"> PAGEREF _Toc30676 \h </w:instrText>
          </w:r>
          <w:r>
            <w:rPr>
              <w:highlight w:val="none"/>
            </w:rPr>
            <w:fldChar w:fldCharType="separate"/>
          </w:r>
          <w:r>
            <w:rPr>
              <w:highlight w:val="none"/>
            </w:rPr>
            <w:t>7</w:t>
          </w:r>
          <w:r>
            <w:rPr>
              <w:highlight w:val="none"/>
            </w:rPr>
            <w:fldChar w:fldCharType="end"/>
          </w:r>
          <w:r>
            <w:rPr>
              <w:color w:val="auto"/>
              <w:highlight w:val="none"/>
            </w:rPr>
            <w:fldChar w:fldCharType="end"/>
          </w:r>
        </w:p>
        <w:p w14:paraId="36A884B7">
          <w:pPr>
            <w:pStyle w:val="20"/>
            <w:tabs>
              <w:tab w:val="right" w:leader="dot" w:pos="8306"/>
            </w:tabs>
            <w:rPr>
              <w:highlight w:val="none"/>
            </w:rPr>
          </w:pPr>
          <w:r>
            <w:rPr>
              <w:color w:val="auto"/>
              <w:highlight w:val="none"/>
            </w:rPr>
            <w:fldChar w:fldCharType="begin"/>
          </w:r>
          <w:r>
            <w:rPr>
              <w:highlight w:val="none"/>
            </w:rPr>
            <w:instrText xml:space="preserve"> HYPERLINK \l _Toc29434 </w:instrText>
          </w:r>
          <w:r>
            <w:rPr>
              <w:highlight w:val="none"/>
            </w:rPr>
            <w:fldChar w:fldCharType="separate"/>
          </w:r>
          <w:r>
            <w:rPr>
              <w:rFonts w:hint="eastAsia" w:ascii="宋体" w:hAnsi="宋体" w:eastAsia="黑体" w:cs="宋体"/>
              <w:bCs/>
              <w:kern w:val="44"/>
              <w:szCs w:val="48"/>
              <w:highlight w:val="none"/>
              <w:lang w:val="en-US" w:eastAsia="zh-CN" w:bidi="ar"/>
            </w:rPr>
            <w:t>四</w:t>
          </w:r>
          <w:r>
            <w:rPr>
              <w:rFonts w:hint="default" w:ascii="宋体" w:hAnsi="宋体" w:eastAsia="黑体" w:cs="宋体"/>
              <w:bCs/>
              <w:kern w:val="44"/>
              <w:szCs w:val="48"/>
              <w:highlight w:val="none"/>
              <w:lang w:val="en-US" w:eastAsia="zh-CN" w:bidi="ar"/>
            </w:rPr>
            <w:t>、完善</w:t>
          </w:r>
          <w:r>
            <w:rPr>
              <w:rFonts w:hint="eastAsia" w:ascii="宋体" w:hAnsi="宋体" w:eastAsia="黑体" w:cs="宋体"/>
              <w:bCs/>
              <w:kern w:val="44"/>
              <w:szCs w:val="48"/>
              <w:highlight w:val="none"/>
              <w:lang w:val="en-US" w:eastAsia="zh-CN" w:bidi="ar"/>
            </w:rPr>
            <w:t>普惠共享、特色彰显的社会福利体系</w:t>
          </w:r>
          <w:r>
            <w:rPr>
              <w:highlight w:val="none"/>
            </w:rPr>
            <w:tab/>
          </w:r>
          <w:r>
            <w:rPr>
              <w:highlight w:val="none"/>
            </w:rPr>
            <w:fldChar w:fldCharType="begin"/>
          </w:r>
          <w:r>
            <w:rPr>
              <w:highlight w:val="none"/>
            </w:rPr>
            <w:instrText xml:space="preserve"> PAGEREF _Toc29434 \h </w:instrText>
          </w:r>
          <w:r>
            <w:rPr>
              <w:highlight w:val="none"/>
            </w:rPr>
            <w:fldChar w:fldCharType="separate"/>
          </w:r>
          <w:r>
            <w:rPr>
              <w:highlight w:val="none"/>
            </w:rPr>
            <w:t>8</w:t>
          </w:r>
          <w:r>
            <w:rPr>
              <w:highlight w:val="none"/>
            </w:rPr>
            <w:fldChar w:fldCharType="end"/>
          </w:r>
          <w:r>
            <w:rPr>
              <w:color w:val="auto"/>
              <w:highlight w:val="none"/>
            </w:rPr>
            <w:fldChar w:fldCharType="end"/>
          </w:r>
        </w:p>
        <w:p w14:paraId="463758DA">
          <w:pPr>
            <w:pStyle w:val="24"/>
            <w:tabs>
              <w:tab w:val="right" w:leader="dot" w:pos="8306"/>
            </w:tabs>
            <w:rPr>
              <w:highlight w:val="none"/>
            </w:rPr>
          </w:pPr>
          <w:r>
            <w:rPr>
              <w:color w:val="auto"/>
              <w:highlight w:val="none"/>
            </w:rPr>
            <w:fldChar w:fldCharType="begin"/>
          </w:r>
          <w:r>
            <w:rPr>
              <w:highlight w:val="none"/>
            </w:rPr>
            <w:instrText xml:space="preserve"> HYPERLINK \l _Toc29067 </w:instrText>
          </w:r>
          <w:r>
            <w:rPr>
              <w:highlight w:val="none"/>
            </w:rPr>
            <w:fldChar w:fldCharType="separate"/>
          </w:r>
          <w:r>
            <w:rPr>
              <w:rFonts w:hint="default" w:ascii="宋体" w:hAnsi="宋体" w:eastAsia="楷体_GB2312" w:cs="宋体"/>
              <w:bCs/>
              <w:kern w:val="0"/>
              <w:szCs w:val="36"/>
              <w:highlight w:val="none"/>
              <w:lang w:val="en-US" w:eastAsia="zh-CN" w:bidi="ar"/>
            </w:rPr>
            <w:t>（</w:t>
          </w:r>
          <w:r>
            <w:rPr>
              <w:rFonts w:hint="eastAsia" w:ascii="宋体" w:hAnsi="宋体" w:eastAsia="楷体_GB2312" w:cs="宋体"/>
              <w:bCs/>
              <w:kern w:val="0"/>
              <w:szCs w:val="36"/>
              <w:highlight w:val="none"/>
              <w:lang w:val="en-US" w:eastAsia="zh-CN" w:bidi="ar"/>
            </w:rPr>
            <w:t>一</w:t>
          </w:r>
          <w:r>
            <w:rPr>
              <w:rFonts w:hint="default" w:ascii="宋体" w:hAnsi="宋体" w:eastAsia="楷体_GB2312" w:cs="宋体"/>
              <w:bCs/>
              <w:kern w:val="0"/>
              <w:szCs w:val="36"/>
              <w:highlight w:val="none"/>
              <w:lang w:val="en-US" w:eastAsia="zh-CN" w:bidi="ar"/>
            </w:rPr>
            <w:t>）</w:t>
          </w:r>
          <w:r>
            <w:rPr>
              <w:rFonts w:hint="eastAsia" w:ascii="宋体" w:hAnsi="宋体" w:eastAsia="楷体_GB2312" w:cs="宋体"/>
              <w:bCs/>
              <w:kern w:val="0"/>
              <w:szCs w:val="36"/>
              <w:highlight w:val="none"/>
              <w:lang w:val="en-US" w:eastAsia="zh-CN" w:bidi="ar"/>
            </w:rPr>
            <w:t>完善困境儿童多元化关爱体系</w:t>
          </w:r>
          <w:r>
            <w:rPr>
              <w:highlight w:val="none"/>
            </w:rPr>
            <w:tab/>
          </w:r>
          <w:r>
            <w:rPr>
              <w:highlight w:val="none"/>
            </w:rPr>
            <w:fldChar w:fldCharType="begin"/>
          </w:r>
          <w:r>
            <w:rPr>
              <w:highlight w:val="none"/>
            </w:rPr>
            <w:instrText xml:space="preserve"> PAGEREF _Toc29067 \h </w:instrText>
          </w:r>
          <w:r>
            <w:rPr>
              <w:highlight w:val="none"/>
            </w:rPr>
            <w:fldChar w:fldCharType="separate"/>
          </w:r>
          <w:r>
            <w:rPr>
              <w:highlight w:val="none"/>
            </w:rPr>
            <w:t>8</w:t>
          </w:r>
          <w:r>
            <w:rPr>
              <w:highlight w:val="none"/>
            </w:rPr>
            <w:fldChar w:fldCharType="end"/>
          </w:r>
          <w:r>
            <w:rPr>
              <w:color w:val="auto"/>
              <w:highlight w:val="none"/>
            </w:rPr>
            <w:fldChar w:fldCharType="end"/>
          </w:r>
        </w:p>
        <w:p w14:paraId="4EABA78D">
          <w:pPr>
            <w:pStyle w:val="24"/>
            <w:tabs>
              <w:tab w:val="right" w:leader="dot" w:pos="8306"/>
            </w:tabs>
            <w:rPr>
              <w:highlight w:val="none"/>
            </w:rPr>
          </w:pPr>
          <w:r>
            <w:rPr>
              <w:color w:val="auto"/>
              <w:highlight w:val="none"/>
            </w:rPr>
            <w:fldChar w:fldCharType="begin"/>
          </w:r>
          <w:r>
            <w:rPr>
              <w:highlight w:val="none"/>
            </w:rPr>
            <w:instrText xml:space="preserve"> HYPERLINK \l _Toc25789 </w:instrText>
          </w:r>
          <w:r>
            <w:rPr>
              <w:highlight w:val="none"/>
            </w:rPr>
            <w:fldChar w:fldCharType="separate"/>
          </w:r>
          <w:r>
            <w:rPr>
              <w:rFonts w:hint="eastAsia" w:ascii="宋体" w:hAnsi="宋体" w:eastAsia="楷体_GB2312" w:cs="宋体"/>
              <w:bCs/>
              <w:kern w:val="0"/>
              <w:szCs w:val="36"/>
              <w:highlight w:val="none"/>
              <w:lang w:val="en-US" w:eastAsia="zh-CN" w:bidi="ar"/>
            </w:rPr>
            <w:t>（二）优化残疾人精准服务关爱体系</w:t>
          </w:r>
          <w:r>
            <w:rPr>
              <w:highlight w:val="none"/>
            </w:rPr>
            <w:tab/>
          </w:r>
          <w:r>
            <w:rPr>
              <w:highlight w:val="none"/>
            </w:rPr>
            <w:fldChar w:fldCharType="begin"/>
          </w:r>
          <w:r>
            <w:rPr>
              <w:highlight w:val="none"/>
            </w:rPr>
            <w:instrText xml:space="preserve"> PAGEREF _Toc25789 \h </w:instrText>
          </w:r>
          <w:r>
            <w:rPr>
              <w:highlight w:val="none"/>
            </w:rPr>
            <w:fldChar w:fldCharType="separate"/>
          </w:r>
          <w:r>
            <w:rPr>
              <w:highlight w:val="none"/>
            </w:rPr>
            <w:t>9</w:t>
          </w:r>
          <w:r>
            <w:rPr>
              <w:highlight w:val="none"/>
            </w:rPr>
            <w:fldChar w:fldCharType="end"/>
          </w:r>
          <w:r>
            <w:rPr>
              <w:color w:val="auto"/>
              <w:highlight w:val="none"/>
            </w:rPr>
            <w:fldChar w:fldCharType="end"/>
          </w:r>
        </w:p>
        <w:p w14:paraId="29315C8C">
          <w:pPr>
            <w:pStyle w:val="20"/>
            <w:tabs>
              <w:tab w:val="right" w:leader="dot" w:pos="8306"/>
            </w:tabs>
            <w:rPr>
              <w:highlight w:val="none"/>
            </w:rPr>
          </w:pPr>
          <w:r>
            <w:rPr>
              <w:color w:val="auto"/>
              <w:highlight w:val="none"/>
            </w:rPr>
            <w:fldChar w:fldCharType="begin"/>
          </w:r>
          <w:r>
            <w:rPr>
              <w:highlight w:val="none"/>
            </w:rPr>
            <w:instrText xml:space="preserve"> HYPERLINK \l _Toc16801 </w:instrText>
          </w:r>
          <w:r>
            <w:rPr>
              <w:highlight w:val="none"/>
            </w:rPr>
            <w:fldChar w:fldCharType="separate"/>
          </w:r>
          <w:r>
            <w:rPr>
              <w:rFonts w:hint="eastAsia" w:ascii="宋体" w:hAnsi="宋体" w:eastAsia="黑体" w:cs="宋体"/>
              <w:bCs/>
              <w:kern w:val="44"/>
              <w:szCs w:val="48"/>
              <w:highlight w:val="none"/>
              <w:lang w:val="en-US" w:eastAsia="zh-CN" w:bidi="ar"/>
            </w:rPr>
            <w:t>五、优化便民惠民、温情暖心的社会事务服务</w:t>
          </w:r>
          <w:r>
            <w:rPr>
              <w:highlight w:val="none"/>
            </w:rPr>
            <w:tab/>
          </w:r>
          <w:r>
            <w:rPr>
              <w:highlight w:val="none"/>
            </w:rPr>
            <w:fldChar w:fldCharType="begin"/>
          </w:r>
          <w:r>
            <w:rPr>
              <w:highlight w:val="none"/>
            </w:rPr>
            <w:instrText xml:space="preserve"> PAGEREF _Toc16801 \h </w:instrText>
          </w:r>
          <w:r>
            <w:rPr>
              <w:highlight w:val="none"/>
            </w:rPr>
            <w:fldChar w:fldCharType="separate"/>
          </w:r>
          <w:r>
            <w:rPr>
              <w:highlight w:val="none"/>
            </w:rPr>
            <w:t>10</w:t>
          </w:r>
          <w:r>
            <w:rPr>
              <w:highlight w:val="none"/>
            </w:rPr>
            <w:fldChar w:fldCharType="end"/>
          </w:r>
          <w:r>
            <w:rPr>
              <w:color w:val="auto"/>
              <w:highlight w:val="none"/>
            </w:rPr>
            <w:fldChar w:fldCharType="end"/>
          </w:r>
        </w:p>
        <w:p w14:paraId="12E1CAE5">
          <w:pPr>
            <w:pStyle w:val="24"/>
            <w:tabs>
              <w:tab w:val="right" w:leader="dot" w:pos="8306"/>
            </w:tabs>
            <w:rPr>
              <w:highlight w:val="none"/>
            </w:rPr>
          </w:pPr>
          <w:r>
            <w:rPr>
              <w:color w:val="auto"/>
              <w:highlight w:val="none"/>
            </w:rPr>
            <w:fldChar w:fldCharType="begin"/>
          </w:r>
          <w:r>
            <w:rPr>
              <w:highlight w:val="none"/>
            </w:rPr>
            <w:instrText xml:space="preserve"> HYPERLINK \l _Toc15861 </w:instrText>
          </w:r>
          <w:r>
            <w:rPr>
              <w:highlight w:val="none"/>
            </w:rPr>
            <w:fldChar w:fldCharType="separate"/>
          </w:r>
          <w:r>
            <w:rPr>
              <w:rFonts w:hint="default" w:ascii="宋体" w:hAnsi="宋体" w:eastAsia="楷体_GB2312" w:cs="宋体"/>
              <w:bCs/>
              <w:kern w:val="0"/>
              <w:szCs w:val="36"/>
              <w:highlight w:val="none"/>
              <w:lang w:val="en-US" w:eastAsia="zh-CN" w:bidi="ar"/>
            </w:rPr>
            <w:t>（</w:t>
          </w:r>
          <w:r>
            <w:rPr>
              <w:rFonts w:hint="eastAsia" w:ascii="宋体" w:hAnsi="宋体" w:eastAsia="楷体_GB2312" w:cs="宋体"/>
              <w:bCs/>
              <w:kern w:val="0"/>
              <w:szCs w:val="36"/>
              <w:highlight w:val="none"/>
              <w:lang w:val="en-US" w:eastAsia="zh-CN" w:bidi="ar"/>
            </w:rPr>
            <w:t>一</w:t>
          </w:r>
          <w:r>
            <w:rPr>
              <w:rFonts w:hint="default" w:ascii="宋体" w:hAnsi="宋体" w:eastAsia="楷体_GB2312" w:cs="宋体"/>
              <w:bCs/>
              <w:kern w:val="0"/>
              <w:szCs w:val="36"/>
              <w:highlight w:val="none"/>
              <w:lang w:val="en-US" w:eastAsia="zh-CN" w:bidi="ar"/>
            </w:rPr>
            <w:t>）</w:t>
          </w:r>
          <w:r>
            <w:rPr>
              <w:rFonts w:hint="eastAsia" w:ascii="宋体" w:hAnsi="宋体" w:eastAsia="楷体_GB2312" w:cs="宋体"/>
              <w:bCs/>
              <w:kern w:val="0"/>
              <w:szCs w:val="36"/>
              <w:highlight w:val="none"/>
              <w:lang w:val="en-US" w:eastAsia="zh-CN" w:bidi="ar"/>
            </w:rPr>
            <w:t>推动婚姻服务提质增效</w:t>
          </w:r>
          <w:r>
            <w:rPr>
              <w:highlight w:val="none"/>
            </w:rPr>
            <w:tab/>
          </w:r>
          <w:r>
            <w:rPr>
              <w:highlight w:val="none"/>
            </w:rPr>
            <w:fldChar w:fldCharType="begin"/>
          </w:r>
          <w:r>
            <w:rPr>
              <w:highlight w:val="none"/>
            </w:rPr>
            <w:instrText xml:space="preserve"> PAGEREF _Toc15861 \h </w:instrText>
          </w:r>
          <w:r>
            <w:rPr>
              <w:highlight w:val="none"/>
            </w:rPr>
            <w:fldChar w:fldCharType="separate"/>
          </w:r>
          <w:r>
            <w:rPr>
              <w:highlight w:val="none"/>
            </w:rPr>
            <w:t>10</w:t>
          </w:r>
          <w:r>
            <w:rPr>
              <w:highlight w:val="none"/>
            </w:rPr>
            <w:fldChar w:fldCharType="end"/>
          </w:r>
          <w:r>
            <w:rPr>
              <w:color w:val="auto"/>
              <w:highlight w:val="none"/>
            </w:rPr>
            <w:fldChar w:fldCharType="end"/>
          </w:r>
        </w:p>
        <w:p w14:paraId="1EC8127F">
          <w:pPr>
            <w:pStyle w:val="24"/>
            <w:tabs>
              <w:tab w:val="right" w:leader="dot" w:pos="8306"/>
            </w:tabs>
            <w:rPr>
              <w:highlight w:val="none"/>
            </w:rPr>
          </w:pPr>
          <w:r>
            <w:rPr>
              <w:color w:val="auto"/>
              <w:highlight w:val="none"/>
            </w:rPr>
            <w:fldChar w:fldCharType="begin"/>
          </w:r>
          <w:r>
            <w:rPr>
              <w:highlight w:val="none"/>
            </w:rPr>
            <w:instrText xml:space="preserve"> HYPERLINK \l _Toc11436 </w:instrText>
          </w:r>
          <w:r>
            <w:rPr>
              <w:highlight w:val="none"/>
            </w:rPr>
            <w:fldChar w:fldCharType="separate"/>
          </w:r>
          <w:r>
            <w:rPr>
              <w:rFonts w:hint="eastAsia" w:ascii="宋体" w:hAnsi="宋体" w:eastAsia="楷体_GB2312" w:cs="宋体"/>
              <w:bCs/>
              <w:kern w:val="0"/>
              <w:szCs w:val="36"/>
              <w:highlight w:val="none"/>
              <w:lang w:val="en-US" w:eastAsia="zh-CN" w:bidi="ar"/>
            </w:rPr>
            <w:t>（二）推进便民惠民殡葬改革</w:t>
          </w:r>
          <w:r>
            <w:rPr>
              <w:highlight w:val="none"/>
            </w:rPr>
            <w:tab/>
          </w:r>
          <w:r>
            <w:rPr>
              <w:highlight w:val="none"/>
            </w:rPr>
            <w:fldChar w:fldCharType="begin"/>
          </w:r>
          <w:r>
            <w:rPr>
              <w:highlight w:val="none"/>
            </w:rPr>
            <w:instrText xml:space="preserve"> PAGEREF _Toc11436 \h </w:instrText>
          </w:r>
          <w:r>
            <w:rPr>
              <w:highlight w:val="none"/>
            </w:rPr>
            <w:fldChar w:fldCharType="separate"/>
          </w:r>
          <w:r>
            <w:rPr>
              <w:highlight w:val="none"/>
            </w:rPr>
            <w:t>11</w:t>
          </w:r>
          <w:r>
            <w:rPr>
              <w:highlight w:val="none"/>
            </w:rPr>
            <w:fldChar w:fldCharType="end"/>
          </w:r>
          <w:r>
            <w:rPr>
              <w:color w:val="auto"/>
              <w:highlight w:val="none"/>
            </w:rPr>
            <w:fldChar w:fldCharType="end"/>
          </w:r>
        </w:p>
        <w:p w14:paraId="1A5C0B41">
          <w:pPr>
            <w:pStyle w:val="24"/>
            <w:tabs>
              <w:tab w:val="right" w:leader="dot" w:pos="8306"/>
            </w:tabs>
            <w:rPr>
              <w:highlight w:val="none"/>
            </w:rPr>
          </w:pPr>
          <w:r>
            <w:rPr>
              <w:color w:val="auto"/>
              <w:highlight w:val="none"/>
            </w:rPr>
            <w:fldChar w:fldCharType="begin"/>
          </w:r>
          <w:r>
            <w:rPr>
              <w:highlight w:val="none"/>
            </w:rPr>
            <w:instrText xml:space="preserve"> HYPERLINK \l _Toc8033 </w:instrText>
          </w:r>
          <w:r>
            <w:rPr>
              <w:highlight w:val="none"/>
            </w:rPr>
            <w:fldChar w:fldCharType="separate"/>
          </w:r>
          <w:r>
            <w:rPr>
              <w:rFonts w:hint="eastAsia" w:ascii="宋体" w:hAnsi="宋体" w:eastAsia="楷体_GB2312" w:cs="宋体"/>
              <w:bCs/>
              <w:kern w:val="0"/>
              <w:szCs w:val="36"/>
              <w:highlight w:val="none"/>
              <w:lang w:val="en-US" w:eastAsia="zh-CN" w:bidi="ar"/>
            </w:rPr>
            <w:t>（三）强化见义勇为权益保障</w:t>
          </w:r>
          <w:r>
            <w:rPr>
              <w:highlight w:val="none"/>
            </w:rPr>
            <w:tab/>
          </w:r>
          <w:r>
            <w:rPr>
              <w:highlight w:val="none"/>
            </w:rPr>
            <w:fldChar w:fldCharType="begin"/>
          </w:r>
          <w:r>
            <w:rPr>
              <w:highlight w:val="none"/>
            </w:rPr>
            <w:instrText xml:space="preserve"> PAGEREF _Toc8033 \h </w:instrText>
          </w:r>
          <w:r>
            <w:rPr>
              <w:highlight w:val="none"/>
            </w:rPr>
            <w:fldChar w:fldCharType="separate"/>
          </w:r>
          <w:r>
            <w:rPr>
              <w:highlight w:val="none"/>
            </w:rPr>
            <w:t>12</w:t>
          </w:r>
          <w:r>
            <w:rPr>
              <w:highlight w:val="none"/>
            </w:rPr>
            <w:fldChar w:fldCharType="end"/>
          </w:r>
          <w:r>
            <w:rPr>
              <w:color w:val="auto"/>
              <w:highlight w:val="none"/>
            </w:rPr>
            <w:fldChar w:fldCharType="end"/>
          </w:r>
        </w:p>
        <w:p w14:paraId="689AE6F4">
          <w:pPr>
            <w:pStyle w:val="20"/>
            <w:tabs>
              <w:tab w:val="right" w:leader="dot" w:pos="8306"/>
            </w:tabs>
            <w:rPr>
              <w:highlight w:val="none"/>
            </w:rPr>
          </w:pPr>
          <w:r>
            <w:rPr>
              <w:color w:val="auto"/>
              <w:highlight w:val="none"/>
            </w:rPr>
            <w:fldChar w:fldCharType="begin"/>
          </w:r>
          <w:r>
            <w:rPr>
              <w:highlight w:val="none"/>
            </w:rPr>
            <w:instrText xml:space="preserve"> HYPERLINK \l _Toc3299 </w:instrText>
          </w:r>
          <w:r>
            <w:rPr>
              <w:highlight w:val="none"/>
            </w:rPr>
            <w:fldChar w:fldCharType="separate"/>
          </w:r>
          <w:r>
            <w:rPr>
              <w:rFonts w:hint="eastAsia" w:ascii="宋体" w:hAnsi="宋体" w:eastAsia="黑体" w:cs="宋体"/>
              <w:bCs/>
              <w:kern w:val="44"/>
              <w:szCs w:val="48"/>
              <w:highlight w:val="none"/>
              <w:lang w:val="en-US" w:eastAsia="zh-CN" w:bidi="ar"/>
            </w:rPr>
            <w:t>六</w:t>
          </w:r>
          <w:r>
            <w:rPr>
              <w:rFonts w:hint="default" w:ascii="宋体" w:hAnsi="宋体" w:eastAsia="黑体" w:cs="宋体"/>
              <w:bCs/>
              <w:kern w:val="44"/>
              <w:szCs w:val="48"/>
              <w:highlight w:val="none"/>
              <w:lang w:val="en-US" w:eastAsia="zh-CN" w:bidi="ar"/>
            </w:rPr>
            <w:t>、</w:t>
          </w:r>
          <w:r>
            <w:rPr>
              <w:rFonts w:hint="eastAsia" w:ascii="宋体" w:hAnsi="宋体" w:eastAsia="黑体" w:cs="宋体"/>
              <w:bCs/>
              <w:kern w:val="44"/>
              <w:szCs w:val="48"/>
              <w:highlight w:val="none"/>
              <w:lang w:val="en-US" w:eastAsia="zh-CN" w:bidi="ar"/>
            </w:rPr>
            <w:t>提升精细赋能、协同善治的社会治理效能</w:t>
          </w:r>
          <w:r>
            <w:rPr>
              <w:highlight w:val="none"/>
            </w:rPr>
            <w:tab/>
          </w:r>
          <w:r>
            <w:rPr>
              <w:highlight w:val="none"/>
            </w:rPr>
            <w:fldChar w:fldCharType="begin"/>
          </w:r>
          <w:r>
            <w:rPr>
              <w:highlight w:val="none"/>
            </w:rPr>
            <w:instrText xml:space="preserve"> PAGEREF _Toc3299 \h </w:instrText>
          </w:r>
          <w:r>
            <w:rPr>
              <w:highlight w:val="none"/>
            </w:rPr>
            <w:fldChar w:fldCharType="separate"/>
          </w:r>
          <w:r>
            <w:rPr>
              <w:highlight w:val="none"/>
            </w:rPr>
            <w:t>12</w:t>
          </w:r>
          <w:r>
            <w:rPr>
              <w:highlight w:val="none"/>
            </w:rPr>
            <w:fldChar w:fldCharType="end"/>
          </w:r>
          <w:r>
            <w:rPr>
              <w:color w:val="auto"/>
              <w:highlight w:val="none"/>
            </w:rPr>
            <w:fldChar w:fldCharType="end"/>
          </w:r>
        </w:p>
        <w:p w14:paraId="0F49DDEC">
          <w:pPr>
            <w:pStyle w:val="24"/>
            <w:tabs>
              <w:tab w:val="right" w:leader="dot" w:pos="8306"/>
            </w:tabs>
            <w:rPr>
              <w:highlight w:val="none"/>
            </w:rPr>
          </w:pPr>
          <w:r>
            <w:rPr>
              <w:color w:val="auto"/>
              <w:highlight w:val="none"/>
            </w:rPr>
            <w:fldChar w:fldCharType="begin"/>
          </w:r>
          <w:r>
            <w:rPr>
              <w:highlight w:val="none"/>
            </w:rPr>
            <w:instrText xml:space="preserve"> HYPERLINK \l _Toc11500 </w:instrText>
          </w:r>
          <w:r>
            <w:rPr>
              <w:highlight w:val="none"/>
            </w:rPr>
            <w:fldChar w:fldCharType="separate"/>
          </w:r>
          <w:r>
            <w:rPr>
              <w:rFonts w:hint="default" w:ascii="宋体" w:hAnsi="宋体" w:eastAsia="楷体_GB2312" w:cs="宋体"/>
              <w:bCs/>
              <w:kern w:val="0"/>
              <w:szCs w:val="36"/>
              <w:highlight w:val="none"/>
              <w:lang w:val="en-US" w:eastAsia="zh-CN" w:bidi="ar"/>
            </w:rPr>
            <w:t>（一）</w:t>
          </w:r>
          <w:r>
            <w:rPr>
              <w:rFonts w:hint="eastAsia" w:ascii="宋体" w:hAnsi="宋体" w:eastAsia="楷体_GB2312" w:cs="宋体"/>
              <w:bCs/>
              <w:kern w:val="0"/>
              <w:szCs w:val="36"/>
              <w:highlight w:val="none"/>
              <w:lang w:val="en-US" w:eastAsia="zh-CN" w:bidi="ar"/>
            </w:rPr>
            <w:t>推动社会组织规范化、品牌化发展</w:t>
          </w:r>
          <w:r>
            <w:rPr>
              <w:highlight w:val="none"/>
            </w:rPr>
            <w:tab/>
          </w:r>
          <w:r>
            <w:rPr>
              <w:highlight w:val="none"/>
            </w:rPr>
            <w:fldChar w:fldCharType="begin"/>
          </w:r>
          <w:r>
            <w:rPr>
              <w:highlight w:val="none"/>
            </w:rPr>
            <w:instrText xml:space="preserve"> PAGEREF _Toc11500 \h </w:instrText>
          </w:r>
          <w:r>
            <w:rPr>
              <w:highlight w:val="none"/>
            </w:rPr>
            <w:fldChar w:fldCharType="separate"/>
          </w:r>
          <w:r>
            <w:rPr>
              <w:highlight w:val="none"/>
            </w:rPr>
            <w:t>13</w:t>
          </w:r>
          <w:r>
            <w:rPr>
              <w:highlight w:val="none"/>
            </w:rPr>
            <w:fldChar w:fldCharType="end"/>
          </w:r>
          <w:r>
            <w:rPr>
              <w:color w:val="auto"/>
              <w:highlight w:val="none"/>
            </w:rPr>
            <w:fldChar w:fldCharType="end"/>
          </w:r>
        </w:p>
        <w:p w14:paraId="0D498158">
          <w:pPr>
            <w:pStyle w:val="24"/>
            <w:tabs>
              <w:tab w:val="right" w:leader="dot" w:pos="8306"/>
            </w:tabs>
            <w:rPr>
              <w:highlight w:val="none"/>
            </w:rPr>
          </w:pPr>
          <w:r>
            <w:rPr>
              <w:color w:val="auto"/>
              <w:highlight w:val="none"/>
            </w:rPr>
            <w:fldChar w:fldCharType="begin"/>
          </w:r>
          <w:r>
            <w:rPr>
              <w:highlight w:val="none"/>
            </w:rPr>
            <w:instrText xml:space="preserve"> HYPERLINK \l _Toc9934 </w:instrText>
          </w:r>
          <w:r>
            <w:rPr>
              <w:highlight w:val="none"/>
            </w:rPr>
            <w:fldChar w:fldCharType="separate"/>
          </w:r>
          <w:r>
            <w:rPr>
              <w:rFonts w:hint="eastAsia" w:ascii="宋体" w:hAnsi="宋体" w:eastAsia="楷体_GB2312" w:cs="宋体"/>
              <w:bCs/>
              <w:kern w:val="0"/>
              <w:szCs w:val="36"/>
              <w:highlight w:val="none"/>
              <w:lang w:val="en-US" w:eastAsia="zh-CN" w:bidi="ar"/>
            </w:rPr>
            <w:t>（二）创新慈善事业发展模式</w:t>
          </w:r>
          <w:r>
            <w:rPr>
              <w:highlight w:val="none"/>
            </w:rPr>
            <w:tab/>
          </w:r>
          <w:r>
            <w:rPr>
              <w:highlight w:val="none"/>
            </w:rPr>
            <w:fldChar w:fldCharType="begin"/>
          </w:r>
          <w:r>
            <w:rPr>
              <w:highlight w:val="none"/>
            </w:rPr>
            <w:instrText xml:space="preserve"> PAGEREF _Toc9934 \h </w:instrText>
          </w:r>
          <w:r>
            <w:rPr>
              <w:highlight w:val="none"/>
            </w:rPr>
            <w:fldChar w:fldCharType="separate"/>
          </w:r>
          <w:r>
            <w:rPr>
              <w:highlight w:val="none"/>
            </w:rPr>
            <w:t>14</w:t>
          </w:r>
          <w:r>
            <w:rPr>
              <w:highlight w:val="none"/>
            </w:rPr>
            <w:fldChar w:fldCharType="end"/>
          </w:r>
          <w:r>
            <w:rPr>
              <w:color w:val="auto"/>
              <w:highlight w:val="none"/>
            </w:rPr>
            <w:fldChar w:fldCharType="end"/>
          </w:r>
        </w:p>
        <w:p w14:paraId="73898082">
          <w:pPr>
            <w:pStyle w:val="20"/>
            <w:tabs>
              <w:tab w:val="right" w:leader="dot" w:pos="8306"/>
            </w:tabs>
            <w:rPr>
              <w:highlight w:val="none"/>
            </w:rPr>
          </w:pPr>
          <w:r>
            <w:rPr>
              <w:color w:val="auto"/>
              <w:highlight w:val="none"/>
            </w:rPr>
            <w:fldChar w:fldCharType="begin"/>
          </w:r>
          <w:r>
            <w:rPr>
              <w:highlight w:val="none"/>
            </w:rPr>
            <w:instrText xml:space="preserve"> HYPERLINK \l _Toc12324 </w:instrText>
          </w:r>
          <w:r>
            <w:rPr>
              <w:highlight w:val="none"/>
            </w:rPr>
            <w:fldChar w:fldCharType="separate"/>
          </w:r>
          <w:r>
            <w:rPr>
              <w:rFonts w:hint="eastAsia"/>
              <w:highlight w:val="none"/>
              <w:lang w:val="en-US" w:eastAsia="zh-CN"/>
            </w:rPr>
            <w:t>七、</w:t>
          </w:r>
          <w:r>
            <w:rPr>
              <w:rFonts w:hint="default"/>
              <w:highlight w:val="none"/>
              <w:lang w:val="en-US" w:eastAsia="zh-CN"/>
            </w:rPr>
            <w:t>保障</w:t>
          </w:r>
          <w:r>
            <w:rPr>
              <w:rFonts w:hint="eastAsia"/>
              <w:highlight w:val="none"/>
              <w:lang w:val="en-US" w:eastAsia="zh-CN"/>
            </w:rPr>
            <w:t>实施</w:t>
          </w:r>
          <w:r>
            <w:rPr>
              <w:highlight w:val="none"/>
            </w:rPr>
            <w:tab/>
          </w:r>
          <w:r>
            <w:rPr>
              <w:highlight w:val="none"/>
            </w:rPr>
            <w:fldChar w:fldCharType="begin"/>
          </w:r>
          <w:r>
            <w:rPr>
              <w:highlight w:val="none"/>
            </w:rPr>
            <w:instrText xml:space="preserve"> PAGEREF _Toc12324 \h </w:instrText>
          </w:r>
          <w:r>
            <w:rPr>
              <w:highlight w:val="none"/>
            </w:rPr>
            <w:fldChar w:fldCharType="separate"/>
          </w:r>
          <w:r>
            <w:rPr>
              <w:highlight w:val="none"/>
            </w:rPr>
            <w:t>15</w:t>
          </w:r>
          <w:r>
            <w:rPr>
              <w:highlight w:val="none"/>
            </w:rPr>
            <w:fldChar w:fldCharType="end"/>
          </w:r>
          <w:r>
            <w:rPr>
              <w:color w:val="auto"/>
              <w:highlight w:val="none"/>
            </w:rPr>
            <w:fldChar w:fldCharType="end"/>
          </w:r>
        </w:p>
        <w:p w14:paraId="020B5A33">
          <w:pPr>
            <w:pStyle w:val="20"/>
            <w:tabs>
              <w:tab w:val="right" w:leader="dot" w:pos="8306"/>
            </w:tabs>
            <w:rPr>
              <w:highlight w:val="none"/>
            </w:rPr>
          </w:pPr>
          <w:r>
            <w:rPr>
              <w:color w:val="auto"/>
              <w:highlight w:val="none"/>
            </w:rPr>
            <w:fldChar w:fldCharType="begin"/>
          </w:r>
          <w:r>
            <w:rPr>
              <w:highlight w:val="none"/>
            </w:rPr>
            <w:instrText xml:space="preserve"> HYPERLINK \l _Toc24674 </w:instrText>
          </w:r>
          <w:r>
            <w:rPr>
              <w:highlight w:val="none"/>
            </w:rPr>
            <w:fldChar w:fldCharType="separate"/>
          </w:r>
          <w:r>
            <w:rPr>
              <w:rFonts w:hint="eastAsia"/>
              <w:highlight w:val="none"/>
              <w:lang w:val="en-US" w:eastAsia="zh-CN"/>
            </w:rPr>
            <w:t>名词解释</w:t>
          </w:r>
          <w:r>
            <w:rPr>
              <w:highlight w:val="none"/>
            </w:rPr>
            <w:tab/>
          </w:r>
          <w:r>
            <w:rPr>
              <w:highlight w:val="none"/>
            </w:rPr>
            <w:fldChar w:fldCharType="begin"/>
          </w:r>
          <w:r>
            <w:rPr>
              <w:highlight w:val="none"/>
            </w:rPr>
            <w:instrText xml:space="preserve"> PAGEREF _Toc24674 \h </w:instrText>
          </w:r>
          <w:r>
            <w:rPr>
              <w:highlight w:val="none"/>
            </w:rPr>
            <w:fldChar w:fldCharType="separate"/>
          </w:r>
          <w:r>
            <w:rPr>
              <w:highlight w:val="none"/>
            </w:rPr>
            <w:t>17</w:t>
          </w:r>
          <w:r>
            <w:rPr>
              <w:highlight w:val="none"/>
            </w:rPr>
            <w:fldChar w:fldCharType="end"/>
          </w:r>
          <w:r>
            <w:rPr>
              <w:color w:val="auto"/>
              <w:highlight w:val="none"/>
            </w:rPr>
            <w:fldChar w:fldCharType="end"/>
          </w:r>
        </w:p>
        <w:p w14:paraId="75F017CB">
          <w:pPr>
            <w:rPr>
              <w:color w:val="auto"/>
              <w:highlight w:val="none"/>
            </w:rPr>
          </w:pPr>
          <w:r>
            <w:rPr>
              <w:color w:val="auto"/>
              <w:highlight w:val="none"/>
            </w:rPr>
            <w:fldChar w:fldCharType="end"/>
          </w:r>
        </w:p>
      </w:sdtContent>
    </w:sdt>
    <w:p w14:paraId="0C4E27E4">
      <w:pPr>
        <w:rPr>
          <w:rFonts w:hint="default"/>
          <w:color w:val="auto"/>
          <w:highlight w:val="none"/>
          <w:lang w:val="en-US" w:eastAsia="zh-CN"/>
        </w:rPr>
      </w:pPr>
      <w:r>
        <w:rPr>
          <w:rFonts w:hint="default"/>
          <w:color w:val="auto"/>
          <w:highlight w:val="none"/>
          <w:lang w:val="en-US" w:eastAsia="zh-CN"/>
        </w:rPr>
        <w:br w:type="page"/>
      </w:r>
    </w:p>
    <w:p w14:paraId="6E550EEB">
      <w:pPr>
        <w:pStyle w:val="10"/>
        <w:rPr>
          <w:rFonts w:hint="default"/>
          <w:color w:val="auto"/>
          <w:highlight w:val="none"/>
          <w:lang w:val="en-US" w:eastAsia="zh-CN"/>
        </w:rPr>
        <w:sectPr>
          <w:footerReference r:id="rId6" w:type="default"/>
          <w:footnotePr>
            <w:numFmt w:val="decimalEnclosedCircleChinese"/>
          </w:footnotePr>
          <w:pgSz w:w="11906" w:h="16838"/>
          <w:pgMar w:top="1440" w:right="1800" w:bottom="1440" w:left="1800" w:header="851" w:footer="992" w:gutter="0"/>
          <w:pgNumType w:fmt="upperRoman" w:start="1"/>
          <w:cols w:space="425" w:num="1"/>
          <w:docGrid w:type="lines" w:linePitch="312" w:charSpace="0"/>
        </w:sectPr>
      </w:pPr>
    </w:p>
    <w:p w14:paraId="13DD7C08">
      <w:pPr>
        <w:pStyle w:val="2"/>
        <w:bidi w:val="0"/>
        <w:rPr>
          <w:rFonts w:hint="default"/>
          <w:color w:val="auto"/>
          <w:highlight w:val="none"/>
          <w:lang w:val="en-US" w:eastAsia="zh-CN"/>
        </w:rPr>
      </w:pPr>
      <w:bookmarkStart w:id="0" w:name="_Toc6455"/>
      <w:bookmarkStart w:id="1" w:name="_Toc12369"/>
      <w:bookmarkStart w:id="2" w:name="_Toc28543"/>
      <w:bookmarkStart w:id="3" w:name="_Toc6364"/>
      <w:bookmarkStart w:id="4" w:name="_Toc18068"/>
      <w:bookmarkStart w:id="5" w:name="_Toc17177"/>
      <w:r>
        <w:rPr>
          <w:rFonts w:hint="eastAsia"/>
          <w:color w:val="auto"/>
          <w:highlight w:val="none"/>
          <w:lang w:val="en-US" w:eastAsia="zh-CN"/>
        </w:rPr>
        <w:t>一</w:t>
      </w:r>
      <w:r>
        <w:rPr>
          <w:rFonts w:hint="default"/>
          <w:color w:val="auto"/>
          <w:highlight w:val="none"/>
          <w:lang w:val="en-US" w:eastAsia="zh-CN"/>
        </w:rPr>
        <w:t>、</w:t>
      </w:r>
      <w:bookmarkEnd w:id="0"/>
      <w:bookmarkEnd w:id="1"/>
      <w:bookmarkEnd w:id="2"/>
      <w:r>
        <w:rPr>
          <w:rFonts w:hint="eastAsia"/>
          <w:color w:val="auto"/>
          <w:highlight w:val="none"/>
          <w:lang w:val="en-US" w:eastAsia="zh-CN"/>
        </w:rPr>
        <w:t>总体要求</w:t>
      </w:r>
      <w:bookmarkEnd w:id="3"/>
      <w:bookmarkEnd w:id="4"/>
      <w:bookmarkEnd w:id="5"/>
    </w:p>
    <w:p w14:paraId="42638F03">
      <w:pPr>
        <w:bidi w:val="0"/>
        <w:rPr>
          <w:rFonts w:hint="eastAsia"/>
          <w:color w:val="auto"/>
          <w:highlight w:val="none"/>
          <w:lang w:val="en-US" w:eastAsia="zh-CN"/>
        </w:rPr>
      </w:pPr>
      <w:r>
        <w:rPr>
          <w:rFonts w:hint="default"/>
          <w:color w:val="auto"/>
          <w:highlight w:val="none"/>
          <w:lang w:val="en-US" w:eastAsia="zh-CN"/>
        </w:rPr>
        <w:t>民政事业</w:t>
      </w:r>
      <w:r>
        <w:rPr>
          <w:rFonts w:hint="eastAsia"/>
          <w:color w:val="auto"/>
          <w:highlight w:val="none"/>
          <w:lang w:val="en-US" w:eastAsia="zh-CN"/>
        </w:rPr>
        <w:t>是</w:t>
      </w:r>
      <w:r>
        <w:rPr>
          <w:rFonts w:hint="default"/>
          <w:color w:val="auto"/>
          <w:highlight w:val="none"/>
          <w:lang w:val="en-US" w:eastAsia="zh-CN"/>
        </w:rPr>
        <w:t>普惠性、基础性、兜底性民生建设关键领域，承载着落实国家战略、增进民生福祉的使命担当</w:t>
      </w:r>
      <w:r>
        <w:rPr>
          <w:rFonts w:hint="eastAsia"/>
          <w:color w:val="auto"/>
          <w:highlight w:val="none"/>
          <w:lang w:val="en-US" w:eastAsia="zh-CN"/>
        </w:rPr>
        <w:t>。“十五五”时期，昌平民政事业坚持以习近平新时代中国特色社会主义思想为指导，全面贯彻党的二十大和二十届历次全会精神，落实习近平总书记关于民政工作重要论述，立足“中国式现代化，民生为大”工作导向，践行“民政为民、民政爱民”工作理念。紧扣首都“四个中心”功能建设与昌平国际一流现代化新城建设目标，聚焦积极应对人口老龄化、推进共同富裕等战略任务，持续补短板、强弱项，推动民政服务品质化、智慧化升级，回应群众急难愁盼，发挥民政保民生、促和谐作用，夯实区域高质量发展民生底座。</w:t>
      </w:r>
    </w:p>
    <w:p w14:paraId="4BCCAD86">
      <w:pPr>
        <w:bidi w:val="0"/>
        <w:rPr>
          <w:rFonts w:hint="eastAsia"/>
          <w:b w:val="0"/>
          <w:bCs w:val="0"/>
          <w:color w:val="auto"/>
          <w:highlight w:val="none"/>
          <w:lang w:val="en-US" w:eastAsia="zh-CN"/>
        </w:rPr>
      </w:pPr>
      <w:r>
        <w:rPr>
          <w:rFonts w:hint="eastAsia"/>
          <w:b w:val="0"/>
          <w:bCs w:val="0"/>
          <w:color w:val="auto"/>
          <w:highlight w:val="none"/>
          <w:lang w:val="en-US" w:eastAsia="zh-CN"/>
        </w:rPr>
        <w:t>到2030年，建成适配国际一流现代化新城的民政服务体系。普惠性民生保障体系更加健全，结合本区人口特征优化公共服务资源布局，不断扩大民生保障覆盖范围。基础性民生服务均衡可及，养老、社会事务、慈善事业、社会组织建设协同推进，服务效能持续提升。兜底性民生保障精准有力，分层分类社会救助体系持续完善，加快向“物质+服务”综合保障转型。民政专业人才队伍结构持续优化，重点领域服务能力稳步提升。民政安全监管机制日趋成熟，重点服务场所风险防控不断强化，民生安全底线持续筑牢。</w:t>
      </w:r>
    </w:p>
    <w:p w14:paraId="35A811D5">
      <w:pPr>
        <w:bidi w:val="0"/>
        <w:ind w:left="0" w:leftChars="0" w:right="0" w:rightChars="0" w:firstLine="0" w:firstLineChars="0"/>
        <w:jc w:val="center"/>
        <w:rPr>
          <w:rFonts w:hint="eastAsia" w:ascii="黑体" w:hAnsi="黑体" w:eastAsia="黑体" w:cs="黑体"/>
          <w:b w:val="0"/>
          <w:bCs w:val="0"/>
          <w:color w:val="auto"/>
          <w:sz w:val="24"/>
          <w:szCs w:val="21"/>
          <w:highlight w:val="none"/>
          <w:lang w:val="en-US" w:eastAsia="zh-CN"/>
        </w:rPr>
      </w:pPr>
      <w:r>
        <w:rPr>
          <w:rFonts w:hint="eastAsia" w:ascii="黑体" w:hAnsi="黑体" w:eastAsia="黑体" w:cs="黑体"/>
          <w:b w:val="0"/>
          <w:bCs w:val="0"/>
          <w:color w:val="auto"/>
          <w:sz w:val="24"/>
          <w:szCs w:val="21"/>
          <w:highlight w:val="none"/>
          <w:lang w:val="en-US" w:eastAsia="zh-CN"/>
        </w:rPr>
        <w:t>昌平区“十五五”时期民政事业发展规划主要指标</w:t>
      </w:r>
    </w:p>
    <w:tbl>
      <w:tblPr>
        <w:tblStyle w:val="56"/>
        <w:tblW w:w="9762" w:type="dxa"/>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37"/>
        <w:gridCol w:w="700"/>
        <w:gridCol w:w="4803"/>
        <w:gridCol w:w="1028"/>
        <w:gridCol w:w="1104"/>
        <w:gridCol w:w="1090"/>
      </w:tblGrid>
      <w:tr w14:paraId="44367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tblHeader/>
        </w:trPr>
        <w:tc>
          <w:tcPr>
            <w:tcW w:w="1037" w:type="dxa"/>
            <w:vAlign w:val="center"/>
          </w:tcPr>
          <w:p w14:paraId="3B97FDF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b w:val="0"/>
                <w:bCs w:val="0"/>
                <w:snapToGrid w:val="0"/>
                <w:color w:val="auto"/>
                <w:kern w:val="0"/>
                <w:sz w:val="24"/>
                <w:szCs w:val="24"/>
                <w:highlight w:val="none"/>
                <w:lang w:eastAsia="en-US"/>
              </w:rPr>
            </w:pPr>
            <w:r>
              <w:rPr>
                <w:rFonts w:hint="eastAsia" w:ascii="黑体" w:hAnsi="黑体" w:eastAsia="黑体" w:cs="黑体"/>
                <w:b w:val="0"/>
                <w:bCs w:val="0"/>
                <w:snapToGrid w:val="0"/>
                <w:color w:val="auto"/>
                <w:kern w:val="0"/>
                <w:sz w:val="24"/>
                <w:szCs w:val="24"/>
                <w:highlight w:val="none"/>
                <w:lang w:eastAsia="en-US"/>
              </w:rPr>
              <w:t>领域</w:t>
            </w:r>
          </w:p>
        </w:tc>
        <w:tc>
          <w:tcPr>
            <w:tcW w:w="700" w:type="dxa"/>
            <w:vAlign w:val="center"/>
          </w:tcPr>
          <w:p w14:paraId="2E7E5558">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b w:val="0"/>
                <w:bCs w:val="0"/>
                <w:snapToGrid w:val="0"/>
                <w:color w:val="auto"/>
                <w:kern w:val="0"/>
                <w:sz w:val="24"/>
                <w:szCs w:val="24"/>
                <w:highlight w:val="none"/>
                <w:lang w:eastAsia="en-US"/>
              </w:rPr>
            </w:pPr>
            <w:r>
              <w:rPr>
                <w:rFonts w:hint="eastAsia" w:ascii="黑体" w:hAnsi="黑体" w:eastAsia="黑体" w:cs="黑体"/>
                <w:b w:val="0"/>
                <w:bCs w:val="0"/>
                <w:snapToGrid w:val="0"/>
                <w:color w:val="auto"/>
                <w:kern w:val="0"/>
                <w:sz w:val="24"/>
                <w:szCs w:val="24"/>
                <w:highlight w:val="none"/>
                <w:lang w:eastAsia="en-US"/>
              </w:rPr>
              <w:t>序号</w:t>
            </w:r>
          </w:p>
        </w:tc>
        <w:tc>
          <w:tcPr>
            <w:tcW w:w="4803" w:type="dxa"/>
            <w:vAlign w:val="center"/>
          </w:tcPr>
          <w:p w14:paraId="3071A07F">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b w:val="0"/>
                <w:bCs w:val="0"/>
                <w:snapToGrid w:val="0"/>
                <w:color w:val="auto"/>
                <w:kern w:val="0"/>
                <w:sz w:val="24"/>
                <w:szCs w:val="24"/>
                <w:highlight w:val="none"/>
                <w:lang w:eastAsia="en-US"/>
              </w:rPr>
            </w:pPr>
            <w:r>
              <w:rPr>
                <w:rFonts w:hint="eastAsia" w:ascii="黑体" w:hAnsi="黑体" w:eastAsia="黑体" w:cs="黑体"/>
                <w:b w:val="0"/>
                <w:bCs w:val="0"/>
                <w:snapToGrid w:val="0"/>
                <w:color w:val="auto"/>
                <w:kern w:val="0"/>
                <w:sz w:val="24"/>
                <w:szCs w:val="24"/>
                <w:highlight w:val="none"/>
                <w:lang w:eastAsia="en-US"/>
              </w:rPr>
              <w:t>指标</w:t>
            </w:r>
          </w:p>
        </w:tc>
        <w:tc>
          <w:tcPr>
            <w:tcW w:w="1028" w:type="dxa"/>
            <w:vAlign w:val="center"/>
          </w:tcPr>
          <w:p w14:paraId="25AA6572">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b w:val="0"/>
                <w:bCs w:val="0"/>
                <w:snapToGrid w:val="0"/>
                <w:color w:val="auto"/>
                <w:kern w:val="0"/>
                <w:sz w:val="24"/>
                <w:szCs w:val="24"/>
                <w:highlight w:val="none"/>
                <w:lang w:eastAsia="en-US"/>
              </w:rPr>
            </w:pPr>
            <w:r>
              <w:rPr>
                <w:rFonts w:hint="eastAsia" w:ascii="黑体" w:hAnsi="黑体" w:eastAsia="黑体" w:cs="黑体"/>
                <w:b w:val="0"/>
                <w:bCs w:val="0"/>
                <w:snapToGrid w:val="0"/>
                <w:color w:val="auto"/>
                <w:kern w:val="0"/>
                <w:sz w:val="24"/>
                <w:szCs w:val="24"/>
                <w:highlight w:val="none"/>
                <w:lang w:eastAsia="en-US"/>
              </w:rPr>
              <w:t>属性</w:t>
            </w:r>
          </w:p>
        </w:tc>
        <w:tc>
          <w:tcPr>
            <w:tcW w:w="1104" w:type="dxa"/>
            <w:vAlign w:val="center"/>
          </w:tcPr>
          <w:p w14:paraId="753960F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黑体" w:hAnsi="黑体" w:eastAsia="黑体" w:cs="黑体"/>
                <w:b w:val="0"/>
                <w:bCs w:val="0"/>
                <w:snapToGrid w:val="0"/>
                <w:color w:val="auto"/>
                <w:kern w:val="0"/>
                <w:sz w:val="24"/>
                <w:szCs w:val="24"/>
                <w:highlight w:val="none"/>
                <w:lang w:val="en-US" w:eastAsia="zh-CN"/>
              </w:rPr>
            </w:pPr>
            <w:r>
              <w:rPr>
                <w:rFonts w:hint="eastAsia" w:ascii="黑体" w:hAnsi="黑体" w:eastAsia="黑体" w:cs="黑体"/>
                <w:b w:val="0"/>
                <w:bCs w:val="0"/>
                <w:snapToGrid w:val="0"/>
                <w:color w:val="auto"/>
                <w:kern w:val="0"/>
                <w:sz w:val="24"/>
                <w:szCs w:val="24"/>
                <w:highlight w:val="none"/>
                <w:lang w:eastAsia="en-US"/>
              </w:rPr>
              <w:t>2025年</w:t>
            </w:r>
          </w:p>
        </w:tc>
        <w:tc>
          <w:tcPr>
            <w:tcW w:w="1090" w:type="dxa"/>
            <w:vAlign w:val="center"/>
          </w:tcPr>
          <w:p w14:paraId="349E595F">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b w:val="0"/>
                <w:bCs w:val="0"/>
                <w:snapToGrid w:val="0"/>
                <w:color w:val="auto"/>
                <w:kern w:val="0"/>
                <w:sz w:val="24"/>
                <w:szCs w:val="24"/>
                <w:highlight w:val="none"/>
                <w:lang w:eastAsia="en-US"/>
              </w:rPr>
            </w:pPr>
            <w:r>
              <w:rPr>
                <w:rFonts w:hint="eastAsia" w:ascii="黑体" w:hAnsi="黑体" w:eastAsia="黑体" w:cs="黑体"/>
                <w:b w:val="0"/>
                <w:bCs w:val="0"/>
                <w:snapToGrid w:val="0"/>
                <w:color w:val="auto"/>
                <w:kern w:val="0"/>
                <w:sz w:val="24"/>
                <w:szCs w:val="24"/>
                <w:highlight w:val="none"/>
                <w:lang w:eastAsia="en-US"/>
              </w:rPr>
              <w:t>2030年</w:t>
            </w:r>
          </w:p>
        </w:tc>
      </w:tr>
      <w:tr w14:paraId="4FB1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37" w:type="dxa"/>
            <w:vMerge w:val="restart"/>
            <w:vAlign w:val="center"/>
          </w:tcPr>
          <w:p w14:paraId="6ED208C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snapToGrid w:val="0"/>
                <w:color w:val="auto"/>
                <w:kern w:val="0"/>
                <w:sz w:val="24"/>
                <w:szCs w:val="24"/>
                <w:highlight w:val="none"/>
                <w:lang w:eastAsia="en-US"/>
              </w:rPr>
            </w:pPr>
            <w:r>
              <w:rPr>
                <w:rFonts w:hint="eastAsia" w:ascii="黑体" w:hAnsi="黑体" w:eastAsia="黑体" w:cs="黑体"/>
                <w:snapToGrid w:val="0"/>
                <w:color w:val="auto"/>
                <w:kern w:val="0"/>
                <w:sz w:val="24"/>
                <w:szCs w:val="24"/>
                <w:highlight w:val="none"/>
                <w:lang w:eastAsia="en-US"/>
              </w:rPr>
              <w:t>老龄和养老服务</w:t>
            </w:r>
          </w:p>
        </w:tc>
        <w:tc>
          <w:tcPr>
            <w:tcW w:w="700" w:type="dxa"/>
            <w:vAlign w:val="center"/>
          </w:tcPr>
          <w:p w14:paraId="5043AD2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eastAsia="en-US"/>
              </w:rPr>
            </w:pPr>
            <w:r>
              <w:rPr>
                <w:rFonts w:hint="eastAsia" w:ascii="仿宋_GB2312" w:hAnsi="仿宋_GB2312" w:eastAsia="仿宋_GB2312" w:cs="仿宋_GB2312"/>
                <w:snapToGrid w:val="0"/>
                <w:color w:val="auto"/>
                <w:kern w:val="0"/>
                <w:sz w:val="24"/>
                <w:szCs w:val="24"/>
                <w:highlight w:val="none"/>
                <w:lang w:eastAsia="en-US"/>
              </w:rPr>
              <w:t>1</w:t>
            </w:r>
          </w:p>
        </w:tc>
        <w:tc>
          <w:tcPr>
            <w:tcW w:w="4803" w:type="dxa"/>
            <w:vAlign w:val="center"/>
          </w:tcPr>
          <w:p w14:paraId="584918ED">
            <w:pPr>
              <w:widowControl/>
              <w:kinsoku w:val="0"/>
              <w:autoSpaceDE w:val="0"/>
              <w:autoSpaceDN w:val="0"/>
              <w:adjustRightInd w:val="0"/>
              <w:snapToGrid w:val="0"/>
              <w:spacing w:line="240" w:lineRule="auto"/>
              <w:ind w:firstLine="0" w:firstLineChars="0"/>
              <w:jc w:val="left"/>
              <w:textAlignment w:val="baseline"/>
              <w:rPr>
                <w:rFonts w:hint="eastAsia" w:ascii="仿宋_GB2312" w:hAnsi="仿宋_GB2312" w:eastAsia="仿宋_GB2312" w:cs="仿宋_GB2312"/>
                <w:snapToGrid w:val="0"/>
                <w:color w:val="auto"/>
                <w:kern w:val="0"/>
                <w:sz w:val="24"/>
                <w:szCs w:val="24"/>
                <w:highlight w:val="none"/>
                <w:lang w:eastAsia="en-US"/>
              </w:rPr>
            </w:pPr>
            <w:r>
              <w:rPr>
                <w:rFonts w:hint="eastAsia" w:ascii="仿宋_GB2312" w:hAnsi="仿宋_GB2312" w:cs="仿宋_GB2312"/>
                <w:snapToGrid w:val="0"/>
                <w:color w:val="auto"/>
                <w:kern w:val="0"/>
                <w:sz w:val="24"/>
                <w:szCs w:val="24"/>
                <w:highlight w:val="none"/>
                <w:lang w:val="en-US" w:eastAsia="zh-CN"/>
              </w:rPr>
              <w:t>每千名常住人口拥有养老</w:t>
            </w:r>
            <w:r>
              <w:rPr>
                <w:rFonts w:hint="eastAsia" w:ascii="仿宋_GB2312" w:hAnsi="仿宋_GB2312" w:eastAsia="仿宋_GB2312" w:cs="仿宋_GB2312"/>
                <w:snapToGrid w:val="0"/>
                <w:color w:val="auto"/>
                <w:kern w:val="0"/>
                <w:sz w:val="24"/>
                <w:szCs w:val="24"/>
                <w:highlight w:val="none"/>
                <w:lang w:eastAsia="en-US"/>
              </w:rPr>
              <w:t>床位数</w:t>
            </w:r>
            <w:r>
              <w:rPr>
                <w:rFonts w:hint="eastAsia" w:ascii="仿宋_GB2312" w:hAnsi="仿宋_GB2312" w:eastAsia="仿宋_GB2312" w:cs="仿宋_GB2312"/>
                <w:snapToGrid w:val="0"/>
                <w:color w:val="auto"/>
                <w:kern w:val="0"/>
                <w:sz w:val="24"/>
                <w:szCs w:val="24"/>
                <w:highlight w:val="none"/>
                <w:lang w:eastAsia="zh-CN"/>
              </w:rPr>
              <w:t>（</w:t>
            </w:r>
            <w:r>
              <w:rPr>
                <w:rFonts w:hint="eastAsia" w:ascii="仿宋_GB2312" w:hAnsi="仿宋_GB2312" w:eastAsia="仿宋_GB2312" w:cs="仿宋_GB2312"/>
                <w:snapToGrid w:val="0"/>
                <w:color w:val="auto"/>
                <w:kern w:val="0"/>
                <w:sz w:val="24"/>
                <w:szCs w:val="24"/>
                <w:highlight w:val="none"/>
                <w:lang w:eastAsia="en-US"/>
              </w:rPr>
              <w:t>张</w:t>
            </w:r>
            <w:r>
              <w:rPr>
                <w:rFonts w:hint="eastAsia" w:ascii="仿宋_GB2312" w:hAnsi="仿宋_GB2312" w:eastAsia="仿宋_GB2312" w:cs="仿宋_GB2312"/>
                <w:snapToGrid w:val="0"/>
                <w:color w:val="auto"/>
                <w:kern w:val="0"/>
                <w:sz w:val="24"/>
                <w:szCs w:val="24"/>
                <w:highlight w:val="none"/>
                <w:lang w:eastAsia="zh-CN"/>
              </w:rPr>
              <w:t>）</w:t>
            </w:r>
          </w:p>
        </w:tc>
        <w:tc>
          <w:tcPr>
            <w:tcW w:w="1028" w:type="dxa"/>
            <w:vAlign w:val="center"/>
          </w:tcPr>
          <w:p w14:paraId="109D5F04">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eastAsia="en-US"/>
              </w:rPr>
            </w:pPr>
            <w:r>
              <w:rPr>
                <w:rFonts w:hint="eastAsia" w:ascii="仿宋_GB2312" w:hAnsi="仿宋_GB2312" w:eastAsia="仿宋_GB2312" w:cs="仿宋_GB2312"/>
                <w:snapToGrid w:val="0"/>
                <w:color w:val="auto"/>
                <w:kern w:val="0"/>
                <w:sz w:val="24"/>
                <w:szCs w:val="24"/>
                <w:highlight w:val="none"/>
                <w:lang w:eastAsia="en-US"/>
              </w:rPr>
              <w:t>约束性</w:t>
            </w:r>
          </w:p>
        </w:tc>
        <w:tc>
          <w:tcPr>
            <w:tcW w:w="1104" w:type="dxa"/>
            <w:vAlign w:val="center"/>
          </w:tcPr>
          <w:p w14:paraId="4F211297">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eastAsia="en-US"/>
              </w:rPr>
            </w:pPr>
            <w:r>
              <w:rPr>
                <w:rFonts w:hint="eastAsia" w:ascii="仿宋_GB2312" w:hAnsi="仿宋_GB2312" w:eastAsia="仿宋_GB2312" w:cs="仿宋_GB2312"/>
                <w:snapToGrid w:val="0"/>
                <w:color w:val="auto"/>
                <w:kern w:val="0"/>
                <w:sz w:val="24"/>
                <w:szCs w:val="24"/>
                <w:highlight w:val="none"/>
                <w:lang w:eastAsia="en-US"/>
              </w:rPr>
              <w:t>7</w:t>
            </w:r>
          </w:p>
        </w:tc>
        <w:tc>
          <w:tcPr>
            <w:tcW w:w="1090" w:type="dxa"/>
            <w:vAlign w:val="center"/>
          </w:tcPr>
          <w:p w14:paraId="7B014F2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eastAsia="en-US"/>
              </w:rPr>
            </w:pPr>
            <w:r>
              <w:rPr>
                <w:rFonts w:hint="eastAsia" w:ascii="仿宋_GB2312" w:hAnsi="仿宋_GB2312" w:eastAsia="仿宋_GB2312" w:cs="仿宋_GB2312"/>
                <w:snapToGrid w:val="0"/>
                <w:color w:val="auto"/>
                <w:kern w:val="0"/>
                <w:sz w:val="24"/>
                <w:szCs w:val="24"/>
                <w:highlight w:val="none"/>
                <w:lang w:val="en-US" w:eastAsia="en-US"/>
              </w:rPr>
              <w:t>≥</w:t>
            </w:r>
            <w:r>
              <w:rPr>
                <w:rFonts w:hint="eastAsia" w:ascii="仿宋_GB2312" w:hAnsi="仿宋_GB2312" w:eastAsia="仿宋_GB2312" w:cs="仿宋_GB2312"/>
                <w:snapToGrid w:val="0"/>
                <w:color w:val="auto"/>
                <w:kern w:val="0"/>
                <w:sz w:val="24"/>
                <w:szCs w:val="24"/>
                <w:highlight w:val="none"/>
                <w:lang w:eastAsia="en-US"/>
              </w:rPr>
              <w:t>8.25</w:t>
            </w:r>
          </w:p>
        </w:tc>
      </w:tr>
      <w:tr w14:paraId="6388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37" w:type="dxa"/>
            <w:vMerge w:val="continue"/>
            <w:vAlign w:val="center"/>
          </w:tcPr>
          <w:p w14:paraId="3054AC4F">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snapToGrid w:val="0"/>
                <w:color w:val="auto"/>
                <w:kern w:val="0"/>
                <w:sz w:val="24"/>
                <w:szCs w:val="24"/>
                <w:highlight w:val="none"/>
                <w:lang w:eastAsia="en-US"/>
              </w:rPr>
            </w:pPr>
          </w:p>
        </w:tc>
        <w:tc>
          <w:tcPr>
            <w:tcW w:w="700" w:type="dxa"/>
            <w:vAlign w:val="center"/>
          </w:tcPr>
          <w:p w14:paraId="2C8F160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rPr>
            </w:pPr>
            <w:r>
              <w:rPr>
                <w:rFonts w:hint="eastAsia" w:ascii="仿宋_GB2312" w:hAnsi="仿宋_GB2312" w:eastAsia="仿宋_GB2312" w:cs="仿宋_GB2312"/>
                <w:snapToGrid w:val="0"/>
                <w:color w:val="auto"/>
                <w:kern w:val="0"/>
                <w:sz w:val="24"/>
                <w:szCs w:val="24"/>
                <w:highlight w:val="none"/>
                <w:lang w:eastAsia="en-US"/>
              </w:rPr>
              <w:t>2</w:t>
            </w:r>
          </w:p>
        </w:tc>
        <w:tc>
          <w:tcPr>
            <w:tcW w:w="4803" w:type="dxa"/>
            <w:shd w:val="clear" w:color="auto" w:fill="auto"/>
            <w:vAlign w:val="center"/>
          </w:tcPr>
          <w:p w14:paraId="7EA99787">
            <w:pPr>
              <w:widowControl/>
              <w:kinsoku w:val="0"/>
              <w:autoSpaceDE w:val="0"/>
              <w:autoSpaceDN w:val="0"/>
              <w:adjustRightInd w:val="0"/>
              <w:snapToGrid w:val="0"/>
              <w:spacing w:line="240" w:lineRule="auto"/>
              <w:ind w:firstLine="0" w:firstLineChars="0"/>
              <w:jc w:val="left"/>
              <w:textAlignment w:val="baseline"/>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万名老年人拥有护理员数（人）</w:t>
            </w:r>
          </w:p>
        </w:tc>
        <w:tc>
          <w:tcPr>
            <w:tcW w:w="1028" w:type="dxa"/>
            <w:shd w:val="clear" w:color="auto" w:fill="auto"/>
            <w:vAlign w:val="center"/>
          </w:tcPr>
          <w:p w14:paraId="72815597">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预期性</w:t>
            </w:r>
          </w:p>
        </w:tc>
        <w:tc>
          <w:tcPr>
            <w:tcW w:w="1104" w:type="dxa"/>
            <w:shd w:val="clear" w:color="auto" w:fill="auto"/>
            <w:vAlign w:val="center"/>
          </w:tcPr>
          <w:p w14:paraId="33238273">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50</w:t>
            </w:r>
          </w:p>
        </w:tc>
        <w:tc>
          <w:tcPr>
            <w:tcW w:w="1090" w:type="dxa"/>
            <w:shd w:val="clear" w:color="auto" w:fill="auto"/>
            <w:vAlign w:val="center"/>
          </w:tcPr>
          <w:p w14:paraId="6A841AE8">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100</w:t>
            </w:r>
          </w:p>
        </w:tc>
      </w:tr>
      <w:tr w14:paraId="09E1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37" w:type="dxa"/>
            <w:vMerge w:val="continue"/>
            <w:vAlign w:val="center"/>
          </w:tcPr>
          <w:p w14:paraId="5865983C">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snapToGrid w:val="0"/>
                <w:color w:val="auto"/>
                <w:kern w:val="0"/>
                <w:sz w:val="24"/>
                <w:szCs w:val="24"/>
                <w:highlight w:val="none"/>
                <w:lang w:eastAsia="en-US"/>
              </w:rPr>
            </w:pPr>
          </w:p>
        </w:tc>
        <w:tc>
          <w:tcPr>
            <w:tcW w:w="700" w:type="dxa"/>
            <w:vAlign w:val="center"/>
          </w:tcPr>
          <w:p w14:paraId="32A604C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eastAsia="en-US"/>
              </w:rPr>
            </w:pPr>
            <w:r>
              <w:rPr>
                <w:rFonts w:hint="eastAsia" w:ascii="仿宋_GB2312" w:hAnsi="仿宋_GB2312" w:eastAsia="仿宋_GB2312" w:cs="仿宋_GB2312"/>
                <w:snapToGrid w:val="0"/>
                <w:color w:val="auto"/>
                <w:kern w:val="0"/>
                <w:sz w:val="24"/>
                <w:szCs w:val="24"/>
                <w:highlight w:val="none"/>
                <w:lang w:eastAsia="en-US"/>
              </w:rPr>
              <w:t>3</w:t>
            </w:r>
          </w:p>
        </w:tc>
        <w:tc>
          <w:tcPr>
            <w:tcW w:w="4803" w:type="dxa"/>
            <w:shd w:val="clear" w:color="auto" w:fill="auto"/>
            <w:vAlign w:val="center"/>
          </w:tcPr>
          <w:p w14:paraId="5B0ED682">
            <w:pPr>
              <w:widowControl/>
              <w:kinsoku w:val="0"/>
              <w:autoSpaceDE w:val="0"/>
              <w:autoSpaceDN w:val="0"/>
              <w:adjustRightInd w:val="0"/>
              <w:snapToGrid w:val="0"/>
              <w:spacing w:line="240" w:lineRule="auto"/>
              <w:ind w:firstLine="0" w:firstLineChars="0"/>
              <w:jc w:val="left"/>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养老机构护理型床位占比</w:t>
            </w:r>
            <w:r>
              <w:rPr>
                <w:rFonts w:hint="eastAsia" w:ascii="仿宋_GB2312" w:hAnsi="仿宋_GB2312" w:eastAsia="仿宋_GB2312" w:cs="仿宋_GB2312"/>
                <w:snapToGrid w:val="0"/>
                <w:color w:val="auto"/>
                <w:kern w:val="0"/>
                <w:sz w:val="24"/>
                <w:szCs w:val="24"/>
                <w:highlight w:val="none"/>
                <w:lang w:eastAsia="zh-CN"/>
              </w:rPr>
              <w:t>（</w:t>
            </w:r>
            <w:r>
              <w:rPr>
                <w:rFonts w:hint="eastAsia" w:ascii="仿宋_GB2312" w:hAnsi="仿宋_GB2312" w:eastAsia="仿宋_GB2312" w:cs="仿宋_GB2312"/>
                <w:snapToGrid w:val="0"/>
                <w:color w:val="auto"/>
                <w:kern w:val="0"/>
                <w:sz w:val="24"/>
                <w:szCs w:val="24"/>
                <w:highlight w:val="none"/>
                <w:lang w:eastAsia="en-US"/>
              </w:rPr>
              <w:t>%</w:t>
            </w:r>
            <w:r>
              <w:rPr>
                <w:rFonts w:hint="eastAsia" w:ascii="仿宋_GB2312" w:hAnsi="仿宋_GB2312" w:eastAsia="仿宋_GB2312" w:cs="仿宋_GB2312"/>
                <w:snapToGrid w:val="0"/>
                <w:color w:val="auto"/>
                <w:kern w:val="0"/>
                <w:sz w:val="24"/>
                <w:szCs w:val="24"/>
                <w:highlight w:val="none"/>
                <w:lang w:eastAsia="zh-CN"/>
              </w:rPr>
              <w:t>）</w:t>
            </w:r>
          </w:p>
        </w:tc>
        <w:tc>
          <w:tcPr>
            <w:tcW w:w="1028" w:type="dxa"/>
            <w:shd w:val="clear" w:color="auto" w:fill="auto"/>
            <w:vAlign w:val="center"/>
          </w:tcPr>
          <w:p w14:paraId="306963BB">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预期性</w:t>
            </w:r>
          </w:p>
        </w:tc>
        <w:tc>
          <w:tcPr>
            <w:tcW w:w="1104" w:type="dxa"/>
            <w:shd w:val="clear" w:color="auto" w:fill="auto"/>
            <w:vAlign w:val="center"/>
          </w:tcPr>
          <w:p w14:paraId="681B0B93">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val="en-US" w:eastAsia="en-US"/>
              </w:rPr>
              <w:t>75.3左右</w:t>
            </w:r>
          </w:p>
        </w:tc>
        <w:tc>
          <w:tcPr>
            <w:tcW w:w="1090" w:type="dxa"/>
            <w:shd w:val="clear" w:color="auto" w:fill="auto"/>
            <w:vAlign w:val="center"/>
          </w:tcPr>
          <w:p w14:paraId="70CB3E1C">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eastAsia="仿宋_GB2312" w:cs="仿宋_GB2312"/>
                <w:snapToGrid w:val="0"/>
                <w:color w:val="auto"/>
                <w:kern w:val="0"/>
                <w:sz w:val="24"/>
                <w:szCs w:val="24"/>
                <w:highlight w:val="none"/>
                <w:lang w:eastAsia="en-US"/>
              </w:rPr>
              <w:t>7</w:t>
            </w:r>
            <w:r>
              <w:rPr>
                <w:rFonts w:hint="eastAsia" w:ascii="仿宋_GB2312" w:hAnsi="仿宋_GB2312" w:cs="仿宋_GB2312"/>
                <w:snapToGrid w:val="0"/>
                <w:color w:val="auto"/>
                <w:kern w:val="0"/>
                <w:sz w:val="24"/>
                <w:szCs w:val="24"/>
                <w:highlight w:val="none"/>
                <w:lang w:val="en-US" w:eastAsia="zh-CN"/>
              </w:rPr>
              <w:t>8左右</w:t>
            </w:r>
          </w:p>
        </w:tc>
      </w:tr>
      <w:tr w14:paraId="244A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37" w:type="dxa"/>
            <w:vMerge w:val="continue"/>
            <w:vAlign w:val="center"/>
          </w:tcPr>
          <w:p w14:paraId="7E36FE2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snapToGrid w:val="0"/>
                <w:color w:val="auto"/>
                <w:kern w:val="0"/>
                <w:sz w:val="24"/>
                <w:szCs w:val="24"/>
                <w:highlight w:val="none"/>
                <w:lang w:eastAsia="en-US"/>
              </w:rPr>
            </w:pPr>
          </w:p>
        </w:tc>
        <w:tc>
          <w:tcPr>
            <w:tcW w:w="700" w:type="dxa"/>
            <w:vAlign w:val="center"/>
          </w:tcPr>
          <w:p w14:paraId="34FE958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eastAsia="en-US"/>
              </w:rPr>
            </w:pPr>
            <w:r>
              <w:rPr>
                <w:rFonts w:hint="eastAsia" w:ascii="仿宋_GB2312" w:hAnsi="仿宋_GB2312" w:eastAsia="仿宋_GB2312" w:cs="仿宋_GB2312"/>
                <w:snapToGrid w:val="0"/>
                <w:color w:val="auto"/>
                <w:kern w:val="0"/>
                <w:sz w:val="24"/>
                <w:szCs w:val="24"/>
                <w:highlight w:val="none"/>
                <w:lang w:eastAsia="en-US"/>
              </w:rPr>
              <w:t>4</w:t>
            </w:r>
          </w:p>
        </w:tc>
        <w:tc>
          <w:tcPr>
            <w:tcW w:w="4803" w:type="dxa"/>
            <w:shd w:val="clear" w:color="auto" w:fill="auto"/>
            <w:vAlign w:val="center"/>
          </w:tcPr>
          <w:p w14:paraId="12A20B27">
            <w:pPr>
              <w:widowControl/>
              <w:kinsoku w:val="0"/>
              <w:autoSpaceDE w:val="0"/>
              <w:autoSpaceDN w:val="0"/>
              <w:adjustRightInd w:val="0"/>
              <w:snapToGrid w:val="0"/>
              <w:spacing w:line="240" w:lineRule="auto"/>
              <w:ind w:firstLine="0" w:firstLineChars="0"/>
              <w:jc w:val="left"/>
              <w:textAlignment w:val="baseline"/>
              <w:rPr>
                <w:rFonts w:hint="eastAsia" w:ascii="仿宋_GB2312" w:hAnsi="仿宋_GB2312" w:cs="仿宋_GB2312"/>
                <w:snapToGrid w:val="0"/>
                <w:color w:val="auto"/>
                <w:kern w:val="0"/>
                <w:sz w:val="24"/>
                <w:szCs w:val="24"/>
                <w:highlight w:val="none"/>
                <w:lang w:val="en-US" w:eastAsia="zh-CN" w:bidi="ar-SA"/>
              </w:rPr>
            </w:pPr>
            <w:r>
              <w:rPr>
                <w:rFonts w:hint="eastAsia" w:ascii="仿宋_GB2312" w:hAnsi="仿宋_GB2312" w:eastAsia="仿宋_GB2312" w:cs="仿宋_GB2312"/>
                <w:snapToGrid w:val="0"/>
                <w:color w:val="auto"/>
                <w:kern w:val="0"/>
                <w:sz w:val="24"/>
                <w:szCs w:val="24"/>
                <w:highlight w:val="none"/>
                <w:lang w:val="en-US" w:eastAsia="en-US" w:bidi="ar-SA"/>
              </w:rPr>
              <w:t>100张床位以上且具备相应服务能力的养老机构失智老年人照护专区</w:t>
            </w:r>
            <w:r>
              <w:rPr>
                <w:rFonts w:hint="eastAsia" w:ascii="仿宋_GB2312" w:hAnsi="仿宋_GB2312" w:cs="仿宋_GB2312"/>
                <w:snapToGrid w:val="0"/>
                <w:color w:val="auto"/>
                <w:kern w:val="0"/>
                <w:sz w:val="24"/>
                <w:szCs w:val="24"/>
                <w:highlight w:val="none"/>
                <w:lang w:val="en-US" w:eastAsia="zh-CN" w:bidi="ar-SA"/>
              </w:rPr>
              <w:t>（</w:t>
            </w:r>
            <w:r>
              <w:rPr>
                <w:rFonts w:hint="eastAsia" w:ascii="仿宋_GB2312" w:hAnsi="仿宋_GB2312" w:eastAsia="仿宋_GB2312" w:cs="仿宋_GB2312"/>
                <w:snapToGrid w:val="0"/>
                <w:color w:val="auto"/>
                <w:kern w:val="0"/>
                <w:sz w:val="24"/>
                <w:szCs w:val="24"/>
                <w:highlight w:val="none"/>
                <w:lang w:val="en-US" w:eastAsia="en-US" w:bidi="ar-SA"/>
              </w:rPr>
              <w:t>单元</w:t>
            </w:r>
            <w:r>
              <w:rPr>
                <w:rFonts w:hint="eastAsia" w:ascii="仿宋_GB2312" w:hAnsi="仿宋_GB2312" w:cs="仿宋_GB2312"/>
                <w:snapToGrid w:val="0"/>
                <w:color w:val="auto"/>
                <w:kern w:val="0"/>
                <w:sz w:val="24"/>
                <w:szCs w:val="24"/>
                <w:highlight w:val="none"/>
                <w:lang w:val="en-US" w:eastAsia="zh-CN" w:bidi="ar-SA"/>
              </w:rPr>
              <w:t>）</w:t>
            </w:r>
            <w:r>
              <w:rPr>
                <w:rFonts w:hint="eastAsia" w:ascii="仿宋_GB2312" w:hAnsi="仿宋_GB2312" w:eastAsia="仿宋_GB2312" w:cs="仿宋_GB2312"/>
                <w:snapToGrid w:val="0"/>
                <w:color w:val="auto"/>
                <w:kern w:val="0"/>
                <w:sz w:val="24"/>
                <w:szCs w:val="24"/>
                <w:highlight w:val="none"/>
                <w:lang w:val="en-US" w:eastAsia="en-US" w:bidi="ar-SA"/>
              </w:rPr>
              <w:t>设置率</w:t>
            </w:r>
            <w:r>
              <w:rPr>
                <w:rFonts w:hint="eastAsia" w:ascii="仿宋_GB2312" w:hAnsi="仿宋_GB2312" w:cs="仿宋_GB2312"/>
                <w:snapToGrid w:val="0"/>
                <w:color w:val="auto"/>
                <w:kern w:val="0"/>
                <w:sz w:val="24"/>
                <w:szCs w:val="24"/>
                <w:highlight w:val="none"/>
                <w:lang w:val="en-US" w:eastAsia="zh-CN" w:bidi="ar-SA"/>
              </w:rPr>
              <w:t>（</w:t>
            </w:r>
            <w:r>
              <w:rPr>
                <w:rFonts w:hint="eastAsia" w:ascii="仿宋_GB2312" w:hAnsi="仿宋_GB2312" w:eastAsia="仿宋_GB2312" w:cs="仿宋_GB2312"/>
                <w:snapToGrid w:val="0"/>
                <w:color w:val="auto"/>
                <w:kern w:val="0"/>
                <w:sz w:val="24"/>
                <w:szCs w:val="24"/>
                <w:highlight w:val="none"/>
                <w:lang w:val="en-US" w:eastAsia="en-US" w:bidi="ar-SA"/>
              </w:rPr>
              <w:t>%</w:t>
            </w:r>
            <w:r>
              <w:rPr>
                <w:rFonts w:hint="eastAsia" w:ascii="仿宋_GB2312" w:hAnsi="仿宋_GB2312" w:cs="仿宋_GB2312"/>
                <w:snapToGrid w:val="0"/>
                <w:color w:val="auto"/>
                <w:kern w:val="0"/>
                <w:sz w:val="24"/>
                <w:szCs w:val="24"/>
                <w:highlight w:val="none"/>
                <w:lang w:val="en-US" w:eastAsia="zh-CN" w:bidi="ar-SA"/>
              </w:rPr>
              <w:t>）</w:t>
            </w:r>
          </w:p>
          <w:p w14:paraId="1504CBA5">
            <w:pPr>
              <w:widowControl/>
              <w:kinsoku w:val="0"/>
              <w:autoSpaceDE w:val="0"/>
              <w:autoSpaceDN w:val="0"/>
              <w:adjustRightInd w:val="0"/>
              <w:snapToGrid w:val="0"/>
              <w:spacing w:line="240" w:lineRule="auto"/>
              <w:ind w:firstLine="0" w:firstLineChars="0"/>
              <w:jc w:val="left"/>
              <w:textAlignment w:val="baseline"/>
              <w:rPr>
                <w:rFonts w:hint="eastAsia" w:ascii="仿宋_GB2312" w:hAnsi="仿宋_GB2312" w:cs="仿宋_GB2312"/>
                <w:snapToGrid w:val="0"/>
                <w:color w:val="auto"/>
                <w:kern w:val="0"/>
                <w:sz w:val="24"/>
                <w:szCs w:val="24"/>
                <w:highlight w:val="none"/>
                <w:lang w:val="en-US" w:eastAsia="en-US" w:bidi="ar-SA"/>
              </w:rPr>
            </w:pPr>
          </w:p>
        </w:tc>
        <w:tc>
          <w:tcPr>
            <w:tcW w:w="1028" w:type="dxa"/>
            <w:shd w:val="clear" w:color="auto" w:fill="auto"/>
            <w:vAlign w:val="center"/>
          </w:tcPr>
          <w:p w14:paraId="7D69449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预期性</w:t>
            </w:r>
          </w:p>
        </w:tc>
        <w:tc>
          <w:tcPr>
            <w:tcW w:w="1104" w:type="dxa"/>
            <w:shd w:val="clear" w:color="auto" w:fill="auto"/>
            <w:vAlign w:val="center"/>
          </w:tcPr>
          <w:p w14:paraId="73D94CC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12</w:t>
            </w:r>
          </w:p>
        </w:tc>
        <w:tc>
          <w:tcPr>
            <w:tcW w:w="1090" w:type="dxa"/>
            <w:shd w:val="clear" w:color="auto" w:fill="auto"/>
            <w:vAlign w:val="center"/>
          </w:tcPr>
          <w:p w14:paraId="35139958">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≥50</w:t>
            </w:r>
          </w:p>
        </w:tc>
      </w:tr>
      <w:tr w14:paraId="718E8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37" w:type="dxa"/>
            <w:vMerge w:val="continue"/>
            <w:vAlign w:val="center"/>
          </w:tcPr>
          <w:p w14:paraId="4E56CE83">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snapToGrid w:val="0"/>
                <w:color w:val="auto"/>
                <w:kern w:val="0"/>
                <w:sz w:val="24"/>
                <w:szCs w:val="24"/>
                <w:highlight w:val="none"/>
                <w:lang w:eastAsia="en-US"/>
              </w:rPr>
            </w:pPr>
          </w:p>
        </w:tc>
        <w:tc>
          <w:tcPr>
            <w:tcW w:w="700" w:type="dxa"/>
            <w:vAlign w:val="center"/>
          </w:tcPr>
          <w:p w14:paraId="69A2E5E3">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eastAsia="en-US"/>
              </w:rPr>
            </w:pPr>
            <w:r>
              <w:rPr>
                <w:rFonts w:hint="eastAsia" w:ascii="仿宋_GB2312" w:hAnsi="仿宋_GB2312" w:eastAsia="仿宋_GB2312" w:cs="仿宋_GB2312"/>
                <w:snapToGrid w:val="0"/>
                <w:color w:val="auto"/>
                <w:kern w:val="0"/>
                <w:sz w:val="24"/>
                <w:szCs w:val="24"/>
                <w:highlight w:val="none"/>
                <w:lang w:eastAsia="en-US"/>
              </w:rPr>
              <w:t>5</w:t>
            </w:r>
          </w:p>
        </w:tc>
        <w:tc>
          <w:tcPr>
            <w:tcW w:w="4803" w:type="dxa"/>
            <w:shd w:val="clear" w:color="auto" w:fill="auto"/>
            <w:vAlign w:val="center"/>
          </w:tcPr>
          <w:p w14:paraId="32B94BA1">
            <w:pPr>
              <w:widowControl/>
              <w:kinsoku w:val="0"/>
              <w:autoSpaceDE w:val="0"/>
              <w:autoSpaceDN w:val="0"/>
              <w:adjustRightInd w:val="0"/>
              <w:snapToGrid w:val="0"/>
              <w:spacing w:line="240" w:lineRule="auto"/>
              <w:ind w:firstLine="0" w:firstLineChars="0"/>
              <w:jc w:val="left"/>
              <w:textAlignment w:val="baseline"/>
              <w:rPr>
                <w:rFonts w:hint="default" w:ascii="仿宋_GB2312" w:hAnsi="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街道（镇）区域养老服务中心服务覆盖率（%）</w:t>
            </w:r>
          </w:p>
        </w:tc>
        <w:tc>
          <w:tcPr>
            <w:tcW w:w="1028" w:type="dxa"/>
            <w:shd w:val="clear" w:color="auto" w:fill="auto"/>
            <w:vAlign w:val="center"/>
          </w:tcPr>
          <w:p w14:paraId="174C98BC">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预期性</w:t>
            </w:r>
          </w:p>
        </w:tc>
        <w:tc>
          <w:tcPr>
            <w:tcW w:w="1104" w:type="dxa"/>
            <w:shd w:val="clear" w:color="auto" w:fill="auto"/>
            <w:vAlign w:val="center"/>
          </w:tcPr>
          <w:p w14:paraId="506F02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宋体" w:eastAsia="仿宋_GB2312" w:cs="仿宋_GB2312"/>
                <w:i w:val="0"/>
                <w:iCs w:val="0"/>
                <w:color w:val="000000"/>
                <w:kern w:val="0"/>
                <w:sz w:val="24"/>
                <w:szCs w:val="24"/>
                <w:highlight w:val="none"/>
                <w:u w:val="none"/>
                <w:lang w:val="en-US" w:eastAsia="zh-CN" w:bidi="ar"/>
              </w:rPr>
              <w:t>45</w:t>
            </w:r>
            <w:r>
              <w:rPr>
                <w:rFonts w:hint="eastAsia" w:ascii="仿宋_GB2312" w:hAnsi="宋体" w:cs="仿宋_GB2312"/>
                <w:i w:val="0"/>
                <w:iCs w:val="0"/>
                <w:color w:val="000000"/>
                <w:kern w:val="0"/>
                <w:sz w:val="24"/>
                <w:szCs w:val="24"/>
                <w:highlight w:val="none"/>
                <w:u w:val="none"/>
                <w:lang w:val="en-US" w:eastAsia="zh-CN" w:bidi="ar"/>
              </w:rPr>
              <w:t>（</w:t>
            </w:r>
            <w:r>
              <w:rPr>
                <w:rFonts w:hint="eastAsia" w:ascii="仿宋_GB2312" w:hAnsi="宋体" w:eastAsia="仿宋_GB2312" w:cs="仿宋_GB2312"/>
                <w:i w:val="0"/>
                <w:iCs w:val="0"/>
                <w:color w:val="000000"/>
                <w:kern w:val="0"/>
                <w:sz w:val="24"/>
                <w:szCs w:val="24"/>
                <w:highlight w:val="none"/>
                <w:u w:val="none"/>
                <w:lang w:val="en-US" w:eastAsia="zh-CN" w:bidi="ar"/>
              </w:rPr>
              <w:t>街道服务覆盖率57</w:t>
            </w:r>
            <w:r>
              <w:rPr>
                <w:rFonts w:hint="eastAsia" w:ascii="仿宋_GB2312" w:hAnsi="宋体" w:cs="仿宋_GB2312"/>
                <w:i w:val="0"/>
                <w:iCs w:val="0"/>
                <w:color w:val="000000"/>
                <w:kern w:val="0"/>
                <w:sz w:val="24"/>
                <w:szCs w:val="24"/>
                <w:highlight w:val="none"/>
                <w:u w:val="none"/>
                <w:lang w:val="en-US" w:eastAsia="zh-CN" w:bidi="ar"/>
              </w:rPr>
              <w:t>；</w:t>
            </w:r>
            <w:r>
              <w:rPr>
                <w:rFonts w:hint="eastAsia" w:ascii="仿宋_GB2312" w:hAnsi="宋体" w:eastAsia="仿宋_GB2312" w:cs="仿宋_GB2312"/>
                <w:i w:val="0"/>
                <w:iCs w:val="0"/>
                <w:color w:val="000000"/>
                <w:kern w:val="0"/>
                <w:sz w:val="24"/>
                <w:szCs w:val="24"/>
                <w:highlight w:val="none"/>
                <w:u w:val="none"/>
                <w:lang w:val="en-US" w:eastAsia="zh-CN" w:bidi="ar"/>
              </w:rPr>
              <w:t>平原浅山镇服务覆盖率36</w:t>
            </w:r>
            <w:r>
              <w:rPr>
                <w:rFonts w:hint="eastAsia" w:ascii="仿宋_GB2312" w:hAnsi="宋体" w:cs="仿宋_GB2312"/>
                <w:i w:val="0"/>
                <w:iCs w:val="0"/>
                <w:color w:val="000000"/>
                <w:kern w:val="0"/>
                <w:sz w:val="24"/>
                <w:szCs w:val="24"/>
                <w:highlight w:val="none"/>
                <w:u w:val="none"/>
                <w:lang w:val="en-US" w:eastAsia="zh-CN" w:bidi="ar"/>
              </w:rPr>
              <w:t>）</w:t>
            </w:r>
          </w:p>
        </w:tc>
        <w:tc>
          <w:tcPr>
            <w:tcW w:w="1090" w:type="dxa"/>
            <w:shd w:val="clear" w:color="auto" w:fill="auto"/>
            <w:vAlign w:val="center"/>
          </w:tcPr>
          <w:p w14:paraId="4E4183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宋体" w:eastAsia="仿宋_GB2312" w:cs="仿宋_GB2312"/>
                <w:i w:val="0"/>
                <w:iCs w:val="0"/>
                <w:color w:val="000000"/>
                <w:kern w:val="0"/>
                <w:sz w:val="24"/>
                <w:szCs w:val="24"/>
                <w:highlight w:val="none"/>
                <w:u w:val="none"/>
                <w:lang w:val="en-US" w:eastAsia="zh-CN" w:bidi="ar"/>
              </w:rPr>
              <w:t>80</w:t>
            </w:r>
            <w:r>
              <w:rPr>
                <w:rFonts w:hint="eastAsia" w:ascii="仿宋_GB2312" w:hAnsi="宋体" w:cs="仿宋_GB2312"/>
                <w:i w:val="0"/>
                <w:iCs w:val="0"/>
                <w:color w:val="000000"/>
                <w:kern w:val="0"/>
                <w:sz w:val="24"/>
                <w:szCs w:val="24"/>
                <w:highlight w:val="none"/>
                <w:u w:val="none"/>
                <w:lang w:val="en-US" w:eastAsia="zh-CN" w:bidi="ar"/>
              </w:rPr>
              <w:t>（</w:t>
            </w:r>
            <w:r>
              <w:rPr>
                <w:rFonts w:hint="eastAsia" w:ascii="仿宋_GB2312" w:hAnsi="宋体" w:eastAsia="仿宋_GB2312" w:cs="仿宋_GB2312"/>
                <w:i w:val="0"/>
                <w:iCs w:val="0"/>
                <w:color w:val="000000"/>
                <w:kern w:val="0"/>
                <w:sz w:val="24"/>
                <w:szCs w:val="24"/>
                <w:highlight w:val="none"/>
                <w:u w:val="none"/>
                <w:lang w:val="en-US" w:eastAsia="zh-CN" w:bidi="ar"/>
              </w:rPr>
              <w:t>街道服务全覆盖</w:t>
            </w:r>
            <w:r>
              <w:rPr>
                <w:rFonts w:hint="eastAsia" w:ascii="仿宋_GB2312" w:hAnsi="宋体" w:cs="仿宋_GB2312"/>
                <w:i w:val="0"/>
                <w:iCs w:val="0"/>
                <w:color w:val="000000"/>
                <w:kern w:val="0"/>
                <w:sz w:val="24"/>
                <w:szCs w:val="24"/>
                <w:highlight w:val="none"/>
                <w:u w:val="none"/>
                <w:lang w:val="en-US" w:eastAsia="zh-CN" w:bidi="ar"/>
              </w:rPr>
              <w:t>；</w:t>
            </w:r>
            <w:r>
              <w:rPr>
                <w:rFonts w:hint="eastAsia" w:ascii="仿宋_GB2312" w:hAnsi="宋体" w:eastAsia="仿宋_GB2312" w:cs="仿宋_GB2312"/>
                <w:i w:val="0"/>
                <w:iCs w:val="0"/>
                <w:color w:val="000000"/>
                <w:kern w:val="0"/>
                <w:sz w:val="24"/>
                <w:szCs w:val="24"/>
                <w:highlight w:val="none"/>
                <w:u w:val="none"/>
                <w:lang w:val="en-US" w:eastAsia="zh-CN" w:bidi="ar"/>
              </w:rPr>
              <w:t>平原浅山镇服务覆盖率75</w:t>
            </w:r>
            <w:r>
              <w:rPr>
                <w:rFonts w:hint="eastAsia" w:ascii="仿宋_GB2312" w:hAnsi="宋体" w:cs="仿宋_GB2312"/>
                <w:i w:val="0"/>
                <w:iCs w:val="0"/>
                <w:color w:val="000000"/>
                <w:kern w:val="0"/>
                <w:sz w:val="24"/>
                <w:szCs w:val="24"/>
                <w:highlight w:val="none"/>
                <w:u w:val="none"/>
                <w:lang w:val="en-US" w:eastAsia="zh-CN" w:bidi="ar"/>
              </w:rPr>
              <w:t>）</w:t>
            </w:r>
          </w:p>
        </w:tc>
      </w:tr>
      <w:tr w14:paraId="529A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37" w:type="dxa"/>
            <w:vAlign w:val="center"/>
          </w:tcPr>
          <w:p w14:paraId="0A77D76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snapToGrid w:val="0"/>
                <w:color w:val="auto"/>
                <w:kern w:val="0"/>
                <w:sz w:val="24"/>
                <w:szCs w:val="24"/>
                <w:highlight w:val="none"/>
                <w:lang w:val="en-US" w:eastAsia="zh-CN"/>
              </w:rPr>
            </w:pPr>
            <w:r>
              <w:rPr>
                <w:rFonts w:hint="eastAsia" w:ascii="黑体" w:hAnsi="黑体" w:eastAsia="黑体" w:cs="黑体"/>
                <w:snapToGrid w:val="0"/>
                <w:color w:val="auto"/>
                <w:kern w:val="0"/>
                <w:sz w:val="24"/>
                <w:szCs w:val="24"/>
                <w:highlight w:val="none"/>
                <w:lang w:val="en-US" w:eastAsia="zh-CN"/>
              </w:rPr>
              <w:t>社会福利</w:t>
            </w:r>
          </w:p>
        </w:tc>
        <w:tc>
          <w:tcPr>
            <w:tcW w:w="700" w:type="dxa"/>
            <w:shd w:val="clear" w:color="auto" w:fill="auto"/>
            <w:vAlign w:val="center"/>
          </w:tcPr>
          <w:p w14:paraId="41632BF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bidi="ar-SA"/>
              </w:rPr>
              <w:t>6</w:t>
            </w:r>
          </w:p>
        </w:tc>
        <w:tc>
          <w:tcPr>
            <w:tcW w:w="4803" w:type="dxa"/>
            <w:shd w:val="clear" w:color="auto" w:fill="auto"/>
            <w:vAlign w:val="center"/>
          </w:tcPr>
          <w:p w14:paraId="18642E92">
            <w:pPr>
              <w:widowControl/>
              <w:kinsoku w:val="0"/>
              <w:autoSpaceDE w:val="0"/>
              <w:autoSpaceDN w:val="0"/>
              <w:adjustRightInd w:val="0"/>
              <w:snapToGrid w:val="0"/>
              <w:spacing w:line="240" w:lineRule="auto"/>
              <w:ind w:firstLine="0" w:firstLineChars="0"/>
              <w:jc w:val="left"/>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开展精神障碍社区康复服务的街道</w:t>
            </w:r>
            <w:r>
              <w:rPr>
                <w:rFonts w:hint="eastAsia" w:ascii="仿宋_GB2312" w:hAnsi="仿宋_GB2312" w:eastAsia="仿宋_GB2312" w:cs="仿宋_GB2312"/>
                <w:snapToGrid w:val="0"/>
                <w:color w:val="auto"/>
                <w:kern w:val="0"/>
                <w:sz w:val="24"/>
                <w:szCs w:val="24"/>
                <w:highlight w:val="none"/>
                <w:lang w:eastAsia="zh-CN"/>
              </w:rPr>
              <w:t>（</w:t>
            </w:r>
            <w:r>
              <w:rPr>
                <w:rFonts w:hint="eastAsia" w:ascii="仿宋_GB2312" w:hAnsi="仿宋_GB2312" w:eastAsia="仿宋_GB2312" w:cs="仿宋_GB2312"/>
                <w:snapToGrid w:val="0"/>
                <w:color w:val="auto"/>
                <w:kern w:val="0"/>
                <w:sz w:val="24"/>
                <w:szCs w:val="24"/>
                <w:highlight w:val="none"/>
                <w:lang w:eastAsia="en-US"/>
              </w:rPr>
              <w:t>镇</w:t>
            </w:r>
            <w:r>
              <w:rPr>
                <w:rFonts w:hint="eastAsia" w:ascii="仿宋_GB2312" w:hAnsi="仿宋_GB2312" w:eastAsia="仿宋_GB2312" w:cs="仿宋_GB2312"/>
                <w:snapToGrid w:val="0"/>
                <w:color w:val="auto"/>
                <w:kern w:val="0"/>
                <w:sz w:val="24"/>
                <w:szCs w:val="24"/>
                <w:highlight w:val="none"/>
                <w:lang w:eastAsia="zh-CN"/>
              </w:rPr>
              <w:t>）</w:t>
            </w:r>
            <w:r>
              <w:rPr>
                <w:rFonts w:hint="eastAsia" w:ascii="仿宋_GB2312" w:hAnsi="仿宋_GB2312" w:eastAsia="仿宋_GB2312" w:cs="仿宋_GB2312"/>
                <w:snapToGrid w:val="0"/>
                <w:color w:val="auto"/>
                <w:kern w:val="0"/>
                <w:sz w:val="24"/>
                <w:szCs w:val="24"/>
                <w:highlight w:val="none"/>
                <w:lang w:eastAsia="en-US"/>
              </w:rPr>
              <w:t>覆盖率</w:t>
            </w:r>
            <w:r>
              <w:rPr>
                <w:rFonts w:hint="eastAsia" w:ascii="仿宋_GB2312" w:hAnsi="仿宋_GB2312" w:eastAsia="仿宋_GB2312" w:cs="仿宋_GB2312"/>
                <w:snapToGrid w:val="0"/>
                <w:color w:val="auto"/>
                <w:kern w:val="0"/>
                <w:sz w:val="24"/>
                <w:szCs w:val="24"/>
                <w:highlight w:val="none"/>
                <w:lang w:eastAsia="zh-CN"/>
              </w:rPr>
              <w:t>（</w:t>
            </w:r>
            <w:r>
              <w:rPr>
                <w:rFonts w:hint="eastAsia" w:ascii="仿宋_GB2312" w:hAnsi="仿宋_GB2312" w:eastAsia="仿宋_GB2312" w:cs="仿宋_GB2312"/>
                <w:snapToGrid w:val="0"/>
                <w:color w:val="auto"/>
                <w:kern w:val="0"/>
                <w:sz w:val="24"/>
                <w:szCs w:val="24"/>
                <w:highlight w:val="none"/>
                <w:lang w:eastAsia="en-US"/>
              </w:rPr>
              <w:t>%</w:t>
            </w:r>
            <w:r>
              <w:rPr>
                <w:rFonts w:hint="eastAsia" w:ascii="仿宋_GB2312" w:hAnsi="仿宋_GB2312" w:eastAsia="仿宋_GB2312" w:cs="仿宋_GB2312"/>
                <w:snapToGrid w:val="0"/>
                <w:color w:val="auto"/>
                <w:kern w:val="0"/>
                <w:sz w:val="24"/>
                <w:szCs w:val="24"/>
                <w:highlight w:val="none"/>
                <w:lang w:eastAsia="zh-CN"/>
              </w:rPr>
              <w:t>）</w:t>
            </w:r>
          </w:p>
        </w:tc>
        <w:tc>
          <w:tcPr>
            <w:tcW w:w="1028" w:type="dxa"/>
            <w:shd w:val="clear" w:color="auto" w:fill="auto"/>
            <w:vAlign w:val="center"/>
          </w:tcPr>
          <w:p w14:paraId="18B25D0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预期性</w:t>
            </w:r>
          </w:p>
        </w:tc>
        <w:tc>
          <w:tcPr>
            <w:tcW w:w="1104" w:type="dxa"/>
            <w:shd w:val="clear" w:color="auto" w:fill="auto"/>
            <w:vAlign w:val="center"/>
          </w:tcPr>
          <w:p w14:paraId="4239A828">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eastAsia="仿宋_GB2312" w:cs="仿宋_GB2312"/>
                <w:snapToGrid w:val="0"/>
                <w:color w:val="auto"/>
                <w:kern w:val="0"/>
                <w:sz w:val="24"/>
                <w:szCs w:val="24"/>
                <w:highlight w:val="none"/>
                <w:lang w:eastAsia="en-US"/>
              </w:rPr>
              <w:t>8</w:t>
            </w:r>
            <w:r>
              <w:rPr>
                <w:rFonts w:hint="eastAsia" w:ascii="仿宋_GB2312" w:hAnsi="仿宋_GB2312" w:cs="仿宋_GB2312"/>
                <w:snapToGrid w:val="0"/>
                <w:color w:val="auto"/>
                <w:kern w:val="0"/>
                <w:sz w:val="24"/>
                <w:szCs w:val="24"/>
                <w:highlight w:val="none"/>
                <w:lang w:val="en-US" w:eastAsia="zh-CN"/>
              </w:rPr>
              <w:t>1</w:t>
            </w:r>
          </w:p>
        </w:tc>
        <w:tc>
          <w:tcPr>
            <w:tcW w:w="1090" w:type="dxa"/>
            <w:shd w:val="clear" w:color="auto" w:fill="auto"/>
            <w:vAlign w:val="center"/>
          </w:tcPr>
          <w:p w14:paraId="6B57AD2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95</w:t>
            </w:r>
          </w:p>
        </w:tc>
      </w:tr>
      <w:tr w14:paraId="69BC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37" w:type="dxa"/>
            <w:vMerge w:val="restart"/>
            <w:vAlign w:val="center"/>
          </w:tcPr>
          <w:p w14:paraId="434ADAA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snapToGrid w:val="0"/>
                <w:color w:val="auto"/>
                <w:kern w:val="0"/>
                <w:sz w:val="24"/>
                <w:szCs w:val="24"/>
                <w:highlight w:val="none"/>
                <w:lang w:val="en-US" w:eastAsia="zh-CN"/>
              </w:rPr>
            </w:pPr>
            <w:r>
              <w:rPr>
                <w:rFonts w:hint="eastAsia" w:ascii="黑体" w:hAnsi="黑体" w:eastAsia="黑体" w:cs="黑体"/>
                <w:snapToGrid w:val="0"/>
                <w:color w:val="auto"/>
                <w:kern w:val="0"/>
                <w:sz w:val="24"/>
                <w:szCs w:val="24"/>
                <w:highlight w:val="none"/>
                <w:lang w:val="en-US" w:eastAsia="zh-CN"/>
              </w:rPr>
              <w:t>社会事务</w:t>
            </w:r>
          </w:p>
        </w:tc>
        <w:tc>
          <w:tcPr>
            <w:tcW w:w="700" w:type="dxa"/>
            <w:shd w:val="clear" w:color="auto" w:fill="auto"/>
            <w:vAlign w:val="center"/>
          </w:tcPr>
          <w:p w14:paraId="043233E4">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rPr>
              <w:t>7</w:t>
            </w:r>
          </w:p>
        </w:tc>
        <w:tc>
          <w:tcPr>
            <w:tcW w:w="4803" w:type="dxa"/>
            <w:shd w:val="clear" w:color="auto" w:fill="auto"/>
            <w:vAlign w:val="center"/>
          </w:tcPr>
          <w:p w14:paraId="54A58889">
            <w:pPr>
              <w:widowControl/>
              <w:kinsoku w:val="0"/>
              <w:autoSpaceDE w:val="0"/>
              <w:autoSpaceDN w:val="0"/>
              <w:adjustRightInd w:val="0"/>
              <w:snapToGrid w:val="0"/>
              <w:spacing w:line="240" w:lineRule="auto"/>
              <w:ind w:firstLine="0" w:firstLineChars="0"/>
              <w:jc w:val="left"/>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节地生态安葬率</w:t>
            </w:r>
            <w:r>
              <w:rPr>
                <w:rFonts w:hint="eastAsia" w:ascii="仿宋_GB2312" w:hAnsi="仿宋_GB2312" w:eastAsia="仿宋_GB2312" w:cs="仿宋_GB2312"/>
                <w:snapToGrid w:val="0"/>
                <w:color w:val="auto"/>
                <w:kern w:val="0"/>
                <w:sz w:val="24"/>
                <w:szCs w:val="24"/>
                <w:highlight w:val="none"/>
                <w:lang w:eastAsia="zh-CN"/>
              </w:rPr>
              <w:t>（</w:t>
            </w:r>
            <w:r>
              <w:rPr>
                <w:rFonts w:hint="eastAsia" w:ascii="仿宋_GB2312" w:hAnsi="仿宋_GB2312" w:eastAsia="仿宋_GB2312" w:cs="仿宋_GB2312"/>
                <w:snapToGrid w:val="0"/>
                <w:color w:val="auto"/>
                <w:kern w:val="0"/>
                <w:sz w:val="24"/>
                <w:szCs w:val="24"/>
                <w:highlight w:val="none"/>
                <w:lang w:eastAsia="en-US"/>
              </w:rPr>
              <w:t>%</w:t>
            </w:r>
            <w:r>
              <w:rPr>
                <w:rFonts w:hint="eastAsia" w:ascii="仿宋_GB2312" w:hAnsi="仿宋_GB2312" w:eastAsia="仿宋_GB2312" w:cs="仿宋_GB2312"/>
                <w:snapToGrid w:val="0"/>
                <w:color w:val="auto"/>
                <w:kern w:val="0"/>
                <w:sz w:val="24"/>
                <w:szCs w:val="24"/>
                <w:highlight w:val="none"/>
                <w:lang w:eastAsia="zh-CN"/>
              </w:rPr>
              <w:t>）</w:t>
            </w:r>
          </w:p>
        </w:tc>
        <w:tc>
          <w:tcPr>
            <w:tcW w:w="1028" w:type="dxa"/>
            <w:shd w:val="clear" w:color="auto" w:fill="auto"/>
            <w:vAlign w:val="center"/>
          </w:tcPr>
          <w:p w14:paraId="70BD976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预期性</w:t>
            </w:r>
          </w:p>
        </w:tc>
        <w:tc>
          <w:tcPr>
            <w:tcW w:w="1104" w:type="dxa"/>
            <w:shd w:val="clear" w:color="auto" w:fill="auto"/>
            <w:vAlign w:val="center"/>
          </w:tcPr>
          <w:p w14:paraId="4E52ABB3">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70</w:t>
            </w:r>
          </w:p>
        </w:tc>
        <w:tc>
          <w:tcPr>
            <w:tcW w:w="1090" w:type="dxa"/>
            <w:shd w:val="clear" w:color="auto" w:fill="auto"/>
            <w:vAlign w:val="center"/>
          </w:tcPr>
          <w:p w14:paraId="321BF423">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rPr>
              <w:t>95</w:t>
            </w:r>
          </w:p>
        </w:tc>
      </w:tr>
      <w:tr w14:paraId="6182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37" w:type="dxa"/>
            <w:vMerge w:val="continue"/>
            <w:vAlign w:val="center"/>
          </w:tcPr>
          <w:p w14:paraId="73EBEF24">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黑体" w:hAnsi="黑体" w:eastAsia="黑体" w:cs="黑体"/>
                <w:snapToGrid w:val="0"/>
                <w:color w:val="auto"/>
                <w:kern w:val="0"/>
                <w:sz w:val="24"/>
                <w:szCs w:val="24"/>
                <w:highlight w:val="none"/>
                <w:lang w:eastAsia="en-US"/>
              </w:rPr>
            </w:pPr>
          </w:p>
        </w:tc>
        <w:tc>
          <w:tcPr>
            <w:tcW w:w="700" w:type="dxa"/>
            <w:shd w:val="clear" w:color="auto" w:fill="auto"/>
            <w:vAlign w:val="center"/>
          </w:tcPr>
          <w:p w14:paraId="75612DF9">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rPr>
              <w:t>8</w:t>
            </w:r>
          </w:p>
        </w:tc>
        <w:tc>
          <w:tcPr>
            <w:tcW w:w="4803" w:type="dxa"/>
            <w:shd w:val="clear" w:color="auto" w:fill="auto"/>
            <w:vAlign w:val="top"/>
          </w:tcPr>
          <w:p w14:paraId="7221271C">
            <w:pPr>
              <w:widowControl/>
              <w:kinsoku w:val="0"/>
              <w:autoSpaceDE w:val="0"/>
              <w:autoSpaceDN w:val="0"/>
              <w:adjustRightInd w:val="0"/>
              <w:snapToGrid w:val="0"/>
              <w:spacing w:line="240" w:lineRule="auto"/>
              <w:ind w:firstLine="0" w:firstLineChars="0"/>
              <w:jc w:val="left"/>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公益性安葬</w:t>
            </w:r>
            <w:r>
              <w:rPr>
                <w:rFonts w:hint="eastAsia" w:ascii="仿宋_GB2312" w:hAnsi="仿宋_GB2312" w:cs="仿宋_GB2312"/>
                <w:snapToGrid w:val="0"/>
                <w:color w:val="auto"/>
                <w:kern w:val="0"/>
                <w:sz w:val="24"/>
                <w:szCs w:val="24"/>
                <w:highlight w:val="none"/>
                <w:lang w:val="en-US" w:eastAsia="zh-CN"/>
              </w:rPr>
              <w:t>服务</w:t>
            </w:r>
            <w:r>
              <w:rPr>
                <w:rFonts w:hint="eastAsia" w:ascii="仿宋_GB2312" w:hAnsi="仿宋_GB2312" w:eastAsia="仿宋_GB2312" w:cs="仿宋_GB2312"/>
                <w:snapToGrid w:val="0"/>
                <w:color w:val="auto"/>
                <w:kern w:val="0"/>
                <w:sz w:val="24"/>
                <w:szCs w:val="24"/>
                <w:highlight w:val="none"/>
                <w:lang w:eastAsia="en-US"/>
              </w:rPr>
              <w:t>覆盖率</w:t>
            </w:r>
            <w:r>
              <w:rPr>
                <w:rFonts w:hint="eastAsia" w:ascii="仿宋_GB2312" w:hAnsi="仿宋_GB2312" w:eastAsia="仿宋_GB2312" w:cs="仿宋_GB2312"/>
                <w:snapToGrid w:val="0"/>
                <w:color w:val="auto"/>
                <w:kern w:val="0"/>
                <w:sz w:val="24"/>
                <w:szCs w:val="24"/>
                <w:highlight w:val="none"/>
                <w:lang w:eastAsia="zh-CN"/>
              </w:rPr>
              <w:t>（</w:t>
            </w:r>
            <w:r>
              <w:rPr>
                <w:rFonts w:hint="eastAsia" w:ascii="仿宋_GB2312" w:hAnsi="仿宋_GB2312" w:eastAsia="仿宋_GB2312" w:cs="仿宋_GB2312"/>
                <w:snapToGrid w:val="0"/>
                <w:color w:val="auto"/>
                <w:kern w:val="0"/>
                <w:sz w:val="24"/>
                <w:szCs w:val="24"/>
                <w:highlight w:val="none"/>
                <w:lang w:eastAsia="en-US"/>
              </w:rPr>
              <w:t>%</w:t>
            </w:r>
            <w:r>
              <w:rPr>
                <w:rFonts w:hint="eastAsia" w:ascii="仿宋_GB2312" w:hAnsi="仿宋_GB2312" w:eastAsia="仿宋_GB2312" w:cs="仿宋_GB2312"/>
                <w:snapToGrid w:val="0"/>
                <w:color w:val="auto"/>
                <w:kern w:val="0"/>
                <w:sz w:val="24"/>
                <w:szCs w:val="24"/>
                <w:highlight w:val="none"/>
                <w:lang w:eastAsia="zh-CN"/>
              </w:rPr>
              <w:t>）</w:t>
            </w:r>
          </w:p>
        </w:tc>
        <w:tc>
          <w:tcPr>
            <w:tcW w:w="1028" w:type="dxa"/>
            <w:shd w:val="clear" w:color="auto" w:fill="auto"/>
            <w:vAlign w:val="center"/>
          </w:tcPr>
          <w:p w14:paraId="12B0F2F7">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约束性</w:t>
            </w:r>
          </w:p>
        </w:tc>
        <w:tc>
          <w:tcPr>
            <w:tcW w:w="1104" w:type="dxa"/>
            <w:shd w:val="clear" w:color="auto" w:fill="auto"/>
            <w:vAlign w:val="center"/>
          </w:tcPr>
          <w:p w14:paraId="0EFFBDE9">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cs="仿宋_GB2312"/>
                <w:snapToGrid w:val="0"/>
                <w:color w:val="auto"/>
                <w:kern w:val="0"/>
                <w:sz w:val="24"/>
                <w:szCs w:val="24"/>
                <w:highlight w:val="none"/>
                <w:lang w:val="en-US" w:eastAsia="zh-CN"/>
              </w:rPr>
              <w:t>100</w:t>
            </w:r>
          </w:p>
        </w:tc>
        <w:tc>
          <w:tcPr>
            <w:tcW w:w="1090" w:type="dxa"/>
            <w:shd w:val="clear" w:color="auto" w:fill="auto"/>
            <w:vAlign w:val="center"/>
          </w:tcPr>
          <w:p w14:paraId="5652C585">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en-US" w:bidi="ar-SA"/>
              </w:rPr>
            </w:pPr>
            <w:r>
              <w:rPr>
                <w:rFonts w:hint="eastAsia" w:ascii="仿宋_GB2312" w:hAnsi="仿宋_GB2312" w:eastAsia="仿宋_GB2312" w:cs="仿宋_GB2312"/>
                <w:snapToGrid w:val="0"/>
                <w:color w:val="auto"/>
                <w:kern w:val="0"/>
                <w:sz w:val="24"/>
                <w:szCs w:val="24"/>
                <w:highlight w:val="none"/>
                <w:lang w:eastAsia="en-US"/>
              </w:rPr>
              <w:t>100</w:t>
            </w:r>
          </w:p>
        </w:tc>
      </w:tr>
      <w:tr w14:paraId="5E4A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37" w:type="dxa"/>
            <w:vAlign w:val="center"/>
          </w:tcPr>
          <w:p w14:paraId="2A7E2201">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黑体" w:hAnsi="黑体" w:eastAsia="黑体" w:cs="黑体"/>
                <w:snapToGrid w:val="0"/>
                <w:color w:val="auto"/>
                <w:kern w:val="0"/>
                <w:sz w:val="24"/>
                <w:szCs w:val="24"/>
                <w:highlight w:val="none"/>
                <w:lang w:val="en-US" w:eastAsia="zh-CN"/>
              </w:rPr>
            </w:pPr>
            <w:r>
              <w:rPr>
                <w:rFonts w:hint="eastAsia" w:ascii="黑体" w:hAnsi="黑体" w:eastAsia="黑体" w:cs="黑体"/>
                <w:snapToGrid w:val="0"/>
                <w:color w:val="auto"/>
                <w:kern w:val="0"/>
                <w:sz w:val="24"/>
                <w:szCs w:val="24"/>
                <w:highlight w:val="none"/>
                <w:lang w:val="en-US" w:eastAsia="zh-CN"/>
              </w:rPr>
              <w:t>社会治理</w:t>
            </w:r>
          </w:p>
        </w:tc>
        <w:tc>
          <w:tcPr>
            <w:tcW w:w="700" w:type="dxa"/>
            <w:shd w:val="clear" w:color="auto" w:fill="auto"/>
            <w:vAlign w:val="center"/>
          </w:tcPr>
          <w:p w14:paraId="5F5FE73A">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仿宋_GB2312" w:hAnsi="仿宋_GB2312" w:cs="仿宋_GB2312"/>
                <w:snapToGrid w:val="0"/>
                <w:color w:val="auto"/>
                <w:kern w:val="0"/>
                <w:sz w:val="24"/>
                <w:szCs w:val="24"/>
                <w:highlight w:val="none"/>
                <w:lang w:val="en-US" w:eastAsia="zh-CN"/>
              </w:rPr>
            </w:pPr>
            <w:r>
              <w:rPr>
                <w:rFonts w:hint="eastAsia" w:ascii="仿宋_GB2312" w:hAnsi="仿宋_GB2312" w:cs="仿宋_GB2312"/>
                <w:snapToGrid w:val="0"/>
                <w:color w:val="auto"/>
                <w:kern w:val="0"/>
                <w:sz w:val="24"/>
                <w:szCs w:val="24"/>
                <w:highlight w:val="none"/>
                <w:lang w:val="en-US" w:eastAsia="zh-CN"/>
              </w:rPr>
              <w:t>9</w:t>
            </w:r>
          </w:p>
        </w:tc>
        <w:tc>
          <w:tcPr>
            <w:tcW w:w="4803" w:type="dxa"/>
            <w:shd w:val="clear" w:color="auto" w:fill="auto"/>
            <w:vAlign w:val="center"/>
          </w:tcPr>
          <w:p w14:paraId="3CFA960C">
            <w:pPr>
              <w:widowControl/>
              <w:kinsoku w:val="0"/>
              <w:autoSpaceDE w:val="0"/>
              <w:autoSpaceDN w:val="0"/>
              <w:adjustRightInd w:val="0"/>
              <w:snapToGrid w:val="0"/>
              <w:spacing w:line="240" w:lineRule="auto"/>
              <w:ind w:left="0" w:leftChars="0" w:right="0" w:rightChars="0" w:firstLine="0" w:firstLineChars="0"/>
              <w:jc w:val="both"/>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eastAsia="仿宋_GB2312" w:cs="仿宋_GB2312"/>
                <w:snapToGrid w:val="0"/>
                <w:color w:val="auto"/>
                <w:kern w:val="0"/>
                <w:sz w:val="24"/>
                <w:szCs w:val="24"/>
                <w:highlight w:val="none"/>
                <w:lang w:eastAsia="en-US"/>
              </w:rPr>
              <w:t>3A级以上社会组织占比</w:t>
            </w:r>
            <w:r>
              <w:rPr>
                <w:rFonts w:hint="eastAsia" w:ascii="仿宋_GB2312" w:hAnsi="仿宋_GB2312" w:eastAsia="仿宋_GB2312" w:cs="仿宋_GB2312"/>
                <w:snapToGrid w:val="0"/>
                <w:color w:val="auto"/>
                <w:kern w:val="0"/>
                <w:sz w:val="24"/>
                <w:szCs w:val="24"/>
                <w:highlight w:val="none"/>
                <w:lang w:eastAsia="zh-CN"/>
              </w:rPr>
              <w:t>（</w:t>
            </w:r>
            <w:r>
              <w:rPr>
                <w:rFonts w:hint="eastAsia" w:ascii="仿宋_GB2312" w:hAnsi="仿宋_GB2312" w:eastAsia="仿宋_GB2312" w:cs="仿宋_GB2312"/>
                <w:snapToGrid w:val="0"/>
                <w:color w:val="auto"/>
                <w:kern w:val="0"/>
                <w:sz w:val="24"/>
                <w:szCs w:val="24"/>
                <w:highlight w:val="none"/>
                <w:lang w:eastAsia="en-US"/>
              </w:rPr>
              <w:t>%</w:t>
            </w:r>
            <w:r>
              <w:rPr>
                <w:rFonts w:hint="eastAsia" w:ascii="仿宋_GB2312" w:hAnsi="仿宋_GB2312" w:eastAsia="仿宋_GB2312" w:cs="仿宋_GB2312"/>
                <w:snapToGrid w:val="0"/>
                <w:color w:val="auto"/>
                <w:kern w:val="0"/>
                <w:sz w:val="24"/>
                <w:szCs w:val="24"/>
                <w:highlight w:val="none"/>
                <w:lang w:eastAsia="zh-CN"/>
              </w:rPr>
              <w:t>）</w:t>
            </w:r>
          </w:p>
        </w:tc>
        <w:tc>
          <w:tcPr>
            <w:tcW w:w="1028" w:type="dxa"/>
            <w:shd w:val="clear" w:color="auto" w:fill="auto"/>
            <w:vAlign w:val="center"/>
          </w:tcPr>
          <w:p w14:paraId="6B07F2B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default"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eastAsia="仿宋_GB2312" w:cs="仿宋_GB2312"/>
                <w:snapToGrid w:val="0"/>
                <w:color w:val="auto"/>
                <w:kern w:val="0"/>
                <w:sz w:val="24"/>
                <w:szCs w:val="24"/>
                <w:highlight w:val="none"/>
                <w:lang w:eastAsia="en-US"/>
              </w:rPr>
              <w:t>预期性</w:t>
            </w:r>
          </w:p>
        </w:tc>
        <w:tc>
          <w:tcPr>
            <w:tcW w:w="1104" w:type="dxa"/>
            <w:shd w:val="clear" w:color="auto" w:fill="auto"/>
            <w:vAlign w:val="center"/>
          </w:tcPr>
          <w:p w14:paraId="6EAD44DC">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eastAsia="仿宋_GB2312" w:cs="仿宋_GB2312"/>
                <w:snapToGrid w:val="0"/>
                <w:color w:val="auto"/>
                <w:kern w:val="0"/>
                <w:sz w:val="24"/>
                <w:szCs w:val="24"/>
                <w:highlight w:val="none"/>
                <w:lang w:eastAsia="en-US"/>
              </w:rPr>
              <w:t>32.3</w:t>
            </w:r>
          </w:p>
        </w:tc>
        <w:tc>
          <w:tcPr>
            <w:tcW w:w="1090" w:type="dxa"/>
            <w:shd w:val="clear" w:color="auto" w:fill="auto"/>
            <w:vAlign w:val="center"/>
          </w:tcPr>
          <w:p w14:paraId="41A97429">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snapToGrid w:val="0"/>
                <w:color w:val="auto"/>
                <w:kern w:val="0"/>
                <w:sz w:val="24"/>
                <w:szCs w:val="24"/>
                <w:highlight w:val="none"/>
                <w:lang w:val="en-US" w:eastAsia="zh-CN" w:bidi="ar-SA"/>
              </w:rPr>
            </w:pPr>
            <w:r>
              <w:rPr>
                <w:rFonts w:hint="eastAsia" w:ascii="仿宋_GB2312" w:hAnsi="仿宋_GB2312" w:cs="仿宋_GB2312"/>
                <w:snapToGrid w:val="0"/>
                <w:color w:val="auto"/>
                <w:kern w:val="0"/>
                <w:sz w:val="24"/>
                <w:szCs w:val="24"/>
                <w:highlight w:val="none"/>
                <w:lang w:val="en-US" w:eastAsia="zh-CN"/>
              </w:rPr>
              <w:t>40</w:t>
            </w:r>
          </w:p>
        </w:tc>
      </w:tr>
    </w:tbl>
    <w:p w14:paraId="4076DA27">
      <w:pPr>
        <w:pStyle w:val="2"/>
        <w:bidi w:val="0"/>
        <w:rPr>
          <w:rFonts w:hint="eastAsia"/>
          <w:color w:val="auto"/>
          <w:highlight w:val="none"/>
          <w:lang w:val="en-US" w:eastAsia="zh-CN"/>
        </w:rPr>
      </w:pPr>
      <w:bookmarkStart w:id="6" w:name="_Toc31527"/>
      <w:bookmarkStart w:id="7" w:name="_Toc5308"/>
      <w:bookmarkStart w:id="8" w:name="_Toc891"/>
      <w:bookmarkStart w:id="9" w:name="_Toc1176"/>
      <w:bookmarkStart w:id="10" w:name="_Toc25481"/>
      <w:bookmarkStart w:id="11" w:name="_Toc19597"/>
      <w:r>
        <w:rPr>
          <w:rFonts w:hint="eastAsia"/>
          <w:color w:val="auto"/>
          <w:highlight w:val="none"/>
          <w:lang w:val="en-US" w:eastAsia="zh-CN"/>
        </w:rPr>
        <w:t>二、构建全域覆盖、统筹协同的养老服务格局</w:t>
      </w:r>
      <w:bookmarkEnd w:id="6"/>
      <w:bookmarkEnd w:id="7"/>
      <w:bookmarkEnd w:id="8"/>
      <w:bookmarkEnd w:id="9"/>
      <w:bookmarkEnd w:id="10"/>
      <w:bookmarkEnd w:id="11"/>
    </w:p>
    <w:p w14:paraId="6463F77C">
      <w:pPr>
        <w:pStyle w:val="3"/>
        <w:bidi w:val="0"/>
        <w:rPr>
          <w:rFonts w:hint="eastAsia"/>
          <w:color w:val="auto"/>
          <w:highlight w:val="none"/>
          <w:lang w:val="en-US" w:eastAsia="zh-CN"/>
        </w:rPr>
      </w:pPr>
      <w:bookmarkStart w:id="12" w:name="_Toc2647"/>
      <w:bookmarkStart w:id="13" w:name="_Toc6090"/>
      <w:bookmarkStart w:id="14" w:name="_Toc25479"/>
      <w:bookmarkStart w:id="15" w:name="_Toc9148"/>
      <w:bookmarkStart w:id="16" w:name="_Toc11153"/>
      <w:bookmarkStart w:id="17" w:name="_Toc25668"/>
      <w:r>
        <w:rPr>
          <w:rFonts w:hint="default"/>
          <w:color w:val="auto"/>
          <w:highlight w:val="none"/>
          <w:lang w:val="en-US" w:eastAsia="zh-CN"/>
        </w:rPr>
        <w:t>（一）</w:t>
      </w:r>
      <w:bookmarkEnd w:id="12"/>
      <w:bookmarkEnd w:id="13"/>
      <w:r>
        <w:rPr>
          <w:rFonts w:hint="eastAsia"/>
          <w:color w:val="auto"/>
          <w:highlight w:val="none"/>
          <w:lang w:val="en-US" w:eastAsia="zh-CN"/>
        </w:rPr>
        <w:t>积极推进老龄事业发展</w:t>
      </w:r>
      <w:bookmarkEnd w:id="14"/>
      <w:bookmarkEnd w:id="15"/>
      <w:bookmarkEnd w:id="16"/>
      <w:bookmarkEnd w:id="17"/>
    </w:p>
    <w:p w14:paraId="3831AAB8">
      <w:pPr>
        <w:pStyle w:val="4"/>
        <w:bidi w:val="0"/>
        <w:rPr>
          <w:rFonts w:hint="eastAsia"/>
          <w:b/>
          <w:bCs w:val="0"/>
          <w:color w:val="auto"/>
          <w:highlight w:val="none"/>
          <w:lang w:val="en-US" w:eastAsia="zh-CN"/>
        </w:rPr>
      </w:pPr>
      <w:bookmarkStart w:id="18" w:name="_Toc6135"/>
      <w:r>
        <w:rPr>
          <w:rFonts w:hint="default"/>
          <w:b/>
          <w:bCs w:val="0"/>
          <w:color w:val="auto"/>
          <w:highlight w:val="none"/>
          <w:lang w:val="en-US" w:eastAsia="zh-CN"/>
        </w:rPr>
        <w:t>1.</w:t>
      </w:r>
      <w:bookmarkEnd w:id="18"/>
      <w:r>
        <w:rPr>
          <w:rFonts w:hint="eastAsia"/>
          <w:b/>
          <w:bCs w:val="0"/>
          <w:color w:val="auto"/>
          <w:highlight w:val="none"/>
          <w:lang w:val="en-US" w:eastAsia="zh-CN"/>
        </w:rPr>
        <w:t>夯实老龄工作基础</w:t>
      </w:r>
    </w:p>
    <w:p w14:paraId="220B28FE">
      <w:pPr>
        <w:rPr>
          <w:rFonts w:hint="eastAsia"/>
          <w:color w:val="auto"/>
          <w:highlight w:val="none"/>
          <w:lang w:val="en-US" w:eastAsia="zh-CN"/>
        </w:rPr>
      </w:pPr>
      <w:r>
        <w:rPr>
          <w:rFonts w:hint="eastAsia"/>
          <w:b/>
          <w:bCs/>
          <w:color w:val="auto"/>
          <w:highlight w:val="none"/>
          <w:lang w:val="en-US" w:eastAsia="zh-CN"/>
        </w:rPr>
        <w:t>加强老龄工作统筹协调。</w:t>
      </w:r>
      <w:r>
        <w:rPr>
          <w:rFonts w:hint="eastAsia"/>
          <w:b w:val="0"/>
          <w:bCs w:val="0"/>
          <w:color w:val="auto"/>
          <w:highlight w:val="none"/>
          <w:lang w:val="en-US" w:eastAsia="zh-CN"/>
        </w:rPr>
        <w:t>强化跨部门、跨领域涉老事项协同联动，构建权责清晰、协同高效的老龄工作体系。强化健康老龄化宣传引导，提升全民主动健康素养。</w:t>
      </w:r>
      <w:r>
        <w:rPr>
          <w:rFonts w:hint="eastAsia"/>
          <w:color w:val="auto"/>
          <w:highlight w:val="none"/>
          <w:lang w:val="en-US" w:eastAsia="zh-CN"/>
        </w:rPr>
        <w:t>深入开展人口老龄化国情市情教育，依托主题活动、榜样选树传承孝亲敬老文化，凝聚积极应对人口老龄化的共识。</w:t>
      </w:r>
    </w:p>
    <w:p w14:paraId="3958253A">
      <w:pPr>
        <w:rPr>
          <w:rFonts w:hint="eastAsia"/>
          <w:b w:val="0"/>
          <w:bCs w:val="0"/>
          <w:color w:val="auto"/>
          <w:highlight w:val="none"/>
          <w:lang w:val="en-US" w:eastAsia="zh-CN"/>
        </w:rPr>
      </w:pPr>
      <w:r>
        <w:rPr>
          <w:rFonts w:hint="eastAsia"/>
          <w:b/>
          <w:bCs/>
          <w:color w:val="auto"/>
          <w:highlight w:val="none"/>
          <w:lang w:val="en-US" w:eastAsia="zh-CN"/>
        </w:rPr>
        <w:t>聚力打造老年友好型社会。</w:t>
      </w:r>
      <w:r>
        <w:rPr>
          <w:rFonts w:hint="eastAsia"/>
          <w:b w:val="0"/>
          <w:bCs w:val="0"/>
          <w:color w:val="auto"/>
          <w:highlight w:val="none"/>
          <w:lang w:val="en-US" w:eastAsia="zh-CN"/>
        </w:rPr>
        <w:t>立足昌平“北京国际科创中心承载区”定位，探索“政策引导+科技支撑+市场参与”的养老服务格局，推动科创资源赋能老龄工作，持续开展“智慧助老”行动，组织开展“敬老月”活动。加强公共设施无障碍和适老化改造，探索建立老年人意定监护机制。</w:t>
      </w:r>
    </w:p>
    <w:p w14:paraId="213D5FAD">
      <w:pPr>
        <w:pStyle w:val="4"/>
        <w:bidi w:val="0"/>
        <w:rPr>
          <w:rFonts w:hint="default"/>
          <w:color w:val="auto"/>
          <w:highlight w:val="none"/>
          <w:lang w:val="en-US" w:eastAsia="zh-CN"/>
        </w:rPr>
      </w:pPr>
      <w:bookmarkStart w:id="19" w:name="_Toc9352"/>
      <w:r>
        <w:rPr>
          <w:rFonts w:hint="default"/>
          <w:color w:val="auto"/>
          <w:highlight w:val="none"/>
          <w:lang w:val="en-US" w:eastAsia="zh-CN"/>
        </w:rPr>
        <w:t>2.</w:t>
      </w:r>
      <w:bookmarkEnd w:id="19"/>
      <w:r>
        <w:rPr>
          <w:rFonts w:hint="eastAsia"/>
          <w:color w:val="auto"/>
          <w:highlight w:val="none"/>
          <w:lang w:val="en-US" w:eastAsia="zh-CN"/>
        </w:rPr>
        <w:t>推动“银发+”发展</w:t>
      </w:r>
    </w:p>
    <w:p w14:paraId="70EF1036">
      <w:pPr>
        <w:rPr>
          <w:rFonts w:hint="eastAsia"/>
          <w:color w:val="auto"/>
          <w:highlight w:val="none"/>
          <w:lang w:val="en-US" w:eastAsia="zh-CN"/>
        </w:rPr>
      </w:pPr>
      <w:r>
        <w:rPr>
          <w:rFonts w:hint="eastAsia"/>
          <w:b/>
          <w:bCs/>
          <w:color w:val="auto"/>
          <w:highlight w:val="none"/>
          <w:lang w:val="en-US" w:eastAsia="zh-CN"/>
        </w:rPr>
        <w:t>推进“银龄行动”拓面升级。</w:t>
      </w:r>
      <w:r>
        <w:rPr>
          <w:rFonts w:hint="eastAsia"/>
          <w:color w:val="auto"/>
          <w:highlight w:val="none"/>
          <w:lang w:val="en-US" w:eastAsia="zh-CN"/>
        </w:rPr>
        <w:t>探索建立银龄人才资源库，动态整合具备专业技能的低龄老年人力资源，推进银龄人才数字化管理，精准对接志愿服务岗位。完善“银龄行动”志愿服务体系，依托“赋能银龄·智享晚年”活动丰富服务场景，探索培育一批老年志愿服务品牌，推动银发群体成为社区治理与经济社会发展的重要力量。</w:t>
      </w:r>
    </w:p>
    <w:p w14:paraId="6E2F8533">
      <w:pPr>
        <w:ind w:firstLine="643"/>
        <w:rPr>
          <w:rFonts w:hint="eastAsia"/>
          <w:color w:val="auto"/>
          <w:highlight w:val="none"/>
          <w:lang w:val="en-US" w:eastAsia="zh-CN"/>
        </w:rPr>
      </w:pPr>
      <w:r>
        <w:rPr>
          <w:rFonts w:hint="eastAsia"/>
          <w:b/>
          <w:bCs/>
          <w:color w:val="auto"/>
          <w:highlight w:val="none"/>
          <w:lang w:val="en-US" w:eastAsia="zh-CN"/>
        </w:rPr>
        <w:t>拓展养老服务多元消费场景。</w:t>
      </w:r>
      <w:r>
        <w:rPr>
          <w:rFonts w:hint="eastAsia"/>
          <w:b w:val="0"/>
          <w:bCs w:val="0"/>
          <w:color w:val="auto"/>
          <w:highlight w:val="none"/>
          <w:lang w:val="en-US" w:eastAsia="zh-CN"/>
        </w:rPr>
        <w:t>依托昌平区康复辅具展示中心探索体验式、场景化消费服务</w:t>
      </w:r>
      <w:r>
        <w:rPr>
          <w:rFonts w:hint="eastAsia"/>
          <w:color w:val="auto"/>
          <w:highlight w:val="none"/>
          <w:lang w:val="en-US" w:eastAsia="zh-CN"/>
        </w:rPr>
        <w:t>。选取有条件的养老机构开展智慧养老院试点，打造集智能监测、智慧照护、高效管理于一体的示范样板。</w:t>
      </w:r>
    </w:p>
    <w:p w14:paraId="1BFBA32E">
      <w:pPr>
        <w:widowControl w:val="0"/>
        <w:bidi w:val="0"/>
        <w:spacing w:before="0" w:beforeAutospacing="0" w:after="0" w:afterAutospacing="0" w:line="560" w:lineRule="exact"/>
        <w:ind w:firstLine="640" w:firstLineChars="200"/>
        <w:jc w:val="left"/>
        <w:outlineLvl w:val="1"/>
        <w:rPr>
          <w:rFonts w:hint="eastAsia" w:ascii="宋体" w:hAnsi="宋体" w:eastAsia="楷体_GB2312" w:cs="宋体"/>
          <w:bCs/>
          <w:color w:val="auto"/>
          <w:kern w:val="0"/>
          <w:sz w:val="32"/>
          <w:szCs w:val="36"/>
          <w:highlight w:val="none"/>
          <w:lang w:val="en-US" w:eastAsia="zh-CN" w:bidi="ar"/>
        </w:rPr>
      </w:pPr>
      <w:bookmarkStart w:id="20" w:name="_Toc9884"/>
      <w:bookmarkStart w:id="21" w:name="_Toc32565"/>
      <w:bookmarkStart w:id="22" w:name="_Toc17217"/>
      <w:bookmarkStart w:id="23" w:name="_Toc5861"/>
      <w:bookmarkStart w:id="24" w:name="_Toc317"/>
      <w:bookmarkStart w:id="25" w:name="_Toc31904"/>
      <w:r>
        <w:rPr>
          <w:rFonts w:hint="default" w:ascii="宋体" w:hAnsi="宋体" w:eastAsia="楷体_GB2312" w:cs="宋体"/>
          <w:bCs/>
          <w:color w:val="auto"/>
          <w:kern w:val="0"/>
          <w:sz w:val="32"/>
          <w:szCs w:val="36"/>
          <w:highlight w:val="none"/>
          <w:lang w:val="en-US" w:eastAsia="zh-CN" w:bidi="ar"/>
        </w:rPr>
        <w:t>（二）</w:t>
      </w:r>
      <w:bookmarkEnd w:id="20"/>
      <w:bookmarkEnd w:id="21"/>
      <w:r>
        <w:rPr>
          <w:rFonts w:hint="eastAsia" w:ascii="宋体" w:hAnsi="宋体" w:eastAsia="楷体_GB2312" w:cs="宋体"/>
          <w:bCs/>
          <w:color w:val="auto"/>
          <w:kern w:val="0"/>
          <w:sz w:val="32"/>
          <w:szCs w:val="36"/>
          <w:highlight w:val="none"/>
          <w:lang w:val="en-US" w:eastAsia="zh-CN" w:bidi="ar"/>
        </w:rPr>
        <w:t>完善养老服务“四个体系”</w:t>
      </w:r>
      <w:bookmarkEnd w:id="22"/>
      <w:bookmarkEnd w:id="23"/>
      <w:bookmarkEnd w:id="24"/>
      <w:bookmarkEnd w:id="25"/>
    </w:p>
    <w:p w14:paraId="052C4F29">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Times New Roman"/>
          <w:b/>
          <w:bCs w:val="0"/>
          <w:color w:val="auto"/>
          <w:kern w:val="0"/>
          <w:sz w:val="32"/>
          <w:szCs w:val="27"/>
          <w:highlight w:val="none"/>
          <w:lang w:val="en-US" w:eastAsia="zh-CN" w:bidi="ar"/>
        </w:rPr>
      </w:pPr>
      <w:bookmarkStart w:id="26" w:name="_Toc19459"/>
      <w:r>
        <w:rPr>
          <w:rFonts w:hint="default" w:ascii="Times New Roman" w:hAnsi="Times New Roman" w:eastAsia="仿宋_GB2312" w:cs="Times New Roman"/>
          <w:b/>
          <w:bCs w:val="0"/>
          <w:color w:val="auto"/>
          <w:kern w:val="0"/>
          <w:sz w:val="32"/>
          <w:szCs w:val="27"/>
          <w:highlight w:val="none"/>
          <w:lang w:val="en-US" w:eastAsia="zh-CN" w:bidi="ar"/>
        </w:rPr>
        <w:t>1.完善配套政策制度体系</w:t>
      </w:r>
    </w:p>
    <w:p w14:paraId="39F682A5">
      <w:pPr>
        <w:bidi w:val="0"/>
        <w:ind w:firstLine="643"/>
        <w:rPr>
          <w:rFonts w:hint="eastAsia" w:ascii="Times New Roman" w:hAnsi="Times New Roman" w:eastAsia="仿宋_GB2312" w:cs="宋体"/>
          <w:b w:val="0"/>
          <w:bCs/>
          <w:color w:val="auto"/>
          <w:kern w:val="0"/>
          <w:sz w:val="32"/>
          <w:szCs w:val="27"/>
          <w:highlight w:val="none"/>
          <w:lang w:val="en-US" w:eastAsia="zh-CN" w:bidi="ar"/>
        </w:rPr>
      </w:pPr>
      <w:r>
        <w:rPr>
          <w:rFonts w:hint="eastAsia" w:ascii="Times New Roman" w:hAnsi="Times New Roman" w:eastAsia="仿宋_GB2312" w:cs="宋体"/>
          <w:b w:val="0"/>
          <w:bCs/>
          <w:color w:val="auto"/>
          <w:kern w:val="0"/>
          <w:sz w:val="32"/>
          <w:szCs w:val="27"/>
          <w:highlight w:val="none"/>
          <w:lang w:val="en-US" w:eastAsia="zh-CN" w:bidi="ar"/>
        </w:rPr>
        <w:t>构建“市区衔接、区域协同、上下联动”的政策协同机制，紧密衔接</w:t>
      </w:r>
      <w:r>
        <w:rPr>
          <w:rFonts w:hint="eastAsia" w:cs="宋体"/>
          <w:b w:val="0"/>
          <w:bCs/>
          <w:color w:val="auto"/>
          <w:kern w:val="0"/>
          <w:sz w:val="32"/>
          <w:szCs w:val="27"/>
          <w:highlight w:val="none"/>
          <w:lang w:val="en-US" w:eastAsia="zh-CN" w:bidi="ar"/>
        </w:rPr>
        <w:t>市级民政相关规划</w:t>
      </w:r>
      <w:r>
        <w:rPr>
          <w:rFonts w:hint="eastAsia" w:ascii="Times New Roman" w:hAnsi="Times New Roman" w:eastAsia="仿宋_GB2312" w:cs="宋体"/>
          <w:b w:val="0"/>
          <w:bCs/>
          <w:color w:val="auto"/>
          <w:kern w:val="0"/>
          <w:sz w:val="32"/>
          <w:szCs w:val="27"/>
          <w:highlight w:val="none"/>
          <w:lang w:val="en-US" w:eastAsia="zh-CN" w:bidi="ar"/>
        </w:rPr>
        <w:t>，贯彻落实《北京市养老服务条例》</w:t>
      </w:r>
      <w:r>
        <w:rPr>
          <w:rFonts w:hint="eastAsia" w:cs="宋体"/>
          <w:b w:val="0"/>
          <w:bCs/>
          <w:color w:val="auto"/>
          <w:kern w:val="0"/>
          <w:sz w:val="32"/>
          <w:szCs w:val="27"/>
          <w:highlight w:val="none"/>
          <w:lang w:val="en-US" w:eastAsia="zh-CN" w:bidi="ar"/>
        </w:rPr>
        <w:t>，结合昌平区老年人口结构、养老服务供需特点，聚焦居家养老、养老助餐、医养融合等重点领域精准施策，补齐服务短板。</w:t>
      </w:r>
    </w:p>
    <w:p w14:paraId="7600246D">
      <w:pPr>
        <w:keepNext w:val="0"/>
        <w:keepLines w:val="0"/>
        <w:pageBreakBefore w:val="0"/>
        <w:widowControl w:val="0"/>
        <w:wordWrap/>
        <w:overflowPunct/>
        <w:topLinePunct w:val="0"/>
        <w:bidi w:val="0"/>
        <w:spacing w:before="0" w:beforeAutospacing="0" w:after="0" w:afterAutospacing="0" w:line="560" w:lineRule="exact"/>
        <w:ind w:firstLine="643" w:firstLineChars="200"/>
        <w:jc w:val="left"/>
        <w:outlineLvl w:val="2"/>
        <w:rPr>
          <w:rFonts w:hint="default" w:ascii="Times New Roman" w:hAnsi="Times New Roman" w:eastAsia="仿宋_GB2312" w:cs="Times New Roman"/>
          <w:b/>
          <w:bCs w:val="0"/>
          <w:color w:val="auto"/>
          <w:kern w:val="0"/>
          <w:sz w:val="32"/>
          <w:szCs w:val="27"/>
          <w:highlight w:val="none"/>
          <w:lang w:val="en-US" w:eastAsia="zh-CN" w:bidi="ar"/>
        </w:rPr>
      </w:pPr>
      <w:r>
        <w:rPr>
          <w:rFonts w:hint="default" w:ascii="Times New Roman" w:hAnsi="Times New Roman" w:cs="Times New Roman"/>
          <w:b/>
          <w:bCs w:val="0"/>
          <w:color w:val="auto"/>
          <w:kern w:val="0"/>
          <w:sz w:val="32"/>
          <w:szCs w:val="27"/>
          <w:highlight w:val="none"/>
          <w:lang w:val="en-US" w:eastAsia="zh-CN" w:bidi="ar"/>
        </w:rPr>
        <w:t>2</w:t>
      </w:r>
      <w:r>
        <w:rPr>
          <w:rFonts w:hint="default" w:ascii="Times New Roman" w:hAnsi="Times New Roman" w:eastAsia="仿宋_GB2312" w:cs="Times New Roman"/>
          <w:b/>
          <w:bCs w:val="0"/>
          <w:color w:val="auto"/>
          <w:kern w:val="0"/>
          <w:sz w:val="32"/>
          <w:szCs w:val="27"/>
          <w:highlight w:val="none"/>
          <w:lang w:val="en-US" w:eastAsia="zh-CN" w:bidi="ar"/>
        </w:rPr>
        <w:t>.</w:t>
      </w:r>
      <w:bookmarkEnd w:id="26"/>
      <w:r>
        <w:rPr>
          <w:rFonts w:hint="default" w:ascii="Times New Roman" w:hAnsi="Times New Roman" w:cs="Times New Roman"/>
          <w:b/>
          <w:bCs w:val="0"/>
          <w:color w:val="auto"/>
          <w:kern w:val="0"/>
          <w:sz w:val="32"/>
          <w:szCs w:val="27"/>
          <w:highlight w:val="none"/>
          <w:lang w:val="en-US" w:eastAsia="zh-CN" w:bidi="ar"/>
        </w:rPr>
        <w:t>强化</w:t>
      </w:r>
      <w:r>
        <w:rPr>
          <w:rFonts w:hint="default" w:ascii="Times New Roman" w:hAnsi="Times New Roman" w:eastAsia="仿宋_GB2312" w:cs="Times New Roman"/>
          <w:b/>
          <w:bCs w:val="0"/>
          <w:color w:val="auto"/>
          <w:kern w:val="0"/>
          <w:sz w:val="32"/>
          <w:szCs w:val="27"/>
          <w:highlight w:val="none"/>
          <w:lang w:val="en-US" w:eastAsia="zh-CN" w:bidi="ar"/>
        </w:rPr>
        <w:t>多元服务保障体系</w:t>
      </w:r>
    </w:p>
    <w:p w14:paraId="1C277B76">
      <w:pPr>
        <w:keepNext w:val="0"/>
        <w:keepLines w:val="0"/>
        <w:pageBreakBefore w:val="0"/>
        <w:widowControl w:val="0"/>
        <w:kinsoku w:val="0"/>
        <w:wordWrap/>
        <w:overflowPunct/>
        <w:topLinePunct w:val="0"/>
        <w:autoSpaceDE w:val="0"/>
        <w:autoSpaceDN w:val="0"/>
        <w:bidi w:val="0"/>
        <w:adjustRightInd w:val="0"/>
        <w:snapToGrid w:val="0"/>
        <w:spacing w:before="0" w:line="560" w:lineRule="exact"/>
        <w:ind w:left="0" w:firstLine="619" w:firstLineChars="0"/>
        <w:jc w:val="both"/>
        <w:textAlignment w:val="baseline"/>
        <w:rPr>
          <w:rFonts w:hint="default" w:ascii="仿宋_GB2312" w:hAnsi="仿宋_GB2312" w:eastAsia="仿宋_GB2312" w:cs="仿宋_GB2312"/>
          <w:snapToGrid w:val="0"/>
          <w:color w:val="auto"/>
          <w:kern w:val="0"/>
          <w:sz w:val="32"/>
          <w:szCs w:val="32"/>
          <w:highlight w:val="none"/>
          <w:lang w:val="en-US" w:eastAsia="zh-CN"/>
        </w:rPr>
      </w:pPr>
      <w:r>
        <w:rPr>
          <w:rFonts w:hint="eastAsia" w:ascii="Times New Roman" w:hAnsi="Times New Roman"/>
          <w:b/>
          <w:bCs/>
          <w:color w:val="auto"/>
          <w:highlight w:val="none"/>
          <w:lang w:val="en-US" w:eastAsia="zh-CN"/>
        </w:rPr>
        <w:t>完善</w:t>
      </w:r>
      <w:r>
        <w:rPr>
          <w:rFonts w:hint="eastAsia" w:ascii="Times New Roman" w:hAnsi="Times New Roman" w:eastAsia="仿宋_GB2312"/>
          <w:b/>
          <w:bCs/>
          <w:color w:val="auto"/>
          <w:highlight w:val="none"/>
          <w:lang w:val="en-US" w:eastAsia="zh-CN"/>
        </w:rPr>
        <w:t>全域适配的养老服务供给体系。</w:t>
      </w:r>
      <w:r>
        <w:rPr>
          <w:rFonts w:hint="default" w:ascii="Times New Roman" w:hAnsi="Times New Roman" w:eastAsia="仿宋_GB2312"/>
          <w:color w:val="auto"/>
          <w:highlight w:val="none"/>
          <w:lang w:val="en-US" w:eastAsia="zh-CN"/>
        </w:rPr>
        <w:t>依托</w:t>
      </w:r>
      <w:r>
        <w:rPr>
          <w:rFonts w:hint="eastAsia" w:ascii="Times New Roman" w:hAnsi="Times New Roman" w:eastAsia="仿宋_GB2312"/>
          <w:color w:val="auto"/>
          <w:highlight w:val="none"/>
          <w:lang w:val="en-US" w:eastAsia="zh-CN"/>
        </w:rPr>
        <w:t>三级养老服务网络</w:t>
      </w:r>
      <w:r>
        <w:rPr>
          <w:rStyle w:val="35"/>
          <w:rFonts w:hint="eastAsia"/>
          <w:color w:val="auto"/>
          <w:highlight w:val="none"/>
          <w:lang w:val="en-US" w:eastAsia="zh-CN"/>
        </w:rPr>
        <w:footnoteReference w:id="0"/>
      </w:r>
      <w:r>
        <w:rPr>
          <w:rFonts w:hint="eastAsia"/>
          <w:color w:val="auto"/>
          <w:highlight w:val="none"/>
          <w:lang w:val="en-US" w:eastAsia="zh-CN"/>
        </w:rPr>
        <w:t>统筹布局</w:t>
      </w:r>
      <w:r>
        <w:rPr>
          <w:rFonts w:hint="eastAsia" w:ascii="Times New Roman" w:hAnsi="Times New Roman" w:eastAsia="仿宋_GB2312"/>
          <w:color w:val="auto"/>
          <w:highlight w:val="none"/>
          <w:lang w:val="en-US" w:eastAsia="zh-CN"/>
        </w:rPr>
        <w:t>，持续推进养老服务中心建设，逐步提升街道（镇）区域养老服务中心</w:t>
      </w:r>
      <w:r>
        <w:rPr>
          <w:rFonts w:hint="eastAsia"/>
          <w:color w:val="auto"/>
          <w:highlight w:val="none"/>
          <w:lang w:val="en-US" w:eastAsia="zh-CN"/>
        </w:rPr>
        <w:t>服务</w:t>
      </w:r>
      <w:r>
        <w:rPr>
          <w:rFonts w:hint="eastAsia" w:ascii="Times New Roman" w:hAnsi="Times New Roman" w:eastAsia="仿宋_GB2312"/>
          <w:color w:val="auto"/>
          <w:highlight w:val="none"/>
          <w:lang w:val="en-US" w:eastAsia="zh-CN"/>
        </w:rPr>
        <w:t>覆盖率</w:t>
      </w:r>
      <w:r>
        <w:rPr>
          <w:rFonts w:hint="eastAsia"/>
          <w:color w:val="auto"/>
          <w:highlight w:val="none"/>
          <w:lang w:val="en-US" w:eastAsia="zh-CN"/>
        </w:rPr>
        <w:t>，</w:t>
      </w:r>
      <w:r>
        <w:rPr>
          <w:rFonts w:hint="eastAsia" w:ascii="Times New Roman" w:hAnsi="Times New Roman" w:eastAsia="仿宋_GB2312"/>
          <w:color w:val="auto"/>
          <w:highlight w:val="none"/>
          <w:lang w:val="en-US" w:eastAsia="zh-CN"/>
        </w:rPr>
        <w:t>到 2030 年，街道（镇）区域养老服务中心服务覆盖率达到80%</w:t>
      </w:r>
      <w:r>
        <w:rPr>
          <w:rFonts w:hint="eastAsia"/>
          <w:color w:val="auto"/>
          <w:highlight w:val="none"/>
          <w:lang w:val="en-US" w:eastAsia="zh-CN"/>
        </w:rPr>
        <w:t>（</w:t>
      </w:r>
      <w:r>
        <w:rPr>
          <w:rFonts w:hint="eastAsia" w:ascii="Times New Roman" w:hAnsi="Times New Roman" w:eastAsia="仿宋_GB2312"/>
          <w:color w:val="auto"/>
          <w:highlight w:val="none"/>
          <w:lang w:val="en-US" w:eastAsia="zh-CN"/>
        </w:rPr>
        <w:t>其中</w:t>
      </w:r>
      <w:r>
        <w:rPr>
          <w:rFonts w:hint="eastAsia"/>
          <w:color w:val="auto"/>
          <w:highlight w:val="none"/>
          <w:lang w:val="en-US" w:eastAsia="zh-CN"/>
        </w:rPr>
        <w:t>，</w:t>
      </w:r>
      <w:r>
        <w:rPr>
          <w:rFonts w:hint="eastAsia" w:ascii="Times New Roman" w:hAnsi="Times New Roman" w:eastAsia="仿宋_GB2312"/>
          <w:color w:val="auto"/>
          <w:highlight w:val="none"/>
          <w:lang w:val="en-US" w:eastAsia="zh-CN"/>
        </w:rPr>
        <w:t>街道实现服务全覆盖</w:t>
      </w:r>
      <w:r>
        <w:rPr>
          <w:rFonts w:hint="eastAsia"/>
          <w:color w:val="auto"/>
          <w:highlight w:val="none"/>
          <w:lang w:val="en-US" w:eastAsia="zh-CN"/>
        </w:rPr>
        <w:t>，</w:t>
      </w:r>
      <w:r>
        <w:rPr>
          <w:rFonts w:hint="eastAsia" w:ascii="Times New Roman" w:hAnsi="Times New Roman" w:eastAsia="仿宋_GB2312"/>
          <w:color w:val="auto"/>
          <w:highlight w:val="none"/>
          <w:lang w:val="en-US" w:eastAsia="zh-CN"/>
        </w:rPr>
        <w:t>平原浅山镇服务覆盖率达到 75%</w:t>
      </w:r>
      <w:r>
        <w:rPr>
          <w:rFonts w:hint="eastAsia"/>
          <w:color w:val="auto"/>
          <w:highlight w:val="none"/>
          <w:lang w:val="en-US" w:eastAsia="zh-CN"/>
        </w:rPr>
        <w:t>），</w:t>
      </w:r>
      <w:r>
        <w:rPr>
          <w:rFonts w:hint="eastAsia" w:ascii="Times New Roman" w:hAnsi="Times New Roman" w:eastAsia="仿宋_GB2312"/>
          <w:color w:val="auto"/>
          <w:highlight w:val="none"/>
          <w:lang w:val="en-US" w:eastAsia="zh-CN"/>
        </w:rPr>
        <w:t>每千名常住人口养老床位</w:t>
      </w:r>
      <w:r>
        <w:rPr>
          <w:rFonts w:hint="eastAsia"/>
          <w:color w:val="auto"/>
          <w:highlight w:val="none"/>
          <w:lang w:val="en-US" w:eastAsia="zh-CN"/>
        </w:rPr>
        <w:t>大于8.25张</w:t>
      </w:r>
      <w:r>
        <w:rPr>
          <w:rFonts w:hint="eastAsia" w:ascii="Times New Roman" w:hAnsi="Times New Roman" w:eastAsia="仿宋_GB2312"/>
          <w:color w:val="auto"/>
          <w:highlight w:val="none"/>
          <w:lang w:val="en-US" w:eastAsia="zh-CN"/>
        </w:rPr>
        <w:t>。</w:t>
      </w:r>
      <w:r>
        <w:rPr>
          <w:rFonts w:hint="eastAsia"/>
          <w:color w:val="auto"/>
          <w:highlight w:val="none"/>
          <w:lang w:val="en-US" w:eastAsia="zh-CN"/>
        </w:rPr>
        <w:t>加快</w:t>
      </w:r>
      <w:r>
        <w:rPr>
          <w:rFonts w:hint="eastAsia" w:ascii="Times New Roman" w:hAnsi="Times New Roman" w:eastAsia="仿宋_GB2312"/>
          <w:color w:val="auto"/>
          <w:highlight w:val="none"/>
          <w:lang w:val="en-US" w:eastAsia="zh-CN"/>
        </w:rPr>
        <w:t>泰康养老大健康综合体等项目</w:t>
      </w:r>
      <w:r>
        <w:rPr>
          <w:rFonts w:hint="eastAsia"/>
          <w:color w:val="auto"/>
          <w:highlight w:val="none"/>
          <w:lang w:val="en-US" w:eastAsia="zh-CN"/>
        </w:rPr>
        <w:t>落地运营</w:t>
      </w:r>
      <w:r>
        <w:rPr>
          <w:rFonts w:hint="eastAsia" w:ascii="Times New Roman" w:hAnsi="Times New Roman" w:eastAsia="仿宋_GB2312"/>
          <w:color w:val="auto"/>
          <w:highlight w:val="none"/>
          <w:lang w:val="en-US" w:eastAsia="zh-CN"/>
        </w:rPr>
        <w:t>，</w:t>
      </w:r>
      <w:r>
        <w:rPr>
          <w:rFonts w:hint="eastAsia"/>
          <w:color w:val="auto"/>
          <w:highlight w:val="none"/>
          <w:lang w:val="en-US" w:eastAsia="zh-CN"/>
        </w:rPr>
        <w:t>丰富</w:t>
      </w:r>
      <w:r>
        <w:rPr>
          <w:rFonts w:hint="eastAsia" w:ascii="Times New Roman" w:hAnsi="Times New Roman" w:eastAsia="仿宋_GB2312"/>
          <w:color w:val="auto"/>
          <w:highlight w:val="none"/>
          <w:lang w:val="en-US" w:eastAsia="zh-CN"/>
        </w:rPr>
        <w:t>高端康养供给。推动养老机构开门办院，将专业服务向社区居家延伸，提供生活照料、康复护理等“类机构”上门服务</w:t>
      </w:r>
      <w:r>
        <w:rPr>
          <w:rFonts w:hint="eastAsia"/>
          <w:color w:val="auto"/>
          <w:highlight w:val="none"/>
          <w:lang w:val="en-US" w:eastAsia="zh-CN"/>
        </w:rPr>
        <w:t>。开展</w:t>
      </w:r>
      <w:r>
        <w:rPr>
          <w:rFonts w:hint="eastAsia" w:ascii="Times New Roman" w:hAnsi="Times New Roman" w:eastAsia="仿宋_GB2312"/>
          <w:color w:val="auto"/>
          <w:highlight w:val="none"/>
          <w:lang w:val="en-US" w:eastAsia="zh-CN"/>
        </w:rPr>
        <w:t>养老机构服务质量星级评定，</w:t>
      </w:r>
      <w:r>
        <w:rPr>
          <w:rFonts w:hint="eastAsia"/>
          <w:color w:val="auto"/>
          <w:highlight w:val="none"/>
          <w:lang w:val="en-US" w:eastAsia="zh-CN"/>
        </w:rPr>
        <w:t>推动普惠支持型养老机构建设</w:t>
      </w:r>
      <w:r>
        <w:rPr>
          <w:rFonts w:hint="eastAsia" w:ascii="Times New Roman" w:hAnsi="Times New Roman" w:eastAsia="仿宋_GB2312"/>
          <w:color w:val="auto"/>
          <w:highlight w:val="none"/>
          <w:lang w:val="en-US" w:eastAsia="zh-CN"/>
        </w:rPr>
        <w:t>。完善医养康养结合机制</w:t>
      </w:r>
      <w:r>
        <w:rPr>
          <w:rFonts w:hint="eastAsia"/>
          <w:color w:val="auto"/>
          <w:highlight w:val="none"/>
          <w:lang w:val="en-US" w:eastAsia="zh-CN"/>
        </w:rPr>
        <w:t>，</w:t>
      </w:r>
      <w:r>
        <w:rPr>
          <w:rFonts w:hint="eastAsia" w:ascii="Times New Roman" w:hAnsi="Times New Roman" w:eastAsia="仿宋_GB2312"/>
          <w:color w:val="auto"/>
          <w:highlight w:val="none"/>
          <w:lang w:val="en-US" w:eastAsia="zh-CN"/>
        </w:rPr>
        <w:t>持续支持大中型养老机构探索“养老院+护理院”双院协同模式，推动医疗资源深度嵌入养老服务体系。配合推进安宁疗护体系建设。</w:t>
      </w:r>
    </w:p>
    <w:p w14:paraId="5F9B956E">
      <w:pPr>
        <w:bidi w:val="0"/>
        <w:ind w:firstLine="643"/>
        <w:rPr>
          <w:rFonts w:hint="eastAsia" w:ascii="Times New Roman" w:hAnsi="Times New Roman" w:eastAsia="仿宋_GB2312"/>
          <w:color w:val="auto"/>
          <w:highlight w:val="none"/>
          <w:lang w:val="en-US" w:eastAsia="zh-CN"/>
        </w:rPr>
      </w:pPr>
      <w:r>
        <w:rPr>
          <w:rFonts w:hint="eastAsia" w:ascii="Times New Roman" w:hAnsi="Times New Roman"/>
          <w:b/>
          <w:bCs/>
          <w:color w:val="auto"/>
          <w:highlight w:val="none"/>
          <w:lang w:val="en-US" w:eastAsia="zh-CN"/>
        </w:rPr>
        <w:t>健全精准精细的</w:t>
      </w:r>
      <w:r>
        <w:rPr>
          <w:rFonts w:hint="eastAsia"/>
          <w:b/>
          <w:bCs/>
          <w:color w:val="auto"/>
          <w:highlight w:val="none"/>
          <w:lang w:val="en-US" w:eastAsia="zh-CN"/>
        </w:rPr>
        <w:t>“老老人”</w:t>
      </w:r>
      <w:r>
        <w:rPr>
          <w:rFonts w:hint="eastAsia" w:ascii="Times New Roman" w:hAnsi="Times New Roman"/>
          <w:b/>
          <w:bCs/>
          <w:color w:val="auto"/>
          <w:highlight w:val="none"/>
          <w:lang w:val="en-US" w:eastAsia="zh-CN"/>
        </w:rPr>
        <w:t>服务体系</w:t>
      </w:r>
      <w:r>
        <w:rPr>
          <w:rFonts w:hint="eastAsia" w:ascii="Times New Roman" w:hAnsi="Times New Roman" w:eastAsia="仿宋_GB2312"/>
          <w:b/>
          <w:bCs/>
          <w:color w:val="auto"/>
          <w:highlight w:val="none"/>
          <w:lang w:val="en-US" w:eastAsia="zh-CN"/>
        </w:rPr>
        <w:t>。</w:t>
      </w:r>
      <w:r>
        <w:rPr>
          <w:rFonts w:hint="eastAsia" w:ascii="仿宋_GB2312" w:hAnsi="仿宋_GB2312" w:eastAsia="仿宋_GB2312" w:cs="仿宋_GB2312"/>
          <w:sz w:val="32"/>
          <w:szCs w:val="32"/>
          <w:highlight w:val="none"/>
          <w:u w:val="none"/>
          <w:lang w:val="en-US" w:eastAsia="zh-CN"/>
        </w:rPr>
        <w:t>指导镇街实现“老老人”群体精准画像，完善特殊困难老年人分类标准与精准识别，统筹探访关爱力量，强化资源链接与救助帮扶，实现对有需求的独居、空巢、留守、失能、重残、计划生育等特殊老年群体探访关爱服务100%覆盖。</w:t>
      </w:r>
      <w:r>
        <w:rPr>
          <w:rFonts w:hint="eastAsia" w:ascii="Times New Roman" w:hAnsi="Times New Roman" w:eastAsia="仿宋_GB2312"/>
          <w:color w:val="auto"/>
          <w:highlight w:val="none"/>
          <w:u w:val="none"/>
          <w:lang w:val="en-US" w:eastAsia="zh-CN"/>
        </w:rPr>
        <w:t>探索“家庭—社区</w:t>
      </w:r>
      <w:r>
        <w:rPr>
          <w:rFonts w:hint="eastAsia" w:ascii="Times New Roman" w:hAnsi="Times New Roman" w:eastAsia="仿宋_GB2312"/>
          <w:color w:val="auto"/>
          <w:highlight w:val="none"/>
          <w:lang w:val="en-US" w:eastAsia="zh-CN"/>
        </w:rPr>
        <w:t>—专业机构”失能老人长期照护模式，</w:t>
      </w:r>
      <w:r>
        <w:rPr>
          <w:rFonts w:hint="eastAsia"/>
          <w:color w:val="auto"/>
          <w:highlight w:val="none"/>
          <w:lang w:val="en-US" w:eastAsia="zh-CN"/>
        </w:rPr>
        <w:t>发展</w:t>
      </w:r>
      <w:r>
        <w:rPr>
          <w:rFonts w:hint="eastAsia" w:ascii="Times New Roman" w:hAnsi="Times New Roman" w:eastAsia="仿宋_GB2312"/>
          <w:color w:val="auto"/>
          <w:highlight w:val="none"/>
          <w:lang w:val="en-US" w:eastAsia="zh-CN"/>
        </w:rPr>
        <w:t>护理型床位，到2030年</w:t>
      </w:r>
      <w:r>
        <w:rPr>
          <w:rFonts w:hint="eastAsia"/>
          <w:color w:val="auto"/>
          <w:highlight w:val="none"/>
          <w:lang w:val="en-US" w:eastAsia="zh-CN"/>
        </w:rPr>
        <w:t>，</w:t>
      </w:r>
      <w:r>
        <w:rPr>
          <w:rFonts w:hint="eastAsia" w:ascii="Times New Roman" w:hAnsi="Times New Roman" w:eastAsia="仿宋_GB2312"/>
          <w:color w:val="auto"/>
          <w:highlight w:val="none"/>
          <w:lang w:val="en-US" w:eastAsia="zh-CN"/>
        </w:rPr>
        <w:t>养老机构护理型床位占比达到7</w:t>
      </w:r>
      <w:r>
        <w:rPr>
          <w:rFonts w:hint="eastAsia"/>
          <w:color w:val="auto"/>
          <w:highlight w:val="none"/>
          <w:lang w:val="en-US" w:eastAsia="zh-CN"/>
        </w:rPr>
        <w:t>8</w:t>
      </w:r>
      <w:r>
        <w:rPr>
          <w:rFonts w:hint="eastAsia" w:ascii="Times New Roman" w:hAnsi="Times New Roman" w:eastAsia="仿宋_GB2312"/>
          <w:color w:val="auto"/>
          <w:highlight w:val="none"/>
          <w:lang w:val="en-US" w:eastAsia="zh-CN"/>
        </w:rPr>
        <w:t>%</w:t>
      </w:r>
      <w:r>
        <w:rPr>
          <w:rFonts w:hint="eastAsia"/>
          <w:color w:val="auto"/>
          <w:highlight w:val="none"/>
          <w:lang w:val="en-US" w:eastAsia="zh-CN"/>
        </w:rPr>
        <w:t>左右，100张床位以上且具备相应服务能力的养老机构失智老年人照护专区（单元）设置率不低于50%</w:t>
      </w:r>
      <w:r>
        <w:rPr>
          <w:rFonts w:hint="eastAsia" w:ascii="Times New Roman" w:hAnsi="Times New Roman" w:eastAsia="仿宋_GB2312"/>
          <w:color w:val="auto"/>
          <w:highlight w:val="none"/>
          <w:lang w:val="en-US" w:eastAsia="zh-CN"/>
        </w:rPr>
        <w:t>。</w:t>
      </w:r>
    </w:p>
    <w:p w14:paraId="677D2E48">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left"/>
        <w:textAlignment w:val="auto"/>
        <w:outlineLvl w:val="9"/>
        <w:rPr>
          <w:rFonts w:hint="default" w:ascii="Times New Roman" w:hAnsi="Times New Roman"/>
          <w:color w:val="auto"/>
          <w:highlight w:val="none"/>
          <w:lang w:val="en-US" w:eastAsia="zh-CN"/>
        </w:rPr>
      </w:pPr>
      <w:bookmarkStart w:id="27" w:name="_Toc12210"/>
      <w:r>
        <w:rPr>
          <w:rFonts w:hint="eastAsia" w:ascii="Times New Roman" w:hAnsi="Times New Roman" w:cs="宋体"/>
          <w:b/>
          <w:bCs w:val="0"/>
          <w:color w:val="auto"/>
          <w:kern w:val="0"/>
          <w:sz w:val="32"/>
          <w:szCs w:val="27"/>
          <w:highlight w:val="none"/>
          <w:lang w:val="en-US" w:eastAsia="zh-CN" w:bidi="ar"/>
        </w:rPr>
        <w:t>构建供需匹配的</w:t>
      </w:r>
      <w:r>
        <w:rPr>
          <w:rFonts w:hint="eastAsia" w:cs="宋体"/>
          <w:b/>
          <w:bCs w:val="0"/>
          <w:color w:val="auto"/>
          <w:kern w:val="0"/>
          <w:sz w:val="32"/>
          <w:szCs w:val="27"/>
          <w:highlight w:val="none"/>
          <w:lang w:val="en-US" w:eastAsia="zh-CN" w:bidi="ar"/>
        </w:rPr>
        <w:t>老年</w:t>
      </w:r>
      <w:r>
        <w:rPr>
          <w:rFonts w:hint="eastAsia" w:ascii="Times New Roman" w:hAnsi="Times New Roman" w:eastAsia="仿宋_GB2312" w:cs="宋体"/>
          <w:b/>
          <w:bCs w:val="0"/>
          <w:color w:val="auto"/>
          <w:kern w:val="0"/>
          <w:sz w:val="32"/>
          <w:szCs w:val="27"/>
          <w:highlight w:val="none"/>
          <w:lang w:val="en-US" w:eastAsia="zh-CN" w:bidi="ar"/>
        </w:rPr>
        <w:t>助餐服务网络</w:t>
      </w:r>
      <w:bookmarkEnd w:id="27"/>
      <w:r>
        <w:rPr>
          <w:rFonts w:hint="eastAsia" w:ascii="Times New Roman" w:hAnsi="Times New Roman" w:cs="宋体"/>
          <w:b/>
          <w:bCs w:val="0"/>
          <w:color w:val="auto"/>
          <w:kern w:val="0"/>
          <w:sz w:val="32"/>
          <w:szCs w:val="27"/>
          <w:highlight w:val="none"/>
          <w:lang w:val="en-US" w:eastAsia="zh-CN" w:bidi="ar"/>
        </w:rPr>
        <w:t>。</w:t>
      </w:r>
      <w:r>
        <w:rPr>
          <w:rFonts w:hint="default" w:ascii="仿宋_GB2312" w:hAnsi="仿宋_GB2312" w:eastAsia="仿宋_GB2312" w:cs="仿宋_GB2312"/>
          <w:sz w:val="32"/>
          <w:szCs w:val="32"/>
          <w:highlight w:val="none"/>
          <w:lang w:val="en-US" w:eastAsia="zh-CN"/>
        </w:rPr>
        <w:t>推动助餐服务从单点运营向连锁化、多点式布局升级。</w:t>
      </w:r>
      <w:r>
        <w:rPr>
          <w:rFonts w:hint="eastAsia" w:ascii="仿宋_GB2312" w:hAnsi="仿宋_GB2312" w:eastAsia="仿宋_GB2312" w:cs="仿宋_GB2312"/>
          <w:sz w:val="32"/>
          <w:szCs w:val="32"/>
          <w:highlight w:val="none"/>
          <w:lang w:val="en-US" w:eastAsia="zh-CN"/>
        </w:rPr>
        <w:t>鼓励</w:t>
      </w:r>
      <w:r>
        <w:rPr>
          <w:rFonts w:hint="default" w:ascii="仿宋_GB2312" w:hAnsi="仿宋_GB2312" w:eastAsia="仿宋_GB2312" w:cs="仿宋_GB2312"/>
          <w:sz w:val="32"/>
          <w:szCs w:val="32"/>
          <w:highlight w:val="none"/>
          <w:lang w:val="en-US" w:eastAsia="zh-CN"/>
        </w:rPr>
        <w:t>村居统筹党员志愿者、助餐点工作人员组建灵活配送队伍，</w:t>
      </w:r>
      <w:r>
        <w:rPr>
          <w:rFonts w:hint="eastAsia" w:ascii="仿宋_GB2312" w:hAnsi="仿宋_GB2312" w:eastAsia="仿宋_GB2312" w:cs="仿宋_GB2312"/>
          <w:sz w:val="32"/>
          <w:szCs w:val="32"/>
          <w:highlight w:val="none"/>
          <w:lang w:val="en-US" w:eastAsia="zh-CN"/>
        </w:rPr>
        <w:t>引导镇街探索</w:t>
      </w:r>
      <w:r>
        <w:rPr>
          <w:rFonts w:hint="default" w:ascii="仿宋_GB2312" w:hAnsi="仿宋_GB2312" w:eastAsia="仿宋_GB2312" w:cs="仿宋_GB2312"/>
          <w:sz w:val="32"/>
          <w:szCs w:val="32"/>
          <w:highlight w:val="none"/>
          <w:lang w:val="en-US" w:eastAsia="zh-CN"/>
        </w:rPr>
        <w:t>“企业专业配送+志愿互助送餐+机构兜底保障”多元送餐</w:t>
      </w:r>
      <w:r>
        <w:rPr>
          <w:rFonts w:hint="eastAsia" w:ascii="仿宋_GB2312" w:hAnsi="仿宋_GB2312" w:eastAsia="仿宋_GB2312" w:cs="仿宋_GB2312"/>
          <w:sz w:val="32"/>
          <w:szCs w:val="32"/>
          <w:highlight w:val="none"/>
          <w:lang w:val="en-US" w:eastAsia="zh-CN"/>
        </w:rPr>
        <w:t>模式</w:t>
      </w:r>
      <w:r>
        <w:rPr>
          <w:rFonts w:hint="default" w:ascii="仿宋_GB2312" w:hAnsi="仿宋_GB2312" w:eastAsia="仿宋_GB2312" w:cs="仿宋_GB2312"/>
          <w:sz w:val="32"/>
          <w:szCs w:val="32"/>
          <w:highlight w:val="none"/>
          <w:lang w:val="en-US" w:eastAsia="zh-CN"/>
        </w:rPr>
        <w:t>。</w:t>
      </w:r>
    </w:p>
    <w:p w14:paraId="45EFBF79">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left"/>
        <w:textAlignment w:val="auto"/>
        <w:outlineLvl w:val="9"/>
        <w:rPr>
          <w:rFonts w:hint="default" w:ascii="Times New Roman" w:hAnsi="Times New Roman" w:eastAsia="仿宋_GB2312"/>
          <w:color w:val="auto"/>
          <w:highlight w:val="none"/>
          <w:lang w:val="en-US" w:eastAsia="zh-CN"/>
        </w:rPr>
      </w:pPr>
      <w:bookmarkStart w:id="28" w:name="_Toc6078"/>
      <w:r>
        <w:rPr>
          <w:rFonts w:hint="eastAsia" w:ascii="Times New Roman" w:hAnsi="Times New Roman"/>
          <w:b/>
          <w:bCs/>
          <w:color w:val="auto"/>
          <w:highlight w:val="none"/>
          <w:lang w:val="en-US" w:eastAsia="zh-CN"/>
        </w:rPr>
        <w:t>强化专业精进的</w:t>
      </w:r>
      <w:r>
        <w:rPr>
          <w:rFonts w:hint="eastAsia" w:ascii="Times New Roman" w:hAnsi="Times New Roman" w:eastAsia="仿宋_GB2312"/>
          <w:b/>
          <w:bCs/>
          <w:color w:val="auto"/>
          <w:highlight w:val="none"/>
          <w:lang w:val="en-US" w:eastAsia="zh-CN"/>
        </w:rPr>
        <w:t>养老人才培育</w:t>
      </w:r>
      <w:bookmarkEnd w:id="28"/>
      <w:r>
        <w:rPr>
          <w:rFonts w:hint="eastAsia" w:ascii="Times New Roman" w:hAnsi="Times New Roman"/>
          <w:b/>
          <w:bCs/>
          <w:color w:val="auto"/>
          <w:highlight w:val="none"/>
          <w:lang w:val="en-US" w:eastAsia="zh-CN"/>
        </w:rPr>
        <w:t>。</w:t>
      </w:r>
      <w:r>
        <w:rPr>
          <w:rFonts w:hint="eastAsia" w:ascii="Times New Roman" w:hAnsi="Times New Roman" w:eastAsia="仿宋_GB2312"/>
          <w:color w:val="auto"/>
          <w:highlight w:val="none"/>
          <w:lang w:val="en-US" w:eastAsia="zh-CN"/>
        </w:rPr>
        <w:t>深化与</w:t>
      </w:r>
      <w:r>
        <w:rPr>
          <w:rFonts w:hint="eastAsia" w:ascii="Times New Roman" w:hAnsi="Times New Roman" w:eastAsia="仿宋_GB2312"/>
          <w:color w:val="auto"/>
          <w:highlight w:val="none"/>
          <w:lang w:val="en-US" w:eastAsia="zh-CN"/>
        </w:rPr>
        <w:fldChar w:fldCharType="begin"/>
      </w:r>
      <w:r>
        <w:rPr>
          <w:rFonts w:hint="eastAsia" w:ascii="Times New Roman" w:hAnsi="Times New Roman" w:eastAsia="仿宋_GB2312"/>
          <w:color w:val="auto"/>
          <w:highlight w:val="none"/>
          <w:lang w:val="en-US" w:eastAsia="zh-CN"/>
        </w:rPr>
        <w:instrText xml:space="preserve"> HYPERLINK "http://www.baidu.com/link?url=tjij59RIybpwHUWlDYDFTKlOziE6TKqRWP9HdBSNoTy" \t "https://www.baidu.com/_blank" </w:instrText>
      </w:r>
      <w:r>
        <w:rPr>
          <w:rFonts w:hint="eastAsia" w:ascii="Times New Roman" w:hAnsi="Times New Roman" w:eastAsia="仿宋_GB2312"/>
          <w:color w:val="auto"/>
          <w:highlight w:val="none"/>
          <w:lang w:val="en-US" w:eastAsia="zh-CN"/>
        </w:rPr>
        <w:fldChar w:fldCharType="separate"/>
      </w:r>
      <w:r>
        <w:rPr>
          <w:rFonts w:hint="eastAsia" w:ascii="Times New Roman" w:hAnsi="Times New Roman" w:eastAsia="仿宋_GB2312"/>
          <w:color w:val="auto"/>
          <w:highlight w:val="none"/>
          <w:lang w:val="en-US" w:eastAsia="zh-CN"/>
        </w:rPr>
        <w:t>北京劳动保障职业学院、</w:t>
      </w:r>
      <w:r>
        <w:rPr>
          <w:rFonts w:hint="eastAsia" w:ascii="Times New Roman" w:hAnsi="Times New Roman" w:eastAsia="仿宋_GB2312"/>
          <w:color w:val="auto"/>
          <w:highlight w:val="none"/>
          <w:lang w:val="en-US" w:eastAsia="zh-CN"/>
        </w:rPr>
        <w:fldChar w:fldCharType="begin"/>
      </w:r>
      <w:r>
        <w:rPr>
          <w:rFonts w:hint="eastAsia" w:ascii="Times New Roman" w:hAnsi="Times New Roman" w:eastAsia="仿宋_GB2312"/>
          <w:color w:val="auto"/>
          <w:highlight w:val="none"/>
          <w:lang w:val="en-US" w:eastAsia="zh-CN"/>
        </w:rPr>
        <w:instrText xml:space="preserve"> HYPERLINK "http://www.baidu.com/link?url=pOenAfIcfHmkVGM7wXPPaR5MfVku6eFnqL7ZJqXU_2wcAJWNIiKPzTnxYd3xJJVCBSWh6rTSG0TyAlwywneurtmCp6JSdAL93bIAiQEJJqPPtIRY5g5CAj5-C3tIRAEwBmQqJWJ_sb6bJiMzeSpaeg9pcou9QpGBSolca0v_LaW" \t "htt</w:instrText>
      </w:r>
      <w:r>
        <w:rPr>
          <w:rFonts w:hint="eastAsia"/>
          <w:color w:val="auto"/>
          <w:highlight w:val="none"/>
          <w:lang w:val="en-US" w:eastAsia="zh-CN"/>
        </w:rPr>
        <w:instrText xml:space="preserve">机构</w:instrText>
      </w:r>
      <w:r>
        <w:rPr>
          <w:rFonts w:hint="eastAsia" w:ascii="Times New Roman" w:hAnsi="Times New Roman" w:eastAsia="仿宋_GB2312"/>
          <w:color w:val="auto"/>
          <w:highlight w:val="none"/>
          <w:lang w:val="en-US" w:eastAsia="zh-CN"/>
        </w:rPr>
        <w:instrText xml:space="preserve">//www.baidu.com/_blank" </w:instrText>
      </w:r>
      <w:r>
        <w:rPr>
          <w:rFonts w:hint="eastAsia" w:ascii="Times New Roman" w:hAnsi="Times New Roman" w:eastAsia="仿宋_GB2312"/>
          <w:color w:val="auto"/>
          <w:highlight w:val="none"/>
          <w:lang w:val="en-US" w:eastAsia="zh-CN"/>
        </w:rPr>
        <w:fldChar w:fldCharType="separate"/>
      </w:r>
      <w:r>
        <w:rPr>
          <w:rFonts w:hint="eastAsia" w:ascii="Times New Roman" w:hAnsi="Times New Roman" w:eastAsia="仿宋_GB2312"/>
          <w:color w:val="auto"/>
          <w:highlight w:val="none"/>
          <w:lang w:val="en-US" w:eastAsia="zh-CN"/>
        </w:rPr>
        <w:t>北京汇佳职业学院等院校战略合作，共建养老服务人才实训基地，定向培养</w:t>
      </w:r>
      <w:r>
        <w:rPr>
          <w:rFonts w:hint="eastAsia" w:ascii="Times New Roman" w:hAnsi="Times New Roman"/>
          <w:color w:val="auto"/>
          <w:highlight w:val="none"/>
          <w:lang w:val="en-US" w:eastAsia="zh-CN"/>
        </w:rPr>
        <w:t>高素质</w:t>
      </w:r>
      <w:r>
        <w:rPr>
          <w:rFonts w:hint="eastAsia" w:ascii="Times New Roman" w:hAnsi="Times New Roman" w:eastAsia="仿宋_GB2312"/>
          <w:color w:val="auto"/>
          <w:highlight w:val="none"/>
          <w:lang w:val="en-US" w:eastAsia="zh-CN"/>
        </w:rPr>
        <w:t>护理人才。深化京津冀</w:t>
      </w:r>
      <w:r>
        <w:rPr>
          <w:rFonts w:hint="eastAsia"/>
          <w:color w:val="auto"/>
          <w:highlight w:val="none"/>
          <w:lang w:val="en-US" w:eastAsia="zh-CN"/>
        </w:rPr>
        <w:t>协调</w:t>
      </w:r>
      <w:r>
        <w:rPr>
          <w:rFonts w:hint="eastAsia" w:ascii="Times New Roman" w:hAnsi="Times New Roman" w:eastAsia="仿宋_GB2312"/>
          <w:color w:val="auto"/>
          <w:highlight w:val="none"/>
          <w:lang w:val="en-US" w:eastAsia="zh-CN"/>
        </w:rPr>
        <w:t>培训，拓宽护理员供给渠道。组织全区养老护理员参与市级养老护理员技能大赛</w:t>
      </w:r>
      <w:r>
        <w:rPr>
          <w:rFonts w:hint="eastAsia"/>
          <w:color w:val="auto"/>
          <w:highlight w:val="none"/>
          <w:lang w:val="en-US" w:eastAsia="zh-CN"/>
        </w:rPr>
        <w:t>，</w:t>
      </w:r>
      <w:r>
        <w:rPr>
          <w:rFonts w:hint="eastAsia" w:ascii="Times New Roman" w:hAnsi="Times New Roman" w:eastAsia="仿宋_GB2312"/>
          <w:color w:val="auto"/>
          <w:highlight w:val="none"/>
          <w:lang w:val="en-US" w:eastAsia="zh-CN"/>
        </w:rPr>
        <w:t>引导优秀人才扎根一线岗位。探索养老护理员持证激励机制，缓解从业人员年龄结构失衡、持证率不足、人员流动性高等问题。到2030年，万名老年人拥有护理员数达到100人</w:t>
      </w:r>
      <w:r>
        <w:rPr>
          <w:rFonts w:hint="eastAsia" w:ascii="Times New Roman" w:hAnsi="Times New Roman" w:eastAsia="仿宋_GB2312"/>
          <w:color w:val="auto"/>
          <w:highlight w:val="none"/>
          <w:lang w:val="en-US" w:eastAsia="zh-CN"/>
        </w:rPr>
        <w:fldChar w:fldCharType="end"/>
      </w:r>
      <w:r>
        <w:rPr>
          <w:rFonts w:hint="eastAsia" w:ascii="Times New Roman" w:hAnsi="Times New Roman" w:eastAsia="仿宋_GB2312"/>
          <w:color w:val="auto"/>
          <w:highlight w:val="none"/>
          <w:lang w:val="en-US" w:eastAsia="zh-CN"/>
        </w:rPr>
        <w:t>。</w:t>
      </w:r>
      <w:r>
        <w:rPr>
          <w:rFonts w:hint="eastAsia" w:ascii="Times New Roman" w:hAnsi="Times New Roman" w:eastAsia="仿宋_GB2312"/>
          <w:color w:val="auto"/>
          <w:highlight w:val="none"/>
          <w:lang w:val="en-US" w:eastAsia="zh-CN"/>
        </w:rPr>
        <w:fldChar w:fldCharType="end"/>
      </w:r>
    </w:p>
    <w:p w14:paraId="0945E97E">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Times New Roman"/>
          <w:b/>
          <w:bCs/>
          <w:color w:val="auto"/>
          <w:kern w:val="0"/>
          <w:sz w:val="32"/>
          <w:szCs w:val="27"/>
          <w:highlight w:val="none"/>
          <w:lang w:val="en-US" w:eastAsia="zh-CN" w:bidi="ar"/>
        </w:rPr>
      </w:pPr>
      <w:r>
        <w:rPr>
          <w:rFonts w:hint="default" w:ascii="Times New Roman" w:hAnsi="Times New Roman" w:eastAsia="仿宋_GB2312" w:cs="Times New Roman"/>
          <w:b/>
          <w:bCs/>
          <w:color w:val="auto"/>
          <w:kern w:val="0"/>
          <w:sz w:val="32"/>
          <w:szCs w:val="27"/>
          <w:highlight w:val="none"/>
          <w:lang w:val="en-US" w:eastAsia="zh-CN" w:bidi="ar"/>
        </w:rPr>
        <w:t>3.做优养老监督管理体系</w:t>
      </w:r>
    </w:p>
    <w:p w14:paraId="5362EEA6">
      <w:pPr>
        <w:bidi w:val="0"/>
        <w:rPr>
          <w:rFonts w:hint="eastAsia" w:ascii="Times New Roman" w:hAnsi="Times New Roman" w:eastAsia="仿宋_GB2312"/>
          <w:color w:val="auto"/>
          <w:highlight w:val="none"/>
          <w:lang w:val="en-US" w:eastAsia="zh-CN"/>
        </w:rPr>
      </w:pPr>
      <w:bookmarkStart w:id="29" w:name="_Toc18318"/>
      <w:r>
        <w:rPr>
          <w:rFonts w:hint="eastAsia" w:ascii="Times New Roman" w:hAnsi="Times New Roman" w:cs="宋体"/>
          <w:b w:val="0"/>
          <w:bCs w:val="0"/>
          <w:color w:val="auto"/>
          <w:kern w:val="0"/>
          <w:sz w:val="32"/>
          <w:szCs w:val="27"/>
          <w:highlight w:val="none"/>
          <w:lang w:val="en-US" w:eastAsia="zh-CN" w:bidi="ar"/>
        </w:rPr>
        <w:t>压实民政部门统筹监管职责，</w:t>
      </w:r>
      <w:r>
        <w:rPr>
          <w:rFonts w:hint="eastAsia" w:cs="宋体"/>
          <w:b w:val="0"/>
          <w:bCs w:val="0"/>
          <w:color w:val="auto"/>
          <w:kern w:val="0"/>
          <w:sz w:val="32"/>
          <w:szCs w:val="27"/>
          <w:highlight w:val="none"/>
          <w:lang w:val="en-US" w:eastAsia="zh-CN" w:bidi="ar"/>
        </w:rPr>
        <w:t>构建</w:t>
      </w:r>
      <w:r>
        <w:rPr>
          <w:rFonts w:hint="eastAsia" w:ascii="Times New Roman" w:hAnsi="Times New Roman" w:cs="宋体"/>
          <w:b w:val="0"/>
          <w:bCs w:val="0"/>
          <w:color w:val="auto"/>
          <w:kern w:val="0"/>
          <w:sz w:val="32"/>
          <w:szCs w:val="27"/>
          <w:highlight w:val="none"/>
          <w:lang w:val="en-US" w:eastAsia="zh-CN" w:bidi="ar"/>
        </w:rPr>
        <w:t>部门协同、属地联动、机构自律的</w:t>
      </w:r>
      <w:r>
        <w:rPr>
          <w:rFonts w:hint="eastAsia" w:cs="宋体"/>
          <w:b w:val="0"/>
          <w:bCs w:val="0"/>
          <w:color w:val="auto"/>
          <w:kern w:val="0"/>
          <w:sz w:val="32"/>
          <w:szCs w:val="27"/>
          <w:highlight w:val="none"/>
          <w:lang w:val="en-US" w:eastAsia="zh-CN" w:bidi="ar"/>
        </w:rPr>
        <w:t>立体化监管格局</w:t>
      </w:r>
      <w:r>
        <w:rPr>
          <w:rFonts w:hint="eastAsia" w:ascii="Times New Roman" w:hAnsi="Times New Roman" w:cs="宋体"/>
          <w:b w:val="0"/>
          <w:bCs w:val="0"/>
          <w:color w:val="auto"/>
          <w:kern w:val="0"/>
          <w:sz w:val="32"/>
          <w:szCs w:val="27"/>
          <w:highlight w:val="none"/>
          <w:lang w:val="en-US" w:eastAsia="zh-CN" w:bidi="ar"/>
        </w:rPr>
        <w:t>，</w:t>
      </w:r>
      <w:r>
        <w:rPr>
          <w:rFonts w:hint="eastAsia" w:cs="宋体"/>
          <w:b w:val="0"/>
          <w:bCs w:val="0"/>
          <w:color w:val="auto"/>
          <w:kern w:val="0"/>
          <w:sz w:val="32"/>
          <w:szCs w:val="27"/>
          <w:highlight w:val="none"/>
          <w:lang w:val="en-US" w:eastAsia="zh-CN" w:bidi="ar"/>
        </w:rPr>
        <w:t>夯实</w:t>
      </w:r>
      <w:r>
        <w:rPr>
          <w:rFonts w:hint="eastAsia" w:ascii="Times New Roman" w:hAnsi="Times New Roman" w:cs="宋体"/>
          <w:b w:val="0"/>
          <w:bCs w:val="0"/>
          <w:color w:val="auto"/>
          <w:kern w:val="0"/>
          <w:sz w:val="32"/>
          <w:szCs w:val="27"/>
          <w:highlight w:val="none"/>
          <w:lang w:val="en-US" w:eastAsia="zh-CN" w:bidi="ar"/>
        </w:rPr>
        <w:t>镇街监管力量</w:t>
      </w:r>
      <w:r>
        <w:rPr>
          <w:rFonts w:hint="eastAsia" w:cs="宋体"/>
          <w:b w:val="0"/>
          <w:bCs w:val="0"/>
          <w:color w:val="auto"/>
          <w:kern w:val="0"/>
          <w:sz w:val="32"/>
          <w:szCs w:val="27"/>
          <w:highlight w:val="none"/>
          <w:lang w:val="en-US" w:eastAsia="zh-CN" w:bidi="ar"/>
        </w:rPr>
        <w:t>，</w:t>
      </w:r>
      <w:r>
        <w:rPr>
          <w:rFonts w:hint="eastAsia" w:ascii="Times New Roman" w:hAnsi="Times New Roman" w:cs="宋体"/>
          <w:b w:val="0"/>
          <w:bCs w:val="0"/>
          <w:color w:val="auto"/>
          <w:kern w:val="0"/>
          <w:sz w:val="32"/>
          <w:szCs w:val="27"/>
          <w:highlight w:val="none"/>
          <w:lang w:val="en-US" w:eastAsia="zh-CN" w:bidi="ar"/>
        </w:rPr>
        <w:t>常态化</w:t>
      </w:r>
      <w:r>
        <w:rPr>
          <w:rFonts w:hint="eastAsia" w:cs="宋体"/>
          <w:b w:val="0"/>
          <w:bCs w:val="0"/>
          <w:color w:val="auto"/>
          <w:kern w:val="0"/>
          <w:sz w:val="32"/>
          <w:szCs w:val="27"/>
          <w:highlight w:val="none"/>
          <w:lang w:val="en-US" w:eastAsia="zh-CN" w:bidi="ar"/>
        </w:rPr>
        <w:t>开展</w:t>
      </w:r>
      <w:r>
        <w:rPr>
          <w:rFonts w:hint="eastAsia" w:ascii="Times New Roman" w:hAnsi="Times New Roman" w:cs="宋体"/>
          <w:b w:val="0"/>
          <w:bCs w:val="0"/>
          <w:color w:val="auto"/>
          <w:kern w:val="0"/>
          <w:sz w:val="32"/>
          <w:szCs w:val="27"/>
          <w:highlight w:val="none"/>
          <w:lang w:val="en-US" w:eastAsia="zh-CN" w:bidi="ar"/>
        </w:rPr>
        <w:t>联合</w:t>
      </w:r>
      <w:r>
        <w:rPr>
          <w:rFonts w:hint="eastAsia" w:cs="宋体"/>
          <w:b w:val="0"/>
          <w:bCs w:val="0"/>
          <w:color w:val="auto"/>
          <w:kern w:val="0"/>
          <w:sz w:val="32"/>
          <w:szCs w:val="27"/>
          <w:highlight w:val="none"/>
          <w:lang w:val="en-US" w:eastAsia="zh-CN" w:bidi="ar"/>
        </w:rPr>
        <w:t>监管</w:t>
      </w:r>
      <w:r>
        <w:rPr>
          <w:rFonts w:hint="eastAsia" w:ascii="Times New Roman" w:hAnsi="Times New Roman" w:cs="宋体"/>
          <w:b w:val="0"/>
          <w:bCs w:val="0"/>
          <w:color w:val="auto"/>
          <w:kern w:val="0"/>
          <w:sz w:val="32"/>
          <w:szCs w:val="27"/>
          <w:highlight w:val="none"/>
          <w:lang w:val="en-US" w:eastAsia="zh-CN" w:bidi="ar"/>
        </w:rPr>
        <w:t>与专项整治。压实养老机构安全生产主体责任，</w:t>
      </w:r>
      <w:r>
        <w:rPr>
          <w:rFonts w:hint="eastAsia" w:cs="宋体"/>
          <w:b w:val="0"/>
          <w:bCs w:val="0"/>
          <w:color w:val="auto"/>
          <w:kern w:val="0"/>
          <w:sz w:val="32"/>
          <w:szCs w:val="27"/>
          <w:highlight w:val="none"/>
          <w:lang w:val="en-US" w:eastAsia="zh-CN" w:bidi="ar"/>
        </w:rPr>
        <w:t>健全</w:t>
      </w:r>
      <w:r>
        <w:rPr>
          <w:rFonts w:hint="eastAsia" w:ascii="Times New Roman" w:hAnsi="Times New Roman" w:cs="宋体"/>
          <w:b w:val="0"/>
          <w:bCs w:val="0"/>
          <w:color w:val="auto"/>
          <w:kern w:val="0"/>
          <w:sz w:val="32"/>
          <w:szCs w:val="27"/>
          <w:highlight w:val="none"/>
          <w:lang w:val="en-US" w:eastAsia="zh-CN" w:bidi="ar"/>
        </w:rPr>
        <w:t>隐患自查自改机制</w:t>
      </w:r>
      <w:r>
        <w:rPr>
          <w:rFonts w:hint="eastAsia" w:cs="宋体"/>
          <w:b w:val="0"/>
          <w:bCs w:val="0"/>
          <w:color w:val="auto"/>
          <w:kern w:val="0"/>
          <w:sz w:val="32"/>
          <w:szCs w:val="27"/>
          <w:highlight w:val="none"/>
          <w:lang w:val="en-US" w:eastAsia="zh-CN" w:bidi="ar"/>
        </w:rPr>
        <w:t>，</w:t>
      </w:r>
      <w:r>
        <w:rPr>
          <w:rFonts w:hint="eastAsia" w:ascii="Times New Roman" w:hAnsi="Times New Roman" w:cs="宋体"/>
          <w:b w:val="0"/>
          <w:bCs w:val="0"/>
          <w:color w:val="auto"/>
          <w:kern w:val="0"/>
          <w:sz w:val="32"/>
          <w:szCs w:val="27"/>
          <w:highlight w:val="none"/>
          <w:lang w:val="en-US" w:eastAsia="zh-CN" w:bidi="ar"/>
        </w:rPr>
        <w:t>深化“一院一</w:t>
      </w:r>
      <w:r>
        <w:rPr>
          <w:rFonts w:hint="eastAsia" w:cs="宋体"/>
          <w:b w:val="0"/>
          <w:bCs w:val="0"/>
          <w:color w:val="auto"/>
          <w:kern w:val="0"/>
          <w:sz w:val="32"/>
          <w:szCs w:val="27"/>
          <w:highlight w:val="none"/>
          <w:lang w:val="en-US" w:eastAsia="zh-CN" w:bidi="ar"/>
        </w:rPr>
        <w:t>策</w:t>
      </w:r>
      <w:r>
        <w:rPr>
          <w:rFonts w:hint="eastAsia" w:ascii="Times New Roman" w:hAnsi="Times New Roman" w:cs="宋体"/>
          <w:b w:val="0"/>
          <w:bCs w:val="0"/>
          <w:color w:val="auto"/>
          <w:kern w:val="0"/>
          <w:sz w:val="32"/>
          <w:szCs w:val="27"/>
          <w:highlight w:val="none"/>
          <w:lang w:val="en-US" w:eastAsia="zh-CN" w:bidi="ar"/>
        </w:rPr>
        <w:t>”“一院一账”</w:t>
      </w:r>
      <w:r>
        <w:rPr>
          <w:rFonts w:hint="eastAsia" w:cs="宋体"/>
          <w:b w:val="0"/>
          <w:bCs w:val="0"/>
          <w:color w:val="auto"/>
          <w:kern w:val="0"/>
          <w:sz w:val="32"/>
          <w:szCs w:val="27"/>
          <w:highlight w:val="none"/>
          <w:lang w:val="en-US" w:eastAsia="zh-CN" w:bidi="ar"/>
        </w:rPr>
        <w:t>精细化管理，</w:t>
      </w:r>
      <w:r>
        <w:rPr>
          <w:rFonts w:hint="eastAsia" w:ascii="Times New Roman" w:hAnsi="Times New Roman" w:cs="宋体"/>
          <w:b w:val="0"/>
          <w:bCs w:val="0"/>
          <w:color w:val="auto"/>
          <w:kern w:val="0"/>
          <w:sz w:val="32"/>
          <w:szCs w:val="27"/>
          <w:highlight w:val="none"/>
          <w:lang w:val="en-US" w:eastAsia="zh-CN" w:bidi="ar"/>
        </w:rPr>
        <w:t>优化“风险+信用”监管</w:t>
      </w:r>
      <w:r>
        <w:rPr>
          <w:rFonts w:hint="eastAsia" w:cs="宋体"/>
          <w:b w:val="0"/>
          <w:bCs w:val="0"/>
          <w:color w:val="auto"/>
          <w:kern w:val="0"/>
          <w:sz w:val="32"/>
          <w:szCs w:val="27"/>
          <w:highlight w:val="none"/>
          <w:lang w:val="en-US" w:eastAsia="zh-CN" w:bidi="ar"/>
        </w:rPr>
        <w:t>、</w:t>
      </w:r>
      <w:r>
        <w:rPr>
          <w:rFonts w:hint="eastAsia" w:ascii="Times New Roman" w:hAnsi="Times New Roman" w:cs="宋体"/>
          <w:b w:val="0"/>
          <w:bCs w:val="0"/>
          <w:color w:val="auto"/>
          <w:kern w:val="0"/>
          <w:sz w:val="32"/>
          <w:szCs w:val="27"/>
          <w:highlight w:val="none"/>
          <w:lang w:val="en-US" w:eastAsia="zh-CN" w:bidi="ar"/>
        </w:rPr>
        <w:t>非现场监管</w:t>
      </w:r>
      <w:r>
        <w:rPr>
          <w:rFonts w:hint="eastAsia" w:cs="宋体"/>
          <w:b w:val="0"/>
          <w:bCs w:val="0"/>
          <w:color w:val="auto"/>
          <w:kern w:val="0"/>
          <w:sz w:val="32"/>
          <w:szCs w:val="27"/>
          <w:highlight w:val="none"/>
          <w:lang w:val="en-US" w:eastAsia="zh-CN" w:bidi="ar"/>
        </w:rPr>
        <w:t>及</w:t>
      </w:r>
      <w:r>
        <w:rPr>
          <w:rFonts w:hint="eastAsia" w:ascii="Times New Roman" w:hAnsi="Times New Roman" w:cs="宋体"/>
          <w:b w:val="0"/>
          <w:bCs w:val="0"/>
          <w:color w:val="auto"/>
          <w:kern w:val="0"/>
          <w:sz w:val="32"/>
          <w:szCs w:val="27"/>
          <w:highlight w:val="none"/>
          <w:lang w:val="en-US" w:eastAsia="zh-CN" w:bidi="ar"/>
        </w:rPr>
        <w:t>分级分类监管。</w:t>
      </w:r>
      <w:r>
        <w:rPr>
          <w:rFonts w:hint="eastAsia" w:cs="宋体"/>
          <w:b w:val="0"/>
          <w:bCs w:val="0"/>
          <w:color w:val="auto"/>
          <w:kern w:val="0"/>
          <w:sz w:val="32"/>
          <w:szCs w:val="27"/>
          <w:highlight w:val="none"/>
          <w:lang w:val="en-US" w:eastAsia="zh-CN" w:bidi="ar"/>
        </w:rPr>
        <w:t>强化养老补贴资金全流程监管，严格落实养老机构预收费管理制度，保障养老资金规范精准发放。推动行政监管与案件查办有效衔接，协同打击养老诈骗、非法集资等涉老违法犯罪行为</w:t>
      </w:r>
      <w:r>
        <w:rPr>
          <w:rFonts w:hint="eastAsia" w:ascii="Times New Roman" w:hAnsi="Times New Roman" w:cs="宋体"/>
          <w:b w:val="0"/>
          <w:bCs w:val="0"/>
          <w:color w:val="auto"/>
          <w:kern w:val="0"/>
          <w:sz w:val="32"/>
          <w:szCs w:val="27"/>
          <w:highlight w:val="none"/>
          <w:lang w:val="en-US" w:eastAsia="zh-CN" w:bidi="ar"/>
        </w:rPr>
        <w:t>。</w:t>
      </w:r>
      <w:bookmarkEnd w:id="29"/>
      <w:r>
        <w:rPr>
          <w:rFonts w:hint="eastAsia" w:ascii="Times New Roman" w:hAnsi="Times New Roman" w:eastAsia="仿宋_GB2312"/>
          <w:color w:val="auto"/>
          <w:highlight w:val="none"/>
          <w:lang w:val="en-US" w:eastAsia="zh-CN"/>
        </w:rPr>
        <w:t>依托区养老信息综合服务平台建设，深化智慧监管赋能，</w:t>
      </w:r>
      <w:r>
        <w:rPr>
          <w:rFonts w:hint="eastAsia" w:ascii="Times New Roman" w:hAnsi="Times New Roman"/>
          <w:color w:val="auto"/>
          <w:highlight w:val="none"/>
          <w:lang w:val="en-US" w:eastAsia="zh-CN"/>
        </w:rPr>
        <w:t>探索</w:t>
      </w:r>
      <w:r>
        <w:rPr>
          <w:rFonts w:hint="eastAsia" w:ascii="Times New Roman" w:hAnsi="Times New Roman" w:eastAsia="仿宋_GB2312"/>
          <w:color w:val="auto"/>
          <w:highlight w:val="none"/>
          <w:lang w:val="en-US" w:eastAsia="zh-CN"/>
        </w:rPr>
        <w:t>运用</w:t>
      </w:r>
      <w:r>
        <w:rPr>
          <w:rFonts w:hint="eastAsia"/>
          <w:color w:val="auto"/>
          <w:highlight w:val="none"/>
          <w:lang w:val="en-US" w:eastAsia="zh-CN"/>
        </w:rPr>
        <w:t>智慧</w:t>
      </w:r>
      <w:r>
        <w:rPr>
          <w:rFonts w:hint="eastAsia" w:ascii="Times New Roman" w:hAnsi="Times New Roman" w:eastAsia="仿宋_GB2312"/>
          <w:color w:val="auto"/>
          <w:highlight w:val="none"/>
          <w:lang w:val="en-US" w:eastAsia="zh-CN"/>
        </w:rPr>
        <w:t>监控</w:t>
      </w:r>
      <w:r>
        <w:rPr>
          <w:rFonts w:hint="eastAsia"/>
          <w:color w:val="auto"/>
          <w:highlight w:val="none"/>
          <w:lang w:val="en-US" w:eastAsia="zh-CN"/>
        </w:rPr>
        <w:t>实现</w:t>
      </w:r>
      <w:r>
        <w:rPr>
          <w:rFonts w:hint="eastAsia" w:ascii="Times New Roman" w:hAnsi="Times New Roman" w:eastAsia="仿宋_GB2312"/>
          <w:color w:val="auto"/>
          <w:highlight w:val="none"/>
          <w:lang w:val="en-US" w:eastAsia="zh-CN"/>
        </w:rPr>
        <w:t>机构人员信息核验、服务评价、安全监测</w:t>
      </w:r>
      <w:r>
        <w:rPr>
          <w:rFonts w:hint="eastAsia"/>
          <w:color w:val="auto"/>
          <w:highlight w:val="none"/>
          <w:lang w:val="en-US" w:eastAsia="zh-CN"/>
        </w:rPr>
        <w:t>等动态追踪</w:t>
      </w:r>
      <w:r>
        <w:rPr>
          <w:rFonts w:hint="eastAsia" w:ascii="Times New Roman" w:hAnsi="Times New Roman" w:eastAsia="仿宋_GB2312"/>
          <w:color w:val="auto"/>
          <w:highlight w:val="none"/>
          <w:lang w:val="en-US" w:eastAsia="zh-CN"/>
        </w:rPr>
        <w:t>。</w:t>
      </w:r>
    </w:p>
    <w:p w14:paraId="589BAC98">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Times New Roman"/>
          <w:b/>
          <w:bCs/>
          <w:color w:val="auto"/>
          <w:kern w:val="0"/>
          <w:sz w:val="32"/>
          <w:szCs w:val="27"/>
          <w:highlight w:val="none"/>
          <w:lang w:val="en-US" w:eastAsia="zh-CN" w:bidi="ar"/>
        </w:rPr>
      </w:pPr>
      <w:r>
        <w:rPr>
          <w:rFonts w:hint="default" w:ascii="Times New Roman" w:hAnsi="Times New Roman" w:eastAsia="仿宋_GB2312" w:cs="Times New Roman"/>
          <w:b/>
          <w:bCs/>
          <w:color w:val="auto"/>
          <w:kern w:val="0"/>
          <w:sz w:val="32"/>
          <w:szCs w:val="27"/>
          <w:highlight w:val="none"/>
          <w:lang w:val="en-US" w:eastAsia="zh-CN" w:bidi="ar"/>
        </w:rPr>
        <w:t>4.激活社会力量参与体系</w:t>
      </w:r>
    </w:p>
    <w:p w14:paraId="22123406">
      <w:pPr>
        <w:bidi w:val="0"/>
        <w:rPr>
          <w:rFonts w:hint="eastAsia" w:ascii="Times New Roman" w:hAnsi="Times New Roman"/>
          <w:b w:val="0"/>
          <w:bCs w:val="0"/>
          <w:color w:val="auto"/>
          <w:highlight w:val="none"/>
        </w:rPr>
      </w:pPr>
      <w:r>
        <w:rPr>
          <w:rFonts w:hint="eastAsia" w:ascii="Times New Roman" w:hAnsi="Times New Roman"/>
          <w:b/>
          <w:bCs/>
          <w:color w:val="auto"/>
          <w:highlight w:val="none"/>
        </w:rPr>
        <w:t>拓宽多元主体参与渠道。</w:t>
      </w:r>
      <w:r>
        <w:rPr>
          <w:rFonts w:hint="eastAsia" w:ascii="Times New Roman" w:hAnsi="Times New Roman"/>
          <w:b w:val="0"/>
          <w:bCs w:val="0"/>
          <w:color w:val="auto"/>
          <w:highlight w:val="none"/>
        </w:rPr>
        <w:t>发挥基层党组织引领作用，动员专业社工与志愿者力量，撬动社会组织、企业参与养老服务，搭建老年人社会支持</w:t>
      </w:r>
      <w:r>
        <w:rPr>
          <w:rFonts w:hint="eastAsia"/>
          <w:b w:val="0"/>
          <w:bCs w:val="0"/>
          <w:color w:val="auto"/>
          <w:highlight w:val="none"/>
          <w:lang w:val="en-US" w:eastAsia="zh-CN"/>
        </w:rPr>
        <w:t>体系</w:t>
      </w:r>
      <w:r>
        <w:rPr>
          <w:rFonts w:hint="eastAsia" w:ascii="Times New Roman" w:hAnsi="Times New Roman"/>
          <w:b w:val="0"/>
          <w:bCs w:val="0"/>
          <w:color w:val="auto"/>
          <w:highlight w:val="none"/>
        </w:rPr>
        <w:t>。依托“京彩时光”志愿服务平台常态化开展助洁、助浴、助餐、健康义诊等服务。结合人口分布与设施布局，</w:t>
      </w:r>
      <w:r>
        <w:rPr>
          <w:rFonts w:hint="eastAsia"/>
          <w:b w:val="0"/>
          <w:bCs w:val="0"/>
          <w:color w:val="auto"/>
          <w:highlight w:val="none"/>
          <w:lang w:val="en-US" w:eastAsia="zh-CN"/>
        </w:rPr>
        <w:t>鼓励</w:t>
      </w:r>
      <w:r>
        <w:rPr>
          <w:rFonts w:hint="eastAsia" w:ascii="Times New Roman" w:hAnsi="Times New Roman"/>
          <w:b w:val="0"/>
          <w:bCs w:val="0"/>
          <w:color w:val="auto"/>
          <w:highlight w:val="none"/>
        </w:rPr>
        <w:t>社会力量投资运营，</w:t>
      </w:r>
      <w:r>
        <w:rPr>
          <w:rFonts w:hint="eastAsia"/>
          <w:b w:val="0"/>
          <w:bCs w:val="0"/>
          <w:color w:val="auto"/>
          <w:highlight w:val="none"/>
          <w:lang w:val="en-US" w:eastAsia="zh-CN"/>
        </w:rPr>
        <w:t>布局</w:t>
      </w:r>
      <w:r>
        <w:rPr>
          <w:rFonts w:hint="eastAsia" w:ascii="Times New Roman" w:hAnsi="Times New Roman"/>
          <w:b w:val="0"/>
          <w:bCs w:val="0"/>
          <w:color w:val="auto"/>
          <w:highlight w:val="none"/>
        </w:rPr>
        <w:t>普惠型养老机构；探索建设智慧适老化</w:t>
      </w:r>
      <w:r>
        <w:rPr>
          <w:rFonts w:hint="eastAsia"/>
          <w:b w:val="0"/>
          <w:bCs w:val="0"/>
          <w:color w:val="auto"/>
          <w:highlight w:val="none"/>
          <w:lang w:eastAsia="zh-CN"/>
        </w:rPr>
        <w:t>、</w:t>
      </w:r>
      <w:r>
        <w:rPr>
          <w:rFonts w:hint="eastAsia" w:ascii="Times New Roman" w:hAnsi="Times New Roman"/>
          <w:b w:val="0"/>
          <w:bCs w:val="0"/>
          <w:color w:val="auto"/>
          <w:highlight w:val="none"/>
        </w:rPr>
        <w:t>医养</w:t>
      </w:r>
      <w:r>
        <w:rPr>
          <w:rFonts w:hint="eastAsia"/>
          <w:b w:val="0"/>
          <w:bCs w:val="0"/>
          <w:color w:val="auto"/>
          <w:highlight w:val="none"/>
          <w:lang w:val="en-US" w:eastAsia="zh-CN"/>
        </w:rPr>
        <w:t>康养</w:t>
      </w:r>
      <w:r>
        <w:rPr>
          <w:rFonts w:hint="eastAsia" w:ascii="Times New Roman" w:hAnsi="Times New Roman"/>
          <w:b w:val="0"/>
          <w:bCs w:val="0"/>
          <w:color w:val="auto"/>
          <w:highlight w:val="none"/>
        </w:rPr>
        <w:t>融合</w:t>
      </w:r>
      <w:r>
        <w:rPr>
          <w:rFonts w:hint="eastAsia"/>
          <w:b w:val="0"/>
          <w:bCs w:val="0"/>
          <w:color w:val="auto"/>
          <w:highlight w:val="none"/>
          <w:lang w:val="en-US" w:eastAsia="zh-CN"/>
        </w:rPr>
        <w:t>型养老综合体，构建</w:t>
      </w:r>
      <w:r>
        <w:rPr>
          <w:rFonts w:hint="eastAsia" w:ascii="Times New Roman" w:hAnsi="Times New Roman"/>
          <w:b w:val="0"/>
          <w:bCs w:val="0"/>
          <w:color w:val="auto"/>
          <w:highlight w:val="none"/>
        </w:rPr>
        <w:t>公办民办互补</w:t>
      </w:r>
      <w:r>
        <w:rPr>
          <w:rFonts w:hint="eastAsia"/>
          <w:b w:val="0"/>
          <w:bCs w:val="0"/>
          <w:color w:val="auto"/>
          <w:highlight w:val="none"/>
          <w:lang w:val="en-US" w:eastAsia="zh-CN"/>
        </w:rPr>
        <w:t>共生</w:t>
      </w:r>
      <w:r>
        <w:rPr>
          <w:rFonts w:hint="eastAsia" w:ascii="Times New Roman" w:hAnsi="Times New Roman"/>
          <w:b w:val="0"/>
          <w:bCs w:val="0"/>
          <w:color w:val="auto"/>
          <w:highlight w:val="none"/>
        </w:rPr>
        <w:t>的</w:t>
      </w:r>
      <w:r>
        <w:rPr>
          <w:rFonts w:hint="eastAsia"/>
          <w:b w:val="0"/>
          <w:bCs w:val="0"/>
          <w:color w:val="auto"/>
          <w:highlight w:val="none"/>
          <w:lang w:val="en-US" w:eastAsia="zh-CN"/>
        </w:rPr>
        <w:t>养老</w:t>
      </w:r>
      <w:r>
        <w:rPr>
          <w:rFonts w:hint="eastAsia" w:ascii="Times New Roman" w:hAnsi="Times New Roman"/>
          <w:b w:val="0"/>
          <w:bCs w:val="0"/>
          <w:color w:val="auto"/>
          <w:highlight w:val="none"/>
        </w:rPr>
        <w:t>发展格局。</w:t>
      </w:r>
    </w:p>
    <w:p w14:paraId="02AEF782">
      <w:pPr>
        <w:ind w:left="0" w:leftChars="0" w:firstLine="643" w:firstLineChars="200"/>
        <w:rPr>
          <w:rFonts w:hint="eastAsia"/>
          <w:color w:val="auto"/>
          <w:highlight w:val="none"/>
          <w:lang w:val="en-US" w:eastAsia="zh-CN"/>
        </w:rPr>
      </w:pPr>
      <w:r>
        <w:rPr>
          <w:rFonts w:hint="eastAsia" w:ascii="Times New Roman" w:hAnsi="Times New Roman"/>
          <w:b/>
          <w:bCs/>
          <w:color w:val="auto"/>
          <w:highlight w:val="none"/>
          <w:lang w:val="en-US" w:eastAsia="zh-CN"/>
        </w:rPr>
        <w:t>推进京津冀协同养老项目。</w:t>
      </w:r>
      <w:r>
        <w:rPr>
          <w:rFonts w:hint="eastAsia" w:ascii="Times New Roman" w:hAnsi="Times New Roman"/>
          <w:color w:val="auto"/>
          <w:highlight w:val="none"/>
          <w:lang w:val="en-US" w:eastAsia="zh-CN"/>
        </w:rPr>
        <w:t>持续推进与河北省秦皇岛市、邯郸市、赤城县和天津市滨海新区等地区养老服务合作交流。发挥行业协会纽带作用，推动京津冀养老服务市场主体深度交流合作。鼓励社会力量参与京津冀协同养老项目，促进养老服务与旅游、医疗、文化等产业创新融合，落实三地养老服务资源共享、客源互送。</w:t>
      </w:r>
    </w:p>
    <w:p w14:paraId="2A78CCE1">
      <w:pPr>
        <w:widowControl w:val="0"/>
        <w:bidi w:val="0"/>
        <w:spacing w:before="0" w:beforeAutospacing="0" w:after="0" w:afterAutospacing="0" w:line="240" w:lineRule="auto"/>
        <w:ind w:firstLine="640" w:firstLineChars="200"/>
        <w:jc w:val="left"/>
        <w:outlineLvl w:val="0"/>
        <w:rPr>
          <w:rFonts w:hint="eastAsia" w:ascii="宋体" w:hAnsi="宋体" w:eastAsia="黑体" w:cs="宋体"/>
          <w:bCs/>
          <w:color w:val="auto"/>
          <w:kern w:val="44"/>
          <w:sz w:val="32"/>
          <w:szCs w:val="48"/>
          <w:highlight w:val="none"/>
          <w:lang w:val="en-US" w:eastAsia="zh-CN" w:bidi="ar"/>
        </w:rPr>
      </w:pPr>
      <w:bookmarkStart w:id="30" w:name="_Toc28449"/>
      <w:bookmarkStart w:id="31" w:name="_Toc20073"/>
      <w:bookmarkStart w:id="32" w:name="_Toc18562"/>
      <w:bookmarkStart w:id="33" w:name="_Toc5206"/>
      <w:bookmarkStart w:id="34" w:name="_Toc7414"/>
      <w:bookmarkStart w:id="35" w:name="_Toc10978"/>
      <w:bookmarkStart w:id="36" w:name="_Toc14068"/>
      <w:bookmarkStart w:id="37" w:name="_Toc19911"/>
      <w:r>
        <w:rPr>
          <w:rFonts w:hint="eastAsia" w:ascii="宋体" w:hAnsi="宋体" w:eastAsia="黑体" w:cs="宋体"/>
          <w:bCs/>
          <w:color w:val="auto"/>
          <w:kern w:val="44"/>
          <w:sz w:val="32"/>
          <w:szCs w:val="48"/>
          <w:highlight w:val="none"/>
          <w:lang w:val="en-US" w:eastAsia="zh-CN" w:bidi="ar"/>
        </w:rPr>
        <w:t>三</w:t>
      </w:r>
      <w:r>
        <w:rPr>
          <w:rFonts w:hint="default" w:ascii="宋体" w:hAnsi="宋体" w:eastAsia="黑体" w:cs="宋体"/>
          <w:bCs/>
          <w:color w:val="auto"/>
          <w:kern w:val="44"/>
          <w:sz w:val="32"/>
          <w:szCs w:val="48"/>
          <w:highlight w:val="none"/>
          <w:lang w:val="en-US" w:eastAsia="zh-CN" w:bidi="ar"/>
        </w:rPr>
        <w:t>、</w:t>
      </w:r>
      <w:r>
        <w:rPr>
          <w:rFonts w:hint="eastAsia" w:ascii="宋体" w:hAnsi="宋体" w:eastAsia="黑体" w:cs="宋体"/>
          <w:bCs/>
          <w:color w:val="auto"/>
          <w:kern w:val="44"/>
          <w:sz w:val="32"/>
          <w:szCs w:val="48"/>
          <w:highlight w:val="none"/>
          <w:lang w:val="en-US" w:eastAsia="zh-CN" w:bidi="ar"/>
        </w:rPr>
        <w:t>打造精准施策、高效便捷的</w:t>
      </w:r>
      <w:r>
        <w:rPr>
          <w:rFonts w:hint="default" w:ascii="宋体" w:hAnsi="宋体" w:eastAsia="黑体" w:cs="宋体"/>
          <w:bCs/>
          <w:color w:val="auto"/>
          <w:kern w:val="44"/>
          <w:sz w:val="32"/>
          <w:szCs w:val="48"/>
          <w:highlight w:val="none"/>
          <w:lang w:val="en-US" w:eastAsia="zh-CN" w:bidi="ar"/>
        </w:rPr>
        <w:t>社会救助体系</w:t>
      </w:r>
      <w:bookmarkEnd w:id="30"/>
      <w:bookmarkEnd w:id="31"/>
      <w:bookmarkEnd w:id="32"/>
      <w:bookmarkEnd w:id="33"/>
      <w:bookmarkEnd w:id="34"/>
      <w:bookmarkEnd w:id="35"/>
    </w:p>
    <w:p w14:paraId="7B275822">
      <w:pPr>
        <w:widowControl w:val="0"/>
        <w:bidi w:val="0"/>
        <w:spacing w:before="0" w:beforeAutospacing="0" w:after="0" w:afterAutospacing="0" w:line="560" w:lineRule="exact"/>
        <w:ind w:firstLine="640" w:firstLineChars="200"/>
        <w:jc w:val="left"/>
        <w:outlineLvl w:val="1"/>
        <w:rPr>
          <w:rFonts w:hint="default" w:ascii="宋体" w:hAnsi="宋体" w:eastAsia="楷体_GB2312" w:cs="宋体"/>
          <w:bCs/>
          <w:color w:val="auto"/>
          <w:kern w:val="0"/>
          <w:sz w:val="32"/>
          <w:szCs w:val="36"/>
          <w:highlight w:val="none"/>
          <w:lang w:val="en-US" w:eastAsia="zh-CN" w:bidi="ar"/>
        </w:rPr>
      </w:pPr>
      <w:bookmarkStart w:id="38" w:name="_Toc1413"/>
      <w:bookmarkStart w:id="39" w:name="_Toc14389"/>
      <w:bookmarkStart w:id="40" w:name="_Toc7618"/>
      <w:bookmarkStart w:id="41" w:name="_Toc26461"/>
      <w:bookmarkStart w:id="42" w:name="_Toc25879"/>
      <w:bookmarkStart w:id="43" w:name="_Toc4760"/>
      <w:r>
        <w:rPr>
          <w:rFonts w:hint="eastAsia" w:ascii="宋体" w:hAnsi="宋体" w:eastAsia="楷体_GB2312" w:cs="宋体"/>
          <w:bCs/>
          <w:color w:val="auto"/>
          <w:kern w:val="0"/>
          <w:sz w:val="32"/>
          <w:szCs w:val="36"/>
          <w:highlight w:val="none"/>
          <w:lang w:val="en-US" w:eastAsia="zh-CN" w:bidi="ar"/>
        </w:rPr>
        <w:t>（一）优化</w:t>
      </w:r>
      <w:r>
        <w:rPr>
          <w:rFonts w:hint="default" w:ascii="宋体" w:hAnsi="宋体" w:eastAsia="楷体_GB2312" w:cs="宋体"/>
          <w:bCs/>
          <w:color w:val="auto"/>
          <w:kern w:val="0"/>
          <w:sz w:val="32"/>
          <w:szCs w:val="36"/>
          <w:highlight w:val="none"/>
          <w:lang w:val="en-US" w:eastAsia="zh-CN" w:bidi="ar"/>
        </w:rPr>
        <w:t>精准救助</w:t>
      </w:r>
      <w:r>
        <w:rPr>
          <w:rFonts w:hint="eastAsia" w:ascii="宋体" w:hAnsi="宋体" w:eastAsia="楷体_GB2312" w:cs="宋体"/>
          <w:bCs/>
          <w:color w:val="auto"/>
          <w:kern w:val="0"/>
          <w:sz w:val="32"/>
          <w:szCs w:val="36"/>
          <w:highlight w:val="none"/>
          <w:lang w:val="en-US" w:eastAsia="zh-CN" w:bidi="ar"/>
        </w:rPr>
        <w:t>帮扶</w:t>
      </w:r>
      <w:r>
        <w:rPr>
          <w:rFonts w:hint="default" w:ascii="宋体" w:hAnsi="宋体" w:eastAsia="楷体_GB2312" w:cs="宋体"/>
          <w:bCs/>
          <w:color w:val="auto"/>
          <w:kern w:val="0"/>
          <w:sz w:val="32"/>
          <w:szCs w:val="36"/>
          <w:highlight w:val="none"/>
          <w:lang w:val="en-US" w:eastAsia="zh-CN" w:bidi="ar"/>
        </w:rPr>
        <w:t>机制</w:t>
      </w:r>
      <w:bookmarkEnd w:id="38"/>
      <w:bookmarkEnd w:id="39"/>
      <w:bookmarkEnd w:id="40"/>
      <w:bookmarkEnd w:id="41"/>
      <w:bookmarkEnd w:id="42"/>
      <w:bookmarkEnd w:id="43"/>
    </w:p>
    <w:p w14:paraId="37310530">
      <w:pPr>
        <w:widowControl w:val="0"/>
        <w:bidi w:val="0"/>
        <w:spacing w:before="0" w:beforeAutospacing="0" w:after="0" w:afterAutospacing="0" w:line="560" w:lineRule="exact"/>
        <w:ind w:firstLine="643" w:firstLineChars="200"/>
        <w:jc w:val="left"/>
        <w:outlineLvl w:val="2"/>
        <w:rPr>
          <w:rFonts w:hint="eastAsia" w:ascii="Times New Roman" w:hAnsi="Times New Roman" w:eastAsia="仿宋_GB2312" w:cs="宋体"/>
          <w:b/>
          <w:bCs w:val="0"/>
          <w:color w:val="auto"/>
          <w:kern w:val="0"/>
          <w:sz w:val="32"/>
          <w:szCs w:val="27"/>
          <w:highlight w:val="none"/>
          <w:lang w:val="en-US" w:eastAsia="zh-CN" w:bidi="ar"/>
        </w:rPr>
      </w:pPr>
      <w:bookmarkStart w:id="44" w:name="_Toc20352"/>
      <w:r>
        <w:rPr>
          <w:rFonts w:hint="eastAsia" w:ascii="Times New Roman" w:hAnsi="Times New Roman" w:eastAsia="仿宋_GB2312" w:cs="宋体"/>
          <w:b/>
          <w:bCs w:val="0"/>
          <w:color w:val="auto"/>
          <w:kern w:val="0"/>
          <w:sz w:val="32"/>
          <w:szCs w:val="27"/>
          <w:highlight w:val="none"/>
          <w:lang w:val="en-US" w:eastAsia="zh-CN" w:bidi="ar"/>
        </w:rPr>
        <w:t>1.</w:t>
      </w:r>
      <w:bookmarkEnd w:id="44"/>
      <w:r>
        <w:rPr>
          <w:rFonts w:hint="eastAsia" w:ascii="Times New Roman" w:hAnsi="Times New Roman" w:eastAsia="仿宋_GB2312" w:cs="宋体"/>
          <w:b/>
          <w:bCs w:val="0"/>
          <w:color w:val="auto"/>
          <w:kern w:val="0"/>
          <w:sz w:val="32"/>
          <w:szCs w:val="27"/>
          <w:highlight w:val="none"/>
          <w:lang w:val="en-US" w:eastAsia="zh-CN" w:bidi="ar"/>
        </w:rPr>
        <w:t>健全动态监测</w:t>
      </w:r>
      <w:r>
        <w:rPr>
          <w:rFonts w:hint="eastAsia" w:cs="宋体"/>
          <w:b/>
          <w:bCs w:val="0"/>
          <w:color w:val="auto"/>
          <w:kern w:val="0"/>
          <w:sz w:val="32"/>
          <w:szCs w:val="27"/>
          <w:highlight w:val="none"/>
          <w:lang w:val="en-US" w:eastAsia="zh-CN" w:bidi="ar"/>
        </w:rPr>
        <w:t>和</w:t>
      </w:r>
      <w:r>
        <w:rPr>
          <w:rFonts w:hint="eastAsia" w:ascii="Times New Roman" w:hAnsi="Times New Roman" w:eastAsia="仿宋_GB2312" w:cs="宋体"/>
          <w:b/>
          <w:bCs w:val="0"/>
          <w:color w:val="auto"/>
          <w:kern w:val="0"/>
          <w:sz w:val="32"/>
          <w:szCs w:val="27"/>
          <w:highlight w:val="none"/>
          <w:lang w:val="en-US" w:eastAsia="zh-CN" w:bidi="ar"/>
        </w:rPr>
        <w:t>主动发现机制</w:t>
      </w:r>
    </w:p>
    <w:p w14:paraId="4E032AE4">
      <w:pPr>
        <w:rPr>
          <w:rFonts w:hint="eastAsia"/>
          <w:color w:val="auto"/>
          <w:highlight w:val="none"/>
          <w:lang w:val="en-US" w:eastAsia="zh-CN"/>
        </w:rPr>
      </w:pPr>
      <w:r>
        <w:rPr>
          <w:rFonts w:hint="eastAsia"/>
          <w:color w:val="auto"/>
          <w:highlight w:val="none"/>
          <w:lang w:val="en-US" w:eastAsia="zh-CN"/>
        </w:rPr>
        <w:t>严格</w:t>
      </w:r>
      <w:r>
        <w:rPr>
          <w:rFonts w:hint="default"/>
          <w:color w:val="auto"/>
          <w:highlight w:val="none"/>
          <w:lang w:val="en-US" w:eastAsia="zh-CN"/>
        </w:rPr>
        <w:t>落实北京市</w:t>
      </w:r>
      <w:r>
        <w:rPr>
          <w:rFonts w:hint="eastAsia"/>
          <w:color w:val="auto"/>
          <w:highlight w:val="none"/>
          <w:lang w:val="en-US" w:eastAsia="zh-CN"/>
        </w:rPr>
        <w:t>《关于加强低收入人口动态监测做好分层分类社会救助工作的实施意见》《北京市刚性支出困难家庭认定办法》</w:t>
      </w:r>
      <w:r>
        <w:rPr>
          <w:rFonts w:hint="default"/>
          <w:color w:val="auto"/>
          <w:highlight w:val="none"/>
          <w:lang w:val="en-US" w:eastAsia="zh-CN"/>
        </w:rPr>
        <w:t>。依托低收入人口动态监测信息平台，</w:t>
      </w:r>
      <w:r>
        <w:rPr>
          <w:rFonts w:hint="eastAsia" w:ascii="Times New Roman" w:eastAsia="仿宋_GB2312"/>
          <w:color w:val="auto"/>
          <w:highlight w:val="none"/>
          <w:lang w:val="en-US" w:eastAsia="zh-CN"/>
        </w:rPr>
        <w:t>完善</w:t>
      </w:r>
      <w:r>
        <w:rPr>
          <w:rFonts w:hint="default"/>
          <w:color w:val="auto"/>
          <w:highlight w:val="none"/>
          <w:lang w:val="en-US" w:eastAsia="zh-CN"/>
        </w:rPr>
        <w:t>智能预警与主动帮扶</w:t>
      </w:r>
      <w:r>
        <w:rPr>
          <w:rFonts w:hint="eastAsia" w:ascii="Times New Roman" w:eastAsia="仿宋_GB2312"/>
          <w:color w:val="auto"/>
          <w:highlight w:val="none"/>
          <w:lang w:val="en-US" w:eastAsia="zh-CN"/>
        </w:rPr>
        <w:t>机制</w:t>
      </w:r>
      <w:r>
        <w:rPr>
          <w:rFonts w:hint="default"/>
          <w:color w:val="auto"/>
          <w:highlight w:val="none"/>
          <w:lang w:val="en-US" w:eastAsia="zh-CN"/>
        </w:rPr>
        <w:t>，</w:t>
      </w:r>
      <w:r>
        <w:rPr>
          <w:rFonts w:hint="eastAsia"/>
          <w:color w:val="auto"/>
          <w:highlight w:val="none"/>
          <w:lang w:val="en-US" w:eastAsia="zh-CN"/>
        </w:rPr>
        <w:t>推动</w:t>
      </w:r>
      <w:r>
        <w:rPr>
          <w:rFonts w:hint="default"/>
          <w:color w:val="auto"/>
          <w:highlight w:val="none"/>
          <w:lang w:val="en-US" w:eastAsia="zh-CN"/>
        </w:rPr>
        <w:t>社会救助</w:t>
      </w:r>
      <w:r>
        <w:rPr>
          <w:rFonts w:hint="eastAsia"/>
          <w:color w:val="auto"/>
          <w:highlight w:val="none"/>
          <w:lang w:val="en-US" w:eastAsia="zh-CN"/>
        </w:rPr>
        <w:t>从</w:t>
      </w:r>
      <w:r>
        <w:rPr>
          <w:rFonts w:hint="default"/>
          <w:color w:val="auto"/>
          <w:highlight w:val="none"/>
          <w:lang w:val="en-US" w:eastAsia="zh-CN"/>
        </w:rPr>
        <w:t>“被动申请”向“主动发现”转变</w:t>
      </w:r>
      <w:r>
        <w:rPr>
          <w:rFonts w:hint="eastAsia"/>
          <w:color w:val="auto"/>
          <w:highlight w:val="none"/>
          <w:lang w:val="en-US" w:eastAsia="zh-CN"/>
        </w:rPr>
        <w:t>。</w:t>
      </w:r>
      <w:r>
        <w:rPr>
          <w:rFonts w:hint="eastAsia" w:ascii="Times New Roman" w:eastAsia="仿宋_GB2312" w:cs="Times New Roman"/>
          <w:color w:val="auto"/>
          <w:highlight w:val="none"/>
          <w:lang w:val="en-US" w:eastAsia="zh-CN"/>
        </w:rPr>
        <w:t>完善动态监测与预警处置机制，形成</w:t>
      </w:r>
      <w:r>
        <w:rPr>
          <w:rFonts w:hint="eastAsia" w:cs="Times New Roman"/>
          <w:color w:val="auto"/>
          <w:highlight w:val="none"/>
          <w:lang w:val="en-US" w:eastAsia="zh-CN"/>
        </w:rPr>
        <w:t>“</w:t>
      </w:r>
      <w:r>
        <w:rPr>
          <w:rFonts w:hint="eastAsia" w:ascii="Times New Roman" w:eastAsia="仿宋_GB2312" w:cs="Times New Roman"/>
          <w:color w:val="auto"/>
          <w:highlight w:val="none"/>
          <w:lang w:val="en-US" w:eastAsia="zh-CN"/>
        </w:rPr>
        <w:t>家庭精准画像、动态监测预警、分类救助帮扶、及时处置反馈</w:t>
      </w:r>
      <w:r>
        <w:rPr>
          <w:rFonts w:hint="eastAsia" w:cs="Times New Roman"/>
          <w:color w:val="auto"/>
          <w:highlight w:val="none"/>
          <w:lang w:val="en-US" w:eastAsia="zh-CN"/>
        </w:rPr>
        <w:t>”</w:t>
      </w:r>
      <w:r>
        <w:rPr>
          <w:rFonts w:hint="eastAsia" w:ascii="Times New Roman" w:eastAsia="仿宋_GB2312" w:cs="Times New Roman"/>
          <w:color w:val="auto"/>
          <w:highlight w:val="none"/>
          <w:lang w:val="en-US" w:eastAsia="zh-CN"/>
        </w:rPr>
        <w:t>的闭环救助管理体系</w:t>
      </w:r>
      <w:r>
        <w:rPr>
          <w:rFonts w:hint="eastAsia" w:ascii="Times New Roman" w:eastAsia="仿宋_GB2312"/>
          <w:color w:val="auto"/>
          <w:highlight w:val="none"/>
          <w:lang w:val="en-US" w:eastAsia="zh-CN"/>
        </w:rPr>
        <w:t>，常态化摸排潜在困难群体，实现“应保尽保，应救尽救”。</w:t>
      </w:r>
    </w:p>
    <w:p w14:paraId="7CAD2F00">
      <w:pPr>
        <w:widowControl w:val="0"/>
        <w:bidi w:val="0"/>
        <w:spacing w:before="0" w:beforeAutospacing="0" w:after="0" w:afterAutospacing="0" w:line="560" w:lineRule="exact"/>
        <w:ind w:firstLine="643" w:firstLineChars="200"/>
        <w:jc w:val="left"/>
        <w:outlineLvl w:val="2"/>
        <w:rPr>
          <w:rFonts w:hint="eastAsia" w:ascii="Times New Roman" w:hAnsi="Times New Roman" w:eastAsia="仿宋_GB2312" w:cs="宋体"/>
          <w:b/>
          <w:bCs w:val="0"/>
          <w:color w:val="auto"/>
          <w:kern w:val="0"/>
          <w:sz w:val="32"/>
          <w:szCs w:val="27"/>
          <w:highlight w:val="none"/>
          <w:lang w:val="en-US" w:eastAsia="zh-CN" w:bidi="ar"/>
        </w:rPr>
      </w:pPr>
      <w:r>
        <w:rPr>
          <w:rFonts w:hint="eastAsia" w:ascii="Times New Roman" w:hAnsi="Times New Roman" w:eastAsia="仿宋_GB2312" w:cs="宋体"/>
          <w:b/>
          <w:bCs w:val="0"/>
          <w:color w:val="auto"/>
          <w:kern w:val="0"/>
          <w:sz w:val="32"/>
          <w:szCs w:val="27"/>
          <w:highlight w:val="none"/>
          <w:lang w:val="en-US" w:eastAsia="zh-CN" w:bidi="ar"/>
        </w:rPr>
        <w:t>2.完善临时遇困</w:t>
      </w:r>
      <w:r>
        <w:rPr>
          <w:rFonts w:hint="eastAsia" w:cs="宋体"/>
          <w:b/>
          <w:bCs w:val="0"/>
          <w:color w:val="auto"/>
          <w:kern w:val="0"/>
          <w:sz w:val="32"/>
          <w:szCs w:val="27"/>
          <w:highlight w:val="none"/>
          <w:lang w:val="en-US" w:eastAsia="zh-CN" w:bidi="ar"/>
        </w:rPr>
        <w:t>应急</w:t>
      </w:r>
      <w:r>
        <w:rPr>
          <w:rFonts w:hint="eastAsia" w:ascii="Times New Roman" w:hAnsi="Times New Roman" w:eastAsia="仿宋_GB2312" w:cs="宋体"/>
          <w:b/>
          <w:bCs w:val="0"/>
          <w:color w:val="auto"/>
          <w:kern w:val="0"/>
          <w:sz w:val="32"/>
          <w:szCs w:val="27"/>
          <w:highlight w:val="none"/>
          <w:lang w:val="en-US" w:eastAsia="zh-CN" w:bidi="ar"/>
        </w:rPr>
        <w:t>救助机制</w:t>
      </w:r>
    </w:p>
    <w:p w14:paraId="2E66B511">
      <w:pPr>
        <w:bidi w:val="0"/>
        <w:rPr>
          <w:rFonts w:hint="eastAsia"/>
          <w:b w:val="0"/>
          <w:bCs w:val="0"/>
          <w:color w:val="auto"/>
          <w:highlight w:val="none"/>
          <w:lang w:val="en-US" w:eastAsia="zh-CN"/>
        </w:rPr>
      </w:pPr>
      <w:r>
        <w:rPr>
          <w:rFonts w:hint="eastAsia"/>
          <w:b w:val="0"/>
          <w:bCs w:val="0"/>
          <w:color w:val="auto"/>
          <w:highlight w:val="none"/>
          <w:lang w:val="en-US" w:eastAsia="zh-CN"/>
        </w:rPr>
        <w:t>健全</w:t>
      </w:r>
      <w:r>
        <w:rPr>
          <w:rFonts w:hint="eastAsia" w:ascii="Times New Roman" w:eastAsia="仿宋_GB2312"/>
          <w:b w:val="0"/>
          <w:bCs w:val="0"/>
          <w:color w:val="auto"/>
          <w:highlight w:val="none"/>
          <w:lang w:val="en-US" w:eastAsia="zh-CN"/>
        </w:rPr>
        <w:t>多元协同、快速响应的临时遇困救助机制，发挥流散人员救助管理工作联席会议机制作用，持续</w:t>
      </w:r>
      <w:r>
        <w:rPr>
          <w:rFonts w:hint="eastAsia"/>
          <w:b w:val="0"/>
          <w:bCs w:val="0"/>
          <w:color w:val="auto"/>
          <w:highlight w:val="none"/>
          <w:lang w:val="en-US" w:eastAsia="zh-CN"/>
        </w:rPr>
        <w:t>强化</w:t>
      </w:r>
      <w:r>
        <w:rPr>
          <w:rFonts w:hint="eastAsia" w:ascii="Times New Roman" w:eastAsia="仿宋_GB2312"/>
          <w:b w:val="0"/>
          <w:bCs w:val="0"/>
          <w:color w:val="auto"/>
          <w:highlight w:val="none"/>
          <w:lang w:val="en-US" w:eastAsia="zh-CN"/>
        </w:rPr>
        <w:t>街面巡查摸排。</w:t>
      </w:r>
      <w:r>
        <w:rPr>
          <w:rFonts w:hint="eastAsia"/>
          <w:b w:val="0"/>
          <w:bCs w:val="0"/>
          <w:color w:val="auto"/>
          <w:highlight w:val="none"/>
          <w:lang w:val="en-US" w:eastAsia="zh-CN"/>
        </w:rPr>
        <w:t>依托</w:t>
      </w:r>
      <w:r>
        <w:rPr>
          <w:rFonts w:hint="eastAsia" w:ascii="Times New Roman" w:eastAsia="仿宋_GB2312"/>
          <w:b w:val="0"/>
          <w:bCs w:val="0"/>
          <w:color w:val="auto"/>
          <w:highlight w:val="none"/>
          <w:lang w:val="en-US" w:eastAsia="zh-CN"/>
        </w:rPr>
        <w:t>网格化城市管理等信息平台，快速上报求助信息、优化配置救助资源，完善救助保障机制，</w:t>
      </w:r>
      <w:r>
        <w:rPr>
          <w:rFonts w:hint="eastAsia"/>
          <w:b w:val="0"/>
          <w:bCs w:val="0"/>
          <w:color w:val="auto"/>
          <w:highlight w:val="none"/>
          <w:lang w:val="en-US" w:eastAsia="zh-CN"/>
        </w:rPr>
        <w:t>打造</w:t>
      </w:r>
      <w:r>
        <w:rPr>
          <w:rFonts w:hint="eastAsia" w:ascii="Times New Roman" w:eastAsia="仿宋_GB2312"/>
          <w:b w:val="0"/>
          <w:bCs w:val="0"/>
          <w:color w:val="auto"/>
          <w:highlight w:val="none"/>
          <w:lang w:val="en-US" w:eastAsia="zh-CN"/>
        </w:rPr>
        <w:t>应急、过渡、便民</w:t>
      </w:r>
      <w:r>
        <w:rPr>
          <w:rFonts w:hint="eastAsia"/>
          <w:b w:val="0"/>
          <w:bCs w:val="0"/>
          <w:color w:val="auto"/>
          <w:highlight w:val="none"/>
          <w:lang w:val="en-US" w:eastAsia="zh-CN"/>
        </w:rPr>
        <w:t>的</w:t>
      </w:r>
      <w:r>
        <w:rPr>
          <w:rFonts w:hint="eastAsia" w:ascii="Times New Roman" w:eastAsia="仿宋_GB2312"/>
          <w:b w:val="0"/>
          <w:bCs w:val="0"/>
          <w:color w:val="auto"/>
          <w:highlight w:val="none"/>
          <w:lang w:val="en-US" w:eastAsia="zh-CN"/>
        </w:rPr>
        <w:t>救助</w:t>
      </w:r>
      <w:r>
        <w:rPr>
          <w:rFonts w:hint="eastAsia"/>
          <w:b w:val="0"/>
          <w:bCs w:val="0"/>
          <w:color w:val="auto"/>
          <w:highlight w:val="none"/>
          <w:lang w:val="en-US" w:eastAsia="zh-CN"/>
        </w:rPr>
        <w:t>体系</w:t>
      </w:r>
      <w:r>
        <w:rPr>
          <w:rFonts w:hint="eastAsia" w:ascii="Times New Roman" w:eastAsia="仿宋_GB2312"/>
          <w:b w:val="0"/>
          <w:bCs w:val="0"/>
          <w:color w:val="auto"/>
          <w:highlight w:val="none"/>
          <w:lang w:val="en-US" w:eastAsia="zh-CN"/>
        </w:rPr>
        <w:t>。</w:t>
      </w:r>
    </w:p>
    <w:p w14:paraId="46C91620">
      <w:pPr>
        <w:widowControl w:val="0"/>
        <w:bidi w:val="0"/>
        <w:spacing w:before="0" w:beforeAutospacing="0" w:after="0" w:afterAutospacing="0" w:line="560" w:lineRule="exact"/>
        <w:ind w:firstLine="640" w:firstLineChars="200"/>
        <w:jc w:val="left"/>
        <w:outlineLvl w:val="1"/>
        <w:rPr>
          <w:rFonts w:hint="eastAsia" w:ascii="宋体" w:hAnsi="宋体" w:eastAsia="楷体_GB2312" w:cs="宋体"/>
          <w:bCs/>
          <w:color w:val="auto"/>
          <w:kern w:val="0"/>
          <w:sz w:val="32"/>
          <w:szCs w:val="36"/>
          <w:highlight w:val="none"/>
          <w:lang w:val="en-US" w:eastAsia="zh-CN" w:bidi="ar"/>
        </w:rPr>
      </w:pPr>
      <w:bookmarkStart w:id="45" w:name="_Toc6660"/>
      <w:bookmarkStart w:id="46" w:name="_Toc29783"/>
      <w:bookmarkStart w:id="47" w:name="_Toc4443"/>
      <w:bookmarkStart w:id="48" w:name="_Toc514"/>
      <w:r>
        <w:rPr>
          <w:rFonts w:hint="eastAsia" w:ascii="宋体" w:hAnsi="宋体" w:eastAsia="楷体_GB2312" w:cs="宋体"/>
          <w:bCs/>
          <w:color w:val="auto"/>
          <w:kern w:val="0"/>
          <w:sz w:val="32"/>
          <w:szCs w:val="36"/>
          <w:highlight w:val="none"/>
          <w:lang w:val="en-US" w:eastAsia="zh-CN" w:bidi="ar"/>
        </w:rPr>
        <w:t>（二）深化多元救助服务保障</w:t>
      </w:r>
      <w:bookmarkEnd w:id="45"/>
      <w:bookmarkEnd w:id="46"/>
      <w:bookmarkEnd w:id="47"/>
      <w:bookmarkEnd w:id="48"/>
    </w:p>
    <w:p w14:paraId="2EED1949">
      <w:pPr>
        <w:bidi w:val="0"/>
        <w:ind w:firstLine="640"/>
        <w:rPr>
          <w:rFonts w:hint="eastAsia"/>
          <w:highlight w:val="none"/>
          <w:lang w:val="en-US" w:eastAsia="zh-CN"/>
        </w:rPr>
      </w:pPr>
      <w:bookmarkStart w:id="49" w:name="_Toc11392"/>
      <w:r>
        <w:rPr>
          <w:rFonts w:hint="eastAsia"/>
          <w:highlight w:val="none"/>
          <w:lang w:val="en-US" w:eastAsia="zh-CN"/>
        </w:rPr>
        <w:t>探索打造“物质+服务”综合</w:t>
      </w:r>
      <w:r>
        <w:rPr>
          <w:rFonts w:hint="default"/>
          <w:highlight w:val="none"/>
          <w:lang w:val="en-US" w:eastAsia="zh-CN"/>
        </w:rPr>
        <w:t>救助</w:t>
      </w:r>
      <w:bookmarkEnd w:id="49"/>
      <w:r>
        <w:rPr>
          <w:rFonts w:hint="eastAsia"/>
          <w:highlight w:val="none"/>
          <w:lang w:val="en-US" w:eastAsia="zh-CN"/>
        </w:rPr>
        <w:t>格局。构建“政府主导、社会参与”多元联动机制，围绕救助对象生活照料、心理疏导、能力提升、社会融入等多元服务需求，探索梳理服务类社会救助清单，持续深化“物质+服务”综合救助模式。</w:t>
      </w:r>
    </w:p>
    <w:p w14:paraId="7727AF2A">
      <w:pPr>
        <w:widowControl w:val="0"/>
        <w:bidi w:val="0"/>
        <w:spacing w:before="0" w:beforeAutospacing="0" w:after="0" w:afterAutospacing="0" w:line="560" w:lineRule="exact"/>
        <w:ind w:firstLine="640" w:firstLineChars="200"/>
        <w:jc w:val="left"/>
        <w:outlineLvl w:val="1"/>
        <w:rPr>
          <w:rFonts w:hint="default" w:ascii="宋体" w:hAnsi="宋体" w:eastAsia="楷体_GB2312" w:cs="宋体"/>
          <w:bCs/>
          <w:color w:val="auto"/>
          <w:kern w:val="0"/>
          <w:sz w:val="32"/>
          <w:szCs w:val="36"/>
          <w:highlight w:val="none"/>
          <w:lang w:val="en-US" w:eastAsia="zh-CN" w:bidi="ar"/>
        </w:rPr>
      </w:pPr>
      <w:bookmarkStart w:id="50" w:name="_Toc5054"/>
      <w:bookmarkStart w:id="51" w:name="_Toc20538"/>
      <w:bookmarkStart w:id="52" w:name="_Toc31011"/>
      <w:bookmarkStart w:id="53" w:name="_Toc15094"/>
      <w:bookmarkStart w:id="54" w:name="_Toc6358"/>
      <w:bookmarkStart w:id="55" w:name="_Toc22836"/>
      <w:r>
        <w:rPr>
          <w:rFonts w:hint="eastAsia" w:ascii="宋体" w:hAnsi="宋体" w:eastAsia="楷体_GB2312" w:cs="宋体"/>
          <w:bCs/>
          <w:color w:val="auto"/>
          <w:kern w:val="0"/>
          <w:sz w:val="32"/>
          <w:szCs w:val="36"/>
          <w:highlight w:val="none"/>
          <w:lang w:val="en-US" w:eastAsia="zh-CN" w:bidi="ar"/>
        </w:rPr>
        <w:t>（三）细化规范救助监督</w:t>
      </w:r>
      <w:r>
        <w:rPr>
          <w:rFonts w:hint="default" w:ascii="宋体" w:hAnsi="宋体" w:eastAsia="楷体_GB2312" w:cs="宋体"/>
          <w:bCs/>
          <w:color w:val="auto"/>
          <w:kern w:val="0"/>
          <w:sz w:val="32"/>
          <w:szCs w:val="36"/>
          <w:highlight w:val="none"/>
          <w:lang w:val="en-US" w:eastAsia="zh-CN" w:bidi="ar"/>
        </w:rPr>
        <w:t>管理</w:t>
      </w:r>
      <w:bookmarkEnd w:id="50"/>
      <w:bookmarkEnd w:id="51"/>
      <w:bookmarkEnd w:id="52"/>
      <w:bookmarkEnd w:id="53"/>
    </w:p>
    <w:bookmarkEnd w:id="54"/>
    <w:bookmarkEnd w:id="55"/>
    <w:p w14:paraId="78D85FD9">
      <w:pPr>
        <w:rPr>
          <w:rFonts w:hint="default"/>
          <w:color w:val="auto"/>
          <w:highlight w:val="none"/>
          <w:lang w:val="en-US" w:eastAsia="zh-CN"/>
        </w:rPr>
      </w:pPr>
      <w:r>
        <w:rPr>
          <w:rFonts w:hint="eastAsia"/>
          <w:b w:val="0"/>
          <w:bCs w:val="0"/>
          <w:color w:val="auto"/>
          <w:highlight w:val="none"/>
          <w:lang w:val="en-US" w:eastAsia="zh-CN"/>
        </w:rPr>
        <w:t>推动构建</w:t>
      </w:r>
      <w:r>
        <w:rPr>
          <w:rFonts w:hint="eastAsia" w:ascii="Times New Roman" w:eastAsia="仿宋_GB2312"/>
          <w:b w:val="0"/>
          <w:bCs w:val="0"/>
          <w:color w:val="auto"/>
          <w:highlight w:val="none"/>
          <w:lang w:val="en-US" w:eastAsia="zh-CN"/>
        </w:rPr>
        <w:t>“事前预警—事中核验—事后跟踪”社会救助监管闭环</w:t>
      </w:r>
      <w:r>
        <w:rPr>
          <w:rFonts w:hint="eastAsia"/>
          <w:b w:val="0"/>
          <w:bCs w:val="0"/>
          <w:color w:val="auto"/>
          <w:highlight w:val="none"/>
          <w:lang w:val="en-US" w:eastAsia="zh-CN"/>
        </w:rPr>
        <w:t>，</w:t>
      </w:r>
      <w:r>
        <w:rPr>
          <w:rFonts w:hint="eastAsia" w:ascii="Times New Roman" w:eastAsia="仿宋_GB2312"/>
          <w:b w:val="0"/>
          <w:bCs w:val="0"/>
          <w:color w:val="auto"/>
          <w:highlight w:val="none"/>
          <w:lang w:val="en-US" w:eastAsia="zh-CN"/>
        </w:rPr>
        <w:t>依托</w:t>
      </w:r>
      <w:r>
        <w:rPr>
          <w:rFonts w:hint="eastAsia"/>
          <w:b w:val="0"/>
          <w:bCs w:val="0"/>
          <w:color w:val="auto"/>
          <w:highlight w:val="none"/>
          <w:lang w:val="en-US" w:eastAsia="zh-CN"/>
        </w:rPr>
        <w:t>市级</w:t>
      </w:r>
      <w:r>
        <w:rPr>
          <w:rFonts w:hint="eastAsia" w:ascii="Times New Roman" w:eastAsia="仿宋_GB2312"/>
          <w:b w:val="0"/>
          <w:bCs w:val="0"/>
          <w:color w:val="auto"/>
          <w:highlight w:val="none"/>
          <w:lang w:val="en-US" w:eastAsia="zh-CN"/>
        </w:rPr>
        <w:t>社会救助服务信息化管理体系，推动救助申请、审核、审批全过程留痕可追溯。严格落实近亲属备案、信息公开公示、定期复审管理等措施，防范“弄虚作假”“优亲厚友”等问题</w:t>
      </w:r>
      <w:r>
        <w:rPr>
          <w:rFonts w:hint="eastAsia"/>
          <w:b w:val="0"/>
          <w:bCs w:val="0"/>
          <w:color w:val="auto"/>
          <w:highlight w:val="none"/>
          <w:lang w:val="en-US" w:eastAsia="zh-CN"/>
        </w:rPr>
        <w:t>。</w:t>
      </w:r>
      <w:r>
        <w:rPr>
          <w:rFonts w:hint="eastAsia" w:ascii="Times New Roman" w:eastAsia="仿宋_GB2312" w:cs="Times New Roman"/>
          <w:b w:val="0"/>
          <w:bCs w:val="0"/>
          <w:color w:val="auto"/>
          <w:highlight w:val="none"/>
          <w:lang w:val="en-US" w:eastAsia="zh-CN"/>
        </w:rPr>
        <w:t>严格规范救助资金管理，按时足额发放救助金。聚焦救助对象认定、救助资金发放等重点环节，持续开展监督检查和治理提升工作。</w:t>
      </w:r>
    </w:p>
    <w:p w14:paraId="70F25E4B">
      <w:pPr>
        <w:widowControl w:val="0"/>
        <w:bidi w:val="0"/>
        <w:spacing w:before="0" w:beforeAutospacing="0" w:after="0" w:afterAutospacing="0" w:line="560" w:lineRule="exact"/>
        <w:ind w:firstLine="640" w:firstLineChars="200"/>
        <w:jc w:val="left"/>
        <w:outlineLvl w:val="1"/>
        <w:rPr>
          <w:rFonts w:hint="default" w:ascii="宋体" w:hAnsi="宋体" w:eastAsia="楷体_GB2312" w:cs="宋体"/>
          <w:bCs/>
          <w:color w:val="auto"/>
          <w:kern w:val="0"/>
          <w:sz w:val="32"/>
          <w:szCs w:val="36"/>
          <w:highlight w:val="none"/>
          <w:lang w:val="en-US" w:eastAsia="zh-CN" w:bidi="ar"/>
        </w:rPr>
      </w:pPr>
      <w:bookmarkStart w:id="56" w:name="_Toc463"/>
      <w:bookmarkStart w:id="57" w:name="_Toc12041"/>
      <w:bookmarkStart w:id="58" w:name="_Toc30676"/>
      <w:bookmarkStart w:id="59" w:name="_Toc21916"/>
      <w:r>
        <w:rPr>
          <w:rFonts w:hint="eastAsia" w:ascii="宋体" w:hAnsi="宋体" w:eastAsia="楷体_GB2312" w:cs="宋体"/>
          <w:bCs/>
          <w:color w:val="auto"/>
          <w:kern w:val="0"/>
          <w:sz w:val="32"/>
          <w:szCs w:val="36"/>
          <w:highlight w:val="none"/>
          <w:lang w:val="en-US" w:eastAsia="zh-CN" w:bidi="ar"/>
        </w:rPr>
        <w:t>（四）强化</w:t>
      </w:r>
      <w:r>
        <w:rPr>
          <w:rFonts w:hint="default" w:ascii="宋体" w:hAnsi="宋体" w:eastAsia="楷体_GB2312" w:cs="宋体"/>
          <w:bCs/>
          <w:color w:val="auto"/>
          <w:kern w:val="0"/>
          <w:sz w:val="32"/>
          <w:szCs w:val="36"/>
          <w:highlight w:val="none"/>
          <w:lang w:val="en-US" w:eastAsia="zh-CN" w:bidi="ar"/>
        </w:rPr>
        <w:t>慈善</w:t>
      </w:r>
      <w:r>
        <w:rPr>
          <w:rFonts w:hint="eastAsia" w:ascii="宋体" w:hAnsi="宋体" w:eastAsia="楷体_GB2312" w:cs="宋体"/>
          <w:bCs/>
          <w:color w:val="auto"/>
          <w:kern w:val="0"/>
          <w:sz w:val="32"/>
          <w:szCs w:val="36"/>
          <w:highlight w:val="none"/>
          <w:lang w:val="en-US" w:eastAsia="zh-CN" w:bidi="ar"/>
        </w:rPr>
        <w:t>帮扶</w:t>
      </w:r>
      <w:r>
        <w:rPr>
          <w:rFonts w:hint="default" w:ascii="宋体" w:hAnsi="宋体" w:eastAsia="楷体_GB2312" w:cs="宋体"/>
          <w:bCs/>
          <w:color w:val="auto"/>
          <w:kern w:val="0"/>
          <w:sz w:val="32"/>
          <w:szCs w:val="36"/>
          <w:highlight w:val="none"/>
          <w:lang w:val="en-US" w:eastAsia="zh-CN" w:bidi="ar"/>
        </w:rPr>
        <w:t>社会参与</w:t>
      </w:r>
      <w:bookmarkEnd w:id="56"/>
      <w:bookmarkEnd w:id="57"/>
      <w:bookmarkEnd w:id="58"/>
      <w:bookmarkEnd w:id="59"/>
    </w:p>
    <w:p w14:paraId="7F65B5BB">
      <w:pPr>
        <w:bidi w:val="0"/>
        <w:rPr>
          <w:rFonts w:hint="eastAsia"/>
          <w:highlight w:val="none"/>
          <w:lang w:val="en-US" w:eastAsia="zh-CN"/>
        </w:rPr>
      </w:pPr>
      <w:r>
        <w:rPr>
          <w:rFonts w:hint="eastAsia" w:ascii="Times New Roman" w:eastAsia="仿宋_GB2312"/>
          <w:b w:val="0"/>
          <w:bCs w:val="0"/>
          <w:color w:val="auto"/>
          <w:highlight w:val="none"/>
          <w:lang w:val="en-US" w:eastAsia="zh-CN"/>
        </w:rPr>
        <w:t>加强政府救助与慈善帮扶信息共享</w:t>
      </w:r>
      <w:r>
        <w:rPr>
          <w:rFonts w:hint="eastAsia"/>
          <w:b w:val="0"/>
          <w:bCs w:val="0"/>
          <w:color w:val="auto"/>
          <w:highlight w:val="none"/>
          <w:lang w:val="en-US" w:eastAsia="zh-CN"/>
        </w:rPr>
        <w:t>与</w:t>
      </w:r>
      <w:r>
        <w:rPr>
          <w:rFonts w:hint="eastAsia" w:ascii="Times New Roman" w:eastAsia="仿宋_GB2312"/>
          <w:b w:val="0"/>
          <w:bCs w:val="0"/>
          <w:color w:val="auto"/>
          <w:highlight w:val="none"/>
          <w:lang w:val="en-US" w:eastAsia="zh-CN"/>
        </w:rPr>
        <w:t>对象衔接，畅通困难群众与慈善力量对接渠道，发挥好慈善救助的补充兜底作用。</w:t>
      </w:r>
      <w:r>
        <w:rPr>
          <w:rFonts w:hint="eastAsia"/>
          <w:b w:val="0"/>
          <w:bCs w:val="0"/>
          <w:color w:val="auto"/>
          <w:highlight w:val="none"/>
          <w:lang w:val="en-US" w:eastAsia="zh-CN"/>
        </w:rPr>
        <w:t>引导</w:t>
      </w:r>
      <w:r>
        <w:rPr>
          <w:rFonts w:hint="eastAsia" w:ascii="Times New Roman" w:eastAsia="仿宋_GB2312"/>
          <w:b w:val="0"/>
          <w:bCs w:val="0"/>
          <w:color w:val="auto"/>
          <w:highlight w:val="none"/>
          <w:lang w:val="en-US" w:eastAsia="zh-CN"/>
        </w:rPr>
        <w:t>镇街</w:t>
      </w:r>
      <w:r>
        <w:rPr>
          <w:rFonts w:hint="eastAsia"/>
          <w:b w:val="0"/>
          <w:bCs w:val="0"/>
          <w:color w:val="auto"/>
          <w:highlight w:val="none"/>
          <w:lang w:val="en-US" w:eastAsia="zh-CN"/>
        </w:rPr>
        <w:t>联动</w:t>
      </w:r>
      <w:r>
        <w:rPr>
          <w:rFonts w:hint="eastAsia" w:ascii="Times New Roman" w:eastAsia="仿宋_GB2312"/>
          <w:b w:val="0"/>
          <w:bCs w:val="0"/>
          <w:color w:val="auto"/>
          <w:highlight w:val="none"/>
          <w:lang w:val="en-US" w:eastAsia="zh-CN"/>
        </w:rPr>
        <w:t>属地慈善组织、企事业单位及爱心人士，汇聚多元救助力量。重点面向失能老人、</w:t>
      </w:r>
      <w:r>
        <w:rPr>
          <w:rFonts w:hint="eastAsia"/>
          <w:highlight w:val="none"/>
          <w:lang w:val="en-US" w:eastAsia="zh-CN"/>
        </w:rPr>
        <w:t>重病重残人员、未成年人等特殊困难群体开展帮扶，支持慈善组织向困难群体集中、公益慈善力量薄弱区域倾斜资源，与镇街开展“点对点”帮扶，补齐服务短板。</w:t>
      </w:r>
    </w:p>
    <w:bookmarkEnd w:id="36"/>
    <w:bookmarkEnd w:id="37"/>
    <w:p w14:paraId="191C0DCA">
      <w:pPr>
        <w:widowControl w:val="0"/>
        <w:bidi w:val="0"/>
        <w:spacing w:before="0" w:beforeAutospacing="0" w:after="0" w:afterAutospacing="0" w:line="240" w:lineRule="auto"/>
        <w:ind w:firstLine="640" w:firstLineChars="200"/>
        <w:jc w:val="left"/>
        <w:outlineLvl w:val="0"/>
        <w:rPr>
          <w:rFonts w:hint="default" w:ascii="宋体" w:hAnsi="宋体" w:eastAsia="黑体" w:cs="宋体"/>
          <w:bCs/>
          <w:color w:val="auto"/>
          <w:kern w:val="44"/>
          <w:sz w:val="32"/>
          <w:szCs w:val="48"/>
          <w:highlight w:val="none"/>
          <w:lang w:val="en-US" w:eastAsia="zh-CN" w:bidi="ar"/>
        </w:rPr>
      </w:pPr>
      <w:bookmarkStart w:id="60" w:name="_Toc5947"/>
      <w:bookmarkStart w:id="61" w:name="_Toc2681"/>
      <w:bookmarkStart w:id="62" w:name="_Toc15293"/>
      <w:bookmarkStart w:id="63" w:name="_Toc29434"/>
      <w:bookmarkStart w:id="64" w:name="_Toc15567"/>
      <w:bookmarkStart w:id="65" w:name="_Toc28915"/>
      <w:r>
        <w:rPr>
          <w:rFonts w:hint="eastAsia" w:ascii="宋体" w:hAnsi="宋体" w:eastAsia="黑体" w:cs="宋体"/>
          <w:bCs/>
          <w:color w:val="auto"/>
          <w:kern w:val="44"/>
          <w:sz w:val="32"/>
          <w:szCs w:val="48"/>
          <w:highlight w:val="none"/>
          <w:lang w:val="en-US" w:eastAsia="zh-CN" w:bidi="ar"/>
        </w:rPr>
        <w:t>四</w:t>
      </w:r>
      <w:r>
        <w:rPr>
          <w:rFonts w:hint="default" w:ascii="宋体" w:hAnsi="宋体" w:eastAsia="黑体" w:cs="宋体"/>
          <w:bCs/>
          <w:color w:val="auto"/>
          <w:kern w:val="44"/>
          <w:sz w:val="32"/>
          <w:szCs w:val="48"/>
          <w:highlight w:val="none"/>
          <w:lang w:val="en-US" w:eastAsia="zh-CN" w:bidi="ar"/>
        </w:rPr>
        <w:t>、完善</w:t>
      </w:r>
      <w:r>
        <w:rPr>
          <w:rFonts w:hint="eastAsia" w:ascii="宋体" w:hAnsi="宋体" w:eastAsia="黑体" w:cs="宋体"/>
          <w:bCs/>
          <w:color w:val="auto"/>
          <w:kern w:val="44"/>
          <w:sz w:val="32"/>
          <w:szCs w:val="48"/>
          <w:highlight w:val="none"/>
          <w:lang w:val="en-US" w:eastAsia="zh-CN" w:bidi="ar"/>
        </w:rPr>
        <w:t>普惠共享、特色彰显的社会福利体系</w:t>
      </w:r>
      <w:bookmarkEnd w:id="60"/>
      <w:bookmarkEnd w:id="61"/>
      <w:bookmarkEnd w:id="62"/>
      <w:bookmarkEnd w:id="63"/>
    </w:p>
    <w:p w14:paraId="7F04B2C8">
      <w:pPr>
        <w:widowControl w:val="0"/>
        <w:bidi w:val="0"/>
        <w:spacing w:before="0" w:beforeAutospacing="0" w:after="0" w:afterAutospacing="0" w:line="560" w:lineRule="exact"/>
        <w:ind w:firstLine="640" w:firstLineChars="200"/>
        <w:jc w:val="left"/>
        <w:outlineLvl w:val="1"/>
        <w:rPr>
          <w:rFonts w:hint="default" w:ascii="宋体" w:hAnsi="宋体" w:eastAsia="楷体_GB2312" w:cs="宋体"/>
          <w:bCs/>
          <w:color w:val="auto"/>
          <w:kern w:val="0"/>
          <w:sz w:val="32"/>
          <w:szCs w:val="36"/>
          <w:highlight w:val="none"/>
          <w:lang w:val="en-US" w:eastAsia="zh-CN" w:bidi="ar"/>
        </w:rPr>
      </w:pPr>
      <w:bookmarkStart w:id="66" w:name="_Toc21980"/>
      <w:bookmarkStart w:id="67" w:name="_Toc29067"/>
      <w:bookmarkStart w:id="68" w:name="_Toc1732"/>
      <w:bookmarkStart w:id="69" w:name="_Toc6527"/>
      <w:bookmarkStart w:id="70" w:name="_Toc10481"/>
      <w:bookmarkStart w:id="71" w:name="_Toc27849"/>
      <w:bookmarkStart w:id="72" w:name="_Toc23556"/>
      <w:bookmarkStart w:id="73" w:name="_Toc31064"/>
      <w:r>
        <w:rPr>
          <w:rFonts w:hint="default" w:ascii="宋体" w:hAnsi="宋体" w:eastAsia="楷体_GB2312" w:cs="宋体"/>
          <w:bCs/>
          <w:color w:val="auto"/>
          <w:kern w:val="0"/>
          <w:sz w:val="32"/>
          <w:szCs w:val="36"/>
          <w:highlight w:val="none"/>
          <w:lang w:val="en-US" w:eastAsia="zh-CN" w:bidi="ar"/>
        </w:rPr>
        <w:t>（</w:t>
      </w:r>
      <w:r>
        <w:rPr>
          <w:rFonts w:hint="eastAsia" w:ascii="宋体" w:hAnsi="宋体" w:eastAsia="楷体_GB2312" w:cs="宋体"/>
          <w:bCs/>
          <w:color w:val="auto"/>
          <w:kern w:val="0"/>
          <w:sz w:val="32"/>
          <w:szCs w:val="36"/>
          <w:highlight w:val="none"/>
          <w:lang w:val="en-US" w:eastAsia="zh-CN" w:bidi="ar"/>
        </w:rPr>
        <w:t>一</w:t>
      </w:r>
      <w:r>
        <w:rPr>
          <w:rFonts w:hint="default" w:ascii="宋体" w:hAnsi="宋体" w:eastAsia="楷体_GB2312" w:cs="宋体"/>
          <w:bCs/>
          <w:color w:val="auto"/>
          <w:kern w:val="0"/>
          <w:sz w:val="32"/>
          <w:szCs w:val="36"/>
          <w:highlight w:val="none"/>
          <w:lang w:val="en-US" w:eastAsia="zh-CN" w:bidi="ar"/>
        </w:rPr>
        <w:t>）</w:t>
      </w:r>
      <w:r>
        <w:rPr>
          <w:rFonts w:hint="eastAsia" w:ascii="宋体" w:hAnsi="宋体" w:eastAsia="楷体_GB2312" w:cs="宋体"/>
          <w:bCs/>
          <w:color w:val="auto"/>
          <w:kern w:val="0"/>
          <w:sz w:val="32"/>
          <w:szCs w:val="36"/>
          <w:highlight w:val="none"/>
          <w:lang w:val="en-US" w:eastAsia="zh-CN" w:bidi="ar"/>
        </w:rPr>
        <w:t>完善困境儿童多元化关爱体系</w:t>
      </w:r>
      <w:bookmarkEnd w:id="66"/>
      <w:bookmarkEnd w:id="67"/>
      <w:bookmarkEnd w:id="68"/>
    </w:p>
    <w:p w14:paraId="669FD21A">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bookmarkStart w:id="74" w:name="_Toc29065"/>
      <w:r>
        <w:rPr>
          <w:rFonts w:hint="default" w:ascii="Times New Roman" w:hAnsi="Times New Roman" w:eastAsia="仿宋_GB2312" w:cs="宋体"/>
          <w:b/>
          <w:bCs/>
          <w:color w:val="auto"/>
          <w:kern w:val="0"/>
          <w:sz w:val="32"/>
          <w:szCs w:val="27"/>
          <w:highlight w:val="none"/>
          <w:lang w:val="en-US" w:eastAsia="zh-CN" w:bidi="ar"/>
        </w:rPr>
        <w:t>1.</w:t>
      </w:r>
      <w:bookmarkEnd w:id="74"/>
      <w:r>
        <w:rPr>
          <w:rFonts w:hint="eastAsia" w:cs="宋体"/>
          <w:b/>
          <w:bCs/>
          <w:color w:val="auto"/>
          <w:kern w:val="0"/>
          <w:sz w:val="32"/>
          <w:szCs w:val="27"/>
          <w:highlight w:val="none"/>
          <w:lang w:val="en-US" w:eastAsia="zh-CN" w:bidi="ar"/>
        </w:rPr>
        <w:t>健全分类保障制度机制</w:t>
      </w:r>
    </w:p>
    <w:p w14:paraId="41C8F1E1">
      <w:pPr>
        <w:bidi w:val="0"/>
        <w:ind w:left="0" w:leftChars="0" w:firstLine="640" w:firstLineChars="200"/>
        <w:rPr>
          <w:rFonts w:hint="default"/>
          <w:color w:val="auto"/>
          <w:highlight w:val="none"/>
          <w:lang w:val="en-US" w:eastAsia="zh-CN"/>
        </w:rPr>
      </w:pPr>
      <w:r>
        <w:rPr>
          <w:rFonts w:hint="eastAsia" w:ascii="Times New Roman" w:eastAsia="仿宋_GB2312"/>
          <w:b w:val="0"/>
          <w:bCs w:val="0"/>
          <w:color w:val="auto"/>
          <w:highlight w:val="none"/>
          <w:lang w:val="en-US" w:eastAsia="zh-CN"/>
        </w:rPr>
        <w:t>落实《国务院办公厅关于进一步加强困境儿童福利保障工作的意见》，</w:t>
      </w:r>
      <w:r>
        <w:rPr>
          <w:rFonts w:hint="eastAsia" w:ascii="Times New Roman" w:eastAsia="仿宋_GB2312"/>
          <w:color w:val="auto"/>
          <w:highlight w:val="none"/>
          <w:lang w:val="en-US" w:eastAsia="zh-CN"/>
        </w:rPr>
        <w:t>常态化开展困境儿童、留守儿童和流动儿童摸排建档与动态核查。完善困境儿童生活费动态调整机制</w:t>
      </w:r>
      <w:r>
        <w:rPr>
          <w:rFonts w:hint="eastAsia"/>
          <w:color w:val="auto"/>
          <w:highlight w:val="none"/>
          <w:lang w:val="en-US" w:eastAsia="zh-CN"/>
        </w:rPr>
        <w:t>，加强与最低生活保障标准的统筹衔接</w:t>
      </w:r>
      <w:r>
        <w:rPr>
          <w:rFonts w:hint="eastAsia" w:ascii="Times New Roman" w:eastAsia="仿宋_GB2312"/>
          <w:color w:val="auto"/>
          <w:highlight w:val="none"/>
          <w:lang w:val="en-US" w:eastAsia="zh-CN"/>
        </w:rPr>
        <w:t>，</w:t>
      </w:r>
      <w:r>
        <w:rPr>
          <w:rFonts w:hint="eastAsia"/>
          <w:color w:val="auto"/>
          <w:highlight w:val="none"/>
          <w:lang w:val="en-US" w:eastAsia="zh-CN"/>
        </w:rPr>
        <w:t>做到</w:t>
      </w:r>
      <w:r>
        <w:rPr>
          <w:rFonts w:hint="eastAsia" w:ascii="Times New Roman" w:eastAsia="仿宋_GB2312"/>
          <w:color w:val="auto"/>
          <w:highlight w:val="none"/>
          <w:lang w:val="en-US" w:eastAsia="zh-CN"/>
        </w:rPr>
        <w:t>孤儿、事实无人抚养儿童基本生活保障</w:t>
      </w:r>
      <w:r>
        <w:rPr>
          <w:rFonts w:hint="eastAsia"/>
          <w:color w:val="auto"/>
          <w:highlight w:val="none"/>
          <w:lang w:val="en-US" w:eastAsia="zh-CN"/>
        </w:rPr>
        <w:t>应保尽保，足额按时发放。</w:t>
      </w:r>
      <w:r>
        <w:rPr>
          <w:rFonts w:hint="default"/>
          <w:color w:val="auto"/>
          <w:highlight w:val="none"/>
          <w:lang w:val="en-US" w:eastAsia="zh-CN"/>
        </w:rPr>
        <w:t>精准对接困境儿童差异化需求，推动基本生活保障向精神关爱、权益维护拓展，构建“物质+服务”多元保障格局。发挥区未成年人救助保护中心阵地作用，推行分层分类监护，建立急难情形快速响应机制，常态化开展临时救助、临时监护服务。有序</w:t>
      </w:r>
      <w:r>
        <w:rPr>
          <w:rFonts w:hint="eastAsia"/>
          <w:color w:val="auto"/>
          <w:highlight w:val="none"/>
          <w:lang w:val="en-US" w:eastAsia="zh-CN"/>
        </w:rPr>
        <w:t>将</w:t>
      </w:r>
      <w:r>
        <w:rPr>
          <w:rFonts w:hint="default"/>
          <w:color w:val="auto"/>
          <w:highlight w:val="none"/>
          <w:lang w:val="en-US" w:eastAsia="zh-CN"/>
        </w:rPr>
        <w:t>符合条件儿童移送市属福利机构集中养育，持续拓展未成年人救助保护服务覆盖面，提供专业化、精细化关爱保障。</w:t>
      </w:r>
    </w:p>
    <w:p w14:paraId="7061DA8D">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bookmarkStart w:id="75" w:name="_Toc10299"/>
      <w:r>
        <w:rPr>
          <w:rFonts w:hint="eastAsia" w:ascii="Times New Roman" w:hAnsi="Times New Roman" w:eastAsia="仿宋_GB2312" w:cs="宋体"/>
          <w:b/>
          <w:bCs/>
          <w:color w:val="auto"/>
          <w:kern w:val="0"/>
          <w:sz w:val="32"/>
          <w:szCs w:val="27"/>
          <w:highlight w:val="none"/>
          <w:lang w:val="en-US" w:eastAsia="zh-CN" w:bidi="ar"/>
        </w:rPr>
        <w:t>2.提升心理健康关爱</w:t>
      </w:r>
      <w:bookmarkEnd w:id="75"/>
      <w:r>
        <w:rPr>
          <w:rFonts w:hint="eastAsia" w:ascii="Times New Roman" w:hAnsi="Times New Roman" w:eastAsia="仿宋_GB2312" w:cs="宋体"/>
          <w:b/>
          <w:bCs/>
          <w:color w:val="auto"/>
          <w:kern w:val="0"/>
          <w:sz w:val="32"/>
          <w:szCs w:val="27"/>
          <w:highlight w:val="none"/>
          <w:lang w:val="en-US" w:eastAsia="zh-CN" w:bidi="ar"/>
        </w:rPr>
        <w:t>水平</w:t>
      </w:r>
    </w:p>
    <w:p w14:paraId="77F5E721">
      <w:pPr>
        <w:bidi w:val="0"/>
        <w:rPr>
          <w:rFonts w:hint="default"/>
          <w:color w:val="auto"/>
          <w:highlight w:val="none"/>
          <w:lang w:val="en-US" w:eastAsia="zh-CN"/>
        </w:rPr>
      </w:pPr>
      <w:r>
        <w:rPr>
          <w:rFonts w:hint="eastAsia" w:ascii="Times New Roman" w:eastAsia="仿宋_GB2312"/>
          <w:color w:val="auto"/>
          <w:highlight w:val="none"/>
          <w:lang w:val="en-US" w:eastAsia="zh-CN"/>
        </w:rPr>
        <w:t>开展困境儿童心理健康监测评估，</w:t>
      </w:r>
      <w:r>
        <w:rPr>
          <w:rFonts w:hint="default"/>
          <w:color w:val="auto"/>
          <w:highlight w:val="none"/>
          <w:lang w:val="en-US" w:eastAsia="zh-CN"/>
        </w:rPr>
        <w:t>结合差异化需求精准提供心理辅导、情绪疏导、心理慰藉等专业服务。持续深化“心光护航微光筑梦——昌平区困境儿童心理关爱”</w:t>
      </w:r>
      <w:r>
        <w:rPr>
          <w:rFonts w:hint="eastAsia"/>
          <w:color w:val="auto"/>
          <w:highlight w:val="none"/>
          <w:lang w:val="en-US" w:eastAsia="zh-CN"/>
        </w:rPr>
        <w:t>特色</w:t>
      </w:r>
      <w:r>
        <w:rPr>
          <w:rFonts w:hint="default"/>
          <w:color w:val="auto"/>
          <w:highlight w:val="none"/>
          <w:lang w:val="en-US" w:eastAsia="zh-CN"/>
        </w:rPr>
        <w:t>项目</w:t>
      </w:r>
      <w:r>
        <w:rPr>
          <w:rFonts w:hint="eastAsia" w:ascii="Times New Roman" w:eastAsia="仿宋_GB2312"/>
          <w:color w:val="auto"/>
          <w:highlight w:val="none"/>
          <w:lang w:val="en-US" w:eastAsia="zh-CN"/>
        </w:rPr>
        <w:t>，强化</w:t>
      </w:r>
      <w:r>
        <w:rPr>
          <w:rFonts w:hint="eastAsia"/>
          <w:color w:val="auto"/>
          <w:highlight w:val="none"/>
          <w:lang w:val="en-US" w:eastAsia="zh-CN"/>
        </w:rPr>
        <w:t>困境儿童</w:t>
      </w:r>
      <w:r>
        <w:rPr>
          <w:rFonts w:hint="eastAsia" w:ascii="Times New Roman" w:eastAsia="仿宋_GB2312"/>
          <w:color w:val="auto"/>
          <w:highlight w:val="none"/>
          <w:lang w:val="en-US" w:eastAsia="zh-CN"/>
        </w:rPr>
        <w:t>日常陪伴、兴趣引导、成长赋能等服务</w:t>
      </w:r>
      <w:r>
        <w:rPr>
          <w:rFonts w:hint="eastAsia"/>
          <w:color w:val="auto"/>
          <w:highlight w:val="none"/>
          <w:lang w:val="en-US" w:eastAsia="zh-CN"/>
        </w:rPr>
        <w:t>。</w:t>
      </w:r>
      <w:r>
        <w:rPr>
          <w:rFonts w:hint="eastAsia" w:ascii="Times New Roman" w:eastAsia="仿宋_GB2312"/>
          <w:color w:val="auto"/>
          <w:highlight w:val="none"/>
          <w:lang w:val="en-US" w:eastAsia="zh-CN"/>
        </w:rPr>
        <w:t>加强孤独症儿童关爱服务体系建设。</w:t>
      </w:r>
    </w:p>
    <w:p w14:paraId="60B799D0">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bookmarkStart w:id="76" w:name="_Toc13956"/>
      <w:r>
        <w:rPr>
          <w:rFonts w:hint="eastAsia" w:ascii="Times New Roman" w:hAnsi="Times New Roman" w:eastAsia="仿宋_GB2312" w:cs="宋体"/>
          <w:b/>
          <w:bCs/>
          <w:color w:val="auto"/>
          <w:kern w:val="0"/>
          <w:sz w:val="32"/>
          <w:szCs w:val="27"/>
          <w:highlight w:val="none"/>
          <w:lang w:val="en-US" w:eastAsia="zh-CN" w:bidi="ar"/>
        </w:rPr>
        <w:t>3.推动</w:t>
      </w:r>
      <w:r>
        <w:rPr>
          <w:rFonts w:hint="default" w:ascii="Times New Roman" w:hAnsi="Times New Roman" w:eastAsia="仿宋_GB2312" w:cs="宋体"/>
          <w:b/>
          <w:bCs/>
          <w:color w:val="auto"/>
          <w:kern w:val="0"/>
          <w:sz w:val="32"/>
          <w:szCs w:val="27"/>
          <w:highlight w:val="none"/>
          <w:lang w:val="en-US" w:eastAsia="zh-CN" w:bidi="ar"/>
        </w:rPr>
        <w:t>社会力量</w:t>
      </w:r>
      <w:r>
        <w:rPr>
          <w:rFonts w:hint="eastAsia" w:ascii="Times New Roman" w:hAnsi="Times New Roman" w:eastAsia="仿宋_GB2312" w:cs="宋体"/>
          <w:b/>
          <w:bCs/>
          <w:color w:val="auto"/>
          <w:kern w:val="0"/>
          <w:sz w:val="32"/>
          <w:szCs w:val="27"/>
          <w:highlight w:val="none"/>
          <w:lang w:val="en-US" w:eastAsia="zh-CN" w:bidi="ar"/>
        </w:rPr>
        <w:t>有序</w:t>
      </w:r>
      <w:r>
        <w:rPr>
          <w:rFonts w:hint="default" w:ascii="Times New Roman" w:hAnsi="Times New Roman" w:eastAsia="仿宋_GB2312" w:cs="宋体"/>
          <w:b/>
          <w:bCs/>
          <w:color w:val="auto"/>
          <w:kern w:val="0"/>
          <w:sz w:val="32"/>
          <w:szCs w:val="27"/>
          <w:highlight w:val="none"/>
          <w:lang w:val="en-US" w:eastAsia="zh-CN" w:bidi="ar"/>
        </w:rPr>
        <w:t>参与</w:t>
      </w:r>
      <w:bookmarkEnd w:id="76"/>
    </w:p>
    <w:p w14:paraId="28E15465">
      <w:pPr>
        <w:bidi w:val="0"/>
        <w:rPr>
          <w:rFonts w:hint="default"/>
          <w:color w:val="auto"/>
          <w:highlight w:val="none"/>
          <w:lang w:val="en-US" w:eastAsia="zh-CN"/>
        </w:rPr>
      </w:pPr>
      <w:r>
        <w:rPr>
          <w:rFonts w:hint="eastAsia" w:ascii="Times New Roman" w:eastAsia="仿宋_GB2312"/>
          <w:color w:val="auto"/>
          <w:highlight w:val="none"/>
          <w:lang w:val="en-US" w:eastAsia="zh-CN"/>
        </w:rPr>
        <w:t>探索</w:t>
      </w:r>
      <w:r>
        <w:rPr>
          <w:rFonts w:hint="default"/>
          <w:color w:val="auto"/>
          <w:highlight w:val="none"/>
          <w:lang w:val="en-US" w:eastAsia="zh-CN"/>
        </w:rPr>
        <w:t>构建“社区</w:t>
      </w:r>
      <w:r>
        <w:rPr>
          <w:rFonts w:hint="eastAsia" w:ascii="Times New Roman" w:eastAsia="仿宋_GB2312"/>
          <w:color w:val="auto"/>
          <w:highlight w:val="none"/>
          <w:lang w:val="en-US" w:eastAsia="zh-CN"/>
        </w:rPr>
        <w:t>—</w:t>
      </w:r>
      <w:r>
        <w:rPr>
          <w:rFonts w:hint="default"/>
          <w:color w:val="auto"/>
          <w:highlight w:val="none"/>
          <w:lang w:val="en-US" w:eastAsia="zh-CN"/>
        </w:rPr>
        <w:t>社会组织</w:t>
      </w:r>
      <w:r>
        <w:rPr>
          <w:rFonts w:hint="eastAsia" w:ascii="Times New Roman" w:eastAsia="仿宋_GB2312"/>
          <w:color w:val="auto"/>
          <w:highlight w:val="none"/>
          <w:lang w:val="en-US" w:eastAsia="zh-CN"/>
        </w:rPr>
        <w:t>—</w:t>
      </w:r>
      <w:r>
        <w:rPr>
          <w:rFonts w:hint="default"/>
          <w:color w:val="auto"/>
          <w:highlight w:val="none"/>
          <w:lang w:val="en-US" w:eastAsia="zh-CN"/>
        </w:rPr>
        <w:t>社会志愿者”协同联动模式</w:t>
      </w:r>
      <w:r>
        <w:rPr>
          <w:rFonts w:hint="eastAsia" w:ascii="Times New Roman" w:eastAsia="仿宋_GB2312"/>
          <w:color w:val="auto"/>
          <w:highlight w:val="none"/>
          <w:lang w:val="en-US" w:eastAsia="zh-CN"/>
        </w:rPr>
        <w:t>，推动困境儿童需求与慈善组织服务对接。依法规范收养登记，保障被收养儿童合法权益，</w:t>
      </w:r>
      <w:r>
        <w:rPr>
          <w:rFonts w:hint="eastAsia"/>
          <w:color w:val="auto"/>
          <w:highlight w:val="none"/>
          <w:lang w:val="en-US" w:eastAsia="zh-CN"/>
        </w:rPr>
        <w:t>助力</w:t>
      </w:r>
      <w:r>
        <w:rPr>
          <w:rFonts w:hint="eastAsia" w:ascii="Times New Roman" w:eastAsia="仿宋_GB2312"/>
          <w:color w:val="auto"/>
          <w:highlight w:val="none"/>
          <w:lang w:val="en-US" w:eastAsia="zh-CN"/>
        </w:rPr>
        <w:t>残疾孤儿回归家庭。</w:t>
      </w:r>
      <w:r>
        <w:rPr>
          <w:rFonts w:hint="default"/>
          <w:color w:val="auto"/>
          <w:highlight w:val="none"/>
          <w:lang w:val="en-US" w:eastAsia="zh-CN"/>
        </w:rPr>
        <w:t>广泛宣传引导，凝聚关爱合力，鼓励社会各界通过慈善帮扶、志愿服务参与儿童福利保障。</w:t>
      </w:r>
    </w:p>
    <w:p w14:paraId="52F1C349">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bookmarkStart w:id="77" w:name="_Toc1025"/>
      <w:r>
        <w:rPr>
          <w:rFonts w:hint="eastAsia" w:ascii="Times New Roman" w:hAnsi="Times New Roman" w:eastAsia="仿宋_GB2312" w:cs="宋体"/>
          <w:b/>
          <w:bCs/>
          <w:color w:val="auto"/>
          <w:kern w:val="0"/>
          <w:sz w:val="32"/>
          <w:szCs w:val="27"/>
          <w:highlight w:val="none"/>
          <w:lang w:val="en-US" w:eastAsia="zh-CN" w:bidi="ar"/>
        </w:rPr>
        <w:t>4.加强儿童福利领域监管</w:t>
      </w:r>
    </w:p>
    <w:p w14:paraId="24DA9893">
      <w:pPr>
        <w:bidi w:val="0"/>
        <w:rPr>
          <w:rFonts w:hint="default"/>
          <w:color w:val="auto"/>
          <w:highlight w:val="none"/>
          <w:lang w:val="en-US" w:eastAsia="zh-CN"/>
        </w:rPr>
      </w:pPr>
      <w:r>
        <w:rPr>
          <w:rFonts w:hint="eastAsia" w:ascii="Times New Roman" w:eastAsia="仿宋_GB2312"/>
          <w:color w:val="auto"/>
          <w:highlight w:val="none"/>
          <w:lang w:val="en-US" w:eastAsia="zh-CN"/>
        </w:rPr>
        <w:t>依托全国儿童福利信息</w:t>
      </w:r>
      <w:bookmarkStart w:id="78" w:name="bookmark106"/>
      <w:bookmarkEnd w:id="78"/>
      <w:r>
        <w:rPr>
          <w:rFonts w:hint="eastAsia" w:ascii="Times New Roman" w:eastAsia="仿宋_GB2312"/>
          <w:color w:val="auto"/>
          <w:highlight w:val="none"/>
          <w:lang w:val="en-US" w:eastAsia="zh-CN"/>
        </w:rPr>
        <w:t>系统，强化困境儿童动态监测、台账管理、定期复核机制，做到应保尽保、动态增减。常态化开展风险隐患排查整治，健全未成年人救助保护中心安全管理制度。动态掌握儿童生活保障、家庭监护、就学成长等情况，及时化解风险隐患。完善舆情监测、信访处置工作机制，提升风险响应与处置效能。</w:t>
      </w:r>
    </w:p>
    <w:bookmarkEnd w:id="77"/>
    <w:p w14:paraId="42CA7031">
      <w:pPr>
        <w:widowControl w:val="0"/>
        <w:bidi w:val="0"/>
        <w:spacing w:before="0" w:beforeAutospacing="0" w:after="0" w:afterAutospacing="0" w:line="560" w:lineRule="exact"/>
        <w:ind w:firstLine="640" w:firstLineChars="200"/>
        <w:jc w:val="left"/>
        <w:outlineLvl w:val="1"/>
        <w:rPr>
          <w:rFonts w:hint="eastAsia" w:ascii="宋体" w:hAnsi="宋体" w:eastAsia="楷体_GB2312" w:cs="宋体"/>
          <w:bCs/>
          <w:color w:val="auto"/>
          <w:kern w:val="0"/>
          <w:sz w:val="32"/>
          <w:szCs w:val="36"/>
          <w:highlight w:val="none"/>
          <w:lang w:val="en-US" w:eastAsia="zh-CN" w:bidi="ar"/>
        </w:rPr>
      </w:pPr>
      <w:bookmarkStart w:id="79" w:name="_Toc27562"/>
      <w:bookmarkStart w:id="80" w:name="_Toc25789"/>
      <w:bookmarkStart w:id="81" w:name="_Toc9963"/>
      <w:r>
        <w:rPr>
          <w:rFonts w:hint="eastAsia" w:ascii="宋体" w:hAnsi="宋体" w:eastAsia="楷体_GB2312" w:cs="宋体"/>
          <w:bCs/>
          <w:color w:val="auto"/>
          <w:kern w:val="0"/>
          <w:sz w:val="32"/>
          <w:szCs w:val="36"/>
          <w:highlight w:val="none"/>
          <w:lang w:val="en-US" w:eastAsia="zh-CN" w:bidi="ar"/>
        </w:rPr>
        <w:t>（二）优化残疾人精准服务关爱体系</w:t>
      </w:r>
      <w:bookmarkEnd w:id="69"/>
      <w:bookmarkEnd w:id="70"/>
      <w:bookmarkEnd w:id="79"/>
      <w:bookmarkEnd w:id="80"/>
      <w:bookmarkEnd w:id="81"/>
    </w:p>
    <w:p w14:paraId="6D741A7D">
      <w:pPr>
        <w:widowControl w:val="0"/>
        <w:bidi w:val="0"/>
        <w:spacing w:before="0" w:beforeAutospacing="0" w:after="0" w:afterAutospacing="0" w:line="560" w:lineRule="exact"/>
        <w:ind w:firstLine="643" w:firstLineChars="200"/>
        <w:jc w:val="left"/>
        <w:outlineLvl w:val="2"/>
        <w:rPr>
          <w:rFonts w:hint="eastAsia" w:ascii="Times New Roman" w:hAnsi="Times New Roman" w:eastAsia="仿宋_GB2312" w:cs="宋体"/>
          <w:b/>
          <w:bCs w:val="0"/>
          <w:color w:val="auto"/>
          <w:kern w:val="0"/>
          <w:sz w:val="32"/>
          <w:szCs w:val="27"/>
          <w:highlight w:val="none"/>
          <w:lang w:val="en-US" w:eastAsia="zh-CN" w:bidi="ar"/>
        </w:rPr>
      </w:pPr>
      <w:bookmarkStart w:id="82" w:name="_Toc17454"/>
      <w:r>
        <w:rPr>
          <w:rFonts w:hint="eastAsia" w:ascii="Times New Roman" w:hAnsi="Times New Roman" w:eastAsia="仿宋_GB2312" w:cs="宋体"/>
          <w:b/>
          <w:bCs w:val="0"/>
          <w:color w:val="auto"/>
          <w:kern w:val="0"/>
          <w:sz w:val="32"/>
          <w:szCs w:val="27"/>
          <w:highlight w:val="none"/>
          <w:lang w:val="en-US" w:eastAsia="zh-CN" w:bidi="ar"/>
        </w:rPr>
        <w:t>1.精准落实</w:t>
      </w:r>
      <w:bookmarkEnd w:id="82"/>
      <w:r>
        <w:rPr>
          <w:rFonts w:hint="eastAsia" w:ascii="Times New Roman" w:hAnsi="Times New Roman" w:eastAsia="仿宋_GB2312" w:cs="宋体"/>
          <w:b/>
          <w:bCs w:val="0"/>
          <w:color w:val="auto"/>
          <w:kern w:val="0"/>
          <w:sz w:val="32"/>
          <w:szCs w:val="27"/>
          <w:highlight w:val="none"/>
          <w:lang w:val="en-US" w:eastAsia="zh-CN" w:bidi="ar"/>
        </w:rPr>
        <w:t>残疾人福利</w:t>
      </w:r>
      <w:r>
        <w:rPr>
          <w:rFonts w:hint="eastAsia" w:cs="宋体"/>
          <w:b/>
          <w:bCs w:val="0"/>
          <w:color w:val="auto"/>
          <w:kern w:val="0"/>
          <w:sz w:val="32"/>
          <w:szCs w:val="27"/>
          <w:highlight w:val="none"/>
          <w:lang w:val="en-US" w:eastAsia="zh-CN" w:bidi="ar"/>
        </w:rPr>
        <w:t>补贴</w:t>
      </w:r>
      <w:r>
        <w:rPr>
          <w:rFonts w:hint="eastAsia" w:ascii="Times New Roman" w:hAnsi="Times New Roman" w:eastAsia="仿宋_GB2312" w:cs="宋体"/>
          <w:b/>
          <w:bCs w:val="0"/>
          <w:color w:val="auto"/>
          <w:kern w:val="0"/>
          <w:sz w:val="32"/>
          <w:szCs w:val="27"/>
          <w:highlight w:val="none"/>
          <w:lang w:val="en-US" w:eastAsia="zh-CN" w:bidi="ar"/>
        </w:rPr>
        <w:t>政策</w:t>
      </w:r>
    </w:p>
    <w:p w14:paraId="2AE5A898">
      <w:pPr>
        <w:bidi w:val="0"/>
        <w:ind w:firstLine="643"/>
        <w:rPr>
          <w:rFonts w:hint="default"/>
          <w:b w:val="0"/>
          <w:bCs w:val="0"/>
          <w:color w:val="auto"/>
          <w:highlight w:val="none"/>
          <w:lang w:val="en-US" w:eastAsia="zh-CN"/>
        </w:rPr>
      </w:pPr>
      <w:r>
        <w:rPr>
          <w:rFonts w:hint="eastAsia" w:ascii="Times New Roman" w:eastAsia="仿宋_GB2312"/>
          <w:b w:val="0"/>
          <w:bCs w:val="0"/>
          <w:color w:val="auto"/>
          <w:highlight w:val="none"/>
          <w:lang w:val="en-US" w:eastAsia="zh-CN"/>
        </w:rPr>
        <w:t>严格落实残疾人两项补贴制度，确保应保尽保，保障资金足额按时发放</w:t>
      </w:r>
      <w:r>
        <w:rPr>
          <w:rFonts w:hint="eastAsia"/>
          <w:color w:val="auto"/>
          <w:highlight w:val="none"/>
          <w:lang w:val="en-US" w:eastAsia="zh-CN"/>
        </w:rPr>
        <w:t>。</w:t>
      </w:r>
      <w:r>
        <w:rPr>
          <w:rFonts w:hint="eastAsia" w:ascii="Times New Roman" w:eastAsia="仿宋_GB2312"/>
          <w:color w:val="auto"/>
          <w:highlight w:val="none"/>
          <w:lang w:val="en-US" w:eastAsia="zh-CN"/>
        </w:rPr>
        <w:t>加强残疾人两项补贴精准管理，持续做好残疾人两项补贴“全程网办”“跨省通办”和主动服务。落实严重精神障碍患者监护人看护管理补贴政策，</w:t>
      </w:r>
      <w:r>
        <w:rPr>
          <w:rFonts w:hint="eastAsia"/>
          <w:color w:val="auto"/>
          <w:highlight w:val="none"/>
          <w:lang w:val="en-US" w:eastAsia="zh-CN"/>
        </w:rPr>
        <w:t>遵循自愿申请、适度帮扶的申领原则，做到应享尽享。</w:t>
      </w:r>
    </w:p>
    <w:p w14:paraId="34E04A4D">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bookmarkStart w:id="83" w:name="_Toc5285"/>
      <w:r>
        <w:rPr>
          <w:rFonts w:hint="eastAsia" w:ascii="Times New Roman" w:hAnsi="Times New Roman" w:eastAsia="仿宋_GB2312" w:cs="宋体"/>
          <w:b/>
          <w:bCs/>
          <w:color w:val="auto"/>
          <w:kern w:val="0"/>
          <w:sz w:val="32"/>
          <w:szCs w:val="27"/>
          <w:highlight w:val="none"/>
          <w:lang w:val="en-US" w:eastAsia="zh-CN" w:bidi="ar"/>
        </w:rPr>
        <w:t>2.开展“精康融合”提升行动</w:t>
      </w:r>
      <w:bookmarkEnd w:id="83"/>
    </w:p>
    <w:p w14:paraId="05BAC91A">
      <w:pPr>
        <w:rPr>
          <w:rFonts w:hint="eastAsia" w:ascii="Times New Roman" w:eastAsia="仿宋_GB2312"/>
          <w:color w:val="auto"/>
          <w:highlight w:val="none"/>
          <w:lang w:val="en-US" w:eastAsia="zh-CN"/>
        </w:rPr>
      </w:pPr>
      <w:r>
        <w:rPr>
          <w:rFonts w:hint="eastAsia"/>
          <w:color w:val="auto"/>
          <w:highlight w:val="none"/>
          <w:lang w:val="en-US" w:eastAsia="zh-CN"/>
        </w:rPr>
        <w:t>搭建</w:t>
      </w:r>
      <w:r>
        <w:rPr>
          <w:rFonts w:hint="eastAsia" w:ascii="Times New Roman" w:eastAsia="仿宋_GB2312"/>
          <w:color w:val="auto"/>
          <w:highlight w:val="none"/>
          <w:lang w:val="en-US" w:eastAsia="zh-CN"/>
        </w:rPr>
        <w:t>区、镇街、社区（村）三级精神障碍康复服务网络，</w:t>
      </w:r>
      <w:r>
        <w:rPr>
          <w:rFonts w:hint="eastAsia"/>
          <w:color w:val="auto"/>
          <w:highlight w:val="none"/>
          <w:lang w:val="en-US" w:eastAsia="zh-CN"/>
        </w:rPr>
        <w:t>深入</w:t>
      </w:r>
      <w:r>
        <w:rPr>
          <w:rFonts w:hint="eastAsia" w:ascii="Times New Roman" w:eastAsia="仿宋_GB2312"/>
          <w:color w:val="auto"/>
          <w:highlight w:val="none"/>
          <w:lang w:val="en-US" w:eastAsia="zh-CN"/>
        </w:rPr>
        <w:t>开展“精康融合”提升行动，完善精神障碍治疗与康复双向转介机制</w:t>
      </w:r>
      <w:r>
        <w:rPr>
          <w:rFonts w:hint="eastAsia"/>
          <w:color w:val="auto"/>
          <w:highlight w:val="none"/>
          <w:lang w:val="en-US" w:eastAsia="zh-CN"/>
        </w:rPr>
        <w:t>。依托</w:t>
      </w:r>
      <w:r>
        <w:rPr>
          <w:rFonts w:hint="eastAsia" w:ascii="Times New Roman" w:eastAsia="仿宋_GB2312"/>
          <w:color w:val="auto"/>
          <w:highlight w:val="none"/>
          <w:lang w:val="en-US" w:eastAsia="zh-CN"/>
        </w:rPr>
        <w:t>精神卫生福利机构、残疾人托养机构</w:t>
      </w:r>
      <w:r>
        <w:rPr>
          <w:rFonts w:hint="eastAsia"/>
          <w:color w:val="auto"/>
          <w:highlight w:val="none"/>
          <w:lang w:val="en-US" w:eastAsia="zh-CN"/>
        </w:rPr>
        <w:t>等设施</w:t>
      </w:r>
      <w:r>
        <w:rPr>
          <w:rFonts w:hint="eastAsia" w:ascii="Times New Roman" w:eastAsia="仿宋_GB2312"/>
          <w:color w:val="auto"/>
          <w:highlight w:val="none"/>
          <w:lang w:val="en-US" w:eastAsia="zh-CN"/>
        </w:rPr>
        <w:t>，不断健全精神障碍社区康复服务网络。丰富服药、生活技能、职业</w:t>
      </w:r>
      <w:r>
        <w:rPr>
          <w:rFonts w:hint="eastAsia"/>
          <w:color w:val="auto"/>
          <w:highlight w:val="none"/>
          <w:lang w:val="en-US" w:eastAsia="zh-CN"/>
        </w:rPr>
        <w:t>技能等能力</w:t>
      </w:r>
      <w:r>
        <w:rPr>
          <w:rFonts w:hint="eastAsia" w:ascii="Times New Roman" w:eastAsia="仿宋_GB2312"/>
          <w:color w:val="auto"/>
          <w:highlight w:val="none"/>
          <w:lang w:val="en-US" w:eastAsia="zh-CN"/>
        </w:rPr>
        <w:t>训练</w:t>
      </w:r>
      <w:r>
        <w:rPr>
          <w:rFonts w:hint="eastAsia"/>
          <w:color w:val="auto"/>
          <w:highlight w:val="none"/>
          <w:lang w:val="en-US" w:eastAsia="zh-CN"/>
        </w:rPr>
        <w:t>及</w:t>
      </w:r>
      <w:r>
        <w:rPr>
          <w:rFonts w:hint="eastAsia" w:ascii="Times New Roman" w:eastAsia="仿宋_GB2312"/>
          <w:color w:val="auto"/>
          <w:highlight w:val="none"/>
          <w:lang w:val="en-US" w:eastAsia="zh-CN"/>
        </w:rPr>
        <w:t>居家康复指导</w:t>
      </w:r>
      <w:r>
        <w:rPr>
          <w:rFonts w:hint="eastAsia"/>
          <w:color w:val="auto"/>
          <w:highlight w:val="none"/>
          <w:lang w:val="en-US" w:eastAsia="zh-CN"/>
        </w:rPr>
        <w:t>服</w:t>
      </w:r>
      <w:r>
        <w:rPr>
          <w:rFonts w:hint="eastAsia" w:ascii="Times New Roman" w:eastAsia="仿宋_GB2312"/>
          <w:color w:val="auto"/>
          <w:highlight w:val="none"/>
          <w:lang w:val="en-US" w:eastAsia="zh-CN"/>
        </w:rPr>
        <w:t>务内容，提</w:t>
      </w:r>
      <w:r>
        <w:rPr>
          <w:rFonts w:hint="eastAsia"/>
          <w:color w:val="auto"/>
          <w:highlight w:val="none"/>
          <w:lang w:val="en-US" w:eastAsia="zh-CN"/>
        </w:rPr>
        <w:t>高</w:t>
      </w:r>
      <w:r>
        <w:rPr>
          <w:rFonts w:hint="eastAsia" w:ascii="Times New Roman" w:eastAsia="仿宋_GB2312"/>
          <w:color w:val="auto"/>
          <w:highlight w:val="none"/>
          <w:lang w:val="en-US" w:eastAsia="zh-CN"/>
        </w:rPr>
        <w:t>患者及监护人对社区康复服务</w:t>
      </w:r>
      <w:r>
        <w:rPr>
          <w:rFonts w:hint="eastAsia"/>
          <w:color w:val="auto"/>
          <w:highlight w:val="none"/>
          <w:lang w:val="en-US" w:eastAsia="zh-CN"/>
        </w:rPr>
        <w:t>参与意愿</w:t>
      </w:r>
      <w:r>
        <w:rPr>
          <w:rFonts w:hint="eastAsia" w:ascii="Times New Roman" w:eastAsia="仿宋_GB2312"/>
          <w:color w:val="auto"/>
          <w:highlight w:val="none"/>
          <w:lang w:val="en-US" w:eastAsia="zh-CN"/>
        </w:rPr>
        <w:t>。提升农村地区精神障碍患者康复服务能力。</w:t>
      </w:r>
      <w:r>
        <w:rPr>
          <w:rFonts w:hint="eastAsia"/>
          <w:color w:val="auto"/>
          <w:highlight w:val="none"/>
          <w:lang w:val="en-US" w:eastAsia="zh-CN"/>
        </w:rPr>
        <w:t>到2030年，开展精神障碍社区康复服务的镇街达到95%。</w:t>
      </w:r>
    </w:p>
    <w:p w14:paraId="783011FE">
      <w:pPr>
        <w:widowControl w:val="0"/>
        <w:bidi w:val="0"/>
        <w:spacing w:before="0" w:beforeAutospacing="0" w:after="0" w:afterAutospacing="0" w:line="560" w:lineRule="exact"/>
        <w:ind w:firstLine="643" w:firstLineChars="200"/>
        <w:jc w:val="left"/>
        <w:outlineLvl w:val="2"/>
        <w:rPr>
          <w:rFonts w:hint="eastAsia" w:ascii="Times New Roman" w:hAnsi="Times New Roman" w:eastAsia="仿宋_GB2312" w:cs="宋体"/>
          <w:b/>
          <w:bCs/>
          <w:color w:val="auto"/>
          <w:kern w:val="0"/>
          <w:sz w:val="32"/>
          <w:szCs w:val="27"/>
          <w:highlight w:val="none"/>
          <w:lang w:val="en-US" w:eastAsia="zh-CN" w:bidi="ar"/>
        </w:rPr>
      </w:pPr>
      <w:bookmarkStart w:id="84" w:name="_Toc3959"/>
      <w:r>
        <w:rPr>
          <w:rFonts w:hint="eastAsia" w:ascii="Times New Roman" w:hAnsi="Times New Roman" w:eastAsia="仿宋_GB2312" w:cs="宋体"/>
          <w:b/>
          <w:bCs/>
          <w:color w:val="auto"/>
          <w:kern w:val="0"/>
          <w:sz w:val="32"/>
          <w:szCs w:val="27"/>
          <w:highlight w:val="none"/>
          <w:lang w:val="en-US" w:eastAsia="zh-CN" w:bidi="ar"/>
        </w:rPr>
        <w:t>3.</w:t>
      </w:r>
      <w:bookmarkEnd w:id="84"/>
      <w:r>
        <w:rPr>
          <w:rFonts w:hint="eastAsia" w:ascii="Times New Roman" w:hAnsi="Times New Roman" w:eastAsia="仿宋_GB2312" w:cs="宋体"/>
          <w:b/>
          <w:bCs/>
          <w:color w:val="auto"/>
          <w:kern w:val="0"/>
          <w:sz w:val="32"/>
          <w:szCs w:val="27"/>
          <w:highlight w:val="none"/>
          <w:lang w:val="en-US" w:eastAsia="zh-CN" w:bidi="ar"/>
        </w:rPr>
        <w:t>推进社会福利机构及康复设施建设</w:t>
      </w:r>
    </w:p>
    <w:p w14:paraId="392A9361">
      <w:pPr>
        <w:bidi w:val="0"/>
        <w:rPr>
          <w:rFonts w:hint="default"/>
          <w:color w:val="auto"/>
          <w:highlight w:val="none"/>
          <w:lang w:val="en-US" w:eastAsia="zh-CN"/>
        </w:rPr>
      </w:pPr>
      <w:r>
        <w:rPr>
          <w:rFonts w:hint="eastAsia"/>
          <w:color w:val="auto"/>
          <w:highlight w:val="none"/>
          <w:lang w:val="en-US" w:eastAsia="zh-CN"/>
        </w:rPr>
        <w:t>依托</w:t>
      </w:r>
      <w:r>
        <w:rPr>
          <w:rFonts w:hint="default"/>
          <w:color w:val="auto"/>
          <w:highlight w:val="none"/>
          <w:lang w:val="en-US" w:eastAsia="zh-CN"/>
        </w:rPr>
        <w:t>北京市第三社会福利院扩建项目，</w:t>
      </w:r>
      <w:r>
        <w:rPr>
          <w:rFonts w:hint="eastAsia"/>
          <w:color w:val="auto"/>
          <w:highlight w:val="none"/>
          <w:lang w:val="en-US" w:eastAsia="zh-CN"/>
        </w:rPr>
        <w:t>通过</w:t>
      </w:r>
      <w:r>
        <w:rPr>
          <w:rFonts w:hint="default"/>
          <w:color w:val="auto"/>
          <w:highlight w:val="none"/>
          <w:lang w:val="en-US" w:eastAsia="zh-CN"/>
        </w:rPr>
        <w:t>合作托养方式，</w:t>
      </w:r>
      <w:r>
        <w:rPr>
          <w:rFonts w:hint="eastAsia"/>
          <w:color w:val="auto"/>
          <w:highlight w:val="none"/>
          <w:lang w:val="en-US" w:eastAsia="zh-CN"/>
        </w:rPr>
        <w:t>保障特困、低收入群体中的精神障碍患者入住需求</w:t>
      </w:r>
      <w:r>
        <w:rPr>
          <w:rFonts w:hint="default"/>
          <w:color w:val="auto"/>
          <w:highlight w:val="none"/>
          <w:lang w:val="en-US" w:eastAsia="zh-CN"/>
        </w:rPr>
        <w:t>。</w:t>
      </w:r>
      <w:r>
        <w:rPr>
          <w:rFonts w:hint="eastAsia"/>
          <w:color w:val="auto"/>
          <w:highlight w:val="none"/>
          <w:lang w:val="en-US" w:eastAsia="zh-CN"/>
        </w:rPr>
        <w:t>鼓励</w:t>
      </w:r>
      <w:r>
        <w:rPr>
          <w:rFonts w:hint="default"/>
          <w:color w:val="auto"/>
          <w:highlight w:val="none"/>
          <w:lang w:val="en-US" w:eastAsia="zh-CN"/>
        </w:rPr>
        <w:t>有条件的养老（残疾人托养）机构，</w:t>
      </w:r>
      <w:r>
        <w:rPr>
          <w:rFonts w:hint="eastAsia"/>
          <w:color w:val="auto"/>
          <w:highlight w:val="none"/>
          <w:lang w:val="en-US" w:eastAsia="zh-CN"/>
        </w:rPr>
        <w:t>构建集</w:t>
      </w:r>
      <w:r>
        <w:rPr>
          <w:rFonts w:hint="default"/>
          <w:color w:val="auto"/>
          <w:highlight w:val="none"/>
          <w:lang w:val="en-US" w:eastAsia="zh-CN"/>
        </w:rPr>
        <w:t>生活照料、康复训练、护理照护、医疗服务</w:t>
      </w:r>
      <w:r>
        <w:rPr>
          <w:rFonts w:hint="eastAsia"/>
          <w:color w:val="auto"/>
          <w:highlight w:val="none"/>
          <w:lang w:val="en-US" w:eastAsia="zh-CN"/>
        </w:rPr>
        <w:t>于</w:t>
      </w:r>
      <w:r>
        <w:rPr>
          <w:rFonts w:hint="default"/>
          <w:color w:val="auto"/>
          <w:highlight w:val="none"/>
          <w:lang w:val="en-US" w:eastAsia="zh-CN"/>
        </w:rPr>
        <w:t>一体</w:t>
      </w:r>
      <w:r>
        <w:rPr>
          <w:rFonts w:hint="eastAsia"/>
          <w:color w:val="auto"/>
          <w:highlight w:val="none"/>
          <w:lang w:val="en-US" w:eastAsia="zh-CN"/>
        </w:rPr>
        <w:t>的</w:t>
      </w:r>
      <w:r>
        <w:rPr>
          <w:rFonts w:hint="default"/>
          <w:color w:val="auto"/>
          <w:highlight w:val="none"/>
          <w:lang w:val="en-US" w:eastAsia="zh-CN"/>
        </w:rPr>
        <w:t>服务体系，统筹助残、养老、救助资源，</w:t>
      </w:r>
      <w:r>
        <w:rPr>
          <w:rFonts w:hint="eastAsia"/>
          <w:color w:val="auto"/>
          <w:highlight w:val="none"/>
          <w:lang w:val="en-US" w:eastAsia="zh-CN"/>
        </w:rPr>
        <w:t>提升</w:t>
      </w:r>
      <w:r>
        <w:rPr>
          <w:rFonts w:hint="default"/>
          <w:color w:val="auto"/>
          <w:highlight w:val="none"/>
          <w:lang w:val="en-US" w:eastAsia="zh-CN"/>
        </w:rPr>
        <w:t>重度残疾人托养照护</w:t>
      </w:r>
      <w:r>
        <w:rPr>
          <w:rFonts w:hint="eastAsia"/>
          <w:color w:val="auto"/>
          <w:highlight w:val="none"/>
          <w:lang w:val="en-US" w:eastAsia="zh-CN"/>
        </w:rPr>
        <w:t>水平</w:t>
      </w:r>
      <w:r>
        <w:rPr>
          <w:rFonts w:hint="default"/>
          <w:color w:val="auto"/>
          <w:highlight w:val="none"/>
          <w:lang w:val="en-US" w:eastAsia="zh-CN"/>
        </w:rPr>
        <w:t>。加强残疾人托养机构监管。</w:t>
      </w:r>
    </w:p>
    <w:bookmarkEnd w:id="64"/>
    <w:bookmarkEnd w:id="65"/>
    <w:bookmarkEnd w:id="71"/>
    <w:bookmarkEnd w:id="72"/>
    <w:bookmarkEnd w:id="73"/>
    <w:p w14:paraId="6285327A">
      <w:pPr>
        <w:widowControl w:val="0"/>
        <w:bidi w:val="0"/>
        <w:spacing w:before="0" w:beforeAutospacing="0" w:after="0" w:afterAutospacing="0" w:line="240" w:lineRule="auto"/>
        <w:ind w:firstLine="640" w:firstLineChars="200"/>
        <w:jc w:val="left"/>
        <w:outlineLvl w:val="0"/>
        <w:rPr>
          <w:rFonts w:hint="default" w:ascii="宋体" w:hAnsi="宋体" w:eastAsia="黑体" w:cs="宋体"/>
          <w:bCs/>
          <w:color w:val="auto"/>
          <w:kern w:val="44"/>
          <w:sz w:val="32"/>
          <w:szCs w:val="48"/>
          <w:highlight w:val="none"/>
          <w:lang w:val="en-US" w:eastAsia="zh-CN" w:bidi="ar"/>
        </w:rPr>
      </w:pPr>
      <w:bookmarkStart w:id="85" w:name="_Toc16801"/>
      <w:bookmarkStart w:id="86" w:name="_Toc1687"/>
      <w:bookmarkStart w:id="87" w:name="_Toc6582"/>
      <w:bookmarkStart w:id="88" w:name="_Toc29097"/>
      <w:r>
        <w:rPr>
          <w:rFonts w:hint="eastAsia" w:ascii="宋体" w:hAnsi="宋体" w:eastAsia="黑体" w:cs="宋体"/>
          <w:bCs/>
          <w:color w:val="auto"/>
          <w:kern w:val="44"/>
          <w:sz w:val="32"/>
          <w:szCs w:val="48"/>
          <w:highlight w:val="none"/>
          <w:lang w:val="en-US" w:eastAsia="zh-CN" w:bidi="ar"/>
        </w:rPr>
        <w:t>五、优化便民惠民、温情暖心的社会事务服务</w:t>
      </w:r>
      <w:bookmarkEnd w:id="85"/>
      <w:bookmarkEnd w:id="86"/>
      <w:bookmarkEnd w:id="87"/>
      <w:bookmarkEnd w:id="88"/>
    </w:p>
    <w:p w14:paraId="21231F74">
      <w:pPr>
        <w:widowControl w:val="0"/>
        <w:bidi w:val="0"/>
        <w:spacing w:before="0" w:beforeAutospacing="0" w:after="0" w:afterAutospacing="0" w:line="560" w:lineRule="exact"/>
        <w:ind w:firstLine="640" w:firstLineChars="200"/>
        <w:jc w:val="left"/>
        <w:outlineLvl w:val="1"/>
        <w:rPr>
          <w:rFonts w:hint="eastAsia" w:ascii="宋体" w:hAnsi="宋体" w:eastAsia="楷体_GB2312" w:cs="宋体"/>
          <w:bCs/>
          <w:color w:val="auto"/>
          <w:kern w:val="0"/>
          <w:sz w:val="32"/>
          <w:szCs w:val="36"/>
          <w:highlight w:val="none"/>
          <w:lang w:val="en-US" w:eastAsia="zh-CN" w:bidi="ar"/>
        </w:rPr>
      </w:pPr>
      <w:bookmarkStart w:id="89" w:name="_Toc15861"/>
      <w:bookmarkStart w:id="90" w:name="_Toc9001"/>
      <w:bookmarkStart w:id="91" w:name="_Toc11595"/>
      <w:bookmarkStart w:id="92" w:name="_Toc29710"/>
      <w:bookmarkStart w:id="93" w:name="_Toc16890"/>
      <w:bookmarkStart w:id="94" w:name="_Toc656"/>
      <w:r>
        <w:rPr>
          <w:rFonts w:hint="default" w:ascii="宋体" w:hAnsi="宋体" w:eastAsia="楷体_GB2312" w:cs="宋体"/>
          <w:bCs/>
          <w:color w:val="auto"/>
          <w:kern w:val="0"/>
          <w:sz w:val="32"/>
          <w:szCs w:val="36"/>
          <w:highlight w:val="none"/>
          <w:lang w:val="en-US" w:eastAsia="zh-CN" w:bidi="ar"/>
        </w:rPr>
        <w:t>（</w:t>
      </w:r>
      <w:r>
        <w:rPr>
          <w:rFonts w:hint="eastAsia" w:ascii="宋体" w:hAnsi="宋体" w:eastAsia="楷体_GB2312" w:cs="宋体"/>
          <w:bCs/>
          <w:color w:val="auto"/>
          <w:kern w:val="0"/>
          <w:sz w:val="32"/>
          <w:szCs w:val="36"/>
          <w:highlight w:val="none"/>
          <w:lang w:val="en-US" w:eastAsia="zh-CN" w:bidi="ar"/>
        </w:rPr>
        <w:t>一</w:t>
      </w:r>
      <w:r>
        <w:rPr>
          <w:rFonts w:hint="default" w:ascii="宋体" w:hAnsi="宋体" w:eastAsia="楷体_GB2312" w:cs="宋体"/>
          <w:bCs/>
          <w:color w:val="auto"/>
          <w:kern w:val="0"/>
          <w:sz w:val="32"/>
          <w:szCs w:val="36"/>
          <w:highlight w:val="none"/>
          <w:lang w:val="en-US" w:eastAsia="zh-CN" w:bidi="ar"/>
        </w:rPr>
        <w:t>）</w:t>
      </w:r>
      <w:r>
        <w:rPr>
          <w:rFonts w:hint="eastAsia" w:ascii="宋体" w:hAnsi="宋体" w:eastAsia="楷体_GB2312" w:cs="宋体"/>
          <w:bCs/>
          <w:color w:val="auto"/>
          <w:kern w:val="0"/>
          <w:sz w:val="32"/>
          <w:szCs w:val="36"/>
          <w:highlight w:val="none"/>
          <w:lang w:val="en-US" w:eastAsia="zh-CN" w:bidi="ar"/>
        </w:rPr>
        <w:t>推动婚姻服务提质增效</w:t>
      </w:r>
      <w:bookmarkEnd w:id="89"/>
      <w:bookmarkEnd w:id="90"/>
      <w:bookmarkEnd w:id="91"/>
      <w:bookmarkEnd w:id="92"/>
      <w:bookmarkEnd w:id="93"/>
      <w:bookmarkEnd w:id="94"/>
    </w:p>
    <w:p w14:paraId="0C6E7983">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bookmarkStart w:id="95" w:name="_Toc1650"/>
      <w:r>
        <w:rPr>
          <w:rFonts w:hint="eastAsia" w:ascii="Times New Roman" w:hAnsi="Times New Roman" w:eastAsia="仿宋_GB2312" w:cs="宋体"/>
          <w:b/>
          <w:bCs/>
          <w:color w:val="auto"/>
          <w:kern w:val="0"/>
          <w:sz w:val="32"/>
          <w:szCs w:val="27"/>
          <w:highlight w:val="none"/>
          <w:lang w:val="en-US" w:eastAsia="zh-CN" w:bidi="ar"/>
        </w:rPr>
        <w:t>1.提升婚姻登记服务效能</w:t>
      </w:r>
      <w:bookmarkEnd w:id="95"/>
    </w:p>
    <w:p w14:paraId="2E5038C5">
      <w:pPr>
        <w:bidi w:val="0"/>
        <w:rPr>
          <w:rFonts w:hint="eastAsia" w:ascii="Times New Roman" w:eastAsia="仿宋_GB2312"/>
          <w:b w:val="0"/>
          <w:bCs w:val="0"/>
          <w:color w:val="auto"/>
          <w:highlight w:val="none"/>
          <w:lang w:val="en-US" w:eastAsia="zh-CN"/>
        </w:rPr>
      </w:pPr>
      <w:r>
        <w:rPr>
          <w:rFonts w:hint="eastAsia" w:ascii="Times New Roman" w:eastAsia="仿宋_GB2312"/>
          <w:b w:val="0"/>
          <w:bCs w:val="0"/>
          <w:color w:val="auto"/>
          <w:highlight w:val="none"/>
          <w:lang w:val="en-US" w:eastAsia="zh-CN"/>
        </w:rPr>
        <w:t>全面落实婚姻登记“全国通办”</w:t>
      </w:r>
      <w:r>
        <w:rPr>
          <w:rFonts w:hint="eastAsia"/>
          <w:b w:val="0"/>
          <w:bCs w:val="0"/>
          <w:color w:val="auto"/>
          <w:highlight w:val="none"/>
          <w:lang w:val="en-US" w:eastAsia="zh-CN"/>
        </w:rPr>
        <w:t>，深化</w:t>
      </w:r>
      <w:r>
        <w:rPr>
          <w:rFonts w:hint="eastAsia" w:ascii="Times New Roman" w:eastAsia="仿宋_GB2312"/>
          <w:b w:val="0"/>
          <w:bCs w:val="0"/>
          <w:color w:val="auto"/>
          <w:highlight w:val="none"/>
          <w:lang w:val="en-US" w:eastAsia="zh-CN"/>
        </w:rPr>
        <w:t>结婚落户“一件事”集成改革</w:t>
      </w:r>
      <w:r>
        <w:rPr>
          <w:rFonts w:hint="eastAsia"/>
          <w:b w:val="0"/>
          <w:bCs w:val="0"/>
          <w:color w:val="auto"/>
          <w:highlight w:val="none"/>
          <w:lang w:eastAsia="zh-CN"/>
        </w:rPr>
        <w:t>，</w:t>
      </w:r>
      <w:r>
        <w:rPr>
          <w:rFonts w:hint="eastAsia"/>
          <w:b w:val="0"/>
          <w:bCs w:val="0"/>
          <w:color w:val="auto"/>
          <w:highlight w:val="none"/>
          <w:lang w:val="en-US" w:eastAsia="zh-CN"/>
        </w:rPr>
        <w:t>推动</w:t>
      </w:r>
      <w:r>
        <w:rPr>
          <w:rFonts w:hint="eastAsia" w:ascii="Times New Roman" w:eastAsia="仿宋_GB2312"/>
          <w:b w:val="0"/>
          <w:bCs w:val="0"/>
          <w:color w:val="auto"/>
          <w:highlight w:val="none"/>
          <w:lang w:val="en-US" w:eastAsia="zh-CN"/>
        </w:rPr>
        <w:t>婚姻登记线上预约预审</w:t>
      </w:r>
      <w:r>
        <w:rPr>
          <w:rFonts w:hint="eastAsia"/>
          <w:b w:val="0"/>
          <w:bCs w:val="0"/>
          <w:color w:val="auto"/>
          <w:highlight w:val="none"/>
          <w:lang w:val="en-US" w:eastAsia="zh-CN"/>
        </w:rPr>
        <w:t>，做好</w:t>
      </w:r>
      <w:r>
        <w:rPr>
          <w:rFonts w:hint="eastAsia" w:ascii="Times New Roman" w:eastAsia="仿宋_GB2312"/>
          <w:b w:val="0"/>
          <w:bCs w:val="0"/>
          <w:color w:val="auto"/>
          <w:highlight w:val="none"/>
          <w:lang w:val="en-US" w:eastAsia="zh-CN"/>
        </w:rPr>
        <w:t>小客车家庭摇号婚姻关系线上复核。优化登记场所功能布局，完善登记颁证服务环境建设，打造庄重、文明、简约的服务空间。建立特殊群体上门办证长效机制。深化“幸福护航”服务</w:t>
      </w:r>
      <w:r>
        <w:rPr>
          <w:rFonts w:hint="eastAsia"/>
          <w:b w:val="0"/>
          <w:bCs w:val="0"/>
          <w:color w:val="auto"/>
          <w:highlight w:val="none"/>
          <w:lang w:val="en-US" w:eastAsia="zh-CN"/>
        </w:rPr>
        <w:t>品牌</w:t>
      </w:r>
      <w:r>
        <w:rPr>
          <w:rFonts w:hint="eastAsia" w:ascii="Times New Roman" w:eastAsia="仿宋_GB2312"/>
          <w:b w:val="0"/>
          <w:bCs w:val="0"/>
          <w:color w:val="auto"/>
          <w:highlight w:val="none"/>
          <w:lang w:val="en-US" w:eastAsia="zh-CN"/>
        </w:rPr>
        <w:t>，打造“婚前辅导+情感咨询+婚俗改革”融合服务模式</w:t>
      </w:r>
      <w:r>
        <w:rPr>
          <w:rFonts w:hint="eastAsia"/>
          <w:b w:val="0"/>
          <w:bCs w:val="0"/>
          <w:color w:val="auto"/>
          <w:highlight w:val="none"/>
          <w:lang w:val="en-US" w:eastAsia="zh-CN"/>
        </w:rPr>
        <w:t>。</w:t>
      </w:r>
    </w:p>
    <w:p w14:paraId="645CD7C9">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bookmarkStart w:id="96" w:name="_Toc1296"/>
      <w:r>
        <w:rPr>
          <w:rFonts w:hint="eastAsia" w:ascii="Times New Roman" w:hAnsi="Times New Roman" w:eastAsia="仿宋_GB2312" w:cs="宋体"/>
          <w:b/>
          <w:bCs/>
          <w:color w:val="auto"/>
          <w:kern w:val="0"/>
          <w:sz w:val="32"/>
          <w:szCs w:val="27"/>
          <w:highlight w:val="none"/>
          <w:lang w:val="en-US" w:eastAsia="zh-CN" w:bidi="ar"/>
        </w:rPr>
        <w:t>2.</w:t>
      </w:r>
      <w:r>
        <w:rPr>
          <w:rFonts w:hint="eastAsia" w:cs="宋体"/>
          <w:b/>
          <w:bCs/>
          <w:color w:val="auto"/>
          <w:kern w:val="0"/>
          <w:sz w:val="32"/>
          <w:szCs w:val="27"/>
          <w:highlight w:val="none"/>
          <w:lang w:val="en-US" w:eastAsia="zh-CN" w:bidi="ar"/>
        </w:rPr>
        <w:t>深化</w:t>
      </w:r>
      <w:r>
        <w:rPr>
          <w:rFonts w:hint="default" w:ascii="Times New Roman" w:hAnsi="Times New Roman" w:eastAsia="仿宋_GB2312" w:cs="宋体"/>
          <w:b/>
          <w:bCs/>
          <w:color w:val="auto"/>
          <w:kern w:val="0"/>
          <w:sz w:val="32"/>
          <w:szCs w:val="27"/>
          <w:highlight w:val="none"/>
          <w:lang w:val="en-US" w:eastAsia="zh-CN" w:bidi="ar"/>
        </w:rPr>
        <w:t>婚姻家庭辅导服务</w:t>
      </w:r>
    </w:p>
    <w:p w14:paraId="63457441">
      <w:pPr>
        <w:rPr>
          <w:rFonts w:hint="default"/>
          <w:color w:val="auto"/>
          <w:highlight w:val="none"/>
          <w:lang w:val="en-US" w:eastAsia="zh-CN"/>
        </w:rPr>
      </w:pPr>
      <w:r>
        <w:rPr>
          <w:rFonts w:hint="eastAsia" w:ascii="Times New Roman" w:eastAsia="仿宋_GB2312"/>
          <w:b w:val="0"/>
          <w:bCs w:val="0"/>
          <w:color w:val="auto"/>
          <w:highlight w:val="none"/>
          <w:lang w:val="en-US" w:eastAsia="zh-CN"/>
        </w:rPr>
        <w:t>通过政府购买服务</w:t>
      </w:r>
      <w:r>
        <w:rPr>
          <w:rFonts w:hint="eastAsia"/>
          <w:b w:val="0"/>
          <w:bCs w:val="0"/>
          <w:color w:val="auto"/>
          <w:highlight w:val="none"/>
          <w:lang w:val="en-US" w:eastAsia="zh-CN"/>
        </w:rPr>
        <w:t>，</w:t>
      </w:r>
      <w:r>
        <w:rPr>
          <w:rFonts w:hint="eastAsia" w:ascii="Times New Roman" w:eastAsia="仿宋_GB2312"/>
          <w:b w:val="0"/>
          <w:bCs w:val="0"/>
          <w:color w:val="auto"/>
          <w:highlight w:val="none"/>
          <w:lang w:val="en-US" w:eastAsia="zh-CN"/>
        </w:rPr>
        <w:t>组建专业婚姻家庭辅导团队，依托婚姻家庭辅导室</w:t>
      </w:r>
      <w:r>
        <w:rPr>
          <w:rFonts w:hint="eastAsia"/>
          <w:b w:val="0"/>
          <w:bCs w:val="0"/>
          <w:color w:val="auto"/>
          <w:highlight w:val="none"/>
          <w:lang w:val="en-US" w:eastAsia="zh-CN"/>
        </w:rPr>
        <w:t>，</w:t>
      </w:r>
      <w:r>
        <w:rPr>
          <w:rFonts w:hint="eastAsia" w:ascii="Times New Roman" w:eastAsia="仿宋_GB2312"/>
          <w:b w:val="0"/>
          <w:bCs w:val="0"/>
          <w:color w:val="auto"/>
          <w:highlight w:val="none"/>
          <w:lang w:val="en-US" w:eastAsia="zh-CN"/>
        </w:rPr>
        <w:t>常态化开展婚前指导、婚姻关系调适、离婚辅导及离婚冷静期个案跟踪服务。探索“社区+社会组织+专业机构力量”婚姻辅导新模式，打造集婚前教育、新婚辅导、心理疏导、家庭矛盾调适、婚姻家庭文化教育等于一体的婚姻家庭服务体系。探索婚姻家庭辅导向基层或线上延伸，每年组织一批婚前教育专题活动及婚姻家庭文化普及活动。</w:t>
      </w:r>
    </w:p>
    <w:p w14:paraId="05D7F569">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r>
        <w:rPr>
          <w:rFonts w:hint="eastAsia" w:ascii="Times New Roman" w:hAnsi="Times New Roman" w:eastAsia="仿宋_GB2312" w:cs="宋体"/>
          <w:b/>
          <w:bCs/>
          <w:color w:val="auto"/>
          <w:kern w:val="0"/>
          <w:sz w:val="32"/>
          <w:szCs w:val="27"/>
          <w:highlight w:val="none"/>
          <w:lang w:val="en-US" w:eastAsia="zh-CN" w:bidi="ar"/>
        </w:rPr>
        <w:t>3.持续</w:t>
      </w:r>
      <w:r>
        <w:rPr>
          <w:rFonts w:hint="default" w:ascii="Times New Roman" w:hAnsi="Times New Roman" w:eastAsia="仿宋_GB2312" w:cs="宋体"/>
          <w:b/>
          <w:bCs/>
          <w:color w:val="auto"/>
          <w:kern w:val="0"/>
          <w:sz w:val="32"/>
          <w:szCs w:val="27"/>
          <w:highlight w:val="none"/>
          <w:lang w:val="en-US" w:eastAsia="zh-CN" w:bidi="ar"/>
        </w:rPr>
        <w:t>推进</w:t>
      </w:r>
      <w:r>
        <w:rPr>
          <w:rFonts w:hint="eastAsia" w:ascii="Times New Roman" w:hAnsi="Times New Roman" w:eastAsia="仿宋_GB2312" w:cs="宋体"/>
          <w:b/>
          <w:bCs/>
          <w:color w:val="auto"/>
          <w:kern w:val="0"/>
          <w:sz w:val="32"/>
          <w:szCs w:val="27"/>
          <w:highlight w:val="none"/>
          <w:lang w:val="en-US" w:eastAsia="zh-CN" w:bidi="ar"/>
        </w:rPr>
        <w:t>文明</w:t>
      </w:r>
      <w:r>
        <w:rPr>
          <w:rFonts w:hint="default" w:ascii="Times New Roman" w:hAnsi="Times New Roman" w:eastAsia="仿宋_GB2312" w:cs="宋体"/>
          <w:b/>
          <w:bCs/>
          <w:color w:val="auto"/>
          <w:kern w:val="0"/>
          <w:sz w:val="32"/>
          <w:szCs w:val="27"/>
          <w:highlight w:val="none"/>
          <w:lang w:val="en-US" w:eastAsia="zh-CN" w:bidi="ar"/>
        </w:rPr>
        <w:t>婚俗</w:t>
      </w:r>
      <w:bookmarkEnd w:id="96"/>
      <w:r>
        <w:rPr>
          <w:rFonts w:hint="eastAsia" w:ascii="Times New Roman" w:hAnsi="Times New Roman" w:eastAsia="仿宋_GB2312" w:cs="宋体"/>
          <w:b/>
          <w:bCs/>
          <w:color w:val="auto"/>
          <w:kern w:val="0"/>
          <w:sz w:val="32"/>
          <w:szCs w:val="27"/>
          <w:highlight w:val="none"/>
          <w:lang w:val="en-US" w:eastAsia="zh-CN" w:bidi="ar"/>
        </w:rPr>
        <w:t>改革</w:t>
      </w:r>
    </w:p>
    <w:p w14:paraId="45C57AFA">
      <w:pPr>
        <w:rPr>
          <w:rFonts w:hint="eastAsia" w:ascii="Times New Roman" w:eastAsia="仿宋_GB2312"/>
          <w:b w:val="0"/>
          <w:bCs w:val="0"/>
          <w:color w:val="auto"/>
          <w:highlight w:val="none"/>
          <w:lang w:val="en-US" w:eastAsia="zh-CN"/>
        </w:rPr>
      </w:pPr>
      <w:r>
        <w:rPr>
          <w:rFonts w:hint="eastAsia" w:ascii="Times New Roman" w:eastAsia="仿宋_GB2312"/>
          <w:b w:val="0"/>
          <w:bCs w:val="0"/>
          <w:color w:val="auto"/>
          <w:highlight w:val="none"/>
          <w:lang w:val="en-US" w:eastAsia="zh-CN"/>
        </w:rPr>
        <w:t>构建线上线下联动宣传矩阵，推动婚俗新风进社区、进乡村、进军营。用好新媒体传播文明婚俗理念，打造婚俗宣传</w:t>
      </w:r>
      <w:r>
        <w:rPr>
          <w:rFonts w:hint="eastAsia"/>
          <w:b w:val="0"/>
          <w:bCs w:val="0"/>
          <w:color w:val="auto"/>
          <w:highlight w:val="none"/>
          <w:lang w:val="en-US" w:eastAsia="zh-CN"/>
        </w:rPr>
        <w:t>文化</w:t>
      </w:r>
      <w:r>
        <w:rPr>
          <w:rFonts w:hint="eastAsia" w:ascii="Times New Roman" w:eastAsia="仿宋_GB2312"/>
          <w:b w:val="0"/>
          <w:bCs w:val="0"/>
          <w:color w:val="auto"/>
          <w:highlight w:val="none"/>
          <w:lang w:val="en-US" w:eastAsia="zh-CN"/>
        </w:rPr>
        <w:t>阵地，</w:t>
      </w:r>
      <w:r>
        <w:rPr>
          <w:rFonts w:hint="eastAsia"/>
          <w:b w:val="0"/>
          <w:bCs w:val="0"/>
          <w:color w:val="auto"/>
          <w:highlight w:val="none"/>
          <w:lang w:val="en-US" w:eastAsia="zh-CN"/>
        </w:rPr>
        <w:t>依托</w:t>
      </w:r>
      <w:r>
        <w:rPr>
          <w:rFonts w:hint="eastAsia" w:ascii="Times New Roman" w:eastAsia="仿宋_GB2312"/>
          <w:b w:val="0"/>
          <w:bCs w:val="0"/>
          <w:color w:val="auto"/>
          <w:highlight w:val="none"/>
          <w:lang w:val="en-US" w:eastAsia="zh-CN"/>
        </w:rPr>
        <w:t>“2·14”“5·20”“七夕节”等节日开展婚俗改革主题活动，</w:t>
      </w:r>
      <w:r>
        <w:rPr>
          <w:rFonts w:hint="eastAsia"/>
          <w:b w:val="0"/>
          <w:bCs w:val="0"/>
          <w:color w:val="auto"/>
          <w:highlight w:val="none"/>
          <w:lang w:val="en-US" w:eastAsia="zh-CN"/>
        </w:rPr>
        <w:t>规范提供结婚</w:t>
      </w:r>
      <w:r>
        <w:rPr>
          <w:rFonts w:hint="eastAsia" w:ascii="Times New Roman" w:eastAsia="仿宋_GB2312"/>
          <w:b w:val="0"/>
          <w:bCs w:val="0"/>
          <w:color w:val="auto"/>
          <w:highlight w:val="none"/>
          <w:lang w:val="en-US" w:eastAsia="zh-CN"/>
        </w:rPr>
        <w:t>颁证、集体婚礼、婚俗体验等</w:t>
      </w:r>
      <w:r>
        <w:rPr>
          <w:rFonts w:hint="eastAsia"/>
          <w:b w:val="0"/>
          <w:bCs w:val="0"/>
          <w:color w:val="auto"/>
          <w:highlight w:val="none"/>
          <w:lang w:val="en-US" w:eastAsia="zh-CN"/>
        </w:rPr>
        <w:t>特色服务，</w:t>
      </w:r>
      <w:r>
        <w:rPr>
          <w:rFonts w:hint="eastAsia" w:ascii="Times New Roman" w:eastAsia="仿宋_GB2312"/>
          <w:b w:val="0"/>
          <w:bCs w:val="0"/>
          <w:color w:val="auto"/>
          <w:highlight w:val="none"/>
          <w:lang w:val="en-US" w:eastAsia="zh-CN"/>
        </w:rPr>
        <w:t>引导更多群众婚事新办简办</w:t>
      </w:r>
      <w:r>
        <w:rPr>
          <w:rFonts w:hint="eastAsia" w:ascii="Times New Roman"/>
          <w:b w:val="0"/>
          <w:bCs w:val="0"/>
          <w:color w:val="auto"/>
          <w:highlight w:val="none"/>
          <w:lang w:val="en-US" w:eastAsia="zh-CN"/>
        </w:rPr>
        <w:t>。</w:t>
      </w:r>
    </w:p>
    <w:p w14:paraId="23B42779">
      <w:pPr>
        <w:widowControl w:val="0"/>
        <w:bidi w:val="0"/>
        <w:spacing w:before="0" w:beforeAutospacing="0" w:after="0" w:afterAutospacing="0" w:line="560" w:lineRule="exact"/>
        <w:ind w:firstLine="640" w:firstLineChars="200"/>
        <w:jc w:val="left"/>
        <w:outlineLvl w:val="1"/>
        <w:rPr>
          <w:rFonts w:hint="eastAsia" w:ascii="宋体" w:hAnsi="宋体" w:eastAsia="楷体_GB2312" w:cs="宋体"/>
          <w:bCs/>
          <w:color w:val="auto"/>
          <w:kern w:val="0"/>
          <w:sz w:val="32"/>
          <w:szCs w:val="36"/>
          <w:highlight w:val="none"/>
          <w:lang w:val="en-US" w:eastAsia="zh-CN" w:bidi="ar"/>
        </w:rPr>
      </w:pPr>
      <w:bookmarkStart w:id="97" w:name="_Toc18378"/>
      <w:bookmarkStart w:id="98" w:name="_Toc11974"/>
      <w:bookmarkStart w:id="99" w:name="_Toc25116"/>
      <w:bookmarkStart w:id="100" w:name="_Toc15754"/>
      <w:bookmarkStart w:id="101" w:name="_Toc11436"/>
      <w:bookmarkStart w:id="102" w:name="_Toc3399"/>
      <w:r>
        <w:rPr>
          <w:rFonts w:hint="eastAsia" w:ascii="宋体" w:hAnsi="宋体" w:eastAsia="楷体_GB2312" w:cs="宋体"/>
          <w:bCs/>
          <w:color w:val="auto"/>
          <w:kern w:val="0"/>
          <w:sz w:val="32"/>
          <w:szCs w:val="36"/>
          <w:highlight w:val="none"/>
          <w:lang w:val="en-US" w:eastAsia="zh-CN" w:bidi="ar"/>
        </w:rPr>
        <w:t>（二）推进便民惠民殡葬改革</w:t>
      </w:r>
      <w:bookmarkEnd w:id="97"/>
      <w:bookmarkEnd w:id="98"/>
      <w:bookmarkEnd w:id="99"/>
      <w:bookmarkEnd w:id="100"/>
      <w:bookmarkEnd w:id="101"/>
      <w:bookmarkEnd w:id="102"/>
    </w:p>
    <w:p w14:paraId="4F31D126">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bookmarkStart w:id="103" w:name="_Toc14368"/>
      <w:r>
        <w:rPr>
          <w:rFonts w:hint="eastAsia" w:ascii="Times New Roman" w:hAnsi="Times New Roman" w:eastAsia="仿宋_GB2312" w:cs="宋体"/>
          <w:b/>
          <w:bCs/>
          <w:color w:val="auto"/>
          <w:kern w:val="0"/>
          <w:sz w:val="32"/>
          <w:szCs w:val="27"/>
          <w:highlight w:val="none"/>
          <w:lang w:val="en-US" w:eastAsia="zh-CN" w:bidi="ar"/>
        </w:rPr>
        <w:t>1.</w:t>
      </w:r>
      <w:bookmarkEnd w:id="103"/>
      <w:r>
        <w:rPr>
          <w:rFonts w:hint="eastAsia" w:ascii="Times New Roman" w:hAnsi="Times New Roman" w:eastAsia="仿宋_GB2312" w:cs="宋体"/>
          <w:b/>
          <w:bCs/>
          <w:color w:val="auto"/>
          <w:kern w:val="0"/>
          <w:sz w:val="32"/>
          <w:szCs w:val="27"/>
          <w:highlight w:val="none"/>
          <w:lang w:val="en-US" w:eastAsia="zh-CN" w:bidi="ar"/>
        </w:rPr>
        <w:t>加强基本殡葬服务保障</w:t>
      </w:r>
    </w:p>
    <w:p w14:paraId="0F220C1D">
      <w:pPr>
        <w:pStyle w:val="10"/>
        <w:rPr>
          <w:rFonts w:hint="eastAsia"/>
          <w:b w:val="0"/>
          <w:bCs w:val="0"/>
          <w:color w:val="auto"/>
          <w:highlight w:val="none"/>
          <w:lang w:val="en-US" w:eastAsia="zh-CN"/>
        </w:rPr>
      </w:pPr>
      <w:r>
        <w:rPr>
          <w:rFonts w:hint="eastAsia"/>
          <w:b w:val="0"/>
          <w:bCs w:val="0"/>
          <w:color w:val="auto"/>
          <w:highlight w:val="none"/>
          <w:lang w:val="en-US" w:eastAsia="zh-CN"/>
        </w:rPr>
        <w:t>严格执行《北京市殡葬管理条例》，落实基本殡葬服务免费政策，确保殡葬基本公共服务覆盖率动态保持100%。推进公益性公墓及骨灰廊、亭、墙建设，实现公益性安葬服务覆盖率100%。推进殡葬信息化平台区级对接，推广“96101”殡葬服务专线，稳步推进殡仪馆迁建及设施设备升级改造。</w:t>
      </w:r>
    </w:p>
    <w:p w14:paraId="25054A83">
      <w:pPr>
        <w:widowControl w:val="0"/>
        <w:bidi w:val="0"/>
        <w:spacing w:before="0" w:beforeAutospacing="0" w:after="0" w:afterAutospacing="0" w:line="560" w:lineRule="exact"/>
        <w:ind w:firstLine="643" w:firstLineChars="200"/>
        <w:jc w:val="left"/>
        <w:outlineLvl w:val="2"/>
        <w:rPr>
          <w:rFonts w:hint="eastAsia" w:ascii="Times New Roman" w:hAnsi="Times New Roman" w:eastAsia="仿宋_GB2312" w:cs="宋体"/>
          <w:b/>
          <w:bCs/>
          <w:color w:val="auto"/>
          <w:kern w:val="0"/>
          <w:sz w:val="32"/>
          <w:szCs w:val="27"/>
          <w:highlight w:val="none"/>
          <w:lang w:val="en-US" w:eastAsia="zh-CN" w:bidi="ar"/>
        </w:rPr>
      </w:pPr>
      <w:bookmarkStart w:id="104" w:name="_Toc15879"/>
      <w:r>
        <w:rPr>
          <w:rFonts w:hint="eastAsia" w:ascii="Times New Roman" w:hAnsi="Times New Roman" w:eastAsia="仿宋_GB2312" w:cs="宋体"/>
          <w:b/>
          <w:bCs/>
          <w:color w:val="auto"/>
          <w:kern w:val="0"/>
          <w:sz w:val="32"/>
          <w:szCs w:val="27"/>
          <w:highlight w:val="none"/>
          <w:lang w:val="en-US" w:eastAsia="zh-CN" w:bidi="ar"/>
        </w:rPr>
        <w:t>2.大力推行节地生态安葬</w:t>
      </w:r>
      <w:bookmarkEnd w:id="104"/>
    </w:p>
    <w:p w14:paraId="762EA665">
      <w:pPr>
        <w:rPr>
          <w:rFonts w:hint="default"/>
          <w:b w:val="0"/>
          <w:bCs w:val="0"/>
          <w:color w:val="auto"/>
          <w:highlight w:val="none"/>
          <w:lang w:val="en-US" w:eastAsia="zh-CN"/>
        </w:rPr>
      </w:pPr>
      <w:r>
        <w:rPr>
          <w:rFonts w:hint="eastAsia"/>
          <w:b w:val="0"/>
          <w:bCs w:val="0"/>
          <w:color w:val="auto"/>
          <w:highlight w:val="none"/>
          <w:lang w:val="en-US" w:eastAsia="zh-CN"/>
        </w:rPr>
        <w:t>弘扬</w:t>
      </w:r>
      <w:r>
        <w:rPr>
          <w:rFonts w:hint="eastAsia" w:ascii="Times New Roman" w:eastAsia="仿宋_GB2312"/>
          <w:b w:val="0"/>
          <w:bCs w:val="0"/>
          <w:color w:val="auto"/>
          <w:highlight w:val="none"/>
          <w:lang w:val="en-US" w:eastAsia="zh-CN"/>
        </w:rPr>
        <w:t>“厚养礼葬”理念，加大节地生态安葬设施建设与投入，加强生态安葬墓区建设，</w:t>
      </w:r>
      <w:r>
        <w:rPr>
          <w:rFonts w:hint="eastAsia"/>
          <w:b w:val="0"/>
          <w:bCs w:val="0"/>
          <w:color w:val="auto"/>
          <w:highlight w:val="none"/>
          <w:lang w:val="en-US" w:eastAsia="zh-CN"/>
        </w:rPr>
        <w:t>力争</w:t>
      </w:r>
      <w:r>
        <w:rPr>
          <w:rFonts w:hint="eastAsia" w:ascii="Times New Roman" w:eastAsia="仿宋_GB2312"/>
          <w:b w:val="0"/>
          <w:bCs w:val="0"/>
          <w:color w:val="auto"/>
          <w:highlight w:val="none"/>
          <w:lang w:val="en-US" w:eastAsia="zh-CN"/>
        </w:rPr>
        <w:t>节地生态安葬率达到</w:t>
      </w:r>
      <w:r>
        <w:rPr>
          <w:rFonts w:hint="eastAsia"/>
          <w:b w:val="0"/>
          <w:bCs w:val="0"/>
          <w:color w:val="auto"/>
          <w:highlight w:val="none"/>
          <w:lang w:val="en-US" w:eastAsia="zh-CN"/>
        </w:rPr>
        <w:t>95</w:t>
      </w:r>
      <w:r>
        <w:rPr>
          <w:rFonts w:hint="eastAsia" w:ascii="Times New Roman" w:eastAsia="仿宋_GB2312"/>
          <w:b w:val="0"/>
          <w:bCs w:val="0"/>
          <w:color w:val="auto"/>
          <w:highlight w:val="none"/>
          <w:lang w:val="en-US" w:eastAsia="zh-CN"/>
        </w:rPr>
        <w:t>%。积极推广骨灰海葬、自然葬等生态安葬方式，优化遗体接运、火化、骨灰寄存</w:t>
      </w:r>
      <w:r>
        <w:rPr>
          <w:rFonts w:hint="eastAsia"/>
          <w:b w:val="0"/>
          <w:bCs w:val="0"/>
          <w:color w:val="auto"/>
          <w:highlight w:val="none"/>
          <w:lang w:val="en-US" w:eastAsia="zh-CN"/>
        </w:rPr>
        <w:t>等</w:t>
      </w:r>
      <w:r>
        <w:rPr>
          <w:rFonts w:hint="eastAsia" w:ascii="Times New Roman" w:eastAsia="仿宋_GB2312"/>
          <w:b w:val="0"/>
          <w:bCs w:val="0"/>
          <w:color w:val="auto"/>
          <w:highlight w:val="none"/>
          <w:lang w:val="en-US" w:eastAsia="zh-CN"/>
        </w:rPr>
        <w:t>全流程配套服务，健全生态安葬补贴政策。倡导网络祭扫、鲜花祭扫等低碳祭扫模式，培育绿色文明殡葬新风。</w:t>
      </w:r>
    </w:p>
    <w:p w14:paraId="7C3C1D2E">
      <w:pPr>
        <w:widowControl w:val="0"/>
        <w:spacing w:before="0" w:beforeAutospacing="0" w:after="0" w:afterAutospacing="0" w:line="560" w:lineRule="exact"/>
        <w:ind w:firstLine="643" w:firstLineChars="200"/>
        <w:jc w:val="left"/>
        <w:outlineLvl w:val="2"/>
        <w:rPr>
          <w:rFonts w:hint="eastAsia" w:ascii="Times New Roman" w:hAnsi="Times New Roman" w:eastAsia="仿宋_GB2312" w:cs="宋体"/>
          <w:b/>
          <w:bCs/>
          <w:color w:val="auto"/>
          <w:kern w:val="0"/>
          <w:sz w:val="32"/>
          <w:szCs w:val="27"/>
          <w:highlight w:val="none"/>
          <w:lang w:val="en-US" w:eastAsia="zh-CN" w:bidi="ar"/>
        </w:rPr>
      </w:pPr>
      <w:bookmarkStart w:id="105" w:name="_Toc26158"/>
      <w:r>
        <w:rPr>
          <w:rFonts w:hint="eastAsia" w:ascii="Times New Roman" w:hAnsi="Times New Roman" w:eastAsia="仿宋_GB2312" w:cs="宋体"/>
          <w:b/>
          <w:bCs/>
          <w:color w:val="auto"/>
          <w:kern w:val="0"/>
          <w:sz w:val="32"/>
          <w:szCs w:val="27"/>
          <w:highlight w:val="none"/>
          <w:lang w:val="en-US" w:eastAsia="zh-CN" w:bidi="ar"/>
        </w:rPr>
        <w:t>3.完善殡葬活动综合监管</w:t>
      </w:r>
      <w:bookmarkEnd w:id="105"/>
    </w:p>
    <w:p w14:paraId="643F0C4C">
      <w:pPr>
        <w:rPr>
          <w:rFonts w:hint="default"/>
          <w:color w:val="auto"/>
          <w:highlight w:val="none"/>
          <w:lang w:val="en-US" w:eastAsia="zh-CN"/>
        </w:rPr>
      </w:pPr>
      <w:r>
        <w:rPr>
          <w:rFonts w:hint="eastAsia"/>
          <w:color w:val="auto"/>
          <w:highlight w:val="none"/>
          <w:lang w:val="en-US" w:eastAsia="zh-CN"/>
        </w:rPr>
        <w:t>强化部门联合监管与执法，加强信息共享、线索转办，完善源头严防、过程严管、风险严控的全过程监管措施</w:t>
      </w:r>
      <w:r>
        <w:rPr>
          <w:rFonts w:hint="eastAsia" w:ascii="Times New Roman" w:eastAsia="仿宋_GB2312"/>
          <w:color w:val="auto"/>
          <w:highlight w:val="none"/>
          <w:lang w:val="en-US" w:eastAsia="zh-CN"/>
        </w:rPr>
        <w:t>。常态化开展殡葬设施运营、服务流程巡查监管，引导行业自律。强化殡葬从业人员教育管理，</w:t>
      </w:r>
      <w:r>
        <w:rPr>
          <w:rFonts w:hint="eastAsia"/>
          <w:color w:val="auto"/>
          <w:highlight w:val="none"/>
          <w:lang w:val="en-US" w:eastAsia="zh-CN"/>
        </w:rPr>
        <w:t>深化</w:t>
      </w:r>
      <w:r>
        <w:rPr>
          <w:rFonts w:hint="eastAsia" w:ascii="Times New Roman" w:eastAsia="仿宋_GB2312"/>
          <w:color w:val="auto"/>
          <w:highlight w:val="none"/>
          <w:lang w:val="en-US" w:eastAsia="zh-CN"/>
        </w:rPr>
        <w:t>作风建设。探索建立与政务服务便民热线等监督渠道的信息共享机制，联合相关部门及时处置丧属投诉。</w:t>
      </w:r>
      <w:r>
        <w:rPr>
          <w:rFonts w:hint="eastAsia"/>
          <w:color w:val="auto"/>
          <w:highlight w:val="none"/>
          <w:lang w:val="en-US" w:eastAsia="zh-CN"/>
        </w:rPr>
        <w:t>持续巩固非法墓地整治成效，化解殡葬领域突出问题</w:t>
      </w:r>
      <w:r>
        <w:rPr>
          <w:rFonts w:hint="eastAsia" w:ascii="Times New Roman" w:eastAsia="仿宋_GB2312"/>
          <w:color w:val="auto"/>
          <w:highlight w:val="none"/>
          <w:lang w:val="en-US" w:eastAsia="zh-CN"/>
        </w:rPr>
        <w:t>。</w:t>
      </w:r>
    </w:p>
    <w:p w14:paraId="0B3BB345">
      <w:pPr>
        <w:widowControl w:val="0"/>
        <w:bidi w:val="0"/>
        <w:spacing w:before="0" w:beforeAutospacing="0" w:after="0" w:afterAutospacing="0" w:line="560" w:lineRule="exact"/>
        <w:ind w:firstLine="640" w:firstLineChars="200"/>
        <w:jc w:val="left"/>
        <w:outlineLvl w:val="1"/>
        <w:rPr>
          <w:rFonts w:hint="default" w:ascii="宋体" w:hAnsi="宋体" w:eastAsia="楷体_GB2312" w:cs="宋体"/>
          <w:bCs/>
          <w:color w:val="auto"/>
          <w:kern w:val="0"/>
          <w:sz w:val="32"/>
          <w:szCs w:val="36"/>
          <w:highlight w:val="none"/>
          <w:lang w:val="en-US" w:eastAsia="zh-CN" w:bidi="ar"/>
        </w:rPr>
      </w:pPr>
      <w:bookmarkStart w:id="106" w:name="_Toc19390"/>
      <w:bookmarkStart w:id="107" w:name="_Toc32579"/>
      <w:bookmarkStart w:id="108" w:name="_Toc8033"/>
      <w:bookmarkStart w:id="109" w:name="_Toc30946"/>
      <w:bookmarkStart w:id="110" w:name="_Toc19600"/>
      <w:r>
        <w:rPr>
          <w:rFonts w:hint="eastAsia" w:ascii="宋体" w:hAnsi="宋体" w:eastAsia="楷体_GB2312" w:cs="宋体"/>
          <w:bCs/>
          <w:color w:val="auto"/>
          <w:kern w:val="0"/>
          <w:sz w:val="32"/>
          <w:szCs w:val="36"/>
          <w:highlight w:val="none"/>
          <w:lang w:val="en-US" w:eastAsia="zh-CN" w:bidi="ar"/>
        </w:rPr>
        <w:t>（三）</w:t>
      </w:r>
      <w:bookmarkStart w:id="111" w:name="_Toc99801093"/>
      <w:r>
        <w:rPr>
          <w:rFonts w:hint="eastAsia" w:ascii="宋体" w:hAnsi="宋体" w:eastAsia="楷体_GB2312" w:cs="宋体"/>
          <w:bCs/>
          <w:color w:val="auto"/>
          <w:kern w:val="0"/>
          <w:sz w:val="32"/>
          <w:szCs w:val="36"/>
          <w:highlight w:val="none"/>
          <w:lang w:val="en-US" w:eastAsia="zh-CN" w:bidi="ar"/>
        </w:rPr>
        <w:t>强化见义勇为权益</w:t>
      </w:r>
      <w:bookmarkEnd w:id="111"/>
      <w:r>
        <w:rPr>
          <w:rFonts w:hint="eastAsia" w:ascii="宋体" w:hAnsi="宋体" w:eastAsia="楷体_GB2312" w:cs="宋体"/>
          <w:bCs/>
          <w:color w:val="auto"/>
          <w:kern w:val="0"/>
          <w:sz w:val="32"/>
          <w:szCs w:val="36"/>
          <w:highlight w:val="none"/>
          <w:lang w:val="en-US" w:eastAsia="zh-CN" w:bidi="ar"/>
        </w:rPr>
        <w:t>保障</w:t>
      </w:r>
      <w:bookmarkEnd w:id="106"/>
      <w:bookmarkEnd w:id="107"/>
      <w:bookmarkEnd w:id="108"/>
      <w:bookmarkEnd w:id="109"/>
      <w:bookmarkEnd w:id="110"/>
    </w:p>
    <w:p w14:paraId="1C03595B">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r>
        <w:rPr>
          <w:rFonts w:hint="eastAsia" w:ascii="Times New Roman" w:hAnsi="Times New Roman" w:eastAsia="仿宋_GB2312" w:cs="宋体"/>
          <w:b/>
          <w:bCs/>
          <w:color w:val="auto"/>
          <w:kern w:val="0"/>
          <w:sz w:val="32"/>
          <w:szCs w:val="27"/>
          <w:highlight w:val="none"/>
          <w:lang w:val="en-US" w:eastAsia="zh-CN" w:bidi="ar"/>
        </w:rPr>
        <w:t>1.完善法规政策及工作机制</w:t>
      </w:r>
    </w:p>
    <w:p w14:paraId="53A5B17E">
      <w:pPr>
        <w:bidi w:val="0"/>
        <w:rPr>
          <w:rFonts w:hint="eastAsia" w:ascii="Times New Roman" w:eastAsia="仿宋_GB2312"/>
          <w:color w:val="auto"/>
          <w:highlight w:val="none"/>
          <w:lang w:val="en-US" w:eastAsia="zh-CN"/>
        </w:rPr>
      </w:pPr>
      <w:r>
        <w:rPr>
          <w:rFonts w:hint="default" w:ascii="Times New Roman" w:eastAsia="仿宋_GB2312"/>
          <w:color w:val="auto"/>
          <w:highlight w:val="none"/>
          <w:lang w:val="en-US" w:eastAsia="zh-CN"/>
        </w:rPr>
        <w:t>落实国家及市级见义勇为法规政策，细化本区配套措施。持续优化见义勇为确认制度，规范</w:t>
      </w:r>
      <w:r>
        <w:rPr>
          <w:rFonts w:hint="eastAsia" w:ascii="Times New Roman" w:eastAsia="仿宋_GB2312"/>
          <w:color w:val="auto"/>
          <w:highlight w:val="none"/>
          <w:lang w:val="en-US" w:eastAsia="zh-CN"/>
        </w:rPr>
        <w:t>“申请—审核受理—调查核实—审议确定—奖励—备案”闭环流程，完善评审委员会评定机制，提升认定效率</w:t>
      </w:r>
      <w:r>
        <w:rPr>
          <w:rFonts w:hint="eastAsia"/>
          <w:color w:val="auto"/>
          <w:highlight w:val="none"/>
          <w:lang w:val="en-US" w:eastAsia="zh-CN"/>
        </w:rPr>
        <w:t>。</w:t>
      </w:r>
      <w:r>
        <w:rPr>
          <w:rFonts w:hint="eastAsia" w:ascii="Times New Roman" w:eastAsia="仿宋_GB2312"/>
          <w:color w:val="auto"/>
          <w:highlight w:val="none"/>
          <w:lang w:val="en-US" w:eastAsia="zh-CN"/>
        </w:rPr>
        <w:t>深化部门协同，健全动态长效关怀机制</w:t>
      </w:r>
      <w:r>
        <w:rPr>
          <w:rFonts w:hint="eastAsia"/>
          <w:color w:val="auto"/>
          <w:highlight w:val="none"/>
          <w:lang w:val="en-US" w:eastAsia="zh-CN"/>
        </w:rPr>
        <w:t>。</w:t>
      </w:r>
      <w:r>
        <w:rPr>
          <w:rFonts w:hint="eastAsia" w:ascii="Times New Roman" w:eastAsia="仿宋_GB2312"/>
          <w:color w:val="auto"/>
          <w:highlight w:val="none"/>
          <w:lang w:val="en-US" w:eastAsia="zh-CN"/>
        </w:rPr>
        <w:t>完善定期探访、关爱服务、社会优待等措施，全方位维护见义勇为人员及家属权益。</w:t>
      </w:r>
    </w:p>
    <w:p w14:paraId="7B9DDB43">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val="0"/>
          <w:bCs w:val="0"/>
          <w:color w:val="auto"/>
          <w:kern w:val="0"/>
          <w:sz w:val="32"/>
          <w:szCs w:val="27"/>
          <w:highlight w:val="none"/>
          <w:lang w:val="en-US" w:eastAsia="zh-CN" w:bidi="ar"/>
        </w:rPr>
      </w:pPr>
      <w:r>
        <w:rPr>
          <w:rFonts w:hint="eastAsia" w:ascii="Times New Roman" w:hAnsi="Times New Roman" w:eastAsia="仿宋_GB2312" w:cs="宋体"/>
          <w:b/>
          <w:bCs/>
          <w:color w:val="auto"/>
          <w:kern w:val="0"/>
          <w:sz w:val="32"/>
          <w:szCs w:val="27"/>
          <w:highlight w:val="none"/>
          <w:lang w:val="en-US" w:eastAsia="zh-CN" w:bidi="ar"/>
        </w:rPr>
        <w:t>2.</w:t>
      </w:r>
      <w:r>
        <w:rPr>
          <w:rFonts w:hint="eastAsia" w:cs="宋体"/>
          <w:b/>
          <w:bCs/>
          <w:color w:val="auto"/>
          <w:kern w:val="0"/>
          <w:sz w:val="32"/>
          <w:szCs w:val="27"/>
          <w:highlight w:val="none"/>
          <w:lang w:val="en-US" w:eastAsia="zh-CN" w:bidi="ar"/>
        </w:rPr>
        <w:t>营造</w:t>
      </w:r>
      <w:r>
        <w:rPr>
          <w:rFonts w:hint="eastAsia" w:ascii="Times New Roman" w:hAnsi="Times New Roman" w:eastAsia="仿宋_GB2312" w:cs="宋体"/>
          <w:b/>
          <w:bCs/>
          <w:color w:val="auto"/>
          <w:kern w:val="0"/>
          <w:sz w:val="32"/>
          <w:szCs w:val="27"/>
          <w:highlight w:val="none"/>
          <w:lang w:val="en-US" w:eastAsia="zh-CN" w:bidi="ar"/>
        </w:rPr>
        <w:t>见义勇为</w:t>
      </w:r>
      <w:r>
        <w:rPr>
          <w:rFonts w:hint="eastAsia" w:cs="宋体"/>
          <w:b/>
          <w:bCs/>
          <w:color w:val="auto"/>
          <w:kern w:val="0"/>
          <w:sz w:val="32"/>
          <w:szCs w:val="27"/>
          <w:highlight w:val="none"/>
          <w:lang w:val="en-US" w:eastAsia="zh-CN" w:bidi="ar"/>
        </w:rPr>
        <w:t>社会新风尚</w:t>
      </w:r>
    </w:p>
    <w:p w14:paraId="654D43FA">
      <w:pPr>
        <w:bidi w:val="0"/>
        <w:rPr>
          <w:rFonts w:hint="eastAsia" w:ascii="Times New Roman" w:eastAsia="仿宋_GB2312"/>
          <w:color w:val="auto"/>
          <w:highlight w:val="none"/>
          <w:lang w:val="en-US" w:eastAsia="zh-CN"/>
        </w:rPr>
      </w:pPr>
      <w:r>
        <w:rPr>
          <w:rFonts w:hint="eastAsia"/>
          <w:color w:val="auto"/>
          <w:highlight w:val="none"/>
          <w:lang w:val="en-US" w:eastAsia="zh-CN"/>
        </w:rPr>
        <w:t>统筹</w:t>
      </w:r>
      <w:r>
        <w:rPr>
          <w:rFonts w:hint="eastAsia" w:ascii="Times New Roman" w:eastAsia="仿宋_GB2312"/>
          <w:color w:val="auto"/>
          <w:highlight w:val="none"/>
          <w:lang w:val="en-US" w:eastAsia="zh-CN"/>
        </w:rPr>
        <w:t>传统媒体</w:t>
      </w:r>
      <w:r>
        <w:rPr>
          <w:rFonts w:hint="eastAsia"/>
          <w:color w:val="auto"/>
          <w:highlight w:val="none"/>
          <w:lang w:val="en-US" w:eastAsia="zh-CN"/>
        </w:rPr>
        <w:t>与</w:t>
      </w:r>
      <w:r>
        <w:rPr>
          <w:rFonts w:hint="eastAsia" w:ascii="Times New Roman" w:eastAsia="仿宋_GB2312"/>
          <w:color w:val="auto"/>
          <w:highlight w:val="none"/>
          <w:lang w:val="en-US" w:eastAsia="zh-CN"/>
        </w:rPr>
        <w:t>新媒体</w:t>
      </w:r>
      <w:r>
        <w:rPr>
          <w:rFonts w:hint="eastAsia"/>
          <w:color w:val="auto"/>
          <w:highlight w:val="none"/>
          <w:lang w:val="en-US" w:eastAsia="zh-CN"/>
        </w:rPr>
        <w:t>资源，搭建集中宣传、主题宣传、日常宣传联动矩阵，普及见义勇为政策法规，倡导科学理性见义勇为，营造尊崇关爱见义勇为人员的社会氛围。深挖见义勇为先进典型，培育崇德向善、见义敢为的文明风尚。</w:t>
      </w:r>
    </w:p>
    <w:p w14:paraId="203DE262">
      <w:pPr>
        <w:widowControl w:val="0"/>
        <w:bidi w:val="0"/>
        <w:spacing w:before="0" w:beforeAutospacing="0" w:after="0" w:afterAutospacing="0" w:line="240" w:lineRule="auto"/>
        <w:ind w:firstLine="640" w:firstLineChars="200"/>
        <w:jc w:val="left"/>
        <w:outlineLvl w:val="0"/>
        <w:rPr>
          <w:rFonts w:hint="default" w:ascii="宋体" w:hAnsi="宋体" w:eastAsia="黑体" w:cs="宋体"/>
          <w:bCs/>
          <w:color w:val="auto"/>
          <w:kern w:val="44"/>
          <w:sz w:val="32"/>
          <w:szCs w:val="48"/>
          <w:highlight w:val="none"/>
          <w:lang w:val="en-US" w:eastAsia="zh-CN" w:bidi="ar"/>
        </w:rPr>
      </w:pPr>
      <w:bookmarkStart w:id="112" w:name="_Toc31869"/>
      <w:bookmarkStart w:id="113" w:name="_Toc9636"/>
      <w:bookmarkStart w:id="114" w:name="_Toc11860"/>
      <w:bookmarkStart w:id="115" w:name="_Toc3299"/>
      <w:bookmarkStart w:id="116" w:name="_Toc10343"/>
      <w:bookmarkStart w:id="117" w:name="_Toc7858"/>
      <w:r>
        <w:rPr>
          <w:rFonts w:hint="eastAsia" w:ascii="宋体" w:hAnsi="宋体" w:eastAsia="黑体" w:cs="宋体"/>
          <w:bCs/>
          <w:color w:val="auto"/>
          <w:kern w:val="44"/>
          <w:sz w:val="32"/>
          <w:szCs w:val="48"/>
          <w:highlight w:val="none"/>
          <w:lang w:val="en-US" w:eastAsia="zh-CN" w:bidi="ar"/>
        </w:rPr>
        <w:t>六</w:t>
      </w:r>
      <w:r>
        <w:rPr>
          <w:rFonts w:hint="default" w:ascii="宋体" w:hAnsi="宋体" w:eastAsia="黑体" w:cs="宋体"/>
          <w:bCs/>
          <w:color w:val="auto"/>
          <w:kern w:val="44"/>
          <w:sz w:val="32"/>
          <w:szCs w:val="48"/>
          <w:highlight w:val="none"/>
          <w:lang w:val="en-US" w:eastAsia="zh-CN" w:bidi="ar"/>
        </w:rPr>
        <w:t>、</w:t>
      </w:r>
      <w:bookmarkEnd w:id="112"/>
      <w:bookmarkEnd w:id="113"/>
      <w:bookmarkEnd w:id="114"/>
      <w:r>
        <w:rPr>
          <w:rFonts w:hint="eastAsia" w:ascii="宋体" w:hAnsi="宋体" w:eastAsia="黑体" w:cs="宋体"/>
          <w:bCs/>
          <w:color w:val="auto"/>
          <w:kern w:val="44"/>
          <w:sz w:val="32"/>
          <w:szCs w:val="48"/>
          <w:highlight w:val="none"/>
          <w:lang w:val="en-US" w:eastAsia="zh-CN" w:bidi="ar"/>
        </w:rPr>
        <w:t>提升精细赋能、协同善治的社会治理效能</w:t>
      </w:r>
      <w:bookmarkEnd w:id="115"/>
      <w:bookmarkEnd w:id="116"/>
      <w:bookmarkEnd w:id="117"/>
    </w:p>
    <w:p w14:paraId="4C263E33">
      <w:pPr>
        <w:widowControl w:val="0"/>
        <w:bidi w:val="0"/>
        <w:spacing w:before="0" w:beforeAutospacing="0" w:after="0" w:afterAutospacing="0" w:line="560" w:lineRule="exact"/>
        <w:ind w:firstLine="640" w:firstLineChars="200"/>
        <w:jc w:val="left"/>
        <w:outlineLvl w:val="1"/>
        <w:rPr>
          <w:rFonts w:hint="default" w:ascii="宋体" w:hAnsi="宋体" w:eastAsia="楷体_GB2312" w:cs="宋体"/>
          <w:bCs/>
          <w:color w:val="auto"/>
          <w:kern w:val="0"/>
          <w:sz w:val="32"/>
          <w:szCs w:val="36"/>
          <w:highlight w:val="none"/>
          <w:lang w:val="en-US" w:eastAsia="zh-CN" w:bidi="ar"/>
        </w:rPr>
      </w:pPr>
      <w:bookmarkStart w:id="118" w:name="_Toc8096"/>
      <w:bookmarkStart w:id="119" w:name="_Toc21252"/>
      <w:bookmarkStart w:id="120" w:name="_Toc653"/>
      <w:bookmarkStart w:id="121" w:name="_Toc20734"/>
      <w:bookmarkStart w:id="122" w:name="_Toc11500"/>
      <w:bookmarkStart w:id="123" w:name="_Toc16365"/>
      <w:r>
        <w:rPr>
          <w:rFonts w:hint="default" w:ascii="宋体" w:hAnsi="宋体" w:eastAsia="楷体_GB2312" w:cs="宋体"/>
          <w:bCs/>
          <w:color w:val="auto"/>
          <w:kern w:val="0"/>
          <w:sz w:val="32"/>
          <w:szCs w:val="36"/>
          <w:highlight w:val="none"/>
          <w:lang w:val="en-US" w:eastAsia="zh-CN" w:bidi="ar"/>
        </w:rPr>
        <w:t>（一）</w:t>
      </w:r>
      <w:r>
        <w:rPr>
          <w:rFonts w:hint="eastAsia" w:ascii="宋体" w:hAnsi="宋体" w:eastAsia="楷体_GB2312" w:cs="宋体"/>
          <w:bCs/>
          <w:color w:val="auto"/>
          <w:kern w:val="0"/>
          <w:sz w:val="32"/>
          <w:szCs w:val="36"/>
          <w:highlight w:val="none"/>
          <w:lang w:val="en-US" w:eastAsia="zh-CN" w:bidi="ar"/>
        </w:rPr>
        <w:t>推动社会组织规范</w:t>
      </w:r>
      <w:bookmarkEnd w:id="118"/>
      <w:bookmarkEnd w:id="119"/>
      <w:bookmarkEnd w:id="120"/>
      <w:r>
        <w:rPr>
          <w:rFonts w:hint="eastAsia" w:ascii="宋体" w:hAnsi="宋体" w:eastAsia="楷体_GB2312" w:cs="宋体"/>
          <w:bCs/>
          <w:color w:val="auto"/>
          <w:kern w:val="0"/>
          <w:sz w:val="32"/>
          <w:szCs w:val="36"/>
          <w:highlight w:val="none"/>
          <w:lang w:val="en-US" w:eastAsia="zh-CN" w:bidi="ar"/>
        </w:rPr>
        <w:t>化、品牌化发展</w:t>
      </w:r>
      <w:bookmarkEnd w:id="121"/>
      <w:bookmarkEnd w:id="122"/>
      <w:bookmarkEnd w:id="123"/>
    </w:p>
    <w:p w14:paraId="68B2766F">
      <w:pPr>
        <w:widowControl w:val="0"/>
        <w:bidi w:val="0"/>
        <w:spacing w:before="0" w:beforeAutospacing="0" w:after="0" w:afterAutospacing="0" w:line="560" w:lineRule="exact"/>
        <w:ind w:firstLine="643" w:firstLineChars="200"/>
        <w:jc w:val="left"/>
        <w:outlineLvl w:val="2"/>
        <w:rPr>
          <w:rFonts w:hint="eastAsia" w:ascii="Times New Roman" w:hAnsi="Times New Roman" w:eastAsia="仿宋_GB2312" w:cs="宋体"/>
          <w:b/>
          <w:bCs/>
          <w:color w:val="auto"/>
          <w:kern w:val="0"/>
          <w:sz w:val="32"/>
          <w:szCs w:val="27"/>
          <w:highlight w:val="none"/>
          <w:lang w:val="en-US" w:eastAsia="zh-CN" w:bidi="ar"/>
        </w:rPr>
      </w:pPr>
      <w:bookmarkStart w:id="124" w:name="_Toc17446"/>
      <w:r>
        <w:rPr>
          <w:rFonts w:hint="eastAsia" w:ascii="Times New Roman" w:hAnsi="Times New Roman" w:eastAsia="仿宋_GB2312" w:cs="宋体"/>
          <w:b/>
          <w:bCs/>
          <w:color w:val="auto"/>
          <w:kern w:val="0"/>
          <w:sz w:val="32"/>
          <w:szCs w:val="27"/>
          <w:highlight w:val="none"/>
          <w:lang w:val="en-US" w:eastAsia="zh-CN" w:bidi="ar"/>
        </w:rPr>
        <w:t>1.健全社会组织管理服务制度</w:t>
      </w:r>
    </w:p>
    <w:p w14:paraId="2A01891B">
      <w:pPr>
        <w:rPr>
          <w:rFonts w:hint="default" w:ascii="Times New Roman" w:hAnsi="Times New Roman"/>
          <w:color w:val="auto"/>
          <w:highlight w:val="none"/>
          <w:lang w:val="en-US" w:eastAsia="zh-CN"/>
        </w:rPr>
      </w:pPr>
      <w:r>
        <w:rPr>
          <w:rFonts w:hint="eastAsia"/>
          <w:color w:val="auto"/>
          <w:highlight w:val="none"/>
          <w:lang w:val="en-US" w:eastAsia="zh-CN"/>
        </w:rPr>
        <w:t>落实</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社会团体登记管理条例》和《民办非企业单位登记管理暂行条例》及市级配套政策</w:t>
      </w:r>
      <w:r>
        <w:rPr>
          <w:rFonts w:hint="eastAsia"/>
          <w:color w:val="auto"/>
          <w:highlight w:val="none"/>
          <w:lang w:val="en-US" w:eastAsia="zh-CN"/>
        </w:rPr>
        <w:t>，引导社会组织完善内部治理和规范化建设，力争到2030年3A级以上社会组织占比达40%。</w:t>
      </w:r>
      <w:r>
        <w:rPr>
          <w:rFonts w:hint="default" w:ascii="Times New Roman" w:hAnsi="Times New Roman"/>
          <w:color w:val="auto"/>
          <w:highlight w:val="none"/>
          <w:lang w:val="en-US" w:eastAsia="zh-CN"/>
        </w:rPr>
        <w:t>重点培育科技、文化及战略性新兴产业、未来产业领域社会组织。强化源头管控，优化登记前置辅导，推动登记服务标准化、规范化、便利化。</w:t>
      </w:r>
    </w:p>
    <w:p w14:paraId="5DBD962B">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r>
        <w:rPr>
          <w:rFonts w:hint="eastAsia" w:ascii="Times New Roman" w:hAnsi="Times New Roman" w:eastAsia="仿宋_GB2312" w:cs="宋体"/>
          <w:b/>
          <w:bCs/>
          <w:color w:val="auto"/>
          <w:kern w:val="0"/>
          <w:sz w:val="32"/>
          <w:szCs w:val="27"/>
          <w:highlight w:val="none"/>
          <w:lang w:val="en-US" w:eastAsia="zh-CN" w:bidi="ar"/>
        </w:rPr>
        <w:t>2.</w:t>
      </w:r>
      <w:bookmarkEnd w:id="124"/>
      <w:r>
        <w:rPr>
          <w:rFonts w:hint="eastAsia" w:ascii="Times New Roman" w:hAnsi="Times New Roman" w:eastAsia="仿宋_GB2312" w:cs="宋体"/>
          <w:b/>
          <w:bCs/>
          <w:color w:val="auto"/>
          <w:kern w:val="0"/>
          <w:sz w:val="32"/>
          <w:szCs w:val="27"/>
          <w:highlight w:val="none"/>
          <w:lang w:val="en-US" w:eastAsia="zh-CN" w:bidi="ar"/>
        </w:rPr>
        <w:t>全面加强社会组织综合监管</w:t>
      </w:r>
    </w:p>
    <w:p w14:paraId="6B899A20">
      <w:pPr>
        <w:rPr>
          <w:rFonts w:hint="eastAsia" w:ascii="Times New Roman" w:hAnsi="Times New Roman" w:eastAsia="仿宋_GB2312"/>
          <w:b w:val="0"/>
          <w:bCs w:val="0"/>
          <w:color w:val="auto"/>
          <w:highlight w:val="none"/>
          <w:lang w:val="en-US" w:eastAsia="zh-CN"/>
        </w:rPr>
      </w:pPr>
      <w:r>
        <w:rPr>
          <w:rFonts w:hint="eastAsia"/>
          <w:color w:val="auto"/>
          <w:highlight w:val="none"/>
          <w:lang w:val="en-US" w:eastAsia="zh-CN"/>
        </w:rPr>
        <w:t>加强社会组织规范化建设，推动社会组织党建与社会组织成立登记、年检年报、等级评估同步。加强相关部门协调配合，健全综合监管机制</w:t>
      </w:r>
      <w:r>
        <w:rPr>
          <w:rFonts w:hint="eastAsia" w:ascii="Times New Roman" w:hAnsi="Times New Roman" w:eastAsia="仿宋_GB2312"/>
          <w:b w:val="0"/>
          <w:bCs w:val="0"/>
          <w:color w:val="auto"/>
          <w:highlight w:val="none"/>
          <w:lang w:val="en-US" w:eastAsia="zh-CN"/>
        </w:rPr>
        <w:t>。</w:t>
      </w:r>
      <w:r>
        <w:rPr>
          <w:rFonts w:hint="eastAsia" w:ascii="Times New Roman" w:hAnsi="Times New Roman" w:eastAsia="仿宋_GB2312"/>
          <w:color w:val="auto"/>
          <w:highlight w:val="none"/>
          <w:lang w:val="en-US" w:eastAsia="zh-CN"/>
        </w:rPr>
        <w:t>严格落实《社会组织信用信息管理办法》及《北京市社会组织信用监管办法（试行）》，</w:t>
      </w:r>
      <w:r>
        <w:rPr>
          <w:rFonts w:hint="eastAsia"/>
          <w:color w:val="auto"/>
          <w:highlight w:val="none"/>
          <w:lang w:val="en-US" w:eastAsia="zh-CN"/>
        </w:rPr>
        <w:t>强化</w:t>
      </w:r>
      <w:r>
        <w:rPr>
          <w:rFonts w:hint="eastAsia" w:ascii="Times New Roman" w:hAnsi="Times New Roman" w:eastAsia="仿宋_GB2312"/>
          <w:color w:val="auto"/>
          <w:highlight w:val="none"/>
          <w:lang w:val="en-US" w:eastAsia="zh-CN"/>
        </w:rPr>
        <w:t>信用信息公开，</w:t>
      </w:r>
      <w:r>
        <w:rPr>
          <w:rFonts w:hint="eastAsia"/>
          <w:color w:val="auto"/>
          <w:highlight w:val="none"/>
          <w:lang w:val="en-US" w:eastAsia="zh-CN"/>
        </w:rPr>
        <w:t>完善</w:t>
      </w:r>
      <w:r>
        <w:rPr>
          <w:rFonts w:hint="eastAsia" w:ascii="Times New Roman" w:hAnsi="Times New Roman" w:eastAsia="仿宋_GB2312"/>
          <w:color w:val="auto"/>
          <w:highlight w:val="none"/>
          <w:lang w:val="en-US" w:eastAsia="zh-CN"/>
        </w:rPr>
        <w:t>失信惩戒和信用修复机制</w:t>
      </w:r>
      <w:r>
        <w:rPr>
          <w:rFonts w:hint="eastAsia"/>
          <w:color w:val="auto"/>
          <w:highlight w:val="none"/>
          <w:lang w:val="en-US" w:eastAsia="zh-CN"/>
        </w:rPr>
        <w:t>。</w:t>
      </w:r>
      <w:bookmarkStart w:id="125" w:name="_Toc23280"/>
      <w:r>
        <w:rPr>
          <w:rFonts w:hint="eastAsia" w:ascii="Times New Roman" w:hAnsi="Times New Roman" w:eastAsia="仿宋_GB2312"/>
          <w:color w:val="auto"/>
          <w:highlight w:val="none"/>
          <w:lang w:val="en-US" w:eastAsia="zh-CN"/>
        </w:rPr>
        <w:t>实施社会组织活动异常名录和严重违法失信名单动态管理。</w:t>
      </w:r>
      <w:r>
        <w:rPr>
          <w:rFonts w:hint="eastAsia" w:ascii="Times New Roman" w:hAnsi="Times New Roman" w:eastAsia="仿宋_GB2312"/>
          <w:b w:val="0"/>
          <w:bCs w:val="0"/>
          <w:color w:val="auto"/>
          <w:highlight w:val="none"/>
          <w:lang w:val="en-US" w:eastAsia="zh-CN"/>
        </w:rPr>
        <w:t>健全联合执法机制，拓宽非法社会组织线索收集渠道，紧盯12345热线、信访突出问题，严查侵占资金、超范围活动等违法违规行为，</w:t>
      </w:r>
      <w:r>
        <w:rPr>
          <w:rFonts w:hint="eastAsia"/>
          <w:b w:val="0"/>
          <w:bCs w:val="0"/>
          <w:color w:val="auto"/>
          <w:highlight w:val="none"/>
          <w:lang w:val="en-US" w:eastAsia="zh-CN"/>
        </w:rPr>
        <w:t>构建“线索收集—执法查处—案例曝光”执法闭环</w:t>
      </w:r>
      <w:r>
        <w:rPr>
          <w:rFonts w:hint="eastAsia" w:ascii="Times New Roman" w:hAnsi="Times New Roman" w:eastAsia="仿宋_GB2312"/>
          <w:b w:val="0"/>
          <w:bCs w:val="0"/>
          <w:color w:val="auto"/>
          <w:highlight w:val="none"/>
          <w:lang w:val="en-US" w:eastAsia="zh-CN"/>
        </w:rPr>
        <w:t>。</w:t>
      </w:r>
    </w:p>
    <w:p w14:paraId="44E13851">
      <w:pPr>
        <w:widowControl w:val="0"/>
        <w:bidi w:val="0"/>
        <w:spacing w:before="0" w:beforeAutospacing="0" w:after="0" w:afterAutospacing="0" w:line="560" w:lineRule="exact"/>
        <w:ind w:firstLine="643" w:firstLineChars="200"/>
        <w:jc w:val="left"/>
        <w:outlineLvl w:val="2"/>
        <w:rPr>
          <w:rFonts w:hint="eastAsia" w:ascii="Times New Roman" w:hAnsi="Times New Roman" w:eastAsia="仿宋_GB2312" w:cs="宋体"/>
          <w:b/>
          <w:bCs/>
          <w:color w:val="auto"/>
          <w:kern w:val="0"/>
          <w:sz w:val="32"/>
          <w:szCs w:val="27"/>
          <w:highlight w:val="none"/>
          <w:lang w:val="en-US" w:eastAsia="zh-CN" w:bidi="ar"/>
        </w:rPr>
      </w:pPr>
      <w:r>
        <w:rPr>
          <w:rFonts w:hint="eastAsia" w:ascii="Times New Roman" w:hAnsi="Times New Roman" w:eastAsia="仿宋_GB2312" w:cs="宋体"/>
          <w:b/>
          <w:bCs/>
          <w:color w:val="auto"/>
          <w:kern w:val="0"/>
          <w:sz w:val="32"/>
          <w:szCs w:val="27"/>
          <w:highlight w:val="none"/>
          <w:lang w:val="en-US" w:eastAsia="zh-CN" w:bidi="ar"/>
        </w:rPr>
        <w:t>3</w:t>
      </w:r>
      <w:r>
        <w:rPr>
          <w:rFonts w:hint="default" w:ascii="Times New Roman" w:hAnsi="Times New Roman" w:eastAsia="仿宋_GB2312" w:cs="宋体"/>
          <w:b/>
          <w:bCs/>
          <w:color w:val="auto"/>
          <w:kern w:val="0"/>
          <w:sz w:val="32"/>
          <w:szCs w:val="27"/>
          <w:highlight w:val="none"/>
          <w:lang w:val="en-US" w:eastAsia="zh-CN" w:bidi="ar"/>
        </w:rPr>
        <w:t>.</w:t>
      </w:r>
      <w:r>
        <w:rPr>
          <w:rFonts w:hint="eastAsia" w:ascii="Times New Roman" w:hAnsi="Times New Roman" w:eastAsia="仿宋_GB2312" w:cs="宋体"/>
          <w:b/>
          <w:bCs/>
          <w:color w:val="auto"/>
          <w:kern w:val="0"/>
          <w:sz w:val="32"/>
          <w:szCs w:val="27"/>
          <w:highlight w:val="none"/>
          <w:lang w:val="en-US" w:eastAsia="zh-CN" w:bidi="ar"/>
        </w:rPr>
        <w:t>探索</w:t>
      </w:r>
      <w:r>
        <w:rPr>
          <w:rFonts w:hint="eastAsia" w:ascii="Times New Roman" w:hAnsi="Times New Roman" w:eastAsia="仿宋_GB2312" w:cs="宋体"/>
          <w:b/>
          <w:bCs/>
          <w:color w:val="auto"/>
          <w:kern w:val="0"/>
          <w:sz w:val="32"/>
          <w:szCs w:val="27"/>
          <w:highlight w:val="none"/>
          <w:lang w:val="en-US" w:eastAsia="zh-CN" w:bidi="ar"/>
        </w:rPr>
        <w:fldChar w:fldCharType="begin"/>
      </w:r>
      <w:r>
        <w:rPr>
          <w:rFonts w:hint="eastAsia" w:ascii="Times New Roman" w:hAnsi="Times New Roman" w:eastAsia="仿宋_GB2312" w:cs="宋体"/>
          <w:b/>
          <w:bCs/>
          <w:color w:val="auto"/>
          <w:kern w:val="0"/>
          <w:sz w:val="32"/>
          <w:szCs w:val="27"/>
          <w:highlight w:val="none"/>
          <w:lang w:val="en-US" w:eastAsia="zh-CN" w:bidi="ar"/>
        </w:rPr>
        <w:instrText xml:space="preserve"> HYPERLINK "http://www.baidu.com/link?url=AqkI5omGpOHps1xNhNLPi_5xdqxWbEUzOaXfmhE9Uiy6FSSi-sfabm30RpMCdeSL_RL4srAFi-u-_8AzPVvgVwlMVGqF015XSdrTRaqfP3krRhySYB_rcWsKlDcZCohu" \t "https://www.baidu.com/_blank" </w:instrText>
      </w:r>
      <w:r>
        <w:rPr>
          <w:rFonts w:hint="eastAsia" w:ascii="Times New Roman" w:hAnsi="Times New Roman" w:eastAsia="仿宋_GB2312" w:cs="宋体"/>
          <w:b/>
          <w:bCs/>
          <w:color w:val="auto"/>
          <w:kern w:val="0"/>
          <w:sz w:val="32"/>
          <w:szCs w:val="27"/>
          <w:highlight w:val="none"/>
          <w:lang w:val="en-US" w:eastAsia="zh-CN" w:bidi="ar"/>
        </w:rPr>
        <w:fldChar w:fldCharType="separate"/>
      </w:r>
      <w:r>
        <w:rPr>
          <w:rFonts w:hint="eastAsia" w:ascii="Times New Roman" w:hAnsi="Times New Roman" w:eastAsia="仿宋_GB2312" w:cs="宋体"/>
          <w:b/>
          <w:bCs/>
          <w:color w:val="auto"/>
          <w:kern w:val="0"/>
          <w:sz w:val="32"/>
          <w:szCs w:val="27"/>
          <w:highlight w:val="none"/>
          <w:lang w:val="en-US" w:eastAsia="zh-CN" w:bidi="ar"/>
        </w:rPr>
        <w:t>完善社会组织退出机制</w:t>
      </w:r>
      <w:bookmarkEnd w:id="125"/>
    </w:p>
    <w:p w14:paraId="2D6AC300">
      <w:pPr>
        <w:rPr>
          <w:rFonts w:hint="eastAsia" w:ascii="Times New Roman" w:hAnsi="Times New Roman" w:eastAsia="仿宋_GB2312"/>
          <w:color w:val="auto"/>
          <w:highlight w:val="none"/>
          <w:lang w:val="en-US" w:eastAsia="zh-CN"/>
        </w:rPr>
      </w:pPr>
      <w:r>
        <w:rPr>
          <w:rFonts w:hint="eastAsia" w:ascii="Times New Roman" w:hAnsi="Times New Roman" w:eastAsia="仿宋_GB2312"/>
          <w:color w:val="auto"/>
          <w:highlight w:val="none"/>
          <w:lang w:val="en-US" w:eastAsia="zh-CN"/>
        </w:rPr>
        <w:fldChar w:fldCharType="end"/>
      </w:r>
      <w:r>
        <w:rPr>
          <w:rFonts w:hint="eastAsia"/>
          <w:color w:val="auto"/>
          <w:highlight w:val="none"/>
          <w:lang w:val="en-US" w:eastAsia="zh-CN"/>
        </w:rPr>
        <w:t>优化</w:t>
      </w:r>
      <w:r>
        <w:rPr>
          <w:rFonts w:hint="eastAsia" w:ascii="Times New Roman" w:hAnsi="Times New Roman" w:eastAsia="仿宋_GB2312"/>
          <w:color w:val="auto"/>
          <w:highlight w:val="none"/>
          <w:lang w:val="en-US" w:eastAsia="zh-CN"/>
        </w:rPr>
        <w:t>社会组织年检工作机制，常态化开展政策宣讲培训，提升年检主动性与合规意识。提供业务辅导、“一对一”咨询指导，加强与业务主管单位协同联动，化解年检堵点。</w:t>
      </w:r>
      <w:r>
        <w:rPr>
          <w:rFonts w:hint="eastAsia"/>
          <w:b w:val="0"/>
          <w:bCs w:val="0"/>
          <w:color w:val="auto"/>
          <w:highlight w:val="none"/>
          <w:lang w:val="en-US" w:eastAsia="zh-CN"/>
        </w:rPr>
        <w:t>综合运用</w:t>
      </w:r>
      <w:r>
        <w:rPr>
          <w:rFonts w:hint="eastAsia" w:ascii="Times New Roman" w:hAnsi="Times New Roman" w:eastAsia="仿宋_GB2312"/>
          <w:b w:val="0"/>
          <w:bCs w:val="0"/>
          <w:color w:val="auto"/>
          <w:highlight w:val="none"/>
          <w:lang w:val="en-US" w:eastAsia="zh-CN"/>
        </w:rPr>
        <w:t>激活、纳入信用体系、行政处罚、引导注销等方式分类处置“僵尸型”社会组织</w:t>
      </w:r>
      <w:r>
        <w:rPr>
          <w:rFonts w:hint="eastAsia" w:ascii="Times New Roman" w:hAnsi="Times New Roman"/>
          <w:b w:val="0"/>
          <w:bCs w:val="0"/>
          <w:color w:val="auto"/>
          <w:highlight w:val="none"/>
          <w:lang w:val="en-US" w:eastAsia="zh-CN"/>
        </w:rPr>
        <w:t>。</w:t>
      </w:r>
      <w:r>
        <w:rPr>
          <w:rFonts w:hint="eastAsia" w:ascii="Times New Roman" w:hAnsi="Times New Roman" w:eastAsia="仿宋_GB2312"/>
          <w:color w:val="auto"/>
          <w:highlight w:val="none"/>
          <w:lang w:val="en-US" w:eastAsia="zh-CN"/>
        </w:rPr>
        <w:t>加大非法社会组织整治力度，对严重违</w:t>
      </w:r>
      <w:r>
        <w:rPr>
          <w:rFonts w:hint="eastAsia"/>
          <w:color w:val="auto"/>
          <w:highlight w:val="none"/>
          <w:lang w:val="en-US" w:eastAsia="zh-CN"/>
        </w:rPr>
        <w:t>法</w:t>
      </w:r>
      <w:r>
        <w:rPr>
          <w:rFonts w:hint="eastAsia" w:ascii="Times New Roman" w:hAnsi="Times New Roman" w:eastAsia="仿宋_GB2312"/>
          <w:color w:val="auto"/>
          <w:highlight w:val="none"/>
          <w:lang w:val="en-US" w:eastAsia="zh-CN"/>
        </w:rPr>
        <w:t>社会组织依法</w:t>
      </w:r>
      <w:r>
        <w:rPr>
          <w:rFonts w:hint="eastAsia"/>
          <w:color w:val="auto"/>
          <w:highlight w:val="none"/>
          <w:lang w:val="en-US" w:eastAsia="zh-CN"/>
        </w:rPr>
        <w:t>撤</w:t>
      </w:r>
      <w:r>
        <w:rPr>
          <w:rFonts w:hint="eastAsia" w:ascii="Times New Roman" w:hAnsi="Times New Roman" w:eastAsia="仿宋_GB2312"/>
          <w:color w:val="auto"/>
          <w:highlight w:val="none"/>
          <w:lang w:val="en-US" w:eastAsia="zh-CN"/>
        </w:rPr>
        <w:t>销登记。坚决取缔未经登记擅自开展活动的非法社会组织。</w:t>
      </w:r>
    </w:p>
    <w:p w14:paraId="6E620C54">
      <w:pPr>
        <w:widowControl w:val="0"/>
        <w:bidi w:val="0"/>
        <w:spacing w:before="0" w:beforeAutospacing="0" w:after="0" w:afterAutospacing="0" w:line="560" w:lineRule="exact"/>
        <w:ind w:firstLine="643" w:firstLineChars="200"/>
        <w:jc w:val="left"/>
        <w:outlineLvl w:val="2"/>
        <w:rPr>
          <w:rFonts w:hint="eastAsia" w:ascii="Times New Roman" w:hAnsi="Times New Roman" w:eastAsia="仿宋_GB2312" w:cs="宋体"/>
          <w:b/>
          <w:bCs/>
          <w:color w:val="auto"/>
          <w:kern w:val="0"/>
          <w:sz w:val="32"/>
          <w:szCs w:val="27"/>
          <w:highlight w:val="none"/>
          <w:lang w:val="en-US" w:eastAsia="zh-CN" w:bidi="ar"/>
        </w:rPr>
      </w:pPr>
      <w:bookmarkStart w:id="126" w:name="_Toc10218"/>
      <w:r>
        <w:rPr>
          <w:rFonts w:hint="eastAsia" w:cs="宋体"/>
          <w:b/>
          <w:bCs/>
          <w:color w:val="auto"/>
          <w:kern w:val="0"/>
          <w:sz w:val="32"/>
          <w:szCs w:val="27"/>
          <w:highlight w:val="none"/>
          <w:lang w:val="en-US" w:eastAsia="zh-CN" w:bidi="ar"/>
        </w:rPr>
        <w:t>4</w:t>
      </w:r>
      <w:r>
        <w:rPr>
          <w:rFonts w:hint="default" w:ascii="Times New Roman" w:hAnsi="Times New Roman" w:eastAsia="仿宋_GB2312" w:cs="宋体"/>
          <w:b/>
          <w:bCs/>
          <w:color w:val="auto"/>
          <w:kern w:val="0"/>
          <w:sz w:val="32"/>
          <w:szCs w:val="27"/>
          <w:highlight w:val="none"/>
          <w:lang w:val="en-US" w:eastAsia="zh-CN" w:bidi="ar"/>
        </w:rPr>
        <w:t>.</w:t>
      </w:r>
      <w:r>
        <w:rPr>
          <w:rFonts w:hint="eastAsia" w:ascii="Times New Roman" w:hAnsi="Times New Roman" w:eastAsia="仿宋_GB2312" w:cs="宋体"/>
          <w:b/>
          <w:bCs/>
          <w:color w:val="auto"/>
          <w:kern w:val="0"/>
          <w:sz w:val="32"/>
          <w:szCs w:val="27"/>
          <w:highlight w:val="none"/>
          <w:lang w:val="en-US" w:eastAsia="zh-CN" w:bidi="ar"/>
        </w:rPr>
        <w:t>引导社会组织积极发挥作用</w:t>
      </w:r>
      <w:bookmarkEnd w:id="126"/>
    </w:p>
    <w:p w14:paraId="3AB726A6">
      <w:pPr>
        <w:rPr>
          <w:rFonts w:hint="eastAsia"/>
          <w:b w:val="0"/>
          <w:bCs w:val="0"/>
          <w:color w:val="auto"/>
          <w:highlight w:val="none"/>
          <w:lang w:val="en-US" w:eastAsia="zh-CN"/>
        </w:rPr>
      </w:pPr>
      <w:r>
        <w:rPr>
          <w:rFonts w:hint="eastAsia" w:ascii="Times New Roman" w:hAnsi="Times New Roman" w:eastAsia="仿宋_GB2312"/>
          <w:color w:val="auto"/>
          <w:highlight w:val="none"/>
          <w:lang w:val="en-US" w:eastAsia="zh-CN"/>
        </w:rPr>
        <w:t>持续推动回天地区社会组织创新发展示范区建设，</w:t>
      </w:r>
      <w:r>
        <w:rPr>
          <w:rFonts w:hint="eastAsia"/>
          <w:color w:val="auto"/>
          <w:highlight w:val="none"/>
          <w:lang w:val="en-US" w:eastAsia="zh-CN"/>
        </w:rPr>
        <w:t>动员</w:t>
      </w:r>
      <w:r>
        <w:rPr>
          <w:rFonts w:hint="eastAsia" w:ascii="Times New Roman" w:hAnsi="Times New Roman" w:eastAsia="仿宋_GB2312"/>
          <w:color w:val="auto"/>
          <w:highlight w:val="none"/>
          <w:lang w:val="en-US" w:eastAsia="zh-CN"/>
        </w:rPr>
        <w:t>社会组织主动对接京津冀协同发展、东西部协作等重大战略，</w:t>
      </w:r>
      <w:r>
        <w:rPr>
          <w:rFonts w:hint="eastAsia"/>
          <w:color w:val="auto"/>
          <w:highlight w:val="none"/>
          <w:lang w:val="en-US" w:eastAsia="zh-CN"/>
        </w:rPr>
        <w:t>鼓励有条件的社会组织</w:t>
      </w:r>
      <w:r>
        <w:rPr>
          <w:rFonts w:hint="eastAsia" w:ascii="Times New Roman" w:hAnsi="Times New Roman" w:eastAsia="仿宋_GB2312"/>
          <w:color w:val="auto"/>
          <w:highlight w:val="none"/>
          <w:lang w:val="en-US" w:eastAsia="zh-CN"/>
        </w:rPr>
        <w:t>参与科技创新、产业发展</w:t>
      </w:r>
      <w:r>
        <w:rPr>
          <w:rFonts w:hint="eastAsia" w:ascii="Times New Roman" w:hAnsi="Times New Roman"/>
          <w:color w:val="auto"/>
          <w:highlight w:val="none"/>
          <w:lang w:val="en-US" w:eastAsia="zh-CN"/>
        </w:rPr>
        <w:t>等重点任务</w:t>
      </w:r>
      <w:r>
        <w:rPr>
          <w:rFonts w:hint="eastAsia"/>
          <w:color w:val="auto"/>
          <w:highlight w:val="none"/>
          <w:lang w:val="en-US" w:eastAsia="zh-CN"/>
        </w:rPr>
        <w:t>，支持社会组织更好服务基本民生保障、基层社会治理、基本社会服务</w:t>
      </w:r>
      <w:r>
        <w:rPr>
          <w:rFonts w:hint="eastAsia"/>
          <w:b w:val="0"/>
          <w:bCs w:val="0"/>
          <w:color w:val="auto"/>
          <w:highlight w:val="none"/>
          <w:lang w:val="en-US" w:eastAsia="zh-CN"/>
        </w:rPr>
        <w:t>。</w:t>
      </w:r>
    </w:p>
    <w:p w14:paraId="2427D0F1">
      <w:pPr>
        <w:widowControl w:val="0"/>
        <w:bidi w:val="0"/>
        <w:spacing w:before="0" w:beforeAutospacing="0" w:after="0" w:afterAutospacing="0" w:line="560" w:lineRule="exact"/>
        <w:ind w:firstLine="640" w:firstLineChars="200"/>
        <w:jc w:val="left"/>
        <w:outlineLvl w:val="1"/>
        <w:rPr>
          <w:rFonts w:hint="eastAsia" w:ascii="宋体" w:hAnsi="宋体" w:eastAsia="楷体_GB2312" w:cs="宋体"/>
          <w:bCs/>
          <w:color w:val="auto"/>
          <w:kern w:val="0"/>
          <w:sz w:val="32"/>
          <w:szCs w:val="36"/>
          <w:highlight w:val="none"/>
          <w:lang w:val="en-US" w:eastAsia="zh-CN" w:bidi="ar"/>
        </w:rPr>
      </w:pPr>
      <w:bookmarkStart w:id="127" w:name="_Toc24161"/>
      <w:bookmarkStart w:id="128" w:name="_Toc9934"/>
      <w:bookmarkStart w:id="129" w:name="_Toc8806"/>
      <w:bookmarkStart w:id="130" w:name="_Toc10856"/>
      <w:bookmarkStart w:id="131" w:name="_Toc6294"/>
      <w:bookmarkStart w:id="132" w:name="_Toc12642"/>
      <w:bookmarkStart w:id="133" w:name="_Toc10338"/>
      <w:bookmarkStart w:id="134" w:name="_Toc3174"/>
      <w:bookmarkStart w:id="135" w:name="_Toc29841"/>
      <w:r>
        <w:rPr>
          <w:rFonts w:hint="eastAsia" w:ascii="宋体" w:hAnsi="宋体" w:eastAsia="楷体_GB2312" w:cs="宋体"/>
          <w:bCs/>
          <w:color w:val="auto"/>
          <w:kern w:val="0"/>
          <w:sz w:val="32"/>
          <w:szCs w:val="36"/>
          <w:highlight w:val="none"/>
          <w:lang w:val="en-US" w:eastAsia="zh-CN" w:bidi="ar"/>
        </w:rPr>
        <w:t>（二）创新慈善事业发展模式</w:t>
      </w:r>
      <w:bookmarkEnd w:id="127"/>
      <w:bookmarkEnd w:id="128"/>
      <w:bookmarkEnd w:id="129"/>
      <w:bookmarkEnd w:id="130"/>
      <w:bookmarkEnd w:id="131"/>
      <w:bookmarkEnd w:id="132"/>
    </w:p>
    <w:p w14:paraId="14CF1010">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bookmarkStart w:id="136" w:name="_Toc14197"/>
      <w:r>
        <w:rPr>
          <w:rFonts w:hint="eastAsia" w:ascii="Times New Roman" w:hAnsi="Times New Roman" w:eastAsia="仿宋_GB2312" w:cs="宋体"/>
          <w:b/>
          <w:bCs/>
          <w:color w:val="auto"/>
          <w:kern w:val="0"/>
          <w:sz w:val="32"/>
          <w:szCs w:val="27"/>
          <w:highlight w:val="none"/>
          <w:lang w:val="en-US" w:eastAsia="zh-CN" w:bidi="ar"/>
        </w:rPr>
        <w:t>1.</w:t>
      </w:r>
      <w:r>
        <w:rPr>
          <w:rFonts w:hint="eastAsia" w:cs="宋体"/>
          <w:b/>
          <w:bCs/>
          <w:color w:val="auto"/>
          <w:kern w:val="0"/>
          <w:sz w:val="32"/>
          <w:szCs w:val="27"/>
          <w:highlight w:val="none"/>
          <w:lang w:val="en-US" w:eastAsia="zh-CN" w:bidi="ar"/>
        </w:rPr>
        <w:t>优化慈善事业政策制度</w:t>
      </w:r>
    </w:p>
    <w:p w14:paraId="0D269744">
      <w:pPr>
        <w:bidi w:val="0"/>
        <w:rPr>
          <w:rFonts w:hint="eastAsia"/>
          <w:color w:val="auto"/>
          <w:highlight w:val="none"/>
          <w:lang w:val="en-US" w:eastAsia="zh-CN"/>
        </w:rPr>
      </w:pPr>
      <w:r>
        <w:rPr>
          <w:rFonts w:hint="eastAsia" w:ascii="Times New Roman" w:eastAsia="仿宋_GB2312"/>
          <w:color w:val="auto"/>
          <w:highlight w:val="none"/>
          <w:lang w:val="en-US" w:eastAsia="zh-CN"/>
        </w:rPr>
        <w:t>落实《慈善法》及市级慈善事业相关法规</w:t>
      </w:r>
      <w:r>
        <w:rPr>
          <w:rFonts w:hint="eastAsia"/>
          <w:color w:val="auto"/>
          <w:highlight w:val="none"/>
          <w:lang w:val="en-US" w:eastAsia="zh-CN"/>
        </w:rPr>
        <w:t>，</w:t>
      </w:r>
      <w:r>
        <w:rPr>
          <w:rFonts w:hint="eastAsia" w:ascii="Times New Roman" w:eastAsia="仿宋_GB2312"/>
          <w:color w:val="auto"/>
          <w:highlight w:val="none"/>
          <w:lang w:val="en-US" w:eastAsia="zh-CN"/>
        </w:rPr>
        <w:t>促进发挥第三次分配作用。加大慈善组织培育力度，提升</w:t>
      </w:r>
      <w:r>
        <w:rPr>
          <w:rFonts w:hint="eastAsia"/>
          <w:color w:val="auto"/>
          <w:highlight w:val="none"/>
          <w:lang w:val="en-US" w:eastAsia="zh-CN"/>
        </w:rPr>
        <w:t>慈善组织</w:t>
      </w:r>
      <w:r>
        <w:rPr>
          <w:rFonts w:hint="eastAsia" w:ascii="Times New Roman" w:eastAsia="仿宋_GB2312"/>
          <w:color w:val="auto"/>
          <w:highlight w:val="none"/>
          <w:lang w:val="en-US" w:eastAsia="zh-CN"/>
        </w:rPr>
        <w:t>规范化运营与服务供给质量。严格落实《慈善组织信息公开办法》，推动慈善组织履行信息公开义务，督促慈善组织履行信息公开义务，保障社会公众知情权、监督权。</w:t>
      </w:r>
    </w:p>
    <w:p w14:paraId="6263CCC6">
      <w:pPr>
        <w:widowControl w:val="0"/>
        <w:bidi w:val="0"/>
        <w:spacing w:before="0" w:beforeAutospacing="0" w:after="0" w:afterAutospacing="0" w:line="560" w:lineRule="exact"/>
        <w:ind w:firstLine="643" w:firstLineChars="200"/>
        <w:jc w:val="left"/>
        <w:outlineLvl w:val="2"/>
        <w:rPr>
          <w:rFonts w:hint="eastAsia" w:cs="宋体"/>
          <w:b/>
          <w:bCs/>
          <w:color w:val="auto"/>
          <w:kern w:val="0"/>
          <w:sz w:val="32"/>
          <w:szCs w:val="27"/>
          <w:highlight w:val="none"/>
          <w:lang w:val="en-US" w:eastAsia="zh-CN" w:bidi="ar"/>
        </w:rPr>
      </w:pPr>
      <w:r>
        <w:rPr>
          <w:rFonts w:hint="eastAsia" w:ascii="Times New Roman" w:hAnsi="Times New Roman" w:eastAsia="仿宋_GB2312" w:cs="宋体"/>
          <w:b/>
          <w:bCs/>
          <w:color w:val="auto"/>
          <w:kern w:val="0"/>
          <w:sz w:val="32"/>
          <w:szCs w:val="27"/>
          <w:highlight w:val="none"/>
          <w:lang w:val="en-US" w:eastAsia="zh-CN" w:bidi="ar"/>
        </w:rPr>
        <w:t>2.</w:t>
      </w:r>
      <w:r>
        <w:rPr>
          <w:rFonts w:hint="eastAsia" w:cs="宋体"/>
          <w:b/>
          <w:bCs/>
          <w:color w:val="auto"/>
          <w:kern w:val="0"/>
          <w:sz w:val="32"/>
          <w:szCs w:val="27"/>
          <w:highlight w:val="none"/>
          <w:lang w:val="en-US" w:eastAsia="zh-CN" w:bidi="ar"/>
        </w:rPr>
        <w:t>强化慈善服务能力建设</w:t>
      </w:r>
    </w:p>
    <w:p w14:paraId="551E9C42">
      <w:pPr>
        <w:bidi w:val="0"/>
        <w:rPr>
          <w:rFonts w:hint="default"/>
          <w:color w:val="auto"/>
          <w:highlight w:val="none"/>
          <w:lang w:val="en-US" w:eastAsia="zh-CN"/>
        </w:rPr>
      </w:pPr>
      <w:r>
        <w:rPr>
          <w:rFonts w:hint="default"/>
          <w:color w:val="auto"/>
          <w:highlight w:val="none"/>
          <w:lang w:val="en-US" w:eastAsia="zh-CN"/>
        </w:rPr>
        <w:t>发挥慈善协会平台枢纽作用，</w:t>
      </w:r>
      <w:r>
        <w:rPr>
          <w:rFonts w:hint="eastAsia"/>
          <w:color w:val="auto"/>
          <w:highlight w:val="none"/>
          <w:lang w:val="en-US" w:eastAsia="zh-CN"/>
        </w:rPr>
        <w:t>推动慈善工作站建设，</w:t>
      </w:r>
      <w:r>
        <w:rPr>
          <w:rFonts w:hint="default"/>
          <w:color w:val="auto"/>
          <w:highlight w:val="none"/>
          <w:lang w:val="en-US" w:eastAsia="zh-CN"/>
        </w:rPr>
        <w:t>围绕扶贫济困、大病救助、为老服务等领域打造示范慈善项目，</w:t>
      </w:r>
      <w:r>
        <w:rPr>
          <w:rFonts w:hint="eastAsia"/>
          <w:color w:val="auto"/>
          <w:highlight w:val="none"/>
          <w:lang w:val="en-US" w:eastAsia="zh-CN"/>
        </w:rPr>
        <w:t>推动</w:t>
      </w:r>
      <w:r>
        <w:rPr>
          <w:rFonts w:hint="default"/>
          <w:color w:val="auto"/>
          <w:highlight w:val="none"/>
          <w:lang w:val="en-US" w:eastAsia="zh-CN"/>
        </w:rPr>
        <w:t>培育影响力</w:t>
      </w:r>
      <w:r>
        <w:rPr>
          <w:rFonts w:hint="eastAsia"/>
          <w:color w:val="auto"/>
          <w:highlight w:val="none"/>
          <w:lang w:val="en-US" w:eastAsia="zh-CN"/>
        </w:rPr>
        <w:t>强</w:t>
      </w:r>
      <w:r>
        <w:rPr>
          <w:rFonts w:hint="default"/>
          <w:color w:val="auto"/>
          <w:highlight w:val="none"/>
          <w:lang w:val="en-US" w:eastAsia="zh-CN"/>
        </w:rPr>
        <w:t>的品牌慈善组织。</w:t>
      </w:r>
      <w:r>
        <w:rPr>
          <w:rFonts w:hint="eastAsia" w:ascii="Times New Roman" w:eastAsia="仿宋_GB2312"/>
          <w:color w:val="auto"/>
          <w:highlight w:val="none"/>
          <w:lang w:val="en-US" w:eastAsia="zh-CN"/>
        </w:rPr>
        <w:t>深化</w:t>
      </w:r>
      <w:r>
        <w:rPr>
          <w:rFonts w:hint="default"/>
          <w:color w:val="auto"/>
          <w:highlight w:val="none"/>
          <w:lang w:val="en-US" w:eastAsia="zh-CN"/>
        </w:rPr>
        <w:t>“爱心情暖昌平”“及时雨”等特色项目</w:t>
      </w:r>
      <w:r>
        <w:rPr>
          <w:rFonts w:hint="eastAsia"/>
          <w:color w:val="auto"/>
          <w:highlight w:val="none"/>
          <w:lang w:val="en-US" w:eastAsia="zh-CN"/>
        </w:rPr>
        <w:t>，</w:t>
      </w:r>
      <w:r>
        <w:rPr>
          <w:rFonts w:hint="default"/>
          <w:color w:val="auto"/>
          <w:highlight w:val="none"/>
          <w:lang w:val="en-US" w:eastAsia="zh-CN"/>
        </w:rPr>
        <w:t>探索构建</w:t>
      </w:r>
      <w:r>
        <w:rPr>
          <w:rFonts w:hint="eastAsia" w:ascii="Times New Roman" w:eastAsia="仿宋_GB2312"/>
          <w:color w:val="auto"/>
          <w:highlight w:val="none"/>
          <w:lang w:val="en-US" w:eastAsia="zh-CN"/>
        </w:rPr>
        <w:t>“梯度救助+特色项目”联动</w:t>
      </w:r>
      <w:r>
        <w:rPr>
          <w:rFonts w:hint="eastAsia"/>
          <w:color w:val="auto"/>
          <w:highlight w:val="none"/>
          <w:lang w:val="en-US" w:eastAsia="zh-CN"/>
        </w:rPr>
        <w:t>帮扶</w:t>
      </w:r>
      <w:r>
        <w:rPr>
          <w:rFonts w:hint="eastAsia" w:ascii="Times New Roman" w:eastAsia="仿宋_GB2312"/>
          <w:color w:val="auto"/>
          <w:highlight w:val="none"/>
          <w:lang w:val="en-US" w:eastAsia="zh-CN"/>
        </w:rPr>
        <w:t>机制</w:t>
      </w:r>
      <w:r>
        <w:rPr>
          <w:rFonts w:hint="default"/>
          <w:color w:val="auto"/>
          <w:highlight w:val="none"/>
          <w:lang w:val="en-US" w:eastAsia="zh-CN"/>
        </w:rPr>
        <w:t>。做深做实跨区域对口支援、结对帮扶。</w:t>
      </w:r>
      <w:r>
        <w:rPr>
          <w:rFonts w:hint="eastAsia"/>
          <w:color w:val="auto"/>
          <w:highlight w:val="none"/>
          <w:lang w:val="en-US" w:eastAsia="zh-CN"/>
        </w:rPr>
        <w:t>深入</w:t>
      </w:r>
      <w:r>
        <w:rPr>
          <w:rFonts w:hint="default"/>
          <w:color w:val="auto"/>
          <w:highlight w:val="none"/>
          <w:lang w:val="en-US" w:eastAsia="zh-CN"/>
        </w:rPr>
        <w:t>开展“共产党员献爱心”“首善有我”等捐赠活动，</w:t>
      </w:r>
      <w:r>
        <w:rPr>
          <w:rFonts w:hint="eastAsia" w:ascii="Times New Roman" w:eastAsia="仿宋_GB2312"/>
          <w:color w:val="auto"/>
          <w:highlight w:val="none"/>
          <w:lang w:val="en-US" w:eastAsia="zh-CN"/>
        </w:rPr>
        <w:t>开展慈善文化“五进”活动</w:t>
      </w:r>
      <w:r>
        <w:rPr>
          <w:rFonts w:hint="eastAsia"/>
          <w:color w:val="auto"/>
          <w:highlight w:val="none"/>
          <w:lang w:val="en-US" w:eastAsia="zh-CN"/>
        </w:rPr>
        <w:t>，</w:t>
      </w:r>
      <w:r>
        <w:rPr>
          <w:rFonts w:hint="default"/>
          <w:color w:val="auto"/>
          <w:highlight w:val="none"/>
          <w:lang w:val="en-US" w:eastAsia="zh-CN"/>
        </w:rPr>
        <w:t>讲好群众身边慈善故事。</w:t>
      </w:r>
    </w:p>
    <w:p w14:paraId="1C2FFF88">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r>
        <w:rPr>
          <w:rFonts w:hint="eastAsia" w:ascii="Times New Roman" w:hAnsi="Times New Roman" w:eastAsia="仿宋_GB2312" w:cs="宋体"/>
          <w:b/>
          <w:bCs/>
          <w:color w:val="auto"/>
          <w:kern w:val="0"/>
          <w:sz w:val="32"/>
          <w:szCs w:val="27"/>
          <w:highlight w:val="none"/>
          <w:lang w:val="en-US" w:eastAsia="zh-CN" w:bidi="ar"/>
        </w:rPr>
        <w:t>3.</w:t>
      </w:r>
      <w:r>
        <w:rPr>
          <w:rFonts w:hint="eastAsia" w:cs="宋体"/>
          <w:b/>
          <w:bCs/>
          <w:color w:val="auto"/>
          <w:kern w:val="0"/>
          <w:sz w:val="32"/>
          <w:szCs w:val="27"/>
          <w:highlight w:val="none"/>
          <w:lang w:val="en-US" w:eastAsia="zh-CN" w:bidi="ar"/>
        </w:rPr>
        <w:t>构建多元公益慈善格局</w:t>
      </w:r>
    </w:p>
    <w:p w14:paraId="414CB32C">
      <w:pPr>
        <w:bidi w:val="0"/>
        <w:rPr>
          <w:rFonts w:hint="default"/>
          <w:color w:val="auto"/>
          <w:highlight w:val="none"/>
          <w:lang w:val="en-US" w:eastAsia="zh-CN"/>
        </w:rPr>
      </w:pPr>
      <w:r>
        <w:rPr>
          <w:rFonts w:hint="default"/>
          <w:color w:val="auto"/>
          <w:highlight w:val="none"/>
          <w:lang w:val="en-US" w:eastAsia="zh-CN"/>
        </w:rPr>
        <w:t>撬动社会力量参与慈善事业，引导慈善资源下沉基层，</w:t>
      </w:r>
      <w:r>
        <w:rPr>
          <w:rFonts w:hint="eastAsia"/>
          <w:color w:val="auto"/>
          <w:highlight w:val="none"/>
          <w:lang w:val="en-US" w:eastAsia="zh-CN"/>
        </w:rPr>
        <w:t>鼓励</w:t>
      </w:r>
      <w:r>
        <w:rPr>
          <w:rFonts w:hint="default"/>
          <w:color w:val="auto"/>
          <w:highlight w:val="none"/>
          <w:lang w:val="en-US" w:eastAsia="zh-CN"/>
        </w:rPr>
        <w:t>辖区</w:t>
      </w:r>
      <w:r>
        <w:rPr>
          <w:rFonts w:hint="eastAsia"/>
          <w:color w:val="auto"/>
          <w:highlight w:val="none"/>
          <w:lang w:val="en-US" w:eastAsia="zh-CN"/>
        </w:rPr>
        <w:t>企业</w:t>
      </w:r>
      <w:r>
        <w:rPr>
          <w:rFonts w:hint="default"/>
          <w:color w:val="auto"/>
          <w:highlight w:val="none"/>
          <w:lang w:val="en-US" w:eastAsia="zh-CN"/>
        </w:rPr>
        <w:t>主动践行社会责任，积极参与民生帮扶、公益服务等慈善项目。依托“中华慈善日”开展公益宣讲、爱心捐赠、项目对接等特色活动，调动社会组织、爱心企业和群众参与热情。</w:t>
      </w:r>
    </w:p>
    <w:p w14:paraId="10AC1347">
      <w:pPr>
        <w:widowControl w:val="0"/>
        <w:bidi w:val="0"/>
        <w:spacing w:before="0" w:beforeAutospacing="0" w:after="0" w:afterAutospacing="0" w:line="560" w:lineRule="exact"/>
        <w:ind w:firstLine="643" w:firstLineChars="200"/>
        <w:jc w:val="left"/>
        <w:outlineLvl w:val="2"/>
        <w:rPr>
          <w:rFonts w:hint="default" w:ascii="Times New Roman" w:hAnsi="Times New Roman" w:eastAsia="仿宋_GB2312" w:cs="宋体"/>
          <w:b/>
          <w:bCs/>
          <w:color w:val="auto"/>
          <w:kern w:val="0"/>
          <w:sz w:val="32"/>
          <w:szCs w:val="27"/>
          <w:highlight w:val="none"/>
          <w:lang w:val="en-US" w:eastAsia="zh-CN" w:bidi="ar"/>
        </w:rPr>
      </w:pPr>
      <w:r>
        <w:rPr>
          <w:rFonts w:hint="eastAsia" w:cs="宋体"/>
          <w:b/>
          <w:bCs/>
          <w:color w:val="auto"/>
          <w:kern w:val="0"/>
          <w:sz w:val="32"/>
          <w:szCs w:val="27"/>
          <w:highlight w:val="none"/>
          <w:lang w:val="en-US" w:eastAsia="zh-CN" w:bidi="ar"/>
        </w:rPr>
        <w:t>4.</w:t>
      </w:r>
      <w:bookmarkEnd w:id="136"/>
      <w:r>
        <w:rPr>
          <w:rFonts w:hint="eastAsia" w:cs="宋体"/>
          <w:b/>
          <w:bCs/>
          <w:color w:val="auto"/>
          <w:kern w:val="0"/>
          <w:sz w:val="32"/>
          <w:szCs w:val="27"/>
          <w:highlight w:val="none"/>
          <w:lang w:val="en-US" w:eastAsia="zh-CN" w:bidi="ar"/>
        </w:rPr>
        <w:t>加强慈善领域监督管理</w:t>
      </w:r>
    </w:p>
    <w:p w14:paraId="39BC05FA">
      <w:pPr>
        <w:widowControl w:val="0"/>
        <w:spacing w:line="560" w:lineRule="exact"/>
        <w:ind w:left="0" w:firstLine="640" w:firstLineChars="200"/>
        <w:jc w:val="left"/>
        <w:rPr>
          <w:rFonts w:hint="default"/>
          <w:color w:val="auto"/>
          <w:highlight w:val="none"/>
          <w:lang w:val="en-US" w:eastAsia="zh-CN"/>
        </w:rPr>
      </w:pPr>
      <w:r>
        <w:rPr>
          <w:rFonts w:hint="eastAsia" w:ascii="Times New Roman" w:eastAsia="仿宋_GB2312"/>
          <w:b w:val="0"/>
          <w:bCs w:val="0"/>
          <w:color w:val="auto"/>
          <w:highlight w:val="none"/>
          <w:lang w:val="en-US" w:eastAsia="zh-CN"/>
        </w:rPr>
        <w:t>探索建立慈善组织、慈善活动、慈善财产全链条监管机制，聚焦违规募捐、财产挪用等风险问题，开展常态化监督检查，严厉打击违法违规行为</w:t>
      </w:r>
      <w:r>
        <w:rPr>
          <w:rFonts w:hint="eastAsia"/>
          <w:b w:val="0"/>
          <w:bCs w:val="0"/>
          <w:color w:val="auto"/>
          <w:highlight w:val="none"/>
          <w:lang w:val="en-US" w:eastAsia="zh-CN"/>
        </w:rPr>
        <w:t>，</w:t>
      </w:r>
      <w:r>
        <w:rPr>
          <w:rFonts w:hint="eastAsia" w:ascii="Times New Roman" w:eastAsia="仿宋_GB2312"/>
          <w:b w:val="0"/>
          <w:bCs w:val="0"/>
          <w:color w:val="auto"/>
          <w:highlight w:val="none"/>
          <w:lang w:val="en-US" w:eastAsia="zh-CN"/>
        </w:rPr>
        <w:t>深化慈善领域专项治理，规范内部治理，严格落实慈善经费管理要求</w:t>
      </w:r>
      <w:r>
        <w:rPr>
          <w:rFonts w:hint="eastAsia" w:cstheme="minorBidi"/>
          <w:b w:val="0"/>
          <w:bCs w:val="0"/>
          <w:color w:val="auto"/>
          <w:kern w:val="2"/>
          <w:sz w:val="32"/>
          <w:szCs w:val="24"/>
          <w:highlight w:val="none"/>
          <w:lang w:val="en-US" w:eastAsia="zh-CN" w:bidi="ar-SA"/>
        </w:rPr>
        <w:t>。</w:t>
      </w:r>
    </w:p>
    <w:p w14:paraId="7B60FAB6">
      <w:pPr>
        <w:pStyle w:val="2"/>
        <w:bidi w:val="0"/>
        <w:rPr>
          <w:rFonts w:hint="default"/>
          <w:highlight w:val="none"/>
          <w:lang w:val="en-US" w:eastAsia="zh-CN"/>
        </w:rPr>
      </w:pPr>
      <w:bookmarkStart w:id="137" w:name="_Toc1843"/>
      <w:bookmarkStart w:id="138" w:name="_Toc11744"/>
      <w:bookmarkStart w:id="139" w:name="_Toc12324"/>
      <w:r>
        <w:rPr>
          <w:rFonts w:hint="eastAsia"/>
          <w:highlight w:val="none"/>
          <w:lang w:val="en-US" w:eastAsia="zh-CN"/>
        </w:rPr>
        <w:t>七、</w:t>
      </w:r>
      <w:r>
        <w:rPr>
          <w:rFonts w:hint="default"/>
          <w:highlight w:val="none"/>
          <w:lang w:val="en-US" w:eastAsia="zh-CN"/>
        </w:rPr>
        <w:t>保障</w:t>
      </w:r>
      <w:r>
        <w:rPr>
          <w:rFonts w:hint="eastAsia"/>
          <w:highlight w:val="none"/>
          <w:lang w:val="en-US" w:eastAsia="zh-CN"/>
        </w:rPr>
        <w:t>实施</w:t>
      </w:r>
      <w:bookmarkEnd w:id="133"/>
      <w:bookmarkEnd w:id="134"/>
      <w:bookmarkEnd w:id="135"/>
      <w:bookmarkEnd w:id="137"/>
      <w:bookmarkEnd w:id="138"/>
      <w:bookmarkEnd w:id="139"/>
    </w:p>
    <w:p w14:paraId="384D18EA">
      <w:pPr>
        <w:bidi w:val="0"/>
        <w:rPr>
          <w:rFonts w:hint="eastAsia" w:ascii="Times New Roman" w:eastAsia="仿宋_GB2312"/>
          <w:color w:val="auto"/>
          <w:highlight w:val="none"/>
          <w:lang w:val="en-US" w:eastAsia="zh-CN"/>
        </w:rPr>
      </w:pPr>
      <w:r>
        <w:rPr>
          <w:rFonts w:hint="eastAsia" w:ascii="Times New Roman" w:eastAsia="仿宋_GB2312"/>
          <w:color w:val="auto"/>
          <w:highlight w:val="none"/>
          <w:lang w:val="en-US" w:eastAsia="zh-CN"/>
        </w:rPr>
        <w:t>优化组织架构，强化协同合力</w:t>
      </w:r>
      <w:r>
        <w:rPr>
          <w:rFonts w:hint="eastAsia"/>
          <w:color w:val="auto"/>
          <w:highlight w:val="none"/>
          <w:lang w:val="en-US" w:eastAsia="zh-CN"/>
        </w:rPr>
        <w:t>。</w:t>
      </w:r>
      <w:r>
        <w:rPr>
          <w:rFonts w:hint="eastAsia" w:ascii="Times New Roman" w:eastAsia="仿宋_GB2312"/>
          <w:color w:val="auto"/>
          <w:highlight w:val="none"/>
          <w:lang w:val="en-US" w:eastAsia="zh-CN"/>
        </w:rPr>
        <w:t>构建“区级统筹、部门联动、镇街协同”</w:t>
      </w:r>
      <w:r>
        <w:rPr>
          <w:rFonts w:hint="eastAsia"/>
          <w:color w:val="auto"/>
          <w:highlight w:val="none"/>
          <w:lang w:val="en-US" w:eastAsia="zh-CN"/>
        </w:rPr>
        <w:t>的</w:t>
      </w:r>
      <w:r>
        <w:rPr>
          <w:rFonts w:hint="eastAsia" w:ascii="Times New Roman" w:eastAsia="仿宋_GB2312"/>
          <w:color w:val="auto"/>
          <w:highlight w:val="none"/>
          <w:lang w:val="en-US" w:eastAsia="zh-CN"/>
        </w:rPr>
        <w:t>工作体系，衔接市区两级发展规划，明晰权责分工，保障规划有序落地。</w:t>
      </w:r>
    </w:p>
    <w:p w14:paraId="0402C16D">
      <w:pPr>
        <w:bidi w:val="0"/>
        <w:rPr>
          <w:rFonts w:hint="eastAsia" w:ascii="Times New Roman" w:eastAsia="仿宋_GB2312"/>
          <w:color w:val="auto"/>
          <w:highlight w:val="none"/>
          <w:lang w:val="en-US" w:eastAsia="zh-CN"/>
        </w:rPr>
      </w:pPr>
      <w:r>
        <w:rPr>
          <w:rFonts w:hint="eastAsia" w:ascii="Times New Roman" w:eastAsia="仿宋_GB2312"/>
          <w:color w:val="auto"/>
          <w:highlight w:val="none"/>
          <w:lang w:val="en-US" w:eastAsia="zh-CN"/>
        </w:rPr>
        <w:t>强化资金保障，优化资源配置</w:t>
      </w:r>
      <w:r>
        <w:rPr>
          <w:rFonts w:hint="eastAsia"/>
          <w:color w:val="auto"/>
          <w:highlight w:val="none"/>
          <w:lang w:val="en-US" w:eastAsia="zh-CN"/>
        </w:rPr>
        <w:t>。</w:t>
      </w:r>
      <w:r>
        <w:rPr>
          <w:rFonts w:hint="eastAsia" w:ascii="Times New Roman" w:eastAsia="仿宋_GB2312"/>
          <w:color w:val="auto"/>
          <w:highlight w:val="none"/>
          <w:lang w:val="en-US" w:eastAsia="zh-CN"/>
        </w:rPr>
        <w:t>构建“财政主导、多元补充、精准高效”</w:t>
      </w:r>
      <w:r>
        <w:rPr>
          <w:rFonts w:hint="eastAsia"/>
          <w:color w:val="auto"/>
          <w:highlight w:val="none"/>
          <w:lang w:val="en-US" w:eastAsia="zh-CN"/>
        </w:rPr>
        <w:t>的</w:t>
      </w:r>
      <w:r>
        <w:rPr>
          <w:rFonts w:hint="eastAsia" w:ascii="Times New Roman" w:eastAsia="仿宋_GB2312"/>
          <w:color w:val="auto"/>
          <w:highlight w:val="none"/>
          <w:lang w:val="en-US" w:eastAsia="zh-CN"/>
        </w:rPr>
        <w:t>资金保障体系，</w:t>
      </w:r>
      <w:r>
        <w:rPr>
          <w:rFonts w:hint="eastAsia"/>
          <w:color w:val="auto"/>
          <w:highlight w:val="none"/>
          <w:lang w:val="en-US" w:eastAsia="zh-CN"/>
        </w:rPr>
        <w:t>积极</w:t>
      </w:r>
      <w:r>
        <w:rPr>
          <w:rFonts w:hint="eastAsia" w:ascii="Times New Roman" w:eastAsia="仿宋_GB2312"/>
          <w:color w:val="auto"/>
          <w:highlight w:val="none"/>
          <w:lang w:val="en-US" w:eastAsia="zh-CN"/>
        </w:rPr>
        <w:t>对接市级争取专项资金，引导社会资本、慈善资源投入民政事业，</w:t>
      </w:r>
      <w:r>
        <w:rPr>
          <w:rFonts w:hint="eastAsia"/>
          <w:color w:val="auto"/>
          <w:highlight w:val="none"/>
          <w:lang w:val="en-US" w:eastAsia="zh-CN"/>
        </w:rPr>
        <w:t>坚持</w:t>
      </w:r>
      <w:r>
        <w:rPr>
          <w:rFonts w:hint="eastAsia" w:ascii="Times New Roman" w:eastAsia="仿宋_GB2312"/>
          <w:color w:val="auto"/>
          <w:highlight w:val="none"/>
          <w:lang w:val="en-US" w:eastAsia="zh-CN"/>
        </w:rPr>
        <w:t>专款专用。</w:t>
      </w:r>
    </w:p>
    <w:p w14:paraId="1D9F153F">
      <w:pPr>
        <w:bidi w:val="0"/>
        <w:rPr>
          <w:rFonts w:hint="eastAsia" w:ascii="Times New Roman" w:eastAsia="仿宋_GB2312"/>
          <w:color w:val="auto"/>
          <w:highlight w:val="none"/>
          <w:lang w:val="en-US" w:eastAsia="zh-CN"/>
        </w:rPr>
      </w:pPr>
      <w:r>
        <w:rPr>
          <w:rFonts w:hint="eastAsia" w:ascii="Times New Roman" w:eastAsia="仿宋_GB2312"/>
          <w:color w:val="auto"/>
          <w:highlight w:val="none"/>
          <w:lang w:val="en-US" w:eastAsia="zh-CN"/>
        </w:rPr>
        <w:t>夯实人才根基，激发队伍活力</w:t>
      </w:r>
      <w:r>
        <w:rPr>
          <w:rFonts w:hint="eastAsia"/>
          <w:color w:val="auto"/>
          <w:highlight w:val="none"/>
          <w:lang w:val="en-US" w:eastAsia="zh-CN"/>
        </w:rPr>
        <w:t>。</w:t>
      </w:r>
      <w:r>
        <w:rPr>
          <w:rFonts w:hint="eastAsia" w:ascii="Times New Roman" w:eastAsia="仿宋_GB2312"/>
          <w:color w:val="auto"/>
          <w:highlight w:val="none"/>
          <w:lang w:val="en-US" w:eastAsia="zh-CN"/>
        </w:rPr>
        <w:t>完善“引进、培育、激励”一体化人才发展机制，提升民政队伍专业服务能力与综合业务水平，打造一支结构合理、素质过硬的人才梯队。</w:t>
      </w:r>
    </w:p>
    <w:p w14:paraId="2A8F26D2">
      <w:pPr>
        <w:bidi w:val="0"/>
        <w:rPr>
          <w:rFonts w:hint="eastAsia" w:ascii="Times New Roman" w:eastAsia="仿宋_GB2312"/>
          <w:color w:val="auto"/>
          <w:highlight w:val="none"/>
          <w:lang w:val="en-US" w:eastAsia="zh-CN"/>
        </w:rPr>
      </w:pPr>
      <w:r>
        <w:rPr>
          <w:rFonts w:hint="eastAsia" w:ascii="Times New Roman" w:eastAsia="仿宋_GB2312"/>
          <w:color w:val="auto"/>
          <w:highlight w:val="none"/>
          <w:lang w:val="en-US" w:eastAsia="zh-CN"/>
        </w:rPr>
        <w:t>完善机制建设，推动常态长效</w:t>
      </w:r>
      <w:r>
        <w:rPr>
          <w:rFonts w:hint="eastAsia"/>
          <w:color w:val="auto"/>
          <w:highlight w:val="none"/>
          <w:lang w:val="en-US" w:eastAsia="zh-CN"/>
        </w:rPr>
        <w:t>。</w:t>
      </w:r>
      <w:r>
        <w:rPr>
          <w:rFonts w:hint="eastAsia" w:ascii="Times New Roman" w:eastAsia="仿宋_GB2312"/>
          <w:color w:val="auto"/>
          <w:highlight w:val="none"/>
          <w:lang w:val="en-US" w:eastAsia="zh-CN"/>
        </w:rPr>
        <w:t>构建“政策协同、标准引领、动态优化”长效机制，建立规划实施动态监测机制，跟踪重点任务落实，结合群众反馈优化工作举措，推动民政事业长效发展。</w:t>
      </w:r>
    </w:p>
    <w:p w14:paraId="22E3CD77">
      <w:pPr>
        <w:bidi w:val="0"/>
        <w:rPr>
          <w:rFonts w:hint="default" w:ascii="Times New Roman" w:eastAsia="仿宋_GB2312"/>
          <w:color w:val="auto"/>
          <w:highlight w:val="none"/>
          <w:lang w:val="en-US" w:eastAsia="zh-CN"/>
        </w:rPr>
      </w:pPr>
      <w:r>
        <w:rPr>
          <w:rFonts w:hint="eastAsia" w:ascii="Times New Roman" w:eastAsia="仿宋_GB2312"/>
          <w:color w:val="auto"/>
          <w:highlight w:val="none"/>
          <w:lang w:val="en-US" w:eastAsia="zh-CN"/>
        </w:rPr>
        <w:t>统筹发展安全，筑牢安全底线</w:t>
      </w:r>
      <w:r>
        <w:rPr>
          <w:rFonts w:hint="eastAsia"/>
          <w:color w:val="auto"/>
          <w:highlight w:val="none"/>
          <w:lang w:val="en-US" w:eastAsia="zh-CN"/>
        </w:rPr>
        <w:t>。</w:t>
      </w:r>
      <w:r>
        <w:rPr>
          <w:rFonts w:hint="eastAsia" w:ascii="Times New Roman" w:eastAsia="仿宋_GB2312"/>
          <w:color w:val="auto"/>
          <w:highlight w:val="none"/>
          <w:lang w:val="en-US" w:eastAsia="zh-CN"/>
        </w:rPr>
        <w:t>依托安全生产职能科室，构建“全域覆盖、分级负责、精准防控”安全风险防控体系，聚焦养老、</w:t>
      </w:r>
      <w:r>
        <w:rPr>
          <w:rFonts w:hint="eastAsia"/>
          <w:color w:val="auto"/>
          <w:highlight w:val="none"/>
          <w:lang w:val="en-US" w:eastAsia="zh-CN"/>
        </w:rPr>
        <w:t>救助、殡葬</w:t>
      </w:r>
      <w:r>
        <w:rPr>
          <w:rFonts w:hint="eastAsia" w:ascii="Times New Roman" w:eastAsia="仿宋_GB2312"/>
          <w:color w:val="auto"/>
          <w:highlight w:val="none"/>
          <w:lang w:val="en-US" w:eastAsia="zh-CN"/>
        </w:rPr>
        <w:t>等重点场所，紧盯救助资金、慈善捐赠等关键领域，建立“风险排查—台账管理—销号整改—回头看”闭环机制，完善突发事件应急预案，筑牢安全底线。</w:t>
      </w:r>
    </w:p>
    <w:sectPr>
      <w:footerReference r:id="rId7" w:type="default"/>
      <w:footnotePr>
        <w:numFmt w:val="decimalEnclosedCircleChinese"/>
      </w:footnotePr>
      <w:type w:val="continuous"/>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汉仪旗黑-50简">
    <w:altName w:val="方正黑体_GBK"/>
    <w:panose1 w:val="00020600040101010101"/>
    <w:charset w:val="86"/>
    <w:family w:val="auto"/>
    <w:pitch w:val="default"/>
    <w:sig w:usb0="00000000" w:usb1="00000000" w:usb2="00000016"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Noto Sans CJK JP Bold">
    <w:panose1 w:val="020B0800000000000000"/>
    <w:charset w:val="86"/>
    <w:family w:val="auto"/>
    <w:pitch w:val="default"/>
    <w:sig w:usb0="30000003" w:usb1="2BDF3C10" w:usb2="00000016" w:usb3="00000000" w:csb0="602E0107"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A2B50">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2AFDF">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81797">
                          <w:pPr>
                            <w:pStyle w:val="18"/>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BD81797">
                    <w:pPr>
                      <w:pStyle w:val="18"/>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C0E5C">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50E75">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650E75">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ind w:firstLine="640"/>
      </w:pPr>
      <w:r>
        <w:separator/>
      </w:r>
    </w:p>
  </w:footnote>
  <w:footnote w:type="continuationSeparator" w:id="3">
    <w:p>
      <w:pPr>
        <w:spacing w:line="240" w:lineRule="auto"/>
        <w:ind w:firstLine="640"/>
      </w:pPr>
      <w:r>
        <w:continuationSeparator/>
      </w:r>
    </w:p>
  </w:footnote>
  <w:footnote w:id="0">
    <w:p w14:paraId="62320AE6">
      <w:pPr>
        <w:widowControl w:val="0"/>
        <w:snapToGrid w:val="0"/>
        <w:spacing w:line="240" w:lineRule="auto"/>
        <w:ind w:firstLine="0" w:firstLineChars="0"/>
        <w:jc w:val="left"/>
        <w:rPr>
          <w:rFonts w:ascii="Times New Roman" w:hAnsi="Times New Roman" w:eastAsia="仿宋_GB2312" w:cstheme="minorBidi"/>
          <w:kern w:val="2"/>
          <w:sz w:val="20"/>
          <w:szCs w:val="20"/>
          <w:vertAlign w:val="baseline"/>
          <w:lang w:val="en-US" w:eastAsia="zh-CN" w:bidi="ar-SA"/>
        </w:rPr>
      </w:pPr>
      <w:r>
        <w:rPr>
          <w:rStyle w:val="35"/>
          <w:rFonts w:cstheme="minorBidi"/>
          <w:kern w:val="2"/>
          <w:sz w:val="20"/>
          <w:szCs w:val="20"/>
          <w:vertAlign w:val="baseline"/>
          <w:lang w:val="en-US" w:eastAsia="zh-CN" w:bidi="ar-SA"/>
        </w:rPr>
        <w:footnoteRef/>
      </w:r>
      <w:r>
        <w:rPr>
          <w:rFonts w:hint="eastAsia" w:ascii="Times New Roman" w:hAnsi="Times New Roman" w:eastAsia="仿宋_GB2312" w:cstheme="minorBidi"/>
          <w:kern w:val="2"/>
          <w:sz w:val="20"/>
          <w:szCs w:val="20"/>
          <w:vertAlign w:val="baseline"/>
          <w:lang w:val="en-US" w:eastAsia="zh-CN" w:bidi="ar-SA"/>
        </w:rPr>
        <w:t>三级养老服务网络：以区级养老服务指导中心为统筹，</w:t>
      </w:r>
      <w:r>
        <w:rPr>
          <w:rFonts w:hint="eastAsia" w:cstheme="minorBidi"/>
          <w:kern w:val="2"/>
          <w:sz w:val="20"/>
          <w:szCs w:val="20"/>
          <w:vertAlign w:val="baseline"/>
          <w:lang w:val="en-US" w:eastAsia="zh-CN" w:bidi="ar-SA"/>
        </w:rPr>
        <w:t>以</w:t>
      </w:r>
      <w:r>
        <w:rPr>
          <w:rFonts w:hint="eastAsia" w:ascii="Times New Roman" w:hAnsi="Times New Roman" w:eastAsia="仿宋_GB2312" w:cstheme="minorBidi"/>
          <w:kern w:val="2"/>
          <w:sz w:val="20"/>
          <w:szCs w:val="20"/>
          <w:highlight w:val="none"/>
          <w:vertAlign w:val="baseline"/>
          <w:lang w:val="en-US" w:eastAsia="zh-CN" w:bidi="ar-SA"/>
        </w:rPr>
        <w:t>街道(镇)</w:t>
      </w:r>
      <w:r>
        <w:rPr>
          <w:rFonts w:hint="eastAsia" w:ascii="Times New Roman" w:hAnsi="Times New Roman" w:eastAsia="仿宋_GB2312" w:cstheme="minorBidi"/>
          <w:kern w:val="2"/>
          <w:sz w:val="20"/>
          <w:szCs w:val="20"/>
          <w:vertAlign w:val="baseline"/>
          <w:lang w:val="en-US" w:eastAsia="zh-CN" w:bidi="ar-SA"/>
        </w:rPr>
        <w:t>区域养老服务中心为综合枢纽，以社区养老驿站为延伸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numFmt w:val="decimalEnclosedCircleChinese"/>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ED3062"/>
    <w:rsid w:val="0009075B"/>
    <w:rsid w:val="002B7630"/>
    <w:rsid w:val="003357D8"/>
    <w:rsid w:val="00766051"/>
    <w:rsid w:val="007B3014"/>
    <w:rsid w:val="00A3470B"/>
    <w:rsid w:val="00B04161"/>
    <w:rsid w:val="00B13320"/>
    <w:rsid w:val="00EE2501"/>
    <w:rsid w:val="00F5446F"/>
    <w:rsid w:val="010320C1"/>
    <w:rsid w:val="011A30DE"/>
    <w:rsid w:val="011B0B5F"/>
    <w:rsid w:val="011F2AD1"/>
    <w:rsid w:val="012F5F9F"/>
    <w:rsid w:val="014E3B00"/>
    <w:rsid w:val="0163401E"/>
    <w:rsid w:val="017817AA"/>
    <w:rsid w:val="01883901"/>
    <w:rsid w:val="01B44181"/>
    <w:rsid w:val="01BC3F76"/>
    <w:rsid w:val="01C96D88"/>
    <w:rsid w:val="01D713A8"/>
    <w:rsid w:val="0207652F"/>
    <w:rsid w:val="020F4ADB"/>
    <w:rsid w:val="026B71DF"/>
    <w:rsid w:val="027A1446"/>
    <w:rsid w:val="02840131"/>
    <w:rsid w:val="02866067"/>
    <w:rsid w:val="029312AC"/>
    <w:rsid w:val="02A222D0"/>
    <w:rsid w:val="02B276F4"/>
    <w:rsid w:val="02B30209"/>
    <w:rsid w:val="02C11478"/>
    <w:rsid w:val="02DB6D23"/>
    <w:rsid w:val="02FC3273"/>
    <w:rsid w:val="02FF3E37"/>
    <w:rsid w:val="032F04F6"/>
    <w:rsid w:val="03525F75"/>
    <w:rsid w:val="03CE12ED"/>
    <w:rsid w:val="03DD60A5"/>
    <w:rsid w:val="03DE4E42"/>
    <w:rsid w:val="03E77A76"/>
    <w:rsid w:val="03F35D89"/>
    <w:rsid w:val="03F746CC"/>
    <w:rsid w:val="04115814"/>
    <w:rsid w:val="041736D9"/>
    <w:rsid w:val="04253FDA"/>
    <w:rsid w:val="04363AE8"/>
    <w:rsid w:val="04387860"/>
    <w:rsid w:val="0441019D"/>
    <w:rsid w:val="04511EA2"/>
    <w:rsid w:val="04592CDF"/>
    <w:rsid w:val="047C49E9"/>
    <w:rsid w:val="04D14F85"/>
    <w:rsid w:val="04E27E73"/>
    <w:rsid w:val="04FC5647"/>
    <w:rsid w:val="051F37AB"/>
    <w:rsid w:val="052857AC"/>
    <w:rsid w:val="056B590D"/>
    <w:rsid w:val="05796E8A"/>
    <w:rsid w:val="059454B6"/>
    <w:rsid w:val="05990DBD"/>
    <w:rsid w:val="05D7750A"/>
    <w:rsid w:val="060A2B37"/>
    <w:rsid w:val="060C68AF"/>
    <w:rsid w:val="061A4636"/>
    <w:rsid w:val="06324807"/>
    <w:rsid w:val="066A7A79"/>
    <w:rsid w:val="068A4E7E"/>
    <w:rsid w:val="06B72362"/>
    <w:rsid w:val="06B86A37"/>
    <w:rsid w:val="06C7228F"/>
    <w:rsid w:val="06C97AB1"/>
    <w:rsid w:val="06D00631"/>
    <w:rsid w:val="06D33BFB"/>
    <w:rsid w:val="06E073B1"/>
    <w:rsid w:val="06E15302"/>
    <w:rsid w:val="06EB3051"/>
    <w:rsid w:val="07232DA1"/>
    <w:rsid w:val="072D0D3C"/>
    <w:rsid w:val="07310441"/>
    <w:rsid w:val="07385325"/>
    <w:rsid w:val="073A1202"/>
    <w:rsid w:val="07433CF3"/>
    <w:rsid w:val="07542D4A"/>
    <w:rsid w:val="077978E7"/>
    <w:rsid w:val="078066A0"/>
    <w:rsid w:val="07A07BF6"/>
    <w:rsid w:val="07B3641B"/>
    <w:rsid w:val="07CE5949"/>
    <w:rsid w:val="07D828E9"/>
    <w:rsid w:val="07FD7DEB"/>
    <w:rsid w:val="080854B9"/>
    <w:rsid w:val="08130D4D"/>
    <w:rsid w:val="082877A8"/>
    <w:rsid w:val="08337AC1"/>
    <w:rsid w:val="083A0C0C"/>
    <w:rsid w:val="08593D9B"/>
    <w:rsid w:val="085B3B1D"/>
    <w:rsid w:val="0864080F"/>
    <w:rsid w:val="08662D55"/>
    <w:rsid w:val="086A3DB9"/>
    <w:rsid w:val="08E07410"/>
    <w:rsid w:val="08F73532"/>
    <w:rsid w:val="08FD674C"/>
    <w:rsid w:val="0911242E"/>
    <w:rsid w:val="09273A00"/>
    <w:rsid w:val="09416DB0"/>
    <w:rsid w:val="095345DD"/>
    <w:rsid w:val="095D32ED"/>
    <w:rsid w:val="09A819DA"/>
    <w:rsid w:val="09CE5FB9"/>
    <w:rsid w:val="09E73369"/>
    <w:rsid w:val="09E952D7"/>
    <w:rsid w:val="09FE2A25"/>
    <w:rsid w:val="0A1F7B28"/>
    <w:rsid w:val="0A2E652D"/>
    <w:rsid w:val="0A3A0B19"/>
    <w:rsid w:val="0A3B4070"/>
    <w:rsid w:val="0A414E33"/>
    <w:rsid w:val="0A4A20B5"/>
    <w:rsid w:val="0A5D7FCE"/>
    <w:rsid w:val="0A693642"/>
    <w:rsid w:val="0AA25A34"/>
    <w:rsid w:val="0AA6351B"/>
    <w:rsid w:val="0AB53BE9"/>
    <w:rsid w:val="0AB714C9"/>
    <w:rsid w:val="0ACE4A7B"/>
    <w:rsid w:val="0AEA4BAD"/>
    <w:rsid w:val="0AF16550"/>
    <w:rsid w:val="0AF7560D"/>
    <w:rsid w:val="0B3A70AA"/>
    <w:rsid w:val="0B4E43A3"/>
    <w:rsid w:val="0B84374C"/>
    <w:rsid w:val="0B9A34AC"/>
    <w:rsid w:val="0BA52810"/>
    <w:rsid w:val="0BE1258C"/>
    <w:rsid w:val="0C036FC1"/>
    <w:rsid w:val="0C165556"/>
    <w:rsid w:val="0C2D20E8"/>
    <w:rsid w:val="0C4729B0"/>
    <w:rsid w:val="0C652229"/>
    <w:rsid w:val="0C725932"/>
    <w:rsid w:val="0C7933B2"/>
    <w:rsid w:val="0C8D69A8"/>
    <w:rsid w:val="0C9C373F"/>
    <w:rsid w:val="0CAC4D2E"/>
    <w:rsid w:val="0CD86600"/>
    <w:rsid w:val="0CEB5CA0"/>
    <w:rsid w:val="0D1349C7"/>
    <w:rsid w:val="0D1B387B"/>
    <w:rsid w:val="0D23109A"/>
    <w:rsid w:val="0D377107"/>
    <w:rsid w:val="0D4326C7"/>
    <w:rsid w:val="0D5C3BEE"/>
    <w:rsid w:val="0D793E0F"/>
    <w:rsid w:val="0D915A22"/>
    <w:rsid w:val="0D9A3F37"/>
    <w:rsid w:val="0D9C32E2"/>
    <w:rsid w:val="0D9D5643"/>
    <w:rsid w:val="0DC7755F"/>
    <w:rsid w:val="0DCE3FD4"/>
    <w:rsid w:val="0DEA1F18"/>
    <w:rsid w:val="0E0D417A"/>
    <w:rsid w:val="0E153132"/>
    <w:rsid w:val="0E2548B8"/>
    <w:rsid w:val="0E652AC5"/>
    <w:rsid w:val="0E726782"/>
    <w:rsid w:val="0E855930"/>
    <w:rsid w:val="0E9E1C0B"/>
    <w:rsid w:val="0EAC779C"/>
    <w:rsid w:val="0F00642C"/>
    <w:rsid w:val="0F66007A"/>
    <w:rsid w:val="0F790C96"/>
    <w:rsid w:val="0FA67D74"/>
    <w:rsid w:val="0FE663C2"/>
    <w:rsid w:val="0FEA282E"/>
    <w:rsid w:val="1052118C"/>
    <w:rsid w:val="105E41AB"/>
    <w:rsid w:val="10611EED"/>
    <w:rsid w:val="106C7AC6"/>
    <w:rsid w:val="10A139F3"/>
    <w:rsid w:val="10C55FD8"/>
    <w:rsid w:val="10D50F32"/>
    <w:rsid w:val="10D85D0E"/>
    <w:rsid w:val="10E24EFD"/>
    <w:rsid w:val="10F460D5"/>
    <w:rsid w:val="10FE773C"/>
    <w:rsid w:val="1122342A"/>
    <w:rsid w:val="112554B2"/>
    <w:rsid w:val="114D1514"/>
    <w:rsid w:val="11627CCB"/>
    <w:rsid w:val="116A4DD1"/>
    <w:rsid w:val="11754FFF"/>
    <w:rsid w:val="1179175B"/>
    <w:rsid w:val="117D68B3"/>
    <w:rsid w:val="1182036D"/>
    <w:rsid w:val="1192633A"/>
    <w:rsid w:val="11A27F49"/>
    <w:rsid w:val="11AC43D6"/>
    <w:rsid w:val="11BA18B5"/>
    <w:rsid w:val="11D241CD"/>
    <w:rsid w:val="12A624A2"/>
    <w:rsid w:val="12B2789E"/>
    <w:rsid w:val="12D469A6"/>
    <w:rsid w:val="12F42BA4"/>
    <w:rsid w:val="130231D7"/>
    <w:rsid w:val="13281702"/>
    <w:rsid w:val="13401BA6"/>
    <w:rsid w:val="13525EE0"/>
    <w:rsid w:val="13640BDF"/>
    <w:rsid w:val="137150F1"/>
    <w:rsid w:val="1376180B"/>
    <w:rsid w:val="13850C60"/>
    <w:rsid w:val="13893C35"/>
    <w:rsid w:val="13912AE9"/>
    <w:rsid w:val="13A9398F"/>
    <w:rsid w:val="13D80718"/>
    <w:rsid w:val="1454746E"/>
    <w:rsid w:val="1470712F"/>
    <w:rsid w:val="14895FD1"/>
    <w:rsid w:val="14973A93"/>
    <w:rsid w:val="149C7998"/>
    <w:rsid w:val="14A010E4"/>
    <w:rsid w:val="14C10070"/>
    <w:rsid w:val="14C115E4"/>
    <w:rsid w:val="14E528C6"/>
    <w:rsid w:val="14F212EA"/>
    <w:rsid w:val="1505281E"/>
    <w:rsid w:val="1517025F"/>
    <w:rsid w:val="153B1DB4"/>
    <w:rsid w:val="155344FA"/>
    <w:rsid w:val="15AA5A95"/>
    <w:rsid w:val="15B17473"/>
    <w:rsid w:val="15C54CCC"/>
    <w:rsid w:val="15D31C5D"/>
    <w:rsid w:val="15D65C71"/>
    <w:rsid w:val="160857E7"/>
    <w:rsid w:val="161672D6"/>
    <w:rsid w:val="162C13CA"/>
    <w:rsid w:val="162D6677"/>
    <w:rsid w:val="162F3446"/>
    <w:rsid w:val="1638724C"/>
    <w:rsid w:val="166242C9"/>
    <w:rsid w:val="16953AA6"/>
    <w:rsid w:val="16A84973"/>
    <w:rsid w:val="16B027EA"/>
    <w:rsid w:val="16EF2001"/>
    <w:rsid w:val="171350D5"/>
    <w:rsid w:val="174221D3"/>
    <w:rsid w:val="17884E38"/>
    <w:rsid w:val="17B6485A"/>
    <w:rsid w:val="17C76AD9"/>
    <w:rsid w:val="17CE7E68"/>
    <w:rsid w:val="17E20185"/>
    <w:rsid w:val="17F3464E"/>
    <w:rsid w:val="181B6E25"/>
    <w:rsid w:val="18270379"/>
    <w:rsid w:val="18564C06"/>
    <w:rsid w:val="18573EF8"/>
    <w:rsid w:val="18585984"/>
    <w:rsid w:val="18661972"/>
    <w:rsid w:val="18A70D35"/>
    <w:rsid w:val="18C80AE4"/>
    <w:rsid w:val="18E13ADF"/>
    <w:rsid w:val="19334934"/>
    <w:rsid w:val="19597C05"/>
    <w:rsid w:val="197D5C59"/>
    <w:rsid w:val="19852BD7"/>
    <w:rsid w:val="19A33691"/>
    <w:rsid w:val="19AC7D2F"/>
    <w:rsid w:val="19B10F32"/>
    <w:rsid w:val="19B92FC1"/>
    <w:rsid w:val="19C81283"/>
    <w:rsid w:val="19D61256"/>
    <w:rsid w:val="19EC4E7D"/>
    <w:rsid w:val="19FB0CBC"/>
    <w:rsid w:val="1A141D7E"/>
    <w:rsid w:val="1A20230E"/>
    <w:rsid w:val="1A617F23"/>
    <w:rsid w:val="1A71293E"/>
    <w:rsid w:val="1A7806FD"/>
    <w:rsid w:val="1A815666"/>
    <w:rsid w:val="1ABA00F2"/>
    <w:rsid w:val="1AC07876"/>
    <w:rsid w:val="1AC60B16"/>
    <w:rsid w:val="1AE62DB6"/>
    <w:rsid w:val="1AED4E74"/>
    <w:rsid w:val="1AF31F87"/>
    <w:rsid w:val="1AF3341F"/>
    <w:rsid w:val="1AF859F5"/>
    <w:rsid w:val="1B1C538E"/>
    <w:rsid w:val="1B4117A2"/>
    <w:rsid w:val="1B6D5BEA"/>
    <w:rsid w:val="1B724B3F"/>
    <w:rsid w:val="1B762CE2"/>
    <w:rsid w:val="1B8D22B0"/>
    <w:rsid w:val="1BA25A52"/>
    <w:rsid w:val="1BAC0688"/>
    <w:rsid w:val="1BAF4D97"/>
    <w:rsid w:val="1BCC25D0"/>
    <w:rsid w:val="1BDD5A46"/>
    <w:rsid w:val="1C0E1A40"/>
    <w:rsid w:val="1C125F8D"/>
    <w:rsid w:val="1C257D52"/>
    <w:rsid w:val="1C3128C6"/>
    <w:rsid w:val="1C6037B0"/>
    <w:rsid w:val="1C991BA9"/>
    <w:rsid w:val="1CA16527"/>
    <w:rsid w:val="1CAD289B"/>
    <w:rsid w:val="1CAD6B0C"/>
    <w:rsid w:val="1CC2752D"/>
    <w:rsid w:val="1CD04B9A"/>
    <w:rsid w:val="1D15491A"/>
    <w:rsid w:val="1D554743"/>
    <w:rsid w:val="1D763389"/>
    <w:rsid w:val="1D9B472C"/>
    <w:rsid w:val="1DDC550B"/>
    <w:rsid w:val="1DFD3AB5"/>
    <w:rsid w:val="1E20045D"/>
    <w:rsid w:val="1E2B7FE6"/>
    <w:rsid w:val="1E2C61C4"/>
    <w:rsid w:val="1E321DD2"/>
    <w:rsid w:val="1E37603B"/>
    <w:rsid w:val="1E5828D6"/>
    <w:rsid w:val="1E6C2189"/>
    <w:rsid w:val="1EAF32E5"/>
    <w:rsid w:val="1EB81AFB"/>
    <w:rsid w:val="1ED842AE"/>
    <w:rsid w:val="1EEE7042"/>
    <w:rsid w:val="1F016D75"/>
    <w:rsid w:val="1F0712E1"/>
    <w:rsid w:val="1F08220B"/>
    <w:rsid w:val="1F0959E4"/>
    <w:rsid w:val="1F2951AD"/>
    <w:rsid w:val="1F44705C"/>
    <w:rsid w:val="1F5C5F78"/>
    <w:rsid w:val="1F925DB0"/>
    <w:rsid w:val="1FAD4807"/>
    <w:rsid w:val="1FB234F9"/>
    <w:rsid w:val="1FBA3C01"/>
    <w:rsid w:val="1FD3171B"/>
    <w:rsid w:val="201A2FBE"/>
    <w:rsid w:val="202D6C1E"/>
    <w:rsid w:val="203B3C11"/>
    <w:rsid w:val="204055B7"/>
    <w:rsid w:val="204705FF"/>
    <w:rsid w:val="204C2272"/>
    <w:rsid w:val="20556EB8"/>
    <w:rsid w:val="205A36A0"/>
    <w:rsid w:val="206F285C"/>
    <w:rsid w:val="208F6E7F"/>
    <w:rsid w:val="20AD77F8"/>
    <w:rsid w:val="20C95670"/>
    <w:rsid w:val="20D42C6A"/>
    <w:rsid w:val="20D44015"/>
    <w:rsid w:val="20D90E52"/>
    <w:rsid w:val="210F75BA"/>
    <w:rsid w:val="216600E2"/>
    <w:rsid w:val="21742B65"/>
    <w:rsid w:val="21A93308"/>
    <w:rsid w:val="21C115EE"/>
    <w:rsid w:val="21EE002C"/>
    <w:rsid w:val="21F074D5"/>
    <w:rsid w:val="21F11FCA"/>
    <w:rsid w:val="220D691D"/>
    <w:rsid w:val="22295D67"/>
    <w:rsid w:val="222A43AC"/>
    <w:rsid w:val="222A4C1A"/>
    <w:rsid w:val="223F5F86"/>
    <w:rsid w:val="225E5B62"/>
    <w:rsid w:val="22617DCB"/>
    <w:rsid w:val="226F2247"/>
    <w:rsid w:val="22800132"/>
    <w:rsid w:val="229606CD"/>
    <w:rsid w:val="229E0561"/>
    <w:rsid w:val="22D14E7A"/>
    <w:rsid w:val="22D16BBB"/>
    <w:rsid w:val="22EC5858"/>
    <w:rsid w:val="232A274B"/>
    <w:rsid w:val="232D40D2"/>
    <w:rsid w:val="23344B38"/>
    <w:rsid w:val="234B02BF"/>
    <w:rsid w:val="23512C1F"/>
    <w:rsid w:val="23562D09"/>
    <w:rsid w:val="23924E3A"/>
    <w:rsid w:val="239D3C5C"/>
    <w:rsid w:val="23A34C34"/>
    <w:rsid w:val="23C9643F"/>
    <w:rsid w:val="23F956E8"/>
    <w:rsid w:val="24054C30"/>
    <w:rsid w:val="24056CC6"/>
    <w:rsid w:val="24282309"/>
    <w:rsid w:val="24544EED"/>
    <w:rsid w:val="24581D87"/>
    <w:rsid w:val="245A0030"/>
    <w:rsid w:val="246F6157"/>
    <w:rsid w:val="247343DA"/>
    <w:rsid w:val="24EC08E0"/>
    <w:rsid w:val="25100EA8"/>
    <w:rsid w:val="251519E5"/>
    <w:rsid w:val="25297B8F"/>
    <w:rsid w:val="25510AD5"/>
    <w:rsid w:val="256547E1"/>
    <w:rsid w:val="257568E2"/>
    <w:rsid w:val="258532B0"/>
    <w:rsid w:val="25B62234"/>
    <w:rsid w:val="25C1100C"/>
    <w:rsid w:val="25CB1DA1"/>
    <w:rsid w:val="25DC0129"/>
    <w:rsid w:val="26031A5F"/>
    <w:rsid w:val="26283757"/>
    <w:rsid w:val="26422D08"/>
    <w:rsid w:val="264C09D2"/>
    <w:rsid w:val="26644C50"/>
    <w:rsid w:val="267F6D23"/>
    <w:rsid w:val="269E38A7"/>
    <w:rsid w:val="26B61111"/>
    <w:rsid w:val="26CD39E1"/>
    <w:rsid w:val="26D43EED"/>
    <w:rsid w:val="272726CA"/>
    <w:rsid w:val="273B2E8F"/>
    <w:rsid w:val="277725D3"/>
    <w:rsid w:val="279F31FC"/>
    <w:rsid w:val="279F68DD"/>
    <w:rsid w:val="27A377C7"/>
    <w:rsid w:val="27D034E8"/>
    <w:rsid w:val="27D22B63"/>
    <w:rsid w:val="27D77CE6"/>
    <w:rsid w:val="27EB3EF2"/>
    <w:rsid w:val="283702C6"/>
    <w:rsid w:val="283A6B48"/>
    <w:rsid w:val="28883670"/>
    <w:rsid w:val="28A7070D"/>
    <w:rsid w:val="28A74333"/>
    <w:rsid w:val="28ED036A"/>
    <w:rsid w:val="28ED5ED8"/>
    <w:rsid w:val="290F7FEC"/>
    <w:rsid w:val="293C4CCC"/>
    <w:rsid w:val="293F025D"/>
    <w:rsid w:val="29420FD2"/>
    <w:rsid w:val="2964687E"/>
    <w:rsid w:val="29A504DF"/>
    <w:rsid w:val="29AB6599"/>
    <w:rsid w:val="29B57740"/>
    <w:rsid w:val="29BB6104"/>
    <w:rsid w:val="29BD2E24"/>
    <w:rsid w:val="29C94933"/>
    <w:rsid w:val="29D87A35"/>
    <w:rsid w:val="29DE67F7"/>
    <w:rsid w:val="29E54F8B"/>
    <w:rsid w:val="2A2B1A3D"/>
    <w:rsid w:val="2A2E58DD"/>
    <w:rsid w:val="2A366620"/>
    <w:rsid w:val="2A392506"/>
    <w:rsid w:val="2A4346E5"/>
    <w:rsid w:val="2A4E7AC9"/>
    <w:rsid w:val="2A681B62"/>
    <w:rsid w:val="2AD062AE"/>
    <w:rsid w:val="2AE31228"/>
    <w:rsid w:val="2AF43C32"/>
    <w:rsid w:val="2B19576F"/>
    <w:rsid w:val="2B341EF0"/>
    <w:rsid w:val="2B4B32B2"/>
    <w:rsid w:val="2B6F1911"/>
    <w:rsid w:val="2B7B6DE1"/>
    <w:rsid w:val="2B7E34FB"/>
    <w:rsid w:val="2B8D17FA"/>
    <w:rsid w:val="2B970537"/>
    <w:rsid w:val="2BB05FA4"/>
    <w:rsid w:val="2BB6481D"/>
    <w:rsid w:val="2BD25C1D"/>
    <w:rsid w:val="2BD575BF"/>
    <w:rsid w:val="2C233635"/>
    <w:rsid w:val="2C645A26"/>
    <w:rsid w:val="2C744371"/>
    <w:rsid w:val="2C9E7D90"/>
    <w:rsid w:val="2CA46F92"/>
    <w:rsid w:val="2CA83851"/>
    <w:rsid w:val="2CEB2E12"/>
    <w:rsid w:val="2D092D6F"/>
    <w:rsid w:val="2D1A7D17"/>
    <w:rsid w:val="2D71729C"/>
    <w:rsid w:val="2D8E2376"/>
    <w:rsid w:val="2DA10A19"/>
    <w:rsid w:val="2DA31802"/>
    <w:rsid w:val="2DCB507A"/>
    <w:rsid w:val="2DDA3448"/>
    <w:rsid w:val="2DFF0A54"/>
    <w:rsid w:val="2E077C93"/>
    <w:rsid w:val="2E280568"/>
    <w:rsid w:val="2E413036"/>
    <w:rsid w:val="2E44509A"/>
    <w:rsid w:val="2E7D5D65"/>
    <w:rsid w:val="2EB01C1E"/>
    <w:rsid w:val="2EC17EC2"/>
    <w:rsid w:val="2EFA4F0B"/>
    <w:rsid w:val="2F05060C"/>
    <w:rsid w:val="2F0C4E83"/>
    <w:rsid w:val="2F1953A5"/>
    <w:rsid w:val="2F234B54"/>
    <w:rsid w:val="2F2E07CE"/>
    <w:rsid w:val="2F881FE0"/>
    <w:rsid w:val="2F9652B7"/>
    <w:rsid w:val="2F9E26C7"/>
    <w:rsid w:val="2FCF4325"/>
    <w:rsid w:val="2FE82075"/>
    <w:rsid w:val="2FF67B04"/>
    <w:rsid w:val="300B7DE4"/>
    <w:rsid w:val="305F268B"/>
    <w:rsid w:val="30766E97"/>
    <w:rsid w:val="3078439C"/>
    <w:rsid w:val="30A34BEA"/>
    <w:rsid w:val="30BB26E8"/>
    <w:rsid w:val="30C37003"/>
    <w:rsid w:val="30D73869"/>
    <w:rsid w:val="30DC1116"/>
    <w:rsid w:val="30F7491A"/>
    <w:rsid w:val="311E53F4"/>
    <w:rsid w:val="316867E0"/>
    <w:rsid w:val="316A459E"/>
    <w:rsid w:val="31834092"/>
    <w:rsid w:val="31847074"/>
    <w:rsid w:val="318D6246"/>
    <w:rsid w:val="31BC027B"/>
    <w:rsid w:val="31D67C9B"/>
    <w:rsid w:val="31E53A14"/>
    <w:rsid w:val="31F84007"/>
    <w:rsid w:val="32004C6A"/>
    <w:rsid w:val="322B0C1A"/>
    <w:rsid w:val="32375D3D"/>
    <w:rsid w:val="324A4137"/>
    <w:rsid w:val="3289405C"/>
    <w:rsid w:val="32B707FE"/>
    <w:rsid w:val="32C338D5"/>
    <w:rsid w:val="32C674BB"/>
    <w:rsid w:val="32DF17F1"/>
    <w:rsid w:val="33076AC6"/>
    <w:rsid w:val="33107F03"/>
    <w:rsid w:val="336765E2"/>
    <w:rsid w:val="33680D19"/>
    <w:rsid w:val="33923CD1"/>
    <w:rsid w:val="33DD277F"/>
    <w:rsid w:val="33F923BE"/>
    <w:rsid w:val="34274198"/>
    <w:rsid w:val="34500358"/>
    <w:rsid w:val="34853B4C"/>
    <w:rsid w:val="34D10057"/>
    <w:rsid w:val="353B6D5E"/>
    <w:rsid w:val="354C773B"/>
    <w:rsid w:val="355C6F55"/>
    <w:rsid w:val="356B04C0"/>
    <w:rsid w:val="356D5A32"/>
    <w:rsid w:val="357F569B"/>
    <w:rsid w:val="358E6C2A"/>
    <w:rsid w:val="359B6E1B"/>
    <w:rsid w:val="359D4003"/>
    <w:rsid w:val="359E55F9"/>
    <w:rsid w:val="35BD440B"/>
    <w:rsid w:val="35CD1B7A"/>
    <w:rsid w:val="35D94150"/>
    <w:rsid w:val="36056CF3"/>
    <w:rsid w:val="360F6088"/>
    <w:rsid w:val="369005B8"/>
    <w:rsid w:val="36BB3A37"/>
    <w:rsid w:val="36C45AA2"/>
    <w:rsid w:val="36DC3DFA"/>
    <w:rsid w:val="36F54FB9"/>
    <w:rsid w:val="372066CC"/>
    <w:rsid w:val="3721298A"/>
    <w:rsid w:val="375D3FE4"/>
    <w:rsid w:val="37645A3B"/>
    <w:rsid w:val="37C74CF3"/>
    <w:rsid w:val="3813292A"/>
    <w:rsid w:val="38132A12"/>
    <w:rsid w:val="38163439"/>
    <w:rsid w:val="382A0C93"/>
    <w:rsid w:val="38613F89"/>
    <w:rsid w:val="388773C7"/>
    <w:rsid w:val="388904B0"/>
    <w:rsid w:val="38907859"/>
    <w:rsid w:val="389C4947"/>
    <w:rsid w:val="38A45FAF"/>
    <w:rsid w:val="38CA4224"/>
    <w:rsid w:val="38E4102A"/>
    <w:rsid w:val="38F165F8"/>
    <w:rsid w:val="38FE075D"/>
    <w:rsid w:val="390D1438"/>
    <w:rsid w:val="39346786"/>
    <w:rsid w:val="39361575"/>
    <w:rsid w:val="39447E2A"/>
    <w:rsid w:val="39574858"/>
    <w:rsid w:val="39623AA8"/>
    <w:rsid w:val="39624CA2"/>
    <w:rsid w:val="39696A3C"/>
    <w:rsid w:val="397731C6"/>
    <w:rsid w:val="39B43314"/>
    <w:rsid w:val="39C0638C"/>
    <w:rsid w:val="3A1F06E7"/>
    <w:rsid w:val="3A2A77C5"/>
    <w:rsid w:val="3A436BE8"/>
    <w:rsid w:val="3A4D554F"/>
    <w:rsid w:val="3A502507"/>
    <w:rsid w:val="3A7C1EAA"/>
    <w:rsid w:val="3A802DB4"/>
    <w:rsid w:val="3AC20E36"/>
    <w:rsid w:val="3B1726EF"/>
    <w:rsid w:val="3B8B76C1"/>
    <w:rsid w:val="3B8C348C"/>
    <w:rsid w:val="3BC3771B"/>
    <w:rsid w:val="3BFF2436"/>
    <w:rsid w:val="3C393143"/>
    <w:rsid w:val="3C4D58EF"/>
    <w:rsid w:val="3CA32FD4"/>
    <w:rsid w:val="3CB66D8F"/>
    <w:rsid w:val="3CBE62EC"/>
    <w:rsid w:val="3CDE3266"/>
    <w:rsid w:val="3D0D7832"/>
    <w:rsid w:val="3D2B725B"/>
    <w:rsid w:val="3D3329EA"/>
    <w:rsid w:val="3D52410A"/>
    <w:rsid w:val="3D6F1433"/>
    <w:rsid w:val="3D7604D6"/>
    <w:rsid w:val="3D871A06"/>
    <w:rsid w:val="3D97104E"/>
    <w:rsid w:val="3D987477"/>
    <w:rsid w:val="3DAE2AF5"/>
    <w:rsid w:val="3DB6265F"/>
    <w:rsid w:val="3DB93EE0"/>
    <w:rsid w:val="3DDE0712"/>
    <w:rsid w:val="3DDE1F76"/>
    <w:rsid w:val="3DF5436D"/>
    <w:rsid w:val="3DFA1107"/>
    <w:rsid w:val="3E002993"/>
    <w:rsid w:val="3E102C67"/>
    <w:rsid w:val="3E1533E8"/>
    <w:rsid w:val="3E3D0416"/>
    <w:rsid w:val="3E4F541F"/>
    <w:rsid w:val="3E5B0D39"/>
    <w:rsid w:val="3E612F34"/>
    <w:rsid w:val="3E6639FD"/>
    <w:rsid w:val="3E6C19F7"/>
    <w:rsid w:val="3E865362"/>
    <w:rsid w:val="3EB02104"/>
    <w:rsid w:val="3EC42287"/>
    <w:rsid w:val="3EFB5137"/>
    <w:rsid w:val="3EFE4C27"/>
    <w:rsid w:val="3F391B1E"/>
    <w:rsid w:val="3F5562C8"/>
    <w:rsid w:val="3F6B2556"/>
    <w:rsid w:val="3F895D85"/>
    <w:rsid w:val="3FC962B1"/>
    <w:rsid w:val="3FD474B3"/>
    <w:rsid w:val="3FE50D93"/>
    <w:rsid w:val="401624B5"/>
    <w:rsid w:val="402E6E46"/>
    <w:rsid w:val="40841F03"/>
    <w:rsid w:val="40A65704"/>
    <w:rsid w:val="40B5727F"/>
    <w:rsid w:val="410224C3"/>
    <w:rsid w:val="41076FBE"/>
    <w:rsid w:val="412255E9"/>
    <w:rsid w:val="41230975"/>
    <w:rsid w:val="415F1C52"/>
    <w:rsid w:val="41764314"/>
    <w:rsid w:val="41A3629D"/>
    <w:rsid w:val="41AC2A25"/>
    <w:rsid w:val="41D73828"/>
    <w:rsid w:val="41E31703"/>
    <w:rsid w:val="41E3575B"/>
    <w:rsid w:val="41E51367"/>
    <w:rsid w:val="41EA4490"/>
    <w:rsid w:val="42023929"/>
    <w:rsid w:val="42037AEE"/>
    <w:rsid w:val="421361F6"/>
    <w:rsid w:val="4214224B"/>
    <w:rsid w:val="42195B07"/>
    <w:rsid w:val="421A08E7"/>
    <w:rsid w:val="423A5F76"/>
    <w:rsid w:val="42764BC6"/>
    <w:rsid w:val="429733C9"/>
    <w:rsid w:val="42B304B5"/>
    <w:rsid w:val="42C40AC6"/>
    <w:rsid w:val="42CF6558"/>
    <w:rsid w:val="43061F43"/>
    <w:rsid w:val="430D13D6"/>
    <w:rsid w:val="43123474"/>
    <w:rsid w:val="43243B0F"/>
    <w:rsid w:val="432A7F08"/>
    <w:rsid w:val="4334201E"/>
    <w:rsid w:val="433E72CB"/>
    <w:rsid w:val="43852EDF"/>
    <w:rsid w:val="43AF4EE9"/>
    <w:rsid w:val="43B918E6"/>
    <w:rsid w:val="43FC737E"/>
    <w:rsid w:val="441F71D0"/>
    <w:rsid w:val="444C1F91"/>
    <w:rsid w:val="44570248"/>
    <w:rsid w:val="44647CC4"/>
    <w:rsid w:val="446A634B"/>
    <w:rsid w:val="4484020B"/>
    <w:rsid w:val="44B227AF"/>
    <w:rsid w:val="44EF1F15"/>
    <w:rsid w:val="45116BD5"/>
    <w:rsid w:val="45367DDD"/>
    <w:rsid w:val="454A6E82"/>
    <w:rsid w:val="45B06D4A"/>
    <w:rsid w:val="45E52943"/>
    <w:rsid w:val="4607616F"/>
    <w:rsid w:val="461931CD"/>
    <w:rsid w:val="462D72B0"/>
    <w:rsid w:val="462E5DF2"/>
    <w:rsid w:val="464E3D9E"/>
    <w:rsid w:val="467D0B27"/>
    <w:rsid w:val="46954A5C"/>
    <w:rsid w:val="46B31DF9"/>
    <w:rsid w:val="46DB4F0D"/>
    <w:rsid w:val="47101CC5"/>
    <w:rsid w:val="471F5DD7"/>
    <w:rsid w:val="47894485"/>
    <w:rsid w:val="47A23261"/>
    <w:rsid w:val="47A70253"/>
    <w:rsid w:val="47E80F24"/>
    <w:rsid w:val="48416372"/>
    <w:rsid w:val="484C7705"/>
    <w:rsid w:val="486D5310"/>
    <w:rsid w:val="486F76F7"/>
    <w:rsid w:val="487A3F05"/>
    <w:rsid w:val="48823687"/>
    <w:rsid w:val="488438FD"/>
    <w:rsid w:val="48C60564"/>
    <w:rsid w:val="48D145F4"/>
    <w:rsid w:val="48DF70C9"/>
    <w:rsid w:val="48EC5C6C"/>
    <w:rsid w:val="490112CF"/>
    <w:rsid w:val="491B6AE3"/>
    <w:rsid w:val="49253E85"/>
    <w:rsid w:val="49287D65"/>
    <w:rsid w:val="498E0956"/>
    <w:rsid w:val="49A53676"/>
    <w:rsid w:val="49B22896"/>
    <w:rsid w:val="49D80EEB"/>
    <w:rsid w:val="49E168F5"/>
    <w:rsid w:val="49EB7FEA"/>
    <w:rsid w:val="49ED6585"/>
    <w:rsid w:val="4A29702E"/>
    <w:rsid w:val="4A743FEF"/>
    <w:rsid w:val="4ACE5FE1"/>
    <w:rsid w:val="4ADA2D3C"/>
    <w:rsid w:val="4ADE4C97"/>
    <w:rsid w:val="4AFD7A36"/>
    <w:rsid w:val="4B036348"/>
    <w:rsid w:val="4B245A16"/>
    <w:rsid w:val="4B250167"/>
    <w:rsid w:val="4B29251B"/>
    <w:rsid w:val="4B2F1727"/>
    <w:rsid w:val="4B3520E1"/>
    <w:rsid w:val="4B422C49"/>
    <w:rsid w:val="4B4F0B9C"/>
    <w:rsid w:val="4B7661EF"/>
    <w:rsid w:val="4B900828"/>
    <w:rsid w:val="4B97595A"/>
    <w:rsid w:val="4BA00D25"/>
    <w:rsid w:val="4BD02B8A"/>
    <w:rsid w:val="4BD74836"/>
    <w:rsid w:val="4BD83981"/>
    <w:rsid w:val="4BF161A7"/>
    <w:rsid w:val="4C066426"/>
    <w:rsid w:val="4C075F6E"/>
    <w:rsid w:val="4C331E40"/>
    <w:rsid w:val="4C4874E2"/>
    <w:rsid w:val="4C525C6E"/>
    <w:rsid w:val="4C9149E5"/>
    <w:rsid w:val="4CC53C01"/>
    <w:rsid w:val="4CCA7EF7"/>
    <w:rsid w:val="4CD64AED"/>
    <w:rsid w:val="4D4B54DB"/>
    <w:rsid w:val="4D5A5ECA"/>
    <w:rsid w:val="4DB34E2F"/>
    <w:rsid w:val="4DC34266"/>
    <w:rsid w:val="4DC64FD3"/>
    <w:rsid w:val="4E0F57F9"/>
    <w:rsid w:val="4E473267"/>
    <w:rsid w:val="4E580622"/>
    <w:rsid w:val="4E8642F1"/>
    <w:rsid w:val="4E87661C"/>
    <w:rsid w:val="4ECD704A"/>
    <w:rsid w:val="4ECF0A38"/>
    <w:rsid w:val="4EEF1926"/>
    <w:rsid w:val="4EFB30C1"/>
    <w:rsid w:val="4F0040A4"/>
    <w:rsid w:val="4F267AE8"/>
    <w:rsid w:val="4F3D3A00"/>
    <w:rsid w:val="4F6002E1"/>
    <w:rsid w:val="4F7F76BE"/>
    <w:rsid w:val="4F905428"/>
    <w:rsid w:val="4FA63CB9"/>
    <w:rsid w:val="4FB70EB4"/>
    <w:rsid w:val="4FB92E46"/>
    <w:rsid w:val="4FC326A6"/>
    <w:rsid w:val="4FE83263"/>
    <w:rsid w:val="500656EA"/>
    <w:rsid w:val="501871CB"/>
    <w:rsid w:val="501E52F4"/>
    <w:rsid w:val="50205B81"/>
    <w:rsid w:val="505A492D"/>
    <w:rsid w:val="506667D0"/>
    <w:rsid w:val="507174CA"/>
    <w:rsid w:val="507462DC"/>
    <w:rsid w:val="50BC499E"/>
    <w:rsid w:val="510C38FC"/>
    <w:rsid w:val="51145BE4"/>
    <w:rsid w:val="513903D8"/>
    <w:rsid w:val="514172DE"/>
    <w:rsid w:val="51463765"/>
    <w:rsid w:val="51791380"/>
    <w:rsid w:val="518C0657"/>
    <w:rsid w:val="519F4D2A"/>
    <w:rsid w:val="51AA5B27"/>
    <w:rsid w:val="51AB0F0B"/>
    <w:rsid w:val="51DC51DC"/>
    <w:rsid w:val="51EB5827"/>
    <w:rsid w:val="52012ED5"/>
    <w:rsid w:val="52507AB5"/>
    <w:rsid w:val="52826760"/>
    <w:rsid w:val="52852023"/>
    <w:rsid w:val="5292517F"/>
    <w:rsid w:val="52960A2E"/>
    <w:rsid w:val="52CC4866"/>
    <w:rsid w:val="52E971EF"/>
    <w:rsid w:val="52FA4A0A"/>
    <w:rsid w:val="530F2115"/>
    <w:rsid w:val="536860C7"/>
    <w:rsid w:val="53741AE8"/>
    <w:rsid w:val="53B07310"/>
    <w:rsid w:val="53B37937"/>
    <w:rsid w:val="53CD5543"/>
    <w:rsid w:val="53D20C71"/>
    <w:rsid w:val="54244B0C"/>
    <w:rsid w:val="544E314C"/>
    <w:rsid w:val="54540F34"/>
    <w:rsid w:val="54680721"/>
    <w:rsid w:val="5491565D"/>
    <w:rsid w:val="54BB1983"/>
    <w:rsid w:val="54CE50EA"/>
    <w:rsid w:val="54CF3E74"/>
    <w:rsid w:val="54D07BE7"/>
    <w:rsid w:val="54EC336B"/>
    <w:rsid w:val="54FE754D"/>
    <w:rsid w:val="55154023"/>
    <w:rsid w:val="55211A40"/>
    <w:rsid w:val="55326F81"/>
    <w:rsid w:val="554E60F5"/>
    <w:rsid w:val="55A8600B"/>
    <w:rsid w:val="55BC7137"/>
    <w:rsid w:val="55C0061B"/>
    <w:rsid w:val="55E02B78"/>
    <w:rsid w:val="5617627F"/>
    <w:rsid w:val="562F5D7F"/>
    <w:rsid w:val="563F0297"/>
    <w:rsid w:val="564B0702"/>
    <w:rsid w:val="56620753"/>
    <w:rsid w:val="568023CE"/>
    <w:rsid w:val="56C4796A"/>
    <w:rsid w:val="56E24058"/>
    <w:rsid w:val="56E878F7"/>
    <w:rsid w:val="572B3FFE"/>
    <w:rsid w:val="57690606"/>
    <w:rsid w:val="57696D91"/>
    <w:rsid w:val="577E6A3F"/>
    <w:rsid w:val="57842F5D"/>
    <w:rsid w:val="57D27A1B"/>
    <w:rsid w:val="57D52571"/>
    <w:rsid w:val="57EB1279"/>
    <w:rsid w:val="580F0885"/>
    <w:rsid w:val="581D5361"/>
    <w:rsid w:val="58367BDF"/>
    <w:rsid w:val="585605AE"/>
    <w:rsid w:val="58623E1E"/>
    <w:rsid w:val="58654639"/>
    <w:rsid w:val="58A26458"/>
    <w:rsid w:val="58BA7233"/>
    <w:rsid w:val="58FA39D9"/>
    <w:rsid w:val="59012163"/>
    <w:rsid w:val="590824D3"/>
    <w:rsid w:val="593257A1"/>
    <w:rsid w:val="59401C6C"/>
    <w:rsid w:val="594A2AEB"/>
    <w:rsid w:val="59883613"/>
    <w:rsid w:val="598D1581"/>
    <w:rsid w:val="59A54B7C"/>
    <w:rsid w:val="59A85123"/>
    <w:rsid w:val="59B94BE9"/>
    <w:rsid w:val="59D95C1D"/>
    <w:rsid w:val="5A0A0E73"/>
    <w:rsid w:val="5A2B0BEF"/>
    <w:rsid w:val="5A2C267B"/>
    <w:rsid w:val="5A2D7D06"/>
    <w:rsid w:val="5A695C85"/>
    <w:rsid w:val="5A704A6D"/>
    <w:rsid w:val="5A7445FC"/>
    <w:rsid w:val="5A9F29C3"/>
    <w:rsid w:val="5AC74F76"/>
    <w:rsid w:val="5ADB7BB3"/>
    <w:rsid w:val="5AE87C0B"/>
    <w:rsid w:val="5B087AAD"/>
    <w:rsid w:val="5B242EC8"/>
    <w:rsid w:val="5B380C32"/>
    <w:rsid w:val="5B694DF4"/>
    <w:rsid w:val="5B6C3FA6"/>
    <w:rsid w:val="5BA4058F"/>
    <w:rsid w:val="5BAB4156"/>
    <w:rsid w:val="5BBE7922"/>
    <w:rsid w:val="5BD44569"/>
    <w:rsid w:val="5BDB4F8D"/>
    <w:rsid w:val="5BF60D08"/>
    <w:rsid w:val="5BF833BE"/>
    <w:rsid w:val="5BF837ED"/>
    <w:rsid w:val="5C12783C"/>
    <w:rsid w:val="5C27405A"/>
    <w:rsid w:val="5C305F8F"/>
    <w:rsid w:val="5C3125CF"/>
    <w:rsid w:val="5C41482C"/>
    <w:rsid w:val="5C4F0FE9"/>
    <w:rsid w:val="5C5F1D99"/>
    <w:rsid w:val="5CB377A3"/>
    <w:rsid w:val="5CE703A3"/>
    <w:rsid w:val="5CE97E1A"/>
    <w:rsid w:val="5CFA4486"/>
    <w:rsid w:val="5D035CDC"/>
    <w:rsid w:val="5D0C6500"/>
    <w:rsid w:val="5D2B2C34"/>
    <w:rsid w:val="5D7C6FEB"/>
    <w:rsid w:val="5D8353B4"/>
    <w:rsid w:val="5DC20FDB"/>
    <w:rsid w:val="5DDE7CA6"/>
    <w:rsid w:val="5DE577D4"/>
    <w:rsid w:val="5E58266E"/>
    <w:rsid w:val="5E5B1528"/>
    <w:rsid w:val="5E6109E7"/>
    <w:rsid w:val="5E6A0F26"/>
    <w:rsid w:val="5E885526"/>
    <w:rsid w:val="5EAA0DD3"/>
    <w:rsid w:val="5EBE112E"/>
    <w:rsid w:val="5EBE2BFD"/>
    <w:rsid w:val="5EC23300"/>
    <w:rsid w:val="5EEA5AE3"/>
    <w:rsid w:val="5EED3062"/>
    <w:rsid w:val="5EF158A0"/>
    <w:rsid w:val="5EF73D8E"/>
    <w:rsid w:val="5F30008D"/>
    <w:rsid w:val="5F4D6FE9"/>
    <w:rsid w:val="5F6309E6"/>
    <w:rsid w:val="5F6830B5"/>
    <w:rsid w:val="5F6B1DA9"/>
    <w:rsid w:val="5F94195C"/>
    <w:rsid w:val="5FA40A7B"/>
    <w:rsid w:val="5FAB02F4"/>
    <w:rsid w:val="5FB81BD1"/>
    <w:rsid w:val="5FDE3E83"/>
    <w:rsid w:val="5FE470EE"/>
    <w:rsid w:val="5FEA294A"/>
    <w:rsid w:val="5FF01AE5"/>
    <w:rsid w:val="6020785C"/>
    <w:rsid w:val="602F000A"/>
    <w:rsid w:val="603E0401"/>
    <w:rsid w:val="60441BF3"/>
    <w:rsid w:val="604A33D1"/>
    <w:rsid w:val="604C083B"/>
    <w:rsid w:val="604E7C7D"/>
    <w:rsid w:val="60607BB3"/>
    <w:rsid w:val="60672FB9"/>
    <w:rsid w:val="607716CF"/>
    <w:rsid w:val="60A158FA"/>
    <w:rsid w:val="60A31B19"/>
    <w:rsid w:val="60B82A30"/>
    <w:rsid w:val="60BE1CB1"/>
    <w:rsid w:val="60CF16A6"/>
    <w:rsid w:val="60DA339F"/>
    <w:rsid w:val="60E04C95"/>
    <w:rsid w:val="60F15F42"/>
    <w:rsid w:val="60F9585C"/>
    <w:rsid w:val="61002388"/>
    <w:rsid w:val="61025A59"/>
    <w:rsid w:val="612A5719"/>
    <w:rsid w:val="6157102B"/>
    <w:rsid w:val="61892420"/>
    <w:rsid w:val="61A50442"/>
    <w:rsid w:val="61AF4974"/>
    <w:rsid w:val="61B12DE8"/>
    <w:rsid w:val="61FD1598"/>
    <w:rsid w:val="620C717C"/>
    <w:rsid w:val="6210524A"/>
    <w:rsid w:val="62150CFE"/>
    <w:rsid w:val="621F1C80"/>
    <w:rsid w:val="62220922"/>
    <w:rsid w:val="6283706E"/>
    <w:rsid w:val="628A21AA"/>
    <w:rsid w:val="62D43EC0"/>
    <w:rsid w:val="62DD677E"/>
    <w:rsid w:val="63783BC0"/>
    <w:rsid w:val="63C6251F"/>
    <w:rsid w:val="63DB1C46"/>
    <w:rsid w:val="63DC1D49"/>
    <w:rsid w:val="63F40F8B"/>
    <w:rsid w:val="640B0A0C"/>
    <w:rsid w:val="64141642"/>
    <w:rsid w:val="64160B0E"/>
    <w:rsid w:val="6442524C"/>
    <w:rsid w:val="649E1424"/>
    <w:rsid w:val="64CD637E"/>
    <w:rsid w:val="64D475ED"/>
    <w:rsid w:val="64FD727E"/>
    <w:rsid w:val="6505464C"/>
    <w:rsid w:val="650B3007"/>
    <w:rsid w:val="650C1A58"/>
    <w:rsid w:val="65114A6A"/>
    <w:rsid w:val="65130D85"/>
    <w:rsid w:val="6515000B"/>
    <w:rsid w:val="651B533C"/>
    <w:rsid w:val="65397F9E"/>
    <w:rsid w:val="657A56DF"/>
    <w:rsid w:val="65A47379"/>
    <w:rsid w:val="65A4764D"/>
    <w:rsid w:val="65A674C9"/>
    <w:rsid w:val="65BB4A3E"/>
    <w:rsid w:val="65BF5849"/>
    <w:rsid w:val="65E848BE"/>
    <w:rsid w:val="662C1578"/>
    <w:rsid w:val="66464EF4"/>
    <w:rsid w:val="664F7AE6"/>
    <w:rsid w:val="666920D7"/>
    <w:rsid w:val="66794059"/>
    <w:rsid w:val="66846A3A"/>
    <w:rsid w:val="66862015"/>
    <w:rsid w:val="66C642AD"/>
    <w:rsid w:val="66CA654C"/>
    <w:rsid w:val="66D10070"/>
    <w:rsid w:val="66D92D7B"/>
    <w:rsid w:val="66E3562C"/>
    <w:rsid w:val="670A12E4"/>
    <w:rsid w:val="67217415"/>
    <w:rsid w:val="67250BEF"/>
    <w:rsid w:val="67440611"/>
    <w:rsid w:val="674D5D98"/>
    <w:rsid w:val="67574C04"/>
    <w:rsid w:val="67697339"/>
    <w:rsid w:val="679B11B2"/>
    <w:rsid w:val="67AC138F"/>
    <w:rsid w:val="67C27767"/>
    <w:rsid w:val="67CB3B5A"/>
    <w:rsid w:val="67DB5AB8"/>
    <w:rsid w:val="67ED14E8"/>
    <w:rsid w:val="67F51E74"/>
    <w:rsid w:val="68330BEE"/>
    <w:rsid w:val="685017A0"/>
    <w:rsid w:val="68564138"/>
    <w:rsid w:val="6893201A"/>
    <w:rsid w:val="6893229E"/>
    <w:rsid w:val="68943445"/>
    <w:rsid w:val="68946C44"/>
    <w:rsid w:val="68C33D20"/>
    <w:rsid w:val="68C42F08"/>
    <w:rsid w:val="68D91A1A"/>
    <w:rsid w:val="690E2AB5"/>
    <w:rsid w:val="69280027"/>
    <w:rsid w:val="692D2F11"/>
    <w:rsid w:val="6954688F"/>
    <w:rsid w:val="69A16544"/>
    <w:rsid w:val="69BB2EF0"/>
    <w:rsid w:val="69D739F8"/>
    <w:rsid w:val="69E26AA4"/>
    <w:rsid w:val="6A1703FE"/>
    <w:rsid w:val="6A1B1DC5"/>
    <w:rsid w:val="6A25387A"/>
    <w:rsid w:val="6A376C9E"/>
    <w:rsid w:val="6A5C07C9"/>
    <w:rsid w:val="6A657521"/>
    <w:rsid w:val="6ACC7048"/>
    <w:rsid w:val="6ACF2661"/>
    <w:rsid w:val="6AD66904"/>
    <w:rsid w:val="6B2516DC"/>
    <w:rsid w:val="6B3573FC"/>
    <w:rsid w:val="6B36412C"/>
    <w:rsid w:val="6B9776B4"/>
    <w:rsid w:val="6BA73DCD"/>
    <w:rsid w:val="6BBD1C10"/>
    <w:rsid w:val="6BC55A52"/>
    <w:rsid w:val="6BDB3C47"/>
    <w:rsid w:val="6C02110F"/>
    <w:rsid w:val="6C077347"/>
    <w:rsid w:val="6C1A1274"/>
    <w:rsid w:val="6CBF6351"/>
    <w:rsid w:val="6CE76D0D"/>
    <w:rsid w:val="6CFA154E"/>
    <w:rsid w:val="6CFD2224"/>
    <w:rsid w:val="6D0107FB"/>
    <w:rsid w:val="6D016CC4"/>
    <w:rsid w:val="6D16330E"/>
    <w:rsid w:val="6D1A715E"/>
    <w:rsid w:val="6D6720B2"/>
    <w:rsid w:val="6D9830B8"/>
    <w:rsid w:val="6DE13D57"/>
    <w:rsid w:val="6DF74751"/>
    <w:rsid w:val="6E355428"/>
    <w:rsid w:val="6E3F1218"/>
    <w:rsid w:val="6E400C43"/>
    <w:rsid w:val="6E573CFB"/>
    <w:rsid w:val="6E623FDB"/>
    <w:rsid w:val="6EBD63EF"/>
    <w:rsid w:val="6EC21F5D"/>
    <w:rsid w:val="6EC66725"/>
    <w:rsid w:val="6EDC188F"/>
    <w:rsid w:val="6F03595C"/>
    <w:rsid w:val="6F135DBC"/>
    <w:rsid w:val="6F187C7C"/>
    <w:rsid w:val="6F1D06A5"/>
    <w:rsid w:val="6F1F3C7A"/>
    <w:rsid w:val="6F361458"/>
    <w:rsid w:val="6F6D09C8"/>
    <w:rsid w:val="6FB46AB9"/>
    <w:rsid w:val="6FC5703F"/>
    <w:rsid w:val="6FD07204"/>
    <w:rsid w:val="6FEE0C34"/>
    <w:rsid w:val="702062C1"/>
    <w:rsid w:val="70352925"/>
    <w:rsid w:val="70677BD2"/>
    <w:rsid w:val="706C65B0"/>
    <w:rsid w:val="70725329"/>
    <w:rsid w:val="707D11A7"/>
    <w:rsid w:val="70A408DB"/>
    <w:rsid w:val="70A46B2D"/>
    <w:rsid w:val="70BF39FA"/>
    <w:rsid w:val="70DE36F9"/>
    <w:rsid w:val="70EA6C3A"/>
    <w:rsid w:val="710E3FA6"/>
    <w:rsid w:val="71551909"/>
    <w:rsid w:val="71670538"/>
    <w:rsid w:val="718449BB"/>
    <w:rsid w:val="71962DE6"/>
    <w:rsid w:val="71B868E8"/>
    <w:rsid w:val="71BF242C"/>
    <w:rsid w:val="71C836D8"/>
    <w:rsid w:val="71CD5DC6"/>
    <w:rsid w:val="71DC670C"/>
    <w:rsid w:val="71FE4894"/>
    <w:rsid w:val="7202467C"/>
    <w:rsid w:val="72125B5C"/>
    <w:rsid w:val="721939CF"/>
    <w:rsid w:val="721A7FA6"/>
    <w:rsid w:val="7226045C"/>
    <w:rsid w:val="72292A86"/>
    <w:rsid w:val="7250388B"/>
    <w:rsid w:val="72784991"/>
    <w:rsid w:val="72C033A6"/>
    <w:rsid w:val="73187272"/>
    <w:rsid w:val="732E1751"/>
    <w:rsid w:val="73410663"/>
    <w:rsid w:val="736372C7"/>
    <w:rsid w:val="736D43B2"/>
    <w:rsid w:val="738B299C"/>
    <w:rsid w:val="73994101"/>
    <w:rsid w:val="739E3BBB"/>
    <w:rsid w:val="73D81206"/>
    <w:rsid w:val="73DD2093"/>
    <w:rsid w:val="73F82D75"/>
    <w:rsid w:val="74206713"/>
    <w:rsid w:val="7428537F"/>
    <w:rsid w:val="74602240"/>
    <w:rsid w:val="746E0A40"/>
    <w:rsid w:val="7475471F"/>
    <w:rsid w:val="74830E88"/>
    <w:rsid w:val="74CD0FDF"/>
    <w:rsid w:val="74EA0252"/>
    <w:rsid w:val="74FC0CE6"/>
    <w:rsid w:val="752E2C10"/>
    <w:rsid w:val="753F5795"/>
    <w:rsid w:val="757738FE"/>
    <w:rsid w:val="75D77907"/>
    <w:rsid w:val="7625412A"/>
    <w:rsid w:val="76375207"/>
    <w:rsid w:val="76410CF5"/>
    <w:rsid w:val="76676633"/>
    <w:rsid w:val="766D79C1"/>
    <w:rsid w:val="76961DBA"/>
    <w:rsid w:val="76984A3E"/>
    <w:rsid w:val="76CF4CF7"/>
    <w:rsid w:val="77101EB4"/>
    <w:rsid w:val="77352331"/>
    <w:rsid w:val="77356986"/>
    <w:rsid w:val="77707E41"/>
    <w:rsid w:val="77911135"/>
    <w:rsid w:val="77924375"/>
    <w:rsid w:val="779F4CE7"/>
    <w:rsid w:val="77B2607E"/>
    <w:rsid w:val="77C852DC"/>
    <w:rsid w:val="77EA4018"/>
    <w:rsid w:val="77F80FC4"/>
    <w:rsid w:val="78103ED0"/>
    <w:rsid w:val="7816251F"/>
    <w:rsid w:val="782A7918"/>
    <w:rsid w:val="7859093D"/>
    <w:rsid w:val="78592D97"/>
    <w:rsid w:val="785D684A"/>
    <w:rsid w:val="78836A32"/>
    <w:rsid w:val="78A01FF2"/>
    <w:rsid w:val="78A26007"/>
    <w:rsid w:val="78E03192"/>
    <w:rsid w:val="78E26297"/>
    <w:rsid w:val="78E642B2"/>
    <w:rsid w:val="78EA63C8"/>
    <w:rsid w:val="78FB431C"/>
    <w:rsid w:val="790D5532"/>
    <w:rsid w:val="79103E05"/>
    <w:rsid w:val="79267C69"/>
    <w:rsid w:val="79305EAD"/>
    <w:rsid w:val="794F5F6D"/>
    <w:rsid w:val="79734079"/>
    <w:rsid w:val="79815C5D"/>
    <w:rsid w:val="799832CB"/>
    <w:rsid w:val="79995634"/>
    <w:rsid w:val="79A3654F"/>
    <w:rsid w:val="79AD1C95"/>
    <w:rsid w:val="79BB4E99"/>
    <w:rsid w:val="79C842E0"/>
    <w:rsid w:val="79C85CD9"/>
    <w:rsid w:val="79DA711C"/>
    <w:rsid w:val="7A1630C1"/>
    <w:rsid w:val="7A1947DF"/>
    <w:rsid w:val="7A463588"/>
    <w:rsid w:val="7A526002"/>
    <w:rsid w:val="7A855935"/>
    <w:rsid w:val="7AAC20E7"/>
    <w:rsid w:val="7AAE6E4A"/>
    <w:rsid w:val="7ABA2D6E"/>
    <w:rsid w:val="7AD21A0F"/>
    <w:rsid w:val="7B1A0144"/>
    <w:rsid w:val="7B541C52"/>
    <w:rsid w:val="7B545C6B"/>
    <w:rsid w:val="7B707242"/>
    <w:rsid w:val="7BE0414B"/>
    <w:rsid w:val="7C1B386F"/>
    <w:rsid w:val="7C386AE4"/>
    <w:rsid w:val="7C4F3F79"/>
    <w:rsid w:val="7C776F34"/>
    <w:rsid w:val="7C930289"/>
    <w:rsid w:val="7CED3690"/>
    <w:rsid w:val="7D3F6633"/>
    <w:rsid w:val="7D42646E"/>
    <w:rsid w:val="7D4D780C"/>
    <w:rsid w:val="7D603DDC"/>
    <w:rsid w:val="7DA243F4"/>
    <w:rsid w:val="7DB07F47"/>
    <w:rsid w:val="7DE14D2F"/>
    <w:rsid w:val="7E0724A9"/>
    <w:rsid w:val="7E3C0CA3"/>
    <w:rsid w:val="7E3F7E95"/>
    <w:rsid w:val="7E44676F"/>
    <w:rsid w:val="7E6A0F6B"/>
    <w:rsid w:val="7E6B485C"/>
    <w:rsid w:val="7EEB342E"/>
    <w:rsid w:val="7EEF5417"/>
    <w:rsid w:val="7EFC5D86"/>
    <w:rsid w:val="7F0B6CE4"/>
    <w:rsid w:val="7F1E7AAB"/>
    <w:rsid w:val="7F225FA8"/>
    <w:rsid w:val="7F346FA3"/>
    <w:rsid w:val="7F4560FF"/>
    <w:rsid w:val="7F4F235A"/>
    <w:rsid w:val="7F5F41CC"/>
    <w:rsid w:val="7F620F8D"/>
    <w:rsid w:val="7F7B2C9D"/>
    <w:rsid w:val="7F8364BF"/>
    <w:rsid w:val="7F98785D"/>
    <w:rsid w:val="7FCC70D7"/>
    <w:rsid w:val="7FDC45AE"/>
    <w:rsid w:val="7FE06E07"/>
    <w:rsid w:val="7FFF0039"/>
    <w:rsid w:val="DFC61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ind w:firstLine="883"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link w:val="36"/>
    <w:autoRedefine/>
    <w:qFormat/>
    <w:uiPriority w:val="0"/>
    <w:pPr>
      <w:spacing w:before="0" w:beforeAutospacing="0" w:after="0" w:afterAutospacing="0" w:line="240" w:lineRule="auto"/>
      <w:jc w:val="left"/>
      <w:outlineLvl w:val="0"/>
    </w:pPr>
    <w:rPr>
      <w:rFonts w:hint="eastAsia" w:ascii="宋体" w:hAnsi="宋体" w:eastAsia="黑体" w:cs="宋体"/>
      <w:bCs/>
      <w:kern w:val="44"/>
      <w:sz w:val="32"/>
      <w:szCs w:val="48"/>
      <w:lang w:bidi="ar"/>
    </w:rPr>
  </w:style>
  <w:style w:type="paragraph" w:styleId="3">
    <w:name w:val="heading 2"/>
    <w:basedOn w:val="1"/>
    <w:next w:val="1"/>
    <w:link w:val="37"/>
    <w:autoRedefine/>
    <w:unhideWhenUsed/>
    <w:qFormat/>
    <w:uiPriority w:val="0"/>
    <w:pPr>
      <w:spacing w:before="0" w:beforeAutospacing="0" w:after="0" w:afterAutospacing="0"/>
      <w:jc w:val="left"/>
      <w:outlineLvl w:val="1"/>
    </w:pPr>
    <w:rPr>
      <w:rFonts w:hint="eastAsia" w:ascii="宋体" w:hAnsi="宋体" w:eastAsia="楷体_GB2312" w:cs="宋体"/>
      <w:bCs/>
      <w:color w:val="000000" w:themeColor="text1"/>
      <w:kern w:val="0"/>
      <w:sz w:val="32"/>
      <w:szCs w:val="36"/>
      <w:lang w:bidi="ar"/>
      <w14:textFill>
        <w14:solidFill>
          <w14:schemeClr w14:val="tx1"/>
        </w14:solidFill>
      </w14:textFill>
    </w:rPr>
  </w:style>
  <w:style w:type="paragraph" w:styleId="4">
    <w:name w:val="heading 3"/>
    <w:basedOn w:val="1"/>
    <w:next w:val="1"/>
    <w:link w:val="38"/>
    <w:autoRedefine/>
    <w:unhideWhenUsed/>
    <w:qFormat/>
    <w:uiPriority w:val="0"/>
    <w:pPr>
      <w:spacing w:before="0" w:beforeAutospacing="0" w:after="0" w:afterAutospacing="0"/>
      <w:jc w:val="left"/>
      <w:outlineLvl w:val="2"/>
    </w:pPr>
    <w:rPr>
      <w:rFonts w:ascii="Times New Roman" w:hAnsi="Times New Roman" w:cs="宋体"/>
      <w:b/>
      <w:bCs/>
      <w:color w:val="000000" w:themeColor="text1"/>
      <w:kern w:val="0"/>
      <w:szCs w:val="27"/>
      <w:lang w:bidi="ar"/>
      <w14:textFill>
        <w14:solidFill>
          <w14:schemeClr w14:val="tx1"/>
        </w14:solidFill>
      </w14:textFill>
    </w:rPr>
  </w:style>
  <w:style w:type="paragraph" w:styleId="5">
    <w:name w:val="heading 4"/>
    <w:basedOn w:val="1"/>
    <w:next w:val="1"/>
    <w:link w:val="39"/>
    <w:autoRedefine/>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link w:val="40"/>
    <w:autoRedefine/>
    <w:semiHidden/>
    <w:unhideWhenUsed/>
    <w:qFormat/>
    <w:uiPriority w:val="0"/>
    <w:pPr>
      <w:keepNext/>
      <w:keepLines/>
      <w:spacing w:beforeLines="0" w:beforeAutospacing="0" w:afterLines="0" w:afterAutospacing="0" w:line="560" w:lineRule="exact"/>
      <w:ind w:firstLine="420" w:firstLineChars="200"/>
      <w:outlineLvl w:val="4"/>
    </w:pPr>
    <w:rPr>
      <w:rFonts w:ascii="Times New Roman" w:hAnsi="Times New Roman" w:cs="Times New Roman"/>
      <w:b/>
    </w:rPr>
  </w:style>
  <w:style w:type="paragraph" w:styleId="7">
    <w:name w:val="heading 6"/>
    <w:next w:val="1"/>
    <w:link w:val="41"/>
    <w:autoRedefine/>
    <w:semiHidden/>
    <w:unhideWhenUsed/>
    <w:qFormat/>
    <w:uiPriority w:val="0"/>
    <w:pPr>
      <w:keepNext/>
      <w:keepLines/>
      <w:widowControl w:val="0"/>
      <w:spacing w:before="240" w:beforeLines="0" w:beforeAutospacing="0" w:after="64" w:afterLines="0" w:afterAutospacing="0" w:line="317" w:lineRule="auto"/>
      <w:ind w:firstLine="420" w:firstLineChars="200"/>
      <w:jc w:val="both"/>
      <w:outlineLvl w:val="5"/>
    </w:pPr>
    <w:rPr>
      <w:rFonts w:ascii="Arial" w:hAnsi="Arial" w:eastAsia="宋体" w:cs="Times New Roman"/>
      <w:b/>
      <w:kern w:val="2"/>
      <w:sz w:val="21"/>
      <w:szCs w:val="24"/>
      <w:lang w:val="en-US" w:eastAsia="zh-CN" w:bidi="ar-SA"/>
    </w:rPr>
  </w:style>
  <w:style w:type="paragraph" w:styleId="8">
    <w:name w:val="heading 7"/>
    <w:basedOn w:val="1"/>
    <w:next w:val="1"/>
    <w:autoRedefine/>
    <w:semiHidden/>
    <w:unhideWhenUsed/>
    <w:qFormat/>
    <w:uiPriority w:val="0"/>
    <w:pPr>
      <w:keepNext/>
      <w:keepLines/>
      <w:spacing w:before="120" w:beforeLines="0" w:beforeAutospacing="0" w:after="120" w:afterLines="0" w:afterAutospacing="0" w:line="360" w:lineRule="auto"/>
      <w:ind w:firstLine="643" w:firstLineChars="200"/>
      <w:outlineLvl w:val="6"/>
    </w:pPr>
    <w:rPr>
      <w:rFonts w:ascii="宋体" w:hAnsi="宋体" w:eastAsia="宋体" w:cs="Times New Roman"/>
      <w:b/>
      <w:sz w:val="21"/>
    </w:rPr>
  </w:style>
  <w:style w:type="paragraph" w:styleId="9">
    <w:name w:val="heading 8"/>
    <w:basedOn w:val="1"/>
    <w:next w:val="1"/>
    <w:autoRedefine/>
    <w:semiHidden/>
    <w:unhideWhenUsed/>
    <w:qFormat/>
    <w:uiPriority w:val="0"/>
    <w:pPr>
      <w:keepNext/>
      <w:keepLines/>
      <w:spacing w:before="120" w:beforeLines="0" w:beforeAutospacing="0" w:after="120" w:afterLines="0" w:afterAutospacing="0" w:line="360" w:lineRule="auto"/>
      <w:ind w:firstLine="643" w:firstLineChars="200"/>
      <w:outlineLvl w:val="7"/>
    </w:pPr>
    <w:rPr>
      <w:rFonts w:ascii="宋体" w:hAnsi="宋体" w:eastAsia="宋体" w:cs="Times New Roman"/>
      <w:b/>
    </w:rPr>
  </w:style>
  <w:style w:type="character" w:default="1" w:styleId="29">
    <w:name w:val="Default Paragraph Font"/>
    <w:autoRedefine/>
    <w:semiHidden/>
    <w:unhideWhenUsed/>
    <w:qFormat/>
    <w:uiPriority w:val="1"/>
  </w:style>
  <w:style w:type="table" w:default="1" w:styleId="28">
    <w:name w:val="Normal Table"/>
    <w:autoRedefine/>
    <w:semiHidden/>
    <w:qFormat/>
    <w:uiPriority w:val="0"/>
    <w:tblPr>
      <w:tblCellMar>
        <w:top w:w="0" w:type="dxa"/>
        <w:left w:w="108" w:type="dxa"/>
        <w:bottom w:w="0" w:type="dxa"/>
        <w:right w:w="108" w:type="dxa"/>
      </w:tblCellMar>
    </w:tblPr>
  </w:style>
  <w:style w:type="paragraph" w:styleId="10">
    <w:name w:val="Normal Indent"/>
    <w:basedOn w:val="1"/>
    <w:qFormat/>
    <w:uiPriority w:val="0"/>
    <w:pPr>
      <w:ind w:firstLine="420" w:firstLineChars="200"/>
    </w:pPr>
  </w:style>
  <w:style w:type="paragraph" w:styleId="11">
    <w:name w:val="caption"/>
    <w:basedOn w:val="1"/>
    <w:next w:val="1"/>
    <w:link w:val="48"/>
    <w:autoRedefine/>
    <w:semiHidden/>
    <w:unhideWhenUsed/>
    <w:qFormat/>
    <w:uiPriority w:val="0"/>
    <w:pPr>
      <w:spacing w:line="360" w:lineRule="auto"/>
      <w:ind w:firstLine="0" w:firstLineChars="0"/>
      <w:jc w:val="center"/>
    </w:pPr>
    <w:rPr>
      <w:rFonts w:ascii="Times New Roman" w:hAnsi="Times New Roman" w:eastAsia="黑体" w:cs="Times New Roman"/>
      <w:sz w:val="22"/>
      <w:szCs w:val="20"/>
    </w:rPr>
  </w:style>
  <w:style w:type="paragraph" w:styleId="12">
    <w:name w:val="annotation text"/>
    <w:basedOn w:val="1"/>
    <w:link w:val="51"/>
    <w:autoRedefine/>
    <w:qFormat/>
    <w:uiPriority w:val="0"/>
    <w:pPr>
      <w:jc w:val="left"/>
    </w:pPr>
    <w:rPr>
      <w:rFonts w:cs="Times New Roman"/>
      <w:b/>
      <w:szCs w:val="22"/>
    </w:rPr>
  </w:style>
  <w:style w:type="paragraph" w:styleId="13">
    <w:name w:val="Body Text"/>
    <w:basedOn w:val="1"/>
    <w:next w:val="1"/>
    <w:autoRedefine/>
    <w:qFormat/>
    <w:uiPriority w:val="0"/>
    <w:pPr>
      <w:spacing w:line="240" w:lineRule="auto"/>
      <w:ind w:firstLine="0" w:firstLineChars="0"/>
    </w:pPr>
    <w:rPr>
      <w:rFonts w:eastAsia="宋体" w:cs="Times New Roman"/>
      <w:sz w:val="24"/>
    </w:rPr>
  </w:style>
  <w:style w:type="paragraph" w:styleId="14">
    <w:name w:val="Body Text Indent"/>
    <w:basedOn w:val="1"/>
    <w:next w:val="10"/>
    <w:autoRedefine/>
    <w:qFormat/>
    <w:uiPriority w:val="0"/>
    <w:pPr>
      <w:spacing w:after="120" w:afterLines="0" w:afterAutospacing="0"/>
      <w:ind w:left="420" w:leftChars="200" w:firstLine="643" w:firstLineChars="200"/>
    </w:pPr>
    <w:rPr>
      <w:rFonts w:eastAsia="仿宋_GB2312" w:asciiTheme="minorAscii" w:hAnsiTheme="minorAscii"/>
      <w:sz w:val="32"/>
    </w:rPr>
  </w:style>
  <w:style w:type="paragraph" w:styleId="15">
    <w:name w:val="toc 5"/>
    <w:basedOn w:val="1"/>
    <w:next w:val="1"/>
    <w:autoRedefine/>
    <w:qFormat/>
    <w:uiPriority w:val="0"/>
    <w:pPr>
      <w:ind w:left="1680" w:leftChars="800"/>
    </w:pPr>
  </w:style>
  <w:style w:type="paragraph" w:styleId="16">
    <w:name w:val="toc 3"/>
    <w:basedOn w:val="1"/>
    <w:next w:val="1"/>
    <w:autoRedefine/>
    <w:qFormat/>
    <w:uiPriority w:val="0"/>
    <w:pPr>
      <w:spacing w:line="560" w:lineRule="exact"/>
      <w:ind w:left="0" w:firstLine="883" w:firstLineChars="200"/>
      <w:jc w:val="left"/>
    </w:pPr>
    <w:rPr>
      <w:rFonts w:ascii="Times New Roman" w:hAnsi="Times New Roman" w:cs="Calibri"/>
      <w:sz w:val="28"/>
      <w:szCs w:val="20"/>
    </w:rPr>
  </w:style>
  <w:style w:type="paragraph" w:styleId="17">
    <w:name w:val="Plain Text"/>
    <w:basedOn w:val="1"/>
    <w:next w:val="1"/>
    <w:autoRedefine/>
    <w:qFormat/>
    <w:uiPriority w:val="0"/>
    <w:pPr>
      <w:spacing w:line="240" w:lineRule="auto"/>
    </w:pPr>
    <w:rPr>
      <w:rFonts w:ascii="宋体" w:hAnsi="宋体" w:eastAsia="宋体"/>
      <w:sz w:val="21"/>
    </w:rPr>
  </w:style>
  <w:style w:type="paragraph" w:styleId="18">
    <w:name w:val="footer"/>
    <w:basedOn w:val="1"/>
    <w:qFormat/>
    <w:uiPriority w:val="0"/>
    <w:pPr>
      <w:tabs>
        <w:tab w:val="center" w:pos="4153"/>
        <w:tab w:val="right" w:pos="8306"/>
      </w:tabs>
      <w:snapToGrid w:val="0"/>
      <w:jc w:val="left"/>
    </w:pPr>
    <w:rPr>
      <w:sz w:val="18"/>
    </w:rPr>
  </w:style>
  <w:style w:type="paragraph" w:styleId="1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0">
    <w:name w:val="toc 1"/>
    <w:basedOn w:val="1"/>
    <w:next w:val="1"/>
    <w:autoRedefine/>
    <w:qFormat/>
    <w:uiPriority w:val="0"/>
    <w:pPr>
      <w:ind w:firstLine="0" w:firstLineChars="0"/>
    </w:pPr>
    <w:rPr>
      <w:rFonts w:ascii="Times New Roman" w:hAnsi="Times New Roman" w:eastAsia="黑体"/>
    </w:rPr>
  </w:style>
  <w:style w:type="paragraph" w:styleId="21">
    <w:name w:val="toc 4"/>
    <w:basedOn w:val="1"/>
    <w:next w:val="1"/>
    <w:qFormat/>
    <w:uiPriority w:val="0"/>
    <w:pPr>
      <w:ind w:left="0" w:leftChars="0" w:firstLine="480" w:firstLineChars="100"/>
    </w:pPr>
    <w:rPr>
      <w:rFonts w:ascii="Times New Roman" w:hAnsi="Times New Roman"/>
      <w:sz w:val="28"/>
    </w:rPr>
  </w:style>
  <w:style w:type="paragraph" w:styleId="22">
    <w:name w:val="footnote text"/>
    <w:basedOn w:val="1"/>
    <w:link w:val="57"/>
    <w:autoRedefine/>
    <w:qFormat/>
    <w:uiPriority w:val="0"/>
    <w:pPr>
      <w:snapToGrid w:val="0"/>
      <w:spacing w:line="240" w:lineRule="auto"/>
      <w:ind w:firstLine="0" w:firstLineChars="0"/>
      <w:jc w:val="left"/>
    </w:pPr>
    <w:rPr>
      <w:sz w:val="18"/>
    </w:rPr>
  </w:style>
  <w:style w:type="paragraph" w:styleId="23">
    <w:name w:val="index 9"/>
    <w:basedOn w:val="1"/>
    <w:next w:val="1"/>
    <w:autoRedefine/>
    <w:qFormat/>
    <w:uiPriority w:val="0"/>
    <w:pPr>
      <w:ind w:left="0" w:leftChars="0"/>
    </w:pPr>
    <w:rPr>
      <w:rFonts w:ascii="Times New Roman" w:hAnsi="Times New Roman"/>
    </w:rPr>
  </w:style>
  <w:style w:type="paragraph" w:styleId="24">
    <w:name w:val="toc 2"/>
    <w:basedOn w:val="1"/>
    <w:next w:val="1"/>
    <w:autoRedefine/>
    <w:qFormat/>
    <w:uiPriority w:val="0"/>
    <w:pPr>
      <w:ind w:left="0" w:leftChars="0" w:firstLine="442" w:firstLineChars="100"/>
    </w:pPr>
    <w:rPr>
      <w:rFonts w:ascii="Times New Roman" w:hAnsi="Times New Roman" w:eastAsia="楷体_GB2312"/>
    </w:rPr>
  </w:style>
  <w:style w:type="paragraph" w:styleId="25">
    <w:name w:val="Body Text 2"/>
    <w:basedOn w:val="1"/>
    <w:autoRedefine/>
    <w:qFormat/>
    <w:uiPriority w:val="0"/>
    <w:pPr>
      <w:spacing w:afterLines="0" w:afterAutospacing="0" w:line="560" w:lineRule="exact"/>
      <w:ind w:firstLine="640" w:firstLineChars="200"/>
    </w:pPr>
  </w:style>
  <w:style w:type="paragraph" w:styleId="2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27">
    <w:name w:val="Body Text First Indent 2"/>
    <w:basedOn w:val="14"/>
    <w:link w:val="49"/>
    <w:autoRedefine/>
    <w:qFormat/>
    <w:uiPriority w:val="0"/>
    <w:pPr>
      <w:ind w:left="0" w:leftChars="0" w:firstLine="420"/>
    </w:pPr>
    <w:rPr>
      <w:rFonts w:ascii="仿宋_GB2312" w:hAnsi="仿宋_GB2312" w:cs="Times New Roman"/>
      <w:sz w:val="32"/>
      <w:szCs w:val="22"/>
    </w:rPr>
  </w:style>
  <w:style w:type="character" w:styleId="30">
    <w:name w:val="Strong"/>
    <w:basedOn w:val="29"/>
    <w:qFormat/>
    <w:uiPriority w:val="0"/>
    <w:rPr>
      <w:b/>
    </w:rPr>
  </w:style>
  <w:style w:type="character" w:styleId="31">
    <w:name w:val="endnote reference"/>
    <w:basedOn w:val="29"/>
    <w:qFormat/>
    <w:uiPriority w:val="0"/>
    <w:rPr>
      <w:rFonts w:ascii="Times New Roman" w:hAnsi="Times New Roman" w:eastAsia="仿宋_GB2312"/>
      <w:vertAlign w:val="superscript"/>
    </w:rPr>
  </w:style>
  <w:style w:type="character" w:styleId="32">
    <w:name w:val="FollowedHyperlink"/>
    <w:basedOn w:val="29"/>
    <w:qFormat/>
    <w:uiPriority w:val="0"/>
    <w:rPr>
      <w:color w:val="800080"/>
      <w:u w:val="single"/>
    </w:rPr>
  </w:style>
  <w:style w:type="character" w:styleId="33">
    <w:name w:val="Emphasis"/>
    <w:basedOn w:val="29"/>
    <w:qFormat/>
    <w:uiPriority w:val="0"/>
    <w:rPr>
      <w:i/>
    </w:rPr>
  </w:style>
  <w:style w:type="character" w:styleId="34">
    <w:name w:val="Hyperlink"/>
    <w:basedOn w:val="29"/>
    <w:qFormat/>
    <w:uiPriority w:val="0"/>
    <w:rPr>
      <w:color w:val="0000FF"/>
      <w:u w:val="single"/>
    </w:rPr>
  </w:style>
  <w:style w:type="character" w:styleId="35">
    <w:name w:val="footnote reference"/>
    <w:basedOn w:val="29"/>
    <w:autoRedefine/>
    <w:qFormat/>
    <w:uiPriority w:val="0"/>
    <w:rPr>
      <w:rFonts w:ascii="仿宋_GB2312" w:hAnsi="仿宋_GB2312" w:eastAsia="仿宋_GB2312"/>
      <w:sz w:val="32"/>
      <w:szCs w:val="18"/>
      <w:vertAlign w:val="superscript"/>
    </w:rPr>
  </w:style>
  <w:style w:type="character" w:customStyle="1" w:styleId="36">
    <w:name w:val="标题 1 字符"/>
    <w:link w:val="2"/>
    <w:autoRedefine/>
    <w:qFormat/>
    <w:uiPriority w:val="9"/>
    <w:rPr>
      <w:rFonts w:ascii="宋体" w:hAnsi="宋体" w:eastAsia="黑体" w:cs="宋体"/>
      <w:bCs/>
      <w:kern w:val="2"/>
      <w:sz w:val="32"/>
      <w:szCs w:val="24"/>
      <w:highlight w:val="none"/>
      <w:lang w:val="en-US" w:eastAsia="zh-CN" w:bidi="ar"/>
    </w:rPr>
  </w:style>
  <w:style w:type="character" w:customStyle="1" w:styleId="37">
    <w:name w:val="标题 2 字符"/>
    <w:basedOn w:val="29"/>
    <w:link w:val="3"/>
    <w:autoRedefine/>
    <w:qFormat/>
    <w:uiPriority w:val="9"/>
    <w:rPr>
      <w:rFonts w:hint="default" w:ascii="宋体" w:hAnsi="宋体" w:eastAsia="楷体_GB2312" w:cs="宋体"/>
      <w:bCs/>
      <w:color w:val="000000" w:themeColor="text1"/>
      <w:kern w:val="2"/>
      <w:sz w:val="32"/>
      <w:szCs w:val="24"/>
      <w:lang w:eastAsia="zh-CN"/>
      <w14:textFill>
        <w14:solidFill>
          <w14:schemeClr w14:val="tx1"/>
        </w14:solidFill>
      </w14:textFill>
    </w:rPr>
  </w:style>
  <w:style w:type="character" w:customStyle="1" w:styleId="38">
    <w:name w:val="标题 3 字符"/>
    <w:basedOn w:val="29"/>
    <w:link w:val="4"/>
    <w:autoRedefine/>
    <w:qFormat/>
    <w:uiPriority w:val="9"/>
    <w:rPr>
      <w:rFonts w:hint="default" w:ascii="Times New Roman" w:hAnsi="Times New Roman" w:eastAsia="仿宋_GB2312" w:cs="宋体"/>
      <w:b/>
      <w:bCs/>
      <w:snapToGrid w:val="0"/>
      <w:color w:val="000000" w:themeColor="text1"/>
      <w:kern w:val="0"/>
      <w:sz w:val="32"/>
      <w:szCs w:val="22"/>
      <w:lang w:val="en-US" w:eastAsia="zh-CN" w:bidi="ar-SA"/>
      <w14:textFill>
        <w14:solidFill>
          <w14:schemeClr w14:val="tx1"/>
        </w14:solidFill>
      </w14:textFill>
    </w:rPr>
  </w:style>
  <w:style w:type="character" w:customStyle="1" w:styleId="39">
    <w:name w:val="标题 4 字符"/>
    <w:basedOn w:val="29"/>
    <w:link w:val="5"/>
    <w:autoRedefine/>
    <w:qFormat/>
    <w:uiPriority w:val="9"/>
    <w:rPr>
      <w:rFonts w:hint="default" w:ascii="Times New Roman" w:hAnsi="Times New Roman" w:eastAsia="宋体" w:cs="Times New Roman"/>
      <w:b/>
      <w:bCs/>
      <w:kern w:val="1"/>
      <w:sz w:val="24"/>
      <w:szCs w:val="28"/>
    </w:rPr>
  </w:style>
  <w:style w:type="character" w:customStyle="1" w:styleId="40">
    <w:name w:val="标题 5 字符"/>
    <w:basedOn w:val="29"/>
    <w:link w:val="6"/>
    <w:autoRedefine/>
    <w:qFormat/>
    <w:uiPriority w:val="9"/>
    <w:rPr>
      <w:rFonts w:ascii="Times New Roman" w:hAnsi="Times New Roman" w:eastAsia="仿宋_GB2312" w:cs="Times New Roman"/>
      <w:b/>
      <w:bCs/>
      <w:sz w:val="32"/>
      <w:szCs w:val="24"/>
    </w:rPr>
  </w:style>
  <w:style w:type="character" w:customStyle="1" w:styleId="41">
    <w:name w:val="标题 6 Char"/>
    <w:link w:val="7"/>
    <w:autoRedefine/>
    <w:qFormat/>
    <w:uiPriority w:val="0"/>
    <w:rPr>
      <w:rFonts w:ascii="Arial" w:hAnsi="Arial" w:eastAsia="宋体" w:cs="Times New Roman"/>
      <w:b/>
      <w:kern w:val="2"/>
      <w:sz w:val="21"/>
      <w:szCs w:val="24"/>
      <w:lang w:val="en-US" w:eastAsia="zh-CN" w:bidi="ar-SA"/>
    </w:rPr>
  </w:style>
  <w:style w:type="paragraph" w:customStyle="1" w:styleId="42">
    <w:name w:val="一级标题"/>
    <w:basedOn w:val="1"/>
    <w:next w:val="1"/>
    <w:autoRedefine/>
    <w:qFormat/>
    <w:uiPriority w:val="0"/>
    <w:pPr>
      <w:spacing w:before="120" w:after="120" w:line="560" w:lineRule="exact"/>
      <w:ind w:firstLine="200"/>
      <w:outlineLvl w:val="0"/>
    </w:pPr>
    <w:rPr>
      <w:rFonts w:ascii="黑体" w:hAnsi="黑体" w:eastAsia="黑体"/>
      <w:sz w:val="32"/>
    </w:rPr>
  </w:style>
  <w:style w:type="paragraph" w:customStyle="1" w:styleId="43">
    <w:name w:val="标题6"/>
    <w:basedOn w:val="1"/>
    <w:autoRedefine/>
    <w:qFormat/>
    <w:uiPriority w:val="0"/>
    <w:pPr>
      <w:outlineLvl w:val="5"/>
    </w:pPr>
    <w:rPr>
      <w:rFonts w:asciiTheme="minorAscii" w:hAnsiTheme="minorAscii" w:eastAsiaTheme="minorEastAsia"/>
      <w:b/>
      <w:color w:val="000000" w:themeColor="text1"/>
      <w:sz w:val="21"/>
      <w:szCs w:val="22"/>
      <w14:textFill>
        <w14:solidFill>
          <w14:schemeClr w14:val="tx1"/>
        </w14:solidFill>
      </w14:textFill>
    </w:rPr>
  </w:style>
  <w:style w:type="paragraph" w:customStyle="1" w:styleId="44">
    <w:name w:val="标题5"/>
    <w:basedOn w:val="1"/>
    <w:autoRedefine/>
    <w:qFormat/>
    <w:uiPriority w:val="0"/>
    <w:pPr>
      <w:outlineLvl w:val="4"/>
    </w:pPr>
    <w:rPr>
      <w:rFonts w:hint="default" w:asciiTheme="minorAscii" w:hAnsiTheme="minorAscii" w:eastAsiaTheme="minorEastAsia"/>
      <w:b/>
      <w:bCs/>
      <w:color w:val="000000" w:themeColor="text1"/>
      <w:sz w:val="21"/>
      <w:szCs w:val="22"/>
      <w14:textFill>
        <w14:solidFill>
          <w14:schemeClr w14:val="tx1"/>
        </w14:solidFill>
      </w14:textFill>
    </w:rPr>
  </w:style>
  <w:style w:type="paragraph" w:customStyle="1" w:styleId="45">
    <w:name w:val="标题03"/>
    <w:basedOn w:val="1"/>
    <w:autoRedefine/>
    <w:qFormat/>
    <w:uiPriority w:val="0"/>
    <w:pPr>
      <w:outlineLvl w:val="2"/>
    </w:pPr>
    <w:rPr>
      <w:rFonts w:hint="default" w:asciiTheme="minorAscii" w:hAnsiTheme="minorAscii" w:eastAsiaTheme="minorEastAsia"/>
      <w:color w:val="000000" w:themeColor="text1"/>
      <w:sz w:val="21"/>
      <w:szCs w:val="22"/>
      <w14:textFill>
        <w14:solidFill>
          <w14:schemeClr w14:val="tx1"/>
        </w14:solidFill>
      </w14:textFill>
    </w:rPr>
  </w:style>
  <w:style w:type="paragraph" w:customStyle="1" w:styleId="46">
    <w:name w:val="标题04"/>
    <w:basedOn w:val="1"/>
    <w:autoRedefine/>
    <w:qFormat/>
    <w:uiPriority w:val="0"/>
    <w:pPr>
      <w:outlineLvl w:val="3"/>
    </w:pPr>
    <w:rPr>
      <w:rFonts w:hint="default" w:asciiTheme="minorAscii" w:hAnsiTheme="minorAscii" w:eastAsiaTheme="minorEastAsia"/>
      <w:b/>
      <w:color w:val="000000" w:themeColor="text1"/>
      <w:sz w:val="21"/>
      <w:szCs w:val="22"/>
      <w14:textFill>
        <w14:solidFill>
          <w14:schemeClr w14:val="tx1"/>
        </w14:solidFill>
      </w14:textFill>
    </w:rPr>
  </w:style>
  <w:style w:type="paragraph" w:customStyle="1" w:styleId="47">
    <w:name w:val="标题（案例）"/>
    <w:basedOn w:val="1"/>
    <w:autoRedefine/>
    <w:qFormat/>
    <w:uiPriority w:val="0"/>
    <w:pPr>
      <w:ind w:firstLine="0" w:firstLineChars="0"/>
      <w:jc w:val="center"/>
      <w:outlineLvl w:val="0"/>
    </w:pPr>
    <w:rPr>
      <w:rFonts w:hint="eastAsia" w:ascii="微软雅黑" w:hAnsi="微软雅黑" w:eastAsia="微软雅黑" w:cs="微软雅黑"/>
      <w:b/>
      <w:bCs/>
      <w:color w:val="3C4455"/>
      <w:sz w:val="28"/>
      <w:szCs w:val="28"/>
    </w:rPr>
  </w:style>
  <w:style w:type="character" w:customStyle="1" w:styleId="48">
    <w:name w:val="题注 字符"/>
    <w:link w:val="11"/>
    <w:autoRedefine/>
    <w:qFormat/>
    <w:uiPriority w:val="0"/>
    <w:rPr>
      <w:rFonts w:ascii="Times New Roman" w:hAnsi="Times New Roman" w:eastAsia="黑体" w:cs="Times New Roman"/>
      <w:sz w:val="22"/>
      <w:szCs w:val="20"/>
    </w:rPr>
  </w:style>
  <w:style w:type="character" w:customStyle="1" w:styleId="49">
    <w:name w:val="正文文本首行缩进 2 字符"/>
    <w:basedOn w:val="29"/>
    <w:link w:val="27"/>
    <w:autoRedefine/>
    <w:qFormat/>
    <w:uiPriority w:val="0"/>
    <w:rPr>
      <w:rFonts w:ascii="仿宋_GB2312" w:hAnsi="仿宋_GB2312" w:eastAsia="仿宋_GB2312"/>
      <w:kern w:val="2"/>
      <w:sz w:val="32"/>
      <w:szCs w:val="22"/>
    </w:rPr>
  </w:style>
  <w:style w:type="paragraph" w:customStyle="1" w:styleId="50">
    <w:name w:val="样式1"/>
    <w:basedOn w:val="1"/>
    <w:autoRedefine/>
    <w:qFormat/>
    <w:uiPriority w:val="0"/>
    <w:rPr>
      <w:rFonts w:hint="eastAsia"/>
    </w:rPr>
  </w:style>
  <w:style w:type="character" w:customStyle="1" w:styleId="51">
    <w:name w:val="批注文字 字符"/>
    <w:basedOn w:val="29"/>
    <w:link w:val="12"/>
    <w:autoRedefine/>
    <w:semiHidden/>
    <w:qFormat/>
    <w:uiPriority w:val="99"/>
    <w:rPr>
      <w:rFonts w:ascii="仿宋_GB2312" w:hAnsi="仿宋_GB2312" w:eastAsia="仿宋_GB2312" w:cs="Times New Roman"/>
      <w:b/>
      <w:kern w:val="2"/>
      <w:sz w:val="32"/>
      <w:szCs w:val="22"/>
    </w:rPr>
  </w:style>
  <w:style w:type="paragraph" w:customStyle="1" w:styleId="52">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53">
    <w:name w:val="Content_Message"/>
    <w:qFormat/>
    <w:uiPriority w:val="0"/>
    <w:pPr>
      <w:spacing w:line="480" w:lineRule="exact"/>
    </w:pPr>
    <w:rPr>
      <w:rFonts w:ascii="汉仪旗黑-50简" w:hAnsi="汉仪旗黑-50简" w:eastAsia="汉仪旗黑-50简" w:cs="汉仪旗黑-50简"/>
      <w:color w:val="3F3F3F"/>
      <w:sz w:val="28"/>
      <w:szCs w:val="28"/>
    </w:rPr>
  </w:style>
  <w:style w:type="paragraph" w:customStyle="1" w:styleId="54">
    <w:name w:val="正文缩进1"/>
    <w:basedOn w:val="1"/>
    <w:qFormat/>
    <w:uiPriority w:val="0"/>
    <w:pPr>
      <w:ind w:firstLine="720" w:firstLineChars="200"/>
    </w:pPr>
  </w:style>
  <w:style w:type="paragraph" w:customStyle="1" w:styleId="55">
    <w:name w:val="GP正文(首行缩进)"/>
    <w:basedOn w:val="1"/>
    <w:qFormat/>
    <w:uiPriority w:val="0"/>
    <w:pPr>
      <w:ind w:firstLine="560"/>
    </w:pPr>
    <w:rPr>
      <w:rFonts w:ascii="仿宋_GB2312" w:hAnsi="Times New Roman" w:eastAsia="宋体" w:cs="Times New Roman"/>
      <w:kern w:val="0"/>
    </w:rPr>
  </w:style>
  <w:style w:type="table" w:customStyle="1" w:styleId="56">
    <w:name w:val="Table Normal"/>
    <w:semiHidden/>
    <w:unhideWhenUsed/>
    <w:qFormat/>
    <w:uiPriority w:val="0"/>
    <w:tblPr>
      <w:tblCellMar>
        <w:top w:w="0" w:type="dxa"/>
        <w:left w:w="0" w:type="dxa"/>
        <w:bottom w:w="0" w:type="dxa"/>
        <w:right w:w="0" w:type="dxa"/>
      </w:tblCellMar>
    </w:tblPr>
  </w:style>
  <w:style w:type="character" w:customStyle="1" w:styleId="57">
    <w:name w:val="脚注文本 Char"/>
    <w:link w:val="22"/>
    <w:qFormat/>
    <w:uiPriority w:val="0"/>
    <w:rPr>
      <w:sz w:val="18"/>
    </w:rPr>
  </w:style>
  <w:style w:type="character" w:customStyle="1" w:styleId="58">
    <w:name w:val="font31"/>
    <w:basedOn w:val="29"/>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d180cf4f-a182-4f2e-952c-7a7a6c5ac649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506F0230</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8ef7a07c-e4bc-4de4-aae3-4e8b2aebd1c8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506F0230</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e8f79df2-a59e-4af9-aef4-69be5f8311dc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506F0230</paraID>
      <start xmlns="http://schemas.wps.cn/vas-ai-hub/contract-review">26</start>
      <end xmlns="http://schemas.wps.cn/vas-ai-hub/contract-review">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d9b5b0c4-16ff-4e0a-b892-f8318e2b9e30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4E418358</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0b1f394d-42eb-4d9a-92dc-f5646d493b61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4E418358</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fc518e0e-df36-4c93-95c7-26d67ab45032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4E418358</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1f85fe-f17c-4206-8d2d-cc43e3aa00fc}">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357</Words>
  <Characters>376</Characters>
  <Lines>0</Lines>
  <Paragraphs>0</Paragraphs>
  <TotalTime>67</TotalTime>
  <ScaleCrop>false</ScaleCrop>
  <LinksUpToDate>false</LinksUpToDate>
  <CharactersWithSpaces>397</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2025-05-13T10:26:00Z</dcterms:created>
  <dc:creator>LL</dc:creator>
  <cp:lastModifiedBy>HIGC</cp:lastModifiedBy>
  <cp:lastPrinted>2025-06-10T10:03:00Z</cp:lastPrinted>
  <dcterms:modified xsi:type="dcterms:W3CDTF">2026-10-16T15:05:35Z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33A78EAF1BDE4B0D97BE2BA54E10990B_13</vt:lpwstr>
  </property>
  <property fmtid="{D5CDD505-2E9C-101B-9397-08002B2CF9AE}" pid="4" name="KSOTemplateDocerSaveRecord">
    <vt:lpwstr>eyJoZGlkIjoiMzNmYjFlYjM1MmEwNjQyMmM3MDNlNTAyNTYyODBhYzciLCJ1c2VySWQiOiIxMTgyMDk3ODIxIn0=</vt:lpwstr>
  </property>
</Properties>
</file>