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lang w:val="en-US" w:eastAsia="zh-CN"/>
        </w:rPr>
      </w:pPr>
      <w:r>
        <w:rPr>
          <w:rFonts w:hint="eastAsia" w:ascii="黑体" w:hAnsi="黑体" w:eastAsia="黑体" w:cs="黑体"/>
          <w:b w:val="0"/>
          <w:sz w:val="32"/>
        </w:rPr>
        <w:t>附件</w:t>
      </w:r>
      <w:r>
        <w:rPr>
          <w:rFonts w:hint="eastAsia" w:ascii="黑体" w:hAnsi="黑体" w:eastAsia="黑体" w:cs="黑体"/>
          <w:b w:val="0"/>
          <w:sz w:val="32"/>
          <w:lang w:val="en-US" w:eastAsia="zh-CN"/>
        </w:rPr>
        <w:t>2</w:t>
      </w:r>
    </w:p>
    <w:p>
      <w:pPr>
        <w:keepNext w:val="0"/>
        <w:keepLines w:val="0"/>
        <w:pageBreakBefore w:val="0"/>
        <w:widowControl w:val="0"/>
        <w:kinsoku/>
        <w:wordWrap/>
        <w:overflowPunct/>
        <w:topLinePunct w:val="0"/>
        <w:autoSpaceDE/>
        <w:autoSpaceDN/>
        <w:bidi w:val="0"/>
        <w:adjustRightInd/>
        <w:snapToGrid/>
        <w:spacing w:before="0" w:after="0" w:line="560" w:lineRule="exact"/>
        <w:textAlignment w:val="auto"/>
      </w:pPr>
    </w:p>
    <w:p>
      <w:pPr>
        <w:keepNext w:val="0"/>
        <w:keepLines w:val="0"/>
        <w:pageBreakBefore w:val="0"/>
        <w:widowControl w:val="0"/>
        <w:shd w:val="clear" w:color="auto" w:fill="FFFFFF"/>
        <w:kinsoku/>
        <w:wordWrap/>
        <w:overflowPunct/>
        <w:topLinePunct w:val="0"/>
        <w:autoSpaceDE/>
        <w:autoSpaceDN/>
        <w:bidi w:val="0"/>
        <w:adjustRightInd/>
        <w:snapToGrid/>
        <w:spacing w:after="0" w:line="560" w:lineRule="exact"/>
        <w:jc w:val="center"/>
        <w:textAlignment w:val="auto"/>
        <w:rPr>
          <w:rFonts w:hint="eastAsia" w:ascii="方正小标宋简体" w:hAnsi="Calibri" w:eastAsia="方正小标宋简体" w:cs="宋体"/>
          <w:color w:val="000000"/>
          <w:kern w:val="0"/>
          <w:sz w:val="44"/>
          <w:szCs w:val="44"/>
          <w:lang w:eastAsia="zh-CN"/>
        </w:rPr>
      </w:pPr>
      <w:r>
        <w:rPr>
          <w:rFonts w:hint="eastAsia" w:ascii="方正小标宋简体" w:hAnsi="Calibri" w:eastAsia="方正小标宋简体" w:cs="宋体"/>
          <w:color w:val="000000"/>
          <w:kern w:val="0"/>
          <w:sz w:val="44"/>
          <w:szCs w:val="44"/>
          <w:lang w:eastAsia="zh-CN"/>
        </w:rPr>
        <w:t>北京市丰台区生态环境局关于</w:t>
      </w:r>
    </w:p>
    <w:p>
      <w:pPr>
        <w:keepNext w:val="0"/>
        <w:keepLines w:val="0"/>
        <w:pageBreakBefore w:val="0"/>
        <w:widowControl w:val="0"/>
        <w:shd w:val="clear" w:color="auto" w:fill="FFFFFF"/>
        <w:kinsoku/>
        <w:wordWrap/>
        <w:overflowPunct/>
        <w:topLinePunct w:val="0"/>
        <w:autoSpaceDE/>
        <w:autoSpaceDN/>
        <w:bidi w:val="0"/>
        <w:adjustRightInd/>
        <w:snapToGrid/>
        <w:spacing w:after="0" w:line="560" w:lineRule="exact"/>
        <w:jc w:val="center"/>
        <w:textAlignment w:val="auto"/>
        <w:rPr>
          <w:rFonts w:hint="eastAsia" w:ascii="方正小标宋简体" w:hAnsi="Calibri" w:eastAsia="方正小标宋简体" w:cs="宋体"/>
          <w:color w:val="000000"/>
          <w:kern w:val="0"/>
          <w:sz w:val="44"/>
          <w:szCs w:val="44"/>
          <w:lang w:eastAsia="zh-CN"/>
        </w:rPr>
      </w:pPr>
      <w:r>
        <w:rPr>
          <w:rFonts w:hint="eastAsia" w:ascii="方正小标宋简体" w:hAnsi="Calibri" w:eastAsia="方正小标宋简体" w:cs="宋体"/>
          <w:color w:val="000000"/>
          <w:kern w:val="0"/>
          <w:sz w:val="44"/>
          <w:szCs w:val="44"/>
          <w:lang w:eastAsia="zh-CN"/>
        </w:rPr>
        <w:t>《推进美丽丰台建设北京市丰台区</w:t>
      </w:r>
    </w:p>
    <w:p>
      <w:pPr>
        <w:keepNext w:val="0"/>
        <w:keepLines w:val="0"/>
        <w:pageBreakBefore w:val="0"/>
        <w:widowControl w:val="0"/>
        <w:shd w:val="clear" w:color="auto" w:fill="FFFFFF"/>
        <w:kinsoku/>
        <w:wordWrap/>
        <w:overflowPunct/>
        <w:topLinePunct w:val="0"/>
        <w:autoSpaceDE/>
        <w:autoSpaceDN/>
        <w:bidi w:val="0"/>
        <w:adjustRightInd/>
        <w:snapToGrid/>
        <w:spacing w:after="0" w:line="560" w:lineRule="exact"/>
        <w:jc w:val="center"/>
        <w:textAlignment w:val="auto"/>
        <w:rPr>
          <w:rFonts w:hint="eastAsia" w:ascii="方正小标宋简体" w:hAnsi="Calibri" w:eastAsia="方正小标宋简体" w:cs="宋体"/>
          <w:color w:val="000000"/>
          <w:kern w:val="0"/>
          <w:sz w:val="44"/>
          <w:szCs w:val="44"/>
          <w:lang w:eastAsia="zh-CN"/>
        </w:rPr>
      </w:pPr>
      <w:r>
        <w:rPr>
          <w:rFonts w:hint="eastAsia" w:ascii="方正小标宋简体" w:hAnsi="Calibri" w:eastAsia="方正小标宋简体" w:cs="宋体"/>
          <w:color w:val="000000"/>
          <w:kern w:val="0"/>
          <w:sz w:val="44"/>
          <w:szCs w:val="44"/>
          <w:lang w:eastAsia="zh-CN"/>
        </w:rPr>
        <w:t>绿色低碳发展以奖代补支持办法（试行）</w:t>
      </w:r>
    </w:p>
    <w:p>
      <w:pPr>
        <w:keepNext w:val="0"/>
        <w:keepLines w:val="0"/>
        <w:pageBreakBefore w:val="0"/>
        <w:widowControl w:val="0"/>
        <w:shd w:val="clear" w:color="auto" w:fill="FFFFFF"/>
        <w:kinsoku/>
        <w:wordWrap/>
        <w:overflowPunct/>
        <w:topLinePunct w:val="0"/>
        <w:autoSpaceDE/>
        <w:autoSpaceDN/>
        <w:bidi w:val="0"/>
        <w:adjustRightInd/>
        <w:snapToGrid/>
        <w:spacing w:after="0" w:line="560" w:lineRule="exact"/>
        <w:jc w:val="center"/>
        <w:textAlignment w:val="auto"/>
        <w:rPr>
          <w:rFonts w:hint="eastAsia" w:ascii="方正小标宋简体" w:hAnsi="Calibri" w:eastAsia="方正小标宋简体" w:cs="宋体"/>
          <w:color w:val="000000"/>
          <w:kern w:val="0"/>
          <w:sz w:val="44"/>
          <w:szCs w:val="44"/>
          <w:lang w:eastAsia="zh-CN"/>
        </w:rPr>
      </w:pPr>
      <w:r>
        <w:rPr>
          <w:rFonts w:hint="eastAsia" w:ascii="方正小标宋简体" w:hAnsi="Calibri" w:eastAsia="方正小标宋简体" w:cs="宋体"/>
          <w:color w:val="000000"/>
          <w:kern w:val="0"/>
          <w:sz w:val="44"/>
          <w:szCs w:val="44"/>
          <w:lang w:eastAsia="zh-CN"/>
        </w:rPr>
        <w:t>（公众征求意见稿）》的起草说明</w:t>
      </w:r>
    </w:p>
    <w:p>
      <w:pPr>
        <w:keepNext w:val="0"/>
        <w:keepLines w:val="0"/>
        <w:pageBreakBefore w:val="0"/>
        <w:widowControl w:val="0"/>
        <w:kinsoku/>
        <w:wordWrap/>
        <w:overflowPunct/>
        <w:topLinePunct w:val="0"/>
        <w:autoSpaceDE/>
        <w:autoSpaceDN/>
        <w:bidi w:val="0"/>
        <w:adjustRightInd/>
        <w:snapToGrid/>
        <w:spacing w:before="0" w:after="0" w:line="560" w:lineRule="exact"/>
        <w:textAlignment w:val="auto"/>
      </w:pP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黑体" w:cs="Times New Roman"/>
          <w:b w:val="0"/>
          <w:sz w:val="32"/>
        </w:rPr>
        <w:t>一、出台背景</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十五五”时期是美丽中国与美丽北京建设的关键阶段，也是丰台区经济社会发展全面绿色低碳转型的攻坚时期。为深入贯彻习近平生态文明思想，落实《中共北京市委北京市人民政府关于全面建设美丽北京加快推进人与自然和谐共生的现代化的实施意见》要求，充分发挥财政资金激励引导作用，撬动社会资本参与减污降碳协同增效，推动生态环境质量持续改善。</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丰台区作为首都高品质生活服务供给保障区、科技创新和金融服务融合发展区，肩负着首都生态保护和高质量发展的重大使命。按照《中共北京市丰台区委城市工作委员会关于印发〈全面推进美丽丰台建设的实施方案〉的通知》（丰城工委</w:t>
      </w:r>
      <w:r>
        <w:rPr>
          <w:rFonts w:hint="eastAsia" w:ascii="仿宋_GB2312" w:hAnsi="仿宋_GB2312" w:eastAsia="仿宋_GB2312" w:cs="仿宋_GB2312"/>
          <w:b w:val="0"/>
          <w:sz w:val="32"/>
        </w:rPr>
        <w:t>〔2025〕5号</w:t>
      </w:r>
      <w:r>
        <w:rPr>
          <w:rFonts w:ascii="Times New Roman" w:hAnsi="Times New Roman" w:eastAsia="仿宋_GB2312" w:cs="Times New Roman"/>
          <w:b w:val="0"/>
          <w:sz w:val="32"/>
        </w:rPr>
        <w:t>）工作部署，</w:t>
      </w:r>
      <w:r>
        <w:rPr>
          <w:rFonts w:hint="eastAsia" w:ascii="Times New Roman" w:hAnsi="Times New Roman" w:eastAsia="仿宋_GB2312" w:cs="Times New Roman"/>
          <w:b w:val="0"/>
          <w:sz w:val="32"/>
          <w:lang w:eastAsia="zh-CN"/>
        </w:rPr>
        <w:t>为</w:t>
      </w:r>
      <w:r>
        <w:rPr>
          <w:rFonts w:ascii="Times New Roman" w:hAnsi="Times New Roman" w:eastAsia="仿宋_GB2312" w:cs="Times New Roman"/>
          <w:b w:val="0"/>
          <w:sz w:val="32"/>
        </w:rPr>
        <w:t>建立系统化、精准化的财政激励机制，聚焦移动源污染、生活源扰民、产业绿色转型等重点领域，以“以奖代补”方式调动企业和社会主体主动开展污染治理和降碳行动的积极性，推动美丽丰台建设各项任务落地见效。</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根据《北京市财政局北京市生态环境局关于印发〈北京市污染防治资金管理办法〉的通知》（</w:t>
      </w:r>
      <w:r>
        <w:rPr>
          <w:rFonts w:hint="eastAsia" w:ascii="仿宋_GB2312" w:hAnsi="仿宋_GB2312" w:eastAsia="仿宋_GB2312" w:cs="仿宋_GB2312"/>
          <w:b w:val="0"/>
          <w:sz w:val="32"/>
        </w:rPr>
        <w:t>京财资环〔2025〕1714</w:t>
      </w:r>
      <w:r>
        <w:rPr>
          <w:rFonts w:ascii="Times New Roman" w:hAnsi="Times New Roman" w:eastAsia="仿宋_GB2312" w:cs="Times New Roman"/>
          <w:b w:val="0"/>
          <w:sz w:val="32"/>
        </w:rPr>
        <w:t>号）以及市区两级财政资金管理有关规定，结合本区实际，制定本《办法》。本《办法》是丰台区运用财政资金推进绿色低碳发展的重要政策工具，旨在通过事后奖励方式，发挥财政资金撬动作用，确保资金使用效益，助力美丽丰台建设。</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黑体" w:cs="Times New Roman"/>
          <w:b w:val="0"/>
          <w:sz w:val="32"/>
        </w:rPr>
        <w:t>二、主要特点</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1.</w:t>
      </w:r>
      <w:r>
        <w:rPr>
          <w:rFonts w:ascii="Times New Roman" w:hAnsi="Times New Roman" w:eastAsia="仿宋_GB2312" w:cs="Times New Roman"/>
          <w:b w:val="0"/>
          <w:sz w:val="32"/>
        </w:rPr>
        <w:t>坚持问题导向，聚焦减污降碳协同增效。围绕移动源、重点行业、锅炉、施工扬尘等大气污染防治重点领域，精准设置零排放货物运输车队、非道路移动机械新能源化、机动车检验机构数智化升级、汽修行业绩效提级、锅炉热计量监控、基坑气膜全封闭覆盖、全电工地等奖励方向，推动氮氧化物、挥发性有机物、颗粒物等主要污染物协同减排，实现减污与降碳同频共振。</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2.坚持民生为本，回应群众身边关切。聚焦餐饮油烟扰民、商业</w:t>
      </w:r>
      <w:r>
        <w:rPr>
          <w:rFonts w:ascii="Times New Roman" w:hAnsi="Times New Roman" w:eastAsia="仿宋_GB2312" w:cs="Times New Roman"/>
          <w:b w:val="0"/>
          <w:sz w:val="32"/>
        </w:rPr>
        <w:t>固定设备噪声、小区公共设施噪声、干洗行业挥发性有机物排放等群众反映集中的生活源污染问题，设置餐饮油烟净化升级、餐饮集中区集中治理、餐饮排口改造、商业及小区设备系统降噪治理、干洗落后设备淘汰更新等奖励条款，以实际成效提升群众生态环境获得感、幸福感、安全感。</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3.坚持</w:t>
      </w:r>
      <w:r>
        <w:rPr>
          <w:rFonts w:hint="eastAsia" w:ascii="Times New Roman" w:hAnsi="Times New Roman" w:eastAsia="仿宋_GB2312" w:cs="Times New Roman"/>
          <w:b w:val="0"/>
          <w:sz w:val="32"/>
          <w:lang w:eastAsia="zh-CN"/>
        </w:rPr>
        <w:t>转型为要</w:t>
      </w:r>
      <w:r>
        <w:rPr>
          <w:rFonts w:ascii="Times New Roman" w:hAnsi="Times New Roman" w:eastAsia="仿宋_GB2312" w:cs="Times New Roman"/>
          <w:b w:val="0"/>
          <w:sz w:val="32"/>
          <w:highlight w:val="none"/>
        </w:rPr>
        <w:t>，撬动社会资本投入。</w:t>
      </w:r>
      <w:r>
        <w:rPr>
          <w:rFonts w:ascii="Times New Roman" w:hAnsi="Times New Roman" w:eastAsia="仿宋_GB2312" w:cs="Times New Roman"/>
          <w:b w:val="0"/>
          <w:sz w:val="32"/>
        </w:rPr>
        <w:t>以事后奖励为主要方式，按照项目实际投资额的一定比例给予补助，充分体现“企业先投入、政府后奖补”的原则，以财政资金“小投入”撬动社会资本“大投入”，引导企业主动开展绿色化改造和低碳化转型。设置单个法人主体年度最高500万元支持额度，兼顾政策普惠性与重点支持力度。</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4.坚持科技赋</w:t>
      </w:r>
      <w:r>
        <w:rPr>
          <w:rFonts w:ascii="Times New Roman" w:hAnsi="Times New Roman" w:eastAsia="仿宋_GB2312" w:cs="Times New Roman"/>
          <w:b w:val="0"/>
          <w:sz w:val="32"/>
        </w:rPr>
        <w:t>能，推动智慧治理升级。将数智化改造纳入奖励范围，支持机动车检验机构完成阳光验车、一线一码等数智化升级改造，鼓励共享钣喷中心建设机器人喷漆功能并实现与区生态环境局数字化联网，推动污染治理设施与监管平台互联互通，以数字技术赋能环境治理精准化、智能化。</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5.坚持绩效导</w:t>
      </w:r>
      <w:r>
        <w:rPr>
          <w:rFonts w:ascii="Times New Roman" w:hAnsi="Times New Roman" w:eastAsia="仿宋_GB2312" w:cs="Times New Roman"/>
          <w:b w:val="0"/>
          <w:sz w:val="32"/>
        </w:rPr>
        <w:t>向，强化资金闭环管理。建立“项目储备—公开征集—专家评审—部门联审—公示支付—绩效评价”全流程管理机制，明确以氮氧化物、挥发性有机物、颗粒物、化学需氧量、氨氮、二氧化碳等主要污染物减排量为核心绩效指标，实行年度事后绩效评价，评价结果作为下一年度资金安排和政策调整的重要依据，确保财政资金安全高效。</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黑体" w:cs="Times New Roman"/>
          <w:b w:val="0"/>
          <w:sz w:val="32"/>
        </w:rPr>
        <w:t>三、主要内容</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《办法》共六章二十八条，明确了支持资金的使用方向、管理职责、申报流程和监督要求，构建了绿色低碳发展以奖代补的制度框架。</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cs="Times New Roman"/>
          <w:b w:val="0"/>
          <w:sz w:val="32"/>
        </w:rPr>
        <w:t>（一）总则</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明确立法依据、资金定义和使用原则。本办法所称绿色低碳发展支持资金，是指由财政资金保障、用于支持污染治理和降碳协同、促进环境质量持续改善的以奖代补资金，年度支持规模依据丰台区生态环境规划、污染防治工作要求、年度工作计划和生态环境领域项目库储备情况综合确定。</w:t>
      </w:r>
      <w:r>
        <w:rPr>
          <w:rFonts w:ascii="Times New Roman" w:hAnsi="Times New Roman" w:eastAsia="仿宋_GB2312" w:cs="Times New Roman"/>
          <w:b w:val="0"/>
          <w:sz w:val="32"/>
          <w:highlight w:val="none"/>
        </w:rPr>
        <w:t>资金使用体现引导和激励性，</w:t>
      </w:r>
      <w:r>
        <w:rPr>
          <w:rFonts w:ascii="Times New Roman" w:hAnsi="Times New Roman" w:eastAsia="仿宋_GB2312" w:cs="Times New Roman"/>
          <w:b w:val="0"/>
          <w:sz w:val="32"/>
        </w:rPr>
        <w:t>实行专款专用，自觉接受人大监督、审计监督和社会监督。</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cs="Times New Roman"/>
          <w:b w:val="0"/>
          <w:sz w:val="32"/>
        </w:rPr>
        <w:t>（二）管理职责和分工</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厘清区生态环境部门、区财政部门和各领域主管部门三方职责。区生态环境部门负责确定支持范围和重点方向、建立健全项目库管理、委托第三方专业机构评审、会同相关部门审查确定具体支持项目和资金金额、负责项目实施和资金使用跟踪监督、开展信息公开和绩效自评价。区财政部门负责年度预算保障、履行部门预算程序、开展事后绩效评价。各领域主管部门按需提出支持事项建议、工作方案及资金分配建议，按照办法要求开展项目推荐工作。</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cs="Times New Roman"/>
          <w:b w:val="0"/>
          <w:sz w:val="32"/>
        </w:rPr>
        <w:t>（三）支持范围和方向</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这是本《办法》的核心内容，围绕“清净丰台、宜居丰台、绿色丰台”三大板块，设置十一类支持方向，支持对象为在丰台区内规范经营的企业、机构和部门等。</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1.减污降碳协同推进清净丰台板块。围绕移动源、重点行业、锅炉、施工扬尘等领域，</w:t>
      </w:r>
      <w:r>
        <w:rPr>
          <w:rFonts w:ascii="Times New Roman" w:hAnsi="Times New Roman" w:eastAsia="仿宋_GB2312" w:cs="Times New Roman"/>
          <w:b w:val="0"/>
          <w:sz w:val="32"/>
        </w:rPr>
        <w:t>设置四类支持：一是移动源排放协同治理类，包括零排放货物运输车队奖励、非道路移动机械新能源化奖励、机动车检验机构数智化升级改造奖励；二是空气重污染重点行业绩效提级类，包括汽车维修企业绩效提级奖励和其他行业绩效提级奖励；三是锅炉深度治理类，支持锅炉使用单位安装能源在线监控装置并</w:t>
      </w:r>
      <w:r>
        <w:rPr>
          <w:rFonts w:hint="eastAsia" w:ascii="仿宋_GB2312" w:hAnsi="仿宋_GB2312" w:eastAsia="仿宋_GB2312" w:cs="仿宋_GB2312"/>
          <w:b w:val="0"/>
          <w:sz w:val="32"/>
        </w:rPr>
        <w:t>达到A、B级环</w:t>
      </w:r>
      <w:r>
        <w:rPr>
          <w:rFonts w:ascii="Times New Roman" w:hAnsi="Times New Roman" w:eastAsia="仿宋_GB2312" w:cs="Times New Roman"/>
          <w:b w:val="0"/>
          <w:sz w:val="32"/>
        </w:rPr>
        <w:t>保绩效标准；四是绿色施工类，包括基坑气膜全封闭覆盖奖励和全电工地奖励。</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2.生活源深</w:t>
      </w:r>
      <w:r>
        <w:rPr>
          <w:rFonts w:ascii="Times New Roman" w:hAnsi="Times New Roman" w:eastAsia="仿宋_GB2312" w:cs="Times New Roman"/>
          <w:b w:val="0"/>
          <w:sz w:val="32"/>
        </w:rPr>
        <w:t>度治理打造宜居丰台板块。围绕油烟治理、噪声防控、固体废物处置等民生领域，设置四类支持：一是餐饮行业油烟治理改造，包括餐饮油烟净化升级、餐饮集中区油烟集中治理、餐饮排口改造；二是噪声系统治理改造，包括商业固定设备降噪治理和小区内部公共设备设施降噪治理；三是干洗行业设备淘汰更新，支持淘汰落后干洗设备、更新为全封闭式干洗设备；四是固体废物减量化、资源化提升，包括一般固体废物和邮政快递包装绿色转型两类场景。</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hint="eastAsia" w:ascii="仿宋_GB2312" w:hAnsi="仿宋_GB2312" w:eastAsia="仿宋_GB2312" w:cs="仿宋_GB2312"/>
          <w:b w:val="0"/>
          <w:sz w:val="32"/>
        </w:rPr>
        <w:t>3.低碳转型引领建设绿</w:t>
      </w:r>
      <w:r>
        <w:rPr>
          <w:rFonts w:hint="eastAsia" w:ascii="Times New Roman" w:hAnsi="Times New Roman" w:eastAsia="仿宋_GB2312" w:cs="Times New Roman"/>
          <w:b w:val="0"/>
          <w:sz w:val="32"/>
        </w:rPr>
        <w:t>色丰台</w:t>
      </w:r>
      <w:r>
        <w:rPr>
          <w:rFonts w:ascii="Times New Roman" w:hAnsi="Times New Roman" w:eastAsia="仿宋_GB2312" w:cs="Times New Roman"/>
          <w:b w:val="0"/>
          <w:sz w:val="32"/>
        </w:rPr>
        <w:t>。围绕集群治理、企业转型、区域</w:t>
      </w:r>
      <w:r>
        <w:rPr>
          <w:rFonts w:hint="eastAsia" w:ascii="Times New Roman" w:hAnsi="Times New Roman" w:eastAsia="仿宋_GB2312" w:cs="Times New Roman"/>
          <w:b w:val="0"/>
          <w:sz w:val="32"/>
          <w:lang w:eastAsia="zh-CN"/>
        </w:rPr>
        <w:t>建设</w:t>
      </w:r>
      <w:r>
        <w:rPr>
          <w:rFonts w:ascii="Times New Roman" w:hAnsi="Times New Roman" w:eastAsia="仿宋_GB2312" w:cs="Times New Roman"/>
          <w:b w:val="0"/>
          <w:sz w:val="32"/>
        </w:rPr>
        <w:t>等层次，设置三类支持：一是汽修集中区域挥发性有机物集中治理，支持建设共享钣喷中心；二是企业绿色绩效评价，对评定为绿色标杆（深绿）和绿色基准（浅绿）的企业给予一次性奖励；三是</w:t>
      </w:r>
      <w:r>
        <w:rPr>
          <w:rFonts w:hint="eastAsia" w:ascii="Times New Roman" w:hAnsi="Times New Roman" w:eastAsia="仿宋_GB2312" w:cs="Times New Roman"/>
          <w:b w:val="0"/>
          <w:sz w:val="32"/>
          <w:lang w:eastAsia="zh-CN"/>
        </w:rPr>
        <w:t>重点</w:t>
      </w:r>
      <w:r>
        <w:rPr>
          <w:rFonts w:ascii="Times New Roman" w:hAnsi="Times New Roman" w:eastAsia="仿宋_GB2312" w:cs="Times New Roman"/>
          <w:b w:val="0"/>
          <w:sz w:val="32"/>
        </w:rPr>
        <w:t>区域低碳建设支持，对</w:t>
      </w:r>
      <w:r>
        <w:rPr>
          <w:rFonts w:hint="eastAsia" w:ascii="Times New Roman" w:hAnsi="Times New Roman" w:eastAsia="仿宋_GB2312" w:cs="Times New Roman"/>
          <w:b w:val="0"/>
          <w:sz w:val="32"/>
          <w:lang w:eastAsia="zh-CN"/>
        </w:rPr>
        <w:t>气候友好型</w:t>
      </w:r>
      <w:r>
        <w:rPr>
          <w:rFonts w:ascii="Times New Roman" w:hAnsi="Times New Roman" w:eastAsia="仿宋_GB2312" w:cs="Times New Roman"/>
          <w:b w:val="0"/>
          <w:sz w:val="32"/>
        </w:rPr>
        <w:t>园区、街道（乡镇）、社区（村）等小尺度区域开展的低碳建设项目给予奖励。</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同时明确，对单个法人或同一机构主体同一年度多项目累计最高支持额度不</w:t>
      </w:r>
      <w:r>
        <w:rPr>
          <w:rFonts w:hint="eastAsia" w:ascii="仿宋_GB2312" w:hAnsi="仿宋_GB2312" w:eastAsia="仿宋_GB2312" w:cs="仿宋_GB2312"/>
          <w:b w:val="0"/>
          <w:sz w:val="32"/>
        </w:rPr>
        <w:t>超过500万元；</w:t>
      </w:r>
      <w:r>
        <w:rPr>
          <w:rFonts w:ascii="Times New Roman" w:hAnsi="Times New Roman" w:eastAsia="仿宋_GB2312" w:cs="Times New Roman"/>
          <w:b w:val="0"/>
          <w:sz w:val="32"/>
        </w:rPr>
        <w:t>同一项目不得重复获取不同情形的奖励支持；属于建设项目环境保护“三同时”的项目、已使用政府资金或已获得市级资金支持的项目，不列入支持范围。</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cs="Times New Roman"/>
          <w:b w:val="0"/>
          <w:sz w:val="32"/>
        </w:rPr>
        <w:t>（四）申报及执行管理</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规范项目申报全流程。区生态环境部门根据相关环保规划、计划和实施方案设立项目库，结合年度减污降碳工作部署统筹重点支持方向，面向社会公开征集项目，同步征求相关主管部门意见。项目单位按申报指南要求报送材料，经区生态环境部门形式初审后建立项目储备库；对确需专家评审的项目，委托第三方专业机构进行文件评审和现场审核；再由区生态环境部门组织相关行业主管部门联合审查，</w:t>
      </w:r>
      <w:r>
        <w:rPr>
          <w:rFonts w:ascii="Times New Roman" w:hAnsi="Times New Roman" w:eastAsia="仿宋_GB2312" w:cs="Times New Roman"/>
          <w:b w:val="0"/>
          <w:sz w:val="32"/>
          <w:highlight w:val="none"/>
        </w:rPr>
        <w:t>优先支持减污降碳效益明显的项目，</w:t>
      </w:r>
      <w:r>
        <w:rPr>
          <w:rFonts w:ascii="Times New Roman" w:hAnsi="Times New Roman" w:eastAsia="仿宋_GB2312" w:cs="Times New Roman"/>
          <w:b w:val="0"/>
          <w:sz w:val="32"/>
        </w:rPr>
        <w:t>形成资金支持初步方案。经区生态环境局、区财政局审议通过后，</w:t>
      </w:r>
      <w:r>
        <w:rPr>
          <w:rFonts w:hint="eastAsia" w:ascii="仿宋_GB2312" w:hAnsi="仿宋_GB2312" w:eastAsia="仿宋_GB2312" w:cs="仿宋_GB2312"/>
          <w:b w:val="0"/>
          <w:sz w:val="32"/>
        </w:rPr>
        <w:t>在区政府网</w:t>
      </w:r>
      <w:bookmarkStart w:id="0" w:name="_GoBack"/>
      <w:bookmarkEnd w:id="0"/>
      <w:r>
        <w:rPr>
          <w:rFonts w:hint="eastAsia" w:ascii="仿宋_GB2312" w:hAnsi="仿宋_GB2312" w:eastAsia="仿宋_GB2312" w:cs="仿宋_GB2312"/>
          <w:b w:val="0"/>
          <w:sz w:val="32"/>
        </w:rPr>
        <w:t>站公开5日，公示无异议后履行资金支付程序。本办法属于事后奖励，申报项目原则上须已实施完成，实际支付金额达到项目总投资的90%以上。申报主体须未被列入严重违法失信主体名单</w:t>
      </w:r>
      <w:r>
        <w:rPr>
          <w:rFonts w:ascii="Times New Roman" w:hAnsi="Times New Roman" w:eastAsia="仿宋_GB2312" w:cs="Times New Roman"/>
          <w:b w:val="0"/>
          <w:sz w:val="32"/>
        </w:rPr>
        <w:t>、未发生突发环境事件、未发生重大安全生产责任事故。</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cs="Times New Roman"/>
          <w:b w:val="0"/>
          <w:sz w:val="32"/>
        </w:rPr>
        <w:t>（五）绩效评价与监督管理</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强化全过程绩效管理和风险防控。政策制定与执行同步考量经济效益、环境效益和社会效益，每年组织开展当年资金执行事后绩效评价，环境效益核心指标包括氮氧化物、挥发性有机物、颗粒物等大气污染物减排量，化学需氧量、氨氮等水污染物削减量，碳减排量和环境质量改善程度，评价结果作为下一年度资金安排和政策调整的重要依据。加强廉政风险防范，明确风险管理流程和要点，对滥用职权、玩忽职守、徇私舞弊等违纪违法行为，依照《中华人民共和国预算法》及其实施条例、《中华人民共和国公务员法》《中华人民共和国监察法》《财政违法行为处罚处分条例》等规定处理。对提供虚假材料骗取资金、未按规定使用资金、绩效评价不合格且整改不到位的，依法追回已拨付资金。已领取奖励资金的企业，自领取之日起三年内重污染绩效等级被市级行业管理部门降级的，应主动退回相应奖励资金。</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楷体" w:cs="Times New Roman"/>
          <w:b w:val="0"/>
          <w:sz w:val="32"/>
        </w:rPr>
        <w:t>（六）附则</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pPr>
      <w:r>
        <w:rPr>
          <w:rFonts w:ascii="Times New Roman" w:hAnsi="Times New Roman" w:eastAsia="仿宋_GB2312" w:cs="Times New Roman"/>
          <w:b w:val="0"/>
          <w:sz w:val="32"/>
        </w:rPr>
        <w:t>明确本办法由区生态环境局、区财政局负责解释，自发文之日起施行，有效</w:t>
      </w:r>
      <w:r>
        <w:rPr>
          <w:rFonts w:hint="eastAsia" w:ascii="仿宋_GB2312" w:hAnsi="仿宋_GB2312" w:eastAsia="仿宋_GB2312" w:cs="仿宋_GB2312"/>
          <w:b w:val="0"/>
          <w:sz w:val="32"/>
        </w:rPr>
        <w:t>期截至2028年12月31日。试行</w:t>
      </w:r>
      <w:r>
        <w:rPr>
          <w:rFonts w:ascii="Times New Roman" w:hAnsi="Times New Roman" w:eastAsia="仿宋_GB2312" w:cs="Times New Roman"/>
          <w:b w:val="0"/>
          <w:sz w:val="32"/>
        </w:rPr>
        <w:t>期一年，试行期满后按事后绩效评价结果逐年调整；如遇国家或北京市、丰台区相关政策调整的，按照其规定执行。</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仿宋_GB2312"/>
    <w:panose1 w:val="00000000000000000000"/>
    <w:charset w:val="80"/>
    <w:family w:val="roman"/>
    <w:pitch w:val="default"/>
    <w:sig w:usb0="00000000" w:usb1="00000000" w:usb2="00000010" w:usb3="00000000" w:csb0="00020000" w:csb1="00000000"/>
  </w:font>
  <w:font w:name="ＭＳ 明朝">
    <w:altName w:val="仿宋_GB2312"/>
    <w:panose1 w:val="00000000000000000000"/>
    <w:charset w:val="86"/>
    <w:family w:val="auto"/>
    <w:pitch w:val="default"/>
    <w:sig w:usb0="00000000" w:usb1="00000000" w:usb2="00000000" w:usb3="00000000" w:csb0="00000000" w:csb1="00000000"/>
  </w:font>
  <w:font w:name="ＭＳ ゴシック">
    <w:altName w:val="仿宋_GB2312"/>
    <w:panose1 w:val="00000000000000000000"/>
    <w:charset w:val="80"/>
    <w:family w:val="modern"/>
    <w:pitch w:val="default"/>
    <w:sig w:usb0="00000000" w:usb1="00000000" w:usb2="00000010" w:usb3="00000000" w:csb0="00020000" w:csb1="00000000"/>
  </w:font>
  <w:font w:name="Courier">
    <w:altName w:val="DejaVu Math TeX Gyre"/>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0000000000000000000"/>
    <w:charset w:val="00"/>
    <w:family w:val="auto"/>
    <w:pitch w:val="default"/>
    <w:sig w:usb0="00000000" w:usb1="00000000" w:usb2="00000000" w:usb3="00000000" w:csb0="00000000" w:csb1="00000000"/>
  </w:font>
  <w:font w:name="ＭＳ 明朝">
    <w:altName w:val="仿宋_GB2312"/>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FF7605"/>
    <w:rsid w:val="6EF130A8"/>
    <w:rsid w:val="7BB88A9F"/>
    <w:rsid w:val="7EFA77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0"/>
    <w:pPr>
      <w:ind w:left="420" w:leftChars="200"/>
    </w:pPr>
  </w:style>
  <w:style w:type="paragraph" w:styleId="3">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3"/>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8"/>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9"/>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9</TotalTime>
  <ScaleCrop>false</ScaleCrop>
  <LinksUpToDate>false</LinksUpToDate>
  <CharactersWithSpaces>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uos</cp:lastModifiedBy>
  <dcterms:modified xsi:type="dcterms:W3CDTF">2026-10-15T09:55:39Z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BF9071F1E0E581B2A932CF6AA447D3B6_43</vt:lpwstr>
  </property>
</Properties>
</file>