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0" w:after="0" w:line="560" w:lineRule="exact"/>
        <w:jc w:val="left"/>
        <w:textAlignment w:val="auto"/>
        <w:rPr>
          <w:rFonts w:hint="eastAsia" w:ascii="黑体" w:hAnsi="黑体" w:eastAsia="黑体" w:cs="黑体"/>
          <w:lang w:val="en-US" w:eastAsia="zh-CN"/>
        </w:rPr>
      </w:pPr>
      <w:r>
        <w:rPr>
          <w:rFonts w:hint="eastAsia" w:ascii="黑体" w:hAnsi="黑体" w:eastAsia="黑体" w:cs="黑体"/>
          <w:b w:val="0"/>
          <w:sz w:val="32"/>
        </w:rPr>
        <w:t>附件</w:t>
      </w:r>
      <w:r>
        <w:rPr>
          <w:rFonts w:hint="eastAsia" w:ascii="黑体" w:hAnsi="黑体" w:eastAsia="黑体" w:cs="黑体"/>
          <w:b w:val="0"/>
          <w:sz w:val="32"/>
          <w:lang w:val="en-US" w:eastAsia="zh-CN"/>
        </w:rPr>
        <w:t>1</w:t>
      </w:r>
    </w:p>
    <w:p>
      <w:pPr>
        <w:keepNext w:val="0"/>
        <w:keepLines w:val="0"/>
        <w:pageBreakBefore w:val="0"/>
        <w:widowControl w:val="0"/>
        <w:kinsoku/>
        <w:wordWrap/>
        <w:overflowPunct/>
        <w:topLinePunct w:val="0"/>
        <w:autoSpaceDE/>
        <w:autoSpaceDN/>
        <w:bidi w:val="0"/>
        <w:adjustRightInd/>
        <w:snapToGrid/>
        <w:spacing w:after="0" w:line="640" w:lineRule="exact"/>
        <w:jc w:val="both"/>
        <w:textAlignment w:val="auto"/>
        <w:rPr>
          <w:rFonts w:hint="eastAsia" w:ascii="方正小标宋_GBK" w:hAnsi="方正小标宋_GBK" w:eastAsia="方正小标宋_GBK" w:cs="方正小标宋_GBK"/>
          <w:b w:val="0"/>
          <w:bCs/>
          <w:sz w:val="44"/>
          <w:szCs w:val="44"/>
        </w:rPr>
      </w:pPr>
    </w:p>
    <w:p>
      <w:pPr>
        <w:keepNext w:val="0"/>
        <w:keepLines w:val="0"/>
        <w:pageBreakBefore w:val="0"/>
        <w:widowControl w:val="0"/>
        <w:kinsoku/>
        <w:wordWrap/>
        <w:overflowPunct/>
        <w:topLinePunct w:val="0"/>
        <w:autoSpaceDE/>
        <w:autoSpaceDN/>
        <w:bidi w:val="0"/>
        <w:adjustRightInd/>
        <w:snapToGrid/>
        <w:spacing w:after="0" w:line="640" w:lineRule="exact"/>
        <w:jc w:val="center"/>
        <w:textAlignment w:val="auto"/>
        <w:rPr>
          <w:rFonts w:hint="eastAsia" w:ascii="方正小标宋_GBK" w:hAnsi="方正小标宋_GBK" w:eastAsia="方正小标宋_GBK" w:cs="方正小标宋_GBK"/>
          <w:bCs/>
          <w:sz w:val="44"/>
          <w:szCs w:val="44"/>
        </w:rPr>
      </w:pPr>
      <w:r>
        <w:rPr>
          <w:rFonts w:hint="eastAsia" w:ascii="方正小标宋_GBK" w:hAnsi="方正小标宋_GBK" w:eastAsia="方正小标宋_GBK" w:cs="方正小标宋_GBK"/>
          <w:b w:val="0"/>
          <w:bCs/>
          <w:sz w:val="44"/>
          <w:szCs w:val="44"/>
        </w:rPr>
        <w:t>推进美丽丰台建设</w:t>
      </w:r>
    </w:p>
    <w:p>
      <w:pPr>
        <w:keepNext w:val="0"/>
        <w:keepLines w:val="0"/>
        <w:pageBreakBefore w:val="0"/>
        <w:widowControl w:val="0"/>
        <w:kinsoku/>
        <w:wordWrap/>
        <w:overflowPunct/>
        <w:topLinePunct w:val="0"/>
        <w:autoSpaceDE/>
        <w:autoSpaceDN/>
        <w:bidi w:val="0"/>
        <w:adjustRightInd/>
        <w:snapToGrid/>
        <w:spacing w:after="0" w:line="640" w:lineRule="exact"/>
        <w:jc w:val="center"/>
        <w:textAlignment w:val="auto"/>
        <w:rPr>
          <w:rFonts w:hint="eastAsia" w:ascii="方正小标宋_GBK" w:hAnsi="方正小标宋_GBK" w:eastAsia="方正小标宋_GBK" w:cs="方正小标宋_GBK"/>
          <w:bCs/>
          <w:sz w:val="44"/>
          <w:szCs w:val="44"/>
        </w:rPr>
      </w:pPr>
      <w:r>
        <w:rPr>
          <w:rFonts w:hint="eastAsia" w:ascii="方正小标宋_GBK" w:hAnsi="方正小标宋_GBK" w:eastAsia="方正小标宋_GBK" w:cs="方正小标宋_GBK"/>
          <w:b w:val="0"/>
          <w:bCs/>
          <w:sz w:val="44"/>
          <w:szCs w:val="44"/>
        </w:rPr>
        <w:t>北京市丰台区绿色低碳发展以奖代补支持办法（试行）</w:t>
      </w:r>
    </w:p>
    <w:p>
      <w:pPr>
        <w:keepNext w:val="0"/>
        <w:keepLines w:val="0"/>
        <w:pageBreakBefore w:val="0"/>
        <w:widowControl w:val="0"/>
        <w:kinsoku/>
        <w:wordWrap/>
        <w:overflowPunct/>
        <w:topLinePunct w:val="0"/>
        <w:autoSpaceDE/>
        <w:autoSpaceDN/>
        <w:bidi w:val="0"/>
        <w:adjustRightInd/>
        <w:snapToGrid/>
        <w:spacing w:after="0" w:line="640" w:lineRule="exact"/>
        <w:jc w:val="center"/>
        <w:textAlignment w:val="auto"/>
        <w:rPr>
          <w:rFonts w:hint="eastAsia" w:ascii="楷体_GB2312" w:hAnsi="楷体_GB2312" w:eastAsia="楷体_GB2312" w:cs="楷体_GB2312"/>
          <w:b w:val="0"/>
          <w:bCs/>
          <w:szCs w:val="32"/>
        </w:rPr>
      </w:pPr>
      <w:r>
        <w:rPr>
          <w:rFonts w:hint="eastAsia" w:ascii="楷体_GB2312" w:hAnsi="楷体_GB2312" w:eastAsia="楷体_GB2312" w:cs="楷体_GB2312"/>
          <w:b w:val="0"/>
          <w:bCs/>
          <w:sz w:val="32"/>
          <w:szCs w:val="32"/>
        </w:rPr>
        <w:t>（</w:t>
      </w:r>
      <w:r>
        <w:rPr>
          <w:rFonts w:hint="eastAsia" w:ascii="楷体_GB2312" w:hAnsi="楷体_GB2312" w:eastAsia="楷体_GB2312" w:cs="楷体_GB2312"/>
          <w:b w:val="0"/>
          <w:bCs/>
          <w:sz w:val="32"/>
          <w:szCs w:val="32"/>
          <w:lang w:eastAsia="zh-CN"/>
        </w:rPr>
        <w:t>公众</w:t>
      </w:r>
      <w:r>
        <w:rPr>
          <w:rFonts w:hint="eastAsia" w:ascii="楷体_GB2312" w:hAnsi="楷体_GB2312" w:eastAsia="楷体_GB2312" w:cs="楷体_GB2312"/>
          <w:b w:val="0"/>
          <w:bCs/>
          <w:sz w:val="32"/>
          <w:szCs w:val="32"/>
        </w:rPr>
        <w:t>征求意见稿）</w:t>
      </w:r>
    </w:p>
    <w:p>
      <w:pPr>
        <w:keepNext w:val="0"/>
        <w:keepLines w:val="0"/>
        <w:pageBreakBefore w:val="0"/>
        <w:widowControl w:val="0"/>
        <w:kinsoku/>
        <w:wordWrap/>
        <w:overflowPunct/>
        <w:topLinePunct w:val="0"/>
        <w:autoSpaceDE/>
        <w:autoSpaceDN/>
        <w:bidi w:val="0"/>
        <w:adjustRightInd/>
        <w:snapToGrid/>
        <w:jc w:val="both"/>
        <w:textAlignment w:val="auto"/>
        <w:rPr>
          <w:b w:val="0"/>
          <w:bCs w:val="0"/>
        </w:rPr>
      </w:pPr>
    </w:p>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ascii="黑体" w:hAnsi="黑体" w:eastAsia="黑体"/>
          <w:b w:val="0"/>
          <w:bCs w:val="0"/>
          <w:sz w:val="32"/>
        </w:rPr>
      </w:pPr>
      <w:r>
        <w:rPr>
          <w:rFonts w:ascii="黑体" w:hAnsi="黑体" w:eastAsia="黑体"/>
          <w:b w:val="0"/>
          <w:bCs w:val="0"/>
          <w:sz w:val="32"/>
        </w:rPr>
        <w:t>第一章  总则</w:t>
      </w:r>
    </w:p>
    <w:p>
      <w:pPr>
        <w:widowControl w:val="0"/>
        <w:spacing w:after="0" w:line="560" w:lineRule="exact"/>
        <w:ind w:firstLine="640"/>
        <w:jc w:val="both"/>
        <w:rPr>
          <w:rFonts w:ascii="仿宋_GB2312" w:hAnsi="仿宋_GB2312" w:eastAsia="仿宋_GB2312" w:cs="仿宋_GB2312"/>
          <w:lang w:eastAsia="zh-CN"/>
        </w:rPr>
      </w:pPr>
      <w:r>
        <w:rPr>
          <w:rFonts w:hint="eastAsia" w:ascii="仿宋_GB2312" w:hAnsi="仿宋_GB2312" w:eastAsia="仿宋_GB2312" w:cs="仿宋_GB2312"/>
          <w:lang w:eastAsia="zh-CN"/>
        </w:rPr>
        <w:t>第一条  为落实好《中共北京市委 北京市人民政府关于全面建设美丽北京加快推进人与自然和谐共生的现代化的实施意见》，依据《中共北京市丰台区委城市工作委员会关于印发&lt;全面推进美丽丰台建设的实施方案&gt;的通知》（</w:t>
      </w:r>
      <w:r>
        <w:rPr>
          <w:rFonts w:ascii="仿宋_GB2312" w:hAnsi="仿宋_GB2312" w:eastAsia="仿宋_GB2312" w:cs="仿宋_GB2312"/>
          <w:lang w:eastAsia="zh-CN"/>
        </w:rPr>
        <w:t>丰城工委〔2025〕5号</w:t>
      </w:r>
      <w:r>
        <w:rPr>
          <w:rFonts w:hint="eastAsia" w:ascii="仿宋_GB2312" w:hAnsi="仿宋_GB2312" w:eastAsia="仿宋_GB2312" w:cs="仿宋_GB2312"/>
          <w:lang w:eastAsia="zh-CN"/>
        </w:rPr>
        <w:t>）工作部署要求，为进一步推进丰台区减污降碳绿色低碳发展，促进产业绿色转型升级，推进污染减排规范化管理，改善生态环境质量，根据《北京市财政局 北京市生态环境局关于印发&lt;北京市污染防治资金管理办法&gt;的通知》（京财资环〔2025〕1714号）以及市区两级财政资金管理有关规定，结合本区实际，制定本支持办法。</w:t>
      </w:r>
    </w:p>
    <w:p>
      <w:pPr>
        <w:widowControl w:val="0"/>
        <w:spacing w:after="0" w:line="560" w:lineRule="exact"/>
        <w:ind w:firstLine="640"/>
        <w:jc w:val="both"/>
        <w:rPr>
          <w:rFonts w:hint="eastAsia" w:ascii="仿宋_GB2312" w:hAnsi="仿宋_GB2312" w:eastAsia="仿宋_GB2312" w:cs="仿宋_GB2312"/>
        </w:rPr>
      </w:pPr>
      <w:r>
        <w:rPr>
          <w:rFonts w:hint="eastAsia" w:ascii="仿宋_GB2312" w:hAnsi="仿宋_GB2312" w:eastAsia="仿宋_GB2312" w:cs="仿宋_GB2312"/>
          <w:lang w:eastAsia="zh-CN"/>
        </w:rPr>
        <w:t>第二条  本办法所称的绿色低碳发展支持办法（以下简称“办法”）是指由财政资金保障，用于支持污染治理和降碳协同、促进环境质量持续改善的以奖代补办法。年度支持规模依据丰台区生态环境规划、污染防治工作要求、年度工作计划和生态环境领域项目库储备情况综合确定。</w:t>
      </w:r>
    </w:p>
    <w:p>
      <w:pPr>
        <w:widowControl w:val="0"/>
        <w:spacing w:after="0" w:line="560" w:lineRule="exact"/>
        <w:ind w:firstLine="640"/>
        <w:jc w:val="both"/>
        <w:rPr>
          <w:rFonts w:ascii="仿宋_GB2312" w:hAnsi="仿宋_GB2312" w:eastAsia="仿宋_GB2312" w:cs="仿宋_GB2312"/>
          <w:lang w:eastAsia="zh-CN"/>
        </w:rPr>
      </w:pPr>
      <w:r>
        <w:rPr>
          <w:rFonts w:hint="eastAsia" w:ascii="仿宋_GB2312" w:hAnsi="仿宋_GB2312" w:eastAsia="仿宋_GB2312" w:cs="仿宋_GB2312"/>
          <w:lang w:eastAsia="zh-CN"/>
        </w:rPr>
        <w:t>第三条  支持资金的使用和管理遵循“统筹兼顾、突出重点、公正公开、注重绩效”原则，</w:t>
      </w:r>
      <w:r>
        <w:rPr>
          <w:rFonts w:hint="eastAsia" w:ascii="仿宋_GB2312" w:hAnsi="仿宋_GB2312" w:eastAsia="仿宋_GB2312" w:cs="仿宋_GB2312"/>
          <w:highlight w:val="none"/>
          <w:lang w:eastAsia="zh-CN"/>
        </w:rPr>
        <w:t>体现引导和激励性，</w:t>
      </w:r>
      <w:r>
        <w:rPr>
          <w:rFonts w:hint="eastAsia" w:ascii="仿宋_GB2312" w:hAnsi="仿宋_GB2312" w:eastAsia="仿宋_GB2312" w:cs="仿宋_GB2312"/>
          <w:lang w:eastAsia="zh-CN"/>
        </w:rPr>
        <w:t>实行专款专用，自觉接受丰台区人民代表大会及其常务委员会、审计部门、上级部门和社会监督。</w:t>
      </w:r>
    </w:p>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ascii="黑体" w:hAnsi="黑体" w:eastAsia="黑体"/>
          <w:b w:val="0"/>
          <w:bCs w:val="0"/>
          <w:sz w:val="32"/>
        </w:rPr>
      </w:pPr>
      <w:r>
        <w:rPr>
          <w:rFonts w:ascii="黑体" w:hAnsi="黑体" w:eastAsia="黑体"/>
          <w:b w:val="0"/>
          <w:bCs w:val="0"/>
          <w:sz w:val="32"/>
        </w:rPr>
        <w:t>第二章  管理职责和分工</w:t>
      </w:r>
    </w:p>
    <w:p>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第四条  本办法涉及的支持资金由区财政部门和区生态环境部门共同管理、各司其职。</w:t>
      </w:r>
    </w:p>
    <w:p>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第五条  区生态环境部门主要负责确定支持范围和重点方向，建立健全项目库管理；委托第三方专业机构评审、会同申报项目涉及的区相关部门审查确定具体支持项目、支持方式及资金金额；负责项目实施和资金使用的跟踪监督管理；开展信息公开和绩效自评价等管理工作。</w:t>
      </w:r>
    </w:p>
    <w:p>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第六条  区财政部门主要负责年度预算的保障，履行部门预算相关程序</w:t>
      </w:r>
      <w:r>
        <w:rPr>
          <w:rFonts w:hint="eastAsia" w:ascii="仿宋_GB2312" w:hAnsi="仿宋_GB2312" w:eastAsia="仿宋_GB2312" w:cs="仿宋_GB2312"/>
          <w:sz w:val="32"/>
          <w:lang w:eastAsia="zh-CN"/>
        </w:rPr>
        <w:t>，</w:t>
      </w:r>
      <w:r>
        <w:rPr>
          <w:rFonts w:hint="eastAsia" w:ascii="仿宋_GB2312" w:hAnsi="仿宋_GB2312" w:eastAsia="仿宋_GB2312" w:cs="仿宋_GB2312"/>
          <w:sz w:val="32"/>
        </w:rPr>
        <w:t>开展</w:t>
      </w:r>
      <w:r>
        <w:rPr>
          <w:rFonts w:hint="eastAsia" w:ascii="仿宋_GB2312" w:hAnsi="仿宋_GB2312" w:eastAsia="仿宋_GB2312" w:cs="仿宋_GB2312"/>
          <w:sz w:val="32"/>
          <w:lang w:eastAsia="zh-CN"/>
        </w:rPr>
        <w:t>事后</w:t>
      </w:r>
      <w:r>
        <w:rPr>
          <w:rFonts w:hint="eastAsia" w:ascii="仿宋_GB2312" w:hAnsi="仿宋_GB2312" w:eastAsia="仿宋_GB2312" w:cs="仿宋_GB2312"/>
          <w:sz w:val="32"/>
        </w:rPr>
        <w:t>绩效评价等管理工作。</w:t>
      </w:r>
    </w:p>
    <w:p>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 xml:space="preserve">第七条  </w:t>
      </w:r>
      <w:r>
        <w:rPr>
          <w:rFonts w:hint="eastAsia" w:ascii="仿宋_GB2312" w:hAnsi="仿宋_GB2312" w:eastAsia="仿宋_GB2312" w:cs="仿宋_GB2312"/>
          <w:sz w:val="32"/>
          <w:lang w:eastAsia="zh-CN"/>
        </w:rPr>
        <w:t>各领域</w:t>
      </w:r>
      <w:r>
        <w:rPr>
          <w:rFonts w:hint="eastAsia" w:ascii="仿宋_GB2312" w:hAnsi="仿宋_GB2312" w:eastAsia="仿宋_GB2312" w:cs="仿宋_GB2312"/>
          <w:sz w:val="32"/>
        </w:rPr>
        <w:t>主管部门按需提出支持事项建议、工作方案及有关资金分配建议及目标要求等。按照支持办法要求开展项目推荐工作。</w:t>
      </w:r>
    </w:p>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ascii="黑体" w:hAnsi="黑体" w:eastAsia="黑体"/>
          <w:b w:val="0"/>
          <w:bCs w:val="0"/>
          <w:sz w:val="32"/>
        </w:rPr>
      </w:pPr>
      <w:r>
        <w:rPr>
          <w:rFonts w:ascii="黑体" w:hAnsi="黑体" w:eastAsia="黑体"/>
          <w:b w:val="0"/>
          <w:bCs w:val="0"/>
          <w:sz w:val="32"/>
        </w:rPr>
        <w:t>第三章  支持范围和方向</w:t>
      </w:r>
    </w:p>
    <w:p>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第八条  支持对象为在丰台区内规范经营的企业、机构和部门等。</w:t>
      </w:r>
    </w:p>
    <w:p>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第九条  本办法以建设美丽丰台为主要目标，以减污降碳为方向，以实际效果为导向，发挥财政资金撬动作用，确保使用效益。</w:t>
      </w:r>
    </w:p>
    <w:p>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楷体_GB2312" w:hAnsi="楷体_GB2312" w:eastAsia="楷体_GB2312" w:cs="楷体_GB2312"/>
          <w:b w:val="0"/>
          <w:bCs/>
          <w:sz w:val="32"/>
          <w:szCs w:val="32"/>
        </w:rPr>
      </w:pPr>
      <w:r>
        <w:rPr>
          <w:rFonts w:hint="eastAsia" w:ascii="楷体_GB2312" w:hAnsi="楷体_GB2312" w:eastAsia="楷体_GB2312" w:cs="楷体_GB2312"/>
          <w:b w:val="0"/>
          <w:bCs/>
          <w:sz w:val="32"/>
          <w:szCs w:val="32"/>
        </w:rPr>
        <w:t>一、减污降碳协同推进</w:t>
      </w:r>
      <w:r>
        <w:rPr>
          <w:rFonts w:hint="eastAsia" w:ascii="楷体_GB2312" w:hAnsi="楷体_GB2312" w:eastAsia="楷体_GB2312" w:cs="楷体_GB2312"/>
          <w:b w:val="0"/>
          <w:bCs/>
          <w:sz w:val="32"/>
          <w:szCs w:val="32"/>
          <w:lang w:eastAsia="zh-CN"/>
        </w:rPr>
        <w:t>清净</w:t>
      </w:r>
      <w:r>
        <w:rPr>
          <w:rFonts w:hint="eastAsia" w:ascii="楷体_GB2312" w:hAnsi="楷体_GB2312" w:eastAsia="楷体_GB2312" w:cs="楷体_GB2312"/>
          <w:b w:val="0"/>
          <w:bCs/>
          <w:sz w:val="32"/>
          <w:szCs w:val="32"/>
        </w:rPr>
        <w:t>丰台</w:t>
      </w:r>
    </w:p>
    <w:p>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楷体_GB2312" w:hAnsi="楷体_GB2312" w:eastAsia="楷体_GB2312" w:cs="楷体_GB2312"/>
          <w:b w:val="0"/>
          <w:bCs/>
          <w:sz w:val="32"/>
          <w:szCs w:val="32"/>
        </w:rPr>
      </w:pPr>
      <w:r>
        <w:rPr>
          <w:rFonts w:ascii="仿宋_GB2312" w:hAnsi="仿宋_GB2312" w:eastAsia="仿宋_GB2312"/>
          <w:b w:val="0"/>
          <w:sz w:val="32"/>
        </w:rPr>
        <w:t>本板块围绕移动源、重点行业、锅炉、施工扬尘等领域，支持减污降碳协同增效。</w:t>
      </w:r>
    </w:p>
    <w:p>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（一）移动源排放协同治理类</w:t>
      </w:r>
    </w:p>
    <w:p>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sz w:val="32"/>
        </w:rPr>
      </w:pPr>
      <w:r>
        <w:rPr>
          <w:rFonts w:ascii="仿宋_GB2312" w:hAnsi="仿宋_GB2312" w:eastAsia="仿宋_GB2312"/>
          <w:sz w:val="32"/>
        </w:rPr>
        <w:t>本类适用于物流园区、货运枢纽、施工工地、机动车检测场站等移动源集中排放场景。</w:t>
      </w:r>
    </w:p>
    <w:p>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1.零排放货物运输车队奖励。经区级及以上生态环境部门认定且登记注册（租用）新能源车辆达到一定比例的，按照下列标准给予一次性奖励：（1）新能源车辆占比达80%的，奖励20万元；（2）新能源车辆占比达90%的，奖励30万元；（3）新能源车辆占比达100%的，奖励40万元；（4）混凝土搅拌站按租赁的新能源车辆数量核算，每辆奖励1万元，单户企业（单位）年度最高奖励20万元。</w:t>
      </w:r>
    </w:p>
    <w:p>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2.非道路移动机械新能源化奖励。项目征集年6月30日之前，在区生态环境部门完成环保编码登记的燃油非道路移动机械（含叉车、升降平台、2吨及以下装载机、6吨及以下挖掘机）解体报废或置换电动化的，按照下列标准给予奖励：（1）解体报废的，每台给予一次性奖励1万元；（2）解体报废或转出京外并于一年内购置新纯电非道路移动机械（在丰台区完成环保编码登记）的，按照新购置纯电非道路移动机械电池容量（以铭牌或合格证记载容量为准）每千瓦时给予一次性奖励0.15万元，单台奖励不超过7.5万元。</w:t>
      </w:r>
    </w:p>
    <w:p>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3.机动车检验机构数智化升级改造奖励。辖区机动车排放检验机构完成阳光验车、一线一码等数智化升级改造并验收通过的，按照改造项目审定金额的50%给予奖励，每个检验机构最高奖励不超过20万元。</w:t>
      </w:r>
    </w:p>
    <w:p>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（二）空气重污染重点行业绩效提级类</w:t>
      </w:r>
    </w:p>
    <w:p>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sz w:val="32"/>
        </w:rPr>
      </w:pPr>
      <w:r>
        <w:rPr>
          <w:rFonts w:ascii="仿宋_GB2312" w:hAnsi="仿宋_GB2312" w:eastAsia="仿宋_GB2312"/>
          <w:sz w:val="32"/>
        </w:rPr>
        <w:t>本类适用于汽修集中区域等空气重污染重点行业集聚场景。</w:t>
      </w:r>
    </w:p>
    <w:p>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企业按照《北京市重污染天气重点行业应急减排措施制定技术指南（2021年修订版）》绩效分级指标，通过改进生产工艺、设备和污染治理设施，规范环境管理，提升绿色运输水平等方式，由C、D级提升为A、B级或绩效引领企业，并经市级行业管理部门认定的，按照下列标准给予奖励：</w:t>
      </w:r>
    </w:p>
    <w:p>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1.汽车维修企业绩效提级奖励。按照提级改造项目金额的50%给予奖励，其中：（1）由C级提升至B级的，每个喷烤漆房最高奖励不超过10万元；（2）由B级提升至A级的，每个喷烤漆房最高奖励不超过20万元；（3）由C级提升至A级的，每个喷烤漆房最高奖励不超过25万元。喷烤漆房以外的改造部分</w:t>
      </w:r>
      <w:r>
        <w:rPr>
          <w:rFonts w:hint="eastAsia" w:ascii="仿宋_GB2312" w:hAnsi="仿宋_GB2312" w:eastAsia="仿宋_GB2312" w:cs="仿宋_GB2312"/>
          <w:sz w:val="32"/>
          <w:lang w:eastAsia="zh-CN"/>
        </w:rPr>
        <w:t>按照改造金额的</w:t>
      </w:r>
      <w:r>
        <w:rPr>
          <w:rFonts w:hint="eastAsia" w:ascii="仿宋_GB2312" w:hAnsi="仿宋_GB2312" w:eastAsia="仿宋_GB2312" w:cs="仿宋_GB2312"/>
          <w:sz w:val="32"/>
          <w:lang w:val="en-US" w:eastAsia="zh-CN"/>
        </w:rPr>
        <w:t>50%给予</w:t>
      </w:r>
      <w:r>
        <w:rPr>
          <w:rFonts w:hint="eastAsia" w:ascii="仿宋_GB2312" w:hAnsi="仿宋_GB2312" w:eastAsia="仿宋_GB2312" w:cs="仿宋_GB2312"/>
          <w:sz w:val="32"/>
        </w:rPr>
        <w:t>奖励</w:t>
      </w:r>
      <w:r>
        <w:rPr>
          <w:rFonts w:hint="eastAsia" w:ascii="仿宋_GB2312" w:hAnsi="仿宋_GB2312" w:eastAsia="仿宋_GB2312" w:cs="仿宋_GB2312"/>
          <w:sz w:val="32"/>
          <w:lang w:eastAsia="zh-CN"/>
        </w:rPr>
        <w:t>，</w:t>
      </w:r>
      <w:r>
        <w:rPr>
          <w:rFonts w:hint="eastAsia" w:ascii="仿宋_GB2312" w:hAnsi="仿宋_GB2312" w:eastAsia="仿宋_GB2312" w:cs="仿宋_GB2312"/>
          <w:sz w:val="32"/>
        </w:rPr>
        <w:t>不设上限。</w:t>
      </w:r>
    </w:p>
    <w:p>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2.其他行业绩效提级奖励。其他行业企业提升至B级及以上或绩效引领企业的，按照提级改造项目金额的30%给予奖励，每家独立法人单位最高奖励不超过50万元。</w:t>
      </w:r>
    </w:p>
    <w:p>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（三）锅炉深度治理类</w:t>
      </w:r>
    </w:p>
    <w:p>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sz w:val="32"/>
        </w:rPr>
      </w:pPr>
      <w:r>
        <w:rPr>
          <w:rFonts w:ascii="仿宋_GB2312" w:hAnsi="仿宋_GB2312" w:eastAsia="仿宋_GB2312"/>
          <w:sz w:val="32"/>
        </w:rPr>
        <w:t>本类适用于工业园区、商业综合体、学校医院等集中供热锅炉使用场景。</w:t>
      </w:r>
    </w:p>
    <w:p>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锅炉使用单位在污染物排放达标基础上，按规定安装用于辅助核算单位热能产品碳污排放量的能源在线监控装置（以下简称"热计量设备"），并经市生态环境局认定达到A、B级环保绩效分级标准的，单套热计量设备补贴金额不超过计量设备购置安装费用的50%，补贴上限按下表标准执行：</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04"/>
        <w:gridCol w:w="1514"/>
        <w:gridCol w:w="1509"/>
        <w:gridCol w:w="1504"/>
        <w:gridCol w:w="1514"/>
        <w:gridCol w:w="15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0" w:type="dxa"/>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pPr>
            <w:r>
              <w:rPr>
                <w:rFonts w:ascii="仿宋" w:hAnsi="仿宋" w:eastAsia="仿宋"/>
                <w:sz w:val="21"/>
              </w:rPr>
              <w:t>序号</w:t>
            </w:r>
          </w:p>
        </w:tc>
        <w:tc>
          <w:tcPr>
            <w:tcW w:w="1530" w:type="dxa"/>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pPr>
            <w:r>
              <w:rPr>
                <w:rFonts w:ascii="仿宋" w:hAnsi="仿宋" w:eastAsia="仿宋"/>
                <w:sz w:val="21"/>
              </w:rPr>
              <w:t>锅炉热水管道规格</w:t>
            </w:r>
          </w:p>
        </w:tc>
        <w:tc>
          <w:tcPr>
            <w:tcW w:w="1530" w:type="dxa"/>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pPr>
            <w:r>
              <w:rPr>
                <w:rFonts w:ascii="仿宋" w:hAnsi="仿宋" w:eastAsia="仿宋"/>
                <w:sz w:val="21"/>
              </w:rPr>
              <w:t>补贴上限（万元）</w:t>
            </w:r>
          </w:p>
        </w:tc>
        <w:tc>
          <w:tcPr>
            <w:tcW w:w="1530" w:type="dxa"/>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pPr>
            <w:r>
              <w:rPr>
                <w:rFonts w:ascii="仿宋" w:hAnsi="仿宋" w:eastAsia="仿宋"/>
                <w:sz w:val="21"/>
              </w:rPr>
              <w:t>序号</w:t>
            </w:r>
          </w:p>
        </w:tc>
        <w:tc>
          <w:tcPr>
            <w:tcW w:w="1530" w:type="dxa"/>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pPr>
            <w:r>
              <w:rPr>
                <w:rFonts w:ascii="仿宋" w:hAnsi="仿宋" w:eastAsia="仿宋"/>
                <w:sz w:val="21"/>
              </w:rPr>
              <w:t>锅炉热水管道规格</w:t>
            </w:r>
          </w:p>
        </w:tc>
        <w:tc>
          <w:tcPr>
            <w:tcW w:w="1530" w:type="dxa"/>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pPr>
            <w:r>
              <w:rPr>
                <w:rFonts w:ascii="仿宋" w:hAnsi="仿宋" w:eastAsia="仿宋"/>
                <w:sz w:val="21"/>
              </w:rPr>
              <w:t>补贴上限（万元）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0" w:type="dxa"/>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pPr>
            <w:r>
              <w:rPr>
                <w:rFonts w:ascii="仿宋" w:hAnsi="仿宋" w:eastAsia="仿宋"/>
                <w:sz w:val="21"/>
              </w:rPr>
              <w:t>1</w:t>
            </w:r>
          </w:p>
        </w:tc>
        <w:tc>
          <w:tcPr>
            <w:tcW w:w="1530" w:type="dxa"/>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pPr>
            <w:r>
              <w:rPr>
                <w:rFonts w:ascii="仿宋" w:hAnsi="仿宋" w:eastAsia="仿宋"/>
                <w:sz w:val="21"/>
              </w:rPr>
              <w:t>DN50</w:t>
            </w:r>
          </w:p>
        </w:tc>
        <w:tc>
          <w:tcPr>
            <w:tcW w:w="1530" w:type="dxa"/>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pPr>
            <w:r>
              <w:rPr>
                <w:rFonts w:ascii="仿宋" w:hAnsi="仿宋" w:eastAsia="仿宋"/>
                <w:sz w:val="21"/>
              </w:rPr>
              <w:t>0.6</w:t>
            </w:r>
          </w:p>
        </w:tc>
        <w:tc>
          <w:tcPr>
            <w:tcW w:w="1530" w:type="dxa"/>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pPr>
            <w:r>
              <w:rPr>
                <w:rFonts w:ascii="仿宋" w:hAnsi="仿宋" w:eastAsia="仿宋"/>
                <w:sz w:val="21"/>
              </w:rPr>
              <w:t>9</w:t>
            </w:r>
          </w:p>
        </w:tc>
        <w:tc>
          <w:tcPr>
            <w:tcW w:w="1530" w:type="dxa"/>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pPr>
            <w:r>
              <w:rPr>
                <w:rFonts w:ascii="仿宋" w:hAnsi="仿宋" w:eastAsia="仿宋"/>
                <w:sz w:val="21"/>
              </w:rPr>
              <w:t>DN300</w:t>
            </w:r>
          </w:p>
        </w:tc>
        <w:tc>
          <w:tcPr>
            <w:tcW w:w="1530" w:type="dxa"/>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pPr>
            <w:r>
              <w:rPr>
                <w:rFonts w:ascii="仿宋" w:hAnsi="仿宋" w:eastAsia="仿宋"/>
                <w:sz w:val="21"/>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0" w:type="dxa"/>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pPr>
            <w:r>
              <w:rPr>
                <w:rFonts w:ascii="仿宋" w:hAnsi="仿宋" w:eastAsia="仿宋"/>
                <w:sz w:val="21"/>
              </w:rPr>
              <w:t>2</w:t>
            </w:r>
          </w:p>
        </w:tc>
        <w:tc>
          <w:tcPr>
            <w:tcW w:w="1530" w:type="dxa"/>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pPr>
            <w:r>
              <w:rPr>
                <w:rFonts w:ascii="仿宋" w:hAnsi="仿宋" w:eastAsia="仿宋"/>
                <w:sz w:val="21"/>
              </w:rPr>
              <w:t>DN65</w:t>
            </w:r>
          </w:p>
        </w:tc>
        <w:tc>
          <w:tcPr>
            <w:tcW w:w="1530" w:type="dxa"/>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pPr>
            <w:r>
              <w:rPr>
                <w:rFonts w:ascii="仿宋" w:hAnsi="仿宋" w:eastAsia="仿宋"/>
                <w:sz w:val="21"/>
              </w:rPr>
              <w:t>0.7</w:t>
            </w:r>
          </w:p>
        </w:tc>
        <w:tc>
          <w:tcPr>
            <w:tcW w:w="1530" w:type="dxa"/>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pPr>
            <w:r>
              <w:rPr>
                <w:rFonts w:ascii="仿宋" w:hAnsi="仿宋" w:eastAsia="仿宋"/>
                <w:sz w:val="21"/>
              </w:rPr>
              <w:t>10</w:t>
            </w:r>
          </w:p>
        </w:tc>
        <w:tc>
          <w:tcPr>
            <w:tcW w:w="1530" w:type="dxa"/>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pPr>
            <w:r>
              <w:rPr>
                <w:rFonts w:ascii="仿宋" w:hAnsi="仿宋" w:eastAsia="仿宋"/>
                <w:sz w:val="21"/>
              </w:rPr>
              <w:t>DN350</w:t>
            </w:r>
          </w:p>
        </w:tc>
        <w:tc>
          <w:tcPr>
            <w:tcW w:w="1530" w:type="dxa"/>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pPr>
            <w:r>
              <w:rPr>
                <w:rFonts w:ascii="仿宋" w:hAnsi="仿宋" w:eastAsia="仿宋"/>
                <w:sz w:val="21"/>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530" w:type="dxa"/>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pPr>
            <w:r>
              <w:rPr>
                <w:rFonts w:ascii="仿宋" w:hAnsi="仿宋" w:eastAsia="仿宋"/>
                <w:sz w:val="21"/>
              </w:rPr>
              <w:t>3</w:t>
            </w:r>
          </w:p>
        </w:tc>
        <w:tc>
          <w:tcPr>
            <w:tcW w:w="1530" w:type="dxa"/>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pPr>
            <w:r>
              <w:rPr>
                <w:rFonts w:ascii="仿宋" w:hAnsi="仿宋" w:eastAsia="仿宋"/>
                <w:sz w:val="21"/>
              </w:rPr>
              <w:t>DN80</w:t>
            </w:r>
          </w:p>
        </w:tc>
        <w:tc>
          <w:tcPr>
            <w:tcW w:w="1530" w:type="dxa"/>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pPr>
            <w:r>
              <w:rPr>
                <w:rFonts w:ascii="仿宋" w:hAnsi="仿宋" w:eastAsia="仿宋"/>
                <w:sz w:val="21"/>
              </w:rPr>
              <w:t>0.7</w:t>
            </w:r>
          </w:p>
        </w:tc>
        <w:tc>
          <w:tcPr>
            <w:tcW w:w="1530" w:type="dxa"/>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pPr>
            <w:r>
              <w:rPr>
                <w:rFonts w:ascii="仿宋" w:hAnsi="仿宋" w:eastAsia="仿宋"/>
                <w:sz w:val="21"/>
              </w:rPr>
              <w:t>11</w:t>
            </w:r>
          </w:p>
        </w:tc>
        <w:tc>
          <w:tcPr>
            <w:tcW w:w="1530" w:type="dxa"/>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pPr>
            <w:r>
              <w:rPr>
                <w:rFonts w:ascii="仿宋" w:hAnsi="仿宋" w:eastAsia="仿宋"/>
                <w:sz w:val="21"/>
              </w:rPr>
              <w:t>DN400</w:t>
            </w:r>
          </w:p>
        </w:tc>
        <w:tc>
          <w:tcPr>
            <w:tcW w:w="1530" w:type="dxa"/>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pPr>
            <w:r>
              <w:rPr>
                <w:rFonts w:ascii="仿宋" w:hAnsi="仿宋" w:eastAsia="仿宋"/>
                <w:sz w:val="21"/>
              </w:rPr>
              <w:t>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0" w:type="dxa"/>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pPr>
            <w:r>
              <w:rPr>
                <w:rFonts w:ascii="仿宋" w:hAnsi="仿宋" w:eastAsia="仿宋"/>
                <w:sz w:val="21"/>
              </w:rPr>
              <w:t>4</w:t>
            </w:r>
          </w:p>
        </w:tc>
        <w:tc>
          <w:tcPr>
            <w:tcW w:w="1530" w:type="dxa"/>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pPr>
            <w:r>
              <w:rPr>
                <w:rFonts w:ascii="仿宋" w:hAnsi="仿宋" w:eastAsia="仿宋"/>
                <w:sz w:val="21"/>
              </w:rPr>
              <w:t>DN100</w:t>
            </w:r>
          </w:p>
        </w:tc>
        <w:tc>
          <w:tcPr>
            <w:tcW w:w="1530" w:type="dxa"/>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pPr>
            <w:r>
              <w:rPr>
                <w:rFonts w:ascii="仿宋" w:hAnsi="仿宋" w:eastAsia="仿宋"/>
                <w:sz w:val="21"/>
              </w:rPr>
              <w:t>0.8</w:t>
            </w:r>
          </w:p>
        </w:tc>
        <w:tc>
          <w:tcPr>
            <w:tcW w:w="1530" w:type="dxa"/>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pPr>
            <w:r>
              <w:rPr>
                <w:rFonts w:ascii="仿宋" w:hAnsi="仿宋" w:eastAsia="仿宋"/>
                <w:sz w:val="21"/>
              </w:rPr>
              <w:t>12</w:t>
            </w:r>
          </w:p>
        </w:tc>
        <w:tc>
          <w:tcPr>
            <w:tcW w:w="1530" w:type="dxa"/>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pPr>
            <w:r>
              <w:rPr>
                <w:rFonts w:ascii="仿宋" w:hAnsi="仿宋" w:eastAsia="仿宋"/>
                <w:sz w:val="21"/>
              </w:rPr>
              <w:t>DN450</w:t>
            </w:r>
          </w:p>
        </w:tc>
        <w:tc>
          <w:tcPr>
            <w:tcW w:w="1530" w:type="dxa"/>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pPr>
            <w:r>
              <w:rPr>
                <w:rFonts w:ascii="仿宋" w:hAnsi="仿宋" w:eastAsia="仿宋"/>
                <w:sz w:val="21"/>
              </w:rPr>
              <w:t>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0" w:type="dxa"/>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pPr>
            <w:r>
              <w:rPr>
                <w:rFonts w:ascii="仿宋" w:hAnsi="仿宋" w:eastAsia="仿宋"/>
                <w:sz w:val="21"/>
              </w:rPr>
              <w:t>5</w:t>
            </w:r>
          </w:p>
        </w:tc>
        <w:tc>
          <w:tcPr>
            <w:tcW w:w="1530" w:type="dxa"/>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pPr>
            <w:r>
              <w:rPr>
                <w:rFonts w:ascii="仿宋" w:hAnsi="仿宋" w:eastAsia="仿宋"/>
                <w:sz w:val="21"/>
              </w:rPr>
              <w:t>DN125</w:t>
            </w:r>
          </w:p>
        </w:tc>
        <w:tc>
          <w:tcPr>
            <w:tcW w:w="1530" w:type="dxa"/>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pPr>
            <w:r>
              <w:rPr>
                <w:rFonts w:ascii="仿宋" w:hAnsi="仿宋" w:eastAsia="仿宋"/>
                <w:sz w:val="21"/>
              </w:rPr>
              <w:t>0.8</w:t>
            </w:r>
          </w:p>
        </w:tc>
        <w:tc>
          <w:tcPr>
            <w:tcW w:w="1530" w:type="dxa"/>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pPr>
            <w:r>
              <w:rPr>
                <w:rFonts w:ascii="仿宋" w:hAnsi="仿宋" w:eastAsia="仿宋"/>
                <w:sz w:val="21"/>
              </w:rPr>
              <w:t>13</w:t>
            </w:r>
          </w:p>
        </w:tc>
        <w:tc>
          <w:tcPr>
            <w:tcW w:w="1530" w:type="dxa"/>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pPr>
            <w:r>
              <w:rPr>
                <w:rFonts w:ascii="仿宋" w:hAnsi="仿宋" w:eastAsia="仿宋"/>
                <w:sz w:val="21"/>
              </w:rPr>
              <w:t>DN500</w:t>
            </w:r>
          </w:p>
        </w:tc>
        <w:tc>
          <w:tcPr>
            <w:tcW w:w="1530" w:type="dxa"/>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pPr>
            <w:r>
              <w:rPr>
                <w:rFonts w:ascii="仿宋" w:hAnsi="仿宋" w:eastAsia="仿宋"/>
                <w:sz w:val="21"/>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0" w:type="dxa"/>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pPr>
            <w:r>
              <w:rPr>
                <w:rFonts w:ascii="仿宋" w:hAnsi="仿宋" w:eastAsia="仿宋"/>
                <w:sz w:val="21"/>
              </w:rPr>
              <w:t>6</w:t>
            </w:r>
          </w:p>
        </w:tc>
        <w:tc>
          <w:tcPr>
            <w:tcW w:w="1530" w:type="dxa"/>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pPr>
            <w:r>
              <w:rPr>
                <w:rFonts w:ascii="仿宋" w:hAnsi="仿宋" w:eastAsia="仿宋"/>
                <w:sz w:val="21"/>
              </w:rPr>
              <w:t>DN150</w:t>
            </w:r>
          </w:p>
        </w:tc>
        <w:tc>
          <w:tcPr>
            <w:tcW w:w="1530" w:type="dxa"/>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pPr>
            <w:r>
              <w:rPr>
                <w:rFonts w:ascii="仿宋" w:hAnsi="仿宋" w:eastAsia="仿宋"/>
                <w:sz w:val="21"/>
              </w:rPr>
              <w:t>1.0</w:t>
            </w:r>
          </w:p>
        </w:tc>
        <w:tc>
          <w:tcPr>
            <w:tcW w:w="1530" w:type="dxa"/>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pPr>
            <w:r>
              <w:rPr>
                <w:rFonts w:ascii="仿宋" w:hAnsi="仿宋" w:eastAsia="仿宋"/>
                <w:sz w:val="21"/>
              </w:rPr>
              <w:t>14</w:t>
            </w:r>
          </w:p>
        </w:tc>
        <w:tc>
          <w:tcPr>
            <w:tcW w:w="1530" w:type="dxa"/>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pPr>
            <w:r>
              <w:rPr>
                <w:rFonts w:ascii="仿宋" w:hAnsi="仿宋" w:eastAsia="仿宋"/>
                <w:sz w:val="21"/>
              </w:rPr>
              <w:t>DN600</w:t>
            </w:r>
          </w:p>
        </w:tc>
        <w:tc>
          <w:tcPr>
            <w:tcW w:w="1530" w:type="dxa"/>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pPr>
            <w:r>
              <w:rPr>
                <w:rFonts w:ascii="仿宋" w:hAnsi="仿宋" w:eastAsia="仿宋"/>
                <w:sz w:val="21"/>
              </w:rPr>
              <w:t>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530" w:type="dxa"/>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pPr>
            <w:r>
              <w:rPr>
                <w:rFonts w:ascii="仿宋" w:hAnsi="仿宋" w:eastAsia="仿宋"/>
                <w:sz w:val="21"/>
              </w:rPr>
              <w:t>7</w:t>
            </w:r>
          </w:p>
        </w:tc>
        <w:tc>
          <w:tcPr>
            <w:tcW w:w="1530" w:type="dxa"/>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pPr>
            <w:r>
              <w:rPr>
                <w:rFonts w:ascii="仿宋" w:hAnsi="仿宋" w:eastAsia="仿宋"/>
                <w:sz w:val="21"/>
              </w:rPr>
              <w:t>DN200</w:t>
            </w:r>
          </w:p>
        </w:tc>
        <w:tc>
          <w:tcPr>
            <w:tcW w:w="1530" w:type="dxa"/>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pPr>
            <w:r>
              <w:rPr>
                <w:rFonts w:ascii="仿宋" w:hAnsi="仿宋" w:eastAsia="仿宋"/>
                <w:sz w:val="21"/>
              </w:rPr>
              <w:t>1.1</w:t>
            </w:r>
          </w:p>
        </w:tc>
        <w:tc>
          <w:tcPr>
            <w:tcW w:w="1530" w:type="dxa"/>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pPr>
            <w:r>
              <w:rPr>
                <w:rFonts w:ascii="仿宋" w:hAnsi="仿宋" w:eastAsia="仿宋"/>
                <w:sz w:val="21"/>
              </w:rPr>
              <w:t>15</w:t>
            </w:r>
          </w:p>
        </w:tc>
        <w:tc>
          <w:tcPr>
            <w:tcW w:w="1530" w:type="dxa"/>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pPr>
            <w:r>
              <w:rPr>
                <w:rFonts w:ascii="仿宋" w:hAnsi="仿宋" w:eastAsia="仿宋"/>
                <w:sz w:val="21"/>
              </w:rPr>
              <w:t>DN700</w:t>
            </w:r>
          </w:p>
        </w:tc>
        <w:tc>
          <w:tcPr>
            <w:tcW w:w="1530" w:type="dxa"/>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pPr>
            <w:r>
              <w:rPr>
                <w:rFonts w:ascii="仿宋" w:hAnsi="仿宋" w:eastAsia="仿宋"/>
                <w:sz w:val="21"/>
              </w:rPr>
              <w:t>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0" w:type="dxa"/>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pPr>
            <w:r>
              <w:rPr>
                <w:rFonts w:ascii="仿宋" w:hAnsi="仿宋" w:eastAsia="仿宋"/>
                <w:sz w:val="21"/>
              </w:rPr>
              <w:t>8</w:t>
            </w:r>
          </w:p>
        </w:tc>
        <w:tc>
          <w:tcPr>
            <w:tcW w:w="1530" w:type="dxa"/>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pPr>
            <w:r>
              <w:rPr>
                <w:rFonts w:ascii="仿宋" w:hAnsi="仿宋" w:eastAsia="仿宋"/>
                <w:sz w:val="21"/>
              </w:rPr>
              <w:t>DN250</w:t>
            </w:r>
          </w:p>
        </w:tc>
        <w:tc>
          <w:tcPr>
            <w:tcW w:w="1530" w:type="dxa"/>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pPr>
            <w:r>
              <w:rPr>
                <w:rFonts w:ascii="仿宋" w:hAnsi="仿宋" w:eastAsia="仿宋"/>
                <w:sz w:val="21"/>
              </w:rPr>
              <w:t>1.2</w:t>
            </w:r>
          </w:p>
        </w:tc>
        <w:tc>
          <w:tcPr>
            <w:tcW w:w="1530" w:type="dxa"/>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pPr>
            <w:r>
              <w:rPr>
                <w:rFonts w:ascii="仿宋" w:hAnsi="仿宋" w:eastAsia="仿宋"/>
                <w:sz w:val="21"/>
              </w:rPr>
              <w:t>-</w:t>
            </w:r>
          </w:p>
        </w:tc>
        <w:tc>
          <w:tcPr>
            <w:tcW w:w="1530" w:type="dxa"/>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pPr>
            <w:r>
              <w:rPr>
                <w:rFonts w:ascii="仿宋" w:hAnsi="仿宋" w:eastAsia="仿宋"/>
                <w:sz w:val="21"/>
              </w:rPr>
              <w:t>-</w:t>
            </w:r>
          </w:p>
        </w:tc>
        <w:tc>
          <w:tcPr>
            <w:tcW w:w="1530" w:type="dxa"/>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pPr>
            <w:r>
              <w:rPr>
                <w:rFonts w:ascii="仿宋" w:hAnsi="仿宋" w:eastAsia="仿宋"/>
                <w:sz w:val="21"/>
              </w:rPr>
              <w:t>-</w:t>
            </w:r>
          </w:p>
        </w:tc>
      </w:tr>
    </w:tbl>
    <w:p>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注：若锅炉热水管道规格介于两种管道规格之间，按照较高规格对应的标准核定补贴上限；DN700及以上管道规格，统一按照DN700对应的标准计算补贴上限。</w:t>
      </w:r>
    </w:p>
    <w:p>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（四）绿色施工类</w:t>
      </w:r>
    </w:p>
    <w:p>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sz w:val="32"/>
        </w:rPr>
      </w:pPr>
      <w:r>
        <w:rPr>
          <w:rFonts w:ascii="仿宋_GB2312" w:hAnsi="仿宋_GB2312" w:eastAsia="仿宋_GB2312"/>
          <w:sz w:val="32"/>
        </w:rPr>
        <w:t>本类适用于深基坑施工、城市更新、轨道交通建设等施工扬尘集中排放场景。</w:t>
      </w:r>
    </w:p>
    <w:p>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1.基坑气膜全封闭覆盖奖励。在丰台区办理施工登记备案的项目工程工地，采用基坑气膜技术对施工区域进行全封闭覆盖的，按照覆盖面积100元/平方米给予一次性奖励，每个项目最高不超过150万元。</w:t>
      </w:r>
    </w:p>
    <w:p>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sz w:val="32"/>
        </w:rPr>
      </w:pPr>
      <w:r>
        <w:rPr>
          <w:rFonts w:ascii="仿宋_GB2312" w:hAnsi="仿宋_GB2312" w:eastAsia="仿宋_GB2312"/>
          <w:sz w:val="32"/>
        </w:rPr>
        <w:t>2.全电工地奖励。施工项目使用新能源非道路移动机械并达到市生态环境局认定的全电工地要求的，按照该项目租赁机械金额的50%给予一次性奖励，每个项目最高不超过20万元。</w:t>
      </w:r>
    </w:p>
    <w:p>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楷体_GB2312" w:hAnsi="楷体_GB2312" w:eastAsia="楷体_GB2312" w:cs="楷体_GB2312"/>
          <w:b w:val="0"/>
          <w:bCs/>
          <w:sz w:val="32"/>
          <w:szCs w:val="32"/>
        </w:rPr>
      </w:pPr>
      <w:r>
        <w:rPr>
          <w:rFonts w:hint="eastAsia" w:ascii="楷体_GB2312" w:hAnsi="楷体_GB2312" w:eastAsia="楷体_GB2312" w:cs="楷体_GB2312"/>
          <w:b w:val="0"/>
          <w:bCs/>
          <w:sz w:val="32"/>
          <w:szCs w:val="32"/>
        </w:rPr>
        <w:t>二、生活源深度治理打造宜居丰台</w:t>
      </w:r>
    </w:p>
    <w:p>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楷体_GB2312" w:hAnsi="楷体_GB2312" w:eastAsia="楷体_GB2312" w:cs="楷体_GB2312"/>
          <w:b w:val="0"/>
          <w:bCs/>
          <w:sz w:val="32"/>
          <w:szCs w:val="32"/>
        </w:rPr>
      </w:pPr>
      <w:r>
        <w:rPr>
          <w:rFonts w:ascii="仿宋_GB2312" w:hAnsi="仿宋_GB2312" w:eastAsia="仿宋_GB2312"/>
          <w:b w:val="0"/>
          <w:sz w:val="32"/>
        </w:rPr>
        <w:t>本板块围绕油烟治理、噪声防控、固体废物处置等民生领域，支持生活源深度治理。</w:t>
      </w:r>
    </w:p>
    <w:p>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（五）</w:t>
      </w:r>
      <w:r>
        <w:rPr>
          <w:rFonts w:hint="eastAsia" w:ascii="仿宋_GB2312" w:hAnsi="仿宋_GB2312" w:eastAsia="仿宋_GB2312" w:cs="仿宋_GB2312"/>
          <w:sz w:val="32"/>
          <w:lang w:eastAsia="zh-CN"/>
        </w:rPr>
        <w:t>餐饮行业</w:t>
      </w:r>
      <w:r>
        <w:rPr>
          <w:rFonts w:hint="eastAsia" w:ascii="仿宋_GB2312" w:hAnsi="仿宋_GB2312" w:eastAsia="仿宋_GB2312" w:cs="仿宋_GB2312"/>
          <w:sz w:val="32"/>
        </w:rPr>
        <w:t>油烟治理改造</w:t>
      </w:r>
    </w:p>
    <w:p>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sz w:val="32"/>
        </w:rPr>
      </w:pPr>
      <w:r>
        <w:rPr>
          <w:rFonts w:ascii="仿宋_GB2312" w:hAnsi="仿宋_GB2312" w:eastAsia="仿宋_GB2312"/>
          <w:sz w:val="32"/>
        </w:rPr>
        <w:t>本类适用于餐饮集中街区、底商餐饮、商业综合体、居民楼配套商业等生活源污染集中场景。</w:t>
      </w:r>
    </w:p>
    <w:p>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1.餐饮油烟净化升级奖励。餐饮服务业企业或单位采取油烟净化设施更新、处理工艺升级等方式，使油烟净化装置具有两级及以上净化工艺的，按照每1000m³/h风量奖励300元，奖励资金最高不超过改造投资的50%。</w:t>
      </w:r>
    </w:p>
    <w:p>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2.餐饮集中区油烟集中治理奖励。产权、物业等单位对餐饮集中区采取设施升级、设备更新等方式开展油烟集中治理，使油烟净化装置具有两级及以上净化工艺的，按照每1000m³/h风量奖励300元，奖励资金最高不超过改造投资的50%。</w:t>
      </w:r>
    </w:p>
    <w:p>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3.餐饮排口改造奖励。餐饮服务业企业或单位、产权及物业等单位采取管道改造方式变更排口位置，进一步降低废气影响且实际经营3个月内无群众投诉的，按照不超过项目改造投资额30%的比例给予奖励。</w:t>
      </w:r>
    </w:p>
    <w:p>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sz w:val="32"/>
          <w:lang w:eastAsia="zh-CN"/>
        </w:rPr>
      </w:pPr>
      <w:r>
        <w:rPr>
          <w:rFonts w:hint="eastAsia" w:ascii="仿宋_GB2312" w:hAnsi="仿宋_GB2312" w:eastAsia="仿宋_GB2312" w:cs="仿宋_GB2312"/>
          <w:sz w:val="32"/>
        </w:rPr>
        <w:t>（六）</w:t>
      </w:r>
      <w:r>
        <w:rPr>
          <w:rFonts w:hint="eastAsia" w:ascii="仿宋_GB2312" w:hAnsi="仿宋_GB2312" w:eastAsia="仿宋_GB2312" w:cs="仿宋_GB2312"/>
          <w:sz w:val="32"/>
          <w:lang w:eastAsia="zh-CN"/>
        </w:rPr>
        <w:t>噪声系统治理改造以奖代补</w:t>
      </w:r>
    </w:p>
    <w:p>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sz w:val="32"/>
        </w:rPr>
      </w:pPr>
      <w:r>
        <w:rPr>
          <w:rFonts w:ascii="仿宋_GB2312" w:hAnsi="仿宋_GB2312" w:eastAsia="仿宋_GB2312"/>
          <w:sz w:val="32"/>
        </w:rPr>
        <w:t>本类适用于</w:t>
      </w:r>
      <w:r>
        <w:rPr>
          <w:rFonts w:hint="eastAsia" w:ascii="仿宋_GB2312" w:hAnsi="仿宋_GB2312" w:eastAsia="仿宋_GB2312"/>
          <w:sz w:val="32"/>
          <w:lang w:eastAsia="zh-CN"/>
        </w:rPr>
        <w:t>商业固定设备、小区内部噪声系统降噪治理场景</w:t>
      </w:r>
      <w:r>
        <w:rPr>
          <w:rFonts w:ascii="仿宋_GB2312" w:hAnsi="仿宋_GB2312" w:eastAsia="仿宋_GB2312"/>
          <w:sz w:val="32"/>
        </w:rPr>
        <w:t>。</w:t>
      </w:r>
    </w:p>
    <w:p>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sz w:val="32"/>
          <w:lang w:val="en" w:eastAsia="zh-CN"/>
        </w:rPr>
      </w:pPr>
      <w:r>
        <w:rPr>
          <w:rFonts w:hint="eastAsia" w:ascii="仿宋_GB2312" w:hAnsi="仿宋_GB2312" w:eastAsia="仿宋_GB2312" w:cs="仿宋_GB2312"/>
          <w:sz w:val="32"/>
          <w:lang w:val="en-US" w:eastAsia="zh-CN"/>
        </w:rPr>
        <w:t>1.</w:t>
      </w:r>
      <w:r>
        <w:rPr>
          <w:rFonts w:hint="eastAsia" w:ascii="仿宋_GB2312" w:hAnsi="仿宋_GB2312" w:eastAsia="仿宋_GB2312" w:cs="仿宋_GB2312"/>
          <w:sz w:val="32"/>
        </w:rPr>
        <w:t>商业固定设备降噪治理奖励。固定设备所属单位或商业经营者通过加装隔音棉、隔声罩等工程进行降噪治理，在噪声排放达标基础上进一步降低经营活动中非人为噪声影响，治理完成后进入1个月观察期，期间有效投诉（不含恶意及匿名投诉）较治理前3个月月均下降70%及以上的，按照降噪治理工程投资的50%给予奖励；观察期内发生有效投诉的，可整改后重新计算观察期，累计观察期最长不超过3个月，逾期未达降幅要求的不予奖励。</w:t>
      </w:r>
    </w:p>
    <w:p>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default"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2.小区内部公共设备设施降噪治理补贴。小区物业服务企业或受委托管理单位对小区内部公共设备、设施（包括但不限于井盖、减速带、垃圾房、水泵、风机等）开展系统降噪治理的，可申请补贴。其中，井盖、减速带、垃圾房等设施，通过更换低噪材质、加装减振垫、柔性包裹、静音改造、优化作业管理等方式降低噪声影响；水泵、风机等公共设备，应在满足噪声排放达标要求的基础上，针对达标扰民问题，通过加装隔音棉、隔声罩、消声器、减振基座等措施开展进一步降噪治理。治理完成后进入1个月观察期，期间有效投诉（不含恶意及匿名投诉）较治理前3个月月均下降70%及以上的，按照降噪治理工程投资的50%给予补贴；观察期内发生有效投诉的，可整改后重新计算观察期，累计观察期最长不超过3个月，逾期未达降幅要求的不予补贴。</w:t>
      </w:r>
    </w:p>
    <w:p>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（七）干洗行业设备淘汰更新以奖代补</w:t>
      </w:r>
    </w:p>
    <w:p>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sz w:val="32"/>
          <w:lang w:eastAsia="zh-CN"/>
        </w:rPr>
      </w:pPr>
      <w:r>
        <w:rPr>
          <w:rFonts w:ascii="仿宋_GB2312" w:hAnsi="仿宋_GB2312" w:eastAsia="仿宋_GB2312"/>
          <w:sz w:val="32"/>
        </w:rPr>
        <w:t>本类适用于干洗经营企业及个体工商户挥发性有机物污染治理场景。</w:t>
      </w:r>
    </w:p>
    <w:p>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sz w:val="32"/>
        </w:rPr>
      </w:pPr>
      <w:r>
        <w:rPr>
          <w:rFonts w:hint="eastAsia" w:ascii="仿宋_GB2312" w:hAnsi="仿宋_GB2312" w:eastAsia="仿宋_GB2312" w:cs="仿宋_GB2312"/>
          <w:sz w:val="32"/>
          <w:lang w:eastAsia="zh-CN"/>
        </w:rPr>
        <w:t>干洗服务业企业或个体工商户淘汰在用的开启式四氯乙烯干洗机、普通封闭式四氯乙烯干洗机、分体式石油干洗机、普通封闭式石油干洗机等落后设备，更新为符合国家和北京市要求的全封闭式干洗设备的，按照设备更新投资额的50%给予奖励。新设备投资额以正式发票开具金额为准。淘汰的落后设备应拆除报废，不得转让、转售或继续使用；新购置的全封闭式干洗设备应配备压缩机制冷溶剂回收系统，具备干洗溶剂净化回收功能，不直接外排废气。</w:t>
      </w:r>
    </w:p>
    <w:p>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w:t>
      </w:r>
      <w:r>
        <w:rPr>
          <w:rFonts w:hint="eastAsia" w:ascii="仿宋_GB2312" w:hAnsi="仿宋_GB2312" w:eastAsia="仿宋_GB2312" w:cs="仿宋_GB2312"/>
          <w:sz w:val="32"/>
          <w:lang w:eastAsia="zh-CN"/>
        </w:rPr>
        <w:t>八</w:t>
      </w:r>
      <w:r>
        <w:rPr>
          <w:rFonts w:hint="eastAsia" w:ascii="仿宋_GB2312" w:hAnsi="仿宋_GB2312" w:eastAsia="仿宋_GB2312" w:cs="仿宋_GB2312"/>
          <w:sz w:val="32"/>
        </w:rPr>
        <w:t>）</w:t>
      </w:r>
      <w:r>
        <w:rPr>
          <w:rFonts w:hint="eastAsia" w:ascii="仿宋_GB2312" w:hAnsi="仿宋_GB2312" w:eastAsia="仿宋_GB2312" w:cs="仿宋_GB2312"/>
          <w:sz w:val="32"/>
          <w:lang w:eastAsia="zh-CN"/>
        </w:rPr>
        <w:t>固体废物减量化、资源化提升改造</w:t>
      </w:r>
      <w:r>
        <w:rPr>
          <w:rFonts w:hint="eastAsia" w:ascii="仿宋_GB2312" w:hAnsi="仿宋_GB2312" w:eastAsia="仿宋_GB2312" w:cs="仿宋_GB2312"/>
          <w:sz w:val="32"/>
        </w:rPr>
        <w:t>"以奖代补"</w:t>
      </w:r>
    </w:p>
    <w:p>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sz w:val="32"/>
        </w:rPr>
      </w:pPr>
      <w:r>
        <w:rPr>
          <w:rFonts w:ascii="仿宋_GB2312" w:hAnsi="仿宋_GB2312" w:eastAsia="仿宋_GB2312"/>
          <w:sz w:val="32"/>
        </w:rPr>
        <w:t>本类适用于产业园区、商业综合体、医疗机构、学校</w:t>
      </w:r>
      <w:r>
        <w:rPr>
          <w:rFonts w:hint="eastAsia" w:ascii="仿宋_GB2312" w:hAnsi="仿宋_GB2312" w:eastAsia="仿宋_GB2312"/>
          <w:sz w:val="32"/>
          <w:lang w:eastAsia="zh-CN"/>
        </w:rPr>
        <w:t>、企业</w:t>
      </w:r>
      <w:r>
        <w:rPr>
          <w:rFonts w:ascii="仿宋_GB2312" w:hAnsi="仿宋_GB2312" w:eastAsia="仿宋_GB2312"/>
          <w:sz w:val="32"/>
        </w:rPr>
        <w:t>等固体废物产生集中场景。</w:t>
      </w:r>
    </w:p>
    <w:p>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各类固体废物产生单位通过工艺提级、设施升级、综合治理等方式，实现固体废物减量化、资源化和无害化，且固体废物较改造前一年综合利用率提升10%以上或产生量降低10%以上，通过区级验收的，按照改造项目总投资的30%给予奖励，最高不超过50万元。</w:t>
      </w:r>
    </w:p>
    <w:p>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其中，对从事邮政快递包装生产、使用、回收、处置的各类企业及单位（包括但不限于邮政、快递、电商、物流、包装生产、可循环包装运营和第三方回收企业等），通过包装减量化设计、绿色材料替代、智能封装设施升级、可循环包装应用及回收复用体系建设等方式，实现邮政快递包装减量化、资源化、无害化，且包装废弃物回收利用率较改造前一年提升10%以上或一次性快递包装材料使用量降低10%以上的，通过区级验收后，按照其邮政快递包装绿色转型改造项目总投资的30%给予奖励，最高不超过50万元。</w:t>
      </w:r>
    </w:p>
    <w:p>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楷体_GB2312" w:hAnsi="楷体_GB2312" w:eastAsia="楷体_GB2312" w:cs="楷体_GB2312"/>
          <w:b w:val="0"/>
          <w:bCs/>
          <w:sz w:val="32"/>
          <w:szCs w:val="32"/>
        </w:rPr>
      </w:pPr>
      <w:r>
        <w:rPr>
          <w:rFonts w:hint="eastAsia" w:ascii="楷体_GB2312" w:hAnsi="楷体_GB2312" w:eastAsia="楷体_GB2312" w:cs="楷体_GB2312"/>
          <w:b w:val="0"/>
          <w:bCs/>
          <w:sz w:val="32"/>
          <w:szCs w:val="32"/>
        </w:rPr>
        <w:t>三、低碳转型引领建设绿色丰台</w:t>
      </w:r>
    </w:p>
    <w:p>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楷体_GB2312" w:hAnsi="楷体_GB2312" w:eastAsia="楷体_GB2312" w:cs="楷体_GB2312"/>
          <w:b w:val="0"/>
          <w:bCs/>
          <w:sz w:val="32"/>
          <w:szCs w:val="32"/>
        </w:rPr>
      </w:pPr>
      <w:r>
        <w:rPr>
          <w:rFonts w:ascii="仿宋_GB2312" w:hAnsi="仿宋_GB2312" w:eastAsia="仿宋_GB2312"/>
          <w:b w:val="0"/>
          <w:sz w:val="32"/>
        </w:rPr>
        <w:t>本板块围绕集群治理、企业转型、区域</w:t>
      </w:r>
      <w:r>
        <w:rPr>
          <w:rFonts w:hint="eastAsia" w:ascii="仿宋_GB2312" w:hAnsi="仿宋_GB2312" w:eastAsia="仿宋_GB2312"/>
          <w:b w:val="0"/>
          <w:sz w:val="32"/>
          <w:lang w:eastAsia="zh-CN"/>
        </w:rPr>
        <w:t>绿色转型建设</w:t>
      </w:r>
      <w:r>
        <w:rPr>
          <w:rFonts w:ascii="仿宋_GB2312" w:hAnsi="仿宋_GB2312" w:eastAsia="仿宋_GB2312"/>
          <w:b w:val="0"/>
          <w:sz w:val="32"/>
        </w:rPr>
        <w:t>等层次，支持低碳</w:t>
      </w:r>
      <w:r>
        <w:rPr>
          <w:rFonts w:hint="eastAsia" w:ascii="仿宋_GB2312" w:hAnsi="仿宋_GB2312" w:eastAsia="仿宋_GB2312"/>
          <w:b w:val="0"/>
          <w:sz w:val="32"/>
          <w:lang w:eastAsia="zh-CN"/>
        </w:rPr>
        <w:t>转型</w:t>
      </w:r>
      <w:r>
        <w:rPr>
          <w:rFonts w:ascii="仿宋_GB2312" w:hAnsi="仿宋_GB2312" w:eastAsia="仿宋_GB2312"/>
          <w:b w:val="0"/>
          <w:sz w:val="32"/>
        </w:rPr>
        <w:t>建设。</w:t>
      </w:r>
    </w:p>
    <w:p>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w:t>
      </w:r>
      <w:r>
        <w:rPr>
          <w:rFonts w:hint="eastAsia" w:ascii="仿宋_GB2312" w:hAnsi="仿宋_GB2312" w:eastAsia="仿宋_GB2312" w:cs="仿宋_GB2312"/>
          <w:sz w:val="32"/>
          <w:lang w:eastAsia="zh-CN"/>
        </w:rPr>
        <w:t>九</w:t>
      </w:r>
      <w:r>
        <w:rPr>
          <w:rFonts w:hint="eastAsia" w:ascii="仿宋_GB2312" w:hAnsi="仿宋_GB2312" w:eastAsia="仿宋_GB2312" w:cs="仿宋_GB2312"/>
          <w:sz w:val="32"/>
        </w:rPr>
        <w:t>）挥发性有机物治理集中治理</w:t>
      </w:r>
    </w:p>
    <w:p>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sz w:val="32"/>
        </w:rPr>
      </w:pPr>
      <w:r>
        <w:rPr>
          <w:rFonts w:ascii="仿宋_GB2312" w:hAnsi="仿宋_GB2312" w:eastAsia="仿宋_GB2312"/>
          <w:sz w:val="32"/>
        </w:rPr>
        <w:t>本类适用于汽修集中区域高污行业集群治理场景。</w:t>
      </w:r>
    </w:p>
    <w:p>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在丰台区实际经营的汽修企业建设共享钣喷中心，面向周边小散汽修企业提供集中喷烤漆服务，配套建设机器人喷漆功能并实现与区生态环境局数字化联网，原辅料完成水性替代，经丰台区生态环境局、北京市交通委丰台运输管理分局联合认定的，按照共享钣喷中心建设总投资的50%给予奖励。</w:t>
      </w:r>
    </w:p>
    <w:p>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w:t>
      </w:r>
      <w:r>
        <w:rPr>
          <w:rFonts w:hint="eastAsia" w:ascii="仿宋_GB2312" w:hAnsi="仿宋_GB2312" w:eastAsia="仿宋_GB2312" w:cs="仿宋_GB2312"/>
          <w:sz w:val="32"/>
          <w:lang w:eastAsia="zh-CN"/>
        </w:rPr>
        <w:t>十</w:t>
      </w:r>
      <w:r>
        <w:rPr>
          <w:rFonts w:hint="eastAsia" w:ascii="仿宋_GB2312" w:hAnsi="仿宋_GB2312" w:eastAsia="仿宋_GB2312" w:cs="仿宋_GB2312"/>
          <w:sz w:val="32"/>
        </w:rPr>
        <w:t>）企业绿色绩效评价</w:t>
      </w:r>
    </w:p>
    <w:p>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sz w:val="32"/>
        </w:rPr>
      </w:pPr>
      <w:r>
        <w:rPr>
          <w:rFonts w:ascii="仿宋_GB2312" w:hAnsi="仿宋_GB2312" w:eastAsia="仿宋_GB2312"/>
          <w:sz w:val="32"/>
        </w:rPr>
        <w:t>本类适用于餐饮、住宿、制造、印刷等行业企业全面绿色转型场景。</w:t>
      </w:r>
    </w:p>
    <w:p>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丰台区内餐饮、住宿、制造、印刷企业或单位按照《北京市企业和项目绿色绩效评价指南（试行）》开展绿色绩效评定的，根据评定结果给予一次性奖励：绿色标杆（深绿）企业或单位奖励15万元，绿色基准（浅绿）企业或单位奖励10万元。</w:t>
      </w:r>
    </w:p>
    <w:p>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（十</w:t>
      </w:r>
      <w:r>
        <w:rPr>
          <w:rFonts w:hint="eastAsia" w:ascii="仿宋_GB2312" w:hAnsi="仿宋_GB2312" w:eastAsia="仿宋_GB2312" w:cs="仿宋_GB2312"/>
          <w:sz w:val="32"/>
          <w:lang w:eastAsia="zh-CN"/>
        </w:rPr>
        <w:t>一</w:t>
      </w:r>
      <w:r>
        <w:rPr>
          <w:rFonts w:hint="eastAsia" w:ascii="仿宋_GB2312" w:hAnsi="仿宋_GB2312" w:eastAsia="仿宋_GB2312" w:cs="仿宋_GB2312"/>
          <w:sz w:val="32"/>
        </w:rPr>
        <w:t>）</w:t>
      </w:r>
      <w:r>
        <w:rPr>
          <w:rFonts w:hint="eastAsia" w:ascii="仿宋_GB2312" w:hAnsi="仿宋_GB2312" w:eastAsia="仿宋_GB2312" w:cs="仿宋_GB2312"/>
          <w:sz w:val="32"/>
          <w:lang w:eastAsia="zh-CN"/>
        </w:rPr>
        <w:t>重点</w:t>
      </w:r>
      <w:r>
        <w:rPr>
          <w:rFonts w:hint="eastAsia" w:ascii="仿宋_GB2312" w:hAnsi="仿宋_GB2312" w:eastAsia="仿宋_GB2312" w:cs="仿宋_GB2312"/>
          <w:sz w:val="32"/>
        </w:rPr>
        <w:t>区域低碳建设支持</w:t>
      </w:r>
    </w:p>
    <w:p>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sz w:val="32"/>
        </w:rPr>
      </w:pPr>
      <w:r>
        <w:rPr>
          <w:rFonts w:ascii="仿宋_GB2312" w:hAnsi="仿宋_GB2312" w:eastAsia="仿宋_GB2312"/>
          <w:sz w:val="32"/>
        </w:rPr>
        <w:t>本类适用于园区、街道（乡镇）、社区（村）等小尺度区域低碳建设场景。</w:t>
      </w:r>
    </w:p>
    <w:p>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sz w:val="32"/>
        </w:rPr>
      </w:pPr>
      <w:r>
        <w:rPr>
          <w:rFonts w:hint="eastAsia" w:ascii="仿宋_GB2312" w:hAnsi="仿宋_GB2312" w:eastAsia="仿宋_GB2312" w:cs="仿宋_GB2312"/>
          <w:sz w:val="32"/>
          <w:lang w:eastAsia="zh-CN"/>
        </w:rPr>
        <w:t>气候友好型区域的</w:t>
      </w:r>
      <w:r>
        <w:rPr>
          <w:rFonts w:hint="eastAsia" w:ascii="仿宋_GB2312" w:hAnsi="仿宋_GB2312" w:eastAsia="仿宋_GB2312" w:cs="仿宋_GB2312"/>
          <w:sz w:val="32"/>
        </w:rPr>
        <w:t>园区、街道（乡镇）、社区（村）等区域的运营管理单位或建设主体，围绕能源利用低碳化、建筑绿色化等方向开展低碳建设项目，项目已实施完成并通过验收的，按照低碳建设项目实际投资额的30%给予奖励，单个区域年度最高不超过</w:t>
      </w:r>
      <w:r>
        <w:rPr>
          <w:rFonts w:hint="eastAsia" w:ascii="仿宋_GB2312" w:hAnsi="仿宋_GB2312" w:eastAsia="仿宋_GB2312" w:cs="仿宋_GB2312"/>
          <w:sz w:val="32"/>
          <w:lang w:val="en-US" w:eastAsia="zh-CN"/>
        </w:rPr>
        <w:t>50</w:t>
      </w:r>
      <w:r>
        <w:rPr>
          <w:rFonts w:hint="eastAsia" w:ascii="仿宋_GB2312" w:hAnsi="仿宋_GB2312" w:eastAsia="仿宋_GB2312" w:cs="仿宋_GB2312"/>
          <w:sz w:val="32"/>
        </w:rPr>
        <w:t>万元。</w:t>
      </w:r>
    </w:p>
    <w:p>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第十条  对单个法人</w:t>
      </w:r>
      <w:r>
        <w:rPr>
          <w:rFonts w:hint="eastAsia" w:ascii="仿宋_GB2312" w:hAnsi="仿宋_GB2312" w:eastAsia="仿宋_GB2312" w:cs="仿宋_GB2312"/>
          <w:sz w:val="32"/>
          <w:lang w:eastAsia="zh-CN"/>
        </w:rPr>
        <w:t>或同一机构</w:t>
      </w:r>
      <w:r>
        <w:rPr>
          <w:rFonts w:hint="eastAsia" w:ascii="仿宋_GB2312" w:hAnsi="仿宋_GB2312" w:eastAsia="仿宋_GB2312" w:cs="仿宋_GB2312"/>
          <w:sz w:val="32"/>
        </w:rPr>
        <w:t>主体同一年度多项目累计最高支持额度不超过500万元。</w:t>
      </w:r>
    </w:p>
    <w:p>
      <w:pPr>
        <w:widowControl w:val="0"/>
        <w:spacing w:after="0" w:line="560" w:lineRule="exact"/>
        <w:ind w:firstLine="640"/>
        <w:jc w:val="both"/>
        <w:rPr>
          <w:rFonts w:ascii="仿宋_GB2312" w:hAnsi="仿宋_GB2312" w:eastAsia="仿宋_GB2312" w:cs="仿宋_GB2312"/>
          <w:lang w:eastAsia="zh-CN"/>
        </w:rPr>
      </w:pPr>
      <w:r>
        <w:rPr>
          <w:rFonts w:hint="eastAsia" w:ascii="仿宋_GB2312" w:hAnsi="仿宋_GB2312" w:eastAsia="仿宋_GB2312" w:cs="仿宋_GB2312"/>
          <w:sz w:val="32"/>
        </w:rPr>
        <w:t xml:space="preserve">第十一条  </w:t>
      </w:r>
      <w:r>
        <w:rPr>
          <w:rFonts w:hint="eastAsia" w:ascii="仿宋_GB2312" w:hAnsi="仿宋_GB2312" w:eastAsia="仿宋_GB2312" w:cs="仿宋_GB2312"/>
          <w:lang w:eastAsia="zh-CN"/>
        </w:rPr>
        <w:t>同一项目不得同时或者重复获取第九条规定的不同情形的奖励支持。</w:t>
      </w:r>
    </w:p>
    <w:p>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第十二条  以下项目不列入支持范围：</w:t>
      </w:r>
    </w:p>
    <w:p>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1.污染防治支持方向中相关项目属于建设项目环境保护“三同时”的。</w:t>
      </w:r>
    </w:p>
    <w:p>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2.本办法第九条第（一）项至第（十</w:t>
      </w:r>
      <w:r>
        <w:rPr>
          <w:rFonts w:hint="eastAsia" w:ascii="仿宋_GB2312" w:hAnsi="仿宋_GB2312" w:eastAsia="仿宋_GB2312" w:cs="仿宋_GB2312"/>
          <w:sz w:val="32"/>
          <w:lang w:eastAsia="zh-CN"/>
        </w:rPr>
        <w:t>一</w:t>
      </w:r>
      <w:r>
        <w:rPr>
          <w:rFonts w:hint="eastAsia" w:ascii="仿宋_GB2312" w:hAnsi="仿宋_GB2312" w:eastAsia="仿宋_GB2312" w:cs="仿宋_GB2312"/>
          <w:sz w:val="32"/>
        </w:rPr>
        <w:t>）项支持方向中相关项目使用政府资金建设投资的，已获得市级资金奖励、建筑绿色发展奖励资金等其他市级资金支持的。</w:t>
      </w:r>
    </w:p>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ascii="黑体" w:hAnsi="黑体" w:eastAsia="黑体"/>
          <w:b w:val="0"/>
          <w:bCs w:val="0"/>
          <w:sz w:val="32"/>
        </w:rPr>
      </w:pPr>
      <w:r>
        <w:rPr>
          <w:rFonts w:ascii="黑体" w:hAnsi="黑体" w:eastAsia="黑体"/>
          <w:b w:val="0"/>
          <w:bCs w:val="0"/>
          <w:sz w:val="32"/>
        </w:rPr>
        <w:t>第四章  申报及执行管理</w:t>
      </w:r>
    </w:p>
    <w:p>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第十三条  区生态环境部门根据相关环境保护规划、计划、实施方案等设立项目库，结合年度减污降碳工作部署情况统筹年度重点支持方向，</w:t>
      </w:r>
      <w:r>
        <w:rPr>
          <w:rFonts w:hint="eastAsia" w:ascii="仿宋_GB2312" w:hAnsi="仿宋_GB2312" w:eastAsia="仿宋_GB2312" w:cs="仿宋_GB2312"/>
          <w:sz w:val="32"/>
          <w:lang w:eastAsia="zh-CN"/>
        </w:rPr>
        <w:t>按要求</w:t>
      </w:r>
      <w:r>
        <w:rPr>
          <w:rFonts w:hint="eastAsia" w:ascii="仿宋_GB2312" w:hAnsi="仿宋_GB2312" w:eastAsia="仿宋_GB2312" w:cs="仿宋_GB2312"/>
          <w:sz w:val="32"/>
        </w:rPr>
        <w:t>开展项目征集审核工作。</w:t>
      </w:r>
    </w:p>
    <w:p>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第十四条  项目征集：应当向社会发布，同步征求相关主管部门意见，相关主管部门可以主动推荐项目。区生态环境部门明确具体支持方向、支持范围、支持标准及申报途径、受理部门、审核流程、资金使用要求等要素。</w:t>
      </w:r>
    </w:p>
    <w:p>
      <w:pPr>
        <w:widowControl w:val="0"/>
        <w:spacing w:after="0" w:line="560" w:lineRule="exact"/>
        <w:ind w:firstLine="640"/>
        <w:jc w:val="both"/>
        <w:rPr>
          <w:rFonts w:ascii="仿宋_GB2312" w:hAnsi="仿宋_GB2312" w:eastAsia="仿宋_GB2312" w:cs="仿宋_GB2312"/>
          <w:lang w:eastAsia="zh-CN"/>
        </w:rPr>
      </w:pPr>
      <w:r>
        <w:rPr>
          <w:rFonts w:hint="eastAsia" w:ascii="仿宋_GB2312" w:hAnsi="仿宋_GB2312" w:eastAsia="仿宋_GB2312" w:cs="仿宋_GB2312"/>
          <w:lang w:eastAsia="zh-CN"/>
        </w:rPr>
        <w:t>第十五条  项目初审：</w:t>
      </w:r>
    </w:p>
    <w:p>
      <w:pPr>
        <w:widowControl w:val="0"/>
        <w:spacing w:after="0" w:line="560" w:lineRule="exact"/>
        <w:ind w:firstLine="640"/>
        <w:jc w:val="both"/>
        <w:rPr>
          <w:rFonts w:ascii="仿宋_GB2312" w:hAnsi="仿宋_GB2312" w:eastAsia="仿宋_GB2312" w:cs="仿宋_GB2312"/>
          <w:lang w:eastAsia="zh-CN"/>
        </w:rPr>
      </w:pPr>
      <w:r>
        <w:rPr>
          <w:rFonts w:hint="eastAsia" w:ascii="仿宋_GB2312" w:hAnsi="仿宋_GB2312" w:eastAsia="仿宋_GB2312" w:cs="仿宋_GB2312"/>
          <w:lang w:eastAsia="zh-CN"/>
        </w:rPr>
        <w:t>项目单位依据年度申报指南及要求，将相关材料报送区生态环境部门，并对材料真实性负责。推荐项目由主管部门附推荐意见同步报送。区生态环境部门负责初步审核资料的完整性、合规性，建立项目储备库。</w:t>
      </w:r>
    </w:p>
    <w:p>
      <w:pPr>
        <w:widowControl w:val="0"/>
        <w:spacing w:after="0" w:line="560" w:lineRule="exact"/>
        <w:ind w:firstLine="640"/>
        <w:jc w:val="both"/>
        <w:rPr>
          <w:rFonts w:ascii="仿宋_GB2312" w:hAnsi="仿宋_GB2312" w:eastAsia="仿宋_GB2312" w:cs="仿宋_GB2312"/>
          <w:lang w:eastAsia="zh-CN"/>
        </w:rPr>
      </w:pPr>
      <w:r>
        <w:rPr>
          <w:rFonts w:hint="eastAsia" w:ascii="仿宋_GB2312" w:hAnsi="仿宋_GB2312" w:eastAsia="仿宋_GB2312" w:cs="仿宋_GB2312"/>
          <w:lang w:eastAsia="zh-CN"/>
        </w:rPr>
        <w:t>第十六条  专家评审：</w:t>
      </w:r>
    </w:p>
    <w:p>
      <w:pPr>
        <w:widowControl w:val="0"/>
        <w:spacing w:after="0" w:line="560" w:lineRule="exact"/>
        <w:ind w:firstLine="640"/>
        <w:jc w:val="both"/>
        <w:rPr>
          <w:rFonts w:ascii="仿宋_GB2312" w:hAnsi="仿宋_GB2312" w:eastAsia="仿宋_GB2312" w:cs="仿宋_GB2312"/>
          <w:lang w:eastAsia="zh-CN"/>
        </w:rPr>
      </w:pPr>
      <w:r>
        <w:rPr>
          <w:rFonts w:hint="eastAsia" w:ascii="仿宋_GB2312" w:hAnsi="仿宋_GB2312" w:eastAsia="仿宋_GB2312" w:cs="仿宋_GB2312"/>
          <w:lang w:eastAsia="zh-CN"/>
        </w:rPr>
        <w:t>区生态环境部门依据相关标准及规定，对确需专家评审的申报项目，可委托第三方专业机构/专家对项目申报材料进行文件评审和现场审核，并形成评审报告。</w:t>
      </w:r>
    </w:p>
    <w:p>
      <w:pPr>
        <w:widowControl w:val="0"/>
        <w:spacing w:after="0" w:line="560" w:lineRule="exact"/>
        <w:ind w:firstLine="640"/>
        <w:jc w:val="both"/>
        <w:rPr>
          <w:rFonts w:ascii="仿宋_GB2312" w:hAnsi="仿宋_GB2312" w:eastAsia="仿宋_GB2312" w:cs="仿宋_GB2312"/>
          <w:lang w:eastAsia="zh-CN"/>
        </w:rPr>
      </w:pPr>
      <w:r>
        <w:rPr>
          <w:rFonts w:hint="eastAsia" w:ascii="仿宋_GB2312" w:hAnsi="仿宋_GB2312" w:eastAsia="仿宋_GB2312" w:cs="仿宋_GB2312"/>
          <w:lang w:eastAsia="zh-CN"/>
        </w:rPr>
        <w:t>第十七条  部门联审：</w:t>
      </w:r>
    </w:p>
    <w:p>
      <w:pPr>
        <w:widowControl w:val="0"/>
        <w:spacing w:after="0" w:line="560" w:lineRule="exact"/>
        <w:ind w:firstLine="640"/>
        <w:jc w:val="both"/>
        <w:rPr>
          <w:rFonts w:ascii="仿宋_GB2312" w:hAnsi="仿宋_GB2312" w:eastAsia="仿宋_GB2312" w:cs="仿宋_GB2312"/>
          <w:lang w:eastAsia="zh-CN"/>
        </w:rPr>
      </w:pPr>
      <w:r>
        <w:rPr>
          <w:rFonts w:hint="eastAsia" w:ascii="仿宋_GB2312" w:hAnsi="仿宋_GB2312" w:eastAsia="仿宋_GB2312" w:cs="仿宋_GB2312"/>
          <w:lang w:eastAsia="zh-CN"/>
        </w:rPr>
        <w:t>区生态环境部门组织相关行业主管部门结合当年项目申报和资金安排情况，</w:t>
      </w:r>
      <w:r>
        <w:rPr>
          <w:rFonts w:hint="eastAsia" w:ascii="仿宋_GB2312" w:hAnsi="仿宋_GB2312" w:eastAsia="仿宋_GB2312" w:cs="仿宋_GB2312"/>
          <w:highlight w:val="none"/>
          <w:lang w:eastAsia="zh-CN"/>
        </w:rPr>
        <w:t>优先支持减污降碳效益明显的项目，</w:t>
      </w:r>
      <w:r>
        <w:rPr>
          <w:rFonts w:hint="eastAsia" w:ascii="仿宋_GB2312" w:hAnsi="仿宋_GB2312" w:eastAsia="仿宋_GB2312" w:cs="仿宋_GB2312"/>
          <w:lang w:eastAsia="zh-CN"/>
        </w:rPr>
        <w:t>在广泛征求相关部门意见的基础上，形成资金支持初步方案。</w:t>
      </w:r>
    </w:p>
    <w:p>
      <w:pPr>
        <w:widowControl w:val="0"/>
        <w:spacing w:after="0" w:line="560" w:lineRule="exact"/>
        <w:ind w:firstLine="640"/>
        <w:jc w:val="both"/>
        <w:rPr>
          <w:rFonts w:ascii="仿宋_GB2312" w:hAnsi="仿宋_GB2312" w:eastAsia="仿宋_GB2312" w:cs="仿宋_GB2312"/>
          <w:lang w:eastAsia="zh-CN"/>
        </w:rPr>
      </w:pPr>
      <w:r>
        <w:rPr>
          <w:rFonts w:hint="eastAsia" w:ascii="仿宋_GB2312" w:hAnsi="仿宋_GB2312" w:eastAsia="仿宋_GB2312" w:cs="仿宋_GB2312"/>
          <w:lang w:eastAsia="zh-CN"/>
        </w:rPr>
        <w:t>第十八条  资金支付：</w:t>
      </w:r>
      <w:bookmarkStart w:id="0" w:name="_GoBack"/>
      <w:bookmarkEnd w:id="0"/>
    </w:p>
    <w:p>
      <w:pPr>
        <w:widowControl w:val="0"/>
        <w:spacing w:after="0" w:line="560" w:lineRule="exact"/>
        <w:ind w:firstLine="640"/>
        <w:jc w:val="both"/>
        <w:rPr>
          <w:rFonts w:ascii="仿宋_GB2312" w:hAnsi="仿宋_GB2312" w:eastAsia="仿宋_GB2312" w:cs="仿宋_GB2312"/>
          <w:lang w:eastAsia="zh-CN"/>
        </w:rPr>
      </w:pPr>
      <w:r>
        <w:rPr>
          <w:rFonts w:hint="eastAsia" w:ascii="仿宋_GB2312" w:hAnsi="仿宋_GB2312" w:eastAsia="仿宋_GB2312" w:cs="仿宋_GB2312"/>
          <w:lang w:eastAsia="zh-CN"/>
        </w:rPr>
        <w:t>经区生态环境局及区财政局最终审议通过后，在区政府网站公开5日，公示无异议，区生态环境局组织履行资金支付等相关程序。</w:t>
      </w:r>
    </w:p>
    <w:p>
      <w:pPr>
        <w:widowControl w:val="0"/>
        <w:spacing w:after="0" w:line="560" w:lineRule="exact"/>
        <w:ind w:firstLine="640"/>
        <w:jc w:val="both"/>
        <w:rPr>
          <w:rFonts w:ascii="仿宋_GB2312" w:hAnsi="仿宋_GB2312" w:eastAsia="仿宋_GB2312" w:cs="仿宋_GB2312"/>
          <w:lang w:eastAsia="zh-CN"/>
        </w:rPr>
      </w:pPr>
      <w:r>
        <w:rPr>
          <w:rFonts w:hint="eastAsia" w:ascii="仿宋_GB2312" w:hAnsi="仿宋_GB2312" w:eastAsia="仿宋_GB2312" w:cs="仿宋_GB2312"/>
          <w:lang w:eastAsia="zh-CN"/>
        </w:rPr>
        <w:t>第十九条  申报主体应未被列入严重违法失信主体名单、未发生突发环境事件、未发生重大安全生产责任事故、不存在经营地异常情况。</w:t>
      </w:r>
    </w:p>
    <w:p>
      <w:pPr>
        <w:widowControl w:val="0"/>
        <w:spacing w:after="0" w:line="560" w:lineRule="exact"/>
        <w:ind w:firstLine="640"/>
        <w:jc w:val="both"/>
        <w:rPr>
          <w:rFonts w:ascii="仿宋_GB2312" w:hAnsi="仿宋_GB2312" w:eastAsia="仿宋_GB2312" w:cs="仿宋_GB2312"/>
          <w:lang w:eastAsia="zh-CN"/>
        </w:rPr>
      </w:pPr>
      <w:r>
        <w:rPr>
          <w:rFonts w:hint="eastAsia" w:ascii="仿宋_GB2312" w:hAnsi="仿宋_GB2312" w:eastAsia="仿宋_GB2312" w:cs="仿宋_GB2312"/>
          <w:lang w:eastAsia="zh-CN"/>
        </w:rPr>
        <w:t>第二十条  本办法属于事后奖励，申报项目原则上须已经实施完成，实际支付金额（含税）达到项目总投资金额（含税）的90%（含）以上。</w:t>
      </w:r>
    </w:p>
    <w:p>
      <w:pPr>
        <w:widowControl w:val="0"/>
        <w:spacing w:after="0" w:line="560" w:lineRule="exact"/>
        <w:ind w:firstLine="640"/>
        <w:jc w:val="both"/>
        <w:rPr>
          <w:lang w:eastAsia="zh-CN"/>
        </w:rPr>
      </w:pPr>
      <w:r>
        <w:rPr>
          <w:rFonts w:hint="eastAsia" w:ascii="仿宋_GB2312" w:hAnsi="仿宋_GB2312" w:eastAsia="仿宋_GB2312" w:cs="仿宋_GB2312"/>
          <w:lang w:eastAsia="zh-CN"/>
        </w:rPr>
        <w:t>第二十一条  具体申报条件以当年申报指南中要求为准</w:t>
      </w:r>
      <w:r>
        <w:rPr>
          <w:lang w:eastAsia="zh-CN"/>
        </w:rPr>
        <w:t>。</w:t>
      </w:r>
    </w:p>
    <w:p>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pPr>
    </w:p>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ascii="黑体" w:hAnsi="黑体" w:eastAsia="黑体"/>
          <w:b w:val="0"/>
          <w:bCs w:val="0"/>
          <w:sz w:val="32"/>
        </w:rPr>
      </w:pPr>
      <w:r>
        <w:rPr>
          <w:rFonts w:ascii="黑体" w:hAnsi="黑体" w:eastAsia="黑体"/>
          <w:b w:val="0"/>
          <w:bCs w:val="0"/>
          <w:sz w:val="32"/>
        </w:rPr>
        <w:t>第五章  绩效评价与监督管理</w:t>
      </w:r>
    </w:p>
    <w:p>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第二十</w:t>
      </w:r>
      <w:r>
        <w:rPr>
          <w:rFonts w:hint="eastAsia" w:ascii="仿宋_GB2312" w:hAnsi="仿宋_GB2312" w:eastAsia="仿宋_GB2312" w:cs="仿宋_GB2312"/>
          <w:sz w:val="32"/>
          <w:lang w:eastAsia="zh-CN"/>
        </w:rPr>
        <w:t>二</w:t>
      </w:r>
      <w:r>
        <w:rPr>
          <w:rFonts w:hint="eastAsia" w:ascii="仿宋_GB2312" w:hAnsi="仿宋_GB2312" w:eastAsia="仿宋_GB2312" w:cs="仿宋_GB2312"/>
          <w:sz w:val="32"/>
        </w:rPr>
        <w:t>条  统筹综合绩效，提升资金实效。政策制定与执行同步考量经济效益、环境效益和社会效益，以拉动社会投资、实现减污降碳协同、提升环境治理水平为绩效目标，确保资金投向与绩效产出相匹配。每年组织开展</w:t>
      </w:r>
      <w:r>
        <w:rPr>
          <w:rFonts w:hint="eastAsia" w:ascii="仿宋_GB2312" w:hAnsi="仿宋_GB2312" w:eastAsia="仿宋_GB2312" w:cs="仿宋_GB2312"/>
          <w:sz w:val="32"/>
          <w:lang w:eastAsia="zh-CN"/>
        </w:rPr>
        <w:t>当年资金执行事后</w:t>
      </w:r>
      <w:r>
        <w:rPr>
          <w:rFonts w:hint="eastAsia" w:ascii="仿宋_GB2312" w:hAnsi="仿宋_GB2312" w:eastAsia="仿宋_GB2312" w:cs="仿宋_GB2312"/>
          <w:sz w:val="32"/>
        </w:rPr>
        <w:t>绩效评价，环境效益核心指标包括：氮氧化物（NOx）、挥发性有机物（VOCs）、颗粒物（PM）等大气污染物减排量，化学需氧量（COD）、氨氮等水污染物削减量，二氧化碳（CO₂）减排量，环境质量改善程度等</w:t>
      </w:r>
      <w:r>
        <w:rPr>
          <w:rFonts w:hint="eastAsia" w:ascii="仿宋_GB2312" w:hAnsi="仿宋_GB2312" w:eastAsia="仿宋_GB2312" w:cs="仿宋_GB2312"/>
          <w:sz w:val="32"/>
          <w:lang w:eastAsia="zh-CN"/>
        </w:rPr>
        <w:t>，</w:t>
      </w:r>
      <w:r>
        <w:rPr>
          <w:rFonts w:hint="eastAsia" w:ascii="仿宋_GB2312" w:hAnsi="仿宋_GB2312" w:eastAsia="仿宋_GB2312" w:cs="仿宋_GB2312"/>
          <w:sz w:val="32"/>
        </w:rPr>
        <w:t>绩效评价结果作为下一年度资金安排和政策调整的重要依据。</w:t>
      </w:r>
    </w:p>
    <w:p>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第二十</w:t>
      </w:r>
      <w:r>
        <w:rPr>
          <w:rFonts w:hint="eastAsia" w:ascii="仿宋_GB2312" w:hAnsi="仿宋_GB2312" w:eastAsia="仿宋_GB2312" w:cs="仿宋_GB2312"/>
          <w:sz w:val="32"/>
          <w:lang w:eastAsia="zh-CN"/>
        </w:rPr>
        <w:t>三</w:t>
      </w:r>
      <w:r>
        <w:rPr>
          <w:rFonts w:hint="eastAsia" w:ascii="仿宋_GB2312" w:hAnsi="仿宋_GB2312" w:eastAsia="仿宋_GB2312" w:cs="仿宋_GB2312"/>
          <w:sz w:val="32"/>
        </w:rPr>
        <w:t xml:space="preserve">条  </w:t>
      </w:r>
      <w:r>
        <w:rPr>
          <w:rFonts w:hint="eastAsia" w:ascii="仿宋_GB2312" w:hAnsi="仿宋_GB2312" w:eastAsia="仿宋_GB2312" w:cs="仿宋_GB2312"/>
          <w:sz w:val="32"/>
          <w:lang w:eastAsia="zh-CN"/>
        </w:rPr>
        <w:t>各</w:t>
      </w:r>
      <w:r>
        <w:rPr>
          <w:rFonts w:hint="eastAsia" w:ascii="仿宋_GB2312" w:hAnsi="仿宋_GB2312" w:eastAsia="仿宋_GB2312" w:cs="仿宋_GB2312"/>
          <w:sz w:val="32"/>
        </w:rPr>
        <w:t>部门要加强廉政风险防范，明确风险管理流程和要点，梳理主要风险点及防范措施，加强内部监查和外部审查，提高管理工作制度化、规范化管理水平。存在滥用职权、玩忽职守、徇私舞弊等违纪违法行为的，按照《中华人民共和国预算法》及其实施条例、《中华人民共和国公务员法》、《中华人民共和国监察法》、《财政违法行为处罚处分条例》等国家有关规定予以处理处罚。</w:t>
      </w:r>
    </w:p>
    <w:p>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第二十</w:t>
      </w:r>
      <w:r>
        <w:rPr>
          <w:rFonts w:hint="eastAsia" w:ascii="仿宋_GB2312" w:hAnsi="仿宋_GB2312" w:eastAsia="仿宋_GB2312" w:cs="仿宋_GB2312"/>
          <w:sz w:val="32"/>
          <w:lang w:eastAsia="zh-CN"/>
        </w:rPr>
        <w:t>四</w:t>
      </w:r>
      <w:r>
        <w:rPr>
          <w:rFonts w:hint="eastAsia" w:ascii="仿宋_GB2312" w:hAnsi="仿宋_GB2312" w:eastAsia="仿宋_GB2312" w:cs="仿宋_GB2312"/>
          <w:sz w:val="32"/>
        </w:rPr>
        <w:t>条  获得资金支持的单位应配合开展各级财政审计及绩效评价工作，对于审计或绩效评价结果不合格的项目，将责令其限期整改；情节严重或整改不到位的，主管部门有权追回已拨付资金。</w:t>
      </w:r>
    </w:p>
    <w:p>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第二十</w:t>
      </w:r>
      <w:r>
        <w:rPr>
          <w:rFonts w:hint="eastAsia" w:ascii="仿宋_GB2312" w:hAnsi="仿宋_GB2312" w:eastAsia="仿宋_GB2312" w:cs="仿宋_GB2312"/>
          <w:sz w:val="32"/>
          <w:lang w:eastAsia="zh-CN"/>
        </w:rPr>
        <w:t>五</w:t>
      </w:r>
      <w:r>
        <w:rPr>
          <w:rFonts w:hint="eastAsia" w:ascii="仿宋_GB2312" w:hAnsi="仿宋_GB2312" w:eastAsia="仿宋_GB2312" w:cs="仿宋_GB2312"/>
          <w:sz w:val="32"/>
        </w:rPr>
        <w:t>条  项目申报单位对提交的申报资料的真实性、准确性和完整性负责。已获得资金支持的单位，</w:t>
      </w:r>
      <w:r>
        <w:rPr>
          <w:rFonts w:hint="eastAsia" w:ascii="仿宋_GB2312" w:hAnsi="仿宋_GB2312" w:eastAsia="仿宋_GB2312" w:cs="仿宋_GB2312"/>
          <w:sz w:val="32"/>
          <w:lang w:eastAsia="zh-CN"/>
        </w:rPr>
        <w:t>被</w:t>
      </w:r>
      <w:r>
        <w:rPr>
          <w:rFonts w:hint="eastAsia" w:ascii="仿宋_GB2312" w:hAnsi="仿宋_GB2312" w:eastAsia="仿宋_GB2312" w:cs="仿宋_GB2312"/>
          <w:sz w:val="32"/>
        </w:rPr>
        <w:t>发现提供虚假材料骗取资金或未按规定使用资金的，由相关主管部门收回已拨付资金，并由相关部门根据财政处罚处分相关法律、法规进行处理。</w:t>
      </w:r>
    </w:p>
    <w:p>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第二十</w:t>
      </w:r>
      <w:r>
        <w:rPr>
          <w:rFonts w:hint="eastAsia" w:ascii="仿宋_GB2312" w:hAnsi="仿宋_GB2312" w:eastAsia="仿宋_GB2312" w:cs="仿宋_GB2312"/>
          <w:sz w:val="32"/>
          <w:lang w:eastAsia="zh-CN"/>
        </w:rPr>
        <w:t>六</w:t>
      </w:r>
      <w:r>
        <w:rPr>
          <w:rFonts w:hint="eastAsia" w:ascii="仿宋_GB2312" w:hAnsi="仿宋_GB2312" w:eastAsia="仿宋_GB2312" w:cs="仿宋_GB2312"/>
          <w:sz w:val="32"/>
        </w:rPr>
        <w:t>条  已领取奖励资金的企业，自领取日起，三年内重污染绩效等级被市级行业管理部门降级的应主动退回已领取的相应奖励资金。企业拒不退回的，区生态环境局</w:t>
      </w:r>
      <w:r>
        <w:rPr>
          <w:rFonts w:hint="eastAsia" w:ascii="仿宋_GB2312" w:hAnsi="仿宋_GB2312" w:eastAsia="仿宋_GB2312" w:cs="仿宋_GB2312"/>
          <w:sz w:val="32"/>
          <w:lang w:eastAsia="zh-CN"/>
        </w:rPr>
        <w:t>将</w:t>
      </w:r>
      <w:r>
        <w:rPr>
          <w:rFonts w:hint="eastAsia" w:ascii="仿宋_GB2312" w:hAnsi="仿宋_GB2312" w:eastAsia="仿宋_GB2312" w:cs="仿宋_GB2312"/>
          <w:sz w:val="32"/>
        </w:rPr>
        <w:t>强制追回。</w:t>
      </w:r>
    </w:p>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ascii="黑体" w:hAnsi="黑体" w:eastAsia="黑体"/>
          <w:b w:val="0"/>
          <w:bCs w:val="0"/>
          <w:sz w:val="32"/>
        </w:rPr>
      </w:pPr>
      <w:r>
        <w:rPr>
          <w:rFonts w:ascii="黑体" w:hAnsi="黑体" w:eastAsia="黑体"/>
          <w:b w:val="0"/>
          <w:bCs w:val="0"/>
          <w:sz w:val="32"/>
        </w:rPr>
        <w:t>第六章  附则</w:t>
      </w:r>
    </w:p>
    <w:p>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第二十</w:t>
      </w:r>
      <w:r>
        <w:rPr>
          <w:rFonts w:hint="eastAsia" w:ascii="仿宋_GB2312" w:hAnsi="仿宋_GB2312" w:eastAsia="仿宋_GB2312" w:cs="仿宋_GB2312"/>
          <w:sz w:val="32"/>
          <w:lang w:eastAsia="zh-CN"/>
        </w:rPr>
        <w:t>七</w:t>
      </w:r>
      <w:r>
        <w:rPr>
          <w:rFonts w:hint="eastAsia" w:ascii="仿宋_GB2312" w:hAnsi="仿宋_GB2312" w:eastAsia="仿宋_GB2312" w:cs="仿宋_GB2312"/>
          <w:sz w:val="32"/>
        </w:rPr>
        <w:t>条  本办法由区生态环境局</w:t>
      </w:r>
      <w:r>
        <w:rPr>
          <w:rFonts w:hint="eastAsia" w:ascii="仿宋_GB2312" w:hAnsi="仿宋_GB2312" w:eastAsia="仿宋_GB2312" w:cs="仿宋_GB2312"/>
          <w:sz w:val="32"/>
          <w:lang w:eastAsia="zh-CN"/>
        </w:rPr>
        <w:t>、</w:t>
      </w:r>
      <w:r>
        <w:rPr>
          <w:rFonts w:hint="eastAsia" w:ascii="仿宋_GB2312" w:hAnsi="仿宋_GB2312" w:eastAsia="仿宋_GB2312" w:cs="仿宋_GB2312"/>
          <w:sz w:val="32"/>
        </w:rPr>
        <w:t>区财政局负责解释。</w:t>
      </w:r>
    </w:p>
    <w:p>
      <w:pPr>
        <w:keepNext w:val="0"/>
        <w:keepLines w:val="0"/>
        <w:pageBreakBefore w:val="0"/>
        <w:widowControl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第二十</w:t>
      </w:r>
      <w:r>
        <w:rPr>
          <w:rFonts w:hint="eastAsia" w:ascii="仿宋_GB2312" w:hAnsi="仿宋_GB2312" w:eastAsia="仿宋_GB2312" w:cs="仿宋_GB2312"/>
          <w:sz w:val="32"/>
          <w:lang w:eastAsia="zh-CN"/>
        </w:rPr>
        <w:t>八</w:t>
      </w:r>
      <w:r>
        <w:rPr>
          <w:rFonts w:hint="eastAsia" w:ascii="仿宋_GB2312" w:hAnsi="仿宋_GB2312" w:eastAsia="仿宋_GB2312" w:cs="仿宋_GB2312"/>
          <w:sz w:val="32"/>
        </w:rPr>
        <w:t>条  本办法自发文之日起施行，有效期</w:t>
      </w:r>
      <w:r>
        <w:rPr>
          <w:rFonts w:hint="eastAsia" w:ascii="仿宋_GB2312" w:hAnsi="仿宋_GB2312" w:eastAsia="仿宋_GB2312" w:cs="仿宋_GB2312"/>
          <w:sz w:val="32"/>
          <w:lang w:eastAsia="zh-CN"/>
        </w:rPr>
        <w:t>截至</w:t>
      </w:r>
      <w:r>
        <w:rPr>
          <w:rFonts w:hint="eastAsia" w:ascii="仿宋_GB2312" w:hAnsi="仿宋_GB2312" w:eastAsia="仿宋_GB2312" w:cs="仿宋_GB2312"/>
          <w:sz w:val="32"/>
          <w:lang w:val="en-US" w:eastAsia="zh-CN"/>
        </w:rPr>
        <w:t>2028年12月31日</w:t>
      </w:r>
      <w:r>
        <w:rPr>
          <w:rFonts w:hint="eastAsia" w:ascii="仿宋_GB2312" w:hAnsi="仿宋_GB2312" w:eastAsia="仿宋_GB2312" w:cs="仿宋_GB2312"/>
          <w:sz w:val="32"/>
        </w:rPr>
        <w:t>。</w:t>
      </w:r>
      <w:r>
        <w:rPr>
          <w:rFonts w:hint="eastAsia" w:ascii="仿宋_GB2312" w:hAnsi="仿宋_GB2312" w:eastAsia="仿宋_GB2312" w:cs="仿宋_GB2312"/>
          <w:sz w:val="32"/>
          <w:lang w:eastAsia="zh-CN"/>
        </w:rPr>
        <w:t>试行期一年，试行期满后按事后绩效评价结果逐年调整，</w:t>
      </w:r>
      <w:r>
        <w:rPr>
          <w:rFonts w:hint="eastAsia" w:ascii="仿宋_GB2312" w:hAnsi="仿宋_GB2312" w:eastAsia="仿宋_GB2312" w:cs="仿宋_GB2312"/>
          <w:sz w:val="32"/>
        </w:rPr>
        <w:t>如遇国家或北京市、丰台区相关政策调整的，按照其规定执行。</w:t>
      </w:r>
    </w:p>
    <w:sectPr>
      <w:footerReference r:id="rId5" w:type="default"/>
      <w:pgSz w:w="11900" w:h="16840"/>
      <w:pgMar w:top="2098" w:right="1474" w:bottom="1984" w:left="1587" w:header="720" w:footer="720" w:gutter="0"/>
      <w:pgNumType w:fmt="numberInDash"/>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仿宋_GB2312"/>
    <w:panose1 w:val="00000000000000000000"/>
    <w:charset w:val="80"/>
    <w:family w:val="roman"/>
    <w:pitch w:val="default"/>
    <w:sig w:usb0="00000000" w:usb1="00000000" w:usb2="00000010" w:usb3="00000000" w:csb0="00020000" w:csb1="00000000"/>
  </w:font>
  <w:font w:name="ＭＳ 明朝">
    <w:altName w:val="仿宋_GB2312"/>
    <w:panose1 w:val="00000000000000000000"/>
    <w:charset w:val="86"/>
    <w:family w:val="auto"/>
    <w:pitch w:val="default"/>
    <w:sig w:usb0="00000000" w:usb1="00000000" w:usb2="00000000" w:usb3="00000000" w:csb0="00000000" w:csb1="00000000"/>
  </w:font>
  <w:font w:name="仿宋">
    <w:altName w:val="Arial Unicode MS"/>
    <w:panose1 w:val="02010609060101010101"/>
    <w:charset w:val="86"/>
    <w:family w:val="auto"/>
    <w:pitch w:val="default"/>
    <w:sig w:usb0="00000000" w:usb1="00000000" w:usb2="00000016" w:usb3="00000000" w:csb0="00040001" w:csb1="00000000"/>
  </w:font>
  <w:font w:name="ＭＳ ゴシック">
    <w:altName w:val="仿宋_GB2312"/>
    <w:panose1 w:val="00000000000000000000"/>
    <w:charset w:val="00"/>
    <w:family w:val="auto"/>
    <w:pitch w:val="default"/>
    <w:sig w:usb0="00000000" w:usb1="00000000" w:usb2="00000000" w:usb3="00000000" w:csb0="00000000" w:csb1="00000000"/>
  </w:font>
  <w:font w:name="Courier">
    <w:altName w:val="DejaVu Math TeX Gyre"/>
    <w:panose1 w:val="02000500000000000000"/>
    <w:charset w:val="00"/>
    <w:family w:val="auto"/>
    <w:pitch w:val="default"/>
    <w:sig w:usb0="00000000" w:usb1="00000000" w:usb2="00000000" w:usb3="00000000" w:csb0="00000001" w:csb1="00000000"/>
  </w:font>
  <w:font w:name="方正小标宋_GBK">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ＭＳ 明朝">
    <w:altName w:val="仿宋_GB2312"/>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方正宋体S-超大字符集">
    <w:panose1 w:val="02000000000000000000"/>
    <w:charset w:val="86"/>
    <w:family w:val="auto"/>
    <w:pitch w:val="default"/>
    <w:sig w:usb0="00000001" w:usb1="08000000" w:usb2="00000000" w:usb3="00000000" w:csb0="00040000" w:csb1="00000000"/>
  </w:font>
  <w:font w:name="文泉驿微米黑">
    <w:panose1 w:val="020B0606030804020204"/>
    <w:charset w:val="86"/>
    <w:family w:val="auto"/>
    <w:pitch w:val="default"/>
    <w:sig w:usb0="E10002EF" w:usb1="6BDFFCFB" w:usb2="00800036" w:usb3="00000000" w:csb0="603E019F" w:csb1="DFD70000"/>
  </w:font>
  <w:font w:name="Microsoft YaHei">
    <w:altName w:val="黑体"/>
    <w:panose1 w:val="00000000000000000000"/>
    <w:charset w:val="00"/>
    <w:family w:val="auto"/>
    <w:pitch w:val="default"/>
    <w:sig w:usb0="00000000" w:usb1="00000000" w:usb2="00000000" w:usb3="00000000" w:csb0="00000000" w:csb1="00000000"/>
  </w:font>
  <w:font w:name="Tahoma">
    <w:altName w:val="DejaVu Sans"/>
    <w:panose1 w:val="00000000000000000000"/>
    <w:charset w:val="00"/>
    <w:family w:val="auto"/>
    <w:pitch w:val="default"/>
    <w:sig w:usb0="00000000" w:usb1="00000000" w:usb2="00000000" w:usb3="00000000" w:csb0="00000000" w:csb1="00000000"/>
  </w:font>
  <w:font w:name="DejaVu Math TeX Gyre">
    <w:panose1 w:val="02000503000000000000"/>
    <w:charset w:val="00"/>
    <w:family w:val="auto"/>
    <w:pitch w:val="default"/>
    <w:sig w:usb0="A10000EF" w:usb1="4201F9EE" w:usb2="02000000" w:usb3="00000000" w:csb0="60000193" w:csb1="0DD4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pPr>
    <w:r>
      <w:rPr>
        <w:sz w:val="32"/>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6"/>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26"/>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2"/>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4"/>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0"/>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5"/>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5"/>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7"/>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22973F11"/>
    <w:rsid w:val="2B13E48E"/>
    <w:rsid w:val="37FB8110"/>
    <w:rsid w:val="37FEBA9A"/>
    <w:rsid w:val="387AAFBD"/>
    <w:rsid w:val="3D8BBEAA"/>
    <w:rsid w:val="3F7F05C9"/>
    <w:rsid w:val="3FEAB86D"/>
    <w:rsid w:val="4EF93409"/>
    <w:rsid w:val="57FAEDD5"/>
    <w:rsid w:val="57FF4FBB"/>
    <w:rsid w:val="5FB51FDB"/>
    <w:rsid w:val="5FFEEC70"/>
    <w:rsid w:val="6DF39D65"/>
    <w:rsid w:val="77F2EE0B"/>
    <w:rsid w:val="796E0FF6"/>
    <w:rsid w:val="7CF7D134"/>
    <w:rsid w:val="7F839C91"/>
    <w:rsid w:val="7FFF49A3"/>
    <w:rsid w:val="A5FD2708"/>
    <w:rsid w:val="BBDD7CE8"/>
    <w:rsid w:val="BBF78093"/>
    <w:rsid w:val="BDCDF8F6"/>
    <w:rsid w:val="BDDEE01B"/>
    <w:rsid w:val="BFFFFBC8"/>
    <w:rsid w:val="D3B9F4FC"/>
    <w:rsid w:val="DD5A8E5E"/>
    <w:rsid w:val="DFAD9E7F"/>
    <w:rsid w:val="DFDDE1EF"/>
    <w:rsid w:val="EB773502"/>
    <w:rsid w:val="F7BF261F"/>
    <w:rsid w:val="FABF3FAB"/>
    <w:rsid w:val="FF7AB74B"/>
    <w:rsid w:val="FF952EA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0"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next w:val="2"/>
    <w:qFormat/>
    <w:uiPriority w:val="0"/>
    <w:pPr>
      <w:spacing w:after="200" w:line="276" w:lineRule="auto"/>
    </w:pPr>
    <w:rPr>
      <w:rFonts w:ascii="仿宋" w:hAnsi="仿宋" w:eastAsia="仿宋" w:cstheme="minorBidi"/>
      <w:sz w:val="32"/>
      <w:szCs w:val="22"/>
      <w:lang w:val="en-US" w:eastAsia="en-US" w:bidi="ar-SA"/>
    </w:rPr>
  </w:style>
  <w:style w:type="paragraph" w:styleId="4">
    <w:name w:val="heading 1"/>
    <w:basedOn w:val="1"/>
    <w:next w:val="1"/>
    <w:link w:val="141"/>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5">
    <w:name w:val="heading 2"/>
    <w:basedOn w:val="1"/>
    <w:next w:val="1"/>
    <w:link w:val="142"/>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6">
    <w:name w:val="heading 3"/>
    <w:basedOn w:val="1"/>
    <w:next w:val="1"/>
    <w:link w:val="143"/>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7">
    <w:name w:val="heading 4"/>
    <w:basedOn w:val="1"/>
    <w:next w:val="1"/>
    <w:link w:val="153"/>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8">
    <w:name w:val="heading 5"/>
    <w:basedOn w:val="1"/>
    <w:next w:val="1"/>
    <w:link w:val="154"/>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9">
    <w:name w:val="heading 6"/>
    <w:basedOn w:val="1"/>
    <w:next w:val="1"/>
    <w:link w:val="155"/>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10">
    <w:name w:val="heading 7"/>
    <w:basedOn w:val="1"/>
    <w:next w:val="1"/>
    <w:link w:val="156"/>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1">
    <w:name w:val="heading 8"/>
    <w:basedOn w:val="1"/>
    <w:next w:val="1"/>
    <w:link w:val="157"/>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2">
    <w:name w:val="heading 9"/>
    <w:basedOn w:val="1"/>
    <w:next w:val="1"/>
    <w:link w:val="158"/>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4">
    <w:name w:val="Default Paragraph Font"/>
    <w:semiHidden/>
    <w:unhideWhenUsed/>
    <w:qFormat/>
    <w:uiPriority w:val="1"/>
  </w:style>
  <w:style w:type="table" w:default="1" w:styleId="34">
    <w:name w:val="Normal Table"/>
    <w:semiHidden/>
    <w:unhideWhenUsed/>
    <w:qFormat/>
    <w:uiPriority w:val="99"/>
    <w:tblPr>
      <w:tblCellMar>
        <w:top w:w="0" w:type="dxa"/>
        <w:left w:w="108" w:type="dxa"/>
        <w:bottom w:w="0" w:type="dxa"/>
        <w:right w:w="108" w:type="dxa"/>
      </w:tblCellMar>
    </w:tblPr>
  </w:style>
  <w:style w:type="paragraph" w:styleId="2">
    <w:name w:val="toc 2"/>
    <w:basedOn w:val="1"/>
    <w:next w:val="1"/>
    <w:unhideWhenUsed/>
    <w:qFormat/>
    <w:uiPriority w:val="0"/>
    <w:pPr>
      <w:ind w:left="420" w:leftChars="200"/>
    </w:pPr>
  </w:style>
  <w:style w:type="paragraph" w:styleId="3">
    <w:name w:val="macro"/>
    <w:link w:val="150"/>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3">
    <w:name w:val="List 3"/>
    <w:basedOn w:val="1"/>
    <w:unhideWhenUsed/>
    <w:qFormat/>
    <w:uiPriority w:val="99"/>
    <w:pPr>
      <w:ind w:left="1080" w:hanging="360"/>
      <w:contextualSpacing/>
    </w:pPr>
  </w:style>
  <w:style w:type="paragraph" w:styleId="14">
    <w:name w:val="List Number 2"/>
    <w:basedOn w:val="1"/>
    <w:unhideWhenUsed/>
    <w:qFormat/>
    <w:uiPriority w:val="99"/>
    <w:pPr>
      <w:numPr>
        <w:ilvl w:val="0"/>
        <w:numId w:val="1"/>
      </w:numPr>
      <w:contextualSpacing/>
    </w:pPr>
  </w:style>
  <w:style w:type="paragraph" w:styleId="15">
    <w:name w:val="List Number"/>
    <w:basedOn w:val="1"/>
    <w:unhideWhenUsed/>
    <w:qFormat/>
    <w:uiPriority w:val="99"/>
    <w:pPr>
      <w:numPr>
        <w:ilvl w:val="0"/>
        <w:numId w:val="2"/>
      </w:numPr>
      <w:contextualSpacing/>
    </w:p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7">
    <w:name w:val="List Bullet"/>
    <w:basedOn w:val="1"/>
    <w:unhideWhenUsed/>
    <w:qFormat/>
    <w:uiPriority w:val="99"/>
    <w:pPr>
      <w:numPr>
        <w:ilvl w:val="0"/>
        <w:numId w:val="3"/>
      </w:numPr>
      <w:contextualSpacing/>
    </w:pPr>
  </w:style>
  <w:style w:type="paragraph" w:styleId="18">
    <w:name w:val="annotation text"/>
    <w:basedOn w:val="1"/>
    <w:semiHidden/>
    <w:unhideWhenUsed/>
    <w:qFormat/>
    <w:uiPriority w:val="99"/>
  </w:style>
  <w:style w:type="paragraph" w:styleId="19">
    <w:name w:val="Body Text 3"/>
    <w:basedOn w:val="1"/>
    <w:link w:val="149"/>
    <w:unhideWhenUsed/>
    <w:qFormat/>
    <w:uiPriority w:val="99"/>
    <w:pPr>
      <w:spacing w:after="120"/>
    </w:pPr>
    <w:rPr>
      <w:sz w:val="16"/>
      <w:szCs w:val="16"/>
    </w:rPr>
  </w:style>
  <w:style w:type="paragraph" w:styleId="20">
    <w:name w:val="List Bullet 3"/>
    <w:basedOn w:val="1"/>
    <w:unhideWhenUsed/>
    <w:qFormat/>
    <w:uiPriority w:val="99"/>
    <w:pPr>
      <w:numPr>
        <w:ilvl w:val="0"/>
        <w:numId w:val="4"/>
      </w:numPr>
      <w:contextualSpacing/>
    </w:pPr>
  </w:style>
  <w:style w:type="paragraph" w:styleId="21">
    <w:name w:val="Body Text"/>
    <w:basedOn w:val="1"/>
    <w:link w:val="147"/>
    <w:unhideWhenUsed/>
    <w:qFormat/>
    <w:uiPriority w:val="99"/>
    <w:pPr>
      <w:spacing w:after="120"/>
    </w:pPr>
  </w:style>
  <w:style w:type="paragraph" w:styleId="22">
    <w:name w:val="List Number 3"/>
    <w:basedOn w:val="1"/>
    <w:unhideWhenUsed/>
    <w:qFormat/>
    <w:uiPriority w:val="99"/>
    <w:pPr>
      <w:numPr>
        <w:ilvl w:val="0"/>
        <w:numId w:val="5"/>
      </w:numPr>
      <w:contextualSpacing/>
    </w:pPr>
  </w:style>
  <w:style w:type="paragraph" w:styleId="23">
    <w:name w:val="List 2"/>
    <w:basedOn w:val="1"/>
    <w:unhideWhenUsed/>
    <w:qFormat/>
    <w:uiPriority w:val="99"/>
    <w:pPr>
      <w:ind w:left="720" w:hanging="360"/>
      <w:contextualSpacing/>
    </w:pPr>
  </w:style>
  <w:style w:type="paragraph" w:styleId="24">
    <w:name w:val="List Continue"/>
    <w:basedOn w:val="1"/>
    <w:unhideWhenUsed/>
    <w:qFormat/>
    <w:uiPriority w:val="99"/>
    <w:pPr>
      <w:spacing w:after="120"/>
      <w:ind w:left="360"/>
      <w:contextualSpacing/>
    </w:pPr>
  </w:style>
  <w:style w:type="paragraph" w:styleId="25">
    <w:name w:val="List Bullet 2"/>
    <w:basedOn w:val="1"/>
    <w:unhideWhenUsed/>
    <w:qFormat/>
    <w:uiPriority w:val="99"/>
    <w:pPr>
      <w:numPr>
        <w:ilvl w:val="0"/>
        <w:numId w:val="6"/>
      </w:numPr>
      <w:contextualSpacing/>
    </w:pPr>
  </w:style>
  <w:style w:type="paragraph" w:styleId="26">
    <w:name w:val="footer"/>
    <w:basedOn w:val="1"/>
    <w:link w:val="139"/>
    <w:unhideWhenUsed/>
    <w:qFormat/>
    <w:uiPriority w:val="99"/>
    <w:pPr>
      <w:tabs>
        <w:tab w:val="center" w:pos="4680"/>
        <w:tab w:val="right" w:pos="9360"/>
      </w:tabs>
      <w:spacing w:after="0" w:line="240" w:lineRule="auto"/>
    </w:pPr>
  </w:style>
  <w:style w:type="paragraph" w:styleId="27">
    <w:name w:val="header"/>
    <w:basedOn w:val="1"/>
    <w:link w:val="138"/>
    <w:unhideWhenUsed/>
    <w:qFormat/>
    <w:uiPriority w:val="99"/>
    <w:pPr>
      <w:tabs>
        <w:tab w:val="center" w:pos="4680"/>
        <w:tab w:val="right" w:pos="9360"/>
      </w:tabs>
      <w:spacing w:after="0" w:line="240" w:lineRule="auto"/>
    </w:pPr>
  </w:style>
  <w:style w:type="paragraph" w:styleId="28">
    <w:name w:val="Subtitle"/>
    <w:basedOn w:val="1"/>
    <w:next w:val="1"/>
    <w:link w:val="145"/>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9">
    <w:name w:val="List"/>
    <w:basedOn w:val="1"/>
    <w:unhideWhenUsed/>
    <w:qFormat/>
    <w:uiPriority w:val="99"/>
    <w:pPr>
      <w:ind w:left="360" w:hanging="360"/>
      <w:contextualSpacing/>
    </w:pPr>
  </w:style>
  <w:style w:type="paragraph" w:styleId="30">
    <w:name w:val="Body Text 2"/>
    <w:basedOn w:val="1"/>
    <w:link w:val="148"/>
    <w:unhideWhenUsed/>
    <w:qFormat/>
    <w:uiPriority w:val="99"/>
    <w:pPr>
      <w:spacing w:after="120" w:line="480" w:lineRule="auto"/>
    </w:pPr>
  </w:style>
  <w:style w:type="paragraph" w:styleId="31">
    <w:name w:val="List Continue 2"/>
    <w:basedOn w:val="1"/>
    <w:unhideWhenUsed/>
    <w:qFormat/>
    <w:uiPriority w:val="99"/>
    <w:pPr>
      <w:spacing w:after="120"/>
      <w:ind w:left="720"/>
      <w:contextualSpacing/>
    </w:pPr>
  </w:style>
  <w:style w:type="paragraph" w:styleId="32">
    <w:name w:val="List Continue 3"/>
    <w:basedOn w:val="1"/>
    <w:unhideWhenUsed/>
    <w:qFormat/>
    <w:uiPriority w:val="99"/>
    <w:pPr>
      <w:spacing w:after="120"/>
      <w:ind w:left="1080"/>
      <w:contextualSpacing/>
    </w:pPr>
  </w:style>
  <w:style w:type="paragraph" w:styleId="33">
    <w:name w:val="Title"/>
    <w:basedOn w:val="1"/>
    <w:next w:val="1"/>
    <w:link w:val="144"/>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5">
    <w:name w:val="Table Grid"/>
    <w:basedOn w:val="34"/>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6">
    <w:name w:val="Light Shading"/>
    <w:basedOn w:val="34"/>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7">
    <w:name w:val="Light Shading Accent 1"/>
    <w:basedOn w:val="34"/>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8">
    <w:name w:val="Light Shading Accent 2"/>
    <w:basedOn w:val="34"/>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9">
    <w:name w:val="Light Shading Accent 3"/>
    <w:basedOn w:val="34"/>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0">
    <w:name w:val="Light Shading Accent 4"/>
    <w:basedOn w:val="34"/>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1">
    <w:name w:val="Light Shading Accent 5"/>
    <w:basedOn w:val="34"/>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2">
    <w:name w:val="Light Shading Accent 6"/>
    <w:basedOn w:val="34"/>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3">
    <w:name w:val="Light List"/>
    <w:basedOn w:val="34"/>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4">
    <w:name w:val="Light List Accent 1"/>
    <w:basedOn w:val="34"/>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5">
    <w:name w:val="Light List Accent 2"/>
    <w:basedOn w:val="34"/>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6">
    <w:name w:val="Light List Accent 3"/>
    <w:basedOn w:val="34"/>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7">
    <w:name w:val="Light List Accent 4"/>
    <w:basedOn w:val="34"/>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8">
    <w:name w:val="Light List Accent 5"/>
    <w:basedOn w:val="34"/>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9">
    <w:name w:val="Light List Accent 6"/>
    <w:basedOn w:val="34"/>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0">
    <w:name w:val="Light Grid"/>
    <w:basedOn w:val="34"/>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1">
    <w:name w:val="Light Grid Accent 1"/>
    <w:basedOn w:val="34"/>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2">
    <w:name w:val="Light Grid Accent 2"/>
    <w:basedOn w:val="34"/>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3">
    <w:name w:val="Light Grid Accent 3"/>
    <w:basedOn w:val="34"/>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4">
    <w:name w:val="Light Grid Accent 4"/>
    <w:basedOn w:val="34"/>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5">
    <w:name w:val="Light Grid Accent 5"/>
    <w:basedOn w:val="34"/>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6">
    <w:name w:val="Light Grid Accent 6"/>
    <w:basedOn w:val="34"/>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7">
    <w:name w:val="Medium Shading 1"/>
    <w:basedOn w:val="34"/>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8">
    <w:name w:val="Medium Shading 1 Accent 1"/>
    <w:basedOn w:val="34"/>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9">
    <w:name w:val="Medium Shading 1 Accent 2"/>
    <w:basedOn w:val="34"/>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0">
    <w:name w:val="Medium Shading 1 Accent 3"/>
    <w:basedOn w:val="34"/>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1">
    <w:name w:val="Medium Shading 1 Accent 4"/>
    <w:basedOn w:val="34"/>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2">
    <w:name w:val="Medium Shading 1 Accent 5"/>
    <w:basedOn w:val="34"/>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3">
    <w:name w:val="Medium Shading 1 Accent 6"/>
    <w:basedOn w:val="34"/>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4">
    <w:name w:val="Medium Shading 2"/>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1"/>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2"/>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3"/>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4"/>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5"/>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6"/>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List 1"/>
    <w:basedOn w:val="34"/>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2">
    <w:name w:val="Medium List 1 Accent 1"/>
    <w:basedOn w:val="34"/>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3">
    <w:name w:val="Medium List 1 Accent 2"/>
    <w:basedOn w:val="34"/>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4">
    <w:name w:val="Medium List 1 Accent 3"/>
    <w:basedOn w:val="34"/>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5">
    <w:name w:val="Medium List 1 Accent 4"/>
    <w:basedOn w:val="34"/>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6">
    <w:name w:val="Medium List 1 Accent 5"/>
    <w:basedOn w:val="34"/>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7">
    <w:name w:val="Medium List 1 Accent 6"/>
    <w:basedOn w:val="34"/>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8">
    <w:name w:val="Medium List 2"/>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1"/>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2"/>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3"/>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4"/>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5"/>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6"/>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Grid 1"/>
    <w:basedOn w:val="34"/>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6">
    <w:name w:val="Medium Grid 1 Accent 1"/>
    <w:basedOn w:val="34"/>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7">
    <w:name w:val="Medium Grid 1 Accent 2"/>
    <w:basedOn w:val="34"/>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8">
    <w:name w:val="Medium Grid 1 Accent 3"/>
    <w:basedOn w:val="34"/>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9">
    <w:name w:val="Medium Grid 1 Accent 4"/>
    <w:basedOn w:val="34"/>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0">
    <w:name w:val="Medium Grid 1 Accent 5"/>
    <w:basedOn w:val="34"/>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1">
    <w:name w:val="Medium Grid 1 Accent 6"/>
    <w:basedOn w:val="34"/>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2">
    <w:name w:val="Medium Grid 2"/>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3">
    <w:name w:val="Medium Grid 2 Accent 1"/>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4">
    <w:name w:val="Medium Grid 2 Accent 2"/>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5">
    <w:name w:val="Medium Grid 2 Accent 3"/>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6">
    <w:name w:val="Medium Grid 2 Accent 4"/>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7">
    <w:name w:val="Medium Grid 2 Accent 5"/>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8">
    <w:name w:val="Medium Grid 2 Accent 6"/>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9">
    <w:name w:val="Medium Grid 3"/>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0">
    <w:name w:val="Medium Grid 3 Accent 1"/>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1">
    <w:name w:val="Medium Grid 3 Accent 2"/>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2">
    <w:name w:val="Medium Grid 3 Accent 3"/>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3">
    <w:name w:val="Medium Grid 3 Accent 4"/>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4">
    <w:name w:val="Medium Grid 3 Accent 5"/>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5">
    <w:name w:val="Medium Grid 3 Accent 6"/>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6">
    <w:name w:val="Dark List"/>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7">
    <w:name w:val="Dark List Accent 1"/>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8">
    <w:name w:val="Dark List Accent 2"/>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9">
    <w:name w:val="Dark List Accent 3"/>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0">
    <w:name w:val="Dark List Accent 4"/>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1">
    <w:name w:val="Dark List Accent 5"/>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2">
    <w:name w:val="Dark List Accent 6"/>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3">
    <w:name w:val="Colorful Shading"/>
    <w:basedOn w:val="34"/>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1"/>
    <w:basedOn w:val="34"/>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2"/>
    <w:basedOn w:val="34"/>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3"/>
    <w:basedOn w:val="34"/>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7">
    <w:name w:val="Colorful Shading Accent 4"/>
    <w:basedOn w:val="34"/>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5"/>
    <w:basedOn w:val="34"/>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6"/>
    <w:basedOn w:val="34"/>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List"/>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1">
    <w:name w:val="Colorful List Accent 1"/>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2">
    <w:name w:val="Colorful List Accent 2"/>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3">
    <w:name w:val="Colorful List Accent 3"/>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4">
    <w:name w:val="Colorful List Accent 4"/>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5">
    <w:name w:val="Colorful List Accent 5"/>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6">
    <w:name w:val="Colorful List Accent 6"/>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7">
    <w:name w:val="Colorful Grid"/>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8">
    <w:name w:val="Colorful Grid Accent 1"/>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9">
    <w:name w:val="Colorful Grid Accent 2"/>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0">
    <w:name w:val="Colorful Grid Accent 3"/>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1">
    <w:name w:val="Colorful Grid Accent 4"/>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2">
    <w:name w:val="Colorful Grid Accent 5"/>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3">
    <w:name w:val="Colorful Grid Accent 6"/>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5">
    <w:name w:val="Strong"/>
    <w:basedOn w:val="134"/>
    <w:qFormat/>
    <w:uiPriority w:val="22"/>
    <w:rPr>
      <w:b/>
      <w:bCs/>
    </w:rPr>
  </w:style>
  <w:style w:type="character" w:styleId="136">
    <w:name w:val="Emphasis"/>
    <w:basedOn w:val="134"/>
    <w:qFormat/>
    <w:uiPriority w:val="20"/>
    <w:rPr>
      <w:i/>
      <w:iCs/>
    </w:rPr>
  </w:style>
  <w:style w:type="character" w:styleId="137">
    <w:name w:val="annotation reference"/>
    <w:basedOn w:val="134"/>
    <w:semiHidden/>
    <w:unhideWhenUsed/>
    <w:qFormat/>
    <w:uiPriority w:val="99"/>
    <w:rPr>
      <w:sz w:val="21"/>
      <w:szCs w:val="21"/>
    </w:rPr>
  </w:style>
  <w:style w:type="character" w:customStyle="1" w:styleId="138">
    <w:name w:val="Header Char"/>
    <w:basedOn w:val="134"/>
    <w:link w:val="27"/>
    <w:qFormat/>
    <w:uiPriority w:val="99"/>
  </w:style>
  <w:style w:type="character" w:customStyle="1" w:styleId="139">
    <w:name w:val="Footer Char"/>
    <w:basedOn w:val="134"/>
    <w:link w:val="26"/>
    <w:qFormat/>
    <w:uiPriority w:val="99"/>
  </w:style>
  <w:style w:type="paragraph" w:styleId="140">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41">
    <w:name w:val="Heading 1 Char"/>
    <w:basedOn w:val="134"/>
    <w:link w:val="4"/>
    <w:qFormat/>
    <w:uiPriority w:val="9"/>
    <w:rPr>
      <w:rFonts w:asciiTheme="majorHAnsi" w:hAnsiTheme="majorHAnsi" w:eastAsiaTheme="majorEastAsia" w:cstheme="majorBidi"/>
      <w:b/>
      <w:bCs/>
      <w:color w:val="376092" w:themeColor="accent1" w:themeShade="BF"/>
      <w:sz w:val="28"/>
      <w:szCs w:val="28"/>
    </w:rPr>
  </w:style>
  <w:style w:type="character" w:customStyle="1" w:styleId="142">
    <w:name w:val="Heading 2 Char"/>
    <w:basedOn w:val="134"/>
    <w:link w:val="5"/>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3">
    <w:name w:val="Heading 3 Char"/>
    <w:basedOn w:val="134"/>
    <w:link w:val="6"/>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4">
    <w:name w:val="Title Char"/>
    <w:basedOn w:val="134"/>
    <w:link w:val="33"/>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5">
    <w:name w:val="Subtitle Char"/>
    <w:basedOn w:val="134"/>
    <w:link w:val="28"/>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6">
    <w:name w:val="List Paragraph"/>
    <w:basedOn w:val="1"/>
    <w:qFormat/>
    <w:uiPriority w:val="34"/>
    <w:pPr>
      <w:ind w:left="720"/>
      <w:contextualSpacing/>
    </w:pPr>
  </w:style>
  <w:style w:type="character" w:customStyle="1" w:styleId="147">
    <w:name w:val="Body Text Char"/>
    <w:basedOn w:val="134"/>
    <w:link w:val="21"/>
    <w:qFormat/>
    <w:uiPriority w:val="99"/>
  </w:style>
  <w:style w:type="character" w:customStyle="1" w:styleId="148">
    <w:name w:val="Body Text 2 Char"/>
    <w:basedOn w:val="134"/>
    <w:link w:val="30"/>
    <w:qFormat/>
    <w:uiPriority w:val="99"/>
  </w:style>
  <w:style w:type="character" w:customStyle="1" w:styleId="149">
    <w:name w:val="Body Text 3 Char"/>
    <w:basedOn w:val="134"/>
    <w:link w:val="19"/>
    <w:qFormat/>
    <w:uiPriority w:val="99"/>
    <w:rPr>
      <w:sz w:val="16"/>
      <w:szCs w:val="16"/>
    </w:rPr>
  </w:style>
  <w:style w:type="character" w:customStyle="1" w:styleId="150">
    <w:name w:val="Macro Text Char"/>
    <w:basedOn w:val="134"/>
    <w:link w:val="3"/>
    <w:qFormat/>
    <w:uiPriority w:val="99"/>
    <w:rPr>
      <w:rFonts w:ascii="Courier" w:hAnsi="Courier"/>
      <w:sz w:val="20"/>
      <w:szCs w:val="20"/>
    </w:rPr>
  </w:style>
  <w:style w:type="paragraph" w:styleId="151">
    <w:name w:val="Quote"/>
    <w:basedOn w:val="1"/>
    <w:next w:val="1"/>
    <w:link w:val="152"/>
    <w:qFormat/>
    <w:uiPriority w:val="29"/>
    <w:rPr>
      <w:i/>
      <w:iCs/>
      <w:color w:val="000000" w:themeColor="text1"/>
      <w14:textFill>
        <w14:solidFill>
          <w14:schemeClr w14:val="tx1"/>
        </w14:solidFill>
      </w14:textFill>
    </w:rPr>
  </w:style>
  <w:style w:type="character" w:customStyle="1" w:styleId="152">
    <w:name w:val="Quote Char"/>
    <w:basedOn w:val="134"/>
    <w:link w:val="151"/>
    <w:qFormat/>
    <w:uiPriority w:val="29"/>
    <w:rPr>
      <w:i/>
      <w:iCs/>
      <w:color w:val="000000" w:themeColor="text1"/>
      <w14:textFill>
        <w14:solidFill>
          <w14:schemeClr w14:val="tx1"/>
        </w14:solidFill>
      </w14:textFill>
    </w:rPr>
  </w:style>
  <w:style w:type="character" w:customStyle="1" w:styleId="153">
    <w:name w:val="Heading 4 Char"/>
    <w:basedOn w:val="134"/>
    <w:link w:val="7"/>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4">
    <w:name w:val="Heading 5 Char"/>
    <w:basedOn w:val="134"/>
    <w:link w:val="8"/>
    <w:semiHidden/>
    <w:qFormat/>
    <w:uiPriority w:val="9"/>
    <w:rPr>
      <w:rFonts w:asciiTheme="majorHAnsi" w:hAnsiTheme="majorHAnsi" w:eastAsiaTheme="majorEastAsia" w:cstheme="majorBidi"/>
      <w:color w:val="254061" w:themeColor="accent1" w:themeShade="80"/>
    </w:rPr>
  </w:style>
  <w:style w:type="character" w:customStyle="1" w:styleId="155">
    <w:name w:val="Heading 6 Char"/>
    <w:basedOn w:val="134"/>
    <w:link w:val="9"/>
    <w:semiHidden/>
    <w:qFormat/>
    <w:uiPriority w:val="9"/>
    <w:rPr>
      <w:rFonts w:asciiTheme="majorHAnsi" w:hAnsiTheme="majorHAnsi" w:eastAsiaTheme="majorEastAsia" w:cstheme="majorBidi"/>
      <w:i/>
      <w:iCs/>
      <w:color w:val="254061" w:themeColor="accent1" w:themeShade="80"/>
    </w:rPr>
  </w:style>
  <w:style w:type="character" w:customStyle="1" w:styleId="156">
    <w:name w:val="Heading 7 Char"/>
    <w:basedOn w:val="134"/>
    <w:link w:val="10"/>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7">
    <w:name w:val="Heading 8 Char"/>
    <w:basedOn w:val="134"/>
    <w:link w:val="11"/>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8">
    <w:name w:val="Heading 9 Char"/>
    <w:basedOn w:val="134"/>
    <w:link w:val="12"/>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9">
    <w:name w:val="Intense Quote"/>
    <w:basedOn w:val="1"/>
    <w:next w:val="1"/>
    <w:link w:val="160"/>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60">
    <w:name w:val="Intense Quote Char"/>
    <w:basedOn w:val="134"/>
    <w:link w:val="159"/>
    <w:qFormat/>
    <w:uiPriority w:val="30"/>
    <w:rPr>
      <w:b/>
      <w:bCs/>
      <w:i/>
      <w:iCs/>
      <w:color w:val="4F81BD" w:themeColor="accent1"/>
      <w14:textFill>
        <w14:solidFill>
          <w14:schemeClr w14:val="accent1"/>
        </w14:solidFill>
      </w14:textFill>
    </w:rPr>
  </w:style>
  <w:style w:type="character" w:customStyle="1" w:styleId="161">
    <w:name w:val="Subtle Emphasis"/>
    <w:basedOn w:val="134"/>
    <w:qFormat/>
    <w:uiPriority w:val="19"/>
    <w:rPr>
      <w:i/>
      <w:iCs/>
      <w:color w:val="808080" w:themeColor="text1" w:themeTint="80"/>
      <w14:textFill>
        <w14:solidFill>
          <w14:schemeClr w14:val="tx1">
            <w14:lumMod w14:val="50000"/>
            <w14:lumOff w14:val="50000"/>
          </w14:schemeClr>
        </w14:solidFill>
      </w14:textFill>
    </w:rPr>
  </w:style>
  <w:style w:type="character" w:customStyle="1" w:styleId="162">
    <w:name w:val="Intense Emphasis"/>
    <w:basedOn w:val="134"/>
    <w:qFormat/>
    <w:uiPriority w:val="21"/>
    <w:rPr>
      <w:b/>
      <w:bCs/>
      <w:i/>
      <w:iCs/>
      <w:color w:val="4F81BD" w:themeColor="accent1"/>
      <w14:textFill>
        <w14:solidFill>
          <w14:schemeClr w14:val="accent1"/>
        </w14:solidFill>
      </w14:textFill>
    </w:rPr>
  </w:style>
  <w:style w:type="character" w:customStyle="1" w:styleId="163">
    <w:name w:val="Subtle Reference"/>
    <w:basedOn w:val="134"/>
    <w:qFormat/>
    <w:uiPriority w:val="31"/>
    <w:rPr>
      <w:smallCaps/>
      <w:color w:val="C0504D" w:themeColor="accent2"/>
      <w:u w:val="single"/>
      <w14:textFill>
        <w14:solidFill>
          <w14:schemeClr w14:val="accent2"/>
        </w14:solidFill>
      </w14:textFill>
    </w:rPr>
  </w:style>
  <w:style w:type="character" w:customStyle="1" w:styleId="164">
    <w:name w:val="Intense Reference"/>
    <w:basedOn w:val="134"/>
    <w:qFormat/>
    <w:uiPriority w:val="32"/>
    <w:rPr>
      <w:b/>
      <w:bCs/>
      <w:smallCaps/>
      <w:color w:val="C0504D" w:themeColor="accent2"/>
      <w:spacing w:val="5"/>
      <w:u w:val="single"/>
      <w14:textFill>
        <w14:solidFill>
          <w14:schemeClr w14:val="accent2"/>
        </w14:solidFill>
      </w14:textFill>
    </w:rPr>
  </w:style>
  <w:style w:type="character" w:customStyle="1" w:styleId="165">
    <w:name w:val="Book Title"/>
    <w:basedOn w:val="134"/>
    <w:qFormat/>
    <w:uiPriority w:val="33"/>
    <w:rPr>
      <w:b/>
      <w:bCs/>
      <w:smallCaps/>
      <w:spacing w:val="5"/>
    </w:rPr>
  </w:style>
  <w:style w:type="paragraph" w:customStyle="1" w:styleId="166">
    <w:name w:val="TOC Heading"/>
    <w:basedOn w:val="4"/>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tint val="100000"/>
                <a:shade val="100000"/>
                <a:satMod val="130000"/>
              </a:schemeClr>
            </a:gs>
            <a:gs pos="100000">
              <a:schemeClr val="phClr">
                <a:tint val="50000"/>
                <a:shade val="100000"/>
                <a:satMod val="350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6186</Words>
  <Characters>6426</Characters>
  <Lines>0</Lines>
  <Paragraphs>0</Paragraphs>
  <TotalTime>14</TotalTime>
  <ScaleCrop>false</ScaleCrop>
  <LinksUpToDate>false</LinksUpToDate>
  <CharactersWithSpaces>6496</CharactersWithSpaces>
  <Application>WPS Office_11.8.2.9831_F1E327BC-269C-435d-A152-05C5408002CA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2013-12-28T23:15:00Z</dcterms:created>
  <dc:creator>python-docx</dc:creator>
  <dc:description>generated by python-docx</dc:description>
  <cp:lastModifiedBy>uos</cp:lastModifiedBy>
  <cp:lastPrinted>2026-10-13T21:50:00Z</cp:lastPrinted>
  <dcterms:modified xsi:type="dcterms:W3CDTF">2026-10-15T09:56:13Z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2052-11.8.2.9831</vt:lpwstr>
  </property>
  <property fmtid="{D5CDD505-2E9C-101B-9397-08002B2CF9AE}" pid="3" name="ICV">
    <vt:lpwstr>2BF1D20433EC50790133CF6ABB9164B2_43</vt:lpwstr>
  </property>
  <property fmtid="{D5CDD505-2E9C-101B-9397-08002B2CF9AE}" pid="4" name="KSOTemplateDocerSaveRecord">
    <vt:lpwstr>eyJoZGlkIjoiNGNhMWYxNjM5YzFiMmNhNWUxMDg2NzI2N2U0ZGM2Y2YiLCJ1c2VySWQiOiIzMTMwODA3OTAifQ==</vt:lpwstr>
  </property>
</Properties>
</file>