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rFonts w:hint="eastAsia" w:ascii="仿宋_GB2312" w:eastAsia="仿宋_GB2312" w:cs="仿宋_GB2312"/>
          <w:color w:val="000000" w:themeColor="text1"/>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eastAsia="方正小标宋简体" w:cs="方正小标宋简体"/>
          <w:color w:val="000000" w:themeColor="text1"/>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after="0" w:line="560" w:lineRule="exact"/>
        <w:jc w:val="center"/>
        <w:textAlignment w:val="auto"/>
        <w:rPr>
          <w:rFonts w:hint="eastAsia" w:asci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eastAsia="方正小标宋简体" w:cs="方正小标宋简体"/>
          <w:color w:val="000000" w:themeColor="text1"/>
          <w:sz w:val="44"/>
          <w:szCs w:val="44"/>
          <w14:textFill>
            <w14:solidFill>
              <w14:schemeClr w14:val="tx1"/>
            </w14:solidFill>
          </w14:textFill>
        </w:rPr>
        <w:t>西城区“十五五”时期青少年事业发展规划</w:t>
      </w:r>
    </w:p>
    <w:p>
      <w:pPr>
        <w:keepNext w:val="0"/>
        <w:keepLines w:val="0"/>
        <w:pageBreakBefore w:val="0"/>
        <w:widowControl w:val="0"/>
        <w:kinsoku/>
        <w:wordWrap/>
        <w:overflowPunct/>
        <w:topLinePunct w:val="0"/>
        <w:autoSpaceDE/>
        <w:autoSpaceDN/>
        <w:bidi w:val="0"/>
        <w:adjustRightInd w:val="0"/>
        <w:snapToGrid w:val="0"/>
        <w:spacing w:after="0" w:line="560" w:lineRule="exact"/>
        <w:jc w:val="center"/>
        <w:textAlignment w:val="auto"/>
        <w:rPr>
          <w:rFonts w:hint="eastAsia" w:ascii="楷体_GB2312" w:eastAsia="楷体_GB2312" w:cs="楷体_GB2312"/>
          <w:color w:val="000000" w:themeColor="text1"/>
          <w:sz w:val="36"/>
          <w:szCs w:val="36"/>
          <w14:textFill>
            <w14:solidFill>
              <w14:schemeClr w14:val="tx1"/>
            </w14:solidFill>
          </w14:textFill>
        </w:rPr>
      </w:pPr>
      <w:r>
        <w:rPr>
          <w:rFonts w:hint="eastAsia" w:ascii="楷体_GB2312" w:eastAsia="楷体_GB2312" w:cs="楷体_GB2312"/>
          <w:color w:val="000000" w:themeColor="text1"/>
          <w:sz w:val="36"/>
          <w:szCs w:val="36"/>
          <w14:textFill>
            <w14:solidFill>
              <w14:schemeClr w14:val="tx1"/>
            </w14:solidFill>
          </w14:textFill>
        </w:rPr>
        <w:t>（</w:t>
      </w:r>
      <w:r>
        <w:rPr>
          <w:rFonts w:hint="eastAsia" w:ascii="楷体_GB2312" w:eastAsia="楷体_GB2312" w:cs="楷体_GB2312"/>
          <w:color w:val="000000" w:themeColor="text1"/>
          <w:sz w:val="36"/>
          <w:szCs w:val="36"/>
          <w:lang w:val="en-US" w:eastAsia="zh-CN"/>
          <w14:textFill>
            <w14:solidFill>
              <w14:schemeClr w14:val="tx1"/>
            </w14:solidFill>
          </w14:textFill>
        </w:rPr>
        <w:t>征求意见稿</w:t>
      </w:r>
      <w:r>
        <w:rPr>
          <w:rFonts w:hint="eastAsia" w:ascii="楷体_GB2312" w:eastAsia="楷体_GB2312" w:cs="楷体_GB2312"/>
          <w:color w:val="000000" w:themeColor="text1"/>
          <w:sz w:val="36"/>
          <w:szCs w:val="36"/>
          <w14:textFill>
            <w14:solidFill>
              <w14:schemeClr w14:val="tx1"/>
            </w14:solidFill>
          </w14:textFill>
        </w:rPr>
        <w:t>）</w:t>
      </w:r>
    </w:p>
    <w:p>
      <w:pPr>
        <w:spacing w:line="240" w:lineRule="auto"/>
        <w:jc w:val="center"/>
        <w:rPr>
          <w:rFonts w:hint="eastAsia" w:ascii="方正小标宋简体" w:eastAsia="方正小标宋简体" w:cs="方正小标宋简体"/>
          <w:color w:val="000000" w:themeColor="text1"/>
          <w:sz w:val="44"/>
          <w:szCs w:val="44"/>
          <w14:textFill>
            <w14:solidFill>
              <w14:schemeClr w14:val="tx1"/>
            </w14:solidFill>
          </w14:textFill>
        </w:rPr>
      </w:pPr>
    </w:p>
    <w:p>
      <w:pPr>
        <w:pStyle w:val="2"/>
        <w:spacing w:line="240" w:lineRule="auto"/>
        <w:jc w:val="center"/>
        <w:rPr>
          <w:color w:val="000000" w:themeColor="text1"/>
          <w:sz w:val="44"/>
          <w:szCs w:val="44"/>
          <w14:textFill>
            <w14:solidFill>
              <w14:schemeClr w14:val="tx1"/>
            </w14:solidFill>
          </w14:textFill>
        </w:rPr>
      </w:pPr>
    </w:p>
    <w:p>
      <w:pPr>
        <w:pStyle w:val="18"/>
        <w:bidi w:val="0"/>
        <w:jc w:val="center"/>
        <w:rPr>
          <w:rFonts w:hint="eastAsia"/>
          <w:color w:val="000000" w:themeColor="text1"/>
          <w14:textFill>
            <w14:solidFill>
              <w14:schemeClr w14:val="tx1"/>
            </w14:solidFill>
          </w14:textFill>
        </w:rPr>
      </w:pPr>
    </w:p>
    <w:p>
      <w:pPr>
        <w:jc w:val="center"/>
        <w:rPr>
          <w:rFonts w:hint="eastAsia"/>
          <w:color w:val="000000" w:themeColor="text1"/>
          <w14:textFill>
            <w14:solidFill>
              <w14:schemeClr w14:val="tx1"/>
            </w14:solidFill>
          </w14:textFill>
        </w:rPr>
      </w:pPr>
    </w:p>
    <w:p>
      <w:pPr>
        <w:spacing w:line="240" w:lineRule="auto"/>
        <w:jc w:val="center"/>
        <w:rPr>
          <w:rFonts w:hint="eastAsia" w:ascii="仿宋_GB2312" w:eastAsia="仿宋_GB2312" w:cs="仿宋_GB2312"/>
          <w:color w:val="000000" w:themeColor="text1"/>
          <w:sz w:val="44"/>
          <w:szCs w:val="44"/>
          <w14:textFill>
            <w14:solidFill>
              <w14:schemeClr w14:val="tx1"/>
            </w14:solidFill>
          </w14:textFill>
        </w:rPr>
      </w:pPr>
      <w:bookmarkStart w:id="205" w:name="_GoBack"/>
      <w:bookmarkEnd w:id="205"/>
    </w:p>
    <w:p>
      <w:pPr>
        <w:spacing w:line="240" w:lineRule="auto"/>
        <w:jc w:val="center"/>
        <w:rPr>
          <w:rFonts w:hint="eastAsia" w:ascii="仿宋_GB2312" w:eastAsia="仿宋_GB2312" w:cs="仿宋_GB2312"/>
          <w:color w:val="000000" w:themeColor="text1"/>
          <w:sz w:val="44"/>
          <w:szCs w:val="44"/>
          <w14:textFill>
            <w14:solidFill>
              <w14:schemeClr w14:val="tx1"/>
            </w14:solidFill>
          </w14:textFill>
        </w:rPr>
      </w:pPr>
    </w:p>
    <w:p>
      <w:pPr>
        <w:spacing w:line="240" w:lineRule="auto"/>
        <w:jc w:val="center"/>
        <w:rPr>
          <w:rFonts w:hint="eastAsia" w:ascii="仿宋_GB2312" w:eastAsia="仿宋_GB2312" w:cs="仿宋_GB2312"/>
          <w:color w:val="000000" w:themeColor="text1"/>
          <w:sz w:val="44"/>
          <w:szCs w:val="44"/>
          <w14:textFill>
            <w14:solidFill>
              <w14:schemeClr w14:val="tx1"/>
            </w14:solidFill>
          </w14:textFill>
        </w:rPr>
      </w:pPr>
    </w:p>
    <w:p>
      <w:pPr>
        <w:spacing w:line="240" w:lineRule="auto"/>
        <w:jc w:val="center"/>
        <w:rPr>
          <w:rFonts w:hint="eastAsia" w:ascii="仿宋_GB2312" w:eastAsia="仿宋_GB2312" w:cs="仿宋_GB2312"/>
          <w:color w:val="000000" w:themeColor="text1"/>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eastAsia="楷体_GB2312" w:cs="楷体_GB2312"/>
          <w:color w:val="000000" w:themeColor="text1"/>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楷体_GB2312" w:eastAsia="楷体_GB2312" w:cs="楷体_GB2312"/>
          <w:color w:val="000000" w:themeColor="text1"/>
          <w:sz w:val="36"/>
          <w:szCs w:val="36"/>
          <w14:textFill>
            <w14:solidFill>
              <w14:schemeClr w14:val="tx1"/>
            </w14:solidFill>
          </w14:textFill>
        </w:rPr>
      </w:pPr>
      <w:r>
        <w:rPr>
          <w:rFonts w:hint="eastAsia" w:ascii="楷体_GB2312" w:eastAsia="楷体_GB2312" w:cs="楷体_GB2312"/>
          <w:color w:val="000000" w:themeColor="text1"/>
          <w:sz w:val="36"/>
          <w:szCs w:val="36"/>
          <w14:textFill>
            <w14:solidFill>
              <w14:schemeClr w14:val="tx1"/>
            </w14:solidFill>
          </w14:textFill>
        </w:rPr>
        <w:t>中国共产主义青年团北京市西城区委员会</w:t>
      </w:r>
    </w:p>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color w:val="000000" w:themeColor="text1"/>
          <w14:textFill>
            <w14:solidFill>
              <w14:schemeClr w14:val="tx1"/>
            </w14:solidFill>
          </w14:textFill>
        </w:rPr>
      </w:pPr>
      <w:r>
        <w:rPr>
          <w:rFonts w:hint="eastAsia" w:ascii="楷体_GB2312" w:eastAsia="楷体_GB2312" w:cs="楷体_GB2312"/>
          <w:color w:val="000000" w:themeColor="text1"/>
          <w:sz w:val="36"/>
          <w:szCs w:val="36"/>
          <w14:textFill>
            <w14:solidFill>
              <w14:schemeClr w14:val="tx1"/>
            </w14:solidFill>
          </w14:textFill>
        </w:rPr>
        <w:t>2026年</w:t>
      </w:r>
      <w:r>
        <w:rPr>
          <w:rFonts w:hint="eastAsia" w:ascii="楷体_GB2312" w:eastAsia="楷体_GB2312" w:cs="楷体_GB2312"/>
          <w:color w:val="000000" w:themeColor="text1"/>
          <w:sz w:val="36"/>
          <w:szCs w:val="36"/>
          <w:lang w:val="en-US" w:eastAsia="zh-CN"/>
          <w14:textFill>
            <w14:solidFill>
              <w14:schemeClr w14:val="tx1"/>
            </w14:solidFill>
          </w14:textFill>
        </w:rPr>
        <w:t>10</w:t>
      </w:r>
      <w:r>
        <w:rPr>
          <w:rFonts w:hint="eastAsia" w:ascii="楷体_GB2312" w:eastAsia="楷体_GB2312" w:cs="楷体_GB2312"/>
          <w:color w:val="000000" w:themeColor="text1"/>
          <w:sz w:val="36"/>
          <w:szCs w:val="36"/>
          <w14:textFill>
            <w14:solidFill>
              <w14:schemeClr w14:val="tx1"/>
            </w14:solidFill>
          </w14:textFill>
        </w:rPr>
        <w:t>月</w:t>
      </w:r>
    </w:p>
    <w:p>
      <w:pPr>
        <w:spacing w:after="0" w:line="600" w:lineRule="exact"/>
        <w:rPr>
          <w:rFonts w:hint="eastAsia" w:ascii="方正小标宋简体" w:eastAsia="方正小标宋简体" w:cs="方正小标宋简体"/>
          <w:color w:val="000000" w:themeColor="text1"/>
          <w:sz w:val="36"/>
          <w:szCs w:val="36"/>
          <w14:textFill>
            <w14:solidFill>
              <w14:schemeClr w14:val="tx1"/>
            </w14:solidFill>
          </w14:textFill>
        </w:rPr>
      </w:pPr>
    </w:p>
    <w:p>
      <w:pPr>
        <w:spacing w:after="0" w:line="560" w:lineRule="exact"/>
        <w:rPr>
          <w:rFonts w:hint="eastAsia" w:ascii="方正小标宋简体" w:eastAsia="方正小标宋简体" w:cs="方正小标宋简体"/>
          <w:color w:val="000000" w:themeColor="text1"/>
          <w:sz w:val="36"/>
          <w:szCs w:val="36"/>
          <w14:textFill>
            <w14:solidFill>
              <w14:schemeClr w14:val="tx1"/>
            </w14:solidFill>
          </w14:textFill>
        </w:rPr>
        <w:sectPr>
          <w:headerReference r:id="rId5" w:type="default"/>
          <w:footerReference r:id="rId7" w:type="default"/>
          <w:headerReference r:id="rId6" w:type="even"/>
          <w:footerReference r:id="rId8" w:type="even"/>
          <w:pgSz w:w="11906" w:h="16838"/>
          <w:pgMar w:top="2098" w:right="1474" w:bottom="1985" w:left="1588" w:header="1417" w:footer="1417" w:gutter="0"/>
          <w:pgNumType w:start="1"/>
          <w:cols w:space="720" w:num="1"/>
          <w:docGrid w:linePitch="312" w:charSpace="0"/>
        </w:sectPr>
      </w:pPr>
    </w:p>
    <w:p>
      <w:pPr>
        <w:rPr>
          <w:rFonts w:hint="eastAsia"/>
          <w:lang w:eastAsia="zh-CN"/>
        </w:rPr>
      </w:pPr>
      <w:bookmarkStart w:id="0" w:name="_Toc20290"/>
      <w:bookmarkStart w:id="1" w:name="_Toc213023446"/>
      <w:bookmarkStart w:id="2" w:name="_Toc25616"/>
    </w:p>
    <w:p>
      <w:pPr>
        <w:pStyle w:val="20"/>
        <w:keepNext w:val="0"/>
        <w:keepLines w:val="0"/>
        <w:pageBreakBefore w:val="0"/>
        <w:widowControl w:val="0"/>
        <w:tabs>
          <w:tab w:val="right" w:leader="dot" w:pos="8845"/>
        </w:tabs>
        <w:kinsoku/>
        <w:wordWrap/>
        <w:overflowPunct/>
        <w:topLinePunct w:val="0"/>
        <w:autoSpaceDE/>
        <w:autoSpaceDN/>
        <w:bidi w:val="0"/>
        <w:adjustRightInd w:val="0"/>
        <w:snapToGrid w:val="0"/>
        <w:spacing w:after="0" w:line="560" w:lineRule="exact"/>
        <w:jc w:val="center"/>
        <w:textAlignment w:val="auto"/>
        <w:rPr>
          <w:rFonts w:hint="eastAsia" w:ascii="方正小标宋简体" w:hAnsi="方正小标宋简体" w:eastAsia="方正小标宋简体" w:cs="方正小标宋简体"/>
          <w:b w:val="0"/>
          <w:bCs w:val="0"/>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eastAsia="zh-CN"/>
          <w14:textFill>
            <w14:solidFill>
              <w14:schemeClr w14:val="tx1"/>
            </w14:solidFill>
          </w14:textFill>
        </w:rPr>
        <w:t>目</w:t>
      </w: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 xml:space="preserve">  </w:t>
      </w:r>
      <w:r>
        <w:rPr>
          <w:rFonts w:hint="eastAsia" w:ascii="方正小标宋简体" w:hAnsi="方正小标宋简体" w:eastAsia="方正小标宋简体" w:cs="方正小标宋简体"/>
          <w:b w:val="0"/>
          <w:bCs w:val="0"/>
          <w:color w:val="000000" w:themeColor="text1"/>
          <w:sz w:val="44"/>
          <w:szCs w:val="44"/>
          <w:lang w:eastAsia="zh-CN"/>
          <w14:textFill>
            <w14:solidFill>
              <w14:schemeClr w14:val="tx1"/>
            </w14:solidFill>
          </w14:textFill>
        </w:rPr>
        <w:t>录</w:t>
      </w:r>
    </w:p>
    <w:p>
      <w:pPr>
        <w:pStyle w:val="20"/>
        <w:keepNext w:val="0"/>
        <w:keepLines w:val="0"/>
        <w:pageBreakBefore w:val="0"/>
        <w:widowControl w:val="0"/>
        <w:tabs>
          <w:tab w:val="right" w:leader="dot" w:pos="8845"/>
        </w:tabs>
        <w:kinsoku/>
        <w:wordWrap/>
        <w:overflowPunct/>
        <w:topLinePunct w:val="0"/>
        <w:autoSpaceDE/>
        <w:autoSpaceDN/>
        <w:bidi w:val="0"/>
        <w:adjustRightInd w:val="0"/>
        <w:snapToGrid w:val="0"/>
        <w:spacing w:after="0" w:line="560" w:lineRule="exact"/>
        <w:ind w:firstLine="640" w:firstLineChars="200"/>
        <w:textAlignment w:val="auto"/>
        <w:rPr>
          <w:rFonts w:hint="eastAsia" w:ascii="楷体_GB2312" w:hAnsi="楷体_GB2312" w:eastAsia="楷体_GB2312" w:cs="楷体_GB2312"/>
          <w:color w:val="000000" w:themeColor="text1"/>
          <w:sz w:val="32"/>
          <w:szCs w:val="32"/>
          <w14:textFill>
            <w14:solidFill>
              <w14:schemeClr w14:val="tx1"/>
            </w14:solidFill>
          </w14:textFill>
        </w:rPr>
      </w:pPr>
    </w:p>
    <w:p>
      <w:pPr>
        <w:pStyle w:val="20"/>
        <w:tabs>
          <w:tab w:val="right" w:leader="dot" w:pos="8845"/>
        </w:tabs>
        <w:adjustRightInd w:val="0"/>
        <w:snapToGrid w:val="0"/>
        <w:spacing w:after="0" w:line="560" w:lineRule="exact"/>
        <w:rPr>
          <w:rFonts w:hint="eastAsia" w:ascii="黑体" w:hAnsi="黑体" w:eastAsia="黑体" w:cs="黑体"/>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color w:val="000000" w:themeColor="text1"/>
          <w:sz w:val="32"/>
          <w:szCs w:val="32"/>
          <w14:textFill>
            <w14:solidFill>
              <w14:schemeClr w14:val="tx1"/>
            </w14:solidFill>
          </w14:textFill>
        </w:rPr>
        <w:instrText xml:space="preserve">TOC \t "一级标题-黑体,1,二级标题-楷体,2" \h \u </w:instrText>
      </w:r>
      <w:r>
        <w:rPr>
          <w:rFonts w:hint="eastAsia" w:ascii="楷体_GB2312" w:hAnsi="楷体_GB2312" w:eastAsia="楷体_GB2312" w:cs="楷体_GB2312"/>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sz w:val="32"/>
          <w:szCs w:val="32"/>
        </w:rPr>
        <w:instrText xml:space="preserve"> HYPERLINK \l _Toc6253 </w:instrText>
      </w:r>
      <w:r>
        <w:rPr>
          <w:rFonts w:hint="eastAsia" w:ascii="黑体" w:hAnsi="黑体" w:eastAsia="黑体" w:cs="黑体"/>
          <w:sz w:val="32"/>
          <w:szCs w:val="32"/>
        </w:rPr>
        <w:fldChar w:fldCharType="separate"/>
      </w:r>
      <w:r>
        <w:rPr>
          <w:rFonts w:hint="eastAsia" w:ascii="黑体" w:hAnsi="黑体" w:eastAsia="黑体" w:cs="黑体"/>
          <w:sz w:val="32"/>
          <w:szCs w:val="32"/>
          <w:lang w:val="en-US" w:eastAsia="zh-CN"/>
        </w:rPr>
        <w:t>一、规划目标</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_Toc6253 \h </w:instrText>
      </w:r>
      <w:r>
        <w:rPr>
          <w:rFonts w:hint="eastAsia" w:ascii="黑体" w:hAnsi="黑体" w:eastAsia="黑体" w:cs="黑体"/>
          <w:sz w:val="32"/>
          <w:szCs w:val="32"/>
        </w:rPr>
        <w:fldChar w:fldCharType="separate"/>
      </w:r>
      <w:r>
        <w:rPr>
          <w:rFonts w:hint="eastAsia" w:ascii="黑体" w:hAnsi="黑体" w:eastAsia="黑体" w:cs="黑体"/>
          <w:sz w:val="32"/>
          <w:szCs w:val="32"/>
        </w:rPr>
        <w:t>- 1 -</w:t>
      </w:r>
      <w:r>
        <w:rPr>
          <w:rFonts w:hint="eastAsia" w:ascii="黑体" w:hAnsi="黑体" w:eastAsia="黑体" w:cs="黑体"/>
          <w:sz w:val="32"/>
          <w:szCs w:val="32"/>
        </w:rPr>
        <w:fldChar w:fldCharType="end"/>
      </w:r>
      <w:r>
        <w:rPr>
          <w:rFonts w:hint="eastAsia" w:ascii="黑体" w:hAnsi="黑体" w:eastAsia="黑体" w:cs="黑体"/>
          <w:color w:val="000000" w:themeColor="text1"/>
          <w:sz w:val="32"/>
          <w:szCs w:val="32"/>
          <w14:textFill>
            <w14:solidFill>
              <w14:schemeClr w14:val="tx1"/>
            </w14:solidFill>
          </w14:textFill>
        </w:rPr>
        <w:fldChar w:fldCharType="end"/>
      </w:r>
    </w:p>
    <w:p>
      <w:pPr>
        <w:pStyle w:val="20"/>
        <w:tabs>
          <w:tab w:val="right" w:leader="dot" w:pos="8845"/>
        </w:tabs>
        <w:adjustRightInd w:val="0"/>
        <w:snapToGrid w:val="0"/>
        <w:spacing w:after="0" w:line="560" w:lineRule="exac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_Toc6600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lang w:val="en-US" w:eastAsia="zh-CN"/>
          <w14:textFill>
            <w14:solidFill>
              <w14:schemeClr w14:val="tx1"/>
            </w14:solidFill>
          </w14:textFill>
        </w:rPr>
        <w:t>二、加强青少年思想政治引领和价值观塑造</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_Toc6600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- 3 -</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_Toc5249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lang w:val="en-US" w:eastAsia="zh-CN"/>
        </w:rPr>
        <w:t>（一） 筑牢理想信念根基</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_Toc5249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- 3 -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_Toc25132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xml:space="preserve">（二） </w:t>
      </w:r>
      <w:r>
        <w:rPr>
          <w:rFonts w:hint="eastAsia" w:ascii="楷体_GB2312" w:hAnsi="楷体_GB2312" w:eastAsia="楷体_GB2312" w:cs="楷体_GB2312"/>
          <w:sz w:val="32"/>
          <w:szCs w:val="32"/>
          <w:lang w:eastAsia="zh-CN"/>
        </w:rPr>
        <w:t>厚植</w:t>
      </w:r>
      <w:r>
        <w:rPr>
          <w:rFonts w:hint="eastAsia" w:ascii="楷体_GB2312" w:hAnsi="楷体_GB2312" w:eastAsia="楷体_GB2312" w:cs="楷体_GB2312"/>
          <w:sz w:val="32"/>
          <w:szCs w:val="32"/>
        </w:rPr>
        <w:t>精神文化</w:t>
      </w:r>
      <w:r>
        <w:rPr>
          <w:rFonts w:hint="eastAsia" w:ascii="楷体_GB2312" w:hAnsi="楷体_GB2312" w:eastAsia="楷体_GB2312" w:cs="楷体_GB2312"/>
          <w:sz w:val="32"/>
          <w:szCs w:val="32"/>
          <w:lang w:eastAsia="zh-CN"/>
        </w:rPr>
        <w:t>沃土</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_Toc25132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- 3 -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_Toc20762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xml:space="preserve">（三） </w:t>
      </w:r>
      <w:r>
        <w:rPr>
          <w:rFonts w:hint="eastAsia" w:ascii="楷体_GB2312" w:hAnsi="楷体_GB2312" w:eastAsia="楷体_GB2312" w:cs="楷体_GB2312"/>
          <w:sz w:val="32"/>
          <w:szCs w:val="32"/>
          <w:highlight w:val="none"/>
          <w:lang w:eastAsia="zh-CN"/>
        </w:rPr>
        <w:t>增强网络思想引领实效</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_Toc20762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- 4 -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0"/>
        <w:tabs>
          <w:tab w:val="right" w:leader="dot" w:pos="8845"/>
        </w:tabs>
        <w:adjustRightInd w:val="0"/>
        <w:snapToGrid w:val="0"/>
        <w:spacing w:after="0" w:line="560" w:lineRule="exac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_Toc2098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三、促进青少年健康成长和全面发展</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_Toc2098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- 4 -</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_Toc29747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（四） 增强</w:t>
      </w:r>
      <w:r>
        <w:rPr>
          <w:rFonts w:hint="eastAsia" w:ascii="楷体_GB2312" w:hAnsi="楷体_GB2312" w:eastAsia="楷体_GB2312" w:cs="楷体_GB2312"/>
          <w:sz w:val="32"/>
          <w:szCs w:val="32"/>
          <w:lang w:eastAsia="zh-CN"/>
        </w:rPr>
        <w:t>身体健康</w:t>
      </w:r>
      <w:r>
        <w:rPr>
          <w:rFonts w:hint="eastAsia" w:ascii="楷体_GB2312" w:hAnsi="楷体_GB2312" w:eastAsia="楷体_GB2312" w:cs="楷体_GB2312"/>
          <w:sz w:val="32"/>
          <w:szCs w:val="32"/>
        </w:rPr>
        <w:t>素质</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_Toc29747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- 4 -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_Toc25990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xml:space="preserve">（五） </w:t>
      </w:r>
      <w:r>
        <w:rPr>
          <w:rFonts w:hint="eastAsia" w:ascii="楷体_GB2312" w:hAnsi="楷体_GB2312" w:eastAsia="楷体_GB2312" w:cs="楷体_GB2312"/>
          <w:sz w:val="32"/>
          <w:szCs w:val="32"/>
          <w:highlight w:val="none"/>
          <w:lang w:eastAsia="zh-CN"/>
        </w:rPr>
        <w:t>提升</w:t>
      </w:r>
      <w:r>
        <w:rPr>
          <w:rFonts w:hint="eastAsia" w:ascii="楷体_GB2312" w:hAnsi="楷体_GB2312" w:eastAsia="楷体_GB2312" w:cs="楷体_GB2312"/>
          <w:sz w:val="32"/>
          <w:szCs w:val="32"/>
          <w:highlight w:val="none"/>
        </w:rPr>
        <w:t>心理健康水平</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_Toc25990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- 5 -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_Toc30203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（六） 厚植科学素养根基</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_Toc30203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- 5 -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_Toc18948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lang w:val="en-US" w:eastAsia="zh-CN"/>
        </w:rPr>
        <w:t>（七） 优化教育资源供给</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_Toc18948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- 6 -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_Toc26013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lang w:val="en-US" w:eastAsia="zh-CN"/>
        </w:rPr>
        <w:t>（八） 营造创新友好环境</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_Toc26013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- 6 -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0"/>
        <w:tabs>
          <w:tab w:val="right" w:leader="dot" w:pos="8845"/>
        </w:tabs>
        <w:adjustRightInd w:val="0"/>
        <w:snapToGrid w:val="0"/>
        <w:spacing w:after="0" w:line="560" w:lineRule="exac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_Toc5092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lang w:val="en-US" w:eastAsia="zh-CN"/>
          <w14:textFill>
            <w14:solidFill>
              <w14:schemeClr w14:val="tx1"/>
            </w14:solidFill>
          </w14:textFill>
        </w:rPr>
        <w:t>四、激励</w:t>
      </w:r>
      <w:r>
        <w:rPr>
          <w:rFonts w:hint="eastAsia" w:ascii="黑体" w:hAnsi="黑体" w:eastAsia="黑体" w:cs="黑体"/>
          <w:color w:val="000000" w:themeColor="text1"/>
          <w:sz w:val="32"/>
          <w:szCs w:val="32"/>
          <w14:textFill>
            <w14:solidFill>
              <w14:schemeClr w14:val="tx1"/>
            </w14:solidFill>
          </w14:textFill>
        </w:rPr>
        <w:t>青少年</w:t>
      </w:r>
      <w:r>
        <w:rPr>
          <w:rFonts w:hint="eastAsia" w:ascii="黑体" w:hAnsi="黑体" w:eastAsia="黑体" w:cs="黑体"/>
          <w:color w:val="000000" w:themeColor="text1"/>
          <w:sz w:val="32"/>
          <w:szCs w:val="32"/>
          <w:lang w:val="en-US" w:eastAsia="zh-CN"/>
          <w14:textFill>
            <w14:solidFill>
              <w14:schemeClr w14:val="tx1"/>
            </w14:solidFill>
          </w14:textFill>
        </w:rPr>
        <w:t>挺膺担当</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_Toc5092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- 6 -</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_Toc15913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lang w:eastAsia="zh-CN"/>
        </w:rPr>
        <w:t>（九） 提升重大活动服务保障能力</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_Toc15913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- 7 -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_Toc22352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（十） 焕发文化</w:t>
      </w:r>
      <w:r>
        <w:rPr>
          <w:rFonts w:hint="eastAsia" w:ascii="楷体_GB2312" w:hAnsi="楷体_GB2312" w:eastAsia="楷体_GB2312" w:cs="楷体_GB2312"/>
          <w:sz w:val="32"/>
          <w:szCs w:val="32"/>
          <w:lang w:eastAsia="zh-CN"/>
        </w:rPr>
        <w:t>创新</w:t>
      </w:r>
      <w:r>
        <w:rPr>
          <w:rFonts w:hint="eastAsia" w:ascii="楷体_GB2312" w:hAnsi="楷体_GB2312" w:eastAsia="楷体_GB2312" w:cs="楷体_GB2312"/>
          <w:sz w:val="32"/>
          <w:szCs w:val="32"/>
        </w:rPr>
        <w:t>活力</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_Toc22352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- 7 -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_Toc16294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xml:space="preserve">（十一） </w:t>
      </w:r>
      <w:r>
        <w:rPr>
          <w:rFonts w:hint="eastAsia" w:ascii="楷体_GB2312" w:hAnsi="楷体_GB2312" w:eastAsia="楷体_GB2312" w:cs="楷体_GB2312"/>
          <w:sz w:val="32"/>
          <w:szCs w:val="32"/>
          <w:lang w:eastAsia="zh-CN"/>
        </w:rPr>
        <w:t>拓展</w:t>
      </w:r>
      <w:r>
        <w:rPr>
          <w:rFonts w:hint="eastAsia" w:ascii="楷体_GB2312" w:hAnsi="楷体_GB2312" w:eastAsia="楷体_GB2312" w:cs="楷体_GB2312"/>
          <w:sz w:val="32"/>
          <w:szCs w:val="32"/>
        </w:rPr>
        <w:t>国际交流合作深度</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_Toc16294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- 7 -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_Toc9649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lang w:val="en-US" w:eastAsia="zh-CN"/>
        </w:rPr>
        <w:t>（十二） 激发科技创新青春动能</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_Toc9649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- 8 -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_Toc10010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lang w:val="en-US" w:eastAsia="zh-CN"/>
        </w:rPr>
        <w:t>（十三） 拓宽社会治理参与渠道</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_Toc10010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- 8 -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_Toc5681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lang w:val="en-US" w:eastAsia="zh-CN"/>
        </w:rPr>
        <w:t>（十四） 凝聚爱国统一战线合力</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_Toc5681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- 8 -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0"/>
        <w:tabs>
          <w:tab w:val="right" w:leader="dot" w:pos="8845"/>
        </w:tabs>
        <w:adjustRightInd w:val="0"/>
        <w:snapToGrid w:val="0"/>
        <w:spacing w:after="0" w:line="560" w:lineRule="exac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_Toc1323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五、解决青少年急难愁盼</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_Toc1323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- 9 -</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_Toc31569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lang w:val="en-US" w:eastAsia="zh-CN"/>
        </w:rPr>
        <w:t>（十五） 促进高质量就业</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_Toc31569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- 9 -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_Toc11295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lang w:eastAsia="zh-CN"/>
        </w:rPr>
        <w:t>（十六） 强化婚育支持保障</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_Toc11295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- 9 -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_Toc16103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（十七） 保障安居需求</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_Toc16103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- 10 -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_Toc18281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lang w:val="en-US" w:eastAsia="zh-CN"/>
        </w:rPr>
        <w:t>（十八） 提升社会保障和帮扶水平</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_Toc18281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- 10 -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_Toc6657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lang w:val="en-US" w:eastAsia="zh-CN"/>
        </w:rPr>
        <w:t>（十九） 营造良好发展环境</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_Toc6657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- 10 -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0"/>
        <w:tabs>
          <w:tab w:val="right" w:leader="dot" w:pos="8845"/>
        </w:tabs>
        <w:adjustRightInd w:val="0"/>
        <w:snapToGrid w:val="0"/>
        <w:spacing w:after="0" w:line="560" w:lineRule="exac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_Toc4565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六、筑牢青少年成长安全防线</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_Toc4565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- 11 -</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_Toc2407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（二十） 强化风险防范化解</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_Toc2407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- 11 -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_Toc14340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（二十一） 完善权益维护体系</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_Toc14340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- 11 -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_Toc14353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（二十二） 加大侵害行为打击力度</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_Toc14353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- 11 -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3"/>
        <w:tabs>
          <w:tab w:val="right" w:leader="dot" w:pos="8845"/>
        </w:tabs>
        <w:adjustRightInd w:val="0"/>
        <w:snapToGrid w:val="0"/>
        <w:spacing w:after="0" w:line="560" w:lineRule="exact"/>
        <w:rPr>
          <w:rFonts w:hint="eastAsia" w:ascii="楷体_GB2312" w:hAnsi="楷体_GB2312" w:eastAsia="楷体_GB2312" w:cs="楷体_GB2312"/>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sz w:val="32"/>
          <w:szCs w:val="32"/>
        </w:rPr>
        <w:instrText xml:space="preserve"> HYPERLINK \l _Toc1904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lang w:val="en-US" w:eastAsia="zh-CN"/>
        </w:rPr>
        <w:t>（二十三） 深化违法犯罪预防治理</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_Toc1904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- 12 -</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pPr>
        <w:pStyle w:val="20"/>
        <w:tabs>
          <w:tab w:val="right" w:leader="dot" w:pos="8845"/>
        </w:tabs>
        <w:adjustRightInd w:val="0"/>
        <w:snapToGrid w:val="0"/>
        <w:spacing w:after="0" w:line="560" w:lineRule="exac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_Toc4397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lang w:eastAsia="zh-CN"/>
          <w14:textFill>
            <w14:solidFill>
              <w14:schemeClr w14:val="tx1"/>
            </w14:solidFill>
          </w14:textFill>
        </w:rPr>
        <w:t>七、</w:t>
      </w:r>
      <w:r>
        <w:rPr>
          <w:rFonts w:hint="eastAsia" w:ascii="黑体" w:hAnsi="黑体" w:eastAsia="黑体" w:cs="黑体"/>
          <w:color w:val="000000" w:themeColor="text1"/>
          <w:sz w:val="32"/>
          <w:szCs w:val="32"/>
          <w14:textFill>
            <w14:solidFill>
              <w14:schemeClr w14:val="tx1"/>
            </w14:solidFill>
          </w14:textFill>
        </w:rPr>
        <w:t>保障措施</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_Toc4397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- 12 -</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color w:val="000000" w:themeColor="text1"/>
          <w:sz w:val="32"/>
          <w:szCs w:val="32"/>
          <w14:textFill>
            <w14:solidFill>
              <w14:schemeClr w14:val="tx1"/>
            </w14:solidFill>
          </w14:textFill>
        </w:rPr>
        <w:fldChar w:fldCharType="end"/>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firstLineChars="200"/>
        <w:textAlignment w:val="auto"/>
        <w:rPr>
          <w:rFonts w:hint="eastAsia" w:ascii="楷体_GB2312" w:hAnsi="楷体_GB2312" w:eastAsia="楷体_GB2312" w:cs="楷体_GB2312"/>
          <w:color w:val="000000" w:themeColor="text1"/>
          <w:sz w:val="32"/>
          <w:szCs w:val="32"/>
          <w14:textFill>
            <w14:solidFill>
              <w14:schemeClr w14:val="tx1"/>
            </w14:solidFill>
          </w14:textFill>
        </w:rPr>
        <w:sectPr>
          <w:footerReference r:id="rId9" w:type="default"/>
          <w:footerReference r:id="rId10" w:type="even"/>
          <w:pgSz w:w="11907" w:h="16839"/>
          <w:pgMar w:top="2098" w:right="1474" w:bottom="1985" w:left="1588" w:header="1418" w:footer="1418" w:gutter="0"/>
          <w:pgNumType w:fmt="upperRoman" w:start="1"/>
          <w:cols w:space="720" w:num="1"/>
          <w:docGrid w:linePitch="286" w:charSpace="0"/>
        </w:sectPr>
      </w:pP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bookmarkEnd w:id="0"/>
    <w:bookmarkEnd w:id="1"/>
    <w:bookmarkEnd w:id="2"/>
    <w:p>
      <w:pPr>
        <w:keepNext w:val="0"/>
        <w:keepLines w:val="0"/>
        <w:pageBreakBefore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eastAsia="仿宋_GB2312" w:cs="仿宋_GB2312"/>
          <w:color w:val="000000" w:themeColor="text1"/>
          <w:sz w:val="32"/>
          <w:szCs w:val="32"/>
          <w:highlight w:val="none"/>
          <w:u w:val="none"/>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“十五五”时期是我国基本实现社会主义现代化夯实基础、全面发力的关键时期，是北京市率先实现社会主义现代化目标的“关键五年”，是西城区扛起“红墙脚下 首善之区”职责使命，高标准服务保障首都功能，</w:t>
      </w:r>
      <w:r>
        <w:rPr>
          <w:rFonts w:hint="eastAsia" w:ascii="仿宋_GB2312" w:eastAsia="仿宋_GB2312" w:cs="仿宋_GB2312"/>
          <w:color w:val="000000" w:themeColor="text1"/>
          <w:sz w:val="32"/>
          <w:szCs w:val="32"/>
          <w:lang w:val="en-US" w:eastAsia="zh-CN"/>
          <w14:textFill>
            <w14:solidFill>
              <w14:schemeClr w14:val="tx1"/>
            </w14:solidFill>
          </w14:textFill>
        </w:rPr>
        <w:t>加速</w:t>
      </w:r>
      <w:r>
        <w:rPr>
          <w:rFonts w:hint="eastAsia" w:ascii="仿宋_GB2312" w:eastAsia="仿宋_GB2312" w:cs="仿宋_GB2312"/>
          <w:color w:val="000000" w:themeColor="text1"/>
          <w:sz w:val="32"/>
          <w:szCs w:val="32"/>
          <w14:textFill>
            <w14:solidFill>
              <w14:schemeClr w14:val="tx1"/>
            </w14:solidFill>
          </w14:textFill>
        </w:rPr>
        <w:t>推动</w:t>
      </w:r>
      <w:r>
        <w:rPr>
          <w:rFonts w:hint="eastAsia" w:ascii="仿宋_GB2312" w:eastAsia="仿宋_GB2312" w:cs="仿宋_GB2312"/>
          <w:color w:val="000000" w:themeColor="text1"/>
          <w:sz w:val="32"/>
          <w:szCs w:val="32"/>
          <w:lang w:val="en-US" w:eastAsia="zh-CN"/>
          <w14:textFill>
            <w14:solidFill>
              <w14:schemeClr w14:val="tx1"/>
            </w14:solidFill>
          </w14:textFill>
        </w:rPr>
        <w:t>区域</w:t>
      </w:r>
      <w:r>
        <w:rPr>
          <w:rFonts w:hint="eastAsia" w:ascii="仿宋_GB2312" w:eastAsia="仿宋_GB2312" w:cs="仿宋_GB2312"/>
          <w:color w:val="000000" w:themeColor="text1"/>
          <w:sz w:val="32"/>
          <w:szCs w:val="32"/>
          <w14:textFill>
            <w14:solidFill>
              <w14:schemeClr w14:val="tx1"/>
            </w14:solidFill>
          </w14:textFill>
        </w:rPr>
        <w:t>高质量发展的重要窗口期。依据《中华人民共和国国民经济和社会发展第十五个五年规划纲要》</w:t>
      </w:r>
      <w:r>
        <w:rPr>
          <w:rFonts w:hint="eastAsia" w:ascii="仿宋_GB2312" w:eastAsia="仿宋_GB2312" w:cs="仿宋_GB2312"/>
          <w:color w:val="000000" w:themeColor="text1"/>
          <w:sz w:val="32"/>
          <w:szCs w:val="32"/>
          <w:lang w:eastAsia="zh-CN"/>
          <w14:textFill>
            <w14:solidFill>
              <w14:schemeClr w14:val="tx1"/>
            </w14:solidFill>
          </w14:textFill>
        </w:rPr>
        <w:t>、中长期青年发展规划、</w:t>
      </w:r>
      <w:r>
        <w:rPr>
          <w:rFonts w:hint="eastAsia" w:ascii="仿宋_GB2312" w:eastAsia="仿宋_GB2312" w:cs="仿宋_GB2312"/>
          <w:color w:val="000000" w:themeColor="text1"/>
          <w:sz w:val="32"/>
          <w:szCs w:val="32"/>
          <w14:textFill>
            <w14:solidFill>
              <w14:schemeClr w14:val="tx1"/>
            </w14:solidFill>
          </w14:textFill>
        </w:rPr>
        <w:t>《北京市国民经济和社会发展第十五个五年规划纲要》《北京市“十五五”时期青少年事业发展规划》《北京市西城区国民经济和社会发展第十五个五年规划纲要》等</w:t>
      </w:r>
      <w:r>
        <w:rPr>
          <w:rFonts w:hint="eastAsia" w:ascii="仿宋_GB2312" w:eastAsia="仿宋_GB2312" w:cs="仿宋_GB2312"/>
          <w:color w:val="000000" w:themeColor="text1"/>
          <w:sz w:val="32"/>
          <w:szCs w:val="32"/>
          <w:lang w:eastAsia="zh-CN"/>
          <w14:textFill>
            <w14:solidFill>
              <w14:schemeClr w14:val="tx1"/>
            </w14:solidFill>
          </w14:textFill>
        </w:rPr>
        <w:t>重要文件，</w:t>
      </w:r>
      <w:r>
        <w:rPr>
          <w:rFonts w:hint="eastAsia" w:ascii="仿宋_GB2312" w:eastAsia="仿宋_GB2312" w:cs="仿宋_GB2312"/>
          <w:color w:val="000000" w:themeColor="text1"/>
          <w:sz w:val="32"/>
          <w:szCs w:val="32"/>
          <w:highlight w:val="none"/>
          <w:u w:val="none"/>
          <w:lang w:eastAsia="zh-CN"/>
          <w14:textFill>
            <w14:solidFill>
              <w14:schemeClr w14:val="tx1"/>
            </w14:solidFill>
          </w14:textFill>
        </w:rPr>
        <w:t>结合西城区实际，制定本规划</w:t>
      </w:r>
      <w:r>
        <w:rPr>
          <w:rFonts w:hint="eastAsia" w:ascii="仿宋_GB2312" w:eastAsia="仿宋_GB2312" w:cs="仿宋_GB2312"/>
          <w:color w:val="000000" w:themeColor="text1"/>
          <w:sz w:val="32"/>
          <w:szCs w:val="32"/>
          <w:highlight w:val="none"/>
          <w:u w:val="none"/>
          <w14:textFill>
            <w14:solidFill>
              <w14:schemeClr w14:val="tx1"/>
            </w14:solidFill>
          </w14:textFill>
        </w:rPr>
        <w:t>。本规划所指的青少年，年龄范围是6-35周岁（规划中涉及婚育、就业等领域时，年龄范围依据有关法律法规的规定）。</w:t>
      </w:r>
    </w:p>
    <w:p>
      <w:pPr>
        <w:pStyle w:val="46"/>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highlight w:val="none"/>
          <w:u w:val="none"/>
          <w:lang w:val="en-US" w:eastAsia="zh-CN"/>
        </w:rPr>
      </w:pPr>
      <w:bookmarkStart w:id="3" w:name="_Toc23874"/>
      <w:bookmarkStart w:id="4" w:name="_Toc6253"/>
      <w:bookmarkStart w:id="5" w:name="_Toc3612"/>
      <w:r>
        <w:rPr>
          <w:rFonts w:hint="eastAsia"/>
          <w:highlight w:val="none"/>
          <w:u w:val="none"/>
          <w:lang w:val="en-US" w:eastAsia="zh-CN"/>
        </w:rPr>
        <w:t>一、</w:t>
      </w:r>
      <w:bookmarkEnd w:id="3"/>
      <w:bookmarkEnd w:id="4"/>
      <w:bookmarkEnd w:id="5"/>
      <w:r>
        <w:rPr>
          <w:rFonts w:hint="eastAsia"/>
          <w:highlight w:val="none"/>
          <w:u w:val="none"/>
          <w:lang w:val="en-US" w:eastAsia="zh-CN"/>
        </w:rPr>
        <w:t>规划目标</w:t>
      </w:r>
    </w:p>
    <w:p>
      <w:pPr>
        <w:pStyle w:val="48"/>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s="仿宋_GB2312"/>
          <w:color w:val="000000" w:themeColor="text1"/>
          <w:sz w:val="32"/>
          <w:szCs w:val="32"/>
          <w14:textFill>
            <w14:solidFill>
              <w14:schemeClr w14:val="tx1"/>
            </w14:solidFill>
          </w14:textFill>
        </w:rPr>
      </w:pPr>
      <w:r>
        <w:rPr>
          <w:rFonts w:hint="eastAsia"/>
          <w:color w:val="000000" w:themeColor="text1"/>
          <w14:textFill>
            <w14:solidFill>
              <w14:schemeClr w14:val="tx1"/>
            </w14:solidFill>
          </w14:textFill>
        </w:rPr>
        <w:t>全面贯彻习近平新时代中国特色社会主义思想，深入贯彻党的二十大和二十届历次全会精神，深入贯彻习近平总书记</w:t>
      </w:r>
      <w:r>
        <w:rPr>
          <w:rFonts w:hint="eastAsia"/>
          <w:color w:val="000000" w:themeColor="text1"/>
          <w:lang w:eastAsia="zh-CN"/>
          <w14:textFill>
            <w14:solidFill>
              <w14:schemeClr w14:val="tx1"/>
            </w14:solidFill>
          </w14:textFill>
        </w:rPr>
        <w:t>关于青年工作的重要思想和</w:t>
      </w:r>
      <w:r>
        <w:rPr>
          <w:rFonts w:hint="eastAsia"/>
          <w:color w:val="000000" w:themeColor="text1"/>
          <w14:textFill>
            <w14:solidFill>
              <w14:schemeClr w14:val="tx1"/>
            </w14:solidFill>
          </w14:textFill>
        </w:rPr>
        <w:t>对北京重要讲话精神，</w:t>
      </w:r>
      <w:r>
        <w:rPr>
          <w:color w:val="000000" w:themeColor="text1"/>
          <w14:textFill>
            <w14:solidFill>
              <w14:schemeClr w14:val="tx1"/>
            </w14:solidFill>
          </w14:textFill>
        </w:rPr>
        <w:t>牢牢把握首都功能核心区</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战略定位，</w:t>
      </w:r>
      <w:r>
        <w:rPr>
          <w:rFonts w:hint="eastAsia"/>
          <w:color w:val="000000" w:themeColor="text1"/>
          <w:lang w:val="en-US" w:eastAsia="zh-CN"/>
          <w14:textFill>
            <w14:solidFill>
              <w14:schemeClr w14:val="tx1"/>
            </w14:solidFill>
          </w14:textFill>
        </w:rPr>
        <w:t>坚持</w:t>
      </w:r>
      <w:r>
        <w:rPr>
          <w:rFonts w:hint="eastAsia"/>
          <w:color w:val="000000" w:themeColor="text1"/>
          <w14:textFill>
            <w14:solidFill>
              <w14:schemeClr w14:val="tx1"/>
            </w14:solidFill>
          </w14:textFill>
        </w:rPr>
        <w:t>青年优先发展理念，引导广大西城青年坚定理想信念，奋发有为推动中国式现代化西城实践谱写新篇章。</w:t>
      </w:r>
      <w:r>
        <w:rPr>
          <w:rFonts w:hint="eastAsia"/>
          <w:b/>
          <w:bCs/>
          <w:color w:val="000000" w:themeColor="text1"/>
          <w14:textFill>
            <w14:solidFill>
              <w14:schemeClr w14:val="tx1"/>
            </w14:solidFill>
          </w14:textFill>
        </w:rPr>
        <w:t>坚持党</w:t>
      </w:r>
      <w:r>
        <w:rPr>
          <w:rFonts w:hint="eastAsia"/>
          <w:b/>
          <w:bCs/>
          <w:color w:val="000000" w:themeColor="text1"/>
          <w:lang w:eastAsia="zh-CN"/>
          <w14:textFill>
            <w14:solidFill>
              <w14:schemeClr w14:val="tx1"/>
            </w14:solidFill>
          </w14:textFill>
        </w:rPr>
        <w:t>管青年原则</w:t>
      </w:r>
      <w:r>
        <w:rPr>
          <w:rFonts w:hint="eastAsia"/>
          <w:b/>
          <w:bCs/>
          <w:color w:val="000000" w:themeColor="text1"/>
          <w14:textFill>
            <w14:solidFill>
              <w14:schemeClr w14:val="tx1"/>
            </w14:solidFill>
          </w14:textFill>
        </w:rPr>
        <w:t>。</w:t>
      </w:r>
      <w:r>
        <w:rPr>
          <w:rFonts w:hint="eastAsia"/>
          <w:color w:val="000000" w:themeColor="text1"/>
          <w14:textFill>
            <w14:solidFill>
              <w14:schemeClr w14:val="tx1"/>
            </w14:solidFill>
          </w14:textFill>
        </w:rPr>
        <w:t>始终把党的领导贯穿青少年事业发展和规划实施全过程、各方面，确保青少年工作始终沿着正确政治方向前进。充分发挥党总揽全局、协调各方的核心作用，推动形成各方力量共同促进</w:t>
      </w:r>
      <w:r>
        <w:rPr>
          <w:rFonts w:hint="eastAsia"/>
          <w:color w:val="000000" w:themeColor="text1"/>
          <w:lang w:val="en-US" w:eastAsia="zh-CN"/>
          <w14:textFill>
            <w14:solidFill>
              <w14:schemeClr w14:val="tx1"/>
            </w14:solidFill>
          </w14:textFill>
        </w:rPr>
        <w:t>西城</w:t>
      </w:r>
      <w:r>
        <w:rPr>
          <w:rFonts w:hint="eastAsia"/>
          <w:color w:val="000000" w:themeColor="text1"/>
          <w14:textFill>
            <w14:solidFill>
              <w14:schemeClr w14:val="tx1"/>
            </w14:solidFill>
          </w14:textFill>
        </w:rPr>
        <w:t>青少年事业高质量发展的良好局面。</w:t>
      </w:r>
      <w:r>
        <w:rPr>
          <w:rFonts w:hint="eastAsia"/>
          <w:b/>
          <w:bCs/>
          <w:color w:val="000000" w:themeColor="text1"/>
          <w14:textFill>
            <w14:solidFill>
              <w14:schemeClr w14:val="tx1"/>
            </w14:solidFill>
          </w14:textFill>
        </w:rPr>
        <w:t>坚持融入发展大局。</w:t>
      </w:r>
      <w:r>
        <w:rPr>
          <w:rFonts w:hint="eastAsia"/>
          <w:color w:val="000000" w:themeColor="text1"/>
          <w:lang w:eastAsia="zh-CN"/>
          <w14:textFill>
            <w14:solidFill>
              <w14:schemeClr w14:val="tx1"/>
            </w14:solidFill>
          </w14:textFill>
        </w:rPr>
        <w:t>紧扣</w:t>
      </w:r>
      <w:r>
        <w:rPr>
          <w:rFonts w:hint="eastAsia"/>
          <w:color w:val="000000" w:themeColor="text1"/>
          <w:lang w:val="en-US" w:eastAsia="zh-CN"/>
          <w14:textFill>
            <w14:solidFill>
              <w14:schemeClr w14:val="tx1"/>
            </w14:solidFill>
          </w14:textFill>
        </w:rPr>
        <w:t>区域</w:t>
      </w:r>
      <w:r>
        <w:rPr>
          <w:rFonts w:hint="eastAsia"/>
          <w:color w:val="000000" w:themeColor="text1"/>
          <w:lang w:eastAsia="zh-CN"/>
          <w14:textFill>
            <w14:solidFill>
              <w14:schemeClr w14:val="tx1"/>
            </w14:solidFill>
          </w14:textFill>
        </w:rPr>
        <w:t>高质量发展的战略机遇期，</w:t>
      </w:r>
      <w:r>
        <w:rPr>
          <w:rFonts w:hint="eastAsia"/>
          <w:color w:val="000000" w:themeColor="text1"/>
          <w14:textFill>
            <w14:solidFill>
              <w14:schemeClr w14:val="tx1"/>
            </w14:solidFill>
          </w14:textFill>
        </w:rPr>
        <w:t>引导青少年将个人理想追求深度融入党和国家发展大局，在区域高质量发展的新征程上找准定位、主动担当。</w:t>
      </w:r>
      <w:r>
        <w:rPr>
          <w:rFonts w:hint="eastAsia" w:ascii="仿宋_GB2312" w:eastAsia="仿宋_GB2312" w:cs="仿宋_GB2312"/>
          <w:b/>
          <w:bCs/>
          <w:color w:val="000000" w:themeColor="text1"/>
          <w:sz w:val="32"/>
          <w:szCs w:val="32"/>
          <w14:textFill>
            <w14:solidFill>
              <w14:schemeClr w14:val="tx1"/>
            </w14:solidFill>
          </w14:textFill>
        </w:rPr>
        <w:t>坚持青年为本导向</w:t>
      </w:r>
      <w:r>
        <w:rPr>
          <w:rFonts w:hint="eastAsia" w:ascii="仿宋_GB2312" w:eastAsia="仿宋_GB2312" w:cs="仿宋_GB2312"/>
          <w:color w:val="000000" w:themeColor="text1"/>
          <w:sz w:val="32"/>
          <w:szCs w:val="32"/>
          <w14:textFill>
            <w14:solidFill>
              <w14:schemeClr w14:val="tx1"/>
            </w14:solidFill>
          </w14:textFill>
        </w:rPr>
        <w:t>。把</w:t>
      </w:r>
      <w:r>
        <w:rPr>
          <w:rFonts w:hint="eastAsia" w:ascii="仿宋_GB2312" w:eastAsia="仿宋_GB2312" w:cs="仿宋_GB2312"/>
          <w:color w:val="000000" w:themeColor="text1"/>
          <w:sz w:val="32"/>
          <w:szCs w:val="32"/>
          <w:lang w:val="en-US" w:eastAsia="zh-CN"/>
          <w14:textFill>
            <w14:solidFill>
              <w14:schemeClr w14:val="tx1"/>
            </w14:solidFill>
          </w14:textFill>
        </w:rPr>
        <w:t>竭诚服务青年</w:t>
      </w:r>
      <w:r>
        <w:rPr>
          <w:rFonts w:hint="eastAsia" w:ascii="仿宋_GB2312" w:eastAsia="仿宋_GB2312" w:cs="仿宋_GB2312"/>
          <w:color w:val="000000" w:themeColor="text1"/>
          <w:sz w:val="32"/>
          <w:szCs w:val="32"/>
          <w14:textFill>
            <w14:solidFill>
              <w14:schemeClr w14:val="tx1"/>
            </w14:solidFill>
          </w14:textFill>
        </w:rPr>
        <w:t>作为</w:t>
      </w:r>
      <w:r>
        <w:rPr>
          <w:rFonts w:hint="eastAsia" w:ascii="仿宋_GB2312" w:eastAsia="仿宋_GB2312" w:cs="仿宋_GB2312"/>
          <w:color w:val="000000" w:themeColor="text1"/>
          <w:sz w:val="32"/>
          <w:szCs w:val="32"/>
          <w:lang w:val="en-US" w:eastAsia="zh-CN"/>
          <w14:textFill>
            <w14:solidFill>
              <w14:schemeClr w14:val="tx1"/>
            </w14:solidFill>
          </w14:textFill>
        </w:rPr>
        <w:t>共青团</w:t>
      </w:r>
      <w:r>
        <w:rPr>
          <w:rFonts w:hint="eastAsia" w:ascii="仿宋_GB2312" w:eastAsia="仿宋_GB2312" w:cs="仿宋_GB2312"/>
          <w:color w:val="000000" w:themeColor="text1"/>
          <w:sz w:val="32"/>
          <w:szCs w:val="32"/>
          <w14:textFill>
            <w14:solidFill>
              <w14:schemeClr w14:val="tx1"/>
            </w14:solidFill>
          </w14:textFill>
        </w:rPr>
        <w:t>工作的出发点和落脚点，及时掌握青少年各方面问题诉求，持续完善青少年服务体系，不断增强西城青少年的获得感幸福感安全感。</w:t>
      </w:r>
      <w:r>
        <w:rPr>
          <w:rFonts w:hint="eastAsia" w:ascii="仿宋_GB2312" w:eastAsia="仿宋_GB2312" w:cs="仿宋_GB2312"/>
          <w:b/>
          <w:bCs/>
          <w:color w:val="000000" w:themeColor="text1"/>
          <w:sz w:val="32"/>
          <w:szCs w:val="32"/>
          <w14:textFill>
            <w14:solidFill>
              <w14:schemeClr w14:val="tx1"/>
            </w14:solidFill>
          </w14:textFill>
        </w:rPr>
        <w:t>坚持分层分类施策</w:t>
      </w:r>
      <w:r>
        <w:rPr>
          <w:rFonts w:hint="eastAsia" w:ascii="仿宋_GB2312" w:eastAsia="仿宋_GB2312" w:cs="仿宋_GB2312"/>
          <w:color w:val="000000" w:themeColor="text1"/>
          <w:sz w:val="32"/>
          <w:szCs w:val="32"/>
          <w14:textFill>
            <w14:solidFill>
              <w14:schemeClr w14:val="tx1"/>
            </w14:solidFill>
          </w14:textFill>
        </w:rPr>
        <w:t>。</w:t>
      </w:r>
      <w:r>
        <w:rPr>
          <w:rFonts w:hint="eastAsia" w:ascii="仿宋_GB2312" w:cs="仿宋_GB2312"/>
          <w:color w:val="000000" w:themeColor="text1"/>
          <w:sz w:val="32"/>
          <w:szCs w:val="32"/>
          <w:lang w:eastAsia="zh-CN"/>
          <w14:textFill>
            <w14:solidFill>
              <w14:schemeClr w14:val="tx1"/>
            </w14:solidFill>
          </w14:textFill>
        </w:rPr>
        <w:t>针对青少年的差异化需求，统筹完善支持政策和公共服务供给，增强政策精准性和制度适配性，持续优化青少年发展环境。</w:t>
      </w:r>
      <w:r>
        <w:rPr>
          <w:rFonts w:hint="eastAsia" w:ascii="仿宋_GB2312" w:eastAsia="仿宋_GB2312" w:cs="仿宋_GB2312"/>
          <w:b/>
          <w:bCs/>
          <w:color w:val="000000" w:themeColor="text1"/>
          <w:sz w:val="32"/>
          <w:szCs w:val="32"/>
          <w14:textFill>
            <w14:solidFill>
              <w14:schemeClr w14:val="tx1"/>
            </w14:solidFill>
          </w14:textFill>
        </w:rPr>
        <w:t>坚持守牢底线思维</w:t>
      </w:r>
      <w:r>
        <w:rPr>
          <w:rFonts w:hint="eastAsia" w:ascii="仿宋_GB2312" w:eastAsia="仿宋_GB2312" w:cs="仿宋_GB2312"/>
          <w:color w:val="000000" w:themeColor="text1"/>
          <w:sz w:val="32"/>
          <w:szCs w:val="32"/>
          <w14:textFill>
            <w14:solidFill>
              <w14:schemeClr w14:val="tx1"/>
            </w14:solidFill>
          </w14:textFill>
        </w:rPr>
        <w:t>。聚焦校园、网络、心理等领域，</w:t>
      </w:r>
      <w:r>
        <w:rPr>
          <w:rFonts w:hint="eastAsia" w:ascii="仿宋_GB2312" w:eastAsia="仿宋_GB2312" w:cs="仿宋_GB2312"/>
          <w:color w:val="000000" w:themeColor="text1"/>
          <w:sz w:val="32"/>
          <w:szCs w:val="32"/>
          <w:lang w:eastAsia="zh-CN"/>
          <w14:textFill>
            <w14:solidFill>
              <w14:schemeClr w14:val="tx1"/>
            </w14:solidFill>
          </w14:textFill>
        </w:rPr>
        <w:t>健全青少年</w:t>
      </w:r>
      <w:r>
        <w:rPr>
          <w:rFonts w:hint="eastAsia" w:ascii="仿宋_GB2312" w:eastAsia="仿宋_GB2312" w:cs="仿宋_GB2312"/>
          <w:color w:val="000000" w:themeColor="text1"/>
          <w:sz w:val="32"/>
          <w:szCs w:val="32"/>
          <w14:textFill>
            <w14:solidFill>
              <w14:schemeClr w14:val="tx1"/>
            </w14:solidFill>
          </w14:textFill>
        </w:rPr>
        <w:t>权益</w:t>
      </w:r>
      <w:r>
        <w:rPr>
          <w:rFonts w:hint="eastAsia" w:ascii="仿宋_GB2312" w:eastAsia="仿宋_GB2312" w:cs="仿宋_GB2312"/>
          <w:color w:val="000000" w:themeColor="text1"/>
          <w:sz w:val="32"/>
          <w:szCs w:val="32"/>
          <w:lang w:eastAsia="zh-CN"/>
          <w14:textFill>
            <w14:solidFill>
              <w14:schemeClr w14:val="tx1"/>
            </w14:solidFill>
          </w14:textFill>
        </w:rPr>
        <w:t>保护和风险防范机制</w:t>
      </w:r>
      <w:r>
        <w:rPr>
          <w:rFonts w:hint="eastAsia" w:ascii="仿宋_GB2312" w:eastAsia="仿宋_GB2312" w:cs="仿宋_GB2312"/>
          <w:color w:val="000000" w:themeColor="text1"/>
          <w:sz w:val="32"/>
          <w:szCs w:val="32"/>
          <w14:textFill>
            <w14:solidFill>
              <w14:schemeClr w14:val="tx1"/>
            </w14:solidFill>
          </w14:textFill>
        </w:rPr>
        <w:t>，坚决守</w:t>
      </w:r>
      <w:r>
        <w:rPr>
          <w:rFonts w:hint="eastAsia" w:ascii="仿宋_GB2312" w:cs="仿宋_GB2312"/>
          <w:color w:val="000000" w:themeColor="text1"/>
          <w:sz w:val="32"/>
          <w:szCs w:val="32"/>
          <w:lang w:eastAsia="zh-CN"/>
          <w14:textFill>
            <w14:solidFill>
              <w14:schemeClr w14:val="tx1"/>
            </w14:solidFill>
          </w14:textFill>
        </w:rPr>
        <w:t>护</w:t>
      </w:r>
      <w:r>
        <w:rPr>
          <w:rFonts w:hint="eastAsia" w:ascii="仿宋_GB2312" w:eastAsia="仿宋_GB2312" w:cs="仿宋_GB2312"/>
          <w:color w:val="000000" w:themeColor="text1"/>
          <w:sz w:val="32"/>
          <w:szCs w:val="32"/>
          <w14:textFill>
            <w14:solidFill>
              <w14:schemeClr w14:val="tx1"/>
            </w14:solidFill>
          </w14:textFill>
        </w:rPr>
        <w:t>青少年思想安全、人身安全、发展安全。</w:t>
      </w:r>
    </w:p>
    <w:p>
      <w:pPr>
        <w:pStyle w:val="48"/>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到2030年，以“西城和青年共赴未来”为愿景的青少年事业发展新图景绘就成型，城市与青少年良性互动的西城范式更加鲜明，广大青少年在中国式现代化西城实践中挺膺担当的奋斗底色充分彰显。</w:t>
      </w:r>
      <w:r>
        <w:rPr>
          <w:rFonts w:hint="eastAsia"/>
          <w:color w:val="000000" w:themeColor="text1"/>
          <w:lang w:val="en-US" w:eastAsia="zh-CN"/>
          <w14:textFill>
            <w14:solidFill>
              <w14:schemeClr w14:val="tx1"/>
            </w14:solidFill>
          </w14:textFill>
        </w:rPr>
        <w:t>青少年思想政治引领的针对性和实效性显著增强，引领广大青少年进一步筑牢信仰根基，坚定不移听党话、跟党走；青少年服务中心大局的贡献度显著提升，引领广大青少年在高质量发展、高效能治理一线建功立业；青少年成长发展环境持续优化，推动青年优先发展理念融入区域战略全局，引领广大青少年与西城发展同频共振；青少年创新创造活力充分迸发，引领广大青少年在重大战略和产业前沿勇于探索、敢于突破，为区域高质量发展注入澎湃青春动能。</w:t>
      </w:r>
      <w:r>
        <w:rPr>
          <w:rFonts w:hint="eastAsia"/>
          <w:color w:val="000000" w:themeColor="text1"/>
          <w:highlight w:val="none"/>
          <w:lang w:val="en-US" w:eastAsia="zh-CN"/>
          <w14:textFill>
            <w14:solidFill>
              <w14:schemeClr w14:val="tx1"/>
            </w14:solidFill>
          </w14:textFill>
        </w:rPr>
        <w:t>到2035年，青年优先发展理念持续深化，青少年事业发展体系更加符合首都功能核心区战略定位，青少年成为谱写中国式现代化西城实践新篇章的重要支撑力量。</w:t>
      </w:r>
      <w:bookmarkStart w:id="6" w:name="_Toc23528"/>
      <w:bookmarkStart w:id="7" w:name="_Toc9588"/>
      <w:bookmarkStart w:id="8" w:name="_Toc12667"/>
      <w:bookmarkStart w:id="9" w:name="_Toc6781"/>
      <w:bookmarkStart w:id="10" w:name="_Toc438483"/>
      <w:bookmarkStart w:id="11" w:name="_Toc7433"/>
      <w:bookmarkStart w:id="12" w:name="_Toc24967"/>
      <w:bookmarkStart w:id="13" w:name="_Toc2376"/>
    </w:p>
    <w:p>
      <w:pPr>
        <w:pStyle w:val="46"/>
        <w:keepNext w:val="0"/>
        <w:keepLines w:val="0"/>
        <w:pageBreakBefore w:val="0"/>
        <w:numPr>
          <w:ilvl w:val="0"/>
          <w:numId w:val="2"/>
        </w:numPr>
        <w:kinsoku/>
        <w:wordWrap/>
        <w:overflowPunct/>
        <w:topLinePunct w:val="0"/>
        <w:autoSpaceDE/>
        <w:autoSpaceDN/>
        <w:bidi w:val="0"/>
        <w:adjustRightInd w:val="0"/>
        <w:snapToGrid w:val="0"/>
        <w:spacing w:line="560" w:lineRule="exact"/>
        <w:ind w:firstLine="640" w:firstLineChars="200"/>
        <w:jc w:val="left"/>
        <w:textAlignment w:val="auto"/>
        <w:rPr>
          <w:rFonts w:hint="eastAsia"/>
          <w:lang w:val="en-US" w:eastAsia="zh-CN"/>
        </w:rPr>
      </w:pPr>
      <w:bookmarkStart w:id="14" w:name="_Toc4382"/>
      <w:bookmarkStart w:id="15" w:name="_Toc29167"/>
      <w:bookmarkStart w:id="16" w:name="_Toc6600"/>
      <w:r>
        <w:rPr>
          <w:rFonts w:hint="eastAsia"/>
          <w:lang w:val="en-US" w:eastAsia="zh-CN"/>
        </w:rPr>
        <w:t>加强青少年思想政治引领和价值观塑造</w:t>
      </w:r>
      <w:bookmarkEnd w:id="6"/>
      <w:bookmarkEnd w:id="7"/>
      <w:bookmarkEnd w:id="8"/>
      <w:bookmarkEnd w:id="9"/>
      <w:bookmarkEnd w:id="10"/>
      <w:bookmarkEnd w:id="11"/>
      <w:bookmarkEnd w:id="12"/>
      <w:bookmarkEnd w:id="13"/>
      <w:bookmarkEnd w:id="14"/>
      <w:bookmarkEnd w:id="15"/>
      <w:bookmarkEnd w:id="16"/>
    </w:p>
    <w:p>
      <w:pPr>
        <w:pStyle w:val="48"/>
        <w:bidi w:val="0"/>
        <w:rPr>
          <w:rFonts w:hint="eastAsia"/>
          <w:lang w:val="en-US" w:eastAsia="zh-CN"/>
        </w:rPr>
      </w:pPr>
      <w:bookmarkStart w:id="17" w:name="_Toc23139"/>
      <w:bookmarkStart w:id="18" w:name="_Toc16642"/>
      <w:r>
        <w:rPr>
          <w:rFonts w:hint="eastAsia"/>
          <w:lang w:val="en-US" w:eastAsia="zh-CN"/>
        </w:rPr>
        <w:t>以“红墙意识”涵养精神底色</w:t>
      </w:r>
      <w:r>
        <w:rPr>
          <w:rFonts w:hint="eastAsia"/>
          <w:highlight w:val="none"/>
          <w:lang w:val="en-US" w:eastAsia="zh-CN"/>
        </w:rPr>
        <w:t>，实施“红墙铸魂”青少年思想文化引领工程，引领西城青少年在</w:t>
      </w:r>
      <w:r>
        <w:rPr>
          <w:rFonts w:hint="eastAsia"/>
          <w:lang w:val="en-US" w:eastAsia="zh-CN"/>
        </w:rPr>
        <w:t>价值</w:t>
      </w:r>
      <w:r>
        <w:rPr>
          <w:rFonts w:hint="eastAsia"/>
          <w:highlight w:val="none"/>
          <w:lang w:val="en-US" w:eastAsia="zh-CN"/>
        </w:rPr>
        <w:t>塑造</w:t>
      </w:r>
      <w:r>
        <w:rPr>
          <w:rFonts w:hint="eastAsia"/>
          <w:lang w:val="en-US" w:eastAsia="zh-CN"/>
        </w:rPr>
        <w:t>中坚定航向、在文化浸润中厚植根基、在网络空间中激扬正气。</w:t>
      </w:r>
      <w:bookmarkEnd w:id="17"/>
      <w:bookmarkEnd w:id="18"/>
    </w:p>
    <w:p>
      <w:pPr>
        <w:pStyle w:val="47"/>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lang w:val="en-US" w:eastAsia="zh-CN"/>
        </w:rPr>
      </w:pPr>
      <w:bookmarkStart w:id="19" w:name="_Toc14414"/>
      <w:bookmarkStart w:id="20" w:name="_Toc24214"/>
      <w:bookmarkStart w:id="21" w:name="_Toc5249"/>
      <w:bookmarkStart w:id="22" w:name="_Toc22667"/>
      <w:r>
        <w:rPr>
          <w:rFonts w:hint="eastAsia"/>
          <w:lang w:val="en-US" w:eastAsia="zh-CN"/>
        </w:rPr>
        <w:t>筑牢理想信念根基</w:t>
      </w:r>
      <w:bookmarkEnd w:id="19"/>
      <w:bookmarkEnd w:id="20"/>
      <w:bookmarkEnd w:id="21"/>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lang w:eastAsia="zh-CN"/>
          <w14:textFill>
            <w14:solidFill>
              <w14:schemeClr w14:val="tx1"/>
            </w14:solidFill>
          </w14:textFill>
        </w:rPr>
        <w:t>广泛动员青少年深入学习习近平新时代中国特色社会主义思想，</w:t>
      </w:r>
      <w:r>
        <w:rPr>
          <w:rFonts w:hint="eastAsia" w:ascii="仿宋_GB2312" w:eastAsia="仿宋_GB2312" w:cs="仿宋_GB2312"/>
          <w:color w:val="000000" w:themeColor="text1"/>
          <w:sz w:val="32"/>
          <w:szCs w:val="32"/>
          <w14:textFill>
            <w14:solidFill>
              <w14:schemeClr w14:val="tx1"/>
            </w14:solidFill>
          </w14:textFill>
        </w:rPr>
        <w:t>坚持用党的创新理论武装青少年头脑，分层分类推进思想</w:t>
      </w:r>
      <w:r>
        <w:rPr>
          <w:rFonts w:hint="eastAsia" w:ascii="仿宋_GB2312" w:eastAsia="仿宋_GB2312" w:cs="仿宋_GB2312"/>
          <w:color w:val="000000" w:themeColor="text1"/>
          <w:sz w:val="32"/>
          <w:szCs w:val="32"/>
          <w:lang w:eastAsia="zh-CN"/>
          <w14:textFill>
            <w14:solidFill>
              <w14:schemeClr w14:val="tx1"/>
            </w14:solidFill>
          </w14:textFill>
        </w:rPr>
        <w:t>政治</w:t>
      </w:r>
      <w:r>
        <w:rPr>
          <w:rFonts w:hint="eastAsia" w:ascii="仿宋_GB2312" w:eastAsia="仿宋_GB2312" w:cs="仿宋_GB2312"/>
          <w:color w:val="000000" w:themeColor="text1"/>
          <w:sz w:val="32"/>
          <w:szCs w:val="32"/>
          <w14:textFill>
            <w14:solidFill>
              <w14:schemeClr w14:val="tx1"/>
            </w14:solidFill>
          </w14:textFill>
        </w:rPr>
        <w:t>引领工作。深入落实党建带团建、队建制度机制，促进党、团、队育人链条紧密衔接。</w:t>
      </w:r>
      <w:r>
        <w:rPr>
          <w:rFonts w:hint="eastAsia" w:ascii="仿宋_GB2312" w:eastAsia="仿宋_GB2312" w:cs="仿宋_GB2312"/>
          <w:color w:val="000000" w:themeColor="text1"/>
          <w:sz w:val="32"/>
          <w:szCs w:val="32"/>
          <w:lang w:eastAsia="zh-CN"/>
          <w14:textFill>
            <w14:solidFill>
              <w14:schemeClr w14:val="tx1"/>
            </w14:solidFill>
          </w14:textFill>
        </w:rPr>
        <w:t>依托团校建设，</w:t>
      </w:r>
      <w:r>
        <w:rPr>
          <w:rFonts w:hint="eastAsia" w:ascii="仿宋_GB2312" w:hAnsi="仿宋_GB2312" w:eastAsia="仿宋_GB2312" w:cs="仿宋_GB2312"/>
          <w:sz w:val="32"/>
          <w:szCs w:val="32"/>
        </w:rPr>
        <w:t>常态化推进团干部培训、青年骨干培育等工作</w:t>
      </w:r>
      <w:r>
        <w:rPr>
          <w:rFonts w:hint="eastAsia" w:ascii="仿宋_GB2312" w:eastAsia="仿宋_GB2312" w:cs="仿宋_GB2312"/>
          <w:color w:val="000000" w:themeColor="text1"/>
          <w:sz w:val="32"/>
          <w:szCs w:val="32"/>
          <w:lang w:eastAsia="zh-CN"/>
          <w14:textFill>
            <w14:solidFill>
              <w14:schemeClr w14:val="tx1"/>
            </w14:solidFill>
          </w14:textFill>
        </w:rPr>
        <w:t>。</w:t>
      </w:r>
      <w:r>
        <w:rPr>
          <w:rFonts w:hint="eastAsia" w:ascii="仿宋_GB2312" w:eastAsia="仿宋_GB2312" w:cs="仿宋_GB2312"/>
          <w:color w:val="000000" w:themeColor="text1"/>
          <w:sz w:val="32"/>
          <w:szCs w:val="32"/>
          <w14:textFill>
            <w14:solidFill>
              <w14:schemeClr w14:val="tx1"/>
            </w14:solidFill>
          </w14:textFill>
        </w:rPr>
        <w:t>深化“青马工程”实施成效，建强“红墙青年宣讲团”等骨干力量，</w:t>
      </w:r>
      <w:r>
        <w:rPr>
          <w:rFonts w:hint="eastAsia" w:ascii="仿宋_GB2312" w:eastAsia="仿宋_GB2312" w:cs="仿宋_GB2312"/>
          <w:color w:val="000000" w:themeColor="text1"/>
          <w:sz w:val="32"/>
          <w:szCs w:val="32"/>
          <w:lang w:eastAsia="zh-CN"/>
          <w14:textFill>
            <w14:solidFill>
              <w14:schemeClr w14:val="tx1"/>
            </w14:solidFill>
          </w14:textFill>
        </w:rPr>
        <w:t>深入推进组织化学习</w:t>
      </w:r>
      <w:r>
        <w:rPr>
          <w:rFonts w:hint="eastAsia" w:ascii="仿宋_GB2312" w:eastAsia="仿宋_GB2312" w:cs="仿宋_GB2312"/>
          <w:color w:val="000000" w:themeColor="text1"/>
          <w:sz w:val="32"/>
          <w:szCs w:val="32"/>
          <w14:textFill>
            <w14:solidFill>
              <w14:schemeClr w14:val="tx1"/>
            </w14:solidFill>
          </w14:textFill>
        </w:rPr>
        <w:t>。</w:t>
      </w:r>
      <w:r>
        <w:rPr>
          <w:rFonts w:hint="eastAsia" w:ascii="仿宋_GB2312" w:eastAsia="仿宋_GB2312" w:cs="仿宋_GB2312"/>
          <w:color w:val="000000" w:themeColor="text1"/>
          <w:sz w:val="32"/>
          <w:szCs w:val="32"/>
          <w:lang w:eastAsia="zh-CN"/>
          <w14:textFill>
            <w14:solidFill>
              <w14:schemeClr w14:val="tx1"/>
            </w14:solidFill>
          </w14:textFill>
        </w:rPr>
        <w:t>坚持把</w:t>
      </w:r>
      <w:r>
        <w:rPr>
          <w:rFonts w:hint="eastAsia" w:ascii="仿宋_GB2312" w:eastAsia="仿宋_GB2312" w:cs="仿宋_GB2312"/>
          <w:color w:val="000000" w:themeColor="text1"/>
          <w:sz w:val="32"/>
          <w:szCs w:val="32"/>
          <w14:textFill>
            <w14:solidFill>
              <w14:schemeClr w14:val="tx1"/>
            </w14:solidFill>
          </w14:textFill>
        </w:rPr>
        <w:t>总体国家安全观融入青少年思想政治引领全过程，引导青少年在赓续红色血脉中筑牢信仰根基。</w:t>
      </w:r>
    </w:p>
    <w:p>
      <w:pPr>
        <w:pStyle w:val="47"/>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rPr>
      </w:pPr>
      <w:bookmarkStart w:id="23" w:name="_Toc27229"/>
      <w:bookmarkStart w:id="24" w:name="_Toc25132"/>
      <w:bookmarkStart w:id="25" w:name="_Toc12024"/>
      <w:r>
        <w:rPr>
          <w:rFonts w:hint="eastAsia"/>
          <w:lang w:eastAsia="zh-CN"/>
        </w:rPr>
        <w:t>厚植</w:t>
      </w:r>
      <w:r>
        <w:rPr>
          <w:rFonts w:hint="eastAsia"/>
        </w:rPr>
        <w:t>精神文化</w:t>
      </w:r>
      <w:r>
        <w:rPr>
          <w:rFonts w:hint="eastAsia"/>
          <w:lang w:eastAsia="zh-CN"/>
        </w:rPr>
        <w:t>沃土</w:t>
      </w:r>
      <w:bookmarkEnd w:id="23"/>
      <w:bookmarkEnd w:id="24"/>
      <w:bookmarkEnd w:id="25"/>
    </w:p>
    <w:p>
      <w:pPr>
        <w:keepNext w:val="0"/>
        <w:keepLines w:val="0"/>
        <w:pageBreakBefore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坚持以社会主义核心价值观浸润青少年心灵，引导青少年“扣好人生第一粒扣子”，</w:t>
      </w:r>
      <w:r>
        <w:rPr>
          <w:rFonts w:hint="eastAsia" w:ascii="仿宋_GB2312" w:eastAsia="仿宋_GB2312" w:cs="仿宋_GB2312"/>
          <w:color w:val="000000" w:themeColor="text1"/>
          <w:sz w:val="32"/>
          <w:szCs w:val="32"/>
          <w:lang w:eastAsia="zh-CN"/>
          <w14:textFill>
            <w14:solidFill>
              <w14:schemeClr w14:val="tx1"/>
            </w14:solidFill>
          </w14:textFill>
        </w:rPr>
        <w:t>推动“</w:t>
      </w:r>
      <w:r>
        <w:rPr>
          <w:rFonts w:hint="eastAsia" w:ascii="仿宋_GB2312" w:eastAsia="仿宋_GB2312" w:cs="仿宋_GB2312"/>
          <w:color w:val="000000" w:themeColor="text1"/>
          <w:sz w:val="32"/>
          <w:szCs w:val="32"/>
          <w14:textFill>
            <w14:solidFill>
              <w14:schemeClr w14:val="tx1"/>
            </w14:solidFill>
          </w14:textFill>
        </w:rPr>
        <w:t>红墙意识</w:t>
      </w:r>
      <w:r>
        <w:rPr>
          <w:rFonts w:hint="eastAsia" w:ascii="仿宋_GB2312" w:eastAsia="仿宋_GB2312" w:cs="仿宋_GB2312"/>
          <w:color w:val="000000" w:themeColor="text1"/>
          <w:sz w:val="32"/>
          <w:szCs w:val="32"/>
          <w:lang w:eastAsia="zh-CN"/>
          <w14:textFill>
            <w14:solidFill>
              <w14:schemeClr w14:val="tx1"/>
            </w14:solidFill>
          </w14:textFill>
        </w:rPr>
        <w:t>”</w:t>
      </w:r>
      <w:r>
        <w:rPr>
          <w:rFonts w:hint="eastAsia" w:ascii="仿宋_GB2312" w:eastAsia="仿宋_GB2312" w:cs="仿宋_GB2312"/>
          <w:color w:val="000000" w:themeColor="text1"/>
          <w:sz w:val="32"/>
          <w:szCs w:val="32"/>
          <w14:textFill>
            <w14:solidFill>
              <w14:schemeClr w14:val="tx1"/>
            </w14:solidFill>
          </w14:textFill>
        </w:rPr>
        <w:t>成为西城青少年最鲜明的精神底色。持续放大</w:t>
      </w:r>
      <w:r>
        <w:rPr>
          <w:rFonts w:hint="eastAsia" w:ascii="仿宋_GB2312" w:eastAsia="仿宋_GB2312" w:cs="仿宋_GB2312"/>
          <w:color w:val="000000" w:themeColor="text1"/>
          <w:sz w:val="32"/>
          <w:szCs w:val="32"/>
          <w:lang w:eastAsia="zh-CN"/>
          <w14:textFill>
            <w14:solidFill>
              <w14:schemeClr w14:val="tx1"/>
            </w14:solidFill>
          </w14:textFill>
        </w:rPr>
        <w:t>“</w:t>
      </w:r>
      <w:r>
        <w:rPr>
          <w:rFonts w:hint="eastAsia" w:ascii="仿宋_GB2312" w:eastAsia="仿宋_GB2312" w:cs="仿宋_GB2312"/>
          <w:color w:val="000000" w:themeColor="text1"/>
          <w:sz w:val="32"/>
          <w:szCs w:val="32"/>
          <w14:textFill>
            <w14:solidFill>
              <w14:schemeClr w14:val="tx1"/>
            </w14:solidFill>
          </w14:textFill>
        </w:rPr>
        <w:t>西城青年之星</w:t>
      </w:r>
      <w:r>
        <w:rPr>
          <w:rFonts w:hint="eastAsia" w:ascii="仿宋_GB2312" w:eastAsia="仿宋_GB2312" w:cs="仿宋_GB2312"/>
          <w:color w:val="000000" w:themeColor="text1"/>
          <w:sz w:val="32"/>
          <w:szCs w:val="32"/>
          <w:lang w:eastAsia="zh-CN"/>
          <w14:textFill>
            <w14:solidFill>
              <w14:schemeClr w14:val="tx1"/>
            </w14:solidFill>
          </w14:textFill>
        </w:rPr>
        <w:t>”</w:t>
      </w:r>
      <w:r>
        <w:rPr>
          <w:rFonts w:hint="eastAsia" w:ascii="仿宋_GB2312" w:eastAsia="仿宋_GB2312" w:cs="仿宋_GB2312"/>
          <w:color w:val="000000" w:themeColor="text1"/>
          <w:sz w:val="32"/>
          <w:szCs w:val="32"/>
          <w14:textFill>
            <w14:solidFill>
              <w14:schemeClr w14:val="tx1"/>
            </w14:solidFill>
          </w14:textFill>
        </w:rPr>
        <w:t>等品牌辐射效应，健全榜样引领育人体系，引导青少年在学习榜样、争当榜样中提升精神境界、涵养道德品质。深化</w:t>
      </w:r>
      <w:r>
        <w:rPr>
          <w:rFonts w:hint="eastAsia" w:ascii="仿宋_GB2312" w:eastAsia="仿宋_GB2312" w:cs="仿宋_GB2312"/>
          <w:color w:val="000000" w:themeColor="text1"/>
          <w:sz w:val="32"/>
          <w:szCs w:val="32"/>
          <w:lang w:eastAsia="zh-CN"/>
          <w14:textFill>
            <w14:solidFill>
              <w14:schemeClr w14:val="tx1"/>
            </w14:solidFill>
          </w14:textFill>
        </w:rPr>
        <w:t>“</w:t>
      </w:r>
      <w:r>
        <w:rPr>
          <w:rFonts w:hint="eastAsia" w:ascii="仿宋_GB2312" w:eastAsia="仿宋_GB2312" w:cs="仿宋_GB2312"/>
          <w:color w:val="000000" w:themeColor="text1"/>
          <w:sz w:val="32"/>
          <w:szCs w:val="32"/>
          <w14:textFill>
            <w14:solidFill>
              <w14:schemeClr w14:val="tx1"/>
            </w14:solidFill>
          </w14:textFill>
        </w:rPr>
        <w:t>大思政课</w:t>
      </w:r>
      <w:r>
        <w:rPr>
          <w:rFonts w:hint="eastAsia" w:ascii="仿宋_GB2312" w:eastAsia="仿宋_GB2312" w:cs="仿宋_GB2312"/>
          <w:color w:val="000000" w:themeColor="text1"/>
          <w:sz w:val="32"/>
          <w:szCs w:val="32"/>
          <w:lang w:eastAsia="zh-CN"/>
          <w14:textFill>
            <w14:solidFill>
              <w14:schemeClr w14:val="tx1"/>
            </w14:solidFill>
          </w14:textFill>
        </w:rPr>
        <w:t>”</w:t>
      </w:r>
      <w:r>
        <w:rPr>
          <w:rFonts w:hint="eastAsia" w:ascii="仿宋_GB2312" w:eastAsia="仿宋_GB2312" w:cs="仿宋_GB2312"/>
          <w:color w:val="000000" w:themeColor="text1"/>
          <w:sz w:val="32"/>
          <w:szCs w:val="32"/>
          <w14:textFill>
            <w14:solidFill>
              <w14:schemeClr w14:val="tx1"/>
            </w14:solidFill>
          </w14:textFill>
        </w:rPr>
        <w:t>和大中小学思政教育一体化建设，依托</w:t>
      </w:r>
      <w:r>
        <w:rPr>
          <w:rFonts w:hint="eastAsia" w:ascii="仿宋_GB2312" w:eastAsia="仿宋_GB2312" w:cs="仿宋_GB2312"/>
          <w:color w:val="000000" w:themeColor="text1"/>
          <w:sz w:val="32"/>
          <w:szCs w:val="32"/>
          <w:lang w:eastAsia="zh-CN"/>
          <w14:textFill>
            <w14:solidFill>
              <w14:schemeClr w14:val="tx1"/>
            </w14:solidFill>
          </w14:textFill>
        </w:rPr>
        <w:t>“红墙边行走的大思政课”</w:t>
      </w:r>
      <w:r>
        <w:rPr>
          <w:rFonts w:hint="eastAsia" w:ascii="仿宋_GB2312" w:eastAsia="仿宋_GB2312" w:cs="仿宋_GB2312"/>
          <w:color w:val="000000" w:themeColor="text1"/>
          <w:sz w:val="32"/>
          <w:szCs w:val="32"/>
          <w:highlight w:val="none"/>
          <w:lang w:eastAsia="zh-CN"/>
          <w14:textFill>
            <w14:solidFill>
              <w14:schemeClr w14:val="tx1"/>
            </w14:solidFill>
          </w14:textFill>
        </w:rPr>
        <w:t>等</w:t>
      </w:r>
      <w:r>
        <w:rPr>
          <w:rFonts w:hint="eastAsia" w:ascii="仿宋_GB2312" w:eastAsia="仿宋_GB2312" w:cs="仿宋_GB2312"/>
          <w:color w:val="000000" w:themeColor="text1"/>
          <w:sz w:val="32"/>
          <w:szCs w:val="32"/>
          <w:lang w:eastAsia="zh-CN"/>
          <w14:textFill>
            <w14:solidFill>
              <w14:schemeClr w14:val="tx1"/>
            </w14:solidFill>
          </w14:textFill>
        </w:rPr>
        <w:t>育人品牌、“</w:t>
      </w:r>
      <w:r>
        <w:rPr>
          <w:rFonts w:hint="eastAsia" w:ascii="仿宋_GB2312" w:eastAsia="仿宋_GB2312" w:cs="仿宋_GB2312"/>
          <w:color w:val="000000" w:themeColor="text1"/>
          <w:sz w:val="32"/>
          <w:szCs w:val="32"/>
          <w14:textFill>
            <w14:solidFill>
              <w14:schemeClr w14:val="tx1"/>
            </w14:solidFill>
          </w14:textFill>
        </w:rPr>
        <w:t>青春红游记</w:t>
      </w:r>
      <w:r>
        <w:rPr>
          <w:rFonts w:hint="eastAsia" w:ascii="仿宋_GB2312" w:eastAsia="仿宋_GB2312" w:cs="仿宋_GB2312"/>
          <w:color w:val="000000" w:themeColor="text1"/>
          <w:sz w:val="32"/>
          <w:szCs w:val="32"/>
          <w:lang w:eastAsia="zh-CN"/>
          <w14:textFill>
            <w14:solidFill>
              <w14:schemeClr w14:val="tx1"/>
            </w14:solidFill>
          </w14:textFill>
        </w:rPr>
        <w:t>”</w:t>
      </w:r>
      <w:r>
        <w:rPr>
          <w:rFonts w:hint="eastAsia" w:ascii="仿宋_GB2312" w:eastAsia="仿宋_GB2312" w:cs="仿宋_GB2312"/>
          <w:color w:val="000000" w:themeColor="text1"/>
          <w:sz w:val="32"/>
          <w:szCs w:val="32"/>
          <w14:textFill>
            <w14:solidFill>
              <w14:schemeClr w14:val="tx1"/>
            </w14:solidFill>
          </w14:textFill>
        </w:rPr>
        <w:t>等项目</w:t>
      </w:r>
      <w:r>
        <w:rPr>
          <w:rFonts w:hint="eastAsia" w:ascii="仿宋_GB2312" w:eastAsia="仿宋_GB2312" w:cs="仿宋_GB2312"/>
          <w:color w:val="000000" w:themeColor="text1"/>
          <w:sz w:val="32"/>
          <w:szCs w:val="32"/>
          <w:lang w:eastAsia="zh-CN"/>
          <w14:textFill>
            <w14:solidFill>
              <w14:schemeClr w14:val="tx1"/>
            </w14:solidFill>
          </w14:textFill>
        </w:rPr>
        <w:t>，</w:t>
      </w:r>
      <w:r>
        <w:rPr>
          <w:rFonts w:hint="eastAsia" w:ascii="仿宋_GB2312" w:eastAsia="仿宋_GB2312" w:cs="仿宋_GB2312"/>
          <w:color w:val="000000" w:themeColor="text1"/>
          <w:sz w:val="32"/>
          <w:szCs w:val="32"/>
          <w14:textFill>
            <w14:solidFill>
              <w14:schemeClr w14:val="tx1"/>
            </w14:solidFill>
          </w14:textFill>
        </w:rPr>
        <w:t>打造具有西城辨识度的思政金课与研学路线。</w:t>
      </w:r>
      <w:r>
        <w:rPr>
          <w:rFonts w:hint="eastAsia" w:ascii="仿宋_GB2312" w:eastAsia="仿宋_GB2312" w:cs="仿宋_GB2312"/>
          <w:color w:val="000000" w:themeColor="text1"/>
          <w:sz w:val="32"/>
          <w:szCs w:val="32"/>
          <w:lang w:eastAsia="zh-CN"/>
          <w14:textFill>
            <w14:solidFill>
              <w14:schemeClr w14:val="tx1"/>
            </w14:solidFill>
          </w14:textFill>
        </w:rPr>
        <w:t>发挥</w:t>
      </w:r>
      <w:r>
        <w:rPr>
          <w:rFonts w:hint="eastAsia" w:ascii="仿宋_GB2312" w:eastAsia="仿宋_GB2312" w:cs="仿宋_GB2312"/>
          <w:color w:val="000000" w:themeColor="text1"/>
          <w:sz w:val="32"/>
          <w:szCs w:val="32"/>
          <w14:textFill>
            <w14:solidFill>
              <w14:schemeClr w14:val="tx1"/>
            </w14:solidFill>
          </w14:textFill>
        </w:rPr>
        <w:t>古都文化、红色文化、京味文化和创新文化</w:t>
      </w:r>
      <w:r>
        <w:rPr>
          <w:rFonts w:hint="eastAsia" w:ascii="仿宋_GB2312" w:eastAsia="仿宋_GB2312" w:cs="仿宋_GB2312"/>
          <w:color w:val="000000" w:themeColor="text1"/>
          <w:sz w:val="32"/>
          <w:szCs w:val="32"/>
          <w:lang w:eastAsia="zh-CN"/>
          <w14:textFill>
            <w14:solidFill>
              <w14:schemeClr w14:val="tx1"/>
            </w14:solidFill>
          </w14:textFill>
        </w:rPr>
        <w:t>等</w:t>
      </w:r>
      <w:r>
        <w:rPr>
          <w:rFonts w:hint="eastAsia" w:ascii="仿宋_GB2312" w:eastAsia="仿宋_GB2312" w:cs="仿宋_GB2312"/>
          <w:color w:val="000000" w:themeColor="text1"/>
          <w:sz w:val="32"/>
          <w:szCs w:val="32"/>
          <w14:textFill>
            <w14:solidFill>
              <w14:schemeClr w14:val="tx1"/>
            </w14:solidFill>
          </w14:textFill>
        </w:rPr>
        <w:t>资源</w:t>
      </w:r>
      <w:r>
        <w:rPr>
          <w:rFonts w:hint="eastAsia" w:ascii="仿宋_GB2312" w:eastAsia="仿宋_GB2312" w:cs="仿宋_GB2312"/>
          <w:color w:val="000000" w:themeColor="text1"/>
          <w:sz w:val="32"/>
          <w:szCs w:val="32"/>
          <w:lang w:eastAsia="zh-CN"/>
          <w14:textFill>
            <w14:solidFill>
              <w14:schemeClr w14:val="tx1"/>
            </w14:solidFill>
          </w14:textFill>
        </w:rPr>
        <w:t>优势</w:t>
      </w:r>
      <w:r>
        <w:rPr>
          <w:rFonts w:hint="eastAsia" w:ascii="仿宋_GB2312" w:eastAsia="仿宋_GB2312" w:cs="仿宋_GB2312"/>
          <w:color w:val="000000" w:themeColor="text1"/>
          <w:sz w:val="32"/>
          <w:szCs w:val="32"/>
          <w14:textFill>
            <w14:solidFill>
              <w14:schemeClr w14:val="tx1"/>
            </w14:solidFill>
          </w14:textFill>
        </w:rPr>
        <w:t>，依托博物馆、纪念馆、科技馆等公共文化空间，构建沉浸式、体验式的青少年文化育人场景，让青少年在文化浸润中厚植家国情怀、汲取精神力量。</w:t>
      </w:r>
    </w:p>
    <w:p>
      <w:pPr>
        <w:pStyle w:val="47"/>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highlight w:val="none"/>
        </w:rPr>
      </w:pPr>
      <w:bookmarkStart w:id="26" w:name="_Toc20762"/>
      <w:bookmarkStart w:id="27" w:name="_Toc29852"/>
      <w:bookmarkStart w:id="28" w:name="_Toc30623"/>
      <w:r>
        <w:rPr>
          <w:rFonts w:hint="eastAsia"/>
          <w:highlight w:val="none"/>
          <w:lang w:eastAsia="zh-CN"/>
        </w:rPr>
        <w:t>增强网络思想引领实效</w:t>
      </w:r>
      <w:bookmarkEnd w:id="26"/>
      <w:bookmarkEnd w:id="27"/>
      <w:bookmarkEnd w:id="28"/>
    </w:p>
    <w:p>
      <w:pPr>
        <w:pStyle w:val="48"/>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lang w:val="en-US" w:eastAsia="zh-CN"/>
        </w:rPr>
      </w:pPr>
      <w:bookmarkStart w:id="29" w:name="_Toc1891715553"/>
      <w:bookmarkStart w:id="30" w:name="_Toc9407"/>
      <w:bookmarkStart w:id="31" w:name="_Toc24757"/>
      <w:bookmarkStart w:id="32" w:name="_Toc32456"/>
      <w:bookmarkStart w:id="33" w:name="_Toc1917"/>
      <w:bookmarkStart w:id="34" w:name="_Toc9214"/>
      <w:bookmarkStart w:id="35" w:name="_Toc18484"/>
      <w:bookmarkStart w:id="36" w:name="_Toc30186"/>
      <w:r>
        <w:rPr>
          <w:rFonts w:hint="eastAsia"/>
          <w:lang w:val="en-US" w:eastAsia="zh-CN"/>
        </w:rPr>
        <w:t>建强“青春西城”全媒体矩阵，加强团属网络阵地建设，联合主流媒体形成传播合力。聚焦青少年认知特点和接受习惯，策划推出一批思想精深、形式新颖的融媒体产品，生动讲好西城青年奋斗故事，唱响主旋律、传播正能量。推动线上线下融合互动，打造具有区域影响力的青少年网络文化品牌，加快建设网络文明实践阵地。常态化开展青少年网络素养教育，引导青少年在纷繁复杂的网络信息中保持清醒头脑、坚定立场方向。</w:t>
      </w:r>
    </w:p>
    <w:p>
      <w:pPr>
        <w:pStyle w:val="46"/>
        <w:keepNext w:val="0"/>
        <w:keepLines w:val="0"/>
        <w:pageBreakBefore w:val="0"/>
        <w:numPr>
          <w:ilvl w:val="0"/>
          <w:numId w:val="2"/>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color w:val="000000" w:themeColor="text1"/>
          <w14:textFill>
            <w14:solidFill>
              <w14:schemeClr w14:val="tx1"/>
            </w14:solidFill>
          </w14:textFill>
        </w:rPr>
      </w:pPr>
      <w:bookmarkStart w:id="37" w:name="_Toc945"/>
      <w:bookmarkStart w:id="38" w:name="_Toc9413"/>
      <w:bookmarkStart w:id="39" w:name="_Toc2098"/>
      <w:r>
        <w:rPr>
          <w:rFonts w:hint="eastAsia"/>
          <w:color w:val="000000" w:themeColor="text1"/>
          <w14:textFill>
            <w14:solidFill>
              <w14:schemeClr w14:val="tx1"/>
            </w14:solidFill>
          </w14:textFill>
        </w:rPr>
        <w:t>促进青少年健康成长和全面发展</w:t>
      </w:r>
      <w:bookmarkEnd w:id="29"/>
      <w:bookmarkEnd w:id="30"/>
      <w:bookmarkEnd w:id="31"/>
      <w:bookmarkEnd w:id="32"/>
      <w:bookmarkEnd w:id="33"/>
      <w:bookmarkEnd w:id="34"/>
      <w:bookmarkEnd w:id="35"/>
      <w:bookmarkEnd w:id="36"/>
      <w:bookmarkEnd w:id="37"/>
      <w:bookmarkEnd w:id="38"/>
      <w:bookmarkEnd w:id="39"/>
    </w:p>
    <w:p>
      <w:pPr>
        <w:pStyle w:val="48"/>
        <w:bidi w:val="0"/>
        <w:rPr>
          <w:rFonts w:hint="eastAsia"/>
          <w:lang w:val="en-US" w:eastAsia="zh-CN"/>
        </w:rPr>
      </w:pPr>
      <w:bookmarkStart w:id="40" w:name="_Toc22005"/>
      <w:bookmarkStart w:id="41" w:name="_Toc12883"/>
      <w:r>
        <w:rPr>
          <w:rFonts w:hint="eastAsia"/>
          <w:lang w:val="en-US" w:eastAsia="zh-CN"/>
        </w:rPr>
        <w:t>坚持首善标准</w:t>
      </w:r>
      <w:r>
        <w:rPr>
          <w:rFonts w:hint="eastAsia"/>
          <w:highlight w:val="none"/>
          <w:lang w:val="en-US" w:eastAsia="zh-CN"/>
        </w:rPr>
        <w:t>，实施“心情计划”青少年身心健康促进工程、“创新跃动”青少年成长成才培育工程，赋</w:t>
      </w:r>
      <w:r>
        <w:rPr>
          <w:rFonts w:hint="eastAsia"/>
          <w:lang w:val="en-US" w:eastAsia="zh-CN"/>
        </w:rPr>
        <w:t>能西城青少年在身心强健中积蓄底气、在全面发展中拓宽赛道、在创新探索中迸发活力。</w:t>
      </w:r>
      <w:bookmarkEnd w:id="40"/>
      <w:bookmarkEnd w:id="41"/>
    </w:p>
    <w:p>
      <w:pPr>
        <w:pStyle w:val="47"/>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rPr>
      </w:pPr>
      <w:bookmarkStart w:id="42" w:name="_Toc13082"/>
      <w:bookmarkStart w:id="43" w:name="_Toc22284"/>
      <w:bookmarkStart w:id="44" w:name="_Toc29747"/>
      <w:r>
        <w:rPr>
          <w:rFonts w:hint="eastAsia"/>
        </w:rPr>
        <w:t>增强</w:t>
      </w:r>
      <w:r>
        <w:rPr>
          <w:rFonts w:hint="eastAsia"/>
          <w:lang w:eastAsia="zh-CN"/>
        </w:rPr>
        <w:t>身体健康</w:t>
      </w:r>
      <w:r>
        <w:rPr>
          <w:rFonts w:hint="eastAsia"/>
        </w:rPr>
        <w:t>素质</w:t>
      </w:r>
      <w:bookmarkEnd w:id="42"/>
      <w:bookmarkEnd w:id="43"/>
      <w:bookmarkEnd w:id="44"/>
    </w:p>
    <w:p>
      <w:pPr>
        <w:pStyle w:val="48"/>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color w:val="000000" w:themeColor="text1"/>
          <w:highlight w:val="none"/>
          <w:u w:val="no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牢固树立健康第一的教育理</w:t>
      </w:r>
      <w:r>
        <w:rPr>
          <w:rFonts w:hint="eastAsia"/>
          <w:color w:val="000000" w:themeColor="text1"/>
          <w:highlight w:val="none"/>
          <w:u w:val="none"/>
          <w:lang w:val="en-US" w:eastAsia="zh-CN"/>
          <w14:textFill>
            <w14:solidFill>
              <w14:schemeClr w14:val="tx1"/>
            </w14:solidFill>
          </w14:textFill>
        </w:rPr>
        <w:t>念，</w:t>
      </w:r>
      <w:r>
        <w:rPr>
          <w:rFonts w:hint="eastAsia" w:ascii="仿宋_GB2312" w:hAnsi="仿宋_GB2312" w:eastAsia="仿宋_GB2312" w:cs="仿宋_GB2312"/>
          <w:sz w:val="32"/>
          <w:szCs w:val="32"/>
          <w:highlight w:val="none"/>
          <w:u w:val="none"/>
        </w:rPr>
        <w:t>健全医校协同、卫体融合、家校共育、社会共治工作机制</w:t>
      </w:r>
      <w:r>
        <w:rPr>
          <w:rFonts w:hint="eastAsia" w:ascii="仿宋_GB2312" w:hAnsi="仿宋_GB2312" w:cs="仿宋_GB2312"/>
          <w:sz w:val="32"/>
          <w:szCs w:val="32"/>
          <w:highlight w:val="none"/>
          <w:u w:val="none"/>
          <w:lang w:eastAsia="zh-CN"/>
        </w:rPr>
        <w:t>，推动健康服务从校园向全社会延伸、从中小学生向全体青少年覆盖</w:t>
      </w:r>
      <w:r>
        <w:rPr>
          <w:rFonts w:hint="eastAsia" w:ascii="仿宋_GB2312" w:hAnsi="仿宋_GB2312" w:eastAsia="仿宋_GB2312" w:cs="仿宋_GB2312"/>
          <w:sz w:val="32"/>
          <w:szCs w:val="32"/>
          <w:highlight w:val="none"/>
          <w:u w:val="none"/>
          <w:lang w:eastAsia="zh-CN"/>
        </w:rPr>
        <w:t>。</w:t>
      </w:r>
      <w:r>
        <w:rPr>
          <w:rFonts w:hint="eastAsia"/>
          <w:color w:val="000000" w:themeColor="text1"/>
          <w:highlight w:val="none"/>
          <w:u w:val="none"/>
          <w:lang w:val="en-US" w:eastAsia="zh-CN"/>
          <w14:textFill>
            <w14:solidFill>
              <w14:schemeClr w14:val="tx1"/>
            </w14:solidFill>
          </w14:textFill>
        </w:rPr>
        <w:t>聚焦“四小”问题精准施策，</w:t>
      </w:r>
      <w:r>
        <w:rPr>
          <w:rFonts w:hint="eastAsia" w:ascii="仿宋_GB2312" w:eastAsia="仿宋_GB2312"/>
          <w:bCs/>
          <w:sz w:val="32"/>
          <w:szCs w:val="32"/>
          <w:highlight w:val="none"/>
          <w:u w:val="none"/>
        </w:rPr>
        <w:t>重点监测近视、肥胖、脊柱健康等问题</w:t>
      </w:r>
      <w:r>
        <w:rPr>
          <w:rFonts w:hint="eastAsia"/>
          <w:color w:val="000000" w:themeColor="text1"/>
          <w:highlight w:val="none"/>
          <w:u w:val="none"/>
          <w:lang w:val="en-US" w:eastAsia="zh-CN"/>
          <w14:textFill>
            <w14:solidFill>
              <w14:schemeClr w14:val="tx1"/>
            </w14:solidFill>
          </w14:textFill>
        </w:rPr>
        <w:t>。深入推进“首善体育·跃动校园”建设，严格落实学生体育锻炼标准，确保中小学生每天综合体育活动时间不低于2小时。加强美育和劳动教育，促进青少年德智体美劳全面协调发展。</w:t>
      </w:r>
      <w:r>
        <w:rPr>
          <w:rFonts w:hint="eastAsia" w:ascii="仿宋_GB2312" w:hAnsi="仿宋_GB2312" w:cs="仿宋_GB2312"/>
          <w:sz w:val="32"/>
          <w:szCs w:val="32"/>
          <w:highlight w:val="none"/>
          <w:u w:val="none"/>
          <w:lang w:eastAsia="zh-CN"/>
        </w:rPr>
        <w:t>积极</w:t>
      </w:r>
      <w:r>
        <w:rPr>
          <w:rFonts w:hint="eastAsia" w:ascii="仿宋_GB2312" w:hAnsi="仿宋_GB2312" w:eastAsia="仿宋_GB2312" w:cs="仿宋_GB2312"/>
          <w:sz w:val="32"/>
          <w:szCs w:val="32"/>
          <w:highlight w:val="none"/>
          <w:u w:val="none"/>
        </w:rPr>
        <w:t>推进健康企业建设，加强科普宣教，</w:t>
      </w:r>
      <w:r>
        <w:rPr>
          <w:rFonts w:hint="eastAsia" w:ascii="仿宋_GB2312" w:hAnsi="仿宋_GB2312" w:cs="仿宋_GB2312"/>
          <w:sz w:val="32"/>
          <w:szCs w:val="32"/>
          <w:highlight w:val="none"/>
          <w:u w:val="none"/>
          <w:lang w:eastAsia="zh-CN"/>
        </w:rPr>
        <w:t>不断</w:t>
      </w:r>
      <w:r>
        <w:rPr>
          <w:rFonts w:hint="eastAsia" w:ascii="仿宋_GB2312" w:hAnsi="仿宋_GB2312" w:eastAsia="仿宋_GB2312" w:cs="仿宋_GB2312"/>
          <w:sz w:val="32"/>
          <w:szCs w:val="32"/>
          <w:highlight w:val="none"/>
          <w:u w:val="none"/>
        </w:rPr>
        <w:t>提升</w:t>
      </w:r>
      <w:r>
        <w:rPr>
          <w:rFonts w:hint="eastAsia" w:ascii="仿宋_GB2312" w:hAnsi="仿宋_GB2312" w:cs="仿宋_GB2312"/>
          <w:sz w:val="32"/>
          <w:szCs w:val="32"/>
          <w:highlight w:val="none"/>
          <w:u w:val="none"/>
          <w:lang w:eastAsia="zh-CN"/>
        </w:rPr>
        <w:t>青年</w:t>
      </w:r>
      <w:r>
        <w:rPr>
          <w:rFonts w:hint="eastAsia" w:ascii="仿宋_GB2312" w:hAnsi="仿宋_GB2312" w:eastAsia="仿宋_GB2312" w:cs="仿宋_GB2312"/>
          <w:sz w:val="32"/>
          <w:szCs w:val="32"/>
          <w:highlight w:val="none"/>
          <w:u w:val="none"/>
        </w:rPr>
        <w:t>劳动者健康防护能力。</w:t>
      </w:r>
    </w:p>
    <w:p>
      <w:pPr>
        <w:pStyle w:val="47"/>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highlight w:val="none"/>
        </w:rPr>
      </w:pPr>
      <w:bookmarkStart w:id="45" w:name="_Toc25990"/>
      <w:bookmarkStart w:id="46" w:name="_Toc10660"/>
      <w:bookmarkStart w:id="47" w:name="_Toc22770"/>
      <w:r>
        <w:rPr>
          <w:rFonts w:hint="eastAsia"/>
          <w:highlight w:val="none"/>
          <w:lang w:eastAsia="zh-CN"/>
        </w:rPr>
        <w:t>提升</w:t>
      </w:r>
      <w:r>
        <w:rPr>
          <w:rFonts w:hint="eastAsia"/>
          <w:highlight w:val="none"/>
        </w:rPr>
        <w:t>心理健康水平</w:t>
      </w:r>
      <w:bookmarkEnd w:id="45"/>
      <w:bookmarkEnd w:id="46"/>
      <w:bookmarkEnd w:id="47"/>
    </w:p>
    <w:p>
      <w:pPr>
        <w:pStyle w:val="13"/>
        <w:keepNext w:val="0"/>
        <w:keepLines w:val="0"/>
        <w:pageBreakBefore w:val="0"/>
        <w:kinsoku/>
        <w:wordWrap/>
        <w:overflowPunct/>
        <w:topLinePunct w:val="0"/>
        <w:autoSpaceDE/>
        <w:autoSpaceDN/>
        <w:bidi w:val="0"/>
        <w:adjustRightInd w:val="0"/>
        <w:snapToGrid w:val="0"/>
        <w:spacing w:after="0" w:line="560" w:lineRule="exact"/>
        <w:ind w:left="0" w:leftChars="0" w:firstLine="640" w:firstLineChars="200"/>
        <w:textAlignment w:val="auto"/>
        <w:rPr>
          <w:rFonts w:hint="eastAsia"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坚持预防为主、教育先行，系统构建家校社协同育人的心理健康教育机制</w:t>
      </w:r>
      <w:r>
        <w:rPr>
          <w:rFonts w:hint="eastAsia" w:ascii="仿宋_GB2312" w:eastAsia="仿宋_GB2312" w:cs="仿宋_GB2312"/>
          <w:color w:val="000000" w:themeColor="text1"/>
          <w:sz w:val="32"/>
          <w:szCs w:val="32"/>
          <w:highlight w:val="none"/>
          <w:u w:val="none"/>
          <w14:textFill>
            <w14:solidFill>
              <w14:schemeClr w14:val="tx1"/>
            </w14:solidFill>
          </w14:textFill>
        </w:rPr>
        <w:t>。深入推进“阳光心理行动”，持续打造“儿童青少年心理健康讲坛”“西听心语”等品牌，依托区级“一心五核N联动”服务网络，推动心理健康服务进校园、进社区、进家庭。强化区域心理援助热线与市级“12355”平台联动协作，</w:t>
      </w:r>
      <w:r>
        <w:rPr>
          <w:rFonts w:hint="eastAsia" w:ascii="仿宋_GB2312" w:eastAsia="仿宋_GB2312" w:cs="仿宋_GB2312"/>
          <w:color w:val="000000" w:themeColor="text1"/>
          <w:sz w:val="32"/>
          <w:szCs w:val="32"/>
          <w:highlight w:val="none"/>
          <w:u w:val="none"/>
          <w:lang w:eastAsia="zh-CN"/>
          <w14:textFill>
            <w14:solidFill>
              <w14:schemeClr w14:val="tx1"/>
            </w14:solidFill>
          </w14:textFill>
        </w:rPr>
        <w:t>统筹</w:t>
      </w:r>
      <w:r>
        <w:rPr>
          <w:rFonts w:hint="eastAsia" w:ascii="仿宋_GB2312" w:eastAsia="仿宋_GB2312" w:cs="仿宋_GB2312"/>
          <w:color w:val="000000" w:themeColor="text1"/>
          <w:sz w:val="32"/>
          <w:szCs w:val="32"/>
          <w:highlight w:val="none"/>
          <w:u w:val="none"/>
          <w14:textFill>
            <w14:solidFill>
              <w14:schemeClr w14:val="tx1"/>
            </w14:solidFill>
          </w14:textFill>
        </w:rPr>
        <w:t>专业机构和社会力量资源，提供及时有效的心理咨询和危机干预服务。</w:t>
      </w:r>
      <w:r>
        <w:rPr>
          <w:rFonts w:hint="eastAsia" w:ascii="仿宋_GB2312" w:hAnsi="仿宋_GB2312" w:eastAsia="仿宋_GB2312" w:cs="仿宋_GB2312"/>
          <w:sz w:val="32"/>
          <w:szCs w:val="32"/>
          <w:highlight w:val="none"/>
          <w:u w:val="none"/>
        </w:rPr>
        <w:t>聚焦金融</w:t>
      </w:r>
      <w:r>
        <w:rPr>
          <w:rFonts w:hint="eastAsia" w:ascii="仿宋_GB2312" w:hAnsi="仿宋_GB2312" w:eastAsia="仿宋_GB2312" w:cs="仿宋_GB2312"/>
          <w:sz w:val="32"/>
          <w:szCs w:val="32"/>
          <w:highlight w:val="none"/>
          <w:u w:val="none"/>
          <w:lang w:eastAsia="zh-CN"/>
        </w:rPr>
        <w:t>青年</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u w:val="none"/>
          <w:lang w:eastAsia="zh-CN"/>
        </w:rPr>
        <w:t>新兴领域青年等在职青年</w:t>
      </w:r>
      <w:r>
        <w:rPr>
          <w:rFonts w:hint="eastAsia" w:ascii="仿宋_GB2312" w:hAnsi="仿宋_GB2312" w:eastAsia="仿宋_GB2312" w:cs="仿宋_GB2312"/>
          <w:sz w:val="32"/>
          <w:szCs w:val="32"/>
          <w:highlight w:val="none"/>
          <w:u w:val="none"/>
        </w:rPr>
        <w:t>，健全职业心理紧张等工作相关疾病防控策略，</w:t>
      </w:r>
      <w:r>
        <w:rPr>
          <w:rFonts w:hint="eastAsia" w:ascii="仿宋_GB2312" w:hAnsi="仿宋_GB2312" w:eastAsia="仿宋_GB2312" w:cs="仿宋_GB2312"/>
          <w:sz w:val="32"/>
          <w:szCs w:val="32"/>
          <w:highlight w:val="none"/>
          <w:u w:val="none"/>
          <w:lang w:eastAsia="zh-CN"/>
        </w:rPr>
        <w:t>积极</w:t>
      </w:r>
      <w:r>
        <w:rPr>
          <w:rFonts w:hint="eastAsia" w:ascii="仿宋_GB2312" w:hAnsi="仿宋_GB2312" w:eastAsia="仿宋_GB2312" w:cs="仿宋_GB2312"/>
          <w:sz w:val="32"/>
          <w:szCs w:val="32"/>
          <w:highlight w:val="none"/>
          <w:u w:val="none"/>
        </w:rPr>
        <w:t>落实健康干预措施。</w:t>
      </w:r>
      <w:r>
        <w:rPr>
          <w:rFonts w:hint="eastAsia" w:ascii="仿宋_GB2312" w:eastAsia="仿宋_GB2312" w:cs="仿宋_GB2312"/>
          <w:color w:val="000000" w:themeColor="text1"/>
          <w:sz w:val="32"/>
          <w:szCs w:val="32"/>
          <w:highlight w:val="none"/>
          <w:u w:val="none"/>
          <w14:textFill>
            <w14:solidFill>
              <w14:schemeClr w14:val="tx1"/>
            </w14:solidFill>
          </w14:textFill>
        </w:rPr>
        <w:t>注</w:t>
      </w:r>
      <w:r>
        <w:rPr>
          <w:rFonts w:hint="eastAsia" w:ascii="仿宋_GB2312" w:eastAsia="仿宋_GB2312" w:cs="仿宋_GB2312"/>
          <w:color w:val="000000" w:themeColor="text1"/>
          <w:sz w:val="32"/>
          <w:szCs w:val="32"/>
          <w14:textFill>
            <w14:solidFill>
              <w14:schemeClr w14:val="tx1"/>
            </w14:solidFill>
          </w14:textFill>
        </w:rPr>
        <w:t>重培育自尊自信、理性平和、积极向上的心理品质，引导</w:t>
      </w:r>
      <w:r>
        <w:rPr>
          <w:rFonts w:hint="eastAsia" w:ascii="仿宋_GB2312" w:eastAsia="仿宋_GB2312" w:cs="仿宋_GB2312"/>
          <w:color w:val="000000" w:themeColor="text1"/>
          <w:sz w:val="32"/>
          <w:szCs w:val="32"/>
          <w:lang w:eastAsia="zh-CN"/>
          <w14:textFill>
            <w14:solidFill>
              <w14:schemeClr w14:val="tx1"/>
            </w14:solidFill>
          </w14:textFill>
        </w:rPr>
        <w:t>青少年</w:t>
      </w:r>
      <w:r>
        <w:rPr>
          <w:rFonts w:hint="eastAsia" w:ascii="仿宋_GB2312" w:eastAsia="仿宋_GB2312" w:cs="仿宋_GB2312"/>
          <w:color w:val="000000" w:themeColor="text1"/>
          <w:sz w:val="32"/>
          <w:szCs w:val="32"/>
          <w14:textFill>
            <w14:solidFill>
              <w14:schemeClr w14:val="tx1"/>
            </w14:solidFill>
          </w14:textFill>
        </w:rPr>
        <w:t>正确面对学业压力、人际交往和成长困惑，提升心理调适和抗压能力。</w:t>
      </w:r>
    </w:p>
    <w:p>
      <w:pPr>
        <w:pStyle w:val="47"/>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rPr>
      </w:pPr>
      <w:bookmarkStart w:id="48" w:name="_Toc30203"/>
      <w:bookmarkStart w:id="49" w:name="_Toc32352"/>
      <w:bookmarkStart w:id="50" w:name="_Toc8321"/>
      <w:r>
        <w:rPr>
          <w:rFonts w:hint="eastAsia"/>
        </w:rPr>
        <w:t>厚植科学素养根基</w:t>
      </w:r>
      <w:bookmarkEnd w:id="48"/>
      <w:bookmarkEnd w:id="49"/>
      <w:bookmarkEnd w:id="50"/>
    </w:p>
    <w:p>
      <w:pPr>
        <w:pStyle w:val="13"/>
        <w:keepNext w:val="0"/>
        <w:keepLines w:val="0"/>
        <w:pageBreakBefore w:val="0"/>
        <w:widowControl w:val="0"/>
        <w:shd w:val="clear"/>
        <w:kinsoku/>
        <w:wordWrap/>
        <w:overflowPunct/>
        <w:topLinePunct w:val="0"/>
        <w:autoSpaceDE/>
        <w:autoSpaceDN/>
        <w:bidi w:val="0"/>
        <w:adjustRightInd w:val="0"/>
        <w:snapToGrid w:val="0"/>
        <w:spacing w:after="0" w:line="560" w:lineRule="exact"/>
        <w:ind w:left="0" w:leftChars="0" w:firstLine="640" w:firstLineChars="200"/>
        <w:textAlignment w:val="auto"/>
        <w:rPr>
          <w:rFonts w:hint="eastAsia"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完善以学校</w:t>
      </w:r>
      <w:r>
        <w:rPr>
          <w:rFonts w:hint="eastAsia" w:ascii="仿宋_GB2312" w:eastAsia="仿宋_GB2312" w:cs="仿宋_GB2312"/>
          <w:color w:val="000000" w:themeColor="text1"/>
          <w:sz w:val="32"/>
          <w:szCs w:val="32"/>
          <w:lang w:eastAsia="zh-CN"/>
          <w14:textFill>
            <w14:solidFill>
              <w14:schemeClr w14:val="tx1"/>
            </w14:solidFill>
          </w14:textFill>
        </w:rPr>
        <w:t>教育</w:t>
      </w:r>
      <w:r>
        <w:rPr>
          <w:rFonts w:hint="eastAsia" w:ascii="仿宋_GB2312" w:eastAsia="仿宋_GB2312" w:cs="仿宋_GB2312"/>
          <w:color w:val="000000" w:themeColor="text1"/>
          <w:sz w:val="32"/>
          <w:szCs w:val="32"/>
          <w14:textFill>
            <w14:solidFill>
              <w14:schemeClr w14:val="tx1"/>
            </w14:solidFill>
          </w14:textFill>
        </w:rPr>
        <w:t>为主的科学素养培育体系，推动科学教育与课堂教学深度融合。贯彻实施中小学生创新能力培育提升计划，搭建科教协同育人平台，推进“百名院士专家进校园”行动，建立“科学辅导员”入校结对机制。加强人工智能启蒙教育和数字素养培育，帮助青少年适应数智时代发展需求。依托科技竞赛、科学节等载体，激发青少年科学兴趣和创新潜能。推动</w:t>
      </w:r>
      <w:r>
        <w:rPr>
          <w:rFonts w:hint="eastAsia" w:ascii="仿宋_GB2312" w:eastAsia="仿宋_GB2312" w:cs="仿宋_GB2312"/>
          <w:color w:val="000000" w:themeColor="text1"/>
          <w:sz w:val="32"/>
          <w:szCs w:val="32"/>
          <w:lang w:val="en-US" w:eastAsia="zh-CN"/>
          <w14:textFill>
            <w14:solidFill>
              <w14:schemeClr w14:val="tx1"/>
            </w14:solidFill>
          </w14:textFill>
        </w:rPr>
        <w:t>各类</w:t>
      </w:r>
      <w:r>
        <w:rPr>
          <w:rFonts w:hint="eastAsia" w:ascii="仿宋_GB2312" w:eastAsia="仿宋_GB2312" w:cs="仿宋_GB2312"/>
          <w:color w:val="000000" w:themeColor="text1"/>
          <w:sz w:val="32"/>
          <w:szCs w:val="32"/>
          <w14:textFill>
            <w14:solidFill>
              <w14:schemeClr w14:val="tx1"/>
            </w14:solidFill>
          </w14:textFill>
        </w:rPr>
        <w:t>科技</w:t>
      </w:r>
      <w:r>
        <w:rPr>
          <w:rFonts w:hint="eastAsia" w:ascii="仿宋_GB2312" w:eastAsia="仿宋_GB2312" w:cs="仿宋_GB2312"/>
          <w:color w:val="000000" w:themeColor="text1"/>
          <w:sz w:val="32"/>
          <w:szCs w:val="32"/>
          <w:lang w:val="en-US" w:eastAsia="zh-CN"/>
          <w14:textFill>
            <w14:solidFill>
              <w14:schemeClr w14:val="tx1"/>
            </w14:solidFill>
          </w14:textFill>
        </w:rPr>
        <w:t>场</w:t>
      </w:r>
      <w:r>
        <w:rPr>
          <w:rFonts w:hint="eastAsia" w:ascii="仿宋_GB2312" w:eastAsia="仿宋_GB2312" w:cs="仿宋_GB2312"/>
          <w:color w:val="000000" w:themeColor="text1"/>
          <w:sz w:val="32"/>
          <w:szCs w:val="32"/>
          <w14:textFill>
            <w14:solidFill>
              <w14:schemeClr w14:val="tx1"/>
            </w14:solidFill>
          </w14:textFill>
        </w:rPr>
        <w:t>馆与学校深度合作，构建具有西城特色的科学教育资源体系。</w:t>
      </w:r>
    </w:p>
    <w:p>
      <w:pPr>
        <w:pStyle w:val="47"/>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lang w:val="en-US" w:eastAsia="zh-CN"/>
        </w:rPr>
      </w:pPr>
      <w:bookmarkStart w:id="51" w:name="_Toc18948"/>
      <w:bookmarkStart w:id="52" w:name="_Toc28577"/>
      <w:bookmarkStart w:id="53" w:name="_Toc12073"/>
      <w:r>
        <w:rPr>
          <w:rFonts w:hint="eastAsia"/>
          <w:lang w:val="en-US" w:eastAsia="zh-CN"/>
        </w:rPr>
        <w:t>优化教育资源供给</w:t>
      </w:r>
      <w:bookmarkEnd w:id="51"/>
      <w:bookmarkEnd w:id="52"/>
      <w:bookmarkEnd w:id="53"/>
    </w:p>
    <w:p>
      <w:pPr>
        <w:pStyle w:val="1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统筹教育资源配置，建立与人口变化相适应的教育供给机制。深化学区制、集团化办学，持续推进“小而精”“小而美”特色学校建设，</w:t>
      </w: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不断</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扩大优质教育资源覆盖面，保障青少年公平享有高质量义务教育。发挥青少年活动中心、科技馆等校外阵地功能，</w:t>
      </w:r>
      <w:r>
        <w:rPr>
          <w:rFonts w:hint="eastAsia" w:ascii="仿宋_GB2312" w:eastAsia="仿宋_GB2312" w:cs="仿宋_GB2312"/>
          <w:color w:val="000000" w:themeColor="text1"/>
          <w:kern w:val="2"/>
          <w:sz w:val="32"/>
          <w:szCs w:val="32"/>
          <w:highlight w:val="none"/>
          <w:lang w:val="en-US" w:eastAsia="zh-CN" w:bidi="ar-SA"/>
          <w14:textFill>
            <w14:solidFill>
              <w14:schemeClr w14:val="tx1"/>
            </w14:solidFill>
          </w14:textFill>
        </w:rPr>
        <w:t>依托</w:t>
      </w:r>
      <w:r>
        <w:rPr>
          <w:rFonts w:hint="eastAsia" w:ascii="仿宋_GB2312" w:hAnsi="Times New Roman" w:eastAsia="仿宋_GB2312" w:cs="仿宋_GB2312"/>
          <w:color w:val="000000" w:themeColor="text1"/>
          <w:kern w:val="2"/>
          <w:sz w:val="32"/>
          <w:szCs w:val="32"/>
          <w:highlight w:val="none"/>
          <w:lang w:val="en-US" w:eastAsia="zh-CN" w:bidi="ar-SA"/>
          <w14:textFill>
            <w14:solidFill>
              <w14:schemeClr w14:val="tx1"/>
            </w14:solidFill>
          </w14:textFill>
        </w:rPr>
        <w:t>“西城青年夜校”</w:t>
      </w:r>
      <w:r>
        <w:rPr>
          <w:rFonts w:hint="eastAsia" w:ascii="仿宋_GB2312" w:eastAsia="仿宋_GB2312" w:cs="仿宋_GB2312"/>
          <w:color w:val="000000" w:themeColor="text1"/>
          <w:kern w:val="2"/>
          <w:sz w:val="32"/>
          <w:szCs w:val="32"/>
          <w:highlight w:val="none"/>
          <w:lang w:val="en-US" w:eastAsia="zh-CN" w:bidi="ar-SA"/>
          <w14:textFill>
            <w14:solidFill>
              <w14:schemeClr w14:val="tx1"/>
            </w14:solidFill>
          </w14:textFill>
        </w:rPr>
        <w:t>等品牌</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，围绕青年职业发展、技能提升等需求开设实用课程</w:t>
      </w: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完善终身学习服务体系，推动学习型城区建设向纵深发展。</w:t>
      </w:r>
    </w:p>
    <w:p>
      <w:pPr>
        <w:pStyle w:val="47"/>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lang w:val="en-US" w:eastAsia="zh-CN"/>
        </w:rPr>
      </w:pPr>
      <w:bookmarkStart w:id="54" w:name="_Toc26013"/>
      <w:bookmarkStart w:id="55" w:name="_Toc17389"/>
      <w:bookmarkStart w:id="56" w:name="_Toc11239"/>
      <w:r>
        <w:rPr>
          <w:rFonts w:hint="eastAsia"/>
          <w:lang w:val="en-US" w:eastAsia="zh-CN"/>
        </w:rPr>
        <w:t>营造创新友好环境</w:t>
      </w:r>
      <w:bookmarkEnd w:id="54"/>
      <w:bookmarkEnd w:id="55"/>
      <w:bookmarkEnd w:id="56"/>
    </w:p>
    <w:p>
      <w:pPr>
        <w:pStyle w:val="1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构建开放包容的创新生态，营造鼓励探索、宽容失败的社会氛围</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，厚植青少年创新创造沃土。发挥“西引力·青创场”等平台示范效应，在政策支撑、空间保障、资源对接等关键环节精准发力，</w:t>
      </w: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推动</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降低青年创新创业门槛。探索打造青年OPC社区，为青年创业者提供低成本、便利化的办公与服务平台。以“西融计划”为牵引，完善青年人才引进、培育、服务全链条政策体系，</w:t>
      </w: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不断</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集聚高层次青年创新人才。发挥“科创十二条”“数产十条”等产业政策效应，为青年科创项目提供从技术攻关到市场拓展的全周期保障。推动产学研用深度融合，为青年在西城“1+3+2”现代化产业体系建设中施展才华</w:t>
      </w: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搭建平台、创造条件。</w:t>
      </w:r>
    </w:p>
    <w:bookmarkEnd w:id="22"/>
    <w:p>
      <w:pPr>
        <w:pStyle w:val="46"/>
        <w:keepNext w:val="0"/>
        <w:keepLines w:val="0"/>
        <w:pageBreakBefore w:val="0"/>
        <w:numPr>
          <w:ilvl w:val="0"/>
          <w:numId w:val="2"/>
        </w:numP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color w:val="000000" w:themeColor="text1"/>
          <w:lang w:val="en-US" w:eastAsia="zh-CN"/>
          <w14:textFill>
            <w14:solidFill>
              <w14:schemeClr w14:val="tx1"/>
            </w14:solidFill>
          </w14:textFill>
        </w:rPr>
      </w:pPr>
      <w:bookmarkStart w:id="57" w:name="_Toc2546"/>
      <w:bookmarkStart w:id="58" w:name="_Toc32253"/>
      <w:bookmarkStart w:id="59" w:name="_Toc31754"/>
      <w:bookmarkStart w:id="60" w:name="_Toc10305"/>
      <w:bookmarkStart w:id="61" w:name="_Toc11693"/>
      <w:bookmarkStart w:id="62" w:name="_Toc8346"/>
      <w:bookmarkStart w:id="63" w:name="_Toc1129"/>
      <w:bookmarkStart w:id="64" w:name="_Toc5092"/>
      <w:bookmarkStart w:id="65" w:name="_Toc10449"/>
      <w:bookmarkStart w:id="66" w:name="_Toc303748647"/>
      <w:bookmarkStart w:id="67" w:name="_Toc29753"/>
      <w:r>
        <w:rPr>
          <w:rFonts w:hint="eastAsia"/>
          <w:color w:val="000000" w:themeColor="text1"/>
          <w:lang w:val="en-US" w:eastAsia="zh-CN"/>
          <w14:textFill>
            <w14:solidFill>
              <w14:schemeClr w14:val="tx1"/>
            </w14:solidFill>
          </w14:textFill>
        </w:rPr>
        <w:t>激励</w:t>
      </w:r>
      <w:r>
        <w:rPr>
          <w:rFonts w:hint="eastAsia"/>
          <w:color w:val="000000" w:themeColor="text1"/>
          <w14:textFill>
            <w14:solidFill>
              <w14:schemeClr w14:val="tx1"/>
            </w14:solidFill>
          </w14:textFill>
        </w:rPr>
        <w:t>青少年</w:t>
      </w:r>
      <w:bookmarkEnd w:id="57"/>
      <w:bookmarkEnd w:id="58"/>
      <w:bookmarkEnd w:id="59"/>
      <w:bookmarkEnd w:id="60"/>
      <w:bookmarkEnd w:id="61"/>
      <w:bookmarkEnd w:id="62"/>
      <w:r>
        <w:rPr>
          <w:rFonts w:hint="eastAsia"/>
          <w:color w:val="000000" w:themeColor="text1"/>
          <w:lang w:val="en-US" w:eastAsia="zh-CN"/>
          <w14:textFill>
            <w14:solidFill>
              <w14:schemeClr w14:val="tx1"/>
            </w14:solidFill>
          </w14:textFill>
        </w:rPr>
        <w:t>挺膺担当</w:t>
      </w:r>
      <w:bookmarkEnd w:id="63"/>
      <w:bookmarkEnd w:id="64"/>
      <w:bookmarkEnd w:id="65"/>
      <w:bookmarkEnd w:id="66"/>
      <w:bookmarkEnd w:id="67"/>
    </w:p>
    <w:p>
      <w:pPr>
        <w:pStyle w:val="46"/>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left"/>
        <w:textAlignment w:val="auto"/>
        <w:outlineLvl w:val="0"/>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pPr>
      <w:bookmarkStart w:id="68" w:name="_Toc1790"/>
      <w:bookmarkStart w:id="69" w:name="_Toc30094"/>
      <w:bookmarkStart w:id="70" w:name="_Toc2044"/>
      <w:bookmarkStart w:id="71" w:name="_Toc24566"/>
      <w:bookmarkStart w:id="72" w:name="_Toc27975"/>
      <w:bookmarkStart w:id="73" w:name="_Toc24270"/>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紧扣中心工作和发展大</w:t>
      </w:r>
      <w:r>
        <w:rPr>
          <w:rFonts w:hint="eastAsia" w:ascii="仿宋_GB2312" w:hAnsi="Times New Roman" w:eastAsia="仿宋_GB2312" w:cs="仿宋_GB2312"/>
          <w:color w:val="000000" w:themeColor="text1"/>
          <w:kern w:val="2"/>
          <w:sz w:val="32"/>
          <w:szCs w:val="32"/>
          <w:highlight w:val="none"/>
          <w:lang w:val="en-US" w:eastAsia="zh-CN" w:bidi="ar-SA"/>
          <w14:textFill>
            <w14:solidFill>
              <w14:schemeClr w14:val="tx1"/>
            </w14:solidFill>
          </w14:textFill>
        </w:rPr>
        <w:t>局，实施“青春建功”青少年担当作为赋能工程、“伙伴同行”青少年交流交往和志愿服务深化工程，</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引领西城青少年在服务大局中找准坐标、在重大任务中锤炼本领、在基层治理中贡献力量，以青春担当为区域高质量发展注入澎湃动能。</w:t>
      </w:r>
      <w:bookmarkEnd w:id="68"/>
      <w:bookmarkEnd w:id="69"/>
      <w:bookmarkEnd w:id="70"/>
      <w:bookmarkEnd w:id="71"/>
      <w:bookmarkEnd w:id="72"/>
      <w:bookmarkEnd w:id="73"/>
    </w:p>
    <w:p>
      <w:pPr>
        <w:pStyle w:val="47"/>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lang w:eastAsia="zh-CN"/>
        </w:rPr>
      </w:pPr>
      <w:bookmarkStart w:id="74" w:name="_Toc24801"/>
      <w:bookmarkStart w:id="75" w:name="_Toc28501"/>
      <w:bookmarkStart w:id="76" w:name="_Toc15913"/>
      <w:bookmarkStart w:id="77" w:name="_Toc299"/>
      <w:bookmarkStart w:id="78" w:name="_Toc1069"/>
      <w:bookmarkStart w:id="79" w:name="_Toc22318"/>
      <w:bookmarkStart w:id="80" w:name="_Toc18170"/>
      <w:bookmarkStart w:id="81" w:name="_Toc18511"/>
      <w:r>
        <w:rPr>
          <w:rFonts w:hint="eastAsia"/>
          <w:lang w:eastAsia="zh-CN"/>
        </w:rPr>
        <w:t>提升重大活动服务保障能力</w:t>
      </w:r>
      <w:bookmarkEnd w:id="74"/>
      <w:bookmarkEnd w:id="75"/>
      <w:bookmarkEnd w:id="76"/>
    </w:p>
    <w:p>
      <w:pPr>
        <w:pStyle w:val="13"/>
        <w:keepNext w:val="0"/>
        <w:keepLines w:val="0"/>
        <w:pageBreakBefore w:val="0"/>
        <w:kinsoku/>
        <w:wordWrap/>
        <w:overflowPunct/>
        <w:topLinePunct w:val="0"/>
        <w:autoSpaceDE/>
        <w:autoSpaceDN/>
        <w:bidi w:val="0"/>
        <w:adjustRightInd w:val="0"/>
        <w:snapToGrid w:val="0"/>
        <w:spacing w:after="0" w:line="560" w:lineRule="exact"/>
        <w:ind w:left="0" w:leftChars="0" w:firstLine="640" w:firstLineChars="200"/>
        <w:textAlignment w:val="auto"/>
        <w:rPr>
          <w:rFonts w:hint="eastAsia" w:ascii="仿宋_GB2312" w:eastAsia="仿宋_GB2312" w:cs="仿宋_GB2312"/>
          <w:color w:val="000000" w:themeColor="text1"/>
          <w:sz w:val="32"/>
          <w:szCs w:val="32"/>
          <w:highlight w:val="none"/>
          <w14:textFill>
            <w14:solidFill>
              <w14:schemeClr w14:val="tx1"/>
            </w14:solidFill>
          </w14:textFill>
        </w:rPr>
      </w:pPr>
      <w:r>
        <w:rPr>
          <w:rFonts w:hint="eastAsia" w:ascii="仿宋_GB2312" w:eastAsia="仿宋_GB2312" w:cs="仿宋_GB2312"/>
          <w:color w:val="000000" w:themeColor="text1"/>
          <w:sz w:val="32"/>
          <w:szCs w:val="32"/>
          <w:highlight w:val="none"/>
          <w14:textFill>
            <w14:solidFill>
              <w14:schemeClr w14:val="tx1"/>
            </w14:solidFill>
          </w14:textFill>
        </w:rPr>
        <w:t>充分发挥区位优势，健全青少年参与重大活动服务保障</w:t>
      </w:r>
      <w:r>
        <w:rPr>
          <w:rFonts w:hint="eastAsia" w:ascii="仿宋_GB2312" w:eastAsia="仿宋_GB2312" w:cs="仿宋_GB2312"/>
          <w:color w:val="000000" w:themeColor="text1"/>
          <w:sz w:val="32"/>
          <w:szCs w:val="32"/>
          <w:highlight w:val="none"/>
          <w:lang w:eastAsia="zh-CN"/>
          <w14:textFill>
            <w14:solidFill>
              <w14:schemeClr w14:val="tx1"/>
            </w14:solidFill>
          </w14:textFill>
        </w:rPr>
        <w:t>任务</w:t>
      </w:r>
      <w:r>
        <w:rPr>
          <w:rFonts w:hint="eastAsia" w:ascii="仿宋_GB2312" w:eastAsia="仿宋_GB2312" w:cs="仿宋_GB2312"/>
          <w:color w:val="000000" w:themeColor="text1"/>
          <w:sz w:val="32"/>
          <w:szCs w:val="32"/>
          <w:highlight w:val="none"/>
          <w14:textFill>
            <w14:solidFill>
              <w14:schemeClr w14:val="tx1"/>
            </w14:solidFill>
          </w14:textFill>
        </w:rPr>
        <w:t>的长效机制。以“首善之首”高标准做好</w:t>
      </w:r>
      <w:r>
        <w:rPr>
          <w:rFonts w:hint="eastAsia" w:ascii="仿宋_GB2312" w:eastAsia="仿宋_GB2312" w:cs="仿宋_GB2312"/>
          <w:color w:val="000000" w:themeColor="text1"/>
          <w:sz w:val="32"/>
          <w:szCs w:val="32"/>
          <w:highlight w:val="none"/>
          <w:lang w:eastAsia="zh-CN"/>
          <w14:textFill>
            <w14:solidFill>
              <w14:schemeClr w14:val="tx1"/>
            </w14:solidFill>
          </w14:textFill>
        </w:rPr>
        <w:t>金融街论坛等</w:t>
      </w:r>
      <w:r>
        <w:rPr>
          <w:rFonts w:hint="eastAsia" w:ascii="仿宋_GB2312" w:eastAsia="仿宋_GB2312" w:cs="仿宋_GB2312"/>
          <w:color w:val="000000" w:themeColor="text1"/>
          <w:sz w:val="32"/>
          <w:szCs w:val="32"/>
          <w:highlight w:val="none"/>
          <w14:textFill>
            <w14:solidFill>
              <w14:schemeClr w14:val="tx1"/>
            </w14:solidFill>
          </w14:textFill>
        </w:rPr>
        <w:t>重大活动志愿服务和保障工作，让青少年在实战历练中坚定政治信念、锤炼能力本领</w:t>
      </w:r>
      <w:r>
        <w:rPr>
          <w:rFonts w:hint="eastAsia" w:ascii="仿宋_GB2312" w:eastAsia="仿宋_GB2312" w:cs="仿宋_GB2312"/>
          <w:color w:val="000000" w:themeColor="text1"/>
          <w:sz w:val="32"/>
          <w:szCs w:val="32"/>
          <w:highlight w:val="none"/>
          <w:lang w:eastAsia="zh-CN"/>
          <w14:textFill>
            <w14:solidFill>
              <w14:schemeClr w14:val="tx1"/>
            </w14:solidFill>
          </w14:textFill>
        </w:rPr>
        <w:t>。加强梳理凝练，总结推广具有西城特色的重大活动服务保障经验，激励西城青少年勇担时代使命。</w:t>
      </w:r>
    </w:p>
    <w:bookmarkEnd w:id="77"/>
    <w:bookmarkEnd w:id="78"/>
    <w:bookmarkEnd w:id="79"/>
    <w:bookmarkEnd w:id="80"/>
    <w:bookmarkEnd w:id="81"/>
    <w:p>
      <w:pPr>
        <w:pStyle w:val="47"/>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rPr>
      </w:pPr>
      <w:bookmarkStart w:id="82" w:name="_Toc29034"/>
      <w:bookmarkStart w:id="83" w:name="_Toc22352"/>
      <w:bookmarkStart w:id="84" w:name="_Toc5728"/>
      <w:bookmarkStart w:id="85" w:name="_Toc607180413"/>
      <w:bookmarkStart w:id="86" w:name="_Toc29912"/>
      <w:bookmarkStart w:id="87" w:name="_Toc9853"/>
      <w:bookmarkStart w:id="88" w:name="_Toc12802"/>
      <w:bookmarkStart w:id="89" w:name="_Toc719"/>
      <w:bookmarkStart w:id="90" w:name="_Toc25021"/>
      <w:r>
        <w:rPr>
          <w:rFonts w:hint="eastAsia"/>
        </w:rPr>
        <w:t>焕发文化</w:t>
      </w:r>
      <w:r>
        <w:rPr>
          <w:rFonts w:hint="eastAsia"/>
          <w:lang w:eastAsia="zh-CN"/>
        </w:rPr>
        <w:t>创新</w:t>
      </w:r>
      <w:r>
        <w:rPr>
          <w:rFonts w:hint="eastAsia"/>
        </w:rPr>
        <w:t>活力</w:t>
      </w:r>
      <w:bookmarkEnd w:id="82"/>
      <w:bookmarkEnd w:id="83"/>
      <w:bookmarkEnd w:id="84"/>
    </w:p>
    <w:p>
      <w:pPr>
        <w:pStyle w:val="13"/>
        <w:keepNext w:val="0"/>
        <w:keepLines w:val="0"/>
        <w:pageBreakBefore w:val="0"/>
        <w:widowControl w:val="0"/>
        <w:shd w:val="clear"/>
        <w:kinsoku/>
        <w:wordWrap/>
        <w:overflowPunct/>
        <w:topLinePunct w:val="0"/>
        <w:autoSpaceDE/>
        <w:autoSpaceDN/>
        <w:bidi w:val="0"/>
        <w:adjustRightInd w:val="0"/>
        <w:snapToGrid w:val="0"/>
        <w:spacing w:after="0" w:line="560" w:lineRule="exact"/>
        <w:ind w:left="0" w:leftChars="0" w:firstLine="640" w:firstLineChars="200"/>
        <w:textAlignment w:val="auto"/>
        <w:rPr>
          <w:rFonts w:hint="eastAsia" w:ascii="仿宋_GB2312" w:eastAsia="仿宋_GB2312" w:cs="仿宋_GB2312"/>
          <w:b w:val="0"/>
          <w:bCs w:val="0"/>
          <w:color w:val="000000" w:themeColor="text1"/>
          <w:sz w:val="32"/>
          <w:szCs w:val="32"/>
          <w:highlight w:val="none"/>
          <w:lang w:eastAsia="zh-CN"/>
          <w14:textFill>
            <w14:solidFill>
              <w14:schemeClr w14:val="tx1"/>
            </w14:solidFill>
          </w14:textFill>
        </w:rPr>
      </w:pPr>
      <w:r>
        <w:rPr>
          <w:rFonts w:hint="eastAsia" w:ascii="仿宋_GB2312" w:eastAsia="仿宋_GB2312" w:cs="仿宋_GB2312"/>
          <w:b w:val="0"/>
          <w:bCs w:val="0"/>
          <w:color w:val="000000" w:themeColor="text1"/>
          <w:sz w:val="32"/>
          <w:szCs w:val="32"/>
          <w:highlight w:val="none"/>
          <w:lang w:eastAsia="zh-CN"/>
          <w14:textFill>
            <w14:solidFill>
              <w14:schemeClr w14:val="tx1"/>
            </w14:solidFill>
          </w14:textFill>
        </w:rPr>
        <w:t>鼓励青年人才深耕西城文化沃土，不断创作推出反映时代风貌、彰显青年特色的文艺精品。适应互联网时代传播规律，引导青少年运用新技术、新手段创新文化表达方式。深化“书香满西城”“悦读湾”等品牌建设，深入推进全民阅读行动。依托丰厚的文博资源，持续打造青少年文化实践基地和精品研学线路，推动青少年在触摸历史中增强文化自信。发挥“北京西城·高校发展联盟”平台作用，推动高校优质文化资源赋能西城青少年创新发展。</w:t>
      </w:r>
    </w:p>
    <w:bookmarkEnd w:id="85"/>
    <w:bookmarkEnd w:id="86"/>
    <w:bookmarkEnd w:id="87"/>
    <w:bookmarkEnd w:id="88"/>
    <w:bookmarkEnd w:id="89"/>
    <w:bookmarkEnd w:id="90"/>
    <w:p>
      <w:pPr>
        <w:pStyle w:val="47"/>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rPr>
      </w:pPr>
      <w:bookmarkStart w:id="91" w:name="_Toc11986"/>
      <w:bookmarkStart w:id="92" w:name="_Toc32556"/>
      <w:bookmarkStart w:id="93" w:name="_Toc16294"/>
      <w:r>
        <w:rPr>
          <w:rFonts w:hint="eastAsia"/>
          <w:lang w:eastAsia="zh-CN"/>
        </w:rPr>
        <w:t>拓展</w:t>
      </w:r>
      <w:r>
        <w:rPr>
          <w:rFonts w:hint="eastAsia"/>
        </w:rPr>
        <w:t>国际交流合作深度</w:t>
      </w:r>
      <w:bookmarkEnd w:id="91"/>
      <w:bookmarkEnd w:id="92"/>
      <w:bookmarkEnd w:id="93"/>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firstLine="640" w:firstLineChars="200"/>
        <w:textAlignment w:val="auto"/>
        <w:rPr>
          <w:rFonts w:hint="eastAsia"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发挥国际交流</w:t>
      </w:r>
      <w:r>
        <w:rPr>
          <w:rFonts w:hint="eastAsia" w:ascii="仿宋_GB2312" w:eastAsia="仿宋_GB2312" w:cs="仿宋_GB2312"/>
          <w:color w:val="000000" w:themeColor="text1"/>
          <w:sz w:val="32"/>
          <w:szCs w:val="32"/>
          <w:lang w:eastAsia="zh-CN"/>
          <w14:textFill>
            <w14:solidFill>
              <w14:schemeClr w14:val="tx1"/>
            </w14:solidFill>
          </w14:textFill>
        </w:rPr>
        <w:t>交往</w:t>
      </w:r>
      <w:r>
        <w:rPr>
          <w:rFonts w:hint="eastAsia" w:ascii="仿宋_GB2312" w:eastAsia="仿宋_GB2312" w:cs="仿宋_GB2312"/>
          <w:color w:val="000000" w:themeColor="text1"/>
          <w:sz w:val="32"/>
          <w:szCs w:val="32"/>
          <w14:textFill>
            <w14:solidFill>
              <w14:schemeClr w14:val="tx1"/>
            </w14:solidFill>
          </w14:textFill>
        </w:rPr>
        <w:t>资源富集优势，用好西城区青少年国际教育交流基地等阵地，搭建中外青少年常态化交流平台。组织青少年积极参与重大外事活动，不断增强跨文化沟通与涉外事务处理能力。健全国际化青年人才培养体系，培养一批具有全球视野、通晓国际规则、能有效参与全球治理的高水平青年人才。</w:t>
      </w:r>
    </w:p>
    <w:p>
      <w:pPr>
        <w:pStyle w:val="47"/>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lang w:val="en-US" w:eastAsia="zh-CN"/>
        </w:rPr>
      </w:pPr>
      <w:bookmarkStart w:id="94" w:name="_Toc9649"/>
      <w:bookmarkStart w:id="95" w:name="_Toc3285"/>
      <w:bookmarkStart w:id="96" w:name="_Toc6624"/>
      <w:r>
        <w:rPr>
          <w:rFonts w:hint="eastAsia"/>
          <w:lang w:val="en-US" w:eastAsia="zh-CN"/>
        </w:rPr>
        <w:t>激发科技创新青春动能</w:t>
      </w:r>
      <w:bookmarkEnd w:id="94"/>
      <w:bookmarkEnd w:id="95"/>
      <w:bookmarkEnd w:id="96"/>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鼓励青少年</w:t>
      </w: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大力</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弘扬科学家精神，支持青年科研人员围绕区域重点产业方向开展攻关，在核心技术突破中挑大梁、当主角。</w:t>
      </w: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服务</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青年跨领域交流、协同创新，促进政务青年、金融青年、科创青年、新兴领域青年等群体开展常态化对话交流，实现“破圈”互鉴合作，在思想碰撞中激发创新灵感。鼓励青少年参与各类实践活动</w:t>
      </w: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和创新大赛</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，在真刀真枪的科研历练中增长本领、砥砺品格，把创新动能注入西城高质量发展实践。</w:t>
      </w:r>
    </w:p>
    <w:p>
      <w:pPr>
        <w:pStyle w:val="47"/>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lang w:val="en-US" w:eastAsia="zh-CN"/>
        </w:rPr>
      </w:pPr>
      <w:bookmarkStart w:id="97" w:name="_Toc19590"/>
      <w:bookmarkStart w:id="98" w:name="_Toc10010"/>
      <w:bookmarkStart w:id="99" w:name="_Toc14248"/>
      <w:r>
        <w:rPr>
          <w:rFonts w:hint="eastAsia"/>
          <w:lang w:val="en-US" w:eastAsia="zh-CN"/>
        </w:rPr>
        <w:t>拓宽社会治理参与渠道</w:t>
      </w:r>
      <w:bookmarkEnd w:id="97"/>
      <w:bookmarkEnd w:id="98"/>
      <w:bookmarkEnd w:id="99"/>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引导青少年深度融入基层治理，在社区服务、城市管理、民生保障等领域贡献力量。擦亮“蓝立方”城市志愿服务品牌，推动志愿服务项目与</w:t>
      </w: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基层</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实际需求精准匹配，培育一批扎根基层、常态</w:t>
      </w: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运行</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的青年志愿服务队伍。畅通青少年</w:t>
      </w: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建言献策</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渠道，</w:t>
      </w: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完善</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“共青团与人大代表、政协委员面对面”</w:t>
      </w: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机制</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，引导青少年</w:t>
      </w: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不断</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增强主人翁意识和社会责任感。</w:t>
      </w:r>
    </w:p>
    <w:p>
      <w:pPr>
        <w:pStyle w:val="47"/>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lang w:val="en-US" w:eastAsia="zh-CN"/>
        </w:rPr>
      </w:pPr>
      <w:bookmarkStart w:id="100" w:name="_Toc5681"/>
      <w:bookmarkStart w:id="101" w:name="_Toc27380"/>
      <w:bookmarkStart w:id="102" w:name="_Toc3352"/>
      <w:r>
        <w:rPr>
          <w:rFonts w:hint="eastAsia"/>
          <w:lang w:val="en-US" w:eastAsia="zh-CN"/>
        </w:rPr>
        <w:t>凝聚爱国统一战线合力</w:t>
      </w:r>
      <w:bookmarkEnd w:id="100"/>
      <w:bookmarkEnd w:id="101"/>
      <w:bookmarkEnd w:id="102"/>
    </w:p>
    <w:p>
      <w:pPr>
        <w:pStyle w:val="48"/>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lang w:val="en-US" w:eastAsia="zh-CN"/>
        </w:rPr>
      </w:pPr>
      <w:r>
        <w:rPr>
          <w:rFonts w:hint="eastAsia"/>
          <w:lang w:val="en-US" w:eastAsia="zh-CN"/>
        </w:rPr>
        <w:t>以铸牢中华民族共同体意识为主线，发挥区青联桥梁纽带作用，依托“青联委员工作室”等阵地，密切联系各界青年代表人士。加强港澳台及海外青年交流工作，积极参与两岸青年峰会等品牌活动。深化对口支援协作，不断扩大青联组织团结覆盖面，在服务区域高质量发展中，画好团结奋斗最大同心圆。</w:t>
      </w:r>
    </w:p>
    <w:p>
      <w:pPr>
        <w:pStyle w:val="46"/>
        <w:keepNext w:val="0"/>
        <w:keepLines w:val="0"/>
        <w:pageBreakBefore w:val="0"/>
        <w:numPr>
          <w:ilvl w:val="0"/>
          <w:numId w:val="2"/>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color w:val="000000" w:themeColor="text1"/>
          <w14:textFill>
            <w14:solidFill>
              <w14:schemeClr w14:val="tx1"/>
            </w14:solidFill>
          </w14:textFill>
        </w:rPr>
      </w:pPr>
      <w:bookmarkStart w:id="103" w:name="_Toc18941"/>
      <w:bookmarkStart w:id="104" w:name="_Toc25192"/>
      <w:bookmarkStart w:id="105" w:name="_Toc1237"/>
      <w:bookmarkStart w:id="106" w:name="_Toc22705"/>
      <w:bookmarkStart w:id="107" w:name="_Toc15924"/>
      <w:bookmarkStart w:id="108" w:name="_Toc32563"/>
      <w:bookmarkStart w:id="109" w:name="_Toc38910747"/>
      <w:bookmarkStart w:id="110" w:name="_Toc30493"/>
      <w:bookmarkStart w:id="111" w:name="_Toc22309"/>
      <w:bookmarkStart w:id="112" w:name="_Toc19709"/>
      <w:bookmarkStart w:id="113" w:name="_Toc1323"/>
      <w:bookmarkStart w:id="114" w:name="_Toc14145"/>
      <w:r>
        <w:rPr>
          <w:rFonts w:hint="eastAsia"/>
          <w:color w:val="000000" w:themeColor="text1"/>
          <w14:textFill>
            <w14:solidFill>
              <w14:schemeClr w14:val="tx1"/>
            </w14:solidFill>
          </w14:textFill>
        </w:rPr>
        <w:t>解决青少年</w:t>
      </w:r>
      <w:bookmarkEnd w:id="103"/>
      <w:bookmarkEnd w:id="104"/>
      <w:bookmarkEnd w:id="105"/>
      <w:bookmarkEnd w:id="106"/>
      <w:bookmarkEnd w:id="107"/>
      <w:r>
        <w:rPr>
          <w:rFonts w:hint="eastAsia"/>
          <w:color w:val="000000" w:themeColor="text1"/>
          <w14:textFill>
            <w14:solidFill>
              <w14:schemeClr w14:val="tx1"/>
            </w14:solidFill>
          </w14:textFill>
        </w:rPr>
        <w:t>急难愁盼</w:t>
      </w:r>
      <w:bookmarkEnd w:id="108"/>
      <w:bookmarkEnd w:id="109"/>
      <w:bookmarkEnd w:id="110"/>
      <w:bookmarkEnd w:id="111"/>
      <w:bookmarkEnd w:id="112"/>
      <w:bookmarkEnd w:id="113"/>
      <w:bookmarkEnd w:id="114"/>
    </w:p>
    <w:p>
      <w:pPr>
        <w:pStyle w:val="46"/>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outlineLvl w:val="0"/>
        <w:rPr>
          <w:rFonts w:hint="eastAsia" w:ascii="FangSong_GB2312" w:hAnsi="FangSong_GB2312" w:eastAsia="仿宋_GB2312" w:cs="仿宋_GB2312"/>
          <w:color w:val="000000"/>
          <w:kern w:val="2"/>
          <w:sz w:val="32"/>
          <w:szCs w:val="32"/>
          <w:lang w:val="en-US" w:eastAsia="zh-CN" w:bidi="ar-SA"/>
        </w:rPr>
      </w:pPr>
      <w:bookmarkStart w:id="115" w:name="_Toc26634"/>
      <w:bookmarkStart w:id="116" w:name="_Toc1615"/>
      <w:bookmarkStart w:id="117" w:name="_Toc26945"/>
      <w:bookmarkStart w:id="118" w:name="_Toc23675"/>
      <w:bookmarkStart w:id="119" w:name="_Toc235"/>
      <w:bookmarkStart w:id="120" w:name="_Toc21970"/>
      <w:r>
        <w:rPr>
          <w:rFonts w:hint="eastAsia" w:ascii="FangSong_GB2312" w:hAnsi="FangSong_GB2312" w:eastAsia="仿宋_GB2312" w:cs="仿宋_GB2312"/>
          <w:color w:val="000000"/>
          <w:kern w:val="2"/>
          <w:sz w:val="32"/>
          <w:szCs w:val="32"/>
          <w:lang w:val="en-US" w:eastAsia="zh-CN" w:bidi="ar-SA"/>
        </w:rPr>
        <w:t>聚焦青少年发展全生命周期需求</w:t>
      </w:r>
      <w:r>
        <w:rPr>
          <w:rFonts w:hint="eastAsia" w:ascii="FangSong_GB2312" w:hAnsi="FangSong_GB2312" w:eastAsia="仿宋_GB2312" w:cs="仿宋_GB2312"/>
          <w:color w:val="000000"/>
          <w:kern w:val="2"/>
          <w:sz w:val="32"/>
          <w:szCs w:val="32"/>
          <w:highlight w:val="none"/>
          <w:lang w:val="en-US" w:eastAsia="zh-CN" w:bidi="ar-SA"/>
        </w:rPr>
        <w:t>，实施“幸福西城”青少年美好生活支持工程、“青春经济”青少年创新创业提升工程，护</w:t>
      </w:r>
      <w:r>
        <w:rPr>
          <w:rFonts w:hint="eastAsia" w:ascii="FangSong_GB2312" w:hAnsi="FangSong_GB2312" w:eastAsia="仿宋_GB2312" w:cs="仿宋_GB2312"/>
          <w:color w:val="000000"/>
          <w:kern w:val="2"/>
          <w:sz w:val="32"/>
          <w:szCs w:val="32"/>
          <w:lang w:val="en-US" w:eastAsia="zh-CN" w:bidi="ar-SA"/>
        </w:rPr>
        <w:t>航西城青少年在就业创业中有底气、在婚恋交友中有渠道、在安居乐业中有温度，推动西城成为青少年心生向往、安心扎根的温暖之城。</w:t>
      </w:r>
      <w:bookmarkEnd w:id="115"/>
      <w:bookmarkEnd w:id="116"/>
      <w:bookmarkEnd w:id="117"/>
      <w:bookmarkEnd w:id="118"/>
      <w:bookmarkEnd w:id="119"/>
      <w:bookmarkEnd w:id="120"/>
    </w:p>
    <w:p>
      <w:pPr>
        <w:pStyle w:val="47"/>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lang w:val="en-US" w:eastAsia="zh-CN"/>
        </w:rPr>
      </w:pPr>
      <w:bookmarkStart w:id="121" w:name="_Toc31569"/>
      <w:bookmarkStart w:id="122" w:name="_Toc3653"/>
      <w:bookmarkStart w:id="123" w:name="_Toc20349"/>
      <w:r>
        <w:rPr>
          <w:rFonts w:hint="eastAsia"/>
          <w:lang w:val="en-US" w:eastAsia="zh-CN"/>
        </w:rPr>
        <w:t>促进高质量就业</w:t>
      </w:r>
      <w:bookmarkEnd w:id="121"/>
      <w:bookmarkEnd w:id="122"/>
      <w:bookmarkEnd w:id="123"/>
    </w:p>
    <w:p>
      <w:pPr>
        <w:pStyle w:val="13"/>
        <w:keepNext w:val="0"/>
        <w:keepLines w:val="0"/>
        <w:pageBreakBefore w:val="0"/>
        <w:kinsoku/>
        <w:wordWrap/>
        <w:overflowPunct/>
        <w:topLinePunct w:val="0"/>
        <w:autoSpaceDE/>
        <w:autoSpaceDN/>
        <w:bidi w:val="0"/>
        <w:adjustRightInd w:val="0"/>
        <w:snapToGrid w:val="0"/>
        <w:spacing w:after="0" w:line="560" w:lineRule="exact"/>
        <w:ind w:left="0" w:leftChars="0" w:firstLine="640" w:firstLineChars="200"/>
        <w:textAlignment w:val="auto"/>
        <w:rPr>
          <w:rFonts w:hint="eastAsia" w:ascii="FangSong_GB2312" w:hAnsi="FangSong_GB2312" w:eastAsia="仿宋_GB2312" w:cs="仿宋_GB2312"/>
          <w:color w:val="000000"/>
          <w:kern w:val="2"/>
          <w:sz w:val="32"/>
          <w:szCs w:val="32"/>
          <w:lang w:val="en-US" w:eastAsia="zh-CN" w:bidi="ar-SA"/>
        </w:rPr>
      </w:pPr>
      <w:r>
        <w:rPr>
          <w:rFonts w:hint="eastAsia" w:ascii="FangSong_GB2312" w:hAnsi="FangSong_GB2312" w:eastAsia="仿宋_GB2312" w:cs="仿宋_GB2312"/>
          <w:color w:val="000000"/>
          <w:kern w:val="2"/>
          <w:sz w:val="32"/>
          <w:szCs w:val="32"/>
          <w:lang w:val="en-US" w:eastAsia="zh-CN" w:bidi="ar-SA"/>
        </w:rPr>
        <w:t>健全青年就业促进机制，持续开展岗位挖掘和供需对接，拓展新业态就业空间。深化“人社辅导员”模式，推动就业服务前移，覆盖在校期间全过程。办好青年求职能力实训营、职业体验营等品牌活动，帮助青年提升就业竞争力和职业适配度。加强创业扶持，完善金融支持、场地保障等配套措施，以创业带动更高质量就业。加大劳动权益宣传力度，增强青年风险防范和依法维权意识，营造公平有序的就业环境。</w:t>
      </w:r>
    </w:p>
    <w:p>
      <w:pPr>
        <w:pStyle w:val="47"/>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lang w:eastAsia="zh-CN"/>
        </w:rPr>
      </w:pPr>
      <w:bookmarkStart w:id="124" w:name="_Toc11295"/>
      <w:bookmarkStart w:id="125" w:name="_Toc5351"/>
      <w:bookmarkStart w:id="126" w:name="_Toc7385"/>
      <w:r>
        <w:rPr>
          <w:rFonts w:hint="eastAsia"/>
          <w:lang w:eastAsia="zh-CN"/>
        </w:rPr>
        <w:t>强化婚育支持保障</w:t>
      </w:r>
      <w:bookmarkEnd w:id="124"/>
      <w:bookmarkEnd w:id="125"/>
      <w:bookmarkEnd w:id="126"/>
    </w:p>
    <w:p>
      <w:pPr>
        <w:keepNext w:val="0"/>
        <w:keepLines w:val="0"/>
        <w:pageBreakBefore w:val="0"/>
        <w:kinsoku/>
        <w:wordWrap/>
        <w:overflowPunct/>
        <w:topLinePunct w:val="0"/>
        <w:autoSpaceDE/>
        <w:autoSpaceDN/>
        <w:bidi w:val="0"/>
        <w:adjustRightInd w:val="0"/>
        <w:snapToGrid w:val="0"/>
        <w:spacing w:after="0" w:line="560" w:lineRule="exact"/>
        <w:ind w:firstLine="640" w:firstLineChars="200"/>
        <w:textAlignment w:val="auto"/>
        <w:rPr>
          <w:rFonts w:hint="default" w:ascii="FangSong_GB2312" w:hAnsi="FangSong_GB2312" w:eastAsia="仿宋_GB2312" w:cs="仿宋_GB2312"/>
          <w:color w:val="000000"/>
          <w:kern w:val="2"/>
          <w:sz w:val="32"/>
          <w:szCs w:val="32"/>
          <w:highlight w:val="yellow"/>
          <w:lang w:val="en-US" w:eastAsia="zh-CN" w:bidi="ar-SA"/>
        </w:rPr>
      </w:pPr>
      <w:bookmarkStart w:id="127" w:name="_Toc209057895"/>
      <w:bookmarkStart w:id="128" w:name="_Toc213023481"/>
      <w:r>
        <w:rPr>
          <w:rFonts w:hint="eastAsia" w:ascii="FangSong_GB2312" w:hAnsi="FangSong_GB2312" w:eastAsia="仿宋_GB2312" w:cs="仿宋_GB2312"/>
          <w:color w:val="000000"/>
          <w:kern w:val="2"/>
          <w:sz w:val="32"/>
          <w:szCs w:val="32"/>
          <w:lang w:val="en-US" w:eastAsia="zh-CN" w:bidi="ar-SA"/>
        </w:rPr>
        <w:t>引导青少年树立文明理性的婚恋观和家庭观，推动婚恋教育融入中学课堂和社会实践。依托“西悦·心动实验室”等品牌，常态化开展青年交友联谊活动，有效拓宽青年社交圈。联动婚姻登记服务场景，推广“甜蜜地图”等便民服务，持续擦亮“甜蜜西城”品牌，激活区域甜蜜经济活力，助力青年成家立业、收获幸福。积极扩大普惠托育服务供给，着力缓解青年“小小孩”照护压力。</w:t>
      </w:r>
    </w:p>
    <w:bookmarkEnd w:id="127"/>
    <w:bookmarkEnd w:id="128"/>
    <w:p>
      <w:pPr>
        <w:pStyle w:val="47"/>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rPr>
      </w:pPr>
      <w:bookmarkStart w:id="129" w:name="_Toc10220"/>
      <w:bookmarkStart w:id="130" w:name="_Toc29526"/>
      <w:bookmarkStart w:id="131" w:name="_Toc16103"/>
      <w:bookmarkStart w:id="132" w:name="_Toc213023490"/>
      <w:bookmarkStart w:id="133" w:name="_Toc209057904"/>
      <w:bookmarkStart w:id="134" w:name="_Toc213023482"/>
      <w:bookmarkStart w:id="135" w:name="_Toc209057896"/>
      <w:bookmarkStart w:id="136" w:name="_Toc209057906"/>
      <w:bookmarkStart w:id="137" w:name="_Toc422"/>
      <w:bookmarkStart w:id="138" w:name="_Toc214984530"/>
      <w:bookmarkStart w:id="139" w:name="_Toc213023492"/>
      <w:r>
        <w:rPr>
          <w:rFonts w:hint="eastAsia"/>
        </w:rPr>
        <w:t>保障安居需求</w:t>
      </w:r>
      <w:bookmarkEnd w:id="129"/>
      <w:bookmarkEnd w:id="130"/>
      <w:bookmarkEnd w:id="131"/>
    </w:p>
    <w:bookmarkEnd w:id="132"/>
    <w:bookmarkEnd w:id="133"/>
    <w:bookmarkEnd w:id="134"/>
    <w:bookmarkEnd w:id="135"/>
    <w:p>
      <w:pPr>
        <w:pStyle w:val="13"/>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firstLineChars="200"/>
        <w:textAlignment w:val="auto"/>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pPr>
      <w:bookmarkStart w:id="140" w:name="_Toc5146"/>
      <w:bookmarkStart w:id="141" w:name="_Toc525682433"/>
      <w:bookmarkStart w:id="142" w:name="_Toc25998"/>
      <w:bookmarkStart w:id="143" w:name="_Toc21820"/>
      <w:bookmarkStart w:id="144" w:name="_Toc28330"/>
      <w:bookmarkStart w:id="145" w:name="_Toc27067"/>
      <w:bookmarkStart w:id="146" w:name="_Toc18849"/>
      <w:bookmarkStart w:id="147" w:name="_Toc31730"/>
      <w:bookmarkStart w:id="148" w:name="_Toc11561"/>
      <w:r>
        <w:rPr>
          <w:rFonts w:hint="eastAsia" w:ascii="仿宋_GB2312" w:eastAsia="仿宋_GB2312" w:cs="仿宋_GB2312"/>
          <w:b w:val="0"/>
          <w:bCs w:val="0"/>
          <w:color w:val="000000" w:themeColor="text1"/>
          <w:kern w:val="2"/>
          <w:sz w:val="32"/>
          <w:szCs w:val="32"/>
          <w:lang w:val="en-US" w:eastAsia="zh-CN" w:bidi="ar-SA"/>
          <w14:textFill>
            <w14:solidFill>
              <w14:schemeClr w14:val="tx1"/>
            </w14:solidFill>
          </w14:textFill>
        </w:rPr>
        <w:t>不断加</w:t>
      </w:r>
      <w:r>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t>大保障性租赁住房对青年群体的供给力度，多渠道筹集公寓型、宿舍型房源，构建“一张床、一间</w:t>
      </w:r>
      <w:r>
        <w:rPr>
          <w:rFonts w:hint="eastAsia" w:ascii="仿宋_GB2312" w:eastAsia="仿宋_GB2312" w:cs="仿宋_GB2312"/>
          <w:b w:val="0"/>
          <w:bCs w:val="0"/>
          <w:color w:val="000000" w:themeColor="text1"/>
          <w:kern w:val="2"/>
          <w:sz w:val="32"/>
          <w:szCs w:val="32"/>
          <w:lang w:val="en-US" w:eastAsia="zh-CN" w:bidi="ar-SA"/>
          <w14:textFill>
            <w14:solidFill>
              <w14:schemeClr w14:val="tx1"/>
            </w14:solidFill>
          </w14:textFill>
        </w:rPr>
        <w:t>屋</w:t>
      </w:r>
      <w:r>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t>、一套房”的梯度住房支持体系。用好“西友·理想家”青年人才公寓等阵地，发挥示范带动作用，为青年提供安全、便利、有温度的居住空间。鼓励用人单位、产业园区和社会资本参与青年保障住房建设，形成多元参与的青年安居支持网络，</w:t>
      </w:r>
      <w:r>
        <w:rPr>
          <w:rFonts w:hint="eastAsia" w:ascii="仿宋_GB2312" w:eastAsia="仿宋_GB2312" w:cs="仿宋_GB2312"/>
          <w:b w:val="0"/>
          <w:bCs w:val="0"/>
          <w:color w:val="000000" w:themeColor="text1"/>
          <w:kern w:val="2"/>
          <w:sz w:val="32"/>
          <w:szCs w:val="32"/>
          <w:lang w:val="en-US" w:eastAsia="zh-CN" w:bidi="ar-SA"/>
          <w14:textFill>
            <w14:solidFill>
              <w14:schemeClr w14:val="tx1"/>
            </w14:solidFill>
          </w14:textFill>
        </w:rPr>
        <w:t>服务</w:t>
      </w:r>
      <w:r>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t>青年在西城留得下、住得安、能发展。</w:t>
      </w:r>
    </w:p>
    <w:p>
      <w:pPr>
        <w:pStyle w:val="47"/>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lang w:val="en-US" w:eastAsia="zh-CN"/>
        </w:rPr>
      </w:pPr>
      <w:bookmarkStart w:id="149" w:name="_Toc18767"/>
      <w:bookmarkStart w:id="150" w:name="_Toc18281"/>
      <w:bookmarkStart w:id="151" w:name="_Toc11037"/>
      <w:r>
        <w:rPr>
          <w:rFonts w:hint="eastAsia"/>
          <w:lang w:val="en-US" w:eastAsia="zh-CN"/>
        </w:rPr>
        <w:t>提升社会保障和帮扶水平</w:t>
      </w:r>
      <w:bookmarkEnd w:id="149"/>
      <w:bookmarkEnd w:id="150"/>
      <w:bookmarkEnd w:id="151"/>
    </w:p>
    <w:p>
      <w:pPr>
        <w:pStyle w:val="1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pPr>
      <w:r>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t>推动社会保障政策向青少年群体延伸覆盖，在教育、医疗、社会救助等领域织密保障网。完善困境青少年精准帮扶机制，加强部门协同和信息共享，确保帮扶对象应纳尽纳、帮到实处。深化新就业群体关爱</w:t>
      </w:r>
      <w:r>
        <w:rPr>
          <w:rFonts w:hint="eastAsia" w:ascii="仿宋_GB2312" w:eastAsia="仿宋_GB2312" w:cs="仿宋_GB2312"/>
          <w:b w:val="0"/>
          <w:bCs w:val="0"/>
          <w:color w:val="000000" w:themeColor="text1"/>
          <w:kern w:val="2"/>
          <w:sz w:val="32"/>
          <w:szCs w:val="32"/>
          <w:lang w:val="en-US" w:eastAsia="zh-CN" w:bidi="ar-SA"/>
          <w14:textFill>
            <w14:solidFill>
              <w14:schemeClr w14:val="tx1"/>
            </w14:solidFill>
          </w14:textFill>
        </w:rPr>
        <w:t>行动</w:t>
      </w:r>
      <w:r>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t>，用好“小哥加油站”等阵地，</w:t>
      </w:r>
      <w:r>
        <w:rPr>
          <w:rFonts w:hint="eastAsia" w:ascii="仿宋_GB2312" w:eastAsia="仿宋_GB2312" w:cs="仿宋_GB2312"/>
          <w:b w:val="0"/>
          <w:bCs w:val="0"/>
          <w:color w:val="000000" w:themeColor="text1"/>
          <w:kern w:val="2"/>
          <w:sz w:val="32"/>
          <w:szCs w:val="32"/>
          <w:lang w:val="en-US" w:eastAsia="zh-CN" w:bidi="ar-SA"/>
          <w14:textFill>
            <w14:solidFill>
              <w14:schemeClr w14:val="tx1"/>
            </w14:solidFill>
          </w14:textFill>
        </w:rPr>
        <w:t>做好</w:t>
      </w:r>
      <w:r>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t>快递员、外卖骑手等新兴领域青年</w:t>
      </w:r>
      <w:r>
        <w:rPr>
          <w:rFonts w:hint="eastAsia" w:ascii="仿宋_GB2312" w:eastAsia="仿宋_GB2312" w:cs="仿宋_GB2312"/>
          <w:b w:val="0"/>
          <w:bCs w:val="0"/>
          <w:color w:val="000000" w:themeColor="text1"/>
          <w:kern w:val="2"/>
          <w:sz w:val="32"/>
          <w:szCs w:val="32"/>
          <w:lang w:val="en-US" w:eastAsia="zh-CN" w:bidi="ar-SA"/>
          <w14:textFill>
            <w14:solidFill>
              <w14:schemeClr w14:val="tx1"/>
            </w14:solidFill>
          </w14:textFill>
        </w:rPr>
        <w:t>的联系帮扶工作</w:t>
      </w:r>
      <w:r>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t>。</w:t>
      </w:r>
      <w:r>
        <w:rPr>
          <w:rFonts w:hint="eastAsia" w:ascii="仿宋_GB2312" w:eastAsia="仿宋_GB2312" w:cs="仿宋_GB2312"/>
          <w:b w:val="0"/>
          <w:bCs w:val="0"/>
          <w:color w:val="000000" w:themeColor="text1"/>
          <w:kern w:val="2"/>
          <w:sz w:val="32"/>
          <w:szCs w:val="32"/>
          <w:lang w:val="en-US" w:eastAsia="zh-CN" w:bidi="ar-SA"/>
          <w14:textFill>
            <w14:solidFill>
              <w14:schemeClr w14:val="tx1"/>
            </w14:solidFill>
          </w14:textFill>
        </w:rPr>
        <w:t>健全青年退役军人服务保障体系，促进</w:t>
      </w:r>
      <w:r>
        <w:rPr>
          <w:rFonts w:hint="eastAsia" w:ascii="仿宋_GB2312" w:hAnsi="Times New Roman" w:eastAsia="仿宋_GB2312" w:cs="仿宋_GB2312"/>
          <w:b w:val="0"/>
          <w:bCs w:val="0"/>
          <w:color w:val="000000" w:themeColor="text1"/>
          <w:kern w:val="2"/>
          <w:sz w:val="32"/>
          <w:szCs w:val="32"/>
          <w:highlight w:val="none"/>
          <w:lang w:val="en-US" w:eastAsia="zh-CN" w:bidi="ar-SA"/>
          <w14:textFill>
            <w14:solidFill>
              <w14:schemeClr w14:val="tx1"/>
            </w14:solidFill>
          </w14:textFill>
        </w:rPr>
        <w:t>退役青年</w:t>
      </w:r>
      <w:r>
        <w:rPr>
          <w:rFonts w:hint="eastAsia" w:asci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顺利融入社会</w:t>
      </w:r>
      <w:r>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t>，实现个人成长与社会价值的双向奔赴。</w:t>
      </w:r>
    </w:p>
    <w:p>
      <w:pPr>
        <w:pStyle w:val="47"/>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lang w:val="en-US" w:eastAsia="zh-CN"/>
        </w:rPr>
      </w:pPr>
      <w:bookmarkStart w:id="152" w:name="_Toc10304"/>
      <w:bookmarkStart w:id="153" w:name="_Toc11585"/>
      <w:bookmarkStart w:id="154" w:name="_Toc6657"/>
      <w:r>
        <w:rPr>
          <w:rFonts w:hint="eastAsia"/>
          <w:lang w:val="en-US" w:eastAsia="zh-CN"/>
        </w:rPr>
        <w:t>营造良好发展环境</w:t>
      </w:r>
      <w:bookmarkEnd w:id="152"/>
      <w:bookmarkEnd w:id="153"/>
      <w:bookmarkEnd w:id="154"/>
    </w:p>
    <w:p>
      <w:pPr>
        <w:pStyle w:val="1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pPr>
      <w:r>
        <w:rPr>
          <w:rFonts w:hint="eastAsia" w:ascii="仿宋_GB2312" w:eastAsia="仿宋_GB2312" w:cs="仿宋_GB2312"/>
          <w:b w:val="0"/>
          <w:bCs w:val="0"/>
          <w:color w:val="000000" w:themeColor="text1"/>
          <w:kern w:val="2"/>
          <w:sz w:val="32"/>
          <w:szCs w:val="32"/>
          <w:lang w:val="en-US" w:eastAsia="zh-CN" w:bidi="ar-SA"/>
          <w14:textFill>
            <w14:solidFill>
              <w14:schemeClr w14:val="tx1"/>
            </w14:solidFill>
          </w14:textFill>
        </w:rPr>
        <w:t>把促进青年发展全面融入城市工作全过程、各领域</w:t>
      </w:r>
      <w:r>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t>，全方位推进青年发展型城市建设。构建“北—中—南”青年发展型街区建设格局，在法源寺街区率先打造集“青春小店”“西引力</w:t>
      </w:r>
      <w:r>
        <w:rPr>
          <w:rFonts w:hint="eastAsia" w:ascii="仿宋_GB2312" w:eastAsia="仿宋_GB2312" w:cs="仿宋_GB2312"/>
          <w:b w:val="0"/>
          <w:bCs w:val="0"/>
          <w:color w:val="000000" w:themeColor="text1"/>
          <w:kern w:val="2"/>
          <w:sz w:val="32"/>
          <w:szCs w:val="32"/>
          <w:lang w:val="en-US" w:eastAsia="zh-CN" w:bidi="ar-SA"/>
          <w14:textFill>
            <w14:solidFill>
              <w14:schemeClr w14:val="tx1"/>
            </w14:solidFill>
          </w14:textFill>
        </w:rPr>
        <w:t>·青创场</w:t>
      </w:r>
      <w:r>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t>”</w:t>
      </w:r>
      <w:r>
        <w:rPr>
          <w:rFonts w:hint="eastAsia" w:ascii="仿宋_GB2312" w:eastAsia="仿宋_GB2312" w:cs="仿宋_GB2312"/>
          <w:b w:val="0"/>
          <w:bCs w:val="0"/>
          <w:color w:val="000000" w:themeColor="text1"/>
          <w:kern w:val="2"/>
          <w:sz w:val="32"/>
          <w:szCs w:val="32"/>
          <w:lang w:val="en-US" w:eastAsia="zh-CN" w:bidi="ar-SA"/>
          <w14:textFill>
            <w14:solidFill>
              <w14:schemeClr w14:val="tx1"/>
            </w14:solidFill>
          </w14:textFill>
        </w:rPr>
        <w:t>“西友·理想家”</w:t>
      </w:r>
      <w:r>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t>青年人才公寓于一体的青年发展型街区样板，逐步向全区复制推广。大力发展“青春经济”，围绕青年消费新偏好和社交新需求，培育文创市集、主题快闪、沉浸式体验等新业态新场景，推动传统商圈和特色街区融入青春元素。</w:t>
      </w:r>
    </w:p>
    <w:p>
      <w:pPr>
        <w:pStyle w:val="46"/>
        <w:keepNext w:val="0"/>
        <w:keepLines w:val="0"/>
        <w:pageBreakBefore w:val="0"/>
        <w:numPr>
          <w:ilvl w:val="0"/>
          <w:numId w:val="2"/>
        </w:numP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color w:val="000000" w:themeColor="text1"/>
          <w14:textFill>
            <w14:solidFill>
              <w14:schemeClr w14:val="tx1"/>
            </w14:solidFill>
          </w14:textFill>
        </w:rPr>
      </w:pPr>
      <w:bookmarkStart w:id="155" w:name="_Toc2767"/>
      <w:bookmarkStart w:id="156" w:name="_Toc4565"/>
      <w:bookmarkStart w:id="157" w:name="_Toc22746"/>
      <w:r>
        <w:rPr>
          <w:rFonts w:hint="eastAsia"/>
          <w:color w:val="000000" w:themeColor="text1"/>
          <w14:textFill>
            <w14:solidFill>
              <w14:schemeClr w14:val="tx1"/>
            </w14:solidFill>
          </w14:textFill>
        </w:rPr>
        <w:t>筑牢青少年成长安全防线</w:t>
      </w:r>
      <w:bookmarkEnd w:id="140"/>
      <w:bookmarkEnd w:id="141"/>
      <w:bookmarkEnd w:id="142"/>
      <w:bookmarkEnd w:id="143"/>
      <w:bookmarkEnd w:id="144"/>
      <w:bookmarkEnd w:id="145"/>
      <w:bookmarkEnd w:id="146"/>
      <w:bookmarkEnd w:id="155"/>
      <w:bookmarkEnd w:id="156"/>
      <w:bookmarkEnd w:id="157"/>
    </w:p>
    <w:p>
      <w:pPr>
        <w:pStyle w:val="46"/>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640" w:firstLineChars="200"/>
        <w:jc w:val="left"/>
        <w:textAlignment w:val="auto"/>
        <w:outlineLvl w:val="0"/>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pPr>
      <w:bookmarkStart w:id="158" w:name="_Toc17046"/>
      <w:bookmarkStart w:id="159" w:name="_Toc19183"/>
      <w:bookmarkStart w:id="160" w:name="_Toc29870"/>
      <w:bookmarkStart w:id="161" w:name="_Toc16453"/>
      <w:bookmarkStart w:id="162" w:name="_Toc32694"/>
      <w:bookmarkStart w:id="163" w:name="_Toc14838"/>
      <w:r>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t>坚持守护为先、预防为本</w:t>
      </w:r>
      <w:r>
        <w:rPr>
          <w:rFonts w:hint="eastAsia" w:ascii="仿宋_GB2312" w:hAnsi="Times New Roman" w:eastAsia="仿宋_GB2312" w:cs="仿宋_GB2312"/>
          <w:b w:val="0"/>
          <w:bCs w:val="0"/>
          <w:color w:val="000000" w:themeColor="text1"/>
          <w:kern w:val="2"/>
          <w:sz w:val="32"/>
          <w:szCs w:val="32"/>
          <w:highlight w:val="none"/>
          <w:lang w:val="en-US" w:eastAsia="zh-CN" w:bidi="ar-SA"/>
          <w14:textFill>
            <w14:solidFill>
              <w14:schemeClr w14:val="tx1"/>
            </w14:solidFill>
          </w14:textFill>
        </w:rPr>
        <w:t>，实施“守护成长”青少年社会保障护航工程，助力西城青少年在风</w:t>
      </w:r>
      <w:r>
        <w:rPr>
          <w:rFonts w:hint="eastAsia" w:ascii="仿宋_GB2312" w:hAnsi="Times New Roman" w:eastAsia="仿宋_GB2312" w:cs="仿宋_GB2312"/>
          <w:b w:val="0"/>
          <w:bCs w:val="0"/>
          <w:color w:val="000000" w:themeColor="text1"/>
          <w:kern w:val="2"/>
          <w:sz w:val="32"/>
          <w:szCs w:val="32"/>
          <w:lang w:val="en-US" w:eastAsia="zh-CN" w:bidi="ar-SA"/>
          <w14:textFill>
            <w14:solidFill>
              <w14:schemeClr w14:val="tx1"/>
            </w14:solidFill>
          </w14:textFill>
        </w:rPr>
        <w:t>险防范中筑牢屏障、在权益维护中收获公平、在法治护航中感受正义、在源头治理中健康成长。</w:t>
      </w:r>
      <w:bookmarkEnd w:id="158"/>
      <w:bookmarkEnd w:id="159"/>
      <w:bookmarkEnd w:id="160"/>
      <w:bookmarkEnd w:id="161"/>
      <w:bookmarkEnd w:id="162"/>
      <w:bookmarkEnd w:id="163"/>
    </w:p>
    <w:p>
      <w:pPr>
        <w:pStyle w:val="47"/>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rPr>
      </w:pPr>
      <w:bookmarkStart w:id="164" w:name="_Toc2407"/>
      <w:bookmarkStart w:id="165" w:name="_Toc26436"/>
      <w:bookmarkStart w:id="166" w:name="_Toc24917"/>
      <w:bookmarkStart w:id="167" w:name="_Toc20358"/>
      <w:bookmarkStart w:id="168" w:name="_Toc9171"/>
      <w:bookmarkStart w:id="169" w:name="_Toc2508"/>
      <w:bookmarkStart w:id="170" w:name="_Toc15732"/>
      <w:bookmarkStart w:id="171" w:name="_Toc3549"/>
      <w:r>
        <w:rPr>
          <w:rFonts w:hint="eastAsia"/>
        </w:rPr>
        <w:t>强化风险防范化解</w:t>
      </w:r>
      <w:bookmarkEnd w:id="164"/>
      <w:bookmarkEnd w:id="165"/>
      <w:bookmarkEnd w:id="166"/>
    </w:p>
    <w:p>
      <w:pPr>
        <w:keepNext w:val="0"/>
        <w:keepLines w:val="0"/>
        <w:pageBreakBefore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lang w:eastAsia="zh-CN"/>
          <w14:textFill>
            <w14:solidFill>
              <w14:schemeClr w14:val="tx1"/>
            </w14:solidFill>
          </w14:textFill>
        </w:rPr>
        <w:t>坚定维护</w:t>
      </w:r>
      <w:r>
        <w:rPr>
          <w:rFonts w:hint="eastAsia" w:ascii="仿宋_GB2312" w:eastAsia="仿宋_GB2312" w:cs="仿宋_GB2312"/>
          <w:color w:val="000000" w:themeColor="text1"/>
          <w:sz w:val="32"/>
          <w:szCs w:val="32"/>
          <w14:textFill>
            <w14:solidFill>
              <w14:schemeClr w14:val="tx1"/>
            </w14:solidFill>
          </w14:textFill>
        </w:rPr>
        <w:t>青少年意识形态安全，</w:t>
      </w:r>
      <w:r>
        <w:rPr>
          <w:rFonts w:hint="eastAsia" w:ascii="仿宋_GB2312" w:eastAsia="仿宋_GB2312" w:cs="仿宋_GB2312"/>
          <w:color w:val="000000" w:themeColor="text1"/>
          <w:sz w:val="32"/>
          <w:szCs w:val="32"/>
          <w:lang w:eastAsia="zh-CN"/>
          <w14:textFill>
            <w14:solidFill>
              <w14:schemeClr w14:val="tx1"/>
            </w14:solidFill>
          </w14:textFill>
        </w:rPr>
        <w:t>积极建强</w:t>
      </w:r>
      <w:r>
        <w:rPr>
          <w:rFonts w:hint="eastAsia" w:ascii="仿宋_GB2312" w:eastAsia="仿宋_GB2312" w:cs="仿宋_GB2312"/>
          <w:color w:val="000000" w:themeColor="text1"/>
          <w:sz w:val="32"/>
          <w:szCs w:val="32"/>
          <w14:textFill>
            <w14:solidFill>
              <w14:schemeClr w14:val="tx1"/>
            </w14:solidFill>
          </w14:textFill>
        </w:rPr>
        <w:t>网络宣传思想阵地。持续深化校园及周边安全综合治理，常态化开展安全隐患排查和应急演练，巩固“法治副校长”全覆盖成果。</w:t>
      </w:r>
      <w:r>
        <w:rPr>
          <w:rFonts w:hint="eastAsia" w:ascii="仿宋_GB2312" w:eastAsia="仿宋_GB2312" w:cs="仿宋_GB2312"/>
          <w:color w:val="000000" w:themeColor="text1"/>
          <w:sz w:val="32"/>
          <w:szCs w:val="32"/>
          <w:lang w:eastAsia="zh-CN"/>
          <w14:textFill>
            <w14:solidFill>
              <w14:schemeClr w14:val="tx1"/>
            </w14:solidFill>
          </w14:textFill>
        </w:rPr>
        <w:t>深入</w:t>
      </w:r>
      <w:r>
        <w:rPr>
          <w:rFonts w:hint="eastAsia" w:ascii="仿宋_GB2312" w:eastAsia="仿宋_GB2312" w:cs="仿宋_GB2312"/>
          <w:color w:val="000000" w:themeColor="text1"/>
          <w:sz w:val="32"/>
          <w:szCs w:val="32"/>
          <w14:textFill>
            <w14:solidFill>
              <w14:schemeClr w14:val="tx1"/>
            </w14:solidFill>
          </w14:textFill>
        </w:rPr>
        <w:t>开展“清朗”未成年人网络保护专项行动，</w:t>
      </w:r>
      <w:r>
        <w:rPr>
          <w:rFonts w:hint="eastAsia" w:ascii="仿宋_GB2312" w:eastAsia="仿宋_GB2312" w:cs="仿宋_GB2312"/>
          <w:color w:val="000000" w:themeColor="text1"/>
          <w:sz w:val="32"/>
          <w:szCs w:val="32"/>
          <w:lang w:eastAsia="zh-CN"/>
          <w14:textFill>
            <w14:solidFill>
              <w14:schemeClr w14:val="tx1"/>
            </w14:solidFill>
          </w14:textFill>
        </w:rPr>
        <w:t>不断</w:t>
      </w:r>
      <w:r>
        <w:rPr>
          <w:rFonts w:hint="eastAsia" w:ascii="仿宋_GB2312" w:eastAsia="仿宋_GB2312" w:cs="仿宋_GB2312"/>
          <w:color w:val="000000" w:themeColor="text1"/>
          <w:sz w:val="32"/>
          <w:szCs w:val="32"/>
          <w14:textFill>
            <w14:solidFill>
              <w14:schemeClr w14:val="tx1"/>
            </w14:solidFill>
          </w14:textFill>
        </w:rPr>
        <w:t>净化青少年网络环境。加强网络素养教育，引导青少年文明上网、安全用网，提高信息辨别和风险防范能力。</w:t>
      </w:r>
    </w:p>
    <w:bookmarkEnd w:id="167"/>
    <w:bookmarkEnd w:id="168"/>
    <w:bookmarkEnd w:id="169"/>
    <w:bookmarkEnd w:id="170"/>
    <w:bookmarkEnd w:id="171"/>
    <w:p>
      <w:pPr>
        <w:pStyle w:val="47"/>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rPr>
      </w:pPr>
      <w:bookmarkStart w:id="172" w:name="_Toc14340"/>
      <w:bookmarkStart w:id="173" w:name="_Toc6017"/>
      <w:bookmarkStart w:id="174" w:name="_Toc12097"/>
      <w:r>
        <w:rPr>
          <w:rFonts w:hint="eastAsia"/>
        </w:rPr>
        <w:t>完善权益维护体系</w:t>
      </w:r>
      <w:bookmarkEnd w:id="172"/>
      <w:bookmarkEnd w:id="173"/>
      <w:bookmarkEnd w:id="174"/>
    </w:p>
    <w:p>
      <w:pPr>
        <w:keepNext w:val="0"/>
        <w:keepLines w:val="0"/>
        <w:pageBreakBefore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统筹</w:t>
      </w:r>
      <w:r>
        <w:rPr>
          <w:rFonts w:hint="eastAsia" w:ascii="仿宋_GB2312" w:eastAsia="仿宋_GB2312" w:cs="仿宋_GB2312"/>
          <w:color w:val="000000" w:themeColor="text1"/>
          <w:sz w:val="32"/>
          <w:szCs w:val="32"/>
          <w:lang w:eastAsia="zh-CN"/>
          <w14:textFill>
            <w14:solidFill>
              <w14:schemeClr w14:val="tx1"/>
            </w14:solidFill>
          </w14:textFill>
        </w:rPr>
        <w:t>教育、民政、公安、司法等部门</w:t>
      </w:r>
      <w:r>
        <w:rPr>
          <w:rFonts w:hint="eastAsia" w:ascii="仿宋_GB2312" w:eastAsia="仿宋_GB2312" w:cs="仿宋_GB2312"/>
          <w:color w:val="000000" w:themeColor="text1"/>
          <w:sz w:val="32"/>
          <w:szCs w:val="32"/>
          <w14:textFill>
            <w14:solidFill>
              <w14:schemeClr w14:val="tx1"/>
            </w14:solidFill>
          </w14:textFill>
        </w:rPr>
        <w:t>力量，健全青少年权益监测预警和联动处置机制。推动家庭、学校、社会、网络、政府和司法“六大保护”协同发力。加强家庭教育指导，压实家长监护责任。完善未成年人法律援助和司法救助制度，夯实</w:t>
      </w:r>
      <w:r>
        <w:rPr>
          <w:rFonts w:hint="eastAsia" w:ascii="仿宋_GB2312" w:eastAsia="仿宋_GB2312" w:cs="仿宋_GB2312"/>
          <w:color w:val="000000" w:themeColor="text1"/>
          <w:sz w:val="32"/>
          <w:szCs w:val="32"/>
          <w:lang w:eastAsia="zh-CN"/>
          <w14:textFill>
            <w14:solidFill>
              <w14:schemeClr w14:val="tx1"/>
            </w14:solidFill>
          </w14:textFill>
        </w:rPr>
        <w:t>未成年人司法社会支持体系建设</w:t>
      </w:r>
      <w:r>
        <w:rPr>
          <w:rFonts w:hint="eastAsia" w:ascii="仿宋_GB2312" w:eastAsia="仿宋_GB2312" w:cs="仿宋_GB2312"/>
          <w:color w:val="000000" w:themeColor="text1"/>
          <w:sz w:val="32"/>
          <w:szCs w:val="32"/>
          <w14:textFill>
            <w14:solidFill>
              <w14:schemeClr w14:val="tx1"/>
            </w14:solidFill>
          </w14:textFill>
        </w:rPr>
        <w:t>，确保青少年在权益受侵害时能够得到及时有效的法律保护。</w:t>
      </w:r>
    </w:p>
    <w:bookmarkEnd w:id="147"/>
    <w:bookmarkEnd w:id="148"/>
    <w:p>
      <w:pPr>
        <w:pStyle w:val="47"/>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rPr>
      </w:pPr>
      <w:bookmarkStart w:id="175" w:name="_Toc14353"/>
      <w:r>
        <w:rPr>
          <w:rFonts w:hint="eastAsia"/>
        </w:rPr>
        <w:t>加大侵害行为打击力度</w:t>
      </w:r>
      <w:bookmarkEnd w:id="175"/>
    </w:p>
    <w:bookmarkEnd w:id="136"/>
    <w:bookmarkEnd w:id="137"/>
    <w:bookmarkEnd w:id="138"/>
    <w:bookmarkEnd w:id="139"/>
    <w:p>
      <w:pPr>
        <w:keepNext w:val="0"/>
        <w:keepLines w:val="0"/>
        <w:pageBreakBefore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坚持“零容忍”</w:t>
      </w:r>
      <w:r>
        <w:rPr>
          <w:rFonts w:hint="eastAsia" w:ascii="仿宋_GB2312" w:eastAsia="仿宋_GB2312" w:cs="仿宋_GB2312"/>
          <w:color w:val="000000" w:themeColor="text1"/>
          <w:sz w:val="32"/>
          <w:szCs w:val="32"/>
          <w:lang w:eastAsia="zh-CN"/>
          <w14:textFill>
            <w14:solidFill>
              <w14:schemeClr w14:val="tx1"/>
            </w14:solidFill>
          </w14:textFill>
        </w:rPr>
        <w:t>原则，不断</w:t>
      </w:r>
      <w:r>
        <w:rPr>
          <w:rFonts w:hint="eastAsia" w:ascii="仿宋_GB2312" w:eastAsia="仿宋_GB2312" w:cs="仿宋_GB2312"/>
          <w:color w:val="000000" w:themeColor="text1"/>
          <w:sz w:val="32"/>
          <w:szCs w:val="32"/>
          <w14:textFill>
            <w14:solidFill>
              <w14:schemeClr w14:val="tx1"/>
            </w14:solidFill>
          </w14:textFill>
        </w:rPr>
        <w:t>加大违法犯罪行为打击震慑力度。完善多部门联合执法机制，严格落实侵害未成年人案件强制报告制度，健全从业禁止、线索移送和信息通报等工作</w:t>
      </w:r>
      <w:r>
        <w:rPr>
          <w:rFonts w:hint="eastAsia" w:ascii="仿宋_GB2312" w:eastAsia="仿宋_GB2312" w:cs="仿宋_GB2312"/>
          <w:color w:val="000000" w:themeColor="text1"/>
          <w:sz w:val="32"/>
          <w:szCs w:val="32"/>
          <w:lang w:eastAsia="zh-CN"/>
          <w14:textFill>
            <w14:solidFill>
              <w14:schemeClr w14:val="tx1"/>
            </w14:solidFill>
          </w14:textFill>
        </w:rPr>
        <w:t>机制</w:t>
      </w:r>
      <w:r>
        <w:rPr>
          <w:rFonts w:hint="eastAsia" w:ascii="仿宋_GB2312" w:eastAsia="仿宋_GB2312" w:cs="仿宋_GB2312"/>
          <w:color w:val="000000" w:themeColor="text1"/>
          <w:sz w:val="32"/>
          <w:szCs w:val="32"/>
          <w14:textFill>
            <w14:solidFill>
              <w14:schemeClr w14:val="tx1"/>
            </w14:solidFill>
          </w14:textFill>
        </w:rPr>
        <w:t>。</w:t>
      </w:r>
      <w:r>
        <w:rPr>
          <w:rFonts w:hint="eastAsia" w:ascii="仿宋_GB2312" w:eastAsia="仿宋_GB2312" w:cs="仿宋_GB2312"/>
          <w:color w:val="000000" w:themeColor="text1"/>
          <w:sz w:val="32"/>
          <w:szCs w:val="32"/>
          <w:lang w:eastAsia="zh-CN"/>
          <w14:textFill>
            <w14:solidFill>
              <w14:schemeClr w14:val="tx1"/>
            </w14:solidFill>
          </w14:textFill>
        </w:rPr>
        <w:t>强化舆论引导与社会监督，营造全社会共同抵制侵害未成年人行为的良好氛围。</w:t>
      </w:r>
    </w:p>
    <w:p>
      <w:pPr>
        <w:pStyle w:val="47"/>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lang w:val="en-US" w:eastAsia="zh-CN"/>
        </w:rPr>
      </w:pPr>
      <w:bookmarkStart w:id="176" w:name="_Toc17904"/>
      <w:bookmarkStart w:id="177" w:name="_Toc25936"/>
      <w:bookmarkStart w:id="178" w:name="_Toc1904"/>
      <w:r>
        <w:rPr>
          <w:rFonts w:hint="eastAsia"/>
          <w:lang w:val="en-US" w:eastAsia="zh-CN"/>
        </w:rPr>
        <w:t>深化违法犯罪预防治理</w:t>
      </w:r>
      <w:bookmarkEnd w:id="176"/>
      <w:bookmarkEnd w:id="177"/>
      <w:bookmarkEnd w:id="178"/>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坚持源头防控与教育帮扶并重，</w:t>
      </w: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不断</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完善违法犯罪预防、干预、矫治一体化工作体系。深入开展青少年法治宣传教育，将法治教育融入主题团日、少先队活动和社会实践，充分发挥“新起点基地”青少年法治教育</w:t>
      </w:r>
      <w:r>
        <w:rPr>
          <w:rFonts w:hint="eastAsia" w:ascii="仿宋_GB2312" w:eastAsia="仿宋_GB2312" w:cs="仿宋_GB2312"/>
          <w:color w:val="000000" w:themeColor="text1"/>
          <w:kern w:val="2"/>
          <w:sz w:val="32"/>
          <w:szCs w:val="32"/>
          <w:lang w:val="en-US" w:eastAsia="zh-CN" w:bidi="ar-SA"/>
          <w14:textFill>
            <w14:solidFill>
              <w14:schemeClr w14:val="tx1"/>
            </w14:solidFill>
          </w14:textFill>
        </w:rPr>
        <w:t>等</w:t>
      </w:r>
      <w:r>
        <w:rPr>
          <w:rFonts w:hint="eastAsia" w:ascii="仿宋_GB2312" w:hAnsi="Times New Roman" w:eastAsia="仿宋_GB2312" w:cs="仿宋_GB2312"/>
          <w:color w:val="000000" w:themeColor="text1"/>
          <w:kern w:val="2"/>
          <w:sz w:val="32"/>
          <w:szCs w:val="32"/>
          <w:lang w:val="en-US" w:eastAsia="zh-CN" w:bidi="ar-SA"/>
          <w14:textFill>
            <w14:solidFill>
              <w14:schemeClr w14:val="tx1"/>
            </w14:solidFill>
          </w14:textFill>
        </w:rPr>
        <w:t>阵地作用，增强青少年法律底线意识和自我保护能力。健全罪错未成年人分级干预机制，建立重点青少年群体动态管理台账。依托“西城守未联盟”，深化部门协同联动，构建“预防—保护—教育—矫治”全链条工作机制，为青少年健康成长构筑坚实法治防线。</w:t>
      </w:r>
    </w:p>
    <w:p>
      <w:pPr>
        <w:pStyle w:val="46"/>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left"/>
        <w:textAlignment w:val="auto"/>
        <w:rPr>
          <w:rFonts w:hint="eastAsia"/>
          <w:color w:val="000000" w:themeColor="text1"/>
          <w14:textFill>
            <w14:solidFill>
              <w14:schemeClr w14:val="tx1"/>
            </w14:solidFill>
          </w14:textFill>
        </w:rPr>
      </w:pPr>
      <w:bookmarkStart w:id="179" w:name="_Toc13006"/>
      <w:bookmarkStart w:id="180" w:name="_Toc4929"/>
      <w:bookmarkStart w:id="181" w:name="_Toc18967"/>
      <w:bookmarkStart w:id="182" w:name="_Toc8308"/>
      <w:bookmarkStart w:id="183" w:name="_Toc22767"/>
      <w:bookmarkStart w:id="184" w:name="_Toc1710161025"/>
      <w:bookmarkStart w:id="185" w:name="_Toc2262"/>
      <w:bookmarkStart w:id="186" w:name="_Toc25123"/>
      <w:bookmarkStart w:id="187" w:name="_Toc13615"/>
      <w:bookmarkStart w:id="188" w:name="_Toc4397"/>
      <w:bookmarkStart w:id="189" w:name="_Toc14856"/>
      <w:r>
        <w:rPr>
          <w:rFonts w:hint="eastAsia"/>
          <w:color w:val="000000" w:themeColor="text1"/>
          <w:lang w:eastAsia="zh-CN"/>
          <w14:textFill>
            <w14:solidFill>
              <w14:schemeClr w14:val="tx1"/>
            </w14:solidFill>
          </w14:textFill>
        </w:rPr>
        <w:t>七、</w:t>
      </w:r>
      <w:r>
        <w:rPr>
          <w:rFonts w:hint="eastAsia"/>
          <w:color w:val="000000" w:themeColor="text1"/>
          <w14:textFill>
            <w14:solidFill>
              <w14:schemeClr w14:val="tx1"/>
            </w14:solidFill>
          </w14:textFill>
        </w:rPr>
        <w:t>保障措施</w:t>
      </w:r>
      <w:bookmarkEnd w:id="179"/>
      <w:bookmarkEnd w:id="180"/>
      <w:bookmarkEnd w:id="181"/>
      <w:bookmarkEnd w:id="182"/>
      <w:bookmarkEnd w:id="183"/>
      <w:bookmarkEnd w:id="184"/>
      <w:bookmarkEnd w:id="185"/>
      <w:bookmarkEnd w:id="186"/>
      <w:bookmarkEnd w:id="187"/>
      <w:bookmarkEnd w:id="188"/>
      <w:bookmarkEnd w:id="189"/>
    </w:p>
    <w:p>
      <w:pPr>
        <w:pStyle w:val="48"/>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lang w:val="en-US" w:eastAsia="zh-CN"/>
        </w:rPr>
      </w:pPr>
      <w:bookmarkStart w:id="190" w:name="_Toc9474"/>
      <w:bookmarkStart w:id="191" w:name="_Toc10268"/>
      <w:bookmarkStart w:id="192" w:name="_Toc11405"/>
      <w:bookmarkStart w:id="193" w:name="_Toc27665"/>
      <w:bookmarkStart w:id="194" w:name="_Toc755215727"/>
      <w:bookmarkStart w:id="195" w:name="_Toc29561"/>
      <w:bookmarkStart w:id="196" w:name="_Toc20745"/>
      <w:bookmarkStart w:id="197" w:name="_Toc31256"/>
      <w:r>
        <w:rPr>
          <w:rFonts w:hint="eastAsia"/>
          <w:lang w:val="en-US" w:eastAsia="zh-CN"/>
        </w:rPr>
        <w:t>坚持党的全面领导</w:t>
      </w:r>
      <w:bookmarkEnd w:id="190"/>
      <w:bookmarkEnd w:id="191"/>
      <w:bookmarkEnd w:id="192"/>
      <w:bookmarkEnd w:id="193"/>
      <w:bookmarkEnd w:id="194"/>
      <w:bookmarkEnd w:id="195"/>
      <w:bookmarkEnd w:id="196"/>
      <w:r>
        <w:rPr>
          <w:rFonts w:hint="eastAsia"/>
          <w:lang w:val="en-US" w:eastAsia="zh-CN"/>
        </w:rPr>
        <w:t>，充分发挥区街两级青年工作联席会议机制作用，推动青少年发展与经济社会发展规划紧密衔接，凝聚跨部门协同合力。加强党建带团建、队建，强化青联、少先队等组织建设，配齐配强工作力量，高标准赋能规划高质量实施。加大青少年事业发展支持保障力度，优化公共资源配置，积极解决青少年急难愁盼问题。</w:t>
      </w:r>
      <w:bookmarkStart w:id="198" w:name="_Toc29145"/>
      <w:bookmarkStart w:id="199" w:name="_Toc645347341"/>
      <w:bookmarkStart w:id="200" w:name="_Toc707"/>
      <w:bookmarkStart w:id="201" w:name="_Toc7062"/>
      <w:bookmarkStart w:id="202" w:name="_Toc15862"/>
      <w:bookmarkStart w:id="203" w:name="_Toc8505"/>
      <w:bookmarkStart w:id="204" w:name="_Toc335"/>
      <w:r>
        <w:rPr>
          <w:rFonts w:hint="eastAsia"/>
          <w:lang w:val="en-US" w:eastAsia="zh-CN"/>
        </w:rPr>
        <w:t>营造良好宣传氛围</w:t>
      </w:r>
      <w:bookmarkEnd w:id="198"/>
      <w:bookmarkEnd w:id="199"/>
      <w:bookmarkEnd w:id="200"/>
      <w:bookmarkEnd w:id="201"/>
      <w:bookmarkEnd w:id="202"/>
      <w:bookmarkEnd w:id="203"/>
      <w:bookmarkEnd w:id="204"/>
      <w:r>
        <w:rPr>
          <w:rFonts w:hint="eastAsia"/>
          <w:lang w:val="en-US" w:eastAsia="zh-CN"/>
        </w:rPr>
        <w:t>，大力宣传国家和北京市关于青少年工作的方针政策，多层次宣传引导凝聚社会共识，形成全社会关心支持青少年发展的优良环境，汇聚推动规划实施的强大合力。</w:t>
      </w:r>
      <w:bookmarkEnd w:id="197"/>
    </w:p>
    <w:sectPr>
      <w:footerReference r:id="rId11" w:type="default"/>
      <w:footerReference r:id="rId12" w:type="even"/>
      <w:pgSz w:w="11906" w:h="16838"/>
      <w:pgMar w:top="2098" w:right="1474" w:bottom="1985" w:left="1588" w:header="1417" w:footer="1417" w:gutter="0"/>
      <w:pgNumType w:fmt="numberInDash" w:start="1"/>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等线">
    <w:panose1 w:val="02010600030101010101"/>
    <w:charset w:val="86"/>
    <w:family w:val="auto"/>
    <w:pitch w:val="default"/>
    <w:sig w:usb0="800002BF" w:usb1="38CF7CFA" w:usb2="00000016" w:usb3="00000000" w:csb0="00040001" w:csb1="00000000"/>
  </w:font>
  <w:font w:name="华文琥珀">
    <w:panose1 w:val="02010800040101010101"/>
    <w:charset w:val="86"/>
    <w:family w:val="auto"/>
    <w:pitch w:val="default"/>
    <w:sig w:usb0="00000001" w:usb1="080F0000" w:usb2="00000000" w:usb3="00000000" w:csb0="00040000" w:csb1="00000000"/>
  </w:font>
  <w:font w:name="KaiTi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FangSong_GB2312">
    <w:altName w:val="仿宋_GB2312"/>
    <w:panose1 w:val="02010609030101010101"/>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tabs>
        <w:tab w:val="clear" w:pos="4153"/>
        <w:tab w:val="clear" w:pos="8306"/>
      </w:tabs>
      <w:spacing w:af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center"/>
    </w:pPr>
  </w:p>
  <w:p>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rPr>
        <w:rFonts w:hint="eastAsia" w:ascii="宋体" w:cs="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8"/>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spacing w:after="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8"/>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spacing w:after="0"/>
      <w:ind w:left="210"/>
      <w:jc w:val="right"/>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8"/>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spacing w:after="0"/>
      <w:ind w:right="210" w:rightChars="100"/>
      <w:rPr>
        <w:rFonts w:hint="eastAsia" w:asci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rPr>
        <w:rFonts w:hint="eastAsia" w:ascii="楷体_GB2312" w:eastAsia="楷体_GB2312" w:cs="楷体_GB2312"/>
        <w:sz w:val="28"/>
        <w:szCs w:val="28"/>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FFFBD1"/>
    <w:multiLevelType w:val="singleLevel"/>
    <w:tmpl w:val="8DFFFBD1"/>
    <w:lvl w:ilvl="0" w:tentative="0">
      <w:start w:val="1"/>
      <w:numFmt w:val="chineseCounting"/>
      <w:pStyle w:val="47"/>
      <w:suff w:val="nothing"/>
      <w:lvlText w:val="（%1）"/>
      <w:lvlJc w:val="left"/>
      <w:pPr>
        <w:ind w:left="0" w:firstLine="397"/>
      </w:pPr>
      <w:rPr>
        <w:rFonts w:hint="eastAsia"/>
      </w:rPr>
    </w:lvl>
  </w:abstractNum>
  <w:abstractNum w:abstractNumId="1">
    <w:nsid w:val="BB27A6FD"/>
    <w:multiLevelType w:val="singleLevel"/>
    <w:tmpl w:val="BB27A6FD"/>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trackRevisions w:val="1"/>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doNotWrapTextWithPunct/>
    <w:doNotUseEastAsianBreakRules/>
    <w:growAutofit/>
    <w:useFELayout/>
    <w:doNotUseIndentAsNumberingTabStop/>
    <w:compatSetting w:name="compatibilityMode" w:uri="http://schemas.microsoft.com/office/word" w:val="14"/>
  </w:compat>
  <w:rsids>
    <w:rsidRoot w:val="00000000"/>
    <w:rsid w:val="002E1F6F"/>
    <w:rsid w:val="025D35EE"/>
    <w:rsid w:val="02B439EF"/>
    <w:rsid w:val="05AD32D8"/>
    <w:rsid w:val="09532BDA"/>
    <w:rsid w:val="0AB85003"/>
    <w:rsid w:val="0B9418E0"/>
    <w:rsid w:val="0BFE72EE"/>
    <w:rsid w:val="0C354C94"/>
    <w:rsid w:val="0EBE43FA"/>
    <w:rsid w:val="10491DDA"/>
    <w:rsid w:val="10F156AF"/>
    <w:rsid w:val="12FF7075"/>
    <w:rsid w:val="143A3AA6"/>
    <w:rsid w:val="14767376"/>
    <w:rsid w:val="15D96666"/>
    <w:rsid w:val="173E758D"/>
    <w:rsid w:val="1A780949"/>
    <w:rsid w:val="1AAF0857"/>
    <w:rsid w:val="1E210259"/>
    <w:rsid w:val="203B4489"/>
    <w:rsid w:val="208B1507"/>
    <w:rsid w:val="21D11EF5"/>
    <w:rsid w:val="24641BC2"/>
    <w:rsid w:val="24706E5F"/>
    <w:rsid w:val="24DE34FB"/>
    <w:rsid w:val="254B3C09"/>
    <w:rsid w:val="25660B50"/>
    <w:rsid w:val="25D0472B"/>
    <w:rsid w:val="267043B5"/>
    <w:rsid w:val="2A842C6B"/>
    <w:rsid w:val="2C875A6B"/>
    <w:rsid w:val="2D7928B5"/>
    <w:rsid w:val="2EFB0B2F"/>
    <w:rsid w:val="30B515F7"/>
    <w:rsid w:val="34B969DC"/>
    <w:rsid w:val="3E871569"/>
    <w:rsid w:val="3F33033C"/>
    <w:rsid w:val="3FFBF4C6"/>
    <w:rsid w:val="4197550C"/>
    <w:rsid w:val="4251063B"/>
    <w:rsid w:val="435117A9"/>
    <w:rsid w:val="441C2557"/>
    <w:rsid w:val="442B09F5"/>
    <w:rsid w:val="45000349"/>
    <w:rsid w:val="45EB0387"/>
    <w:rsid w:val="47E35267"/>
    <w:rsid w:val="4A25516C"/>
    <w:rsid w:val="4A901F45"/>
    <w:rsid w:val="4B8168D6"/>
    <w:rsid w:val="542838C1"/>
    <w:rsid w:val="56B06C94"/>
    <w:rsid w:val="571B3694"/>
    <w:rsid w:val="5E5154C8"/>
    <w:rsid w:val="5E5C63DC"/>
    <w:rsid w:val="5E6330C9"/>
    <w:rsid w:val="64955377"/>
    <w:rsid w:val="653D4D3C"/>
    <w:rsid w:val="667F3A14"/>
    <w:rsid w:val="68E21159"/>
    <w:rsid w:val="697F14D9"/>
    <w:rsid w:val="6A3B4354"/>
    <w:rsid w:val="6AA71D09"/>
    <w:rsid w:val="6B421B88"/>
    <w:rsid w:val="6B6F7BE2"/>
    <w:rsid w:val="6BF071CE"/>
    <w:rsid w:val="6C045002"/>
    <w:rsid w:val="6CD67EE1"/>
    <w:rsid w:val="7222237A"/>
    <w:rsid w:val="740C1B99"/>
    <w:rsid w:val="753E0A88"/>
    <w:rsid w:val="77277A8F"/>
    <w:rsid w:val="773D7D51"/>
    <w:rsid w:val="78C818CA"/>
    <w:rsid w:val="7A1070DB"/>
    <w:rsid w:val="7AF863A7"/>
    <w:rsid w:val="7BFF59D6"/>
    <w:rsid w:val="7DFF2F8B"/>
    <w:rsid w:val="7FCD4DB4"/>
    <w:rsid w:val="7FDF6607"/>
    <w:rsid w:val="B7FF7547"/>
    <w:rsid w:val="F7FB291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widowControl w:val="0"/>
      <w:spacing w:before="480" w:after="80"/>
      <w:jc w:val="left"/>
      <w:outlineLvl w:val="0"/>
    </w:pPr>
    <w:rPr>
      <w:rFonts w:ascii="等线 Light" w:eastAsia="等线 Light" w:cs="宋体"/>
      <w:color w:val="104862"/>
      <w:sz w:val="48"/>
      <w:szCs w:val="48"/>
    </w:rPr>
  </w:style>
  <w:style w:type="paragraph" w:styleId="4">
    <w:name w:val="heading 2"/>
    <w:basedOn w:val="1"/>
    <w:next w:val="1"/>
    <w:qFormat/>
    <w:uiPriority w:val="0"/>
    <w:pPr>
      <w:keepNext/>
      <w:keepLines/>
      <w:widowControl w:val="0"/>
      <w:spacing w:before="160" w:after="80"/>
      <w:jc w:val="left"/>
      <w:outlineLvl w:val="1"/>
    </w:pPr>
    <w:rPr>
      <w:rFonts w:ascii="等线 Light" w:eastAsia="等线 Light" w:cs="宋体"/>
      <w:color w:val="104862"/>
      <w:sz w:val="40"/>
      <w:szCs w:val="40"/>
    </w:rPr>
  </w:style>
  <w:style w:type="paragraph" w:styleId="5">
    <w:name w:val="heading 3"/>
    <w:basedOn w:val="1"/>
    <w:next w:val="1"/>
    <w:qFormat/>
    <w:uiPriority w:val="0"/>
    <w:pPr>
      <w:keepNext/>
      <w:keepLines/>
      <w:widowControl w:val="0"/>
      <w:spacing w:before="160" w:after="80"/>
      <w:jc w:val="left"/>
      <w:outlineLvl w:val="2"/>
    </w:pPr>
    <w:rPr>
      <w:rFonts w:ascii="等线 Light" w:eastAsia="等线 Light" w:cs="宋体"/>
      <w:color w:val="104862"/>
      <w:sz w:val="32"/>
      <w:szCs w:val="32"/>
    </w:rPr>
  </w:style>
  <w:style w:type="paragraph" w:styleId="6">
    <w:name w:val="heading 4"/>
    <w:basedOn w:val="1"/>
    <w:next w:val="1"/>
    <w:qFormat/>
    <w:uiPriority w:val="0"/>
    <w:pPr>
      <w:keepNext/>
      <w:keepLines/>
      <w:widowControl w:val="0"/>
      <w:spacing w:before="80" w:after="40"/>
      <w:jc w:val="left"/>
      <w:outlineLvl w:val="3"/>
    </w:pPr>
    <w:rPr>
      <w:rFonts w:ascii="等线" w:eastAsia="等线" w:cs="宋体"/>
      <w:color w:val="104862"/>
      <w:sz w:val="28"/>
      <w:szCs w:val="28"/>
    </w:rPr>
  </w:style>
  <w:style w:type="paragraph" w:styleId="7">
    <w:name w:val="heading 5"/>
    <w:basedOn w:val="1"/>
    <w:next w:val="1"/>
    <w:qFormat/>
    <w:uiPriority w:val="0"/>
    <w:pPr>
      <w:keepNext/>
      <w:keepLines/>
      <w:widowControl w:val="0"/>
      <w:spacing w:before="80" w:after="40"/>
      <w:jc w:val="left"/>
      <w:outlineLvl w:val="4"/>
    </w:pPr>
    <w:rPr>
      <w:rFonts w:ascii="等线" w:eastAsia="等线" w:cs="宋体"/>
      <w:color w:val="104862"/>
      <w:sz w:val="24"/>
    </w:rPr>
  </w:style>
  <w:style w:type="paragraph" w:styleId="8">
    <w:name w:val="heading 6"/>
    <w:basedOn w:val="1"/>
    <w:next w:val="1"/>
    <w:qFormat/>
    <w:uiPriority w:val="0"/>
    <w:pPr>
      <w:keepNext/>
      <w:keepLines/>
      <w:widowControl w:val="0"/>
      <w:spacing w:before="40"/>
      <w:jc w:val="left"/>
      <w:outlineLvl w:val="5"/>
    </w:pPr>
    <w:rPr>
      <w:rFonts w:ascii="等线" w:eastAsia="等线" w:cs="宋体"/>
      <w:b/>
      <w:bCs/>
      <w:color w:val="104862"/>
      <w:sz w:val="22"/>
    </w:rPr>
  </w:style>
  <w:style w:type="paragraph" w:styleId="9">
    <w:name w:val="heading 7"/>
    <w:basedOn w:val="1"/>
    <w:next w:val="1"/>
    <w:qFormat/>
    <w:uiPriority w:val="0"/>
    <w:pPr>
      <w:keepNext/>
      <w:keepLines/>
      <w:widowControl w:val="0"/>
      <w:spacing w:before="40"/>
      <w:jc w:val="left"/>
      <w:outlineLvl w:val="6"/>
    </w:pPr>
    <w:rPr>
      <w:rFonts w:ascii="等线" w:eastAsia="等线" w:cs="宋体"/>
      <w:b/>
      <w:bCs/>
      <w:color w:val="595959"/>
      <w:sz w:val="22"/>
    </w:rPr>
  </w:style>
  <w:style w:type="paragraph" w:styleId="10">
    <w:name w:val="heading 8"/>
    <w:basedOn w:val="1"/>
    <w:next w:val="1"/>
    <w:qFormat/>
    <w:uiPriority w:val="0"/>
    <w:pPr>
      <w:keepNext/>
      <w:keepLines/>
      <w:widowControl w:val="0"/>
      <w:jc w:val="left"/>
      <w:outlineLvl w:val="7"/>
    </w:pPr>
    <w:rPr>
      <w:rFonts w:ascii="等线" w:eastAsia="等线" w:cs="宋体"/>
      <w:color w:val="595959"/>
      <w:sz w:val="22"/>
    </w:rPr>
  </w:style>
  <w:style w:type="paragraph" w:styleId="11">
    <w:name w:val="heading 9"/>
    <w:basedOn w:val="1"/>
    <w:next w:val="1"/>
    <w:qFormat/>
    <w:uiPriority w:val="0"/>
    <w:pPr>
      <w:keepNext/>
      <w:keepLines/>
      <w:widowControl w:val="0"/>
      <w:jc w:val="left"/>
      <w:outlineLvl w:val="8"/>
    </w:pPr>
    <w:rPr>
      <w:rFonts w:ascii="等线" w:hAnsi="等线" w:eastAsia="等线 Light" w:cs="宋体"/>
      <w:color w:val="595959"/>
      <w:sz w:val="22"/>
    </w:rPr>
  </w:style>
  <w:style w:type="character" w:default="1" w:styleId="28">
    <w:name w:val="Default Paragraph Font"/>
    <w:qFormat/>
    <w:uiPriority w:val="0"/>
  </w:style>
  <w:style w:type="table" w:default="1" w:styleId="27">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rPr>
  </w:style>
  <w:style w:type="paragraph" w:styleId="12">
    <w:name w:val="Normal Indent"/>
    <w:basedOn w:val="1"/>
    <w:next w:val="13"/>
    <w:qFormat/>
    <w:uiPriority w:val="0"/>
    <w:pPr>
      <w:ind w:firstLine="200" w:firstLineChars="200"/>
    </w:pPr>
  </w:style>
  <w:style w:type="paragraph" w:styleId="13">
    <w:name w:val="Body Text Indent"/>
    <w:basedOn w:val="1"/>
    <w:next w:val="12"/>
    <w:qFormat/>
    <w:uiPriority w:val="0"/>
    <w:pPr>
      <w:spacing w:after="120"/>
      <w:ind w:left="200" w:leftChars="200"/>
    </w:pPr>
  </w:style>
  <w:style w:type="paragraph" w:styleId="14">
    <w:name w:val="caption"/>
    <w:basedOn w:val="1"/>
    <w:next w:val="1"/>
    <w:qFormat/>
    <w:uiPriority w:val="0"/>
    <w:rPr>
      <w:rFonts w:ascii="Arial" w:hAnsi="Arial" w:eastAsia="黑体"/>
      <w:sz w:val="20"/>
    </w:rPr>
  </w:style>
  <w:style w:type="paragraph" w:styleId="15">
    <w:name w:val="annotation text"/>
    <w:basedOn w:val="1"/>
    <w:qFormat/>
    <w:uiPriority w:val="0"/>
    <w:pPr>
      <w:jc w:val="left"/>
    </w:pPr>
  </w:style>
  <w:style w:type="paragraph" w:styleId="16">
    <w:name w:val="toc 3"/>
    <w:basedOn w:val="1"/>
    <w:next w:val="1"/>
    <w:qFormat/>
    <w:uiPriority w:val="0"/>
    <w:pPr>
      <w:ind w:left="400" w:leftChars="400"/>
    </w:pPr>
  </w:style>
  <w:style w:type="paragraph" w:styleId="17">
    <w:name w:val="Date"/>
    <w:basedOn w:val="1"/>
    <w:next w:val="1"/>
    <w:qFormat/>
    <w:uiPriority w:val="0"/>
    <w:pPr>
      <w:ind w:left="2500" w:leftChars="2500"/>
    </w:pPr>
  </w:style>
  <w:style w:type="paragraph" w:styleId="18">
    <w:name w:val="footer"/>
    <w:basedOn w:val="1"/>
    <w:qFormat/>
    <w:uiPriority w:val="0"/>
    <w:pPr>
      <w:tabs>
        <w:tab w:val="center" w:pos="4153"/>
        <w:tab w:val="right" w:pos="8306"/>
      </w:tabs>
      <w:snapToGrid w:val="0"/>
      <w:jc w:val="left"/>
    </w:pPr>
    <w:rPr>
      <w:sz w:val="18"/>
      <w:szCs w:val="18"/>
    </w:rPr>
  </w:style>
  <w:style w:type="paragraph" w:styleId="1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0"/>
  </w:style>
  <w:style w:type="paragraph" w:styleId="21">
    <w:name w:val="Subtitle"/>
    <w:basedOn w:val="1"/>
    <w:next w:val="1"/>
    <w:qFormat/>
    <w:uiPriority w:val="0"/>
    <w:pPr>
      <w:jc w:val="center"/>
    </w:pPr>
    <w:rPr>
      <w:rFonts w:ascii="等线 Light" w:eastAsia="等线 Light" w:cs="宋体"/>
      <w:color w:val="595959"/>
      <w:spacing w:val="15"/>
      <w:sz w:val="28"/>
      <w:szCs w:val="28"/>
    </w:rPr>
  </w:style>
  <w:style w:type="paragraph" w:styleId="22">
    <w:name w:val="footnote text"/>
    <w:basedOn w:val="1"/>
    <w:qFormat/>
    <w:uiPriority w:val="0"/>
    <w:pPr>
      <w:snapToGrid w:val="0"/>
      <w:jc w:val="left"/>
    </w:pPr>
    <w:rPr>
      <w:rFonts w:ascii="Calibri" w:hAnsi="Calibri"/>
      <w:sz w:val="18"/>
      <w:szCs w:val="18"/>
    </w:rPr>
  </w:style>
  <w:style w:type="paragraph" w:styleId="23">
    <w:name w:val="toc 2"/>
    <w:basedOn w:val="1"/>
    <w:next w:val="1"/>
    <w:qFormat/>
    <w:uiPriority w:val="0"/>
    <w:pPr>
      <w:ind w:left="200" w:leftChars="200"/>
    </w:pPr>
  </w:style>
  <w:style w:type="paragraph" w:styleId="24">
    <w:name w:val="Normal (Web)"/>
    <w:basedOn w:val="1"/>
    <w:qFormat/>
    <w:uiPriority w:val="0"/>
    <w:pPr>
      <w:spacing w:before="100" w:beforeAutospacing="1" w:after="100" w:afterAutospacing="1"/>
      <w:jc w:val="left"/>
    </w:pPr>
    <w:rPr>
      <w:rFonts w:ascii="Calibri" w:hAnsi="Calibri" w:eastAsia="仿宋_GB2312" w:cs="华文琥珀"/>
      <w:spacing w:val="6"/>
      <w:kern w:val="0"/>
      <w:sz w:val="24"/>
    </w:rPr>
  </w:style>
  <w:style w:type="paragraph" w:styleId="25">
    <w:name w:val="Title"/>
    <w:basedOn w:val="1"/>
    <w:next w:val="1"/>
    <w:qFormat/>
    <w:uiPriority w:val="0"/>
    <w:pPr>
      <w:spacing w:after="80"/>
      <w:contextualSpacing/>
      <w:jc w:val="center"/>
    </w:pPr>
    <w:rPr>
      <w:rFonts w:ascii="等线 Light" w:eastAsia="等线 Light" w:cs="宋体"/>
      <w:spacing w:val="-10"/>
      <w:kern w:val="28"/>
      <w:sz w:val="56"/>
      <w:szCs w:val="56"/>
    </w:rPr>
  </w:style>
  <w:style w:type="paragraph" w:styleId="26">
    <w:name w:val="annotation subject"/>
    <w:basedOn w:val="15"/>
    <w:next w:val="15"/>
    <w:qFormat/>
    <w:uiPriority w:val="0"/>
    <w:rPr>
      <w:b/>
      <w:bCs/>
    </w:rPr>
  </w:style>
  <w:style w:type="character" w:styleId="29">
    <w:name w:val="Strong"/>
    <w:basedOn w:val="28"/>
    <w:qFormat/>
    <w:uiPriority w:val="0"/>
    <w:rPr>
      <w:b/>
      <w:bCs/>
    </w:rPr>
  </w:style>
  <w:style w:type="character" w:styleId="30">
    <w:name w:val="Hyperlink"/>
    <w:basedOn w:val="28"/>
    <w:qFormat/>
    <w:uiPriority w:val="0"/>
    <w:rPr>
      <w:color w:val="467886"/>
      <w:u w:val="single"/>
    </w:rPr>
  </w:style>
  <w:style w:type="character" w:styleId="31">
    <w:name w:val="annotation reference"/>
    <w:basedOn w:val="28"/>
    <w:qFormat/>
    <w:uiPriority w:val="0"/>
    <w:rPr>
      <w:sz w:val="21"/>
      <w:szCs w:val="21"/>
    </w:rPr>
  </w:style>
  <w:style w:type="character" w:styleId="32">
    <w:name w:val="footnote reference"/>
    <w:qFormat/>
    <w:uiPriority w:val="0"/>
    <w:rPr>
      <w:vertAlign w:val="superscript"/>
    </w:rPr>
  </w:style>
  <w:style w:type="paragraph" w:customStyle="1" w:styleId="33">
    <w:name w:val="黑体"/>
    <w:basedOn w:val="1"/>
    <w:link w:val="50"/>
    <w:qFormat/>
    <w:uiPriority w:val="0"/>
    <w:pPr>
      <w:snapToGrid w:val="0"/>
      <w:spacing w:line="560" w:lineRule="exact"/>
      <w:ind w:firstLine="200" w:firstLineChars="200"/>
      <w:jc w:val="center"/>
    </w:pPr>
    <w:rPr>
      <w:rFonts w:ascii="仿宋_GB2312" w:hAnsi="仿宋_GB2312" w:eastAsia="黑体" w:cs="仿宋_GB2312"/>
      <w:sz w:val="32"/>
      <w:szCs w:val="44"/>
    </w:rPr>
  </w:style>
  <w:style w:type="paragraph" w:customStyle="1" w:styleId="34">
    <w:name w:val="引用1"/>
    <w:basedOn w:val="1"/>
    <w:next w:val="1"/>
    <w:qFormat/>
    <w:uiPriority w:val="0"/>
    <w:pPr>
      <w:spacing w:before="160"/>
      <w:jc w:val="center"/>
    </w:pPr>
    <w:rPr>
      <w:rFonts w:ascii="等线" w:eastAsia="等线" w:cs="宋体"/>
      <w:i/>
      <w:iCs/>
      <w:color w:val="3F3F3F"/>
      <w:sz w:val="22"/>
    </w:rPr>
  </w:style>
  <w:style w:type="paragraph" w:customStyle="1" w:styleId="35">
    <w:name w:val="列表段落1"/>
    <w:basedOn w:val="1"/>
    <w:qFormat/>
    <w:uiPriority w:val="0"/>
    <w:pPr>
      <w:ind w:left="720"/>
      <w:contextualSpacing/>
      <w:jc w:val="left"/>
    </w:pPr>
    <w:rPr>
      <w:rFonts w:ascii="等线" w:eastAsia="等线" w:cs="宋体"/>
      <w:sz w:val="22"/>
    </w:rPr>
  </w:style>
  <w:style w:type="character" w:customStyle="1" w:styleId="36">
    <w:name w:val="明显强调1"/>
    <w:basedOn w:val="28"/>
    <w:qFormat/>
    <w:uiPriority w:val="0"/>
    <w:rPr>
      <w:i/>
      <w:iCs/>
      <w:color w:val="104862"/>
    </w:rPr>
  </w:style>
  <w:style w:type="paragraph" w:customStyle="1" w:styleId="37">
    <w:name w:val="明显引用1"/>
    <w:basedOn w:val="1"/>
    <w:next w:val="1"/>
    <w:qFormat/>
    <w:uiPriority w:val="0"/>
    <w:pPr>
      <w:pBdr>
        <w:top w:val="single" w:color="0F4761" w:sz="4" w:space="10"/>
        <w:bottom w:val="single" w:color="0F4761" w:sz="4" w:space="10"/>
      </w:pBdr>
      <w:spacing w:before="360" w:after="360"/>
      <w:ind w:left="864" w:right="864"/>
      <w:jc w:val="center"/>
    </w:pPr>
    <w:rPr>
      <w:rFonts w:ascii="等线" w:eastAsia="等线" w:cs="宋体"/>
      <w:i/>
      <w:iCs/>
      <w:color w:val="104862"/>
      <w:sz w:val="22"/>
    </w:rPr>
  </w:style>
  <w:style w:type="character" w:customStyle="1" w:styleId="38">
    <w:name w:val="明显参考1"/>
    <w:basedOn w:val="28"/>
    <w:qFormat/>
    <w:uiPriority w:val="0"/>
    <w:rPr>
      <w:b/>
      <w:bCs/>
      <w:smallCaps/>
      <w:color w:val="104862"/>
      <w:spacing w:val="5"/>
    </w:rPr>
  </w:style>
  <w:style w:type="paragraph" w:customStyle="1" w:styleId="39">
    <w:name w:val="脚注文本1"/>
    <w:basedOn w:val="1"/>
    <w:next w:val="22"/>
    <w:qFormat/>
    <w:uiPriority w:val="0"/>
    <w:pPr>
      <w:snapToGrid w:val="0"/>
      <w:spacing w:line="560" w:lineRule="exact"/>
      <w:ind w:firstLine="200" w:firstLineChars="200"/>
      <w:jc w:val="left"/>
    </w:pPr>
    <w:rPr>
      <w:rFonts w:ascii="仿宋_GB2312" w:eastAsia="仿宋_GB2312" w:cs="仿宋_GB2312"/>
      <w:color w:val="000000"/>
      <w:sz w:val="18"/>
      <w:szCs w:val="18"/>
    </w:rPr>
  </w:style>
  <w:style w:type="paragraph" w:customStyle="1" w:styleId="40">
    <w:name w:val="ds-markdown-paragraph"/>
    <w:basedOn w:val="1"/>
    <w:qFormat/>
    <w:uiPriority w:val="0"/>
    <w:pPr>
      <w:widowControl/>
      <w:spacing w:before="100" w:beforeAutospacing="1" w:after="100" w:afterAutospacing="1"/>
      <w:jc w:val="left"/>
    </w:pPr>
    <w:rPr>
      <w:rFonts w:ascii="宋体" w:cs="宋体"/>
      <w:kern w:val="0"/>
      <w:sz w:val="24"/>
    </w:rPr>
  </w:style>
  <w:style w:type="paragraph" w:customStyle="1" w:styleId="41">
    <w:name w:val="无间隔1"/>
    <w:qFormat/>
    <w:uiPriority w:val="0"/>
    <w:pPr>
      <w:widowControl w:val="0"/>
      <w:spacing w:after="160" w:line="278" w:lineRule="auto"/>
      <w:jc w:val="both"/>
    </w:pPr>
    <w:rPr>
      <w:rFonts w:ascii="Times New Roman" w:hAnsi="Times New Roman" w:eastAsia="仿宋_GB2312" w:cs="Times New Roman"/>
      <w:kern w:val="2"/>
      <w:sz w:val="32"/>
      <w:szCs w:val="24"/>
      <w:lang w:val="en-US" w:eastAsia="zh-CN" w:bidi="ar-SA"/>
    </w:rPr>
  </w:style>
  <w:style w:type="paragraph" w:customStyle="1" w:styleId="42">
    <w:name w:val="缩进正文"/>
    <w:basedOn w:val="1"/>
    <w:qFormat/>
    <w:uiPriority w:val="0"/>
    <w:pPr>
      <w:spacing w:line="400" w:lineRule="exact"/>
      <w:ind w:firstLine="200" w:firstLineChars="200"/>
    </w:pPr>
    <w:rPr>
      <w:rFonts w:ascii="等线" w:hAnsi="等线" w:eastAsia="仿宋_GB2312" w:cs="宋体"/>
      <w:sz w:val="32"/>
    </w:rPr>
  </w:style>
  <w:style w:type="paragraph" w:customStyle="1" w:styleId="43">
    <w:name w:val="WPSOffice手动目录 1"/>
    <w:qFormat/>
    <w:uiPriority w:val="0"/>
    <w:pPr>
      <w:spacing w:after="160" w:line="278" w:lineRule="auto"/>
    </w:pPr>
    <w:rPr>
      <w:rFonts w:ascii="Times New Roman" w:hAnsi="Times New Roman" w:eastAsia="宋体" w:cs="Times New Roman"/>
      <w:lang w:val="en-US" w:eastAsia="zh-CN" w:bidi="ar-SA"/>
    </w:rPr>
  </w:style>
  <w:style w:type="paragraph" w:customStyle="1" w:styleId="44">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45">
    <w:name w:val="修订2"/>
    <w:qFormat/>
    <w:uiPriority w:val="0"/>
    <w:rPr>
      <w:rFonts w:ascii="Times New Roman" w:hAnsi="Times New Roman" w:eastAsia="宋体" w:cs="Times New Roman"/>
      <w:kern w:val="2"/>
      <w:sz w:val="21"/>
      <w:szCs w:val="24"/>
      <w:lang w:val="en-US" w:eastAsia="zh-CN" w:bidi="ar-SA"/>
    </w:rPr>
  </w:style>
  <w:style w:type="paragraph" w:customStyle="1" w:styleId="46">
    <w:name w:val="一级标题-黑体"/>
    <w:basedOn w:val="1"/>
    <w:qFormat/>
    <w:uiPriority w:val="0"/>
    <w:pPr>
      <w:adjustRightInd w:val="0"/>
      <w:snapToGrid w:val="0"/>
      <w:spacing w:after="0" w:line="600" w:lineRule="exact"/>
      <w:jc w:val="center"/>
      <w:outlineLvl w:val="0"/>
    </w:pPr>
    <w:rPr>
      <w:rFonts w:hint="eastAsia" w:ascii="黑体" w:hAnsi="黑体" w:eastAsia="黑体" w:cs="黑体"/>
      <w:color w:val="000000"/>
      <w:sz w:val="32"/>
      <w:szCs w:val="32"/>
    </w:rPr>
  </w:style>
  <w:style w:type="paragraph" w:customStyle="1" w:styleId="47">
    <w:name w:val="二级标题-楷体"/>
    <w:basedOn w:val="1"/>
    <w:qFormat/>
    <w:uiPriority w:val="0"/>
    <w:pPr>
      <w:numPr>
        <w:ilvl w:val="0"/>
        <w:numId w:val="1"/>
      </w:numPr>
      <w:adjustRightInd w:val="0"/>
      <w:snapToGrid w:val="0"/>
      <w:spacing w:after="0" w:line="600" w:lineRule="exact"/>
      <w:ind w:firstLine="397" w:firstLineChars="0"/>
      <w:outlineLvl w:val="1"/>
    </w:pPr>
    <w:rPr>
      <w:rFonts w:hint="eastAsia" w:ascii="KaiTi_GB2312" w:hAnsi="KaiTi_GB2312" w:eastAsia="楷体_GB2312" w:cs="楷体_GB2312"/>
      <w:color w:val="000000"/>
      <w:sz w:val="32"/>
      <w:szCs w:val="32"/>
    </w:rPr>
  </w:style>
  <w:style w:type="paragraph" w:customStyle="1" w:styleId="48">
    <w:name w:val="正文仿宋"/>
    <w:basedOn w:val="1"/>
    <w:link w:val="49"/>
    <w:qFormat/>
    <w:uiPriority w:val="0"/>
    <w:pPr>
      <w:adjustRightInd w:val="0"/>
      <w:snapToGrid w:val="0"/>
      <w:spacing w:after="0" w:line="600" w:lineRule="exact"/>
      <w:ind w:firstLine="640" w:firstLineChars="200"/>
    </w:pPr>
    <w:rPr>
      <w:rFonts w:hint="eastAsia" w:ascii="FangSong_GB2312" w:hAnsi="FangSong_GB2312" w:eastAsia="仿宋_GB2312" w:cs="仿宋_GB2312"/>
      <w:color w:val="000000"/>
      <w:sz w:val="32"/>
      <w:szCs w:val="32"/>
    </w:rPr>
  </w:style>
  <w:style w:type="character" w:customStyle="1" w:styleId="49">
    <w:name w:val="正文仿宋 Char"/>
    <w:link w:val="48"/>
    <w:qFormat/>
    <w:uiPriority w:val="0"/>
    <w:rPr>
      <w:rFonts w:hint="eastAsia" w:ascii="FangSong_GB2312" w:hAnsi="FangSong_GB2312" w:eastAsia="仿宋_GB2312" w:cs="仿宋_GB2312"/>
      <w:color w:val="000000"/>
      <w:sz w:val="32"/>
      <w:szCs w:val="32"/>
    </w:rPr>
  </w:style>
  <w:style w:type="character" w:customStyle="1" w:styleId="50">
    <w:name w:val="黑体 Char"/>
    <w:link w:val="33"/>
    <w:qFormat/>
    <w:uiPriority w:val="0"/>
    <w:rPr>
      <w:rFonts w:ascii="仿宋_GB2312" w:hAnsi="仿宋_GB2312" w:eastAsia="黑体" w:cs="仿宋_GB2312"/>
      <w:sz w:val="32"/>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17</Pages>
  <Words>1790</Words>
  <Characters>1811</Characters>
  <Lines>568</Lines>
  <Paragraphs>223</Paragraphs>
  <TotalTime>11</TotalTime>
  <ScaleCrop>false</ScaleCrop>
  <LinksUpToDate>false</LinksUpToDate>
  <CharactersWithSpaces>1927</CharactersWithSpaces>
  <Application>WPS Office_11.8.2.11473_F1E327BC-269C-435d-A152-05C5408002CA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2026-07-03T17:31:00Z</dcterms:created>
  <dc:creator>Cao</dc:creator>
  <cp:lastModifiedBy>admin</cp:lastModifiedBy>
  <cp:lastPrinted>2026-09-29T02:41:00Z</cp:lastPrinted>
  <dcterms:modified xsi:type="dcterms:W3CDTF">2026-10-15T03:40:07Z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ICV">
    <vt:lpwstr>88B36563DB6E4408AFB3F640E9D0AC2B</vt:lpwstr>
  </property>
  <property fmtid="{D5CDD505-2E9C-101B-9397-08002B2CF9AE}" pid="4" name="KSOTemplateDocerSaveRecord">
    <vt:lpwstr>eyJoZGlkIjoiNTFlZjlkYzgzNTA4NTEwNmU5MzBiYWVlN2ZiMTQ2MzEiLCJ1c2VySWQiOiIyNTE3NTk0OTQifQ==</vt:lpwstr>
  </property>
</Properties>
</file>