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6098E">
      <w:pPr>
        <w:pStyle w:val="9"/>
        <w:spacing w:line="560" w:lineRule="exact"/>
        <w:ind w:left="0" w:leftChars="0"/>
        <w:rPr>
          <w:rFonts w:hint="eastAsia" w:ascii="黑体" w:eastAsia="黑体" w:cs="方正黑体_GBK"/>
          <w:sz w:val="32"/>
          <w:szCs w:val="32"/>
          <w:lang w:eastAsia="zh-CN"/>
        </w:rPr>
      </w:pPr>
      <w:r>
        <w:rPr>
          <w:rFonts w:hint="eastAsia" w:ascii="黑体" w:eastAsia="黑体" w:cs="方正黑体_GBK"/>
          <w:sz w:val="32"/>
          <w:szCs w:val="32"/>
        </w:rPr>
        <w:t>附件</w:t>
      </w:r>
      <w:r>
        <w:rPr>
          <w:rFonts w:hint="eastAsia" w:ascii="黑体" w:eastAsia="黑体" w:cs="方正黑体_GBK"/>
          <w:sz w:val="32"/>
          <w:szCs w:val="32"/>
          <w:lang w:val="en-US" w:eastAsia="zh-CN"/>
        </w:rPr>
        <w:t>2</w:t>
      </w:r>
    </w:p>
    <w:p w14:paraId="41B5D855">
      <w:pPr>
        <w:spacing w:line="560" w:lineRule="exact"/>
      </w:pPr>
    </w:p>
    <w:p w14:paraId="4154CA2D"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关于《北京市昌平区“十五五”时期残疾人</w:t>
      </w:r>
    </w:p>
    <w:p w14:paraId="737E4EBE">
      <w:pPr>
        <w:spacing w:line="560" w:lineRule="exact"/>
        <w:jc w:val="center"/>
        <w:outlineLvl w:val="0"/>
        <w:rPr>
          <w:rFonts w:hint="eastAsia" w:ascii="方正小标宋_GBK" w:hAnsi="方正小标宋_GBK" w:eastAsia="方正小标宋_GBK" w:cs="方正小标宋_GBK"/>
          <w:kern w:val="44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事业发展规划（征求意见稿）》的起草说明</w:t>
      </w:r>
    </w:p>
    <w:p w14:paraId="403C6F11">
      <w:pPr>
        <w:pStyle w:val="9"/>
        <w:spacing w:line="560" w:lineRule="exact"/>
        <w:rPr>
          <w:rFonts w:ascii="Times New Roman" w:hAnsi="Times New Roman" w:eastAsia="微软雅黑" w:cs="仿宋_GB2312"/>
          <w:kern w:val="44"/>
          <w:sz w:val="44"/>
          <w:szCs w:val="44"/>
          <w:shd w:val="clear" w:color="auto" w:fill="FFFFFF"/>
        </w:rPr>
      </w:pPr>
    </w:p>
    <w:p w14:paraId="77B492B2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OLE_LINK2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一、起草背景</w:t>
      </w:r>
    </w:p>
    <w:p w14:paraId="61155EA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“十五五”时期是北京市昌平区深入落实首都城市战略定位、推动高质量发展的关键阶段，也是我区残疾人事业融入首都发展大局、实现与全区经济社会同步协调发展的重要时期。残疾人事业作为社会保障和公共服务体系的重要组成部分，编制其发展规划对于保障和改善残疾人民生、促进残疾人全面发展和共同富裕具有重要意义。为深入贯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彻落实党中央、市委、区委关于残疾人事业发展的决策部署，进一步保障和改善残疾人民生，促进残疾人全面发展和共同富裕，依据《北京市“十五五”时期残疾人事业发展规划》《北京市昌平区国民经济和社会发展第十五个五年规划纲要》等文件，结合我区残疾人工作实际，由北京市昌平区残疾人联合会牵头起草了《北京市昌平区“十五五”时期残疾人事业发展规划（征求意见稿）》（以下简称《规划》）。</w:t>
      </w:r>
    </w:p>
    <w:p w14:paraId="4709D4BE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二、起草过程</w:t>
      </w:r>
    </w:p>
    <w:p w14:paraId="6E052304">
      <w:pPr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为做好《规划》起草工作，区残联成立编制工作专班，系统梳理“十四五”时期我区残疾人事业发展成效与短板，并赴相关镇街、残疾人服务机构及残疾人家庭开展实地调研，广泛听取基层残疾人工作者、残疾人及其亲属的意见建议。在此基础上，认真研究吸纳市残联关于“十五五”时期残疾人事业发展的总体思路和重点任务要求，结合我区实际，形成《规划》初稿。初稿形成后，书面征求了区残工委各成员单位、各镇街意见，并组织专家论证，对各方意见逐条研究、充分吸纳，经反复修改完善，形成《规划》征求意见稿。</w:t>
      </w:r>
    </w:p>
    <w:p w14:paraId="2A28A19B">
      <w:p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三、主要内容</w:t>
      </w:r>
    </w:p>
    <w:p w14:paraId="687D83C7">
      <w:pPr>
        <w:spacing w:line="56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《规划》共设置总体要求、重点任务、实施保障三个部分。</w:t>
      </w:r>
    </w:p>
    <w:p w14:paraId="1E2F75B8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（一）总体要求</w:t>
      </w:r>
    </w:p>
    <w:p w14:paraId="51354548">
      <w:pPr>
        <w:spacing w:line="56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总体要求部分明确了“十五五”时期残疾人事业发展的指导思想和主要目标，设定了“收入和就业”“社会保障”“基本公共服务”三大类12项主要指标，其中约束性指标4项、预期性指标8项，均与市级规划指标相衔接。</w:t>
      </w:r>
    </w:p>
    <w:p w14:paraId="7BB6E0F6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（二）重点任务</w:t>
      </w:r>
    </w:p>
    <w:p w14:paraId="182614A4">
      <w:pPr>
        <w:spacing w:line="560" w:lineRule="exact"/>
        <w:ind w:firstLine="640" w:firstLineChars="200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重点任务部分围绕完善残疾人社会保障、促进残疾人就业增收、加强残疾人关爱服务、强化事业发展支撑、优化融合发展环境等五个方面，部署了18项具体任务。</w:t>
      </w:r>
    </w:p>
    <w:p w14:paraId="211A5B07">
      <w:pPr>
        <w:spacing w:line="560" w:lineRule="exact"/>
        <w:ind w:firstLine="643" w:firstLineChars="200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val="en-US" w:eastAsia="zh-CN"/>
        </w:rPr>
        <w:t>完善残疾人社会保障方面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，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坚持应保尽保、兜底补短，持续完善残疾人社会救助和社会福利制度，健全困难残疾人生活补贴、重度残疾人护理补贴制度动态调整机制，确保符合条件的残疾人应享尽享，稳步提升残疾人社会保障水平。</w:t>
      </w:r>
    </w:p>
    <w:p w14:paraId="1C4C4699">
      <w:pPr>
        <w:spacing w:line="560" w:lineRule="exact"/>
        <w:ind w:firstLine="643" w:firstLineChars="200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val="en-US" w:eastAsia="zh-CN"/>
        </w:rPr>
        <w:t>促进残疾人就业增收方面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，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坚持就业优先，多渠道多形式促进残疾人就业创业，强化残疾人职业技能培训，完善按比例就业、集中就业、辅助性就业等多元就业支持体系，推动残疾人通过劳动实现增收致富。</w:t>
      </w:r>
    </w:p>
    <w:p w14:paraId="729EE1DE">
      <w:pPr>
        <w:spacing w:line="560" w:lineRule="exact"/>
        <w:ind w:firstLine="643" w:firstLineChars="200"/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val="en-US" w:eastAsia="zh-CN"/>
        </w:rPr>
        <w:t>加强残疾人关爱服务方面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，坚持普惠可及、优质均衡，健全残疾人康复、教育、文化、体育等关爱服务体系，提升残疾人公共服务供给质量，保障残疾人平等享有基本公共服务权益。</w:t>
      </w:r>
    </w:p>
    <w:p w14:paraId="792EF65E">
      <w:pPr>
        <w:spacing w:line="560" w:lineRule="exact"/>
        <w:ind w:firstLine="643" w:firstLineChars="200"/>
        <w:rPr>
          <w:rFonts w:hint="eastAsia" w:ascii="仿宋_GB2312" w:hAnsi="黑体" w:eastAsia="仿宋_GB2312" w:cs="黑体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val="en-US" w:eastAsia="zh-CN"/>
        </w:rPr>
        <w:t>强化事业发展支撑方面，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坚持政治引领，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强化科技赋能，持续加强残疾人服务体系建设，健全基层残疾人组织体系，壮大残疾人服务专业人才队伍，进一步夯实残疾人事业发展基础。</w:t>
      </w:r>
    </w:p>
    <w:p w14:paraId="1D39C49C">
      <w:pPr>
        <w:spacing w:line="560" w:lineRule="exact"/>
        <w:ind w:firstLine="643" w:firstLineChars="200"/>
        <w:rPr>
          <w:rFonts w:hint="eastAsia" w:ascii="仿宋_GB2312" w:hAnsi="黑体" w:eastAsia="仿宋_GB2312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黑体" w:eastAsia="仿宋_GB2312" w:cs="黑体"/>
          <w:b/>
          <w:bCs/>
          <w:sz w:val="32"/>
          <w:szCs w:val="32"/>
          <w:lang w:val="en-US" w:eastAsia="zh-CN"/>
        </w:rPr>
        <w:t>优化融合发展环境方面，</w:t>
      </w:r>
      <w:r>
        <w:rPr>
          <w:rFonts w:hint="eastAsia" w:ascii="仿宋_GB2312" w:hAnsi="黑体" w:eastAsia="仿宋_GB2312" w:cs="黑体"/>
          <w:sz w:val="32"/>
          <w:szCs w:val="32"/>
          <w:lang w:val="en-US" w:eastAsia="zh-CN"/>
        </w:rPr>
        <w:t>坚持平等包容、共建共享，持续加强无障碍环境建设，广泛开展扶残助残文明实践活动，积极营造全社会理解、尊重、关心、帮助残疾人的浓厚氛围，切实保障残疾人平等参与社会生活的权利。</w:t>
      </w:r>
    </w:p>
    <w:p w14:paraId="5897721F">
      <w:pPr>
        <w:spacing w:line="560" w:lineRule="exact"/>
        <w:ind w:firstLine="640" w:firstLineChars="200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（三）实施保障</w:t>
      </w:r>
    </w:p>
    <w:p w14:paraId="4CBABD1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实施保障部分从加强组织领导、健全保障机制、强化监测评估三个维度提出具体举措，保障规划落地实施。</w:t>
      </w:r>
      <w:bookmarkEnd w:id="0"/>
    </w:p>
    <w:p w14:paraId="276BF7EB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加强组织领导方面，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明确区残工委统筹协调、各成员单位协同配合、各镇街具体落实的工作格局，推动将《规划》重点任务纳入全区经济社会发展全局统筹推进，确保各项任务落地见效。</w:t>
      </w:r>
    </w:p>
    <w:p w14:paraId="0CD9F4D9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健全保障机制方面，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明确党委领导、政府负责、社会协同、公众参与的工作机制，强化财政投入保障，鼓励引导社会资本参与残疾人服务领域，形成多元化投入格局。</w:t>
      </w:r>
    </w:p>
    <w:p w14:paraId="54DB9F4C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 w:bidi="ar-SA"/>
        </w:rPr>
        <w:t>强化监测评估方面，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明确区政府残工委统筹，区残联牵头对规划实施进行动态监测和定期评估，及时发现问题、优化完善政策举措，确保《规划》各项目标任务如期完成。</w:t>
      </w:r>
    </w:p>
    <w:sectPr>
      <w:footerReference r:id="rId3" w:type="default"/>
      <w:footerReference r:id="rId4" w:type="even"/>
      <w:pgSz w:w="11906" w:h="16838"/>
      <w:pgMar w:top="2098" w:right="1531" w:bottom="1984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10CBEF3-8944-41F9-A145-C86D54DE3D9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FC0A25B-6098-42F5-AFF3-41EFA3986CF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00D994EF-71AB-43F4-B5B6-D8D2D16CC0D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C3857FF9-155D-4891-86E9-2B254296AC8B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0AC53ACB-885C-4E53-92B0-48CC1030652D}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219FEBDB-0501-42AB-917C-4DDB1ABAE58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5441B3">
    <w:pPr>
      <w:pStyle w:val="11"/>
      <w:wordWrap w:val="0"/>
      <w:jc w:val="right"/>
      <w:rPr>
        <w:rFonts w:hint="eastAsia"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PAGE   \* MERGEFORMAT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asciiTheme="minorEastAsia" w:hAnsiTheme="minorEastAsia"/>
        <w:sz w:val="28"/>
        <w:szCs w:val="28"/>
        <w:lang w:val="zh-CN"/>
      </w:rPr>
      <w:t>1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 xml:space="preserve"> —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40C124">
    <w:pPr>
      <w:pStyle w:val="11"/>
      <w:ind w:firstLine="280" w:firstLineChars="100"/>
    </w:pPr>
    <w:r>
      <w:rPr>
        <w:rFonts w:hint="eastAsia" w:asciiTheme="minorEastAsia" w:hAnsiTheme="minorEastAsia"/>
        <w:sz w:val="28"/>
        <w:szCs w:val="28"/>
      </w:rPr>
      <w:t xml:space="preserve">— </w:t>
    </w:r>
    <w:r>
      <w:rPr>
        <w:rFonts w:asciiTheme="minorEastAsia" w:hAnsiTheme="minorEastAsia"/>
        <w:sz w:val="28"/>
        <w:szCs w:val="28"/>
      </w:rPr>
      <w:fldChar w:fldCharType="begin"/>
    </w:r>
    <w:r>
      <w:rPr>
        <w:rFonts w:asciiTheme="minorEastAsia" w:hAnsiTheme="minorEastAsia"/>
        <w:sz w:val="28"/>
        <w:szCs w:val="28"/>
      </w:rPr>
      <w:instrText xml:space="preserve">PAGE   \* MERGEFORMAT</w:instrText>
    </w:r>
    <w:r>
      <w:rPr>
        <w:rFonts w:asciiTheme="minorEastAsia" w:hAnsiTheme="minorEastAsia"/>
        <w:sz w:val="28"/>
        <w:szCs w:val="28"/>
      </w:rPr>
      <w:fldChar w:fldCharType="separate"/>
    </w:r>
    <w:r>
      <w:rPr>
        <w:rFonts w:hint="eastAsia" w:asciiTheme="minorEastAsia" w:hAnsiTheme="minorEastAsia"/>
        <w:sz w:val="28"/>
        <w:szCs w:val="28"/>
      </w:rPr>
      <w:t>3</w:t>
    </w:r>
    <w:r>
      <w:rPr>
        <w:rFonts w:asciiTheme="minorEastAsia" w:hAnsiTheme="minorEastAsia"/>
        <w:sz w:val="28"/>
        <w:szCs w:val="28"/>
      </w:rPr>
      <w:fldChar w:fldCharType="end"/>
    </w:r>
    <w:r>
      <w:rPr>
        <w:rFonts w:hint="eastAsia" w:asciiTheme="minorEastAsia" w:hAnsiTheme="minorEastAsia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B16"/>
    <w:rsid w:val="00017F38"/>
    <w:rsid w:val="00053E12"/>
    <w:rsid w:val="00064C25"/>
    <w:rsid w:val="000F79E3"/>
    <w:rsid w:val="00116495"/>
    <w:rsid w:val="00132263"/>
    <w:rsid w:val="001B7B16"/>
    <w:rsid w:val="0022290B"/>
    <w:rsid w:val="00245F6E"/>
    <w:rsid w:val="00271239"/>
    <w:rsid w:val="00271B37"/>
    <w:rsid w:val="002A070F"/>
    <w:rsid w:val="002F0DF1"/>
    <w:rsid w:val="002F531F"/>
    <w:rsid w:val="00421425"/>
    <w:rsid w:val="0044638E"/>
    <w:rsid w:val="006528BC"/>
    <w:rsid w:val="006C759D"/>
    <w:rsid w:val="00701C21"/>
    <w:rsid w:val="007932D9"/>
    <w:rsid w:val="00813E6E"/>
    <w:rsid w:val="00836C03"/>
    <w:rsid w:val="008C0A1F"/>
    <w:rsid w:val="00904CFF"/>
    <w:rsid w:val="00971F1B"/>
    <w:rsid w:val="00973507"/>
    <w:rsid w:val="00AA2FD4"/>
    <w:rsid w:val="00B303EF"/>
    <w:rsid w:val="00BA6807"/>
    <w:rsid w:val="00CA7FF2"/>
    <w:rsid w:val="00D963FB"/>
    <w:rsid w:val="00E76901"/>
    <w:rsid w:val="00EE244B"/>
    <w:rsid w:val="00EE3676"/>
    <w:rsid w:val="00F438D5"/>
    <w:rsid w:val="00F65D6E"/>
    <w:rsid w:val="024E3B6A"/>
    <w:rsid w:val="04F749ED"/>
    <w:rsid w:val="080A1514"/>
    <w:rsid w:val="08844E22"/>
    <w:rsid w:val="08F22600"/>
    <w:rsid w:val="0D677A77"/>
    <w:rsid w:val="13421B62"/>
    <w:rsid w:val="15962639"/>
    <w:rsid w:val="203614AF"/>
    <w:rsid w:val="231106EF"/>
    <w:rsid w:val="24A25583"/>
    <w:rsid w:val="26A60202"/>
    <w:rsid w:val="26CE145D"/>
    <w:rsid w:val="27225ADA"/>
    <w:rsid w:val="28EF2FC6"/>
    <w:rsid w:val="2C393C91"/>
    <w:rsid w:val="2E202EF1"/>
    <w:rsid w:val="2EB07836"/>
    <w:rsid w:val="310778DF"/>
    <w:rsid w:val="32130E41"/>
    <w:rsid w:val="34FE3693"/>
    <w:rsid w:val="36F17277"/>
    <w:rsid w:val="3763C387"/>
    <w:rsid w:val="386E4340"/>
    <w:rsid w:val="3F2807F8"/>
    <w:rsid w:val="41A75102"/>
    <w:rsid w:val="438906CB"/>
    <w:rsid w:val="46B94C58"/>
    <w:rsid w:val="4B4E2A92"/>
    <w:rsid w:val="4BC12973"/>
    <w:rsid w:val="4D0C6B4D"/>
    <w:rsid w:val="505A77E4"/>
    <w:rsid w:val="54D5124F"/>
    <w:rsid w:val="59BE699D"/>
    <w:rsid w:val="5F3F1955"/>
    <w:rsid w:val="63A445B8"/>
    <w:rsid w:val="663568D1"/>
    <w:rsid w:val="66613505"/>
    <w:rsid w:val="6A1F767C"/>
    <w:rsid w:val="6A84716F"/>
    <w:rsid w:val="6EF80849"/>
    <w:rsid w:val="70194DCD"/>
    <w:rsid w:val="70AC7790"/>
    <w:rsid w:val="77486FBC"/>
    <w:rsid w:val="79606240"/>
    <w:rsid w:val="7BED588C"/>
    <w:rsid w:val="7E6A5C04"/>
    <w:rsid w:val="7ECD724F"/>
    <w:rsid w:val="9FBA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480" w:after="80" w:line="278" w:lineRule="auto"/>
      <w:jc w:val="left"/>
      <w:outlineLvl w:val="0"/>
    </w:pPr>
    <w:rPr>
      <w:rFonts w:ascii="等线 Light" w:hAnsi="等线 Light" w:eastAsia="等线 Light"/>
      <w:color w:val="0F4761"/>
      <w:sz w:val="48"/>
      <w:szCs w:val="48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160" w:after="80" w:line="278" w:lineRule="auto"/>
      <w:jc w:val="left"/>
      <w:outlineLvl w:val="1"/>
    </w:pPr>
    <w:rPr>
      <w:rFonts w:ascii="等线 Light" w:hAnsi="等线 Light" w:eastAsia="等线 Light"/>
      <w:color w:val="0F4761"/>
      <w:sz w:val="40"/>
      <w:szCs w:val="40"/>
    </w:rPr>
  </w:style>
  <w:style w:type="paragraph" w:styleId="5">
    <w:name w:val="heading 3"/>
    <w:basedOn w:val="1"/>
    <w:next w:val="1"/>
    <w:link w:val="18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spacing w:line="440" w:lineRule="exact"/>
      <w:ind w:firstLine="200" w:firstLineChars="200"/>
      <w:outlineLvl w:val="3"/>
    </w:pPr>
    <w:rPr>
      <w:rFonts w:ascii="Calibri Light" w:hAnsi="Calibri Light" w:eastAsia="宋体" w:cs="Times New Roman"/>
      <w:bCs/>
      <w:sz w:val="24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Times New Roman" w:hAnsi="Times New Roman" w:eastAsia="宋体" w:cs="Times New Roman"/>
    </w:rPr>
  </w:style>
  <w:style w:type="paragraph" w:styleId="7">
    <w:name w:val="Normal Indent"/>
    <w:basedOn w:val="1"/>
    <w:next w:val="8"/>
    <w:qFormat/>
    <w:uiPriority w:val="0"/>
    <w:pPr>
      <w:ind w:firstLine="420"/>
    </w:pPr>
    <w:rPr>
      <w:rFonts w:ascii="Calibri" w:hAnsi="Calibri" w:eastAsia="宋体" w:cs="Calibri"/>
      <w:szCs w:val="20"/>
    </w:rPr>
  </w:style>
  <w:style w:type="paragraph" w:styleId="8">
    <w:name w:val="Body Text Indent"/>
    <w:basedOn w:val="1"/>
    <w:next w:val="7"/>
    <w:qFormat/>
    <w:uiPriority w:val="0"/>
    <w:pPr>
      <w:suppressAutoHyphens/>
      <w:spacing w:line="460" w:lineRule="exact"/>
      <w:ind w:left="1285" w:hanging="1285"/>
    </w:pPr>
    <w:rPr>
      <w:rFonts w:ascii="仿宋_GB2312" w:hAnsi="仿宋_GB2312" w:eastAsia="仿宋_GB2312" w:cs="Times New Roman"/>
      <w:b/>
      <w:bCs/>
      <w:kern w:val="1"/>
      <w:sz w:val="32"/>
      <w:lang w:eastAsia="ar-SA"/>
    </w:rPr>
  </w:style>
  <w:style w:type="paragraph" w:styleId="9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0">
    <w:name w:val="Plain Text"/>
    <w:basedOn w:val="1"/>
    <w:next w:val="1"/>
    <w:qFormat/>
    <w:uiPriority w:val="0"/>
    <w:rPr>
      <w:rFonts w:ascii="宋体" w:hAnsi="Courier New" w:eastAsia="宋体" w:cs="黑体"/>
      <w:szCs w:val="21"/>
    </w:rPr>
  </w:style>
  <w:style w:type="paragraph" w:styleId="11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5">
    <w:name w:val="Strong"/>
    <w:basedOn w:val="14"/>
    <w:qFormat/>
    <w:uiPriority w:val="0"/>
    <w:rPr>
      <w:b/>
    </w:rPr>
  </w:style>
  <w:style w:type="paragraph" w:customStyle="1" w:styleId="16">
    <w:name w:val="正文（缩进）"/>
    <w:basedOn w:val="1"/>
    <w:qFormat/>
    <w:uiPriority w:val="0"/>
    <w:pPr>
      <w:spacing w:beforeLines="50" w:afterLines="50" w:line="360" w:lineRule="auto"/>
      <w:ind w:firstLine="480" w:firstLineChars="200"/>
    </w:pPr>
    <w:rPr>
      <w:rFonts w:ascii="Calibri" w:hAnsi="Calibri" w:eastAsia="宋体" w:cs="Times New Roman"/>
    </w:rPr>
  </w:style>
  <w:style w:type="character" w:customStyle="1" w:styleId="17">
    <w:name w:val="UserStyle_1"/>
    <w:qFormat/>
    <w:uiPriority w:val="0"/>
  </w:style>
  <w:style w:type="character" w:customStyle="1" w:styleId="18">
    <w:name w:val="标题 3 字符"/>
    <w:basedOn w:val="14"/>
    <w:link w:val="5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19">
    <w:name w:val="NormalCharacter"/>
    <w:semiHidden/>
    <w:qFormat/>
    <w:uiPriority w:val="0"/>
    <w:rPr>
      <w:rFonts w:ascii="Calibri" w:hAnsi="Calibri" w:eastAsia="宋体" w:cs="等线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81D6CF86-0F5B-47A3-9572-3E6C66D588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913</Words>
  <Characters>915</Characters>
  <Lines>9</Lines>
  <Paragraphs>2</Paragraphs>
  <TotalTime>2</TotalTime>
  <ScaleCrop>false</ScaleCrop>
  <LinksUpToDate>false</LinksUpToDate>
  <CharactersWithSpaces>915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2025-07-31T15:31:00Z</dcterms:created>
  <dc:creator>高</dc:creator>
  <cp:lastModifiedBy>WPS_1734956863</cp:lastModifiedBy>
  <cp:lastPrinted>2025-08-01T10:46:00Z</cp:lastPrinted>
  <dcterms:modified xsi:type="dcterms:W3CDTF">2026-10-14T07:15:50Z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B1984CD8E993403E99ED7478B664E8AF_13</vt:lpwstr>
  </property>
  <property fmtid="{D5CDD505-2E9C-101B-9397-08002B2CF9AE}" pid="4" name="KSOTemplateDocerSaveRecord">
    <vt:lpwstr>eyJoZGlkIjoiMGE1Y2IyMzRiOGNjMzg2NjEwZWZhNzY2NjY1NmMxMjUiLCJ1c2VySWQiOiIxNjY2MTI2ODQ1In0=</vt:lpwstr>
  </property>
</Properties>
</file>