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09842">
      <w:pPr>
        <w:spacing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p>
    <w:p w14:paraId="040B74CF">
      <w:pPr>
        <w:spacing w:line="560" w:lineRule="exact"/>
        <w:ind w:firstLine="880" w:firstLineChars="200"/>
        <w:jc w:val="center"/>
        <w:rPr>
          <w:rFonts w:ascii="Times New Roman" w:hAnsi="Times New Roman" w:eastAsia="微软雅黑" w:cs="Times New Roman"/>
          <w:sz w:val="44"/>
          <w:szCs w:val="44"/>
        </w:rPr>
      </w:pPr>
    </w:p>
    <w:p w14:paraId="0BF8CAC3">
      <w:pPr>
        <w:spacing w:line="560" w:lineRule="exact"/>
        <w:ind w:firstLine="880" w:firstLineChars="200"/>
        <w:jc w:val="center"/>
        <w:rPr>
          <w:rFonts w:ascii="Times New Roman" w:hAnsi="Times New Roman" w:eastAsia="微软雅黑" w:cs="Times New Roman"/>
          <w:sz w:val="44"/>
          <w:szCs w:val="44"/>
        </w:rPr>
      </w:pPr>
    </w:p>
    <w:p w14:paraId="2A876699">
      <w:pPr>
        <w:spacing w:line="560" w:lineRule="exact"/>
        <w:ind w:firstLine="880" w:firstLineChars="200"/>
        <w:jc w:val="center"/>
        <w:rPr>
          <w:rFonts w:ascii="Times New Roman" w:hAnsi="Times New Roman" w:eastAsia="微软雅黑" w:cs="Times New Roman"/>
          <w:sz w:val="44"/>
          <w:szCs w:val="44"/>
        </w:rPr>
      </w:pPr>
    </w:p>
    <w:p w14:paraId="6BFD5AA3">
      <w:pPr>
        <w:spacing w:line="560" w:lineRule="exact"/>
        <w:ind w:firstLine="880" w:firstLineChars="200"/>
        <w:jc w:val="center"/>
        <w:rPr>
          <w:rFonts w:ascii="Times New Roman" w:hAnsi="Times New Roman" w:eastAsia="微软雅黑" w:cs="Times New Roman"/>
          <w:sz w:val="44"/>
          <w:szCs w:val="44"/>
        </w:rPr>
      </w:pPr>
    </w:p>
    <w:p w14:paraId="7221FF58">
      <w:pPr>
        <w:spacing w:line="560" w:lineRule="exact"/>
        <w:ind w:firstLine="880" w:firstLineChars="200"/>
        <w:jc w:val="center"/>
        <w:rPr>
          <w:rFonts w:ascii="Times New Roman" w:hAnsi="Times New Roman" w:eastAsia="微软雅黑" w:cs="Times New Roman"/>
          <w:sz w:val="44"/>
          <w:szCs w:val="44"/>
        </w:rPr>
      </w:pPr>
    </w:p>
    <w:p w14:paraId="5711BB69">
      <w:pPr>
        <w:spacing w:before="156" w:beforeLines="50" w:after="156" w:afterLines="50" w:line="560" w:lineRule="exact"/>
        <w:jc w:val="center"/>
        <w:rPr>
          <w:rFonts w:ascii="Times New Roman" w:hAnsi="Times New Roman" w:eastAsia="微软雅黑" w:cs="Times New Roman"/>
          <w:sz w:val="48"/>
          <w:szCs w:val="48"/>
        </w:rPr>
      </w:pPr>
      <w:r>
        <w:rPr>
          <w:rFonts w:hint="eastAsia" w:ascii="Times New Roman" w:hAnsi="Times New Roman" w:eastAsia="微软雅黑" w:cs="Times New Roman"/>
          <w:sz w:val="48"/>
          <w:szCs w:val="48"/>
        </w:rPr>
        <w:t>北京市昌平区“十五五”时期残疾人</w:t>
      </w:r>
    </w:p>
    <w:p w14:paraId="1DE41F6B">
      <w:pPr>
        <w:spacing w:before="156" w:beforeLines="50" w:after="156" w:afterLines="50" w:line="560" w:lineRule="exact"/>
        <w:jc w:val="center"/>
        <w:rPr>
          <w:rFonts w:ascii="Times New Roman" w:hAnsi="Times New Roman" w:eastAsia="微软雅黑" w:cs="Times New Roman"/>
          <w:sz w:val="48"/>
          <w:szCs w:val="48"/>
        </w:rPr>
      </w:pPr>
      <w:r>
        <w:rPr>
          <w:rFonts w:hint="eastAsia" w:ascii="Times New Roman" w:hAnsi="Times New Roman" w:eastAsia="微软雅黑" w:cs="Times New Roman"/>
          <w:sz w:val="48"/>
          <w:szCs w:val="48"/>
        </w:rPr>
        <w:t>事业发展规划</w:t>
      </w:r>
    </w:p>
    <w:p w14:paraId="1471E7C3">
      <w:pPr>
        <w:spacing w:before="156" w:beforeLines="50" w:after="156" w:afterLines="50" w:line="560" w:lineRule="exact"/>
        <w:jc w:val="center"/>
        <w:rPr>
          <w:rFonts w:ascii="Times New Roman" w:hAnsi="Times New Roman" w:eastAsia="微软雅黑" w:cs="Times New Roman"/>
          <w:sz w:val="48"/>
          <w:szCs w:val="48"/>
        </w:rPr>
      </w:pPr>
      <w:r>
        <w:rPr>
          <w:rFonts w:hint="eastAsia" w:ascii="Times New Roman" w:hAnsi="Times New Roman" w:eastAsia="微软雅黑" w:cs="Times New Roman"/>
          <w:sz w:val="48"/>
          <w:szCs w:val="48"/>
        </w:rPr>
        <w:t>（</w:t>
      </w:r>
      <w:r>
        <w:rPr>
          <w:rFonts w:hint="eastAsia" w:ascii="Times New Roman" w:hAnsi="Times New Roman" w:eastAsia="微软雅黑" w:cs="Times New Roman"/>
          <w:sz w:val="48"/>
          <w:szCs w:val="48"/>
          <w:lang w:val="en-US" w:eastAsia="zh-CN"/>
        </w:rPr>
        <w:t>征求意见</w:t>
      </w:r>
      <w:r>
        <w:rPr>
          <w:rFonts w:hint="eastAsia" w:ascii="Times New Roman" w:hAnsi="Times New Roman" w:eastAsia="微软雅黑" w:cs="Times New Roman"/>
          <w:sz w:val="48"/>
          <w:szCs w:val="48"/>
        </w:rPr>
        <w:t>稿）</w:t>
      </w:r>
    </w:p>
    <w:p w14:paraId="7E428426">
      <w:pPr>
        <w:spacing w:line="560" w:lineRule="exact"/>
        <w:jc w:val="center"/>
        <w:rPr>
          <w:rFonts w:ascii="Times New Roman" w:hAnsi="Times New Roman" w:eastAsia="微软雅黑" w:cs="Times New Roman"/>
          <w:sz w:val="48"/>
          <w:szCs w:val="48"/>
        </w:rPr>
      </w:pPr>
    </w:p>
    <w:p w14:paraId="286D3107">
      <w:pPr>
        <w:spacing w:line="560" w:lineRule="exact"/>
        <w:jc w:val="center"/>
        <w:rPr>
          <w:rFonts w:ascii="Times New Roman" w:hAnsi="Times New Roman" w:eastAsia="微软雅黑" w:cs="Times New Roman"/>
          <w:sz w:val="48"/>
          <w:szCs w:val="48"/>
        </w:rPr>
      </w:pPr>
    </w:p>
    <w:p w14:paraId="4A787442">
      <w:pPr>
        <w:spacing w:line="560" w:lineRule="exact"/>
        <w:jc w:val="center"/>
        <w:rPr>
          <w:rFonts w:ascii="Times New Roman" w:hAnsi="Times New Roman" w:eastAsia="微软雅黑" w:cs="Times New Roman"/>
          <w:sz w:val="48"/>
          <w:szCs w:val="48"/>
        </w:rPr>
      </w:pPr>
    </w:p>
    <w:p w14:paraId="78393277">
      <w:pPr>
        <w:spacing w:line="560" w:lineRule="exact"/>
        <w:jc w:val="center"/>
        <w:rPr>
          <w:rFonts w:ascii="Times New Roman" w:hAnsi="Times New Roman" w:eastAsia="微软雅黑" w:cs="Times New Roman"/>
          <w:sz w:val="48"/>
          <w:szCs w:val="48"/>
        </w:rPr>
      </w:pPr>
    </w:p>
    <w:p w14:paraId="0B92D95E">
      <w:pPr>
        <w:spacing w:line="560" w:lineRule="exact"/>
        <w:jc w:val="center"/>
        <w:rPr>
          <w:rFonts w:ascii="Times New Roman" w:hAnsi="Times New Roman" w:eastAsia="微软雅黑" w:cs="Times New Roman"/>
          <w:sz w:val="48"/>
          <w:szCs w:val="48"/>
        </w:rPr>
      </w:pPr>
    </w:p>
    <w:p w14:paraId="6D5C241D">
      <w:pPr>
        <w:spacing w:line="560" w:lineRule="exact"/>
        <w:jc w:val="center"/>
        <w:rPr>
          <w:rFonts w:ascii="Times New Roman" w:hAnsi="Times New Roman" w:eastAsia="微软雅黑" w:cs="Times New Roman"/>
          <w:sz w:val="48"/>
          <w:szCs w:val="48"/>
        </w:rPr>
      </w:pPr>
    </w:p>
    <w:p w14:paraId="2F4C8880">
      <w:pPr>
        <w:spacing w:line="560" w:lineRule="exact"/>
        <w:jc w:val="center"/>
        <w:rPr>
          <w:rFonts w:ascii="Times New Roman" w:hAnsi="Times New Roman" w:eastAsia="微软雅黑" w:cs="Times New Roman"/>
          <w:sz w:val="48"/>
          <w:szCs w:val="48"/>
        </w:rPr>
      </w:pPr>
    </w:p>
    <w:p w14:paraId="2DD51043">
      <w:pPr>
        <w:spacing w:line="560" w:lineRule="exact"/>
        <w:jc w:val="center"/>
        <w:rPr>
          <w:rFonts w:ascii="Times New Roman" w:hAnsi="Times New Roman" w:eastAsia="微软雅黑" w:cs="Times New Roman"/>
          <w:sz w:val="48"/>
          <w:szCs w:val="48"/>
        </w:rPr>
      </w:pPr>
    </w:p>
    <w:p w14:paraId="58DFE421">
      <w:pPr>
        <w:spacing w:line="560" w:lineRule="exact"/>
        <w:jc w:val="center"/>
        <w:rPr>
          <w:rFonts w:ascii="Times New Roman" w:hAnsi="Times New Roman" w:eastAsia="微软雅黑" w:cs="Times New Roman"/>
          <w:sz w:val="48"/>
          <w:szCs w:val="48"/>
        </w:rPr>
      </w:pPr>
    </w:p>
    <w:p w14:paraId="0D03B402">
      <w:pPr>
        <w:spacing w:line="560" w:lineRule="exact"/>
        <w:jc w:val="center"/>
        <w:rPr>
          <w:rFonts w:ascii="Times New Roman" w:hAnsi="Times New Roman" w:eastAsia="微软雅黑" w:cs="Times New Roman"/>
          <w:sz w:val="28"/>
          <w:szCs w:val="28"/>
        </w:rPr>
      </w:pPr>
    </w:p>
    <w:p w14:paraId="01624AAB">
      <w:pPr>
        <w:spacing w:line="560" w:lineRule="exact"/>
        <w:jc w:val="center"/>
        <w:rPr>
          <w:rFonts w:ascii="Times New Roman" w:hAnsi="Times New Roman" w:eastAsia="微软雅黑" w:cs="Times New Roman"/>
          <w:sz w:val="28"/>
          <w:szCs w:val="28"/>
        </w:rPr>
      </w:pPr>
      <w:r>
        <w:rPr>
          <w:rFonts w:hint="eastAsia" w:ascii="Times New Roman" w:hAnsi="Times New Roman" w:eastAsia="微软雅黑" w:cs="Times New Roman"/>
          <w:sz w:val="28"/>
          <w:szCs w:val="28"/>
        </w:rPr>
        <w:t>北京市昌平区残疾人联合会</w:t>
      </w:r>
    </w:p>
    <w:p w14:paraId="55C85855">
      <w:pPr>
        <w:spacing w:line="560" w:lineRule="exact"/>
        <w:jc w:val="center"/>
        <w:rPr>
          <w:rFonts w:ascii="Times New Roman" w:hAnsi="Times New Roman" w:eastAsia="微软雅黑" w:cs="Times New Roman"/>
          <w:sz w:val="28"/>
          <w:szCs w:val="28"/>
        </w:rPr>
      </w:pPr>
      <w:r>
        <w:rPr>
          <w:rFonts w:hint="eastAsia" w:ascii="Times New Roman" w:hAnsi="Times New Roman" w:eastAsia="微软雅黑" w:cs="Times New Roman"/>
          <w:sz w:val="28"/>
          <w:szCs w:val="28"/>
        </w:rPr>
        <w:t>2026年</w:t>
      </w:r>
      <w:r>
        <w:rPr>
          <w:rFonts w:hint="eastAsia" w:ascii="Times New Roman" w:hAnsi="Times New Roman" w:eastAsia="微软雅黑" w:cs="Times New Roman"/>
          <w:sz w:val="28"/>
          <w:szCs w:val="28"/>
          <w:lang w:val="en-US" w:eastAsia="zh-CN"/>
        </w:rPr>
        <w:t>10</w:t>
      </w:r>
      <w:r>
        <w:rPr>
          <w:rFonts w:hint="eastAsia" w:ascii="Times New Roman" w:hAnsi="Times New Roman" w:eastAsia="微软雅黑" w:cs="Times New Roman"/>
          <w:sz w:val="28"/>
          <w:szCs w:val="28"/>
        </w:rPr>
        <w:t>月</w:t>
      </w:r>
    </w:p>
    <w:p w14:paraId="7178C20C">
      <w:pPr>
        <w:widowControl/>
        <w:spacing w:line="560" w:lineRule="exact"/>
        <w:jc w:val="left"/>
        <w:rPr>
          <w:rFonts w:ascii="Times New Roman" w:hAnsi="Times New Roman" w:eastAsia="微软雅黑" w:cs="Times New Roman"/>
          <w:sz w:val="44"/>
          <w:szCs w:val="44"/>
        </w:rPr>
        <w:sectPr>
          <w:footerReference r:id="rId3" w:type="default"/>
          <w:pgSz w:w="11906" w:h="16838"/>
          <w:pgMar w:top="1440" w:right="1800" w:bottom="1440" w:left="1800" w:header="851" w:footer="992" w:gutter="0"/>
          <w:pgNumType w:fmt="decimal"/>
          <w:cols w:space="425" w:num="1"/>
          <w:docGrid w:type="lines" w:linePitch="312" w:charSpace="0"/>
        </w:sectPr>
      </w:pPr>
      <w:r>
        <w:rPr>
          <w:rFonts w:ascii="Times New Roman" w:hAnsi="Times New Roman" w:eastAsia="微软雅黑" w:cs="Times New Roman"/>
          <w:sz w:val="44"/>
          <w:szCs w:val="44"/>
        </w:rPr>
        <w:br w:type="page"/>
      </w:r>
    </w:p>
    <w:sdt>
      <w:sdtPr>
        <w:rPr>
          <w:rFonts w:ascii="Times New Roman" w:hAnsi="Times New Roman" w:cs="Times New Roman" w:eastAsiaTheme="minorEastAsia"/>
          <w:color w:val="auto"/>
          <w:kern w:val="2"/>
          <w:sz w:val="21"/>
          <w:szCs w:val="22"/>
          <w:lang w:val="zh-CN"/>
          <w14:ligatures w14:val="standardContextual"/>
        </w:rPr>
        <w:id w:val="-1"/>
        <w:docPartObj>
          <w:docPartGallery w:val="Table of Contents"/>
          <w:docPartUnique/>
        </w:docPartObj>
      </w:sdtPr>
      <w:sdtEndPr>
        <w:rPr>
          <w:rFonts w:ascii="Times New Roman" w:hAnsi="Times New Roman" w:cs="Times New Roman" w:eastAsiaTheme="minorEastAsia"/>
          <w:b/>
          <w:bCs/>
          <w:color w:val="auto"/>
          <w:kern w:val="2"/>
          <w:sz w:val="21"/>
          <w:szCs w:val="22"/>
          <w:lang w:val="zh-CN"/>
          <w14:ligatures w14:val="standardContextual"/>
        </w:rPr>
      </w:sdtEndPr>
      <w:sdtContent>
        <w:p w14:paraId="66B96ECB">
          <w:pPr>
            <w:pStyle w:val="48"/>
            <w:spacing w:line="560" w:lineRule="exact"/>
            <w:jc w:val="center"/>
            <w:rPr>
              <w:rFonts w:ascii="Times New Roman" w:hAnsi="Times New Roman" w:eastAsia="黑体" w:cs="Times New Roman"/>
              <w:b/>
              <w:bCs/>
              <w:color w:val="auto"/>
            </w:rPr>
          </w:pPr>
          <w:r>
            <w:rPr>
              <w:rFonts w:hint="eastAsia" w:ascii="Times New Roman" w:hAnsi="Times New Roman" w:eastAsia="黑体" w:cs="Times New Roman"/>
              <w:b/>
              <w:bCs/>
              <w:color w:val="auto"/>
              <w:lang w:val="zh-CN"/>
            </w:rPr>
            <w:t>目   录</w:t>
          </w:r>
        </w:p>
        <w:p w14:paraId="6C965CF3">
          <w:pPr>
            <w:pStyle w:val="15"/>
            <w:tabs>
              <w:tab w:val="right" w:leader="dot" w:pos="8306"/>
            </w:tabs>
            <w:rPr>
              <w:rFonts w:hint="eastAsia"/>
            </w:rPr>
          </w:pPr>
          <w:r>
            <w:rPr>
              <w:rFonts w:ascii="Times New Roman" w:hAnsi="Times New Roman" w:cs="Times New Roman"/>
              <w:sz w:val="24"/>
              <w:szCs w:val="24"/>
            </w:rPr>
            <w:fldChar w:fldCharType="begin"/>
          </w:r>
          <w:r>
            <w:rPr>
              <w:rFonts w:hint="eastAsia"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r>
            <w:fldChar w:fldCharType="begin"/>
          </w:r>
          <w:r>
            <w:instrText xml:space="preserve">HYPERLINK \l "_Toc3991"</w:instrText>
          </w:r>
          <w:r>
            <w:fldChar w:fldCharType="separate"/>
          </w:r>
          <w:r>
            <w:rPr>
              <w:rFonts w:hint="eastAsia" w:ascii="Times New Roman" w:hAnsi="Times New Roman" w:eastAsia="黑体" w:cs="Times New Roman"/>
              <w:szCs w:val="32"/>
            </w:rPr>
            <w:t>一、总体要求</w:t>
          </w:r>
          <w:r>
            <w:tab/>
          </w:r>
          <w:r>
            <w:fldChar w:fldCharType="begin"/>
          </w:r>
          <w:r>
            <w:instrText xml:space="preserve"> PAGEREF _Toc3991 \h </w:instrText>
          </w:r>
          <w:r>
            <w:fldChar w:fldCharType="separate"/>
          </w:r>
          <w:r>
            <w:t>1</w:t>
          </w:r>
          <w:r>
            <w:fldChar w:fldCharType="end"/>
          </w:r>
          <w:r>
            <w:fldChar w:fldCharType="end"/>
          </w:r>
        </w:p>
        <w:p w14:paraId="4C7C1855">
          <w:pPr>
            <w:pStyle w:val="18"/>
            <w:tabs>
              <w:tab w:val="right" w:leader="dot" w:pos="8306"/>
            </w:tabs>
            <w:rPr>
              <w:rFonts w:hint="eastAsia"/>
            </w:rPr>
          </w:pPr>
          <w:r>
            <w:fldChar w:fldCharType="begin"/>
          </w:r>
          <w:r>
            <w:instrText xml:space="preserve">HYPERLINK \l "_Toc500"</w:instrText>
          </w:r>
          <w:r>
            <w:fldChar w:fldCharType="separate"/>
          </w:r>
          <w:r>
            <w:rPr>
              <w:rFonts w:hint="eastAsia" w:ascii="Times New Roman" w:hAnsi="Times New Roman" w:eastAsia="楷体_GB2312" w:cs="Times New Roman"/>
              <w:szCs w:val="32"/>
            </w:rPr>
            <w:t>（一）指导思想</w:t>
          </w:r>
          <w:r>
            <w:tab/>
          </w:r>
          <w:r>
            <w:fldChar w:fldCharType="begin"/>
          </w:r>
          <w:r>
            <w:instrText xml:space="preserve"> PAGEREF _Toc500 \h </w:instrText>
          </w:r>
          <w:r>
            <w:fldChar w:fldCharType="separate"/>
          </w:r>
          <w:r>
            <w:t>1</w:t>
          </w:r>
          <w:r>
            <w:fldChar w:fldCharType="end"/>
          </w:r>
          <w:r>
            <w:fldChar w:fldCharType="end"/>
          </w:r>
        </w:p>
        <w:p w14:paraId="37F9D6A8">
          <w:pPr>
            <w:pStyle w:val="18"/>
            <w:tabs>
              <w:tab w:val="right" w:leader="dot" w:pos="8306"/>
            </w:tabs>
            <w:rPr>
              <w:rFonts w:hint="eastAsia"/>
            </w:rPr>
          </w:pPr>
          <w:r>
            <w:fldChar w:fldCharType="begin"/>
          </w:r>
          <w:r>
            <w:instrText xml:space="preserve">HYPERLINK \l "_Toc3538"</w:instrText>
          </w:r>
          <w:r>
            <w:fldChar w:fldCharType="separate"/>
          </w:r>
          <w:r>
            <w:rPr>
              <w:rFonts w:hint="eastAsia" w:ascii="Times New Roman" w:hAnsi="Times New Roman" w:eastAsia="楷体_GB2312" w:cs="Times New Roman"/>
              <w:szCs w:val="32"/>
            </w:rPr>
            <w:t>（二）主要目标</w:t>
          </w:r>
          <w:r>
            <w:tab/>
          </w:r>
          <w:r>
            <w:fldChar w:fldCharType="begin"/>
          </w:r>
          <w:r>
            <w:instrText xml:space="preserve"> PAGEREF _Toc3538 \h </w:instrText>
          </w:r>
          <w:r>
            <w:fldChar w:fldCharType="separate"/>
          </w:r>
          <w:r>
            <w:t>1</w:t>
          </w:r>
          <w:r>
            <w:fldChar w:fldCharType="end"/>
          </w:r>
          <w:r>
            <w:fldChar w:fldCharType="end"/>
          </w:r>
        </w:p>
        <w:p w14:paraId="36668060">
          <w:pPr>
            <w:pStyle w:val="15"/>
            <w:tabs>
              <w:tab w:val="right" w:leader="dot" w:pos="8306"/>
            </w:tabs>
            <w:rPr>
              <w:rFonts w:hint="eastAsia"/>
            </w:rPr>
          </w:pPr>
          <w:r>
            <w:fldChar w:fldCharType="begin"/>
          </w:r>
          <w:r>
            <w:instrText xml:space="preserve">HYPERLINK \l "_Toc20549"</w:instrText>
          </w:r>
          <w:r>
            <w:fldChar w:fldCharType="separate"/>
          </w:r>
          <w:r>
            <w:rPr>
              <w:rFonts w:hint="eastAsia" w:ascii="Times New Roman" w:hAnsi="Times New Roman" w:eastAsia="黑体" w:cs="Times New Roman"/>
              <w:szCs w:val="32"/>
            </w:rPr>
            <w:t>二、重点任务</w:t>
          </w:r>
          <w:r>
            <w:tab/>
          </w:r>
          <w:r>
            <w:fldChar w:fldCharType="begin"/>
          </w:r>
          <w:r>
            <w:instrText xml:space="preserve"> PAGEREF _Toc20549 \h </w:instrText>
          </w:r>
          <w:r>
            <w:fldChar w:fldCharType="separate"/>
          </w:r>
          <w:r>
            <w:t>3</w:t>
          </w:r>
          <w:r>
            <w:fldChar w:fldCharType="end"/>
          </w:r>
          <w:r>
            <w:fldChar w:fldCharType="end"/>
          </w:r>
        </w:p>
        <w:p w14:paraId="32037EAA">
          <w:pPr>
            <w:pStyle w:val="18"/>
            <w:tabs>
              <w:tab w:val="right" w:leader="dot" w:pos="8306"/>
            </w:tabs>
            <w:rPr>
              <w:rFonts w:hint="eastAsia"/>
            </w:rPr>
          </w:pPr>
          <w:r>
            <w:fldChar w:fldCharType="begin"/>
          </w:r>
          <w:r>
            <w:instrText xml:space="preserve">HYPERLINK \l "_Toc27129"</w:instrText>
          </w:r>
          <w:r>
            <w:fldChar w:fldCharType="separate"/>
          </w:r>
          <w:r>
            <w:rPr>
              <w:rFonts w:hint="eastAsia" w:ascii="Times New Roman" w:hAnsi="Times New Roman" w:eastAsia="楷体_GB2312" w:cs="Times New Roman"/>
              <w:szCs w:val="32"/>
            </w:rPr>
            <w:t>（一）高质量推进残疾人社会保障政策落地落实</w:t>
          </w:r>
          <w:r>
            <w:tab/>
          </w:r>
          <w:r>
            <w:fldChar w:fldCharType="begin"/>
          </w:r>
          <w:r>
            <w:instrText xml:space="preserve"> PAGEREF _Toc27129 \h </w:instrText>
          </w:r>
          <w:r>
            <w:fldChar w:fldCharType="separate"/>
          </w:r>
          <w:r>
            <w:t>3</w:t>
          </w:r>
          <w:r>
            <w:fldChar w:fldCharType="end"/>
          </w:r>
          <w:r>
            <w:fldChar w:fldCharType="end"/>
          </w:r>
        </w:p>
        <w:p w14:paraId="265D5AFB">
          <w:pPr>
            <w:pStyle w:val="12"/>
            <w:tabs>
              <w:tab w:val="right" w:leader="dot" w:pos="8306"/>
            </w:tabs>
            <w:rPr>
              <w:rFonts w:hint="eastAsia"/>
            </w:rPr>
          </w:pPr>
          <w:r>
            <w:fldChar w:fldCharType="begin"/>
          </w:r>
          <w:r>
            <w:instrText xml:space="preserve">HYPERLINK \l "_Toc34"</w:instrText>
          </w:r>
          <w:r>
            <w:fldChar w:fldCharType="separate"/>
          </w:r>
          <w:r>
            <w:rPr>
              <w:rFonts w:hint="eastAsia" w:ascii="Times New Roman" w:hAnsi="Times New Roman" w:eastAsia="仿宋_GB2312" w:cs="Times New Roman"/>
            </w:rPr>
            <w:t>1.持续强化残疾人精准救助帮扶服务</w:t>
          </w:r>
          <w:r>
            <w:tab/>
          </w:r>
          <w:r>
            <w:fldChar w:fldCharType="begin"/>
          </w:r>
          <w:r>
            <w:instrText xml:space="preserve"> PAGEREF _Toc34 \h </w:instrText>
          </w:r>
          <w:r>
            <w:fldChar w:fldCharType="separate"/>
          </w:r>
          <w:r>
            <w:t>3</w:t>
          </w:r>
          <w:r>
            <w:fldChar w:fldCharType="end"/>
          </w:r>
          <w:r>
            <w:fldChar w:fldCharType="end"/>
          </w:r>
        </w:p>
        <w:p w14:paraId="574FEC9C">
          <w:pPr>
            <w:pStyle w:val="12"/>
            <w:tabs>
              <w:tab w:val="right" w:leader="dot" w:pos="8306"/>
            </w:tabs>
            <w:rPr>
              <w:rFonts w:hint="eastAsia"/>
            </w:rPr>
          </w:pPr>
          <w:r>
            <w:fldChar w:fldCharType="begin"/>
          </w:r>
          <w:r>
            <w:instrText xml:space="preserve">HYPERLINK \l "_Toc16523"</w:instrText>
          </w:r>
          <w:r>
            <w:fldChar w:fldCharType="separate"/>
          </w:r>
          <w:r>
            <w:rPr>
              <w:rFonts w:hint="eastAsia" w:ascii="Times New Roman" w:hAnsi="Times New Roman" w:eastAsia="仿宋_GB2312" w:cs="Times New Roman"/>
            </w:rPr>
            <w:t>2.持续推进残疾人社会福利与保险制度</w:t>
          </w:r>
          <w:r>
            <w:tab/>
          </w:r>
          <w:r>
            <w:fldChar w:fldCharType="begin"/>
          </w:r>
          <w:r>
            <w:instrText xml:space="preserve"> PAGEREF _Toc16523 \h </w:instrText>
          </w:r>
          <w:r>
            <w:fldChar w:fldCharType="separate"/>
          </w:r>
          <w:r>
            <w:t>3</w:t>
          </w:r>
          <w:r>
            <w:fldChar w:fldCharType="end"/>
          </w:r>
          <w:r>
            <w:fldChar w:fldCharType="end"/>
          </w:r>
        </w:p>
        <w:p w14:paraId="11918E8E">
          <w:pPr>
            <w:pStyle w:val="18"/>
            <w:tabs>
              <w:tab w:val="right" w:leader="dot" w:pos="8306"/>
            </w:tabs>
            <w:rPr>
              <w:rFonts w:hint="eastAsia"/>
            </w:rPr>
          </w:pPr>
          <w:r>
            <w:fldChar w:fldCharType="begin"/>
          </w:r>
          <w:r>
            <w:instrText xml:space="preserve">HYPERLINK \l "_Toc12432"</w:instrText>
          </w:r>
          <w:r>
            <w:fldChar w:fldCharType="separate"/>
          </w:r>
          <w:r>
            <w:rPr>
              <w:rFonts w:hint="eastAsia" w:ascii="Times New Roman" w:hAnsi="Times New Roman" w:eastAsia="楷体_GB2312" w:cs="Times New Roman"/>
              <w:szCs w:val="32"/>
            </w:rPr>
            <w:t>（二）高水平打造残疾人就业增收支持体系</w:t>
          </w:r>
          <w:r>
            <w:tab/>
          </w:r>
          <w:r>
            <w:fldChar w:fldCharType="begin"/>
          </w:r>
          <w:r>
            <w:instrText xml:space="preserve"> PAGEREF _Toc12432 \h </w:instrText>
          </w:r>
          <w:r>
            <w:fldChar w:fldCharType="separate"/>
          </w:r>
          <w:r>
            <w:t>4</w:t>
          </w:r>
          <w:r>
            <w:fldChar w:fldCharType="end"/>
          </w:r>
          <w:r>
            <w:fldChar w:fldCharType="end"/>
          </w:r>
        </w:p>
        <w:p w14:paraId="757968FE">
          <w:pPr>
            <w:pStyle w:val="12"/>
            <w:tabs>
              <w:tab w:val="right" w:leader="dot" w:pos="8306"/>
            </w:tabs>
            <w:rPr>
              <w:rFonts w:hint="eastAsia"/>
            </w:rPr>
          </w:pPr>
          <w:r>
            <w:fldChar w:fldCharType="begin"/>
          </w:r>
          <w:r>
            <w:instrText xml:space="preserve">HYPERLINK \l "_Toc24310"</w:instrText>
          </w:r>
          <w:r>
            <w:fldChar w:fldCharType="separate"/>
          </w:r>
          <w:r>
            <w:rPr>
              <w:rFonts w:hint="eastAsia" w:ascii="Times New Roman" w:hAnsi="Times New Roman" w:eastAsia="仿宋_GB2312" w:cs="Times New Roman"/>
            </w:rPr>
            <w:t>1.落实残疾人就业政策</w:t>
          </w:r>
          <w:r>
            <w:tab/>
          </w:r>
          <w:r>
            <w:fldChar w:fldCharType="begin"/>
          </w:r>
          <w:r>
            <w:instrText xml:space="preserve"> PAGEREF _Toc24310 \h </w:instrText>
          </w:r>
          <w:r>
            <w:fldChar w:fldCharType="separate"/>
          </w:r>
          <w:r>
            <w:t>4</w:t>
          </w:r>
          <w:r>
            <w:fldChar w:fldCharType="end"/>
          </w:r>
          <w:r>
            <w:fldChar w:fldCharType="end"/>
          </w:r>
        </w:p>
        <w:p w14:paraId="2214AC47">
          <w:pPr>
            <w:pStyle w:val="12"/>
            <w:tabs>
              <w:tab w:val="right" w:leader="dot" w:pos="8306"/>
            </w:tabs>
            <w:rPr>
              <w:rFonts w:hint="eastAsia"/>
            </w:rPr>
          </w:pPr>
          <w:r>
            <w:fldChar w:fldCharType="begin"/>
          </w:r>
          <w:r>
            <w:instrText xml:space="preserve">HYPERLINK \l "_Toc25048"</w:instrText>
          </w:r>
          <w:r>
            <w:fldChar w:fldCharType="separate"/>
          </w:r>
          <w:r>
            <w:rPr>
              <w:rFonts w:hint="eastAsia" w:ascii="Times New Roman" w:hAnsi="Times New Roman" w:eastAsia="仿宋_GB2312" w:cs="Times New Roman"/>
            </w:rPr>
            <w:t>2.拓宽残疾人就业渠道</w:t>
          </w:r>
          <w:r>
            <w:tab/>
          </w:r>
          <w:r>
            <w:fldChar w:fldCharType="begin"/>
          </w:r>
          <w:r>
            <w:instrText xml:space="preserve"> PAGEREF _Toc25048 \h </w:instrText>
          </w:r>
          <w:r>
            <w:fldChar w:fldCharType="separate"/>
          </w:r>
          <w:r>
            <w:t>4</w:t>
          </w:r>
          <w:r>
            <w:fldChar w:fldCharType="end"/>
          </w:r>
          <w:r>
            <w:fldChar w:fldCharType="end"/>
          </w:r>
        </w:p>
        <w:p w14:paraId="5C954EC3">
          <w:pPr>
            <w:pStyle w:val="12"/>
            <w:tabs>
              <w:tab w:val="right" w:leader="dot" w:pos="8306"/>
            </w:tabs>
            <w:rPr>
              <w:rFonts w:hint="eastAsia"/>
            </w:rPr>
          </w:pPr>
          <w:r>
            <w:fldChar w:fldCharType="begin"/>
          </w:r>
          <w:r>
            <w:instrText xml:space="preserve">HYPERLINK \l "_Toc21154"</w:instrText>
          </w:r>
          <w:r>
            <w:fldChar w:fldCharType="separate"/>
          </w:r>
          <w:r>
            <w:rPr>
              <w:rFonts w:hint="eastAsia" w:ascii="Times New Roman" w:hAnsi="Times New Roman" w:eastAsia="仿宋_GB2312" w:cs="Times New Roman"/>
            </w:rPr>
            <w:t>3.提升残疾人就业服务水平</w:t>
          </w:r>
          <w:r>
            <w:tab/>
          </w:r>
          <w:r>
            <w:fldChar w:fldCharType="begin"/>
          </w:r>
          <w:r>
            <w:instrText xml:space="preserve"> PAGEREF _Toc21154 \h </w:instrText>
          </w:r>
          <w:r>
            <w:fldChar w:fldCharType="separate"/>
          </w:r>
          <w:r>
            <w:t>5</w:t>
          </w:r>
          <w:r>
            <w:fldChar w:fldCharType="end"/>
          </w:r>
          <w:r>
            <w:fldChar w:fldCharType="end"/>
          </w:r>
        </w:p>
        <w:p w14:paraId="566DD642">
          <w:pPr>
            <w:pStyle w:val="12"/>
            <w:tabs>
              <w:tab w:val="right" w:leader="dot" w:pos="8306"/>
            </w:tabs>
            <w:rPr>
              <w:rFonts w:hint="eastAsia"/>
            </w:rPr>
          </w:pPr>
          <w:r>
            <w:fldChar w:fldCharType="begin"/>
          </w:r>
          <w:r>
            <w:instrText xml:space="preserve">HYPERLINK \l "_Toc26851"</w:instrText>
          </w:r>
          <w:r>
            <w:fldChar w:fldCharType="separate"/>
          </w:r>
          <w:r>
            <w:rPr>
              <w:rFonts w:hint="eastAsia" w:ascii="Times New Roman" w:hAnsi="Times New Roman" w:eastAsia="仿宋_GB2312" w:cs="Times New Roman"/>
            </w:rPr>
            <w:t>4.加强残疾人就业促进服务</w:t>
          </w:r>
          <w:r>
            <w:tab/>
          </w:r>
          <w:r>
            <w:fldChar w:fldCharType="begin"/>
          </w:r>
          <w:r>
            <w:instrText xml:space="preserve"> PAGEREF _Toc26851 \h </w:instrText>
          </w:r>
          <w:r>
            <w:fldChar w:fldCharType="separate"/>
          </w:r>
          <w:r>
            <w:t>5</w:t>
          </w:r>
          <w:r>
            <w:fldChar w:fldCharType="end"/>
          </w:r>
          <w:r>
            <w:fldChar w:fldCharType="end"/>
          </w:r>
        </w:p>
        <w:p w14:paraId="732AB936">
          <w:pPr>
            <w:pStyle w:val="18"/>
            <w:tabs>
              <w:tab w:val="right" w:leader="dot" w:pos="8306"/>
            </w:tabs>
            <w:rPr>
              <w:rFonts w:hint="eastAsia"/>
            </w:rPr>
          </w:pPr>
          <w:r>
            <w:fldChar w:fldCharType="begin"/>
          </w:r>
          <w:r>
            <w:instrText xml:space="preserve">HYPERLINK \l "_Toc11635"</w:instrText>
          </w:r>
          <w:r>
            <w:fldChar w:fldCharType="separate"/>
          </w:r>
          <w:r>
            <w:rPr>
              <w:rFonts w:hint="eastAsia" w:ascii="Times New Roman" w:hAnsi="Times New Roman" w:eastAsia="楷体_GB2312" w:cs="Times New Roman"/>
              <w:szCs w:val="32"/>
            </w:rPr>
            <w:t>（三）高效能完善残疾人全生命周期关爱服务体系</w:t>
          </w:r>
          <w:r>
            <w:tab/>
          </w:r>
          <w:r>
            <w:fldChar w:fldCharType="begin"/>
          </w:r>
          <w:r>
            <w:instrText xml:space="preserve"> PAGEREF _Toc11635 \h </w:instrText>
          </w:r>
          <w:r>
            <w:fldChar w:fldCharType="separate"/>
          </w:r>
          <w:r>
            <w:t>6</w:t>
          </w:r>
          <w:r>
            <w:fldChar w:fldCharType="end"/>
          </w:r>
          <w:r>
            <w:fldChar w:fldCharType="end"/>
          </w:r>
        </w:p>
        <w:p w14:paraId="20BE7A4B">
          <w:pPr>
            <w:pStyle w:val="12"/>
            <w:tabs>
              <w:tab w:val="right" w:leader="dot" w:pos="8306"/>
            </w:tabs>
            <w:rPr>
              <w:rFonts w:hint="eastAsia"/>
            </w:rPr>
          </w:pPr>
          <w:r>
            <w:fldChar w:fldCharType="begin"/>
          </w:r>
          <w:r>
            <w:instrText xml:space="preserve">HYPERLINK \l "_Toc17976"</w:instrText>
          </w:r>
          <w:r>
            <w:fldChar w:fldCharType="separate"/>
          </w:r>
          <w:r>
            <w:rPr>
              <w:rFonts w:hint="eastAsia" w:ascii="Times New Roman" w:hAnsi="Times New Roman" w:eastAsia="仿宋_GB2312" w:cs="Times New Roman"/>
            </w:rPr>
            <w:t>1.提升残疾预防与残疾人健康服务水平</w:t>
          </w:r>
          <w:r>
            <w:tab/>
          </w:r>
          <w:r>
            <w:fldChar w:fldCharType="begin"/>
          </w:r>
          <w:r>
            <w:instrText xml:space="preserve"> PAGEREF _Toc17976 \h </w:instrText>
          </w:r>
          <w:r>
            <w:fldChar w:fldCharType="separate"/>
          </w:r>
          <w:r>
            <w:t>6</w:t>
          </w:r>
          <w:r>
            <w:fldChar w:fldCharType="end"/>
          </w:r>
          <w:r>
            <w:fldChar w:fldCharType="end"/>
          </w:r>
        </w:p>
        <w:p w14:paraId="15902F9E">
          <w:pPr>
            <w:pStyle w:val="12"/>
            <w:tabs>
              <w:tab w:val="right" w:leader="dot" w:pos="8306"/>
            </w:tabs>
            <w:rPr>
              <w:rFonts w:hint="eastAsia"/>
            </w:rPr>
          </w:pPr>
          <w:r>
            <w:fldChar w:fldCharType="begin"/>
          </w:r>
          <w:r>
            <w:instrText xml:space="preserve">HYPERLINK \l "_Toc4928"</w:instrText>
          </w:r>
          <w:r>
            <w:fldChar w:fldCharType="separate"/>
          </w:r>
          <w:r>
            <w:rPr>
              <w:rFonts w:hint="eastAsia" w:ascii="Times New Roman" w:hAnsi="Times New Roman" w:eastAsia="仿宋_GB2312" w:cs="Times New Roman"/>
            </w:rPr>
            <w:t>2.提升康复和辅助器具服务水平</w:t>
          </w:r>
          <w:r>
            <w:tab/>
          </w:r>
          <w:r>
            <w:fldChar w:fldCharType="begin"/>
          </w:r>
          <w:r>
            <w:instrText xml:space="preserve"> PAGEREF _Toc4928 \h </w:instrText>
          </w:r>
          <w:r>
            <w:fldChar w:fldCharType="separate"/>
          </w:r>
          <w:r>
            <w:t>6</w:t>
          </w:r>
          <w:r>
            <w:fldChar w:fldCharType="end"/>
          </w:r>
          <w:r>
            <w:fldChar w:fldCharType="end"/>
          </w:r>
        </w:p>
        <w:p w14:paraId="173DFEE9">
          <w:pPr>
            <w:pStyle w:val="12"/>
            <w:tabs>
              <w:tab w:val="right" w:leader="dot" w:pos="8306"/>
            </w:tabs>
            <w:rPr>
              <w:rFonts w:hint="eastAsia"/>
            </w:rPr>
          </w:pPr>
          <w:r>
            <w:fldChar w:fldCharType="begin"/>
          </w:r>
          <w:r>
            <w:instrText xml:space="preserve">HYPERLINK \l "_Toc17938"</w:instrText>
          </w:r>
          <w:r>
            <w:fldChar w:fldCharType="separate"/>
          </w:r>
          <w:r>
            <w:rPr>
              <w:rFonts w:ascii="Times New Roman" w:hAnsi="Times New Roman" w:eastAsia="仿宋_GB2312" w:cs="Times New Roman"/>
            </w:rPr>
            <w:t>3.</w:t>
          </w:r>
          <w:r>
            <w:rPr>
              <w:rFonts w:hint="eastAsia" w:ascii="Times New Roman" w:hAnsi="Times New Roman" w:eastAsia="仿宋_GB2312" w:cs="Times New Roman"/>
            </w:rPr>
            <w:t>保障残疾人受教育权益</w:t>
          </w:r>
          <w:r>
            <w:tab/>
          </w:r>
          <w:r>
            <w:fldChar w:fldCharType="begin"/>
          </w:r>
          <w:r>
            <w:instrText xml:space="preserve"> PAGEREF _Toc17938 \h </w:instrText>
          </w:r>
          <w:r>
            <w:fldChar w:fldCharType="separate"/>
          </w:r>
          <w:r>
            <w:t>7</w:t>
          </w:r>
          <w:r>
            <w:fldChar w:fldCharType="end"/>
          </w:r>
          <w:r>
            <w:fldChar w:fldCharType="end"/>
          </w:r>
        </w:p>
        <w:p w14:paraId="38A5F49A">
          <w:pPr>
            <w:pStyle w:val="12"/>
            <w:tabs>
              <w:tab w:val="right" w:leader="dot" w:pos="8306"/>
            </w:tabs>
            <w:rPr>
              <w:rFonts w:hint="eastAsia"/>
            </w:rPr>
          </w:pPr>
          <w:r>
            <w:fldChar w:fldCharType="begin"/>
          </w:r>
          <w:r>
            <w:instrText xml:space="preserve">HYPERLINK \l "_Toc12"</w:instrText>
          </w:r>
          <w:r>
            <w:fldChar w:fldCharType="separate"/>
          </w:r>
          <w:r>
            <w:rPr>
              <w:rFonts w:hint="eastAsia" w:ascii="Times New Roman" w:hAnsi="Times New Roman" w:eastAsia="仿宋_GB2312" w:cs="Times New Roman"/>
            </w:rPr>
            <w:t>4.扩大托养和照护服务有效供给</w:t>
          </w:r>
          <w:r>
            <w:tab/>
          </w:r>
          <w:r>
            <w:fldChar w:fldCharType="begin"/>
          </w:r>
          <w:r>
            <w:instrText xml:space="preserve"> PAGEREF _Toc12 \h </w:instrText>
          </w:r>
          <w:r>
            <w:fldChar w:fldCharType="separate"/>
          </w:r>
          <w:r>
            <w:t>8</w:t>
          </w:r>
          <w:r>
            <w:fldChar w:fldCharType="end"/>
          </w:r>
          <w:r>
            <w:fldChar w:fldCharType="end"/>
          </w:r>
        </w:p>
        <w:p w14:paraId="6D8D6A72">
          <w:pPr>
            <w:pStyle w:val="12"/>
            <w:tabs>
              <w:tab w:val="right" w:leader="dot" w:pos="8306"/>
            </w:tabs>
            <w:rPr>
              <w:rFonts w:hint="eastAsia"/>
            </w:rPr>
          </w:pPr>
          <w:r>
            <w:fldChar w:fldCharType="begin"/>
          </w:r>
          <w:r>
            <w:instrText xml:space="preserve">HYPERLINK \l "_Toc14906"</w:instrText>
          </w:r>
          <w:r>
            <w:fldChar w:fldCharType="separate"/>
          </w:r>
          <w:r>
            <w:rPr>
              <w:rFonts w:ascii="Times New Roman" w:hAnsi="Times New Roman" w:eastAsia="仿宋_GB2312" w:cs="Times New Roman"/>
            </w:rPr>
            <w:t>5.</w:t>
          </w:r>
          <w:r>
            <w:rPr>
              <w:rFonts w:hint="eastAsia" w:ascii="Times New Roman" w:hAnsi="Times New Roman" w:eastAsia="仿宋_GB2312" w:cs="Times New Roman"/>
            </w:rPr>
            <w:t>丰富残疾人精神文化体育生活</w:t>
          </w:r>
          <w:r>
            <w:tab/>
          </w:r>
          <w:r>
            <w:fldChar w:fldCharType="begin"/>
          </w:r>
          <w:r>
            <w:instrText xml:space="preserve"> PAGEREF _Toc14906 \h </w:instrText>
          </w:r>
          <w:r>
            <w:fldChar w:fldCharType="separate"/>
          </w:r>
          <w:r>
            <w:t>8</w:t>
          </w:r>
          <w:r>
            <w:fldChar w:fldCharType="end"/>
          </w:r>
          <w:r>
            <w:fldChar w:fldCharType="end"/>
          </w:r>
        </w:p>
        <w:p w14:paraId="4B516134">
          <w:pPr>
            <w:pStyle w:val="18"/>
            <w:tabs>
              <w:tab w:val="right" w:leader="dot" w:pos="8306"/>
            </w:tabs>
            <w:rPr>
              <w:rFonts w:hint="eastAsia"/>
            </w:rPr>
          </w:pPr>
          <w:r>
            <w:fldChar w:fldCharType="begin"/>
          </w:r>
          <w:r>
            <w:instrText xml:space="preserve">HYPERLINK \l "_Toc29962"</w:instrText>
          </w:r>
          <w:r>
            <w:fldChar w:fldCharType="separate"/>
          </w:r>
          <w:r>
            <w:rPr>
              <w:rFonts w:hint="eastAsia" w:ascii="Times New Roman" w:hAnsi="Times New Roman" w:eastAsia="楷体_GB2312" w:cs="Times New Roman"/>
              <w:szCs w:val="32"/>
            </w:rPr>
            <w:t>（四）高协同强化残疾人事业发展支撑要素</w:t>
          </w:r>
          <w:r>
            <w:tab/>
          </w:r>
          <w:r>
            <w:fldChar w:fldCharType="begin"/>
          </w:r>
          <w:r>
            <w:instrText xml:space="preserve"> PAGEREF _Toc29962 \h </w:instrText>
          </w:r>
          <w:r>
            <w:fldChar w:fldCharType="separate"/>
          </w:r>
          <w:r>
            <w:t>9</w:t>
          </w:r>
          <w:r>
            <w:fldChar w:fldCharType="end"/>
          </w:r>
          <w:r>
            <w:fldChar w:fldCharType="end"/>
          </w:r>
        </w:p>
        <w:p w14:paraId="1DC5E7CA">
          <w:pPr>
            <w:pStyle w:val="12"/>
            <w:tabs>
              <w:tab w:val="right" w:leader="dot" w:pos="8306"/>
            </w:tabs>
            <w:rPr>
              <w:rFonts w:hint="eastAsia"/>
            </w:rPr>
          </w:pPr>
          <w:r>
            <w:fldChar w:fldCharType="begin"/>
          </w:r>
          <w:r>
            <w:instrText xml:space="preserve">HYPERLINK \l "_Toc25470"</w:instrText>
          </w:r>
          <w:r>
            <w:fldChar w:fldCharType="separate"/>
          </w:r>
          <w:r>
            <w:rPr>
              <w:rFonts w:hint="eastAsia" w:ascii="Times New Roman" w:hAnsi="Times New Roman" w:eastAsia="仿宋_GB2312" w:cs="Times New Roman"/>
              <w:szCs w:val="32"/>
            </w:rPr>
            <w:t>1.发挥残疾人组织桥梁纽带作用</w:t>
          </w:r>
          <w:r>
            <w:tab/>
          </w:r>
          <w:r>
            <w:fldChar w:fldCharType="begin"/>
          </w:r>
          <w:r>
            <w:instrText xml:space="preserve"> PAGEREF _Toc25470 \h </w:instrText>
          </w:r>
          <w:r>
            <w:fldChar w:fldCharType="separate"/>
          </w:r>
          <w:r>
            <w:t>9</w:t>
          </w:r>
          <w:r>
            <w:fldChar w:fldCharType="end"/>
          </w:r>
          <w:r>
            <w:fldChar w:fldCharType="end"/>
          </w:r>
        </w:p>
        <w:p w14:paraId="4479C6C8">
          <w:pPr>
            <w:pStyle w:val="12"/>
            <w:tabs>
              <w:tab w:val="right" w:leader="dot" w:pos="8306"/>
            </w:tabs>
            <w:rPr>
              <w:rFonts w:hint="eastAsia"/>
            </w:rPr>
          </w:pPr>
          <w:r>
            <w:fldChar w:fldCharType="begin"/>
          </w:r>
          <w:r>
            <w:instrText xml:space="preserve">HYPERLINK \l "_Toc27308"</w:instrText>
          </w:r>
          <w:r>
            <w:fldChar w:fldCharType="separate"/>
          </w:r>
          <w:r>
            <w:rPr>
              <w:rFonts w:hint="eastAsia" w:ascii="Times New Roman" w:hAnsi="Times New Roman" w:eastAsia="仿宋_GB2312" w:cs="Times New Roman"/>
            </w:rPr>
            <w:t>2.增强基层残疾人服务能力</w:t>
          </w:r>
          <w:r>
            <w:tab/>
          </w:r>
          <w:r>
            <w:fldChar w:fldCharType="begin"/>
          </w:r>
          <w:r>
            <w:instrText xml:space="preserve"> PAGEREF _Toc27308 \h </w:instrText>
          </w:r>
          <w:r>
            <w:fldChar w:fldCharType="separate"/>
          </w:r>
          <w:r>
            <w:t>9</w:t>
          </w:r>
          <w:r>
            <w:fldChar w:fldCharType="end"/>
          </w:r>
          <w:r>
            <w:fldChar w:fldCharType="end"/>
          </w:r>
        </w:p>
        <w:p w14:paraId="758C8BC8">
          <w:pPr>
            <w:pStyle w:val="12"/>
            <w:tabs>
              <w:tab w:val="right" w:leader="dot" w:pos="8306"/>
            </w:tabs>
            <w:rPr>
              <w:rFonts w:hint="eastAsia"/>
            </w:rPr>
          </w:pPr>
          <w:r>
            <w:fldChar w:fldCharType="begin"/>
          </w:r>
          <w:r>
            <w:instrText xml:space="preserve">HYPERLINK \l "_Toc4085"</w:instrText>
          </w:r>
          <w:r>
            <w:fldChar w:fldCharType="separate"/>
          </w:r>
          <w:r>
            <w:rPr>
              <w:rFonts w:hint="eastAsia" w:ascii="Times New Roman" w:hAnsi="Times New Roman" w:eastAsia="仿宋_GB2312" w:cs="Times New Roman"/>
            </w:rPr>
            <w:t>3.强化科技赋能</w:t>
          </w:r>
          <w:r>
            <w:tab/>
          </w:r>
          <w:r>
            <w:fldChar w:fldCharType="begin"/>
          </w:r>
          <w:r>
            <w:instrText xml:space="preserve"> PAGEREF _Toc4085 \h </w:instrText>
          </w:r>
          <w:r>
            <w:fldChar w:fldCharType="separate"/>
          </w:r>
          <w:r>
            <w:t>10</w:t>
          </w:r>
          <w:r>
            <w:fldChar w:fldCharType="end"/>
          </w:r>
          <w:r>
            <w:fldChar w:fldCharType="end"/>
          </w:r>
        </w:p>
        <w:p w14:paraId="40D8E045">
          <w:pPr>
            <w:pStyle w:val="12"/>
            <w:tabs>
              <w:tab w:val="right" w:leader="dot" w:pos="8306"/>
            </w:tabs>
            <w:rPr>
              <w:rFonts w:hint="eastAsia"/>
            </w:rPr>
          </w:pPr>
          <w:r>
            <w:fldChar w:fldCharType="begin"/>
          </w:r>
          <w:r>
            <w:instrText xml:space="preserve">HYPERLINK \l "_Toc6227"</w:instrText>
          </w:r>
          <w:r>
            <w:fldChar w:fldCharType="separate"/>
          </w:r>
          <w:r>
            <w:rPr>
              <w:rFonts w:hint="eastAsia" w:ascii="Times New Roman" w:hAnsi="Times New Roman" w:eastAsia="仿宋_GB2312" w:cs="Times New Roman"/>
            </w:rPr>
            <w:t>4.坚守安全发展底线</w:t>
          </w:r>
          <w:r>
            <w:tab/>
          </w:r>
          <w:r>
            <w:fldChar w:fldCharType="begin"/>
          </w:r>
          <w:r>
            <w:instrText xml:space="preserve"> PAGEREF _Toc6227 \h </w:instrText>
          </w:r>
          <w:r>
            <w:fldChar w:fldCharType="separate"/>
          </w:r>
          <w:r>
            <w:t>10</w:t>
          </w:r>
          <w:r>
            <w:fldChar w:fldCharType="end"/>
          </w:r>
          <w:r>
            <w:fldChar w:fldCharType="end"/>
          </w:r>
        </w:p>
        <w:p w14:paraId="71BF10ED">
          <w:pPr>
            <w:pStyle w:val="18"/>
            <w:tabs>
              <w:tab w:val="right" w:leader="dot" w:pos="8306"/>
            </w:tabs>
            <w:rPr>
              <w:rFonts w:hint="eastAsia"/>
            </w:rPr>
          </w:pPr>
          <w:r>
            <w:fldChar w:fldCharType="begin"/>
          </w:r>
          <w:r>
            <w:instrText xml:space="preserve">HYPERLINK \l "_Toc23678"</w:instrText>
          </w:r>
          <w:r>
            <w:fldChar w:fldCharType="separate"/>
          </w:r>
          <w:r>
            <w:rPr>
              <w:rFonts w:hint="eastAsia" w:ascii="Times New Roman" w:hAnsi="Times New Roman" w:eastAsia="楷体_GB2312" w:cs="Times New Roman"/>
              <w:szCs w:val="32"/>
            </w:rPr>
            <w:t>（五）高标准创造更加友好平等的社会环境</w:t>
          </w:r>
          <w:r>
            <w:tab/>
          </w:r>
          <w:r>
            <w:fldChar w:fldCharType="begin"/>
          </w:r>
          <w:r>
            <w:instrText xml:space="preserve"> PAGEREF _Toc23678 \h </w:instrText>
          </w:r>
          <w:r>
            <w:fldChar w:fldCharType="separate"/>
          </w:r>
          <w:r>
            <w:t>10</w:t>
          </w:r>
          <w:r>
            <w:fldChar w:fldCharType="end"/>
          </w:r>
          <w:r>
            <w:fldChar w:fldCharType="end"/>
          </w:r>
        </w:p>
        <w:p w14:paraId="64868903">
          <w:pPr>
            <w:pStyle w:val="12"/>
            <w:tabs>
              <w:tab w:val="right" w:leader="dot" w:pos="8306"/>
            </w:tabs>
            <w:rPr>
              <w:rFonts w:hint="eastAsia"/>
            </w:rPr>
          </w:pPr>
          <w:r>
            <w:fldChar w:fldCharType="begin"/>
          </w:r>
          <w:r>
            <w:instrText xml:space="preserve">HYPERLINK \l "_Toc26202"</w:instrText>
          </w:r>
          <w:r>
            <w:fldChar w:fldCharType="separate"/>
          </w:r>
          <w:r>
            <w:rPr>
              <w:rFonts w:hint="eastAsia" w:ascii="Times New Roman" w:hAnsi="Times New Roman" w:eastAsia="仿宋_GB2312" w:cs="Times New Roman"/>
            </w:rPr>
            <w:t>1.加强残疾人法律服务和权益保障</w:t>
          </w:r>
          <w:r>
            <w:tab/>
          </w:r>
          <w:r>
            <w:fldChar w:fldCharType="begin"/>
          </w:r>
          <w:r>
            <w:instrText xml:space="preserve"> PAGEREF _Toc26202 \h </w:instrText>
          </w:r>
          <w:r>
            <w:fldChar w:fldCharType="separate"/>
          </w:r>
          <w:r>
            <w:t>10</w:t>
          </w:r>
          <w:r>
            <w:fldChar w:fldCharType="end"/>
          </w:r>
          <w:r>
            <w:fldChar w:fldCharType="end"/>
          </w:r>
        </w:p>
        <w:p w14:paraId="3A72B1D7">
          <w:pPr>
            <w:pStyle w:val="12"/>
            <w:tabs>
              <w:tab w:val="right" w:leader="dot" w:pos="8306"/>
            </w:tabs>
            <w:rPr>
              <w:rFonts w:hint="eastAsia"/>
            </w:rPr>
          </w:pPr>
          <w:r>
            <w:fldChar w:fldCharType="begin"/>
          </w:r>
          <w:r>
            <w:instrText xml:space="preserve">HYPERLINK \l "_Toc15130"</w:instrText>
          </w:r>
          <w:r>
            <w:fldChar w:fldCharType="separate"/>
          </w:r>
          <w:r>
            <w:rPr>
              <w:rFonts w:ascii="Times New Roman" w:hAnsi="Times New Roman" w:eastAsia="仿宋_GB2312" w:cs="Times New Roman"/>
            </w:rPr>
            <w:t>2.</w:t>
          </w:r>
          <w:r>
            <w:rPr>
              <w:rFonts w:hint="eastAsia" w:ascii="Times New Roman" w:hAnsi="Times New Roman" w:eastAsia="仿宋_GB2312" w:cs="Times New Roman"/>
            </w:rPr>
            <w:t>深化无障碍环境建设</w:t>
          </w:r>
          <w:r>
            <w:tab/>
          </w:r>
          <w:r>
            <w:fldChar w:fldCharType="begin"/>
          </w:r>
          <w:r>
            <w:instrText xml:space="preserve"> PAGEREF _Toc15130 \h </w:instrText>
          </w:r>
          <w:r>
            <w:fldChar w:fldCharType="separate"/>
          </w:r>
          <w:r>
            <w:t>11</w:t>
          </w:r>
          <w:r>
            <w:fldChar w:fldCharType="end"/>
          </w:r>
          <w:r>
            <w:fldChar w:fldCharType="end"/>
          </w:r>
        </w:p>
        <w:p w14:paraId="6D0B8E80">
          <w:pPr>
            <w:pStyle w:val="12"/>
            <w:tabs>
              <w:tab w:val="right" w:leader="dot" w:pos="8306"/>
            </w:tabs>
            <w:rPr>
              <w:rFonts w:hint="eastAsia"/>
            </w:rPr>
          </w:pPr>
          <w:r>
            <w:fldChar w:fldCharType="begin"/>
          </w:r>
          <w:r>
            <w:instrText xml:space="preserve">HYPERLINK \l "_Toc17807"</w:instrText>
          </w:r>
          <w:r>
            <w:fldChar w:fldCharType="separate"/>
          </w:r>
          <w:r>
            <w:rPr>
              <w:rFonts w:hint="eastAsia" w:ascii="Times New Roman" w:hAnsi="Times New Roman" w:eastAsia="仿宋_GB2312" w:cs="Times New Roman"/>
            </w:rPr>
            <w:t>3.营造全社会助残和残疾人自强的文明社会氛围</w:t>
          </w:r>
          <w:r>
            <w:tab/>
          </w:r>
          <w:r>
            <w:fldChar w:fldCharType="begin"/>
          </w:r>
          <w:r>
            <w:instrText xml:space="preserve"> PAGEREF _Toc17807 \h </w:instrText>
          </w:r>
          <w:r>
            <w:fldChar w:fldCharType="separate"/>
          </w:r>
          <w:r>
            <w:t>11</w:t>
          </w:r>
          <w:r>
            <w:fldChar w:fldCharType="end"/>
          </w:r>
          <w:r>
            <w:fldChar w:fldCharType="end"/>
          </w:r>
        </w:p>
        <w:p w14:paraId="3C78D53D">
          <w:pPr>
            <w:pStyle w:val="15"/>
            <w:tabs>
              <w:tab w:val="right" w:leader="dot" w:pos="8306"/>
            </w:tabs>
            <w:rPr>
              <w:rFonts w:hint="eastAsia"/>
            </w:rPr>
          </w:pPr>
          <w:r>
            <w:fldChar w:fldCharType="begin"/>
          </w:r>
          <w:r>
            <w:instrText xml:space="preserve">HYPERLINK \l "_Toc11524"</w:instrText>
          </w:r>
          <w:r>
            <w:fldChar w:fldCharType="separate"/>
          </w:r>
          <w:r>
            <w:rPr>
              <w:rFonts w:hint="eastAsia" w:ascii="Times New Roman" w:hAnsi="Times New Roman" w:eastAsia="黑体" w:cs="Times New Roman"/>
              <w:szCs w:val="32"/>
            </w:rPr>
            <w:t>三、实施保障</w:t>
          </w:r>
          <w:r>
            <w:tab/>
          </w:r>
          <w:r>
            <w:fldChar w:fldCharType="begin"/>
          </w:r>
          <w:r>
            <w:instrText xml:space="preserve"> PAGEREF _Toc11524 \h </w:instrText>
          </w:r>
          <w:r>
            <w:fldChar w:fldCharType="separate"/>
          </w:r>
          <w:r>
            <w:t>12</w:t>
          </w:r>
          <w:r>
            <w:fldChar w:fldCharType="end"/>
          </w:r>
          <w:r>
            <w:fldChar w:fldCharType="end"/>
          </w:r>
        </w:p>
        <w:p w14:paraId="29723C6F">
          <w:pPr>
            <w:pStyle w:val="18"/>
            <w:tabs>
              <w:tab w:val="right" w:leader="dot" w:pos="8306"/>
            </w:tabs>
            <w:rPr>
              <w:rFonts w:hint="eastAsia"/>
            </w:rPr>
          </w:pPr>
          <w:r>
            <w:fldChar w:fldCharType="begin"/>
          </w:r>
          <w:r>
            <w:instrText xml:space="preserve">HYPERLINK \l "_Toc16214"</w:instrText>
          </w:r>
          <w:r>
            <w:fldChar w:fldCharType="separate"/>
          </w:r>
          <w:r>
            <w:rPr>
              <w:rFonts w:hint="eastAsia" w:ascii="Times New Roman" w:hAnsi="Times New Roman" w:eastAsia="楷体_GB2312" w:cs="Times New Roman"/>
              <w:szCs w:val="32"/>
            </w:rPr>
            <w:t>（一）加强组织领导，压实工作责任</w:t>
          </w:r>
          <w:r>
            <w:tab/>
          </w:r>
          <w:r>
            <w:fldChar w:fldCharType="begin"/>
          </w:r>
          <w:r>
            <w:instrText xml:space="preserve"> PAGEREF _Toc16214 \h </w:instrText>
          </w:r>
          <w:r>
            <w:fldChar w:fldCharType="separate"/>
          </w:r>
          <w:r>
            <w:t>12</w:t>
          </w:r>
          <w:r>
            <w:fldChar w:fldCharType="end"/>
          </w:r>
          <w:r>
            <w:fldChar w:fldCharType="end"/>
          </w:r>
        </w:p>
        <w:p w14:paraId="109A847B">
          <w:pPr>
            <w:pStyle w:val="18"/>
            <w:tabs>
              <w:tab w:val="right" w:leader="dot" w:pos="8306"/>
            </w:tabs>
            <w:rPr>
              <w:rFonts w:hint="eastAsia"/>
            </w:rPr>
          </w:pPr>
          <w:r>
            <w:fldChar w:fldCharType="begin"/>
          </w:r>
          <w:r>
            <w:instrText xml:space="preserve">HYPERLINK \l "_Toc22209"</w:instrText>
          </w:r>
          <w:r>
            <w:fldChar w:fldCharType="separate"/>
          </w:r>
          <w:r>
            <w:rPr>
              <w:rFonts w:hint="eastAsia" w:ascii="Times New Roman" w:hAnsi="Times New Roman" w:eastAsia="楷体_GB2312" w:cs="Times New Roman"/>
              <w:szCs w:val="32"/>
            </w:rPr>
            <w:t>（二）健全投入机制，推动多元参与</w:t>
          </w:r>
          <w:r>
            <w:tab/>
          </w:r>
          <w:r>
            <w:fldChar w:fldCharType="begin"/>
          </w:r>
          <w:r>
            <w:instrText xml:space="preserve"> PAGEREF _Toc22209 \h </w:instrText>
          </w:r>
          <w:r>
            <w:fldChar w:fldCharType="separate"/>
          </w:r>
          <w:r>
            <w:t>12</w:t>
          </w:r>
          <w:r>
            <w:fldChar w:fldCharType="end"/>
          </w:r>
          <w:r>
            <w:fldChar w:fldCharType="end"/>
          </w:r>
        </w:p>
        <w:p w14:paraId="33602C44">
          <w:pPr>
            <w:pStyle w:val="18"/>
            <w:tabs>
              <w:tab w:val="right" w:leader="dot" w:pos="8306"/>
            </w:tabs>
            <w:rPr>
              <w:rFonts w:hint="eastAsia"/>
            </w:rPr>
          </w:pPr>
          <w:r>
            <w:fldChar w:fldCharType="begin"/>
          </w:r>
          <w:r>
            <w:instrText xml:space="preserve">HYPERLINK \l "_Toc27659"</w:instrText>
          </w:r>
          <w:r>
            <w:fldChar w:fldCharType="separate"/>
          </w:r>
          <w:r>
            <w:rPr>
              <w:rFonts w:hint="eastAsia" w:ascii="Times New Roman" w:hAnsi="Times New Roman" w:eastAsia="楷体_GB2312" w:cs="Times New Roman"/>
              <w:szCs w:val="32"/>
            </w:rPr>
            <w:t>（三）强化监测评估，确保规划落实</w:t>
          </w:r>
          <w:r>
            <w:tab/>
          </w:r>
          <w:r>
            <w:fldChar w:fldCharType="begin"/>
          </w:r>
          <w:r>
            <w:instrText xml:space="preserve"> PAGEREF _Toc27659 \h </w:instrText>
          </w:r>
          <w:r>
            <w:fldChar w:fldCharType="separate"/>
          </w:r>
          <w:r>
            <w:t>13</w:t>
          </w:r>
          <w:r>
            <w:fldChar w:fldCharType="end"/>
          </w:r>
          <w:r>
            <w:fldChar w:fldCharType="end"/>
          </w:r>
        </w:p>
        <w:p w14:paraId="4E65D07A">
          <w:pPr>
            <w:spacing w:line="440" w:lineRule="exact"/>
            <w:rPr>
              <w:rFonts w:ascii="Times New Roman" w:hAnsi="Times New Roman" w:cs="Times New Roman"/>
            </w:rPr>
          </w:pPr>
          <w:r>
            <w:rPr>
              <w:rFonts w:ascii="Times New Roman" w:hAnsi="Times New Roman" w:cs="Times New Roman"/>
              <w:bCs/>
              <w:szCs w:val="24"/>
              <w:lang w:val="zh-CN"/>
            </w:rPr>
            <w:fldChar w:fldCharType="end"/>
          </w:r>
        </w:p>
      </w:sdtContent>
    </w:sdt>
    <w:p w14:paraId="516CD695">
      <w:pPr>
        <w:spacing w:line="560" w:lineRule="exact"/>
        <w:ind w:firstLine="880" w:firstLineChars="200"/>
        <w:jc w:val="center"/>
        <w:rPr>
          <w:rFonts w:ascii="Times New Roman" w:hAnsi="Times New Roman" w:eastAsia="微软雅黑" w:cs="Times New Roman"/>
          <w:sz w:val="44"/>
          <w:szCs w:val="44"/>
        </w:rPr>
      </w:pPr>
    </w:p>
    <w:p w14:paraId="54CBA853">
      <w:pPr>
        <w:widowControl/>
        <w:spacing w:line="560" w:lineRule="exact"/>
        <w:jc w:val="left"/>
        <w:rPr>
          <w:rFonts w:ascii="Times New Roman" w:hAnsi="Times New Roman" w:eastAsia="微软雅黑" w:cs="Times New Roman"/>
          <w:sz w:val="44"/>
          <w:szCs w:val="44"/>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ascii="Times New Roman" w:hAnsi="Times New Roman" w:eastAsia="微软雅黑" w:cs="Times New Roman"/>
          <w:sz w:val="44"/>
          <w:szCs w:val="44"/>
        </w:rPr>
        <w:br w:type="page"/>
      </w:r>
    </w:p>
    <w:p w14:paraId="5A424FF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依据《北京市“十五五”时期残疾人事业发展规划》《北京市昌平区国民经济和社会发展第十五个五年规划纲要》等相关文件，制定本规划。</w:t>
      </w:r>
    </w:p>
    <w:p w14:paraId="4E3A54AF">
      <w:pPr>
        <w:pStyle w:val="2"/>
        <w:spacing w:before="100" w:after="100" w:line="560" w:lineRule="exact"/>
        <w:ind w:firstLine="640" w:firstLineChars="200"/>
        <w:rPr>
          <w:rFonts w:ascii="Times New Roman" w:hAnsi="Times New Roman" w:eastAsia="黑体" w:cs="Times New Roman"/>
          <w:color w:val="auto"/>
          <w:sz w:val="32"/>
          <w:szCs w:val="32"/>
        </w:rPr>
      </w:pPr>
      <w:bookmarkStart w:id="0" w:name="_Toc13352"/>
      <w:bookmarkStart w:id="1" w:name="_Toc230085849"/>
      <w:bookmarkStart w:id="2" w:name="_Toc3991"/>
      <w:r>
        <w:rPr>
          <w:rFonts w:hint="eastAsia" w:ascii="Times New Roman" w:hAnsi="Times New Roman" w:eastAsia="黑体" w:cs="Times New Roman"/>
          <w:color w:val="auto"/>
          <w:sz w:val="32"/>
          <w:szCs w:val="32"/>
        </w:rPr>
        <w:t>一、总体要求</w:t>
      </w:r>
      <w:bookmarkEnd w:id="0"/>
      <w:bookmarkEnd w:id="1"/>
      <w:bookmarkEnd w:id="2"/>
    </w:p>
    <w:p w14:paraId="29DB8D01">
      <w:pPr>
        <w:pStyle w:val="3"/>
        <w:spacing w:before="20" w:after="20" w:line="560" w:lineRule="exact"/>
        <w:ind w:firstLine="640" w:firstLineChars="200"/>
        <w:rPr>
          <w:rFonts w:ascii="Times New Roman" w:hAnsi="Times New Roman" w:eastAsia="楷体_GB2312" w:cs="Times New Roman"/>
          <w:color w:val="auto"/>
          <w:sz w:val="32"/>
          <w:szCs w:val="32"/>
        </w:rPr>
      </w:pPr>
      <w:bookmarkStart w:id="3" w:name="_Toc26841"/>
      <w:bookmarkStart w:id="4" w:name="_Toc230085850"/>
      <w:bookmarkStart w:id="5" w:name="_Toc500"/>
      <w:r>
        <w:rPr>
          <w:rFonts w:hint="eastAsia" w:ascii="Times New Roman" w:hAnsi="Times New Roman" w:eastAsia="楷体_GB2312" w:cs="Times New Roman"/>
          <w:color w:val="auto"/>
          <w:sz w:val="32"/>
          <w:szCs w:val="32"/>
        </w:rPr>
        <w:t>（一）指导思想</w:t>
      </w:r>
      <w:bookmarkEnd w:id="3"/>
      <w:bookmarkEnd w:id="4"/>
      <w:bookmarkEnd w:id="5"/>
    </w:p>
    <w:p w14:paraId="7BD9BB2A">
      <w:pPr>
        <w:spacing w:line="560" w:lineRule="exact"/>
        <w:ind w:firstLine="640" w:firstLineChars="200"/>
        <w:rPr>
          <w:rFonts w:ascii="Times New Roman" w:hAnsi="Times New Roman" w:eastAsia="仿宋_GB2312" w:cs="Times New Roman"/>
          <w:sz w:val="32"/>
          <w:szCs w:val="32"/>
        </w:rPr>
      </w:pPr>
      <w:bookmarkStart w:id="6" w:name="OLE_LINK7"/>
      <w:r>
        <w:rPr>
          <w:rFonts w:hint="eastAsia" w:ascii="Times New Roman" w:hAnsi="Times New Roman" w:eastAsia="仿宋_GB2312" w:cs="Times New Roman"/>
          <w:sz w:val="32"/>
          <w:szCs w:val="32"/>
        </w:rPr>
        <w:t>以习近平新时代中国特色社会主义思想为指导，</w:t>
      </w:r>
      <w:bookmarkEnd w:id="6"/>
      <w:r>
        <w:rPr>
          <w:rFonts w:hint="eastAsia" w:ascii="Times New Roman" w:hAnsi="Times New Roman" w:eastAsia="仿宋_GB2312" w:cs="Times New Roman"/>
          <w:sz w:val="32"/>
          <w:szCs w:val="32"/>
        </w:rPr>
        <w:t>贯彻落实习近平总书记对北京重要讲话精神和关于残疾人事业的重要论述</w:t>
      </w:r>
      <w:bookmarkStart w:id="135" w:name="_GoBack"/>
      <w:bookmarkEnd w:id="135"/>
      <w:r>
        <w:rPr>
          <w:rFonts w:hint="eastAsia" w:ascii="Times New Roman" w:hAnsi="Times New Roman" w:eastAsia="仿宋_GB2312" w:cs="Times New Roman"/>
          <w:sz w:val="32"/>
          <w:szCs w:val="32"/>
        </w:rPr>
        <w:t>，锚定北京率先基本实现社会主义现代化战略目标，坚定不移贯彻新发展理念，以服务首都发展为统领，立足昌平“科教新区、宜业宜居”功能定位，以推动残疾人事业高质量发展为主题，以完善残疾人社会保障制度和关爱服务体系为主线，以改革创新为动力，充分发挥昌平高校云集、科创产业集聚优势，以满足残疾人美好生活需要为根本目的，精准补短板、强弱项</w:t>
      </w:r>
      <w:bookmarkStart w:id="7" w:name="OLE_LINK8"/>
      <w:r>
        <w:rPr>
          <w:rFonts w:hint="eastAsia" w:ascii="Times New Roman" w:hAnsi="Times New Roman" w:eastAsia="仿宋_GB2312" w:cs="Times New Roman"/>
          <w:sz w:val="32"/>
          <w:szCs w:val="32"/>
        </w:rPr>
        <w:t>，持续固根基、扬优势，保障残疾人平等权利，增进民生福祉，</w:t>
      </w:r>
      <w:bookmarkEnd w:id="7"/>
      <w:r>
        <w:rPr>
          <w:rFonts w:hint="eastAsia" w:ascii="Times New Roman" w:hAnsi="Times New Roman" w:eastAsia="仿宋_GB2312" w:cs="Times New Roman"/>
          <w:sz w:val="32"/>
          <w:szCs w:val="32"/>
        </w:rPr>
        <w:t>加快建设幸福宜居的现代化昌平，构建“平等参与、融合发展”的残疾人事业新格局，为推进残疾人事业现代化奠定坚实基础。</w:t>
      </w:r>
    </w:p>
    <w:p w14:paraId="7F6FCE73">
      <w:pPr>
        <w:pStyle w:val="3"/>
        <w:spacing w:before="20" w:after="20" w:line="560" w:lineRule="exact"/>
        <w:ind w:firstLine="640" w:firstLineChars="200"/>
        <w:rPr>
          <w:rFonts w:ascii="Times New Roman" w:hAnsi="Times New Roman" w:eastAsia="楷体_GB2312" w:cs="Times New Roman"/>
          <w:color w:val="auto"/>
          <w:sz w:val="32"/>
          <w:szCs w:val="32"/>
        </w:rPr>
      </w:pPr>
      <w:bookmarkStart w:id="8" w:name="_Toc3538"/>
      <w:bookmarkStart w:id="9" w:name="_Toc14407"/>
      <w:bookmarkStart w:id="10" w:name="_Toc230085852"/>
      <w:r>
        <w:rPr>
          <w:rFonts w:hint="eastAsia" w:ascii="Times New Roman" w:hAnsi="Times New Roman" w:eastAsia="楷体_GB2312" w:cs="Times New Roman"/>
          <w:color w:val="auto"/>
          <w:sz w:val="32"/>
          <w:szCs w:val="32"/>
        </w:rPr>
        <w:t>（二）主要目标</w:t>
      </w:r>
      <w:bookmarkEnd w:id="8"/>
      <w:bookmarkEnd w:id="9"/>
      <w:bookmarkEnd w:id="10"/>
    </w:p>
    <w:p w14:paraId="0CDB732B">
      <w:pPr>
        <w:spacing w:line="560" w:lineRule="exact"/>
        <w:ind w:firstLine="640" w:firstLineChars="200"/>
        <w:rPr>
          <w:rFonts w:hint="eastAsia" w:ascii="Times New Roman" w:hAnsi="Times New Roman" w:eastAsia="仿宋_GB2312" w:cs="Times New Roman"/>
          <w:sz w:val="32"/>
          <w:szCs w:val="40"/>
          <w:lang w:val="en-US" w:eastAsia="zh-CN"/>
        </w:rPr>
      </w:pPr>
      <w:bookmarkStart w:id="11" w:name="OLE_LINK12"/>
      <w:r>
        <w:rPr>
          <w:rFonts w:hint="eastAsia" w:ascii="Times New Roman" w:hAnsi="Times New Roman" w:eastAsia="仿宋_GB2312" w:cs="Times New Roman"/>
          <w:sz w:val="32"/>
          <w:szCs w:val="40"/>
        </w:rPr>
        <w:t>到2030年，社会保障制度短板加快补齐，残疾人基本民生得到更加精准、更加稳定的制度性保障。就业渠道进一步</w:t>
      </w:r>
      <w:r>
        <w:rPr>
          <w:rFonts w:hint="eastAsia" w:ascii="Times New Roman" w:hAnsi="Times New Roman" w:eastAsia="仿宋_GB2312" w:cs="Times New Roman"/>
          <w:sz w:val="32"/>
          <w:szCs w:val="40"/>
          <w:lang w:eastAsia="zh-CN"/>
        </w:rPr>
        <w:t>拓宽</w:t>
      </w:r>
      <w:r>
        <w:rPr>
          <w:rFonts w:hint="eastAsia" w:ascii="Times New Roman" w:hAnsi="Times New Roman" w:eastAsia="仿宋_GB2312" w:cs="Times New Roman"/>
          <w:sz w:val="32"/>
          <w:szCs w:val="40"/>
        </w:rPr>
        <w:t>，就业服务更加精细，</w:t>
      </w:r>
      <w:r>
        <w:rPr>
          <w:rFonts w:hint="eastAsia" w:ascii="Times New Roman" w:hAnsi="Times New Roman" w:eastAsia="仿宋_GB2312" w:cs="Times New Roman"/>
          <w:sz w:val="32"/>
          <w:szCs w:val="40"/>
          <w:lang w:eastAsia="zh-CN"/>
        </w:rPr>
        <w:t>助力</w:t>
      </w:r>
      <w:r>
        <w:rPr>
          <w:rFonts w:hint="eastAsia" w:ascii="Times New Roman" w:hAnsi="Times New Roman" w:eastAsia="仿宋_GB2312" w:cs="Times New Roman"/>
          <w:sz w:val="32"/>
          <w:szCs w:val="40"/>
        </w:rPr>
        <w:t>更多残疾人通过劳动创造美好生活。公共服务水平明显提升，重度残疾人托养照护服务体系建设取得</w:t>
      </w:r>
      <w:r>
        <w:rPr>
          <w:rFonts w:hint="eastAsia" w:ascii="Times New Roman" w:hAnsi="Times New Roman" w:eastAsia="仿宋_GB2312" w:cs="Times New Roman"/>
          <w:sz w:val="32"/>
          <w:szCs w:val="40"/>
          <w:lang w:eastAsia="zh-CN"/>
        </w:rPr>
        <w:t>积极</w:t>
      </w:r>
      <w:r>
        <w:rPr>
          <w:rFonts w:hint="eastAsia" w:ascii="Times New Roman" w:hAnsi="Times New Roman" w:eastAsia="仿宋_GB2312" w:cs="Times New Roman"/>
          <w:sz w:val="32"/>
          <w:szCs w:val="40"/>
        </w:rPr>
        <w:t>进展，康复、教育、辅助器具、文化体育等服务质效显著</w:t>
      </w:r>
      <w:r>
        <w:rPr>
          <w:rFonts w:hint="eastAsia" w:ascii="Times New Roman" w:hAnsi="Times New Roman" w:eastAsia="仿宋_GB2312" w:cs="Times New Roman"/>
          <w:sz w:val="32"/>
          <w:szCs w:val="40"/>
          <w:lang w:eastAsia="zh-CN"/>
        </w:rPr>
        <w:t>增强</w:t>
      </w:r>
      <w:r>
        <w:rPr>
          <w:rFonts w:hint="eastAsia" w:ascii="Times New Roman" w:hAnsi="Times New Roman" w:eastAsia="仿宋_GB2312" w:cs="Times New Roman"/>
          <w:sz w:val="32"/>
          <w:szCs w:val="40"/>
        </w:rPr>
        <w:t>，残疾人综合素质和生活品质进一步提升。无障碍环境建设持续优化，社会助残力量发展壮大，残疾人平等权利得到更好</w:t>
      </w:r>
      <w:r>
        <w:rPr>
          <w:rFonts w:hint="eastAsia" w:ascii="Times New Roman" w:hAnsi="Times New Roman" w:eastAsia="仿宋_GB2312" w:cs="Times New Roman"/>
          <w:sz w:val="32"/>
          <w:szCs w:val="40"/>
          <w:lang w:eastAsia="zh-CN"/>
        </w:rPr>
        <w:t>保障</w:t>
      </w:r>
      <w:r>
        <w:rPr>
          <w:rFonts w:hint="eastAsia" w:ascii="Times New Roman" w:hAnsi="Times New Roman" w:eastAsia="仿宋_GB2312" w:cs="Times New Roman"/>
          <w:sz w:val="32"/>
          <w:szCs w:val="40"/>
        </w:rPr>
        <w:t>。</w:t>
      </w:r>
      <w:r>
        <w:rPr>
          <w:rFonts w:hint="eastAsia" w:ascii="Times New Roman" w:hAnsi="Times New Roman" w:eastAsia="仿宋_GB2312" w:cs="Times New Roman"/>
          <w:sz w:val="32"/>
          <w:szCs w:val="40"/>
          <w:lang w:val="en-US" w:eastAsia="zh-CN"/>
        </w:rPr>
        <w:t>多元共治格局进一步完善，支持保障体系更加健全，</w:t>
      </w:r>
      <w:r>
        <w:rPr>
          <w:rFonts w:hint="eastAsia" w:ascii="Times New Roman" w:hAnsi="Times New Roman" w:eastAsia="仿宋_GB2312" w:cs="Times New Roman"/>
          <w:sz w:val="32"/>
          <w:szCs w:val="40"/>
          <w:lang w:eastAsia="zh-CN"/>
        </w:rPr>
        <w:t>残疾人获得感、幸福感、安全感更加充实、更有保障、更可持续。</w:t>
      </w:r>
    </w:p>
    <w:p w14:paraId="15562C3B">
      <w:pPr>
        <w:spacing w:line="560" w:lineRule="exact"/>
        <w:ind w:firstLine="0" w:firstLineChars="0"/>
        <w:jc w:val="center"/>
        <w:rPr>
          <w:rFonts w:hint="eastAsia" w:ascii="黑体" w:hAnsi="黑体" w:eastAsia="黑体" w:cs="黑体"/>
          <w:sz w:val="32"/>
          <w:szCs w:val="40"/>
        </w:rPr>
      </w:pPr>
      <w:r>
        <w:rPr>
          <w:rFonts w:hint="eastAsia" w:ascii="黑体" w:hAnsi="黑体" w:eastAsia="黑体" w:cs="黑体"/>
          <w:sz w:val="32"/>
          <w:szCs w:val="40"/>
        </w:rPr>
        <w:t>北京市昌平区“十五五”时期残疾人事业发展主要指标</w:t>
      </w:r>
    </w:p>
    <w:bookmarkEnd w:id="11"/>
    <w:tbl>
      <w:tblPr>
        <w:tblStyle w:val="21"/>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4173"/>
        <w:gridCol w:w="1984"/>
        <w:gridCol w:w="1701"/>
        <w:gridCol w:w="1276"/>
      </w:tblGrid>
      <w:tr w14:paraId="64C8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642" w:type="dxa"/>
            <w:shd w:val="clear" w:color="000000" w:fill="auto"/>
          </w:tcPr>
          <w:p w14:paraId="5380F6C4">
            <w:pPr>
              <w:widowControl/>
              <w:spacing w:line="420" w:lineRule="exact"/>
              <w:jc w:val="center"/>
              <w:rPr>
                <w:rFonts w:ascii="Times New Roman" w:hAnsi="Times New Roman" w:eastAsia="仿宋_GB2312" w:cs="Times New Roman"/>
                <w:b/>
                <w:bCs/>
                <w:color w:val="0F1115"/>
                <w:kern w:val="0"/>
                <w:sz w:val="22"/>
              </w:rPr>
            </w:pPr>
            <w:r>
              <w:rPr>
                <w:rFonts w:hint="eastAsia" w:ascii="Times New Roman" w:hAnsi="Times New Roman" w:eastAsia="仿宋_GB2312" w:cs="Times New Roman"/>
                <w:b/>
                <w:bCs/>
                <w:color w:val="0F1115"/>
                <w:kern w:val="0"/>
                <w:sz w:val="22"/>
              </w:rPr>
              <w:t>类别</w:t>
            </w:r>
          </w:p>
        </w:tc>
        <w:tc>
          <w:tcPr>
            <w:tcW w:w="4173" w:type="dxa"/>
            <w:shd w:val="clear" w:color="000000" w:fill="auto"/>
            <w:vAlign w:val="center"/>
          </w:tcPr>
          <w:p w14:paraId="45F04A24">
            <w:pPr>
              <w:widowControl/>
              <w:spacing w:line="420" w:lineRule="exact"/>
              <w:jc w:val="center"/>
              <w:rPr>
                <w:rFonts w:ascii="Times New Roman" w:hAnsi="Times New Roman" w:eastAsia="仿宋_GB2312" w:cs="Times New Roman"/>
                <w:b/>
                <w:bCs/>
                <w:color w:val="0F1115"/>
                <w:kern w:val="0"/>
                <w:sz w:val="22"/>
              </w:rPr>
            </w:pPr>
            <w:r>
              <w:rPr>
                <w:rFonts w:hint="eastAsia" w:ascii="Times New Roman" w:hAnsi="Times New Roman" w:eastAsia="仿宋_GB2312" w:cs="Times New Roman"/>
                <w:b/>
                <w:bCs/>
                <w:color w:val="0F1115"/>
                <w:kern w:val="0"/>
                <w:sz w:val="22"/>
              </w:rPr>
              <w:t>指标名称</w:t>
            </w:r>
          </w:p>
        </w:tc>
        <w:tc>
          <w:tcPr>
            <w:tcW w:w="1984" w:type="dxa"/>
            <w:shd w:val="clear" w:color="000000" w:fill="auto"/>
            <w:vAlign w:val="center"/>
          </w:tcPr>
          <w:p w14:paraId="60F1CCA5">
            <w:pPr>
              <w:widowControl/>
              <w:spacing w:line="420" w:lineRule="exact"/>
              <w:jc w:val="center"/>
              <w:rPr>
                <w:rFonts w:ascii="Times New Roman" w:hAnsi="Times New Roman" w:eastAsia="仿宋_GB2312" w:cs="Times New Roman"/>
                <w:b/>
                <w:bCs/>
                <w:color w:val="0F1115"/>
                <w:kern w:val="0"/>
                <w:sz w:val="22"/>
              </w:rPr>
            </w:pPr>
            <w:r>
              <w:rPr>
                <w:rFonts w:ascii="Times New Roman" w:hAnsi="Times New Roman" w:eastAsia="仿宋_GB2312" w:cs="Times New Roman"/>
                <w:b/>
                <w:bCs/>
                <w:color w:val="0F1115"/>
                <w:kern w:val="0"/>
                <w:sz w:val="22"/>
              </w:rPr>
              <w:t>2025</w:t>
            </w:r>
            <w:r>
              <w:rPr>
                <w:rFonts w:hint="eastAsia" w:ascii="Times New Roman" w:hAnsi="Times New Roman" w:eastAsia="仿宋_GB2312" w:cs="Times New Roman"/>
                <w:b/>
                <w:bCs/>
                <w:color w:val="0F1115"/>
                <w:kern w:val="0"/>
                <w:sz w:val="22"/>
              </w:rPr>
              <w:t>年</w:t>
            </w:r>
          </w:p>
        </w:tc>
        <w:tc>
          <w:tcPr>
            <w:tcW w:w="1701" w:type="dxa"/>
            <w:shd w:val="clear" w:color="000000" w:fill="auto"/>
            <w:vAlign w:val="center"/>
          </w:tcPr>
          <w:p w14:paraId="125C8E6E">
            <w:pPr>
              <w:widowControl/>
              <w:spacing w:line="420" w:lineRule="exact"/>
              <w:jc w:val="center"/>
              <w:rPr>
                <w:rFonts w:ascii="Times New Roman" w:hAnsi="Times New Roman" w:eastAsia="仿宋_GB2312" w:cs="Times New Roman"/>
                <w:b/>
                <w:bCs/>
                <w:color w:val="0F1115"/>
                <w:kern w:val="0"/>
                <w:sz w:val="22"/>
              </w:rPr>
            </w:pPr>
            <w:r>
              <w:rPr>
                <w:rFonts w:ascii="Times New Roman" w:hAnsi="Times New Roman" w:eastAsia="仿宋_GB2312" w:cs="Times New Roman"/>
                <w:b/>
                <w:bCs/>
                <w:color w:val="0F1115"/>
                <w:kern w:val="0"/>
                <w:sz w:val="22"/>
              </w:rPr>
              <w:t>2030</w:t>
            </w:r>
            <w:r>
              <w:rPr>
                <w:rFonts w:hint="eastAsia" w:ascii="Times New Roman" w:hAnsi="Times New Roman" w:eastAsia="仿宋_GB2312" w:cs="Times New Roman"/>
                <w:b/>
                <w:bCs/>
                <w:color w:val="0F1115"/>
                <w:kern w:val="0"/>
                <w:sz w:val="22"/>
              </w:rPr>
              <w:t>年</w:t>
            </w:r>
          </w:p>
        </w:tc>
        <w:tc>
          <w:tcPr>
            <w:tcW w:w="1276" w:type="dxa"/>
            <w:shd w:val="clear" w:color="000000" w:fill="auto"/>
            <w:vAlign w:val="center"/>
          </w:tcPr>
          <w:p w14:paraId="684119E7">
            <w:pPr>
              <w:widowControl/>
              <w:spacing w:line="420" w:lineRule="exact"/>
              <w:jc w:val="center"/>
              <w:rPr>
                <w:rFonts w:ascii="Times New Roman" w:hAnsi="Times New Roman" w:eastAsia="仿宋_GB2312" w:cs="Times New Roman"/>
                <w:b/>
                <w:bCs/>
                <w:color w:val="0F1115"/>
                <w:kern w:val="0"/>
                <w:sz w:val="22"/>
              </w:rPr>
            </w:pPr>
            <w:r>
              <w:rPr>
                <w:rFonts w:hint="eastAsia" w:ascii="Times New Roman" w:hAnsi="Times New Roman" w:eastAsia="仿宋_GB2312" w:cs="Times New Roman"/>
                <w:b/>
                <w:bCs/>
                <w:color w:val="0F1115"/>
                <w:kern w:val="0"/>
                <w:sz w:val="22"/>
              </w:rPr>
              <w:t>属性</w:t>
            </w:r>
          </w:p>
        </w:tc>
      </w:tr>
      <w:tr w14:paraId="463C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42" w:type="dxa"/>
            <w:vMerge w:val="restart"/>
            <w:shd w:val="clear" w:color="000000" w:fill="auto"/>
            <w:vAlign w:val="center"/>
          </w:tcPr>
          <w:p w14:paraId="6D19D599">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收入和就业</w:t>
            </w:r>
          </w:p>
        </w:tc>
        <w:tc>
          <w:tcPr>
            <w:tcW w:w="4173" w:type="dxa"/>
            <w:shd w:val="clear" w:color="000000" w:fill="auto"/>
            <w:vAlign w:val="center"/>
          </w:tcPr>
          <w:p w14:paraId="2F891A1E">
            <w:pPr>
              <w:widowControl/>
              <w:spacing w:line="420" w:lineRule="exact"/>
              <w:jc w:val="left"/>
              <w:rPr>
                <w:rFonts w:ascii="Times New Roman" w:hAnsi="Times New Roman" w:eastAsia="仿宋_GB2312" w:cs="Times New Roman"/>
                <w:color w:val="0F1115"/>
                <w:kern w:val="0"/>
                <w:sz w:val="22"/>
              </w:rPr>
            </w:pPr>
            <w:r>
              <w:rPr>
                <w:rFonts w:ascii="Times New Roman" w:hAnsi="Times New Roman" w:eastAsia="仿宋_GB2312" w:cs="Times New Roman"/>
                <w:color w:val="0F1115"/>
                <w:kern w:val="0"/>
                <w:sz w:val="22"/>
              </w:rPr>
              <w:t>1.</w:t>
            </w:r>
            <w:r>
              <w:rPr>
                <w:rFonts w:hint="eastAsia" w:ascii="Times New Roman" w:hAnsi="Times New Roman" w:eastAsia="仿宋_GB2312" w:cs="Times New Roman"/>
                <w:color w:val="0F1115"/>
                <w:kern w:val="0"/>
                <w:sz w:val="22"/>
              </w:rPr>
              <w:t>残疾人家庭人均收入年均增长（</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w:t>
            </w:r>
          </w:p>
        </w:tc>
        <w:tc>
          <w:tcPr>
            <w:tcW w:w="1984" w:type="dxa"/>
            <w:shd w:val="clear" w:color="000000" w:fill="auto"/>
            <w:vAlign w:val="center"/>
          </w:tcPr>
          <w:p w14:paraId="2D668111">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与国内生产总值增长基本同步</w:t>
            </w:r>
          </w:p>
        </w:tc>
        <w:tc>
          <w:tcPr>
            <w:tcW w:w="1701" w:type="dxa"/>
            <w:shd w:val="clear" w:color="000000" w:fill="auto"/>
            <w:vAlign w:val="center"/>
          </w:tcPr>
          <w:p w14:paraId="39207F66">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与经济增长同步</w:t>
            </w:r>
          </w:p>
        </w:tc>
        <w:tc>
          <w:tcPr>
            <w:tcW w:w="1276" w:type="dxa"/>
            <w:shd w:val="clear" w:color="000000" w:fill="auto"/>
            <w:vAlign w:val="center"/>
          </w:tcPr>
          <w:p w14:paraId="26B770CE">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预期性</w:t>
            </w:r>
          </w:p>
        </w:tc>
      </w:tr>
      <w:tr w14:paraId="44C7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42" w:type="dxa"/>
            <w:vMerge w:val="continue"/>
            <w:shd w:val="clear" w:color="000000" w:fill="auto"/>
            <w:vAlign w:val="center"/>
          </w:tcPr>
          <w:p w14:paraId="3E4BEB17">
            <w:pPr>
              <w:widowControl/>
              <w:spacing w:line="420" w:lineRule="exact"/>
              <w:jc w:val="center"/>
              <w:rPr>
                <w:rFonts w:ascii="Times New Roman" w:hAnsi="Times New Roman" w:eastAsia="仿宋_GB2312" w:cs="Times New Roman"/>
                <w:color w:val="0F1115"/>
                <w:kern w:val="0"/>
                <w:sz w:val="22"/>
              </w:rPr>
            </w:pPr>
          </w:p>
        </w:tc>
        <w:tc>
          <w:tcPr>
            <w:tcW w:w="4173" w:type="dxa"/>
            <w:shd w:val="clear" w:color="000000" w:fill="auto"/>
            <w:vAlign w:val="center"/>
          </w:tcPr>
          <w:p w14:paraId="7C3CB2BF">
            <w:pPr>
              <w:widowControl/>
              <w:spacing w:line="420" w:lineRule="exact"/>
              <w:jc w:val="left"/>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2.城乡残疾人就业比例增长</w:t>
            </w:r>
          </w:p>
        </w:tc>
        <w:tc>
          <w:tcPr>
            <w:tcW w:w="1984" w:type="dxa"/>
            <w:shd w:val="clear" w:color="000000" w:fill="auto"/>
            <w:vAlign w:val="center"/>
          </w:tcPr>
          <w:p w14:paraId="78D2D36E">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p>
        </w:tc>
        <w:tc>
          <w:tcPr>
            <w:tcW w:w="1701" w:type="dxa"/>
            <w:shd w:val="clear" w:color="000000" w:fill="auto"/>
            <w:vAlign w:val="center"/>
          </w:tcPr>
          <w:p w14:paraId="5E20D669">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【5】</w:t>
            </w:r>
          </w:p>
        </w:tc>
        <w:tc>
          <w:tcPr>
            <w:tcW w:w="1276" w:type="dxa"/>
            <w:shd w:val="clear" w:color="000000" w:fill="auto"/>
            <w:vAlign w:val="center"/>
          </w:tcPr>
          <w:p w14:paraId="5CB0C419">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预期性</w:t>
            </w:r>
          </w:p>
        </w:tc>
      </w:tr>
      <w:tr w14:paraId="18B1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42" w:type="dxa"/>
            <w:vMerge w:val="continue"/>
            <w:shd w:val="clear" w:color="000000" w:fill="auto"/>
            <w:vAlign w:val="center"/>
          </w:tcPr>
          <w:p w14:paraId="14230396">
            <w:pPr>
              <w:widowControl/>
              <w:spacing w:line="420" w:lineRule="exact"/>
              <w:jc w:val="center"/>
              <w:rPr>
                <w:rFonts w:ascii="Times New Roman" w:hAnsi="Times New Roman" w:eastAsia="仿宋_GB2312" w:cs="Times New Roman"/>
                <w:color w:val="0F1115"/>
                <w:kern w:val="0"/>
                <w:sz w:val="22"/>
              </w:rPr>
            </w:pPr>
          </w:p>
        </w:tc>
        <w:tc>
          <w:tcPr>
            <w:tcW w:w="4173" w:type="dxa"/>
            <w:shd w:val="clear" w:color="000000" w:fill="auto"/>
            <w:vAlign w:val="center"/>
          </w:tcPr>
          <w:p w14:paraId="78E96DFC">
            <w:pPr>
              <w:widowControl/>
              <w:spacing w:line="420" w:lineRule="exact"/>
              <w:jc w:val="left"/>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3</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城乡残疾人职业技能培训人数（人次）</w:t>
            </w:r>
          </w:p>
        </w:tc>
        <w:tc>
          <w:tcPr>
            <w:tcW w:w="1984" w:type="dxa"/>
            <w:shd w:val="clear" w:color="000000" w:fill="auto"/>
            <w:vAlign w:val="center"/>
          </w:tcPr>
          <w:p w14:paraId="4AFC756A">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2500</w:t>
            </w:r>
            <w:r>
              <w:rPr>
                <w:rFonts w:hint="eastAsia" w:ascii="Times New Roman" w:hAnsi="Times New Roman" w:eastAsia="仿宋_GB2312" w:cs="Times New Roman"/>
                <w:color w:val="0F1115"/>
                <w:kern w:val="0"/>
                <w:sz w:val="22"/>
              </w:rPr>
              <w:t>】</w:t>
            </w:r>
          </w:p>
        </w:tc>
        <w:tc>
          <w:tcPr>
            <w:tcW w:w="1701" w:type="dxa"/>
            <w:shd w:val="clear" w:color="000000" w:fill="auto"/>
            <w:vAlign w:val="center"/>
          </w:tcPr>
          <w:p w14:paraId="52D53CAE">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1</w:t>
            </w:r>
            <w:r>
              <w:rPr>
                <w:rFonts w:hint="eastAsia" w:ascii="Times New Roman" w:hAnsi="Times New Roman" w:eastAsia="仿宋_GB2312" w:cs="Times New Roman"/>
                <w:color w:val="0F1115"/>
                <w:kern w:val="0"/>
                <w:sz w:val="22"/>
              </w:rPr>
              <w:t>2</w:t>
            </w:r>
            <w:r>
              <w:rPr>
                <w:rFonts w:ascii="Times New Roman" w:hAnsi="Times New Roman" w:eastAsia="仿宋_GB2312" w:cs="Times New Roman"/>
                <w:color w:val="0F1115"/>
                <w:kern w:val="0"/>
                <w:sz w:val="22"/>
              </w:rPr>
              <w:t>00</w:t>
            </w:r>
            <w:r>
              <w:rPr>
                <w:rFonts w:hint="eastAsia" w:ascii="Times New Roman" w:hAnsi="Times New Roman" w:eastAsia="仿宋_GB2312" w:cs="Times New Roman"/>
                <w:color w:val="0F1115"/>
                <w:kern w:val="0"/>
                <w:sz w:val="22"/>
              </w:rPr>
              <w:t>】</w:t>
            </w:r>
          </w:p>
        </w:tc>
        <w:tc>
          <w:tcPr>
            <w:tcW w:w="1276" w:type="dxa"/>
            <w:shd w:val="clear" w:color="000000" w:fill="auto"/>
            <w:vAlign w:val="center"/>
          </w:tcPr>
          <w:p w14:paraId="18521D0C">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约束性</w:t>
            </w:r>
          </w:p>
        </w:tc>
      </w:tr>
      <w:tr w14:paraId="1FBC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42" w:type="dxa"/>
            <w:vMerge w:val="restart"/>
            <w:shd w:val="clear" w:color="000000" w:fill="auto"/>
            <w:vAlign w:val="center"/>
          </w:tcPr>
          <w:p w14:paraId="2AA63E2A">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社会保障</w:t>
            </w:r>
          </w:p>
        </w:tc>
        <w:tc>
          <w:tcPr>
            <w:tcW w:w="4173" w:type="dxa"/>
            <w:shd w:val="clear" w:color="000000" w:fill="auto"/>
            <w:vAlign w:val="center"/>
          </w:tcPr>
          <w:p w14:paraId="64FA144F">
            <w:pPr>
              <w:widowControl/>
              <w:spacing w:line="420" w:lineRule="exact"/>
              <w:jc w:val="left"/>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4</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符合条件的残疾人纳入最低生活保障比例</w:t>
            </w:r>
            <w:bookmarkStart w:id="12" w:name="OLE_LINK51"/>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w:t>
            </w:r>
            <w:bookmarkEnd w:id="12"/>
          </w:p>
        </w:tc>
        <w:tc>
          <w:tcPr>
            <w:tcW w:w="1984" w:type="dxa"/>
            <w:shd w:val="clear" w:color="000000" w:fill="auto"/>
            <w:vAlign w:val="center"/>
          </w:tcPr>
          <w:p w14:paraId="361FC356">
            <w:pPr>
              <w:widowControl/>
              <w:spacing w:line="420" w:lineRule="exact"/>
              <w:jc w:val="center"/>
              <w:rPr>
                <w:rFonts w:ascii="Times New Roman" w:hAnsi="Times New Roman" w:eastAsia="仿宋_GB2312" w:cs="Times New Roman"/>
                <w:color w:val="0F1115"/>
                <w:kern w:val="0"/>
                <w:sz w:val="22"/>
              </w:rPr>
            </w:pPr>
            <w:r>
              <w:rPr>
                <w:rFonts w:ascii="Times New Roman" w:hAnsi="Times New Roman" w:eastAsia="仿宋_GB2312" w:cs="Times New Roman"/>
                <w:color w:val="0F1115"/>
                <w:kern w:val="0"/>
                <w:sz w:val="22"/>
              </w:rPr>
              <w:t>100</w:t>
            </w:r>
          </w:p>
        </w:tc>
        <w:tc>
          <w:tcPr>
            <w:tcW w:w="1701" w:type="dxa"/>
            <w:shd w:val="clear" w:color="000000" w:fill="auto"/>
            <w:vAlign w:val="center"/>
          </w:tcPr>
          <w:p w14:paraId="2F8F95B8">
            <w:pPr>
              <w:widowControl/>
              <w:spacing w:line="420" w:lineRule="exact"/>
              <w:jc w:val="center"/>
              <w:rPr>
                <w:rFonts w:ascii="Times New Roman" w:hAnsi="Times New Roman" w:eastAsia="仿宋_GB2312" w:cs="Times New Roman"/>
                <w:color w:val="0F1115"/>
                <w:kern w:val="0"/>
                <w:sz w:val="22"/>
              </w:rPr>
            </w:pPr>
            <w:r>
              <w:rPr>
                <w:rFonts w:ascii="Times New Roman" w:hAnsi="Times New Roman" w:eastAsia="仿宋_GB2312" w:cs="Times New Roman"/>
                <w:color w:val="0F1115"/>
                <w:kern w:val="0"/>
                <w:sz w:val="22"/>
              </w:rPr>
              <w:t>100</w:t>
            </w:r>
          </w:p>
        </w:tc>
        <w:tc>
          <w:tcPr>
            <w:tcW w:w="1276" w:type="dxa"/>
            <w:shd w:val="clear" w:color="000000" w:fill="auto"/>
            <w:vAlign w:val="center"/>
          </w:tcPr>
          <w:p w14:paraId="09E430F9">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预期性</w:t>
            </w:r>
          </w:p>
        </w:tc>
      </w:tr>
      <w:tr w14:paraId="7937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42" w:type="dxa"/>
            <w:vMerge w:val="continue"/>
            <w:shd w:val="clear" w:color="000000" w:fill="auto"/>
            <w:vAlign w:val="center"/>
          </w:tcPr>
          <w:p w14:paraId="6D7DB244">
            <w:pPr>
              <w:widowControl/>
              <w:spacing w:line="420" w:lineRule="exact"/>
              <w:jc w:val="center"/>
              <w:rPr>
                <w:rFonts w:ascii="Times New Roman" w:hAnsi="Times New Roman" w:eastAsia="仿宋_GB2312" w:cs="Times New Roman"/>
                <w:color w:val="0F1115"/>
                <w:kern w:val="0"/>
                <w:sz w:val="22"/>
              </w:rPr>
            </w:pPr>
          </w:p>
        </w:tc>
        <w:tc>
          <w:tcPr>
            <w:tcW w:w="4173" w:type="dxa"/>
            <w:shd w:val="clear" w:color="000000" w:fill="auto"/>
            <w:vAlign w:val="center"/>
          </w:tcPr>
          <w:p w14:paraId="60FFDF02">
            <w:pPr>
              <w:widowControl/>
              <w:spacing w:line="420" w:lineRule="exact"/>
              <w:jc w:val="left"/>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5</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困难残疾人生活补贴和重度残疾人护理补贴覆盖率（</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w:t>
            </w:r>
          </w:p>
        </w:tc>
        <w:tc>
          <w:tcPr>
            <w:tcW w:w="1984" w:type="dxa"/>
            <w:shd w:val="clear" w:color="000000" w:fill="auto"/>
            <w:vAlign w:val="center"/>
          </w:tcPr>
          <w:p w14:paraId="3C0ABA87">
            <w:pPr>
              <w:widowControl/>
              <w:spacing w:line="420" w:lineRule="exact"/>
              <w:jc w:val="center"/>
              <w:rPr>
                <w:rFonts w:ascii="Times New Roman" w:hAnsi="Times New Roman" w:eastAsia="仿宋_GB2312" w:cs="Times New Roman"/>
                <w:color w:val="0F1115"/>
                <w:kern w:val="0"/>
                <w:sz w:val="22"/>
              </w:rPr>
            </w:pPr>
            <w:r>
              <w:rPr>
                <w:rFonts w:ascii="Times New Roman" w:hAnsi="Times New Roman" w:eastAsia="仿宋_GB2312" w:cs="Times New Roman"/>
                <w:color w:val="0F1115"/>
                <w:kern w:val="0"/>
                <w:sz w:val="22"/>
              </w:rPr>
              <w:t>100</w:t>
            </w:r>
          </w:p>
        </w:tc>
        <w:tc>
          <w:tcPr>
            <w:tcW w:w="1701" w:type="dxa"/>
            <w:shd w:val="clear" w:color="000000" w:fill="auto"/>
            <w:vAlign w:val="center"/>
          </w:tcPr>
          <w:p w14:paraId="7C2C858F">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应保尽保</w:t>
            </w:r>
          </w:p>
        </w:tc>
        <w:tc>
          <w:tcPr>
            <w:tcW w:w="1276" w:type="dxa"/>
            <w:shd w:val="clear" w:color="000000" w:fill="auto"/>
            <w:vAlign w:val="center"/>
          </w:tcPr>
          <w:p w14:paraId="2A734734">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约束性</w:t>
            </w:r>
          </w:p>
        </w:tc>
      </w:tr>
      <w:tr w14:paraId="31B1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2" w:type="dxa"/>
            <w:vMerge w:val="restart"/>
            <w:shd w:val="clear" w:color="000000" w:fill="auto"/>
            <w:vAlign w:val="center"/>
          </w:tcPr>
          <w:p w14:paraId="120C1C76">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基本公共服务</w:t>
            </w:r>
          </w:p>
        </w:tc>
        <w:tc>
          <w:tcPr>
            <w:tcW w:w="4173" w:type="dxa"/>
            <w:shd w:val="clear" w:color="000000" w:fill="auto"/>
            <w:vAlign w:val="center"/>
          </w:tcPr>
          <w:p w14:paraId="4F52C622">
            <w:pPr>
              <w:widowControl/>
              <w:spacing w:line="420" w:lineRule="exact"/>
              <w:jc w:val="left"/>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6.新生儿遗传代谢病筛查率（</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w:t>
            </w:r>
          </w:p>
        </w:tc>
        <w:tc>
          <w:tcPr>
            <w:tcW w:w="1984" w:type="dxa"/>
            <w:shd w:val="clear" w:color="000000" w:fill="auto"/>
            <w:vAlign w:val="center"/>
          </w:tcPr>
          <w:p w14:paraId="6606D4D5">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p>
        </w:tc>
        <w:tc>
          <w:tcPr>
            <w:tcW w:w="1701" w:type="dxa"/>
            <w:shd w:val="clear" w:color="000000" w:fill="auto"/>
            <w:vAlign w:val="center"/>
          </w:tcPr>
          <w:p w14:paraId="658F3975">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99</w:t>
            </w:r>
          </w:p>
        </w:tc>
        <w:tc>
          <w:tcPr>
            <w:tcW w:w="1276" w:type="dxa"/>
            <w:shd w:val="clear" w:color="000000" w:fill="auto"/>
            <w:vAlign w:val="center"/>
          </w:tcPr>
          <w:p w14:paraId="6019CC88">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约束性</w:t>
            </w:r>
          </w:p>
        </w:tc>
      </w:tr>
      <w:tr w14:paraId="3F65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2" w:type="dxa"/>
            <w:vMerge w:val="continue"/>
            <w:shd w:val="clear" w:color="000000" w:fill="auto"/>
            <w:vAlign w:val="center"/>
          </w:tcPr>
          <w:p w14:paraId="34CB3C21">
            <w:pPr>
              <w:widowControl/>
              <w:spacing w:line="420" w:lineRule="exact"/>
              <w:jc w:val="center"/>
              <w:rPr>
                <w:rFonts w:ascii="Times New Roman" w:hAnsi="Times New Roman" w:eastAsia="仿宋_GB2312" w:cs="Times New Roman"/>
                <w:color w:val="0F1115"/>
                <w:kern w:val="0"/>
                <w:sz w:val="22"/>
              </w:rPr>
            </w:pPr>
          </w:p>
        </w:tc>
        <w:tc>
          <w:tcPr>
            <w:tcW w:w="4173" w:type="dxa"/>
            <w:shd w:val="clear" w:color="000000" w:fill="auto"/>
            <w:vAlign w:val="center"/>
          </w:tcPr>
          <w:p w14:paraId="051B04BF">
            <w:pPr>
              <w:widowControl/>
              <w:spacing w:line="420" w:lineRule="exact"/>
              <w:jc w:val="left"/>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7.0—6岁儿童孤独症筛查率（</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w:t>
            </w:r>
          </w:p>
        </w:tc>
        <w:tc>
          <w:tcPr>
            <w:tcW w:w="1984" w:type="dxa"/>
            <w:shd w:val="clear" w:color="000000" w:fill="auto"/>
            <w:vAlign w:val="center"/>
          </w:tcPr>
          <w:p w14:paraId="17365BAC">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p>
        </w:tc>
        <w:tc>
          <w:tcPr>
            <w:tcW w:w="1701" w:type="dxa"/>
            <w:shd w:val="clear" w:color="000000" w:fill="auto"/>
            <w:vAlign w:val="center"/>
          </w:tcPr>
          <w:p w14:paraId="580F6AD1">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99</w:t>
            </w:r>
          </w:p>
        </w:tc>
        <w:tc>
          <w:tcPr>
            <w:tcW w:w="1276" w:type="dxa"/>
            <w:shd w:val="clear" w:color="000000" w:fill="auto"/>
            <w:vAlign w:val="center"/>
          </w:tcPr>
          <w:p w14:paraId="10EA9994">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约束性</w:t>
            </w:r>
          </w:p>
        </w:tc>
      </w:tr>
      <w:tr w14:paraId="6150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2" w:type="dxa"/>
            <w:vMerge w:val="continue"/>
            <w:shd w:val="clear" w:color="000000" w:fill="auto"/>
            <w:vAlign w:val="center"/>
          </w:tcPr>
          <w:p w14:paraId="721D0643">
            <w:pPr>
              <w:widowControl/>
              <w:spacing w:line="420" w:lineRule="exact"/>
              <w:jc w:val="center"/>
              <w:rPr>
                <w:rFonts w:ascii="Times New Roman" w:hAnsi="Times New Roman" w:eastAsia="仿宋_GB2312" w:cs="Times New Roman"/>
                <w:color w:val="0F1115"/>
                <w:kern w:val="0"/>
                <w:sz w:val="22"/>
              </w:rPr>
            </w:pPr>
          </w:p>
        </w:tc>
        <w:tc>
          <w:tcPr>
            <w:tcW w:w="4173" w:type="dxa"/>
            <w:shd w:val="clear" w:color="000000" w:fill="auto"/>
            <w:vAlign w:val="center"/>
          </w:tcPr>
          <w:p w14:paraId="566AB874">
            <w:pPr>
              <w:widowControl/>
              <w:spacing w:line="420" w:lineRule="exact"/>
              <w:jc w:val="left"/>
              <w:rPr>
                <w:rFonts w:ascii="Times New Roman" w:hAnsi="Times New Roman" w:eastAsia="仿宋_GB2312" w:cs="Times New Roman"/>
                <w:color w:val="0F1115"/>
                <w:kern w:val="0"/>
                <w:sz w:val="22"/>
              </w:rPr>
            </w:pPr>
            <w:r>
              <w:rPr>
                <w:rFonts w:hint="eastAsia" w:ascii="Times New Roman" w:hAnsi="Times New Roman" w:eastAsia="仿宋_GB2312" w:cs="Times New Roman"/>
                <w:kern w:val="0"/>
                <w:sz w:val="22"/>
              </w:rPr>
              <w:t>8</w:t>
            </w:r>
            <w:r>
              <w:rPr>
                <w:rFonts w:ascii="Times New Roman" w:hAnsi="Times New Roman" w:eastAsia="仿宋_GB2312" w:cs="Times New Roman"/>
                <w:kern w:val="0"/>
                <w:sz w:val="22"/>
              </w:rPr>
              <w:t>.</w:t>
            </w:r>
            <w:r>
              <w:rPr>
                <w:rFonts w:hint="eastAsia" w:ascii="Times New Roman" w:hAnsi="Times New Roman" w:eastAsia="仿宋_GB2312" w:cs="Times New Roman"/>
                <w:kern w:val="0"/>
                <w:sz w:val="22"/>
              </w:rPr>
              <w:t>残疾人基本康复服务覆盖率</w:t>
            </w:r>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w:t>
            </w:r>
          </w:p>
        </w:tc>
        <w:tc>
          <w:tcPr>
            <w:tcW w:w="1984" w:type="dxa"/>
            <w:shd w:val="clear" w:color="000000" w:fill="auto"/>
            <w:vAlign w:val="center"/>
          </w:tcPr>
          <w:p w14:paraId="2E26EF68">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90</w:t>
            </w:r>
          </w:p>
        </w:tc>
        <w:tc>
          <w:tcPr>
            <w:tcW w:w="1701" w:type="dxa"/>
            <w:shd w:val="clear" w:color="000000" w:fill="auto"/>
            <w:vAlign w:val="center"/>
          </w:tcPr>
          <w:p w14:paraId="751CBE97">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kern w:val="0"/>
                <w:sz w:val="22"/>
              </w:rPr>
              <w:t>95</w:t>
            </w:r>
          </w:p>
        </w:tc>
        <w:tc>
          <w:tcPr>
            <w:tcW w:w="1276" w:type="dxa"/>
            <w:shd w:val="clear" w:color="000000" w:fill="auto"/>
            <w:vAlign w:val="center"/>
          </w:tcPr>
          <w:p w14:paraId="76048072">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预期性</w:t>
            </w:r>
          </w:p>
        </w:tc>
      </w:tr>
      <w:tr w14:paraId="1B00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2" w:type="dxa"/>
            <w:vMerge w:val="continue"/>
            <w:shd w:val="clear" w:color="000000" w:fill="auto"/>
            <w:vAlign w:val="center"/>
          </w:tcPr>
          <w:p w14:paraId="7AEA8ED1">
            <w:pPr>
              <w:widowControl/>
              <w:spacing w:line="420" w:lineRule="exact"/>
              <w:jc w:val="center"/>
              <w:rPr>
                <w:rFonts w:ascii="Times New Roman" w:hAnsi="Times New Roman" w:eastAsia="仿宋_GB2312" w:cs="Times New Roman"/>
                <w:color w:val="0F1115"/>
                <w:kern w:val="0"/>
                <w:sz w:val="22"/>
              </w:rPr>
            </w:pPr>
          </w:p>
        </w:tc>
        <w:tc>
          <w:tcPr>
            <w:tcW w:w="4173" w:type="dxa"/>
            <w:shd w:val="clear" w:color="000000" w:fill="auto"/>
            <w:vAlign w:val="center"/>
          </w:tcPr>
          <w:p w14:paraId="16272A37">
            <w:pPr>
              <w:widowControl/>
              <w:spacing w:line="420" w:lineRule="exact"/>
              <w:jc w:val="left"/>
              <w:rPr>
                <w:rFonts w:ascii="Times New Roman" w:hAnsi="Times New Roman" w:eastAsia="仿宋_GB2312" w:cs="Times New Roman"/>
                <w:kern w:val="0"/>
                <w:sz w:val="22"/>
              </w:rPr>
            </w:pPr>
            <w:r>
              <w:rPr>
                <w:rFonts w:hint="eastAsia" w:ascii="Times New Roman" w:hAnsi="Times New Roman" w:eastAsia="仿宋_GB2312" w:cs="Times New Roman"/>
                <w:color w:val="0F1115"/>
                <w:kern w:val="0"/>
                <w:sz w:val="22"/>
              </w:rPr>
              <w:t>9</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残疾人辅助器具适配率（</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w:t>
            </w:r>
          </w:p>
        </w:tc>
        <w:tc>
          <w:tcPr>
            <w:tcW w:w="1984" w:type="dxa"/>
            <w:shd w:val="clear" w:color="000000" w:fill="auto"/>
            <w:vAlign w:val="center"/>
          </w:tcPr>
          <w:p w14:paraId="1168757F">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90</w:t>
            </w:r>
          </w:p>
        </w:tc>
        <w:tc>
          <w:tcPr>
            <w:tcW w:w="1701" w:type="dxa"/>
            <w:shd w:val="clear" w:color="000000" w:fill="auto"/>
            <w:vAlign w:val="center"/>
          </w:tcPr>
          <w:p w14:paraId="00FA3929">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kern w:val="0"/>
                <w:sz w:val="22"/>
              </w:rPr>
              <w:t>95</w:t>
            </w:r>
          </w:p>
        </w:tc>
        <w:tc>
          <w:tcPr>
            <w:tcW w:w="1276" w:type="dxa"/>
            <w:shd w:val="clear" w:color="000000" w:fill="auto"/>
            <w:vAlign w:val="center"/>
          </w:tcPr>
          <w:p w14:paraId="03C4018B">
            <w:pPr>
              <w:widowControl/>
              <w:spacing w:line="420" w:lineRule="exact"/>
              <w:jc w:val="center"/>
              <w:rPr>
                <w:rFonts w:ascii="Times New Roman" w:hAnsi="Times New Roman" w:eastAsia="仿宋_GB2312" w:cs="Times New Roman"/>
                <w:kern w:val="0"/>
                <w:sz w:val="22"/>
              </w:rPr>
            </w:pPr>
            <w:r>
              <w:rPr>
                <w:rFonts w:hint="eastAsia" w:ascii="Times New Roman" w:hAnsi="Times New Roman" w:eastAsia="仿宋_GB2312" w:cs="Times New Roman"/>
                <w:color w:val="0F1115"/>
                <w:kern w:val="0"/>
                <w:sz w:val="22"/>
              </w:rPr>
              <w:t>预期性</w:t>
            </w:r>
          </w:p>
        </w:tc>
      </w:tr>
      <w:tr w14:paraId="5199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2" w:type="dxa"/>
            <w:vMerge w:val="continue"/>
            <w:shd w:val="clear" w:color="000000" w:fill="auto"/>
            <w:vAlign w:val="center"/>
          </w:tcPr>
          <w:p w14:paraId="03A5CDB8">
            <w:pPr>
              <w:widowControl/>
              <w:spacing w:line="420" w:lineRule="exact"/>
              <w:jc w:val="center"/>
              <w:rPr>
                <w:rFonts w:ascii="Times New Roman" w:hAnsi="Times New Roman" w:eastAsia="仿宋_GB2312" w:cs="Times New Roman"/>
                <w:kern w:val="0"/>
                <w:sz w:val="22"/>
              </w:rPr>
            </w:pPr>
          </w:p>
        </w:tc>
        <w:tc>
          <w:tcPr>
            <w:tcW w:w="4173" w:type="dxa"/>
            <w:shd w:val="clear" w:color="000000" w:fill="auto"/>
            <w:vAlign w:val="center"/>
          </w:tcPr>
          <w:p w14:paraId="62E99244">
            <w:pPr>
              <w:widowControl/>
              <w:spacing w:line="420" w:lineRule="exact"/>
              <w:jc w:val="left"/>
              <w:rPr>
                <w:rFonts w:ascii="Times New Roman" w:hAnsi="Times New Roman" w:eastAsia="仿宋_GB2312" w:cs="Times New Roman"/>
                <w:kern w:val="0"/>
                <w:sz w:val="22"/>
              </w:rPr>
            </w:pPr>
            <w:r>
              <w:rPr>
                <w:rFonts w:hint="eastAsia" w:ascii="Times New Roman" w:hAnsi="Times New Roman" w:eastAsia="仿宋_GB2312" w:cs="Times New Roman"/>
                <w:color w:val="0F1115"/>
                <w:kern w:val="0"/>
                <w:sz w:val="22"/>
              </w:rPr>
              <w:t>10</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残疾儿童少年义务教育入学率（</w:t>
            </w:r>
            <w:r>
              <w:rPr>
                <w:rFonts w:ascii="Times New Roman" w:hAnsi="Times New Roman" w:eastAsia="仿宋_GB2312" w:cs="Times New Roman"/>
                <w:color w:val="0F1115"/>
                <w:kern w:val="0"/>
                <w:sz w:val="22"/>
              </w:rPr>
              <w:t>%</w:t>
            </w:r>
            <w:r>
              <w:rPr>
                <w:rFonts w:hint="eastAsia" w:ascii="Times New Roman" w:hAnsi="Times New Roman" w:eastAsia="仿宋_GB2312" w:cs="Times New Roman"/>
                <w:color w:val="0F1115"/>
                <w:kern w:val="0"/>
                <w:sz w:val="22"/>
              </w:rPr>
              <w:t>）</w:t>
            </w:r>
          </w:p>
        </w:tc>
        <w:tc>
          <w:tcPr>
            <w:tcW w:w="1984" w:type="dxa"/>
            <w:shd w:val="clear" w:color="000000" w:fill="auto"/>
            <w:vAlign w:val="center"/>
          </w:tcPr>
          <w:p w14:paraId="3C67DFD2">
            <w:pPr>
              <w:widowControl/>
              <w:spacing w:line="420" w:lineRule="exact"/>
              <w:jc w:val="center"/>
              <w:rPr>
                <w:rFonts w:ascii="Times New Roman" w:hAnsi="Times New Roman" w:eastAsia="仿宋_GB2312" w:cs="Times New Roman"/>
                <w:color w:val="0F1115"/>
                <w:kern w:val="0"/>
                <w:sz w:val="22"/>
              </w:rPr>
            </w:pPr>
            <w:r>
              <w:rPr>
                <w:rFonts w:hint="eastAsia" w:ascii="Times New Roman" w:hAnsi="Times New Roman" w:eastAsia="仿宋_GB2312" w:cs="Times New Roman"/>
                <w:color w:val="0F1115"/>
                <w:kern w:val="0"/>
                <w:sz w:val="22"/>
              </w:rPr>
              <w:t>≥99</w:t>
            </w:r>
          </w:p>
        </w:tc>
        <w:tc>
          <w:tcPr>
            <w:tcW w:w="1701" w:type="dxa"/>
            <w:shd w:val="clear" w:color="000000" w:fill="auto"/>
            <w:vAlign w:val="center"/>
          </w:tcPr>
          <w:p w14:paraId="32AE7070">
            <w:pPr>
              <w:widowControl/>
              <w:spacing w:line="420" w:lineRule="exact"/>
              <w:jc w:val="center"/>
              <w:rPr>
                <w:rFonts w:ascii="Times New Roman" w:hAnsi="Times New Roman" w:eastAsia="仿宋_GB2312" w:cs="Times New Roman"/>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color w:val="0F1115"/>
                <w:kern w:val="0"/>
                <w:sz w:val="22"/>
              </w:rPr>
              <w:t>99</w:t>
            </w:r>
          </w:p>
        </w:tc>
        <w:tc>
          <w:tcPr>
            <w:tcW w:w="1276" w:type="dxa"/>
            <w:shd w:val="clear" w:color="000000" w:fill="auto"/>
            <w:vAlign w:val="center"/>
          </w:tcPr>
          <w:p w14:paraId="694AEDA1">
            <w:pPr>
              <w:widowControl/>
              <w:spacing w:line="420" w:lineRule="exact"/>
              <w:jc w:val="center"/>
              <w:rPr>
                <w:rFonts w:ascii="Times New Roman" w:hAnsi="Times New Roman" w:eastAsia="仿宋_GB2312" w:cs="Times New Roman"/>
                <w:kern w:val="0"/>
                <w:sz w:val="22"/>
              </w:rPr>
            </w:pPr>
            <w:r>
              <w:rPr>
                <w:rFonts w:hint="eastAsia" w:ascii="Times New Roman" w:hAnsi="Times New Roman" w:eastAsia="仿宋_GB2312" w:cs="Times New Roman"/>
                <w:color w:val="0F1115"/>
                <w:kern w:val="0"/>
                <w:sz w:val="22"/>
              </w:rPr>
              <w:t>预期性</w:t>
            </w:r>
          </w:p>
        </w:tc>
      </w:tr>
      <w:tr w14:paraId="3F41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2" w:type="dxa"/>
            <w:vMerge w:val="continue"/>
            <w:shd w:val="clear" w:color="000000" w:fill="auto"/>
            <w:vAlign w:val="center"/>
          </w:tcPr>
          <w:p w14:paraId="1E28BFDA">
            <w:pPr>
              <w:widowControl/>
              <w:spacing w:line="420" w:lineRule="exact"/>
              <w:jc w:val="center"/>
              <w:rPr>
                <w:rFonts w:ascii="Times New Roman" w:hAnsi="Times New Roman" w:eastAsia="仿宋_GB2312" w:cs="Times New Roman"/>
                <w:kern w:val="0"/>
                <w:sz w:val="22"/>
              </w:rPr>
            </w:pPr>
          </w:p>
        </w:tc>
        <w:tc>
          <w:tcPr>
            <w:tcW w:w="4173" w:type="dxa"/>
            <w:shd w:val="clear" w:color="000000" w:fill="auto"/>
            <w:vAlign w:val="center"/>
          </w:tcPr>
          <w:p w14:paraId="70762D08">
            <w:pPr>
              <w:widowControl/>
              <w:spacing w:line="420" w:lineRule="exact"/>
              <w:jc w:val="left"/>
              <w:rPr>
                <w:rFonts w:ascii="Times New Roman" w:hAnsi="Times New Roman" w:eastAsia="仿宋_GB2312" w:cs="Times New Roman"/>
                <w:kern w:val="0"/>
                <w:sz w:val="22"/>
                <w:highlight w:val="none"/>
              </w:rPr>
            </w:pPr>
            <w:r>
              <w:rPr>
                <w:rFonts w:hint="eastAsia" w:ascii="Times New Roman" w:hAnsi="Times New Roman" w:eastAsia="仿宋_GB2312" w:cs="Times New Roman"/>
                <w:kern w:val="0"/>
                <w:sz w:val="22"/>
                <w:highlight w:val="none"/>
              </w:rPr>
              <w:t>11.残疾人法治宣传教育人数（人次）</w:t>
            </w:r>
          </w:p>
        </w:tc>
        <w:tc>
          <w:tcPr>
            <w:tcW w:w="1984" w:type="dxa"/>
            <w:shd w:val="clear" w:color="000000" w:fill="auto"/>
            <w:vAlign w:val="center"/>
          </w:tcPr>
          <w:p w14:paraId="26BBAA40">
            <w:pPr>
              <w:widowControl/>
              <w:spacing w:line="420" w:lineRule="exact"/>
              <w:jc w:val="center"/>
              <w:rPr>
                <w:rFonts w:ascii="Times New Roman" w:hAnsi="Times New Roman" w:eastAsia="仿宋_GB2312" w:cs="Times New Roman"/>
                <w:color w:val="0F1115"/>
                <w:kern w:val="0"/>
                <w:sz w:val="22"/>
                <w:highlight w:val="none"/>
              </w:rPr>
            </w:pPr>
            <w:r>
              <w:rPr>
                <w:rFonts w:hint="eastAsia" w:ascii="Times New Roman" w:hAnsi="Times New Roman" w:eastAsia="仿宋_GB2312" w:cs="Times New Roman"/>
                <w:color w:val="0F1115"/>
                <w:kern w:val="0"/>
                <w:sz w:val="22"/>
                <w:highlight w:val="none"/>
              </w:rPr>
              <w:t>——</w:t>
            </w:r>
          </w:p>
        </w:tc>
        <w:tc>
          <w:tcPr>
            <w:tcW w:w="1701" w:type="dxa"/>
            <w:shd w:val="clear" w:color="000000" w:fill="auto"/>
            <w:vAlign w:val="center"/>
          </w:tcPr>
          <w:p w14:paraId="4D85B229">
            <w:pPr>
              <w:widowControl/>
              <w:spacing w:line="420" w:lineRule="exact"/>
              <w:jc w:val="center"/>
              <w:rPr>
                <w:rFonts w:ascii="Times New Roman" w:hAnsi="Times New Roman" w:eastAsia="仿宋_GB2312" w:cs="Times New Roman"/>
                <w:color w:val="0F1115"/>
                <w:kern w:val="0"/>
                <w:sz w:val="22"/>
                <w:highlight w:val="none"/>
              </w:rPr>
            </w:pPr>
            <w:r>
              <w:rPr>
                <w:rFonts w:hint="eastAsia" w:ascii="Times New Roman" w:hAnsi="Times New Roman" w:eastAsia="仿宋_GB2312" w:cs="Times New Roman"/>
                <w:color w:val="0F1115"/>
                <w:kern w:val="0"/>
                <w:sz w:val="22"/>
                <w:highlight w:val="none"/>
              </w:rPr>
              <w:t>【25000】</w:t>
            </w:r>
          </w:p>
        </w:tc>
        <w:tc>
          <w:tcPr>
            <w:tcW w:w="1276" w:type="dxa"/>
            <w:shd w:val="clear" w:color="000000" w:fill="auto"/>
            <w:vAlign w:val="center"/>
          </w:tcPr>
          <w:p w14:paraId="14BF3910">
            <w:pPr>
              <w:widowControl/>
              <w:spacing w:line="420" w:lineRule="exact"/>
              <w:jc w:val="center"/>
              <w:rPr>
                <w:rFonts w:ascii="Times New Roman" w:hAnsi="Times New Roman" w:eastAsia="仿宋_GB2312" w:cs="Times New Roman"/>
                <w:color w:val="0F1115"/>
                <w:kern w:val="0"/>
                <w:sz w:val="22"/>
                <w:highlight w:val="none"/>
              </w:rPr>
            </w:pPr>
            <w:r>
              <w:rPr>
                <w:rFonts w:hint="eastAsia" w:ascii="Times New Roman" w:hAnsi="Times New Roman" w:eastAsia="仿宋_GB2312" w:cs="Times New Roman"/>
                <w:color w:val="0F1115"/>
                <w:kern w:val="0"/>
                <w:sz w:val="22"/>
                <w:highlight w:val="none"/>
              </w:rPr>
              <w:t>预期性</w:t>
            </w:r>
          </w:p>
        </w:tc>
      </w:tr>
      <w:tr w14:paraId="3479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42" w:type="dxa"/>
            <w:vMerge w:val="continue"/>
            <w:shd w:val="clear" w:color="000000" w:fill="auto"/>
            <w:vAlign w:val="center"/>
          </w:tcPr>
          <w:p w14:paraId="2E6F7A4B">
            <w:pPr>
              <w:widowControl/>
              <w:spacing w:line="420" w:lineRule="exact"/>
              <w:jc w:val="center"/>
              <w:rPr>
                <w:rFonts w:ascii="Times New Roman" w:hAnsi="Times New Roman" w:eastAsia="仿宋_GB2312" w:cs="Times New Roman"/>
                <w:kern w:val="0"/>
                <w:sz w:val="22"/>
              </w:rPr>
            </w:pPr>
          </w:p>
        </w:tc>
        <w:tc>
          <w:tcPr>
            <w:tcW w:w="4173" w:type="dxa"/>
            <w:shd w:val="clear" w:color="000000" w:fill="auto"/>
            <w:vAlign w:val="center"/>
          </w:tcPr>
          <w:p w14:paraId="40D7BA12">
            <w:pPr>
              <w:widowControl/>
              <w:spacing w:line="420" w:lineRule="exact"/>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w:t>
            </w:r>
            <w:r>
              <w:rPr>
                <w:rFonts w:ascii="Times New Roman" w:hAnsi="Times New Roman" w:eastAsia="仿宋_GB2312" w:cs="Times New Roman"/>
                <w:kern w:val="0"/>
                <w:sz w:val="22"/>
              </w:rPr>
              <w:t>.</w:t>
            </w:r>
            <w:r>
              <w:rPr>
                <w:rFonts w:hint="eastAsia" w:ascii="Times New Roman" w:hAnsi="Times New Roman" w:eastAsia="仿宋_GB2312" w:cs="Times New Roman"/>
                <w:kern w:val="0"/>
                <w:sz w:val="22"/>
              </w:rPr>
              <w:t>残疾人居家环境无障碍改造申请改造完成率（</w:t>
            </w:r>
            <w:r>
              <w:rPr>
                <w:rFonts w:ascii="Times New Roman" w:hAnsi="Times New Roman" w:eastAsia="仿宋_GB2312" w:cs="Times New Roman"/>
                <w:kern w:val="0"/>
                <w:sz w:val="22"/>
              </w:rPr>
              <w:t>%</w:t>
            </w:r>
            <w:r>
              <w:rPr>
                <w:rFonts w:hint="eastAsia" w:ascii="Times New Roman" w:hAnsi="Times New Roman" w:eastAsia="仿宋_GB2312" w:cs="Times New Roman"/>
                <w:kern w:val="0"/>
                <w:sz w:val="22"/>
              </w:rPr>
              <w:t>）</w:t>
            </w:r>
          </w:p>
        </w:tc>
        <w:tc>
          <w:tcPr>
            <w:tcW w:w="1984" w:type="dxa"/>
            <w:shd w:val="clear" w:color="000000" w:fill="auto"/>
            <w:vAlign w:val="center"/>
          </w:tcPr>
          <w:p w14:paraId="4AAA1E13">
            <w:pPr>
              <w:widowControl/>
              <w:spacing w:line="420" w:lineRule="exact"/>
              <w:jc w:val="center"/>
              <w:rPr>
                <w:rFonts w:ascii="Times New Roman" w:hAnsi="Times New Roman" w:eastAsia="仿宋_GB2312" w:cs="Times New Roman"/>
                <w:kern w:val="0"/>
                <w:sz w:val="22"/>
              </w:rPr>
            </w:pPr>
            <w:r>
              <w:rPr>
                <w:rFonts w:hint="eastAsia" w:ascii="Times New Roman" w:hAnsi="Times New Roman" w:eastAsia="仿宋_GB2312" w:cs="Times New Roman"/>
                <w:color w:val="0F1115"/>
                <w:kern w:val="0"/>
                <w:sz w:val="22"/>
              </w:rPr>
              <w:t>≥</w:t>
            </w:r>
            <w:r>
              <w:rPr>
                <w:rFonts w:ascii="Times New Roman" w:hAnsi="Times New Roman" w:eastAsia="仿宋_GB2312" w:cs="Times New Roman"/>
                <w:kern w:val="0"/>
                <w:sz w:val="22"/>
              </w:rPr>
              <w:t>90</w:t>
            </w:r>
          </w:p>
        </w:tc>
        <w:tc>
          <w:tcPr>
            <w:tcW w:w="1701" w:type="dxa"/>
            <w:shd w:val="clear" w:color="000000" w:fill="auto"/>
            <w:vAlign w:val="center"/>
          </w:tcPr>
          <w:p w14:paraId="4885F055">
            <w:pPr>
              <w:widowControl/>
              <w:spacing w:line="420" w:lineRule="exact"/>
              <w:jc w:val="center"/>
              <w:rPr>
                <w:rFonts w:ascii="Times New Roman" w:hAnsi="Times New Roman" w:eastAsia="仿宋_GB2312" w:cs="Times New Roman"/>
                <w:kern w:val="0"/>
                <w:sz w:val="22"/>
              </w:rPr>
            </w:pPr>
            <w:r>
              <w:rPr>
                <w:rFonts w:hint="eastAsia" w:ascii="Times New Roman" w:hAnsi="Times New Roman" w:eastAsia="仿宋_GB2312" w:cs="Times New Roman"/>
                <w:color w:val="0F1115"/>
                <w:kern w:val="0"/>
                <w:sz w:val="22"/>
              </w:rPr>
              <w:t>≥</w:t>
            </w:r>
            <w:r>
              <w:rPr>
                <w:rFonts w:hint="eastAsia" w:ascii="Times New Roman" w:hAnsi="Times New Roman" w:eastAsia="仿宋_GB2312" w:cs="Times New Roman"/>
                <w:kern w:val="0"/>
                <w:sz w:val="22"/>
              </w:rPr>
              <w:t>99</w:t>
            </w:r>
          </w:p>
        </w:tc>
        <w:tc>
          <w:tcPr>
            <w:tcW w:w="1276" w:type="dxa"/>
            <w:shd w:val="clear" w:color="000000" w:fill="auto"/>
            <w:vAlign w:val="center"/>
          </w:tcPr>
          <w:p w14:paraId="6D6913B4">
            <w:pPr>
              <w:widowControl/>
              <w:spacing w:line="420" w:lineRule="exact"/>
              <w:jc w:val="center"/>
              <w:rPr>
                <w:rFonts w:ascii="Times New Roman" w:hAnsi="Times New Roman" w:eastAsia="仿宋_GB2312" w:cs="Times New Roman"/>
                <w:kern w:val="0"/>
                <w:sz w:val="22"/>
              </w:rPr>
            </w:pPr>
            <w:r>
              <w:rPr>
                <w:rFonts w:hint="eastAsia" w:ascii="Times New Roman" w:hAnsi="Times New Roman" w:eastAsia="仿宋_GB2312" w:cs="Times New Roman"/>
                <w:color w:val="0F1115"/>
                <w:kern w:val="0"/>
                <w:sz w:val="22"/>
              </w:rPr>
              <w:t>预期性</w:t>
            </w:r>
          </w:p>
        </w:tc>
      </w:tr>
    </w:tbl>
    <w:p w14:paraId="472C1F9C">
      <w:pPr>
        <w:rPr>
          <w:rFonts w:hint="eastAsia"/>
        </w:rPr>
      </w:pPr>
      <w:r>
        <w:rPr>
          <w:rFonts w:hint="eastAsia"/>
        </w:rPr>
        <w:t>注：【】为五年累计数</w:t>
      </w:r>
    </w:p>
    <w:p w14:paraId="6D580A24">
      <w:pPr>
        <w:pStyle w:val="2"/>
        <w:spacing w:before="100" w:after="100" w:line="560" w:lineRule="exact"/>
        <w:ind w:firstLine="640" w:firstLineChars="200"/>
        <w:rPr>
          <w:rFonts w:ascii="Times New Roman" w:hAnsi="Times New Roman" w:eastAsia="黑体" w:cs="Times New Roman"/>
          <w:color w:val="auto"/>
          <w:sz w:val="32"/>
          <w:szCs w:val="32"/>
        </w:rPr>
      </w:pPr>
      <w:bookmarkStart w:id="13" w:name="_Toc20549"/>
      <w:bookmarkStart w:id="14" w:name="_Toc230085853"/>
      <w:bookmarkStart w:id="15" w:name="_Toc16439"/>
      <w:r>
        <w:rPr>
          <w:rFonts w:hint="eastAsia" w:ascii="Times New Roman" w:hAnsi="Times New Roman" w:eastAsia="黑体" w:cs="Times New Roman"/>
          <w:color w:val="auto"/>
          <w:sz w:val="32"/>
          <w:szCs w:val="32"/>
        </w:rPr>
        <w:t>二、重点任务</w:t>
      </w:r>
      <w:bookmarkEnd w:id="13"/>
      <w:bookmarkEnd w:id="14"/>
      <w:bookmarkEnd w:id="15"/>
    </w:p>
    <w:p w14:paraId="24A2A8B1">
      <w:pPr>
        <w:pStyle w:val="3"/>
        <w:spacing w:before="20" w:after="20" w:line="560" w:lineRule="exact"/>
        <w:ind w:firstLine="640" w:firstLineChars="200"/>
        <w:rPr>
          <w:rFonts w:ascii="Times New Roman" w:hAnsi="Times New Roman" w:eastAsia="楷体_GB2312" w:cs="Times New Roman"/>
          <w:color w:val="auto"/>
          <w:sz w:val="32"/>
          <w:szCs w:val="32"/>
        </w:rPr>
      </w:pPr>
      <w:bookmarkStart w:id="16" w:name="_Toc22570"/>
      <w:bookmarkStart w:id="17" w:name="_Toc230085854"/>
      <w:bookmarkStart w:id="18" w:name="_Toc27129"/>
      <w:r>
        <w:rPr>
          <w:rFonts w:hint="eastAsia" w:ascii="Times New Roman" w:hAnsi="Times New Roman" w:eastAsia="楷体_GB2312" w:cs="Times New Roman"/>
          <w:color w:val="auto"/>
          <w:sz w:val="32"/>
          <w:szCs w:val="32"/>
        </w:rPr>
        <w:t>（一）高质量推进残疾人社会保障政策落地落实</w:t>
      </w:r>
      <w:bookmarkEnd w:id="16"/>
      <w:bookmarkEnd w:id="17"/>
      <w:bookmarkEnd w:id="18"/>
    </w:p>
    <w:p w14:paraId="0E733632">
      <w:pPr>
        <w:pStyle w:val="4"/>
        <w:spacing w:before="0" w:after="0" w:line="560" w:lineRule="exact"/>
        <w:ind w:firstLine="640" w:firstLineChars="200"/>
        <w:rPr>
          <w:rFonts w:ascii="Times New Roman" w:hAnsi="Times New Roman" w:eastAsia="仿宋_GB2312" w:cs="Times New Roman"/>
          <w:color w:val="auto"/>
        </w:rPr>
      </w:pPr>
      <w:bookmarkStart w:id="19" w:name="_Toc34"/>
      <w:bookmarkStart w:id="20" w:name="_Toc230085855"/>
      <w:bookmarkStart w:id="21" w:name="_Toc22393"/>
      <w:r>
        <w:rPr>
          <w:rFonts w:hint="eastAsia" w:ascii="Times New Roman" w:hAnsi="Times New Roman" w:eastAsia="仿宋_GB2312" w:cs="Times New Roman"/>
          <w:color w:val="auto"/>
        </w:rPr>
        <w:t>1.持续强化残疾人精准救助帮扶服务</w:t>
      </w:r>
      <w:bookmarkEnd w:id="19"/>
      <w:bookmarkEnd w:id="20"/>
      <w:bookmarkEnd w:id="21"/>
    </w:p>
    <w:p w14:paraId="1037CEB6">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全面落实社会救助政策，持续健全分层分类社会救助制度体系，有序推进刚性支出困难残疾人家庭的政策落地。</w:t>
      </w:r>
      <w:bookmarkStart w:id="22" w:name="OLE_LINK9"/>
      <w:r>
        <w:rPr>
          <w:rFonts w:hint="eastAsia" w:ascii="Times New Roman" w:hAnsi="Times New Roman" w:eastAsia="仿宋_GB2312" w:cs="Times New Roman"/>
          <w:sz w:val="32"/>
          <w:szCs w:val="32"/>
        </w:rPr>
        <w:t>将持证残疾人纳入低收入人口动态监测信息平台，建立快速响应和预警机制，及时将符合条件的残疾人纳入救助保障范围。</w:t>
      </w:r>
      <w:bookmarkEnd w:id="22"/>
      <w:bookmarkStart w:id="23" w:name="OLE_LINK28"/>
      <w:bookmarkStart w:id="24" w:name="OLE_LINK10"/>
      <w:r>
        <w:rPr>
          <w:rFonts w:hint="eastAsia" w:ascii="Times New Roman" w:hAnsi="Times New Roman" w:eastAsia="仿宋_GB2312" w:cs="Times New Roman"/>
          <w:sz w:val="32"/>
          <w:szCs w:val="32"/>
        </w:rPr>
        <w:t>积极发展服务类社会救助，依托“物质+服务”相结合的救助模式，支持社会组织、社会工作者等为低收入残疾人家庭提供必要的护理照料、能力提升、精神关爱等服务</w:t>
      </w:r>
      <w:bookmarkEnd w:id="23"/>
      <w:r>
        <w:rPr>
          <w:rFonts w:hint="eastAsia" w:ascii="Times New Roman" w:hAnsi="Times New Roman" w:eastAsia="仿宋_GB2312" w:cs="Times New Roman"/>
          <w:sz w:val="32"/>
          <w:szCs w:val="32"/>
        </w:rPr>
        <w:t>。</w:t>
      </w:r>
      <w:bookmarkEnd w:id="24"/>
      <w:r>
        <w:rPr>
          <w:rFonts w:hint="eastAsia" w:ascii="Times New Roman" w:hAnsi="Times New Roman" w:eastAsia="仿宋_GB2312" w:cs="Times New Roman"/>
          <w:sz w:val="32"/>
          <w:szCs w:val="32"/>
        </w:rPr>
        <w:t>支持专业化社会组织开展残疾人社会工作服务。加强残疾人医疗救助，强化与基本医疗保险、大病保险的互补衔接，实现“应救尽救”。落实符合条件的城镇重度残疾人家庭住房保障优先待遇和补贴优惠，持续推进农村困难残疾人家庭危房改造和山区搬迁补助工作。加强生活无着流浪乞讨残疾人的照料服务、急救救治和寻亲安置。</w:t>
      </w:r>
    </w:p>
    <w:p w14:paraId="19BE45EE">
      <w:pPr>
        <w:pStyle w:val="4"/>
        <w:spacing w:before="0" w:after="0" w:line="560" w:lineRule="exact"/>
        <w:ind w:firstLine="640" w:firstLineChars="200"/>
        <w:rPr>
          <w:rFonts w:ascii="Times New Roman" w:hAnsi="Times New Roman" w:eastAsia="仿宋_GB2312" w:cs="Times New Roman"/>
          <w:color w:val="auto"/>
        </w:rPr>
      </w:pPr>
      <w:bookmarkStart w:id="25" w:name="_Toc16523"/>
      <w:bookmarkStart w:id="26" w:name="_Toc230085857"/>
      <w:bookmarkStart w:id="27" w:name="_Toc22816"/>
      <w:r>
        <w:rPr>
          <w:rFonts w:hint="eastAsia" w:ascii="Times New Roman" w:hAnsi="Times New Roman" w:eastAsia="仿宋_GB2312" w:cs="Times New Roman"/>
          <w:color w:val="auto"/>
        </w:rPr>
        <w:t>2.持续推进残疾人社会福利与保险制度</w:t>
      </w:r>
      <w:bookmarkEnd w:id="25"/>
      <w:bookmarkEnd w:id="26"/>
      <w:bookmarkEnd w:id="27"/>
    </w:p>
    <w:p w14:paraId="31A0190A">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持续落实困难残疾人生活补贴和重度残疾人护理补贴政策。做好残疾人康复服务与辅助器具适配工作。继续为有需求的残疾人提供居家环境无障碍改造服务。精准落实精神障碍患者和精神残疾人门诊治疗性基本药物免费政策。优化残疾人参加城乡居民基本养老、基本医疗保险的保费代缴服务，确保“应保尽保”。持续推进残疾人意外伤害保险工作，做好政策衔接，稳步推广长期护理保险制度。</w:t>
      </w:r>
    </w:p>
    <w:p w14:paraId="380E4A79">
      <w:pPr>
        <w:pStyle w:val="3"/>
        <w:spacing w:before="20" w:after="20" w:line="560" w:lineRule="exact"/>
        <w:ind w:firstLine="640" w:firstLineChars="200"/>
        <w:rPr>
          <w:rFonts w:ascii="Times New Roman" w:hAnsi="Times New Roman" w:eastAsia="楷体_GB2312" w:cs="Times New Roman"/>
          <w:color w:val="auto"/>
          <w:sz w:val="32"/>
          <w:szCs w:val="32"/>
        </w:rPr>
      </w:pPr>
      <w:bookmarkStart w:id="28" w:name="_Toc230085858"/>
      <w:bookmarkStart w:id="29" w:name="_Toc12432"/>
      <w:bookmarkStart w:id="30" w:name="_Toc13691"/>
      <w:r>
        <w:rPr>
          <w:rFonts w:hint="eastAsia" w:ascii="Times New Roman" w:hAnsi="Times New Roman" w:eastAsia="楷体_GB2312" w:cs="Times New Roman"/>
          <w:color w:val="auto"/>
          <w:sz w:val="32"/>
          <w:szCs w:val="32"/>
        </w:rPr>
        <w:t>（二）高水平打造残疾人就业增收支持体系</w:t>
      </w:r>
      <w:bookmarkEnd w:id="28"/>
      <w:bookmarkEnd w:id="29"/>
      <w:bookmarkEnd w:id="30"/>
    </w:p>
    <w:p w14:paraId="0A80B434">
      <w:pPr>
        <w:pStyle w:val="4"/>
        <w:spacing w:before="0" w:after="0" w:line="560" w:lineRule="exact"/>
        <w:ind w:firstLine="640" w:firstLineChars="200"/>
        <w:rPr>
          <w:rFonts w:ascii="Times New Roman" w:hAnsi="Times New Roman" w:eastAsia="仿宋_GB2312" w:cs="Times New Roman"/>
          <w:color w:val="auto"/>
        </w:rPr>
      </w:pPr>
      <w:bookmarkStart w:id="31" w:name="_Toc24310"/>
      <w:bookmarkStart w:id="32" w:name="_Toc2468"/>
      <w:bookmarkStart w:id="33" w:name="_Toc230085859"/>
      <w:r>
        <w:rPr>
          <w:rFonts w:hint="eastAsia" w:ascii="Times New Roman" w:hAnsi="Times New Roman" w:eastAsia="仿宋_GB2312" w:cs="Times New Roman"/>
          <w:color w:val="auto"/>
        </w:rPr>
        <w:t>1.落实残疾人就业政策</w:t>
      </w:r>
      <w:bookmarkEnd w:id="31"/>
      <w:bookmarkEnd w:id="32"/>
      <w:bookmarkEnd w:id="33"/>
    </w:p>
    <w:p w14:paraId="20D18685">
      <w:pPr>
        <w:spacing w:line="560" w:lineRule="exact"/>
        <w:ind w:firstLine="640" w:firstLineChars="200"/>
        <w:rPr>
          <w:rFonts w:ascii="Times New Roman" w:hAnsi="Times New Roman" w:eastAsia="仿宋_GB2312" w:cs="Times New Roman"/>
          <w:sz w:val="32"/>
          <w:szCs w:val="32"/>
        </w:rPr>
      </w:pPr>
      <w:bookmarkStart w:id="34" w:name="OLE_LINK1"/>
      <w:r>
        <w:rPr>
          <w:rFonts w:hint="eastAsia" w:ascii="Times New Roman" w:hAnsi="Times New Roman" w:eastAsia="仿宋_GB2312" w:cs="Times New Roman"/>
          <w:sz w:val="32"/>
          <w:szCs w:val="32"/>
        </w:rPr>
        <w:t>实施促进残疾人就业专项行动</w:t>
      </w:r>
      <w:bookmarkEnd w:id="34"/>
      <w:r>
        <w:rPr>
          <w:rFonts w:hint="eastAsia" w:ascii="Times New Roman" w:hAnsi="Times New Roman" w:eastAsia="仿宋_GB2312" w:cs="Times New Roman"/>
          <w:sz w:val="32"/>
          <w:szCs w:val="32"/>
        </w:rPr>
        <w:t>。</w:t>
      </w:r>
      <w:bookmarkStart w:id="35" w:name="OLE_LINK17"/>
      <w:r>
        <w:rPr>
          <w:rFonts w:hint="eastAsia" w:ascii="Times New Roman" w:hAnsi="Times New Roman" w:eastAsia="仿宋_GB2312" w:cs="Times New Roman"/>
          <w:sz w:val="32"/>
          <w:szCs w:val="32"/>
        </w:rPr>
        <w:t>完善残疾人就业促进政策，激励用人单位多渠道、多形式吸纳残疾人就业</w:t>
      </w:r>
      <w:bookmarkEnd w:id="35"/>
      <w:r>
        <w:rPr>
          <w:rFonts w:hint="eastAsia" w:ascii="Times New Roman" w:hAnsi="Times New Roman" w:eastAsia="仿宋_GB2312" w:cs="Times New Roman"/>
          <w:sz w:val="32"/>
          <w:szCs w:val="32"/>
        </w:rPr>
        <w:t>。落实对就业过渡期残疾大学生实习见习的支持。</w:t>
      </w:r>
      <w:bookmarkStart w:id="36" w:name="OLE_LINK19"/>
      <w:r>
        <w:rPr>
          <w:rFonts w:hint="eastAsia" w:ascii="Times New Roman" w:hAnsi="Times New Roman" w:eastAsia="仿宋_GB2312" w:cs="Times New Roman"/>
          <w:sz w:val="32"/>
          <w:szCs w:val="32"/>
        </w:rPr>
        <w:t>按规定做好残疾退役军人安置工作</w:t>
      </w:r>
      <w:bookmarkEnd w:id="36"/>
      <w:r>
        <w:rPr>
          <w:rFonts w:hint="eastAsia" w:ascii="Times New Roman" w:hAnsi="Times New Roman" w:eastAsia="仿宋_GB2312" w:cs="Times New Roman"/>
          <w:sz w:val="32"/>
          <w:szCs w:val="32"/>
        </w:rPr>
        <w:t>。落实安置残疾人单位税费优惠、政府优先采购等扶持政策。落实好创业担保贷款等个性普惠金融政策，按规定落实创业残疾人减征个人所得税、免征增值税等税收优惠。以就业优先为导向，做好就业与社会保障政策衔接。通过个性化支持服务扶助有就业意愿的残疾人就近就业、职业康复与社会融合。</w:t>
      </w:r>
      <w:bookmarkStart w:id="37" w:name="OLE_LINK24"/>
      <w:r>
        <w:rPr>
          <w:rFonts w:hint="eastAsia" w:ascii="Times New Roman" w:hAnsi="Times New Roman" w:eastAsia="仿宋_GB2312" w:cs="Times New Roman"/>
          <w:sz w:val="32"/>
          <w:szCs w:val="32"/>
        </w:rPr>
        <w:t>落实职业培训补贴政策，推行终身职业技能培训</w:t>
      </w:r>
      <w:bookmarkEnd w:id="37"/>
      <w:r>
        <w:rPr>
          <w:rFonts w:hint="eastAsia" w:ascii="Times New Roman" w:hAnsi="Times New Roman" w:eastAsia="仿宋_GB2312" w:cs="Times New Roman"/>
          <w:sz w:val="32"/>
          <w:szCs w:val="32"/>
        </w:rPr>
        <w:t>。</w:t>
      </w:r>
    </w:p>
    <w:p w14:paraId="7F67D036">
      <w:pPr>
        <w:pStyle w:val="4"/>
        <w:spacing w:before="0" w:after="0" w:line="560" w:lineRule="exact"/>
        <w:ind w:firstLine="640" w:firstLineChars="200"/>
        <w:rPr>
          <w:rFonts w:ascii="Times New Roman" w:hAnsi="Times New Roman" w:eastAsia="仿宋_GB2312" w:cs="Times New Roman"/>
          <w:color w:val="auto"/>
        </w:rPr>
      </w:pPr>
      <w:bookmarkStart w:id="38" w:name="_Toc1326"/>
      <w:bookmarkStart w:id="39" w:name="_Toc230085860"/>
      <w:bookmarkStart w:id="40" w:name="_Toc25048"/>
      <w:r>
        <w:rPr>
          <w:rFonts w:hint="eastAsia" w:ascii="Times New Roman" w:hAnsi="Times New Roman" w:eastAsia="仿宋_GB2312" w:cs="Times New Roman"/>
          <w:color w:val="auto"/>
        </w:rPr>
        <w:t>2.拓宽残疾人就业渠道</w:t>
      </w:r>
      <w:bookmarkEnd w:id="38"/>
      <w:bookmarkEnd w:id="39"/>
      <w:bookmarkEnd w:id="40"/>
    </w:p>
    <w:p w14:paraId="76370703">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落实《促进残疾人就业三年行动方</w:t>
      </w:r>
      <w:r>
        <w:rPr>
          <w:rFonts w:hint="eastAsia" w:ascii="仿宋_GB2312" w:hAnsi="仿宋_GB2312" w:eastAsia="仿宋_GB2312" w:cs="仿宋_GB2312"/>
          <w:sz w:val="32"/>
          <w:szCs w:val="32"/>
        </w:rPr>
        <w:t>案（</w:t>
      </w:r>
      <w:r>
        <w:rPr>
          <w:rFonts w:ascii="仿宋_GB2312" w:hAnsi="仿宋_GB2312" w:eastAsia="仿宋_GB2312" w:cs="仿宋_GB2312"/>
          <w:sz w:val="32"/>
          <w:szCs w:val="32"/>
        </w:rPr>
        <w:t>2025</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2027</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推动党政机关、事业单位、国有企业带头安置残疾人按比例就业。</w:t>
      </w:r>
      <w:bookmarkStart w:id="41" w:name="OLE_LINK25"/>
      <w:r>
        <w:rPr>
          <w:rFonts w:hint="eastAsia" w:ascii="Times New Roman" w:hAnsi="Times New Roman" w:eastAsia="仿宋_GB2312" w:cs="Times New Roman"/>
          <w:sz w:val="32"/>
          <w:szCs w:val="32"/>
        </w:rPr>
        <w:t>引导社区工作者、城市协管员及公益性岗位优先招录残疾人，推动残疾人就近安置</w:t>
      </w:r>
      <w:bookmarkEnd w:id="41"/>
      <w:r>
        <w:rPr>
          <w:rFonts w:hint="eastAsia" w:ascii="Times New Roman" w:hAnsi="Times New Roman" w:eastAsia="仿宋_GB2312" w:cs="Times New Roman"/>
          <w:sz w:val="32"/>
          <w:szCs w:val="32"/>
        </w:rPr>
        <w:t>。支持残疾人依托个体就业、自主创业及灵活就业实现自立，鼓励依托新业态拓展就业空间，推广“互联网+”居家就业模式。</w:t>
      </w:r>
      <w:bookmarkStart w:id="42" w:name="OLE_LINK27"/>
      <w:r>
        <w:rPr>
          <w:rFonts w:hint="eastAsia" w:ascii="Times New Roman" w:hAnsi="Times New Roman" w:eastAsia="仿宋_GB2312" w:cs="Times New Roman"/>
          <w:sz w:val="32"/>
          <w:szCs w:val="32"/>
        </w:rPr>
        <w:t>引导具备条件的各类医疗机构吸纳盲人医疗按摩人员就业</w:t>
      </w:r>
      <w:bookmarkEnd w:id="42"/>
      <w:r>
        <w:rPr>
          <w:rFonts w:hint="eastAsia" w:ascii="Times New Roman" w:hAnsi="Times New Roman" w:eastAsia="仿宋_GB2312" w:cs="Times New Roman"/>
          <w:sz w:val="32"/>
          <w:szCs w:val="32"/>
        </w:rPr>
        <w:t>。</w:t>
      </w:r>
      <w:bookmarkStart w:id="43" w:name="OLE_LINK29"/>
      <w:r>
        <w:rPr>
          <w:rFonts w:hint="eastAsia" w:ascii="Times New Roman" w:hAnsi="Times New Roman" w:eastAsia="仿宋_GB2312" w:cs="Times New Roman"/>
          <w:sz w:val="32"/>
          <w:szCs w:val="32"/>
        </w:rPr>
        <w:t>拓展昌平区“康复+培训+就业”一体化服务模式，依托职康站、帮扶性就业基地，开发适宜劳动项目与职业培训课程。</w:t>
      </w:r>
      <w:r>
        <w:rPr>
          <w:rFonts w:ascii="Times New Roman" w:hAnsi="Times New Roman" w:eastAsia="仿宋_GB2312" w:cs="Times New Roman"/>
          <w:sz w:val="32"/>
          <w:szCs w:val="32"/>
        </w:rPr>
        <w:t>通过有针对性开发生产订单或优先采购等方式，支持职业康复劳动等项目</w:t>
      </w:r>
      <w:bookmarkEnd w:id="43"/>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加强农村残疾人就业帮扶，在民宿经济、庭院经济等工作中，引导主体为残疾人及其家庭成员创造岗位。</w:t>
      </w:r>
    </w:p>
    <w:p w14:paraId="6777F10C">
      <w:pPr>
        <w:pStyle w:val="4"/>
        <w:spacing w:before="0" w:after="0" w:line="560" w:lineRule="exact"/>
        <w:ind w:firstLine="640" w:firstLineChars="200"/>
        <w:rPr>
          <w:rFonts w:ascii="Times New Roman" w:hAnsi="Times New Roman" w:eastAsia="仿宋_GB2312" w:cs="Times New Roman"/>
          <w:color w:val="auto"/>
        </w:rPr>
      </w:pPr>
      <w:bookmarkStart w:id="44" w:name="_Toc21154"/>
      <w:bookmarkStart w:id="45" w:name="_Toc20339"/>
      <w:bookmarkStart w:id="46" w:name="_Toc230085861"/>
      <w:r>
        <w:rPr>
          <w:rFonts w:hint="eastAsia" w:ascii="Times New Roman" w:hAnsi="Times New Roman" w:eastAsia="仿宋_GB2312" w:cs="Times New Roman"/>
          <w:color w:val="auto"/>
        </w:rPr>
        <w:t>3.提升残疾人就业服务水平</w:t>
      </w:r>
      <w:bookmarkEnd w:id="44"/>
      <w:bookmarkEnd w:id="45"/>
      <w:bookmarkEnd w:id="46"/>
    </w:p>
    <w:p w14:paraId="4550F6D9">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强化残疾人就业服务机构规范化建设。区级公共就业服务机构设立残疾人优先服务窗口，鼓励引导多元主体参与残疾人就业服务。强化残疾人就业辅导员队伍建设。持续将“走访拓岗”纳入常态化就业服务。</w:t>
      </w:r>
      <w:bookmarkStart w:id="47" w:name="OLE_LINK30"/>
      <w:r>
        <w:rPr>
          <w:rFonts w:hint="eastAsia" w:ascii="Times New Roman" w:hAnsi="Times New Roman" w:eastAsia="仿宋_GB2312" w:cs="Times New Roman"/>
          <w:sz w:val="32"/>
          <w:szCs w:val="32"/>
        </w:rPr>
        <w:t>落实“昌平区残疾人高质量就业赋能服务计划”，完善“一企一档”“一人一策”服务机制，开展职业能力评估、岗位开发、实习见习、就业辅导全流程服务，按需开展新业态、新职业等技能培训</w:t>
      </w:r>
      <w:bookmarkEnd w:id="47"/>
      <w:r>
        <w:rPr>
          <w:rFonts w:hint="eastAsia" w:ascii="Times New Roman" w:hAnsi="Times New Roman" w:eastAsia="仿宋_GB2312" w:cs="Times New Roman"/>
          <w:sz w:val="32"/>
          <w:szCs w:val="32"/>
        </w:rPr>
        <w:t>。</w:t>
      </w:r>
      <w:bookmarkStart w:id="48" w:name="OLE_LINK31"/>
      <w:r>
        <w:rPr>
          <w:rFonts w:hint="eastAsia" w:ascii="Times New Roman" w:hAnsi="Times New Roman" w:eastAsia="仿宋_GB2312" w:cs="Times New Roman"/>
          <w:sz w:val="32"/>
          <w:szCs w:val="32"/>
        </w:rPr>
        <w:t>鼓励残疾人积极参与市级职业技能竞赛与职业技能展示交流活动</w:t>
      </w:r>
      <w:bookmarkEnd w:id="48"/>
      <w:r>
        <w:rPr>
          <w:rFonts w:hint="eastAsia" w:ascii="Times New Roman" w:hAnsi="Times New Roman" w:eastAsia="仿宋_GB2312" w:cs="Times New Roman"/>
          <w:sz w:val="32"/>
          <w:szCs w:val="32"/>
        </w:rPr>
        <w:t>。重点做好高校残疾毕业生就业帮扶，确保有就业意愿的应届毕业生100%就业。组织专场招聘会等活动，为用人单位提供残疾人就业信息发布等支持性服务，为残疾人提供职业指导、职业介绍等服务。鼓励用人单位参与培训体系建设，推动残疾人定岗定向培训。</w:t>
      </w:r>
      <w:bookmarkStart w:id="49" w:name="OLE_LINK32"/>
      <w:r>
        <w:rPr>
          <w:rFonts w:hint="eastAsia" w:ascii="Times New Roman" w:hAnsi="Times New Roman" w:eastAsia="仿宋_GB2312" w:cs="Times New Roman"/>
          <w:sz w:val="32"/>
          <w:szCs w:val="32"/>
        </w:rPr>
        <w:t>打造“线上平台+商圈联动”义卖新模式，为残疾人开辟稳定创业增收新路径</w:t>
      </w:r>
      <w:bookmarkEnd w:id="49"/>
      <w:r>
        <w:rPr>
          <w:rFonts w:hint="eastAsia" w:ascii="Times New Roman" w:hAnsi="Times New Roman" w:eastAsia="仿宋_GB2312" w:cs="Times New Roman"/>
          <w:sz w:val="32"/>
          <w:szCs w:val="32"/>
        </w:rPr>
        <w:t>。</w:t>
      </w:r>
    </w:p>
    <w:p w14:paraId="70A94717">
      <w:pPr>
        <w:pStyle w:val="4"/>
        <w:spacing w:before="0" w:after="0" w:line="560" w:lineRule="exact"/>
        <w:ind w:firstLine="640" w:firstLineChars="200"/>
        <w:rPr>
          <w:rFonts w:ascii="Times New Roman" w:hAnsi="Times New Roman" w:eastAsia="仿宋_GB2312" w:cs="Times New Roman"/>
          <w:color w:val="auto"/>
        </w:rPr>
      </w:pPr>
      <w:bookmarkStart w:id="50" w:name="_Toc26851"/>
      <w:bookmarkStart w:id="51" w:name="_Toc2860"/>
      <w:bookmarkStart w:id="52" w:name="_Toc230085862"/>
      <w:r>
        <w:rPr>
          <w:rFonts w:hint="eastAsia" w:ascii="Times New Roman" w:hAnsi="Times New Roman" w:eastAsia="仿宋_GB2312" w:cs="Times New Roman"/>
          <w:color w:val="auto"/>
        </w:rPr>
        <w:t>4.加强残疾人就业促进服务</w:t>
      </w:r>
      <w:bookmarkEnd w:id="50"/>
      <w:bookmarkEnd w:id="51"/>
      <w:bookmarkEnd w:id="52"/>
    </w:p>
    <w:p w14:paraId="6E5913CC">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推广使用科技助残产品助力残疾人就业。</w:t>
      </w:r>
      <w:bookmarkStart w:id="53" w:name="OLE_LINK2"/>
      <w:r>
        <w:rPr>
          <w:rFonts w:hint="eastAsia" w:ascii="Times New Roman" w:hAnsi="Times New Roman" w:eastAsia="仿宋_GB2312" w:cs="Times New Roman"/>
          <w:sz w:val="32"/>
          <w:szCs w:val="32"/>
          <w:lang w:val="en-US" w:eastAsia="zh-CN"/>
        </w:rPr>
        <w:t>定期</w:t>
      </w:r>
      <w:r>
        <w:rPr>
          <w:rFonts w:hint="eastAsia" w:ascii="Times New Roman" w:hAnsi="Times New Roman" w:eastAsia="仿宋_GB2312" w:cs="Times New Roman"/>
          <w:sz w:val="32"/>
          <w:szCs w:val="32"/>
        </w:rPr>
        <w:t>公示企业履行按比例安排残疾人就业义务情况，督促企业依法落实安排残疾人就业责任。</w:t>
      </w:r>
      <w:bookmarkEnd w:id="53"/>
      <w:r>
        <w:rPr>
          <w:rFonts w:hint="eastAsia" w:ascii="Times New Roman" w:hAnsi="Times New Roman" w:eastAsia="仿宋_GB2312" w:cs="Times New Roman"/>
          <w:sz w:val="32"/>
          <w:szCs w:val="32"/>
        </w:rPr>
        <w:t>积极维护残疾人劳动就业权益，加强残疾人就业劳动监察，坚决打击和查处侵害残疾人就业权益的各种行为。鼓励用人单位为残疾职工提供合理便利和无障碍支持。持续开展“残疾人就业宣传月”等活动，加大残疾人就业创业品牌建设力度。</w:t>
      </w:r>
    </w:p>
    <w:p w14:paraId="1CFCFB98">
      <w:pPr>
        <w:pStyle w:val="3"/>
        <w:spacing w:before="20" w:after="20" w:line="560" w:lineRule="exact"/>
        <w:ind w:firstLine="640" w:firstLineChars="200"/>
        <w:rPr>
          <w:rFonts w:ascii="Times New Roman" w:hAnsi="Times New Roman" w:eastAsia="楷体_GB2312" w:cs="Times New Roman"/>
          <w:color w:val="auto"/>
          <w:sz w:val="32"/>
          <w:szCs w:val="32"/>
        </w:rPr>
      </w:pPr>
      <w:bookmarkStart w:id="54" w:name="_Toc11635"/>
      <w:bookmarkStart w:id="55" w:name="_Toc21718"/>
      <w:bookmarkStart w:id="56" w:name="_Toc230085863"/>
      <w:r>
        <w:rPr>
          <w:rFonts w:hint="eastAsia" w:ascii="Times New Roman" w:hAnsi="Times New Roman" w:eastAsia="楷体_GB2312" w:cs="Times New Roman"/>
          <w:color w:val="auto"/>
          <w:sz w:val="32"/>
          <w:szCs w:val="32"/>
        </w:rPr>
        <w:t>（三）高效能完善残疾人全生命周期关爱服务体系</w:t>
      </w:r>
      <w:bookmarkEnd w:id="54"/>
      <w:bookmarkEnd w:id="55"/>
      <w:bookmarkEnd w:id="56"/>
    </w:p>
    <w:p w14:paraId="24A3EBE2">
      <w:pPr>
        <w:pStyle w:val="4"/>
        <w:spacing w:before="0" w:after="0" w:line="560" w:lineRule="exact"/>
        <w:ind w:firstLine="640" w:firstLineChars="200"/>
        <w:rPr>
          <w:rFonts w:ascii="Times New Roman" w:hAnsi="Times New Roman" w:eastAsia="仿宋_GB2312" w:cs="Times New Roman"/>
          <w:color w:val="auto"/>
        </w:rPr>
      </w:pPr>
      <w:bookmarkStart w:id="57" w:name="_Toc23555"/>
      <w:bookmarkStart w:id="58" w:name="_Toc230085864"/>
      <w:bookmarkStart w:id="59" w:name="_Toc17976"/>
      <w:r>
        <w:rPr>
          <w:rFonts w:hint="eastAsia" w:ascii="Times New Roman" w:hAnsi="Times New Roman" w:eastAsia="仿宋_GB2312" w:cs="Times New Roman"/>
          <w:color w:val="auto"/>
        </w:rPr>
        <w:t>1.</w:t>
      </w:r>
      <w:bookmarkStart w:id="60" w:name="OLE_LINK16"/>
      <w:r>
        <w:rPr>
          <w:rFonts w:hint="eastAsia" w:ascii="Times New Roman" w:hAnsi="Times New Roman" w:eastAsia="仿宋_GB2312" w:cs="Times New Roman"/>
          <w:color w:val="auto"/>
        </w:rPr>
        <w:t>提升残疾预防与残疾人健康服务水平</w:t>
      </w:r>
      <w:bookmarkEnd w:id="57"/>
      <w:bookmarkEnd w:id="58"/>
      <w:bookmarkEnd w:id="59"/>
      <w:bookmarkEnd w:id="60"/>
    </w:p>
    <w:p w14:paraId="79DFE857">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主动融入健康北京建设，实施新一期残疾预防行动计划。优化出生缺陷综合防治，促进婚前、孕前、孕期、新生儿和儿童各阶段的全链条服务衔接。持续推广“三减三健”全民健康生活方式行动，实施慢性病预防干预措施。实施脑卒中、老年痴呆等致残疾病防控专项行动。加强耳与听力健康、眼健康服务，做好防聋防盲工作。坚持健康优先发展战略，将残疾人作为健康服务重点人群。推广残疾人友好就医服务理念，优化就医流程，改善就医体验。加强心理健康和精神卫生服务，完善残疾人心理帮扶体系。深入推进职业健康保护行动，开展重点行业职业病危害专项治理。落实伤害致残防控行动，压实安全生产主体责任，加强老年人跌倒预防和儿童意外伤害宣传教育，有效防范伤害致残。</w:t>
      </w:r>
    </w:p>
    <w:p w14:paraId="24A740E7">
      <w:pPr>
        <w:pStyle w:val="4"/>
        <w:spacing w:before="0" w:after="0" w:line="560" w:lineRule="exact"/>
        <w:ind w:firstLine="640" w:firstLineChars="200"/>
        <w:rPr>
          <w:rFonts w:ascii="Times New Roman" w:hAnsi="Times New Roman" w:eastAsia="仿宋_GB2312" w:cs="Times New Roman"/>
          <w:color w:val="auto"/>
        </w:rPr>
      </w:pPr>
      <w:bookmarkStart w:id="61" w:name="_Toc4928"/>
      <w:bookmarkStart w:id="62" w:name="_Toc9751"/>
      <w:bookmarkStart w:id="63" w:name="_Toc230085866"/>
      <w:r>
        <w:rPr>
          <w:rFonts w:hint="eastAsia" w:ascii="Times New Roman" w:hAnsi="Times New Roman" w:eastAsia="仿宋_GB2312" w:cs="Times New Roman"/>
          <w:color w:val="auto"/>
        </w:rPr>
        <w:t>2.提升康复和辅助器具服务水平</w:t>
      </w:r>
      <w:bookmarkEnd w:id="61"/>
      <w:bookmarkEnd w:id="62"/>
      <w:bookmarkEnd w:id="63"/>
    </w:p>
    <w:p w14:paraId="6B19852A">
      <w:pPr>
        <w:spacing w:line="560" w:lineRule="exact"/>
        <w:ind w:firstLine="640" w:firstLineChars="200"/>
        <w:rPr>
          <w:rFonts w:ascii="Times New Roman" w:hAnsi="Times New Roman" w:eastAsia="仿宋_GB2312" w:cs="Times New Roman"/>
          <w:sz w:val="32"/>
          <w:szCs w:val="32"/>
        </w:rPr>
      </w:pPr>
      <w:bookmarkStart w:id="64" w:name="OLE_LINK35"/>
      <w:r>
        <w:rPr>
          <w:rFonts w:hint="eastAsia" w:ascii="Times New Roman" w:hAnsi="Times New Roman" w:eastAsia="仿宋_GB2312" w:cs="Times New Roman"/>
          <w:sz w:val="32"/>
          <w:szCs w:val="32"/>
        </w:rPr>
        <w:t>依托市级统筹布局，进一步加强康复医院和综合医院康复医学学科建设，根据需要推动二级及以下医疗机构转型为康复医院</w:t>
      </w:r>
      <w:bookmarkEnd w:id="64"/>
      <w:r>
        <w:rPr>
          <w:rFonts w:hint="eastAsia" w:ascii="Times New Roman" w:hAnsi="Times New Roman" w:eastAsia="仿宋_GB2312" w:cs="Times New Roman"/>
          <w:sz w:val="32"/>
          <w:szCs w:val="32"/>
        </w:rPr>
        <w:t>。</w:t>
      </w:r>
      <w:bookmarkStart w:id="65" w:name="OLE_LINK36"/>
      <w:r>
        <w:rPr>
          <w:rFonts w:hint="eastAsia" w:ascii="Times New Roman" w:hAnsi="Times New Roman" w:eastAsia="仿宋_GB2312" w:cs="Times New Roman"/>
          <w:sz w:val="32"/>
          <w:szCs w:val="32"/>
        </w:rPr>
        <w:t>实施医疗卫生强基工程，支持基层医疗机构开设康复医疗门诊</w:t>
      </w:r>
      <w:bookmarkEnd w:id="65"/>
      <w:r>
        <w:rPr>
          <w:rFonts w:hint="eastAsia" w:ascii="Times New Roman" w:hAnsi="Times New Roman" w:eastAsia="仿宋_GB2312" w:cs="Times New Roman"/>
          <w:sz w:val="32"/>
          <w:szCs w:val="32"/>
        </w:rPr>
        <w:t>。加强定点机构协议管理。支持残疾人自助互助康复服务发展，提升其融入社会能力。落实残疾儿童康复需求调查和评估，完善儿童医疗与康复转介、康复与教育融合服务机制，为残疾儿童提供普惠优质康复服务。做好儿童孤独症筛查、诊断、康复全流程服务，推动提升区域孤独症儿童康复服务定点机构服务质量。加强康复人才队伍建设，深化与医疗机构合作，提升区级康复服务机构服务水平。落实各项辅助器具服务政策，为有需求的残疾人提供优质服务。持续深化“互联网+辅助器具服务”模式，做好辅助器具适配、评估、试用、指导等服务。落实精神残疾人治疗和社区康复双向转介机制，提升服务质量和可及性。</w:t>
      </w:r>
    </w:p>
    <w:p w14:paraId="67BA989B">
      <w:pPr>
        <w:pStyle w:val="4"/>
        <w:spacing w:before="0" w:after="0" w:line="560" w:lineRule="exact"/>
        <w:ind w:firstLine="640" w:firstLineChars="200"/>
        <w:rPr>
          <w:rFonts w:ascii="Times New Roman" w:hAnsi="Times New Roman" w:eastAsia="仿宋_GB2312" w:cs="Times New Roman"/>
          <w:color w:val="auto"/>
        </w:rPr>
      </w:pPr>
      <w:bookmarkStart w:id="66" w:name="_Toc20310"/>
      <w:bookmarkStart w:id="67" w:name="_Toc230085867"/>
      <w:bookmarkStart w:id="68" w:name="_Toc17938"/>
      <w:r>
        <w:rPr>
          <w:rFonts w:ascii="Times New Roman" w:hAnsi="Times New Roman" w:eastAsia="仿宋_GB2312" w:cs="Times New Roman"/>
          <w:color w:val="auto"/>
        </w:rPr>
        <w:t>3.</w:t>
      </w:r>
      <w:bookmarkStart w:id="69" w:name="OLE_LINK18"/>
      <w:r>
        <w:rPr>
          <w:rFonts w:hint="eastAsia" w:ascii="Times New Roman" w:hAnsi="Times New Roman" w:eastAsia="仿宋_GB2312" w:cs="Times New Roman"/>
          <w:color w:val="auto"/>
        </w:rPr>
        <w:t>保障残疾人受教育权益</w:t>
      </w:r>
      <w:bookmarkEnd w:id="66"/>
      <w:bookmarkEnd w:id="67"/>
      <w:bookmarkEnd w:id="68"/>
      <w:bookmarkEnd w:id="69"/>
    </w:p>
    <w:p w14:paraId="3B11750C">
      <w:pPr>
        <w:spacing w:line="560" w:lineRule="exact"/>
        <w:ind w:firstLine="640" w:firstLineChars="200"/>
        <w:rPr>
          <w:rFonts w:ascii="Times New Roman" w:hAnsi="Times New Roman" w:eastAsia="仿宋_GB2312" w:cs="Times New Roman"/>
          <w:sz w:val="32"/>
          <w:szCs w:val="32"/>
        </w:rPr>
      </w:pPr>
      <w:bookmarkStart w:id="70" w:name="OLE_LINK5"/>
      <w:r>
        <w:rPr>
          <w:rFonts w:ascii="Times New Roman" w:hAnsi="Times New Roman" w:eastAsia="仿宋_GB2312" w:cs="Times New Roman"/>
          <w:sz w:val="32"/>
          <w:szCs w:val="32"/>
        </w:rPr>
        <w:t>紧扣市级统筹，实施</w:t>
      </w:r>
      <w:bookmarkStart w:id="71" w:name="OLE_LINK6"/>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十五五</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特殊教育发展提升行动</w:t>
      </w:r>
      <w:bookmarkEnd w:id="71"/>
      <w:r>
        <w:rPr>
          <w:rFonts w:hint="eastAsia" w:ascii="Times New Roman" w:hAnsi="Times New Roman" w:eastAsia="仿宋_GB2312" w:cs="Times New Roman"/>
          <w:sz w:val="32"/>
          <w:szCs w:val="32"/>
        </w:rPr>
        <w:t>计划</w:t>
      </w:r>
      <w:r>
        <w:rPr>
          <w:rFonts w:ascii="Times New Roman" w:hAnsi="Times New Roman" w:eastAsia="仿宋_GB2312" w:cs="Times New Roman"/>
          <w:sz w:val="32"/>
          <w:szCs w:val="32"/>
        </w:rPr>
        <w:t>。加强十五年制特教学校规范化建设，为残疾学生提供幼小高一贯制</w:t>
      </w:r>
      <w:r>
        <w:rPr>
          <w:rFonts w:hint="eastAsia" w:ascii="Times New Roman" w:hAnsi="Times New Roman" w:eastAsia="仿宋_GB2312" w:cs="Times New Roman"/>
          <w:sz w:val="32"/>
          <w:szCs w:val="32"/>
        </w:rPr>
        <w:t>特殊</w:t>
      </w:r>
      <w:r>
        <w:rPr>
          <w:rFonts w:ascii="Times New Roman" w:hAnsi="Times New Roman" w:eastAsia="仿宋_GB2312" w:cs="Times New Roman"/>
          <w:sz w:val="32"/>
          <w:szCs w:val="32"/>
        </w:rPr>
        <w:t>教育。</w:t>
      </w:r>
      <w:bookmarkStart w:id="72" w:name="OLE_LINK38"/>
      <w:r>
        <w:rPr>
          <w:rFonts w:hint="eastAsia" w:ascii="Times New Roman" w:hAnsi="Times New Roman" w:eastAsia="仿宋_GB2312" w:cs="Times New Roman"/>
          <w:sz w:val="32"/>
          <w:szCs w:val="32"/>
        </w:rPr>
        <w:t>保障残疾儿童</w:t>
      </w:r>
      <w:r>
        <w:rPr>
          <w:rFonts w:ascii="Times New Roman" w:hAnsi="Times New Roman" w:eastAsia="仿宋_GB2312" w:cs="Times New Roman"/>
          <w:sz w:val="32"/>
          <w:szCs w:val="32"/>
        </w:rPr>
        <w:t>就近入学，巩固义务教育成果</w:t>
      </w:r>
      <w:bookmarkEnd w:id="72"/>
      <w:r>
        <w:rPr>
          <w:rFonts w:ascii="Times New Roman" w:hAnsi="Times New Roman" w:eastAsia="仿宋_GB2312" w:cs="Times New Roman"/>
          <w:sz w:val="32"/>
          <w:szCs w:val="32"/>
        </w:rPr>
        <w:t>。</w:t>
      </w:r>
      <w:bookmarkStart w:id="73" w:name="OLE_LINK39"/>
      <w:r>
        <w:rPr>
          <w:rFonts w:ascii="Times New Roman" w:hAnsi="Times New Roman" w:eastAsia="仿宋_GB2312" w:cs="Times New Roman"/>
          <w:sz w:val="32"/>
          <w:szCs w:val="32"/>
        </w:rPr>
        <w:t>深耕康教融合，支持特教学校及</w:t>
      </w:r>
      <w:r>
        <w:rPr>
          <w:rFonts w:hint="eastAsia" w:ascii="Times New Roman" w:hAnsi="Times New Roman" w:eastAsia="仿宋_GB2312" w:cs="Times New Roman"/>
          <w:sz w:val="32"/>
          <w:szCs w:val="32"/>
        </w:rPr>
        <w:t>有条件的</w:t>
      </w:r>
      <w:r>
        <w:rPr>
          <w:rFonts w:ascii="Times New Roman" w:hAnsi="Times New Roman" w:eastAsia="仿宋_GB2312" w:cs="Times New Roman"/>
          <w:sz w:val="32"/>
          <w:szCs w:val="32"/>
        </w:rPr>
        <w:t>儿童福利、康复机构办好学前部</w:t>
      </w:r>
      <w:r>
        <w:rPr>
          <w:rFonts w:hint="eastAsia" w:ascii="Times New Roman" w:hAnsi="Times New Roman" w:eastAsia="仿宋_GB2312" w:cs="Times New Roman"/>
          <w:sz w:val="32"/>
          <w:szCs w:val="32"/>
        </w:rPr>
        <w:t>或附设幼儿园</w:t>
      </w:r>
      <w:bookmarkEnd w:id="73"/>
      <w:r>
        <w:rPr>
          <w:rFonts w:ascii="Times New Roman" w:hAnsi="Times New Roman" w:eastAsia="仿宋_GB2312" w:cs="Times New Roman"/>
          <w:sz w:val="32"/>
          <w:szCs w:val="32"/>
        </w:rPr>
        <w:t>。</w:t>
      </w:r>
      <w:bookmarkStart w:id="74" w:name="OLE_LINK40"/>
      <w:r>
        <w:rPr>
          <w:rFonts w:ascii="Times New Roman" w:hAnsi="Times New Roman" w:eastAsia="仿宋_GB2312" w:cs="Times New Roman"/>
          <w:sz w:val="32"/>
          <w:szCs w:val="32"/>
        </w:rPr>
        <w:t>落实适龄残疾儿童入学评估，优化重度残疾儿童“互联网+送教上门”</w:t>
      </w:r>
      <w:r>
        <w:rPr>
          <w:rFonts w:hint="eastAsia" w:ascii="Times New Roman" w:hAnsi="Times New Roman" w:eastAsia="仿宋_GB2312" w:cs="Times New Roman"/>
          <w:sz w:val="32"/>
          <w:szCs w:val="32"/>
        </w:rPr>
        <w:t>服务</w:t>
      </w:r>
      <w:r>
        <w:rPr>
          <w:rFonts w:ascii="Times New Roman" w:hAnsi="Times New Roman" w:eastAsia="仿宋_GB2312" w:cs="Times New Roman"/>
          <w:sz w:val="32"/>
          <w:szCs w:val="32"/>
        </w:rPr>
        <w:t>，推行融合教育“一人一案”，保障义务教育入学率</w:t>
      </w:r>
      <w:bookmarkEnd w:id="74"/>
      <w:r>
        <w:rPr>
          <w:rFonts w:ascii="Times New Roman" w:hAnsi="Times New Roman" w:eastAsia="仿宋_GB2312" w:cs="Times New Roman"/>
          <w:sz w:val="32"/>
          <w:szCs w:val="32"/>
        </w:rPr>
        <w:t>。发展以职业教育为重点的高中阶段教育，提高残疾学生高中入学比例，支持特教学校与职业院校联合开展职教培训。依托高校及开放大学资源，推动信息技术与AI在残疾人教育中的应用，支持继续教育与终身学习。完善“政府+学校+社会+家庭”四位一体支持体系，</w:t>
      </w:r>
      <w:r>
        <w:rPr>
          <w:rFonts w:hint="eastAsia" w:ascii="Times New Roman" w:hAnsi="Times New Roman" w:eastAsia="仿宋_GB2312" w:cs="Times New Roman"/>
          <w:sz w:val="32"/>
          <w:szCs w:val="32"/>
        </w:rPr>
        <w:t>健全</w:t>
      </w:r>
      <w:r>
        <w:rPr>
          <w:rFonts w:ascii="Times New Roman" w:hAnsi="Times New Roman" w:eastAsia="仿宋_GB2312" w:cs="Times New Roman"/>
          <w:sz w:val="32"/>
          <w:szCs w:val="32"/>
        </w:rPr>
        <w:t>融合教育师资与保障机制。为各学段残疾学生提供无障碍设施、辅助器具</w:t>
      </w:r>
      <w:r>
        <w:rPr>
          <w:rFonts w:hint="eastAsia" w:ascii="Times New Roman" w:hAnsi="Times New Roman" w:eastAsia="仿宋_GB2312" w:cs="Times New Roman"/>
          <w:sz w:val="32"/>
          <w:szCs w:val="32"/>
        </w:rPr>
        <w:t>等</w:t>
      </w:r>
      <w:r>
        <w:rPr>
          <w:rFonts w:ascii="Times New Roman" w:hAnsi="Times New Roman" w:eastAsia="仿宋_GB2312" w:cs="Times New Roman"/>
          <w:sz w:val="32"/>
          <w:szCs w:val="32"/>
        </w:rPr>
        <w:t>便利。大力推广国家通用手语和国家通用盲文。</w:t>
      </w:r>
      <w:r>
        <w:rPr>
          <w:rFonts w:hint="eastAsia" w:ascii="Times New Roman" w:hAnsi="Times New Roman" w:eastAsia="仿宋_GB2312" w:cs="Times New Roman"/>
          <w:sz w:val="32"/>
          <w:szCs w:val="32"/>
        </w:rPr>
        <w:t>持续推进北京市星润学校（在昌平区特殊儿童教育学校挂牌建设的北京市孤独症儿童特殊教育基地学习）的建设提升工作。完善随班就读支持保障。</w:t>
      </w:r>
    </w:p>
    <w:bookmarkEnd w:id="70"/>
    <w:p w14:paraId="069B68AD">
      <w:pPr>
        <w:pStyle w:val="4"/>
        <w:spacing w:before="0" w:after="0" w:line="560" w:lineRule="exact"/>
        <w:ind w:firstLine="640" w:firstLineChars="200"/>
        <w:rPr>
          <w:rFonts w:ascii="Times New Roman" w:hAnsi="Times New Roman" w:eastAsia="仿宋_GB2312" w:cs="Times New Roman"/>
          <w:color w:val="auto"/>
        </w:rPr>
      </w:pPr>
      <w:bookmarkStart w:id="75" w:name="_Toc230085868"/>
      <w:bookmarkStart w:id="76" w:name="_Toc19463"/>
      <w:bookmarkStart w:id="77" w:name="_Toc12"/>
      <w:r>
        <w:rPr>
          <w:rFonts w:hint="eastAsia" w:ascii="Times New Roman" w:hAnsi="Times New Roman" w:eastAsia="仿宋_GB2312" w:cs="Times New Roman"/>
          <w:color w:val="auto"/>
        </w:rPr>
        <w:t>4.扩大托养和照护服务有效供给</w:t>
      </w:r>
      <w:bookmarkEnd w:id="75"/>
      <w:bookmarkEnd w:id="76"/>
      <w:bookmarkEnd w:id="77"/>
    </w:p>
    <w:p w14:paraId="4E283253">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坚持“老残儿一体化”原则，持续推进重度残疾人居家照护、日间照料和集中托养照护。整合区域内养老服务驿站、养老服务机构、温馨家园等资源，探索通过多种方式为有需要的重度残疾人提供巡视探访、应急呼叫、生活照料、助餐助行等居家服务及日间照料、职业康复等服务。支持养老机构增加重度残疾人养护床位供给，重点满足劳动年龄内重度肢体、智力和多重残疾人以及各类残疾老年人集中照护服务需求。探索“老年父母+残疾子女”共同入住养老机构或残疾人服务机构的照护服务模式。加强残疾人托养服务机构监管与人才培养，推动托养服务标准化、规范化、专业化发展。</w:t>
      </w:r>
    </w:p>
    <w:p w14:paraId="63B7C995">
      <w:pPr>
        <w:pStyle w:val="4"/>
        <w:spacing w:before="0" w:after="0" w:line="560" w:lineRule="exact"/>
        <w:ind w:firstLine="640" w:firstLineChars="200"/>
        <w:rPr>
          <w:rFonts w:ascii="Times New Roman" w:hAnsi="Times New Roman" w:eastAsia="仿宋_GB2312" w:cs="Times New Roman"/>
          <w:color w:val="auto"/>
        </w:rPr>
      </w:pPr>
      <w:bookmarkStart w:id="78" w:name="_Toc230085869"/>
      <w:bookmarkStart w:id="79" w:name="_Toc14906"/>
      <w:bookmarkStart w:id="80" w:name="_Toc6041"/>
      <w:r>
        <w:rPr>
          <w:rFonts w:ascii="Times New Roman" w:hAnsi="Times New Roman" w:eastAsia="仿宋_GB2312" w:cs="Times New Roman"/>
          <w:color w:val="auto"/>
        </w:rPr>
        <w:t>5.</w:t>
      </w:r>
      <w:r>
        <w:rPr>
          <w:rFonts w:hint="eastAsia" w:ascii="Times New Roman" w:hAnsi="Times New Roman" w:eastAsia="仿宋_GB2312" w:cs="Times New Roman"/>
          <w:color w:val="auto"/>
        </w:rPr>
        <w:t>丰富残疾人精神文化体育生活</w:t>
      </w:r>
      <w:bookmarkEnd w:id="78"/>
      <w:bookmarkEnd w:id="79"/>
      <w:bookmarkEnd w:id="80"/>
    </w:p>
    <w:p w14:paraId="533A37FE">
      <w:pPr>
        <w:spacing w:line="560" w:lineRule="exact"/>
        <w:ind w:firstLine="640" w:firstLineChars="200"/>
        <w:rPr>
          <w:rFonts w:ascii="Times New Roman" w:hAnsi="Times New Roman" w:eastAsia="仿宋_GB2312" w:cs="Times New Roman"/>
          <w:sz w:val="32"/>
          <w:szCs w:val="32"/>
        </w:rPr>
      </w:pPr>
      <w:bookmarkStart w:id="81" w:name="OLE_LINK41"/>
      <w:bookmarkStart w:id="82" w:name="OLE_LINK49"/>
      <w:r>
        <w:rPr>
          <w:rFonts w:hint="eastAsia" w:ascii="Times New Roman" w:hAnsi="Times New Roman" w:eastAsia="仿宋_GB2312" w:cs="Times New Roman"/>
          <w:sz w:val="32"/>
          <w:szCs w:val="40"/>
        </w:rPr>
        <w:t>完善</w:t>
      </w:r>
      <w:r>
        <w:rPr>
          <w:rFonts w:ascii="Times New Roman" w:hAnsi="Times New Roman" w:eastAsia="仿宋_GB2312" w:cs="Times New Roman"/>
          <w:sz w:val="32"/>
          <w:szCs w:val="40"/>
        </w:rPr>
        <w:t>公共文化服务体系，推动图书馆、科技馆、文化馆、博物馆等各类场所</w:t>
      </w:r>
      <w:r>
        <w:rPr>
          <w:rFonts w:hint="eastAsia" w:ascii="Times New Roman" w:hAnsi="Times New Roman" w:eastAsia="仿宋_GB2312" w:cs="Times New Roman"/>
          <w:sz w:val="32"/>
          <w:szCs w:val="40"/>
        </w:rPr>
        <w:t>落实</w:t>
      </w:r>
      <w:r>
        <w:rPr>
          <w:rFonts w:ascii="Times New Roman" w:hAnsi="Times New Roman" w:eastAsia="仿宋_GB2312" w:cs="Times New Roman"/>
          <w:sz w:val="32"/>
          <w:szCs w:val="40"/>
        </w:rPr>
        <w:t>无障碍环境建设</w:t>
      </w:r>
      <w:r>
        <w:rPr>
          <w:rFonts w:hint="eastAsia" w:ascii="Times New Roman" w:hAnsi="Times New Roman" w:eastAsia="仿宋_GB2312" w:cs="Times New Roman"/>
          <w:sz w:val="32"/>
          <w:szCs w:val="40"/>
        </w:rPr>
        <w:t>标准</w:t>
      </w:r>
      <w:bookmarkEnd w:id="81"/>
      <w:r>
        <w:rPr>
          <w:rFonts w:hint="eastAsia" w:ascii="Times New Roman" w:hAnsi="Times New Roman" w:eastAsia="仿宋_GB2312" w:cs="Times New Roman"/>
          <w:sz w:val="32"/>
          <w:szCs w:val="40"/>
        </w:rPr>
        <w:t>。将无障碍环境建设纳入全龄友好公园创建和维护工作，</w:t>
      </w:r>
      <w:r>
        <w:rPr>
          <w:rFonts w:ascii="Times New Roman" w:hAnsi="Times New Roman" w:eastAsia="仿宋_GB2312" w:cs="Times New Roman"/>
          <w:sz w:val="32"/>
          <w:szCs w:val="40"/>
        </w:rPr>
        <w:t>立足</w:t>
      </w:r>
      <w:r>
        <w:rPr>
          <w:rFonts w:hint="eastAsia" w:ascii="Times New Roman" w:hAnsi="Times New Roman" w:eastAsia="仿宋_GB2312" w:cs="Times New Roman"/>
          <w:sz w:val="32"/>
          <w:szCs w:val="40"/>
        </w:rPr>
        <w:t>昌平区</w:t>
      </w:r>
      <w:r>
        <w:rPr>
          <w:rFonts w:ascii="Times New Roman" w:hAnsi="Times New Roman" w:eastAsia="仿宋_GB2312" w:cs="Times New Roman"/>
          <w:sz w:val="32"/>
          <w:szCs w:val="40"/>
        </w:rPr>
        <w:t>文化旅游资源，</w:t>
      </w:r>
      <w:bookmarkEnd w:id="82"/>
      <w:r>
        <w:rPr>
          <w:rFonts w:hint="eastAsia" w:ascii="Times New Roman" w:hAnsi="Times New Roman" w:eastAsia="仿宋_GB2312" w:cs="Times New Roman"/>
          <w:sz w:val="32"/>
          <w:szCs w:val="40"/>
        </w:rPr>
        <w:t>推动无障碍旅游发展。</w:t>
      </w:r>
      <w:bookmarkStart w:id="83" w:name="OLE_LINK42"/>
      <w:r>
        <w:rPr>
          <w:rFonts w:ascii="Times New Roman" w:hAnsi="Times New Roman" w:eastAsia="仿宋_GB2312" w:cs="Times New Roman"/>
          <w:sz w:val="32"/>
          <w:szCs w:val="32"/>
        </w:rPr>
        <w:t>借助基层公益演出、文艺下乡惠民</w:t>
      </w:r>
      <w:r>
        <w:rPr>
          <w:rFonts w:hint="eastAsia" w:ascii="Times New Roman" w:hAnsi="Times New Roman" w:eastAsia="仿宋_GB2312" w:cs="Times New Roman"/>
          <w:sz w:val="32"/>
          <w:szCs w:val="32"/>
        </w:rPr>
        <w:t>等</w:t>
      </w:r>
      <w:r>
        <w:rPr>
          <w:rFonts w:ascii="Times New Roman" w:hAnsi="Times New Roman" w:eastAsia="仿宋_GB2312" w:cs="Times New Roman"/>
          <w:sz w:val="32"/>
          <w:szCs w:val="32"/>
        </w:rPr>
        <w:t>活动，</w:t>
      </w:r>
      <w:r>
        <w:rPr>
          <w:rFonts w:hint="eastAsia" w:ascii="Times New Roman" w:hAnsi="Times New Roman" w:eastAsia="仿宋_GB2312" w:cs="Times New Roman"/>
          <w:sz w:val="32"/>
          <w:szCs w:val="32"/>
        </w:rPr>
        <w:t>拓展残疾人特色文化活动服务内容和覆盖范围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开展就近便利的文化活动</w:t>
      </w:r>
      <w:bookmarkEnd w:id="83"/>
      <w:r>
        <w:rPr>
          <w:rFonts w:hint="eastAsia" w:ascii="Times New Roman" w:hAnsi="Times New Roman" w:eastAsia="仿宋_GB2312" w:cs="Times New Roman"/>
          <w:sz w:val="32"/>
          <w:szCs w:val="32"/>
        </w:rPr>
        <w:t>。持续推广盲人数字阅读，支持各级公共图书馆增加盲文图书和视听文献。</w:t>
      </w:r>
      <w:bookmarkStart w:id="84" w:name="OLE_LINK46"/>
      <w:r>
        <w:rPr>
          <w:rFonts w:hint="eastAsia" w:ascii="Times New Roman" w:hAnsi="Times New Roman" w:eastAsia="仿宋_GB2312" w:cs="Times New Roman"/>
          <w:sz w:val="32"/>
          <w:szCs w:val="32"/>
        </w:rPr>
        <w:t>引导有条件的区域开展艺术工作者、公共文化机构与残疾人、残疾艺术团、残疾人服务机构等“结对子”</w:t>
      </w:r>
      <w:bookmarkEnd w:id="84"/>
      <w:r>
        <w:rPr>
          <w:rFonts w:hint="eastAsia" w:ascii="Times New Roman" w:hAnsi="Times New Roman" w:eastAsia="仿宋_GB2312" w:cs="Times New Roman"/>
          <w:sz w:val="32"/>
          <w:szCs w:val="32"/>
        </w:rPr>
        <w:t>。积极参与全市残疾人艺术汇演、社区残疾人艺术汇演、残疾人文化周以及国家级相关赛事等活动，推动残疾人文化艺术发展。推动残疾人体育工作纳入全民健身公共服务体系，做好场地设施、器材配备、志愿服务和无障碍环境建设等支持保障。</w:t>
      </w:r>
    </w:p>
    <w:p w14:paraId="07BC1252">
      <w:pPr>
        <w:pStyle w:val="3"/>
        <w:spacing w:before="20" w:after="20" w:line="560" w:lineRule="exact"/>
        <w:ind w:firstLine="640" w:firstLineChars="200"/>
        <w:rPr>
          <w:rFonts w:ascii="Times New Roman" w:hAnsi="Times New Roman" w:eastAsia="楷体_GB2312" w:cs="Times New Roman"/>
          <w:color w:val="auto"/>
          <w:sz w:val="32"/>
          <w:szCs w:val="32"/>
        </w:rPr>
      </w:pPr>
      <w:bookmarkStart w:id="85" w:name="_Toc230085871"/>
      <w:bookmarkStart w:id="86" w:name="_Toc29962"/>
      <w:bookmarkStart w:id="87" w:name="_Toc12064"/>
      <w:r>
        <w:rPr>
          <w:rFonts w:hint="eastAsia" w:ascii="Times New Roman" w:hAnsi="Times New Roman" w:eastAsia="楷体_GB2312" w:cs="Times New Roman"/>
          <w:color w:val="auto"/>
          <w:sz w:val="32"/>
          <w:szCs w:val="32"/>
        </w:rPr>
        <w:t>（四）高协同强化残疾人事业发展支撑要素</w:t>
      </w:r>
      <w:bookmarkEnd w:id="85"/>
      <w:bookmarkEnd w:id="86"/>
      <w:bookmarkEnd w:id="87"/>
    </w:p>
    <w:p w14:paraId="54E363F2">
      <w:pPr>
        <w:pStyle w:val="4"/>
        <w:spacing w:before="0" w:after="0" w:line="560" w:lineRule="exact"/>
        <w:ind w:firstLine="640" w:firstLineChars="200"/>
        <w:rPr>
          <w:rFonts w:ascii="Times New Roman" w:hAnsi="Times New Roman" w:eastAsia="仿宋_GB2312" w:cs="Times New Roman"/>
          <w:color w:val="auto"/>
        </w:rPr>
      </w:pPr>
      <w:bookmarkStart w:id="88" w:name="_Toc25470"/>
      <w:r>
        <w:rPr>
          <w:rFonts w:hint="eastAsia" w:ascii="Times New Roman" w:hAnsi="Times New Roman" w:eastAsia="仿宋_GB2312" w:cs="Times New Roman"/>
          <w:color w:val="auto"/>
        </w:rPr>
        <w:t>1.发挥残疾人组织桥梁纽带作用</w:t>
      </w:r>
      <w:bookmarkEnd w:id="88"/>
    </w:p>
    <w:p w14:paraId="38AF975B">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紧扣政治性、先进性、群众性要求，深化残联改革与服务创新。</w:t>
      </w:r>
      <w:bookmarkStart w:id="89" w:name="OLE_LINK11"/>
      <w:r>
        <w:rPr>
          <w:rFonts w:ascii="Times New Roman" w:hAnsi="Times New Roman" w:eastAsia="仿宋_GB2312" w:cs="Times New Roman"/>
          <w:sz w:val="32"/>
          <w:szCs w:val="32"/>
        </w:rPr>
        <w:t>健全残联干部联系帮扶困难残疾人制度，强化队伍建设与培训全覆盖，</w:t>
      </w:r>
      <w:r>
        <w:rPr>
          <w:rFonts w:hint="eastAsia" w:ascii="Times New Roman" w:hAnsi="Times New Roman" w:eastAsia="仿宋_GB2312" w:cs="Times New Roman"/>
          <w:sz w:val="32"/>
          <w:szCs w:val="32"/>
        </w:rPr>
        <w:t>建强实干、贴心</w:t>
      </w:r>
      <w:r>
        <w:rPr>
          <w:rFonts w:ascii="Times New Roman" w:hAnsi="Times New Roman" w:eastAsia="仿宋_GB2312" w:cs="Times New Roman"/>
          <w:sz w:val="32"/>
          <w:szCs w:val="32"/>
        </w:rPr>
        <w:t>的基层</w:t>
      </w:r>
      <w:r>
        <w:rPr>
          <w:rFonts w:hint="eastAsia" w:ascii="Times New Roman" w:hAnsi="Times New Roman" w:eastAsia="仿宋_GB2312" w:cs="Times New Roman"/>
          <w:sz w:val="32"/>
          <w:szCs w:val="32"/>
        </w:rPr>
        <w:t>残联</w:t>
      </w:r>
      <w:r>
        <w:rPr>
          <w:rFonts w:ascii="Times New Roman" w:hAnsi="Times New Roman" w:eastAsia="仿宋_GB2312" w:cs="Times New Roman"/>
          <w:sz w:val="32"/>
          <w:szCs w:val="32"/>
        </w:rPr>
        <w:t>队伍</w:t>
      </w:r>
      <w:r>
        <w:rPr>
          <w:rFonts w:hint="eastAsia" w:ascii="Times New Roman" w:hAnsi="Times New Roman" w:eastAsia="仿宋_GB2312" w:cs="Times New Roman"/>
          <w:sz w:val="32"/>
          <w:szCs w:val="32"/>
        </w:rPr>
        <w:t>。</w:t>
      </w:r>
      <w:bookmarkEnd w:id="89"/>
      <w:r>
        <w:rPr>
          <w:rFonts w:hint="eastAsia" w:ascii="Times New Roman" w:hAnsi="Times New Roman" w:eastAsia="仿宋_GB2312" w:cs="Times New Roman"/>
          <w:sz w:val="32"/>
          <w:szCs w:val="32"/>
        </w:rPr>
        <w:t>积极宣传贯彻市残联第九次代表大会精神，召开区残联第六次代表大会。</w:t>
      </w:r>
      <w:bookmarkStart w:id="90" w:name="OLE_LINK47"/>
      <w:bookmarkStart w:id="91" w:name="OLE_LINK23"/>
      <w:r>
        <w:rPr>
          <w:rFonts w:ascii="Times New Roman" w:hAnsi="Times New Roman" w:eastAsia="仿宋_GB2312" w:cs="Times New Roman"/>
          <w:sz w:val="32"/>
          <w:szCs w:val="32"/>
        </w:rPr>
        <w:t>加强区</w:t>
      </w:r>
      <w:r>
        <w:rPr>
          <w:rFonts w:hint="eastAsia" w:ascii="Times New Roman" w:hAnsi="Times New Roman" w:eastAsia="仿宋_GB2312" w:cs="Times New Roman"/>
          <w:sz w:val="32"/>
          <w:szCs w:val="32"/>
          <w:lang w:val="en-US" w:eastAsia="zh-CN"/>
        </w:rPr>
        <w:t>级</w:t>
      </w:r>
      <w:r>
        <w:rPr>
          <w:rFonts w:ascii="Times New Roman" w:hAnsi="Times New Roman" w:eastAsia="仿宋_GB2312" w:cs="Times New Roman"/>
          <w:sz w:val="32"/>
          <w:szCs w:val="32"/>
        </w:rPr>
        <w:t>残联</w:t>
      </w:r>
      <w:r>
        <w:rPr>
          <w:rFonts w:hint="eastAsia" w:ascii="Times New Roman" w:hAnsi="Times New Roman" w:eastAsia="仿宋_GB2312" w:cs="Times New Roman"/>
          <w:sz w:val="32"/>
          <w:szCs w:val="32"/>
          <w:lang w:val="en-US" w:eastAsia="zh-CN"/>
        </w:rPr>
        <w:t>组织</w:t>
      </w:r>
      <w:r>
        <w:rPr>
          <w:rFonts w:ascii="Times New Roman" w:hAnsi="Times New Roman" w:eastAsia="仿宋_GB2312" w:cs="Times New Roman"/>
          <w:sz w:val="32"/>
          <w:szCs w:val="32"/>
        </w:rPr>
        <w:t>建设，</w:t>
      </w:r>
      <w:r>
        <w:rPr>
          <w:rFonts w:hint="eastAsia" w:ascii="Times New Roman" w:hAnsi="Times New Roman" w:eastAsia="仿宋_GB2312" w:cs="Times New Roman"/>
          <w:sz w:val="32"/>
          <w:szCs w:val="32"/>
        </w:rPr>
        <w:t>选优</w:t>
      </w:r>
      <w:r>
        <w:rPr>
          <w:rFonts w:ascii="Times New Roman" w:hAnsi="Times New Roman" w:eastAsia="仿宋_GB2312" w:cs="Times New Roman"/>
          <w:sz w:val="32"/>
          <w:szCs w:val="32"/>
        </w:rPr>
        <w:t>配强镇（街</w:t>
      </w:r>
      <w:r>
        <w:rPr>
          <w:rFonts w:hint="eastAsia" w:ascii="Times New Roman" w:hAnsi="Times New Roman" w:eastAsia="仿宋_GB2312" w:cs="Times New Roman"/>
          <w:sz w:val="32"/>
          <w:szCs w:val="32"/>
        </w:rPr>
        <w:t>道）专职社工，并</w:t>
      </w:r>
      <w:r>
        <w:rPr>
          <w:rFonts w:ascii="Times New Roman" w:hAnsi="Times New Roman" w:eastAsia="仿宋_GB2312" w:cs="Times New Roman"/>
          <w:sz w:val="32"/>
          <w:szCs w:val="32"/>
        </w:rPr>
        <w:t>根据需要合理配置村（社区）残疾人工作专职委员，强化培训与管理，提升服务能力与水平</w:t>
      </w:r>
      <w:bookmarkEnd w:id="90"/>
      <w:r>
        <w:rPr>
          <w:rFonts w:ascii="Times New Roman" w:hAnsi="Times New Roman" w:eastAsia="仿宋_GB2312" w:cs="Times New Roman"/>
          <w:sz w:val="32"/>
          <w:szCs w:val="32"/>
        </w:rPr>
        <w:t>。</w:t>
      </w:r>
      <w:bookmarkEnd w:id="91"/>
      <w:bookmarkStart w:id="92" w:name="OLE_LINK26"/>
      <w:r>
        <w:rPr>
          <w:rFonts w:ascii="Times New Roman" w:hAnsi="Times New Roman" w:eastAsia="仿宋_GB2312" w:cs="Times New Roman"/>
          <w:sz w:val="32"/>
          <w:szCs w:val="32"/>
        </w:rPr>
        <w:t>抓实残疾人专门协会规范化建设，提升服务质效</w:t>
      </w:r>
      <w:r>
        <w:rPr>
          <w:rFonts w:hint="eastAsia" w:ascii="Times New Roman" w:hAnsi="Times New Roman" w:eastAsia="仿宋_GB2312" w:cs="Times New Roman"/>
          <w:sz w:val="32"/>
          <w:szCs w:val="32"/>
        </w:rPr>
        <w:t>，有效</w:t>
      </w:r>
      <w:r>
        <w:rPr>
          <w:rFonts w:ascii="Times New Roman" w:hAnsi="Times New Roman" w:eastAsia="仿宋_GB2312" w:cs="Times New Roman"/>
          <w:sz w:val="32"/>
          <w:szCs w:val="32"/>
        </w:rPr>
        <w:t>落实经费、场地、人员等保障。</w:t>
      </w:r>
      <w:bookmarkEnd w:id="92"/>
      <w:r>
        <w:rPr>
          <w:rFonts w:hint="eastAsia" w:ascii="Times New Roman" w:hAnsi="Times New Roman" w:eastAsia="仿宋_GB2312" w:cs="Times New Roman"/>
          <w:sz w:val="32"/>
          <w:szCs w:val="32"/>
        </w:rPr>
        <w:t>严格残疾人证核发管理，优化“上门办”“集中办”“就近办”等便利服务。推进残疾人证电子证照普及应用，提升数字认证服务能力。开展北京市第三次全国残疾人抽样调查工作。</w:t>
      </w:r>
    </w:p>
    <w:p w14:paraId="54E6202C">
      <w:pPr>
        <w:pStyle w:val="4"/>
        <w:spacing w:before="0" w:after="0" w:line="560" w:lineRule="exact"/>
        <w:ind w:firstLine="640" w:firstLineChars="200"/>
        <w:rPr>
          <w:rFonts w:ascii="Times New Roman" w:hAnsi="Times New Roman" w:eastAsia="仿宋_GB2312" w:cs="Times New Roman"/>
          <w:color w:val="auto"/>
        </w:rPr>
      </w:pPr>
      <w:bookmarkStart w:id="93" w:name="_Toc230085873"/>
      <w:bookmarkStart w:id="94" w:name="_Toc4713"/>
      <w:bookmarkStart w:id="95" w:name="_Toc27308"/>
      <w:r>
        <w:rPr>
          <w:rFonts w:hint="eastAsia" w:ascii="Times New Roman" w:hAnsi="Times New Roman" w:eastAsia="仿宋_GB2312" w:cs="Times New Roman"/>
          <w:color w:val="auto"/>
        </w:rPr>
        <w:t>2.增强基层残疾人服务能力</w:t>
      </w:r>
      <w:bookmarkEnd w:id="93"/>
      <w:bookmarkEnd w:id="94"/>
      <w:bookmarkEnd w:id="95"/>
    </w:p>
    <w:p w14:paraId="1F7F9FB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40"/>
        </w:rPr>
        <w:t>以党建带群建、以群建促社建，</w:t>
      </w:r>
      <w:r>
        <w:rPr>
          <w:rFonts w:hint="eastAsia" w:ascii="Times New Roman" w:hAnsi="Times New Roman" w:eastAsia="仿宋_GB2312" w:cs="Times New Roman"/>
          <w:sz w:val="32"/>
          <w:szCs w:val="40"/>
        </w:rPr>
        <w:t>引导</w:t>
      </w:r>
      <w:r>
        <w:rPr>
          <w:rFonts w:ascii="Times New Roman" w:hAnsi="Times New Roman" w:eastAsia="仿宋_GB2312" w:cs="Times New Roman"/>
          <w:sz w:val="32"/>
          <w:szCs w:val="40"/>
        </w:rPr>
        <w:t>党员在助残一线发挥先锋模范作用，凝聚多方资源力量关爱残疾人。</w:t>
      </w:r>
      <w:r>
        <w:rPr>
          <w:rFonts w:hint="eastAsia" w:ascii="Times New Roman" w:hAnsi="Times New Roman" w:eastAsia="仿宋_GB2312" w:cs="Times New Roman"/>
          <w:sz w:val="32"/>
          <w:szCs w:val="40"/>
        </w:rPr>
        <w:t>推动残疾人服务融入各级党群服务中心服务范围，促进助残服务纳入城乡社区嵌入式服务设施功能。</w:t>
      </w:r>
      <w:r>
        <w:rPr>
          <w:rFonts w:hint="eastAsia" w:ascii="Times New Roman" w:hAnsi="Times New Roman" w:eastAsia="仿宋_GB2312" w:cs="Times New Roman"/>
          <w:sz w:val="32"/>
          <w:szCs w:val="32"/>
        </w:rPr>
        <w:t>聚焦残疾人群体，以一户多残、以老养残、孤残、重度残疾等为重点，开展村（社区）邻里互助、安全提示、精神关爱等个性化帮扶服务。鼓励将公建和社区配建残疾人服务设施无偿或低价择优提供给普惠性、非营利性残疾人服务机构使用。</w:t>
      </w:r>
      <w:bookmarkStart w:id="96" w:name="OLE_LINK52"/>
      <w:bookmarkStart w:id="97" w:name="OLE_LINK55"/>
      <w:r>
        <w:rPr>
          <w:rFonts w:ascii="Times New Roman" w:hAnsi="Times New Roman" w:eastAsia="仿宋_GB2312" w:cs="Times New Roman"/>
          <w:sz w:val="32"/>
          <w:szCs w:val="40"/>
        </w:rPr>
        <w:t>扎实落实温馨家园抓规范、促提升行动，</w:t>
      </w:r>
      <w:r>
        <w:rPr>
          <w:rFonts w:hint="eastAsia" w:ascii="Times New Roman" w:hAnsi="Times New Roman" w:eastAsia="仿宋_GB2312" w:cs="Times New Roman"/>
          <w:sz w:val="32"/>
          <w:szCs w:val="40"/>
        </w:rPr>
        <w:t>依托</w:t>
      </w:r>
      <w:r>
        <w:rPr>
          <w:rFonts w:ascii="Times New Roman" w:hAnsi="Times New Roman" w:eastAsia="仿宋_GB2312" w:cs="Times New Roman"/>
          <w:sz w:val="32"/>
          <w:szCs w:val="40"/>
        </w:rPr>
        <w:t>智能化管理平台，提升服务规范化、智能化</w:t>
      </w:r>
      <w:r>
        <w:rPr>
          <w:rFonts w:hint="eastAsia" w:ascii="Times New Roman" w:hAnsi="Times New Roman" w:eastAsia="仿宋_GB2312" w:cs="Times New Roman"/>
          <w:sz w:val="32"/>
          <w:szCs w:val="40"/>
        </w:rPr>
        <w:t>建设</w:t>
      </w:r>
      <w:r>
        <w:rPr>
          <w:rFonts w:ascii="Times New Roman" w:hAnsi="Times New Roman" w:eastAsia="仿宋_GB2312" w:cs="Times New Roman"/>
          <w:sz w:val="32"/>
          <w:szCs w:val="40"/>
        </w:rPr>
        <w:t>水平</w:t>
      </w:r>
      <w:r>
        <w:rPr>
          <w:rFonts w:hint="eastAsia" w:ascii="Times New Roman" w:hAnsi="Times New Roman" w:eastAsia="仿宋_GB2312" w:cs="Times New Roman"/>
          <w:sz w:val="32"/>
          <w:szCs w:val="40"/>
        </w:rPr>
        <w:t>。持续开展星级评估，推动温馨家园以评促建、提质增效。</w:t>
      </w:r>
      <w:bookmarkEnd w:id="96"/>
      <w:bookmarkEnd w:id="97"/>
      <w:r>
        <w:rPr>
          <w:rFonts w:hint="eastAsia" w:ascii="Times New Roman" w:hAnsi="Times New Roman" w:eastAsia="仿宋_GB2312" w:cs="Times New Roman"/>
          <w:sz w:val="32"/>
          <w:szCs w:val="32"/>
        </w:rPr>
        <w:t>加大志愿服务技能培训力度，提升助残志愿服务规范化、专业化水平。</w:t>
      </w:r>
    </w:p>
    <w:p w14:paraId="0B5B5E7B">
      <w:pPr>
        <w:pStyle w:val="4"/>
        <w:spacing w:before="0" w:after="0" w:line="560" w:lineRule="exact"/>
        <w:ind w:firstLine="640" w:firstLineChars="200"/>
        <w:rPr>
          <w:rFonts w:ascii="Times New Roman" w:hAnsi="Times New Roman" w:eastAsia="仿宋_GB2312" w:cs="Times New Roman"/>
          <w:color w:val="auto"/>
        </w:rPr>
      </w:pPr>
      <w:bookmarkStart w:id="98" w:name="_Toc781"/>
      <w:bookmarkStart w:id="99" w:name="_Toc4085"/>
      <w:bookmarkStart w:id="100" w:name="_Toc230085875"/>
      <w:r>
        <w:rPr>
          <w:rFonts w:hint="eastAsia" w:ascii="Times New Roman" w:hAnsi="Times New Roman" w:eastAsia="仿宋_GB2312" w:cs="Times New Roman"/>
          <w:color w:val="auto"/>
        </w:rPr>
        <w:t>3.强化科技赋能</w:t>
      </w:r>
      <w:bookmarkEnd w:id="98"/>
      <w:bookmarkEnd w:id="99"/>
      <w:bookmarkEnd w:id="100"/>
    </w:p>
    <w:p w14:paraId="1771978B">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立足昌平区高校云集、科创产业集聚的区位特点，积极推动科技与残疾人事业深度融合。整合辖区内高校科研资源、企业技术力量以及社会组织服务资源，依托残疾人日常生活和服务场所，拓展科技助残应用场景，助力残疾人平等融入社会生活、共享科技发展成果。培养残疾人体验官，参与产品测试与评价，以残疾人视角反馈使用体验，推动科技产品更贴合实际需求。</w:t>
      </w:r>
    </w:p>
    <w:p w14:paraId="422841E6">
      <w:pPr>
        <w:pStyle w:val="4"/>
        <w:spacing w:before="0" w:after="0" w:line="560" w:lineRule="exact"/>
        <w:ind w:firstLine="640" w:firstLineChars="200"/>
        <w:rPr>
          <w:rFonts w:ascii="Times New Roman" w:hAnsi="Times New Roman" w:eastAsia="仿宋_GB2312" w:cs="Times New Roman"/>
          <w:color w:val="auto"/>
        </w:rPr>
      </w:pPr>
      <w:bookmarkStart w:id="101" w:name="_Toc6227"/>
      <w:r>
        <w:rPr>
          <w:rFonts w:hint="eastAsia" w:ascii="Times New Roman" w:hAnsi="Times New Roman" w:eastAsia="仿宋_GB2312" w:cs="Times New Roman"/>
          <w:color w:val="auto"/>
        </w:rPr>
        <w:t>4.坚守安全发展底线</w:t>
      </w:r>
      <w:bookmarkEnd w:id="101"/>
    </w:p>
    <w:p w14:paraId="02AB701F">
      <w:pPr>
        <w:spacing w:line="560" w:lineRule="exact"/>
        <w:ind w:firstLine="640" w:firstLineChars="200"/>
        <w:rPr>
          <w:rFonts w:ascii="Times New Roman" w:hAnsi="Times New Roman" w:eastAsia="仿宋_GB2312" w:cs="Times New Roman"/>
          <w:sz w:val="32"/>
          <w:szCs w:val="40"/>
        </w:rPr>
      </w:pPr>
      <w:r>
        <w:rPr>
          <w:rFonts w:hint="eastAsia" w:ascii="Times New Roman" w:hAnsi="Times New Roman" w:eastAsia="仿宋_GB2312" w:cs="Times New Roman"/>
          <w:sz w:val="32"/>
          <w:szCs w:val="32"/>
        </w:rPr>
        <w:t>牢固树立安全发展理念，主动防范化解残疾人工作领域意识形态风险，强化各级残联政治安全、国家安全、网络安全、数据安全、安全生产、保密安全等重大风险日常防范措施。按照“三管三必须”原则，压紧压实安全生产责任，健全残疾人服务机构（场所）安全工作机制，抓实“防火、防汛、防不稳”，确保残疾人事业安全稳定发展。</w:t>
      </w:r>
    </w:p>
    <w:p w14:paraId="685B4FB0">
      <w:pPr>
        <w:pStyle w:val="3"/>
        <w:spacing w:before="20" w:after="20" w:line="560" w:lineRule="exact"/>
        <w:ind w:firstLine="640" w:firstLineChars="200"/>
        <w:rPr>
          <w:rFonts w:ascii="Times New Roman" w:hAnsi="Times New Roman" w:eastAsia="楷体_GB2312" w:cs="Times New Roman"/>
          <w:color w:val="auto"/>
          <w:sz w:val="32"/>
          <w:szCs w:val="32"/>
        </w:rPr>
      </w:pPr>
      <w:bookmarkStart w:id="102" w:name="_Toc230085876"/>
      <w:bookmarkStart w:id="103" w:name="_Toc5148"/>
      <w:bookmarkStart w:id="104" w:name="_Toc23678"/>
      <w:r>
        <w:rPr>
          <w:rFonts w:hint="eastAsia" w:ascii="Times New Roman" w:hAnsi="Times New Roman" w:eastAsia="楷体_GB2312" w:cs="Times New Roman"/>
          <w:color w:val="auto"/>
          <w:sz w:val="32"/>
          <w:szCs w:val="32"/>
        </w:rPr>
        <w:t>（五）高标准创造更加友好平等的社会环境</w:t>
      </w:r>
      <w:bookmarkEnd w:id="102"/>
      <w:bookmarkEnd w:id="103"/>
      <w:bookmarkEnd w:id="104"/>
    </w:p>
    <w:p w14:paraId="7EBAAD46">
      <w:pPr>
        <w:pStyle w:val="4"/>
        <w:spacing w:before="0" w:after="0" w:line="560" w:lineRule="exact"/>
        <w:ind w:firstLine="640" w:firstLineChars="200"/>
        <w:rPr>
          <w:rFonts w:ascii="Times New Roman" w:hAnsi="Times New Roman" w:eastAsia="仿宋_GB2312" w:cs="Times New Roman"/>
          <w:color w:val="auto"/>
        </w:rPr>
      </w:pPr>
      <w:bookmarkStart w:id="105" w:name="_Toc22841"/>
      <w:bookmarkStart w:id="106" w:name="_Toc26202"/>
      <w:bookmarkStart w:id="107" w:name="_Toc230085877"/>
      <w:r>
        <w:rPr>
          <w:rFonts w:hint="eastAsia" w:ascii="Times New Roman" w:hAnsi="Times New Roman" w:eastAsia="仿宋_GB2312" w:cs="Times New Roman"/>
          <w:color w:val="auto"/>
        </w:rPr>
        <w:t>1.加强残疾人法律服务和权益保障</w:t>
      </w:r>
      <w:bookmarkEnd w:id="105"/>
      <w:bookmarkEnd w:id="106"/>
      <w:bookmarkEnd w:id="107"/>
    </w:p>
    <w:p w14:paraId="540F7639">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将残疾人权益相关法律法规宣传教育纳入“九五”普法工作内容。持续开展“庭院式”法律服务、“微释法”等残疾人法治宣传教育活动。</w:t>
      </w:r>
      <w:bookmarkStart w:id="108" w:name="OLE_LINK48"/>
      <w:r>
        <w:rPr>
          <w:rFonts w:hint="eastAsia" w:ascii="Times New Roman" w:hAnsi="Times New Roman" w:eastAsia="仿宋_GB2312" w:cs="Times New Roman"/>
          <w:sz w:val="32"/>
          <w:szCs w:val="32"/>
        </w:rPr>
        <w:t>完善残疾人司法保护协作机制</w:t>
      </w:r>
      <w:bookmarkEnd w:id="108"/>
      <w:r>
        <w:rPr>
          <w:rFonts w:hint="eastAsia" w:ascii="Times New Roman" w:hAnsi="Times New Roman" w:eastAsia="仿宋_GB2312" w:cs="Times New Roman"/>
          <w:sz w:val="32"/>
          <w:szCs w:val="32"/>
        </w:rPr>
        <w:t>。依法依规为残疾人提供法律援助，简化申请程序，开辟绿色通道。落实“接诉即办”，提高解决率和满意度。</w:t>
      </w:r>
      <w:bookmarkStart w:id="109" w:name="OLE_LINK43"/>
      <w:r>
        <w:rPr>
          <w:rFonts w:hint="eastAsia" w:ascii="Times New Roman" w:hAnsi="Times New Roman" w:eastAsia="仿宋_GB2312" w:cs="Times New Roman"/>
          <w:sz w:val="32"/>
          <w:szCs w:val="32"/>
        </w:rPr>
        <w:t>加强信访接待及矛盾排查调处，妥善解决合理诉求。</w:t>
      </w:r>
      <w:bookmarkEnd w:id="109"/>
      <w:r>
        <w:rPr>
          <w:rFonts w:hint="eastAsia" w:ascii="Times New Roman" w:hAnsi="Times New Roman" w:eastAsia="仿宋_GB2312" w:cs="Times New Roman"/>
          <w:sz w:val="32"/>
          <w:szCs w:val="32"/>
        </w:rPr>
        <w:t>推进残疾人权益保障检察公益诉讼。</w:t>
      </w:r>
    </w:p>
    <w:p w14:paraId="58977100">
      <w:pPr>
        <w:pStyle w:val="4"/>
        <w:spacing w:before="0" w:after="0" w:line="560" w:lineRule="exact"/>
        <w:ind w:firstLine="640" w:firstLineChars="200"/>
        <w:rPr>
          <w:rFonts w:ascii="Times New Roman" w:hAnsi="Times New Roman" w:eastAsia="仿宋_GB2312" w:cs="Times New Roman"/>
          <w:color w:val="auto"/>
        </w:rPr>
      </w:pPr>
      <w:bookmarkStart w:id="110" w:name="_Toc230085878"/>
      <w:bookmarkStart w:id="111" w:name="_Toc15130"/>
      <w:bookmarkStart w:id="112" w:name="_Toc4603"/>
      <w:r>
        <w:rPr>
          <w:rFonts w:ascii="Times New Roman" w:hAnsi="Times New Roman" w:eastAsia="仿宋_GB2312" w:cs="Times New Roman"/>
          <w:color w:val="auto"/>
        </w:rPr>
        <w:t>2.</w:t>
      </w:r>
      <w:bookmarkStart w:id="113" w:name="OLE_LINK20"/>
      <w:r>
        <w:rPr>
          <w:rFonts w:hint="eastAsia" w:ascii="Times New Roman" w:hAnsi="Times New Roman" w:eastAsia="仿宋_GB2312" w:cs="Times New Roman"/>
          <w:color w:val="auto"/>
        </w:rPr>
        <w:t>深化无障碍环境建设</w:t>
      </w:r>
      <w:bookmarkEnd w:id="110"/>
      <w:bookmarkEnd w:id="111"/>
      <w:bookmarkEnd w:id="112"/>
      <w:bookmarkEnd w:id="113"/>
    </w:p>
    <w:p w14:paraId="7E6DFC1B">
      <w:pPr>
        <w:spacing w:line="560" w:lineRule="exact"/>
        <w:ind w:firstLine="640" w:firstLineChars="200"/>
        <w:rPr>
          <w:rFonts w:ascii="Times New Roman" w:hAnsi="Times New Roman" w:eastAsia="仿宋_GB2312" w:cs="Times New Roman"/>
          <w:sz w:val="32"/>
          <w:szCs w:val="32"/>
        </w:rPr>
      </w:pPr>
      <w:bookmarkStart w:id="114" w:name="OLE_LINK53"/>
      <w:r>
        <w:rPr>
          <w:rFonts w:hint="eastAsia" w:ascii="Times New Roman" w:hAnsi="Times New Roman" w:eastAsia="仿宋_GB2312" w:cs="Times New Roman"/>
          <w:sz w:val="32"/>
          <w:szCs w:val="32"/>
        </w:rPr>
        <w:t>立足系统治理、依法治理、源头治理理念，统筹推进无障碍环境建设，推动公共场所无障碍环境改造提升。</w:t>
      </w:r>
      <w:bookmarkStart w:id="115" w:name="OLE_LINK4"/>
      <w:r>
        <w:rPr>
          <w:rFonts w:hint="eastAsia" w:ascii="Times New Roman" w:hAnsi="Times New Roman" w:eastAsia="仿宋_GB2312" w:cs="Times New Roman"/>
          <w:sz w:val="32"/>
          <w:szCs w:val="32"/>
        </w:rPr>
        <w:t>对新建、扩建、改建的居住区、公共建筑、公共场所、交通运输设施及城乡道路等，严格执行无障碍环境建设相关标准，依法落实</w:t>
      </w:r>
      <w:bookmarkEnd w:id="114"/>
      <w:bookmarkEnd w:id="115"/>
      <w:r>
        <w:rPr>
          <w:rFonts w:ascii="Times New Roman" w:hAnsi="Times New Roman" w:eastAsia="仿宋_GB2312" w:cs="Times New Roman"/>
          <w:sz w:val="32"/>
          <w:szCs w:val="32"/>
        </w:rPr>
        <w:t>与主体工程同步规划、同步设计、同步施工、同步验收、同步交付使用</w:t>
      </w:r>
      <w:r>
        <w:rPr>
          <w:rFonts w:hint="eastAsia" w:ascii="Times New Roman" w:hAnsi="Times New Roman" w:eastAsia="仿宋_GB2312" w:cs="Times New Roman"/>
          <w:sz w:val="32"/>
          <w:szCs w:val="32"/>
        </w:rPr>
        <w:t>的工作要求</w:t>
      </w:r>
      <w:r>
        <w:rPr>
          <w:rFonts w:ascii="Times New Roman" w:hAnsi="Times New Roman" w:eastAsia="仿宋_GB2312" w:cs="Times New Roman"/>
          <w:sz w:val="32"/>
          <w:szCs w:val="32"/>
        </w:rPr>
        <w:t>，并与周边的无障碍设施有效衔接</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实现贯通</w:t>
      </w:r>
      <w:r>
        <w:rPr>
          <w:rFonts w:hint="eastAsia" w:ascii="Times New Roman" w:hAnsi="Times New Roman" w:eastAsia="仿宋_GB2312" w:cs="Times New Roman"/>
          <w:sz w:val="32"/>
          <w:szCs w:val="32"/>
        </w:rPr>
        <w:t>。推动有条件的区域开展“一刻钟无障碍便民服务圈”创建与提升工作。持续为有需求的残疾人开展居家环境无障碍改造。优化政务服务场所无障碍服务。指导各权属单位做好无障碍设施日常检查和管护，常态化排查并处置设施问题。</w:t>
      </w:r>
      <w:bookmarkStart w:id="116" w:name="OLE_LINK50"/>
      <w:r>
        <w:rPr>
          <w:rFonts w:hint="eastAsia" w:ascii="Times New Roman" w:hAnsi="Times New Roman" w:eastAsia="仿宋_GB2312" w:cs="Times New Roman"/>
          <w:sz w:val="32"/>
          <w:szCs w:val="32"/>
        </w:rPr>
        <w:t>加强无障碍监督员队伍建设，扩大监督员规模，依托“无障碍推动日”组织监督体验活动。</w:t>
      </w:r>
      <w:bookmarkEnd w:id="116"/>
      <w:r>
        <w:rPr>
          <w:rFonts w:hint="eastAsia" w:ascii="Times New Roman" w:hAnsi="Times New Roman" w:eastAsia="仿宋_GB2312" w:cs="Times New Roman"/>
          <w:sz w:val="32"/>
          <w:szCs w:val="32"/>
        </w:rPr>
        <w:t>加强无障碍通行与导盲犬使用宣传教育，加快打造有爱无碍、宜居宜业新昌平。</w:t>
      </w:r>
    </w:p>
    <w:p w14:paraId="0F735EEC">
      <w:pPr>
        <w:pStyle w:val="4"/>
        <w:spacing w:before="0" w:after="0" w:line="560" w:lineRule="exact"/>
        <w:ind w:firstLine="640" w:firstLineChars="200"/>
        <w:rPr>
          <w:rFonts w:ascii="Times New Roman" w:hAnsi="Times New Roman" w:eastAsia="仿宋_GB2312" w:cs="Times New Roman"/>
          <w:color w:val="auto"/>
        </w:rPr>
      </w:pPr>
      <w:bookmarkStart w:id="117" w:name="_Toc230085879"/>
      <w:bookmarkStart w:id="118" w:name="_Toc15513"/>
      <w:bookmarkStart w:id="119" w:name="_Toc17807"/>
      <w:r>
        <w:rPr>
          <w:rFonts w:hint="eastAsia" w:ascii="Times New Roman" w:hAnsi="Times New Roman" w:eastAsia="仿宋_GB2312" w:cs="Times New Roman"/>
          <w:color w:val="auto"/>
        </w:rPr>
        <w:t>3.</w:t>
      </w:r>
      <w:bookmarkStart w:id="120" w:name="OLE_LINK21"/>
      <w:r>
        <w:rPr>
          <w:rFonts w:hint="eastAsia" w:ascii="Times New Roman" w:hAnsi="Times New Roman" w:eastAsia="仿宋_GB2312" w:cs="Times New Roman"/>
          <w:color w:val="auto"/>
        </w:rPr>
        <w:t>营造全社会助残和残疾人自强的文明社会氛围</w:t>
      </w:r>
      <w:bookmarkEnd w:id="117"/>
      <w:bookmarkEnd w:id="118"/>
      <w:bookmarkEnd w:id="119"/>
      <w:bookmarkEnd w:id="120"/>
    </w:p>
    <w:p w14:paraId="2E582931">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以社会主义核心价值观为引领，厚植残疾人事业发展的思想文化基础。弘扬中华民族扶弱济困、守望相助的优良传统，将扶残助残纳入公民道德建设、精神文明建设和新时代文明实践中心建设，广泛动员开展扶残助残文明实践活动。加强残疾人事业宣传工作，广泛开展爱耳日、全国助残日、残疾预防日等主题宣传活动，选树残疾人自强模范和社会助残先进典型，着力营造全社会助残和残疾人自强的文明社会氛围。鼓励公众、企事业单位、社会组织等多方力量帮扶困难残疾人、支持残疾人事业，构建多元协同、可持续的服务生态。规范助残社会组织管理，促进助残社会组织健康发展。</w:t>
      </w:r>
    </w:p>
    <w:p w14:paraId="6786D628">
      <w:pPr>
        <w:pStyle w:val="2"/>
        <w:spacing w:before="100" w:after="100" w:line="560" w:lineRule="exact"/>
        <w:ind w:firstLine="640" w:firstLineChars="200"/>
        <w:rPr>
          <w:rFonts w:ascii="Times New Roman" w:hAnsi="Times New Roman" w:eastAsia="黑体" w:cs="Times New Roman"/>
          <w:color w:val="auto"/>
          <w:sz w:val="32"/>
          <w:szCs w:val="32"/>
        </w:rPr>
      </w:pPr>
      <w:bookmarkStart w:id="121" w:name="_Toc11524"/>
      <w:bookmarkStart w:id="122" w:name="_Toc230085880"/>
      <w:bookmarkStart w:id="123" w:name="_Toc13957"/>
      <w:r>
        <w:rPr>
          <w:rFonts w:hint="eastAsia" w:ascii="Times New Roman" w:hAnsi="Times New Roman" w:eastAsia="黑体" w:cs="Times New Roman"/>
          <w:color w:val="auto"/>
          <w:sz w:val="32"/>
          <w:szCs w:val="32"/>
        </w:rPr>
        <w:t>三、实施保障</w:t>
      </w:r>
      <w:bookmarkEnd w:id="121"/>
      <w:bookmarkEnd w:id="122"/>
      <w:bookmarkEnd w:id="123"/>
    </w:p>
    <w:p w14:paraId="620955A7">
      <w:pPr>
        <w:pStyle w:val="3"/>
        <w:spacing w:before="20" w:after="20" w:line="560" w:lineRule="exact"/>
        <w:ind w:firstLine="640" w:firstLineChars="200"/>
        <w:rPr>
          <w:rFonts w:ascii="Times New Roman" w:hAnsi="Times New Roman" w:eastAsia="楷体_GB2312" w:cs="Times New Roman"/>
          <w:color w:val="auto"/>
          <w:sz w:val="32"/>
          <w:szCs w:val="32"/>
        </w:rPr>
      </w:pPr>
      <w:bookmarkStart w:id="124" w:name="_Toc12831"/>
      <w:bookmarkStart w:id="125" w:name="_Toc16214"/>
      <w:bookmarkStart w:id="126" w:name="_Toc230085881"/>
      <w:r>
        <w:rPr>
          <w:rFonts w:hint="eastAsia" w:ascii="Times New Roman" w:hAnsi="Times New Roman" w:eastAsia="楷体_GB2312" w:cs="Times New Roman"/>
          <w:color w:val="auto"/>
          <w:sz w:val="32"/>
          <w:szCs w:val="32"/>
        </w:rPr>
        <w:t>（一）</w:t>
      </w:r>
      <w:bookmarkStart w:id="127" w:name="OLE_LINK37"/>
      <w:r>
        <w:rPr>
          <w:rFonts w:hint="eastAsia" w:ascii="Times New Roman" w:hAnsi="Times New Roman" w:eastAsia="楷体_GB2312" w:cs="Times New Roman"/>
          <w:color w:val="auto"/>
          <w:sz w:val="32"/>
          <w:szCs w:val="32"/>
        </w:rPr>
        <w:t>加强组织领导，压实工作责任</w:t>
      </w:r>
      <w:bookmarkEnd w:id="124"/>
      <w:bookmarkEnd w:id="125"/>
      <w:bookmarkEnd w:id="126"/>
      <w:bookmarkEnd w:id="127"/>
    </w:p>
    <w:p w14:paraId="21103350">
      <w:pPr>
        <w:spacing w:line="560" w:lineRule="exact"/>
        <w:ind w:firstLine="640" w:firstLineChars="200"/>
        <w:rPr>
          <w:rFonts w:hint="eastAsia"/>
        </w:rPr>
      </w:pPr>
      <w:r>
        <w:rPr>
          <w:rFonts w:hint="eastAsia" w:ascii="Times New Roman" w:hAnsi="Times New Roman" w:eastAsia="仿宋_GB2312" w:cs="Times New Roman"/>
          <w:sz w:val="32"/>
          <w:szCs w:val="32"/>
        </w:rPr>
        <w:t>区政府残工委各成员单位、各镇（街道）要将残疾人事业纳入经济社会发展大局，在制定年度工作计划时，将残疾人事业融入其中，做到统一部署、统筹安排、同步实施。</w:t>
      </w:r>
    </w:p>
    <w:p w14:paraId="2DC60FC3">
      <w:pPr>
        <w:pStyle w:val="3"/>
        <w:spacing w:before="20" w:after="20" w:line="560" w:lineRule="exact"/>
        <w:ind w:firstLine="640" w:firstLineChars="200"/>
        <w:rPr>
          <w:rFonts w:ascii="Times New Roman" w:hAnsi="Times New Roman" w:eastAsia="楷体_GB2312" w:cs="Times New Roman"/>
          <w:color w:val="auto"/>
          <w:sz w:val="32"/>
          <w:szCs w:val="32"/>
        </w:rPr>
      </w:pPr>
      <w:bookmarkStart w:id="128" w:name="_Toc22209"/>
      <w:bookmarkStart w:id="129" w:name="_Toc230085883"/>
      <w:bookmarkStart w:id="130" w:name="_Toc9411"/>
      <w:r>
        <w:rPr>
          <w:rFonts w:hint="eastAsia" w:ascii="Times New Roman" w:hAnsi="Times New Roman" w:eastAsia="楷体_GB2312" w:cs="Times New Roman"/>
          <w:color w:val="auto"/>
          <w:sz w:val="32"/>
          <w:szCs w:val="32"/>
        </w:rPr>
        <w:t>（二）健全</w:t>
      </w:r>
      <w:r>
        <w:rPr>
          <w:rFonts w:hint="eastAsia" w:ascii="Times New Roman" w:hAnsi="Times New Roman" w:eastAsia="楷体_GB2312" w:cs="Times New Roman"/>
          <w:color w:val="auto"/>
          <w:sz w:val="32"/>
          <w:szCs w:val="32"/>
          <w:lang w:val="en-US" w:eastAsia="zh-CN"/>
        </w:rPr>
        <w:t>保障</w:t>
      </w:r>
      <w:r>
        <w:rPr>
          <w:rFonts w:hint="eastAsia" w:ascii="Times New Roman" w:hAnsi="Times New Roman" w:eastAsia="楷体_GB2312" w:cs="Times New Roman"/>
          <w:color w:val="auto"/>
          <w:sz w:val="32"/>
          <w:szCs w:val="32"/>
        </w:rPr>
        <w:t>机制，推动多元参与</w:t>
      </w:r>
      <w:bookmarkEnd w:id="128"/>
      <w:bookmarkEnd w:id="129"/>
      <w:bookmarkEnd w:id="130"/>
    </w:p>
    <w:p w14:paraId="1AADDC25">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健全党委领导、政府负责、部门协同、社会参与、市场推动、残疾人组织充分发挥作用的领导体制和工作机制。残疾人基本公共服务经费由财政预算安排，加强预算绩效管理，资金原则上优先保障实施效果好、残疾人满意度高的项目。落实金融、税收等支持政策。拓宽基本公共服务向社会资本开放领域，吸纳社会资本及慈善捐赠等各类资金，构建多元参与、长效可持续的资金保障体系</w:t>
      </w:r>
      <w:bookmarkStart w:id="131" w:name="OLE_LINK76"/>
      <w:r>
        <w:rPr>
          <w:rFonts w:hint="eastAsia" w:ascii="Times New Roman" w:hAnsi="Times New Roman" w:eastAsia="仿宋_GB2312" w:cs="Times New Roman"/>
          <w:sz w:val="32"/>
          <w:szCs w:val="32"/>
        </w:rPr>
        <w:t>。</w:t>
      </w:r>
      <w:bookmarkEnd w:id="131"/>
    </w:p>
    <w:p w14:paraId="2BC7CAE5">
      <w:pPr>
        <w:pStyle w:val="3"/>
        <w:spacing w:before="20" w:after="20" w:line="560" w:lineRule="exact"/>
        <w:ind w:firstLine="640" w:firstLineChars="200"/>
        <w:rPr>
          <w:rFonts w:ascii="Times New Roman" w:hAnsi="Times New Roman" w:eastAsia="楷体_GB2312" w:cs="Times New Roman"/>
          <w:color w:val="auto"/>
          <w:sz w:val="32"/>
          <w:szCs w:val="32"/>
        </w:rPr>
      </w:pPr>
      <w:bookmarkStart w:id="132" w:name="_Toc26951"/>
      <w:bookmarkStart w:id="133" w:name="_Toc27659"/>
      <w:bookmarkStart w:id="134" w:name="_Toc230085884"/>
      <w:r>
        <w:rPr>
          <w:rFonts w:hint="eastAsia" w:ascii="Times New Roman" w:hAnsi="Times New Roman" w:eastAsia="楷体_GB2312" w:cs="Times New Roman"/>
          <w:color w:val="auto"/>
          <w:sz w:val="32"/>
          <w:szCs w:val="32"/>
        </w:rPr>
        <w:t>（三）强化监测评估，确保规划落实</w:t>
      </w:r>
      <w:bookmarkEnd w:id="132"/>
      <w:bookmarkEnd w:id="133"/>
      <w:bookmarkEnd w:id="134"/>
    </w:p>
    <w:p w14:paraId="20BC14E6">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充分发挥区政府残工委组织协调作用，适时研究解决重点难点问题，保障规划落实。通过会议研究、综合评估、专项推进等方式，督促指导各成员单位认真研究规划任务与本部门工作的衔接落实，确保各项目标任务落地见效。</w:t>
      </w:r>
    </w:p>
    <w:sectPr>
      <w:footerReference r:id="rId5" w:type="default"/>
      <w:pgSz w:w="11906" w:h="16838"/>
      <w:pgMar w:top="2098" w:right="1474" w:bottom="1984" w:left="1587" w:header="851" w:footer="1417"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等线">
    <w:altName w:val="仿宋_GB2312"/>
    <w:panose1 w:val="00000000000000000000"/>
    <w:charset w:val="00"/>
    <w:family w:val="auto"/>
    <w:pitch w:val="default"/>
    <w:sig w:usb0="00000000" w:usb1="00000000" w:usb2="00000000" w:usb3="00000000" w:csb0="00000000" w:csb1="00000000"/>
  </w:font>
  <w:font w:name="Noto Sans CJK JP Bold">
    <w:panose1 w:val="020B0800000000000000"/>
    <w:charset w:val="86"/>
    <w:family w:val="auto"/>
    <w:pitch w:val="default"/>
    <w:sig w:usb0="30000003" w:usb1="2BDF3C10" w:usb2="00000016" w:usb3="00000000" w:csb0="602E0107"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等线 Light">
    <w:altName w:val="仿宋_GB2312"/>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D7556">
    <w:pPr>
      <w:pStyle w:val="13"/>
      <w:jc w:val="center"/>
      <w:rPr>
        <w:rFonts w:hint="eastAsia"/>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62EC1">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662EC1">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0688D18B">
    <w:pPr>
      <w:pStyle w:val="1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F293">
    <w:pPr>
      <w:pStyle w:val="13"/>
      <w:jc w:val="center"/>
      <w:rPr>
        <w:rFonts w:hint="eastAsia"/>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836073">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9836073">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5D5BD2AC">
    <w:pPr>
      <w:pStyle w:val="13"/>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853BD">
    <w:pPr>
      <w:pStyle w:val="13"/>
      <w:jc w:val="right"/>
      <w:rPr>
        <w:rFonts w:hint="eastAsia"/>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38808">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DF38808">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6D1"/>
    <w:rsid w:val="00006820"/>
    <w:rsid w:val="00006E57"/>
    <w:rsid w:val="000079BD"/>
    <w:rsid w:val="00014A7A"/>
    <w:rsid w:val="00014FE6"/>
    <w:rsid w:val="000160F1"/>
    <w:rsid w:val="000164B5"/>
    <w:rsid w:val="00020A31"/>
    <w:rsid w:val="00031A78"/>
    <w:rsid w:val="00032371"/>
    <w:rsid w:val="00032CFB"/>
    <w:rsid w:val="00036DEE"/>
    <w:rsid w:val="00044880"/>
    <w:rsid w:val="000456A7"/>
    <w:rsid w:val="0005386A"/>
    <w:rsid w:val="0006789D"/>
    <w:rsid w:val="0007222C"/>
    <w:rsid w:val="00077F31"/>
    <w:rsid w:val="00080B67"/>
    <w:rsid w:val="00083AC9"/>
    <w:rsid w:val="000924A4"/>
    <w:rsid w:val="000952C4"/>
    <w:rsid w:val="00095CA2"/>
    <w:rsid w:val="000A1709"/>
    <w:rsid w:val="000A4604"/>
    <w:rsid w:val="000B2451"/>
    <w:rsid w:val="000C3301"/>
    <w:rsid w:val="000C7353"/>
    <w:rsid w:val="000D5956"/>
    <w:rsid w:val="000D5EFA"/>
    <w:rsid w:val="000E2C1F"/>
    <w:rsid w:val="000E5150"/>
    <w:rsid w:val="000E563D"/>
    <w:rsid w:val="000E599A"/>
    <w:rsid w:val="000F08B9"/>
    <w:rsid w:val="000F3548"/>
    <w:rsid w:val="000F45F9"/>
    <w:rsid w:val="00103D37"/>
    <w:rsid w:val="00107751"/>
    <w:rsid w:val="00110793"/>
    <w:rsid w:val="00113175"/>
    <w:rsid w:val="00114965"/>
    <w:rsid w:val="00115593"/>
    <w:rsid w:val="00120362"/>
    <w:rsid w:val="00122EFB"/>
    <w:rsid w:val="0013034A"/>
    <w:rsid w:val="00130FB0"/>
    <w:rsid w:val="0013690B"/>
    <w:rsid w:val="00136CCF"/>
    <w:rsid w:val="00147E37"/>
    <w:rsid w:val="00151FB6"/>
    <w:rsid w:val="00153828"/>
    <w:rsid w:val="00155E26"/>
    <w:rsid w:val="00157972"/>
    <w:rsid w:val="00157B34"/>
    <w:rsid w:val="00157F1C"/>
    <w:rsid w:val="0017761E"/>
    <w:rsid w:val="00177C24"/>
    <w:rsid w:val="00181B40"/>
    <w:rsid w:val="0018358F"/>
    <w:rsid w:val="001857AD"/>
    <w:rsid w:val="001943B6"/>
    <w:rsid w:val="00194A3F"/>
    <w:rsid w:val="001967CD"/>
    <w:rsid w:val="001A1789"/>
    <w:rsid w:val="001A33A3"/>
    <w:rsid w:val="001A448D"/>
    <w:rsid w:val="001A6129"/>
    <w:rsid w:val="001A6D01"/>
    <w:rsid w:val="001A75FE"/>
    <w:rsid w:val="001B2E8A"/>
    <w:rsid w:val="001B53E1"/>
    <w:rsid w:val="001B67FA"/>
    <w:rsid w:val="001B7939"/>
    <w:rsid w:val="001C4C05"/>
    <w:rsid w:val="001C65C3"/>
    <w:rsid w:val="001E01FA"/>
    <w:rsid w:val="001E7D42"/>
    <w:rsid w:val="001F07FC"/>
    <w:rsid w:val="001F2C64"/>
    <w:rsid w:val="001F2FD6"/>
    <w:rsid w:val="001F3F01"/>
    <w:rsid w:val="001F5C8A"/>
    <w:rsid w:val="00200992"/>
    <w:rsid w:val="00202943"/>
    <w:rsid w:val="00204A19"/>
    <w:rsid w:val="00205F22"/>
    <w:rsid w:val="00214C04"/>
    <w:rsid w:val="002152FF"/>
    <w:rsid w:val="0021557A"/>
    <w:rsid w:val="00217B16"/>
    <w:rsid w:val="00217DF0"/>
    <w:rsid w:val="00222B54"/>
    <w:rsid w:val="00225EE6"/>
    <w:rsid w:val="00227DA3"/>
    <w:rsid w:val="00230952"/>
    <w:rsid w:val="00241B4F"/>
    <w:rsid w:val="00243E50"/>
    <w:rsid w:val="002457A6"/>
    <w:rsid w:val="00246678"/>
    <w:rsid w:val="00254B9D"/>
    <w:rsid w:val="00257C33"/>
    <w:rsid w:val="00260635"/>
    <w:rsid w:val="002642D1"/>
    <w:rsid w:val="00265A5F"/>
    <w:rsid w:val="002674D2"/>
    <w:rsid w:val="0026760A"/>
    <w:rsid w:val="00273E17"/>
    <w:rsid w:val="002820A3"/>
    <w:rsid w:val="00286000"/>
    <w:rsid w:val="00286F92"/>
    <w:rsid w:val="00287C7B"/>
    <w:rsid w:val="0029024E"/>
    <w:rsid w:val="0029081F"/>
    <w:rsid w:val="002A0177"/>
    <w:rsid w:val="002B15EE"/>
    <w:rsid w:val="002B232C"/>
    <w:rsid w:val="002B2FDA"/>
    <w:rsid w:val="002B6014"/>
    <w:rsid w:val="002B6F2C"/>
    <w:rsid w:val="002C51F5"/>
    <w:rsid w:val="002C675E"/>
    <w:rsid w:val="002C752B"/>
    <w:rsid w:val="002E0955"/>
    <w:rsid w:val="002E4FA3"/>
    <w:rsid w:val="002E5003"/>
    <w:rsid w:val="002E716F"/>
    <w:rsid w:val="002F0FA1"/>
    <w:rsid w:val="002F1A65"/>
    <w:rsid w:val="002F2681"/>
    <w:rsid w:val="002F38D3"/>
    <w:rsid w:val="002F66A5"/>
    <w:rsid w:val="003010ED"/>
    <w:rsid w:val="0030208F"/>
    <w:rsid w:val="003076C6"/>
    <w:rsid w:val="003105D6"/>
    <w:rsid w:val="0031785A"/>
    <w:rsid w:val="00321876"/>
    <w:rsid w:val="00321D41"/>
    <w:rsid w:val="0032216E"/>
    <w:rsid w:val="00325DA7"/>
    <w:rsid w:val="00332B5A"/>
    <w:rsid w:val="00341831"/>
    <w:rsid w:val="00350058"/>
    <w:rsid w:val="00350AE3"/>
    <w:rsid w:val="00350D71"/>
    <w:rsid w:val="0035169E"/>
    <w:rsid w:val="00353795"/>
    <w:rsid w:val="00371430"/>
    <w:rsid w:val="003725EC"/>
    <w:rsid w:val="00373AF1"/>
    <w:rsid w:val="00374D5E"/>
    <w:rsid w:val="00377974"/>
    <w:rsid w:val="003801DB"/>
    <w:rsid w:val="00381367"/>
    <w:rsid w:val="00382611"/>
    <w:rsid w:val="00384923"/>
    <w:rsid w:val="00391690"/>
    <w:rsid w:val="00395D4B"/>
    <w:rsid w:val="003A291A"/>
    <w:rsid w:val="003A291F"/>
    <w:rsid w:val="003A457A"/>
    <w:rsid w:val="003B0C8C"/>
    <w:rsid w:val="003B3175"/>
    <w:rsid w:val="003B3F6F"/>
    <w:rsid w:val="003B40E6"/>
    <w:rsid w:val="003B497E"/>
    <w:rsid w:val="003B49BB"/>
    <w:rsid w:val="003B6148"/>
    <w:rsid w:val="003C30B4"/>
    <w:rsid w:val="003C75B7"/>
    <w:rsid w:val="003D1737"/>
    <w:rsid w:val="003D27D6"/>
    <w:rsid w:val="003E1640"/>
    <w:rsid w:val="003E3601"/>
    <w:rsid w:val="003E424A"/>
    <w:rsid w:val="003E7ABA"/>
    <w:rsid w:val="003F0450"/>
    <w:rsid w:val="003F26DF"/>
    <w:rsid w:val="003F304D"/>
    <w:rsid w:val="003F6F59"/>
    <w:rsid w:val="003F7CB5"/>
    <w:rsid w:val="00400A04"/>
    <w:rsid w:val="00411094"/>
    <w:rsid w:val="00411519"/>
    <w:rsid w:val="0042426E"/>
    <w:rsid w:val="004244A6"/>
    <w:rsid w:val="004259F4"/>
    <w:rsid w:val="00431D2C"/>
    <w:rsid w:val="00431FC8"/>
    <w:rsid w:val="00436AB8"/>
    <w:rsid w:val="0044053F"/>
    <w:rsid w:val="00441431"/>
    <w:rsid w:val="0044147A"/>
    <w:rsid w:val="00443A8C"/>
    <w:rsid w:val="0045046F"/>
    <w:rsid w:val="00450878"/>
    <w:rsid w:val="00450A86"/>
    <w:rsid w:val="00453912"/>
    <w:rsid w:val="00454AB2"/>
    <w:rsid w:val="00457F42"/>
    <w:rsid w:val="004623FB"/>
    <w:rsid w:val="00466552"/>
    <w:rsid w:val="00471747"/>
    <w:rsid w:val="004840E7"/>
    <w:rsid w:val="0048469A"/>
    <w:rsid w:val="004854B9"/>
    <w:rsid w:val="00495520"/>
    <w:rsid w:val="00495830"/>
    <w:rsid w:val="004A007F"/>
    <w:rsid w:val="004B0A1A"/>
    <w:rsid w:val="004B2329"/>
    <w:rsid w:val="004B362E"/>
    <w:rsid w:val="004B449A"/>
    <w:rsid w:val="004B7301"/>
    <w:rsid w:val="004C1E17"/>
    <w:rsid w:val="004C4D84"/>
    <w:rsid w:val="004D0F9C"/>
    <w:rsid w:val="004D6467"/>
    <w:rsid w:val="004D6BC6"/>
    <w:rsid w:val="004E2EF1"/>
    <w:rsid w:val="004E365B"/>
    <w:rsid w:val="004E36DD"/>
    <w:rsid w:val="004E5F5A"/>
    <w:rsid w:val="004E77A4"/>
    <w:rsid w:val="00511458"/>
    <w:rsid w:val="0052127B"/>
    <w:rsid w:val="0052488F"/>
    <w:rsid w:val="00526592"/>
    <w:rsid w:val="00530913"/>
    <w:rsid w:val="005366B5"/>
    <w:rsid w:val="0054692C"/>
    <w:rsid w:val="00547F76"/>
    <w:rsid w:val="005502E8"/>
    <w:rsid w:val="005730EA"/>
    <w:rsid w:val="0058013B"/>
    <w:rsid w:val="005851EE"/>
    <w:rsid w:val="00585DF6"/>
    <w:rsid w:val="005903D3"/>
    <w:rsid w:val="005968A9"/>
    <w:rsid w:val="00596AB3"/>
    <w:rsid w:val="005A0CD1"/>
    <w:rsid w:val="005A3DAA"/>
    <w:rsid w:val="005B1774"/>
    <w:rsid w:val="005B5E0B"/>
    <w:rsid w:val="005C21FC"/>
    <w:rsid w:val="005C3756"/>
    <w:rsid w:val="005C3C47"/>
    <w:rsid w:val="005D1310"/>
    <w:rsid w:val="005D3360"/>
    <w:rsid w:val="005D78B4"/>
    <w:rsid w:val="005E3541"/>
    <w:rsid w:val="005F7262"/>
    <w:rsid w:val="005F797E"/>
    <w:rsid w:val="00601182"/>
    <w:rsid w:val="00601DC9"/>
    <w:rsid w:val="00623521"/>
    <w:rsid w:val="00625D96"/>
    <w:rsid w:val="00627F7C"/>
    <w:rsid w:val="006315BA"/>
    <w:rsid w:val="00634E8F"/>
    <w:rsid w:val="006415CC"/>
    <w:rsid w:val="00646F91"/>
    <w:rsid w:val="00650560"/>
    <w:rsid w:val="00651341"/>
    <w:rsid w:val="00652C27"/>
    <w:rsid w:val="00654CB2"/>
    <w:rsid w:val="00660703"/>
    <w:rsid w:val="00662BEE"/>
    <w:rsid w:val="00670593"/>
    <w:rsid w:val="00674374"/>
    <w:rsid w:val="00683056"/>
    <w:rsid w:val="00683FE9"/>
    <w:rsid w:val="00692039"/>
    <w:rsid w:val="00693D36"/>
    <w:rsid w:val="00693FDC"/>
    <w:rsid w:val="0069515E"/>
    <w:rsid w:val="00696D21"/>
    <w:rsid w:val="006A60D0"/>
    <w:rsid w:val="006B0E39"/>
    <w:rsid w:val="006B500F"/>
    <w:rsid w:val="006C0193"/>
    <w:rsid w:val="006C1B87"/>
    <w:rsid w:val="006C787D"/>
    <w:rsid w:val="006C7D39"/>
    <w:rsid w:val="006D6371"/>
    <w:rsid w:val="006E4C1C"/>
    <w:rsid w:val="006E4E95"/>
    <w:rsid w:val="006E5EF8"/>
    <w:rsid w:val="006F67CF"/>
    <w:rsid w:val="006F69C6"/>
    <w:rsid w:val="007101D4"/>
    <w:rsid w:val="00711C7C"/>
    <w:rsid w:val="00713074"/>
    <w:rsid w:val="00713201"/>
    <w:rsid w:val="007172F7"/>
    <w:rsid w:val="00720FAA"/>
    <w:rsid w:val="00724F9F"/>
    <w:rsid w:val="00742CCA"/>
    <w:rsid w:val="00755E01"/>
    <w:rsid w:val="00756095"/>
    <w:rsid w:val="00760AD6"/>
    <w:rsid w:val="00762F48"/>
    <w:rsid w:val="00767F56"/>
    <w:rsid w:val="007764C9"/>
    <w:rsid w:val="00782216"/>
    <w:rsid w:val="0078637D"/>
    <w:rsid w:val="0079623B"/>
    <w:rsid w:val="007B6B89"/>
    <w:rsid w:val="007C051A"/>
    <w:rsid w:val="007C1040"/>
    <w:rsid w:val="007C3E1C"/>
    <w:rsid w:val="007C5516"/>
    <w:rsid w:val="007D2502"/>
    <w:rsid w:val="007D73BB"/>
    <w:rsid w:val="007E7B8F"/>
    <w:rsid w:val="007F1D89"/>
    <w:rsid w:val="007F4BB7"/>
    <w:rsid w:val="0080303E"/>
    <w:rsid w:val="0080345E"/>
    <w:rsid w:val="00803A11"/>
    <w:rsid w:val="0081148C"/>
    <w:rsid w:val="00814E2E"/>
    <w:rsid w:val="00817A36"/>
    <w:rsid w:val="008312A7"/>
    <w:rsid w:val="0083158C"/>
    <w:rsid w:val="00831B11"/>
    <w:rsid w:val="008364D4"/>
    <w:rsid w:val="00836D1D"/>
    <w:rsid w:val="008440F4"/>
    <w:rsid w:val="008543FF"/>
    <w:rsid w:val="0086083C"/>
    <w:rsid w:val="008676B6"/>
    <w:rsid w:val="0087193A"/>
    <w:rsid w:val="00872B1C"/>
    <w:rsid w:val="008748EE"/>
    <w:rsid w:val="00874A2E"/>
    <w:rsid w:val="00882E8B"/>
    <w:rsid w:val="00897940"/>
    <w:rsid w:val="008A1BD0"/>
    <w:rsid w:val="008A4FCA"/>
    <w:rsid w:val="008B50A2"/>
    <w:rsid w:val="008B69FD"/>
    <w:rsid w:val="008C484B"/>
    <w:rsid w:val="008C7630"/>
    <w:rsid w:val="008D0BEA"/>
    <w:rsid w:val="008D4E21"/>
    <w:rsid w:val="008E2D95"/>
    <w:rsid w:val="008E3A64"/>
    <w:rsid w:val="008E5B71"/>
    <w:rsid w:val="008F18A8"/>
    <w:rsid w:val="008F238E"/>
    <w:rsid w:val="008F2AFA"/>
    <w:rsid w:val="00903990"/>
    <w:rsid w:val="009104B5"/>
    <w:rsid w:val="00913533"/>
    <w:rsid w:val="0092211A"/>
    <w:rsid w:val="00924B4E"/>
    <w:rsid w:val="00927AB7"/>
    <w:rsid w:val="00952699"/>
    <w:rsid w:val="00954C32"/>
    <w:rsid w:val="0095540F"/>
    <w:rsid w:val="00955E0A"/>
    <w:rsid w:val="00963FB6"/>
    <w:rsid w:val="00966C9B"/>
    <w:rsid w:val="00970287"/>
    <w:rsid w:val="009716DC"/>
    <w:rsid w:val="00977AA7"/>
    <w:rsid w:val="00980E6B"/>
    <w:rsid w:val="009926D1"/>
    <w:rsid w:val="00992F24"/>
    <w:rsid w:val="009960B1"/>
    <w:rsid w:val="009A621C"/>
    <w:rsid w:val="009A7CE1"/>
    <w:rsid w:val="009C0CE7"/>
    <w:rsid w:val="009C1069"/>
    <w:rsid w:val="009C21FC"/>
    <w:rsid w:val="009C621D"/>
    <w:rsid w:val="009C7532"/>
    <w:rsid w:val="009D004E"/>
    <w:rsid w:val="009D007D"/>
    <w:rsid w:val="009D1F89"/>
    <w:rsid w:val="009D2E5C"/>
    <w:rsid w:val="009E2F30"/>
    <w:rsid w:val="009F143D"/>
    <w:rsid w:val="009F1729"/>
    <w:rsid w:val="009F3394"/>
    <w:rsid w:val="00A20F2E"/>
    <w:rsid w:val="00A2431D"/>
    <w:rsid w:val="00A24DFA"/>
    <w:rsid w:val="00A27D8A"/>
    <w:rsid w:val="00A30AB1"/>
    <w:rsid w:val="00A32952"/>
    <w:rsid w:val="00A408B0"/>
    <w:rsid w:val="00A44DA4"/>
    <w:rsid w:val="00A44E9A"/>
    <w:rsid w:val="00A46D74"/>
    <w:rsid w:val="00A61C26"/>
    <w:rsid w:val="00A62575"/>
    <w:rsid w:val="00A72C9A"/>
    <w:rsid w:val="00A805A8"/>
    <w:rsid w:val="00A9215E"/>
    <w:rsid w:val="00A95123"/>
    <w:rsid w:val="00AA272F"/>
    <w:rsid w:val="00AA2C32"/>
    <w:rsid w:val="00AB1EDC"/>
    <w:rsid w:val="00AB5745"/>
    <w:rsid w:val="00AB5DFD"/>
    <w:rsid w:val="00AB6D7F"/>
    <w:rsid w:val="00AB753D"/>
    <w:rsid w:val="00AC1E42"/>
    <w:rsid w:val="00AD4328"/>
    <w:rsid w:val="00AF24D2"/>
    <w:rsid w:val="00AF46F5"/>
    <w:rsid w:val="00AF65E8"/>
    <w:rsid w:val="00AF7DBC"/>
    <w:rsid w:val="00B03077"/>
    <w:rsid w:val="00B05417"/>
    <w:rsid w:val="00B13CCF"/>
    <w:rsid w:val="00B35B15"/>
    <w:rsid w:val="00B36134"/>
    <w:rsid w:val="00B4187A"/>
    <w:rsid w:val="00B4379C"/>
    <w:rsid w:val="00B51A83"/>
    <w:rsid w:val="00B53A46"/>
    <w:rsid w:val="00B566B4"/>
    <w:rsid w:val="00B635D5"/>
    <w:rsid w:val="00B6481C"/>
    <w:rsid w:val="00B6498A"/>
    <w:rsid w:val="00B660EF"/>
    <w:rsid w:val="00B674EF"/>
    <w:rsid w:val="00B67514"/>
    <w:rsid w:val="00B7007C"/>
    <w:rsid w:val="00B707FF"/>
    <w:rsid w:val="00B760B8"/>
    <w:rsid w:val="00B768AE"/>
    <w:rsid w:val="00B82C5D"/>
    <w:rsid w:val="00B87665"/>
    <w:rsid w:val="00B87820"/>
    <w:rsid w:val="00B979C1"/>
    <w:rsid w:val="00BA2103"/>
    <w:rsid w:val="00BA5C36"/>
    <w:rsid w:val="00BA63C7"/>
    <w:rsid w:val="00BA6AE1"/>
    <w:rsid w:val="00BB4453"/>
    <w:rsid w:val="00BB47B5"/>
    <w:rsid w:val="00BC0422"/>
    <w:rsid w:val="00BC0D85"/>
    <w:rsid w:val="00BC2FD3"/>
    <w:rsid w:val="00BD4FA7"/>
    <w:rsid w:val="00BD57F6"/>
    <w:rsid w:val="00BE018D"/>
    <w:rsid w:val="00BE3E2F"/>
    <w:rsid w:val="00BE4591"/>
    <w:rsid w:val="00BE7044"/>
    <w:rsid w:val="00BF410F"/>
    <w:rsid w:val="00BF5BB5"/>
    <w:rsid w:val="00C00B59"/>
    <w:rsid w:val="00C03CD0"/>
    <w:rsid w:val="00C05105"/>
    <w:rsid w:val="00C11817"/>
    <w:rsid w:val="00C1622E"/>
    <w:rsid w:val="00C17EC5"/>
    <w:rsid w:val="00C20264"/>
    <w:rsid w:val="00C20EC5"/>
    <w:rsid w:val="00C24963"/>
    <w:rsid w:val="00C3037B"/>
    <w:rsid w:val="00C37A88"/>
    <w:rsid w:val="00C40912"/>
    <w:rsid w:val="00C47A8B"/>
    <w:rsid w:val="00C528D9"/>
    <w:rsid w:val="00C52A47"/>
    <w:rsid w:val="00C545EE"/>
    <w:rsid w:val="00C731D6"/>
    <w:rsid w:val="00C76016"/>
    <w:rsid w:val="00C76552"/>
    <w:rsid w:val="00C8483F"/>
    <w:rsid w:val="00C92D61"/>
    <w:rsid w:val="00C94290"/>
    <w:rsid w:val="00CA22F0"/>
    <w:rsid w:val="00CB3FA0"/>
    <w:rsid w:val="00CC0ACD"/>
    <w:rsid w:val="00CC1BA3"/>
    <w:rsid w:val="00CC4406"/>
    <w:rsid w:val="00CC6821"/>
    <w:rsid w:val="00CD3209"/>
    <w:rsid w:val="00CD3692"/>
    <w:rsid w:val="00CD3F3E"/>
    <w:rsid w:val="00CD5396"/>
    <w:rsid w:val="00CD5FAC"/>
    <w:rsid w:val="00CE1A95"/>
    <w:rsid w:val="00CE5860"/>
    <w:rsid w:val="00CF1B8F"/>
    <w:rsid w:val="00CF2963"/>
    <w:rsid w:val="00D01420"/>
    <w:rsid w:val="00D01934"/>
    <w:rsid w:val="00D031F8"/>
    <w:rsid w:val="00D03B9F"/>
    <w:rsid w:val="00D0545E"/>
    <w:rsid w:val="00D1021C"/>
    <w:rsid w:val="00D13EDF"/>
    <w:rsid w:val="00D1609C"/>
    <w:rsid w:val="00D20814"/>
    <w:rsid w:val="00D264E8"/>
    <w:rsid w:val="00D36FB3"/>
    <w:rsid w:val="00D41DEE"/>
    <w:rsid w:val="00D43F99"/>
    <w:rsid w:val="00D46BA8"/>
    <w:rsid w:val="00D47C47"/>
    <w:rsid w:val="00D55DFD"/>
    <w:rsid w:val="00D5635B"/>
    <w:rsid w:val="00D800A9"/>
    <w:rsid w:val="00D84A2F"/>
    <w:rsid w:val="00D862B5"/>
    <w:rsid w:val="00DA705C"/>
    <w:rsid w:val="00DB53F8"/>
    <w:rsid w:val="00DB6284"/>
    <w:rsid w:val="00DB6672"/>
    <w:rsid w:val="00DC364E"/>
    <w:rsid w:val="00DC4BD1"/>
    <w:rsid w:val="00DE36A1"/>
    <w:rsid w:val="00DF76F6"/>
    <w:rsid w:val="00DF7D2A"/>
    <w:rsid w:val="00E05FFA"/>
    <w:rsid w:val="00E231CE"/>
    <w:rsid w:val="00E348F6"/>
    <w:rsid w:val="00E45FE8"/>
    <w:rsid w:val="00E53897"/>
    <w:rsid w:val="00E55612"/>
    <w:rsid w:val="00E57514"/>
    <w:rsid w:val="00E662EF"/>
    <w:rsid w:val="00E665D3"/>
    <w:rsid w:val="00E67AF6"/>
    <w:rsid w:val="00E67E12"/>
    <w:rsid w:val="00E71907"/>
    <w:rsid w:val="00E7273E"/>
    <w:rsid w:val="00E84EBA"/>
    <w:rsid w:val="00EA6431"/>
    <w:rsid w:val="00EB0348"/>
    <w:rsid w:val="00EB11EE"/>
    <w:rsid w:val="00EC149D"/>
    <w:rsid w:val="00EC262B"/>
    <w:rsid w:val="00EC5BD2"/>
    <w:rsid w:val="00ED35E4"/>
    <w:rsid w:val="00ED51AB"/>
    <w:rsid w:val="00EE584D"/>
    <w:rsid w:val="00EE5D83"/>
    <w:rsid w:val="00EE65B3"/>
    <w:rsid w:val="00EE7BAF"/>
    <w:rsid w:val="00EF225F"/>
    <w:rsid w:val="00EF32FE"/>
    <w:rsid w:val="00EF7F5F"/>
    <w:rsid w:val="00F0167F"/>
    <w:rsid w:val="00F06E2D"/>
    <w:rsid w:val="00F11D4F"/>
    <w:rsid w:val="00F14950"/>
    <w:rsid w:val="00F149A8"/>
    <w:rsid w:val="00F1730B"/>
    <w:rsid w:val="00F23392"/>
    <w:rsid w:val="00F244A3"/>
    <w:rsid w:val="00F260DB"/>
    <w:rsid w:val="00F2790E"/>
    <w:rsid w:val="00F27C22"/>
    <w:rsid w:val="00F45118"/>
    <w:rsid w:val="00F50010"/>
    <w:rsid w:val="00F54909"/>
    <w:rsid w:val="00F55116"/>
    <w:rsid w:val="00F67448"/>
    <w:rsid w:val="00F6794C"/>
    <w:rsid w:val="00F67B2D"/>
    <w:rsid w:val="00F81AB8"/>
    <w:rsid w:val="00F83C37"/>
    <w:rsid w:val="00F86F6E"/>
    <w:rsid w:val="00F93042"/>
    <w:rsid w:val="00F9596D"/>
    <w:rsid w:val="00FA1314"/>
    <w:rsid w:val="00FB2171"/>
    <w:rsid w:val="00FC341A"/>
    <w:rsid w:val="00FC5E1D"/>
    <w:rsid w:val="00FC73F0"/>
    <w:rsid w:val="00FC7F95"/>
    <w:rsid w:val="00FD12AC"/>
    <w:rsid w:val="00FD3152"/>
    <w:rsid w:val="00FD65EC"/>
    <w:rsid w:val="00FF1A1B"/>
    <w:rsid w:val="00FF2ED3"/>
    <w:rsid w:val="00FF2FD9"/>
    <w:rsid w:val="00FF4F41"/>
    <w:rsid w:val="00FF7E8B"/>
    <w:rsid w:val="022A3538"/>
    <w:rsid w:val="037D6D12"/>
    <w:rsid w:val="0586242B"/>
    <w:rsid w:val="05BA1921"/>
    <w:rsid w:val="05C50C2F"/>
    <w:rsid w:val="05F41229"/>
    <w:rsid w:val="066E5E88"/>
    <w:rsid w:val="0817383B"/>
    <w:rsid w:val="085A6EC3"/>
    <w:rsid w:val="09385C94"/>
    <w:rsid w:val="0A9B1864"/>
    <w:rsid w:val="0B5C4B3F"/>
    <w:rsid w:val="0EFD592E"/>
    <w:rsid w:val="105F7F23"/>
    <w:rsid w:val="13124545"/>
    <w:rsid w:val="132D00A6"/>
    <w:rsid w:val="14D34BED"/>
    <w:rsid w:val="15CB0FCE"/>
    <w:rsid w:val="18B978AE"/>
    <w:rsid w:val="1B8131B2"/>
    <w:rsid w:val="1C13739A"/>
    <w:rsid w:val="1C4A7B98"/>
    <w:rsid w:val="1CCB13E0"/>
    <w:rsid w:val="1D4B182A"/>
    <w:rsid w:val="1D6611CA"/>
    <w:rsid w:val="1DCF2F6D"/>
    <w:rsid w:val="1F151FAE"/>
    <w:rsid w:val="1FBC6678"/>
    <w:rsid w:val="225026DD"/>
    <w:rsid w:val="23011DEC"/>
    <w:rsid w:val="23AD46A0"/>
    <w:rsid w:val="2631758A"/>
    <w:rsid w:val="263D1E8A"/>
    <w:rsid w:val="28E5260B"/>
    <w:rsid w:val="2AC63910"/>
    <w:rsid w:val="2BA93AD7"/>
    <w:rsid w:val="2CCC6E8D"/>
    <w:rsid w:val="2E104E52"/>
    <w:rsid w:val="2F925B34"/>
    <w:rsid w:val="33E142DC"/>
    <w:rsid w:val="35BC6222"/>
    <w:rsid w:val="35C9774F"/>
    <w:rsid w:val="35DF3AC5"/>
    <w:rsid w:val="369E2CA4"/>
    <w:rsid w:val="37905255"/>
    <w:rsid w:val="394250FE"/>
    <w:rsid w:val="39527917"/>
    <w:rsid w:val="39F1794B"/>
    <w:rsid w:val="3A0E5ACB"/>
    <w:rsid w:val="3A720102"/>
    <w:rsid w:val="3B003448"/>
    <w:rsid w:val="3CAB0758"/>
    <w:rsid w:val="3D39304F"/>
    <w:rsid w:val="3DC53153"/>
    <w:rsid w:val="3E552B30"/>
    <w:rsid w:val="3E8C3079"/>
    <w:rsid w:val="3EA416F4"/>
    <w:rsid w:val="4252375D"/>
    <w:rsid w:val="44EE2311"/>
    <w:rsid w:val="485C4DC2"/>
    <w:rsid w:val="49AF25B4"/>
    <w:rsid w:val="4A8E0AED"/>
    <w:rsid w:val="4AB34F28"/>
    <w:rsid w:val="4AC72CEA"/>
    <w:rsid w:val="4B215746"/>
    <w:rsid w:val="4D2C7920"/>
    <w:rsid w:val="4FCF4B29"/>
    <w:rsid w:val="502137D2"/>
    <w:rsid w:val="53675B3E"/>
    <w:rsid w:val="54274540"/>
    <w:rsid w:val="553412E3"/>
    <w:rsid w:val="565E0507"/>
    <w:rsid w:val="57494034"/>
    <w:rsid w:val="58CB6596"/>
    <w:rsid w:val="593E6D79"/>
    <w:rsid w:val="5B0F4DE7"/>
    <w:rsid w:val="5BBF5717"/>
    <w:rsid w:val="5C80513A"/>
    <w:rsid w:val="5CBD44DD"/>
    <w:rsid w:val="5DF76D19"/>
    <w:rsid w:val="5E000678"/>
    <w:rsid w:val="5FA306BA"/>
    <w:rsid w:val="5FC31257"/>
    <w:rsid w:val="65412AA2"/>
    <w:rsid w:val="677761A9"/>
    <w:rsid w:val="679D708F"/>
    <w:rsid w:val="67F3165F"/>
    <w:rsid w:val="687D0EEA"/>
    <w:rsid w:val="6AE1588E"/>
    <w:rsid w:val="6C710CA2"/>
    <w:rsid w:val="6C942252"/>
    <w:rsid w:val="6D6C7916"/>
    <w:rsid w:val="6EF32384"/>
    <w:rsid w:val="71022240"/>
    <w:rsid w:val="72272D47"/>
    <w:rsid w:val="73CE6220"/>
    <w:rsid w:val="74830B0C"/>
    <w:rsid w:val="748D0583"/>
    <w:rsid w:val="779E2CE6"/>
    <w:rsid w:val="77FFAB08"/>
    <w:rsid w:val="784D22A9"/>
    <w:rsid w:val="79927DAE"/>
    <w:rsid w:val="7A752588"/>
    <w:rsid w:val="7AF123CC"/>
    <w:rsid w:val="7B284396"/>
    <w:rsid w:val="7B2C63F3"/>
    <w:rsid w:val="7C055284"/>
    <w:rsid w:val="7C2B3985"/>
    <w:rsid w:val="7CF5053A"/>
    <w:rsid w:val="7DF7358D"/>
    <w:rsid w:val="7E132763"/>
    <w:rsid w:val="7F4C0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8"/>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9"/>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3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3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0"/>
    <w:unhideWhenUsed/>
    <w:qFormat/>
    <w:uiPriority w:val="99"/>
    <w:pPr>
      <w:jc w:val="left"/>
    </w:pPr>
  </w:style>
  <w:style w:type="paragraph" w:styleId="12">
    <w:name w:val="toc 3"/>
    <w:basedOn w:val="1"/>
    <w:next w:val="1"/>
    <w:unhideWhenUsed/>
    <w:qFormat/>
    <w:uiPriority w:val="39"/>
    <w:pPr>
      <w:ind w:left="840" w:leftChars="400"/>
    </w:pPr>
  </w:style>
  <w:style w:type="paragraph" w:styleId="13">
    <w:name w:val="footer"/>
    <w:basedOn w:val="1"/>
    <w:link w:val="46"/>
    <w:unhideWhenUsed/>
    <w:qFormat/>
    <w:uiPriority w:val="99"/>
    <w:pPr>
      <w:tabs>
        <w:tab w:val="center" w:pos="4153"/>
        <w:tab w:val="right" w:pos="8306"/>
      </w:tabs>
      <w:snapToGrid w:val="0"/>
      <w:jc w:val="left"/>
    </w:pPr>
    <w:rPr>
      <w:rFonts w:ascii="宋体" w:hAnsi="宋体" w:eastAsia="宋体"/>
      <w:sz w:val="28"/>
      <w:szCs w:val="18"/>
    </w:rPr>
  </w:style>
  <w:style w:type="paragraph" w:styleId="14">
    <w:name w:val="header"/>
    <w:basedOn w:val="1"/>
    <w:link w:val="45"/>
    <w:unhideWhenUsed/>
    <w:qFormat/>
    <w:uiPriority w:val="99"/>
    <w:pP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footnote text"/>
    <w:basedOn w:val="1"/>
    <w:link w:val="49"/>
    <w:semiHidden/>
    <w:unhideWhenUsed/>
    <w:qFormat/>
    <w:uiPriority w:val="99"/>
    <w:pPr>
      <w:snapToGrid w:val="0"/>
      <w:jc w:val="left"/>
    </w:pPr>
    <w:rPr>
      <w:sz w:val="18"/>
      <w:szCs w:val="18"/>
    </w:rPr>
  </w:style>
  <w:style w:type="paragraph" w:styleId="18">
    <w:name w:val="toc 2"/>
    <w:basedOn w:val="1"/>
    <w:next w:val="1"/>
    <w:unhideWhenUsed/>
    <w:qFormat/>
    <w:uiPriority w:val="39"/>
    <w:pPr>
      <w:ind w:left="420" w:leftChars="200"/>
    </w:pPr>
  </w:style>
  <w:style w:type="paragraph" w:styleId="19">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0">
    <w:name w:val="annotation subject"/>
    <w:basedOn w:val="11"/>
    <w:next w:val="11"/>
    <w:link w:val="51"/>
    <w:semiHidden/>
    <w:unhideWhenUsed/>
    <w:qFormat/>
    <w:uiPriority w:val="99"/>
    <w:rPr>
      <w:b/>
      <w:bCs/>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unhideWhenUsed/>
    <w:qFormat/>
    <w:uiPriority w:val="99"/>
    <w:rPr>
      <w:color w:val="0563C1" w:themeColor="hyperlink"/>
      <w:u w:val="single"/>
      <w14:textFill>
        <w14:solidFill>
          <w14:schemeClr w14:val="hlink"/>
        </w14:solidFill>
      </w14:textFill>
    </w:rPr>
  </w:style>
  <w:style w:type="character" w:styleId="25">
    <w:name w:val="annotation reference"/>
    <w:basedOn w:val="23"/>
    <w:semiHidden/>
    <w:unhideWhenUsed/>
    <w:qFormat/>
    <w:uiPriority w:val="99"/>
    <w:rPr>
      <w:sz w:val="21"/>
      <w:szCs w:val="21"/>
    </w:rPr>
  </w:style>
  <w:style w:type="character" w:styleId="26">
    <w:name w:val="footnote reference"/>
    <w:basedOn w:val="23"/>
    <w:semiHidden/>
    <w:unhideWhenUsed/>
    <w:qFormat/>
    <w:uiPriority w:val="99"/>
    <w:rPr>
      <w:vertAlign w:val="superscript"/>
    </w:rPr>
  </w:style>
  <w:style w:type="character" w:customStyle="1" w:styleId="27">
    <w:name w:val="标题 1 字符"/>
    <w:basedOn w:val="23"/>
    <w:link w:val="2"/>
    <w:qFormat/>
    <w:uiPriority w:val="9"/>
    <w:rPr>
      <w:rFonts w:asciiTheme="majorHAnsi" w:hAnsiTheme="majorHAnsi" w:eastAsiaTheme="majorEastAsia" w:cstheme="majorBidi"/>
      <w:color w:val="2F5597" w:themeColor="accent1" w:themeShade="BF"/>
      <w:sz w:val="48"/>
      <w:szCs w:val="48"/>
    </w:rPr>
  </w:style>
  <w:style w:type="character" w:customStyle="1" w:styleId="28">
    <w:name w:val="标题 2 字符"/>
    <w:basedOn w:val="23"/>
    <w:link w:val="3"/>
    <w:qFormat/>
    <w:uiPriority w:val="9"/>
    <w:rPr>
      <w:rFonts w:asciiTheme="majorHAnsi" w:hAnsiTheme="majorHAnsi" w:eastAsiaTheme="majorEastAsia" w:cstheme="majorBidi"/>
      <w:color w:val="2F5597" w:themeColor="accent1" w:themeShade="BF"/>
      <w:sz w:val="40"/>
      <w:szCs w:val="40"/>
    </w:rPr>
  </w:style>
  <w:style w:type="character" w:customStyle="1" w:styleId="29">
    <w:name w:val="标题 3 字符"/>
    <w:basedOn w:val="23"/>
    <w:link w:val="4"/>
    <w:qFormat/>
    <w:uiPriority w:val="9"/>
    <w:rPr>
      <w:rFonts w:asciiTheme="majorHAnsi" w:hAnsiTheme="majorHAnsi" w:eastAsiaTheme="majorEastAsia" w:cstheme="majorBidi"/>
      <w:color w:val="2F5597" w:themeColor="accent1" w:themeShade="BF"/>
      <w:sz w:val="32"/>
      <w:szCs w:val="32"/>
    </w:rPr>
  </w:style>
  <w:style w:type="character" w:customStyle="1" w:styleId="30">
    <w:name w:val="标题 4 字符"/>
    <w:basedOn w:val="23"/>
    <w:link w:val="5"/>
    <w:semiHidden/>
    <w:qFormat/>
    <w:uiPriority w:val="9"/>
    <w:rPr>
      <w:rFonts w:cstheme="majorBidi"/>
      <w:color w:val="2F5597" w:themeColor="accent1" w:themeShade="BF"/>
      <w:sz w:val="28"/>
      <w:szCs w:val="28"/>
    </w:rPr>
  </w:style>
  <w:style w:type="character" w:customStyle="1" w:styleId="31">
    <w:name w:val="标题 5 字符"/>
    <w:basedOn w:val="23"/>
    <w:link w:val="6"/>
    <w:semiHidden/>
    <w:qFormat/>
    <w:uiPriority w:val="9"/>
    <w:rPr>
      <w:rFonts w:cstheme="majorBidi"/>
      <w:color w:val="2F5597" w:themeColor="accent1" w:themeShade="BF"/>
      <w:sz w:val="24"/>
      <w:szCs w:val="24"/>
    </w:rPr>
  </w:style>
  <w:style w:type="character" w:customStyle="1" w:styleId="32">
    <w:name w:val="标题 6 字符"/>
    <w:basedOn w:val="23"/>
    <w:link w:val="7"/>
    <w:semiHidden/>
    <w:qFormat/>
    <w:uiPriority w:val="9"/>
    <w:rPr>
      <w:rFonts w:cstheme="majorBidi"/>
      <w:b/>
      <w:bCs/>
      <w:color w:val="2F5597" w:themeColor="accent1" w:themeShade="BF"/>
    </w:rPr>
  </w:style>
  <w:style w:type="character" w:customStyle="1" w:styleId="33">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23"/>
    <w:link w:val="19"/>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23"/>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23"/>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明显强调1"/>
    <w:basedOn w:val="23"/>
    <w:qFormat/>
    <w:uiPriority w:val="21"/>
    <w:rPr>
      <w:i/>
      <w:iCs/>
      <w:color w:val="2F5597" w:themeColor="accent1" w:themeShade="BF"/>
    </w:rPr>
  </w:style>
  <w:style w:type="paragraph" w:styleId="42">
    <w:name w:val="Intense Quote"/>
    <w:basedOn w:val="1"/>
    <w:next w:val="1"/>
    <w:link w:val="4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3">
    <w:name w:val="明显引用 字符"/>
    <w:basedOn w:val="23"/>
    <w:link w:val="42"/>
    <w:qFormat/>
    <w:uiPriority w:val="30"/>
    <w:rPr>
      <w:i/>
      <w:iCs/>
      <w:color w:val="2F5597" w:themeColor="accent1" w:themeShade="BF"/>
    </w:rPr>
  </w:style>
  <w:style w:type="character" w:customStyle="1" w:styleId="44">
    <w:name w:val="明显参考1"/>
    <w:basedOn w:val="23"/>
    <w:qFormat/>
    <w:uiPriority w:val="32"/>
    <w:rPr>
      <w:b/>
      <w:bCs/>
      <w:smallCaps/>
      <w:color w:val="2F5597" w:themeColor="accent1" w:themeShade="BF"/>
      <w:spacing w:val="5"/>
    </w:rPr>
  </w:style>
  <w:style w:type="character" w:customStyle="1" w:styleId="45">
    <w:name w:val="页眉 字符"/>
    <w:basedOn w:val="23"/>
    <w:link w:val="14"/>
    <w:qFormat/>
    <w:uiPriority w:val="99"/>
    <w:rPr>
      <w:sz w:val="18"/>
      <w:szCs w:val="18"/>
    </w:rPr>
  </w:style>
  <w:style w:type="character" w:customStyle="1" w:styleId="46">
    <w:name w:val="页脚 字符"/>
    <w:basedOn w:val="23"/>
    <w:link w:val="13"/>
    <w:qFormat/>
    <w:uiPriority w:val="99"/>
    <w:rPr>
      <w:rFonts w:ascii="宋体" w:hAnsi="宋体" w:eastAsia="宋体"/>
      <w:sz w:val="28"/>
      <w:szCs w:val="18"/>
    </w:rPr>
  </w:style>
  <w:style w:type="paragraph" w:customStyle="1" w:styleId="47">
    <w:name w:val="修订1"/>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48">
    <w:name w:val="TOC 标题1"/>
    <w:basedOn w:val="2"/>
    <w:next w:val="1"/>
    <w:unhideWhenUsed/>
    <w:qFormat/>
    <w:uiPriority w:val="39"/>
    <w:pPr>
      <w:widowControl/>
      <w:spacing w:before="240" w:after="0" w:line="259" w:lineRule="auto"/>
      <w:jc w:val="left"/>
      <w:outlineLvl w:val="9"/>
    </w:pPr>
    <w:rPr>
      <w:kern w:val="0"/>
      <w:sz w:val="32"/>
      <w:szCs w:val="32"/>
      <w14:ligatures w14:val="none"/>
    </w:rPr>
  </w:style>
  <w:style w:type="character" w:customStyle="1" w:styleId="49">
    <w:name w:val="脚注文本 字符"/>
    <w:basedOn w:val="23"/>
    <w:link w:val="17"/>
    <w:semiHidden/>
    <w:qFormat/>
    <w:uiPriority w:val="99"/>
    <w:rPr>
      <w:kern w:val="2"/>
      <w:sz w:val="18"/>
      <w:szCs w:val="18"/>
      <w14:ligatures w14:val="standardContextual"/>
    </w:rPr>
  </w:style>
  <w:style w:type="character" w:customStyle="1" w:styleId="50">
    <w:name w:val="批注文字 字符"/>
    <w:basedOn w:val="23"/>
    <w:link w:val="11"/>
    <w:qFormat/>
    <w:uiPriority w:val="99"/>
    <w:rPr>
      <w:kern w:val="2"/>
      <w:sz w:val="21"/>
      <w:szCs w:val="22"/>
      <w14:ligatures w14:val="standardContextual"/>
    </w:rPr>
  </w:style>
  <w:style w:type="character" w:customStyle="1" w:styleId="51">
    <w:name w:val="批注主题 字符"/>
    <w:basedOn w:val="50"/>
    <w:link w:val="20"/>
    <w:semiHidden/>
    <w:qFormat/>
    <w:uiPriority w:val="99"/>
    <w:rPr>
      <w:b/>
      <w:bCs/>
      <w:kern w:val="2"/>
      <w:sz w:val="21"/>
      <w:szCs w:val="22"/>
      <w14:ligatures w14:val="standardContextual"/>
    </w:rPr>
  </w:style>
  <w:style w:type="paragraph" w:customStyle="1" w:styleId="52">
    <w:name w:val="修订2"/>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character" w:customStyle="1" w:styleId="53">
    <w:name w:val="font51"/>
    <w:basedOn w:val="23"/>
    <w:qFormat/>
    <w:uiPriority w:val="0"/>
    <w:rPr>
      <w:rFonts w:hint="eastAsia" w:ascii="仿宋_GB2312" w:eastAsia="仿宋_GB2312" w:cs="仿宋_GB2312"/>
      <w:b/>
      <w:bCs/>
      <w:color w:val="000000"/>
      <w:sz w:val="24"/>
      <w:szCs w:val="24"/>
      <w:u w:val="none"/>
    </w:rPr>
  </w:style>
  <w:style w:type="character" w:customStyle="1" w:styleId="54">
    <w:name w:val="font61"/>
    <w:basedOn w:val="23"/>
    <w:qFormat/>
    <w:uiPriority w:val="0"/>
    <w:rPr>
      <w:rFonts w:hint="default" w:ascii="Times New Roman" w:hAnsi="Times New Roman" w:cs="Times New Roman"/>
      <w:color w:val="000000"/>
      <w:sz w:val="22"/>
      <w:szCs w:val="22"/>
      <w:u w:val="none"/>
    </w:rPr>
  </w:style>
  <w:style w:type="character" w:customStyle="1" w:styleId="55">
    <w:name w:val="font31"/>
    <w:basedOn w:val="23"/>
    <w:qFormat/>
    <w:uiPriority w:val="0"/>
    <w:rPr>
      <w:rFonts w:hint="eastAsia" w:ascii="仿宋_GB2312" w:eastAsia="仿宋_GB2312" w:cs="仿宋_GB2312"/>
      <w:color w:val="000000"/>
      <w:sz w:val="22"/>
      <w:szCs w:val="22"/>
      <w:u w:val="none"/>
    </w:rPr>
  </w:style>
  <w:style w:type="paragraph" w:customStyle="1" w:styleId="56">
    <w:name w:val="修订3"/>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7">
    <w:name w:val="修订4"/>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8">
    <w:name w:val="修订5"/>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9">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fe09d023-ea1d-4b39-944f-d20d25af4bc7</errorID>
      <errorWord xmlns="http://schemas.wps.cn/vas-ai-hub/contract-review">关爱服务体系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关爱服务体系。</item>
      </candidateList>
      <explain xmlns="http://schemas.wps.cn/vas-ai-hub/contract-review">此处内容疑似含有固定表述相关错误，建议核查。</explain>
      <paraID xmlns="http://schemas.wps.cn/vas-ai-hub/contract-review">3379A011</paraID>
      <start xmlns="http://schemas.wps.cn/vas-ai-hub/contract-review">16</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ea92ec9e-5bee-4d31-9c30-6201052557d5</errorID>
      <errorWord xmlns="http://schemas.wps.cn/vas-ai-hub/contract-review">老年痴呆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阿尔茨海默病</item>
      </candidateList>
      <explain xmlns="http://schemas.wps.cn/vas-ai-hub/contract-review"/>
      <paraID xmlns="http://schemas.wps.cn/vas-ai-hub/contract-review">6B860EA7</paraID>
      <start xmlns="http://schemas.wps.cn/vas-ai-hub/contract-review">104</start>
      <end xmlns="http://schemas.wps.cn/vas-ai-hub/contract-review">108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7fcb0e98-5a39-430e-a7ee-54996271b74f</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政策，</item>
      </candidateList>
      <explain xmlns="http://schemas.wps.cn/vas-ai-hub/contract-review"/>
      <paraID xmlns="http://schemas.wps.cn/vas-ai-hub/contract-review">5C5EF65C</paraID>
      <start xmlns="http://schemas.wps.cn/vas-ai-hub/contract-review">71</start>
      <end xmlns="http://schemas.wps.cn/vas-ai-hub/contract-review">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c195fe84-54d2-49b6-a05a-1a70345d87f0</errorID>
      <errorWord xmlns="http://schemas.wps.cn/vas-ai-hub/contract-review">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5C5EF65C</paraID>
      <start xmlns="http://schemas.wps.cn/vas-ai-hub/contract-review">330</start>
      <end xmlns="http://schemas.wps.cn/vas-ai-hub/contract-review">331</end>
      <status xmlns="http://schemas.wps.cn/vas-ai-hub/contract-review">modified</status>
      <modifiedWord xmlns="http://schemas.wps.cn/vas-ai-hub/contract-review">等</modifiedWord>
      <trackRevisions xmlns="http://schemas.wps.cn/vas-ai-hub/contract-review">false</trackRevisions>
    </reviewItem>
    <reviewItem xmlns="http://schemas.wps.cn/vas-ai-hub/contract-review">
      <errorID xmlns="http://schemas.wps.cn/vas-ai-hub/contract-review">1c96b588-a8b2-4e02-afd5-9605e4a118a0</errorID>
      <errorWord xmlns="http://schemas.wps.cn/vas-ai-hub/contract-review">提升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与提升</item>
      </candidateList>
      <explain xmlns="http://schemas.wps.cn/vas-ai-hub/contract-review"/>
      <paraID xmlns="http://schemas.wps.cn/vas-ai-hub/contract-review">5C5EF65C</paraID>
      <start xmlns="http://schemas.wps.cn/vas-ai-hub/contract-review">381</start>
      <end xmlns="http://schemas.wps.cn/vas-ai-hub/contract-review">383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cbd3a992-10f0-4581-8beb-41b5365e7c79</errorID>
      <errorWord xmlns="http://schemas.wps.cn/vas-ai-hub/contract-review">集中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的集中</item>
      </candidateList>
      <explain xmlns="http://schemas.wps.cn/vas-ai-hub/contract-review"/>
      <paraID xmlns="http://schemas.wps.cn/vas-ai-hub/contract-review">17A6F089</paraID>
      <start xmlns="http://schemas.wps.cn/vas-ai-hub/contract-review">194</start>
      <end xmlns="http://schemas.wps.cn/vas-ai-hub/contract-review">196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7927efed-0077-43de-991f-be8101e74845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4846A960</paraID>
      <start xmlns="http://schemas.wps.cn/vas-ai-hub/contract-review">216</start>
      <end xmlns="http://schemas.wps.cn/vas-ai-hub/contract-review">217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ca040646-b23a-474d-96e4-1cefc363fb1a</errorID>
      <errorWord xmlns="http://schemas.wps.cn/vas-ai-hub/contract-review">不稳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事故</item>
      </candidateList>
      <explain xmlns="http://schemas.wps.cn/vas-ai-hub/contract-review"/>
      <paraID xmlns="http://schemas.wps.cn/vas-ai-hub/contract-review">12AA60B2</paraID>
      <start xmlns="http://schemas.wps.cn/vas-ai-hub/contract-review">131</start>
      <end xmlns="http://schemas.wps.cn/vas-ai-hub/contract-review">133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1067cf1f-9236-47d4-8846-e67e7668dc52</errorID>
      <errorWord xmlns="http://schemas.wps.cn/vas-ai-hub/contract-review">“九五”普法</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“八五”普法</item>
      </candidateList>
      <explain xmlns="http://schemas.wps.cn/vas-ai-hub/contract-review">此处内容疑似含有固定表述相关错误，建议核查。</explain>
      <paraID xmlns="http://schemas.wps.cn/vas-ai-hub/contract-review">2DA788A9</paraID>
      <start xmlns="http://schemas.wps.cn/vas-ai-hub/contract-review">18</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1f20d009-e6cf-471a-9ee6-4366fe0fafa6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1E891F07</paraID>
      <start xmlns="http://schemas.wps.cn/vas-ai-hub/contract-review">155</start>
      <end xmlns="http://schemas.wps.cn/vas-ai-hub/contract-review">156</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76AA3B-91CA-4EAF-B4F3-76374CE835C4}">
  <ds:schemaRefs/>
</ds:datastoreItem>
</file>

<file path=customXml/itemProps3.xml><?xml version="1.0" encoding="utf-8"?>
<ds:datastoreItem xmlns:ds="http://schemas.openxmlformats.org/officeDocument/2006/customXml" ds:itemID="{FE98701A-421D-4F3D-90DD-9BE6732F1E45}">
  <ds:schemaRefs/>
</ds:datastoreItem>
</file>

<file path=docProps/app.xml><?xml version="1.0" encoding="utf-8"?>
<Properties xmlns="http://schemas.openxmlformats.org/officeDocument/2006/extended-properties" xmlns:vt="http://schemas.openxmlformats.org/officeDocument/2006/docPropsVTypes">
  <Template>Normal</Template>
  <Pages>15</Pages>
  <Words>1486</Words>
  <Characters>1569</Characters>
  <Lines>68</Lines>
  <Paragraphs>19</Paragraphs>
  <TotalTime>13</TotalTime>
  <ScaleCrop>false</ScaleCrop>
  <LinksUpToDate>false</LinksUpToDate>
  <CharactersWithSpaces>1603</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2026-10-09T15:03:00Z</dcterms:created>
  <dc:creator>妮儿 妍</dc:creator>
  <cp:lastModifiedBy>HIGC</cp:lastModifiedBy>
  <cp:lastPrinted>2026-10-11T12:47:00Z</cp:lastPrinted>
  <dcterms:modified xsi:type="dcterms:W3CDTF">2026-10-14T08:45:55Z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eyJoZGlkIjoiMTI3ZDBkOTY4YWE5M2JiMTY2OWMwYjZlMDM5OWEyYzUifQ==</vt:lpwstr>
  </property>
  <property fmtid="{D5CDD505-2E9C-101B-9397-08002B2CF9AE}" pid="3" name="KSOProductBuildVer">
    <vt:lpwstr>2052-12.8.2.20327</vt:lpwstr>
  </property>
  <property fmtid="{D5CDD505-2E9C-101B-9397-08002B2CF9AE}" pid="4" name="ICV">
    <vt:lpwstr>3C6AE372001745F6B5ACC7790AAB3868_13</vt:lpwstr>
  </property>
</Properties>
</file>