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D54BA1">
      <w:pPr>
        <w:pageBreakBefore w:val="0"/>
        <w:widowControl w:val="0"/>
        <w:suppressAutoHyphens/>
        <w:kinsoku/>
        <w:wordWrap/>
        <w:overflowPunct/>
        <w:topLinePunct w:val="0"/>
        <w:bidi w:val="0"/>
        <w:adjustRightInd w:val="0"/>
        <w:snapToGrid/>
        <w:spacing w:line="560" w:lineRule="exact"/>
        <w:ind w:left="0" w:leftChars="0"/>
        <w:textAlignment w:val="auto"/>
        <w:rPr>
          <w:rFonts w:hint="eastAsia" w:ascii="黑体" w:hAnsi="黑体" w:eastAsia="黑体" w:cs="黑体"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附件2</w:t>
      </w:r>
    </w:p>
    <w:p w14:paraId="3C5ED04C">
      <w:pPr>
        <w:pStyle w:val="4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left="0" w:leftChars="0"/>
        <w:textAlignment w:val="auto"/>
        <w:rPr>
          <w:rFonts w:hint="eastAsia"/>
          <w:color w:val="auto"/>
          <w:sz w:val="44"/>
          <w:szCs w:val="44"/>
        </w:rPr>
      </w:pPr>
    </w:p>
    <w:p w14:paraId="74DEDF50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center"/>
        <w:textAlignment w:val="auto"/>
        <w:rPr>
          <w:color w:val="auto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关于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  <w:t>《丰台区“十五五”时期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eastAsia="zh-CN"/>
        </w:rPr>
        <w:t>交通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  <w:t>发展规划》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的起草说明</w:t>
      </w:r>
    </w:p>
    <w:p w14:paraId="0E9F3254">
      <w:pPr>
        <w:pStyle w:val="4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left="0" w:firstLine="640" w:firstLineChars="200"/>
        <w:textAlignment w:val="auto"/>
        <w:rPr>
          <w:rFonts w:hint="eastAsia" w:cs="仿宋_GB2312"/>
          <w:color w:val="auto"/>
          <w:sz w:val="32"/>
          <w:szCs w:val="32"/>
          <w:highlight w:val="none"/>
          <w:lang w:eastAsia="zh-CN"/>
        </w:rPr>
      </w:pPr>
    </w:p>
    <w:p w14:paraId="673F9C7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eastAsia="黑体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为深入贯彻交通强国建设部署，全面落实上位规划要求，立足丰台区发展实际，衔接“十四五”交通发展成果，科学谋划2026—2030年全区交通建设发展工作，区城管委牵头编制完成《丰台区“十五五”时期交通发展规划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现将有关情况说明如下：</w:t>
      </w:r>
    </w:p>
    <w:p w14:paraId="55AB3C9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一、修订背景与必要性</w:t>
      </w:r>
    </w:p>
    <w:p w14:paraId="1497101F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bidi="ar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bidi="ar"/>
        </w:rPr>
        <w:t>“十四五”时期，我区交通事业发展成效显著，“三站两楼”枢纽功能持续增强，轨道交通、地面公交网络不断完善，出行便利度明显提升；路网结构持续优化，规划道路实施率由37.1%提升至43.5%；静态交通、慢行系统、智慧交通建设稳步推进，交通综合治理水平稳步提升，有力支撑了全区经济社会高质量发展。同时，当前我区仍存在轨道交通覆盖不均衡、路网体系有待完善、动静态交通供需矛盾突出、智慧绿色发展动能不足、跨部门协同治理能力有待加强等问题。</w:t>
      </w:r>
    </w:p>
    <w:p w14:paraId="3C16C198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bidi="ar"/>
        </w:rPr>
        <w:t>“十五五”时期是丰台区夯实现代化发展基础、深度融入京津冀协同发展、服务首都“四个中心”功能建设的关键阶段。交通作为城市发展的基础性、先导性产业，亟需统筹补齐短板、优化结构、提升效能。为系统破解现存交通难题，构建现代化综合交通体系，引领区域空间布局与产业升级，保障群众高品质出行，我委组织开展本次《规划》编制工作。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二、修订过程</w:t>
      </w:r>
    </w:p>
    <w:p w14:paraId="4F94851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outlineLvl w:val="0"/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  <w:t>按照全区统一工作安排，我委严格对标国家、北京市相关规划及政策文件，结合丰台区位特点、功能定位、产业布局及交通运行现状，先后开展现状摸排、实地调研、数据分析、座谈研讨等工作，对接市级主管部门、区内各单位、街道乡镇，研究提出“十五五”时期交通发展建设计划。同步配套开展专项研究，一是设定关键指标形成发展指标体系，二是统筹谋划重点项目支撑任务目标实现。目前已完成专家评审，并在全区各单位开展5轮意见征集，经过反复修改完善，最终形成本《规划》。</w:t>
      </w:r>
    </w:p>
    <w:p w14:paraId="3CF072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0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三、主要内容</w:t>
      </w:r>
    </w:p>
    <w:p w14:paraId="2297640A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cs="仿宋_GB2312"/>
          <w:color w:val="auto"/>
          <w:sz w:val="32"/>
          <w:szCs w:val="40"/>
          <w:lang w:val="en-US" w:eastAsia="zh-CN"/>
        </w:rPr>
      </w:pPr>
      <w:r>
        <w:rPr>
          <w:rFonts w:hint="eastAsia" w:cs="仿宋_GB2312"/>
          <w:color w:val="auto"/>
          <w:sz w:val="32"/>
          <w:szCs w:val="40"/>
          <w:lang w:val="en-US" w:eastAsia="zh-CN"/>
        </w:rPr>
        <w:t>《规划》正文分为前言和发展环境、总体要求、主要任务、保障措施四章十八节。</w:t>
      </w:r>
    </w:p>
    <w:p w14:paraId="69885DD0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cs="仿宋_GB2312"/>
          <w:color w:val="auto"/>
          <w:sz w:val="32"/>
          <w:szCs w:val="40"/>
          <w:lang w:val="en-US" w:eastAsia="zh-CN"/>
        </w:rPr>
      </w:pPr>
      <w:r>
        <w:rPr>
          <w:rFonts w:hint="eastAsia" w:cs="仿宋_GB2312"/>
          <w:color w:val="auto"/>
          <w:sz w:val="32"/>
          <w:szCs w:val="40"/>
          <w:lang w:val="en-US" w:eastAsia="zh-CN"/>
        </w:rPr>
        <w:t>前言部分阐述编制背景、依据、规划范围与期限。</w:t>
      </w:r>
    </w:p>
    <w:p w14:paraId="3B9F80C2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cs="仿宋_GB2312"/>
          <w:color w:val="auto"/>
          <w:sz w:val="32"/>
          <w:szCs w:val="40"/>
          <w:lang w:val="en-US" w:eastAsia="zh-CN"/>
        </w:rPr>
      </w:pPr>
      <w:r>
        <w:rPr>
          <w:rFonts w:hint="eastAsia" w:cs="仿宋_GB2312"/>
          <w:color w:val="auto"/>
          <w:sz w:val="32"/>
          <w:szCs w:val="40"/>
          <w:lang w:val="en-US" w:eastAsia="zh-CN"/>
        </w:rPr>
        <w:t>第一章为发展环境。全面总结“十四五”我区交通发展各项成效，系统梳理轨道交通、路网建设、动静交通、智慧治理、协同管理等方面现存短板，并结合首都发展、京津冀协同、区域产业布局等，明确“十五五”交通发展面临的新形势与工作要求。</w:t>
      </w:r>
    </w:p>
    <w:p w14:paraId="56C17259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cs="仿宋_GB2312"/>
          <w:color w:val="auto"/>
          <w:sz w:val="32"/>
          <w:szCs w:val="40"/>
          <w:lang w:val="en-US" w:eastAsia="zh-CN"/>
        </w:rPr>
      </w:pPr>
      <w:r>
        <w:rPr>
          <w:rFonts w:hint="eastAsia" w:cs="仿宋_GB2312"/>
          <w:color w:val="auto"/>
          <w:sz w:val="32"/>
          <w:szCs w:val="40"/>
          <w:lang w:val="en-US" w:eastAsia="zh-CN"/>
        </w:rPr>
        <w:t>第二章为总体要求。明确以习近平新时代中国特色社会主义思想为根本指引，全面落实党的二十大精神与首都工作要求，立足丰台“四区一枢纽”定位与“三站两楼”枢纽优势，统筹多网融合、数智赋能、绿色低碳发展。围绕本区发展愿景与工作主线，做强枢纽辐射、轨道引领、路网畅通、全龄慢行、智慧治理、低碳交通、民生服务七大方向，打造中心城区交通治理示范，支撑首都“四个中心”建设与京津冀协同发展。明确到2030年实现基本建成现代化综合交通体系；建成轨道密集、路网畅达、慢行宜人、绿色智慧的综合交通体系，“三站两楼”枢纽效能充分释放，数字化治理全域覆盖，公交、慢行优先落地见效，交通综合实力、服务品质跻身中心城区前列。</w:t>
      </w:r>
    </w:p>
    <w:p w14:paraId="302EDEF1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cs="仿宋_GB2312"/>
          <w:color w:val="auto"/>
          <w:sz w:val="32"/>
          <w:szCs w:val="40"/>
          <w:lang w:val="en-US" w:eastAsia="zh-CN"/>
        </w:rPr>
      </w:pPr>
      <w:r>
        <w:rPr>
          <w:rFonts w:hint="eastAsia" w:cs="仿宋_GB2312"/>
          <w:color w:val="auto"/>
          <w:sz w:val="32"/>
          <w:szCs w:val="40"/>
          <w:lang w:val="en-US" w:eastAsia="zh-CN"/>
        </w:rPr>
        <w:t>第三章为主要任务。围绕新建城市道路里程119.8公里、道路规划实施率52.0%、新增停车位数量2.0万个等九个重点指标设定2030年完成目标，围绕十大方向部署核心工作：一是强化公交引领。推进轨道线路建设，搭建三级地面公交网络，依托丽泽航站楼打造京津冀公共交通走廊；二是完善路网体系。统筹路网建设，配齐片区配套道路，推进道路养护数字化、预防性升级；三是盘活停车资源。利用闲置空间新增车位，推行道路停车数字化管理，推广错时共享停车，提高停车资源利用率；四是深化交通综合治理。清零断头路，整治学校、医院、商圈等重点区域交通秩序，试点潮汐车道，优化拥堵节点通行；五是优化慢行网络。贯通人行道断点、加密非机动车道，打造多功能慢行活力节点；六是推进枢纽建设。改造、优化交通枢纽，依托轨道微中心推进TOD开发，激活枢纽经济价值；七是推动产业融合。打造一体化出行服务体系，发展网络货运、文旅主题公交；八是构建智慧交通。打造智慧交通大脑，落地自动驾驶接驳试点；九是安全绿色韧性交通。推广低碳建养技术，治理交通污染与道路噪声；十是创新治理模式。构建多元共治格局，依托交通规划研究院深化产学研融合，强化人才与技术保障。</w:t>
      </w:r>
    </w:p>
    <w:p w14:paraId="5B36C6CF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</w:pPr>
      <w:r>
        <w:rPr>
          <w:rFonts w:hint="eastAsia" w:cs="仿宋_GB2312"/>
          <w:color w:val="auto"/>
          <w:sz w:val="32"/>
          <w:szCs w:val="40"/>
          <w:lang w:val="en-US" w:eastAsia="zh-CN"/>
        </w:rPr>
        <w:t>第四章为保障措施。从健全综合统筹机制、强化要素保障、深化多元主体协作、完善动态监督评价四个方面，压实工作责任、拓宽保障渠道、强化全过程监管，确保规划各项任务落地见效。</w:t>
      </w: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6F6613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F2F1382">
                          <w:pPr>
                            <w:pStyle w:val="6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F2F1382">
                    <w:pPr>
                      <w:pStyle w:val="6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870517"/>
    <w:rsid w:val="0B0E4F1D"/>
    <w:rsid w:val="0BBA6FBC"/>
    <w:rsid w:val="21E534C1"/>
    <w:rsid w:val="22F72A09"/>
    <w:rsid w:val="29925BA9"/>
    <w:rsid w:val="2D3F0E8E"/>
    <w:rsid w:val="31737081"/>
    <w:rsid w:val="31D14E02"/>
    <w:rsid w:val="464C7F60"/>
    <w:rsid w:val="4AC60B88"/>
    <w:rsid w:val="4C5870B8"/>
    <w:rsid w:val="51E84742"/>
    <w:rsid w:val="54AA7C54"/>
    <w:rsid w:val="658551CB"/>
    <w:rsid w:val="68DC7537"/>
    <w:rsid w:val="6C41193C"/>
    <w:rsid w:val="6ECF4375"/>
    <w:rsid w:val="6F763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widowControl w:val="0"/>
      <w:outlineLvl w:val="1"/>
    </w:pPr>
    <w:rPr>
      <w:rFonts w:eastAsia="楷体_GB2312" w:cs="Times New Roman"/>
      <w:bCs/>
      <w:szCs w:val="32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qFormat/>
    <w:uiPriority w:val="0"/>
    <w:pPr>
      <w:spacing w:after="120"/>
      <w:ind w:left="1440" w:leftChars="700" w:right="700" w:rightChars="700"/>
    </w:pPr>
  </w:style>
  <w:style w:type="paragraph" w:styleId="4">
    <w:name w:val="Body Text"/>
    <w:basedOn w:val="1"/>
    <w:next w:val="1"/>
    <w:qFormat/>
    <w:uiPriority w:val="1"/>
    <w:pPr>
      <w:widowControl w:val="0"/>
      <w:autoSpaceDE w:val="0"/>
      <w:autoSpaceDN w:val="0"/>
      <w:adjustRightInd/>
      <w:snapToGrid/>
      <w:spacing w:after="0"/>
    </w:pPr>
    <w:rPr>
      <w:rFonts w:ascii="仿宋_GB2312" w:hAnsi="仿宋_GB2312" w:eastAsia="仿宋_GB2312" w:cs="仿宋_GB2312"/>
      <w:sz w:val="32"/>
      <w:szCs w:val="32"/>
      <w:lang w:val="zh-CN" w:bidi="zh-CN"/>
    </w:rPr>
  </w:style>
  <w:style w:type="paragraph" w:styleId="5">
    <w:name w:val="Body Text Indent"/>
    <w:basedOn w:val="1"/>
    <w:next w:val="1"/>
    <w:qFormat/>
    <w:uiPriority w:val="0"/>
    <w:pPr>
      <w:spacing w:after="120"/>
      <w:ind w:left="420" w:leftChars="200"/>
    </w:pPr>
    <w:rPr>
      <w:rFonts w:ascii="Times New Roman" w:hAnsi="Times New Roman"/>
      <w:kern w:val="0"/>
      <w:sz w:val="20"/>
      <w:szCs w:val="24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Body Text First Indent 2"/>
    <w:basedOn w:val="5"/>
    <w:next w:val="1"/>
    <w:qFormat/>
    <w:uiPriority w:val="0"/>
    <w:pPr>
      <w:adjustRightInd w:val="0"/>
      <w:spacing w:line="360" w:lineRule="atLeast"/>
      <w:ind w:firstLine="420" w:firstLineChars="200"/>
      <w:textAlignment w:val="baseline"/>
    </w:pPr>
    <w:rPr>
      <w:rFonts w:ascii="Calibri" w:hAnsi="Calibri" w:cs="Times New Roman"/>
    </w:rPr>
  </w:style>
  <w:style w:type="character" w:styleId="11">
    <w:name w:val="Strong"/>
    <w:basedOn w:val="10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1963</Words>
  <Characters>2004</Characters>
  <Lines>0</Lines>
  <Paragraphs>0</Paragraphs>
  <TotalTime>5</TotalTime>
  <ScaleCrop>false</ScaleCrop>
  <LinksUpToDate>false</LinksUpToDate>
  <CharactersWithSpaces>2010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2026-03-27T06:35:00Z</dcterms:created>
  <dc:creator>Administrator</dc:creator>
  <cp:lastModifiedBy>相濡以沫</cp:lastModifiedBy>
  <dcterms:modified xsi:type="dcterms:W3CDTF">2026-10-13T02:21:05Z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eyJoZGlkIjoiNjMzNDg4MzE1MzI2ZDRmNDIxZmE1ZGFhOGM2NDAzMjgiLCJ1c2VySWQiOiI2NTkyMjk5NjgifQ==</vt:lpwstr>
  </property>
  <property fmtid="{D5CDD505-2E9C-101B-9397-08002B2CF9AE}" pid="4" name="ICV">
    <vt:lpwstr>0D2E1553AD3749AB8938925808C5D3B2_12</vt:lpwstr>
  </property>
</Properties>
</file>