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8A666">
      <w:pPr>
        <w:spacing w:line="360" w:lineRule="auto"/>
        <w:jc w:val="center"/>
        <w:rPr>
          <w:rFonts w:ascii="Times New Roman" w:hAnsi="Times New Roman" w:eastAsia="方正小标宋简体" w:cs="Times New Roman"/>
          <w:sz w:val="48"/>
          <w:szCs w:val="48"/>
          <w:highlight w:val="none"/>
        </w:rPr>
      </w:pPr>
    </w:p>
    <w:p w14:paraId="16545C4B">
      <w:pPr>
        <w:spacing w:line="360" w:lineRule="auto"/>
        <w:jc w:val="center"/>
        <w:rPr>
          <w:rFonts w:ascii="Times New Roman" w:hAnsi="Times New Roman" w:eastAsia="方正小标宋简体" w:cs="Times New Roman"/>
          <w:sz w:val="48"/>
          <w:szCs w:val="48"/>
          <w:highlight w:val="none"/>
        </w:rPr>
      </w:pPr>
    </w:p>
    <w:p w14:paraId="3D65566E">
      <w:pPr>
        <w:spacing w:line="360" w:lineRule="auto"/>
        <w:jc w:val="center"/>
        <w:rPr>
          <w:rFonts w:ascii="Times New Roman" w:hAnsi="Times New Roman" w:eastAsia="方正小标宋简体" w:cs="Times New Roman"/>
          <w:sz w:val="48"/>
          <w:szCs w:val="48"/>
          <w:highlight w:val="none"/>
        </w:rPr>
      </w:pPr>
    </w:p>
    <w:p w14:paraId="73B181BD">
      <w:pPr>
        <w:spacing w:line="360" w:lineRule="auto"/>
        <w:jc w:val="center"/>
        <w:rPr>
          <w:rFonts w:ascii="Times New Roman" w:hAnsi="Times New Roman" w:eastAsia="方正小标宋简体" w:cs="Times New Roman"/>
          <w:sz w:val="48"/>
          <w:szCs w:val="48"/>
          <w:highlight w:val="none"/>
        </w:rPr>
      </w:pPr>
    </w:p>
    <w:p w14:paraId="7BCB304F">
      <w:pPr>
        <w:spacing w:line="360" w:lineRule="auto"/>
        <w:jc w:val="center"/>
        <w:rPr>
          <w:rFonts w:ascii="Times New Roman" w:hAnsi="Times New Roman" w:eastAsia="方正小标宋简体" w:cs="Times New Roman"/>
          <w:sz w:val="48"/>
          <w:szCs w:val="48"/>
          <w:highlight w:val="none"/>
        </w:rPr>
      </w:pPr>
      <w:r>
        <w:rPr>
          <w:rFonts w:hint="eastAsia" w:ascii="Times New Roman" w:hAnsi="Times New Roman" w:eastAsia="方正小标宋简体" w:cs="Times New Roman"/>
          <w:sz w:val="48"/>
          <w:szCs w:val="48"/>
          <w:highlight w:val="none"/>
        </w:rPr>
        <w:t>丰台区“十五五”时期</w:t>
      </w:r>
    </w:p>
    <w:p w14:paraId="3D094242">
      <w:pPr>
        <w:spacing w:before="93" w:beforeLines="30" w:line="360" w:lineRule="auto"/>
        <w:jc w:val="center"/>
        <w:rPr>
          <w:rFonts w:hint="eastAsia" w:ascii="Times New Roman" w:hAnsi="Times New Roman" w:eastAsia="方正小标宋简体" w:cs="Times New Roman"/>
          <w:sz w:val="48"/>
          <w:szCs w:val="48"/>
          <w:highlight w:val="none"/>
        </w:rPr>
      </w:pPr>
      <w:r>
        <w:rPr>
          <w:rFonts w:hint="eastAsia" w:ascii="Times New Roman" w:hAnsi="Times New Roman" w:eastAsia="方正小标宋简体" w:cs="Times New Roman"/>
          <w:sz w:val="48"/>
          <w:szCs w:val="48"/>
          <w:highlight w:val="none"/>
        </w:rPr>
        <w:t>交通发展规划</w:t>
      </w:r>
    </w:p>
    <w:p w14:paraId="3D50D8D8">
      <w:pPr>
        <w:spacing w:before="93" w:beforeLines="30" w:line="360" w:lineRule="auto"/>
        <w:jc w:val="center"/>
        <w:rPr>
          <w:rFonts w:hint="eastAsia" w:ascii="Times New Roman" w:hAnsi="Times New Roman" w:eastAsia="方正小标宋简体" w:cs="Times New Roman"/>
          <w:sz w:val="48"/>
          <w:szCs w:val="48"/>
          <w:highlight w:val="none"/>
          <w:lang w:val="en-US" w:eastAsia="zh-CN"/>
        </w:rPr>
      </w:pPr>
      <w:r>
        <w:rPr>
          <w:rFonts w:hint="eastAsia" w:ascii="Times New Roman" w:hAnsi="Times New Roman" w:eastAsia="方正小标宋简体" w:cs="Times New Roman"/>
          <w:sz w:val="48"/>
          <w:szCs w:val="48"/>
          <w:highlight w:val="none"/>
          <w:lang w:val="en-US" w:eastAsia="zh-CN"/>
        </w:rPr>
        <w:t>（征求意见稿）</w:t>
      </w:r>
    </w:p>
    <w:p w14:paraId="273FA5AF">
      <w:pPr>
        <w:spacing w:line="360" w:lineRule="auto"/>
        <w:jc w:val="center"/>
        <w:rPr>
          <w:rFonts w:hint="eastAsia" w:ascii="方正小标宋简体" w:hAnsi="方正小标宋简体" w:eastAsia="方正小标宋简体" w:cs="方正小标宋简体"/>
          <w:sz w:val="10"/>
          <w:szCs w:val="10"/>
          <w:highlight w:val="none"/>
        </w:rPr>
      </w:pPr>
    </w:p>
    <w:p w14:paraId="4FC3FDE5">
      <w:pPr>
        <w:spacing w:line="360" w:lineRule="auto"/>
        <w:jc w:val="center"/>
        <w:rPr>
          <w:rFonts w:hint="eastAsia" w:ascii="方正小标宋简体" w:hAnsi="方正小标宋简体" w:eastAsia="方正小标宋简体" w:cs="方正小标宋简体"/>
          <w:sz w:val="56"/>
          <w:szCs w:val="56"/>
          <w:highlight w:val="none"/>
        </w:rPr>
      </w:pPr>
    </w:p>
    <w:p w14:paraId="2CF0136F">
      <w:pPr>
        <w:spacing w:line="360" w:lineRule="auto"/>
        <w:jc w:val="center"/>
        <w:rPr>
          <w:rFonts w:hint="eastAsia" w:ascii="方正小标宋简体" w:hAnsi="方正小标宋简体" w:eastAsia="方正小标宋简体" w:cs="方正小标宋简体"/>
          <w:sz w:val="56"/>
          <w:szCs w:val="56"/>
          <w:highlight w:val="none"/>
        </w:rPr>
      </w:pPr>
    </w:p>
    <w:p w14:paraId="1126499E">
      <w:pPr>
        <w:spacing w:line="360" w:lineRule="auto"/>
        <w:jc w:val="center"/>
        <w:rPr>
          <w:rFonts w:hint="eastAsia" w:ascii="方正小标宋简体" w:hAnsi="方正小标宋简体" w:eastAsia="方正小标宋简体" w:cs="方正小标宋简体"/>
          <w:sz w:val="56"/>
          <w:szCs w:val="56"/>
          <w:highlight w:val="none"/>
        </w:rPr>
      </w:pPr>
    </w:p>
    <w:p w14:paraId="04E2E009">
      <w:pPr>
        <w:spacing w:line="360" w:lineRule="auto"/>
        <w:jc w:val="center"/>
        <w:rPr>
          <w:rFonts w:hint="eastAsia" w:ascii="方正小标宋简体" w:hAnsi="方正小标宋简体" w:eastAsia="方正小标宋简体" w:cs="方正小标宋简体"/>
          <w:sz w:val="56"/>
          <w:szCs w:val="56"/>
          <w:highlight w:val="none"/>
        </w:rPr>
      </w:pPr>
    </w:p>
    <w:p w14:paraId="0EB95E23">
      <w:pPr>
        <w:spacing w:line="360" w:lineRule="auto"/>
        <w:jc w:val="center"/>
        <w:rPr>
          <w:rFonts w:hint="eastAsia" w:ascii="方正小标宋简体" w:hAnsi="方正小标宋简体" w:eastAsia="方正小标宋简体" w:cs="方正小标宋简体"/>
          <w:sz w:val="56"/>
          <w:szCs w:val="56"/>
          <w:highlight w:val="none"/>
        </w:rPr>
      </w:pPr>
    </w:p>
    <w:p w14:paraId="785D2646">
      <w:pPr>
        <w:tabs>
          <w:tab w:val="left" w:pos="4752"/>
        </w:tabs>
        <w:spacing w:line="360" w:lineRule="auto"/>
        <w:jc w:val="left"/>
        <w:rPr>
          <w:rFonts w:ascii="方正小标宋简体" w:hAnsi="Times New Roman" w:eastAsia="方正小标宋简体" w:cs="Times New Roman"/>
          <w:sz w:val="10"/>
          <w:szCs w:val="10"/>
          <w:highlight w:val="none"/>
        </w:rPr>
      </w:pPr>
    </w:p>
    <w:p w14:paraId="28924929">
      <w:pPr>
        <w:pStyle w:val="15"/>
        <w:spacing w:before="93" w:line="360" w:lineRule="auto"/>
        <w:ind w:firstLine="0" w:firstLineChars="0"/>
        <w:jc w:val="center"/>
        <w:rPr>
          <w:rFonts w:hint="eastAsia" w:ascii="仿宋" w:hAnsi="仿宋" w:eastAsia="仿宋"/>
          <w:b/>
          <w:bCs/>
          <w:sz w:val="36"/>
          <w:szCs w:val="36"/>
          <w:highlight w:val="none"/>
        </w:rPr>
      </w:pPr>
      <w:r>
        <w:rPr>
          <w:rFonts w:hint="eastAsia" w:ascii="仿宋" w:hAnsi="仿宋" w:eastAsia="仿宋"/>
          <w:b/>
          <w:bCs/>
          <w:sz w:val="36"/>
          <w:szCs w:val="36"/>
          <w:highlight w:val="none"/>
        </w:rPr>
        <w:t>丰台区城市管理委员会（交通委员会）</w:t>
      </w:r>
    </w:p>
    <w:p w14:paraId="0F0D7BF2">
      <w:pPr>
        <w:pStyle w:val="15"/>
        <w:spacing w:before="93" w:line="360" w:lineRule="auto"/>
        <w:ind w:firstLine="0" w:firstLineChars="0"/>
        <w:jc w:val="center"/>
        <w:rPr>
          <w:rFonts w:hint="eastAsia" w:ascii="仿宋" w:hAnsi="仿宋" w:eastAsia="仿宋"/>
          <w:sz w:val="36"/>
          <w:szCs w:val="36"/>
          <w:highlight w:val="none"/>
        </w:rPr>
      </w:pPr>
      <w:r>
        <w:rPr>
          <w:rFonts w:hint="eastAsia" w:ascii="仿宋" w:hAnsi="仿宋" w:eastAsia="仿宋"/>
          <w:sz w:val="36"/>
          <w:szCs w:val="36"/>
          <w:highlight w:val="none"/>
        </w:rPr>
        <w:t>二〇二六年</w:t>
      </w:r>
      <w:r>
        <w:rPr>
          <w:rFonts w:hint="eastAsia" w:ascii="仿宋" w:hAnsi="仿宋" w:eastAsia="仿宋"/>
          <w:sz w:val="36"/>
          <w:szCs w:val="36"/>
          <w:highlight w:val="none"/>
          <w:lang w:eastAsia="zh-CN"/>
        </w:rPr>
        <w:t>十</w:t>
      </w:r>
      <w:bookmarkStart w:id="103" w:name="_GoBack"/>
      <w:bookmarkEnd w:id="103"/>
      <w:r>
        <w:rPr>
          <w:rFonts w:hint="eastAsia" w:ascii="仿宋" w:hAnsi="仿宋" w:eastAsia="仿宋"/>
          <w:sz w:val="36"/>
          <w:szCs w:val="36"/>
          <w:highlight w:val="none"/>
        </w:rPr>
        <w:t>月</w:t>
      </w:r>
    </w:p>
    <w:p w14:paraId="1358A26C">
      <w:pPr>
        <w:spacing w:line="360" w:lineRule="auto"/>
        <w:rPr>
          <w:rFonts w:hint="eastAsia" w:ascii="仿宋" w:hAnsi="仿宋" w:eastAsia="仿宋"/>
          <w:sz w:val="36"/>
          <w:szCs w:val="36"/>
          <w:highlight w:val="none"/>
        </w:rPr>
        <w:sectPr>
          <w:headerReference r:id="rId3" w:type="default"/>
          <w:pgSz w:w="11906" w:h="16838"/>
          <w:pgMar w:top="1440" w:right="1800" w:bottom="1440" w:left="1800" w:header="851" w:footer="992" w:gutter="0"/>
          <w:pgNumType w:fmt="numberInDash"/>
          <w:cols w:space="425" w:num="1"/>
          <w:docGrid w:type="lines" w:linePitch="312" w:charSpace="0"/>
        </w:sectPr>
      </w:pPr>
    </w:p>
    <w:p w14:paraId="4A5BC2DB">
      <w:pPr>
        <w:spacing w:line="240" w:lineRule="auto"/>
        <w:rPr>
          <w:highlight w:val="none"/>
        </w:rPr>
      </w:pPr>
      <w:r>
        <w:rPr>
          <w:highlight w:val="none"/>
        </w:rPr>
        <w:br w:type="page"/>
      </w:r>
    </w:p>
    <w:sdt>
      <w:sdtPr>
        <w:rPr>
          <w:rFonts w:ascii="方正小标宋简体" w:hAnsi="仿宋" w:eastAsia="方正小标宋简体"/>
          <w:b w:val="0"/>
          <w:bCs w:val="0"/>
          <w:spacing w:val="14"/>
          <w:kern w:val="0"/>
          <w:sz w:val="44"/>
          <w:szCs w:val="44"/>
          <w:highlight w:val="none"/>
        </w:rPr>
        <w:id w:val="147469434"/>
        <w15:color w:val="DBDBDB"/>
        <w:docPartObj>
          <w:docPartGallery w:val="Table of Contents"/>
          <w:docPartUnique/>
        </w:docPartObj>
      </w:sdtPr>
      <w:sdtEndPr>
        <w:rPr>
          <w:rStyle w:val="13"/>
          <w:rFonts w:hint="eastAsia" w:ascii="仿宋" w:hAnsi="仿宋" w:eastAsia="仿宋"/>
          <w:b w:val="0"/>
          <w:bCs w:val="0"/>
          <w:color w:val="0026E5" w:themeColor="hyperlink"/>
          <w:spacing w:val="0"/>
          <w:kern w:val="0"/>
          <w:sz w:val="30"/>
          <w:szCs w:val="30"/>
          <w:highlight w:val="none"/>
          <w:u w:val="single"/>
          <w14:textFill>
            <w14:solidFill>
              <w14:schemeClr w14:val="hlink"/>
            </w14:solidFill>
          </w14:textFill>
        </w:rPr>
      </w:sdtEndPr>
      <w:sdtContent>
        <w:p w14:paraId="3D4F192F">
          <w:pPr>
            <w:pStyle w:val="16"/>
            <w:keepNext w:val="0"/>
            <w:keepLines w:val="0"/>
            <w:spacing w:before="0" w:beforeLines="0" w:line="360" w:lineRule="auto"/>
            <w:rPr>
              <w:rFonts w:hint="eastAsia" w:ascii="方正小标宋简体" w:hAnsi="仿宋" w:eastAsia="方正小标宋简体"/>
              <w:b w:val="0"/>
              <w:bCs w:val="0"/>
              <w:spacing w:val="14"/>
              <w:sz w:val="44"/>
              <w:szCs w:val="44"/>
              <w:highlight w:val="none"/>
            </w:rPr>
          </w:pPr>
          <w:bookmarkStart w:id="0" w:name="_Toc1579205830"/>
          <w:bookmarkStart w:id="1" w:name="_Toc31733"/>
          <w:bookmarkStart w:id="2" w:name="_Toc22315"/>
          <w:r>
            <w:rPr>
              <w:rFonts w:ascii="方正小标宋简体" w:hAnsi="仿宋" w:eastAsia="方正小标宋简体"/>
              <w:b w:val="0"/>
              <w:bCs w:val="0"/>
              <w:spacing w:val="14"/>
              <w:sz w:val="44"/>
              <w:szCs w:val="44"/>
              <w:highlight w:val="none"/>
            </w:rPr>
            <w:t>目</w:t>
          </w:r>
          <w:r>
            <w:rPr>
              <w:rFonts w:hint="eastAsia" w:ascii="方正小标宋简体" w:hAnsi="仿宋" w:eastAsia="方正小标宋简体"/>
              <w:b w:val="0"/>
              <w:bCs w:val="0"/>
              <w:spacing w:val="14"/>
              <w:sz w:val="44"/>
              <w:szCs w:val="44"/>
              <w:highlight w:val="none"/>
            </w:rPr>
            <w:t xml:space="preserve"> </w:t>
          </w:r>
          <w:r>
            <w:rPr>
              <w:rFonts w:ascii="方正小标宋简体" w:hAnsi="仿宋" w:eastAsia="方正小标宋简体"/>
              <w:b w:val="0"/>
              <w:bCs w:val="0"/>
              <w:spacing w:val="14"/>
              <w:sz w:val="44"/>
              <w:szCs w:val="44"/>
              <w:highlight w:val="none"/>
            </w:rPr>
            <w:t>录</w:t>
          </w:r>
          <w:bookmarkEnd w:id="0"/>
          <w:bookmarkEnd w:id="1"/>
          <w:bookmarkEnd w:id="2"/>
        </w:p>
        <w:p w14:paraId="34CD85E4">
          <w:pPr>
            <w:pStyle w:val="9"/>
            <w:tabs>
              <w:tab w:val="right" w:leader="dot" w:pos="8306"/>
            </w:tabs>
            <w:adjustRightInd w:val="0"/>
            <w:snapToGrid w:val="0"/>
            <w:spacing w:line="560" w:lineRule="exact"/>
            <w:ind w:left="0" w:leftChars="0" w:firstLine="0" w:firstLineChars="0"/>
            <w:rPr>
              <w:rFonts w:ascii="仿宋" w:hAnsi="仿宋" w:eastAsia="仿宋" w:cs="Times New Roman"/>
              <w:color w:val="auto"/>
              <w:spacing w:val="-6"/>
              <w:sz w:val="32"/>
              <w:szCs w:val="32"/>
              <w:highlight w:val="none"/>
            </w:rPr>
          </w:pPr>
          <w:r>
            <w:rPr>
              <w:rFonts w:hint="default" w:asciiTheme="minorHAnsi" w:hAnsiTheme="minorHAnsi" w:eastAsiaTheme="minorEastAsia" w:cstheme="minorBidi"/>
              <w:sz w:val="21"/>
              <w:szCs w:val="22"/>
              <w:highlight w:val="none"/>
            </w:rPr>
            <w:fldChar w:fldCharType="begin"/>
          </w:r>
          <w:r>
            <w:rPr>
              <w:rFonts w:hint="default" w:asciiTheme="minorHAnsi" w:hAnsiTheme="minorHAnsi" w:eastAsiaTheme="minorEastAsia" w:cstheme="minorBidi"/>
              <w:sz w:val="21"/>
              <w:szCs w:val="22"/>
              <w:highlight w:val="none"/>
            </w:rPr>
            <w:instrText xml:space="preserve">TOC \o "1-2" \h \u </w:instrText>
          </w:r>
          <w:r>
            <w:rPr>
              <w:rFonts w:hint="default" w:asciiTheme="minorHAnsi" w:hAnsiTheme="minorHAnsi" w:eastAsiaTheme="minorEastAsia" w:cstheme="minorBidi"/>
              <w:sz w:val="21"/>
              <w:szCs w:val="22"/>
              <w:highlight w:val="none"/>
            </w:rPr>
            <w:fldChar w:fldCharType="separate"/>
          </w: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_Toc10699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bCs w:val="0"/>
              <w:color w:val="auto"/>
              <w:spacing w:val="-6"/>
              <w:sz w:val="32"/>
              <w:szCs w:val="32"/>
              <w:highlight w:val="none"/>
              <w:lang w:val="en-US" w:eastAsia="zh-CN"/>
            </w:rPr>
            <w:t xml:space="preserve">第一章 </w:t>
          </w:r>
          <w:r>
            <w:rPr>
              <w:rFonts w:hint="default" w:ascii="仿宋" w:hAnsi="仿宋" w:eastAsia="仿宋" w:cs="Times New Roman"/>
              <w:bCs w:val="0"/>
              <w:color w:val="auto"/>
              <w:spacing w:val="-6"/>
              <w:sz w:val="32"/>
              <w:szCs w:val="32"/>
              <w:highlight w:val="none"/>
            </w:rPr>
            <w:t>发展环境</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_Toc10699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- 2 -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364A54F4">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_Toc15264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一、</w:t>
          </w:r>
          <w:r>
            <w:rPr>
              <w:rFonts w:hint="default" w:ascii="仿宋" w:hAnsi="仿宋" w:eastAsia="仿宋" w:cs="Times New Roman"/>
              <w:color w:val="auto"/>
              <w:spacing w:val="-6"/>
              <w:sz w:val="32"/>
              <w:szCs w:val="32"/>
              <w:highlight w:val="none"/>
            </w:rPr>
            <w:t>发展成就</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_Toc15264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- 2 -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3D9D73BF">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_Toc13239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二、发展形势</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_Toc13239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- 5 -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113158F7">
          <w:pPr>
            <w:pStyle w:val="9"/>
            <w:tabs>
              <w:tab w:val="right" w:leader="dot" w:pos="8306"/>
            </w:tabs>
            <w:adjustRightInd w:val="0"/>
            <w:snapToGrid w:val="0"/>
            <w:spacing w:line="560" w:lineRule="exact"/>
            <w:ind w:left="0" w:leftChars="0" w:firstLine="0" w:firstLineChars="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_Toc8862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bCs w:val="0"/>
              <w:color w:val="auto"/>
              <w:spacing w:val="-6"/>
              <w:sz w:val="32"/>
              <w:szCs w:val="32"/>
              <w:highlight w:val="none"/>
              <w:lang w:val="en-US" w:eastAsia="zh-CN"/>
            </w:rPr>
            <w:t>第</w:t>
          </w:r>
          <w:r>
            <w:rPr>
              <w:rFonts w:hint="default" w:ascii="仿宋" w:hAnsi="仿宋" w:eastAsia="仿宋" w:cs="Times New Roman"/>
              <w:bCs w:val="0"/>
              <w:color w:val="auto"/>
              <w:spacing w:val="-6"/>
              <w:sz w:val="32"/>
              <w:szCs w:val="32"/>
              <w:highlight w:val="none"/>
            </w:rPr>
            <w:t>二</w:t>
          </w:r>
          <w:r>
            <w:rPr>
              <w:rFonts w:hint="default" w:ascii="仿宋" w:hAnsi="仿宋" w:eastAsia="仿宋" w:cs="Times New Roman"/>
              <w:bCs w:val="0"/>
              <w:color w:val="auto"/>
              <w:spacing w:val="-6"/>
              <w:sz w:val="32"/>
              <w:szCs w:val="32"/>
              <w:highlight w:val="none"/>
              <w:lang w:val="en-US" w:eastAsia="zh-CN"/>
            </w:rPr>
            <w:t xml:space="preserve">章 </w:t>
          </w:r>
          <w:r>
            <w:rPr>
              <w:rFonts w:hint="default" w:ascii="仿宋" w:hAnsi="仿宋" w:eastAsia="仿宋" w:cs="Times New Roman"/>
              <w:bCs w:val="0"/>
              <w:color w:val="auto"/>
              <w:spacing w:val="-6"/>
              <w:sz w:val="32"/>
              <w:szCs w:val="32"/>
              <w:highlight w:val="none"/>
            </w:rPr>
            <w:t>总体要求</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_Toc8862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- 7 -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53D9FF90">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_Toc28825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一、</w:t>
          </w:r>
          <w:r>
            <w:rPr>
              <w:rFonts w:hint="default" w:ascii="仿宋" w:hAnsi="仿宋" w:eastAsia="仿宋" w:cs="Times New Roman"/>
              <w:color w:val="auto"/>
              <w:spacing w:val="-6"/>
              <w:sz w:val="32"/>
              <w:szCs w:val="32"/>
              <w:highlight w:val="none"/>
            </w:rPr>
            <w:t>指导思想</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_Toc28825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- 7 -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1D96DD73">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_Toc5637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二、</w:t>
          </w:r>
          <w:r>
            <w:rPr>
              <w:rFonts w:hint="default" w:ascii="仿宋" w:hAnsi="仿宋" w:eastAsia="仿宋" w:cs="Times New Roman"/>
              <w:color w:val="auto"/>
              <w:spacing w:val="-6"/>
              <w:sz w:val="32"/>
              <w:szCs w:val="32"/>
              <w:highlight w:val="none"/>
            </w:rPr>
            <w:t>发展目标</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_Toc5637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- 9 -</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3B5D0871">
          <w:pPr>
            <w:pStyle w:val="9"/>
            <w:tabs>
              <w:tab w:val="right" w:leader="dot" w:pos="8306"/>
            </w:tabs>
            <w:adjustRightInd w:val="0"/>
            <w:snapToGrid w:val="0"/>
            <w:spacing w:line="560" w:lineRule="exact"/>
            <w:ind w:left="0" w:leftChars="0" w:firstLine="0" w:firstLineChars="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_Toc6491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bCs w:val="0"/>
              <w:color w:val="auto"/>
              <w:spacing w:val="-6"/>
              <w:sz w:val="32"/>
              <w:szCs w:val="32"/>
              <w:highlight w:val="none"/>
              <w:lang w:val="en-US" w:eastAsia="zh-CN"/>
            </w:rPr>
            <w:t xml:space="preserve">第三章 </w:t>
          </w:r>
          <w:r>
            <w:rPr>
              <w:rFonts w:hint="default" w:ascii="仿宋" w:hAnsi="仿宋" w:eastAsia="仿宋" w:cs="Times New Roman"/>
              <w:bCs w:val="0"/>
              <w:color w:val="auto"/>
              <w:spacing w:val="-6"/>
              <w:sz w:val="32"/>
              <w:szCs w:val="32"/>
              <w:highlight w:val="none"/>
            </w:rPr>
            <w:t>主要任务</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_Toc6491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12</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144D7864">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_Toc3961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一、</w:t>
          </w:r>
          <w:r>
            <w:rPr>
              <w:rFonts w:hint="default" w:ascii="仿宋" w:hAnsi="仿宋" w:eastAsia="仿宋" w:cs="Times New Roman"/>
              <w:color w:val="auto"/>
              <w:spacing w:val="-6"/>
              <w:sz w:val="32"/>
              <w:szCs w:val="32"/>
              <w:highlight w:val="none"/>
            </w:rPr>
            <w:t>强化公共交通引领，优化城市发展格局</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_Toc3961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12</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21653ADA">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_Toc23529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二、</w:t>
          </w:r>
          <w:r>
            <w:rPr>
              <w:rFonts w:hint="default" w:ascii="仿宋" w:hAnsi="仿宋" w:eastAsia="仿宋" w:cs="Times New Roman"/>
              <w:color w:val="auto"/>
              <w:spacing w:val="-6"/>
              <w:sz w:val="32"/>
              <w:szCs w:val="32"/>
              <w:highlight w:val="none"/>
            </w:rPr>
            <w:t>优化道路网络体系，建设高质量道路系统</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_Toc23529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14</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6B011961">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_Toc7340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三、</w:t>
          </w:r>
          <w:r>
            <w:rPr>
              <w:rFonts w:hint="default" w:ascii="仿宋" w:hAnsi="仿宋" w:eastAsia="仿宋" w:cs="Times New Roman"/>
              <w:color w:val="auto"/>
              <w:spacing w:val="-6"/>
              <w:sz w:val="32"/>
              <w:szCs w:val="32"/>
              <w:highlight w:val="none"/>
            </w:rPr>
            <w:t>激活停车资源效率，挖掘静态交通潜力</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_Toc7340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17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05042E4F">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_Toc4315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四、</w:t>
          </w:r>
          <w:r>
            <w:rPr>
              <w:rFonts w:hint="default" w:ascii="仿宋" w:hAnsi="仿宋" w:eastAsia="仿宋" w:cs="Times New Roman"/>
              <w:color w:val="auto"/>
              <w:spacing w:val="-6"/>
              <w:sz w:val="32"/>
              <w:szCs w:val="32"/>
              <w:highlight w:val="none"/>
            </w:rPr>
            <w:t>落实交通综合治理，提升协同精细水平</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_Toc4315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19</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17587C60">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_Toc22229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五、</w:t>
          </w:r>
          <w:r>
            <w:rPr>
              <w:rFonts w:hint="default" w:ascii="仿宋" w:hAnsi="仿宋" w:eastAsia="仿宋" w:cs="Times New Roman"/>
              <w:color w:val="auto"/>
              <w:spacing w:val="-6"/>
              <w:sz w:val="32"/>
              <w:szCs w:val="32"/>
              <w:highlight w:val="none"/>
            </w:rPr>
            <w:t>完善慢行交通网络，打造宜居慢行城区</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_Toc22229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20</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323C46D8">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_Toc2949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六、</w:t>
          </w:r>
          <w:r>
            <w:rPr>
              <w:rFonts w:hint="default" w:ascii="仿宋" w:hAnsi="仿宋" w:eastAsia="仿宋" w:cs="Times New Roman"/>
              <w:color w:val="auto"/>
              <w:spacing w:val="-6"/>
              <w:sz w:val="32"/>
              <w:szCs w:val="32"/>
              <w:highlight w:val="none"/>
            </w:rPr>
            <w:t>强化综合枢纽衔接，推进站城一体发展</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_Toc2949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21</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47381EF7">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_Toc20235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七、</w:t>
          </w:r>
          <w:r>
            <w:rPr>
              <w:rFonts w:hint="default" w:ascii="仿宋" w:hAnsi="仿宋" w:eastAsia="仿宋" w:cs="Times New Roman"/>
              <w:color w:val="auto"/>
              <w:spacing w:val="-6"/>
              <w:sz w:val="32"/>
              <w:szCs w:val="32"/>
              <w:highlight w:val="none"/>
            </w:rPr>
            <w:t>提升交通服务品质，融合发展创新业态</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_Toc20235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23</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7962C252">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_Toc16234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八、</w:t>
          </w:r>
          <w:r>
            <w:rPr>
              <w:rFonts w:hint="default" w:ascii="仿宋" w:hAnsi="仿宋" w:eastAsia="仿宋" w:cs="Times New Roman"/>
              <w:color w:val="auto"/>
              <w:spacing w:val="-6"/>
              <w:sz w:val="32"/>
              <w:szCs w:val="32"/>
              <w:highlight w:val="none"/>
            </w:rPr>
            <w:t>强化数智技术赋能，打造智慧交通新引擎</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_Toc16234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23</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67386747">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_Toc24163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九、</w:t>
          </w:r>
          <w:r>
            <w:rPr>
              <w:rFonts w:hint="default" w:ascii="仿宋" w:hAnsi="仿宋" w:eastAsia="仿宋" w:cs="Times New Roman"/>
              <w:color w:val="auto"/>
              <w:spacing w:val="-6"/>
              <w:sz w:val="32"/>
              <w:szCs w:val="32"/>
              <w:highlight w:val="none"/>
            </w:rPr>
            <w:t>深化安全绿色发展，打造韧性可持续交通</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_Toc24163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24</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36EFB63A">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_Toc3689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十、</w:t>
          </w:r>
          <w:r>
            <w:rPr>
              <w:rFonts w:hint="default" w:ascii="仿宋" w:hAnsi="仿宋" w:eastAsia="仿宋" w:cs="Times New Roman"/>
              <w:color w:val="auto"/>
              <w:spacing w:val="-6"/>
              <w:sz w:val="32"/>
              <w:szCs w:val="32"/>
              <w:highlight w:val="none"/>
            </w:rPr>
            <w:t>创新行业治理模式，建强现代治理体系</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_Toc3689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25</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1E6C7467">
          <w:pPr>
            <w:pStyle w:val="9"/>
            <w:tabs>
              <w:tab w:val="right" w:leader="dot" w:pos="8306"/>
            </w:tabs>
            <w:adjustRightInd w:val="0"/>
            <w:snapToGrid w:val="0"/>
            <w:spacing w:line="560" w:lineRule="exact"/>
            <w:ind w:left="0" w:leftChars="0" w:firstLine="0" w:firstLineChars="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_Toc32760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bCs w:val="0"/>
              <w:color w:val="auto"/>
              <w:spacing w:val="-6"/>
              <w:sz w:val="32"/>
              <w:szCs w:val="32"/>
              <w:highlight w:val="none"/>
              <w:lang w:val="en-US" w:eastAsia="zh-CN"/>
            </w:rPr>
            <w:t xml:space="preserve">第四章 </w:t>
          </w:r>
          <w:r>
            <w:rPr>
              <w:rFonts w:hint="default" w:ascii="仿宋" w:hAnsi="仿宋" w:eastAsia="仿宋" w:cs="Times New Roman"/>
              <w:bCs w:val="0"/>
              <w:color w:val="auto"/>
              <w:spacing w:val="-6"/>
              <w:sz w:val="32"/>
              <w:szCs w:val="32"/>
              <w:highlight w:val="none"/>
            </w:rPr>
            <w:t>保障措施</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_Toc32760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0541C96B">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_Toc27925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一、</w:t>
          </w:r>
          <w:r>
            <w:rPr>
              <w:rFonts w:hint="default" w:ascii="仿宋" w:hAnsi="仿宋" w:eastAsia="仿宋" w:cs="Times New Roman"/>
              <w:color w:val="auto"/>
              <w:spacing w:val="-6"/>
              <w:sz w:val="32"/>
              <w:szCs w:val="32"/>
              <w:highlight w:val="none"/>
            </w:rPr>
            <w:t>建强综合统筹机制</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_Toc27925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5E3CBBAF">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_Toc19535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二、</w:t>
          </w:r>
          <w:r>
            <w:rPr>
              <w:rFonts w:hint="default" w:ascii="仿宋" w:hAnsi="仿宋" w:eastAsia="仿宋" w:cs="Times New Roman"/>
              <w:color w:val="auto"/>
              <w:spacing w:val="-6"/>
              <w:sz w:val="32"/>
              <w:szCs w:val="32"/>
              <w:highlight w:val="none"/>
            </w:rPr>
            <w:t>落实资金资源保障</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_Toc19535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69E73FEF">
          <w:pPr>
            <w:pStyle w:val="9"/>
            <w:tabs>
              <w:tab w:val="right" w:leader="dot" w:pos="8306"/>
            </w:tabs>
            <w:adjustRightInd w:val="0"/>
            <w:snapToGrid w:val="0"/>
            <w:spacing w:line="560" w:lineRule="exact"/>
            <w:ind w:left="0" w:leftChars="0" w:firstLine="616" w:firstLineChars="200"/>
            <w:rPr>
              <w:rFonts w:ascii="仿宋" w:hAnsi="仿宋" w:eastAsia="仿宋" w:cs="Times New Roman"/>
              <w:color w:val="auto"/>
              <w:spacing w:val="-6"/>
              <w:sz w:val="32"/>
              <w:szCs w:val="32"/>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_Toc14109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三、</w:t>
          </w:r>
          <w:r>
            <w:rPr>
              <w:rFonts w:hint="default" w:ascii="仿宋" w:hAnsi="仿宋" w:eastAsia="仿宋" w:cs="Times New Roman"/>
              <w:color w:val="auto"/>
              <w:spacing w:val="-6"/>
              <w:sz w:val="32"/>
              <w:szCs w:val="32"/>
              <w:highlight w:val="none"/>
            </w:rPr>
            <w:t>强化多元主体协作</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_Toc14109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6B173FB5">
          <w:pPr>
            <w:pStyle w:val="9"/>
            <w:tabs>
              <w:tab w:val="right" w:leader="dot" w:pos="8306"/>
            </w:tabs>
            <w:adjustRightInd w:val="0"/>
            <w:snapToGrid w:val="0"/>
            <w:spacing w:line="560" w:lineRule="exact"/>
            <w:ind w:left="0" w:leftChars="0" w:firstLine="616" w:firstLineChars="200"/>
            <w:rPr>
              <w:highlight w:val="none"/>
            </w:rPr>
          </w:pPr>
          <w:r>
            <w:rPr>
              <w:rFonts w:hint="default" w:ascii="仿宋" w:hAnsi="仿宋" w:eastAsia="仿宋" w:cs="Times New Roman"/>
              <w:color w:val="auto"/>
              <w:spacing w:val="-6"/>
              <w:sz w:val="32"/>
              <w:szCs w:val="32"/>
              <w:highlight w:val="none"/>
            </w:rPr>
            <w:fldChar w:fldCharType="begin"/>
          </w:r>
          <w:r>
            <w:rPr>
              <w:rFonts w:hint="default" w:ascii="仿宋" w:hAnsi="仿宋" w:eastAsia="仿宋" w:cs="Times New Roman"/>
              <w:color w:val="auto"/>
              <w:spacing w:val="-6"/>
              <w:sz w:val="32"/>
              <w:szCs w:val="32"/>
              <w:highlight w:val="none"/>
            </w:rPr>
            <w:instrText xml:space="preserve"> HYPERLINK \l _Toc10417 </w:instrText>
          </w:r>
          <w:r>
            <w:rPr>
              <w:rFonts w:hint="default" w:ascii="仿宋" w:hAnsi="仿宋" w:eastAsia="仿宋" w:cs="Times New Roman"/>
              <w:color w:val="auto"/>
              <w:spacing w:val="-6"/>
              <w:sz w:val="32"/>
              <w:szCs w:val="32"/>
              <w:highlight w:val="none"/>
            </w:rPr>
            <w:fldChar w:fldCharType="separate"/>
          </w:r>
          <w:r>
            <w:rPr>
              <w:rFonts w:hint="default" w:ascii="仿宋" w:hAnsi="仿宋" w:eastAsia="仿宋" w:cs="Times New Roman"/>
              <w:color w:val="auto"/>
              <w:spacing w:val="-6"/>
              <w:sz w:val="32"/>
              <w:szCs w:val="32"/>
              <w:highlight w:val="none"/>
              <w:lang w:val="en-US" w:eastAsia="zh-CN"/>
            </w:rPr>
            <w:t>四、</w:t>
          </w:r>
          <w:r>
            <w:rPr>
              <w:rFonts w:hint="default" w:ascii="仿宋" w:hAnsi="仿宋" w:eastAsia="仿宋" w:cs="Times New Roman"/>
              <w:color w:val="auto"/>
              <w:spacing w:val="-6"/>
              <w:sz w:val="32"/>
              <w:szCs w:val="32"/>
              <w:highlight w:val="none"/>
            </w:rPr>
            <w:t>持续动态监督评价</w:t>
          </w:r>
          <w:r>
            <w:rPr>
              <w:rFonts w:ascii="仿宋" w:hAnsi="仿宋" w:eastAsia="仿宋" w:cs="Times New Roman"/>
              <w:color w:val="auto"/>
              <w:spacing w:val="-6"/>
              <w:sz w:val="32"/>
              <w:szCs w:val="32"/>
              <w:highlight w:val="none"/>
            </w:rPr>
            <w:tab/>
          </w:r>
          <w:r>
            <w:rPr>
              <w:rFonts w:ascii="仿宋" w:hAnsi="仿宋" w:eastAsia="仿宋" w:cs="Times New Roman"/>
              <w:color w:val="auto"/>
              <w:spacing w:val="-6"/>
              <w:sz w:val="32"/>
              <w:szCs w:val="32"/>
              <w:highlight w:val="none"/>
            </w:rPr>
            <w:fldChar w:fldCharType="begin"/>
          </w:r>
          <w:r>
            <w:rPr>
              <w:rFonts w:ascii="仿宋" w:hAnsi="仿宋" w:eastAsia="仿宋" w:cs="Times New Roman"/>
              <w:color w:val="auto"/>
              <w:spacing w:val="-6"/>
              <w:sz w:val="32"/>
              <w:szCs w:val="32"/>
              <w:highlight w:val="none"/>
            </w:rPr>
            <w:instrText xml:space="preserve"> PAGEREF _Toc10417 \h </w:instrText>
          </w:r>
          <w:r>
            <w:rPr>
              <w:rFonts w:ascii="仿宋" w:hAnsi="仿宋" w:eastAsia="仿宋" w:cs="Times New Roman"/>
              <w:color w:val="auto"/>
              <w:spacing w:val="-6"/>
              <w:sz w:val="32"/>
              <w:szCs w:val="32"/>
              <w:highlight w:val="none"/>
            </w:rPr>
            <w:fldChar w:fldCharType="separate"/>
          </w:r>
          <w:r>
            <w:rPr>
              <w:rFonts w:ascii="仿宋" w:hAnsi="仿宋" w:eastAsia="仿宋" w:cs="Times New Roman"/>
              <w:color w:val="auto"/>
              <w:spacing w:val="-6"/>
              <w:sz w:val="32"/>
              <w:szCs w:val="32"/>
              <w:highlight w:val="none"/>
            </w:rPr>
            <w:t>27</w:t>
          </w:r>
          <w:r>
            <w:rPr>
              <w:rFonts w:ascii="仿宋" w:hAnsi="仿宋" w:eastAsia="仿宋" w:cs="Times New Roman"/>
              <w:color w:val="auto"/>
              <w:spacing w:val="-6"/>
              <w:sz w:val="32"/>
              <w:szCs w:val="32"/>
              <w:highlight w:val="none"/>
            </w:rPr>
            <w:fldChar w:fldCharType="end"/>
          </w:r>
          <w:r>
            <w:rPr>
              <w:rFonts w:hint="default" w:ascii="仿宋" w:hAnsi="仿宋" w:eastAsia="仿宋" w:cs="Times New Roman"/>
              <w:color w:val="auto"/>
              <w:spacing w:val="-6"/>
              <w:sz w:val="32"/>
              <w:szCs w:val="32"/>
              <w:highlight w:val="none"/>
            </w:rPr>
            <w:fldChar w:fldCharType="end"/>
          </w:r>
        </w:p>
        <w:p w14:paraId="583F7535">
          <w:pPr>
            <w:pStyle w:val="7"/>
            <w:tabs>
              <w:tab w:val="right" w:leader="dot" w:pos="8296"/>
            </w:tabs>
            <w:spacing w:before="0" w:beforeLines="0" w:beforeAutospacing="0" w:after="0" w:afterAutospacing="0" w:line="360" w:lineRule="auto"/>
            <w:ind w:firstLineChars="0"/>
            <w:rPr>
              <w:rFonts w:hint="eastAsia" w:ascii="仿宋" w:hAnsi="仿宋" w:eastAsia="仿宋"/>
              <w:sz w:val="30"/>
              <w:szCs w:val="30"/>
              <w:highlight w:val="none"/>
            </w:rPr>
          </w:pPr>
          <w:r>
            <w:rPr>
              <w:rFonts w:hint="default" w:asciiTheme="minorHAnsi" w:hAnsiTheme="minorHAnsi" w:eastAsiaTheme="minorEastAsia" w:cstheme="minorBidi"/>
              <w:sz w:val="21"/>
              <w:szCs w:val="22"/>
              <w:highlight w:val="none"/>
            </w:rPr>
            <w:fldChar w:fldCharType="end"/>
          </w:r>
        </w:p>
      </w:sdtContent>
    </w:sdt>
    <w:p w14:paraId="15804640">
      <w:pPr>
        <w:pStyle w:val="16"/>
        <w:keepNext w:val="0"/>
        <w:keepLines w:val="0"/>
        <w:spacing w:before="0" w:beforeLines="0" w:line="360" w:lineRule="auto"/>
        <w:jc w:val="both"/>
        <w:rPr>
          <w:rFonts w:hint="eastAsia" w:ascii="方正小标宋简体" w:hAnsi="仿宋" w:eastAsia="方正小标宋简体"/>
          <w:b w:val="0"/>
          <w:bCs w:val="0"/>
          <w:spacing w:val="14"/>
          <w:sz w:val="44"/>
          <w:szCs w:val="44"/>
          <w:highlight w:val="none"/>
        </w:rPr>
        <w:sectPr>
          <w:headerReference r:id="rId4" w:type="default"/>
          <w:footerReference r:id="rId5" w:type="default"/>
          <w:pgSz w:w="11906" w:h="16838"/>
          <w:pgMar w:top="1440" w:right="1800" w:bottom="1440" w:left="1800" w:header="851" w:footer="992" w:gutter="0"/>
          <w:pgNumType w:fmt="upperRoman" w:start="1"/>
          <w:cols w:space="425" w:num="1"/>
          <w:docGrid w:type="lines" w:linePitch="312" w:charSpace="0"/>
        </w:sectPr>
      </w:pPr>
      <w:bookmarkStart w:id="3" w:name="_Toc450645357"/>
      <w:bookmarkStart w:id="4" w:name="_Toc48921938"/>
      <w:bookmarkStart w:id="5" w:name="_Toc443310881"/>
      <w:bookmarkStart w:id="6" w:name="_Toc10722"/>
      <w:bookmarkStart w:id="7" w:name="_Toc443577317"/>
      <w:bookmarkStart w:id="8" w:name="_Toc443384046"/>
      <w:bookmarkStart w:id="9" w:name="_Toc58605020"/>
      <w:bookmarkStart w:id="10" w:name="_Toc443385909"/>
      <w:bookmarkStart w:id="11" w:name="_Toc29417"/>
      <w:bookmarkStart w:id="12" w:name="_Toc99810422"/>
      <w:bookmarkStart w:id="13" w:name="_Toc29343"/>
    </w:p>
    <w:p w14:paraId="1431C040">
      <w:pPr>
        <w:keepNext w:val="0"/>
        <w:keepLines w:val="0"/>
        <w:adjustRightInd w:val="0"/>
        <w:snapToGrid w:val="0"/>
        <w:spacing w:before="0" w:beforeLines="0" w:line="576" w:lineRule="exact"/>
        <w:jc w:val="center"/>
        <w:rPr>
          <w:rFonts w:hint="eastAsia" w:ascii="黑体" w:hAnsi="黑体" w:eastAsia="黑体" w:cs="黑体"/>
          <w:b w:val="0"/>
          <w:bCs w:val="0"/>
          <w:color w:val="auto"/>
          <w:spacing w:val="-6"/>
          <w:sz w:val="32"/>
          <w:szCs w:val="32"/>
          <w:highlight w:val="none"/>
        </w:rPr>
      </w:pPr>
      <w:bookmarkStart w:id="14" w:name="_Toc15353"/>
      <w:bookmarkStart w:id="15" w:name="_Toc3375"/>
      <w:bookmarkStart w:id="16" w:name="_Toc961991537"/>
      <w:r>
        <w:rPr>
          <w:rFonts w:hint="eastAsia" w:ascii="黑体" w:hAnsi="黑体" w:eastAsia="黑体" w:cs="黑体"/>
          <w:b w:val="0"/>
          <w:bCs w:val="0"/>
          <w:color w:val="auto"/>
          <w:spacing w:val="-6"/>
          <w:sz w:val="32"/>
          <w:szCs w:val="32"/>
          <w:highlight w:val="none"/>
        </w:rPr>
        <w:t>前 言</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77A7D1E4">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十五五”时期是北京市落实首都城市战略定位、推进交通强国建设率先突破、谱写中国式现代化北京篇章、建设国际一流和谐宜居之都的关键时期，也是丰台区紧扣“四区一枢纽”功能定位与“三化五区”发展目标、践行新发展理念、推动城市高质量发展的重要阶段。《丰台区“十五五”时期交通发展规划》立足新发展阶段，完整、准确、全面贯彻新发展理念，主动服务和融入发展大局，以高质量发展为主线，明确“十五五”时期交通发展的总体要求、总体布局和主要任务，是指导丰台区“十五五”时期交通发展的纲领性文件。</w:t>
      </w:r>
    </w:p>
    <w:p w14:paraId="169A209B">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规划编制依据：</w:t>
      </w:r>
      <w:r>
        <w:rPr>
          <w:rFonts w:hint="eastAsia" w:ascii="仿宋_GB2312" w:hAnsi="仿宋" w:eastAsia="仿宋_GB2312"/>
          <w:b/>
          <w:bCs/>
          <w:sz w:val="30"/>
          <w:szCs w:val="30"/>
          <w:highlight w:val="none"/>
        </w:rPr>
        <w:t>法律法规层面，</w:t>
      </w:r>
      <w:r>
        <w:rPr>
          <w:rFonts w:hint="eastAsia" w:ascii="仿宋_GB2312" w:hAnsi="仿宋" w:eastAsia="仿宋_GB2312"/>
          <w:sz w:val="30"/>
          <w:szCs w:val="30"/>
          <w:highlight w:val="none"/>
        </w:rPr>
        <w:t>包括《中华人民共和国城乡规划法》《北京市城乡规划条例》等；</w:t>
      </w:r>
      <w:r>
        <w:rPr>
          <w:rFonts w:hint="eastAsia" w:ascii="仿宋_GB2312" w:hAnsi="仿宋" w:eastAsia="仿宋_GB2312"/>
          <w:b/>
          <w:bCs/>
          <w:sz w:val="30"/>
          <w:szCs w:val="30"/>
          <w:highlight w:val="none"/>
        </w:rPr>
        <w:t>上位规划层面，</w:t>
      </w:r>
      <w:r>
        <w:rPr>
          <w:rFonts w:hint="eastAsia" w:ascii="仿宋_GB2312" w:hAnsi="仿宋" w:eastAsia="仿宋_GB2312"/>
          <w:sz w:val="30"/>
          <w:szCs w:val="30"/>
          <w:highlight w:val="none"/>
        </w:rPr>
        <w:t>包括《交通强国建设纲要》《国家综合立体交通网规划纲要》《现代综合交通运输体系发展</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十五五</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规划》《北京市国民经济和社会发展第十五个五年规划纲要》《北京市丰台区国民经济和社会发展第十五个五年规划纲要》等；</w:t>
      </w:r>
      <w:r>
        <w:rPr>
          <w:rFonts w:hint="eastAsia" w:ascii="仿宋_GB2312" w:hAnsi="仿宋" w:eastAsia="仿宋_GB2312"/>
          <w:b/>
          <w:bCs/>
          <w:sz w:val="30"/>
          <w:szCs w:val="30"/>
          <w:highlight w:val="none"/>
        </w:rPr>
        <w:t>专项规划层面，</w:t>
      </w:r>
      <w:r>
        <w:rPr>
          <w:rFonts w:hint="eastAsia" w:ascii="仿宋_GB2312" w:hAnsi="仿宋" w:eastAsia="仿宋_GB2312"/>
          <w:sz w:val="30"/>
          <w:szCs w:val="30"/>
          <w:highlight w:val="none"/>
        </w:rPr>
        <w:t>包括《加快建设交通强国五年行动计划（2023—2027年）》《北京市“十五五”时期现代化综合交通体系发展规划》等；</w:t>
      </w:r>
      <w:r>
        <w:rPr>
          <w:rFonts w:hint="eastAsia" w:ascii="仿宋_GB2312" w:hAnsi="仿宋" w:eastAsia="仿宋_GB2312"/>
          <w:b/>
          <w:bCs/>
          <w:sz w:val="30"/>
          <w:szCs w:val="30"/>
          <w:highlight w:val="none"/>
        </w:rPr>
        <w:t>政策文件层面，</w:t>
      </w:r>
      <w:r>
        <w:rPr>
          <w:rFonts w:hint="eastAsia" w:ascii="仿宋_GB2312" w:hAnsi="仿宋" w:eastAsia="仿宋_GB2312"/>
          <w:sz w:val="30"/>
          <w:szCs w:val="30"/>
          <w:highlight w:val="none"/>
        </w:rPr>
        <w:t>包括《关于“人工智能+交通运输”实施意见》《加快构建碳排放双控制度体系工作方案》《北京市丰台区碳达峰实施方案》等。同时依据“十五五”规划编制</w:t>
      </w:r>
      <w:r>
        <w:rPr>
          <w:rFonts w:hint="eastAsia" w:ascii="仿宋_GB2312" w:hAnsi="仿宋" w:eastAsia="仿宋_GB2312"/>
          <w:sz w:val="30"/>
          <w:szCs w:val="30"/>
          <w:highlight w:val="none"/>
          <w:lang w:val="en-US" w:eastAsia="zh-CN"/>
        </w:rPr>
        <w:t>相关</w:t>
      </w:r>
      <w:r>
        <w:rPr>
          <w:rFonts w:hint="eastAsia" w:ascii="仿宋_GB2312" w:hAnsi="仿宋" w:eastAsia="仿宋_GB2312"/>
          <w:sz w:val="30"/>
          <w:szCs w:val="30"/>
          <w:highlight w:val="none"/>
        </w:rPr>
        <w:t>指示精神</w:t>
      </w:r>
      <w:r>
        <w:rPr>
          <w:rFonts w:hint="eastAsia" w:ascii="仿宋_GB2312" w:hAnsi="仿宋" w:eastAsia="仿宋_GB2312"/>
          <w:sz w:val="30"/>
          <w:szCs w:val="30"/>
          <w:highlight w:val="none"/>
          <w:lang w:val="en-US" w:eastAsia="zh-CN"/>
        </w:rPr>
        <w:t>与</w:t>
      </w:r>
      <w:r>
        <w:rPr>
          <w:rFonts w:hint="eastAsia" w:ascii="仿宋_GB2312" w:hAnsi="仿宋" w:eastAsia="仿宋_GB2312"/>
          <w:sz w:val="30"/>
          <w:szCs w:val="30"/>
          <w:highlight w:val="none"/>
        </w:rPr>
        <w:t>政策文件。</w:t>
      </w:r>
    </w:p>
    <w:p w14:paraId="2C720E6A">
      <w:pPr>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本</w:t>
      </w:r>
      <w:r>
        <w:rPr>
          <w:rFonts w:hint="eastAsia" w:ascii="仿宋_GB2312" w:hAnsi="仿宋" w:eastAsia="仿宋_GB2312"/>
          <w:sz w:val="30"/>
          <w:szCs w:val="30"/>
          <w:highlight w:val="none"/>
        </w:rPr>
        <w:t>规划实施期限</w:t>
      </w:r>
      <w:r>
        <w:rPr>
          <w:rFonts w:hint="eastAsia" w:ascii="仿宋_GB2312" w:hAnsi="仿宋" w:eastAsia="仿宋_GB2312"/>
          <w:sz w:val="30"/>
          <w:szCs w:val="30"/>
          <w:highlight w:val="none"/>
          <w:lang w:val="en-US" w:eastAsia="zh-CN"/>
        </w:rPr>
        <w:t>为</w:t>
      </w:r>
      <w:r>
        <w:rPr>
          <w:rFonts w:hint="eastAsia" w:ascii="仿宋_GB2312" w:hAnsi="仿宋" w:eastAsia="仿宋_GB2312"/>
          <w:sz w:val="30"/>
          <w:szCs w:val="30"/>
          <w:highlight w:val="none"/>
        </w:rPr>
        <w:t>2026</w:t>
      </w:r>
      <w:r>
        <w:rPr>
          <w:rFonts w:ascii="仿宋_GB2312" w:hAnsi="仿宋" w:eastAsia="仿宋_GB2312"/>
          <w:sz w:val="30"/>
          <w:szCs w:val="30"/>
          <w:highlight w:val="none"/>
        </w:rPr>
        <w:t>—</w:t>
      </w:r>
      <w:r>
        <w:rPr>
          <w:rFonts w:hint="eastAsia" w:ascii="仿宋_GB2312" w:hAnsi="仿宋" w:eastAsia="仿宋_GB2312"/>
          <w:sz w:val="30"/>
          <w:szCs w:val="30"/>
          <w:highlight w:val="none"/>
        </w:rPr>
        <w:t>2030年。</w:t>
      </w:r>
      <w:r>
        <w:rPr>
          <w:rFonts w:hint="eastAsia" w:ascii="仿宋_GB2312" w:hAnsi="仿宋" w:eastAsia="仿宋_GB2312"/>
          <w:sz w:val="30"/>
          <w:szCs w:val="30"/>
          <w:highlight w:val="none"/>
        </w:rPr>
        <w:br w:type="page"/>
      </w:r>
    </w:p>
    <w:p w14:paraId="2E9FBABF">
      <w:pPr>
        <w:pStyle w:val="16"/>
        <w:keepNext w:val="0"/>
        <w:keepLines w:val="0"/>
        <w:spacing w:before="0" w:beforeLines="0" w:line="360" w:lineRule="auto"/>
        <w:jc w:val="left"/>
        <w:rPr>
          <w:rFonts w:hint="eastAsia" w:ascii="方正小标宋简体" w:hAnsi="仿宋" w:eastAsia="方正小标宋简体"/>
          <w:b w:val="0"/>
          <w:bCs w:val="0"/>
          <w:spacing w:val="14"/>
          <w:sz w:val="44"/>
          <w:szCs w:val="44"/>
          <w:highlight w:val="none"/>
        </w:rPr>
        <w:sectPr>
          <w:headerReference r:id="rId6" w:type="default"/>
          <w:footerReference r:id="rId7" w:type="default"/>
          <w:pgSz w:w="11906" w:h="16838"/>
          <w:pgMar w:top="1440" w:right="1800" w:bottom="1440" w:left="1800" w:header="851" w:footer="992" w:gutter="0"/>
          <w:pgNumType w:fmt="numberInDash" w:start="1"/>
          <w:cols w:space="425" w:num="1"/>
          <w:docGrid w:type="lines" w:linePitch="312" w:charSpace="0"/>
        </w:sectPr>
      </w:pPr>
      <w:bookmarkStart w:id="17" w:name="_Toc99810427"/>
      <w:bookmarkStart w:id="18" w:name="_Toc30265"/>
      <w:bookmarkStart w:id="19" w:name="_Toc18070"/>
      <w:bookmarkStart w:id="20" w:name="_Toc99810423"/>
      <w:bookmarkStart w:id="21" w:name="_Toc48921943"/>
      <w:bookmarkStart w:id="22" w:name="_Toc29227"/>
      <w:bookmarkStart w:id="23" w:name="_Toc19532"/>
      <w:bookmarkStart w:id="24" w:name="_Toc4616"/>
    </w:p>
    <w:bookmarkEnd w:id="17"/>
    <w:bookmarkEnd w:id="18"/>
    <w:bookmarkEnd w:id="19"/>
    <w:bookmarkEnd w:id="20"/>
    <w:bookmarkEnd w:id="21"/>
    <w:bookmarkEnd w:id="22"/>
    <w:bookmarkEnd w:id="23"/>
    <w:bookmarkEnd w:id="24"/>
    <w:p w14:paraId="40CBFABE">
      <w:pPr>
        <w:pStyle w:val="16"/>
        <w:keepNext w:val="0"/>
        <w:keepLines w:val="0"/>
        <w:spacing w:before="0" w:beforeLines="0" w:line="360" w:lineRule="auto"/>
        <w:jc w:val="center"/>
        <w:rPr>
          <w:rFonts w:hint="eastAsia" w:ascii="方正小标宋简体" w:hAnsi="仿宋" w:eastAsia="方正小标宋简体"/>
          <w:b w:val="0"/>
          <w:bCs w:val="0"/>
          <w:spacing w:val="14"/>
          <w:sz w:val="44"/>
          <w:szCs w:val="44"/>
          <w:highlight w:val="none"/>
        </w:rPr>
      </w:pPr>
      <w:bookmarkStart w:id="25" w:name="_Toc10699"/>
      <w:bookmarkStart w:id="26" w:name="_Toc10496"/>
      <w:bookmarkStart w:id="27" w:name="_Toc1934867743"/>
      <w:r>
        <w:rPr>
          <w:rFonts w:hint="eastAsia" w:ascii="方正小标宋简体" w:hAnsi="仿宋" w:eastAsia="方正小标宋简体"/>
          <w:b w:val="0"/>
          <w:bCs w:val="0"/>
          <w:spacing w:val="14"/>
          <w:sz w:val="44"/>
          <w:szCs w:val="44"/>
          <w:highlight w:val="none"/>
          <w:lang w:val="en-US" w:eastAsia="zh-CN"/>
        </w:rPr>
        <w:t xml:space="preserve">第一章 </w:t>
      </w:r>
      <w:r>
        <w:rPr>
          <w:rFonts w:hint="eastAsia" w:ascii="方正小标宋简体" w:hAnsi="仿宋" w:eastAsia="方正小标宋简体"/>
          <w:b w:val="0"/>
          <w:bCs w:val="0"/>
          <w:spacing w:val="14"/>
          <w:sz w:val="44"/>
          <w:szCs w:val="44"/>
          <w:highlight w:val="none"/>
        </w:rPr>
        <w:t>发展环境</w:t>
      </w:r>
      <w:bookmarkEnd w:id="25"/>
      <w:bookmarkEnd w:id="26"/>
      <w:bookmarkEnd w:id="27"/>
    </w:p>
    <w:p w14:paraId="6C5F1E31">
      <w:pPr>
        <w:pStyle w:val="17"/>
        <w:keepNext w:val="0"/>
        <w:keepLines w:val="0"/>
        <w:spacing w:before="0" w:beforeLines="0" w:beforeAutospacing="0" w:after="0" w:afterAutospacing="0" w:line="360" w:lineRule="auto"/>
        <w:ind w:firstLine="0" w:firstLineChars="0"/>
        <w:jc w:val="left"/>
        <w:rPr>
          <w:rFonts w:hint="eastAsia" w:ascii="黑体" w:hAnsi="黑体" w:eastAsia="黑体"/>
          <w:b w:val="0"/>
          <w:spacing w:val="14"/>
          <w:sz w:val="30"/>
          <w:szCs w:val="30"/>
          <w:highlight w:val="none"/>
          <w:lang w:eastAsia="zh-CN"/>
        </w:rPr>
      </w:pPr>
      <w:bookmarkStart w:id="28" w:name="_Toc209544405"/>
      <w:bookmarkStart w:id="29" w:name="_Toc2124773727"/>
      <w:bookmarkStart w:id="30" w:name="_Toc15264"/>
      <w:bookmarkStart w:id="31" w:name="_Toc20262"/>
      <w:r>
        <w:rPr>
          <w:rFonts w:hint="eastAsia" w:ascii="黑体" w:hAnsi="黑体"/>
          <w:b w:val="0"/>
          <w:spacing w:val="14"/>
          <w:sz w:val="30"/>
          <w:szCs w:val="30"/>
          <w:highlight w:val="none"/>
          <w:lang w:val="en-US" w:eastAsia="zh-CN"/>
        </w:rPr>
        <w:t>一、</w:t>
      </w:r>
      <w:r>
        <w:rPr>
          <w:rFonts w:hint="eastAsia" w:ascii="黑体" w:hAnsi="黑体"/>
          <w:b w:val="0"/>
          <w:spacing w:val="14"/>
          <w:sz w:val="30"/>
          <w:szCs w:val="30"/>
          <w:highlight w:val="none"/>
        </w:rPr>
        <w:t>发展成就</w:t>
      </w:r>
      <w:bookmarkEnd w:id="28"/>
      <w:bookmarkEnd w:id="29"/>
      <w:bookmarkEnd w:id="30"/>
      <w:bookmarkEnd w:id="31"/>
    </w:p>
    <w:p w14:paraId="18162F78">
      <w:pPr>
        <w:spacing w:line="360" w:lineRule="auto"/>
        <w:ind w:firstLine="420"/>
        <w:rPr>
          <w:rFonts w:eastAsia="仿宋_GB2312"/>
          <w:sz w:val="30"/>
          <w:szCs w:val="30"/>
          <w:highlight w:val="none"/>
        </w:rPr>
      </w:pPr>
      <w:r>
        <w:rPr>
          <w:rFonts w:hint="eastAsia" w:ascii="仿宋_GB2312" w:hAnsi="仿宋" w:eastAsia="仿宋_GB2312"/>
          <w:sz w:val="30"/>
          <w:szCs w:val="30"/>
          <w:highlight w:val="none"/>
        </w:rPr>
        <w:t>“十四五”时期，丰台区交通发展以服务首都功能为引领，紧扣“妙笔生花看丰台”愿景，枢纽能级、路网体系、公交服务、绿色出行、智慧治理等领域成效显著。</w:t>
      </w:r>
    </w:p>
    <w:p w14:paraId="2627D733">
      <w:pPr>
        <w:pStyle w:val="18"/>
        <w:widowControl/>
        <w:numPr>
          <w:ilvl w:val="0"/>
          <w:numId w:val="1"/>
        </w:numPr>
        <w:tabs>
          <w:tab w:val="left" w:pos="720"/>
        </w:tabs>
        <w:spacing w:line="360" w:lineRule="auto"/>
        <w:ind w:firstLineChars="0"/>
        <w:outlineLvl w:val="2"/>
        <w:rPr>
          <w:rFonts w:hint="eastAsia" w:ascii="仿宋_GB2312" w:hAnsi="仿宋" w:eastAsia="仿宋_GB2312"/>
          <w:b/>
          <w:bCs/>
          <w:color w:val="auto"/>
          <w:sz w:val="30"/>
          <w:szCs w:val="30"/>
          <w:highlight w:val="none"/>
        </w:rPr>
      </w:pPr>
      <w:r>
        <w:rPr>
          <w:rFonts w:hint="eastAsia" w:ascii="仿宋_GB2312" w:hAnsi="仿宋" w:eastAsia="仿宋_GB2312"/>
          <w:b/>
          <w:bCs/>
          <w:sz w:val="30"/>
          <w:szCs w:val="30"/>
          <w:highlight w:val="none"/>
        </w:rPr>
        <w:t>“</w:t>
      </w:r>
      <w:r>
        <w:rPr>
          <w:rFonts w:hint="eastAsia" w:ascii="仿宋_GB2312" w:hAnsi="仿宋" w:eastAsia="仿宋_GB2312"/>
          <w:b/>
          <w:bCs/>
          <w:sz w:val="30"/>
          <w:szCs w:val="30"/>
          <w:highlight w:val="none"/>
          <w:lang w:eastAsia="zh-CN"/>
        </w:rPr>
        <w:t>三站两楼</w:t>
      </w:r>
      <w:r>
        <w:rPr>
          <w:rFonts w:hint="eastAsia" w:ascii="仿宋_GB2312" w:hAnsi="仿宋" w:eastAsia="仿宋_GB2312"/>
          <w:b/>
          <w:bCs/>
          <w:sz w:val="30"/>
          <w:szCs w:val="30"/>
          <w:highlight w:val="none"/>
        </w:rPr>
        <w:t>”高水平建设运营，枢</w:t>
      </w:r>
      <w:r>
        <w:rPr>
          <w:rFonts w:hint="eastAsia" w:ascii="仿宋_GB2312" w:hAnsi="仿宋" w:eastAsia="仿宋_GB2312"/>
          <w:b/>
          <w:bCs/>
          <w:color w:val="auto"/>
          <w:sz w:val="30"/>
          <w:szCs w:val="30"/>
          <w:highlight w:val="none"/>
        </w:rPr>
        <w:t>纽功能持续增强</w:t>
      </w:r>
    </w:p>
    <w:p w14:paraId="73B95D88">
      <w:pPr>
        <w:spacing w:line="360" w:lineRule="auto"/>
        <w:ind w:firstLine="600" w:firstLineChars="200"/>
        <w:rPr>
          <w:rFonts w:hint="eastAsia" w:ascii="仿宋_GB2312" w:hAnsi="仿宋" w:eastAsia="仿宋_GB2312"/>
          <w:color w:val="auto"/>
          <w:sz w:val="30"/>
          <w:szCs w:val="30"/>
          <w:highlight w:val="none"/>
        </w:rPr>
      </w:pPr>
      <w:r>
        <w:rPr>
          <w:rFonts w:hint="eastAsia" w:ascii="仿宋_GB2312" w:hAnsi="仿宋_GB2312" w:eastAsia="仿宋_GB2312" w:cs="仿宋_GB2312"/>
          <w:color w:val="auto"/>
          <w:sz w:val="30"/>
          <w:szCs w:val="30"/>
          <w:highlight w:val="none"/>
        </w:rPr>
        <w:t>“十四五”期间，</w:t>
      </w:r>
      <w:r>
        <w:rPr>
          <w:rFonts w:hint="eastAsia" w:ascii="仿宋_GB2312" w:hAnsi="仿宋_GB2312" w:eastAsia="仿宋_GB2312" w:cs="仿宋_GB2312"/>
          <w:color w:val="auto"/>
          <w:sz w:val="30"/>
          <w:szCs w:val="30"/>
          <w:highlight w:val="none"/>
          <w:lang w:val="en-US" w:eastAsia="zh-CN"/>
        </w:rPr>
        <w:t>丰台</w:t>
      </w:r>
      <w:r>
        <w:rPr>
          <w:rFonts w:hint="eastAsia" w:ascii="仿宋_GB2312" w:hAnsi="仿宋_GB2312" w:eastAsia="仿宋_GB2312" w:cs="仿宋_GB2312"/>
          <w:color w:val="auto"/>
          <w:sz w:val="30"/>
          <w:szCs w:val="30"/>
          <w:highlight w:val="none"/>
        </w:rPr>
        <w:t>区</w:t>
      </w:r>
      <w:r>
        <w:rPr>
          <w:rFonts w:eastAsia="仿宋_GB2312"/>
          <w:color w:val="auto"/>
          <w:sz w:val="30"/>
          <w:szCs w:val="30"/>
          <w:highlight w:val="none"/>
        </w:rPr>
        <w:t>系统</w:t>
      </w:r>
      <w:r>
        <w:rPr>
          <w:rFonts w:ascii="仿宋_GB2312" w:hAnsi="仿宋" w:eastAsia="仿宋_GB2312"/>
          <w:color w:val="auto"/>
          <w:sz w:val="30"/>
          <w:szCs w:val="30"/>
          <w:highlight w:val="none"/>
        </w:rPr>
        <w:t>推进站区综合治理与站城融合</w:t>
      </w:r>
      <w:r>
        <w:rPr>
          <w:rFonts w:hint="eastAsia" w:ascii="仿宋_GB2312" w:hAnsi="仿宋" w:eastAsia="仿宋_GB2312"/>
          <w:color w:val="auto"/>
          <w:sz w:val="30"/>
          <w:szCs w:val="30"/>
          <w:highlight w:val="none"/>
        </w:rPr>
        <w:t>，枢纽综合能级持续提升。亚洲最大铁路枢纽客站北京丰台站建成启用，完成周边11条接驳道路、19公里架空线入地</w:t>
      </w:r>
      <w:r>
        <w:rPr>
          <w:rFonts w:hint="eastAsia" w:ascii="仿宋_GB2312" w:hAnsi="仿宋" w:eastAsia="仿宋_GB2312"/>
          <w:color w:val="auto"/>
          <w:sz w:val="30"/>
          <w:szCs w:val="30"/>
          <w:highlight w:val="none"/>
          <w:lang w:eastAsia="zh-CN"/>
        </w:rPr>
        <w:t>，</w:t>
      </w:r>
      <w:r>
        <w:rPr>
          <w:rFonts w:hint="eastAsia" w:ascii="仿宋_GB2312" w:hAnsi="仿宋" w:eastAsia="仿宋_GB2312"/>
          <w:color w:val="auto"/>
          <w:sz w:val="30"/>
          <w:szCs w:val="30"/>
          <w:highlight w:val="none"/>
          <w:lang w:val="en-US" w:eastAsia="zh-CN"/>
        </w:rPr>
        <w:t>投用</w:t>
      </w:r>
      <w:r>
        <w:rPr>
          <w:rFonts w:hint="eastAsia" w:ascii="仿宋_GB2312" w:hAnsi="仿宋" w:eastAsia="仿宋_GB2312"/>
          <w:color w:val="auto"/>
          <w:sz w:val="30"/>
          <w:szCs w:val="30"/>
          <w:highlight w:val="none"/>
        </w:rPr>
        <w:t>停车位1229个。北京西站优化南北广场交通流线，打通南广场广莲路断头路。</w:t>
      </w:r>
    </w:p>
    <w:p w14:paraId="4451DC2C">
      <w:pPr>
        <w:pStyle w:val="18"/>
        <w:widowControl/>
        <w:numPr>
          <w:ilvl w:val="0"/>
          <w:numId w:val="1"/>
        </w:numPr>
        <w:tabs>
          <w:tab w:val="left" w:pos="720"/>
        </w:tabs>
        <w:spacing w:line="360" w:lineRule="auto"/>
        <w:ind w:firstLineChars="0"/>
        <w:outlineLvl w:val="2"/>
        <w:rPr>
          <w:rFonts w:hint="eastAsia" w:ascii="仿宋_GB2312" w:hAnsi="仿宋" w:eastAsia="仿宋_GB2312"/>
          <w:b/>
          <w:bCs/>
          <w:color w:val="auto"/>
          <w:sz w:val="30"/>
          <w:szCs w:val="30"/>
          <w:highlight w:val="none"/>
        </w:rPr>
      </w:pPr>
      <w:r>
        <w:rPr>
          <w:rFonts w:hint="eastAsia" w:ascii="仿宋_GB2312" w:hAnsi="仿宋" w:eastAsia="仿宋_GB2312"/>
          <w:b/>
          <w:bCs/>
          <w:color w:val="auto"/>
          <w:sz w:val="30"/>
          <w:szCs w:val="30"/>
          <w:highlight w:val="none"/>
        </w:rPr>
        <w:t>公交服务提质增效，出行便利度明显提升</w:t>
      </w:r>
    </w:p>
    <w:p w14:paraId="052563B7">
      <w:pPr>
        <w:widowControl/>
        <w:spacing w:line="360" w:lineRule="auto"/>
        <w:ind w:firstLine="600" w:firstLineChars="200"/>
        <w:rPr>
          <w:rFonts w:hint="eastAsia"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color w:val="auto"/>
          <w:sz w:val="30"/>
          <w:szCs w:val="30"/>
          <w:highlight w:val="none"/>
        </w:rPr>
        <w:t>“十四五”期间，丰台区</w:t>
      </w:r>
      <w:r>
        <w:rPr>
          <w:rFonts w:ascii="仿宋_GB2312" w:hAnsi="仿宋" w:eastAsia="仿宋_GB2312"/>
          <w:color w:val="auto"/>
          <w:sz w:val="30"/>
          <w:szCs w:val="30"/>
          <w:highlight w:val="none"/>
        </w:rPr>
        <w:t>轨道交通网络持续完善</w:t>
      </w:r>
      <w:r>
        <w:rPr>
          <w:rFonts w:hint="eastAsia" w:ascii="仿宋_GB2312" w:hAnsi="仿宋" w:eastAsia="仿宋_GB2312"/>
          <w:color w:val="auto"/>
          <w:sz w:val="30"/>
          <w:szCs w:val="30"/>
          <w:highlight w:val="none"/>
        </w:rPr>
        <w:t>。轨</w:t>
      </w:r>
      <w:r>
        <w:rPr>
          <w:rFonts w:hint="eastAsia" w:ascii="仿宋_GB2312" w:hAnsi="仿宋" w:eastAsia="仿宋_GB2312"/>
          <w:sz w:val="30"/>
          <w:szCs w:val="30"/>
          <w:highlight w:val="none"/>
        </w:rPr>
        <w:t>道交通网络加密扩容，</w:t>
      </w:r>
      <w:r>
        <w:rPr>
          <w:rFonts w:hint="eastAsia" w:ascii="仿宋_GB2312" w:hAnsi="仿宋" w:eastAsia="仿宋_GB2312"/>
          <w:sz w:val="30"/>
          <w:szCs w:val="30"/>
          <w:highlight w:val="none"/>
          <w:lang w:val="en-US" w:eastAsia="zh-CN"/>
        </w:rPr>
        <w:t>累计</w:t>
      </w:r>
      <w:r>
        <w:rPr>
          <w:rFonts w:hint="eastAsia" w:ascii="仿宋_GB2312" w:hAnsi="仿宋" w:eastAsia="仿宋_GB2312"/>
          <w:color w:val="000000" w:themeColor="text1"/>
          <w:sz w:val="30"/>
          <w:szCs w:val="30"/>
          <w:highlight w:val="none"/>
          <w14:textFill>
            <w14:solidFill>
              <w14:schemeClr w14:val="tx1"/>
            </w14:solidFill>
          </w14:textFill>
        </w:rPr>
        <w:t>新开通（段）线路</w:t>
      </w:r>
      <w:r>
        <w:rPr>
          <w:rFonts w:hint="eastAsia" w:ascii="仿宋_GB2312" w:hAnsi="仿宋" w:eastAsia="仿宋_GB2312"/>
          <w:color w:val="000000" w:themeColor="text1"/>
          <w:sz w:val="30"/>
          <w:szCs w:val="30"/>
          <w:highlight w:val="none"/>
          <w:lang w:eastAsia="zh-CN"/>
          <w14:textFill>
            <w14:solidFill>
              <w14:schemeClr w14:val="tx1"/>
            </w14:solidFill>
          </w14:textFill>
        </w:rPr>
        <w:t>（含延伸段和新增站点）</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4</w:t>
      </w:r>
      <w:r>
        <w:rPr>
          <w:rFonts w:hint="eastAsia" w:ascii="仿宋_GB2312" w:hAnsi="仿宋" w:eastAsia="仿宋_GB2312"/>
          <w:color w:val="000000" w:themeColor="text1"/>
          <w:sz w:val="30"/>
          <w:szCs w:val="30"/>
          <w:highlight w:val="none"/>
          <w14:textFill>
            <w14:solidFill>
              <w14:schemeClr w14:val="tx1"/>
            </w14:solidFill>
          </w14:textFill>
        </w:rPr>
        <w:t>条</w:t>
      </w:r>
      <w:r>
        <w:rPr>
          <w:rFonts w:hint="eastAsia" w:ascii="仿宋_GB2312" w:hAnsi="仿宋" w:eastAsia="仿宋_GB2312"/>
          <w:sz w:val="30"/>
          <w:szCs w:val="30"/>
          <w:highlight w:val="none"/>
        </w:rPr>
        <w:t>，</w:t>
      </w:r>
      <w:r>
        <w:rPr>
          <w:rFonts w:hint="eastAsia" w:ascii="仿宋_GB2312" w:hAnsi="仿宋" w:eastAsia="仿宋_GB2312"/>
          <w:sz w:val="30"/>
          <w:szCs w:val="30"/>
          <w:highlight w:val="none"/>
          <w:lang w:val="en-US" w:eastAsia="zh-CN"/>
        </w:rPr>
        <w:t>新增运营里程30余公里；</w:t>
      </w:r>
      <w:r>
        <w:rPr>
          <w:rFonts w:hint="eastAsia" w:ascii="仿宋_GB2312" w:hAnsi="仿宋" w:eastAsia="仿宋_GB2312"/>
          <w:sz w:val="30"/>
          <w:szCs w:val="30"/>
          <w:highlight w:val="none"/>
        </w:rPr>
        <w:t>地铁16号线丽泽商务区站、19号线一期、8号线大红门站、14号线剩余段陆续开通</w:t>
      </w:r>
      <w:r>
        <w:rPr>
          <w:rFonts w:hint="eastAsia" w:ascii="仿宋_GB2312" w:hAnsi="仿宋" w:eastAsia="仿宋_GB2312"/>
          <w:sz w:val="30"/>
          <w:szCs w:val="30"/>
          <w:highlight w:val="none"/>
          <w:lang w:eastAsia="zh-CN"/>
        </w:rPr>
        <w:t>；</w:t>
      </w:r>
      <w:r>
        <w:rPr>
          <w:rFonts w:hint="eastAsia" w:ascii="仿宋_GB2312" w:hAnsi="仿宋" w:eastAsia="仿宋_GB2312"/>
          <w:color w:val="000000" w:themeColor="text1"/>
          <w:sz w:val="30"/>
          <w:szCs w:val="30"/>
          <w:highlight w:val="none"/>
          <w14:textFill>
            <w14:solidFill>
              <w14:schemeClr w14:val="tx1"/>
            </w14:solidFill>
          </w14:textFill>
        </w:rPr>
        <w:t>建成轨道交通</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总</w:t>
      </w:r>
      <w:r>
        <w:rPr>
          <w:rFonts w:hint="eastAsia" w:ascii="仿宋_GB2312" w:hAnsi="仿宋" w:eastAsia="仿宋_GB2312"/>
          <w:color w:val="000000" w:themeColor="text1"/>
          <w:sz w:val="30"/>
          <w:szCs w:val="30"/>
          <w:highlight w:val="none"/>
          <w14:textFill>
            <w14:solidFill>
              <w14:schemeClr w14:val="tx1"/>
            </w14:solidFill>
          </w14:textFill>
        </w:rPr>
        <w:t>里程120公里，居全市第三。</w:t>
      </w:r>
    </w:p>
    <w:p w14:paraId="1D918B4A">
      <w:pPr>
        <w:pStyle w:val="18"/>
        <w:widowControl/>
        <w:numPr>
          <w:ilvl w:val="0"/>
          <w:numId w:val="1"/>
        </w:numPr>
        <w:tabs>
          <w:tab w:val="left" w:pos="720"/>
        </w:tabs>
        <w:spacing w:line="360" w:lineRule="auto"/>
        <w:ind w:firstLineChars="0"/>
        <w:outlineLvl w:val="2"/>
        <w:rPr>
          <w:rFonts w:hint="eastAsia" w:ascii="仿宋_GB2312" w:hAnsi="仿宋" w:eastAsia="仿宋_GB2312"/>
          <w:b/>
          <w:bCs/>
          <w:sz w:val="30"/>
          <w:szCs w:val="30"/>
          <w:highlight w:val="none"/>
        </w:rPr>
      </w:pPr>
      <w:r>
        <w:rPr>
          <w:rFonts w:hint="eastAsia" w:ascii="仿宋_GB2312" w:hAnsi="仿宋" w:eastAsia="仿宋_GB2312"/>
          <w:b/>
          <w:bCs/>
          <w:sz w:val="30"/>
          <w:szCs w:val="30"/>
          <w:highlight w:val="none"/>
          <w:lang w:val="en-US" w:eastAsia="zh-CN"/>
        </w:rPr>
        <w:t>路网</w:t>
      </w:r>
      <w:r>
        <w:rPr>
          <w:rFonts w:ascii="仿宋_GB2312" w:hAnsi="仿宋" w:eastAsia="仿宋_GB2312"/>
          <w:b/>
          <w:bCs/>
          <w:sz w:val="30"/>
          <w:szCs w:val="30"/>
          <w:highlight w:val="none"/>
        </w:rPr>
        <w:t>体系</w:t>
      </w:r>
      <w:r>
        <w:rPr>
          <w:rFonts w:hint="eastAsia" w:ascii="仿宋_GB2312" w:hAnsi="仿宋" w:eastAsia="仿宋_GB2312"/>
          <w:b/>
          <w:bCs/>
          <w:sz w:val="30"/>
          <w:szCs w:val="30"/>
          <w:highlight w:val="none"/>
          <w:lang w:val="en-US" w:eastAsia="zh-CN"/>
        </w:rPr>
        <w:t>稳步</w:t>
      </w:r>
      <w:r>
        <w:rPr>
          <w:rFonts w:ascii="仿宋_GB2312" w:hAnsi="仿宋" w:eastAsia="仿宋_GB2312"/>
          <w:b/>
          <w:bCs/>
          <w:sz w:val="30"/>
          <w:szCs w:val="30"/>
          <w:highlight w:val="none"/>
        </w:rPr>
        <w:t>优化，</w:t>
      </w:r>
      <w:r>
        <w:rPr>
          <w:rFonts w:hint="eastAsia" w:ascii="仿宋_GB2312" w:hAnsi="仿宋" w:eastAsia="仿宋_GB2312"/>
          <w:b/>
          <w:bCs/>
          <w:sz w:val="30"/>
          <w:szCs w:val="30"/>
          <w:highlight w:val="none"/>
        </w:rPr>
        <w:t>综合</w:t>
      </w:r>
      <w:r>
        <w:rPr>
          <w:rFonts w:ascii="仿宋_GB2312" w:hAnsi="仿宋" w:eastAsia="仿宋_GB2312"/>
          <w:b/>
          <w:bCs/>
          <w:sz w:val="30"/>
          <w:szCs w:val="30"/>
          <w:highlight w:val="none"/>
        </w:rPr>
        <w:t>治理</w:t>
      </w:r>
      <w:r>
        <w:rPr>
          <w:rFonts w:hint="eastAsia" w:ascii="仿宋_GB2312" w:hAnsi="仿宋" w:eastAsia="仿宋_GB2312"/>
          <w:b/>
          <w:bCs/>
          <w:sz w:val="30"/>
          <w:szCs w:val="30"/>
          <w:highlight w:val="none"/>
          <w:lang w:val="en-US" w:eastAsia="zh-CN"/>
        </w:rPr>
        <w:t>持续深化</w:t>
      </w:r>
    </w:p>
    <w:p w14:paraId="68819284">
      <w:pPr>
        <w:widowControl/>
        <w:spacing w:line="360" w:lineRule="auto"/>
        <w:ind w:firstLine="600" w:firstLineChars="200"/>
        <w:rPr>
          <w:rFonts w:hint="eastAsia" w:ascii="仿宋_GB2312" w:hAnsi="仿宋" w:eastAsia="仿宋_GB2312"/>
          <w:color w:val="000000" w:themeColor="text1"/>
          <w:sz w:val="30"/>
          <w:szCs w:val="30"/>
          <w:highlight w:val="none"/>
          <w14:textFill>
            <w14:solidFill>
              <w14:schemeClr w14:val="tx1"/>
            </w14:solidFill>
          </w14:textFill>
        </w:rPr>
      </w:pPr>
      <w:bookmarkStart w:id="32" w:name="_Hlk208576488"/>
      <w:r>
        <w:rPr>
          <w:rFonts w:hint="eastAsia" w:ascii="仿宋_GB2312" w:hAnsi="仿宋_GB2312" w:eastAsia="仿宋_GB2312" w:cs="仿宋_GB2312"/>
          <w:color w:val="000000" w:themeColor="text1"/>
          <w:sz w:val="30"/>
          <w:szCs w:val="30"/>
          <w:highlight w:val="none"/>
          <w14:textFill>
            <w14:solidFill>
              <w14:schemeClr w14:val="tx1"/>
            </w14:solidFill>
          </w14:textFill>
        </w:rPr>
        <w:t>“十四五”期间，丰台区路网格局持续完善，累计</w:t>
      </w:r>
      <w:bookmarkEnd w:id="32"/>
      <w:r>
        <w:rPr>
          <w:rFonts w:hint="eastAsia" w:ascii="仿宋_GB2312" w:hAnsi="仿宋_GB2312" w:eastAsia="仿宋_GB2312" w:cs="仿宋_GB2312"/>
          <w:color w:val="000000" w:themeColor="text1"/>
          <w:sz w:val="30"/>
          <w:szCs w:val="30"/>
          <w:highlight w:val="none"/>
          <w14:textFill>
            <w14:solidFill>
              <w14:schemeClr w14:val="tx1"/>
            </w14:solidFill>
          </w14:textFill>
        </w:rPr>
        <w:t>新增</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83</w:t>
      </w:r>
      <w:r>
        <w:rPr>
          <w:rFonts w:hint="eastAsia" w:ascii="仿宋_GB2312" w:hAnsi="仿宋_GB2312" w:eastAsia="仿宋_GB2312" w:cs="仿宋_GB2312"/>
          <w:color w:val="000000" w:themeColor="text1"/>
          <w:sz w:val="30"/>
          <w:szCs w:val="30"/>
          <w:highlight w:val="none"/>
          <w14:textFill>
            <w14:solidFill>
              <w14:schemeClr w14:val="tx1"/>
            </w14:solidFill>
          </w14:textFill>
        </w:rPr>
        <w:t>条道路（路段），累计100.92公里，规划道路实施率由37.1%提升至43.5%；</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其中</w:t>
      </w:r>
      <w:r>
        <w:rPr>
          <w:rFonts w:hint="eastAsia" w:ascii="仿宋_GB2312" w:hAnsi="仿宋_GB2312" w:eastAsia="仿宋_GB2312" w:cs="仿宋_GB2312"/>
          <w:color w:val="000000" w:themeColor="text1"/>
          <w:sz w:val="30"/>
          <w:szCs w:val="30"/>
          <w:highlight w:val="none"/>
          <w14:textFill>
            <w14:solidFill>
              <w14:schemeClr w14:val="tx1"/>
            </w14:solidFill>
          </w14:textFill>
        </w:rPr>
        <w:t>打通断头路与瓶颈路3</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0"/>
          <w:szCs w:val="30"/>
          <w:highlight w:val="none"/>
          <w14:textFill>
            <w14:solidFill>
              <w14:schemeClr w14:val="tx1"/>
            </w14:solidFill>
          </w14:textFill>
        </w:rPr>
        <w:t>条，共计约20公里，实施道路疏堵</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工程30项、大</w:t>
      </w:r>
      <w:r>
        <w:rPr>
          <w:rFonts w:hint="eastAsia" w:ascii="仿宋_GB2312" w:hAnsi="仿宋_GB2312" w:eastAsia="仿宋_GB2312" w:cs="仿宋_GB2312"/>
          <w:color w:val="000000" w:themeColor="text1"/>
          <w:sz w:val="30"/>
          <w:szCs w:val="30"/>
          <w:highlight w:val="none"/>
          <w14:textFill>
            <w14:solidFill>
              <w14:schemeClr w14:val="tx1"/>
            </w14:solidFill>
          </w14:textFill>
        </w:rPr>
        <w:t>修工程</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30"/>
          <w:szCs w:val="30"/>
          <w:highlight w:val="none"/>
          <w14:textFill>
            <w14:solidFill>
              <w14:schemeClr w14:val="tx1"/>
            </w14:solidFill>
          </w14:textFill>
        </w:rPr>
        <w:t>项</w:t>
      </w:r>
      <w:r>
        <w:rPr>
          <w:rFonts w:hint="eastAsia" w:ascii="仿宋_GB2312" w:hAnsi="仿宋" w:eastAsia="仿宋_GB2312"/>
          <w:color w:val="000000" w:themeColor="text1"/>
          <w:sz w:val="30"/>
          <w:szCs w:val="30"/>
          <w:highlight w:val="none"/>
          <w14:textFill>
            <w14:solidFill>
              <w14:schemeClr w14:val="tx1"/>
            </w14:solidFill>
          </w14:textFill>
        </w:rPr>
        <w:t>。完成庄维路等30条道路综合整治，</w:t>
      </w:r>
      <w:r>
        <w:rPr>
          <w:rFonts w:hint="eastAsia" w:ascii="仿宋_GB2312" w:hAnsi="仿宋" w:eastAsia="仿宋_GB2312"/>
          <w:sz w:val="30"/>
          <w:szCs w:val="30"/>
          <w:highlight w:val="none"/>
        </w:rPr>
        <w:t>投用丽泽金融商务区金泽路关键路段</w:t>
      </w:r>
      <w:r>
        <w:rPr>
          <w:rFonts w:hint="eastAsia" w:ascii="仿宋_GB2312" w:hAnsi="仿宋" w:eastAsia="仿宋_GB2312"/>
          <w:color w:val="000000" w:themeColor="text1"/>
          <w:sz w:val="30"/>
          <w:szCs w:val="30"/>
          <w:highlight w:val="none"/>
          <w14:textFill>
            <w14:solidFill>
              <w14:schemeClr w14:val="tx1"/>
            </w14:solidFill>
          </w14:textFill>
        </w:rPr>
        <w:t>；新建西五环内环出口匝道，完成京港澳高速杜家坎段扩容改造，路段平均通行时间降至21分钟。停车治理纵深推进，盘活闲置资源新增公共停车位2.6万个，其中错时共享车位1万余个；区级智慧停车平台</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引导</w:t>
      </w:r>
      <w:r>
        <w:rPr>
          <w:rFonts w:hint="eastAsia" w:ascii="仿宋_GB2312" w:hAnsi="仿宋" w:eastAsia="仿宋_GB2312"/>
          <w:color w:val="000000" w:themeColor="text1"/>
          <w:sz w:val="30"/>
          <w:szCs w:val="30"/>
          <w:highlight w:val="none"/>
          <w14:textFill>
            <w14:solidFill>
              <w14:schemeClr w14:val="tx1"/>
            </w14:solidFill>
          </w14:textFill>
        </w:rPr>
        <w:t>接入车位7万余个，263条道路、20946个路侧泊位实现电子计费全覆盖；推行差异化收费与智能管控，车位周转效率提升20%以上，违停处置效率提高30%。</w:t>
      </w:r>
    </w:p>
    <w:p w14:paraId="512DC545">
      <w:pPr>
        <w:pStyle w:val="18"/>
        <w:widowControl/>
        <w:numPr>
          <w:ilvl w:val="0"/>
          <w:numId w:val="1"/>
        </w:numPr>
        <w:tabs>
          <w:tab w:val="left" w:pos="720"/>
        </w:tabs>
        <w:spacing w:line="360" w:lineRule="auto"/>
        <w:ind w:firstLineChars="0"/>
        <w:outlineLvl w:val="2"/>
        <w:rPr>
          <w:rFonts w:hint="eastAsia" w:ascii="仿宋_GB2312" w:hAnsi="仿宋" w:eastAsia="仿宋_GB2312"/>
          <w:b/>
          <w:bCs/>
          <w:sz w:val="30"/>
          <w:szCs w:val="30"/>
          <w:highlight w:val="none"/>
        </w:rPr>
      </w:pPr>
      <w:r>
        <w:rPr>
          <w:rFonts w:hint="eastAsia" w:ascii="仿宋_GB2312" w:hAnsi="仿宋" w:eastAsia="仿宋_GB2312"/>
          <w:b/>
          <w:bCs/>
          <w:sz w:val="30"/>
          <w:szCs w:val="30"/>
          <w:highlight w:val="none"/>
        </w:rPr>
        <w:t>慢行系统</w:t>
      </w:r>
      <w:r>
        <w:rPr>
          <w:rFonts w:hint="eastAsia" w:ascii="仿宋_GB2312" w:hAnsi="仿宋" w:eastAsia="仿宋_GB2312"/>
          <w:b/>
          <w:bCs/>
          <w:sz w:val="30"/>
          <w:szCs w:val="30"/>
          <w:highlight w:val="none"/>
          <w:lang w:val="en-US" w:eastAsia="zh-CN"/>
        </w:rPr>
        <w:t>有效</w:t>
      </w:r>
      <w:r>
        <w:rPr>
          <w:rFonts w:hint="eastAsia" w:ascii="仿宋_GB2312" w:hAnsi="仿宋" w:eastAsia="仿宋_GB2312"/>
          <w:b/>
          <w:bCs/>
          <w:sz w:val="30"/>
          <w:szCs w:val="30"/>
          <w:highlight w:val="none"/>
        </w:rPr>
        <w:t>提升，绿色出行环境持续改善</w:t>
      </w:r>
    </w:p>
    <w:p w14:paraId="349BE657">
      <w:pPr>
        <w:widowControl/>
        <w:spacing w:line="360" w:lineRule="auto"/>
        <w:ind w:firstLine="600" w:firstLineChars="200"/>
        <w:rPr>
          <w:rFonts w:hint="eastAsia"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color w:val="000000" w:themeColor="text1"/>
          <w:sz w:val="30"/>
          <w:szCs w:val="30"/>
          <w:highlight w:val="none"/>
          <w14:textFill>
            <w14:solidFill>
              <w14:schemeClr w14:val="tx1"/>
            </w14:solidFill>
          </w14:textFill>
        </w:rPr>
        <w:t>“十四五”期间，丰台区高标准推进慢行设施提质升级。完成413条</w:t>
      </w:r>
      <w:r>
        <w:rPr>
          <w:rFonts w:hint="eastAsia" w:ascii="仿宋_GB2312" w:hAnsi="仿宋" w:eastAsia="仿宋_GB2312"/>
          <w:color w:val="000000" w:themeColor="text1"/>
          <w:sz w:val="30"/>
          <w:szCs w:val="30"/>
          <w:highlight w:val="none"/>
          <w:lang w:eastAsia="zh-CN"/>
          <w14:textFill>
            <w14:solidFill>
              <w14:schemeClr w14:val="tx1"/>
            </w14:solidFill>
          </w14:textFill>
        </w:rPr>
        <w:t>、</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总长</w:t>
      </w:r>
      <w:r>
        <w:rPr>
          <w:rFonts w:hint="eastAsia" w:ascii="仿宋_GB2312" w:hAnsi="仿宋" w:eastAsia="仿宋_GB2312"/>
          <w:color w:val="000000" w:themeColor="text1"/>
          <w:sz w:val="30"/>
          <w:szCs w:val="30"/>
          <w:highlight w:val="none"/>
          <w14:textFill>
            <w14:solidFill>
              <w14:schemeClr w14:val="tx1"/>
            </w14:solidFill>
          </w14:textFill>
        </w:rPr>
        <w:t>324公里宽12米以上道路慢行系统评估</w:t>
      </w:r>
      <w:r>
        <w:rPr>
          <w:rFonts w:hint="eastAsia" w:ascii="仿宋_GB2312" w:hAnsi="仿宋" w:eastAsia="仿宋_GB2312"/>
          <w:color w:val="000000" w:themeColor="text1"/>
          <w:sz w:val="30"/>
          <w:szCs w:val="30"/>
          <w:highlight w:val="none"/>
          <w:lang w:eastAsia="zh-CN"/>
          <w14:textFill>
            <w14:solidFill>
              <w14:schemeClr w14:val="tx1"/>
            </w14:solidFill>
          </w14:textFill>
        </w:rPr>
        <w:t>；</w:t>
      </w:r>
      <w:r>
        <w:rPr>
          <w:rFonts w:hint="eastAsia" w:ascii="仿宋_GB2312" w:hAnsi="仿宋" w:eastAsia="仿宋_GB2312"/>
          <w:color w:val="000000" w:themeColor="text1"/>
          <w:sz w:val="30"/>
          <w:szCs w:val="30"/>
          <w:highlight w:val="none"/>
          <w14:textFill>
            <w14:solidFill>
              <w14:schemeClr w14:val="tx1"/>
            </w14:solidFill>
          </w14:textFill>
        </w:rPr>
        <w:t>新建非机动车道7.8公里、拓宽既有车道45公里，</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新建</w:t>
      </w:r>
      <w:r>
        <w:rPr>
          <w:rFonts w:hint="eastAsia" w:ascii="仿宋_GB2312" w:hAnsi="仿宋" w:eastAsia="仿宋_GB2312"/>
          <w:color w:val="000000" w:themeColor="text1"/>
          <w:sz w:val="30"/>
          <w:szCs w:val="30"/>
          <w:highlight w:val="none"/>
          <w14:textFill>
            <w14:solidFill>
              <w14:schemeClr w14:val="tx1"/>
            </w14:solidFill>
          </w14:textFill>
        </w:rPr>
        <w:t>规范非机动车道293公里，铺设人行步道476公里</w:t>
      </w:r>
      <w:r>
        <w:rPr>
          <w:rFonts w:hint="eastAsia" w:ascii="仿宋_GB2312" w:hAnsi="仿宋" w:eastAsia="仿宋_GB2312"/>
          <w:color w:val="000000" w:themeColor="text1"/>
          <w:sz w:val="30"/>
          <w:szCs w:val="30"/>
          <w:highlight w:val="none"/>
          <w:lang w:eastAsia="zh-CN"/>
          <w14:textFill>
            <w14:solidFill>
              <w14:schemeClr w14:val="tx1"/>
            </w14:solidFill>
          </w14:textFill>
        </w:rPr>
        <w:t>，</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增设</w:t>
      </w:r>
      <w:r>
        <w:rPr>
          <w:rFonts w:hint="eastAsia" w:ascii="仿宋_GB2312" w:hAnsi="仿宋" w:eastAsia="仿宋_GB2312"/>
          <w:color w:val="000000" w:themeColor="text1"/>
          <w:sz w:val="30"/>
          <w:szCs w:val="30"/>
          <w:highlight w:val="none"/>
          <w14:textFill>
            <w14:solidFill>
              <w14:schemeClr w14:val="tx1"/>
            </w14:solidFill>
          </w14:textFill>
        </w:rPr>
        <w:t>非机动车指示标识77公里，落实机非分离；</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打造</w:t>
      </w:r>
      <w:r>
        <w:rPr>
          <w:rFonts w:hint="eastAsia" w:ascii="仿宋_GB2312" w:hAnsi="仿宋" w:eastAsia="仿宋_GB2312"/>
          <w:color w:val="000000" w:themeColor="text1"/>
          <w:sz w:val="30"/>
          <w:szCs w:val="30"/>
          <w:highlight w:val="none"/>
          <w14:textFill>
            <w14:solidFill>
              <w14:schemeClr w14:val="tx1"/>
            </w14:solidFill>
          </w14:textFill>
        </w:rPr>
        <w:t>方庄、右安门慢行示范片区。</w:t>
      </w:r>
      <w:r>
        <w:rPr>
          <w:rFonts w:hint="eastAsia" w:ascii="仿宋_GB2312" w:hAnsi="仿宋" w:eastAsia="仿宋_GB2312"/>
          <w:color w:val="000000" w:themeColor="text1"/>
          <w:sz w:val="30"/>
          <w:szCs w:val="30"/>
          <w:highlight w:val="none"/>
          <w:lang w:eastAsia="zh-CN"/>
          <w14:textFill>
            <w14:solidFill>
              <w14:schemeClr w14:val="tx1"/>
            </w14:solidFill>
          </w14:textFill>
        </w:rPr>
        <w:t>互联网租赁自行车</w:t>
      </w:r>
      <w:r>
        <w:rPr>
          <w:rFonts w:hint="eastAsia" w:ascii="仿宋_GB2312" w:hAnsi="仿宋" w:eastAsia="仿宋_GB2312"/>
          <w:color w:val="000000" w:themeColor="text1"/>
          <w:sz w:val="30"/>
          <w:szCs w:val="30"/>
          <w:highlight w:val="none"/>
          <w14:textFill>
            <w14:solidFill>
              <w14:schemeClr w14:val="tx1"/>
            </w14:solidFill>
          </w14:textFill>
        </w:rPr>
        <w:t>精细化管控</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成效不</w:t>
      </w:r>
      <w:r>
        <w:rPr>
          <w:rFonts w:hint="eastAsia" w:ascii="仿宋_GB2312" w:hAnsi="仿宋" w:eastAsia="仿宋_GB2312"/>
          <w:color w:val="000000" w:themeColor="text1"/>
          <w:sz w:val="30"/>
          <w:szCs w:val="30"/>
          <w:highlight w:val="none"/>
          <w14:textFill>
            <w14:solidFill>
              <w14:schemeClr w14:val="tx1"/>
            </w14:solidFill>
          </w14:textFill>
        </w:rPr>
        <w:t>断增强，辖区</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车辆</w:t>
      </w:r>
      <w:r>
        <w:rPr>
          <w:rFonts w:hint="eastAsia" w:ascii="仿宋_GB2312" w:hAnsi="仿宋" w:eastAsia="仿宋_GB2312"/>
          <w:color w:val="000000" w:themeColor="text1"/>
          <w:sz w:val="30"/>
          <w:szCs w:val="30"/>
          <w:highlight w:val="none"/>
          <w14:textFill>
            <w14:solidFill>
              <w14:schemeClr w14:val="tx1"/>
            </w14:solidFill>
          </w14:textFill>
        </w:rPr>
        <w:t>保有量8.5万余辆，累计划定停放区2.2万个</w:t>
      </w:r>
      <w:r>
        <w:rPr>
          <w:rFonts w:hint="eastAsia" w:ascii="仿宋_GB2312" w:hAnsi="仿宋" w:eastAsia="仿宋_GB2312"/>
          <w:color w:val="000000" w:themeColor="text1"/>
          <w:sz w:val="30"/>
          <w:szCs w:val="30"/>
          <w:highlight w:val="none"/>
          <w:lang w:eastAsia="zh-CN"/>
          <w14:textFill>
            <w14:solidFill>
              <w14:schemeClr w14:val="tx1"/>
            </w14:solidFill>
          </w14:textFill>
        </w:rPr>
        <w:t>、</w:t>
      </w:r>
      <w:r>
        <w:rPr>
          <w:rFonts w:hint="eastAsia" w:ascii="仿宋_GB2312" w:hAnsi="仿宋" w:eastAsia="仿宋_GB2312"/>
          <w:color w:val="000000" w:themeColor="text1"/>
          <w:sz w:val="30"/>
          <w:szCs w:val="30"/>
          <w:highlight w:val="none"/>
          <w14:textFill>
            <w14:solidFill>
              <w14:schemeClr w14:val="tx1"/>
            </w14:solidFill>
          </w14:textFill>
        </w:rPr>
        <w:t>总面积168780平方米，</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可</w:t>
      </w:r>
      <w:r>
        <w:rPr>
          <w:rFonts w:hint="eastAsia" w:ascii="仿宋_GB2312" w:hAnsi="仿宋" w:eastAsia="仿宋_GB2312"/>
          <w:color w:val="000000" w:themeColor="text1"/>
          <w:sz w:val="30"/>
          <w:szCs w:val="30"/>
          <w:highlight w:val="none"/>
          <w14:textFill>
            <w14:solidFill>
              <w14:schemeClr w14:val="tx1"/>
            </w14:solidFill>
          </w14:textFill>
        </w:rPr>
        <w:t>容纳车辆16.8万辆，轨道站点周边</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实现</w:t>
      </w:r>
      <w:r>
        <w:rPr>
          <w:rFonts w:hint="eastAsia" w:ascii="仿宋_GB2312" w:hAnsi="仿宋" w:eastAsia="仿宋_GB2312"/>
          <w:color w:val="000000" w:themeColor="text1"/>
          <w:sz w:val="30"/>
          <w:szCs w:val="30"/>
          <w:highlight w:val="none"/>
          <w14:textFill>
            <w14:solidFill>
              <w14:schemeClr w14:val="tx1"/>
            </w14:solidFill>
          </w14:textFill>
        </w:rPr>
        <w:t>全部规范入栏停放。</w:t>
      </w:r>
    </w:p>
    <w:p w14:paraId="4E0E710B">
      <w:pPr>
        <w:pStyle w:val="18"/>
        <w:widowControl/>
        <w:numPr>
          <w:ilvl w:val="0"/>
          <w:numId w:val="1"/>
        </w:numPr>
        <w:tabs>
          <w:tab w:val="left" w:pos="720"/>
        </w:tabs>
        <w:spacing w:line="360" w:lineRule="auto"/>
        <w:ind w:firstLineChars="0"/>
        <w:outlineLvl w:val="2"/>
        <w:rPr>
          <w:rFonts w:hint="eastAsia" w:ascii="仿宋_GB2312" w:hAnsi="仿宋" w:eastAsia="仿宋_GB2312"/>
          <w:b/>
          <w:bCs/>
          <w:sz w:val="30"/>
          <w:szCs w:val="30"/>
          <w:highlight w:val="none"/>
        </w:rPr>
      </w:pPr>
      <w:r>
        <w:rPr>
          <w:rFonts w:hint="eastAsia" w:ascii="仿宋_GB2312" w:hAnsi="仿宋" w:eastAsia="仿宋_GB2312"/>
          <w:b/>
          <w:bCs/>
          <w:sz w:val="30"/>
          <w:szCs w:val="30"/>
          <w:highlight w:val="none"/>
        </w:rPr>
        <w:t>智慧治理深度融合，管理效能不断提高</w:t>
      </w:r>
    </w:p>
    <w:p w14:paraId="076EE8EE">
      <w:pPr>
        <w:widowControl/>
        <w:tabs>
          <w:tab w:val="left" w:pos="720"/>
        </w:tabs>
        <w:spacing w:line="360" w:lineRule="auto"/>
        <w:ind w:firstLine="600" w:firstLineChars="200"/>
        <w:rPr>
          <w:rFonts w:hint="eastAsia"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color w:val="000000" w:themeColor="text1"/>
          <w:sz w:val="30"/>
          <w:szCs w:val="30"/>
          <w:highlight w:val="none"/>
          <w14:textFill>
            <w14:solidFill>
              <w14:schemeClr w14:val="tx1"/>
            </w14:solidFill>
          </w14:textFill>
        </w:rPr>
        <w:t>“十四五”期间，丰台区</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加快交通数字化设施布局。</w:t>
      </w:r>
      <w:r>
        <w:rPr>
          <w:rFonts w:hint="eastAsia" w:ascii="仿宋_GB2312" w:hAnsi="仿宋" w:eastAsia="仿宋_GB2312"/>
          <w:color w:val="000000" w:themeColor="text1"/>
          <w:sz w:val="30"/>
          <w:szCs w:val="30"/>
          <w:highlight w:val="none"/>
          <w14:textFill>
            <w14:solidFill>
              <w14:schemeClr w14:val="tx1"/>
            </w14:solidFill>
          </w14:textFill>
        </w:rPr>
        <w:t>完成重点交通枢纽、主干道5G网络覆盖，布设闯红灯、违停抓拍等智能执法设备；落地自适应信号系统，依托地磁、摄像头动态调优路口配时。丰台站布设智能导引设施，实时推送各类公交轨交到站信息。</w:t>
      </w:r>
    </w:p>
    <w:p w14:paraId="57092B2E">
      <w:pPr>
        <w:widowControl/>
        <w:tabs>
          <w:tab w:val="left" w:pos="720"/>
        </w:tabs>
        <w:spacing w:line="360" w:lineRule="auto"/>
        <w:jc w:val="center"/>
        <w:rPr>
          <w:rFonts w:hint="eastAsia" w:ascii="黑体" w:hAnsi="黑体" w:eastAsia="黑体"/>
          <w:sz w:val="24"/>
          <w:szCs w:val="24"/>
          <w:highlight w:val="none"/>
        </w:rPr>
      </w:pPr>
      <w:r>
        <w:rPr>
          <w:rFonts w:hint="eastAsia" w:ascii="黑体" w:hAnsi="黑体" w:eastAsia="黑体"/>
          <w:sz w:val="24"/>
          <w:szCs w:val="24"/>
          <w:highlight w:val="none"/>
        </w:rPr>
        <w:t>丰台区“十四五”时期交通综合治理推进情况</w:t>
      </w:r>
    </w:p>
    <w:tbl>
      <w:tblPr>
        <w:tblStyle w:val="11"/>
        <w:tblW w:w="482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9"/>
        <w:gridCol w:w="1370"/>
        <w:gridCol w:w="1370"/>
        <w:gridCol w:w="1370"/>
        <w:gridCol w:w="1370"/>
        <w:gridCol w:w="1370"/>
      </w:tblGrid>
      <w:tr w14:paraId="2B8B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33" w:type="pct"/>
          </w:tcPr>
          <w:p w14:paraId="15CA7ADA">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b/>
                <w:bCs/>
                <w:sz w:val="24"/>
                <w:szCs w:val="21"/>
                <w:highlight w:val="none"/>
              </w:rPr>
            </w:pPr>
          </w:p>
        </w:tc>
        <w:tc>
          <w:tcPr>
            <w:tcW w:w="833" w:type="pct"/>
          </w:tcPr>
          <w:p w14:paraId="13D7A955">
            <w:pPr>
              <w:keepNext w:val="0"/>
              <w:keepLines w:val="0"/>
              <w:suppressLineNumbers w:val="0"/>
              <w:spacing w:before="0" w:beforeLines="0" w:beforeAutospacing="0" w:after="0" w:afterLines="0" w:afterAutospacing="0" w:line="360" w:lineRule="auto"/>
              <w:ind w:left="0" w:right="0"/>
              <w:jc w:val="center"/>
              <w:rPr>
                <w:rFonts w:hint="eastAsia" w:ascii="楷体" w:hAnsi="楷体" w:eastAsia="楷体" w:cs="楷体"/>
                <w:b/>
                <w:bCs/>
                <w:sz w:val="24"/>
                <w:szCs w:val="21"/>
                <w:highlight w:val="none"/>
              </w:rPr>
            </w:pPr>
            <w:r>
              <w:rPr>
                <w:rFonts w:hint="eastAsia" w:ascii="楷体" w:hAnsi="楷体" w:eastAsia="楷体" w:cs="楷体"/>
                <w:b/>
                <w:bCs/>
                <w:sz w:val="24"/>
                <w:szCs w:val="21"/>
                <w:highlight w:val="none"/>
              </w:rPr>
              <w:t>新增停车位（个）</w:t>
            </w:r>
          </w:p>
        </w:tc>
        <w:tc>
          <w:tcPr>
            <w:tcW w:w="833" w:type="pct"/>
          </w:tcPr>
          <w:p w14:paraId="5387D4D4">
            <w:pPr>
              <w:keepNext w:val="0"/>
              <w:keepLines w:val="0"/>
              <w:suppressLineNumbers w:val="0"/>
              <w:spacing w:before="0" w:beforeLines="0" w:beforeAutospacing="0" w:after="0" w:afterLines="0" w:afterAutospacing="0" w:line="360" w:lineRule="auto"/>
              <w:ind w:left="0" w:right="0"/>
              <w:jc w:val="center"/>
              <w:rPr>
                <w:rFonts w:hint="eastAsia" w:ascii="楷体" w:hAnsi="楷体" w:eastAsia="楷体" w:cs="楷体"/>
                <w:b/>
                <w:bCs/>
                <w:sz w:val="24"/>
                <w:szCs w:val="21"/>
                <w:highlight w:val="none"/>
              </w:rPr>
            </w:pPr>
            <w:r>
              <w:rPr>
                <w:rFonts w:hint="eastAsia" w:ascii="楷体" w:hAnsi="楷体" w:eastAsia="楷体" w:cs="楷体"/>
                <w:b/>
                <w:bCs/>
                <w:sz w:val="24"/>
                <w:szCs w:val="21"/>
                <w:highlight w:val="none"/>
              </w:rPr>
              <w:t>新增错时共享车位（个）</w:t>
            </w:r>
          </w:p>
        </w:tc>
        <w:tc>
          <w:tcPr>
            <w:tcW w:w="833" w:type="pct"/>
          </w:tcPr>
          <w:p w14:paraId="1CFCB6A3">
            <w:pPr>
              <w:keepNext w:val="0"/>
              <w:keepLines w:val="0"/>
              <w:suppressLineNumbers w:val="0"/>
              <w:spacing w:before="0" w:beforeLines="0" w:beforeAutospacing="0" w:after="0" w:afterLines="0" w:afterAutospacing="0" w:line="360" w:lineRule="auto"/>
              <w:ind w:left="0" w:right="0"/>
              <w:jc w:val="center"/>
              <w:rPr>
                <w:rFonts w:hint="eastAsia" w:ascii="楷体" w:hAnsi="楷体" w:eastAsia="楷体" w:cs="楷体"/>
                <w:b/>
                <w:bCs/>
                <w:sz w:val="24"/>
                <w:szCs w:val="21"/>
                <w:highlight w:val="none"/>
              </w:rPr>
            </w:pPr>
            <w:r>
              <w:rPr>
                <w:rFonts w:hint="eastAsia" w:ascii="楷体" w:hAnsi="楷体" w:eastAsia="楷体" w:cs="楷体"/>
                <w:b/>
                <w:bCs/>
                <w:sz w:val="24"/>
                <w:szCs w:val="21"/>
                <w:highlight w:val="none"/>
              </w:rPr>
              <w:t>打通断头路（条）</w:t>
            </w:r>
          </w:p>
        </w:tc>
        <w:tc>
          <w:tcPr>
            <w:tcW w:w="833" w:type="pct"/>
          </w:tcPr>
          <w:p w14:paraId="25F75B17">
            <w:pPr>
              <w:keepNext w:val="0"/>
              <w:keepLines w:val="0"/>
              <w:suppressLineNumbers w:val="0"/>
              <w:spacing w:before="0" w:beforeLines="0" w:beforeAutospacing="0" w:after="0" w:afterLines="0" w:afterAutospacing="0" w:line="360" w:lineRule="auto"/>
              <w:ind w:left="0" w:right="0"/>
              <w:jc w:val="center"/>
              <w:rPr>
                <w:rFonts w:hint="eastAsia" w:ascii="楷体" w:hAnsi="楷体" w:eastAsia="楷体" w:cs="楷体"/>
                <w:b/>
                <w:bCs/>
                <w:sz w:val="24"/>
                <w:szCs w:val="21"/>
                <w:highlight w:val="none"/>
              </w:rPr>
            </w:pPr>
            <w:r>
              <w:rPr>
                <w:rFonts w:hint="eastAsia" w:ascii="楷体" w:hAnsi="楷体" w:eastAsia="楷体" w:cs="楷体"/>
                <w:b/>
                <w:bCs/>
                <w:sz w:val="24"/>
                <w:szCs w:val="21"/>
                <w:highlight w:val="none"/>
              </w:rPr>
              <w:t>道路通车（条）</w:t>
            </w:r>
          </w:p>
        </w:tc>
        <w:tc>
          <w:tcPr>
            <w:tcW w:w="833" w:type="pct"/>
          </w:tcPr>
          <w:p w14:paraId="1D6E4CF6">
            <w:pPr>
              <w:keepNext w:val="0"/>
              <w:keepLines w:val="0"/>
              <w:suppressLineNumbers w:val="0"/>
              <w:spacing w:before="0" w:beforeLines="0" w:beforeAutospacing="0" w:after="0" w:afterLines="0" w:afterAutospacing="0" w:line="360" w:lineRule="auto"/>
              <w:ind w:left="0" w:right="0"/>
              <w:jc w:val="center"/>
              <w:rPr>
                <w:rFonts w:hint="eastAsia" w:ascii="楷体" w:hAnsi="楷体" w:eastAsia="楷体" w:cs="楷体"/>
                <w:b/>
                <w:bCs/>
                <w:sz w:val="24"/>
                <w:szCs w:val="21"/>
                <w:highlight w:val="none"/>
              </w:rPr>
            </w:pPr>
            <w:r>
              <w:rPr>
                <w:rFonts w:hint="eastAsia" w:ascii="楷体" w:hAnsi="楷体" w:eastAsia="楷体" w:cs="楷体"/>
                <w:b/>
                <w:bCs/>
                <w:sz w:val="24"/>
                <w:szCs w:val="21"/>
                <w:highlight w:val="none"/>
              </w:rPr>
              <w:t>道路疏堵</w:t>
            </w:r>
          </w:p>
        </w:tc>
      </w:tr>
      <w:tr w14:paraId="3AD3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33" w:type="pct"/>
          </w:tcPr>
          <w:p w14:paraId="16D979E9">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2025</w:t>
            </w:r>
          </w:p>
        </w:tc>
        <w:tc>
          <w:tcPr>
            <w:tcW w:w="833" w:type="pct"/>
          </w:tcPr>
          <w:p w14:paraId="30268D0D">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rPr>
            </w:pPr>
            <w:r>
              <w:rPr>
                <w:rFonts w:hint="default" w:ascii="仿宋_GB2312" w:hAnsi="Times New Roman" w:eastAsia="仿宋_GB2312" w:cs="Times New Roman"/>
                <w:sz w:val="24"/>
                <w:szCs w:val="21"/>
                <w:highlight w:val="none"/>
                <w:lang w:val="en-US"/>
              </w:rPr>
              <w:t>6273</w:t>
            </w:r>
          </w:p>
        </w:tc>
        <w:tc>
          <w:tcPr>
            <w:tcW w:w="833" w:type="pct"/>
          </w:tcPr>
          <w:p w14:paraId="51FE0868">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1830</w:t>
            </w:r>
          </w:p>
        </w:tc>
        <w:tc>
          <w:tcPr>
            <w:tcW w:w="833" w:type="pct"/>
          </w:tcPr>
          <w:p w14:paraId="19957213">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8</w:t>
            </w:r>
          </w:p>
        </w:tc>
        <w:tc>
          <w:tcPr>
            <w:tcW w:w="833" w:type="pct"/>
          </w:tcPr>
          <w:p w14:paraId="1545F2C9">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16</w:t>
            </w:r>
          </w:p>
        </w:tc>
        <w:tc>
          <w:tcPr>
            <w:tcW w:w="833" w:type="pct"/>
          </w:tcPr>
          <w:p w14:paraId="377FBF1E">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r>
      <w:tr w14:paraId="4F24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3" w:type="pct"/>
          </w:tcPr>
          <w:p w14:paraId="68AAC9C2">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2024</w:t>
            </w:r>
          </w:p>
        </w:tc>
        <w:tc>
          <w:tcPr>
            <w:tcW w:w="833" w:type="pct"/>
          </w:tcPr>
          <w:p w14:paraId="7B0B192D">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2579</w:t>
            </w:r>
          </w:p>
        </w:tc>
        <w:tc>
          <w:tcPr>
            <w:tcW w:w="833" w:type="pct"/>
          </w:tcPr>
          <w:p w14:paraId="73D1BD4B">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1804</w:t>
            </w:r>
          </w:p>
        </w:tc>
        <w:tc>
          <w:tcPr>
            <w:tcW w:w="833" w:type="pct"/>
          </w:tcPr>
          <w:p w14:paraId="5057E074">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8</w:t>
            </w:r>
          </w:p>
        </w:tc>
        <w:tc>
          <w:tcPr>
            <w:tcW w:w="833" w:type="pct"/>
          </w:tcPr>
          <w:p w14:paraId="564AA5DF">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13</w:t>
            </w:r>
          </w:p>
        </w:tc>
        <w:tc>
          <w:tcPr>
            <w:tcW w:w="833" w:type="pct"/>
          </w:tcPr>
          <w:p w14:paraId="08CA2CCA">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r>
      <w:tr w14:paraId="2D87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3" w:type="pct"/>
          </w:tcPr>
          <w:p w14:paraId="56B8BA44">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2023</w:t>
            </w:r>
          </w:p>
        </w:tc>
        <w:tc>
          <w:tcPr>
            <w:tcW w:w="833" w:type="pct"/>
          </w:tcPr>
          <w:p w14:paraId="07CEB054">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default" w:ascii="仿宋_GB2312" w:hAnsi="Times New Roman" w:eastAsia="仿宋_GB2312" w:cs="Times New Roman"/>
                <w:sz w:val="24"/>
                <w:szCs w:val="21"/>
                <w:highlight w:val="none"/>
              </w:rPr>
              <w:t>4166</w:t>
            </w:r>
          </w:p>
        </w:tc>
        <w:tc>
          <w:tcPr>
            <w:tcW w:w="833" w:type="pct"/>
          </w:tcPr>
          <w:p w14:paraId="1F4F3007">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1358</w:t>
            </w:r>
          </w:p>
        </w:tc>
        <w:tc>
          <w:tcPr>
            <w:tcW w:w="833" w:type="pct"/>
          </w:tcPr>
          <w:p w14:paraId="3BF24825">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7</w:t>
            </w:r>
          </w:p>
        </w:tc>
        <w:tc>
          <w:tcPr>
            <w:tcW w:w="833" w:type="pct"/>
          </w:tcPr>
          <w:p w14:paraId="58C697D8">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32</w:t>
            </w:r>
          </w:p>
        </w:tc>
        <w:tc>
          <w:tcPr>
            <w:tcW w:w="833" w:type="pct"/>
          </w:tcPr>
          <w:p w14:paraId="55BC2298">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r>
      <w:tr w14:paraId="3B1B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3" w:type="pct"/>
          </w:tcPr>
          <w:p w14:paraId="53CE6A98">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2022</w:t>
            </w:r>
          </w:p>
        </w:tc>
        <w:tc>
          <w:tcPr>
            <w:tcW w:w="833" w:type="pct"/>
          </w:tcPr>
          <w:p w14:paraId="30DC3D82">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default" w:ascii="仿宋_GB2312" w:hAnsi="Times New Roman" w:eastAsia="仿宋_GB2312" w:cs="Times New Roman"/>
                <w:sz w:val="24"/>
                <w:szCs w:val="21"/>
                <w:highlight w:val="none"/>
              </w:rPr>
              <w:t>5863</w:t>
            </w:r>
          </w:p>
        </w:tc>
        <w:tc>
          <w:tcPr>
            <w:tcW w:w="833" w:type="pct"/>
          </w:tcPr>
          <w:p w14:paraId="0C307A79">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1171</w:t>
            </w:r>
          </w:p>
        </w:tc>
        <w:tc>
          <w:tcPr>
            <w:tcW w:w="833" w:type="pct"/>
          </w:tcPr>
          <w:p w14:paraId="3AD72A0E">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c>
          <w:tcPr>
            <w:tcW w:w="833" w:type="pct"/>
          </w:tcPr>
          <w:p w14:paraId="6B753A78">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c>
          <w:tcPr>
            <w:tcW w:w="833" w:type="pct"/>
          </w:tcPr>
          <w:p w14:paraId="0B50F034">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10</w:t>
            </w:r>
          </w:p>
        </w:tc>
      </w:tr>
      <w:tr w14:paraId="4684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3" w:type="pct"/>
          </w:tcPr>
          <w:p w14:paraId="30369B3C">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2021</w:t>
            </w:r>
          </w:p>
        </w:tc>
        <w:tc>
          <w:tcPr>
            <w:tcW w:w="833" w:type="pct"/>
          </w:tcPr>
          <w:p w14:paraId="39EE207E">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default" w:ascii="仿宋_GB2312" w:hAnsi="Times New Roman" w:eastAsia="仿宋_GB2312" w:cs="Times New Roman"/>
                <w:sz w:val="24"/>
                <w:szCs w:val="21"/>
                <w:highlight w:val="none"/>
              </w:rPr>
              <w:t>7662</w:t>
            </w:r>
          </w:p>
        </w:tc>
        <w:tc>
          <w:tcPr>
            <w:tcW w:w="833" w:type="pct"/>
          </w:tcPr>
          <w:p w14:paraId="7F61577D">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4519</w:t>
            </w:r>
          </w:p>
        </w:tc>
        <w:tc>
          <w:tcPr>
            <w:tcW w:w="833" w:type="pct"/>
          </w:tcPr>
          <w:p w14:paraId="54664ED2">
            <w:pPr>
              <w:keepNext w:val="0"/>
              <w:keepLines w:val="0"/>
              <w:suppressLineNumbers w:val="0"/>
              <w:spacing w:before="0" w:beforeLines="0" w:beforeAutospacing="0" w:after="0" w:afterLines="0" w:afterAutospacing="0" w:line="360" w:lineRule="auto"/>
              <w:ind w:left="0" w:right="0"/>
              <w:jc w:val="center"/>
              <w:rPr>
                <w:rFonts w:hint="eastAsia"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4</w:t>
            </w:r>
          </w:p>
        </w:tc>
        <w:tc>
          <w:tcPr>
            <w:tcW w:w="833" w:type="pct"/>
          </w:tcPr>
          <w:p w14:paraId="73EAA43B">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17</w:t>
            </w:r>
          </w:p>
        </w:tc>
        <w:tc>
          <w:tcPr>
            <w:tcW w:w="833" w:type="pct"/>
          </w:tcPr>
          <w:p w14:paraId="0BAB5263">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rPr>
            </w:pPr>
            <w:r>
              <w:rPr>
                <w:rFonts w:hint="eastAsia" w:ascii="仿宋_GB2312" w:hAnsi="Times New Roman" w:eastAsia="仿宋_GB2312" w:cs="Times New Roman"/>
                <w:sz w:val="24"/>
                <w:szCs w:val="21"/>
                <w:highlight w:val="none"/>
              </w:rPr>
              <w:t>5</w:t>
            </w:r>
          </w:p>
        </w:tc>
      </w:tr>
      <w:tr w14:paraId="3F3D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3" w:type="pct"/>
          </w:tcPr>
          <w:p w14:paraId="52F65388">
            <w:pPr>
              <w:keepNext w:val="0"/>
              <w:keepLines w:val="0"/>
              <w:suppressLineNumbers w:val="0"/>
              <w:spacing w:before="0" w:beforeLines="0" w:beforeAutospacing="0" w:after="0" w:afterLines="0" w:afterAutospacing="0" w:line="360" w:lineRule="auto"/>
              <w:ind w:left="0" w:right="0"/>
              <w:jc w:val="center"/>
              <w:rPr>
                <w:rFonts w:hint="eastAsia"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b/>
                <w:bCs/>
                <w:sz w:val="24"/>
                <w:szCs w:val="21"/>
                <w:highlight w:val="none"/>
                <w:lang w:val="en-US" w:eastAsia="zh-CN"/>
              </w:rPr>
              <w:t>合计</w:t>
            </w:r>
          </w:p>
        </w:tc>
        <w:tc>
          <w:tcPr>
            <w:tcW w:w="833" w:type="pct"/>
          </w:tcPr>
          <w:p w14:paraId="2E27789A">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26543</w:t>
            </w:r>
          </w:p>
        </w:tc>
        <w:tc>
          <w:tcPr>
            <w:tcW w:w="833" w:type="pct"/>
          </w:tcPr>
          <w:p w14:paraId="3AF7C481">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10682</w:t>
            </w:r>
          </w:p>
        </w:tc>
        <w:tc>
          <w:tcPr>
            <w:tcW w:w="833" w:type="pct"/>
          </w:tcPr>
          <w:p w14:paraId="459F5FA4">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32</w:t>
            </w:r>
          </w:p>
        </w:tc>
        <w:tc>
          <w:tcPr>
            <w:tcW w:w="833" w:type="pct"/>
          </w:tcPr>
          <w:p w14:paraId="3B77A230">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83</w:t>
            </w:r>
          </w:p>
        </w:tc>
        <w:tc>
          <w:tcPr>
            <w:tcW w:w="833" w:type="pct"/>
          </w:tcPr>
          <w:p w14:paraId="7B29FF1A">
            <w:pPr>
              <w:keepNext w:val="0"/>
              <w:keepLines w:val="0"/>
              <w:suppressLineNumbers w:val="0"/>
              <w:spacing w:before="0" w:beforeLines="0" w:beforeAutospacing="0" w:after="0" w:afterLines="0" w:afterAutospacing="0" w:line="360" w:lineRule="auto"/>
              <w:ind w:left="0" w:right="0"/>
              <w:jc w:val="center"/>
              <w:rPr>
                <w:rFonts w:hint="default" w:ascii="仿宋_GB2312" w:hAnsi="Times New Roman" w:eastAsia="仿宋_GB2312" w:cs="Times New Roman"/>
                <w:sz w:val="24"/>
                <w:szCs w:val="21"/>
                <w:highlight w:val="none"/>
                <w:lang w:val="en-US" w:eastAsia="zh-CN"/>
              </w:rPr>
            </w:pPr>
            <w:r>
              <w:rPr>
                <w:rFonts w:hint="eastAsia" w:ascii="仿宋_GB2312" w:hAnsi="Times New Roman" w:eastAsia="仿宋_GB2312" w:cs="Times New Roman"/>
                <w:sz w:val="24"/>
                <w:szCs w:val="21"/>
                <w:highlight w:val="none"/>
                <w:lang w:val="en-US" w:eastAsia="zh-CN"/>
              </w:rPr>
              <w:t>30</w:t>
            </w:r>
          </w:p>
        </w:tc>
      </w:tr>
    </w:tbl>
    <w:p w14:paraId="2D75A7D7">
      <w:pPr>
        <w:pStyle w:val="17"/>
        <w:keepNext w:val="0"/>
        <w:keepLines w:val="0"/>
        <w:spacing w:before="0" w:beforeLines="0" w:beforeAutospacing="0" w:after="0" w:afterAutospacing="0" w:line="360" w:lineRule="auto"/>
        <w:ind w:firstLineChars="0"/>
        <w:jc w:val="left"/>
        <w:rPr>
          <w:rFonts w:hint="eastAsia" w:ascii="黑体" w:hAnsi="黑体"/>
          <w:b w:val="0"/>
          <w:spacing w:val="14"/>
          <w:sz w:val="30"/>
          <w:szCs w:val="30"/>
          <w:highlight w:val="none"/>
        </w:rPr>
      </w:pPr>
      <w:r>
        <w:rPr>
          <w:rFonts w:hint="eastAsia" w:ascii="仿宋_GB2312" w:hAnsi="仿宋" w:eastAsia="仿宋_GB2312"/>
          <w:sz w:val="30"/>
          <w:szCs w:val="30"/>
          <w:highlight w:val="none"/>
        </w:rPr>
        <w:br w:type="page"/>
      </w:r>
      <w:bookmarkStart w:id="33" w:name="_Toc30649"/>
      <w:bookmarkStart w:id="34" w:name="_Toc566463726"/>
      <w:bookmarkStart w:id="35" w:name="_Toc13239"/>
      <w:bookmarkStart w:id="36" w:name="_Toc213265713"/>
      <w:r>
        <w:rPr>
          <w:rFonts w:hint="eastAsia" w:ascii="黑体" w:hAnsi="黑体"/>
          <w:b w:val="0"/>
          <w:spacing w:val="14"/>
          <w:sz w:val="30"/>
          <w:szCs w:val="30"/>
          <w:highlight w:val="none"/>
          <w:lang w:val="en-US" w:eastAsia="zh-CN"/>
        </w:rPr>
        <w:t>二、发展形势</w:t>
      </w:r>
      <w:bookmarkEnd w:id="33"/>
      <w:bookmarkEnd w:id="34"/>
      <w:bookmarkEnd w:id="35"/>
      <w:bookmarkEnd w:id="36"/>
    </w:p>
    <w:p w14:paraId="4E375890">
      <w:pPr>
        <w:widowControl/>
        <w:tabs>
          <w:tab w:val="left" w:pos="720"/>
        </w:tabs>
        <w:spacing w:line="360" w:lineRule="auto"/>
        <w:ind w:firstLine="600" w:firstLineChars="200"/>
        <w:outlineLvl w:val="9"/>
        <w:rPr>
          <w:rFonts w:hint="eastAsia" w:ascii="仿宋_GB2312" w:hAnsi="仿宋" w:eastAsia="仿宋_GB2312"/>
          <w:sz w:val="30"/>
          <w:szCs w:val="30"/>
          <w:highlight w:val="none"/>
        </w:rPr>
      </w:pPr>
      <w:r>
        <w:rPr>
          <w:rFonts w:hint="eastAsia" w:ascii="仿宋_GB2312" w:hAnsi="仿宋" w:eastAsia="仿宋_GB2312"/>
          <w:sz w:val="30"/>
          <w:szCs w:val="30"/>
          <w:highlight w:val="none"/>
        </w:rPr>
        <w:t>“十五五”时期是丰台区城市交通基础设施建设进入存量更新与结构优化为主的新阶段，</w:t>
      </w:r>
      <w:r>
        <w:rPr>
          <w:rFonts w:hint="eastAsia" w:ascii="仿宋_GB2312" w:hAnsi="仿宋" w:eastAsia="仿宋_GB2312"/>
          <w:b w:val="0"/>
          <w:bCs w:val="0"/>
          <w:sz w:val="30"/>
          <w:szCs w:val="30"/>
          <w:highlight w:val="none"/>
        </w:rPr>
        <w:t>联网、补网、强链成为发展重点</w:t>
      </w:r>
      <w:r>
        <w:rPr>
          <w:rFonts w:hint="eastAsia" w:ascii="仿宋_GB2312" w:hAnsi="仿宋" w:eastAsia="仿宋_GB2312"/>
          <w:sz w:val="30"/>
          <w:szCs w:val="30"/>
          <w:highlight w:val="none"/>
        </w:rPr>
        <w:t>。</w:t>
      </w:r>
    </w:p>
    <w:p w14:paraId="52A4803B">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从区域空间发展大局看，丰台交通需支撑“一轴、两带、四区、多点”空间格局构建，推进轨道、公交、道路、慢行多网融合，增强关键枢纽辐射能力，实现合理增长与质量提升，努力在国家综合立体交通网中发挥重要节点功能。</w:t>
      </w:r>
    </w:p>
    <w:p w14:paraId="40220A8F">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从交通服务升级要求看，丰台交通</w:t>
      </w:r>
      <w:r>
        <w:rPr>
          <w:rFonts w:hint="eastAsia" w:ascii="仿宋_GB2312" w:hAnsi="仿宋" w:eastAsia="仿宋_GB2312"/>
          <w:sz w:val="30"/>
          <w:szCs w:val="30"/>
          <w:highlight w:val="none"/>
          <w:lang w:val="en-US" w:eastAsia="zh-CN"/>
        </w:rPr>
        <w:t>需</w:t>
      </w:r>
      <w:r>
        <w:rPr>
          <w:rFonts w:hint="eastAsia" w:ascii="仿宋_GB2312" w:hAnsi="仿宋" w:eastAsia="仿宋_GB2312"/>
          <w:sz w:val="30"/>
          <w:szCs w:val="30"/>
          <w:highlight w:val="none"/>
        </w:rPr>
        <w:t>深入贯彻落实交通强国建设“三个发展转变”和“四个一流”目标，亟需持续推进跨方式、跨区域、跨行业协同一体化发展，强化交通服务“软联通”</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推进</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交通+</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产业融合，培育路衍经济、枢纽经济等新增长点。</w:t>
      </w:r>
    </w:p>
    <w:p w14:paraId="4D027862">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从行业治理转型趋势看，丰台交通</w:t>
      </w:r>
      <w:r>
        <w:rPr>
          <w:rFonts w:hint="eastAsia" w:ascii="仿宋_GB2312" w:hAnsi="仿宋" w:eastAsia="仿宋_GB2312"/>
          <w:sz w:val="30"/>
          <w:szCs w:val="30"/>
          <w:highlight w:val="none"/>
          <w:lang w:val="en-US" w:eastAsia="zh-CN"/>
        </w:rPr>
        <w:t>应</w:t>
      </w:r>
      <w:r>
        <w:rPr>
          <w:rFonts w:hint="eastAsia" w:ascii="仿宋_GB2312" w:hAnsi="仿宋" w:eastAsia="仿宋_GB2312"/>
          <w:sz w:val="30"/>
          <w:szCs w:val="30"/>
          <w:highlight w:val="none"/>
        </w:rPr>
        <w:t>坚持以安全、智慧、绿色为导向，以新质生产力驱动高质量发展。健全安全监管与应急指挥体系，依托轨道交通千亿产业集群推动场站智能化转型，落地智慧枢纽调度等应用场景。以碳达峰碳中和为牵引，推进道路建养绿色转型。</w:t>
      </w:r>
    </w:p>
    <w:p w14:paraId="29D310AC">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同时，对照首都发展与群众期盼，区域短板仍较突出：轨道交通覆盖均衡性不足，新建居住区、产业园区及城乡结合部存在短板，通勤走廊接驳换乘效率不高。现代化道路体系尚不健全，河西地区路网骨</w:t>
      </w:r>
      <w:r>
        <w:rPr>
          <w:rFonts w:hint="eastAsia" w:ascii="仿宋_GB2312" w:hAnsi="仿宋" w:eastAsia="仿宋_GB2312"/>
          <w:sz w:val="30"/>
          <w:szCs w:val="30"/>
          <w:highlight w:val="none"/>
          <w:lang w:eastAsia="zh-CN"/>
        </w:rPr>
        <w:t>架尚</w:t>
      </w:r>
      <w:r>
        <w:rPr>
          <w:rFonts w:hint="eastAsia" w:ascii="仿宋_GB2312" w:hAnsi="仿宋" w:eastAsia="仿宋_GB2312"/>
          <w:sz w:val="30"/>
          <w:szCs w:val="30"/>
          <w:highlight w:val="none"/>
        </w:rPr>
        <w:t>未成型，断头路、瓶颈路问题突出，丽泽金融商务区、丰台科技园等核心区域交通支撑能力仍需增强。动静态交通供需矛盾凸显，河东河西跨河通道有限，潮汐交通特征明显，高峰拥堵</w:t>
      </w:r>
      <w:r>
        <w:rPr>
          <w:rFonts w:hint="eastAsia" w:ascii="仿宋_GB2312" w:hAnsi="仿宋" w:eastAsia="仿宋_GB2312"/>
          <w:sz w:val="30"/>
          <w:szCs w:val="30"/>
          <w:highlight w:val="none"/>
          <w:lang w:val="en-US" w:eastAsia="zh-CN"/>
        </w:rPr>
        <w:t>严重</w:t>
      </w:r>
      <w:r>
        <w:rPr>
          <w:rFonts w:hint="eastAsia" w:ascii="仿宋_GB2312" w:hAnsi="仿宋" w:eastAsia="仿宋_GB2312"/>
          <w:sz w:val="30"/>
          <w:szCs w:val="30"/>
          <w:highlight w:val="none"/>
        </w:rPr>
        <w:t>。停车设施供给不足与配置不均并存，医院、学校、商圈等重点区域停车难问题尚未有效化解。高质量发展内驱力有待强化，智慧感知与智能决策治理框架尚未健全，跨部门信息平台整合深度不足。绿色低碳转型长效机制不健全，公共交通与慢行系统服务品质仍需提升。交通安全风险预警与应急响应能力有待加强，行业协同治理效能亟待提高。</w:t>
      </w:r>
      <w:r>
        <w:rPr>
          <w:rFonts w:hint="eastAsia" w:ascii="仿宋_GB2312" w:hAnsi="仿宋" w:eastAsia="仿宋_GB2312"/>
          <w:sz w:val="30"/>
          <w:szCs w:val="30"/>
          <w:highlight w:val="none"/>
        </w:rPr>
        <w:br w:type="page"/>
      </w:r>
    </w:p>
    <w:p w14:paraId="6F76AE42">
      <w:pPr>
        <w:pStyle w:val="16"/>
        <w:keepNext w:val="0"/>
        <w:keepLines w:val="0"/>
        <w:spacing w:before="0" w:beforeLines="0" w:line="360" w:lineRule="auto"/>
        <w:jc w:val="center"/>
        <w:rPr>
          <w:rFonts w:hint="eastAsia" w:ascii="方正小标宋简体" w:hAnsi="仿宋" w:eastAsia="方正小标宋简体"/>
          <w:b w:val="0"/>
          <w:bCs w:val="0"/>
          <w:spacing w:val="14"/>
          <w:sz w:val="44"/>
          <w:szCs w:val="44"/>
          <w:highlight w:val="none"/>
        </w:rPr>
      </w:pPr>
      <w:bookmarkStart w:id="37" w:name="_Toc17633"/>
      <w:bookmarkStart w:id="38" w:name="_Toc8862"/>
      <w:bookmarkStart w:id="39" w:name="_Toc1248496679"/>
      <w:r>
        <w:rPr>
          <w:rFonts w:hint="eastAsia" w:ascii="方正小标宋简体" w:hAnsi="仿宋" w:eastAsia="方正小标宋简体"/>
          <w:b w:val="0"/>
          <w:bCs w:val="0"/>
          <w:spacing w:val="14"/>
          <w:sz w:val="44"/>
          <w:szCs w:val="44"/>
          <w:highlight w:val="none"/>
          <w:lang w:val="en-US" w:eastAsia="zh-CN"/>
        </w:rPr>
        <w:t>第</w:t>
      </w:r>
      <w:r>
        <w:rPr>
          <w:rFonts w:hint="eastAsia" w:ascii="方正小标宋简体" w:hAnsi="仿宋" w:eastAsia="方正小标宋简体"/>
          <w:b w:val="0"/>
          <w:bCs w:val="0"/>
          <w:spacing w:val="14"/>
          <w:sz w:val="44"/>
          <w:szCs w:val="44"/>
          <w:highlight w:val="none"/>
        </w:rPr>
        <w:t>二</w:t>
      </w:r>
      <w:r>
        <w:rPr>
          <w:rFonts w:hint="eastAsia" w:ascii="方正小标宋简体" w:hAnsi="仿宋" w:eastAsia="方正小标宋简体"/>
          <w:b w:val="0"/>
          <w:bCs w:val="0"/>
          <w:spacing w:val="14"/>
          <w:sz w:val="44"/>
          <w:szCs w:val="44"/>
          <w:highlight w:val="none"/>
          <w:lang w:val="en-US" w:eastAsia="zh-CN"/>
        </w:rPr>
        <w:t xml:space="preserve">章 </w:t>
      </w:r>
      <w:r>
        <w:rPr>
          <w:rFonts w:hint="eastAsia" w:ascii="方正小标宋简体" w:hAnsi="仿宋" w:eastAsia="方正小标宋简体"/>
          <w:b w:val="0"/>
          <w:bCs w:val="0"/>
          <w:spacing w:val="14"/>
          <w:sz w:val="44"/>
          <w:szCs w:val="44"/>
          <w:highlight w:val="none"/>
        </w:rPr>
        <w:t>总体要求</w:t>
      </w:r>
      <w:bookmarkEnd w:id="37"/>
      <w:bookmarkEnd w:id="38"/>
      <w:bookmarkEnd w:id="39"/>
    </w:p>
    <w:p w14:paraId="370817C8">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40" w:name="_Toc248"/>
      <w:bookmarkStart w:id="41" w:name="_Toc420969116"/>
      <w:bookmarkStart w:id="42" w:name="_Toc28825"/>
      <w:r>
        <w:rPr>
          <w:rFonts w:hint="eastAsia" w:ascii="黑体" w:hAnsi="黑体"/>
          <w:b w:val="0"/>
          <w:spacing w:val="14"/>
          <w:sz w:val="30"/>
          <w:szCs w:val="30"/>
          <w:highlight w:val="none"/>
          <w:lang w:val="en-US" w:eastAsia="zh-CN"/>
        </w:rPr>
        <w:t>一、</w:t>
      </w:r>
      <w:r>
        <w:rPr>
          <w:rFonts w:hint="eastAsia" w:ascii="黑体" w:hAnsi="黑体"/>
          <w:b w:val="0"/>
          <w:spacing w:val="14"/>
          <w:sz w:val="30"/>
          <w:szCs w:val="30"/>
          <w:highlight w:val="none"/>
        </w:rPr>
        <w:t>指导思想</w:t>
      </w:r>
      <w:bookmarkEnd w:id="40"/>
      <w:bookmarkEnd w:id="41"/>
      <w:bookmarkEnd w:id="42"/>
    </w:p>
    <w:p w14:paraId="7BA4E82D">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以习近平新时代中国特色社会主义思想为指导，</w:t>
      </w:r>
      <w:r>
        <w:rPr>
          <w:rFonts w:hint="eastAsia" w:ascii="仿宋_GB2312" w:hAnsi="仿宋" w:eastAsia="仿宋_GB2312"/>
          <w:spacing w:val="0"/>
          <w:sz w:val="30"/>
          <w:szCs w:val="30"/>
          <w:highlight w:val="none"/>
        </w:rPr>
        <w:t>全面</w:t>
      </w:r>
      <w:r>
        <w:rPr>
          <w:rFonts w:hint="eastAsia" w:ascii="仿宋_GB2312" w:hAnsi="仿宋" w:eastAsia="仿宋_GB2312"/>
          <w:sz w:val="30"/>
          <w:szCs w:val="30"/>
          <w:highlight w:val="none"/>
        </w:rPr>
        <w:t>贯彻党的二十大和二十届</w:t>
      </w:r>
      <w:r>
        <w:rPr>
          <w:rFonts w:hint="eastAsia" w:ascii="仿宋_GB2312" w:hAnsi="仿宋" w:eastAsia="仿宋_GB2312"/>
          <w:sz w:val="30"/>
          <w:szCs w:val="30"/>
          <w:highlight w:val="none"/>
          <w:lang w:val="en-US" w:eastAsia="zh-CN"/>
        </w:rPr>
        <w:t>历次</w:t>
      </w:r>
      <w:r>
        <w:rPr>
          <w:rFonts w:hint="eastAsia" w:ascii="仿宋_GB2312" w:hAnsi="仿宋" w:eastAsia="仿宋_GB2312"/>
          <w:sz w:val="30"/>
          <w:szCs w:val="30"/>
          <w:highlight w:val="none"/>
        </w:rPr>
        <w:t>全会精神，</w:t>
      </w:r>
      <w:r>
        <w:rPr>
          <w:rFonts w:hint="eastAsia" w:ascii="仿宋_GB2312" w:hAnsi="仿宋" w:eastAsia="仿宋_GB2312"/>
          <w:spacing w:val="0"/>
          <w:sz w:val="30"/>
          <w:szCs w:val="30"/>
          <w:highlight w:val="none"/>
        </w:rPr>
        <w:t>深入落实中央城市工作会议精神，</w:t>
      </w:r>
      <w:r>
        <w:rPr>
          <w:rFonts w:hint="eastAsia" w:ascii="仿宋_GB2312" w:hAnsi="仿宋" w:eastAsia="仿宋_GB2312"/>
          <w:sz w:val="30"/>
          <w:szCs w:val="30"/>
          <w:highlight w:val="none"/>
        </w:rPr>
        <w:t>践行人民至上发展</w:t>
      </w:r>
      <w:r>
        <w:rPr>
          <w:rFonts w:hint="eastAsia" w:ascii="仿宋_GB2312" w:hAnsi="仿宋" w:eastAsia="仿宋_GB2312"/>
          <w:sz w:val="30"/>
          <w:szCs w:val="30"/>
          <w:highlight w:val="none"/>
          <w:lang w:val="en-US" w:eastAsia="zh-CN"/>
        </w:rPr>
        <w:t>思想</w:t>
      </w:r>
      <w:r>
        <w:rPr>
          <w:rFonts w:hint="eastAsia" w:ascii="仿宋_GB2312" w:hAnsi="仿宋" w:eastAsia="仿宋_GB2312"/>
          <w:sz w:val="30"/>
          <w:szCs w:val="30"/>
          <w:highlight w:val="none"/>
        </w:rPr>
        <w:t>，完整、准确、全面贯彻新发展理念，服务构建新发展格局，切实扛起交通运输基础性、先导性、战略性“先行官”作用。紧紧锚定交通强国建设目标与新时代首都发展全局，深度融入北京“一核一主一副、两轴多点一区”城市空间布局，立足本区“一轴、两带、四区、多点”国土空间结构与北京西站、北京南站、丰台站三大铁路枢纽、丽泽城市航站楼独特区位优势，统筹推进轨道、公交、道路、慢行多网深度融合，构建全域覆盖、内外联通的综合立体交通网络。</w:t>
      </w:r>
    </w:p>
    <w:p w14:paraId="4A194504">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坚持数字智能技术赋能交通全链条、体制机制改革提升现代化治理效能，系统塑造高效便捷、安全韧性、绿色人本、智慧创新的现代化综合交通体系，以交通先锋引领区域全面跃升，全力打造超大城市中心城区交通综合治理示范标杆，为丰台区高质量跨越式发展、服务首都“四个中心”功能建设与京津冀协同发展提供坚实交通支撑。</w:t>
      </w:r>
    </w:p>
    <w:p w14:paraId="4C852C98">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“十五五”期间，</w:t>
      </w:r>
      <w:r>
        <w:rPr>
          <w:rFonts w:hint="eastAsia" w:ascii="仿宋_GB2312" w:hAnsi="仿宋" w:eastAsia="仿宋_GB2312"/>
          <w:sz w:val="30"/>
          <w:szCs w:val="30"/>
          <w:highlight w:val="none"/>
          <w:lang w:val="en-US" w:eastAsia="zh-CN"/>
        </w:rPr>
        <w:t>全区</w:t>
      </w:r>
      <w:r>
        <w:rPr>
          <w:rFonts w:hint="eastAsia" w:ascii="仿宋_GB2312" w:hAnsi="仿宋" w:eastAsia="仿宋_GB2312"/>
          <w:sz w:val="30"/>
          <w:szCs w:val="30"/>
          <w:highlight w:val="none"/>
        </w:rPr>
        <w:t>紧扣丰台区“</w:t>
      </w:r>
      <w:r>
        <w:rPr>
          <w:rFonts w:hint="eastAsia" w:ascii="仿宋_GB2312" w:hAnsi="仿宋" w:eastAsia="仿宋_GB2312"/>
          <w:sz w:val="30"/>
          <w:szCs w:val="30"/>
          <w:highlight w:val="none"/>
          <w:lang w:val="en-US" w:eastAsia="zh-CN"/>
        </w:rPr>
        <w:t>四区</w:t>
      </w:r>
      <w:r>
        <w:rPr>
          <w:rFonts w:hint="eastAsia" w:ascii="仿宋_GB2312" w:hAnsi="仿宋" w:eastAsia="仿宋_GB2312"/>
          <w:sz w:val="30"/>
          <w:szCs w:val="30"/>
          <w:highlight w:val="none"/>
        </w:rPr>
        <w:t>一枢纽”核心功能定位，围绕打造首都前院、城市门户、文化客厅、生态屏障发展愿景，牢牢把握先锋引领、倍增追赶、合作发展工作主线，紧扣农村城市化、城市现代化、全域场景化发展路径，锚定建设首都功能拓展区、区域协同先行区、产城融合创新区、花园城市特色区、全龄友好活力区总体目标，强化交通专项规划与产业发展、空间布局、民生保障规划统筹衔接。统筹推动交通设施与城市地下管网、新型电网、水网、算力网、新一代通信网、物流网同步规划、协同实施，系统提升基础设施整体效能。坚持固本拓新、适度超前发展导向，统筹推进交通基础设施多网融合提质、公共交通服务迭代增效、交通行业治理数字化转型升级，充分激活城市路网全域承载支撑能力，释放三大铁路枢纽、丽泽城市航站楼集聚辐射动能，以交通先行优势撬动全区产城融合、区域协同、民生提质实现全方位突破。</w:t>
      </w:r>
    </w:p>
    <w:p w14:paraId="6F0045EF">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lang w:val="en-US" w:eastAsia="zh-CN"/>
        </w:rPr>
        <w:t>一是</w:t>
      </w:r>
      <w:r>
        <w:rPr>
          <w:rFonts w:hint="eastAsia" w:ascii="仿宋_GB2312" w:hAnsi="仿宋" w:eastAsia="仿宋_GB2312"/>
          <w:b/>
          <w:bCs/>
          <w:sz w:val="30"/>
          <w:szCs w:val="30"/>
          <w:highlight w:val="none"/>
        </w:rPr>
        <w:t>构筑枢纽</w:t>
      </w:r>
      <w:r>
        <w:rPr>
          <w:rFonts w:hint="eastAsia" w:ascii="仿宋_GB2312" w:hAnsi="仿宋" w:eastAsia="仿宋_GB2312"/>
          <w:b/>
          <w:bCs/>
          <w:sz w:val="30"/>
          <w:szCs w:val="30"/>
          <w:highlight w:val="none"/>
          <w:lang w:val="en-US" w:eastAsia="zh-CN"/>
        </w:rPr>
        <w:t>价值</w:t>
      </w:r>
      <w:r>
        <w:rPr>
          <w:rFonts w:hint="eastAsia" w:ascii="仿宋_GB2312" w:hAnsi="仿宋" w:eastAsia="仿宋_GB2312"/>
          <w:b/>
          <w:bCs/>
          <w:sz w:val="30"/>
          <w:szCs w:val="30"/>
          <w:highlight w:val="none"/>
        </w:rPr>
        <w:t>之城，</w:t>
      </w:r>
      <w:r>
        <w:rPr>
          <w:rFonts w:hint="eastAsia" w:ascii="仿宋_GB2312" w:hAnsi="仿宋" w:eastAsia="仿宋_GB2312" w:cstheme="minorBidi"/>
          <w:b/>
          <w:bCs/>
          <w:sz w:val="30"/>
          <w:szCs w:val="30"/>
          <w:highlight w:val="none"/>
        </w:rPr>
        <w:t>放大协同辐射能级</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统筹北京西站、北京南站、丰台站三大铁路枢纽一体化协同运营，抢抓丽泽城市航站楼空铁联运战略窗口期，全域推进站城一体化综合开发，推动过境交通流量转化为区域发展增量、交通节点升级为价值高地，持续巩固丰台在京津冀综合交通网络中的核心枢纽节点地位，助力建设区域协同先行区。</w:t>
      </w:r>
    </w:p>
    <w:p w14:paraId="7D59567F">
      <w:pPr>
        <w:widowControl/>
        <w:tabs>
          <w:tab w:val="left" w:pos="720"/>
        </w:tabs>
        <w:spacing w:line="360" w:lineRule="auto"/>
        <w:ind w:firstLine="602" w:firstLineChars="200"/>
        <w:rPr>
          <w:rFonts w:hint="eastAsia" w:ascii="仿宋_GB2312" w:hAnsi="仿宋" w:eastAsia="仿宋_GB2312"/>
          <w:b/>
          <w:bCs/>
          <w:sz w:val="30"/>
          <w:szCs w:val="30"/>
          <w:highlight w:val="none"/>
          <w:lang w:eastAsia="zh-CN"/>
        </w:rPr>
      </w:pPr>
      <w:r>
        <w:rPr>
          <w:rFonts w:hint="eastAsia" w:ascii="仿宋_GB2312" w:hAnsi="仿宋" w:eastAsia="仿宋_GB2312"/>
          <w:b/>
          <w:bCs/>
          <w:sz w:val="30"/>
          <w:szCs w:val="30"/>
          <w:highlight w:val="none"/>
          <w:lang w:val="en-US" w:eastAsia="zh-CN"/>
        </w:rPr>
        <w:t>二是</w:t>
      </w:r>
      <w:r>
        <w:rPr>
          <w:rFonts w:hint="eastAsia" w:ascii="仿宋_GB2312" w:hAnsi="仿宋" w:eastAsia="仿宋_GB2312"/>
          <w:b/>
          <w:bCs/>
          <w:sz w:val="30"/>
          <w:szCs w:val="30"/>
          <w:highlight w:val="none"/>
        </w:rPr>
        <w:t>强化轨道</w:t>
      </w:r>
      <w:r>
        <w:rPr>
          <w:rFonts w:hint="eastAsia" w:ascii="仿宋_GB2312" w:hAnsi="仿宋" w:eastAsia="仿宋_GB2312"/>
          <w:b/>
          <w:bCs/>
          <w:sz w:val="30"/>
          <w:szCs w:val="30"/>
          <w:highlight w:val="none"/>
          <w:lang w:val="en-US" w:eastAsia="zh-CN"/>
        </w:rPr>
        <w:t>骨干</w:t>
      </w:r>
      <w:r>
        <w:rPr>
          <w:rFonts w:hint="eastAsia" w:ascii="仿宋_GB2312" w:hAnsi="仿宋" w:eastAsia="仿宋_GB2312"/>
          <w:b/>
          <w:bCs/>
          <w:sz w:val="30"/>
          <w:szCs w:val="30"/>
          <w:highlight w:val="none"/>
        </w:rPr>
        <w:t>引领，织密</w:t>
      </w:r>
      <w:r>
        <w:rPr>
          <w:rFonts w:hint="eastAsia" w:ascii="仿宋_GB2312" w:hAnsi="仿宋" w:eastAsia="仿宋_GB2312"/>
          <w:b/>
          <w:bCs/>
          <w:sz w:val="30"/>
          <w:szCs w:val="30"/>
          <w:highlight w:val="none"/>
          <w:lang w:val="en-US" w:eastAsia="zh-CN"/>
        </w:rPr>
        <w:t>全域</w:t>
      </w:r>
      <w:r>
        <w:rPr>
          <w:rFonts w:hint="eastAsia" w:ascii="仿宋_GB2312" w:hAnsi="仿宋" w:eastAsia="仿宋_GB2312"/>
          <w:b/>
          <w:bCs/>
          <w:sz w:val="30"/>
          <w:szCs w:val="30"/>
          <w:highlight w:val="none"/>
        </w:rPr>
        <w:t>发展骨架</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以轨道交通串联南中轴、丽泽金融商务区、河西地区等重点功能板块，推动轨道站点与周边产业、居住、生态用地一体化统筹开发；高标准建设轨道微中心集群，集聚商业办公、公共服务、休闲配套多元功能，实现轨道牵引、站城共生、产城融合发展，夯实产城融合创新区交通基底。</w:t>
      </w:r>
    </w:p>
    <w:p w14:paraId="4A8B1A67">
      <w:pPr>
        <w:widowControl/>
        <w:tabs>
          <w:tab w:val="left" w:pos="720"/>
        </w:tabs>
        <w:spacing w:line="360" w:lineRule="auto"/>
        <w:ind w:firstLine="602" w:firstLineChars="200"/>
        <w:rPr>
          <w:rFonts w:hint="eastAsia" w:ascii="仿宋_GB2312" w:hAnsi="仿宋" w:eastAsia="仿宋_GB2312"/>
          <w:b/>
          <w:bCs/>
          <w:sz w:val="30"/>
          <w:szCs w:val="30"/>
          <w:highlight w:val="none"/>
          <w:lang w:eastAsia="zh-CN"/>
        </w:rPr>
      </w:pPr>
      <w:r>
        <w:rPr>
          <w:rFonts w:hint="eastAsia" w:ascii="仿宋_GB2312" w:hAnsi="仿宋" w:eastAsia="仿宋_GB2312"/>
          <w:b/>
          <w:bCs/>
          <w:sz w:val="30"/>
          <w:szCs w:val="30"/>
          <w:highlight w:val="none"/>
          <w:lang w:val="en-US" w:eastAsia="zh-CN"/>
        </w:rPr>
        <w:t>三是</w:t>
      </w:r>
      <w:r>
        <w:rPr>
          <w:rFonts w:hint="eastAsia" w:ascii="仿宋_GB2312" w:hAnsi="仿宋" w:eastAsia="仿宋_GB2312"/>
          <w:b/>
          <w:bCs/>
          <w:sz w:val="30"/>
          <w:szCs w:val="30"/>
          <w:highlight w:val="none"/>
        </w:rPr>
        <w:t>畅通路网经脉，</w:t>
      </w:r>
      <w:r>
        <w:rPr>
          <w:rFonts w:hint="eastAsia" w:ascii="仿宋_GB2312" w:hAnsi="仿宋" w:eastAsia="仿宋_GB2312"/>
          <w:b/>
          <w:bCs/>
          <w:sz w:val="30"/>
          <w:szCs w:val="30"/>
          <w:highlight w:val="none"/>
          <w:lang w:val="en-US" w:eastAsia="zh-CN"/>
        </w:rPr>
        <w:t>均衡提升区域通达效能</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统筹存量道路更新提质、新增通道科学布局双向发力，系统打通跨片区断头路、优化街巷微循环路网，重点破解永定河东西两岸跨河通行瓶颈，强化各大功能区、产业园区、城市组团路网高效衔接，以连续贯通的交通走廊带动全域均衡发展。</w:t>
      </w:r>
    </w:p>
    <w:p w14:paraId="75C8AEBD">
      <w:pPr>
        <w:widowControl/>
        <w:tabs>
          <w:tab w:val="left" w:pos="720"/>
        </w:tabs>
        <w:spacing w:line="360" w:lineRule="auto"/>
        <w:ind w:firstLine="602" w:firstLineChars="200"/>
        <w:rPr>
          <w:rFonts w:hint="eastAsia" w:ascii="仿宋_GB2312" w:hAnsi="仿宋" w:eastAsia="仿宋_GB2312"/>
          <w:b w:val="0"/>
          <w:bCs w:val="0"/>
          <w:sz w:val="30"/>
          <w:szCs w:val="30"/>
          <w:highlight w:val="none"/>
          <w:lang w:eastAsia="zh-CN"/>
        </w:rPr>
      </w:pPr>
      <w:r>
        <w:rPr>
          <w:rFonts w:hint="eastAsia" w:ascii="仿宋_GB2312" w:hAnsi="仿宋" w:eastAsia="仿宋_GB2312"/>
          <w:b/>
          <w:bCs/>
          <w:sz w:val="30"/>
          <w:szCs w:val="30"/>
          <w:highlight w:val="none"/>
          <w:lang w:val="en-US" w:eastAsia="zh-CN"/>
        </w:rPr>
        <w:t>四是</w:t>
      </w:r>
      <w:r>
        <w:rPr>
          <w:rFonts w:hint="eastAsia" w:ascii="仿宋_GB2312" w:hAnsi="仿宋" w:eastAsia="仿宋_GB2312"/>
          <w:b/>
          <w:bCs/>
          <w:sz w:val="30"/>
          <w:szCs w:val="30"/>
          <w:highlight w:val="none"/>
        </w:rPr>
        <w:t>升级</w:t>
      </w:r>
      <w:r>
        <w:rPr>
          <w:rFonts w:hint="eastAsia" w:ascii="仿宋_GB2312" w:hAnsi="仿宋" w:eastAsia="仿宋_GB2312"/>
          <w:b/>
          <w:bCs/>
          <w:sz w:val="30"/>
          <w:szCs w:val="30"/>
          <w:highlight w:val="none"/>
          <w:lang w:val="en-US" w:eastAsia="zh-CN"/>
        </w:rPr>
        <w:t>全龄友好慢行</w:t>
      </w:r>
      <w:r>
        <w:rPr>
          <w:rFonts w:hint="eastAsia" w:ascii="仿宋_GB2312" w:hAnsi="仿宋" w:eastAsia="仿宋_GB2312"/>
          <w:b/>
          <w:bCs/>
          <w:sz w:val="30"/>
          <w:szCs w:val="30"/>
          <w:highlight w:val="none"/>
        </w:rPr>
        <w:t>，</w:t>
      </w:r>
      <w:r>
        <w:rPr>
          <w:rFonts w:hint="eastAsia" w:ascii="仿宋_GB2312" w:hAnsi="仿宋" w:eastAsia="仿宋_GB2312"/>
          <w:b/>
          <w:bCs/>
          <w:sz w:val="30"/>
          <w:szCs w:val="30"/>
          <w:highlight w:val="none"/>
          <w:lang w:val="en-US" w:eastAsia="zh-CN"/>
        </w:rPr>
        <w:t>塑造花园宜居城区</w:t>
      </w:r>
      <w:r>
        <w:rPr>
          <w:rFonts w:hint="eastAsia" w:ascii="仿宋_GB2312" w:hAnsi="仿宋" w:eastAsia="仿宋_GB2312"/>
          <w:b/>
          <w:bCs/>
          <w:sz w:val="30"/>
          <w:szCs w:val="30"/>
          <w:highlight w:val="none"/>
          <w:lang w:eastAsia="zh-CN"/>
        </w:rPr>
        <w:t>。</w:t>
      </w:r>
      <w:r>
        <w:rPr>
          <w:rFonts w:hint="eastAsia" w:ascii="仿宋_GB2312" w:hAnsi="仿宋" w:eastAsia="仿宋_GB2312"/>
          <w:b w:val="0"/>
          <w:bCs w:val="0"/>
          <w:sz w:val="30"/>
          <w:szCs w:val="30"/>
          <w:highlight w:val="none"/>
        </w:rPr>
        <w:t>连续贯通城市步行廊道、加密完善独立自行车专用道，串联城市绿道、滨水空间、城市公园、商业街区、文化节点，构建连续安全、景路相融的慢行出行网络，营造全龄舒适、生态宜人的慢行公共空间，打造可漫步、可游憩、可停留的花园城市特色区。</w:t>
      </w:r>
    </w:p>
    <w:p w14:paraId="290E384B">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lang w:val="en-US" w:eastAsia="zh-CN"/>
        </w:rPr>
        <w:t>五是</w:t>
      </w:r>
      <w:r>
        <w:rPr>
          <w:rFonts w:hint="eastAsia" w:ascii="仿宋_GB2312" w:hAnsi="仿宋" w:eastAsia="仿宋_GB2312"/>
          <w:b/>
          <w:bCs/>
          <w:sz w:val="30"/>
          <w:szCs w:val="30"/>
          <w:highlight w:val="none"/>
        </w:rPr>
        <w:t>深化数智</w:t>
      </w:r>
      <w:r>
        <w:rPr>
          <w:rFonts w:hint="eastAsia" w:ascii="仿宋_GB2312" w:hAnsi="仿宋" w:eastAsia="仿宋_GB2312"/>
          <w:b/>
          <w:bCs/>
          <w:sz w:val="30"/>
          <w:szCs w:val="30"/>
          <w:highlight w:val="none"/>
          <w:lang w:val="en-US" w:eastAsia="zh-CN"/>
        </w:rPr>
        <w:t>交通</w:t>
      </w:r>
      <w:r>
        <w:rPr>
          <w:rFonts w:hint="eastAsia" w:ascii="仿宋_GB2312" w:hAnsi="仿宋" w:eastAsia="仿宋_GB2312"/>
          <w:b/>
          <w:bCs/>
          <w:sz w:val="30"/>
          <w:szCs w:val="30"/>
          <w:highlight w:val="none"/>
        </w:rPr>
        <w:t>赋能，培育交通新质生产力</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建成一体化“智慧交通大脑”，实现路网、轨道、枢纽、停车、慢行全息感知、精准调度；加快自动驾驶、智慧枢纽等新型交通场景规模化落地应用，推动交通规划、建设、运营、治理全流程数字化、智能化转型，以交通科技创新支撑场景化建设。</w:t>
      </w:r>
    </w:p>
    <w:p w14:paraId="01F8EBA6">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lang w:val="en-US" w:eastAsia="zh-CN"/>
        </w:rPr>
        <w:t>六是</w:t>
      </w:r>
      <w:r>
        <w:rPr>
          <w:rFonts w:hint="eastAsia" w:ascii="仿宋_GB2312" w:hAnsi="仿宋" w:eastAsia="仿宋_GB2312"/>
          <w:b/>
          <w:bCs/>
          <w:sz w:val="30"/>
          <w:szCs w:val="30"/>
          <w:highlight w:val="none"/>
        </w:rPr>
        <w:t>践行绿色</w:t>
      </w:r>
      <w:r>
        <w:rPr>
          <w:rFonts w:hint="eastAsia" w:ascii="仿宋_GB2312" w:hAnsi="仿宋" w:eastAsia="仿宋_GB2312"/>
          <w:b/>
          <w:bCs/>
          <w:sz w:val="30"/>
          <w:szCs w:val="30"/>
          <w:highlight w:val="none"/>
          <w:lang w:val="en-US" w:eastAsia="zh-CN"/>
        </w:rPr>
        <w:t>低碳</w:t>
      </w:r>
      <w:r>
        <w:rPr>
          <w:rFonts w:hint="eastAsia" w:ascii="仿宋_GB2312" w:hAnsi="仿宋" w:eastAsia="仿宋_GB2312"/>
          <w:b/>
          <w:bCs/>
          <w:sz w:val="30"/>
          <w:szCs w:val="30"/>
          <w:highlight w:val="none"/>
        </w:rPr>
        <w:t>，厚植</w:t>
      </w:r>
      <w:r>
        <w:rPr>
          <w:rFonts w:hint="eastAsia" w:ascii="仿宋_GB2312" w:hAnsi="仿宋" w:eastAsia="仿宋_GB2312"/>
          <w:b/>
          <w:bCs/>
          <w:sz w:val="30"/>
          <w:szCs w:val="30"/>
          <w:highlight w:val="none"/>
          <w:lang w:val="en-US" w:eastAsia="zh-CN"/>
        </w:rPr>
        <w:t>生态</w:t>
      </w:r>
      <w:r>
        <w:rPr>
          <w:rFonts w:hint="eastAsia" w:ascii="仿宋_GB2312" w:hAnsi="仿宋" w:eastAsia="仿宋_GB2312"/>
          <w:b/>
          <w:bCs/>
          <w:sz w:val="30"/>
          <w:szCs w:val="30"/>
          <w:highlight w:val="none"/>
        </w:rPr>
        <w:t>交通</w:t>
      </w:r>
      <w:r>
        <w:rPr>
          <w:rFonts w:hint="eastAsia" w:ascii="仿宋_GB2312" w:hAnsi="仿宋" w:eastAsia="仿宋_GB2312"/>
          <w:b/>
          <w:bCs/>
          <w:sz w:val="30"/>
          <w:szCs w:val="30"/>
          <w:highlight w:val="none"/>
          <w:lang w:val="en-US" w:eastAsia="zh-CN"/>
        </w:rPr>
        <w:t>发展</w:t>
      </w:r>
      <w:r>
        <w:rPr>
          <w:rFonts w:hint="eastAsia" w:ascii="仿宋_GB2312" w:hAnsi="仿宋" w:eastAsia="仿宋_GB2312"/>
          <w:b/>
          <w:bCs/>
          <w:sz w:val="30"/>
          <w:szCs w:val="30"/>
          <w:highlight w:val="none"/>
        </w:rPr>
        <w:t>底色</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将低碳理念融入建设、运输、服务全链条，推动运输结构向绿转型、绿色建材推广应用，稳步推进交通领域碳达峰碳中和，以绿色交通体系彰显丰台生态城市特质。</w:t>
      </w:r>
    </w:p>
    <w:p w14:paraId="4F6B9745">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lang w:val="en-US" w:eastAsia="zh-CN"/>
        </w:rPr>
        <w:t>七是持续</w:t>
      </w:r>
      <w:r>
        <w:rPr>
          <w:rFonts w:hint="eastAsia" w:ascii="仿宋_GB2312" w:hAnsi="仿宋" w:eastAsia="仿宋_GB2312"/>
          <w:b/>
          <w:bCs/>
          <w:sz w:val="30"/>
          <w:szCs w:val="30"/>
          <w:highlight w:val="none"/>
        </w:rPr>
        <w:t>提升</w:t>
      </w:r>
      <w:r>
        <w:rPr>
          <w:rFonts w:hint="eastAsia" w:ascii="仿宋_GB2312" w:hAnsi="仿宋" w:eastAsia="仿宋_GB2312"/>
          <w:b/>
          <w:bCs/>
          <w:sz w:val="30"/>
          <w:szCs w:val="30"/>
          <w:highlight w:val="none"/>
          <w:lang w:val="en-US" w:eastAsia="zh-CN"/>
        </w:rPr>
        <w:t>出行</w:t>
      </w:r>
      <w:r>
        <w:rPr>
          <w:rFonts w:hint="eastAsia" w:ascii="仿宋_GB2312" w:hAnsi="仿宋" w:eastAsia="仿宋_GB2312"/>
          <w:b/>
          <w:bCs/>
          <w:sz w:val="30"/>
          <w:szCs w:val="30"/>
          <w:highlight w:val="none"/>
        </w:rPr>
        <w:t>品质，实现</w:t>
      </w:r>
      <w:r>
        <w:rPr>
          <w:rFonts w:hint="eastAsia" w:ascii="仿宋_GB2312" w:hAnsi="仿宋" w:eastAsia="仿宋_GB2312"/>
          <w:b/>
          <w:bCs/>
          <w:sz w:val="30"/>
          <w:szCs w:val="30"/>
          <w:highlight w:val="none"/>
          <w:lang w:val="en-US" w:eastAsia="zh-CN"/>
        </w:rPr>
        <w:t>全民</w:t>
      </w:r>
      <w:r>
        <w:rPr>
          <w:rFonts w:hint="eastAsia" w:ascii="仿宋_GB2312" w:hAnsi="仿宋" w:eastAsia="仿宋_GB2312"/>
          <w:b/>
          <w:bCs/>
          <w:sz w:val="30"/>
          <w:szCs w:val="30"/>
          <w:highlight w:val="none"/>
        </w:rPr>
        <w:t>人享其行</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健全地铁、公交、接驳班车无缝换乘体系，优化智慧停车供给与静态交通管理，推动群众出行由“走得了”向“走得顺、走得好”转变，持续提升居民出行获得感、幸福感、安全感，助力打造全龄友好活力区。</w:t>
      </w:r>
    </w:p>
    <w:p w14:paraId="3C030519">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43" w:name="_Toc5637"/>
      <w:bookmarkStart w:id="44" w:name="_Toc14709"/>
      <w:bookmarkStart w:id="45" w:name="_Toc848737022"/>
      <w:r>
        <w:rPr>
          <w:rFonts w:hint="eastAsia" w:ascii="黑体" w:hAnsi="黑体"/>
          <w:b w:val="0"/>
          <w:spacing w:val="14"/>
          <w:sz w:val="30"/>
          <w:szCs w:val="30"/>
          <w:highlight w:val="none"/>
          <w:lang w:val="en-US" w:eastAsia="zh-CN"/>
        </w:rPr>
        <w:t>二、</w:t>
      </w:r>
      <w:r>
        <w:rPr>
          <w:rFonts w:hint="eastAsia" w:ascii="黑体" w:hAnsi="黑体"/>
          <w:b w:val="0"/>
          <w:spacing w:val="14"/>
          <w:sz w:val="30"/>
          <w:szCs w:val="30"/>
          <w:highlight w:val="none"/>
        </w:rPr>
        <w:t>发展目标</w:t>
      </w:r>
      <w:bookmarkEnd w:id="43"/>
      <w:bookmarkEnd w:id="44"/>
      <w:bookmarkEnd w:id="45"/>
    </w:p>
    <w:p w14:paraId="5AE76E7E">
      <w:pPr>
        <w:widowControl/>
        <w:tabs>
          <w:tab w:val="left" w:pos="720"/>
        </w:tabs>
        <w:spacing w:line="360" w:lineRule="auto"/>
        <w:ind w:firstLine="600" w:firstLineChars="200"/>
        <w:rPr>
          <w:rFonts w:hint="eastAsia"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color w:val="000000" w:themeColor="text1"/>
          <w:sz w:val="30"/>
          <w:szCs w:val="30"/>
          <w:highlight w:val="none"/>
          <w14:textFill>
            <w14:solidFill>
              <w14:schemeClr w14:val="tx1"/>
            </w14:solidFill>
          </w14:textFill>
        </w:rPr>
        <w:t>到2030年，</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基本</w:t>
      </w:r>
      <w:r>
        <w:rPr>
          <w:rFonts w:hint="eastAsia" w:ascii="仿宋_GB2312" w:hAnsi="仿宋" w:eastAsia="仿宋_GB2312"/>
          <w:color w:val="000000" w:themeColor="text1"/>
          <w:sz w:val="30"/>
          <w:szCs w:val="30"/>
          <w:highlight w:val="none"/>
          <w14:textFill>
            <w14:solidFill>
              <w14:schemeClr w14:val="tx1"/>
            </w14:solidFill>
          </w14:textFill>
        </w:rPr>
        <w:t>建成轨道线网密集贯通、城市路网内外畅达、慢行系统景城相融、交通体系绿色安全、数字智慧赋能的现代化综合交通体系；三站两楼枢纽价值格局全面成型、空铁联运与铁路枢纽辐射带动能力充分释放；交通新质生产力深度融入建设运营全链条，数字化、一体化治理覆盖出行全流程；慢行优先、公交优先、</w:t>
      </w:r>
      <w:r>
        <w:rPr>
          <w:rFonts w:hint="eastAsia" w:ascii="仿宋_GB2312" w:hAnsi="仿宋" w:eastAsia="仿宋_GB2312"/>
          <w:color w:val="000000" w:themeColor="text1"/>
          <w:sz w:val="30"/>
          <w:szCs w:val="30"/>
          <w:highlight w:val="none"/>
          <w:lang w:val="en-US" w:eastAsia="zh-CN"/>
          <w14:textFill>
            <w14:solidFill>
              <w14:schemeClr w14:val="tx1"/>
            </w14:solidFill>
          </w14:textFill>
        </w:rPr>
        <w:t>以人为本、生命至上</w:t>
      </w:r>
      <w:r>
        <w:rPr>
          <w:rFonts w:hint="eastAsia" w:ascii="仿宋_GB2312" w:hAnsi="仿宋" w:eastAsia="仿宋_GB2312"/>
          <w:color w:val="000000" w:themeColor="text1"/>
          <w:sz w:val="30"/>
          <w:szCs w:val="30"/>
          <w:highlight w:val="none"/>
          <w14:textFill>
            <w14:solidFill>
              <w14:schemeClr w14:val="tx1"/>
            </w14:solidFill>
          </w14:textFill>
        </w:rPr>
        <w:t>发展理念落地见效、市民可感可及，交通综合实力、治理水平、服务品质位居全市中心城区前列。</w:t>
      </w:r>
    </w:p>
    <w:p w14:paraId="6DE5E516">
      <w:pPr>
        <w:widowControl/>
        <w:tabs>
          <w:tab w:val="left" w:pos="720"/>
        </w:tabs>
        <w:spacing w:line="360" w:lineRule="auto"/>
        <w:jc w:val="center"/>
        <w:rPr>
          <w:rFonts w:hint="eastAsia" w:ascii="黑体" w:hAnsi="黑体" w:eastAsia="黑体"/>
          <w:sz w:val="30"/>
          <w:szCs w:val="30"/>
          <w:highlight w:val="none"/>
        </w:rPr>
      </w:pPr>
      <w:r>
        <w:rPr>
          <w:rFonts w:hint="eastAsia" w:ascii="黑体" w:hAnsi="黑体" w:eastAsia="黑体"/>
          <w:sz w:val="30"/>
          <w:szCs w:val="30"/>
          <w:highlight w:val="none"/>
        </w:rPr>
        <w:t>丰台区“十五五”时期交通发展规划指标</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7"/>
        <w:gridCol w:w="847"/>
        <w:gridCol w:w="2767"/>
        <w:gridCol w:w="1097"/>
        <w:gridCol w:w="1460"/>
        <w:gridCol w:w="1064"/>
      </w:tblGrid>
      <w:tr w14:paraId="65B5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55" w:type="pct"/>
            <w:vAlign w:val="center"/>
          </w:tcPr>
          <w:p w14:paraId="53B25EA5">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rPr>
              <w:t>指标</w:t>
            </w:r>
          </w:p>
          <w:p w14:paraId="0A523237">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rPr>
              <w:t>类型</w:t>
            </w:r>
          </w:p>
        </w:tc>
        <w:tc>
          <w:tcPr>
            <w:tcW w:w="496" w:type="pct"/>
            <w:noWrap/>
            <w:vAlign w:val="center"/>
          </w:tcPr>
          <w:p w14:paraId="21D9DEE6">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lang w:val="en-US" w:eastAsia="zh-CN"/>
              </w:rPr>
              <w:t>序号</w:t>
            </w:r>
          </w:p>
        </w:tc>
        <w:tc>
          <w:tcPr>
            <w:tcW w:w="1623" w:type="pct"/>
            <w:noWrap/>
            <w:vAlign w:val="center"/>
          </w:tcPr>
          <w:p w14:paraId="5D29C9DF">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rPr>
              <w:t>具体指标</w:t>
            </w:r>
          </w:p>
        </w:tc>
        <w:tc>
          <w:tcPr>
            <w:tcW w:w="643" w:type="pct"/>
            <w:noWrap/>
            <w:vAlign w:val="center"/>
          </w:tcPr>
          <w:p w14:paraId="69CA873B">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rPr>
              <w:t>2025年</w:t>
            </w:r>
          </w:p>
        </w:tc>
        <w:tc>
          <w:tcPr>
            <w:tcW w:w="856" w:type="pct"/>
            <w:noWrap/>
            <w:vAlign w:val="center"/>
          </w:tcPr>
          <w:p w14:paraId="60C97A35">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lang w:val="en-US" w:eastAsia="zh-CN"/>
              </w:rPr>
              <w:t>到</w:t>
            </w:r>
            <w:r>
              <w:rPr>
                <w:rFonts w:hint="eastAsia" w:ascii="楷体" w:hAnsi="楷体" w:eastAsia="楷体" w:cs="楷体"/>
                <w:b/>
                <w:bCs/>
                <w:sz w:val="28"/>
                <w:szCs w:val="28"/>
                <w:highlight w:val="none"/>
              </w:rPr>
              <w:t>2030年</w:t>
            </w:r>
          </w:p>
        </w:tc>
        <w:tc>
          <w:tcPr>
            <w:tcW w:w="624" w:type="pct"/>
            <w:noWrap/>
            <w:vAlign w:val="center"/>
          </w:tcPr>
          <w:p w14:paraId="1765753A">
            <w:pPr>
              <w:keepNext w:val="0"/>
              <w:keepLines w:val="0"/>
              <w:suppressLineNumbers w:val="0"/>
              <w:snapToGrid w:val="0"/>
              <w:spacing w:before="0" w:beforeAutospacing="0" w:after="0" w:afterAutospacing="0" w:line="360" w:lineRule="auto"/>
              <w:ind w:left="0" w:right="0"/>
              <w:jc w:val="center"/>
              <w:rPr>
                <w:rFonts w:hint="eastAsia" w:ascii="楷体" w:hAnsi="楷体" w:eastAsia="楷体" w:cs="楷体"/>
                <w:b/>
                <w:bCs/>
                <w:sz w:val="28"/>
                <w:szCs w:val="28"/>
                <w:highlight w:val="none"/>
              </w:rPr>
            </w:pPr>
            <w:r>
              <w:rPr>
                <w:rFonts w:hint="eastAsia" w:ascii="楷体" w:hAnsi="楷体" w:eastAsia="楷体" w:cs="楷体"/>
                <w:b/>
                <w:bCs/>
                <w:sz w:val="28"/>
                <w:szCs w:val="28"/>
                <w:highlight w:val="none"/>
              </w:rPr>
              <w:t>类型</w:t>
            </w:r>
          </w:p>
        </w:tc>
      </w:tr>
      <w:tr w14:paraId="382C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Merge w:val="restart"/>
            <w:vAlign w:val="center"/>
          </w:tcPr>
          <w:p w14:paraId="05E338B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公共交通发展</w:t>
            </w:r>
          </w:p>
        </w:tc>
        <w:tc>
          <w:tcPr>
            <w:tcW w:w="496" w:type="pct"/>
            <w:noWrap/>
            <w:vAlign w:val="center"/>
          </w:tcPr>
          <w:p w14:paraId="00A8EC10">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p>
        </w:tc>
        <w:tc>
          <w:tcPr>
            <w:tcW w:w="1623" w:type="pct"/>
            <w:noWrap/>
            <w:vAlign w:val="center"/>
          </w:tcPr>
          <w:p w14:paraId="3612441D">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轨道交通（含市郊铁路）里程（公里）</w:t>
            </w:r>
          </w:p>
        </w:tc>
        <w:tc>
          <w:tcPr>
            <w:tcW w:w="643" w:type="pct"/>
            <w:noWrap/>
            <w:vAlign w:val="center"/>
          </w:tcPr>
          <w:p w14:paraId="5C9F0DDE">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120</w:t>
            </w:r>
          </w:p>
        </w:tc>
        <w:tc>
          <w:tcPr>
            <w:tcW w:w="856" w:type="pct"/>
            <w:noWrap/>
            <w:vAlign w:val="center"/>
          </w:tcPr>
          <w:p w14:paraId="10652D5A">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155</w:t>
            </w:r>
          </w:p>
        </w:tc>
        <w:tc>
          <w:tcPr>
            <w:tcW w:w="624" w:type="pct"/>
            <w:noWrap/>
            <w:vAlign w:val="center"/>
          </w:tcPr>
          <w:p w14:paraId="7942B509">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7D42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55" w:type="pct"/>
            <w:vMerge w:val="continue"/>
            <w:vAlign w:val="center"/>
          </w:tcPr>
          <w:p w14:paraId="2D4B222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p>
        </w:tc>
        <w:tc>
          <w:tcPr>
            <w:tcW w:w="496" w:type="pct"/>
            <w:noWrap/>
            <w:vAlign w:val="center"/>
          </w:tcPr>
          <w:p w14:paraId="22C34475">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p>
        </w:tc>
        <w:tc>
          <w:tcPr>
            <w:tcW w:w="1623" w:type="pct"/>
            <w:noWrap/>
            <w:vAlign w:val="center"/>
          </w:tcPr>
          <w:p w14:paraId="4E4960CF">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公交场站（个）</w:t>
            </w:r>
          </w:p>
        </w:tc>
        <w:tc>
          <w:tcPr>
            <w:tcW w:w="643" w:type="pct"/>
            <w:noWrap/>
            <w:vAlign w:val="center"/>
          </w:tcPr>
          <w:p w14:paraId="68F5E004">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84</w:t>
            </w:r>
          </w:p>
        </w:tc>
        <w:tc>
          <w:tcPr>
            <w:tcW w:w="856" w:type="pct"/>
            <w:noWrap/>
            <w:vAlign w:val="center"/>
          </w:tcPr>
          <w:p w14:paraId="37B5A09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86</w:t>
            </w:r>
          </w:p>
        </w:tc>
        <w:tc>
          <w:tcPr>
            <w:tcW w:w="624" w:type="pct"/>
            <w:noWrap/>
            <w:vAlign w:val="center"/>
          </w:tcPr>
          <w:p w14:paraId="3D04AC48">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7BF5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755" w:type="pct"/>
            <w:vMerge w:val="continue"/>
            <w:vAlign w:val="center"/>
          </w:tcPr>
          <w:p w14:paraId="75BB6399">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p>
        </w:tc>
        <w:tc>
          <w:tcPr>
            <w:tcW w:w="496" w:type="pct"/>
            <w:noWrap/>
            <w:vAlign w:val="center"/>
          </w:tcPr>
          <w:p w14:paraId="18C52F75">
            <w:pPr>
              <w:keepNext w:val="0"/>
              <w:keepLines w:val="0"/>
              <w:suppressLineNumbers w:val="0"/>
              <w:snapToGrid w:val="0"/>
              <w:spacing w:before="0" w:beforeAutospacing="0" w:after="0" w:afterAutospacing="0" w:line="360" w:lineRule="auto"/>
              <w:ind w:left="0" w:leftChars="0" w:right="0" w:rightChars="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w:t>
            </w:r>
          </w:p>
        </w:tc>
        <w:tc>
          <w:tcPr>
            <w:tcW w:w="1623" w:type="pct"/>
            <w:noWrap/>
            <w:vAlign w:val="center"/>
          </w:tcPr>
          <w:p w14:paraId="5DD1D632">
            <w:pPr>
              <w:keepNext w:val="0"/>
              <w:keepLines w:val="0"/>
              <w:suppressLineNumbers w:val="0"/>
              <w:snapToGrid w:val="0"/>
              <w:spacing w:before="0" w:beforeAutospacing="0" w:after="0" w:afterAutospacing="0" w:line="360" w:lineRule="auto"/>
              <w:ind w:left="0" w:right="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50米内公交接驳的轨道站点比例（%）</w:t>
            </w:r>
          </w:p>
        </w:tc>
        <w:tc>
          <w:tcPr>
            <w:tcW w:w="643" w:type="pct"/>
            <w:noWrap/>
            <w:vAlign w:val="center"/>
          </w:tcPr>
          <w:p w14:paraId="0EA9C25D">
            <w:pPr>
              <w:keepNext w:val="0"/>
              <w:keepLines w:val="0"/>
              <w:suppressLineNumbers w:val="0"/>
              <w:snapToGrid w:val="0"/>
              <w:spacing w:before="0" w:beforeAutospacing="0" w:after="0" w:afterAutospacing="0" w:line="360" w:lineRule="auto"/>
              <w:ind w:left="0" w:right="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85</w:t>
            </w:r>
          </w:p>
        </w:tc>
        <w:tc>
          <w:tcPr>
            <w:tcW w:w="856" w:type="pct"/>
            <w:noWrap/>
            <w:vAlign w:val="center"/>
          </w:tcPr>
          <w:p w14:paraId="782C3606">
            <w:pPr>
              <w:keepNext w:val="0"/>
              <w:keepLines w:val="0"/>
              <w:suppressLineNumbers w:val="0"/>
              <w:snapToGrid w:val="0"/>
              <w:spacing w:before="0" w:beforeAutospacing="0" w:after="0" w:afterAutospacing="0" w:line="360" w:lineRule="auto"/>
              <w:ind w:left="0" w:right="0"/>
              <w:jc w:val="cente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&gt;</w:t>
            </w:r>
            <w:r>
              <w:rPr>
                <w:rFonts w:hint="eastAsia" w:ascii="仿宋_GB2312" w:hAnsi="仿宋_GB2312" w:eastAsia="仿宋_GB2312" w:cs="仿宋_GB2312"/>
                <w:sz w:val="28"/>
                <w:szCs w:val="28"/>
                <w:highlight w:val="none"/>
                <w:lang w:val="en-US" w:eastAsia="zh-CN"/>
              </w:rPr>
              <w:t>95</w:t>
            </w:r>
          </w:p>
        </w:tc>
        <w:tc>
          <w:tcPr>
            <w:tcW w:w="624" w:type="pct"/>
            <w:noWrap/>
            <w:vAlign w:val="center"/>
          </w:tcPr>
          <w:p w14:paraId="3735149B">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预期性</w:t>
            </w:r>
          </w:p>
        </w:tc>
      </w:tr>
      <w:tr w14:paraId="39DF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Align w:val="center"/>
          </w:tcPr>
          <w:p w14:paraId="0DC8E43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交通运行态势</w:t>
            </w:r>
          </w:p>
        </w:tc>
        <w:tc>
          <w:tcPr>
            <w:tcW w:w="496" w:type="pct"/>
            <w:noWrap/>
            <w:vAlign w:val="center"/>
          </w:tcPr>
          <w:p w14:paraId="577FD08F">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w:t>
            </w:r>
          </w:p>
        </w:tc>
        <w:tc>
          <w:tcPr>
            <w:tcW w:w="1623" w:type="pct"/>
            <w:noWrap/>
            <w:vAlign w:val="center"/>
          </w:tcPr>
          <w:p w14:paraId="4F4DEEA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交通指数</w:t>
            </w:r>
          </w:p>
        </w:tc>
        <w:tc>
          <w:tcPr>
            <w:tcW w:w="643" w:type="pct"/>
            <w:noWrap/>
            <w:vAlign w:val="center"/>
          </w:tcPr>
          <w:p w14:paraId="0FC65AC1">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w:t>
            </w:r>
          </w:p>
        </w:tc>
        <w:tc>
          <w:tcPr>
            <w:tcW w:w="856" w:type="pct"/>
            <w:noWrap/>
            <w:vAlign w:val="center"/>
          </w:tcPr>
          <w:p w14:paraId="46B5824D">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4.0</w:t>
            </w:r>
          </w:p>
        </w:tc>
        <w:tc>
          <w:tcPr>
            <w:tcW w:w="624" w:type="pct"/>
            <w:noWrap/>
            <w:vAlign w:val="center"/>
          </w:tcPr>
          <w:p w14:paraId="5EADA8C3">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约束性</w:t>
            </w:r>
          </w:p>
        </w:tc>
      </w:tr>
      <w:tr w14:paraId="5067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Merge w:val="restart"/>
            <w:vAlign w:val="center"/>
          </w:tcPr>
          <w:p w14:paraId="09F42F3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道路交通发展</w:t>
            </w:r>
          </w:p>
        </w:tc>
        <w:tc>
          <w:tcPr>
            <w:tcW w:w="496" w:type="pct"/>
            <w:noWrap/>
            <w:vAlign w:val="center"/>
          </w:tcPr>
          <w:p w14:paraId="08DE28B5">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5</w:t>
            </w:r>
          </w:p>
        </w:tc>
        <w:tc>
          <w:tcPr>
            <w:tcW w:w="1623" w:type="pct"/>
            <w:noWrap/>
            <w:vAlign w:val="center"/>
          </w:tcPr>
          <w:p w14:paraId="5421C596">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新建城市道路里程（公里）</w:t>
            </w:r>
          </w:p>
        </w:tc>
        <w:tc>
          <w:tcPr>
            <w:tcW w:w="643" w:type="pct"/>
            <w:noWrap/>
            <w:vAlign w:val="center"/>
          </w:tcPr>
          <w:p w14:paraId="4FDEF1A7">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100.9</w:t>
            </w:r>
          </w:p>
        </w:tc>
        <w:tc>
          <w:tcPr>
            <w:tcW w:w="856" w:type="pct"/>
            <w:noWrap/>
            <w:vAlign w:val="center"/>
          </w:tcPr>
          <w:p w14:paraId="479F79A1">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119.8</w:t>
            </w:r>
          </w:p>
        </w:tc>
        <w:tc>
          <w:tcPr>
            <w:tcW w:w="624" w:type="pct"/>
            <w:noWrap/>
            <w:vAlign w:val="center"/>
          </w:tcPr>
          <w:p w14:paraId="02516DA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0AAF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Merge w:val="continue"/>
            <w:vAlign w:val="center"/>
          </w:tcPr>
          <w:p w14:paraId="2CB53A23">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p>
        </w:tc>
        <w:tc>
          <w:tcPr>
            <w:tcW w:w="496" w:type="pct"/>
            <w:noWrap/>
            <w:vAlign w:val="center"/>
          </w:tcPr>
          <w:p w14:paraId="64F6BCAB">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6</w:t>
            </w:r>
          </w:p>
        </w:tc>
        <w:tc>
          <w:tcPr>
            <w:tcW w:w="1623" w:type="pct"/>
            <w:noWrap/>
            <w:vAlign w:val="center"/>
          </w:tcPr>
          <w:p w14:paraId="059FFED7">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集中建设区道路网密度</w:t>
            </w:r>
          </w:p>
          <w:p w14:paraId="25B7A98F">
            <w:pPr>
              <w:keepNext w:val="0"/>
              <w:keepLines w:val="0"/>
              <w:suppressLineNumbers w:val="0"/>
              <w:snapToGrid w:val="0"/>
              <w:spacing w:before="0" w:beforeAutospacing="0" w:after="0" w:afterAutospacing="0" w:line="360" w:lineRule="auto"/>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（公里/平方公里）</w:t>
            </w:r>
          </w:p>
        </w:tc>
        <w:tc>
          <w:tcPr>
            <w:tcW w:w="643" w:type="pct"/>
            <w:noWrap/>
            <w:vAlign w:val="center"/>
          </w:tcPr>
          <w:p w14:paraId="54C19222">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5.96</w:t>
            </w:r>
          </w:p>
        </w:tc>
        <w:tc>
          <w:tcPr>
            <w:tcW w:w="856" w:type="pct"/>
            <w:noWrap/>
            <w:vAlign w:val="center"/>
          </w:tcPr>
          <w:p w14:paraId="734592BB">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7.0</w:t>
            </w:r>
            <w:r>
              <w:rPr>
                <w:rFonts w:hint="eastAsia" w:ascii="仿宋_GB2312" w:hAnsi="仿宋_GB2312" w:eastAsia="仿宋_GB2312" w:cs="仿宋_GB2312"/>
                <w:sz w:val="28"/>
                <w:szCs w:val="28"/>
                <w:highlight w:val="yellow"/>
                <w:lang w:val="en-US" w:eastAsia="zh-CN"/>
              </w:rPr>
              <w:t>【市级已经变为7.2】</w:t>
            </w:r>
          </w:p>
        </w:tc>
        <w:tc>
          <w:tcPr>
            <w:tcW w:w="624" w:type="pct"/>
            <w:noWrap/>
            <w:vAlign w:val="center"/>
          </w:tcPr>
          <w:p w14:paraId="42929C1D">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221D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Merge w:val="continue"/>
            <w:vAlign w:val="center"/>
          </w:tcPr>
          <w:p w14:paraId="714C68E3">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p>
        </w:tc>
        <w:tc>
          <w:tcPr>
            <w:tcW w:w="496" w:type="pct"/>
            <w:noWrap/>
            <w:vAlign w:val="center"/>
          </w:tcPr>
          <w:p w14:paraId="0BE49D85">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7</w:t>
            </w:r>
          </w:p>
        </w:tc>
        <w:tc>
          <w:tcPr>
            <w:tcW w:w="1623" w:type="pct"/>
            <w:noWrap/>
            <w:vAlign w:val="center"/>
          </w:tcPr>
          <w:p w14:paraId="39577E2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道路规划实施率</w:t>
            </w:r>
          </w:p>
        </w:tc>
        <w:tc>
          <w:tcPr>
            <w:tcW w:w="643" w:type="pct"/>
            <w:noWrap/>
            <w:vAlign w:val="center"/>
          </w:tcPr>
          <w:p w14:paraId="489B68CC">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43.5%</w:t>
            </w:r>
          </w:p>
        </w:tc>
        <w:tc>
          <w:tcPr>
            <w:tcW w:w="856" w:type="pct"/>
            <w:noWrap/>
            <w:vAlign w:val="center"/>
          </w:tcPr>
          <w:p w14:paraId="73BFA8A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52.0%</w:t>
            </w:r>
          </w:p>
        </w:tc>
        <w:tc>
          <w:tcPr>
            <w:tcW w:w="624" w:type="pct"/>
            <w:noWrap/>
          </w:tcPr>
          <w:p w14:paraId="4736D106">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49F0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755" w:type="pct"/>
            <w:vAlign w:val="center"/>
          </w:tcPr>
          <w:p w14:paraId="206A243F">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静态交通发展</w:t>
            </w:r>
          </w:p>
        </w:tc>
        <w:tc>
          <w:tcPr>
            <w:tcW w:w="496" w:type="pct"/>
            <w:noWrap/>
            <w:vAlign w:val="center"/>
          </w:tcPr>
          <w:p w14:paraId="27924A77">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8</w:t>
            </w:r>
          </w:p>
        </w:tc>
        <w:tc>
          <w:tcPr>
            <w:tcW w:w="1623" w:type="pct"/>
            <w:noWrap/>
            <w:vAlign w:val="center"/>
          </w:tcPr>
          <w:p w14:paraId="72A8D949">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新增停车位数量</w:t>
            </w:r>
          </w:p>
          <w:p w14:paraId="2BDE6A21">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（万个）</w:t>
            </w:r>
          </w:p>
        </w:tc>
        <w:tc>
          <w:tcPr>
            <w:tcW w:w="643" w:type="pct"/>
            <w:noWrap/>
            <w:vAlign w:val="center"/>
          </w:tcPr>
          <w:p w14:paraId="3058A211">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6</w:t>
            </w:r>
          </w:p>
        </w:tc>
        <w:tc>
          <w:tcPr>
            <w:tcW w:w="856" w:type="pct"/>
            <w:noWrap/>
            <w:vAlign w:val="center"/>
          </w:tcPr>
          <w:p w14:paraId="25C9A89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shd w:val="clear"/>
              </w:rPr>
              <w:t>2.</w:t>
            </w:r>
            <w:r>
              <w:rPr>
                <w:rFonts w:hint="eastAsia" w:ascii="仿宋_GB2312" w:hAnsi="仿宋_GB2312" w:eastAsia="仿宋_GB2312" w:cs="仿宋_GB2312"/>
                <w:sz w:val="28"/>
                <w:szCs w:val="28"/>
                <w:highlight w:val="none"/>
                <w:shd w:val="clear"/>
                <w:lang w:val="en-US" w:eastAsia="zh-CN"/>
              </w:rPr>
              <w:t>0</w:t>
            </w:r>
          </w:p>
        </w:tc>
        <w:tc>
          <w:tcPr>
            <w:tcW w:w="624" w:type="pct"/>
            <w:noWrap/>
            <w:vAlign w:val="center"/>
          </w:tcPr>
          <w:p w14:paraId="38079218">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预期性</w:t>
            </w:r>
          </w:p>
        </w:tc>
      </w:tr>
      <w:tr w14:paraId="2B7B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5" w:type="pct"/>
            <w:vAlign w:val="center"/>
          </w:tcPr>
          <w:p w14:paraId="52BBD1F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绿色交通发展</w:t>
            </w:r>
          </w:p>
        </w:tc>
        <w:tc>
          <w:tcPr>
            <w:tcW w:w="496" w:type="pct"/>
            <w:noWrap/>
            <w:vAlign w:val="center"/>
          </w:tcPr>
          <w:p w14:paraId="4CDF9557">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9</w:t>
            </w:r>
          </w:p>
        </w:tc>
        <w:tc>
          <w:tcPr>
            <w:tcW w:w="1623" w:type="pct"/>
            <w:noWrap/>
            <w:vAlign w:val="center"/>
          </w:tcPr>
          <w:p w14:paraId="3A21CF66">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绿色出行比例（%）</w:t>
            </w:r>
          </w:p>
        </w:tc>
        <w:tc>
          <w:tcPr>
            <w:tcW w:w="643" w:type="pct"/>
            <w:noWrap/>
            <w:vAlign w:val="center"/>
          </w:tcPr>
          <w:p w14:paraId="1EFEAA32">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76.5</w:t>
            </w:r>
          </w:p>
        </w:tc>
        <w:tc>
          <w:tcPr>
            <w:tcW w:w="856" w:type="pct"/>
            <w:noWrap/>
            <w:vAlign w:val="center"/>
          </w:tcPr>
          <w:p w14:paraId="4F801B8E">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78.0</w:t>
            </w:r>
          </w:p>
        </w:tc>
        <w:tc>
          <w:tcPr>
            <w:tcW w:w="624" w:type="pct"/>
            <w:noWrap/>
            <w:vAlign w:val="center"/>
          </w:tcPr>
          <w:p w14:paraId="1254C6E4">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约束性</w:t>
            </w:r>
          </w:p>
        </w:tc>
      </w:tr>
      <w:tr w14:paraId="5A48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755" w:type="pct"/>
            <w:vAlign w:val="center"/>
          </w:tcPr>
          <w:p w14:paraId="7F7DF715">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交通无障碍发展</w:t>
            </w:r>
          </w:p>
        </w:tc>
        <w:tc>
          <w:tcPr>
            <w:tcW w:w="496" w:type="pct"/>
            <w:noWrap/>
            <w:vAlign w:val="center"/>
          </w:tcPr>
          <w:p w14:paraId="09A68216">
            <w:pPr>
              <w:keepNext w:val="0"/>
              <w:keepLines w:val="0"/>
              <w:suppressLineNumbers w:val="0"/>
              <w:snapToGrid w:val="0"/>
              <w:spacing w:before="0" w:beforeAutospacing="0" w:after="0" w:afterAutospacing="0" w:line="360" w:lineRule="auto"/>
              <w:ind w:left="0" w:leftChars="0" w:right="0" w:right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10</w:t>
            </w:r>
          </w:p>
        </w:tc>
        <w:tc>
          <w:tcPr>
            <w:tcW w:w="1623" w:type="pct"/>
            <w:noWrap/>
            <w:vAlign w:val="center"/>
          </w:tcPr>
          <w:p w14:paraId="6A7599B0">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新建、扩建和改建交通设施无障碍达标率</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eastAsia="zh-CN"/>
              </w:rPr>
              <w:t>）</w:t>
            </w:r>
          </w:p>
        </w:tc>
        <w:tc>
          <w:tcPr>
            <w:tcW w:w="643" w:type="pct"/>
            <w:noWrap/>
            <w:vAlign w:val="center"/>
          </w:tcPr>
          <w:p w14:paraId="77A9D10C">
            <w:pPr>
              <w:keepNext w:val="0"/>
              <w:keepLines w:val="0"/>
              <w:suppressLineNumbers w:val="0"/>
              <w:snapToGrid w:val="0"/>
              <w:spacing w:before="0" w:beforeAutospacing="0" w:after="0" w:afterAutospacing="0" w:line="360" w:lineRule="auto"/>
              <w:ind w:left="0" w:right="0"/>
              <w:jc w:val="center"/>
              <w:rPr>
                <w:rFonts w:hint="default" w:ascii="仿宋_GB2312" w:hAnsi="仿宋_GB2312" w:eastAsia="仿宋_GB2312" w:cs="仿宋_GB2312"/>
                <w:color w:val="000000" w:themeColor="text1"/>
                <w:sz w:val="28"/>
                <w:szCs w:val="28"/>
                <w:highlight w:val="none"/>
                <w:lang w:val="en-US"/>
                <w14:textFill>
                  <w14:solidFill>
                    <w14:schemeClr w14:val="tx1"/>
                  </w14:solidFill>
                </w14:textFill>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856" w:type="pct"/>
            <w:noWrap/>
            <w:vAlign w:val="center"/>
          </w:tcPr>
          <w:p w14:paraId="74B0C2A9">
            <w:pPr>
              <w:keepNext w:val="0"/>
              <w:keepLines w:val="0"/>
              <w:suppressLineNumbers w:val="0"/>
              <w:snapToGrid w:val="0"/>
              <w:spacing w:before="0" w:beforeAutospacing="0" w:after="0" w:afterAutospacing="0" w:line="360" w:lineRule="auto"/>
              <w:ind w:left="0" w:right="0"/>
              <w:jc w:val="center"/>
              <w:rPr>
                <w:rFonts w:hint="default"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100</w:t>
            </w:r>
          </w:p>
        </w:tc>
        <w:tc>
          <w:tcPr>
            <w:tcW w:w="624" w:type="pct"/>
            <w:noWrap/>
            <w:vAlign w:val="center"/>
          </w:tcPr>
          <w:p w14:paraId="4F907FDE">
            <w:pPr>
              <w:keepNext w:val="0"/>
              <w:keepLines w:val="0"/>
              <w:suppressLineNumbers w:val="0"/>
              <w:snapToGrid w:val="0"/>
              <w:spacing w:before="0" w:beforeAutospacing="0" w:after="0" w:afterAutospacing="0" w:line="360" w:lineRule="auto"/>
              <w:ind w:left="0" w:right="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预期性</w:t>
            </w:r>
          </w:p>
        </w:tc>
      </w:tr>
    </w:tbl>
    <w:p w14:paraId="530BC679">
      <w:pPr>
        <w:widowControl/>
        <w:tabs>
          <w:tab w:val="left" w:pos="720"/>
        </w:tabs>
        <w:spacing w:line="360" w:lineRule="auto"/>
        <w:ind w:firstLine="0" w:firstLineChars="0"/>
        <w:rPr>
          <w:rFonts w:hint="eastAsia" w:ascii="仿宋_GB2312" w:hAnsi="仿宋" w:eastAsia="仿宋_GB2312"/>
          <w:sz w:val="30"/>
          <w:szCs w:val="30"/>
          <w:highlight w:val="none"/>
        </w:rPr>
      </w:pPr>
    </w:p>
    <w:p w14:paraId="456D3D36">
      <w:pPr>
        <w:spacing w:line="360" w:lineRule="auto"/>
        <w:rPr>
          <w:highlight w:val="none"/>
        </w:rPr>
      </w:pPr>
    </w:p>
    <w:p w14:paraId="7433B77E">
      <w:pPr>
        <w:pStyle w:val="16"/>
        <w:keepNext w:val="0"/>
        <w:keepLines w:val="0"/>
        <w:spacing w:before="0" w:beforeLines="0" w:line="360" w:lineRule="auto"/>
        <w:jc w:val="left"/>
        <w:rPr>
          <w:rFonts w:hint="eastAsia" w:ascii="方正小标宋简体" w:hAnsi="仿宋" w:eastAsia="方正小标宋简体"/>
          <w:b w:val="0"/>
          <w:bCs w:val="0"/>
          <w:spacing w:val="14"/>
          <w:sz w:val="44"/>
          <w:szCs w:val="44"/>
          <w:highlight w:val="none"/>
        </w:rPr>
        <w:sectPr>
          <w:pgSz w:w="11906" w:h="16838"/>
          <w:pgMar w:top="1440" w:right="1800" w:bottom="1440" w:left="1800" w:header="851" w:footer="992" w:gutter="0"/>
          <w:pgNumType w:fmt="numberInDash"/>
          <w:cols w:space="425" w:num="1"/>
          <w:docGrid w:type="lines" w:linePitch="312" w:charSpace="0"/>
        </w:sectPr>
      </w:pPr>
    </w:p>
    <w:p w14:paraId="0AD22B05">
      <w:pPr>
        <w:pStyle w:val="16"/>
        <w:keepNext w:val="0"/>
        <w:keepLines w:val="0"/>
        <w:spacing w:before="0" w:beforeLines="0" w:line="360" w:lineRule="auto"/>
        <w:jc w:val="center"/>
        <w:rPr>
          <w:rFonts w:hint="eastAsia" w:ascii="方正小标宋简体" w:hAnsi="仿宋" w:eastAsia="方正小标宋简体"/>
          <w:b w:val="0"/>
          <w:bCs w:val="0"/>
          <w:spacing w:val="14"/>
          <w:sz w:val="44"/>
          <w:szCs w:val="44"/>
          <w:highlight w:val="none"/>
          <w:lang w:eastAsia="zh-CN"/>
        </w:rPr>
      </w:pPr>
      <w:bookmarkStart w:id="46" w:name="_Toc1136745380"/>
      <w:bookmarkStart w:id="47" w:name="_Toc6491"/>
      <w:bookmarkStart w:id="48" w:name="_Toc869"/>
      <w:r>
        <w:rPr>
          <w:rFonts w:hint="eastAsia" w:ascii="方正小标宋简体" w:hAnsi="仿宋" w:eastAsia="方正小标宋简体"/>
          <w:b w:val="0"/>
          <w:bCs w:val="0"/>
          <w:spacing w:val="14"/>
          <w:sz w:val="44"/>
          <w:szCs w:val="44"/>
          <w:highlight w:val="none"/>
          <w:lang w:val="en-US" w:eastAsia="zh-CN"/>
        </w:rPr>
        <w:t xml:space="preserve">第三章 </w:t>
      </w:r>
      <w:r>
        <w:rPr>
          <w:rFonts w:hint="eastAsia" w:ascii="方正小标宋简体" w:hAnsi="仿宋" w:eastAsia="方正小标宋简体"/>
          <w:b w:val="0"/>
          <w:bCs w:val="0"/>
          <w:spacing w:val="14"/>
          <w:sz w:val="44"/>
          <w:szCs w:val="44"/>
          <w:highlight w:val="none"/>
        </w:rPr>
        <w:t>主要任务</w:t>
      </w:r>
      <w:bookmarkEnd w:id="46"/>
      <w:bookmarkEnd w:id="47"/>
      <w:bookmarkEnd w:id="48"/>
    </w:p>
    <w:p w14:paraId="3BC90F98">
      <w:pPr>
        <w:pStyle w:val="17"/>
        <w:keepNext w:val="0"/>
        <w:keepLines w:val="0"/>
        <w:spacing w:before="0" w:beforeLines="0" w:beforeAutospacing="0" w:after="0" w:afterAutospacing="0" w:line="360" w:lineRule="auto"/>
        <w:ind w:firstLine="0" w:firstLineChars="0"/>
        <w:jc w:val="left"/>
        <w:rPr>
          <w:rFonts w:hint="eastAsia" w:ascii="黑体" w:hAnsi="黑体" w:eastAsia="黑体"/>
          <w:b w:val="0"/>
          <w:spacing w:val="14"/>
          <w:sz w:val="30"/>
          <w:szCs w:val="30"/>
          <w:highlight w:val="none"/>
          <w:lang w:eastAsia="zh-CN"/>
        </w:rPr>
      </w:pPr>
      <w:bookmarkStart w:id="49" w:name="_Toc209544414"/>
      <w:bookmarkStart w:id="50" w:name="_Toc3961"/>
      <w:bookmarkStart w:id="51" w:name="_Toc24141"/>
      <w:bookmarkStart w:id="52" w:name="_Toc1265077948"/>
      <w:r>
        <w:rPr>
          <w:rFonts w:hint="eastAsia" w:ascii="黑体" w:hAnsi="黑体"/>
          <w:b w:val="0"/>
          <w:spacing w:val="14"/>
          <w:sz w:val="30"/>
          <w:szCs w:val="30"/>
          <w:highlight w:val="none"/>
          <w:lang w:val="en-US" w:eastAsia="zh-CN"/>
        </w:rPr>
        <w:t>一、</w:t>
      </w:r>
      <w:r>
        <w:rPr>
          <w:rFonts w:hint="eastAsia" w:ascii="黑体" w:hAnsi="黑体"/>
          <w:b w:val="0"/>
          <w:spacing w:val="14"/>
          <w:sz w:val="30"/>
          <w:szCs w:val="30"/>
          <w:highlight w:val="none"/>
        </w:rPr>
        <w:t>强化公共交通引领，优化城市发展格局</w:t>
      </w:r>
      <w:bookmarkEnd w:id="49"/>
      <w:bookmarkEnd w:id="50"/>
      <w:bookmarkEnd w:id="51"/>
      <w:bookmarkEnd w:id="52"/>
    </w:p>
    <w:p w14:paraId="39D0C82C">
      <w:pPr>
        <w:widowControl/>
        <w:tabs>
          <w:tab w:val="left" w:pos="720"/>
        </w:tabs>
        <w:spacing w:line="360" w:lineRule="auto"/>
        <w:ind w:firstLine="600" w:firstLineChars="200"/>
        <w:rPr>
          <w:rFonts w:hint="eastAsia"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针对轨道交通覆盖均衡性不足，新建居住区、产业园区及城乡结合部存在短板，通勤走廊接驳换乘效率不高等问题，重点推进以下任务：</w:t>
      </w:r>
    </w:p>
    <w:p w14:paraId="397A9F2A">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优化区内城市轨道交通网络衔接。</w:t>
      </w:r>
      <w:r>
        <w:rPr>
          <w:rFonts w:hint="eastAsia" w:ascii="仿宋_GB2312" w:hAnsi="仿宋" w:eastAsia="仿宋_GB2312"/>
          <w:sz w:val="30"/>
          <w:szCs w:val="30"/>
          <w:highlight w:val="none"/>
        </w:rPr>
        <w:t>围绕</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一轴、两带、四区、多点</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格局，系统推进区内轨道交通网络提质加密，重点完善河西、南中轴、丽泽等区域覆盖。推进1号线支线建设，衔接河西与中心城区；推进11号线二期，串联丽泽商务区、北京西站、首钢园等核心载体，强化与西城、石景山跨区域快速联动</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强化与西城、石景山</w:t>
      </w:r>
      <w:r>
        <w:rPr>
          <w:rFonts w:hint="eastAsia" w:ascii="仿宋_GB2312" w:hAnsi="仿宋" w:eastAsia="仿宋_GB2312"/>
          <w:sz w:val="30"/>
          <w:szCs w:val="30"/>
          <w:highlight w:val="none"/>
          <w:lang w:val="en-US" w:eastAsia="zh-CN"/>
        </w:rPr>
        <w:t>跨区</w:t>
      </w:r>
      <w:r>
        <w:rPr>
          <w:rFonts w:hint="eastAsia" w:ascii="仿宋_GB2312" w:hAnsi="仿宋" w:eastAsia="仿宋_GB2312"/>
          <w:sz w:val="30"/>
          <w:szCs w:val="30"/>
          <w:highlight w:val="none"/>
        </w:rPr>
        <w:t>快速联系</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统筹推进城市轨道与市郊铁路互联互通，完善多层次轨道通勤网络。围绕新宫、大瓦窑、郭庄子、张郭庄、富丰桥、丰台科技园站等轨道站点，优化轨道与公交、道路、慢行一体化接驳，通过空间布局优化、换乘设施改造、客流导向设计、标识导向布置、流线优化等手段，缩短换乘距离，力争实现公交地铁50米内接驳换乘比例提升至95%以上。</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2D8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vAlign w:val="center"/>
          </w:tcPr>
          <w:p w14:paraId="5770696F">
            <w:pPr>
              <w:keepNext w:val="0"/>
              <w:keepLines w:val="0"/>
              <w:widowControl/>
              <w:suppressLineNumbers w:val="0"/>
              <w:spacing w:before="0" w:beforeAutospacing="0" w:after="0" w:afterAutospacing="0"/>
              <w:ind w:left="0" w:right="0"/>
              <w:jc w:val="center"/>
              <w:rPr>
                <w:rFonts w:hint="eastAsia" w:ascii="仿宋_GB2312" w:hAnsi="仿宋" w:eastAsia="仿宋_GB2312"/>
                <w:sz w:val="32"/>
                <w:szCs w:val="32"/>
                <w:highlight w:val="none"/>
                <w:vertAlign w:val="baseline"/>
              </w:rPr>
            </w:pPr>
            <w:r>
              <w:rPr>
                <w:rFonts w:hint="default" w:ascii="楷体" w:hAnsi="楷体" w:eastAsia="楷体" w:cs="楷体"/>
                <w:b/>
                <w:bCs/>
                <w:color w:val="000000"/>
                <w:kern w:val="0"/>
                <w:sz w:val="28"/>
                <w:szCs w:val="28"/>
                <w:highlight w:val="none"/>
                <w:lang w:val="en-US" w:eastAsia="zh-CN" w:bidi="ar"/>
              </w:rPr>
              <w:t>专栏1：轨道交通路网建设规划</w:t>
            </w:r>
          </w:p>
        </w:tc>
      </w:tr>
      <w:tr w14:paraId="5CCA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5A33461">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完善区内轨道交通网络：响应全市统筹，建设11号线二期，连接11号线西段，成为连接丰台、西城、石景山等城区以及丽泽商务区、首钢园、北京西站、青塔等核心功能和生活区的交通大动脉。</w:t>
            </w:r>
          </w:p>
        </w:tc>
      </w:tr>
      <w:tr w14:paraId="06A8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05149E2">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促进轨道交通多网融合：协调相关单位，推动市郊铁路副中心线与地铁1号线支线在后吕村站形成综合交通枢纽，打造云岗站、王佐站特色微中心，提升丰台区内外交通出行效率。</w:t>
            </w:r>
          </w:p>
        </w:tc>
      </w:tr>
      <w:tr w14:paraId="2DF2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4EE094">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优化轨道交通换乘体系：协调相关单位，科学规划车站布局，优化换乘设施，完善客流导向设计；同步筛查换乘效率不足的换乘通道及车站周边换乘流线，通过系统性改造升级，优化客流组织与通行效率。</w:t>
            </w:r>
          </w:p>
        </w:tc>
      </w:tr>
    </w:tbl>
    <w:p w14:paraId="0486E50A">
      <w:pPr>
        <w:widowControl/>
        <w:tabs>
          <w:tab w:val="left" w:pos="720"/>
        </w:tabs>
        <w:spacing w:line="360" w:lineRule="auto"/>
        <w:ind w:firstLine="602" w:firstLineChars="200"/>
        <w:rPr>
          <w:rFonts w:hint="eastAsia" w:ascii="仿宋_GB2312" w:hAnsi="仿宋" w:eastAsia="仿宋_GB2312"/>
          <w:b w:val="0"/>
          <w:bCs w:val="0"/>
          <w:sz w:val="30"/>
          <w:szCs w:val="30"/>
          <w:highlight w:val="none"/>
        </w:rPr>
      </w:pPr>
      <w:r>
        <w:rPr>
          <w:rFonts w:hint="eastAsia" w:ascii="仿宋_GB2312" w:hAnsi="仿宋" w:eastAsia="仿宋_GB2312"/>
          <w:b/>
          <w:bCs/>
          <w:sz w:val="30"/>
          <w:szCs w:val="30"/>
          <w:highlight w:val="none"/>
        </w:rPr>
        <w:t>持续优化地面公交线网，构建</w:t>
      </w:r>
      <w:r>
        <w:rPr>
          <w:rFonts w:hint="eastAsia" w:ascii="仿宋_GB2312" w:hAnsi="仿宋" w:eastAsia="仿宋_GB2312"/>
          <w:b/>
          <w:bCs/>
          <w:sz w:val="30"/>
          <w:szCs w:val="30"/>
          <w:highlight w:val="none"/>
          <w:lang w:eastAsia="zh-CN"/>
        </w:rPr>
        <w:t>“</w:t>
      </w:r>
      <w:r>
        <w:rPr>
          <w:rFonts w:hint="eastAsia" w:ascii="仿宋_GB2312" w:hAnsi="仿宋" w:eastAsia="仿宋_GB2312"/>
          <w:b/>
          <w:bCs/>
          <w:sz w:val="30"/>
          <w:szCs w:val="30"/>
          <w:highlight w:val="none"/>
        </w:rPr>
        <w:t>骨干线+区域线+微循环线</w:t>
      </w:r>
      <w:r>
        <w:rPr>
          <w:rFonts w:hint="eastAsia" w:ascii="仿宋_GB2312" w:hAnsi="仿宋" w:eastAsia="仿宋_GB2312"/>
          <w:b/>
          <w:bCs/>
          <w:sz w:val="30"/>
          <w:szCs w:val="30"/>
          <w:highlight w:val="none"/>
          <w:lang w:eastAsia="zh-CN"/>
        </w:rPr>
        <w:t>”</w:t>
      </w:r>
      <w:r>
        <w:rPr>
          <w:rFonts w:hint="eastAsia" w:ascii="仿宋_GB2312" w:hAnsi="仿宋" w:eastAsia="仿宋_GB2312"/>
          <w:b/>
          <w:bCs/>
          <w:sz w:val="30"/>
          <w:szCs w:val="30"/>
          <w:highlight w:val="none"/>
        </w:rPr>
        <w:t>三级网络。</w:t>
      </w:r>
      <w:r>
        <w:rPr>
          <w:rFonts w:hint="eastAsia" w:ascii="仿宋_GB2312" w:hAnsi="仿宋" w:eastAsia="仿宋_GB2312"/>
          <w:b w:val="0"/>
          <w:bCs w:val="0"/>
          <w:sz w:val="30"/>
          <w:szCs w:val="30"/>
          <w:highlight w:val="none"/>
        </w:rPr>
        <w:t>骨干线依托京良路、南苑路等走廊布设快线；区域线加强功能区与轨道联系，补充河西薄弱区域；微循环线围绕轨道站点布设，填补覆盖盲区，解决</w:t>
      </w:r>
      <w:r>
        <w:rPr>
          <w:rFonts w:hint="eastAsia" w:ascii="仿宋_GB2312" w:hAnsi="仿宋" w:eastAsia="仿宋_GB2312"/>
          <w:b w:val="0"/>
          <w:bCs w:val="0"/>
          <w:sz w:val="30"/>
          <w:szCs w:val="30"/>
          <w:highlight w:val="none"/>
          <w:lang w:eastAsia="zh-CN"/>
        </w:rPr>
        <w:t>“</w:t>
      </w:r>
      <w:r>
        <w:rPr>
          <w:rFonts w:hint="eastAsia" w:ascii="仿宋_GB2312" w:hAnsi="仿宋" w:eastAsia="仿宋_GB2312"/>
          <w:b w:val="0"/>
          <w:bCs w:val="0"/>
          <w:sz w:val="30"/>
          <w:szCs w:val="30"/>
          <w:highlight w:val="none"/>
        </w:rPr>
        <w:t>最后一公里</w:t>
      </w:r>
      <w:r>
        <w:rPr>
          <w:rFonts w:hint="eastAsia" w:ascii="仿宋_GB2312" w:hAnsi="仿宋" w:eastAsia="仿宋_GB2312"/>
          <w:b w:val="0"/>
          <w:bCs w:val="0"/>
          <w:sz w:val="30"/>
          <w:szCs w:val="30"/>
          <w:highlight w:val="none"/>
          <w:lang w:eastAsia="zh-CN"/>
        </w:rPr>
        <w:t>”</w:t>
      </w:r>
      <w:r>
        <w:rPr>
          <w:rFonts w:hint="eastAsia" w:ascii="仿宋_GB2312" w:hAnsi="仿宋" w:eastAsia="仿宋_GB2312"/>
          <w:b w:val="0"/>
          <w:bCs w:val="0"/>
          <w:sz w:val="30"/>
          <w:szCs w:val="30"/>
          <w:highlight w:val="none"/>
        </w:rPr>
        <w:t>接驳。针对丽泽、丰台科技园等区域</w:t>
      </w:r>
      <w:r>
        <w:rPr>
          <w:rFonts w:hint="eastAsia" w:ascii="仿宋_GB2312" w:hAnsi="仿宋" w:eastAsia="仿宋_GB2312"/>
          <w:b w:val="0"/>
          <w:bCs w:val="0"/>
          <w:sz w:val="30"/>
          <w:szCs w:val="30"/>
          <w:highlight w:val="none"/>
          <w:lang w:eastAsia="zh-CN"/>
        </w:rPr>
        <w:t>“</w:t>
      </w:r>
      <w:r>
        <w:rPr>
          <w:rFonts w:hint="eastAsia" w:ascii="仿宋_GB2312" w:hAnsi="仿宋" w:eastAsia="仿宋_GB2312"/>
          <w:b w:val="0"/>
          <w:bCs w:val="0"/>
          <w:sz w:val="30"/>
          <w:szCs w:val="30"/>
          <w:highlight w:val="none"/>
        </w:rPr>
        <w:t>一点一策</w:t>
      </w:r>
      <w:r>
        <w:rPr>
          <w:rFonts w:hint="eastAsia" w:ascii="仿宋_GB2312" w:hAnsi="仿宋" w:eastAsia="仿宋_GB2312"/>
          <w:b w:val="0"/>
          <w:bCs w:val="0"/>
          <w:sz w:val="30"/>
          <w:szCs w:val="30"/>
          <w:highlight w:val="none"/>
          <w:lang w:eastAsia="zh-CN"/>
        </w:rPr>
        <w:t>”</w:t>
      </w:r>
      <w:r>
        <w:rPr>
          <w:rFonts w:hint="eastAsia" w:ascii="仿宋_GB2312" w:hAnsi="仿宋" w:eastAsia="仿宋_GB2312"/>
          <w:b w:val="0"/>
          <w:bCs w:val="0"/>
          <w:sz w:val="30"/>
          <w:szCs w:val="30"/>
          <w:highlight w:val="none"/>
        </w:rPr>
        <w:t>优化，开行需求响应式公交和特色通勤专线，扩大通学通医通游覆盖，精准对接民生类出行场景，提升公交服务的适配性与普惠性。</w:t>
      </w:r>
      <w:r>
        <w:rPr>
          <w:rFonts w:hint="eastAsia" w:ascii="仿宋_GB2312" w:hAnsi="仿宋" w:eastAsia="仿宋_GB2312"/>
          <w:b w:val="0"/>
          <w:bCs w:val="0"/>
          <w:sz w:val="30"/>
          <w:szCs w:val="30"/>
          <w:highlight w:val="none"/>
          <w:lang w:eastAsia="zh-CN"/>
        </w:rPr>
        <w:t>“十五五”期间，</w:t>
      </w:r>
      <w:r>
        <w:rPr>
          <w:rFonts w:hint="eastAsia" w:ascii="仿宋_GB2312" w:hAnsi="仿宋" w:eastAsia="仿宋_GB2312"/>
          <w:b w:val="0"/>
          <w:bCs w:val="0"/>
          <w:sz w:val="30"/>
          <w:szCs w:val="30"/>
          <w:highlight w:val="none"/>
        </w:rPr>
        <w:t>新建公交场站2处，推进老旧站点标准化</w:t>
      </w:r>
      <w:r>
        <w:rPr>
          <w:rFonts w:hint="eastAsia" w:ascii="仿宋_GB2312" w:hAnsi="仿宋" w:eastAsia="仿宋_GB2312"/>
          <w:b w:val="0"/>
          <w:bCs w:val="0"/>
          <w:sz w:val="30"/>
          <w:szCs w:val="30"/>
          <w:highlight w:val="none"/>
          <w:lang w:eastAsia="zh-CN"/>
        </w:rPr>
        <w:t>、</w:t>
      </w:r>
      <w:r>
        <w:rPr>
          <w:rFonts w:hint="eastAsia" w:ascii="仿宋_GB2312" w:hAnsi="仿宋" w:eastAsia="仿宋_GB2312"/>
          <w:b w:val="0"/>
          <w:bCs w:val="0"/>
          <w:sz w:val="30"/>
          <w:szCs w:val="30"/>
          <w:highlight w:val="none"/>
        </w:rPr>
        <w:t>智能化改造，建设公交廊道一体化设计。</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CBA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333AE5E">
            <w:pPr>
              <w:keepNext w:val="0"/>
              <w:keepLines w:val="0"/>
              <w:widowControl/>
              <w:suppressLineNumbers w:val="0"/>
              <w:spacing w:before="0" w:beforeAutospacing="0" w:after="0" w:afterAutospacing="0"/>
              <w:ind w:left="0" w:right="0"/>
              <w:jc w:val="center"/>
              <w:rPr>
                <w:rFonts w:hint="default" w:ascii="仿宋_GB2312" w:hAnsi="仿宋" w:eastAsia="仿宋_GB2312"/>
                <w:sz w:val="30"/>
                <w:szCs w:val="30"/>
                <w:highlight w:val="none"/>
                <w:vertAlign w:val="baseline"/>
                <w:lang w:val="en-US" w:eastAsia="zh-CN"/>
              </w:rPr>
            </w:pPr>
            <w:r>
              <w:rPr>
                <w:rFonts w:hint="default" w:ascii="楷体" w:hAnsi="楷体" w:eastAsia="楷体" w:cs="楷体"/>
                <w:b/>
                <w:bCs/>
                <w:color w:val="000000"/>
                <w:kern w:val="0"/>
                <w:sz w:val="28"/>
                <w:szCs w:val="28"/>
                <w:highlight w:val="none"/>
                <w:vertAlign w:val="baseline"/>
                <w:lang w:val="en-US" w:eastAsia="zh-CN" w:bidi="ar"/>
              </w:rPr>
              <w:t>专栏2</w:t>
            </w:r>
            <w:r>
              <w:rPr>
                <w:rFonts w:hint="eastAsia" w:ascii="楷体" w:hAnsi="楷体" w:eastAsia="楷体" w:cs="楷体"/>
                <w:b/>
                <w:bCs/>
                <w:color w:val="000000"/>
                <w:kern w:val="0"/>
                <w:sz w:val="28"/>
                <w:szCs w:val="28"/>
                <w:highlight w:val="none"/>
                <w:vertAlign w:val="baseline"/>
                <w:lang w:val="en-US" w:eastAsia="zh-CN" w:bidi="ar"/>
              </w:rPr>
              <w:t>：公交微循环线路规划</w:t>
            </w:r>
          </w:p>
        </w:tc>
      </w:tr>
      <w:tr w14:paraId="1D3B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C4483F4">
            <w:pPr>
              <w:keepNext w:val="0"/>
              <w:keepLines w:val="0"/>
              <w:widowControl/>
              <w:suppressLineNumbers w:val="0"/>
              <w:spacing w:before="0" w:beforeAutospacing="0" w:after="0" w:afterAutospacing="0"/>
              <w:ind w:left="0" w:right="0" w:firstLine="560" w:firstLineChars="200"/>
              <w:jc w:val="left"/>
              <w:rPr>
                <w:rFonts w:hint="eastAsia" w:ascii="仿宋_GB2312" w:hAnsi="仿宋" w:eastAsia="仿宋_GB2312"/>
                <w:sz w:val="30"/>
                <w:szCs w:val="30"/>
                <w:highlight w:val="none"/>
                <w:vertAlign w:val="baseline"/>
              </w:rPr>
            </w:pPr>
            <w:r>
              <w:rPr>
                <w:rFonts w:hint="eastAsia" w:ascii="仿宋_GB2312" w:hAnsi="仿宋_GB2312" w:eastAsia="仿宋_GB2312" w:cs="仿宋_GB2312"/>
                <w:color w:val="000000"/>
                <w:kern w:val="0"/>
                <w:sz w:val="28"/>
                <w:szCs w:val="28"/>
                <w:highlight w:val="none"/>
                <w:vertAlign w:val="baseline"/>
                <w:lang w:bidi="ar"/>
              </w:rPr>
              <w:t>规划丽泽金融商务区周围的微循环公交线路，共设置5个站点，包括地铁东管头站、丽泽金融商务区、凤凰嘴街东口、凤凰嘴街及凤凰嘴街西口，紧密接驳丽泽金融商务区站，精准服务前往审计署、晋商大厦等办公区域的通勤人群，强化地铁与公交两网融合、持续改善丽泽金融商务区的整体交通出行环境</w:t>
            </w:r>
            <w:r>
              <w:rPr>
                <w:rFonts w:hint="eastAsia" w:ascii="仿宋_GB2312" w:hAnsi="仿宋" w:eastAsia="仿宋_GB2312"/>
                <w:sz w:val="30"/>
                <w:szCs w:val="30"/>
                <w:highlight w:val="none"/>
                <w:vertAlign w:val="baseline"/>
              </w:rPr>
              <w:t>。</w:t>
            </w:r>
          </w:p>
        </w:tc>
      </w:tr>
    </w:tbl>
    <w:p w14:paraId="2B681D93">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面向都市圈、城市群核心区打造公共交通走廊。</w:t>
      </w:r>
      <w:r>
        <w:rPr>
          <w:rFonts w:hint="eastAsia" w:ascii="仿宋_GB2312" w:hAnsi="仿宋" w:eastAsia="仿宋_GB2312"/>
          <w:sz w:val="30"/>
          <w:szCs w:val="30"/>
          <w:highlight w:val="none"/>
        </w:rPr>
        <w:t>强化丽泽城市航站楼枢纽核心支撑作用，积极汇聚大兴机场线、11号线、14号线、16号线、丽金线五条轨道交通线路，联动北京西站、南站、丰台站三大铁路枢纽，打造辐射全市的公共交通主走廊，配套打造商务、便民、文化复合功能空间。推动大兴机场线与京雄城际互联互通，构建京津冀城际交通廊道，提升区域辐射能级，助力“轨道上的京津冀”建设落地。</w:t>
      </w:r>
    </w:p>
    <w:p w14:paraId="7C1DDDAE">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53" w:name="_Toc23529"/>
      <w:bookmarkStart w:id="54" w:name="_Toc209544415"/>
      <w:bookmarkStart w:id="55" w:name="_Toc10908"/>
      <w:bookmarkStart w:id="56" w:name="_Toc2076966736"/>
      <w:r>
        <w:rPr>
          <w:rFonts w:hint="eastAsia" w:ascii="黑体" w:hAnsi="黑体"/>
          <w:b w:val="0"/>
          <w:spacing w:val="14"/>
          <w:sz w:val="30"/>
          <w:szCs w:val="30"/>
          <w:highlight w:val="none"/>
          <w:lang w:val="en-US" w:eastAsia="zh-CN"/>
        </w:rPr>
        <w:t>二、</w:t>
      </w:r>
      <w:r>
        <w:rPr>
          <w:rFonts w:hint="eastAsia" w:ascii="黑体" w:hAnsi="黑体"/>
          <w:b w:val="0"/>
          <w:spacing w:val="14"/>
          <w:sz w:val="30"/>
          <w:szCs w:val="30"/>
          <w:highlight w:val="none"/>
        </w:rPr>
        <w:t>优化道路网络体系，建设高质量道路系统</w:t>
      </w:r>
      <w:bookmarkEnd w:id="53"/>
      <w:bookmarkEnd w:id="54"/>
      <w:bookmarkEnd w:id="55"/>
      <w:bookmarkEnd w:id="56"/>
    </w:p>
    <w:p w14:paraId="6146C0F0">
      <w:pPr>
        <w:widowControl/>
        <w:tabs>
          <w:tab w:val="left" w:pos="720"/>
        </w:tabs>
        <w:spacing w:line="360" w:lineRule="auto"/>
        <w:ind w:firstLine="600" w:firstLineChars="200"/>
        <w:rPr>
          <w:rFonts w:hint="eastAsia" w:ascii="仿宋_GB2312" w:hAnsi="仿宋" w:eastAsia="仿宋_GB2312"/>
          <w:b w:val="0"/>
          <w:bCs w:val="0"/>
          <w:sz w:val="30"/>
          <w:szCs w:val="30"/>
          <w:highlight w:val="none"/>
        </w:rPr>
      </w:pPr>
      <w:r>
        <w:rPr>
          <w:rFonts w:hint="eastAsia" w:ascii="仿宋_GB2312" w:hAnsi="仿宋" w:eastAsia="仿宋_GB2312"/>
          <w:b w:val="0"/>
          <w:bCs w:val="0"/>
          <w:sz w:val="30"/>
          <w:szCs w:val="30"/>
          <w:highlight w:val="none"/>
        </w:rPr>
        <w:t>针对现代化道路体系尚不健全，河西地区路网骨架尚未成型，核心区域交通支撑能力</w:t>
      </w:r>
      <w:r>
        <w:rPr>
          <w:rFonts w:hint="eastAsia" w:ascii="仿宋_GB2312" w:hAnsi="仿宋" w:eastAsia="仿宋_GB2312"/>
          <w:b w:val="0"/>
          <w:bCs w:val="0"/>
          <w:sz w:val="30"/>
          <w:szCs w:val="30"/>
          <w:highlight w:val="none"/>
          <w:lang w:val="en-US" w:eastAsia="zh-CN"/>
        </w:rPr>
        <w:t>不足等问题，重点推进以下任务</w:t>
      </w:r>
      <w:r>
        <w:rPr>
          <w:rFonts w:hint="eastAsia" w:ascii="仿宋_GB2312" w:hAnsi="仿宋" w:eastAsia="仿宋_GB2312"/>
          <w:b w:val="0"/>
          <w:bCs w:val="0"/>
          <w:sz w:val="30"/>
          <w:szCs w:val="30"/>
          <w:highlight w:val="none"/>
        </w:rPr>
        <w:t>：</w:t>
      </w:r>
    </w:p>
    <w:p w14:paraId="0BD5F167">
      <w:pPr>
        <w:widowControl/>
        <w:tabs>
          <w:tab w:val="left" w:pos="720"/>
        </w:tabs>
        <w:spacing w:line="360" w:lineRule="auto"/>
        <w:ind w:firstLine="602" w:firstLineChars="200"/>
        <w:rPr>
          <w:rFonts w:hint="eastAsia" w:ascii="仿宋_GB2312" w:hAnsi="仿宋" w:eastAsia="仿宋_GB2312"/>
          <w:sz w:val="30"/>
          <w:szCs w:val="30"/>
          <w:highlight w:val="none"/>
          <w:lang w:val="en-US" w:eastAsia="zh-CN"/>
        </w:rPr>
      </w:pPr>
      <w:r>
        <w:rPr>
          <w:rFonts w:hint="eastAsia" w:ascii="仿宋_GB2312" w:hAnsi="仿宋" w:eastAsia="仿宋_GB2312"/>
          <w:b/>
          <w:bCs/>
          <w:sz w:val="30"/>
          <w:szCs w:val="30"/>
          <w:highlight w:val="none"/>
        </w:rPr>
        <w:t>补齐路网层级短板，优化道路网络体系。</w:t>
      </w:r>
      <w:r>
        <w:rPr>
          <w:rFonts w:hint="eastAsia" w:ascii="仿宋_GB2312" w:hAnsi="仿宋" w:eastAsia="仿宋_GB2312"/>
          <w:sz w:val="30"/>
          <w:szCs w:val="30"/>
          <w:highlight w:val="none"/>
        </w:rPr>
        <w:t>立足河东、河西差异化发展定位，河东路网聚焦产业赋能，持续支撑重点功能区提质升级；河西路网聚焦通达提级，补齐跨片区连通与城乡融合短板。</w:t>
      </w:r>
      <w:r>
        <w:rPr>
          <w:rFonts w:hint="eastAsia" w:ascii="仿宋_GB2312" w:hAnsi="仿宋" w:eastAsia="仿宋_GB2312"/>
          <w:sz w:val="30"/>
          <w:szCs w:val="30"/>
          <w:highlight w:val="none"/>
          <w:lang w:eastAsia="zh-CN"/>
        </w:rPr>
        <w:t>“十五五”期间</w:t>
      </w:r>
      <w:r>
        <w:rPr>
          <w:rFonts w:hint="eastAsia" w:ascii="仿宋_GB2312" w:hAnsi="仿宋" w:eastAsia="仿宋_GB2312"/>
          <w:sz w:val="30"/>
          <w:szCs w:val="30"/>
          <w:highlight w:val="none"/>
        </w:rPr>
        <w:t>累计新建城市道路1</w:t>
      </w:r>
      <w:r>
        <w:rPr>
          <w:rFonts w:hint="eastAsia" w:ascii="仿宋_GB2312" w:hAnsi="仿宋" w:eastAsia="仿宋_GB2312"/>
          <w:sz w:val="30"/>
          <w:szCs w:val="30"/>
          <w:highlight w:val="none"/>
          <w:lang w:val="en-US" w:eastAsia="zh-CN"/>
        </w:rPr>
        <w:t>19.8</w:t>
      </w:r>
      <w:r>
        <w:rPr>
          <w:rFonts w:hint="eastAsia" w:ascii="仿宋_GB2312" w:hAnsi="仿宋" w:eastAsia="仿宋_GB2312"/>
          <w:sz w:val="30"/>
          <w:szCs w:val="30"/>
          <w:highlight w:val="none"/>
        </w:rPr>
        <w:t>公里，道路规划实施率由43.5%提升至52.0%，集中建设区道路网密度提高至7.0公里/平方公里；实施五环路功能提升工程，挖掘干线通道通行潜力。同步推进道路养护管理现代化，提升设施运维效能，构建功能完善、保障有力的道路交通网络，夯实区域高质量发展基础设施支撑。统筹城市地下管网与道路建设同步规划、同步实施，新建改建道路同步落实地下管线敷设与综合管廊衔接要求，服务城市地下管网建设改造。稳步推进保障房配套道路</w:t>
      </w:r>
      <w:r>
        <w:rPr>
          <w:rFonts w:hint="eastAsia" w:ascii="仿宋_GB2312" w:hAnsi="仿宋" w:eastAsia="仿宋_GB2312"/>
          <w:sz w:val="30"/>
          <w:szCs w:val="30"/>
          <w:highlight w:val="none"/>
          <w:lang w:val="en-US" w:eastAsia="zh-CN"/>
        </w:rPr>
        <w:t>建设</w:t>
      </w:r>
      <w:r>
        <w:rPr>
          <w:rFonts w:hint="eastAsia" w:ascii="仿宋_GB2312" w:hAnsi="仿宋" w:eastAsia="仿宋_GB2312"/>
          <w:sz w:val="30"/>
          <w:szCs w:val="30"/>
          <w:highlight w:val="none"/>
        </w:rPr>
        <w:t>，围绕安置房区域同步开工配套道路，并紧扣全区土地上市节奏，提速推进上市地块周边路网前置建设</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同步完善主次支路配套体系；落实市、区关于未移交道路规范管理的工作要求，完善“建设</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移交</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管理”闭环管理体系。</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83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vAlign w:val="top"/>
          </w:tcPr>
          <w:p w14:paraId="4E2457C9">
            <w:pPr>
              <w:keepNext w:val="0"/>
              <w:keepLines w:val="0"/>
              <w:widowControl/>
              <w:suppressLineNumbers w:val="0"/>
              <w:tabs>
                <w:tab w:val="left" w:pos="720"/>
              </w:tabs>
              <w:spacing w:before="0" w:beforeAutospacing="0" w:after="0" w:afterAutospacing="0" w:line="640" w:lineRule="exact"/>
              <w:ind w:left="0" w:right="0"/>
              <w:jc w:val="center"/>
              <w:rPr>
                <w:rFonts w:hint="eastAsia" w:ascii="仿宋_GB2312" w:hAnsi="仿宋" w:eastAsia="仿宋_GB2312"/>
                <w:sz w:val="30"/>
                <w:szCs w:val="30"/>
                <w:highlight w:val="none"/>
                <w:vertAlign w:val="baseline"/>
              </w:rPr>
            </w:pPr>
            <w:r>
              <w:rPr>
                <w:rFonts w:hint="eastAsia" w:ascii="楷体" w:hAnsi="楷体" w:eastAsia="楷体" w:cs="楷体"/>
                <w:b/>
                <w:bCs/>
                <w:color w:val="000000"/>
                <w:kern w:val="0"/>
                <w:sz w:val="28"/>
                <w:szCs w:val="28"/>
                <w:highlight w:val="none"/>
                <w:lang w:val="en-US" w:eastAsia="zh-CN" w:bidi="ar"/>
              </w:rPr>
              <w:t>专栏3：优化道路网络体系重点任务</w:t>
            </w:r>
          </w:p>
        </w:tc>
      </w:tr>
      <w:tr w14:paraId="616E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B29FE28">
            <w:pPr>
              <w:keepNext w:val="0"/>
              <w:keepLines w:val="0"/>
              <w:widowControl/>
              <w:suppressLineNumbers w:val="0"/>
              <w:tabs>
                <w:tab w:val="left" w:pos="720"/>
              </w:tabs>
              <w:spacing w:before="0" w:beforeAutospacing="0" w:after="0" w:afterAutospacing="0" w:line="640" w:lineRule="exact"/>
              <w:ind w:left="0" w:right="0" w:firstLine="560" w:firstLineChars="200"/>
              <w:jc w:val="both"/>
              <w:rPr>
                <w:rFonts w:hint="eastAsia" w:ascii="仿宋_GB2312" w:hAnsi="仿宋" w:eastAsia="仿宋_GB2312"/>
                <w:sz w:val="28"/>
                <w:szCs w:val="28"/>
                <w:highlight w:val="none"/>
                <w:vertAlign w:val="baseline"/>
              </w:rPr>
            </w:pPr>
            <w:r>
              <w:rPr>
                <w:rFonts w:hint="eastAsia" w:ascii="仿宋_GB2312" w:hAnsi="仿宋" w:eastAsia="仿宋_GB2312"/>
                <w:sz w:val="28"/>
                <w:szCs w:val="28"/>
                <w:highlight w:val="none"/>
                <w:vertAlign w:val="baseline"/>
              </w:rPr>
              <w:t>着力打通“断头路”：卢沟桥南里二号路、大兴灌渠东路、春泽路、春泽西路、京良路东段待贯通段、程庄路、大李窑街、京开东路跨河桥、柳村路南延待贯通段、张新桥、大瓦窑东一街、万寿路南延待贯通段、通久路（一期）待贯通段、山湖路待贯通段、方庄东一号路、京开东路草桥段等路段。</w:t>
            </w:r>
          </w:p>
        </w:tc>
      </w:tr>
      <w:tr w14:paraId="7F31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17ACFB8B">
            <w:pPr>
              <w:keepNext w:val="0"/>
              <w:keepLines w:val="0"/>
              <w:widowControl/>
              <w:suppressLineNumbers w:val="0"/>
              <w:tabs>
                <w:tab w:val="left" w:pos="720"/>
              </w:tabs>
              <w:spacing w:before="0" w:beforeAutospacing="0" w:after="0" w:afterAutospacing="0" w:line="640" w:lineRule="exact"/>
              <w:ind w:left="0" w:right="0" w:firstLine="560" w:firstLineChars="200"/>
              <w:jc w:val="both"/>
              <w:rPr>
                <w:rFonts w:hint="eastAsia" w:ascii="仿宋_GB2312" w:hAnsi="仿宋" w:eastAsia="仿宋_GB2312"/>
                <w:sz w:val="28"/>
                <w:szCs w:val="28"/>
                <w:highlight w:val="none"/>
                <w:vertAlign w:val="baseline"/>
              </w:rPr>
            </w:pPr>
            <w:r>
              <w:rPr>
                <w:rFonts w:hint="eastAsia" w:ascii="仿宋_GB2312" w:hAnsi="仿宋" w:eastAsia="仿宋_GB2312"/>
                <w:sz w:val="28"/>
                <w:szCs w:val="28"/>
                <w:highlight w:val="none"/>
                <w:vertAlign w:val="baseline"/>
              </w:rPr>
              <w:t>推进保障房配套道路</w:t>
            </w:r>
            <w:r>
              <w:rPr>
                <w:rFonts w:hint="eastAsia" w:ascii="仿宋_GB2312" w:hAnsi="仿宋" w:eastAsia="仿宋_GB2312"/>
                <w:sz w:val="28"/>
                <w:szCs w:val="28"/>
                <w:highlight w:val="none"/>
                <w:vertAlign w:val="baseline"/>
                <w:lang w:val="en-US" w:eastAsia="zh-CN"/>
              </w:rPr>
              <w:t>建设</w:t>
            </w:r>
            <w:r>
              <w:rPr>
                <w:rFonts w:hint="eastAsia" w:ascii="仿宋_GB2312" w:hAnsi="仿宋" w:eastAsia="仿宋_GB2312"/>
                <w:sz w:val="28"/>
                <w:szCs w:val="28"/>
                <w:highlight w:val="none"/>
                <w:vertAlign w:val="baseline"/>
              </w:rPr>
              <w:t>项目：梅市口路、五里店南路、纪家庙路、五里店北路、丰西二号路、看丹路、首经贸中路、金泽路、人民村南路等路段。</w:t>
            </w:r>
          </w:p>
        </w:tc>
      </w:tr>
      <w:tr w14:paraId="5C28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4BE7D45D">
            <w:pPr>
              <w:keepNext w:val="0"/>
              <w:keepLines w:val="0"/>
              <w:widowControl/>
              <w:suppressLineNumbers w:val="0"/>
              <w:tabs>
                <w:tab w:val="left" w:pos="720"/>
              </w:tabs>
              <w:spacing w:before="0" w:beforeAutospacing="0" w:after="0" w:afterAutospacing="0" w:line="640" w:lineRule="exact"/>
              <w:ind w:left="0" w:right="0" w:firstLine="560" w:firstLineChars="200"/>
              <w:jc w:val="both"/>
              <w:rPr>
                <w:rFonts w:hint="eastAsia" w:ascii="仿宋_GB2312" w:hAnsi="仿宋" w:eastAsia="仿宋_GB2312"/>
                <w:sz w:val="28"/>
                <w:szCs w:val="28"/>
                <w:highlight w:val="none"/>
                <w:vertAlign w:val="baseline"/>
              </w:rPr>
            </w:pPr>
            <w:r>
              <w:rPr>
                <w:rFonts w:hint="eastAsia" w:ascii="仿宋_GB2312" w:hAnsi="仿宋" w:eastAsia="仿宋_GB2312"/>
                <w:sz w:val="28"/>
                <w:szCs w:val="28"/>
                <w:highlight w:val="none"/>
                <w:vertAlign w:val="baseline"/>
              </w:rPr>
              <w:t>推进上市地块项目周边道路项目：芦辛路、太子峪南二路、看杨路、丰台站北路、骆驼湾南路、金中都北路、柳村路、达园北路、纪家庙路等路段。</w:t>
            </w:r>
          </w:p>
        </w:tc>
      </w:tr>
    </w:tbl>
    <w:p w14:paraId="02FD934E">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改善重点功能区路网，发挥辐射带动作用。</w:t>
      </w:r>
      <w:r>
        <w:rPr>
          <w:rFonts w:hint="eastAsia" w:ascii="仿宋_GB2312" w:hAnsi="仿宋" w:eastAsia="仿宋_GB2312"/>
          <w:b w:val="0"/>
          <w:bCs w:val="0"/>
          <w:sz w:val="30"/>
          <w:szCs w:val="30"/>
          <w:highlight w:val="none"/>
        </w:rPr>
        <w:t>聚焦全区重点功能片区差异化发展定位，靶向完善路网供给、提升通道能级，以高品质道路交通支撑产业集聚、城市更新与区域协同</w:t>
      </w:r>
      <w:r>
        <w:rPr>
          <w:rFonts w:hint="eastAsia" w:ascii="仿宋_GB2312" w:hAnsi="仿宋" w:eastAsia="仿宋_GB2312"/>
          <w:b/>
          <w:bCs/>
          <w:sz w:val="30"/>
          <w:szCs w:val="30"/>
          <w:highlight w:val="none"/>
          <w:lang w:eastAsia="zh-CN"/>
        </w:rPr>
        <w:t>。</w:t>
      </w:r>
      <w:r>
        <w:rPr>
          <w:rFonts w:hint="eastAsia" w:ascii="仿宋_GB2312" w:hAnsi="仿宋" w:eastAsia="仿宋_GB2312"/>
          <w:b/>
          <w:bCs/>
          <w:sz w:val="30"/>
          <w:szCs w:val="30"/>
          <w:highlight w:val="none"/>
        </w:rPr>
        <w:t>打造丽泽金融商务区高品质交通体系</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深化多模式公共交通融合衔接，提升轨道公交换乘效率；优化区域路网结构，推进丰台站东街等12条共16公里道路建设，含主干路3条、次干路9条；配套智慧化管控与秩序综合治理，构建适配金融功能区定位的交通环境；</w:t>
      </w:r>
      <w:r>
        <w:rPr>
          <w:rFonts w:hint="eastAsia" w:ascii="仿宋_GB2312" w:hAnsi="仿宋" w:eastAsia="仿宋_GB2312"/>
          <w:b/>
          <w:bCs/>
          <w:sz w:val="30"/>
          <w:szCs w:val="30"/>
          <w:highlight w:val="none"/>
        </w:rPr>
        <w:t>推进南中轴地区路网纵深提质。</w:t>
      </w:r>
      <w:r>
        <w:rPr>
          <w:rFonts w:hint="eastAsia" w:ascii="仿宋_GB2312" w:hAnsi="仿宋" w:eastAsia="仿宋_GB2312"/>
          <w:sz w:val="30"/>
          <w:szCs w:val="30"/>
          <w:highlight w:val="none"/>
        </w:rPr>
        <w:t>在主干路网基础上补齐次级路网短板，优化建设道路34条共25.67公里，含主干路2条、次干路15条、支路17条；打通断头路、畅通微循环，提升路网韧性与可达性，保障文化设施运营与城市更新。同步推进京良路东延、大兴机场高速快速联络线建设，完善南部高快速路网。</w:t>
      </w:r>
      <w:r>
        <w:rPr>
          <w:rFonts w:hint="eastAsia" w:ascii="仿宋_GB2312" w:hAnsi="仿宋" w:eastAsia="仿宋_GB2312"/>
          <w:b/>
          <w:bCs/>
          <w:sz w:val="30"/>
          <w:szCs w:val="30"/>
          <w:highlight w:val="none"/>
        </w:rPr>
        <w:t>高标准建设分钟寺地区路网。</w:t>
      </w:r>
      <w:r>
        <w:rPr>
          <w:rFonts w:hint="eastAsia" w:ascii="仿宋_GB2312" w:hAnsi="仿宋" w:eastAsia="仿宋_GB2312"/>
          <w:sz w:val="30"/>
          <w:szCs w:val="30"/>
          <w:highlight w:val="none"/>
        </w:rPr>
        <w:t>推进关家坑街、龙爪树路等道路工程，优先搭建骨架路网、加密内部微循环，全面提升路网密度与通达性，补齐片区交通基建短板</w:t>
      </w:r>
      <w:r>
        <w:rPr>
          <w:rFonts w:hint="eastAsia" w:ascii="仿宋_GB2312" w:hAnsi="仿宋" w:eastAsia="仿宋_GB2312"/>
          <w:sz w:val="30"/>
          <w:szCs w:val="30"/>
          <w:highlight w:val="none"/>
          <w:lang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89F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6B8ECB44">
            <w:pPr>
              <w:keepNext w:val="0"/>
              <w:keepLines w:val="0"/>
              <w:widowControl/>
              <w:suppressLineNumbers w:val="0"/>
              <w:spacing w:before="0" w:beforeAutospacing="0" w:after="0" w:afterAutospacing="0"/>
              <w:ind w:left="0" w:right="0"/>
              <w:jc w:val="center"/>
              <w:rPr>
                <w:rFonts w:hint="eastAsia" w:ascii="仿宋_GB2312" w:hAnsi="仿宋" w:eastAsia="仿宋_GB2312"/>
                <w:sz w:val="30"/>
                <w:szCs w:val="30"/>
                <w:highlight w:val="none"/>
                <w:vertAlign w:val="baseline"/>
              </w:rPr>
            </w:pPr>
            <w:r>
              <w:rPr>
                <w:rFonts w:hint="default" w:ascii="楷体" w:hAnsi="楷体" w:eastAsia="楷体" w:cs="楷体"/>
                <w:b/>
                <w:bCs/>
                <w:color w:val="000000"/>
                <w:kern w:val="0"/>
                <w:sz w:val="28"/>
                <w:szCs w:val="28"/>
                <w:highlight w:val="none"/>
                <w:lang w:val="en-US" w:eastAsia="zh-CN" w:bidi="ar"/>
              </w:rPr>
              <w:t>专栏</w:t>
            </w:r>
            <w:r>
              <w:rPr>
                <w:rFonts w:hint="eastAsia" w:ascii="楷体" w:hAnsi="楷体" w:eastAsia="楷体" w:cs="楷体"/>
                <w:b/>
                <w:bCs/>
                <w:color w:val="000000"/>
                <w:kern w:val="0"/>
                <w:sz w:val="28"/>
                <w:szCs w:val="28"/>
                <w:highlight w:val="none"/>
                <w:lang w:val="en-US" w:eastAsia="zh-CN" w:bidi="ar"/>
              </w:rPr>
              <w:t>4</w:t>
            </w:r>
            <w:r>
              <w:rPr>
                <w:rFonts w:hint="default" w:ascii="楷体" w:hAnsi="楷体" w:eastAsia="楷体" w:cs="楷体"/>
                <w:b/>
                <w:bCs/>
                <w:color w:val="000000"/>
                <w:kern w:val="0"/>
                <w:sz w:val="28"/>
                <w:szCs w:val="28"/>
                <w:highlight w:val="none"/>
                <w:lang w:val="en-US" w:eastAsia="zh-CN" w:bidi="ar"/>
              </w:rPr>
              <w:t>：河东地区道路新建与改造工程</w:t>
            </w:r>
          </w:p>
        </w:tc>
      </w:tr>
      <w:tr w14:paraId="4233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898457D">
            <w:pPr>
              <w:keepNext w:val="0"/>
              <w:keepLines w:val="0"/>
              <w:widowControl/>
              <w:suppressLineNumbers w:val="0"/>
              <w:tabs>
                <w:tab w:val="left" w:pos="720"/>
              </w:tabs>
              <w:spacing w:before="0" w:beforeAutospacing="0" w:after="0" w:afterAutospacing="0" w:line="640" w:lineRule="exact"/>
              <w:ind w:left="0" w:right="0" w:firstLine="560" w:firstLineChars="200"/>
              <w:rPr>
                <w:rFonts w:hint="eastAsia" w:ascii="仿宋_GB2312" w:hAnsi="仿宋" w:eastAsia="仿宋_GB2312"/>
                <w:sz w:val="28"/>
                <w:szCs w:val="28"/>
                <w:highlight w:val="none"/>
                <w:vertAlign w:val="baseline"/>
              </w:rPr>
            </w:pPr>
            <w:r>
              <w:rPr>
                <w:rFonts w:hint="eastAsia" w:ascii="仿宋_GB2312" w:hAnsi="仿宋" w:eastAsia="仿宋_GB2312"/>
                <w:sz w:val="28"/>
                <w:szCs w:val="28"/>
                <w:highlight w:val="none"/>
                <w:vertAlign w:val="baseline"/>
              </w:rPr>
              <w:t>南中轴地区道路工程：博物馆群及周边区域配套道路，涉及南顶路（不含桥）、大红门东路（不含桥）、南顶路桥、大红门东路桥、大红门西前街、春泽西路、春泽路、庑殿北街、大红门西路雨水改线及终点改线工程、大李窑路、大红门东前街以及14条支路。三办配套道路，涉及京良路东延辅路、足球公园东路、范家庄西路、规划一路。南苑森林湿地公园周边配套道路，涉及和义东路、光彩路南延、庑殿中路、庑殿南路、警备西路。</w:t>
            </w:r>
          </w:p>
        </w:tc>
      </w:tr>
      <w:tr w14:paraId="477C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D516CD9">
            <w:pPr>
              <w:keepNext w:val="0"/>
              <w:keepLines w:val="0"/>
              <w:widowControl/>
              <w:suppressLineNumbers w:val="0"/>
              <w:tabs>
                <w:tab w:val="left" w:pos="720"/>
              </w:tabs>
              <w:spacing w:before="0" w:beforeAutospacing="0" w:after="0" w:afterAutospacing="0" w:line="640" w:lineRule="exact"/>
              <w:ind w:left="0" w:right="0" w:firstLine="560" w:firstLineChars="200"/>
              <w:rPr>
                <w:rFonts w:hint="eastAsia" w:ascii="仿宋_GB2312" w:hAnsi="仿宋" w:eastAsia="仿宋_GB2312"/>
                <w:sz w:val="28"/>
                <w:szCs w:val="28"/>
                <w:highlight w:val="none"/>
                <w:vertAlign w:val="baseline"/>
              </w:rPr>
            </w:pPr>
            <w:r>
              <w:rPr>
                <w:rFonts w:hint="eastAsia" w:ascii="仿宋_GB2312" w:hAnsi="仿宋" w:eastAsia="仿宋_GB2312"/>
                <w:sz w:val="28"/>
                <w:szCs w:val="28"/>
                <w:highlight w:val="none"/>
                <w:vertAlign w:val="baseline"/>
              </w:rPr>
              <w:t>丽泽金融商务区道路工程：涉及丰台站东街/万泉寺东路、端礼街、莲花河东路、万泉寺路、万莲路、三路居路、三路居南街、金泽路、金泽东路、太平桥路、高楼路。</w:t>
            </w:r>
          </w:p>
        </w:tc>
      </w:tr>
    </w:tbl>
    <w:p w14:paraId="40026847">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完善河西与“两园一河”路网布局。</w:t>
      </w:r>
      <w:r>
        <w:rPr>
          <w:rFonts w:hint="eastAsia" w:ascii="仿宋_GB2312" w:hAnsi="仿宋" w:eastAsia="仿宋_GB2312"/>
          <w:sz w:val="30"/>
          <w:szCs w:val="30"/>
          <w:highlight w:val="none"/>
        </w:rPr>
        <w:t>实施长辛店北一路等主干路新建改造</w:t>
      </w:r>
      <w:r>
        <w:rPr>
          <w:rFonts w:hint="eastAsia" w:ascii="仿宋_GB2312" w:hAnsi="仿宋" w:eastAsia="仿宋_GB2312"/>
          <w:sz w:val="30"/>
          <w:szCs w:val="30"/>
          <w:highlight w:val="none"/>
          <w:lang w:val="en-US" w:eastAsia="zh-CN"/>
        </w:rPr>
        <w:t>工程</w:t>
      </w:r>
      <w:r>
        <w:rPr>
          <w:rFonts w:hint="eastAsia" w:ascii="仿宋_GB2312" w:hAnsi="仿宋" w:eastAsia="仿宋_GB2312"/>
          <w:sz w:val="30"/>
          <w:szCs w:val="30"/>
          <w:highlight w:val="none"/>
        </w:rPr>
        <w:t>共6.17公里，推进郭庄路等12.3公里道路前期储备；有序实施京港澳高速改扩建，提升对外辐射能力。围绕地铁1号线支线、园博园提速11条配套道路建设，积极争取市级项目支持。统筹水网与交通网衔接，推进永定河沿线道路、桥梁及滨水慢行设施协同建设，强化跨河通道建设与防洪安全标准衔接。</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C2B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E6DCD2">
            <w:pPr>
              <w:keepNext w:val="0"/>
              <w:keepLines w:val="0"/>
              <w:widowControl/>
              <w:suppressLineNumbers w:val="0"/>
              <w:spacing w:before="0" w:beforeAutospacing="0" w:after="0" w:afterAutospacing="0"/>
              <w:ind w:left="0" w:right="0"/>
              <w:jc w:val="center"/>
              <w:rPr>
                <w:rFonts w:hint="eastAsia" w:ascii="仿宋_GB2312" w:hAnsi="仿宋" w:eastAsia="仿宋_GB2312"/>
                <w:sz w:val="32"/>
                <w:szCs w:val="32"/>
                <w:highlight w:val="none"/>
                <w:vertAlign w:val="baseline"/>
              </w:rPr>
            </w:pPr>
            <w:r>
              <w:rPr>
                <w:rFonts w:hint="default" w:ascii="楷体" w:hAnsi="楷体" w:eastAsia="楷体" w:cs="楷体"/>
                <w:b/>
                <w:bCs/>
                <w:color w:val="000000"/>
                <w:kern w:val="0"/>
                <w:sz w:val="28"/>
                <w:szCs w:val="28"/>
                <w:highlight w:val="none"/>
                <w:lang w:val="en-US" w:eastAsia="zh-CN" w:bidi="ar"/>
              </w:rPr>
              <w:t>专栏</w:t>
            </w:r>
            <w:r>
              <w:rPr>
                <w:rFonts w:hint="eastAsia" w:ascii="楷体" w:hAnsi="楷体" w:eastAsia="楷体" w:cs="楷体"/>
                <w:b/>
                <w:bCs/>
                <w:color w:val="000000"/>
                <w:kern w:val="0"/>
                <w:sz w:val="28"/>
                <w:szCs w:val="28"/>
                <w:highlight w:val="none"/>
                <w:lang w:val="en-US" w:eastAsia="zh-CN" w:bidi="ar"/>
              </w:rPr>
              <w:t>5</w:t>
            </w:r>
            <w:r>
              <w:rPr>
                <w:rFonts w:hint="default" w:ascii="楷体" w:hAnsi="楷体" w:eastAsia="楷体" w:cs="楷体"/>
                <w:b/>
                <w:bCs/>
                <w:color w:val="000000"/>
                <w:kern w:val="0"/>
                <w:sz w:val="28"/>
                <w:szCs w:val="28"/>
                <w:highlight w:val="none"/>
                <w:lang w:val="en-US" w:eastAsia="zh-CN" w:bidi="ar"/>
              </w:rPr>
              <w:t>：河西地区道路新建与改造工程</w:t>
            </w:r>
          </w:p>
        </w:tc>
      </w:tr>
      <w:tr w14:paraId="791D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434A273">
            <w:pPr>
              <w:keepNext w:val="0"/>
              <w:keepLines w:val="0"/>
              <w:widowControl/>
              <w:suppressLineNumbers w:val="0"/>
              <w:spacing w:before="0" w:beforeAutospacing="0" w:after="0" w:afterAutospacing="0"/>
              <w:ind w:left="0" w:right="0" w:firstLine="560" w:firstLineChars="200"/>
              <w:jc w:val="left"/>
              <w:rPr>
                <w:rFonts w:hint="eastAsia" w:ascii="仿宋_GB2312" w:hAnsi="仿宋" w:eastAsia="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“两园一河”道路工程：涉及长辛店北一路、大灰厂东路等实施类项目，涉及郭庄路、京周路、卢沟桥北路等储备类项目。</w:t>
            </w:r>
          </w:p>
        </w:tc>
      </w:tr>
    </w:tbl>
    <w:p w14:paraId="20CEDD12">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提升道路精细化管养，筑牢道路安全韧性底线。</w:t>
      </w:r>
      <w:r>
        <w:rPr>
          <w:rFonts w:hint="eastAsia" w:ascii="仿宋_GB2312" w:hAnsi="仿宋" w:eastAsia="仿宋_GB2312"/>
          <w:sz w:val="30"/>
          <w:szCs w:val="30"/>
          <w:highlight w:val="none"/>
        </w:rPr>
        <w:t>推动道路养护从被动处置向主动预防性转型，全域消除道路病害，系统提升路面状况、行驶质量与城市风貌指数。深化数智技术赋能，拓展道路管养信息平台场景应用，创新“三级”管理模式，依托“一路一档”实现智能巡检、精准养护与全流程闭环管理，提升市政设施运维综合效能。将绿色低碳理念融入养护全链条，推进工艺创新与装备节能改造，推广低碳养护与再生资源循环利用。聚焦“三站两楼”特色片区打造高品质出行空间，建强专业应急抢险队伍，提升极端天气、重大活动与突发事件处置能力，夯实城市交通安全韧性底座。</w:t>
      </w:r>
    </w:p>
    <w:p w14:paraId="38C8A6ED">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57" w:name="_Toc233249967"/>
      <w:bookmarkStart w:id="58" w:name="_Toc209544416"/>
      <w:bookmarkStart w:id="59" w:name="_Toc7340"/>
      <w:bookmarkStart w:id="60" w:name="_Toc22793"/>
      <w:r>
        <w:rPr>
          <w:rFonts w:hint="eastAsia" w:ascii="黑体" w:hAnsi="黑体"/>
          <w:b w:val="0"/>
          <w:spacing w:val="14"/>
          <w:sz w:val="30"/>
          <w:szCs w:val="30"/>
          <w:highlight w:val="none"/>
          <w:lang w:val="en-US" w:eastAsia="zh-CN"/>
        </w:rPr>
        <w:t>三、</w:t>
      </w:r>
      <w:r>
        <w:rPr>
          <w:rFonts w:hint="eastAsia" w:ascii="黑体" w:hAnsi="黑体"/>
          <w:b w:val="0"/>
          <w:spacing w:val="14"/>
          <w:sz w:val="30"/>
          <w:szCs w:val="30"/>
          <w:highlight w:val="none"/>
        </w:rPr>
        <w:t>激活停车资源效率，挖掘静态交通潜力</w:t>
      </w:r>
      <w:bookmarkEnd w:id="57"/>
      <w:bookmarkEnd w:id="58"/>
      <w:bookmarkEnd w:id="59"/>
      <w:bookmarkEnd w:id="60"/>
    </w:p>
    <w:p w14:paraId="0A47BEAB">
      <w:pPr>
        <w:widowControl/>
        <w:tabs>
          <w:tab w:val="left" w:pos="720"/>
        </w:tabs>
        <w:spacing w:line="360" w:lineRule="auto"/>
        <w:ind w:firstLine="600" w:firstLineChars="200"/>
        <w:rPr>
          <w:rFonts w:hint="eastAsia" w:ascii="仿宋_GB2312" w:hAnsi="仿宋" w:eastAsia="仿宋_GB2312"/>
          <w:b/>
          <w:bCs/>
          <w:sz w:val="30"/>
          <w:szCs w:val="30"/>
          <w:highlight w:val="none"/>
        </w:rPr>
      </w:pPr>
      <w:r>
        <w:rPr>
          <w:rFonts w:hint="eastAsia" w:ascii="仿宋_GB2312" w:hAnsi="仿宋" w:eastAsia="仿宋_GB2312"/>
          <w:b w:val="0"/>
          <w:bCs w:val="0"/>
          <w:sz w:val="30"/>
          <w:szCs w:val="30"/>
          <w:highlight w:val="none"/>
          <w:lang w:val="en-US" w:eastAsia="zh-CN"/>
        </w:rPr>
        <w:t>针对停车设施供给不足与配置不均，医院、学校、商圈等重点区域停车难，停车资源统筹利用、共享挖潜和智慧化管理水平仍需提升等问题，重点推进以下任务</w:t>
      </w:r>
      <w:r>
        <w:rPr>
          <w:rFonts w:hint="eastAsia" w:ascii="仿宋_GB2312" w:hAnsi="仿宋" w:eastAsia="仿宋_GB2312"/>
          <w:b w:val="0"/>
          <w:bCs w:val="0"/>
          <w:sz w:val="30"/>
          <w:szCs w:val="30"/>
          <w:highlight w:val="none"/>
        </w:rPr>
        <w:t>：</w:t>
      </w:r>
    </w:p>
    <w:p w14:paraId="6C17D217">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广泛调动社会力量，充分挖掘停车供给。</w:t>
      </w:r>
      <w:r>
        <w:rPr>
          <w:rFonts w:hint="eastAsia" w:ascii="仿宋_GB2312" w:hAnsi="仿宋" w:eastAsia="仿宋_GB2312"/>
          <w:sz w:val="30"/>
          <w:szCs w:val="30"/>
          <w:highlight w:val="none"/>
        </w:rPr>
        <w:t>系统推进路外公共停车场多元化、集约化建设，适度增加居住停车资源配置。高标准实施公共停车场专项规划，强化政策引导，协调北京静态交通集团等专业力量，吸纳社会资本参与。聚焦老旧小区、医院、学校、商圈等矛盾突出区域，利用闲置用地、桥下空间、拆迁腾退地块建设临时或永久停车场，支持平面停车场立体化改造。多渠道挖潜新增停车泊位2</w:t>
      </w:r>
      <w:r>
        <w:rPr>
          <w:rFonts w:hint="default" w:ascii="仿宋_GB2312" w:hAnsi="仿宋" w:eastAsia="仿宋_GB2312"/>
          <w:sz w:val="30"/>
          <w:szCs w:val="30"/>
          <w:highlight w:val="none"/>
          <w:lang w:val="en-US"/>
        </w:rPr>
        <w:t>.</w:t>
      </w:r>
      <w:r>
        <w:rPr>
          <w:rFonts w:hint="eastAsia" w:ascii="仿宋_GB2312" w:hAnsi="仿宋" w:eastAsia="仿宋_GB2312"/>
          <w:sz w:val="30"/>
          <w:szCs w:val="30"/>
          <w:highlight w:val="none"/>
          <w:lang w:val="en-US" w:eastAsia="zh-CN"/>
        </w:rPr>
        <w:t>0</w:t>
      </w:r>
      <w:r>
        <w:rPr>
          <w:rFonts w:hint="eastAsia" w:ascii="仿宋_GB2312" w:hAnsi="仿宋" w:eastAsia="仿宋_GB2312"/>
          <w:sz w:val="30"/>
          <w:szCs w:val="30"/>
          <w:highlight w:val="none"/>
        </w:rPr>
        <w:t>万个。发展智慧共享停车，在既有的丰台区停车资源管理平台基础之上，联合开发车位在线预约、错时共享等便民服务功能。</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22"/>
      </w:tblGrid>
      <w:tr w14:paraId="66C3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center"/>
          </w:tcPr>
          <w:p w14:paraId="729E921B">
            <w:pPr>
              <w:keepNext w:val="0"/>
              <w:keepLines w:val="0"/>
              <w:widowControl w:val="0"/>
              <w:suppressLineNumbers w:val="0"/>
              <w:wordWrap w:val="0"/>
              <w:topLinePunct/>
              <w:autoSpaceDE w:val="0"/>
              <w:autoSpaceDN w:val="0"/>
              <w:adjustRightInd w:val="0"/>
              <w:snapToGrid w:val="0"/>
              <w:spacing w:before="0" w:beforeAutospacing="0" w:after="0" w:afterLines="0" w:afterAutospacing="0" w:line="560" w:lineRule="exact"/>
              <w:ind w:left="0" w:leftChars="0" w:right="0" w:firstLine="0" w:firstLineChars="0"/>
              <w:jc w:val="center"/>
              <w:textAlignment w:val="baseline"/>
              <w:rPr>
                <w:rFonts w:hint="default" w:ascii="楷体" w:hAnsi="仿宋" w:eastAsia="楷体" w:cs="楷体"/>
                <w:b/>
                <w:bCs/>
                <w:color w:val="000000" w:themeColor="text1"/>
                <w:kern w:val="0"/>
                <w:sz w:val="28"/>
                <w:szCs w:val="28"/>
                <w:highlight w:val="none"/>
                <w:vertAlign w:val="baseline"/>
                <w14:textFill>
                  <w14:solidFill>
                    <w14:schemeClr w14:val="tx1"/>
                  </w14:solidFill>
                </w14:textFill>
              </w:rPr>
            </w:pPr>
            <w:r>
              <w:rPr>
                <w:rFonts w:hint="default" w:ascii="楷体" w:hAnsi="楷体" w:eastAsia="楷体" w:cs="楷体"/>
                <w:b/>
                <w:bCs/>
                <w:color w:val="000000" w:themeColor="text1"/>
                <w:kern w:val="0"/>
                <w:sz w:val="28"/>
                <w:szCs w:val="28"/>
                <w:highlight w:val="none"/>
                <w:vertAlign w:val="baseline"/>
                <w:lang w:val="en-US" w:eastAsia="zh-CN" w:bidi="ar"/>
                <w14:textFill>
                  <w14:solidFill>
                    <w14:schemeClr w14:val="tx1"/>
                  </w14:solidFill>
                </w14:textFill>
              </w:rPr>
              <w:t>专栏</w:t>
            </w:r>
            <w:r>
              <w:rPr>
                <w:rFonts w:hint="eastAsia" w:ascii="楷体" w:hAnsi="楷体" w:eastAsia="楷体" w:cs="楷体"/>
                <w:b/>
                <w:bCs/>
                <w:color w:val="000000" w:themeColor="text1"/>
                <w:kern w:val="0"/>
                <w:sz w:val="28"/>
                <w:szCs w:val="28"/>
                <w:highlight w:val="none"/>
                <w:vertAlign w:val="baseline"/>
                <w:lang w:val="en-US" w:eastAsia="zh-CN" w:bidi="ar"/>
                <w14:textFill>
                  <w14:solidFill>
                    <w14:schemeClr w14:val="tx1"/>
                  </w14:solidFill>
                </w14:textFill>
              </w:rPr>
              <w:t>6</w:t>
            </w:r>
            <w:r>
              <w:rPr>
                <w:rFonts w:hint="default" w:ascii="楷体" w:hAnsi="楷体" w:eastAsia="楷体" w:cs="楷体"/>
                <w:b/>
                <w:bCs/>
                <w:color w:val="000000" w:themeColor="text1"/>
                <w:kern w:val="0"/>
                <w:sz w:val="28"/>
                <w:szCs w:val="28"/>
                <w:highlight w:val="none"/>
                <w:vertAlign w:val="baseline"/>
                <w:lang w:val="en-US" w:eastAsia="zh-CN" w:bidi="ar"/>
                <w14:textFill>
                  <w14:solidFill>
                    <w14:schemeClr w14:val="tx1"/>
                  </w14:solidFill>
                </w14:textFill>
              </w:rPr>
              <w:t>：</w:t>
            </w:r>
            <w:r>
              <w:rPr>
                <w:rFonts w:hint="eastAsia" w:ascii="楷体" w:hAnsi="楷体" w:eastAsia="楷体" w:cs="楷体"/>
                <w:b/>
                <w:bCs/>
                <w:color w:val="000000" w:themeColor="text1"/>
                <w:kern w:val="0"/>
                <w:sz w:val="28"/>
                <w:szCs w:val="28"/>
                <w:highlight w:val="none"/>
                <w:vertAlign w:val="baseline"/>
                <w:lang w:val="en-US" w:eastAsia="zh-CN" w:bidi="ar"/>
                <w14:textFill>
                  <w14:solidFill>
                    <w14:schemeClr w14:val="tx1"/>
                  </w14:solidFill>
                </w14:textFill>
              </w:rPr>
              <w:t>南中轴数智产业大厦</w:t>
            </w:r>
            <w:r>
              <w:rPr>
                <w:rFonts w:hint="default" w:ascii="楷体" w:hAnsi="楷体" w:eastAsia="楷体" w:cs="楷体"/>
                <w:b/>
                <w:bCs/>
                <w:color w:val="000000" w:themeColor="text1"/>
                <w:kern w:val="0"/>
                <w:sz w:val="28"/>
                <w:szCs w:val="28"/>
                <w:highlight w:val="none"/>
                <w:vertAlign w:val="baseline"/>
                <w:lang w:val="en-US" w:eastAsia="zh-CN" w:bidi="ar"/>
                <w14:textFill>
                  <w14:solidFill>
                    <w14:schemeClr w14:val="tx1"/>
                  </w14:solidFill>
                </w14:textFill>
              </w:rPr>
              <w:t>停车配套工程</w:t>
            </w:r>
          </w:p>
        </w:tc>
      </w:tr>
      <w:tr w14:paraId="5C2B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2" w:type="dxa"/>
            <w:tcBorders>
              <w:top w:val="single" w:color="auto" w:sz="4" w:space="0"/>
              <w:left w:val="single" w:color="auto" w:sz="4" w:space="0"/>
              <w:bottom w:val="single" w:color="auto" w:sz="4" w:space="0"/>
              <w:right w:val="single" w:color="auto" w:sz="4" w:space="0"/>
            </w:tcBorders>
            <w:shd w:val="clear" w:color="auto" w:fill="auto"/>
            <w:vAlign w:val="center"/>
          </w:tcPr>
          <w:p w14:paraId="50FB0895">
            <w:pPr>
              <w:keepNext w:val="0"/>
              <w:keepLines w:val="0"/>
              <w:widowControl/>
              <w:suppressLineNumbers w:val="0"/>
              <w:spacing w:before="0" w:beforeAutospacing="0" w:after="0" w:afterAutospacing="0"/>
              <w:ind w:left="0" w:right="0" w:firstLine="560" w:firstLineChars="200"/>
              <w:jc w:val="both"/>
              <w:textAlignment w:val="center"/>
              <w:rPr>
                <w:rFonts w:hint="eastAsia" w:ascii="仿宋_GB2312" w:hAnsi="仿宋"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 w:eastAsia="仿宋_GB2312" w:cs="仿宋_GB2312"/>
                <w:b w:val="0"/>
                <w:bCs w:val="0"/>
                <w:color w:val="000000" w:themeColor="text1"/>
                <w:kern w:val="0"/>
                <w:sz w:val="28"/>
                <w:szCs w:val="28"/>
                <w:highlight w:val="none"/>
                <w14:textFill>
                  <w14:solidFill>
                    <w14:schemeClr w14:val="tx1"/>
                  </w14:solidFill>
                </w14:textFill>
              </w:rPr>
              <w:t>系统推进</w:t>
            </w:r>
            <w:r>
              <w:rPr>
                <w:rFonts w:hint="eastAsia" w:ascii="仿宋_GB2312" w:hAnsi="仿宋" w:eastAsia="仿宋_GB2312" w:cs="仿宋_GB2312"/>
                <w:b w:val="0"/>
                <w:bCs w:val="0"/>
                <w:color w:val="000000" w:themeColor="text1"/>
                <w:kern w:val="0"/>
                <w:sz w:val="28"/>
                <w:szCs w:val="28"/>
                <w:highlight w:val="none"/>
                <w:lang w:eastAsia="zh-CN"/>
                <w14:textFill>
                  <w14:solidFill>
                    <w14:schemeClr w14:val="tx1"/>
                  </w14:solidFill>
                </w14:textFill>
              </w:rPr>
              <w:t>南中轴数智产业大厦</w:t>
            </w:r>
            <w:r>
              <w:rPr>
                <w:rFonts w:hint="eastAsia" w:ascii="仿宋_GB2312" w:hAnsi="仿宋" w:eastAsia="仿宋_GB2312" w:cs="仿宋_GB2312"/>
                <w:b w:val="0"/>
                <w:bCs w:val="0"/>
                <w:color w:val="000000" w:themeColor="text1"/>
                <w:kern w:val="0"/>
                <w:sz w:val="28"/>
                <w:szCs w:val="28"/>
                <w:highlight w:val="none"/>
                <w14:textFill>
                  <w14:solidFill>
                    <w14:schemeClr w14:val="tx1"/>
                  </w14:solidFill>
                </w14:textFill>
              </w:rPr>
              <w:t>停车配套设施集约化建设，从源头扩大区域停车供给。通过对原福海国际大厦9万平方米建筑空间的升级改造，配套建设380个公共停车位并向居民开放。项目同步实施绿色节能改造，与丰台区政务服务中心、图书馆及合生广场等公共设施形成停车资源联动网络，有效提升南中轴地区停车资源利用效率，为丰台区城市更新项目停车配套建设提供示范样板。</w:t>
            </w:r>
          </w:p>
        </w:tc>
      </w:tr>
    </w:tbl>
    <w:p w14:paraId="4210370F">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合理开展时空分配，优化道路停车管理。</w:t>
      </w:r>
      <w:r>
        <w:rPr>
          <w:rFonts w:hint="eastAsia" w:ascii="仿宋_GB2312" w:hAnsi="仿宋" w:eastAsia="仿宋_GB2312"/>
          <w:sz w:val="30"/>
          <w:szCs w:val="30"/>
          <w:highlight w:val="none"/>
        </w:rPr>
        <w:t>在全面实现停车电子化收费的基础上，进一步推进26</w:t>
      </w: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条道路停车资源数字化管理进程，实施道路停车位总量控制与动态调节机制，分时段动态优化路侧车位设置方案，兼顾道路通行功能与路侧停车需求。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563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01CA977">
            <w:pPr>
              <w:keepNext w:val="0"/>
              <w:keepLines w:val="0"/>
              <w:widowControl/>
              <w:suppressLineNumbers w:val="0"/>
              <w:tabs>
                <w:tab w:val="left" w:pos="720"/>
              </w:tabs>
              <w:spacing w:before="0" w:beforeAutospacing="0" w:after="0" w:afterAutospacing="0" w:line="640" w:lineRule="exact"/>
              <w:ind w:left="0" w:right="0"/>
              <w:jc w:val="center"/>
              <w:rPr>
                <w:rFonts w:hint="eastAsia" w:ascii="仿宋_GB2312" w:hAnsi="仿宋" w:eastAsia="仿宋_GB2312"/>
                <w:sz w:val="30"/>
                <w:szCs w:val="30"/>
                <w:highlight w:val="none"/>
                <w:vertAlign w:val="baseline"/>
              </w:rPr>
            </w:pPr>
            <w:r>
              <w:rPr>
                <w:rFonts w:hint="eastAsia" w:ascii="楷体" w:hAnsi="楷体" w:eastAsia="楷体" w:cs="楷体"/>
                <w:b/>
                <w:bCs/>
                <w:kern w:val="0"/>
                <w:sz w:val="28"/>
                <w:szCs w:val="28"/>
                <w:highlight w:val="none"/>
                <w:vertAlign w:val="baseline"/>
                <w:lang w:val="en-US" w:eastAsia="zh-CN" w:bidi="ar"/>
              </w:rPr>
              <w:t>专栏7：桥下空间停车资源共享示范工程</w:t>
            </w:r>
          </w:p>
        </w:tc>
      </w:tr>
      <w:tr w14:paraId="1186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9EEAED0">
            <w:pPr>
              <w:keepNext w:val="0"/>
              <w:keepLines w:val="0"/>
              <w:widowControl/>
              <w:suppressLineNumbers w:val="0"/>
              <w:tabs>
                <w:tab w:val="left" w:pos="720"/>
              </w:tabs>
              <w:spacing w:before="0" w:beforeAutospacing="0" w:after="0" w:afterAutospacing="0" w:line="640" w:lineRule="exact"/>
              <w:ind w:left="0" w:right="0" w:firstLine="560" w:firstLineChars="200"/>
              <w:rPr>
                <w:rFonts w:hint="eastAsia" w:ascii="仿宋_GB2312" w:hAnsi="仿宋" w:eastAsia="仿宋_GB2312"/>
                <w:sz w:val="30"/>
                <w:szCs w:val="30"/>
                <w:highlight w:val="none"/>
                <w:vertAlign w:val="baseline"/>
              </w:rPr>
            </w:pPr>
            <w:r>
              <w:rPr>
                <w:rFonts w:hint="eastAsia" w:ascii="仿宋_GB2312" w:hAnsi="仿宋" w:eastAsia="仿宋_GB2312" w:cs="仿宋_GB2312"/>
                <w:b w:val="0"/>
                <w:bCs w:val="0"/>
                <w:kern w:val="0"/>
                <w:sz w:val="28"/>
                <w:szCs w:val="28"/>
                <w:highlight w:val="none"/>
              </w:rPr>
              <w:t>进一步推进刘家窑桥、赵公口桥、丽泽桥等重点桥区空间利用，新增共享停车位2000个。完善照明监控、智能识别等配套设施，实行“居民认证优惠”政策，为周边社区提供75折停车优惠，实现桥下空间与社区停车需求高效对接。</w:t>
            </w:r>
          </w:p>
        </w:tc>
      </w:tr>
    </w:tbl>
    <w:p w14:paraId="04B89FCD">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推动“停车+充电”一体布局，优化绿色停车生态。</w:t>
      </w:r>
      <w:r>
        <w:rPr>
          <w:rFonts w:hint="eastAsia" w:ascii="仿宋_GB2312" w:hAnsi="仿宋" w:eastAsia="仿宋_GB2312"/>
          <w:sz w:val="30"/>
          <w:szCs w:val="30"/>
          <w:highlight w:val="none"/>
        </w:rPr>
        <w:t>推动新建公共建筑停车场、大型商业综合体配套停车场按照不低于车位总数</w:t>
      </w:r>
      <w:r>
        <w:rPr>
          <w:rFonts w:hint="eastAsia" w:ascii="仿宋_GB2312" w:hAnsi="仿宋" w:eastAsia="仿宋_GB2312"/>
          <w:sz w:val="30"/>
          <w:szCs w:val="30"/>
          <w:highlight w:val="none"/>
          <w:lang w:val="en-US" w:eastAsia="zh-CN"/>
        </w:rPr>
        <w:t>10%</w:t>
      </w:r>
      <w:r>
        <w:rPr>
          <w:rFonts w:hint="eastAsia" w:ascii="仿宋_GB2312" w:hAnsi="仿宋" w:eastAsia="仿宋_GB2312"/>
          <w:sz w:val="30"/>
          <w:szCs w:val="30"/>
          <w:highlight w:val="none"/>
        </w:rPr>
        <w:t>的比例同步配建充电桩，并确保充分预留电力容量与管线桥架安装条件；推动既有社会公共停车场和交通枢纽停车场有条件的进行充电设施试点改造，为布局新型能源体系提供支撑。落实新型电网建设部署，推动重点交通场站充电设施布局与区域电网规划建设协同衔接，提升场站能源保障能力。</w:t>
      </w:r>
    </w:p>
    <w:p w14:paraId="22E7FB1E">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61" w:name="_Toc1074539594"/>
      <w:bookmarkStart w:id="62" w:name="_Toc209544417"/>
      <w:bookmarkStart w:id="63" w:name="_Toc21607"/>
      <w:bookmarkStart w:id="64" w:name="_Toc4315"/>
      <w:r>
        <w:rPr>
          <w:rFonts w:hint="eastAsia" w:ascii="黑体" w:hAnsi="黑体"/>
          <w:b w:val="0"/>
          <w:spacing w:val="14"/>
          <w:sz w:val="30"/>
          <w:szCs w:val="30"/>
          <w:highlight w:val="none"/>
          <w:lang w:val="en-US" w:eastAsia="zh-CN"/>
        </w:rPr>
        <w:t>四、</w:t>
      </w:r>
      <w:r>
        <w:rPr>
          <w:rFonts w:hint="eastAsia" w:ascii="黑体" w:hAnsi="黑体"/>
          <w:b w:val="0"/>
          <w:spacing w:val="14"/>
          <w:sz w:val="30"/>
          <w:szCs w:val="30"/>
          <w:highlight w:val="none"/>
        </w:rPr>
        <w:t>落实交通综合治理，提升协同精细水平</w:t>
      </w:r>
      <w:bookmarkEnd w:id="61"/>
      <w:bookmarkEnd w:id="62"/>
      <w:bookmarkEnd w:id="63"/>
      <w:bookmarkEnd w:id="64"/>
    </w:p>
    <w:p w14:paraId="0D055E9A">
      <w:pPr>
        <w:widowControl/>
        <w:tabs>
          <w:tab w:val="left" w:pos="720"/>
        </w:tabs>
        <w:spacing w:line="360" w:lineRule="auto"/>
        <w:ind w:firstLine="600" w:firstLineChars="200"/>
        <w:rPr>
          <w:rFonts w:hint="eastAsia"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针对存在较多断头路、瓶颈路，潮汐交通特征明显，主要道路早晚高峰时段拥堵频发，非机动车停放无序等问题，重点推进以下任务：</w:t>
      </w:r>
    </w:p>
    <w:p w14:paraId="7A561C16">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全面治理“断头路”，打通城市“微循环”。</w:t>
      </w:r>
      <w:r>
        <w:rPr>
          <w:rFonts w:hint="eastAsia" w:ascii="仿宋_GB2312" w:hAnsi="仿宋" w:eastAsia="仿宋_GB2312"/>
          <w:sz w:val="30"/>
          <w:szCs w:val="30"/>
          <w:highlight w:val="none"/>
        </w:rPr>
        <w:t>全面摸排</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断头路</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，实施畅通工程，推进清零进程。着力打通张新桥、京开东路草桥段等断头路25条，促进区域互联互通。科学制定方案，分批分类推进，打通微循环，切实解决出行难题。</w:t>
      </w:r>
    </w:p>
    <w:p w14:paraId="3EEBDA4A">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关注“学医景商”</w:t>
      </w:r>
      <w:r>
        <w:rPr>
          <w:rFonts w:hint="eastAsia" w:ascii="仿宋_GB2312" w:hAnsi="仿宋" w:eastAsia="仿宋_GB2312"/>
          <w:b/>
          <w:bCs/>
          <w:sz w:val="30"/>
          <w:szCs w:val="30"/>
          <w:highlight w:val="none"/>
          <w:lang w:eastAsia="zh-CN"/>
        </w:rPr>
        <w:t>、</w:t>
      </w:r>
      <w:r>
        <w:rPr>
          <w:rFonts w:hint="eastAsia" w:ascii="仿宋_GB2312" w:hAnsi="仿宋" w:eastAsia="仿宋_GB2312"/>
          <w:b/>
          <w:bCs/>
          <w:sz w:val="30"/>
          <w:szCs w:val="30"/>
          <w:highlight w:val="none"/>
          <w:lang w:val="en-US" w:eastAsia="zh-CN"/>
        </w:rPr>
        <w:t>轨道站点</w:t>
      </w:r>
      <w:r>
        <w:rPr>
          <w:rFonts w:hint="eastAsia" w:ascii="仿宋_GB2312" w:hAnsi="仿宋" w:eastAsia="仿宋_GB2312"/>
          <w:b/>
          <w:bCs/>
          <w:sz w:val="30"/>
          <w:szCs w:val="30"/>
          <w:highlight w:val="none"/>
        </w:rPr>
        <w:t>等区域，推进常态化治理。</w:t>
      </w:r>
      <w:r>
        <w:rPr>
          <w:rFonts w:hint="eastAsia" w:ascii="仿宋_GB2312" w:hAnsi="仿宋" w:eastAsia="仿宋_GB2312"/>
          <w:sz w:val="30"/>
          <w:szCs w:val="30"/>
          <w:highlight w:val="none"/>
        </w:rPr>
        <w:t>针对学校、医院、景区、商</w:t>
      </w:r>
      <w:r>
        <w:rPr>
          <w:rFonts w:hint="eastAsia" w:ascii="仿宋_GB2312" w:hAnsi="仿宋" w:eastAsia="仿宋_GB2312"/>
          <w:sz w:val="30"/>
          <w:szCs w:val="30"/>
          <w:highlight w:val="none"/>
          <w:lang w:eastAsia="zh-CN"/>
        </w:rPr>
        <w:t>场等</w:t>
      </w:r>
      <w:r>
        <w:rPr>
          <w:rFonts w:hint="eastAsia" w:ascii="仿宋_GB2312" w:hAnsi="仿宋" w:eastAsia="仿宋_GB2312"/>
          <w:sz w:val="30"/>
          <w:szCs w:val="30"/>
          <w:highlight w:val="none"/>
        </w:rPr>
        <w:t>周期性压力，优化交通流线，实施限时停车和即停即走，设置出租车网约车专用停靠区。挖潜建筑退线、边角空地，通过</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绿停融合</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盘活闲置绿地，统筹非机动车标准化停放点位及电子围栏，建立部门、街道、运营企业三方联动机制，从严整治占道停放。查处电动自行车超速逆行等违法行为。</w:t>
      </w:r>
    </w:p>
    <w:p w14:paraId="4FB70045">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制定年度综合治理方案，针对轨道站点、重点道路等场景分类施策。破解丰台科技园</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停车难</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，新建集约化停车设施，推动企事业单位车位分时共享，</w:t>
      </w:r>
      <w:r>
        <w:rPr>
          <w:rFonts w:hint="eastAsia" w:ascii="仿宋_GB2312" w:hAnsi="仿宋" w:eastAsia="仿宋_GB2312"/>
          <w:sz w:val="30"/>
          <w:szCs w:val="30"/>
          <w:highlight w:val="none"/>
          <w:lang w:val="en-US" w:eastAsia="zh-CN"/>
        </w:rPr>
        <w:t>接入</w:t>
      </w:r>
      <w:r>
        <w:rPr>
          <w:rFonts w:hint="eastAsia" w:ascii="仿宋_GB2312" w:hAnsi="仿宋" w:eastAsia="仿宋_GB2312"/>
          <w:sz w:val="30"/>
          <w:szCs w:val="30"/>
          <w:highlight w:val="none"/>
        </w:rPr>
        <w:t>集成智慧化平台</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实现实时诱导与车位分配。完善南苑森林湿地公园周边交通保障，提升通久路、六圈路效能。推进</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配建为主、公共为辅</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的停车供给结构，新建项目配建落实率100%，轨道站点300米范围内非机动车停车入位率提升至60%。</w:t>
      </w:r>
    </w:p>
    <w:p w14:paraId="7B991851">
      <w:pPr>
        <w:widowControl/>
        <w:tabs>
          <w:tab w:val="left" w:pos="720"/>
        </w:tabs>
        <w:spacing w:line="360" w:lineRule="auto"/>
        <w:ind w:firstLine="602" w:firstLineChars="200"/>
        <w:rPr>
          <w:rFonts w:hint="eastAsia" w:ascii="仿宋_GB2312" w:hAnsi="仿宋" w:eastAsia="仿宋_GB2312"/>
          <w:sz w:val="30"/>
          <w:szCs w:val="30"/>
          <w:highlight w:val="none"/>
          <w:lang w:eastAsia="zh-CN"/>
        </w:rPr>
      </w:pPr>
      <w:r>
        <w:rPr>
          <w:rFonts w:hint="eastAsia" w:ascii="仿宋_GB2312" w:hAnsi="仿宋" w:eastAsia="仿宋_GB2312"/>
          <w:b/>
          <w:bCs/>
          <w:sz w:val="30"/>
          <w:szCs w:val="30"/>
          <w:highlight w:val="none"/>
        </w:rPr>
        <w:t>动态调配车道资源，系统整治拥堵节点</w:t>
      </w:r>
      <w:r>
        <w:rPr>
          <w:rFonts w:hint="eastAsia" w:ascii="仿宋_GB2312" w:hAnsi="仿宋" w:eastAsia="仿宋_GB2312"/>
          <w:b/>
          <w:bCs/>
          <w:sz w:val="30"/>
          <w:szCs w:val="30"/>
          <w:highlight w:val="none"/>
          <w:lang w:eastAsia="zh-CN"/>
        </w:rPr>
        <w:t>。</w:t>
      </w:r>
      <w:r>
        <w:rPr>
          <w:rFonts w:hint="eastAsia" w:ascii="仿宋_GB2312" w:hAnsi="仿宋" w:eastAsia="仿宋_GB2312"/>
          <w:sz w:val="30"/>
          <w:szCs w:val="30"/>
          <w:highlight w:val="none"/>
        </w:rPr>
        <w:t>聚焦道路资源时空不均衡问题，试点推行潮汐车道、可变通道等动态交通组织方式，精准匹配分时段通行需求结构。针对京港澳高速、京开高速、杜家坎节点等重点拥堵点位，实施系统性疏堵整治，全面提升通行效能。</w:t>
      </w:r>
    </w:p>
    <w:p w14:paraId="1CB46B4A">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65" w:name="_Toc19529"/>
      <w:bookmarkStart w:id="66" w:name="_Toc1596968735"/>
      <w:bookmarkStart w:id="67" w:name="_Toc22229"/>
      <w:r>
        <w:rPr>
          <w:rFonts w:hint="eastAsia" w:ascii="黑体" w:hAnsi="黑体"/>
          <w:b w:val="0"/>
          <w:spacing w:val="14"/>
          <w:sz w:val="30"/>
          <w:szCs w:val="30"/>
          <w:highlight w:val="none"/>
          <w:lang w:val="en-US" w:eastAsia="zh-CN"/>
        </w:rPr>
        <w:t>五、</w:t>
      </w:r>
      <w:r>
        <w:rPr>
          <w:rFonts w:hint="eastAsia" w:ascii="黑体" w:hAnsi="黑体"/>
          <w:b w:val="0"/>
          <w:spacing w:val="14"/>
          <w:sz w:val="30"/>
          <w:szCs w:val="30"/>
          <w:highlight w:val="none"/>
        </w:rPr>
        <w:t>完善慢行交通网络，打造宜居慢行城区</w:t>
      </w:r>
      <w:bookmarkEnd w:id="65"/>
      <w:bookmarkEnd w:id="66"/>
      <w:bookmarkEnd w:id="67"/>
    </w:p>
    <w:p w14:paraId="34E9FE1B">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针对慢行路网不连续，慢行空间品质偏低，慢行交通功能单一等问题，重点推进以下任务：</w:t>
      </w:r>
    </w:p>
    <w:p w14:paraId="2FF9170A">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贯通慢行交通网络，优化慢行空间品质。</w:t>
      </w:r>
      <w:r>
        <w:rPr>
          <w:rFonts w:hint="eastAsia" w:ascii="仿宋_GB2312" w:hAnsi="仿宋" w:eastAsia="仿宋_GB2312"/>
          <w:sz w:val="30"/>
          <w:szCs w:val="30"/>
          <w:highlight w:val="none"/>
        </w:rPr>
        <w:t>秉持人本理念，推进人行道贯通工程，消除交通枢纽、商圈周边步行断点，清理违规阻车桩等阻隔物。提升公园绿地周边步行环境，增设导向标识，打造安全舒适的步行空间。协同公安交管部门，加密贯通非机动车专用道，衔接居住区、商业区、轨道站点，提升骑行安全性与连续性，营造人本友好的慢行出行环境。</w:t>
      </w:r>
    </w:p>
    <w:p w14:paraId="5084B413">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倡导慢行特色生活，唤醒街区交流活力。</w:t>
      </w:r>
      <w:r>
        <w:rPr>
          <w:rFonts w:hint="eastAsia" w:ascii="仿宋_GB2312" w:hAnsi="仿宋" w:eastAsia="仿宋_GB2312"/>
          <w:sz w:val="30"/>
          <w:szCs w:val="30"/>
          <w:highlight w:val="none"/>
        </w:rPr>
        <w:t>配合北京市统筹安排，打造“骑停一体”的活力锚点，串联历史风貌、科创园区、生态公园等场景，营造和谐活力的城市骑行氛围。</w:t>
      </w:r>
    </w:p>
    <w:p w14:paraId="5FC5A851">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68" w:name="_Toc2949"/>
      <w:bookmarkStart w:id="69" w:name="_Toc209544419"/>
      <w:bookmarkStart w:id="70" w:name="_Toc27871"/>
      <w:bookmarkStart w:id="71" w:name="_Toc1002908939"/>
      <w:r>
        <w:rPr>
          <w:rFonts w:hint="eastAsia" w:ascii="黑体" w:hAnsi="黑体"/>
          <w:b w:val="0"/>
          <w:spacing w:val="14"/>
          <w:sz w:val="30"/>
          <w:szCs w:val="30"/>
          <w:highlight w:val="none"/>
          <w:lang w:val="en-US" w:eastAsia="zh-CN"/>
        </w:rPr>
        <w:t>六、</w:t>
      </w:r>
      <w:r>
        <w:rPr>
          <w:rFonts w:hint="eastAsia" w:ascii="黑体" w:hAnsi="黑体"/>
          <w:b w:val="0"/>
          <w:spacing w:val="14"/>
          <w:sz w:val="30"/>
          <w:szCs w:val="30"/>
          <w:highlight w:val="none"/>
        </w:rPr>
        <w:t>强化综合枢纽衔接，推进站城一体发展</w:t>
      </w:r>
      <w:bookmarkEnd w:id="68"/>
      <w:bookmarkEnd w:id="69"/>
      <w:bookmarkEnd w:id="70"/>
      <w:bookmarkEnd w:id="71"/>
    </w:p>
    <w:p w14:paraId="753A8416">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针对对外综合交通枢纽能级不足，内外交通衔接不畅，站城分离等问题，重点推进以下任务：</w:t>
      </w:r>
    </w:p>
    <w:p w14:paraId="6C10096E">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打造多网融合核心支点，畅通区域交通循环。</w:t>
      </w:r>
      <w:r>
        <w:rPr>
          <w:rFonts w:hint="eastAsia" w:ascii="仿宋_GB2312" w:hAnsi="仿宋" w:eastAsia="仿宋_GB2312"/>
          <w:sz w:val="30"/>
          <w:szCs w:val="30"/>
          <w:highlight w:val="none"/>
        </w:rPr>
        <w:t>强化</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三站两楼</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辐射能力，推进丽泽城市航站楼建设，完善北京西站、北京南站枢纽更新改造，加强枢纽与城市交通联动。推进赵公口、</w:t>
      </w:r>
      <w:r>
        <w:rPr>
          <w:rFonts w:hint="eastAsia" w:ascii="仿宋_GB2312" w:hAnsi="仿宋" w:eastAsia="仿宋_GB2312"/>
          <w:sz w:val="30"/>
          <w:szCs w:val="30"/>
          <w:highlight w:val="none"/>
          <w:lang w:val="en-US" w:eastAsia="zh-CN"/>
        </w:rPr>
        <w:t>六里桥、新发地</w:t>
      </w:r>
      <w:r>
        <w:rPr>
          <w:rFonts w:hint="eastAsia" w:ascii="仿宋_GB2312" w:hAnsi="仿宋" w:eastAsia="仿宋_GB2312"/>
          <w:sz w:val="30"/>
          <w:szCs w:val="30"/>
          <w:highlight w:val="none"/>
        </w:rPr>
        <w:t>等长途客运站有序疏解转型，提升道路客运服务品质。构建多层次一体化接驳体系，实现对外交通与城区出行快速转换，全面提升客流集散效率。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C6D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482BD4B7">
            <w:pPr>
              <w:keepNext w:val="0"/>
              <w:keepLines w:val="0"/>
              <w:widowControl/>
              <w:suppressLineNumbers w:val="0"/>
              <w:spacing w:before="0" w:beforeAutospacing="0" w:after="0" w:afterAutospacing="0"/>
              <w:ind w:left="0" w:right="0"/>
              <w:jc w:val="center"/>
              <w:rPr>
                <w:rFonts w:hint="eastAsia" w:ascii="仿宋_GB2312" w:hAnsi="仿宋" w:eastAsia="仿宋_GB2312"/>
                <w:sz w:val="32"/>
                <w:szCs w:val="32"/>
                <w:highlight w:val="none"/>
                <w:vertAlign w:val="baseline"/>
              </w:rPr>
            </w:pPr>
            <w:r>
              <w:rPr>
                <w:rFonts w:hint="default" w:ascii="楷体" w:hAnsi="楷体" w:eastAsia="楷体" w:cs="楷体"/>
                <w:b/>
                <w:bCs/>
                <w:color w:val="000000"/>
                <w:kern w:val="0"/>
                <w:sz w:val="28"/>
                <w:szCs w:val="28"/>
                <w:highlight w:val="none"/>
                <w:lang w:val="en-US" w:eastAsia="zh-CN" w:bidi="ar"/>
              </w:rPr>
              <w:t>专栏</w:t>
            </w:r>
            <w:r>
              <w:rPr>
                <w:rFonts w:hint="eastAsia" w:ascii="楷体" w:hAnsi="楷体" w:eastAsia="楷体" w:cs="楷体"/>
                <w:b/>
                <w:bCs/>
                <w:color w:val="000000"/>
                <w:kern w:val="0"/>
                <w:sz w:val="28"/>
                <w:szCs w:val="28"/>
                <w:highlight w:val="none"/>
                <w:lang w:val="en-US" w:eastAsia="zh-CN" w:bidi="ar"/>
              </w:rPr>
              <w:t>8</w:t>
            </w:r>
            <w:r>
              <w:rPr>
                <w:rFonts w:hint="default" w:ascii="楷体" w:hAnsi="楷体" w:eastAsia="楷体" w:cs="楷体"/>
                <w:b/>
                <w:bCs/>
                <w:color w:val="000000"/>
                <w:kern w:val="0"/>
                <w:sz w:val="28"/>
                <w:szCs w:val="28"/>
                <w:highlight w:val="none"/>
                <w:lang w:val="en-US" w:eastAsia="zh-CN" w:bidi="ar"/>
              </w:rPr>
              <w:t>：丰台区交通枢纽优化工程</w:t>
            </w:r>
          </w:p>
        </w:tc>
      </w:tr>
      <w:tr w14:paraId="2FF5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495E001">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铁路枢纽区域开发：（1）北京南站：围绕用地空间资源共享，释放北广场地下空间，腾挪给大巴车、出租车、网约车使用，提升接驳服务水平，并紧抓地铁11号线的建设契机，形成“地铁车站—北京南站—站前商务楼宇”地下空间体系。（2）北京西站：通过地铁11号线，将地铁人流直接引入南广场，激活南广场地下空间活力。</w:t>
            </w:r>
          </w:p>
        </w:tc>
      </w:tr>
    </w:tbl>
    <w:p w14:paraId="5D26D5AD">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推进站城空间一体化，培育城市发展极核。</w:t>
      </w:r>
      <w:r>
        <w:rPr>
          <w:rFonts w:hint="eastAsia" w:ascii="仿宋_GB2312" w:hAnsi="仿宋" w:eastAsia="仿宋_GB2312"/>
          <w:sz w:val="30"/>
          <w:szCs w:val="30"/>
          <w:highlight w:val="none"/>
        </w:rPr>
        <w:t>构建</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枢纽驱动型</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城市综合体，推进TOD职住商组团发展。以丰台站等枢纽为核心，采用</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立体叠合、功能混合</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模式，建设集交通换乘、商务办公、商业休闲于一体的复合功能区。聚焦大红门站、丽泽商务区站、草桥站、花乡东桥站、看丹站等13个轨道微中心，深化站点周边一体化开发，构建步行优先区，就近设置便民服务与文化设施，强化枢纽片区产业集聚、功能复合与价值释放效能，推动枢纽流量转化为经济增量。实施宋家庄站等换乘改造，补建连通通道及电梯。完善</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区建企租</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模式，推动周庄子站、宋家庄南站等公交场站转型发展，促进交通节点与城市服务融合。</w:t>
      </w:r>
    </w:p>
    <w:p w14:paraId="3CD70DF5">
      <w:pPr>
        <w:widowControl/>
        <w:spacing w:line="240" w:lineRule="auto"/>
        <w:ind w:firstLine="0" w:firstLineChars="0"/>
        <w:rPr>
          <w:rFonts w:hint="eastAsia" w:ascii="仿宋_GB2312" w:hAnsi="仿宋" w:eastAsia="仿宋_GB2312"/>
          <w:sz w:val="30"/>
          <w:szCs w:val="30"/>
          <w:highlight w:val="none"/>
        </w:rPr>
      </w:pPr>
      <w:r>
        <w:rPr>
          <w:rFonts w:hint="eastAsia" w:ascii="仿宋_GB2312" w:hAnsi="仿宋" w:eastAsia="仿宋_GB2312"/>
          <w:sz w:val="30"/>
          <w:szCs w:val="30"/>
          <w:highlight w:val="none"/>
        </w:rPr>
        <w:br w:type="page"/>
      </w:r>
    </w:p>
    <w:p w14:paraId="3B53B2CE">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72" w:name="_Toc20235"/>
      <w:bookmarkStart w:id="73" w:name="_Toc291392470"/>
      <w:bookmarkStart w:id="74" w:name="_Toc24536"/>
      <w:r>
        <w:rPr>
          <w:rFonts w:hint="eastAsia" w:ascii="黑体" w:hAnsi="黑体"/>
          <w:b w:val="0"/>
          <w:spacing w:val="14"/>
          <w:sz w:val="30"/>
          <w:szCs w:val="30"/>
          <w:highlight w:val="none"/>
          <w:lang w:val="en-US" w:eastAsia="zh-CN"/>
        </w:rPr>
        <w:t>七、</w:t>
      </w:r>
      <w:r>
        <w:rPr>
          <w:rFonts w:hint="eastAsia" w:ascii="黑体" w:hAnsi="黑体"/>
          <w:b w:val="0"/>
          <w:spacing w:val="14"/>
          <w:sz w:val="30"/>
          <w:szCs w:val="30"/>
          <w:highlight w:val="none"/>
        </w:rPr>
        <w:t>提升交通服务品质，融合发展创新业态</w:t>
      </w:r>
      <w:bookmarkEnd w:id="72"/>
      <w:bookmarkEnd w:id="73"/>
      <w:bookmarkEnd w:id="74"/>
    </w:p>
    <w:p w14:paraId="2C187881">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针对公共交通与慢行系统服务品质仍需提升，传统物流模式效率偏低等问题，重点推进以下任务：</w:t>
      </w:r>
    </w:p>
    <w:p w14:paraId="09302109">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探索区域一体化出行，提升居民出行体验。</w:t>
      </w:r>
      <w:r>
        <w:rPr>
          <w:rFonts w:hint="eastAsia" w:ascii="仿宋_GB2312" w:hAnsi="仿宋" w:eastAsia="仿宋_GB2312"/>
          <w:sz w:val="30"/>
          <w:szCs w:val="30"/>
          <w:highlight w:val="none"/>
        </w:rPr>
        <w:t>以乘客出行链为核心，强化轨道交通、地面公交、慢行系统等不同方式间的功能互补与服务协同，提供全流程、门到门的出行解决方案。</w:t>
      </w:r>
    </w:p>
    <w:p w14:paraId="24DDAEC8">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探索城市网络货运，提升区域运行效能。</w:t>
      </w:r>
      <w:r>
        <w:rPr>
          <w:rFonts w:hint="eastAsia" w:ascii="仿宋_GB2312" w:hAnsi="仿宋" w:eastAsia="仿宋_GB2312"/>
          <w:sz w:val="30"/>
          <w:szCs w:val="30"/>
          <w:highlight w:val="none"/>
        </w:rPr>
        <w:t>围绕新发地等货流集散区探索“互联网+”物流模式，强化数据互联互通和智能调度功能，发展以互联网技术为支撑的车货匹配、供应链协同、仓储管理等服务模式。对接全市物流网规划建设，协同推进丰西编组站功能优化与外迁方案研究、大红门地区货运功能转型，完善货运通道与末端配送网络，提升区域物流组织效率。</w:t>
      </w:r>
    </w:p>
    <w:p w14:paraId="14396400">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深化交通与文旅融合，打造特色交通体验场景。</w:t>
      </w:r>
      <w:r>
        <w:rPr>
          <w:rFonts w:hint="eastAsia" w:ascii="仿宋_GB2312" w:hAnsi="仿宋" w:eastAsia="仿宋_GB2312"/>
          <w:sz w:val="30"/>
          <w:szCs w:val="30"/>
          <w:highlight w:val="none"/>
        </w:rPr>
        <w:t>围绕</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两园一河</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南中轴文化带、南苑森林湿地公园、长辛店老镇、北宫国家森林公园等核心文旅片区，优化沿线交通指引和旅游标识系统，打造旅游主题公交专线和景区直通车，衔接枢纽与景区，构建多层次文旅接驳服务网络。完善景区周边停车及换乘条件，强化慢行网络连接。建立交通与文旅部门常态化协同机制，推动客流数据共享与大客流应急联动。</w:t>
      </w:r>
    </w:p>
    <w:p w14:paraId="5812821C">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75" w:name="_Toc16234"/>
      <w:bookmarkStart w:id="76" w:name="_Toc1170528130"/>
      <w:bookmarkStart w:id="77" w:name="_Toc110"/>
      <w:r>
        <w:rPr>
          <w:rFonts w:hint="eastAsia" w:ascii="黑体" w:hAnsi="黑体"/>
          <w:b w:val="0"/>
          <w:spacing w:val="14"/>
          <w:sz w:val="30"/>
          <w:szCs w:val="30"/>
          <w:highlight w:val="none"/>
          <w:lang w:val="en-US" w:eastAsia="zh-CN"/>
        </w:rPr>
        <w:t>八、</w:t>
      </w:r>
      <w:r>
        <w:rPr>
          <w:rFonts w:hint="eastAsia" w:ascii="黑体" w:hAnsi="黑体"/>
          <w:b w:val="0"/>
          <w:spacing w:val="14"/>
          <w:sz w:val="30"/>
          <w:szCs w:val="30"/>
          <w:highlight w:val="none"/>
        </w:rPr>
        <w:t>强化数智技术赋能，打造智慧交通新引擎</w:t>
      </w:r>
      <w:bookmarkEnd w:id="75"/>
      <w:bookmarkEnd w:id="76"/>
      <w:bookmarkEnd w:id="77"/>
    </w:p>
    <w:p w14:paraId="750B5606">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针对高质量发展内驱力有待强化，智慧感知与智能决策治理框架尚未健全等问题，重点推进以下任务：</w:t>
      </w:r>
    </w:p>
    <w:p w14:paraId="7981ADC7">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推进新基建进程，筑牢数智交通基础。</w:t>
      </w:r>
      <w:r>
        <w:rPr>
          <w:rFonts w:hint="eastAsia" w:ascii="仿宋_GB2312" w:hAnsi="仿宋" w:eastAsia="仿宋_GB2312"/>
          <w:sz w:val="30"/>
          <w:szCs w:val="30"/>
          <w:highlight w:val="none"/>
        </w:rPr>
        <w:t>结合北京市新型基础设施建设进程，积极拓展丰台区数字交通计算和存储资源的配置，推动多类型交通信息传输网络的融合发展，促进新型数字化终端在丰台区的部署，持续推进丰台区人、车、设施、环境“全息感知”体系的建设进程。主动对接全市算力网、新一代通信网建设布局，推动交通感知数据接入区域算力资源体系，深化5G等新一代通信技术在交通领域的融合应用。</w:t>
      </w:r>
    </w:p>
    <w:p w14:paraId="15D8D780">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强化智慧交通大脑，推进行业一网统管。</w:t>
      </w:r>
      <w:r>
        <w:rPr>
          <w:rFonts w:hint="eastAsia" w:ascii="仿宋_GB2312" w:hAnsi="仿宋" w:eastAsia="仿宋_GB2312"/>
          <w:sz w:val="30"/>
          <w:szCs w:val="30"/>
          <w:highlight w:val="none"/>
        </w:rPr>
        <w:t>协助市智慧交通大脑统一部署，汇集聚区各项交通数据，推进人工智能与行业治理融合，提升道路智慧信控水平。梳理全区业务流程，布局一体化管理体系，覆盖建设养护、综合治理、交通服务、指挥应急及特色示范，推进</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一网统管</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格局，提升跨部门协同治理能力。</w:t>
      </w:r>
    </w:p>
    <w:p w14:paraId="6C36DBD4">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助力自动驾驶发展，拓展交通服务模式。</w:t>
      </w:r>
      <w:r>
        <w:rPr>
          <w:rFonts w:hint="eastAsia" w:ascii="仿宋_GB2312" w:hAnsi="仿宋" w:eastAsia="仿宋_GB2312"/>
          <w:sz w:val="30"/>
          <w:szCs w:val="30"/>
          <w:highlight w:val="none"/>
        </w:rPr>
        <w:t>参与全市自动驾驶商业化应用探索，配合</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双智</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城市建设推进路侧硬件布局，提升感知能力。推进北京南站等区域自动驾驶接驳试点，开展技术验证与模式创新，建立安全保障体系。统筹出租车、租赁汽车、无人配送等领域应用，稳妥推进多场景试点。强化跨部门协同，探索可持续商业化路径，提升服务可靠性。</w:t>
      </w:r>
    </w:p>
    <w:p w14:paraId="4AEFFF69">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78" w:name="_Toc2839"/>
      <w:bookmarkStart w:id="79" w:name="_Toc24163"/>
      <w:bookmarkStart w:id="80" w:name="_Toc2116074390"/>
      <w:r>
        <w:rPr>
          <w:rFonts w:hint="eastAsia" w:ascii="黑体" w:hAnsi="黑体"/>
          <w:b w:val="0"/>
          <w:spacing w:val="14"/>
          <w:sz w:val="30"/>
          <w:szCs w:val="30"/>
          <w:highlight w:val="none"/>
          <w:lang w:val="en-US" w:eastAsia="zh-CN"/>
        </w:rPr>
        <w:t>九、</w:t>
      </w:r>
      <w:r>
        <w:rPr>
          <w:rFonts w:hint="eastAsia" w:ascii="黑体" w:hAnsi="黑体"/>
          <w:b w:val="0"/>
          <w:spacing w:val="14"/>
          <w:sz w:val="30"/>
          <w:szCs w:val="30"/>
          <w:highlight w:val="none"/>
        </w:rPr>
        <w:t>深化安全绿色发展，打造韧性可持续交通</w:t>
      </w:r>
      <w:bookmarkEnd w:id="78"/>
      <w:bookmarkEnd w:id="79"/>
      <w:bookmarkEnd w:id="80"/>
    </w:p>
    <w:p w14:paraId="68C46A24">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针对绿色低碳转型长效机制不健全，交通安全风险预警与应急响应能力有待加强等问题，重点推进以下任务：</w:t>
      </w:r>
    </w:p>
    <w:p w14:paraId="2F3DE774">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提升安全监管水平，强化应急保障能力。</w:t>
      </w:r>
      <w:r>
        <w:rPr>
          <w:rFonts w:hint="eastAsia" w:ascii="仿宋_GB2312" w:hAnsi="仿宋" w:eastAsia="仿宋_GB2312"/>
          <w:sz w:val="30"/>
          <w:szCs w:val="30"/>
          <w:highlight w:val="none"/>
        </w:rPr>
        <w:t>落实行业安全监管责任，压实企业主体责任，加强应急物资储备及调用补偿机制。健全重大活动交通协同保障机制，全面提升交通系统安全韧性。</w:t>
      </w:r>
    </w:p>
    <w:p w14:paraId="68D164B6">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加强移动源头治理，精准管控污染排放。</w:t>
      </w:r>
      <w:r>
        <w:rPr>
          <w:rFonts w:hint="eastAsia" w:ascii="仿宋_GB2312" w:hAnsi="仿宋" w:eastAsia="仿宋_GB2312"/>
          <w:sz w:val="30"/>
          <w:szCs w:val="30"/>
          <w:highlight w:val="none"/>
        </w:rPr>
        <w:t>聚焦重点行业区域，落实挥发性有机物治理、运输结构调整、绿色货运提升、扬尘精细化管理，降低移动源排放。分阶段探索低排放区管控，形成分级管理格局。</w:t>
      </w:r>
    </w:p>
    <w:p w14:paraId="74264B43">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推进道路绿色建养，高效引领生态赋能。</w:t>
      </w:r>
      <w:r>
        <w:rPr>
          <w:rFonts w:hint="eastAsia" w:ascii="仿宋_GB2312" w:hAnsi="仿宋" w:eastAsia="仿宋_GB2312"/>
          <w:sz w:val="30"/>
          <w:szCs w:val="30"/>
          <w:highlight w:val="none"/>
        </w:rPr>
        <w:t>推广温拌沥青等低碳材料及建筑垃圾再生料，降低建设能耗。养护环节发展低碳施工和清洁能源装备，提升路面旧料再生利用率与再生沥青耐久性，实现全生命周期绿色化。</w:t>
      </w:r>
    </w:p>
    <w:p w14:paraId="04E004CC">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81" w:name="_Toc23306"/>
      <w:bookmarkStart w:id="82" w:name="_Toc385594763"/>
      <w:bookmarkStart w:id="83" w:name="_Toc3689"/>
      <w:r>
        <w:rPr>
          <w:rFonts w:hint="eastAsia" w:ascii="黑体" w:hAnsi="黑体"/>
          <w:b w:val="0"/>
          <w:spacing w:val="14"/>
          <w:sz w:val="30"/>
          <w:szCs w:val="30"/>
          <w:highlight w:val="none"/>
          <w:lang w:val="en-US" w:eastAsia="zh-CN"/>
        </w:rPr>
        <w:t>十、</w:t>
      </w:r>
      <w:r>
        <w:rPr>
          <w:rFonts w:hint="eastAsia" w:ascii="黑体" w:hAnsi="黑体"/>
          <w:b w:val="0"/>
          <w:spacing w:val="14"/>
          <w:sz w:val="30"/>
          <w:szCs w:val="30"/>
          <w:highlight w:val="none"/>
        </w:rPr>
        <w:t>创新行业治理模式，建强现代治理体系</w:t>
      </w:r>
      <w:bookmarkEnd w:id="81"/>
      <w:bookmarkEnd w:id="82"/>
      <w:bookmarkEnd w:id="83"/>
    </w:p>
    <w:p w14:paraId="1489F5E4">
      <w:pPr>
        <w:widowControl/>
        <w:tabs>
          <w:tab w:val="left" w:pos="720"/>
        </w:tabs>
        <w:spacing w:line="360" w:lineRule="auto"/>
        <w:ind w:firstLine="600" w:firstLineChars="200"/>
        <w:rPr>
          <w:rFonts w:hint="default" w:ascii="仿宋_GB2312" w:hAnsi="仿宋" w:eastAsia="仿宋_GB2312"/>
          <w:b w:val="0"/>
          <w:bCs w:val="0"/>
          <w:sz w:val="30"/>
          <w:szCs w:val="30"/>
          <w:highlight w:val="none"/>
          <w:lang w:val="en-US" w:eastAsia="zh-CN"/>
        </w:rPr>
      </w:pPr>
      <w:r>
        <w:rPr>
          <w:rFonts w:hint="eastAsia" w:ascii="仿宋_GB2312" w:hAnsi="仿宋" w:eastAsia="仿宋_GB2312"/>
          <w:b w:val="0"/>
          <w:bCs w:val="0"/>
          <w:sz w:val="30"/>
          <w:szCs w:val="30"/>
          <w:highlight w:val="none"/>
          <w:lang w:val="en-US" w:eastAsia="zh-CN"/>
        </w:rPr>
        <w:t>针对高质量发展内驱力有待强化，跨部门信息平台整合深度不足，行业协同治理效能亟待提高等问题，重点推进以下任务：</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5CA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046B17CD">
            <w:pPr>
              <w:keepNext w:val="0"/>
              <w:keepLines w:val="0"/>
              <w:widowControl/>
              <w:suppressLineNumbers w:val="0"/>
              <w:spacing w:before="0" w:beforeAutospacing="0" w:after="0" w:afterAutospacing="0"/>
              <w:ind w:left="0" w:right="0"/>
              <w:jc w:val="center"/>
              <w:rPr>
                <w:rFonts w:hint="eastAsia" w:ascii="仿宋_GB2312" w:hAnsi="仿宋" w:eastAsia="仿宋_GB2312"/>
                <w:sz w:val="32"/>
                <w:szCs w:val="32"/>
                <w:highlight w:val="none"/>
                <w:vertAlign w:val="baseline"/>
              </w:rPr>
            </w:pPr>
            <w:r>
              <w:rPr>
                <w:rFonts w:hint="default" w:ascii="楷体" w:hAnsi="楷体" w:eastAsia="楷体" w:cs="楷体"/>
                <w:b/>
                <w:bCs/>
                <w:color w:val="000000"/>
                <w:kern w:val="0"/>
                <w:sz w:val="28"/>
                <w:szCs w:val="28"/>
                <w:highlight w:val="none"/>
                <w:lang w:val="en-US" w:eastAsia="zh-CN" w:bidi="ar"/>
              </w:rPr>
              <w:t>专栏</w:t>
            </w:r>
            <w:r>
              <w:rPr>
                <w:rFonts w:hint="eastAsia" w:ascii="楷体" w:hAnsi="楷体" w:eastAsia="楷体" w:cs="楷体"/>
                <w:b/>
                <w:bCs/>
                <w:color w:val="000000"/>
                <w:kern w:val="0"/>
                <w:sz w:val="28"/>
                <w:szCs w:val="28"/>
                <w:highlight w:val="none"/>
                <w:lang w:val="en-US" w:eastAsia="zh-CN" w:bidi="ar"/>
              </w:rPr>
              <w:t>9：</w:t>
            </w:r>
            <w:r>
              <w:rPr>
                <w:rFonts w:hint="default" w:ascii="楷体" w:hAnsi="楷体" w:eastAsia="楷体" w:cs="楷体"/>
                <w:b/>
                <w:bCs/>
                <w:color w:val="000000"/>
                <w:kern w:val="0"/>
                <w:sz w:val="28"/>
                <w:szCs w:val="28"/>
                <w:highlight w:val="none"/>
                <w:lang w:val="en-US" w:eastAsia="zh-CN" w:bidi="ar"/>
              </w:rPr>
              <w:t>深化重点领域和关键环节改革重点任务</w:t>
            </w:r>
          </w:p>
        </w:tc>
      </w:tr>
      <w:tr w14:paraId="30DF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361D5B0">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推进投融资体制改革：</w:t>
            </w:r>
            <w:r>
              <w:rPr>
                <w:rFonts w:hint="eastAsia" w:ascii="仿宋_GB2312" w:hAnsi="仿宋_GB2312" w:eastAsia="仿宋_GB2312" w:cs="仿宋_GB2312"/>
                <w:color w:val="000000"/>
                <w:kern w:val="0"/>
                <w:sz w:val="28"/>
                <w:szCs w:val="28"/>
                <w:highlight w:val="none"/>
                <w:lang w:bidi="ar"/>
              </w:rPr>
              <w:t>健全多元化投融资机制，统筹运用政策工具，依法依规吸引社会资本、保险资金及金融机构资管产品参与交通基础设施建设。完善重大交通项目国有企业考核评价体系，充分调动市场主体积极性。</w:t>
            </w:r>
          </w:p>
        </w:tc>
      </w:tr>
      <w:tr w14:paraId="3AEC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569D5D">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深化交通领域审批改革：</w:t>
            </w:r>
            <w:r>
              <w:rPr>
                <w:rFonts w:hint="eastAsia" w:ascii="仿宋_GB2312" w:hAnsi="仿宋_GB2312" w:eastAsia="仿宋_GB2312" w:cs="仿宋_GB2312"/>
                <w:color w:val="000000"/>
                <w:kern w:val="0"/>
                <w:sz w:val="28"/>
                <w:szCs w:val="28"/>
                <w:highlight w:val="none"/>
                <w:lang w:bidi="ar"/>
              </w:rPr>
              <w:t>全面推行市政接入工程并联审批和“非禁免批”，符合“三零”服务或“非禁免批”范围的，免予规划、施工、占用挖掘城市道路许可；其余事项实行并联审批，推动民生交通项目加快落地。</w:t>
            </w:r>
          </w:p>
        </w:tc>
      </w:tr>
      <w:tr w14:paraId="4C3E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3879AE0">
            <w:pPr>
              <w:keepNext w:val="0"/>
              <w:keepLines w:val="0"/>
              <w:widowControl/>
              <w:suppressLineNumbers w:val="0"/>
              <w:spacing w:before="0" w:beforeAutospacing="0" w:after="0" w:afterAutospacing="0"/>
              <w:ind w:left="0" w:right="0" w:firstLine="560" w:firstLineChars="200"/>
              <w:jc w:val="left"/>
              <w:rPr>
                <w:rFonts w:hint="eastAsia" w:ascii="仿宋_GB2312" w:hAnsi="仿宋_GB2312" w:eastAsia="仿宋_GB2312" w:cs="仿宋_GB2312"/>
                <w:sz w:val="32"/>
                <w:szCs w:val="32"/>
                <w:highlight w:val="none"/>
                <w:vertAlign w:val="baseline"/>
              </w:rPr>
            </w:pPr>
            <w:r>
              <w:rPr>
                <w:rFonts w:hint="eastAsia" w:ascii="仿宋_GB2312" w:hAnsi="仿宋_GB2312" w:eastAsia="仿宋_GB2312" w:cs="仿宋_GB2312"/>
                <w:color w:val="000000"/>
                <w:kern w:val="0"/>
                <w:sz w:val="28"/>
                <w:szCs w:val="28"/>
                <w:highlight w:val="none"/>
                <w:lang w:val="en-US" w:eastAsia="zh-CN" w:bidi="ar"/>
              </w:rPr>
              <w:t>深化全周期监管机制：</w:t>
            </w:r>
            <w:r>
              <w:rPr>
                <w:rFonts w:hint="eastAsia" w:ascii="仿宋_GB2312" w:hAnsi="仿宋_GB2312" w:eastAsia="仿宋_GB2312" w:cs="仿宋_GB2312"/>
                <w:color w:val="000000"/>
                <w:kern w:val="0"/>
                <w:sz w:val="28"/>
                <w:szCs w:val="28"/>
                <w:highlight w:val="none"/>
                <w:lang w:bidi="ar"/>
              </w:rPr>
              <w:t>构建施工前、施工中、施工后全链条监管体系。施工前强化方案论证与安全文明施工专项审查，严控施工对交通运行、居民生活的影响；施工中实行动态巡查与分级整改机制，快速处置问题隐患；施工后落实“验收—回访”闭环管理，严格道路修复质量检测，保障工程质量与通行安全。</w:t>
            </w:r>
          </w:p>
        </w:tc>
      </w:tr>
    </w:tbl>
    <w:p w14:paraId="184733B8">
      <w:pPr>
        <w:widowControl/>
        <w:tabs>
          <w:tab w:val="left" w:pos="720"/>
        </w:tabs>
        <w:spacing w:line="360" w:lineRule="auto"/>
        <w:ind w:firstLine="602" w:firstLineChars="200"/>
        <w:rPr>
          <w:rFonts w:hint="eastAsia" w:ascii="仿宋_GB2312" w:hAnsi="仿宋" w:eastAsia="仿宋_GB2312"/>
          <w:sz w:val="30"/>
          <w:szCs w:val="30"/>
          <w:highlight w:val="none"/>
        </w:rPr>
      </w:pPr>
      <w:r>
        <w:rPr>
          <w:rFonts w:hint="eastAsia" w:ascii="仿宋_GB2312" w:hAnsi="仿宋" w:eastAsia="仿宋_GB2312"/>
          <w:b/>
          <w:bCs/>
          <w:sz w:val="30"/>
          <w:szCs w:val="30"/>
          <w:highlight w:val="none"/>
        </w:rPr>
        <w:t>推动多方协同共治，优化交通综合治理。</w:t>
      </w:r>
      <w:r>
        <w:rPr>
          <w:rFonts w:hint="eastAsia" w:ascii="仿宋_GB2312" w:hAnsi="仿宋" w:eastAsia="仿宋_GB2312"/>
          <w:sz w:val="30"/>
          <w:szCs w:val="30"/>
          <w:highlight w:val="none"/>
        </w:rPr>
        <w:t>聚焦</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接诉即办</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高频问题推动未诉先办，压实基层与运营企业责任。强化规划、建设、管理、执法跨部门协作。构建</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政府主导、行业协同、公众参与</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共治体系，健全信息公开与决策机制，搭建参与平台，畅通公众建言渠道，实现社会协同共治</w:t>
      </w:r>
      <w:r>
        <w:rPr>
          <w:rFonts w:hint="eastAsia" w:ascii="仿宋_GB2312" w:hAnsi="仿宋" w:eastAsia="仿宋_GB2312"/>
          <w:sz w:val="30"/>
          <w:szCs w:val="30"/>
          <w:highlight w:val="none"/>
          <w:lang w:eastAsia="zh-CN"/>
        </w:rPr>
        <w:t>。</w:t>
      </w:r>
    </w:p>
    <w:p w14:paraId="2124C5BA">
      <w:pPr>
        <w:widowControl/>
        <w:tabs>
          <w:tab w:val="left" w:pos="720"/>
        </w:tabs>
        <w:spacing w:line="360" w:lineRule="auto"/>
        <w:ind w:firstLine="602" w:firstLineChars="200"/>
        <w:rPr>
          <w:rFonts w:hint="default" w:ascii="仿宋_GB2312" w:hAnsi="仿宋" w:eastAsia="仿宋_GB2312"/>
          <w:sz w:val="30"/>
          <w:szCs w:val="30"/>
          <w:highlight w:val="none"/>
          <w:lang w:val="en-US" w:eastAsia="zh-CN"/>
        </w:rPr>
      </w:pPr>
      <w:r>
        <w:rPr>
          <w:rFonts w:hint="eastAsia" w:ascii="仿宋_GB2312" w:hAnsi="仿宋" w:eastAsia="仿宋_GB2312"/>
          <w:b/>
          <w:bCs/>
          <w:sz w:val="30"/>
          <w:szCs w:val="30"/>
          <w:highlight w:val="none"/>
        </w:rPr>
        <w:t>强化人才引领驱动，赋能行业治理</w:t>
      </w:r>
      <w:r>
        <w:rPr>
          <w:rFonts w:hint="eastAsia" w:ascii="仿宋_GB2312" w:hAnsi="仿宋" w:eastAsia="仿宋_GB2312"/>
          <w:b/>
          <w:bCs/>
          <w:sz w:val="30"/>
          <w:szCs w:val="30"/>
          <w:highlight w:val="none"/>
          <w:lang w:val="en-US" w:eastAsia="zh-CN"/>
        </w:rPr>
        <w:t>高质量</w:t>
      </w:r>
      <w:r>
        <w:rPr>
          <w:rFonts w:hint="eastAsia" w:ascii="仿宋_GB2312" w:hAnsi="仿宋" w:eastAsia="仿宋_GB2312"/>
          <w:b/>
          <w:bCs/>
          <w:sz w:val="30"/>
          <w:szCs w:val="30"/>
          <w:highlight w:val="none"/>
        </w:rPr>
        <w:t>发展。</w:t>
      </w:r>
      <w:r>
        <w:rPr>
          <w:rFonts w:hint="eastAsia" w:ascii="仿宋_GB2312" w:hAnsi="仿宋" w:eastAsia="仿宋_GB2312"/>
          <w:sz w:val="30"/>
          <w:szCs w:val="30"/>
          <w:highlight w:val="none"/>
        </w:rPr>
        <w:t>推进道路交通规划发展研究院实体运营，立足行业系统研究，深化政</w:t>
      </w:r>
      <w:r>
        <w:rPr>
          <w:rFonts w:hint="eastAsia" w:ascii="仿宋_GB2312" w:hAnsi="仿宋" w:eastAsia="仿宋_GB2312"/>
          <w:sz w:val="30"/>
          <w:szCs w:val="30"/>
          <w:highlight w:val="none"/>
          <w:lang w:eastAsia="zh-CN"/>
        </w:rPr>
        <w:t>产学研深度融合</w:t>
      </w:r>
      <w:r>
        <w:rPr>
          <w:rFonts w:hint="eastAsia" w:ascii="仿宋_GB2312" w:hAnsi="仿宋" w:eastAsia="仿宋_GB2312"/>
          <w:sz w:val="30"/>
          <w:szCs w:val="30"/>
          <w:highlight w:val="none"/>
        </w:rPr>
        <w:t>，聚焦智慧交通、绿色低碳等关键技术领域开展攻关，培育复合型专业人才，孵化交通领域创新产业；围绕全区交通规划编制、重大项目论证、产业政策制定等工作，提供科学性研判、优先级排序的专业咨询与决策支撑。健全人才分类评价激励机制，做强区属交通建设养护企业，全面提升路网建设、运维管理专业化能力。</w:t>
      </w:r>
    </w:p>
    <w:p w14:paraId="786F7C31">
      <w:pPr>
        <w:pStyle w:val="16"/>
        <w:keepNext w:val="0"/>
        <w:keepLines w:val="0"/>
        <w:spacing w:before="0" w:beforeLines="0" w:line="360" w:lineRule="auto"/>
        <w:jc w:val="center"/>
        <w:rPr>
          <w:rFonts w:hint="eastAsia" w:ascii="方正小标宋简体" w:hAnsi="仿宋" w:eastAsia="方正小标宋简体"/>
          <w:b w:val="0"/>
          <w:bCs w:val="0"/>
          <w:spacing w:val="14"/>
          <w:sz w:val="44"/>
          <w:szCs w:val="44"/>
          <w:highlight w:val="none"/>
          <w:lang w:val="en-US" w:eastAsia="zh-CN"/>
        </w:rPr>
        <w:sectPr>
          <w:pgSz w:w="11906" w:h="16838"/>
          <w:pgMar w:top="1440" w:right="1800" w:bottom="1440" w:left="1800" w:header="851" w:footer="992" w:gutter="0"/>
          <w:cols w:space="425" w:num="1"/>
          <w:docGrid w:type="lines" w:linePitch="312" w:charSpace="0"/>
        </w:sectPr>
      </w:pPr>
      <w:bookmarkStart w:id="84" w:name="_Toc15323"/>
      <w:bookmarkStart w:id="85" w:name="_Toc1733018742"/>
      <w:bookmarkStart w:id="86" w:name="_Toc32760"/>
    </w:p>
    <w:p w14:paraId="0A6B1E5C">
      <w:pPr>
        <w:pStyle w:val="16"/>
        <w:keepNext w:val="0"/>
        <w:keepLines w:val="0"/>
        <w:spacing w:before="0" w:beforeLines="0" w:line="360" w:lineRule="auto"/>
        <w:jc w:val="center"/>
        <w:rPr>
          <w:rFonts w:hint="eastAsia" w:ascii="方正小标宋简体" w:hAnsi="仿宋" w:eastAsia="方正小标宋简体"/>
          <w:b w:val="0"/>
          <w:bCs w:val="0"/>
          <w:spacing w:val="14"/>
          <w:sz w:val="44"/>
          <w:szCs w:val="44"/>
          <w:highlight w:val="none"/>
        </w:rPr>
      </w:pPr>
      <w:r>
        <w:rPr>
          <w:rFonts w:hint="eastAsia" w:ascii="方正小标宋简体" w:hAnsi="仿宋" w:eastAsia="方正小标宋简体"/>
          <w:b w:val="0"/>
          <w:bCs w:val="0"/>
          <w:spacing w:val="14"/>
          <w:sz w:val="44"/>
          <w:szCs w:val="44"/>
          <w:highlight w:val="none"/>
          <w:lang w:val="en-US" w:eastAsia="zh-CN"/>
        </w:rPr>
        <w:t xml:space="preserve">第四章 </w:t>
      </w:r>
      <w:r>
        <w:rPr>
          <w:rFonts w:hint="eastAsia" w:ascii="方正小标宋简体" w:hAnsi="仿宋" w:eastAsia="方正小标宋简体"/>
          <w:b w:val="0"/>
          <w:bCs w:val="0"/>
          <w:spacing w:val="14"/>
          <w:sz w:val="44"/>
          <w:szCs w:val="44"/>
          <w:highlight w:val="none"/>
        </w:rPr>
        <w:t>保障措施</w:t>
      </w:r>
      <w:bookmarkEnd w:id="84"/>
      <w:bookmarkEnd w:id="85"/>
      <w:bookmarkEnd w:id="86"/>
    </w:p>
    <w:p w14:paraId="4A785D81">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87" w:name="_Toc209544422"/>
      <w:bookmarkStart w:id="88" w:name="_Toc525292533"/>
      <w:bookmarkStart w:id="89" w:name="_Toc1568"/>
      <w:bookmarkStart w:id="90" w:name="_Toc27925"/>
      <w:r>
        <w:rPr>
          <w:rFonts w:hint="eastAsia" w:ascii="黑体" w:hAnsi="黑体"/>
          <w:b w:val="0"/>
          <w:spacing w:val="14"/>
          <w:sz w:val="30"/>
          <w:szCs w:val="30"/>
          <w:highlight w:val="none"/>
          <w:lang w:val="en-US" w:eastAsia="zh-CN"/>
        </w:rPr>
        <w:t>一、</w:t>
      </w:r>
      <w:r>
        <w:rPr>
          <w:rFonts w:hint="eastAsia" w:ascii="黑体" w:hAnsi="黑体"/>
          <w:b w:val="0"/>
          <w:spacing w:val="14"/>
          <w:sz w:val="30"/>
          <w:szCs w:val="30"/>
          <w:highlight w:val="none"/>
        </w:rPr>
        <w:t>建强综合统筹机制</w:t>
      </w:r>
      <w:bookmarkEnd w:id="87"/>
      <w:bookmarkEnd w:id="88"/>
      <w:bookmarkEnd w:id="89"/>
      <w:bookmarkEnd w:id="90"/>
    </w:p>
    <w:p w14:paraId="06A7EC8B">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坚持</w:t>
      </w:r>
      <w:r>
        <w:rPr>
          <w:rFonts w:hint="eastAsia" w:ascii="仿宋_GB2312" w:hAnsi="仿宋" w:eastAsia="仿宋_GB2312"/>
          <w:sz w:val="30"/>
          <w:szCs w:val="30"/>
          <w:highlight w:val="none"/>
        </w:rPr>
        <w:t>党的领导，发挥各级党组织在</w:t>
      </w:r>
      <w:r>
        <w:rPr>
          <w:rFonts w:hint="eastAsia" w:ascii="仿宋_GB2312" w:hAnsi="仿宋" w:eastAsia="仿宋_GB2312"/>
          <w:sz w:val="30"/>
          <w:szCs w:val="30"/>
          <w:highlight w:val="none"/>
          <w:lang w:eastAsia="zh-CN"/>
        </w:rPr>
        <w:t>“十五五”</w:t>
      </w:r>
      <w:r>
        <w:rPr>
          <w:rFonts w:hint="eastAsia" w:ascii="仿宋_GB2312" w:hAnsi="仿宋" w:eastAsia="仿宋_GB2312"/>
          <w:sz w:val="30"/>
          <w:szCs w:val="30"/>
          <w:highlight w:val="none"/>
        </w:rPr>
        <w:t>交通发展中的引领作用。由丰台区城市管理委员会（交通委员会）牵头，联合各单位建立规划实施工作专班，强化与市级部门联动，完善资金土地统筹机制。建立台账管理制度，将重点任务纳入交通综合治理年度框架，明确责任主体和时间节点。</w:t>
      </w:r>
    </w:p>
    <w:p w14:paraId="732A3954">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91" w:name="_Toc1303"/>
      <w:bookmarkStart w:id="92" w:name="_Toc19535"/>
      <w:bookmarkStart w:id="93" w:name="_Toc286329314"/>
      <w:bookmarkStart w:id="94" w:name="_Toc209544423"/>
      <w:r>
        <w:rPr>
          <w:rFonts w:hint="eastAsia" w:ascii="黑体" w:hAnsi="黑体"/>
          <w:b w:val="0"/>
          <w:spacing w:val="14"/>
          <w:sz w:val="30"/>
          <w:szCs w:val="30"/>
          <w:highlight w:val="none"/>
          <w:lang w:val="en-US" w:eastAsia="zh-CN"/>
        </w:rPr>
        <w:t>二、</w:t>
      </w:r>
      <w:r>
        <w:rPr>
          <w:rFonts w:hint="eastAsia" w:ascii="黑体" w:hAnsi="黑体"/>
          <w:b w:val="0"/>
          <w:spacing w:val="14"/>
          <w:sz w:val="30"/>
          <w:szCs w:val="30"/>
          <w:highlight w:val="none"/>
        </w:rPr>
        <w:t>落实资金资源保障</w:t>
      </w:r>
      <w:bookmarkEnd w:id="91"/>
      <w:bookmarkEnd w:id="92"/>
      <w:bookmarkEnd w:id="93"/>
      <w:bookmarkEnd w:id="94"/>
    </w:p>
    <w:p w14:paraId="5EEB03E7">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积极争取</w:t>
      </w:r>
      <w:r>
        <w:rPr>
          <w:rFonts w:hint="eastAsia" w:ascii="仿宋_GB2312" w:hAnsi="仿宋" w:eastAsia="仿宋_GB2312"/>
          <w:sz w:val="30"/>
          <w:szCs w:val="30"/>
          <w:highlight w:val="none"/>
          <w:lang w:val="en-US" w:eastAsia="zh-CN"/>
        </w:rPr>
        <w:t>中央及</w:t>
      </w:r>
      <w:r>
        <w:rPr>
          <w:rFonts w:hint="eastAsia" w:ascii="仿宋_GB2312" w:hAnsi="仿宋" w:eastAsia="仿宋_GB2312"/>
          <w:sz w:val="30"/>
          <w:szCs w:val="30"/>
          <w:highlight w:val="none"/>
        </w:rPr>
        <w:t>市级财政资金和专项债支持，针对站城一体化、智慧交通等经营性项目推广多元化融资，吸引社会资本参与。坚持</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要素跟着项目走</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，优先保障绿色出行用地，鼓励枢纽场站综合开发。</w:t>
      </w:r>
    </w:p>
    <w:p w14:paraId="79019AAB">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95" w:name="_Toc17163"/>
      <w:bookmarkStart w:id="96" w:name="_Toc1973411118"/>
      <w:bookmarkStart w:id="97" w:name="_Toc209544424"/>
      <w:bookmarkStart w:id="98" w:name="_Toc14109"/>
      <w:r>
        <w:rPr>
          <w:rFonts w:hint="eastAsia" w:ascii="黑体" w:hAnsi="黑体"/>
          <w:b w:val="0"/>
          <w:spacing w:val="14"/>
          <w:sz w:val="30"/>
          <w:szCs w:val="30"/>
          <w:highlight w:val="none"/>
          <w:lang w:val="en-US" w:eastAsia="zh-CN"/>
        </w:rPr>
        <w:t>三、</w:t>
      </w:r>
      <w:r>
        <w:rPr>
          <w:rFonts w:hint="eastAsia" w:ascii="黑体" w:hAnsi="黑体"/>
          <w:b w:val="0"/>
          <w:spacing w:val="14"/>
          <w:sz w:val="30"/>
          <w:szCs w:val="30"/>
          <w:highlight w:val="none"/>
        </w:rPr>
        <w:t>强化多元主体协作</w:t>
      </w:r>
      <w:bookmarkEnd w:id="95"/>
      <w:bookmarkEnd w:id="96"/>
      <w:bookmarkEnd w:id="97"/>
      <w:bookmarkEnd w:id="98"/>
    </w:p>
    <w:p w14:paraId="43CBBED3">
      <w:pPr>
        <w:widowControl/>
        <w:tabs>
          <w:tab w:val="left" w:pos="720"/>
        </w:tabs>
        <w:spacing w:line="360" w:lineRule="auto"/>
        <w:ind w:firstLine="600" w:firstLineChars="200"/>
        <w:rPr>
          <w:rFonts w:hint="eastAsia" w:ascii="仿宋_GB2312" w:hAnsi="仿宋" w:eastAsia="仿宋_GB2312"/>
          <w:sz w:val="30"/>
          <w:szCs w:val="30"/>
          <w:highlight w:val="none"/>
        </w:rPr>
      </w:pPr>
      <w:r>
        <w:rPr>
          <w:rFonts w:hint="eastAsia" w:ascii="仿宋_GB2312" w:hAnsi="仿宋" w:eastAsia="仿宋_GB2312"/>
          <w:sz w:val="30"/>
          <w:szCs w:val="30"/>
          <w:highlight w:val="none"/>
        </w:rPr>
        <w:t>发挥政府主导作用，激发市场活力，鼓励多元资本参与交通投资运营</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建立与央企、国企及相关职能部门的常态化沟通机制，深化区域交通协同协作。出台激励政策支持共享停车、智慧物流、自动驾驶等业态发展。</w:t>
      </w:r>
    </w:p>
    <w:p w14:paraId="007616A5">
      <w:pPr>
        <w:pStyle w:val="17"/>
        <w:keepNext w:val="0"/>
        <w:keepLines w:val="0"/>
        <w:spacing w:before="0" w:beforeLines="0" w:beforeAutospacing="0" w:after="0" w:afterAutospacing="0" w:line="360" w:lineRule="auto"/>
        <w:ind w:firstLine="0" w:firstLineChars="0"/>
        <w:jc w:val="left"/>
        <w:rPr>
          <w:rFonts w:hint="eastAsia" w:ascii="黑体" w:hAnsi="黑体"/>
          <w:b w:val="0"/>
          <w:spacing w:val="14"/>
          <w:sz w:val="30"/>
          <w:szCs w:val="30"/>
          <w:highlight w:val="none"/>
        </w:rPr>
      </w:pPr>
      <w:bookmarkStart w:id="99" w:name="_Toc7185"/>
      <w:bookmarkStart w:id="100" w:name="_Toc10417"/>
      <w:bookmarkStart w:id="101" w:name="_Toc1383215958"/>
      <w:bookmarkStart w:id="102" w:name="_Toc209544425"/>
      <w:r>
        <w:rPr>
          <w:rFonts w:hint="eastAsia" w:ascii="黑体" w:hAnsi="黑体"/>
          <w:b w:val="0"/>
          <w:spacing w:val="14"/>
          <w:sz w:val="30"/>
          <w:szCs w:val="30"/>
          <w:highlight w:val="none"/>
          <w:lang w:val="en-US" w:eastAsia="zh-CN"/>
        </w:rPr>
        <w:t>四、</w:t>
      </w:r>
      <w:r>
        <w:rPr>
          <w:rFonts w:hint="eastAsia" w:ascii="黑体" w:hAnsi="黑体"/>
          <w:b w:val="0"/>
          <w:spacing w:val="14"/>
          <w:sz w:val="30"/>
          <w:szCs w:val="30"/>
          <w:highlight w:val="none"/>
        </w:rPr>
        <w:t>持续动态监督评价</w:t>
      </w:r>
      <w:bookmarkEnd w:id="99"/>
      <w:bookmarkEnd w:id="100"/>
      <w:bookmarkEnd w:id="101"/>
      <w:bookmarkEnd w:id="102"/>
    </w:p>
    <w:p w14:paraId="45AD9305">
      <w:pPr>
        <w:widowControl/>
        <w:tabs>
          <w:tab w:val="left" w:pos="720"/>
        </w:tabs>
        <w:spacing w:line="360" w:lineRule="auto"/>
        <w:ind w:firstLine="600" w:firstLineChars="200"/>
        <w:rPr>
          <w:highlight w:val="none"/>
        </w:rPr>
      </w:pPr>
      <w:r>
        <w:rPr>
          <w:rFonts w:hint="eastAsia" w:ascii="仿宋_GB2312" w:hAnsi="仿宋" w:eastAsia="仿宋_GB2312"/>
          <w:sz w:val="30"/>
          <w:szCs w:val="30"/>
          <w:highlight w:val="none"/>
        </w:rPr>
        <w:t>构建统计监测指标体系，引入第三方机构开展年度监测和中期评估，将评估结果与绩效考核挂钩。建立规划动态调整机制，畅通12345热线和满意度调查等公众参与渠道，将群众获得感作为衡量实施成效的重要标准</w:t>
      </w:r>
      <w:r>
        <w:rPr>
          <w:rFonts w:hint="eastAsia" w:ascii="仿宋_GB2312" w:hAnsi="仿宋" w:eastAsia="仿宋_GB2312"/>
          <w:sz w:val="30"/>
          <w:szCs w:val="30"/>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E55289-39CE-4428-B5BA-AFF319E38A4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BE2B067-64A1-4FBB-8819-9E7A810229C2}"/>
  </w:font>
  <w:font w:name="仿宋_GB2312">
    <w:panose1 w:val="02010609030101010101"/>
    <w:charset w:val="86"/>
    <w:family w:val="modern"/>
    <w:pitch w:val="default"/>
    <w:sig w:usb0="00000001" w:usb1="080E0000" w:usb2="00000000" w:usb3="00000000" w:csb0="00040000" w:csb1="00000000"/>
    <w:embedRegular r:id="rId3" w:fontKey="{99B7890E-8966-4323-AC09-043ECCF12857}"/>
  </w:font>
  <w:font w:name="楷体">
    <w:panose1 w:val="02010609060101010101"/>
    <w:charset w:val="86"/>
    <w:family w:val="modern"/>
    <w:pitch w:val="default"/>
    <w:sig w:usb0="800002BF" w:usb1="38CF7CFA" w:usb2="00000016" w:usb3="00000000" w:csb0="00040001" w:csb1="00000000"/>
    <w:embedRegular r:id="rId4" w:fontKey="{BD1D998A-D102-4B78-80CB-2C10749956DA}"/>
  </w:font>
  <w:font w:name="方正小标宋简体">
    <w:panose1 w:val="03000509000000000000"/>
    <w:charset w:val="86"/>
    <w:family w:val="auto"/>
    <w:pitch w:val="default"/>
    <w:sig w:usb0="00000001" w:usb1="080E0000" w:usb2="00000000" w:usb3="00000000" w:csb0="00040000" w:csb1="00000000"/>
    <w:embedRegular r:id="rId5" w:fontKey="{FA2A2556-74FA-438E-8049-D7551E215D25}"/>
  </w:font>
  <w:font w:name="仿宋">
    <w:panose1 w:val="02010609060101010101"/>
    <w:charset w:val="86"/>
    <w:family w:val="modern"/>
    <w:pitch w:val="default"/>
    <w:sig w:usb0="800002BF" w:usb1="38CF7CFA" w:usb2="00000016" w:usb3="00000000" w:csb0="00040001" w:csb1="00000000"/>
    <w:embedRegular r:id="rId6" w:fontKey="{87531558-34B7-4510-BE24-2BB45F3EE8B5}"/>
  </w:font>
  <w:font w:name="微软雅黑">
    <w:panose1 w:val="020B0503020204020204"/>
    <w:charset w:val="86"/>
    <w:family w:val="swiss"/>
    <w:pitch w:val="default"/>
    <w:sig w:usb0="80000287" w:usb1="280F3C52" w:usb2="00000016" w:usb3="00000000" w:csb0="0004001F" w:csb1="00000000"/>
    <w:embedRegular r:id="rId7" w:fontKey="{CE7F5470-B41D-48B2-AAE1-2C1D8C5711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830DB85">
        <w:pPr>
          <w:pStyle w:val="5"/>
          <w:jc w:val="center"/>
        </w:pPr>
        <w:r>
          <w:fldChar w:fldCharType="begin"/>
        </w:r>
        <w:r>
          <w:instrText xml:space="preserve">PAGE   \* MERGEFORMAT</w:instrText>
        </w:r>
        <w:r>
          <w:fldChar w:fldCharType="separate"/>
        </w:r>
        <w:r>
          <w:rPr>
            <w:lang w:val="zh-CN"/>
          </w:rPr>
          <w:t>2</w:t>
        </w:r>
        <w:r>
          <w:fldChar w:fldCharType="end"/>
        </w:r>
      </w:p>
    </w:sdtContent>
  </w:sdt>
  <w:p w14:paraId="65626A8F">
    <w:pPr>
      <w:pStyle w:val="5"/>
      <w:tabs>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3184583"/>
    </w:sdtPr>
    <w:sdtContent>
      <w:p w14:paraId="160DB5CF">
        <w:pPr>
          <w:pStyle w:val="5"/>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C469B">
    <w:pPr>
      <w:pStyle w:val="6"/>
      <w:jc w:val="center"/>
      <w:rPr>
        <w:rFonts w:hint="eastAsia" w:ascii="微软雅黑" w:hAnsi="微软雅黑" w:eastAsia="微软雅黑" w:cs="微软雅黑"/>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20D32">
    <w:pPr>
      <w:pStyle w:val="6"/>
      <w:jc w:val="right"/>
      <w:rPr>
        <w:rFonts w:hint="eastAsia" w:ascii="微软雅黑" w:hAnsi="微软雅黑" w:eastAsia="微软雅黑" w:cs="微软雅黑"/>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8A4F6">
    <w:pPr>
      <w:spacing w:before="47" w:line="220" w:lineRule="auto"/>
      <w:jc w:val="right"/>
      <w:rPr>
        <w:rFonts w:hint="eastAsia" w:ascii="微软雅黑" w:hAnsi="微软雅黑" w:eastAsia="微软雅黑" w:cs="微软雅黑"/>
        <w:sz w:val="18"/>
        <w:szCs w:val="18"/>
      </w:rPr>
    </w:pPr>
    <w:r>
      <w:rPr>
        <w:rFonts w:hint="eastAsia" w:ascii="微软雅黑" w:hAnsi="微软雅黑" w:eastAsia="微软雅黑" w:cs="微软雅黑"/>
        <w:spacing w:val="-2"/>
        <w:sz w:val="18"/>
        <w:szCs w:val="18"/>
      </w:rPr>
      <w:t>“十五五”时期丰台区交通发展规划</w:t>
    </w:r>
  </w:p>
  <w:p w14:paraId="315D53E6">
    <w:pPr>
      <w:spacing w:before="12" w:line="19"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048B4"/>
    <w:multiLevelType w:val="multilevel"/>
    <w:tmpl w:val="3EA048B4"/>
    <w:lvl w:ilvl="0" w:tentative="0">
      <w:start w:val="1"/>
      <w:numFmt w:val="decimal"/>
      <w:lvlText w:val="%1."/>
      <w:lvlJc w:val="left"/>
      <w:pPr>
        <w:ind w:left="962" w:hanging="360"/>
      </w:pPr>
      <w:rPr>
        <w:rFonts w:hint="default"/>
      </w:rPr>
    </w:lvl>
    <w:lvl w:ilvl="1" w:tentative="0">
      <w:start w:val="1"/>
      <w:numFmt w:val="lowerLetter"/>
      <w:lvlText w:val="%2)"/>
      <w:lvlJc w:val="left"/>
      <w:pPr>
        <w:ind w:left="1482" w:hanging="440"/>
      </w:pPr>
    </w:lvl>
    <w:lvl w:ilvl="2" w:tentative="0">
      <w:start w:val="1"/>
      <w:numFmt w:val="lowerRoman"/>
      <w:lvlText w:val="%3."/>
      <w:lvlJc w:val="right"/>
      <w:pPr>
        <w:ind w:left="1922" w:hanging="440"/>
      </w:pPr>
    </w:lvl>
    <w:lvl w:ilvl="3" w:tentative="0">
      <w:start w:val="1"/>
      <w:numFmt w:val="decimal"/>
      <w:lvlText w:val="%4."/>
      <w:lvlJc w:val="left"/>
      <w:pPr>
        <w:ind w:left="2362" w:hanging="440"/>
      </w:pPr>
    </w:lvl>
    <w:lvl w:ilvl="4" w:tentative="0">
      <w:start w:val="1"/>
      <w:numFmt w:val="lowerLetter"/>
      <w:lvlText w:val="%5)"/>
      <w:lvlJc w:val="left"/>
      <w:pPr>
        <w:ind w:left="2802" w:hanging="440"/>
      </w:pPr>
    </w:lvl>
    <w:lvl w:ilvl="5" w:tentative="0">
      <w:start w:val="1"/>
      <w:numFmt w:val="lowerRoman"/>
      <w:lvlText w:val="%6."/>
      <w:lvlJc w:val="right"/>
      <w:pPr>
        <w:ind w:left="3242" w:hanging="440"/>
      </w:pPr>
    </w:lvl>
    <w:lvl w:ilvl="6" w:tentative="0">
      <w:start w:val="1"/>
      <w:numFmt w:val="decimal"/>
      <w:lvlText w:val="%7."/>
      <w:lvlJc w:val="left"/>
      <w:pPr>
        <w:ind w:left="3682" w:hanging="440"/>
      </w:pPr>
    </w:lvl>
    <w:lvl w:ilvl="7" w:tentative="0">
      <w:start w:val="1"/>
      <w:numFmt w:val="lowerLetter"/>
      <w:lvlText w:val="%8)"/>
      <w:lvlJc w:val="left"/>
      <w:pPr>
        <w:ind w:left="4122" w:hanging="440"/>
      </w:pPr>
    </w:lvl>
    <w:lvl w:ilvl="8" w:tentative="0">
      <w:start w:val="1"/>
      <w:numFmt w:val="lowerRoman"/>
      <w:lvlText w:val="%9."/>
      <w:lvlJc w:val="right"/>
      <w:pPr>
        <w:ind w:left="4562"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65EF8"/>
    <w:rsid w:val="00294959"/>
    <w:rsid w:val="036C34DA"/>
    <w:rsid w:val="057730B9"/>
    <w:rsid w:val="06791CB3"/>
    <w:rsid w:val="07903526"/>
    <w:rsid w:val="07F25F78"/>
    <w:rsid w:val="081B2083"/>
    <w:rsid w:val="0A6486D5"/>
    <w:rsid w:val="0B46159B"/>
    <w:rsid w:val="0D091D9A"/>
    <w:rsid w:val="0D894C75"/>
    <w:rsid w:val="0DAC2EB8"/>
    <w:rsid w:val="11E85383"/>
    <w:rsid w:val="123B3BE2"/>
    <w:rsid w:val="16EB2376"/>
    <w:rsid w:val="1A3441CE"/>
    <w:rsid w:val="1C3E001D"/>
    <w:rsid w:val="1DFC4EB8"/>
    <w:rsid w:val="1FE54F21"/>
    <w:rsid w:val="20076707"/>
    <w:rsid w:val="20E05A5B"/>
    <w:rsid w:val="212F5149"/>
    <w:rsid w:val="226F0499"/>
    <w:rsid w:val="252523ED"/>
    <w:rsid w:val="2696FD8C"/>
    <w:rsid w:val="2753230E"/>
    <w:rsid w:val="2AD92690"/>
    <w:rsid w:val="2B8925CC"/>
    <w:rsid w:val="2B942D1F"/>
    <w:rsid w:val="2BA678EF"/>
    <w:rsid w:val="2CED6092"/>
    <w:rsid w:val="2DE81100"/>
    <w:rsid w:val="2F7C02BA"/>
    <w:rsid w:val="2FF27FE5"/>
    <w:rsid w:val="2FF7715F"/>
    <w:rsid w:val="2FFD825E"/>
    <w:rsid w:val="309D14D3"/>
    <w:rsid w:val="30D77936"/>
    <w:rsid w:val="33541DC5"/>
    <w:rsid w:val="33572FB0"/>
    <w:rsid w:val="35477DB5"/>
    <w:rsid w:val="36E96615"/>
    <w:rsid w:val="373B4692"/>
    <w:rsid w:val="377E8D10"/>
    <w:rsid w:val="37DEED5C"/>
    <w:rsid w:val="38635F53"/>
    <w:rsid w:val="38F20DD0"/>
    <w:rsid w:val="3A561A17"/>
    <w:rsid w:val="3BA7D571"/>
    <w:rsid w:val="3BB13950"/>
    <w:rsid w:val="3BBFAFE5"/>
    <w:rsid w:val="3BDF28E2"/>
    <w:rsid w:val="3D5F6C1A"/>
    <w:rsid w:val="3D9F17DB"/>
    <w:rsid w:val="3DAE32BB"/>
    <w:rsid w:val="3F40258F"/>
    <w:rsid w:val="3FE7B0C4"/>
    <w:rsid w:val="419F48DA"/>
    <w:rsid w:val="437C6D95"/>
    <w:rsid w:val="44E78755"/>
    <w:rsid w:val="47332D30"/>
    <w:rsid w:val="47AD4F03"/>
    <w:rsid w:val="47BFBBC8"/>
    <w:rsid w:val="48657AC5"/>
    <w:rsid w:val="49AF724A"/>
    <w:rsid w:val="4A0A0924"/>
    <w:rsid w:val="4A802677"/>
    <w:rsid w:val="4BA601D9"/>
    <w:rsid w:val="4BAEF3F7"/>
    <w:rsid w:val="4BB74FCE"/>
    <w:rsid w:val="4D6616EC"/>
    <w:rsid w:val="4DCB2178"/>
    <w:rsid w:val="4DCB2BBB"/>
    <w:rsid w:val="4E777DD0"/>
    <w:rsid w:val="4EAC7918"/>
    <w:rsid w:val="51A90A23"/>
    <w:rsid w:val="51B22352"/>
    <w:rsid w:val="552E0C30"/>
    <w:rsid w:val="57266671"/>
    <w:rsid w:val="58743C33"/>
    <w:rsid w:val="59B7D4DA"/>
    <w:rsid w:val="5BDAAFE1"/>
    <w:rsid w:val="5BF2165C"/>
    <w:rsid w:val="5BF71B9E"/>
    <w:rsid w:val="5C4D0240"/>
    <w:rsid w:val="5C6629A5"/>
    <w:rsid w:val="5D7A7AF6"/>
    <w:rsid w:val="5EEF19AF"/>
    <w:rsid w:val="5F639940"/>
    <w:rsid w:val="5FC00AB5"/>
    <w:rsid w:val="5FF3FB48"/>
    <w:rsid w:val="61D761ED"/>
    <w:rsid w:val="62621AF5"/>
    <w:rsid w:val="632D11F1"/>
    <w:rsid w:val="636C5CA4"/>
    <w:rsid w:val="640D6BEF"/>
    <w:rsid w:val="64353B9B"/>
    <w:rsid w:val="64F979CC"/>
    <w:rsid w:val="64FA7C33"/>
    <w:rsid w:val="6A4B2615"/>
    <w:rsid w:val="6B6FBF68"/>
    <w:rsid w:val="6C4857CD"/>
    <w:rsid w:val="6C7DF638"/>
    <w:rsid w:val="6DD2D92E"/>
    <w:rsid w:val="6E4B4EE4"/>
    <w:rsid w:val="6ECA28F1"/>
    <w:rsid w:val="6EE145C9"/>
    <w:rsid w:val="6FE65EF8"/>
    <w:rsid w:val="6FEF5B84"/>
    <w:rsid w:val="6FFEC551"/>
    <w:rsid w:val="723932A5"/>
    <w:rsid w:val="73DD47DA"/>
    <w:rsid w:val="745C61F6"/>
    <w:rsid w:val="74AE1923"/>
    <w:rsid w:val="75E1612D"/>
    <w:rsid w:val="76126956"/>
    <w:rsid w:val="76320737"/>
    <w:rsid w:val="778EAC9F"/>
    <w:rsid w:val="78C57641"/>
    <w:rsid w:val="78F64439"/>
    <w:rsid w:val="7A1F0FD2"/>
    <w:rsid w:val="7AF91C89"/>
    <w:rsid w:val="7B292109"/>
    <w:rsid w:val="7BAF8573"/>
    <w:rsid w:val="7BF46200"/>
    <w:rsid w:val="7BF9888B"/>
    <w:rsid w:val="7CDF2E1F"/>
    <w:rsid w:val="7D8E5CA2"/>
    <w:rsid w:val="7DFF263F"/>
    <w:rsid w:val="7E6B47E6"/>
    <w:rsid w:val="7EBBEC95"/>
    <w:rsid w:val="7EDC1B88"/>
    <w:rsid w:val="7EDCEE90"/>
    <w:rsid w:val="7EEDD1E6"/>
    <w:rsid w:val="7F10538E"/>
    <w:rsid w:val="7F4FC111"/>
    <w:rsid w:val="7F579ACE"/>
    <w:rsid w:val="7F8D79B2"/>
    <w:rsid w:val="7F9976DB"/>
    <w:rsid w:val="7FD743A2"/>
    <w:rsid w:val="7FFFDBA6"/>
    <w:rsid w:val="97DF249C"/>
    <w:rsid w:val="9E72BA66"/>
    <w:rsid w:val="9EDCB521"/>
    <w:rsid w:val="AFFCB041"/>
    <w:rsid w:val="B5D75E15"/>
    <w:rsid w:val="B65F241B"/>
    <w:rsid w:val="B7383A12"/>
    <w:rsid w:val="BF5E54AF"/>
    <w:rsid w:val="CB9B1CFE"/>
    <w:rsid w:val="CFAB1C5E"/>
    <w:rsid w:val="D9E7353B"/>
    <w:rsid w:val="DBBFAD9E"/>
    <w:rsid w:val="DF5B9229"/>
    <w:rsid w:val="DFFE3207"/>
    <w:rsid w:val="E12D9244"/>
    <w:rsid w:val="E3CDF5D2"/>
    <w:rsid w:val="E57A60E7"/>
    <w:rsid w:val="EBE3F967"/>
    <w:rsid w:val="EBEBCB86"/>
    <w:rsid w:val="EBF27776"/>
    <w:rsid w:val="EDF4B152"/>
    <w:rsid w:val="EFBB1028"/>
    <w:rsid w:val="F3FB265C"/>
    <w:rsid w:val="F5BF3A42"/>
    <w:rsid w:val="F7768AA7"/>
    <w:rsid w:val="F7FBEA9C"/>
    <w:rsid w:val="F7FE5882"/>
    <w:rsid w:val="F9AF98D9"/>
    <w:rsid w:val="FA6E8E37"/>
    <w:rsid w:val="FAF62A5E"/>
    <w:rsid w:val="FB8FB8D9"/>
    <w:rsid w:val="FD377BAC"/>
    <w:rsid w:val="FF6F61FE"/>
    <w:rsid w:val="FF7BE24C"/>
    <w:rsid w:val="FFB3D17B"/>
    <w:rsid w:val="FFD97A7A"/>
    <w:rsid w:val="FFDD4F01"/>
    <w:rsid w:val="FFEB3BB3"/>
    <w:rsid w:val="FFF78DD8"/>
    <w:rsid w:val="FFF7DFEF"/>
    <w:rsid w:val="FFFF10B7"/>
    <w:rsid w:val="FFFFE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unhideWhenUsed/>
    <w:qFormat/>
    <w:uiPriority w:val="0"/>
    <w:pPr>
      <w:spacing w:after="12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39"/>
  </w:style>
  <w:style w:type="paragraph" w:styleId="8">
    <w:name w:val="footnote text"/>
    <w:basedOn w:val="1"/>
    <w:qFormat/>
    <w:uiPriority w:val="0"/>
    <w:pPr>
      <w:snapToGrid w:val="0"/>
      <w:jc w:val="left"/>
    </w:pPr>
    <w:rPr>
      <w:sz w:val="18"/>
    </w:rPr>
  </w:style>
  <w:style w:type="paragraph" w:styleId="9">
    <w:name w:val="toc 2"/>
    <w:basedOn w:val="1"/>
    <w:next w:val="1"/>
    <w:qFormat/>
    <w:uiPriority w:val="39"/>
    <w:pPr>
      <w:ind w:left="420" w:leftChars="200"/>
    </w:p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26E5" w:themeColor="hyperlink"/>
      <w:u w:val="single"/>
      <w14:textFill>
        <w14:solidFill>
          <w14:schemeClr w14:val="hlink"/>
        </w14:solidFill>
      </w14:textFill>
    </w:rPr>
  </w:style>
  <w:style w:type="character" w:styleId="14">
    <w:name w:val="footnote reference"/>
    <w:basedOn w:val="12"/>
    <w:qFormat/>
    <w:uiPriority w:val="0"/>
    <w:rPr>
      <w:vertAlign w:val="superscript"/>
    </w:rPr>
  </w:style>
  <w:style w:type="paragraph" w:customStyle="1" w:styleId="15">
    <w:name w:val="正文首行缩进1"/>
    <w:basedOn w:val="4"/>
    <w:qFormat/>
    <w:uiPriority w:val="0"/>
    <w:pPr>
      <w:spacing w:before="100" w:beforeLines="30" w:beforeAutospacing="1" w:after="100" w:afterAutospacing="1" w:line="560" w:lineRule="exact"/>
      <w:ind w:firstLine="420" w:firstLineChars="100"/>
    </w:pPr>
    <w:rPr>
      <w:rFonts w:ascii="Times New Roman" w:hAnsi="Times New Roman" w:eastAsia="仿宋_GB2312" w:cs="Times New Roman"/>
      <w:kern w:val="0"/>
      <w:sz w:val="32"/>
      <w:szCs w:val="20"/>
    </w:rPr>
  </w:style>
  <w:style w:type="paragraph" w:customStyle="1" w:styleId="16">
    <w:name w:val="1"/>
    <w:basedOn w:val="2"/>
    <w:next w:val="1"/>
    <w:qFormat/>
    <w:uiPriority w:val="0"/>
    <w:pPr>
      <w:spacing w:before="30" w:beforeLines="30" w:after="0" w:line="560" w:lineRule="exact"/>
      <w:jc w:val="center"/>
    </w:pPr>
    <w:rPr>
      <w:rFonts w:ascii="Times New Roman" w:hAnsi="Times New Roman" w:eastAsia="黑体" w:cs="Times New Roman"/>
      <w:sz w:val="36"/>
      <w:szCs w:val="32"/>
    </w:rPr>
  </w:style>
  <w:style w:type="paragraph" w:customStyle="1" w:styleId="17">
    <w:name w:val="1.1"/>
    <w:basedOn w:val="1"/>
    <w:next w:val="1"/>
    <w:qFormat/>
    <w:uiPriority w:val="0"/>
    <w:pPr>
      <w:keepNext/>
      <w:keepLines/>
      <w:spacing w:before="100" w:beforeLines="30" w:beforeAutospacing="1" w:after="100" w:afterAutospacing="1" w:line="560" w:lineRule="exact"/>
      <w:ind w:firstLine="200" w:firstLineChars="200"/>
      <w:jc w:val="center"/>
      <w:outlineLvl w:val="1"/>
    </w:pPr>
    <w:rPr>
      <w:rFonts w:ascii="Times New Roman" w:hAnsi="Times New Roman" w:eastAsia="黑体" w:cs="Times New Roman"/>
      <w:b/>
      <w:bCs/>
      <w:sz w:val="32"/>
      <w:szCs w:val="32"/>
    </w:rPr>
  </w:style>
  <w:style w:type="paragraph" w:styleId="18">
    <w:name w:val="List Paragraph"/>
    <w:basedOn w:val="1"/>
    <w:qFormat/>
    <w:uiPriority w:val="34"/>
    <w:pPr>
      <w:ind w:firstLine="420" w:firstLineChars="200"/>
    </w:pPr>
    <w:rPr>
      <w:rFonts w:ascii="Calibri" w:hAnsi="Calibri" w:eastAsia="宋体" w:cs="Times New Roman"/>
    </w:rPr>
  </w:style>
  <w:style w:type="character" w:customStyle="1" w:styleId="19">
    <w:name w:val="font81"/>
    <w:basedOn w:val="12"/>
    <w:qFormat/>
    <w:uiPriority w:val="0"/>
    <w:rPr>
      <w:rFonts w:hint="eastAsia" w:ascii="宋体" w:hAnsi="宋体" w:eastAsia="宋体" w:cs="宋体"/>
      <w:b/>
      <w:bCs/>
      <w:color w:val="000000"/>
      <w:sz w:val="24"/>
      <w:szCs w:val="24"/>
      <w:u w:val="none"/>
    </w:rPr>
  </w:style>
  <w:style w:type="character" w:customStyle="1" w:styleId="20">
    <w:name w:val="font31"/>
    <w:basedOn w:val="12"/>
    <w:qFormat/>
    <w:uiPriority w:val="0"/>
    <w:rPr>
      <w:rFonts w:hint="default" w:ascii="楷体" w:hAnsi="楷体" w:eastAsia="楷体" w:cs="楷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f9dd92a9-9465-406b-87bf-a2de2c15986b</errorID>
      <errorWord>亟需</errorWord>
      <group>L1_Word</group>
      <groupName>字词问题</groupName>
      <ability>L2_Typo</ability>
      <abilityName>字词错误</abilityName>
      <candidateList>
        <item>亟须</item>
      </candidateList>
      <explain/>
      <paraID>40220A8F</paraID>
      <start>46</start>
      <end>48</end>
      <status>ignored</status>
      <modifiedWord/>
      <trackRevisions>false</trackRevisions>
    </reviewItem>
    <reviewItem>
      <errorID>eaaa0e88-4b1b-4a93-8d6a-568db478a350</errorID>
      <errorWord>两楼</errorWord>
      <group>L1_Word</group>
      <groupName>字词问题</groupName>
      <ability>L2_Typo</ability>
      <abilityName>字词错误</abilityName>
      <candidateList>
        <item>两路</item>
      </candidateList>
      <explain>存在发音相近字词的误用。</explain>
      <paraID>5AE76E7E</paraID>
      <start>68</start>
      <end>70</end>
      <status>ignored</status>
      <modifiedWord/>
      <trackRevisions>false</trackRevisions>
    </reviewItem>
    <reviewItem>
      <errorID>1708aec0-946f-4f03-af27-3a894db2f6f3</errorID>
      <errorWord>&gt;</errorWord>
      <group>L1_Punc</group>
      <groupName>标点问题</groupName>
      <ability>L2_Punc_CN</ability>
      <abilityName>标点符号问题</abilityName>
      <candidateList/>
      <explain/>
      <paraID>782C3606</paraID>
      <start>0</start>
      <end>1</end>
      <status>ignored</status>
      <modifiedWord/>
      <trackRevisions>false</trackRevisions>
    </reviewItem>
    <reviewItem>
      <errorID>fea37634-42fe-448c-be72-fe4aa2097d62</errorID>
      <errorWord>石景山跨区</errorWord>
      <group>L1_Knowledge</group>
      <groupName>知识性问题</groupName>
      <ability>L2_Location</ability>
      <abilityName>地名检查</abilityName>
      <candidateList>
        <item>石景山区</item>
      </candidateList>
      <explain>地名表述错误</explain>
      <paraID>397A9F2A</paraID>
      <start>143</start>
      <end>148</end>
      <status>ignored</status>
      <modifiedWord/>
      <trackRevisions>false</trackRevisions>
    </reviewItem>
    <reviewItem>
      <errorID>3cc70c30-3445-4e10-8360-c226c81ca965</errorID>
      <errorWord>信控</errorWord>
      <group>L1_Word</group>
      <groupName>字词问题</groupName>
      <ability>L2_Typo</ability>
      <abilityName>字词错误</abilityName>
      <candidateList>
        <item>管控</item>
      </candidateList>
      <explain>存在字形相近字词的误用。</explain>
      <paraID>15D8D780</paraID>
      <start>63</start>
      <end>65</end>
      <status>ignored</status>
      <modifiedWord/>
      <trackRevisions>false</trackRevisions>
    </reviewItem>
  </reviewItems>
  <config/>
</contractReview>
</file>

<file path=customXml/itemProps1.xml><?xml version="1.0" encoding="utf-8"?>
<ds:datastoreItem xmlns:ds="http://schemas.openxmlformats.org/officeDocument/2006/customXml" ds:itemID="{c1b414f5-4537-46a5-aeab-38631b3bd80b}">
  <ds:schemaRefs/>
</ds:datastoreItem>
</file>

<file path=docProps/app.xml><?xml version="1.0" encoding="utf-8"?>
<Properties xmlns="http://schemas.openxmlformats.org/officeDocument/2006/extended-properties" xmlns:vt="http://schemas.openxmlformats.org/officeDocument/2006/docPropsVTypes">
  <Template>Normal.dotm</Template>
  <Pages>30</Pages>
  <Words>4719</Words>
  <Characters>4890</Characters>
  <Lines>0</Lines>
  <Paragraphs>0</Paragraphs>
  <TotalTime>273</TotalTime>
  <ScaleCrop>false</ScaleCrop>
  <LinksUpToDate>false</LinksUpToDate>
  <CharactersWithSpaces>4932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2026-06-22T18:41:00Z</dcterms:created>
  <dc:creator>姚卓文</dc:creator>
  <cp:lastModifiedBy>相濡以沫</cp:lastModifiedBy>
  <dcterms:modified xsi:type="dcterms:W3CDTF">2026-10-14T07:55:20Z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83AA5FD7275924DA496A4F6A4556EF7B_43</vt:lpwstr>
  </property>
  <property fmtid="{D5CDD505-2E9C-101B-9397-08002B2CF9AE}" pid="4" name="KSOTemplateDocerSaveRecord">
    <vt:lpwstr>eyJoZGlkIjoiNjMzNDg4MzE1MzI2ZDRmNDIxZmE1ZGFhOGM2NDAzMjgiLCJ1c2VySWQiOiI2NTkyMjk5NjgifQ==</vt:lpwstr>
  </property>
</Properties>
</file>