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5568C4">
      <w:pPr>
        <w:widowControl w:val="0"/>
        <w:spacing w:line="560" w:lineRule="exact"/>
        <w:ind w:firstLine="0" w:firstLineChars="0"/>
        <w:jc w:val="left"/>
        <w:outlineLvl w:val="0"/>
        <w:rPr>
          <w:rFonts w:hint="default" w:ascii="黑体" w:hAnsi="黑体" w:eastAsia="黑体" w:cs="黑体"/>
          <w:kern w:val="44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kern w:val="44"/>
          <w:sz w:val="32"/>
          <w:szCs w:val="32"/>
          <w:lang w:val="en-US" w:eastAsia="zh-CN" w:bidi="ar-SA"/>
        </w:rPr>
        <w:t>附件1</w:t>
      </w:r>
    </w:p>
    <w:p w14:paraId="57A3163E">
      <w:pPr>
        <w:suppressAutoHyphens/>
        <w:bidi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79B3F76">
      <w:pPr>
        <w:widowControl w:val="0"/>
        <w:spacing w:line="560" w:lineRule="exact"/>
        <w:ind w:firstLine="0" w:firstLineChars="0"/>
        <w:jc w:val="center"/>
        <w:outlineLvl w:val="0"/>
        <w:rPr>
          <w:rFonts w:hint="default" w:ascii="方正小标宋简体" w:hAnsi="方正小标宋简体" w:eastAsia="方正小标宋简体" w:cs="方正小标宋简体"/>
          <w:kern w:val="44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kern w:val="44"/>
          <w:sz w:val="44"/>
          <w:szCs w:val="44"/>
          <w:lang w:val="en-US" w:eastAsia="zh-CN" w:bidi="ar-SA"/>
        </w:rPr>
        <w:t>关于促进北京市延庆区</w:t>
      </w:r>
    </w:p>
    <w:p w14:paraId="75AE8CFB">
      <w:pPr>
        <w:widowControl w:val="0"/>
        <w:spacing w:line="560" w:lineRule="exact"/>
        <w:ind w:firstLine="0" w:firstLineChars="0"/>
        <w:jc w:val="center"/>
        <w:outlineLvl w:val="0"/>
        <w:rPr>
          <w:rFonts w:hint="eastAsia" w:ascii="宋体" w:hAnsi="宋体" w:eastAsia="黑体" w:cs="宋体"/>
          <w:kern w:val="44"/>
          <w:sz w:val="32"/>
          <w:szCs w:val="48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kern w:val="44"/>
          <w:sz w:val="44"/>
          <w:szCs w:val="44"/>
          <w:lang w:val="en-US" w:eastAsia="zh-CN" w:bidi="ar-SA"/>
        </w:rPr>
        <w:t>空域技术产业高质量发展的若干措施</w:t>
      </w:r>
    </w:p>
    <w:p w14:paraId="42AA926F">
      <w:pPr>
        <w:suppressAutoHyphens/>
        <w:bidi w:val="0"/>
        <w:spacing w:line="560" w:lineRule="exact"/>
        <w:ind w:firstLine="640" w:firstLineChars="200"/>
        <w:jc w:val="center"/>
        <w:rPr>
          <w:rFonts w:hint="eastAsia" w:ascii="楷体_GB2312" w:hAnsi="楷体_GB2312" w:eastAsia="楷体_GB2312" w:cs="楷体_GB2312"/>
          <w:sz w:val="32"/>
          <w:lang w:eastAsia="zh-CN"/>
        </w:rPr>
      </w:pPr>
      <w:r>
        <w:rPr>
          <w:rFonts w:hint="eastAsia" w:ascii="楷体_GB2312" w:hAnsi="楷体_GB2312" w:eastAsia="楷体_GB2312" w:cs="楷体_GB2312"/>
          <w:sz w:val="32"/>
          <w:lang w:eastAsia="zh-CN"/>
        </w:rPr>
        <w:t>（征求意见稿）</w:t>
      </w:r>
    </w:p>
    <w:p w14:paraId="5105D43E">
      <w:pPr>
        <w:widowControl w:val="0"/>
        <w:spacing w:line="400" w:lineRule="exact"/>
        <w:ind w:firstLine="560" w:firstLineChars="200"/>
        <w:jc w:val="both"/>
        <w:rPr>
          <w:rFonts w:hint="eastAsia" w:ascii="华文新魏" w:hAnsi="华文新魏" w:eastAsia="仿宋_GB2312" w:cs="宋体"/>
          <w:kern w:val="0"/>
          <w:sz w:val="28"/>
          <w:szCs w:val="24"/>
          <w:lang w:val="en-US" w:eastAsia="zh-CN" w:bidi="ar-SA"/>
        </w:rPr>
      </w:pPr>
    </w:p>
    <w:p w14:paraId="09469937">
      <w:pPr>
        <w:suppressAutoHyphens/>
        <w:bidi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为贯彻党中央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和北京市关于首都空域安全管理</w:t>
      </w:r>
      <w:r>
        <w:rPr>
          <w:rFonts w:hint="eastAsia" w:ascii="仿宋_GB2312" w:hAnsi="仿宋_GB2312" w:eastAsia="仿宋_GB2312" w:cs="仿宋_GB2312"/>
          <w:sz w:val="32"/>
          <w:szCs w:val="32"/>
        </w:rPr>
        <w:t>决策部署，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落实《北京市“十五五”时期高精尖产业发展规划》相关要求，</w:t>
      </w:r>
      <w:r>
        <w:rPr>
          <w:rFonts w:hint="eastAsia" w:ascii="仿宋_GB2312" w:hAnsi="仿宋_GB2312" w:eastAsia="仿宋_GB2312" w:cs="仿宋_GB2312"/>
          <w:sz w:val="32"/>
          <w:szCs w:val="32"/>
        </w:rPr>
        <w:t>统筹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高质量发展与高水平安全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，进一步</w:t>
      </w:r>
      <w:r>
        <w:rPr>
          <w:rFonts w:hint="eastAsia" w:ascii="仿宋_GB2312" w:hAnsi="仿宋_GB2312" w:eastAsia="仿宋_GB2312" w:cs="仿宋_GB2312"/>
          <w:sz w:val="32"/>
          <w:szCs w:val="32"/>
        </w:rPr>
        <w:t>促进延庆区空域技术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企业创新</w:t>
      </w:r>
      <w:r>
        <w:rPr>
          <w:rFonts w:hint="eastAsia" w:ascii="仿宋_GB2312" w:hAnsi="仿宋_GB2312" w:eastAsia="仿宋_GB2312" w:cs="仿宋_GB2312"/>
          <w:sz w:val="32"/>
          <w:szCs w:val="32"/>
        </w:rPr>
        <w:t>发展，制定本措施。</w:t>
      </w:r>
    </w:p>
    <w:p w14:paraId="58F81D60">
      <w:pPr>
        <w:suppressAutoHyphens/>
        <w:bidi w:val="0"/>
        <w:spacing w:line="560" w:lineRule="exact"/>
        <w:ind w:firstLine="643" w:firstLineChars="200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 xml:space="preserve">第一条 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支持空域技术和装备攻关。支持企业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开展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空域技术和空域安全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领域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整机、动力、反制、关键载荷、空管和地面装备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等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研发和制造，对推动传统技术革新突破、引导行业创新能级提升、产生重大市场价值的科技研发项目，采取前资助或后补助等方式给予资金支持，单个项目给予最高500万元资金支持。</w:t>
      </w:r>
    </w:p>
    <w:p w14:paraId="74B4FFF7">
      <w:pPr>
        <w:suppressAutoHyphens/>
        <w:bidi w:val="0"/>
        <w:spacing w:line="560" w:lineRule="exact"/>
        <w:ind w:firstLine="643" w:firstLineChars="200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 xml:space="preserve">第二条 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支持科技创新平台建设。</w:t>
      </w:r>
      <w:bookmarkStart w:id="0" w:name="OLE_LINK14"/>
      <w:bookmarkStart w:id="1" w:name="OLE_LINK15"/>
      <w:bookmarkStart w:id="2" w:name="OLE_LINK24"/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对在我区建设市级及以上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空域技术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和空域安全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领域重点实验室、工程研究中心、技术中心等研发平台，按照实际投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入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的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0%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最高不超过500万元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给予奖励，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同一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主体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不重复享受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。</w:t>
      </w:r>
      <w:bookmarkEnd w:id="0"/>
      <w:bookmarkEnd w:id="1"/>
      <w:bookmarkEnd w:id="2"/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对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于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以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联合体成立的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重点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实验室，由其中一个单位进行奖励申报。</w:t>
      </w:r>
    </w:p>
    <w:p w14:paraId="1A73F044">
      <w:pPr>
        <w:suppressAutoHyphens/>
        <w:bidi w:val="0"/>
        <w:spacing w:line="560" w:lineRule="exact"/>
        <w:ind w:firstLine="643" w:firstLineChars="200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 xml:space="preserve">第三条 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支持公共服务平台建设。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对在我区建设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空域技术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和空域安全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领域中试平台、概念验证平台、共性技术平台、仪器共享平台等公共服务平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台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，按照实际投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入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的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0%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最高不超过500万元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给予奖励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。同一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主体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不重复享受。</w:t>
      </w:r>
    </w:p>
    <w:p w14:paraId="4DDDAE93">
      <w:pPr>
        <w:numPr>
          <w:ilvl w:val="0"/>
          <w:numId w:val="1"/>
        </w:numPr>
        <w:suppressAutoHyphens/>
        <w:bidi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支持小微企业办公和研发空间租赁。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在延庆区租赁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空间开展办公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研发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业务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并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符合空域安全产业方向、具有科技创新属性且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成立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不满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五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年的小微企业，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按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照实际租金最高50%给予支持，单个企业每年最高不超过100万元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累计享受支持不超过三年。</w:t>
      </w:r>
    </w:p>
    <w:p w14:paraId="5E92504B">
      <w:pPr>
        <w:suppressAutoHyphens/>
        <w:bidi w:val="0"/>
        <w:spacing w:line="560" w:lineRule="exact"/>
        <w:ind w:firstLine="643" w:firstLineChars="200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 w:val="0"/>
          <w:i w:val="0"/>
          <w:iCs w:val="0"/>
          <w:sz w:val="32"/>
          <w:szCs w:val="32"/>
          <w:lang w:eastAsia="zh-CN"/>
        </w:rPr>
        <w:t>第五条</w:t>
      </w:r>
      <w:r>
        <w:rPr>
          <w:rFonts w:hint="eastAsia" w:ascii="仿宋_GB2312" w:hAnsi="仿宋_GB2312" w:eastAsia="仿宋_GB2312" w:cs="仿宋_GB2312"/>
          <w:b/>
          <w:bCs w:val="0"/>
          <w:i w:val="0"/>
          <w:iCs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支持拓展示范应用。对建设空域相关领域关键核心技术、重大前沿技术应用示范和验证迭代，以及空域安全领域智能网联、态势感知、先进飞控、安全防护、监视反制等关键技术的重点场景应用项目，经专家评审择优给予项目投入30%、最高不超过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00万元的资金支持。对承担或参与建设国家级空域领域重点项目的企业或机构，给予项目核定总投资10%、最高不超过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00万元的资金支持。</w:t>
      </w:r>
    </w:p>
    <w:p w14:paraId="76DB5675">
      <w:pPr>
        <w:suppressAutoHyphens/>
        <w:bidi w:val="0"/>
        <w:spacing w:line="560" w:lineRule="exact"/>
        <w:ind w:firstLine="643" w:firstLineChars="200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第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六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条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 xml:space="preserve"> 设立空域技术产业科技服务券。鼓励搭建无人驾驶航空器测试、机载系统实验，以及空域安全环境与基础设施检测、特定场景试飞、人机交互实验等检测检验、适航试飞、应用实验的专业技术服务平台，符合条件的平台纳入空域技术产业科技服务券使用范围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，按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照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合规技术服务合同实际成交额的50%给予补助，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服务单个主体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年度累计补助最高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不超过100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万元。</w:t>
      </w:r>
    </w:p>
    <w:p w14:paraId="47491C6E">
      <w:pPr>
        <w:suppressAutoHyphens/>
        <w:bidi w:val="0"/>
        <w:spacing w:line="560" w:lineRule="exact"/>
        <w:ind w:firstLine="643" w:firstLineChars="200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</w:rPr>
        <w:t>第</w:t>
      </w: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eastAsia="zh-CN"/>
        </w:rPr>
        <w:t>七</w:t>
      </w: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</w:rPr>
        <w:t>条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 xml:space="preserve"> 支持制造链主企业就近配套。支持空域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技术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制造产业链集聚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建立链主企业和配套企业协同发展机制，支持链主企业推动产业链上下游在延集聚，对提升产业链韧性和配套能力贡献突出的链主企业，最高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给予1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00万元奖励。</w:t>
      </w:r>
    </w:p>
    <w:p w14:paraId="192BAD30">
      <w:pPr>
        <w:suppressAutoHyphens/>
        <w:bidi w:val="0"/>
        <w:spacing w:line="560" w:lineRule="exact"/>
        <w:ind w:firstLine="643" w:firstLineChars="200"/>
        <w:rPr>
          <w:rFonts w:hint="eastAsia" w:ascii="仿宋_GB2312" w:hAnsi="仿宋_GB2312" w:eastAsia="仿宋_GB2312" w:cs="仿宋_GB2312"/>
          <w:bCs/>
          <w:sz w:val="32"/>
          <w:szCs w:val="32"/>
        </w:rPr>
      </w:pPr>
      <w:bookmarkStart w:id="3" w:name="OLE_LINK30"/>
      <w:bookmarkStart w:id="4" w:name="OLE_LINK36"/>
      <w:bookmarkStart w:id="5" w:name="OLE_LINK29"/>
      <w:bookmarkStart w:id="6" w:name="OLE_LINK37"/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</w:rPr>
        <w:t>第</w:t>
      </w: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eastAsia="zh-CN"/>
        </w:rPr>
        <w:t>八</w:t>
      </w: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</w:rPr>
        <w:t>条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bCs/>
          <w:i w:val="0"/>
          <w:iCs w:val="0"/>
          <w:caps w:val="0"/>
          <w:spacing w:val="0"/>
          <w:kern w:val="2"/>
          <w:sz w:val="32"/>
          <w:szCs w:val="32"/>
          <w:shd w:val="clear" w:color="auto" w:fill="auto"/>
          <w:vertAlign w:val="baseline"/>
          <w:lang w:bidi="ar-SA"/>
        </w:rPr>
        <w:t>鼓励开展促进</w:t>
      </w:r>
      <w:r>
        <w:rPr>
          <w:rFonts w:hint="eastAsia" w:ascii="仿宋_GB2312" w:hAnsi="仿宋_GB2312" w:eastAsia="仿宋_GB2312" w:cs="仿宋_GB2312"/>
          <w:bCs/>
          <w:i w:val="0"/>
          <w:iCs w:val="0"/>
          <w:caps w:val="0"/>
          <w:spacing w:val="0"/>
          <w:kern w:val="2"/>
          <w:sz w:val="32"/>
          <w:szCs w:val="32"/>
          <w:shd w:val="clear" w:color="auto" w:fill="auto"/>
          <w:vertAlign w:val="baseline"/>
          <w:lang w:val="en-US" w:eastAsia="zh-CN" w:bidi="ar-SA"/>
        </w:rPr>
        <w:t>空域技术</w:t>
      </w:r>
      <w:r>
        <w:rPr>
          <w:rFonts w:hint="eastAsia" w:ascii="仿宋_GB2312" w:hAnsi="仿宋_GB2312" w:eastAsia="仿宋_GB2312" w:cs="仿宋_GB2312"/>
          <w:bCs/>
          <w:i w:val="0"/>
          <w:iCs w:val="0"/>
          <w:caps w:val="0"/>
          <w:spacing w:val="0"/>
          <w:kern w:val="2"/>
          <w:sz w:val="32"/>
          <w:szCs w:val="32"/>
          <w:shd w:val="clear" w:color="auto" w:fill="auto"/>
          <w:vertAlign w:val="baseline"/>
          <w:lang w:bidi="ar-SA"/>
        </w:rPr>
        <w:t>产业发展交流活动。支持举办与</w:t>
      </w:r>
      <w:r>
        <w:rPr>
          <w:rFonts w:hint="eastAsia" w:ascii="仿宋_GB2312" w:hAnsi="仿宋_GB2312" w:eastAsia="仿宋_GB2312" w:cs="仿宋_GB2312"/>
          <w:bCs/>
          <w:i w:val="0"/>
          <w:iCs w:val="0"/>
          <w:caps w:val="0"/>
          <w:spacing w:val="0"/>
          <w:kern w:val="2"/>
          <w:sz w:val="32"/>
          <w:szCs w:val="32"/>
          <w:shd w:val="clear" w:color="auto" w:fill="auto"/>
          <w:vertAlign w:val="baseline"/>
          <w:lang w:val="en-US" w:eastAsia="zh-CN" w:bidi="ar-SA"/>
        </w:rPr>
        <w:t>空域技术</w:t>
      </w:r>
      <w:r>
        <w:rPr>
          <w:rFonts w:hint="eastAsia" w:ascii="仿宋_GB2312" w:hAnsi="仿宋_GB2312" w:eastAsia="仿宋_GB2312" w:cs="仿宋_GB2312"/>
          <w:bCs/>
          <w:i w:val="0"/>
          <w:iCs w:val="0"/>
          <w:caps w:val="0"/>
          <w:spacing w:val="0"/>
          <w:kern w:val="2"/>
          <w:sz w:val="32"/>
          <w:szCs w:val="32"/>
          <w:shd w:val="clear" w:color="auto" w:fill="auto"/>
          <w:vertAlign w:val="baseline"/>
          <w:lang w:bidi="ar-SA"/>
        </w:rPr>
        <w:t>产业细分领域紧密相关的产品交流、学术论坛、会议会展和创新大赛等不同形式的活动。</w:t>
      </w:r>
      <w:r>
        <w:rPr>
          <w:rFonts w:hint="eastAsia" w:ascii="仿宋_GB2312" w:hAnsi="仿宋_GB2312" w:eastAsia="仿宋_GB2312" w:cs="仿宋_GB2312"/>
          <w:bCs/>
          <w:i w:val="0"/>
          <w:iCs w:val="0"/>
          <w:caps w:val="0"/>
          <w:spacing w:val="0"/>
          <w:kern w:val="2"/>
          <w:sz w:val="32"/>
          <w:szCs w:val="32"/>
          <w:shd w:val="clear" w:color="auto" w:fill="auto"/>
          <w:vertAlign w:val="baseline"/>
          <w:lang w:val="en-US" w:eastAsia="zh-CN" w:bidi="ar-SA"/>
        </w:rPr>
        <w:t>对主办方或承办方，</w:t>
      </w:r>
      <w:r>
        <w:rPr>
          <w:rFonts w:hint="eastAsia" w:ascii="仿宋_GB2312" w:hAnsi="仿宋_GB2312" w:eastAsia="仿宋_GB2312" w:cs="仿宋_GB2312"/>
          <w:bCs/>
          <w:i w:val="0"/>
          <w:iCs w:val="0"/>
          <w:caps w:val="0"/>
          <w:spacing w:val="0"/>
          <w:kern w:val="2"/>
          <w:sz w:val="32"/>
          <w:szCs w:val="32"/>
          <w:shd w:val="clear" w:color="auto" w:fill="auto"/>
          <w:vertAlign w:val="baseline"/>
          <w:lang w:bidi="ar-SA"/>
        </w:rPr>
        <w:t>根据活动</w:t>
      </w:r>
      <w:r>
        <w:rPr>
          <w:rFonts w:hint="eastAsia" w:ascii="仿宋_GB2312" w:hAnsi="仿宋_GB2312" w:eastAsia="仿宋_GB2312" w:cs="仿宋_GB2312"/>
          <w:bCs/>
          <w:i w:val="0"/>
          <w:iCs w:val="0"/>
          <w:caps w:val="0"/>
          <w:spacing w:val="0"/>
          <w:kern w:val="2"/>
          <w:sz w:val="32"/>
          <w:szCs w:val="32"/>
          <w:shd w:val="clear" w:color="auto" w:fill="auto"/>
          <w:vertAlign w:val="baseline"/>
          <w:lang w:val="en-US" w:eastAsia="zh-CN" w:bidi="ar-SA"/>
        </w:rPr>
        <w:t>规模和品牌影响力每年</w:t>
      </w:r>
      <w:r>
        <w:rPr>
          <w:rFonts w:hint="eastAsia" w:ascii="仿宋_GB2312" w:hAnsi="仿宋_GB2312" w:eastAsia="仿宋_GB2312" w:cs="仿宋_GB2312"/>
          <w:bCs/>
          <w:i w:val="0"/>
          <w:iCs w:val="0"/>
          <w:caps w:val="0"/>
          <w:spacing w:val="0"/>
          <w:kern w:val="2"/>
          <w:sz w:val="32"/>
          <w:szCs w:val="32"/>
          <w:shd w:val="clear" w:color="auto" w:fill="auto"/>
          <w:vertAlign w:val="baseline"/>
          <w:lang w:bidi="ar-SA"/>
        </w:rPr>
        <w:t>最高给予100万元支持。</w:t>
      </w:r>
    </w:p>
    <w:bookmarkEnd w:id="3"/>
    <w:bookmarkEnd w:id="4"/>
    <w:bookmarkEnd w:id="5"/>
    <w:bookmarkEnd w:id="6"/>
    <w:p w14:paraId="634F97DD">
      <w:pPr>
        <w:suppressAutoHyphens/>
        <w:bidi w:val="0"/>
        <w:spacing w:line="560" w:lineRule="exact"/>
        <w:ind w:firstLine="643" w:firstLineChars="200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 xml:space="preserve">第九条 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 xml:space="preserve"> 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shd w:val="clear" w:color="auto" w:fill="auto"/>
        </w:rPr>
        <w:t>加大金融扶持力度。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shd w:val="clear" w:color="auto" w:fill="auto"/>
          <w:lang w:val="en-US" w:eastAsia="zh-CN"/>
        </w:rPr>
        <w:t>鼓励空域技术企业与优质银行进行贷款融资，可享受最高1.5个百分点的贴息支持，单个企业贷款最高支持2000万元。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shd w:val="clear" w:color="auto" w:fill="auto"/>
        </w:rPr>
        <w:t>设立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空域</w:t>
      </w:r>
      <w:r>
        <w:rPr>
          <w:rFonts w:ascii="仿宋_GB2312" w:hAnsi="仿宋_GB2312" w:eastAsia="仿宋_GB2312" w:cs="仿宋_GB2312"/>
          <w:bCs/>
          <w:sz w:val="32"/>
          <w:szCs w:val="32"/>
        </w:rPr>
        <w:t>技术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shd w:val="clear" w:color="auto" w:fill="auto"/>
        </w:rPr>
        <w:t>产业发展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shd w:val="clear" w:color="auto" w:fill="auto"/>
          <w:lang w:eastAsia="zh-CN"/>
        </w:rPr>
        <w:t>基金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shd w:val="clear" w:color="auto" w:fill="auto"/>
        </w:rPr>
        <w:t>，引导和推动基金支持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空域</w:t>
      </w:r>
      <w:r>
        <w:rPr>
          <w:rFonts w:ascii="仿宋_GB2312" w:hAnsi="仿宋_GB2312" w:eastAsia="仿宋_GB2312" w:cs="仿宋_GB2312"/>
          <w:bCs/>
          <w:sz w:val="32"/>
          <w:szCs w:val="32"/>
        </w:rPr>
        <w:t>技术产业发展。积极争取国家和市级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shd w:val="clear" w:color="auto" w:fill="auto"/>
        </w:rPr>
        <w:t>相关</w:t>
      </w:r>
      <w:r>
        <w:rPr>
          <w:rFonts w:ascii="仿宋_GB2312" w:hAnsi="仿宋_GB2312" w:eastAsia="仿宋_GB2312" w:cs="仿宋_GB2312"/>
          <w:bCs/>
          <w:sz w:val="32"/>
          <w:szCs w:val="32"/>
        </w:rPr>
        <w:t>产业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shd w:val="clear" w:color="auto" w:fill="auto"/>
        </w:rPr>
        <w:t>基金注入，积极利用产业基金等资金渠道开展企业并购，推动产业加快发展。</w:t>
      </w:r>
    </w:p>
    <w:p w14:paraId="725D181E">
      <w:pPr>
        <w:suppressAutoHyphens/>
        <w:bidi w:val="0"/>
        <w:spacing w:line="560" w:lineRule="exact"/>
        <w:ind w:firstLine="643" w:firstLineChars="200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第十条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 xml:space="preserve"> 加强人才保障。支持引进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空域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技术产业急需紧缺型人才，依据相关规定开通“绿色通道”加快办理落户，支持用人单位引进应届毕业生，提供公租房配租、子女入学、医疗康养等保障服务。</w:t>
      </w:r>
    </w:p>
    <w:p w14:paraId="1BC89A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val="en-US" w:eastAsia="zh-CN" w:bidi="ar-SA"/>
        </w:rPr>
        <w:t>第十一条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lang w:val="en-US" w:eastAsia="zh-CN" w:bidi="ar-SA"/>
        </w:rPr>
        <w:t xml:space="preserve"> 构建全链条合规管理服务体系。成立专门服务机构，建立覆盖研发试制、部件采购、生产组装、产品赋码、仓储存放、转运试飞、报废处置等环节全链条管理服务制度，为企业合规生产经营提供支撑服务。</w:t>
      </w:r>
    </w:p>
    <w:p w14:paraId="00D149D7">
      <w:pPr>
        <w:widowControl/>
        <w:suppressAutoHyphens/>
        <w:bidi w:val="0"/>
        <w:spacing w:line="560" w:lineRule="exact"/>
        <w:ind w:firstLine="640" w:firstLineChars="200"/>
      </w:pPr>
      <w:r>
        <w:rPr>
          <w:rFonts w:hint="eastAsia" w:ascii="仿宋_GB2312" w:eastAsia="仿宋_GB2312" w:cs="宋体"/>
          <w:sz w:val="32"/>
          <w:szCs w:val="32"/>
          <w:highlight w:val="none"/>
        </w:rPr>
        <w:t>本</w:t>
      </w:r>
      <w:r>
        <w:rPr>
          <w:rFonts w:hint="eastAsia" w:ascii="仿宋_GB2312" w:eastAsia="仿宋_GB2312" w:cs="宋体"/>
          <w:spacing w:val="-11"/>
          <w:sz w:val="32"/>
          <w:szCs w:val="32"/>
          <w:highlight w:val="none"/>
          <w:lang w:eastAsia="zh-CN"/>
        </w:rPr>
        <w:t>措施</w:t>
      </w:r>
      <w:r>
        <w:rPr>
          <w:rFonts w:hint="eastAsia" w:ascii="仿宋_GB2312" w:eastAsia="仿宋_GB2312" w:cs="宋体"/>
          <w:spacing w:val="-11"/>
          <w:sz w:val="32"/>
          <w:szCs w:val="32"/>
          <w:highlight w:val="none"/>
        </w:rPr>
        <w:t>由</w:t>
      </w:r>
      <w:r>
        <w:rPr>
          <w:rFonts w:hint="eastAsia" w:ascii="仿宋_GB2312" w:eastAsia="仿宋_GB2312" w:cs="宋体"/>
          <w:spacing w:val="-11"/>
          <w:sz w:val="32"/>
          <w:szCs w:val="32"/>
          <w:highlight w:val="none"/>
          <w:lang w:val="en-US" w:eastAsia="zh-CN"/>
        </w:rPr>
        <w:t>北京市延庆区科学技术和经济信息化局</w:t>
      </w:r>
      <w:r>
        <w:rPr>
          <w:rFonts w:hint="eastAsia" w:ascii="仿宋_GB2312" w:eastAsia="仿宋_GB2312" w:cs="宋体"/>
          <w:spacing w:val="-11"/>
          <w:sz w:val="32"/>
          <w:szCs w:val="32"/>
          <w:highlight w:val="none"/>
        </w:rPr>
        <w:t>（</w:t>
      </w:r>
      <w:r>
        <w:rPr>
          <w:rFonts w:hint="eastAsia" w:ascii="仿宋_GB2312" w:eastAsia="仿宋_GB2312" w:cs="宋体"/>
          <w:spacing w:val="-11"/>
          <w:sz w:val="32"/>
          <w:szCs w:val="32"/>
          <w:highlight w:val="none"/>
          <w:lang w:eastAsia="zh-CN"/>
        </w:rPr>
        <w:t>中关村</w:t>
      </w:r>
      <w:r>
        <w:rPr>
          <w:rFonts w:hint="eastAsia" w:ascii="仿宋_GB2312" w:eastAsia="仿宋_GB2312" w:cs="宋体"/>
          <w:spacing w:val="-11"/>
          <w:sz w:val="32"/>
          <w:szCs w:val="32"/>
          <w:highlight w:val="none"/>
          <w:lang w:val="en-US" w:eastAsia="zh-CN"/>
        </w:rPr>
        <w:t>科技园区</w:t>
      </w:r>
      <w:r>
        <w:rPr>
          <w:rFonts w:hint="eastAsia" w:ascii="仿宋_GB2312" w:eastAsia="仿宋_GB2312" w:cs="宋体"/>
          <w:spacing w:val="-11"/>
          <w:sz w:val="32"/>
          <w:szCs w:val="32"/>
          <w:highlight w:val="none"/>
        </w:rPr>
        <w:t>延庆园管</w:t>
      </w:r>
      <w:r>
        <w:rPr>
          <w:rFonts w:hint="eastAsia" w:ascii="仿宋_GB2312" w:eastAsia="仿宋_GB2312" w:cs="宋体"/>
          <w:spacing w:val="-11"/>
          <w:sz w:val="32"/>
          <w:szCs w:val="32"/>
          <w:highlight w:val="none"/>
          <w:lang w:val="en-US" w:eastAsia="zh-CN"/>
        </w:rPr>
        <w:t>理</w:t>
      </w:r>
      <w:r>
        <w:rPr>
          <w:rFonts w:hint="eastAsia" w:ascii="仿宋_GB2312" w:eastAsia="仿宋_GB2312" w:cs="宋体"/>
          <w:spacing w:val="-11"/>
          <w:sz w:val="32"/>
          <w:szCs w:val="32"/>
          <w:highlight w:val="none"/>
        </w:rPr>
        <w:t>委</w:t>
      </w:r>
      <w:r>
        <w:rPr>
          <w:rFonts w:hint="eastAsia" w:ascii="仿宋_GB2312" w:eastAsia="仿宋_GB2312" w:cs="宋体"/>
          <w:spacing w:val="-11"/>
          <w:sz w:val="32"/>
          <w:szCs w:val="32"/>
          <w:highlight w:val="none"/>
          <w:lang w:val="en-US" w:eastAsia="zh-CN"/>
        </w:rPr>
        <w:t>员</w:t>
      </w:r>
      <w:r>
        <w:rPr>
          <w:rFonts w:hint="eastAsia" w:ascii="仿宋_GB2312" w:eastAsia="仿宋_GB2312" w:cs="宋体"/>
          <w:spacing w:val="-11"/>
          <w:sz w:val="32"/>
          <w:szCs w:val="32"/>
          <w:highlight w:val="none"/>
        </w:rPr>
        <w:t>会）负责解释</w:t>
      </w:r>
      <w:r>
        <w:rPr>
          <w:rFonts w:hint="eastAsia" w:ascii="仿宋_GB2312" w:eastAsia="仿宋_GB2312" w:cs="宋体"/>
          <w:spacing w:val="-11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自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印发之日</w:t>
      </w:r>
      <w:r>
        <w:rPr>
          <w:rFonts w:hint="eastAsia" w:ascii="仿宋_GB2312" w:hAnsi="仿宋_GB2312" w:eastAsia="仿宋_GB2312" w:cs="仿宋_GB2312"/>
          <w:sz w:val="32"/>
          <w:szCs w:val="32"/>
        </w:rPr>
        <w:t>起施行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原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《关于促进北京市延庆区低空技术产业高质量发展的若干措施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》（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延园委发</w:t>
      </w:r>
      <w:r>
        <w:rPr>
          <w:rFonts w:hint="eastAsia" w:ascii="仿宋_GB2312" w:hAnsi="仿宋_GB2312" w:eastAsia="仿宋_GB2312" w:cs="仿宋_GB2312"/>
          <w:sz w:val="32"/>
          <w:szCs w:val="32"/>
        </w:rPr>
        <w:t>〔2025〕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5号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）</w:t>
      </w:r>
      <w:r>
        <w:rPr>
          <w:rFonts w:hint="eastAsia" w:ascii="仿宋_GB2312" w:eastAsia="仿宋_GB2312" w:cs="宋体"/>
          <w:sz w:val="32"/>
          <w:szCs w:val="32"/>
          <w:highlight w:val="none"/>
        </w:rPr>
        <w:t>同时废止。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同一项目、同一事项同时符合本措施多项条款或延庆区其他扶持政策的，按照“从优不重复”原则给予支持。执行期间，法律、法规、规章另有规定或遇政策调整的，从其规定。</w:t>
      </w:r>
      <w:bookmarkStart w:id="7" w:name="_GoBack"/>
      <w:bookmarkEnd w:id="7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05CAE08-A7F6-4437-AD8D-3BF901DF307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4732E5CC-E01A-46CD-A5CA-E57AE9BD6AA5}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  <w:embedRegular r:id="rId3" w:fontKey="{031C13BB-99FA-4CCA-81EC-B6CDC22EF5D0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53A9C0B0-894E-42BB-AE0E-A1C16099DEF5}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5" w:fontKey="{26BE7CF8-AD86-43CE-A2C3-F06D0D691F65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6" w:fontKey="{1A0FBC48-3138-4FA1-BD16-0C3E8A17D631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A44FEF5"/>
    <w:multiLevelType w:val="singleLevel"/>
    <w:tmpl w:val="BA44FEF5"/>
    <w:lvl w:ilvl="0" w:tentative="0">
      <w:start w:val="4"/>
      <w:numFmt w:val="chineseCounting"/>
      <w:suff w:val="space"/>
      <w:lvlText w:val="第%1条"/>
      <w:lvlJc w:val="left"/>
      <w:rPr>
        <w:rFonts w:hint="eastAsia"/>
        <w:b/>
        <w:bCs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M4YzFhMGNiNWM4NTJmYjVlYjgyODg0ZDA5YWE1YTMifQ=="/>
  </w:docVars>
  <w:rsids>
    <w:rsidRoot w:val="17486721"/>
    <w:rsid w:val="17486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line="400" w:lineRule="exact"/>
    </w:pPr>
    <w:rPr>
      <w:rFonts w:hint="eastAsia" w:ascii="华文新魏" w:hAnsi="华文新魏" w:eastAsia="仿宋_GB2312"/>
      <w:kern w:val="0"/>
      <w:sz w:val="28"/>
    </w:rPr>
  </w:style>
  <w:style w:type="paragraph" w:styleId="3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2026-10-14T06:32:00Z</dcterms:created>
  <dc:creator>孙彤</dc:creator>
  <cp:lastModifiedBy>孙彤</cp:lastModifiedBy>
  <dcterms:modified xsi:type="dcterms:W3CDTF">2026-10-14T06:32:59Z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202752DD5BA6483EA213F61725BB7531_11</vt:lpwstr>
  </property>
</Properties>
</file>