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hint="eastAsia" w:ascii="微软雅黑" w:hAnsi="微软雅黑" w:eastAsia="微软雅黑" w:cs="微软雅黑"/>
          <w:color w:val="auto"/>
          <w:sz w:val="36"/>
          <w:szCs w:val="36"/>
          <w:highlight w:val="none"/>
          <w:lang w:val="en-US" w:eastAsia="zh-CN"/>
        </w:rPr>
      </w:pPr>
      <w:bookmarkStart w:id="231" w:name="_GoBack"/>
      <w:bookmarkEnd w:id="231"/>
    </w:p>
    <w:p>
      <w:pPr>
        <w:ind w:firstLine="0" w:firstLineChars="0"/>
        <w:jc w:val="center"/>
        <w:rPr>
          <w:rFonts w:hint="eastAsia" w:ascii="微软雅黑" w:hAnsi="微软雅黑" w:eastAsia="微软雅黑" w:cs="微软雅黑"/>
          <w:color w:val="auto"/>
          <w:sz w:val="36"/>
          <w:szCs w:val="36"/>
          <w:highlight w:val="none"/>
          <w:lang w:val="en-US" w:eastAsia="zh-CN"/>
        </w:rPr>
      </w:pPr>
    </w:p>
    <w:p>
      <w:pPr>
        <w:ind w:firstLine="0" w:firstLineChars="0"/>
        <w:jc w:val="center"/>
        <w:rPr>
          <w:rFonts w:hint="default" w:ascii="微软雅黑" w:hAnsi="微软雅黑" w:eastAsia="微软雅黑" w:cs="微软雅黑"/>
          <w:color w:val="auto"/>
          <w:sz w:val="36"/>
          <w:szCs w:val="36"/>
          <w:highlight w:val="none"/>
          <w:lang w:val="en-US" w:eastAsia="zh-CN"/>
        </w:rPr>
      </w:pPr>
      <w:r>
        <w:rPr>
          <w:rFonts w:hint="eastAsia" w:ascii="微软雅黑" w:hAnsi="微软雅黑" w:eastAsia="微软雅黑" w:cs="微软雅黑"/>
          <w:color w:val="auto"/>
          <w:sz w:val="36"/>
          <w:szCs w:val="36"/>
          <w:highlight w:val="none"/>
          <w:lang w:val="en-US" w:eastAsia="zh-CN"/>
        </w:rPr>
        <w:t xml:space="preserve">  </w:t>
      </w:r>
    </w:p>
    <w:p>
      <w:pPr>
        <w:ind w:firstLine="0" w:firstLineChars="0"/>
        <w:jc w:val="center"/>
        <w:rPr>
          <w:rFonts w:hint="eastAsia" w:ascii="方正小标宋简体" w:hAnsi="方正小标宋简体" w:eastAsia="方正小标宋简体" w:cs="方正小标宋简体"/>
          <w:b/>
          <w:bCs/>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西城区“十五五”时期民政事业发展规划</w:t>
      </w:r>
    </w:p>
    <w:p>
      <w:pPr>
        <w:ind w:firstLine="0" w:firstLineChars="0"/>
        <w:jc w:val="center"/>
        <w:rPr>
          <w:rFonts w:hint="eastAsia" w:ascii="楷体" w:hAnsi="楷体" w:eastAsia="楷体" w:cs="楷体"/>
          <w:color w:val="auto"/>
          <w:sz w:val="36"/>
          <w:szCs w:val="36"/>
          <w:highlight w:val="none"/>
        </w:rPr>
      </w:pPr>
      <w:r>
        <w:rPr>
          <w:rFonts w:hint="eastAsia" w:ascii="楷体" w:hAnsi="楷体" w:eastAsia="楷体" w:cs="楷体"/>
          <w:color w:val="auto"/>
          <w:sz w:val="36"/>
          <w:szCs w:val="36"/>
          <w:highlight w:val="none"/>
        </w:rPr>
        <w:t>（</w:t>
      </w:r>
      <w:r>
        <w:rPr>
          <w:rFonts w:hint="eastAsia" w:ascii="楷体" w:hAnsi="楷体" w:eastAsia="楷体" w:cs="楷体"/>
          <w:color w:val="auto"/>
          <w:sz w:val="36"/>
          <w:szCs w:val="36"/>
          <w:highlight w:val="none"/>
          <w:lang w:eastAsia="zh-CN"/>
        </w:rPr>
        <w:t>征求意见</w:t>
      </w:r>
      <w:r>
        <w:rPr>
          <w:rFonts w:hint="eastAsia" w:ascii="楷体" w:hAnsi="楷体" w:eastAsia="楷体" w:cs="楷体"/>
          <w:color w:val="auto"/>
          <w:sz w:val="36"/>
          <w:szCs w:val="36"/>
          <w:highlight w:val="none"/>
        </w:rPr>
        <w:t>稿）</w:t>
      </w: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both"/>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default" w:ascii="楷体" w:hAnsi="楷体" w:eastAsia="楷体" w:cs="楷体"/>
          <w:color w:val="auto"/>
          <w:sz w:val="36"/>
          <w:szCs w:val="36"/>
          <w:highlight w:val="none"/>
          <w:lang w:val="en-US" w:eastAsia="zh-CN"/>
        </w:rPr>
      </w:pPr>
      <w:r>
        <w:rPr>
          <w:rFonts w:hint="eastAsia" w:ascii="楷体" w:hAnsi="楷体" w:eastAsia="楷体" w:cs="楷体"/>
          <w:color w:val="auto"/>
          <w:sz w:val="36"/>
          <w:szCs w:val="36"/>
          <w:highlight w:val="none"/>
          <w:lang w:val="en-US" w:eastAsia="zh-CN"/>
        </w:rPr>
        <w:t xml:space="preserve">            </w:t>
      </w: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p>
    <w:p>
      <w:pPr>
        <w:ind w:firstLine="0" w:firstLineChars="0"/>
        <w:jc w:val="center"/>
        <w:rPr>
          <w:rFonts w:hint="eastAsia" w:ascii="楷体" w:hAnsi="楷体" w:eastAsia="楷体" w:cs="楷体"/>
          <w:color w:val="auto"/>
          <w:sz w:val="36"/>
          <w:szCs w:val="36"/>
          <w:highlight w:val="none"/>
        </w:rPr>
      </w:pPr>
      <w:r>
        <w:rPr>
          <w:rFonts w:hint="eastAsia" w:ascii="楷体" w:hAnsi="楷体" w:eastAsia="楷体" w:cs="楷体"/>
          <w:color w:val="auto"/>
          <w:sz w:val="36"/>
          <w:szCs w:val="36"/>
          <w:highlight w:val="none"/>
        </w:rPr>
        <w:t>西城区民政局</w:t>
      </w:r>
    </w:p>
    <w:p>
      <w:pPr>
        <w:ind w:firstLine="0" w:firstLineChars="0"/>
        <w:jc w:val="center"/>
        <w:rPr>
          <w:rFonts w:hint="eastAsia" w:ascii="楷体" w:hAnsi="楷体" w:eastAsia="楷体" w:cs="楷体"/>
          <w:color w:val="auto"/>
          <w:sz w:val="36"/>
          <w:szCs w:val="36"/>
          <w:highlight w:val="none"/>
          <w:lang w:val="en-US" w:eastAsia="zh-CN"/>
        </w:rPr>
      </w:pPr>
      <w:r>
        <w:rPr>
          <w:rFonts w:hint="eastAsia" w:ascii="楷体" w:hAnsi="楷体" w:eastAsia="楷体" w:cs="楷体"/>
          <w:color w:val="auto"/>
          <w:sz w:val="36"/>
          <w:szCs w:val="36"/>
          <w:highlight w:val="none"/>
        </w:rPr>
        <w:t>202</w:t>
      </w:r>
      <w:r>
        <w:rPr>
          <w:rFonts w:hint="eastAsia" w:ascii="楷体" w:hAnsi="楷体" w:eastAsia="楷体" w:cs="楷体"/>
          <w:color w:val="auto"/>
          <w:sz w:val="36"/>
          <w:szCs w:val="36"/>
          <w:highlight w:val="none"/>
          <w:lang w:val="en-US" w:eastAsia="zh-CN"/>
        </w:rPr>
        <w:t>6</w:t>
      </w:r>
      <w:r>
        <w:rPr>
          <w:rFonts w:hint="eastAsia" w:ascii="楷体" w:hAnsi="楷体" w:eastAsia="楷体" w:cs="楷体"/>
          <w:color w:val="auto"/>
          <w:sz w:val="36"/>
          <w:szCs w:val="36"/>
          <w:highlight w:val="none"/>
        </w:rPr>
        <w:t>年</w:t>
      </w:r>
      <w:r>
        <w:rPr>
          <w:rFonts w:hint="eastAsia" w:ascii="楷体" w:hAnsi="楷体" w:eastAsia="楷体" w:cs="楷体"/>
          <w:color w:val="auto"/>
          <w:sz w:val="36"/>
          <w:szCs w:val="36"/>
          <w:highlight w:val="none"/>
          <w:lang w:val="en-US" w:eastAsia="zh-CN"/>
        </w:rPr>
        <w:t>9</w:t>
      </w:r>
      <w:r>
        <w:rPr>
          <w:rFonts w:hint="eastAsia" w:ascii="楷体" w:hAnsi="楷体" w:eastAsia="楷体" w:cs="楷体"/>
          <w:color w:val="auto"/>
          <w:sz w:val="36"/>
          <w:szCs w:val="36"/>
          <w:highlight w:val="none"/>
        </w:rPr>
        <w:t>月</w:t>
      </w:r>
    </w:p>
    <w:p>
      <w:pPr>
        <w:ind w:firstLine="640"/>
        <w:jc w:val="center"/>
        <w:rPr>
          <w:rFonts w:hint="eastAsia" w:ascii="楷体" w:hAnsi="楷体" w:eastAsia="楷体" w:cs="楷体"/>
          <w:color w:val="auto"/>
          <w:sz w:val="36"/>
          <w:szCs w:val="36"/>
          <w:highlight w:val="none"/>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ind w:firstLine="640"/>
        <w:jc w:val="center"/>
        <w:rPr>
          <w:rFonts w:hint="eastAsia" w:ascii="方正小标宋简体" w:hAnsi="方正小标宋简体" w:eastAsia="方正小标宋简体" w:cs="方正小标宋简体"/>
          <w:color w:val="auto"/>
          <w:sz w:val="36"/>
          <w:szCs w:val="24"/>
          <w:highlight w:val="none"/>
        </w:rPr>
      </w:pPr>
      <w:r>
        <w:rPr>
          <w:rFonts w:hint="eastAsia" w:ascii="方正小标宋简体" w:hAnsi="方正小标宋简体" w:eastAsia="方正小标宋简体" w:cs="方正小标宋简体"/>
          <w:color w:val="auto"/>
          <w:sz w:val="36"/>
          <w:szCs w:val="24"/>
          <w:highlight w:val="none"/>
        </w:rPr>
        <w:t>目  录</w:t>
      </w:r>
    </w:p>
    <w:sdt>
      <w:sdtPr>
        <w:rPr>
          <w:rFonts w:ascii="宋体" w:hAnsi="宋体" w:eastAsia="宋体"/>
          <w:color w:val="auto"/>
          <w:sz w:val="21"/>
          <w:highlight w:val="none"/>
        </w:rPr>
        <w:id w:val="147477262"/>
        <w15:color w:val="DBDBDB"/>
        <w:docPartObj>
          <w:docPartGallery w:val="Table of Contents"/>
          <w:docPartUnique/>
        </w:docPartObj>
      </w:sdtPr>
      <w:sdtEndPr>
        <w:rPr>
          <w:rFonts w:hint="eastAsia" w:ascii="Times New Roman" w:hAnsi="Times New Roman" w:eastAsia="宋体" w:cs="Times New Roman"/>
          <w:bCs/>
          <w:color w:val="auto"/>
          <w:sz w:val="21"/>
          <w:szCs w:val="32"/>
          <w:highlight w:val="none"/>
        </w:rPr>
      </w:sdtEndPr>
      <w:sdtContent>
        <w:p>
          <w:pPr>
            <w:ind w:firstLine="0" w:firstLineChars="0"/>
            <w:jc w:val="center"/>
            <w:rPr>
              <w:color w:val="auto"/>
              <w:highlight w:val="none"/>
            </w:rPr>
          </w:pPr>
        </w:p>
        <w:p>
          <w:pPr>
            <w:pStyle w:val="14"/>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color w:val="auto"/>
              <w:szCs w:val="32"/>
              <w:highlight w:val="none"/>
            </w:rPr>
            <w:instrText xml:space="preserve">TOC \o "1-3" \h \u </w:instrText>
          </w:r>
          <w:r>
            <w:rPr>
              <w:rFonts w:ascii="Times New Roman" w:hAnsi="Times New Roman" w:cs="Times New Roman"/>
              <w:bCs/>
              <w:color w:val="auto"/>
              <w:szCs w:val="32"/>
              <w:highlight w:val="none"/>
            </w:rPr>
            <w:fldChar w:fldCharType="separate"/>
          </w: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_Toc26927 </w:instrText>
          </w:r>
          <w:r>
            <w:rPr>
              <w:rFonts w:ascii="Times New Roman" w:hAnsi="Times New Roman" w:cs="Times New Roman"/>
              <w:bCs/>
              <w:szCs w:val="32"/>
              <w:highlight w:val="none"/>
            </w:rPr>
            <w:fldChar w:fldCharType="separate"/>
          </w:r>
          <w:r>
            <w:rPr>
              <w:rFonts w:hint="eastAsia" w:ascii="方正小标宋简体" w:hAnsi="方正小标宋简体" w:eastAsia="方正小标宋简体" w:cs="方正小标宋简体"/>
              <w:bCs/>
              <w:szCs w:val="36"/>
              <w:highlight w:val="none"/>
            </w:rPr>
            <w:t>第一章  规划背景</w:t>
          </w:r>
          <w:r>
            <w:tab/>
          </w:r>
          <w:r>
            <w:fldChar w:fldCharType="begin"/>
          </w:r>
          <w:r>
            <w:instrText xml:space="preserve"> PAGEREF _Toc26927 \h </w:instrText>
          </w:r>
          <w:r>
            <w:fldChar w:fldCharType="separate"/>
          </w:r>
          <w:r>
            <w:t>1</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_Toc2746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第一节  发展基础</w:t>
          </w:r>
          <w:r>
            <w:tab/>
          </w:r>
          <w:r>
            <w:fldChar w:fldCharType="begin"/>
          </w:r>
          <w:r>
            <w:instrText xml:space="preserve"> PAGEREF _Toc2746 \h </w:instrText>
          </w:r>
          <w:r>
            <w:fldChar w:fldCharType="separate"/>
          </w:r>
          <w:r>
            <w:t>1</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_Toc28035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 xml:space="preserve">第二节  </w:t>
          </w:r>
          <w:r>
            <w:rPr>
              <w:rFonts w:hint="eastAsia" w:ascii="楷体" w:hAnsi="楷体" w:eastAsia="楷体" w:cs="Times New Roman"/>
              <w:szCs w:val="32"/>
              <w:highlight w:val="none"/>
              <w:lang w:eastAsia="zh-CN"/>
            </w:rPr>
            <w:t>发展</w:t>
          </w:r>
          <w:r>
            <w:rPr>
              <w:rFonts w:hint="eastAsia" w:ascii="楷体" w:hAnsi="楷体" w:eastAsia="楷体" w:cs="Times New Roman"/>
              <w:szCs w:val="32"/>
              <w:highlight w:val="none"/>
            </w:rPr>
            <w:t>形势</w:t>
          </w:r>
          <w:r>
            <w:tab/>
          </w:r>
          <w:r>
            <w:fldChar w:fldCharType="begin"/>
          </w:r>
          <w:r>
            <w:instrText xml:space="preserve"> PAGEREF _Toc28035 \h </w:instrText>
          </w:r>
          <w:r>
            <w:fldChar w:fldCharType="separate"/>
          </w:r>
          <w:r>
            <w:t>3</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_Toc21270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 xml:space="preserve">第三节  </w:t>
          </w:r>
          <w:r>
            <w:rPr>
              <w:rFonts w:hint="eastAsia" w:ascii="楷体" w:hAnsi="楷体" w:eastAsia="楷体" w:cs="Times New Roman"/>
              <w:szCs w:val="32"/>
              <w:highlight w:val="none"/>
              <w:lang w:eastAsia="zh-CN"/>
            </w:rPr>
            <w:t>发展思路</w:t>
          </w:r>
          <w:r>
            <w:tab/>
          </w:r>
          <w:r>
            <w:fldChar w:fldCharType="begin"/>
          </w:r>
          <w:r>
            <w:instrText xml:space="preserve"> PAGEREF _Toc21270 \h </w:instrText>
          </w:r>
          <w:r>
            <w:fldChar w:fldCharType="separate"/>
          </w:r>
          <w:r>
            <w:t>4</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_Toc3075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lang w:eastAsia="zh-CN"/>
            </w:rPr>
            <w:t>第四节</w:t>
          </w:r>
          <w:r>
            <w:rPr>
              <w:rFonts w:hint="eastAsia" w:ascii="楷体" w:hAnsi="楷体" w:eastAsia="楷体" w:cs="Times New Roman"/>
              <w:szCs w:val="32"/>
              <w:highlight w:val="none"/>
              <w:lang w:val="en-US" w:eastAsia="zh-CN"/>
            </w:rPr>
            <w:t xml:space="preserve">  </w:t>
          </w:r>
          <w:r>
            <w:rPr>
              <w:rFonts w:hint="eastAsia" w:ascii="楷体" w:hAnsi="楷体" w:eastAsia="楷体" w:cs="Times New Roman"/>
              <w:szCs w:val="32"/>
              <w:highlight w:val="none"/>
            </w:rPr>
            <w:t>发展目标</w:t>
          </w:r>
          <w:r>
            <w:tab/>
          </w:r>
          <w:r>
            <w:fldChar w:fldCharType="begin"/>
          </w:r>
          <w:r>
            <w:instrText xml:space="preserve"> PAGEREF _Toc3075 \h </w:instrText>
          </w:r>
          <w:r>
            <w:fldChar w:fldCharType="separate"/>
          </w:r>
          <w:r>
            <w:t>4</w:t>
          </w:r>
          <w:r>
            <w:fldChar w:fldCharType="end"/>
          </w:r>
          <w:r>
            <w:rPr>
              <w:rFonts w:ascii="Times New Roman" w:hAnsi="Times New Roman" w:cs="Times New Roman"/>
              <w:bCs/>
              <w:color w:val="auto"/>
              <w:szCs w:val="32"/>
              <w:highlight w:val="none"/>
            </w:rPr>
            <w:fldChar w:fldCharType="end"/>
          </w:r>
        </w:p>
        <w:p>
          <w:pPr>
            <w:pStyle w:val="14"/>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_Toc10748 </w:instrText>
          </w:r>
          <w:r>
            <w:rPr>
              <w:rFonts w:ascii="Times New Roman" w:hAnsi="Times New Roman" w:cs="Times New Roman"/>
              <w:bCs/>
              <w:szCs w:val="32"/>
              <w:highlight w:val="none"/>
            </w:rPr>
            <w:fldChar w:fldCharType="separate"/>
          </w:r>
          <w:r>
            <w:rPr>
              <w:rFonts w:hint="eastAsia" w:ascii="方正小标宋简体" w:hAnsi="方正小标宋简体" w:eastAsia="方正小标宋简体" w:cs="方正小标宋简体"/>
              <w:bCs/>
              <w:szCs w:val="36"/>
              <w:highlight w:val="none"/>
            </w:rPr>
            <w:t xml:space="preserve">第二章  </w:t>
          </w:r>
          <w:r>
            <w:rPr>
              <w:rFonts w:hint="eastAsia" w:ascii="方正小标宋简体" w:hAnsi="方正小标宋简体" w:eastAsia="方正小标宋简体" w:cs="方正小标宋简体"/>
              <w:bCs/>
              <w:szCs w:val="36"/>
              <w:highlight w:val="none"/>
              <w:lang w:val="en-US" w:eastAsia="zh-CN"/>
            </w:rPr>
            <w:t>深入推进实施积极应对人口老龄化国家战略</w:t>
          </w:r>
          <w:r>
            <w:tab/>
          </w:r>
          <w:r>
            <w:fldChar w:fldCharType="begin"/>
          </w:r>
          <w:r>
            <w:instrText xml:space="preserve"> PAGEREF _Toc10748 \h </w:instrText>
          </w:r>
          <w:r>
            <w:fldChar w:fldCharType="separate"/>
          </w:r>
          <w:r>
            <w:t>6</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_Toc9413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第一节  构建老龄事业发展新格局</w:t>
          </w:r>
          <w:r>
            <w:tab/>
          </w:r>
          <w:r>
            <w:fldChar w:fldCharType="begin"/>
          </w:r>
          <w:r>
            <w:instrText xml:space="preserve"> PAGEREF _Toc9413 \h </w:instrText>
          </w:r>
          <w:r>
            <w:fldChar w:fldCharType="separate"/>
          </w:r>
          <w:r>
            <w:t>6</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_Toc27008 </w:instrText>
          </w:r>
          <w:r>
            <w:rPr>
              <w:rFonts w:ascii="Times New Roman" w:hAnsi="Times New Roman" w:cs="Times New Roman"/>
              <w:bCs/>
              <w:szCs w:val="32"/>
              <w:highlight w:val="none"/>
            </w:rPr>
            <w:fldChar w:fldCharType="separate"/>
          </w:r>
          <w:r>
            <w:rPr>
              <w:rFonts w:hint="eastAsia" w:ascii="楷体" w:hAnsi="楷体" w:eastAsia="楷体" w:cs="Times New Roman"/>
              <w:szCs w:val="32"/>
            </w:rPr>
            <w:t xml:space="preserve">第二节 </w:t>
          </w:r>
          <w:r>
            <w:rPr>
              <w:rFonts w:hint="eastAsia" w:ascii="楷体" w:hAnsi="楷体" w:eastAsia="楷体" w:cs="Times New Roman"/>
              <w:szCs w:val="32"/>
              <w:highlight w:val="none"/>
            </w:rPr>
            <w:t>深化养老服务改革创新“西城实践”</w:t>
          </w:r>
          <w:r>
            <w:tab/>
          </w:r>
          <w:r>
            <w:fldChar w:fldCharType="begin"/>
          </w:r>
          <w:r>
            <w:instrText xml:space="preserve"> PAGEREF _Toc27008 \h </w:instrText>
          </w:r>
          <w:r>
            <w:fldChar w:fldCharType="separate"/>
          </w:r>
          <w:r>
            <w:t>7</w:t>
          </w:r>
          <w:r>
            <w:fldChar w:fldCharType="end"/>
          </w:r>
          <w:r>
            <w:rPr>
              <w:rFonts w:ascii="Times New Roman" w:hAnsi="Times New Roman" w:cs="Times New Roman"/>
              <w:bCs/>
              <w:color w:val="auto"/>
              <w:szCs w:val="32"/>
              <w:highlight w:val="none"/>
            </w:rPr>
            <w:fldChar w:fldCharType="end"/>
          </w:r>
        </w:p>
        <w:p>
          <w:pPr>
            <w:pStyle w:val="14"/>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_Toc8826 </w:instrText>
          </w:r>
          <w:r>
            <w:rPr>
              <w:rFonts w:ascii="Times New Roman" w:hAnsi="Times New Roman" w:cs="Times New Roman"/>
              <w:bCs/>
              <w:szCs w:val="32"/>
              <w:highlight w:val="none"/>
            </w:rPr>
            <w:fldChar w:fldCharType="separate"/>
          </w:r>
          <w:r>
            <w:rPr>
              <w:rFonts w:hint="eastAsia" w:ascii="方正小标宋简体" w:hAnsi="方正小标宋简体" w:eastAsia="方正小标宋简体" w:cs="方正小标宋简体"/>
              <w:bCs/>
              <w:szCs w:val="36"/>
              <w:highlight w:val="none"/>
            </w:rPr>
            <w:t xml:space="preserve">第三章  </w:t>
          </w:r>
          <w:r>
            <w:rPr>
              <w:rFonts w:hint="eastAsia" w:ascii="方正小标宋简体" w:hAnsi="方正小标宋简体" w:eastAsia="方正小标宋简体" w:cs="方正小标宋简体"/>
              <w:bCs/>
              <w:szCs w:val="36"/>
              <w:highlight w:val="none"/>
              <w:lang w:eastAsia="zh-CN"/>
            </w:rPr>
            <w:t>优化</w:t>
          </w:r>
          <w:r>
            <w:rPr>
              <w:rFonts w:hint="eastAsia" w:ascii="方正小标宋简体" w:hAnsi="方正小标宋简体" w:eastAsia="方正小标宋简体" w:cs="方正小标宋简体"/>
              <w:bCs/>
              <w:szCs w:val="36"/>
              <w:highlight w:val="none"/>
            </w:rPr>
            <w:t>与经济发展水平相适应的社会救助</w:t>
          </w:r>
          <w:r>
            <w:rPr>
              <w:rFonts w:hint="eastAsia" w:ascii="方正小标宋简体" w:hAnsi="方正小标宋简体" w:eastAsia="方正小标宋简体" w:cs="方正小标宋简体"/>
              <w:bCs/>
              <w:szCs w:val="36"/>
              <w:highlight w:val="none"/>
              <w:lang w:eastAsia="zh-CN"/>
            </w:rPr>
            <w:t>格局</w:t>
          </w:r>
          <w:r>
            <w:tab/>
          </w:r>
          <w:r>
            <w:fldChar w:fldCharType="begin"/>
          </w:r>
          <w:r>
            <w:instrText xml:space="preserve"> PAGEREF _Toc8826 \h </w:instrText>
          </w:r>
          <w:r>
            <w:fldChar w:fldCharType="separate"/>
          </w:r>
          <w:r>
            <w:t>9</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_Toc11962 </w:instrText>
          </w:r>
          <w:r>
            <w:rPr>
              <w:rFonts w:ascii="Times New Roman" w:hAnsi="Times New Roman" w:cs="Times New Roman"/>
              <w:bCs/>
              <w:szCs w:val="32"/>
              <w:highlight w:val="none"/>
            </w:rPr>
            <w:fldChar w:fldCharType="separate"/>
          </w:r>
          <w:r>
            <w:rPr>
              <w:rFonts w:hint="eastAsia" w:ascii="楷体" w:hAnsi="楷体" w:eastAsia="楷体" w:cs="Times New Roman"/>
              <w:szCs w:val="30"/>
              <w:highlight w:val="none"/>
            </w:rPr>
            <w:t xml:space="preserve">第一节 </w:t>
          </w:r>
          <w:r>
            <w:rPr>
              <w:rFonts w:hint="eastAsia" w:ascii="楷体" w:hAnsi="楷体" w:eastAsia="楷体" w:cs="Times New Roman"/>
              <w:szCs w:val="30"/>
              <w:highlight w:val="none"/>
              <w:lang w:eastAsia="zh-CN"/>
            </w:rPr>
            <w:t>健全分层分类社会救助体系</w:t>
          </w:r>
          <w:r>
            <w:tab/>
          </w:r>
          <w:r>
            <w:fldChar w:fldCharType="begin"/>
          </w:r>
          <w:r>
            <w:instrText xml:space="preserve"> PAGEREF _Toc11962 \h </w:instrText>
          </w:r>
          <w:r>
            <w:fldChar w:fldCharType="separate"/>
          </w:r>
          <w:r>
            <w:t>9</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_Toc15970 </w:instrText>
          </w:r>
          <w:r>
            <w:rPr>
              <w:rFonts w:ascii="Times New Roman" w:hAnsi="Times New Roman" w:cs="Times New Roman"/>
              <w:bCs/>
              <w:szCs w:val="32"/>
              <w:highlight w:val="none"/>
            </w:rPr>
            <w:fldChar w:fldCharType="separate"/>
          </w:r>
          <w:r>
            <w:rPr>
              <w:rFonts w:hint="eastAsia" w:ascii="楷体" w:hAnsi="楷体" w:eastAsia="楷体" w:cs="Times New Roman"/>
              <w:szCs w:val="30"/>
              <w:highlight w:val="none"/>
            </w:rPr>
            <w:t>第二节  积极推进服务类社会救助</w:t>
          </w:r>
          <w:r>
            <w:tab/>
          </w:r>
          <w:r>
            <w:fldChar w:fldCharType="begin"/>
          </w:r>
          <w:r>
            <w:instrText xml:space="preserve"> PAGEREF _Toc15970 \h </w:instrText>
          </w:r>
          <w:r>
            <w:fldChar w:fldCharType="separate"/>
          </w:r>
          <w:r>
            <w:t>9</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_Toc23771 </w:instrText>
          </w:r>
          <w:r>
            <w:rPr>
              <w:rFonts w:ascii="Times New Roman" w:hAnsi="Times New Roman" w:cs="Times New Roman"/>
              <w:bCs/>
              <w:szCs w:val="32"/>
              <w:highlight w:val="none"/>
            </w:rPr>
            <w:fldChar w:fldCharType="separate"/>
          </w:r>
          <w:r>
            <w:rPr>
              <w:rFonts w:hint="eastAsia" w:ascii="楷体" w:hAnsi="楷体" w:eastAsia="楷体" w:cs="Times New Roman"/>
              <w:szCs w:val="30"/>
              <w:highlight w:val="none"/>
            </w:rPr>
            <w:t>第三节  加强</w:t>
          </w:r>
          <w:r>
            <w:rPr>
              <w:rFonts w:hint="eastAsia" w:ascii="楷体" w:hAnsi="楷体" w:eastAsia="楷体" w:cs="Times New Roman"/>
              <w:szCs w:val="30"/>
              <w:highlight w:val="none"/>
              <w:lang w:eastAsia="zh-CN"/>
            </w:rPr>
            <w:t>接济</w:t>
          </w:r>
          <w:r>
            <w:rPr>
              <w:rFonts w:hint="eastAsia" w:ascii="楷体" w:hAnsi="楷体" w:eastAsia="楷体" w:cs="Times New Roman"/>
              <w:szCs w:val="30"/>
              <w:highlight w:val="none"/>
            </w:rPr>
            <w:t>救助服务保障</w:t>
          </w:r>
          <w:r>
            <w:tab/>
          </w:r>
          <w:r>
            <w:fldChar w:fldCharType="begin"/>
          </w:r>
          <w:r>
            <w:instrText xml:space="preserve"> PAGEREF _Toc23771 \h </w:instrText>
          </w:r>
          <w:r>
            <w:fldChar w:fldCharType="separate"/>
          </w:r>
          <w:r>
            <w:t>9</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_Toc14256 </w:instrText>
          </w:r>
          <w:r>
            <w:rPr>
              <w:rFonts w:ascii="Times New Roman" w:hAnsi="Times New Roman" w:cs="Times New Roman"/>
              <w:bCs/>
              <w:szCs w:val="32"/>
              <w:highlight w:val="none"/>
            </w:rPr>
            <w:fldChar w:fldCharType="separate"/>
          </w:r>
          <w:r>
            <w:rPr>
              <w:rFonts w:hint="eastAsia" w:ascii="楷体" w:hAnsi="楷体" w:eastAsia="楷体" w:cs="Times New Roman"/>
              <w:szCs w:val="30"/>
              <w:highlight w:val="none"/>
              <w:lang w:eastAsia="zh-CN"/>
            </w:rPr>
            <w:t>第四节  加强社会救助监督管理</w:t>
          </w:r>
          <w:r>
            <w:tab/>
          </w:r>
          <w:r>
            <w:fldChar w:fldCharType="begin"/>
          </w:r>
          <w:r>
            <w:instrText xml:space="preserve"> PAGEREF _Toc14256 \h </w:instrText>
          </w:r>
          <w:r>
            <w:fldChar w:fldCharType="separate"/>
          </w:r>
          <w:r>
            <w:t>10</w:t>
          </w:r>
          <w:r>
            <w:fldChar w:fldCharType="end"/>
          </w:r>
          <w:r>
            <w:rPr>
              <w:rFonts w:ascii="Times New Roman" w:hAnsi="Times New Roman" w:cs="Times New Roman"/>
              <w:bCs/>
              <w:color w:val="auto"/>
              <w:szCs w:val="32"/>
              <w:highlight w:val="none"/>
            </w:rPr>
            <w:fldChar w:fldCharType="end"/>
          </w:r>
        </w:p>
        <w:p>
          <w:pPr>
            <w:pStyle w:val="14"/>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_Toc3958 </w:instrText>
          </w:r>
          <w:r>
            <w:rPr>
              <w:rFonts w:ascii="Times New Roman" w:hAnsi="Times New Roman" w:cs="Times New Roman"/>
              <w:bCs/>
              <w:szCs w:val="32"/>
              <w:highlight w:val="none"/>
            </w:rPr>
            <w:fldChar w:fldCharType="separate"/>
          </w:r>
          <w:r>
            <w:rPr>
              <w:rFonts w:hint="eastAsia" w:ascii="方正小标宋简体" w:hAnsi="方正小标宋简体" w:eastAsia="方正小标宋简体" w:cs="方正小标宋简体"/>
              <w:bCs/>
              <w:szCs w:val="36"/>
              <w:highlight w:val="none"/>
            </w:rPr>
            <w:t xml:space="preserve">第四章  </w:t>
          </w:r>
          <w:r>
            <w:rPr>
              <w:rFonts w:hint="eastAsia" w:ascii="方正小标宋简体" w:hAnsi="方正小标宋简体" w:eastAsia="方正小标宋简体" w:cs="方正小标宋简体"/>
              <w:bCs/>
              <w:szCs w:val="36"/>
              <w:highlight w:val="none"/>
              <w:lang w:eastAsia="zh-CN"/>
            </w:rPr>
            <w:t>大力推动社会福利保障提质增效</w:t>
          </w:r>
          <w:r>
            <w:tab/>
          </w:r>
          <w:r>
            <w:fldChar w:fldCharType="begin"/>
          </w:r>
          <w:r>
            <w:instrText xml:space="preserve"> PAGEREF _Toc3958 \h </w:instrText>
          </w:r>
          <w:r>
            <w:fldChar w:fldCharType="separate"/>
          </w:r>
          <w:r>
            <w:t>11</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_Toc12416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第一节  完善残疾人福利保障体系</w:t>
          </w:r>
          <w:r>
            <w:tab/>
          </w:r>
          <w:r>
            <w:fldChar w:fldCharType="begin"/>
          </w:r>
          <w:r>
            <w:instrText xml:space="preserve"> PAGEREF _Toc12416 \h </w:instrText>
          </w:r>
          <w:r>
            <w:fldChar w:fldCharType="separate"/>
          </w:r>
          <w:r>
            <w:t>11</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_Toc28863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lang w:eastAsia="zh-CN"/>
            </w:rPr>
            <w:t>第二节</w:t>
          </w:r>
          <w:r>
            <w:rPr>
              <w:rFonts w:hint="eastAsia" w:ascii="楷体" w:hAnsi="楷体" w:eastAsia="楷体" w:cs="Times New Roman"/>
              <w:szCs w:val="32"/>
              <w:highlight w:val="none"/>
              <w:lang w:val="en-US" w:eastAsia="zh-CN"/>
            </w:rPr>
            <w:t xml:space="preserve"> </w:t>
          </w:r>
          <w:r>
            <w:rPr>
              <w:rFonts w:hint="eastAsia" w:ascii="楷体" w:hAnsi="楷体" w:eastAsia="楷体" w:cs="Times New Roman"/>
              <w:szCs w:val="32"/>
              <w:highlight w:val="none"/>
            </w:rPr>
            <w:t xml:space="preserve"> 加强困境儿童福利保障</w:t>
          </w:r>
          <w:r>
            <w:tab/>
          </w:r>
          <w:r>
            <w:fldChar w:fldCharType="begin"/>
          </w:r>
          <w:r>
            <w:instrText xml:space="preserve"> PAGEREF _Toc28863 \h </w:instrText>
          </w:r>
          <w:r>
            <w:fldChar w:fldCharType="separate"/>
          </w:r>
          <w:r>
            <w:t>12</w:t>
          </w:r>
          <w:r>
            <w:fldChar w:fldCharType="end"/>
          </w:r>
          <w:r>
            <w:rPr>
              <w:rFonts w:ascii="Times New Roman" w:hAnsi="Times New Roman" w:cs="Times New Roman"/>
              <w:bCs/>
              <w:color w:val="auto"/>
              <w:szCs w:val="32"/>
              <w:highlight w:val="none"/>
            </w:rPr>
            <w:fldChar w:fldCharType="end"/>
          </w:r>
        </w:p>
        <w:p>
          <w:pPr>
            <w:pStyle w:val="14"/>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_Toc12449 </w:instrText>
          </w:r>
          <w:r>
            <w:rPr>
              <w:rFonts w:ascii="Times New Roman" w:hAnsi="Times New Roman" w:cs="Times New Roman"/>
              <w:bCs/>
              <w:szCs w:val="32"/>
              <w:highlight w:val="none"/>
            </w:rPr>
            <w:fldChar w:fldCharType="separate"/>
          </w:r>
          <w:r>
            <w:rPr>
              <w:rFonts w:hint="eastAsia" w:ascii="方正小标宋简体" w:hAnsi="方正小标宋简体" w:eastAsia="方正小标宋简体" w:cs="方正小标宋简体"/>
              <w:bCs/>
              <w:szCs w:val="36"/>
              <w:highlight w:val="none"/>
            </w:rPr>
            <w:t>第五章  加强社会事务工作改革创新</w:t>
          </w:r>
          <w:r>
            <w:tab/>
          </w:r>
          <w:r>
            <w:fldChar w:fldCharType="begin"/>
          </w:r>
          <w:r>
            <w:instrText xml:space="preserve"> PAGEREF _Toc12449 \h </w:instrText>
          </w:r>
          <w:r>
            <w:fldChar w:fldCharType="separate"/>
          </w:r>
          <w:r>
            <w:t>13</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_Toc28427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第一节  优化婚姻登记服务管理</w:t>
          </w:r>
          <w:r>
            <w:tab/>
          </w:r>
          <w:r>
            <w:fldChar w:fldCharType="begin"/>
          </w:r>
          <w:r>
            <w:instrText xml:space="preserve"> PAGEREF _Toc28427 \h </w:instrText>
          </w:r>
          <w:r>
            <w:fldChar w:fldCharType="separate"/>
          </w:r>
          <w:r>
            <w:t>13</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_Toc31175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 xml:space="preserve">第二节 </w:t>
          </w:r>
          <w:r>
            <w:rPr>
              <w:rFonts w:hint="eastAsia" w:ascii="楷体" w:hAnsi="楷体" w:eastAsia="楷体" w:cs="Times New Roman"/>
              <w:szCs w:val="32"/>
              <w:highlight w:val="none"/>
              <w:lang w:val="en-US" w:eastAsia="zh-CN"/>
            </w:rPr>
            <w:t xml:space="preserve"> </w:t>
          </w:r>
          <w:r>
            <w:rPr>
              <w:rFonts w:hint="eastAsia" w:ascii="楷体" w:hAnsi="楷体" w:eastAsia="楷体" w:cs="Times New Roman"/>
              <w:szCs w:val="32"/>
              <w:highlight w:val="none"/>
            </w:rPr>
            <w:t>全面加强基本殡葬服务保障</w:t>
          </w:r>
          <w:r>
            <w:tab/>
          </w:r>
          <w:r>
            <w:fldChar w:fldCharType="begin"/>
          </w:r>
          <w:r>
            <w:instrText xml:space="preserve"> PAGEREF _Toc31175 \h </w:instrText>
          </w:r>
          <w:r>
            <w:fldChar w:fldCharType="separate"/>
          </w:r>
          <w:r>
            <w:t>14</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_Toc1815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第三节  加强见义勇为权益保护</w:t>
          </w:r>
          <w:r>
            <w:tab/>
          </w:r>
          <w:r>
            <w:fldChar w:fldCharType="begin"/>
          </w:r>
          <w:r>
            <w:instrText xml:space="preserve"> PAGEREF _Toc1815 \h </w:instrText>
          </w:r>
          <w:r>
            <w:fldChar w:fldCharType="separate"/>
          </w:r>
          <w:r>
            <w:t>14</w:t>
          </w:r>
          <w:r>
            <w:fldChar w:fldCharType="end"/>
          </w:r>
          <w:r>
            <w:rPr>
              <w:rFonts w:ascii="Times New Roman" w:hAnsi="Times New Roman" w:cs="Times New Roman"/>
              <w:bCs/>
              <w:color w:val="auto"/>
              <w:szCs w:val="32"/>
              <w:highlight w:val="none"/>
            </w:rPr>
            <w:fldChar w:fldCharType="end"/>
          </w:r>
        </w:p>
        <w:p>
          <w:pPr>
            <w:pStyle w:val="14"/>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_Toc6218 </w:instrText>
          </w:r>
          <w:r>
            <w:rPr>
              <w:rFonts w:ascii="Times New Roman" w:hAnsi="Times New Roman" w:cs="Times New Roman"/>
              <w:bCs/>
              <w:szCs w:val="32"/>
              <w:highlight w:val="none"/>
            </w:rPr>
            <w:fldChar w:fldCharType="separate"/>
          </w:r>
          <w:r>
            <w:rPr>
              <w:rFonts w:hint="eastAsia" w:ascii="方正小标宋简体" w:hAnsi="方正小标宋简体" w:eastAsia="方正小标宋简体" w:cs="方正小标宋简体"/>
              <w:bCs/>
              <w:szCs w:val="36"/>
              <w:highlight w:val="none"/>
            </w:rPr>
            <w:t xml:space="preserve">第六章  </w:t>
          </w:r>
          <w:r>
            <w:rPr>
              <w:rFonts w:hint="eastAsia" w:ascii="方正小标宋简体" w:hAnsi="方正小标宋简体" w:eastAsia="方正小标宋简体" w:cs="方正小标宋简体"/>
              <w:bCs/>
              <w:szCs w:val="36"/>
              <w:highlight w:val="none"/>
              <w:lang w:eastAsia="zh-CN"/>
            </w:rPr>
            <w:t>全面</w:t>
          </w:r>
          <w:r>
            <w:rPr>
              <w:rFonts w:hint="eastAsia" w:ascii="方正小标宋简体" w:hAnsi="方正小标宋简体" w:eastAsia="方正小标宋简体" w:cs="方正小标宋简体"/>
              <w:bCs/>
              <w:szCs w:val="36"/>
              <w:highlight w:val="none"/>
            </w:rPr>
            <w:t>提升社会治理能力水平</w:t>
          </w:r>
          <w:r>
            <w:tab/>
          </w:r>
          <w:r>
            <w:fldChar w:fldCharType="begin"/>
          </w:r>
          <w:r>
            <w:instrText xml:space="preserve"> PAGEREF _Toc6218 \h </w:instrText>
          </w:r>
          <w:r>
            <w:fldChar w:fldCharType="separate"/>
          </w:r>
          <w:r>
            <w:t>15</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_Toc13370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第一节  引导社会组织高质量发展</w:t>
          </w:r>
          <w:r>
            <w:tab/>
          </w:r>
          <w:r>
            <w:fldChar w:fldCharType="begin"/>
          </w:r>
          <w:r>
            <w:instrText xml:space="preserve"> PAGEREF _Toc13370 \h </w:instrText>
          </w:r>
          <w:r>
            <w:fldChar w:fldCharType="separate"/>
          </w:r>
          <w:r>
            <w:t>15</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_Toc16636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第二节  推动慈善事业高质量发展</w:t>
          </w:r>
          <w:r>
            <w:tab/>
          </w:r>
          <w:r>
            <w:fldChar w:fldCharType="begin"/>
          </w:r>
          <w:r>
            <w:instrText xml:space="preserve"> PAGEREF _Toc16636 \h </w:instrText>
          </w:r>
          <w:r>
            <w:fldChar w:fldCharType="separate"/>
          </w:r>
          <w:r>
            <w:t>16</w:t>
          </w:r>
          <w:r>
            <w:fldChar w:fldCharType="end"/>
          </w:r>
          <w:r>
            <w:rPr>
              <w:rFonts w:ascii="Times New Roman" w:hAnsi="Times New Roman" w:cs="Times New Roman"/>
              <w:bCs/>
              <w:color w:val="auto"/>
              <w:szCs w:val="32"/>
              <w:highlight w:val="none"/>
            </w:rPr>
            <w:fldChar w:fldCharType="end"/>
          </w:r>
        </w:p>
        <w:p>
          <w:pPr>
            <w:pStyle w:val="16"/>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_Toc19312 </w:instrText>
          </w:r>
          <w:r>
            <w:rPr>
              <w:rFonts w:ascii="Times New Roman" w:hAnsi="Times New Roman" w:cs="Times New Roman"/>
              <w:bCs/>
              <w:szCs w:val="32"/>
              <w:highlight w:val="none"/>
            </w:rPr>
            <w:fldChar w:fldCharType="separate"/>
          </w:r>
          <w:r>
            <w:rPr>
              <w:rFonts w:hint="eastAsia" w:ascii="楷体" w:hAnsi="楷体" w:eastAsia="楷体" w:cs="Times New Roman"/>
              <w:szCs w:val="32"/>
              <w:highlight w:val="none"/>
            </w:rPr>
            <w:t>第</w:t>
          </w:r>
          <w:r>
            <w:rPr>
              <w:rFonts w:hint="eastAsia" w:ascii="楷体" w:hAnsi="楷体" w:eastAsia="楷体" w:cs="Times New Roman"/>
              <w:szCs w:val="32"/>
              <w:highlight w:val="none"/>
              <w:lang w:eastAsia="zh-CN"/>
            </w:rPr>
            <w:t>三</w:t>
          </w:r>
          <w:r>
            <w:rPr>
              <w:rFonts w:hint="eastAsia" w:ascii="楷体" w:hAnsi="楷体" w:eastAsia="楷体" w:cs="Times New Roman"/>
              <w:szCs w:val="32"/>
              <w:highlight w:val="none"/>
            </w:rPr>
            <w:t>节  积极稳妥做好行政区划工作</w:t>
          </w:r>
          <w:r>
            <w:tab/>
          </w:r>
          <w:r>
            <w:fldChar w:fldCharType="begin"/>
          </w:r>
          <w:r>
            <w:instrText xml:space="preserve"> PAGEREF _Toc19312 \h </w:instrText>
          </w:r>
          <w:r>
            <w:fldChar w:fldCharType="separate"/>
          </w:r>
          <w:r>
            <w:t>17</w:t>
          </w:r>
          <w:r>
            <w:fldChar w:fldCharType="end"/>
          </w:r>
          <w:r>
            <w:rPr>
              <w:rFonts w:ascii="Times New Roman" w:hAnsi="Times New Roman" w:cs="Times New Roman"/>
              <w:bCs/>
              <w:color w:val="auto"/>
              <w:szCs w:val="32"/>
              <w:highlight w:val="none"/>
            </w:rPr>
            <w:fldChar w:fldCharType="end"/>
          </w:r>
        </w:p>
        <w:p>
          <w:pPr>
            <w:pStyle w:val="14"/>
            <w:tabs>
              <w:tab w:val="right" w:leader="dot" w:pos="9072"/>
            </w:tabs>
          </w:pPr>
          <w:r>
            <w:rPr>
              <w:rFonts w:ascii="Times New Roman" w:hAnsi="Times New Roman" w:cs="Times New Roman"/>
              <w:bCs/>
              <w:color w:val="auto"/>
              <w:szCs w:val="32"/>
              <w:highlight w:val="none"/>
            </w:rPr>
            <w:fldChar w:fldCharType="begin"/>
          </w:r>
          <w:r>
            <w:rPr>
              <w:rFonts w:ascii="Times New Roman" w:hAnsi="Times New Roman" w:cs="Times New Roman"/>
              <w:bCs/>
              <w:szCs w:val="32"/>
              <w:highlight w:val="none"/>
            </w:rPr>
            <w:instrText xml:space="preserve"> HYPERLINK \l _Toc25238 </w:instrText>
          </w:r>
          <w:r>
            <w:rPr>
              <w:rFonts w:ascii="Times New Roman" w:hAnsi="Times New Roman" w:cs="Times New Roman"/>
              <w:bCs/>
              <w:szCs w:val="32"/>
              <w:highlight w:val="none"/>
            </w:rPr>
            <w:fldChar w:fldCharType="separate"/>
          </w:r>
          <w:r>
            <w:rPr>
              <w:rFonts w:hint="eastAsia" w:ascii="方正小标宋简体" w:hAnsi="方正小标宋简体" w:eastAsia="方正小标宋简体" w:cs="方正小标宋简体"/>
              <w:bCs/>
              <w:szCs w:val="36"/>
              <w:highlight w:val="none"/>
            </w:rPr>
            <w:t>第</w:t>
          </w:r>
          <w:r>
            <w:rPr>
              <w:rFonts w:hint="eastAsia" w:ascii="方正小标宋简体" w:hAnsi="方正小标宋简体" w:eastAsia="方正小标宋简体" w:cs="方正小标宋简体"/>
              <w:bCs/>
              <w:szCs w:val="36"/>
              <w:highlight w:val="none"/>
              <w:lang w:eastAsia="zh-CN"/>
            </w:rPr>
            <w:t>七</w:t>
          </w:r>
          <w:r>
            <w:rPr>
              <w:rFonts w:hint="eastAsia" w:ascii="方正小标宋简体" w:hAnsi="方正小标宋简体" w:eastAsia="方正小标宋简体" w:cs="方正小标宋简体"/>
              <w:bCs/>
              <w:szCs w:val="36"/>
              <w:highlight w:val="none"/>
            </w:rPr>
            <w:t>章  保障措施</w:t>
          </w:r>
          <w:r>
            <w:tab/>
          </w:r>
          <w:r>
            <w:fldChar w:fldCharType="begin"/>
          </w:r>
          <w:r>
            <w:instrText xml:space="preserve"> PAGEREF _Toc25238 \h </w:instrText>
          </w:r>
          <w:r>
            <w:fldChar w:fldCharType="separate"/>
          </w:r>
          <w:r>
            <w:t>18</w:t>
          </w:r>
          <w:r>
            <w:fldChar w:fldCharType="end"/>
          </w:r>
          <w:r>
            <w:rPr>
              <w:rFonts w:ascii="Times New Roman" w:hAnsi="Times New Roman" w:cs="Times New Roman"/>
              <w:bCs/>
              <w:color w:val="auto"/>
              <w:szCs w:val="32"/>
              <w:highlight w:val="none"/>
            </w:rPr>
            <w:fldChar w:fldCharType="end"/>
          </w:r>
        </w:p>
        <w:p>
          <w:pPr>
            <w:pStyle w:val="16"/>
            <w:tabs>
              <w:tab w:val="right" w:leader="dot" w:pos="8306"/>
            </w:tabs>
            <w:spacing w:line="560" w:lineRule="exact"/>
            <w:ind w:left="0" w:leftChars="0" w:firstLine="0" w:firstLineChars="0"/>
            <w:rPr>
              <w:color w:val="auto"/>
            </w:rPr>
          </w:pPr>
          <w:r>
            <w:rPr>
              <w:rFonts w:ascii="Times New Roman" w:hAnsi="Times New Roman" w:cs="Times New Roman"/>
              <w:bCs/>
              <w:color w:val="auto"/>
              <w:szCs w:val="32"/>
              <w:highlight w:val="none"/>
            </w:rPr>
            <w:fldChar w:fldCharType="end"/>
          </w:r>
          <w:bookmarkStart w:id="0" w:name="_Toc4011"/>
          <w:bookmarkStart w:id="1" w:name="_Toc217291216"/>
        </w:p>
      </w:sdtContent>
    </w:sdt>
    <w:p>
      <w:pPr>
        <w:pStyle w:val="2"/>
        <w:keepNext/>
        <w:keepLines/>
        <w:pageBreakBefore w:val="0"/>
        <w:widowControl w:val="0"/>
        <w:kinsoku/>
        <w:wordWrap/>
        <w:overflowPunct/>
        <w:topLinePunct w:val="0"/>
        <w:autoSpaceDE/>
        <w:autoSpaceDN/>
        <w:bidi w:val="0"/>
        <w:adjustRightInd/>
        <w:snapToGrid/>
        <w:spacing w:before="313" w:beforeLines="100" w:after="313" w:afterLines="100" w:line="600" w:lineRule="exact"/>
        <w:ind w:firstLine="0" w:firstLineChars="0"/>
        <w:textAlignment w:val="auto"/>
        <w:rPr>
          <w:rFonts w:hint="eastAsia" w:ascii="方正小标宋简体" w:hAnsi="方正小标宋简体" w:eastAsia="方正小标宋简体" w:cs="方正小标宋简体"/>
          <w:b w:val="0"/>
          <w:bCs/>
          <w:color w:val="auto"/>
          <w:sz w:val="36"/>
          <w:szCs w:val="36"/>
          <w:highlight w:val="none"/>
        </w:rPr>
        <w:sectPr>
          <w:footerReference r:id="rId7" w:type="default"/>
          <w:pgSz w:w="11906" w:h="16838"/>
          <w:pgMar w:top="1417" w:right="1417" w:bottom="1417" w:left="1417"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bookmarkStart w:id="2" w:name="_Toc28362"/>
    </w:p>
    <w:p>
      <w:pPr>
        <w:pStyle w:val="2"/>
        <w:keepNext/>
        <w:keepLines/>
        <w:pageBreakBefore w:val="0"/>
        <w:widowControl w:val="0"/>
        <w:kinsoku/>
        <w:wordWrap/>
        <w:overflowPunct/>
        <w:topLinePunct w:val="0"/>
        <w:autoSpaceDE/>
        <w:autoSpaceDN/>
        <w:bidi w:val="0"/>
        <w:adjustRightInd/>
        <w:snapToGrid/>
        <w:spacing w:before="313" w:beforeLines="100" w:after="313" w:afterLines="100" w:line="600" w:lineRule="exact"/>
        <w:ind w:firstLine="0" w:firstLineChars="0"/>
        <w:textAlignment w:val="auto"/>
        <w:rPr>
          <w:rFonts w:hint="eastAsia" w:ascii="方正小标宋简体" w:hAnsi="方正小标宋简体" w:eastAsia="方正小标宋简体" w:cs="方正小标宋简体"/>
          <w:b w:val="0"/>
          <w:bCs/>
          <w:color w:val="auto"/>
          <w:sz w:val="36"/>
          <w:szCs w:val="36"/>
          <w:highlight w:val="none"/>
        </w:rPr>
      </w:pPr>
      <w:bookmarkStart w:id="3" w:name="_Toc26927"/>
      <w:bookmarkStart w:id="4" w:name="_Toc17220"/>
      <w:bookmarkStart w:id="5" w:name="_Toc14572"/>
      <w:bookmarkStart w:id="6" w:name="_Toc1188"/>
      <w:bookmarkStart w:id="7" w:name="_Toc8690"/>
      <w:bookmarkStart w:id="8" w:name="_Toc26780"/>
      <w:bookmarkStart w:id="9" w:name="_Toc23746"/>
      <w:r>
        <w:rPr>
          <w:rFonts w:hint="eastAsia" w:ascii="方正小标宋简体" w:hAnsi="方正小标宋简体" w:eastAsia="方正小标宋简体" w:cs="方正小标宋简体"/>
          <w:b w:val="0"/>
          <w:bCs/>
          <w:color w:val="auto"/>
          <w:sz w:val="36"/>
          <w:szCs w:val="36"/>
          <w:highlight w:val="none"/>
        </w:rPr>
        <w:t>第一章</w:t>
      </w:r>
      <w:bookmarkStart w:id="10" w:name="_m853l69tc"/>
      <w:r>
        <w:rPr>
          <w:rFonts w:hint="eastAsia" w:ascii="方正小标宋简体" w:hAnsi="方正小标宋简体" w:eastAsia="方正小标宋简体" w:cs="方正小标宋简体"/>
          <w:b w:val="0"/>
          <w:bCs/>
          <w:color w:val="auto"/>
          <w:sz w:val="36"/>
          <w:szCs w:val="36"/>
          <w:highlight w:val="none"/>
        </w:rPr>
        <w:t xml:space="preserve">  </w:t>
      </w:r>
      <w:bookmarkEnd w:id="10"/>
      <w:r>
        <w:rPr>
          <w:rFonts w:hint="eastAsia" w:ascii="方正小标宋简体" w:hAnsi="方正小标宋简体" w:eastAsia="方正小标宋简体" w:cs="方正小标宋简体"/>
          <w:b w:val="0"/>
          <w:bCs/>
          <w:color w:val="auto"/>
          <w:sz w:val="36"/>
          <w:szCs w:val="36"/>
          <w:highlight w:val="none"/>
        </w:rPr>
        <w:t>规划背景</w:t>
      </w:r>
      <w:bookmarkEnd w:id="0"/>
      <w:bookmarkEnd w:id="1"/>
      <w:bookmarkEnd w:id="2"/>
      <w:bookmarkEnd w:id="3"/>
      <w:bookmarkEnd w:id="4"/>
      <w:bookmarkEnd w:id="5"/>
      <w:bookmarkEnd w:id="6"/>
      <w:bookmarkEnd w:id="7"/>
      <w:bookmarkEnd w:id="8"/>
      <w:bookmarkEnd w:id="9"/>
    </w:p>
    <w:p>
      <w:pPr>
        <w:pStyle w:val="3"/>
        <w:tabs>
          <w:tab w:val="left" w:pos="333"/>
        </w:tabs>
        <w:spacing w:before="156" w:beforeLines="50" w:after="156" w:afterLines="50" w:line="600" w:lineRule="exact"/>
        <w:ind w:firstLine="0" w:firstLineChars="0"/>
        <w:jc w:val="center"/>
        <w:rPr>
          <w:rFonts w:hint="eastAsia" w:ascii="楷体" w:hAnsi="楷体" w:eastAsia="楷体" w:cs="Times New Roman"/>
          <w:color w:val="auto"/>
          <w:szCs w:val="32"/>
          <w:highlight w:val="none"/>
        </w:rPr>
      </w:pPr>
      <w:bookmarkStart w:id="11" w:name="_Toc14092"/>
      <w:bookmarkStart w:id="12" w:name="_Toc26167"/>
      <w:bookmarkStart w:id="13" w:name="_Toc2746"/>
      <w:bookmarkStart w:id="14" w:name="_Toc31480"/>
      <w:bookmarkStart w:id="15" w:name="_Toc11325"/>
      <w:bookmarkStart w:id="16" w:name="_Toc18665"/>
      <w:bookmarkStart w:id="17" w:name="_Toc24245"/>
      <w:bookmarkStart w:id="18" w:name="_Toc217291217"/>
      <w:bookmarkStart w:id="19" w:name="_Toc8926"/>
      <w:bookmarkStart w:id="20" w:name="_Toc9189"/>
      <w:r>
        <w:rPr>
          <w:rFonts w:hint="eastAsia" w:ascii="楷体" w:hAnsi="楷体" w:eastAsia="楷体" w:cs="Times New Roman"/>
          <w:color w:val="auto"/>
          <w:szCs w:val="32"/>
          <w:highlight w:val="none"/>
        </w:rPr>
        <w:t>第一节</w:t>
      </w:r>
      <w:bookmarkStart w:id="21" w:name="_tpu6kurz0"/>
      <w:r>
        <w:rPr>
          <w:rFonts w:hint="eastAsia" w:ascii="楷体" w:hAnsi="楷体" w:eastAsia="楷体" w:cs="Times New Roman"/>
          <w:color w:val="auto"/>
          <w:szCs w:val="32"/>
          <w:highlight w:val="none"/>
        </w:rPr>
        <w:t xml:space="preserve">  </w:t>
      </w:r>
      <w:bookmarkEnd w:id="21"/>
      <w:r>
        <w:rPr>
          <w:rFonts w:hint="eastAsia" w:ascii="楷体" w:hAnsi="楷体" w:eastAsia="楷体" w:cs="Times New Roman"/>
          <w:color w:val="auto"/>
          <w:szCs w:val="32"/>
          <w:highlight w:val="none"/>
        </w:rPr>
        <w:t>发展基础</w:t>
      </w:r>
      <w:bookmarkEnd w:id="11"/>
      <w:bookmarkEnd w:id="12"/>
      <w:bookmarkEnd w:id="13"/>
      <w:bookmarkEnd w:id="14"/>
      <w:bookmarkEnd w:id="15"/>
      <w:bookmarkEnd w:id="16"/>
      <w:bookmarkEnd w:id="17"/>
      <w:bookmarkEnd w:id="18"/>
      <w:bookmarkEnd w:id="19"/>
      <w:bookmarkEnd w:id="20"/>
    </w:p>
    <w:p>
      <w:pPr>
        <w:spacing w:before="0" w:beforeLines="-2147483648" w:after="0" w:afterLines="-2147483648" w:line="240" w:lineRule="auto"/>
        <w:ind w:firstLine="640"/>
        <w:rPr>
          <w:rFonts w:hint="eastAsia"/>
          <w:color w:val="auto"/>
          <w:lang w:eastAsia="zh-CN"/>
        </w:rPr>
      </w:pPr>
      <w:r>
        <w:rPr>
          <w:rFonts w:hint="eastAsia"/>
          <w:color w:val="auto"/>
          <w:lang w:eastAsia="zh-CN"/>
        </w:rPr>
        <w:t>“十四五”时期，西城区民政事业首善标准领航，聚焦“四个民政”建设持续发力，老龄工作与养老服务体系提质增效，社会救助精准兜底，特殊群体福利保障、社会事务服务、基层社会治理效能全面跃升，各项既定指标圆满超额完成，为民生福祉持续增进打下坚实基础。养老服务“七有”“五性”老有所养指标连续</w:t>
      </w:r>
      <w:r>
        <w:rPr>
          <w:rFonts w:hint="eastAsia"/>
          <w:color w:val="auto"/>
          <w:lang w:val="en-US" w:eastAsia="zh-CN"/>
        </w:rPr>
        <w:t>5</w:t>
      </w:r>
      <w:r>
        <w:rPr>
          <w:rFonts w:hint="eastAsia"/>
          <w:color w:val="auto"/>
          <w:lang w:eastAsia="zh-CN"/>
        </w:rPr>
        <w:t>年位居全市第一。社会救助精准度提升30%，“弱有所扶”领域指标连续6年稳居全市前列。创新培育“甜蜜西城”“吾老新街”“父母食堂”等特色民生发展模式，实现社会效益与区域发展效益双向赋能。</w:t>
      </w:r>
    </w:p>
    <w:p>
      <w:pPr>
        <w:spacing w:before="0" w:beforeLines="-2147483648" w:after="0" w:afterLines="-2147483648" w:line="240" w:lineRule="auto"/>
        <w:ind w:firstLine="640"/>
        <w:rPr>
          <w:rFonts w:hint="eastAsia"/>
          <w:color w:val="auto"/>
          <w:lang w:eastAsia="zh-CN"/>
        </w:rPr>
      </w:pPr>
    </w:p>
    <w:p>
      <w:pPr>
        <w:spacing w:before="0" w:beforeLines="-2147483648" w:after="0" w:afterLines="-2147483648" w:line="240" w:lineRule="auto"/>
        <w:ind w:firstLine="640"/>
        <w:rPr>
          <w:rFonts w:ascii="Segoe UI" w:hAnsi="Segoe UI" w:eastAsia="Segoe UI" w:cs="Segoe UI"/>
          <w:i w:val="0"/>
          <w:iCs w:val="0"/>
          <w:caps w:val="0"/>
          <w:color w:val="auto"/>
          <w:spacing w:val="0"/>
          <w:sz w:val="21"/>
          <w:szCs w:val="21"/>
          <w:shd w:val="clear" w:fill="FFFFFF"/>
        </w:rPr>
      </w:pPr>
      <w:r>
        <w:rPr>
          <w:rFonts w:hint="eastAsia" w:ascii="黑体" w:hAnsi="黑体" w:eastAsia="黑体"/>
          <w:color w:val="auto"/>
          <w:highlight w:val="none"/>
          <w:lang w:eastAsia="zh-CN"/>
        </w:rPr>
        <w:t>——</w:t>
      </w:r>
      <w:r>
        <w:rPr>
          <w:rFonts w:hint="eastAsia" w:ascii="黑体" w:hAnsi="黑体" w:eastAsia="黑体"/>
          <w:color w:val="auto"/>
          <w:highlight w:val="none"/>
        </w:rPr>
        <w:t>老龄事业与养老服务工作成效显著</w:t>
      </w:r>
      <w:r>
        <w:rPr>
          <w:rFonts w:ascii="Segoe UI" w:hAnsi="Segoe UI" w:eastAsia="Segoe UI" w:cs="Segoe UI"/>
          <w:i w:val="0"/>
          <w:iCs w:val="0"/>
          <w:caps w:val="0"/>
          <w:color w:val="auto"/>
          <w:spacing w:val="0"/>
          <w:sz w:val="21"/>
          <w:szCs w:val="21"/>
          <w:shd w:val="clear" w:fill="FFFFFF"/>
        </w:rPr>
        <w:t xml:space="preserve"> </w:t>
      </w:r>
    </w:p>
    <w:p>
      <w:pPr>
        <w:spacing w:before="0" w:beforeLines="-2147483648" w:after="0" w:afterLines="-2147483648" w:line="240" w:lineRule="auto"/>
        <w:ind w:firstLine="640"/>
        <w:rPr>
          <w:rFonts w:hint="eastAsia" w:ascii="Times New Roman" w:hAnsi="Times New Roman" w:cs="仿宋_GB2312"/>
          <w:b w:val="0"/>
          <w:bCs w:val="0"/>
          <w:color w:val="auto"/>
          <w:sz w:val="32"/>
          <w:szCs w:val="32"/>
          <w:highlight w:val="none"/>
          <w:lang w:eastAsia="zh-CN"/>
        </w:rPr>
      </w:pPr>
      <w:r>
        <w:rPr>
          <w:rFonts w:hint="eastAsia" w:ascii="Times New Roman" w:hAnsi="Times New Roman" w:cs="仿宋_GB2312"/>
          <w:b w:val="0"/>
          <w:bCs w:val="0"/>
          <w:color w:val="auto"/>
          <w:sz w:val="32"/>
          <w:szCs w:val="32"/>
          <w:highlight w:val="none"/>
          <w:lang w:eastAsia="zh-CN"/>
        </w:rPr>
        <w:t>“十四五”时期，西城区老龄事业发展格局持续完善。在全市率先建立区级老龄工作部门联席会议机制，健全统筹协调工作体系，系统出台养老服务体系建设实施方案等系列政策文件，创新推出十余项专项务实举措，构建起覆盖居家、社区、机构的完整老龄服务政策支撑体系。“十养行动”落地见效，成功打造12个全国示范性老年友好型社区，培育19个“银龄行动”特色志愿服务品牌，老年宜居环境建设、老年社会参与等工作成果丰硕，西城区老年综合服务中心获评“北京榜样·最美民政人”榜样集体，老龄事业治理效能持续提升。养老服务体系建设实现提质升级。构建“区—街—社区”三级养老服务网络，搭建全域养老服务供给格局；迭代升级区级智慧养老大数据平台2.0版本，整合老年人口、服务资源、运营监管三类核心数据，实现养老服务全流程闭环智慧监管；强化组织保障、人才支撑与政策供给，以数字化赋能养老服务提质增效，推动养老服务供给精准化、精细化、智能化发展，全方位夯实养老服务保障根基。</w:t>
      </w:r>
    </w:p>
    <w:p>
      <w:pPr>
        <w:spacing w:before="0" w:beforeLines="-2147483648" w:after="0" w:afterLines="-2147483648" w:line="240" w:lineRule="auto"/>
        <w:ind w:firstLine="640"/>
        <w:rPr>
          <w:rFonts w:hint="eastAsia" w:ascii="Times New Roman" w:hAnsi="Times New Roman" w:cs="仿宋_GB2312"/>
          <w:b w:val="0"/>
          <w:bCs w:val="0"/>
          <w:color w:val="auto"/>
          <w:sz w:val="32"/>
          <w:szCs w:val="32"/>
          <w:highlight w:val="none"/>
          <w:lang w:eastAsia="zh-CN"/>
        </w:rPr>
      </w:pPr>
    </w:p>
    <w:p>
      <w:pPr>
        <w:spacing w:before="0" w:beforeLines="-2147483648" w:after="0" w:afterLines="-2147483648" w:line="240" w:lineRule="auto"/>
        <w:ind w:firstLine="640"/>
        <w:rPr>
          <w:rFonts w:ascii="黑体" w:hAnsi="黑体" w:eastAsia="黑体"/>
          <w:color w:val="auto"/>
          <w:highlight w:val="none"/>
        </w:rPr>
      </w:pPr>
      <w:r>
        <w:rPr>
          <w:rFonts w:hint="eastAsia" w:ascii="黑体" w:hAnsi="黑体" w:eastAsia="黑体"/>
          <w:color w:val="auto"/>
          <w:highlight w:val="none"/>
          <w:lang w:eastAsia="zh-CN"/>
        </w:rPr>
        <w:t>——</w:t>
      </w:r>
      <w:r>
        <w:rPr>
          <w:rFonts w:hint="eastAsia" w:ascii="黑体" w:hAnsi="黑体" w:eastAsia="黑体"/>
          <w:color w:val="auto"/>
          <w:highlight w:val="none"/>
        </w:rPr>
        <w:t>基本民生保障水平更加有力</w:t>
      </w:r>
    </w:p>
    <w:p>
      <w:pPr>
        <w:spacing w:line="240" w:lineRule="auto"/>
        <w:ind w:firstLine="643"/>
        <w:rPr>
          <w:rFonts w:hint="eastAsia" w:ascii="Times New Roman" w:hAnsi="Times New Roman" w:eastAsia="仿宋_GB2312" w:cs="Times New Roman"/>
          <w:i w:val="0"/>
          <w:iCs w:val="0"/>
          <w:caps w:val="0"/>
          <w:color w:val="auto"/>
          <w:spacing w:val="0"/>
          <w:sz w:val="32"/>
          <w:szCs w:val="32"/>
          <w:shd w:val="clear" w:color="auto" w:fill="FFFFFF"/>
          <w:lang w:eastAsia="zh-CN"/>
        </w:rPr>
      </w:pPr>
      <w:r>
        <w:rPr>
          <w:rFonts w:hint="eastAsia" w:ascii="Times New Roman" w:hAnsi="Times New Roman" w:eastAsia="仿宋_GB2312" w:cs="Times New Roman"/>
          <w:i w:val="0"/>
          <w:iCs w:val="0"/>
          <w:caps w:val="0"/>
          <w:color w:val="auto"/>
          <w:spacing w:val="0"/>
          <w:sz w:val="32"/>
          <w:szCs w:val="32"/>
          <w:shd w:val="clear" w:color="auto" w:fill="FFFFFF"/>
        </w:rPr>
        <w:t>社会救助兜底保障更加精准。分</w:t>
      </w:r>
      <w:r>
        <w:rPr>
          <w:rFonts w:hint="default" w:ascii="Times New Roman" w:hAnsi="Times New Roman" w:eastAsia="仿宋_GB2312" w:cs="Times New Roman"/>
          <w:i w:val="0"/>
          <w:iCs w:val="0"/>
          <w:caps w:val="0"/>
          <w:color w:val="auto"/>
          <w:spacing w:val="0"/>
          <w:sz w:val="32"/>
          <w:szCs w:val="32"/>
          <w:shd w:val="clear" w:color="auto" w:fill="FFFFFF"/>
        </w:rPr>
        <w:t>层分类社会救助体系</w:t>
      </w:r>
      <w:r>
        <w:rPr>
          <w:rFonts w:hint="eastAsia" w:ascii="Times New Roman" w:hAnsi="Times New Roman" w:eastAsia="仿宋_GB2312" w:cs="Times New Roman"/>
          <w:i w:val="0"/>
          <w:iCs w:val="0"/>
          <w:caps w:val="0"/>
          <w:color w:val="auto"/>
          <w:spacing w:val="0"/>
          <w:sz w:val="32"/>
          <w:szCs w:val="32"/>
          <w:shd w:val="clear" w:color="auto" w:fill="FFFFFF"/>
          <w:lang w:eastAsia="zh-CN"/>
        </w:rPr>
        <w:t>持续健全</w:t>
      </w:r>
      <w:r>
        <w:rPr>
          <w:rFonts w:hint="default" w:ascii="Times New Roman" w:hAnsi="Times New Roman" w:eastAsia="仿宋_GB2312" w:cs="Times New Roman"/>
          <w:i w:val="0"/>
          <w:iCs w:val="0"/>
          <w:caps w:val="0"/>
          <w:color w:val="auto"/>
          <w:spacing w:val="0"/>
          <w:sz w:val="32"/>
          <w:szCs w:val="32"/>
          <w:shd w:val="clear" w:color="auto" w:fill="FFFFFF"/>
        </w:rPr>
        <w:t>，保障</w:t>
      </w:r>
      <w:r>
        <w:rPr>
          <w:rFonts w:hint="eastAsia" w:ascii="Times New Roman" w:hAnsi="Times New Roman" w:eastAsia="仿宋_GB2312" w:cs="Times New Roman"/>
          <w:i w:val="0"/>
          <w:iCs w:val="0"/>
          <w:caps w:val="0"/>
          <w:color w:val="auto"/>
          <w:spacing w:val="0"/>
          <w:sz w:val="32"/>
          <w:szCs w:val="32"/>
          <w:shd w:val="clear" w:color="auto" w:fill="FFFFFF"/>
          <w:lang w:eastAsia="zh-CN"/>
        </w:rPr>
        <w:t>范围</w:t>
      </w:r>
      <w:r>
        <w:rPr>
          <w:rFonts w:hint="default" w:ascii="Times New Roman" w:hAnsi="Times New Roman" w:eastAsia="仿宋_GB2312" w:cs="Times New Roman"/>
          <w:i w:val="0"/>
          <w:iCs w:val="0"/>
          <w:caps w:val="0"/>
          <w:color w:val="auto"/>
          <w:spacing w:val="0"/>
          <w:sz w:val="32"/>
          <w:szCs w:val="32"/>
          <w:shd w:val="clear" w:color="auto" w:fill="FFFFFF"/>
        </w:rPr>
        <w:t>稳步向低保边缘家庭、</w:t>
      </w:r>
      <w:r>
        <w:rPr>
          <w:rFonts w:hint="eastAsia" w:ascii="Times New Roman" w:hAnsi="Times New Roman" w:eastAsia="仿宋_GB2312" w:cs="Times New Roman"/>
          <w:i w:val="0"/>
          <w:iCs w:val="0"/>
          <w:caps w:val="0"/>
          <w:color w:val="auto"/>
          <w:spacing w:val="0"/>
          <w:sz w:val="32"/>
          <w:szCs w:val="32"/>
          <w:shd w:val="clear" w:color="auto" w:fill="FFFFFF"/>
          <w:lang w:eastAsia="zh-CN"/>
        </w:rPr>
        <w:t>刚性</w:t>
      </w:r>
      <w:r>
        <w:rPr>
          <w:rFonts w:hint="default" w:ascii="Times New Roman" w:hAnsi="Times New Roman" w:eastAsia="仿宋_GB2312" w:cs="Times New Roman"/>
          <w:i w:val="0"/>
          <w:iCs w:val="0"/>
          <w:caps w:val="0"/>
          <w:color w:val="auto"/>
          <w:spacing w:val="0"/>
          <w:sz w:val="32"/>
          <w:szCs w:val="32"/>
          <w:shd w:val="clear" w:color="auto" w:fill="FFFFFF"/>
        </w:rPr>
        <w:t>支出困难家庭等低收入人口延伸</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全面建立主动发现、精准识别、快速响应、</w:t>
      </w:r>
      <w:r>
        <w:rPr>
          <w:rFonts w:hint="default" w:ascii="Times New Roman" w:hAnsi="Times New Roman" w:eastAsia="仿宋_GB2312" w:cs="Times New Roman"/>
          <w:i w:val="0"/>
          <w:iCs w:val="0"/>
          <w:caps w:val="0"/>
          <w:color w:val="auto"/>
          <w:spacing w:val="0"/>
          <w:sz w:val="32"/>
          <w:szCs w:val="32"/>
          <w:shd w:val="clear" w:color="auto" w:fill="FFFFFF"/>
          <w:lang w:eastAsia="zh-CN"/>
        </w:rPr>
        <w:t>动态监管</w:t>
      </w:r>
      <w:r>
        <w:rPr>
          <w:rFonts w:hint="default" w:ascii="Times New Roman" w:hAnsi="Times New Roman" w:eastAsia="仿宋_GB2312" w:cs="Times New Roman"/>
          <w:i w:val="0"/>
          <w:iCs w:val="0"/>
          <w:caps w:val="0"/>
          <w:color w:val="auto"/>
          <w:spacing w:val="0"/>
          <w:sz w:val="32"/>
          <w:szCs w:val="32"/>
          <w:shd w:val="clear" w:color="auto" w:fill="FFFFFF"/>
        </w:rPr>
        <w:t>闭环工作机制，</w:t>
      </w:r>
      <w:r>
        <w:rPr>
          <w:rFonts w:hint="eastAsia" w:ascii="Times New Roman" w:hAnsi="Times New Roman" w:eastAsia="仿宋_GB2312" w:cs="Times New Roman"/>
          <w:i w:val="0"/>
          <w:iCs w:val="0"/>
          <w:caps w:val="0"/>
          <w:color w:val="auto"/>
          <w:spacing w:val="0"/>
          <w:sz w:val="32"/>
          <w:szCs w:val="32"/>
          <w:shd w:val="clear" w:color="auto" w:fill="FFFFFF"/>
          <w:lang w:eastAsia="zh-CN"/>
        </w:rPr>
        <w:t>推动</w:t>
      </w:r>
      <w:r>
        <w:rPr>
          <w:rFonts w:hint="default" w:ascii="Times New Roman" w:hAnsi="Times New Roman" w:eastAsia="仿宋_GB2312" w:cs="Times New Roman"/>
          <w:i w:val="0"/>
          <w:iCs w:val="0"/>
          <w:caps w:val="0"/>
          <w:color w:val="auto"/>
          <w:spacing w:val="0"/>
          <w:sz w:val="32"/>
          <w:szCs w:val="32"/>
          <w:shd w:val="clear" w:color="auto" w:fill="FFFFFF"/>
        </w:rPr>
        <w:t>“政策找人”</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创新“物质+服务”</w:t>
      </w:r>
      <w:r>
        <w:rPr>
          <w:rFonts w:hint="eastAsia" w:ascii="Times New Roman" w:hAnsi="Times New Roman" w:eastAsia="仿宋_GB2312" w:cs="Times New Roman"/>
          <w:i w:val="0"/>
          <w:iCs w:val="0"/>
          <w:caps w:val="0"/>
          <w:color w:val="auto"/>
          <w:spacing w:val="0"/>
          <w:sz w:val="32"/>
          <w:szCs w:val="32"/>
          <w:shd w:val="clear" w:color="auto" w:fill="FFFFFF"/>
          <w:lang w:eastAsia="zh-CN"/>
        </w:rPr>
        <w:t>综合救助</w:t>
      </w:r>
      <w:r>
        <w:rPr>
          <w:rFonts w:hint="default" w:ascii="Times New Roman" w:hAnsi="Times New Roman" w:eastAsia="仿宋_GB2312" w:cs="Times New Roman"/>
          <w:i w:val="0"/>
          <w:iCs w:val="0"/>
          <w:caps w:val="0"/>
          <w:color w:val="auto"/>
          <w:spacing w:val="0"/>
          <w:sz w:val="32"/>
          <w:szCs w:val="32"/>
          <w:shd w:val="clear" w:color="auto" w:fill="FFFFFF"/>
        </w:rPr>
        <w:t>模式，统筹提供照料护理、心理疏导、能力提升、社会融入等服务。</w:t>
      </w:r>
      <w:r>
        <w:rPr>
          <w:rFonts w:hint="eastAsia" w:ascii="Times New Roman" w:hAnsi="Times New Roman" w:eastAsia="仿宋_GB2312" w:cs="Times New Roman"/>
          <w:i w:val="0"/>
          <w:iCs w:val="0"/>
          <w:caps w:val="0"/>
          <w:color w:val="auto"/>
          <w:spacing w:val="0"/>
          <w:sz w:val="32"/>
          <w:szCs w:val="32"/>
          <w:shd w:val="clear" w:color="auto" w:fill="FFFFFF"/>
        </w:rPr>
        <w:t>残疾人福利保障水平显著提高</w:t>
      </w:r>
      <w:r>
        <w:rPr>
          <w:rFonts w:hint="eastAsia" w:ascii="Times New Roman" w:hAnsi="Times New Roman"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两项补贴</w:t>
      </w:r>
      <w:r>
        <w:rPr>
          <w:rFonts w:hint="eastAsia" w:ascii="Times New Roman" w:hAnsi="Times New Roman" w:eastAsia="仿宋_GB2312" w:cs="Times New Roman"/>
          <w:i w:val="0"/>
          <w:iCs w:val="0"/>
          <w:caps w:val="0"/>
          <w:color w:val="auto"/>
          <w:spacing w:val="0"/>
          <w:sz w:val="32"/>
          <w:szCs w:val="32"/>
          <w:shd w:val="clear" w:color="auto" w:fill="FFFFFF"/>
          <w:lang w:eastAsia="zh-CN"/>
        </w:rPr>
        <w:t>实现</w:t>
      </w:r>
      <w:r>
        <w:rPr>
          <w:rFonts w:hint="eastAsia" w:ascii="Times New Roman" w:hAnsi="Times New Roman" w:eastAsia="仿宋_GB2312" w:cs="Times New Roman"/>
          <w:i w:val="0"/>
          <w:iCs w:val="0"/>
          <w:caps w:val="0"/>
          <w:color w:val="auto"/>
          <w:spacing w:val="0"/>
          <w:sz w:val="32"/>
          <w:szCs w:val="32"/>
          <w:shd w:val="clear" w:color="auto" w:fill="FFFFFF"/>
        </w:rPr>
        <w:t>“跨省通办”，惠及50</w:t>
      </w:r>
      <w:r>
        <w:rPr>
          <w:rFonts w:hint="eastAsia" w:ascii="Times New Roman" w:hAnsi="Times New Roman" w:eastAsia="仿宋_GB2312" w:cs="Times New Roman"/>
          <w:i w:val="0"/>
          <w:iCs w:val="0"/>
          <w:caps w:val="0"/>
          <w:color w:val="auto"/>
          <w:spacing w:val="0"/>
          <w:sz w:val="32"/>
          <w:szCs w:val="32"/>
          <w:shd w:val="clear" w:color="auto" w:fill="FFFFFF"/>
          <w:lang w:eastAsia="zh-CN"/>
        </w:rPr>
        <w:t>余</w:t>
      </w:r>
      <w:r>
        <w:rPr>
          <w:rFonts w:hint="eastAsia" w:ascii="Times New Roman" w:hAnsi="Times New Roman" w:eastAsia="仿宋_GB2312" w:cs="Times New Roman"/>
          <w:i w:val="0"/>
          <w:iCs w:val="0"/>
          <w:caps w:val="0"/>
          <w:color w:val="auto"/>
          <w:spacing w:val="0"/>
          <w:sz w:val="32"/>
          <w:szCs w:val="32"/>
          <w:shd w:val="clear" w:color="auto" w:fill="FFFFFF"/>
        </w:rPr>
        <w:t>万人次</w:t>
      </w:r>
      <w:r>
        <w:rPr>
          <w:rFonts w:hint="eastAsia" w:ascii="Times New Roman" w:hAnsi="Times New Roman"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lang w:eastAsia="zh-CN"/>
        </w:rPr>
        <w:t>深入</w:t>
      </w:r>
      <w:r>
        <w:rPr>
          <w:rFonts w:hint="eastAsia" w:ascii="Times New Roman" w:hAnsi="Times New Roman" w:eastAsia="仿宋_GB2312" w:cs="Times New Roman"/>
          <w:i w:val="0"/>
          <w:iCs w:val="0"/>
          <w:caps w:val="0"/>
          <w:color w:val="auto"/>
          <w:spacing w:val="0"/>
          <w:sz w:val="32"/>
          <w:szCs w:val="32"/>
          <w:shd w:val="clear" w:color="auto" w:fill="FFFFFF"/>
        </w:rPr>
        <w:t>实施“精康融合行动”</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建成全市首家区级公建民营精神残疾人福利机构，填补精神残疾人福利机构床位空白</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儿童福利保障有力有效</w:t>
      </w:r>
      <w:r>
        <w:rPr>
          <w:rFonts w:hint="eastAsia" w:ascii="Times New Roman" w:hAnsi="Times New Roman"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儿童福利保护网络全面覆盖，流动儿童信息数据库基本建成，数据录入率居全市前列</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p>
    <w:p>
      <w:pPr>
        <w:spacing w:line="240" w:lineRule="auto"/>
        <w:ind w:firstLine="643"/>
        <w:rPr>
          <w:rFonts w:hint="eastAsia" w:ascii="Times New Roman" w:hAnsi="Times New Roman" w:eastAsia="仿宋_GB2312" w:cs="Times New Roman"/>
          <w:i w:val="0"/>
          <w:iCs w:val="0"/>
          <w:caps w:val="0"/>
          <w:color w:val="auto"/>
          <w:spacing w:val="0"/>
          <w:sz w:val="32"/>
          <w:szCs w:val="32"/>
          <w:shd w:val="clear" w:color="auto" w:fill="FFFFFF"/>
        </w:rPr>
      </w:pPr>
    </w:p>
    <w:p>
      <w:pPr>
        <w:spacing w:before="0" w:beforeLines="-2147483648" w:after="0" w:afterLines="-2147483648" w:line="240" w:lineRule="auto"/>
        <w:ind w:firstLine="640"/>
        <w:rPr>
          <w:rFonts w:ascii="黑体" w:hAnsi="黑体" w:eastAsia="黑体"/>
          <w:color w:val="auto"/>
          <w:highlight w:val="none"/>
        </w:rPr>
      </w:pPr>
      <w:r>
        <w:rPr>
          <w:rFonts w:hint="eastAsia" w:ascii="黑体" w:hAnsi="黑体" w:eastAsia="黑体"/>
          <w:color w:val="auto"/>
          <w:highlight w:val="none"/>
          <w:lang w:eastAsia="zh-CN"/>
        </w:rPr>
        <w:t>——</w:t>
      </w:r>
      <w:r>
        <w:rPr>
          <w:rFonts w:hint="eastAsia" w:ascii="黑体" w:hAnsi="黑体" w:eastAsia="黑体"/>
          <w:color w:val="auto"/>
          <w:highlight w:val="none"/>
        </w:rPr>
        <w:t>基本社会服务质量稳步提升</w:t>
      </w:r>
    </w:p>
    <w:p>
      <w:pPr>
        <w:spacing w:line="600" w:lineRule="exact"/>
        <w:ind w:firstLine="643"/>
        <w:contextualSpacing/>
        <w:rPr>
          <w:rFonts w:hint="eastAsia" w:ascii="Times New Roman" w:hAnsi="Times New Roman" w:cs="仿宋_GB2312"/>
          <w:color w:val="auto"/>
          <w:szCs w:val="32"/>
          <w:highlight w:val="none"/>
        </w:rPr>
      </w:pPr>
      <w:r>
        <w:rPr>
          <w:rFonts w:hint="eastAsia" w:ascii="Times New Roman" w:hAnsi="Times New Roman" w:eastAsia="仿宋_GB2312" w:cs="Times New Roman"/>
          <w:i w:val="0"/>
          <w:iCs w:val="0"/>
          <w:caps w:val="0"/>
          <w:color w:val="auto"/>
          <w:spacing w:val="0"/>
          <w:sz w:val="32"/>
          <w:szCs w:val="32"/>
          <w:shd w:val="clear" w:color="auto" w:fill="FFFFFF"/>
        </w:rPr>
        <w:t>婚姻登记</w:t>
      </w:r>
      <w:r>
        <w:rPr>
          <w:rFonts w:hint="eastAsia" w:ascii="Times New Roman" w:hAnsi="Times New Roman" w:cs="Times New Roman"/>
          <w:i w:val="0"/>
          <w:iCs w:val="0"/>
          <w:caps w:val="0"/>
          <w:color w:val="auto"/>
          <w:spacing w:val="0"/>
          <w:sz w:val="32"/>
          <w:szCs w:val="32"/>
          <w:shd w:val="clear" w:color="auto" w:fill="FFFFFF"/>
          <w:lang w:eastAsia="zh-CN"/>
        </w:rPr>
        <w:t>服务水平</w:t>
      </w:r>
      <w:r>
        <w:rPr>
          <w:rFonts w:hint="eastAsia" w:ascii="Times New Roman" w:hAnsi="Times New Roman" w:eastAsia="仿宋_GB2312" w:cs="Times New Roman"/>
          <w:i w:val="0"/>
          <w:iCs w:val="0"/>
          <w:caps w:val="0"/>
          <w:color w:val="auto"/>
          <w:spacing w:val="0"/>
          <w:sz w:val="32"/>
          <w:szCs w:val="32"/>
          <w:shd w:val="clear" w:color="auto" w:fill="FFFFFF"/>
        </w:rPr>
        <w:t>持续提升。构建“1+1+1+N”工作体系，组建首</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个“甜蜜西城”幸福</w:t>
      </w:r>
      <w:r>
        <w:rPr>
          <w:rFonts w:hint="eastAsia" w:ascii="Times New Roman" w:hAnsi="Times New Roman" w:eastAsia="仿宋_GB2312" w:cs="Times New Roman"/>
          <w:i w:val="0"/>
          <w:iCs w:val="0"/>
          <w:caps w:val="0"/>
          <w:color w:val="auto"/>
          <w:spacing w:val="0"/>
          <w:sz w:val="32"/>
          <w:szCs w:val="32"/>
          <w:shd w:val="clear" w:color="auto" w:fill="FFFFFF"/>
        </w:rPr>
        <w:t>联盟</w:t>
      </w:r>
      <w:r>
        <w:rPr>
          <w:rFonts w:hint="eastAsia" w:ascii="Times New Roman" w:hAnsi="Times New Roman" w:eastAsia="仿宋_GB2312"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创新“婚姻服务+”模式</w:t>
      </w:r>
      <w:r>
        <w:rPr>
          <w:rFonts w:hint="eastAsia" w:ascii="Times New Roman" w:hAnsi="Times New Roman" w:cs="Times New Roman"/>
          <w:i w:val="0"/>
          <w:iCs w:val="0"/>
          <w:caps w:val="0"/>
          <w:color w:val="auto"/>
          <w:spacing w:val="0"/>
          <w:sz w:val="32"/>
          <w:szCs w:val="32"/>
          <w:shd w:val="clear" w:color="auto" w:fill="FFFFFF"/>
          <w:lang w:eastAsia="zh-CN"/>
        </w:rPr>
        <w:t>，落实全国通办，</w:t>
      </w:r>
      <w:r>
        <w:rPr>
          <w:rFonts w:hint="eastAsia" w:ascii="Times New Roman" w:hAnsi="Times New Roman" w:cs="仿宋_GB2312"/>
          <w:color w:val="auto"/>
          <w:szCs w:val="32"/>
          <w:highlight w:val="none"/>
          <w:lang w:eastAsia="zh-CN"/>
        </w:rPr>
        <w:t>结婚</w:t>
      </w:r>
      <w:r>
        <w:rPr>
          <w:rFonts w:hint="eastAsia" w:ascii="Times New Roman" w:hAnsi="Times New Roman" w:cs="仿宋_GB2312"/>
          <w:color w:val="auto"/>
          <w:szCs w:val="32"/>
          <w:highlight w:val="none"/>
        </w:rPr>
        <w:t>登记量稳居全市首位</w:t>
      </w:r>
      <w:r>
        <w:rPr>
          <w:rFonts w:hint="eastAsia" w:ascii="Times New Roman" w:hAnsi="Times New Roman"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全国</w:t>
      </w:r>
      <w:r>
        <w:rPr>
          <w:rFonts w:hint="eastAsia" w:ascii="Times New Roman" w:hAnsi="Times New Roman" w:cs="Times New Roman"/>
          <w:i w:val="0"/>
          <w:iCs w:val="0"/>
          <w:caps w:val="0"/>
          <w:color w:val="auto"/>
          <w:spacing w:val="0"/>
          <w:sz w:val="32"/>
          <w:szCs w:val="32"/>
          <w:shd w:val="clear" w:color="auto" w:fill="FFFFFF"/>
          <w:lang w:eastAsia="zh-CN"/>
        </w:rPr>
        <w:t>首创</w:t>
      </w:r>
      <w:r>
        <w:rPr>
          <w:rFonts w:hint="eastAsia" w:ascii="Times New Roman" w:hAnsi="Times New Roman" w:eastAsia="仿宋_GB2312" w:cs="Times New Roman"/>
          <w:i w:val="0"/>
          <w:iCs w:val="0"/>
          <w:caps w:val="0"/>
          <w:color w:val="auto"/>
          <w:spacing w:val="0"/>
          <w:sz w:val="32"/>
          <w:szCs w:val="32"/>
          <w:shd w:val="clear" w:color="auto" w:fill="FFFFFF"/>
        </w:rPr>
        <w:t>视障人士结婚登记无障碍服务</w:t>
      </w:r>
      <w:r>
        <w:rPr>
          <w:rFonts w:hint="eastAsia" w:ascii="Times New Roman" w:hAnsi="Times New Roman" w:cs="Times New Roman"/>
          <w:i w:val="0"/>
          <w:iCs w:val="0"/>
          <w:caps w:val="0"/>
          <w:color w:val="auto"/>
          <w:spacing w:val="0"/>
          <w:sz w:val="32"/>
          <w:szCs w:val="32"/>
          <w:shd w:val="clear" w:color="auto" w:fill="FFFFFF"/>
          <w:lang w:eastAsia="zh-CN"/>
        </w:rPr>
        <w:t>载体</w:t>
      </w:r>
      <w:r>
        <w:rPr>
          <w:rFonts w:hint="eastAsia" w:ascii="Times New Roman" w:hAnsi="Times New Roman" w:eastAsia="仿宋_GB2312" w:cs="Times New Roman"/>
          <w:i w:val="0"/>
          <w:iCs w:val="0"/>
          <w:caps w:val="0"/>
          <w:color w:val="auto"/>
          <w:spacing w:val="0"/>
          <w:sz w:val="32"/>
          <w:szCs w:val="32"/>
          <w:shd w:val="clear" w:color="auto" w:fill="FFFFFF"/>
        </w:rPr>
        <w:t>，</w:t>
      </w:r>
      <w:r>
        <w:rPr>
          <w:rFonts w:hint="eastAsia" w:ascii="Times New Roman" w:hAnsi="Times New Roman" w:cs="Times New Roman"/>
          <w:i w:val="0"/>
          <w:iCs w:val="0"/>
          <w:caps w:val="0"/>
          <w:color w:val="auto"/>
          <w:spacing w:val="0"/>
          <w:sz w:val="32"/>
          <w:szCs w:val="32"/>
          <w:shd w:val="clear" w:color="auto" w:fill="FFFFFF"/>
          <w:lang w:eastAsia="zh-CN"/>
        </w:rPr>
        <w:t>全市</w:t>
      </w:r>
      <w:r>
        <w:rPr>
          <w:rFonts w:hint="eastAsia" w:ascii="Times New Roman" w:hAnsi="Times New Roman" w:eastAsia="仿宋_GB2312" w:cs="Times New Roman"/>
          <w:i w:val="0"/>
          <w:iCs w:val="0"/>
          <w:caps w:val="0"/>
          <w:color w:val="auto"/>
          <w:spacing w:val="0"/>
          <w:sz w:val="32"/>
          <w:szCs w:val="32"/>
          <w:shd w:val="clear" w:color="auto" w:fill="FFFFFF"/>
        </w:rPr>
        <w:t>首创“古建+数字”特色户外婚姻登记点</w:t>
      </w:r>
      <w:r>
        <w:rPr>
          <w:rFonts w:hint="eastAsia" w:ascii="Times New Roman" w:hAnsi="Times New Roman"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殡葬领域规范化管理不断强化</w:t>
      </w:r>
      <w:r>
        <w:rPr>
          <w:rFonts w:hint="eastAsia" w:ascii="Times New Roman" w:hAnsi="Times New Roman" w:cs="Times New Roman"/>
          <w:i w:val="0"/>
          <w:iCs w:val="0"/>
          <w:caps w:val="0"/>
          <w:color w:val="auto"/>
          <w:spacing w:val="0"/>
          <w:sz w:val="32"/>
          <w:szCs w:val="32"/>
          <w:shd w:val="clear" w:color="auto" w:fill="FFFFFF"/>
          <w:lang w:eastAsia="zh-CN"/>
        </w:rPr>
        <w:t>，</w:t>
      </w:r>
      <w:r>
        <w:rPr>
          <w:rFonts w:hint="eastAsia"/>
          <w:i w:val="0"/>
          <w:iCs w:val="0"/>
          <w:color w:val="auto"/>
          <w:highlight w:val="none"/>
          <w:lang w:eastAsia="zh-CN"/>
        </w:rPr>
        <w:t>在全市率先出台《西城区“逝殡葬祭”白事一本通》等规范性文件，提供“24小时不打烊”便民服务机制，殡葬专项治理成效明显，文明祭扫新风加快形成。</w:t>
      </w:r>
      <w:r>
        <w:rPr>
          <w:rFonts w:hint="eastAsia" w:ascii="Times New Roman" w:hAnsi="Times New Roman" w:cs="仿宋_GB2312"/>
          <w:b/>
          <w:bCs/>
          <w:color w:val="auto"/>
          <w:szCs w:val="32"/>
          <w:highlight w:val="none"/>
        </w:rPr>
        <w:t>见义勇为权益保护机制不断健全。</w:t>
      </w:r>
      <w:r>
        <w:rPr>
          <w:rFonts w:hint="eastAsia" w:ascii="Times New Roman" w:hAnsi="Times New Roman" w:cs="仿宋_GB2312"/>
          <w:color w:val="auto"/>
          <w:szCs w:val="32"/>
          <w:highlight w:val="none"/>
        </w:rPr>
        <w:t>落实权益保护政策，完善议事规则、设立专项资金、规范评审流程。</w:t>
      </w:r>
    </w:p>
    <w:p>
      <w:pPr>
        <w:spacing w:line="600" w:lineRule="exact"/>
        <w:ind w:firstLine="643"/>
        <w:contextualSpacing/>
        <w:rPr>
          <w:rFonts w:hint="eastAsia" w:ascii="Times New Roman" w:hAnsi="Times New Roman" w:cs="仿宋_GB2312"/>
          <w:color w:val="auto"/>
          <w:szCs w:val="32"/>
          <w:highlight w:val="none"/>
        </w:rPr>
      </w:pPr>
    </w:p>
    <w:p>
      <w:pPr>
        <w:spacing w:before="0" w:beforeLines="-2147483648" w:after="0" w:afterLines="-2147483648" w:line="600" w:lineRule="exact"/>
        <w:ind w:firstLine="643"/>
        <w:contextualSpacing/>
        <w:rPr>
          <w:rFonts w:ascii="黑体" w:hAnsi="黑体" w:eastAsia="黑体"/>
          <w:color w:val="auto"/>
          <w:highlight w:val="none"/>
        </w:rPr>
      </w:pPr>
      <w:r>
        <w:rPr>
          <w:rFonts w:hint="eastAsia" w:ascii="黑体" w:hAnsi="黑体" w:eastAsia="黑体"/>
          <w:color w:val="auto"/>
          <w:highlight w:val="none"/>
          <w:lang w:eastAsia="zh-CN"/>
        </w:rPr>
        <w:t>——</w:t>
      </w:r>
      <w:r>
        <w:rPr>
          <w:rFonts w:hint="eastAsia" w:ascii="黑体" w:hAnsi="黑体" w:eastAsia="黑体"/>
          <w:color w:val="auto"/>
          <w:highlight w:val="none"/>
        </w:rPr>
        <w:t>基层社会治理创新发展</w:t>
      </w:r>
    </w:p>
    <w:p>
      <w:pPr>
        <w:spacing w:line="600" w:lineRule="exact"/>
        <w:ind w:firstLine="643"/>
        <w:contextualSpacing/>
        <w:rPr>
          <w:rFonts w:hint="eastAsia" w:ascii="Times New Roman" w:hAnsi="Times New Roman" w:eastAsia="仿宋_GB2312" w:cs="Times New Roman"/>
          <w:i w:val="0"/>
          <w:iCs w:val="0"/>
          <w:caps w:val="0"/>
          <w:color w:val="auto"/>
          <w:spacing w:val="0"/>
          <w:sz w:val="32"/>
          <w:szCs w:val="32"/>
          <w:shd w:val="clear" w:color="auto" w:fill="FFFFFF"/>
        </w:rPr>
      </w:pPr>
      <w:r>
        <w:rPr>
          <w:rFonts w:hint="eastAsia" w:ascii="Times New Roman" w:hAnsi="Times New Roman" w:eastAsia="仿宋_GB2312" w:cs="Times New Roman"/>
          <w:i w:val="0"/>
          <w:iCs w:val="0"/>
          <w:caps w:val="0"/>
          <w:color w:val="auto"/>
          <w:spacing w:val="0"/>
          <w:sz w:val="32"/>
          <w:szCs w:val="32"/>
          <w:shd w:val="clear" w:color="auto" w:fill="FFFFFF"/>
        </w:rPr>
        <w:t>社会组织发展健康有序。综合监管与培育扶持力度</w:t>
      </w:r>
      <w:r>
        <w:rPr>
          <w:rFonts w:hint="eastAsia" w:ascii="Times New Roman" w:hAnsi="Times New Roman" w:eastAsia="仿宋_GB2312" w:cs="Times New Roman"/>
          <w:i w:val="0"/>
          <w:iCs w:val="0"/>
          <w:caps w:val="0"/>
          <w:color w:val="auto"/>
          <w:spacing w:val="0"/>
          <w:sz w:val="32"/>
          <w:szCs w:val="32"/>
          <w:shd w:val="clear" w:color="auto" w:fill="FFFFFF"/>
          <w:lang w:eastAsia="zh-CN"/>
        </w:rPr>
        <w:t>持续</w:t>
      </w:r>
      <w:r>
        <w:rPr>
          <w:rFonts w:hint="eastAsia" w:ascii="Times New Roman" w:hAnsi="Times New Roman" w:eastAsia="仿宋_GB2312" w:cs="Times New Roman"/>
          <w:i w:val="0"/>
          <w:iCs w:val="0"/>
          <w:caps w:val="0"/>
          <w:color w:val="auto"/>
          <w:spacing w:val="0"/>
          <w:sz w:val="32"/>
          <w:szCs w:val="32"/>
          <w:shd w:val="clear" w:color="auto" w:fill="FFFFFF"/>
        </w:rPr>
        <w:t>加大，街道社会组织孵化培育发展工作全面推进，备案社区社会组织数量指标任务</w:t>
      </w:r>
      <w:r>
        <w:rPr>
          <w:rFonts w:hint="eastAsia" w:ascii="Times New Roman" w:hAnsi="Times New Roman" w:eastAsia="仿宋_GB2312" w:cs="Times New Roman"/>
          <w:i w:val="0"/>
          <w:iCs w:val="0"/>
          <w:caps w:val="0"/>
          <w:color w:val="auto"/>
          <w:spacing w:val="0"/>
          <w:sz w:val="32"/>
          <w:szCs w:val="32"/>
          <w:shd w:val="clear" w:color="auto" w:fill="FFFFFF"/>
          <w:lang w:eastAsia="zh-CN"/>
        </w:rPr>
        <w:t>超额完成</w:t>
      </w:r>
      <w:r>
        <w:rPr>
          <w:rFonts w:hint="eastAsia" w:ascii="Times New Roman" w:hAnsi="Times New Roman" w:eastAsia="仿宋_GB2312" w:cs="Times New Roman"/>
          <w:i w:val="0"/>
          <w:iCs w:val="0"/>
          <w:caps w:val="0"/>
          <w:color w:val="auto"/>
          <w:spacing w:val="0"/>
          <w:sz w:val="32"/>
          <w:szCs w:val="32"/>
          <w:shd w:val="clear" w:color="auto" w:fill="FFFFFF"/>
        </w:rPr>
        <w:t>，在参与居民自治方面发挥重大作用。慈善事业成效明显。构建</w:t>
      </w:r>
      <w:r>
        <w:rPr>
          <w:rFonts w:hint="eastAsia" w:ascii="Times New Roman" w:hAnsi="Times New Roman" w:cs="仿宋_GB2312"/>
          <w:b w:val="0"/>
          <w:bCs w:val="0"/>
          <w:color w:val="auto"/>
          <w:sz w:val="32"/>
          <w:szCs w:val="32"/>
          <w:highlight w:val="none"/>
          <w:lang w:eastAsia="zh-CN"/>
        </w:rPr>
        <w:t>区—街—社区</w:t>
      </w:r>
      <w:r>
        <w:rPr>
          <w:rFonts w:hint="eastAsia" w:ascii="Times New Roman" w:hAnsi="Times New Roman" w:eastAsia="仿宋_GB2312" w:cs="Times New Roman"/>
          <w:i w:val="0"/>
          <w:iCs w:val="0"/>
          <w:caps w:val="0"/>
          <w:color w:val="auto"/>
          <w:spacing w:val="0"/>
          <w:sz w:val="32"/>
          <w:szCs w:val="32"/>
          <w:shd w:val="clear" w:color="auto" w:fill="FFFFFF"/>
        </w:rPr>
        <w:t>三级慈善</w:t>
      </w:r>
      <w:r>
        <w:rPr>
          <w:rFonts w:hint="eastAsia" w:ascii="Times New Roman" w:hAnsi="Times New Roman" w:eastAsia="仿宋_GB2312" w:cs="Times New Roman"/>
          <w:i w:val="0"/>
          <w:iCs w:val="0"/>
          <w:caps w:val="0"/>
          <w:color w:val="auto"/>
          <w:spacing w:val="0"/>
          <w:sz w:val="32"/>
          <w:szCs w:val="32"/>
          <w:shd w:val="clear" w:color="auto" w:fill="FFFFFF"/>
          <w:lang w:eastAsia="zh-CN"/>
        </w:rPr>
        <w:t>工作</w:t>
      </w:r>
      <w:r>
        <w:rPr>
          <w:rFonts w:hint="eastAsia" w:ascii="Times New Roman" w:hAnsi="Times New Roman" w:eastAsia="仿宋_GB2312" w:cs="Times New Roman"/>
          <w:i w:val="0"/>
          <w:iCs w:val="0"/>
          <w:caps w:val="0"/>
          <w:color w:val="auto"/>
          <w:spacing w:val="0"/>
          <w:sz w:val="32"/>
          <w:szCs w:val="32"/>
          <w:shd w:val="clear" w:color="auto" w:fill="FFFFFF"/>
        </w:rPr>
        <w:t>体系，打造品牌慈善帮扶项目，“慈善</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w:t>
      </w:r>
      <w:r>
        <w:rPr>
          <w:rFonts w:hint="eastAsia" w:ascii="Times New Roman" w:hAnsi="Times New Roman" w:eastAsia="仿宋_GB2312" w:cs="Times New Roman"/>
          <w:i w:val="0"/>
          <w:iCs w:val="0"/>
          <w:caps w:val="0"/>
          <w:color w:val="auto"/>
          <w:spacing w:val="0"/>
          <w:sz w:val="32"/>
          <w:szCs w:val="32"/>
          <w:shd w:val="clear" w:color="auto" w:fill="FFFFFF"/>
        </w:rPr>
        <w:t>救助”</w:t>
      </w:r>
      <w:r>
        <w:rPr>
          <w:rFonts w:hint="eastAsia" w:ascii="Times New Roman" w:hAnsi="Times New Roman" w:cs="Times New Roman"/>
          <w:i w:val="0"/>
          <w:iCs w:val="0"/>
          <w:caps w:val="0"/>
          <w:color w:val="auto"/>
          <w:spacing w:val="0"/>
          <w:sz w:val="32"/>
          <w:szCs w:val="32"/>
          <w:shd w:val="clear" w:color="auto" w:fill="FFFFFF"/>
          <w:lang w:eastAsia="zh-CN"/>
        </w:rPr>
        <w:t>联动</w:t>
      </w:r>
      <w:r>
        <w:rPr>
          <w:rFonts w:hint="eastAsia" w:ascii="Times New Roman" w:hAnsi="Times New Roman" w:eastAsia="仿宋_GB2312" w:cs="Times New Roman"/>
          <w:i w:val="0"/>
          <w:iCs w:val="0"/>
          <w:caps w:val="0"/>
          <w:color w:val="auto"/>
          <w:spacing w:val="0"/>
          <w:sz w:val="32"/>
          <w:szCs w:val="32"/>
          <w:shd w:val="clear" w:color="auto" w:fill="FFFFFF"/>
        </w:rPr>
        <w:t>模式</w:t>
      </w:r>
      <w:r>
        <w:rPr>
          <w:rFonts w:hint="eastAsia" w:ascii="Times New Roman" w:hAnsi="Times New Roman" w:eastAsia="仿宋_GB2312" w:cs="Times New Roman"/>
          <w:i w:val="0"/>
          <w:iCs w:val="0"/>
          <w:caps w:val="0"/>
          <w:color w:val="auto"/>
          <w:spacing w:val="0"/>
          <w:sz w:val="32"/>
          <w:szCs w:val="32"/>
          <w:shd w:val="clear" w:color="auto" w:fill="FFFFFF"/>
          <w:lang w:eastAsia="zh-CN"/>
        </w:rPr>
        <w:t>持续</w:t>
      </w:r>
      <w:r>
        <w:rPr>
          <w:rFonts w:hint="eastAsia" w:ascii="Times New Roman" w:hAnsi="Times New Roman" w:eastAsia="仿宋_GB2312" w:cs="Times New Roman"/>
          <w:i w:val="0"/>
          <w:iCs w:val="0"/>
          <w:caps w:val="0"/>
          <w:color w:val="auto"/>
          <w:spacing w:val="0"/>
          <w:sz w:val="32"/>
          <w:szCs w:val="32"/>
          <w:shd w:val="clear" w:color="auto" w:fill="FFFFFF"/>
        </w:rPr>
        <w:t>完善。行政区划工作</w:t>
      </w:r>
      <w:r>
        <w:rPr>
          <w:rFonts w:hint="eastAsia" w:ascii="Times New Roman" w:hAnsi="Times New Roman" w:eastAsia="仿宋_GB2312" w:cs="Times New Roman"/>
          <w:i w:val="0"/>
          <w:iCs w:val="0"/>
          <w:caps w:val="0"/>
          <w:color w:val="auto"/>
          <w:spacing w:val="0"/>
          <w:sz w:val="32"/>
          <w:szCs w:val="32"/>
          <w:shd w:val="clear" w:color="auto" w:fill="FFFFFF"/>
          <w:lang w:eastAsia="zh-CN"/>
        </w:rPr>
        <w:t>更加规范</w:t>
      </w:r>
      <w:r>
        <w:rPr>
          <w:rFonts w:hint="eastAsia" w:ascii="Times New Roman" w:hAnsi="Times New Roman" w:cs="Times New Roman"/>
          <w:i w:val="0"/>
          <w:iCs w:val="0"/>
          <w:caps w:val="0"/>
          <w:color w:val="auto"/>
          <w:spacing w:val="0"/>
          <w:sz w:val="32"/>
          <w:szCs w:val="32"/>
          <w:shd w:val="clear" w:color="auto" w:fill="FFFFFF"/>
          <w:lang w:eastAsia="zh-CN"/>
        </w:rPr>
        <w:t>，</w:t>
      </w:r>
      <w:r>
        <w:rPr>
          <w:rFonts w:hint="eastAsia" w:ascii="Times New Roman" w:hAnsi="Times New Roman" w:eastAsia="仿宋_GB2312" w:cs="Times New Roman"/>
          <w:i w:val="0"/>
          <w:iCs w:val="0"/>
          <w:caps w:val="0"/>
          <w:color w:val="auto"/>
          <w:spacing w:val="0"/>
          <w:sz w:val="32"/>
          <w:szCs w:val="32"/>
          <w:shd w:val="clear" w:color="auto" w:fill="FFFFFF"/>
        </w:rPr>
        <w:t>落实行政区划调整工作规程，共同维护行政区域界线</w:t>
      </w:r>
      <w:r>
        <w:rPr>
          <w:rFonts w:hint="eastAsia" w:ascii="Times New Roman" w:hAnsi="Times New Roman" w:cs="仿宋_GB2312"/>
          <w:color w:val="auto"/>
          <w:szCs w:val="32"/>
          <w:highlight w:val="none"/>
        </w:rPr>
        <w:t>附近地区</w:t>
      </w:r>
      <w:r>
        <w:rPr>
          <w:rFonts w:hint="eastAsia" w:ascii="Times New Roman" w:hAnsi="Times New Roman" w:eastAsia="仿宋_GB2312" w:cs="Times New Roman"/>
          <w:i w:val="0"/>
          <w:iCs w:val="0"/>
          <w:caps w:val="0"/>
          <w:color w:val="auto"/>
          <w:spacing w:val="0"/>
          <w:sz w:val="32"/>
          <w:szCs w:val="32"/>
          <w:shd w:val="clear" w:color="auto" w:fill="FFFFFF"/>
          <w:lang w:eastAsia="zh-CN"/>
        </w:rPr>
        <w:t>治理秩序。</w:t>
      </w:r>
    </w:p>
    <w:p>
      <w:pPr>
        <w:pStyle w:val="3"/>
        <w:tabs>
          <w:tab w:val="left" w:pos="333"/>
        </w:tabs>
        <w:spacing w:before="156" w:beforeLines="50" w:after="156" w:afterLines="50" w:line="600" w:lineRule="exact"/>
        <w:ind w:firstLine="0" w:firstLineChars="0"/>
        <w:jc w:val="center"/>
        <w:rPr>
          <w:rFonts w:ascii="楷体" w:hAnsi="楷体" w:eastAsia="楷体" w:cs="Times New Roman"/>
          <w:color w:val="auto"/>
          <w:szCs w:val="32"/>
          <w:highlight w:val="none"/>
        </w:rPr>
      </w:pPr>
      <w:bookmarkStart w:id="22" w:name="_Toc29689"/>
      <w:bookmarkStart w:id="23" w:name="_Toc32526"/>
      <w:bookmarkStart w:id="24" w:name="_Toc217291218"/>
      <w:bookmarkStart w:id="25" w:name="_Toc2217"/>
      <w:bookmarkStart w:id="26" w:name="_Toc28238"/>
      <w:bookmarkStart w:id="27" w:name="_Toc26440"/>
      <w:bookmarkStart w:id="28" w:name="_Toc9275"/>
      <w:bookmarkStart w:id="29" w:name="_Toc18318"/>
      <w:bookmarkStart w:id="30" w:name="_Toc4847"/>
      <w:bookmarkStart w:id="31" w:name="_Toc28035"/>
      <w:r>
        <w:rPr>
          <w:rFonts w:hint="eastAsia" w:ascii="楷体" w:hAnsi="楷体" w:eastAsia="楷体" w:cs="Times New Roman"/>
          <w:color w:val="auto"/>
          <w:szCs w:val="32"/>
          <w:highlight w:val="none"/>
        </w:rPr>
        <w:t>第二节</w:t>
      </w:r>
      <w:bookmarkStart w:id="32" w:name="_t0fez9knr"/>
      <w:r>
        <w:rPr>
          <w:rFonts w:hint="eastAsia" w:ascii="楷体" w:hAnsi="楷体" w:eastAsia="楷体" w:cs="Times New Roman"/>
          <w:color w:val="auto"/>
          <w:szCs w:val="32"/>
          <w:highlight w:val="none"/>
        </w:rPr>
        <w:t xml:space="preserve">  </w:t>
      </w:r>
      <w:bookmarkEnd w:id="32"/>
      <w:r>
        <w:rPr>
          <w:rFonts w:hint="eastAsia" w:ascii="楷体" w:hAnsi="楷体" w:eastAsia="楷体" w:cs="Times New Roman"/>
          <w:color w:val="auto"/>
          <w:szCs w:val="32"/>
          <w:highlight w:val="none"/>
          <w:lang w:eastAsia="zh-CN"/>
        </w:rPr>
        <w:t>发展</w:t>
      </w:r>
      <w:r>
        <w:rPr>
          <w:rFonts w:hint="eastAsia" w:ascii="楷体" w:hAnsi="楷体" w:eastAsia="楷体" w:cs="Times New Roman"/>
          <w:color w:val="auto"/>
          <w:szCs w:val="32"/>
          <w:highlight w:val="none"/>
        </w:rPr>
        <w:t>形势</w:t>
      </w:r>
      <w:bookmarkEnd w:id="22"/>
      <w:bookmarkEnd w:id="23"/>
      <w:bookmarkEnd w:id="24"/>
      <w:bookmarkEnd w:id="25"/>
      <w:bookmarkEnd w:id="26"/>
      <w:bookmarkEnd w:id="27"/>
      <w:bookmarkEnd w:id="28"/>
      <w:bookmarkEnd w:id="29"/>
      <w:bookmarkEnd w:id="30"/>
      <w:bookmarkEnd w:id="31"/>
    </w:p>
    <w:p>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Lines="-2147483648" w:beforeAutospacing="0" w:after="0" w:afterAutospacing="0" w:line="600" w:lineRule="exact"/>
        <w:ind w:firstLine="640" w:firstLineChars="0"/>
        <w:textAlignment w:val="auto"/>
        <w:rPr>
          <w:rFonts w:hint="default" w:ascii="Times New Roman" w:hAnsi="Times New Roman" w:eastAsia="仿宋_GB2312" w:cs="Times New Roman"/>
          <w:color w:val="auto"/>
          <w:sz w:val="32"/>
          <w:szCs w:val="32"/>
        </w:rPr>
      </w:pPr>
      <w:r>
        <w:rPr>
          <w:rFonts w:hint="eastAsia" w:ascii="Times New Roman" w:hAnsi="Times New Roman" w:cs="仿宋_GB2312"/>
          <w:color w:val="auto"/>
          <w:szCs w:val="32"/>
          <w:highlight w:val="none"/>
          <w:lang w:bidi="ar"/>
        </w:rPr>
        <w:t>“十五五”时期是西城区在</w:t>
      </w:r>
      <w:r>
        <w:rPr>
          <w:rFonts w:hint="eastAsia" w:ascii="Times New Roman" w:hAnsi="Times New Roman" w:cs="仿宋_GB2312"/>
          <w:color w:val="auto"/>
          <w:szCs w:val="32"/>
          <w:highlight w:val="none"/>
          <w:lang w:eastAsia="zh-CN" w:bidi="ar"/>
        </w:rPr>
        <w:t>全市</w:t>
      </w:r>
      <w:r>
        <w:rPr>
          <w:rFonts w:hint="eastAsia" w:ascii="Times New Roman" w:hAnsi="Times New Roman" w:cs="仿宋_GB2312"/>
          <w:color w:val="auto"/>
          <w:szCs w:val="32"/>
          <w:highlight w:val="none"/>
          <w:lang w:bidi="ar"/>
        </w:rPr>
        <w:t>率先基本实现现代化进程中走在前</w:t>
      </w:r>
      <w:r>
        <w:rPr>
          <w:rFonts w:hint="eastAsia" w:ascii="Times New Roman" w:hAnsi="Times New Roman" w:cs="仿宋_GB2312"/>
          <w:color w:val="auto"/>
          <w:szCs w:val="32"/>
          <w:highlight w:val="none"/>
        </w:rPr>
        <w:t>列</w:t>
      </w:r>
      <w:r>
        <w:rPr>
          <w:rFonts w:hint="eastAsia" w:ascii="Times New Roman" w:hAnsi="Times New Roman" w:cs="仿宋_GB2312"/>
          <w:color w:val="auto"/>
          <w:szCs w:val="32"/>
          <w:highlight w:val="none"/>
          <w:lang w:bidi="ar"/>
        </w:rPr>
        <w:t>的关</w:t>
      </w:r>
      <w:r>
        <w:rPr>
          <w:rFonts w:hint="eastAsia" w:ascii="Times New Roman" w:hAnsi="Times New Roman" w:cs="仿宋_GB2312"/>
          <w:color w:val="auto"/>
          <w:szCs w:val="32"/>
          <w:highlight w:val="none"/>
        </w:rPr>
        <w:t>键时期</w:t>
      </w:r>
      <w:r>
        <w:rPr>
          <w:rFonts w:hint="eastAsia" w:ascii="Times New Roman" w:hAnsi="Times New Roman" w:cs="仿宋_GB2312"/>
          <w:color w:val="auto"/>
          <w:szCs w:val="32"/>
          <w:highlight w:val="none"/>
          <w:lang w:eastAsia="zh-CN"/>
        </w:rPr>
        <w:t>，民政事业发展</w:t>
      </w:r>
      <w:r>
        <w:rPr>
          <w:rFonts w:hint="eastAsia" w:ascii="Times New Roman" w:hAnsi="Times New Roman" w:cs="仿宋_GB2312"/>
          <w:color w:val="auto"/>
          <w:szCs w:val="32"/>
          <w:highlight w:val="none"/>
        </w:rPr>
        <w:t>面临</w:t>
      </w:r>
      <w:r>
        <w:rPr>
          <w:rFonts w:hint="eastAsia" w:ascii="Times New Roman" w:hAnsi="Times New Roman" w:cs="仿宋_GB2312"/>
          <w:color w:val="auto"/>
          <w:szCs w:val="32"/>
          <w:highlight w:val="none"/>
          <w:lang w:eastAsia="zh-CN"/>
        </w:rPr>
        <w:t>新</w:t>
      </w:r>
      <w:r>
        <w:rPr>
          <w:rFonts w:hint="eastAsia" w:ascii="Times New Roman" w:hAnsi="Times New Roman" w:cs="仿宋_GB2312"/>
          <w:color w:val="auto"/>
          <w:szCs w:val="32"/>
          <w:highlight w:val="none"/>
        </w:rPr>
        <w:t>机遇</w:t>
      </w:r>
      <w:r>
        <w:rPr>
          <w:rFonts w:hint="eastAsia" w:ascii="Times New Roman" w:hAnsi="Times New Roman" w:cs="仿宋_GB2312"/>
          <w:color w:val="auto"/>
          <w:szCs w:val="32"/>
          <w:highlight w:val="none"/>
          <w:lang w:eastAsia="zh-CN"/>
        </w:rPr>
        <w:t>新</w:t>
      </w:r>
      <w:r>
        <w:rPr>
          <w:rFonts w:hint="eastAsia" w:ascii="Times New Roman" w:hAnsi="Times New Roman" w:cs="仿宋_GB2312"/>
          <w:color w:val="auto"/>
          <w:szCs w:val="32"/>
          <w:highlight w:val="none"/>
        </w:rPr>
        <w:t>挑战。习近平总书记</w:t>
      </w:r>
      <w:r>
        <w:rPr>
          <w:rFonts w:hint="eastAsia" w:ascii="Times New Roman" w:hAnsi="Times New Roman" w:cs="仿宋_GB2312"/>
          <w:color w:val="auto"/>
          <w:szCs w:val="32"/>
          <w:highlight w:val="none"/>
          <w:lang w:eastAsia="zh-CN"/>
        </w:rPr>
        <w:t>关于</w:t>
      </w:r>
      <w:r>
        <w:rPr>
          <w:rFonts w:hint="eastAsia" w:ascii="Times New Roman" w:hAnsi="Times New Roman" w:cs="仿宋_GB2312"/>
          <w:color w:val="auto"/>
          <w:szCs w:val="32"/>
          <w:highlight w:val="none"/>
          <w:lang w:val="en-US" w:eastAsia="zh-CN"/>
        </w:rPr>
        <w:t>民政工作的系列重要论述，</w:t>
      </w:r>
      <w:r>
        <w:rPr>
          <w:rFonts w:hint="eastAsia" w:ascii="Times New Roman" w:hAnsi="Times New Roman" w:cs="仿宋_GB2312"/>
          <w:color w:val="auto"/>
          <w:szCs w:val="32"/>
          <w:highlight w:val="none"/>
        </w:rPr>
        <w:t>为</w:t>
      </w:r>
      <w:r>
        <w:rPr>
          <w:rFonts w:hint="eastAsia" w:ascii="Times New Roman" w:hAnsi="Times New Roman" w:cs="仿宋_GB2312"/>
          <w:color w:val="auto"/>
          <w:szCs w:val="32"/>
          <w:highlight w:val="none"/>
          <w:lang w:eastAsia="zh-CN"/>
        </w:rPr>
        <w:t>西城</w:t>
      </w:r>
      <w:r>
        <w:rPr>
          <w:rFonts w:hint="eastAsia" w:ascii="Times New Roman" w:hAnsi="Times New Roman" w:cs="仿宋_GB2312"/>
          <w:color w:val="auto"/>
          <w:szCs w:val="32"/>
          <w:highlight w:val="none"/>
        </w:rPr>
        <w:t>区</w:t>
      </w:r>
      <w:r>
        <w:rPr>
          <w:rFonts w:hint="eastAsia" w:ascii="Times New Roman" w:hAnsi="Times New Roman" w:cs="仿宋_GB2312"/>
          <w:color w:val="auto"/>
          <w:szCs w:val="32"/>
          <w:highlight w:val="none"/>
          <w:lang w:eastAsia="zh-CN"/>
        </w:rPr>
        <w:t>以</w:t>
      </w:r>
      <w:r>
        <w:rPr>
          <w:rFonts w:hint="eastAsia" w:ascii="Times New Roman" w:hAnsi="Times New Roman" w:cs="仿宋_GB2312"/>
          <w:color w:val="auto"/>
          <w:szCs w:val="32"/>
          <w:highlight w:val="none"/>
        </w:rPr>
        <w:t>首善标准</w:t>
      </w:r>
      <w:r>
        <w:rPr>
          <w:rFonts w:hint="eastAsia" w:ascii="Times New Roman" w:hAnsi="Times New Roman" w:cs="仿宋_GB2312"/>
          <w:color w:val="auto"/>
          <w:szCs w:val="32"/>
          <w:highlight w:val="none"/>
          <w:lang w:eastAsia="zh-CN"/>
        </w:rPr>
        <w:t>推动民政事业高质量发展</w:t>
      </w:r>
      <w:r>
        <w:rPr>
          <w:rFonts w:hint="eastAsia" w:ascii="Times New Roman" w:hAnsi="Times New Roman" w:cs="仿宋_GB2312"/>
          <w:color w:val="auto"/>
          <w:szCs w:val="32"/>
          <w:highlight w:val="none"/>
        </w:rPr>
        <w:t>指明了前进方向、提供了根本遵循、注入了强大动力。</w:t>
      </w:r>
      <w:r>
        <w:rPr>
          <w:rFonts w:hint="eastAsia" w:ascii="Times New Roman" w:hAnsi="Times New Roman" w:cs="仿宋_GB2312"/>
          <w:color w:val="auto"/>
          <w:szCs w:val="32"/>
          <w:highlight w:val="none"/>
          <w:lang w:eastAsia="zh-CN"/>
        </w:rPr>
        <w:t>当前</w:t>
      </w:r>
      <w:r>
        <w:rPr>
          <w:rFonts w:hint="default" w:ascii="Times New Roman" w:hAnsi="Times New Roman" w:eastAsia="仿宋_GB2312" w:cs="Times New Roman"/>
          <w:color w:val="auto"/>
          <w:sz w:val="32"/>
          <w:szCs w:val="32"/>
        </w:rPr>
        <w:t>区域人口结构深刻调整，高龄老年群体规模扩大、少子化、人口跨区流动等</w:t>
      </w:r>
      <w:r>
        <w:rPr>
          <w:rFonts w:hint="eastAsia" w:ascii="Times New Roman" w:hAnsi="Times New Roman" w:cs="Times New Roman"/>
          <w:color w:val="auto"/>
          <w:sz w:val="32"/>
          <w:szCs w:val="32"/>
          <w:lang w:eastAsia="zh-CN"/>
        </w:rPr>
        <w:t>多重</w:t>
      </w:r>
      <w:r>
        <w:rPr>
          <w:rFonts w:hint="default" w:ascii="Times New Roman" w:hAnsi="Times New Roman" w:eastAsia="仿宋_GB2312" w:cs="Times New Roman"/>
          <w:color w:val="auto"/>
          <w:sz w:val="32"/>
          <w:szCs w:val="32"/>
        </w:rPr>
        <w:t>问题</w:t>
      </w:r>
      <w:r>
        <w:rPr>
          <w:rFonts w:hint="eastAsia" w:ascii="Times New Roman" w:hAnsi="Times New Roman" w:cs="Times New Roman"/>
          <w:color w:val="auto"/>
          <w:sz w:val="32"/>
          <w:szCs w:val="32"/>
          <w:lang w:eastAsia="zh-CN"/>
        </w:rPr>
        <w:t>相互</w:t>
      </w:r>
      <w:r>
        <w:rPr>
          <w:rFonts w:hint="default" w:ascii="Times New Roman" w:hAnsi="Times New Roman" w:eastAsia="仿宋_GB2312" w:cs="Times New Roman"/>
          <w:color w:val="auto"/>
          <w:sz w:val="32"/>
          <w:szCs w:val="32"/>
        </w:rPr>
        <w:t>叠加，民政服务供给</w:t>
      </w:r>
      <w:r>
        <w:rPr>
          <w:rFonts w:hint="eastAsia" w:ascii="Times New Roman" w:hAnsi="Times New Roman" w:cs="Times New Roman"/>
          <w:color w:val="auto"/>
          <w:sz w:val="32"/>
          <w:szCs w:val="32"/>
          <w:lang w:eastAsia="zh-CN"/>
        </w:rPr>
        <w:t>的</w:t>
      </w:r>
      <w:r>
        <w:rPr>
          <w:rFonts w:hint="default" w:ascii="Times New Roman" w:hAnsi="Times New Roman" w:eastAsia="仿宋_GB2312" w:cs="Times New Roman"/>
          <w:color w:val="auto"/>
          <w:sz w:val="32"/>
          <w:szCs w:val="32"/>
        </w:rPr>
        <w:t>结构性</w:t>
      </w:r>
      <w:r>
        <w:rPr>
          <w:rFonts w:hint="eastAsia" w:ascii="Times New Roman" w:hAnsi="Times New Roman" w:cs="Times New Roman"/>
          <w:color w:val="auto"/>
          <w:sz w:val="32"/>
          <w:szCs w:val="32"/>
          <w:lang w:eastAsia="zh-CN"/>
        </w:rPr>
        <w:t>矛盾日益</w:t>
      </w:r>
      <w:r>
        <w:rPr>
          <w:rFonts w:hint="default" w:ascii="Times New Roman" w:hAnsi="Times New Roman" w:eastAsia="仿宋_GB2312" w:cs="Times New Roman"/>
          <w:color w:val="auto"/>
          <w:sz w:val="32"/>
          <w:szCs w:val="32"/>
        </w:rPr>
        <w:t>凸显</w:t>
      </w:r>
      <w:r>
        <w:rPr>
          <w:rFonts w:hint="eastAsia" w:ascii="Times New Roman" w:hAnsi="Times New Roman" w:cs="Times New Roman"/>
          <w:color w:val="auto"/>
          <w:sz w:val="32"/>
          <w:szCs w:val="32"/>
          <w:lang w:eastAsia="zh-CN"/>
        </w:rPr>
        <w:t>。与此同时，</w:t>
      </w:r>
      <w:r>
        <w:rPr>
          <w:rFonts w:hint="default" w:ascii="Times New Roman" w:hAnsi="Times New Roman" w:eastAsia="仿宋_GB2312" w:cs="Times New Roman"/>
          <w:color w:val="auto"/>
          <w:sz w:val="32"/>
          <w:szCs w:val="32"/>
        </w:rPr>
        <w:t>群众需求</w:t>
      </w:r>
      <w:r>
        <w:rPr>
          <w:rFonts w:hint="eastAsia" w:ascii="Times New Roman" w:hAnsi="Times New Roman" w:cs="Times New Roman"/>
          <w:color w:val="auto"/>
          <w:sz w:val="32"/>
          <w:szCs w:val="32"/>
          <w:lang w:eastAsia="zh-CN"/>
        </w:rPr>
        <w:t>已从</w:t>
      </w:r>
      <w:r>
        <w:rPr>
          <w:rFonts w:hint="default" w:ascii="Times New Roman" w:hAnsi="Times New Roman" w:eastAsia="仿宋_GB2312" w:cs="Times New Roman"/>
          <w:color w:val="auto"/>
          <w:sz w:val="32"/>
          <w:szCs w:val="32"/>
        </w:rPr>
        <w:t>基础生</w:t>
      </w:r>
      <w:r>
        <w:rPr>
          <w:rFonts w:hint="eastAsia" w:ascii="Times New Roman" w:hAnsi="Times New Roman" w:cs="Times New Roman"/>
          <w:color w:val="auto"/>
          <w:sz w:val="32"/>
          <w:szCs w:val="32"/>
          <w:lang w:eastAsia="zh-CN"/>
        </w:rPr>
        <w:t>保障</w:t>
      </w:r>
      <w:r>
        <w:rPr>
          <w:rFonts w:hint="default" w:ascii="Times New Roman" w:hAnsi="Times New Roman" w:eastAsia="仿宋_GB2312" w:cs="Times New Roman"/>
          <w:color w:val="auto"/>
          <w:sz w:val="32"/>
          <w:szCs w:val="32"/>
        </w:rPr>
        <w:t>转向</w:t>
      </w:r>
      <w:r>
        <w:rPr>
          <w:rFonts w:hint="eastAsia" w:ascii="Times New Roman" w:hAnsi="Times New Roman" w:cs="Times New Roman"/>
          <w:color w:val="auto"/>
          <w:sz w:val="32"/>
          <w:szCs w:val="32"/>
          <w:lang w:eastAsia="zh-CN"/>
        </w:rPr>
        <w:t>高</w:t>
      </w:r>
      <w:r>
        <w:rPr>
          <w:rFonts w:hint="default" w:ascii="Times New Roman" w:hAnsi="Times New Roman" w:eastAsia="仿宋_GB2312" w:cs="Times New Roman"/>
          <w:color w:val="auto"/>
          <w:sz w:val="32"/>
          <w:szCs w:val="32"/>
        </w:rPr>
        <w:t>品质</w:t>
      </w:r>
      <w:r>
        <w:rPr>
          <w:rFonts w:hint="eastAsia" w:ascii="Times New Roman" w:hAnsi="Times New Roman" w:cs="Times New Roman"/>
          <w:color w:val="auto"/>
          <w:sz w:val="32"/>
          <w:szCs w:val="32"/>
          <w:lang w:eastAsia="zh-CN"/>
        </w:rPr>
        <w:t>民生</w:t>
      </w:r>
      <w:r>
        <w:rPr>
          <w:rFonts w:hint="default" w:ascii="Times New Roman" w:hAnsi="Times New Roman" w:eastAsia="仿宋_GB2312" w:cs="Times New Roman"/>
          <w:color w:val="auto"/>
          <w:sz w:val="32"/>
          <w:szCs w:val="32"/>
        </w:rPr>
        <w:t>发展，</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一老一小</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、残疾人</w:t>
      </w:r>
      <w:r>
        <w:rPr>
          <w:rFonts w:hint="eastAsia" w:ascii="Times New Roman" w:hAnsi="Times New Roman" w:cs="Times New Roman"/>
          <w:color w:val="auto"/>
          <w:sz w:val="32"/>
          <w:szCs w:val="32"/>
          <w:lang w:eastAsia="zh-CN"/>
        </w:rPr>
        <w:t>服务以</w:t>
      </w:r>
      <w:r>
        <w:rPr>
          <w:rFonts w:hint="default" w:ascii="Times New Roman" w:hAnsi="Times New Roman" w:eastAsia="仿宋_GB2312" w:cs="Times New Roman"/>
          <w:color w:val="auto"/>
          <w:sz w:val="32"/>
          <w:szCs w:val="32"/>
        </w:rPr>
        <w:t>及婚丧</w:t>
      </w:r>
      <w:r>
        <w:rPr>
          <w:rFonts w:hint="eastAsia" w:ascii="Times New Roman" w:hAnsi="Times New Roman" w:cs="Times New Roman"/>
          <w:color w:val="auto"/>
          <w:sz w:val="32"/>
          <w:szCs w:val="32"/>
          <w:lang w:eastAsia="zh-CN"/>
        </w:rPr>
        <w:t>殡葬等</w:t>
      </w:r>
      <w:r>
        <w:rPr>
          <w:rFonts w:hint="default" w:ascii="Times New Roman" w:hAnsi="Times New Roman" w:eastAsia="仿宋_GB2312" w:cs="Times New Roman"/>
          <w:color w:val="auto"/>
          <w:sz w:val="32"/>
          <w:szCs w:val="32"/>
        </w:rPr>
        <w:t>专项服务的多元化、个性化诉求持续扩容，</w:t>
      </w:r>
      <w:r>
        <w:rPr>
          <w:rFonts w:hint="eastAsia" w:ascii="Times New Roman" w:hAnsi="Times New Roman" w:cs="Times New Roman"/>
          <w:color w:val="auto"/>
          <w:sz w:val="32"/>
          <w:szCs w:val="32"/>
          <w:lang w:eastAsia="zh-CN"/>
        </w:rPr>
        <w:t>亟需</w:t>
      </w:r>
      <w:r>
        <w:rPr>
          <w:rFonts w:hint="default" w:ascii="Times New Roman" w:hAnsi="Times New Roman" w:eastAsia="仿宋_GB2312" w:cs="Times New Roman"/>
          <w:color w:val="auto"/>
          <w:sz w:val="32"/>
          <w:szCs w:val="32"/>
        </w:rPr>
        <w:t>推动</w:t>
      </w:r>
      <w:r>
        <w:rPr>
          <w:rFonts w:hint="eastAsia" w:ascii="Times New Roman" w:hAnsi="Times New Roman" w:cs="Times New Roman"/>
          <w:color w:val="auto"/>
          <w:sz w:val="32"/>
          <w:szCs w:val="32"/>
          <w:lang w:eastAsia="zh-CN"/>
        </w:rPr>
        <w:t>民政</w:t>
      </w:r>
      <w:r>
        <w:rPr>
          <w:rFonts w:hint="default" w:ascii="Times New Roman" w:hAnsi="Times New Roman" w:eastAsia="仿宋_GB2312" w:cs="Times New Roman"/>
          <w:color w:val="auto"/>
          <w:sz w:val="32"/>
          <w:szCs w:val="32"/>
        </w:rPr>
        <w:t>工作</w:t>
      </w:r>
      <w:r>
        <w:rPr>
          <w:rFonts w:hint="eastAsia" w:ascii="Times New Roman" w:hAnsi="Times New Roman" w:cs="Times New Roman"/>
          <w:color w:val="auto"/>
          <w:sz w:val="32"/>
          <w:szCs w:val="32"/>
          <w:lang w:eastAsia="zh-CN"/>
        </w:rPr>
        <w:t>从传统</w:t>
      </w:r>
      <w:r>
        <w:rPr>
          <w:rFonts w:hint="default" w:ascii="Times New Roman" w:hAnsi="Times New Roman" w:eastAsia="仿宋_GB2312" w:cs="Times New Roman"/>
          <w:color w:val="auto"/>
          <w:sz w:val="32"/>
          <w:szCs w:val="32"/>
        </w:rPr>
        <w:t>兜底保障</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向更高层次、更广覆盖的民生服务</w:t>
      </w:r>
      <w:r>
        <w:rPr>
          <w:rFonts w:hint="eastAsia" w:ascii="Times New Roman" w:hAnsi="Times New Roman" w:cs="Times New Roman"/>
          <w:color w:val="auto"/>
          <w:sz w:val="32"/>
          <w:szCs w:val="32"/>
          <w:lang w:eastAsia="zh-CN"/>
        </w:rPr>
        <w:t>转型，持续</w:t>
      </w:r>
      <w:r>
        <w:rPr>
          <w:rFonts w:hint="default" w:ascii="Times New Roman" w:hAnsi="Times New Roman" w:eastAsia="仿宋_GB2312" w:cs="Times New Roman"/>
          <w:color w:val="auto"/>
          <w:sz w:val="32"/>
          <w:szCs w:val="32"/>
        </w:rPr>
        <w:t>拓宽民政服务</w:t>
      </w:r>
      <w:r>
        <w:rPr>
          <w:rFonts w:hint="eastAsia" w:ascii="Times New Roman" w:hAnsi="Times New Roman" w:cs="Times New Roman"/>
          <w:color w:val="auto"/>
          <w:sz w:val="32"/>
          <w:szCs w:val="32"/>
          <w:lang w:eastAsia="zh-CN"/>
        </w:rPr>
        <w:t>的</w:t>
      </w:r>
      <w:r>
        <w:rPr>
          <w:rFonts w:hint="default" w:ascii="Times New Roman" w:hAnsi="Times New Roman" w:eastAsia="仿宋_GB2312" w:cs="Times New Roman"/>
          <w:color w:val="auto"/>
          <w:sz w:val="32"/>
          <w:szCs w:val="32"/>
        </w:rPr>
        <w:t>发展空间。全球数字经济标杆城市示范区建设稳步推进，大数据、人工智能等新一代信息技术加速落地应用，为民政领域数字化转型赋能增效，也为民政服务提质升级提供了坚实支撑。</w:t>
      </w:r>
    </w:p>
    <w:p>
      <w:pPr>
        <w:pStyle w:val="3"/>
        <w:tabs>
          <w:tab w:val="left" w:pos="333"/>
        </w:tabs>
        <w:spacing w:before="156" w:beforeLines="50" w:after="156" w:afterLines="50"/>
        <w:ind w:firstLine="0" w:firstLineChars="0"/>
        <w:jc w:val="center"/>
        <w:rPr>
          <w:rFonts w:ascii="黑体" w:hAnsi="黑体" w:eastAsia="黑体"/>
          <w:color w:val="auto"/>
          <w:highlight w:val="none"/>
        </w:rPr>
      </w:pPr>
      <w:bookmarkStart w:id="33" w:name="_Toc21619"/>
      <w:bookmarkStart w:id="34" w:name="_Toc217291219"/>
      <w:bookmarkStart w:id="35" w:name="_Toc15400"/>
      <w:bookmarkStart w:id="36" w:name="_Toc16259"/>
      <w:bookmarkStart w:id="37" w:name="_Toc4950"/>
      <w:bookmarkStart w:id="38" w:name="_Toc2070"/>
      <w:bookmarkStart w:id="39" w:name="_Toc21270"/>
      <w:bookmarkStart w:id="40" w:name="_Toc10976"/>
      <w:bookmarkStart w:id="41" w:name="_Toc16375"/>
      <w:bookmarkStart w:id="42" w:name="_Toc7475"/>
      <w:r>
        <w:rPr>
          <w:rFonts w:hint="eastAsia" w:ascii="楷体" w:hAnsi="楷体" w:eastAsia="楷体" w:cs="Times New Roman"/>
          <w:color w:val="auto"/>
          <w:szCs w:val="32"/>
          <w:highlight w:val="none"/>
        </w:rPr>
        <w:t>第三节</w:t>
      </w:r>
      <w:bookmarkStart w:id="43" w:name="_f0tcchdzo"/>
      <w:r>
        <w:rPr>
          <w:rFonts w:hint="eastAsia" w:ascii="楷体" w:hAnsi="楷体" w:eastAsia="楷体" w:cs="Times New Roman"/>
          <w:color w:val="auto"/>
          <w:szCs w:val="32"/>
          <w:highlight w:val="none"/>
        </w:rPr>
        <w:t xml:space="preserve">  </w:t>
      </w:r>
      <w:bookmarkEnd w:id="33"/>
      <w:bookmarkEnd w:id="34"/>
      <w:bookmarkEnd w:id="35"/>
      <w:bookmarkEnd w:id="36"/>
      <w:bookmarkEnd w:id="43"/>
      <w:r>
        <w:rPr>
          <w:rFonts w:hint="eastAsia" w:ascii="楷体" w:hAnsi="楷体" w:eastAsia="楷体" w:cs="Times New Roman"/>
          <w:color w:val="auto"/>
          <w:szCs w:val="32"/>
          <w:highlight w:val="none"/>
          <w:lang w:eastAsia="zh-CN"/>
        </w:rPr>
        <w:t>发展思路</w:t>
      </w:r>
      <w:bookmarkEnd w:id="37"/>
      <w:bookmarkEnd w:id="38"/>
      <w:bookmarkEnd w:id="39"/>
      <w:bookmarkEnd w:id="40"/>
      <w:bookmarkEnd w:id="41"/>
      <w:bookmarkEnd w:id="42"/>
    </w:p>
    <w:p>
      <w:pPr>
        <w:spacing w:line="600" w:lineRule="exact"/>
        <w:ind w:firstLine="640"/>
        <w:rPr>
          <w:rFonts w:hint="eastAsia" w:ascii="楷体" w:hAnsi="楷体" w:eastAsia="楷体" w:cs="Times New Roman"/>
          <w:color w:val="auto"/>
          <w:szCs w:val="32"/>
          <w:highlight w:val="none"/>
          <w:lang w:eastAsia="zh-CN"/>
        </w:rPr>
      </w:pPr>
      <w:r>
        <w:rPr>
          <w:rFonts w:hint="eastAsia"/>
          <w:color w:val="auto"/>
          <w:highlight w:val="none"/>
          <w:lang w:eastAsia="zh-CN"/>
        </w:rPr>
        <w:t>坚持</w:t>
      </w:r>
      <w:r>
        <w:rPr>
          <w:rFonts w:hint="eastAsia"/>
          <w:color w:val="auto"/>
          <w:highlight w:val="none"/>
        </w:rPr>
        <w:t>以</w:t>
      </w:r>
      <w:r>
        <w:rPr>
          <w:color w:val="auto"/>
          <w:highlight w:val="none"/>
        </w:rPr>
        <w:t>习近平总书记对民政工作重要</w:t>
      </w:r>
      <w:r>
        <w:rPr>
          <w:rFonts w:hint="eastAsia"/>
          <w:color w:val="auto"/>
          <w:highlight w:val="none"/>
          <w:lang w:val="en-US" w:eastAsia="zh-CN"/>
        </w:rPr>
        <w:t>论述</w:t>
      </w:r>
      <w:r>
        <w:rPr>
          <w:color w:val="auto"/>
          <w:highlight w:val="none"/>
        </w:rPr>
        <w:t>和</w:t>
      </w:r>
      <w:r>
        <w:rPr>
          <w:rFonts w:hint="eastAsia"/>
          <w:color w:val="auto"/>
          <w:highlight w:val="none"/>
          <w:lang w:eastAsia="zh-CN"/>
        </w:rPr>
        <w:t>考</w:t>
      </w:r>
      <w:r>
        <w:rPr>
          <w:color w:val="auto"/>
          <w:highlight w:val="none"/>
        </w:rPr>
        <w:t>察北京重要讲话精神</w:t>
      </w:r>
      <w:r>
        <w:rPr>
          <w:rFonts w:hint="eastAsia"/>
          <w:color w:val="auto"/>
          <w:highlight w:val="none"/>
        </w:rPr>
        <w:t>为指引</w:t>
      </w:r>
      <w:r>
        <w:rPr>
          <w:color w:val="auto"/>
          <w:highlight w:val="none"/>
        </w:rPr>
        <w:t>，</w:t>
      </w:r>
      <w:r>
        <w:rPr>
          <w:rFonts w:hint="eastAsia"/>
          <w:color w:val="auto"/>
          <w:highlight w:val="none"/>
          <w:lang w:eastAsia="zh-CN"/>
        </w:rPr>
        <w:t>全面</w:t>
      </w:r>
      <w:r>
        <w:rPr>
          <w:color w:val="auto"/>
          <w:highlight w:val="none"/>
        </w:rPr>
        <w:t>贯彻党的二十大和</w:t>
      </w:r>
      <w:r>
        <w:rPr>
          <w:rFonts w:hint="eastAsia"/>
          <w:color w:val="auto"/>
          <w:highlight w:val="none"/>
          <w:lang w:eastAsia="zh-CN"/>
        </w:rPr>
        <w:t>历次</w:t>
      </w:r>
      <w:r>
        <w:rPr>
          <w:color w:val="auto"/>
          <w:highlight w:val="none"/>
        </w:rPr>
        <w:t>全会精神</w:t>
      </w:r>
      <w:r>
        <w:rPr>
          <w:rFonts w:hint="eastAsia"/>
          <w:color w:val="auto"/>
          <w:highlight w:val="none"/>
          <w:lang w:eastAsia="zh-CN"/>
        </w:rPr>
        <w:t>，深入贯彻落实党中央决策部署和市委市政府、区委区政府工作要求</w:t>
      </w:r>
      <w:r>
        <w:rPr>
          <w:color w:val="auto"/>
          <w:highlight w:val="none"/>
        </w:rPr>
        <w:t>，</w:t>
      </w:r>
      <w:r>
        <w:rPr>
          <w:rFonts w:hint="eastAsia"/>
          <w:color w:val="auto"/>
          <w:highlight w:val="none"/>
        </w:rPr>
        <w:t>以更好地服务首都功能核心区基本实现社会主义现代化为主线，</w:t>
      </w:r>
      <w:r>
        <w:rPr>
          <w:rFonts w:hint="eastAsia"/>
          <w:color w:val="auto"/>
          <w:highlight w:val="none"/>
          <w:lang w:eastAsia="zh-CN"/>
        </w:rPr>
        <w:t>以推动高质量发展为主题</w:t>
      </w:r>
      <w:r>
        <w:rPr>
          <w:rFonts w:hint="eastAsia"/>
          <w:color w:val="auto"/>
          <w:highlight w:val="none"/>
        </w:rPr>
        <w:t>，坚持党的全面领导</w:t>
      </w:r>
      <w:r>
        <w:rPr>
          <w:rFonts w:hint="eastAsia"/>
          <w:color w:val="auto"/>
          <w:highlight w:val="none"/>
          <w:lang w:eastAsia="zh-CN"/>
        </w:rPr>
        <w:t>、坚持以人民为中心、坚持西城特色首善标准、坚持深化改革创新、坚持尽力而为量力而行、坚持统筹发展和安全，</w:t>
      </w:r>
      <w:r>
        <w:rPr>
          <w:rFonts w:hint="eastAsia"/>
          <w:color w:val="auto"/>
          <w:highlight w:val="none"/>
        </w:rPr>
        <w:t>加强普惠性、基础性、兜底性民生建设</w:t>
      </w:r>
      <w:r>
        <w:rPr>
          <w:rFonts w:hint="eastAsia"/>
          <w:color w:val="auto"/>
          <w:highlight w:val="none"/>
          <w:lang w:eastAsia="zh-CN"/>
        </w:rPr>
        <w:t>，进一步彰显民政事业在服务“首善之区”、国际一流和谐宜居之都建设中的西城担当、西城作为。</w:t>
      </w:r>
    </w:p>
    <w:p>
      <w:pPr>
        <w:pStyle w:val="3"/>
        <w:tabs>
          <w:tab w:val="left" w:pos="333"/>
        </w:tabs>
        <w:spacing w:before="156" w:beforeLines="50" w:after="156" w:afterLines="50" w:line="600" w:lineRule="exact"/>
        <w:ind w:firstLine="0" w:firstLineChars="0"/>
        <w:jc w:val="center"/>
        <w:rPr>
          <w:rFonts w:hint="eastAsia" w:ascii="楷体" w:hAnsi="楷体" w:eastAsia="楷体" w:cs="Times New Roman"/>
          <w:color w:val="auto"/>
          <w:szCs w:val="32"/>
          <w:highlight w:val="none"/>
        </w:rPr>
      </w:pPr>
      <w:bookmarkStart w:id="44" w:name="_Toc16072"/>
      <w:bookmarkStart w:id="45" w:name="_Toc28634"/>
      <w:bookmarkStart w:id="46" w:name="_Toc5887"/>
      <w:bookmarkStart w:id="47" w:name="_Toc11253"/>
      <w:bookmarkStart w:id="48" w:name="_Toc25370"/>
      <w:bookmarkStart w:id="49" w:name="_Toc3075"/>
      <w:r>
        <w:rPr>
          <w:rFonts w:hint="eastAsia" w:ascii="楷体" w:hAnsi="楷体" w:eastAsia="楷体" w:cs="Times New Roman"/>
          <w:color w:val="auto"/>
          <w:szCs w:val="32"/>
          <w:highlight w:val="none"/>
          <w:lang w:eastAsia="zh-CN"/>
        </w:rPr>
        <w:t>第四节</w:t>
      </w:r>
      <w:r>
        <w:rPr>
          <w:rFonts w:hint="eastAsia" w:ascii="楷体" w:hAnsi="楷体" w:eastAsia="楷体" w:cs="Times New Roman"/>
          <w:color w:val="auto"/>
          <w:szCs w:val="32"/>
          <w:highlight w:val="none"/>
          <w:lang w:val="en-US" w:eastAsia="zh-CN"/>
        </w:rPr>
        <w:t xml:space="preserve">  </w:t>
      </w:r>
      <w:r>
        <w:rPr>
          <w:rFonts w:hint="eastAsia" w:ascii="楷体" w:hAnsi="楷体" w:eastAsia="楷体" w:cs="Times New Roman"/>
          <w:color w:val="auto"/>
          <w:szCs w:val="32"/>
          <w:highlight w:val="none"/>
        </w:rPr>
        <w:t>发展目标</w:t>
      </w:r>
      <w:bookmarkEnd w:id="44"/>
      <w:bookmarkEnd w:id="45"/>
      <w:bookmarkEnd w:id="46"/>
      <w:bookmarkEnd w:id="47"/>
      <w:bookmarkEnd w:id="48"/>
      <w:bookmarkEnd w:id="49"/>
    </w:p>
    <w:p>
      <w:pPr>
        <w:spacing w:before="313" w:beforeLines="100"/>
        <w:ind w:left="0" w:leftChars="0" w:firstLine="640" w:firstLineChars="200"/>
        <w:rPr>
          <w:rFonts w:hint="eastAsia"/>
          <w:color w:val="auto"/>
          <w:highlight w:val="none"/>
        </w:rPr>
      </w:pPr>
      <w:r>
        <w:rPr>
          <w:rFonts w:ascii="Times New Roman" w:hAnsi="Times New Roman" w:cs="Times New Roman"/>
          <w:color w:val="auto"/>
          <w:highlight w:val="none"/>
        </w:rPr>
        <w:t>到</w:t>
      </w:r>
      <w:r>
        <w:rPr>
          <w:rFonts w:ascii="Times New Roman" w:hAnsi="Times New Roman" w:cs="仿宋_GB2312"/>
          <w:color w:val="auto"/>
          <w:szCs w:val="32"/>
          <w:highlight w:val="none"/>
        </w:rPr>
        <w:t>2030</w:t>
      </w:r>
      <w:r>
        <w:rPr>
          <w:rFonts w:ascii="Times New Roman" w:hAnsi="Times New Roman" w:cs="Times New Roman"/>
          <w:color w:val="auto"/>
          <w:highlight w:val="none"/>
        </w:rPr>
        <w:t>年，</w:t>
      </w:r>
      <w:r>
        <w:rPr>
          <w:rFonts w:hint="eastAsia" w:ascii="Times New Roman" w:hAnsi="Times New Roman" w:cs="Times New Roman"/>
          <w:color w:val="auto"/>
          <w:highlight w:val="none"/>
          <w:lang w:eastAsia="zh-CN"/>
        </w:rPr>
        <w:t>全区民政领域</w:t>
      </w:r>
      <w:r>
        <w:rPr>
          <w:rFonts w:hint="eastAsia"/>
          <w:color w:val="auto"/>
          <w:highlight w:val="none"/>
        </w:rPr>
        <w:t>党的建设全面加强，“民政为民、民政爱民”理念深入人心</w:t>
      </w:r>
      <w:r>
        <w:rPr>
          <w:rFonts w:hint="eastAsia"/>
          <w:color w:val="auto"/>
          <w:highlight w:val="none"/>
          <w:lang w:eastAsia="zh-CN"/>
        </w:rPr>
        <w:t>，政策制度、服务保障、监督管理、社会参与体系建设更加完善，</w:t>
      </w:r>
      <w:r>
        <w:rPr>
          <w:rFonts w:hint="eastAsia"/>
          <w:color w:val="auto"/>
          <w:highlight w:val="none"/>
        </w:rPr>
        <w:t>积极应对人口老龄化</w:t>
      </w:r>
      <w:r>
        <w:rPr>
          <w:rFonts w:hint="eastAsia"/>
          <w:color w:val="auto"/>
          <w:highlight w:val="none"/>
          <w:lang w:eastAsia="zh-CN"/>
        </w:rPr>
        <w:t>和</w:t>
      </w:r>
      <w:r>
        <w:rPr>
          <w:rFonts w:hint="eastAsia"/>
          <w:color w:val="auto"/>
          <w:highlight w:val="none"/>
        </w:rPr>
        <w:t>社会救助、社会福利、社会事务、</w:t>
      </w:r>
      <w:r>
        <w:rPr>
          <w:color w:val="auto"/>
          <w:highlight w:val="none"/>
        </w:rPr>
        <w:t>社会</w:t>
      </w:r>
      <w:r>
        <w:rPr>
          <w:rFonts w:hint="eastAsia"/>
          <w:color w:val="auto"/>
          <w:highlight w:val="none"/>
        </w:rPr>
        <w:t>治理工作实现整体跃升，“红墙民政、品质民政、智慧民政、平安民</w:t>
      </w:r>
      <w:r>
        <w:rPr>
          <w:color w:val="auto"/>
          <w:highlight w:val="none"/>
        </w:rPr>
        <w:t>政</w:t>
      </w:r>
      <w:r>
        <w:rPr>
          <w:rFonts w:hint="eastAsia"/>
          <w:color w:val="auto"/>
          <w:highlight w:val="none"/>
        </w:rPr>
        <w:t>”建设</w:t>
      </w:r>
      <w:r>
        <w:rPr>
          <w:color w:val="auto"/>
          <w:highlight w:val="none"/>
        </w:rPr>
        <w:t>成效更加显著</w:t>
      </w:r>
      <w:r>
        <w:rPr>
          <w:rFonts w:hint="eastAsia"/>
          <w:color w:val="auto"/>
          <w:highlight w:val="none"/>
        </w:rPr>
        <w:t>，基本建成具有西城特色、</w:t>
      </w:r>
      <w:r>
        <w:rPr>
          <w:rFonts w:hint="eastAsia"/>
          <w:color w:val="auto"/>
          <w:highlight w:val="none"/>
          <w:lang w:eastAsia="zh-CN"/>
        </w:rPr>
        <w:t>首都一流、</w:t>
      </w:r>
      <w:r>
        <w:rPr>
          <w:rFonts w:hint="eastAsia"/>
          <w:color w:val="auto"/>
          <w:highlight w:val="none"/>
        </w:rPr>
        <w:t>全国领先的现代民政事业体系，打造可复制、可推广的民政事业发展西城样板。</w:t>
      </w:r>
    </w:p>
    <w:p>
      <w:pPr>
        <w:spacing w:before="313" w:beforeLines="100"/>
        <w:ind w:left="0" w:leftChars="0" w:firstLine="640" w:firstLineChars="200"/>
        <w:rPr>
          <w:rFonts w:hint="eastAsia"/>
          <w:color w:val="auto"/>
          <w:highlight w:val="none"/>
        </w:rPr>
      </w:pPr>
    </w:p>
    <w:p>
      <w:pPr>
        <w:spacing w:before="313" w:beforeLines="100"/>
        <w:ind w:left="0" w:leftChars="0" w:firstLine="960" w:firstLineChars="300"/>
        <w:rPr>
          <w:rFonts w:hint="eastAsia" w:ascii="黑体" w:hAnsi="黑体" w:eastAsia="黑体" w:cs="黑体"/>
          <w:color w:val="auto"/>
          <w:highlight w:val="none"/>
        </w:rPr>
      </w:pPr>
      <w:r>
        <w:rPr>
          <w:rFonts w:hint="eastAsia" w:ascii="黑体" w:hAnsi="黑体" w:eastAsia="黑体" w:cs="黑体"/>
          <w:color w:val="auto"/>
          <w:highlight w:val="none"/>
          <w:lang w:eastAsia="zh-CN"/>
        </w:rPr>
        <w:t>表</w:t>
      </w:r>
      <w:r>
        <w:rPr>
          <w:rFonts w:hint="eastAsia" w:ascii="黑体" w:hAnsi="黑体" w:eastAsia="黑体" w:cs="黑体"/>
          <w:color w:val="auto"/>
          <w:highlight w:val="none"/>
          <w:lang w:val="en-US" w:eastAsia="zh-CN"/>
        </w:rPr>
        <w:t xml:space="preserve">1  </w:t>
      </w:r>
      <w:r>
        <w:rPr>
          <w:rFonts w:hint="eastAsia" w:ascii="黑体" w:hAnsi="黑体" w:eastAsia="黑体" w:cs="黑体"/>
          <w:color w:val="auto"/>
          <w:highlight w:val="none"/>
        </w:rPr>
        <w:t>“十五五”时期西城区民政事业发展主要指标</w:t>
      </w:r>
    </w:p>
    <w:tbl>
      <w:tblPr>
        <w:tblStyle w:val="17"/>
        <w:tblW w:w="49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81"/>
        <w:gridCol w:w="489"/>
        <w:gridCol w:w="4090"/>
        <w:gridCol w:w="1122"/>
        <w:gridCol w:w="980"/>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57"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spacing w:line="400" w:lineRule="exact"/>
              <w:ind w:firstLine="0" w:firstLineChars="0"/>
              <w:jc w:val="center"/>
              <w:rPr>
                <w:rFonts w:ascii="Times New Roman" w:hAnsi="Times New Roman" w:eastAsia="黑体" w:cs="Times New Roman"/>
                <w:color w:val="auto"/>
                <w:sz w:val="24"/>
                <w:highlight w:val="none"/>
              </w:rPr>
            </w:pPr>
            <w:r>
              <w:rPr>
                <w:rFonts w:ascii="Times New Roman" w:hAnsi="Times New Roman" w:eastAsia="黑体" w:cs="Times New Roman"/>
                <w:color w:val="auto"/>
                <w:sz w:val="24"/>
                <w:highlight w:val="none"/>
              </w:rPr>
              <w:t>领域</w:t>
            </w:r>
          </w:p>
        </w:tc>
        <w:tc>
          <w:tcPr>
            <w:tcW w:w="272"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spacing w:line="400" w:lineRule="exact"/>
              <w:ind w:firstLine="0" w:firstLineChars="0"/>
              <w:jc w:val="center"/>
              <w:rPr>
                <w:rFonts w:ascii="Times New Roman" w:hAnsi="Times New Roman" w:eastAsia="黑体" w:cs="Times New Roman"/>
                <w:color w:val="auto"/>
                <w:sz w:val="24"/>
                <w:highlight w:val="none"/>
              </w:rPr>
            </w:pPr>
            <w:r>
              <w:rPr>
                <w:rFonts w:ascii="Times New Roman" w:hAnsi="Times New Roman" w:eastAsia="黑体" w:cs="Times New Roman"/>
                <w:color w:val="auto"/>
                <w:sz w:val="24"/>
                <w:highlight w:val="none"/>
              </w:rPr>
              <w:t>序号</w:t>
            </w:r>
          </w:p>
        </w:tc>
        <w:tc>
          <w:tcPr>
            <w:tcW w:w="227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spacing w:line="400" w:lineRule="exact"/>
              <w:ind w:firstLine="0" w:firstLineChars="0"/>
              <w:jc w:val="center"/>
              <w:rPr>
                <w:rFonts w:ascii="Times New Roman" w:hAnsi="Times New Roman" w:eastAsia="黑体" w:cs="Times New Roman"/>
                <w:color w:val="auto"/>
                <w:sz w:val="24"/>
                <w:highlight w:val="none"/>
              </w:rPr>
            </w:pPr>
            <w:r>
              <w:rPr>
                <w:rFonts w:ascii="Times New Roman" w:hAnsi="Times New Roman" w:eastAsia="黑体" w:cs="Times New Roman"/>
                <w:color w:val="auto"/>
                <w:sz w:val="24"/>
                <w:highlight w:val="none"/>
              </w:rPr>
              <w:t>指标</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spacing w:line="400" w:lineRule="exact"/>
              <w:ind w:firstLine="0" w:firstLineChars="0"/>
              <w:jc w:val="center"/>
              <w:rPr>
                <w:rFonts w:ascii="Times New Roman" w:hAnsi="Times New Roman" w:eastAsia="黑体" w:cs="Times New Roman"/>
                <w:color w:val="auto"/>
                <w:sz w:val="24"/>
                <w:highlight w:val="none"/>
              </w:rPr>
            </w:pPr>
            <w:r>
              <w:rPr>
                <w:rFonts w:ascii="Times New Roman" w:hAnsi="Times New Roman" w:eastAsia="黑体" w:cs="Times New Roman"/>
                <w:color w:val="auto"/>
                <w:sz w:val="24"/>
                <w:highlight w:val="none"/>
              </w:rPr>
              <w:t>属性</w:t>
            </w:r>
          </w:p>
        </w:tc>
        <w:tc>
          <w:tcPr>
            <w:tcW w:w="54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spacing w:line="400" w:lineRule="exact"/>
              <w:ind w:firstLine="0" w:firstLineChars="0"/>
              <w:jc w:val="center"/>
              <w:rPr>
                <w:rFonts w:ascii="Times New Roman" w:hAnsi="Times New Roman" w:eastAsia="黑体" w:cs="Times New Roman"/>
                <w:color w:val="auto"/>
                <w:sz w:val="24"/>
                <w:highlight w:val="none"/>
              </w:rPr>
            </w:pPr>
            <w:r>
              <w:rPr>
                <w:rFonts w:ascii="Times New Roman" w:hAnsi="Times New Roman" w:eastAsia="黑体" w:cs="Times New Roman"/>
                <w:color w:val="auto"/>
                <w:sz w:val="24"/>
                <w:highlight w:val="none"/>
              </w:rPr>
              <w:t>2025年</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spacing w:line="400" w:lineRule="exact"/>
              <w:ind w:firstLine="0" w:firstLineChars="0"/>
              <w:jc w:val="center"/>
              <w:rPr>
                <w:rFonts w:ascii="Times New Roman" w:hAnsi="Times New Roman" w:eastAsia="黑体" w:cs="Times New Roman"/>
                <w:color w:val="auto"/>
                <w:sz w:val="24"/>
                <w:highlight w:val="none"/>
              </w:rPr>
            </w:pPr>
            <w:r>
              <w:rPr>
                <w:rFonts w:ascii="Times New Roman" w:hAnsi="Times New Roman" w:eastAsia="黑体" w:cs="Times New Roman"/>
                <w:color w:val="auto"/>
                <w:sz w:val="24"/>
                <w:highlight w:val="none"/>
              </w:rPr>
              <w:t>2030年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57" w:type="pct"/>
            <w:vMerge w:val="restar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养老服务</w:t>
            </w:r>
          </w:p>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p>
        </w:tc>
        <w:tc>
          <w:tcPr>
            <w:tcW w:w="272"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lang w:eastAsia="zh-CN"/>
              </w:rPr>
            </w:pPr>
            <w:r>
              <w:rPr>
                <w:rFonts w:hint="default" w:ascii="Times New Roman" w:hAnsi="Times New Roman" w:eastAsia="仿宋_GB2312" w:cs="Times New Roman"/>
                <w:color w:val="auto"/>
                <w:kern w:val="0"/>
                <w:sz w:val="24"/>
                <w:szCs w:val="24"/>
                <w:highlight w:val="none"/>
                <w:u w:val="none"/>
                <w:lang w:val="en-US" w:eastAsia="zh-CN"/>
              </w:rPr>
              <w:t>1</w:t>
            </w:r>
          </w:p>
        </w:tc>
        <w:tc>
          <w:tcPr>
            <w:tcW w:w="227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afterAutospacing="0" w:line="400" w:lineRule="exact"/>
              <w:ind w:left="0" w:leftChars="0" w:firstLine="0" w:firstLineChars="0"/>
              <w:jc w:val="left"/>
              <w:textAlignment w:val="auto"/>
              <w:rPr>
                <w:rFonts w:hint="default" w:ascii="Times New Roman" w:hAnsi="Times New Roman" w:eastAsia="仿宋_GB2312" w:cs="Times New Roman"/>
                <w:b w:val="0"/>
                <w:bCs w:val="0"/>
                <w:i w:val="0"/>
                <w:iCs w:val="0"/>
                <w:color w:val="auto"/>
                <w:kern w:val="0"/>
                <w:sz w:val="24"/>
                <w:szCs w:val="24"/>
                <w:highlight w:val="none"/>
                <w:u w:val="none"/>
                <w:lang w:eastAsia="zh-CN"/>
              </w:rPr>
            </w:pPr>
            <w:r>
              <w:rPr>
                <w:rFonts w:hint="default" w:ascii="Times New Roman" w:hAnsi="Times New Roman" w:eastAsia="仿宋_GB2312" w:cs="Times New Roman"/>
                <w:b w:val="0"/>
                <w:bCs w:val="0"/>
                <w:i w:val="0"/>
                <w:iCs w:val="0"/>
                <w:color w:val="auto"/>
                <w:kern w:val="0"/>
                <w:sz w:val="24"/>
                <w:szCs w:val="24"/>
                <w:highlight w:val="none"/>
                <w:u w:val="none"/>
                <w:lang w:eastAsia="zh-CN"/>
              </w:rPr>
              <w:t>每千名常住人口拥有养老床位数（张）</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wordWrap/>
              <w:overflowPunct/>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b w:val="0"/>
                <w:bCs w:val="0"/>
                <w:color w:val="auto"/>
                <w:sz w:val="24"/>
                <w:szCs w:val="24"/>
                <w:highlight w:val="none"/>
                <w:u w:val="none"/>
                <w:lang w:eastAsia="zh-CN"/>
              </w:rPr>
              <w:t>约束性</w:t>
            </w:r>
          </w:p>
        </w:tc>
        <w:tc>
          <w:tcPr>
            <w:tcW w:w="54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bidi w:val="0"/>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eastAsia="仿宋_GB2312" w:cs="Times New Roman"/>
                <w:color w:val="auto"/>
                <w:kern w:val="0"/>
                <w:sz w:val="24"/>
                <w:szCs w:val="24"/>
                <w:highlight w:val="none"/>
                <w:u w:val="none"/>
                <w:lang w:val="en-US"/>
              </w:rPr>
            </w:pPr>
            <w:r>
              <w:rPr>
                <w:rFonts w:hint="default" w:ascii="Times New Roman" w:hAnsi="Times New Roman" w:eastAsia="仿宋_GB2312" w:cs="Times New Roman"/>
                <w:b w:val="0"/>
                <w:bCs w:val="0"/>
                <w:color w:val="auto"/>
                <w:kern w:val="0"/>
                <w:sz w:val="24"/>
                <w:szCs w:val="24"/>
                <w:highlight w:val="none"/>
                <w:u w:val="none"/>
                <w:lang w:val="en-US" w:eastAsia="zh-CN"/>
              </w:rPr>
              <w:t>7</w:t>
            </w:r>
            <w:r>
              <w:rPr>
                <w:rFonts w:hint="default" w:ascii="Times New Roman" w:hAnsi="Times New Roman" w:cs="Times New Roman"/>
                <w:b w:val="0"/>
                <w:bCs w:val="0"/>
                <w:color w:val="auto"/>
                <w:kern w:val="0"/>
                <w:sz w:val="24"/>
                <w:szCs w:val="24"/>
                <w:highlight w:val="none"/>
                <w:u w:val="none"/>
                <w:lang w:val="en-US" w:eastAsia="zh-CN"/>
              </w:rPr>
              <w:t>.72</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bidi w:val="0"/>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eastAsia="仿宋_GB2312" w:cs="Times New Roman"/>
                <w:color w:val="auto"/>
                <w:kern w:val="0"/>
                <w:sz w:val="24"/>
                <w:szCs w:val="24"/>
                <w:highlight w:val="none"/>
                <w:u w:val="none"/>
                <w:lang w:val="en-US"/>
              </w:rPr>
            </w:pPr>
            <w:r>
              <w:rPr>
                <w:rFonts w:hint="default" w:ascii="Times New Roman" w:hAnsi="Times New Roman" w:eastAsia="仿宋_GB2312" w:cs="Times New Roman"/>
                <w:b w:val="0"/>
                <w:bCs w:val="0"/>
                <w:color w:val="auto"/>
                <w:kern w:val="0"/>
                <w:sz w:val="24"/>
                <w:szCs w:val="24"/>
                <w:highlight w:val="none"/>
                <w:u w:val="none"/>
                <w:lang w:eastAsia="zh-CN"/>
              </w:rPr>
              <w:t>&gt;</w:t>
            </w:r>
            <w:r>
              <w:rPr>
                <w:rFonts w:hint="default" w:ascii="Times New Roman" w:hAnsi="Times New Roman" w:eastAsia="仿宋_GB2312" w:cs="Times New Roman"/>
                <w:b w:val="0"/>
                <w:bCs w:val="0"/>
                <w:color w:val="auto"/>
                <w:kern w:val="0"/>
                <w:sz w:val="24"/>
                <w:szCs w:val="24"/>
                <w:highlight w:val="none"/>
                <w:u w:val="none"/>
                <w:lang w:val="en-US" w:eastAsia="zh-CN"/>
              </w:rPr>
              <w:t>8.</w:t>
            </w:r>
            <w:r>
              <w:rPr>
                <w:rFonts w:hint="default" w:ascii="Times New Roman" w:hAnsi="Times New Roman" w:cs="Times New Roman"/>
                <w:b w:val="0"/>
                <w:bCs w:val="0"/>
                <w:color w:val="auto"/>
                <w:kern w:val="0"/>
                <w:sz w:val="24"/>
                <w:szCs w:val="24"/>
                <w:highlight w:val="none"/>
                <w:u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57" w:type="pct"/>
            <w:vMerge w:val="continue"/>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p>
        </w:tc>
        <w:tc>
          <w:tcPr>
            <w:tcW w:w="272"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lang w:val="en-US" w:eastAsia="zh-CN"/>
              </w:rPr>
              <w:t>2</w:t>
            </w:r>
          </w:p>
        </w:tc>
        <w:tc>
          <w:tcPr>
            <w:tcW w:w="227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afterAutospacing="0" w:line="400" w:lineRule="exact"/>
              <w:ind w:left="0" w:leftChars="0" w:firstLine="0" w:firstLineChars="0"/>
              <w:jc w:val="left"/>
              <w:textAlignment w:val="auto"/>
              <w:rPr>
                <w:rFonts w:hint="default" w:ascii="Times New Roman" w:hAnsi="Times New Roman" w:eastAsia="仿宋_GB2312" w:cs="Times New Roman"/>
                <w:b w:val="0"/>
                <w:bCs w:val="0"/>
                <w:i w:val="0"/>
                <w:iCs w:val="0"/>
                <w:color w:val="auto"/>
                <w:kern w:val="0"/>
                <w:sz w:val="24"/>
                <w:szCs w:val="24"/>
                <w:highlight w:val="none"/>
                <w:u w:val="none"/>
                <w:lang w:val="en-US" w:eastAsia="zh-CN"/>
              </w:rPr>
            </w:pPr>
            <w:r>
              <w:rPr>
                <w:rFonts w:hint="default" w:ascii="Times New Roman" w:hAnsi="Times New Roman" w:eastAsia="仿宋_GB2312" w:cs="Times New Roman"/>
                <w:b w:val="0"/>
                <w:bCs w:val="0"/>
                <w:i w:val="0"/>
                <w:iCs w:val="0"/>
                <w:color w:val="auto"/>
                <w:kern w:val="0"/>
                <w:sz w:val="24"/>
                <w:szCs w:val="24"/>
                <w:highlight w:val="none"/>
                <w:u w:val="none"/>
                <w:lang w:eastAsia="zh-CN"/>
              </w:rPr>
              <w:t>万名老年人拥有护理员数</w:t>
            </w:r>
            <w:r>
              <w:rPr>
                <w:rFonts w:hint="default" w:ascii="Times New Roman" w:hAnsi="Times New Roman" w:eastAsia="仿宋_GB2312" w:cs="Times New Roman"/>
                <w:b w:val="0"/>
                <w:bCs w:val="0"/>
                <w:i w:val="0"/>
                <w:iCs w:val="0"/>
                <w:color w:val="auto"/>
                <w:kern w:val="0"/>
                <w:sz w:val="24"/>
                <w:szCs w:val="24"/>
                <w:highlight w:val="none"/>
                <w:u w:val="none"/>
                <w:lang w:val="en-US" w:eastAsia="zh-CN"/>
              </w:rPr>
              <w:t>（人）</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wordWrap/>
              <w:overflowPunct/>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eastAsia="仿宋_GB2312" w:cs="Times New Roman"/>
                <w:b w:val="0"/>
                <w:bCs w:val="0"/>
                <w:color w:val="auto"/>
                <w:sz w:val="24"/>
                <w:szCs w:val="24"/>
                <w:highlight w:val="none"/>
                <w:u w:val="none"/>
                <w:lang w:eastAsia="zh-CN"/>
              </w:rPr>
            </w:pPr>
            <w:r>
              <w:rPr>
                <w:rFonts w:hint="default" w:ascii="Times New Roman" w:hAnsi="Times New Roman" w:eastAsia="仿宋_GB2312" w:cs="Times New Roman"/>
                <w:b w:val="0"/>
                <w:bCs w:val="0"/>
                <w:color w:val="auto"/>
                <w:sz w:val="24"/>
                <w:szCs w:val="24"/>
                <w:highlight w:val="none"/>
                <w:u w:val="none"/>
                <w:lang w:eastAsia="zh-CN"/>
              </w:rPr>
              <w:t>预期</w:t>
            </w:r>
            <w:r>
              <w:rPr>
                <w:rFonts w:hint="default" w:ascii="Times New Roman" w:hAnsi="Times New Roman" w:eastAsia="仿宋_GB2312" w:cs="Times New Roman"/>
                <w:b w:val="0"/>
                <w:bCs w:val="0"/>
                <w:color w:val="auto"/>
                <w:kern w:val="0"/>
                <w:sz w:val="24"/>
                <w:szCs w:val="24"/>
                <w:highlight w:val="none"/>
                <w:u w:val="none"/>
              </w:rPr>
              <w:t>性</w:t>
            </w:r>
          </w:p>
        </w:tc>
        <w:tc>
          <w:tcPr>
            <w:tcW w:w="54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bidi w:val="0"/>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cs="Times New Roman"/>
                <w:b w:val="0"/>
                <w:bCs w:val="0"/>
                <w:color w:val="auto"/>
                <w:kern w:val="0"/>
                <w:sz w:val="24"/>
                <w:szCs w:val="24"/>
                <w:highlight w:val="none"/>
                <w:u w:val="none"/>
                <w:lang w:val="en-US" w:eastAsia="zh-CN" w:bidi="ar-SA"/>
              </w:rPr>
            </w:pPr>
            <w:r>
              <w:rPr>
                <w:rFonts w:hint="default" w:ascii="Times New Roman" w:hAnsi="Times New Roman" w:cs="Times New Roman"/>
                <w:b w:val="0"/>
                <w:bCs w:val="0"/>
                <w:color w:val="auto"/>
                <w:kern w:val="0"/>
                <w:sz w:val="24"/>
                <w:szCs w:val="24"/>
                <w:highlight w:val="none"/>
                <w:u w:val="none"/>
                <w:lang w:val="en-US" w:eastAsia="zh-CN" w:bidi="ar-SA"/>
              </w:rPr>
              <w:t>100</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bidi w:val="0"/>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cs="Times New Roman"/>
                <w:b w:val="0"/>
                <w:bCs w:val="0"/>
                <w:color w:val="auto"/>
                <w:kern w:val="0"/>
                <w:sz w:val="24"/>
                <w:szCs w:val="24"/>
                <w:highlight w:val="none"/>
                <w:u w:val="none"/>
                <w:lang w:val="en-US" w:eastAsia="zh-CN" w:bidi="ar-SA"/>
              </w:rPr>
            </w:pPr>
            <w:r>
              <w:rPr>
                <w:rFonts w:hint="default" w:ascii="Times New Roman" w:hAnsi="Times New Roman" w:cs="Times New Roman"/>
                <w:b w:val="0"/>
                <w:bCs w:val="0"/>
                <w:color w:val="auto"/>
                <w:kern w:val="0"/>
                <w:sz w:val="24"/>
                <w:szCs w:val="24"/>
                <w:highlight w:val="none"/>
                <w:u w:val="none"/>
                <w:lang w:val="en-US" w:eastAsia="zh-CN" w:bidi="ar-SA"/>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7" w:type="pct"/>
            <w:vMerge w:val="continue"/>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p>
        </w:tc>
        <w:tc>
          <w:tcPr>
            <w:tcW w:w="272"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3</w:t>
            </w:r>
          </w:p>
        </w:tc>
        <w:tc>
          <w:tcPr>
            <w:tcW w:w="227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afterAutospacing="0" w:line="400" w:lineRule="exact"/>
              <w:ind w:left="0" w:leftChars="0" w:firstLine="0" w:firstLineChars="0"/>
              <w:jc w:val="left"/>
              <w:textAlignment w:val="auto"/>
              <w:rPr>
                <w:rFonts w:hint="default" w:ascii="Times New Roman" w:hAnsi="Times New Roman" w:eastAsia="仿宋_GB2312" w:cs="Times New Roman"/>
                <w:b w:val="0"/>
                <w:bCs w:val="0"/>
                <w:i w:val="0"/>
                <w:iCs w:val="0"/>
                <w:color w:val="auto"/>
                <w:kern w:val="0"/>
                <w:sz w:val="24"/>
                <w:szCs w:val="24"/>
                <w:highlight w:val="none"/>
                <w:u w:val="none"/>
                <w:lang w:eastAsia="zh-CN"/>
              </w:rPr>
            </w:pPr>
            <w:r>
              <w:rPr>
                <w:rFonts w:hint="default" w:ascii="Times New Roman" w:hAnsi="Times New Roman" w:eastAsia="仿宋_GB2312" w:cs="Times New Roman"/>
                <w:b w:val="0"/>
                <w:bCs w:val="0"/>
                <w:i w:val="0"/>
                <w:iCs w:val="0"/>
                <w:color w:val="auto"/>
                <w:kern w:val="0"/>
                <w:sz w:val="24"/>
                <w:szCs w:val="24"/>
                <w:highlight w:val="none"/>
                <w:u w:val="none"/>
                <w:lang w:eastAsia="zh-CN"/>
              </w:rPr>
              <w:t>养老机构护理型床位占比（%</w:t>
            </w:r>
            <w:r>
              <w:rPr>
                <w:rFonts w:hint="eastAsia" w:ascii="Times New Roman" w:hAnsi="Times New Roman" w:cs="Times New Roman"/>
                <w:b w:val="0"/>
                <w:bCs w:val="0"/>
                <w:i w:val="0"/>
                <w:iCs w:val="0"/>
                <w:color w:val="auto"/>
                <w:kern w:val="0"/>
                <w:sz w:val="24"/>
                <w:szCs w:val="24"/>
                <w:highlight w:val="none"/>
                <w:u w:val="none"/>
                <w:lang w:eastAsia="zh-CN"/>
              </w:rPr>
              <w:t>）</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预期性</w:t>
            </w:r>
          </w:p>
        </w:tc>
        <w:tc>
          <w:tcPr>
            <w:tcW w:w="54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lang w:val="en-US" w:eastAsia="zh-CN"/>
              </w:rPr>
            </w:pPr>
            <w:r>
              <w:rPr>
                <w:rFonts w:hint="default" w:ascii="Times New Roman" w:hAnsi="Times New Roman" w:eastAsia="仿宋_GB2312" w:cs="Times New Roman"/>
                <w:color w:val="auto"/>
                <w:kern w:val="0"/>
                <w:sz w:val="24"/>
                <w:szCs w:val="24"/>
                <w:highlight w:val="none"/>
                <w:u w:val="none"/>
                <w:lang w:val="en-US" w:eastAsia="zh-CN"/>
              </w:rPr>
              <w:t>80</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57" w:type="pct"/>
            <w:vMerge w:val="continue"/>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p>
        </w:tc>
        <w:tc>
          <w:tcPr>
            <w:tcW w:w="272"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lang w:val="en-US" w:eastAsia="zh-CN"/>
              </w:rPr>
              <w:t>4</w:t>
            </w:r>
          </w:p>
        </w:tc>
        <w:tc>
          <w:tcPr>
            <w:tcW w:w="227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afterAutospacing="0" w:line="400" w:lineRule="exact"/>
              <w:ind w:left="0" w:leftChars="0" w:firstLine="0" w:firstLineChars="0"/>
              <w:jc w:val="left"/>
              <w:textAlignment w:val="auto"/>
              <w:rPr>
                <w:rFonts w:hint="default" w:ascii="Times New Roman" w:hAnsi="Times New Roman" w:eastAsia="仿宋_GB2312" w:cs="Times New Roman"/>
                <w:b w:val="0"/>
                <w:bCs w:val="0"/>
                <w:color w:val="auto"/>
                <w:kern w:val="0"/>
                <w:sz w:val="24"/>
                <w:szCs w:val="24"/>
                <w:highlight w:val="none"/>
                <w:u w:val="none"/>
                <w:lang w:eastAsia="zh-CN"/>
              </w:rPr>
            </w:pPr>
            <w:r>
              <w:rPr>
                <w:rFonts w:hint="default" w:ascii="Times New Roman" w:hAnsi="Times New Roman" w:eastAsia="仿宋_GB2312" w:cs="Times New Roman"/>
                <w:b w:val="0"/>
                <w:bCs w:val="0"/>
                <w:color w:val="auto"/>
                <w:kern w:val="0"/>
                <w:sz w:val="24"/>
                <w:szCs w:val="24"/>
                <w:highlight w:val="none"/>
                <w:u w:val="none"/>
                <w:lang w:val="en-US" w:eastAsia="zh-CN"/>
              </w:rPr>
              <w:t>100张床位以上且具备相应服务能力的养老机构失智老年人照护专区（单元）设置率</w:t>
            </w:r>
            <w:r>
              <w:rPr>
                <w:rFonts w:hint="default" w:ascii="Times New Roman" w:hAnsi="Times New Roman" w:eastAsia="仿宋_GB2312" w:cs="Times New Roman"/>
                <w:b w:val="0"/>
                <w:bCs w:val="0"/>
                <w:i w:val="0"/>
                <w:iCs w:val="0"/>
                <w:color w:val="auto"/>
                <w:kern w:val="0"/>
                <w:sz w:val="24"/>
                <w:szCs w:val="24"/>
                <w:highlight w:val="none"/>
                <w:u w:val="none"/>
                <w:lang w:eastAsia="zh-CN"/>
              </w:rPr>
              <w:t>（</w:t>
            </w:r>
            <w:r>
              <w:rPr>
                <w:rFonts w:hint="default" w:ascii="Times New Roman" w:hAnsi="Times New Roman" w:eastAsia="仿宋_GB2312" w:cs="Times New Roman"/>
                <w:b w:val="0"/>
                <w:bCs w:val="0"/>
                <w:i w:val="0"/>
                <w:iCs w:val="0"/>
                <w:color w:val="auto"/>
                <w:kern w:val="0"/>
                <w:sz w:val="24"/>
                <w:szCs w:val="24"/>
                <w:highlight w:val="none"/>
                <w:u w:val="none"/>
                <w:lang w:val="en-US" w:eastAsia="zh-CN"/>
              </w:rPr>
              <w:t>%</w:t>
            </w:r>
            <w:r>
              <w:rPr>
                <w:rFonts w:hint="eastAsia" w:ascii="Times New Roman" w:hAnsi="Times New Roman" w:cs="Times New Roman"/>
                <w:b w:val="0"/>
                <w:bCs w:val="0"/>
                <w:i w:val="0"/>
                <w:iCs w:val="0"/>
                <w:color w:val="auto"/>
                <w:kern w:val="0"/>
                <w:sz w:val="24"/>
                <w:szCs w:val="24"/>
                <w:highlight w:val="none"/>
                <w:u w:val="none"/>
                <w:lang w:val="en-US" w:eastAsia="zh-CN"/>
              </w:rPr>
              <w:t>）</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wordWrap/>
              <w:overflowPunct/>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eastAsia="仿宋_GB2312" w:cs="Times New Roman"/>
                <w:b w:val="0"/>
                <w:bCs w:val="0"/>
                <w:color w:val="auto"/>
                <w:sz w:val="24"/>
                <w:szCs w:val="24"/>
                <w:highlight w:val="none"/>
                <w:u w:val="none"/>
                <w:lang w:eastAsia="zh-CN"/>
              </w:rPr>
            </w:pPr>
            <w:r>
              <w:rPr>
                <w:rFonts w:hint="default" w:ascii="Times New Roman" w:hAnsi="Times New Roman" w:eastAsia="仿宋_GB2312" w:cs="Times New Roman"/>
                <w:b w:val="0"/>
                <w:bCs w:val="0"/>
                <w:color w:val="auto"/>
                <w:sz w:val="24"/>
                <w:szCs w:val="24"/>
                <w:highlight w:val="none"/>
                <w:u w:val="none"/>
                <w:lang w:eastAsia="zh-CN"/>
              </w:rPr>
              <w:t>预期</w:t>
            </w:r>
            <w:r>
              <w:rPr>
                <w:rFonts w:hint="default" w:ascii="Times New Roman" w:hAnsi="Times New Roman" w:eastAsia="仿宋_GB2312" w:cs="Times New Roman"/>
                <w:b w:val="0"/>
                <w:bCs w:val="0"/>
                <w:color w:val="auto"/>
                <w:kern w:val="0"/>
                <w:sz w:val="24"/>
                <w:szCs w:val="24"/>
                <w:highlight w:val="none"/>
                <w:u w:val="none"/>
              </w:rPr>
              <w:t>性</w:t>
            </w:r>
          </w:p>
        </w:tc>
        <w:tc>
          <w:tcPr>
            <w:tcW w:w="54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bidi w:val="0"/>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eastAsia="仿宋_GB2312" w:cs="Times New Roman"/>
                <w:b w:val="0"/>
                <w:bCs w:val="0"/>
                <w:color w:val="auto"/>
                <w:kern w:val="0"/>
                <w:sz w:val="24"/>
                <w:szCs w:val="24"/>
                <w:highlight w:val="none"/>
                <w:u w:val="none"/>
                <w:lang w:val="en-US" w:eastAsia="zh-CN"/>
              </w:rPr>
            </w:pPr>
            <w:r>
              <w:rPr>
                <w:rFonts w:hint="default" w:ascii="Times New Roman" w:hAnsi="Times New Roman" w:eastAsia="仿宋_GB2312" w:cs="Times New Roman"/>
                <w:b w:val="0"/>
                <w:bCs w:val="0"/>
                <w:color w:val="auto"/>
                <w:kern w:val="0"/>
                <w:sz w:val="24"/>
                <w:szCs w:val="24"/>
                <w:highlight w:val="none"/>
                <w:u w:val="none"/>
                <w:lang w:val="en-US" w:eastAsia="zh-CN"/>
              </w:rPr>
              <w:t>12</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keepNext w:val="0"/>
              <w:keepLines w:val="0"/>
              <w:pageBreakBefore w:val="0"/>
              <w:widowControl/>
              <w:kinsoku/>
              <w:wordWrap/>
              <w:overflowPunct/>
              <w:topLinePunct w:val="0"/>
              <w:autoSpaceDE/>
              <w:bidi w:val="0"/>
              <w:adjustRightInd/>
              <w:snapToGrid/>
              <w:spacing w:beforeLines="-2147483648" w:afterLines="-2147483648" w:line="400" w:lineRule="exact"/>
              <w:ind w:left="0" w:leftChars="0" w:right="0" w:rightChars="0" w:firstLine="0" w:firstLineChars="0"/>
              <w:jc w:val="center"/>
              <w:textAlignment w:val="auto"/>
              <w:rPr>
                <w:rFonts w:hint="default" w:ascii="Times New Roman" w:hAnsi="Times New Roman" w:eastAsia="仿宋_GB2312" w:cs="Times New Roman"/>
                <w:b w:val="0"/>
                <w:bCs w:val="0"/>
                <w:color w:val="auto"/>
                <w:kern w:val="0"/>
                <w:sz w:val="24"/>
                <w:szCs w:val="24"/>
                <w:highlight w:val="none"/>
                <w:u w:val="none"/>
              </w:rPr>
            </w:pPr>
            <w:r>
              <w:rPr>
                <w:rFonts w:hint="default" w:ascii="Times New Roman" w:hAnsi="Times New Roman" w:eastAsia="仿宋_GB2312" w:cs="Times New Roman"/>
                <w:b w:val="0"/>
                <w:bCs w:val="0"/>
                <w:color w:val="auto"/>
                <w:kern w:val="0"/>
                <w:sz w:val="24"/>
                <w:szCs w:val="24"/>
                <w:highlight w:val="none"/>
                <w:u w:val="none"/>
              </w:rPr>
              <w:t>≥</w:t>
            </w:r>
            <w:r>
              <w:rPr>
                <w:rFonts w:hint="default" w:ascii="Times New Roman" w:hAnsi="Times New Roman" w:eastAsia="仿宋_GB2312" w:cs="Times New Roman"/>
                <w:b w:val="0"/>
                <w:bCs w:val="0"/>
                <w:color w:val="auto"/>
                <w:kern w:val="0"/>
                <w:sz w:val="24"/>
                <w:szCs w:val="24"/>
                <w:highlight w:val="none"/>
                <w:u w:val="no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4" w:hRule="atLeast"/>
          <w:jc w:val="center"/>
        </w:trPr>
        <w:tc>
          <w:tcPr>
            <w:tcW w:w="657" w:type="pct"/>
            <w:vMerge w:val="continue"/>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p>
        </w:tc>
        <w:tc>
          <w:tcPr>
            <w:tcW w:w="27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lang w:val="en-US" w:eastAsia="zh-CN"/>
              </w:rPr>
              <w:t>5</w:t>
            </w:r>
          </w:p>
        </w:tc>
        <w:tc>
          <w:tcPr>
            <w:tcW w:w="227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afterAutospacing="0" w:line="400" w:lineRule="exact"/>
              <w:ind w:left="0" w:leftChars="0" w:firstLine="0" w:firstLineChars="0"/>
              <w:jc w:val="left"/>
              <w:textAlignment w:val="auto"/>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b w:val="0"/>
                <w:bCs w:val="0"/>
                <w:i w:val="0"/>
                <w:iCs w:val="0"/>
                <w:color w:val="auto"/>
                <w:kern w:val="0"/>
                <w:sz w:val="24"/>
                <w:szCs w:val="24"/>
                <w:highlight w:val="none"/>
                <w:u w:val="none"/>
                <w:lang w:val="en-US" w:eastAsia="zh-CN" w:bidi="ar-SA"/>
              </w:rPr>
              <w:t>街道区域养老服务中心建设覆盖率</w:t>
            </w:r>
            <w:r>
              <w:rPr>
                <w:rFonts w:hint="default" w:ascii="Times New Roman" w:hAnsi="Times New Roman" w:eastAsia="仿宋_GB2312" w:cs="Times New Roman"/>
                <w:b w:val="0"/>
                <w:bCs w:val="0"/>
                <w:i w:val="0"/>
                <w:iCs w:val="0"/>
                <w:color w:val="auto"/>
                <w:kern w:val="0"/>
                <w:sz w:val="24"/>
                <w:szCs w:val="24"/>
                <w:highlight w:val="none"/>
                <w:u w:val="none"/>
                <w:lang w:eastAsia="zh-CN"/>
              </w:rPr>
              <w:t>（</w:t>
            </w:r>
            <w:r>
              <w:rPr>
                <w:rFonts w:hint="default" w:ascii="Times New Roman" w:hAnsi="Times New Roman" w:eastAsia="仿宋_GB2312" w:cs="Times New Roman"/>
                <w:b w:val="0"/>
                <w:bCs w:val="0"/>
                <w:i w:val="0"/>
                <w:iCs w:val="0"/>
                <w:color w:val="auto"/>
                <w:kern w:val="0"/>
                <w:sz w:val="24"/>
                <w:szCs w:val="24"/>
                <w:highlight w:val="none"/>
                <w:u w:val="none"/>
                <w:lang w:val="en-US" w:eastAsia="zh-CN"/>
              </w:rPr>
              <w:t>%</w:t>
            </w:r>
            <w:r>
              <w:rPr>
                <w:rFonts w:hint="default" w:ascii="Times New Roman" w:hAnsi="Times New Roman" w:eastAsia="仿宋_GB2312" w:cs="Times New Roman"/>
                <w:b w:val="0"/>
                <w:bCs w:val="0"/>
                <w:i w:val="0"/>
                <w:iCs w:val="0"/>
                <w:color w:val="auto"/>
                <w:kern w:val="0"/>
                <w:sz w:val="24"/>
                <w:szCs w:val="24"/>
                <w:highlight w:val="none"/>
                <w:u w:val="none"/>
                <w:lang w:eastAsia="zh-CN"/>
              </w:rPr>
              <w:t>）</w:t>
            </w:r>
          </w:p>
        </w:tc>
        <w:tc>
          <w:tcPr>
            <w:tcW w:w="6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b w:val="0"/>
                <w:bCs w:val="0"/>
                <w:color w:val="auto"/>
                <w:sz w:val="24"/>
                <w:szCs w:val="24"/>
                <w:highlight w:val="none"/>
                <w:u w:val="none"/>
                <w:lang w:eastAsia="zh-CN"/>
              </w:rPr>
              <w:t>预期</w:t>
            </w:r>
            <w:r>
              <w:rPr>
                <w:rFonts w:hint="default" w:ascii="Times New Roman" w:hAnsi="Times New Roman" w:eastAsia="仿宋_GB2312" w:cs="Times New Roman"/>
                <w:b w:val="0"/>
                <w:bCs w:val="0"/>
                <w:color w:val="auto"/>
                <w:kern w:val="0"/>
                <w:sz w:val="24"/>
                <w:szCs w:val="24"/>
                <w:highlight w:val="none"/>
                <w:u w:val="none"/>
              </w:rPr>
              <w:t>性</w:t>
            </w:r>
          </w:p>
        </w:tc>
        <w:tc>
          <w:tcPr>
            <w:tcW w:w="545"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lang w:val="en-US" w:eastAsia="zh-CN"/>
              </w:rPr>
            </w:pPr>
            <w:r>
              <w:rPr>
                <w:rFonts w:hint="default" w:ascii="Times New Roman" w:hAnsi="Times New Roman" w:cs="Times New Roman"/>
                <w:b w:val="0"/>
                <w:bCs w:val="0"/>
                <w:color w:val="auto"/>
                <w:kern w:val="0"/>
                <w:sz w:val="24"/>
                <w:szCs w:val="24"/>
                <w:highlight w:val="none"/>
                <w:u w:val="none"/>
                <w:lang w:val="en-US" w:eastAsia="zh-CN" w:bidi="ar-SA"/>
              </w:rPr>
              <w:t>93.33</w:t>
            </w:r>
          </w:p>
        </w:tc>
        <w:tc>
          <w:tcPr>
            <w:tcW w:w="624"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cs="Times New Roman"/>
                <w:b w:val="0"/>
                <w:bCs w:val="0"/>
                <w:color w:val="auto"/>
                <w:kern w:val="0"/>
                <w:sz w:val="24"/>
                <w:szCs w:val="24"/>
                <w:highlight w:val="none"/>
                <w:u w:val="none"/>
                <w:lang w:val="en-US" w:eastAsia="zh-CN" w:bidi="ar-S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57"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社会福利</w:t>
            </w:r>
          </w:p>
        </w:tc>
        <w:tc>
          <w:tcPr>
            <w:tcW w:w="272"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lang w:val="en-US" w:eastAsia="zh-CN"/>
              </w:rPr>
              <w:t>6</w:t>
            </w:r>
          </w:p>
        </w:tc>
        <w:tc>
          <w:tcPr>
            <w:tcW w:w="227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left"/>
              <w:rPr>
                <w:rFonts w:hint="default" w:ascii="Times New Roman" w:hAnsi="Times New Roman" w:eastAsia="仿宋_GB2312" w:cs="Times New Roman"/>
                <w:color w:val="auto"/>
                <w:kern w:val="0"/>
                <w:sz w:val="24"/>
                <w:szCs w:val="24"/>
                <w:highlight w:val="none"/>
                <w:u w:val="none"/>
                <w:lang w:val="en-US" w:eastAsia="zh-CN" w:bidi="ar-SA"/>
              </w:rPr>
            </w:pPr>
            <w:r>
              <w:rPr>
                <w:rFonts w:hint="default" w:ascii="Times New Roman" w:hAnsi="Times New Roman" w:eastAsia="仿宋_GB2312" w:cs="Times New Roman"/>
                <w:color w:val="auto"/>
                <w:kern w:val="0"/>
                <w:sz w:val="24"/>
                <w:szCs w:val="24"/>
                <w:highlight w:val="none"/>
                <w:u w:val="none"/>
              </w:rPr>
              <w:t>残疾人“两项补贴”覆盖率（%）</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lang w:val="en-US" w:eastAsia="zh-CN" w:bidi="ar-SA"/>
              </w:rPr>
            </w:pPr>
            <w:r>
              <w:rPr>
                <w:rFonts w:hint="default" w:ascii="Times New Roman" w:hAnsi="Times New Roman" w:eastAsia="仿宋_GB2312" w:cs="Times New Roman"/>
                <w:color w:val="auto"/>
                <w:kern w:val="0"/>
                <w:sz w:val="24"/>
                <w:szCs w:val="24"/>
                <w:highlight w:val="none"/>
                <w:u w:val="none"/>
              </w:rPr>
              <w:t>约束性</w:t>
            </w:r>
          </w:p>
        </w:tc>
        <w:tc>
          <w:tcPr>
            <w:tcW w:w="54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lang w:val="en-US" w:eastAsia="zh-CN" w:bidi="ar-SA"/>
              </w:rPr>
            </w:pPr>
            <w:r>
              <w:rPr>
                <w:rFonts w:hint="default" w:ascii="Times New Roman" w:hAnsi="Times New Roman" w:eastAsia="仿宋_GB2312" w:cs="Times New Roman"/>
                <w:color w:val="auto"/>
                <w:kern w:val="0"/>
                <w:sz w:val="24"/>
                <w:szCs w:val="24"/>
                <w:highlight w:val="none"/>
                <w:u w:val="none"/>
              </w:rPr>
              <w:t>100</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lang w:val="en-US" w:eastAsia="zh-CN" w:bidi="ar-SA"/>
              </w:rPr>
            </w:pPr>
            <w:r>
              <w:rPr>
                <w:rFonts w:hint="default" w:ascii="Times New Roman" w:hAnsi="Times New Roman" w:eastAsia="仿宋_GB2312" w:cs="Times New Roman"/>
                <w:color w:val="auto"/>
                <w:kern w:val="0"/>
                <w:sz w:val="24"/>
                <w:szCs w:val="24"/>
                <w:highlight w:val="none"/>
                <w:u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57"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社会事务</w:t>
            </w:r>
          </w:p>
        </w:tc>
        <w:tc>
          <w:tcPr>
            <w:tcW w:w="272"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lang w:eastAsia="zh-CN"/>
              </w:rPr>
            </w:pPr>
            <w:r>
              <w:rPr>
                <w:rFonts w:hint="eastAsia" w:ascii="Times New Roman" w:hAnsi="Times New Roman" w:cs="Times New Roman"/>
                <w:color w:val="auto"/>
                <w:kern w:val="0"/>
                <w:sz w:val="24"/>
                <w:szCs w:val="24"/>
                <w:highlight w:val="none"/>
                <w:u w:val="none"/>
                <w:lang w:val="en-US" w:eastAsia="zh-CN"/>
              </w:rPr>
              <w:t>7</w:t>
            </w:r>
          </w:p>
        </w:tc>
        <w:tc>
          <w:tcPr>
            <w:tcW w:w="227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spacing w:line="400" w:lineRule="exact"/>
              <w:ind w:firstLine="0" w:firstLineChars="0"/>
              <w:jc w:val="left"/>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殡葬基本公共服务覆盖率（%）</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约束性</w:t>
            </w:r>
          </w:p>
        </w:tc>
        <w:tc>
          <w:tcPr>
            <w:tcW w:w="545"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100</w:t>
            </w:r>
          </w:p>
        </w:tc>
        <w:tc>
          <w:tcPr>
            <w:tcW w:w="624" w:type="pct"/>
            <w:tcBorders>
              <w:top w:val="single" w:color="auto" w:sz="4" w:space="0"/>
              <w:left w:val="single" w:color="auto" w:sz="4" w:space="0"/>
              <w:bottom w:val="single" w:color="auto" w:sz="4" w:space="0"/>
              <w:right w:val="single" w:color="auto" w:sz="4" w:space="0"/>
              <w:tl2br w:val="nil"/>
              <w:tr2bl w:val="nil"/>
            </w:tcBorders>
            <w:tcMar>
              <w:top w:w="15" w:type="dxa"/>
              <w:left w:w="15" w:type="dxa"/>
              <w:bottom w:w="0" w:type="dxa"/>
              <w:right w:w="15" w:type="dxa"/>
            </w:tcMar>
            <w:vAlign w:val="center"/>
          </w:tcPr>
          <w:p>
            <w:pPr>
              <w:widowControl/>
              <w:overflowPunct/>
              <w:spacing w:line="400" w:lineRule="exact"/>
              <w:ind w:firstLine="0" w:firstLineChars="0"/>
              <w:jc w:val="center"/>
              <w:rPr>
                <w:rFonts w:hint="default" w:ascii="Times New Roman" w:hAnsi="Times New Roman" w:eastAsia="仿宋_GB2312" w:cs="Times New Roman"/>
                <w:color w:val="auto"/>
                <w:kern w:val="0"/>
                <w:sz w:val="24"/>
                <w:szCs w:val="24"/>
                <w:highlight w:val="none"/>
                <w:u w:val="none"/>
              </w:rPr>
            </w:pPr>
            <w:r>
              <w:rPr>
                <w:rFonts w:hint="default" w:ascii="Times New Roman" w:hAnsi="Times New Roman" w:eastAsia="仿宋_GB2312" w:cs="Times New Roman"/>
                <w:color w:val="auto"/>
                <w:kern w:val="0"/>
                <w:sz w:val="24"/>
                <w:szCs w:val="24"/>
                <w:highlight w:val="none"/>
                <w:u w:val="none"/>
              </w:rPr>
              <w:t>100</w:t>
            </w:r>
          </w:p>
        </w:tc>
      </w:tr>
    </w:tbl>
    <w:p>
      <w:pPr>
        <w:pStyle w:val="2"/>
        <w:keepNext/>
        <w:keepLines/>
        <w:spacing w:before="313" w:beforeLines="100" w:after="313" w:afterLines="100" w:line="600" w:lineRule="exact"/>
        <w:rPr>
          <w:rFonts w:hint="eastAsia" w:ascii="方正小标宋简体" w:hAnsi="方正小标宋简体" w:eastAsia="方正小标宋简体" w:cs="方正小标宋简体"/>
          <w:b w:val="0"/>
          <w:bCs/>
          <w:color w:val="auto"/>
          <w:sz w:val="36"/>
          <w:szCs w:val="36"/>
          <w:highlight w:val="none"/>
        </w:rPr>
      </w:pPr>
      <w:bookmarkStart w:id="50" w:name="_Toc5779"/>
      <w:bookmarkStart w:id="51" w:name="_Toc4375"/>
      <w:bookmarkStart w:id="52" w:name="_Toc7818"/>
      <w:bookmarkStart w:id="53" w:name="_Toc22626"/>
      <w:bookmarkStart w:id="54" w:name="_Toc217291222"/>
      <w:bookmarkStart w:id="55" w:name="_Toc5118"/>
    </w:p>
    <w:p>
      <w:pPr>
        <w:rPr>
          <w:rFonts w:hint="eastAsia" w:ascii="方正小标宋简体" w:hAnsi="方正小标宋简体" w:eastAsia="方正小标宋简体" w:cs="方正小标宋简体"/>
          <w:b w:val="0"/>
          <w:bCs/>
          <w:color w:val="auto"/>
          <w:sz w:val="36"/>
          <w:szCs w:val="36"/>
          <w:highlight w:val="none"/>
        </w:rPr>
      </w:pPr>
    </w:p>
    <w:p>
      <w:pPr>
        <w:rPr>
          <w:rFonts w:hint="eastAsia" w:ascii="方正小标宋简体" w:hAnsi="方正小标宋简体" w:eastAsia="方正小标宋简体" w:cs="方正小标宋简体"/>
          <w:b w:val="0"/>
          <w:bCs/>
          <w:color w:val="auto"/>
          <w:sz w:val="36"/>
          <w:szCs w:val="36"/>
          <w:highlight w:val="none"/>
        </w:rPr>
      </w:pPr>
    </w:p>
    <w:p>
      <w:pPr>
        <w:rPr>
          <w:rFonts w:hint="eastAsia" w:ascii="方正小标宋简体" w:hAnsi="方正小标宋简体" w:eastAsia="方正小标宋简体" w:cs="方正小标宋简体"/>
          <w:b w:val="0"/>
          <w:bCs/>
          <w:color w:val="auto"/>
          <w:sz w:val="36"/>
          <w:szCs w:val="36"/>
          <w:highlight w:val="none"/>
        </w:rPr>
      </w:pPr>
    </w:p>
    <w:p>
      <w:pPr>
        <w:rPr>
          <w:rFonts w:hint="eastAsia" w:ascii="方正小标宋简体" w:hAnsi="方正小标宋简体" w:eastAsia="方正小标宋简体" w:cs="方正小标宋简体"/>
          <w:b w:val="0"/>
          <w:bCs/>
          <w:color w:val="auto"/>
          <w:sz w:val="36"/>
          <w:szCs w:val="36"/>
          <w:highlight w:val="none"/>
        </w:rPr>
      </w:pPr>
    </w:p>
    <w:p>
      <w:pPr>
        <w:pStyle w:val="2"/>
        <w:keepNext/>
        <w:keepLines/>
        <w:spacing w:before="313" w:beforeLines="100" w:after="313" w:afterLines="100" w:line="600" w:lineRule="exact"/>
        <w:rPr>
          <w:rFonts w:hint="eastAsia" w:ascii="方正小标宋简体" w:hAnsi="方正小标宋简体" w:eastAsia="方正小标宋简体" w:cs="方正小标宋简体"/>
          <w:b w:val="0"/>
          <w:bCs/>
          <w:color w:val="auto"/>
          <w:sz w:val="36"/>
          <w:szCs w:val="36"/>
          <w:highlight w:val="none"/>
        </w:rPr>
      </w:pPr>
      <w:bookmarkStart w:id="56" w:name="_Toc10748"/>
      <w:bookmarkStart w:id="57" w:name="_Toc13836"/>
      <w:bookmarkStart w:id="58" w:name="_Toc31957"/>
      <w:bookmarkStart w:id="59" w:name="_Toc28778"/>
      <w:r>
        <w:rPr>
          <w:rFonts w:hint="eastAsia" w:ascii="方正小标宋简体" w:hAnsi="方正小标宋简体" w:eastAsia="方正小标宋简体" w:cs="方正小标宋简体"/>
          <w:b w:val="0"/>
          <w:bCs/>
          <w:color w:val="auto"/>
          <w:sz w:val="36"/>
          <w:szCs w:val="36"/>
          <w:highlight w:val="none"/>
        </w:rPr>
        <w:t xml:space="preserve">第二章  </w:t>
      </w:r>
      <w:r>
        <w:rPr>
          <w:rFonts w:hint="eastAsia" w:ascii="方正小标宋简体" w:hAnsi="方正小标宋简体" w:eastAsia="方正小标宋简体" w:cs="方正小标宋简体"/>
          <w:b w:val="0"/>
          <w:bCs/>
          <w:color w:val="auto"/>
          <w:sz w:val="36"/>
          <w:szCs w:val="36"/>
          <w:highlight w:val="none"/>
          <w:lang w:val="en-US" w:eastAsia="zh-CN"/>
        </w:rPr>
        <w:t>深入推进实施积极应对人口老龄化国家战略</w:t>
      </w:r>
      <w:bookmarkEnd w:id="50"/>
      <w:bookmarkEnd w:id="56"/>
      <w:bookmarkEnd w:id="57"/>
      <w:bookmarkEnd w:id="58"/>
      <w:bookmarkEnd w:id="59"/>
    </w:p>
    <w:p>
      <w:pPr>
        <w:pStyle w:val="3"/>
        <w:pageBreakBefore w:val="0"/>
        <w:widowControl w:val="0"/>
        <w:tabs>
          <w:tab w:val="left" w:pos="333"/>
        </w:tabs>
        <w:kinsoku/>
        <w:wordWrap/>
        <w:overflowPunct/>
        <w:topLinePunct w:val="0"/>
        <w:autoSpaceDE/>
        <w:autoSpaceDN/>
        <w:bidi w:val="0"/>
        <w:adjustRightInd/>
        <w:snapToGrid/>
        <w:spacing w:line="560" w:lineRule="exact"/>
        <w:ind w:firstLine="0" w:firstLineChars="0"/>
        <w:jc w:val="center"/>
        <w:textAlignment w:val="auto"/>
        <w:rPr>
          <w:rFonts w:hint="eastAsia" w:ascii="楷体" w:hAnsi="楷体" w:eastAsia="楷体" w:cs="Times New Roman"/>
          <w:color w:val="auto"/>
          <w:szCs w:val="32"/>
          <w:highlight w:val="none"/>
        </w:rPr>
      </w:pPr>
      <w:bookmarkStart w:id="60" w:name="_Toc9413"/>
      <w:bookmarkStart w:id="61" w:name="_Toc3552"/>
      <w:bookmarkStart w:id="62" w:name="_Toc13747"/>
      <w:bookmarkStart w:id="63" w:name="_Toc24059"/>
      <w:bookmarkStart w:id="64" w:name="_Toc20578"/>
      <w:bookmarkStart w:id="65" w:name="_Toc217291221"/>
      <w:bookmarkStart w:id="66" w:name="_Toc30433"/>
      <w:bookmarkStart w:id="67" w:name="_Toc20244"/>
      <w:bookmarkStart w:id="68" w:name="_Toc25218"/>
      <w:bookmarkStart w:id="69" w:name="_Toc5098"/>
      <w:r>
        <w:rPr>
          <w:rFonts w:hint="eastAsia" w:ascii="楷体" w:hAnsi="楷体" w:eastAsia="楷体" w:cs="Times New Roman"/>
          <w:color w:val="auto"/>
          <w:szCs w:val="32"/>
          <w:highlight w:val="none"/>
        </w:rPr>
        <w:t>第一节</w:t>
      </w:r>
      <w:bookmarkStart w:id="70" w:name="_kj5iw4ajz"/>
      <w:r>
        <w:rPr>
          <w:rFonts w:hint="eastAsia" w:ascii="楷体" w:hAnsi="楷体" w:eastAsia="楷体" w:cs="Times New Roman"/>
          <w:color w:val="auto"/>
          <w:szCs w:val="32"/>
          <w:highlight w:val="none"/>
        </w:rPr>
        <w:t xml:space="preserve">  </w:t>
      </w:r>
      <w:bookmarkEnd w:id="70"/>
      <w:r>
        <w:rPr>
          <w:rFonts w:hint="eastAsia" w:ascii="楷体" w:hAnsi="楷体" w:eastAsia="楷体" w:cs="Times New Roman"/>
          <w:color w:val="auto"/>
          <w:szCs w:val="32"/>
          <w:highlight w:val="none"/>
        </w:rPr>
        <w:t>构建老龄事业发展新格局</w:t>
      </w:r>
      <w:bookmarkEnd w:id="60"/>
      <w:bookmarkEnd w:id="61"/>
      <w:bookmarkEnd w:id="62"/>
      <w:bookmarkEnd w:id="63"/>
      <w:bookmarkEnd w:id="64"/>
      <w:bookmarkEnd w:id="65"/>
      <w:bookmarkEnd w:id="66"/>
      <w:bookmarkEnd w:id="67"/>
      <w:bookmarkEnd w:id="68"/>
      <w:bookmarkEnd w:id="69"/>
    </w:p>
    <w:p>
      <w:pPr>
        <w:pageBreakBefore w:val="0"/>
        <w:widowControl w:val="0"/>
        <w:kinsoku/>
        <w:wordWrap/>
        <w:overflowPunct/>
        <w:topLinePunct w:val="0"/>
        <w:autoSpaceDE/>
        <w:autoSpaceDN/>
        <w:bidi w:val="0"/>
        <w:adjustRightInd/>
        <w:snapToGrid/>
        <w:spacing w:line="560" w:lineRule="exact"/>
        <w:ind w:firstLine="643"/>
        <w:textAlignment w:val="auto"/>
        <w:rPr>
          <w:rFonts w:hint="eastAsia" w:ascii="Times New Roman" w:hAnsi="Times New Roman" w:cs="仿宋_GB2312"/>
          <w:b/>
          <w:bCs/>
          <w:color w:val="auto"/>
          <w:highlight w:val="none"/>
        </w:rPr>
      </w:pPr>
      <w:r>
        <w:rPr>
          <w:rFonts w:hint="eastAsia" w:ascii="Times New Roman" w:hAnsi="Times New Roman" w:cs="仿宋_GB2312"/>
          <w:b/>
          <w:bCs/>
          <w:color w:val="auto"/>
          <w:highlight w:val="none"/>
          <w:lang w:eastAsia="zh-CN"/>
        </w:rPr>
        <w:t>优化</w:t>
      </w:r>
      <w:r>
        <w:rPr>
          <w:rFonts w:hint="eastAsia" w:ascii="Times New Roman" w:hAnsi="Times New Roman" w:cs="仿宋_GB2312"/>
          <w:b/>
          <w:bCs/>
          <w:color w:val="auto"/>
          <w:highlight w:val="none"/>
        </w:rPr>
        <w:t>老龄工作体制机制。</w:t>
      </w:r>
      <w:r>
        <w:rPr>
          <w:rFonts w:hint="eastAsia" w:ascii="仿宋_GB2312" w:hAnsi="仿宋_GB2312" w:cs="仿宋_GB2312"/>
          <w:color w:val="auto"/>
          <w:szCs w:val="32"/>
          <w:highlight w:val="none"/>
          <w:lang w:eastAsia="zh-CN"/>
        </w:rPr>
        <w:t>发挥区老龄事业发展统筹协调机制作用，加强跨部门、跨领域涉老工作统筹协调。促进基层老年人</w:t>
      </w:r>
      <w:r>
        <w:rPr>
          <w:rFonts w:hint="eastAsia" w:ascii="仿宋_GB2312" w:hAnsi="仿宋_GB2312" w:cs="仿宋_GB2312"/>
          <w:color w:val="auto"/>
          <w:szCs w:val="32"/>
          <w:highlight w:val="none"/>
          <w:lang w:val="en" w:eastAsia="zh-CN"/>
        </w:rPr>
        <w:t>组织规范化建设</w:t>
      </w:r>
      <w:r>
        <w:rPr>
          <w:rFonts w:hint="eastAsia" w:ascii="仿宋_GB2312" w:hAnsi="仿宋_GB2312" w:cs="仿宋_GB2312"/>
          <w:color w:val="auto"/>
          <w:szCs w:val="32"/>
          <w:highlight w:val="none"/>
          <w:lang w:eastAsia="zh-CN"/>
        </w:rPr>
        <w:t>，</w:t>
      </w:r>
      <w:r>
        <w:rPr>
          <w:rFonts w:hint="eastAsia" w:ascii="仿宋_GB2312" w:hAnsi="仿宋_GB2312" w:cs="仿宋_GB2312"/>
          <w:color w:val="auto"/>
          <w:szCs w:val="32"/>
          <w:highlight w:val="none"/>
          <w:lang w:val="en" w:eastAsia="zh-CN"/>
        </w:rPr>
        <w:t>完善老年人志愿服务长效机制。</w:t>
      </w:r>
      <w:r>
        <w:rPr>
          <w:rFonts w:hint="eastAsia" w:ascii="Times New Roman" w:hAnsi="Times New Roman" w:cs="仿宋_GB2312"/>
          <w:color w:val="auto"/>
          <w:szCs w:val="32"/>
          <w:highlight w:val="none"/>
          <w:lang w:val="en-US" w:eastAsia="zh-CN"/>
        </w:rPr>
        <w:t>落实《北京市老年人权益保障条例》，探索建立老年人意定监护机制。常态化开展涉老法治宣传教育，夯实老龄工作法治化、规范化治理基础，全面筑牢老年人合法权益法治屏障。</w:t>
      </w:r>
    </w:p>
    <w:p>
      <w:pPr>
        <w:pageBreakBefore w:val="0"/>
        <w:widowControl w:val="0"/>
        <w:kinsoku/>
        <w:wordWrap/>
        <w:overflowPunct/>
        <w:topLinePunct w:val="0"/>
        <w:autoSpaceDE/>
        <w:autoSpaceDN/>
        <w:bidi w:val="0"/>
        <w:adjustRightInd/>
        <w:snapToGrid/>
        <w:spacing w:line="560" w:lineRule="exact"/>
        <w:ind w:firstLine="643"/>
        <w:textAlignment w:val="auto"/>
        <w:rPr>
          <w:rFonts w:hint="eastAsia" w:ascii="Times New Roman" w:hAnsi="Times New Roman" w:cs="仿宋_GB2312"/>
          <w:color w:val="auto"/>
          <w:szCs w:val="32"/>
          <w:highlight w:val="none"/>
          <w:lang w:val="en-US" w:eastAsia="zh-CN"/>
        </w:rPr>
      </w:pPr>
      <w:r>
        <w:rPr>
          <w:rFonts w:hint="eastAsia" w:ascii="Times New Roman" w:hAnsi="Times New Roman" w:cs="仿宋_GB2312"/>
          <w:b/>
          <w:bCs/>
          <w:color w:val="auto"/>
          <w:highlight w:val="none"/>
        </w:rPr>
        <w:t>积极推动老年友好型社会建设。</w:t>
      </w:r>
      <w:r>
        <w:rPr>
          <w:rFonts w:hint="eastAsia" w:ascii="仿宋_GB2312" w:hAnsi="仿宋_GB2312" w:cs="仿宋_GB2312"/>
          <w:color w:val="auto"/>
          <w:szCs w:val="32"/>
          <w:highlight w:val="none"/>
          <w:lang w:eastAsia="zh-CN"/>
        </w:rPr>
        <w:t>深入开展人口老龄化国情市情区情教育，树立积极老龄观、健康老龄化理念。推广“吾老新街”模式，打造一批养老服务特色示范街区，大力发展社区嵌入式养老服务站点。</w:t>
      </w:r>
      <w:r>
        <w:rPr>
          <w:rFonts w:hint="eastAsia" w:ascii="仿宋_GB2312" w:hAnsi="仿宋_GB2312" w:cs="仿宋_GB2312"/>
          <w:color w:val="auto"/>
          <w:szCs w:val="32"/>
          <w:highlight w:val="none"/>
          <w:lang w:val="en-US" w:eastAsia="zh-CN"/>
        </w:rPr>
        <w:t>推动首都“银龄行动”拓面提质，深化特色老年志愿服务品牌建设。组织“敬老月”系列活动，广泛</w:t>
      </w:r>
      <w:r>
        <w:rPr>
          <w:rFonts w:hint="eastAsia" w:ascii="Times New Roman" w:hAnsi="Times New Roman" w:cs="仿宋_GB2312"/>
          <w:color w:val="auto"/>
          <w:szCs w:val="32"/>
          <w:highlight w:val="none"/>
          <w:lang w:val="en-US" w:eastAsia="zh-CN"/>
        </w:rPr>
        <w:t>宣传爱老助老先进典型事迹。</w:t>
      </w:r>
    </w:p>
    <w:p>
      <w:pPr>
        <w:pageBreakBefore w:val="0"/>
        <w:widowControl w:val="0"/>
        <w:kinsoku/>
        <w:wordWrap/>
        <w:overflowPunct/>
        <w:topLinePunct w:val="0"/>
        <w:autoSpaceDE/>
        <w:autoSpaceDN/>
        <w:bidi w:val="0"/>
        <w:adjustRightInd/>
        <w:snapToGrid/>
        <w:spacing w:line="560" w:lineRule="exact"/>
        <w:ind w:firstLine="643"/>
        <w:contextualSpacing/>
        <w:textAlignment w:val="auto"/>
        <w:rPr>
          <w:rFonts w:hint="eastAsia" w:ascii="Times New Roman" w:hAnsi="Times New Roman" w:cs="仿宋_GB2312"/>
          <w:color w:val="auto"/>
          <w:szCs w:val="32"/>
          <w:highlight w:val="none"/>
        </w:rPr>
      </w:pPr>
      <w:r>
        <w:rPr>
          <w:rFonts w:hint="eastAsia" w:ascii="Times New Roman" w:hAnsi="Times New Roman" w:cs="仿宋_GB2312"/>
          <w:b/>
          <w:bCs/>
          <w:color w:val="auto"/>
          <w:highlight w:val="none"/>
        </w:rPr>
        <w:t>协同促进银发经济发展。</w:t>
      </w:r>
      <w:r>
        <w:rPr>
          <w:rFonts w:hint="eastAsia" w:ascii="Times New Roman" w:hAnsi="Times New Roman" w:cs="仿宋_GB2312"/>
          <w:color w:val="auto"/>
          <w:szCs w:val="32"/>
          <w:highlight w:val="none"/>
        </w:rPr>
        <w:t>立足区域资源禀赋，推动养老服务与金融、文旅、健康、体育等业态深度融合，培育壮大养老服务产业市场主体，引导养老服务企业向规模化、品牌化发展。深化“互联网+养老”“家政+养老”“物业+养老”融合发展，引入银发经济特色品牌线下门店</w:t>
      </w:r>
      <w:r>
        <w:rPr>
          <w:rFonts w:hint="eastAsia" w:ascii="Times New Roman" w:hAnsi="Times New Roman" w:cs="仿宋_GB2312"/>
          <w:color w:val="auto"/>
          <w:szCs w:val="32"/>
          <w:highlight w:val="none"/>
          <w:lang w:eastAsia="zh-CN"/>
        </w:rPr>
        <w:t>，</w:t>
      </w:r>
      <w:r>
        <w:rPr>
          <w:rFonts w:hint="eastAsia" w:ascii="Times New Roman" w:hAnsi="Times New Roman" w:cs="仿宋_GB2312"/>
          <w:color w:val="auto"/>
          <w:szCs w:val="32"/>
          <w:highlight w:val="none"/>
        </w:rPr>
        <w:t>创新养老服务供给模式。深化京津冀蒙康养区域协同协作，推动老龄事业与银发产业双向赋能、联动发展，构建多元融合、区域协同的老龄事业发展新格局。</w:t>
      </w:r>
    </w:p>
    <w:p>
      <w:pPr>
        <w:pageBreakBefore w:val="0"/>
        <w:widowControl w:val="0"/>
        <w:kinsoku/>
        <w:wordWrap/>
        <w:overflowPunct/>
        <w:topLinePunct w:val="0"/>
        <w:autoSpaceDE/>
        <w:autoSpaceDN/>
        <w:bidi w:val="0"/>
        <w:adjustRightInd/>
        <w:snapToGrid/>
        <w:spacing w:line="560" w:lineRule="exact"/>
        <w:ind w:firstLine="643"/>
        <w:contextualSpacing/>
        <w:textAlignment w:val="auto"/>
        <w:rPr>
          <w:rFonts w:hint="eastAsia" w:ascii="Times New Roman" w:hAnsi="Times New Roman" w:cs="仿宋_GB2312"/>
          <w:color w:val="auto"/>
          <w:szCs w:val="32"/>
          <w:highlight w:val="none"/>
          <w:lang w:eastAsia="zh-CN"/>
        </w:rPr>
      </w:pPr>
    </w:p>
    <w:p>
      <w:pPr>
        <w:pageBreakBefore w:val="0"/>
        <w:widowControl w:val="0"/>
        <w:kinsoku/>
        <w:wordWrap/>
        <w:overflowPunct/>
        <w:topLinePunct w:val="0"/>
        <w:autoSpaceDE/>
        <w:autoSpaceDN/>
        <w:bidi w:val="0"/>
        <w:adjustRightInd/>
        <w:snapToGrid/>
        <w:spacing w:line="560" w:lineRule="exact"/>
        <w:ind w:firstLine="643"/>
        <w:contextualSpacing/>
        <w:textAlignment w:val="auto"/>
        <w:rPr>
          <w:rFonts w:hint="eastAsia" w:ascii="Times New Roman" w:hAnsi="Times New Roman" w:cs="仿宋_GB2312"/>
          <w:color w:val="auto"/>
          <w:szCs w:val="32"/>
          <w:highlight w:val="none"/>
          <w:lang w:eastAsia="zh-CN"/>
        </w:rPr>
      </w:pPr>
    </w:p>
    <w:p>
      <w:pPr>
        <w:pStyle w:val="3"/>
        <w:pageBreakBefore w:val="0"/>
        <w:widowControl w:val="0"/>
        <w:numPr>
          <w:ilvl w:val="0"/>
          <w:numId w:val="1"/>
        </w:numPr>
        <w:tabs>
          <w:tab w:val="left" w:pos="333"/>
        </w:tabs>
        <w:kinsoku/>
        <w:wordWrap/>
        <w:overflowPunct/>
        <w:topLinePunct w:val="0"/>
        <w:autoSpaceDE/>
        <w:autoSpaceDN/>
        <w:bidi w:val="0"/>
        <w:adjustRightInd/>
        <w:snapToGrid/>
        <w:spacing w:line="560" w:lineRule="exact"/>
        <w:ind w:firstLine="0" w:firstLineChars="0"/>
        <w:jc w:val="center"/>
        <w:textAlignment w:val="auto"/>
        <w:rPr>
          <w:rFonts w:hint="eastAsia" w:ascii="楷体" w:hAnsi="楷体" w:eastAsia="楷体" w:cs="Times New Roman"/>
          <w:color w:val="auto"/>
          <w:szCs w:val="32"/>
          <w:highlight w:val="none"/>
        </w:rPr>
      </w:pPr>
      <w:bookmarkStart w:id="71" w:name="_8oue4vcyc"/>
      <w:r>
        <w:rPr>
          <w:rFonts w:hint="eastAsia" w:ascii="楷体" w:hAnsi="楷体" w:eastAsia="楷体" w:cs="Times New Roman"/>
          <w:color w:val="auto"/>
          <w:szCs w:val="32"/>
          <w:highlight w:val="none"/>
        </w:rPr>
        <w:t xml:space="preserve"> </w:t>
      </w:r>
      <w:bookmarkEnd w:id="71"/>
      <w:bookmarkStart w:id="72" w:name="_Toc5164"/>
      <w:bookmarkStart w:id="73" w:name="_Toc4846"/>
      <w:bookmarkStart w:id="74" w:name="_Toc21614"/>
      <w:bookmarkStart w:id="75" w:name="_Toc28441"/>
      <w:bookmarkStart w:id="76" w:name="_Toc27008"/>
      <w:r>
        <w:rPr>
          <w:rFonts w:hint="eastAsia" w:ascii="楷体" w:hAnsi="楷体" w:eastAsia="楷体" w:cs="Times New Roman"/>
          <w:color w:val="auto"/>
          <w:szCs w:val="32"/>
          <w:highlight w:val="none"/>
        </w:rPr>
        <w:t>深化养老服务改革创新“西城实践”</w:t>
      </w:r>
      <w:bookmarkEnd w:id="72"/>
      <w:bookmarkEnd w:id="73"/>
      <w:bookmarkEnd w:id="74"/>
      <w:bookmarkEnd w:id="75"/>
      <w:bookmarkEnd w:id="76"/>
    </w:p>
    <w:p>
      <w:pPr>
        <w:pageBreakBefore w:val="0"/>
        <w:widowControl w:val="0"/>
        <w:kinsoku/>
        <w:wordWrap/>
        <w:overflowPunct/>
        <w:topLinePunct w:val="0"/>
        <w:autoSpaceDE/>
        <w:autoSpaceDN/>
        <w:bidi w:val="0"/>
        <w:adjustRightInd/>
        <w:snapToGrid/>
        <w:spacing w:line="560" w:lineRule="exact"/>
        <w:ind w:firstLine="643"/>
        <w:contextualSpacing/>
        <w:textAlignment w:val="auto"/>
        <w:rPr>
          <w:rFonts w:hint="eastAsia" w:ascii="Times New Roman" w:hAnsi="Times New Roman" w:cs="仿宋_GB2312"/>
          <w:color w:val="auto"/>
          <w:szCs w:val="32"/>
          <w:highlight w:val="none"/>
          <w:lang w:val="en-US" w:eastAsia="zh-CN"/>
        </w:rPr>
      </w:pPr>
      <w:r>
        <w:rPr>
          <w:rFonts w:hint="eastAsia" w:ascii="Times New Roman" w:hAnsi="Times New Roman" w:cs="仿宋_GB2312"/>
          <w:color w:val="auto"/>
          <w:szCs w:val="32"/>
          <w:highlight w:val="none"/>
          <w:lang w:val="en-US" w:eastAsia="zh-CN"/>
        </w:rPr>
        <w:t>锚定建设“老有颐养”高品质之城目标，</w:t>
      </w:r>
      <w:r>
        <w:rPr>
          <w:rFonts w:hint="eastAsia" w:ascii="Times New Roman" w:hAnsi="Times New Roman" w:cs="仿宋_GB2312"/>
          <w:color w:val="auto"/>
          <w:szCs w:val="32"/>
          <w:highlight w:val="none"/>
        </w:rPr>
        <w:t>贯彻落实《北京市养老服务条例》，</w:t>
      </w:r>
      <w:r>
        <w:rPr>
          <w:rFonts w:hint="eastAsia" w:ascii="Times New Roman" w:hAnsi="Times New Roman" w:cs="仿宋_GB2312"/>
          <w:color w:val="auto"/>
          <w:szCs w:val="32"/>
          <w:highlight w:val="none"/>
          <w:lang w:val="en-US" w:eastAsia="zh-CN"/>
        </w:rPr>
        <w:t>持续深化养老服务改革，推动养老服务从基础兜底向品质供给转型，实现养老服务扩容提质、精准赋能。</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Times New Roman" w:hAnsi="Times New Roman" w:cs="仿宋_GB2312"/>
          <w:b w:val="0"/>
          <w:bCs w:val="0"/>
          <w:color w:val="auto"/>
          <w:sz w:val="32"/>
          <w:szCs w:val="22"/>
          <w:highlight w:val="none"/>
          <w:lang w:val="en-US" w:eastAsia="zh-CN"/>
        </w:rPr>
      </w:pPr>
      <w:r>
        <w:rPr>
          <w:rFonts w:hint="eastAsia" w:ascii="Times New Roman" w:hAnsi="Times New Roman" w:cs="仿宋_GB2312"/>
          <w:b/>
          <w:bCs/>
          <w:color w:val="auto"/>
          <w:sz w:val="32"/>
          <w:szCs w:val="22"/>
          <w:highlight w:val="none"/>
          <w:lang w:val="en-US" w:eastAsia="zh-CN"/>
        </w:rPr>
        <w:t>完善服务设施布局</w:t>
      </w:r>
      <w:r>
        <w:rPr>
          <w:rFonts w:hint="eastAsia" w:ascii="Times New Roman" w:hAnsi="Times New Roman" w:cs="仿宋_GB2312"/>
          <w:b/>
          <w:bCs/>
          <w:color w:val="auto"/>
          <w:sz w:val="32"/>
          <w:szCs w:val="22"/>
          <w:highlight w:val="none"/>
        </w:rPr>
        <w:t>。</w:t>
      </w:r>
      <w:r>
        <w:rPr>
          <w:rFonts w:hint="eastAsia" w:ascii="Times New Roman" w:hAnsi="Times New Roman" w:cs="仿宋_GB2312"/>
          <w:b w:val="0"/>
          <w:bCs w:val="0"/>
          <w:color w:val="auto"/>
          <w:sz w:val="32"/>
          <w:szCs w:val="22"/>
          <w:highlight w:val="none"/>
          <w:lang w:val="en-US" w:eastAsia="zh-CN"/>
        </w:rPr>
        <w:t>深化“区—街—社区”三级养老服务网络，科学研判设施布局，强化区级指导中心统筹调度和街道养老服务中心规范化建设。</w:t>
      </w:r>
      <w:r>
        <w:rPr>
          <w:rFonts w:hint="eastAsia" w:ascii="Times New Roman" w:hAnsi="Times New Roman" w:cs="仿宋_GB2312"/>
          <w:color w:val="auto"/>
          <w:sz w:val="32"/>
          <w:szCs w:val="32"/>
          <w:highlight w:val="none"/>
        </w:rPr>
        <w:t>依托现有智慧养老大数据平台底座，深化数字化场景创新应用，迭代拓展智慧监管、精准匹配、远程服务等功能模块</w:t>
      </w:r>
      <w:r>
        <w:rPr>
          <w:rFonts w:hint="eastAsia" w:ascii="Times New Roman" w:hAnsi="Times New Roman" w:cs="仿宋_GB2312"/>
          <w:color w:val="auto"/>
          <w:sz w:val="32"/>
          <w:szCs w:val="32"/>
          <w:highlight w:val="none"/>
          <w:lang w:eastAsia="zh-CN"/>
        </w:rPr>
        <w:t>；</w:t>
      </w:r>
      <w:r>
        <w:rPr>
          <w:rFonts w:hint="eastAsia" w:ascii="仿宋_GB2312" w:hAnsi="仿宋_GB2312" w:cs="仿宋_GB2312"/>
          <w:b w:val="0"/>
          <w:bCs w:val="0"/>
          <w:color w:val="auto"/>
          <w:sz w:val="32"/>
          <w:szCs w:val="22"/>
          <w:highlight w:val="none"/>
          <w:lang w:val="en-US" w:eastAsia="zh-CN"/>
        </w:rPr>
        <w:t>持续</w:t>
      </w:r>
      <w:r>
        <w:rPr>
          <w:rFonts w:hint="eastAsia" w:ascii="仿宋_GB2312" w:hAnsi="仿宋_GB2312" w:eastAsia="仿宋_GB2312" w:cs="仿宋_GB2312"/>
          <w:b w:val="0"/>
          <w:bCs w:val="0"/>
          <w:color w:val="auto"/>
          <w:sz w:val="32"/>
          <w:szCs w:val="22"/>
          <w:highlight w:val="none"/>
          <w:lang w:val="en-US" w:eastAsia="zh-CN"/>
        </w:rPr>
        <w:t>培育连锁化、品牌化运营主体</w:t>
      </w:r>
      <w:r>
        <w:rPr>
          <w:rFonts w:hint="eastAsia" w:ascii="仿宋_GB2312" w:hAnsi="仿宋_GB2312" w:cs="仿宋_GB2312"/>
          <w:b w:val="0"/>
          <w:bCs w:val="0"/>
          <w:color w:val="auto"/>
          <w:sz w:val="32"/>
          <w:szCs w:val="22"/>
          <w:highlight w:val="none"/>
          <w:lang w:val="en-US" w:eastAsia="zh-CN"/>
        </w:rPr>
        <w:t>，</w:t>
      </w:r>
      <w:r>
        <w:rPr>
          <w:rFonts w:hint="eastAsia" w:ascii="仿宋_GB2312" w:hAnsi="仿宋_GB2312" w:eastAsia="仿宋_GB2312" w:cs="仿宋_GB2312"/>
          <w:b w:val="0"/>
          <w:bCs w:val="0"/>
          <w:color w:val="auto"/>
          <w:sz w:val="32"/>
          <w:szCs w:val="22"/>
          <w:highlight w:val="none"/>
          <w:lang w:val="en-US" w:eastAsia="zh-CN"/>
        </w:rPr>
        <w:t>着力发挥全龄友好</w:t>
      </w:r>
      <w:r>
        <w:rPr>
          <w:rFonts w:hint="eastAsia" w:ascii="仿宋_GB2312" w:hAnsi="仿宋_GB2312" w:cs="仿宋_GB2312"/>
          <w:b w:val="0"/>
          <w:bCs w:val="0"/>
          <w:color w:val="auto"/>
          <w:sz w:val="32"/>
          <w:szCs w:val="22"/>
          <w:highlight w:val="none"/>
          <w:lang w:val="en-US" w:eastAsia="zh-CN"/>
        </w:rPr>
        <w:t>示范点</w:t>
      </w:r>
      <w:r>
        <w:rPr>
          <w:rFonts w:hint="eastAsia" w:ascii="仿宋_GB2312" w:hAnsi="仿宋_GB2312" w:eastAsia="仿宋_GB2312" w:cs="仿宋_GB2312"/>
          <w:b w:val="0"/>
          <w:bCs w:val="0"/>
          <w:color w:val="auto"/>
          <w:sz w:val="32"/>
          <w:szCs w:val="22"/>
          <w:highlight w:val="none"/>
          <w:lang w:val="en-US" w:eastAsia="zh-CN"/>
        </w:rPr>
        <w:t>和</w:t>
      </w:r>
      <w:r>
        <w:rPr>
          <w:rFonts w:hint="eastAsia" w:ascii="仿宋_GB2312" w:hAnsi="仿宋_GB2312" w:cs="仿宋_GB2312"/>
          <w:b w:val="0"/>
          <w:bCs w:val="0"/>
          <w:color w:val="auto"/>
          <w:sz w:val="32"/>
          <w:szCs w:val="22"/>
          <w:highlight w:val="none"/>
          <w:lang w:val="en-US" w:eastAsia="zh-CN"/>
        </w:rPr>
        <w:t>社区</w:t>
      </w:r>
      <w:r>
        <w:rPr>
          <w:rFonts w:hint="eastAsia" w:ascii="仿宋_GB2312" w:hAnsi="仿宋_GB2312" w:eastAsia="仿宋_GB2312" w:cs="仿宋_GB2312"/>
          <w:b w:val="0"/>
          <w:bCs w:val="0"/>
          <w:color w:val="auto"/>
          <w:sz w:val="32"/>
          <w:szCs w:val="22"/>
          <w:highlight w:val="none"/>
          <w:lang w:val="en-US" w:eastAsia="zh-CN"/>
        </w:rPr>
        <w:t>嵌入式服务设施</w:t>
      </w:r>
      <w:r>
        <w:rPr>
          <w:rFonts w:hint="eastAsia" w:ascii="仿宋_GB2312" w:hAnsi="仿宋_GB2312" w:cs="仿宋_GB2312"/>
          <w:b w:val="0"/>
          <w:bCs w:val="0"/>
          <w:color w:val="auto"/>
          <w:sz w:val="32"/>
          <w:szCs w:val="22"/>
          <w:highlight w:val="none"/>
          <w:lang w:val="en-US" w:eastAsia="zh-CN"/>
        </w:rPr>
        <w:t>的</w:t>
      </w:r>
      <w:r>
        <w:rPr>
          <w:rFonts w:hint="eastAsia" w:ascii="仿宋_GB2312" w:hAnsi="仿宋_GB2312" w:eastAsia="仿宋_GB2312" w:cs="仿宋_GB2312"/>
          <w:b w:val="0"/>
          <w:bCs w:val="0"/>
          <w:color w:val="auto"/>
          <w:sz w:val="32"/>
          <w:szCs w:val="22"/>
          <w:highlight w:val="none"/>
          <w:lang w:val="en-US" w:eastAsia="zh-CN"/>
        </w:rPr>
        <w:t>辐射</w:t>
      </w:r>
      <w:r>
        <w:rPr>
          <w:rFonts w:hint="eastAsia" w:ascii="Times New Roman" w:hAnsi="Times New Roman" w:cs="仿宋_GB2312"/>
          <w:b w:val="0"/>
          <w:bCs w:val="0"/>
          <w:color w:val="auto"/>
          <w:sz w:val="32"/>
          <w:szCs w:val="22"/>
          <w:highlight w:val="none"/>
          <w:lang w:val="en-US" w:eastAsia="zh-CN"/>
        </w:rPr>
        <w:t>带动作用，推动社区养老服务驿站提质升级；织密“</w:t>
      </w:r>
      <w:r>
        <w:rPr>
          <w:rFonts w:hint="eastAsia" w:ascii="仿宋_GB2312" w:hAnsi="仿宋_GB2312" w:eastAsia="仿宋_GB2312" w:cs="仿宋_GB2312"/>
          <w:b w:val="0"/>
          <w:bCs w:val="0"/>
          <w:color w:val="auto"/>
          <w:sz w:val="32"/>
          <w:szCs w:val="22"/>
          <w:highlight w:val="none"/>
          <w:lang w:val="en-US" w:eastAsia="zh-CN"/>
        </w:rPr>
        <w:t>10分钟养老服务圈”</w:t>
      </w:r>
      <w:r>
        <w:rPr>
          <w:rFonts w:hint="eastAsia" w:ascii="Times New Roman" w:hAnsi="Times New Roman" w:cs="仿宋_GB2312"/>
          <w:b w:val="0"/>
          <w:bCs w:val="0"/>
          <w:color w:val="auto"/>
          <w:sz w:val="32"/>
          <w:szCs w:val="22"/>
          <w:highlight w:val="none"/>
          <w:lang w:val="en-US" w:eastAsia="zh-CN"/>
        </w:rPr>
        <w:t>，丰富智慧养老服务应用场景和消费场景。</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Times New Roman" w:hAnsi="Times New Roman" w:cs="仿宋_GB2312"/>
          <w:color w:val="auto"/>
          <w:sz w:val="32"/>
          <w:szCs w:val="32"/>
          <w:highlight w:val="none"/>
          <w:lang w:val="en-US" w:eastAsia="zh-CN"/>
        </w:rPr>
      </w:pPr>
      <w:r>
        <w:rPr>
          <w:rFonts w:hint="eastAsia" w:ascii="Times New Roman" w:hAnsi="Times New Roman" w:cs="仿宋_GB2312"/>
          <w:b/>
          <w:bCs/>
          <w:color w:val="auto"/>
          <w:sz w:val="32"/>
          <w:szCs w:val="22"/>
          <w:highlight w:val="none"/>
          <w:lang w:val="en-US" w:eastAsia="zh-CN"/>
        </w:rPr>
        <w:t>提质精准服务供给</w:t>
      </w:r>
      <w:r>
        <w:rPr>
          <w:rFonts w:hint="eastAsia" w:ascii="Times New Roman" w:hAnsi="Times New Roman" w:cs="仿宋_GB2312"/>
          <w:b w:val="0"/>
          <w:bCs w:val="0"/>
          <w:color w:val="auto"/>
          <w:sz w:val="32"/>
          <w:szCs w:val="22"/>
          <w:highlight w:val="none"/>
          <w:lang w:val="en-US" w:eastAsia="zh-CN"/>
        </w:rPr>
        <w:t>。做优做强父母食堂品牌。支持养老机构增设失智老年人照护专区、发展护理型床位。深化医养康养融合，推进医养联合体建设，推动机构养老床位、家庭养老床位、家庭病床、治疗病床、安宁疗护床位“五床联动”，实现医养服务有序衔接、按需转介</w:t>
      </w:r>
      <w:r>
        <w:rPr>
          <w:rFonts w:hint="eastAsia" w:ascii="Times New Roman" w:hAnsi="Times New Roman" w:cs="仿宋_GB2312"/>
          <w:color w:val="auto"/>
          <w:sz w:val="32"/>
          <w:szCs w:val="32"/>
          <w:highlight w:val="none"/>
          <w:lang w:eastAsia="zh-CN"/>
        </w:rPr>
        <w:t>。</w:t>
      </w:r>
      <w:r>
        <w:rPr>
          <w:rFonts w:hint="eastAsia" w:ascii="Times New Roman" w:hAnsi="Times New Roman" w:cs="仿宋_GB2312"/>
          <w:color w:val="auto"/>
          <w:sz w:val="32"/>
          <w:szCs w:val="32"/>
          <w:highlight w:val="none"/>
          <w:lang w:val="en-US" w:eastAsia="zh-CN"/>
        </w:rPr>
        <w:t>持续推动居家适老化改造。打通政企校协同养老服务人才培养培育模式，支撑专业化服务品质提升。</w:t>
      </w:r>
    </w:p>
    <w:p>
      <w:pPr>
        <w:pageBreakBefore w:val="0"/>
        <w:widowControl/>
        <w:kinsoku/>
        <w:wordWrap/>
        <w:overflowPunct/>
        <w:topLinePunct w:val="0"/>
        <w:autoSpaceDE/>
        <w:autoSpaceDN/>
        <w:bidi w:val="0"/>
        <w:adjustRightInd/>
        <w:snapToGrid/>
        <w:spacing w:line="560" w:lineRule="exact"/>
        <w:ind w:firstLine="643"/>
        <w:contextualSpacing/>
        <w:textAlignment w:val="auto"/>
        <w:rPr>
          <w:rFonts w:hint="eastAsia" w:ascii="Times New Roman" w:hAnsi="Times New Roman" w:cs="仿宋_GB2312"/>
          <w:color w:val="auto"/>
          <w:sz w:val="32"/>
          <w:szCs w:val="32"/>
          <w:highlight w:val="none"/>
          <w:lang w:val="en-US" w:eastAsia="zh-CN"/>
        </w:rPr>
      </w:pPr>
      <w:r>
        <w:rPr>
          <w:rFonts w:hint="eastAsia" w:ascii="Times New Roman" w:hAnsi="Times New Roman" w:cs="仿宋_GB2312"/>
          <w:b/>
          <w:bCs/>
          <w:color w:val="auto"/>
          <w:sz w:val="32"/>
          <w:szCs w:val="32"/>
          <w:highlight w:val="none"/>
        </w:rPr>
        <w:t>强化养老综合监管。</w:t>
      </w:r>
      <w:r>
        <w:rPr>
          <w:rFonts w:hint="eastAsia" w:ascii="Times New Roman" w:hAnsi="Times New Roman" w:cs="仿宋_GB2312"/>
          <w:color w:val="auto"/>
          <w:sz w:val="32"/>
          <w:szCs w:val="32"/>
          <w:highlight w:val="none"/>
        </w:rPr>
        <w:t>健全政府监管、行业自律、社会监督、机构自治“四位一体”综合监管体系</w:t>
      </w:r>
      <w:r>
        <w:rPr>
          <w:rFonts w:hint="eastAsia" w:ascii="Times New Roman" w:hAnsi="Times New Roman" w:cs="仿宋_GB2312"/>
          <w:color w:val="auto"/>
          <w:sz w:val="32"/>
          <w:szCs w:val="32"/>
          <w:highlight w:val="none"/>
          <w:lang w:eastAsia="zh-CN"/>
        </w:rPr>
        <w:t>。</w:t>
      </w:r>
      <w:r>
        <w:rPr>
          <w:rFonts w:hint="eastAsia" w:ascii="Times New Roman" w:hAnsi="Times New Roman" w:cs="仿宋_GB2312"/>
          <w:color w:val="auto"/>
          <w:sz w:val="32"/>
          <w:szCs w:val="32"/>
          <w:highlight w:val="none"/>
          <w:lang w:val="en-US" w:eastAsia="zh-CN"/>
        </w:rPr>
        <w:t>完善民政、消防、市场监管、卫健等部门联合监管机制，不断形成</w:t>
      </w:r>
      <w:r>
        <w:rPr>
          <w:rFonts w:hint="eastAsia" w:ascii="Times New Roman" w:hAnsi="Times New Roman" w:eastAsia="仿宋_GB2312" w:cs="仿宋_GB2312"/>
          <w:i w:val="0"/>
          <w:iCs w:val="0"/>
          <w:caps w:val="0"/>
          <w:color w:val="auto"/>
          <w:spacing w:val="0"/>
          <w:sz w:val="32"/>
          <w:szCs w:val="32"/>
          <w:highlight w:val="none"/>
          <w:shd w:val="clear" w:fill="auto"/>
        </w:rPr>
        <w:t>多</w:t>
      </w:r>
      <w:r>
        <w:rPr>
          <w:rFonts w:hint="eastAsia" w:ascii="Times New Roman" w:hAnsi="Times New Roman" w:eastAsia="仿宋_GB2312" w:cs="仿宋_GB2312"/>
          <w:i w:val="0"/>
          <w:iCs w:val="0"/>
          <w:caps w:val="0"/>
          <w:color w:val="auto"/>
          <w:spacing w:val="0"/>
          <w:sz w:val="32"/>
          <w:szCs w:val="32"/>
          <w:highlight w:val="none"/>
          <w:shd w:val="clear" w:fill="auto"/>
          <w:lang w:eastAsia="zh-CN"/>
        </w:rPr>
        <w:t>部门</w:t>
      </w:r>
      <w:r>
        <w:rPr>
          <w:rFonts w:hint="eastAsia" w:ascii="Times New Roman" w:hAnsi="Times New Roman" w:eastAsia="仿宋_GB2312" w:cs="仿宋_GB2312"/>
          <w:i w:val="0"/>
          <w:iCs w:val="0"/>
          <w:caps w:val="0"/>
          <w:color w:val="auto"/>
          <w:spacing w:val="0"/>
          <w:sz w:val="32"/>
          <w:szCs w:val="32"/>
          <w:highlight w:val="none"/>
          <w:shd w:val="clear" w:fill="auto"/>
        </w:rPr>
        <w:t>协同共治格局。</w:t>
      </w:r>
      <w:r>
        <w:rPr>
          <w:rFonts w:hint="eastAsia" w:ascii="Times New Roman" w:hAnsi="Times New Roman" w:cs="仿宋_GB2312"/>
          <w:b w:val="0"/>
          <w:bCs w:val="0"/>
          <w:color w:val="auto"/>
          <w:sz w:val="32"/>
          <w:szCs w:val="32"/>
          <w:highlight w:val="none"/>
          <w:lang w:val="en-US" w:eastAsia="zh-CN"/>
        </w:rPr>
        <w:t>严管养老机构预收费和押金，筑牢涉老权益保障防线。</w:t>
      </w:r>
      <w:r>
        <w:rPr>
          <w:rFonts w:hint="eastAsia" w:ascii="Times New Roman" w:hAnsi="Times New Roman" w:cs="仿宋_GB2312"/>
          <w:color w:val="auto"/>
          <w:sz w:val="32"/>
          <w:szCs w:val="32"/>
          <w:highlight w:val="none"/>
          <w:lang w:val="en-US" w:eastAsia="zh-CN"/>
        </w:rPr>
        <w:t>运用物联感知等智慧手段，实现风险智能预警、问题快速处置的闭环机制、推动养老服务行业健康安全发展。</w:t>
      </w:r>
    </w:p>
    <w:p>
      <w:pPr>
        <w:pageBreakBefore w:val="0"/>
        <w:widowControl/>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tbl>
      <w:tblPr>
        <w:tblStyle w:val="17"/>
        <w:tblpPr w:leftFromText="180" w:rightFromText="180" w:vertAnchor="text" w:horzAnchor="page" w:tblpX="1699" w:tblpY="-43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0" w:type="auto"/>
            <w:shd w:val="clear" w:color="auto" w:fill="B5C7EA" w:themeFill="accent1" w:themeFillTint="66"/>
            <w:vAlign w:val="top"/>
          </w:tcPr>
          <w:p>
            <w:pPr>
              <w:widowControl/>
              <w:overflowPunct/>
              <w:snapToGrid/>
              <w:spacing w:line="400" w:lineRule="exact"/>
              <w:ind w:firstLine="0" w:firstLineChars="0"/>
              <w:jc w:val="center"/>
              <w:rPr>
                <w:rFonts w:ascii="Times New Roman" w:hAnsi="Times New Roman" w:eastAsia="方正楷体_GBK" w:cs="Times New Roman"/>
                <w:color w:val="auto"/>
                <w:szCs w:val="32"/>
                <w:highlight w:val="none"/>
              </w:rPr>
            </w:pPr>
            <w:r>
              <w:rPr>
                <w:rFonts w:ascii="Times New Roman" w:hAnsi="Times New Roman" w:eastAsia="方正小标宋简体" w:cs="Times New Roman"/>
                <w:b w:val="0"/>
                <w:bCs w:val="0"/>
                <w:color w:val="auto"/>
                <w:szCs w:val="32"/>
                <w:highlight w:val="none"/>
              </w:rPr>
              <w:t>专栏</w:t>
            </w:r>
            <w:r>
              <w:rPr>
                <w:rFonts w:hint="eastAsia" w:ascii="Times New Roman" w:hAnsi="Times New Roman" w:eastAsia="方正小标宋简体" w:cs="Times New Roman"/>
                <w:b w:val="0"/>
                <w:bCs w:val="0"/>
                <w:color w:val="auto"/>
                <w:szCs w:val="32"/>
                <w:highlight w:val="none"/>
                <w:lang w:val="en-US" w:eastAsia="zh-CN"/>
              </w:rPr>
              <w:t>1</w:t>
            </w:r>
            <w:r>
              <w:rPr>
                <w:rFonts w:hint="default" w:ascii="Times New Roman" w:hAnsi="Times New Roman" w:eastAsia="方正小标宋简体" w:cs="Times New Roman"/>
                <w:b w:val="0"/>
                <w:bCs w:val="0"/>
                <w:color w:val="auto"/>
                <w:szCs w:val="32"/>
                <w:highlight w:val="none"/>
                <w:lang w:val="en-US" w:eastAsia="zh-CN"/>
              </w:rPr>
              <w:t xml:space="preserve">  </w:t>
            </w:r>
            <w:r>
              <w:rPr>
                <w:rFonts w:hint="default" w:ascii="Times New Roman" w:hAnsi="Times New Roman" w:eastAsia="方正小标宋简体" w:cs="Times New Roman"/>
                <w:b w:val="0"/>
                <w:bCs w:val="0"/>
                <w:color w:val="auto"/>
                <w:szCs w:val="32"/>
                <w:highlight w:val="none"/>
              </w:rPr>
              <w:t>“十养</w:t>
            </w:r>
            <w:r>
              <w:rPr>
                <w:rFonts w:hint="default" w:ascii="Times New Roman" w:hAnsi="Times New Roman" w:eastAsia="方正小标宋简体" w:cs="Times New Roman"/>
                <w:b w:val="0"/>
                <w:bCs w:val="0"/>
                <w:color w:val="auto"/>
                <w:szCs w:val="32"/>
                <w:highlight w:val="none"/>
                <w:lang w:eastAsia="zh-CN"/>
              </w:rPr>
              <w:t>行动</w:t>
            </w:r>
            <w:r>
              <w:rPr>
                <w:rFonts w:hint="default" w:ascii="Times New Roman" w:hAnsi="Times New Roman" w:eastAsia="方正小标宋简体" w:cs="Times New Roman"/>
                <w:b w:val="0"/>
                <w:bCs w:val="0"/>
                <w:color w:val="auto"/>
                <w:szCs w:val="32"/>
                <w:highlight w:val="none"/>
              </w:rPr>
              <w:t>”提质增效项目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0" w:type="auto"/>
            <w:vAlign w:val="top"/>
          </w:tcPr>
          <w:p>
            <w:pPr>
              <w:tabs>
                <w:tab w:val="left" w:pos="6135"/>
              </w:tabs>
              <w:snapToGrid w:val="0"/>
              <w:spacing w:line="600" w:lineRule="exact"/>
              <w:ind w:firstLine="640"/>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rPr>
              <w:t>深入贯彻落实《中共中央、国务院关于深化养老服务改革发展的意见》，以《西城区养老服务提质增效三年行动方案（2025—2027年）》为蓝本，深入实施“居养、享养、颐养、康养、智养、医养、融养、护养、安养、乐养”行动。</w:t>
            </w:r>
          </w:p>
          <w:p>
            <w:pPr>
              <w:tabs>
                <w:tab w:val="left" w:pos="6135"/>
              </w:tabs>
              <w:snapToGrid w:val="0"/>
              <w:spacing w:line="600" w:lineRule="exact"/>
              <w:ind w:firstLine="640"/>
              <w:rPr>
                <w:rFonts w:hint="default" w:ascii="Times New Roman" w:hAnsi="Times New Roman" w:eastAsia="仿宋_GB2312" w:cs="Times New Roman"/>
                <w:color w:val="auto"/>
                <w:sz w:val="30"/>
                <w:szCs w:val="30"/>
                <w:highlight w:val="none"/>
                <w:lang w:eastAsia="zh-CN"/>
              </w:rPr>
            </w:pPr>
            <w:r>
              <w:rPr>
                <w:rFonts w:hint="default" w:ascii="Times New Roman" w:hAnsi="Times New Roman" w:cs="Times New Roman"/>
                <w:color w:val="auto"/>
                <w:sz w:val="30"/>
                <w:szCs w:val="30"/>
                <w:highlight w:val="none"/>
              </w:rPr>
              <w:t>1.补齐养老服务设施短板，织密养老服务网格，优化基本养老服务供给</w:t>
            </w:r>
            <w:r>
              <w:rPr>
                <w:rFonts w:hint="default" w:ascii="Times New Roman" w:hAnsi="Times New Roman" w:cs="Times New Roman"/>
                <w:color w:val="auto"/>
                <w:sz w:val="30"/>
                <w:szCs w:val="30"/>
                <w:highlight w:val="none"/>
                <w:lang w:eastAsia="zh-CN"/>
              </w:rPr>
              <w:t>。</w:t>
            </w:r>
          </w:p>
          <w:p>
            <w:pPr>
              <w:tabs>
                <w:tab w:val="left" w:pos="6135"/>
              </w:tabs>
              <w:snapToGrid w:val="0"/>
              <w:spacing w:line="600" w:lineRule="exact"/>
              <w:ind w:firstLine="640"/>
              <w:rPr>
                <w:rFonts w:hint="default" w:ascii="Times New Roman" w:hAnsi="Times New Roman" w:eastAsia="仿宋_GB2312" w:cs="Times New Roman"/>
                <w:color w:val="auto"/>
                <w:sz w:val="30"/>
                <w:szCs w:val="30"/>
                <w:highlight w:val="none"/>
                <w:lang w:eastAsia="zh-CN"/>
              </w:rPr>
            </w:pPr>
            <w:r>
              <w:rPr>
                <w:rFonts w:hint="default" w:ascii="Times New Roman" w:hAnsi="Times New Roman" w:cs="Times New Roman"/>
                <w:color w:val="auto"/>
                <w:sz w:val="30"/>
                <w:szCs w:val="30"/>
                <w:highlight w:val="none"/>
              </w:rPr>
              <w:t>2.养老服务扩容提质增效进展明显，服务能力显著增强</w:t>
            </w:r>
            <w:r>
              <w:rPr>
                <w:rFonts w:hint="default" w:ascii="Times New Roman" w:hAnsi="Times New Roman" w:cs="Times New Roman"/>
                <w:color w:val="auto"/>
                <w:sz w:val="30"/>
                <w:szCs w:val="30"/>
                <w:highlight w:val="none"/>
                <w:lang w:eastAsia="zh-CN"/>
              </w:rPr>
              <w:t>。</w:t>
            </w:r>
          </w:p>
          <w:p>
            <w:pPr>
              <w:tabs>
                <w:tab w:val="left" w:pos="6135"/>
              </w:tabs>
              <w:snapToGrid w:val="0"/>
              <w:spacing w:line="600" w:lineRule="exact"/>
              <w:ind w:firstLine="640"/>
              <w:rPr>
                <w:rFonts w:hint="eastAsia" w:ascii="仿宋_GB2312" w:hAnsi="仿宋_GB2312" w:eastAsia="仿宋_GB2312" w:cs="仿宋_GB2312"/>
                <w:color w:val="auto"/>
                <w:sz w:val="28"/>
                <w:szCs w:val="28"/>
                <w:highlight w:val="none"/>
                <w:lang w:val="zh-CN" w:eastAsia="zh-CN" w:bidi="ar"/>
              </w:rPr>
            </w:pPr>
            <w:r>
              <w:rPr>
                <w:rFonts w:hint="default" w:ascii="Times New Roman" w:hAnsi="Times New Roman" w:cs="Times New Roman"/>
                <w:color w:val="auto"/>
                <w:sz w:val="30"/>
                <w:szCs w:val="30"/>
                <w:highlight w:val="none"/>
              </w:rPr>
              <w:t>3.首都功能核心区养老服务体系基本成熟定型，服务供给与需求更加协调适配，专业化水平显著提升</w:t>
            </w:r>
            <w:r>
              <w:rPr>
                <w:rFonts w:hint="default" w:ascii="Times New Roman" w:hAnsi="Times New Roman" w:cs="Times New Roman"/>
                <w:color w:val="auto"/>
                <w:sz w:val="30"/>
                <w:szCs w:val="30"/>
                <w:highlight w:val="none"/>
                <w:lang w:eastAsia="zh-CN"/>
              </w:rPr>
              <w:t>。</w:t>
            </w:r>
          </w:p>
        </w:tc>
      </w:tr>
    </w:tbl>
    <w:p>
      <w:pPr>
        <w:pageBreakBefore w:val="0"/>
        <w:widowControl/>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val="0"/>
        <w:kinsoku/>
        <w:wordWrap/>
        <w:overflowPunct/>
        <w:topLinePunct w:val="0"/>
        <w:autoSpaceDE/>
        <w:autoSpaceDN/>
        <w:bidi w:val="0"/>
        <w:adjustRightInd/>
        <w:snapToGrid/>
        <w:spacing w:line="560" w:lineRule="exact"/>
        <w:ind w:firstLine="0" w:firstLineChars="0"/>
        <w:contextualSpacing/>
        <w:textAlignment w:val="auto"/>
        <w:rPr>
          <w:rFonts w:hint="default" w:ascii="Times New Roman" w:hAnsi="Times New Roman" w:cs="仿宋_GB2312"/>
          <w:color w:val="auto"/>
          <w:sz w:val="32"/>
          <w:szCs w:val="32"/>
          <w:highlight w:val="none"/>
          <w:lang w:val="en-US" w:eastAsia="zh-CN"/>
        </w:rPr>
      </w:pPr>
    </w:p>
    <w:p>
      <w:pPr>
        <w:pageBreakBefore w:val="0"/>
        <w:widowControl w:val="0"/>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val="0"/>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val="0"/>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val="0"/>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val="0"/>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p>
      <w:pPr>
        <w:pageBreakBefore w:val="0"/>
        <w:widowControl w:val="0"/>
        <w:kinsoku/>
        <w:wordWrap/>
        <w:overflowPunct/>
        <w:topLinePunct w:val="0"/>
        <w:autoSpaceDE/>
        <w:autoSpaceDN/>
        <w:bidi w:val="0"/>
        <w:adjustRightInd/>
        <w:snapToGrid/>
        <w:spacing w:line="560" w:lineRule="exact"/>
        <w:ind w:firstLine="640"/>
        <w:contextualSpacing/>
        <w:textAlignment w:val="auto"/>
        <w:rPr>
          <w:rFonts w:hint="eastAsia" w:ascii="Times New Roman" w:hAnsi="Times New Roman" w:cs="仿宋_GB2312"/>
          <w:color w:val="auto"/>
          <w:sz w:val="32"/>
          <w:szCs w:val="32"/>
          <w:highlight w:val="none"/>
          <w:lang w:val="en-US" w:eastAsia="zh-CN"/>
        </w:rPr>
      </w:pPr>
    </w:p>
    <w:bookmarkEnd w:id="51"/>
    <w:bookmarkEnd w:id="52"/>
    <w:bookmarkEnd w:id="53"/>
    <w:bookmarkEnd w:id="54"/>
    <w:bookmarkEnd w:id="55"/>
    <w:p>
      <w:pPr>
        <w:rPr>
          <w:rFonts w:hint="eastAsia" w:ascii="方正小标宋简体" w:hAnsi="方正小标宋简体" w:eastAsia="方正小标宋简体" w:cs="方正小标宋简体"/>
          <w:b w:val="0"/>
          <w:bCs/>
          <w:color w:val="auto"/>
          <w:sz w:val="36"/>
          <w:szCs w:val="36"/>
          <w:highlight w:val="none"/>
        </w:rPr>
      </w:pPr>
      <w:bookmarkStart w:id="77" w:name="_Toc9681"/>
      <w:bookmarkStart w:id="78" w:name="_Toc12028"/>
      <w:bookmarkStart w:id="79" w:name="_Toc217291226"/>
      <w:bookmarkStart w:id="80" w:name="_Toc30633"/>
      <w:bookmarkStart w:id="81" w:name="_Toc15255"/>
      <w:bookmarkStart w:id="82" w:name="_Toc30475"/>
      <w:bookmarkStart w:id="83" w:name="_Toc24138"/>
    </w:p>
    <w:p>
      <w:pPr>
        <w:rPr>
          <w:rFonts w:hint="eastAsia" w:ascii="方正小标宋简体" w:hAnsi="方正小标宋简体" w:eastAsia="方正小标宋简体" w:cs="方正小标宋简体"/>
          <w:b w:val="0"/>
          <w:bCs/>
          <w:color w:val="auto"/>
          <w:sz w:val="36"/>
          <w:szCs w:val="36"/>
          <w:highlight w:val="none"/>
        </w:rPr>
      </w:pPr>
    </w:p>
    <w:p>
      <w:pPr>
        <w:pStyle w:val="2"/>
        <w:keepNext/>
        <w:keepLines/>
        <w:pageBreakBefore w:val="0"/>
        <w:widowControl w:val="0"/>
        <w:kinsoku/>
        <w:wordWrap/>
        <w:overflowPunct/>
        <w:topLinePunct w:val="0"/>
        <w:autoSpaceDE/>
        <w:autoSpaceDN/>
        <w:bidi w:val="0"/>
        <w:adjustRightInd/>
        <w:snapToGrid/>
        <w:spacing w:before="313" w:beforeLines="100" w:after="313" w:afterLines="100" w:line="600" w:lineRule="exact"/>
        <w:jc w:val="center"/>
        <w:textAlignment w:val="auto"/>
        <w:rPr>
          <w:rFonts w:hint="eastAsia" w:ascii="方正小标宋简体" w:hAnsi="方正小标宋简体" w:eastAsia="方正小标宋简体" w:cs="方正小标宋简体"/>
          <w:b w:val="0"/>
          <w:bCs/>
          <w:color w:val="auto"/>
          <w:sz w:val="30"/>
          <w:szCs w:val="30"/>
          <w:highlight w:val="none"/>
        </w:rPr>
      </w:pPr>
      <w:bookmarkStart w:id="84" w:name="_Toc27789"/>
      <w:bookmarkStart w:id="85" w:name="_Toc16319"/>
      <w:bookmarkStart w:id="86" w:name="_Toc8826"/>
      <w:r>
        <w:rPr>
          <w:rFonts w:hint="eastAsia" w:ascii="方正小标宋简体" w:hAnsi="方正小标宋简体" w:eastAsia="方正小标宋简体" w:cs="方正小标宋简体"/>
          <w:b w:val="0"/>
          <w:bCs/>
          <w:color w:val="auto"/>
          <w:sz w:val="36"/>
          <w:szCs w:val="36"/>
          <w:highlight w:val="none"/>
        </w:rPr>
        <w:t xml:space="preserve">第三章  </w:t>
      </w:r>
      <w:r>
        <w:rPr>
          <w:rFonts w:hint="eastAsia" w:ascii="方正小标宋简体" w:hAnsi="方正小标宋简体" w:eastAsia="方正小标宋简体" w:cs="方正小标宋简体"/>
          <w:b w:val="0"/>
          <w:bCs/>
          <w:color w:val="auto"/>
          <w:sz w:val="36"/>
          <w:szCs w:val="36"/>
          <w:highlight w:val="none"/>
          <w:lang w:eastAsia="zh-CN"/>
        </w:rPr>
        <w:t>优化</w:t>
      </w:r>
      <w:r>
        <w:rPr>
          <w:rFonts w:hint="eastAsia" w:ascii="方正小标宋简体" w:hAnsi="方正小标宋简体" w:eastAsia="方正小标宋简体" w:cs="方正小标宋简体"/>
          <w:b w:val="0"/>
          <w:bCs/>
          <w:color w:val="auto"/>
          <w:sz w:val="36"/>
          <w:szCs w:val="36"/>
          <w:highlight w:val="none"/>
        </w:rPr>
        <w:t>与经济发展水平相适应的社会救助</w:t>
      </w:r>
      <w:r>
        <w:rPr>
          <w:rFonts w:hint="eastAsia" w:ascii="方正小标宋简体" w:hAnsi="方正小标宋简体" w:eastAsia="方正小标宋简体" w:cs="方正小标宋简体"/>
          <w:b w:val="0"/>
          <w:bCs/>
          <w:color w:val="auto"/>
          <w:sz w:val="36"/>
          <w:szCs w:val="36"/>
          <w:highlight w:val="none"/>
          <w:lang w:eastAsia="zh-CN"/>
        </w:rPr>
        <w:t>格局</w:t>
      </w:r>
      <w:bookmarkEnd w:id="77"/>
      <w:bookmarkEnd w:id="78"/>
      <w:bookmarkEnd w:id="84"/>
      <w:bookmarkEnd w:id="85"/>
      <w:bookmarkEnd w:id="86"/>
    </w:p>
    <w:p>
      <w:pPr>
        <w:pStyle w:val="3"/>
        <w:tabs>
          <w:tab w:val="left" w:pos="333"/>
        </w:tabs>
        <w:spacing w:before="156" w:beforeLines="50" w:after="156" w:afterLines="50" w:line="600" w:lineRule="exact"/>
        <w:ind w:firstLine="0" w:firstLineChars="0"/>
        <w:jc w:val="center"/>
        <w:rPr>
          <w:rFonts w:hint="eastAsia" w:ascii="楷体" w:hAnsi="楷体" w:eastAsia="楷体" w:cs="Times New Roman"/>
          <w:color w:val="auto"/>
          <w:sz w:val="30"/>
          <w:szCs w:val="30"/>
          <w:highlight w:val="none"/>
          <w:lang w:eastAsia="zh-CN"/>
        </w:rPr>
      </w:pPr>
      <w:bookmarkStart w:id="87" w:name="_Toc11962"/>
      <w:bookmarkStart w:id="88" w:name="_Toc26370"/>
      <w:bookmarkStart w:id="89" w:name="_Toc13842"/>
      <w:bookmarkStart w:id="90" w:name="_Toc9902"/>
      <w:bookmarkStart w:id="91" w:name="_Toc17970"/>
      <w:r>
        <w:rPr>
          <w:rFonts w:hint="eastAsia" w:ascii="楷体" w:hAnsi="楷体" w:eastAsia="楷体" w:cs="Times New Roman"/>
          <w:color w:val="auto"/>
          <w:sz w:val="30"/>
          <w:szCs w:val="30"/>
          <w:highlight w:val="none"/>
        </w:rPr>
        <w:t xml:space="preserve">第一节 </w:t>
      </w:r>
      <w:r>
        <w:rPr>
          <w:rFonts w:hint="eastAsia" w:ascii="楷体" w:hAnsi="楷体" w:eastAsia="楷体" w:cs="Times New Roman"/>
          <w:color w:val="auto"/>
          <w:sz w:val="30"/>
          <w:szCs w:val="30"/>
          <w:highlight w:val="none"/>
          <w:lang w:eastAsia="zh-CN"/>
        </w:rPr>
        <w:t>健全分层分类社会救助体系</w:t>
      </w:r>
      <w:bookmarkEnd w:id="87"/>
      <w:bookmarkEnd w:id="88"/>
      <w:bookmarkEnd w:id="89"/>
      <w:bookmarkEnd w:id="90"/>
    </w:p>
    <w:p>
      <w:pPr>
        <w:pageBreakBefore w:val="0"/>
        <w:widowControl w:val="0"/>
        <w:kinsoku/>
        <w:wordWrap/>
        <w:overflowPunct/>
        <w:topLinePunct w:val="0"/>
        <w:autoSpaceDE/>
        <w:autoSpaceDN/>
        <w:bidi w:val="0"/>
        <w:adjustRightInd/>
        <w:snapToGrid/>
        <w:spacing w:line="560" w:lineRule="exact"/>
        <w:ind w:firstLine="643"/>
        <w:contextualSpacing/>
        <w:textAlignment w:val="auto"/>
        <w:rPr>
          <w:rFonts w:hint="eastAsia" w:ascii="楷体" w:hAnsi="楷体" w:eastAsia="楷体" w:cs="Times New Roman"/>
          <w:b/>
          <w:bCs w:val="0"/>
          <w:color w:val="auto"/>
          <w:sz w:val="30"/>
          <w:szCs w:val="30"/>
          <w:highlight w:val="none"/>
          <w:lang w:val="en-US" w:eastAsia="zh-CN"/>
        </w:rPr>
      </w:pPr>
      <w:r>
        <w:rPr>
          <w:rFonts w:hint="eastAsia" w:ascii="Times New Roman" w:hAnsi="Times New Roman" w:cs="仿宋_GB2312"/>
          <w:b w:val="0"/>
          <w:bCs w:val="0"/>
          <w:color w:val="auto"/>
          <w:sz w:val="32"/>
          <w:szCs w:val="32"/>
          <w:highlight w:val="none"/>
          <w:lang w:val="en-US" w:eastAsia="zh-CN"/>
        </w:rPr>
        <w:t>落实分层分类社会救助政策，开展刚性支出困难家庭救助工作，强化基本生活救助、专项社会救助的统筹衔接。发挥区级社会救助联席会议机制作用，深化多元协同的社会救助工作模式。依托市级困难群众救助帮扶数据底座，及时主动发现识别困难群众，通过系统预警、入户摸排，动态掌握困难情况和实际需求，积极对接救助政策，精准帮扶困难群众。深化社会救助“高效办成一件事”推广应用，提升基层经办服务能力，强化“一户一策”分类帮扶举措，提升救助帮扶质效。</w:t>
      </w:r>
    </w:p>
    <w:p>
      <w:pPr>
        <w:pStyle w:val="3"/>
        <w:tabs>
          <w:tab w:val="left" w:pos="333"/>
        </w:tabs>
        <w:spacing w:before="156" w:beforeLines="50" w:after="156" w:afterLines="50" w:line="600" w:lineRule="exact"/>
        <w:ind w:firstLine="0" w:firstLineChars="0"/>
        <w:jc w:val="center"/>
        <w:rPr>
          <w:rFonts w:hint="eastAsia" w:ascii="楷体" w:hAnsi="楷体" w:eastAsia="楷体" w:cs="Times New Roman"/>
          <w:color w:val="auto"/>
          <w:sz w:val="30"/>
          <w:szCs w:val="30"/>
          <w:highlight w:val="none"/>
        </w:rPr>
      </w:pPr>
      <w:bookmarkStart w:id="92" w:name="_Toc15970"/>
      <w:bookmarkStart w:id="93" w:name="_Toc23714"/>
      <w:bookmarkStart w:id="94" w:name="_Toc22134"/>
      <w:bookmarkStart w:id="95" w:name="_Toc24311"/>
      <w:r>
        <w:rPr>
          <w:rFonts w:hint="eastAsia" w:ascii="楷体" w:hAnsi="楷体" w:eastAsia="楷体" w:cs="Times New Roman"/>
          <w:color w:val="auto"/>
          <w:sz w:val="30"/>
          <w:szCs w:val="30"/>
          <w:highlight w:val="none"/>
        </w:rPr>
        <w:t>第二节  积极推进服务类社会救助</w:t>
      </w:r>
      <w:bookmarkEnd w:id="92"/>
      <w:bookmarkEnd w:id="93"/>
      <w:bookmarkEnd w:id="94"/>
      <w:bookmarkEnd w:id="95"/>
    </w:p>
    <w:p>
      <w:pPr>
        <w:pStyle w:val="3"/>
        <w:tabs>
          <w:tab w:val="left" w:pos="333"/>
        </w:tabs>
        <w:spacing w:before="156" w:beforeLines="50" w:after="156" w:afterLines="50" w:line="600" w:lineRule="exact"/>
        <w:ind w:firstLine="640" w:firstLineChars="0"/>
        <w:jc w:val="both"/>
        <w:rPr>
          <w:rFonts w:hint="eastAsia" w:ascii="Times New Roman" w:hAnsi="Times New Roman" w:eastAsia="仿宋_GB2312" w:cs="仿宋_GB2312"/>
          <w:b w:val="0"/>
          <w:bCs w:val="0"/>
          <w:color w:val="auto"/>
          <w:kern w:val="2"/>
          <w:sz w:val="32"/>
          <w:szCs w:val="32"/>
          <w:highlight w:val="none"/>
          <w:lang w:val="en-US" w:eastAsia="zh-CN" w:bidi="ar-SA"/>
        </w:rPr>
      </w:pPr>
      <w:bookmarkStart w:id="96" w:name="_Toc9316"/>
      <w:bookmarkStart w:id="97" w:name="_Toc21625"/>
      <w:bookmarkStart w:id="98" w:name="_Toc25241"/>
      <w:bookmarkStart w:id="99" w:name="_Toc21304"/>
      <w:r>
        <w:rPr>
          <w:rFonts w:hint="eastAsia" w:ascii="Times New Roman" w:hAnsi="Times New Roman" w:eastAsia="仿宋_GB2312" w:cs="仿宋_GB2312"/>
          <w:b w:val="0"/>
          <w:bCs w:val="0"/>
          <w:color w:val="auto"/>
          <w:kern w:val="2"/>
          <w:sz w:val="32"/>
          <w:szCs w:val="32"/>
          <w:highlight w:val="none"/>
          <w:lang w:val="en-US" w:eastAsia="zh-CN" w:bidi="ar-SA"/>
        </w:rPr>
        <w:t>深化“物质+服务”综合和救助模式，有针对性的提供照护服务、生活服务、关爱服务等。积极引导社会力量有序参与，发挥政府政策引导和资金支持作用，统筹运用行政和市场手段，有效动员社会组织、市场主体、基层群众性自治组织以及其他单位等社会力量广泛参与服务类社会救助。</w:t>
      </w:r>
      <w:bookmarkEnd w:id="96"/>
      <w:bookmarkEnd w:id="97"/>
      <w:bookmarkEnd w:id="98"/>
      <w:bookmarkEnd w:id="99"/>
    </w:p>
    <w:p>
      <w:pPr>
        <w:pStyle w:val="3"/>
        <w:tabs>
          <w:tab w:val="left" w:pos="333"/>
        </w:tabs>
        <w:spacing w:before="156" w:beforeLines="50" w:after="156" w:afterLines="50" w:line="600" w:lineRule="exact"/>
        <w:ind w:firstLine="0" w:firstLineChars="0"/>
        <w:jc w:val="center"/>
        <w:rPr>
          <w:rFonts w:hint="eastAsia" w:ascii="楷体" w:hAnsi="楷体" w:eastAsia="楷体" w:cs="Times New Roman"/>
          <w:color w:val="auto"/>
          <w:sz w:val="30"/>
          <w:szCs w:val="30"/>
          <w:highlight w:val="none"/>
        </w:rPr>
      </w:pPr>
      <w:bookmarkStart w:id="100" w:name="_Toc23771"/>
      <w:bookmarkStart w:id="101" w:name="_Toc3010"/>
      <w:bookmarkStart w:id="102" w:name="_Toc14064"/>
      <w:bookmarkStart w:id="103" w:name="_Toc1683"/>
      <w:r>
        <w:rPr>
          <w:rFonts w:hint="eastAsia" w:ascii="楷体" w:hAnsi="楷体" w:eastAsia="楷体" w:cs="Times New Roman"/>
          <w:color w:val="auto"/>
          <w:sz w:val="30"/>
          <w:szCs w:val="30"/>
          <w:highlight w:val="none"/>
        </w:rPr>
        <w:t>第三节  加强</w:t>
      </w:r>
      <w:r>
        <w:rPr>
          <w:rFonts w:hint="eastAsia" w:ascii="楷体" w:hAnsi="楷体" w:eastAsia="楷体" w:cs="Times New Roman"/>
          <w:color w:val="auto"/>
          <w:sz w:val="30"/>
          <w:szCs w:val="30"/>
          <w:highlight w:val="none"/>
          <w:lang w:eastAsia="zh-CN"/>
        </w:rPr>
        <w:t>接济</w:t>
      </w:r>
      <w:r>
        <w:rPr>
          <w:rFonts w:hint="eastAsia" w:ascii="楷体" w:hAnsi="楷体" w:eastAsia="楷体" w:cs="Times New Roman"/>
          <w:color w:val="auto"/>
          <w:sz w:val="30"/>
          <w:szCs w:val="30"/>
          <w:highlight w:val="none"/>
        </w:rPr>
        <w:t>救助服务保障</w:t>
      </w:r>
      <w:bookmarkEnd w:id="79"/>
      <w:bookmarkEnd w:id="80"/>
      <w:bookmarkEnd w:id="81"/>
      <w:bookmarkEnd w:id="82"/>
      <w:bookmarkEnd w:id="83"/>
      <w:bookmarkEnd w:id="91"/>
      <w:bookmarkEnd w:id="100"/>
      <w:bookmarkEnd w:id="101"/>
      <w:bookmarkEnd w:id="102"/>
      <w:bookmarkEnd w:id="103"/>
    </w:p>
    <w:p>
      <w:pPr>
        <w:spacing w:line="600" w:lineRule="exact"/>
        <w:ind w:firstLine="640"/>
        <w:rPr>
          <w:rFonts w:hint="eastAsia" w:ascii="Times New Roman" w:hAnsi="Times New Roman" w:cs="仿宋_GB2312"/>
          <w:color w:val="auto"/>
          <w:szCs w:val="32"/>
          <w:highlight w:val="none"/>
          <w:lang w:eastAsia="zh-CN"/>
        </w:rPr>
      </w:pPr>
      <w:r>
        <w:rPr>
          <w:rFonts w:hint="eastAsia" w:ascii="Times New Roman" w:hAnsi="Times New Roman" w:cs="仿宋_GB2312"/>
          <w:color w:val="auto"/>
          <w:szCs w:val="32"/>
          <w:highlight w:val="none"/>
          <w:lang w:eastAsia="zh-CN"/>
        </w:rPr>
        <w:t xml:space="preserve"> 充分发挥区级流散人员救助管理工作联席会议机制作用，强化多部门协同联动，提升救助响应效率。优化救助服务流程，深化长期滞留人员托养救助合作。常态化开展夏季送清凉、寒冬送温暖等专项行动，强化流散人员生活照料、医疗救治和寻亲返乡等救助兜底服务保障，夯实“发现-处置-救助-安置-回归”完整闭环。</w:t>
      </w:r>
    </w:p>
    <w:p>
      <w:pPr>
        <w:pStyle w:val="3"/>
        <w:tabs>
          <w:tab w:val="left" w:pos="333"/>
        </w:tabs>
        <w:spacing w:before="156" w:beforeLines="50" w:after="156" w:afterLines="50" w:line="600" w:lineRule="exact"/>
        <w:ind w:firstLine="0" w:firstLineChars="0"/>
        <w:jc w:val="center"/>
        <w:rPr>
          <w:rFonts w:hint="eastAsia" w:ascii="楷体" w:hAnsi="楷体" w:eastAsia="楷体" w:cs="Times New Roman"/>
          <w:color w:val="auto"/>
          <w:sz w:val="30"/>
          <w:szCs w:val="30"/>
          <w:highlight w:val="none"/>
          <w:lang w:eastAsia="zh-CN"/>
        </w:rPr>
      </w:pPr>
      <w:bookmarkStart w:id="104" w:name="_Toc14256"/>
      <w:bookmarkStart w:id="105" w:name="_Toc19874"/>
      <w:bookmarkStart w:id="106" w:name="_Toc17873"/>
      <w:bookmarkStart w:id="107" w:name="_Toc28676"/>
      <w:bookmarkStart w:id="108" w:name="_Toc20136"/>
      <w:r>
        <w:rPr>
          <w:rFonts w:hint="eastAsia" w:ascii="楷体" w:hAnsi="楷体" w:eastAsia="楷体" w:cs="Times New Roman"/>
          <w:color w:val="auto"/>
          <w:sz w:val="30"/>
          <w:szCs w:val="30"/>
          <w:highlight w:val="none"/>
          <w:lang w:eastAsia="zh-CN"/>
        </w:rPr>
        <w:t>第四节  加强社会救助监督管理</w:t>
      </w:r>
      <w:bookmarkEnd w:id="104"/>
      <w:bookmarkEnd w:id="105"/>
      <w:bookmarkEnd w:id="106"/>
      <w:bookmarkEnd w:id="107"/>
      <w:bookmarkEnd w:id="108"/>
    </w:p>
    <w:p>
      <w:pPr>
        <w:spacing w:line="600" w:lineRule="exact"/>
        <w:ind w:firstLine="640"/>
        <w:rPr>
          <w:rFonts w:hint="eastAsia" w:ascii="Times New Roman" w:hAnsi="Times New Roman" w:cs="仿宋_GB2312"/>
          <w:color w:val="auto"/>
          <w:szCs w:val="32"/>
          <w:highlight w:val="none"/>
          <w:lang w:eastAsia="zh-CN"/>
        </w:rPr>
      </w:pPr>
      <w:r>
        <w:rPr>
          <w:rFonts w:hint="eastAsia" w:ascii="Times New Roman" w:hAnsi="Times New Roman" w:cs="仿宋_GB2312"/>
          <w:color w:val="auto"/>
          <w:szCs w:val="32"/>
          <w:highlight w:val="none"/>
          <w:lang w:eastAsia="zh-CN"/>
        </w:rPr>
        <w:t>健全社会救助监管机制，深化社会救助领域综合治理。严格执行近亲属备案、信息公开公示、定期复核等制度规范，推进数字化监管。强化救助资金闭环管理，保障救助资金及时足额精准发放。紧盯救助对象认定、救助资金拨付发放等关键环节，持续开展监督检查和治理提升。</w:t>
      </w:r>
    </w:p>
    <w:p>
      <w:pPr>
        <w:spacing w:line="600" w:lineRule="exact"/>
        <w:ind w:firstLine="640"/>
        <w:rPr>
          <w:rFonts w:hint="eastAsia" w:ascii="Times New Roman" w:hAnsi="Times New Roman" w:cs="仿宋_GB2312"/>
          <w:color w:val="auto"/>
          <w:szCs w:val="32"/>
          <w:highlight w:val="none"/>
          <w:lang w:eastAsia="zh-CN"/>
        </w:rPr>
      </w:pPr>
    </w:p>
    <w:p>
      <w:pPr>
        <w:spacing w:line="600" w:lineRule="exact"/>
        <w:ind w:firstLine="640"/>
        <w:rPr>
          <w:rFonts w:hint="eastAsia" w:ascii="Times New Roman" w:hAnsi="Times New Roman" w:cs="仿宋_GB2312"/>
          <w:color w:val="auto"/>
          <w:szCs w:val="32"/>
          <w:highlight w:val="none"/>
          <w:lang w:eastAsia="zh-CN"/>
        </w:rPr>
      </w:pPr>
    </w:p>
    <w:p>
      <w:pPr>
        <w:spacing w:line="600" w:lineRule="exact"/>
        <w:ind w:firstLine="640"/>
        <w:rPr>
          <w:rFonts w:hint="eastAsia" w:ascii="Times New Roman" w:hAnsi="Times New Roman" w:cs="仿宋_GB2312"/>
          <w:color w:val="auto"/>
          <w:szCs w:val="32"/>
          <w:highlight w:val="none"/>
          <w:lang w:eastAsia="zh-CN"/>
        </w:rPr>
      </w:pPr>
    </w:p>
    <w:tbl>
      <w:tblPr>
        <w:tblStyle w:val="18"/>
        <w:tblpPr w:leftFromText="180" w:rightFromText="180" w:vertAnchor="text" w:horzAnchor="page" w:tblpX="1478" w:tblpY="-47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shd w:val="clear" w:color="auto" w:fill="B5C7EA" w:themeFill="accent1" w:themeFillTint="66"/>
            <w:vAlign w:val="top"/>
          </w:tcPr>
          <w:p>
            <w:pPr>
              <w:overflowPunct w:val="0"/>
              <w:snapToGrid w:val="0"/>
              <w:spacing w:line="600" w:lineRule="exact"/>
              <w:ind w:firstLine="0" w:firstLineChars="0"/>
              <w:jc w:val="center"/>
              <w:rPr>
                <w:rFonts w:hint="default" w:ascii="Times New Roman" w:hAnsi="Times New Roman" w:eastAsia="方正小标宋简体" w:cs="Times New Roman"/>
                <w:color w:val="auto"/>
                <w:szCs w:val="32"/>
                <w:highlight w:val="none"/>
                <w:lang w:eastAsia="zh-CN"/>
              </w:rPr>
            </w:pPr>
            <w:r>
              <w:rPr>
                <w:rFonts w:hint="default" w:ascii="Times New Roman" w:hAnsi="Times New Roman" w:eastAsia="方正小标宋简体" w:cs="Times New Roman"/>
                <w:b w:val="0"/>
                <w:bCs w:val="0"/>
                <w:color w:val="auto"/>
                <w:sz w:val="30"/>
                <w:szCs w:val="30"/>
                <w:highlight w:val="none"/>
              </w:rPr>
              <w:t>专栏</w:t>
            </w:r>
            <w:r>
              <w:rPr>
                <w:rFonts w:hint="eastAsia" w:ascii="Times New Roman" w:hAnsi="Times New Roman" w:eastAsia="方正小标宋简体" w:cs="Times New Roman"/>
                <w:b w:val="0"/>
                <w:bCs w:val="0"/>
                <w:color w:val="auto"/>
                <w:sz w:val="30"/>
                <w:szCs w:val="30"/>
                <w:highlight w:val="none"/>
                <w:lang w:val="en-US" w:eastAsia="zh-CN"/>
              </w:rPr>
              <w:t>2</w:t>
            </w:r>
            <w:r>
              <w:rPr>
                <w:rFonts w:hint="default" w:ascii="Times New Roman" w:hAnsi="Times New Roman" w:eastAsia="方正小标宋简体" w:cs="Times New Roman"/>
                <w:b w:val="0"/>
                <w:bCs w:val="0"/>
                <w:color w:val="auto"/>
                <w:sz w:val="30"/>
                <w:szCs w:val="30"/>
                <w:highlight w:val="none"/>
                <w:lang w:val="en-US" w:eastAsia="zh-CN"/>
              </w:rPr>
              <w:t xml:space="preserve">  </w:t>
            </w:r>
            <w:r>
              <w:rPr>
                <w:rFonts w:hint="default" w:ascii="Times New Roman" w:hAnsi="Times New Roman" w:eastAsia="方正小标宋简体" w:cs="Times New Roman"/>
                <w:b w:val="0"/>
                <w:bCs w:val="0"/>
                <w:color w:val="auto"/>
                <w:sz w:val="30"/>
                <w:szCs w:val="30"/>
                <w:highlight w:val="none"/>
              </w:rPr>
              <w:t>社会救助</w:t>
            </w:r>
            <w:r>
              <w:rPr>
                <w:rFonts w:hint="eastAsia" w:ascii="Times New Roman" w:hAnsi="Times New Roman" w:eastAsia="方正小标宋简体" w:cs="Times New Roman"/>
                <w:b w:val="0"/>
                <w:bCs w:val="0"/>
                <w:color w:val="auto"/>
                <w:sz w:val="30"/>
                <w:szCs w:val="30"/>
                <w:highlight w:val="none"/>
                <w:lang w:eastAsia="zh-CN"/>
              </w:rPr>
              <w:t>经办人员</w:t>
            </w:r>
            <w:r>
              <w:rPr>
                <w:rFonts w:hint="default" w:ascii="Times New Roman" w:hAnsi="Times New Roman" w:eastAsia="方正小标宋简体" w:cs="Times New Roman"/>
                <w:b w:val="0"/>
                <w:bCs w:val="0"/>
                <w:color w:val="auto"/>
                <w:sz w:val="30"/>
                <w:szCs w:val="30"/>
                <w:highlight w:val="none"/>
                <w:lang w:eastAsia="zh-CN"/>
              </w:rPr>
              <w:t>队伍培养计划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288" w:type="dxa"/>
            <w:vAlign w:val="top"/>
          </w:tcPr>
          <w:p>
            <w:pPr>
              <w:tabs>
                <w:tab w:val="left" w:pos="6135"/>
              </w:tabs>
              <w:snapToGrid w:val="0"/>
              <w:spacing w:line="600" w:lineRule="exact"/>
              <w:ind w:firstLine="640"/>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bidi="ar"/>
              </w:rPr>
              <w:t>1.</w:t>
            </w:r>
            <w:r>
              <w:rPr>
                <w:rFonts w:hint="default" w:ascii="Times New Roman" w:hAnsi="Times New Roman" w:eastAsia="仿宋_GB2312" w:cs="Times New Roman"/>
                <w:color w:val="auto"/>
                <w:sz w:val="30"/>
                <w:szCs w:val="30"/>
                <w:highlight w:val="none"/>
              </w:rPr>
              <w:t>加强基层救助经办能力</w:t>
            </w:r>
            <w:r>
              <w:rPr>
                <w:rFonts w:hint="eastAsia" w:ascii="Times New Roman" w:hAnsi="Times New Roman" w:cs="Times New Roman"/>
                <w:color w:val="auto"/>
                <w:sz w:val="30"/>
                <w:szCs w:val="30"/>
                <w:highlight w:val="none"/>
                <w:lang w:eastAsia="zh-CN"/>
              </w:rPr>
              <w:t>提升。</w:t>
            </w:r>
            <w:r>
              <w:rPr>
                <w:rFonts w:hint="default" w:ascii="Times New Roman" w:hAnsi="Times New Roman" w:eastAsia="仿宋_GB2312" w:cs="Times New Roman"/>
                <w:color w:val="auto"/>
                <w:sz w:val="30"/>
                <w:szCs w:val="30"/>
                <w:highlight w:val="none"/>
              </w:rPr>
              <w:t>开展政策、实务与沟通技巧培训，</w:t>
            </w:r>
            <w:r>
              <w:rPr>
                <w:rFonts w:hint="default" w:ascii="Times New Roman" w:hAnsi="Times New Roman" w:cs="Times New Roman"/>
                <w:color w:val="auto"/>
                <w:sz w:val="30"/>
                <w:szCs w:val="30"/>
                <w:shd w:val="clear" w:color="auto" w:fill="FFFFFF"/>
                <w:lang w:val="zh-CN" w:eastAsia="zh-CN" w:bidi="ar"/>
              </w:rPr>
              <w:t>鼓励</w:t>
            </w:r>
            <w:r>
              <w:rPr>
                <w:rFonts w:hint="default" w:ascii="Times New Roman" w:hAnsi="Times New Roman" w:cs="Times New Roman"/>
                <w:color w:val="auto"/>
                <w:sz w:val="30"/>
                <w:szCs w:val="30"/>
                <w:highlight w:val="none"/>
                <w:lang w:eastAsia="zh-CN"/>
              </w:rPr>
              <w:t>各级社会救助经办人员丰富社会学、法学、心理学等知识</w:t>
            </w:r>
            <w:r>
              <w:rPr>
                <w:rFonts w:hint="default" w:ascii="Times New Roman" w:hAnsi="Times New Roman" w:eastAsia="仿宋_GB2312" w:cs="Times New Roman"/>
                <w:color w:val="auto"/>
                <w:sz w:val="30"/>
                <w:szCs w:val="30"/>
                <w:highlight w:val="none"/>
              </w:rPr>
              <w:t>，</w:t>
            </w:r>
            <w:r>
              <w:rPr>
                <w:rFonts w:hint="default" w:ascii="Times New Roman" w:hAnsi="Times New Roman" w:cs="Times New Roman"/>
                <w:color w:val="auto"/>
                <w:sz w:val="30"/>
                <w:szCs w:val="30"/>
                <w:highlight w:val="none"/>
              </w:rPr>
              <w:t>提高区级培训覆盖面和有效性</w:t>
            </w:r>
            <w:r>
              <w:rPr>
                <w:rFonts w:hint="default" w:ascii="Times New Roman" w:hAnsi="Times New Roman" w:eastAsia="仿宋_GB2312" w:cs="Times New Roman"/>
                <w:color w:val="auto"/>
                <w:sz w:val="30"/>
                <w:szCs w:val="30"/>
                <w:highlight w:val="none"/>
              </w:rPr>
              <w:t>。</w:t>
            </w:r>
          </w:p>
          <w:p>
            <w:pPr>
              <w:tabs>
                <w:tab w:val="left" w:pos="6135"/>
              </w:tabs>
              <w:snapToGrid w:val="0"/>
              <w:spacing w:line="600" w:lineRule="exact"/>
              <w:ind w:firstLine="640"/>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2.推动社会工作专业方法全</w:t>
            </w:r>
            <w:r>
              <w:rPr>
                <w:rFonts w:hint="default" w:ascii="Times New Roman" w:hAnsi="Times New Roman" w:cs="Times New Roman"/>
                <w:color w:val="auto"/>
                <w:sz w:val="30"/>
                <w:szCs w:val="30"/>
                <w:highlight w:val="none"/>
                <w:lang w:val="en-US" w:eastAsia="zh-CN"/>
              </w:rPr>
              <w:t>过</w:t>
            </w:r>
            <w:r>
              <w:rPr>
                <w:rFonts w:hint="default" w:ascii="Times New Roman" w:hAnsi="Times New Roman" w:eastAsia="仿宋_GB2312" w:cs="Times New Roman"/>
                <w:color w:val="auto"/>
                <w:sz w:val="30"/>
                <w:szCs w:val="30"/>
                <w:highlight w:val="none"/>
              </w:rPr>
              <w:t>程融入。在认定、核查、帮扶各环节运用个案管理、资源链接、心理支持等方法，提升服务精准度与温度。</w:t>
            </w:r>
          </w:p>
          <w:p>
            <w:pPr>
              <w:tabs>
                <w:tab w:val="left" w:pos="6135"/>
              </w:tabs>
              <w:snapToGrid w:val="0"/>
              <w:spacing w:line="600" w:lineRule="exact"/>
              <w:ind w:firstLine="600" w:firstLineChars="200"/>
              <w:rPr>
                <w:rFonts w:hint="default"/>
                <w:color w:val="auto"/>
                <w:lang w:val="zh-CN" w:eastAsia="zh-CN"/>
              </w:rPr>
            </w:pPr>
            <w:r>
              <w:rPr>
                <w:rFonts w:hint="default" w:ascii="Times New Roman" w:hAnsi="Times New Roman" w:eastAsia="仿宋_GB2312" w:cs="Times New Roman"/>
                <w:color w:val="auto"/>
                <w:sz w:val="30"/>
                <w:szCs w:val="30"/>
                <w:highlight w:val="none"/>
              </w:rPr>
              <w:t>3.</w:t>
            </w:r>
            <w:r>
              <w:rPr>
                <w:rFonts w:hint="eastAsia" w:ascii="Times New Roman" w:hAnsi="Times New Roman" w:cs="Times New Roman"/>
                <w:color w:val="auto"/>
                <w:sz w:val="30"/>
                <w:szCs w:val="30"/>
                <w:highlight w:val="none"/>
                <w:lang w:eastAsia="zh-CN"/>
              </w:rPr>
              <w:t>促进困难人员积极就业</w:t>
            </w:r>
            <w:r>
              <w:rPr>
                <w:rFonts w:hint="default" w:ascii="Times New Roman" w:hAnsi="Times New Roman" w:eastAsia="仿宋_GB2312" w:cs="Times New Roman"/>
                <w:color w:val="auto"/>
                <w:sz w:val="30"/>
                <w:szCs w:val="30"/>
                <w:highlight w:val="none"/>
              </w:rPr>
              <w:t>。</w:t>
            </w:r>
            <w:r>
              <w:rPr>
                <w:rFonts w:hint="eastAsia" w:ascii="Times New Roman" w:hAnsi="Times New Roman" w:cs="Times New Roman"/>
                <w:color w:val="auto"/>
                <w:sz w:val="30"/>
                <w:szCs w:val="30"/>
                <w:highlight w:val="none"/>
                <w:lang w:eastAsia="zh-CN"/>
              </w:rPr>
              <w:t>提高困难家庭中未就业人员就业登记比例，加大就业政策宣传力度，结合就业奖励、救助渐退政策，更好的促进困难家庭中无业人员就业。</w:t>
            </w:r>
          </w:p>
        </w:tc>
      </w:tr>
    </w:tbl>
    <w:p>
      <w:pPr>
        <w:pStyle w:val="2"/>
        <w:spacing w:before="313" w:beforeLines="100" w:after="313" w:afterLines="100" w:line="600" w:lineRule="exact"/>
        <w:jc w:val="center"/>
        <w:rPr>
          <w:rFonts w:hint="eastAsia" w:ascii="方正小标宋简体" w:hAnsi="方正小标宋简体" w:eastAsia="方正小标宋简体" w:cs="方正小标宋简体"/>
          <w:b w:val="0"/>
          <w:bCs/>
          <w:color w:val="auto"/>
          <w:sz w:val="36"/>
          <w:szCs w:val="36"/>
          <w:highlight w:val="none"/>
          <w:lang w:eastAsia="zh-CN"/>
        </w:rPr>
      </w:pPr>
      <w:bookmarkStart w:id="109" w:name="_Toc15394"/>
      <w:bookmarkStart w:id="110" w:name="_Toc9658"/>
      <w:bookmarkStart w:id="111" w:name="_Toc14741"/>
      <w:bookmarkStart w:id="112" w:name="_Toc31256"/>
      <w:bookmarkStart w:id="113" w:name="_Toc3958"/>
      <w:r>
        <w:rPr>
          <w:rFonts w:hint="eastAsia" w:ascii="方正小标宋简体" w:hAnsi="方正小标宋简体" w:eastAsia="方正小标宋简体" w:cs="方正小标宋简体"/>
          <w:b w:val="0"/>
          <w:bCs/>
          <w:color w:val="auto"/>
          <w:sz w:val="36"/>
          <w:szCs w:val="36"/>
          <w:highlight w:val="none"/>
        </w:rPr>
        <w:t>第四章</w:t>
      </w:r>
      <w:bookmarkStart w:id="114" w:name="_bfqvqxxdw"/>
      <w:r>
        <w:rPr>
          <w:rFonts w:hint="eastAsia" w:ascii="方正小标宋简体" w:hAnsi="方正小标宋简体" w:eastAsia="方正小标宋简体" w:cs="方正小标宋简体"/>
          <w:b w:val="0"/>
          <w:bCs/>
          <w:color w:val="auto"/>
          <w:sz w:val="36"/>
          <w:szCs w:val="36"/>
          <w:highlight w:val="none"/>
        </w:rPr>
        <w:t xml:space="preserve">  </w:t>
      </w:r>
      <w:bookmarkEnd w:id="114"/>
      <w:r>
        <w:rPr>
          <w:rFonts w:hint="eastAsia" w:ascii="方正小标宋简体" w:hAnsi="方正小标宋简体" w:eastAsia="方正小标宋简体" w:cs="方正小标宋简体"/>
          <w:b w:val="0"/>
          <w:bCs/>
          <w:color w:val="auto"/>
          <w:sz w:val="36"/>
          <w:szCs w:val="36"/>
          <w:highlight w:val="none"/>
          <w:lang w:eastAsia="zh-CN"/>
        </w:rPr>
        <w:t>大力推动社会福利保障提质增效</w:t>
      </w:r>
      <w:bookmarkEnd w:id="109"/>
      <w:bookmarkEnd w:id="110"/>
      <w:bookmarkEnd w:id="111"/>
      <w:bookmarkEnd w:id="112"/>
      <w:bookmarkEnd w:id="113"/>
    </w:p>
    <w:p>
      <w:pPr>
        <w:pStyle w:val="3"/>
        <w:tabs>
          <w:tab w:val="left" w:pos="333"/>
        </w:tabs>
        <w:spacing w:before="156" w:beforeLines="50" w:after="156" w:afterLines="50" w:line="560" w:lineRule="exact"/>
        <w:ind w:firstLine="0" w:firstLineChars="0"/>
        <w:jc w:val="center"/>
        <w:rPr>
          <w:rFonts w:ascii="楷体" w:hAnsi="楷体" w:eastAsia="楷体" w:cs="Times New Roman"/>
          <w:color w:val="auto"/>
          <w:szCs w:val="32"/>
          <w:highlight w:val="none"/>
        </w:rPr>
      </w:pPr>
      <w:bookmarkStart w:id="115" w:name="_Toc6920"/>
      <w:bookmarkStart w:id="116" w:name="_Toc24581"/>
      <w:bookmarkStart w:id="117" w:name="_Toc16352"/>
      <w:bookmarkStart w:id="118" w:name="_Toc20863"/>
      <w:bookmarkStart w:id="119" w:name="_Toc12416"/>
      <w:r>
        <w:rPr>
          <w:rFonts w:hint="eastAsia" w:ascii="楷体" w:hAnsi="楷体" w:eastAsia="楷体" w:cs="Times New Roman"/>
          <w:color w:val="auto"/>
          <w:szCs w:val="32"/>
          <w:highlight w:val="none"/>
        </w:rPr>
        <w:t>第一节  完善残疾人福利保障体系</w:t>
      </w:r>
      <w:bookmarkEnd w:id="115"/>
      <w:bookmarkEnd w:id="116"/>
      <w:bookmarkEnd w:id="117"/>
      <w:bookmarkEnd w:id="118"/>
      <w:bookmarkEnd w:id="119"/>
    </w:p>
    <w:p>
      <w:pPr>
        <w:spacing w:line="560" w:lineRule="exact"/>
        <w:ind w:firstLine="643"/>
        <w:contextualSpacing/>
        <w:rPr>
          <w:rFonts w:hint="eastAsia" w:ascii="Times New Roman" w:hAnsi="Times New Roman" w:cs="仿宋_GB2312"/>
          <w:color w:val="auto"/>
          <w:szCs w:val="32"/>
          <w:highlight w:val="none"/>
          <w:lang w:eastAsia="zh-CN"/>
        </w:rPr>
      </w:pPr>
      <w:r>
        <w:rPr>
          <w:rFonts w:hint="eastAsia" w:ascii="Times New Roman" w:hAnsi="Times New Roman" w:cs="仿宋_GB2312"/>
          <w:b/>
          <w:bCs/>
          <w:color w:val="auto"/>
          <w:szCs w:val="32"/>
          <w:lang w:eastAsia="zh-CN"/>
        </w:rPr>
        <w:t>精准落实残疾人</w:t>
      </w:r>
      <w:r>
        <w:rPr>
          <w:rFonts w:hint="eastAsia" w:ascii="Times New Roman" w:hAnsi="Times New Roman" w:cs="仿宋_GB2312"/>
          <w:b/>
          <w:bCs/>
          <w:color w:val="auto"/>
          <w:szCs w:val="32"/>
        </w:rPr>
        <w:t>福利保障</w:t>
      </w:r>
      <w:r>
        <w:rPr>
          <w:rFonts w:hint="eastAsia" w:ascii="Times New Roman" w:hAnsi="Times New Roman" w:cs="仿宋_GB2312"/>
          <w:b/>
          <w:bCs/>
          <w:color w:val="auto"/>
          <w:szCs w:val="32"/>
          <w:lang w:eastAsia="zh-CN"/>
        </w:rPr>
        <w:t>制度</w:t>
      </w:r>
      <w:r>
        <w:rPr>
          <w:rFonts w:hint="eastAsia" w:ascii="Times New Roman" w:hAnsi="Times New Roman" w:cs="仿宋_GB2312"/>
          <w:b/>
          <w:bCs/>
          <w:color w:val="auto"/>
          <w:szCs w:val="32"/>
        </w:rPr>
        <w:t>。</w:t>
      </w:r>
      <w:r>
        <w:rPr>
          <w:rFonts w:hint="eastAsia" w:ascii="Times New Roman" w:hAnsi="Times New Roman" w:cs="仿宋_GB2312"/>
          <w:color w:val="auto"/>
          <w:szCs w:val="32"/>
          <w:highlight w:val="none"/>
          <w:lang w:eastAsia="zh-CN"/>
        </w:rPr>
        <w:t>加强困难残疾人生活补贴和重度残疾人护理补贴精准管理，推动与其他社会保障政策有机衔接。持续做好残疾人两项补贴“全程网办”“跨省通办”和主动服务。</w:t>
      </w:r>
    </w:p>
    <w:p>
      <w:pPr>
        <w:spacing w:line="560" w:lineRule="exact"/>
        <w:ind w:firstLine="643"/>
        <w:contextualSpacing/>
        <w:rPr>
          <w:rFonts w:hint="eastAsia" w:ascii="Times New Roman" w:hAnsi="Times New Roman" w:cs="仿宋_GB2312"/>
          <w:color w:val="auto"/>
          <w:szCs w:val="32"/>
          <w:highlight w:val="none"/>
          <w:lang w:val="en" w:eastAsia="zh-CN"/>
        </w:rPr>
      </w:pPr>
      <w:r>
        <w:rPr>
          <w:rFonts w:hint="eastAsia" w:ascii="仿宋_GB2312" w:hAnsi="仿宋_GB2312" w:cs="仿宋_GB2312"/>
          <w:b/>
          <w:bCs/>
          <w:color w:val="auto"/>
          <w:szCs w:val="32"/>
          <w:lang w:val="en"/>
        </w:rPr>
        <w:t>加强重度残疾人托养照护服务。</w:t>
      </w:r>
      <w:r>
        <w:rPr>
          <w:rFonts w:hint="eastAsia" w:ascii="Times New Roman" w:hAnsi="Times New Roman" w:cs="仿宋_GB2312"/>
          <w:color w:val="auto"/>
          <w:szCs w:val="32"/>
          <w:highlight w:val="none"/>
          <w:lang w:val="en" w:eastAsia="zh-CN"/>
        </w:rPr>
        <w:t>强化区属精神残疾人福利机构兜底保障能力与示范引领水平，推动其逐步转型为集长期托养、喘息服务、医疗康复、职业训练与社会融合于一体的综合性服务平台。鼓励有条件的养老（残疾人托养）机构设立“老年父母+残疾子女”家庭照护单元。加强残疾人托养机构监管。</w:t>
      </w:r>
    </w:p>
    <w:p>
      <w:pPr>
        <w:spacing w:line="560" w:lineRule="exact"/>
        <w:ind w:firstLine="643"/>
        <w:contextualSpacing/>
        <w:rPr>
          <w:rFonts w:hint="eastAsia" w:ascii="Times New Roman" w:hAnsi="Times New Roman" w:cs="仿宋_GB2312"/>
          <w:color w:val="auto"/>
          <w:szCs w:val="32"/>
          <w:highlight w:val="none"/>
          <w:lang w:val="en" w:eastAsia="zh-CN"/>
        </w:rPr>
      </w:pPr>
      <w:r>
        <w:rPr>
          <w:rFonts w:hint="eastAsia" w:ascii="仿宋_GB2312" w:hAnsi="仿宋_GB2312" w:cs="仿宋_GB2312"/>
          <w:b/>
          <w:bCs/>
          <w:color w:val="auto"/>
          <w:szCs w:val="32"/>
          <w:lang w:val="en" w:eastAsia="zh-CN"/>
        </w:rPr>
        <w:t>开展</w:t>
      </w:r>
      <w:r>
        <w:rPr>
          <w:rFonts w:hint="eastAsia" w:ascii="仿宋_GB2312" w:hAnsi="仿宋_GB2312" w:cs="仿宋_GB2312"/>
          <w:b/>
          <w:bCs/>
          <w:color w:val="auto"/>
          <w:szCs w:val="32"/>
          <w:lang w:val="en"/>
        </w:rPr>
        <w:t>“精康融合”提升行动。</w:t>
      </w:r>
      <w:r>
        <w:rPr>
          <w:rFonts w:hint="eastAsia" w:ascii="Times New Roman" w:hAnsi="Times New Roman" w:cs="仿宋_GB2312"/>
          <w:color w:val="auto"/>
          <w:szCs w:val="32"/>
          <w:highlight w:val="none"/>
          <w:lang w:val="en" w:eastAsia="zh-CN"/>
        </w:rPr>
        <w:t>统筹利用区、街、社区三级养老、残疾人服务设施，不断健全精神障碍患者社区康复服务网络。巩固深化“精康融合”行动成果，完善精神障碍治疗与康复双向转介机制，提升精神障碍患者康复服务能力。</w:t>
      </w:r>
    </w:p>
    <w:p>
      <w:pPr>
        <w:spacing w:line="600" w:lineRule="exact"/>
        <w:ind w:firstLine="640"/>
        <w:contextualSpacing w:val="0"/>
        <w:rPr>
          <w:rFonts w:hint="eastAsia" w:ascii="Times New Roman" w:hAnsi="Times New Roman" w:cs="仿宋_GB2312"/>
          <w:color w:val="auto"/>
          <w:szCs w:val="32"/>
          <w:highlight w:val="none"/>
          <w:lang w:val="en" w:eastAsia="zh-CN"/>
        </w:rPr>
      </w:pPr>
      <w:r>
        <w:rPr>
          <w:rFonts w:hint="eastAsia" w:ascii="仿宋_GB2312" w:hAnsi="仿宋_GB2312" w:cs="仿宋_GB2312"/>
          <w:b/>
          <w:bCs/>
          <w:color w:val="auto"/>
          <w:szCs w:val="32"/>
          <w:lang w:val="en"/>
        </w:rPr>
        <w:t>增强康复辅助器具扶老助残服务能力。</w:t>
      </w:r>
      <w:r>
        <w:rPr>
          <w:rFonts w:hint="eastAsia" w:ascii="Times New Roman" w:hAnsi="Times New Roman" w:cs="仿宋_GB2312"/>
          <w:color w:val="auto"/>
          <w:szCs w:val="32"/>
          <w:highlight w:val="none"/>
          <w:lang w:val="en" w:eastAsia="zh-CN"/>
        </w:rPr>
        <w:t>拓展“康复辅具+”应用场景，依托区域养老服务中心、养老服务机构、残疾人服务机构丰富辅助器具服务站点，推广适用性强、普及度高、覆盖面广的智能康复辅具。</w:t>
      </w:r>
    </w:p>
    <w:p>
      <w:pPr>
        <w:spacing w:line="600" w:lineRule="exact"/>
        <w:ind w:firstLine="640"/>
        <w:contextualSpacing w:val="0"/>
        <w:rPr>
          <w:rFonts w:hint="eastAsia" w:ascii="Times New Roman" w:hAnsi="Times New Roman" w:cs="仿宋_GB2312"/>
          <w:color w:val="auto"/>
          <w:szCs w:val="32"/>
          <w:highlight w:val="none"/>
          <w:lang w:val="en" w:eastAsia="zh-CN"/>
        </w:rPr>
      </w:pPr>
    </w:p>
    <w:p>
      <w:pPr>
        <w:spacing w:line="600" w:lineRule="exact"/>
        <w:ind w:firstLine="640"/>
        <w:contextualSpacing w:val="0"/>
        <w:rPr>
          <w:rFonts w:hint="eastAsia" w:ascii="Times New Roman" w:hAnsi="Times New Roman" w:cs="仿宋_GB2312"/>
          <w:color w:val="auto"/>
          <w:szCs w:val="32"/>
          <w:highlight w:val="none"/>
          <w:lang w:val="en" w:eastAsia="zh-CN"/>
        </w:rPr>
      </w:pPr>
    </w:p>
    <w:p>
      <w:pPr>
        <w:spacing w:line="600" w:lineRule="exact"/>
        <w:ind w:firstLine="640"/>
        <w:contextualSpacing w:val="0"/>
        <w:rPr>
          <w:rFonts w:hint="eastAsia" w:ascii="Times New Roman" w:hAnsi="Times New Roman" w:cs="仿宋_GB2312"/>
          <w:color w:val="auto"/>
          <w:szCs w:val="32"/>
          <w:highlight w:val="none"/>
          <w:lang w:val="en" w:eastAsia="zh-CN"/>
        </w:rPr>
      </w:pPr>
    </w:p>
    <w:p>
      <w:pPr>
        <w:pStyle w:val="3"/>
        <w:numPr>
          <w:ilvl w:val="0"/>
          <w:numId w:val="0"/>
        </w:numPr>
        <w:tabs>
          <w:tab w:val="left" w:pos="333"/>
        </w:tabs>
        <w:spacing w:before="156" w:beforeLines="50" w:after="156" w:afterLines="50" w:line="600" w:lineRule="exact"/>
        <w:contextualSpacing/>
        <w:jc w:val="center"/>
        <w:rPr>
          <w:rFonts w:hint="eastAsia" w:ascii="仿宋_GB2312" w:hAnsi="仿宋_GB2312" w:eastAsia="仿宋_GB2312" w:cs="仿宋_GB2312"/>
          <w:color w:val="auto"/>
          <w:sz w:val="32"/>
          <w:szCs w:val="32"/>
          <w:highlight w:val="none"/>
          <w:u w:val="none"/>
          <w:lang w:val="en"/>
        </w:rPr>
      </w:pPr>
      <w:bookmarkStart w:id="120" w:name="_Toc30077"/>
      <w:bookmarkStart w:id="121" w:name="_Toc22801"/>
      <w:bookmarkStart w:id="122" w:name="_Toc17427"/>
      <w:bookmarkStart w:id="123" w:name="_Toc10242"/>
      <w:bookmarkStart w:id="124" w:name="_Toc28863"/>
      <w:bookmarkStart w:id="125" w:name="_Toc12679"/>
      <w:bookmarkStart w:id="126" w:name="_Toc217291230"/>
      <w:bookmarkStart w:id="127" w:name="_Toc12623"/>
      <w:bookmarkStart w:id="128" w:name="_Toc28334"/>
      <w:bookmarkStart w:id="129" w:name="_Toc7732"/>
      <w:r>
        <w:rPr>
          <w:rFonts w:hint="eastAsia" w:ascii="楷体" w:hAnsi="楷体" w:eastAsia="楷体" w:cs="Times New Roman"/>
          <w:color w:val="auto"/>
          <w:szCs w:val="32"/>
          <w:highlight w:val="none"/>
          <w:lang w:eastAsia="zh-CN"/>
        </w:rPr>
        <w:t>第二节</w:t>
      </w:r>
      <w:r>
        <w:rPr>
          <w:rFonts w:hint="eastAsia" w:ascii="楷体" w:hAnsi="楷体" w:eastAsia="楷体" w:cs="Times New Roman"/>
          <w:color w:val="auto"/>
          <w:szCs w:val="32"/>
          <w:highlight w:val="none"/>
          <w:lang w:val="en-US" w:eastAsia="zh-CN"/>
        </w:rPr>
        <w:t xml:space="preserve"> </w:t>
      </w:r>
      <w:r>
        <w:rPr>
          <w:rFonts w:hint="eastAsia" w:ascii="楷体" w:hAnsi="楷体" w:eastAsia="楷体" w:cs="Times New Roman"/>
          <w:color w:val="auto"/>
          <w:szCs w:val="32"/>
          <w:highlight w:val="none"/>
        </w:rPr>
        <w:t xml:space="preserve"> 加强困境儿童福利保障</w:t>
      </w:r>
      <w:bookmarkEnd w:id="120"/>
      <w:bookmarkEnd w:id="121"/>
      <w:bookmarkEnd w:id="122"/>
      <w:bookmarkEnd w:id="123"/>
      <w:bookmarkEnd w:id="124"/>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spacing w:beforeLines="0" w:afterLines="0" w:afterAutospacing="0" w:line="540" w:lineRule="exact"/>
        <w:ind w:left="0" w:leftChars="0" w:firstLine="640" w:firstLineChars="0"/>
        <w:contextualSpacing/>
        <w:jc w:val="both"/>
        <w:textAlignment w:val="auto"/>
        <w:outlineLvl w:val="9"/>
        <w:rPr>
          <w:rStyle w:val="19"/>
          <w:rFonts w:hint="eastAsia" w:ascii="Times New Roman" w:hAnsi="Times New Roman" w:eastAsia="仿宋_GB2312" w:cs="仿宋_GB2312"/>
          <w:b w:val="0"/>
          <w:bCs w:val="0"/>
          <w:color w:val="auto"/>
          <w:szCs w:val="32"/>
          <w:highlight w:val="none"/>
          <w:u w:val="none"/>
          <w:lang w:val="en" w:eastAsia="zh-CN"/>
        </w:rPr>
      </w:pPr>
      <w:bookmarkStart w:id="130" w:name="_Toc493117748"/>
      <w:r>
        <w:rPr>
          <w:rFonts w:hint="eastAsia" w:ascii="仿宋_GB2312" w:hAnsi="仿宋_GB2312" w:cs="仿宋_GB2312"/>
          <w:b/>
          <w:bCs/>
          <w:color w:val="auto"/>
          <w:szCs w:val="32"/>
          <w:lang w:val="en" w:eastAsia="zh-CN"/>
        </w:rPr>
        <w:t>健全分类保障制度。</w:t>
      </w:r>
      <w:bookmarkEnd w:id="130"/>
      <w:r>
        <w:rPr>
          <w:rFonts w:hint="eastAsia" w:ascii="Times New Roman" w:hAnsi="Times New Roman" w:cs="仿宋_GB2312"/>
          <w:color w:val="auto"/>
          <w:szCs w:val="32"/>
          <w:highlight w:val="none"/>
          <w:lang w:val="en" w:eastAsia="zh-CN"/>
        </w:rPr>
        <w:t>完善困境儿童基本生活保障、医疗康复服务、心理健康关爱服务、人身安全保护、法定监护责任等体系，健全流动儿童监测摸排和关爱保护机制，构建“物质+服务”多元保障格局。推动成年孤儿、孤独症儿童等群体的服务保障。加强儿童督导员和儿童主任队伍建设，夯实工作基础。</w:t>
      </w:r>
      <w:bookmarkStart w:id="131" w:name="_Toc906588246"/>
      <w:bookmarkStart w:id="132" w:name="_Toc1273008710"/>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spacing w:beforeLines="0" w:afterLines="0" w:afterAutospacing="0" w:line="540" w:lineRule="exact"/>
        <w:ind w:left="0" w:leftChars="0" w:firstLine="640" w:firstLineChars="0"/>
        <w:contextualSpacing/>
        <w:jc w:val="both"/>
        <w:textAlignment w:val="auto"/>
        <w:outlineLvl w:val="9"/>
        <w:rPr>
          <w:rFonts w:hint="eastAsia" w:ascii="Times New Roman" w:hAnsi="Times New Roman" w:cs="仿宋_GB2312"/>
          <w:color w:val="auto"/>
          <w:szCs w:val="32"/>
          <w:highlight w:val="none"/>
          <w:lang w:val="en" w:eastAsia="zh-CN"/>
        </w:rPr>
      </w:pPr>
      <w:bookmarkStart w:id="133" w:name="_Toc1243741916"/>
      <w:r>
        <w:rPr>
          <w:rFonts w:hint="eastAsia" w:ascii="仿宋_GB2312" w:hAnsi="仿宋_GB2312" w:cs="仿宋_GB2312"/>
          <w:b/>
          <w:bCs/>
          <w:color w:val="auto"/>
          <w:szCs w:val="32"/>
          <w:lang w:val="en" w:eastAsia="zh-CN"/>
        </w:rPr>
        <w:t>优化困境儿童关爱服务。</w:t>
      </w:r>
      <w:r>
        <w:rPr>
          <w:rFonts w:hint="eastAsia" w:ascii="Times New Roman" w:hAnsi="Times New Roman" w:cs="仿宋_GB2312"/>
          <w:color w:val="auto"/>
          <w:szCs w:val="32"/>
          <w:highlight w:val="none"/>
          <w:lang w:val="en" w:eastAsia="zh-CN"/>
        </w:rPr>
        <w:t>探索引入市级优质机构资源、建立协同机制，实现困境儿童机构代养和临时庇护服务升级。强化困境儿童心理健康风险识别评估，实施“西梦童行”服务项目。引导社会力量参与“一街一品”困境儿童特色服务。</w:t>
      </w:r>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spacing w:beforeLines="0" w:afterLines="0" w:afterAutospacing="0" w:line="560" w:lineRule="exact"/>
        <w:ind w:left="0" w:leftChars="0" w:firstLine="640" w:firstLineChars="0"/>
        <w:contextualSpacing/>
        <w:jc w:val="both"/>
        <w:textAlignment w:val="auto"/>
        <w:outlineLvl w:val="9"/>
        <w:rPr>
          <w:rFonts w:hint="eastAsia" w:ascii="Times New Roman" w:hAnsi="Times New Roman" w:cs="仿宋_GB2312"/>
          <w:color w:val="auto"/>
          <w:szCs w:val="32"/>
          <w:highlight w:val="none"/>
          <w:lang w:val="en" w:eastAsia="zh-CN"/>
        </w:rPr>
      </w:pPr>
      <w:r>
        <w:rPr>
          <w:rFonts w:hint="eastAsia" w:ascii="仿宋_GB2312" w:hAnsi="仿宋_GB2312" w:cs="仿宋_GB2312"/>
          <w:b/>
          <w:bCs/>
          <w:color w:val="auto"/>
          <w:szCs w:val="32"/>
          <w:lang w:val="en" w:eastAsia="zh-CN"/>
        </w:rPr>
        <w:t>完善儿童福利保障监管</w:t>
      </w:r>
      <w:bookmarkEnd w:id="131"/>
      <w:bookmarkEnd w:id="132"/>
      <w:r>
        <w:rPr>
          <w:rFonts w:hint="eastAsia" w:ascii="仿宋_GB2312" w:hAnsi="仿宋_GB2312" w:cs="仿宋_GB2312"/>
          <w:b/>
          <w:bCs/>
          <w:color w:val="auto"/>
          <w:szCs w:val="32"/>
          <w:lang w:val="en" w:eastAsia="zh-CN"/>
        </w:rPr>
        <w:t>机制。</w:t>
      </w:r>
      <w:bookmarkEnd w:id="133"/>
      <w:r>
        <w:rPr>
          <w:rFonts w:hint="eastAsia" w:ascii="Times New Roman" w:hAnsi="Times New Roman" w:cs="仿宋_GB2312"/>
          <w:color w:val="auto"/>
          <w:szCs w:val="32"/>
          <w:highlight w:val="none"/>
          <w:lang w:val="en" w:eastAsia="zh-CN"/>
        </w:rPr>
        <w:t>落实困境儿童动态监测机制，依托信息系统强化统计分析，做好巡视探访、生活费动态管理等工作。完善未成年人救助保护的全链条管理机制，实现闭环管理。依法规范收养登记管理，保障被收养儿童合法权益。</w:t>
      </w:r>
    </w:p>
    <w:bookmarkEnd w:id="125"/>
    <w:bookmarkEnd w:id="126"/>
    <w:bookmarkEnd w:id="127"/>
    <w:bookmarkEnd w:id="128"/>
    <w:bookmarkEnd w:id="129"/>
    <w:p>
      <w:pPr>
        <w:pStyle w:val="2"/>
        <w:jc w:val="center"/>
        <w:rPr>
          <w:rFonts w:hint="eastAsia" w:ascii="方正小标宋简体" w:hAnsi="方正小标宋简体" w:eastAsia="方正小标宋简体" w:cs="方正小标宋简体"/>
          <w:b w:val="0"/>
          <w:bCs/>
          <w:color w:val="auto"/>
          <w:sz w:val="36"/>
          <w:szCs w:val="36"/>
          <w:highlight w:val="none"/>
        </w:rPr>
      </w:pPr>
      <w:bookmarkStart w:id="134" w:name="_Toc27093"/>
      <w:bookmarkStart w:id="135" w:name="_Toc6554"/>
      <w:bookmarkStart w:id="136" w:name="_Toc4387"/>
      <w:bookmarkStart w:id="137" w:name="_Toc15931"/>
      <w:bookmarkStart w:id="138" w:name="_Toc10986"/>
      <w:bookmarkStart w:id="139" w:name="_Toc3149"/>
      <w:bookmarkStart w:id="140" w:name="_Toc217291231"/>
    </w:p>
    <w:p>
      <w:pPr>
        <w:pStyle w:val="2"/>
        <w:jc w:val="center"/>
        <w:rPr>
          <w:rFonts w:hint="eastAsia" w:ascii="方正小标宋简体" w:hAnsi="方正小标宋简体" w:eastAsia="方正小标宋简体" w:cs="方正小标宋简体"/>
          <w:b w:val="0"/>
          <w:bCs/>
          <w:color w:val="auto"/>
          <w:sz w:val="36"/>
          <w:szCs w:val="36"/>
          <w:highlight w:val="none"/>
        </w:rPr>
      </w:pPr>
    </w:p>
    <w:p>
      <w:pPr>
        <w:pStyle w:val="2"/>
        <w:jc w:val="center"/>
        <w:rPr>
          <w:rFonts w:hint="eastAsia" w:ascii="方正小标宋简体" w:hAnsi="方正小标宋简体" w:eastAsia="方正小标宋简体" w:cs="方正小标宋简体"/>
          <w:b w:val="0"/>
          <w:bCs/>
          <w:color w:val="auto"/>
          <w:sz w:val="36"/>
          <w:szCs w:val="36"/>
          <w:highlight w:val="none"/>
        </w:rPr>
      </w:pPr>
    </w:p>
    <w:p>
      <w:pPr>
        <w:pStyle w:val="2"/>
        <w:jc w:val="center"/>
        <w:rPr>
          <w:rFonts w:hint="eastAsia" w:ascii="方正小标宋简体" w:hAnsi="方正小标宋简体" w:eastAsia="方正小标宋简体" w:cs="方正小标宋简体"/>
          <w:b w:val="0"/>
          <w:bCs/>
          <w:color w:val="auto"/>
          <w:sz w:val="36"/>
          <w:szCs w:val="36"/>
          <w:highlight w:val="none"/>
        </w:rPr>
      </w:pPr>
    </w:p>
    <w:p>
      <w:pPr>
        <w:rPr>
          <w:rFonts w:hint="eastAsia"/>
          <w:color w:val="auto"/>
        </w:rPr>
      </w:pPr>
    </w:p>
    <w:p>
      <w:pPr>
        <w:rPr>
          <w:rFonts w:hint="eastAsia"/>
          <w:color w:val="auto"/>
        </w:rPr>
      </w:pPr>
    </w:p>
    <w:p>
      <w:pPr>
        <w:rPr>
          <w:rFonts w:hint="eastAsia"/>
          <w:color w:val="auto"/>
        </w:rPr>
      </w:pPr>
    </w:p>
    <w:p>
      <w:pPr>
        <w:rPr>
          <w:rFonts w:hint="eastAsia"/>
          <w:color w:val="auto"/>
        </w:rPr>
      </w:pPr>
    </w:p>
    <w:p>
      <w:pPr>
        <w:pStyle w:val="2"/>
        <w:jc w:val="center"/>
        <w:rPr>
          <w:rFonts w:hint="eastAsia" w:ascii="方正小标宋简体" w:hAnsi="方正小标宋简体" w:eastAsia="方正小标宋简体" w:cs="方正小标宋简体"/>
          <w:b w:val="0"/>
          <w:bCs/>
          <w:color w:val="auto"/>
          <w:sz w:val="36"/>
          <w:szCs w:val="36"/>
          <w:highlight w:val="none"/>
        </w:rPr>
      </w:pPr>
      <w:bookmarkStart w:id="141" w:name="_Toc28008"/>
      <w:bookmarkStart w:id="142" w:name="_Toc969"/>
      <w:bookmarkStart w:id="143" w:name="_Toc12449"/>
      <w:r>
        <w:rPr>
          <w:rFonts w:hint="eastAsia" w:ascii="方正小标宋简体" w:hAnsi="方正小标宋简体" w:eastAsia="方正小标宋简体" w:cs="方正小标宋简体"/>
          <w:b w:val="0"/>
          <w:bCs/>
          <w:color w:val="auto"/>
          <w:sz w:val="36"/>
          <w:szCs w:val="36"/>
          <w:highlight w:val="none"/>
          <w:lang w:val="en-US" w:eastAsia="zh-CN"/>
        </w:rPr>
        <w:t xml:space="preserve">    </w:t>
      </w:r>
      <w:r>
        <w:rPr>
          <w:rFonts w:hint="eastAsia" w:ascii="方正小标宋简体" w:hAnsi="方正小标宋简体" w:eastAsia="方正小标宋简体" w:cs="方正小标宋简体"/>
          <w:b w:val="0"/>
          <w:bCs/>
          <w:color w:val="auto"/>
          <w:sz w:val="36"/>
          <w:szCs w:val="36"/>
          <w:highlight w:val="none"/>
        </w:rPr>
        <w:t>第五章</w:t>
      </w:r>
      <w:bookmarkStart w:id="144" w:name="_sj8bzf8et"/>
      <w:r>
        <w:rPr>
          <w:rFonts w:hint="eastAsia" w:ascii="方正小标宋简体" w:hAnsi="方正小标宋简体" w:eastAsia="方正小标宋简体" w:cs="方正小标宋简体"/>
          <w:b w:val="0"/>
          <w:bCs/>
          <w:color w:val="auto"/>
          <w:sz w:val="36"/>
          <w:szCs w:val="36"/>
          <w:highlight w:val="none"/>
        </w:rPr>
        <w:t xml:space="preserve">  </w:t>
      </w:r>
      <w:bookmarkEnd w:id="144"/>
      <w:r>
        <w:rPr>
          <w:rFonts w:hint="eastAsia" w:ascii="方正小标宋简体" w:hAnsi="方正小标宋简体" w:eastAsia="方正小标宋简体" w:cs="方正小标宋简体"/>
          <w:b w:val="0"/>
          <w:bCs/>
          <w:color w:val="auto"/>
          <w:sz w:val="36"/>
          <w:szCs w:val="36"/>
          <w:highlight w:val="none"/>
        </w:rPr>
        <w:t>加强社会事务工作改革创新</w:t>
      </w:r>
      <w:bookmarkEnd w:id="134"/>
      <w:bookmarkEnd w:id="135"/>
      <w:bookmarkEnd w:id="136"/>
      <w:bookmarkEnd w:id="137"/>
      <w:bookmarkEnd w:id="138"/>
      <w:bookmarkEnd w:id="139"/>
      <w:bookmarkEnd w:id="140"/>
      <w:bookmarkEnd w:id="141"/>
      <w:bookmarkEnd w:id="142"/>
      <w:bookmarkEnd w:id="143"/>
    </w:p>
    <w:p>
      <w:pPr>
        <w:pStyle w:val="3"/>
        <w:tabs>
          <w:tab w:val="left" w:pos="333"/>
        </w:tabs>
        <w:spacing w:before="156" w:beforeLines="50" w:after="156" w:afterLines="50" w:line="600" w:lineRule="exact"/>
        <w:ind w:firstLine="0" w:firstLineChars="0"/>
        <w:contextualSpacing/>
        <w:jc w:val="center"/>
        <w:rPr>
          <w:rFonts w:ascii="楷体" w:hAnsi="楷体" w:eastAsia="楷体" w:cs="Times New Roman"/>
          <w:color w:val="auto"/>
          <w:szCs w:val="32"/>
          <w:highlight w:val="none"/>
        </w:rPr>
      </w:pPr>
      <w:bookmarkStart w:id="145" w:name="_Toc25359"/>
      <w:bookmarkStart w:id="146" w:name="_Toc16247"/>
      <w:bookmarkStart w:id="147" w:name="_Toc17067"/>
      <w:bookmarkStart w:id="148" w:name="_Toc7115"/>
      <w:bookmarkStart w:id="149" w:name="_Toc217291232"/>
      <w:bookmarkStart w:id="150" w:name="_Toc8993"/>
      <w:bookmarkStart w:id="151" w:name="_Toc5656"/>
      <w:bookmarkStart w:id="152" w:name="_Toc14979"/>
      <w:bookmarkStart w:id="153" w:name="_Toc5704"/>
      <w:bookmarkStart w:id="154" w:name="_Toc28427"/>
      <w:r>
        <w:rPr>
          <w:rFonts w:hint="eastAsia" w:ascii="楷体" w:hAnsi="楷体" w:eastAsia="楷体" w:cs="Times New Roman"/>
          <w:color w:val="auto"/>
          <w:szCs w:val="32"/>
          <w:highlight w:val="none"/>
        </w:rPr>
        <w:t>第一节</w:t>
      </w:r>
      <w:bookmarkStart w:id="155" w:name="_54y9zw2y0"/>
      <w:r>
        <w:rPr>
          <w:rFonts w:hint="eastAsia" w:ascii="楷体" w:hAnsi="楷体" w:eastAsia="楷体" w:cs="Times New Roman"/>
          <w:color w:val="auto"/>
          <w:szCs w:val="32"/>
          <w:highlight w:val="none"/>
        </w:rPr>
        <w:t xml:space="preserve">  </w:t>
      </w:r>
      <w:bookmarkEnd w:id="155"/>
      <w:r>
        <w:rPr>
          <w:rFonts w:hint="eastAsia" w:ascii="楷体" w:hAnsi="楷体" w:eastAsia="楷体" w:cs="Times New Roman"/>
          <w:color w:val="auto"/>
          <w:szCs w:val="32"/>
          <w:highlight w:val="none"/>
        </w:rPr>
        <w:t>优化婚姻登记服务管理</w:t>
      </w:r>
      <w:bookmarkEnd w:id="145"/>
      <w:bookmarkEnd w:id="146"/>
      <w:bookmarkEnd w:id="147"/>
      <w:bookmarkEnd w:id="148"/>
      <w:bookmarkEnd w:id="149"/>
      <w:bookmarkEnd w:id="150"/>
      <w:bookmarkEnd w:id="151"/>
      <w:bookmarkEnd w:id="152"/>
      <w:bookmarkEnd w:id="153"/>
      <w:bookmarkEnd w:id="154"/>
    </w:p>
    <w:p>
      <w:pPr>
        <w:spacing w:line="600" w:lineRule="exact"/>
        <w:ind w:firstLine="641" w:firstLineChars="0"/>
        <w:contextualSpacing/>
        <w:rPr>
          <w:rFonts w:hint="default" w:ascii="Times New Roman" w:hAnsi="Times New Roman" w:cs="Times New Roman"/>
          <w:color w:val="auto"/>
          <w:szCs w:val="32"/>
        </w:rPr>
      </w:pPr>
      <w:bookmarkStart w:id="156" w:name="_Toc217291233"/>
      <w:r>
        <w:rPr>
          <w:rFonts w:hint="eastAsia" w:cs="仿宋_GB2312"/>
          <w:b/>
          <w:bCs/>
          <w:color w:val="auto"/>
          <w:szCs w:val="32"/>
        </w:rPr>
        <w:t>着力提升服务管理效能。</w:t>
      </w:r>
      <w:r>
        <w:rPr>
          <w:rFonts w:hint="default" w:ascii="Times New Roman" w:hAnsi="Times New Roman" w:cs="Times New Roman"/>
          <w:color w:val="auto"/>
          <w:szCs w:val="32"/>
        </w:rPr>
        <w:t>严格落实《北京市婚姻登记工作规范》，优化登记流程，加强婚姻登记服务规范化建设。持续推进婚姻档案电子化管理，为落实小客车摇号婚姻关系审核等业务线上预约预审奠定基础。升级改造婚姻登记场所硬件设施，着力打造个性化、人性化服务环境。持续落实5A级服务标准，提供流动颁证服务。推进婚姻家庭辅导服务体系建设，合理配置辅导专业力量，做好婚前辅导、婚姻关系调适、离婚辅导等服务。</w:t>
      </w:r>
    </w:p>
    <w:p>
      <w:pPr>
        <w:keepNext w:val="0"/>
        <w:keepLines w:val="0"/>
        <w:pageBreakBefore w:val="0"/>
        <w:widowControl/>
        <w:kinsoku/>
        <w:wordWrap/>
        <w:overflowPunct/>
        <w:topLinePunct w:val="0"/>
        <w:autoSpaceDE/>
        <w:autoSpaceDN/>
        <w:bidi w:val="0"/>
        <w:adjustRightInd/>
        <w:snapToGrid/>
        <w:spacing w:line="600" w:lineRule="exact"/>
        <w:ind w:firstLine="641" w:firstLineChars="0"/>
        <w:contextualSpacing/>
        <w:textAlignment w:val="auto"/>
        <w:rPr>
          <w:rFonts w:hint="eastAsia" w:ascii="仿宋_GB2312" w:hAnsi="仿宋_GB2312" w:cs="仿宋_GB2312"/>
          <w:color w:val="auto"/>
          <w:sz w:val="32"/>
          <w:szCs w:val="32"/>
          <w:lang w:eastAsia="zh-CN"/>
        </w:rPr>
      </w:pPr>
      <w:r>
        <w:rPr>
          <w:rFonts w:hint="eastAsia" w:cs="仿宋_GB2312"/>
          <w:b/>
          <w:bCs/>
          <w:color w:val="auto"/>
          <w:szCs w:val="32"/>
          <w:lang w:val="en-US" w:eastAsia="zh-CN"/>
        </w:rPr>
        <w:t>助力</w:t>
      </w:r>
      <w:r>
        <w:rPr>
          <w:rFonts w:hint="eastAsia" w:cs="仿宋_GB2312"/>
          <w:b/>
          <w:bCs/>
          <w:color w:val="auto"/>
          <w:szCs w:val="32"/>
        </w:rPr>
        <w:t>“甜蜜</w:t>
      </w:r>
      <w:r>
        <w:rPr>
          <w:rFonts w:hint="eastAsia" w:cs="仿宋_GB2312"/>
          <w:b/>
          <w:bCs/>
          <w:color w:val="auto"/>
          <w:szCs w:val="32"/>
          <w:lang w:val="en-US" w:eastAsia="zh-CN"/>
        </w:rPr>
        <w:t>西城</w:t>
      </w:r>
      <w:r>
        <w:rPr>
          <w:rFonts w:hint="eastAsia" w:cs="仿宋_GB2312"/>
          <w:b/>
          <w:bCs/>
          <w:color w:val="auto"/>
          <w:szCs w:val="32"/>
        </w:rPr>
        <w:t>”发展</w:t>
      </w:r>
      <w:r>
        <w:rPr>
          <w:rFonts w:hint="eastAsia" w:cs="仿宋_GB2312"/>
          <w:b/>
          <w:bCs/>
          <w:color w:val="auto"/>
          <w:szCs w:val="32"/>
          <w:lang w:eastAsia="zh-CN"/>
        </w:rPr>
        <w:t>。</w:t>
      </w:r>
      <w:r>
        <w:rPr>
          <w:rFonts w:hint="eastAsia" w:cs="仿宋_GB2312"/>
          <w:b w:val="0"/>
          <w:bCs w:val="0"/>
          <w:color w:val="auto"/>
          <w:szCs w:val="32"/>
          <w:lang w:eastAsia="zh-CN"/>
        </w:rPr>
        <w:t>持续深化婚俗改革，积极申报婚俗改革实验区，擦亮“甜蜜西城”品牌。</w:t>
      </w:r>
      <w:r>
        <w:rPr>
          <w:rFonts w:hint="default" w:ascii="Times New Roman" w:hAnsi="Times New Roman" w:cs="Times New Roman"/>
          <w:color w:val="auto"/>
          <w:szCs w:val="32"/>
        </w:rPr>
        <w:t>以婚姻登记服务为纽带，</w:t>
      </w:r>
      <w:r>
        <w:rPr>
          <w:rFonts w:hint="eastAsia" w:ascii="Times New Roman" w:hAnsi="Times New Roman" w:cs="Times New Roman"/>
          <w:color w:val="auto"/>
          <w:szCs w:val="32"/>
          <w:lang w:eastAsia="zh-CN"/>
        </w:rPr>
        <w:t>联动</w:t>
      </w:r>
      <w:r>
        <w:rPr>
          <w:rFonts w:hint="eastAsia" w:cs="仿宋_GB2312"/>
          <w:b w:val="0"/>
          <w:bCs w:val="0"/>
          <w:color w:val="auto"/>
          <w:szCs w:val="32"/>
          <w:lang w:eastAsia="zh-CN"/>
        </w:rPr>
        <w:t>文旅、商务等部门，</w:t>
      </w:r>
      <w:r>
        <w:rPr>
          <w:rFonts w:hint="default" w:ascii="Times New Roman" w:hAnsi="Times New Roman" w:cs="Times New Roman"/>
          <w:color w:val="auto"/>
          <w:szCs w:val="32"/>
        </w:rPr>
        <w:t>依托</w:t>
      </w:r>
      <w:r>
        <w:rPr>
          <w:rFonts w:hint="eastAsia" w:ascii="Times New Roman" w:hAnsi="Times New Roman" w:cs="Times New Roman"/>
          <w:color w:val="auto"/>
          <w:szCs w:val="32"/>
          <w:lang w:eastAsia="zh-CN"/>
        </w:rPr>
        <w:t>西城</w:t>
      </w:r>
      <w:r>
        <w:rPr>
          <w:rFonts w:hint="default" w:ascii="Times New Roman" w:hAnsi="Times New Roman" w:cs="Times New Roman"/>
          <w:color w:val="auto"/>
          <w:szCs w:val="32"/>
        </w:rPr>
        <w:t>历史文化资源打造</w:t>
      </w:r>
      <w:r>
        <w:rPr>
          <w:rFonts w:hint="eastAsia" w:ascii="Times New Roman" w:hAnsi="Times New Roman" w:cs="Times New Roman"/>
          <w:color w:val="auto"/>
          <w:szCs w:val="32"/>
          <w:lang w:eastAsia="zh-CN"/>
        </w:rPr>
        <w:t>特色</w:t>
      </w:r>
      <w:r>
        <w:rPr>
          <w:rFonts w:hint="default" w:ascii="Times New Roman" w:hAnsi="Times New Roman" w:cs="Times New Roman"/>
          <w:color w:val="auto"/>
          <w:szCs w:val="32"/>
        </w:rPr>
        <w:t>婚姻登记场景</w:t>
      </w:r>
      <w:r>
        <w:rPr>
          <w:rFonts w:hint="eastAsia" w:ascii="Times New Roman" w:hAnsi="Times New Roman" w:cs="Times New Roman"/>
          <w:color w:val="auto"/>
          <w:szCs w:val="32"/>
          <w:lang w:eastAsia="zh-CN"/>
        </w:rPr>
        <w:t>，</w:t>
      </w:r>
      <w:r>
        <w:rPr>
          <w:rFonts w:hint="default" w:ascii="Times New Roman" w:hAnsi="Times New Roman" w:cs="Times New Roman"/>
          <w:b w:val="0"/>
          <w:bCs w:val="0"/>
          <w:color w:val="auto"/>
          <w:szCs w:val="32"/>
          <w:lang w:eastAsia="zh-CN"/>
        </w:rPr>
        <w:t>探索</w:t>
      </w:r>
      <w:r>
        <w:rPr>
          <w:rFonts w:hint="eastAsia" w:ascii="Times New Roman" w:hAnsi="Times New Roman" w:cs="Times New Roman"/>
          <w:b w:val="0"/>
          <w:bCs w:val="0"/>
          <w:color w:val="auto"/>
          <w:szCs w:val="32"/>
          <w:lang w:eastAsia="zh-CN"/>
        </w:rPr>
        <w:t>构建</w:t>
      </w:r>
      <w:r>
        <w:rPr>
          <w:rFonts w:hint="eastAsia" w:ascii="Times New Roman" w:hAnsi="Times New Roman" w:cs="Times New Roman"/>
          <w:color w:val="auto"/>
          <w:szCs w:val="32"/>
          <w:lang w:eastAsia="zh-CN"/>
        </w:rPr>
        <w:t>“</w:t>
      </w:r>
      <w:r>
        <w:rPr>
          <w:rFonts w:hint="default" w:ascii="Times New Roman" w:hAnsi="Times New Roman" w:cs="Times New Roman"/>
          <w:color w:val="auto"/>
          <w:szCs w:val="32"/>
        </w:rPr>
        <w:t>文旅</w:t>
      </w:r>
      <w:r>
        <w:rPr>
          <w:rFonts w:hint="eastAsia" w:ascii="Times New Roman" w:hAnsi="Times New Roman" w:cs="Times New Roman"/>
          <w:color w:val="auto"/>
          <w:szCs w:val="32"/>
          <w:lang w:eastAsia="zh-CN"/>
        </w:rPr>
        <w:t>服务</w:t>
      </w:r>
      <w:r>
        <w:rPr>
          <w:rFonts w:hint="default" w:ascii="Times New Roman" w:hAnsi="Times New Roman" w:cs="Times New Roman"/>
          <w:color w:val="auto"/>
          <w:szCs w:val="32"/>
        </w:rPr>
        <w:t>+婚姻登记</w:t>
      </w:r>
      <w:r>
        <w:rPr>
          <w:rFonts w:hint="eastAsia" w:ascii="Times New Roman" w:hAnsi="Times New Roman" w:cs="Times New Roman"/>
          <w:color w:val="auto"/>
          <w:szCs w:val="32"/>
          <w:lang w:eastAsia="zh-CN"/>
        </w:rPr>
        <w:t>”</w:t>
      </w:r>
      <w:r>
        <w:rPr>
          <w:rFonts w:hint="default" w:ascii="Times New Roman" w:hAnsi="Times New Roman" w:cs="Times New Roman"/>
          <w:color w:val="auto"/>
          <w:szCs w:val="32"/>
        </w:rPr>
        <w:t>特色</w:t>
      </w:r>
      <w:r>
        <w:rPr>
          <w:rFonts w:hint="default" w:ascii="Times New Roman" w:hAnsi="Times New Roman" w:cs="Times New Roman"/>
          <w:color w:val="auto"/>
          <w:szCs w:val="32"/>
          <w:lang w:eastAsia="zh-CN"/>
        </w:rPr>
        <w:t>发展</w:t>
      </w:r>
      <w:r>
        <w:rPr>
          <w:rFonts w:hint="default" w:ascii="Times New Roman" w:hAnsi="Times New Roman" w:cs="Times New Roman"/>
          <w:color w:val="auto"/>
          <w:szCs w:val="32"/>
        </w:rPr>
        <w:t>模式</w:t>
      </w:r>
      <w:r>
        <w:rPr>
          <w:rFonts w:hint="eastAsia" w:ascii="Times New Roman" w:hAnsi="Times New Roman" w:cs="Times New Roman"/>
          <w:color w:val="auto"/>
          <w:szCs w:val="32"/>
          <w:lang w:eastAsia="zh-CN"/>
        </w:rPr>
        <w:t>。</w:t>
      </w:r>
      <w:r>
        <w:rPr>
          <w:rFonts w:hint="default" w:ascii="Times New Roman" w:hAnsi="Times New Roman" w:cs="Times New Roman"/>
          <w:color w:val="auto"/>
          <w:szCs w:val="32"/>
        </w:rPr>
        <w:t>倡导文明婚俗新风，推动良好家风家教传承</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sz w:val="32"/>
          <w:szCs w:val="32"/>
          <w:lang w:eastAsia="zh-CN"/>
        </w:rPr>
        <w:t>将西城婚登打造成为优化政务服务、弘扬文明婚俗、培育优良家风的服务品牌。</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000" w:type="pct"/>
            <w:shd w:val="clear" w:color="auto" w:fill="B5C7EA" w:themeFill="accent1" w:themeFillTint="66"/>
            <w:vAlign w:val="top"/>
          </w:tcPr>
          <w:p>
            <w:pPr>
              <w:overflowPunct/>
              <w:spacing w:before="0" w:line="600" w:lineRule="exact"/>
              <w:ind w:firstLine="0" w:firstLineChars="0"/>
              <w:contextualSpacing/>
              <w:jc w:val="center"/>
              <w:rPr>
                <w:rFonts w:hint="default" w:ascii="Times New Roman" w:hAnsi="Times New Roman" w:eastAsia="楷体" w:cs="Times New Roman"/>
                <w:color w:val="auto"/>
                <w:szCs w:val="32"/>
              </w:rPr>
            </w:pPr>
            <w:r>
              <w:rPr>
                <w:rFonts w:hint="default" w:ascii="Times New Roman" w:hAnsi="Times New Roman" w:eastAsia="方正小标宋简体" w:cs="Times New Roman"/>
                <w:b w:val="0"/>
                <w:bCs w:val="0"/>
                <w:color w:val="auto"/>
                <w:szCs w:val="32"/>
                <w:highlight w:val="none"/>
              </w:rPr>
              <w:t>专栏</w:t>
            </w:r>
            <w:r>
              <w:rPr>
                <w:rFonts w:hint="eastAsia" w:ascii="Times New Roman" w:hAnsi="Times New Roman" w:eastAsia="方正小标宋简体" w:cs="Times New Roman"/>
                <w:b w:val="0"/>
                <w:bCs w:val="0"/>
                <w:color w:val="auto"/>
                <w:szCs w:val="32"/>
                <w:highlight w:val="none"/>
                <w:lang w:val="en-US" w:eastAsia="zh-CN"/>
              </w:rPr>
              <w:t>3</w:t>
            </w:r>
            <w:r>
              <w:rPr>
                <w:rFonts w:hint="default" w:ascii="Times New Roman" w:hAnsi="Times New Roman" w:eastAsia="方正小标宋简体" w:cs="Times New Roman"/>
                <w:b w:val="0"/>
                <w:bCs w:val="0"/>
                <w:color w:val="auto"/>
                <w:szCs w:val="32"/>
                <w:highlight w:val="none"/>
                <w:lang w:eastAsia="zh-CN"/>
              </w:rPr>
              <w:t xml:space="preserve"> </w:t>
            </w:r>
            <w:r>
              <w:rPr>
                <w:rFonts w:hint="default" w:ascii="Times New Roman" w:hAnsi="Times New Roman" w:eastAsia="方正小标宋简体" w:cs="Times New Roman"/>
                <w:b w:val="0"/>
                <w:bCs w:val="0"/>
                <w:color w:val="auto"/>
                <w:szCs w:val="32"/>
                <w:highlight w:val="none"/>
                <w:lang w:val="en-US" w:eastAsia="zh-CN"/>
              </w:rPr>
              <w:t xml:space="preserve"> </w:t>
            </w:r>
            <w:r>
              <w:rPr>
                <w:rFonts w:hint="default" w:ascii="Times New Roman" w:hAnsi="Times New Roman" w:eastAsia="方正小标宋简体" w:cs="Times New Roman"/>
                <w:b w:val="0"/>
                <w:bCs w:val="0"/>
                <w:color w:val="auto"/>
                <w:szCs w:val="32"/>
                <w:highlight w:val="none"/>
              </w:rPr>
              <w:t>“甜蜜</w:t>
            </w:r>
            <w:r>
              <w:rPr>
                <w:rFonts w:hint="default" w:ascii="Times New Roman" w:hAnsi="Times New Roman" w:eastAsia="方正小标宋简体" w:cs="Times New Roman"/>
                <w:b w:val="0"/>
                <w:bCs w:val="0"/>
                <w:color w:val="auto"/>
                <w:szCs w:val="32"/>
                <w:highlight w:val="none"/>
                <w:lang w:val="en-US" w:eastAsia="zh-CN"/>
              </w:rPr>
              <w:t>西城</w:t>
            </w:r>
            <w:r>
              <w:rPr>
                <w:rFonts w:hint="default" w:ascii="Times New Roman" w:hAnsi="Times New Roman" w:eastAsia="方正小标宋简体" w:cs="Times New Roman"/>
                <w:b w:val="0"/>
                <w:bCs w:val="0"/>
                <w:color w:val="auto"/>
                <w:szCs w:val="32"/>
                <w:highlight w:val="none"/>
              </w:rPr>
              <w:t>”提升工程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000" w:type="pct"/>
            <w:vAlign w:val="top"/>
          </w:tcPr>
          <w:p>
            <w:pPr>
              <w:tabs>
                <w:tab w:val="left" w:pos="6135"/>
              </w:tabs>
              <w:snapToGrid w:val="0"/>
              <w:spacing w:line="600" w:lineRule="exact"/>
              <w:ind w:firstLine="640"/>
              <w:rPr>
                <w:rFonts w:hint="default" w:ascii="Times New Roman" w:hAnsi="Times New Roman" w:cs="Times New Roman"/>
                <w:color w:val="auto"/>
                <w:sz w:val="30"/>
                <w:szCs w:val="30"/>
                <w:highlight w:val="none"/>
                <w:lang w:val="zh-CN" w:eastAsia="zh-CN"/>
              </w:rPr>
            </w:pPr>
            <w:r>
              <w:rPr>
                <w:rFonts w:hint="default" w:ascii="Times New Roman" w:hAnsi="Times New Roman" w:cs="Times New Roman"/>
                <w:color w:val="auto"/>
                <w:sz w:val="30"/>
                <w:szCs w:val="30"/>
                <w:highlight w:val="none"/>
                <w:lang w:val="zh-CN" w:eastAsia="zh-CN"/>
              </w:rPr>
              <w:t>1.联动文旅、商务等部门扩容“甜蜜西城・幸福联盟”，推动婚姻登记与文旅服务等深度融合。</w:t>
            </w:r>
          </w:p>
          <w:p>
            <w:pPr>
              <w:tabs>
                <w:tab w:val="left" w:pos="6135"/>
              </w:tabs>
              <w:snapToGrid w:val="0"/>
              <w:spacing w:line="600" w:lineRule="exact"/>
              <w:ind w:firstLine="640"/>
              <w:rPr>
                <w:rFonts w:hint="default" w:ascii="Times New Roman" w:hAnsi="Times New Roman" w:cs="Times New Roman"/>
                <w:color w:val="auto"/>
                <w:sz w:val="30"/>
                <w:szCs w:val="30"/>
                <w:highlight w:val="none"/>
                <w:lang w:val="zh-CN" w:eastAsia="zh-CN"/>
              </w:rPr>
            </w:pPr>
            <w:r>
              <w:rPr>
                <w:rFonts w:hint="default" w:ascii="Times New Roman" w:hAnsi="Times New Roman" w:cs="Times New Roman"/>
                <w:color w:val="auto"/>
                <w:sz w:val="30"/>
                <w:szCs w:val="30"/>
                <w:highlight w:val="none"/>
                <w:lang w:val="zh-CN" w:eastAsia="zh-CN"/>
              </w:rPr>
              <w:t>2.优化婚姻登记服务供给，升级特色登记场景，拓展婚姻家庭辅导、婚俗文化宣传等服务，提升婚姻登记服务体验。</w:t>
            </w:r>
          </w:p>
          <w:p>
            <w:pPr>
              <w:tabs>
                <w:tab w:val="left" w:pos="6135"/>
              </w:tabs>
              <w:snapToGrid w:val="0"/>
              <w:spacing w:line="600" w:lineRule="exact"/>
              <w:ind w:firstLine="640"/>
              <w:rPr>
                <w:rFonts w:ascii="Times New Roman" w:hAnsi="Times New Roman" w:eastAsia="方正楷体_GBK" w:cs="Times New Roman"/>
                <w:color w:val="auto"/>
                <w:szCs w:val="32"/>
                <w:lang w:val="zh-CN" w:bidi="ar"/>
              </w:rPr>
            </w:pPr>
            <w:r>
              <w:rPr>
                <w:rFonts w:hint="default" w:ascii="Times New Roman" w:hAnsi="Times New Roman" w:cs="Times New Roman"/>
                <w:color w:val="auto"/>
                <w:sz w:val="30"/>
                <w:szCs w:val="30"/>
                <w:highlight w:val="none"/>
                <w:lang w:val="zh-CN" w:eastAsia="zh-CN"/>
              </w:rPr>
              <w:t>3.推行简约适度颁证礼，联动开展集体婚礼、婚俗宣讲等活动，引导群众树立健康婚恋观，助力文明城区建设。</w:t>
            </w:r>
          </w:p>
        </w:tc>
      </w:tr>
    </w:tbl>
    <w:p>
      <w:pPr>
        <w:pStyle w:val="3"/>
        <w:tabs>
          <w:tab w:val="left" w:pos="333"/>
        </w:tabs>
        <w:spacing w:before="156" w:beforeLines="50" w:after="156" w:afterLines="50" w:line="600" w:lineRule="exact"/>
        <w:ind w:firstLine="0" w:firstLineChars="0"/>
        <w:contextualSpacing/>
        <w:jc w:val="center"/>
        <w:rPr>
          <w:rFonts w:ascii="楷体" w:hAnsi="楷体" w:eastAsia="楷体" w:cs="Times New Roman"/>
          <w:color w:val="auto"/>
          <w:szCs w:val="32"/>
          <w:highlight w:val="none"/>
        </w:rPr>
      </w:pPr>
      <w:bookmarkStart w:id="157" w:name="_Toc6207"/>
      <w:bookmarkStart w:id="158" w:name="_Toc24011"/>
      <w:bookmarkStart w:id="159" w:name="_Toc13017"/>
      <w:bookmarkStart w:id="160" w:name="_Toc8361"/>
      <w:bookmarkStart w:id="161" w:name="_Toc9328"/>
      <w:bookmarkStart w:id="162" w:name="_Toc19087"/>
      <w:bookmarkStart w:id="163" w:name="_Toc30245"/>
      <w:bookmarkStart w:id="164" w:name="_Toc10859"/>
      <w:bookmarkStart w:id="165" w:name="_Toc31175"/>
      <w:r>
        <w:rPr>
          <w:rFonts w:hint="eastAsia" w:ascii="楷体" w:hAnsi="楷体" w:eastAsia="楷体" w:cs="Times New Roman"/>
          <w:color w:val="auto"/>
          <w:szCs w:val="32"/>
          <w:highlight w:val="none"/>
        </w:rPr>
        <w:t>第二节</w:t>
      </w:r>
      <w:bookmarkStart w:id="166" w:name="_bnqqp5500"/>
      <w:r>
        <w:rPr>
          <w:rFonts w:hint="eastAsia" w:ascii="楷体" w:hAnsi="楷体" w:eastAsia="楷体" w:cs="Times New Roman"/>
          <w:color w:val="auto"/>
          <w:szCs w:val="32"/>
          <w:highlight w:val="none"/>
        </w:rPr>
        <w:t xml:space="preserve"> </w:t>
      </w:r>
      <w:r>
        <w:rPr>
          <w:rFonts w:hint="eastAsia" w:ascii="楷体" w:hAnsi="楷体" w:eastAsia="楷体" w:cs="Times New Roman"/>
          <w:color w:val="auto"/>
          <w:szCs w:val="32"/>
          <w:highlight w:val="none"/>
          <w:lang w:val="en-US" w:eastAsia="zh-CN"/>
        </w:rPr>
        <w:t xml:space="preserve"> </w:t>
      </w:r>
      <w:r>
        <w:rPr>
          <w:rFonts w:hint="eastAsia" w:ascii="楷体" w:hAnsi="楷体" w:eastAsia="楷体" w:cs="Times New Roman"/>
          <w:color w:val="auto"/>
          <w:szCs w:val="32"/>
          <w:highlight w:val="none"/>
        </w:rPr>
        <w:t>全面加强基本殡葬服务保障</w:t>
      </w:r>
      <w:bookmarkEnd w:id="156"/>
      <w:bookmarkEnd w:id="157"/>
      <w:bookmarkEnd w:id="158"/>
      <w:bookmarkEnd w:id="159"/>
      <w:bookmarkEnd w:id="160"/>
      <w:bookmarkEnd w:id="161"/>
      <w:bookmarkEnd w:id="162"/>
      <w:bookmarkEnd w:id="163"/>
      <w:bookmarkEnd w:id="164"/>
      <w:bookmarkEnd w:id="165"/>
      <w:bookmarkEnd w:id="166"/>
    </w:p>
    <w:p>
      <w:pPr>
        <w:spacing w:line="600" w:lineRule="exact"/>
        <w:ind w:firstLine="643"/>
        <w:contextualSpacing/>
        <w:rPr>
          <w:rFonts w:ascii="Times New Roman" w:hAnsi="Times New Roman" w:cs="仿宋_GB2312"/>
          <w:color w:val="auto"/>
          <w:szCs w:val="32"/>
          <w:highlight w:val="none"/>
        </w:rPr>
      </w:pPr>
      <w:r>
        <w:rPr>
          <w:rFonts w:hint="eastAsia" w:ascii="Times New Roman" w:hAnsi="Times New Roman" w:cs="仿宋_GB2312"/>
          <w:b/>
          <w:bCs/>
          <w:color w:val="auto"/>
          <w:szCs w:val="32"/>
          <w:highlight w:val="none"/>
        </w:rPr>
        <w:t>落实殡葬领域惠民政策。</w:t>
      </w:r>
      <w:r>
        <w:rPr>
          <w:rFonts w:hint="eastAsia" w:ascii="Times New Roman" w:hAnsi="Times New Roman" w:cs="仿宋_GB2312"/>
          <w:color w:val="auto"/>
          <w:szCs w:val="32"/>
          <w:highlight w:val="none"/>
        </w:rPr>
        <w:t>结合区情实际探索公益性安葬服务跨区合作机制。依托市级“逝有所安”综合管理平台优化丧</w:t>
      </w:r>
      <w:r>
        <w:rPr>
          <w:rFonts w:hint="eastAsia" w:ascii="Times New Roman" w:hAnsi="Times New Roman" w:cs="仿宋_GB2312"/>
          <w:b w:val="0"/>
          <w:bCs w:val="0"/>
          <w:color w:val="auto"/>
          <w:szCs w:val="32"/>
          <w:highlight w:val="none"/>
          <w:u w:val="none"/>
          <w:lang w:val="en-US" w:eastAsia="zh-CN"/>
        </w:rPr>
        <w:t>葬</w:t>
      </w:r>
      <w:r>
        <w:rPr>
          <w:rFonts w:hint="eastAsia" w:ascii="Times New Roman" w:hAnsi="Times New Roman" w:cs="仿宋_GB2312"/>
          <w:color w:val="auto"/>
          <w:szCs w:val="32"/>
          <w:highlight w:val="none"/>
          <w:u w:val="none"/>
        </w:rPr>
        <w:t>补</w:t>
      </w:r>
      <w:r>
        <w:rPr>
          <w:rFonts w:hint="eastAsia" w:ascii="Times New Roman" w:hAnsi="Times New Roman" w:cs="仿宋_GB2312"/>
          <w:b w:val="0"/>
          <w:bCs w:val="0"/>
          <w:color w:val="auto"/>
          <w:szCs w:val="32"/>
          <w:highlight w:val="none"/>
          <w:u w:val="none"/>
          <w:lang w:val="en-US" w:eastAsia="zh-CN"/>
        </w:rPr>
        <w:t>贴</w:t>
      </w:r>
      <w:r>
        <w:rPr>
          <w:rFonts w:hint="eastAsia" w:ascii="Times New Roman" w:hAnsi="Times New Roman" w:cs="仿宋_GB2312"/>
          <w:color w:val="auto"/>
          <w:szCs w:val="32"/>
          <w:highlight w:val="none"/>
        </w:rPr>
        <w:t>核准流程，到2030年殡葬基本公共服务覆盖率达100%。</w:t>
      </w:r>
    </w:p>
    <w:p>
      <w:pPr>
        <w:spacing w:line="600" w:lineRule="exact"/>
        <w:ind w:firstLine="643"/>
        <w:contextualSpacing/>
        <w:rPr>
          <w:rFonts w:hint="eastAsia" w:ascii="Times New Roman" w:hAnsi="Times New Roman" w:cs="仿宋_GB2312"/>
          <w:b w:val="0"/>
          <w:bCs w:val="0"/>
          <w:color w:val="auto"/>
          <w:szCs w:val="32"/>
          <w:highlight w:val="none"/>
        </w:rPr>
      </w:pPr>
      <w:r>
        <w:rPr>
          <w:rFonts w:hint="eastAsia" w:ascii="Times New Roman" w:hAnsi="Times New Roman" w:cs="仿宋_GB2312"/>
          <w:b/>
          <w:bCs/>
          <w:color w:val="auto"/>
          <w:szCs w:val="32"/>
          <w:highlight w:val="none"/>
        </w:rPr>
        <w:t>健全跨部门协同监管机制。</w:t>
      </w:r>
      <w:r>
        <w:rPr>
          <w:rFonts w:hint="eastAsia" w:ascii="Times New Roman" w:hAnsi="Times New Roman" w:cs="仿宋_GB2312"/>
          <w:color w:val="auto"/>
          <w:szCs w:val="32"/>
          <w:highlight w:val="none"/>
        </w:rPr>
        <w:t>巩固深化殡葬领域乱象治理成果，加强殡葬</w:t>
      </w:r>
      <w:r>
        <w:rPr>
          <w:rFonts w:hint="eastAsia" w:ascii="Times New Roman" w:hAnsi="Times New Roman" w:cs="仿宋_GB2312"/>
          <w:b w:val="0"/>
          <w:bCs w:val="0"/>
          <w:color w:val="auto"/>
          <w:szCs w:val="32"/>
          <w:highlight w:val="none"/>
          <w:lang w:val="en-US" w:eastAsia="zh-CN"/>
        </w:rPr>
        <w:t>行业</w:t>
      </w:r>
      <w:r>
        <w:rPr>
          <w:rFonts w:hint="eastAsia" w:ascii="Times New Roman" w:hAnsi="Times New Roman" w:cs="仿宋_GB2312"/>
          <w:color w:val="auto"/>
          <w:szCs w:val="32"/>
          <w:highlight w:val="none"/>
        </w:rPr>
        <w:t>从业人员管理，完善信息共享、线索转办、联合执法机制，严厉打击侵害群众利益行为。</w:t>
      </w:r>
    </w:p>
    <w:p>
      <w:pPr>
        <w:spacing w:line="600" w:lineRule="exact"/>
        <w:ind w:firstLine="643"/>
        <w:contextualSpacing/>
        <w:rPr>
          <w:rFonts w:hint="eastAsia" w:ascii="Times New Roman" w:hAnsi="Times New Roman" w:eastAsia="仿宋_GB2312" w:cs="仿宋_GB2312"/>
          <w:color w:val="auto"/>
          <w:szCs w:val="32"/>
          <w:highlight w:val="none"/>
          <w:lang w:eastAsia="zh-CN"/>
        </w:rPr>
      </w:pPr>
      <w:r>
        <w:rPr>
          <w:rFonts w:hint="eastAsia" w:ascii="Times New Roman" w:hAnsi="Times New Roman" w:cs="仿宋_GB2312"/>
          <w:b/>
          <w:bCs/>
          <w:color w:val="auto"/>
          <w:szCs w:val="32"/>
          <w:highlight w:val="none"/>
          <w:lang w:eastAsia="zh-CN"/>
        </w:rPr>
        <w:t>加强殡葬文明新风营造</w:t>
      </w:r>
      <w:r>
        <w:rPr>
          <w:rFonts w:hint="eastAsia" w:ascii="Times New Roman" w:hAnsi="Times New Roman" w:cs="仿宋_GB2312"/>
          <w:b/>
          <w:bCs/>
          <w:color w:val="auto"/>
          <w:szCs w:val="32"/>
          <w:highlight w:val="none"/>
        </w:rPr>
        <w:t>。</w:t>
      </w:r>
      <w:r>
        <w:rPr>
          <w:rFonts w:hint="eastAsia" w:ascii="Times New Roman" w:hAnsi="Times New Roman" w:cs="仿宋_GB2312"/>
          <w:color w:val="auto"/>
          <w:szCs w:val="32"/>
          <w:highlight w:val="none"/>
        </w:rPr>
        <w:t>落实好</w:t>
      </w:r>
      <w:r>
        <w:rPr>
          <w:rFonts w:hint="eastAsia" w:ascii="Times New Roman" w:hAnsi="Times New Roman" w:cs="仿宋_GB2312"/>
          <w:color w:val="auto"/>
          <w:szCs w:val="32"/>
          <w:highlight w:val="none"/>
          <w:lang w:eastAsia="zh-CN"/>
        </w:rPr>
        <w:t>“</w:t>
      </w:r>
      <w:r>
        <w:rPr>
          <w:rFonts w:hint="eastAsia" w:ascii="Times New Roman" w:hAnsi="Times New Roman" w:cs="仿宋_GB2312"/>
          <w:color w:val="auto"/>
          <w:szCs w:val="32"/>
          <w:highlight w:val="none"/>
        </w:rPr>
        <w:t>96101</w:t>
      </w:r>
      <w:r>
        <w:rPr>
          <w:rFonts w:hint="eastAsia" w:ascii="Times New Roman" w:hAnsi="Times New Roman" w:cs="仿宋_GB2312"/>
          <w:color w:val="auto"/>
          <w:szCs w:val="32"/>
          <w:highlight w:val="none"/>
          <w:lang w:eastAsia="zh-CN"/>
        </w:rPr>
        <w:t>”</w:t>
      </w:r>
      <w:r>
        <w:rPr>
          <w:rFonts w:hint="eastAsia" w:ascii="Times New Roman" w:hAnsi="Times New Roman" w:cs="仿宋_GB2312"/>
          <w:color w:val="auto"/>
          <w:szCs w:val="32"/>
          <w:highlight w:val="none"/>
        </w:rPr>
        <w:t>殡葬服务专线响应机制，加大“八免一补”和生态安葬等政策宣传力度，积极推动绿色祭扫与厚养薄葬理念融入群众生活，</w:t>
      </w:r>
      <w:r>
        <w:rPr>
          <w:rFonts w:hint="eastAsia" w:ascii="Times New Roman" w:hAnsi="Times New Roman" w:cs="仿宋_GB2312"/>
          <w:color w:val="auto"/>
          <w:szCs w:val="32"/>
          <w:highlight w:val="none"/>
          <w:lang w:eastAsia="zh-CN"/>
        </w:rPr>
        <w:t>树立</w:t>
      </w:r>
      <w:r>
        <w:rPr>
          <w:rFonts w:hint="eastAsia" w:ascii="Times New Roman" w:hAnsi="Times New Roman" w:cs="仿宋_GB2312"/>
          <w:color w:val="auto"/>
          <w:szCs w:val="32"/>
          <w:highlight w:val="none"/>
        </w:rPr>
        <w:t>现代殡葬新风尚</w:t>
      </w:r>
      <w:r>
        <w:rPr>
          <w:rFonts w:hint="eastAsia" w:ascii="Times New Roman" w:hAnsi="Times New Roman" w:cs="仿宋_GB2312"/>
          <w:color w:val="auto"/>
          <w:szCs w:val="32"/>
          <w:highlight w:val="none"/>
          <w:lang w:eastAsia="zh-CN"/>
        </w:rPr>
        <w:t>。</w:t>
      </w:r>
    </w:p>
    <w:p>
      <w:pPr>
        <w:pStyle w:val="3"/>
        <w:tabs>
          <w:tab w:val="left" w:pos="333"/>
        </w:tabs>
        <w:spacing w:before="156" w:beforeLines="50" w:after="156" w:afterLines="50" w:line="600" w:lineRule="exact"/>
        <w:ind w:firstLine="0" w:firstLineChars="0"/>
        <w:contextualSpacing/>
        <w:jc w:val="center"/>
        <w:rPr>
          <w:rFonts w:ascii="楷体" w:hAnsi="楷体" w:eastAsia="楷体" w:cs="Times New Roman"/>
          <w:color w:val="auto"/>
          <w:szCs w:val="32"/>
          <w:highlight w:val="none"/>
        </w:rPr>
      </w:pPr>
      <w:bookmarkStart w:id="167" w:name="_Toc10385"/>
      <w:bookmarkStart w:id="168" w:name="_Toc24620"/>
      <w:bookmarkStart w:id="169" w:name="_Toc12160"/>
      <w:bookmarkStart w:id="170" w:name="_Toc17316"/>
      <w:bookmarkStart w:id="171" w:name="_Toc9164"/>
      <w:bookmarkStart w:id="172" w:name="_Toc31196"/>
      <w:bookmarkStart w:id="173" w:name="_Toc15154"/>
      <w:bookmarkStart w:id="174" w:name="_Toc5154"/>
      <w:bookmarkStart w:id="175" w:name="_Toc217291234"/>
      <w:bookmarkStart w:id="176" w:name="_Toc1815"/>
      <w:r>
        <w:rPr>
          <w:rFonts w:hint="eastAsia" w:ascii="楷体" w:hAnsi="楷体" w:eastAsia="楷体" w:cs="Times New Roman"/>
          <w:color w:val="auto"/>
          <w:szCs w:val="32"/>
          <w:highlight w:val="none"/>
        </w:rPr>
        <w:t>第三节</w:t>
      </w:r>
      <w:bookmarkStart w:id="177" w:name="_rjjil5da4"/>
      <w:r>
        <w:rPr>
          <w:rFonts w:hint="eastAsia" w:ascii="楷体" w:hAnsi="楷体" w:eastAsia="楷体" w:cs="Times New Roman"/>
          <w:color w:val="auto"/>
          <w:szCs w:val="32"/>
          <w:highlight w:val="none"/>
        </w:rPr>
        <w:t xml:space="preserve">  </w:t>
      </w:r>
      <w:bookmarkEnd w:id="177"/>
      <w:r>
        <w:rPr>
          <w:rFonts w:hint="eastAsia" w:ascii="楷体" w:hAnsi="楷体" w:eastAsia="楷体" w:cs="Times New Roman"/>
          <w:color w:val="auto"/>
          <w:szCs w:val="32"/>
          <w:highlight w:val="none"/>
        </w:rPr>
        <w:t>加强见义勇为权益保护</w:t>
      </w:r>
      <w:bookmarkEnd w:id="167"/>
      <w:bookmarkEnd w:id="168"/>
      <w:bookmarkEnd w:id="169"/>
      <w:bookmarkEnd w:id="170"/>
      <w:bookmarkEnd w:id="171"/>
      <w:bookmarkEnd w:id="172"/>
      <w:bookmarkEnd w:id="173"/>
      <w:bookmarkEnd w:id="174"/>
      <w:bookmarkEnd w:id="175"/>
      <w:bookmarkEnd w:id="176"/>
    </w:p>
    <w:p>
      <w:pPr>
        <w:spacing w:before="313" w:beforeLines="100" w:after="313" w:afterLines="100" w:line="600" w:lineRule="exact"/>
        <w:ind w:firstLine="643"/>
        <w:contextualSpacing/>
        <w:rPr>
          <w:rFonts w:hint="eastAsia" w:ascii="Times New Roman" w:hAnsi="Times New Roman" w:eastAsia="仿宋_GB2312" w:cs="仿宋_GB2312"/>
          <w:b w:val="0"/>
          <w:bCs w:val="0"/>
          <w:color w:val="auto"/>
          <w:sz w:val="32"/>
          <w:szCs w:val="32"/>
          <w:highlight w:val="none"/>
        </w:rPr>
      </w:pPr>
      <w:r>
        <w:rPr>
          <w:rFonts w:hint="eastAsia" w:ascii="Times New Roman" w:hAnsi="Times New Roman" w:cs="仿宋_GB2312"/>
          <w:color w:val="auto"/>
          <w:szCs w:val="32"/>
          <w:highlight w:val="none"/>
        </w:rPr>
        <w:t>依法依规推动见义勇为行为确认工作，确保公开性、透明度和准确性。持续落实动态长效关怀机制，做好关爱服务、社会优待、疗养体检、评选表彰等工作。创新宣传途径和形式，弘扬社会正气，营造见义勇为良好风尚。</w:t>
      </w:r>
      <w:bookmarkStart w:id="178" w:name="_Toc1942"/>
      <w:bookmarkStart w:id="179" w:name="_Toc12130"/>
      <w:bookmarkStart w:id="180" w:name="_Toc16649"/>
      <w:bookmarkStart w:id="181" w:name="_Toc15698"/>
      <w:bookmarkStart w:id="182" w:name="_Toc19530"/>
      <w:bookmarkStart w:id="183" w:name="_Toc217291235"/>
      <w:bookmarkStart w:id="184" w:name="_Toc2995"/>
    </w:p>
    <w:p>
      <w:pPr>
        <w:spacing w:before="313" w:beforeLines="100" w:after="313" w:afterLines="100" w:line="600" w:lineRule="exact"/>
        <w:ind w:firstLine="643"/>
        <w:contextualSpacing/>
        <w:rPr>
          <w:rFonts w:hint="eastAsia" w:ascii="Times New Roman" w:hAnsi="Times New Roman" w:eastAsia="仿宋_GB2312" w:cs="仿宋_GB2312"/>
          <w:b w:val="0"/>
          <w:bCs w:val="0"/>
          <w:color w:val="auto"/>
          <w:sz w:val="32"/>
          <w:szCs w:val="32"/>
          <w:highlight w:val="none"/>
        </w:rPr>
      </w:pPr>
    </w:p>
    <w:p>
      <w:pPr>
        <w:pStyle w:val="2"/>
        <w:spacing w:before="0" w:beforeLines="-2147483648" w:after="0" w:afterLines="-2147483648" w:line="240" w:lineRule="auto"/>
        <w:rPr>
          <w:rFonts w:hint="eastAsia" w:ascii="方正小标宋简体" w:hAnsi="方正小标宋简体" w:eastAsia="方正小标宋简体" w:cs="方正小标宋简体"/>
          <w:b w:val="0"/>
          <w:bCs/>
          <w:color w:val="auto"/>
          <w:sz w:val="36"/>
          <w:szCs w:val="36"/>
          <w:highlight w:val="none"/>
        </w:rPr>
      </w:pPr>
    </w:p>
    <w:p>
      <w:pPr>
        <w:pStyle w:val="2"/>
        <w:spacing w:before="0" w:beforeLines="-2147483648" w:after="0" w:afterLines="-2147483648" w:line="240" w:lineRule="auto"/>
        <w:rPr>
          <w:rFonts w:hint="eastAsia" w:ascii="方正小标宋简体" w:hAnsi="方正小标宋简体" w:eastAsia="方正小标宋简体" w:cs="方正小标宋简体"/>
          <w:b w:val="0"/>
          <w:bCs/>
          <w:color w:val="auto"/>
          <w:sz w:val="36"/>
          <w:szCs w:val="36"/>
          <w:highlight w:val="none"/>
        </w:rPr>
      </w:pPr>
    </w:p>
    <w:p>
      <w:pPr>
        <w:pStyle w:val="2"/>
        <w:keepNext w:val="0"/>
        <w:keepLines w:val="0"/>
        <w:pageBreakBefore/>
        <w:spacing w:before="0" w:beforeLines="-2147483648" w:after="100" w:afterLines="-2147483648" w:afterAutospacing="1" w:line="240" w:lineRule="auto"/>
        <w:rPr>
          <w:rFonts w:hint="eastAsia" w:ascii="方正小标宋简体" w:hAnsi="方正小标宋简体" w:eastAsia="方正小标宋简体" w:cs="方正小标宋简体"/>
          <w:b w:val="0"/>
          <w:bCs/>
          <w:color w:val="auto"/>
          <w:kern w:val="44"/>
          <w:sz w:val="36"/>
          <w:szCs w:val="36"/>
          <w:highlight w:val="none"/>
          <w:lang w:val="en-US" w:eastAsia="zh-CN" w:bidi="ar-SA"/>
        </w:rPr>
      </w:pPr>
      <w:bookmarkStart w:id="185" w:name="_Toc13642"/>
      <w:bookmarkStart w:id="186" w:name="_Toc5591"/>
      <w:bookmarkStart w:id="187" w:name="_Toc6218"/>
      <w:r>
        <w:rPr>
          <w:rFonts w:hint="eastAsia" w:ascii="方正小标宋简体" w:hAnsi="方正小标宋简体" w:eastAsia="方正小标宋简体" w:cs="方正小标宋简体"/>
          <w:b w:val="0"/>
          <w:bCs/>
          <w:color w:val="auto"/>
          <w:sz w:val="36"/>
          <w:szCs w:val="36"/>
          <w:highlight w:val="none"/>
        </w:rPr>
        <w:t>第六章</w:t>
      </w:r>
      <w:bookmarkStart w:id="188" w:name="_xj5kb91w5"/>
      <w:r>
        <w:rPr>
          <w:rFonts w:hint="eastAsia" w:ascii="方正小标宋简体" w:hAnsi="方正小标宋简体" w:eastAsia="方正小标宋简体" w:cs="方正小标宋简体"/>
          <w:b w:val="0"/>
          <w:bCs/>
          <w:color w:val="auto"/>
          <w:sz w:val="36"/>
          <w:szCs w:val="36"/>
          <w:highlight w:val="none"/>
        </w:rPr>
        <w:t xml:space="preserve">  </w:t>
      </w:r>
      <w:bookmarkEnd w:id="188"/>
      <w:r>
        <w:rPr>
          <w:rFonts w:hint="eastAsia" w:ascii="方正小标宋简体" w:hAnsi="方正小标宋简体" w:eastAsia="方正小标宋简体" w:cs="方正小标宋简体"/>
          <w:b w:val="0"/>
          <w:bCs/>
          <w:color w:val="auto"/>
          <w:sz w:val="36"/>
          <w:szCs w:val="36"/>
          <w:highlight w:val="none"/>
          <w:lang w:eastAsia="zh-CN"/>
        </w:rPr>
        <w:t>全面</w:t>
      </w:r>
      <w:r>
        <w:rPr>
          <w:rFonts w:hint="eastAsia" w:ascii="方正小标宋简体" w:hAnsi="方正小标宋简体" w:eastAsia="方正小标宋简体" w:cs="方正小标宋简体"/>
          <w:b w:val="0"/>
          <w:bCs/>
          <w:color w:val="auto"/>
          <w:sz w:val="36"/>
          <w:szCs w:val="36"/>
          <w:highlight w:val="none"/>
        </w:rPr>
        <w:t>提升社会治理能力水平</w:t>
      </w:r>
      <w:bookmarkEnd w:id="178"/>
      <w:bookmarkEnd w:id="179"/>
      <w:bookmarkEnd w:id="180"/>
      <w:bookmarkEnd w:id="181"/>
      <w:bookmarkEnd w:id="182"/>
      <w:bookmarkEnd w:id="183"/>
      <w:bookmarkEnd w:id="184"/>
      <w:bookmarkEnd w:id="185"/>
      <w:bookmarkEnd w:id="186"/>
      <w:bookmarkEnd w:id="187"/>
    </w:p>
    <w:p>
      <w:pPr>
        <w:pStyle w:val="3"/>
        <w:tabs>
          <w:tab w:val="left" w:pos="333"/>
        </w:tabs>
        <w:spacing w:before="156" w:beforeLines="50" w:after="156" w:afterLines="50" w:line="600" w:lineRule="exact"/>
        <w:ind w:firstLine="0" w:firstLineChars="0"/>
        <w:contextualSpacing/>
        <w:jc w:val="center"/>
        <w:rPr>
          <w:rFonts w:ascii="楷体" w:hAnsi="楷体" w:eastAsia="楷体" w:cs="Times New Roman"/>
          <w:color w:val="auto"/>
          <w:szCs w:val="32"/>
          <w:highlight w:val="none"/>
        </w:rPr>
      </w:pPr>
      <w:bookmarkStart w:id="189" w:name="_Toc17694"/>
      <w:bookmarkStart w:id="190" w:name="_Toc18917"/>
      <w:bookmarkStart w:id="191" w:name="_Toc26807"/>
      <w:bookmarkStart w:id="192" w:name="_Toc5319"/>
      <w:bookmarkStart w:id="193" w:name="_Toc23625"/>
      <w:bookmarkStart w:id="194" w:name="_Toc28934"/>
      <w:bookmarkStart w:id="195" w:name="_Toc31857"/>
      <w:bookmarkStart w:id="196" w:name="_Toc217291236"/>
      <w:bookmarkStart w:id="197" w:name="_Toc3772"/>
      <w:bookmarkStart w:id="198" w:name="_Toc13370"/>
      <w:r>
        <w:rPr>
          <w:rFonts w:hint="eastAsia" w:ascii="楷体" w:hAnsi="楷体" w:eastAsia="楷体" w:cs="Times New Roman"/>
          <w:color w:val="auto"/>
          <w:szCs w:val="32"/>
          <w:highlight w:val="none"/>
        </w:rPr>
        <w:t>第一节</w:t>
      </w:r>
      <w:bookmarkStart w:id="199" w:name="_ag6hmhlxk"/>
      <w:r>
        <w:rPr>
          <w:rFonts w:hint="eastAsia" w:ascii="楷体" w:hAnsi="楷体" w:eastAsia="楷体" w:cs="Times New Roman"/>
          <w:color w:val="auto"/>
          <w:szCs w:val="32"/>
          <w:highlight w:val="none"/>
        </w:rPr>
        <w:t xml:space="preserve">  </w:t>
      </w:r>
      <w:bookmarkEnd w:id="199"/>
      <w:r>
        <w:rPr>
          <w:rFonts w:hint="eastAsia" w:ascii="楷体" w:hAnsi="楷体" w:eastAsia="楷体" w:cs="Times New Roman"/>
          <w:color w:val="auto"/>
          <w:szCs w:val="32"/>
          <w:highlight w:val="none"/>
        </w:rPr>
        <w:t>引导社会组织高质量发展</w:t>
      </w:r>
      <w:bookmarkEnd w:id="189"/>
      <w:bookmarkEnd w:id="190"/>
      <w:bookmarkEnd w:id="191"/>
      <w:bookmarkEnd w:id="192"/>
      <w:bookmarkEnd w:id="193"/>
      <w:bookmarkEnd w:id="194"/>
      <w:bookmarkEnd w:id="195"/>
      <w:bookmarkEnd w:id="196"/>
      <w:bookmarkEnd w:id="197"/>
      <w:bookmarkEnd w:id="198"/>
    </w:p>
    <w:p>
      <w:pPr>
        <w:spacing w:line="600" w:lineRule="exact"/>
        <w:ind w:firstLine="643"/>
        <w:contextualSpacing/>
        <w:rPr>
          <w:rFonts w:hint="eastAsia" w:ascii="仿宋_GB2312" w:hAnsi="仿宋_GB2312" w:cs="仿宋_GB2312"/>
          <w:color w:val="auto"/>
          <w:szCs w:val="32"/>
          <w:highlight w:val="none"/>
        </w:rPr>
      </w:pPr>
      <w:r>
        <w:rPr>
          <w:rFonts w:hint="eastAsia" w:ascii="Times New Roman" w:hAnsi="Times New Roman" w:cs="仿宋_GB2312"/>
          <w:b/>
          <w:bCs/>
          <w:color w:val="auto"/>
          <w:szCs w:val="32"/>
          <w:highlight w:val="none"/>
        </w:rPr>
        <w:t>优化社会组织登记管理。</w:t>
      </w:r>
      <w:r>
        <w:rPr>
          <w:rFonts w:hint="eastAsia" w:ascii="仿宋_GB2312" w:hAnsi="仿宋_GB2312" w:cs="仿宋_GB2312"/>
          <w:color w:val="auto"/>
          <w:szCs w:val="32"/>
          <w:highlight w:val="none"/>
        </w:rPr>
        <w:t>贯彻落实“三大条例”，深化社会组织成立登记“一件事”集成场景推广应用，加强社会组织登记环节专业辅导，促进登记服务标准化、规范化、便利化。以需求为导向，优化社会组织结构，配合相关部门引导符合首都功能定位、西城经济社会发展需要、广大居民需求的高质量社会组织在西城落地。</w:t>
      </w:r>
    </w:p>
    <w:p>
      <w:pPr>
        <w:spacing w:line="600" w:lineRule="exact"/>
        <w:ind w:firstLine="643"/>
        <w:contextualSpacing/>
        <w:rPr>
          <w:rFonts w:hint="eastAsia" w:ascii="Times New Roman" w:hAnsi="Times New Roman" w:cs="仿宋_GB2312"/>
          <w:color w:val="auto"/>
          <w:szCs w:val="32"/>
          <w:highlight w:val="none"/>
          <w:lang w:eastAsia="zh-CN"/>
        </w:rPr>
      </w:pPr>
      <w:r>
        <w:rPr>
          <w:rFonts w:hint="eastAsia" w:ascii="Times New Roman" w:hAnsi="Times New Roman" w:cs="仿宋_GB2312"/>
          <w:b/>
          <w:bCs/>
          <w:color w:val="auto"/>
          <w:szCs w:val="32"/>
          <w:highlight w:val="none"/>
        </w:rPr>
        <w:t>完善社会组织综合监管。</w:t>
      </w:r>
      <w:r>
        <w:rPr>
          <w:rFonts w:hint="eastAsia" w:ascii="Times New Roman" w:hAnsi="Times New Roman" w:cs="仿宋_GB2312"/>
          <w:b w:val="0"/>
          <w:bCs w:val="0"/>
          <w:color w:val="auto"/>
          <w:szCs w:val="32"/>
          <w:highlight w:val="none"/>
          <w:lang w:eastAsia="zh-CN"/>
        </w:rPr>
        <w:t>履行登记管理机关监管职责，</w:t>
      </w:r>
      <w:r>
        <w:rPr>
          <w:rFonts w:hint="eastAsia" w:ascii="Times New Roman" w:hAnsi="Times New Roman" w:cs="仿宋_GB2312"/>
          <w:color w:val="auto"/>
          <w:szCs w:val="32"/>
          <w:highlight w:val="none"/>
        </w:rPr>
        <w:t>严格落实“三同步”“两纳入”要求</w:t>
      </w:r>
      <w:r>
        <w:rPr>
          <w:rFonts w:hint="eastAsia" w:ascii="Times New Roman" w:hAnsi="Times New Roman" w:cs="仿宋_GB2312"/>
          <w:color w:val="auto"/>
          <w:szCs w:val="32"/>
          <w:highlight w:val="none"/>
          <w:lang w:eastAsia="zh-CN"/>
        </w:rPr>
        <w:t>。加强与党建工作机构、业务主管单位、行业管理部门的协调配合，推动部门间信息共享，加大违法行为联合查处力度，大力打击非法社会组织。优化社会组织退出机制，常态化整治“僵尸型”社会组织。综合用好年检年报、抽查审计、等级评估、信息公开、信用管理、执法检查等加强日常监管，推进社会组织规范化建设。鼓励动员社会组织参加等级评估，加强评估等级动态管理。</w:t>
      </w:r>
    </w:p>
    <w:p>
      <w:pPr>
        <w:spacing w:line="600" w:lineRule="exact"/>
        <w:ind w:firstLine="643"/>
        <w:contextualSpacing/>
        <w:rPr>
          <w:rFonts w:hint="eastAsia" w:ascii="Times New Roman" w:hAnsi="Times New Roman" w:cs="仿宋_GB2312"/>
          <w:color w:val="auto"/>
          <w:szCs w:val="32"/>
          <w:highlight w:val="none"/>
        </w:rPr>
      </w:pPr>
      <w:r>
        <w:rPr>
          <w:rFonts w:hint="eastAsia" w:ascii="Times New Roman" w:hAnsi="Times New Roman" w:cs="仿宋_GB2312"/>
          <w:b/>
          <w:bCs/>
          <w:color w:val="auto"/>
          <w:szCs w:val="32"/>
          <w:highlight w:val="none"/>
        </w:rPr>
        <w:t>引导社会组织发挥作用。</w:t>
      </w:r>
      <w:r>
        <w:rPr>
          <w:rFonts w:hint="eastAsia" w:ascii="Times New Roman" w:hAnsi="Times New Roman" w:cs="仿宋_GB2312"/>
          <w:color w:val="auto"/>
          <w:szCs w:val="32"/>
          <w:highlight w:val="none"/>
        </w:rPr>
        <w:t>引导行业协会商会深度参与行业治理工作，规范行业发展秩序。</w:t>
      </w:r>
      <w:r>
        <w:rPr>
          <w:rFonts w:hint="eastAsia" w:ascii="Times New Roman" w:hAnsi="Times New Roman" w:cs="仿宋_GB2312"/>
          <w:color w:val="auto"/>
          <w:szCs w:val="32"/>
          <w:highlight w:val="none"/>
          <w:lang w:eastAsia="zh-CN"/>
        </w:rPr>
        <w:t>倡导</w:t>
      </w:r>
      <w:r>
        <w:rPr>
          <w:rFonts w:hint="eastAsia" w:ascii="Times New Roman" w:hAnsi="Times New Roman" w:cs="仿宋_GB2312"/>
          <w:color w:val="auto"/>
          <w:szCs w:val="32"/>
          <w:highlight w:val="none"/>
        </w:rPr>
        <w:t>社会</w:t>
      </w:r>
      <w:r>
        <w:rPr>
          <w:rFonts w:hint="eastAsia" w:ascii="Times New Roman" w:hAnsi="Times New Roman" w:cs="仿宋_GB2312"/>
          <w:color w:val="auto"/>
          <w:szCs w:val="32"/>
          <w:highlight w:val="none"/>
          <w:lang w:eastAsia="zh-CN"/>
        </w:rPr>
        <w:t>组织</w:t>
      </w:r>
      <w:r>
        <w:rPr>
          <w:rFonts w:hint="eastAsia" w:ascii="Times New Roman" w:hAnsi="Times New Roman" w:cs="仿宋_GB2312"/>
          <w:color w:val="auto"/>
          <w:szCs w:val="32"/>
          <w:highlight w:val="none"/>
        </w:rPr>
        <w:t>以</w:t>
      </w:r>
      <w:r>
        <w:rPr>
          <w:rFonts w:hint="eastAsia" w:ascii="Times New Roman" w:hAnsi="Times New Roman" w:cs="仿宋_GB2312"/>
          <w:color w:val="auto"/>
          <w:szCs w:val="32"/>
          <w:highlight w:val="none"/>
          <w:lang w:eastAsia="zh-CN"/>
        </w:rPr>
        <w:t>社会需求和</w:t>
      </w:r>
      <w:r>
        <w:rPr>
          <w:rFonts w:hint="eastAsia" w:ascii="Times New Roman" w:hAnsi="Times New Roman" w:cs="仿宋_GB2312"/>
          <w:color w:val="auto"/>
          <w:szCs w:val="32"/>
          <w:highlight w:val="none"/>
        </w:rPr>
        <w:t>群众需求为导向，</w:t>
      </w:r>
      <w:r>
        <w:rPr>
          <w:rFonts w:hint="eastAsia" w:ascii="Times New Roman" w:hAnsi="Times New Roman" w:cs="仿宋_GB2312"/>
          <w:color w:val="auto"/>
          <w:szCs w:val="32"/>
          <w:highlight w:val="none"/>
          <w:lang w:eastAsia="zh-CN"/>
        </w:rPr>
        <w:t>积极参与科技创新，</w:t>
      </w:r>
      <w:r>
        <w:rPr>
          <w:rFonts w:hint="eastAsia" w:ascii="Times New Roman" w:hAnsi="Times New Roman" w:cs="仿宋_GB2312"/>
          <w:color w:val="auto"/>
          <w:szCs w:val="32"/>
          <w:highlight w:val="none"/>
        </w:rPr>
        <w:t>在养老服务、儿童关爱等领域拓展服务场景，</w:t>
      </w:r>
      <w:r>
        <w:rPr>
          <w:rFonts w:hint="eastAsia" w:ascii="Times New Roman" w:hAnsi="Times New Roman" w:eastAsia="仿宋_GB2312" w:cs="仿宋_GB2312"/>
          <w:color w:val="auto"/>
          <w:sz w:val="32"/>
          <w:szCs w:val="32"/>
          <w:highlight w:val="none"/>
        </w:rPr>
        <w:t>开展公益性、创新性、示范性项目</w:t>
      </w:r>
      <w:r>
        <w:rPr>
          <w:rFonts w:hint="eastAsia" w:ascii="Times New Roman" w:hAnsi="Times New Roman" w:cs="仿宋_GB2312"/>
          <w:color w:val="auto"/>
          <w:szCs w:val="32"/>
          <w:highlight w:val="none"/>
        </w:rPr>
        <w:t>。聚焦基层治理与民生服务，支持社会组织有序承接政府转移职能和基层减负事项</w:t>
      </w:r>
      <w:r>
        <w:rPr>
          <w:rFonts w:hint="eastAsia" w:ascii="Times New Roman" w:hAnsi="Times New Roman" w:cs="仿宋_GB2312"/>
          <w:color w:val="auto"/>
          <w:szCs w:val="32"/>
          <w:highlight w:val="none"/>
          <w:lang w:eastAsia="zh-CN"/>
        </w:rPr>
        <w:t>，发展壮大</w:t>
      </w:r>
      <w:r>
        <w:rPr>
          <w:rFonts w:hint="eastAsia" w:ascii="Times New Roman" w:hAnsi="Times New Roman" w:cs="仿宋_GB2312"/>
          <w:color w:val="auto"/>
          <w:szCs w:val="32"/>
          <w:highlight w:val="none"/>
        </w:rPr>
        <w:t>社区社会组织</w:t>
      </w:r>
      <w:r>
        <w:rPr>
          <w:rFonts w:hint="eastAsia" w:ascii="Times New Roman" w:hAnsi="Times New Roman" w:cs="仿宋_GB2312"/>
          <w:color w:val="auto"/>
          <w:szCs w:val="32"/>
          <w:highlight w:val="none"/>
          <w:lang w:eastAsia="zh-CN"/>
        </w:rPr>
        <w:t>。</w:t>
      </w:r>
    </w:p>
    <w:p>
      <w:pPr>
        <w:pStyle w:val="3"/>
        <w:tabs>
          <w:tab w:val="left" w:pos="333"/>
        </w:tabs>
        <w:spacing w:before="156" w:beforeLines="50" w:after="156" w:afterLines="50" w:line="600" w:lineRule="exact"/>
        <w:ind w:firstLine="0" w:firstLineChars="0"/>
        <w:contextualSpacing/>
        <w:jc w:val="center"/>
        <w:rPr>
          <w:bCs/>
          <w:color w:val="auto"/>
          <w:highlight w:val="none"/>
        </w:rPr>
      </w:pPr>
      <w:bookmarkStart w:id="200" w:name="_Toc26078"/>
      <w:bookmarkStart w:id="201" w:name="_Toc23607"/>
      <w:bookmarkStart w:id="202" w:name="_Toc20912"/>
      <w:bookmarkStart w:id="203" w:name="_Toc217291237"/>
      <w:bookmarkStart w:id="204" w:name="_Toc25460"/>
      <w:bookmarkStart w:id="205" w:name="_Toc21297"/>
      <w:bookmarkStart w:id="206" w:name="_Toc24118"/>
      <w:bookmarkStart w:id="207" w:name="_Toc25324"/>
      <w:bookmarkStart w:id="208" w:name="_Toc13519"/>
      <w:bookmarkStart w:id="209" w:name="_Toc16636"/>
      <w:r>
        <w:rPr>
          <w:rFonts w:hint="eastAsia" w:ascii="楷体" w:hAnsi="楷体" w:eastAsia="楷体" w:cs="Times New Roman"/>
          <w:color w:val="auto"/>
          <w:szCs w:val="32"/>
          <w:highlight w:val="none"/>
        </w:rPr>
        <w:t>第二节</w:t>
      </w:r>
      <w:bookmarkStart w:id="210" w:name="_9tqbpd1nz"/>
      <w:r>
        <w:rPr>
          <w:rFonts w:hint="eastAsia" w:ascii="楷体" w:hAnsi="楷体" w:eastAsia="楷体" w:cs="Times New Roman"/>
          <w:color w:val="auto"/>
          <w:szCs w:val="32"/>
          <w:highlight w:val="none"/>
        </w:rPr>
        <w:t xml:space="preserve">  </w:t>
      </w:r>
      <w:bookmarkEnd w:id="210"/>
      <w:r>
        <w:rPr>
          <w:rFonts w:hint="eastAsia" w:ascii="楷体" w:hAnsi="楷体" w:eastAsia="楷体" w:cs="Times New Roman"/>
          <w:color w:val="auto"/>
          <w:szCs w:val="32"/>
          <w:highlight w:val="none"/>
        </w:rPr>
        <w:t>推动慈善事业高质量发展</w:t>
      </w:r>
      <w:bookmarkEnd w:id="200"/>
      <w:bookmarkEnd w:id="201"/>
      <w:bookmarkEnd w:id="202"/>
      <w:bookmarkEnd w:id="203"/>
      <w:bookmarkEnd w:id="204"/>
      <w:bookmarkEnd w:id="205"/>
      <w:bookmarkEnd w:id="206"/>
      <w:bookmarkEnd w:id="207"/>
      <w:bookmarkEnd w:id="208"/>
      <w:bookmarkEnd w:id="209"/>
    </w:p>
    <w:p>
      <w:pPr>
        <w:pStyle w:val="8"/>
        <w:spacing w:line="600" w:lineRule="exact"/>
        <w:ind w:firstLine="643"/>
        <w:contextualSpacing/>
        <w:rPr>
          <w:rFonts w:hint="eastAsia"/>
          <w:color w:val="auto"/>
          <w:highlight w:val="none"/>
        </w:rPr>
      </w:pPr>
      <w:r>
        <w:rPr>
          <w:rFonts w:hint="eastAsia"/>
          <w:b/>
          <w:bCs/>
          <w:color w:val="auto"/>
          <w:highlight w:val="none"/>
        </w:rPr>
        <w:t>推进慈善参与体系建设。</w:t>
      </w:r>
      <w:r>
        <w:rPr>
          <w:rFonts w:hint="eastAsia"/>
          <w:color w:val="auto"/>
          <w:highlight w:val="none"/>
        </w:rPr>
        <w:t>完善“区—街—社区”三级慈善工作体系，推动慈善资源向街道、社区拓展。鼓励有条件的街道建立社区慈善基金。健全社区与社会组织、社会工作者、社区志愿者、社会慈善资源的联动机制，打通“身边慈善”服务路径。深入开展慈善文化“五进”活动，组织开展慈善日、“西城慈善月”等宣传活动，讲好群众身边的慈善故事。</w:t>
      </w:r>
    </w:p>
    <w:p>
      <w:pPr>
        <w:pStyle w:val="8"/>
        <w:spacing w:line="600" w:lineRule="exact"/>
        <w:ind w:firstLine="643"/>
        <w:contextualSpacing/>
        <w:rPr>
          <w:rFonts w:hint="eastAsia" w:ascii="仿宋_GB2312" w:hAnsi="仿宋_GB2312" w:cs="仿宋_GB2312"/>
          <w:color w:val="auto"/>
          <w:szCs w:val="32"/>
          <w:highlight w:val="none"/>
        </w:rPr>
      </w:pPr>
      <w:r>
        <w:rPr>
          <w:rFonts w:hint="eastAsia" w:ascii="仿宋_GB2312" w:hAnsi="仿宋_GB2312" w:cs="仿宋_GB2312"/>
          <w:b/>
          <w:bCs/>
          <w:color w:val="auto"/>
          <w:szCs w:val="32"/>
          <w:highlight w:val="none"/>
        </w:rPr>
        <w:t>强化慈善领域监管。</w:t>
      </w:r>
      <w:r>
        <w:rPr>
          <w:rFonts w:hint="eastAsia" w:ascii="仿宋_GB2312" w:hAnsi="仿宋_GB2312" w:cs="仿宋_GB2312"/>
          <w:color w:val="auto"/>
          <w:szCs w:val="32"/>
          <w:highlight w:val="none"/>
        </w:rPr>
        <w:t>巩固深化公益慈善领域专项整治成效，加强慈善组织内部治理，督促慈善组织履行信息公开义务。健全协同机制，推进慈善组织监管、执法有效衔接。依法规范捐赠工作。</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000" w:type="pct"/>
            <w:shd w:val="clear" w:color="auto" w:fill="B5C7EA" w:themeFill="accent1" w:themeFillTint="66"/>
            <w:vAlign w:val="top"/>
          </w:tcPr>
          <w:p>
            <w:pPr>
              <w:overflowPunct/>
              <w:spacing w:before="0" w:line="600" w:lineRule="exact"/>
              <w:ind w:firstLine="0" w:firstLineChars="0"/>
              <w:contextualSpacing/>
              <w:jc w:val="center"/>
              <w:rPr>
                <w:rFonts w:hint="default" w:ascii="Times New Roman" w:hAnsi="Times New Roman" w:eastAsia="楷体" w:cs="Times New Roman"/>
                <w:color w:val="auto"/>
                <w:szCs w:val="32"/>
              </w:rPr>
            </w:pPr>
            <w:bookmarkStart w:id="211" w:name="_Toc217291244"/>
            <w:bookmarkStart w:id="212" w:name="_Toc16011"/>
            <w:bookmarkStart w:id="213" w:name="_Toc25372"/>
            <w:bookmarkStart w:id="214" w:name="_Toc22121"/>
            <w:bookmarkStart w:id="215" w:name="_Toc23489"/>
            <w:r>
              <w:rPr>
                <w:rFonts w:hint="default" w:ascii="Times New Roman" w:hAnsi="Times New Roman" w:eastAsia="方正小标宋简体" w:cs="Times New Roman"/>
                <w:color w:val="auto"/>
                <w:szCs w:val="32"/>
                <w:highlight w:val="none"/>
              </w:rPr>
              <w:t>专栏</w:t>
            </w:r>
            <w:r>
              <w:rPr>
                <w:rFonts w:hint="eastAsia" w:ascii="Times New Roman" w:hAnsi="Times New Roman" w:eastAsia="方正小标宋简体" w:cs="Times New Roman"/>
                <w:color w:val="auto"/>
                <w:szCs w:val="32"/>
                <w:highlight w:val="none"/>
                <w:lang w:val="en-US" w:eastAsia="zh-CN"/>
              </w:rPr>
              <w:t>4</w:t>
            </w:r>
            <w:r>
              <w:rPr>
                <w:rFonts w:hint="default" w:ascii="Times New Roman" w:hAnsi="Times New Roman" w:eastAsia="方正小标宋简体" w:cs="Times New Roman"/>
                <w:color w:val="auto"/>
                <w:szCs w:val="32"/>
                <w:highlight w:val="none"/>
              </w:rPr>
              <w:t xml:space="preserve">  “一街一品”慈善服务品牌提升工程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atLeast"/>
          <w:jc w:val="center"/>
        </w:trPr>
        <w:tc>
          <w:tcPr>
            <w:tcW w:w="5000" w:type="pct"/>
            <w:vAlign w:val="top"/>
          </w:tcPr>
          <w:p>
            <w:pPr>
              <w:tabs>
                <w:tab w:val="left" w:pos="6135"/>
              </w:tabs>
              <w:snapToGrid w:val="0"/>
              <w:spacing w:line="600" w:lineRule="exact"/>
              <w:ind w:firstLine="640"/>
              <w:rPr>
                <w:rFonts w:hint="default" w:ascii="Times New Roman" w:hAnsi="Times New Roman" w:cs="Times New Roman"/>
                <w:color w:val="auto"/>
                <w:sz w:val="30"/>
                <w:szCs w:val="30"/>
                <w:highlight w:val="none"/>
                <w:lang w:val="zh-CN" w:eastAsia="zh-CN"/>
              </w:rPr>
            </w:pPr>
            <w:r>
              <w:rPr>
                <w:rFonts w:hint="eastAsia" w:ascii="Times New Roman" w:hAnsi="Times New Roman" w:cs="Times New Roman"/>
                <w:color w:val="auto"/>
                <w:sz w:val="30"/>
                <w:szCs w:val="30"/>
                <w:highlight w:val="none"/>
                <w:lang w:val="en-US" w:eastAsia="zh-CN"/>
              </w:rPr>
              <w:t>1</w:t>
            </w:r>
            <w:r>
              <w:rPr>
                <w:rFonts w:hint="default" w:ascii="Times New Roman" w:hAnsi="Times New Roman" w:cs="Times New Roman"/>
                <w:color w:val="auto"/>
                <w:sz w:val="30"/>
                <w:szCs w:val="30"/>
                <w:highlight w:val="none"/>
                <w:lang w:val="zh-CN" w:eastAsia="zh-CN"/>
              </w:rPr>
              <w:t>.加强对街道的指导与支持</w:t>
            </w:r>
            <w:r>
              <w:rPr>
                <w:rFonts w:hint="eastAsia" w:ascii="Times New Roman" w:hAnsi="Times New Roman" w:cs="Times New Roman"/>
                <w:color w:val="auto"/>
                <w:sz w:val="30"/>
                <w:szCs w:val="30"/>
                <w:highlight w:val="none"/>
                <w:lang w:val="zh-CN" w:eastAsia="zh-CN"/>
              </w:rPr>
              <w:t>。</w:t>
            </w:r>
            <w:r>
              <w:rPr>
                <w:rFonts w:hint="default" w:ascii="Times New Roman" w:hAnsi="Times New Roman" w:cs="Times New Roman"/>
                <w:color w:val="auto"/>
                <w:sz w:val="30"/>
                <w:szCs w:val="30"/>
                <w:highlight w:val="none"/>
                <w:lang w:val="zh-CN" w:eastAsia="zh-CN"/>
              </w:rPr>
              <w:t>推动其围绕辖区人口结构、资源特点与群众实际需求，建立常态化需求调研机制，有效链接社会资源，策划并实施具有本地特色的慈善项目，确保募集资金精准用于解决社区养老、助残、济困等民生关切问题。</w:t>
            </w:r>
          </w:p>
          <w:p>
            <w:pPr>
              <w:tabs>
                <w:tab w:val="left" w:pos="6135"/>
              </w:tabs>
              <w:snapToGrid w:val="0"/>
              <w:spacing w:line="600" w:lineRule="exact"/>
              <w:ind w:firstLine="640"/>
              <w:rPr>
                <w:rFonts w:ascii="Times New Roman" w:hAnsi="Times New Roman" w:eastAsia="方正楷体_GBK" w:cs="Times New Roman"/>
                <w:color w:val="auto"/>
                <w:szCs w:val="32"/>
                <w:lang w:val="zh-CN" w:bidi="ar"/>
              </w:rPr>
            </w:pPr>
            <w:r>
              <w:rPr>
                <w:rFonts w:hint="default" w:ascii="Times New Roman" w:hAnsi="Times New Roman" w:cs="Times New Roman"/>
                <w:color w:val="auto"/>
                <w:sz w:val="30"/>
                <w:szCs w:val="30"/>
                <w:highlight w:val="none"/>
                <w:lang w:val="zh-CN" w:eastAsia="zh-CN"/>
              </w:rPr>
              <w:t>2.</w:t>
            </w:r>
            <w:r>
              <w:rPr>
                <w:rFonts w:hint="default" w:ascii="Times New Roman" w:hAnsi="Times New Roman" w:cs="Times New Roman"/>
                <w:i w:val="0"/>
                <w:iCs w:val="0"/>
                <w:color w:val="auto"/>
                <w:sz w:val="30"/>
                <w:szCs w:val="30"/>
                <w:highlight w:val="none"/>
                <w:lang w:val="zh-CN" w:eastAsia="zh-CN"/>
              </w:rPr>
              <w:t>打造慈善服务品牌矩阵</w:t>
            </w:r>
            <w:r>
              <w:rPr>
                <w:rFonts w:hint="eastAsia" w:ascii="Times New Roman" w:hAnsi="Times New Roman" w:cs="Times New Roman"/>
                <w:i w:val="0"/>
                <w:iCs w:val="0"/>
                <w:color w:val="auto"/>
                <w:sz w:val="30"/>
                <w:szCs w:val="30"/>
                <w:highlight w:val="none"/>
                <w:lang w:val="zh-CN" w:eastAsia="zh-CN"/>
              </w:rPr>
              <w:t>。</w:t>
            </w:r>
            <w:r>
              <w:rPr>
                <w:rFonts w:hint="default" w:ascii="Times New Roman" w:hAnsi="Times New Roman" w:cs="Times New Roman"/>
                <w:i w:val="0"/>
                <w:iCs w:val="0"/>
                <w:color w:val="auto"/>
                <w:sz w:val="30"/>
                <w:szCs w:val="30"/>
                <w:highlight w:val="none"/>
                <w:lang w:val="zh-CN" w:eastAsia="zh-CN"/>
              </w:rPr>
              <w:t>依托区级宣传平台与媒体矩阵，发布品牌动态、推广优秀项目，并鼓励各街道培育和发展具有自身特色的品牌</w:t>
            </w:r>
            <w:r>
              <w:rPr>
                <w:rFonts w:hint="default" w:ascii="Times New Roman" w:hAnsi="Times New Roman" w:cs="Times New Roman"/>
                <w:color w:val="auto"/>
                <w:sz w:val="30"/>
                <w:szCs w:val="30"/>
                <w:highlight w:val="none"/>
                <w:lang w:val="zh-CN" w:eastAsia="zh-CN"/>
              </w:rPr>
              <w:t>，逐步构建以区级品牌为引领、街道品牌为支撑的“一街一品”慈善品牌矩阵，形成整体联动、各具特色的慈善服务</w:t>
            </w:r>
            <w:r>
              <w:rPr>
                <w:rFonts w:hint="eastAsia" w:ascii="Times New Roman" w:hAnsi="Times New Roman" w:cs="Times New Roman"/>
                <w:color w:val="auto"/>
                <w:sz w:val="30"/>
                <w:szCs w:val="30"/>
                <w:highlight w:val="none"/>
                <w:lang w:val="zh-CN" w:eastAsia="zh-CN"/>
              </w:rPr>
              <w:t>品牌发展</w:t>
            </w:r>
            <w:r>
              <w:rPr>
                <w:rFonts w:hint="default" w:ascii="Times New Roman" w:hAnsi="Times New Roman" w:cs="Times New Roman"/>
                <w:color w:val="auto"/>
                <w:sz w:val="30"/>
                <w:szCs w:val="30"/>
                <w:highlight w:val="none"/>
                <w:lang w:val="zh-CN" w:eastAsia="zh-CN"/>
              </w:rPr>
              <w:t>格局。</w:t>
            </w:r>
          </w:p>
        </w:tc>
      </w:tr>
    </w:tbl>
    <w:p>
      <w:pPr>
        <w:pStyle w:val="3"/>
        <w:tabs>
          <w:tab w:val="left" w:pos="333"/>
        </w:tabs>
        <w:spacing w:before="156" w:beforeLines="50" w:after="156" w:afterLines="50" w:line="600" w:lineRule="exact"/>
        <w:ind w:firstLine="0" w:firstLineChars="0"/>
        <w:contextualSpacing/>
        <w:jc w:val="center"/>
        <w:rPr>
          <w:rFonts w:ascii="楷体" w:hAnsi="楷体" w:eastAsia="楷体" w:cs="Times New Roman"/>
          <w:color w:val="auto"/>
          <w:szCs w:val="32"/>
          <w:highlight w:val="none"/>
        </w:rPr>
      </w:pPr>
      <w:bookmarkStart w:id="216" w:name="_Toc4865"/>
      <w:bookmarkStart w:id="217" w:name="_Toc5747"/>
      <w:bookmarkStart w:id="218" w:name="_Toc25122"/>
      <w:bookmarkStart w:id="219" w:name="_Toc15991"/>
      <w:bookmarkStart w:id="220" w:name="_Toc13988"/>
      <w:bookmarkStart w:id="221" w:name="_Toc24463"/>
      <w:bookmarkStart w:id="222" w:name="_Toc13914"/>
      <w:bookmarkStart w:id="223" w:name="_Toc9536"/>
      <w:bookmarkStart w:id="224" w:name="_Toc19312"/>
      <w:r>
        <w:rPr>
          <w:rFonts w:hint="eastAsia" w:ascii="楷体" w:hAnsi="楷体" w:eastAsia="楷体" w:cs="Times New Roman"/>
          <w:color w:val="auto"/>
          <w:szCs w:val="32"/>
          <w:highlight w:val="none"/>
        </w:rPr>
        <w:t>第</w:t>
      </w:r>
      <w:r>
        <w:rPr>
          <w:rFonts w:hint="eastAsia" w:ascii="楷体" w:hAnsi="楷体" w:eastAsia="楷体" w:cs="Times New Roman"/>
          <w:color w:val="auto"/>
          <w:szCs w:val="32"/>
          <w:highlight w:val="none"/>
          <w:lang w:eastAsia="zh-CN"/>
        </w:rPr>
        <w:t>三</w:t>
      </w:r>
      <w:r>
        <w:rPr>
          <w:rFonts w:hint="eastAsia" w:ascii="楷体" w:hAnsi="楷体" w:eastAsia="楷体" w:cs="Times New Roman"/>
          <w:color w:val="auto"/>
          <w:szCs w:val="32"/>
          <w:highlight w:val="none"/>
        </w:rPr>
        <w:t>节  积极稳妥做好行政区划工作</w:t>
      </w:r>
      <w:bookmarkEnd w:id="216"/>
      <w:bookmarkEnd w:id="217"/>
      <w:bookmarkEnd w:id="218"/>
      <w:bookmarkEnd w:id="219"/>
      <w:bookmarkEnd w:id="220"/>
      <w:bookmarkEnd w:id="221"/>
      <w:bookmarkEnd w:id="222"/>
      <w:bookmarkEnd w:id="223"/>
      <w:bookmarkEnd w:id="224"/>
    </w:p>
    <w:p>
      <w:pPr>
        <w:widowControl/>
        <w:spacing w:line="600" w:lineRule="exact"/>
        <w:ind w:firstLine="643" w:firstLineChars="0"/>
        <w:contextualSpacing/>
        <w:rPr>
          <w:rFonts w:hint="eastAsia" w:ascii="仿宋_GB2312" w:hAnsi="仿宋_GB2312" w:cs="仿宋_GB2312"/>
          <w:i w:val="0"/>
          <w:iCs w:val="0"/>
          <w:caps w:val="0"/>
          <w:color w:val="auto"/>
          <w:spacing w:val="0"/>
          <w:kern w:val="2"/>
          <w:sz w:val="32"/>
          <w:szCs w:val="32"/>
          <w:highlight w:val="none"/>
          <w:shd w:val="clear" w:color="auto" w:fill="auto"/>
          <w:lang w:val="en-US" w:eastAsia="zh-CN" w:bidi="ar"/>
        </w:rPr>
      </w:pPr>
      <w:r>
        <w:rPr>
          <w:rFonts w:hint="eastAsia" w:ascii="仿宋_GB2312" w:hAnsi="仿宋_GB2312" w:cs="仿宋_GB2312"/>
          <w:i w:val="0"/>
          <w:iCs w:val="0"/>
          <w:caps w:val="0"/>
          <w:color w:val="auto"/>
          <w:spacing w:val="0"/>
          <w:kern w:val="2"/>
          <w:sz w:val="32"/>
          <w:szCs w:val="32"/>
          <w:highlight w:val="none"/>
          <w:shd w:val="clear" w:color="auto" w:fill="auto"/>
          <w:lang w:val="en-US" w:eastAsia="zh-CN" w:bidi="ar"/>
        </w:rPr>
        <w:t>依法稳慎有序推进首都功能核心区行政区划工作。健全行政界线长效管理机制，常态化开展界线巡查维护，确保行政区域界线清晰稳定。加强行政区划历史文化传承保护利用研究，留住西城乡愁记忆，彰显文化强区特色。</w:t>
      </w:r>
    </w:p>
    <w:p>
      <w:pPr>
        <w:widowControl/>
        <w:spacing w:line="600" w:lineRule="exact"/>
        <w:ind w:firstLine="643" w:firstLineChars="0"/>
        <w:contextualSpacing/>
        <w:rPr>
          <w:rFonts w:hint="eastAsia" w:ascii="仿宋_GB2312" w:hAnsi="仿宋_GB2312" w:cs="仿宋_GB2312"/>
          <w:i w:val="0"/>
          <w:iCs w:val="0"/>
          <w:caps w:val="0"/>
          <w:color w:val="auto"/>
          <w:spacing w:val="0"/>
          <w:kern w:val="2"/>
          <w:sz w:val="32"/>
          <w:szCs w:val="32"/>
          <w:highlight w:val="none"/>
          <w:shd w:val="clear" w:color="auto" w:fill="auto"/>
          <w:lang w:val="en-US" w:eastAsia="zh-CN" w:bidi="ar"/>
        </w:rPr>
      </w:pPr>
    </w:p>
    <w:p>
      <w:pPr>
        <w:pStyle w:val="2"/>
        <w:spacing w:before="313" w:beforeLines="100" w:after="313" w:afterLines="100"/>
        <w:rPr>
          <w:rFonts w:hint="eastAsia" w:ascii="方正小标宋简体" w:hAnsi="方正小标宋简体" w:eastAsia="方正小标宋简体" w:cs="方正小标宋简体"/>
          <w:b w:val="0"/>
          <w:bCs/>
          <w:color w:val="auto"/>
          <w:sz w:val="36"/>
          <w:szCs w:val="36"/>
          <w:highlight w:val="none"/>
        </w:rPr>
      </w:pPr>
      <w:bookmarkStart w:id="225" w:name="_Toc25132"/>
      <w:bookmarkStart w:id="226" w:name="_Toc31051"/>
    </w:p>
    <w:p>
      <w:pPr>
        <w:rPr>
          <w:rFonts w:hint="eastAsia"/>
          <w:color w:val="auto"/>
        </w:rPr>
      </w:pPr>
    </w:p>
    <w:p>
      <w:pPr>
        <w:pStyle w:val="2"/>
        <w:spacing w:before="0" w:beforeLines="-2147483648" w:after="100" w:afterLines="-2147483648" w:afterAutospacing="1"/>
        <w:textAlignment w:val="top"/>
        <w:rPr>
          <w:rFonts w:hint="eastAsia" w:ascii="方正小标宋简体" w:hAnsi="方正小标宋简体" w:eastAsia="方正小标宋简体" w:cs="方正小标宋简体"/>
          <w:b w:val="0"/>
          <w:bCs/>
          <w:color w:val="auto"/>
          <w:sz w:val="36"/>
          <w:szCs w:val="36"/>
          <w:highlight w:val="none"/>
          <w:lang w:val="en-US" w:eastAsia="zh-CN"/>
        </w:rPr>
      </w:pPr>
      <w:r>
        <w:rPr>
          <w:rFonts w:hint="eastAsia" w:ascii="方正小标宋简体" w:hAnsi="方正小标宋简体" w:eastAsia="方正小标宋简体" w:cs="方正小标宋简体"/>
          <w:b w:val="0"/>
          <w:bCs/>
          <w:color w:val="auto"/>
          <w:sz w:val="36"/>
          <w:szCs w:val="36"/>
          <w:highlight w:val="none"/>
          <w:lang w:val="en-US" w:eastAsia="zh-CN"/>
        </w:rPr>
        <w:t xml:space="preserve">                                                        </w:t>
      </w:r>
    </w:p>
    <w:p>
      <w:pPr>
        <w:pStyle w:val="2"/>
        <w:spacing w:before="0" w:beforeLines="-2147483648" w:after="100" w:afterLines="-2147483648" w:afterAutospacing="1"/>
        <w:textAlignment w:val="top"/>
        <w:rPr>
          <w:rFonts w:hint="eastAsia" w:ascii="方正小标宋简体" w:hAnsi="方正小标宋简体" w:eastAsia="方正小标宋简体" w:cs="方正小标宋简体"/>
          <w:b w:val="0"/>
          <w:bCs/>
          <w:color w:val="auto"/>
          <w:sz w:val="36"/>
          <w:szCs w:val="36"/>
          <w:highlight w:val="none"/>
        </w:rPr>
      </w:pPr>
    </w:p>
    <w:p>
      <w:pPr>
        <w:pStyle w:val="2"/>
        <w:spacing w:before="0" w:beforeLines="-2147483648" w:after="100" w:afterLines="-2147483648" w:afterAutospacing="1"/>
        <w:textAlignment w:val="top"/>
        <w:rPr>
          <w:rFonts w:hint="eastAsia" w:ascii="方正小标宋简体" w:hAnsi="方正小标宋简体" w:eastAsia="方正小标宋简体" w:cs="方正小标宋简体"/>
          <w:b w:val="0"/>
          <w:bCs/>
          <w:color w:val="auto"/>
          <w:sz w:val="36"/>
          <w:szCs w:val="36"/>
          <w:highlight w:val="none"/>
        </w:rPr>
      </w:pPr>
    </w:p>
    <w:p>
      <w:pPr>
        <w:pStyle w:val="2"/>
        <w:spacing w:before="0" w:beforeLines="-2147483648" w:after="100" w:afterLines="-2147483648" w:afterAutospacing="1"/>
        <w:textAlignment w:val="top"/>
        <w:rPr>
          <w:rFonts w:hint="eastAsia" w:ascii="方正小标宋简体" w:hAnsi="方正小标宋简体" w:eastAsia="方正小标宋简体" w:cs="方正小标宋简体"/>
          <w:b w:val="0"/>
          <w:bCs/>
          <w:color w:val="auto"/>
          <w:sz w:val="36"/>
          <w:szCs w:val="36"/>
          <w:highlight w:val="none"/>
        </w:rPr>
      </w:pPr>
    </w:p>
    <w:p>
      <w:pPr>
        <w:pStyle w:val="2"/>
        <w:keepNext w:val="0"/>
        <w:keepLines w:val="0"/>
        <w:pageBreakBefore/>
        <w:spacing w:before="0" w:beforeLines="-2147483648" w:after="100" w:afterLines="-2147483648" w:afterAutospacing="1"/>
        <w:rPr>
          <w:rFonts w:hint="eastAsia" w:ascii="方正小标宋简体" w:hAnsi="方正小标宋简体" w:eastAsia="方正小标宋简体" w:cs="方正小标宋简体"/>
          <w:b w:val="0"/>
          <w:bCs/>
          <w:color w:val="auto"/>
          <w:sz w:val="36"/>
          <w:szCs w:val="36"/>
          <w:highlight w:val="none"/>
        </w:rPr>
      </w:pPr>
      <w:bookmarkStart w:id="227" w:name="_Toc279"/>
      <w:bookmarkStart w:id="228" w:name="_Toc5926"/>
      <w:bookmarkStart w:id="229" w:name="_Toc25238"/>
      <w:r>
        <w:rPr>
          <w:rFonts w:hint="eastAsia" w:ascii="方正小标宋简体" w:hAnsi="方正小标宋简体" w:eastAsia="方正小标宋简体" w:cs="方正小标宋简体"/>
          <w:b w:val="0"/>
          <w:bCs/>
          <w:color w:val="auto"/>
          <w:sz w:val="36"/>
          <w:szCs w:val="36"/>
          <w:highlight w:val="none"/>
        </w:rPr>
        <w:t>第</w:t>
      </w:r>
      <w:r>
        <w:rPr>
          <w:rFonts w:hint="eastAsia" w:ascii="方正小标宋简体" w:hAnsi="方正小标宋简体" w:eastAsia="方正小标宋简体" w:cs="方正小标宋简体"/>
          <w:b w:val="0"/>
          <w:bCs/>
          <w:color w:val="auto"/>
          <w:sz w:val="36"/>
          <w:szCs w:val="36"/>
          <w:highlight w:val="none"/>
          <w:lang w:eastAsia="zh-CN"/>
        </w:rPr>
        <w:t>七</w:t>
      </w:r>
      <w:r>
        <w:rPr>
          <w:rFonts w:hint="eastAsia" w:ascii="方正小标宋简体" w:hAnsi="方正小标宋简体" w:eastAsia="方正小标宋简体" w:cs="方正小标宋简体"/>
          <w:b w:val="0"/>
          <w:bCs/>
          <w:color w:val="auto"/>
          <w:sz w:val="36"/>
          <w:szCs w:val="36"/>
          <w:highlight w:val="none"/>
        </w:rPr>
        <w:t>章</w:t>
      </w:r>
      <w:bookmarkStart w:id="230" w:name="_6g2eeg2yx"/>
      <w:r>
        <w:rPr>
          <w:rFonts w:hint="eastAsia" w:ascii="方正小标宋简体" w:hAnsi="方正小标宋简体" w:eastAsia="方正小标宋简体" w:cs="方正小标宋简体"/>
          <w:b w:val="0"/>
          <w:bCs/>
          <w:color w:val="auto"/>
          <w:sz w:val="36"/>
          <w:szCs w:val="36"/>
          <w:highlight w:val="none"/>
        </w:rPr>
        <w:t xml:space="preserve">  </w:t>
      </w:r>
      <w:bookmarkEnd w:id="230"/>
      <w:r>
        <w:rPr>
          <w:rFonts w:hint="eastAsia" w:ascii="方正小标宋简体" w:hAnsi="方正小标宋简体" w:eastAsia="方正小标宋简体" w:cs="方正小标宋简体"/>
          <w:b w:val="0"/>
          <w:bCs/>
          <w:color w:val="auto"/>
          <w:sz w:val="36"/>
          <w:szCs w:val="36"/>
          <w:highlight w:val="none"/>
        </w:rPr>
        <w:t>保障措施</w:t>
      </w:r>
      <w:bookmarkEnd w:id="211"/>
      <w:bookmarkEnd w:id="212"/>
      <w:bookmarkEnd w:id="213"/>
      <w:bookmarkEnd w:id="214"/>
      <w:bookmarkEnd w:id="215"/>
      <w:bookmarkEnd w:id="225"/>
      <w:bookmarkEnd w:id="226"/>
      <w:bookmarkEnd w:id="227"/>
      <w:bookmarkEnd w:id="228"/>
      <w:bookmarkEnd w:id="229"/>
    </w:p>
    <w:p>
      <w:pPr>
        <w:pStyle w:val="2"/>
        <w:spacing w:before="0" w:beforeLines="-2147483648" w:after="0" w:afterLines="-2147483648"/>
        <w:rPr>
          <w:rFonts w:hint="eastAsia" w:ascii="方正小标宋简体" w:hAnsi="方正小标宋简体" w:eastAsia="方正小标宋简体" w:cs="方正小标宋简体"/>
          <w:b w:val="0"/>
          <w:bCs/>
          <w:color w:val="auto"/>
          <w:sz w:val="36"/>
          <w:szCs w:val="36"/>
          <w:highlight w:val="none"/>
        </w:rPr>
      </w:pPr>
    </w:p>
    <w:p>
      <w:pPr>
        <w:spacing w:line="600" w:lineRule="exact"/>
        <w:ind w:firstLine="640"/>
        <w:rPr>
          <w:rFonts w:hint="eastAsia" w:ascii="等线" w:hAnsi="等线" w:eastAsia="仿宋_GB2312" w:cs="黑体"/>
          <w:color w:val="auto"/>
          <w:kern w:val="2"/>
          <w:sz w:val="32"/>
          <w:szCs w:val="22"/>
          <w:highlight w:val="none"/>
          <w:lang w:val="en-US" w:eastAsia="zh-CN" w:bidi="ar-SA"/>
        </w:rPr>
      </w:pPr>
      <w:r>
        <w:rPr>
          <w:rFonts w:hint="eastAsia" w:ascii="等线" w:hAnsi="等线" w:eastAsia="仿宋_GB2312" w:cs="黑体"/>
          <w:color w:val="auto"/>
          <w:kern w:val="2"/>
          <w:sz w:val="32"/>
          <w:szCs w:val="22"/>
          <w:highlight w:val="none"/>
          <w:lang w:val="en-US" w:eastAsia="zh-CN" w:bidi="ar-SA"/>
        </w:rPr>
        <w:t>坚持把党的领导贯穿民政事业发展全过程</w:t>
      </w:r>
      <w:r>
        <w:rPr>
          <w:rFonts w:hint="eastAsia" w:cs="黑体"/>
          <w:color w:val="auto"/>
          <w:kern w:val="2"/>
          <w:sz w:val="32"/>
          <w:szCs w:val="22"/>
          <w:highlight w:val="none"/>
          <w:lang w:val="en-US" w:eastAsia="zh-CN" w:bidi="ar-SA"/>
        </w:rPr>
        <w:t>、</w:t>
      </w:r>
      <w:r>
        <w:rPr>
          <w:rFonts w:hint="eastAsia" w:ascii="等线" w:hAnsi="等线" w:eastAsia="仿宋_GB2312" w:cs="黑体"/>
          <w:color w:val="auto"/>
          <w:kern w:val="2"/>
          <w:sz w:val="32"/>
          <w:szCs w:val="22"/>
          <w:highlight w:val="none"/>
          <w:lang w:val="en-US" w:eastAsia="zh-CN" w:bidi="ar-SA"/>
        </w:rPr>
        <w:t>各领域，完善党总揽全局、协调各方的领导体制机制</w:t>
      </w:r>
      <w:r>
        <w:rPr>
          <w:rFonts w:hint="eastAsia" w:cs="黑体"/>
          <w:color w:val="auto"/>
          <w:kern w:val="2"/>
          <w:sz w:val="32"/>
          <w:szCs w:val="22"/>
          <w:highlight w:val="none"/>
          <w:lang w:val="en-US" w:eastAsia="zh-CN" w:bidi="ar-SA"/>
        </w:rPr>
        <w:t>，</w:t>
      </w:r>
      <w:r>
        <w:rPr>
          <w:rFonts w:hint="eastAsia" w:ascii="等线" w:hAnsi="等线" w:eastAsia="仿宋_GB2312" w:cs="黑体"/>
          <w:color w:val="auto"/>
          <w:kern w:val="2"/>
          <w:sz w:val="32"/>
          <w:szCs w:val="22"/>
          <w:highlight w:val="none"/>
          <w:lang w:val="en-US" w:eastAsia="zh-CN" w:bidi="ar-SA"/>
        </w:rPr>
        <w:t>健全“党委领导、政府负责、民政牵头、部门协同、社会参与”的工作体系。</w:t>
      </w:r>
      <w:r>
        <w:rPr>
          <w:rFonts w:hint="eastAsia" w:cs="黑体"/>
          <w:color w:val="auto"/>
          <w:kern w:val="2"/>
          <w:sz w:val="32"/>
          <w:szCs w:val="22"/>
          <w:highlight w:val="none"/>
          <w:lang w:val="en-US" w:eastAsia="zh-CN" w:bidi="ar-SA"/>
        </w:rPr>
        <w:t>推进法治建设，积极推动民政领域依法行政实践，加强法治宣传教育，提升行政执法效能。强化规划任务分解落实，</w:t>
      </w:r>
      <w:r>
        <w:rPr>
          <w:rFonts w:hint="eastAsia" w:ascii="等线" w:hAnsi="等线" w:eastAsia="仿宋_GB2312" w:cs="黑体"/>
          <w:color w:val="auto"/>
          <w:kern w:val="2"/>
          <w:sz w:val="32"/>
          <w:szCs w:val="22"/>
          <w:highlight w:val="none"/>
          <w:lang w:val="en-US" w:eastAsia="zh-CN" w:bidi="ar-SA"/>
        </w:rPr>
        <w:t>明确责任与时限</w:t>
      </w:r>
      <w:r>
        <w:rPr>
          <w:rFonts w:hint="eastAsia" w:cs="黑体"/>
          <w:color w:val="auto"/>
          <w:kern w:val="2"/>
          <w:sz w:val="32"/>
          <w:szCs w:val="22"/>
          <w:highlight w:val="none"/>
          <w:lang w:val="en-US" w:eastAsia="zh-CN" w:bidi="ar-SA"/>
        </w:rPr>
        <w:t>，定期开展监测分析和总结评估。优化民政资源配置</w:t>
      </w:r>
      <w:r>
        <w:rPr>
          <w:rFonts w:hint="eastAsia" w:ascii="等线" w:hAnsi="等线" w:eastAsia="仿宋_GB2312" w:cs="黑体"/>
          <w:color w:val="auto"/>
          <w:kern w:val="2"/>
          <w:sz w:val="32"/>
          <w:szCs w:val="22"/>
          <w:highlight w:val="none"/>
          <w:lang w:val="en-US" w:eastAsia="zh-CN" w:bidi="ar-SA"/>
        </w:rPr>
        <w:t>，积极争取上级资金与政策支持，</w:t>
      </w:r>
      <w:r>
        <w:rPr>
          <w:rFonts w:hint="eastAsia" w:cs="黑体"/>
          <w:color w:val="auto"/>
          <w:kern w:val="2"/>
          <w:sz w:val="32"/>
          <w:szCs w:val="22"/>
          <w:highlight w:val="none"/>
          <w:lang w:val="en-US" w:eastAsia="zh-CN" w:bidi="ar-SA"/>
        </w:rPr>
        <w:t>统筹用好各类资金，</w:t>
      </w:r>
      <w:r>
        <w:rPr>
          <w:rFonts w:hint="eastAsia" w:ascii="等线" w:hAnsi="等线" w:eastAsia="仿宋_GB2312" w:cs="黑体"/>
          <w:color w:val="auto"/>
          <w:kern w:val="2"/>
          <w:sz w:val="32"/>
          <w:szCs w:val="22"/>
          <w:highlight w:val="none"/>
          <w:lang w:val="en-US" w:eastAsia="zh-CN" w:bidi="ar-SA"/>
        </w:rPr>
        <w:t>强化全流程绩效管理。</w:t>
      </w:r>
      <w:r>
        <w:rPr>
          <w:rFonts w:hint="eastAsia" w:cs="黑体"/>
          <w:color w:val="auto"/>
          <w:kern w:val="2"/>
          <w:sz w:val="32"/>
          <w:szCs w:val="22"/>
          <w:highlight w:val="none"/>
          <w:lang w:val="en-US" w:eastAsia="zh-CN" w:bidi="ar-SA"/>
        </w:rPr>
        <w:t>严格落实安全生产责任制，坚持底线思维、有解思维，强化民政服务机构安全生产及自然灾害防范应对，抓好信访和接诉即办工作源头治理、主动治理，夯实民政事业发展基础。</w:t>
      </w:r>
    </w:p>
    <w:p>
      <w:pPr>
        <w:ind w:firstLine="0" w:firstLineChars="0"/>
        <w:rPr>
          <w:rFonts w:hint="default" w:ascii="等线" w:hAnsi="等线" w:eastAsia="仿宋_GB2312" w:cs="黑体"/>
          <w:color w:val="auto"/>
          <w:kern w:val="2"/>
          <w:sz w:val="32"/>
          <w:szCs w:val="22"/>
          <w:highlight w:val="none"/>
          <w:lang w:val="en-US" w:eastAsia="zh-CN" w:bidi="ar-SA"/>
        </w:rPr>
      </w:pPr>
    </w:p>
    <w:sectPr>
      <w:footerReference r:id="rId8"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p>
  </w:endnote>
  <w:endnote w:type="continuationSeparator" w:id="1">
    <w:p>
      <w:pPr>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85E426-5693-486E-81F0-77EA715036D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embedRegular r:id="rId2" w:fontKey="{69717835-5489-4CCA-8D9A-2C079F33CB1D}"/>
  </w:font>
  <w:font w:name="仿宋_GB2312">
    <w:panose1 w:val="02010609030101010101"/>
    <w:charset w:val="86"/>
    <w:family w:val="auto"/>
    <w:pitch w:val="default"/>
    <w:sig w:usb0="00000001" w:usb1="080E0000" w:usb2="00000000" w:usb3="00000000" w:csb0="00040000" w:csb1="00000000"/>
    <w:embedRegular r:id="rId3" w:fontKey="{2597655C-E326-45FE-9D67-9EEE4403AF1B}"/>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embedRegular r:id="rId4" w:fontKey="{3F916E05-EB0F-4841-B5C0-1B7124805FD5}"/>
  </w:font>
  <w:font w:name="微软雅黑">
    <w:panose1 w:val="020B0503020204020204"/>
    <w:charset w:val="86"/>
    <w:family w:val="swiss"/>
    <w:pitch w:val="default"/>
    <w:sig w:usb0="80000287" w:usb1="280F3C52" w:usb2="00000016" w:usb3="00000000" w:csb0="0004001F" w:csb1="00000000"/>
    <w:embedRegular r:id="rId5" w:fontKey="{E50122CD-7070-4669-801B-BDCFE1954B9E}"/>
  </w:font>
  <w:font w:name="方正小标宋简体">
    <w:panose1 w:val="03000509000000000000"/>
    <w:charset w:val="86"/>
    <w:family w:val="auto"/>
    <w:pitch w:val="default"/>
    <w:sig w:usb0="00000001" w:usb1="080E0000" w:usb2="00000000" w:usb3="00000000" w:csb0="00040000" w:csb1="00000000"/>
    <w:embedRegular r:id="rId6" w:fontKey="{A7F7647E-6A0B-4BFD-B21D-0CCF3DD1CC4E}"/>
  </w:font>
  <w:font w:name="楷体_GB2312">
    <w:panose1 w:val="02010609030101010101"/>
    <w:charset w:val="86"/>
    <w:family w:val="modern"/>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embedRegular r:id="rId7" w:fontKey="{F3FCCBF8-B0E9-4436-AC2E-DE5FA143669D}"/>
  </w:font>
  <w:font w:name="方正楷体_GBK">
    <w:altName w:val="微软雅黑"/>
    <w:panose1 w:val="03000509000000000000"/>
    <w:charset w:val="86"/>
    <w:family w:val="auto"/>
    <w:pitch w:val="default"/>
    <w:sig w:usb0="00000000" w:usb1="00000000" w:usb2="00000000" w:usb3="00000000" w:csb0="00040000" w:csb1="00000000"/>
    <w:embedRegular r:id="rId8" w:fontKey="{B4EDD2A1-02F0-4B5C-80F5-A7EF4B3F84C4}"/>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2"/>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2"/>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p>
  </w:footnote>
  <w:footnote w:type="continuationSeparator" w:id="1">
    <w:p>
      <w:pPr>
        <w:ind w:firstLine="64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A90DE5"/>
    <w:multiLevelType w:val="singleLevel"/>
    <w:tmpl w:val="ADA90DE5"/>
    <w:lvl w:ilvl="0" w:tentative="0">
      <w:start w:val="2"/>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D6E84"/>
    <w:rsid w:val="00002DB8"/>
    <w:rsid w:val="000147F4"/>
    <w:rsid w:val="00017371"/>
    <w:rsid w:val="00037F27"/>
    <w:rsid w:val="00051DF6"/>
    <w:rsid w:val="00064742"/>
    <w:rsid w:val="000869F9"/>
    <w:rsid w:val="00095CB9"/>
    <w:rsid w:val="000A1D38"/>
    <w:rsid w:val="000A61A8"/>
    <w:rsid w:val="000D3756"/>
    <w:rsid w:val="000D4867"/>
    <w:rsid w:val="000D546C"/>
    <w:rsid w:val="000F79F1"/>
    <w:rsid w:val="0014306D"/>
    <w:rsid w:val="00154805"/>
    <w:rsid w:val="00164098"/>
    <w:rsid w:val="0016726D"/>
    <w:rsid w:val="00176CC5"/>
    <w:rsid w:val="001804BA"/>
    <w:rsid w:val="001D345E"/>
    <w:rsid w:val="001D54C0"/>
    <w:rsid w:val="001F4A37"/>
    <w:rsid w:val="001F7E49"/>
    <w:rsid w:val="00226B70"/>
    <w:rsid w:val="00236E50"/>
    <w:rsid w:val="0027240E"/>
    <w:rsid w:val="00272BCE"/>
    <w:rsid w:val="00282B84"/>
    <w:rsid w:val="0029232F"/>
    <w:rsid w:val="002C002F"/>
    <w:rsid w:val="002C7A20"/>
    <w:rsid w:val="002D2E2A"/>
    <w:rsid w:val="002F26E1"/>
    <w:rsid w:val="002F38A7"/>
    <w:rsid w:val="0030197D"/>
    <w:rsid w:val="0030758D"/>
    <w:rsid w:val="00314E6D"/>
    <w:rsid w:val="00321FAC"/>
    <w:rsid w:val="00323385"/>
    <w:rsid w:val="00324BDB"/>
    <w:rsid w:val="00335C94"/>
    <w:rsid w:val="00376105"/>
    <w:rsid w:val="00380E20"/>
    <w:rsid w:val="00381D4B"/>
    <w:rsid w:val="003A3D7F"/>
    <w:rsid w:val="003B4DEB"/>
    <w:rsid w:val="003B5397"/>
    <w:rsid w:val="003E221F"/>
    <w:rsid w:val="00407094"/>
    <w:rsid w:val="00424FEF"/>
    <w:rsid w:val="0044253E"/>
    <w:rsid w:val="004553C6"/>
    <w:rsid w:val="004556AF"/>
    <w:rsid w:val="00456737"/>
    <w:rsid w:val="0045765F"/>
    <w:rsid w:val="00465BDB"/>
    <w:rsid w:val="00493860"/>
    <w:rsid w:val="00495B18"/>
    <w:rsid w:val="004A34B1"/>
    <w:rsid w:val="004B56A1"/>
    <w:rsid w:val="004D092A"/>
    <w:rsid w:val="004D7CEE"/>
    <w:rsid w:val="004E23E4"/>
    <w:rsid w:val="004F6421"/>
    <w:rsid w:val="00510DD3"/>
    <w:rsid w:val="0051327D"/>
    <w:rsid w:val="005251A6"/>
    <w:rsid w:val="00533119"/>
    <w:rsid w:val="005355F7"/>
    <w:rsid w:val="005425E0"/>
    <w:rsid w:val="00544BC6"/>
    <w:rsid w:val="00560C10"/>
    <w:rsid w:val="005753CC"/>
    <w:rsid w:val="00576234"/>
    <w:rsid w:val="005934C9"/>
    <w:rsid w:val="005B49B7"/>
    <w:rsid w:val="005C45D1"/>
    <w:rsid w:val="005D0D35"/>
    <w:rsid w:val="005D3FC4"/>
    <w:rsid w:val="005F53B8"/>
    <w:rsid w:val="0060695C"/>
    <w:rsid w:val="00610AB2"/>
    <w:rsid w:val="00614905"/>
    <w:rsid w:val="00671218"/>
    <w:rsid w:val="00680A46"/>
    <w:rsid w:val="00684BBD"/>
    <w:rsid w:val="00686A0D"/>
    <w:rsid w:val="006B3F15"/>
    <w:rsid w:val="006C0485"/>
    <w:rsid w:val="006F5365"/>
    <w:rsid w:val="006F74D7"/>
    <w:rsid w:val="00717735"/>
    <w:rsid w:val="0072524A"/>
    <w:rsid w:val="007333BA"/>
    <w:rsid w:val="00743C88"/>
    <w:rsid w:val="00745194"/>
    <w:rsid w:val="0075708D"/>
    <w:rsid w:val="00775116"/>
    <w:rsid w:val="0077537C"/>
    <w:rsid w:val="007E1ECD"/>
    <w:rsid w:val="007F4215"/>
    <w:rsid w:val="007F4E8D"/>
    <w:rsid w:val="007F5002"/>
    <w:rsid w:val="00800C99"/>
    <w:rsid w:val="008104CE"/>
    <w:rsid w:val="0082640B"/>
    <w:rsid w:val="008435A3"/>
    <w:rsid w:val="00874985"/>
    <w:rsid w:val="008B4778"/>
    <w:rsid w:val="008E5431"/>
    <w:rsid w:val="00901361"/>
    <w:rsid w:val="009023E7"/>
    <w:rsid w:val="00913F39"/>
    <w:rsid w:val="00921CB8"/>
    <w:rsid w:val="00922328"/>
    <w:rsid w:val="00930011"/>
    <w:rsid w:val="009423F3"/>
    <w:rsid w:val="009574AE"/>
    <w:rsid w:val="0096105C"/>
    <w:rsid w:val="009674BC"/>
    <w:rsid w:val="009730EA"/>
    <w:rsid w:val="0097565C"/>
    <w:rsid w:val="00975A6F"/>
    <w:rsid w:val="009A705D"/>
    <w:rsid w:val="009E45EE"/>
    <w:rsid w:val="00A13376"/>
    <w:rsid w:val="00A13F03"/>
    <w:rsid w:val="00A53EFE"/>
    <w:rsid w:val="00A564F5"/>
    <w:rsid w:val="00A60267"/>
    <w:rsid w:val="00A61C23"/>
    <w:rsid w:val="00A63677"/>
    <w:rsid w:val="00A96187"/>
    <w:rsid w:val="00AB6E54"/>
    <w:rsid w:val="00AC1340"/>
    <w:rsid w:val="00AD5A5F"/>
    <w:rsid w:val="00B06B0E"/>
    <w:rsid w:val="00B1439E"/>
    <w:rsid w:val="00B371CD"/>
    <w:rsid w:val="00B440F7"/>
    <w:rsid w:val="00B47D94"/>
    <w:rsid w:val="00B51B0F"/>
    <w:rsid w:val="00B5417D"/>
    <w:rsid w:val="00B57C20"/>
    <w:rsid w:val="00B62245"/>
    <w:rsid w:val="00B87A1F"/>
    <w:rsid w:val="00B92ED9"/>
    <w:rsid w:val="00BA5A12"/>
    <w:rsid w:val="00BA61F5"/>
    <w:rsid w:val="00BB134F"/>
    <w:rsid w:val="00BC709A"/>
    <w:rsid w:val="00BC78DA"/>
    <w:rsid w:val="00BD5B50"/>
    <w:rsid w:val="00BD63C3"/>
    <w:rsid w:val="00C13790"/>
    <w:rsid w:val="00C16929"/>
    <w:rsid w:val="00C2209A"/>
    <w:rsid w:val="00C30D10"/>
    <w:rsid w:val="00C35060"/>
    <w:rsid w:val="00C43C6F"/>
    <w:rsid w:val="00C57926"/>
    <w:rsid w:val="00C579FD"/>
    <w:rsid w:val="00C75B14"/>
    <w:rsid w:val="00C83805"/>
    <w:rsid w:val="00C94DBD"/>
    <w:rsid w:val="00CB066A"/>
    <w:rsid w:val="00CB7502"/>
    <w:rsid w:val="00CC48B2"/>
    <w:rsid w:val="00CC4B17"/>
    <w:rsid w:val="00CC70C1"/>
    <w:rsid w:val="00D0306D"/>
    <w:rsid w:val="00D13CEC"/>
    <w:rsid w:val="00D52DB7"/>
    <w:rsid w:val="00D67E22"/>
    <w:rsid w:val="00DA0BB2"/>
    <w:rsid w:val="00DB4809"/>
    <w:rsid w:val="00DB64D2"/>
    <w:rsid w:val="00DC3456"/>
    <w:rsid w:val="00DD10F7"/>
    <w:rsid w:val="00DD480D"/>
    <w:rsid w:val="00DD4AA4"/>
    <w:rsid w:val="00DF1B11"/>
    <w:rsid w:val="00DF28E0"/>
    <w:rsid w:val="00E119D3"/>
    <w:rsid w:val="00E257E5"/>
    <w:rsid w:val="00E417B9"/>
    <w:rsid w:val="00E849C9"/>
    <w:rsid w:val="00E954DF"/>
    <w:rsid w:val="00EA284B"/>
    <w:rsid w:val="00EE2C6A"/>
    <w:rsid w:val="00F214AB"/>
    <w:rsid w:val="00F30F47"/>
    <w:rsid w:val="00F5361E"/>
    <w:rsid w:val="00F80680"/>
    <w:rsid w:val="00F9332B"/>
    <w:rsid w:val="00FB5752"/>
    <w:rsid w:val="00FB7E5A"/>
    <w:rsid w:val="00FF0F8D"/>
    <w:rsid w:val="00FF17BD"/>
    <w:rsid w:val="01EC21CD"/>
    <w:rsid w:val="020F1BB2"/>
    <w:rsid w:val="0224187C"/>
    <w:rsid w:val="026003DA"/>
    <w:rsid w:val="02C82C8C"/>
    <w:rsid w:val="03212BEA"/>
    <w:rsid w:val="040464D1"/>
    <w:rsid w:val="045675FF"/>
    <w:rsid w:val="04A67C39"/>
    <w:rsid w:val="055F2A5D"/>
    <w:rsid w:val="05794F2C"/>
    <w:rsid w:val="05A84572"/>
    <w:rsid w:val="05EF21A1"/>
    <w:rsid w:val="06180A5E"/>
    <w:rsid w:val="065F3AA3"/>
    <w:rsid w:val="066A64D9"/>
    <w:rsid w:val="06BA1A15"/>
    <w:rsid w:val="06CD031A"/>
    <w:rsid w:val="071A7357"/>
    <w:rsid w:val="074613FE"/>
    <w:rsid w:val="07A51FD0"/>
    <w:rsid w:val="07D224E1"/>
    <w:rsid w:val="08523B4C"/>
    <w:rsid w:val="08557237"/>
    <w:rsid w:val="08DC45DE"/>
    <w:rsid w:val="08F63846"/>
    <w:rsid w:val="09490DC9"/>
    <w:rsid w:val="09540C99"/>
    <w:rsid w:val="099B3C92"/>
    <w:rsid w:val="09AD4668"/>
    <w:rsid w:val="0A1C108A"/>
    <w:rsid w:val="0AB302D0"/>
    <w:rsid w:val="0B163B8A"/>
    <w:rsid w:val="0CB4123F"/>
    <w:rsid w:val="0DA720B2"/>
    <w:rsid w:val="0DF33CF1"/>
    <w:rsid w:val="0DF9068A"/>
    <w:rsid w:val="0E917EB1"/>
    <w:rsid w:val="0EC75A69"/>
    <w:rsid w:val="10305E45"/>
    <w:rsid w:val="110348F8"/>
    <w:rsid w:val="11084FF5"/>
    <w:rsid w:val="11975CDA"/>
    <w:rsid w:val="11BD15B6"/>
    <w:rsid w:val="123478B9"/>
    <w:rsid w:val="124B7080"/>
    <w:rsid w:val="12573F25"/>
    <w:rsid w:val="128923BC"/>
    <w:rsid w:val="13180760"/>
    <w:rsid w:val="13802975"/>
    <w:rsid w:val="13931B54"/>
    <w:rsid w:val="13AD1A1B"/>
    <w:rsid w:val="141A2ADF"/>
    <w:rsid w:val="142E0338"/>
    <w:rsid w:val="150F3D73"/>
    <w:rsid w:val="15B44C2C"/>
    <w:rsid w:val="15D65D0C"/>
    <w:rsid w:val="174A1CE9"/>
    <w:rsid w:val="17AF79E2"/>
    <w:rsid w:val="1806066B"/>
    <w:rsid w:val="185B4D76"/>
    <w:rsid w:val="186B2A73"/>
    <w:rsid w:val="186C26E7"/>
    <w:rsid w:val="18A73579"/>
    <w:rsid w:val="18AC4BEC"/>
    <w:rsid w:val="18B23597"/>
    <w:rsid w:val="18BE0B93"/>
    <w:rsid w:val="18F13D79"/>
    <w:rsid w:val="191F193A"/>
    <w:rsid w:val="19AE3232"/>
    <w:rsid w:val="19F8741E"/>
    <w:rsid w:val="1A1636E5"/>
    <w:rsid w:val="1AEFC7C4"/>
    <w:rsid w:val="1B677F47"/>
    <w:rsid w:val="1B9D6E77"/>
    <w:rsid w:val="1C0F3059"/>
    <w:rsid w:val="1C1C65A5"/>
    <w:rsid w:val="1C5A2CC2"/>
    <w:rsid w:val="1C9D2ED2"/>
    <w:rsid w:val="1CA90611"/>
    <w:rsid w:val="1CEC5C03"/>
    <w:rsid w:val="1D011140"/>
    <w:rsid w:val="1D0D0336"/>
    <w:rsid w:val="1D0D23D8"/>
    <w:rsid w:val="1D3E1D99"/>
    <w:rsid w:val="1D593595"/>
    <w:rsid w:val="1D9C3B06"/>
    <w:rsid w:val="1DA47B17"/>
    <w:rsid w:val="1DFF3D09"/>
    <w:rsid w:val="1E0569BD"/>
    <w:rsid w:val="1E061BD3"/>
    <w:rsid w:val="1E7F2796"/>
    <w:rsid w:val="1EFD95F1"/>
    <w:rsid w:val="1F34092D"/>
    <w:rsid w:val="1F393551"/>
    <w:rsid w:val="1F3B41CE"/>
    <w:rsid w:val="1F901C0E"/>
    <w:rsid w:val="1FEF24C9"/>
    <w:rsid w:val="206F7AF4"/>
    <w:rsid w:val="20E046BC"/>
    <w:rsid w:val="20FC3541"/>
    <w:rsid w:val="210272B2"/>
    <w:rsid w:val="21584337"/>
    <w:rsid w:val="215E7BD6"/>
    <w:rsid w:val="2206017E"/>
    <w:rsid w:val="22F619EB"/>
    <w:rsid w:val="236A036F"/>
    <w:rsid w:val="237C130A"/>
    <w:rsid w:val="248C05AE"/>
    <w:rsid w:val="2492046F"/>
    <w:rsid w:val="24B07200"/>
    <w:rsid w:val="24C5517D"/>
    <w:rsid w:val="262E14DF"/>
    <w:rsid w:val="26F332A9"/>
    <w:rsid w:val="27A51672"/>
    <w:rsid w:val="28C9753E"/>
    <w:rsid w:val="28CD2D8F"/>
    <w:rsid w:val="29236FB6"/>
    <w:rsid w:val="297E7214"/>
    <w:rsid w:val="29C76E0D"/>
    <w:rsid w:val="29DC0639"/>
    <w:rsid w:val="2A763144"/>
    <w:rsid w:val="2AB062D6"/>
    <w:rsid w:val="2AE96E77"/>
    <w:rsid w:val="2B0F281A"/>
    <w:rsid w:val="2B1970DD"/>
    <w:rsid w:val="2B367851"/>
    <w:rsid w:val="2B4B699D"/>
    <w:rsid w:val="2BC67260"/>
    <w:rsid w:val="2C0A7784"/>
    <w:rsid w:val="2C174D80"/>
    <w:rsid w:val="2C38203C"/>
    <w:rsid w:val="2C6B6BFD"/>
    <w:rsid w:val="2C737FE6"/>
    <w:rsid w:val="2C8E5D89"/>
    <w:rsid w:val="2CD37E12"/>
    <w:rsid w:val="2CD755B9"/>
    <w:rsid w:val="2D17784C"/>
    <w:rsid w:val="2D3042B4"/>
    <w:rsid w:val="2DE4019A"/>
    <w:rsid w:val="2E5D019E"/>
    <w:rsid w:val="2E8615B9"/>
    <w:rsid w:val="2F155450"/>
    <w:rsid w:val="2FDB756B"/>
    <w:rsid w:val="30761B12"/>
    <w:rsid w:val="309B51CA"/>
    <w:rsid w:val="30BB776F"/>
    <w:rsid w:val="313F0A10"/>
    <w:rsid w:val="315F792B"/>
    <w:rsid w:val="316905DC"/>
    <w:rsid w:val="319C6AAF"/>
    <w:rsid w:val="31D76878"/>
    <w:rsid w:val="321B22D8"/>
    <w:rsid w:val="32A54B04"/>
    <w:rsid w:val="33265B78"/>
    <w:rsid w:val="33AB32FB"/>
    <w:rsid w:val="33B95A18"/>
    <w:rsid w:val="34234796"/>
    <w:rsid w:val="34CC6612"/>
    <w:rsid w:val="351E26B5"/>
    <w:rsid w:val="353D2A2D"/>
    <w:rsid w:val="35567C8C"/>
    <w:rsid w:val="35697A23"/>
    <w:rsid w:val="35780FBB"/>
    <w:rsid w:val="35871BDF"/>
    <w:rsid w:val="35E504C5"/>
    <w:rsid w:val="36034D29"/>
    <w:rsid w:val="36222CDF"/>
    <w:rsid w:val="36CE12D5"/>
    <w:rsid w:val="37185AC8"/>
    <w:rsid w:val="372A2E2F"/>
    <w:rsid w:val="372DB36E"/>
    <w:rsid w:val="37585E9D"/>
    <w:rsid w:val="376E36B0"/>
    <w:rsid w:val="37EF6EDE"/>
    <w:rsid w:val="37FF960C"/>
    <w:rsid w:val="38114124"/>
    <w:rsid w:val="384635F3"/>
    <w:rsid w:val="386151D3"/>
    <w:rsid w:val="389E342F"/>
    <w:rsid w:val="39154520"/>
    <w:rsid w:val="392A5822"/>
    <w:rsid w:val="3937F6AA"/>
    <w:rsid w:val="3B7F2CA0"/>
    <w:rsid w:val="3BFB24C5"/>
    <w:rsid w:val="3C3A7743"/>
    <w:rsid w:val="3CD62A5B"/>
    <w:rsid w:val="3D0D634E"/>
    <w:rsid w:val="3DC769AA"/>
    <w:rsid w:val="3DE61549"/>
    <w:rsid w:val="3E244793"/>
    <w:rsid w:val="3E3F073C"/>
    <w:rsid w:val="3E6033F9"/>
    <w:rsid w:val="3E7C1E93"/>
    <w:rsid w:val="3EDD1BB6"/>
    <w:rsid w:val="3EDE03DB"/>
    <w:rsid w:val="3EDEB49F"/>
    <w:rsid w:val="3EEF0137"/>
    <w:rsid w:val="3EEF6DFD"/>
    <w:rsid w:val="3EF178DA"/>
    <w:rsid w:val="3F08667C"/>
    <w:rsid w:val="3F19188D"/>
    <w:rsid w:val="3F2FFDF2"/>
    <w:rsid w:val="3F5699C8"/>
    <w:rsid w:val="3F7EABD8"/>
    <w:rsid w:val="3F890995"/>
    <w:rsid w:val="3FAEFDAF"/>
    <w:rsid w:val="3FBF81A0"/>
    <w:rsid w:val="3FCB0902"/>
    <w:rsid w:val="3FDF3394"/>
    <w:rsid w:val="3FEE21D4"/>
    <w:rsid w:val="3FEFA74B"/>
    <w:rsid w:val="403B6548"/>
    <w:rsid w:val="4080550B"/>
    <w:rsid w:val="413628BB"/>
    <w:rsid w:val="41E12803"/>
    <w:rsid w:val="423A0160"/>
    <w:rsid w:val="427053C6"/>
    <w:rsid w:val="42B424FC"/>
    <w:rsid w:val="434A0471"/>
    <w:rsid w:val="434D13F6"/>
    <w:rsid w:val="43AA5013"/>
    <w:rsid w:val="440A08B0"/>
    <w:rsid w:val="444D1753"/>
    <w:rsid w:val="44723EF9"/>
    <w:rsid w:val="44CE29A6"/>
    <w:rsid w:val="45297073"/>
    <w:rsid w:val="45FA7D5B"/>
    <w:rsid w:val="463C3FDA"/>
    <w:rsid w:val="464973C8"/>
    <w:rsid w:val="4671257C"/>
    <w:rsid w:val="46746217"/>
    <w:rsid w:val="467D48C8"/>
    <w:rsid w:val="46C31CAD"/>
    <w:rsid w:val="476F1AEF"/>
    <w:rsid w:val="477B997D"/>
    <w:rsid w:val="47C01064"/>
    <w:rsid w:val="47EB3EDD"/>
    <w:rsid w:val="47F3154D"/>
    <w:rsid w:val="47F77BA0"/>
    <w:rsid w:val="48013092"/>
    <w:rsid w:val="4A2F3EE7"/>
    <w:rsid w:val="4A516B89"/>
    <w:rsid w:val="4ABD70AF"/>
    <w:rsid w:val="4ABD8515"/>
    <w:rsid w:val="4AD0216C"/>
    <w:rsid w:val="4B5A14BE"/>
    <w:rsid w:val="4B617C59"/>
    <w:rsid w:val="4BA11275"/>
    <w:rsid w:val="4C484637"/>
    <w:rsid w:val="4C522847"/>
    <w:rsid w:val="4CA94424"/>
    <w:rsid w:val="4CF447AA"/>
    <w:rsid w:val="4D0B0F0D"/>
    <w:rsid w:val="4D232B87"/>
    <w:rsid w:val="4D4D0474"/>
    <w:rsid w:val="4D727F75"/>
    <w:rsid w:val="4D7C592E"/>
    <w:rsid w:val="4DB210B7"/>
    <w:rsid w:val="4E2B0810"/>
    <w:rsid w:val="4E467027"/>
    <w:rsid w:val="4E5C5E63"/>
    <w:rsid w:val="4E7F9933"/>
    <w:rsid w:val="4E8F7EF8"/>
    <w:rsid w:val="4EFFF11F"/>
    <w:rsid w:val="4F675ED1"/>
    <w:rsid w:val="4FA17E35"/>
    <w:rsid w:val="4FBDEA83"/>
    <w:rsid w:val="50A865C8"/>
    <w:rsid w:val="50E23A41"/>
    <w:rsid w:val="50EC2B32"/>
    <w:rsid w:val="51520015"/>
    <w:rsid w:val="52351ED3"/>
    <w:rsid w:val="52545EEE"/>
    <w:rsid w:val="52821493"/>
    <w:rsid w:val="529A395F"/>
    <w:rsid w:val="52D12EEC"/>
    <w:rsid w:val="534519E9"/>
    <w:rsid w:val="535FF3DC"/>
    <w:rsid w:val="537427A1"/>
    <w:rsid w:val="5411028D"/>
    <w:rsid w:val="54EE52BA"/>
    <w:rsid w:val="557700D4"/>
    <w:rsid w:val="55A90FF1"/>
    <w:rsid w:val="55AF10A8"/>
    <w:rsid w:val="560B273A"/>
    <w:rsid w:val="56431446"/>
    <w:rsid w:val="564E64E5"/>
    <w:rsid w:val="566A6BBA"/>
    <w:rsid w:val="56E65A88"/>
    <w:rsid w:val="56FD5545"/>
    <w:rsid w:val="57BA117B"/>
    <w:rsid w:val="57EEBE0D"/>
    <w:rsid w:val="57F3B333"/>
    <w:rsid w:val="58AC6E98"/>
    <w:rsid w:val="58BC730B"/>
    <w:rsid w:val="592503CD"/>
    <w:rsid w:val="59312E89"/>
    <w:rsid w:val="5942358D"/>
    <w:rsid w:val="59BB6D2D"/>
    <w:rsid w:val="5A8F6766"/>
    <w:rsid w:val="5ABB751B"/>
    <w:rsid w:val="5B6D2D12"/>
    <w:rsid w:val="5B7F3065"/>
    <w:rsid w:val="5BCFB99A"/>
    <w:rsid w:val="5BD72484"/>
    <w:rsid w:val="5C40325D"/>
    <w:rsid w:val="5C672E38"/>
    <w:rsid w:val="5CB32AF6"/>
    <w:rsid w:val="5D7A04C7"/>
    <w:rsid w:val="5D8B3B05"/>
    <w:rsid w:val="5D997D60"/>
    <w:rsid w:val="5D99F8E0"/>
    <w:rsid w:val="5DC60F6E"/>
    <w:rsid w:val="5E0C4813"/>
    <w:rsid w:val="5E1437C2"/>
    <w:rsid w:val="5E8B2D3C"/>
    <w:rsid w:val="5ECF55A4"/>
    <w:rsid w:val="5EFF0D64"/>
    <w:rsid w:val="5F104EDF"/>
    <w:rsid w:val="5F192012"/>
    <w:rsid w:val="5FB069F0"/>
    <w:rsid w:val="5FD749AD"/>
    <w:rsid w:val="5FEB8CF1"/>
    <w:rsid w:val="5FED3539"/>
    <w:rsid w:val="600F359C"/>
    <w:rsid w:val="6030505D"/>
    <w:rsid w:val="604B10CD"/>
    <w:rsid w:val="60D333C6"/>
    <w:rsid w:val="61662B20"/>
    <w:rsid w:val="61AB6AB3"/>
    <w:rsid w:val="61F45CEA"/>
    <w:rsid w:val="620E48A7"/>
    <w:rsid w:val="6251635C"/>
    <w:rsid w:val="625D436D"/>
    <w:rsid w:val="627D6E84"/>
    <w:rsid w:val="628619B0"/>
    <w:rsid w:val="62E50DCE"/>
    <w:rsid w:val="62E64248"/>
    <w:rsid w:val="63497D41"/>
    <w:rsid w:val="637B7292"/>
    <w:rsid w:val="63F1079D"/>
    <w:rsid w:val="640826E4"/>
    <w:rsid w:val="66431733"/>
    <w:rsid w:val="665527F8"/>
    <w:rsid w:val="668A4184"/>
    <w:rsid w:val="66CD3C37"/>
    <w:rsid w:val="673B1DCF"/>
    <w:rsid w:val="674E4EE0"/>
    <w:rsid w:val="67693AB6"/>
    <w:rsid w:val="67DEFF5D"/>
    <w:rsid w:val="68085572"/>
    <w:rsid w:val="6827283B"/>
    <w:rsid w:val="68511752"/>
    <w:rsid w:val="6878185A"/>
    <w:rsid w:val="68935E39"/>
    <w:rsid w:val="6910765A"/>
    <w:rsid w:val="692E7F1E"/>
    <w:rsid w:val="696EE655"/>
    <w:rsid w:val="6AE42CD9"/>
    <w:rsid w:val="6BD0197E"/>
    <w:rsid w:val="6C0618C6"/>
    <w:rsid w:val="6C557C30"/>
    <w:rsid w:val="6C846C16"/>
    <w:rsid w:val="6CD2018C"/>
    <w:rsid w:val="6CEA7225"/>
    <w:rsid w:val="6DAC4F96"/>
    <w:rsid w:val="6DE50BDD"/>
    <w:rsid w:val="6DF93CB0"/>
    <w:rsid w:val="6E4C55AB"/>
    <w:rsid w:val="6E6D049B"/>
    <w:rsid w:val="6E9274BA"/>
    <w:rsid w:val="6EBF3408"/>
    <w:rsid w:val="6EDE01A3"/>
    <w:rsid w:val="6EEB2223"/>
    <w:rsid w:val="6F1D23A3"/>
    <w:rsid w:val="6F285C6B"/>
    <w:rsid w:val="6F2F0911"/>
    <w:rsid w:val="6F431D56"/>
    <w:rsid w:val="6F614293"/>
    <w:rsid w:val="6F6F072C"/>
    <w:rsid w:val="6F6F4A3E"/>
    <w:rsid w:val="6FA22A7F"/>
    <w:rsid w:val="6FA80254"/>
    <w:rsid w:val="6FE74667"/>
    <w:rsid w:val="6FECB9BA"/>
    <w:rsid w:val="6FFD2F26"/>
    <w:rsid w:val="70A94143"/>
    <w:rsid w:val="70C35865"/>
    <w:rsid w:val="71205936"/>
    <w:rsid w:val="71E33FE3"/>
    <w:rsid w:val="71FE226D"/>
    <w:rsid w:val="72610EF3"/>
    <w:rsid w:val="726FF363"/>
    <w:rsid w:val="72C248D3"/>
    <w:rsid w:val="731D378C"/>
    <w:rsid w:val="73615CC8"/>
    <w:rsid w:val="73A0137D"/>
    <w:rsid w:val="73EE7F6F"/>
    <w:rsid w:val="741F3DA6"/>
    <w:rsid w:val="74BA0706"/>
    <w:rsid w:val="74BF7515"/>
    <w:rsid w:val="74C958A7"/>
    <w:rsid w:val="74E102DB"/>
    <w:rsid w:val="74EB65DA"/>
    <w:rsid w:val="75DD6CCA"/>
    <w:rsid w:val="75E36878"/>
    <w:rsid w:val="75F95986"/>
    <w:rsid w:val="75FB43F7"/>
    <w:rsid w:val="765FA2B6"/>
    <w:rsid w:val="76FF8596"/>
    <w:rsid w:val="776744A6"/>
    <w:rsid w:val="7770654D"/>
    <w:rsid w:val="77BE9E3E"/>
    <w:rsid w:val="77DF3EA2"/>
    <w:rsid w:val="77E750A0"/>
    <w:rsid w:val="77F380F4"/>
    <w:rsid w:val="77F65DDE"/>
    <w:rsid w:val="77FE1FB0"/>
    <w:rsid w:val="77FF43EC"/>
    <w:rsid w:val="78170973"/>
    <w:rsid w:val="78C61DFA"/>
    <w:rsid w:val="790E44C6"/>
    <w:rsid w:val="79597C24"/>
    <w:rsid w:val="79753D53"/>
    <w:rsid w:val="799BE2CA"/>
    <w:rsid w:val="79EC63CA"/>
    <w:rsid w:val="79FFE14B"/>
    <w:rsid w:val="7A1001C8"/>
    <w:rsid w:val="7A1A2F08"/>
    <w:rsid w:val="7A1C74E4"/>
    <w:rsid w:val="7A5614BD"/>
    <w:rsid w:val="7A6D2F5B"/>
    <w:rsid w:val="7A7FA202"/>
    <w:rsid w:val="7A91596F"/>
    <w:rsid w:val="7AB62E70"/>
    <w:rsid w:val="7ACB44AE"/>
    <w:rsid w:val="7B29189C"/>
    <w:rsid w:val="7B6F4190"/>
    <w:rsid w:val="7B77F188"/>
    <w:rsid w:val="7BB84C98"/>
    <w:rsid w:val="7BD75FEF"/>
    <w:rsid w:val="7BDA2241"/>
    <w:rsid w:val="7BDC3390"/>
    <w:rsid w:val="7BED0B3E"/>
    <w:rsid w:val="7BFA60EC"/>
    <w:rsid w:val="7BFDFAA4"/>
    <w:rsid w:val="7C8C0861"/>
    <w:rsid w:val="7CAFAE26"/>
    <w:rsid w:val="7CD0065E"/>
    <w:rsid w:val="7CDB7433"/>
    <w:rsid w:val="7D002024"/>
    <w:rsid w:val="7D276755"/>
    <w:rsid w:val="7D66770B"/>
    <w:rsid w:val="7D677DCC"/>
    <w:rsid w:val="7D7358BD"/>
    <w:rsid w:val="7D7A1B55"/>
    <w:rsid w:val="7D7E7C73"/>
    <w:rsid w:val="7D7FB436"/>
    <w:rsid w:val="7DD51093"/>
    <w:rsid w:val="7DDA5BF1"/>
    <w:rsid w:val="7DF42531"/>
    <w:rsid w:val="7DF80F37"/>
    <w:rsid w:val="7DFE04D9"/>
    <w:rsid w:val="7DFF2C87"/>
    <w:rsid w:val="7E4D5E10"/>
    <w:rsid w:val="7E6FAF13"/>
    <w:rsid w:val="7E9A5875"/>
    <w:rsid w:val="7EC37706"/>
    <w:rsid w:val="7EDAC863"/>
    <w:rsid w:val="7EEDC6AC"/>
    <w:rsid w:val="7EFC5D86"/>
    <w:rsid w:val="7EFEA02D"/>
    <w:rsid w:val="7F3F0508"/>
    <w:rsid w:val="7F5FD149"/>
    <w:rsid w:val="7F653D2E"/>
    <w:rsid w:val="7F680D73"/>
    <w:rsid w:val="7F6ABDB6"/>
    <w:rsid w:val="7F7BFD0C"/>
    <w:rsid w:val="7F7EB6C9"/>
    <w:rsid w:val="7F7FC94D"/>
    <w:rsid w:val="7FBBE241"/>
    <w:rsid w:val="7FC532D6"/>
    <w:rsid w:val="7FD92A36"/>
    <w:rsid w:val="7FD94C16"/>
    <w:rsid w:val="7FDB6C55"/>
    <w:rsid w:val="7FE10778"/>
    <w:rsid w:val="7FE1C2BA"/>
    <w:rsid w:val="7FEFBC5C"/>
    <w:rsid w:val="7FF42EB6"/>
    <w:rsid w:val="7FFB7A55"/>
    <w:rsid w:val="7FFD8FC7"/>
    <w:rsid w:val="7FFF653C"/>
    <w:rsid w:val="7FFF7A95"/>
    <w:rsid w:val="7FFF9879"/>
    <w:rsid w:val="7FFFD4BA"/>
    <w:rsid w:val="8DDD2257"/>
    <w:rsid w:val="8EFFA55D"/>
    <w:rsid w:val="8F1F6124"/>
    <w:rsid w:val="917B7F22"/>
    <w:rsid w:val="93A70228"/>
    <w:rsid w:val="9BBF080D"/>
    <w:rsid w:val="9BDB42A2"/>
    <w:rsid w:val="9F43614F"/>
    <w:rsid w:val="9FEFCF29"/>
    <w:rsid w:val="AF7F54B6"/>
    <w:rsid w:val="AFAF1523"/>
    <w:rsid w:val="AFEB46EA"/>
    <w:rsid w:val="B56F487B"/>
    <w:rsid w:val="B77F4B4D"/>
    <w:rsid w:val="B7AD23C6"/>
    <w:rsid w:val="B9B7B690"/>
    <w:rsid w:val="BAFF4409"/>
    <w:rsid w:val="BBFF7BDB"/>
    <w:rsid w:val="BDFB1F8A"/>
    <w:rsid w:val="BFAE79B2"/>
    <w:rsid w:val="BFAF4FE2"/>
    <w:rsid w:val="BFBD7D94"/>
    <w:rsid w:val="BFFA6B55"/>
    <w:rsid w:val="BFFF47C0"/>
    <w:rsid w:val="CB2F76AE"/>
    <w:rsid w:val="CBE702A8"/>
    <w:rsid w:val="CBFFECE0"/>
    <w:rsid w:val="CDFB158C"/>
    <w:rsid w:val="CDFB96F0"/>
    <w:rsid w:val="CFFE57DA"/>
    <w:rsid w:val="D3BBCD12"/>
    <w:rsid w:val="D3F399AF"/>
    <w:rsid w:val="D55F4B51"/>
    <w:rsid w:val="D7E528AD"/>
    <w:rsid w:val="D7FD1E84"/>
    <w:rsid w:val="DBFE58EF"/>
    <w:rsid w:val="DC337837"/>
    <w:rsid w:val="DCFE99FC"/>
    <w:rsid w:val="DDDA4BFD"/>
    <w:rsid w:val="DE4DAB14"/>
    <w:rsid w:val="DEAC7E31"/>
    <w:rsid w:val="DF5B4633"/>
    <w:rsid w:val="DF5EAAC2"/>
    <w:rsid w:val="DF6DF114"/>
    <w:rsid w:val="DFBB3F93"/>
    <w:rsid w:val="DFBEA140"/>
    <w:rsid w:val="DFDF9969"/>
    <w:rsid w:val="E47FCAC6"/>
    <w:rsid w:val="E64D7931"/>
    <w:rsid w:val="E6B32059"/>
    <w:rsid w:val="E6F2EF8F"/>
    <w:rsid w:val="E7DE4DD0"/>
    <w:rsid w:val="E9E499E6"/>
    <w:rsid w:val="EB9FF2A7"/>
    <w:rsid w:val="EBB9DCFF"/>
    <w:rsid w:val="EBDFE3EB"/>
    <w:rsid w:val="EBFEFBE2"/>
    <w:rsid w:val="ECF6A121"/>
    <w:rsid w:val="EDFF4DA9"/>
    <w:rsid w:val="EF476429"/>
    <w:rsid w:val="EF6FE104"/>
    <w:rsid w:val="EF87792E"/>
    <w:rsid w:val="EF9E13DE"/>
    <w:rsid w:val="EFE9FD8E"/>
    <w:rsid w:val="EFFD5C48"/>
    <w:rsid w:val="EFFD8D55"/>
    <w:rsid w:val="F1FF6A62"/>
    <w:rsid w:val="F35D6D55"/>
    <w:rsid w:val="F37EA1F7"/>
    <w:rsid w:val="F3C7CA0A"/>
    <w:rsid w:val="F57F1321"/>
    <w:rsid w:val="F5F55A99"/>
    <w:rsid w:val="F77BF7F8"/>
    <w:rsid w:val="F77F31B1"/>
    <w:rsid w:val="F7FBE09F"/>
    <w:rsid w:val="F87D09DC"/>
    <w:rsid w:val="F95BD7C8"/>
    <w:rsid w:val="F99D1C57"/>
    <w:rsid w:val="FB77BCDA"/>
    <w:rsid w:val="FBD49F3D"/>
    <w:rsid w:val="FBF7AA61"/>
    <w:rsid w:val="FBFB714A"/>
    <w:rsid w:val="FCEE3213"/>
    <w:rsid w:val="FDA744D0"/>
    <w:rsid w:val="FDB9A1D8"/>
    <w:rsid w:val="FDBFDF9A"/>
    <w:rsid w:val="FDDE9D9D"/>
    <w:rsid w:val="FDEF2EA2"/>
    <w:rsid w:val="FDFED380"/>
    <w:rsid w:val="FDFF544A"/>
    <w:rsid w:val="FDFFD371"/>
    <w:rsid w:val="FE3B223B"/>
    <w:rsid w:val="FE5B7485"/>
    <w:rsid w:val="FEFFD15A"/>
    <w:rsid w:val="FF35479D"/>
    <w:rsid w:val="FF56B6C6"/>
    <w:rsid w:val="FF7E2C4E"/>
    <w:rsid w:val="FF7F60F6"/>
    <w:rsid w:val="FFB3F598"/>
    <w:rsid w:val="FFBF8486"/>
    <w:rsid w:val="FFDF1C58"/>
    <w:rsid w:val="FFF657F0"/>
    <w:rsid w:val="FFFDDAC5"/>
    <w:rsid w:val="FFFFC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等线" w:hAnsi="等线" w:eastAsia="仿宋_GB2312" w:cs="黑体"/>
      <w:kern w:val="2"/>
      <w:sz w:val="32"/>
      <w:szCs w:val="22"/>
      <w:lang w:val="en-US" w:eastAsia="zh-CN" w:bidi="ar-SA"/>
    </w:rPr>
  </w:style>
  <w:style w:type="paragraph" w:styleId="2">
    <w:name w:val="heading 1"/>
    <w:basedOn w:val="1"/>
    <w:next w:val="1"/>
    <w:qFormat/>
    <w:uiPriority w:val="9"/>
    <w:pPr>
      <w:keepNext/>
      <w:keepLines/>
      <w:spacing w:before="50" w:beforeLines="50" w:after="50" w:afterLines="50"/>
      <w:ind w:firstLine="0" w:firstLineChars="0"/>
      <w:jc w:val="center"/>
      <w:outlineLvl w:val="0"/>
    </w:pPr>
    <w:rPr>
      <w:rFonts w:eastAsia="华文中宋"/>
      <w:b/>
      <w:kern w:val="44"/>
    </w:rPr>
  </w:style>
  <w:style w:type="paragraph" w:styleId="3">
    <w:name w:val="heading 2"/>
    <w:basedOn w:val="1"/>
    <w:next w:val="1"/>
    <w:qFormat/>
    <w:uiPriority w:val="9"/>
    <w:pPr>
      <w:keepNext/>
      <w:keepLines/>
      <w:ind w:firstLine="643"/>
      <w:jc w:val="left"/>
      <w:outlineLvl w:val="1"/>
    </w:pPr>
    <w:rPr>
      <w:rFonts w:ascii="Arial" w:hAnsi="Arial" w:eastAsia="黑体"/>
      <w:b/>
    </w:rPr>
  </w:style>
  <w:style w:type="paragraph" w:styleId="4">
    <w:name w:val="heading 3"/>
    <w:basedOn w:val="1"/>
    <w:next w:val="1"/>
    <w:link w:val="25"/>
    <w:qFormat/>
    <w:uiPriority w:val="9"/>
    <w:pPr>
      <w:keepNext/>
      <w:keepLines/>
      <w:outlineLvl w:val="2"/>
    </w:pPr>
    <w:rPr>
      <w:rFonts w:eastAsia="楷体"/>
      <w:b/>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Times New Roman" w:hAnsi="Times New Roman" w:eastAsia="宋体" w:cs="Times New Roman"/>
      <w:szCs w:val="24"/>
    </w:rPr>
  </w:style>
  <w:style w:type="paragraph" w:styleId="7">
    <w:name w:val="annotation text"/>
    <w:basedOn w:val="1"/>
    <w:qFormat/>
    <w:uiPriority w:val="0"/>
    <w:pPr>
      <w:jc w:val="left"/>
    </w:pPr>
  </w:style>
  <w:style w:type="paragraph" w:styleId="8">
    <w:name w:val="Body Text"/>
    <w:basedOn w:val="1"/>
    <w:next w:val="9"/>
    <w:qFormat/>
    <w:uiPriority w:val="0"/>
    <w:pPr>
      <w:spacing w:after="140" w:line="276" w:lineRule="auto"/>
    </w:pPr>
  </w:style>
  <w:style w:type="paragraph" w:customStyle="1" w:styleId="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0">
    <w:name w:val="toc 3"/>
    <w:basedOn w:val="1"/>
    <w:next w:val="1"/>
    <w:qFormat/>
    <w:uiPriority w:val="39"/>
    <w:pPr>
      <w:ind w:left="840" w:leftChars="400"/>
    </w:pPr>
  </w:style>
  <w:style w:type="paragraph" w:styleId="11">
    <w:name w:val="Plain Text"/>
    <w:next w:val="1"/>
    <w:qFormat/>
    <w:uiPriority w:val="0"/>
    <w:pPr>
      <w:widowControl w:val="0"/>
      <w:jc w:val="both"/>
    </w:pPr>
    <w:rPr>
      <w:rFonts w:ascii="宋体" w:hAnsi="Courier New" w:eastAsia="宋体" w:cs="Times New Roman"/>
      <w:kern w:val="2"/>
      <w:sz w:val="21"/>
      <w:lang w:val="en-US" w:eastAsia="zh-CN"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99"/>
    <w:pP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footnote text"/>
    <w:basedOn w:val="1"/>
    <w:link w:val="24"/>
    <w:qFormat/>
    <w:uiPriority w:val="99"/>
    <w:pPr>
      <w:snapToGrid w:val="0"/>
      <w:jc w:val="left"/>
    </w:pPr>
    <w:rPr>
      <w:sz w:val="18"/>
      <w:szCs w:val="18"/>
    </w:rPr>
  </w:style>
  <w:style w:type="paragraph" w:styleId="16">
    <w:name w:val="toc 2"/>
    <w:basedOn w:val="1"/>
    <w:next w:val="1"/>
    <w:qFormat/>
    <w:uiPriority w:val="39"/>
    <w:pPr>
      <w:ind w:left="420" w:leftChars="200"/>
    </w:pPr>
  </w:style>
  <w:style w:type="table" w:styleId="1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0">
    <w:name w:val="Strong"/>
    <w:basedOn w:val="19"/>
    <w:qFormat/>
    <w:uiPriority w:val="0"/>
    <w:rPr>
      <w:b/>
    </w:rPr>
  </w:style>
  <w:style w:type="character" w:styleId="21">
    <w:name w:val="Emphasis"/>
    <w:basedOn w:val="19"/>
    <w:qFormat/>
    <w:uiPriority w:val="20"/>
    <w:rPr>
      <w:i/>
      <w:iCs/>
    </w:rPr>
  </w:style>
  <w:style w:type="character" w:styleId="22">
    <w:name w:val="Hyperlink"/>
    <w:basedOn w:val="19"/>
    <w:unhideWhenUsed/>
    <w:qFormat/>
    <w:uiPriority w:val="99"/>
    <w:rPr>
      <w:color w:val="0026E5" w:themeColor="hyperlink"/>
      <w:u w:val="single"/>
      <w14:textFill>
        <w14:solidFill>
          <w14:schemeClr w14:val="hlink"/>
        </w14:solidFill>
      </w14:textFill>
    </w:rPr>
  </w:style>
  <w:style w:type="character" w:styleId="23">
    <w:name w:val="annotation reference"/>
    <w:basedOn w:val="19"/>
    <w:qFormat/>
    <w:uiPriority w:val="0"/>
    <w:rPr>
      <w:sz w:val="21"/>
      <w:szCs w:val="21"/>
    </w:rPr>
  </w:style>
  <w:style w:type="character" w:styleId="24">
    <w:name w:val="footnote reference"/>
    <w:basedOn w:val="19"/>
    <w:link w:val="15"/>
    <w:qFormat/>
    <w:uiPriority w:val="99"/>
    <w:rPr>
      <w:sz w:val="18"/>
      <w:szCs w:val="18"/>
    </w:rPr>
  </w:style>
  <w:style w:type="character" w:customStyle="1" w:styleId="25">
    <w:name w:val="标题 3 字符"/>
    <w:basedOn w:val="19"/>
    <w:link w:val="4"/>
    <w:qFormat/>
    <w:uiPriority w:val="0"/>
    <w:rPr>
      <w:rFonts w:eastAsia="楷体"/>
      <w:b/>
    </w:rPr>
  </w:style>
  <w:style w:type="paragraph" w:customStyle="1" w:styleId="26">
    <w:name w:val="修订1"/>
    <w:hidden/>
    <w:semiHidden/>
    <w:qFormat/>
    <w:uiPriority w:val="99"/>
    <w:rPr>
      <w:rFonts w:ascii="等线" w:hAnsi="等线" w:eastAsia="仿宋_GB2312" w:cs="黑体"/>
      <w:kern w:val="2"/>
      <w:sz w:val="32"/>
      <w:szCs w:val="22"/>
      <w:lang w:val="en-US" w:eastAsia="zh-CN" w:bidi="ar-SA"/>
    </w:rPr>
  </w:style>
  <w:style w:type="paragraph" w:customStyle="1" w:styleId="27">
    <w:name w:val="修订2"/>
    <w:hidden/>
    <w:unhideWhenUsed/>
    <w:qFormat/>
    <w:uiPriority w:val="99"/>
    <w:rPr>
      <w:rFonts w:ascii="等线" w:hAnsi="等线" w:eastAsia="仿宋_GB2312" w:cs="黑体"/>
      <w:kern w:val="2"/>
      <w:sz w:val="32"/>
      <w:szCs w:val="22"/>
      <w:lang w:val="en-US" w:eastAsia="zh-CN" w:bidi="ar-SA"/>
    </w:rPr>
  </w:style>
  <w:style w:type="paragraph" w:customStyle="1" w:styleId="28">
    <w:name w:val="修订3"/>
    <w:hidden/>
    <w:unhideWhenUsed/>
    <w:qFormat/>
    <w:uiPriority w:val="99"/>
    <w:rPr>
      <w:rFonts w:ascii="等线" w:hAnsi="等线" w:eastAsia="仿宋_GB2312" w:cs="黑体"/>
      <w:kern w:val="2"/>
      <w:sz w:val="32"/>
      <w:szCs w:val="22"/>
      <w:lang w:val="en-US" w:eastAsia="zh-CN" w:bidi="ar-SA"/>
    </w:rPr>
  </w:style>
  <w:style w:type="paragraph" w:customStyle="1" w:styleId="29">
    <w:name w:val="Revision"/>
    <w:hidden/>
    <w:unhideWhenUsed/>
    <w:qFormat/>
    <w:uiPriority w:val="99"/>
    <w:rPr>
      <w:rFonts w:ascii="等线" w:hAnsi="等线" w:eastAsia="仿宋_GB2312" w:cs="黑体"/>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c1c14c26-7a49-4376-bed8-0201f8aac01f</errorID>
      <errorWord>老人</errorWord>
      <group>L1_Word</group>
      <groupName>字词问题</groupName>
      <ability>L2_Typo</ability>
      <abilityName>字词错误</abilityName>
      <candidateList>
        <item>人</item>
      </candidateList>
      <explain/>
      <paraID>1F2166BB</paraID>
      <start>283</start>
      <end>285</end>
      <status>ignored</status>
      <modifiedWord/>
      <trackRevisions>false</trackRevisions>
    </reviewItem>
    <reviewItem>
      <errorID>285c845b-a36f-410c-97fd-62af293dfe01</errorID>
      <errorWord>超额按成</errorWord>
      <group>L1_Word</group>
      <groupName>字词问题</groupName>
      <ability>L2_Typo</ability>
      <abilityName>字词错误</abilityName>
      <candidateList>
        <item>超额完成</item>
      </candidateList>
      <explain/>
      <paraID>6C776FD7</paraID>
      <start>60</start>
      <end>64</end>
      <status>modified</status>
      <modifiedWord>超额完成</modifiedWord>
      <trackRevisions>true</trackRevisions>
    </reviewItem>
    <reviewItem>
      <errorID>e8eaf70d-aaee-412f-beea-35d982d18da4</errorID>
      <errorWord>亟需</errorWord>
      <group>L1_Word</group>
      <groupName>字词问题</groupName>
      <ability>L2_Typo</ability>
      <abilityName>字词错误</abilityName>
      <candidateList>
        <item>亟须</item>
      </candidateList>
      <explain/>
      <paraID>  54E495</paraID>
      <start>293</start>
      <end>295</end>
      <status>ignored</status>
      <modifiedWord/>
      <trackRevisions>false</trackRevisions>
    </reviewItem>
    <reviewItem>
      <errorID>1a9cb8c2-f510-45ed-9c6f-47ff504149a1</errorID>
      <errorWord>市委市政府</errorWord>
      <group>L1_Word</group>
      <groupName>字词问题</groupName>
      <ability>L2_Typo</ability>
      <abilityName>字词错误</abilityName>
      <candidateList>
        <item>市委、市政府</item>
      </candidateList>
      <explain/>
      <paraID>43026260</paraID>
      <start>64</start>
      <end>69</end>
      <status>ignored</status>
      <modifiedWord/>
      <trackRevisions>false</trackRevisions>
    </reviewItem>
    <reviewItem>
      <errorID>44002411-303d-4d1d-8a95-e7b716a333e4</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43026260</paraID>
      <start>70</start>
      <end>75</end>
      <status>ignored</status>
      <modifiedWord/>
      <trackRevisions>false</trackRevisions>
    </reviewItem>
    <reviewItem>
      <errorID>874c9a1f-38fd-412c-a7db-2ceebe5253c5</errorID>
      <errorWord>尽力而为量力而行</errorWord>
      <group>L1_Political</group>
      <groupName>政治性问题</groupName>
      <ability>L2_Keyword</ability>
      <abilityName>固定表述</abilityName>
      <candidateList>
        <item>尽力而为、量力而行</item>
      </candidateList>
      <explain>注意检查当前固定表述标点是否使用规范。</explain>
      <paraID>43026260</paraID>
      <start>160</start>
      <end>168</end>
      <status>ignored</status>
      <modifiedWord/>
      <trackRevisions>false</trackRevisions>
    </reviewItem>
    <reviewItem>
      <errorID>ddc245dd-4e5d-4440-8bac-bafff7a12bac</errorID>
      <errorWord>&gt;</errorWord>
      <group>L1_Punc</group>
      <groupName>标点问题</groupName>
      <ability>L2_Punc_CN</ability>
      <abilityName>标点符号问题</abilityName>
      <candidateList/>
      <explain/>
      <paraID>66CFAD84</paraID>
      <start>0</start>
      <end>1</end>
      <status>ignored</status>
      <modifiedWord/>
      <trackRevisions>false</trackRevisions>
    </reviewItem>
    <reviewItem>
      <errorID>33e821a3-9466-41a4-b881-9acbb5bc7559</errorID>
      <errorWord>北京市养老服务条例</errorWord>
      <group>L1_Knowledge</group>
      <groupName>知识性问题</groupName>
      <ability>L2_Knowledge</ability>
      <abilityName>其他知识</abilityName>
      <candidateList>
        <item>北京市居家养老服务条例</item>
      </candidateList>
      <explain>当前法律法规未收录或尚未生效，注意核查是否正确。</explain>
      <paraID>11B00B6C</paraID>
      <start>29</start>
      <end>38</end>
      <status>ignored</status>
      <modifiedWord/>
      <trackRevisions>false</trackRevisions>
    </reviewItem>
  </reviewItems>
  <config/>
</contractReview>
</file>

<file path=customXml/item3.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c02659-1f6b-456b-b20c-6076b5077dfa}">
  <ds:schemaRefs/>
</ds:datastoreItem>
</file>

<file path=customXml/itemProps3.xml><?xml version="1.0" encoding="utf-8"?>
<ds:datastoreItem xmlns:ds="http://schemas.openxmlformats.org/officeDocument/2006/customXml" ds:itemID="{897E829C-9AE1-4CAB-895D-87CF3A4D217B}">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2498</Words>
  <Characters>2595</Characters>
  <Lines>124</Lines>
  <Paragraphs>35</Paragraphs>
  <TotalTime>76</TotalTime>
  <ScaleCrop>false</ScaleCrop>
  <LinksUpToDate>false</LinksUpToDate>
  <CharactersWithSpaces>2754</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2026-01-14T17:37:00Z</dcterms:created>
  <dc:creator>妙妙</dc:creator>
  <cp:lastModifiedBy>WPS_1769643150</cp:lastModifiedBy>
  <cp:lastPrinted>2026-09-14T07:45:00Z</cp:lastPrinted>
  <dcterms:modified xsi:type="dcterms:W3CDTF">2026-09-17T09:01:27Z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550962AA5DE246ACAFF0F052D848BE4E</vt:lpwstr>
  </property>
  <property fmtid="{D5CDD505-2E9C-101B-9397-08002B2CF9AE}" pid="4" name="KSOTemplateDocerSaveRecord">
    <vt:lpwstr>eyJoZGlkIjoiZjcyOTdlNmIzNDE4NjI5OWI1OGJlZTNiYjVjMGUzMDMiLCJ1c2VySWQiOiI1NzEwNzYwMzUifQ==</vt:lpwstr>
  </property>
</Properties>
</file>