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72CC1F">
      <w:pPr>
        <w:pStyle w:val="32"/>
        <w:keepNext/>
        <w:keepLines w:val="0"/>
        <w:pageBreakBefore w:val="0"/>
        <w:kinsoku/>
        <w:wordWrap/>
        <w:overflowPunct/>
        <w:topLinePunct w:val="0"/>
        <w:autoSpaceDE/>
        <w:autoSpaceDN/>
        <w:bidi w:val="0"/>
        <w:adjustRightInd/>
        <w:snapToGrid/>
        <w:spacing w:line="560" w:lineRule="exact"/>
        <w:jc w:val="center"/>
        <w:textAlignment w:val="auto"/>
        <w:rPr>
          <w:rFonts w:ascii="方正小标宋简体" w:hAnsi="方正小标宋简体" w:eastAsia="方正小标宋简体" w:cs="Times New Roman"/>
          <w:sz w:val="44"/>
          <w:szCs w:val="44"/>
          <w:lang w:eastAsia="zh-CN"/>
        </w:rPr>
      </w:pPr>
      <w:r>
        <w:rPr>
          <w:rFonts w:ascii="方正小标宋简体" w:hAnsi="方正小标宋简体" w:eastAsia="方正小标宋简体" w:cs="Times New Roman"/>
          <w:sz w:val="44"/>
          <w:szCs w:val="44"/>
          <w:lang w:eastAsia="zh-CN"/>
        </w:rPr>
        <w:t>昌平区先进能源产业提质增效行动计划</w:t>
      </w:r>
    </w:p>
    <w:p w14:paraId="33F813FA">
      <w:pPr>
        <w:pStyle w:val="26"/>
        <w:keepNext/>
        <w:keepLines w:val="0"/>
        <w:pageBreakBefore w:val="0"/>
        <w:kinsoku/>
        <w:wordWrap/>
        <w:overflowPunct/>
        <w:topLinePunct w:val="0"/>
        <w:autoSpaceDE/>
        <w:autoSpaceDN/>
        <w:bidi w:val="0"/>
        <w:adjustRightInd/>
        <w:snapToGrid/>
        <w:spacing w:line="560" w:lineRule="exact"/>
        <w:jc w:val="center"/>
        <w:textAlignment w:val="auto"/>
        <w:rPr>
          <w:rFonts w:ascii="方正小标宋简体" w:hAnsi="方正小标宋简体" w:eastAsia="方正小标宋简体" w:cs="Times New Roman"/>
          <w:i w:val="0"/>
          <w:sz w:val="44"/>
          <w:szCs w:val="44"/>
          <w:lang w:eastAsia="zh-CN"/>
        </w:rPr>
      </w:pPr>
      <w:r>
        <w:rPr>
          <w:rFonts w:hint="eastAsia" w:ascii="方正小标宋简体" w:hAnsi="方正小标宋简体" w:eastAsia="方正小标宋简体" w:cs="Times New Roman"/>
          <w:i w:val="0"/>
          <w:sz w:val="44"/>
          <w:szCs w:val="44"/>
          <w:lang w:eastAsia="zh-CN"/>
        </w:rPr>
        <w:t>（</w:t>
      </w:r>
      <w:r>
        <w:rPr>
          <w:rFonts w:ascii="方正小标宋简体" w:hAnsi="方正小标宋简体" w:eastAsia="方正小标宋简体" w:cs="Times New Roman"/>
          <w:i w:val="0"/>
          <w:sz w:val="44"/>
          <w:szCs w:val="44"/>
          <w:lang w:eastAsia="zh-CN"/>
        </w:rPr>
        <w:t>2026—2028年</w:t>
      </w:r>
      <w:r>
        <w:rPr>
          <w:rFonts w:hint="eastAsia" w:ascii="方正小标宋简体" w:hAnsi="方正小标宋简体" w:eastAsia="方正小标宋简体" w:cs="Times New Roman"/>
          <w:i w:val="0"/>
          <w:sz w:val="44"/>
          <w:szCs w:val="44"/>
          <w:lang w:eastAsia="zh-CN"/>
        </w:rPr>
        <w:t>）</w:t>
      </w:r>
    </w:p>
    <w:p w14:paraId="662BDAF2">
      <w:pPr>
        <w:keepLines w:val="0"/>
        <w:pageBreakBefore w:val="0"/>
        <w:kinsoku/>
        <w:wordWrap/>
        <w:overflowPunct/>
        <w:topLinePunct w:val="0"/>
        <w:autoSpaceDE/>
        <w:autoSpaceDN/>
        <w:bidi w:val="0"/>
        <w:adjustRightInd/>
        <w:snapToGrid/>
        <w:spacing w:line="560" w:lineRule="exact"/>
        <w:jc w:val="center"/>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i w:val="0"/>
          <w:sz w:val="32"/>
          <w:szCs w:val="32"/>
          <w:lang w:eastAsia="zh-CN"/>
        </w:rPr>
        <w:t>（征求意见稿）</w:t>
      </w:r>
    </w:p>
    <w:p w14:paraId="386B000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cs="Times New Roman"/>
          <w:szCs w:val="32"/>
          <w:lang w:eastAsia="zh-CN"/>
        </w:rPr>
      </w:pPr>
    </w:p>
    <w:p w14:paraId="11A9B68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cs="Times New Roman"/>
          <w:szCs w:val="32"/>
          <w:lang w:eastAsia="zh-CN"/>
        </w:rPr>
      </w:pPr>
      <w:r>
        <w:rPr>
          <w:rFonts w:ascii="Times New Roman" w:hAnsi="Times New Roman" w:cs="Times New Roman"/>
          <w:szCs w:val="32"/>
          <w:lang w:eastAsia="zh-CN"/>
        </w:rPr>
        <w:t>先进能源产业是服务国家能源安全和绿色转型的重要支撑，也是昌平区具有创新集聚和全产业链布局优势的重点产业。为深入实施能源安全新战略，落实北京市绿色经济发展部署，顺应能源技术变革与产业数智融合趋势，需进一步发挥未来科学城“能源谷”央企科研机构、高校院所和骨干企业集聚优势，推动创新资源与产业发展深度融合。本行动计划立足现有产业基础，明确产业发展方向和重点任务，推动创新优势转化为产业优势，建设具有全球影响力的能源技术创新高地、央地协同与产业融合示范区和北京市先进能源产业集聚主阵地。</w:t>
      </w:r>
    </w:p>
    <w:p w14:paraId="6D99F68F">
      <w:pPr>
        <w:pStyle w:val="3"/>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黑体" w:hAnsi="黑体" w:eastAsia="黑体" w:cs="Times New Roman"/>
          <w:szCs w:val="32"/>
          <w:lang w:eastAsia="zh-CN"/>
        </w:rPr>
      </w:pPr>
      <w:r>
        <w:rPr>
          <w:rFonts w:ascii="黑体" w:hAnsi="黑体" w:eastAsia="黑体" w:cs="Times New Roman"/>
          <w:b w:val="0"/>
          <w:szCs w:val="32"/>
          <w:lang w:eastAsia="zh-CN"/>
        </w:rPr>
        <w:t>一、总体要求：以创新引领提升产业能级</w:t>
      </w:r>
    </w:p>
    <w:p w14:paraId="47F48CBE">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Cs w:val="32"/>
          <w:lang w:eastAsia="zh-CN"/>
        </w:rPr>
      </w:pPr>
      <w:r>
        <w:rPr>
          <w:rFonts w:hint="eastAsia" w:ascii="仿宋_GB2312" w:hAnsi="仿宋_GB2312" w:eastAsia="仿宋_GB2312" w:cs="仿宋_GB2312"/>
          <w:b/>
          <w:szCs w:val="32"/>
          <w:lang w:eastAsia="zh-CN"/>
        </w:rPr>
        <w:t>产业规模与发展质效同步提升。</w:t>
      </w:r>
      <w:r>
        <w:rPr>
          <w:rFonts w:hint="eastAsia" w:ascii="仿宋_GB2312" w:hAnsi="仿宋_GB2312" w:eastAsia="仿宋_GB2312" w:cs="仿宋_GB2312"/>
          <w:szCs w:val="32"/>
          <w:lang w:eastAsia="zh-CN"/>
        </w:rPr>
        <w:t>到2028年，推动昌平区先进能源产业收入突破3500亿元。推动能源互联网、风电光伏和化石能源清洁高效利用等优势产业提质升级，培育壮大氢能、新型储能等新兴产业，加快研发设计、系统集成和运营服务等高附加值业务发展，初步形成“绿联碳智”产业体系，促进产业规模扩大、结构优化与链条协同。</w:t>
      </w:r>
    </w:p>
    <w:p w14:paraId="1A675A3C">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Cs w:val="32"/>
          <w:lang w:eastAsia="zh-CN"/>
        </w:rPr>
      </w:pPr>
      <w:r>
        <w:rPr>
          <w:rFonts w:hint="eastAsia" w:ascii="仿宋_GB2312" w:hAnsi="仿宋_GB2312" w:eastAsia="仿宋_GB2312" w:cs="仿宋_GB2312"/>
          <w:b/>
          <w:szCs w:val="32"/>
          <w:lang w:eastAsia="zh-CN"/>
        </w:rPr>
        <w:t>能源技术策源能力持续增强。</w:t>
      </w:r>
      <w:r>
        <w:rPr>
          <w:rFonts w:hint="eastAsia" w:ascii="仿宋_GB2312" w:hAnsi="仿宋_GB2312" w:eastAsia="仿宋_GB2312" w:cs="仿宋_GB2312"/>
          <w:szCs w:val="32"/>
          <w:lang w:eastAsia="zh-CN"/>
        </w:rPr>
        <w:t>到2028年，国家级创新平台达到40个，能源领域首台（套）重大技术装备获批数量达到45项。发挥央企与高校创新作用，加强关键技术攻关与前沿布局，提高面向重大能源工程的技术供给能力。</w:t>
      </w:r>
    </w:p>
    <w:p w14:paraId="32CEC04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Cs w:val="32"/>
          <w:lang w:eastAsia="zh-CN"/>
        </w:rPr>
      </w:pPr>
      <w:r>
        <w:rPr>
          <w:rFonts w:hint="eastAsia" w:ascii="仿宋_GB2312" w:hAnsi="仿宋_GB2312" w:eastAsia="仿宋_GB2312" w:cs="仿宋_GB2312"/>
          <w:b/>
          <w:szCs w:val="32"/>
          <w:lang w:eastAsia="zh-CN"/>
        </w:rPr>
        <w:t>央地协同与企业培育取得实效。</w:t>
      </w:r>
      <w:r>
        <w:rPr>
          <w:rFonts w:hint="eastAsia" w:ascii="仿宋_GB2312" w:hAnsi="仿宋_GB2312" w:eastAsia="仿宋_GB2312" w:cs="仿宋_GB2312"/>
          <w:szCs w:val="32"/>
          <w:lang w:eastAsia="zh-CN"/>
        </w:rPr>
        <w:t>到2028年，规模以上先进能源企业达到350家，营收十亿元以上企业达到50家，专精特新中小企业达到130家，国家级专精特新“小巨人”企业达到36家。推动央企成果转化主体和新增业务在昌落地，完善各类企业融通发展机制。</w:t>
      </w:r>
    </w:p>
    <w:p w14:paraId="4C09058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Cs w:val="32"/>
          <w:lang w:eastAsia="zh-CN"/>
        </w:rPr>
      </w:pPr>
      <w:r>
        <w:rPr>
          <w:rFonts w:hint="eastAsia" w:ascii="仿宋_GB2312" w:hAnsi="仿宋_GB2312" w:eastAsia="仿宋_GB2312" w:cs="仿宋_GB2312"/>
          <w:b/>
          <w:szCs w:val="32"/>
          <w:lang w:eastAsia="zh-CN"/>
        </w:rPr>
        <w:t>成果验证与场景应用更加贯通。</w:t>
      </w:r>
      <w:r>
        <w:rPr>
          <w:rFonts w:hint="eastAsia" w:ascii="仿宋_GB2312" w:hAnsi="仿宋_GB2312" w:eastAsia="仿宋_GB2312" w:cs="仿宋_GB2312"/>
          <w:szCs w:val="32"/>
          <w:lang w:eastAsia="zh-CN"/>
        </w:rPr>
        <w:t>到2028年，中试平台达到12个，开放应用场景达到5个，建设零碳园区1个。完善概念验证、中试熟化、检验检测和首试首用衔接，推动人工智能融入能源全流程，形成一批示范产品、项目和运营模式。</w:t>
      </w:r>
    </w:p>
    <w:p w14:paraId="26E12B9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Cs w:val="32"/>
          <w:lang w:eastAsia="zh-CN"/>
        </w:rPr>
      </w:pPr>
      <w:r>
        <w:rPr>
          <w:rFonts w:hint="eastAsia" w:ascii="仿宋_GB2312" w:hAnsi="仿宋_GB2312" w:eastAsia="仿宋_GB2312" w:cs="仿宋_GB2312"/>
          <w:szCs w:val="32"/>
          <w:lang w:eastAsia="zh-CN"/>
        </w:rPr>
        <w:t>到</w:t>
      </w:r>
      <w:r>
        <w:rPr>
          <w:rFonts w:hint="eastAsia" w:cs="仿宋_GB2312"/>
          <w:szCs w:val="32"/>
          <w:lang w:eastAsia="zh-CN"/>
        </w:rPr>
        <w:t>“十五五”末期</w:t>
      </w:r>
      <w:r>
        <w:rPr>
          <w:rFonts w:hint="eastAsia" w:ascii="仿宋_GB2312" w:hAnsi="仿宋_GB2312" w:eastAsia="仿宋_GB2312" w:cs="仿宋_GB2312"/>
          <w:szCs w:val="32"/>
          <w:lang w:eastAsia="zh-CN"/>
        </w:rPr>
        <w:t>，</w:t>
      </w:r>
      <w:r>
        <w:rPr>
          <w:rFonts w:hint="eastAsia" w:cs="仿宋_GB2312"/>
          <w:szCs w:val="32"/>
          <w:lang w:eastAsia="zh-CN"/>
        </w:rPr>
        <w:t>推动</w:t>
      </w:r>
      <w:r>
        <w:rPr>
          <w:rFonts w:hint="eastAsia" w:ascii="仿宋_GB2312" w:hAnsi="仿宋_GB2312" w:eastAsia="仿宋_GB2312" w:cs="仿宋_GB2312"/>
          <w:szCs w:val="32"/>
          <w:lang w:eastAsia="zh-CN"/>
        </w:rPr>
        <w:t>“绿联碳智”产业体系基本建成，力争实现产业收入规模达到4500亿元；到2035年，</w:t>
      </w:r>
      <w:r>
        <w:rPr>
          <w:rFonts w:hint="eastAsia" w:cs="仿宋_GB2312"/>
          <w:szCs w:val="32"/>
          <w:lang w:eastAsia="zh-CN"/>
        </w:rPr>
        <w:t>将昌平区打造成为</w:t>
      </w:r>
      <w:r>
        <w:rPr>
          <w:rFonts w:hint="eastAsia" w:ascii="仿宋_GB2312" w:hAnsi="仿宋_GB2312" w:eastAsia="仿宋_GB2312" w:cs="仿宋_GB2312"/>
          <w:szCs w:val="32"/>
          <w:lang w:eastAsia="zh-CN"/>
        </w:rPr>
        <w:t>具有全球影响力的先进能源科技创新高地和国家新型能源体系重要支撑区。</w:t>
      </w:r>
    </w:p>
    <w:p w14:paraId="1F49F789">
      <w:pPr>
        <w:pStyle w:val="3"/>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黑体" w:hAnsi="黑体" w:eastAsia="黑体" w:cs="Times New Roman"/>
          <w:b w:val="0"/>
          <w:szCs w:val="32"/>
          <w:lang w:eastAsia="zh-CN"/>
        </w:rPr>
      </w:pPr>
      <w:r>
        <w:rPr>
          <w:rFonts w:ascii="黑体" w:hAnsi="黑体" w:eastAsia="黑体" w:cs="Times New Roman"/>
          <w:b w:val="0"/>
          <w:szCs w:val="32"/>
          <w:lang w:eastAsia="zh-CN"/>
        </w:rPr>
        <w:t>二、产业方向：以全链布局构建特色产业体系</w:t>
      </w:r>
    </w:p>
    <w:p w14:paraId="3399138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cs="Times New Roman"/>
          <w:szCs w:val="32"/>
          <w:lang w:eastAsia="zh-CN"/>
        </w:rPr>
      </w:pPr>
      <w:r>
        <w:rPr>
          <w:rFonts w:ascii="Times New Roman" w:hAnsi="Times New Roman" w:cs="Times New Roman"/>
          <w:szCs w:val="32"/>
          <w:lang w:eastAsia="zh-CN"/>
        </w:rPr>
        <w:t>统筹发展绿色能源、能源互联网、低碳环保和“人工智能+能源”</w:t>
      </w:r>
      <w:r>
        <w:rPr>
          <w:rFonts w:hint="eastAsia" w:ascii="Times New Roman" w:hAnsi="Times New Roman" w:cs="Times New Roman"/>
          <w:szCs w:val="32"/>
          <w:lang w:eastAsia="zh-CN"/>
        </w:rPr>
        <w:t>产业体系</w:t>
      </w:r>
      <w:r>
        <w:rPr>
          <w:rFonts w:ascii="Times New Roman" w:hAnsi="Times New Roman" w:cs="Times New Roman"/>
          <w:szCs w:val="32"/>
          <w:lang w:eastAsia="zh-CN"/>
        </w:rPr>
        <w:t>，贯通技术研发、成果转化、装备研制、系统集成与运营服务，发挥全产业链协同优势，推动各类赛道梯次发展。</w:t>
      </w:r>
    </w:p>
    <w:p w14:paraId="238F99B5">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楷体_GB2312" w:hAnsi="Times New Roman" w:eastAsia="楷体_GB2312" w:cs="Times New Roman"/>
          <w:b w:val="0"/>
          <w:szCs w:val="32"/>
          <w:lang w:eastAsia="zh-CN"/>
        </w:rPr>
      </w:pPr>
      <w:r>
        <w:rPr>
          <w:rFonts w:hint="eastAsia" w:ascii="楷体_GB2312" w:hAnsi="Times New Roman" w:eastAsia="楷体_GB2312" w:cs="Times New Roman"/>
          <w:b w:val="0"/>
          <w:szCs w:val="32"/>
          <w:lang w:eastAsia="zh-CN"/>
        </w:rPr>
        <w:t>（一）夯实绿色能源发展基础</w:t>
      </w:r>
    </w:p>
    <w:p w14:paraId="5CDF469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cs="Times New Roman"/>
          <w:szCs w:val="32"/>
          <w:lang w:eastAsia="zh-CN"/>
        </w:rPr>
      </w:pPr>
      <w:r>
        <w:rPr>
          <w:rFonts w:hint="eastAsia" w:ascii="仿宋_GB2312" w:hAnsi="仿宋_GB2312" w:eastAsia="仿宋_GB2312" w:cs="仿宋_GB2312"/>
          <w:szCs w:val="32"/>
          <w:lang w:eastAsia="zh-CN"/>
        </w:rPr>
        <w:t>1.风电</w:t>
      </w:r>
      <w:r>
        <w:rPr>
          <w:rFonts w:ascii="Times New Roman" w:hAnsi="Times New Roman" w:cs="Times New Roman"/>
          <w:szCs w:val="32"/>
          <w:lang w:eastAsia="zh-CN"/>
        </w:rPr>
        <w:t>。巩固大型风电机组及核心部件研发优势，重点发展大功率机组、高可靠传动系统和叶片复合材料，攻关深远海漂浮式基础、系泊系统及整机协同控制技术。提升主控、变桨、偏航控制系统自主化水平，发展智能运维、检验检测和退役叶片高值化利用。依托</w:t>
      </w:r>
      <w:r>
        <w:rPr>
          <w:rFonts w:hint="eastAsia" w:ascii="Times New Roman" w:hAnsi="Times New Roman" w:cs="Times New Roman"/>
          <w:szCs w:val="32"/>
          <w:lang w:eastAsia="zh-CN"/>
        </w:rPr>
        <w:t>龙头企业</w:t>
      </w:r>
      <w:r>
        <w:rPr>
          <w:rFonts w:ascii="Times New Roman" w:hAnsi="Times New Roman" w:cs="Times New Roman"/>
          <w:szCs w:val="32"/>
          <w:lang w:eastAsia="zh-CN"/>
        </w:rPr>
        <w:t>强化研发设计、供应链与国际业务，对接</w:t>
      </w:r>
      <w:r>
        <w:rPr>
          <w:rFonts w:hint="eastAsia" w:ascii="Times New Roman" w:hAnsi="Times New Roman" w:cs="Times New Roman"/>
          <w:szCs w:val="32"/>
          <w:lang w:eastAsia="zh-CN"/>
        </w:rPr>
        <w:t>国内外重点</w:t>
      </w:r>
      <w:r>
        <w:rPr>
          <w:rFonts w:ascii="Times New Roman" w:hAnsi="Times New Roman" w:cs="Times New Roman"/>
          <w:szCs w:val="32"/>
          <w:lang w:eastAsia="zh-CN"/>
        </w:rPr>
        <w:t>风电项目，推动产品和服务进入工程应用。</w:t>
      </w:r>
    </w:p>
    <w:p w14:paraId="78310D6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cs="Times New Roman"/>
          <w:szCs w:val="32"/>
          <w:lang w:eastAsia="zh-CN"/>
        </w:rPr>
      </w:pPr>
      <w:r>
        <w:rPr>
          <w:rFonts w:hint="eastAsia" w:ascii="仿宋_GB2312" w:hAnsi="仿宋_GB2312" w:eastAsia="仿宋_GB2312" w:cs="仿宋_GB2312"/>
          <w:szCs w:val="32"/>
          <w:lang w:eastAsia="zh-CN"/>
        </w:rPr>
        <w:t>2.光伏</w:t>
      </w:r>
      <w:r>
        <w:rPr>
          <w:rFonts w:ascii="Times New Roman" w:hAnsi="Times New Roman" w:cs="Times New Roman"/>
          <w:szCs w:val="32"/>
          <w:lang w:eastAsia="zh-CN"/>
        </w:rPr>
        <w:t>。聚焦钙钛矿及叠层电池，攻关大面积薄膜制备、界面调控和可靠封装，推动实验室样品向中试组件转化。发展轻质柔性、建筑光伏一体化及特殊环境适配产品，前瞻开展太空光伏研发验证。完善长期稳定性和环境适应性评价，选择具备条件的园区、公共建筑开展分布式光伏及光储协同示范，支持产品定型。</w:t>
      </w:r>
    </w:p>
    <w:p w14:paraId="3ADB329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cs="Times New Roman"/>
          <w:szCs w:val="32"/>
          <w:lang w:eastAsia="zh-CN"/>
        </w:rPr>
      </w:pPr>
      <w:r>
        <w:rPr>
          <w:rFonts w:hint="eastAsia" w:ascii="仿宋_GB2312" w:hAnsi="仿宋_GB2312" w:eastAsia="仿宋_GB2312" w:cs="仿宋_GB2312"/>
          <w:szCs w:val="32"/>
          <w:lang w:eastAsia="zh-CN"/>
        </w:rPr>
        <w:t>3.氢能</w:t>
      </w:r>
      <w:r>
        <w:rPr>
          <w:rFonts w:ascii="Times New Roman" w:hAnsi="Times New Roman" w:cs="Times New Roman"/>
          <w:szCs w:val="32"/>
          <w:lang w:eastAsia="zh-CN"/>
        </w:rPr>
        <w:t>。发展燃料电池整车、电堆、膜电极及关键材料</w:t>
      </w:r>
      <w:r>
        <w:rPr>
          <w:rFonts w:hint="eastAsia" w:ascii="Times New Roman" w:hAnsi="Times New Roman" w:cs="Times New Roman"/>
          <w:szCs w:val="32"/>
          <w:lang w:eastAsia="zh-CN"/>
        </w:rPr>
        <w:t>，以及固体氧化物燃料电池、发电用燃料电池及氢燃机等技术装备，</w:t>
      </w:r>
      <w:r>
        <w:rPr>
          <w:rFonts w:ascii="Times New Roman" w:hAnsi="Times New Roman" w:cs="Times New Roman"/>
          <w:szCs w:val="32"/>
          <w:lang w:eastAsia="zh-CN"/>
        </w:rPr>
        <w:t>强化长续航液氢重卡和车载储供系统研发。推进新型碱性、质子交换膜电解装备工程化，布局阴离子交换膜和固体氧化物电解技术。提升液氢、高压储氢及加注装备性能，完善中试检测与安全评价，拓展交通、备用电源及氢电耦合应用，开展绿色氨醇工艺装备研发。</w:t>
      </w:r>
    </w:p>
    <w:p w14:paraId="78002D2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cs="Times New Roman"/>
          <w:szCs w:val="32"/>
          <w:lang w:eastAsia="zh-CN"/>
        </w:rPr>
      </w:pPr>
      <w:r>
        <w:rPr>
          <w:rFonts w:hint="eastAsia" w:ascii="仿宋_GB2312" w:hAnsi="仿宋_GB2312" w:eastAsia="仿宋_GB2312" w:cs="仿宋_GB2312"/>
          <w:szCs w:val="32"/>
          <w:lang w:eastAsia="zh-CN"/>
        </w:rPr>
        <w:t>4.聚变能源。围</w:t>
      </w:r>
      <w:r>
        <w:rPr>
          <w:rFonts w:ascii="Times New Roman" w:hAnsi="Times New Roman" w:cs="Times New Roman"/>
          <w:szCs w:val="32"/>
          <w:lang w:eastAsia="zh-CN"/>
        </w:rPr>
        <w:t>绕聚变装置建设与运行需求，</w:t>
      </w:r>
      <w:r>
        <w:rPr>
          <w:rFonts w:hint="eastAsia" w:ascii="Times New Roman" w:hAnsi="Times New Roman" w:cs="Times New Roman"/>
          <w:szCs w:val="32"/>
          <w:lang w:eastAsia="zh-CN"/>
        </w:rPr>
        <w:t>强化空间和项目服务保障，推动关键部件、专用设备及工程技术服务成果在昌转化。</w:t>
      </w:r>
      <w:r>
        <w:rPr>
          <w:rFonts w:ascii="Times New Roman" w:hAnsi="Times New Roman" w:cs="Times New Roman"/>
          <w:szCs w:val="32"/>
          <w:lang w:eastAsia="zh-CN"/>
        </w:rPr>
        <w:t>开展高温超导导体、磁体绕制、低温绝缘、失超保护及钨基材料抗辐照研究。支持校院企协同开展装置设计、系统集成与部件验证，运用多物理场仿真与数字孪生优化实验方案。加强项目储备与团队引育，推动专用设备、工程软件及技术服务等阶段性成果在昌转化。</w:t>
      </w:r>
    </w:p>
    <w:p w14:paraId="12995433">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楷体_GB2312" w:hAnsi="Times New Roman" w:eastAsia="楷体_GB2312" w:cs="Times New Roman"/>
          <w:b w:val="0"/>
          <w:szCs w:val="32"/>
          <w:lang w:eastAsia="zh-CN"/>
        </w:rPr>
      </w:pPr>
      <w:r>
        <w:rPr>
          <w:rFonts w:ascii="楷体_GB2312" w:hAnsi="Times New Roman" w:eastAsia="楷体_GB2312" w:cs="Times New Roman"/>
          <w:b w:val="0"/>
          <w:szCs w:val="32"/>
          <w:lang w:eastAsia="zh-CN"/>
        </w:rPr>
        <w:t>（二）</w:t>
      </w:r>
      <w:r>
        <w:rPr>
          <w:rFonts w:hint="eastAsia" w:ascii="楷体_GB2312" w:hAnsi="Times New Roman" w:eastAsia="楷体_GB2312" w:cs="Times New Roman"/>
          <w:b w:val="0"/>
          <w:szCs w:val="32"/>
          <w:lang w:eastAsia="zh-CN"/>
        </w:rPr>
        <w:t>巩固</w:t>
      </w:r>
      <w:r>
        <w:rPr>
          <w:rFonts w:ascii="楷体_GB2312" w:hAnsi="Times New Roman" w:eastAsia="楷体_GB2312" w:cs="Times New Roman"/>
          <w:b w:val="0"/>
          <w:szCs w:val="32"/>
          <w:lang w:eastAsia="zh-CN"/>
        </w:rPr>
        <w:t>能源互联网</w:t>
      </w:r>
      <w:r>
        <w:rPr>
          <w:rFonts w:hint="eastAsia" w:ascii="楷体_GB2312" w:hAnsi="Times New Roman" w:eastAsia="楷体_GB2312" w:cs="Times New Roman"/>
          <w:b w:val="0"/>
          <w:szCs w:val="32"/>
          <w:lang w:eastAsia="zh-CN"/>
        </w:rPr>
        <w:t>产业集聚优势</w:t>
      </w:r>
    </w:p>
    <w:p w14:paraId="57FD568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cs="Times New Roman"/>
          <w:szCs w:val="32"/>
          <w:lang w:eastAsia="zh-CN"/>
        </w:rPr>
      </w:pPr>
      <w:r>
        <w:rPr>
          <w:rFonts w:hint="eastAsia" w:ascii="仿宋_GB2312" w:hAnsi="仿宋_GB2312" w:eastAsia="仿宋_GB2312" w:cs="仿宋_GB2312"/>
          <w:szCs w:val="32"/>
          <w:lang w:eastAsia="zh-CN"/>
        </w:rPr>
        <w:t>1.</w:t>
      </w:r>
      <w:r>
        <w:rPr>
          <w:rFonts w:ascii="Times New Roman" w:hAnsi="Times New Roman" w:cs="Times New Roman"/>
          <w:szCs w:val="32"/>
          <w:lang w:eastAsia="zh-CN"/>
        </w:rPr>
        <w:t>新型电力电子装备。发挥特高压直流、柔性直流技术优势，发展换流阀、固态变压器及控制保护系统，攻关大容量电能变换和快速故障保护技术。布局电力通信、智能量测、边缘计算和安全加密芯片，提升通信模组与智能终端适配能力。发展高效率、高功率密度、高可靠电源，加强第三代半导体器件应用，面向新能源并网、直流配电和智算中心供电开展验证。</w:t>
      </w:r>
    </w:p>
    <w:p w14:paraId="361B410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cs="Times New Roman"/>
          <w:szCs w:val="32"/>
          <w:lang w:eastAsia="zh-CN"/>
        </w:rPr>
      </w:pPr>
      <w:r>
        <w:rPr>
          <w:rFonts w:hint="eastAsia" w:ascii="仿宋_GB2312" w:hAnsi="仿宋_GB2312" w:eastAsia="仿宋_GB2312" w:cs="仿宋_GB2312"/>
          <w:szCs w:val="32"/>
          <w:lang w:eastAsia="zh-CN"/>
        </w:rPr>
        <w:t>2.</w:t>
      </w:r>
      <w:r>
        <w:rPr>
          <w:rFonts w:ascii="Times New Roman" w:hAnsi="Times New Roman" w:cs="Times New Roman"/>
          <w:szCs w:val="32"/>
          <w:lang w:eastAsia="zh-CN"/>
        </w:rPr>
        <w:t>新型储能。突出铁铬液流电池等长时储能特色，攻关电解液、电极、双极板和离子交换膜等材料部件，提升电堆与系统性能。布局全固态、钠离子电池关键材料和差异化产品验证，发展储能变流器、电池管理系统、能量管理系统及构网型储能方案。强化状态监测、安全预警和智慧运维，</w:t>
      </w:r>
      <w:r>
        <w:rPr>
          <w:rFonts w:hint="eastAsia" w:ascii="Times New Roman" w:hAnsi="Times New Roman" w:cs="Times New Roman"/>
          <w:szCs w:val="32"/>
          <w:lang w:eastAsia="zh-CN"/>
        </w:rPr>
        <w:t>鼓励</w:t>
      </w:r>
      <w:r>
        <w:rPr>
          <w:rFonts w:ascii="Times New Roman" w:hAnsi="Times New Roman" w:cs="Times New Roman"/>
          <w:szCs w:val="32"/>
          <w:lang w:eastAsia="zh-CN"/>
        </w:rPr>
        <w:t>公共平台</w:t>
      </w:r>
      <w:r>
        <w:rPr>
          <w:rFonts w:hint="eastAsia" w:ascii="Times New Roman" w:hAnsi="Times New Roman" w:cs="Times New Roman"/>
          <w:szCs w:val="32"/>
          <w:lang w:eastAsia="zh-CN"/>
        </w:rPr>
        <w:t>加快建设，</w:t>
      </w:r>
      <w:r>
        <w:rPr>
          <w:rFonts w:ascii="Times New Roman" w:hAnsi="Times New Roman" w:cs="Times New Roman"/>
          <w:szCs w:val="32"/>
          <w:lang w:eastAsia="zh-CN"/>
        </w:rPr>
        <w:t>开展测试及工程验证，推动研发设计、系统集成和技术服务项目落地。</w:t>
      </w:r>
    </w:p>
    <w:p w14:paraId="5B7D742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cs="Times New Roman"/>
          <w:szCs w:val="32"/>
          <w:lang w:eastAsia="zh-CN"/>
        </w:rPr>
      </w:pPr>
      <w:r>
        <w:rPr>
          <w:rFonts w:hint="eastAsia" w:ascii="仿宋_GB2312" w:hAnsi="仿宋_GB2312" w:eastAsia="仿宋_GB2312" w:cs="仿宋_GB2312"/>
          <w:szCs w:val="32"/>
          <w:lang w:eastAsia="zh-CN"/>
        </w:rPr>
        <w:t>3.</w:t>
      </w:r>
      <w:r>
        <w:rPr>
          <w:rFonts w:ascii="Times New Roman" w:hAnsi="Times New Roman" w:cs="Times New Roman"/>
          <w:szCs w:val="32"/>
          <w:lang w:eastAsia="zh-CN"/>
        </w:rPr>
        <w:t>能源智慧交易。发展交易信息分析、负荷预测、结算分析及风险管理平台，开发电价预测和交易策略优化工具。推进虚拟电厂聚合分布式光伏、储能、充换电设施及建筑可调节负荷，支持符合条件的资源参与需求响应和电力市场交易。衔接绿电绿证管理、绿色电力消费核算与能碳服务，加强数据治理、身份认证和网络安全，培育专业平台及运营主体。</w:t>
      </w:r>
    </w:p>
    <w:p w14:paraId="05649298">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楷体_GB2312" w:hAnsi="Times New Roman" w:eastAsia="楷体_GB2312" w:cs="Times New Roman"/>
          <w:b w:val="0"/>
          <w:szCs w:val="32"/>
          <w:lang w:eastAsia="zh-CN"/>
        </w:rPr>
      </w:pPr>
      <w:r>
        <w:rPr>
          <w:rFonts w:ascii="楷体_GB2312" w:hAnsi="Times New Roman" w:eastAsia="楷体_GB2312" w:cs="Times New Roman"/>
          <w:b w:val="0"/>
          <w:szCs w:val="32"/>
          <w:lang w:eastAsia="zh-CN"/>
        </w:rPr>
        <w:t>（三）</w:t>
      </w:r>
      <w:r>
        <w:rPr>
          <w:rFonts w:hint="eastAsia" w:ascii="楷体_GB2312" w:hAnsi="Times New Roman" w:eastAsia="楷体_GB2312" w:cs="Times New Roman"/>
          <w:b w:val="0"/>
          <w:szCs w:val="32"/>
          <w:lang w:eastAsia="zh-CN"/>
        </w:rPr>
        <w:t>完善</w:t>
      </w:r>
      <w:r>
        <w:rPr>
          <w:rFonts w:ascii="楷体_GB2312" w:hAnsi="Times New Roman" w:eastAsia="楷体_GB2312" w:cs="Times New Roman"/>
          <w:b w:val="0"/>
          <w:szCs w:val="32"/>
          <w:lang w:eastAsia="zh-CN"/>
        </w:rPr>
        <w:t>低碳环保</w:t>
      </w:r>
      <w:r>
        <w:rPr>
          <w:rFonts w:hint="eastAsia" w:ascii="楷体_GB2312" w:hAnsi="Times New Roman" w:eastAsia="楷体_GB2312" w:cs="Times New Roman"/>
          <w:b w:val="0"/>
          <w:szCs w:val="32"/>
          <w:lang w:eastAsia="zh-CN"/>
        </w:rPr>
        <w:t>产业链条</w:t>
      </w:r>
    </w:p>
    <w:p w14:paraId="522DBAF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cs="Times New Roman"/>
          <w:szCs w:val="32"/>
          <w:lang w:eastAsia="zh-CN"/>
        </w:rPr>
      </w:pPr>
      <w:r>
        <w:rPr>
          <w:rFonts w:hint="eastAsia" w:ascii="仿宋_GB2312" w:hAnsi="仿宋_GB2312" w:eastAsia="仿宋_GB2312" w:cs="仿宋_GB2312"/>
          <w:szCs w:val="32"/>
          <w:lang w:eastAsia="zh-CN"/>
        </w:rPr>
        <w:t>1.</w:t>
      </w:r>
      <w:r>
        <w:rPr>
          <w:rFonts w:ascii="Times New Roman" w:hAnsi="Times New Roman" w:cs="Times New Roman"/>
          <w:szCs w:val="32"/>
          <w:lang w:eastAsia="zh-CN"/>
        </w:rPr>
        <w:t>化石能源清洁高效利用。围绕煤电与新能源协同，攻关宽负荷运行、深度调峰、快速爬坡及高效燃烧技术，提升机组灵活调节和保供能力。加强非常规油气高效开发、智能钻井、高温高压钻采装备及地热利用研发，支持智能钻井研发测试组装基地建设。发展安全监测、运行诊断、检测评估和工程咨询，推动研发设计与专业服务等高附加值业务在昌集聚。</w:t>
      </w:r>
    </w:p>
    <w:p w14:paraId="0DD7117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cs="Times New Roman"/>
          <w:szCs w:val="32"/>
          <w:lang w:eastAsia="zh-CN"/>
        </w:rPr>
      </w:pPr>
      <w:r>
        <w:rPr>
          <w:rFonts w:hint="eastAsia" w:ascii="仿宋_GB2312" w:hAnsi="仿宋_GB2312" w:eastAsia="仿宋_GB2312" w:cs="仿宋_GB2312"/>
          <w:szCs w:val="32"/>
          <w:lang w:eastAsia="zh-CN"/>
        </w:rPr>
        <w:t>2.</w:t>
      </w:r>
      <w:r>
        <w:rPr>
          <w:rFonts w:ascii="Times New Roman" w:hAnsi="Times New Roman" w:cs="Times New Roman"/>
          <w:szCs w:val="32"/>
          <w:lang w:eastAsia="zh-CN"/>
        </w:rPr>
        <w:t>碳捕集利用与封存。巩固全链条研发优势，攻关低能耗吸收剂、吸附材料、膜材料及捕集装备，提升千吨级中试装置检测验证能力。开展咸水层封存、二氧化碳驱油及泄漏监测技术研究，推进绿氢耦合二氧化碳制甲醇、矿化利用等技术研发，布局生物质能碳捕集与封存、直接空气捕集等负碳技术。高标准建设国家标准验证点，推动材料、装备和工程服务对接央企项目。</w:t>
      </w:r>
    </w:p>
    <w:p w14:paraId="11CC6A0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cs="Times New Roman"/>
          <w:szCs w:val="32"/>
          <w:lang w:eastAsia="zh-CN"/>
        </w:rPr>
      </w:pPr>
      <w:r>
        <w:rPr>
          <w:rFonts w:hint="eastAsia" w:ascii="仿宋_GB2312" w:hAnsi="仿宋_GB2312" w:eastAsia="仿宋_GB2312" w:cs="仿宋_GB2312"/>
          <w:szCs w:val="32"/>
          <w:lang w:eastAsia="zh-CN"/>
        </w:rPr>
        <w:t>3.</w:t>
      </w:r>
      <w:r>
        <w:rPr>
          <w:rFonts w:ascii="Times New Roman" w:hAnsi="Times New Roman" w:cs="Times New Roman"/>
          <w:szCs w:val="32"/>
          <w:lang w:eastAsia="zh-CN"/>
        </w:rPr>
        <w:t>再生资源利用。依托阿苏卫循环经济产业园等载体，完善餐厨废弃油脂、有机废弃物和退役动力电池收运体系，发展废弃油脂预处理、绿色炼制及可持续航空燃料技术。开展电池健康评估、材料再生提纯与规范化回收利用，推进厌氧发酵、生物天然气提纯及生物基产品研发。依托北京合成生物制造中试平台和未来星科能源谷智造产业园补齐验证短板，完善溯源管理，推动收运、处理与高值化利用协同发展。</w:t>
      </w:r>
    </w:p>
    <w:p w14:paraId="466FF2B2">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楷体_GB2312" w:hAnsi="Times New Roman" w:eastAsia="楷体_GB2312" w:cs="Times New Roman"/>
          <w:b w:val="0"/>
          <w:szCs w:val="32"/>
          <w:lang w:eastAsia="zh-CN"/>
        </w:rPr>
      </w:pPr>
      <w:r>
        <w:rPr>
          <w:rFonts w:ascii="楷体_GB2312" w:hAnsi="Times New Roman" w:eastAsia="楷体_GB2312" w:cs="Times New Roman"/>
          <w:b w:val="0"/>
          <w:szCs w:val="32"/>
          <w:lang w:eastAsia="zh-CN"/>
        </w:rPr>
        <w:t>（四）</w:t>
      </w:r>
      <w:r>
        <w:rPr>
          <w:rFonts w:hint="eastAsia" w:ascii="楷体_GB2312" w:hAnsi="Times New Roman" w:eastAsia="楷体_GB2312" w:cs="Times New Roman"/>
          <w:b w:val="0"/>
          <w:szCs w:val="32"/>
          <w:lang w:eastAsia="zh-CN"/>
        </w:rPr>
        <w:t>推动</w:t>
      </w:r>
      <w:r>
        <w:rPr>
          <w:rFonts w:ascii="楷体_GB2312" w:hAnsi="Times New Roman" w:eastAsia="楷体_GB2312" w:cs="Times New Roman"/>
          <w:b w:val="0"/>
          <w:szCs w:val="32"/>
          <w:lang w:eastAsia="zh-CN"/>
        </w:rPr>
        <w:t>人工智能</w:t>
      </w:r>
      <w:r>
        <w:rPr>
          <w:rFonts w:hint="eastAsia" w:ascii="楷体_GB2312" w:hAnsi="Times New Roman" w:eastAsia="楷体_GB2312" w:cs="Times New Roman"/>
          <w:b w:val="0"/>
          <w:szCs w:val="32"/>
          <w:lang w:eastAsia="zh-CN"/>
        </w:rPr>
        <w:t>全方位赋能能源产业发展</w:t>
      </w:r>
    </w:p>
    <w:p w14:paraId="29DB0B4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cs="Times New Roman"/>
          <w:szCs w:val="32"/>
          <w:lang w:eastAsia="zh-CN"/>
        </w:rPr>
      </w:pPr>
      <w:r>
        <w:rPr>
          <w:rFonts w:hint="eastAsia" w:ascii="仿宋_GB2312" w:hAnsi="仿宋_GB2312" w:eastAsia="仿宋_GB2312" w:cs="仿宋_GB2312"/>
          <w:szCs w:val="32"/>
          <w:lang w:eastAsia="zh-CN"/>
        </w:rPr>
        <w:t>1.</w:t>
      </w:r>
      <w:r>
        <w:rPr>
          <w:rFonts w:ascii="Times New Roman" w:hAnsi="Times New Roman" w:cs="Times New Roman"/>
          <w:szCs w:val="32"/>
          <w:lang w:eastAsia="zh-CN"/>
        </w:rPr>
        <w:t>人工智能+能源电力。建设能源高质量数据集、专业模型和智能体，推动人工智能与电力机理模型、仿真平台和调度系统协同。优先发展新能源功率预测、负荷预测、交易辅助、运行状态识别和风险预警，拓展微电网优化、虚拟电厂资源聚合和调度策略推演。加强复杂工况下模型可靠性、稳定性与可解释性验证，提升辅助决策能力。</w:t>
      </w:r>
    </w:p>
    <w:p w14:paraId="0676FD2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cs="Times New Roman"/>
          <w:szCs w:val="32"/>
          <w:lang w:eastAsia="zh-CN"/>
        </w:rPr>
      </w:pPr>
      <w:r>
        <w:rPr>
          <w:rFonts w:hint="eastAsia" w:ascii="仿宋_GB2312" w:hAnsi="仿宋_GB2312" w:eastAsia="仿宋_GB2312" w:cs="仿宋_GB2312"/>
          <w:szCs w:val="32"/>
          <w:lang w:eastAsia="zh-CN"/>
        </w:rPr>
        <w:t>2.</w:t>
      </w:r>
      <w:r>
        <w:rPr>
          <w:rFonts w:ascii="Times New Roman" w:hAnsi="Times New Roman" w:cs="Times New Roman"/>
          <w:szCs w:val="32"/>
          <w:lang w:eastAsia="zh-CN"/>
        </w:rPr>
        <w:t>人工智能+能源开发利用。深化人工智能在风电、光伏、储能、氢能及化石能源领域的研发设计、工艺优化、运行控制和故障诊断应用。加强模型与工业软件、控制系统和能源装备</w:t>
      </w:r>
      <w:r>
        <w:rPr>
          <w:rFonts w:hint="eastAsia" w:ascii="Times New Roman" w:hAnsi="Times New Roman" w:cs="Times New Roman"/>
          <w:szCs w:val="32"/>
          <w:lang w:eastAsia="zh-CN"/>
        </w:rPr>
        <w:t>的适配</w:t>
      </w:r>
      <w:r>
        <w:rPr>
          <w:rFonts w:ascii="Times New Roman" w:hAnsi="Times New Roman" w:cs="Times New Roman"/>
          <w:szCs w:val="32"/>
          <w:lang w:eastAsia="zh-CN"/>
        </w:rPr>
        <w:t>，推动智能运维、储能安全管理和制氢优化产品验证。发展巡检机器人、无人机和特种作业装备，面向高空、高温、高压等环境开展联合研发，提升智能产品供给能力。</w:t>
      </w:r>
    </w:p>
    <w:p w14:paraId="0087939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cs="Times New Roman"/>
          <w:szCs w:val="32"/>
          <w:lang w:eastAsia="zh-CN"/>
        </w:rPr>
      </w:pPr>
      <w:r>
        <w:rPr>
          <w:rFonts w:hint="eastAsia" w:ascii="仿宋_GB2312" w:hAnsi="仿宋_GB2312" w:eastAsia="仿宋_GB2312" w:cs="仿宋_GB2312"/>
          <w:szCs w:val="32"/>
          <w:lang w:eastAsia="zh-CN"/>
        </w:rPr>
        <w:t>3.</w:t>
      </w:r>
      <w:r>
        <w:rPr>
          <w:rFonts w:ascii="Times New Roman" w:hAnsi="Times New Roman" w:cs="Times New Roman"/>
          <w:szCs w:val="32"/>
          <w:lang w:eastAsia="zh-CN"/>
        </w:rPr>
        <w:t>人工智能+能源应用场景。聚焦零碳园区、算电协同和综合能源服务，发展负荷预测、绿电匹配、用能优化及碳排放管理应用。支持园区、算力企业和用能单位联合验证，围绕用能成本、效率与绿电消费评估成效。推动成熟应用形成标准化产品与运营方案，拓展能源托管、能效管理和持续优化服务，培育“模型+场景+服务”融合模式。</w:t>
      </w:r>
    </w:p>
    <w:p w14:paraId="0BB405A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0"/>
        <w:rPr>
          <w:rFonts w:ascii="黑体" w:hAnsi="黑体" w:eastAsia="黑体" w:cs="Times New Roman"/>
          <w:b w:val="0"/>
          <w:bCs/>
          <w:color w:val="000000"/>
          <w:sz w:val="32"/>
          <w:szCs w:val="32"/>
          <w:lang w:val="en-US" w:eastAsia="zh-CN" w:bidi="ar-SA"/>
        </w:rPr>
      </w:pPr>
      <w:r>
        <w:rPr>
          <w:rFonts w:hint="eastAsia" w:ascii="黑体" w:hAnsi="黑体" w:eastAsia="黑体" w:cs="Times New Roman"/>
          <w:b w:val="0"/>
          <w:bCs/>
          <w:color w:val="000000"/>
          <w:sz w:val="32"/>
          <w:szCs w:val="32"/>
          <w:lang w:val="en-US" w:eastAsia="zh-CN" w:bidi="ar-SA"/>
        </w:rPr>
        <w:t>三、</w:t>
      </w:r>
      <w:r>
        <w:rPr>
          <w:rFonts w:ascii="黑体" w:hAnsi="黑体" w:eastAsia="黑体" w:cs="Times New Roman"/>
          <w:b w:val="0"/>
          <w:bCs/>
          <w:color w:val="000000"/>
          <w:sz w:val="32"/>
          <w:szCs w:val="32"/>
          <w:lang w:val="en-US" w:eastAsia="zh-CN" w:bidi="ar-SA"/>
        </w:rPr>
        <w:t>空间布局：以功能协同优化产业承载格局</w:t>
      </w:r>
    </w:p>
    <w:p w14:paraId="4D68FD69">
      <w:pPr>
        <w:pStyle w:val="30"/>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bCs/>
          <w:sz w:val="32"/>
          <w:szCs w:val="32"/>
          <w:lang w:val="en-US" w:eastAsia="zh-CN" w:bidi="ar-SA"/>
        </w:rPr>
      </w:pPr>
      <w:r>
        <w:rPr>
          <w:rFonts w:hint="eastAsia" w:ascii="仿宋_GB2312" w:hAnsi="仿宋_GB2312" w:eastAsia="仿宋_GB2312" w:cs="仿宋_GB2312"/>
          <w:bCs/>
          <w:sz w:val="32"/>
          <w:szCs w:val="32"/>
          <w:lang w:val="en-US" w:eastAsia="en-US" w:bidi="ar-SA"/>
        </w:rPr>
        <w:t>衔接G45产业走廊和G6科创走</w:t>
      </w:r>
      <w:r>
        <w:rPr>
          <w:rFonts w:hint="default" w:ascii="Times New Roman" w:hAnsi="Times New Roman" w:eastAsia="仿宋_GB2312" w:cs="Times New Roman"/>
          <w:bCs/>
          <w:sz w:val="32"/>
          <w:szCs w:val="32"/>
          <w:lang w:val="en-US" w:eastAsia="en-US" w:bidi="ar-SA"/>
        </w:rPr>
        <w:t>廊功能布局</w:t>
      </w:r>
      <w:r>
        <w:rPr>
          <w:rFonts w:hint="eastAsia" w:ascii="仿宋_GB2312" w:hAnsi="仿宋_GB2312" w:eastAsia="仿宋_GB2312" w:cs="仿宋_GB2312"/>
          <w:bCs/>
          <w:sz w:val="32"/>
          <w:szCs w:val="32"/>
          <w:lang w:val="en-US" w:eastAsia="en-US" w:bidi="ar-SA"/>
        </w:rPr>
        <w:t>，统筹能源谷核心区、四大组团及专业载体的创新策源、成果转化和产业承</w:t>
      </w:r>
      <w:r>
        <w:rPr>
          <w:rFonts w:hint="eastAsia" w:ascii="Times New Roman" w:hAnsi="Times New Roman" w:eastAsia="仿宋_GB2312" w:cs="Times New Roman"/>
          <w:bCs/>
          <w:sz w:val="32"/>
          <w:szCs w:val="32"/>
          <w:lang w:val="en-US" w:eastAsia="en-US" w:bidi="ar-SA"/>
        </w:rPr>
        <w:t>载功能，兼顾集聚发展、区域协作与安全环保，推动先进能源产业功能与空间资源精准匹配。</w:t>
      </w:r>
    </w:p>
    <w:p w14:paraId="564DA60C">
      <w:pPr>
        <w:pStyle w:val="30"/>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1"/>
        <w:rPr>
          <w:rFonts w:hint="default" w:ascii="楷体_GB2312" w:hAnsi="Times New Roman" w:eastAsia="楷体_GB2312" w:cs="Times New Roman"/>
          <w:b w:val="0"/>
          <w:bCs/>
          <w:color w:val="000000"/>
          <w:sz w:val="32"/>
          <w:szCs w:val="32"/>
          <w:lang w:val="en-US" w:eastAsia="en-US" w:bidi="ar-SA"/>
        </w:rPr>
      </w:pPr>
      <w:r>
        <w:rPr>
          <w:rFonts w:hint="default" w:ascii="楷体_GB2312" w:hAnsi="Times New Roman" w:eastAsia="楷体_GB2312" w:cs="Times New Roman"/>
          <w:b w:val="0"/>
          <w:bCs/>
          <w:color w:val="000000"/>
          <w:sz w:val="32"/>
          <w:szCs w:val="32"/>
          <w:lang w:val="en-US" w:eastAsia="en-US" w:bidi="ar-SA"/>
        </w:rPr>
        <w:t>（一）强化能源谷核心引领</w:t>
      </w:r>
    </w:p>
    <w:p w14:paraId="30140E5C">
      <w:pPr>
        <w:pStyle w:val="30"/>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bCs/>
          <w:sz w:val="32"/>
          <w:szCs w:val="32"/>
          <w:lang w:val="en-US" w:eastAsia="en-US" w:bidi="ar-SA"/>
        </w:rPr>
      </w:pPr>
      <w:r>
        <w:rPr>
          <w:rFonts w:hint="default" w:ascii="Times New Roman" w:hAnsi="Times New Roman" w:eastAsia="仿宋_GB2312" w:cs="Times New Roman"/>
          <w:bCs/>
          <w:sz w:val="32"/>
          <w:szCs w:val="32"/>
          <w:lang w:val="en-US" w:eastAsia="en-US" w:bidi="ar-SA"/>
        </w:rPr>
        <w:t>依托能源央企科研机构和创新平台，强化技术攻关、总部研发、成果转化和专业服务，重点发展氢能、能源互联网、新型储能及“人工智能+能源”等高附加值业务，集聚成果转化企业、功能性总部和专业服务机构。</w:t>
      </w:r>
    </w:p>
    <w:p w14:paraId="44962D38">
      <w:pPr>
        <w:pStyle w:val="30"/>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1"/>
        <w:rPr>
          <w:rFonts w:hint="default" w:ascii="楷体_GB2312" w:hAnsi="Times New Roman" w:eastAsia="楷体_GB2312" w:cs="Times New Roman"/>
          <w:b w:val="0"/>
          <w:bCs/>
          <w:color w:val="000000"/>
          <w:sz w:val="32"/>
          <w:szCs w:val="32"/>
          <w:lang w:val="en-US" w:eastAsia="en-US" w:bidi="ar-SA"/>
        </w:rPr>
      </w:pPr>
      <w:r>
        <w:rPr>
          <w:rFonts w:hint="default" w:ascii="楷体_GB2312" w:hAnsi="Times New Roman" w:eastAsia="楷体_GB2312" w:cs="Times New Roman"/>
          <w:b w:val="0"/>
          <w:bCs/>
          <w:color w:val="000000"/>
          <w:sz w:val="32"/>
          <w:szCs w:val="32"/>
          <w:lang w:val="en-US" w:eastAsia="en-US" w:bidi="ar-SA"/>
        </w:rPr>
        <w:t>（二）推动四大组团协同发展</w:t>
      </w:r>
    </w:p>
    <w:p w14:paraId="6406215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Cs/>
          <w:color w:val="000000"/>
          <w:sz w:val="32"/>
          <w:szCs w:val="32"/>
          <w:lang w:val="en-US" w:eastAsia="en-US" w:bidi="ar-SA"/>
        </w:rPr>
      </w:pPr>
      <w:r>
        <w:rPr>
          <w:rFonts w:hint="eastAsia" w:ascii="Times New Roman" w:hAnsi="Times New Roman" w:cs="Times New Roman"/>
          <w:bCs/>
          <w:color w:val="000000"/>
          <w:sz w:val="32"/>
          <w:szCs w:val="32"/>
          <w:lang w:val="en-US" w:eastAsia="zh-CN" w:bidi="ar-SA"/>
        </w:rPr>
        <w:t>推动</w:t>
      </w:r>
      <w:r>
        <w:rPr>
          <w:rFonts w:hint="default" w:ascii="Times New Roman" w:hAnsi="Times New Roman" w:eastAsia="仿宋_GB2312" w:cs="Times New Roman"/>
          <w:bCs/>
          <w:color w:val="000000"/>
          <w:sz w:val="32"/>
          <w:szCs w:val="32"/>
          <w:lang w:val="en-US" w:eastAsia="zh-CN" w:bidi="ar-SA"/>
        </w:rPr>
        <w:t>朱辛庄组团重点发展能源数据集、行业模型、工业软件、虚拟电厂和能碳管理</w:t>
      </w:r>
      <w:r>
        <w:rPr>
          <w:rFonts w:hint="eastAsia" w:ascii="Times New Roman" w:hAnsi="Times New Roman" w:cs="Times New Roman"/>
          <w:bCs/>
          <w:color w:val="000000"/>
          <w:sz w:val="32"/>
          <w:szCs w:val="32"/>
          <w:lang w:val="en-US" w:eastAsia="zh-CN" w:bidi="ar-SA"/>
        </w:rPr>
        <w:t>；</w:t>
      </w:r>
      <w:r>
        <w:rPr>
          <w:rFonts w:hint="default" w:ascii="Times New Roman" w:hAnsi="Times New Roman" w:eastAsia="仿宋_GB2312" w:cs="Times New Roman"/>
          <w:bCs/>
          <w:color w:val="000000"/>
          <w:sz w:val="32"/>
          <w:szCs w:val="32"/>
          <w:lang w:val="en-US" w:eastAsia="zh-CN" w:bidi="ar-SA"/>
        </w:rPr>
        <w:t>沙河组团强化高校、央企和企业协同，发展聚变能源、氢能、化石能源清洁高效利用及碳捕集利用与封存；昌平园中心组团承接装备研发、中试验证和产品定型；南口</w:t>
      </w:r>
      <w:r>
        <w:rPr>
          <w:rFonts w:hint="eastAsia" w:ascii="Times New Roman" w:hAnsi="Times New Roman" w:cs="Times New Roman"/>
          <w:szCs w:val="32"/>
          <w:lang w:eastAsia="zh-CN"/>
        </w:rPr>
        <w:t>—</w:t>
      </w:r>
      <w:r>
        <w:rPr>
          <w:rFonts w:hint="default" w:ascii="Times New Roman" w:hAnsi="Times New Roman" w:eastAsia="仿宋_GB2312" w:cs="Times New Roman"/>
          <w:bCs/>
          <w:color w:val="000000"/>
          <w:sz w:val="32"/>
          <w:szCs w:val="32"/>
          <w:lang w:val="en-US" w:eastAsia="zh-CN" w:bidi="ar-SA"/>
        </w:rPr>
        <w:t>马池口组团发展风电整机及关键部件、新型电力电子装备和氢能装备，提升高端装备产业化能力。</w:t>
      </w:r>
    </w:p>
    <w:p w14:paraId="44E7D861">
      <w:pPr>
        <w:pStyle w:val="30"/>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1"/>
        <w:rPr>
          <w:rFonts w:hint="default" w:ascii="楷体_GB2312" w:hAnsi="Times New Roman" w:eastAsia="楷体_GB2312" w:cs="Times New Roman"/>
          <w:b w:val="0"/>
          <w:bCs/>
          <w:color w:val="000000"/>
          <w:sz w:val="32"/>
          <w:szCs w:val="32"/>
          <w:lang w:val="en-US" w:eastAsia="en-US" w:bidi="ar-SA"/>
        </w:rPr>
      </w:pPr>
      <w:r>
        <w:rPr>
          <w:rFonts w:hint="default" w:ascii="楷体_GB2312" w:hAnsi="Times New Roman" w:eastAsia="楷体_GB2312" w:cs="Times New Roman"/>
          <w:b w:val="0"/>
          <w:bCs/>
          <w:color w:val="000000"/>
          <w:sz w:val="32"/>
          <w:szCs w:val="32"/>
          <w:lang w:val="en-US" w:eastAsia="en-US" w:bidi="ar-SA"/>
        </w:rPr>
        <w:t>（三）提升多点专业承载能力</w:t>
      </w:r>
    </w:p>
    <w:p w14:paraId="43C80FA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Cs/>
          <w:color w:val="000000"/>
          <w:sz w:val="32"/>
          <w:szCs w:val="32"/>
          <w:lang w:val="en-US" w:eastAsia="zh-CN" w:bidi="ar-SA"/>
        </w:rPr>
      </w:pPr>
      <w:r>
        <w:rPr>
          <w:rFonts w:hint="default" w:ascii="Times New Roman" w:hAnsi="Times New Roman" w:eastAsia="仿宋_GB2312" w:cs="Times New Roman"/>
          <w:bCs/>
          <w:color w:val="000000"/>
          <w:sz w:val="32"/>
          <w:szCs w:val="32"/>
          <w:lang w:val="en-US" w:eastAsia="zh-CN" w:bidi="ar-SA"/>
        </w:rPr>
        <w:t>发挥</w:t>
      </w:r>
      <w:r>
        <w:rPr>
          <w:rFonts w:hint="eastAsia" w:ascii="Times New Roman" w:hAnsi="Times New Roman" w:cs="Times New Roman"/>
          <w:bCs/>
          <w:color w:val="000000"/>
          <w:sz w:val="32"/>
          <w:szCs w:val="32"/>
          <w:lang w:val="en-US" w:eastAsia="zh-CN" w:bidi="ar-SA"/>
        </w:rPr>
        <w:t>能源高校科技园</w:t>
      </w:r>
      <w:r>
        <w:rPr>
          <w:rFonts w:hint="default" w:ascii="Times New Roman" w:hAnsi="Times New Roman" w:eastAsia="仿宋_GB2312" w:cs="Times New Roman"/>
          <w:bCs/>
          <w:color w:val="000000"/>
          <w:sz w:val="32"/>
          <w:szCs w:val="32"/>
          <w:lang w:val="en-US" w:eastAsia="zh-CN" w:bidi="ar-SA"/>
        </w:rPr>
        <w:t>支撑作用，提升北七家产业园、小汤山智造园、崔村先进制造产业园等专业园区承载能力，分类布局成果转化、中试验证、小批量试制、数字能源服务和综合能源示范，推动高校成果、组团功能与园区空间有效衔接。</w:t>
      </w:r>
    </w:p>
    <w:p w14:paraId="4946AADB">
      <w:pPr>
        <w:pStyle w:val="3"/>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黑体" w:hAnsi="黑体" w:eastAsia="黑体" w:cs="Times New Roman"/>
          <w:b w:val="0"/>
          <w:szCs w:val="32"/>
          <w:lang w:eastAsia="zh-CN"/>
        </w:rPr>
      </w:pPr>
      <w:r>
        <w:rPr>
          <w:rFonts w:hint="eastAsia" w:ascii="黑体" w:hAnsi="黑体" w:eastAsia="黑体" w:cs="Times New Roman"/>
          <w:b w:val="0"/>
          <w:szCs w:val="32"/>
          <w:lang w:val="en-US" w:eastAsia="zh-CN"/>
        </w:rPr>
        <w:t>四</w:t>
      </w:r>
      <w:r>
        <w:rPr>
          <w:rFonts w:ascii="黑体" w:hAnsi="黑体" w:eastAsia="黑体" w:cs="Times New Roman"/>
          <w:b w:val="0"/>
          <w:szCs w:val="32"/>
          <w:lang w:eastAsia="zh-CN"/>
        </w:rPr>
        <w:t>、重点行动：以系统施策激发产业发展动能</w:t>
      </w:r>
    </w:p>
    <w:p w14:paraId="1B9AD95A">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楷体_GB2312" w:hAnsi="Times New Roman" w:eastAsia="楷体_GB2312" w:cs="Times New Roman"/>
          <w:b w:val="0"/>
          <w:szCs w:val="32"/>
          <w:lang w:eastAsia="zh-CN"/>
        </w:rPr>
      </w:pPr>
      <w:r>
        <w:rPr>
          <w:rFonts w:ascii="楷体_GB2312" w:hAnsi="Times New Roman" w:eastAsia="楷体_GB2312" w:cs="Times New Roman"/>
          <w:b w:val="0"/>
          <w:szCs w:val="32"/>
          <w:lang w:eastAsia="zh-CN"/>
        </w:rPr>
        <w:t>（</w:t>
      </w:r>
      <w:r>
        <w:rPr>
          <w:rFonts w:hint="eastAsia" w:ascii="楷体_GB2312" w:hAnsi="Times New Roman" w:eastAsia="楷体_GB2312" w:cs="Times New Roman"/>
          <w:b w:val="0"/>
          <w:szCs w:val="32"/>
          <w:lang w:eastAsia="zh-CN"/>
        </w:rPr>
        <w:t>一</w:t>
      </w:r>
      <w:r>
        <w:rPr>
          <w:rFonts w:ascii="楷体_GB2312" w:hAnsi="Times New Roman" w:eastAsia="楷体_GB2312" w:cs="Times New Roman"/>
          <w:b w:val="0"/>
          <w:szCs w:val="32"/>
          <w:lang w:eastAsia="zh-CN"/>
        </w:rPr>
        <w:t>）实施央地协同联动行动，释放央企资源效能</w:t>
      </w:r>
    </w:p>
    <w:p w14:paraId="107AB0C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楷体_GB2312" w:hAnsi="Times New Roman" w:eastAsia="楷体_GB2312" w:cs="Times New Roman"/>
          <w:b w:val="0"/>
          <w:szCs w:val="32"/>
          <w:lang w:eastAsia="zh-CN"/>
        </w:rPr>
      </w:pPr>
      <w:r>
        <w:rPr>
          <w:rFonts w:ascii="Times New Roman" w:hAnsi="Times New Roman" w:cs="Times New Roman"/>
          <w:szCs w:val="32"/>
          <w:lang w:eastAsia="zh-CN"/>
        </w:rPr>
        <w:t>动态梳理央企科研成果与</w:t>
      </w:r>
      <w:r>
        <w:rPr>
          <w:rFonts w:hint="eastAsia" w:ascii="Times New Roman" w:hAnsi="Times New Roman" w:cs="Times New Roman"/>
          <w:szCs w:val="32"/>
          <w:lang w:eastAsia="zh-CN"/>
        </w:rPr>
        <w:t>区域</w:t>
      </w:r>
      <w:r>
        <w:rPr>
          <w:rFonts w:ascii="Times New Roman" w:hAnsi="Times New Roman" w:cs="Times New Roman"/>
          <w:szCs w:val="32"/>
          <w:lang w:eastAsia="zh-CN"/>
        </w:rPr>
        <w:t>企业需求，形成</w:t>
      </w:r>
      <w:r>
        <w:rPr>
          <w:rFonts w:hint="eastAsia" w:ascii="Times New Roman" w:hAnsi="Times New Roman" w:cs="Times New Roman"/>
          <w:szCs w:val="32"/>
          <w:lang w:eastAsia="zh-CN"/>
        </w:rPr>
        <w:t>常态化</w:t>
      </w:r>
      <w:r>
        <w:rPr>
          <w:rFonts w:ascii="Times New Roman" w:hAnsi="Times New Roman" w:cs="Times New Roman"/>
          <w:szCs w:val="32"/>
          <w:lang w:eastAsia="zh-CN"/>
        </w:rPr>
        <w:t>供需清单，</w:t>
      </w:r>
      <w:r>
        <w:rPr>
          <w:rFonts w:hint="eastAsia" w:ascii="Times New Roman" w:hAnsi="Times New Roman" w:cs="Times New Roman"/>
          <w:szCs w:val="32"/>
          <w:lang w:eastAsia="zh-CN"/>
        </w:rPr>
        <w:t>加快</w:t>
      </w:r>
      <w:r>
        <w:rPr>
          <w:rFonts w:ascii="Times New Roman" w:hAnsi="Times New Roman" w:cs="Times New Roman"/>
          <w:szCs w:val="32"/>
          <w:lang w:eastAsia="zh-CN"/>
        </w:rPr>
        <w:t>组织具备转化条件的项目定向对接。支持央企开放科研设施、检测能力及应用场景，推动科研人员按规定开展项目合作和技术咨询。引导央企通过设立企业、技术服务机构等方式在昌转化成果，推动新增研发、服务与运营业务落地。跟踪重大工程和设备更新计划，建立配套需求目录，开展供应商准入辅导、产品对接和样品验证，促进区内企业进入央企供应链。对创新产品实行“一场景一方案”试用，明确安全责任，以运行效果支撑进入工程采购和技术改造项目，带动成果由单点验证向规模应用延伸。</w:t>
      </w:r>
    </w:p>
    <w:p w14:paraId="2BE5490E">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楷体_GB2312" w:hAnsi="Times New Roman" w:eastAsia="楷体_GB2312" w:cs="Times New Roman"/>
          <w:b w:val="0"/>
          <w:szCs w:val="32"/>
          <w:lang w:eastAsia="zh-CN"/>
        </w:rPr>
      </w:pPr>
      <w:r>
        <w:rPr>
          <w:rFonts w:ascii="楷体_GB2312" w:hAnsi="Times New Roman" w:eastAsia="楷体_GB2312" w:cs="Times New Roman"/>
          <w:b w:val="0"/>
          <w:szCs w:val="32"/>
          <w:lang w:eastAsia="zh-CN"/>
        </w:rPr>
        <w:t>（</w:t>
      </w:r>
      <w:r>
        <w:rPr>
          <w:rFonts w:hint="eastAsia" w:ascii="楷体_GB2312" w:hAnsi="Times New Roman" w:eastAsia="楷体_GB2312" w:cs="Times New Roman"/>
          <w:b w:val="0"/>
          <w:szCs w:val="32"/>
          <w:lang w:eastAsia="zh-CN"/>
        </w:rPr>
        <w:t>二</w:t>
      </w:r>
      <w:r>
        <w:rPr>
          <w:rFonts w:ascii="楷体_GB2312" w:hAnsi="Times New Roman" w:eastAsia="楷体_GB2312" w:cs="Times New Roman"/>
          <w:b w:val="0"/>
          <w:szCs w:val="32"/>
          <w:lang w:eastAsia="zh-CN"/>
        </w:rPr>
        <w:t>）实施高校院所协同创新行动，推动成果在昌转化</w:t>
      </w:r>
    </w:p>
    <w:p w14:paraId="3CAEEA0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cs="Times New Roman"/>
          <w:szCs w:val="32"/>
          <w:lang w:eastAsia="zh-CN"/>
        </w:rPr>
      </w:pPr>
      <w:r>
        <w:rPr>
          <w:rFonts w:ascii="Times New Roman" w:hAnsi="Times New Roman" w:cs="Times New Roman"/>
          <w:szCs w:val="32"/>
          <w:lang w:eastAsia="zh-CN"/>
        </w:rPr>
        <w:t>发挥高校优势，围绕新型电力系统、储能材料、聚变能源等领域开展联合攻关，由企业提出需求，校院企协同推进技术研发和原型开发。推动实验室、仪器设备及测试</w:t>
      </w:r>
      <w:bookmarkStart w:id="0" w:name="_GoBack"/>
      <w:bookmarkEnd w:id="0"/>
      <w:r>
        <w:rPr>
          <w:rFonts w:ascii="Times New Roman" w:hAnsi="Times New Roman" w:cs="Times New Roman"/>
          <w:szCs w:val="32"/>
          <w:lang w:eastAsia="zh-CN"/>
        </w:rPr>
        <w:t>能力按规定开放，提供材料表征与性能评价服务。依托高校技术转移机构筛选成果，支持技术许可、成果作价投资及师生创业，在沙河高教园、能源谷开展概念验证、样机试制和工程测试。健全区校联合招商机制，依托校友网络、大学科技园及科研合作渠道挖掘项目，配套空间、融资和场景服务，推动研发机构、成果转化企业和高附加值业务在昌布局。</w:t>
      </w:r>
    </w:p>
    <w:p w14:paraId="280202C7">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楷体_GB2312" w:hAnsi="Times New Roman" w:eastAsia="楷体_GB2312" w:cs="Times New Roman"/>
          <w:b w:val="0"/>
          <w:szCs w:val="32"/>
          <w:lang w:eastAsia="zh-CN"/>
        </w:rPr>
      </w:pPr>
      <w:r>
        <w:rPr>
          <w:rFonts w:ascii="楷体_GB2312" w:hAnsi="Times New Roman" w:eastAsia="楷体_GB2312" w:cs="Times New Roman"/>
          <w:b w:val="0"/>
          <w:szCs w:val="32"/>
          <w:lang w:eastAsia="zh-CN"/>
        </w:rPr>
        <w:t>（三）实施企业梯度培育行动，激发市场主体活力</w:t>
      </w:r>
    </w:p>
    <w:p w14:paraId="3808540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cs="Times New Roman"/>
          <w:szCs w:val="32"/>
          <w:lang w:eastAsia="zh-CN"/>
        </w:rPr>
      </w:pPr>
      <w:r>
        <w:rPr>
          <w:rFonts w:ascii="Times New Roman" w:hAnsi="Times New Roman" w:cs="Times New Roman"/>
          <w:szCs w:val="32"/>
          <w:lang w:eastAsia="zh-CN"/>
        </w:rPr>
        <w:t>建立上市企业和独角兽企业重点服务清单，支持承担重大科技任务、建设平台和实施产业化项目，运用再融资、并购重组拓展技术与市场资源。聚焦氢能、新型储能等方向壮大“明星企业”，依托央企链主提供首试首用和验证推广机会，将成长型企业纳入产业基金重点支持范围，以股权融资满足长期投入、科技信贷补充流动资金。支持瞪羚企业向专精特新“小巨人”、独角兽及上市后备企业成长。培育专业化“腰部企业”，推动创业团队公司化运营、技术成果产品化开发，承接龙头企业技术开发、系统配套和专业服务业务，形成稳定客户与交付能力。</w:t>
      </w:r>
    </w:p>
    <w:p w14:paraId="705B0415">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楷体_GB2312" w:hAnsi="Times New Roman" w:eastAsia="楷体_GB2312" w:cs="Times New Roman"/>
          <w:b w:val="0"/>
          <w:szCs w:val="32"/>
          <w:lang w:eastAsia="zh-CN"/>
        </w:rPr>
      </w:pPr>
      <w:r>
        <w:rPr>
          <w:rFonts w:ascii="楷体_GB2312" w:hAnsi="Times New Roman" w:eastAsia="楷体_GB2312" w:cs="Times New Roman"/>
          <w:b w:val="0"/>
          <w:szCs w:val="32"/>
          <w:lang w:eastAsia="zh-CN"/>
        </w:rPr>
        <w:t>（四）实施应用场景牵引行动，推动示范推广应用</w:t>
      </w:r>
    </w:p>
    <w:p w14:paraId="3E38162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cs="Times New Roman"/>
          <w:szCs w:val="32"/>
          <w:lang w:eastAsia="zh-CN"/>
        </w:rPr>
      </w:pPr>
      <w:r>
        <w:rPr>
          <w:rFonts w:ascii="Times New Roman" w:hAnsi="Times New Roman" w:cs="Times New Roman"/>
          <w:szCs w:val="32"/>
          <w:lang w:eastAsia="zh-CN"/>
        </w:rPr>
        <w:t>统筹征集场景需求，动态发布场景清单，明确技术标准、开放条件、安全要求和评价方式，组织场景单位与企业对接。依托未来智谷、产业园区、公共建筑及交通场站，推进光伏与储能协同应用，推广地源、空气源热泵，探索分散式风电示范，拓展“光储充”一体化。结合配电网承载能力和区域用能需求，支持</w:t>
      </w:r>
      <w:r>
        <w:rPr>
          <w:rFonts w:hint="eastAsia" w:ascii="Times New Roman" w:hAnsi="Times New Roman" w:cs="Times New Roman"/>
          <w:szCs w:val="32"/>
          <w:lang w:eastAsia="zh-CN"/>
        </w:rPr>
        <w:t>重点企业</w:t>
      </w:r>
      <w:r>
        <w:rPr>
          <w:rFonts w:ascii="Times New Roman" w:hAnsi="Times New Roman" w:cs="Times New Roman"/>
          <w:szCs w:val="32"/>
          <w:lang w:eastAsia="zh-CN"/>
        </w:rPr>
        <w:t>建设未来能源站，集成分布式能源、储能、微电网和充换电功能，完善智慧能源管理平台。引入专业机构开展能源托管，推动虚拟电厂参与需求响应及市场交易，评估成效，推广成熟方案与模式。</w:t>
      </w:r>
    </w:p>
    <w:p w14:paraId="7BCA5F68">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楷体_GB2312" w:hAnsi="Times New Roman" w:eastAsia="楷体_GB2312" w:cs="Times New Roman"/>
          <w:b w:val="0"/>
          <w:szCs w:val="32"/>
          <w:lang w:eastAsia="zh-CN"/>
        </w:rPr>
      </w:pPr>
      <w:r>
        <w:rPr>
          <w:rFonts w:ascii="楷体_GB2312" w:hAnsi="Times New Roman" w:eastAsia="楷体_GB2312" w:cs="Times New Roman"/>
          <w:b w:val="0"/>
          <w:szCs w:val="32"/>
          <w:lang w:eastAsia="zh-CN"/>
        </w:rPr>
        <w:t>（五）实施人工智能赋能行动，推动能源数智发展</w:t>
      </w:r>
    </w:p>
    <w:p w14:paraId="651E273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cs="Times New Roman"/>
          <w:szCs w:val="32"/>
          <w:lang w:eastAsia="zh-CN"/>
        </w:rPr>
      </w:pPr>
      <w:r>
        <w:rPr>
          <w:rFonts w:ascii="Times New Roman" w:hAnsi="Times New Roman" w:cs="Times New Roman"/>
          <w:szCs w:val="32"/>
          <w:lang w:eastAsia="zh-CN"/>
        </w:rPr>
        <w:t>支持能源龙头</w:t>
      </w:r>
      <w:r>
        <w:rPr>
          <w:rFonts w:hint="eastAsia" w:ascii="Times New Roman" w:hAnsi="Times New Roman" w:cs="Times New Roman"/>
          <w:szCs w:val="32"/>
          <w:lang w:eastAsia="zh-CN"/>
        </w:rPr>
        <w:t>企业</w:t>
      </w:r>
      <w:r>
        <w:rPr>
          <w:rFonts w:ascii="Times New Roman" w:hAnsi="Times New Roman" w:cs="Times New Roman"/>
          <w:szCs w:val="32"/>
          <w:lang w:eastAsia="zh-CN"/>
        </w:rPr>
        <w:t>联合高校院所、人工智能企业攻关能源大模型和自主可控算法，推动电力调度、负荷预测、智能运维及绿电交易软件迭代。建设数字化研发平台，利用人工智能辅助材料筛选、工艺优化和仿真验证，加快氢能催化剂、储能材料等研发与工程适配。推动生产运营、供应链管理数智化改造，发展远程运维、预测性维护和源网荷储协同服务，培育综合能源管理、虚拟电厂及碳资产管理解决方案提供商。规范数据采集、汇聚与治理，建设开发利用平台，探索安全合规流通机制，落实分类分级保护和关键信息基础设施防护，保障数据全生命周期安全。</w:t>
      </w:r>
    </w:p>
    <w:p w14:paraId="1116A8BF">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楷体_GB2312" w:hAnsi="Times New Roman" w:eastAsia="楷体_GB2312" w:cs="Times New Roman"/>
          <w:b w:val="0"/>
          <w:szCs w:val="32"/>
          <w:lang w:eastAsia="zh-CN"/>
        </w:rPr>
      </w:pPr>
      <w:r>
        <w:rPr>
          <w:rFonts w:ascii="楷体_GB2312" w:hAnsi="Times New Roman" w:eastAsia="楷体_GB2312" w:cs="Times New Roman"/>
          <w:b w:val="0"/>
          <w:szCs w:val="32"/>
          <w:lang w:eastAsia="zh-CN"/>
        </w:rPr>
        <w:t>（六）实施平台能级提质行动，强化平台支撑能力</w:t>
      </w:r>
    </w:p>
    <w:p w14:paraId="6CBDF0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cs="Times New Roman"/>
          <w:szCs w:val="32"/>
          <w:lang w:eastAsia="zh-CN"/>
        </w:rPr>
      </w:pPr>
      <w:r>
        <w:rPr>
          <w:rFonts w:ascii="Times New Roman" w:hAnsi="Times New Roman" w:cs="Times New Roman"/>
          <w:szCs w:val="32"/>
          <w:lang w:eastAsia="zh-CN"/>
        </w:rPr>
        <w:t>依托“能源谷”打造成果展示、技术交流与产业对接平台，办好能源转型大会</w:t>
      </w:r>
      <w:r>
        <w:rPr>
          <w:rFonts w:hint="eastAsia" w:ascii="Times New Roman" w:hAnsi="Times New Roman" w:cs="Times New Roman"/>
          <w:szCs w:val="32"/>
          <w:lang w:eastAsia="zh-CN"/>
        </w:rPr>
        <w:t>等能源领域活动</w:t>
      </w:r>
      <w:r>
        <w:rPr>
          <w:rFonts w:ascii="Times New Roman" w:hAnsi="Times New Roman" w:cs="Times New Roman"/>
          <w:szCs w:val="32"/>
          <w:lang w:eastAsia="zh-CN"/>
        </w:rPr>
        <w:t>，开展成果推介和项目路演，吸引创新团队、专业机构及产业资本集聚。依托两个国家级储能平台，完善氢能、新型储能、能源互联网等领域共性研发、中试验证和检验检测服务。推动央企</w:t>
      </w:r>
      <w:r>
        <w:rPr>
          <w:rFonts w:hint="eastAsia" w:ascii="Times New Roman" w:hAnsi="Times New Roman" w:cs="Times New Roman"/>
          <w:szCs w:val="32"/>
          <w:lang w:eastAsia="zh-CN"/>
        </w:rPr>
        <w:t>、</w:t>
      </w:r>
      <w:r>
        <w:rPr>
          <w:rFonts w:ascii="Times New Roman" w:hAnsi="Times New Roman" w:cs="Times New Roman"/>
          <w:szCs w:val="32"/>
          <w:lang w:eastAsia="zh-CN"/>
        </w:rPr>
        <w:t>高校</w:t>
      </w:r>
      <w:r>
        <w:rPr>
          <w:rFonts w:hint="eastAsia" w:ascii="Times New Roman" w:hAnsi="Times New Roman" w:cs="Times New Roman"/>
          <w:szCs w:val="32"/>
          <w:lang w:eastAsia="zh-CN"/>
        </w:rPr>
        <w:t>、民企等各类创新主体</w:t>
      </w:r>
      <w:r>
        <w:rPr>
          <w:rFonts w:ascii="Times New Roman" w:hAnsi="Times New Roman" w:cs="Times New Roman"/>
          <w:szCs w:val="32"/>
          <w:lang w:eastAsia="zh-CN"/>
        </w:rPr>
        <w:t>“打开院墙搞科研”，加强科研设施共享，引进技术咨询、知识产权、标准认证等机构，降低中小企业创新成本。依托“两谷一园”金融服务站和未来科创金融智库，联动产业基金、信贷及投贷联动服务，促进技术、资本、人才与项目精准匹配，提升平台服务能力。</w:t>
      </w:r>
    </w:p>
    <w:p w14:paraId="40395AD2">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楷体_GB2312" w:hAnsi="Times New Roman" w:eastAsia="楷体_GB2312" w:cs="Times New Roman"/>
          <w:b w:val="0"/>
          <w:szCs w:val="32"/>
          <w:lang w:eastAsia="zh-CN"/>
        </w:rPr>
      </w:pPr>
      <w:r>
        <w:rPr>
          <w:rFonts w:hint="eastAsia" w:ascii="楷体_GB2312" w:hAnsi="Times New Roman" w:eastAsia="楷体_GB2312" w:cs="Times New Roman"/>
          <w:b w:val="0"/>
          <w:bCs/>
          <w:color w:val="000000"/>
          <w:sz w:val="32"/>
          <w:szCs w:val="32"/>
          <w:lang w:val="en-US" w:eastAsia="zh-CN" w:bidi="ar-SA"/>
        </w:rPr>
        <w:t>（七）实</w:t>
      </w:r>
      <w:r>
        <w:rPr>
          <w:rFonts w:ascii="楷体_GB2312" w:hAnsi="Times New Roman" w:eastAsia="楷体_GB2312" w:cs="Times New Roman"/>
          <w:b w:val="0"/>
          <w:szCs w:val="32"/>
          <w:lang w:eastAsia="zh-CN"/>
        </w:rPr>
        <w:t>施区域协同拓展行动，拓展开放合作空间</w:t>
      </w:r>
    </w:p>
    <w:p w14:paraId="2030EDE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cs="Times New Roman"/>
          <w:szCs w:val="32"/>
          <w:lang w:eastAsia="zh-CN"/>
        </w:rPr>
      </w:pPr>
      <w:r>
        <w:rPr>
          <w:rFonts w:ascii="Times New Roman" w:hAnsi="Times New Roman" w:cs="Times New Roman"/>
          <w:szCs w:val="32"/>
          <w:lang w:eastAsia="zh-CN"/>
        </w:rPr>
        <w:t>发挥昌平研发创新和央企总部优势，依托</w:t>
      </w:r>
      <w:r>
        <w:rPr>
          <w:rFonts w:hint="eastAsia" w:ascii="仿宋_GB2312" w:hAnsi="仿宋_GB2312" w:eastAsia="仿宋_GB2312" w:cs="仿宋_GB2312"/>
          <w:szCs w:val="32"/>
          <w:lang w:eastAsia="zh-CN"/>
        </w:rPr>
        <w:t>G45产</w:t>
      </w:r>
      <w:r>
        <w:rPr>
          <w:rFonts w:ascii="Times New Roman" w:hAnsi="Times New Roman" w:cs="Times New Roman"/>
          <w:szCs w:val="32"/>
          <w:lang w:eastAsia="zh-CN"/>
        </w:rPr>
        <w:t>业走廊，衔接津冀转化、制造及应用资源，完善企业供需对接和产业配套机制。动态发布技术供给与场景需求，围绕氢能交通、源网荷储等领域开展跨区域验证，促进昌平研发设计、系统集成与区域制造、规模应用协同。总结示范经验，推动成熟产品和模式在京津冀推广。依托国际交流平台与“四区”政策优势，开展联合研发和技术合作，引进高端人才、先进技术及专业机构，支持企业参与国际标准制定、拓展“一带一路”市场，增强技术输出能力。</w:t>
      </w:r>
    </w:p>
    <w:p w14:paraId="4B7FA70A">
      <w:pPr>
        <w:pStyle w:val="3"/>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黑体" w:hAnsi="黑体" w:eastAsia="黑体" w:cs="Times New Roman"/>
          <w:b w:val="0"/>
          <w:szCs w:val="32"/>
          <w:lang w:eastAsia="zh-CN"/>
        </w:rPr>
      </w:pPr>
      <w:r>
        <w:rPr>
          <w:rFonts w:hint="eastAsia" w:ascii="黑体" w:hAnsi="黑体" w:eastAsia="黑体" w:cs="Times New Roman"/>
          <w:b w:val="0"/>
          <w:szCs w:val="32"/>
          <w:lang w:val="en-US" w:eastAsia="zh-CN"/>
        </w:rPr>
        <w:t>五</w:t>
      </w:r>
      <w:r>
        <w:rPr>
          <w:rFonts w:ascii="黑体" w:hAnsi="黑体" w:eastAsia="黑体" w:cs="Times New Roman"/>
          <w:b w:val="0"/>
          <w:szCs w:val="32"/>
          <w:lang w:eastAsia="zh-CN"/>
        </w:rPr>
        <w:t>、保障措施</w:t>
      </w:r>
    </w:p>
    <w:p w14:paraId="61D1071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Times New Roman" w:eastAsia="楷体_GB2312" w:cs="Times New Roman"/>
          <w:b w:val="0"/>
          <w:bCs/>
          <w:color w:val="000000"/>
          <w:sz w:val="32"/>
          <w:szCs w:val="32"/>
          <w:lang w:val="en-US" w:eastAsia="zh-CN" w:bidi="ar-SA"/>
        </w:rPr>
      </w:pPr>
      <w:r>
        <w:rPr>
          <w:rFonts w:hint="eastAsia" w:ascii="楷体_GB2312" w:hAnsi="Times New Roman" w:eastAsia="楷体_GB2312" w:cs="Times New Roman"/>
          <w:b w:val="0"/>
          <w:bCs/>
          <w:color w:val="000000"/>
          <w:sz w:val="32"/>
          <w:szCs w:val="32"/>
          <w:lang w:val="en-US" w:eastAsia="zh-CN" w:bidi="ar-SA"/>
        </w:rPr>
        <w:t>（一）强化统筹组织领导</w:t>
      </w:r>
    </w:p>
    <w:p w14:paraId="09E59D4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cs="Times New Roman"/>
          <w:szCs w:val="32"/>
          <w:lang w:eastAsia="zh-CN"/>
        </w:rPr>
      </w:pPr>
      <w:r>
        <w:rPr>
          <w:rFonts w:hint="eastAsia" w:ascii="Times New Roman" w:hAnsi="Times New Roman" w:cs="Times New Roman"/>
          <w:szCs w:val="32"/>
          <w:lang w:eastAsia="zh-CN"/>
        </w:rPr>
        <w:t>衔接国土空间、科技创新及产业准入政策，推动先进能源专班实体化运行，统筹产业研判、项目对接和政策落实。深化与能源央企联席会商、信息共享及定期走访，跟踪研发平台、重大工程和产业化项目布局，促进央地资源协同配置。坚持区级统筹、部门协同、属地落实，分解年度、季度任务，明确职责分工和实施时序，健全重点任务调度、评估机制，完善项目台账和督办体系，及时解决要素保障、成果承接和政策兑现问题。</w:t>
      </w:r>
    </w:p>
    <w:p w14:paraId="46D5D3D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Times New Roman" w:eastAsia="楷体_GB2312" w:cs="Times New Roman"/>
          <w:b w:val="0"/>
          <w:bCs/>
          <w:color w:val="000000"/>
          <w:sz w:val="32"/>
          <w:szCs w:val="32"/>
          <w:lang w:val="en-US" w:eastAsia="zh-CN" w:bidi="ar-SA"/>
        </w:rPr>
      </w:pPr>
      <w:r>
        <w:rPr>
          <w:rFonts w:hint="eastAsia" w:ascii="楷体_GB2312" w:hAnsi="Times New Roman" w:eastAsia="楷体_GB2312" w:cs="Times New Roman"/>
          <w:b w:val="0"/>
          <w:bCs/>
          <w:color w:val="000000"/>
          <w:sz w:val="32"/>
          <w:szCs w:val="32"/>
          <w:lang w:val="en-US" w:eastAsia="zh-CN" w:bidi="ar-SA"/>
        </w:rPr>
        <w:t>（二）优化政策制度供给</w:t>
      </w:r>
    </w:p>
    <w:p w14:paraId="0B5413F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cs="Times New Roman"/>
          <w:szCs w:val="32"/>
          <w:lang w:eastAsia="zh-CN"/>
        </w:rPr>
      </w:pPr>
      <w:r>
        <w:rPr>
          <w:rFonts w:hint="eastAsia" w:ascii="Times New Roman" w:hAnsi="Times New Roman" w:cs="Times New Roman"/>
          <w:szCs w:val="32"/>
          <w:lang w:eastAsia="zh-CN"/>
        </w:rPr>
        <w:t>统筹技术研发、成果转化、示范应用、企业引育和人才集聚政策，按赛道特点及企业阶段实施梯度扶持，衔接研发补助、项目落地、场景应用和产业链配套支持。优化立项、规划、施工许可等审批服务，依法依规推进并联审批、告知承诺和容缺受理，完善“一网通办”，提高政策兑现效率。围绕重大技术攻关、公共平台、产业化示范及能源基础设施储备项目，争取纳入国家和北京市项目库，争取资金与试点支持。动态评估完善支持措施。</w:t>
      </w:r>
    </w:p>
    <w:p w14:paraId="1CE615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Times New Roman" w:eastAsia="楷体_GB2312" w:cs="Times New Roman"/>
          <w:b w:val="0"/>
          <w:bCs/>
          <w:color w:val="000000"/>
          <w:sz w:val="32"/>
          <w:szCs w:val="32"/>
          <w:lang w:val="en-US" w:eastAsia="zh-CN" w:bidi="ar-SA"/>
        </w:rPr>
      </w:pPr>
      <w:r>
        <w:rPr>
          <w:rFonts w:hint="eastAsia" w:ascii="楷体_GB2312" w:hAnsi="Times New Roman" w:eastAsia="楷体_GB2312" w:cs="Times New Roman"/>
          <w:b w:val="0"/>
          <w:bCs/>
          <w:color w:val="000000"/>
          <w:sz w:val="32"/>
          <w:szCs w:val="32"/>
          <w:lang w:val="en-US" w:eastAsia="zh-CN" w:bidi="ar-SA"/>
        </w:rPr>
        <w:t>（三）强化要素资源保障</w:t>
      </w:r>
    </w:p>
    <w:p w14:paraId="505759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cs="Times New Roman"/>
          <w:szCs w:val="32"/>
          <w:lang w:eastAsia="zh-CN"/>
        </w:rPr>
      </w:pPr>
      <w:r>
        <w:rPr>
          <w:rFonts w:hint="eastAsia" w:ascii="Times New Roman" w:hAnsi="Times New Roman" w:cs="Times New Roman"/>
          <w:szCs w:val="32"/>
          <w:lang w:eastAsia="zh-CN"/>
        </w:rPr>
        <w:t>构建“一核引领、四团协同、多点支撑”格局。能源谷核心区强化创新策源和总部研发，朱辛庄发展数智融合与应用服务，沙河强化产学研协同和成果产业化，昌平园中心组团承接技术研发与中试验证，南口—马池口承接重大科技创新与高端装备产业化，北七家、小汤山等载体提供专业配套。盘活低效用地、闲置厂房和存量园区，按项目阶段配置研发、中试及小批量试制空间，探索先租后让、弹性出让及厂房定制，加快高净空、大承重的产业空间布局建设。落实产业准入、安全环保与承载要求，较大规模制氢储氢项目依托区外适宜载体实施。衔接“昌聚工程”等人才政策，引育领军人才、工程团队和复合型人才，深化校企实践与联合培养，完善人才配套服务。用好先进能源及先进制造产业母基金和直投基金，联动央企产业资本与社会资本，加强投后技术、场景和订单对接，分层支持企业对接资本市场。完善园区电力、热力、储能、加氢及管网设施，保障中试验证和示范应用需求。</w:t>
      </w:r>
    </w:p>
    <w:p w14:paraId="28D4F54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Times New Roman" w:eastAsia="楷体_GB2312" w:cs="Times New Roman"/>
          <w:b w:val="0"/>
          <w:bCs/>
          <w:color w:val="000000"/>
          <w:sz w:val="32"/>
          <w:szCs w:val="32"/>
          <w:lang w:val="en-US" w:eastAsia="zh-CN" w:bidi="ar-SA"/>
        </w:rPr>
      </w:pPr>
      <w:r>
        <w:rPr>
          <w:rFonts w:hint="eastAsia" w:ascii="楷体_GB2312" w:hAnsi="Times New Roman" w:eastAsia="楷体_GB2312" w:cs="Times New Roman"/>
          <w:b w:val="0"/>
          <w:bCs/>
          <w:color w:val="000000"/>
          <w:sz w:val="32"/>
          <w:szCs w:val="32"/>
          <w:lang w:val="en-US" w:eastAsia="zh-CN" w:bidi="ar-SA"/>
        </w:rPr>
        <w:t>（四）优化产业发展生态</w:t>
      </w:r>
    </w:p>
    <w:p w14:paraId="2EC407D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cs="Times New Roman"/>
          <w:szCs w:val="32"/>
          <w:lang w:eastAsia="zh-CN"/>
        </w:rPr>
      </w:pPr>
      <w:r>
        <w:rPr>
          <w:rFonts w:hint="eastAsia" w:ascii="Times New Roman" w:hAnsi="Times New Roman" w:cs="Times New Roman"/>
          <w:szCs w:val="32"/>
          <w:lang w:eastAsia="zh-CN"/>
        </w:rPr>
        <w:t>提供企业注册、研发、中试、运营及上市全周期服务，对龙头企业和重大科技项目配备服务专员，协调手续办理、资源匹配及产学研对接。支持龙头牵头组建创新联合体和产业链协作平台，促进上下游联合攻关、产品配套及成果应用，开展路演、供需对接和创新创业活动。加强国内外创新资源链接与要素流动。针对前沿能源技术周期长、风险高的特点，完善创新容错机制与适用边界，对符合规定、因客观技术风险未达预期的探索合理容错，兼顾成果进展和市场前景开展评价，营造持续攻关、开放协同的产业环境。</w:t>
      </w:r>
    </w:p>
    <w:p w14:paraId="56E6AF4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cs="仿宋_GB2312"/>
          <w:szCs w:val="32"/>
          <w:lang w:val="en-US" w:eastAsia="zh-CN"/>
        </w:rPr>
      </w:pPr>
      <w:r>
        <w:rPr>
          <w:rFonts w:hint="eastAsia" w:ascii="Times New Roman" w:hAnsi="Times New Roman" w:cs="Times New Roman"/>
          <w:szCs w:val="32"/>
          <w:lang w:eastAsia="zh-CN"/>
        </w:rPr>
        <w:t>本行动计划由北京未来科学城管理委员会负责解释，自发布之日起实施，有效期至</w:t>
      </w:r>
      <w:r>
        <w:rPr>
          <w:rFonts w:hint="eastAsia" w:ascii="仿宋_GB2312" w:hAnsi="仿宋_GB2312" w:eastAsia="仿宋_GB2312" w:cs="仿宋_GB2312"/>
          <w:szCs w:val="32"/>
          <w:lang w:val="en-US" w:eastAsia="zh-CN"/>
        </w:rPr>
        <w:t>2028年12月31日</w:t>
      </w:r>
      <w:r>
        <w:rPr>
          <w:rFonts w:hint="eastAsia" w:cs="仿宋_GB2312"/>
          <w:szCs w:val="32"/>
          <w:lang w:val="en-US" w:eastAsia="zh-CN"/>
        </w:rPr>
        <w:t>。本行动计划如遇国家和北京市相关政策调整，按照国家和北京市最新政策规定执行。</w:t>
      </w:r>
    </w:p>
    <w:p w14:paraId="0BE051A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Cs w:val="32"/>
          <w:lang w:val="en-US" w:eastAsia="zh-CN"/>
        </w:rPr>
      </w:pPr>
    </w:p>
    <w:sectPr>
      <w:footerReference r:id="rId5" w:type="default"/>
      <w:pgSz w:w="11906" w:h="16838"/>
      <w:pgMar w:top="2098" w:right="1474" w:bottom="1984" w:left="1587" w:header="850" w:footer="85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宋体"/>
    <w:panose1 w:val="00000000000000000000"/>
    <w:charset w:val="86"/>
    <w:family w:val="auto"/>
    <w:pitch w:val="default"/>
    <w:sig w:usb0="00000000" w:usb1="00000000" w:usb2="00000000" w:usb3="00000000" w:csb0="00000000" w:csb1="00000000"/>
  </w:font>
  <w:font w:name="ＭＳ 明朝">
    <w:altName w:val="宋体"/>
    <w:panose1 w:val="00000000000000000000"/>
    <w:charset w:val="86"/>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modern"/>
    <w:pitch w:val="default"/>
    <w:sig w:usb0="00000000" w:usb1="00000000" w:usb2="00000000" w:usb3="00000000" w:csb0="00000001"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28E2D">
    <w:pPr>
      <w:pStyle w:val="24"/>
      <w:jc w:val="center"/>
    </w:pPr>
    <w:r>
      <w:fldChar w:fldCharType="begin"/>
    </w:r>
    <w:r>
      <w:instrText xml:space="preserve">PAGE</w:instrText>
    </w:r>
    <w:r>
      <w:fldChar w:fldCharType="separate"/>
    </w:r>
    <w:r>
      <w:t>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409F5"/>
    <w:rsid w:val="0029639D"/>
    <w:rsid w:val="00316499"/>
    <w:rsid w:val="00326F90"/>
    <w:rsid w:val="004072BB"/>
    <w:rsid w:val="00497374"/>
    <w:rsid w:val="00686BCB"/>
    <w:rsid w:val="008C3FBF"/>
    <w:rsid w:val="00903AA1"/>
    <w:rsid w:val="00AA1D8D"/>
    <w:rsid w:val="00B47730"/>
    <w:rsid w:val="00BF77A2"/>
    <w:rsid w:val="00CB0664"/>
    <w:rsid w:val="00DC3979"/>
    <w:rsid w:val="00ED5299"/>
    <w:rsid w:val="00FC693F"/>
    <w:rsid w:val="01E86D7E"/>
    <w:rsid w:val="02D4220B"/>
    <w:rsid w:val="1B8742B3"/>
    <w:rsid w:val="2C5C75BA"/>
    <w:rsid w:val="35BE10C4"/>
    <w:rsid w:val="37620175"/>
    <w:rsid w:val="3A27009F"/>
    <w:rsid w:val="3FFF272D"/>
    <w:rsid w:val="43CBFADB"/>
    <w:rsid w:val="57657E31"/>
    <w:rsid w:val="5DA33C1E"/>
    <w:rsid w:val="5FF75E23"/>
    <w:rsid w:val="67E726DC"/>
    <w:rsid w:val="67E76951"/>
    <w:rsid w:val="6CA1EABA"/>
    <w:rsid w:val="6CC13BE1"/>
    <w:rsid w:val="734D0E50"/>
    <w:rsid w:val="77F959B0"/>
    <w:rsid w:val="7DFBF2B1"/>
    <w:rsid w:val="9BF7D7C4"/>
    <w:rsid w:val="9EEDCB08"/>
    <w:rsid w:val="B47F91EA"/>
    <w:rsid w:val="F76FC4CB"/>
    <w:rsid w:val="F77F45F0"/>
    <w:rsid w:val="F7EBAA04"/>
    <w:rsid w:val="FEFD10BD"/>
    <w:rsid w:val="FF4904B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0" w:line="560" w:lineRule="exact"/>
    </w:pPr>
    <w:rPr>
      <w:rFonts w:ascii="仿宋_GB2312" w:hAnsi="仿宋_GB2312" w:eastAsia="仿宋_GB2312" w:cstheme="minorBidi"/>
      <w:color w:val="000000"/>
      <w:sz w:val="32"/>
      <w:szCs w:val="22"/>
      <w:lang w:val="en-US" w:eastAsia="en-US" w:bidi="ar-SA"/>
    </w:rPr>
  </w:style>
  <w:style w:type="paragraph" w:styleId="3">
    <w:name w:val="heading 1"/>
    <w:basedOn w:val="1"/>
    <w:next w:val="1"/>
    <w:link w:val="139"/>
    <w:qFormat/>
    <w:uiPriority w:val="9"/>
    <w:pPr>
      <w:keepNext/>
      <w:keepLines/>
      <w:outlineLvl w:val="0"/>
    </w:pPr>
    <w:rPr>
      <w:rFonts w:asciiTheme="majorHAnsi" w:hAnsiTheme="majorHAnsi" w:eastAsiaTheme="majorEastAsia" w:cstheme="majorBidi"/>
      <w:b/>
      <w:bCs/>
      <w:szCs w:val="28"/>
    </w:rPr>
  </w:style>
  <w:style w:type="paragraph" w:styleId="4">
    <w:name w:val="heading 2"/>
    <w:basedOn w:val="1"/>
    <w:next w:val="1"/>
    <w:link w:val="140"/>
    <w:unhideWhenUsed/>
    <w:qFormat/>
    <w:uiPriority w:val="9"/>
    <w:pPr>
      <w:keepNext/>
      <w:keepLines/>
      <w:outlineLvl w:val="1"/>
    </w:pPr>
    <w:rPr>
      <w:rFonts w:asciiTheme="majorHAnsi" w:hAnsiTheme="majorHAnsi" w:eastAsiaTheme="majorEastAsia" w:cstheme="majorBidi"/>
      <w:b/>
      <w:bCs/>
      <w:szCs w:val="26"/>
    </w:rPr>
  </w:style>
  <w:style w:type="paragraph" w:styleId="5">
    <w:name w:val="heading 3"/>
    <w:basedOn w:val="1"/>
    <w:next w:val="1"/>
    <w:link w:val="141"/>
    <w:unhideWhenUsed/>
    <w:qFormat/>
    <w:uiPriority w:val="9"/>
    <w:pPr>
      <w:keepNext/>
      <w:keepLines/>
      <w:spacing w:before="20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5"/>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7"/>
    <w:unhideWhenUsed/>
    <w:qFormat/>
    <w:uiPriority w:val="99"/>
    <w:pPr>
      <w:tabs>
        <w:tab w:val="center" w:pos="4680"/>
        <w:tab w:val="right" w:pos="9360"/>
      </w:tabs>
      <w:spacing w:line="240" w:lineRule="auto"/>
    </w:pPr>
  </w:style>
  <w:style w:type="paragraph" w:styleId="25">
    <w:name w:val="header"/>
    <w:basedOn w:val="1"/>
    <w:link w:val="136"/>
    <w:unhideWhenUsed/>
    <w:qFormat/>
    <w:uiPriority w:val="99"/>
    <w:pPr>
      <w:tabs>
        <w:tab w:val="center" w:pos="4680"/>
        <w:tab w:val="right" w:pos="9360"/>
      </w:tabs>
      <w:spacing w:line="240" w:lineRule="auto"/>
    </w:pPr>
  </w:style>
  <w:style w:type="paragraph" w:styleId="26">
    <w:name w:val="Subtitle"/>
    <w:basedOn w:val="1"/>
    <w:next w:val="1"/>
    <w:link w:val="143"/>
    <w:qFormat/>
    <w:uiPriority w:val="11"/>
    <w:rPr>
      <w:rFonts w:asciiTheme="majorHAnsi" w:hAnsiTheme="majorHAnsi" w:eastAsiaTheme="majorEastAsia" w:cstheme="majorBidi"/>
      <w:i/>
      <w:iCs/>
      <w:spacing w:val="15"/>
      <w:szCs w:val="24"/>
    </w:rPr>
  </w:style>
  <w:style w:type="paragraph" w:styleId="27">
    <w:name w:val="List"/>
    <w:basedOn w:val="1"/>
    <w:unhideWhenUsed/>
    <w:qFormat/>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Normal (Web)"/>
    <w:basedOn w:val="1"/>
    <w:qFormat/>
    <w:uiPriority w:val="0"/>
    <w:pPr>
      <w:spacing w:beforeAutospacing="1" w:after="0" w:afterAutospacing="1"/>
    </w:pPr>
    <w:rPr>
      <w:rFonts w:cs="Times New Roman"/>
      <w:sz w:val="24"/>
      <w:lang w:eastAsia="zh-CN"/>
    </w:r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2"/>
    <w:qFormat/>
    <w:uiPriority w:val="10"/>
    <w:pPr>
      <w:contextualSpacing/>
    </w:pPr>
    <w:rPr>
      <w:rFonts w:asciiTheme="majorHAnsi" w:hAnsiTheme="majorHAnsi" w:eastAsiaTheme="majorEastAsia" w:cstheme="majorBidi"/>
      <w:spacing w:val="5"/>
      <w:kern w:val="28"/>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页眉 Char"/>
    <w:basedOn w:val="133"/>
    <w:link w:val="25"/>
    <w:qFormat/>
    <w:uiPriority w:val="99"/>
  </w:style>
  <w:style w:type="character" w:customStyle="1" w:styleId="137">
    <w:name w:val="页脚 Char"/>
    <w:basedOn w:val="133"/>
    <w:link w:val="24"/>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标题 1 Char"/>
    <w:basedOn w:val="133"/>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标题 2 Char"/>
    <w:basedOn w:val="13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标题 3 Char"/>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标题 Char"/>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副标题 Char"/>
    <w:basedOn w:val="133"/>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正文文本 Char"/>
    <w:basedOn w:val="133"/>
    <w:link w:val="19"/>
    <w:qFormat/>
    <w:uiPriority w:val="99"/>
  </w:style>
  <w:style w:type="character" w:customStyle="1" w:styleId="146">
    <w:name w:val="正文文本 2 Char"/>
    <w:basedOn w:val="133"/>
    <w:link w:val="28"/>
    <w:qFormat/>
    <w:uiPriority w:val="99"/>
  </w:style>
  <w:style w:type="character" w:customStyle="1" w:styleId="147">
    <w:name w:val="正文文本 3 Char"/>
    <w:basedOn w:val="133"/>
    <w:link w:val="17"/>
    <w:qFormat/>
    <w:uiPriority w:val="99"/>
    <w:rPr>
      <w:sz w:val="16"/>
      <w:szCs w:val="16"/>
    </w:rPr>
  </w:style>
  <w:style w:type="character" w:customStyle="1" w:styleId="148">
    <w:name w:val="宏文本 Char"/>
    <w:basedOn w:val="133"/>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引用 Char"/>
    <w:basedOn w:val="133"/>
    <w:link w:val="149"/>
    <w:qFormat/>
    <w:uiPriority w:val="29"/>
    <w:rPr>
      <w:i/>
      <w:iCs/>
      <w:color w:val="000000" w:themeColor="text1"/>
      <w14:textFill>
        <w14:solidFill>
          <w14:schemeClr w14:val="tx1"/>
        </w14:solidFill>
      </w14:textFill>
    </w:rPr>
  </w:style>
  <w:style w:type="character" w:customStyle="1" w:styleId="151">
    <w:name w:val="标题 4 Char"/>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标题 5 Char"/>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3">
    <w:name w:val="标题 6 Char"/>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标题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标题 8 Char"/>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标题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明显引用 Char"/>
    <w:basedOn w:val="133"/>
    <w:link w:val="157"/>
    <w:qFormat/>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3B24A87B-2E1A-4376-B571-2014F4497FEF}">
  <ds:schemaRefs/>
</ds:datastoreItem>
</file>

<file path=docProps/app.xml><?xml version="1.0" encoding="utf-8"?>
<Properties xmlns="http://schemas.openxmlformats.org/officeDocument/2006/extended-properties" xmlns:vt="http://schemas.openxmlformats.org/officeDocument/2006/docPropsVTypes">
  <Template>Normal</Template>
  <Pages>13</Pages>
  <Words>6650</Words>
  <Characters>6709</Characters>
  <Lines>43</Lines>
  <Paragraphs>12</Paragraphs>
  <TotalTime>2</TotalTime>
  <ScaleCrop>false</ScaleCrop>
  <LinksUpToDate>false</LinksUpToDate>
  <CharactersWithSpaces>6709</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Alan</dc:creator>
  <cp:lastModifiedBy>gao</cp:lastModifiedBy>
  <cp:lastPrinted>2026-10-12T08:45:00Z</cp:lastPrinted>
  <dcterms:modified xsi:type="dcterms:W3CDTF">2026-10-13T11:46:46Z</dcterms:modified>
  <dc:title>昌平区先进能源产业提质增效行动计划（2026—2028年）</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D8B3D077BEBD83DF2D7CCC6A41428CCA_42</vt:lpwstr>
  </property>
  <property fmtid="{D5CDD505-2E9C-101B-9397-08002B2CF9AE}" pid="4" name="KSOTemplateDocerSaveRecord">
    <vt:lpwstr>eyJoZGlkIjoiN2NjNjRmM2QxMjlhMTFjMDY1MmM4ZDBhOGI4NWRiNDAiLCJ1c2VySWQiOiIyODg4MDA0NTUifQ==</vt:lpwstr>
  </property>
</Properties>
</file>