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DB81D">
      <w:pPr>
        <w:pStyle w:val="13"/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_Hlk192260597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BF5D209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</w:pPr>
      <w:bookmarkStart w:id="1" w:name="OLE_LINK1"/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  <w:t>北京市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西城区“十五五”时期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  <w:t>文化和旅游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发展</w:t>
      </w:r>
    </w:p>
    <w:p w14:paraId="45175F48">
      <w:pPr>
        <w:spacing w:after="0" w:line="560" w:lineRule="exact"/>
        <w:jc w:val="center"/>
        <w:rPr>
          <w:rFonts w:ascii="方正小标宋简体" w:hAnsi="方正小标宋简体" w:eastAsia="方正小标宋简体" w:cs="方正小标宋简体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</w:rPr>
        <w:t>规划（征求意见稿）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起草说明</w:t>
      </w:r>
    </w:p>
    <w:bookmarkEnd w:id="0"/>
    <w:p w14:paraId="72091882">
      <w:pPr>
        <w:shd w:val="clear" w:color="auto" w:fill="FFFFFF"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</w:p>
    <w:p w14:paraId="57B2B55F">
      <w:pPr>
        <w:spacing w:after="0" w:line="560" w:lineRule="exact"/>
        <w:ind w:firstLine="640" w:firstLineChars="200"/>
        <w:rPr>
          <w:rFonts w:ascii="黑体" w:hAnsi="黑体" w:eastAsia="黑体" w:cs="仿宋"/>
          <w:sz w:val="32"/>
          <w:szCs w:val="32"/>
        </w:rPr>
      </w:pPr>
      <w:bookmarkStart w:id="2" w:name="OLE_LINK4"/>
      <w:r>
        <w:rPr>
          <w:rFonts w:hint="eastAsia" w:ascii="黑体" w:hAnsi="黑体" w:eastAsia="黑体" w:cs="仿宋"/>
          <w:sz w:val="32"/>
          <w:szCs w:val="32"/>
        </w:rPr>
        <w:t>一、制定背景和过程</w:t>
      </w:r>
    </w:p>
    <w:p w14:paraId="6B2991FE">
      <w:pPr>
        <w:spacing w:after="0" w:line="560" w:lineRule="exact"/>
        <w:ind w:firstLine="640" w:firstLineChars="200"/>
        <w:outlineLvl w:val="0"/>
        <w:rPr>
          <w:rFonts w:ascii="楷体_GB2312" w:hAnsi="楷体_GB2312" w:eastAsia="楷体_GB2312" w:cs="楷体_GB2312"/>
          <w:sz w:val="32"/>
          <w:szCs w:val="32"/>
        </w:rPr>
      </w:pPr>
      <w:bookmarkStart w:id="3" w:name="OLE_LINK9"/>
      <w:r>
        <w:rPr>
          <w:rFonts w:hint="eastAsia" w:ascii="楷体_GB2312" w:hAnsi="楷体_GB2312" w:eastAsia="楷体_GB2312" w:cs="楷体_GB2312"/>
          <w:sz w:val="32"/>
          <w:szCs w:val="32"/>
        </w:rPr>
        <w:t>（一）制定背景</w:t>
      </w:r>
    </w:p>
    <w:p w14:paraId="338DFEBA">
      <w:pPr>
        <w:spacing w:after="0" w:line="560" w:lineRule="exact"/>
        <w:ind w:firstLine="640" w:firstLineChars="200"/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坚持以习近平新时代中国特色社会主义思想为指导，深入贯彻习近平文化思想、习近平总书记对旅游工作的重要指示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以及对北京的重要讲话精神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深入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贯彻党的二十大和二十届历次全会精神，以推动高质量发展为主题，以改革创新为动力，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以满足人民日益增长的文化和旅游生活需求为目的，</w:t>
      </w:r>
      <w:bookmarkEnd w:id="3"/>
      <w:bookmarkStart w:id="4" w:name="OLE_LINK7"/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结合西城区实际，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北京市西城区文化和旅游局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启动《西城区“十五五”时期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文化和旅游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发展规划（征求意见稿）》（以下简称《规划（征求意见稿）》）的起草工作。</w:t>
      </w:r>
      <w:bookmarkEnd w:id="4"/>
    </w:p>
    <w:p w14:paraId="47D4173E">
      <w:pPr>
        <w:spacing w:after="0" w:line="560" w:lineRule="exact"/>
        <w:ind w:firstLine="640" w:firstLineChars="200"/>
        <w:outlineLvl w:val="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（二）制定过程</w:t>
      </w:r>
    </w:p>
    <w:p w14:paraId="22EB5227">
      <w:pPr>
        <w:spacing w:after="0"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规划编制工作启动以来，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文化和旅游</w:t>
      </w:r>
      <w:r>
        <w:rPr>
          <w:rFonts w:hint="eastAsia" w:ascii="仿宋_GB2312" w:hAnsi="仿宋" w:eastAsia="仿宋_GB2312" w:cs="仿宋"/>
          <w:sz w:val="32"/>
          <w:szCs w:val="32"/>
        </w:rPr>
        <w:t>局锚定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北京市全国文化中心和国际一流旅游城市、全球旅游目的地</w:t>
      </w:r>
      <w:r>
        <w:rPr>
          <w:rFonts w:hint="eastAsia" w:ascii="仿宋_GB2312" w:hAnsi="仿宋" w:eastAsia="仿宋_GB2312" w:cs="仿宋"/>
          <w:sz w:val="32"/>
          <w:szCs w:val="32"/>
        </w:rPr>
        <w:t>建设目标，坚持“开门编规划”，深入调查研究，通过走访和组织座谈会等形式，广泛听取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社会各界</w:t>
      </w:r>
      <w:r>
        <w:rPr>
          <w:rFonts w:hint="eastAsia" w:ascii="仿宋_GB2312" w:hAnsi="仿宋" w:eastAsia="仿宋_GB2312" w:cs="仿宋"/>
          <w:sz w:val="32"/>
          <w:szCs w:val="32"/>
        </w:rPr>
        <w:t>和专家意见建议，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充分</w:t>
      </w:r>
      <w:r>
        <w:rPr>
          <w:rFonts w:hint="eastAsia" w:ascii="仿宋_GB2312" w:hAnsi="仿宋" w:eastAsia="仿宋_GB2312" w:cs="仿宋"/>
          <w:sz w:val="32"/>
          <w:szCs w:val="32"/>
        </w:rPr>
        <w:t>征求区委区政府相关部门意见建议，加强与国家、北京市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文化和旅游</w:t>
      </w:r>
      <w:r>
        <w:rPr>
          <w:rFonts w:hint="eastAsia" w:ascii="仿宋_GB2312" w:hAnsi="仿宋" w:eastAsia="仿宋_GB2312" w:cs="仿宋"/>
          <w:sz w:val="32"/>
          <w:szCs w:val="32"/>
        </w:rPr>
        <w:t>专项规划及西城区规划纲要衔接，结合规划前期研究课题成果，经过多轮修改完善，形成《规划（征求意见稿）》。</w:t>
      </w:r>
    </w:p>
    <w:p w14:paraId="56C6DD16">
      <w:pPr>
        <w:spacing w:after="0" w:line="560" w:lineRule="exact"/>
        <w:ind w:firstLine="640" w:firstLineChars="200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二、政策依据</w:t>
      </w:r>
    </w:p>
    <w:p w14:paraId="08377D4C">
      <w:pPr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本《规划（征求意见稿）》严格依据《北京城市总体规划（2016年-2035年）》《北京城市总体规划（2016年-2035年）》《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首都功能核心区控制性详细规划（街区层面）（2018年-2035年）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西城</w:t>
      </w:r>
      <w:r>
        <w:rPr>
          <w:rFonts w:hint="eastAsia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委关于制定北京市西城区</w:t>
      </w:r>
      <w:r>
        <w:rPr>
          <w:rFonts w:hint="eastAsia" w:ascii="仿宋_GB2312" w:hAnsi="仿宋_GB2312" w:eastAsia="仿宋_GB2312" w:cs="仿宋_GB2312"/>
          <w:sz w:val="32"/>
          <w:szCs w:val="32"/>
        </w:rPr>
        <w:t>国民经济和社会发展第十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个五年规划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的建议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与《北京市“十五五”时期文化和旅游发展规划》《北京市“十五五”时期文物事业发展</w:t>
      </w:r>
      <w:bookmarkStart w:id="57" w:name="_GoBack"/>
      <w:bookmarkEnd w:id="57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规划》《北京市西城区国民经济和社会发展第十五个五年规划纲要》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等相关文件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紧密衔接</w:t>
      </w:r>
      <w:r>
        <w:rPr>
          <w:rFonts w:hint="eastAsia" w:ascii="仿宋_GB2312" w:hAnsi="仿宋_GB2312" w:eastAsia="仿宋_GB2312" w:cs="仿宋_GB2312"/>
          <w:sz w:val="32"/>
          <w:szCs w:val="32"/>
        </w:rPr>
        <w:t>，确保上下贯通。</w:t>
      </w:r>
    </w:p>
    <w:p w14:paraId="62A8B143">
      <w:pPr>
        <w:spacing w:after="0" w:line="560" w:lineRule="exact"/>
        <w:ind w:firstLine="640" w:firstLineChars="200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仿宋"/>
          <w:sz w:val="32"/>
          <w:szCs w:val="32"/>
        </w:rPr>
        <w:t>主要内容</w:t>
      </w:r>
    </w:p>
    <w:bookmarkEnd w:id="1"/>
    <w:bookmarkEnd w:id="2"/>
    <w:p w14:paraId="47E79DA8">
      <w:pPr>
        <w:spacing w:after="0" w:line="560" w:lineRule="exact"/>
        <w:ind w:firstLine="640" w:firstLineChars="200"/>
        <w:outlineLvl w:val="0"/>
        <w:rPr>
          <w:rFonts w:hint="eastAsia" w:ascii="仿宋_GB2312" w:hAnsi="楷体_GB2312" w:eastAsia="仿宋_GB2312" w:cs="楷体_GB2312"/>
          <w:sz w:val="32"/>
          <w:szCs w:val="32"/>
        </w:rPr>
      </w:pPr>
      <w:r>
        <w:rPr>
          <w:rFonts w:hint="eastAsia" w:ascii="仿宋_GB2312" w:hAnsi="楷体_GB2312" w:eastAsia="仿宋_GB2312" w:cs="楷体_GB2312"/>
          <w:sz w:val="32"/>
          <w:szCs w:val="32"/>
        </w:rPr>
        <w:t>规划由发展形势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、</w:t>
      </w:r>
      <w:r>
        <w:rPr>
          <w:rFonts w:hint="eastAsia" w:ascii="仿宋_GB2312" w:hAnsi="楷体_GB2312" w:eastAsia="仿宋_GB2312" w:cs="楷体_GB2312"/>
          <w:sz w:val="32"/>
          <w:szCs w:val="32"/>
        </w:rPr>
        <w:t>总体要求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、</w:t>
      </w:r>
      <w:r>
        <w:rPr>
          <w:rFonts w:hint="eastAsia" w:ascii="仿宋_GB2312" w:hAnsi="楷体_GB2312" w:eastAsia="仿宋_GB2312" w:cs="楷体_GB2312"/>
          <w:sz w:val="32"/>
          <w:szCs w:val="32"/>
        </w:rPr>
        <w:t>主要目标和指标</w:t>
      </w:r>
      <w:r>
        <w:rPr>
          <w:rFonts w:hint="eastAsia" w:ascii="仿宋_GB2312" w:hAnsi="楷体_GB2312" w:eastAsia="仿宋_GB2312" w:cs="楷体_GB2312"/>
          <w:sz w:val="32"/>
          <w:szCs w:val="32"/>
        </w:rPr>
        <w:tab/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、</w:t>
      </w:r>
      <w:r>
        <w:rPr>
          <w:rFonts w:hint="eastAsia" w:ascii="仿宋_GB2312" w:hAnsi="楷体_GB2312" w:eastAsia="仿宋_GB2312" w:cs="楷体_GB2312"/>
          <w:sz w:val="32"/>
          <w:szCs w:val="32"/>
        </w:rPr>
        <w:t>重点任务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和</w:t>
      </w:r>
      <w:r>
        <w:rPr>
          <w:rFonts w:hint="eastAsia" w:ascii="仿宋_GB2312" w:hAnsi="楷体_GB2312" w:eastAsia="仿宋_GB2312" w:cs="楷体_GB2312"/>
          <w:sz w:val="32"/>
          <w:szCs w:val="32"/>
        </w:rPr>
        <w:t>保障措施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五个部分组成。发展形势部分，高度概括了“十四五”时期文化和旅游发展的主要情况，精炼分析了面临的形势和任务。总体要求部分，明确了“十五五”时期文化和旅游发展的原则、方向和路径。</w:t>
      </w:r>
      <w:r>
        <w:rPr>
          <w:rFonts w:hint="eastAsia" w:ascii="仿宋_GB2312" w:hAnsi="楷体_GB2312" w:eastAsia="仿宋_GB2312" w:cs="楷体_GB2312"/>
          <w:sz w:val="32"/>
          <w:szCs w:val="32"/>
        </w:rPr>
        <w:t>主要目标和指标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部分，提出了“十五五”时期文化和旅游发展目标，提出了8个主要指标。重点任务部分，聚焦主要目标和指标，明确了七个方面重点任务。</w:t>
      </w:r>
      <w:r>
        <w:rPr>
          <w:rFonts w:hint="eastAsia" w:ascii="仿宋_GB2312" w:hAnsi="楷体_GB2312" w:eastAsia="仿宋_GB2312" w:cs="楷体_GB2312"/>
          <w:sz w:val="32"/>
          <w:szCs w:val="32"/>
        </w:rPr>
        <w:t>保障措施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部分，</w:t>
      </w:r>
      <w:r>
        <w:rPr>
          <w:rFonts w:hint="eastAsia" w:ascii="仿宋_GB2312" w:hAnsi="楷体_GB2312" w:eastAsia="仿宋_GB2312" w:cs="楷体_GB2312"/>
          <w:sz w:val="32"/>
          <w:szCs w:val="32"/>
        </w:rPr>
        <w:t>明确规划落地后各项任务实施保障机制举措、监测评估等事项。</w:t>
      </w:r>
    </w:p>
    <w:p w14:paraId="2D9E11EF">
      <w:pPr>
        <w:pageBreakBefore w:val="0"/>
        <w:numPr>
          <w:ilvl w:val="255"/>
          <w:numId w:val="0"/>
        </w:numPr>
        <w:tabs>
          <w:tab w:val="left" w:pos="616"/>
        </w:tabs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整个文本，重点任务占大部分篇幅，包括：（一）健全现代公共服务体系</w:t>
      </w:r>
      <w:bookmarkStart w:id="5" w:name="_Toc26990"/>
      <w:bookmarkStart w:id="6" w:name="_Toc30207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，主要有优化公共服务设施功能布局</w:t>
      </w:r>
      <w:bookmarkEnd w:id="5"/>
      <w:bookmarkEnd w:id="6"/>
      <w:bookmarkStart w:id="7" w:name="_Toc5823"/>
      <w:bookmarkStart w:id="8" w:name="_Toc326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、推动公共服务提质增效</w:t>
      </w:r>
      <w:bookmarkEnd w:id="7"/>
      <w:bookmarkEnd w:id="8"/>
      <w:bookmarkStart w:id="9" w:name="_Toc27913"/>
      <w:bookmarkStart w:id="10" w:name="_Toc1025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、丰富公共服务内容供给</w:t>
      </w:r>
      <w:bookmarkEnd w:id="9"/>
      <w:bookmarkEnd w:id="10"/>
      <w:bookmarkStart w:id="11" w:name="_Toc18251"/>
      <w:bookmarkStart w:id="12" w:name="_Toc32143"/>
      <w:bookmarkStart w:id="13" w:name="_Toc28169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三个方面内容。（二）提升文物保护传承水平</w:t>
      </w:r>
      <w:bookmarkEnd w:id="11"/>
      <w:bookmarkEnd w:id="12"/>
      <w:bookmarkEnd w:id="13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，从</w:t>
      </w:r>
      <w:bookmarkStart w:id="14" w:name="_Toc10771"/>
      <w:bookmarkStart w:id="15" w:name="_Toc19706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扎实推进世界文化遗产保护传承</w:t>
      </w:r>
      <w:bookmarkEnd w:id="14"/>
      <w:bookmarkEnd w:id="15"/>
      <w:bookmarkStart w:id="16" w:name="_Toc361"/>
      <w:bookmarkStart w:id="17" w:name="_Toc11451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、全面加强文物保护管理</w:t>
      </w:r>
      <w:bookmarkEnd w:id="16"/>
      <w:bookmarkEnd w:id="17"/>
      <w:bookmarkStart w:id="18" w:name="_Toc11122"/>
      <w:bookmarkStart w:id="19" w:name="_Toc28797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、促进文物资源有效利用</w:t>
      </w:r>
      <w:bookmarkEnd w:id="18"/>
      <w:bookmarkEnd w:id="19"/>
      <w:bookmarkStart w:id="20" w:name="_Toc2344"/>
      <w:bookmarkStart w:id="21" w:name="_Toc713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和推进特色博物馆体系建设</w:t>
      </w:r>
      <w:bookmarkEnd w:id="20"/>
      <w:bookmarkEnd w:id="21"/>
      <w:bookmarkStart w:id="22" w:name="_Toc7141"/>
      <w:bookmarkStart w:id="23" w:name="_Toc19681"/>
      <w:bookmarkStart w:id="24" w:name="_Toc10811"/>
      <w:bookmarkStart w:id="25" w:name="_Toc8650"/>
      <w:bookmarkStart w:id="26" w:name="_Toc22724"/>
      <w:bookmarkStart w:id="27" w:name="_Toc5831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四个维度规划了文物、文博业发展的主要任务。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（三）推动非遗创造性转化、创新性</w:t>
      </w:r>
      <w:bookmarkEnd w:id="22"/>
      <w:bookmarkEnd w:id="23"/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发展</w:t>
      </w:r>
      <w:bookmarkEnd w:id="24"/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，从体系建设、空间硬件建设和传承发展三个角度明确了保护和传承具体举措。（四）优化演艺发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展新生态</w:t>
      </w:r>
      <w:bookmarkEnd w:id="25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，包括文艺作品创作、</w:t>
      </w:r>
      <w:bookmarkEnd w:id="26"/>
      <w:bookmarkEnd w:id="27"/>
      <w:bookmarkStart w:id="28" w:name="_Toc8744"/>
      <w:bookmarkStart w:id="29" w:name="_Toc15857"/>
      <w:r>
        <w:rPr>
          <w:rStyle w:val="25"/>
          <w:rFonts w:hint="eastAsia" w:ascii="仿宋_GB2312" w:hAnsi="仿宋_GB2312" w:eastAsia="仿宋_GB2312" w:cs="仿宋_GB2312"/>
          <w:b w:val="0"/>
          <w:bCs w:val="0"/>
        </w:rPr>
        <w:t>助力天桥演艺区发展</w:t>
      </w:r>
      <w:bookmarkEnd w:id="28"/>
      <w:bookmarkEnd w:id="29"/>
      <w:bookmarkStart w:id="30" w:name="_Toc17546"/>
      <w:bookmarkStart w:id="31" w:name="_Toc7835"/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、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</w:rPr>
        <w:t>演艺新空间</w:t>
      </w:r>
      <w:bookmarkEnd w:id="30"/>
      <w:bookmarkEnd w:id="31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发展方向三个方面内容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。</w:t>
      </w:r>
      <w:bookmarkStart w:id="32" w:name="_Toc16124"/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（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五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推进多业态深度融合发展</w:t>
      </w:r>
      <w:bookmarkEnd w:id="32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，从</w:t>
      </w:r>
      <w:bookmarkStart w:id="33" w:name="_Toc23772"/>
      <w:bookmarkStart w:id="34" w:name="_Toc31570"/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打造文旅消费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新业态、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新场景</w:t>
      </w:r>
      <w:bookmarkEnd w:id="33"/>
      <w:bookmarkEnd w:id="34"/>
      <w:bookmarkStart w:id="35" w:name="_Toc2414"/>
      <w:bookmarkStart w:id="36" w:name="_Toc3774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和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持续赋能消费升级</w:t>
      </w:r>
      <w:bookmarkEnd w:id="35"/>
      <w:bookmarkEnd w:id="36"/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、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 w:bidi="ar-SA"/>
        </w:rPr>
        <w:t>大力发展入境游</w:t>
      </w:r>
      <w:bookmarkStart w:id="37" w:name="_Toc27376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 w:bidi="ar-SA"/>
        </w:rPr>
        <w:t>三个角度，进一步深化文旅高质量融合发展，推进“文旅+百业”“百业+文旅”，促进文旅消费。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（六）构建高效宣传推广体系</w:t>
      </w:r>
      <w:bookmarkEnd w:id="37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，包括</w:t>
      </w:r>
      <w:bookmarkStart w:id="38" w:name="_Toc10610"/>
      <w:bookmarkStart w:id="39" w:name="_Toc10430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打造文化和旅游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</w:rPr>
        <w:t>品牌体系</w:t>
      </w:r>
      <w:bookmarkEnd w:id="38"/>
      <w:bookmarkEnd w:id="39"/>
      <w:bookmarkStart w:id="40" w:name="_Toc31438"/>
      <w:bookmarkStart w:id="41" w:name="_Toc16016"/>
      <w:r>
        <w:rPr>
          <w:rStyle w:val="25"/>
          <w:rFonts w:hint="eastAsia" w:ascii="仿宋_GB2312" w:hAnsi="仿宋_GB2312" w:eastAsia="仿宋_GB2312" w:cs="仿宋_GB2312"/>
          <w:b w:val="0"/>
          <w:bCs w:val="0"/>
          <w:lang w:eastAsia="zh-CN"/>
        </w:rPr>
        <w:t>、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搭建宣传推介矩阵</w:t>
      </w:r>
      <w:bookmarkEnd w:id="40"/>
      <w:bookmarkEnd w:id="41"/>
      <w:bookmarkStart w:id="42" w:name="_Toc32469"/>
      <w:bookmarkStart w:id="43" w:name="_Toc29703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和强化交流与合作</w:t>
      </w:r>
      <w:bookmarkEnd w:id="42"/>
      <w:bookmarkEnd w:id="43"/>
      <w:bookmarkStart w:id="44" w:name="_Toc13587"/>
      <w:bookmarkStart w:id="45" w:name="_Toc28438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三部分重点举措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4"/>
          <w:lang w:val="en-US" w:eastAsia="zh-CN"/>
        </w:rPr>
        <w:t>。</w:t>
      </w:r>
      <w:bookmarkStart w:id="46" w:name="_Toc2840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（七）强化文旅市场综合治理</w:t>
      </w:r>
      <w:bookmarkEnd w:id="44"/>
      <w:bookmarkEnd w:id="45"/>
      <w:bookmarkEnd w:id="46"/>
      <w:bookmarkStart w:id="47" w:name="_Toc9543"/>
      <w:bookmarkStart w:id="48" w:name="_Toc2154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，主要是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提升市场精细化治理能力</w:t>
      </w:r>
      <w:bookmarkEnd w:id="47"/>
      <w:bookmarkEnd w:id="48"/>
      <w:bookmarkStart w:id="49" w:name="_Toc17151"/>
      <w:bookmarkStart w:id="50" w:name="_Toc4469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、探索文旅新业态监管方式</w:t>
      </w:r>
      <w:bookmarkEnd w:id="49"/>
      <w:bookmarkEnd w:id="50"/>
      <w:bookmarkStart w:id="51" w:name="_Toc9049"/>
      <w:bookmarkStart w:id="52" w:name="_Toc3872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、持续优化文旅营商环境</w:t>
      </w:r>
      <w:bookmarkEnd w:id="51"/>
      <w:bookmarkEnd w:id="52"/>
      <w:bookmarkStart w:id="53" w:name="_Toc10766"/>
      <w:bookmarkStart w:id="54" w:name="_Toc8790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、提高文旅市场执法水平</w:t>
      </w:r>
      <w:bookmarkEnd w:id="53"/>
      <w:bookmarkEnd w:id="54"/>
      <w:bookmarkStart w:id="55" w:name="_Toc8085"/>
      <w:bookmarkStart w:id="56" w:name="_Toc17027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和</w:t>
      </w:r>
      <w:r>
        <w:rPr>
          <w:rStyle w:val="25"/>
          <w:rFonts w:hint="eastAsia" w:ascii="仿宋_GB2312" w:hAnsi="仿宋_GB2312" w:eastAsia="仿宋_GB2312" w:cs="仿宋_GB2312"/>
          <w:b w:val="0"/>
          <w:bCs w:val="0"/>
        </w:rPr>
        <w:t>强化安全生产管理</w:t>
      </w:r>
      <w:bookmarkEnd w:id="55"/>
      <w:bookmarkEnd w:id="56"/>
      <w:r>
        <w:rPr>
          <w:rStyle w:val="25"/>
          <w:rFonts w:hint="eastAsia" w:ascii="仿宋_GB2312" w:hAnsi="仿宋_GB2312" w:eastAsia="仿宋_GB2312" w:cs="仿宋_GB2312"/>
          <w:b w:val="0"/>
          <w:bCs w:val="0"/>
          <w:lang w:val="en-US" w:eastAsia="zh-CN"/>
        </w:rPr>
        <w:t>五个方面内容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" w:bidi="ar"/>
        </w:rPr>
        <w:t>。</w:t>
      </w:r>
    </w:p>
    <w:p w14:paraId="233B4BCD">
      <w:pPr>
        <w:spacing w:after="0"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sectPr>
      <w:footerReference r:id="rId5" w:type="default"/>
      <w:pgSz w:w="11906" w:h="16838"/>
      <w:pgMar w:top="2098" w:right="1474" w:bottom="1984" w:left="1587" w:header="1417" w:footer="1417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20E29E-5E5A-4501-B599-6660661DA5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EE179DA-7D51-4122-882A-7716B1BDFAC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A1F6DFD-1668-4CE3-975A-AB650631F40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7E79278-29F2-48F4-89F5-A8B5271D3CD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67F170C7-7A6D-450C-A595-8A4F1F0965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609165"/>
    </w:sdtPr>
    <w:sdtEndPr>
      <w:rPr>
        <w:rFonts w:ascii="宋体" w:hAnsi="宋体" w:eastAsia="宋体"/>
        <w:sz w:val="28"/>
        <w:szCs w:val="28"/>
      </w:rPr>
    </w:sdtEndPr>
    <w:sdtContent>
      <w:p w14:paraId="235CA60B">
        <w:pPr>
          <w:pStyle w:val="15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3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4YzFhMGNiNWM4NTJmYjVlYjgyODg0ZDA5YWE1YTMifQ=="/>
  </w:docVars>
  <w:rsids>
    <w:rsidRoot w:val="004B5FF3"/>
    <w:rsid w:val="00001A93"/>
    <w:rsid w:val="00014A90"/>
    <w:rsid w:val="00032831"/>
    <w:rsid w:val="00036847"/>
    <w:rsid w:val="00046DF1"/>
    <w:rsid w:val="00061C5F"/>
    <w:rsid w:val="000629B4"/>
    <w:rsid w:val="00070154"/>
    <w:rsid w:val="000723F3"/>
    <w:rsid w:val="00077EB5"/>
    <w:rsid w:val="000B12FE"/>
    <w:rsid w:val="000C14DF"/>
    <w:rsid w:val="000E10C4"/>
    <w:rsid w:val="000F0AAE"/>
    <w:rsid w:val="000F5493"/>
    <w:rsid w:val="000F5C84"/>
    <w:rsid w:val="00113F5C"/>
    <w:rsid w:val="00123D38"/>
    <w:rsid w:val="00131DB7"/>
    <w:rsid w:val="00133CD1"/>
    <w:rsid w:val="00147662"/>
    <w:rsid w:val="001525EE"/>
    <w:rsid w:val="001565FE"/>
    <w:rsid w:val="00191144"/>
    <w:rsid w:val="00191967"/>
    <w:rsid w:val="001B2BF8"/>
    <w:rsid w:val="001C53BA"/>
    <w:rsid w:val="001E1AB0"/>
    <w:rsid w:val="001F458A"/>
    <w:rsid w:val="00217664"/>
    <w:rsid w:val="0022058F"/>
    <w:rsid w:val="002279AA"/>
    <w:rsid w:val="00234D6D"/>
    <w:rsid w:val="002652C1"/>
    <w:rsid w:val="002A2A2C"/>
    <w:rsid w:val="002A2C66"/>
    <w:rsid w:val="002C0D2F"/>
    <w:rsid w:val="002E6A27"/>
    <w:rsid w:val="003121E6"/>
    <w:rsid w:val="0031352B"/>
    <w:rsid w:val="003621B0"/>
    <w:rsid w:val="00371C68"/>
    <w:rsid w:val="00374E26"/>
    <w:rsid w:val="003922D1"/>
    <w:rsid w:val="003A373D"/>
    <w:rsid w:val="003A4DD3"/>
    <w:rsid w:val="003B3428"/>
    <w:rsid w:val="003C1E6A"/>
    <w:rsid w:val="003C3950"/>
    <w:rsid w:val="003C5CE6"/>
    <w:rsid w:val="003D471D"/>
    <w:rsid w:val="003D5305"/>
    <w:rsid w:val="003F5BD0"/>
    <w:rsid w:val="0041002B"/>
    <w:rsid w:val="0041778B"/>
    <w:rsid w:val="0042155F"/>
    <w:rsid w:val="00427C64"/>
    <w:rsid w:val="004309CA"/>
    <w:rsid w:val="0044729C"/>
    <w:rsid w:val="00455153"/>
    <w:rsid w:val="0048439C"/>
    <w:rsid w:val="00491C29"/>
    <w:rsid w:val="004B17EE"/>
    <w:rsid w:val="004B334F"/>
    <w:rsid w:val="004B5FF3"/>
    <w:rsid w:val="004C4257"/>
    <w:rsid w:val="004D0A79"/>
    <w:rsid w:val="004D63C2"/>
    <w:rsid w:val="004D6587"/>
    <w:rsid w:val="005010DB"/>
    <w:rsid w:val="00507A83"/>
    <w:rsid w:val="005140B8"/>
    <w:rsid w:val="005159B9"/>
    <w:rsid w:val="005401A4"/>
    <w:rsid w:val="00551685"/>
    <w:rsid w:val="0055377E"/>
    <w:rsid w:val="00557913"/>
    <w:rsid w:val="005811A1"/>
    <w:rsid w:val="00581592"/>
    <w:rsid w:val="00585398"/>
    <w:rsid w:val="005904E4"/>
    <w:rsid w:val="00591F0B"/>
    <w:rsid w:val="00592EFF"/>
    <w:rsid w:val="005945B2"/>
    <w:rsid w:val="005E5166"/>
    <w:rsid w:val="006103A1"/>
    <w:rsid w:val="006135C6"/>
    <w:rsid w:val="00614096"/>
    <w:rsid w:val="0061561F"/>
    <w:rsid w:val="006359DE"/>
    <w:rsid w:val="00646C7D"/>
    <w:rsid w:val="0065062C"/>
    <w:rsid w:val="00673928"/>
    <w:rsid w:val="00695AE6"/>
    <w:rsid w:val="006A7381"/>
    <w:rsid w:val="006C5311"/>
    <w:rsid w:val="006E0A86"/>
    <w:rsid w:val="006E2AA6"/>
    <w:rsid w:val="006E349C"/>
    <w:rsid w:val="006F4CAF"/>
    <w:rsid w:val="00712664"/>
    <w:rsid w:val="00721AE5"/>
    <w:rsid w:val="00730116"/>
    <w:rsid w:val="0074225C"/>
    <w:rsid w:val="00752CF9"/>
    <w:rsid w:val="00754568"/>
    <w:rsid w:val="0076259A"/>
    <w:rsid w:val="00767DED"/>
    <w:rsid w:val="00773C5D"/>
    <w:rsid w:val="00774F2D"/>
    <w:rsid w:val="00775FC5"/>
    <w:rsid w:val="0078198D"/>
    <w:rsid w:val="00791CD0"/>
    <w:rsid w:val="00797239"/>
    <w:rsid w:val="007A251F"/>
    <w:rsid w:val="007A4F05"/>
    <w:rsid w:val="007A4FD0"/>
    <w:rsid w:val="007B2CDE"/>
    <w:rsid w:val="007B38F2"/>
    <w:rsid w:val="007C0F6C"/>
    <w:rsid w:val="007C167F"/>
    <w:rsid w:val="007C1BFF"/>
    <w:rsid w:val="007D1F58"/>
    <w:rsid w:val="007F397C"/>
    <w:rsid w:val="007F75F6"/>
    <w:rsid w:val="00804330"/>
    <w:rsid w:val="0081070E"/>
    <w:rsid w:val="0083356A"/>
    <w:rsid w:val="00835A68"/>
    <w:rsid w:val="0084578D"/>
    <w:rsid w:val="0084674F"/>
    <w:rsid w:val="00847C13"/>
    <w:rsid w:val="0085010E"/>
    <w:rsid w:val="008678BB"/>
    <w:rsid w:val="00890499"/>
    <w:rsid w:val="008938DD"/>
    <w:rsid w:val="008A0332"/>
    <w:rsid w:val="008A492F"/>
    <w:rsid w:val="008B09BF"/>
    <w:rsid w:val="008D661D"/>
    <w:rsid w:val="008E11A2"/>
    <w:rsid w:val="008E55BB"/>
    <w:rsid w:val="00923F2D"/>
    <w:rsid w:val="00941AE8"/>
    <w:rsid w:val="00957323"/>
    <w:rsid w:val="00986860"/>
    <w:rsid w:val="009A50EB"/>
    <w:rsid w:val="009C3B38"/>
    <w:rsid w:val="009D38CF"/>
    <w:rsid w:val="009E0AD3"/>
    <w:rsid w:val="009E7128"/>
    <w:rsid w:val="009F2863"/>
    <w:rsid w:val="00A10749"/>
    <w:rsid w:val="00A34224"/>
    <w:rsid w:val="00A3458F"/>
    <w:rsid w:val="00A34E66"/>
    <w:rsid w:val="00A41182"/>
    <w:rsid w:val="00A43005"/>
    <w:rsid w:val="00A61530"/>
    <w:rsid w:val="00A71361"/>
    <w:rsid w:val="00A85278"/>
    <w:rsid w:val="00A86A3A"/>
    <w:rsid w:val="00A87B1B"/>
    <w:rsid w:val="00A97BC0"/>
    <w:rsid w:val="00AE358A"/>
    <w:rsid w:val="00AE4862"/>
    <w:rsid w:val="00AE5F12"/>
    <w:rsid w:val="00B03E25"/>
    <w:rsid w:val="00B2555C"/>
    <w:rsid w:val="00B26B27"/>
    <w:rsid w:val="00B70921"/>
    <w:rsid w:val="00B82927"/>
    <w:rsid w:val="00BB79F8"/>
    <w:rsid w:val="00BC4BD6"/>
    <w:rsid w:val="00BC4F5B"/>
    <w:rsid w:val="00BD342E"/>
    <w:rsid w:val="00BE6F2E"/>
    <w:rsid w:val="00BF08A6"/>
    <w:rsid w:val="00BF64E5"/>
    <w:rsid w:val="00C0654C"/>
    <w:rsid w:val="00C2669C"/>
    <w:rsid w:val="00C27D39"/>
    <w:rsid w:val="00C36671"/>
    <w:rsid w:val="00C6646D"/>
    <w:rsid w:val="00C962B1"/>
    <w:rsid w:val="00C96526"/>
    <w:rsid w:val="00C97B15"/>
    <w:rsid w:val="00CB24C7"/>
    <w:rsid w:val="00CB30FE"/>
    <w:rsid w:val="00CC2917"/>
    <w:rsid w:val="00CC5E7A"/>
    <w:rsid w:val="00CD7201"/>
    <w:rsid w:val="00CE5F59"/>
    <w:rsid w:val="00D00A10"/>
    <w:rsid w:val="00D11DB6"/>
    <w:rsid w:val="00D22FE5"/>
    <w:rsid w:val="00D2378A"/>
    <w:rsid w:val="00D24C6B"/>
    <w:rsid w:val="00D25F90"/>
    <w:rsid w:val="00D34897"/>
    <w:rsid w:val="00D45448"/>
    <w:rsid w:val="00D466E8"/>
    <w:rsid w:val="00D66157"/>
    <w:rsid w:val="00D70344"/>
    <w:rsid w:val="00D72947"/>
    <w:rsid w:val="00D75E17"/>
    <w:rsid w:val="00D8731B"/>
    <w:rsid w:val="00DB04D4"/>
    <w:rsid w:val="00DB4A62"/>
    <w:rsid w:val="00DC1F2C"/>
    <w:rsid w:val="00DF2C1A"/>
    <w:rsid w:val="00E00056"/>
    <w:rsid w:val="00E10E1E"/>
    <w:rsid w:val="00E1257E"/>
    <w:rsid w:val="00E26FFB"/>
    <w:rsid w:val="00E67716"/>
    <w:rsid w:val="00E679BD"/>
    <w:rsid w:val="00E70B19"/>
    <w:rsid w:val="00E77D28"/>
    <w:rsid w:val="00E836E9"/>
    <w:rsid w:val="00E90989"/>
    <w:rsid w:val="00EC1773"/>
    <w:rsid w:val="00EE2638"/>
    <w:rsid w:val="00EE4B61"/>
    <w:rsid w:val="00EF2DC2"/>
    <w:rsid w:val="00EF4079"/>
    <w:rsid w:val="00F00EC3"/>
    <w:rsid w:val="00F074ED"/>
    <w:rsid w:val="00F113DB"/>
    <w:rsid w:val="00F2071B"/>
    <w:rsid w:val="00F218A5"/>
    <w:rsid w:val="00F23E2E"/>
    <w:rsid w:val="00F354A4"/>
    <w:rsid w:val="00F365A3"/>
    <w:rsid w:val="00F435C1"/>
    <w:rsid w:val="00F855CB"/>
    <w:rsid w:val="00FA37AF"/>
    <w:rsid w:val="00FA5CF3"/>
    <w:rsid w:val="00FD7014"/>
    <w:rsid w:val="059D3B8F"/>
    <w:rsid w:val="077953A4"/>
    <w:rsid w:val="0EE74636"/>
    <w:rsid w:val="1B2532D9"/>
    <w:rsid w:val="2491010E"/>
    <w:rsid w:val="290F0A51"/>
    <w:rsid w:val="29A657A2"/>
    <w:rsid w:val="32AE2622"/>
    <w:rsid w:val="3C3053F4"/>
    <w:rsid w:val="40656676"/>
    <w:rsid w:val="431635D4"/>
    <w:rsid w:val="439972E3"/>
    <w:rsid w:val="44995DE5"/>
    <w:rsid w:val="4FBEE975"/>
    <w:rsid w:val="500815D9"/>
    <w:rsid w:val="53AE7179"/>
    <w:rsid w:val="5B885034"/>
    <w:rsid w:val="64C5395D"/>
    <w:rsid w:val="684528BE"/>
    <w:rsid w:val="68721CCA"/>
    <w:rsid w:val="774C5B85"/>
    <w:rsid w:val="EB73E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unhideWhenUsed/>
    <w:qFormat/>
    <w:uiPriority w:val="99"/>
    <w:pPr>
      <w:widowControl w:val="0"/>
      <w:spacing w:after="160" w:line="560" w:lineRule="exact"/>
      <w:ind w:firstLine="560"/>
      <w:jc w:val="both"/>
    </w:pPr>
    <w:rPr>
      <w:rFonts w:ascii="Calibri" w:hAnsi="Calibri" w:eastAsia="仿宋_GB2312" w:cs="Times New Roman"/>
      <w:kern w:val="2"/>
      <w:sz w:val="36"/>
      <w:szCs w:val="36"/>
      <w:lang w:val="en-US" w:eastAsia="zh-CN" w:bidi="ar-SA"/>
    </w:rPr>
  </w:style>
  <w:style w:type="paragraph" w:styleId="12">
    <w:name w:val="annotation text"/>
    <w:basedOn w:val="1"/>
    <w:link w:val="48"/>
    <w:unhideWhenUsed/>
    <w:qFormat/>
    <w:uiPriority w:val="99"/>
    <w:pPr>
      <w:jc w:val="left"/>
    </w:pPr>
  </w:style>
  <w:style w:type="paragraph" w:styleId="13">
    <w:name w:val="Plain Text"/>
    <w:basedOn w:val="1"/>
    <w:next w:val="1"/>
    <w:link w:val="5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4">
    <w:name w:val="endnote text"/>
    <w:qFormat/>
    <w:uiPriority w:val="0"/>
    <w:pPr>
      <w:widowControl w:val="0"/>
      <w:snapToGrid w:val="0"/>
      <w:spacing w:after="160" w:line="278" w:lineRule="auto"/>
      <w:ind w:firstLine="200" w:firstLineChars="200"/>
      <w:jc w:val="left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15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link w:val="3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Title"/>
    <w:basedOn w:val="1"/>
    <w:next w:val="1"/>
    <w:link w:val="3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annotation subject"/>
    <w:basedOn w:val="12"/>
    <w:next w:val="12"/>
    <w:link w:val="49"/>
    <w:semiHidden/>
    <w:unhideWhenUsed/>
    <w:qFormat/>
    <w:uiPriority w:val="99"/>
    <w:rPr>
      <w:b/>
      <w:bCs/>
    </w:rPr>
  </w:style>
  <w:style w:type="character" w:styleId="23">
    <w:name w:val="endnote reference"/>
    <w:qFormat/>
    <w:uiPriority w:val="0"/>
    <w:rPr>
      <w:vertAlign w:val="superscript"/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character" w:customStyle="1" w:styleId="25">
    <w:name w:val="标题 3 字符"/>
    <w:basedOn w:val="22"/>
    <w:link w:val="4"/>
    <w:qFormat/>
    <w:uiPriority w:val="0"/>
    <w:rPr>
      <w:rFonts w:ascii="Calibri" w:hAnsi="Calibri" w:eastAsia="仿宋_GB2312" w:cs="Times New Roman"/>
      <w:b/>
      <w:bCs/>
      <w:kern w:val="2"/>
      <w:sz w:val="32"/>
      <w:szCs w:val="32"/>
    </w:rPr>
  </w:style>
  <w:style w:type="character" w:customStyle="1" w:styleId="26">
    <w:name w:val="标题 1 Char"/>
    <w:basedOn w:val="22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7">
    <w:name w:val="标题 2 Char"/>
    <w:basedOn w:val="22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8">
    <w:name w:val="标题 3 Char"/>
    <w:basedOn w:val="22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9">
    <w:name w:val="标题 4 Char"/>
    <w:basedOn w:val="22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30">
    <w:name w:val="标题 5 Char"/>
    <w:basedOn w:val="22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31">
    <w:name w:val="标题 6 Char"/>
    <w:basedOn w:val="22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32">
    <w:name w:val="标题 7 Char"/>
    <w:basedOn w:val="22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8 Char"/>
    <w:basedOn w:val="22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9 Char"/>
    <w:basedOn w:val="22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Char"/>
    <w:basedOn w:val="2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6">
    <w:name w:val="副标题 Char"/>
    <w:basedOn w:val="22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Quote"/>
    <w:basedOn w:val="1"/>
    <w:next w:val="1"/>
    <w:link w:val="3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引用 Char"/>
    <w:basedOn w:val="22"/>
    <w:link w:val="3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9">
    <w:name w:val="List Paragraph"/>
    <w:basedOn w:val="1"/>
    <w:qFormat/>
    <w:uiPriority w:val="34"/>
    <w:pPr>
      <w:ind w:left="720"/>
      <w:contextualSpacing/>
    </w:pPr>
  </w:style>
  <w:style w:type="character" w:customStyle="1" w:styleId="40">
    <w:name w:val="明显强调1"/>
    <w:basedOn w:val="22"/>
    <w:qFormat/>
    <w:uiPriority w:val="21"/>
    <w:rPr>
      <w:i/>
      <w:iCs/>
      <w:color w:val="2F5597" w:themeColor="accent1" w:themeShade="BF"/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2">
    <w:name w:val="明显引用 Char"/>
    <w:basedOn w:val="22"/>
    <w:link w:val="41"/>
    <w:qFormat/>
    <w:uiPriority w:val="30"/>
    <w:rPr>
      <w:i/>
      <w:iCs/>
      <w:color w:val="2F5597" w:themeColor="accent1" w:themeShade="BF"/>
    </w:rPr>
  </w:style>
  <w:style w:type="character" w:customStyle="1" w:styleId="43">
    <w:name w:val="明显参考1"/>
    <w:basedOn w:val="22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4">
    <w:name w:val="页眉 Char"/>
    <w:basedOn w:val="22"/>
    <w:link w:val="16"/>
    <w:qFormat/>
    <w:uiPriority w:val="99"/>
    <w:rPr>
      <w:sz w:val="18"/>
      <w:szCs w:val="18"/>
      <w14:ligatures w14:val="none"/>
    </w:rPr>
  </w:style>
  <w:style w:type="character" w:customStyle="1" w:styleId="45">
    <w:name w:val="页脚 Char"/>
    <w:basedOn w:val="22"/>
    <w:link w:val="15"/>
    <w:qFormat/>
    <w:uiPriority w:val="99"/>
    <w:rPr>
      <w:sz w:val="18"/>
      <w:szCs w:val="18"/>
      <w14:ligatures w14:val="none"/>
    </w:rPr>
  </w:style>
  <w:style w:type="paragraph" w:customStyle="1" w:styleId="46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7">
    <w:name w:val="修订2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8">
    <w:name w:val="批注文字 Char"/>
    <w:basedOn w:val="22"/>
    <w:link w:val="12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9">
    <w:name w:val="批注主题 Char"/>
    <w:basedOn w:val="48"/>
    <w:link w:val="20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50">
    <w:name w:val="修订3"/>
    <w: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51">
    <w:name w:val="纯文本 Char"/>
    <w:basedOn w:val="22"/>
    <w:link w:val="1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1361</Words>
  <Characters>1382</Characters>
  <Lines>7</Lines>
  <Paragraphs>2</Paragraphs>
  <TotalTime>2514</TotalTime>
  <ScaleCrop>false</ScaleCrop>
  <LinksUpToDate>false</LinksUpToDate>
  <CharactersWithSpaces>1383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2025-04-18T01:08:00Z</dcterms:created>
  <dc:creator>汐 林</dc:creator>
  <cp:lastModifiedBy>孙彤</cp:lastModifiedBy>
  <cp:lastPrinted>2026-10-10T07:32:00Z</cp:lastPrinted>
  <dcterms:modified xsi:type="dcterms:W3CDTF">2026-10-12T08:11:02Z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17A12D44D1FC4181AB24F0FF54E187A7_13</vt:lpwstr>
  </property>
  <property fmtid="{D5CDD505-2E9C-101B-9397-08002B2CF9AE}" pid="4" name="KSOTemplateDocerSaveRecord">
    <vt:lpwstr>eyJoZGlkIjoiZjhhMGRjYzg3YWQwMTlhMmY1MzdlNTc4NTM5OGM3YjEiLCJ1c2VySWQiOiIxMDIxMjY0OTYyIn0=</vt:lpwstr>
  </property>
</Properties>
</file>