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spacing w:line="600" w:lineRule="exact"/>
        <w:ind w:left="0" w:leftChars="0" w:firstLine="0" w:firstLineChars="0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spacing w:after="0" w:line="560" w:lineRule="exact"/>
        <w:ind w:left="0" w:leftChars="0" w:firstLine="0" w:firstLineChars="0"/>
        <w:jc w:val="lef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北京市西城区“十五五”时期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文化和旅游发展规划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楷体_GB2312" w:hAnsi="楷体_GB2312" w:eastAsia="楷体_GB2312" w:cs="楷体_GB2312"/>
          <w:sz w:val="36"/>
          <w:szCs w:val="36"/>
          <w:lang w:val="en-US" w:eastAsia="zh-CN"/>
        </w:rPr>
        <w:t>（征求意见稿）</w:t>
      </w:r>
    </w:p>
    <w:p>
      <w:pPr>
        <w:spacing w:after="0" w:line="560" w:lineRule="exact"/>
        <w:ind w:firstLine="640"/>
        <w:jc w:val="center"/>
        <w:rPr>
          <w:rFonts w:hint="eastAsia" w:ascii="仿宋_GB2312" w:hAnsi="仿宋_GB2312" w:cs="仿宋_GB2312"/>
          <w:szCs w:val="32"/>
        </w:rPr>
      </w:pPr>
    </w:p>
    <w:p>
      <w:pPr>
        <w:spacing w:after="0" w:line="560" w:lineRule="exact"/>
        <w:ind w:firstLine="640"/>
        <w:jc w:val="center"/>
        <w:rPr>
          <w:rFonts w:hint="eastAsia" w:ascii="仿宋_GB2312" w:hAnsi="仿宋_GB2312" w:cs="仿宋_GB2312"/>
          <w:szCs w:val="32"/>
        </w:rPr>
      </w:pPr>
    </w:p>
    <w:p>
      <w:pPr>
        <w:spacing w:after="0" w:line="560" w:lineRule="exact"/>
        <w:ind w:firstLine="640"/>
        <w:jc w:val="center"/>
        <w:rPr>
          <w:rFonts w:hint="eastAsia" w:ascii="仿宋_GB2312" w:hAnsi="仿宋_GB2312" w:cs="仿宋_GB2312"/>
          <w:szCs w:val="32"/>
        </w:rPr>
      </w:pPr>
    </w:p>
    <w:p>
      <w:pPr>
        <w:spacing w:after="0" w:line="560" w:lineRule="exact"/>
        <w:ind w:firstLine="640"/>
        <w:jc w:val="center"/>
        <w:rPr>
          <w:rFonts w:hint="eastAsia" w:ascii="仿宋_GB2312" w:hAnsi="仿宋_GB2312" w:cs="仿宋_GB2312"/>
          <w:szCs w:val="32"/>
        </w:rPr>
      </w:pPr>
    </w:p>
    <w:p>
      <w:pPr>
        <w:pStyle w:val="20"/>
        <w:spacing w:line="560" w:lineRule="exact"/>
        <w:ind w:firstLine="640"/>
        <w:rPr>
          <w:rFonts w:hint="eastAsia" w:ascii="仿宋_GB2312" w:hAnsi="仿宋_GB2312" w:cs="仿宋_GB2312"/>
        </w:rPr>
      </w:pPr>
    </w:p>
    <w:p>
      <w:pPr>
        <w:spacing w:after="0" w:line="560" w:lineRule="exact"/>
        <w:ind w:firstLine="640"/>
        <w:rPr>
          <w:rFonts w:hint="eastAsia" w:ascii="仿宋_GB2312" w:hAnsi="仿宋_GB2312" w:cs="仿宋_GB2312"/>
          <w:szCs w:val="32"/>
        </w:rPr>
      </w:pPr>
    </w:p>
    <w:p>
      <w:pPr>
        <w:pStyle w:val="20"/>
        <w:spacing w:line="560" w:lineRule="exact"/>
        <w:ind w:firstLine="640"/>
        <w:rPr>
          <w:rFonts w:hint="eastAsia" w:ascii="仿宋_GB2312" w:hAnsi="仿宋_GB2312" w:cs="仿宋_GB2312"/>
        </w:rPr>
      </w:pPr>
    </w:p>
    <w:p>
      <w:pPr>
        <w:spacing w:after="0" w:line="560" w:lineRule="exact"/>
        <w:ind w:firstLine="640"/>
      </w:pPr>
    </w:p>
    <w:p>
      <w:pPr>
        <w:spacing w:after="0" w:line="560" w:lineRule="exact"/>
        <w:ind w:firstLine="640"/>
        <w:jc w:val="center"/>
        <w:rPr>
          <w:rFonts w:hint="eastAsia" w:ascii="仿宋_GB2312" w:hAnsi="仿宋_GB2312" w:cs="仿宋_GB2312"/>
          <w:szCs w:val="32"/>
        </w:rPr>
      </w:pPr>
    </w:p>
    <w:p>
      <w:pPr>
        <w:spacing w:after="0" w:line="560" w:lineRule="exact"/>
        <w:ind w:firstLine="640"/>
        <w:jc w:val="center"/>
        <w:rPr>
          <w:rFonts w:hint="eastAsia" w:ascii="仿宋_GB2312" w:hAnsi="仿宋_GB2312" w:cs="仿宋_GB2312"/>
          <w:szCs w:val="32"/>
        </w:rPr>
      </w:pPr>
    </w:p>
    <w:p>
      <w:pPr>
        <w:spacing w:after="0" w:line="560" w:lineRule="exact"/>
        <w:ind w:firstLine="640"/>
        <w:jc w:val="center"/>
        <w:rPr>
          <w:rFonts w:hint="eastAsia" w:ascii="仿宋_GB2312" w:hAnsi="仿宋_GB2312" w:cs="仿宋_GB2312"/>
          <w:szCs w:val="32"/>
        </w:rPr>
      </w:pPr>
    </w:p>
    <w:p>
      <w:pPr>
        <w:spacing w:after="0" w:line="560" w:lineRule="exact"/>
        <w:ind w:firstLine="640"/>
        <w:jc w:val="center"/>
        <w:rPr>
          <w:rFonts w:hint="eastAsia" w:ascii="仿宋_GB2312" w:hAnsi="仿宋_GB2312" w:cs="仿宋_GB2312"/>
          <w:szCs w:val="32"/>
        </w:rPr>
      </w:pPr>
    </w:p>
    <w:p>
      <w:pPr>
        <w:spacing w:after="0" w:line="560" w:lineRule="exact"/>
        <w:ind w:firstLine="640"/>
        <w:jc w:val="center"/>
        <w:rPr>
          <w:rFonts w:hint="eastAsia" w:ascii="仿宋_GB2312" w:hAnsi="仿宋_GB2312" w:cs="仿宋_GB2312"/>
          <w:szCs w:val="32"/>
        </w:rPr>
      </w:pPr>
    </w:p>
    <w:p>
      <w:pPr>
        <w:spacing w:after="0" w:line="560" w:lineRule="exact"/>
        <w:ind w:firstLine="0" w:firstLineChars="0"/>
        <w:jc w:val="center"/>
        <w:rPr>
          <w:rFonts w:hint="eastAsia" w:ascii="楷体_GB2312" w:hAnsi="楷体_GB2312" w:eastAsia="楷体_GB2312" w:cs="楷体_GB2312"/>
          <w:szCs w:val="32"/>
        </w:rPr>
      </w:pPr>
      <w:r>
        <w:rPr>
          <w:rFonts w:hint="eastAsia" w:ascii="楷体_GB2312" w:hAnsi="楷体_GB2312" w:eastAsia="楷体_GB2312" w:cs="楷体_GB2312"/>
          <w:szCs w:val="32"/>
          <w:lang w:val="en-US" w:eastAsia="zh-CN"/>
        </w:rPr>
        <w:t>西城</w:t>
      </w:r>
      <w:r>
        <w:rPr>
          <w:rFonts w:hint="eastAsia" w:ascii="楷体_GB2312" w:hAnsi="楷体_GB2312" w:eastAsia="楷体_GB2312" w:cs="楷体_GB2312"/>
          <w:szCs w:val="32"/>
        </w:rPr>
        <w:t>区文化和旅游局</w:t>
      </w:r>
    </w:p>
    <w:p>
      <w:pPr>
        <w:spacing w:after="0" w:line="560" w:lineRule="exact"/>
        <w:ind w:firstLine="0" w:firstLineChars="0"/>
        <w:jc w:val="center"/>
        <w:rPr>
          <w:rFonts w:hint="eastAsia" w:ascii="楷体_GB2312" w:hAnsi="楷体_GB2312" w:eastAsia="楷体_GB2312" w:cs="楷体_GB2312"/>
          <w:szCs w:val="32"/>
        </w:rPr>
      </w:pPr>
      <w:r>
        <w:rPr>
          <w:rFonts w:hint="eastAsia" w:ascii="楷体_GB2312" w:hAnsi="楷体_GB2312" w:eastAsia="楷体_GB2312" w:cs="楷体_GB2312"/>
          <w:szCs w:val="32"/>
        </w:rPr>
        <w:t>202</w:t>
      </w:r>
      <w:r>
        <w:rPr>
          <w:rFonts w:hint="eastAsia" w:ascii="楷体_GB2312" w:hAnsi="楷体_GB2312" w:eastAsia="楷体_GB2312" w:cs="楷体_GB2312"/>
          <w:szCs w:val="32"/>
          <w:lang w:val="en-US" w:eastAsia="zh-CN"/>
        </w:rPr>
        <w:t>6</w:t>
      </w:r>
      <w:r>
        <w:rPr>
          <w:rFonts w:hint="eastAsia" w:ascii="楷体_GB2312" w:hAnsi="楷体_GB2312" w:eastAsia="楷体_GB2312" w:cs="楷体_GB2312"/>
          <w:szCs w:val="32"/>
        </w:rPr>
        <w:t>年</w:t>
      </w:r>
      <w:r>
        <w:rPr>
          <w:rFonts w:hint="eastAsia" w:ascii="楷体_GB2312" w:hAnsi="楷体_GB2312" w:eastAsia="楷体_GB2312" w:cs="楷体_GB2312"/>
          <w:szCs w:val="32"/>
          <w:lang w:val="en-US" w:eastAsia="zh-CN"/>
        </w:rPr>
        <w:t>10</w:t>
      </w:r>
      <w:r>
        <w:rPr>
          <w:rFonts w:hint="eastAsia" w:ascii="楷体_GB2312" w:hAnsi="楷体_GB2312" w:eastAsia="楷体_GB2312" w:cs="楷体_GB2312"/>
          <w:szCs w:val="32"/>
        </w:rPr>
        <w:t>月</w:t>
      </w:r>
    </w:p>
    <w:p>
      <w:pPr>
        <w:widowControl/>
        <w:spacing w:after="0" w:line="560" w:lineRule="exact"/>
        <w:ind w:firstLine="640"/>
        <w:jc w:val="left"/>
        <w:rPr>
          <w:rFonts w:hint="eastAsia" w:ascii="楷体_GB2312" w:hAnsi="楷体_GB2312" w:eastAsia="楷体_GB2312" w:cs="楷体_GB231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5" w:left="1588" w:header="1418" w:footer="1418" w:gutter="0"/>
          <w:pgNumType w:start="0"/>
          <w:cols w:space="720" w:num="1"/>
          <w:titlePg/>
          <w:docGrid w:type="lines" w:linePitch="312" w:charSpace="0"/>
        </w:sectPr>
      </w:pPr>
      <w:bookmarkStart w:id="90" w:name="_GoBack"/>
      <w:bookmarkEnd w:id="90"/>
    </w:p>
    <w:p>
      <w:pPr>
        <w:widowControl/>
        <w:spacing w:after="0" w:line="560" w:lineRule="exact"/>
        <w:ind w:left="0" w:leftChars="0" w:firstLine="0" w:firstLineChars="0"/>
        <w:jc w:val="left"/>
        <w:rPr>
          <w:rFonts w:hint="eastAsia" w:ascii="楷体_GB2312" w:hAnsi="楷体_GB2312" w:eastAsia="楷体_GB2312" w:cs="楷体_GB2312"/>
          <w:szCs w:val="32"/>
        </w:rPr>
        <w:sectPr>
          <w:pgSz w:w="11906" w:h="16838"/>
          <w:pgMar w:top="2098" w:right="1474" w:bottom="1985" w:left="1588" w:header="1418" w:footer="1418" w:gutter="0"/>
          <w:pgNumType w:start="0"/>
          <w:cols w:space="720" w:num="1"/>
          <w:titlePg/>
          <w:docGrid w:type="lines" w:linePitch="312" w:charSpace="0"/>
        </w:sectPr>
      </w:pP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75900"/>
        <w15:color w:val="DBDBDB"/>
        <w:docPartObj>
          <w:docPartGallery w:val="Table of Contents"/>
          <w:docPartUnique/>
        </w:docPartObj>
      </w:sdtPr>
      <w:sdtEndPr>
        <w:rPr>
          <w:rFonts w:ascii="仿宋_GB2312" w:hAnsi="Calibri" w:eastAsia="仿宋_GB2312" w:cs="Times New Roman"/>
          <w:color w:val="auto"/>
          <w:kern w:val="2"/>
          <w:sz w:val="32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华文中宋" w:hAnsi="华文中宋" w:eastAsia="华文中宋" w:cs="华文中宋"/>
              <w:sz w:val="44"/>
              <w:szCs w:val="44"/>
            </w:rPr>
          </w:pPr>
          <w:r>
            <w:rPr>
              <w:rFonts w:hint="eastAsia" w:ascii="华文中宋" w:hAnsi="华文中宋" w:eastAsia="华文中宋" w:cs="华文中宋"/>
              <w:sz w:val="44"/>
              <w:szCs w:val="44"/>
            </w:rPr>
            <w:t>目</w:t>
          </w:r>
          <w:r>
            <w:rPr>
              <w:rFonts w:hint="eastAsia" w:ascii="华文中宋" w:hAnsi="华文中宋" w:eastAsia="华文中宋" w:cs="华文中宋"/>
              <w:sz w:val="44"/>
              <w:szCs w:val="44"/>
              <w:lang w:val="en-US" w:eastAsia="zh-CN"/>
            </w:rPr>
            <w:t xml:space="preserve"> </w:t>
          </w:r>
          <w:r>
            <w:rPr>
              <w:rFonts w:hint="eastAsia" w:ascii="华文中宋" w:hAnsi="华文中宋" w:eastAsia="华文中宋" w:cs="华文中宋"/>
              <w:sz w:val="44"/>
              <w:szCs w:val="44"/>
            </w:rPr>
            <w:t>录</w:t>
          </w:r>
        </w:p>
        <w:p>
          <w:pPr>
            <w:pStyle w:val="20"/>
            <w:tabs>
              <w:tab w:val="right" w:leader="dot" w:pos="8844"/>
              <w:tab w:val="clear" w:pos="880"/>
              <w:tab w:val="clear" w:pos="8835"/>
            </w:tabs>
          </w:pPr>
          <w:r>
            <w:rPr>
              <w:rStyle w:val="36"/>
              <w:rFonts w:ascii="仿宋_GB2312"/>
              <w:color w:val="auto"/>
              <w:sz w:val="24"/>
            </w:rPr>
            <w:fldChar w:fldCharType="begin"/>
          </w:r>
          <w:r>
            <w:rPr>
              <w:rStyle w:val="36"/>
              <w:rFonts w:ascii="仿宋_GB2312"/>
              <w:color w:val="auto"/>
              <w:sz w:val="24"/>
            </w:rPr>
            <w:instrText xml:space="preserve">TOC \o "1-2" \h \u </w:instrText>
          </w:r>
          <w:r>
            <w:rPr>
              <w:rStyle w:val="36"/>
              <w:rFonts w:ascii="仿宋_GB2312"/>
              <w:color w:val="auto"/>
              <w:sz w:val="24"/>
            </w:rPr>
            <w:fldChar w:fldCharType="separate"/>
          </w:r>
          <w:r>
            <w:rPr>
              <w:rFonts w:ascii="仿宋_GB2312"/>
              <w:color w:val="auto"/>
            </w:rPr>
            <w:fldChar w:fldCharType="begin"/>
          </w:r>
          <w:r>
            <w:rPr>
              <w:rFonts w:ascii="仿宋_GB2312"/>
            </w:rPr>
            <w:instrText xml:space="preserve"> HYPERLINK \l _Toc31929 </w:instrText>
          </w:r>
          <w:r>
            <w:rPr>
              <w:rFonts w:ascii="仿宋_GB2312"/>
            </w:rPr>
            <w:fldChar w:fldCharType="separate"/>
          </w:r>
          <w:r>
            <w:rPr>
              <w:rFonts w:hint="eastAsia"/>
              <w:lang w:val="en-US" w:eastAsia="zh-CN"/>
            </w:rPr>
            <w:t>一、发展形势</w:t>
          </w:r>
          <w:r>
            <w:tab/>
          </w:r>
          <w:r>
            <w:fldChar w:fldCharType="begin"/>
          </w:r>
          <w:r>
            <w:instrText xml:space="preserve"> PAGEREF _Toc31929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仿宋_GB2312"/>
              <w:color w:val="auto"/>
            </w:rPr>
            <w:fldChar w:fldCharType="end"/>
          </w:r>
        </w:p>
        <w:p>
          <w:pPr>
            <w:pStyle w:val="20"/>
            <w:tabs>
              <w:tab w:val="right" w:leader="dot" w:pos="8844"/>
              <w:tab w:val="clear" w:pos="880"/>
              <w:tab w:val="clear" w:pos="8835"/>
            </w:tabs>
          </w:pPr>
          <w:r>
            <w:rPr>
              <w:rFonts w:ascii="仿宋_GB2312"/>
              <w:color w:val="auto"/>
            </w:rPr>
            <w:fldChar w:fldCharType="begin"/>
          </w:r>
          <w:r>
            <w:rPr>
              <w:rFonts w:ascii="仿宋_GB2312"/>
            </w:rPr>
            <w:instrText xml:space="preserve"> HYPERLINK \l _Toc7653 </w:instrText>
          </w:r>
          <w:r>
            <w:rPr>
              <w:rFonts w:ascii="仿宋_GB2312"/>
            </w:rPr>
            <w:fldChar w:fldCharType="separate"/>
          </w:r>
          <w:r>
            <w:rPr>
              <w:rFonts w:hint="eastAsia"/>
              <w:lang w:val="en-US" w:eastAsia="zh-CN"/>
            </w:rPr>
            <w:t>二、</w:t>
          </w:r>
          <w:r>
            <w:rPr>
              <w:rFonts w:hint="eastAsia"/>
            </w:rPr>
            <w:t>总体要求</w:t>
          </w:r>
          <w:r>
            <w:tab/>
          </w:r>
          <w:r>
            <w:fldChar w:fldCharType="begin"/>
          </w:r>
          <w:r>
            <w:instrText xml:space="preserve"> PAGEREF _Toc7653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仿宋_GB2312"/>
              <w:color w:val="auto"/>
            </w:rPr>
            <w:fldChar w:fldCharType="end"/>
          </w:r>
        </w:p>
        <w:p>
          <w:pPr>
            <w:pStyle w:val="20"/>
            <w:tabs>
              <w:tab w:val="right" w:leader="dot" w:pos="8844"/>
              <w:tab w:val="clear" w:pos="880"/>
              <w:tab w:val="clear" w:pos="8835"/>
            </w:tabs>
          </w:pPr>
          <w:r>
            <w:rPr>
              <w:rFonts w:ascii="仿宋_GB2312"/>
              <w:color w:val="auto"/>
            </w:rPr>
            <w:fldChar w:fldCharType="begin"/>
          </w:r>
          <w:r>
            <w:rPr>
              <w:rFonts w:ascii="仿宋_GB2312"/>
            </w:rPr>
            <w:instrText xml:space="preserve"> HYPERLINK \l _Toc5943 </w:instrText>
          </w:r>
          <w:r>
            <w:rPr>
              <w:rFonts w:ascii="仿宋_GB2312"/>
            </w:rPr>
            <w:fldChar w:fldCharType="separate"/>
          </w:r>
          <w:r>
            <w:rPr>
              <w:rFonts w:hint="eastAsia" w:cs="Times New Roman"/>
              <w:lang w:val="en-US" w:eastAsia="zh-CN"/>
            </w:rPr>
            <w:t>三、主要目标和指标</w:t>
          </w:r>
          <w:r>
            <w:tab/>
          </w:r>
          <w:r>
            <w:fldChar w:fldCharType="begin"/>
          </w:r>
          <w:r>
            <w:instrText xml:space="preserve"> PAGEREF _Toc5943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仿宋_GB2312"/>
              <w:color w:val="auto"/>
            </w:rPr>
            <w:fldChar w:fldCharType="end"/>
          </w:r>
        </w:p>
        <w:p>
          <w:pPr>
            <w:pStyle w:val="20"/>
            <w:tabs>
              <w:tab w:val="right" w:leader="dot" w:pos="8844"/>
              <w:tab w:val="clear" w:pos="880"/>
              <w:tab w:val="clear" w:pos="8835"/>
            </w:tabs>
          </w:pPr>
          <w:r>
            <w:rPr>
              <w:rFonts w:ascii="仿宋_GB2312"/>
              <w:color w:val="auto"/>
            </w:rPr>
            <w:fldChar w:fldCharType="begin"/>
          </w:r>
          <w:r>
            <w:rPr>
              <w:rFonts w:ascii="仿宋_GB2312"/>
            </w:rPr>
            <w:instrText xml:space="preserve"> HYPERLINK \l _Toc1718 </w:instrText>
          </w:r>
          <w:r>
            <w:rPr>
              <w:rFonts w:ascii="仿宋_GB2312"/>
            </w:rPr>
            <w:fldChar w:fldCharType="separate"/>
          </w:r>
          <w:r>
            <w:rPr>
              <w:rFonts w:hint="eastAsia"/>
              <w:lang w:val="en-US" w:eastAsia="zh-CN"/>
            </w:rPr>
            <w:t>四、</w:t>
          </w:r>
          <w:r>
            <w:rPr>
              <w:rFonts w:hint="eastAsia"/>
            </w:rPr>
            <w:t>重点任务</w:t>
          </w:r>
          <w:r>
            <w:tab/>
          </w:r>
          <w:r>
            <w:fldChar w:fldCharType="begin"/>
          </w:r>
          <w:r>
            <w:instrText xml:space="preserve"> PAGEREF _Toc1718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="仿宋_GB2312"/>
              <w:color w:val="auto"/>
            </w:rPr>
            <w:fldChar w:fldCharType="end"/>
          </w:r>
        </w:p>
        <w:p>
          <w:pPr>
            <w:pStyle w:val="23"/>
            <w:tabs>
              <w:tab w:val="right" w:leader="dot" w:pos="8844"/>
              <w:tab w:val="clear" w:pos="8834"/>
            </w:tabs>
          </w:pPr>
          <w:r>
            <w:rPr>
              <w:rFonts w:ascii="仿宋_GB2312"/>
              <w:color w:val="auto"/>
            </w:rPr>
            <w:fldChar w:fldCharType="begin"/>
          </w:r>
          <w:r>
            <w:rPr>
              <w:rFonts w:ascii="仿宋_GB2312"/>
            </w:rPr>
            <w:instrText xml:space="preserve"> HYPERLINK \l _Toc4106 </w:instrText>
          </w:r>
          <w:r>
            <w:rPr>
              <w:rFonts w:ascii="仿宋_GB2312"/>
            </w:rPr>
            <w:fldChar w:fldCharType="separate"/>
          </w:r>
          <w:r>
            <w:rPr>
              <w:rFonts w:hint="eastAsia"/>
              <w:lang w:val="en-US" w:eastAsia="zh-CN"/>
            </w:rPr>
            <w:t>（一）健全现代公共服务体系</w:t>
          </w:r>
          <w:r>
            <w:tab/>
          </w:r>
          <w:r>
            <w:fldChar w:fldCharType="begin"/>
          </w:r>
          <w:r>
            <w:instrText xml:space="preserve"> PAGEREF _Toc4106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="仿宋_GB2312"/>
              <w:color w:val="auto"/>
            </w:rPr>
            <w:fldChar w:fldCharType="end"/>
          </w:r>
        </w:p>
        <w:p>
          <w:pPr>
            <w:pStyle w:val="23"/>
            <w:tabs>
              <w:tab w:val="right" w:leader="dot" w:pos="8844"/>
              <w:tab w:val="clear" w:pos="8834"/>
            </w:tabs>
          </w:pPr>
          <w:r>
            <w:rPr>
              <w:rFonts w:ascii="仿宋_GB2312"/>
              <w:color w:val="auto"/>
            </w:rPr>
            <w:fldChar w:fldCharType="begin"/>
          </w:r>
          <w:r>
            <w:rPr>
              <w:rFonts w:ascii="仿宋_GB2312"/>
            </w:rPr>
            <w:instrText xml:space="preserve"> HYPERLINK \l _Toc28169 </w:instrText>
          </w:r>
          <w:r>
            <w:rPr>
              <w:rFonts w:ascii="仿宋_GB2312"/>
            </w:rPr>
            <w:fldChar w:fldCharType="separate"/>
          </w:r>
          <w:r>
            <w:rPr>
              <w:rFonts w:hint="eastAsia"/>
              <w:lang w:eastAsia="zh-CN"/>
            </w:rPr>
            <w:t>（</w:t>
          </w:r>
          <w:r>
            <w:rPr>
              <w:rFonts w:hint="eastAsia"/>
              <w:lang w:val="en-US" w:eastAsia="zh-CN"/>
            </w:rPr>
            <w:t>二</w:t>
          </w:r>
          <w:r>
            <w:rPr>
              <w:rFonts w:hint="eastAsia"/>
              <w:lang w:eastAsia="zh-CN"/>
            </w:rPr>
            <w:t>）</w:t>
          </w:r>
          <w:r>
            <w:rPr>
              <w:rFonts w:hint="eastAsia"/>
              <w:lang w:val="en-US" w:eastAsia="zh-CN"/>
            </w:rPr>
            <w:t>提升</w:t>
          </w:r>
          <w:r>
            <w:rPr>
              <w:rFonts w:hint="eastAsia"/>
            </w:rPr>
            <w:t>文物保护传承</w:t>
          </w:r>
          <w:r>
            <w:rPr>
              <w:rFonts w:hint="eastAsia"/>
              <w:lang w:val="en-US" w:eastAsia="zh-CN"/>
            </w:rPr>
            <w:t>水平</w:t>
          </w:r>
          <w:r>
            <w:tab/>
          </w:r>
          <w:r>
            <w:fldChar w:fldCharType="begin"/>
          </w:r>
          <w:r>
            <w:instrText xml:space="preserve"> PAGEREF _Toc28169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仿宋_GB2312"/>
              <w:color w:val="auto"/>
            </w:rPr>
            <w:fldChar w:fldCharType="end"/>
          </w:r>
        </w:p>
        <w:p>
          <w:pPr>
            <w:pStyle w:val="23"/>
            <w:tabs>
              <w:tab w:val="right" w:leader="dot" w:pos="8844"/>
              <w:tab w:val="clear" w:pos="8834"/>
            </w:tabs>
          </w:pPr>
          <w:r>
            <w:rPr>
              <w:rFonts w:ascii="仿宋_GB2312"/>
              <w:color w:val="auto"/>
            </w:rPr>
            <w:fldChar w:fldCharType="begin"/>
          </w:r>
          <w:r>
            <w:rPr>
              <w:rFonts w:ascii="仿宋_GB2312"/>
            </w:rPr>
            <w:instrText xml:space="preserve"> HYPERLINK \l _Toc8650 </w:instrText>
          </w:r>
          <w:r>
            <w:rPr>
              <w:rFonts w:ascii="仿宋_GB2312"/>
            </w:rPr>
            <w:fldChar w:fldCharType="separate"/>
          </w:r>
          <w:r>
            <w:rPr>
              <w:rFonts w:hint="eastAsia"/>
              <w:lang w:eastAsia="zh-CN"/>
            </w:rPr>
            <w:t>（</w:t>
          </w:r>
          <w:r>
            <w:rPr>
              <w:rFonts w:hint="eastAsia"/>
              <w:lang w:val="en-US" w:eastAsia="zh-CN"/>
            </w:rPr>
            <w:t>三</w:t>
          </w:r>
          <w:r>
            <w:rPr>
              <w:rFonts w:hint="eastAsia"/>
              <w:lang w:eastAsia="zh-CN"/>
            </w:rPr>
            <w:t>）</w:t>
          </w:r>
          <w:r>
            <w:rPr>
              <w:rFonts w:hint="eastAsia"/>
              <w:lang w:val="en-US" w:eastAsia="zh-CN"/>
            </w:rPr>
            <w:t>优化演艺发展新生态</w:t>
          </w:r>
          <w:r>
            <w:tab/>
          </w:r>
          <w:r>
            <w:fldChar w:fldCharType="begin"/>
          </w:r>
          <w:r>
            <w:instrText xml:space="preserve"> PAGEREF _Toc8650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仿宋_GB2312"/>
              <w:color w:val="auto"/>
            </w:rPr>
            <w:fldChar w:fldCharType="end"/>
          </w:r>
        </w:p>
        <w:p>
          <w:pPr>
            <w:pStyle w:val="23"/>
            <w:tabs>
              <w:tab w:val="right" w:leader="dot" w:pos="8844"/>
              <w:tab w:val="clear" w:pos="8834"/>
            </w:tabs>
          </w:pPr>
          <w:r>
            <w:rPr>
              <w:rFonts w:ascii="仿宋_GB2312"/>
              <w:color w:val="auto"/>
            </w:rPr>
            <w:fldChar w:fldCharType="begin"/>
          </w:r>
          <w:r>
            <w:rPr>
              <w:rFonts w:ascii="仿宋_GB2312"/>
            </w:rPr>
            <w:instrText xml:space="preserve"> HYPERLINK \l _Toc10811 </w:instrText>
          </w:r>
          <w:r>
            <w:rPr>
              <w:rFonts w:ascii="仿宋_GB2312"/>
            </w:rPr>
            <w:fldChar w:fldCharType="separate"/>
          </w:r>
          <w:r>
            <w:rPr>
              <w:rFonts w:hint="eastAsia"/>
              <w:lang w:eastAsia="zh-CN"/>
            </w:rPr>
            <w:t>（</w:t>
          </w:r>
          <w:r>
            <w:rPr>
              <w:rFonts w:hint="eastAsia"/>
              <w:lang w:val="en-US" w:eastAsia="zh-CN"/>
            </w:rPr>
            <w:t>四）推动非遗创造性转化、创新性发展</w:t>
          </w:r>
          <w:r>
            <w:tab/>
          </w:r>
          <w:r>
            <w:fldChar w:fldCharType="begin"/>
          </w:r>
          <w:r>
            <w:instrText xml:space="preserve"> PAGEREF _Toc10811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仿宋_GB2312"/>
              <w:color w:val="auto"/>
            </w:rPr>
            <w:fldChar w:fldCharType="end"/>
          </w:r>
        </w:p>
        <w:p>
          <w:pPr>
            <w:pStyle w:val="23"/>
            <w:tabs>
              <w:tab w:val="right" w:leader="dot" w:pos="8844"/>
              <w:tab w:val="clear" w:pos="8834"/>
            </w:tabs>
          </w:pPr>
          <w:r>
            <w:rPr>
              <w:rFonts w:ascii="仿宋_GB2312"/>
              <w:color w:val="auto"/>
            </w:rPr>
            <w:fldChar w:fldCharType="begin"/>
          </w:r>
          <w:r>
            <w:rPr>
              <w:rFonts w:ascii="仿宋_GB2312"/>
            </w:rPr>
            <w:instrText xml:space="preserve"> HYPERLINK \l _Toc16124 </w:instrText>
          </w:r>
          <w:r>
            <w:rPr>
              <w:rFonts w:ascii="仿宋_GB2312"/>
            </w:rPr>
            <w:fldChar w:fldCharType="separate"/>
          </w:r>
          <w:r>
            <w:rPr>
              <w:rFonts w:hint="eastAsia"/>
              <w:lang w:eastAsia="zh-CN"/>
            </w:rPr>
            <w:t>（</w:t>
          </w:r>
          <w:r>
            <w:rPr>
              <w:rFonts w:hint="eastAsia"/>
              <w:lang w:val="en-US" w:eastAsia="zh-CN"/>
            </w:rPr>
            <w:t>五</w:t>
          </w:r>
          <w:r>
            <w:rPr>
              <w:rFonts w:hint="eastAsia"/>
              <w:lang w:eastAsia="zh-CN"/>
            </w:rPr>
            <w:t>）</w:t>
          </w:r>
          <w:r>
            <w:rPr>
              <w:rFonts w:hint="eastAsia"/>
              <w:lang w:val="en-US" w:eastAsia="zh-CN"/>
            </w:rPr>
            <w:t>推进多业态深度融合发展</w:t>
          </w:r>
          <w:r>
            <w:tab/>
          </w:r>
          <w:r>
            <w:fldChar w:fldCharType="begin"/>
          </w:r>
          <w:r>
            <w:instrText xml:space="preserve"> PAGEREF _Toc16124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="仿宋_GB2312"/>
              <w:color w:val="auto"/>
            </w:rPr>
            <w:fldChar w:fldCharType="end"/>
          </w:r>
        </w:p>
        <w:p>
          <w:pPr>
            <w:pStyle w:val="23"/>
            <w:tabs>
              <w:tab w:val="right" w:leader="dot" w:pos="8844"/>
              <w:tab w:val="clear" w:pos="8834"/>
            </w:tabs>
          </w:pPr>
          <w:r>
            <w:rPr>
              <w:rFonts w:ascii="仿宋_GB2312"/>
              <w:color w:val="auto"/>
            </w:rPr>
            <w:fldChar w:fldCharType="begin"/>
          </w:r>
          <w:r>
            <w:rPr>
              <w:rFonts w:ascii="仿宋_GB2312"/>
            </w:rPr>
            <w:instrText xml:space="preserve"> HYPERLINK \l _Toc27376 </w:instrText>
          </w:r>
          <w:r>
            <w:rPr>
              <w:rFonts w:ascii="仿宋_GB2312"/>
            </w:rPr>
            <w:fldChar w:fldCharType="separate"/>
          </w:r>
          <w:r>
            <w:rPr>
              <w:rFonts w:hint="eastAsia"/>
              <w:lang w:val="en-US" w:eastAsia="zh-CN"/>
            </w:rPr>
            <w:t>（六）构建高效宣传推广体系</w:t>
          </w:r>
          <w:r>
            <w:tab/>
          </w:r>
          <w:r>
            <w:fldChar w:fldCharType="begin"/>
          </w:r>
          <w:r>
            <w:instrText xml:space="preserve"> PAGEREF _Toc27376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ascii="仿宋_GB2312"/>
              <w:color w:val="auto"/>
            </w:rPr>
            <w:fldChar w:fldCharType="end"/>
          </w:r>
        </w:p>
        <w:p>
          <w:pPr>
            <w:pStyle w:val="23"/>
            <w:tabs>
              <w:tab w:val="right" w:leader="dot" w:pos="8844"/>
              <w:tab w:val="clear" w:pos="8834"/>
            </w:tabs>
          </w:pPr>
          <w:r>
            <w:rPr>
              <w:rFonts w:ascii="仿宋_GB2312"/>
              <w:color w:val="auto"/>
            </w:rPr>
            <w:fldChar w:fldCharType="begin"/>
          </w:r>
          <w:r>
            <w:rPr>
              <w:rFonts w:ascii="仿宋_GB2312"/>
            </w:rPr>
            <w:instrText xml:space="preserve"> HYPERLINK \l _Toc2840 </w:instrText>
          </w:r>
          <w:r>
            <w:rPr>
              <w:rFonts w:ascii="仿宋_GB2312"/>
            </w:rPr>
            <w:fldChar w:fldCharType="separate"/>
          </w:r>
          <w:r>
            <w:rPr>
              <w:rFonts w:hint="eastAsia"/>
              <w:lang w:eastAsia="zh-CN"/>
            </w:rPr>
            <w:t>（</w:t>
          </w:r>
          <w:r>
            <w:rPr>
              <w:rFonts w:hint="eastAsia"/>
              <w:lang w:val="en-US" w:eastAsia="zh-CN"/>
            </w:rPr>
            <w:t>七</w:t>
          </w:r>
          <w:r>
            <w:rPr>
              <w:rFonts w:hint="eastAsia"/>
              <w:lang w:eastAsia="zh-CN"/>
            </w:rPr>
            <w:t>）</w:t>
          </w:r>
          <w:r>
            <w:rPr>
              <w:rFonts w:hint="eastAsia"/>
              <w:lang w:val="en-US" w:eastAsia="zh-CN"/>
            </w:rPr>
            <w:t>强化市场综合治理</w:t>
          </w:r>
          <w:r>
            <w:tab/>
          </w:r>
          <w:r>
            <w:fldChar w:fldCharType="begin"/>
          </w:r>
          <w:r>
            <w:instrText xml:space="preserve"> PAGEREF _Toc2840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仿宋_GB2312"/>
              <w:color w:val="auto"/>
            </w:rPr>
            <w:fldChar w:fldCharType="end"/>
          </w:r>
        </w:p>
        <w:p>
          <w:pPr>
            <w:pStyle w:val="20"/>
            <w:tabs>
              <w:tab w:val="right" w:leader="dot" w:pos="8844"/>
              <w:tab w:val="clear" w:pos="880"/>
              <w:tab w:val="clear" w:pos="8835"/>
            </w:tabs>
          </w:pPr>
          <w:r>
            <w:rPr>
              <w:rFonts w:ascii="仿宋_GB2312"/>
              <w:color w:val="auto"/>
            </w:rPr>
            <w:fldChar w:fldCharType="begin"/>
          </w:r>
          <w:r>
            <w:rPr>
              <w:rFonts w:ascii="仿宋_GB2312"/>
            </w:rPr>
            <w:instrText xml:space="preserve"> HYPERLINK \l _Toc22145 </w:instrText>
          </w:r>
          <w:r>
            <w:rPr>
              <w:rFonts w:ascii="仿宋_GB2312"/>
            </w:rPr>
            <w:fldChar w:fldCharType="separate"/>
          </w:r>
          <w:r>
            <w:rPr>
              <w:rFonts w:hint="eastAsia"/>
              <w:lang w:val="en-US" w:eastAsia="zh-CN"/>
            </w:rPr>
            <w:t>五、</w:t>
          </w:r>
          <w:r>
            <w:t>保障措施</w:t>
          </w:r>
          <w:r>
            <w:tab/>
          </w:r>
          <w:r>
            <w:fldChar w:fldCharType="begin"/>
          </w:r>
          <w:r>
            <w:instrText xml:space="preserve"> PAGEREF _Toc22145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ascii="仿宋_GB2312"/>
              <w:color w:val="auto"/>
            </w:rPr>
            <w:fldChar w:fldCharType="end"/>
          </w:r>
        </w:p>
        <w:p>
          <w:pPr>
            <w:adjustRightInd w:val="0"/>
            <w:snapToGrid w:val="0"/>
            <w:spacing w:after="0" w:line="560" w:lineRule="exact"/>
            <w:ind w:firstLine="480"/>
            <w:rPr>
              <w:rFonts w:ascii="仿宋_GB2312" w:hAnsi="Calibri" w:eastAsia="仿宋_GB2312" w:cs="Times New Roman"/>
              <w:color w:val="auto"/>
              <w:kern w:val="2"/>
              <w:sz w:val="32"/>
              <w:szCs w:val="24"/>
              <w:lang w:val="en-US" w:eastAsia="zh-CN" w:bidi="ar-SA"/>
            </w:rPr>
          </w:pPr>
          <w:r>
            <w:rPr>
              <w:rFonts w:ascii="仿宋_GB2312"/>
              <w:color w:val="auto"/>
            </w:rPr>
            <w:fldChar w:fldCharType="end"/>
          </w:r>
        </w:p>
      </w:sdtContent>
    </w:sdt>
    <w:p>
      <w:pPr>
        <w:pStyle w:val="14"/>
        <w:sectPr>
          <w:pgSz w:w="11906" w:h="16838"/>
          <w:pgMar w:top="2098" w:right="1474" w:bottom="1985" w:left="1588" w:header="1418" w:footer="1418" w:gutter="0"/>
          <w:pgNumType w:start="0"/>
          <w:cols w:space="720" w:num="1"/>
          <w:titlePg/>
          <w:docGrid w:type="lines" w:linePitch="312" w:charSpace="0"/>
        </w:sectPr>
      </w:pPr>
    </w:p>
    <w:p>
      <w:pPr>
        <w:pageBreakBefore w:val="0"/>
        <w:numPr>
          <w:ilvl w:val="255"/>
          <w:numId w:val="0"/>
        </w:numPr>
        <w:tabs>
          <w:tab w:val="left" w:pos="616"/>
        </w:tabs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firstLine="640" w:firstLineChars="200"/>
        <w:textAlignment w:val="auto"/>
        <w:rPr>
          <w:rFonts w:hint="eastAsia" w:ascii="仿宋_GB2312" w:hAnsi="仿宋_GB2312" w:cs="仿宋_GB2312"/>
          <w:szCs w:val="32"/>
          <w:lang w:val="en-US" w:eastAsia="zh-CN"/>
        </w:rPr>
      </w:pPr>
      <w:r>
        <w:rPr>
          <w:rFonts w:hint="eastAsia" w:ascii="仿宋_GB2312" w:hAnsi="仿宋_GB2312" w:cs="仿宋_GB2312"/>
          <w:szCs w:val="32"/>
        </w:rPr>
        <w:t>文化是民族的血脉，是人民的精神家园。</w:t>
      </w:r>
      <w:r>
        <w:rPr>
          <w:rFonts w:hint="eastAsia" w:ascii="仿宋_GB2312" w:hAnsi="仿宋_GB2312" w:cs="仿宋_GB2312"/>
          <w:i w:val="0"/>
          <w:caps w:val="0"/>
          <w:spacing w:val="0"/>
          <w:sz w:val="32"/>
          <w:szCs w:val="32"/>
          <w:shd w:val="clear"/>
          <w:lang w:val="en-US" w:eastAsia="zh-CN"/>
        </w:rPr>
        <w:t>作为</w:t>
      </w:r>
      <w:r>
        <w:rPr>
          <w:rFonts w:hint="eastAsia" w:ascii="仿宋_GB2312" w:hAnsi="仿宋_GB2312" w:eastAsia="仿宋_GB2312" w:cs="仿宋_GB2312"/>
          <w:i w:val="0"/>
          <w:caps w:val="0"/>
          <w:spacing w:val="0"/>
          <w:sz w:val="32"/>
          <w:szCs w:val="32"/>
          <w:shd w:val="clear"/>
        </w:rPr>
        <w:t>首都功能核心区,西城区</w:t>
      </w:r>
      <w:r>
        <w:rPr>
          <w:rFonts w:hint="eastAsia" w:ascii="仿宋_GB2312" w:hAnsi="仿宋_GB2312" w:cs="仿宋_GB2312"/>
          <w:szCs w:val="32"/>
        </w:rPr>
        <w:t>文化和旅游发展</w:t>
      </w:r>
      <w:r>
        <w:rPr>
          <w:rFonts w:hint="eastAsia" w:ascii="仿宋_GB2312" w:hAnsi="仿宋_GB2312" w:cs="仿宋_GB2312"/>
          <w:szCs w:val="32"/>
          <w:lang w:eastAsia="zh-CN"/>
        </w:rPr>
        <w:t>必须</w:t>
      </w:r>
      <w:r>
        <w:rPr>
          <w:rFonts w:hint="eastAsia" w:ascii="仿宋_GB2312" w:hAnsi="仿宋_GB2312" w:cs="仿宋_GB2312"/>
          <w:szCs w:val="32"/>
        </w:rPr>
        <w:t>承担起新的历史使命，</w:t>
      </w:r>
      <w:r>
        <w:rPr>
          <w:rFonts w:hint="eastAsia" w:ascii="仿宋_GB2312" w:hAnsi="仿宋_GB2312" w:cs="仿宋_GB2312"/>
          <w:szCs w:val="32"/>
          <w:lang w:val="en-US" w:eastAsia="zh-CN"/>
        </w:rPr>
        <w:t>强化红墙意识，</w:t>
      </w:r>
      <w:r>
        <w:rPr>
          <w:rFonts w:hint="eastAsia" w:ascii="仿宋_GB2312" w:hAnsi="仿宋_GB2312" w:cs="仿宋_GB2312"/>
          <w:szCs w:val="32"/>
        </w:rPr>
        <w:t>坚持首善标准，以文塑旅、以旅彰文，</w:t>
      </w:r>
      <w:r>
        <w:rPr>
          <w:rFonts w:hint="eastAsia" w:ascii="仿宋_GB2312" w:hAnsi="仿宋_GB2312" w:cs="仿宋_GB2312"/>
          <w:szCs w:val="32"/>
          <w:lang w:eastAsia="zh-CN"/>
        </w:rPr>
        <w:t>着力塑造</w:t>
      </w:r>
      <w:r>
        <w:rPr>
          <w:rFonts w:hint="eastAsia" w:ascii="仿宋_GB2312" w:hAnsi="仿宋_GB2312" w:cs="仿宋_GB2312"/>
          <w:szCs w:val="32"/>
        </w:rPr>
        <w:t>具有西城特色</w:t>
      </w:r>
      <w:r>
        <w:rPr>
          <w:rFonts w:hint="eastAsia" w:ascii="仿宋_GB2312" w:hAnsi="仿宋_GB2312" w:cs="仿宋_GB2312"/>
          <w:szCs w:val="32"/>
          <w:lang w:eastAsia="zh-CN"/>
        </w:rPr>
        <w:t>、体现首都功能核心区特征</w:t>
      </w:r>
      <w:r>
        <w:rPr>
          <w:rFonts w:hint="eastAsia" w:ascii="仿宋_GB2312" w:hAnsi="仿宋_GB2312" w:cs="仿宋_GB2312"/>
          <w:szCs w:val="32"/>
        </w:rPr>
        <w:t>的文化旅游内核，推动文化和旅游与城市共生、与生活共享、与产业共融，共创美好生活、共促经济社会发展。依据《北京市</w:t>
      </w:r>
      <w:r>
        <w:rPr>
          <w:rFonts w:hint="eastAsia" w:ascii="仿宋_GB2312" w:hAnsi="仿宋_GB2312" w:cs="仿宋_GB2312"/>
          <w:szCs w:val="32"/>
          <w:lang w:val="en-US" w:eastAsia="zh-CN"/>
        </w:rPr>
        <w:t>西城区</w:t>
      </w:r>
      <w:r>
        <w:rPr>
          <w:rFonts w:hint="eastAsia" w:ascii="仿宋_GB2312" w:hAnsi="仿宋_GB2312" w:cs="仿宋_GB2312"/>
          <w:szCs w:val="32"/>
        </w:rPr>
        <w:t>国民经济和社会发展第十五个五年规划纲要》</w:t>
      </w:r>
      <w:r>
        <w:rPr>
          <w:rFonts w:hint="eastAsia" w:ascii="仿宋_GB2312" w:hAnsi="仿宋_GB2312" w:cs="仿宋_GB2312"/>
          <w:szCs w:val="32"/>
          <w:lang w:val="en-US" w:eastAsia="zh-CN"/>
        </w:rPr>
        <w:t>编制本规划。</w:t>
      </w:r>
    </w:p>
    <w:p>
      <w:pPr>
        <w:pageBreakBefore w:val="0"/>
        <w:numPr>
          <w:ilvl w:val="255"/>
          <w:numId w:val="0"/>
        </w:numPr>
        <w:tabs>
          <w:tab w:val="left" w:pos="616"/>
        </w:tabs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firstLine="640" w:firstLineChars="200"/>
        <w:textAlignment w:val="auto"/>
        <w:rPr>
          <w:rFonts w:hint="eastAsia" w:ascii="仿宋_GB2312" w:hAnsi="仿宋_GB2312" w:cs="仿宋_GB2312"/>
          <w:szCs w:val="32"/>
          <w:lang w:eastAsia="zh-CN"/>
        </w:rPr>
      </w:pPr>
      <w:r>
        <w:rPr>
          <w:rFonts w:hint="eastAsia" w:ascii="仿宋_GB2312" w:hAnsi="仿宋_GB2312" w:cs="仿宋_GB2312"/>
          <w:szCs w:val="32"/>
        </w:rPr>
        <w:t>规划期限：2026年—2030年</w:t>
      </w:r>
      <w:r>
        <w:rPr>
          <w:rFonts w:hint="eastAsia" w:ascii="仿宋_GB2312" w:hAnsi="仿宋_GB2312" w:cs="仿宋_GB2312"/>
          <w:szCs w:val="32"/>
          <w:lang w:eastAsia="zh-CN"/>
        </w:rPr>
        <w:t>。</w:t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黑体" w:hAnsi="黑体"/>
          <w:b w:val="0"/>
          <w:bCs w:val="0"/>
          <w:szCs w:val="32"/>
          <w:lang w:val="en-US" w:eastAsia="zh-CN"/>
        </w:rPr>
      </w:pPr>
      <w:bookmarkStart w:id="0" w:name="_Toc31929"/>
      <w:r>
        <w:rPr>
          <w:rFonts w:hint="eastAsia"/>
          <w:lang w:val="en-US" w:eastAsia="zh-CN"/>
        </w:rPr>
        <w:t>一、发展形势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  <w:r>
        <w:rPr>
          <w:rFonts w:hint="eastAsia"/>
        </w:rPr>
        <w:t>“十四五”时期</w:t>
      </w:r>
      <w:r>
        <w:rPr>
          <w:rFonts w:hint="eastAsia"/>
          <w:lang w:val="en-US" w:eastAsia="zh-CN"/>
        </w:rPr>
        <w:t>西城文化和旅游</w:t>
      </w:r>
      <w:r>
        <w:rPr>
          <w:rFonts w:hint="eastAsia"/>
        </w:rPr>
        <w:t>取得了一系列突出成就：</w:t>
      </w:r>
      <w:bookmarkStart w:id="1" w:name="OLE_LINK1"/>
      <w:r>
        <w:rPr>
          <w:rFonts w:hint="eastAsia"/>
        </w:rPr>
        <w:t>如期高质量完成北京中轴线申遗9项牵头任务，形成“庆成宫经验”。发布三批次20处文物建筑活化利用项目，</w:t>
      </w:r>
      <w:r>
        <w:rPr>
          <w:rFonts w:hint="eastAsia"/>
          <w:lang w:val="en-US" w:eastAsia="zh-CN"/>
        </w:rPr>
        <w:t>新市区泰安里、</w:t>
      </w:r>
      <w:r>
        <w:rPr>
          <w:rFonts w:hint="eastAsia"/>
        </w:rPr>
        <w:t>晋江会馆等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处先后向社会开放。高</w:t>
      </w:r>
      <w:r>
        <w:rPr>
          <w:rFonts w:hint="eastAsia"/>
          <w:lang w:val="en-US" w:eastAsia="zh-CN"/>
        </w:rPr>
        <w:t>标准建设</w:t>
      </w:r>
      <w:r>
        <w:rPr>
          <w:rFonts w:hint="eastAsia"/>
        </w:rPr>
        <w:t>北京市公共文化服务体系</w:t>
      </w:r>
      <w:r>
        <w:rPr>
          <w:rFonts w:hint="eastAsia"/>
          <w:lang w:eastAsia="zh-CN"/>
        </w:rPr>
        <w:t>，</w:t>
      </w:r>
      <w:r>
        <w:rPr>
          <w:rFonts w:hint="eastAsia"/>
        </w:rPr>
        <w:t>创建“悦读湾”品牌，5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家“悦读湾”打通了阅读服务“最后一公里”。博物馆</w:t>
      </w:r>
      <w:r>
        <w:rPr>
          <w:rFonts w:hint="eastAsia"/>
          <w:lang w:val="en-US" w:eastAsia="zh-CN"/>
        </w:rPr>
        <w:t>数量</w:t>
      </w:r>
      <w:r>
        <w:rPr>
          <w:rFonts w:hint="eastAsia"/>
        </w:rPr>
        <w:t>达到每10万人3.</w:t>
      </w:r>
      <w:r>
        <w:rPr>
          <w:rFonts w:hint="eastAsia"/>
          <w:lang w:val="en-US" w:eastAsia="zh-CN"/>
        </w:rPr>
        <w:t>94</w:t>
      </w:r>
      <w:r>
        <w:rPr>
          <w:rFonts w:hint="eastAsia"/>
        </w:rPr>
        <w:t>座，位居全市前列。国家级非遗代表性项目40项，在北京市占比33%。</w:t>
      </w:r>
      <w:r>
        <w:rPr>
          <w:rFonts w:hint="eastAsia"/>
          <w:lang w:val="en-US" w:eastAsia="zh-CN"/>
        </w:rPr>
        <w:t>聚合优势资源</w:t>
      </w:r>
      <w:r>
        <w:rPr>
          <w:rFonts w:hint="eastAsia"/>
        </w:rPr>
        <w:t>打造多种消费新场景</w:t>
      </w:r>
      <w:r>
        <w:rPr>
          <w:rFonts w:hint="eastAsia"/>
          <w:lang w:eastAsia="zh-CN"/>
        </w:rPr>
        <w:t>，旅游综合收入位居全市第一梯队。“白塔夜话”</w:t>
      </w:r>
      <w:r>
        <w:rPr>
          <w:rFonts w:hint="eastAsia"/>
          <w:lang w:val="en-US" w:eastAsia="zh-CN"/>
        </w:rPr>
        <w:t>等活动</w:t>
      </w:r>
      <w:r>
        <w:rPr>
          <w:rFonts w:hint="eastAsia"/>
          <w:lang w:eastAsia="zh-CN"/>
        </w:rPr>
        <w:t>不断推陈出新，</w:t>
      </w:r>
      <w:r>
        <w:rPr>
          <w:rFonts w:hint="eastAsia"/>
          <w:lang w:val="en-US" w:eastAsia="zh-CN"/>
        </w:rPr>
        <w:t>文旅品牌影响力进一步扩大。</w:t>
      </w:r>
      <w:r>
        <w:rPr>
          <w:rFonts w:hint="eastAsia"/>
        </w:rPr>
        <w:t>着力推进精细化</w:t>
      </w:r>
      <w:r>
        <w:rPr>
          <w:rFonts w:hint="eastAsia"/>
          <w:lang w:val="en-US" w:eastAsia="zh-CN"/>
        </w:rPr>
        <w:t>服务</w:t>
      </w:r>
      <w:r>
        <w:rPr>
          <w:rFonts w:hint="eastAsia"/>
        </w:rPr>
        <w:t>管理，与首都功能核心区相适应的文旅行业治理体系</w:t>
      </w:r>
      <w:r>
        <w:rPr>
          <w:rFonts w:hint="eastAsia"/>
          <w:lang w:val="en-US" w:eastAsia="zh-CN"/>
        </w:rPr>
        <w:t>基本完善</w:t>
      </w:r>
      <w:r>
        <w:rPr>
          <w:rFonts w:hint="eastAsia"/>
        </w:rPr>
        <w:t>。</w:t>
      </w:r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cs="仿宋_GB2312"/>
          <w:szCs w:val="32"/>
          <w:highlight w:val="yellow"/>
        </w:rPr>
      </w:pPr>
      <w:r>
        <w:rPr>
          <w:rFonts w:hint="eastAsia" w:ascii="仿宋_GB2312" w:hAnsi="仿宋_GB2312" w:cs="仿宋_GB2312"/>
          <w:szCs w:val="32"/>
          <w:highlight w:val="none"/>
        </w:rPr>
        <w:t>“十五五”时期是</w:t>
      </w:r>
      <w:r>
        <w:rPr>
          <w:rFonts w:hint="eastAsia" w:ascii="仿宋_GB2312" w:hAnsi="仿宋_GB2312" w:cs="仿宋_GB2312"/>
          <w:szCs w:val="32"/>
          <w:highlight w:val="none"/>
          <w:lang w:val="en-US" w:eastAsia="zh-CN"/>
        </w:rPr>
        <w:t>文化强国、旅游强国建设的</w:t>
      </w:r>
      <w:r>
        <w:rPr>
          <w:rFonts w:hint="eastAsia" w:ascii="仿宋_GB2312" w:hAnsi="仿宋_GB2312" w:cs="仿宋_GB2312"/>
          <w:szCs w:val="32"/>
          <w:highlight w:val="none"/>
        </w:rPr>
        <w:t>关键时期</w:t>
      </w:r>
      <w:r>
        <w:rPr>
          <w:rFonts w:hint="eastAsia" w:ascii="仿宋_GB2312" w:hAnsi="仿宋_GB2312" w:cs="仿宋_GB2312"/>
          <w:szCs w:val="32"/>
          <w:highlight w:val="none"/>
          <w:lang w:eastAsia="zh-CN"/>
        </w:rPr>
        <w:t>，群众精神文化需求品质化、个性化、体验化特征更加凸显，文旅赋能经济社会发展的效能更加突出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highlight w:val="none"/>
          <w:shd w:val="clear" w:fill="auto"/>
          <w:lang w:eastAsia="zh-CN"/>
        </w:rPr>
        <w:t>。</w:t>
      </w:r>
      <w:r>
        <w:rPr>
          <w:rFonts w:hint="eastAsia" w:ascii="仿宋_GB2312" w:hAnsi="仿宋_GB2312" w:cs="仿宋_GB2312"/>
          <w:i w:val="0"/>
          <w:caps w:val="0"/>
          <w:color w:val="auto"/>
          <w:spacing w:val="0"/>
          <w:sz w:val="32"/>
          <w:szCs w:val="32"/>
          <w:highlight w:val="none"/>
          <w:shd w:val="clear" w:fill="auto"/>
          <w:lang w:val="en-US" w:eastAsia="zh-CN"/>
        </w:rPr>
        <w:t>面对新形势、新要求，西城区</w:t>
      </w:r>
      <w:r>
        <w:rPr>
          <w:rFonts w:hint="eastAsia" w:ascii="仿宋_GB2312" w:hAnsi="仿宋_GB2312" w:cs="仿宋_GB2312"/>
          <w:szCs w:val="32"/>
          <w:highlight w:val="none"/>
          <w:lang w:val="en-US" w:eastAsia="zh-CN"/>
        </w:rPr>
        <w:t>文化和旅游发展</w:t>
      </w:r>
      <w:r>
        <w:rPr>
          <w:rFonts w:hint="eastAsia" w:ascii="仿宋_GB2312" w:hAnsi="仿宋_GB2312" w:cs="仿宋_GB2312"/>
          <w:szCs w:val="32"/>
          <w:highlight w:val="none"/>
          <w:lang w:eastAsia="zh-CN"/>
        </w:rPr>
        <w:t>要着力破解旅游降密与提质、安全与发展的矛盾，</w:t>
      </w:r>
      <w:r>
        <w:rPr>
          <w:rFonts w:hint="eastAsia" w:ascii="仿宋_GB2312" w:hAnsi="仿宋_GB2312" w:cs="仿宋_GB2312"/>
          <w:szCs w:val="32"/>
          <w:highlight w:val="none"/>
          <w:lang w:val="en-US" w:eastAsia="zh-CN"/>
        </w:rPr>
        <w:t>建立</w:t>
      </w:r>
      <w:r>
        <w:rPr>
          <w:rFonts w:hint="eastAsia" w:ascii="仿宋_GB2312" w:hAnsi="仿宋_GB2312" w:cs="仿宋_GB2312"/>
          <w:szCs w:val="32"/>
          <w:highlight w:val="none"/>
          <w:lang w:eastAsia="zh-CN"/>
        </w:rPr>
        <w:t>既充分发挥资源禀赋优势、又高标准履行“四个服务”职</w:t>
      </w:r>
      <w:r>
        <w:rPr>
          <w:rFonts w:hint="eastAsia" w:ascii="仿宋_GB2312" w:hAnsi="仿宋_GB2312" w:cs="仿宋_GB2312"/>
          <w:szCs w:val="32"/>
          <w:highlight w:val="none"/>
          <w:lang w:val="en-US" w:eastAsia="zh-CN"/>
        </w:rPr>
        <w:t>能</w:t>
      </w:r>
      <w:r>
        <w:rPr>
          <w:rFonts w:hint="eastAsia" w:ascii="仿宋_GB2312" w:hAnsi="仿宋_GB2312" w:cs="仿宋_GB2312"/>
          <w:szCs w:val="32"/>
          <w:highlight w:val="none"/>
          <w:lang w:eastAsia="zh-CN"/>
        </w:rPr>
        <w:t>的文化旅游发展框架</w:t>
      </w:r>
      <w:r>
        <w:rPr>
          <w:rFonts w:hint="eastAsia" w:ascii="仿宋_GB2312" w:hAnsi="仿宋_GB2312" w:cs="仿宋_GB2312"/>
          <w:szCs w:val="32"/>
          <w:highlight w:val="none"/>
          <w:lang w:val="en-US" w:eastAsia="zh-CN"/>
        </w:rPr>
        <w:t>和实施路径</w:t>
      </w:r>
      <w:r>
        <w:rPr>
          <w:rFonts w:hint="eastAsia" w:ascii="仿宋_GB2312" w:hAnsi="仿宋_GB2312" w:cs="仿宋_GB2312"/>
          <w:szCs w:val="32"/>
          <w:highlight w:val="none"/>
          <w:lang w:eastAsia="zh-CN"/>
        </w:rPr>
        <w:t>，提升多样化、品质化、个性化、亲民化高质量服务和产品供给水平，构建适应新时代特征的立体化市场治理体系，</w:t>
      </w:r>
      <w:r>
        <w:rPr>
          <w:rFonts w:hint="eastAsia" w:ascii="仿宋_GB2312" w:hAnsi="仿宋_GB2312" w:cs="仿宋_GB2312"/>
          <w:szCs w:val="32"/>
          <w:highlight w:val="none"/>
        </w:rPr>
        <w:t>构建既有民族根基又有世界眼光、既有</w:t>
      </w:r>
      <w:r>
        <w:rPr>
          <w:rFonts w:hint="eastAsia" w:ascii="仿宋_GB2312" w:hAnsi="仿宋_GB2312" w:cs="仿宋_GB2312"/>
          <w:szCs w:val="32"/>
          <w:highlight w:val="none"/>
          <w:lang w:val="en-US" w:eastAsia="zh-CN"/>
        </w:rPr>
        <w:t>首都功能核心区特色</w:t>
      </w:r>
      <w:r>
        <w:rPr>
          <w:rFonts w:hint="eastAsia" w:ascii="仿宋_GB2312" w:hAnsi="仿宋_GB2312" w:cs="仿宋_GB2312"/>
          <w:szCs w:val="32"/>
          <w:highlight w:val="none"/>
        </w:rPr>
        <w:t>又能引领</w:t>
      </w:r>
      <w:r>
        <w:rPr>
          <w:rFonts w:hint="eastAsia" w:ascii="仿宋_GB2312" w:hAnsi="仿宋_GB2312" w:cs="仿宋_GB2312"/>
          <w:szCs w:val="32"/>
          <w:highlight w:val="none"/>
          <w:lang w:val="en-US" w:eastAsia="zh-CN"/>
        </w:rPr>
        <w:t>时代特征</w:t>
      </w:r>
      <w:r>
        <w:rPr>
          <w:rFonts w:hint="eastAsia" w:ascii="仿宋_GB2312" w:hAnsi="仿宋_GB2312" w:cs="仿宋_GB2312"/>
          <w:szCs w:val="32"/>
          <w:highlight w:val="none"/>
        </w:rPr>
        <w:t>的文化</w:t>
      </w:r>
      <w:r>
        <w:rPr>
          <w:rFonts w:hint="eastAsia" w:ascii="仿宋_GB2312" w:hAnsi="仿宋_GB2312" w:cs="仿宋_GB2312"/>
          <w:szCs w:val="32"/>
          <w:highlight w:val="none"/>
          <w:lang w:val="en-US" w:eastAsia="zh-CN"/>
        </w:rPr>
        <w:t>和旅游发展</w:t>
      </w:r>
      <w:r>
        <w:rPr>
          <w:rFonts w:hint="eastAsia" w:ascii="仿宋_GB2312" w:hAnsi="仿宋_GB2312" w:cs="仿宋_GB2312"/>
          <w:szCs w:val="32"/>
          <w:highlight w:val="none"/>
        </w:rPr>
        <w:t>体系，</w:t>
      </w:r>
      <w:r>
        <w:rPr>
          <w:rFonts w:hint="eastAsia" w:ascii="仿宋_GB2312" w:hAnsi="仿宋_GB2312" w:cs="仿宋_GB2312"/>
          <w:szCs w:val="32"/>
          <w:highlight w:val="none"/>
          <w:lang w:val="en-US" w:eastAsia="zh-CN"/>
        </w:rPr>
        <w:t>为文化和旅游发展</w:t>
      </w:r>
      <w:r>
        <w:rPr>
          <w:rFonts w:hint="eastAsia" w:ascii="仿宋_GB2312" w:hAnsi="仿宋_GB2312" w:cs="仿宋_GB2312"/>
          <w:szCs w:val="32"/>
          <w:highlight w:val="none"/>
        </w:rPr>
        <w:t>提供可推广、可复制的西城范式。</w:t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/>
        </w:rPr>
      </w:pPr>
      <w:bookmarkStart w:id="2" w:name="_Toc19857"/>
      <w:bookmarkStart w:id="3" w:name="_Toc7653"/>
      <w:bookmarkStart w:id="4" w:name="_Toc20677"/>
      <w:r>
        <w:rPr>
          <w:rFonts w:hint="eastAsia"/>
          <w:lang w:val="en-US" w:eastAsia="zh-CN"/>
        </w:rPr>
        <w:t>二、</w:t>
      </w:r>
      <w:r>
        <w:rPr>
          <w:rFonts w:hint="eastAsia"/>
        </w:rPr>
        <w:t>总体要求</w:t>
      </w:r>
      <w:bookmarkEnd w:id="2"/>
      <w:bookmarkEnd w:id="3"/>
      <w:bookmarkEnd w:id="4"/>
    </w:p>
    <w:p>
      <w:pPr>
        <w:pageBreakBefore w:val="0"/>
        <w:widowControl w:val="0"/>
        <w:numPr>
          <w:ilvl w:val="255"/>
          <w:numId w:val="0"/>
        </w:numPr>
        <w:tabs>
          <w:tab w:val="left" w:pos="6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color w:val="auto"/>
          <w:szCs w:val="32"/>
          <w:shd w:val="clear" w:color="auto" w:fill="auto"/>
        </w:rPr>
        <w:t>坚持以习近平新时代中国特色社会主义思想为指导，深入贯彻习近平文化思想、习近平总书记对旅游工作的重要指示</w:t>
      </w:r>
      <w:r>
        <w:rPr>
          <w:rFonts w:hint="eastAsia" w:ascii="仿宋_GB2312" w:hAnsi="仿宋_GB2312" w:cs="仿宋_GB2312"/>
          <w:color w:val="auto"/>
          <w:szCs w:val="32"/>
          <w:shd w:val="clear" w:color="auto" w:fill="auto"/>
          <w:lang w:val="en-US" w:eastAsia="zh-CN"/>
        </w:rPr>
        <w:t>以及</w:t>
      </w:r>
      <w:r>
        <w:rPr>
          <w:rFonts w:hint="eastAsia" w:ascii="仿宋_GB2312" w:hAnsi="仿宋_GB2312" w:cs="仿宋_GB2312"/>
          <w:szCs w:val="32"/>
          <w:lang w:val="en-US" w:eastAsia="zh-CN"/>
        </w:rPr>
        <w:t>对北京重要讲话精神</w:t>
      </w:r>
      <w:r>
        <w:rPr>
          <w:rFonts w:hint="eastAsia" w:ascii="仿宋_GB2312" w:hAnsi="仿宋_GB2312" w:cs="仿宋_GB2312"/>
          <w:color w:val="auto"/>
          <w:szCs w:val="32"/>
          <w:shd w:val="clear" w:color="auto" w:fill="auto"/>
          <w:lang w:eastAsia="zh-CN"/>
        </w:rPr>
        <w:t>，</w:t>
      </w:r>
      <w:r>
        <w:rPr>
          <w:rFonts w:hint="eastAsia" w:ascii="仿宋_GB2312" w:hAnsi="仿宋_GB2312" w:cs="仿宋_GB2312"/>
          <w:szCs w:val="32"/>
          <w:shd w:val="clear"/>
          <w:lang w:val="en-US" w:eastAsia="zh-CN"/>
        </w:rPr>
        <w:t>深入</w:t>
      </w:r>
      <w:r>
        <w:rPr>
          <w:rFonts w:hint="eastAsia" w:ascii="仿宋_GB2312" w:hAnsi="仿宋_GB2312" w:cs="仿宋_GB2312"/>
          <w:color w:val="auto"/>
          <w:szCs w:val="32"/>
          <w:shd w:val="clear" w:color="auto" w:fill="auto"/>
        </w:rPr>
        <w:t>贯彻党的二十大和二十届历次全会精神</w:t>
      </w:r>
      <w:r>
        <w:rPr>
          <w:rFonts w:hint="eastAsia" w:ascii="仿宋_GB2312" w:hAnsi="仿宋_GB2312" w:cs="仿宋_GB2312"/>
          <w:szCs w:val="32"/>
        </w:rPr>
        <w:t>，立足</w:t>
      </w:r>
      <w:r>
        <w:rPr>
          <w:rFonts w:hint="eastAsia" w:ascii="仿宋_GB2312" w:hAnsi="仿宋_GB2312" w:cs="仿宋_GB2312"/>
          <w:szCs w:val="32"/>
          <w:lang w:val="en-US" w:eastAsia="zh-CN"/>
        </w:rPr>
        <w:t>区域文化和旅游</w:t>
      </w:r>
      <w:r>
        <w:rPr>
          <w:rFonts w:hint="eastAsia" w:ascii="仿宋_GB2312" w:hAnsi="仿宋_GB2312" w:cs="仿宋_GB2312"/>
          <w:szCs w:val="32"/>
        </w:rPr>
        <w:t>资源禀赋，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auto"/>
        </w:rPr>
        <w:t>以推动高质量发展为主题，以改革创新为动力，</w:t>
      </w:r>
      <w:r>
        <w:rPr>
          <w:rFonts w:hint="eastAsia" w:ascii="仿宋_GB2312" w:hAnsi="仿宋_GB2312" w:cs="仿宋_GB2312"/>
          <w:szCs w:val="32"/>
          <w:lang w:val="en-US" w:eastAsia="zh-CN"/>
        </w:rPr>
        <w:t>以满足人民日益增长的美好生活需要为目</w:t>
      </w:r>
      <w:r>
        <w:rPr>
          <w:rFonts w:hint="eastAsia" w:ascii="仿宋_GB2312" w:hAnsi="仿宋_GB2312" w:cs="仿宋_GB2312"/>
          <w:color w:val="auto"/>
          <w:szCs w:val="32"/>
          <w:lang w:val="en-US" w:eastAsia="zh-CN"/>
        </w:rPr>
        <w:t>的，</w:t>
      </w:r>
      <w:r>
        <w:rPr>
          <w:rFonts w:hint="eastAsia" w:ascii="仿宋_GB2312" w:hAnsi="仿宋_GB2312" w:cs="仿宋_GB2312"/>
          <w:color w:val="auto"/>
          <w:szCs w:val="32"/>
        </w:rPr>
        <w:t>深入挖掘古都文化、红色文化、京味文化、创新文化内涵，</w:t>
      </w:r>
      <w:r>
        <w:rPr>
          <w:rFonts w:hint="eastAsia" w:ascii="仿宋_GB2312" w:hAnsi="仿宋_GB2312" w:cs="仿宋_GB2312"/>
          <w:color w:val="auto"/>
          <w:szCs w:val="32"/>
          <w:lang w:val="en-US" w:eastAsia="zh-CN"/>
        </w:rPr>
        <w:t>统筹推进以文化人、以文惠民、以文润城、以文兴业，持续健全文化和旅游公共服务体系、历史文化保护传承体系和市场治理体系，推进文旅融合发展、高质量发展，构建“文融西城”新格局，</w:t>
      </w:r>
      <w:r>
        <w:rPr>
          <w:rFonts w:hint="eastAsia" w:ascii="仿宋_GB2312" w:hAnsi="仿宋_GB2312" w:cs="仿宋_GB2312"/>
          <w:szCs w:val="32"/>
        </w:rPr>
        <w:t>不断提升人民群众的满意度和获得感，为北京建设全国文化中心、打造国际一流旅游城市和全球旅游目的地建设贡献西城力量。</w:t>
      </w:r>
      <w:bookmarkStart w:id="5" w:name="_Toc29817"/>
      <w:bookmarkStart w:id="6" w:name="_Toc5480"/>
    </w:p>
    <w:bookmarkEnd w:id="5"/>
    <w:bookmarkEnd w:id="6"/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cs="Times New Roman"/>
          <w:lang w:val="en-US" w:eastAsia="zh-CN"/>
        </w:rPr>
      </w:pPr>
      <w:bookmarkStart w:id="7" w:name="_Toc24929"/>
      <w:bookmarkStart w:id="8" w:name="_Toc11202"/>
      <w:bookmarkStart w:id="9" w:name="_Toc5943"/>
      <w:r>
        <w:rPr>
          <w:rFonts w:hint="eastAsia" w:cs="Times New Roman"/>
          <w:lang w:val="en-US" w:eastAsia="zh-CN"/>
        </w:rPr>
        <w:t>三、主要目标</w:t>
      </w:r>
      <w:bookmarkEnd w:id="7"/>
      <w:bookmarkEnd w:id="8"/>
      <w:bookmarkStart w:id="10" w:name="_Hlk206140243"/>
      <w:r>
        <w:rPr>
          <w:rFonts w:hint="eastAsia" w:cs="Times New Roman"/>
          <w:lang w:val="en-US" w:eastAsia="zh-CN"/>
        </w:rPr>
        <w:t>和指标</w:t>
      </w:r>
      <w:bookmarkEnd w:id="9"/>
    </w:p>
    <w:p>
      <w:pPr>
        <w:keepNext w:val="0"/>
        <w:keepLines w:val="0"/>
        <w:widowControl/>
        <w:suppressLineNumbers w:val="0"/>
        <w:jc w:val="both"/>
      </w:pPr>
      <w:r>
        <w:rPr>
          <w:rFonts w:hint="eastAsia" w:ascii="仿宋_GB2312" w:hAnsi="仿宋_GB2312" w:cs="仿宋_GB2312"/>
          <w:szCs w:val="32"/>
          <w:shd w:val="clear" w:color="auto" w:fill="FFFFFF"/>
          <w:lang w:val="en-US" w:eastAsia="zh-CN"/>
        </w:rPr>
        <w:t>到2030年，文化和旅游公共服务体系服务效能显著提升，</w:t>
      </w:r>
      <w:r>
        <w:rPr>
          <w:rFonts w:hint="eastAsia" w:ascii="仿宋_GB2312" w:hAnsi="仿宋_GB2312" w:cs="仿宋_GB2312"/>
          <w:szCs w:val="32"/>
          <w:shd w:val="clear" w:color="auto" w:fill="FFFFFF"/>
        </w:rPr>
        <w:t>文化事业、文博业和旅游业</w:t>
      </w:r>
      <w:r>
        <w:rPr>
          <w:rFonts w:hint="eastAsia" w:ascii="仿宋_GB2312" w:hAnsi="仿宋_GB2312" w:cs="仿宋_GB2312"/>
          <w:szCs w:val="32"/>
          <w:shd w:val="clear" w:color="auto" w:fill="FFFFFF"/>
          <w:lang w:val="en-US" w:eastAsia="zh-CN"/>
        </w:rPr>
        <w:t>发展更具活力</w:t>
      </w:r>
      <w:r>
        <w:rPr>
          <w:rFonts w:hint="eastAsia" w:ascii="仿宋_GB2312" w:hAnsi="仿宋_GB2312" w:cs="仿宋_GB2312"/>
          <w:szCs w:val="32"/>
          <w:shd w:val="clear" w:color="auto" w:fill="FFFFFF"/>
        </w:rPr>
        <w:t>，</w:t>
      </w:r>
      <w:r>
        <w:rPr>
          <w:rFonts w:hint="eastAsia" w:ascii="仿宋_GB2312" w:hAnsi="仿宋_GB2312" w:cs="仿宋_GB2312"/>
          <w:szCs w:val="32"/>
          <w:shd w:val="clear" w:color="auto" w:fill="FFFFFF"/>
          <w:lang w:val="en-US" w:eastAsia="zh-CN"/>
        </w:rPr>
        <w:t>文化和旅游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深度交融、相得益彰，文化赋能、旅游带动作用充分显现，社会主义现代化文化强区“首善特征”更加明显</w:t>
      </w:r>
      <w:r>
        <w:rPr>
          <w:rFonts w:hint="eastAsia" w:ascii="仿宋_GB2312" w:hAnsi="仿宋_GB2312" w:cs="仿宋_GB2312"/>
          <w:color w:val="0000FF"/>
          <w:szCs w:val="32"/>
          <w:shd w:val="clear" w:color="auto" w:fill="FFFFFF"/>
          <w:lang w:val="en-US" w:eastAsia="zh-CN"/>
        </w:rPr>
        <w:t>，</w:t>
      </w:r>
      <w:r>
        <w:rPr>
          <w:rFonts w:hint="eastAsia" w:ascii="仿宋_GB2312" w:hAnsi="仿宋_GB2312" w:cs="仿宋_GB2312"/>
          <w:szCs w:val="32"/>
          <w:shd w:val="clear" w:color="auto" w:fill="FFFFFF"/>
          <w:lang w:eastAsia="zh-CN"/>
        </w:rPr>
        <w:t>“</w:t>
      </w:r>
      <w:r>
        <w:rPr>
          <w:rFonts w:hint="eastAsia" w:ascii="仿宋_GB2312" w:hAnsi="仿宋_GB2312" w:cs="仿宋_GB2312"/>
          <w:szCs w:val="32"/>
          <w:lang w:bidi="ar"/>
        </w:rPr>
        <w:t>最北京”特色文化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和旅游</w:t>
      </w:r>
      <w:r>
        <w:rPr>
          <w:rFonts w:hint="eastAsia" w:ascii="仿宋_GB2312" w:hAnsi="仿宋_GB2312" w:cs="仿宋_GB2312"/>
          <w:szCs w:val="32"/>
          <w:lang w:bidi="ar"/>
        </w:rPr>
        <w:t>体验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更加</w:t>
      </w:r>
      <w:r>
        <w:rPr>
          <w:rFonts w:hint="eastAsia" w:ascii="仿宋_GB2312" w:hAnsi="仿宋_GB2312" w:cs="仿宋_GB2312"/>
          <w:szCs w:val="32"/>
          <w:lang w:bidi="ar"/>
        </w:rPr>
        <w:t>美好</w:t>
      </w:r>
      <w:r>
        <w:rPr>
          <w:rFonts w:hint="eastAsia" w:ascii="仿宋_GB2312" w:hAnsi="仿宋_GB2312" w:cs="仿宋_GB2312"/>
          <w:szCs w:val="32"/>
          <w:lang w:eastAsia="zh-CN" w:bidi="ar"/>
        </w:rPr>
        <w:t>，</w:t>
      </w:r>
      <w:r>
        <w:rPr>
          <w:rFonts w:hint="eastAsia" w:ascii="仿宋_GB2312" w:hAnsi="仿宋_GB2312" w:cs="仿宋_GB2312"/>
          <w:szCs w:val="32"/>
          <w:lang w:bidi="ar"/>
        </w:rPr>
        <w:t>“地道北京、皇城山水、都始宣南”形象深入人心，在北京全国文化中心建设中的示范引领作用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更加凸显</w:t>
      </w:r>
      <w:bookmarkStart w:id="11" w:name="_Toc26714"/>
      <w:bookmarkStart w:id="12" w:name="_Toc22351"/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。</w:t>
      </w:r>
    </w:p>
    <w:p>
      <w:pPr>
        <w:pageBreakBefore w:val="0"/>
        <w:widowControl w:val="0"/>
        <w:numPr>
          <w:ilvl w:val="255"/>
          <w:numId w:val="0"/>
        </w:numPr>
        <w:tabs>
          <w:tab w:val="left" w:pos="6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cs="仿宋_GB2312"/>
          <w:szCs w:val="32"/>
          <w:lang w:bidi="ar"/>
        </w:rPr>
      </w:pPr>
    </w:p>
    <w:tbl>
      <w:tblPr>
        <w:tblStyle w:val="28"/>
        <w:tblW w:w="88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30"/>
        <w:gridCol w:w="900"/>
        <w:gridCol w:w="6015"/>
        <w:gridCol w:w="9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tblHeader/>
          <w:jc w:val="center"/>
        </w:trPr>
        <w:tc>
          <w:tcPr>
            <w:tcW w:w="8846" w:type="dxa"/>
            <w:gridSpan w:val="4"/>
            <w:shd w:val="clear" w:color="auto" w:fill="DAE3F3" w:themeFill="accent1" w:themeFillTint="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专栏1 主要指标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0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eastAsia="zh-CN"/>
              </w:rPr>
              <w:t>类别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序号</w:t>
            </w:r>
          </w:p>
        </w:tc>
        <w:tc>
          <w:tcPr>
            <w:tcW w:w="6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eastAsia="zh-CN"/>
              </w:rPr>
              <w:t>指标</w:t>
            </w:r>
          </w:p>
        </w:tc>
        <w:tc>
          <w:tcPr>
            <w:tcW w:w="9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eastAsia="zh-CN"/>
              </w:rPr>
              <w:t>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030" w:type="dxa"/>
            <w:vMerge w:val="restar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公共服务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6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人均接受文化场馆服务次数</w:t>
            </w:r>
          </w:p>
        </w:tc>
        <w:tc>
          <w:tcPr>
            <w:tcW w:w="9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&gt;8.5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030" w:type="dxa"/>
            <w:vMerge w:val="continue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6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均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"/>
              </w:rPr>
              <w:t>开展首都市民系列文化活动</w:t>
            </w:r>
            <w:r>
              <w:rPr>
                <w:rFonts w:hint="eastAsia" w:ascii="仿宋_GB2312" w:hAnsi="仿宋_GB2312" w:cs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>场</w:t>
            </w:r>
            <w:r>
              <w:rPr>
                <w:rFonts w:hint="eastAsia" w:ascii="仿宋_GB2312" w:hAnsi="仿宋_GB2312" w:cs="仿宋_GB23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9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165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030" w:type="dxa"/>
            <w:vMerge w:val="restar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文物</w:t>
            </w:r>
          </w:p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博物馆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6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>文物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活化利用项目向社会开放(处)</w:t>
            </w:r>
          </w:p>
        </w:tc>
        <w:tc>
          <w:tcPr>
            <w:tcW w:w="9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030" w:type="dxa"/>
            <w:vMerge w:val="continue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4</w:t>
            </w:r>
          </w:p>
        </w:tc>
        <w:tc>
          <w:tcPr>
            <w:tcW w:w="6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tabs>
                <w:tab w:val="left" w:pos="113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新增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市级</w:t>
            </w: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及以上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文物保护利用示范区数量</w:t>
            </w:r>
          </w:p>
        </w:tc>
        <w:tc>
          <w:tcPr>
            <w:tcW w:w="9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tabs>
                <w:tab w:val="left" w:pos="34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030" w:type="dxa"/>
            <w:vMerge w:val="continue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5</w:t>
            </w:r>
          </w:p>
        </w:tc>
        <w:tc>
          <w:tcPr>
            <w:tcW w:w="6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“京彩非遗游”体验项</w:t>
            </w: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>目</w:t>
            </w:r>
          </w:p>
        </w:tc>
        <w:tc>
          <w:tcPr>
            <w:tcW w:w="9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03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融合发展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6</w:t>
            </w:r>
          </w:p>
        </w:tc>
        <w:tc>
          <w:tcPr>
            <w:tcW w:w="6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新创、复排剧目</w:t>
            </w:r>
          </w:p>
        </w:tc>
        <w:tc>
          <w:tcPr>
            <w:tcW w:w="9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030" w:type="dxa"/>
            <w:vMerge w:val="continue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7</w:t>
            </w:r>
          </w:p>
        </w:tc>
        <w:tc>
          <w:tcPr>
            <w:tcW w:w="6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认定演艺新空间</w:t>
            </w:r>
          </w:p>
        </w:tc>
        <w:tc>
          <w:tcPr>
            <w:tcW w:w="9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  <w:jc w:val="center"/>
        </w:trPr>
        <w:tc>
          <w:tcPr>
            <w:tcW w:w="1030" w:type="dxa"/>
            <w:vMerge w:val="continue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eastAsia="zh-CN"/>
              </w:rPr>
            </w:pP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</w:p>
        </w:tc>
        <w:tc>
          <w:tcPr>
            <w:tcW w:w="6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纳入标准化管理的高品质酒店</w:t>
            </w:r>
          </w:p>
        </w:tc>
        <w:tc>
          <w:tcPr>
            <w:tcW w:w="9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45</w:t>
            </w:r>
          </w:p>
        </w:tc>
      </w:tr>
      <w:bookmarkEnd w:id="11"/>
      <w:bookmarkEnd w:id="12"/>
    </w:tbl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/>
        </w:rPr>
      </w:pPr>
      <w:bookmarkStart w:id="13" w:name="_Toc1718"/>
      <w:bookmarkStart w:id="14" w:name="_Toc16676"/>
      <w:bookmarkStart w:id="15" w:name="_Toc22791"/>
      <w:r>
        <w:rPr>
          <w:rFonts w:hint="eastAsia"/>
          <w:lang w:val="en-US" w:eastAsia="zh-CN"/>
        </w:rPr>
        <w:t>四、</w:t>
      </w:r>
      <w:r>
        <w:rPr>
          <w:rFonts w:hint="eastAsia"/>
        </w:rPr>
        <w:t>重点任务</w:t>
      </w:r>
      <w:bookmarkEnd w:id="13"/>
      <w:bookmarkEnd w:id="14"/>
      <w:bookmarkEnd w:id="15"/>
    </w:p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default"/>
          <w:lang w:val="en-US" w:eastAsia="zh-CN"/>
        </w:rPr>
      </w:pPr>
      <w:bookmarkStart w:id="16" w:name="_Toc4106"/>
      <w:r>
        <w:rPr>
          <w:rFonts w:hint="eastAsia"/>
          <w:lang w:val="en-US" w:eastAsia="zh-CN"/>
        </w:rPr>
        <w:t>（一）健全现代公共服务体系</w:t>
      </w:r>
      <w:bookmarkEnd w:id="16"/>
    </w:p>
    <w:p>
      <w:pPr>
        <w:pageBreakBefore w:val="0"/>
        <w:numPr>
          <w:ilvl w:val="255"/>
          <w:numId w:val="0"/>
        </w:numPr>
        <w:tabs>
          <w:tab w:val="left" w:pos="616"/>
        </w:tabs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firstLine="643" w:firstLineChars="200"/>
        <w:textAlignment w:val="auto"/>
        <w:rPr>
          <w:rFonts w:hint="eastAsia" w:ascii="仿宋_GB2312" w:hAnsi="仿宋_GB2312" w:cs="仿宋_GB2312"/>
          <w:szCs w:val="32"/>
          <w:lang w:val="en-US" w:eastAsia="zh-CN" w:bidi="ar"/>
        </w:rPr>
      </w:pPr>
      <w:bookmarkStart w:id="17" w:name="_Toc30207"/>
      <w:bookmarkStart w:id="18" w:name="_Toc26990"/>
      <w:r>
        <w:rPr>
          <w:rStyle w:val="39"/>
          <w:rFonts w:hint="eastAsia"/>
          <w:lang w:val="en-US" w:eastAsia="zh-CN"/>
        </w:rPr>
        <w:t>1.</w:t>
      </w:r>
      <w:r>
        <w:rPr>
          <w:rStyle w:val="39"/>
        </w:rPr>
        <w:t>优化</w:t>
      </w:r>
      <w:r>
        <w:rPr>
          <w:rStyle w:val="39"/>
          <w:rFonts w:hint="eastAsia"/>
        </w:rPr>
        <w:t>公共服务</w:t>
      </w:r>
      <w:r>
        <w:rPr>
          <w:rStyle w:val="39"/>
        </w:rPr>
        <w:t>设施功能布局</w:t>
      </w:r>
      <w:bookmarkEnd w:id="17"/>
      <w:bookmarkEnd w:id="18"/>
      <w:r>
        <w:rPr>
          <w:rStyle w:val="39"/>
          <w:rFonts w:hint="eastAsia" w:eastAsia="楷体"/>
          <w:lang w:eastAsia="zh-CN"/>
        </w:rPr>
        <w:t>。</w:t>
      </w:r>
      <w:r>
        <w:rPr>
          <w:rFonts w:hint="eastAsia" w:ascii="仿宋_GB2312" w:hAnsi="仿宋_GB2312" w:cs="仿宋_GB2312"/>
          <w:szCs w:val="32"/>
          <w:lang w:eastAsia="zh" w:bidi="ar"/>
        </w:rPr>
        <w:t>深化“区级馆—街道综合文化中心—社区综合文化室”公共文化服务网络设施功能建设，提升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服务内容</w:t>
      </w:r>
      <w:r>
        <w:rPr>
          <w:rFonts w:hint="eastAsia" w:ascii="仿宋_GB2312" w:hAnsi="仿宋_GB2312" w:cs="仿宋_GB2312"/>
          <w:szCs w:val="32"/>
          <w:lang w:eastAsia="zh" w:bidi="ar"/>
        </w:rPr>
        <w:t>的品质和内涵。推进区文化馆（南馆）、图书馆（南馆）、琉璃厂艺术馆、区非遗</w:t>
      </w:r>
      <w:r>
        <w:rPr>
          <w:rFonts w:hint="eastAsia" w:ascii="仿宋_GB2312" w:hAnsi="仿宋_GB2312" w:cs="仿宋_GB2312"/>
          <w:szCs w:val="32"/>
          <w:lang w:eastAsia="zh-CN" w:bidi="ar"/>
        </w:rPr>
        <w:t>展示</w:t>
      </w:r>
      <w:r>
        <w:rPr>
          <w:rFonts w:hint="eastAsia" w:ascii="仿宋_GB2312" w:hAnsi="仿宋_GB2312" w:cs="仿宋_GB2312"/>
          <w:szCs w:val="32"/>
          <w:lang w:eastAsia="zh" w:bidi="ar"/>
        </w:rPr>
        <w:t>中心等重点设施建设，打造集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图书阅读、</w:t>
      </w:r>
      <w:r>
        <w:rPr>
          <w:rFonts w:hint="eastAsia" w:ascii="仿宋_GB2312" w:hAnsi="仿宋_GB2312" w:cs="仿宋_GB2312"/>
          <w:szCs w:val="32"/>
          <w:lang w:eastAsia="zh" w:bidi="ar"/>
        </w:rPr>
        <w:t>艺术教育、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研学体验、</w:t>
      </w:r>
      <w:r>
        <w:rPr>
          <w:rFonts w:hint="eastAsia" w:ascii="仿宋_GB2312" w:hAnsi="仿宋_GB2312" w:cs="仿宋_GB2312"/>
          <w:szCs w:val="32"/>
          <w:lang w:eastAsia="zh" w:bidi="ar"/>
        </w:rPr>
        <w:t>文旅消费、展览展示等功能于一体的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新型公共文化空间</w:t>
      </w:r>
      <w:r>
        <w:rPr>
          <w:rFonts w:hint="eastAsia" w:ascii="仿宋_GB2312" w:hAnsi="仿宋_GB2312" w:cs="仿宋_GB2312"/>
          <w:szCs w:val="32"/>
          <w:lang w:eastAsia="zh" w:bidi="ar"/>
        </w:rPr>
        <w:t>。结合城市更新，打造一批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多元复合</w:t>
      </w:r>
      <w:r>
        <w:rPr>
          <w:rFonts w:hint="eastAsia" w:ascii="仿宋_GB2312" w:hAnsi="仿宋_GB2312" w:cs="仿宋_GB2312"/>
          <w:szCs w:val="32"/>
          <w:lang w:eastAsia="zh" w:bidi="ar"/>
        </w:rPr>
        <w:t>、主客共享的文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化和</w:t>
      </w:r>
      <w:r>
        <w:rPr>
          <w:rFonts w:hint="eastAsia" w:ascii="仿宋_GB2312" w:hAnsi="仿宋_GB2312" w:cs="仿宋_GB2312"/>
          <w:szCs w:val="32"/>
          <w:lang w:eastAsia="zh" w:bidi="ar"/>
        </w:rPr>
        <w:t>旅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游</w:t>
      </w:r>
      <w:r>
        <w:rPr>
          <w:rFonts w:hint="eastAsia" w:ascii="仿宋_GB2312" w:hAnsi="仿宋_GB2312" w:cs="仿宋_GB2312"/>
          <w:szCs w:val="32"/>
          <w:lang w:eastAsia="zh" w:bidi="ar"/>
        </w:rPr>
        <w:t>新空间。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依托旅游咨询服务中心（站、点）网络，探索建设集形象展示、咨询服务、信息收集、宣传引导“四位一体”的新型旅游咨询服务体系</w:t>
      </w:r>
      <w:r>
        <w:rPr>
          <w:rFonts w:hint="eastAsia" w:ascii="仿宋_GB2312" w:hAnsi="仿宋_GB2312" w:cs="仿宋_GB2312"/>
          <w:szCs w:val="32"/>
          <w:lang w:eastAsia="zh" w:bidi="ar"/>
        </w:rPr>
        <w:t>。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指导A级</w:t>
      </w:r>
      <w:r>
        <w:rPr>
          <w:rFonts w:hint="eastAsia" w:ascii="仿宋_GB2312" w:hAnsi="仿宋_GB2312" w:cs="仿宋_GB2312"/>
          <w:szCs w:val="32"/>
          <w:lang w:eastAsia="zh" w:bidi="ar"/>
        </w:rPr>
        <w:t>景区加大旅游厕所</w:t>
      </w:r>
      <w:r>
        <w:rPr>
          <w:rFonts w:hint="eastAsia" w:ascii="仿宋_GB2312" w:hAnsi="仿宋_GB2312" w:cs="仿宋_GB2312"/>
          <w:szCs w:val="32"/>
          <w:lang w:eastAsia="zh-CN" w:bidi="ar"/>
        </w:rPr>
        <w:t>、座椅</w:t>
      </w:r>
      <w:r>
        <w:rPr>
          <w:rFonts w:hint="eastAsia" w:ascii="仿宋_GB2312" w:hAnsi="仿宋_GB2312" w:cs="仿宋_GB2312"/>
          <w:szCs w:val="32"/>
          <w:lang w:eastAsia="zh" w:bidi="ar"/>
        </w:rPr>
        <w:t>等基本旅游服务设施改造提升</w:t>
      </w:r>
      <w:r>
        <w:rPr>
          <w:rFonts w:hint="eastAsia" w:ascii="仿宋_GB2312" w:hAnsi="仿宋_GB2312" w:cs="仿宋_GB2312"/>
          <w:szCs w:val="32"/>
          <w:lang w:eastAsia="zh-CN" w:bidi="ar"/>
        </w:rPr>
        <w:t>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推进无障碍环境建设，推进文旅公共空间适老化、适儿化改造，为特殊群体提供更富温度、更具效能的服务保障。</w:t>
      </w:r>
      <w:bookmarkStart w:id="19" w:name="_Toc5823"/>
      <w:bookmarkStart w:id="20" w:name="_Toc3260"/>
    </w:p>
    <w:tbl>
      <w:tblPr>
        <w:tblStyle w:val="28"/>
        <w:tblW w:w="87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87"/>
        <w:gridCol w:w="1965"/>
        <w:gridCol w:w="4125"/>
        <w:gridCol w:w="1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8790" w:type="dxa"/>
            <w:gridSpan w:val="4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专栏2 主要基础设施建设项目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9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序号</w:t>
            </w:r>
          </w:p>
        </w:tc>
        <w:tc>
          <w:tcPr>
            <w:tcW w:w="1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项目名称</w:t>
            </w:r>
          </w:p>
        </w:tc>
        <w:tc>
          <w:tcPr>
            <w:tcW w:w="41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地点</w:t>
            </w:r>
          </w:p>
        </w:tc>
        <w:tc>
          <w:tcPr>
            <w:tcW w:w="171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规模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8" w:hRule="atLeast"/>
          <w:jc w:val="center"/>
        </w:trPr>
        <w:tc>
          <w:tcPr>
            <w:tcW w:w="9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1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西城区文化馆（南馆）</w:t>
            </w:r>
          </w:p>
        </w:tc>
        <w:tc>
          <w:tcPr>
            <w:tcW w:w="41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白纸坊造纸胡同1号院三层中段</w:t>
            </w:r>
            <w:r>
              <w:rPr>
                <w:rFonts w:hint="eastAsia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、</w:t>
            </w:r>
            <w:r>
              <w:rPr>
                <w:rFonts w:hint="eastAsia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菜园街及枣林南里棚户区项目S5号楼</w:t>
            </w:r>
          </w:p>
        </w:tc>
        <w:tc>
          <w:tcPr>
            <w:tcW w:w="171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4848.49平方米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8" w:hRule="atLeast"/>
          <w:jc w:val="center"/>
        </w:trPr>
        <w:tc>
          <w:tcPr>
            <w:tcW w:w="9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1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西城区图书馆（南馆）</w:t>
            </w:r>
          </w:p>
        </w:tc>
        <w:tc>
          <w:tcPr>
            <w:tcW w:w="41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造纸胡同1号项目西南角</w:t>
            </w:r>
          </w:p>
        </w:tc>
        <w:tc>
          <w:tcPr>
            <w:tcW w:w="171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9975.78平方米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8" w:hRule="atLeast"/>
          <w:jc w:val="center"/>
        </w:trPr>
        <w:tc>
          <w:tcPr>
            <w:tcW w:w="9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1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tabs>
                <w:tab w:val="left" w:pos="63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琉璃厂艺术馆</w:t>
            </w:r>
          </w:p>
        </w:tc>
        <w:tc>
          <w:tcPr>
            <w:tcW w:w="41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tabs>
                <w:tab w:val="left" w:pos="63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琉璃厂西大街与南新华街交汇处</w:t>
            </w:r>
          </w:p>
        </w:tc>
        <w:tc>
          <w:tcPr>
            <w:tcW w:w="171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tabs>
                <w:tab w:val="left" w:pos="63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9080平方米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8" w:hRule="atLeast"/>
          <w:jc w:val="center"/>
        </w:trPr>
        <w:tc>
          <w:tcPr>
            <w:tcW w:w="9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4</w:t>
            </w:r>
          </w:p>
        </w:tc>
        <w:tc>
          <w:tcPr>
            <w:tcW w:w="1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西城区非遗展示中心</w:t>
            </w:r>
          </w:p>
        </w:tc>
        <w:tc>
          <w:tcPr>
            <w:tcW w:w="41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both"/>
              <w:textAlignment w:val="auto"/>
              <w:rPr>
                <w:rFonts w:hint="default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地安门外大街以东，北邻方砖厂胡同，南接帽儿胡同</w:t>
            </w:r>
          </w:p>
        </w:tc>
        <w:tc>
          <w:tcPr>
            <w:tcW w:w="171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1415平方米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8" w:hRule="atLeast"/>
          <w:jc w:val="center"/>
        </w:trPr>
        <w:tc>
          <w:tcPr>
            <w:tcW w:w="9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5</w:t>
            </w:r>
          </w:p>
        </w:tc>
        <w:tc>
          <w:tcPr>
            <w:tcW w:w="1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谭鑫培京剧艺术展览馆</w:t>
            </w:r>
          </w:p>
        </w:tc>
        <w:tc>
          <w:tcPr>
            <w:tcW w:w="41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大外廊营胡同1号及旁门、甲1号，铁树斜街70号</w:t>
            </w:r>
          </w:p>
        </w:tc>
        <w:tc>
          <w:tcPr>
            <w:tcW w:w="171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6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2700平方米</w:t>
            </w:r>
          </w:p>
        </w:tc>
      </w:tr>
    </w:tbl>
    <w:p>
      <w:pPr>
        <w:pageBreakBefore w:val="0"/>
        <w:numPr>
          <w:ilvl w:val="255"/>
          <w:numId w:val="0"/>
        </w:numPr>
        <w:tabs>
          <w:tab w:val="left" w:pos="616"/>
        </w:tabs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</w:pPr>
      <w:r>
        <w:rPr>
          <w:rStyle w:val="39"/>
          <w:rFonts w:hint="eastAsia"/>
          <w:lang w:val="en-US" w:eastAsia="zh-CN"/>
        </w:rPr>
        <w:t>2.</w:t>
      </w:r>
      <w:r>
        <w:rPr>
          <w:rStyle w:val="39"/>
          <w:rFonts w:hint="eastAsia"/>
        </w:rPr>
        <w:t>推动</w:t>
      </w:r>
      <w:r>
        <w:rPr>
          <w:rStyle w:val="39"/>
          <w:rFonts w:hint="eastAsia"/>
          <w:lang w:val="en-US" w:eastAsia="zh-CN"/>
        </w:rPr>
        <w:t>公共</w:t>
      </w:r>
      <w:r>
        <w:rPr>
          <w:rStyle w:val="39"/>
          <w:rFonts w:hint="eastAsia"/>
        </w:rPr>
        <w:t>服务提质增效</w:t>
      </w:r>
      <w:bookmarkEnd w:id="19"/>
      <w:bookmarkEnd w:id="20"/>
      <w:r>
        <w:rPr>
          <w:rStyle w:val="39"/>
          <w:rFonts w:hint="eastAsia" w:eastAsia="楷体"/>
          <w:lang w:eastAsia="zh-CN"/>
        </w:rPr>
        <w:t>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深化文化馆、图书馆总分馆体系建设，突出总馆统筹推动、分馆彰显特色、服务点融入社区的网络层级功能，促进优质文化资源向基层倾斜。按照“一馆一特色”加强分馆服务品牌建设，形成布局精细、层级分明、供需精准、内容丰富、各具特色、区域协同、一体发展的公共服务网络。推进区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"/>
        </w:rPr>
        <w:t>级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图书馆、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"/>
        </w:rPr>
        <w:t>区级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博物馆馆藏资源的数字化，不断丰富特色数字资源库，提升线上阅读、互动体验与场景联动功能。</w:t>
      </w:r>
      <w:bookmarkStart w:id="21" w:name="_Toc1025"/>
      <w:bookmarkStart w:id="22" w:name="_Toc27913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探索</w:t>
      </w:r>
      <w:bookmarkStart w:id="23" w:name="_Hlk207644707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公共文化设施所有权和使用权分置</w:t>
      </w:r>
      <w:bookmarkEnd w:id="23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的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"/>
        </w:rPr>
        <w:t>实施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路径，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"/>
        </w:rPr>
        <w:t>提升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多元服务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"/>
        </w:rPr>
        <w:t>供给能力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。</w:t>
      </w:r>
    </w:p>
    <w:p>
      <w:pPr>
        <w:pageBreakBefore w:val="0"/>
        <w:numPr>
          <w:ilvl w:val="255"/>
          <w:numId w:val="0"/>
        </w:numPr>
        <w:tabs>
          <w:tab w:val="left" w:pos="616"/>
        </w:tabs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</w:pPr>
      <w:r>
        <w:rPr>
          <w:rStyle w:val="39"/>
          <w:rFonts w:hint="eastAsia"/>
          <w:lang w:val="en-US" w:eastAsia="zh-CN"/>
        </w:rPr>
        <w:t>3.</w:t>
      </w:r>
      <w:r>
        <w:rPr>
          <w:rStyle w:val="39"/>
        </w:rPr>
        <w:t>丰富</w:t>
      </w:r>
      <w:r>
        <w:rPr>
          <w:rStyle w:val="39"/>
          <w:rFonts w:hint="eastAsia"/>
          <w:lang w:val="en-US" w:eastAsia="zh-CN"/>
        </w:rPr>
        <w:t>公共</w:t>
      </w:r>
      <w:r>
        <w:rPr>
          <w:rStyle w:val="39"/>
        </w:rPr>
        <w:t>服务内容</w:t>
      </w:r>
      <w:r>
        <w:rPr>
          <w:rStyle w:val="39"/>
          <w:rFonts w:hint="eastAsia"/>
        </w:rPr>
        <w:t>供给</w:t>
      </w:r>
      <w:bookmarkEnd w:id="21"/>
      <w:bookmarkEnd w:id="22"/>
      <w:r>
        <w:rPr>
          <w:rStyle w:val="39"/>
          <w:rFonts w:hint="eastAsia" w:eastAsia="楷体"/>
          <w:lang w:eastAsia="zh-CN"/>
        </w:rPr>
        <w:t>。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"/>
        </w:rPr>
        <w:t>融入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首都市民系列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"/>
        </w:rPr>
        <w:t>文化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活动，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"/>
        </w:rPr>
        <w:t>助力北京市“歌唱北京”“舞动北京”“戏剧北京”“艺韵北京”“影像北京”“阅读北京”等品牌升级焕新。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依托“我们的节日”主题，组织中秋月坛群众游园、清明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"/>
        </w:rPr>
        <w:t>陶然诗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会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"/>
        </w:rPr>
        <w:t>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主题活动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办好欢乐飞飏舞蹈大赛、PAS打击乐艺术周、北京景山合唱季等群众性文化活动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"/>
        </w:rPr>
        <w:t>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打造“海棠诗会”“阅读行走”“阅读春天”等阅读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"/>
        </w:rPr>
        <w:t>推广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品牌。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"/>
        </w:rPr>
        <w:t>支持街道群众特色文化活动建设，打造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特色鲜明、形式多样、群众欢迎的“一街一品”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"/>
        </w:rPr>
        <w:t>群众特色文化活动品牌系列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整合数字文化馆、数字图书馆、文化西城等数字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"/>
        </w:rPr>
        <w:t>平台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资源，丰富数字文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"/>
        </w:rPr>
        <w:t>化和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旅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"/>
        </w:rPr>
        <w:t>游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服务供给。指导和扶持一批优秀文艺团队，提升全区整体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"/>
        </w:rPr>
        <w:t>群众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文化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"/>
        </w:rPr>
        <w:t>服务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</w:rPr>
        <w:t>队伍水平。</w:t>
      </w:r>
      <w:bookmarkStart w:id="24" w:name="_Toc32143"/>
      <w:bookmarkStart w:id="25" w:name="_Toc18251"/>
    </w:p>
    <w:tbl>
      <w:tblPr>
        <w:tblStyle w:val="28"/>
        <w:tblW w:w="88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33"/>
        <w:gridCol w:w="69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8852" w:type="dxa"/>
            <w:gridSpan w:val="2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shd w:val="clear" w:color="auto" w:fill="auto"/>
                <w:lang w:val="en-US" w:eastAsia="zh-CN"/>
              </w:rPr>
              <w:t>专栏3 公共服务供给重点项目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93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名称</w:t>
            </w:r>
          </w:p>
        </w:tc>
        <w:tc>
          <w:tcPr>
            <w:tcW w:w="69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8" w:hRule="atLeast"/>
          <w:jc w:val="center"/>
        </w:trPr>
        <w:tc>
          <w:tcPr>
            <w:tcW w:w="193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“我们的节日”主题系列</w:t>
            </w:r>
          </w:p>
        </w:tc>
        <w:tc>
          <w:tcPr>
            <w:tcW w:w="69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2"/>
                <w:sz w:val="32"/>
                <w:szCs w:val="32"/>
                <w:lang w:val="en-US" w:eastAsia="zh-CN" w:bidi="ar"/>
              </w:rPr>
              <w:t>春节、元宵节、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" w:bidi="ar"/>
              </w:rPr>
              <w:t>清明</w:t>
            </w:r>
            <w:r>
              <w:rPr>
                <w:rFonts w:hint="eastAsia" w:ascii="仿宋_GB2312" w:hAnsi="仿宋_GB2312" w:cs="仿宋_GB2312"/>
                <w:kern w:val="2"/>
                <w:sz w:val="32"/>
                <w:szCs w:val="32"/>
                <w:lang w:val="en-US" w:eastAsia="zh-CN" w:bidi="ar"/>
              </w:rPr>
              <w:t>节、端午节、七夕节、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" w:bidi="ar"/>
              </w:rPr>
              <w:t>中秋</w:t>
            </w:r>
            <w:r>
              <w:rPr>
                <w:rFonts w:hint="eastAsia" w:ascii="仿宋_GB2312" w:hAnsi="仿宋_GB2312" w:cs="仿宋_GB2312"/>
                <w:kern w:val="2"/>
                <w:sz w:val="32"/>
                <w:szCs w:val="32"/>
                <w:lang w:val="en-US" w:eastAsia="zh-CN" w:bidi="ar"/>
              </w:rPr>
              <w:t>节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" w:bidi="ar"/>
              </w:rPr>
              <w:t>、</w:t>
            </w:r>
            <w:r>
              <w:rPr>
                <w:rFonts w:hint="eastAsia" w:ascii="仿宋_GB2312" w:hAnsi="仿宋_GB2312" w:cs="仿宋_GB2312"/>
                <w:kern w:val="2"/>
                <w:sz w:val="32"/>
                <w:szCs w:val="32"/>
                <w:lang w:val="en-US" w:eastAsia="zh-CN" w:bidi="ar"/>
              </w:rPr>
              <w:t>重阳节等中华传统节日群众性文化活动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75" w:hRule="atLeast"/>
          <w:jc w:val="center"/>
        </w:trPr>
        <w:tc>
          <w:tcPr>
            <w:tcW w:w="193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群众文化活动品牌系列</w:t>
            </w:r>
          </w:p>
        </w:tc>
        <w:tc>
          <w:tcPr>
            <w:tcW w:w="69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PAS打击乐艺术周、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北京景山合唱季、欢乐飞飏舞蹈大赛、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月末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音乐汇、“看大戏到西城”演出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宣南俱乐部、群文大舞台、春之花美术作品展、手拉手摄影展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280" w:hRule="atLeast"/>
          <w:jc w:val="center"/>
        </w:trPr>
        <w:tc>
          <w:tcPr>
            <w:tcW w:w="193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“一街一品”活动系列</w:t>
            </w:r>
          </w:p>
        </w:tc>
        <w:tc>
          <w:tcPr>
            <w:tcW w:w="69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/>
                <w:sz w:val="32"/>
                <w:szCs w:val="32"/>
                <w:lang w:eastAsia="zh-CN"/>
              </w:rPr>
              <w:t>“</w:t>
            </w:r>
            <w:r>
              <w:rPr>
                <w:rFonts w:hint="eastAsia" w:ascii="仿宋_GB2312"/>
                <w:sz w:val="32"/>
                <w:szCs w:val="32"/>
                <w:lang w:val="en-US" w:eastAsia="zh-CN"/>
              </w:rPr>
              <w:t>我在天桥露一手</w:t>
            </w:r>
            <w:r>
              <w:rPr>
                <w:rFonts w:hint="eastAsia" w:ascii="仿宋_GB2312"/>
                <w:sz w:val="32"/>
                <w:szCs w:val="32"/>
                <w:lang w:eastAsia="zh-CN"/>
              </w:rPr>
              <w:t>”</w:t>
            </w:r>
            <w:r>
              <w:rPr>
                <w:rFonts w:hint="eastAsia" w:ascii="仿宋_GB2312"/>
                <w:sz w:val="32"/>
                <w:szCs w:val="32"/>
                <w:lang w:val="en-US" w:eastAsia="zh-CN"/>
              </w:rPr>
              <w:t>户外文艺休闲夜市</w:t>
            </w:r>
            <w:r>
              <w:rPr>
                <w:rFonts w:hint="eastAsia" w:ascii="仿宋_GB2312"/>
                <w:sz w:val="32"/>
                <w:szCs w:val="32"/>
                <w:lang w:eastAsia="zh-CN"/>
              </w:rPr>
              <w:t>、“</w:t>
            </w:r>
            <w:r>
              <w:rPr>
                <w:rFonts w:hint="eastAsia" w:ascii="仿宋_GB2312"/>
                <w:sz w:val="32"/>
                <w:szCs w:val="32"/>
                <w:lang w:val="en-US" w:eastAsia="zh-CN"/>
              </w:rPr>
              <w:t>椿树杯</w:t>
            </w:r>
            <w:r>
              <w:rPr>
                <w:rFonts w:hint="eastAsia" w:ascii="仿宋_GB2312"/>
                <w:sz w:val="32"/>
                <w:szCs w:val="32"/>
                <w:lang w:eastAsia="zh-CN"/>
              </w:rPr>
              <w:t>”</w:t>
            </w:r>
            <w:r>
              <w:rPr>
                <w:rFonts w:hint="eastAsia" w:ascii="仿宋_GB2312" w:eastAsia="仿宋_GB2312"/>
                <w:sz w:val="32"/>
                <w:szCs w:val="32"/>
              </w:rPr>
              <w:t>北京社区京剧票友大赛</w:t>
            </w:r>
            <w:r>
              <w:rPr>
                <w:rFonts w:hint="eastAsia" w:ascii="仿宋_GB2312"/>
                <w:sz w:val="32"/>
                <w:szCs w:val="32"/>
                <w:lang w:eastAsia="zh-CN"/>
              </w:rPr>
              <w:t>、“</w:t>
            </w:r>
            <w:r>
              <w:rPr>
                <w:rFonts w:hint="eastAsia" w:ascii="仿宋_GB2312" w:eastAsia="仿宋_GB2312"/>
                <w:sz w:val="32"/>
                <w:szCs w:val="32"/>
              </w:rPr>
              <w:t>红墙杯</w:t>
            </w:r>
            <w:r>
              <w:rPr>
                <w:rFonts w:hint="eastAsia" w:ascii="仿宋_GB2312"/>
                <w:sz w:val="32"/>
                <w:szCs w:val="32"/>
                <w:lang w:eastAsia="zh-CN"/>
              </w:rPr>
              <w:t>”</w:t>
            </w:r>
            <w:r>
              <w:rPr>
                <w:rFonts w:hint="eastAsia" w:ascii="仿宋_GB2312"/>
                <w:sz w:val="32"/>
                <w:szCs w:val="32"/>
                <w:lang w:val="en-US" w:eastAsia="zh-CN"/>
              </w:rPr>
              <w:t>艺术季</w:t>
            </w:r>
            <w:r>
              <w:rPr>
                <w:rFonts w:hint="eastAsia" w:ascii="仿宋_GB2312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_GB2312" w:eastAsia="仿宋_GB2312"/>
                <w:sz w:val="32"/>
                <w:szCs w:val="32"/>
              </w:rPr>
              <w:t>什刹海</w:t>
            </w:r>
            <w:r>
              <w:rPr>
                <w:rFonts w:hint="eastAsia" w:ascii="仿宋_GB2312"/>
                <w:sz w:val="32"/>
                <w:szCs w:val="32"/>
                <w:lang w:val="en-US" w:eastAsia="zh-CN"/>
              </w:rPr>
              <w:t>街道文化嘉年华、广内“空竹”艺术季、白云之尚太极文化创新季、陶然亭江亭雅集系列文化活动等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8" w:hRule="atLeast"/>
          <w:jc w:val="center"/>
        </w:trPr>
        <w:tc>
          <w:tcPr>
            <w:tcW w:w="193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美育培训系列</w:t>
            </w:r>
          </w:p>
        </w:tc>
        <w:tc>
          <w:tcPr>
            <w:tcW w:w="69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  <w:t>“欢聚艺堂”“周末课堂”“晚间课堂”培训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艺暖西城、艺路“童”行少儿暑期夏令营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8" w:hRule="atLeast"/>
          <w:jc w:val="center"/>
        </w:trPr>
        <w:tc>
          <w:tcPr>
            <w:tcW w:w="193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西城讲坛系列</w:t>
            </w:r>
          </w:p>
        </w:tc>
        <w:tc>
          <w:tcPr>
            <w:tcW w:w="69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000000"/>
                <w:sz w:val="32"/>
                <w:szCs w:val="32"/>
              </w:rPr>
              <w:t>“</w:t>
            </w:r>
            <w:r>
              <w:rPr>
                <w:rFonts w:hint="eastAsia" w:cs="Tahoma" w:asciiTheme="minorEastAsia" w:hAnsiTheme="minorEastAsia"/>
                <w:sz w:val="32"/>
                <w:szCs w:val="32"/>
              </w:rPr>
              <w:t>文苑西图”系列文学讲座</w:t>
            </w:r>
            <w:r>
              <w:rPr>
                <w:rFonts w:hint="eastAsia" w:cs="Tahoma" w:asciiTheme="minorEastAsia" w:hAnsiTheme="minorEastAsia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“心悦阅读”</w:t>
            </w: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“戏聚悦读”体验营</w:t>
            </w:r>
            <w:r>
              <w:rPr>
                <w:rFonts w:hint="eastAsia" w:cs="Tahoma" w:asciiTheme="minorEastAsia" w:hAnsiTheme="minorEastAsia"/>
                <w:sz w:val="32"/>
                <w:szCs w:val="32"/>
              </w:rPr>
              <w:t>活动</w:t>
            </w:r>
            <w:r>
              <w:rPr>
                <w:rFonts w:hint="eastAsia" w:cs="Tahoma" w:asciiTheme="minorEastAsia" w:hAnsiTheme="minorEastAsia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西城讲坛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系列讲座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8" w:hRule="atLeast"/>
          <w:jc w:val="center"/>
        </w:trPr>
        <w:tc>
          <w:tcPr>
            <w:tcW w:w="193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tabs>
                <w:tab w:val="left" w:pos="63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“书香西城”系列</w:t>
            </w:r>
          </w:p>
        </w:tc>
        <w:tc>
          <w:tcPr>
            <w:tcW w:w="69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tabs>
                <w:tab w:val="left" w:pos="63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w w:val="10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海棠诗会、阅读春天、阅读行走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w w:val="10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、云朗诵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w w:val="10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等活动</w:t>
            </w:r>
          </w:p>
        </w:tc>
      </w:tr>
    </w:tbl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/>
        </w:rPr>
      </w:pPr>
      <w:bookmarkStart w:id="26" w:name="_Toc28169"/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提升</w:t>
      </w:r>
      <w:r>
        <w:rPr>
          <w:rFonts w:hint="eastAsia"/>
        </w:rPr>
        <w:t>文物保护传承</w:t>
      </w:r>
      <w:r>
        <w:rPr>
          <w:rFonts w:hint="eastAsia"/>
          <w:lang w:val="en-US" w:eastAsia="zh-CN"/>
        </w:rPr>
        <w:t>水平</w:t>
      </w:r>
      <w:bookmarkEnd w:id="24"/>
      <w:bookmarkEnd w:id="25"/>
      <w:bookmarkEnd w:id="26"/>
    </w:p>
    <w:p>
      <w:pPr>
        <w:pageBreakBefore w:val="0"/>
        <w:widowControl w:val="0"/>
        <w:numPr>
          <w:ilvl w:val="255"/>
          <w:numId w:val="0"/>
        </w:numPr>
        <w:tabs>
          <w:tab w:val="left" w:pos="6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textAlignment w:val="auto"/>
        <w:rPr>
          <w:rFonts w:hint="eastAsia" w:ascii="仿宋_GB2312" w:hAnsi="仿宋_GB2312" w:cs="仿宋_GB2312"/>
          <w:szCs w:val="32"/>
          <w:lang w:eastAsia="zh" w:bidi="ar"/>
        </w:rPr>
      </w:pPr>
      <w:bookmarkStart w:id="27" w:name="_Toc19706"/>
      <w:bookmarkStart w:id="28" w:name="_Toc10771"/>
      <w:r>
        <w:rPr>
          <w:rStyle w:val="39"/>
          <w:rFonts w:hint="eastAsia"/>
          <w:lang w:val="en-US" w:eastAsia="zh-CN"/>
        </w:rPr>
        <w:t>4.</w:t>
      </w:r>
      <w:r>
        <w:rPr>
          <w:rStyle w:val="39"/>
        </w:rPr>
        <w:t>扎实推进世界文化遗产保护传承</w:t>
      </w:r>
      <w:bookmarkEnd w:id="27"/>
      <w:bookmarkEnd w:id="28"/>
      <w:r>
        <w:rPr>
          <w:rStyle w:val="39"/>
          <w:rFonts w:hint="eastAsia" w:eastAsia="楷体"/>
          <w:lang w:eastAsia="zh-CN"/>
        </w:rPr>
        <w:t>。</w:t>
      </w:r>
      <w:r>
        <w:rPr>
          <w:rFonts w:hint="eastAsia" w:ascii="仿宋_GB2312" w:hAnsi="仿宋_GB2312" w:cs="仿宋_GB2312"/>
          <w:szCs w:val="32"/>
          <w:lang w:eastAsia="zh" w:bidi="ar"/>
        </w:rPr>
        <w:t>创建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北京</w:t>
      </w:r>
      <w:r>
        <w:rPr>
          <w:rFonts w:hint="eastAsia" w:ascii="仿宋_GB2312" w:hAnsi="仿宋_GB2312" w:cs="仿宋_GB2312"/>
          <w:szCs w:val="32"/>
          <w:lang w:eastAsia="zh" w:bidi="ar"/>
        </w:rPr>
        <w:t>中轴线国家文物保护利用示范区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，打造世界文明交流互鉴窗口</w:t>
      </w:r>
      <w:r>
        <w:rPr>
          <w:rFonts w:hint="eastAsia" w:ascii="仿宋_GB2312" w:hAnsi="仿宋_GB2312" w:cs="仿宋_GB2312"/>
          <w:szCs w:val="32"/>
          <w:lang w:eastAsia="zh" w:bidi="ar"/>
        </w:rPr>
        <w:t>。</w:t>
      </w:r>
      <w:r>
        <w:rPr>
          <w:rFonts w:hint="eastAsia" w:ascii="仿宋_GB2312" w:hAnsi="仿宋_GB2312" w:cs="仿宋_GB2312"/>
          <w:szCs w:val="32"/>
          <w:lang w:eastAsia="zh-CN" w:bidi="ar"/>
        </w:rPr>
        <w:t>以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西城区</w:t>
      </w:r>
      <w:r>
        <w:rPr>
          <w:rFonts w:hint="eastAsia" w:ascii="仿宋_GB2312" w:hAnsi="仿宋_GB2312" w:cs="仿宋_GB2312"/>
          <w:szCs w:val="32"/>
          <w:lang w:eastAsia="zh-CN" w:bidi="ar"/>
        </w:rPr>
        <w:t>什刹海市级文物保护利用示范区建设为牵引，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助力大运河世界文化</w:t>
      </w:r>
      <w:r>
        <w:rPr>
          <w:rFonts w:hint="eastAsia" w:ascii="仿宋_GB2312" w:hAnsi="仿宋_GB2312" w:cs="仿宋_GB2312"/>
          <w:szCs w:val="32"/>
          <w:lang w:eastAsia="zh" w:bidi="ar"/>
        </w:rPr>
        <w:t>遗产周边文化设施功能提升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。支持北京郭守敬纪念馆改革创新，丰富展陈内容、更新传播方式</w:t>
      </w:r>
      <w:r>
        <w:rPr>
          <w:rFonts w:hint="eastAsia" w:ascii="仿宋_GB2312" w:hAnsi="仿宋_GB2312" w:cs="仿宋_GB2312"/>
          <w:szCs w:val="32"/>
          <w:lang w:eastAsia="zh" w:bidi="ar"/>
        </w:rPr>
        <w:t>，提升运河文化的沉浸感与交互性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。推出融合民俗、体育、艺术与国际交流的特色活动，持续打造“河之端”文化品牌。</w:t>
      </w:r>
      <w:bookmarkStart w:id="29" w:name="_Toc361"/>
      <w:bookmarkStart w:id="30" w:name="_Toc11451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cs="仿宋_GB2312"/>
          <w:szCs w:val="32"/>
          <w:lang w:val="en-US" w:eastAsia="zh-CN" w:bidi="ar"/>
        </w:rPr>
      </w:pPr>
      <w:r>
        <w:rPr>
          <w:rStyle w:val="39"/>
          <w:rFonts w:hint="eastAsia"/>
          <w:lang w:val="en-US" w:eastAsia="zh-CN"/>
        </w:rPr>
        <w:t>5.</w:t>
      </w:r>
      <w:r>
        <w:rPr>
          <w:rStyle w:val="39"/>
        </w:rPr>
        <w:t>全面加强文物保护管理</w:t>
      </w:r>
      <w:bookmarkEnd w:id="29"/>
      <w:bookmarkEnd w:id="30"/>
      <w:r>
        <w:rPr>
          <w:rStyle w:val="39"/>
          <w:rFonts w:hint="eastAsia" w:eastAsia="楷体"/>
          <w:lang w:eastAsia="zh-CN"/>
        </w:rPr>
        <w:t>。</w:t>
      </w:r>
      <w:r>
        <w:rPr>
          <w:rFonts w:hint="eastAsia" w:ascii="仿宋_GB2312" w:hAnsi="仿宋_GB2312" w:cs="仿宋_GB2312"/>
          <w:szCs w:val="32"/>
          <w:lang w:val="en-US" w:eastAsia="zh" w:bidi="ar"/>
        </w:rPr>
        <w:t>完成第四次全国文物普查，完善动态更新资源目录和不可移动文物数据库。依法认定、登记并公布一批不可移动文物。</w:t>
      </w:r>
      <w:r>
        <w:rPr>
          <w:rFonts w:hint="eastAsia" w:ascii="仿宋_GB2312" w:hAnsi="仿宋_GB2312" w:cs="仿宋_GB2312"/>
          <w:szCs w:val="32"/>
          <w:lang w:eastAsia="zh" w:bidi="ar"/>
        </w:rPr>
        <w:t>持续推进中国地质调查所旧址、吕祖阁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等核心区</w:t>
      </w:r>
      <w:r>
        <w:rPr>
          <w:rFonts w:hint="eastAsia" w:ascii="仿宋_GB2312" w:hAnsi="仿宋_GB2312" w:cs="仿宋_GB2312"/>
          <w:szCs w:val="32"/>
          <w:lang w:eastAsia="zh" w:bidi="ar"/>
        </w:rPr>
        <w:t>文物腾退项目</w:t>
      </w:r>
      <w:r>
        <w:rPr>
          <w:rFonts w:hint="eastAsia" w:ascii="仿宋_GB2312" w:hAnsi="仿宋_GB2312" w:cs="仿宋_GB2312"/>
          <w:szCs w:val="32"/>
          <w:lang w:bidi="ar"/>
        </w:rPr>
        <w:t>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修缮“活化”一批重点文物建筑。</w:t>
      </w:r>
      <w:r>
        <w:rPr>
          <w:rFonts w:hint="eastAsia" w:ascii="仿宋_GB2312" w:hAnsi="仿宋_GB2312" w:cs="仿宋_GB2312"/>
          <w:szCs w:val="32"/>
          <w:lang w:val="en-US" w:eastAsia="zh" w:bidi="ar"/>
        </w:rPr>
        <w:t>开展文物保护范围和建设控制地带的划定，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为文物本体安全、格局完整和环境风貌协调提供保障。</w:t>
      </w:r>
      <w:r>
        <w:rPr>
          <w:rFonts w:hint="eastAsia" w:ascii="仿宋_GB2312" w:hAnsi="仿宋_GB2312" w:cs="仿宋_GB2312"/>
          <w:szCs w:val="32"/>
          <w:lang w:val="en-US" w:eastAsia="zh" w:bidi="ar"/>
        </w:rPr>
        <w:t>落实文物建筑复建项目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，遵循“史料实证”“风貌协调”原则，着力恢复历史风貌、延续文化记忆</w:t>
      </w:r>
      <w:r>
        <w:rPr>
          <w:rFonts w:hint="eastAsia" w:ascii="仿宋_GB2312" w:hAnsi="仿宋_GB2312" w:cs="仿宋_GB2312"/>
          <w:szCs w:val="32"/>
          <w:lang w:val="en-US" w:eastAsia="zh" w:bidi="ar"/>
        </w:rPr>
        <w:t>。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加快推进婺源会馆等已腾退文物修缮</w:t>
      </w:r>
      <w:r>
        <w:rPr>
          <w:rFonts w:hint="eastAsia" w:ascii="仿宋_GB2312" w:hAnsi="仿宋_GB2312" w:cs="仿宋_GB2312"/>
          <w:szCs w:val="32"/>
          <w:lang w:val="en-US" w:eastAsia="zh" w:bidi="ar"/>
        </w:rPr>
        <w:t>。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实施文物“二维码”电子身份证更新项目，实现“掌上可读、耳边可听、脚下可寻”一体化体验。</w:t>
      </w:r>
      <w:bookmarkStart w:id="31" w:name="_Toc28797"/>
      <w:bookmarkStart w:id="32" w:name="_Toc11122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cs="仿宋_GB2312"/>
          <w:szCs w:val="32"/>
          <w:lang w:bidi="ar"/>
        </w:rPr>
      </w:pPr>
      <w:r>
        <w:rPr>
          <w:rStyle w:val="39"/>
          <w:rFonts w:hint="eastAsia"/>
          <w:lang w:val="en-US" w:eastAsia="zh-CN"/>
        </w:rPr>
        <w:t>6.</w:t>
      </w:r>
      <w:r>
        <w:rPr>
          <w:rStyle w:val="39"/>
          <w:rFonts w:hint="eastAsia"/>
        </w:rPr>
        <w:t>促进</w:t>
      </w:r>
      <w:r>
        <w:rPr>
          <w:rStyle w:val="39"/>
        </w:rPr>
        <w:t>文物</w:t>
      </w:r>
      <w:r>
        <w:rPr>
          <w:rStyle w:val="39"/>
          <w:rFonts w:hint="eastAsia"/>
        </w:rPr>
        <w:t>资源有效</w:t>
      </w:r>
      <w:r>
        <w:rPr>
          <w:rStyle w:val="39"/>
        </w:rPr>
        <w:t>利用</w:t>
      </w:r>
      <w:bookmarkEnd w:id="31"/>
      <w:bookmarkEnd w:id="32"/>
      <w:r>
        <w:rPr>
          <w:rStyle w:val="39"/>
          <w:rFonts w:hint="eastAsia" w:eastAsia="楷体"/>
          <w:lang w:eastAsia="zh-CN"/>
        </w:rPr>
        <w:t>。</w:t>
      </w:r>
      <w:r>
        <w:rPr>
          <w:rFonts w:hint="eastAsia"/>
        </w:rPr>
        <w:t>制定并发布《北京市西城区会馆类文物保护利用计划（2026年—2030年）》，</w:t>
      </w:r>
      <w:r>
        <w:rPr>
          <w:rFonts w:hint="eastAsia"/>
          <w:lang w:val="en-US" w:eastAsia="zh-CN"/>
        </w:rPr>
        <w:t>统筹保护与利用、传承与创新，依托会馆讲好西城故事，打造展示中华优秀传统文化、促进京地文化交流的重要窗口，让会馆真正成为“流动的文化纽带”与“活化的乡愁记忆”。</w:t>
      </w:r>
      <w:r>
        <w:rPr>
          <w:rFonts w:hint="eastAsia" w:ascii="仿宋_GB2312" w:hAnsi="仿宋_GB2312" w:cs="仿宋_GB2312"/>
          <w:szCs w:val="32"/>
          <w:u w:val="none"/>
          <w:lang w:eastAsia="zh-CN" w:bidi="ar"/>
        </w:rPr>
        <w:t>配合市文物局做好先农坛活化利用整体规划，推动整体保护和活化利用。</w:t>
      </w:r>
      <w:r>
        <w:rPr>
          <w:rFonts w:hint="eastAsia" w:ascii="仿宋_GB2312" w:hAnsi="仿宋_GB2312" w:cs="仿宋_GB2312"/>
          <w:szCs w:val="32"/>
          <w:lang w:bidi="ar"/>
        </w:rPr>
        <w:t>深化“揭榜挂帅”模式，推动文物建筑活化利用与社会化运营</w:t>
      </w:r>
      <w:r>
        <w:rPr>
          <w:rFonts w:hint="eastAsia" w:ascii="仿宋_GB2312" w:hAnsi="仿宋_GB2312" w:cs="仿宋_GB2312"/>
          <w:szCs w:val="32"/>
          <w:u w:val="none"/>
          <w:lang w:bidi="ar"/>
        </w:rPr>
        <w:t>，加快引导真武庙、永泉庵、聚顺和栈南货老店旧址、西单饭店旧址等已发布活化利用项目的落地签约</w:t>
      </w:r>
      <w:r>
        <w:rPr>
          <w:rFonts w:hint="eastAsia" w:ascii="仿宋_GB2312" w:hAnsi="仿宋_GB2312" w:cs="仿宋_GB2312"/>
          <w:szCs w:val="32"/>
          <w:u w:val="none"/>
          <w:lang w:eastAsia="zh-CN" w:bidi="ar"/>
        </w:rPr>
        <w:t>对社会开放</w:t>
      </w:r>
      <w:r>
        <w:rPr>
          <w:rFonts w:hint="eastAsia" w:ascii="仿宋_GB2312" w:hAnsi="仿宋_GB2312" w:cs="仿宋_GB2312"/>
          <w:szCs w:val="32"/>
          <w:u w:val="none"/>
          <w:lang w:bidi="ar"/>
        </w:rPr>
        <w:t>。</w:t>
      </w:r>
      <w:r>
        <w:rPr>
          <w:rFonts w:hint="eastAsia" w:ascii="仿宋_GB2312" w:hAnsi="仿宋_GB2312" w:cs="仿宋_GB2312"/>
          <w:szCs w:val="32"/>
          <w:lang w:bidi="ar"/>
        </w:rPr>
        <w:t>加强</w:t>
      </w:r>
      <w:r>
        <w:rPr>
          <w:rFonts w:hint="eastAsia" w:ascii="仿宋_GB2312" w:hAnsi="仿宋_GB2312" w:cs="仿宋_GB2312"/>
          <w:szCs w:val="32"/>
          <w:lang w:eastAsia="zh-CN" w:bidi="ar"/>
        </w:rPr>
        <w:t>文物开放使用效果评价</w:t>
      </w:r>
      <w:r>
        <w:rPr>
          <w:rFonts w:hint="eastAsia" w:ascii="仿宋_GB2312" w:hAnsi="仿宋_GB2312" w:cs="仿宋_GB2312"/>
          <w:szCs w:val="32"/>
          <w:lang w:bidi="ar"/>
        </w:rPr>
        <w:t>，完善退出机制，让文物保护成果更多惠及人民群众</w:t>
      </w:r>
      <w:r>
        <w:rPr>
          <w:rFonts w:hint="eastAsia" w:ascii="仿宋_GB2312" w:hAnsi="仿宋_GB2312" w:cs="仿宋_GB2312"/>
          <w:szCs w:val="32"/>
          <w:lang w:eastAsia="zh-CN" w:bidi="ar"/>
        </w:rPr>
        <w:t>，</w:t>
      </w:r>
      <w:r>
        <w:rPr>
          <w:rFonts w:hint="eastAsia" w:ascii="仿宋_GB2312" w:hAnsi="仿宋_GB2312" w:cs="仿宋_GB2312"/>
          <w:szCs w:val="32"/>
          <w:lang w:bidi="ar"/>
        </w:rPr>
        <w:t>让文物从静态保护走向活态传承。</w:t>
      </w:r>
      <w:bookmarkStart w:id="33" w:name="_Toc2344"/>
      <w:bookmarkStart w:id="34" w:name="_Toc7130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cs="仿宋_GB2312"/>
          <w:szCs w:val="32"/>
          <w:lang w:bidi="ar"/>
        </w:rPr>
      </w:pPr>
      <w:r>
        <w:rPr>
          <w:rStyle w:val="39"/>
          <w:rFonts w:hint="eastAsia"/>
          <w:lang w:val="en-US" w:eastAsia="zh-CN"/>
        </w:rPr>
        <w:t>7.</w:t>
      </w:r>
      <w:r>
        <w:rPr>
          <w:rStyle w:val="39"/>
          <w:rFonts w:hint="eastAsia"/>
        </w:rPr>
        <w:t>推进特色博物馆体系建设</w:t>
      </w:r>
      <w:bookmarkEnd w:id="33"/>
      <w:bookmarkEnd w:id="34"/>
      <w:r>
        <w:rPr>
          <w:rStyle w:val="39"/>
          <w:rFonts w:hint="eastAsia" w:eastAsia="楷体"/>
          <w:lang w:eastAsia="zh-CN"/>
        </w:rPr>
        <w:t>。</w:t>
      </w:r>
      <w:r>
        <w:rPr>
          <w:rFonts w:hint="eastAsia" w:ascii="仿宋_GB2312" w:hAnsi="仿宋_GB2312" w:cs="仿宋_GB2312"/>
          <w:szCs w:val="32"/>
        </w:rPr>
        <w:t>加大北京李大钊故居</w:t>
      </w:r>
      <w:r>
        <w:rPr>
          <w:rFonts w:hint="eastAsia" w:ascii="仿宋_GB2312" w:hAnsi="仿宋_GB2312" w:cs="仿宋_GB2312"/>
          <w:szCs w:val="32"/>
          <w:lang w:eastAsia="zh-CN"/>
        </w:rPr>
        <w:t>、</w:t>
      </w:r>
      <w:r>
        <w:rPr>
          <w:rFonts w:hint="eastAsia" w:ascii="仿宋_GB2312" w:hAnsi="仿宋_GB2312" w:cs="仿宋_GB2312"/>
          <w:szCs w:val="32"/>
        </w:rPr>
        <w:t>北京宣南</w:t>
      </w:r>
      <w:r>
        <w:rPr>
          <w:rFonts w:hint="eastAsia" w:ascii="仿宋_GB2312" w:hAnsi="仿宋_GB2312" w:cs="仿宋_GB2312"/>
          <w:szCs w:val="32"/>
          <w:lang w:val="en-US" w:eastAsia="zh-CN"/>
        </w:rPr>
        <w:t>文化</w:t>
      </w:r>
      <w:r>
        <w:rPr>
          <w:rFonts w:hint="eastAsia" w:ascii="仿宋_GB2312" w:hAnsi="仿宋_GB2312" w:cs="仿宋_GB2312"/>
          <w:szCs w:val="32"/>
        </w:rPr>
        <w:t>博物馆等区属博物馆建设</w:t>
      </w:r>
      <w:r>
        <w:rPr>
          <w:rFonts w:hint="eastAsia" w:ascii="仿宋_GB2312" w:hAnsi="仿宋_GB2312" w:cs="仿宋_GB2312"/>
          <w:szCs w:val="32"/>
          <w:lang w:val="en-US" w:eastAsia="zh-CN"/>
        </w:rPr>
        <w:t>力度</w:t>
      </w:r>
      <w:r>
        <w:rPr>
          <w:rFonts w:hint="eastAsia" w:ascii="仿宋_GB2312" w:hAnsi="仿宋_GB2312" w:cs="仿宋_GB2312"/>
          <w:szCs w:val="32"/>
        </w:rPr>
        <w:t>，发展成为符合</w:t>
      </w:r>
      <w:r>
        <w:rPr>
          <w:rFonts w:hint="eastAsia" w:ascii="仿宋_GB2312" w:hAnsi="仿宋_GB2312" w:cs="仿宋_GB2312"/>
          <w:szCs w:val="32"/>
          <w:lang w:val="en-US" w:eastAsia="zh-CN"/>
        </w:rPr>
        <w:t>首都功能核心区特征</w:t>
      </w:r>
      <w:r>
        <w:rPr>
          <w:rFonts w:hint="eastAsia" w:ascii="仿宋_GB2312" w:hAnsi="仿宋_GB2312" w:cs="仿宋_GB2312"/>
          <w:szCs w:val="32"/>
        </w:rPr>
        <w:t>、弘扬西城文化的特色博物馆。</w:t>
      </w:r>
      <w:r>
        <w:rPr>
          <w:rFonts w:hint="eastAsia" w:ascii="仿宋_GB2312" w:hAnsi="仿宋_GB2312" w:cs="仿宋_GB2312"/>
          <w:szCs w:val="32"/>
          <w:lang w:bidi="ar"/>
        </w:rPr>
        <w:t>推进北京历代帝王庙博物馆“铸牢中华民族共同体意识教育实践基地”建设，发挥示范引领作用。实施类博物馆培育计划，做好孵化培育。继续探索博物馆社会化运行管理和多元服务改革，探寻文创产品开发、售卖实施路径</w:t>
      </w:r>
      <w:r>
        <w:rPr>
          <w:rFonts w:hint="eastAsia" w:ascii="仿宋_GB2312" w:hAnsi="仿宋_GB2312" w:cs="仿宋_GB2312"/>
          <w:szCs w:val="32"/>
          <w:lang w:eastAsia="zh-CN" w:bidi="ar"/>
        </w:rPr>
        <w:t>。</w:t>
      </w:r>
      <w:r>
        <w:rPr>
          <w:rFonts w:hint="eastAsia" w:ascii="仿宋_GB2312" w:hAnsi="仿宋_GB2312" w:cs="仿宋_GB2312"/>
          <w:szCs w:val="32"/>
          <w:lang w:bidi="ar"/>
        </w:rPr>
        <w:t>推进有条件、符合观众需求</w:t>
      </w:r>
      <w:r>
        <w:rPr>
          <w:rFonts w:hint="eastAsia" w:ascii="仿宋_GB2312" w:hAnsi="仿宋_GB2312" w:cs="仿宋_GB2312"/>
          <w:szCs w:val="32"/>
          <w:lang w:eastAsia="zh-CN" w:bidi="ar"/>
        </w:rPr>
        <w:t>的</w:t>
      </w:r>
      <w:r>
        <w:rPr>
          <w:rFonts w:hint="eastAsia" w:ascii="仿宋_GB2312" w:hAnsi="仿宋_GB2312" w:cs="仿宋_GB2312"/>
          <w:szCs w:val="32"/>
          <w:lang w:bidi="ar"/>
        </w:rPr>
        <w:t>博物馆</w:t>
      </w:r>
      <w:r>
        <w:rPr>
          <w:rFonts w:hint="eastAsia" w:ascii="仿宋_GB2312" w:hAnsi="仿宋_GB2312" w:cs="仿宋_GB2312"/>
          <w:szCs w:val="32"/>
          <w:lang w:eastAsia="zh-CN" w:bidi="ar"/>
        </w:rPr>
        <w:t>提供</w:t>
      </w:r>
      <w:r>
        <w:rPr>
          <w:rFonts w:hint="eastAsia" w:ascii="仿宋_GB2312" w:hAnsi="仿宋_GB2312" w:cs="仿宋_GB2312"/>
          <w:szCs w:val="32"/>
          <w:lang w:bidi="ar"/>
        </w:rPr>
        <w:t>延时服务</w:t>
      </w:r>
      <w:r>
        <w:rPr>
          <w:rFonts w:hint="eastAsia" w:ascii="仿宋_GB2312" w:hAnsi="仿宋_GB2312" w:cs="仿宋_GB2312"/>
          <w:szCs w:val="32"/>
          <w:lang w:eastAsia="zh-CN" w:bidi="ar"/>
        </w:rPr>
        <w:t>。</w:t>
      </w:r>
      <w:r>
        <w:rPr>
          <w:rFonts w:hint="eastAsia" w:ascii="仿宋_GB2312" w:hAnsi="仿宋_GB2312" w:cs="仿宋_GB2312"/>
          <w:szCs w:val="32"/>
          <w:lang w:bidi="ar"/>
        </w:rPr>
        <w:t>支持西城区博物馆联盟建设发展。引导博物馆加大文化内涵的挖掘研究力度，开发出更多互动体验性强、观众喜爱的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展示传播</w:t>
      </w:r>
      <w:r>
        <w:rPr>
          <w:rFonts w:hint="eastAsia" w:ascii="仿宋_GB2312" w:hAnsi="仿宋_GB2312" w:cs="仿宋_GB2312"/>
          <w:szCs w:val="32"/>
          <w:lang w:bidi="ar"/>
        </w:rPr>
        <w:t>方式</w:t>
      </w:r>
      <w:r>
        <w:rPr>
          <w:rFonts w:hint="eastAsia" w:ascii="仿宋_GB2312" w:hAnsi="仿宋_GB2312" w:cs="仿宋_GB2312"/>
          <w:szCs w:val="32"/>
          <w:lang w:eastAsia="zh-CN" w:bidi="ar"/>
        </w:rPr>
        <w:t>，</w:t>
      </w:r>
      <w:r>
        <w:rPr>
          <w:rFonts w:hint="eastAsia" w:ascii="仿宋_GB2312" w:hAnsi="仿宋_GB2312" w:cs="仿宋_GB2312"/>
          <w:szCs w:val="32"/>
          <w:lang w:bidi="ar"/>
        </w:rPr>
        <w:t>让博物馆成为可漫步的课堂、可停留的客厅、可共情的城市记忆。</w:t>
      </w:r>
    </w:p>
    <w:tbl>
      <w:tblPr>
        <w:tblStyle w:val="28"/>
        <w:tblW w:w="85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3"/>
        <w:gridCol w:w="1556"/>
        <w:gridCol w:w="60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8533" w:type="dxa"/>
            <w:gridSpan w:val="3"/>
            <w:shd w:val="clear" w:color="auto" w:fill="DAE3F3" w:themeFill="accent1" w:themeFillTint="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专栏4 文物保护利用重点项目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93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序号</w:t>
            </w:r>
          </w:p>
        </w:tc>
        <w:tc>
          <w:tcPr>
            <w:tcW w:w="15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类别</w:t>
            </w:r>
          </w:p>
        </w:tc>
        <w:tc>
          <w:tcPr>
            <w:tcW w:w="60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8" w:hRule="atLeast"/>
          <w:jc w:val="center"/>
        </w:trPr>
        <w:tc>
          <w:tcPr>
            <w:tcW w:w="933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15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核心区文物腾退</w:t>
            </w:r>
          </w:p>
        </w:tc>
        <w:tc>
          <w:tcPr>
            <w:tcW w:w="60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Cs w:val="32"/>
                <w:lang w:val="en-US" w:eastAsia="zh-CN" w:bidi="ar"/>
              </w:rPr>
              <w:t>实施</w:t>
            </w:r>
            <w:r>
              <w:rPr>
                <w:rFonts w:hint="eastAsia" w:ascii="仿宋_GB2312" w:hAnsi="仿宋_GB2312" w:eastAsia="仿宋_GB2312" w:cs="仿宋_GB2312"/>
                <w:szCs w:val="32"/>
                <w:lang w:eastAsia="zh" w:bidi="ar"/>
              </w:rPr>
              <w:t>中国地质调查所旧址、吕祖阁</w:t>
            </w:r>
            <w:r>
              <w:rPr>
                <w:rFonts w:hint="eastAsia" w:ascii="仿宋_GB2312" w:hAnsi="仿宋_GB2312" w:cs="仿宋_GB2312"/>
                <w:szCs w:val="32"/>
                <w:lang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shd w:val="clear" w:color="auto" w:fill="FFFFFF"/>
                <w:lang w:val="en-US" w:eastAsia="zh-CN"/>
              </w:rPr>
              <w:t>北海琉璃阁、醇亲王府</w:t>
            </w:r>
            <w:r>
              <w:rPr>
                <w:rFonts w:hint="eastAsia" w:ascii="仿宋_GB2312" w:hAnsi="仿宋_GB2312" w:cs="仿宋_GB2312"/>
                <w:b w:val="0"/>
                <w:bCs w:val="0"/>
                <w:sz w:val="32"/>
                <w:szCs w:val="32"/>
                <w:shd w:val="clear" w:color="auto" w:fill="FFFFFF"/>
                <w:lang w:val="en-US" w:eastAsia="zh-CN"/>
              </w:rPr>
              <w:t>（北府）</w:t>
            </w:r>
            <w:r>
              <w:rPr>
                <w:rFonts w:hint="eastAsia" w:ascii="仿宋_GB2312" w:hAnsi="仿宋_GB2312" w:cs="仿宋_GB2312"/>
                <w:szCs w:val="32"/>
                <w:lang w:val="en-US" w:eastAsia="zh-CN" w:bidi="ar"/>
              </w:rPr>
              <w:t>等腾退项目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7" w:hRule="atLeast"/>
          <w:jc w:val="center"/>
        </w:trPr>
        <w:tc>
          <w:tcPr>
            <w:tcW w:w="933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15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文物利用</w:t>
            </w:r>
          </w:p>
        </w:tc>
        <w:tc>
          <w:tcPr>
            <w:tcW w:w="60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推进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" w:bidi="ar"/>
              </w:rPr>
              <w:t>真武庙、永泉庵、聚顺和栈南货老店旧址、西单饭店旧址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社会化利用项目开放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37" w:hRule="atLeast"/>
          <w:jc w:val="center"/>
        </w:trPr>
        <w:tc>
          <w:tcPr>
            <w:tcW w:w="933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15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会馆类文物保护利用</w:t>
            </w:r>
          </w:p>
        </w:tc>
        <w:tc>
          <w:tcPr>
            <w:tcW w:w="60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5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line="52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" w:bidi="ar"/>
              </w:rPr>
              <w:t>推进杨椒山祠、婺源会馆等6处重点会馆腾退修缮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" w:bidi="ar"/>
              </w:rPr>
              <w:t>推动中山会馆、宜兴会馆等9处会馆对外开放</w:t>
            </w:r>
          </w:p>
        </w:tc>
      </w:tr>
    </w:tbl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default"/>
          <w:lang w:val="en-US" w:eastAsia="zh-CN"/>
        </w:rPr>
      </w:pPr>
      <w:bookmarkStart w:id="35" w:name="_Toc19681"/>
      <w:bookmarkStart w:id="36" w:name="_Toc7141"/>
      <w:bookmarkStart w:id="37" w:name="_Toc10811"/>
      <w:bookmarkStart w:id="38" w:name="_Toc8650"/>
      <w:bookmarkStart w:id="39" w:name="_Toc5831"/>
      <w:bookmarkStart w:id="40" w:name="_Toc22724"/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三）推动非遗创造性转化、创新性</w:t>
      </w:r>
      <w:bookmarkEnd w:id="35"/>
      <w:bookmarkEnd w:id="36"/>
      <w:r>
        <w:rPr>
          <w:rFonts w:hint="eastAsia"/>
          <w:lang w:val="en-US" w:eastAsia="zh-CN"/>
        </w:rPr>
        <w:t>发展</w:t>
      </w:r>
      <w:bookmarkEnd w:id="37"/>
    </w:p>
    <w:p>
      <w:pPr>
        <w:pageBreakBefore w:val="0"/>
        <w:tabs>
          <w:tab w:val="left" w:pos="616"/>
        </w:tabs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firstLine="640"/>
        <w:textAlignment w:val="auto"/>
        <w:rPr>
          <w:rFonts w:hint="eastAsia" w:ascii="仿宋_GB2312" w:hAnsi="仿宋_GB2312" w:cs="仿宋_GB2312"/>
          <w:szCs w:val="32"/>
          <w:lang w:val="en-US" w:eastAsia="zh-CN" w:bidi="ar"/>
        </w:rPr>
      </w:pPr>
      <w:bookmarkStart w:id="41" w:name="_Toc428331576"/>
      <w:bookmarkStart w:id="42" w:name="_Toc5761"/>
      <w:bookmarkStart w:id="43" w:name="_Toc12208"/>
      <w:bookmarkStart w:id="44" w:name="_Toc3863"/>
      <w:r>
        <w:rPr>
          <w:rStyle w:val="39"/>
          <w:rFonts w:hint="eastAsia"/>
          <w:lang w:val="en-US" w:eastAsia="zh-CN"/>
        </w:rPr>
        <w:t>11.</w:t>
      </w:r>
      <w:r>
        <w:rPr>
          <w:rStyle w:val="39"/>
          <w:rFonts w:hint="eastAsia"/>
        </w:rPr>
        <w:t>完善</w:t>
      </w:r>
      <w:bookmarkEnd w:id="41"/>
      <w:bookmarkStart w:id="45" w:name="_Toc27553"/>
      <w:bookmarkStart w:id="46" w:name="_Toc29890"/>
      <w:r>
        <w:rPr>
          <w:rStyle w:val="39"/>
          <w:rFonts w:hint="eastAsia"/>
          <w:lang w:val="en-US" w:eastAsia="zh-CN"/>
        </w:rPr>
        <w:t>项目</w:t>
      </w:r>
      <w:r>
        <w:rPr>
          <w:rStyle w:val="39"/>
          <w:rFonts w:hint="eastAsia"/>
        </w:rPr>
        <w:t>保护体系</w:t>
      </w:r>
      <w:bookmarkEnd w:id="42"/>
      <w:bookmarkEnd w:id="43"/>
      <w:r>
        <w:rPr>
          <w:rStyle w:val="39"/>
          <w:rFonts w:hint="eastAsia" w:eastAsia="楷体"/>
          <w:lang w:eastAsia="zh-CN"/>
        </w:rPr>
        <w:t>。</w:t>
      </w:r>
      <w:bookmarkEnd w:id="45"/>
      <w:r>
        <w:rPr>
          <w:rFonts w:hint="eastAsia" w:ascii="仿宋_GB2312" w:hAnsi="仿宋_GB2312" w:cs="仿宋_GB2312"/>
          <w:szCs w:val="32"/>
          <w:lang w:eastAsia="zh-CN" w:bidi="ar"/>
        </w:rPr>
        <w:t>开展非物质文化遗产普查调查、保护保存工作，完善非物质文化遗产档案和数据记录。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加强</w:t>
      </w:r>
      <w:r>
        <w:rPr>
          <w:rFonts w:hint="eastAsia" w:ascii="仿宋_GB2312" w:hAnsi="仿宋_GB2312" w:cs="仿宋_GB2312"/>
          <w:szCs w:val="32"/>
          <w:lang w:eastAsia="zh" w:bidi="ar"/>
        </w:rPr>
        <w:t>代表性项目与传承人认定、评估与动态管理</w:t>
      </w:r>
      <w:r>
        <w:rPr>
          <w:rFonts w:hint="eastAsia" w:ascii="仿宋_GB2312" w:hAnsi="仿宋_GB2312" w:cs="仿宋_GB2312"/>
          <w:szCs w:val="32"/>
          <w:lang w:eastAsia="zh-CN" w:bidi="ar"/>
        </w:rPr>
        <w:t>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依法认定一批区级代表性项目和传承人</w:t>
      </w:r>
      <w:bookmarkEnd w:id="46"/>
      <w:r>
        <w:rPr>
          <w:rFonts w:hint="eastAsia" w:ascii="仿宋_GB2312" w:hAnsi="仿宋_GB2312" w:cs="仿宋_GB2312"/>
          <w:szCs w:val="32"/>
          <w:lang w:val="en-US" w:eastAsia="zh-CN" w:bidi="ar"/>
        </w:rPr>
        <w:t>。加强传承人培养，促进传承实践与现代教育体系深度融合，形成传承有序、梯次合理的非遗保护传承人才队伍。</w:t>
      </w:r>
      <w:r>
        <w:rPr>
          <w:rFonts w:hint="eastAsia" w:ascii="仿宋_GB2312" w:hAnsi="仿宋_GB2312" w:cs="仿宋_GB2312"/>
          <w:szCs w:val="32"/>
          <w:lang w:eastAsia="zh" w:bidi="ar"/>
        </w:rPr>
        <w:t>推荐优秀传承人参加各类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赛事、展示、交流</w:t>
      </w:r>
      <w:r>
        <w:rPr>
          <w:rFonts w:hint="eastAsia" w:ascii="仿宋_GB2312" w:hAnsi="仿宋_GB2312" w:cs="仿宋_GB2312"/>
          <w:szCs w:val="32"/>
          <w:lang w:eastAsia="zh" w:bidi="ar"/>
        </w:rPr>
        <w:t>活动，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搭建技艺展示、文化交流、产业转化多元平台</w:t>
      </w:r>
      <w:r>
        <w:rPr>
          <w:rFonts w:hint="eastAsia" w:ascii="仿宋_GB2312" w:hAnsi="仿宋_GB2312" w:cs="仿宋_GB2312"/>
          <w:szCs w:val="32"/>
          <w:lang w:eastAsia="zh" w:bidi="ar"/>
        </w:rPr>
        <w:t>。</w:t>
      </w:r>
      <w:r>
        <w:rPr>
          <w:rFonts w:hint="eastAsia" w:ascii="仿宋"/>
          <w:snapToGrid w:val="0"/>
          <w:szCs w:val="32"/>
        </w:rPr>
        <w:t>开展非物质文化遗产的可溯源保护</w:t>
      </w:r>
      <w:r>
        <w:rPr>
          <w:rFonts w:hint="eastAsia" w:ascii="仿宋_GB2312" w:hAnsi="仿宋_GB2312" w:cs="仿宋_GB2312"/>
          <w:szCs w:val="32"/>
          <w:lang w:eastAsia="zh" w:bidi="ar"/>
        </w:rPr>
        <w:t>，持续开展濒危项目传承人口述史记录工作</w:t>
      </w:r>
      <w:r>
        <w:rPr>
          <w:rFonts w:hint="eastAsia" w:ascii="仿宋_GB2312" w:hAnsi="仿宋_GB2312" w:cs="仿宋_GB2312"/>
          <w:szCs w:val="32"/>
          <w:lang w:eastAsia="zh-CN" w:bidi="ar"/>
        </w:rPr>
        <w:t>和</w:t>
      </w:r>
      <w:r>
        <w:rPr>
          <w:rFonts w:hint="eastAsia" w:ascii="仿宋_GB2312" w:hAnsi="仿宋_GB2312" w:cs="仿宋_GB2312"/>
          <w:szCs w:val="32"/>
          <w:lang w:eastAsia="zh" w:bidi="ar"/>
        </w:rPr>
        <w:t>非遗记忆视频记录工程。</w:t>
      </w:r>
      <w:bookmarkStart w:id="47" w:name="_Toc25359"/>
      <w:bookmarkStart w:id="48" w:name="_Toc12312"/>
      <w:r>
        <w:rPr>
          <w:rFonts w:hint="eastAsia" w:ascii="仿宋_GB2312" w:hAnsi="仿宋_GB2312" w:cs="仿宋_GB2312"/>
          <w:szCs w:val="32"/>
          <w:lang w:val="en-US" w:eastAsia="zh-CN" w:bidi="ar"/>
        </w:rPr>
        <w:t xml:space="preserve"> </w:t>
      </w:r>
    </w:p>
    <w:bookmarkEnd w:id="44"/>
    <w:bookmarkEnd w:id="47"/>
    <w:bookmarkEnd w:id="48"/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/>
        </w:rPr>
      </w:pPr>
      <w:r>
        <w:rPr>
          <w:rStyle w:val="39"/>
          <w:rFonts w:hint="eastAsia"/>
          <w:lang w:val="en-US" w:eastAsia="zh-CN"/>
        </w:rPr>
        <w:t>12.</w:t>
      </w:r>
      <w:r>
        <w:rPr>
          <w:rStyle w:val="39"/>
          <w:rFonts w:hint="eastAsia"/>
        </w:rPr>
        <w:t>拓展</w:t>
      </w:r>
      <w:r>
        <w:rPr>
          <w:rStyle w:val="39"/>
          <w:rFonts w:hint="eastAsia"/>
          <w:lang w:val="en-US" w:eastAsia="zh-CN"/>
        </w:rPr>
        <w:t>多元融合</w:t>
      </w:r>
      <w:r>
        <w:rPr>
          <w:rStyle w:val="39"/>
          <w:rFonts w:hint="eastAsia"/>
        </w:rPr>
        <w:t>传承展示空间</w:t>
      </w:r>
      <w:r>
        <w:rPr>
          <w:rStyle w:val="39"/>
          <w:rFonts w:hint="eastAsia" w:eastAsia="楷体"/>
          <w:lang w:eastAsia="zh-CN"/>
        </w:rPr>
        <w:t>。</w:t>
      </w:r>
      <w:r>
        <w:t>实施非遗焕</w:t>
      </w:r>
      <w:r>
        <w:rPr>
          <w:rFonts w:hint="eastAsia"/>
          <w:lang w:val="en-US" w:eastAsia="zh-CN"/>
        </w:rPr>
        <w:t>彩行动计划，推动非遗活态传承。</w:t>
      </w:r>
      <w:r>
        <w:rPr>
          <w:rFonts w:hint="eastAsia" w:ascii="仿宋_GB2312" w:hAnsi="仿宋_GB2312" w:cs="仿宋_GB2312"/>
        </w:rPr>
        <w:t>倡导有条件的项目保护单位设立传承体验基地、非遗博物馆、非遗传习所等展陈展览体验空间。</w:t>
      </w:r>
      <w:bookmarkStart w:id="49" w:name="_Toc21725"/>
      <w:bookmarkStart w:id="50" w:name="_Toc15547"/>
      <w:r>
        <w:rPr>
          <w:rFonts w:hint="eastAsia" w:ascii="仿宋_GB2312" w:hAnsi="仿宋_GB2312" w:cs="仿宋_GB2312"/>
        </w:rPr>
        <w:t>结合城市更新</w:t>
      </w:r>
      <w:r>
        <w:rPr>
          <w:rFonts w:hint="eastAsia" w:ascii="仿宋_GB2312" w:hAnsi="仿宋_GB2312" w:cs="仿宋_GB2312"/>
          <w:lang w:eastAsia="zh-CN"/>
        </w:rPr>
        <w:t>、历史文化街区保护</w:t>
      </w:r>
      <w:r>
        <w:rPr>
          <w:rFonts w:hint="eastAsia" w:ascii="仿宋_GB2312" w:hAnsi="仿宋_GB2312" w:cs="仿宋_GB2312"/>
        </w:rPr>
        <w:t>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规范</w:t>
      </w:r>
      <w:r>
        <w:rPr>
          <w:rFonts w:hint="eastAsia" w:ascii="仿宋_GB2312" w:hAnsi="仿宋_GB2312" w:cs="仿宋_GB2312"/>
          <w:szCs w:val="32"/>
          <w:lang w:eastAsia="zh-CN" w:bidi="ar"/>
        </w:rPr>
        <w:t>非遗</w:t>
      </w:r>
      <w:r>
        <w:rPr>
          <w:rFonts w:hint="eastAsia" w:ascii="仿宋_GB2312" w:hAnsi="仿宋_GB2312" w:cs="仿宋_GB2312"/>
        </w:rPr>
        <w:t>展陈展览体验空间</w:t>
      </w:r>
      <w:r>
        <w:rPr>
          <w:rFonts w:hint="eastAsia" w:ascii="仿宋_GB2312" w:hAnsi="仿宋_GB2312" w:cs="仿宋_GB2312"/>
          <w:szCs w:val="32"/>
          <w:lang w:bidi="ar"/>
        </w:rPr>
        <w:t>标识</w:t>
      </w:r>
      <w:r>
        <w:rPr>
          <w:rFonts w:hint="eastAsia" w:ascii="仿宋_GB2312" w:hAnsi="仿宋_GB2312" w:cs="仿宋_GB2312"/>
          <w:szCs w:val="32"/>
          <w:lang w:eastAsia="zh-CN" w:bidi="ar"/>
        </w:rPr>
        <w:t>。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编制</w:t>
      </w:r>
      <w:r>
        <w:rPr>
          <w:rFonts w:hint="eastAsia" w:ascii="仿宋_GB2312" w:hAnsi="仿宋_GB2312" w:cs="仿宋_GB2312"/>
          <w:szCs w:val="32"/>
          <w:lang w:eastAsia="zh-CN" w:bidi="ar"/>
        </w:rPr>
        <w:t>西城</w:t>
      </w:r>
      <w:r>
        <w:rPr>
          <w:rFonts w:hint="eastAsia" w:ascii="仿宋_GB2312" w:hAnsi="仿宋_GB2312" w:cs="仿宋_GB2312"/>
          <w:szCs w:val="32"/>
          <w:lang w:bidi="ar"/>
        </w:rPr>
        <w:t>非遗地图</w:t>
      </w:r>
      <w:r>
        <w:rPr>
          <w:rFonts w:hint="eastAsia" w:ascii="仿宋_GB2312" w:hAnsi="仿宋_GB2312" w:cs="仿宋_GB2312"/>
          <w:szCs w:val="32"/>
          <w:lang w:eastAsia="zh-CN" w:bidi="ar"/>
        </w:rPr>
        <w:t>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实现无形资源可视化、空间化表达</w:t>
      </w:r>
      <w:r>
        <w:rPr>
          <w:rFonts w:hint="eastAsia" w:ascii="仿宋_GB2312" w:hAnsi="仿宋_GB2312" w:cs="仿宋_GB2312"/>
          <w:szCs w:val="32"/>
          <w:lang w:eastAsia="zh-CN" w:bidi="ar"/>
        </w:rPr>
        <w:t>。</w:t>
      </w:r>
      <w:r>
        <w:rPr>
          <w:rFonts w:hint="eastAsia" w:ascii="仿宋_GB2312" w:hAnsi="仿宋_GB2312" w:cs="仿宋_GB2312"/>
          <w:szCs w:val="32"/>
          <w:lang w:bidi="ar"/>
        </w:rPr>
        <w:t>引导非遗保护项目借助短视频、直播、电商平台等</w:t>
      </w:r>
      <w:r>
        <w:rPr>
          <w:rFonts w:hint="eastAsia" w:ascii="仿宋_GB2312" w:hAnsi="仿宋_GB2312" w:cs="仿宋_GB2312"/>
          <w:szCs w:val="32"/>
          <w:lang w:eastAsia="zh-CN" w:bidi="ar"/>
        </w:rPr>
        <w:t>拓宽传播渠道</w:t>
      </w:r>
      <w:r>
        <w:rPr>
          <w:rFonts w:hint="eastAsia" w:ascii="仿宋_GB2312" w:hAnsi="仿宋_GB2312" w:cs="仿宋_GB2312"/>
          <w:szCs w:val="32"/>
          <w:lang w:bidi="ar"/>
        </w:rPr>
        <w:t>。</w:t>
      </w:r>
      <w:r>
        <w:rPr>
          <w:rFonts w:hint="eastAsia" w:ascii="仿宋_GB2312" w:hAnsi="仿宋_GB2312" w:cs="仿宋_GB2312"/>
          <w:lang w:val="en-US" w:eastAsia="zh-CN"/>
        </w:rPr>
        <w:t>鼓励</w:t>
      </w:r>
      <w:r>
        <w:rPr>
          <w:rFonts w:hint="eastAsia" w:ascii="仿宋_GB2312" w:hAnsi="仿宋_GB2312" w:cs="仿宋_GB2312"/>
          <w:szCs w:val="32"/>
          <w:lang w:bidi="ar"/>
        </w:rPr>
        <w:t>大栅栏-琉璃厂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丰富</w:t>
      </w:r>
      <w:r>
        <w:rPr>
          <w:rFonts w:hint="eastAsia" w:ascii="仿宋_GB2312" w:hAnsi="仿宋_GB2312" w:cs="仿宋_GB2312"/>
          <w:lang w:val="en-US" w:eastAsia="zh-CN"/>
        </w:rPr>
        <w:t>特色</w:t>
      </w:r>
      <w:r>
        <w:rPr>
          <w:rFonts w:hint="eastAsia" w:ascii="仿宋_GB2312" w:hAnsi="仿宋_GB2312" w:cs="仿宋_GB2312"/>
        </w:rPr>
        <w:t>非遗文化</w:t>
      </w:r>
      <w:r>
        <w:rPr>
          <w:rFonts w:hint="eastAsia" w:ascii="仿宋_GB2312" w:hAnsi="仿宋_GB2312" w:cs="仿宋_GB2312"/>
          <w:lang w:val="en-US" w:eastAsia="zh-CN"/>
        </w:rPr>
        <w:t>旅游</w:t>
      </w:r>
      <w:r>
        <w:rPr>
          <w:rFonts w:hint="eastAsia" w:ascii="仿宋_GB2312" w:hAnsi="仿宋_GB2312" w:cs="仿宋_GB2312"/>
        </w:rPr>
        <w:t>体验</w:t>
      </w:r>
      <w:r>
        <w:rPr>
          <w:rFonts w:hint="eastAsia" w:ascii="仿宋_GB2312" w:hAnsi="仿宋_GB2312" w:cs="仿宋_GB2312"/>
          <w:lang w:val="en-US" w:eastAsia="zh-CN"/>
        </w:rPr>
        <w:t>产品</w:t>
      </w:r>
      <w:r>
        <w:rPr>
          <w:rFonts w:hint="eastAsia" w:ascii="仿宋_GB2312" w:hAnsi="仿宋_GB2312" w:cs="仿宋_GB2312"/>
        </w:rPr>
        <w:t>。</w:t>
      </w:r>
      <w:bookmarkEnd w:id="49"/>
      <w:bookmarkEnd w:id="50"/>
      <w:r>
        <w:rPr>
          <w:rFonts w:hint="eastAsia" w:ascii="仿宋_GB2312" w:hAnsi="仿宋_GB2312" w:cs="仿宋_GB2312"/>
          <w:szCs w:val="32"/>
          <w:lang w:bidi="ar"/>
        </w:rPr>
        <w:t>深化“西城非遗万象馆”建设，推动非遗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与</w:t>
      </w:r>
      <w:r>
        <w:rPr>
          <w:rFonts w:hint="eastAsia" w:ascii="仿宋_GB2312" w:hAnsi="仿宋_GB2312" w:cs="仿宋_GB2312"/>
          <w:szCs w:val="32"/>
          <w:lang w:bidi="ar"/>
        </w:rPr>
        <w:t>数字技术深度融合。探索“非遗+”创新发展路径，开发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既</w:t>
      </w:r>
      <w:r>
        <w:rPr>
          <w:rFonts w:hint="eastAsia" w:ascii="仿宋_GB2312" w:hAnsi="仿宋_GB2312" w:cs="仿宋_GB2312"/>
          <w:szCs w:val="32"/>
          <w:lang w:bidi="ar"/>
        </w:rPr>
        <w:t>展现技艺传承、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又契合时代审美</w:t>
      </w:r>
      <w:r>
        <w:rPr>
          <w:rFonts w:hint="eastAsia" w:ascii="仿宋_GB2312" w:hAnsi="仿宋_GB2312" w:cs="仿宋_GB2312"/>
          <w:szCs w:val="32"/>
          <w:lang w:bidi="ar"/>
        </w:rPr>
        <w:t>的多元产品</w:t>
      </w:r>
      <w:r>
        <w:rPr>
          <w:rFonts w:hint="eastAsia" w:ascii="仿宋_GB2312" w:hAnsi="仿宋_GB2312" w:cs="仿宋_GB2312"/>
          <w:szCs w:val="32"/>
          <w:lang w:eastAsia="zh-CN" w:bidi="ar"/>
        </w:rPr>
        <w:t>，</w:t>
      </w:r>
      <w:r>
        <w:rPr>
          <w:rFonts w:hint="eastAsia"/>
          <w:lang w:val="en-US" w:eastAsia="zh-CN"/>
        </w:rPr>
        <w:t>推动</w:t>
      </w:r>
      <w:r>
        <w:rPr>
          <w:rFonts w:hint="eastAsia"/>
        </w:rPr>
        <w:t>非遗融入现代生活，</w:t>
      </w:r>
      <w:r>
        <w:rPr>
          <w:rFonts w:hint="eastAsia"/>
          <w:lang w:val="en-US" w:eastAsia="zh-CN"/>
        </w:rPr>
        <w:t>服务美好生活</w:t>
      </w:r>
      <w:r>
        <w:rPr>
          <w:rFonts w:hint="eastAsia"/>
        </w:rPr>
        <w:t>。</w:t>
      </w:r>
      <w:bookmarkStart w:id="51" w:name="_Toc1917"/>
      <w:bookmarkStart w:id="52" w:name="_Toc25792"/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lang w:eastAsia="zh"/>
        </w:rPr>
      </w:pPr>
      <w:r>
        <w:rPr>
          <w:rStyle w:val="39"/>
          <w:rFonts w:hint="eastAsia"/>
          <w:lang w:val="en-US" w:eastAsia="zh-CN"/>
        </w:rPr>
        <w:t>13.</w:t>
      </w:r>
      <w:r>
        <w:rPr>
          <w:rStyle w:val="39"/>
          <w:rFonts w:hint="eastAsia"/>
        </w:rPr>
        <w:t>推进活态传承和社会化发展</w:t>
      </w:r>
      <w:bookmarkEnd w:id="51"/>
      <w:bookmarkEnd w:id="52"/>
      <w:r>
        <w:rPr>
          <w:rStyle w:val="39"/>
          <w:rFonts w:hint="eastAsia" w:eastAsia="楷体"/>
          <w:lang w:eastAsia="zh-CN"/>
        </w:rPr>
        <w:t>。</w:t>
      </w:r>
      <w:r>
        <w:rPr>
          <w:rFonts w:hint="eastAsia"/>
        </w:rPr>
        <w:t>围绕</w:t>
      </w:r>
      <w:r>
        <w:rPr>
          <w:rFonts w:hint="eastAsia"/>
          <w:lang w:eastAsia="zh-CN"/>
        </w:rPr>
        <w:t>传统节日、文化和自然遗产日、</w:t>
      </w:r>
      <w:r>
        <w:rPr>
          <w:rFonts w:hint="eastAsia"/>
          <w:lang w:val="en-US" w:eastAsia="zh-CN"/>
        </w:rPr>
        <w:t>北京</w:t>
      </w:r>
      <w:r>
        <w:rPr>
          <w:rFonts w:hint="eastAsia"/>
          <w:lang w:eastAsia="zh-CN"/>
        </w:rPr>
        <w:t>中轴线保护等主题</w:t>
      </w:r>
      <w:r>
        <w:rPr>
          <w:rFonts w:hint="eastAsia"/>
        </w:rPr>
        <w:t>，办好厂甸庙会、西城非遗演出季、二十四节气文化沙龙、</w:t>
      </w:r>
      <w:r>
        <w:rPr>
          <w:rFonts w:hint="eastAsia"/>
          <w:lang w:eastAsia="zh-CN"/>
        </w:rPr>
        <w:t>非遗夏令营、非遗传承志愿者招募、非遗生活荟</w:t>
      </w:r>
      <w:r>
        <w:rPr>
          <w:rFonts w:hint="eastAsia"/>
        </w:rPr>
        <w:t>等品牌活动。</w:t>
      </w:r>
      <w:r>
        <w:rPr>
          <w:rFonts w:hint="eastAsia"/>
          <w:lang w:eastAsia="zh-CN"/>
        </w:rPr>
        <w:t>开展</w:t>
      </w:r>
      <w:r>
        <w:rPr>
          <w:rFonts w:hint="eastAsia"/>
        </w:rPr>
        <w:t>“</w:t>
      </w:r>
      <w:r>
        <w:t>非遗</w:t>
      </w:r>
      <w:r>
        <w:rPr>
          <w:rFonts w:hint="eastAsia"/>
          <w:lang w:val="en-US" w:eastAsia="zh-CN"/>
        </w:rPr>
        <w:t>在</w:t>
      </w:r>
      <w:r>
        <w:t>校园</w:t>
      </w:r>
      <w:r>
        <w:rPr>
          <w:rFonts w:hint="eastAsia"/>
        </w:rPr>
        <w:t>”“非遗在社区”</w:t>
      </w:r>
      <w:r>
        <w:rPr>
          <w:rFonts w:hint="eastAsia"/>
          <w:lang w:val="en-US" w:eastAsia="zh-CN"/>
        </w:rPr>
        <w:t>活动，推动非遗融入</w:t>
      </w:r>
      <w:r>
        <w:rPr>
          <w:rFonts w:hint="eastAsia"/>
        </w:rPr>
        <w:t>景区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街区、商圈</w:t>
      </w:r>
      <w:r>
        <w:rPr>
          <w:rFonts w:hint="eastAsia"/>
        </w:rPr>
        <w:t>等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拓展非遗主题的沉浸式消费场景，推动非遗与旅游深度融合发展</w:t>
      </w:r>
      <w:r>
        <w:rPr>
          <w:rFonts w:hint="eastAsia"/>
        </w:rPr>
        <w:t>。</w:t>
      </w:r>
      <w:r>
        <w:rPr>
          <w:rFonts w:hint="eastAsia" w:ascii="仿宋_GB2312" w:hAnsi="仿宋_GB2312" w:cs="仿宋_GB2312"/>
          <w:szCs w:val="32"/>
          <w:lang w:eastAsia="zh-CN" w:bidi="ar"/>
        </w:rPr>
        <w:t>完善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非遗志愿者</w:t>
      </w:r>
      <w:r>
        <w:rPr>
          <w:rFonts w:hint="eastAsia" w:ascii="仿宋_GB2312" w:hAnsi="仿宋_GB2312" w:cs="仿宋_GB2312"/>
          <w:szCs w:val="32"/>
          <w:lang w:eastAsia="zh-CN" w:bidi="ar"/>
        </w:rPr>
        <w:t>培训体系</w:t>
      </w:r>
      <w:r>
        <w:rPr>
          <w:rFonts w:hint="eastAsia" w:ascii="仿宋_GB2312" w:hAnsi="仿宋_GB2312" w:cs="仿宋_GB2312"/>
          <w:szCs w:val="32"/>
          <w:lang w:eastAsia="zh" w:bidi="ar"/>
        </w:rPr>
        <w:t>，</w:t>
      </w:r>
      <w:r>
        <w:rPr>
          <w:rFonts w:ascii="仿宋_GB2312" w:hAnsi="仿宋_GB2312" w:eastAsia="仿宋_GB2312" w:cs="Times New Roman"/>
          <w:sz w:val="32"/>
        </w:rPr>
        <w:t>健全招募、培训、激励机制，</w:t>
      </w:r>
      <w:r>
        <w:rPr>
          <w:rFonts w:hint="eastAsia" w:ascii="仿宋_GB2312" w:hAnsi="仿宋_GB2312" w:cs="仿宋_GB2312"/>
          <w:szCs w:val="32"/>
          <w:lang w:eastAsia="zh-CN" w:bidi="ar"/>
        </w:rPr>
        <w:t>壮大</w:t>
      </w:r>
      <w:r>
        <w:rPr>
          <w:rFonts w:hint="eastAsia" w:ascii="仿宋_GB2312" w:hAnsi="仿宋_GB2312" w:cs="仿宋_GB2312"/>
          <w:szCs w:val="32"/>
          <w:lang w:eastAsia="zh" w:bidi="ar"/>
        </w:rPr>
        <w:t>志愿服务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队伍。</w:t>
      </w:r>
      <w:r>
        <w:rPr>
          <w:rFonts w:hint="eastAsia"/>
          <w:lang w:eastAsia="zh"/>
        </w:rPr>
        <w:t>发挥区非遗联席会的作用，完善非遗保护工作专家库建设。</w:t>
      </w:r>
    </w:p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四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优化演艺发展新生态</w:t>
      </w:r>
      <w:bookmarkEnd w:id="38"/>
    </w:p>
    <w:bookmarkEnd w:id="39"/>
    <w:bookmarkEnd w:id="40"/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firstLine="640"/>
        <w:textAlignment w:val="auto"/>
        <w:rPr>
          <w:rFonts w:hint="eastAsia" w:ascii="仿宋_GB2312" w:hAnsi="仿宋_GB2312" w:cs="仿宋_GB2312"/>
          <w:szCs w:val="32"/>
          <w:lang w:eastAsia="zh" w:bidi="ar"/>
        </w:rPr>
      </w:pPr>
      <w:bookmarkStart w:id="53" w:name="_Toc31532"/>
      <w:bookmarkStart w:id="54" w:name="_Toc19488"/>
      <w:bookmarkStart w:id="55" w:name="_Hlk211007325"/>
      <w:r>
        <w:rPr>
          <w:rStyle w:val="39"/>
          <w:rFonts w:hint="eastAsia"/>
          <w:lang w:val="en-US" w:eastAsia="zh-CN"/>
        </w:rPr>
        <w:t>8.</w:t>
      </w:r>
      <w:r>
        <w:rPr>
          <w:rStyle w:val="39"/>
          <w:rFonts w:hint="eastAsia"/>
        </w:rPr>
        <w:t>打造</w:t>
      </w:r>
      <w:r>
        <w:rPr>
          <w:rStyle w:val="39"/>
          <w:rFonts w:hint="eastAsia" w:eastAsia="楷体"/>
          <w:lang w:val="en-US" w:eastAsia="zh-CN"/>
        </w:rPr>
        <w:t>更多</w:t>
      </w:r>
      <w:r>
        <w:rPr>
          <w:rStyle w:val="39"/>
          <w:rFonts w:hint="eastAsia"/>
        </w:rPr>
        <w:t>西城特色原创作品</w:t>
      </w:r>
      <w:bookmarkEnd w:id="53"/>
      <w:bookmarkEnd w:id="54"/>
      <w:bookmarkEnd w:id="55"/>
      <w:r>
        <w:rPr>
          <w:rStyle w:val="39"/>
          <w:rFonts w:hint="eastAsia" w:eastAsia="楷体"/>
          <w:lang w:eastAsia="zh-CN"/>
        </w:rPr>
        <w:t>。</w:t>
      </w:r>
      <w:r>
        <w:rPr>
          <w:rFonts w:hint="eastAsia" w:ascii="仿宋_GB2312" w:hAnsi="仿宋_GB2312" w:cs="仿宋_GB2312"/>
          <w:szCs w:val="32"/>
          <w:lang w:eastAsia="zh" w:bidi="ar"/>
        </w:rPr>
        <w:t>鼓励“西城人写世界事”“世界人写西城事”</w:t>
      </w:r>
      <w:r>
        <w:rPr>
          <w:rFonts w:hint="eastAsia" w:ascii="仿宋_GB2312" w:hAnsi="仿宋_GB2312" w:cs="仿宋_GB2312"/>
          <w:szCs w:val="32"/>
          <w:lang w:bidi="ar"/>
        </w:rPr>
        <w:t>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创作紧跟</w:t>
      </w:r>
      <w:r>
        <w:rPr>
          <w:rFonts w:hint="eastAsia" w:ascii="仿宋_GB2312" w:hAnsi="仿宋_GB2312" w:cs="仿宋_GB2312"/>
          <w:szCs w:val="32"/>
          <w:lang w:bidi="ar"/>
        </w:rPr>
        <w:t>时代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脉搏</w:t>
      </w:r>
      <w:r>
        <w:rPr>
          <w:rFonts w:hint="eastAsia" w:ascii="仿宋_GB2312" w:hAnsi="仿宋_GB2312" w:cs="仿宋_GB2312"/>
          <w:szCs w:val="32"/>
          <w:lang w:eastAsia="zh-CN" w:bidi="ar"/>
        </w:rPr>
        <w:t>、</w:t>
      </w:r>
      <w:r>
        <w:rPr>
          <w:rFonts w:hint="eastAsia" w:ascii="仿宋_GB2312" w:hAnsi="仿宋_GB2312" w:cs="仿宋_GB2312"/>
          <w:szCs w:val="32"/>
          <w:lang w:bidi="ar"/>
        </w:rPr>
        <w:t>展现百姓生活</w:t>
      </w:r>
      <w:r>
        <w:rPr>
          <w:rFonts w:hint="eastAsia" w:ascii="仿宋_GB2312" w:hAnsi="仿宋_GB2312" w:cs="仿宋_GB2312"/>
          <w:szCs w:val="32"/>
          <w:lang w:eastAsia="zh-CN" w:bidi="ar"/>
        </w:rPr>
        <w:t>、传递</w:t>
      </w:r>
      <w:r>
        <w:rPr>
          <w:rFonts w:hint="eastAsia" w:ascii="仿宋_GB2312" w:hAnsi="仿宋_GB2312" w:cs="仿宋_GB2312"/>
          <w:szCs w:val="32"/>
          <w:lang w:bidi="ar"/>
        </w:rPr>
        <w:t>西城温度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的“西城原创”文化精品</w:t>
      </w:r>
      <w:r>
        <w:rPr>
          <w:rFonts w:hint="eastAsia" w:ascii="仿宋_GB2312" w:hAnsi="仿宋_GB2312" w:cs="仿宋_GB2312"/>
          <w:szCs w:val="32"/>
          <w:lang w:eastAsia="zh" w:bidi="ar"/>
        </w:rPr>
        <w:t>。围绕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纪念中国工农红军长征胜利90周年、庆祝中国人民解放军建军100周年、庆祝改革开放50周年、庆祝中华人民共和国成立</w:t>
      </w:r>
      <w:r>
        <w:rPr>
          <w:rFonts w:hint="eastAsia" w:ascii="仿宋_GB2312" w:hAnsi="仿宋_GB2312" w:cs="仿宋_GB2312"/>
          <w:szCs w:val="32"/>
          <w:lang w:eastAsia="zh" w:bidi="ar"/>
        </w:rPr>
        <w:t>80周年等重大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时间</w:t>
      </w:r>
      <w:r>
        <w:rPr>
          <w:rFonts w:hint="eastAsia" w:ascii="仿宋_GB2312" w:hAnsi="仿宋_GB2312" w:cs="仿宋_GB2312"/>
          <w:szCs w:val="32"/>
          <w:lang w:eastAsia="zh" w:bidi="ar"/>
        </w:rPr>
        <w:t>节点，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着力推出更多彰显时代特征、中国特色、西城特质的现实题材主旋律作品</w:t>
      </w:r>
      <w:r>
        <w:rPr>
          <w:rFonts w:hint="eastAsia" w:ascii="仿宋_GB2312" w:hAnsi="仿宋_GB2312" w:cs="仿宋_GB2312"/>
          <w:szCs w:val="32"/>
          <w:lang w:eastAsia="zh" w:bidi="ar"/>
        </w:rPr>
        <w:t>。深化与国家院团和院校合作</w:t>
      </w:r>
      <w:r>
        <w:rPr>
          <w:rFonts w:hint="eastAsia" w:ascii="仿宋_GB2312" w:hAnsi="仿宋_GB2312" w:cs="仿宋_GB2312"/>
          <w:szCs w:val="32"/>
          <w:lang w:bidi="ar"/>
        </w:rPr>
        <w:t>，</w:t>
      </w:r>
      <w:r>
        <w:rPr>
          <w:rFonts w:hint="eastAsia" w:ascii="仿宋_GB2312" w:hAnsi="仿宋_GB2312" w:cs="仿宋_GB2312"/>
          <w:szCs w:val="32"/>
          <w:lang w:eastAsia="zh" w:bidi="ar"/>
        </w:rPr>
        <w:t>广泛汇集优秀文化人才，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大力</w:t>
      </w:r>
      <w:r>
        <w:rPr>
          <w:rFonts w:hint="eastAsia" w:ascii="仿宋_GB2312" w:hAnsi="仿宋_GB2312" w:cs="仿宋_GB2312"/>
          <w:szCs w:val="32"/>
          <w:lang w:eastAsia="zh" w:bidi="ar"/>
        </w:rPr>
        <w:t>开展群众性文化活动，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让市民享受文化建设成果。通过政府引导、全民参与，推动文艺创作从专业小众走向大众共创，</w:t>
      </w:r>
      <w:r>
        <w:rPr>
          <w:rFonts w:hint="eastAsia" w:ascii="仿宋_GB2312" w:hAnsi="仿宋_GB2312" w:cs="仿宋_GB2312"/>
          <w:szCs w:val="32"/>
          <w:lang w:eastAsia="zh" w:bidi="ar"/>
        </w:rPr>
        <w:t>繁荣互联网条件下新大众文艺。</w:t>
      </w:r>
      <w:bookmarkStart w:id="56" w:name="_Toc15857"/>
      <w:bookmarkStart w:id="57" w:name="_Toc8744"/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firstLine="640"/>
        <w:textAlignment w:val="auto"/>
        <w:rPr>
          <w:rFonts w:hint="eastAsia"/>
        </w:rPr>
      </w:pPr>
      <w:r>
        <w:rPr>
          <w:rStyle w:val="39"/>
          <w:rFonts w:hint="eastAsia"/>
          <w:lang w:val="en-US" w:eastAsia="zh-CN"/>
        </w:rPr>
        <w:t>9.</w:t>
      </w:r>
      <w:r>
        <w:rPr>
          <w:rStyle w:val="39"/>
          <w:rFonts w:hint="eastAsia"/>
        </w:rPr>
        <w:t>助力天桥演艺区</w:t>
      </w:r>
      <w:r>
        <w:rPr>
          <w:rStyle w:val="39"/>
          <w:rFonts w:hint="eastAsia"/>
          <w:lang w:val="en-US" w:eastAsia="zh-CN"/>
        </w:rPr>
        <w:t>集聚</w:t>
      </w:r>
      <w:r>
        <w:rPr>
          <w:rStyle w:val="39"/>
          <w:rFonts w:hint="eastAsia"/>
        </w:rPr>
        <w:t>发展</w:t>
      </w:r>
      <w:bookmarkEnd w:id="56"/>
      <w:bookmarkEnd w:id="57"/>
      <w:r>
        <w:rPr>
          <w:rStyle w:val="39"/>
          <w:rFonts w:hint="eastAsia" w:eastAsia="楷体"/>
          <w:lang w:eastAsia="zh-CN"/>
        </w:rPr>
        <w:t>。</w:t>
      </w:r>
      <w:r>
        <w:rPr>
          <w:rFonts w:hint="eastAsia"/>
          <w:lang w:val="en-US" w:eastAsia="zh-CN"/>
        </w:rPr>
        <w:t>支持</w:t>
      </w:r>
      <w:r>
        <w:rPr>
          <w:rFonts w:hint="eastAsia"/>
        </w:rPr>
        <w:t>天桥</w:t>
      </w:r>
      <w:r>
        <w:rPr>
          <w:rFonts w:hint="eastAsia"/>
          <w:lang w:val="en-US" w:eastAsia="zh-CN"/>
        </w:rPr>
        <w:t>演艺区</w:t>
      </w:r>
      <w:r>
        <w:rPr>
          <w:rFonts w:hint="eastAsia"/>
        </w:rPr>
        <w:t>核心区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联动区、拓展区三大功能空间建设，优化资源统筹，构建天桥现代演艺集聚区</w:t>
      </w:r>
      <w:r>
        <w:rPr>
          <w:rFonts w:hint="eastAsia"/>
        </w:rPr>
        <w:t>“演艺+”多层次多节点空间新格局。</w:t>
      </w:r>
      <w:r>
        <w:rPr>
          <w:rFonts w:hint="eastAsia"/>
          <w:lang w:val="en-US" w:eastAsia="zh-CN"/>
        </w:rPr>
        <w:t>支持</w:t>
      </w:r>
      <w:r>
        <w:rPr>
          <w:rFonts w:hint="eastAsia" w:ascii="仿宋_GB2312" w:hAnsi="仿宋_GB2312" w:cs="仿宋_GB2312"/>
          <w:szCs w:val="32"/>
        </w:rPr>
        <w:t>天桥艺术中心</w:t>
      </w:r>
      <w:r>
        <w:rPr>
          <w:rFonts w:hint="eastAsia" w:ascii="仿宋_GB2312" w:hAnsi="仿宋_GB2312" w:cs="仿宋_GB2312"/>
          <w:szCs w:val="32"/>
          <w:lang w:val="en-US" w:eastAsia="zh-CN"/>
        </w:rPr>
        <w:t>建设</w:t>
      </w:r>
      <w:r>
        <w:rPr>
          <w:rFonts w:hint="eastAsia" w:ascii="仿宋_GB2312" w:hAnsi="仿宋_GB2312" w:cs="仿宋_GB2312"/>
          <w:szCs w:val="32"/>
        </w:rPr>
        <w:t>中国音乐剧基地，</w:t>
      </w:r>
      <w:r>
        <w:rPr>
          <w:rFonts w:hint="eastAsia" w:ascii="仿宋_GB2312" w:hAnsi="仿宋_GB2312" w:cs="仿宋_GB2312"/>
          <w:szCs w:val="32"/>
          <w:lang w:val="en-US" w:eastAsia="zh-CN"/>
        </w:rPr>
        <w:t>打造</w:t>
      </w:r>
      <w:r>
        <w:rPr>
          <w:rFonts w:hint="eastAsia" w:ascii="仿宋_GB2312" w:hAnsi="仿宋_GB2312" w:cs="仿宋_GB2312"/>
          <w:szCs w:val="32"/>
        </w:rPr>
        <w:t>国家级音乐剧产业发展服务平台</w:t>
      </w:r>
      <w:r>
        <w:rPr>
          <w:rFonts w:hint="eastAsia" w:ascii="仿宋_GB2312" w:hAnsi="仿宋_GB2312" w:cs="仿宋_GB2312"/>
          <w:szCs w:val="32"/>
          <w:lang w:val="en-US" w:eastAsia="zh-CN"/>
        </w:rPr>
        <w:t>。加强</w:t>
      </w:r>
      <w:r>
        <w:rPr>
          <w:rFonts w:hint="eastAsia" w:asciiTheme="minorHAnsi"/>
        </w:rPr>
        <w:t>天桥艺术中心、天桥剧场、万胜剧场</w:t>
      </w:r>
      <w:r>
        <w:rPr>
          <w:rFonts w:hint="eastAsia" w:asciiTheme="minorHAnsi"/>
          <w:lang w:eastAsia="zh-CN"/>
        </w:rPr>
        <w:t>等</w:t>
      </w:r>
      <w:r>
        <w:rPr>
          <w:rFonts w:hint="eastAsia" w:asciiTheme="minorHAnsi"/>
        </w:rPr>
        <w:t>演出单位和艺术类院团</w:t>
      </w:r>
      <w:r>
        <w:rPr>
          <w:rFonts w:hint="eastAsia" w:asciiTheme="minorHAnsi"/>
          <w:lang w:eastAsia="zh-CN"/>
        </w:rPr>
        <w:t>协同联动，持续</w:t>
      </w:r>
      <w:r>
        <w:rPr>
          <w:rFonts w:hint="eastAsia" w:asciiTheme="minorHAnsi"/>
        </w:rPr>
        <w:t>开展惠民文化活动，</w:t>
      </w:r>
      <w:r>
        <w:rPr>
          <w:rFonts w:hint="eastAsia"/>
        </w:rPr>
        <w:t>丰富群众文化生活，提升参与度和美誉度。</w:t>
      </w:r>
      <w:bookmarkStart w:id="58" w:name="_Toc17546"/>
      <w:bookmarkStart w:id="59" w:name="_Toc7835"/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firstLine="640"/>
        <w:textAlignment w:val="auto"/>
        <w:rPr>
          <w:rFonts w:hint="eastAsia"/>
        </w:rPr>
      </w:pPr>
      <w:r>
        <w:rPr>
          <w:rStyle w:val="39"/>
          <w:rFonts w:hint="eastAsia"/>
          <w:lang w:val="en-US" w:eastAsia="zh-CN"/>
        </w:rPr>
        <w:t>10.引导</w:t>
      </w:r>
      <w:r>
        <w:rPr>
          <w:rStyle w:val="39"/>
          <w:rFonts w:hint="eastAsia"/>
        </w:rPr>
        <w:t>演艺新空间</w:t>
      </w:r>
      <w:bookmarkEnd w:id="58"/>
      <w:bookmarkEnd w:id="59"/>
      <w:r>
        <w:rPr>
          <w:rStyle w:val="39"/>
          <w:rFonts w:hint="eastAsia"/>
          <w:lang w:val="en-US" w:eastAsia="zh-CN"/>
        </w:rPr>
        <w:t>多业态融合</w:t>
      </w:r>
      <w:r>
        <w:rPr>
          <w:rStyle w:val="39"/>
          <w:rFonts w:hint="eastAsia" w:eastAsia="楷体"/>
          <w:lang w:eastAsia="zh-CN"/>
        </w:rPr>
        <w:t>。</w:t>
      </w:r>
      <w:r>
        <w:rPr>
          <w:rFonts w:hint="eastAsia"/>
        </w:rPr>
        <w:t>挖掘区内空间资源</w:t>
      </w:r>
      <w:r>
        <w:rPr>
          <w:rFonts w:hint="eastAsia"/>
          <w:lang w:eastAsia="zh-CN"/>
        </w:rPr>
        <w:t>，培育</w:t>
      </w:r>
      <w:r>
        <w:rPr>
          <w:rFonts w:hint="eastAsia"/>
          <w:lang w:val="en-US" w:eastAsia="zh-CN"/>
        </w:rPr>
        <w:t>认定</w:t>
      </w:r>
      <w:r>
        <w:rPr>
          <w:rFonts w:hint="eastAsia"/>
          <w:lang w:eastAsia="zh-CN"/>
        </w:rPr>
        <w:t>一批专业性高、市场运作能力强、带动作用突出的演艺新空间。</w:t>
      </w:r>
      <w:r>
        <w:rPr>
          <w:rFonts w:hint="eastAsia"/>
        </w:rPr>
        <w:t>支持运营单位引入国内外优秀剧目，推出一批沉浸式、主题性、定制化驻场演出。</w:t>
      </w:r>
      <w:r>
        <w:rPr>
          <w:rFonts w:hint="eastAsia"/>
          <w:lang w:val="en-US" w:eastAsia="zh-CN"/>
        </w:rPr>
        <w:t>推广“演艺</w:t>
      </w:r>
      <w:r>
        <w:rPr>
          <w:rFonts w:hint="eastAsia"/>
        </w:rPr>
        <w:t>+</w:t>
      </w:r>
      <w:r>
        <w:rPr>
          <w:rFonts w:hint="eastAsia"/>
          <w:lang w:val="en-US" w:eastAsia="zh-CN"/>
        </w:rPr>
        <w:t>”模式，</w:t>
      </w:r>
      <w:r>
        <w:rPr>
          <w:rFonts w:hint="eastAsia"/>
        </w:rPr>
        <w:t>联动</w:t>
      </w:r>
      <w:r>
        <w:rPr>
          <w:rFonts w:hint="eastAsia"/>
          <w:lang w:val="en-US" w:eastAsia="zh-CN"/>
        </w:rPr>
        <w:t>酒店、商圈、景区等</w:t>
      </w:r>
      <w:r>
        <w:t>文旅资源，带动区域业态串联发展</w:t>
      </w:r>
      <w:r>
        <w:rPr>
          <w:rFonts w:hint="eastAsia"/>
        </w:rPr>
        <w:t>。鼓励利用虚拟现实、裸眼3D等技术，打造体验式、互动式、沉浸式演艺项目，增强演艺产品的高附加值、高融合性。引导</w:t>
      </w:r>
      <w:r>
        <w:rPr>
          <w:rFonts w:hint="eastAsia"/>
          <w:lang w:val="en-US" w:eastAsia="zh-CN"/>
        </w:rPr>
        <w:t>建立</w:t>
      </w:r>
      <w:r>
        <w:rPr>
          <w:rFonts w:hint="eastAsia"/>
        </w:rPr>
        <w:t>“内容创作-剧目展演-场景运营-品牌打造-外溢辐射”</w:t>
      </w:r>
      <w:r>
        <w:rPr>
          <w:rFonts w:hint="eastAsia"/>
          <w:lang w:eastAsia="zh-CN"/>
        </w:rPr>
        <w:t>于</w:t>
      </w:r>
      <w:r>
        <w:rPr>
          <w:rFonts w:hint="eastAsia"/>
        </w:rPr>
        <w:t>一体的全链条运营模式，构建从剧本孵化、排练、演出到演艺体验消费全生命周期生态。</w:t>
      </w:r>
    </w:p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default"/>
          <w:lang w:val="en-US" w:eastAsia="zh-CN"/>
        </w:rPr>
      </w:pPr>
      <w:bookmarkStart w:id="60" w:name="_Toc16124"/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五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推进多业态深度融合发展</w:t>
      </w:r>
      <w:bookmarkEnd w:id="60"/>
    </w:p>
    <w:p>
      <w:pPr>
        <w:bidi w:val="0"/>
        <w:rPr>
          <w:rFonts w:hint="eastAsia" w:ascii="仿宋_GB2312" w:hAnsi="仿宋_GB2312" w:cs="仿宋_GB2312"/>
          <w:szCs w:val="32"/>
          <w:lang w:bidi="ar"/>
        </w:rPr>
      </w:pPr>
      <w:bookmarkStart w:id="61" w:name="_Toc31570"/>
      <w:bookmarkStart w:id="62" w:name="_Toc23772"/>
      <w:r>
        <w:rPr>
          <w:rStyle w:val="39"/>
          <w:rFonts w:hint="eastAsia" w:ascii="仿宋_GB2312" w:hAnsi="仿宋_GB2312" w:eastAsia="仿宋_GB2312" w:cs="仿宋_GB2312"/>
          <w:lang w:val="en-US" w:eastAsia="zh-CN"/>
        </w:rPr>
        <w:t>14.</w:t>
      </w:r>
      <w:r>
        <w:rPr>
          <w:rStyle w:val="39"/>
          <w:rFonts w:hint="eastAsia" w:ascii="仿宋_GB2312" w:hAnsi="仿宋_GB2312" w:eastAsia="仿宋_GB2312" w:cs="仿宋_GB2312"/>
          <w:lang w:eastAsia="zh-CN"/>
        </w:rPr>
        <w:t>打造文旅消费</w:t>
      </w:r>
      <w:r>
        <w:rPr>
          <w:rStyle w:val="39"/>
          <w:rFonts w:hint="eastAsia" w:ascii="仿宋_GB2312" w:hAnsi="仿宋_GB2312" w:eastAsia="仿宋_GB2312" w:cs="仿宋_GB2312"/>
          <w:lang w:val="en-US" w:eastAsia="zh-CN"/>
        </w:rPr>
        <w:t>新业态、</w:t>
      </w:r>
      <w:r>
        <w:rPr>
          <w:rStyle w:val="39"/>
          <w:rFonts w:hint="eastAsia" w:ascii="仿宋_GB2312" w:hAnsi="仿宋_GB2312" w:eastAsia="仿宋_GB2312" w:cs="仿宋_GB2312"/>
          <w:lang w:eastAsia="zh-CN"/>
        </w:rPr>
        <w:t>新场景。</w:t>
      </w:r>
      <w:bookmarkEnd w:id="61"/>
      <w:bookmarkEnd w:id="62"/>
      <w:r>
        <w:rPr>
          <w:rFonts w:hint="eastAsia" w:ascii="仿宋_GB2312" w:hAnsi="仿宋_GB2312" w:cs="仿宋_GB2312"/>
          <w:szCs w:val="32"/>
          <w:lang w:bidi="ar"/>
        </w:rPr>
        <w:t>坚持“文旅+百业”“百业+文旅”，构建以内容为核心、以场景为载体、以体验为导向的文旅消费新体系。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推进文旅与商业、科技等业态深度融合，</w:t>
      </w:r>
      <w:r>
        <w:rPr>
          <w:rFonts w:hint="eastAsia" w:ascii="仿宋_GB2312" w:hAnsi="仿宋_GB2312" w:cs="仿宋_GB2312"/>
          <w:szCs w:val="32"/>
          <w:lang w:eastAsia="zh" w:bidi="ar"/>
        </w:rPr>
        <w:t>丰富一体化产品供给</w:t>
      </w:r>
      <w:r>
        <w:rPr>
          <w:rFonts w:hint="eastAsia" w:ascii="仿宋_GB2312" w:hAnsi="仿宋_GB2312" w:cs="仿宋_GB2312"/>
          <w:szCs w:val="32"/>
          <w:lang w:eastAsia="zh-CN" w:bidi="ar"/>
        </w:rPr>
        <w:t>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打造覆盖全链条、全时段、全人群的北京‌中轴线文明旅游、智慧旅游、健康旅游、生态旅游新生态。</w:t>
      </w:r>
      <w:r>
        <w:rPr>
          <w:rFonts w:hint="eastAsia"/>
        </w:rPr>
        <w:t>推动文旅产业赋能城市更新，盘活存量空间，拓展可持续、可运营的文旅消费新场景。</w:t>
      </w:r>
      <w:r>
        <w:rPr>
          <w:rFonts w:hint="eastAsia" w:ascii="仿宋_GB2312" w:hAnsi="仿宋_GB2312" w:cs="仿宋_GB2312"/>
          <w:szCs w:val="32"/>
          <w:lang w:eastAsia="zh" w:bidi="ar"/>
        </w:rPr>
        <w:t>以文化承载为依托，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引导</w:t>
      </w:r>
      <w:r>
        <w:rPr>
          <w:rFonts w:hint="eastAsia"/>
          <w:lang w:eastAsia="zh"/>
        </w:rPr>
        <w:t>公园景区</w:t>
      </w:r>
      <w:r>
        <w:rPr>
          <w:rFonts w:hint="eastAsia"/>
          <w:lang w:eastAsia="zh-CN"/>
        </w:rPr>
        <w:t>、</w:t>
      </w:r>
      <w:r>
        <w:rPr>
          <w:rFonts w:hint="eastAsia"/>
          <w:lang w:eastAsia="zh"/>
        </w:rPr>
        <w:t>文化街</w:t>
      </w:r>
      <w:r>
        <w:rPr>
          <w:rFonts w:hint="eastAsia" w:ascii="仿宋_GB2312" w:hAnsi="仿宋_GB2312" w:cs="仿宋_GB2312"/>
          <w:szCs w:val="32"/>
          <w:lang w:eastAsia="zh" w:bidi="ar"/>
        </w:rPr>
        <w:t>区</w:t>
      </w:r>
      <w:r>
        <w:rPr>
          <w:rFonts w:hint="eastAsia" w:ascii="仿宋_GB2312" w:hAnsi="仿宋_GB2312" w:cs="仿宋_GB2312"/>
          <w:szCs w:val="32"/>
          <w:lang w:eastAsia="zh-CN" w:bidi="ar"/>
        </w:rPr>
        <w:t>、</w:t>
      </w:r>
      <w:r>
        <w:rPr>
          <w:rFonts w:hint="eastAsia" w:ascii="仿宋_GB2312" w:hAnsi="仿宋_GB2312" w:cs="仿宋_GB2312"/>
          <w:szCs w:val="32"/>
          <w:lang w:eastAsia="zh" w:bidi="ar"/>
        </w:rPr>
        <w:t>特色商圈</w:t>
      </w:r>
      <w:r>
        <w:rPr>
          <w:rFonts w:hint="eastAsia" w:ascii="仿宋_GB2312" w:hAnsi="仿宋_GB2312" w:cs="仿宋_GB2312"/>
          <w:szCs w:val="32"/>
          <w:lang w:eastAsia="zh"/>
        </w:rPr>
        <w:t>因地制宜发展新型特色</w:t>
      </w:r>
      <w:r>
        <w:rPr>
          <w:rFonts w:hint="eastAsia" w:ascii="仿宋_GB2312" w:hAnsi="仿宋_GB2312" w:cs="仿宋_GB2312"/>
          <w:szCs w:val="32"/>
          <w:lang w:val="en-US" w:eastAsia="zh-CN"/>
        </w:rPr>
        <w:t>文化</w:t>
      </w:r>
      <w:r>
        <w:rPr>
          <w:rFonts w:hint="eastAsia" w:ascii="仿宋_GB2312" w:hAnsi="仿宋_GB2312" w:cs="仿宋_GB2312"/>
          <w:szCs w:val="32"/>
          <w:lang w:eastAsia="zh"/>
        </w:rPr>
        <w:t>旅游项目</w:t>
      </w:r>
      <w:r>
        <w:rPr>
          <w:rFonts w:hint="eastAsia" w:ascii="仿宋_GB2312" w:hAnsi="仿宋_GB2312" w:cs="仿宋_GB2312"/>
          <w:szCs w:val="32"/>
          <w:lang w:eastAsia="zh-CN"/>
        </w:rPr>
        <w:t>，</w:t>
      </w:r>
      <w:r>
        <w:rPr>
          <w:rFonts w:hint="eastAsia" w:ascii="仿宋_GB2312" w:hAnsi="仿宋_GB2312" w:cs="仿宋_GB2312"/>
          <w:szCs w:val="32"/>
          <w:lang w:eastAsia="zh" w:bidi="ar"/>
        </w:rPr>
        <w:t>打造</w:t>
      </w:r>
      <w:r>
        <w:rPr>
          <w:rFonts w:hint="eastAsia" w:ascii="仿宋_GB2312" w:hAnsi="仿宋_GB2312" w:cs="仿宋_GB2312"/>
          <w:szCs w:val="32"/>
          <w:lang w:bidi="ar"/>
        </w:rPr>
        <w:t>历史</w:t>
      </w:r>
      <w:r>
        <w:rPr>
          <w:rFonts w:hint="eastAsia" w:ascii="仿宋_GB2312" w:hAnsi="仿宋_GB2312" w:cs="仿宋_GB2312"/>
          <w:szCs w:val="32"/>
          <w:lang w:eastAsia="zh" w:bidi="ar"/>
        </w:rPr>
        <w:t>古韵与现代风情交融的特色体验场景，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建设</w:t>
      </w:r>
      <w:r>
        <w:rPr>
          <w:rFonts w:hint="eastAsia" w:ascii="仿宋_GB2312" w:hAnsi="仿宋_GB2312" w:cs="仿宋_GB2312"/>
          <w:szCs w:val="32"/>
          <w:lang w:eastAsia="zh" w:bidi="ar"/>
        </w:rPr>
        <w:t>“最北京”和“最时尚”的文旅消费地标。</w:t>
      </w:r>
      <w:r>
        <w:rPr>
          <w:rFonts w:hint="eastAsia" w:ascii="仿宋_GB2312" w:hAnsi="仿宋_GB2312" w:cs="仿宋_GB2312"/>
          <w:szCs w:val="32"/>
          <w:lang w:bidi="ar"/>
        </w:rPr>
        <w:t>发挥大吉巷、白塔寺、法源寺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等</w:t>
      </w:r>
      <w:r>
        <w:rPr>
          <w:rFonts w:hint="eastAsia" w:ascii="仿宋_GB2312" w:hAnsi="仿宋_GB2312" w:cs="仿宋_GB2312"/>
          <w:szCs w:val="32"/>
          <w:lang w:bidi="ar"/>
        </w:rPr>
        <w:t>片区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的</w:t>
      </w:r>
      <w:r>
        <w:rPr>
          <w:rFonts w:hint="eastAsia" w:ascii="仿宋_GB2312" w:hAnsi="仿宋_GB2312" w:cs="仿宋_GB2312"/>
          <w:szCs w:val="32"/>
          <w:lang w:bidi="ar"/>
        </w:rPr>
        <w:t>带动作用</w:t>
      </w:r>
      <w:r>
        <w:rPr>
          <w:rFonts w:hint="eastAsia" w:ascii="仿宋_GB2312" w:hAnsi="仿宋_GB2312" w:cs="仿宋_GB2312"/>
          <w:szCs w:val="32"/>
          <w:lang w:eastAsia="zh-CN" w:bidi="ar"/>
        </w:rPr>
        <w:t>，</w:t>
      </w:r>
      <w:r>
        <w:rPr>
          <w:rFonts w:hint="eastAsia" w:ascii="仿宋_GB2312" w:hAnsi="仿宋_GB2312" w:cs="仿宋_GB2312"/>
          <w:szCs w:val="32"/>
          <w:lang w:bidi="ar"/>
        </w:rPr>
        <w:t>发展集文化体验、旅游休闲、商业消费于一体的文商旅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体展</w:t>
      </w:r>
      <w:r>
        <w:rPr>
          <w:rFonts w:hint="eastAsia" w:ascii="仿宋_GB2312" w:hAnsi="仿宋_GB2312" w:cs="仿宋_GB2312"/>
          <w:szCs w:val="32"/>
          <w:lang w:bidi="ar"/>
        </w:rPr>
        <w:t>综合体。</w:t>
      </w:r>
      <w:bookmarkStart w:id="63" w:name="_Toc2414"/>
      <w:bookmarkStart w:id="64" w:name="_Toc377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cs="仿宋_GB2312"/>
          <w:szCs w:val="32"/>
          <w:lang w:bidi="ar"/>
        </w:rPr>
      </w:pPr>
      <w:r>
        <w:rPr>
          <w:rStyle w:val="39"/>
          <w:rFonts w:hint="eastAsia" w:ascii="仿宋_GB2312" w:hAnsi="仿宋_GB2312" w:eastAsia="仿宋_GB2312" w:cs="仿宋_GB2312"/>
          <w:lang w:val="en-US" w:eastAsia="zh-CN"/>
        </w:rPr>
        <w:t>15.</w:t>
      </w:r>
      <w:r>
        <w:rPr>
          <w:rStyle w:val="39"/>
          <w:rFonts w:hint="eastAsia" w:ascii="仿宋_GB2312" w:hAnsi="仿宋_GB2312" w:eastAsia="仿宋_GB2312" w:cs="仿宋_GB2312"/>
          <w:lang w:eastAsia="zh-CN"/>
        </w:rPr>
        <w:t>持续赋能消费升级</w:t>
      </w:r>
      <w:bookmarkEnd w:id="63"/>
      <w:bookmarkEnd w:id="64"/>
      <w:r>
        <w:rPr>
          <w:rStyle w:val="39"/>
          <w:rFonts w:hint="eastAsia" w:ascii="仿宋_GB2312" w:hAnsi="仿宋_GB2312" w:eastAsia="仿宋_GB2312" w:cs="仿宋_GB231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/>
          <w:lang w:val="en-US" w:eastAsia="zh-CN"/>
        </w:rPr>
        <w:t>聚力产业提质，多措并举</w:t>
      </w:r>
      <w:r>
        <w:rPr>
          <w:rFonts w:hint="eastAsia" w:ascii="仿宋_GB2312" w:hAnsi="仿宋_GB2312" w:cs="仿宋_GB2312"/>
          <w:color w:val="000000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/>
          <w:lang w:val="en-US" w:eastAsia="zh-CN"/>
        </w:rPr>
        <w:t>综合施策，激活文旅相关产业发展动能</w:t>
      </w:r>
      <w:r>
        <w:rPr>
          <w:rFonts w:hint="eastAsia" w:ascii="仿宋_GB2312" w:hAnsi="仿宋_GB2312" w:cs="仿宋_GB2312"/>
          <w:color w:val="000000"/>
          <w:sz w:val="32"/>
          <w:szCs w:val="32"/>
          <w:highlight w:val="none"/>
          <w:u w:val="none"/>
          <w:lang w:val="en-US" w:eastAsia="zh-CN"/>
        </w:rPr>
        <w:t>，推进</w:t>
      </w:r>
      <w:r>
        <w:rPr>
          <w:rFonts w:hint="eastAsia" w:eastAsia="仿宋_GB2312" w:cs="仿宋_GB2312"/>
          <w:color w:val="000000"/>
          <w:sz w:val="32"/>
          <w:szCs w:val="32"/>
          <w:highlight w:val="none"/>
          <w:u w:val="none"/>
          <w:lang w:val="en-US" w:eastAsia="zh-CN"/>
        </w:rPr>
        <w:t>住宿业、文化艺术业、娱乐业、旅行社</w:t>
      </w:r>
      <w:r>
        <w:rPr>
          <w:rFonts w:hint="eastAsia" w:cs="仿宋_GB2312"/>
          <w:color w:val="000000"/>
          <w:sz w:val="32"/>
          <w:szCs w:val="32"/>
          <w:highlight w:val="none"/>
          <w:u w:val="none"/>
          <w:lang w:val="en-US" w:eastAsia="zh-CN"/>
        </w:rPr>
        <w:t>及相关服务业增速稳步提升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/>
          <w:lang w:val="en-US" w:eastAsia="zh-CN"/>
        </w:rPr>
        <w:t>。</w:t>
      </w:r>
      <w:r>
        <w:rPr>
          <w:rFonts w:hint="eastAsia" w:ascii="仿宋_GB2312" w:hAnsi="仿宋_GB2312" w:cs="仿宋_GB2312"/>
          <w:szCs w:val="32"/>
          <w:lang w:bidi="ar"/>
        </w:rPr>
        <w:t>鼓励天桥演艺区、北京坊、琉璃厂等打造静美底色的夜游产品，做强“中轴线上夜天桥”品牌，塑造具有首都气质的夜间消费新地标。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主动融入西单、金融街、什刹海、大栅栏、天桥、马连道六大特色消费商圈培育，打造文旅消费场景，丰富文旅产品供给。</w:t>
      </w:r>
      <w:r>
        <w:rPr>
          <w:rFonts w:hint="eastAsia" w:ascii="仿宋_GB2312" w:hAnsi="仿宋_GB2312" w:cs="仿宋_GB2312"/>
          <w:szCs w:val="32"/>
          <w:lang w:bidi="ar"/>
        </w:rPr>
        <w:t>推进文化旅游与健康事业、养老服务深度融合，面向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老年人</w:t>
      </w:r>
      <w:r>
        <w:rPr>
          <w:rFonts w:hint="eastAsia" w:ascii="仿宋_GB2312" w:hAnsi="仿宋_GB2312" w:cs="仿宋_GB2312"/>
          <w:szCs w:val="32"/>
          <w:lang w:bidi="ar"/>
        </w:rPr>
        <w:t>群体提供高品质、体验式、情感化的生活方式新选择。深化与在线文旅及消费平台的合作，</w:t>
      </w:r>
      <w:r>
        <w:rPr>
          <w:rFonts w:hint="eastAsia" w:ascii="仿宋_GB2312" w:hAnsi="仿宋_GB2312" w:cs="仿宋_GB2312"/>
          <w:szCs w:val="32"/>
          <w:lang w:eastAsia="zh-CN" w:bidi="ar"/>
        </w:rPr>
        <w:t>构建</w:t>
      </w:r>
      <w:r>
        <w:rPr>
          <w:rFonts w:hint="eastAsia" w:ascii="仿宋_GB2312" w:hAnsi="仿宋_GB2312" w:cs="仿宋_GB2312"/>
          <w:szCs w:val="32"/>
          <w:lang w:bidi="ar"/>
        </w:rPr>
        <w:t>线上线下</w:t>
      </w:r>
      <w:r>
        <w:rPr>
          <w:rFonts w:hint="eastAsia" w:ascii="仿宋_GB2312" w:hAnsi="仿宋_GB2312" w:cs="仿宋_GB2312"/>
          <w:szCs w:val="32"/>
          <w:lang w:eastAsia="zh-CN" w:bidi="ar"/>
        </w:rPr>
        <w:t>融合</w:t>
      </w:r>
      <w:r>
        <w:rPr>
          <w:rFonts w:hint="eastAsia" w:ascii="仿宋_GB2312" w:hAnsi="仿宋_GB2312" w:cs="仿宋_GB2312"/>
          <w:szCs w:val="32"/>
          <w:lang w:bidi="ar"/>
        </w:rPr>
        <w:t>的主题线路</w:t>
      </w:r>
      <w:r>
        <w:rPr>
          <w:rFonts w:hint="eastAsia" w:ascii="仿宋_GB2312" w:hAnsi="仿宋_GB2312" w:cs="仿宋_GB2312"/>
          <w:szCs w:val="32"/>
          <w:lang w:eastAsia="zh-CN" w:bidi="ar"/>
        </w:rPr>
        <w:t>体系</w:t>
      </w:r>
      <w:r>
        <w:rPr>
          <w:rFonts w:hint="eastAsia" w:ascii="仿宋_GB2312" w:hAnsi="仿宋_GB2312" w:cs="仿宋_GB2312"/>
          <w:szCs w:val="32"/>
          <w:lang w:bidi="ar"/>
        </w:rPr>
        <w:t>，</w:t>
      </w:r>
      <w:r>
        <w:rPr>
          <w:rFonts w:hint="eastAsia" w:ascii="仿宋_GB2312" w:hAnsi="仿宋_GB2312" w:cs="仿宋_GB2312"/>
          <w:szCs w:val="32"/>
          <w:lang w:eastAsia="zh-CN" w:bidi="ar"/>
        </w:rPr>
        <w:t>持续</w:t>
      </w:r>
      <w:r>
        <w:rPr>
          <w:rFonts w:hint="eastAsia" w:ascii="仿宋_GB2312" w:hAnsi="仿宋_GB2312" w:cs="仿宋_GB2312"/>
          <w:szCs w:val="32"/>
          <w:lang w:bidi="ar"/>
        </w:rPr>
        <w:t>激发旅游消费活力。支持文博机构与文创企业协同联动，合作开发文创产品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和</w:t>
      </w:r>
      <w:r>
        <w:rPr>
          <w:rFonts w:hint="eastAsia" w:ascii="仿宋_GB2312" w:hAnsi="仿宋_GB2312" w:cs="仿宋_GB2312"/>
          <w:szCs w:val="32"/>
          <w:lang w:bidi="ar"/>
        </w:rPr>
        <w:t>跨界联名系列商品。</w:t>
      </w:r>
    </w:p>
    <w:p>
      <w:pPr>
        <w:pStyle w:val="14"/>
        <w:rPr>
          <w:rFonts w:hint="eastAsia" w:ascii="仿宋_GB2312" w:hAnsi="仿宋_GB2312" w:cs="仿宋_GB2312"/>
          <w:szCs w:val="32"/>
          <w:lang w:val="en-US" w:eastAsia="zh-CN" w:bidi="ar"/>
        </w:rPr>
      </w:pPr>
      <w:r>
        <w:rPr>
          <w:rStyle w:val="39"/>
          <w:rFonts w:hint="eastAsia" w:ascii="仿宋_GB2312" w:hAnsi="仿宋_GB2312" w:cs="仿宋_GB2312"/>
          <w:lang w:val="en-US" w:eastAsia="zh-CN" w:bidi="ar-SA"/>
        </w:rPr>
        <w:t>16.大力发展入境游。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紧扣“来西城</w:t>
      </w:r>
      <w:r>
        <w:rPr>
          <w:rFonts w:hint="eastAsia" w:ascii="仿宋_GB2312" w:hAnsi="仿宋_GB2312" w:eastAsia="仿宋_GB2312" w:cs="仿宋_GB2312"/>
          <w:szCs w:val="32"/>
          <w:lang w:val="en-US" w:eastAsia="zh-CN" w:bidi="ar"/>
        </w:rPr>
        <w:t>·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品味中式生活”主题定位，建立产品丰、服务好、消费便捷的入境游发展模式。优化产品供给，推出专属入境游线路，适配外籍游客深度体验需求。提高旅行社入境游服务能力，引导旅游景区、星级酒店、重点商圈、文博场馆完善多语种标识和导览设施，建立“外语导游”调配机制，提升多语种服务能力。推进支付与退税便利化升级，提升“即买即退”覆盖范围。推进标识系统标准化，满足外籍游客全场景出行需求。加强入境游专项推广合作，不断拓宽海外客源市场。</w:t>
      </w:r>
    </w:p>
    <w:tbl>
      <w:tblPr>
        <w:tblStyle w:val="28"/>
        <w:tblW w:w="85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3"/>
        <w:gridCol w:w="1556"/>
        <w:gridCol w:w="60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8533" w:type="dxa"/>
            <w:gridSpan w:val="3"/>
            <w:shd w:val="clear" w:color="auto" w:fill="DAE3F3" w:themeFill="accent1" w:themeFillTint="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专栏5 文旅融合重点项目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93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序号</w:t>
            </w:r>
          </w:p>
        </w:tc>
        <w:tc>
          <w:tcPr>
            <w:tcW w:w="15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类别</w:t>
            </w:r>
          </w:p>
        </w:tc>
        <w:tc>
          <w:tcPr>
            <w:tcW w:w="60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8" w:hRule="atLeast"/>
          <w:jc w:val="center"/>
        </w:trPr>
        <w:tc>
          <w:tcPr>
            <w:tcW w:w="933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15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新业态、新场景项目</w:t>
            </w:r>
          </w:p>
        </w:tc>
        <w:tc>
          <w:tcPr>
            <w:tcW w:w="60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6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szCs w:val="32"/>
                <w:lang w:val="en-US" w:eastAsia="zh-CN" w:bidi="ar"/>
              </w:rPr>
              <w:t>支持</w:t>
            </w:r>
            <w:r>
              <w:rPr>
                <w:rFonts w:hint="eastAsia" w:ascii="仿宋_GB2312" w:hAnsi="仿宋_GB2312" w:cs="仿宋_GB2312"/>
                <w:szCs w:val="32"/>
                <w:lang w:bidi="ar"/>
              </w:rPr>
              <w:t>大吉巷、白塔寺、法源寺</w:t>
            </w:r>
            <w:r>
              <w:rPr>
                <w:rFonts w:hint="eastAsia" w:ascii="仿宋_GB2312" w:hAnsi="仿宋_GB2312" w:cs="仿宋_GB2312"/>
                <w:szCs w:val="32"/>
                <w:lang w:val="en-US" w:eastAsia="zh-CN" w:bidi="ar"/>
              </w:rPr>
              <w:t>等</w:t>
            </w:r>
            <w:r>
              <w:rPr>
                <w:rFonts w:hint="eastAsia" w:ascii="仿宋_GB2312" w:hAnsi="仿宋_GB2312" w:cs="仿宋_GB2312"/>
                <w:szCs w:val="32"/>
                <w:lang w:bidi="ar"/>
              </w:rPr>
              <w:t>片区</w:t>
            </w:r>
            <w:r>
              <w:rPr>
                <w:rFonts w:hint="eastAsia" w:ascii="仿宋_GB2312" w:hAnsi="仿宋_GB2312" w:cs="仿宋_GB2312"/>
                <w:szCs w:val="32"/>
                <w:lang w:val="en-US" w:eastAsia="zh-CN" w:bidi="ar"/>
              </w:rPr>
              <w:t>和“恒溯界·时光”综合体融合发展，鼓励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大观园《我的红楼世界》沉浸游园、北海公园夜</w:t>
            </w: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>游演艺等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项目</w:t>
            </w: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>创新焕彩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8" w:hRule="atLeast"/>
          <w:jc w:val="center"/>
        </w:trPr>
        <w:tc>
          <w:tcPr>
            <w:tcW w:w="933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15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融合发展重点活动</w:t>
            </w:r>
          </w:p>
        </w:tc>
        <w:tc>
          <w:tcPr>
            <w:tcW w:w="60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2"/>
                <w:sz w:val="32"/>
                <w:szCs w:val="32"/>
                <w:lang w:val="en-US" w:eastAsia="zh-CN" w:bidi="ar"/>
              </w:rPr>
              <w:t>什刹海文化旅游推广活动、“</w:t>
            </w:r>
            <w:r>
              <w:rPr>
                <w:rFonts w:hint="eastAsia" w:ascii="仿宋_GB2312" w:hAnsi="仿宋_GB2312" w:cs="仿宋_GB2312"/>
                <w:szCs w:val="32"/>
                <w:lang w:bidi="ar"/>
              </w:rPr>
              <w:t>中轴线上夜天桥</w:t>
            </w:r>
            <w:r>
              <w:rPr>
                <w:rFonts w:hint="eastAsia" w:ascii="仿宋_GB2312" w:hAnsi="仿宋_GB2312" w:cs="仿宋_GB2312"/>
                <w:szCs w:val="32"/>
                <w:lang w:eastAsia="zh-CN" w:bidi="ar"/>
              </w:rPr>
              <w:t>”</w:t>
            </w:r>
            <w:r>
              <w:rPr>
                <w:rFonts w:hint="eastAsia" w:ascii="仿宋_GB2312" w:hAnsi="仿宋_GB2312" w:cs="仿宋_GB2312"/>
                <w:szCs w:val="32"/>
                <w:lang w:val="en-US" w:eastAsia="zh-CN" w:bidi="ar"/>
              </w:rPr>
              <w:t>艺术推广活动、“打卡鼓西 漫步斜街”文化消费活动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59" w:hRule="atLeast"/>
          <w:jc w:val="center"/>
        </w:trPr>
        <w:tc>
          <w:tcPr>
            <w:tcW w:w="933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15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入境游重点任务</w:t>
            </w:r>
          </w:p>
        </w:tc>
        <w:tc>
          <w:tcPr>
            <w:tcW w:w="60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/>
              <w:spacing w:beforeAutospacing="1" w:after="150" w:line="278" w:lineRule="auto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Cs w:val="32"/>
                <w:lang w:val="en-US" w:eastAsia="zh-CN" w:bidi="ar"/>
              </w:rPr>
              <w:t>标准化</w:t>
            </w:r>
            <w:r>
              <w:rPr>
                <w:rFonts w:hint="eastAsia" w:ascii="仿宋_GB2312" w:hAnsi="仿宋_GB2312" w:cs="仿宋_GB2312"/>
                <w:szCs w:val="32"/>
                <w:lang w:bidi="ar"/>
              </w:rPr>
              <w:t>标识系统</w:t>
            </w:r>
            <w:r>
              <w:rPr>
                <w:rFonts w:hint="eastAsia" w:ascii="仿宋_GB2312" w:hAnsi="仿宋_GB2312" w:cs="仿宋_GB2312"/>
                <w:szCs w:val="32"/>
                <w:lang w:eastAsia="zh-CN" w:bidi="ar"/>
              </w:rPr>
              <w:t>，</w:t>
            </w:r>
            <w:r>
              <w:rPr>
                <w:rFonts w:hint="eastAsia" w:ascii="仿宋_GB2312" w:hAnsi="仿宋_GB2312" w:cs="仿宋_GB2312"/>
                <w:szCs w:val="32"/>
                <w:lang w:val="en-US" w:eastAsia="zh-CN" w:bidi="ar"/>
              </w:rPr>
              <w:t>扩大离境退税“即买即退”覆盖范围，建立“小语种导游应急共享池”，搭建入境旅居推荐名录</w:t>
            </w:r>
          </w:p>
        </w:tc>
      </w:tr>
    </w:tbl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default"/>
          <w:lang w:val="en-US" w:eastAsia="zh-CN"/>
        </w:rPr>
      </w:pPr>
      <w:bookmarkStart w:id="65" w:name="_Toc27376"/>
      <w:r>
        <w:rPr>
          <w:rFonts w:hint="eastAsia"/>
          <w:lang w:val="en-US" w:eastAsia="zh-CN"/>
        </w:rPr>
        <w:t>（六）构建高效宣传推广体系</w:t>
      </w:r>
      <w:bookmarkEnd w:id="65"/>
    </w:p>
    <w:p>
      <w:pPr>
        <w:keepNext w:val="0"/>
        <w:keepLines w:val="0"/>
        <w:pageBreakBefore w:val="0"/>
        <w:numPr>
          <w:ilvl w:val="255"/>
          <w:numId w:val="0"/>
        </w:numPr>
        <w:tabs>
          <w:tab w:val="left" w:pos="616"/>
        </w:tabs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firstLine="640"/>
        <w:textAlignment w:val="auto"/>
        <w:outlineLvl w:val="9"/>
        <w:rPr>
          <w:rFonts w:hint="eastAsia" w:ascii="仿宋_GB2312" w:hAnsi="仿宋_GB2312" w:cs="仿宋_GB2312"/>
        </w:rPr>
      </w:pPr>
      <w:bookmarkStart w:id="66" w:name="_Toc10610"/>
      <w:bookmarkStart w:id="67" w:name="_Toc10430"/>
      <w:r>
        <w:rPr>
          <w:rStyle w:val="39"/>
          <w:rFonts w:hint="eastAsia" w:ascii="仿宋_GB2312" w:hAnsi="仿宋_GB2312" w:eastAsia="仿宋_GB2312" w:cs="仿宋_GB2312"/>
          <w:lang w:val="en-US" w:eastAsia="zh-CN"/>
        </w:rPr>
        <w:t>1</w:t>
      </w:r>
      <w:r>
        <w:rPr>
          <w:rStyle w:val="39"/>
          <w:rFonts w:hint="eastAsia" w:ascii="仿宋_GB2312" w:hAnsi="仿宋_GB2312" w:cs="仿宋_GB2312"/>
          <w:lang w:val="en-US" w:eastAsia="zh-CN"/>
        </w:rPr>
        <w:t>7</w:t>
      </w:r>
      <w:r>
        <w:rPr>
          <w:rStyle w:val="39"/>
          <w:rFonts w:hint="eastAsia" w:ascii="仿宋_GB2312" w:hAnsi="仿宋_GB2312" w:eastAsia="仿宋_GB2312" w:cs="仿宋_GB2312"/>
          <w:lang w:val="en-US" w:eastAsia="zh-CN"/>
        </w:rPr>
        <w:t>.打造文化和旅游</w:t>
      </w:r>
      <w:r>
        <w:rPr>
          <w:rStyle w:val="39"/>
          <w:rFonts w:hint="eastAsia" w:ascii="仿宋_GB2312" w:hAnsi="仿宋_GB2312" w:eastAsia="仿宋_GB2312" w:cs="仿宋_GB2312"/>
        </w:rPr>
        <w:t>品牌体系</w:t>
      </w:r>
      <w:r>
        <w:rPr>
          <w:rStyle w:val="39"/>
          <w:rFonts w:hint="eastAsia" w:ascii="仿宋_GB2312" w:hAnsi="仿宋_GB2312" w:eastAsia="仿宋_GB2312" w:cs="仿宋_GB2312"/>
          <w:lang w:eastAsia="zh-CN"/>
        </w:rPr>
        <w:t>。</w:t>
      </w:r>
      <w:bookmarkEnd w:id="66"/>
      <w:bookmarkEnd w:id="67"/>
      <w:r>
        <w:rPr>
          <w:rFonts w:hint="eastAsia"/>
        </w:rPr>
        <w:t>挖掘红色文物资源，助推红色旅游发展，擦亮</w:t>
      </w:r>
      <w:r>
        <w:rPr>
          <w:rFonts w:hint="eastAsia"/>
          <w:lang w:val="en-US" w:eastAsia="zh-CN"/>
        </w:rPr>
        <w:t>革命旧址</w:t>
      </w:r>
      <w:r>
        <w:rPr>
          <w:rFonts w:hint="eastAsia"/>
        </w:rPr>
        <w:t>、纪念</w:t>
      </w:r>
      <w:r>
        <w:rPr>
          <w:rFonts w:hint="eastAsia"/>
          <w:lang w:val="en-US" w:eastAsia="zh-CN"/>
        </w:rPr>
        <w:t>设施</w:t>
      </w:r>
      <w:r>
        <w:rPr>
          <w:rFonts w:hint="eastAsia"/>
        </w:rPr>
        <w:t>和</w:t>
      </w:r>
      <w:r>
        <w:rPr>
          <w:rFonts w:hint="eastAsia"/>
          <w:lang w:val="en-US" w:eastAsia="zh-CN"/>
        </w:rPr>
        <w:t>爱国主义教育基地红色文化</w:t>
      </w:r>
      <w:r>
        <w:rPr>
          <w:rFonts w:hint="eastAsia"/>
        </w:rPr>
        <w:t>“金字招牌”。</w:t>
      </w:r>
      <w:r>
        <w:rPr>
          <w:rFonts w:hint="eastAsia" w:ascii="仿宋_GB2312" w:hAnsi="仿宋_GB2312" w:cs="仿宋_GB2312"/>
        </w:rPr>
        <w:t>办好“白塔夜话”系列活动</w:t>
      </w:r>
      <w:r>
        <w:rPr>
          <w:rFonts w:hint="eastAsia" w:ascii="仿宋_GB2312" w:hAnsi="仿宋_GB2312" w:cs="仿宋_GB2312"/>
          <w:lang w:eastAsia="zh-CN"/>
        </w:rPr>
        <w:t>，</w:t>
      </w:r>
      <w:r>
        <w:rPr>
          <w:rFonts w:hint="eastAsia" w:ascii="仿宋_GB2312" w:hAnsi="仿宋_GB2312" w:cs="仿宋_GB2312"/>
          <w:lang w:val="en-US" w:eastAsia="zh-CN"/>
        </w:rPr>
        <w:t>打造文化遗产活化、城市更新和文商旅消费联动的高端文化对话平台。</w:t>
      </w:r>
      <w:r>
        <w:rPr>
          <w:rFonts w:hint="eastAsia" w:ascii="仿宋_GB2312" w:hAnsi="仿宋_GB2312" w:cs="仿宋_GB2312"/>
        </w:rPr>
        <w:t>引导湖广会馆、报国寺、宣南文化博物馆等</w:t>
      </w:r>
      <w:r>
        <w:rPr>
          <w:rFonts w:hint="eastAsia" w:ascii="仿宋_GB2312" w:hAnsi="仿宋_GB2312" w:cs="仿宋_GB2312"/>
          <w:lang w:val="en-US" w:eastAsia="zh-CN"/>
        </w:rPr>
        <w:t>8家北京文化论坛会客厅创</w:t>
      </w:r>
      <w:r>
        <w:rPr>
          <w:rFonts w:hint="eastAsia" w:ascii="仿宋_GB2312" w:hAnsi="仿宋_GB2312" w:cs="仿宋_GB2312"/>
        </w:rPr>
        <w:t>新发展，提升城市文化名片知名度。汇聚辖区优势资源，</w:t>
      </w:r>
      <w:r>
        <w:rPr>
          <w:rFonts w:hint="eastAsia" w:ascii="仿宋_GB2312" w:hAnsi="仿宋_GB2312" w:cs="仿宋_GB2312"/>
          <w:lang w:val="en-US" w:eastAsia="zh-CN"/>
        </w:rPr>
        <w:t>擦亮</w:t>
      </w:r>
      <w:r>
        <w:rPr>
          <w:rFonts w:hint="eastAsia" w:ascii="仿宋_GB2312" w:hAnsi="仿宋_GB2312" w:cs="仿宋_GB2312"/>
        </w:rPr>
        <w:t>中国国际芭蕾演出季、PAS打击乐艺术</w:t>
      </w:r>
      <w:r>
        <w:rPr>
          <w:rFonts w:hint="eastAsia" w:ascii="仿宋_GB2312" w:hAnsi="仿宋_GB2312" w:cs="仿宋_GB2312"/>
          <w:lang w:val="en-US" w:eastAsia="zh-CN"/>
        </w:rPr>
        <w:t>周</w:t>
      </w:r>
      <w:r>
        <w:rPr>
          <w:rFonts w:hint="eastAsia" w:ascii="仿宋_GB2312" w:hAnsi="仿宋_GB2312" w:cs="仿宋_GB2312"/>
          <w:lang w:eastAsia="zh"/>
        </w:rPr>
        <w:t>等国际</w:t>
      </w:r>
      <w:r>
        <w:rPr>
          <w:rFonts w:hint="eastAsia" w:ascii="仿宋_GB2312" w:hAnsi="仿宋_GB2312" w:cs="仿宋_GB2312"/>
        </w:rPr>
        <w:t>文化</w:t>
      </w:r>
      <w:r>
        <w:rPr>
          <w:rFonts w:hint="eastAsia" w:ascii="仿宋_GB2312" w:hAnsi="仿宋_GB2312" w:cs="仿宋_GB2312"/>
          <w:lang w:eastAsia="zh"/>
        </w:rPr>
        <w:t>活动</w:t>
      </w:r>
      <w:r>
        <w:rPr>
          <w:rFonts w:hint="eastAsia" w:ascii="仿宋_GB2312" w:hAnsi="仿宋_GB2312" w:cs="仿宋_GB2312"/>
        </w:rPr>
        <w:t>品牌，提升演艺行业国际影响力。</w:t>
      </w:r>
      <w:r>
        <w:rPr>
          <w:rFonts w:hint="eastAsia" w:ascii="仿宋_GB2312" w:hAnsi="仿宋_GB2312" w:cs="仿宋_GB2312"/>
          <w:lang w:val="en-US" w:eastAsia="zh-CN"/>
        </w:rPr>
        <w:t>精心办好</w:t>
      </w:r>
      <w:r>
        <w:rPr>
          <w:rFonts w:hint="eastAsia" w:ascii="仿宋_GB2312" w:hAnsi="仿宋_GB2312" w:cs="仿宋_GB2312"/>
        </w:rPr>
        <w:t>中国原创话剧邀请展、全国小剧场京剧</w:t>
      </w:r>
      <w:r>
        <w:rPr>
          <w:rFonts w:hint="eastAsia" w:ascii="仿宋_GB2312" w:hAnsi="仿宋_GB2312" w:cs="仿宋_GB2312"/>
          <w:lang w:eastAsia="zh-CN"/>
        </w:rPr>
        <w:t>“</w:t>
      </w:r>
      <w:r>
        <w:rPr>
          <w:rFonts w:hint="eastAsia" w:ascii="仿宋_GB2312" w:hAnsi="仿宋_GB2312" w:cs="仿宋_GB2312"/>
        </w:rPr>
        <w:t>群英会</w:t>
      </w:r>
      <w:r>
        <w:rPr>
          <w:rFonts w:hint="eastAsia" w:ascii="仿宋_GB2312" w:hAnsi="仿宋_GB2312" w:cs="仿宋_GB2312"/>
          <w:lang w:eastAsia="zh-CN"/>
        </w:rPr>
        <w:t>”</w:t>
      </w:r>
      <w:r>
        <w:rPr>
          <w:rFonts w:hint="eastAsia" w:ascii="仿宋_GB2312" w:hAnsi="仿宋_GB2312" w:cs="仿宋_GB2312"/>
        </w:rPr>
        <w:t>、</w:t>
      </w:r>
      <w:r>
        <w:rPr>
          <w:rFonts w:hint="eastAsia" w:ascii="仿宋_GB2312" w:hAnsi="仿宋_GB2312" w:cs="仿宋_GB2312"/>
          <w:lang w:eastAsia="zh-CN"/>
        </w:rPr>
        <w:t>北京</w:t>
      </w:r>
      <w:r>
        <w:rPr>
          <w:rFonts w:hint="eastAsia" w:ascii="仿宋_GB2312" w:hAnsi="仿宋_GB2312" w:cs="仿宋_GB2312"/>
          <w:lang w:val="en-US" w:eastAsia="zh-CN"/>
        </w:rPr>
        <w:t>·</w:t>
      </w:r>
      <w:r>
        <w:rPr>
          <w:rFonts w:hint="eastAsia" w:ascii="仿宋_GB2312" w:hAnsi="仿宋_GB2312" w:cs="仿宋_GB2312"/>
        </w:rPr>
        <w:t>西城</w:t>
      </w:r>
      <w:r>
        <w:rPr>
          <w:rFonts w:hint="eastAsia" w:ascii="仿宋_GB2312" w:hAnsi="仿宋_GB2312" w:cs="仿宋_GB2312"/>
          <w:lang w:eastAsia="zh-CN"/>
        </w:rPr>
        <w:t>“</w:t>
      </w:r>
      <w:r>
        <w:rPr>
          <w:rFonts w:hint="eastAsia" w:ascii="仿宋_GB2312" w:hAnsi="仿宋_GB2312" w:cs="仿宋_GB2312"/>
        </w:rPr>
        <w:t>百姓戏剧展演</w:t>
      </w:r>
      <w:r>
        <w:rPr>
          <w:rFonts w:hint="eastAsia" w:ascii="仿宋_GB2312" w:hAnsi="仿宋_GB2312" w:cs="仿宋_GB2312"/>
          <w:lang w:eastAsia="zh-CN"/>
        </w:rPr>
        <w:t>”</w:t>
      </w:r>
      <w:r>
        <w:rPr>
          <w:rFonts w:hint="eastAsia" w:ascii="仿宋_GB2312" w:hAnsi="仿宋_GB2312" w:cs="仿宋_GB2312"/>
        </w:rPr>
        <w:t>、当代小剧场戏曲展演季、老舍·戏剧系列活动，</w:t>
      </w:r>
      <w:r>
        <w:rPr>
          <w:rFonts w:hint="eastAsia" w:ascii="仿宋_GB2312" w:hAnsi="仿宋_GB2312" w:cs="仿宋_GB2312"/>
          <w:lang w:val="en-US" w:eastAsia="zh-CN"/>
        </w:rPr>
        <w:t>扩大西城文化和旅游活动知名度。</w:t>
      </w:r>
      <w:r>
        <w:rPr>
          <w:rFonts w:hint="eastAsia" w:ascii="仿宋_GB2312" w:hAnsi="仿宋_GB2312" w:cs="仿宋_GB2312"/>
        </w:rPr>
        <w:t>支持京剧发祥地系列文化活动，推动戏曲“七进”活动，打造系统性戏曲文化生态，持续擦亮京剧发祥地品牌。</w:t>
      </w:r>
      <w:bookmarkStart w:id="68" w:name="_Toc31438"/>
      <w:bookmarkStart w:id="69" w:name="_Toc16016"/>
    </w:p>
    <w:tbl>
      <w:tblPr>
        <w:tblStyle w:val="28"/>
        <w:tblW w:w="85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3"/>
        <w:gridCol w:w="1556"/>
        <w:gridCol w:w="60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8533" w:type="dxa"/>
            <w:gridSpan w:val="3"/>
            <w:shd w:val="clear" w:color="auto" w:fill="DAE3F3" w:themeFill="accent1" w:themeFillTint="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专栏6 文化活动重点项目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93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序号</w:t>
            </w:r>
          </w:p>
        </w:tc>
        <w:tc>
          <w:tcPr>
            <w:tcW w:w="15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类别</w:t>
            </w:r>
          </w:p>
        </w:tc>
        <w:tc>
          <w:tcPr>
            <w:tcW w:w="60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项    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8" w:hRule="atLeast"/>
          <w:jc w:val="center"/>
        </w:trPr>
        <w:tc>
          <w:tcPr>
            <w:tcW w:w="933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15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音乐类</w:t>
            </w:r>
          </w:p>
        </w:tc>
        <w:tc>
          <w:tcPr>
            <w:tcW w:w="60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Cs w:val="32"/>
                <w:lang w:eastAsia="zh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北京景山合唱</w:t>
            </w:r>
            <w:r>
              <w:rPr>
                <w:rFonts w:hint="eastAsia" w:ascii="仿宋_GB2312" w:hAnsi="仿宋_GB2312" w:cs="仿宋_GB2312"/>
                <w:kern w:val="2"/>
                <w:sz w:val="32"/>
                <w:szCs w:val="32"/>
                <w:lang w:val="en-US" w:eastAsia="zh-CN" w:bidi="ar"/>
              </w:rPr>
              <w:t>季、</w:t>
            </w:r>
            <w:r>
              <w:rPr>
                <w:rFonts w:hint="eastAsia" w:ascii="仿宋_GB2312" w:hAnsi="仿宋_GB2312" w:eastAsia="仿宋_GB2312" w:cs="仿宋_GB2312"/>
                <w:szCs w:val="32"/>
                <w:lang w:eastAsia="zh" w:bidi="ar"/>
              </w:rPr>
              <w:t>PAS打击乐艺术周</w:t>
            </w:r>
            <w:r>
              <w:rPr>
                <w:rFonts w:hint="eastAsia" w:ascii="仿宋_GB2312" w:hAnsi="仿宋_GB2312" w:cs="仿宋_GB2312"/>
                <w:szCs w:val="32"/>
                <w:lang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天桥音乐剧演出季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8" w:hRule="atLeast"/>
          <w:jc w:val="center"/>
        </w:trPr>
        <w:tc>
          <w:tcPr>
            <w:tcW w:w="933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15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戏剧类</w:t>
            </w:r>
          </w:p>
        </w:tc>
        <w:tc>
          <w:tcPr>
            <w:tcW w:w="60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szCs w:val="32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Cs w:val="32"/>
                <w:lang w:eastAsia="zh" w:bidi="ar"/>
              </w:rPr>
              <w:t>中国原创话剧邀请展、</w:t>
            </w:r>
            <w:r>
              <w:rPr>
                <w:rFonts w:hint="eastAsia" w:ascii="仿宋_GB2312" w:hAnsi="仿宋_GB2312" w:cs="仿宋_GB2312"/>
                <w:lang w:eastAsia="zh-CN"/>
              </w:rPr>
              <w:t>北京</w:t>
            </w:r>
            <w:r>
              <w:rPr>
                <w:rFonts w:hint="eastAsia" w:ascii="仿宋_GB2312" w:hAnsi="仿宋_GB2312" w:cs="仿宋_GB2312"/>
                <w:lang w:val="en-US" w:eastAsia="zh-CN"/>
              </w:rPr>
              <w:t>·</w:t>
            </w:r>
            <w:r>
              <w:rPr>
                <w:rFonts w:hint="eastAsia" w:ascii="仿宋_GB2312" w:hAnsi="仿宋_GB2312" w:cs="仿宋_GB2312"/>
              </w:rPr>
              <w:t>西城</w:t>
            </w:r>
            <w:r>
              <w:rPr>
                <w:rFonts w:hint="eastAsia" w:ascii="仿宋_GB2312" w:hAnsi="仿宋_GB2312" w:cs="仿宋_GB2312"/>
                <w:lang w:eastAsia="zh-CN"/>
              </w:rPr>
              <w:t>“</w:t>
            </w:r>
            <w:r>
              <w:rPr>
                <w:rFonts w:hint="eastAsia" w:ascii="仿宋_GB2312" w:hAnsi="仿宋_GB2312" w:cs="仿宋_GB2312"/>
              </w:rPr>
              <w:t>百姓戏剧展演</w:t>
            </w:r>
            <w:r>
              <w:rPr>
                <w:rFonts w:hint="eastAsia" w:ascii="仿宋_GB2312" w:hAnsi="仿宋_GB2312" w:cs="仿宋_GB2312"/>
                <w:lang w:eastAsia="zh-CN"/>
              </w:rPr>
              <w:t>”</w:t>
            </w:r>
            <w:r>
              <w:rPr>
                <w:rFonts w:hint="eastAsia" w:ascii="仿宋_GB2312" w:hAnsi="仿宋_GB2312" w:cs="仿宋_GB2312"/>
                <w:szCs w:val="32"/>
                <w:lang w:eastAsia="zh-CN" w:bidi="ar"/>
              </w:rPr>
              <w:t>、</w:t>
            </w:r>
            <w:r>
              <w:rPr>
                <w:rFonts w:hint="eastAsia" w:ascii="仿宋_GB2312" w:hAnsi="仿宋_GB2312" w:cs="仿宋_GB2312"/>
              </w:rPr>
              <w:t>老舍·戏剧系列活动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8" w:hRule="atLeast"/>
          <w:jc w:val="center"/>
        </w:trPr>
        <w:tc>
          <w:tcPr>
            <w:tcW w:w="933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15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戏曲类</w:t>
            </w:r>
          </w:p>
        </w:tc>
        <w:tc>
          <w:tcPr>
            <w:tcW w:w="60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szCs w:val="32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Cs w:val="32"/>
                <w:lang w:eastAsia="zh" w:bidi="ar"/>
              </w:rPr>
              <w:t>全国小剧场京剧</w:t>
            </w:r>
            <w:r>
              <w:rPr>
                <w:rFonts w:hint="eastAsia" w:ascii="仿宋_GB2312" w:hAnsi="仿宋_GB2312" w:cs="仿宋_GB2312"/>
                <w:szCs w:val="32"/>
                <w:lang w:eastAsia="zh-CN" w:bidi="ar"/>
              </w:rPr>
              <w:t>“</w:t>
            </w:r>
            <w:r>
              <w:rPr>
                <w:rFonts w:hint="eastAsia" w:ascii="仿宋_GB2312" w:hAnsi="仿宋_GB2312" w:eastAsia="仿宋_GB2312" w:cs="仿宋_GB2312"/>
                <w:szCs w:val="32"/>
                <w:lang w:eastAsia="zh" w:bidi="ar"/>
              </w:rPr>
              <w:t>群英会</w:t>
            </w:r>
            <w:r>
              <w:rPr>
                <w:rFonts w:hint="eastAsia" w:ascii="仿宋_GB2312" w:hAnsi="仿宋_GB2312" w:cs="仿宋_GB2312"/>
                <w:szCs w:val="32"/>
                <w:lang w:eastAsia="zh-CN" w:bidi="ar"/>
              </w:rPr>
              <w:t>”</w:t>
            </w:r>
            <w:r>
              <w:rPr>
                <w:rFonts w:hint="eastAsia" w:ascii="仿宋_GB2312" w:hAnsi="仿宋_GB2312" w:eastAsia="仿宋_GB2312" w:cs="仿宋_GB2312"/>
                <w:szCs w:val="32"/>
                <w:lang w:eastAsia="zh" w:bidi="ar"/>
              </w:rPr>
              <w:t>、当代小剧场</w:t>
            </w:r>
            <w:r>
              <w:rPr>
                <w:rFonts w:hint="eastAsia" w:ascii="仿宋_GB2312" w:hAnsi="仿宋_GB2312" w:cs="仿宋_GB2312"/>
                <w:szCs w:val="32"/>
                <w:lang w:val="en-US" w:eastAsia="zh-CN" w:bidi="ar"/>
              </w:rPr>
              <w:t>戏曲</w:t>
            </w:r>
            <w:r>
              <w:rPr>
                <w:rFonts w:hint="eastAsia" w:ascii="仿宋_GB2312" w:hAnsi="仿宋_GB2312" w:eastAsia="仿宋_GB2312" w:cs="仿宋_GB2312"/>
                <w:szCs w:val="32"/>
                <w:lang w:eastAsia="zh" w:bidi="ar"/>
              </w:rPr>
              <w:t>展演季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8" w:hRule="atLeast"/>
          <w:jc w:val="center"/>
        </w:trPr>
        <w:tc>
          <w:tcPr>
            <w:tcW w:w="933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4</w:t>
            </w:r>
          </w:p>
        </w:tc>
        <w:tc>
          <w:tcPr>
            <w:tcW w:w="15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舞蹈类</w:t>
            </w:r>
          </w:p>
        </w:tc>
        <w:tc>
          <w:tcPr>
            <w:tcW w:w="60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ind w:left="0" w:leftChars="0" w:firstLine="0" w:firstLineChars="0"/>
              <w:rPr>
                <w:rFonts w:hint="eastAsia" w:ascii="仿宋_GB2312" w:hAnsi="仿宋_GB2312" w:eastAsia="仿宋_GB2312" w:cs="仿宋_GB231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Cs w:val="32"/>
                <w:lang w:eastAsia="zh" w:bidi="ar"/>
              </w:rPr>
              <w:t>中国国际芭蕾演出季</w:t>
            </w:r>
            <w:r>
              <w:rPr>
                <w:rFonts w:hint="eastAsia" w:ascii="仿宋_GB2312" w:hAnsi="仿宋_GB2312" w:cs="仿宋_GB2312"/>
                <w:szCs w:val="32"/>
                <w:lang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彩虹剧场舞蹈季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255"/>
          <w:numId w:val="0"/>
        </w:numPr>
        <w:tabs>
          <w:tab w:val="left" w:pos="616"/>
          <w:tab w:val="left" w:pos="2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0"/>
        <w:textAlignment w:val="auto"/>
        <w:outlineLvl w:val="9"/>
      </w:pPr>
      <w:r>
        <w:rPr>
          <w:rFonts w:hint="eastAsia" w:ascii="仿宋_GB2312" w:hAnsi="仿宋_GB2312" w:cs="仿宋_GB2312"/>
          <w:lang w:eastAsia="zh-CN"/>
        </w:rPr>
        <w:tab/>
      </w:r>
      <w:r>
        <w:rPr>
          <w:rStyle w:val="39"/>
          <w:rFonts w:hint="eastAsia" w:ascii="仿宋_GB2312" w:hAnsi="仿宋_GB2312" w:eastAsia="仿宋_GB2312" w:cs="仿宋_GB2312"/>
          <w:lang w:val="en-US" w:eastAsia="zh-CN"/>
        </w:rPr>
        <w:t>1</w:t>
      </w:r>
      <w:r>
        <w:rPr>
          <w:rStyle w:val="39"/>
          <w:rFonts w:hint="eastAsia" w:ascii="仿宋_GB2312" w:hAnsi="仿宋_GB2312" w:cs="仿宋_GB2312"/>
          <w:lang w:val="en-US" w:eastAsia="zh-CN"/>
        </w:rPr>
        <w:t>8</w:t>
      </w:r>
      <w:r>
        <w:rPr>
          <w:rStyle w:val="39"/>
          <w:rFonts w:hint="eastAsia" w:ascii="仿宋_GB2312" w:hAnsi="仿宋_GB2312" w:eastAsia="仿宋_GB2312" w:cs="仿宋_GB2312"/>
          <w:lang w:val="en-US" w:eastAsia="zh-CN"/>
        </w:rPr>
        <w:t>.搭建宣传推介矩阵</w:t>
      </w:r>
      <w:bookmarkEnd w:id="68"/>
      <w:bookmarkEnd w:id="69"/>
      <w:r>
        <w:rPr>
          <w:rStyle w:val="39"/>
          <w:rFonts w:hint="eastAsia" w:ascii="仿宋_GB2312" w:hAnsi="仿宋_GB2312" w:eastAsia="仿宋_GB2312" w:cs="仿宋_GB2312"/>
          <w:lang w:val="en-US" w:eastAsia="zh-CN"/>
        </w:rPr>
        <w:t>。</w:t>
      </w:r>
      <w:r>
        <w:rPr>
          <w:rFonts w:hint="eastAsia" w:cs="Times New Roman"/>
          <w:color w:val="auto"/>
          <w:szCs w:val="24"/>
          <w:shd w:val="clear" w:color="auto" w:fill="auto"/>
          <w:lang w:val="en-US" w:eastAsia="zh-CN"/>
        </w:rPr>
        <w:t>加大</w:t>
      </w:r>
      <w:r>
        <w:rPr>
          <w:rFonts w:hint="eastAsia"/>
          <w:lang w:eastAsia="zh"/>
        </w:rPr>
        <w:t>文化</w:t>
      </w:r>
      <w:r>
        <w:rPr>
          <w:rFonts w:hint="eastAsia"/>
        </w:rPr>
        <w:t>西城微信公众号</w:t>
      </w:r>
      <w:r>
        <w:rPr>
          <w:rFonts w:hint="eastAsia" w:cs="Times New Roman"/>
          <w:color w:val="auto"/>
          <w:szCs w:val="24"/>
          <w:shd w:val="clear" w:color="auto" w:fill="auto"/>
          <w:lang w:val="en-US" w:eastAsia="zh-CN"/>
        </w:rPr>
        <w:t>、</w:t>
      </w:r>
      <w:r>
        <w:rPr>
          <w:rFonts w:hint="eastAsia"/>
        </w:rPr>
        <w:t>文旅西城抖音号</w:t>
      </w:r>
      <w:r>
        <w:rPr>
          <w:rFonts w:hint="eastAsia"/>
          <w:lang w:val="en-US" w:eastAsia="zh-CN"/>
        </w:rPr>
        <w:t>建设投入力度，提升专业化和互动性。加强媒体资源沟通协作，整合传统媒体、新媒体、网络平台资源，构建全媒体融合</w:t>
      </w:r>
      <w:r>
        <w:t>传播</w:t>
      </w:r>
      <w:r>
        <w:rPr>
          <w:rFonts w:hint="eastAsia"/>
          <w:lang w:val="en-US" w:eastAsia="zh-CN"/>
        </w:rPr>
        <w:t>矩阵。加强与知名博主、旅游达人的互动共创，共同</w:t>
      </w:r>
      <w:r>
        <w:rPr>
          <w:rFonts w:hint="eastAsia"/>
        </w:rPr>
        <w:t>讲好北京故事，展现可信、可爱、可敬的中国形象，</w:t>
      </w:r>
      <w:r>
        <w:t>提升</w:t>
      </w:r>
      <w:r>
        <w:rPr>
          <w:rFonts w:hint="eastAsia"/>
        </w:rPr>
        <w:t>西城文旅</w:t>
      </w:r>
      <w:r>
        <w:t>的国内外知名度、辐射</w:t>
      </w:r>
      <w:r>
        <w:rPr>
          <w:rFonts w:hint="eastAsia"/>
          <w:lang w:eastAsia="zh-CN"/>
        </w:rPr>
        <w:t>广度</w:t>
      </w:r>
      <w:r>
        <w:t>和美誉度。</w:t>
      </w:r>
      <w:bookmarkStart w:id="70" w:name="_Toc29703"/>
      <w:bookmarkStart w:id="71" w:name="_Toc32469"/>
    </w:p>
    <w:p>
      <w:pPr>
        <w:keepNext w:val="0"/>
        <w:keepLines w:val="0"/>
        <w:pageBreakBefore w:val="0"/>
        <w:numPr>
          <w:ilvl w:val="255"/>
          <w:numId w:val="0"/>
        </w:numPr>
        <w:tabs>
          <w:tab w:val="left" w:pos="616"/>
        </w:tabs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firstLine="640"/>
        <w:textAlignment w:val="auto"/>
        <w:outlineLvl w:val="9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Style w:val="39"/>
          <w:rFonts w:hint="eastAsia" w:ascii="仿宋_GB2312" w:hAnsi="仿宋_GB2312" w:eastAsia="仿宋_GB2312" w:cs="仿宋_GB2312"/>
          <w:lang w:val="en-US" w:eastAsia="zh-CN"/>
        </w:rPr>
        <w:t>1</w:t>
      </w:r>
      <w:r>
        <w:rPr>
          <w:rStyle w:val="39"/>
          <w:rFonts w:hint="eastAsia" w:ascii="仿宋_GB2312" w:hAnsi="仿宋_GB2312" w:cs="仿宋_GB2312"/>
          <w:lang w:val="en-US" w:eastAsia="zh-CN"/>
        </w:rPr>
        <w:t>9</w:t>
      </w:r>
      <w:r>
        <w:rPr>
          <w:rStyle w:val="39"/>
          <w:rFonts w:hint="eastAsia" w:ascii="仿宋_GB2312" w:hAnsi="仿宋_GB2312" w:eastAsia="仿宋_GB2312" w:cs="仿宋_GB2312"/>
          <w:lang w:val="en-US" w:eastAsia="zh-CN"/>
        </w:rPr>
        <w:t>.强化交流与合作</w:t>
      </w:r>
      <w:bookmarkEnd w:id="70"/>
      <w:bookmarkEnd w:id="71"/>
      <w:r>
        <w:rPr>
          <w:rStyle w:val="39"/>
          <w:rFonts w:hint="eastAsia" w:ascii="仿宋_GB2312" w:hAnsi="仿宋_GB2312" w:eastAsia="仿宋_GB2312" w:cs="仿宋_GB2312"/>
          <w:lang w:val="en-US" w:eastAsia="zh-CN"/>
        </w:rPr>
        <w:t>。</w:t>
      </w:r>
      <w:bookmarkStart w:id="72" w:name="_Toc23007"/>
      <w:r>
        <w:rPr>
          <w:rFonts w:hint="eastAsia" w:cs="Times New Roman"/>
          <w:lang w:val="en-US" w:eastAsia="zh-CN"/>
        </w:rPr>
        <w:t>主动服务国家外交大局，高质量完成各类重大会议与活动保障任务，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强化非遗在国际交往中的文化纽带作用，推动文化场所成为外事活动场地</w:t>
      </w:r>
      <w:r>
        <w:rPr>
          <w:rFonts w:hint="eastAsia" w:cs="Times New Roman"/>
          <w:lang w:val="en-US" w:eastAsia="zh-CN"/>
        </w:rPr>
        <w:t>。</w:t>
      </w:r>
      <w:r>
        <w:rPr>
          <w:rFonts w:hint="eastAsia"/>
          <w:lang w:val="en-US" w:eastAsia="zh-CN"/>
        </w:rPr>
        <w:t>用好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北京入境旅游发展大会</w:t>
      </w:r>
      <w:r>
        <w:rPr>
          <w:rFonts w:hint="eastAsia" w:ascii="仿宋_GB2312" w:hAnsi="仿宋_GB2312" w:eastAsia="仿宋_GB2312" w:cs="仿宋_GB2312"/>
          <w:lang w:val="en-US" w:eastAsia="zh-CN"/>
        </w:rPr>
        <w:t>、</w:t>
      </w:r>
      <w:r>
        <w:rPr>
          <w:rFonts w:hint="eastAsia"/>
          <w:lang w:val="en-US" w:eastAsia="zh-CN"/>
        </w:rPr>
        <w:t>北京国际文旅消费博览会等</w:t>
      </w:r>
      <w:r>
        <w:rPr>
          <w:rFonts w:hint="eastAsia"/>
          <w:lang w:val="en-US" w:eastAsia="zh"/>
        </w:rPr>
        <w:t>契机，为企业搭建宣传推广平台，推动文化和旅游产品“走出去”。</w:t>
      </w:r>
      <w:r>
        <w:rPr>
          <w:rFonts w:hint="eastAsia" w:cs="Times New Roman"/>
          <w:lang w:val="en-US" w:eastAsia="zh-CN"/>
        </w:rPr>
        <w:t>积极</w:t>
      </w:r>
      <w:r>
        <w:rPr>
          <w:rFonts w:hint="eastAsia"/>
          <w:lang w:val="en-US" w:eastAsia="zh-CN"/>
        </w:rPr>
        <w:t>融入京津冀协同发展战略，落实好京津冀文旅领域各类框架合作协议，推进文旅优势互补、资源共享。</w:t>
      </w:r>
      <w:bookmarkEnd w:id="10"/>
      <w:bookmarkEnd w:id="72"/>
      <w:bookmarkStart w:id="73" w:name="_Toc28438"/>
      <w:bookmarkStart w:id="74" w:name="_Toc13587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加强与东西部协作、支援合作等地区间的交流合作，加大文旅资源互推力度，共促高质量发展。</w:t>
      </w:r>
      <w:r>
        <w:rPr>
          <w:rFonts w:hint="eastAsia"/>
          <w:lang w:val="en-US" w:eastAsia="zh-CN"/>
        </w:rPr>
        <w:t>落实旅游促进各民族交往交流交融意见，结合对口支援工作推进民族地区旅游高质量发展。</w:t>
      </w:r>
    </w:p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/>
          <w:lang w:eastAsia="zh"/>
        </w:rPr>
      </w:pPr>
      <w:bookmarkStart w:id="75" w:name="_Toc2840"/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七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强化文旅市场综合治理</w:t>
      </w:r>
      <w:bookmarkEnd w:id="73"/>
      <w:bookmarkEnd w:id="74"/>
      <w:bookmarkEnd w:id="75"/>
    </w:p>
    <w:p>
      <w:pPr>
        <w:pageBreakBefore w:val="0"/>
        <w:numPr>
          <w:ilvl w:val="255"/>
          <w:numId w:val="0"/>
        </w:numPr>
        <w:tabs>
          <w:tab w:val="left" w:pos="616"/>
        </w:tabs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firstLine="643" w:firstLineChars="200"/>
        <w:textAlignment w:val="auto"/>
        <w:rPr>
          <w:rFonts w:hint="eastAsia" w:ascii="仿宋_GB2312" w:hAnsi="仿宋_GB2312" w:cs="仿宋_GB2312"/>
          <w:szCs w:val="32"/>
          <w:lang w:eastAsia="zh" w:bidi="ar"/>
        </w:rPr>
      </w:pPr>
      <w:bookmarkStart w:id="76" w:name="_Toc9543"/>
      <w:bookmarkStart w:id="77" w:name="_Toc2154"/>
      <w:r>
        <w:rPr>
          <w:rStyle w:val="39"/>
          <w:rFonts w:hint="eastAsia" w:ascii="仿宋_GB2312" w:hAnsi="仿宋_GB2312" w:cs="仿宋_GB2312"/>
          <w:lang w:val="en-US" w:eastAsia="zh-CN"/>
        </w:rPr>
        <w:t>20</w:t>
      </w:r>
      <w:r>
        <w:rPr>
          <w:rStyle w:val="39"/>
          <w:rFonts w:hint="eastAsia" w:ascii="仿宋_GB2312" w:hAnsi="仿宋_GB2312" w:eastAsia="仿宋_GB2312" w:cs="仿宋_GB2312"/>
          <w:lang w:val="en-US" w:eastAsia="zh-CN"/>
        </w:rPr>
        <w:t>.提升市场精细化治理能力</w:t>
      </w:r>
      <w:bookmarkEnd w:id="76"/>
      <w:bookmarkEnd w:id="77"/>
      <w:r>
        <w:rPr>
          <w:rStyle w:val="39"/>
          <w:rFonts w:hint="eastAsia" w:ascii="仿宋_GB2312" w:hAnsi="仿宋_GB2312" w:eastAsia="仿宋_GB2312" w:cs="仿宋_GB2312"/>
          <w:lang w:val="en-US" w:eastAsia="zh-CN"/>
        </w:rPr>
        <w:t>。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完善</w:t>
      </w:r>
      <w:r>
        <w:rPr>
          <w:rFonts w:hint="eastAsia" w:ascii="仿宋_GB2312" w:hAnsi="仿宋_GB2312" w:cs="仿宋_GB2312"/>
          <w:szCs w:val="32"/>
          <w:lang w:eastAsia="zh" w:bidi="ar"/>
        </w:rPr>
        <w:t>重大任务、重点时期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工作</w:t>
      </w:r>
      <w:r>
        <w:rPr>
          <w:rFonts w:hint="eastAsia" w:ascii="仿宋_GB2312" w:hAnsi="仿宋_GB2312" w:cs="仿宋_GB2312"/>
          <w:szCs w:val="32"/>
          <w:lang w:eastAsia="zh" w:bidi="ar"/>
        </w:rPr>
        <w:t>复盘机制，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建立</w:t>
      </w:r>
      <w:r>
        <w:rPr>
          <w:rFonts w:hint="eastAsia" w:ascii="仿宋_GB2312" w:hAnsi="仿宋_GB2312" w:cs="仿宋_GB2312"/>
          <w:szCs w:val="32"/>
          <w:lang w:eastAsia="zh" w:bidi="ar"/>
        </w:rPr>
        <w:t>覆盖领域全面、框架结构清晰、管理重点突出、问题导向鲜明的文旅市场管理体系。推进文旅单位标准化管理，</w:t>
      </w:r>
      <w:r>
        <w:rPr>
          <w:rFonts w:hint="eastAsia" w:ascii="仿宋_GB2312" w:hAnsi="仿宋_GB2312" w:cs="仿宋_GB2312"/>
          <w:szCs w:val="32"/>
          <w:highlight w:val="none"/>
          <w:lang w:eastAsia="zh" w:bidi="ar"/>
        </w:rPr>
        <w:t>细化</w:t>
      </w:r>
      <w:r>
        <w:rPr>
          <w:rFonts w:hint="eastAsia" w:ascii="仿宋_GB2312" w:hAnsi="仿宋_GB2312" w:cs="仿宋_GB2312"/>
          <w:szCs w:val="32"/>
          <w:highlight w:val="none"/>
          <w:lang w:val="en-US" w:eastAsia="zh-CN" w:bidi="ar"/>
        </w:rPr>
        <w:t>住宿业</w:t>
      </w:r>
      <w:r>
        <w:rPr>
          <w:rFonts w:hint="eastAsia" w:ascii="仿宋_GB2312" w:hAnsi="仿宋_GB2312" w:cs="仿宋_GB2312"/>
          <w:szCs w:val="32"/>
          <w:highlight w:val="none"/>
          <w:lang w:eastAsia="zh" w:bidi="ar"/>
        </w:rPr>
        <w:t>空间引导，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推动</w:t>
      </w:r>
      <w:r>
        <w:rPr>
          <w:rFonts w:hint="eastAsia" w:ascii="仿宋_GB2312" w:hAnsi="仿宋_GB2312" w:cs="仿宋_GB2312"/>
          <w:szCs w:val="32"/>
          <w:lang w:eastAsia="zh" w:bidi="ar"/>
        </w:rPr>
        <w:t>主题酒店、精品酒店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提质发展</w:t>
      </w:r>
      <w:r>
        <w:rPr>
          <w:rFonts w:hint="eastAsia" w:ascii="仿宋_GB2312" w:hAnsi="仿宋_GB2312" w:cs="仿宋_GB2312"/>
          <w:szCs w:val="32"/>
          <w:lang w:eastAsia="zh" w:bidi="ar"/>
        </w:rPr>
        <w:t>。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进一步</w:t>
      </w:r>
      <w:r>
        <w:rPr>
          <w:rFonts w:hint="eastAsia" w:ascii="仿宋_GB2312" w:hAnsi="仿宋_GB2312" w:cs="仿宋_GB2312"/>
          <w:szCs w:val="32"/>
          <w:lang w:eastAsia="zh" w:bidi="ar"/>
        </w:rPr>
        <w:t>完善信用管理，引导经营者树立诚信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经营</w:t>
      </w:r>
      <w:r>
        <w:rPr>
          <w:rFonts w:hint="eastAsia" w:ascii="仿宋_GB2312" w:hAnsi="仿宋_GB2312" w:cs="仿宋_GB2312"/>
          <w:szCs w:val="32"/>
          <w:lang w:eastAsia="zh" w:bidi="ar"/>
        </w:rPr>
        <w:t>观念。</w:t>
      </w:r>
      <w:r>
        <w:rPr>
          <w:rFonts w:hint="eastAsia" w:ascii="仿宋_GB2312" w:hAnsi="仿宋_GB2312" w:cs="仿宋_GB2312"/>
          <w:szCs w:val="32"/>
        </w:rPr>
        <w:t>推进旅游降密提质，</w:t>
      </w:r>
      <w:r>
        <w:rPr>
          <w:rFonts w:hint="eastAsia" w:ascii="仿宋_GB2312" w:hAnsi="仿宋_GB2312" w:cs="仿宋_GB2312"/>
          <w:szCs w:val="32"/>
          <w:lang w:eastAsia="zh" w:bidi="ar"/>
        </w:rPr>
        <w:t>严格落实重点景区限流措施，科学核定日最大承载量和瞬时最大承载量。</w:t>
      </w:r>
      <w:bookmarkStart w:id="78" w:name="_Toc17151"/>
      <w:bookmarkStart w:id="79" w:name="_Toc4469"/>
    </w:p>
    <w:p>
      <w:pPr>
        <w:pageBreakBefore w:val="0"/>
        <w:numPr>
          <w:ilvl w:val="255"/>
          <w:numId w:val="0"/>
        </w:numPr>
        <w:tabs>
          <w:tab w:val="left" w:pos="616"/>
        </w:tabs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firstLine="643" w:firstLineChars="200"/>
        <w:textAlignment w:val="auto"/>
        <w:rPr>
          <w:rFonts w:hint="eastAsia" w:ascii="仿宋_GB2312" w:hAnsi="仿宋_GB2312" w:cs="仿宋_GB2312"/>
          <w:szCs w:val="32"/>
          <w:lang w:eastAsia="zh" w:bidi="ar"/>
        </w:rPr>
      </w:pPr>
      <w:r>
        <w:rPr>
          <w:rStyle w:val="39"/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Style w:val="39"/>
          <w:rFonts w:hint="eastAsia" w:ascii="仿宋_GB2312" w:hAnsi="仿宋_GB2312" w:cs="仿宋_GB2312"/>
          <w:lang w:val="en-US" w:eastAsia="zh-CN"/>
        </w:rPr>
        <w:t>1</w:t>
      </w:r>
      <w:r>
        <w:rPr>
          <w:rStyle w:val="39"/>
          <w:rFonts w:hint="eastAsia" w:ascii="仿宋_GB2312" w:hAnsi="仿宋_GB2312" w:eastAsia="仿宋_GB2312" w:cs="仿宋_GB2312"/>
          <w:lang w:val="en-US" w:eastAsia="zh-CN"/>
        </w:rPr>
        <w:t>.探索文旅新业态监管方式</w:t>
      </w:r>
      <w:bookmarkEnd w:id="78"/>
      <w:bookmarkEnd w:id="79"/>
      <w:r>
        <w:rPr>
          <w:rStyle w:val="39"/>
          <w:rFonts w:hint="eastAsia" w:ascii="仿宋_GB2312" w:hAnsi="仿宋_GB2312" w:eastAsia="仿宋_GB2312" w:cs="仿宋_GB2312"/>
          <w:lang w:val="en-US" w:eastAsia="zh-CN"/>
        </w:rPr>
        <w:t>。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健全</w:t>
      </w:r>
      <w:r>
        <w:rPr>
          <w:rFonts w:hint="eastAsia" w:ascii="仿宋_GB2312" w:hAnsi="仿宋_GB2312" w:cs="仿宋_GB2312"/>
          <w:szCs w:val="32"/>
          <w:lang w:eastAsia="zh" w:bidi="ar"/>
        </w:rPr>
        <w:t>“属地管理、部门联动、各司其职、齐抓共管”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工作机制</w:t>
      </w:r>
      <w:r>
        <w:rPr>
          <w:rFonts w:hint="eastAsia" w:ascii="仿宋_GB2312" w:hAnsi="仿宋_GB2312" w:cs="仿宋_GB2312"/>
          <w:szCs w:val="32"/>
          <w:lang w:eastAsia="zh" w:bidi="ar"/>
        </w:rPr>
        <w:t>，提升综合监管效能。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压实</w:t>
      </w:r>
      <w:r>
        <w:rPr>
          <w:rFonts w:hint="eastAsia" w:ascii="仿宋_GB2312" w:hAnsi="仿宋_GB2312" w:cs="仿宋_GB2312"/>
          <w:szCs w:val="32"/>
          <w:lang w:eastAsia="zh" w:bidi="ar"/>
        </w:rPr>
        <w:t>经营单位主体责任，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建立</w:t>
      </w:r>
      <w:r>
        <w:rPr>
          <w:rFonts w:hint="eastAsia" w:ascii="仿宋_GB2312" w:hAnsi="仿宋_GB2312" w:cs="仿宋_GB2312"/>
          <w:szCs w:val="32"/>
          <w:lang w:eastAsia="zh" w:bidi="ar"/>
        </w:rPr>
        <w:t>以分类监管为特色、服务与监管相结合的监管</w:t>
      </w:r>
      <w:r>
        <w:rPr>
          <w:rFonts w:hint="eastAsia" w:ascii="仿宋_GB2312" w:hAnsi="仿宋_GB2312" w:cs="仿宋_GB2312"/>
          <w:szCs w:val="32"/>
          <w:lang w:bidi="ar"/>
        </w:rPr>
        <w:t>模式</w:t>
      </w:r>
      <w:r>
        <w:rPr>
          <w:rFonts w:hint="eastAsia" w:ascii="仿宋_GB2312" w:hAnsi="仿宋_GB2312" w:cs="仿宋_GB2312"/>
          <w:szCs w:val="32"/>
          <w:lang w:eastAsia="zh" w:bidi="ar"/>
        </w:rPr>
        <w:t>。依托西城区专家顾问团、律师团队组建多层次、多领域专家队伍，</w:t>
      </w:r>
      <w:r>
        <w:rPr>
          <w:rFonts w:hint="eastAsia" w:ascii="仿宋_GB2312" w:hAnsi="仿宋_GB2312" w:cs="仿宋_GB2312"/>
          <w:szCs w:val="32"/>
          <w:lang w:bidi="ar"/>
        </w:rPr>
        <w:t>完善</w:t>
      </w:r>
      <w:r>
        <w:rPr>
          <w:rFonts w:hint="eastAsia" w:ascii="仿宋_GB2312" w:hAnsi="仿宋_GB2312" w:cs="仿宋_GB2312"/>
          <w:szCs w:val="32"/>
          <w:lang w:eastAsia="zh" w:bidi="ar"/>
        </w:rPr>
        <w:t>咨询</w:t>
      </w:r>
      <w:r>
        <w:rPr>
          <w:rFonts w:hint="eastAsia" w:ascii="仿宋_GB2312" w:hAnsi="仿宋_GB2312" w:cs="仿宋_GB2312"/>
          <w:szCs w:val="32"/>
          <w:lang w:bidi="ar"/>
        </w:rPr>
        <w:t>流程</w:t>
      </w:r>
      <w:r>
        <w:rPr>
          <w:rFonts w:hint="eastAsia" w:ascii="仿宋_GB2312" w:hAnsi="仿宋_GB2312" w:cs="仿宋_GB2312"/>
          <w:szCs w:val="32"/>
          <w:lang w:eastAsia="zh" w:bidi="ar"/>
        </w:rPr>
        <w:t>，为新业态监管提供专业支撑。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强化</w:t>
      </w:r>
      <w:r>
        <w:rPr>
          <w:rFonts w:hint="eastAsia" w:ascii="仿宋_GB2312" w:hAnsi="仿宋_GB2312" w:cs="仿宋_GB2312"/>
          <w:szCs w:val="32"/>
          <w:lang w:eastAsia="zh" w:bidi="ar"/>
        </w:rPr>
        <w:t>文化艺术类校外培训</w:t>
      </w:r>
      <w:r>
        <w:rPr>
          <w:rFonts w:hint="eastAsia" w:ascii="仿宋_GB2312" w:hAnsi="仿宋_GB2312" w:cs="仿宋_GB2312"/>
          <w:szCs w:val="32"/>
          <w:lang w:bidi="ar"/>
        </w:rPr>
        <w:t>预付费监管</w:t>
      </w:r>
      <w:r>
        <w:rPr>
          <w:rFonts w:hint="eastAsia" w:ascii="仿宋_GB2312" w:hAnsi="仿宋_GB2312" w:cs="仿宋_GB2312"/>
          <w:szCs w:val="32"/>
          <w:lang w:eastAsia="zh" w:bidi="ar"/>
        </w:rPr>
        <w:t>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切实</w:t>
      </w:r>
      <w:r>
        <w:rPr>
          <w:rFonts w:hint="eastAsia" w:ascii="仿宋_GB2312" w:hAnsi="仿宋_GB2312" w:cs="仿宋_GB2312"/>
          <w:szCs w:val="32"/>
          <w:lang w:eastAsia="zh" w:bidi="ar"/>
        </w:rPr>
        <w:t>保障学员和家长权益。</w:t>
      </w:r>
      <w:bookmarkStart w:id="80" w:name="_Toc9049"/>
      <w:bookmarkStart w:id="81" w:name="_Toc3872"/>
    </w:p>
    <w:p>
      <w:pPr>
        <w:pageBreakBefore w:val="0"/>
        <w:numPr>
          <w:ilvl w:val="255"/>
          <w:numId w:val="0"/>
        </w:numPr>
        <w:tabs>
          <w:tab w:val="left" w:pos="616"/>
        </w:tabs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firstLine="643" w:firstLineChars="200"/>
        <w:textAlignment w:val="auto"/>
        <w:rPr>
          <w:rFonts w:hint="eastAsia" w:ascii="仿宋_GB2312" w:hAnsi="仿宋_GB2312" w:cs="仿宋_GB2312"/>
          <w:szCs w:val="32"/>
          <w:lang w:eastAsia="zh" w:bidi="ar"/>
        </w:rPr>
      </w:pPr>
      <w:r>
        <w:rPr>
          <w:rStyle w:val="39"/>
          <w:rFonts w:hint="eastAsia" w:ascii="仿宋_GB2312" w:hAnsi="仿宋_GB2312" w:cs="仿宋_GB2312"/>
          <w:lang w:val="en-US" w:eastAsia="zh-CN"/>
        </w:rPr>
        <w:t>22</w:t>
      </w:r>
      <w:r>
        <w:rPr>
          <w:rStyle w:val="39"/>
          <w:rFonts w:hint="eastAsia" w:ascii="仿宋_GB2312" w:hAnsi="仿宋_GB2312" w:eastAsia="仿宋_GB2312" w:cs="仿宋_GB2312"/>
          <w:lang w:val="en-US" w:eastAsia="zh-CN"/>
        </w:rPr>
        <w:t>.持续优化文旅营商环境</w:t>
      </w:r>
      <w:bookmarkEnd w:id="80"/>
      <w:bookmarkEnd w:id="81"/>
      <w:r>
        <w:rPr>
          <w:rStyle w:val="39"/>
          <w:rFonts w:hint="eastAsia" w:ascii="仿宋_GB2312" w:hAnsi="仿宋_GB2312" w:eastAsia="仿宋_GB2312" w:cs="仿宋_GB2312"/>
          <w:lang w:val="en-US" w:eastAsia="zh-CN"/>
        </w:rPr>
        <w:t>。</w:t>
      </w:r>
      <w:r>
        <w:rPr>
          <w:rFonts w:hint="eastAsia" w:ascii="仿宋_GB2312" w:hAnsi="仿宋_GB2312" w:cs="仿宋_GB2312"/>
          <w:szCs w:val="32"/>
          <w:lang w:eastAsia="zh" w:bidi="ar"/>
        </w:rPr>
        <w:t>深化文旅领域“放管服”改革，聚焦“高效办成一件事”改革措施</w:t>
      </w:r>
      <w:r>
        <w:rPr>
          <w:rFonts w:hint="eastAsia" w:ascii="仿宋_GB2312" w:hAnsi="仿宋_GB2312" w:cs="仿宋_GB2312"/>
          <w:szCs w:val="32"/>
          <w:lang w:eastAsia="zh-CN" w:bidi="ar"/>
        </w:rPr>
        <w:t>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提升审批事项“一网通办”服务水平</w:t>
      </w:r>
      <w:r>
        <w:rPr>
          <w:rFonts w:hint="eastAsia" w:ascii="仿宋_GB2312" w:hAnsi="仿宋_GB2312" w:cs="仿宋_GB2312"/>
          <w:szCs w:val="32"/>
          <w:lang w:eastAsia="zh" w:bidi="ar"/>
        </w:rPr>
        <w:t>。完善“服务包+大走访”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机制</w:t>
      </w:r>
      <w:r>
        <w:rPr>
          <w:rFonts w:hint="eastAsia" w:ascii="仿宋_GB2312" w:hAnsi="仿宋_GB2312" w:cs="仿宋_GB2312"/>
          <w:szCs w:val="32"/>
          <w:lang w:eastAsia="zh" w:bidi="ar"/>
        </w:rPr>
        <w:t>，加强行业服务与指导</w:t>
      </w:r>
      <w:r>
        <w:rPr>
          <w:rFonts w:hint="eastAsia" w:ascii="仿宋_GB2312" w:hAnsi="仿宋_GB2312" w:cs="仿宋_GB2312"/>
          <w:szCs w:val="32"/>
          <w:lang w:eastAsia="zh-CN" w:bidi="ar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kern w:val="2"/>
          <w:sz w:val="32"/>
          <w:szCs w:val="32"/>
          <w:lang w:val="en-US" w:eastAsia="zh-CN" w:bidi="ar-SA"/>
        </w:rPr>
        <w:t>发挥12345市民热线、</w:t>
      </w:r>
      <w:r>
        <w:rPr>
          <w:rFonts w:hint="eastAsia" w:ascii="仿宋_GB2312" w:hAnsi="仿宋_GB2312" w:cs="仿宋_GB2312"/>
          <w:b w:val="0"/>
          <w:bCs w:val="0"/>
          <w:i w:val="0"/>
          <w:iCs w:val="0"/>
          <w:kern w:val="2"/>
          <w:sz w:val="32"/>
          <w:szCs w:val="32"/>
          <w:lang w:val="en-US" w:eastAsia="zh-CN" w:bidi="ar-SA"/>
        </w:rPr>
        <w:t>文旅质监综合管理系统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kern w:val="2"/>
          <w:sz w:val="32"/>
          <w:szCs w:val="32"/>
          <w:lang w:val="en-US" w:eastAsia="zh-CN" w:bidi="ar-SA"/>
        </w:rPr>
        <w:t>渠道效能，完善文旅领域接诉即办标准化运行机制，高效处置群众诉求，通过工单全流程办理推进文旅纠纷多元化解。</w:t>
      </w:r>
      <w:r>
        <w:rPr>
          <w:rFonts w:hint="eastAsia" w:ascii="仿宋_GB2312" w:hAnsi="仿宋_GB2312" w:cs="仿宋_GB2312"/>
          <w:szCs w:val="32"/>
          <w:lang w:eastAsia="zh" w:bidi="ar"/>
        </w:rPr>
        <w:t>加强宣传引导，营造有利于旅游市场规范健康发展的社会环境。倡导游客理性消费、文明出游，加强旅游不文明行为监督管理。</w:t>
      </w:r>
      <w:bookmarkStart w:id="82" w:name="_Toc10766"/>
      <w:bookmarkStart w:id="83" w:name="_Toc8790"/>
    </w:p>
    <w:p>
      <w:pPr>
        <w:pageBreakBefore w:val="0"/>
        <w:numPr>
          <w:ilvl w:val="255"/>
          <w:numId w:val="0"/>
        </w:numPr>
        <w:tabs>
          <w:tab w:val="left" w:pos="616"/>
        </w:tabs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firstLine="643" w:firstLineChars="200"/>
        <w:textAlignment w:val="auto"/>
        <w:rPr>
          <w:rFonts w:hint="default" w:ascii="仿宋_GB2312" w:hAnsi="Times New Roman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Style w:val="39"/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Style w:val="39"/>
          <w:rFonts w:hint="eastAsia" w:ascii="仿宋_GB2312" w:hAnsi="仿宋_GB2312" w:cs="仿宋_GB2312"/>
          <w:lang w:val="en-US" w:eastAsia="zh-CN"/>
        </w:rPr>
        <w:t>3</w:t>
      </w:r>
      <w:r>
        <w:rPr>
          <w:rStyle w:val="39"/>
          <w:rFonts w:hint="eastAsia" w:ascii="仿宋_GB2312" w:hAnsi="仿宋_GB2312" w:eastAsia="仿宋_GB2312" w:cs="仿宋_GB2312"/>
          <w:lang w:val="en-US" w:eastAsia="zh-CN"/>
        </w:rPr>
        <w:t>.提高文旅市场执法水平</w:t>
      </w:r>
      <w:bookmarkEnd w:id="82"/>
      <w:bookmarkEnd w:id="83"/>
      <w:r>
        <w:rPr>
          <w:rStyle w:val="39"/>
          <w:rFonts w:hint="eastAsia" w:ascii="仿宋_GB2312" w:hAnsi="仿宋_GB2312" w:eastAsia="仿宋_GB2312" w:cs="仿宋_GB2312"/>
          <w:lang w:val="en-US" w:eastAsia="zh-CN"/>
        </w:rPr>
        <w:t>。</w:t>
      </w:r>
      <w:r>
        <w:rPr>
          <w:rFonts w:hint="eastAsia"/>
          <w:lang w:val="en-US" w:eastAsia="zh-CN"/>
        </w:rPr>
        <w:t>推进</w:t>
      </w:r>
      <w:r>
        <w:rPr>
          <w:rFonts w:hint="eastAsia" w:ascii="仿宋_GB2312" w:hAnsi="仿宋_GB2312" w:cs="仿宋_GB2312"/>
          <w:szCs w:val="32"/>
          <w:lang w:eastAsia="zh-CN" w:bidi="ar"/>
        </w:rPr>
        <w:t>一体化综合监管，规范行政检查流程，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强化智慧监管，</w:t>
      </w:r>
      <w:r>
        <w:rPr>
          <w:rFonts w:hint="eastAsia" w:ascii="仿宋_GB2312" w:hAnsi="仿宋_GB2312" w:cs="仿宋_GB2312"/>
          <w:szCs w:val="32"/>
          <w:lang w:eastAsia="zh-CN" w:bidi="ar"/>
        </w:rPr>
        <w:t>提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升</w:t>
      </w:r>
      <w:r>
        <w:rPr>
          <w:rFonts w:hint="eastAsia" w:ascii="仿宋_GB2312" w:hAnsi="仿宋_GB2312" w:cs="仿宋_GB2312"/>
          <w:szCs w:val="32"/>
          <w:lang w:eastAsia="zh-CN" w:bidi="ar"/>
        </w:rPr>
        <w:t>执法监管效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能</w:t>
      </w:r>
      <w:r>
        <w:rPr>
          <w:rFonts w:hint="eastAsia" w:ascii="仿宋_GB2312" w:hAnsi="仿宋_GB2312" w:cs="仿宋_GB2312"/>
          <w:szCs w:val="32"/>
          <w:lang w:eastAsia="zh-CN" w:bidi="ar"/>
        </w:rPr>
        <w:t>。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依法保护未成年人合法权益。有效防范化解意识形态重点领域风险，守住文化领域意识形态安全底线。</w:t>
      </w:r>
      <w:r>
        <w:rPr>
          <w:rFonts w:hint="eastAsia" w:ascii="仿宋_GB2312" w:hAnsi="仿宋_GB2312" w:cs="仿宋_GB2312"/>
          <w:szCs w:val="32"/>
          <w:lang w:eastAsia="zh" w:bidi="ar"/>
        </w:rPr>
        <w:t>加</w:t>
      </w:r>
      <w:r>
        <w:rPr>
          <w:rFonts w:hint="eastAsia" w:ascii="仿宋_GB2312" w:hAnsi="仿宋_GB2312" w:cs="仿宋_GB2312"/>
          <w:szCs w:val="32"/>
          <w:highlight w:val="none"/>
          <w:lang w:eastAsia="zh" w:bidi="ar"/>
        </w:rPr>
        <w:t>大涉</w:t>
      </w:r>
      <w:r>
        <w:rPr>
          <w:rFonts w:hint="eastAsia" w:ascii="仿宋_GB2312" w:hAnsi="仿宋_GB2312" w:cs="仿宋_GB2312"/>
          <w:szCs w:val="32"/>
          <w:highlight w:val="none"/>
          <w:lang w:val="en-US" w:eastAsia="zh-CN" w:bidi="ar"/>
        </w:rPr>
        <w:t>旅乱象打击整治力度，巩固导游乱象、强制消费专项整治成效，维护旅游市场良好秩序。加强新修订文物保护法律法规学习运用，强化文物保护监管。</w:t>
      </w:r>
      <w:r>
        <w:rPr>
          <w:rFonts w:hint="eastAsia" w:ascii="仿宋_GB2312" w:hAnsi="仿宋_GB2312" w:cs="仿宋_GB2312"/>
          <w:szCs w:val="32"/>
          <w:lang w:eastAsia="zh" w:bidi="ar"/>
        </w:rPr>
        <w:t>加强出版、印刷、艺术品、网吧、娱乐、演出、互联网文化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等</w:t>
      </w:r>
      <w:r>
        <w:rPr>
          <w:rFonts w:hint="eastAsia" w:ascii="仿宋_GB2312" w:hAnsi="仿宋_GB2312" w:cs="仿宋_GB2312"/>
          <w:szCs w:val="32"/>
          <w:lang w:eastAsia="zh" w:bidi="ar"/>
        </w:rPr>
        <w:t>领域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执法</w:t>
      </w:r>
      <w:r>
        <w:rPr>
          <w:rFonts w:hint="eastAsia" w:ascii="仿宋_GB2312" w:hAnsi="仿宋_GB2312" w:cs="仿宋_GB2312"/>
          <w:szCs w:val="32"/>
          <w:lang w:eastAsia="zh" w:bidi="ar"/>
        </w:rPr>
        <w:t>监管</w:t>
      </w:r>
      <w:r>
        <w:rPr>
          <w:rFonts w:hint="eastAsia" w:ascii="仿宋_GB2312" w:hAnsi="仿宋_GB2312" w:cs="仿宋_GB2312"/>
          <w:szCs w:val="32"/>
          <w:lang w:eastAsia="zh-CN" w:bidi="ar"/>
        </w:rPr>
        <w:t>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做好宗教领域相关执法工作</w:t>
      </w:r>
      <w:r>
        <w:rPr>
          <w:rFonts w:hint="eastAsia" w:ascii="仿宋_GB2312" w:hAnsi="仿宋_GB2312" w:cs="仿宋_GB2312"/>
          <w:szCs w:val="32"/>
          <w:lang w:eastAsia="zh-CN" w:bidi="ar"/>
        </w:rPr>
        <w:t>。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探索</w:t>
      </w:r>
      <w:r>
        <w:rPr>
          <w:rFonts w:hint="eastAsia" w:cs="Times New Roman"/>
          <w:sz w:val="32"/>
          <w:lang w:val="en-US" w:eastAsia="zh-CN"/>
        </w:rPr>
        <w:t>剧本娱乐经营场所</w:t>
      </w:r>
      <w:r>
        <w:rPr>
          <w:rFonts w:hint="eastAsia" w:eastAsia="仿宋_GB2312" w:cs="Times New Roman"/>
          <w:sz w:val="32"/>
          <w:lang w:eastAsia="zh-CN"/>
        </w:rPr>
        <w:t>、私人影院等文旅市场新业态监管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路径，依法打击违法违规行为，护航文旅产业高质量发展</w:t>
      </w:r>
      <w:r>
        <w:rPr>
          <w:rFonts w:hint="eastAsia" w:ascii="仿宋_GB2312" w:hAnsi="仿宋_GB2312" w:cs="仿宋_GB2312"/>
          <w:szCs w:val="32"/>
          <w:lang w:eastAsia="zh" w:bidi="ar"/>
        </w:rPr>
        <w:t>。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坚持</w:t>
      </w:r>
      <w:r>
        <w:rPr>
          <w:rFonts w:hint="eastAsia" w:ascii="仿宋_GB2312" w:hAnsi="Times New Roman" w:cs="仿宋_GB2312"/>
          <w:szCs w:val="32"/>
          <w:lang w:bidi="ar"/>
        </w:rPr>
        <w:t>宽严相济、法理相融，严格</w:t>
      </w:r>
      <w:r>
        <w:rPr>
          <w:rFonts w:hint="eastAsia" w:ascii="仿宋_GB2312" w:hAnsi="Times New Roman" w:cs="仿宋_GB2312"/>
          <w:szCs w:val="32"/>
          <w:lang w:eastAsia="zh-CN" w:bidi="ar"/>
        </w:rPr>
        <w:t>、</w:t>
      </w:r>
      <w:r>
        <w:rPr>
          <w:rFonts w:hint="eastAsia" w:ascii="仿宋_GB2312" w:hAnsi="Times New Roman" w:cs="仿宋_GB2312"/>
          <w:szCs w:val="32"/>
          <w:lang w:bidi="ar"/>
        </w:rPr>
        <w:t>规范</w:t>
      </w:r>
      <w:r>
        <w:rPr>
          <w:rFonts w:hint="eastAsia" w:ascii="仿宋_GB2312" w:hAnsi="Times New Roman" w:cs="仿宋_GB2312"/>
          <w:szCs w:val="32"/>
          <w:lang w:eastAsia="zh-CN" w:bidi="ar"/>
        </w:rPr>
        <w:t>、</w:t>
      </w:r>
      <w:r>
        <w:rPr>
          <w:rFonts w:hint="eastAsia" w:ascii="仿宋_GB2312" w:hAnsi="Times New Roman" w:cs="仿宋_GB2312"/>
          <w:szCs w:val="32"/>
          <w:lang w:bidi="ar"/>
        </w:rPr>
        <w:t>公正</w:t>
      </w:r>
      <w:r>
        <w:rPr>
          <w:rFonts w:hint="eastAsia" w:ascii="仿宋_GB2312" w:hAnsi="Times New Roman" w:cs="仿宋_GB2312"/>
          <w:szCs w:val="32"/>
          <w:lang w:eastAsia="zh-CN" w:bidi="ar"/>
        </w:rPr>
        <w:t>、</w:t>
      </w:r>
      <w:r>
        <w:rPr>
          <w:rFonts w:hint="eastAsia" w:ascii="仿宋_GB2312" w:hAnsi="Times New Roman" w:cs="仿宋_GB2312"/>
          <w:szCs w:val="32"/>
          <w:lang w:bidi="ar"/>
        </w:rPr>
        <w:t>文明执法</w:t>
      </w:r>
      <w:r>
        <w:rPr>
          <w:rFonts w:hint="default" w:ascii="仿宋_GB2312" w:hAnsi="Times New Roman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"/>
        </w:rPr>
        <w:t>。</w:t>
      </w:r>
      <w:bookmarkStart w:id="84" w:name="_Toc17027"/>
      <w:bookmarkStart w:id="85" w:name="_Toc8085"/>
    </w:p>
    <w:p>
      <w:pPr>
        <w:pageBreakBefore w:val="0"/>
        <w:numPr>
          <w:ilvl w:val="255"/>
          <w:numId w:val="0"/>
        </w:numPr>
        <w:tabs>
          <w:tab w:val="left" w:pos="616"/>
        </w:tabs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firstLine="643" w:firstLineChars="200"/>
        <w:textAlignment w:val="auto"/>
        <w:rPr>
          <w:rFonts w:hint="eastAsia" w:ascii="仿宋_GB2312" w:hAnsi="仿宋_GB2312" w:cs="仿宋_GB2312"/>
          <w:szCs w:val="32"/>
          <w:lang w:eastAsia="zh" w:bidi="ar"/>
        </w:rPr>
      </w:pPr>
      <w:r>
        <w:rPr>
          <w:rStyle w:val="39"/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Style w:val="39"/>
          <w:rFonts w:hint="eastAsia" w:ascii="仿宋_GB2312" w:hAnsi="仿宋_GB2312" w:cs="仿宋_GB2312"/>
          <w:lang w:val="en-US" w:eastAsia="zh-CN"/>
        </w:rPr>
        <w:t>4</w:t>
      </w:r>
      <w:r>
        <w:rPr>
          <w:rStyle w:val="39"/>
          <w:rFonts w:hint="eastAsia" w:ascii="仿宋_GB2312" w:hAnsi="仿宋_GB2312" w:eastAsia="仿宋_GB2312" w:cs="仿宋_GB2312"/>
          <w:lang w:val="en-US" w:eastAsia="zh-CN"/>
        </w:rPr>
        <w:t>.</w:t>
      </w:r>
      <w:r>
        <w:rPr>
          <w:rStyle w:val="39"/>
          <w:rFonts w:hint="eastAsia" w:ascii="仿宋_GB2312" w:hAnsi="仿宋_GB2312" w:eastAsia="仿宋_GB2312" w:cs="仿宋_GB2312"/>
        </w:rPr>
        <w:t>强化安全生产管理</w:t>
      </w:r>
      <w:bookmarkEnd w:id="84"/>
      <w:bookmarkEnd w:id="85"/>
      <w:r>
        <w:rPr>
          <w:rStyle w:val="39"/>
          <w:rFonts w:hint="eastAsia" w:ascii="仿宋_GB2312" w:hAnsi="仿宋_GB2312" w:eastAsia="仿宋_GB2312" w:cs="仿宋_GB2312"/>
          <w:lang w:eastAsia="zh-CN"/>
        </w:rPr>
        <w:t>。</w:t>
      </w:r>
      <w:r>
        <w:rPr>
          <w:rFonts w:hint="eastAsia" w:ascii="仿宋_GB2312" w:hAnsi="仿宋_GB2312" w:cs="仿宋_GB2312"/>
          <w:szCs w:val="32"/>
        </w:rPr>
        <w:t>健全跨部门信息</w:t>
      </w:r>
      <w:r>
        <w:rPr>
          <w:rFonts w:hint="eastAsia" w:ascii="仿宋_GB2312" w:hAnsi="仿宋_GB2312" w:cs="仿宋_GB2312"/>
          <w:szCs w:val="32"/>
          <w:lang w:val="en-US" w:eastAsia="zh-CN"/>
        </w:rPr>
        <w:t>互通</w:t>
      </w:r>
      <w:r>
        <w:rPr>
          <w:rFonts w:hint="eastAsia" w:ascii="仿宋_GB2312" w:hAnsi="仿宋_GB2312" w:cs="仿宋_GB2312"/>
          <w:szCs w:val="32"/>
        </w:rPr>
        <w:t>、联合巡查、会商评估</w:t>
      </w:r>
      <w:r>
        <w:rPr>
          <w:rFonts w:hint="eastAsia" w:ascii="仿宋_GB2312" w:hAnsi="仿宋_GB2312" w:cs="仿宋_GB2312"/>
          <w:szCs w:val="32"/>
          <w:lang w:eastAsia="zh-CN"/>
        </w:rPr>
        <w:t>、</w:t>
      </w:r>
      <w:r>
        <w:rPr>
          <w:rFonts w:hint="eastAsia" w:ascii="仿宋_GB2312" w:hAnsi="仿宋_GB2312" w:cs="仿宋_GB2312"/>
          <w:szCs w:val="32"/>
          <w:lang w:val="en-US" w:eastAsia="zh-CN"/>
        </w:rPr>
        <w:t>闭环处置</w:t>
      </w:r>
      <w:r>
        <w:rPr>
          <w:rFonts w:hint="eastAsia" w:ascii="仿宋_GB2312" w:hAnsi="仿宋_GB2312" w:cs="仿宋_GB2312"/>
          <w:szCs w:val="32"/>
        </w:rPr>
        <w:t>安全生产</w:t>
      </w:r>
      <w:r>
        <w:rPr>
          <w:rFonts w:hint="eastAsia" w:ascii="仿宋_GB2312" w:hAnsi="仿宋_GB2312" w:cs="仿宋_GB2312"/>
          <w:szCs w:val="32"/>
          <w:lang w:val="en-US" w:eastAsia="zh-CN"/>
        </w:rPr>
        <w:t>协同</w:t>
      </w:r>
      <w:r>
        <w:rPr>
          <w:rFonts w:hint="eastAsia" w:ascii="仿宋_GB2312" w:hAnsi="仿宋_GB2312" w:cs="仿宋_GB2312"/>
          <w:szCs w:val="32"/>
        </w:rPr>
        <w:t>机制，</w:t>
      </w:r>
      <w:r>
        <w:rPr>
          <w:rFonts w:hint="eastAsia" w:ascii="仿宋_GB2312" w:hAnsi="仿宋_GB2312" w:cs="仿宋_GB2312"/>
          <w:szCs w:val="32"/>
          <w:lang w:val="en-US" w:eastAsia="zh-CN"/>
        </w:rPr>
        <w:t>织密</w:t>
      </w:r>
      <w:r>
        <w:rPr>
          <w:rFonts w:hint="eastAsia" w:ascii="仿宋_GB2312" w:hAnsi="仿宋_GB2312" w:cs="仿宋_GB2312"/>
          <w:szCs w:val="32"/>
        </w:rPr>
        <w:t>全时段、全方位、全覆盖的安全生产联防联控格局。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坚持</w:t>
      </w:r>
      <w:r>
        <w:rPr>
          <w:rFonts w:hint="eastAsia" w:ascii="仿宋_GB2312" w:hAnsi="仿宋_GB2312" w:cs="仿宋_GB2312"/>
          <w:szCs w:val="32"/>
          <w:lang w:eastAsia="zh" w:bidi="ar"/>
        </w:rPr>
        <w:t>源头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治理、关口前移</w:t>
      </w:r>
      <w:r>
        <w:rPr>
          <w:rFonts w:hint="eastAsia" w:ascii="仿宋_GB2312" w:hAnsi="仿宋_GB2312" w:cs="仿宋_GB2312"/>
          <w:szCs w:val="32"/>
          <w:lang w:eastAsia="zh" w:bidi="ar"/>
        </w:rPr>
        <w:t>，严格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开展安全</w:t>
      </w:r>
      <w:r>
        <w:rPr>
          <w:rFonts w:hint="eastAsia" w:ascii="仿宋_GB2312" w:hAnsi="仿宋_GB2312" w:cs="仿宋_GB2312"/>
          <w:szCs w:val="32"/>
          <w:lang w:eastAsia="zh" w:bidi="ar"/>
        </w:rPr>
        <w:t>风险评估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分级管控</w:t>
      </w:r>
      <w:r>
        <w:rPr>
          <w:rFonts w:hint="eastAsia" w:ascii="仿宋_GB2312" w:hAnsi="仿宋_GB2312" w:cs="仿宋_GB2312"/>
          <w:szCs w:val="32"/>
          <w:lang w:eastAsia="zh" w:bidi="ar"/>
        </w:rPr>
        <w:t>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常态化推进</w:t>
      </w:r>
      <w:r>
        <w:rPr>
          <w:rFonts w:hint="eastAsia" w:ascii="仿宋_GB2312" w:hAnsi="仿宋_GB2312" w:cs="仿宋_GB2312"/>
          <w:szCs w:val="32"/>
          <w:lang w:eastAsia="zh" w:bidi="ar"/>
        </w:rPr>
        <w:t>安全隐患排查治理</w:t>
      </w:r>
      <w:r>
        <w:rPr>
          <w:rFonts w:hint="eastAsia" w:ascii="仿宋_GB2312" w:hAnsi="仿宋_GB2312" w:cs="仿宋_GB2312"/>
          <w:szCs w:val="32"/>
          <w:lang w:eastAsia="zh-CN" w:bidi="ar"/>
        </w:rPr>
        <w:t>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纵深实施</w:t>
      </w:r>
      <w:r>
        <w:rPr>
          <w:rFonts w:hint="eastAsia" w:ascii="仿宋_GB2312" w:hAnsi="仿宋_GB2312" w:cs="仿宋_GB2312"/>
          <w:szCs w:val="32"/>
          <w:lang w:eastAsia="zh" w:bidi="ar"/>
        </w:rPr>
        <w:t>重点领域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安全生产</w:t>
      </w:r>
      <w:r>
        <w:rPr>
          <w:rFonts w:hint="eastAsia" w:ascii="仿宋_GB2312" w:hAnsi="仿宋_GB2312" w:cs="仿宋_GB2312"/>
          <w:szCs w:val="32"/>
          <w:lang w:eastAsia="zh" w:bidi="ar"/>
        </w:rPr>
        <w:t>专项整治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行动</w:t>
      </w:r>
      <w:r>
        <w:rPr>
          <w:rFonts w:hint="eastAsia" w:ascii="仿宋_GB2312" w:hAnsi="仿宋_GB2312" w:cs="仿宋_GB2312"/>
          <w:szCs w:val="32"/>
          <w:lang w:eastAsia="zh" w:bidi="ar"/>
        </w:rPr>
        <w:t>。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常态化组织</w:t>
      </w:r>
      <w:r>
        <w:rPr>
          <w:rFonts w:hint="eastAsia" w:ascii="仿宋_GB2312" w:hAnsi="仿宋_GB2312" w:cs="仿宋_GB2312"/>
          <w:szCs w:val="32"/>
          <w:lang w:eastAsia="zh" w:bidi="ar"/>
        </w:rPr>
        <w:t>行业安全培训和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实战</w:t>
      </w:r>
      <w:r>
        <w:rPr>
          <w:rFonts w:hint="eastAsia" w:ascii="仿宋_GB2312" w:hAnsi="仿宋_GB2312" w:cs="仿宋_GB2312"/>
          <w:szCs w:val="32"/>
          <w:lang w:eastAsia="zh" w:bidi="ar"/>
        </w:rPr>
        <w:t>应急演练，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不断</w:t>
      </w:r>
      <w:r>
        <w:rPr>
          <w:rFonts w:ascii="仿宋_GB2312" w:hAnsi="仿宋_GB2312" w:cs="仿宋_GB2312"/>
          <w:szCs w:val="32"/>
          <w:lang w:eastAsia="zh" w:bidi="ar"/>
        </w:rPr>
        <w:t>提高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快速响应与</w:t>
      </w:r>
      <w:r>
        <w:rPr>
          <w:rFonts w:ascii="仿宋_GB2312" w:hAnsi="仿宋_GB2312" w:cs="仿宋_GB2312"/>
          <w:szCs w:val="32"/>
          <w:lang w:eastAsia="zh" w:bidi="ar"/>
        </w:rPr>
        <w:t>应急处置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水平</w:t>
      </w:r>
      <w:r>
        <w:rPr>
          <w:rFonts w:hint="eastAsia" w:ascii="仿宋_GB2312" w:hAnsi="仿宋_GB2312" w:cs="仿宋_GB2312"/>
          <w:szCs w:val="32"/>
          <w:lang w:eastAsia="zh" w:bidi="ar"/>
        </w:rPr>
        <w:t>。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抓实</w:t>
      </w:r>
      <w:r>
        <w:rPr>
          <w:rFonts w:hint="eastAsia" w:ascii="仿宋_GB2312" w:hAnsi="仿宋_GB2312" w:cs="仿宋_GB2312"/>
          <w:szCs w:val="32"/>
          <w:lang w:eastAsia="zh" w:bidi="ar"/>
        </w:rPr>
        <w:t>从业人员安全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警示</w:t>
      </w:r>
      <w:r>
        <w:rPr>
          <w:rFonts w:hint="eastAsia" w:ascii="仿宋_GB2312" w:hAnsi="仿宋_GB2312" w:cs="仿宋_GB2312"/>
          <w:szCs w:val="32"/>
          <w:lang w:eastAsia="zh" w:bidi="ar"/>
        </w:rPr>
        <w:t>教育，加大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面向社会</w:t>
      </w:r>
      <w:r>
        <w:rPr>
          <w:rFonts w:hint="eastAsia" w:ascii="仿宋_GB2312" w:hAnsi="仿宋_GB2312" w:cs="仿宋_GB2312"/>
          <w:szCs w:val="32"/>
          <w:lang w:eastAsia="zh" w:bidi="ar"/>
        </w:rPr>
        <w:t>公众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的安全科普</w:t>
      </w:r>
      <w:r>
        <w:rPr>
          <w:rFonts w:hint="eastAsia" w:ascii="仿宋_GB2312" w:hAnsi="仿宋_GB2312" w:cs="仿宋_GB2312"/>
          <w:szCs w:val="32"/>
          <w:lang w:eastAsia="zh" w:bidi="ar"/>
        </w:rPr>
        <w:t>宣传力度，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树牢</w:t>
      </w:r>
      <w:r>
        <w:rPr>
          <w:rFonts w:hint="eastAsia" w:ascii="仿宋_GB2312" w:hAnsi="仿宋_GB2312" w:cs="仿宋_GB2312"/>
          <w:szCs w:val="32"/>
          <w:lang w:eastAsia="zh" w:bidi="ar"/>
        </w:rPr>
        <w:t>底线思维</w:t>
      </w:r>
      <w:r>
        <w:rPr>
          <w:rFonts w:hint="eastAsia" w:ascii="仿宋_GB2312" w:hAnsi="仿宋_GB2312" w:cs="仿宋_GB2312"/>
          <w:szCs w:val="32"/>
          <w:lang w:eastAsia="zh-CN" w:bidi="ar"/>
        </w:rPr>
        <w:t>、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严守安全</w:t>
      </w:r>
      <w:r>
        <w:rPr>
          <w:rFonts w:ascii="仿宋_GB2312" w:hAnsi="仿宋_GB2312" w:cs="仿宋_GB2312"/>
          <w:szCs w:val="32"/>
          <w:lang w:eastAsia="zh" w:bidi="ar"/>
        </w:rPr>
        <w:t>红线，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持续</w:t>
      </w:r>
      <w:r>
        <w:rPr>
          <w:rFonts w:ascii="仿宋_GB2312" w:hAnsi="仿宋_GB2312" w:cs="仿宋_GB2312"/>
          <w:szCs w:val="32"/>
          <w:lang w:eastAsia="zh" w:bidi="ar"/>
        </w:rPr>
        <w:t>筑牢安全</w:t>
      </w:r>
      <w:r>
        <w:rPr>
          <w:rFonts w:hint="eastAsia" w:ascii="仿宋_GB2312" w:hAnsi="仿宋_GB2312" w:cs="仿宋_GB2312"/>
          <w:szCs w:val="32"/>
          <w:lang w:eastAsia="zh" w:bidi="ar"/>
        </w:rPr>
        <w:t>发</w:t>
      </w:r>
      <w:r>
        <w:rPr>
          <w:rFonts w:ascii="仿宋_GB2312" w:hAnsi="仿宋_GB2312" w:cs="仿宋_GB2312"/>
          <w:szCs w:val="32"/>
          <w:lang w:eastAsia="zh" w:bidi="ar"/>
        </w:rPr>
        <w:t>展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坚实</w:t>
      </w:r>
      <w:r>
        <w:rPr>
          <w:rFonts w:hint="eastAsia" w:ascii="仿宋_GB2312" w:hAnsi="仿宋_GB2312" w:cs="仿宋_GB2312"/>
          <w:szCs w:val="32"/>
          <w:lang w:eastAsia="zh" w:bidi="ar"/>
        </w:rPr>
        <w:t>基石</w:t>
      </w:r>
      <w:r>
        <w:rPr>
          <w:rFonts w:ascii="仿宋_GB2312" w:hAnsi="仿宋_GB2312" w:cs="仿宋_GB2312"/>
          <w:szCs w:val="32"/>
          <w:lang w:eastAsia="zh" w:bidi="ar"/>
        </w:rPr>
        <w:t>。</w:t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/>
        </w:rPr>
      </w:pPr>
      <w:bookmarkStart w:id="86" w:name="_Toc12452"/>
      <w:bookmarkStart w:id="87" w:name="_Toc22145"/>
      <w:bookmarkStart w:id="88" w:name="_Toc18388"/>
      <w:r>
        <w:rPr>
          <w:rFonts w:hint="eastAsia"/>
          <w:lang w:val="en-US" w:eastAsia="zh-CN"/>
        </w:rPr>
        <w:t>五、</w:t>
      </w:r>
      <w:r>
        <w:t>保障措施</w:t>
      </w:r>
      <w:bookmarkEnd w:id="86"/>
      <w:bookmarkEnd w:id="87"/>
      <w:bookmarkEnd w:id="88"/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</w:pPr>
      <w:r>
        <w:rPr>
          <w:rFonts w:hint="eastAsia"/>
          <w:lang w:eastAsia="zh"/>
        </w:rPr>
        <w:t>坚持党对文化和旅游工作的全面领导，</w:t>
      </w:r>
      <w:r>
        <w:rPr>
          <w:rFonts w:hint="eastAsia"/>
        </w:rPr>
        <w:t>强化“党委领导、政府主导、部门联动、社会参与”</w:t>
      </w:r>
      <w:r>
        <w:rPr>
          <w:rFonts w:hint="eastAsia"/>
          <w:lang w:val="en-US" w:eastAsia="zh-CN"/>
        </w:rPr>
        <w:t>工作格局</w:t>
      </w:r>
      <w:r>
        <w:rPr>
          <w:rFonts w:hint="eastAsia"/>
          <w:lang w:eastAsia="zh-CN"/>
        </w:rPr>
        <w:t>，</w:t>
      </w:r>
      <w:r>
        <w:rPr>
          <w:rFonts w:hint="eastAsia"/>
          <w:lang w:eastAsia="zh"/>
        </w:rPr>
        <w:t>形成共抓大项目、共促大发展的工作合力。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深化文化体制机制改革，</w:t>
      </w:r>
      <w:bookmarkStart w:id="89" w:name="_Hlk211005037"/>
      <w:r>
        <w:rPr>
          <w:rFonts w:hint="eastAsia" w:ascii="仿宋_GB2312" w:hAnsi="仿宋_GB2312" w:cs="仿宋_GB2312"/>
          <w:szCs w:val="32"/>
          <w:lang w:eastAsia="zh" w:bidi="ar"/>
        </w:rPr>
        <w:t>深化央地合作和政企协作</w:t>
      </w:r>
      <w:r>
        <w:rPr>
          <w:rFonts w:hint="eastAsia" w:ascii="仿宋_GB2312" w:hAnsi="仿宋_GB2312" w:cs="仿宋_GB2312"/>
          <w:szCs w:val="32"/>
          <w:lang w:eastAsia="zh-CN" w:bidi="ar"/>
        </w:rPr>
        <w:t>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激发市场主体创新创造活力</w:t>
      </w:r>
      <w:r>
        <w:rPr>
          <w:rFonts w:hint="eastAsia" w:ascii="仿宋_GB2312" w:hAnsi="仿宋_GB2312" w:cs="仿宋_GB2312"/>
          <w:szCs w:val="32"/>
          <w:lang w:eastAsia="zh" w:bidi="ar"/>
        </w:rPr>
        <w:t>。</w:t>
      </w:r>
      <w:r>
        <w:rPr>
          <w:rFonts w:hint="eastAsia"/>
        </w:rPr>
        <w:t>加大财政资金保障力度，完善多元投入机制</w:t>
      </w:r>
      <w:r>
        <w:rPr>
          <w:rFonts w:hint="eastAsia"/>
          <w:lang w:eastAsia="zh-CN"/>
        </w:rPr>
        <w:t>。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用</w:t>
      </w:r>
      <w:r>
        <w:rPr>
          <w:rFonts w:hint="eastAsia" w:ascii="仿宋_GB2312" w:hAnsi="仿宋_GB2312" w:cs="仿宋_GB2312"/>
          <w:szCs w:val="32"/>
          <w:lang w:eastAsia="zh" w:bidi="ar"/>
        </w:rPr>
        <w:t>好“西融计划”和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西城</w:t>
      </w:r>
      <w:r>
        <w:rPr>
          <w:rFonts w:hint="eastAsia" w:ascii="仿宋_GB2312" w:hAnsi="仿宋_GB2312" w:cs="仿宋_GB2312"/>
          <w:szCs w:val="32"/>
          <w:lang w:eastAsia="zh" w:bidi="ar"/>
        </w:rPr>
        <w:t>区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关于</w:t>
      </w:r>
      <w:r>
        <w:rPr>
          <w:rFonts w:hint="eastAsia" w:ascii="仿宋_GB2312" w:hAnsi="仿宋_GB2312" w:cs="仿宋_GB2312"/>
          <w:szCs w:val="32"/>
          <w:lang w:eastAsia="zh" w:bidi="ar"/>
        </w:rPr>
        <w:t>加强新时代高技能人才队伍建设的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相关</w:t>
      </w:r>
      <w:r>
        <w:rPr>
          <w:rFonts w:hint="eastAsia" w:ascii="仿宋_GB2312" w:hAnsi="仿宋_GB2312" w:cs="仿宋_GB2312"/>
          <w:szCs w:val="32"/>
          <w:lang w:eastAsia="zh" w:bidi="ar"/>
        </w:rPr>
        <w:t>政策，吸引文化顶尖人才。</w:t>
      </w:r>
      <w:bookmarkEnd w:id="89"/>
      <w:r>
        <w:rPr>
          <w:rFonts w:hint="eastAsia" w:ascii="仿宋_GB2312" w:hAnsi="仿宋_GB2312" w:cs="仿宋_GB2312"/>
          <w:szCs w:val="32"/>
          <w:lang w:eastAsia="zh" w:bidi="ar"/>
        </w:rPr>
        <w:t>发挥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区域</w:t>
      </w:r>
      <w:r>
        <w:rPr>
          <w:rFonts w:hint="eastAsia" w:ascii="仿宋_GB2312" w:hAnsi="仿宋_GB2312" w:cs="仿宋_GB2312"/>
          <w:szCs w:val="32"/>
          <w:lang w:eastAsia="zh" w:bidi="ar"/>
        </w:rPr>
        <w:t>行业专家、专业机构、科研院所优势，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建设文旅</w:t>
      </w:r>
      <w:r>
        <w:rPr>
          <w:rFonts w:hint="eastAsia" w:ascii="仿宋_GB2312" w:hAnsi="仿宋_GB2312" w:cs="仿宋_GB2312"/>
          <w:szCs w:val="32"/>
          <w:lang w:eastAsia="zh" w:bidi="ar"/>
        </w:rPr>
        <w:t>行业</w:t>
      </w:r>
      <w:r>
        <w:rPr>
          <w:rFonts w:hint="eastAsia" w:ascii="仿宋_GB2312" w:hAnsi="仿宋_GB2312" w:cs="仿宋_GB2312"/>
          <w:szCs w:val="32"/>
          <w:lang w:val="en-US" w:eastAsia="zh-CN" w:bidi="ar"/>
        </w:rPr>
        <w:t>高端</w:t>
      </w:r>
      <w:r>
        <w:rPr>
          <w:rFonts w:hint="eastAsia" w:ascii="仿宋_GB2312" w:hAnsi="仿宋_GB2312" w:cs="仿宋_GB2312"/>
          <w:szCs w:val="32"/>
          <w:lang w:eastAsia="zh" w:bidi="ar"/>
        </w:rPr>
        <w:t>智库。</w:t>
      </w:r>
      <w:r>
        <w:rPr>
          <w:rFonts w:hint="eastAsia"/>
        </w:rPr>
        <w:t>强化规划实施全过程管理，做好规划宣传解读工作，</w:t>
      </w:r>
      <w:r>
        <w:rPr>
          <w:rFonts w:hint="eastAsia"/>
          <w:lang w:val="en-US" w:eastAsia="zh-CN"/>
        </w:rPr>
        <w:t>定期</w:t>
      </w:r>
      <w:r>
        <w:rPr>
          <w:rFonts w:hint="eastAsia"/>
        </w:rPr>
        <w:t>开展</w:t>
      </w:r>
      <w:r>
        <w:rPr>
          <w:rFonts w:hint="eastAsia"/>
          <w:lang w:val="en-US" w:eastAsia="zh-CN"/>
        </w:rPr>
        <w:t>规划</w:t>
      </w:r>
      <w:r>
        <w:rPr>
          <w:rFonts w:hint="eastAsia"/>
        </w:rPr>
        <w:t>实施评估，深化评估结果应用，根据实际动态调整任务举措。</w:t>
      </w:r>
    </w:p>
    <w:sectPr>
      <w:footerReference r:id="rId9" w:type="first"/>
      <w:pgSz w:w="11906" w:h="16838"/>
      <w:pgMar w:top="2098" w:right="1474" w:bottom="1984" w:left="1587" w:header="1417" w:footer="1417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8180008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8"/>
                            <w:ind w:firstLine="56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EWV7FxQCAAAP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8"/>
                      <w:ind w:firstLine="56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-10160</wp:posOffset>
              </wp:positionH>
              <wp:positionV relativeFrom="paragraph">
                <wp:posOffset>3175</wp:posOffset>
              </wp:positionV>
              <wp:extent cx="1828800" cy="1828800"/>
              <wp:effectExtent l="0" t="0" r="0" b="0"/>
              <wp:wrapNone/>
              <wp:docPr id="9585192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8"/>
                            <w:ind w:firstLine="56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-0.8pt;margin-top:0.2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beiuW1AAAAAcBAAAPAAAAAAAA&#10;AAEAIAAAACIAAABkcnMvZG93bnJldi54bWxQSwECFAAUAAAACACHTuJAmrV0lhYCAAAOBAAADgAA&#10;AAAAAAABACAAAAAj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8"/>
                      <w:ind w:firstLine="56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0CA7"/>
    <w:rsid w:val="00001042"/>
    <w:rsid w:val="0000191C"/>
    <w:rsid w:val="00001F42"/>
    <w:rsid w:val="00002C8B"/>
    <w:rsid w:val="00003CFF"/>
    <w:rsid w:val="0000606D"/>
    <w:rsid w:val="00006C23"/>
    <w:rsid w:val="000076DF"/>
    <w:rsid w:val="000102A7"/>
    <w:rsid w:val="00011E7D"/>
    <w:rsid w:val="00012058"/>
    <w:rsid w:val="00012651"/>
    <w:rsid w:val="000131CD"/>
    <w:rsid w:val="00014125"/>
    <w:rsid w:val="000147CF"/>
    <w:rsid w:val="00014F19"/>
    <w:rsid w:val="00015848"/>
    <w:rsid w:val="000175CB"/>
    <w:rsid w:val="000216CE"/>
    <w:rsid w:val="00021D05"/>
    <w:rsid w:val="000221A3"/>
    <w:rsid w:val="00022B62"/>
    <w:rsid w:val="000233B0"/>
    <w:rsid w:val="00024DAD"/>
    <w:rsid w:val="000258EC"/>
    <w:rsid w:val="00025CC1"/>
    <w:rsid w:val="000322E2"/>
    <w:rsid w:val="00032E2A"/>
    <w:rsid w:val="000339A1"/>
    <w:rsid w:val="00033AA2"/>
    <w:rsid w:val="000347A7"/>
    <w:rsid w:val="00034893"/>
    <w:rsid w:val="00035238"/>
    <w:rsid w:val="000355A9"/>
    <w:rsid w:val="000358AB"/>
    <w:rsid w:val="00035D94"/>
    <w:rsid w:val="0003770B"/>
    <w:rsid w:val="0004001C"/>
    <w:rsid w:val="00040AE4"/>
    <w:rsid w:val="00041960"/>
    <w:rsid w:val="00043AA9"/>
    <w:rsid w:val="00044C6D"/>
    <w:rsid w:val="00044CFD"/>
    <w:rsid w:val="00045A21"/>
    <w:rsid w:val="0004783A"/>
    <w:rsid w:val="00051143"/>
    <w:rsid w:val="00053E7C"/>
    <w:rsid w:val="00056513"/>
    <w:rsid w:val="00056AB2"/>
    <w:rsid w:val="00056D9D"/>
    <w:rsid w:val="000615FA"/>
    <w:rsid w:val="0006252D"/>
    <w:rsid w:val="0006290E"/>
    <w:rsid w:val="000632EC"/>
    <w:rsid w:val="000633B1"/>
    <w:rsid w:val="00064B53"/>
    <w:rsid w:val="00064E7A"/>
    <w:rsid w:val="0006539C"/>
    <w:rsid w:val="00065489"/>
    <w:rsid w:val="000654E4"/>
    <w:rsid w:val="0006621A"/>
    <w:rsid w:val="00066A8E"/>
    <w:rsid w:val="0007060A"/>
    <w:rsid w:val="00070A0D"/>
    <w:rsid w:val="000712E1"/>
    <w:rsid w:val="000714B7"/>
    <w:rsid w:val="00071E27"/>
    <w:rsid w:val="00071EB3"/>
    <w:rsid w:val="00073183"/>
    <w:rsid w:val="000743FE"/>
    <w:rsid w:val="0007530C"/>
    <w:rsid w:val="00076DEF"/>
    <w:rsid w:val="0007758D"/>
    <w:rsid w:val="000800C2"/>
    <w:rsid w:val="00081D1B"/>
    <w:rsid w:val="00081E52"/>
    <w:rsid w:val="00082343"/>
    <w:rsid w:val="000838BA"/>
    <w:rsid w:val="0008577E"/>
    <w:rsid w:val="000864F9"/>
    <w:rsid w:val="000870A8"/>
    <w:rsid w:val="00087121"/>
    <w:rsid w:val="00087482"/>
    <w:rsid w:val="00091314"/>
    <w:rsid w:val="0009167D"/>
    <w:rsid w:val="00092A48"/>
    <w:rsid w:val="00096C3D"/>
    <w:rsid w:val="00096E9B"/>
    <w:rsid w:val="000A004E"/>
    <w:rsid w:val="000A0738"/>
    <w:rsid w:val="000A0B0A"/>
    <w:rsid w:val="000A0EED"/>
    <w:rsid w:val="000A152F"/>
    <w:rsid w:val="000A1950"/>
    <w:rsid w:val="000A22F4"/>
    <w:rsid w:val="000A2D26"/>
    <w:rsid w:val="000A43FC"/>
    <w:rsid w:val="000A44BB"/>
    <w:rsid w:val="000A4780"/>
    <w:rsid w:val="000A54FF"/>
    <w:rsid w:val="000A5715"/>
    <w:rsid w:val="000A59F1"/>
    <w:rsid w:val="000B2877"/>
    <w:rsid w:val="000B3202"/>
    <w:rsid w:val="000B42B9"/>
    <w:rsid w:val="000B6755"/>
    <w:rsid w:val="000B69C0"/>
    <w:rsid w:val="000B776B"/>
    <w:rsid w:val="000C1375"/>
    <w:rsid w:val="000C3038"/>
    <w:rsid w:val="000C396C"/>
    <w:rsid w:val="000C3F67"/>
    <w:rsid w:val="000C586C"/>
    <w:rsid w:val="000C5C02"/>
    <w:rsid w:val="000C7C06"/>
    <w:rsid w:val="000D1B93"/>
    <w:rsid w:val="000D3830"/>
    <w:rsid w:val="000D402B"/>
    <w:rsid w:val="000D438A"/>
    <w:rsid w:val="000D457F"/>
    <w:rsid w:val="000D5118"/>
    <w:rsid w:val="000D5411"/>
    <w:rsid w:val="000D5CD5"/>
    <w:rsid w:val="000D68E9"/>
    <w:rsid w:val="000D72A6"/>
    <w:rsid w:val="000D787D"/>
    <w:rsid w:val="000E0650"/>
    <w:rsid w:val="000E07C2"/>
    <w:rsid w:val="000E0DD7"/>
    <w:rsid w:val="000E2841"/>
    <w:rsid w:val="000E374C"/>
    <w:rsid w:val="000E3918"/>
    <w:rsid w:val="000E42F0"/>
    <w:rsid w:val="000E441F"/>
    <w:rsid w:val="000E5052"/>
    <w:rsid w:val="000E5208"/>
    <w:rsid w:val="000E5B22"/>
    <w:rsid w:val="000E5D9B"/>
    <w:rsid w:val="000E7158"/>
    <w:rsid w:val="000F0A9D"/>
    <w:rsid w:val="000F14D2"/>
    <w:rsid w:val="000F18AE"/>
    <w:rsid w:val="000F2A58"/>
    <w:rsid w:val="000F2C50"/>
    <w:rsid w:val="000F2C70"/>
    <w:rsid w:val="000F5443"/>
    <w:rsid w:val="000F5795"/>
    <w:rsid w:val="000F5B63"/>
    <w:rsid w:val="000F6923"/>
    <w:rsid w:val="000F6CD6"/>
    <w:rsid w:val="000F75FE"/>
    <w:rsid w:val="001005B3"/>
    <w:rsid w:val="00101D73"/>
    <w:rsid w:val="001023E0"/>
    <w:rsid w:val="00103111"/>
    <w:rsid w:val="001044FA"/>
    <w:rsid w:val="00104EB3"/>
    <w:rsid w:val="00106B66"/>
    <w:rsid w:val="00111B06"/>
    <w:rsid w:val="00111E70"/>
    <w:rsid w:val="0011221B"/>
    <w:rsid w:val="001127FD"/>
    <w:rsid w:val="00112C76"/>
    <w:rsid w:val="00112E18"/>
    <w:rsid w:val="00114792"/>
    <w:rsid w:val="00114D4F"/>
    <w:rsid w:val="00114ECB"/>
    <w:rsid w:val="00116EF6"/>
    <w:rsid w:val="0011706C"/>
    <w:rsid w:val="001204B6"/>
    <w:rsid w:val="00120957"/>
    <w:rsid w:val="00120D84"/>
    <w:rsid w:val="00121B7A"/>
    <w:rsid w:val="00121E87"/>
    <w:rsid w:val="00122C33"/>
    <w:rsid w:val="00122C98"/>
    <w:rsid w:val="00122F8F"/>
    <w:rsid w:val="001231AF"/>
    <w:rsid w:val="001238D7"/>
    <w:rsid w:val="00124B33"/>
    <w:rsid w:val="00126084"/>
    <w:rsid w:val="00127D45"/>
    <w:rsid w:val="001300C8"/>
    <w:rsid w:val="001300F5"/>
    <w:rsid w:val="001310BC"/>
    <w:rsid w:val="0013206B"/>
    <w:rsid w:val="001320C9"/>
    <w:rsid w:val="001322A4"/>
    <w:rsid w:val="00134164"/>
    <w:rsid w:val="00134A55"/>
    <w:rsid w:val="00135F74"/>
    <w:rsid w:val="001368E8"/>
    <w:rsid w:val="0013786D"/>
    <w:rsid w:val="00137883"/>
    <w:rsid w:val="00140341"/>
    <w:rsid w:val="0014139B"/>
    <w:rsid w:val="0014167B"/>
    <w:rsid w:val="00141AC4"/>
    <w:rsid w:val="00142688"/>
    <w:rsid w:val="00143A79"/>
    <w:rsid w:val="00144480"/>
    <w:rsid w:val="00144C76"/>
    <w:rsid w:val="00144E7A"/>
    <w:rsid w:val="0014606B"/>
    <w:rsid w:val="00146283"/>
    <w:rsid w:val="0014645B"/>
    <w:rsid w:val="00146721"/>
    <w:rsid w:val="00147E1D"/>
    <w:rsid w:val="00147F69"/>
    <w:rsid w:val="0015028F"/>
    <w:rsid w:val="001507B4"/>
    <w:rsid w:val="0015147B"/>
    <w:rsid w:val="001518F1"/>
    <w:rsid w:val="001522B2"/>
    <w:rsid w:val="00152795"/>
    <w:rsid w:val="00154CAD"/>
    <w:rsid w:val="001553C4"/>
    <w:rsid w:val="00155F5F"/>
    <w:rsid w:val="00156D37"/>
    <w:rsid w:val="001570A0"/>
    <w:rsid w:val="0015766D"/>
    <w:rsid w:val="00160857"/>
    <w:rsid w:val="00160952"/>
    <w:rsid w:val="00160BFD"/>
    <w:rsid w:val="00160F0F"/>
    <w:rsid w:val="00160F7C"/>
    <w:rsid w:val="00162165"/>
    <w:rsid w:val="001624C0"/>
    <w:rsid w:val="001627BA"/>
    <w:rsid w:val="00162CFA"/>
    <w:rsid w:val="00164318"/>
    <w:rsid w:val="00164BCE"/>
    <w:rsid w:val="00165094"/>
    <w:rsid w:val="00165433"/>
    <w:rsid w:val="0016561F"/>
    <w:rsid w:val="001660AD"/>
    <w:rsid w:val="0016695A"/>
    <w:rsid w:val="00166ED2"/>
    <w:rsid w:val="00170193"/>
    <w:rsid w:val="00170607"/>
    <w:rsid w:val="00172A27"/>
    <w:rsid w:val="00174424"/>
    <w:rsid w:val="00174EB8"/>
    <w:rsid w:val="00175676"/>
    <w:rsid w:val="001776A1"/>
    <w:rsid w:val="00177B9D"/>
    <w:rsid w:val="00181453"/>
    <w:rsid w:val="00183EB4"/>
    <w:rsid w:val="00184115"/>
    <w:rsid w:val="001844C2"/>
    <w:rsid w:val="00187B64"/>
    <w:rsid w:val="00191A52"/>
    <w:rsid w:val="00192B15"/>
    <w:rsid w:val="00192E85"/>
    <w:rsid w:val="001956F0"/>
    <w:rsid w:val="001A05E1"/>
    <w:rsid w:val="001A0E32"/>
    <w:rsid w:val="001A19EB"/>
    <w:rsid w:val="001A5459"/>
    <w:rsid w:val="001A7DA9"/>
    <w:rsid w:val="001B01E0"/>
    <w:rsid w:val="001B03DA"/>
    <w:rsid w:val="001B2753"/>
    <w:rsid w:val="001B562B"/>
    <w:rsid w:val="001B6C62"/>
    <w:rsid w:val="001B6EAE"/>
    <w:rsid w:val="001C1784"/>
    <w:rsid w:val="001C1AC6"/>
    <w:rsid w:val="001C2DAC"/>
    <w:rsid w:val="001C4239"/>
    <w:rsid w:val="001C4C27"/>
    <w:rsid w:val="001C5926"/>
    <w:rsid w:val="001C606E"/>
    <w:rsid w:val="001C6FBC"/>
    <w:rsid w:val="001C7B9A"/>
    <w:rsid w:val="001D062E"/>
    <w:rsid w:val="001D1913"/>
    <w:rsid w:val="001D2BC7"/>
    <w:rsid w:val="001D3ED3"/>
    <w:rsid w:val="001D408C"/>
    <w:rsid w:val="001D4B0A"/>
    <w:rsid w:val="001D4D31"/>
    <w:rsid w:val="001D5563"/>
    <w:rsid w:val="001D6218"/>
    <w:rsid w:val="001D668B"/>
    <w:rsid w:val="001D718E"/>
    <w:rsid w:val="001E13B2"/>
    <w:rsid w:val="001E14BB"/>
    <w:rsid w:val="001E19A8"/>
    <w:rsid w:val="001E3673"/>
    <w:rsid w:val="001E480B"/>
    <w:rsid w:val="001E63A1"/>
    <w:rsid w:val="001E7CD4"/>
    <w:rsid w:val="001F1459"/>
    <w:rsid w:val="001F149B"/>
    <w:rsid w:val="001F1B11"/>
    <w:rsid w:val="001F29C7"/>
    <w:rsid w:val="001F2AD3"/>
    <w:rsid w:val="001F3563"/>
    <w:rsid w:val="001F43A8"/>
    <w:rsid w:val="001F5ADA"/>
    <w:rsid w:val="001F6B18"/>
    <w:rsid w:val="002002DF"/>
    <w:rsid w:val="00200E66"/>
    <w:rsid w:val="00200F03"/>
    <w:rsid w:val="002051F4"/>
    <w:rsid w:val="00205742"/>
    <w:rsid w:val="002071A2"/>
    <w:rsid w:val="00207951"/>
    <w:rsid w:val="00207B28"/>
    <w:rsid w:val="00210175"/>
    <w:rsid w:val="002105D5"/>
    <w:rsid w:val="00210CB1"/>
    <w:rsid w:val="002115B7"/>
    <w:rsid w:val="0021188D"/>
    <w:rsid w:val="00213AB1"/>
    <w:rsid w:val="002141B8"/>
    <w:rsid w:val="00215577"/>
    <w:rsid w:val="00215981"/>
    <w:rsid w:val="00216046"/>
    <w:rsid w:val="00216820"/>
    <w:rsid w:val="00216937"/>
    <w:rsid w:val="00220582"/>
    <w:rsid w:val="00220C1A"/>
    <w:rsid w:val="00220CF8"/>
    <w:rsid w:val="00222354"/>
    <w:rsid w:val="00225002"/>
    <w:rsid w:val="00227818"/>
    <w:rsid w:val="002306A8"/>
    <w:rsid w:val="002306D0"/>
    <w:rsid w:val="0023090C"/>
    <w:rsid w:val="00230DC8"/>
    <w:rsid w:val="00230F16"/>
    <w:rsid w:val="002335C4"/>
    <w:rsid w:val="002343B1"/>
    <w:rsid w:val="00234670"/>
    <w:rsid w:val="00235527"/>
    <w:rsid w:val="00235DFE"/>
    <w:rsid w:val="00235E53"/>
    <w:rsid w:val="00236F74"/>
    <w:rsid w:val="002371DF"/>
    <w:rsid w:val="00237BA3"/>
    <w:rsid w:val="00237F58"/>
    <w:rsid w:val="00240525"/>
    <w:rsid w:val="00240B51"/>
    <w:rsid w:val="00241AF8"/>
    <w:rsid w:val="00242813"/>
    <w:rsid w:val="00242ACA"/>
    <w:rsid w:val="00242C02"/>
    <w:rsid w:val="002440D3"/>
    <w:rsid w:val="00244E45"/>
    <w:rsid w:val="002456CD"/>
    <w:rsid w:val="00246973"/>
    <w:rsid w:val="002469FF"/>
    <w:rsid w:val="00246D9C"/>
    <w:rsid w:val="002473DB"/>
    <w:rsid w:val="00250243"/>
    <w:rsid w:val="0025035D"/>
    <w:rsid w:val="00250502"/>
    <w:rsid w:val="00250B0D"/>
    <w:rsid w:val="00251877"/>
    <w:rsid w:val="00251E42"/>
    <w:rsid w:val="00251EEE"/>
    <w:rsid w:val="0025204D"/>
    <w:rsid w:val="00252F71"/>
    <w:rsid w:val="002535CD"/>
    <w:rsid w:val="002536E8"/>
    <w:rsid w:val="00253AC6"/>
    <w:rsid w:val="002541E9"/>
    <w:rsid w:val="002566F4"/>
    <w:rsid w:val="00257274"/>
    <w:rsid w:val="00257A06"/>
    <w:rsid w:val="00257B7C"/>
    <w:rsid w:val="00260095"/>
    <w:rsid w:val="0026051A"/>
    <w:rsid w:val="0026090A"/>
    <w:rsid w:val="002610C2"/>
    <w:rsid w:val="00261300"/>
    <w:rsid w:val="0026205F"/>
    <w:rsid w:val="00262F52"/>
    <w:rsid w:val="00263A47"/>
    <w:rsid w:val="00263E4B"/>
    <w:rsid w:val="00264C89"/>
    <w:rsid w:val="00264E83"/>
    <w:rsid w:val="00264FC7"/>
    <w:rsid w:val="00265BED"/>
    <w:rsid w:val="00270DFD"/>
    <w:rsid w:val="00271561"/>
    <w:rsid w:val="002719B6"/>
    <w:rsid w:val="00271A1A"/>
    <w:rsid w:val="0027245B"/>
    <w:rsid w:val="00272728"/>
    <w:rsid w:val="002727BD"/>
    <w:rsid w:val="00274F3E"/>
    <w:rsid w:val="002755CA"/>
    <w:rsid w:val="002766CE"/>
    <w:rsid w:val="002774CF"/>
    <w:rsid w:val="00277792"/>
    <w:rsid w:val="002777F9"/>
    <w:rsid w:val="00277C5D"/>
    <w:rsid w:val="002803C6"/>
    <w:rsid w:val="00280B58"/>
    <w:rsid w:val="00281BA7"/>
    <w:rsid w:val="00281DDD"/>
    <w:rsid w:val="00282144"/>
    <w:rsid w:val="0028249A"/>
    <w:rsid w:val="00282E98"/>
    <w:rsid w:val="00283E4A"/>
    <w:rsid w:val="0028478E"/>
    <w:rsid w:val="00284C50"/>
    <w:rsid w:val="00284CAA"/>
    <w:rsid w:val="0028510F"/>
    <w:rsid w:val="00285D30"/>
    <w:rsid w:val="00286CF1"/>
    <w:rsid w:val="00287CC6"/>
    <w:rsid w:val="002909AA"/>
    <w:rsid w:val="00290A50"/>
    <w:rsid w:val="002911B2"/>
    <w:rsid w:val="00291647"/>
    <w:rsid w:val="00291B90"/>
    <w:rsid w:val="00292391"/>
    <w:rsid w:val="00293134"/>
    <w:rsid w:val="00295788"/>
    <w:rsid w:val="00297C45"/>
    <w:rsid w:val="002A03BD"/>
    <w:rsid w:val="002A1F7E"/>
    <w:rsid w:val="002A274C"/>
    <w:rsid w:val="002A279D"/>
    <w:rsid w:val="002A2FBE"/>
    <w:rsid w:val="002A3F66"/>
    <w:rsid w:val="002A42EF"/>
    <w:rsid w:val="002A5E49"/>
    <w:rsid w:val="002A60D4"/>
    <w:rsid w:val="002A67CF"/>
    <w:rsid w:val="002A6D2B"/>
    <w:rsid w:val="002A760E"/>
    <w:rsid w:val="002B06D1"/>
    <w:rsid w:val="002B0987"/>
    <w:rsid w:val="002B0FF8"/>
    <w:rsid w:val="002B2F54"/>
    <w:rsid w:val="002B3EF6"/>
    <w:rsid w:val="002B4FE7"/>
    <w:rsid w:val="002B5A1D"/>
    <w:rsid w:val="002B6ABF"/>
    <w:rsid w:val="002B6D22"/>
    <w:rsid w:val="002B6DD5"/>
    <w:rsid w:val="002B7516"/>
    <w:rsid w:val="002B7E3D"/>
    <w:rsid w:val="002C0C7C"/>
    <w:rsid w:val="002C1356"/>
    <w:rsid w:val="002C2AD4"/>
    <w:rsid w:val="002C3508"/>
    <w:rsid w:val="002C388A"/>
    <w:rsid w:val="002C398E"/>
    <w:rsid w:val="002C41C3"/>
    <w:rsid w:val="002C41CA"/>
    <w:rsid w:val="002C4DAC"/>
    <w:rsid w:val="002C5A97"/>
    <w:rsid w:val="002C6E21"/>
    <w:rsid w:val="002C71EF"/>
    <w:rsid w:val="002C7C5C"/>
    <w:rsid w:val="002C7EA2"/>
    <w:rsid w:val="002D01FA"/>
    <w:rsid w:val="002D060C"/>
    <w:rsid w:val="002D09DC"/>
    <w:rsid w:val="002D0BF7"/>
    <w:rsid w:val="002D1917"/>
    <w:rsid w:val="002D2609"/>
    <w:rsid w:val="002D2727"/>
    <w:rsid w:val="002D5F1C"/>
    <w:rsid w:val="002D6688"/>
    <w:rsid w:val="002D6737"/>
    <w:rsid w:val="002D6E25"/>
    <w:rsid w:val="002E0BEB"/>
    <w:rsid w:val="002E162A"/>
    <w:rsid w:val="002E18E8"/>
    <w:rsid w:val="002E1B83"/>
    <w:rsid w:val="002E1C3B"/>
    <w:rsid w:val="002E2799"/>
    <w:rsid w:val="002E46A3"/>
    <w:rsid w:val="002E488C"/>
    <w:rsid w:val="002E49F7"/>
    <w:rsid w:val="002E5B92"/>
    <w:rsid w:val="002E5C14"/>
    <w:rsid w:val="002E63B0"/>
    <w:rsid w:val="002E7238"/>
    <w:rsid w:val="002E7F48"/>
    <w:rsid w:val="002F1B04"/>
    <w:rsid w:val="002F2AF0"/>
    <w:rsid w:val="002F3623"/>
    <w:rsid w:val="002F4327"/>
    <w:rsid w:val="002F4C82"/>
    <w:rsid w:val="002F66C7"/>
    <w:rsid w:val="002F6B9D"/>
    <w:rsid w:val="002F7624"/>
    <w:rsid w:val="002F7C2A"/>
    <w:rsid w:val="003019C7"/>
    <w:rsid w:val="00301BE6"/>
    <w:rsid w:val="00304C72"/>
    <w:rsid w:val="00306299"/>
    <w:rsid w:val="00306FB4"/>
    <w:rsid w:val="0030708F"/>
    <w:rsid w:val="0031065C"/>
    <w:rsid w:val="00310930"/>
    <w:rsid w:val="00310AC6"/>
    <w:rsid w:val="00311A64"/>
    <w:rsid w:val="00312A17"/>
    <w:rsid w:val="00313253"/>
    <w:rsid w:val="0031374B"/>
    <w:rsid w:val="00314D9A"/>
    <w:rsid w:val="0031558D"/>
    <w:rsid w:val="003159A1"/>
    <w:rsid w:val="003160C7"/>
    <w:rsid w:val="00316CEA"/>
    <w:rsid w:val="00320443"/>
    <w:rsid w:val="0032182B"/>
    <w:rsid w:val="00321859"/>
    <w:rsid w:val="00331832"/>
    <w:rsid w:val="00331983"/>
    <w:rsid w:val="00332050"/>
    <w:rsid w:val="00332A57"/>
    <w:rsid w:val="00333676"/>
    <w:rsid w:val="00334177"/>
    <w:rsid w:val="003342BE"/>
    <w:rsid w:val="003358E7"/>
    <w:rsid w:val="00336B9D"/>
    <w:rsid w:val="00337C7C"/>
    <w:rsid w:val="00337FB8"/>
    <w:rsid w:val="00341E8C"/>
    <w:rsid w:val="00342EBC"/>
    <w:rsid w:val="00343345"/>
    <w:rsid w:val="00343DAE"/>
    <w:rsid w:val="00345216"/>
    <w:rsid w:val="00345C08"/>
    <w:rsid w:val="00345CB5"/>
    <w:rsid w:val="003468D1"/>
    <w:rsid w:val="00346B7D"/>
    <w:rsid w:val="003470ED"/>
    <w:rsid w:val="0034734A"/>
    <w:rsid w:val="0034754B"/>
    <w:rsid w:val="00351941"/>
    <w:rsid w:val="00351F04"/>
    <w:rsid w:val="003524CE"/>
    <w:rsid w:val="00353221"/>
    <w:rsid w:val="00353D05"/>
    <w:rsid w:val="0035472C"/>
    <w:rsid w:val="003559F9"/>
    <w:rsid w:val="0035669C"/>
    <w:rsid w:val="00360CCA"/>
    <w:rsid w:val="00362527"/>
    <w:rsid w:val="003628C1"/>
    <w:rsid w:val="00362B7F"/>
    <w:rsid w:val="00362BB7"/>
    <w:rsid w:val="00362E12"/>
    <w:rsid w:val="00363EF1"/>
    <w:rsid w:val="00364E99"/>
    <w:rsid w:val="00365700"/>
    <w:rsid w:val="003657B7"/>
    <w:rsid w:val="00366B07"/>
    <w:rsid w:val="00366D0A"/>
    <w:rsid w:val="00366E4B"/>
    <w:rsid w:val="0037263F"/>
    <w:rsid w:val="0037271E"/>
    <w:rsid w:val="0037306A"/>
    <w:rsid w:val="00373098"/>
    <w:rsid w:val="00374A5A"/>
    <w:rsid w:val="00376198"/>
    <w:rsid w:val="0037758A"/>
    <w:rsid w:val="00380745"/>
    <w:rsid w:val="00380E04"/>
    <w:rsid w:val="00381AC7"/>
    <w:rsid w:val="003820C2"/>
    <w:rsid w:val="00382A34"/>
    <w:rsid w:val="00384936"/>
    <w:rsid w:val="00384C81"/>
    <w:rsid w:val="00385E7A"/>
    <w:rsid w:val="00386749"/>
    <w:rsid w:val="00386FC1"/>
    <w:rsid w:val="00387425"/>
    <w:rsid w:val="003907FB"/>
    <w:rsid w:val="00391175"/>
    <w:rsid w:val="00392546"/>
    <w:rsid w:val="0039262A"/>
    <w:rsid w:val="00393CA3"/>
    <w:rsid w:val="00394455"/>
    <w:rsid w:val="00396B88"/>
    <w:rsid w:val="00397686"/>
    <w:rsid w:val="003A040D"/>
    <w:rsid w:val="003A1C4A"/>
    <w:rsid w:val="003A2D5B"/>
    <w:rsid w:val="003A2E28"/>
    <w:rsid w:val="003A3CF3"/>
    <w:rsid w:val="003A4590"/>
    <w:rsid w:val="003A590F"/>
    <w:rsid w:val="003B0ED4"/>
    <w:rsid w:val="003B29D7"/>
    <w:rsid w:val="003B529A"/>
    <w:rsid w:val="003B5441"/>
    <w:rsid w:val="003B6804"/>
    <w:rsid w:val="003B7322"/>
    <w:rsid w:val="003C1368"/>
    <w:rsid w:val="003C2225"/>
    <w:rsid w:val="003C2388"/>
    <w:rsid w:val="003C247F"/>
    <w:rsid w:val="003C33A5"/>
    <w:rsid w:val="003C38E5"/>
    <w:rsid w:val="003C54CB"/>
    <w:rsid w:val="003C572B"/>
    <w:rsid w:val="003C5A6A"/>
    <w:rsid w:val="003C62FC"/>
    <w:rsid w:val="003C6DCA"/>
    <w:rsid w:val="003C7D1B"/>
    <w:rsid w:val="003D0BDA"/>
    <w:rsid w:val="003D15F7"/>
    <w:rsid w:val="003D200D"/>
    <w:rsid w:val="003D35BF"/>
    <w:rsid w:val="003D521A"/>
    <w:rsid w:val="003D5484"/>
    <w:rsid w:val="003D6CCB"/>
    <w:rsid w:val="003D7D38"/>
    <w:rsid w:val="003E0BA6"/>
    <w:rsid w:val="003E0FD6"/>
    <w:rsid w:val="003E14F5"/>
    <w:rsid w:val="003E1E31"/>
    <w:rsid w:val="003E1E65"/>
    <w:rsid w:val="003E216C"/>
    <w:rsid w:val="003E25F0"/>
    <w:rsid w:val="003E3565"/>
    <w:rsid w:val="003E41C0"/>
    <w:rsid w:val="003E43E2"/>
    <w:rsid w:val="003E4562"/>
    <w:rsid w:val="003E45C9"/>
    <w:rsid w:val="003E53E3"/>
    <w:rsid w:val="003E76D8"/>
    <w:rsid w:val="003F04E2"/>
    <w:rsid w:val="003F0AF1"/>
    <w:rsid w:val="003F1EB6"/>
    <w:rsid w:val="003F2530"/>
    <w:rsid w:val="003F4596"/>
    <w:rsid w:val="003F4897"/>
    <w:rsid w:val="003F5BEB"/>
    <w:rsid w:val="003F692D"/>
    <w:rsid w:val="003F7386"/>
    <w:rsid w:val="004032D3"/>
    <w:rsid w:val="00403634"/>
    <w:rsid w:val="004038C2"/>
    <w:rsid w:val="004045C9"/>
    <w:rsid w:val="00404634"/>
    <w:rsid w:val="00405157"/>
    <w:rsid w:val="00407047"/>
    <w:rsid w:val="00410238"/>
    <w:rsid w:val="004103EA"/>
    <w:rsid w:val="00410FA3"/>
    <w:rsid w:val="00411BEE"/>
    <w:rsid w:val="004123EF"/>
    <w:rsid w:val="00412F32"/>
    <w:rsid w:val="004136DE"/>
    <w:rsid w:val="0041372A"/>
    <w:rsid w:val="00414691"/>
    <w:rsid w:val="00414BAD"/>
    <w:rsid w:val="00414F46"/>
    <w:rsid w:val="0041533D"/>
    <w:rsid w:val="00415677"/>
    <w:rsid w:val="00416607"/>
    <w:rsid w:val="00416881"/>
    <w:rsid w:val="00416E86"/>
    <w:rsid w:val="00417C34"/>
    <w:rsid w:val="00417D75"/>
    <w:rsid w:val="0042052F"/>
    <w:rsid w:val="004207B7"/>
    <w:rsid w:val="004237B1"/>
    <w:rsid w:val="004237C6"/>
    <w:rsid w:val="004255BF"/>
    <w:rsid w:val="00425CAB"/>
    <w:rsid w:val="0043194B"/>
    <w:rsid w:val="00431CE0"/>
    <w:rsid w:val="00431D9F"/>
    <w:rsid w:val="00432E22"/>
    <w:rsid w:val="00433343"/>
    <w:rsid w:val="004340D0"/>
    <w:rsid w:val="00437E8E"/>
    <w:rsid w:val="00442332"/>
    <w:rsid w:val="004425DB"/>
    <w:rsid w:val="004429D8"/>
    <w:rsid w:val="004434BE"/>
    <w:rsid w:val="004434E1"/>
    <w:rsid w:val="00444DF3"/>
    <w:rsid w:val="00445593"/>
    <w:rsid w:val="00445973"/>
    <w:rsid w:val="00445AEA"/>
    <w:rsid w:val="0044615A"/>
    <w:rsid w:val="00447150"/>
    <w:rsid w:val="00450116"/>
    <w:rsid w:val="0045267D"/>
    <w:rsid w:val="00454626"/>
    <w:rsid w:val="00454D9A"/>
    <w:rsid w:val="0045664B"/>
    <w:rsid w:val="004570F6"/>
    <w:rsid w:val="00457E62"/>
    <w:rsid w:val="00457FDE"/>
    <w:rsid w:val="004602E9"/>
    <w:rsid w:val="00460839"/>
    <w:rsid w:val="00460890"/>
    <w:rsid w:val="00460958"/>
    <w:rsid w:val="0046142C"/>
    <w:rsid w:val="004616DC"/>
    <w:rsid w:val="00462045"/>
    <w:rsid w:val="00462581"/>
    <w:rsid w:val="004627EE"/>
    <w:rsid w:val="00462A50"/>
    <w:rsid w:val="00465E19"/>
    <w:rsid w:val="00466D53"/>
    <w:rsid w:val="00470759"/>
    <w:rsid w:val="00470765"/>
    <w:rsid w:val="00470AC8"/>
    <w:rsid w:val="00471217"/>
    <w:rsid w:val="004728EA"/>
    <w:rsid w:val="00472B74"/>
    <w:rsid w:val="00473CD7"/>
    <w:rsid w:val="0047463A"/>
    <w:rsid w:val="004756AA"/>
    <w:rsid w:val="004756F7"/>
    <w:rsid w:val="00476EF7"/>
    <w:rsid w:val="00481CB2"/>
    <w:rsid w:val="00482661"/>
    <w:rsid w:val="004836CB"/>
    <w:rsid w:val="00483C9B"/>
    <w:rsid w:val="00485565"/>
    <w:rsid w:val="004858E2"/>
    <w:rsid w:val="0048775F"/>
    <w:rsid w:val="00490446"/>
    <w:rsid w:val="004918CA"/>
    <w:rsid w:val="0049293E"/>
    <w:rsid w:val="004929E9"/>
    <w:rsid w:val="00493953"/>
    <w:rsid w:val="0049466F"/>
    <w:rsid w:val="0049490F"/>
    <w:rsid w:val="00496416"/>
    <w:rsid w:val="004A0186"/>
    <w:rsid w:val="004A0B77"/>
    <w:rsid w:val="004A2FDA"/>
    <w:rsid w:val="004A36D1"/>
    <w:rsid w:val="004A426E"/>
    <w:rsid w:val="004A4A76"/>
    <w:rsid w:val="004A4BB2"/>
    <w:rsid w:val="004A5B06"/>
    <w:rsid w:val="004A7F21"/>
    <w:rsid w:val="004B004E"/>
    <w:rsid w:val="004B0AD8"/>
    <w:rsid w:val="004B129D"/>
    <w:rsid w:val="004B1640"/>
    <w:rsid w:val="004B18F8"/>
    <w:rsid w:val="004B1E5A"/>
    <w:rsid w:val="004B29DF"/>
    <w:rsid w:val="004B45C5"/>
    <w:rsid w:val="004B5220"/>
    <w:rsid w:val="004B530B"/>
    <w:rsid w:val="004B5401"/>
    <w:rsid w:val="004B5486"/>
    <w:rsid w:val="004B61F9"/>
    <w:rsid w:val="004B6A16"/>
    <w:rsid w:val="004B6A38"/>
    <w:rsid w:val="004C031E"/>
    <w:rsid w:val="004C0BAE"/>
    <w:rsid w:val="004C1549"/>
    <w:rsid w:val="004C2BC3"/>
    <w:rsid w:val="004C3812"/>
    <w:rsid w:val="004C4883"/>
    <w:rsid w:val="004C4893"/>
    <w:rsid w:val="004C4A5F"/>
    <w:rsid w:val="004C4B6C"/>
    <w:rsid w:val="004C5073"/>
    <w:rsid w:val="004C6559"/>
    <w:rsid w:val="004D24DB"/>
    <w:rsid w:val="004D347D"/>
    <w:rsid w:val="004D4DB0"/>
    <w:rsid w:val="004D5ADB"/>
    <w:rsid w:val="004D5C0A"/>
    <w:rsid w:val="004D6B6E"/>
    <w:rsid w:val="004D6BCF"/>
    <w:rsid w:val="004D7A99"/>
    <w:rsid w:val="004E1694"/>
    <w:rsid w:val="004E191A"/>
    <w:rsid w:val="004E20E0"/>
    <w:rsid w:val="004E316C"/>
    <w:rsid w:val="004E4844"/>
    <w:rsid w:val="004E6580"/>
    <w:rsid w:val="004E6592"/>
    <w:rsid w:val="004E6597"/>
    <w:rsid w:val="004E7347"/>
    <w:rsid w:val="004F00E3"/>
    <w:rsid w:val="004F051F"/>
    <w:rsid w:val="004F1105"/>
    <w:rsid w:val="004F1166"/>
    <w:rsid w:val="004F181C"/>
    <w:rsid w:val="004F18C7"/>
    <w:rsid w:val="004F227A"/>
    <w:rsid w:val="004F38FA"/>
    <w:rsid w:val="004F43EB"/>
    <w:rsid w:val="004F53A6"/>
    <w:rsid w:val="004F5706"/>
    <w:rsid w:val="004F5A92"/>
    <w:rsid w:val="004F6B85"/>
    <w:rsid w:val="004F6F91"/>
    <w:rsid w:val="004F7612"/>
    <w:rsid w:val="00500B0A"/>
    <w:rsid w:val="0050127B"/>
    <w:rsid w:val="0050194F"/>
    <w:rsid w:val="00502C2D"/>
    <w:rsid w:val="005032F2"/>
    <w:rsid w:val="0050470E"/>
    <w:rsid w:val="0050471C"/>
    <w:rsid w:val="005048F4"/>
    <w:rsid w:val="00505F72"/>
    <w:rsid w:val="00507511"/>
    <w:rsid w:val="00507737"/>
    <w:rsid w:val="00507E68"/>
    <w:rsid w:val="005104C2"/>
    <w:rsid w:val="0051065C"/>
    <w:rsid w:val="005125FD"/>
    <w:rsid w:val="00513A92"/>
    <w:rsid w:val="005142C1"/>
    <w:rsid w:val="0051529F"/>
    <w:rsid w:val="00515F9A"/>
    <w:rsid w:val="0051691D"/>
    <w:rsid w:val="00517F37"/>
    <w:rsid w:val="00522119"/>
    <w:rsid w:val="00522544"/>
    <w:rsid w:val="00522585"/>
    <w:rsid w:val="00524479"/>
    <w:rsid w:val="005248E1"/>
    <w:rsid w:val="00527005"/>
    <w:rsid w:val="005271A4"/>
    <w:rsid w:val="0052754D"/>
    <w:rsid w:val="00531E83"/>
    <w:rsid w:val="00533B5D"/>
    <w:rsid w:val="0053450C"/>
    <w:rsid w:val="005355BA"/>
    <w:rsid w:val="00535973"/>
    <w:rsid w:val="00535A9E"/>
    <w:rsid w:val="00536205"/>
    <w:rsid w:val="00536B6A"/>
    <w:rsid w:val="005409B9"/>
    <w:rsid w:val="00540E15"/>
    <w:rsid w:val="00540F8A"/>
    <w:rsid w:val="00541056"/>
    <w:rsid w:val="005421A1"/>
    <w:rsid w:val="00542338"/>
    <w:rsid w:val="005436B8"/>
    <w:rsid w:val="00543885"/>
    <w:rsid w:val="00544218"/>
    <w:rsid w:val="00544A95"/>
    <w:rsid w:val="00544D13"/>
    <w:rsid w:val="005475A6"/>
    <w:rsid w:val="00547B92"/>
    <w:rsid w:val="00551E4B"/>
    <w:rsid w:val="0055202B"/>
    <w:rsid w:val="00553AE1"/>
    <w:rsid w:val="00554FD9"/>
    <w:rsid w:val="00556AEA"/>
    <w:rsid w:val="00557DCE"/>
    <w:rsid w:val="00562C20"/>
    <w:rsid w:val="00562DA3"/>
    <w:rsid w:val="00563D29"/>
    <w:rsid w:val="00564E81"/>
    <w:rsid w:val="00565B75"/>
    <w:rsid w:val="005663D0"/>
    <w:rsid w:val="00566867"/>
    <w:rsid w:val="00567A61"/>
    <w:rsid w:val="00570704"/>
    <w:rsid w:val="00570796"/>
    <w:rsid w:val="00570FE9"/>
    <w:rsid w:val="00571130"/>
    <w:rsid w:val="00572413"/>
    <w:rsid w:val="00574547"/>
    <w:rsid w:val="00574DD6"/>
    <w:rsid w:val="0057679C"/>
    <w:rsid w:val="00576A18"/>
    <w:rsid w:val="00577637"/>
    <w:rsid w:val="00580D65"/>
    <w:rsid w:val="00581CF5"/>
    <w:rsid w:val="00583417"/>
    <w:rsid w:val="00583BFA"/>
    <w:rsid w:val="00585339"/>
    <w:rsid w:val="005855DB"/>
    <w:rsid w:val="0058580B"/>
    <w:rsid w:val="005861A1"/>
    <w:rsid w:val="00586EE9"/>
    <w:rsid w:val="0058786D"/>
    <w:rsid w:val="0059138A"/>
    <w:rsid w:val="005942A6"/>
    <w:rsid w:val="00595BA7"/>
    <w:rsid w:val="00595FC3"/>
    <w:rsid w:val="00596BD1"/>
    <w:rsid w:val="00596D37"/>
    <w:rsid w:val="0059792B"/>
    <w:rsid w:val="005A10F1"/>
    <w:rsid w:val="005A11D7"/>
    <w:rsid w:val="005A1A81"/>
    <w:rsid w:val="005A1D7A"/>
    <w:rsid w:val="005A1E09"/>
    <w:rsid w:val="005A22C7"/>
    <w:rsid w:val="005A49AA"/>
    <w:rsid w:val="005A4CA0"/>
    <w:rsid w:val="005A4D7A"/>
    <w:rsid w:val="005A4F13"/>
    <w:rsid w:val="005A4FD6"/>
    <w:rsid w:val="005A5B17"/>
    <w:rsid w:val="005A62E4"/>
    <w:rsid w:val="005B0F5D"/>
    <w:rsid w:val="005B135F"/>
    <w:rsid w:val="005B157B"/>
    <w:rsid w:val="005B2FD7"/>
    <w:rsid w:val="005B47FE"/>
    <w:rsid w:val="005B65D7"/>
    <w:rsid w:val="005C4732"/>
    <w:rsid w:val="005C5C19"/>
    <w:rsid w:val="005C6D5B"/>
    <w:rsid w:val="005C7EB7"/>
    <w:rsid w:val="005D0280"/>
    <w:rsid w:val="005D0BEF"/>
    <w:rsid w:val="005D16D5"/>
    <w:rsid w:val="005D2C1C"/>
    <w:rsid w:val="005D3046"/>
    <w:rsid w:val="005D412C"/>
    <w:rsid w:val="005D4397"/>
    <w:rsid w:val="005D5053"/>
    <w:rsid w:val="005D545F"/>
    <w:rsid w:val="005D6C95"/>
    <w:rsid w:val="005D760A"/>
    <w:rsid w:val="005D7A64"/>
    <w:rsid w:val="005E037B"/>
    <w:rsid w:val="005E2DB3"/>
    <w:rsid w:val="005E2EAD"/>
    <w:rsid w:val="005E3E85"/>
    <w:rsid w:val="005E45AE"/>
    <w:rsid w:val="005E47E4"/>
    <w:rsid w:val="005E47E8"/>
    <w:rsid w:val="005E55D7"/>
    <w:rsid w:val="005E5A27"/>
    <w:rsid w:val="005E5E6E"/>
    <w:rsid w:val="005E72C5"/>
    <w:rsid w:val="005E7D7C"/>
    <w:rsid w:val="005F12C5"/>
    <w:rsid w:val="005F1604"/>
    <w:rsid w:val="005F2C2D"/>
    <w:rsid w:val="005F438B"/>
    <w:rsid w:val="005F449C"/>
    <w:rsid w:val="005F6F19"/>
    <w:rsid w:val="00602C5E"/>
    <w:rsid w:val="006047B1"/>
    <w:rsid w:val="006067B8"/>
    <w:rsid w:val="0061035D"/>
    <w:rsid w:val="0061036E"/>
    <w:rsid w:val="006109EA"/>
    <w:rsid w:val="00610FEE"/>
    <w:rsid w:val="00613517"/>
    <w:rsid w:val="0061380F"/>
    <w:rsid w:val="00613FA3"/>
    <w:rsid w:val="00613FD3"/>
    <w:rsid w:val="00614A4D"/>
    <w:rsid w:val="00615B48"/>
    <w:rsid w:val="00624E1F"/>
    <w:rsid w:val="00626193"/>
    <w:rsid w:val="006262ED"/>
    <w:rsid w:val="006268C6"/>
    <w:rsid w:val="00630A53"/>
    <w:rsid w:val="00630C73"/>
    <w:rsid w:val="00631DF7"/>
    <w:rsid w:val="00634084"/>
    <w:rsid w:val="0063548F"/>
    <w:rsid w:val="006359CF"/>
    <w:rsid w:val="006364D8"/>
    <w:rsid w:val="006370A6"/>
    <w:rsid w:val="00640442"/>
    <w:rsid w:val="006420F7"/>
    <w:rsid w:val="0064457C"/>
    <w:rsid w:val="00646175"/>
    <w:rsid w:val="00646363"/>
    <w:rsid w:val="00646752"/>
    <w:rsid w:val="00650183"/>
    <w:rsid w:val="006546F2"/>
    <w:rsid w:val="006558DA"/>
    <w:rsid w:val="0065653E"/>
    <w:rsid w:val="0065697E"/>
    <w:rsid w:val="0065797A"/>
    <w:rsid w:val="00657B7E"/>
    <w:rsid w:val="00660640"/>
    <w:rsid w:val="00660FC8"/>
    <w:rsid w:val="00661232"/>
    <w:rsid w:val="006621BE"/>
    <w:rsid w:val="0066239E"/>
    <w:rsid w:val="006624EC"/>
    <w:rsid w:val="00662BB8"/>
    <w:rsid w:val="00662D29"/>
    <w:rsid w:val="006634AF"/>
    <w:rsid w:val="00664557"/>
    <w:rsid w:val="00665B93"/>
    <w:rsid w:val="00665D18"/>
    <w:rsid w:val="006672DA"/>
    <w:rsid w:val="0066753B"/>
    <w:rsid w:val="00670841"/>
    <w:rsid w:val="00671D99"/>
    <w:rsid w:val="00671FA9"/>
    <w:rsid w:val="00672038"/>
    <w:rsid w:val="00673235"/>
    <w:rsid w:val="00673EA3"/>
    <w:rsid w:val="00674893"/>
    <w:rsid w:val="0067567C"/>
    <w:rsid w:val="006758AC"/>
    <w:rsid w:val="006772B5"/>
    <w:rsid w:val="0067753F"/>
    <w:rsid w:val="00677761"/>
    <w:rsid w:val="006803CB"/>
    <w:rsid w:val="0068065E"/>
    <w:rsid w:val="00682152"/>
    <w:rsid w:val="006841A1"/>
    <w:rsid w:val="00686C26"/>
    <w:rsid w:val="0068796F"/>
    <w:rsid w:val="00687E08"/>
    <w:rsid w:val="00690745"/>
    <w:rsid w:val="0069086A"/>
    <w:rsid w:val="006910E3"/>
    <w:rsid w:val="00691D10"/>
    <w:rsid w:val="00691D2A"/>
    <w:rsid w:val="0069344B"/>
    <w:rsid w:val="00694608"/>
    <w:rsid w:val="00695E93"/>
    <w:rsid w:val="00696CEF"/>
    <w:rsid w:val="00697B6B"/>
    <w:rsid w:val="006A037D"/>
    <w:rsid w:val="006A0900"/>
    <w:rsid w:val="006A1911"/>
    <w:rsid w:val="006A2054"/>
    <w:rsid w:val="006A297A"/>
    <w:rsid w:val="006A2B07"/>
    <w:rsid w:val="006A36BB"/>
    <w:rsid w:val="006A380A"/>
    <w:rsid w:val="006A4128"/>
    <w:rsid w:val="006A4E77"/>
    <w:rsid w:val="006A7886"/>
    <w:rsid w:val="006B0C22"/>
    <w:rsid w:val="006B103D"/>
    <w:rsid w:val="006B2214"/>
    <w:rsid w:val="006B5B0A"/>
    <w:rsid w:val="006B706C"/>
    <w:rsid w:val="006B72C9"/>
    <w:rsid w:val="006C055D"/>
    <w:rsid w:val="006C0B1B"/>
    <w:rsid w:val="006C0D58"/>
    <w:rsid w:val="006C0FBF"/>
    <w:rsid w:val="006C214A"/>
    <w:rsid w:val="006C249C"/>
    <w:rsid w:val="006C3D0E"/>
    <w:rsid w:val="006C4C71"/>
    <w:rsid w:val="006C5FCC"/>
    <w:rsid w:val="006C7DB7"/>
    <w:rsid w:val="006D0880"/>
    <w:rsid w:val="006D174C"/>
    <w:rsid w:val="006D1D38"/>
    <w:rsid w:val="006D27EF"/>
    <w:rsid w:val="006D77DB"/>
    <w:rsid w:val="006D7F87"/>
    <w:rsid w:val="006E07CF"/>
    <w:rsid w:val="006E0CC2"/>
    <w:rsid w:val="006E147F"/>
    <w:rsid w:val="006E32B6"/>
    <w:rsid w:val="006E47D1"/>
    <w:rsid w:val="006E4AF0"/>
    <w:rsid w:val="006E57AD"/>
    <w:rsid w:val="006E58B8"/>
    <w:rsid w:val="006E59DB"/>
    <w:rsid w:val="006E628B"/>
    <w:rsid w:val="006E708E"/>
    <w:rsid w:val="006E73BA"/>
    <w:rsid w:val="006F0F15"/>
    <w:rsid w:val="006F2DD2"/>
    <w:rsid w:val="006F395E"/>
    <w:rsid w:val="006F3F91"/>
    <w:rsid w:val="006F4A62"/>
    <w:rsid w:val="006F4B33"/>
    <w:rsid w:val="006F5613"/>
    <w:rsid w:val="006F6589"/>
    <w:rsid w:val="006F69B9"/>
    <w:rsid w:val="006F6FF5"/>
    <w:rsid w:val="006F7C7C"/>
    <w:rsid w:val="006F7F8E"/>
    <w:rsid w:val="0070055B"/>
    <w:rsid w:val="00700836"/>
    <w:rsid w:val="007010D6"/>
    <w:rsid w:val="007021CB"/>
    <w:rsid w:val="007028EA"/>
    <w:rsid w:val="00702D18"/>
    <w:rsid w:val="007037F7"/>
    <w:rsid w:val="0070627F"/>
    <w:rsid w:val="00707178"/>
    <w:rsid w:val="007121B6"/>
    <w:rsid w:val="00713EC0"/>
    <w:rsid w:val="0071473F"/>
    <w:rsid w:val="00714A01"/>
    <w:rsid w:val="00714B76"/>
    <w:rsid w:val="0071645F"/>
    <w:rsid w:val="0071706F"/>
    <w:rsid w:val="0071773A"/>
    <w:rsid w:val="007219FC"/>
    <w:rsid w:val="00722206"/>
    <w:rsid w:val="00722C0D"/>
    <w:rsid w:val="00722F9F"/>
    <w:rsid w:val="007230DC"/>
    <w:rsid w:val="007239BE"/>
    <w:rsid w:val="00723CF6"/>
    <w:rsid w:val="007248BB"/>
    <w:rsid w:val="007260D6"/>
    <w:rsid w:val="00726534"/>
    <w:rsid w:val="00726BAB"/>
    <w:rsid w:val="007276BF"/>
    <w:rsid w:val="00727BCE"/>
    <w:rsid w:val="007312BD"/>
    <w:rsid w:val="00732016"/>
    <w:rsid w:val="007325B1"/>
    <w:rsid w:val="0073272C"/>
    <w:rsid w:val="0073279B"/>
    <w:rsid w:val="007335AD"/>
    <w:rsid w:val="007350F0"/>
    <w:rsid w:val="0073584C"/>
    <w:rsid w:val="00735C3C"/>
    <w:rsid w:val="00735F00"/>
    <w:rsid w:val="00736DF9"/>
    <w:rsid w:val="007370F5"/>
    <w:rsid w:val="007378A1"/>
    <w:rsid w:val="00737B6D"/>
    <w:rsid w:val="00741421"/>
    <w:rsid w:val="007420B7"/>
    <w:rsid w:val="00745200"/>
    <w:rsid w:val="0074560E"/>
    <w:rsid w:val="00750DF5"/>
    <w:rsid w:val="00751689"/>
    <w:rsid w:val="00751724"/>
    <w:rsid w:val="00752039"/>
    <w:rsid w:val="00752806"/>
    <w:rsid w:val="0075372F"/>
    <w:rsid w:val="00753C43"/>
    <w:rsid w:val="00753F2D"/>
    <w:rsid w:val="00754CDD"/>
    <w:rsid w:val="0075586F"/>
    <w:rsid w:val="00755CB6"/>
    <w:rsid w:val="00756155"/>
    <w:rsid w:val="00757432"/>
    <w:rsid w:val="00757613"/>
    <w:rsid w:val="00757674"/>
    <w:rsid w:val="00757C8C"/>
    <w:rsid w:val="00762211"/>
    <w:rsid w:val="00762DC1"/>
    <w:rsid w:val="00763609"/>
    <w:rsid w:val="00763DC8"/>
    <w:rsid w:val="00764BAB"/>
    <w:rsid w:val="0076596D"/>
    <w:rsid w:val="007669C9"/>
    <w:rsid w:val="00767D46"/>
    <w:rsid w:val="0077079C"/>
    <w:rsid w:val="00770A07"/>
    <w:rsid w:val="0077175B"/>
    <w:rsid w:val="00771F2F"/>
    <w:rsid w:val="00772040"/>
    <w:rsid w:val="0077285F"/>
    <w:rsid w:val="007737B1"/>
    <w:rsid w:val="00775E07"/>
    <w:rsid w:val="00777F76"/>
    <w:rsid w:val="00777FB7"/>
    <w:rsid w:val="007807DC"/>
    <w:rsid w:val="00780A5E"/>
    <w:rsid w:val="007814DE"/>
    <w:rsid w:val="00781740"/>
    <w:rsid w:val="0078294A"/>
    <w:rsid w:val="00782F27"/>
    <w:rsid w:val="00784426"/>
    <w:rsid w:val="00784A59"/>
    <w:rsid w:val="00785E2A"/>
    <w:rsid w:val="00786EF2"/>
    <w:rsid w:val="00790528"/>
    <w:rsid w:val="00791702"/>
    <w:rsid w:val="0079170F"/>
    <w:rsid w:val="00791AC6"/>
    <w:rsid w:val="00792081"/>
    <w:rsid w:val="00792150"/>
    <w:rsid w:val="0079352E"/>
    <w:rsid w:val="00793B51"/>
    <w:rsid w:val="00794AB8"/>
    <w:rsid w:val="00797D1F"/>
    <w:rsid w:val="007A0213"/>
    <w:rsid w:val="007A034F"/>
    <w:rsid w:val="007A040D"/>
    <w:rsid w:val="007A0BB3"/>
    <w:rsid w:val="007A1999"/>
    <w:rsid w:val="007A1F0A"/>
    <w:rsid w:val="007A28D4"/>
    <w:rsid w:val="007A2A9F"/>
    <w:rsid w:val="007A3557"/>
    <w:rsid w:val="007A397B"/>
    <w:rsid w:val="007A5510"/>
    <w:rsid w:val="007A5B6B"/>
    <w:rsid w:val="007A5F3B"/>
    <w:rsid w:val="007A6726"/>
    <w:rsid w:val="007A676F"/>
    <w:rsid w:val="007A720D"/>
    <w:rsid w:val="007B072A"/>
    <w:rsid w:val="007B118A"/>
    <w:rsid w:val="007B47FA"/>
    <w:rsid w:val="007B5951"/>
    <w:rsid w:val="007B73B7"/>
    <w:rsid w:val="007C30D5"/>
    <w:rsid w:val="007C3516"/>
    <w:rsid w:val="007C3BE0"/>
    <w:rsid w:val="007C4A4E"/>
    <w:rsid w:val="007C4FCA"/>
    <w:rsid w:val="007C783C"/>
    <w:rsid w:val="007C7E8F"/>
    <w:rsid w:val="007D07EA"/>
    <w:rsid w:val="007D16D2"/>
    <w:rsid w:val="007D44F4"/>
    <w:rsid w:val="007D4F69"/>
    <w:rsid w:val="007D734F"/>
    <w:rsid w:val="007E0D05"/>
    <w:rsid w:val="007E144D"/>
    <w:rsid w:val="007E172E"/>
    <w:rsid w:val="007E19BC"/>
    <w:rsid w:val="007E22BC"/>
    <w:rsid w:val="007E278E"/>
    <w:rsid w:val="007E2CFF"/>
    <w:rsid w:val="007E3929"/>
    <w:rsid w:val="007E4021"/>
    <w:rsid w:val="007E4A85"/>
    <w:rsid w:val="007E4AFC"/>
    <w:rsid w:val="007E677D"/>
    <w:rsid w:val="007E7A33"/>
    <w:rsid w:val="007F025E"/>
    <w:rsid w:val="007F030D"/>
    <w:rsid w:val="007F171B"/>
    <w:rsid w:val="007F34EA"/>
    <w:rsid w:val="007F3EEB"/>
    <w:rsid w:val="007F468D"/>
    <w:rsid w:val="007F48C4"/>
    <w:rsid w:val="007F4C22"/>
    <w:rsid w:val="007F58BC"/>
    <w:rsid w:val="007F746F"/>
    <w:rsid w:val="007F74E8"/>
    <w:rsid w:val="00801575"/>
    <w:rsid w:val="00801A23"/>
    <w:rsid w:val="00801F31"/>
    <w:rsid w:val="00802358"/>
    <w:rsid w:val="008027DC"/>
    <w:rsid w:val="00803D8B"/>
    <w:rsid w:val="0080402B"/>
    <w:rsid w:val="00804527"/>
    <w:rsid w:val="008047DC"/>
    <w:rsid w:val="00804ECA"/>
    <w:rsid w:val="00805696"/>
    <w:rsid w:val="00805B53"/>
    <w:rsid w:val="00805DE6"/>
    <w:rsid w:val="008063F4"/>
    <w:rsid w:val="00806502"/>
    <w:rsid w:val="008069D1"/>
    <w:rsid w:val="0081023D"/>
    <w:rsid w:val="008102FE"/>
    <w:rsid w:val="00812B38"/>
    <w:rsid w:val="00813A16"/>
    <w:rsid w:val="00813AB4"/>
    <w:rsid w:val="008145C6"/>
    <w:rsid w:val="00815220"/>
    <w:rsid w:val="008156F8"/>
    <w:rsid w:val="0081585A"/>
    <w:rsid w:val="00816A52"/>
    <w:rsid w:val="00816B7A"/>
    <w:rsid w:val="0082131D"/>
    <w:rsid w:val="00821D2B"/>
    <w:rsid w:val="00821ECE"/>
    <w:rsid w:val="0082260E"/>
    <w:rsid w:val="0082268B"/>
    <w:rsid w:val="008230FC"/>
    <w:rsid w:val="0082323D"/>
    <w:rsid w:val="008233C0"/>
    <w:rsid w:val="0082397D"/>
    <w:rsid w:val="00824568"/>
    <w:rsid w:val="00824954"/>
    <w:rsid w:val="00824B9C"/>
    <w:rsid w:val="00824F65"/>
    <w:rsid w:val="008255A7"/>
    <w:rsid w:val="00826108"/>
    <w:rsid w:val="00826603"/>
    <w:rsid w:val="008266DF"/>
    <w:rsid w:val="00827396"/>
    <w:rsid w:val="008315B1"/>
    <w:rsid w:val="0083296B"/>
    <w:rsid w:val="00832EB8"/>
    <w:rsid w:val="008330FA"/>
    <w:rsid w:val="008341A0"/>
    <w:rsid w:val="00834E8A"/>
    <w:rsid w:val="008355E6"/>
    <w:rsid w:val="008359AF"/>
    <w:rsid w:val="008368A0"/>
    <w:rsid w:val="00836AE3"/>
    <w:rsid w:val="00836B2B"/>
    <w:rsid w:val="0083716E"/>
    <w:rsid w:val="008372A1"/>
    <w:rsid w:val="008373EF"/>
    <w:rsid w:val="0084081E"/>
    <w:rsid w:val="00840A1A"/>
    <w:rsid w:val="008413E6"/>
    <w:rsid w:val="00841BF4"/>
    <w:rsid w:val="00841F1E"/>
    <w:rsid w:val="0084450F"/>
    <w:rsid w:val="008454D2"/>
    <w:rsid w:val="008463DA"/>
    <w:rsid w:val="00847BC4"/>
    <w:rsid w:val="00847EC8"/>
    <w:rsid w:val="008500FF"/>
    <w:rsid w:val="00850DAA"/>
    <w:rsid w:val="00852BB4"/>
    <w:rsid w:val="00852FE9"/>
    <w:rsid w:val="00854089"/>
    <w:rsid w:val="008554B4"/>
    <w:rsid w:val="008561B3"/>
    <w:rsid w:val="008562D0"/>
    <w:rsid w:val="008601CE"/>
    <w:rsid w:val="00860C60"/>
    <w:rsid w:val="008612E6"/>
    <w:rsid w:val="00863E40"/>
    <w:rsid w:val="0086469F"/>
    <w:rsid w:val="00864A9B"/>
    <w:rsid w:val="00864D93"/>
    <w:rsid w:val="00866823"/>
    <w:rsid w:val="00870323"/>
    <w:rsid w:val="00871A26"/>
    <w:rsid w:val="008726AF"/>
    <w:rsid w:val="008732E9"/>
    <w:rsid w:val="00874E76"/>
    <w:rsid w:val="00875960"/>
    <w:rsid w:val="00875B57"/>
    <w:rsid w:val="0087749D"/>
    <w:rsid w:val="00877C05"/>
    <w:rsid w:val="00881313"/>
    <w:rsid w:val="00882B8B"/>
    <w:rsid w:val="00883CDC"/>
    <w:rsid w:val="00884558"/>
    <w:rsid w:val="00885646"/>
    <w:rsid w:val="00885F6F"/>
    <w:rsid w:val="00885FE3"/>
    <w:rsid w:val="008861DE"/>
    <w:rsid w:val="008865BC"/>
    <w:rsid w:val="00887673"/>
    <w:rsid w:val="00887B0F"/>
    <w:rsid w:val="00887CAF"/>
    <w:rsid w:val="00891F1E"/>
    <w:rsid w:val="00892DC8"/>
    <w:rsid w:val="008941B4"/>
    <w:rsid w:val="008942B0"/>
    <w:rsid w:val="00894FB0"/>
    <w:rsid w:val="008955E1"/>
    <w:rsid w:val="00895D66"/>
    <w:rsid w:val="008A0513"/>
    <w:rsid w:val="008A1D4A"/>
    <w:rsid w:val="008A3273"/>
    <w:rsid w:val="008A35AB"/>
    <w:rsid w:val="008A3AED"/>
    <w:rsid w:val="008A3DFD"/>
    <w:rsid w:val="008A4133"/>
    <w:rsid w:val="008A454D"/>
    <w:rsid w:val="008A46A9"/>
    <w:rsid w:val="008A6493"/>
    <w:rsid w:val="008B0462"/>
    <w:rsid w:val="008B28F0"/>
    <w:rsid w:val="008B2CC4"/>
    <w:rsid w:val="008B38C2"/>
    <w:rsid w:val="008B3C25"/>
    <w:rsid w:val="008B3CD4"/>
    <w:rsid w:val="008B4766"/>
    <w:rsid w:val="008B52BB"/>
    <w:rsid w:val="008C0525"/>
    <w:rsid w:val="008C10AF"/>
    <w:rsid w:val="008C22EF"/>
    <w:rsid w:val="008C26C5"/>
    <w:rsid w:val="008C4E70"/>
    <w:rsid w:val="008C51AE"/>
    <w:rsid w:val="008C51CD"/>
    <w:rsid w:val="008C7390"/>
    <w:rsid w:val="008D1057"/>
    <w:rsid w:val="008D15B5"/>
    <w:rsid w:val="008D239A"/>
    <w:rsid w:val="008D248C"/>
    <w:rsid w:val="008D2628"/>
    <w:rsid w:val="008D2EB1"/>
    <w:rsid w:val="008D3410"/>
    <w:rsid w:val="008D368F"/>
    <w:rsid w:val="008D3697"/>
    <w:rsid w:val="008D54B2"/>
    <w:rsid w:val="008D573E"/>
    <w:rsid w:val="008D591F"/>
    <w:rsid w:val="008E29CB"/>
    <w:rsid w:val="008E3344"/>
    <w:rsid w:val="008E4AE6"/>
    <w:rsid w:val="008E78D7"/>
    <w:rsid w:val="008E7C5E"/>
    <w:rsid w:val="008F012F"/>
    <w:rsid w:val="008F01F4"/>
    <w:rsid w:val="008F29AD"/>
    <w:rsid w:val="008F2DC7"/>
    <w:rsid w:val="008F3686"/>
    <w:rsid w:val="008F4804"/>
    <w:rsid w:val="008F6CAB"/>
    <w:rsid w:val="009001AA"/>
    <w:rsid w:val="0090032D"/>
    <w:rsid w:val="00900A59"/>
    <w:rsid w:val="00901AC9"/>
    <w:rsid w:val="00901C4C"/>
    <w:rsid w:val="009030FE"/>
    <w:rsid w:val="00903CFB"/>
    <w:rsid w:val="00903DEB"/>
    <w:rsid w:val="0090623E"/>
    <w:rsid w:val="00907B42"/>
    <w:rsid w:val="00907C8C"/>
    <w:rsid w:val="00910930"/>
    <w:rsid w:val="00911F95"/>
    <w:rsid w:val="009124FF"/>
    <w:rsid w:val="00914DD4"/>
    <w:rsid w:val="00915203"/>
    <w:rsid w:val="00915B7E"/>
    <w:rsid w:val="00916652"/>
    <w:rsid w:val="00916F37"/>
    <w:rsid w:val="00917703"/>
    <w:rsid w:val="00917A57"/>
    <w:rsid w:val="00917B3E"/>
    <w:rsid w:val="009212AC"/>
    <w:rsid w:val="009218BC"/>
    <w:rsid w:val="0092228F"/>
    <w:rsid w:val="00922BF3"/>
    <w:rsid w:val="00922D23"/>
    <w:rsid w:val="00923B18"/>
    <w:rsid w:val="00924826"/>
    <w:rsid w:val="00926748"/>
    <w:rsid w:val="00926DEB"/>
    <w:rsid w:val="00927068"/>
    <w:rsid w:val="00932EEB"/>
    <w:rsid w:val="0093363C"/>
    <w:rsid w:val="00934BB7"/>
    <w:rsid w:val="009354A6"/>
    <w:rsid w:val="00935A55"/>
    <w:rsid w:val="00940361"/>
    <w:rsid w:val="00944078"/>
    <w:rsid w:val="00944625"/>
    <w:rsid w:val="00945D08"/>
    <w:rsid w:val="00950895"/>
    <w:rsid w:val="0095167A"/>
    <w:rsid w:val="00951F7E"/>
    <w:rsid w:val="00952A8C"/>
    <w:rsid w:val="00952FD2"/>
    <w:rsid w:val="00953600"/>
    <w:rsid w:val="00953CBF"/>
    <w:rsid w:val="00954234"/>
    <w:rsid w:val="00954319"/>
    <w:rsid w:val="0095466F"/>
    <w:rsid w:val="0095565D"/>
    <w:rsid w:val="009562C5"/>
    <w:rsid w:val="00956D89"/>
    <w:rsid w:val="009578B8"/>
    <w:rsid w:val="00960576"/>
    <w:rsid w:val="00960CCD"/>
    <w:rsid w:val="00960CF4"/>
    <w:rsid w:val="00961185"/>
    <w:rsid w:val="00961F83"/>
    <w:rsid w:val="00963745"/>
    <w:rsid w:val="00963EC7"/>
    <w:rsid w:val="0096511F"/>
    <w:rsid w:val="00965AF8"/>
    <w:rsid w:val="009668F8"/>
    <w:rsid w:val="00966EED"/>
    <w:rsid w:val="00970528"/>
    <w:rsid w:val="00971867"/>
    <w:rsid w:val="00971EBB"/>
    <w:rsid w:val="00973D1F"/>
    <w:rsid w:val="00976198"/>
    <w:rsid w:val="009771FA"/>
    <w:rsid w:val="00977792"/>
    <w:rsid w:val="00980212"/>
    <w:rsid w:val="00980783"/>
    <w:rsid w:val="0098187E"/>
    <w:rsid w:val="00982327"/>
    <w:rsid w:val="00982473"/>
    <w:rsid w:val="0098283F"/>
    <w:rsid w:val="00982B1E"/>
    <w:rsid w:val="00983104"/>
    <w:rsid w:val="0098348F"/>
    <w:rsid w:val="00984A13"/>
    <w:rsid w:val="00984E9E"/>
    <w:rsid w:val="009872F3"/>
    <w:rsid w:val="00987417"/>
    <w:rsid w:val="00990913"/>
    <w:rsid w:val="00990DEF"/>
    <w:rsid w:val="00990E14"/>
    <w:rsid w:val="009922DB"/>
    <w:rsid w:val="00992DFE"/>
    <w:rsid w:val="009930EA"/>
    <w:rsid w:val="0099589D"/>
    <w:rsid w:val="0099618B"/>
    <w:rsid w:val="0099656D"/>
    <w:rsid w:val="00997190"/>
    <w:rsid w:val="00997CEF"/>
    <w:rsid w:val="009A0706"/>
    <w:rsid w:val="009A1A39"/>
    <w:rsid w:val="009A294D"/>
    <w:rsid w:val="009A5A70"/>
    <w:rsid w:val="009A6903"/>
    <w:rsid w:val="009A6E1C"/>
    <w:rsid w:val="009A6E96"/>
    <w:rsid w:val="009B0146"/>
    <w:rsid w:val="009B024A"/>
    <w:rsid w:val="009B4D5C"/>
    <w:rsid w:val="009B67C3"/>
    <w:rsid w:val="009B69B1"/>
    <w:rsid w:val="009C01E2"/>
    <w:rsid w:val="009C0C7D"/>
    <w:rsid w:val="009C1C18"/>
    <w:rsid w:val="009C268C"/>
    <w:rsid w:val="009C3ABB"/>
    <w:rsid w:val="009C3C14"/>
    <w:rsid w:val="009C4650"/>
    <w:rsid w:val="009C7430"/>
    <w:rsid w:val="009C7CF0"/>
    <w:rsid w:val="009D3422"/>
    <w:rsid w:val="009D38EE"/>
    <w:rsid w:val="009D3E68"/>
    <w:rsid w:val="009D3FAC"/>
    <w:rsid w:val="009D3FF0"/>
    <w:rsid w:val="009D415A"/>
    <w:rsid w:val="009D44EF"/>
    <w:rsid w:val="009D55DA"/>
    <w:rsid w:val="009D6775"/>
    <w:rsid w:val="009D67E8"/>
    <w:rsid w:val="009D6AD6"/>
    <w:rsid w:val="009D7834"/>
    <w:rsid w:val="009E0D62"/>
    <w:rsid w:val="009E17FF"/>
    <w:rsid w:val="009E2813"/>
    <w:rsid w:val="009E281E"/>
    <w:rsid w:val="009E3F86"/>
    <w:rsid w:val="009E4122"/>
    <w:rsid w:val="009E4E6B"/>
    <w:rsid w:val="009E4F74"/>
    <w:rsid w:val="009E678D"/>
    <w:rsid w:val="009E711F"/>
    <w:rsid w:val="009F0E7C"/>
    <w:rsid w:val="009F157F"/>
    <w:rsid w:val="009F1FB2"/>
    <w:rsid w:val="009F2DCE"/>
    <w:rsid w:val="009F3839"/>
    <w:rsid w:val="009F4B6A"/>
    <w:rsid w:val="009F5155"/>
    <w:rsid w:val="009F543F"/>
    <w:rsid w:val="009F60BD"/>
    <w:rsid w:val="009F6A6C"/>
    <w:rsid w:val="009F6E56"/>
    <w:rsid w:val="009F728A"/>
    <w:rsid w:val="009F7560"/>
    <w:rsid w:val="00A006D9"/>
    <w:rsid w:val="00A02548"/>
    <w:rsid w:val="00A02F28"/>
    <w:rsid w:val="00A031A1"/>
    <w:rsid w:val="00A0356F"/>
    <w:rsid w:val="00A03A82"/>
    <w:rsid w:val="00A04F6F"/>
    <w:rsid w:val="00A0614A"/>
    <w:rsid w:val="00A06C5F"/>
    <w:rsid w:val="00A10A97"/>
    <w:rsid w:val="00A117BD"/>
    <w:rsid w:val="00A11C58"/>
    <w:rsid w:val="00A14596"/>
    <w:rsid w:val="00A14A14"/>
    <w:rsid w:val="00A16197"/>
    <w:rsid w:val="00A174B3"/>
    <w:rsid w:val="00A174BE"/>
    <w:rsid w:val="00A177A0"/>
    <w:rsid w:val="00A204A4"/>
    <w:rsid w:val="00A21223"/>
    <w:rsid w:val="00A261C2"/>
    <w:rsid w:val="00A2629A"/>
    <w:rsid w:val="00A26D82"/>
    <w:rsid w:val="00A27DF5"/>
    <w:rsid w:val="00A31CF2"/>
    <w:rsid w:val="00A3202E"/>
    <w:rsid w:val="00A32714"/>
    <w:rsid w:val="00A330D0"/>
    <w:rsid w:val="00A33331"/>
    <w:rsid w:val="00A34743"/>
    <w:rsid w:val="00A35348"/>
    <w:rsid w:val="00A359C6"/>
    <w:rsid w:val="00A36BDE"/>
    <w:rsid w:val="00A37026"/>
    <w:rsid w:val="00A3784D"/>
    <w:rsid w:val="00A379A9"/>
    <w:rsid w:val="00A42231"/>
    <w:rsid w:val="00A422EE"/>
    <w:rsid w:val="00A43E66"/>
    <w:rsid w:val="00A44434"/>
    <w:rsid w:val="00A44523"/>
    <w:rsid w:val="00A452A0"/>
    <w:rsid w:val="00A45528"/>
    <w:rsid w:val="00A459CF"/>
    <w:rsid w:val="00A45BD3"/>
    <w:rsid w:val="00A469BC"/>
    <w:rsid w:val="00A46EA9"/>
    <w:rsid w:val="00A475D8"/>
    <w:rsid w:val="00A47F7B"/>
    <w:rsid w:val="00A50B90"/>
    <w:rsid w:val="00A5180A"/>
    <w:rsid w:val="00A51E37"/>
    <w:rsid w:val="00A51FF5"/>
    <w:rsid w:val="00A52086"/>
    <w:rsid w:val="00A525D6"/>
    <w:rsid w:val="00A52DD0"/>
    <w:rsid w:val="00A538D5"/>
    <w:rsid w:val="00A5454F"/>
    <w:rsid w:val="00A54693"/>
    <w:rsid w:val="00A54ECE"/>
    <w:rsid w:val="00A5582A"/>
    <w:rsid w:val="00A55AE0"/>
    <w:rsid w:val="00A568A9"/>
    <w:rsid w:val="00A56B65"/>
    <w:rsid w:val="00A60443"/>
    <w:rsid w:val="00A604ED"/>
    <w:rsid w:val="00A605F6"/>
    <w:rsid w:val="00A6068D"/>
    <w:rsid w:val="00A61703"/>
    <w:rsid w:val="00A632D2"/>
    <w:rsid w:val="00A64146"/>
    <w:rsid w:val="00A64742"/>
    <w:rsid w:val="00A65AAF"/>
    <w:rsid w:val="00A662CA"/>
    <w:rsid w:val="00A67192"/>
    <w:rsid w:val="00A67CC1"/>
    <w:rsid w:val="00A719E7"/>
    <w:rsid w:val="00A7204A"/>
    <w:rsid w:val="00A72A1D"/>
    <w:rsid w:val="00A732CB"/>
    <w:rsid w:val="00A73E55"/>
    <w:rsid w:val="00A73FFB"/>
    <w:rsid w:val="00A75817"/>
    <w:rsid w:val="00A76905"/>
    <w:rsid w:val="00A801A6"/>
    <w:rsid w:val="00A802D6"/>
    <w:rsid w:val="00A80737"/>
    <w:rsid w:val="00A81943"/>
    <w:rsid w:val="00A8254E"/>
    <w:rsid w:val="00A82DED"/>
    <w:rsid w:val="00A82E0B"/>
    <w:rsid w:val="00A842DC"/>
    <w:rsid w:val="00A84388"/>
    <w:rsid w:val="00A84DE9"/>
    <w:rsid w:val="00A85307"/>
    <w:rsid w:val="00A85604"/>
    <w:rsid w:val="00A86E17"/>
    <w:rsid w:val="00A878BB"/>
    <w:rsid w:val="00A90AAE"/>
    <w:rsid w:val="00A913DB"/>
    <w:rsid w:val="00A91498"/>
    <w:rsid w:val="00A916EB"/>
    <w:rsid w:val="00A92BF9"/>
    <w:rsid w:val="00A92DB8"/>
    <w:rsid w:val="00A930B7"/>
    <w:rsid w:val="00A93240"/>
    <w:rsid w:val="00A93C2E"/>
    <w:rsid w:val="00A94E41"/>
    <w:rsid w:val="00A95A9A"/>
    <w:rsid w:val="00A96585"/>
    <w:rsid w:val="00A96599"/>
    <w:rsid w:val="00A96800"/>
    <w:rsid w:val="00AA02A3"/>
    <w:rsid w:val="00AA1A43"/>
    <w:rsid w:val="00AA2350"/>
    <w:rsid w:val="00AA2379"/>
    <w:rsid w:val="00AA2E51"/>
    <w:rsid w:val="00AA2E5D"/>
    <w:rsid w:val="00AA494E"/>
    <w:rsid w:val="00AA513F"/>
    <w:rsid w:val="00AA5D94"/>
    <w:rsid w:val="00AA65F7"/>
    <w:rsid w:val="00AA6F2D"/>
    <w:rsid w:val="00AA722F"/>
    <w:rsid w:val="00AB2974"/>
    <w:rsid w:val="00AB3405"/>
    <w:rsid w:val="00AB457C"/>
    <w:rsid w:val="00AB71FA"/>
    <w:rsid w:val="00AC0182"/>
    <w:rsid w:val="00AC1659"/>
    <w:rsid w:val="00AC2F21"/>
    <w:rsid w:val="00AC35DF"/>
    <w:rsid w:val="00AC37E0"/>
    <w:rsid w:val="00AC4CE5"/>
    <w:rsid w:val="00AC587F"/>
    <w:rsid w:val="00AC5E1A"/>
    <w:rsid w:val="00AC5F16"/>
    <w:rsid w:val="00AC62B1"/>
    <w:rsid w:val="00AC6F62"/>
    <w:rsid w:val="00AC721F"/>
    <w:rsid w:val="00AC7CD7"/>
    <w:rsid w:val="00AC7F1A"/>
    <w:rsid w:val="00AD00B5"/>
    <w:rsid w:val="00AD08A3"/>
    <w:rsid w:val="00AD1AA4"/>
    <w:rsid w:val="00AD2CA1"/>
    <w:rsid w:val="00AD3B08"/>
    <w:rsid w:val="00AD450A"/>
    <w:rsid w:val="00AD464C"/>
    <w:rsid w:val="00AD4ADF"/>
    <w:rsid w:val="00AD4BD2"/>
    <w:rsid w:val="00AD5493"/>
    <w:rsid w:val="00AD56EC"/>
    <w:rsid w:val="00AD6E31"/>
    <w:rsid w:val="00AD7097"/>
    <w:rsid w:val="00AD736D"/>
    <w:rsid w:val="00AE0870"/>
    <w:rsid w:val="00AE1791"/>
    <w:rsid w:val="00AE6D0A"/>
    <w:rsid w:val="00AE7091"/>
    <w:rsid w:val="00AE7822"/>
    <w:rsid w:val="00AF055C"/>
    <w:rsid w:val="00AF14D2"/>
    <w:rsid w:val="00AF1F34"/>
    <w:rsid w:val="00AF1FC3"/>
    <w:rsid w:val="00AF369F"/>
    <w:rsid w:val="00AF4470"/>
    <w:rsid w:val="00AF4A4B"/>
    <w:rsid w:val="00AF508C"/>
    <w:rsid w:val="00AF5B3A"/>
    <w:rsid w:val="00AF672C"/>
    <w:rsid w:val="00AF69F2"/>
    <w:rsid w:val="00AF6AC8"/>
    <w:rsid w:val="00AF6AD3"/>
    <w:rsid w:val="00AF6BC3"/>
    <w:rsid w:val="00AF75A0"/>
    <w:rsid w:val="00AF78CB"/>
    <w:rsid w:val="00AF7DD2"/>
    <w:rsid w:val="00B00099"/>
    <w:rsid w:val="00B00F27"/>
    <w:rsid w:val="00B02096"/>
    <w:rsid w:val="00B02524"/>
    <w:rsid w:val="00B02668"/>
    <w:rsid w:val="00B030BB"/>
    <w:rsid w:val="00B04CF6"/>
    <w:rsid w:val="00B05988"/>
    <w:rsid w:val="00B05D5F"/>
    <w:rsid w:val="00B0613E"/>
    <w:rsid w:val="00B06ADD"/>
    <w:rsid w:val="00B06D9A"/>
    <w:rsid w:val="00B076C6"/>
    <w:rsid w:val="00B0774E"/>
    <w:rsid w:val="00B1036B"/>
    <w:rsid w:val="00B12908"/>
    <w:rsid w:val="00B13064"/>
    <w:rsid w:val="00B131D6"/>
    <w:rsid w:val="00B13CE2"/>
    <w:rsid w:val="00B13D07"/>
    <w:rsid w:val="00B146AD"/>
    <w:rsid w:val="00B14834"/>
    <w:rsid w:val="00B20B00"/>
    <w:rsid w:val="00B2129E"/>
    <w:rsid w:val="00B21D07"/>
    <w:rsid w:val="00B26CB3"/>
    <w:rsid w:val="00B26CC1"/>
    <w:rsid w:val="00B26FFD"/>
    <w:rsid w:val="00B2789F"/>
    <w:rsid w:val="00B27A85"/>
    <w:rsid w:val="00B27B6B"/>
    <w:rsid w:val="00B27B8B"/>
    <w:rsid w:val="00B27BE1"/>
    <w:rsid w:val="00B302D7"/>
    <w:rsid w:val="00B3067A"/>
    <w:rsid w:val="00B30865"/>
    <w:rsid w:val="00B316EC"/>
    <w:rsid w:val="00B31F97"/>
    <w:rsid w:val="00B31FAF"/>
    <w:rsid w:val="00B3325E"/>
    <w:rsid w:val="00B332A8"/>
    <w:rsid w:val="00B34267"/>
    <w:rsid w:val="00B36035"/>
    <w:rsid w:val="00B41B9F"/>
    <w:rsid w:val="00B41FDE"/>
    <w:rsid w:val="00B42EBC"/>
    <w:rsid w:val="00B439AC"/>
    <w:rsid w:val="00B44390"/>
    <w:rsid w:val="00B444FF"/>
    <w:rsid w:val="00B44826"/>
    <w:rsid w:val="00B44B59"/>
    <w:rsid w:val="00B4569E"/>
    <w:rsid w:val="00B474AB"/>
    <w:rsid w:val="00B5069E"/>
    <w:rsid w:val="00B51017"/>
    <w:rsid w:val="00B51335"/>
    <w:rsid w:val="00B51574"/>
    <w:rsid w:val="00B51C3F"/>
    <w:rsid w:val="00B5254E"/>
    <w:rsid w:val="00B532D1"/>
    <w:rsid w:val="00B5465A"/>
    <w:rsid w:val="00B579BE"/>
    <w:rsid w:val="00B609E6"/>
    <w:rsid w:val="00B60FB3"/>
    <w:rsid w:val="00B61C6A"/>
    <w:rsid w:val="00B6356B"/>
    <w:rsid w:val="00B63789"/>
    <w:rsid w:val="00B63E76"/>
    <w:rsid w:val="00B6449B"/>
    <w:rsid w:val="00B64DA2"/>
    <w:rsid w:val="00B65612"/>
    <w:rsid w:val="00B65A00"/>
    <w:rsid w:val="00B66137"/>
    <w:rsid w:val="00B6622D"/>
    <w:rsid w:val="00B66888"/>
    <w:rsid w:val="00B677EF"/>
    <w:rsid w:val="00B70514"/>
    <w:rsid w:val="00B70BEB"/>
    <w:rsid w:val="00B70F06"/>
    <w:rsid w:val="00B714B0"/>
    <w:rsid w:val="00B721F7"/>
    <w:rsid w:val="00B72234"/>
    <w:rsid w:val="00B727CA"/>
    <w:rsid w:val="00B73055"/>
    <w:rsid w:val="00B738BC"/>
    <w:rsid w:val="00B739D0"/>
    <w:rsid w:val="00B73F73"/>
    <w:rsid w:val="00B74763"/>
    <w:rsid w:val="00B7491F"/>
    <w:rsid w:val="00B75A55"/>
    <w:rsid w:val="00B77275"/>
    <w:rsid w:val="00B778CF"/>
    <w:rsid w:val="00B77BAE"/>
    <w:rsid w:val="00B800BE"/>
    <w:rsid w:val="00B8037C"/>
    <w:rsid w:val="00B81DB8"/>
    <w:rsid w:val="00B831CB"/>
    <w:rsid w:val="00B8381E"/>
    <w:rsid w:val="00B861F0"/>
    <w:rsid w:val="00B866F7"/>
    <w:rsid w:val="00B87AF2"/>
    <w:rsid w:val="00B903D5"/>
    <w:rsid w:val="00B90956"/>
    <w:rsid w:val="00B90AD1"/>
    <w:rsid w:val="00B90E60"/>
    <w:rsid w:val="00B90FF5"/>
    <w:rsid w:val="00B9143D"/>
    <w:rsid w:val="00B9292A"/>
    <w:rsid w:val="00B92C6C"/>
    <w:rsid w:val="00B92F60"/>
    <w:rsid w:val="00B932AC"/>
    <w:rsid w:val="00B94112"/>
    <w:rsid w:val="00B95A56"/>
    <w:rsid w:val="00B96F8D"/>
    <w:rsid w:val="00B97195"/>
    <w:rsid w:val="00B97601"/>
    <w:rsid w:val="00B97F9E"/>
    <w:rsid w:val="00BA1C87"/>
    <w:rsid w:val="00BA3485"/>
    <w:rsid w:val="00BA5116"/>
    <w:rsid w:val="00BA612A"/>
    <w:rsid w:val="00BA766C"/>
    <w:rsid w:val="00BA776C"/>
    <w:rsid w:val="00BA7E65"/>
    <w:rsid w:val="00BB0C40"/>
    <w:rsid w:val="00BB1127"/>
    <w:rsid w:val="00BB17D1"/>
    <w:rsid w:val="00BB2633"/>
    <w:rsid w:val="00BB469F"/>
    <w:rsid w:val="00BB610B"/>
    <w:rsid w:val="00BB6665"/>
    <w:rsid w:val="00BB70BE"/>
    <w:rsid w:val="00BC21A1"/>
    <w:rsid w:val="00BC2987"/>
    <w:rsid w:val="00BC33DF"/>
    <w:rsid w:val="00BC6010"/>
    <w:rsid w:val="00BC7078"/>
    <w:rsid w:val="00BC735A"/>
    <w:rsid w:val="00BC747A"/>
    <w:rsid w:val="00BC7632"/>
    <w:rsid w:val="00BD098E"/>
    <w:rsid w:val="00BD0E57"/>
    <w:rsid w:val="00BD144C"/>
    <w:rsid w:val="00BD216E"/>
    <w:rsid w:val="00BD221F"/>
    <w:rsid w:val="00BD31F9"/>
    <w:rsid w:val="00BD3422"/>
    <w:rsid w:val="00BD4263"/>
    <w:rsid w:val="00BD56FE"/>
    <w:rsid w:val="00BD6506"/>
    <w:rsid w:val="00BD7487"/>
    <w:rsid w:val="00BE1B37"/>
    <w:rsid w:val="00BE2ACD"/>
    <w:rsid w:val="00BE340B"/>
    <w:rsid w:val="00BE3C6F"/>
    <w:rsid w:val="00BE5C83"/>
    <w:rsid w:val="00BE67EA"/>
    <w:rsid w:val="00BE6F3F"/>
    <w:rsid w:val="00BF18A6"/>
    <w:rsid w:val="00BF1C6F"/>
    <w:rsid w:val="00BF38B2"/>
    <w:rsid w:val="00BF3C46"/>
    <w:rsid w:val="00BF4A6B"/>
    <w:rsid w:val="00BF4E9E"/>
    <w:rsid w:val="00BF4FCB"/>
    <w:rsid w:val="00BF4FE3"/>
    <w:rsid w:val="00BF5A0F"/>
    <w:rsid w:val="00BF6B9C"/>
    <w:rsid w:val="00BF70BB"/>
    <w:rsid w:val="00C00611"/>
    <w:rsid w:val="00C00BF4"/>
    <w:rsid w:val="00C00DED"/>
    <w:rsid w:val="00C02328"/>
    <w:rsid w:val="00C038DE"/>
    <w:rsid w:val="00C03950"/>
    <w:rsid w:val="00C0400E"/>
    <w:rsid w:val="00C04084"/>
    <w:rsid w:val="00C05260"/>
    <w:rsid w:val="00C0549C"/>
    <w:rsid w:val="00C0586A"/>
    <w:rsid w:val="00C05EFF"/>
    <w:rsid w:val="00C06277"/>
    <w:rsid w:val="00C06D09"/>
    <w:rsid w:val="00C06E9B"/>
    <w:rsid w:val="00C077F3"/>
    <w:rsid w:val="00C10EF9"/>
    <w:rsid w:val="00C116C0"/>
    <w:rsid w:val="00C120F9"/>
    <w:rsid w:val="00C1391C"/>
    <w:rsid w:val="00C154FF"/>
    <w:rsid w:val="00C16793"/>
    <w:rsid w:val="00C167B8"/>
    <w:rsid w:val="00C17210"/>
    <w:rsid w:val="00C17464"/>
    <w:rsid w:val="00C17E4F"/>
    <w:rsid w:val="00C233D7"/>
    <w:rsid w:val="00C25307"/>
    <w:rsid w:val="00C25F61"/>
    <w:rsid w:val="00C26F0B"/>
    <w:rsid w:val="00C271C7"/>
    <w:rsid w:val="00C27768"/>
    <w:rsid w:val="00C30CBE"/>
    <w:rsid w:val="00C3184F"/>
    <w:rsid w:val="00C32C5F"/>
    <w:rsid w:val="00C32FD8"/>
    <w:rsid w:val="00C3462C"/>
    <w:rsid w:val="00C34C86"/>
    <w:rsid w:val="00C36A05"/>
    <w:rsid w:val="00C36FAD"/>
    <w:rsid w:val="00C374DA"/>
    <w:rsid w:val="00C37742"/>
    <w:rsid w:val="00C37C9D"/>
    <w:rsid w:val="00C409EA"/>
    <w:rsid w:val="00C40F47"/>
    <w:rsid w:val="00C41654"/>
    <w:rsid w:val="00C42B20"/>
    <w:rsid w:val="00C42E84"/>
    <w:rsid w:val="00C436F1"/>
    <w:rsid w:val="00C43A83"/>
    <w:rsid w:val="00C43CF8"/>
    <w:rsid w:val="00C442E7"/>
    <w:rsid w:val="00C453CA"/>
    <w:rsid w:val="00C46023"/>
    <w:rsid w:val="00C47768"/>
    <w:rsid w:val="00C47AEB"/>
    <w:rsid w:val="00C47B9B"/>
    <w:rsid w:val="00C51B72"/>
    <w:rsid w:val="00C52212"/>
    <w:rsid w:val="00C52304"/>
    <w:rsid w:val="00C52BA8"/>
    <w:rsid w:val="00C52ECD"/>
    <w:rsid w:val="00C55D75"/>
    <w:rsid w:val="00C55EDC"/>
    <w:rsid w:val="00C56BAA"/>
    <w:rsid w:val="00C57155"/>
    <w:rsid w:val="00C576EA"/>
    <w:rsid w:val="00C57F08"/>
    <w:rsid w:val="00C57FB3"/>
    <w:rsid w:val="00C603B3"/>
    <w:rsid w:val="00C61001"/>
    <w:rsid w:val="00C6114B"/>
    <w:rsid w:val="00C620AE"/>
    <w:rsid w:val="00C6253A"/>
    <w:rsid w:val="00C658CF"/>
    <w:rsid w:val="00C71484"/>
    <w:rsid w:val="00C71DBA"/>
    <w:rsid w:val="00C71EE6"/>
    <w:rsid w:val="00C7379A"/>
    <w:rsid w:val="00C74F3A"/>
    <w:rsid w:val="00C758F7"/>
    <w:rsid w:val="00C759D3"/>
    <w:rsid w:val="00C76BF0"/>
    <w:rsid w:val="00C76C19"/>
    <w:rsid w:val="00C7728F"/>
    <w:rsid w:val="00C77418"/>
    <w:rsid w:val="00C77AEE"/>
    <w:rsid w:val="00C80C26"/>
    <w:rsid w:val="00C810AA"/>
    <w:rsid w:val="00C81ACD"/>
    <w:rsid w:val="00C81F72"/>
    <w:rsid w:val="00C82DC8"/>
    <w:rsid w:val="00C83DEA"/>
    <w:rsid w:val="00C842DB"/>
    <w:rsid w:val="00C84765"/>
    <w:rsid w:val="00C84B2D"/>
    <w:rsid w:val="00C86269"/>
    <w:rsid w:val="00C86F5D"/>
    <w:rsid w:val="00C87A2B"/>
    <w:rsid w:val="00C9064F"/>
    <w:rsid w:val="00C90D6C"/>
    <w:rsid w:val="00C90E42"/>
    <w:rsid w:val="00C91833"/>
    <w:rsid w:val="00C92017"/>
    <w:rsid w:val="00C92225"/>
    <w:rsid w:val="00C92C8B"/>
    <w:rsid w:val="00C9310E"/>
    <w:rsid w:val="00C93DA8"/>
    <w:rsid w:val="00C94019"/>
    <w:rsid w:val="00C963FE"/>
    <w:rsid w:val="00C96958"/>
    <w:rsid w:val="00C97CD5"/>
    <w:rsid w:val="00C97DCD"/>
    <w:rsid w:val="00C97DDC"/>
    <w:rsid w:val="00CA1913"/>
    <w:rsid w:val="00CA2855"/>
    <w:rsid w:val="00CA2A14"/>
    <w:rsid w:val="00CA3916"/>
    <w:rsid w:val="00CA3F86"/>
    <w:rsid w:val="00CA486B"/>
    <w:rsid w:val="00CA4932"/>
    <w:rsid w:val="00CA4C3C"/>
    <w:rsid w:val="00CA5341"/>
    <w:rsid w:val="00CA56DC"/>
    <w:rsid w:val="00CA5FFF"/>
    <w:rsid w:val="00CA636D"/>
    <w:rsid w:val="00CA63D5"/>
    <w:rsid w:val="00CA6AD3"/>
    <w:rsid w:val="00CA76AF"/>
    <w:rsid w:val="00CB233A"/>
    <w:rsid w:val="00CB25A3"/>
    <w:rsid w:val="00CB2D83"/>
    <w:rsid w:val="00CB44E6"/>
    <w:rsid w:val="00CB6700"/>
    <w:rsid w:val="00CB67BF"/>
    <w:rsid w:val="00CB6F3D"/>
    <w:rsid w:val="00CC0A9B"/>
    <w:rsid w:val="00CC0FF0"/>
    <w:rsid w:val="00CC1F26"/>
    <w:rsid w:val="00CC2D8D"/>
    <w:rsid w:val="00CC2E3C"/>
    <w:rsid w:val="00CC3102"/>
    <w:rsid w:val="00CC328A"/>
    <w:rsid w:val="00CC3D62"/>
    <w:rsid w:val="00CC4363"/>
    <w:rsid w:val="00CC453F"/>
    <w:rsid w:val="00CC73FD"/>
    <w:rsid w:val="00CD0F81"/>
    <w:rsid w:val="00CD1673"/>
    <w:rsid w:val="00CD2727"/>
    <w:rsid w:val="00CD2D4C"/>
    <w:rsid w:val="00CD4059"/>
    <w:rsid w:val="00CD45ED"/>
    <w:rsid w:val="00CD48C4"/>
    <w:rsid w:val="00CD4CBD"/>
    <w:rsid w:val="00CD6BAE"/>
    <w:rsid w:val="00CD711C"/>
    <w:rsid w:val="00CE014C"/>
    <w:rsid w:val="00CE0775"/>
    <w:rsid w:val="00CE1A98"/>
    <w:rsid w:val="00CE4B2F"/>
    <w:rsid w:val="00CE70B3"/>
    <w:rsid w:val="00CE76E1"/>
    <w:rsid w:val="00CE7EB2"/>
    <w:rsid w:val="00CF00B2"/>
    <w:rsid w:val="00CF09AA"/>
    <w:rsid w:val="00CF2738"/>
    <w:rsid w:val="00CF290D"/>
    <w:rsid w:val="00CF3113"/>
    <w:rsid w:val="00CF3F4C"/>
    <w:rsid w:val="00CF3FC3"/>
    <w:rsid w:val="00CF4D98"/>
    <w:rsid w:val="00CF6039"/>
    <w:rsid w:val="00CF60E2"/>
    <w:rsid w:val="00CF6FCB"/>
    <w:rsid w:val="00CF727D"/>
    <w:rsid w:val="00CF79F7"/>
    <w:rsid w:val="00D010CD"/>
    <w:rsid w:val="00D0130D"/>
    <w:rsid w:val="00D03278"/>
    <w:rsid w:val="00D06381"/>
    <w:rsid w:val="00D07458"/>
    <w:rsid w:val="00D10CF6"/>
    <w:rsid w:val="00D111AD"/>
    <w:rsid w:val="00D117C0"/>
    <w:rsid w:val="00D11F02"/>
    <w:rsid w:val="00D12E15"/>
    <w:rsid w:val="00D12E5B"/>
    <w:rsid w:val="00D13196"/>
    <w:rsid w:val="00D13DAD"/>
    <w:rsid w:val="00D14AC7"/>
    <w:rsid w:val="00D159B6"/>
    <w:rsid w:val="00D1608F"/>
    <w:rsid w:val="00D16E27"/>
    <w:rsid w:val="00D16FC8"/>
    <w:rsid w:val="00D177E6"/>
    <w:rsid w:val="00D21B6D"/>
    <w:rsid w:val="00D23012"/>
    <w:rsid w:val="00D261B0"/>
    <w:rsid w:val="00D26CD5"/>
    <w:rsid w:val="00D32C8E"/>
    <w:rsid w:val="00D33071"/>
    <w:rsid w:val="00D342C0"/>
    <w:rsid w:val="00D35325"/>
    <w:rsid w:val="00D36123"/>
    <w:rsid w:val="00D37E66"/>
    <w:rsid w:val="00D41AAF"/>
    <w:rsid w:val="00D41FCD"/>
    <w:rsid w:val="00D423B5"/>
    <w:rsid w:val="00D42DF2"/>
    <w:rsid w:val="00D44E77"/>
    <w:rsid w:val="00D44F89"/>
    <w:rsid w:val="00D4563C"/>
    <w:rsid w:val="00D46702"/>
    <w:rsid w:val="00D46FEC"/>
    <w:rsid w:val="00D47AC7"/>
    <w:rsid w:val="00D50764"/>
    <w:rsid w:val="00D51D75"/>
    <w:rsid w:val="00D533F4"/>
    <w:rsid w:val="00D562FA"/>
    <w:rsid w:val="00D56485"/>
    <w:rsid w:val="00D564BF"/>
    <w:rsid w:val="00D607FB"/>
    <w:rsid w:val="00D608BF"/>
    <w:rsid w:val="00D61147"/>
    <w:rsid w:val="00D61E21"/>
    <w:rsid w:val="00D629DF"/>
    <w:rsid w:val="00D635A8"/>
    <w:rsid w:val="00D63EBF"/>
    <w:rsid w:val="00D64008"/>
    <w:rsid w:val="00D65DF3"/>
    <w:rsid w:val="00D67369"/>
    <w:rsid w:val="00D70FF5"/>
    <w:rsid w:val="00D72362"/>
    <w:rsid w:val="00D7285A"/>
    <w:rsid w:val="00D73660"/>
    <w:rsid w:val="00D73AAA"/>
    <w:rsid w:val="00D7545D"/>
    <w:rsid w:val="00D75C26"/>
    <w:rsid w:val="00D8106D"/>
    <w:rsid w:val="00D812F2"/>
    <w:rsid w:val="00D81E19"/>
    <w:rsid w:val="00D82E92"/>
    <w:rsid w:val="00D83423"/>
    <w:rsid w:val="00D84A99"/>
    <w:rsid w:val="00D85F8F"/>
    <w:rsid w:val="00D860FE"/>
    <w:rsid w:val="00D86C4A"/>
    <w:rsid w:val="00D86D26"/>
    <w:rsid w:val="00D87674"/>
    <w:rsid w:val="00D9015B"/>
    <w:rsid w:val="00D9042F"/>
    <w:rsid w:val="00D909BA"/>
    <w:rsid w:val="00D92645"/>
    <w:rsid w:val="00D92CA6"/>
    <w:rsid w:val="00D93D3C"/>
    <w:rsid w:val="00D95361"/>
    <w:rsid w:val="00D95A22"/>
    <w:rsid w:val="00D95EC2"/>
    <w:rsid w:val="00D96E70"/>
    <w:rsid w:val="00D97776"/>
    <w:rsid w:val="00DA032C"/>
    <w:rsid w:val="00DA0479"/>
    <w:rsid w:val="00DA20ED"/>
    <w:rsid w:val="00DA24EF"/>
    <w:rsid w:val="00DA259E"/>
    <w:rsid w:val="00DA284C"/>
    <w:rsid w:val="00DA3609"/>
    <w:rsid w:val="00DA3ACC"/>
    <w:rsid w:val="00DA6031"/>
    <w:rsid w:val="00DA60FE"/>
    <w:rsid w:val="00DA61B3"/>
    <w:rsid w:val="00DB0263"/>
    <w:rsid w:val="00DB1B40"/>
    <w:rsid w:val="00DB2F12"/>
    <w:rsid w:val="00DB3593"/>
    <w:rsid w:val="00DB3B4A"/>
    <w:rsid w:val="00DB4A4E"/>
    <w:rsid w:val="00DB55C6"/>
    <w:rsid w:val="00DB5F44"/>
    <w:rsid w:val="00DB6051"/>
    <w:rsid w:val="00DB7D38"/>
    <w:rsid w:val="00DC10A2"/>
    <w:rsid w:val="00DC33D4"/>
    <w:rsid w:val="00DC3563"/>
    <w:rsid w:val="00DC4742"/>
    <w:rsid w:val="00DC4C42"/>
    <w:rsid w:val="00DC4DC4"/>
    <w:rsid w:val="00DC5066"/>
    <w:rsid w:val="00DC5087"/>
    <w:rsid w:val="00DC5F59"/>
    <w:rsid w:val="00DC6180"/>
    <w:rsid w:val="00DD1940"/>
    <w:rsid w:val="00DD31D9"/>
    <w:rsid w:val="00DD34F1"/>
    <w:rsid w:val="00DD37EC"/>
    <w:rsid w:val="00DD3CA6"/>
    <w:rsid w:val="00DD40DF"/>
    <w:rsid w:val="00DD4762"/>
    <w:rsid w:val="00DD4F9D"/>
    <w:rsid w:val="00DD5038"/>
    <w:rsid w:val="00DD5A6D"/>
    <w:rsid w:val="00DD61C9"/>
    <w:rsid w:val="00DD638E"/>
    <w:rsid w:val="00DD7155"/>
    <w:rsid w:val="00DE078B"/>
    <w:rsid w:val="00DE1689"/>
    <w:rsid w:val="00DE291C"/>
    <w:rsid w:val="00DE320A"/>
    <w:rsid w:val="00DE443E"/>
    <w:rsid w:val="00DE50CF"/>
    <w:rsid w:val="00DE53E0"/>
    <w:rsid w:val="00DE5A19"/>
    <w:rsid w:val="00DE6D7D"/>
    <w:rsid w:val="00DF08A8"/>
    <w:rsid w:val="00DF0909"/>
    <w:rsid w:val="00DF0986"/>
    <w:rsid w:val="00DF14C5"/>
    <w:rsid w:val="00DF2427"/>
    <w:rsid w:val="00DF3249"/>
    <w:rsid w:val="00DF495C"/>
    <w:rsid w:val="00DF513B"/>
    <w:rsid w:val="00DF54E9"/>
    <w:rsid w:val="00DF7744"/>
    <w:rsid w:val="00DF784F"/>
    <w:rsid w:val="00DF7C83"/>
    <w:rsid w:val="00E005D6"/>
    <w:rsid w:val="00E00A2B"/>
    <w:rsid w:val="00E01ADE"/>
    <w:rsid w:val="00E02B4C"/>
    <w:rsid w:val="00E03A9B"/>
    <w:rsid w:val="00E03D96"/>
    <w:rsid w:val="00E05101"/>
    <w:rsid w:val="00E0540D"/>
    <w:rsid w:val="00E07338"/>
    <w:rsid w:val="00E12690"/>
    <w:rsid w:val="00E1290D"/>
    <w:rsid w:val="00E13632"/>
    <w:rsid w:val="00E14948"/>
    <w:rsid w:val="00E149C4"/>
    <w:rsid w:val="00E16512"/>
    <w:rsid w:val="00E17ADD"/>
    <w:rsid w:val="00E23DBD"/>
    <w:rsid w:val="00E243A3"/>
    <w:rsid w:val="00E24443"/>
    <w:rsid w:val="00E2445C"/>
    <w:rsid w:val="00E247C3"/>
    <w:rsid w:val="00E25BC7"/>
    <w:rsid w:val="00E25D84"/>
    <w:rsid w:val="00E2605F"/>
    <w:rsid w:val="00E26A85"/>
    <w:rsid w:val="00E27434"/>
    <w:rsid w:val="00E27671"/>
    <w:rsid w:val="00E30029"/>
    <w:rsid w:val="00E3131D"/>
    <w:rsid w:val="00E31320"/>
    <w:rsid w:val="00E32297"/>
    <w:rsid w:val="00E327A5"/>
    <w:rsid w:val="00E333D6"/>
    <w:rsid w:val="00E33C3B"/>
    <w:rsid w:val="00E3490E"/>
    <w:rsid w:val="00E349CC"/>
    <w:rsid w:val="00E34FE3"/>
    <w:rsid w:val="00E35446"/>
    <w:rsid w:val="00E36859"/>
    <w:rsid w:val="00E36AB2"/>
    <w:rsid w:val="00E36BB6"/>
    <w:rsid w:val="00E42B12"/>
    <w:rsid w:val="00E42F89"/>
    <w:rsid w:val="00E43D29"/>
    <w:rsid w:val="00E44696"/>
    <w:rsid w:val="00E45A81"/>
    <w:rsid w:val="00E4655D"/>
    <w:rsid w:val="00E465C6"/>
    <w:rsid w:val="00E467A3"/>
    <w:rsid w:val="00E4771E"/>
    <w:rsid w:val="00E47AAD"/>
    <w:rsid w:val="00E50C97"/>
    <w:rsid w:val="00E515D8"/>
    <w:rsid w:val="00E51EDA"/>
    <w:rsid w:val="00E53C48"/>
    <w:rsid w:val="00E55B5C"/>
    <w:rsid w:val="00E55D00"/>
    <w:rsid w:val="00E5605B"/>
    <w:rsid w:val="00E61012"/>
    <w:rsid w:val="00E6129C"/>
    <w:rsid w:val="00E618CD"/>
    <w:rsid w:val="00E62C00"/>
    <w:rsid w:val="00E62EA1"/>
    <w:rsid w:val="00E64FFF"/>
    <w:rsid w:val="00E65C98"/>
    <w:rsid w:val="00E6615B"/>
    <w:rsid w:val="00E66AEF"/>
    <w:rsid w:val="00E705AD"/>
    <w:rsid w:val="00E730A0"/>
    <w:rsid w:val="00E74B07"/>
    <w:rsid w:val="00E75228"/>
    <w:rsid w:val="00E75A10"/>
    <w:rsid w:val="00E773BB"/>
    <w:rsid w:val="00E77E58"/>
    <w:rsid w:val="00E77F66"/>
    <w:rsid w:val="00E80FC2"/>
    <w:rsid w:val="00E81662"/>
    <w:rsid w:val="00E81903"/>
    <w:rsid w:val="00E82AF1"/>
    <w:rsid w:val="00E82D3E"/>
    <w:rsid w:val="00E84247"/>
    <w:rsid w:val="00E84387"/>
    <w:rsid w:val="00E84C93"/>
    <w:rsid w:val="00E85123"/>
    <w:rsid w:val="00E85AC3"/>
    <w:rsid w:val="00E8690A"/>
    <w:rsid w:val="00E87152"/>
    <w:rsid w:val="00E877F4"/>
    <w:rsid w:val="00E916A8"/>
    <w:rsid w:val="00E91FCC"/>
    <w:rsid w:val="00E92DE2"/>
    <w:rsid w:val="00E9384E"/>
    <w:rsid w:val="00E94A37"/>
    <w:rsid w:val="00E95187"/>
    <w:rsid w:val="00E95D2F"/>
    <w:rsid w:val="00E9613B"/>
    <w:rsid w:val="00E965A8"/>
    <w:rsid w:val="00E967B6"/>
    <w:rsid w:val="00E96DDE"/>
    <w:rsid w:val="00E96DE7"/>
    <w:rsid w:val="00E975C3"/>
    <w:rsid w:val="00E97C31"/>
    <w:rsid w:val="00E97F2C"/>
    <w:rsid w:val="00EA153A"/>
    <w:rsid w:val="00EA1F48"/>
    <w:rsid w:val="00EA26CB"/>
    <w:rsid w:val="00EA28EE"/>
    <w:rsid w:val="00EA4D18"/>
    <w:rsid w:val="00EA6835"/>
    <w:rsid w:val="00EA773B"/>
    <w:rsid w:val="00EA7E3B"/>
    <w:rsid w:val="00EB01F7"/>
    <w:rsid w:val="00EB1911"/>
    <w:rsid w:val="00EB1D31"/>
    <w:rsid w:val="00EB31DB"/>
    <w:rsid w:val="00EB461C"/>
    <w:rsid w:val="00EB48FE"/>
    <w:rsid w:val="00EB5A59"/>
    <w:rsid w:val="00EB6A3B"/>
    <w:rsid w:val="00EB6EC6"/>
    <w:rsid w:val="00EB748A"/>
    <w:rsid w:val="00EB76B9"/>
    <w:rsid w:val="00EB7D19"/>
    <w:rsid w:val="00EC3067"/>
    <w:rsid w:val="00EC44EC"/>
    <w:rsid w:val="00EC4B19"/>
    <w:rsid w:val="00EC4F83"/>
    <w:rsid w:val="00EC5DCD"/>
    <w:rsid w:val="00EC60ED"/>
    <w:rsid w:val="00EC642B"/>
    <w:rsid w:val="00EC69D4"/>
    <w:rsid w:val="00EC7761"/>
    <w:rsid w:val="00ED02F3"/>
    <w:rsid w:val="00ED1F5F"/>
    <w:rsid w:val="00ED38ED"/>
    <w:rsid w:val="00ED3CB9"/>
    <w:rsid w:val="00ED442B"/>
    <w:rsid w:val="00ED5806"/>
    <w:rsid w:val="00ED6533"/>
    <w:rsid w:val="00ED746F"/>
    <w:rsid w:val="00ED7A11"/>
    <w:rsid w:val="00ED7B7D"/>
    <w:rsid w:val="00ED7CAA"/>
    <w:rsid w:val="00EE042E"/>
    <w:rsid w:val="00EE4034"/>
    <w:rsid w:val="00EE43FE"/>
    <w:rsid w:val="00EE4DAC"/>
    <w:rsid w:val="00EE57B2"/>
    <w:rsid w:val="00EE59E0"/>
    <w:rsid w:val="00EF2DB0"/>
    <w:rsid w:val="00EF2DCE"/>
    <w:rsid w:val="00EF4051"/>
    <w:rsid w:val="00EF4185"/>
    <w:rsid w:val="00EF5274"/>
    <w:rsid w:val="00EF52AB"/>
    <w:rsid w:val="00EF52C9"/>
    <w:rsid w:val="00EF5517"/>
    <w:rsid w:val="00EF5828"/>
    <w:rsid w:val="00EF694A"/>
    <w:rsid w:val="00EF72D5"/>
    <w:rsid w:val="00EF7880"/>
    <w:rsid w:val="00F00AE5"/>
    <w:rsid w:val="00F00B04"/>
    <w:rsid w:val="00F01B3A"/>
    <w:rsid w:val="00F04405"/>
    <w:rsid w:val="00F049F3"/>
    <w:rsid w:val="00F10053"/>
    <w:rsid w:val="00F10B6B"/>
    <w:rsid w:val="00F113D7"/>
    <w:rsid w:val="00F11DBF"/>
    <w:rsid w:val="00F1235F"/>
    <w:rsid w:val="00F152D1"/>
    <w:rsid w:val="00F15947"/>
    <w:rsid w:val="00F15C94"/>
    <w:rsid w:val="00F16361"/>
    <w:rsid w:val="00F165F7"/>
    <w:rsid w:val="00F16AAD"/>
    <w:rsid w:val="00F21FF5"/>
    <w:rsid w:val="00F22357"/>
    <w:rsid w:val="00F22633"/>
    <w:rsid w:val="00F229EA"/>
    <w:rsid w:val="00F22B4A"/>
    <w:rsid w:val="00F22B8A"/>
    <w:rsid w:val="00F23B28"/>
    <w:rsid w:val="00F23EDD"/>
    <w:rsid w:val="00F255AB"/>
    <w:rsid w:val="00F25644"/>
    <w:rsid w:val="00F25A3A"/>
    <w:rsid w:val="00F274BB"/>
    <w:rsid w:val="00F2767D"/>
    <w:rsid w:val="00F27EE3"/>
    <w:rsid w:val="00F310E1"/>
    <w:rsid w:val="00F31547"/>
    <w:rsid w:val="00F31E33"/>
    <w:rsid w:val="00F3288C"/>
    <w:rsid w:val="00F33167"/>
    <w:rsid w:val="00F33453"/>
    <w:rsid w:val="00F3358F"/>
    <w:rsid w:val="00F34450"/>
    <w:rsid w:val="00F34485"/>
    <w:rsid w:val="00F3462B"/>
    <w:rsid w:val="00F35BA4"/>
    <w:rsid w:val="00F35CB5"/>
    <w:rsid w:val="00F37DF9"/>
    <w:rsid w:val="00F401E9"/>
    <w:rsid w:val="00F40F8C"/>
    <w:rsid w:val="00F420E0"/>
    <w:rsid w:val="00F428BC"/>
    <w:rsid w:val="00F42F86"/>
    <w:rsid w:val="00F434BF"/>
    <w:rsid w:val="00F44040"/>
    <w:rsid w:val="00F44FD7"/>
    <w:rsid w:val="00F45702"/>
    <w:rsid w:val="00F45B9B"/>
    <w:rsid w:val="00F51DD0"/>
    <w:rsid w:val="00F528B7"/>
    <w:rsid w:val="00F52F8E"/>
    <w:rsid w:val="00F546BF"/>
    <w:rsid w:val="00F54AFC"/>
    <w:rsid w:val="00F562F9"/>
    <w:rsid w:val="00F62879"/>
    <w:rsid w:val="00F629F0"/>
    <w:rsid w:val="00F62A6D"/>
    <w:rsid w:val="00F62ABB"/>
    <w:rsid w:val="00F62C7F"/>
    <w:rsid w:val="00F63624"/>
    <w:rsid w:val="00F6364A"/>
    <w:rsid w:val="00F641FF"/>
    <w:rsid w:val="00F659C4"/>
    <w:rsid w:val="00F66A66"/>
    <w:rsid w:val="00F66EA9"/>
    <w:rsid w:val="00F66F72"/>
    <w:rsid w:val="00F66F7F"/>
    <w:rsid w:val="00F676F6"/>
    <w:rsid w:val="00F7020D"/>
    <w:rsid w:val="00F705F0"/>
    <w:rsid w:val="00F71487"/>
    <w:rsid w:val="00F714BA"/>
    <w:rsid w:val="00F71D67"/>
    <w:rsid w:val="00F725E2"/>
    <w:rsid w:val="00F72B81"/>
    <w:rsid w:val="00F73829"/>
    <w:rsid w:val="00F73A07"/>
    <w:rsid w:val="00F73FE6"/>
    <w:rsid w:val="00F741C1"/>
    <w:rsid w:val="00F74864"/>
    <w:rsid w:val="00F74E52"/>
    <w:rsid w:val="00F74FEF"/>
    <w:rsid w:val="00F7578C"/>
    <w:rsid w:val="00F75CFD"/>
    <w:rsid w:val="00F75FF6"/>
    <w:rsid w:val="00F7607D"/>
    <w:rsid w:val="00F76DF1"/>
    <w:rsid w:val="00F77196"/>
    <w:rsid w:val="00F77DE4"/>
    <w:rsid w:val="00F77E26"/>
    <w:rsid w:val="00F81BD8"/>
    <w:rsid w:val="00F82089"/>
    <w:rsid w:val="00F84283"/>
    <w:rsid w:val="00F8455B"/>
    <w:rsid w:val="00F85F33"/>
    <w:rsid w:val="00F86064"/>
    <w:rsid w:val="00F86168"/>
    <w:rsid w:val="00F879B2"/>
    <w:rsid w:val="00F90B86"/>
    <w:rsid w:val="00F921F5"/>
    <w:rsid w:val="00F9232D"/>
    <w:rsid w:val="00F93581"/>
    <w:rsid w:val="00F93CC0"/>
    <w:rsid w:val="00F940A6"/>
    <w:rsid w:val="00F944A8"/>
    <w:rsid w:val="00F946D0"/>
    <w:rsid w:val="00F968D2"/>
    <w:rsid w:val="00F96DFD"/>
    <w:rsid w:val="00FA10D2"/>
    <w:rsid w:val="00FA1EC9"/>
    <w:rsid w:val="00FA245D"/>
    <w:rsid w:val="00FA25AD"/>
    <w:rsid w:val="00FA26F1"/>
    <w:rsid w:val="00FA31DD"/>
    <w:rsid w:val="00FA426A"/>
    <w:rsid w:val="00FA45E1"/>
    <w:rsid w:val="00FA51B0"/>
    <w:rsid w:val="00FA53A6"/>
    <w:rsid w:val="00FA5EEA"/>
    <w:rsid w:val="00FA7497"/>
    <w:rsid w:val="00FB0457"/>
    <w:rsid w:val="00FB135D"/>
    <w:rsid w:val="00FB2366"/>
    <w:rsid w:val="00FB27DC"/>
    <w:rsid w:val="00FB49C3"/>
    <w:rsid w:val="00FB4A0A"/>
    <w:rsid w:val="00FB5C28"/>
    <w:rsid w:val="00FB749E"/>
    <w:rsid w:val="00FC1FEB"/>
    <w:rsid w:val="00FC342D"/>
    <w:rsid w:val="00FC5659"/>
    <w:rsid w:val="00FC64C7"/>
    <w:rsid w:val="00FC6F02"/>
    <w:rsid w:val="00FC7C27"/>
    <w:rsid w:val="00FC7CC4"/>
    <w:rsid w:val="00FD3B0A"/>
    <w:rsid w:val="00FD6C82"/>
    <w:rsid w:val="00FD6C86"/>
    <w:rsid w:val="00FE1792"/>
    <w:rsid w:val="00FE2D15"/>
    <w:rsid w:val="00FE3D97"/>
    <w:rsid w:val="00FE3FE8"/>
    <w:rsid w:val="00FE4DF8"/>
    <w:rsid w:val="00FE4E0C"/>
    <w:rsid w:val="00FE51A3"/>
    <w:rsid w:val="00FE51AC"/>
    <w:rsid w:val="00FE65E5"/>
    <w:rsid w:val="00FE679F"/>
    <w:rsid w:val="00FE711B"/>
    <w:rsid w:val="00FE7CCF"/>
    <w:rsid w:val="00FF156A"/>
    <w:rsid w:val="00FF2376"/>
    <w:rsid w:val="00FF34D1"/>
    <w:rsid w:val="00FF3595"/>
    <w:rsid w:val="00FF3EF4"/>
    <w:rsid w:val="00FF4C75"/>
    <w:rsid w:val="00FF5C4B"/>
    <w:rsid w:val="00FF5EA5"/>
    <w:rsid w:val="00FF6199"/>
    <w:rsid w:val="00FF7695"/>
    <w:rsid w:val="010E3E60"/>
    <w:rsid w:val="011862D6"/>
    <w:rsid w:val="01390C11"/>
    <w:rsid w:val="01396656"/>
    <w:rsid w:val="0182157D"/>
    <w:rsid w:val="01957D9D"/>
    <w:rsid w:val="019C4B20"/>
    <w:rsid w:val="01CA6331"/>
    <w:rsid w:val="01EF234B"/>
    <w:rsid w:val="020A2441"/>
    <w:rsid w:val="02101376"/>
    <w:rsid w:val="0212307B"/>
    <w:rsid w:val="022C2B30"/>
    <w:rsid w:val="025C7268"/>
    <w:rsid w:val="025F4CD7"/>
    <w:rsid w:val="026030A4"/>
    <w:rsid w:val="026659F0"/>
    <w:rsid w:val="02796C59"/>
    <w:rsid w:val="027B0B30"/>
    <w:rsid w:val="0281282A"/>
    <w:rsid w:val="02924B58"/>
    <w:rsid w:val="02AE6DF7"/>
    <w:rsid w:val="02B53EF3"/>
    <w:rsid w:val="02C46FA8"/>
    <w:rsid w:val="02CF3B56"/>
    <w:rsid w:val="02DC1607"/>
    <w:rsid w:val="02E4709C"/>
    <w:rsid w:val="02FB6503"/>
    <w:rsid w:val="03100E86"/>
    <w:rsid w:val="03172384"/>
    <w:rsid w:val="03216EBF"/>
    <w:rsid w:val="032760F1"/>
    <w:rsid w:val="032A5E4A"/>
    <w:rsid w:val="033774E1"/>
    <w:rsid w:val="034536E4"/>
    <w:rsid w:val="035222C8"/>
    <w:rsid w:val="035717DD"/>
    <w:rsid w:val="0359332D"/>
    <w:rsid w:val="037C30A4"/>
    <w:rsid w:val="038D72DF"/>
    <w:rsid w:val="038F59C2"/>
    <w:rsid w:val="03973D29"/>
    <w:rsid w:val="03A13C51"/>
    <w:rsid w:val="03AD7636"/>
    <w:rsid w:val="03B460E3"/>
    <w:rsid w:val="03B52966"/>
    <w:rsid w:val="03B84D6C"/>
    <w:rsid w:val="03D40FD3"/>
    <w:rsid w:val="03E01C66"/>
    <w:rsid w:val="03EB50FA"/>
    <w:rsid w:val="03F47DB1"/>
    <w:rsid w:val="0407574A"/>
    <w:rsid w:val="040C1D72"/>
    <w:rsid w:val="04422B0F"/>
    <w:rsid w:val="04451A44"/>
    <w:rsid w:val="04514BFB"/>
    <w:rsid w:val="045855BF"/>
    <w:rsid w:val="04A32778"/>
    <w:rsid w:val="04A33AF1"/>
    <w:rsid w:val="04C11604"/>
    <w:rsid w:val="04DE64EA"/>
    <w:rsid w:val="04E25FF0"/>
    <w:rsid w:val="05094D59"/>
    <w:rsid w:val="050B4245"/>
    <w:rsid w:val="05263B5D"/>
    <w:rsid w:val="053F4E6C"/>
    <w:rsid w:val="054B0D36"/>
    <w:rsid w:val="054B5478"/>
    <w:rsid w:val="05571F68"/>
    <w:rsid w:val="05701C0D"/>
    <w:rsid w:val="05962D89"/>
    <w:rsid w:val="059E36F3"/>
    <w:rsid w:val="05AA524D"/>
    <w:rsid w:val="05B25383"/>
    <w:rsid w:val="05C55B20"/>
    <w:rsid w:val="05DC4B7A"/>
    <w:rsid w:val="05F77725"/>
    <w:rsid w:val="05FD06D3"/>
    <w:rsid w:val="060C7215"/>
    <w:rsid w:val="06296B1B"/>
    <w:rsid w:val="062C34AD"/>
    <w:rsid w:val="06AC1F9F"/>
    <w:rsid w:val="06C47DA6"/>
    <w:rsid w:val="06F02FBE"/>
    <w:rsid w:val="06F51A39"/>
    <w:rsid w:val="071305C3"/>
    <w:rsid w:val="07224BDD"/>
    <w:rsid w:val="072B00F8"/>
    <w:rsid w:val="073025F3"/>
    <w:rsid w:val="0761333A"/>
    <w:rsid w:val="076B7E9F"/>
    <w:rsid w:val="077C7A64"/>
    <w:rsid w:val="0781374D"/>
    <w:rsid w:val="07A0649D"/>
    <w:rsid w:val="07AD5F16"/>
    <w:rsid w:val="07C84A57"/>
    <w:rsid w:val="07CE763F"/>
    <w:rsid w:val="08066C51"/>
    <w:rsid w:val="08193505"/>
    <w:rsid w:val="083F2CFE"/>
    <w:rsid w:val="084E698B"/>
    <w:rsid w:val="08525BF3"/>
    <w:rsid w:val="08585ED0"/>
    <w:rsid w:val="0870525E"/>
    <w:rsid w:val="08730324"/>
    <w:rsid w:val="088127FE"/>
    <w:rsid w:val="08DA0D60"/>
    <w:rsid w:val="08F33F57"/>
    <w:rsid w:val="090B0D37"/>
    <w:rsid w:val="090C2880"/>
    <w:rsid w:val="09331901"/>
    <w:rsid w:val="093A3D99"/>
    <w:rsid w:val="096510FF"/>
    <w:rsid w:val="096802A0"/>
    <w:rsid w:val="096F6562"/>
    <w:rsid w:val="097529BD"/>
    <w:rsid w:val="09855B1F"/>
    <w:rsid w:val="09870B7D"/>
    <w:rsid w:val="099700EE"/>
    <w:rsid w:val="09DC5089"/>
    <w:rsid w:val="0A167339"/>
    <w:rsid w:val="0A3E6960"/>
    <w:rsid w:val="0A6413D4"/>
    <w:rsid w:val="0A6E0008"/>
    <w:rsid w:val="0A700A53"/>
    <w:rsid w:val="0A71113E"/>
    <w:rsid w:val="0A852B22"/>
    <w:rsid w:val="0A9F4440"/>
    <w:rsid w:val="0AB13004"/>
    <w:rsid w:val="0ABE415B"/>
    <w:rsid w:val="0ACB124B"/>
    <w:rsid w:val="0AD7799B"/>
    <w:rsid w:val="0ADF1B2B"/>
    <w:rsid w:val="0AEF2665"/>
    <w:rsid w:val="0AF92144"/>
    <w:rsid w:val="0B191185"/>
    <w:rsid w:val="0B30184D"/>
    <w:rsid w:val="0B3C437E"/>
    <w:rsid w:val="0B3F45F4"/>
    <w:rsid w:val="0B494101"/>
    <w:rsid w:val="0B4F19B8"/>
    <w:rsid w:val="0B645117"/>
    <w:rsid w:val="0B6C5C16"/>
    <w:rsid w:val="0B7220A9"/>
    <w:rsid w:val="0B7B2672"/>
    <w:rsid w:val="0B7F426C"/>
    <w:rsid w:val="0B8016EC"/>
    <w:rsid w:val="0BD41AB9"/>
    <w:rsid w:val="0BD967AB"/>
    <w:rsid w:val="0BEC0296"/>
    <w:rsid w:val="0BF0651A"/>
    <w:rsid w:val="0C0643F2"/>
    <w:rsid w:val="0C086EAC"/>
    <w:rsid w:val="0C207DE5"/>
    <w:rsid w:val="0C654F6B"/>
    <w:rsid w:val="0C7F489C"/>
    <w:rsid w:val="0C856B46"/>
    <w:rsid w:val="0CAF4EEB"/>
    <w:rsid w:val="0CE05ACD"/>
    <w:rsid w:val="0D1B5B99"/>
    <w:rsid w:val="0D2F5B49"/>
    <w:rsid w:val="0D3C5422"/>
    <w:rsid w:val="0D834FF4"/>
    <w:rsid w:val="0D9853AA"/>
    <w:rsid w:val="0DAE7418"/>
    <w:rsid w:val="0DC25C25"/>
    <w:rsid w:val="0DDA54E4"/>
    <w:rsid w:val="0E011654"/>
    <w:rsid w:val="0E2A3DFD"/>
    <w:rsid w:val="0E4332DE"/>
    <w:rsid w:val="0E4A1E8F"/>
    <w:rsid w:val="0E4B0190"/>
    <w:rsid w:val="0E6220A1"/>
    <w:rsid w:val="0E7A6B28"/>
    <w:rsid w:val="0E92442C"/>
    <w:rsid w:val="0EAF5048"/>
    <w:rsid w:val="0EF83F40"/>
    <w:rsid w:val="0EFF5A98"/>
    <w:rsid w:val="0F006F16"/>
    <w:rsid w:val="0F0C791F"/>
    <w:rsid w:val="0F1553C0"/>
    <w:rsid w:val="0F1C173A"/>
    <w:rsid w:val="0F584215"/>
    <w:rsid w:val="0F783207"/>
    <w:rsid w:val="0F853486"/>
    <w:rsid w:val="0F8F08BA"/>
    <w:rsid w:val="0FB41328"/>
    <w:rsid w:val="0FE60171"/>
    <w:rsid w:val="103F764F"/>
    <w:rsid w:val="1052251C"/>
    <w:rsid w:val="105300D3"/>
    <w:rsid w:val="10685029"/>
    <w:rsid w:val="10956B93"/>
    <w:rsid w:val="10A45BCB"/>
    <w:rsid w:val="10AB0AEB"/>
    <w:rsid w:val="10AB1B28"/>
    <w:rsid w:val="11162FD4"/>
    <w:rsid w:val="112626F9"/>
    <w:rsid w:val="11306A00"/>
    <w:rsid w:val="115332F3"/>
    <w:rsid w:val="11552050"/>
    <w:rsid w:val="11646730"/>
    <w:rsid w:val="11903A8B"/>
    <w:rsid w:val="11961D73"/>
    <w:rsid w:val="119A7B5B"/>
    <w:rsid w:val="11AA129F"/>
    <w:rsid w:val="11DB1BFB"/>
    <w:rsid w:val="12045226"/>
    <w:rsid w:val="120E642F"/>
    <w:rsid w:val="121E0CCA"/>
    <w:rsid w:val="122152F8"/>
    <w:rsid w:val="124949E7"/>
    <w:rsid w:val="124B0794"/>
    <w:rsid w:val="12547507"/>
    <w:rsid w:val="1258535A"/>
    <w:rsid w:val="12673DF8"/>
    <w:rsid w:val="12845378"/>
    <w:rsid w:val="12BD44C5"/>
    <w:rsid w:val="12CF6372"/>
    <w:rsid w:val="12D36B19"/>
    <w:rsid w:val="12DE15D3"/>
    <w:rsid w:val="13054E7A"/>
    <w:rsid w:val="13126C1F"/>
    <w:rsid w:val="132643AA"/>
    <w:rsid w:val="132B4873"/>
    <w:rsid w:val="13630179"/>
    <w:rsid w:val="13851A88"/>
    <w:rsid w:val="13965F09"/>
    <w:rsid w:val="13AC7C50"/>
    <w:rsid w:val="13D37C3C"/>
    <w:rsid w:val="13DF456E"/>
    <w:rsid w:val="14147066"/>
    <w:rsid w:val="143D00C8"/>
    <w:rsid w:val="14411E19"/>
    <w:rsid w:val="1442569F"/>
    <w:rsid w:val="14435DB6"/>
    <w:rsid w:val="145D29CB"/>
    <w:rsid w:val="14681A9C"/>
    <w:rsid w:val="14690C2E"/>
    <w:rsid w:val="147E7985"/>
    <w:rsid w:val="14A16464"/>
    <w:rsid w:val="14C8078D"/>
    <w:rsid w:val="14ED1FA1"/>
    <w:rsid w:val="1504304E"/>
    <w:rsid w:val="152813E0"/>
    <w:rsid w:val="15884EF6"/>
    <w:rsid w:val="159B477D"/>
    <w:rsid w:val="159C3FF8"/>
    <w:rsid w:val="159D0DD4"/>
    <w:rsid w:val="15A23321"/>
    <w:rsid w:val="15B93001"/>
    <w:rsid w:val="15BF9350"/>
    <w:rsid w:val="15D03DF2"/>
    <w:rsid w:val="15D11A9A"/>
    <w:rsid w:val="15DD2DB0"/>
    <w:rsid w:val="15DF0C57"/>
    <w:rsid w:val="15E70289"/>
    <w:rsid w:val="15F534F3"/>
    <w:rsid w:val="15FD3C7E"/>
    <w:rsid w:val="1602376E"/>
    <w:rsid w:val="160475A2"/>
    <w:rsid w:val="1624646A"/>
    <w:rsid w:val="16824A9E"/>
    <w:rsid w:val="16B05F08"/>
    <w:rsid w:val="16D5100B"/>
    <w:rsid w:val="171338FD"/>
    <w:rsid w:val="17157540"/>
    <w:rsid w:val="171B7E95"/>
    <w:rsid w:val="172D569C"/>
    <w:rsid w:val="17310678"/>
    <w:rsid w:val="17512291"/>
    <w:rsid w:val="175A3B54"/>
    <w:rsid w:val="176E2353"/>
    <w:rsid w:val="17744EBE"/>
    <w:rsid w:val="178C54A0"/>
    <w:rsid w:val="178E5AE6"/>
    <w:rsid w:val="17936D0E"/>
    <w:rsid w:val="179D78DA"/>
    <w:rsid w:val="17A10A25"/>
    <w:rsid w:val="17AB4D09"/>
    <w:rsid w:val="17E15E51"/>
    <w:rsid w:val="1810194F"/>
    <w:rsid w:val="18312ACC"/>
    <w:rsid w:val="18410AA1"/>
    <w:rsid w:val="186038C5"/>
    <w:rsid w:val="1865438E"/>
    <w:rsid w:val="1868241B"/>
    <w:rsid w:val="18716071"/>
    <w:rsid w:val="18A77476"/>
    <w:rsid w:val="18D229F4"/>
    <w:rsid w:val="19127A63"/>
    <w:rsid w:val="192B4CA6"/>
    <w:rsid w:val="19650358"/>
    <w:rsid w:val="19676254"/>
    <w:rsid w:val="197B1212"/>
    <w:rsid w:val="19CF1563"/>
    <w:rsid w:val="19D34405"/>
    <w:rsid w:val="19DA51E4"/>
    <w:rsid w:val="19EF59F3"/>
    <w:rsid w:val="1A1E6BF4"/>
    <w:rsid w:val="1A263CB7"/>
    <w:rsid w:val="1A4A72EF"/>
    <w:rsid w:val="1A51255C"/>
    <w:rsid w:val="1A680368"/>
    <w:rsid w:val="1A6D764D"/>
    <w:rsid w:val="1A844328"/>
    <w:rsid w:val="1AA83C45"/>
    <w:rsid w:val="1AAB623F"/>
    <w:rsid w:val="1AC2088C"/>
    <w:rsid w:val="1ACD2659"/>
    <w:rsid w:val="1AD9737B"/>
    <w:rsid w:val="1AEF18CC"/>
    <w:rsid w:val="1B101D62"/>
    <w:rsid w:val="1B1B28C8"/>
    <w:rsid w:val="1B1C0EEA"/>
    <w:rsid w:val="1B23106D"/>
    <w:rsid w:val="1B523F1A"/>
    <w:rsid w:val="1B8C205B"/>
    <w:rsid w:val="1B903EF3"/>
    <w:rsid w:val="1B9D5BBD"/>
    <w:rsid w:val="1BAF171E"/>
    <w:rsid w:val="1BC119B7"/>
    <w:rsid w:val="1BC2473F"/>
    <w:rsid w:val="1BE416E6"/>
    <w:rsid w:val="1BE81760"/>
    <w:rsid w:val="1C140CA7"/>
    <w:rsid w:val="1C26573E"/>
    <w:rsid w:val="1C3647BA"/>
    <w:rsid w:val="1C413A69"/>
    <w:rsid w:val="1C450915"/>
    <w:rsid w:val="1C4B141A"/>
    <w:rsid w:val="1C4F427F"/>
    <w:rsid w:val="1C670189"/>
    <w:rsid w:val="1CBA4C73"/>
    <w:rsid w:val="1CBC6B54"/>
    <w:rsid w:val="1CBDD14E"/>
    <w:rsid w:val="1CD53E42"/>
    <w:rsid w:val="1CDB2263"/>
    <w:rsid w:val="1CDC33EA"/>
    <w:rsid w:val="1CE43C8A"/>
    <w:rsid w:val="1CFE23A9"/>
    <w:rsid w:val="1D064D72"/>
    <w:rsid w:val="1D070E02"/>
    <w:rsid w:val="1D0806B4"/>
    <w:rsid w:val="1D50131F"/>
    <w:rsid w:val="1D7C64B9"/>
    <w:rsid w:val="1D991F8D"/>
    <w:rsid w:val="1D9B607F"/>
    <w:rsid w:val="1DC6776D"/>
    <w:rsid w:val="1DDB2668"/>
    <w:rsid w:val="1DE75255"/>
    <w:rsid w:val="1DF9153C"/>
    <w:rsid w:val="1E0E0117"/>
    <w:rsid w:val="1E4A204B"/>
    <w:rsid w:val="1E522994"/>
    <w:rsid w:val="1E5A7DEA"/>
    <w:rsid w:val="1E5D6571"/>
    <w:rsid w:val="1E62130A"/>
    <w:rsid w:val="1E711204"/>
    <w:rsid w:val="1E7E3439"/>
    <w:rsid w:val="1E81539A"/>
    <w:rsid w:val="1EA32E44"/>
    <w:rsid w:val="1EA656DB"/>
    <w:rsid w:val="1EBE56BC"/>
    <w:rsid w:val="1EC03A7B"/>
    <w:rsid w:val="1EC93137"/>
    <w:rsid w:val="1F100F5F"/>
    <w:rsid w:val="1F210FEF"/>
    <w:rsid w:val="1F306567"/>
    <w:rsid w:val="1F34308A"/>
    <w:rsid w:val="1F547C06"/>
    <w:rsid w:val="1F582345"/>
    <w:rsid w:val="1F6028AC"/>
    <w:rsid w:val="1F665BC5"/>
    <w:rsid w:val="1F7538D1"/>
    <w:rsid w:val="1F784D82"/>
    <w:rsid w:val="1F7A321B"/>
    <w:rsid w:val="1F804ADE"/>
    <w:rsid w:val="1F9EAB4E"/>
    <w:rsid w:val="20065DCE"/>
    <w:rsid w:val="200F3EAF"/>
    <w:rsid w:val="202A5249"/>
    <w:rsid w:val="20484223"/>
    <w:rsid w:val="208759A1"/>
    <w:rsid w:val="20975891"/>
    <w:rsid w:val="209D118D"/>
    <w:rsid w:val="20A42447"/>
    <w:rsid w:val="20C826A7"/>
    <w:rsid w:val="20CE79A2"/>
    <w:rsid w:val="20D64FD1"/>
    <w:rsid w:val="20ED3CFA"/>
    <w:rsid w:val="20FA219D"/>
    <w:rsid w:val="20FE6750"/>
    <w:rsid w:val="21131EC1"/>
    <w:rsid w:val="212F49C2"/>
    <w:rsid w:val="213503F5"/>
    <w:rsid w:val="214F6DCD"/>
    <w:rsid w:val="217527F4"/>
    <w:rsid w:val="217D43FD"/>
    <w:rsid w:val="21804DBA"/>
    <w:rsid w:val="21AB33D9"/>
    <w:rsid w:val="21BB3A84"/>
    <w:rsid w:val="21CB1D73"/>
    <w:rsid w:val="21ED528B"/>
    <w:rsid w:val="21F961EF"/>
    <w:rsid w:val="2229329E"/>
    <w:rsid w:val="223C1ECA"/>
    <w:rsid w:val="225E7B17"/>
    <w:rsid w:val="226C4239"/>
    <w:rsid w:val="227206DD"/>
    <w:rsid w:val="22A260F4"/>
    <w:rsid w:val="22AF0AD7"/>
    <w:rsid w:val="22B9480D"/>
    <w:rsid w:val="22C218E4"/>
    <w:rsid w:val="22D768FA"/>
    <w:rsid w:val="22DA69A6"/>
    <w:rsid w:val="230F1290"/>
    <w:rsid w:val="23135C06"/>
    <w:rsid w:val="2319235B"/>
    <w:rsid w:val="231C1024"/>
    <w:rsid w:val="233C58A0"/>
    <w:rsid w:val="233E36A3"/>
    <w:rsid w:val="233E7A55"/>
    <w:rsid w:val="23682C23"/>
    <w:rsid w:val="236F6250"/>
    <w:rsid w:val="23817079"/>
    <w:rsid w:val="23A84B9E"/>
    <w:rsid w:val="23A93537"/>
    <w:rsid w:val="23B52773"/>
    <w:rsid w:val="23C533BA"/>
    <w:rsid w:val="23CA2195"/>
    <w:rsid w:val="23CB718E"/>
    <w:rsid w:val="23D934BF"/>
    <w:rsid w:val="23E626A5"/>
    <w:rsid w:val="23F6262A"/>
    <w:rsid w:val="240401F2"/>
    <w:rsid w:val="241C5799"/>
    <w:rsid w:val="24243B16"/>
    <w:rsid w:val="24482726"/>
    <w:rsid w:val="245B6F27"/>
    <w:rsid w:val="24AE312A"/>
    <w:rsid w:val="24C8763F"/>
    <w:rsid w:val="24D45AF5"/>
    <w:rsid w:val="24E27A13"/>
    <w:rsid w:val="24E62BA9"/>
    <w:rsid w:val="24FA386E"/>
    <w:rsid w:val="2500187D"/>
    <w:rsid w:val="25096983"/>
    <w:rsid w:val="25523A31"/>
    <w:rsid w:val="25813C4B"/>
    <w:rsid w:val="25853B30"/>
    <w:rsid w:val="25B33D6D"/>
    <w:rsid w:val="25B77795"/>
    <w:rsid w:val="25C439D0"/>
    <w:rsid w:val="25CD5C03"/>
    <w:rsid w:val="25D12E83"/>
    <w:rsid w:val="25F0544D"/>
    <w:rsid w:val="26372EBE"/>
    <w:rsid w:val="264C40F2"/>
    <w:rsid w:val="267918E7"/>
    <w:rsid w:val="26855609"/>
    <w:rsid w:val="26942E91"/>
    <w:rsid w:val="26A768A2"/>
    <w:rsid w:val="26B26BE5"/>
    <w:rsid w:val="26B37DC8"/>
    <w:rsid w:val="26B81818"/>
    <w:rsid w:val="26D5798E"/>
    <w:rsid w:val="26E27A3A"/>
    <w:rsid w:val="26ED2525"/>
    <w:rsid w:val="270270BE"/>
    <w:rsid w:val="27173436"/>
    <w:rsid w:val="274E7C42"/>
    <w:rsid w:val="27632BB2"/>
    <w:rsid w:val="277D73E4"/>
    <w:rsid w:val="27840FD9"/>
    <w:rsid w:val="27BF77CD"/>
    <w:rsid w:val="27C650E4"/>
    <w:rsid w:val="27F56A3F"/>
    <w:rsid w:val="281A20DF"/>
    <w:rsid w:val="283E7A57"/>
    <w:rsid w:val="287D43CA"/>
    <w:rsid w:val="28860671"/>
    <w:rsid w:val="2887464A"/>
    <w:rsid w:val="289843FF"/>
    <w:rsid w:val="289C18BC"/>
    <w:rsid w:val="28A045F8"/>
    <w:rsid w:val="28A644D9"/>
    <w:rsid w:val="28A84C74"/>
    <w:rsid w:val="28B83C38"/>
    <w:rsid w:val="28D76D98"/>
    <w:rsid w:val="28FB59CC"/>
    <w:rsid w:val="29004C3B"/>
    <w:rsid w:val="291C6258"/>
    <w:rsid w:val="2928396E"/>
    <w:rsid w:val="292E47A2"/>
    <w:rsid w:val="29447CB1"/>
    <w:rsid w:val="294927A6"/>
    <w:rsid w:val="294B5409"/>
    <w:rsid w:val="294C3054"/>
    <w:rsid w:val="295E379D"/>
    <w:rsid w:val="296B4568"/>
    <w:rsid w:val="296D480A"/>
    <w:rsid w:val="296E508F"/>
    <w:rsid w:val="29AD42B3"/>
    <w:rsid w:val="29BB3549"/>
    <w:rsid w:val="29C16A0B"/>
    <w:rsid w:val="29C25A55"/>
    <w:rsid w:val="29D40626"/>
    <w:rsid w:val="29DE7EA8"/>
    <w:rsid w:val="29EE6148"/>
    <w:rsid w:val="29F64FFC"/>
    <w:rsid w:val="2A17569E"/>
    <w:rsid w:val="2A1D2E0A"/>
    <w:rsid w:val="2A234971"/>
    <w:rsid w:val="2A254572"/>
    <w:rsid w:val="2A4A1CC6"/>
    <w:rsid w:val="2A5513D3"/>
    <w:rsid w:val="2A7F1496"/>
    <w:rsid w:val="2A8275BB"/>
    <w:rsid w:val="2A8B23C1"/>
    <w:rsid w:val="2A922F77"/>
    <w:rsid w:val="2AD8683B"/>
    <w:rsid w:val="2B144B11"/>
    <w:rsid w:val="2B1941A4"/>
    <w:rsid w:val="2B5621F6"/>
    <w:rsid w:val="2B5B5A37"/>
    <w:rsid w:val="2B797180"/>
    <w:rsid w:val="2B7F4108"/>
    <w:rsid w:val="2B822FEC"/>
    <w:rsid w:val="2B92330E"/>
    <w:rsid w:val="2B924E33"/>
    <w:rsid w:val="2B9340D3"/>
    <w:rsid w:val="2B95448B"/>
    <w:rsid w:val="2B992DD1"/>
    <w:rsid w:val="2BC730F4"/>
    <w:rsid w:val="2BDE3DB9"/>
    <w:rsid w:val="2BF612E4"/>
    <w:rsid w:val="2C3C763E"/>
    <w:rsid w:val="2C406C95"/>
    <w:rsid w:val="2C477D91"/>
    <w:rsid w:val="2C516C4F"/>
    <w:rsid w:val="2C5E7DA4"/>
    <w:rsid w:val="2C9D593E"/>
    <w:rsid w:val="2CB76CC5"/>
    <w:rsid w:val="2CC118F2"/>
    <w:rsid w:val="2CC1703C"/>
    <w:rsid w:val="2CE829DD"/>
    <w:rsid w:val="2D00558A"/>
    <w:rsid w:val="2D161E84"/>
    <w:rsid w:val="2D3E2C10"/>
    <w:rsid w:val="2D451E91"/>
    <w:rsid w:val="2D617D6B"/>
    <w:rsid w:val="2D7B4088"/>
    <w:rsid w:val="2DC81259"/>
    <w:rsid w:val="2DCC054E"/>
    <w:rsid w:val="2DEA7B9D"/>
    <w:rsid w:val="2E3520B1"/>
    <w:rsid w:val="2E427B1A"/>
    <w:rsid w:val="2E561E72"/>
    <w:rsid w:val="2E812F74"/>
    <w:rsid w:val="2E924DF5"/>
    <w:rsid w:val="2EA63495"/>
    <w:rsid w:val="2EA844FB"/>
    <w:rsid w:val="2EB03BC1"/>
    <w:rsid w:val="2F25658B"/>
    <w:rsid w:val="2F2E20F9"/>
    <w:rsid w:val="2F437478"/>
    <w:rsid w:val="2F5E0BB6"/>
    <w:rsid w:val="2F6A1CF6"/>
    <w:rsid w:val="2F7E1DD4"/>
    <w:rsid w:val="2FA90E59"/>
    <w:rsid w:val="2FCA1E4D"/>
    <w:rsid w:val="2FCB60EA"/>
    <w:rsid w:val="2FEA5151"/>
    <w:rsid w:val="2FEE6EA1"/>
    <w:rsid w:val="2FF85BC3"/>
    <w:rsid w:val="30005BAC"/>
    <w:rsid w:val="301D0E01"/>
    <w:rsid w:val="302E54F0"/>
    <w:rsid w:val="303E088E"/>
    <w:rsid w:val="304266E3"/>
    <w:rsid w:val="30717AD3"/>
    <w:rsid w:val="307D6477"/>
    <w:rsid w:val="3086532C"/>
    <w:rsid w:val="30873B2A"/>
    <w:rsid w:val="308C0468"/>
    <w:rsid w:val="309C1550"/>
    <w:rsid w:val="30B654E5"/>
    <w:rsid w:val="30B82E6B"/>
    <w:rsid w:val="30C32790"/>
    <w:rsid w:val="30C41D2E"/>
    <w:rsid w:val="30C74D45"/>
    <w:rsid w:val="30C92339"/>
    <w:rsid w:val="30E60042"/>
    <w:rsid w:val="30F22484"/>
    <w:rsid w:val="31146E81"/>
    <w:rsid w:val="31157BB6"/>
    <w:rsid w:val="3126266B"/>
    <w:rsid w:val="313E79B5"/>
    <w:rsid w:val="31593193"/>
    <w:rsid w:val="316D3A49"/>
    <w:rsid w:val="3185175E"/>
    <w:rsid w:val="31880EA4"/>
    <w:rsid w:val="31CE5105"/>
    <w:rsid w:val="31DE645A"/>
    <w:rsid w:val="31E24C20"/>
    <w:rsid w:val="31FC517A"/>
    <w:rsid w:val="31FF437A"/>
    <w:rsid w:val="32194DFD"/>
    <w:rsid w:val="321C4F83"/>
    <w:rsid w:val="32276073"/>
    <w:rsid w:val="323E5B9E"/>
    <w:rsid w:val="3241471E"/>
    <w:rsid w:val="324248DE"/>
    <w:rsid w:val="324631BA"/>
    <w:rsid w:val="325D71D5"/>
    <w:rsid w:val="3276082C"/>
    <w:rsid w:val="3279663C"/>
    <w:rsid w:val="32851613"/>
    <w:rsid w:val="328F6D58"/>
    <w:rsid w:val="329E3999"/>
    <w:rsid w:val="32A031A4"/>
    <w:rsid w:val="32B55456"/>
    <w:rsid w:val="32BF4B25"/>
    <w:rsid w:val="334451E5"/>
    <w:rsid w:val="33641229"/>
    <w:rsid w:val="33683169"/>
    <w:rsid w:val="33782792"/>
    <w:rsid w:val="338B5286"/>
    <w:rsid w:val="33FE678F"/>
    <w:rsid w:val="340A0022"/>
    <w:rsid w:val="340C5B48"/>
    <w:rsid w:val="341B183B"/>
    <w:rsid w:val="341F59D2"/>
    <w:rsid w:val="342D3D10"/>
    <w:rsid w:val="343432F1"/>
    <w:rsid w:val="34472996"/>
    <w:rsid w:val="344D21BA"/>
    <w:rsid w:val="345D375F"/>
    <w:rsid w:val="346E05B1"/>
    <w:rsid w:val="34766D91"/>
    <w:rsid w:val="347A1BB4"/>
    <w:rsid w:val="34950750"/>
    <w:rsid w:val="34AE0E3F"/>
    <w:rsid w:val="34C75B3A"/>
    <w:rsid w:val="34D8707D"/>
    <w:rsid w:val="34EC7C43"/>
    <w:rsid w:val="34FC4283"/>
    <w:rsid w:val="34FE3F50"/>
    <w:rsid w:val="35076310"/>
    <w:rsid w:val="352A7E6A"/>
    <w:rsid w:val="353F407D"/>
    <w:rsid w:val="355C7933"/>
    <w:rsid w:val="35766676"/>
    <w:rsid w:val="35772125"/>
    <w:rsid w:val="357E2D7D"/>
    <w:rsid w:val="359D0438"/>
    <w:rsid w:val="35AB06D2"/>
    <w:rsid w:val="35AB574F"/>
    <w:rsid w:val="35BE5A70"/>
    <w:rsid w:val="35E76838"/>
    <w:rsid w:val="360517D2"/>
    <w:rsid w:val="360F2A63"/>
    <w:rsid w:val="360F7382"/>
    <w:rsid w:val="361630CB"/>
    <w:rsid w:val="362A4F66"/>
    <w:rsid w:val="36515780"/>
    <w:rsid w:val="365E18B4"/>
    <w:rsid w:val="36707F9E"/>
    <w:rsid w:val="36845335"/>
    <w:rsid w:val="36A26FB6"/>
    <w:rsid w:val="36B4789D"/>
    <w:rsid w:val="36C0711A"/>
    <w:rsid w:val="36C73FA8"/>
    <w:rsid w:val="36CC5A63"/>
    <w:rsid w:val="36D14E27"/>
    <w:rsid w:val="370D4EFF"/>
    <w:rsid w:val="373300A4"/>
    <w:rsid w:val="373FE6FF"/>
    <w:rsid w:val="374A75DE"/>
    <w:rsid w:val="37A01A12"/>
    <w:rsid w:val="37AC5233"/>
    <w:rsid w:val="37BF1FFC"/>
    <w:rsid w:val="37D6A6E7"/>
    <w:rsid w:val="37D7625B"/>
    <w:rsid w:val="37DA349F"/>
    <w:rsid w:val="37DB4BF8"/>
    <w:rsid w:val="37DE3AD3"/>
    <w:rsid w:val="37EF16F0"/>
    <w:rsid w:val="38007DD3"/>
    <w:rsid w:val="380E62E5"/>
    <w:rsid w:val="382B67B9"/>
    <w:rsid w:val="383C5114"/>
    <w:rsid w:val="385033A1"/>
    <w:rsid w:val="387463B2"/>
    <w:rsid w:val="387B0FD0"/>
    <w:rsid w:val="389E3878"/>
    <w:rsid w:val="38AF74CC"/>
    <w:rsid w:val="38B567BB"/>
    <w:rsid w:val="38BB4E92"/>
    <w:rsid w:val="38C30B43"/>
    <w:rsid w:val="38CC224A"/>
    <w:rsid w:val="38DF1EBC"/>
    <w:rsid w:val="38E5105E"/>
    <w:rsid w:val="38E81BF3"/>
    <w:rsid w:val="38FB5E39"/>
    <w:rsid w:val="38FD6A32"/>
    <w:rsid w:val="390A6EF6"/>
    <w:rsid w:val="39104D95"/>
    <w:rsid w:val="391159AF"/>
    <w:rsid w:val="39240918"/>
    <w:rsid w:val="395974E0"/>
    <w:rsid w:val="398566AF"/>
    <w:rsid w:val="3988455B"/>
    <w:rsid w:val="39AD7E85"/>
    <w:rsid w:val="39AE1450"/>
    <w:rsid w:val="39B1285F"/>
    <w:rsid w:val="39BB5CB7"/>
    <w:rsid w:val="39BF540B"/>
    <w:rsid w:val="39C45050"/>
    <w:rsid w:val="39CB211E"/>
    <w:rsid w:val="39DD7046"/>
    <w:rsid w:val="39EB3FA9"/>
    <w:rsid w:val="39F42DFC"/>
    <w:rsid w:val="39F52FDB"/>
    <w:rsid w:val="39FBCDD2"/>
    <w:rsid w:val="39FD3D40"/>
    <w:rsid w:val="39FE6BE8"/>
    <w:rsid w:val="3A017405"/>
    <w:rsid w:val="3A047524"/>
    <w:rsid w:val="3A15488F"/>
    <w:rsid w:val="3A414DBB"/>
    <w:rsid w:val="3A526912"/>
    <w:rsid w:val="3A5B2EBE"/>
    <w:rsid w:val="3AC418A9"/>
    <w:rsid w:val="3B2A61EB"/>
    <w:rsid w:val="3B3616FD"/>
    <w:rsid w:val="3B4C07C6"/>
    <w:rsid w:val="3B541008"/>
    <w:rsid w:val="3B5911D3"/>
    <w:rsid w:val="3B663971"/>
    <w:rsid w:val="3B7C7A57"/>
    <w:rsid w:val="3B7E79AA"/>
    <w:rsid w:val="3B7F12F6"/>
    <w:rsid w:val="3B8F4D21"/>
    <w:rsid w:val="3B8F61E0"/>
    <w:rsid w:val="3B951025"/>
    <w:rsid w:val="3B9A1EEB"/>
    <w:rsid w:val="3BB269B9"/>
    <w:rsid w:val="3BB5E5DA"/>
    <w:rsid w:val="3BBE4FD2"/>
    <w:rsid w:val="3BCD7E8F"/>
    <w:rsid w:val="3BD3734D"/>
    <w:rsid w:val="3C1275F2"/>
    <w:rsid w:val="3C4F63F5"/>
    <w:rsid w:val="3C6B24C2"/>
    <w:rsid w:val="3C7D32A9"/>
    <w:rsid w:val="3C920DB7"/>
    <w:rsid w:val="3CAF1767"/>
    <w:rsid w:val="3CD26B20"/>
    <w:rsid w:val="3CDA5AE8"/>
    <w:rsid w:val="3CE62BFB"/>
    <w:rsid w:val="3CE84D22"/>
    <w:rsid w:val="3CE94AF0"/>
    <w:rsid w:val="3CFA1ECB"/>
    <w:rsid w:val="3D1F199C"/>
    <w:rsid w:val="3D2074AF"/>
    <w:rsid w:val="3D231A91"/>
    <w:rsid w:val="3D295481"/>
    <w:rsid w:val="3D3A1D51"/>
    <w:rsid w:val="3D463739"/>
    <w:rsid w:val="3D4B6DDE"/>
    <w:rsid w:val="3D92699C"/>
    <w:rsid w:val="3DAF5796"/>
    <w:rsid w:val="3DBD2D3E"/>
    <w:rsid w:val="3DF579F0"/>
    <w:rsid w:val="3E043D34"/>
    <w:rsid w:val="3E0B2364"/>
    <w:rsid w:val="3E1C72D0"/>
    <w:rsid w:val="3E38513A"/>
    <w:rsid w:val="3E4C7DBC"/>
    <w:rsid w:val="3E58309D"/>
    <w:rsid w:val="3E7A5DA4"/>
    <w:rsid w:val="3E7C02A6"/>
    <w:rsid w:val="3EAA08A2"/>
    <w:rsid w:val="3EC967DD"/>
    <w:rsid w:val="3EF70A82"/>
    <w:rsid w:val="3EFB6DD8"/>
    <w:rsid w:val="3F1428E0"/>
    <w:rsid w:val="3F1735F3"/>
    <w:rsid w:val="3F385CC2"/>
    <w:rsid w:val="3F5F0671"/>
    <w:rsid w:val="3F7313F8"/>
    <w:rsid w:val="3F8630EA"/>
    <w:rsid w:val="3F9348A0"/>
    <w:rsid w:val="3F992F6E"/>
    <w:rsid w:val="3FAD5A4C"/>
    <w:rsid w:val="3FAD6F60"/>
    <w:rsid w:val="3FB31EFA"/>
    <w:rsid w:val="3FBD19EB"/>
    <w:rsid w:val="3FCE6D08"/>
    <w:rsid w:val="3FEBED90"/>
    <w:rsid w:val="3FF31691"/>
    <w:rsid w:val="40107AE8"/>
    <w:rsid w:val="40125623"/>
    <w:rsid w:val="40202D3B"/>
    <w:rsid w:val="40281254"/>
    <w:rsid w:val="40631CA9"/>
    <w:rsid w:val="407F5C59"/>
    <w:rsid w:val="40831649"/>
    <w:rsid w:val="40996E16"/>
    <w:rsid w:val="40B604B8"/>
    <w:rsid w:val="40B706EB"/>
    <w:rsid w:val="40C94CCE"/>
    <w:rsid w:val="40DC2672"/>
    <w:rsid w:val="40E1035D"/>
    <w:rsid w:val="40F45A02"/>
    <w:rsid w:val="40FD27B6"/>
    <w:rsid w:val="41083B3B"/>
    <w:rsid w:val="41293137"/>
    <w:rsid w:val="4135102A"/>
    <w:rsid w:val="413A7A82"/>
    <w:rsid w:val="413E567D"/>
    <w:rsid w:val="41536E81"/>
    <w:rsid w:val="415F1371"/>
    <w:rsid w:val="4167485B"/>
    <w:rsid w:val="416A1261"/>
    <w:rsid w:val="417C0F13"/>
    <w:rsid w:val="419E01E7"/>
    <w:rsid w:val="41AC1D94"/>
    <w:rsid w:val="41AD1A6B"/>
    <w:rsid w:val="41C45CB4"/>
    <w:rsid w:val="41C9305F"/>
    <w:rsid w:val="42045E28"/>
    <w:rsid w:val="421032A6"/>
    <w:rsid w:val="423D62BA"/>
    <w:rsid w:val="423F358D"/>
    <w:rsid w:val="42567B9A"/>
    <w:rsid w:val="426C0EC3"/>
    <w:rsid w:val="42924C96"/>
    <w:rsid w:val="429F3132"/>
    <w:rsid w:val="42BD32E9"/>
    <w:rsid w:val="42C36410"/>
    <w:rsid w:val="42EC2CD3"/>
    <w:rsid w:val="4313713D"/>
    <w:rsid w:val="43155D17"/>
    <w:rsid w:val="43170F12"/>
    <w:rsid w:val="432C754E"/>
    <w:rsid w:val="433A4692"/>
    <w:rsid w:val="4370468D"/>
    <w:rsid w:val="437D5167"/>
    <w:rsid w:val="438F5E4E"/>
    <w:rsid w:val="4391474B"/>
    <w:rsid w:val="43C80604"/>
    <w:rsid w:val="43CC52F4"/>
    <w:rsid w:val="43E42700"/>
    <w:rsid w:val="43E461FF"/>
    <w:rsid w:val="43FB2F3E"/>
    <w:rsid w:val="44017717"/>
    <w:rsid w:val="440F762E"/>
    <w:rsid w:val="444A0D0A"/>
    <w:rsid w:val="445175A7"/>
    <w:rsid w:val="445A2900"/>
    <w:rsid w:val="446C208D"/>
    <w:rsid w:val="446C66D9"/>
    <w:rsid w:val="446E1472"/>
    <w:rsid w:val="446E5890"/>
    <w:rsid w:val="44894F93"/>
    <w:rsid w:val="44A00C01"/>
    <w:rsid w:val="44B12D88"/>
    <w:rsid w:val="44B92EAD"/>
    <w:rsid w:val="44BB3529"/>
    <w:rsid w:val="44E3062B"/>
    <w:rsid w:val="44E915E3"/>
    <w:rsid w:val="44FE7FAC"/>
    <w:rsid w:val="451170A4"/>
    <w:rsid w:val="452576FF"/>
    <w:rsid w:val="45276548"/>
    <w:rsid w:val="452873A4"/>
    <w:rsid w:val="452A3642"/>
    <w:rsid w:val="453479C3"/>
    <w:rsid w:val="453613E0"/>
    <w:rsid w:val="45495A48"/>
    <w:rsid w:val="454E0F64"/>
    <w:rsid w:val="45A71754"/>
    <w:rsid w:val="45AD15F4"/>
    <w:rsid w:val="45B2302E"/>
    <w:rsid w:val="45B75939"/>
    <w:rsid w:val="45F1062A"/>
    <w:rsid w:val="46211C76"/>
    <w:rsid w:val="464C6278"/>
    <w:rsid w:val="46624C39"/>
    <w:rsid w:val="46A126EF"/>
    <w:rsid w:val="46A47E62"/>
    <w:rsid w:val="46A81632"/>
    <w:rsid w:val="46AC099E"/>
    <w:rsid w:val="46CE14D8"/>
    <w:rsid w:val="46F51F72"/>
    <w:rsid w:val="46FD7F37"/>
    <w:rsid w:val="47021FB9"/>
    <w:rsid w:val="470715BF"/>
    <w:rsid w:val="470D0885"/>
    <w:rsid w:val="471A0167"/>
    <w:rsid w:val="473C609A"/>
    <w:rsid w:val="47486D87"/>
    <w:rsid w:val="475E2313"/>
    <w:rsid w:val="476203CF"/>
    <w:rsid w:val="47744DAF"/>
    <w:rsid w:val="47825EC1"/>
    <w:rsid w:val="479E59BD"/>
    <w:rsid w:val="47AF3562"/>
    <w:rsid w:val="47EB6CDB"/>
    <w:rsid w:val="481C72B7"/>
    <w:rsid w:val="481D4732"/>
    <w:rsid w:val="48232FEF"/>
    <w:rsid w:val="487C5A19"/>
    <w:rsid w:val="488820AB"/>
    <w:rsid w:val="48A96058"/>
    <w:rsid w:val="48B63B37"/>
    <w:rsid w:val="48B76C02"/>
    <w:rsid w:val="48CE11C6"/>
    <w:rsid w:val="48EB0E60"/>
    <w:rsid w:val="48EC42E0"/>
    <w:rsid w:val="48F74145"/>
    <w:rsid w:val="48F96F7E"/>
    <w:rsid w:val="49150212"/>
    <w:rsid w:val="491647D8"/>
    <w:rsid w:val="49265B62"/>
    <w:rsid w:val="492B1062"/>
    <w:rsid w:val="49305688"/>
    <w:rsid w:val="494F7CDC"/>
    <w:rsid w:val="4968793D"/>
    <w:rsid w:val="49763D54"/>
    <w:rsid w:val="49952987"/>
    <w:rsid w:val="49EE21CE"/>
    <w:rsid w:val="49F94EBB"/>
    <w:rsid w:val="49FA0C3C"/>
    <w:rsid w:val="49FE523B"/>
    <w:rsid w:val="4A1D059A"/>
    <w:rsid w:val="4A36764F"/>
    <w:rsid w:val="4A401578"/>
    <w:rsid w:val="4A5D07B7"/>
    <w:rsid w:val="4A867DCB"/>
    <w:rsid w:val="4A9D035A"/>
    <w:rsid w:val="4AD532CE"/>
    <w:rsid w:val="4AD56CF1"/>
    <w:rsid w:val="4ADB4756"/>
    <w:rsid w:val="4ADE60BC"/>
    <w:rsid w:val="4AE86147"/>
    <w:rsid w:val="4AEF4F82"/>
    <w:rsid w:val="4B0F24DA"/>
    <w:rsid w:val="4B105AC6"/>
    <w:rsid w:val="4B2D52C6"/>
    <w:rsid w:val="4B326405"/>
    <w:rsid w:val="4B4A4C82"/>
    <w:rsid w:val="4B6338EA"/>
    <w:rsid w:val="4B63635A"/>
    <w:rsid w:val="4B8D35BB"/>
    <w:rsid w:val="4B8F7333"/>
    <w:rsid w:val="4B900059"/>
    <w:rsid w:val="4BA61CF6"/>
    <w:rsid w:val="4BB751A5"/>
    <w:rsid w:val="4BBE5A8E"/>
    <w:rsid w:val="4BE70636"/>
    <w:rsid w:val="4BEF18C2"/>
    <w:rsid w:val="4C185DE5"/>
    <w:rsid w:val="4C2A771F"/>
    <w:rsid w:val="4C472158"/>
    <w:rsid w:val="4C486B77"/>
    <w:rsid w:val="4C561B4D"/>
    <w:rsid w:val="4C58035D"/>
    <w:rsid w:val="4C6065D9"/>
    <w:rsid w:val="4C74239C"/>
    <w:rsid w:val="4C8A2C9B"/>
    <w:rsid w:val="4C915074"/>
    <w:rsid w:val="4C9E35A6"/>
    <w:rsid w:val="4C9F7EBB"/>
    <w:rsid w:val="4CA065C6"/>
    <w:rsid w:val="4CC2270E"/>
    <w:rsid w:val="4CEE0089"/>
    <w:rsid w:val="4D0C590E"/>
    <w:rsid w:val="4D30626A"/>
    <w:rsid w:val="4D53616F"/>
    <w:rsid w:val="4D622825"/>
    <w:rsid w:val="4D6E7909"/>
    <w:rsid w:val="4D710BCD"/>
    <w:rsid w:val="4D7F0A63"/>
    <w:rsid w:val="4DA25251"/>
    <w:rsid w:val="4DA644C0"/>
    <w:rsid w:val="4DCE355D"/>
    <w:rsid w:val="4DD054AF"/>
    <w:rsid w:val="4DEC468F"/>
    <w:rsid w:val="4DEF117E"/>
    <w:rsid w:val="4DFC7FF0"/>
    <w:rsid w:val="4E233D62"/>
    <w:rsid w:val="4E4B6020"/>
    <w:rsid w:val="4E55402A"/>
    <w:rsid w:val="4E736BF3"/>
    <w:rsid w:val="4E86316A"/>
    <w:rsid w:val="4EC34C6C"/>
    <w:rsid w:val="4ED031A7"/>
    <w:rsid w:val="4ED6424C"/>
    <w:rsid w:val="4EE9065B"/>
    <w:rsid w:val="4EEF732D"/>
    <w:rsid w:val="4F1418FD"/>
    <w:rsid w:val="4F3070F4"/>
    <w:rsid w:val="4F3A75B6"/>
    <w:rsid w:val="4F3C35BB"/>
    <w:rsid w:val="4F532F0B"/>
    <w:rsid w:val="4F607593"/>
    <w:rsid w:val="4F652501"/>
    <w:rsid w:val="4F807352"/>
    <w:rsid w:val="4F841701"/>
    <w:rsid w:val="4F9A480B"/>
    <w:rsid w:val="4FA45270"/>
    <w:rsid w:val="4FBC221F"/>
    <w:rsid w:val="4FCF15ED"/>
    <w:rsid w:val="4FD54A46"/>
    <w:rsid w:val="4FE948FF"/>
    <w:rsid w:val="4FE9555D"/>
    <w:rsid w:val="4FF33251"/>
    <w:rsid w:val="4FF534DD"/>
    <w:rsid w:val="50277BC9"/>
    <w:rsid w:val="50313B4B"/>
    <w:rsid w:val="50325981"/>
    <w:rsid w:val="50331025"/>
    <w:rsid w:val="504B134F"/>
    <w:rsid w:val="504C51B9"/>
    <w:rsid w:val="505400DC"/>
    <w:rsid w:val="50785F92"/>
    <w:rsid w:val="50795A0B"/>
    <w:rsid w:val="50832F0D"/>
    <w:rsid w:val="50960A82"/>
    <w:rsid w:val="50A76ECD"/>
    <w:rsid w:val="50AF16F3"/>
    <w:rsid w:val="50B02DB6"/>
    <w:rsid w:val="50C322B5"/>
    <w:rsid w:val="50C93706"/>
    <w:rsid w:val="50DE74B9"/>
    <w:rsid w:val="50E0053E"/>
    <w:rsid w:val="50F761D5"/>
    <w:rsid w:val="51312FCB"/>
    <w:rsid w:val="514175D5"/>
    <w:rsid w:val="51497F84"/>
    <w:rsid w:val="514E4E2E"/>
    <w:rsid w:val="515B7CB7"/>
    <w:rsid w:val="51A03856"/>
    <w:rsid w:val="51ED3C6C"/>
    <w:rsid w:val="51ED596D"/>
    <w:rsid w:val="5200297F"/>
    <w:rsid w:val="520B5239"/>
    <w:rsid w:val="52210BFB"/>
    <w:rsid w:val="5221379C"/>
    <w:rsid w:val="522A3B85"/>
    <w:rsid w:val="524E1308"/>
    <w:rsid w:val="528F52C7"/>
    <w:rsid w:val="52BD660C"/>
    <w:rsid w:val="52F132C4"/>
    <w:rsid w:val="52F3261F"/>
    <w:rsid w:val="531F33B4"/>
    <w:rsid w:val="53202F66"/>
    <w:rsid w:val="537A3BD4"/>
    <w:rsid w:val="53835EA6"/>
    <w:rsid w:val="53B00E2D"/>
    <w:rsid w:val="53CA585F"/>
    <w:rsid w:val="53CC7530"/>
    <w:rsid w:val="53D66519"/>
    <w:rsid w:val="53E2646E"/>
    <w:rsid w:val="54193419"/>
    <w:rsid w:val="54195AF5"/>
    <w:rsid w:val="541C4449"/>
    <w:rsid w:val="543C396E"/>
    <w:rsid w:val="54472D45"/>
    <w:rsid w:val="54496F21"/>
    <w:rsid w:val="5454111A"/>
    <w:rsid w:val="54605E5A"/>
    <w:rsid w:val="546E7DA2"/>
    <w:rsid w:val="547F0975"/>
    <w:rsid w:val="549447AB"/>
    <w:rsid w:val="54954802"/>
    <w:rsid w:val="54962A1D"/>
    <w:rsid w:val="549C55AB"/>
    <w:rsid w:val="54B51656"/>
    <w:rsid w:val="54B55380"/>
    <w:rsid w:val="54CE2E1B"/>
    <w:rsid w:val="551524F3"/>
    <w:rsid w:val="553F123A"/>
    <w:rsid w:val="55471DAB"/>
    <w:rsid w:val="55592780"/>
    <w:rsid w:val="558D627B"/>
    <w:rsid w:val="55A453DA"/>
    <w:rsid w:val="55A9712D"/>
    <w:rsid w:val="55B07C22"/>
    <w:rsid w:val="55B66EA1"/>
    <w:rsid w:val="55C176D1"/>
    <w:rsid w:val="55D7359E"/>
    <w:rsid w:val="55F05F7F"/>
    <w:rsid w:val="55F53CAF"/>
    <w:rsid w:val="55F6278E"/>
    <w:rsid w:val="55FF68AC"/>
    <w:rsid w:val="560501F2"/>
    <w:rsid w:val="560838DB"/>
    <w:rsid w:val="561C543B"/>
    <w:rsid w:val="5620446D"/>
    <w:rsid w:val="562B036C"/>
    <w:rsid w:val="56506A57"/>
    <w:rsid w:val="5695176C"/>
    <w:rsid w:val="56964945"/>
    <w:rsid w:val="569F23F4"/>
    <w:rsid w:val="56B01A4F"/>
    <w:rsid w:val="56B30619"/>
    <w:rsid w:val="56B337B4"/>
    <w:rsid w:val="56B64E2B"/>
    <w:rsid w:val="56BD5592"/>
    <w:rsid w:val="56D93B58"/>
    <w:rsid w:val="56DB6226"/>
    <w:rsid w:val="56E165F6"/>
    <w:rsid w:val="56E66275"/>
    <w:rsid w:val="572E6071"/>
    <w:rsid w:val="57544F8D"/>
    <w:rsid w:val="577C44E3"/>
    <w:rsid w:val="57800FDB"/>
    <w:rsid w:val="578C2978"/>
    <w:rsid w:val="5791761E"/>
    <w:rsid w:val="57BD4D35"/>
    <w:rsid w:val="57BFBB50"/>
    <w:rsid w:val="57CA16F3"/>
    <w:rsid w:val="57CE3D6D"/>
    <w:rsid w:val="57E27B15"/>
    <w:rsid w:val="57FF75EE"/>
    <w:rsid w:val="580C3AB9"/>
    <w:rsid w:val="580D1861"/>
    <w:rsid w:val="58157786"/>
    <w:rsid w:val="58393309"/>
    <w:rsid w:val="583D5A2C"/>
    <w:rsid w:val="58600DB0"/>
    <w:rsid w:val="586C2122"/>
    <w:rsid w:val="58993597"/>
    <w:rsid w:val="589F65B2"/>
    <w:rsid w:val="58AD26F1"/>
    <w:rsid w:val="58B3387C"/>
    <w:rsid w:val="58C20CEE"/>
    <w:rsid w:val="58C72D23"/>
    <w:rsid w:val="58F026BB"/>
    <w:rsid w:val="58F058ED"/>
    <w:rsid w:val="58FC5F93"/>
    <w:rsid w:val="590F57A8"/>
    <w:rsid w:val="591B16C5"/>
    <w:rsid w:val="592C54E8"/>
    <w:rsid w:val="593C7FF3"/>
    <w:rsid w:val="59455CFA"/>
    <w:rsid w:val="59495E72"/>
    <w:rsid w:val="594D347C"/>
    <w:rsid w:val="59584D29"/>
    <w:rsid w:val="59637E0F"/>
    <w:rsid w:val="59684D1F"/>
    <w:rsid w:val="596A1648"/>
    <w:rsid w:val="59942EA7"/>
    <w:rsid w:val="59A90420"/>
    <w:rsid w:val="59C30027"/>
    <w:rsid w:val="59D70FAC"/>
    <w:rsid w:val="5A0C2E57"/>
    <w:rsid w:val="5A167330"/>
    <w:rsid w:val="5A252247"/>
    <w:rsid w:val="5A382944"/>
    <w:rsid w:val="5A4D36B3"/>
    <w:rsid w:val="5A62689E"/>
    <w:rsid w:val="5A66282C"/>
    <w:rsid w:val="5A875679"/>
    <w:rsid w:val="5A930D6F"/>
    <w:rsid w:val="5AC140ED"/>
    <w:rsid w:val="5AD14768"/>
    <w:rsid w:val="5AFA3D08"/>
    <w:rsid w:val="5B07612D"/>
    <w:rsid w:val="5B174C4F"/>
    <w:rsid w:val="5B192385"/>
    <w:rsid w:val="5B294D03"/>
    <w:rsid w:val="5B360FE4"/>
    <w:rsid w:val="5B4F49DC"/>
    <w:rsid w:val="5B503CBD"/>
    <w:rsid w:val="5B525C87"/>
    <w:rsid w:val="5B706090"/>
    <w:rsid w:val="5B727FF2"/>
    <w:rsid w:val="5BAD32E1"/>
    <w:rsid w:val="5BBA658A"/>
    <w:rsid w:val="5BC12164"/>
    <w:rsid w:val="5BC62EA9"/>
    <w:rsid w:val="5BD25BF0"/>
    <w:rsid w:val="5BD45284"/>
    <w:rsid w:val="5BDB0608"/>
    <w:rsid w:val="5BE54D4D"/>
    <w:rsid w:val="5BFD1BDB"/>
    <w:rsid w:val="5C1F4732"/>
    <w:rsid w:val="5C6307D2"/>
    <w:rsid w:val="5C69091D"/>
    <w:rsid w:val="5CB52971"/>
    <w:rsid w:val="5CB572D4"/>
    <w:rsid w:val="5CE92502"/>
    <w:rsid w:val="5CEB4EF2"/>
    <w:rsid w:val="5CFD698C"/>
    <w:rsid w:val="5D182F56"/>
    <w:rsid w:val="5D392E77"/>
    <w:rsid w:val="5D3A6CD2"/>
    <w:rsid w:val="5D455E35"/>
    <w:rsid w:val="5D590A0C"/>
    <w:rsid w:val="5D650FE0"/>
    <w:rsid w:val="5D6D5814"/>
    <w:rsid w:val="5D79978D"/>
    <w:rsid w:val="5D893A6A"/>
    <w:rsid w:val="5D8F25C1"/>
    <w:rsid w:val="5D9D5AF3"/>
    <w:rsid w:val="5DA0717E"/>
    <w:rsid w:val="5DAE1A71"/>
    <w:rsid w:val="5DAE2FB2"/>
    <w:rsid w:val="5DD92EF7"/>
    <w:rsid w:val="5DE227D8"/>
    <w:rsid w:val="5DEA3724"/>
    <w:rsid w:val="5DF84F9F"/>
    <w:rsid w:val="5DF86B80"/>
    <w:rsid w:val="5E2375A8"/>
    <w:rsid w:val="5E2C3D29"/>
    <w:rsid w:val="5E524668"/>
    <w:rsid w:val="5E68742F"/>
    <w:rsid w:val="5E7431E0"/>
    <w:rsid w:val="5E754772"/>
    <w:rsid w:val="5E99597B"/>
    <w:rsid w:val="5EAA6BE5"/>
    <w:rsid w:val="5EB85923"/>
    <w:rsid w:val="5ECB075D"/>
    <w:rsid w:val="5ECB0973"/>
    <w:rsid w:val="5ECD6185"/>
    <w:rsid w:val="5EFF2D12"/>
    <w:rsid w:val="5F166322"/>
    <w:rsid w:val="5F1A1FE0"/>
    <w:rsid w:val="5F213998"/>
    <w:rsid w:val="5F2EEBEC"/>
    <w:rsid w:val="5F474870"/>
    <w:rsid w:val="5F4B455F"/>
    <w:rsid w:val="5F58537A"/>
    <w:rsid w:val="5F5A15AE"/>
    <w:rsid w:val="5F662C8C"/>
    <w:rsid w:val="5F7C5594"/>
    <w:rsid w:val="5F8328B3"/>
    <w:rsid w:val="5F8713EB"/>
    <w:rsid w:val="5FA16F60"/>
    <w:rsid w:val="5FB40CBE"/>
    <w:rsid w:val="5FBE23FA"/>
    <w:rsid w:val="5FDB26EF"/>
    <w:rsid w:val="5FF6E7CC"/>
    <w:rsid w:val="603007CB"/>
    <w:rsid w:val="606335C9"/>
    <w:rsid w:val="60634553"/>
    <w:rsid w:val="608540EE"/>
    <w:rsid w:val="60883B8D"/>
    <w:rsid w:val="60B52EE2"/>
    <w:rsid w:val="60B71127"/>
    <w:rsid w:val="60C02A94"/>
    <w:rsid w:val="60CC23DF"/>
    <w:rsid w:val="60EB0D76"/>
    <w:rsid w:val="60FA38AB"/>
    <w:rsid w:val="611F6A4C"/>
    <w:rsid w:val="61296AA1"/>
    <w:rsid w:val="612A3EE1"/>
    <w:rsid w:val="614E0B3A"/>
    <w:rsid w:val="617C3A5E"/>
    <w:rsid w:val="61961D5F"/>
    <w:rsid w:val="619A2F8C"/>
    <w:rsid w:val="61B82468"/>
    <w:rsid w:val="61BB61CB"/>
    <w:rsid w:val="61BF5633"/>
    <w:rsid w:val="61BF7B90"/>
    <w:rsid w:val="61C8239B"/>
    <w:rsid w:val="61D55F0A"/>
    <w:rsid w:val="61D70C94"/>
    <w:rsid w:val="62061579"/>
    <w:rsid w:val="620A14FF"/>
    <w:rsid w:val="621B44E7"/>
    <w:rsid w:val="622B7D94"/>
    <w:rsid w:val="622D326F"/>
    <w:rsid w:val="62324057"/>
    <w:rsid w:val="625E5BE7"/>
    <w:rsid w:val="625F0993"/>
    <w:rsid w:val="62612648"/>
    <w:rsid w:val="62690255"/>
    <w:rsid w:val="629B741A"/>
    <w:rsid w:val="62A274F4"/>
    <w:rsid w:val="62A91B71"/>
    <w:rsid w:val="62AE40EB"/>
    <w:rsid w:val="62C40B19"/>
    <w:rsid w:val="62D27D41"/>
    <w:rsid w:val="62F77620"/>
    <w:rsid w:val="631A460B"/>
    <w:rsid w:val="632E70ED"/>
    <w:rsid w:val="634D7410"/>
    <w:rsid w:val="634F2A9F"/>
    <w:rsid w:val="636561E9"/>
    <w:rsid w:val="638A2530"/>
    <w:rsid w:val="63BC0F18"/>
    <w:rsid w:val="63BE1534"/>
    <w:rsid w:val="63CD0AA4"/>
    <w:rsid w:val="641A7EB5"/>
    <w:rsid w:val="64211D1B"/>
    <w:rsid w:val="64216DF8"/>
    <w:rsid w:val="64281C7B"/>
    <w:rsid w:val="642B7131"/>
    <w:rsid w:val="6438034E"/>
    <w:rsid w:val="64380B7C"/>
    <w:rsid w:val="645D0073"/>
    <w:rsid w:val="64684E6E"/>
    <w:rsid w:val="64711E87"/>
    <w:rsid w:val="647A2391"/>
    <w:rsid w:val="647E5EE2"/>
    <w:rsid w:val="64885B8F"/>
    <w:rsid w:val="64CE267E"/>
    <w:rsid w:val="64D53201"/>
    <w:rsid w:val="64E54DE4"/>
    <w:rsid w:val="64FA7C33"/>
    <w:rsid w:val="64FC410F"/>
    <w:rsid w:val="650665F1"/>
    <w:rsid w:val="6525515A"/>
    <w:rsid w:val="653209FB"/>
    <w:rsid w:val="65423AF6"/>
    <w:rsid w:val="654A5A3E"/>
    <w:rsid w:val="65566374"/>
    <w:rsid w:val="655A3A87"/>
    <w:rsid w:val="65842A23"/>
    <w:rsid w:val="65896749"/>
    <w:rsid w:val="659016C1"/>
    <w:rsid w:val="6590299B"/>
    <w:rsid w:val="65AC068A"/>
    <w:rsid w:val="65AE5918"/>
    <w:rsid w:val="65C3266C"/>
    <w:rsid w:val="65CF7BF6"/>
    <w:rsid w:val="65ED6CD8"/>
    <w:rsid w:val="660E680A"/>
    <w:rsid w:val="661B5B41"/>
    <w:rsid w:val="66213711"/>
    <w:rsid w:val="66472C04"/>
    <w:rsid w:val="664951F0"/>
    <w:rsid w:val="664D13EF"/>
    <w:rsid w:val="66607013"/>
    <w:rsid w:val="668A1823"/>
    <w:rsid w:val="66935A40"/>
    <w:rsid w:val="669A06B1"/>
    <w:rsid w:val="669B68FD"/>
    <w:rsid w:val="66AD66B6"/>
    <w:rsid w:val="66C60665"/>
    <w:rsid w:val="66D4132C"/>
    <w:rsid w:val="66DA1934"/>
    <w:rsid w:val="66ED08F1"/>
    <w:rsid w:val="67041952"/>
    <w:rsid w:val="673A19CE"/>
    <w:rsid w:val="6746713E"/>
    <w:rsid w:val="67564996"/>
    <w:rsid w:val="67587831"/>
    <w:rsid w:val="67614535"/>
    <w:rsid w:val="67711074"/>
    <w:rsid w:val="679F0143"/>
    <w:rsid w:val="67B02BC4"/>
    <w:rsid w:val="67B46630"/>
    <w:rsid w:val="67C41B72"/>
    <w:rsid w:val="67CA5D0E"/>
    <w:rsid w:val="67CE0D8B"/>
    <w:rsid w:val="67E5109B"/>
    <w:rsid w:val="67EE0AE5"/>
    <w:rsid w:val="67F72E76"/>
    <w:rsid w:val="67FA56DC"/>
    <w:rsid w:val="682412F1"/>
    <w:rsid w:val="683A3D2B"/>
    <w:rsid w:val="684921C0"/>
    <w:rsid w:val="68992747"/>
    <w:rsid w:val="689F14E3"/>
    <w:rsid w:val="68B05A2A"/>
    <w:rsid w:val="68C150A6"/>
    <w:rsid w:val="68C65C13"/>
    <w:rsid w:val="68E424F2"/>
    <w:rsid w:val="68E44536"/>
    <w:rsid w:val="68F03556"/>
    <w:rsid w:val="68F14D31"/>
    <w:rsid w:val="68F81D37"/>
    <w:rsid w:val="69091735"/>
    <w:rsid w:val="690D79FF"/>
    <w:rsid w:val="69296521"/>
    <w:rsid w:val="6933671B"/>
    <w:rsid w:val="694C01BA"/>
    <w:rsid w:val="69594009"/>
    <w:rsid w:val="695E440F"/>
    <w:rsid w:val="69846545"/>
    <w:rsid w:val="69890C83"/>
    <w:rsid w:val="69A81C85"/>
    <w:rsid w:val="69E12A19"/>
    <w:rsid w:val="69E421A0"/>
    <w:rsid w:val="6A0A1115"/>
    <w:rsid w:val="6A161750"/>
    <w:rsid w:val="6A2821F5"/>
    <w:rsid w:val="6A330894"/>
    <w:rsid w:val="6A3359FB"/>
    <w:rsid w:val="6A3749C6"/>
    <w:rsid w:val="6A3E4A61"/>
    <w:rsid w:val="6A4C3822"/>
    <w:rsid w:val="6A4E2FE0"/>
    <w:rsid w:val="6A9517AF"/>
    <w:rsid w:val="6A9A0107"/>
    <w:rsid w:val="6AA3259A"/>
    <w:rsid w:val="6ABF5A6C"/>
    <w:rsid w:val="6ACC47BB"/>
    <w:rsid w:val="6ACF3EC1"/>
    <w:rsid w:val="6AE37C11"/>
    <w:rsid w:val="6AF62014"/>
    <w:rsid w:val="6AF97E23"/>
    <w:rsid w:val="6AFE2ACB"/>
    <w:rsid w:val="6B165666"/>
    <w:rsid w:val="6B1C693E"/>
    <w:rsid w:val="6B3C600C"/>
    <w:rsid w:val="6B4C26F3"/>
    <w:rsid w:val="6B514B2C"/>
    <w:rsid w:val="6B601CFA"/>
    <w:rsid w:val="6B645641"/>
    <w:rsid w:val="6B7566DC"/>
    <w:rsid w:val="6B771917"/>
    <w:rsid w:val="6BBA4B63"/>
    <w:rsid w:val="6BD65968"/>
    <w:rsid w:val="6BD7E177"/>
    <w:rsid w:val="6BE52B1F"/>
    <w:rsid w:val="6BEF307E"/>
    <w:rsid w:val="6BF94A81"/>
    <w:rsid w:val="6BFF6F49"/>
    <w:rsid w:val="6C087167"/>
    <w:rsid w:val="6C0E001C"/>
    <w:rsid w:val="6C146FD5"/>
    <w:rsid w:val="6C632A70"/>
    <w:rsid w:val="6C7628AC"/>
    <w:rsid w:val="6C791144"/>
    <w:rsid w:val="6C863B81"/>
    <w:rsid w:val="6C92383A"/>
    <w:rsid w:val="6CA67B19"/>
    <w:rsid w:val="6CCE3534"/>
    <w:rsid w:val="6CE40852"/>
    <w:rsid w:val="6CFF02B5"/>
    <w:rsid w:val="6D0668D1"/>
    <w:rsid w:val="6D1434FB"/>
    <w:rsid w:val="6D1657ED"/>
    <w:rsid w:val="6D34047C"/>
    <w:rsid w:val="6D395DEA"/>
    <w:rsid w:val="6D3C1942"/>
    <w:rsid w:val="6D9C0FE4"/>
    <w:rsid w:val="6DA7731B"/>
    <w:rsid w:val="6DBA04C1"/>
    <w:rsid w:val="6DBE4A14"/>
    <w:rsid w:val="6DC81DD9"/>
    <w:rsid w:val="6DD523A3"/>
    <w:rsid w:val="6DD74B46"/>
    <w:rsid w:val="6DD95203"/>
    <w:rsid w:val="6E0252EB"/>
    <w:rsid w:val="6E405676"/>
    <w:rsid w:val="6E5FB4A8"/>
    <w:rsid w:val="6E6A6DEA"/>
    <w:rsid w:val="6E6F7FB1"/>
    <w:rsid w:val="6E721183"/>
    <w:rsid w:val="6E9F5A93"/>
    <w:rsid w:val="6EA063D8"/>
    <w:rsid w:val="6EAD26CD"/>
    <w:rsid w:val="6EB365E5"/>
    <w:rsid w:val="6EB45D89"/>
    <w:rsid w:val="6EC315F2"/>
    <w:rsid w:val="6EC8472C"/>
    <w:rsid w:val="6EDD5610"/>
    <w:rsid w:val="6EE31AAA"/>
    <w:rsid w:val="6EE57F50"/>
    <w:rsid w:val="6F297E92"/>
    <w:rsid w:val="6F392EE1"/>
    <w:rsid w:val="6F637F73"/>
    <w:rsid w:val="6F682320"/>
    <w:rsid w:val="6F6D5ED4"/>
    <w:rsid w:val="6F6D6200"/>
    <w:rsid w:val="6F750E67"/>
    <w:rsid w:val="6F8D3F04"/>
    <w:rsid w:val="6F9A341D"/>
    <w:rsid w:val="6FCF56A0"/>
    <w:rsid w:val="6FEE7C52"/>
    <w:rsid w:val="6FFE7511"/>
    <w:rsid w:val="700A66D9"/>
    <w:rsid w:val="702A245C"/>
    <w:rsid w:val="7072746A"/>
    <w:rsid w:val="7080135E"/>
    <w:rsid w:val="708D4285"/>
    <w:rsid w:val="70951AE1"/>
    <w:rsid w:val="70CD6972"/>
    <w:rsid w:val="70DC6E56"/>
    <w:rsid w:val="710B10F6"/>
    <w:rsid w:val="712025D9"/>
    <w:rsid w:val="71215ACB"/>
    <w:rsid w:val="71224654"/>
    <w:rsid w:val="71234607"/>
    <w:rsid w:val="7148673F"/>
    <w:rsid w:val="71641E18"/>
    <w:rsid w:val="7168736F"/>
    <w:rsid w:val="71702C38"/>
    <w:rsid w:val="71704C61"/>
    <w:rsid w:val="7188482E"/>
    <w:rsid w:val="719126F5"/>
    <w:rsid w:val="71955D3C"/>
    <w:rsid w:val="71C41ACF"/>
    <w:rsid w:val="71E038F2"/>
    <w:rsid w:val="71EB764A"/>
    <w:rsid w:val="71F1620C"/>
    <w:rsid w:val="720C6AAB"/>
    <w:rsid w:val="72101DEC"/>
    <w:rsid w:val="72180BE9"/>
    <w:rsid w:val="72273C8B"/>
    <w:rsid w:val="722F7003"/>
    <w:rsid w:val="723B701D"/>
    <w:rsid w:val="724203AC"/>
    <w:rsid w:val="7242215A"/>
    <w:rsid w:val="724244A6"/>
    <w:rsid w:val="725D1C13"/>
    <w:rsid w:val="727110F2"/>
    <w:rsid w:val="728269FA"/>
    <w:rsid w:val="72AEF39E"/>
    <w:rsid w:val="72EE72CB"/>
    <w:rsid w:val="72FA6ED8"/>
    <w:rsid w:val="73092C77"/>
    <w:rsid w:val="732D1BCD"/>
    <w:rsid w:val="732F6360"/>
    <w:rsid w:val="735E36FF"/>
    <w:rsid w:val="73604E64"/>
    <w:rsid w:val="736B748E"/>
    <w:rsid w:val="73951535"/>
    <w:rsid w:val="7398620D"/>
    <w:rsid w:val="73A54462"/>
    <w:rsid w:val="73B70828"/>
    <w:rsid w:val="73C62EE3"/>
    <w:rsid w:val="743A7F71"/>
    <w:rsid w:val="745A2B8A"/>
    <w:rsid w:val="745B16CF"/>
    <w:rsid w:val="746C5BB4"/>
    <w:rsid w:val="746D2481"/>
    <w:rsid w:val="74784A43"/>
    <w:rsid w:val="747B5820"/>
    <w:rsid w:val="74844CAB"/>
    <w:rsid w:val="74926F2E"/>
    <w:rsid w:val="749E4FC9"/>
    <w:rsid w:val="74EDC165"/>
    <w:rsid w:val="7518084E"/>
    <w:rsid w:val="751D6E31"/>
    <w:rsid w:val="756E00DB"/>
    <w:rsid w:val="757A16E2"/>
    <w:rsid w:val="75846F2D"/>
    <w:rsid w:val="75CB4AA0"/>
    <w:rsid w:val="75D272CC"/>
    <w:rsid w:val="75E462B7"/>
    <w:rsid w:val="75FA366D"/>
    <w:rsid w:val="75FE0A8D"/>
    <w:rsid w:val="760015EB"/>
    <w:rsid w:val="760210E1"/>
    <w:rsid w:val="760D0140"/>
    <w:rsid w:val="76C13EB8"/>
    <w:rsid w:val="76C50E2E"/>
    <w:rsid w:val="76E26975"/>
    <w:rsid w:val="76E47C83"/>
    <w:rsid w:val="76EA18E8"/>
    <w:rsid w:val="771569DA"/>
    <w:rsid w:val="772A7BBB"/>
    <w:rsid w:val="773617FD"/>
    <w:rsid w:val="77482EDE"/>
    <w:rsid w:val="774B1AB0"/>
    <w:rsid w:val="774F4A3E"/>
    <w:rsid w:val="775133DF"/>
    <w:rsid w:val="775B628F"/>
    <w:rsid w:val="77660698"/>
    <w:rsid w:val="77664BBA"/>
    <w:rsid w:val="77770AF7"/>
    <w:rsid w:val="777F123A"/>
    <w:rsid w:val="77821A6D"/>
    <w:rsid w:val="778B56F5"/>
    <w:rsid w:val="77961B8C"/>
    <w:rsid w:val="77ABD6D4"/>
    <w:rsid w:val="77B13D95"/>
    <w:rsid w:val="77C20412"/>
    <w:rsid w:val="77C8358B"/>
    <w:rsid w:val="77CF2EF3"/>
    <w:rsid w:val="77EE3627"/>
    <w:rsid w:val="77EF5C44"/>
    <w:rsid w:val="77FFE3A6"/>
    <w:rsid w:val="781000B8"/>
    <w:rsid w:val="781358D5"/>
    <w:rsid w:val="782F1787"/>
    <w:rsid w:val="783764D9"/>
    <w:rsid w:val="78425232"/>
    <w:rsid w:val="786B261E"/>
    <w:rsid w:val="78867F6E"/>
    <w:rsid w:val="78890022"/>
    <w:rsid w:val="788A353A"/>
    <w:rsid w:val="788B054E"/>
    <w:rsid w:val="78DD4C42"/>
    <w:rsid w:val="78EE426D"/>
    <w:rsid w:val="79085C1C"/>
    <w:rsid w:val="790E58CD"/>
    <w:rsid w:val="791638DE"/>
    <w:rsid w:val="796014D4"/>
    <w:rsid w:val="799B3012"/>
    <w:rsid w:val="79B61914"/>
    <w:rsid w:val="79BF202D"/>
    <w:rsid w:val="79CB5864"/>
    <w:rsid w:val="79D65A03"/>
    <w:rsid w:val="79D8429F"/>
    <w:rsid w:val="79EF748B"/>
    <w:rsid w:val="79FE7F7D"/>
    <w:rsid w:val="7A23758D"/>
    <w:rsid w:val="7A2912C6"/>
    <w:rsid w:val="7A3F5900"/>
    <w:rsid w:val="7A5630C8"/>
    <w:rsid w:val="7A8005F5"/>
    <w:rsid w:val="7A8338F2"/>
    <w:rsid w:val="7A9A6B7F"/>
    <w:rsid w:val="7AAC0F61"/>
    <w:rsid w:val="7AB97B08"/>
    <w:rsid w:val="7AB97E86"/>
    <w:rsid w:val="7ACA391A"/>
    <w:rsid w:val="7AE91783"/>
    <w:rsid w:val="7B2E3D2C"/>
    <w:rsid w:val="7B6676C5"/>
    <w:rsid w:val="7B743F98"/>
    <w:rsid w:val="7B7C245D"/>
    <w:rsid w:val="7B7D4360"/>
    <w:rsid w:val="7B8E6C1E"/>
    <w:rsid w:val="7BAD0072"/>
    <w:rsid w:val="7BAF2059"/>
    <w:rsid w:val="7BC45183"/>
    <w:rsid w:val="7BEF2C7D"/>
    <w:rsid w:val="7BF512F4"/>
    <w:rsid w:val="7C0061B1"/>
    <w:rsid w:val="7C1871EC"/>
    <w:rsid w:val="7C2E43B6"/>
    <w:rsid w:val="7C4F2043"/>
    <w:rsid w:val="7C517E0A"/>
    <w:rsid w:val="7C581439"/>
    <w:rsid w:val="7C712545"/>
    <w:rsid w:val="7C7A4BE6"/>
    <w:rsid w:val="7C8617DD"/>
    <w:rsid w:val="7CA05C00"/>
    <w:rsid w:val="7CC01E73"/>
    <w:rsid w:val="7CEFA7E4"/>
    <w:rsid w:val="7D384EEE"/>
    <w:rsid w:val="7D511DEB"/>
    <w:rsid w:val="7D561C02"/>
    <w:rsid w:val="7D6A4843"/>
    <w:rsid w:val="7D7741D6"/>
    <w:rsid w:val="7D831B72"/>
    <w:rsid w:val="7D8950E1"/>
    <w:rsid w:val="7DAE50DC"/>
    <w:rsid w:val="7DBD1A9B"/>
    <w:rsid w:val="7DD05F10"/>
    <w:rsid w:val="7DD64FAB"/>
    <w:rsid w:val="7DDD34EB"/>
    <w:rsid w:val="7DE360FC"/>
    <w:rsid w:val="7DF834E4"/>
    <w:rsid w:val="7E4748AC"/>
    <w:rsid w:val="7E524037"/>
    <w:rsid w:val="7E5548B0"/>
    <w:rsid w:val="7E5A328D"/>
    <w:rsid w:val="7E5F5E41"/>
    <w:rsid w:val="7E603C0E"/>
    <w:rsid w:val="7E694E0E"/>
    <w:rsid w:val="7E762A4C"/>
    <w:rsid w:val="7E7B19E7"/>
    <w:rsid w:val="7E7C3CA9"/>
    <w:rsid w:val="7E821DC0"/>
    <w:rsid w:val="7EA05D21"/>
    <w:rsid w:val="7EAA7DA9"/>
    <w:rsid w:val="7EB67B3A"/>
    <w:rsid w:val="7EBC12F3"/>
    <w:rsid w:val="7EBD4B54"/>
    <w:rsid w:val="7EC13154"/>
    <w:rsid w:val="7EE23960"/>
    <w:rsid w:val="7F156870"/>
    <w:rsid w:val="7F1D6B1B"/>
    <w:rsid w:val="7F3B3FB0"/>
    <w:rsid w:val="7F3FF636"/>
    <w:rsid w:val="7F493256"/>
    <w:rsid w:val="7F54529A"/>
    <w:rsid w:val="7F5D7E9B"/>
    <w:rsid w:val="7F636A33"/>
    <w:rsid w:val="7F6B5A3C"/>
    <w:rsid w:val="7F6F440E"/>
    <w:rsid w:val="7F7FA704"/>
    <w:rsid w:val="7FB06974"/>
    <w:rsid w:val="7FC941ED"/>
    <w:rsid w:val="7FCC346F"/>
    <w:rsid w:val="7FF40C52"/>
    <w:rsid w:val="7FF554F9"/>
    <w:rsid w:val="7FFB88CC"/>
    <w:rsid w:val="7FFF6450"/>
    <w:rsid w:val="8353E1B6"/>
    <w:rsid w:val="9F6F8204"/>
    <w:rsid w:val="AEBFBA09"/>
    <w:rsid w:val="AFFAE429"/>
    <w:rsid w:val="B7767418"/>
    <w:rsid w:val="B9F53BBD"/>
    <w:rsid w:val="BD7FE0C5"/>
    <w:rsid w:val="BD8FFFF5"/>
    <w:rsid w:val="BDFE5068"/>
    <w:rsid w:val="BE8FA745"/>
    <w:rsid w:val="BF7FCCB2"/>
    <w:rsid w:val="BFBD3D72"/>
    <w:rsid w:val="BFDE2CE9"/>
    <w:rsid w:val="C99FE57A"/>
    <w:rsid w:val="CECE110E"/>
    <w:rsid w:val="CF53FB50"/>
    <w:rsid w:val="D4EEBCDA"/>
    <w:rsid w:val="DB8757C3"/>
    <w:rsid w:val="DFEFC259"/>
    <w:rsid w:val="EB97896B"/>
    <w:rsid w:val="EC7CACA6"/>
    <w:rsid w:val="EEBFD261"/>
    <w:rsid w:val="EFF743AC"/>
    <w:rsid w:val="F3671C98"/>
    <w:rsid w:val="F7D71C95"/>
    <w:rsid w:val="FA739928"/>
    <w:rsid w:val="FBABAA0A"/>
    <w:rsid w:val="FBDBE6CE"/>
    <w:rsid w:val="FD9B93FC"/>
    <w:rsid w:val="FEF7F298"/>
    <w:rsid w:val="FFD6DDF5"/>
    <w:rsid w:val="FFDFB4A1"/>
    <w:rsid w:val="FFFF5547"/>
    <w:rsid w:val="FFFFC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ind w:firstLine="200" w:firstLineChars="20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40"/>
    <w:qFormat/>
    <w:uiPriority w:val="0"/>
    <w:pPr>
      <w:keepNext/>
      <w:keepLines/>
      <w:spacing w:before="100" w:after="90" w:line="240" w:lineRule="auto"/>
      <w:jc w:val="left"/>
      <w:outlineLvl w:val="0"/>
    </w:pPr>
    <w:rPr>
      <w:rFonts w:ascii="仿宋_GB2312" w:hAnsi="仿宋_GB2312" w:eastAsia="黑体" w:cs="仿宋_GB2312"/>
      <w:bCs/>
      <w:kern w:val="44"/>
      <w:szCs w:val="32"/>
    </w:rPr>
  </w:style>
  <w:style w:type="paragraph" w:styleId="3">
    <w:name w:val="heading 2"/>
    <w:basedOn w:val="1"/>
    <w:next w:val="1"/>
    <w:link w:val="38"/>
    <w:unhideWhenUsed/>
    <w:qFormat/>
    <w:uiPriority w:val="0"/>
    <w:pPr>
      <w:keepNext/>
      <w:keepLines/>
      <w:spacing w:before="160" w:after="80"/>
      <w:outlineLvl w:val="1"/>
    </w:pPr>
    <w:rPr>
      <w:rFonts w:hint="eastAsia" w:ascii="仿宋" w:hAnsi="仿宋" w:eastAsia="楷体_GB2312"/>
      <w:color w:val="000000" w:themeColor="text1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39"/>
    <w:unhideWhenUsed/>
    <w:qFormat/>
    <w:uiPriority w:val="0"/>
    <w:pPr>
      <w:keepNext/>
      <w:keepLines/>
      <w:spacing w:after="0" w:line="600" w:lineRule="exact"/>
      <w:outlineLvl w:val="2"/>
    </w:pPr>
    <w:rPr>
      <w:b/>
      <w:bCs/>
      <w:szCs w:val="32"/>
    </w:rPr>
  </w:style>
  <w:style w:type="paragraph" w:styleId="5">
    <w:name w:val="heading 4"/>
    <w:basedOn w:val="1"/>
    <w:next w:val="1"/>
    <w:link w:val="60"/>
    <w:unhideWhenUsed/>
    <w:qFormat/>
    <w:uiPriority w:val="0"/>
    <w:pPr>
      <w:keepNext/>
      <w:keepLines/>
      <w:spacing w:before="280" w:after="290" w:line="372" w:lineRule="auto"/>
      <w:ind w:firstLine="640"/>
      <w:outlineLvl w:val="3"/>
    </w:pPr>
    <w:rPr>
      <w:rFonts w:ascii="Arial" w:hAnsi="Arial" w:eastAsia="黑体"/>
      <w:b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7"/>
    <w:basedOn w:val="1"/>
    <w:next w:val="1"/>
    <w:unhideWhenUsed/>
    <w:qFormat/>
    <w:uiPriority w:val="39"/>
    <w:pPr>
      <w:ind w:left="2520" w:leftChars="1200"/>
      <w:jc w:val="left"/>
    </w:pPr>
    <w:rPr>
      <w:rFonts w:asciiTheme="minorHAnsi" w:hAnsiTheme="minorHAnsi" w:eastAsiaTheme="minorEastAsia" w:cstheme="minorBidi"/>
      <w:sz w:val="22"/>
      <w14:ligatures w14:val="standardContextual"/>
    </w:rPr>
  </w:style>
  <w:style w:type="paragraph" w:styleId="7">
    <w:name w:val="Normal Indent"/>
    <w:basedOn w:val="1"/>
    <w:next w:val="1"/>
    <w:unhideWhenUsed/>
    <w:qFormat/>
    <w:uiPriority w:val="99"/>
    <w:pPr>
      <w:ind w:firstLine="420"/>
    </w:pPr>
  </w:style>
  <w:style w:type="paragraph" w:styleId="8">
    <w:name w:val="toa heading"/>
    <w:next w:val="1"/>
    <w:unhideWhenUsed/>
    <w:qFormat/>
    <w:uiPriority w:val="99"/>
    <w:pPr>
      <w:widowControl w:val="0"/>
      <w:spacing w:line="600" w:lineRule="exact"/>
      <w:ind w:firstLine="200" w:firstLineChars="200"/>
      <w:jc w:val="both"/>
    </w:pPr>
    <w:rPr>
      <w:rFonts w:ascii="Arial" w:hAnsi="Arial" w:eastAsia="仿宋_GB2312" w:cs="宋体"/>
      <w:kern w:val="2"/>
      <w:sz w:val="24"/>
      <w:szCs w:val="22"/>
      <w:lang w:val="en-US" w:eastAsia="zh-CN" w:bidi="ar-SA"/>
    </w:rPr>
  </w:style>
  <w:style w:type="paragraph" w:styleId="9">
    <w:name w:val="annotation text"/>
    <w:basedOn w:val="1"/>
    <w:link w:val="42"/>
    <w:qFormat/>
    <w:uiPriority w:val="0"/>
    <w:pPr>
      <w:jc w:val="left"/>
    </w:pPr>
  </w:style>
  <w:style w:type="paragraph" w:styleId="10">
    <w:name w:val="Body Text"/>
    <w:basedOn w:val="1"/>
    <w:next w:val="1"/>
    <w:link w:val="49"/>
    <w:qFormat/>
    <w:uiPriority w:val="0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1">
    <w:name w:val="Block Text"/>
    <w:basedOn w:val="1"/>
    <w:unhideWhenUsed/>
    <w:qFormat/>
    <w:uiPriority w:val="99"/>
    <w:pPr>
      <w:spacing w:after="120"/>
    </w:pPr>
  </w:style>
  <w:style w:type="paragraph" w:styleId="12">
    <w:name w:val="toc 5"/>
    <w:basedOn w:val="1"/>
    <w:next w:val="1"/>
    <w:unhideWhenUsed/>
    <w:qFormat/>
    <w:uiPriority w:val="39"/>
    <w:pPr>
      <w:ind w:left="1680" w:leftChars="800"/>
      <w:jc w:val="left"/>
    </w:pPr>
    <w:rPr>
      <w:rFonts w:asciiTheme="minorHAnsi" w:hAnsiTheme="minorHAnsi" w:eastAsiaTheme="minorEastAsia" w:cstheme="minorBidi"/>
      <w:sz w:val="22"/>
      <w14:ligatures w14:val="standardContextual"/>
    </w:rPr>
  </w:style>
  <w:style w:type="paragraph" w:styleId="13">
    <w:name w:val="toc 3"/>
    <w:basedOn w:val="1"/>
    <w:next w:val="1"/>
    <w:qFormat/>
    <w:uiPriority w:val="39"/>
    <w:pPr>
      <w:ind w:left="840" w:leftChars="400"/>
    </w:pPr>
    <w:rPr>
      <w:rFonts w:cs="仿宋"/>
      <w:szCs w:val="32"/>
    </w:rPr>
  </w:style>
  <w:style w:type="paragraph" w:styleId="14">
    <w:name w:val="Plain Text"/>
    <w:basedOn w:val="1"/>
    <w:next w:val="1"/>
    <w:qFormat/>
    <w:uiPriority w:val="0"/>
    <w:rPr>
      <w:rFonts w:ascii="宋体" w:hAnsi="Courier New"/>
    </w:rPr>
  </w:style>
  <w:style w:type="paragraph" w:styleId="15">
    <w:name w:val="toc 8"/>
    <w:basedOn w:val="1"/>
    <w:next w:val="1"/>
    <w:unhideWhenUsed/>
    <w:qFormat/>
    <w:uiPriority w:val="39"/>
    <w:pPr>
      <w:ind w:left="2940" w:leftChars="1400"/>
      <w:jc w:val="left"/>
    </w:pPr>
    <w:rPr>
      <w:rFonts w:asciiTheme="minorHAnsi" w:hAnsiTheme="minorHAnsi" w:eastAsiaTheme="minorEastAsia" w:cstheme="minorBidi"/>
      <w:sz w:val="22"/>
      <w14:ligatures w14:val="standardContextual"/>
    </w:rPr>
  </w:style>
  <w:style w:type="paragraph" w:styleId="16">
    <w:name w:val="Date"/>
    <w:basedOn w:val="1"/>
    <w:next w:val="1"/>
    <w:link w:val="56"/>
    <w:qFormat/>
    <w:uiPriority w:val="0"/>
    <w:pPr>
      <w:ind w:left="100" w:leftChars="2500"/>
    </w:pPr>
  </w:style>
  <w:style w:type="paragraph" w:styleId="17">
    <w:name w:val="endnote text"/>
    <w:basedOn w:val="1"/>
    <w:qFormat/>
    <w:uiPriority w:val="0"/>
    <w:pPr>
      <w:snapToGrid w:val="0"/>
      <w:jc w:val="left"/>
    </w:pPr>
  </w:style>
  <w:style w:type="paragraph" w:styleId="18">
    <w:name w:val="footer"/>
    <w:basedOn w:val="1"/>
    <w:link w:val="4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20">
    <w:name w:val="toc 1"/>
    <w:basedOn w:val="1"/>
    <w:next w:val="1"/>
    <w:qFormat/>
    <w:uiPriority w:val="39"/>
    <w:pPr>
      <w:tabs>
        <w:tab w:val="left" w:pos="880"/>
        <w:tab w:val="right" w:leader="dot" w:pos="8835"/>
      </w:tabs>
      <w:adjustRightInd w:val="0"/>
      <w:snapToGrid w:val="0"/>
      <w:spacing w:after="0" w:line="600" w:lineRule="exact"/>
      <w:ind w:firstLine="0" w:firstLineChars="0"/>
    </w:pPr>
    <w:rPr>
      <w:rFonts w:ascii="黑体" w:hAnsi="黑体" w:eastAsia="黑体" w:cs="方正小标宋简体"/>
      <w:szCs w:val="32"/>
    </w:rPr>
  </w:style>
  <w:style w:type="paragraph" w:styleId="21">
    <w:name w:val="toc 4"/>
    <w:basedOn w:val="1"/>
    <w:next w:val="1"/>
    <w:unhideWhenUsed/>
    <w:qFormat/>
    <w:uiPriority w:val="39"/>
    <w:pPr>
      <w:ind w:left="1260" w:leftChars="600"/>
      <w:jc w:val="left"/>
    </w:pPr>
    <w:rPr>
      <w:rFonts w:asciiTheme="minorHAnsi" w:hAnsiTheme="minorHAnsi" w:eastAsiaTheme="minorEastAsia" w:cstheme="minorBidi"/>
      <w:sz w:val="22"/>
      <w14:ligatures w14:val="standardContextual"/>
    </w:rPr>
  </w:style>
  <w:style w:type="paragraph" w:styleId="22">
    <w:name w:val="toc 6"/>
    <w:basedOn w:val="1"/>
    <w:next w:val="1"/>
    <w:unhideWhenUsed/>
    <w:qFormat/>
    <w:uiPriority w:val="39"/>
    <w:pPr>
      <w:ind w:left="2100" w:leftChars="1000"/>
      <w:jc w:val="left"/>
    </w:pPr>
    <w:rPr>
      <w:rFonts w:asciiTheme="minorHAnsi" w:hAnsiTheme="minorHAnsi" w:eastAsiaTheme="minorEastAsia" w:cstheme="minorBidi"/>
      <w:sz w:val="22"/>
      <w14:ligatures w14:val="standardContextual"/>
    </w:rPr>
  </w:style>
  <w:style w:type="paragraph" w:styleId="23">
    <w:name w:val="toc 2"/>
    <w:basedOn w:val="1"/>
    <w:next w:val="1"/>
    <w:qFormat/>
    <w:uiPriority w:val="39"/>
    <w:pPr>
      <w:tabs>
        <w:tab w:val="right" w:leader="dot" w:pos="8834"/>
      </w:tabs>
      <w:spacing w:after="0" w:line="600" w:lineRule="exact"/>
    </w:pPr>
  </w:style>
  <w:style w:type="paragraph" w:styleId="24">
    <w:name w:val="toc 9"/>
    <w:basedOn w:val="1"/>
    <w:next w:val="1"/>
    <w:unhideWhenUsed/>
    <w:qFormat/>
    <w:uiPriority w:val="39"/>
    <w:pPr>
      <w:ind w:left="3360" w:leftChars="1600"/>
      <w:jc w:val="left"/>
    </w:pPr>
    <w:rPr>
      <w:rFonts w:asciiTheme="minorHAnsi" w:hAnsiTheme="minorHAnsi" w:eastAsiaTheme="minorEastAsia" w:cstheme="minorBidi"/>
      <w:sz w:val="22"/>
      <w14:ligatures w14:val="standardContextual"/>
    </w:rPr>
  </w:style>
  <w:style w:type="paragraph" w:styleId="25">
    <w:name w:val="Normal (Web)"/>
    <w:basedOn w:val="1"/>
    <w:unhideWhenUsed/>
    <w:qFormat/>
    <w:uiPriority w:val="99"/>
    <w:pPr>
      <w:widowControl/>
      <w:spacing w:after="150"/>
      <w:jc w:val="left"/>
    </w:pPr>
    <w:rPr>
      <w:rFonts w:ascii="宋体" w:hAnsi="宋体" w:cs="宋体"/>
      <w:kern w:val="0"/>
      <w:sz w:val="24"/>
    </w:rPr>
  </w:style>
  <w:style w:type="paragraph" w:styleId="26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27">
    <w:name w:val="annotation subject"/>
    <w:basedOn w:val="9"/>
    <w:next w:val="9"/>
    <w:link w:val="43"/>
    <w:qFormat/>
    <w:uiPriority w:val="0"/>
    <w:rPr>
      <w:b/>
      <w:bCs/>
    </w:rPr>
  </w:style>
  <w:style w:type="table" w:styleId="29">
    <w:name w:val="Table Grid"/>
    <w:basedOn w:val="2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qFormat/>
    <w:uiPriority w:val="22"/>
    <w:rPr>
      <w:b/>
      <w:bCs/>
    </w:rPr>
  </w:style>
  <w:style w:type="character" w:styleId="32">
    <w:name w:val="endnote reference"/>
    <w:basedOn w:val="30"/>
    <w:qFormat/>
    <w:uiPriority w:val="0"/>
    <w:rPr>
      <w:vertAlign w:val="superscript"/>
    </w:rPr>
  </w:style>
  <w:style w:type="character" w:styleId="33">
    <w:name w:val="FollowedHyperlink"/>
    <w:basedOn w:val="30"/>
    <w:qFormat/>
    <w:uiPriority w:val="0"/>
    <w:rPr>
      <w:color w:val="000000"/>
      <w:u w:val="none"/>
    </w:rPr>
  </w:style>
  <w:style w:type="character" w:styleId="34">
    <w:name w:val="Emphasis"/>
    <w:basedOn w:val="30"/>
    <w:qFormat/>
    <w:uiPriority w:val="0"/>
    <w:rPr>
      <w:i/>
    </w:rPr>
  </w:style>
  <w:style w:type="character" w:styleId="35">
    <w:name w:val="HTML Variable"/>
    <w:basedOn w:val="30"/>
    <w:qFormat/>
    <w:uiPriority w:val="0"/>
    <w:rPr>
      <w:i/>
    </w:rPr>
  </w:style>
  <w:style w:type="character" w:styleId="36">
    <w:name w:val="Hyperlink"/>
    <w:basedOn w:val="3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7">
    <w:name w:val="annotation reference"/>
    <w:qFormat/>
    <w:uiPriority w:val="0"/>
    <w:rPr>
      <w:sz w:val="21"/>
      <w:szCs w:val="21"/>
    </w:rPr>
  </w:style>
  <w:style w:type="character" w:customStyle="1" w:styleId="38">
    <w:name w:val="标题 2 字符"/>
    <w:basedOn w:val="30"/>
    <w:link w:val="3"/>
    <w:qFormat/>
    <w:uiPriority w:val="0"/>
    <w:rPr>
      <w:rFonts w:ascii="仿宋" w:hAnsi="仿宋" w:eastAsia="楷体_GB2312"/>
      <w:color w:val="000000" w:themeColor="text1"/>
      <w:kern w:val="2"/>
      <w:sz w:val="32"/>
      <w:szCs w:val="40"/>
      <w14:textFill>
        <w14:solidFill>
          <w14:schemeClr w14:val="tx1"/>
        </w14:solidFill>
      </w14:textFill>
    </w:rPr>
  </w:style>
  <w:style w:type="character" w:customStyle="1" w:styleId="39">
    <w:name w:val="标题 3 字符"/>
    <w:basedOn w:val="30"/>
    <w:link w:val="4"/>
    <w:qFormat/>
    <w:uiPriority w:val="0"/>
    <w:rPr>
      <w:rFonts w:ascii="Calibri" w:hAnsi="Calibri" w:eastAsia="仿宋_GB2312"/>
      <w:b/>
      <w:bCs/>
      <w:kern w:val="2"/>
      <w:sz w:val="32"/>
      <w:szCs w:val="32"/>
    </w:rPr>
  </w:style>
  <w:style w:type="character" w:customStyle="1" w:styleId="40">
    <w:name w:val="标题 1 字符"/>
    <w:link w:val="2"/>
    <w:qFormat/>
    <w:uiPriority w:val="0"/>
    <w:rPr>
      <w:rFonts w:ascii="仿宋_GB2312" w:hAnsi="仿宋_GB2312" w:eastAsia="黑体" w:cs="仿宋_GB2312"/>
      <w:bCs/>
      <w:kern w:val="44"/>
      <w:sz w:val="32"/>
      <w:szCs w:val="32"/>
      <w:lang w:val="en-US" w:eastAsia="zh-CN" w:bidi="ar-SA"/>
    </w:rPr>
  </w:style>
  <w:style w:type="paragraph" w:customStyle="1" w:styleId="41">
    <w:name w:val="目录 11"/>
    <w:next w:val="1"/>
    <w:qFormat/>
    <w:uiPriority w:val="0"/>
    <w:pPr>
      <w:wordWrap w:val="0"/>
      <w:spacing w:after="160" w:line="278" w:lineRule="auto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customStyle="1" w:styleId="42">
    <w:name w:val="批注文字 字符"/>
    <w:link w:val="9"/>
    <w:qFormat/>
    <w:uiPriority w:val="0"/>
    <w:rPr>
      <w:kern w:val="2"/>
      <w:sz w:val="21"/>
      <w:szCs w:val="24"/>
    </w:rPr>
  </w:style>
  <w:style w:type="character" w:customStyle="1" w:styleId="43">
    <w:name w:val="批注主题 字符"/>
    <w:link w:val="27"/>
    <w:qFormat/>
    <w:uiPriority w:val="0"/>
    <w:rPr>
      <w:b/>
      <w:bCs/>
      <w:kern w:val="2"/>
      <w:sz w:val="21"/>
      <w:szCs w:val="24"/>
    </w:rPr>
  </w:style>
  <w:style w:type="paragraph" w:styleId="44">
    <w:name w:val="List Paragraph"/>
    <w:basedOn w:val="1"/>
    <w:qFormat/>
    <w:uiPriority w:val="34"/>
    <w:pPr>
      <w:ind w:firstLine="420"/>
    </w:pPr>
  </w:style>
  <w:style w:type="character" w:customStyle="1" w:styleId="45">
    <w:name w:val="font11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46">
    <w:name w:val="font2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47">
    <w:name w:val="修订1"/>
    <w:unhideWhenUsed/>
    <w:qFormat/>
    <w:uiPriority w:val="99"/>
    <w:pPr>
      <w:spacing w:after="160" w:line="278" w:lineRule="auto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48">
    <w:name w:val="页脚 字符"/>
    <w:basedOn w:val="30"/>
    <w:link w:val="18"/>
    <w:qFormat/>
    <w:uiPriority w:val="0"/>
    <w:rPr>
      <w:rFonts w:hint="default" w:ascii="Calibri" w:hAnsi="Calibri" w:eastAsia="宋体" w:cs="仿宋"/>
      <w:kern w:val="2"/>
      <w:sz w:val="18"/>
      <w:szCs w:val="18"/>
    </w:rPr>
  </w:style>
  <w:style w:type="character" w:customStyle="1" w:styleId="49">
    <w:name w:val="正文文本 字符"/>
    <w:basedOn w:val="30"/>
    <w:link w:val="10"/>
    <w:qFormat/>
    <w:uiPriority w:val="0"/>
    <w:rPr>
      <w:rFonts w:hint="eastAsia" w:ascii="仿宋_GB2312" w:hAnsi="Calibri" w:eastAsia="仿宋_GB2312" w:cs="仿宋_GB2312"/>
      <w:kern w:val="2"/>
      <w:sz w:val="32"/>
      <w:szCs w:val="22"/>
    </w:rPr>
  </w:style>
  <w:style w:type="paragraph" w:customStyle="1" w:styleId="50">
    <w:name w:val="修订2"/>
    <w:hidden/>
    <w:unhideWhenUsed/>
    <w:qFormat/>
    <w:uiPriority w:val="99"/>
    <w:pPr>
      <w:spacing w:after="160" w:line="278" w:lineRule="auto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51">
    <w:name w:val="修订3"/>
    <w:hidden/>
    <w:unhideWhenUsed/>
    <w:qFormat/>
    <w:uiPriority w:val="99"/>
    <w:pPr>
      <w:spacing w:after="160" w:line="278" w:lineRule="auto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52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53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Cs w:val="0"/>
      <w:color w:val="2F5597" w:themeColor="accent1" w:themeShade="BF"/>
      <w:kern w:val="0"/>
      <w:sz w:val="32"/>
      <w:szCs w:val="32"/>
    </w:rPr>
  </w:style>
  <w:style w:type="paragraph" w:customStyle="1" w:styleId="54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55">
    <w:name w:val="未处理的提及1"/>
    <w:basedOn w:val="3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56">
    <w:name w:val="日期 字符"/>
    <w:basedOn w:val="30"/>
    <w:link w:val="16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57">
    <w:name w:val="ms-1"/>
    <w:basedOn w:val="30"/>
    <w:qFormat/>
    <w:uiPriority w:val="0"/>
  </w:style>
  <w:style w:type="character" w:customStyle="1" w:styleId="58">
    <w:name w:val="max-w-[15ch]"/>
    <w:basedOn w:val="30"/>
    <w:qFormat/>
    <w:uiPriority w:val="0"/>
  </w:style>
  <w:style w:type="character" w:customStyle="1" w:styleId="59">
    <w:name w:val="标题 4 字符"/>
    <w:qFormat/>
    <w:uiPriority w:val="0"/>
    <w:rPr>
      <w:rFonts w:ascii="Arial" w:hAnsi="Arial" w:eastAsia="黑体"/>
      <w:b/>
      <w:sz w:val="32"/>
    </w:rPr>
  </w:style>
  <w:style w:type="character" w:customStyle="1" w:styleId="60">
    <w:name w:val="标题 4 字符1"/>
    <w:link w:val="5"/>
    <w:qFormat/>
    <w:uiPriority w:val="0"/>
    <w:rPr>
      <w:rFonts w:ascii="Arial" w:hAnsi="Arial" w:eastAsia="黑体"/>
      <w:b/>
      <w:sz w:val="32"/>
    </w:rPr>
  </w:style>
  <w:style w:type="paragraph" w:customStyle="1" w:styleId="61">
    <w:name w:val="TOC 标题2"/>
    <w:basedOn w:val="2"/>
    <w:next w:val="1"/>
    <w:unhideWhenUsed/>
    <w:qFormat/>
    <w:uiPriority w:val="39"/>
    <w:pPr>
      <w:widowControl/>
      <w:spacing w:before="240" w:after="0" w:line="259" w:lineRule="auto"/>
      <w:ind w:firstLine="0" w:firstLineChars="0"/>
      <w:jc w:val="left"/>
      <w:outlineLvl w:val="9"/>
    </w:pPr>
    <w:rPr>
      <w:rFonts w:asciiTheme="majorHAnsi" w:hAnsiTheme="majorHAnsi" w:eastAsiaTheme="majorEastAsia" w:cstheme="majorBidi"/>
      <w:bCs w:val="0"/>
      <w:color w:val="2F5597" w:themeColor="accent1" w:themeShade="BF"/>
      <w:kern w:val="0"/>
      <w:sz w:val="32"/>
      <w:szCs w:val="32"/>
    </w:rPr>
  </w:style>
  <w:style w:type="paragraph" w:customStyle="1" w:styleId="62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63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64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46BCAF4-743A-4058-B20B-5BE968D629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41</Words>
  <Characters>45</Characters>
  <Lines>171</Lines>
  <Paragraphs>48</Paragraphs>
  <TotalTime>5</TotalTime>
  <ScaleCrop>false</ScaleCrop>
  <LinksUpToDate>false</LinksUpToDate>
  <CharactersWithSpaces>46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2025-11-27T02:06:00Z</dcterms:created>
  <dc:creator>小星星</dc:creator>
  <cp:lastModifiedBy>lenovo</cp:lastModifiedBy>
  <cp:lastPrinted>2026-10-10T07:34:00Z</cp:lastPrinted>
  <dcterms:modified xsi:type="dcterms:W3CDTF">2026-10-12T01:50:23Z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2856BB7F71A44F0F81EEF809458C5B22_13</vt:lpwstr>
  </property>
  <property fmtid="{D5CDD505-2E9C-101B-9397-08002B2CF9AE}" pid="4" name="KSOTemplateDocerSaveRecord">
    <vt:lpwstr>eyJoZGlkIjoiZjhhMGRjYzg3YWQwMTlhMmY1MzdlNTc4NTM5OGM3YjEiLCJ1c2VySWQiOiIxMDIxMjY0OTYyIn0=</vt:lpwstr>
  </property>
</Properties>
</file>