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22D9A">
      <w:pPr>
        <w:adjustRightInd w:val="0"/>
        <w:spacing w:after="0"/>
        <w:ind w:left="0" w:leftChars="0" w:firstLine="0" w:firstLineChars="0"/>
        <w:jc w:val="left"/>
        <w:rPr>
          <w:rFonts w:hint="eastAsia" w:ascii="黑体" w:hAnsi="黑体" w:eastAsia="黑体" w:cs="黑体"/>
          <w:sz w:val="32"/>
          <w:szCs w:val="32"/>
          <w:lang w:val="en-US" w:eastAsia="zh-CN"/>
        </w:rPr>
      </w:pPr>
      <w:bookmarkStart w:id="0" w:name="_Toc12870"/>
      <w:bookmarkStart w:id="1" w:name="_Toc26173"/>
      <w:bookmarkStart w:id="2" w:name="_Toc23625"/>
      <w:bookmarkStart w:id="3" w:name="_Hlk205582057"/>
      <w:bookmarkStart w:id="282" w:name="_GoBack"/>
      <w:r>
        <w:rPr>
          <w:rFonts w:hint="eastAsia" w:ascii="黑体" w:hAnsi="黑体" w:eastAsia="黑体" w:cs="黑体"/>
          <w:sz w:val="32"/>
          <w:szCs w:val="32"/>
          <w:lang w:val="en-US" w:eastAsia="zh-CN"/>
        </w:rPr>
        <w:t>附件1</w:t>
      </w:r>
    </w:p>
    <w:bookmarkEnd w:id="282"/>
    <w:p w14:paraId="4DEC45F6">
      <w:pPr>
        <w:adjustRightInd w:val="0"/>
        <w:spacing w:after="0"/>
        <w:ind w:firstLine="880"/>
        <w:jc w:val="center"/>
        <w:rPr>
          <w:rFonts w:ascii="Times New Roman" w:hAnsi="Times New Roman" w:eastAsia="方正小标宋简体" w:cs="Times New Roman"/>
          <w:sz w:val="44"/>
          <w:szCs w:val="44"/>
        </w:rPr>
      </w:pPr>
    </w:p>
    <w:p w14:paraId="7C44D71D">
      <w:pPr>
        <w:adjustRightInd w:val="0"/>
        <w:spacing w:after="0"/>
        <w:ind w:firstLine="880"/>
        <w:jc w:val="center"/>
        <w:rPr>
          <w:rFonts w:ascii="Times New Roman" w:hAnsi="Times New Roman" w:eastAsia="方正小标宋简体" w:cs="Times New Roman"/>
          <w:sz w:val="44"/>
          <w:szCs w:val="44"/>
        </w:rPr>
      </w:pPr>
    </w:p>
    <w:p w14:paraId="77FD7130">
      <w:pPr>
        <w:adjustRightInd w:val="0"/>
        <w:spacing w:after="0"/>
        <w:ind w:firstLine="880"/>
        <w:jc w:val="center"/>
        <w:rPr>
          <w:rFonts w:ascii="Times New Roman" w:hAnsi="Times New Roman" w:eastAsia="方正小标宋简体" w:cs="Times New Roman"/>
          <w:sz w:val="44"/>
          <w:szCs w:val="44"/>
        </w:rPr>
      </w:pPr>
    </w:p>
    <w:p w14:paraId="50EC2FCE">
      <w:pPr>
        <w:pStyle w:val="51"/>
        <w:spacing w:line="360" w:lineRule="auto"/>
        <w:outlineLvl w:val="9"/>
        <w:rPr>
          <w:rFonts w:hint="eastAsia" w:ascii="方正小标宋简体" w:hAnsi="方正小标宋简体" w:eastAsia="方正小标宋简体" w:cs="方正小标宋简体"/>
        </w:rPr>
      </w:pPr>
      <w:bookmarkStart w:id="4" w:name="OLE_LINK47"/>
      <w:bookmarkStart w:id="5" w:name="_Hlk211007997"/>
      <w:r>
        <w:rPr>
          <w:rFonts w:hint="eastAsia" w:ascii="方正小标宋简体" w:hAnsi="方正小标宋简体" w:eastAsia="方正小标宋简体" w:cs="方正小标宋简体"/>
        </w:rPr>
        <w:t>丰台区“十五五”时期文化旅游体育</w:t>
      </w:r>
    </w:p>
    <w:p w14:paraId="0FF2C4EF">
      <w:pPr>
        <w:pStyle w:val="51"/>
        <w:spacing w:line="360" w:lineRule="auto"/>
        <w:outlineLvl w:val="9"/>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发展规划</w:t>
      </w:r>
      <w:bookmarkEnd w:id="4"/>
    </w:p>
    <w:p w14:paraId="78DE357D">
      <w:pPr>
        <w:pStyle w:val="51"/>
        <w:spacing w:line="360" w:lineRule="auto"/>
        <w:outlineLvl w:val="9"/>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eastAsia="zh-CN"/>
        </w:rPr>
        <w:t>（</w:t>
      </w:r>
      <w:r>
        <w:rPr>
          <w:rFonts w:hint="eastAsia" w:ascii="方正小标宋简体" w:hAnsi="方正小标宋简体" w:eastAsia="方正小标宋简体" w:cs="方正小标宋简体"/>
          <w:lang w:val="en-US" w:eastAsia="zh-CN"/>
        </w:rPr>
        <w:t>征求意见稿）</w:t>
      </w:r>
    </w:p>
    <w:p w14:paraId="6F79C928">
      <w:pPr>
        <w:adjustRightInd w:val="0"/>
        <w:spacing w:after="0"/>
        <w:ind w:firstLine="0" w:firstLineChars="0"/>
        <w:jc w:val="center"/>
        <w:rPr>
          <w:rFonts w:ascii="Times New Roman" w:hAnsi="Times New Roman" w:eastAsia="方正小标宋简体" w:cs="Times New Roman"/>
          <w:sz w:val="44"/>
          <w:szCs w:val="44"/>
        </w:rPr>
      </w:pPr>
    </w:p>
    <w:p w14:paraId="2E26F68C">
      <w:pPr>
        <w:pStyle w:val="51"/>
        <w:spacing w:line="360" w:lineRule="auto"/>
        <w:outlineLvl w:val="9"/>
        <w:rPr>
          <w:rFonts w:hint="eastAsia" w:ascii="楷体_GB2312" w:hAnsi="楷体_GB2312" w:eastAsia="楷体_GB2312" w:cs="楷体_GB2312"/>
        </w:rPr>
      </w:pPr>
    </w:p>
    <w:bookmarkEnd w:id="5"/>
    <w:p w14:paraId="27CD2BCF">
      <w:pPr>
        <w:adjustRightInd w:val="0"/>
        <w:spacing w:after="0"/>
        <w:ind w:firstLine="0" w:firstLineChars="0"/>
        <w:jc w:val="center"/>
        <w:rPr>
          <w:rFonts w:ascii="Times New Roman" w:hAnsi="Times New Roman" w:eastAsia="方正小标宋简体" w:cs="Times New Roman"/>
          <w:sz w:val="44"/>
          <w:szCs w:val="44"/>
        </w:rPr>
      </w:pPr>
    </w:p>
    <w:p w14:paraId="05165A9A">
      <w:pPr>
        <w:adjustRightInd w:val="0"/>
        <w:spacing w:after="0"/>
        <w:ind w:firstLine="880"/>
        <w:rPr>
          <w:rFonts w:ascii="Times New Roman" w:hAnsi="Times New Roman" w:eastAsia="方正小标宋简体" w:cs="Times New Roman"/>
          <w:sz w:val="44"/>
          <w:szCs w:val="44"/>
        </w:rPr>
      </w:pPr>
    </w:p>
    <w:p w14:paraId="459E747A">
      <w:pPr>
        <w:adjustRightInd w:val="0"/>
        <w:spacing w:after="0"/>
        <w:ind w:firstLine="880"/>
        <w:rPr>
          <w:rFonts w:ascii="Times New Roman" w:hAnsi="Times New Roman" w:eastAsia="方正小标宋简体" w:cs="Times New Roman"/>
          <w:sz w:val="44"/>
          <w:szCs w:val="44"/>
        </w:rPr>
      </w:pPr>
    </w:p>
    <w:p w14:paraId="6AE73E70">
      <w:pPr>
        <w:adjustRightInd w:val="0"/>
        <w:spacing w:after="0"/>
        <w:ind w:firstLine="0" w:firstLineChars="0"/>
        <w:rPr>
          <w:rFonts w:ascii="Times New Roman" w:hAnsi="Times New Roman" w:eastAsia="方正小标宋简体" w:cs="Times New Roman"/>
          <w:sz w:val="44"/>
          <w:szCs w:val="44"/>
        </w:rPr>
      </w:pPr>
    </w:p>
    <w:p w14:paraId="445351E3">
      <w:pPr>
        <w:adjustRightInd w:val="0"/>
        <w:spacing w:after="0"/>
        <w:ind w:firstLine="0" w:firstLineChars="0"/>
        <w:rPr>
          <w:rFonts w:ascii="Times New Roman" w:hAnsi="Times New Roman" w:eastAsia="方正小标宋简体" w:cs="Times New Roman"/>
          <w:sz w:val="44"/>
          <w:szCs w:val="44"/>
        </w:rPr>
      </w:pPr>
    </w:p>
    <w:p w14:paraId="4B794D67">
      <w:pPr>
        <w:adjustRightInd w:val="0"/>
        <w:spacing w:after="0"/>
        <w:ind w:firstLine="0" w:firstLineChars="0"/>
        <w:rPr>
          <w:rFonts w:ascii="Times New Roman" w:hAnsi="Times New Roman" w:eastAsia="方正小标宋简体" w:cs="Times New Roman"/>
          <w:sz w:val="44"/>
          <w:szCs w:val="44"/>
        </w:rPr>
      </w:pPr>
    </w:p>
    <w:p w14:paraId="079B3D64">
      <w:pPr>
        <w:adjustRightInd w:val="0"/>
        <w:spacing w:after="0"/>
        <w:ind w:firstLine="0" w:firstLineChars="0"/>
        <w:rPr>
          <w:rFonts w:ascii="Times New Roman" w:hAnsi="Times New Roman" w:eastAsia="方正小标宋简体" w:cs="Times New Roman"/>
          <w:sz w:val="44"/>
          <w:szCs w:val="44"/>
        </w:rPr>
      </w:pPr>
    </w:p>
    <w:p w14:paraId="698ED80D">
      <w:pPr>
        <w:adjustRightInd w:val="0"/>
        <w:spacing w:after="0"/>
        <w:ind w:firstLine="0" w:firstLineChars="0"/>
        <w:rPr>
          <w:rFonts w:ascii="Times New Roman" w:hAnsi="Times New Roman" w:eastAsia="方正小标宋简体" w:cs="Times New Roman"/>
          <w:sz w:val="44"/>
          <w:szCs w:val="44"/>
        </w:rPr>
      </w:pPr>
    </w:p>
    <w:p w14:paraId="280369CE">
      <w:pPr>
        <w:adjustRightInd w:val="0"/>
        <w:spacing w:after="0"/>
        <w:ind w:firstLine="0" w:firstLineChars="0"/>
        <w:jc w:val="center"/>
        <w:rPr>
          <w:rFonts w:ascii="Times New Roman" w:hAnsi="Times New Roman" w:eastAsia="黑体"/>
          <w:szCs w:val="32"/>
        </w:rPr>
      </w:pPr>
      <w:bookmarkStart w:id="6" w:name="OLE_LINK24"/>
      <w:r>
        <w:rPr>
          <w:rFonts w:hint="eastAsia" w:ascii="Times New Roman" w:hAnsi="Times New Roman" w:eastAsia="黑体"/>
          <w:szCs w:val="32"/>
        </w:rPr>
        <w:t>丰台区文化和旅游局</w:t>
      </w:r>
    </w:p>
    <w:p w14:paraId="25FEB9B6">
      <w:pPr>
        <w:adjustRightInd w:val="0"/>
        <w:spacing w:after="0"/>
        <w:ind w:firstLine="0" w:firstLineChars="0"/>
        <w:jc w:val="center"/>
        <w:rPr>
          <w:rFonts w:ascii="Times New Roman" w:hAnsi="Times New Roman" w:eastAsia="黑体"/>
          <w:szCs w:val="32"/>
        </w:rPr>
      </w:pPr>
      <w:r>
        <w:rPr>
          <w:rFonts w:hint="eastAsia" w:ascii="Times New Roman" w:hAnsi="Times New Roman" w:eastAsia="黑体"/>
          <w:szCs w:val="32"/>
        </w:rPr>
        <w:t>丰台区体育局</w:t>
      </w:r>
      <w:bookmarkEnd w:id="6"/>
    </w:p>
    <w:p w14:paraId="38274599">
      <w:pPr>
        <w:pStyle w:val="22"/>
        <w:spacing w:line="560" w:lineRule="exact"/>
        <w:ind w:left="0" w:leftChars="0" w:firstLine="0" w:firstLineChars="0"/>
        <w:jc w:val="center"/>
        <w:rPr>
          <w:rFonts w:ascii="Times New Roman" w:hAnsi="Times New Roman" w:eastAsia="黑体"/>
          <w:sz w:val="32"/>
          <w:szCs w:val="32"/>
        </w:rPr>
      </w:pPr>
      <w:r>
        <w:rPr>
          <w:rFonts w:hint="eastAsia" w:ascii="Times New Roman" w:hAnsi="Times New Roman" w:eastAsia="黑体"/>
          <w:sz w:val="32"/>
          <w:szCs w:val="32"/>
        </w:rPr>
        <w:t>2026年9月</w:t>
      </w:r>
    </w:p>
    <w:p w14:paraId="55A5C730">
      <w:pPr>
        <w:widowControl/>
        <w:spacing w:after="0" w:line="240" w:lineRule="auto"/>
        <w:ind w:firstLine="0" w:firstLineChars="0"/>
        <w:jc w:val="left"/>
        <w:rPr>
          <w:rFonts w:ascii="Times New Roman" w:hAnsi="Times New Roman" w:eastAsia="黑体" w:cs="Times New Roman"/>
          <w:szCs w:val="32"/>
        </w:rPr>
      </w:pPr>
      <w:r>
        <w:rPr>
          <w:rFonts w:ascii="Times New Roman" w:hAnsi="Times New Roman" w:eastAsia="黑体"/>
          <w:szCs w:val="32"/>
        </w:rPr>
        <w:br w:type="page"/>
      </w:r>
      <w:bookmarkEnd w:id="0"/>
      <w:bookmarkEnd w:id="1"/>
      <w:bookmarkEnd w:id="2"/>
    </w:p>
    <w:sdt>
      <w:sdtPr>
        <w:rPr>
          <w:rFonts w:eastAsia="仿宋_GB2312" w:asciiTheme="minorHAnsi" w:hAnsiTheme="minorHAnsi" w:cstheme="minorBidi"/>
          <w:color w:val="auto"/>
          <w:kern w:val="2"/>
          <w:szCs w:val="22"/>
          <w:lang w:val="zh-CN"/>
        </w:rPr>
        <w:id w:val="-1"/>
        <w:docPartObj>
          <w:docPartGallery w:val="Table of Contents"/>
          <w:docPartUnique/>
        </w:docPartObj>
      </w:sdtPr>
      <w:sdtEndPr>
        <w:rPr>
          <w:rFonts w:eastAsia="仿宋_GB2312" w:asciiTheme="minorHAnsi" w:hAnsiTheme="minorHAnsi" w:cstheme="minorBidi"/>
          <w:b/>
          <w:bCs/>
          <w:color w:val="auto"/>
          <w:kern w:val="2"/>
          <w:szCs w:val="22"/>
          <w:lang w:val="zh-CN"/>
        </w:rPr>
      </w:sdtEndPr>
      <w:sdtContent>
        <w:p w14:paraId="53D756A6">
          <w:pPr>
            <w:pStyle w:val="65"/>
            <w:ind w:firstLine="640"/>
            <w:jc w:val="center"/>
            <w:rPr>
              <w:rFonts w:hint="eastAsia" w:ascii="黑体" w:hAnsi="黑体" w:eastAsia="黑体"/>
              <w:color w:val="auto"/>
            </w:rPr>
          </w:pPr>
          <w:r>
            <w:rPr>
              <w:rFonts w:hint="eastAsia" w:ascii="黑体" w:hAnsi="黑体" w:eastAsia="黑体"/>
              <w:color w:val="auto"/>
              <w:lang w:val="zh-CN"/>
            </w:rPr>
            <w:t>目录</w:t>
          </w:r>
        </w:p>
        <w:p w14:paraId="1BB78722">
          <w:pPr>
            <w:pStyle w:val="15"/>
            <w:rPr>
              <w:rFonts w:hint="eastAsia" w:asciiTheme="minorHAnsi" w:hAnsiTheme="minorHAnsi" w:eastAsiaTheme="minorEastAsia" w:cstheme="minorBidi"/>
              <w:sz w:val="22"/>
              <w:szCs w:val="24"/>
              <w14:ligatures w14:val="standardContextual"/>
            </w:rPr>
          </w:pPr>
          <w:r>
            <w:fldChar w:fldCharType="begin"/>
          </w:r>
          <w:r>
            <w:instrText xml:space="preserve"> TOC \o "1-3" \h \z \u </w:instrText>
          </w:r>
          <w:r>
            <w:fldChar w:fldCharType="separate"/>
          </w:r>
          <w:bookmarkStart w:id="7" w:name="OLE_LINK102"/>
          <w:r>
            <w:rPr>
              <w:rStyle w:val="27"/>
            </w:rPr>
            <w:fldChar w:fldCharType="begin"/>
          </w:r>
          <w:r>
            <w:rPr>
              <w:rStyle w:val="27"/>
            </w:rPr>
            <w:instrText xml:space="preserve"> </w:instrText>
          </w:r>
          <w:r>
            <w:rPr>
              <w:rFonts w:hint="eastAsia"/>
            </w:rPr>
            <w:instrText xml:space="preserve">HYPERLINK \l "_Toc241505615"</w:instrText>
          </w:r>
          <w:r>
            <w:rPr>
              <w:rStyle w:val="27"/>
            </w:rPr>
            <w:instrText xml:space="preserve"> </w:instrText>
          </w:r>
          <w:r>
            <w:rPr>
              <w:rStyle w:val="27"/>
            </w:rPr>
            <w:fldChar w:fldCharType="separate"/>
          </w:r>
          <w:r>
            <w:rPr>
              <w:rStyle w:val="27"/>
              <w:rFonts w:eastAsia="黑体"/>
            </w:rPr>
            <w:t>一、总体要求</w:t>
          </w:r>
          <w:r>
            <w:rPr>
              <w:rFonts w:hint="eastAsia"/>
            </w:rPr>
            <w:tab/>
          </w:r>
          <w:r>
            <w:rPr>
              <w:rFonts w:hint="eastAsia"/>
            </w:rPr>
            <w:fldChar w:fldCharType="begin"/>
          </w:r>
          <w:r>
            <w:rPr>
              <w:rFonts w:hint="eastAsia"/>
            </w:rPr>
            <w:instrText xml:space="preserve"> </w:instrText>
          </w:r>
          <w:r>
            <w:instrText xml:space="preserve">PAGEREF _Toc241505615 \h</w:instrText>
          </w:r>
          <w:r>
            <w:rPr>
              <w:rFonts w:hint="eastAsia"/>
            </w:rPr>
            <w:instrText xml:space="preserve"> </w:instrText>
          </w:r>
          <w:r>
            <w:rPr>
              <w:rFonts w:hint="eastAsia"/>
            </w:rPr>
            <w:fldChar w:fldCharType="separate"/>
          </w:r>
          <w:r>
            <w:t>1</w:t>
          </w:r>
          <w:r>
            <w:rPr>
              <w:rFonts w:hint="eastAsia"/>
            </w:rPr>
            <w:fldChar w:fldCharType="end"/>
          </w:r>
          <w:r>
            <w:rPr>
              <w:rStyle w:val="27"/>
            </w:rPr>
            <w:fldChar w:fldCharType="end"/>
          </w:r>
        </w:p>
        <w:p w14:paraId="6AC7E7E9">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"_Toc241505616" </w:instrText>
          </w:r>
          <w:r>
            <w:fldChar w:fldCharType="separate"/>
          </w:r>
          <w:r>
            <w:rPr>
              <w:rStyle w:val="27"/>
              <w:rFonts w:eastAsia="黑体"/>
              <w:bCs/>
              <w:kern w:val="44"/>
            </w:rPr>
            <w:t>二、构建“一轴两带三区多点”融合发展新格局</w:t>
          </w:r>
          <w:r>
            <w:rPr>
              <w:rFonts w:hint="eastAsia"/>
            </w:rPr>
            <w:tab/>
          </w:r>
          <w:r>
            <w:rPr>
              <w:rFonts w:hint="eastAsia"/>
            </w:rPr>
            <w:fldChar w:fldCharType="begin"/>
          </w:r>
          <w:r>
            <w:rPr>
              <w:rFonts w:hint="eastAsia"/>
            </w:rPr>
            <w:instrText xml:space="preserve"> </w:instrText>
          </w:r>
          <w:r>
            <w:instrText xml:space="preserve">PAGEREF _Toc241505616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218B734">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"_Toc241505617" </w:instrText>
          </w:r>
          <w:r>
            <w:fldChar w:fldCharType="separate"/>
          </w:r>
          <w:r>
            <w:rPr>
              <w:rStyle w:val="27"/>
              <w:rFonts w:eastAsia="黑体"/>
              <w:bCs/>
              <w:kern w:val="44"/>
            </w:rPr>
            <w:t>三、深挖核心资源内涵，塑造丰台特色品牌名片</w:t>
          </w:r>
          <w:r>
            <w:rPr>
              <w:rFonts w:hint="eastAsia"/>
            </w:rPr>
            <w:tab/>
          </w:r>
          <w:r>
            <w:rPr>
              <w:rFonts w:hint="eastAsia"/>
            </w:rPr>
            <w:fldChar w:fldCharType="begin"/>
          </w:r>
          <w:r>
            <w:rPr>
              <w:rFonts w:hint="eastAsia"/>
            </w:rPr>
            <w:instrText xml:space="preserve"> </w:instrText>
          </w:r>
          <w:r>
            <w:instrText xml:space="preserve">PAGEREF _Toc241505617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9390C8C">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"_Toc241505618" </w:instrText>
          </w:r>
          <w:r>
            <w:fldChar w:fldCharType="separate"/>
          </w:r>
          <w:r>
            <w:rPr>
              <w:rStyle w:val="27"/>
              <w:rFonts w:ascii="楷体_GB2312" w:eastAsia="楷体_GB2312"/>
            </w:rPr>
            <w:t>（一）</w:t>
          </w:r>
          <w:r>
            <w:rPr>
              <w:rStyle w:val="27"/>
              <w:rFonts w:ascii="楷体_GB2312" w:eastAsia="楷体_GB2312"/>
              <w:bCs/>
            </w:rPr>
            <w:t>加强</w:t>
          </w:r>
          <w:r>
            <w:rPr>
              <w:rStyle w:val="27"/>
              <w:rFonts w:ascii="楷体_GB2312" w:eastAsia="楷体_GB2312"/>
            </w:rPr>
            <w:t>文化</w:t>
          </w:r>
          <w:r>
            <w:rPr>
              <w:rStyle w:val="27"/>
              <w:rFonts w:ascii="楷体_GB2312" w:eastAsia="楷体_GB2312"/>
              <w:bCs/>
            </w:rPr>
            <w:t>遗产保护传承</w:t>
          </w:r>
          <w:r>
            <w:rPr>
              <w:rFonts w:hint="eastAsia"/>
            </w:rPr>
            <w:tab/>
          </w:r>
          <w:r>
            <w:rPr>
              <w:rFonts w:hint="eastAsia"/>
            </w:rPr>
            <w:fldChar w:fldCharType="begin"/>
          </w:r>
          <w:r>
            <w:rPr>
              <w:rFonts w:hint="eastAsia"/>
            </w:rPr>
            <w:instrText xml:space="preserve"> </w:instrText>
          </w:r>
          <w:r>
            <w:instrText xml:space="preserve">PAGEREF _Toc241505618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7CA33BB6">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"_Toc241505619" </w:instrText>
          </w:r>
          <w:r>
            <w:fldChar w:fldCharType="separate"/>
          </w:r>
          <w:r>
            <w:rPr>
              <w:rStyle w:val="27"/>
              <w:rFonts w:ascii="楷体_GB2312" w:eastAsia="楷体_GB2312"/>
            </w:rPr>
            <w:t>（二）打造古都文化品牌</w:t>
          </w:r>
          <w:r>
            <w:rPr>
              <w:rFonts w:hint="eastAsia"/>
            </w:rPr>
            <w:tab/>
          </w:r>
          <w:r>
            <w:rPr>
              <w:rFonts w:hint="eastAsia"/>
            </w:rPr>
            <w:fldChar w:fldCharType="begin"/>
          </w:r>
          <w:r>
            <w:rPr>
              <w:rFonts w:hint="eastAsia"/>
            </w:rPr>
            <w:instrText xml:space="preserve"> </w:instrText>
          </w:r>
          <w:r>
            <w:instrText xml:space="preserve">PAGEREF _Toc241505619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1D36A1B1">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"_Toc241505620" </w:instrText>
          </w:r>
          <w:r>
            <w:fldChar w:fldCharType="separate"/>
          </w:r>
          <w:r>
            <w:rPr>
              <w:rStyle w:val="27"/>
              <w:rFonts w:ascii="楷体_GB2312" w:eastAsia="楷体_GB2312"/>
            </w:rPr>
            <w:t>（三）塑造红色文化标杆</w:t>
          </w:r>
          <w:r>
            <w:rPr>
              <w:rFonts w:hint="eastAsia"/>
            </w:rPr>
            <w:tab/>
          </w:r>
          <w:r>
            <w:rPr>
              <w:rFonts w:hint="eastAsia"/>
            </w:rPr>
            <w:fldChar w:fldCharType="begin"/>
          </w:r>
          <w:r>
            <w:rPr>
              <w:rFonts w:hint="eastAsia"/>
            </w:rPr>
            <w:instrText xml:space="preserve"> </w:instrText>
          </w:r>
          <w:r>
            <w:instrText xml:space="preserve">PAGEREF _Toc241505620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14:paraId="53E5BE6B">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"_Toc241505621" </w:instrText>
          </w:r>
          <w:r>
            <w:fldChar w:fldCharType="separate"/>
          </w:r>
          <w:r>
            <w:rPr>
              <w:rStyle w:val="27"/>
              <w:rFonts w:ascii="楷体_GB2312" w:eastAsia="楷体_GB2312"/>
            </w:rPr>
            <w:t>（四）释放京味文化活力</w:t>
          </w:r>
          <w:r>
            <w:rPr>
              <w:rFonts w:hint="eastAsia"/>
            </w:rPr>
            <w:tab/>
          </w:r>
          <w:r>
            <w:rPr>
              <w:rFonts w:hint="eastAsia"/>
            </w:rPr>
            <w:fldChar w:fldCharType="begin"/>
          </w:r>
          <w:r>
            <w:rPr>
              <w:rFonts w:hint="eastAsia"/>
            </w:rPr>
            <w:instrText xml:space="preserve"> </w:instrText>
          </w:r>
          <w:r>
            <w:instrText xml:space="preserve">PAGEREF _Toc241505621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14:paraId="2FC6F4C6">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"_Toc241505622" </w:instrText>
          </w:r>
          <w:r>
            <w:fldChar w:fldCharType="separate"/>
          </w:r>
          <w:r>
            <w:rPr>
              <w:rStyle w:val="27"/>
              <w:rFonts w:ascii="楷体_GB2312" w:eastAsia="楷体_GB2312"/>
            </w:rPr>
            <w:t>（五）构建创新文化生态</w:t>
          </w:r>
          <w:r>
            <w:rPr>
              <w:rFonts w:hint="eastAsia"/>
            </w:rPr>
            <w:tab/>
          </w:r>
          <w:r>
            <w:rPr>
              <w:rFonts w:hint="eastAsia"/>
            </w:rPr>
            <w:fldChar w:fldCharType="begin"/>
          </w:r>
          <w:r>
            <w:rPr>
              <w:rFonts w:hint="eastAsia"/>
            </w:rPr>
            <w:instrText xml:space="preserve"> </w:instrText>
          </w:r>
          <w:r>
            <w:instrText xml:space="preserve">PAGEREF _Toc241505622 \h</w:instrText>
          </w:r>
          <w:r>
            <w:rPr>
              <w:rFonts w:hint="eastAsia"/>
            </w:rPr>
            <w:instrText xml:space="preserve"> </w:instrText>
          </w:r>
          <w:r>
            <w:rPr>
              <w:rFonts w:hint="eastAsia"/>
            </w:rPr>
            <w:fldChar w:fldCharType="separate"/>
          </w:r>
          <w:r>
            <w:rPr>
              <w:rFonts w:hint="eastAsia"/>
            </w:rPr>
            <w:t>4</w:t>
          </w:r>
          <w:r>
            <w:rPr>
              <w:rFonts w:hint="eastAsia"/>
            </w:rPr>
            <w:fldChar w:fldCharType="end"/>
          </w:r>
          <w:r>
            <w:rPr>
              <w:rFonts w:hint="eastAsia"/>
            </w:rPr>
            <w:fldChar w:fldCharType="end"/>
          </w:r>
        </w:p>
        <w:p w14:paraId="7EA92AF7">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"_Toc241505623" </w:instrText>
          </w:r>
          <w:r>
            <w:fldChar w:fldCharType="separate"/>
          </w:r>
          <w:r>
            <w:rPr>
              <w:rStyle w:val="27"/>
              <w:rFonts w:ascii="楷体_GB2312" w:eastAsia="楷体_GB2312"/>
            </w:rPr>
            <w:t>（六）深化特色文化融合</w:t>
          </w:r>
          <w:r>
            <w:rPr>
              <w:rFonts w:hint="eastAsia"/>
            </w:rPr>
            <w:tab/>
          </w:r>
          <w:r>
            <w:rPr>
              <w:rFonts w:hint="eastAsia"/>
            </w:rPr>
            <w:fldChar w:fldCharType="begin"/>
          </w:r>
          <w:r>
            <w:rPr>
              <w:rFonts w:hint="eastAsia"/>
            </w:rPr>
            <w:instrText xml:space="preserve"> </w:instrText>
          </w:r>
          <w:r>
            <w:instrText xml:space="preserve">PAGEREF _Toc241505623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3AE23A2B">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"_Toc241505624" </w:instrText>
          </w:r>
          <w:r>
            <w:fldChar w:fldCharType="separate"/>
          </w:r>
          <w:r>
            <w:rPr>
              <w:rStyle w:val="27"/>
              <w:rFonts w:eastAsia="黑体"/>
              <w:bCs/>
              <w:kern w:val="44"/>
            </w:rPr>
            <w:t>四、坚持以人为本，推动公共文旅体服务提质增效</w:t>
          </w:r>
          <w:r>
            <w:rPr>
              <w:rFonts w:hint="eastAsia"/>
            </w:rPr>
            <w:tab/>
          </w:r>
          <w:r>
            <w:rPr>
              <w:rFonts w:hint="eastAsia"/>
            </w:rPr>
            <w:fldChar w:fldCharType="begin"/>
          </w:r>
          <w:r>
            <w:rPr>
              <w:rFonts w:hint="eastAsia"/>
            </w:rPr>
            <w:instrText xml:space="preserve"> </w:instrText>
          </w:r>
          <w:r>
            <w:instrText xml:space="preserve">PAGEREF _Toc241505624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13DE67F4">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"_Toc241505625" </w:instrText>
          </w:r>
          <w:r>
            <w:fldChar w:fldCharType="separate"/>
          </w:r>
          <w:r>
            <w:rPr>
              <w:rStyle w:val="27"/>
              <w:rFonts w:ascii="楷体_GB2312" w:eastAsia="楷体_GB2312"/>
              <w:bCs/>
            </w:rPr>
            <w:t>（一）完善标志性文体设施</w:t>
          </w:r>
          <w:r>
            <w:rPr>
              <w:rFonts w:hint="eastAsia"/>
            </w:rPr>
            <w:tab/>
          </w:r>
          <w:r>
            <w:rPr>
              <w:rFonts w:hint="eastAsia"/>
            </w:rPr>
            <w:fldChar w:fldCharType="begin"/>
          </w:r>
          <w:r>
            <w:rPr>
              <w:rFonts w:hint="eastAsia"/>
            </w:rPr>
            <w:instrText xml:space="preserve"> </w:instrText>
          </w:r>
          <w:r>
            <w:instrText xml:space="preserve">PAGEREF _Toc241505625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5646B76F">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"_Toc241505626" </w:instrText>
          </w:r>
          <w:r>
            <w:fldChar w:fldCharType="separate"/>
          </w:r>
          <w:r>
            <w:rPr>
              <w:rStyle w:val="27"/>
              <w:rFonts w:ascii="楷体_GB2312" w:eastAsia="楷体_GB2312"/>
              <w:bCs/>
            </w:rPr>
            <w:t>（二）提高文旅体服务品质</w:t>
          </w:r>
          <w:r>
            <w:rPr>
              <w:rFonts w:hint="eastAsia"/>
            </w:rPr>
            <w:tab/>
          </w:r>
          <w:r>
            <w:rPr>
              <w:rFonts w:hint="eastAsia"/>
            </w:rPr>
            <w:fldChar w:fldCharType="begin"/>
          </w:r>
          <w:r>
            <w:rPr>
              <w:rFonts w:hint="eastAsia"/>
            </w:rPr>
            <w:instrText xml:space="preserve"> </w:instrText>
          </w:r>
          <w:r>
            <w:instrText xml:space="preserve">PAGEREF _Toc241505626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14:paraId="71F7F536">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"_Toc241505627" </w:instrText>
          </w:r>
          <w:r>
            <w:fldChar w:fldCharType="separate"/>
          </w:r>
          <w:r>
            <w:rPr>
              <w:rStyle w:val="27"/>
              <w:rFonts w:ascii="楷体_GB2312" w:eastAsia="楷体_GB2312"/>
              <w:bCs/>
            </w:rPr>
            <w:t>（三）创新文体特色空间</w:t>
          </w:r>
          <w:r>
            <w:rPr>
              <w:rFonts w:hint="eastAsia"/>
            </w:rPr>
            <w:tab/>
          </w:r>
          <w:r>
            <w:rPr>
              <w:rFonts w:hint="eastAsia"/>
            </w:rPr>
            <w:fldChar w:fldCharType="begin"/>
          </w:r>
          <w:r>
            <w:rPr>
              <w:rFonts w:hint="eastAsia"/>
            </w:rPr>
            <w:instrText xml:space="preserve"> </w:instrText>
          </w:r>
          <w:r>
            <w:instrText xml:space="preserve">PAGEREF _Toc241505627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14:paraId="50871B4B">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"_Toc241505628" </w:instrText>
          </w:r>
          <w:r>
            <w:fldChar w:fldCharType="separate"/>
          </w:r>
          <w:r>
            <w:rPr>
              <w:rStyle w:val="27"/>
              <w:rFonts w:ascii="楷体_GB2312" w:eastAsia="楷体_GB2312"/>
              <w:bCs/>
            </w:rPr>
            <w:t>（四）丰富文体产品供给</w:t>
          </w:r>
          <w:r>
            <w:rPr>
              <w:rFonts w:hint="eastAsia"/>
            </w:rPr>
            <w:tab/>
          </w:r>
          <w:r>
            <w:rPr>
              <w:rFonts w:hint="eastAsia"/>
            </w:rPr>
            <w:fldChar w:fldCharType="begin"/>
          </w:r>
          <w:r>
            <w:rPr>
              <w:rFonts w:hint="eastAsia"/>
            </w:rPr>
            <w:instrText xml:space="preserve"> </w:instrText>
          </w:r>
          <w:r>
            <w:instrText xml:space="preserve">PAGEREF _Toc241505628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14:paraId="6A2EDDB1">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"_Toc241505629" </w:instrText>
          </w:r>
          <w:r>
            <w:fldChar w:fldCharType="separate"/>
          </w:r>
          <w:r>
            <w:rPr>
              <w:rStyle w:val="27"/>
              <w:rFonts w:eastAsia="黑体"/>
              <w:bCs/>
              <w:kern w:val="44"/>
            </w:rPr>
            <w:t>五、深化融合赋能，聚力驱动文旅体行业创新发展</w:t>
          </w:r>
          <w:r>
            <w:rPr>
              <w:rFonts w:hint="eastAsia"/>
            </w:rPr>
            <w:tab/>
          </w:r>
          <w:r>
            <w:rPr>
              <w:rFonts w:hint="eastAsia"/>
            </w:rPr>
            <w:fldChar w:fldCharType="begin"/>
          </w:r>
          <w:r>
            <w:rPr>
              <w:rFonts w:hint="eastAsia"/>
            </w:rPr>
            <w:instrText xml:space="preserve"> </w:instrText>
          </w:r>
          <w:r>
            <w:instrText xml:space="preserve">PAGEREF _Toc241505629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22FBBA27">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"_Toc241505630" </w:instrText>
          </w:r>
          <w:r>
            <w:fldChar w:fldCharType="separate"/>
          </w:r>
          <w:r>
            <w:rPr>
              <w:rStyle w:val="27"/>
              <w:rFonts w:ascii="楷体_GB2312" w:eastAsia="楷体_GB2312"/>
              <w:bCs/>
            </w:rPr>
            <w:t>（一）加速文旅视听行业提质升级</w:t>
          </w:r>
          <w:r>
            <w:rPr>
              <w:rFonts w:hint="eastAsia"/>
            </w:rPr>
            <w:tab/>
          </w:r>
          <w:r>
            <w:rPr>
              <w:rFonts w:hint="eastAsia"/>
            </w:rPr>
            <w:fldChar w:fldCharType="begin"/>
          </w:r>
          <w:r>
            <w:rPr>
              <w:rFonts w:hint="eastAsia"/>
            </w:rPr>
            <w:instrText xml:space="preserve"> </w:instrText>
          </w:r>
          <w:r>
            <w:instrText xml:space="preserve">PAGEREF _Toc241505630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14:paraId="2E211E65">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"_Toc241505631" </w:instrText>
          </w:r>
          <w:r>
            <w:fldChar w:fldCharType="separate"/>
          </w:r>
          <w:r>
            <w:rPr>
              <w:rStyle w:val="27"/>
              <w:rFonts w:ascii="楷体_GB2312" w:eastAsia="楷体_GB2312"/>
            </w:rPr>
            <w:t>（二）强化数智创新赋能产业发展</w:t>
          </w:r>
          <w:r>
            <w:rPr>
              <w:rFonts w:hint="eastAsia"/>
            </w:rPr>
            <w:tab/>
          </w:r>
          <w:r>
            <w:rPr>
              <w:rFonts w:hint="eastAsia"/>
            </w:rPr>
            <w:fldChar w:fldCharType="begin"/>
          </w:r>
          <w:r>
            <w:rPr>
              <w:rFonts w:hint="eastAsia"/>
            </w:rPr>
            <w:instrText xml:space="preserve"> </w:instrText>
          </w:r>
          <w:r>
            <w:instrText xml:space="preserve">PAGEREF _Toc241505631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14:paraId="4797D352">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"_Toc241505632" </w:instrText>
          </w:r>
          <w:r>
            <w:fldChar w:fldCharType="separate"/>
          </w:r>
          <w:r>
            <w:rPr>
              <w:rStyle w:val="27"/>
              <w:rFonts w:ascii="楷体_GB2312" w:eastAsia="楷体_GB2312"/>
            </w:rPr>
            <w:t>（三）激活生态文旅发展动能</w:t>
          </w:r>
          <w:r>
            <w:rPr>
              <w:rFonts w:hint="eastAsia"/>
            </w:rPr>
            <w:tab/>
          </w:r>
          <w:r>
            <w:rPr>
              <w:rFonts w:hint="eastAsia"/>
            </w:rPr>
            <w:fldChar w:fldCharType="begin"/>
          </w:r>
          <w:r>
            <w:rPr>
              <w:rFonts w:hint="eastAsia"/>
            </w:rPr>
            <w:instrText xml:space="preserve"> </w:instrText>
          </w:r>
          <w:r>
            <w:instrText xml:space="preserve">PAGEREF _Toc241505632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14:paraId="2692C755">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"_Toc241505633" </w:instrText>
          </w:r>
          <w:r>
            <w:fldChar w:fldCharType="separate"/>
          </w:r>
          <w:r>
            <w:rPr>
              <w:rStyle w:val="27"/>
              <w:rFonts w:ascii="楷体_GB2312" w:eastAsia="楷体_GB2312"/>
            </w:rPr>
            <w:t>（四）深化跨域多维协同联动</w:t>
          </w:r>
          <w:r>
            <w:rPr>
              <w:rFonts w:hint="eastAsia"/>
            </w:rPr>
            <w:tab/>
          </w:r>
          <w:r>
            <w:rPr>
              <w:rFonts w:hint="eastAsia"/>
            </w:rPr>
            <w:fldChar w:fldCharType="begin"/>
          </w:r>
          <w:r>
            <w:rPr>
              <w:rFonts w:hint="eastAsia"/>
            </w:rPr>
            <w:instrText xml:space="preserve"> </w:instrText>
          </w:r>
          <w:r>
            <w:instrText xml:space="preserve">PAGEREF _Toc241505633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67F5D9D9">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"_Toc241505634" </w:instrText>
          </w:r>
          <w:r>
            <w:fldChar w:fldCharType="separate"/>
          </w:r>
          <w:r>
            <w:rPr>
              <w:rStyle w:val="27"/>
              <w:rFonts w:ascii="楷体_GB2312" w:hAnsi="仿宋_GB2312" w:eastAsia="楷体_GB2312" w:cs="仿宋_GB2312"/>
            </w:rPr>
            <w:t>（五）促进体育行业提质培优</w:t>
          </w:r>
          <w:r>
            <w:rPr>
              <w:rFonts w:hint="eastAsia"/>
            </w:rPr>
            <w:tab/>
          </w:r>
          <w:r>
            <w:rPr>
              <w:rFonts w:hint="eastAsia"/>
            </w:rPr>
            <w:fldChar w:fldCharType="begin"/>
          </w:r>
          <w:r>
            <w:rPr>
              <w:rFonts w:hint="eastAsia"/>
            </w:rPr>
            <w:instrText xml:space="preserve"> </w:instrText>
          </w:r>
          <w:r>
            <w:instrText xml:space="preserve">PAGEREF _Toc241505634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5DB34F18">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"_Toc241505635" </w:instrText>
          </w:r>
          <w:r>
            <w:fldChar w:fldCharType="separate"/>
          </w:r>
          <w:r>
            <w:rPr>
              <w:rStyle w:val="27"/>
              <w:rFonts w:ascii="楷体_GB2312" w:hAnsi="仿宋_GB2312" w:eastAsia="楷体_GB2312" w:cs="仿宋_GB2312"/>
            </w:rPr>
            <w:t>（六）深化文商旅体展融合发展</w:t>
          </w:r>
          <w:r>
            <w:rPr>
              <w:rFonts w:hint="eastAsia"/>
            </w:rPr>
            <w:tab/>
          </w:r>
          <w:r>
            <w:rPr>
              <w:rFonts w:hint="eastAsia"/>
            </w:rPr>
            <w:fldChar w:fldCharType="begin"/>
          </w:r>
          <w:r>
            <w:rPr>
              <w:rFonts w:hint="eastAsia"/>
            </w:rPr>
            <w:instrText xml:space="preserve"> </w:instrText>
          </w:r>
          <w:r>
            <w:instrText xml:space="preserve">PAGEREF _Toc241505635 \h</w:instrText>
          </w:r>
          <w:r>
            <w:rPr>
              <w:rFonts w:hint="eastAsia"/>
            </w:rPr>
            <w:instrText xml:space="preserve"> </w:instrText>
          </w:r>
          <w:r>
            <w:rPr>
              <w:rFonts w:hint="eastAsia"/>
            </w:rPr>
            <w:fldChar w:fldCharType="separate"/>
          </w:r>
          <w:r>
            <w:rPr>
              <w:rFonts w:hint="eastAsia"/>
            </w:rPr>
            <w:t>10</w:t>
          </w:r>
          <w:r>
            <w:rPr>
              <w:rFonts w:hint="eastAsia"/>
            </w:rPr>
            <w:fldChar w:fldCharType="end"/>
          </w:r>
          <w:r>
            <w:rPr>
              <w:rFonts w:hint="eastAsia"/>
            </w:rPr>
            <w:fldChar w:fldCharType="end"/>
          </w:r>
        </w:p>
        <w:p w14:paraId="42EE2FD3">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"_Toc241505636" </w:instrText>
          </w:r>
          <w:r>
            <w:fldChar w:fldCharType="separate"/>
          </w:r>
          <w:r>
            <w:rPr>
              <w:rStyle w:val="27"/>
              <w:rFonts w:eastAsia="黑体"/>
              <w:bCs/>
              <w:kern w:val="44"/>
            </w:rPr>
            <w:t>六、培育六大特色经济，激活文旅体消费新动能</w:t>
          </w:r>
          <w:r>
            <w:rPr>
              <w:rFonts w:hint="eastAsia"/>
            </w:rPr>
            <w:tab/>
          </w:r>
          <w:r>
            <w:rPr>
              <w:rFonts w:hint="eastAsia"/>
            </w:rPr>
            <w:fldChar w:fldCharType="begin"/>
          </w:r>
          <w:r>
            <w:rPr>
              <w:rFonts w:hint="eastAsia"/>
            </w:rPr>
            <w:instrText xml:space="preserve"> </w:instrText>
          </w:r>
          <w:r>
            <w:instrText xml:space="preserve">PAGEREF _Toc241505636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46AD7EE7">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"_Toc241505637" </w:instrText>
          </w:r>
          <w:r>
            <w:fldChar w:fldCharType="separate"/>
          </w:r>
          <w:r>
            <w:rPr>
              <w:rStyle w:val="27"/>
              <w:rFonts w:ascii="楷体_GB2312" w:eastAsia="楷体_GB2312"/>
            </w:rPr>
            <w:t>（一）发展国潮经济</w:t>
          </w:r>
          <w:r>
            <w:rPr>
              <w:rFonts w:hint="eastAsia"/>
            </w:rPr>
            <w:tab/>
          </w:r>
          <w:r>
            <w:rPr>
              <w:rFonts w:hint="eastAsia"/>
            </w:rPr>
            <w:fldChar w:fldCharType="begin"/>
          </w:r>
          <w:r>
            <w:rPr>
              <w:rFonts w:hint="eastAsia"/>
            </w:rPr>
            <w:instrText xml:space="preserve"> </w:instrText>
          </w:r>
          <w:r>
            <w:instrText xml:space="preserve">PAGEREF _Toc241505637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08EA482D">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"_Toc241505638" </w:instrText>
          </w:r>
          <w:r>
            <w:fldChar w:fldCharType="separate"/>
          </w:r>
          <w:r>
            <w:rPr>
              <w:rStyle w:val="27"/>
              <w:rFonts w:ascii="楷体_GB2312" w:eastAsia="楷体_GB2312"/>
            </w:rPr>
            <w:t>（二）激活夜间经济</w:t>
          </w:r>
          <w:r>
            <w:rPr>
              <w:rFonts w:hint="eastAsia"/>
            </w:rPr>
            <w:tab/>
          </w:r>
          <w:r>
            <w:rPr>
              <w:rFonts w:hint="eastAsia"/>
            </w:rPr>
            <w:fldChar w:fldCharType="begin"/>
          </w:r>
          <w:r>
            <w:rPr>
              <w:rFonts w:hint="eastAsia"/>
            </w:rPr>
            <w:instrText xml:space="preserve"> </w:instrText>
          </w:r>
          <w:r>
            <w:instrText xml:space="preserve">PAGEREF _Toc241505638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1EDF9B2D">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"_Toc241505639" </w:instrText>
          </w:r>
          <w:r>
            <w:fldChar w:fldCharType="separate"/>
          </w:r>
          <w:r>
            <w:rPr>
              <w:rStyle w:val="27"/>
              <w:rFonts w:ascii="楷体_GB2312" w:eastAsia="楷体_GB2312"/>
            </w:rPr>
            <w:t>（三）扶持票根经济</w:t>
          </w:r>
          <w:r>
            <w:rPr>
              <w:rFonts w:hint="eastAsia"/>
            </w:rPr>
            <w:tab/>
          </w:r>
          <w:r>
            <w:rPr>
              <w:rFonts w:hint="eastAsia"/>
            </w:rPr>
            <w:fldChar w:fldCharType="begin"/>
          </w:r>
          <w:r>
            <w:rPr>
              <w:rFonts w:hint="eastAsia"/>
            </w:rPr>
            <w:instrText xml:space="preserve"> </w:instrText>
          </w:r>
          <w:r>
            <w:instrText xml:space="preserve">PAGEREF _Toc241505639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0350C300">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"_Toc241505640" </w:instrText>
          </w:r>
          <w:r>
            <w:fldChar w:fldCharType="separate"/>
          </w:r>
          <w:r>
            <w:rPr>
              <w:rStyle w:val="27"/>
              <w:rFonts w:ascii="楷体_GB2312" w:eastAsia="楷体_GB2312"/>
            </w:rPr>
            <w:t>（四）推广甜蜜经济</w:t>
          </w:r>
          <w:r>
            <w:rPr>
              <w:rFonts w:hint="eastAsia"/>
            </w:rPr>
            <w:tab/>
          </w:r>
          <w:r>
            <w:rPr>
              <w:rFonts w:hint="eastAsia"/>
            </w:rPr>
            <w:fldChar w:fldCharType="begin"/>
          </w:r>
          <w:r>
            <w:rPr>
              <w:rFonts w:hint="eastAsia"/>
            </w:rPr>
            <w:instrText xml:space="preserve"> </w:instrText>
          </w:r>
          <w:r>
            <w:instrText xml:space="preserve">PAGEREF _Toc241505640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4C558C93">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"_Toc241505641" </w:instrText>
          </w:r>
          <w:r>
            <w:fldChar w:fldCharType="separate"/>
          </w:r>
          <w:r>
            <w:rPr>
              <w:rStyle w:val="27"/>
              <w:rFonts w:ascii="楷体_GB2312" w:eastAsia="楷体_GB2312"/>
              <w:bCs/>
            </w:rPr>
            <w:t>（五）拓展户外经济</w:t>
          </w:r>
          <w:r>
            <w:rPr>
              <w:rFonts w:hint="eastAsia"/>
            </w:rPr>
            <w:tab/>
          </w:r>
          <w:r>
            <w:rPr>
              <w:rFonts w:hint="eastAsia"/>
            </w:rPr>
            <w:fldChar w:fldCharType="begin"/>
          </w:r>
          <w:r>
            <w:rPr>
              <w:rFonts w:hint="eastAsia"/>
            </w:rPr>
            <w:instrText xml:space="preserve"> </w:instrText>
          </w:r>
          <w:r>
            <w:instrText xml:space="preserve">PAGEREF _Toc241505641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14:paraId="08FEB861">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"_Toc241505642" </w:instrText>
          </w:r>
          <w:r>
            <w:fldChar w:fldCharType="separate"/>
          </w:r>
          <w:r>
            <w:rPr>
              <w:rStyle w:val="27"/>
              <w:rFonts w:ascii="楷体_GB2312" w:eastAsia="楷体_GB2312"/>
            </w:rPr>
            <w:t>（六）发展宠物经济</w:t>
          </w:r>
          <w:r>
            <w:rPr>
              <w:rFonts w:hint="eastAsia"/>
            </w:rPr>
            <w:tab/>
          </w:r>
          <w:r>
            <w:rPr>
              <w:rFonts w:hint="eastAsia"/>
            </w:rPr>
            <w:fldChar w:fldCharType="begin"/>
          </w:r>
          <w:r>
            <w:rPr>
              <w:rFonts w:hint="eastAsia"/>
            </w:rPr>
            <w:instrText xml:space="preserve"> </w:instrText>
          </w:r>
          <w:r>
            <w:instrText xml:space="preserve">PAGEREF _Toc241505642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14:paraId="2EF4049B">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"_Toc241505643" </w:instrText>
          </w:r>
          <w:r>
            <w:fldChar w:fldCharType="separate"/>
          </w:r>
          <w:r>
            <w:rPr>
              <w:rStyle w:val="27"/>
              <w:rFonts w:eastAsia="黑体"/>
              <w:bCs/>
              <w:kern w:val="44"/>
            </w:rPr>
            <w:t>七、提升治理效能，构建服务型治理体系</w:t>
          </w:r>
          <w:r>
            <w:rPr>
              <w:rFonts w:hint="eastAsia"/>
            </w:rPr>
            <w:tab/>
          </w:r>
          <w:r>
            <w:rPr>
              <w:rFonts w:hint="eastAsia"/>
            </w:rPr>
            <w:fldChar w:fldCharType="begin"/>
          </w:r>
          <w:r>
            <w:rPr>
              <w:rFonts w:hint="eastAsia"/>
            </w:rPr>
            <w:instrText xml:space="preserve"> </w:instrText>
          </w:r>
          <w:r>
            <w:instrText xml:space="preserve">PAGEREF _Toc241505643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2617DF5">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"_Toc241505644" </w:instrText>
          </w:r>
          <w:r>
            <w:fldChar w:fldCharType="separate"/>
          </w:r>
          <w:r>
            <w:rPr>
              <w:rStyle w:val="27"/>
              <w:rFonts w:ascii="楷体_GB2312" w:eastAsia="楷体_GB2312"/>
            </w:rPr>
            <w:t>（一）升级品牌传播体系</w:t>
          </w:r>
          <w:r>
            <w:rPr>
              <w:rFonts w:hint="eastAsia"/>
            </w:rPr>
            <w:tab/>
          </w:r>
          <w:r>
            <w:rPr>
              <w:rFonts w:hint="eastAsia"/>
            </w:rPr>
            <w:fldChar w:fldCharType="begin"/>
          </w:r>
          <w:r>
            <w:rPr>
              <w:rFonts w:hint="eastAsia"/>
            </w:rPr>
            <w:instrText xml:space="preserve"> </w:instrText>
          </w:r>
          <w:r>
            <w:instrText xml:space="preserve">PAGEREF _Toc241505644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14:paraId="5129FD10">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"_Toc241505645" </w:instrText>
          </w:r>
          <w:r>
            <w:fldChar w:fldCharType="separate"/>
          </w:r>
          <w:r>
            <w:rPr>
              <w:rStyle w:val="27"/>
              <w:rFonts w:ascii="楷体_GB2312" w:eastAsia="楷体_GB2312"/>
            </w:rPr>
            <w:t>（二）提高全链条服务质量</w:t>
          </w:r>
          <w:r>
            <w:rPr>
              <w:rFonts w:hint="eastAsia"/>
            </w:rPr>
            <w:tab/>
          </w:r>
          <w:r>
            <w:rPr>
              <w:rFonts w:hint="eastAsia"/>
            </w:rPr>
            <w:fldChar w:fldCharType="begin"/>
          </w:r>
          <w:r>
            <w:rPr>
              <w:rFonts w:hint="eastAsia"/>
            </w:rPr>
            <w:instrText xml:space="preserve"> </w:instrText>
          </w:r>
          <w:r>
            <w:instrText xml:space="preserve">PAGEREF _Toc241505645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52DE3F94">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"_Toc241505646" </w:instrText>
          </w:r>
          <w:r>
            <w:fldChar w:fldCharType="separate"/>
          </w:r>
          <w:r>
            <w:rPr>
              <w:rStyle w:val="27"/>
              <w:rFonts w:ascii="楷体_GB2312" w:eastAsia="楷体_GB2312"/>
            </w:rPr>
            <w:t>（三）提高行业监管水平</w:t>
          </w:r>
          <w:r>
            <w:rPr>
              <w:rFonts w:hint="eastAsia"/>
            </w:rPr>
            <w:tab/>
          </w:r>
          <w:r>
            <w:rPr>
              <w:rFonts w:hint="eastAsia"/>
            </w:rPr>
            <w:fldChar w:fldCharType="begin"/>
          </w:r>
          <w:r>
            <w:rPr>
              <w:rFonts w:hint="eastAsia"/>
            </w:rPr>
            <w:instrText xml:space="preserve"> </w:instrText>
          </w:r>
          <w:r>
            <w:instrText xml:space="preserve">PAGEREF _Toc241505646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3339F8C4">
          <w:pPr>
            <w:pStyle w:val="17"/>
            <w:tabs>
              <w:tab w:val="right" w:leader="dot" w:pos="8296"/>
            </w:tabs>
            <w:ind w:left="320"/>
            <w:rPr>
              <w:rFonts w:hint="eastAsia" w:eastAsiaTheme="minorEastAsia"/>
              <w:sz w:val="22"/>
              <w:szCs w:val="24"/>
              <w14:ligatures w14:val="standardContextual"/>
            </w:rPr>
          </w:pPr>
          <w:r>
            <w:fldChar w:fldCharType="begin"/>
          </w:r>
          <w:r>
            <w:instrText xml:space="preserve"> HYPERLINK \l "_Toc241505647" </w:instrText>
          </w:r>
          <w:r>
            <w:fldChar w:fldCharType="separate"/>
          </w:r>
          <w:r>
            <w:rPr>
              <w:rStyle w:val="27"/>
              <w:rFonts w:ascii="楷体_GB2312" w:eastAsia="楷体_GB2312"/>
            </w:rPr>
            <w:t>（四）筑牢安全发展防线</w:t>
          </w:r>
          <w:r>
            <w:rPr>
              <w:rFonts w:hint="eastAsia"/>
            </w:rPr>
            <w:tab/>
          </w:r>
          <w:r>
            <w:rPr>
              <w:rFonts w:hint="eastAsia"/>
            </w:rPr>
            <w:fldChar w:fldCharType="begin"/>
          </w:r>
          <w:r>
            <w:rPr>
              <w:rFonts w:hint="eastAsia"/>
            </w:rPr>
            <w:instrText xml:space="preserve"> </w:instrText>
          </w:r>
          <w:r>
            <w:instrText xml:space="preserve">PAGEREF _Toc241505647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52095589">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"_Toc241505648" </w:instrText>
          </w:r>
          <w:r>
            <w:fldChar w:fldCharType="separate"/>
          </w:r>
          <w:r>
            <w:rPr>
              <w:rStyle w:val="27"/>
              <w:rFonts w:eastAsia="黑体"/>
            </w:rPr>
            <w:t>八、强化支撑，健全规划实施保障体系</w:t>
          </w:r>
          <w:r>
            <w:rPr>
              <w:rFonts w:hint="eastAsia"/>
            </w:rPr>
            <w:tab/>
          </w:r>
          <w:r>
            <w:rPr>
              <w:rFonts w:hint="eastAsia"/>
            </w:rPr>
            <w:fldChar w:fldCharType="begin"/>
          </w:r>
          <w:r>
            <w:rPr>
              <w:rFonts w:hint="eastAsia"/>
            </w:rPr>
            <w:instrText xml:space="preserve"> </w:instrText>
          </w:r>
          <w:r>
            <w:instrText xml:space="preserve">PAGEREF _Toc241505648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4B235CE8">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"_Toc241505649" </w:instrText>
          </w:r>
          <w:r>
            <w:fldChar w:fldCharType="separate"/>
          </w:r>
          <w:r>
            <w:rPr>
              <w:rStyle w:val="27"/>
              <w:rFonts w:eastAsia="黑体"/>
            </w:rPr>
            <w:t>附件1 “十五五”时期丰台区文化旅游体育重点项目清单</w:t>
          </w:r>
          <w:r>
            <w:rPr>
              <w:rFonts w:hint="eastAsia"/>
            </w:rPr>
            <w:tab/>
          </w:r>
          <w:r>
            <w:rPr>
              <w:rFonts w:hint="eastAsia"/>
            </w:rPr>
            <w:fldChar w:fldCharType="begin"/>
          </w:r>
          <w:r>
            <w:rPr>
              <w:rFonts w:hint="eastAsia"/>
            </w:rPr>
            <w:instrText xml:space="preserve"> </w:instrText>
          </w:r>
          <w:r>
            <w:instrText xml:space="preserve">PAGEREF _Toc241505649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26B01EF4">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"_Toc241505650" </w:instrText>
          </w:r>
          <w:r>
            <w:fldChar w:fldCharType="separate"/>
          </w:r>
          <w:r>
            <w:rPr>
              <w:rStyle w:val="27"/>
              <w:rFonts w:eastAsia="黑体"/>
            </w:rPr>
            <w:t>附件2 “十五五”时期丰台区文化旅游体育重点任务清单表</w:t>
          </w:r>
          <w:r>
            <w:rPr>
              <w:rFonts w:hint="eastAsia"/>
            </w:rPr>
            <w:tab/>
          </w:r>
          <w:r>
            <w:rPr>
              <w:rFonts w:hint="eastAsia"/>
            </w:rPr>
            <w:fldChar w:fldCharType="begin"/>
          </w:r>
          <w:r>
            <w:rPr>
              <w:rFonts w:hint="eastAsia"/>
            </w:rPr>
            <w:instrText xml:space="preserve"> </w:instrText>
          </w:r>
          <w:r>
            <w:instrText xml:space="preserve">PAGEREF _Toc241505650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4DA034FB">
          <w:pPr>
            <w:pStyle w:val="15"/>
            <w:rPr>
              <w:rFonts w:hint="eastAsia" w:asciiTheme="minorHAnsi" w:hAnsiTheme="minorHAnsi" w:eastAsiaTheme="minorEastAsia" w:cstheme="minorBidi"/>
              <w:sz w:val="22"/>
              <w:szCs w:val="24"/>
              <w14:ligatures w14:val="standardContextual"/>
            </w:rPr>
          </w:pPr>
          <w:r>
            <w:fldChar w:fldCharType="begin"/>
          </w:r>
          <w:r>
            <w:instrText xml:space="preserve"> HYPERLINK \l "_Toc241505651" </w:instrText>
          </w:r>
          <w:r>
            <w:fldChar w:fldCharType="separate"/>
          </w:r>
          <w:r>
            <w:rPr>
              <w:rStyle w:val="27"/>
              <w:rFonts w:eastAsia="黑体"/>
            </w:rPr>
            <w:t>附件3 “十五五”时期丰台区文化旅游体育重大政策举措清单表</w:t>
          </w:r>
          <w:r>
            <w:rPr>
              <w:rFonts w:hint="eastAsia"/>
            </w:rPr>
            <w:tab/>
          </w:r>
          <w:r>
            <w:rPr>
              <w:rFonts w:hint="eastAsia"/>
            </w:rPr>
            <w:fldChar w:fldCharType="begin"/>
          </w:r>
          <w:r>
            <w:rPr>
              <w:rFonts w:hint="eastAsia"/>
            </w:rPr>
            <w:instrText xml:space="preserve"> </w:instrText>
          </w:r>
          <w:r>
            <w:instrText xml:space="preserve">PAGEREF _Toc241505651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bookmarkEnd w:id="7"/>
        <w:p w14:paraId="112B2062">
          <w:pPr>
            <w:ind w:firstLine="643"/>
            <w:rPr>
              <w:rFonts w:hint="eastAsia"/>
            </w:rPr>
          </w:pPr>
          <w:r>
            <w:rPr>
              <w:b/>
              <w:bCs/>
              <w:lang w:val="zh-CN"/>
            </w:rPr>
            <w:fldChar w:fldCharType="end"/>
          </w:r>
        </w:p>
      </w:sdtContent>
    </w:sdt>
    <w:p w14:paraId="3E8606E6">
      <w:pPr>
        <w:widowControl/>
        <w:spacing w:after="0"/>
        <w:ind w:firstLine="640"/>
        <w:jc w:val="left"/>
        <w:rPr>
          <w:rFonts w:ascii="Times New Roman" w:hAnsi="Times New Roman" w:cs="Times New Roman"/>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upperRoman"/>
          <w:cols w:space="425" w:num="1"/>
          <w:docGrid w:type="lines" w:linePitch="312" w:charSpace="0"/>
        </w:sectPr>
      </w:pPr>
    </w:p>
    <w:p w14:paraId="36C38158">
      <w:pPr>
        <w:spacing w:after="0"/>
        <w:ind w:firstLine="640"/>
        <w:rPr>
          <w:rFonts w:hint="eastAsia"/>
        </w:rPr>
      </w:pPr>
      <w:bookmarkStart w:id="8" w:name="_Toc217058501"/>
      <w:bookmarkStart w:id="9" w:name="_Toc231464583"/>
      <w:r>
        <w:rPr>
          <w:rFonts w:hint="eastAsia"/>
        </w:rPr>
        <w:t>“十四五”时期，</w:t>
      </w:r>
      <w:r>
        <w:t>丰台区文化和旅游局</w:t>
      </w:r>
      <w:r>
        <w:rPr>
          <w:rFonts w:hint="eastAsia"/>
        </w:rPr>
        <w:t>、</w:t>
      </w:r>
      <w:r>
        <w:rPr>
          <w:rFonts w:ascii="Times New Roman" w:hAnsi="Times New Roman" w:cs="Times New Roman"/>
          <w:szCs w:val="32"/>
        </w:rPr>
        <w:t>体育局</w:t>
      </w:r>
      <w:r>
        <w:t>锚定</w:t>
      </w:r>
      <w:r>
        <w:rPr>
          <w:rFonts w:hint="eastAsia"/>
        </w:rPr>
        <w:t>“倍增追赶”</w:t>
      </w:r>
      <w:r>
        <w:t>目标，聚</w:t>
      </w:r>
      <w:r>
        <w:rPr>
          <w:rFonts w:hint="eastAsia"/>
        </w:rPr>
        <w:t>力</w:t>
      </w:r>
      <w:r>
        <w:t>高标准建设</w:t>
      </w:r>
      <w:r>
        <w:rPr>
          <w:rFonts w:hint="eastAsia"/>
        </w:rPr>
        <w:t>与</w:t>
      </w:r>
      <w:r>
        <w:t>高质量发展，各项工作取得显著成效</w:t>
      </w:r>
      <w:r>
        <w:rPr>
          <w:rFonts w:hint="eastAsia"/>
        </w:rPr>
        <w:t>：圆满完成建党100周年、冬奥冬残奥会、抗战胜利80周年纪念活动等重大活动服务保障</w:t>
      </w:r>
      <w:r>
        <w:t>；国家自然博物馆新馆</w:t>
      </w:r>
      <w:r>
        <w:rPr>
          <w:rFonts w:hint="eastAsia"/>
        </w:rPr>
        <w:t>等</w:t>
      </w:r>
      <w:r>
        <w:t>开工建设，中央芭蕾舞团</w:t>
      </w:r>
      <w:r>
        <w:rPr>
          <w:rFonts w:hint="eastAsia"/>
        </w:rPr>
        <w:t>“</w:t>
      </w:r>
      <w:r>
        <w:t>芭蕾之翼</w:t>
      </w:r>
      <w:r>
        <w:rPr>
          <w:rFonts w:hint="eastAsia"/>
        </w:rPr>
        <w:t>”</w:t>
      </w:r>
      <w:r>
        <w:t>工程进入收尾</w:t>
      </w:r>
      <w:r>
        <w:rPr>
          <w:rFonts w:hint="eastAsia"/>
        </w:rPr>
        <w:t>；大葆台</w:t>
      </w:r>
      <w:r>
        <w:rPr>
          <w:rFonts w:hint="eastAsia" w:ascii="仿宋_GB2312" w:hAnsi="Times New Roman" w:cs="Times New Roman"/>
          <w:szCs w:val="32"/>
        </w:rPr>
        <w:t>遗址博物馆新馆</w:t>
      </w:r>
      <w:r>
        <w:t>对外开放；新宫遗址考古入选国家</w:t>
      </w:r>
      <w:r>
        <w:rPr>
          <w:rFonts w:hint="eastAsia"/>
        </w:rPr>
        <w:t>“</w:t>
      </w:r>
      <w:r>
        <w:t>考古中国</w:t>
      </w:r>
      <w:r>
        <w:rPr>
          <w:rFonts w:hint="eastAsia"/>
        </w:rPr>
        <w:t>”</w:t>
      </w:r>
      <w:r>
        <w:t>重大项目，火箭总装厂、二七机车总组装厂房获评国家工业遗产</w:t>
      </w:r>
      <w:r>
        <w:rPr>
          <w:rFonts w:hint="eastAsia"/>
        </w:rPr>
        <w:t>称号，北京国际风筝节获评中国体育旅游精品赛事称号；第十四届全国冬运会取得4金1银1铜优异成绩，</w:t>
      </w:r>
      <w:r>
        <w:t>文旅体发展迈上新台阶。</w:t>
      </w:r>
      <w:r>
        <w:rPr>
          <w:rFonts w:hint="eastAsia"/>
        </w:rPr>
        <w:t>为贯彻落实《文化和旅游发展“十五五”规划》《北京市国民经济和社会发展第十五个五年规划纲要》《</w:t>
      </w:r>
      <w:r>
        <w:t>北京市丰台区国民经济和社会发展第十五个五年规划纲要</w:t>
      </w:r>
      <w:r>
        <w:rPr>
          <w:rFonts w:hint="eastAsia"/>
        </w:rPr>
        <w:t>》，推动文化、旅游、体育协同高质量发展，编制本规划。</w:t>
      </w:r>
    </w:p>
    <w:p w14:paraId="0545D401">
      <w:pPr>
        <w:pStyle w:val="2"/>
        <w:keepNext w:val="0"/>
        <w:keepLines w:val="0"/>
        <w:adjustRightInd w:val="0"/>
        <w:spacing w:before="0" w:after="0" w:line="560" w:lineRule="exact"/>
        <w:ind w:firstLine="640"/>
        <w:jc w:val="left"/>
        <w:rPr>
          <w:rFonts w:ascii="Times New Roman" w:hAnsi="Times New Roman" w:eastAsia="黑体" w:cs="Times New Roman"/>
          <w:b w:val="0"/>
          <w:sz w:val="32"/>
          <w:szCs w:val="32"/>
        </w:rPr>
      </w:pPr>
      <w:bookmarkStart w:id="10" w:name="_Toc241505615"/>
      <w:bookmarkStart w:id="11" w:name="_Toc232610166"/>
      <w:r>
        <w:rPr>
          <w:rFonts w:hint="eastAsia" w:ascii="Times New Roman" w:hAnsi="Times New Roman" w:eastAsia="黑体" w:cs="Times New Roman"/>
          <w:b w:val="0"/>
          <w:sz w:val="32"/>
          <w:szCs w:val="32"/>
        </w:rPr>
        <w:t>一、总体要求</w:t>
      </w:r>
      <w:bookmarkEnd w:id="10"/>
      <w:bookmarkEnd w:id="11"/>
    </w:p>
    <w:p w14:paraId="62E2E554">
      <w:pPr>
        <w:spacing w:after="0"/>
        <w:ind w:firstLine="640"/>
        <w:rPr>
          <w:rFonts w:hint="eastAsia" w:ascii="仿宋_GB2312" w:hAnsi="仿宋_GB2312" w:cs="仿宋_GB2312"/>
          <w:szCs w:val="32"/>
        </w:rPr>
      </w:pPr>
      <w:bookmarkStart w:id="12" w:name="OLE_LINK48"/>
      <w:bookmarkStart w:id="13" w:name="OLE_LINK16"/>
      <w:bookmarkStart w:id="14" w:name="OLE_LINK13"/>
      <w:bookmarkStart w:id="15" w:name="OLE_LINK121"/>
      <w:r>
        <w:rPr>
          <w:rFonts w:hint="eastAsia"/>
        </w:rPr>
        <w:t>坚持以习近平新时代中国特色社会主义思想为指导，全面贯彻党的</w:t>
      </w:r>
      <w:r>
        <w:rPr>
          <w:rFonts w:hint="eastAsia" w:ascii="仿宋_GB2312" w:hAnsi="仿宋_GB2312" w:cs="仿宋_GB2312"/>
          <w:bCs/>
          <w:szCs w:val="32"/>
        </w:rPr>
        <w:t>二十大和二十届历次</w:t>
      </w:r>
      <w:r>
        <w:rPr>
          <w:rFonts w:hint="eastAsia"/>
        </w:rPr>
        <w:t>全会精神</w:t>
      </w:r>
      <w:r>
        <w:rPr>
          <w:rFonts w:hint="eastAsia" w:ascii="仿宋_GB2312" w:hAnsi="仿宋_GB2312" w:cs="仿宋_GB2312"/>
          <w:szCs w:val="32"/>
        </w:rPr>
        <w:t>，</w:t>
      </w:r>
      <w:r>
        <w:rPr>
          <w:rFonts w:hint="eastAsia"/>
        </w:rPr>
        <w:t>深刻领悟习近平总书记对文化强国、旅游强国、体育强国等领域重要讲话精神。</w:t>
      </w:r>
      <w:r>
        <w:rPr>
          <w:rFonts w:hint="eastAsia" w:ascii="仿宋_GB2312" w:hAnsi="仿宋_GB2312" w:cs="仿宋_GB2312"/>
          <w:szCs w:val="32"/>
        </w:rPr>
        <w:t>坚持以人民为中心，坚持稳中求进工作总基调，完整准确全面贯彻新发展理念，主动服务和融入新发展格局。</w:t>
      </w:r>
      <w:bookmarkStart w:id="16" w:name="OLE_LINK106"/>
      <w:r>
        <w:rPr>
          <w:rFonts w:hint="eastAsia"/>
        </w:rPr>
        <w:t>全面落实市级文旅、文物、广电视听、体育等专项规划工作部署，</w:t>
      </w:r>
      <w:r>
        <w:rPr>
          <w:rFonts w:hint="eastAsia" w:ascii="仿宋_GB2312" w:hAnsi="仿宋_GB2312" w:cs="仿宋_GB2312"/>
          <w:szCs w:val="32"/>
        </w:rPr>
        <w:t>立足丰台区“四区一枢纽”功能定位，抢抓南中轴“未来轴线”、“两园一河”水岸客厅城市活力新片区建设机遇，以“五气连枝”为城市精神内核，以</w:t>
      </w:r>
      <w:r>
        <w:rPr>
          <w:rFonts w:ascii="仿宋_GB2312" w:hAnsi="仿宋_GB2312" w:cs="仿宋_GB2312"/>
          <w:szCs w:val="32"/>
        </w:rPr>
        <w:t>统筹推进</w:t>
      </w:r>
      <w:r>
        <w:rPr>
          <w:rFonts w:hint="eastAsia" w:ascii="仿宋_GB2312" w:hAnsi="仿宋_GB2312" w:cs="仿宋_GB2312"/>
          <w:szCs w:val="32"/>
        </w:rPr>
        <w:t>“三化五区”</w:t>
      </w:r>
      <w:r>
        <w:rPr>
          <w:rStyle w:val="29"/>
          <w:rFonts w:hint="eastAsia" w:ascii="仿宋_GB2312" w:hAnsi="仿宋_GB2312" w:cs="仿宋_GB2312"/>
          <w:szCs w:val="32"/>
        </w:rPr>
        <w:footnoteReference w:id="0"/>
      </w:r>
      <w:r>
        <w:rPr>
          <w:rFonts w:hint="eastAsia" w:ascii="仿宋_GB2312" w:hAnsi="仿宋_GB2312" w:cs="仿宋_GB2312"/>
          <w:szCs w:val="32"/>
        </w:rPr>
        <w:t>为引领，</w:t>
      </w:r>
      <w:r>
        <w:rPr>
          <w:rFonts w:hint="eastAsia"/>
        </w:rPr>
        <w:t>推动数字赋能文商旅体展深度融合与产业协同发展，</w:t>
      </w:r>
      <w:r>
        <w:rPr>
          <w:rFonts w:hint="eastAsia" w:ascii="仿宋_GB2312" w:hAnsi="仿宋_GB2312" w:cs="仿宋_GB2312"/>
          <w:szCs w:val="32"/>
        </w:rPr>
        <w:t>全力绘就丰台繁荣发展新图景。</w:t>
      </w:r>
      <w:bookmarkEnd w:id="12"/>
      <w:bookmarkEnd w:id="16"/>
    </w:p>
    <w:bookmarkEnd w:id="8"/>
    <w:bookmarkEnd w:id="9"/>
    <w:bookmarkEnd w:id="13"/>
    <w:bookmarkEnd w:id="14"/>
    <w:p w14:paraId="3584C5D8">
      <w:pPr>
        <w:spacing w:after="0"/>
        <w:ind w:firstLine="640"/>
        <w:rPr>
          <w:rFonts w:hint="eastAsia" w:ascii="仿宋_GB2312" w:hAnsi="仿宋_GB2312" w:cs="仿宋_GB2312"/>
          <w:szCs w:val="32"/>
        </w:rPr>
      </w:pPr>
      <w:bookmarkStart w:id="17" w:name="_Toc217058505"/>
      <w:bookmarkStart w:id="18" w:name="_Toc231464587"/>
      <w:bookmarkStart w:id="19" w:name="OLE_LINK53"/>
      <w:r>
        <w:rPr>
          <w:rFonts w:hint="eastAsia" w:ascii="仿宋_GB2312" w:hAnsi="仿宋_GB2312" w:cs="仿宋_GB2312"/>
          <w:szCs w:val="32"/>
        </w:rPr>
        <w:t>发展目标</w:t>
      </w:r>
      <w:bookmarkEnd w:id="17"/>
      <w:bookmarkEnd w:id="18"/>
      <w:r>
        <w:rPr>
          <w:rFonts w:hint="eastAsia" w:ascii="仿宋_GB2312" w:hAnsi="仿宋_GB2312" w:cs="仿宋_GB2312"/>
          <w:szCs w:val="32"/>
        </w:rPr>
        <w:t>：</w:t>
      </w:r>
      <w:bookmarkStart w:id="20" w:name="OLE_LINK51"/>
      <w:r>
        <w:rPr>
          <w:rFonts w:hint="eastAsia" w:ascii="仿宋_GB2312" w:hAnsi="仿宋_GB2312" w:cs="仿宋_GB2312"/>
          <w:kern w:val="0"/>
          <w:szCs w:val="32"/>
        </w:rPr>
        <w:t>到2030年，文旅体</w:t>
      </w:r>
      <w:r>
        <w:rPr>
          <w:rFonts w:hint="eastAsia" w:ascii="仿宋_GB2312" w:hAnsi="仿宋_GB2312" w:cs="仿宋_GB2312"/>
          <w:bCs/>
          <w:kern w:val="0"/>
          <w:szCs w:val="32"/>
        </w:rPr>
        <w:t>公共服务体系持续优化升级，特色品牌塑造更加鲜明，产业高质量发展能级显著提升，</w:t>
      </w:r>
      <w:r>
        <w:rPr>
          <w:rFonts w:hint="eastAsia" w:ascii="仿宋_GB2312" w:hAnsi="仿宋_GB2312" w:cs="仿宋_GB2312"/>
          <w:kern w:val="0"/>
          <w:szCs w:val="32"/>
        </w:rPr>
        <w:t>行业治理体系和治理能力现代化水平全面提质</w:t>
      </w:r>
      <w:r>
        <w:rPr>
          <w:rFonts w:hint="eastAsia" w:ascii="仿宋_GB2312" w:hAnsi="仿宋_GB2312" w:cs="仿宋_GB2312"/>
          <w:bCs/>
          <w:kern w:val="0"/>
          <w:szCs w:val="32"/>
        </w:rPr>
        <w:t>，基本</w:t>
      </w:r>
      <w:r>
        <w:rPr>
          <w:rFonts w:hint="eastAsia"/>
          <w:bCs/>
        </w:rPr>
        <w:t>建成北京全国文化中心建设重要承载区、首都西南部文商旅体展融合样板区和具有国内影响力的优秀旅游目的地</w:t>
      </w:r>
      <w:bookmarkEnd w:id="20"/>
      <w:r>
        <w:rPr>
          <w:rFonts w:hint="eastAsia" w:ascii="仿宋_GB2312" w:hAnsi="仿宋_GB2312" w:cs="仿宋_GB2312"/>
          <w:bCs/>
          <w:kern w:val="0"/>
          <w:szCs w:val="32"/>
        </w:rPr>
        <w:t>。</w:t>
      </w:r>
      <w:bookmarkEnd w:id="19"/>
      <w:r>
        <w:rPr>
          <w:rFonts w:hint="eastAsia" w:ascii="仿宋_GB2312" w:hAnsi="仿宋_GB2312" w:cs="仿宋_GB2312"/>
          <w:bCs/>
          <w:kern w:val="0"/>
          <w:szCs w:val="32"/>
        </w:rPr>
        <w:t>到2035年，文旅体创新活力迸发，成功培育具有广泛影响力的区域特色品牌，全面建成</w:t>
      </w:r>
      <w:r>
        <w:rPr>
          <w:rFonts w:hint="eastAsia"/>
          <w:bCs/>
        </w:rPr>
        <w:t>具有国内影响力的优秀旅游目的地。</w:t>
      </w:r>
    </w:p>
    <w:bookmarkEnd w:id="15"/>
    <w:p w14:paraId="41A6D2C0">
      <w:pPr>
        <w:widowControl/>
        <w:spacing w:after="0" w:line="240" w:lineRule="auto"/>
        <w:ind w:firstLine="0" w:firstLineChars="0"/>
        <w:jc w:val="left"/>
        <w:rPr>
          <w:rFonts w:hint="eastAsia"/>
          <w:b/>
          <w:bCs/>
          <w:sz w:val="28"/>
          <w:szCs w:val="21"/>
        </w:rPr>
      </w:pPr>
      <w:r>
        <w:rPr>
          <w:rFonts w:hint="eastAsia"/>
          <w:b/>
          <w:bCs/>
          <w:sz w:val="28"/>
          <w:szCs w:val="21"/>
        </w:rPr>
        <w:br w:type="page"/>
      </w:r>
    </w:p>
    <w:p w14:paraId="37EFDD14">
      <w:pPr>
        <w:spacing w:after="0"/>
        <w:ind w:firstLine="0" w:firstLineChars="0"/>
        <w:jc w:val="center"/>
        <w:rPr>
          <w:rFonts w:hint="eastAsia" w:ascii="黑体" w:hAnsi="黑体" w:eastAsia="黑体"/>
          <w:sz w:val="28"/>
          <w:szCs w:val="21"/>
        </w:rPr>
      </w:pPr>
      <w:r>
        <w:rPr>
          <w:rFonts w:hint="eastAsia" w:ascii="黑体" w:hAnsi="黑体" w:eastAsia="黑体"/>
          <w:sz w:val="28"/>
          <w:szCs w:val="21"/>
        </w:rPr>
        <w:t>表1</w:t>
      </w:r>
      <w:bookmarkStart w:id="21" w:name="_Hlk212810280"/>
      <w:r>
        <w:rPr>
          <w:rFonts w:hint="eastAsia" w:ascii="黑体" w:hAnsi="黑体" w:eastAsia="黑体"/>
          <w:sz w:val="28"/>
          <w:szCs w:val="21"/>
        </w:rPr>
        <w:t>丰台区“十五五”时期文化旅游体育发展主要指标</w:t>
      </w:r>
      <w:bookmarkEnd w:id="21"/>
      <w:r>
        <w:rPr>
          <w:rStyle w:val="29"/>
          <w:rFonts w:hint="eastAsia" w:ascii="黑体" w:hAnsi="黑体" w:eastAsia="黑体"/>
          <w:sz w:val="28"/>
          <w:szCs w:val="21"/>
        </w:rPr>
        <w:footnoteReference w:id="1"/>
      </w:r>
      <w:bookmarkStart w:id="22" w:name="_Toc217058507"/>
      <w:bookmarkStart w:id="23" w:name="_Toc231464588"/>
      <w:bookmarkStart w:id="24" w:name="_Toc232610167"/>
    </w:p>
    <w:tbl>
      <w:tblPr>
        <w:tblStyle w:val="23"/>
        <w:tblW w:w="9634" w:type="dxa"/>
        <w:tblInd w:w="0" w:type="dxa"/>
        <w:tblLayout w:type="autofit"/>
        <w:tblCellMar>
          <w:top w:w="0" w:type="dxa"/>
          <w:left w:w="108" w:type="dxa"/>
          <w:bottom w:w="0" w:type="dxa"/>
          <w:right w:w="108" w:type="dxa"/>
        </w:tblCellMar>
      </w:tblPr>
      <w:tblGrid>
        <w:gridCol w:w="623"/>
        <w:gridCol w:w="624"/>
        <w:gridCol w:w="2292"/>
        <w:gridCol w:w="1134"/>
        <w:gridCol w:w="1134"/>
        <w:gridCol w:w="1418"/>
        <w:gridCol w:w="1134"/>
        <w:gridCol w:w="1275"/>
      </w:tblGrid>
      <w:tr w14:paraId="1F9E9463">
        <w:trPr>
          <w:trHeight w:val="630" w:hRule="atLeast"/>
        </w:trPr>
        <w:tc>
          <w:tcPr>
            <w:tcW w:w="623" w:type="dxa"/>
            <w:tcBorders>
              <w:top w:val="single" w:color="auto" w:sz="4" w:space="0"/>
              <w:left w:val="single" w:color="auto" w:sz="4" w:space="0"/>
              <w:bottom w:val="single" w:color="auto" w:sz="4" w:space="0"/>
              <w:right w:val="single" w:color="auto" w:sz="4" w:space="0"/>
            </w:tcBorders>
            <w:vAlign w:val="center"/>
          </w:tcPr>
          <w:p w14:paraId="662FEF75">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类别</w:t>
            </w:r>
          </w:p>
        </w:tc>
        <w:tc>
          <w:tcPr>
            <w:tcW w:w="624" w:type="dxa"/>
            <w:tcBorders>
              <w:top w:val="single" w:color="auto" w:sz="4" w:space="0"/>
              <w:left w:val="nil"/>
              <w:bottom w:val="single" w:color="auto" w:sz="4" w:space="0"/>
              <w:right w:val="single" w:color="auto" w:sz="4" w:space="0"/>
            </w:tcBorders>
            <w:vAlign w:val="center"/>
          </w:tcPr>
          <w:p w14:paraId="5802496C">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序号</w:t>
            </w:r>
          </w:p>
        </w:tc>
        <w:tc>
          <w:tcPr>
            <w:tcW w:w="2292" w:type="dxa"/>
            <w:tcBorders>
              <w:top w:val="single" w:color="auto" w:sz="4" w:space="0"/>
              <w:left w:val="nil"/>
              <w:bottom w:val="single" w:color="auto" w:sz="4" w:space="0"/>
              <w:right w:val="single" w:color="auto" w:sz="4" w:space="0"/>
            </w:tcBorders>
            <w:vAlign w:val="center"/>
          </w:tcPr>
          <w:p w14:paraId="6AC79FFB">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指标</w:t>
            </w:r>
          </w:p>
        </w:tc>
        <w:tc>
          <w:tcPr>
            <w:tcW w:w="1134" w:type="dxa"/>
            <w:tcBorders>
              <w:top w:val="single" w:color="auto" w:sz="4" w:space="0"/>
              <w:left w:val="nil"/>
              <w:bottom w:val="single" w:color="auto" w:sz="4" w:space="0"/>
              <w:right w:val="single" w:color="auto" w:sz="4" w:space="0"/>
            </w:tcBorders>
            <w:vAlign w:val="center"/>
          </w:tcPr>
          <w:p w14:paraId="075141AB">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2025年</w:t>
            </w:r>
          </w:p>
        </w:tc>
        <w:tc>
          <w:tcPr>
            <w:tcW w:w="1134" w:type="dxa"/>
            <w:tcBorders>
              <w:top w:val="single" w:color="auto" w:sz="4" w:space="0"/>
              <w:left w:val="nil"/>
              <w:bottom w:val="single" w:color="auto" w:sz="4" w:space="0"/>
              <w:right w:val="single" w:color="auto" w:sz="4" w:space="0"/>
            </w:tcBorders>
            <w:vAlign w:val="center"/>
          </w:tcPr>
          <w:p w14:paraId="5350FCBC">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2030年目标</w:t>
            </w:r>
          </w:p>
        </w:tc>
        <w:tc>
          <w:tcPr>
            <w:tcW w:w="1418" w:type="dxa"/>
            <w:tcBorders>
              <w:top w:val="single" w:color="auto" w:sz="4" w:space="0"/>
              <w:left w:val="nil"/>
              <w:bottom w:val="single" w:color="auto" w:sz="4" w:space="0"/>
              <w:right w:val="single" w:color="auto" w:sz="4" w:space="0"/>
            </w:tcBorders>
            <w:vAlign w:val="center"/>
          </w:tcPr>
          <w:p w14:paraId="64FC9A4D">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年均增减【累计】</w:t>
            </w:r>
          </w:p>
        </w:tc>
        <w:tc>
          <w:tcPr>
            <w:tcW w:w="1134" w:type="dxa"/>
            <w:tcBorders>
              <w:top w:val="single" w:color="auto" w:sz="4" w:space="0"/>
              <w:left w:val="nil"/>
              <w:bottom w:val="single" w:color="auto" w:sz="4" w:space="0"/>
              <w:right w:val="single" w:color="auto" w:sz="4" w:space="0"/>
            </w:tcBorders>
            <w:vAlign w:val="center"/>
          </w:tcPr>
          <w:p w14:paraId="49B86C4A">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属性</w:t>
            </w:r>
          </w:p>
        </w:tc>
        <w:tc>
          <w:tcPr>
            <w:tcW w:w="1275" w:type="dxa"/>
            <w:tcBorders>
              <w:top w:val="single" w:color="auto" w:sz="4" w:space="0"/>
              <w:left w:val="nil"/>
              <w:bottom w:val="single" w:color="auto" w:sz="4" w:space="0"/>
              <w:right w:val="single" w:color="auto" w:sz="4" w:space="0"/>
            </w:tcBorders>
            <w:vAlign w:val="center"/>
          </w:tcPr>
          <w:p w14:paraId="431F3770">
            <w:pPr>
              <w:widowControl/>
              <w:spacing w:after="0" w:line="320" w:lineRule="exact"/>
              <w:ind w:firstLine="0" w:firstLineChars="0"/>
              <w:jc w:val="center"/>
              <w:rPr>
                <w:rFonts w:hint="eastAsia" w:ascii="黑体" w:hAnsi="黑体" w:eastAsia="黑体" w:cs="宋体"/>
                <w:kern w:val="0"/>
                <w:sz w:val="24"/>
                <w:szCs w:val="24"/>
              </w:rPr>
            </w:pPr>
            <w:r>
              <w:rPr>
                <w:rFonts w:ascii="黑体" w:hAnsi="黑体" w:eastAsia="黑体" w:cs="宋体"/>
                <w:kern w:val="0"/>
                <w:sz w:val="24"/>
                <w:szCs w:val="24"/>
              </w:rPr>
              <w:t>衔接情况</w:t>
            </w:r>
          </w:p>
        </w:tc>
      </w:tr>
      <w:tr w14:paraId="3507CD1D">
        <w:trPr>
          <w:trHeight w:val="912" w:hRule="atLeast"/>
        </w:trPr>
        <w:tc>
          <w:tcPr>
            <w:tcW w:w="623" w:type="dxa"/>
            <w:vMerge w:val="restart"/>
            <w:tcBorders>
              <w:top w:val="nil"/>
              <w:left w:val="single" w:color="auto" w:sz="4" w:space="0"/>
              <w:bottom w:val="single" w:color="000000" w:sz="4" w:space="0"/>
              <w:right w:val="single" w:color="auto" w:sz="4" w:space="0"/>
            </w:tcBorders>
            <w:vAlign w:val="center"/>
          </w:tcPr>
          <w:p w14:paraId="21AF657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公共服务</w:t>
            </w:r>
          </w:p>
        </w:tc>
        <w:tc>
          <w:tcPr>
            <w:tcW w:w="624" w:type="dxa"/>
            <w:tcBorders>
              <w:top w:val="nil"/>
              <w:left w:val="nil"/>
              <w:bottom w:val="single" w:color="auto" w:sz="4" w:space="0"/>
              <w:right w:val="single" w:color="auto" w:sz="4" w:space="0"/>
            </w:tcBorders>
            <w:vAlign w:val="center"/>
          </w:tcPr>
          <w:p w14:paraId="60D5703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w:t>
            </w:r>
          </w:p>
        </w:tc>
        <w:tc>
          <w:tcPr>
            <w:tcW w:w="2292" w:type="dxa"/>
            <w:tcBorders>
              <w:top w:val="nil"/>
              <w:left w:val="nil"/>
              <w:bottom w:val="single" w:color="auto" w:sz="4" w:space="0"/>
              <w:right w:val="single" w:color="auto" w:sz="4" w:space="0"/>
            </w:tcBorders>
            <w:vAlign w:val="center"/>
          </w:tcPr>
          <w:p w14:paraId="773E8E7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每10万人拥有博物馆数量（含类博物馆）（处）</w:t>
            </w:r>
          </w:p>
        </w:tc>
        <w:tc>
          <w:tcPr>
            <w:tcW w:w="1134" w:type="dxa"/>
            <w:tcBorders>
              <w:top w:val="nil"/>
              <w:left w:val="nil"/>
              <w:bottom w:val="single" w:color="auto" w:sz="4" w:space="0"/>
              <w:right w:val="single" w:color="auto" w:sz="4" w:space="0"/>
            </w:tcBorders>
            <w:vAlign w:val="center"/>
          </w:tcPr>
          <w:p w14:paraId="35ED97E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0.7</w:t>
            </w:r>
          </w:p>
        </w:tc>
        <w:tc>
          <w:tcPr>
            <w:tcW w:w="1134" w:type="dxa"/>
            <w:tcBorders>
              <w:top w:val="nil"/>
              <w:left w:val="nil"/>
              <w:bottom w:val="single" w:color="auto" w:sz="4" w:space="0"/>
              <w:right w:val="single" w:color="auto" w:sz="4" w:space="0"/>
            </w:tcBorders>
            <w:vAlign w:val="center"/>
          </w:tcPr>
          <w:p w14:paraId="76E90C7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1.2</w:t>
            </w:r>
          </w:p>
        </w:tc>
        <w:tc>
          <w:tcPr>
            <w:tcW w:w="1418" w:type="dxa"/>
            <w:tcBorders>
              <w:top w:val="nil"/>
              <w:left w:val="nil"/>
              <w:bottom w:val="single" w:color="auto" w:sz="4" w:space="0"/>
              <w:right w:val="single" w:color="auto" w:sz="4" w:space="0"/>
            </w:tcBorders>
            <w:vAlign w:val="center"/>
          </w:tcPr>
          <w:p w14:paraId="6590677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【0.5】</w:t>
            </w:r>
          </w:p>
        </w:tc>
        <w:tc>
          <w:tcPr>
            <w:tcW w:w="1134" w:type="dxa"/>
            <w:tcBorders>
              <w:top w:val="nil"/>
              <w:left w:val="nil"/>
              <w:bottom w:val="single" w:color="auto" w:sz="4" w:space="0"/>
              <w:right w:val="single" w:color="auto" w:sz="4" w:space="0"/>
            </w:tcBorders>
            <w:vAlign w:val="center"/>
          </w:tcPr>
          <w:p w14:paraId="6FDDC3C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29AB8B32">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对标丰台分区规划</w:t>
            </w:r>
          </w:p>
        </w:tc>
      </w:tr>
      <w:tr w14:paraId="74107968">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0754A41C">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5528801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w:t>
            </w:r>
          </w:p>
        </w:tc>
        <w:tc>
          <w:tcPr>
            <w:tcW w:w="2292" w:type="dxa"/>
            <w:tcBorders>
              <w:top w:val="nil"/>
              <w:left w:val="nil"/>
              <w:bottom w:val="single" w:color="auto" w:sz="4" w:space="0"/>
              <w:right w:val="single" w:color="auto" w:sz="4" w:space="0"/>
            </w:tcBorders>
            <w:vAlign w:val="center"/>
          </w:tcPr>
          <w:p w14:paraId="0DC6DBDC">
            <w:pPr>
              <w:widowControl/>
              <w:spacing w:after="0" w:line="320" w:lineRule="exact"/>
              <w:ind w:firstLine="0" w:firstLineChars="0"/>
              <w:jc w:val="center"/>
              <w:rPr>
                <w:rFonts w:hint="eastAsia" w:ascii="仿宋_GB2312" w:hAnsi="等线" w:cs="宋体"/>
                <w:kern w:val="0"/>
                <w:sz w:val="24"/>
                <w:szCs w:val="24"/>
              </w:rPr>
            </w:pPr>
            <w:bookmarkStart w:id="25" w:name="RANGE!C4"/>
            <w:r>
              <w:rPr>
                <w:rFonts w:ascii="仿宋_GB2312" w:hAnsi="等线" w:cs="宋体"/>
                <w:kern w:val="0"/>
                <w:sz w:val="24"/>
                <w:szCs w:val="24"/>
              </w:rPr>
              <w:t>国家级文化设施落位数（个）</w:t>
            </w:r>
            <w:bookmarkEnd w:id="25"/>
          </w:p>
        </w:tc>
        <w:tc>
          <w:tcPr>
            <w:tcW w:w="1134" w:type="dxa"/>
            <w:tcBorders>
              <w:top w:val="nil"/>
              <w:left w:val="nil"/>
              <w:bottom w:val="single" w:color="auto" w:sz="4" w:space="0"/>
              <w:right w:val="single" w:color="auto" w:sz="4" w:space="0"/>
            </w:tcBorders>
            <w:vAlign w:val="center"/>
          </w:tcPr>
          <w:p w14:paraId="20ED30C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w:t>
            </w:r>
          </w:p>
        </w:tc>
        <w:tc>
          <w:tcPr>
            <w:tcW w:w="1134" w:type="dxa"/>
            <w:tcBorders>
              <w:top w:val="nil"/>
              <w:left w:val="nil"/>
              <w:bottom w:val="single" w:color="auto" w:sz="4" w:space="0"/>
              <w:right w:val="single" w:color="auto" w:sz="4" w:space="0"/>
            </w:tcBorders>
            <w:vAlign w:val="center"/>
          </w:tcPr>
          <w:p w14:paraId="46763D4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w:t>
            </w:r>
          </w:p>
        </w:tc>
        <w:tc>
          <w:tcPr>
            <w:tcW w:w="1418" w:type="dxa"/>
            <w:tcBorders>
              <w:top w:val="nil"/>
              <w:left w:val="nil"/>
              <w:bottom w:val="single" w:color="auto" w:sz="4" w:space="0"/>
              <w:right w:val="single" w:color="auto" w:sz="4" w:space="0"/>
            </w:tcBorders>
            <w:vAlign w:val="center"/>
          </w:tcPr>
          <w:p w14:paraId="4119C2F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w:t>
            </w:r>
          </w:p>
        </w:tc>
        <w:tc>
          <w:tcPr>
            <w:tcW w:w="1134" w:type="dxa"/>
            <w:tcBorders>
              <w:top w:val="nil"/>
              <w:left w:val="nil"/>
              <w:bottom w:val="single" w:color="auto" w:sz="4" w:space="0"/>
              <w:right w:val="single" w:color="auto" w:sz="4" w:space="0"/>
            </w:tcBorders>
            <w:vAlign w:val="center"/>
          </w:tcPr>
          <w:p w14:paraId="1458F5A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33D456B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37C9F4B5">
        <w:trPr>
          <w:trHeight w:val="630" w:hRule="atLeast"/>
        </w:trPr>
        <w:tc>
          <w:tcPr>
            <w:tcW w:w="623" w:type="dxa"/>
            <w:vMerge w:val="continue"/>
            <w:tcBorders>
              <w:top w:val="nil"/>
              <w:left w:val="single" w:color="auto" w:sz="4" w:space="0"/>
              <w:bottom w:val="single" w:color="000000" w:sz="4" w:space="0"/>
              <w:right w:val="single" w:color="auto" w:sz="4" w:space="0"/>
            </w:tcBorders>
            <w:vAlign w:val="center"/>
          </w:tcPr>
          <w:p w14:paraId="370E8870">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4394FBB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w:t>
            </w:r>
          </w:p>
        </w:tc>
        <w:tc>
          <w:tcPr>
            <w:tcW w:w="2292" w:type="dxa"/>
            <w:tcBorders>
              <w:top w:val="nil"/>
              <w:left w:val="nil"/>
              <w:bottom w:val="single" w:color="auto" w:sz="4" w:space="0"/>
              <w:right w:val="single" w:color="auto" w:sz="4" w:space="0"/>
            </w:tcBorders>
            <w:vAlign w:val="center"/>
          </w:tcPr>
          <w:p w14:paraId="45888852">
            <w:pPr>
              <w:widowControl/>
              <w:spacing w:after="0" w:line="320" w:lineRule="exact"/>
              <w:ind w:firstLine="0" w:firstLineChars="0"/>
              <w:jc w:val="center"/>
              <w:rPr>
                <w:rFonts w:hint="eastAsia" w:ascii="仿宋_GB2312" w:hAnsi="等线" w:cs="宋体"/>
                <w:kern w:val="0"/>
                <w:sz w:val="24"/>
                <w:szCs w:val="24"/>
              </w:rPr>
            </w:pPr>
            <w:bookmarkStart w:id="26" w:name="RANGE!C5"/>
            <w:r>
              <w:rPr>
                <w:rFonts w:ascii="仿宋_GB2312" w:hAnsi="等线" w:cs="宋体"/>
                <w:kern w:val="0"/>
                <w:sz w:val="24"/>
                <w:szCs w:val="24"/>
              </w:rPr>
              <w:t>人均接受文化场馆服务次数（次）</w:t>
            </w:r>
            <w:bookmarkEnd w:id="26"/>
          </w:p>
        </w:tc>
        <w:tc>
          <w:tcPr>
            <w:tcW w:w="1134" w:type="dxa"/>
            <w:tcBorders>
              <w:top w:val="nil"/>
              <w:left w:val="nil"/>
              <w:bottom w:val="single" w:color="auto" w:sz="4" w:space="0"/>
              <w:right w:val="single" w:color="auto" w:sz="4" w:space="0"/>
            </w:tcBorders>
            <w:vAlign w:val="center"/>
          </w:tcPr>
          <w:p w14:paraId="21E29585">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2.32</w:t>
            </w:r>
          </w:p>
        </w:tc>
        <w:tc>
          <w:tcPr>
            <w:tcW w:w="1134" w:type="dxa"/>
            <w:tcBorders>
              <w:top w:val="nil"/>
              <w:left w:val="nil"/>
              <w:bottom w:val="single" w:color="auto" w:sz="4" w:space="0"/>
              <w:right w:val="single" w:color="auto" w:sz="4" w:space="0"/>
            </w:tcBorders>
            <w:vAlign w:val="center"/>
          </w:tcPr>
          <w:p w14:paraId="0C8EE01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达到市级要求</w:t>
            </w:r>
          </w:p>
        </w:tc>
        <w:tc>
          <w:tcPr>
            <w:tcW w:w="1418" w:type="dxa"/>
            <w:tcBorders>
              <w:top w:val="nil"/>
              <w:left w:val="nil"/>
              <w:bottom w:val="single" w:color="auto" w:sz="4" w:space="0"/>
              <w:right w:val="single" w:color="auto" w:sz="4" w:space="0"/>
            </w:tcBorders>
            <w:vAlign w:val="center"/>
          </w:tcPr>
          <w:p w14:paraId="6037A4D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51BC1882">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380520D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w:t>
            </w:r>
            <w:r>
              <w:rPr>
                <w:rFonts w:hint="eastAsia" w:ascii="仿宋_GB2312" w:hAnsi="等线" w:cs="宋体"/>
                <w:kern w:val="0"/>
                <w:sz w:val="24"/>
                <w:szCs w:val="24"/>
              </w:rPr>
              <w:t>、文物</w:t>
            </w:r>
            <w:r>
              <w:rPr>
                <w:rFonts w:ascii="仿宋_GB2312" w:hAnsi="等线" w:cs="宋体"/>
                <w:kern w:val="0"/>
                <w:sz w:val="24"/>
                <w:szCs w:val="24"/>
              </w:rPr>
              <w:t>规划</w:t>
            </w:r>
          </w:p>
        </w:tc>
      </w:tr>
      <w:tr w14:paraId="08DCBA79">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59BD8F5B">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58317A7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4</w:t>
            </w:r>
          </w:p>
        </w:tc>
        <w:tc>
          <w:tcPr>
            <w:tcW w:w="2292" w:type="dxa"/>
            <w:tcBorders>
              <w:top w:val="nil"/>
              <w:left w:val="nil"/>
              <w:bottom w:val="single" w:color="auto" w:sz="4" w:space="0"/>
              <w:right w:val="single" w:color="auto" w:sz="4" w:space="0"/>
            </w:tcBorders>
            <w:vAlign w:val="center"/>
          </w:tcPr>
          <w:p w14:paraId="7D33E9FD">
            <w:pPr>
              <w:widowControl/>
              <w:spacing w:after="0" w:line="320" w:lineRule="exact"/>
              <w:ind w:firstLine="0" w:firstLineChars="0"/>
              <w:jc w:val="center"/>
              <w:rPr>
                <w:rFonts w:hint="eastAsia" w:ascii="仿宋_GB2312" w:hAnsi="等线" w:cs="宋体"/>
                <w:kern w:val="0"/>
                <w:sz w:val="24"/>
                <w:szCs w:val="24"/>
              </w:rPr>
            </w:pPr>
            <w:bookmarkStart w:id="27" w:name="RANGE!C6"/>
            <w:r>
              <w:rPr>
                <w:rFonts w:ascii="仿宋_GB2312" w:hAnsi="等线" w:cs="宋体"/>
                <w:kern w:val="0"/>
                <w:sz w:val="24"/>
                <w:szCs w:val="24"/>
              </w:rPr>
              <w:t>年度首都市民系列文化活动（场）</w:t>
            </w:r>
            <w:bookmarkEnd w:id="27"/>
          </w:p>
        </w:tc>
        <w:tc>
          <w:tcPr>
            <w:tcW w:w="1134" w:type="dxa"/>
            <w:tcBorders>
              <w:top w:val="nil"/>
              <w:left w:val="nil"/>
              <w:bottom w:val="single" w:color="auto" w:sz="4" w:space="0"/>
              <w:right w:val="single" w:color="auto" w:sz="4" w:space="0"/>
            </w:tcBorders>
            <w:vAlign w:val="center"/>
          </w:tcPr>
          <w:p w14:paraId="4BA4890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2000</w:t>
            </w:r>
          </w:p>
        </w:tc>
        <w:tc>
          <w:tcPr>
            <w:tcW w:w="1134" w:type="dxa"/>
            <w:tcBorders>
              <w:top w:val="nil"/>
              <w:left w:val="nil"/>
              <w:bottom w:val="single" w:color="auto" w:sz="4" w:space="0"/>
              <w:right w:val="single" w:color="auto" w:sz="4" w:space="0"/>
            </w:tcBorders>
            <w:vAlign w:val="center"/>
          </w:tcPr>
          <w:p w14:paraId="022A47D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2600</w:t>
            </w:r>
          </w:p>
        </w:tc>
        <w:tc>
          <w:tcPr>
            <w:tcW w:w="1418" w:type="dxa"/>
            <w:tcBorders>
              <w:top w:val="nil"/>
              <w:left w:val="nil"/>
              <w:bottom w:val="single" w:color="auto" w:sz="4" w:space="0"/>
              <w:right w:val="single" w:color="auto" w:sz="4" w:space="0"/>
            </w:tcBorders>
            <w:vAlign w:val="center"/>
          </w:tcPr>
          <w:p w14:paraId="2B12923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【600】</w:t>
            </w:r>
          </w:p>
        </w:tc>
        <w:tc>
          <w:tcPr>
            <w:tcW w:w="1134" w:type="dxa"/>
            <w:tcBorders>
              <w:top w:val="nil"/>
              <w:left w:val="nil"/>
              <w:bottom w:val="single" w:color="auto" w:sz="4" w:space="0"/>
              <w:right w:val="single" w:color="auto" w:sz="4" w:space="0"/>
            </w:tcBorders>
            <w:vAlign w:val="center"/>
          </w:tcPr>
          <w:p w14:paraId="0281228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2F1662E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对标市级文旅规划</w:t>
            </w:r>
          </w:p>
        </w:tc>
      </w:tr>
      <w:tr w14:paraId="13973E7C">
        <w:trPr>
          <w:trHeight w:val="622" w:hRule="atLeast"/>
        </w:trPr>
        <w:tc>
          <w:tcPr>
            <w:tcW w:w="623" w:type="dxa"/>
            <w:vMerge w:val="continue"/>
            <w:tcBorders>
              <w:top w:val="nil"/>
              <w:left w:val="single" w:color="auto" w:sz="4" w:space="0"/>
              <w:bottom w:val="single" w:color="000000" w:sz="4" w:space="0"/>
              <w:right w:val="single" w:color="auto" w:sz="4" w:space="0"/>
            </w:tcBorders>
            <w:vAlign w:val="center"/>
          </w:tcPr>
          <w:p w14:paraId="16EA5ED2">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38444DD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5</w:t>
            </w:r>
          </w:p>
        </w:tc>
        <w:tc>
          <w:tcPr>
            <w:tcW w:w="2292" w:type="dxa"/>
            <w:tcBorders>
              <w:top w:val="nil"/>
              <w:left w:val="nil"/>
              <w:bottom w:val="single" w:color="auto" w:sz="4" w:space="0"/>
              <w:right w:val="single" w:color="auto" w:sz="4" w:space="0"/>
            </w:tcBorders>
            <w:vAlign w:val="center"/>
          </w:tcPr>
          <w:p w14:paraId="2F6C249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文物保护单位（国市区级）</w:t>
            </w:r>
            <w:r>
              <w:rPr>
                <w:rFonts w:ascii="宋体" w:hAnsi="宋体" w:eastAsia="宋体" w:cs="宋体"/>
                <w:kern w:val="0"/>
                <w:sz w:val="24"/>
                <w:szCs w:val="24"/>
              </w:rPr>
              <w:t>“</w:t>
            </w:r>
            <w:r>
              <w:rPr>
                <w:rFonts w:ascii="仿宋_GB2312" w:hAnsi="等线" w:cs="宋体"/>
                <w:kern w:val="0"/>
                <w:sz w:val="24"/>
                <w:szCs w:val="24"/>
              </w:rPr>
              <w:t>四有</w:t>
            </w:r>
            <w:r>
              <w:rPr>
                <w:rFonts w:ascii="宋体" w:hAnsi="宋体" w:eastAsia="宋体" w:cs="宋体"/>
                <w:kern w:val="0"/>
                <w:sz w:val="24"/>
                <w:szCs w:val="24"/>
              </w:rPr>
              <w:t>”</w:t>
            </w:r>
            <w:r>
              <w:rPr>
                <w:rFonts w:ascii="仿宋_GB2312" w:hAnsi="等线" w:cs="宋体"/>
                <w:kern w:val="0"/>
                <w:sz w:val="24"/>
                <w:szCs w:val="24"/>
              </w:rPr>
              <w:t>工作完成率(%)</w:t>
            </w:r>
          </w:p>
        </w:tc>
        <w:tc>
          <w:tcPr>
            <w:tcW w:w="1134" w:type="dxa"/>
            <w:tcBorders>
              <w:top w:val="nil"/>
              <w:left w:val="nil"/>
              <w:bottom w:val="single" w:color="auto" w:sz="4" w:space="0"/>
              <w:right w:val="single" w:color="auto" w:sz="4" w:space="0"/>
            </w:tcBorders>
            <w:vAlign w:val="center"/>
          </w:tcPr>
          <w:p w14:paraId="62C4F17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国市级100%</w:t>
            </w:r>
          </w:p>
        </w:tc>
        <w:tc>
          <w:tcPr>
            <w:tcW w:w="1134" w:type="dxa"/>
            <w:tcBorders>
              <w:top w:val="nil"/>
              <w:left w:val="nil"/>
              <w:bottom w:val="single" w:color="auto" w:sz="4" w:space="0"/>
              <w:right w:val="single" w:color="auto" w:sz="4" w:space="0"/>
            </w:tcBorders>
            <w:vAlign w:val="center"/>
          </w:tcPr>
          <w:p w14:paraId="386FA9E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100</w:t>
            </w:r>
          </w:p>
        </w:tc>
        <w:tc>
          <w:tcPr>
            <w:tcW w:w="1418" w:type="dxa"/>
            <w:tcBorders>
              <w:top w:val="nil"/>
              <w:left w:val="nil"/>
              <w:bottom w:val="single" w:color="auto" w:sz="4" w:space="0"/>
              <w:right w:val="single" w:color="auto" w:sz="4" w:space="0"/>
            </w:tcBorders>
            <w:vAlign w:val="center"/>
          </w:tcPr>
          <w:p w14:paraId="2ED52C8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431A005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578B3C5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对标市级文物规划</w:t>
            </w:r>
          </w:p>
        </w:tc>
      </w:tr>
      <w:tr w14:paraId="1E4F76E7">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2C44E334">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69CD18A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6</w:t>
            </w:r>
          </w:p>
        </w:tc>
        <w:tc>
          <w:tcPr>
            <w:tcW w:w="2292" w:type="dxa"/>
            <w:tcBorders>
              <w:top w:val="nil"/>
              <w:left w:val="nil"/>
              <w:bottom w:val="single" w:color="auto" w:sz="4" w:space="0"/>
              <w:right w:val="single" w:color="auto" w:sz="4" w:space="0"/>
            </w:tcBorders>
            <w:vAlign w:val="center"/>
          </w:tcPr>
          <w:p w14:paraId="7C37CBE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人均体育场地面积（平方米）</w:t>
            </w:r>
          </w:p>
        </w:tc>
        <w:tc>
          <w:tcPr>
            <w:tcW w:w="1134" w:type="dxa"/>
            <w:tcBorders>
              <w:top w:val="nil"/>
              <w:left w:val="nil"/>
              <w:bottom w:val="single" w:color="auto" w:sz="4" w:space="0"/>
              <w:right w:val="single" w:color="auto" w:sz="4" w:space="0"/>
            </w:tcBorders>
            <w:vAlign w:val="center"/>
          </w:tcPr>
          <w:p w14:paraId="03966C2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w:t>
            </w:r>
            <w:r>
              <w:rPr>
                <w:rFonts w:hint="eastAsia" w:ascii="仿宋_GB2312" w:hAnsi="等线" w:cs="宋体"/>
                <w:kern w:val="0"/>
                <w:sz w:val="24"/>
                <w:szCs w:val="24"/>
              </w:rPr>
              <w:t>0</w:t>
            </w:r>
          </w:p>
        </w:tc>
        <w:tc>
          <w:tcPr>
            <w:tcW w:w="1134" w:type="dxa"/>
            <w:tcBorders>
              <w:top w:val="nil"/>
              <w:left w:val="nil"/>
              <w:bottom w:val="single" w:color="auto" w:sz="4" w:space="0"/>
              <w:right w:val="single" w:color="auto" w:sz="4" w:space="0"/>
            </w:tcBorders>
            <w:vAlign w:val="center"/>
          </w:tcPr>
          <w:p w14:paraId="3CC105F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3.3</w:t>
            </w:r>
          </w:p>
        </w:tc>
        <w:tc>
          <w:tcPr>
            <w:tcW w:w="1418" w:type="dxa"/>
            <w:tcBorders>
              <w:top w:val="nil"/>
              <w:left w:val="nil"/>
              <w:bottom w:val="single" w:color="auto" w:sz="4" w:space="0"/>
              <w:right w:val="single" w:color="auto" w:sz="4" w:space="0"/>
            </w:tcBorders>
            <w:vAlign w:val="center"/>
          </w:tcPr>
          <w:p w14:paraId="540DB13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【0.</w:t>
            </w:r>
            <w:r>
              <w:rPr>
                <w:rFonts w:hint="eastAsia" w:ascii="仿宋_GB2312" w:hAnsi="等线" w:cs="宋体"/>
                <w:kern w:val="0"/>
                <w:sz w:val="24"/>
                <w:szCs w:val="24"/>
              </w:rPr>
              <w:t>3</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2C553DF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5D36E72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对标市级体育规划</w:t>
            </w:r>
          </w:p>
        </w:tc>
      </w:tr>
      <w:tr w14:paraId="61F92B6D">
        <w:trPr>
          <w:trHeight w:val="319" w:hRule="atLeast"/>
        </w:trPr>
        <w:tc>
          <w:tcPr>
            <w:tcW w:w="623" w:type="dxa"/>
            <w:vMerge w:val="continue"/>
            <w:tcBorders>
              <w:top w:val="nil"/>
              <w:left w:val="single" w:color="auto" w:sz="4" w:space="0"/>
              <w:bottom w:val="single" w:color="000000" w:sz="4" w:space="0"/>
              <w:right w:val="single" w:color="auto" w:sz="4" w:space="0"/>
            </w:tcBorders>
            <w:vAlign w:val="center"/>
          </w:tcPr>
          <w:p w14:paraId="69912F51">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01D1277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7</w:t>
            </w:r>
          </w:p>
        </w:tc>
        <w:tc>
          <w:tcPr>
            <w:tcW w:w="2292" w:type="dxa"/>
            <w:tcBorders>
              <w:top w:val="nil"/>
              <w:left w:val="nil"/>
              <w:bottom w:val="single" w:color="auto" w:sz="4" w:space="0"/>
              <w:right w:val="single" w:color="auto" w:sz="4" w:space="0"/>
            </w:tcBorders>
            <w:vAlign w:val="center"/>
          </w:tcPr>
          <w:p w14:paraId="4FE4EA4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经常参加体育锻炼人数比例（%）</w:t>
            </w:r>
          </w:p>
        </w:tc>
        <w:tc>
          <w:tcPr>
            <w:tcW w:w="1134" w:type="dxa"/>
            <w:tcBorders>
              <w:top w:val="nil"/>
              <w:left w:val="nil"/>
              <w:bottom w:val="single" w:color="auto" w:sz="4" w:space="0"/>
              <w:right w:val="single" w:color="auto" w:sz="4" w:space="0"/>
            </w:tcBorders>
            <w:vAlign w:val="center"/>
          </w:tcPr>
          <w:p w14:paraId="1BFCC060">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54.2</w:t>
            </w:r>
          </w:p>
        </w:tc>
        <w:tc>
          <w:tcPr>
            <w:tcW w:w="1134" w:type="dxa"/>
            <w:tcBorders>
              <w:top w:val="nil"/>
              <w:left w:val="nil"/>
              <w:bottom w:val="single" w:color="auto" w:sz="4" w:space="0"/>
              <w:right w:val="single" w:color="auto" w:sz="4" w:space="0"/>
            </w:tcBorders>
            <w:vAlign w:val="center"/>
          </w:tcPr>
          <w:p w14:paraId="4A6CE2C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55</w:t>
            </w:r>
          </w:p>
        </w:tc>
        <w:tc>
          <w:tcPr>
            <w:tcW w:w="1418" w:type="dxa"/>
            <w:tcBorders>
              <w:top w:val="nil"/>
              <w:left w:val="nil"/>
              <w:bottom w:val="single" w:color="auto" w:sz="4" w:space="0"/>
              <w:right w:val="single" w:color="auto" w:sz="4" w:space="0"/>
            </w:tcBorders>
            <w:vAlign w:val="center"/>
          </w:tcPr>
          <w:p w14:paraId="4E4536E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r>
              <w:rPr>
                <w:rFonts w:hint="eastAsia" w:ascii="仿宋_GB2312" w:hAnsi="等线" w:cs="宋体"/>
                <w:kern w:val="0"/>
                <w:sz w:val="24"/>
                <w:szCs w:val="24"/>
              </w:rPr>
              <w:t>0.8</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5057F56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596DBD0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对标市级体育规划</w:t>
            </w:r>
          </w:p>
        </w:tc>
      </w:tr>
      <w:tr w14:paraId="5B760554">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2F03E0CC">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42D3B0AD">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8</w:t>
            </w:r>
          </w:p>
        </w:tc>
        <w:tc>
          <w:tcPr>
            <w:tcW w:w="2292" w:type="dxa"/>
            <w:tcBorders>
              <w:top w:val="nil"/>
              <w:left w:val="nil"/>
              <w:bottom w:val="single" w:color="auto" w:sz="4" w:space="0"/>
              <w:right w:val="single" w:color="auto" w:sz="4" w:space="0"/>
            </w:tcBorders>
            <w:vAlign w:val="center"/>
          </w:tcPr>
          <w:p w14:paraId="4E2DAA0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国民体质优良率（%）</w:t>
            </w:r>
          </w:p>
        </w:tc>
        <w:tc>
          <w:tcPr>
            <w:tcW w:w="1134" w:type="dxa"/>
            <w:tcBorders>
              <w:top w:val="nil"/>
              <w:left w:val="nil"/>
              <w:bottom w:val="single" w:color="auto" w:sz="4" w:space="0"/>
              <w:right w:val="single" w:color="auto" w:sz="4" w:space="0"/>
            </w:tcBorders>
            <w:vAlign w:val="center"/>
          </w:tcPr>
          <w:p w14:paraId="48E0857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45.8</w:t>
            </w:r>
          </w:p>
        </w:tc>
        <w:tc>
          <w:tcPr>
            <w:tcW w:w="1134" w:type="dxa"/>
            <w:tcBorders>
              <w:top w:val="nil"/>
              <w:left w:val="nil"/>
              <w:bottom w:val="single" w:color="auto" w:sz="4" w:space="0"/>
              <w:right w:val="single" w:color="auto" w:sz="4" w:space="0"/>
            </w:tcBorders>
            <w:vAlign w:val="center"/>
          </w:tcPr>
          <w:p w14:paraId="686D058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46</w:t>
            </w:r>
          </w:p>
        </w:tc>
        <w:tc>
          <w:tcPr>
            <w:tcW w:w="1418" w:type="dxa"/>
            <w:tcBorders>
              <w:top w:val="nil"/>
              <w:left w:val="nil"/>
              <w:bottom w:val="single" w:color="auto" w:sz="4" w:space="0"/>
              <w:right w:val="single" w:color="auto" w:sz="4" w:space="0"/>
            </w:tcBorders>
            <w:vAlign w:val="center"/>
          </w:tcPr>
          <w:p w14:paraId="397A5AC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【0.2】</w:t>
            </w:r>
          </w:p>
        </w:tc>
        <w:tc>
          <w:tcPr>
            <w:tcW w:w="1134" w:type="dxa"/>
            <w:tcBorders>
              <w:top w:val="nil"/>
              <w:left w:val="nil"/>
              <w:bottom w:val="single" w:color="auto" w:sz="4" w:space="0"/>
              <w:right w:val="single" w:color="auto" w:sz="4" w:space="0"/>
            </w:tcBorders>
            <w:vAlign w:val="center"/>
          </w:tcPr>
          <w:p w14:paraId="25F9170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5FF52AC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对标市级体育规划</w:t>
            </w:r>
          </w:p>
        </w:tc>
      </w:tr>
      <w:tr w14:paraId="26E8222E">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59B751D6">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68CB754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9</w:t>
            </w:r>
          </w:p>
        </w:tc>
        <w:tc>
          <w:tcPr>
            <w:tcW w:w="2292" w:type="dxa"/>
            <w:tcBorders>
              <w:top w:val="nil"/>
              <w:left w:val="nil"/>
              <w:bottom w:val="single" w:color="auto" w:sz="4" w:space="0"/>
              <w:right w:val="single" w:color="auto" w:sz="4" w:space="0"/>
            </w:tcBorders>
            <w:vAlign w:val="center"/>
          </w:tcPr>
          <w:p w14:paraId="605F0C4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开展体育设施功能提升项目（个）</w:t>
            </w:r>
          </w:p>
        </w:tc>
        <w:tc>
          <w:tcPr>
            <w:tcW w:w="1134" w:type="dxa"/>
            <w:tcBorders>
              <w:top w:val="nil"/>
              <w:left w:val="nil"/>
              <w:bottom w:val="single" w:color="auto" w:sz="4" w:space="0"/>
              <w:right w:val="single" w:color="auto" w:sz="4" w:space="0"/>
            </w:tcBorders>
            <w:vAlign w:val="center"/>
          </w:tcPr>
          <w:p w14:paraId="396686FD">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2D555C2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w:t>
            </w:r>
          </w:p>
        </w:tc>
        <w:tc>
          <w:tcPr>
            <w:tcW w:w="1418" w:type="dxa"/>
            <w:tcBorders>
              <w:top w:val="nil"/>
              <w:left w:val="nil"/>
              <w:bottom w:val="single" w:color="auto" w:sz="4" w:space="0"/>
              <w:right w:val="single" w:color="auto" w:sz="4" w:space="0"/>
            </w:tcBorders>
            <w:vAlign w:val="center"/>
          </w:tcPr>
          <w:p w14:paraId="3EBDC9AB">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【1】</w:t>
            </w:r>
          </w:p>
        </w:tc>
        <w:tc>
          <w:tcPr>
            <w:tcW w:w="1134" w:type="dxa"/>
            <w:tcBorders>
              <w:top w:val="nil"/>
              <w:left w:val="nil"/>
              <w:bottom w:val="single" w:color="auto" w:sz="4" w:space="0"/>
              <w:right w:val="single" w:color="auto" w:sz="4" w:space="0"/>
            </w:tcBorders>
            <w:vAlign w:val="center"/>
          </w:tcPr>
          <w:p w14:paraId="11EE7C1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051C39F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6B311D41">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3273FEB3">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26FEF78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10</w:t>
            </w:r>
          </w:p>
        </w:tc>
        <w:tc>
          <w:tcPr>
            <w:tcW w:w="2292" w:type="dxa"/>
            <w:tcBorders>
              <w:top w:val="nil"/>
              <w:left w:val="nil"/>
              <w:bottom w:val="single" w:color="auto" w:sz="4" w:space="0"/>
              <w:right w:val="single" w:color="auto" w:sz="4" w:space="0"/>
            </w:tcBorders>
            <w:vAlign w:val="center"/>
          </w:tcPr>
          <w:p w14:paraId="1E6A384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组建优质“三大球”队伍（支）</w:t>
            </w:r>
          </w:p>
        </w:tc>
        <w:tc>
          <w:tcPr>
            <w:tcW w:w="1134" w:type="dxa"/>
            <w:tcBorders>
              <w:top w:val="nil"/>
              <w:left w:val="nil"/>
              <w:bottom w:val="single" w:color="auto" w:sz="4" w:space="0"/>
              <w:right w:val="single" w:color="auto" w:sz="4" w:space="0"/>
            </w:tcBorders>
            <w:vAlign w:val="center"/>
          </w:tcPr>
          <w:p w14:paraId="6BFEC866">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285AD682">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17</w:t>
            </w:r>
          </w:p>
        </w:tc>
        <w:tc>
          <w:tcPr>
            <w:tcW w:w="1418" w:type="dxa"/>
            <w:tcBorders>
              <w:top w:val="nil"/>
              <w:left w:val="nil"/>
              <w:bottom w:val="single" w:color="auto" w:sz="4" w:space="0"/>
              <w:right w:val="single" w:color="auto" w:sz="4" w:space="0"/>
            </w:tcBorders>
            <w:vAlign w:val="center"/>
          </w:tcPr>
          <w:p w14:paraId="3FE410F8">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【17】</w:t>
            </w:r>
          </w:p>
        </w:tc>
        <w:tc>
          <w:tcPr>
            <w:tcW w:w="1134" w:type="dxa"/>
            <w:tcBorders>
              <w:top w:val="nil"/>
              <w:left w:val="nil"/>
              <w:bottom w:val="single" w:color="auto" w:sz="4" w:space="0"/>
              <w:right w:val="single" w:color="auto" w:sz="4" w:space="0"/>
            </w:tcBorders>
            <w:vAlign w:val="center"/>
          </w:tcPr>
          <w:p w14:paraId="2B6BC87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60F67D4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6A5E1546">
        <w:trPr>
          <w:trHeight w:val="622" w:hRule="atLeast"/>
        </w:trPr>
        <w:tc>
          <w:tcPr>
            <w:tcW w:w="623" w:type="dxa"/>
            <w:vMerge w:val="continue"/>
            <w:tcBorders>
              <w:top w:val="nil"/>
              <w:left w:val="single" w:color="auto" w:sz="4" w:space="0"/>
              <w:bottom w:val="single" w:color="000000" w:sz="4" w:space="0"/>
              <w:right w:val="single" w:color="auto" w:sz="4" w:space="0"/>
            </w:tcBorders>
            <w:vAlign w:val="center"/>
          </w:tcPr>
          <w:p w14:paraId="563C283E">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5CE0C67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11</w:t>
            </w:r>
          </w:p>
        </w:tc>
        <w:tc>
          <w:tcPr>
            <w:tcW w:w="2292" w:type="dxa"/>
            <w:tcBorders>
              <w:top w:val="nil"/>
              <w:left w:val="nil"/>
              <w:bottom w:val="single" w:color="auto" w:sz="4" w:space="0"/>
              <w:right w:val="single" w:color="auto" w:sz="4" w:space="0"/>
            </w:tcBorders>
            <w:vAlign w:val="center"/>
          </w:tcPr>
          <w:p w14:paraId="3629907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棒、垒球赛事成绩</w:t>
            </w:r>
          </w:p>
        </w:tc>
        <w:tc>
          <w:tcPr>
            <w:tcW w:w="1134" w:type="dxa"/>
            <w:tcBorders>
              <w:top w:val="nil"/>
              <w:left w:val="nil"/>
              <w:bottom w:val="single" w:color="auto" w:sz="4" w:space="0"/>
              <w:right w:val="single" w:color="auto" w:sz="4" w:space="0"/>
            </w:tcBorders>
            <w:vAlign w:val="center"/>
          </w:tcPr>
          <w:p w14:paraId="73977CD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159D47F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全国青少年锦标赛前六名</w:t>
            </w:r>
          </w:p>
        </w:tc>
        <w:tc>
          <w:tcPr>
            <w:tcW w:w="1418" w:type="dxa"/>
            <w:tcBorders>
              <w:top w:val="nil"/>
              <w:left w:val="nil"/>
              <w:bottom w:val="single" w:color="auto" w:sz="4" w:space="0"/>
              <w:right w:val="single" w:color="auto" w:sz="4" w:space="0"/>
            </w:tcBorders>
            <w:vAlign w:val="center"/>
          </w:tcPr>
          <w:p w14:paraId="4DDF360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0728C68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4255A31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6A4356A9">
        <w:trPr>
          <w:trHeight w:val="408" w:hRule="atLeast"/>
        </w:trPr>
        <w:tc>
          <w:tcPr>
            <w:tcW w:w="623" w:type="dxa"/>
            <w:vMerge w:val="restart"/>
            <w:tcBorders>
              <w:top w:val="nil"/>
              <w:left w:val="single" w:color="auto" w:sz="4" w:space="0"/>
              <w:bottom w:val="single" w:color="000000" w:sz="4" w:space="0"/>
              <w:right w:val="single" w:color="auto" w:sz="4" w:space="0"/>
            </w:tcBorders>
            <w:vAlign w:val="center"/>
          </w:tcPr>
          <w:p w14:paraId="3663048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品牌塑造</w:t>
            </w:r>
          </w:p>
        </w:tc>
        <w:tc>
          <w:tcPr>
            <w:tcW w:w="624" w:type="dxa"/>
            <w:tcBorders>
              <w:top w:val="nil"/>
              <w:left w:val="nil"/>
              <w:bottom w:val="single" w:color="auto" w:sz="4" w:space="0"/>
              <w:right w:val="single" w:color="auto" w:sz="4" w:space="0"/>
            </w:tcBorders>
            <w:vAlign w:val="center"/>
          </w:tcPr>
          <w:p w14:paraId="0FB2AB8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12</w:t>
            </w:r>
          </w:p>
        </w:tc>
        <w:tc>
          <w:tcPr>
            <w:tcW w:w="2292" w:type="dxa"/>
            <w:tcBorders>
              <w:top w:val="nil"/>
              <w:left w:val="nil"/>
              <w:bottom w:val="single" w:color="auto" w:sz="4" w:space="0"/>
              <w:right w:val="single" w:color="auto" w:sz="4" w:space="0"/>
            </w:tcBorders>
            <w:vAlign w:val="center"/>
          </w:tcPr>
          <w:p w14:paraId="546B421E">
            <w:pPr>
              <w:widowControl/>
              <w:spacing w:after="0" w:line="320" w:lineRule="exact"/>
              <w:ind w:firstLine="0" w:firstLineChars="0"/>
              <w:jc w:val="center"/>
              <w:rPr>
                <w:rFonts w:hint="eastAsia" w:ascii="仿宋_GB2312" w:hAnsi="等线" w:cs="宋体"/>
                <w:kern w:val="0"/>
                <w:sz w:val="24"/>
                <w:szCs w:val="24"/>
              </w:rPr>
            </w:pPr>
            <w:bookmarkStart w:id="28" w:name="RANGE!C14"/>
            <w:r>
              <w:rPr>
                <w:rFonts w:ascii="仿宋_GB2312" w:hAnsi="等线" w:cs="宋体"/>
                <w:kern w:val="0"/>
                <w:sz w:val="24"/>
                <w:szCs w:val="24"/>
              </w:rPr>
              <w:t>累计认定演艺新空间（个）</w:t>
            </w:r>
            <w:bookmarkEnd w:id="28"/>
          </w:p>
        </w:tc>
        <w:tc>
          <w:tcPr>
            <w:tcW w:w="1134" w:type="dxa"/>
            <w:tcBorders>
              <w:top w:val="nil"/>
              <w:left w:val="nil"/>
              <w:bottom w:val="single" w:color="auto" w:sz="4" w:space="0"/>
              <w:right w:val="single" w:color="auto" w:sz="4" w:space="0"/>
            </w:tcBorders>
            <w:vAlign w:val="center"/>
          </w:tcPr>
          <w:p w14:paraId="31D45E3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16</w:t>
            </w:r>
          </w:p>
        </w:tc>
        <w:tc>
          <w:tcPr>
            <w:tcW w:w="1134" w:type="dxa"/>
            <w:tcBorders>
              <w:top w:val="nil"/>
              <w:left w:val="nil"/>
              <w:bottom w:val="single" w:color="auto" w:sz="4" w:space="0"/>
              <w:right w:val="single" w:color="auto" w:sz="4" w:space="0"/>
            </w:tcBorders>
            <w:vAlign w:val="center"/>
          </w:tcPr>
          <w:p w14:paraId="3B2EBA8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35</w:t>
            </w:r>
          </w:p>
        </w:tc>
        <w:tc>
          <w:tcPr>
            <w:tcW w:w="1418" w:type="dxa"/>
            <w:tcBorders>
              <w:top w:val="nil"/>
              <w:left w:val="nil"/>
              <w:bottom w:val="single" w:color="auto" w:sz="4" w:space="0"/>
              <w:right w:val="single" w:color="auto" w:sz="4" w:space="0"/>
            </w:tcBorders>
            <w:vAlign w:val="center"/>
          </w:tcPr>
          <w:p w14:paraId="0AB7558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【19】</w:t>
            </w:r>
          </w:p>
        </w:tc>
        <w:tc>
          <w:tcPr>
            <w:tcW w:w="1134" w:type="dxa"/>
            <w:tcBorders>
              <w:top w:val="nil"/>
              <w:left w:val="nil"/>
              <w:bottom w:val="single" w:color="auto" w:sz="4" w:space="0"/>
              <w:right w:val="single" w:color="auto" w:sz="4" w:space="0"/>
            </w:tcBorders>
            <w:vAlign w:val="center"/>
          </w:tcPr>
          <w:p w14:paraId="3659705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20369D7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对标市级文旅规划</w:t>
            </w:r>
          </w:p>
        </w:tc>
      </w:tr>
      <w:tr w14:paraId="28BCE8A9">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34608456">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75C1A32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13</w:t>
            </w:r>
          </w:p>
        </w:tc>
        <w:tc>
          <w:tcPr>
            <w:tcW w:w="2292" w:type="dxa"/>
            <w:tcBorders>
              <w:top w:val="nil"/>
              <w:left w:val="nil"/>
              <w:bottom w:val="single" w:color="auto" w:sz="4" w:space="0"/>
              <w:right w:val="single" w:color="auto" w:sz="4" w:space="0"/>
            </w:tcBorders>
            <w:vAlign w:val="center"/>
          </w:tcPr>
          <w:p w14:paraId="209C9C5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年度举办营业性演出场次（场）</w:t>
            </w:r>
          </w:p>
        </w:tc>
        <w:tc>
          <w:tcPr>
            <w:tcW w:w="1134" w:type="dxa"/>
            <w:tcBorders>
              <w:top w:val="nil"/>
              <w:left w:val="nil"/>
              <w:bottom w:val="single" w:color="auto" w:sz="4" w:space="0"/>
              <w:right w:val="single" w:color="auto" w:sz="4" w:space="0"/>
            </w:tcBorders>
            <w:vAlign w:val="center"/>
          </w:tcPr>
          <w:p w14:paraId="332727B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2000</w:t>
            </w:r>
          </w:p>
        </w:tc>
        <w:tc>
          <w:tcPr>
            <w:tcW w:w="1134" w:type="dxa"/>
            <w:tcBorders>
              <w:top w:val="nil"/>
              <w:left w:val="nil"/>
              <w:bottom w:val="single" w:color="auto" w:sz="4" w:space="0"/>
              <w:right w:val="single" w:color="auto" w:sz="4" w:space="0"/>
            </w:tcBorders>
            <w:vAlign w:val="center"/>
          </w:tcPr>
          <w:p w14:paraId="002AD34D">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3000</w:t>
            </w:r>
          </w:p>
        </w:tc>
        <w:tc>
          <w:tcPr>
            <w:tcW w:w="1418" w:type="dxa"/>
            <w:tcBorders>
              <w:top w:val="nil"/>
              <w:left w:val="nil"/>
              <w:bottom w:val="single" w:color="auto" w:sz="4" w:space="0"/>
              <w:right w:val="single" w:color="auto" w:sz="4" w:space="0"/>
            </w:tcBorders>
            <w:vAlign w:val="center"/>
          </w:tcPr>
          <w:p w14:paraId="05F8D93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【1000】</w:t>
            </w:r>
          </w:p>
        </w:tc>
        <w:tc>
          <w:tcPr>
            <w:tcW w:w="1134" w:type="dxa"/>
            <w:tcBorders>
              <w:top w:val="nil"/>
              <w:left w:val="nil"/>
              <w:bottom w:val="single" w:color="auto" w:sz="4" w:space="0"/>
              <w:right w:val="single" w:color="auto" w:sz="4" w:space="0"/>
            </w:tcBorders>
            <w:vAlign w:val="center"/>
          </w:tcPr>
          <w:p w14:paraId="36B1B4D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5A73D4F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对标市级文旅规划</w:t>
            </w:r>
          </w:p>
        </w:tc>
      </w:tr>
      <w:tr w14:paraId="6AF184BF">
        <w:trPr>
          <w:trHeight w:val="622" w:hRule="atLeast"/>
        </w:trPr>
        <w:tc>
          <w:tcPr>
            <w:tcW w:w="623" w:type="dxa"/>
            <w:vMerge w:val="continue"/>
            <w:tcBorders>
              <w:top w:val="nil"/>
              <w:left w:val="single" w:color="auto" w:sz="4" w:space="0"/>
              <w:bottom w:val="single" w:color="000000" w:sz="4" w:space="0"/>
              <w:right w:val="single" w:color="auto" w:sz="4" w:space="0"/>
            </w:tcBorders>
            <w:vAlign w:val="center"/>
          </w:tcPr>
          <w:p w14:paraId="72365D54">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2AA759B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14</w:t>
            </w:r>
          </w:p>
        </w:tc>
        <w:tc>
          <w:tcPr>
            <w:tcW w:w="2292" w:type="dxa"/>
            <w:tcBorders>
              <w:top w:val="nil"/>
              <w:left w:val="nil"/>
              <w:bottom w:val="single" w:color="auto" w:sz="4" w:space="0"/>
              <w:right w:val="single" w:color="auto" w:sz="4" w:space="0"/>
            </w:tcBorders>
            <w:vAlign w:val="center"/>
          </w:tcPr>
          <w:p w14:paraId="7129F1E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文物保护单位数量（国家、市、区级）（项）</w:t>
            </w:r>
          </w:p>
        </w:tc>
        <w:tc>
          <w:tcPr>
            <w:tcW w:w="1134" w:type="dxa"/>
            <w:tcBorders>
              <w:top w:val="nil"/>
              <w:left w:val="nil"/>
              <w:bottom w:val="single" w:color="auto" w:sz="4" w:space="0"/>
              <w:right w:val="single" w:color="auto" w:sz="4" w:space="0"/>
            </w:tcBorders>
            <w:vAlign w:val="center"/>
          </w:tcPr>
          <w:p w14:paraId="713354F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31</w:t>
            </w:r>
          </w:p>
        </w:tc>
        <w:tc>
          <w:tcPr>
            <w:tcW w:w="1134" w:type="dxa"/>
            <w:tcBorders>
              <w:top w:val="nil"/>
              <w:left w:val="nil"/>
              <w:bottom w:val="single" w:color="auto" w:sz="4" w:space="0"/>
              <w:right w:val="single" w:color="auto" w:sz="4" w:space="0"/>
            </w:tcBorders>
            <w:vAlign w:val="center"/>
          </w:tcPr>
          <w:p w14:paraId="594F3403">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36</w:t>
            </w:r>
          </w:p>
        </w:tc>
        <w:tc>
          <w:tcPr>
            <w:tcW w:w="1418" w:type="dxa"/>
            <w:tcBorders>
              <w:top w:val="nil"/>
              <w:left w:val="nil"/>
              <w:bottom w:val="single" w:color="auto" w:sz="4" w:space="0"/>
              <w:right w:val="single" w:color="auto" w:sz="4" w:space="0"/>
            </w:tcBorders>
            <w:vAlign w:val="center"/>
          </w:tcPr>
          <w:p w14:paraId="4E8B3E6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r>
              <w:rPr>
                <w:rFonts w:hint="eastAsia" w:ascii="仿宋_GB2312" w:hAnsi="等线" w:cs="宋体"/>
                <w:kern w:val="0"/>
                <w:sz w:val="24"/>
                <w:szCs w:val="24"/>
              </w:rPr>
              <w:t>5</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4EE654D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7552220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对标丰台分区规划</w:t>
            </w:r>
          </w:p>
        </w:tc>
      </w:tr>
      <w:tr w14:paraId="16425781">
        <w:trPr>
          <w:trHeight w:val="622" w:hRule="atLeast"/>
        </w:trPr>
        <w:tc>
          <w:tcPr>
            <w:tcW w:w="623" w:type="dxa"/>
            <w:vMerge w:val="continue"/>
            <w:tcBorders>
              <w:top w:val="nil"/>
              <w:left w:val="single" w:color="auto" w:sz="4" w:space="0"/>
              <w:bottom w:val="single" w:color="000000" w:sz="4" w:space="0"/>
              <w:right w:val="single" w:color="auto" w:sz="4" w:space="0"/>
            </w:tcBorders>
            <w:vAlign w:val="center"/>
          </w:tcPr>
          <w:p w14:paraId="4E7E716C">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63D2149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15</w:t>
            </w:r>
          </w:p>
        </w:tc>
        <w:tc>
          <w:tcPr>
            <w:tcW w:w="2292" w:type="dxa"/>
            <w:tcBorders>
              <w:top w:val="nil"/>
              <w:left w:val="nil"/>
              <w:bottom w:val="single" w:color="auto" w:sz="4" w:space="0"/>
              <w:right w:val="single" w:color="auto" w:sz="4" w:space="0"/>
            </w:tcBorders>
            <w:vAlign w:val="center"/>
          </w:tcPr>
          <w:p w14:paraId="0D6C2B2A">
            <w:pPr>
              <w:widowControl/>
              <w:spacing w:after="0" w:line="320" w:lineRule="exact"/>
              <w:ind w:firstLine="0" w:firstLineChars="0"/>
              <w:jc w:val="center"/>
              <w:rPr>
                <w:rFonts w:hint="eastAsia" w:ascii="仿宋_GB2312" w:hAnsi="等线" w:cs="宋体"/>
                <w:kern w:val="0"/>
                <w:sz w:val="24"/>
                <w:szCs w:val="24"/>
              </w:rPr>
            </w:pPr>
            <w:bookmarkStart w:id="29" w:name="RANGE!C17"/>
            <w:r>
              <w:rPr>
                <w:rFonts w:ascii="仿宋_GB2312" w:hAnsi="等线" w:cs="宋体"/>
                <w:kern w:val="0"/>
                <w:sz w:val="24"/>
                <w:szCs w:val="24"/>
              </w:rPr>
              <w:t>区级及以上非遗代表性传承人累计数量（人）</w:t>
            </w:r>
            <w:bookmarkEnd w:id="29"/>
          </w:p>
        </w:tc>
        <w:tc>
          <w:tcPr>
            <w:tcW w:w="1134" w:type="dxa"/>
            <w:tcBorders>
              <w:top w:val="nil"/>
              <w:left w:val="nil"/>
              <w:bottom w:val="single" w:color="auto" w:sz="4" w:space="0"/>
              <w:right w:val="single" w:color="auto" w:sz="4" w:space="0"/>
            </w:tcBorders>
            <w:vAlign w:val="center"/>
          </w:tcPr>
          <w:p w14:paraId="09C0A2F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86</w:t>
            </w:r>
          </w:p>
        </w:tc>
        <w:tc>
          <w:tcPr>
            <w:tcW w:w="1134" w:type="dxa"/>
            <w:tcBorders>
              <w:top w:val="nil"/>
              <w:left w:val="nil"/>
              <w:bottom w:val="single" w:color="auto" w:sz="4" w:space="0"/>
              <w:right w:val="single" w:color="auto" w:sz="4" w:space="0"/>
            </w:tcBorders>
            <w:vAlign w:val="center"/>
          </w:tcPr>
          <w:p w14:paraId="3E393DE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150</w:t>
            </w:r>
          </w:p>
        </w:tc>
        <w:tc>
          <w:tcPr>
            <w:tcW w:w="1418" w:type="dxa"/>
            <w:tcBorders>
              <w:top w:val="nil"/>
              <w:left w:val="nil"/>
              <w:bottom w:val="single" w:color="auto" w:sz="4" w:space="0"/>
              <w:right w:val="single" w:color="auto" w:sz="4" w:space="0"/>
            </w:tcBorders>
            <w:vAlign w:val="center"/>
          </w:tcPr>
          <w:p w14:paraId="350925D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【64】</w:t>
            </w:r>
          </w:p>
        </w:tc>
        <w:tc>
          <w:tcPr>
            <w:tcW w:w="1134" w:type="dxa"/>
            <w:tcBorders>
              <w:top w:val="nil"/>
              <w:left w:val="nil"/>
              <w:bottom w:val="single" w:color="auto" w:sz="4" w:space="0"/>
              <w:right w:val="single" w:color="auto" w:sz="4" w:space="0"/>
            </w:tcBorders>
            <w:vAlign w:val="center"/>
          </w:tcPr>
          <w:p w14:paraId="3AFD1E7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1B869D0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5ED633A6">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0A23BA6C">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17B36A7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16</w:t>
            </w:r>
          </w:p>
        </w:tc>
        <w:tc>
          <w:tcPr>
            <w:tcW w:w="2292" w:type="dxa"/>
            <w:tcBorders>
              <w:top w:val="nil"/>
              <w:left w:val="nil"/>
              <w:bottom w:val="single" w:color="auto" w:sz="4" w:space="0"/>
              <w:right w:val="single" w:color="auto" w:sz="4" w:space="0"/>
            </w:tcBorders>
            <w:vAlign w:val="center"/>
          </w:tcPr>
          <w:p w14:paraId="59076D8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创建冰雪品牌赛事活动（个）</w:t>
            </w:r>
          </w:p>
        </w:tc>
        <w:tc>
          <w:tcPr>
            <w:tcW w:w="1134" w:type="dxa"/>
            <w:tcBorders>
              <w:top w:val="nil"/>
              <w:left w:val="nil"/>
              <w:bottom w:val="single" w:color="auto" w:sz="4" w:space="0"/>
              <w:right w:val="single" w:color="auto" w:sz="4" w:space="0"/>
            </w:tcBorders>
            <w:noWrap/>
            <w:vAlign w:val="center"/>
          </w:tcPr>
          <w:p w14:paraId="0D00E2C1">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noWrap/>
            <w:vAlign w:val="center"/>
          </w:tcPr>
          <w:p w14:paraId="7607C75F">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2</w:t>
            </w:r>
          </w:p>
        </w:tc>
        <w:tc>
          <w:tcPr>
            <w:tcW w:w="1418" w:type="dxa"/>
            <w:tcBorders>
              <w:top w:val="nil"/>
              <w:left w:val="nil"/>
              <w:bottom w:val="single" w:color="auto" w:sz="4" w:space="0"/>
              <w:right w:val="single" w:color="auto" w:sz="4" w:space="0"/>
            </w:tcBorders>
            <w:vAlign w:val="center"/>
          </w:tcPr>
          <w:p w14:paraId="23788FBC">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【2】</w:t>
            </w:r>
          </w:p>
        </w:tc>
        <w:tc>
          <w:tcPr>
            <w:tcW w:w="1134" w:type="dxa"/>
            <w:tcBorders>
              <w:top w:val="nil"/>
              <w:left w:val="nil"/>
              <w:bottom w:val="single" w:color="auto" w:sz="4" w:space="0"/>
              <w:right w:val="single" w:color="auto" w:sz="4" w:space="0"/>
            </w:tcBorders>
            <w:vAlign w:val="center"/>
          </w:tcPr>
          <w:p w14:paraId="632EDB7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17A6389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67C974C5">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5A8860FD">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3CFDA32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17</w:t>
            </w:r>
          </w:p>
        </w:tc>
        <w:tc>
          <w:tcPr>
            <w:tcW w:w="2292" w:type="dxa"/>
            <w:tcBorders>
              <w:top w:val="nil"/>
              <w:left w:val="nil"/>
              <w:bottom w:val="single" w:color="auto" w:sz="4" w:space="0"/>
              <w:right w:val="single" w:color="auto" w:sz="4" w:space="0"/>
            </w:tcBorders>
            <w:vAlign w:val="center"/>
          </w:tcPr>
          <w:p w14:paraId="6968CF7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举办国家级及以上体育赛事（项）</w:t>
            </w:r>
          </w:p>
        </w:tc>
        <w:tc>
          <w:tcPr>
            <w:tcW w:w="1134" w:type="dxa"/>
            <w:tcBorders>
              <w:top w:val="nil"/>
              <w:left w:val="nil"/>
              <w:bottom w:val="single" w:color="auto" w:sz="4" w:space="0"/>
              <w:right w:val="single" w:color="auto" w:sz="4" w:space="0"/>
            </w:tcBorders>
            <w:noWrap/>
            <w:vAlign w:val="center"/>
          </w:tcPr>
          <w:p w14:paraId="74EB8F7F">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noWrap/>
            <w:vAlign w:val="center"/>
          </w:tcPr>
          <w:p w14:paraId="0BECECBB">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2</w:t>
            </w:r>
          </w:p>
        </w:tc>
        <w:tc>
          <w:tcPr>
            <w:tcW w:w="1418" w:type="dxa"/>
            <w:tcBorders>
              <w:top w:val="nil"/>
              <w:left w:val="nil"/>
              <w:bottom w:val="single" w:color="auto" w:sz="4" w:space="0"/>
              <w:right w:val="single" w:color="auto" w:sz="4" w:space="0"/>
            </w:tcBorders>
            <w:vAlign w:val="center"/>
          </w:tcPr>
          <w:p w14:paraId="1B428380">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【2】</w:t>
            </w:r>
          </w:p>
        </w:tc>
        <w:tc>
          <w:tcPr>
            <w:tcW w:w="1134" w:type="dxa"/>
            <w:tcBorders>
              <w:top w:val="nil"/>
              <w:left w:val="nil"/>
              <w:bottom w:val="single" w:color="auto" w:sz="4" w:space="0"/>
              <w:right w:val="single" w:color="auto" w:sz="4" w:space="0"/>
            </w:tcBorders>
            <w:vAlign w:val="center"/>
          </w:tcPr>
          <w:p w14:paraId="61BB768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6FBE04C2">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13428204">
        <w:trPr>
          <w:trHeight w:val="408" w:hRule="atLeast"/>
        </w:trPr>
        <w:tc>
          <w:tcPr>
            <w:tcW w:w="623" w:type="dxa"/>
            <w:vMerge w:val="restart"/>
            <w:tcBorders>
              <w:top w:val="nil"/>
              <w:left w:val="single" w:color="auto" w:sz="4" w:space="0"/>
              <w:bottom w:val="single" w:color="000000" w:sz="4" w:space="0"/>
              <w:right w:val="single" w:color="auto" w:sz="4" w:space="0"/>
            </w:tcBorders>
            <w:vAlign w:val="center"/>
          </w:tcPr>
          <w:p w14:paraId="369191C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产业发展</w:t>
            </w:r>
          </w:p>
        </w:tc>
        <w:tc>
          <w:tcPr>
            <w:tcW w:w="624" w:type="dxa"/>
            <w:tcBorders>
              <w:top w:val="nil"/>
              <w:left w:val="nil"/>
              <w:bottom w:val="single" w:color="auto" w:sz="4" w:space="0"/>
              <w:right w:val="single" w:color="auto" w:sz="4" w:space="0"/>
            </w:tcBorders>
            <w:vAlign w:val="center"/>
          </w:tcPr>
          <w:p w14:paraId="0992E5A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18</w:t>
            </w:r>
          </w:p>
        </w:tc>
        <w:tc>
          <w:tcPr>
            <w:tcW w:w="2292" w:type="dxa"/>
            <w:tcBorders>
              <w:top w:val="nil"/>
              <w:left w:val="nil"/>
              <w:bottom w:val="single" w:color="auto" w:sz="4" w:space="0"/>
              <w:right w:val="single" w:color="auto" w:sz="4" w:space="0"/>
            </w:tcBorders>
            <w:vAlign w:val="center"/>
          </w:tcPr>
          <w:p w14:paraId="637FEC8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旅游花费年均增长（%）</w:t>
            </w:r>
          </w:p>
        </w:tc>
        <w:tc>
          <w:tcPr>
            <w:tcW w:w="1134" w:type="dxa"/>
            <w:tcBorders>
              <w:top w:val="nil"/>
              <w:left w:val="nil"/>
              <w:bottom w:val="single" w:color="auto" w:sz="4" w:space="0"/>
              <w:right w:val="single" w:color="auto" w:sz="4" w:space="0"/>
            </w:tcBorders>
            <w:vAlign w:val="center"/>
          </w:tcPr>
          <w:p w14:paraId="7B5AF35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7.2</w:t>
            </w:r>
          </w:p>
          <w:p w14:paraId="3DA23390">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（按19年到25年，年均1.8%）</w:t>
            </w:r>
          </w:p>
        </w:tc>
        <w:tc>
          <w:tcPr>
            <w:tcW w:w="1134" w:type="dxa"/>
            <w:tcBorders>
              <w:top w:val="nil"/>
              <w:left w:val="nil"/>
              <w:bottom w:val="single" w:color="auto" w:sz="4" w:space="0"/>
              <w:right w:val="single" w:color="auto" w:sz="4" w:space="0"/>
            </w:tcBorders>
            <w:vAlign w:val="center"/>
          </w:tcPr>
          <w:p w14:paraId="12A0F57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5</w:t>
            </w:r>
          </w:p>
        </w:tc>
        <w:tc>
          <w:tcPr>
            <w:tcW w:w="1418" w:type="dxa"/>
            <w:tcBorders>
              <w:top w:val="nil"/>
              <w:left w:val="nil"/>
              <w:bottom w:val="single" w:color="auto" w:sz="4" w:space="0"/>
              <w:right w:val="single" w:color="auto" w:sz="4" w:space="0"/>
            </w:tcBorders>
            <w:vAlign w:val="center"/>
          </w:tcPr>
          <w:p w14:paraId="43F52A53">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2F657B0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632EBE2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706F534B">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798299BC">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2250A9AD">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19</w:t>
            </w:r>
          </w:p>
        </w:tc>
        <w:tc>
          <w:tcPr>
            <w:tcW w:w="2292" w:type="dxa"/>
            <w:tcBorders>
              <w:top w:val="nil"/>
              <w:left w:val="nil"/>
              <w:bottom w:val="single" w:color="auto" w:sz="4" w:space="0"/>
              <w:right w:val="single" w:color="auto" w:sz="4" w:space="0"/>
            </w:tcBorders>
            <w:vAlign w:val="center"/>
          </w:tcPr>
          <w:p w14:paraId="0B8A066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旅游接待人次年均增长（%）</w:t>
            </w:r>
          </w:p>
        </w:tc>
        <w:tc>
          <w:tcPr>
            <w:tcW w:w="1134" w:type="dxa"/>
            <w:tcBorders>
              <w:top w:val="nil"/>
              <w:left w:val="nil"/>
              <w:bottom w:val="single" w:color="auto" w:sz="4" w:space="0"/>
              <w:right w:val="single" w:color="auto" w:sz="4" w:space="0"/>
            </w:tcBorders>
            <w:vAlign w:val="center"/>
          </w:tcPr>
          <w:p w14:paraId="38303CD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3.5</w:t>
            </w:r>
          </w:p>
          <w:p w14:paraId="49235103">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（按19年到25年，年均6.8%）</w:t>
            </w:r>
          </w:p>
        </w:tc>
        <w:tc>
          <w:tcPr>
            <w:tcW w:w="1134" w:type="dxa"/>
            <w:tcBorders>
              <w:top w:val="nil"/>
              <w:left w:val="nil"/>
              <w:bottom w:val="single" w:color="auto" w:sz="4" w:space="0"/>
              <w:right w:val="single" w:color="auto" w:sz="4" w:space="0"/>
            </w:tcBorders>
            <w:vAlign w:val="center"/>
          </w:tcPr>
          <w:p w14:paraId="6AE7CC82">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4</w:t>
            </w:r>
          </w:p>
        </w:tc>
        <w:tc>
          <w:tcPr>
            <w:tcW w:w="1418" w:type="dxa"/>
            <w:tcBorders>
              <w:top w:val="nil"/>
              <w:left w:val="nil"/>
              <w:bottom w:val="single" w:color="auto" w:sz="4" w:space="0"/>
              <w:right w:val="single" w:color="auto" w:sz="4" w:space="0"/>
            </w:tcBorders>
            <w:vAlign w:val="center"/>
          </w:tcPr>
          <w:p w14:paraId="599D910F">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0CD2D3C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0F133F4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439E6196">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79DB4F8A">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6D87658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20</w:t>
            </w:r>
          </w:p>
        </w:tc>
        <w:tc>
          <w:tcPr>
            <w:tcW w:w="2292" w:type="dxa"/>
            <w:tcBorders>
              <w:top w:val="nil"/>
              <w:left w:val="nil"/>
              <w:bottom w:val="single" w:color="auto" w:sz="4" w:space="0"/>
              <w:right w:val="single" w:color="auto" w:sz="4" w:space="0"/>
            </w:tcBorders>
            <w:vAlign w:val="center"/>
          </w:tcPr>
          <w:p w14:paraId="7E4EEAB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创建国家等级景区（个）</w:t>
            </w:r>
          </w:p>
        </w:tc>
        <w:tc>
          <w:tcPr>
            <w:tcW w:w="1134" w:type="dxa"/>
            <w:tcBorders>
              <w:top w:val="nil"/>
              <w:left w:val="nil"/>
              <w:bottom w:val="single" w:color="auto" w:sz="4" w:space="0"/>
              <w:right w:val="single" w:color="auto" w:sz="4" w:space="0"/>
            </w:tcBorders>
            <w:vAlign w:val="center"/>
          </w:tcPr>
          <w:p w14:paraId="3490813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w:t>
            </w:r>
          </w:p>
        </w:tc>
        <w:tc>
          <w:tcPr>
            <w:tcW w:w="1134" w:type="dxa"/>
            <w:tcBorders>
              <w:top w:val="nil"/>
              <w:left w:val="nil"/>
              <w:bottom w:val="single" w:color="auto" w:sz="4" w:space="0"/>
              <w:right w:val="single" w:color="auto" w:sz="4" w:space="0"/>
            </w:tcBorders>
            <w:vAlign w:val="center"/>
          </w:tcPr>
          <w:p w14:paraId="26BA2779">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≥1</w:t>
            </w:r>
          </w:p>
        </w:tc>
        <w:tc>
          <w:tcPr>
            <w:tcW w:w="1418" w:type="dxa"/>
            <w:tcBorders>
              <w:top w:val="nil"/>
              <w:left w:val="nil"/>
              <w:bottom w:val="single" w:color="auto" w:sz="4" w:space="0"/>
              <w:right w:val="single" w:color="auto" w:sz="4" w:space="0"/>
            </w:tcBorders>
            <w:vAlign w:val="center"/>
          </w:tcPr>
          <w:p w14:paraId="4E89168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w:t>
            </w:r>
          </w:p>
        </w:tc>
        <w:tc>
          <w:tcPr>
            <w:tcW w:w="1134" w:type="dxa"/>
            <w:tcBorders>
              <w:top w:val="nil"/>
              <w:left w:val="nil"/>
              <w:bottom w:val="single" w:color="auto" w:sz="4" w:space="0"/>
              <w:right w:val="single" w:color="auto" w:sz="4" w:space="0"/>
            </w:tcBorders>
            <w:vAlign w:val="center"/>
          </w:tcPr>
          <w:p w14:paraId="7C326DD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35ACDCC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18CB532E">
        <w:trPr>
          <w:trHeight w:val="622" w:hRule="atLeast"/>
        </w:trPr>
        <w:tc>
          <w:tcPr>
            <w:tcW w:w="623" w:type="dxa"/>
            <w:vMerge w:val="continue"/>
            <w:tcBorders>
              <w:top w:val="nil"/>
              <w:left w:val="single" w:color="auto" w:sz="4" w:space="0"/>
              <w:bottom w:val="single" w:color="000000" w:sz="4" w:space="0"/>
              <w:right w:val="single" w:color="auto" w:sz="4" w:space="0"/>
            </w:tcBorders>
            <w:vAlign w:val="center"/>
          </w:tcPr>
          <w:p w14:paraId="2E12802D">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16CBF92B">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21</w:t>
            </w:r>
          </w:p>
        </w:tc>
        <w:tc>
          <w:tcPr>
            <w:tcW w:w="2292" w:type="dxa"/>
            <w:tcBorders>
              <w:top w:val="nil"/>
              <w:left w:val="nil"/>
              <w:bottom w:val="single" w:color="auto" w:sz="4" w:space="0"/>
              <w:right w:val="single" w:color="auto" w:sz="4" w:space="0"/>
            </w:tcBorders>
            <w:vAlign w:val="center"/>
          </w:tcPr>
          <w:p w14:paraId="2A22B0A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累计市级文商旅体等业态融合点位数量（个）</w:t>
            </w:r>
          </w:p>
        </w:tc>
        <w:tc>
          <w:tcPr>
            <w:tcW w:w="1134" w:type="dxa"/>
            <w:tcBorders>
              <w:top w:val="nil"/>
              <w:left w:val="nil"/>
              <w:bottom w:val="single" w:color="auto" w:sz="4" w:space="0"/>
              <w:right w:val="single" w:color="auto" w:sz="4" w:space="0"/>
            </w:tcBorders>
            <w:vAlign w:val="center"/>
          </w:tcPr>
          <w:p w14:paraId="0FDFBBD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54</w:t>
            </w:r>
          </w:p>
        </w:tc>
        <w:tc>
          <w:tcPr>
            <w:tcW w:w="1134" w:type="dxa"/>
            <w:tcBorders>
              <w:top w:val="nil"/>
              <w:left w:val="nil"/>
              <w:bottom w:val="single" w:color="auto" w:sz="4" w:space="0"/>
              <w:right w:val="single" w:color="auto" w:sz="4" w:space="0"/>
            </w:tcBorders>
            <w:vAlign w:val="center"/>
          </w:tcPr>
          <w:p w14:paraId="1535809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70</w:t>
            </w:r>
          </w:p>
        </w:tc>
        <w:tc>
          <w:tcPr>
            <w:tcW w:w="1418" w:type="dxa"/>
            <w:tcBorders>
              <w:top w:val="nil"/>
              <w:left w:val="nil"/>
              <w:bottom w:val="single" w:color="auto" w:sz="4" w:space="0"/>
              <w:right w:val="single" w:color="auto" w:sz="4" w:space="0"/>
            </w:tcBorders>
            <w:vAlign w:val="center"/>
          </w:tcPr>
          <w:p w14:paraId="4093131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【16】</w:t>
            </w:r>
          </w:p>
        </w:tc>
        <w:tc>
          <w:tcPr>
            <w:tcW w:w="1134" w:type="dxa"/>
            <w:tcBorders>
              <w:top w:val="nil"/>
              <w:left w:val="nil"/>
              <w:bottom w:val="single" w:color="auto" w:sz="4" w:space="0"/>
              <w:right w:val="single" w:color="auto" w:sz="4" w:space="0"/>
            </w:tcBorders>
            <w:vAlign w:val="center"/>
          </w:tcPr>
          <w:p w14:paraId="6551662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7EC9A4F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0368903A">
        <w:trPr>
          <w:trHeight w:val="696" w:hRule="atLeast"/>
        </w:trPr>
        <w:tc>
          <w:tcPr>
            <w:tcW w:w="623" w:type="dxa"/>
            <w:vMerge w:val="continue"/>
            <w:tcBorders>
              <w:top w:val="nil"/>
              <w:left w:val="single" w:color="auto" w:sz="4" w:space="0"/>
              <w:bottom w:val="single" w:color="000000" w:sz="4" w:space="0"/>
              <w:right w:val="single" w:color="auto" w:sz="4" w:space="0"/>
            </w:tcBorders>
            <w:vAlign w:val="center"/>
          </w:tcPr>
          <w:p w14:paraId="4B42DA76">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5EC3B70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22</w:t>
            </w:r>
          </w:p>
        </w:tc>
        <w:tc>
          <w:tcPr>
            <w:tcW w:w="2292" w:type="dxa"/>
            <w:tcBorders>
              <w:top w:val="nil"/>
              <w:left w:val="nil"/>
              <w:bottom w:val="single" w:color="auto" w:sz="4" w:space="0"/>
              <w:right w:val="single" w:color="auto" w:sz="4" w:space="0"/>
            </w:tcBorders>
            <w:vAlign w:val="center"/>
          </w:tcPr>
          <w:p w14:paraId="1551A9C4">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规上企业（家）</w:t>
            </w:r>
          </w:p>
        </w:tc>
        <w:tc>
          <w:tcPr>
            <w:tcW w:w="1134" w:type="dxa"/>
            <w:tcBorders>
              <w:top w:val="nil"/>
              <w:left w:val="nil"/>
              <w:bottom w:val="single" w:color="auto" w:sz="4" w:space="0"/>
              <w:right w:val="single" w:color="auto" w:sz="4" w:space="0"/>
            </w:tcBorders>
            <w:vAlign w:val="center"/>
          </w:tcPr>
          <w:p w14:paraId="78EA815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24</w:t>
            </w:r>
            <w:r>
              <w:rPr>
                <w:rFonts w:hint="eastAsia" w:ascii="仿宋_GB2312" w:hAnsi="等线" w:cs="宋体"/>
                <w:kern w:val="0"/>
                <w:sz w:val="24"/>
                <w:szCs w:val="24"/>
              </w:rPr>
              <w:t>0</w:t>
            </w:r>
          </w:p>
        </w:tc>
        <w:tc>
          <w:tcPr>
            <w:tcW w:w="1134" w:type="dxa"/>
            <w:tcBorders>
              <w:top w:val="nil"/>
              <w:left w:val="nil"/>
              <w:bottom w:val="single" w:color="auto" w:sz="4" w:space="0"/>
              <w:right w:val="single" w:color="auto" w:sz="4" w:space="0"/>
            </w:tcBorders>
            <w:vAlign w:val="center"/>
          </w:tcPr>
          <w:p w14:paraId="5770EF3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300</w:t>
            </w:r>
          </w:p>
        </w:tc>
        <w:tc>
          <w:tcPr>
            <w:tcW w:w="1418" w:type="dxa"/>
            <w:tcBorders>
              <w:top w:val="nil"/>
              <w:left w:val="nil"/>
              <w:bottom w:val="single" w:color="auto" w:sz="4" w:space="0"/>
              <w:right w:val="single" w:color="auto" w:sz="4" w:space="0"/>
            </w:tcBorders>
            <w:vAlign w:val="center"/>
          </w:tcPr>
          <w:p w14:paraId="22955677">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r>
              <w:rPr>
                <w:rFonts w:hint="eastAsia" w:ascii="仿宋_GB2312" w:hAnsi="等线" w:cs="宋体"/>
                <w:kern w:val="0"/>
                <w:sz w:val="24"/>
                <w:szCs w:val="24"/>
              </w:rPr>
              <w:t>60</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5622CC0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0FF9F63F">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丰台特色</w:t>
            </w:r>
          </w:p>
        </w:tc>
      </w:tr>
      <w:tr w14:paraId="2C893AF2">
        <w:trPr>
          <w:trHeight w:val="408" w:hRule="atLeast"/>
        </w:trPr>
        <w:tc>
          <w:tcPr>
            <w:tcW w:w="623" w:type="dxa"/>
            <w:vMerge w:val="restart"/>
            <w:tcBorders>
              <w:top w:val="nil"/>
              <w:left w:val="single" w:color="auto" w:sz="4" w:space="0"/>
              <w:bottom w:val="single" w:color="000000" w:sz="4" w:space="0"/>
              <w:right w:val="single" w:color="auto" w:sz="4" w:space="0"/>
            </w:tcBorders>
            <w:vAlign w:val="center"/>
          </w:tcPr>
          <w:p w14:paraId="5D71C388">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市场治理</w:t>
            </w:r>
          </w:p>
        </w:tc>
        <w:tc>
          <w:tcPr>
            <w:tcW w:w="624" w:type="dxa"/>
            <w:tcBorders>
              <w:top w:val="nil"/>
              <w:left w:val="nil"/>
              <w:bottom w:val="single" w:color="auto" w:sz="4" w:space="0"/>
              <w:right w:val="single" w:color="auto" w:sz="4" w:space="0"/>
            </w:tcBorders>
            <w:vAlign w:val="center"/>
          </w:tcPr>
          <w:p w14:paraId="706716AA">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23</w:t>
            </w:r>
          </w:p>
        </w:tc>
        <w:tc>
          <w:tcPr>
            <w:tcW w:w="2292" w:type="dxa"/>
            <w:tcBorders>
              <w:top w:val="nil"/>
              <w:left w:val="nil"/>
              <w:bottom w:val="single" w:color="auto" w:sz="4" w:space="0"/>
              <w:right w:val="single" w:color="auto" w:sz="4" w:space="0"/>
            </w:tcBorders>
            <w:vAlign w:val="center"/>
          </w:tcPr>
          <w:p w14:paraId="3DDD64EE">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纳入标准化管理的高品质酒店（家）</w:t>
            </w:r>
          </w:p>
        </w:tc>
        <w:tc>
          <w:tcPr>
            <w:tcW w:w="1134" w:type="dxa"/>
            <w:tcBorders>
              <w:top w:val="nil"/>
              <w:left w:val="nil"/>
              <w:bottom w:val="single" w:color="auto" w:sz="4" w:space="0"/>
              <w:right w:val="single" w:color="auto" w:sz="4" w:space="0"/>
            </w:tcBorders>
            <w:vAlign w:val="center"/>
          </w:tcPr>
          <w:p w14:paraId="7175CAF6">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15</w:t>
            </w:r>
          </w:p>
        </w:tc>
        <w:tc>
          <w:tcPr>
            <w:tcW w:w="1134" w:type="dxa"/>
            <w:tcBorders>
              <w:top w:val="nil"/>
              <w:left w:val="nil"/>
              <w:bottom w:val="single" w:color="auto" w:sz="4" w:space="0"/>
              <w:right w:val="single" w:color="auto" w:sz="4" w:space="0"/>
            </w:tcBorders>
            <w:vAlign w:val="center"/>
          </w:tcPr>
          <w:p w14:paraId="4EF82AAA">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30</w:t>
            </w:r>
          </w:p>
        </w:tc>
        <w:tc>
          <w:tcPr>
            <w:tcW w:w="1418" w:type="dxa"/>
            <w:tcBorders>
              <w:top w:val="nil"/>
              <w:left w:val="nil"/>
              <w:bottom w:val="single" w:color="auto" w:sz="4" w:space="0"/>
              <w:right w:val="single" w:color="auto" w:sz="4" w:space="0"/>
            </w:tcBorders>
            <w:vAlign w:val="center"/>
          </w:tcPr>
          <w:p w14:paraId="218999CC">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r>
              <w:rPr>
                <w:rFonts w:hint="eastAsia" w:ascii="仿宋_GB2312" w:hAnsi="等线" w:cs="宋体"/>
                <w:kern w:val="0"/>
                <w:sz w:val="24"/>
                <w:szCs w:val="24"/>
              </w:rPr>
              <w:t>15</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36DDD903">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77DB20E0">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对标市级文旅规划</w:t>
            </w:r>
          </w:p>
        </w:tc>
      </w:tr>
      <w:tr w14:paraId="05C7154E">
        <w:trPr>
          <w:trHeight w:val="408" w:hRule="atLeast"/>
        </w:trPr>
        <w:tc>
          <w:tcPr>
            <w:tcW w:w="623" w:type="dxa"/>
            <w:vMerge w:val="continue"/>
            <w:tcBorders>
              <w:top w:val="nil"/>
              <w:left w:val="single" w:color="auto" w:sz="4" w:space="0"/>
              <w:bottom w:val="single" w:color="000000" w:sz="4" w:space="0"/>
              <w:right w:val="single" w:color="auto" w:sz="4" w:space="0"/>
            </w:tcBorders>
            <w:vAlign w:val="center"/>
          </w:tcPr>
          <w:p w14:paraId="27A71C46">
            <w:pPr>
              <w:widowControl/>
              <w:spacing w:after="0" w:line="320" w:lineRule="exact"/>
              <w:ind w:firstLine="0" w:firstLineChars="0"/>
              <w:jc w:val="left"/>
              <w:rPr>
                <w:rFonts w:hint="eastAsia" w:ascii="仿宋_GB2312" w:hAnsi="等线" w:cs="宋体"/>
                <w:kern w:val="0"/>
                <w:sz w:val="24"/>
                <w:szCs w:val="24"/>
              </w:rPr>
            </w:pPr>
          </w:p>
        </w:tc>
        <w:tc>
          <w:tcPr>
            <w:tcW w:w="624" w:type="dxa"/>
            <w:tcBorders>
              <w:top w:val="nil"/>
              <w:left w:val="nil"/>
              <w:bottom w:val="single" w:color="auto" w:sz="4" w:space="0"/>
              <w:right w:val="single" w:color="auto" w:sz="4" w:space="0"/>
            </w:tcBorders>
            <w:vAlign w:val="center"/>
          </w:tcPr>
          <w:p w14:paraId="50F4726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24</w:t>
            </w:r>
          </w:p>
        </w:tc>
        <w:tc>
          <w:tcPr>
            <w:tcW w:w="2292" w:type="dxa"/>
            <w:tcBorders>
              <w:top w:val="nil"/>
              <w:left w:val="nil"/>
              <w:bottom w:val="single" w:color="auto" w:sz="4" w:space="0"/>
              <w:right w:val="single" w:color="auto" w:sz="4" w:space="0"/>
            </w:tcBorders>
            <w:vAlign w:val="center"/>
          </w:tcPr>
          <w:p w14:paraId="4CD5FCD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高信用等级旅行社(家)</w:t>
            </w:r>
          </w:p>
        </w:tc>
        <w:tc>
          <w:tcPr>
            <w:tcW w:w="1134" w:type="dxa"/>
            <w:tcBorders>
              <w:top w:val="nil"/>
              <w:left w:val="nil"/>
              <w:bottom w:val="single" w:color="auto" w:sz="4" w:space="0"/>
              <w:right w:val="single" w:color="auto" w:sz="4" w:space="0"/>
            </w:tcBorders>
            <w:vAlign w:val="center"/>
          </w:tcPr>
          <w:p w14:paraId="48517DA6">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3</w:t>
            </w:r>
            <w:r>
              <w:rPr>
                <w:rFonts w:hint="eastAsia" w:ascii="仿宋_GB2312" w:hAnsi="等线" w:cs="宋体"/>
                <w:kern w:val="0"/>
                <w:sz w:val="24"/>
                <w:szCs w:val="24"/>
              </w:rPr>
              <w:t>00</w:t>
            </w:r>
          </w:p>
        </w:tc>
        <w:tc>
          <w:tcPr>
            <w:tcW w:w="1134" w:type="dxa"/>
            <w:tcBorders>
              <w:top w:val="nil"/>
              <w:left w:val="nil"/>
              <w:bottom w:val="single" w:color="auto" w:sz="4" w:space="0"/>
              <w:right w:val="single" w:color="auto" w:sz="4" w:space="0"/>
            </w:tcBorders>
            <w:vAlign w:val="center"/>
          </w:tcPr>
          <w:p w14:paraId="794E3652">
            <w:pPr>
              <w:widowControl/>
              <w:spacing w:after="0" w:line="320" w:lineRule="exact"/>
              <w:ind w:firstLine="0" w:firstLineChars="0"/>
              <w:jc w:val="center"/>
              <w:rPr>
                <w:rFonts w:hint="eastAsia" w:ascii="仿宋_GB2312" w:hAnsi="等线" w:cs="宋体"/>
                <w:kern w:val="0"/>
                <w:sz w:val="24"/>
                <w:szCs w:val="24"/>
              </w:rPr>
            </w:pPr>
            <w:r>
              <w:rPr>
                <w:rFonts w:hint="eastAsia" w:ascii="仿宋_GB2312" w:hAnsi="等线" w:cs="宋体"/>
                <w:kern w:val="0"/>
                <w:sz w:val="24"/>
                <w:szCs w:val="24"/>
              </w:rPr>
              <w:t>420</w:t>
            </w:r>
          </w:p>
        </w:tc>
        <w:tc>
          <w:tcPr>
            <w:tcW w:w="1418" w:type="dxa"/>
            <w:tcBorders>
              <w:top w:val="nil"/>
              <w:left w:val="nil"/>
              <w:bottom w:val="single" w:color="auto" w:sz="4" w:space="0"/>
              <w:right w:val="single" w:color="auto" w:sz="4" w:space="0"/>
            </w:tcBorders>
            <w:vAlign w:val="center"/>
          </w:tcPr>
          <w:p w14:paraId="4886F301">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w:t>
            </w:r>
            <w:r>
              <w:rPr>
                <w:rFonts w:hint="eastAsia" w:ascii="仿宋_GB2312" w:hAnsi="等线" w:cs="宋体"/>
                <w:kern w:val="0"/>
                <w:sz w:val="24"/>
                <w:szCs w:val="24"/>
              </w:rPr>
              <w:t>120</w:t>
            </w:r>
            <w:r>
              <w:rPr>
                <w:rFonts w:ascii="仿宋_GB2312" w:hAnsi="等线" w:cs="宋体"/>
                <w:kern w:val="0"/>
                <w:sz w:val="24"/>
                <w:szCs w:val="24"/>
              </w:rPr>
              <w:t>】</w:t>
            </w:r>
          </w:p>
        </w:tc>
        <w:tc>
          <w:tcPr>
            <w:tcW w:w="1134" w:type="dxa"/>
            <w:tcBorders>
              <w:top w:val="nil"/>
              <w:left w:val="nil"/>
              <w:bottom w:val="single" w:color="auto" w:sz="4" w:space="0"/>
              <w:right w:val="single" w:color="auto" w:sz="4" w:space="0"/>
            </w:tcBorders>
            <w:vAlign w:val="center"/>
          </w:tcPr>
          <w:p w14:paraId="7C255A15">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预期性</w:t>
            </w:r>
          </w:p>
        </w:tc>
        <w:tc>
          <w:tcPr>
            <w:tcW w:w="1275" w:type="dxa"/>
            <w:tcBorders>
              <w:top w:val="nil"/>
              <w:left w:val="nil"/>
              <w:bottom w:val="single" w:color="auto" w:sz="4" w:space="0"/>
              <w:right w:val="single" w:color="auto" w:sz="4" w:space="0"/>
            </w:tcBorders>
            <w:vAlign w:val="center"/>
          </w:tcPr>
          <w:p w14:paraId="3FFDC6F9">
            <w:pPr>
              <w:widowControl/>
              <w:spacing w:after="0" w:line="320" w:lineRule="exact"/>
              <w:ind w:firstLine="0" w:firstLineChars="0"/>
              <w:jc w:val="center"/>
              <w:rPr>
                <w:rFonts w:hint="eastAsia" w:ascii="仿宋_GB2312" w:hAnsi="等线" w:cs="宋体"/>
                <w:kern w:val="0"/>
                <w:sz w:val="24"/>
                <w:szCs w:val="24"/>
              </w:rPr>
            </w:pPr>
            <w:r>
              <w:rPr>
                <w:rFonts w:ascii="仿宋_GB2312" w:hAnsi="等线" w:cs="宋体"/>
                <w:kern w:val="0"/>
                <w:sz w:val="24"/>
                <w:szCs w:val="24"/>
              </w:rPr>
              <w:t>对标市级文旅规划</w:t>
            </w:r>
          </w:p>
        </w:tc>
      </w:tr>
    </w:tbl>
    <w:p w14:paraId="482FB43E">
      <w:pPr>
        <w:spacing w:after="0"/>
        <w:ind w:firstLine="198" w:firstLineChars="62"/>
        <w:rPr>
          <w:rFonts w:ascii="仿宋_GB2312" w:hAnsi="仿宋_GB2312" w:cs="仿宋_GB2312"/>
          <w:bCs/>
          <w:color w:val="EE0000"/>
          <w:kern w:val="0"/>
          <w:szCs w:val="32"/>
        </w:rPr>
      </w:pPr>
    </w:p>
    <w:p w14:paraId="2311D64F">
      <w:pPr>
        <w:spacing w:after="0"/>
        <w:ind w:firstLine="640"/>
        <w:rPr>
          <w:rFonts w:ascii="Times New Roman" w:hAnsi="Times New Roman" w:eastAsia="黑体" w:cs="Times New Roman"/>
          <w:bCs/>
          <w:kern w:val="44"/>
          <w:szCs w:val="32"/>
        </w:rPr>
        <w:sectPr>
          <w:footerReference r:id="rId11" w:type="default"/>
          <w:pgSz w:w="11906" w:h="16838"/>
          <w:pgMar w:top="2098" w:right="1474" w:bottom="1985" w:left="1588" w:header="0" w:footer="0" w:gutter="0"/>
          <w:pgNumType w:start="1"/>
          <w:cols w:space="425" w:num="1"/>
          <w:docGrid w:type="lines" w:linePitch="435" w:charSpace="0"/>
        </w:sectPr>
      </w:pPr>
    </w:p>
    <w:p w14:paraId="7E57544F">
      <w:pPr>
        <w:adjustRightInd w:val="0"/>
        <w:spacing w:after="0"/>
        <w:ind w:firstLine="640"/>
        <w:outlineLvl w:val="0"/>
        <w:rPr>
          <w:rFonts w:ascii="Times New Roman" w:hAnsi="Times New Roman" w:eastAsia="黑体" w:cs="Times New Roman"/>
          <w:bCs/>
          <w:kern w:val="44"/>
          <w:szCs w:val="32"/>
        </w:rPr>
      </w:pPr>
      <w:bookmarkStart w:id="30" w:name="_Toc241505616"/>
      <w:r>
        <w:rPr>
          <w:rFonts w:hint="eastAsia" w:ascii="Times New Roman" w:hAnsi="Times New Roman" w:eastAsia="黑体" w:cs="Times New Roman"/>
          <w:bCs/>
          <w:kern w:val="44"/>
          <w:szCs w:val="32"/>
        </w:rPr>
        <w:t>二、</w:t>
      </w:r>
      <w:bookmarkStart w:id="31" w:name="OLE_LINK54"/>
      <w:r>
        <w:rPr>
          <w:rFonts w:hint="eastAsia" w:ascii="Times New Roman" w:hAnsi="Times New Roman" w:eastAsia="黑体" w:cs="Times New Roman"/>
          <w:bCs/>
          <w:kern w:val="44"/>
          <w:szCs w:val="32"/>
        </w:rPr>
        <w:t>构建“一轴两带三区多点”融合发展新格局</w:t>
      </w:r>
      <w:bookmarkEnd w:id="22"/>
      <w:bookmarkEnd w:id="23"/>
      <w:bookmarkEnd w:id="24"/>
      <w:bookmarkEnd w:id="30"/>
      <w:bookmarkEnd w:id="31"/>
    </w:p>
    <w:p w14:paraId="774A6311">
      <w:pPr>
        <w:adjustRightInd w:val="0"/>
        <w:spacing w:after="0" w:line="240" w:lineRule="auto"/>
        <w:ind w:firstLine="0" w:firstLineChars="0"/>
        <w:jc w:val="center"/>
        <w:rPr>
          <w:rFonts w:ascii="楷体_GB2312" w:hAnsi="Times New Roman" w:eastAsia="楷体_GB2312"/>
          <w:szCs w:val="32"/>
        </w:rPr>
      </w:pPr>
      <w:r>
        <w:t xml:space="preserve"> </w:t>
      </w:r>
      <w:r>
        <w:drawing>
          <wp:inline distT="0" distB="0" distL="0" distR="0">
            <wp:extent cx="8099425" cy="3502660"/>
            <wp:effectExtent l="0" t="0" r="0" b="2540"/>
            <wp:docPr id="1945838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38932" name="图片 1"/>
                    <pic:cNvPicPr>
                      <a:picLocks noChangeAspect="1"/>
                    </pic:cNvPicPr>
                  </pic:nvPicPr>
                  <pic:blipFill>
                    <a:blip r:embed="rId13"/>
                    <a:srcRect t="-1" b="471"/>
                    <a:stretch>
                      <a:fillRect/>
                    </a:stretch>
                  </pic:blipFill>
                  <pic:spPr>
                    <a:xfrm>
                      <a:off x="0" y="0"/>
                      <a:ext cx="8099425" cy="3503221"/>
                    </a:xfrm>
                    <a:prstGeom prst="rect">
                      <a:avLst/>
                    </a:prstGeom>
                    <a:ln>
                      <a:noFill/>
                    </a:ln>
                  </pic:spPr>
                </pic:pic>
              </a:graphicData>
            </a:graphic>
          </wp:inline>
        </w:drawing>
      </w:r>
    </w:p>
    <w:p w14:paraId="7BC7737D">
      <w:pPr>
        <w:adjustRightInd w:val="0"/>
        <w:spacing w:after="0" w:line="240" w:lineRule="auto"/>
        <w:ind w:firstLine="0" w:firstLineChars="0"/>
        <w:jc w:val="center"/>
        <w:rPr>
          <w:rFonts w:hint="eastAsia" w:ascii="黑体" w:hAnsi="黑体" w:eastAsia="黑体"/>
          <w:sz w:val="28"/>
          <w:szCs w:val="28"/>
        </w:rPr>
        <w:sectPr>
          <w:pgSz w:w="16838" w:h="11906" w:orient="landscape"/>
          <w:pgMar w:top="1588" w:right="2098" w:bottom="1474" w:left="1985" w:header="0" w:footer="0" w:gutter="0"/>
          <w:pgNumType w:start="1"/>
          <w:cols w:space="425" w:num="1"/>
          <w:docGrid w:type="lines" w:linePitch="435" w:charSpace="0"/>
        </w:sectPr>
      </w:pPr>
      <w:r>
        <w:rPr>
          <w:rFonts w:hint="eastAsia" w:ascii="黑体" w:hAnsi="黑体" w:eastAsia="黑体"/>
          <w:sz w:val="28"/>
          <w:szCs w:val="28"/>
        </w:rPr>
        <w:t>图1 丰台区文化、旅游、体育发展空间布局图</w:t>
      </w:r>
    </w:p>
    <w:p w14:paraId="2DA68D67">
      <w:pPr>
        <w:spacing w:after="0"/>
        <w:ind w:firstLine="643"/>
        <w:rPr>
          <w:rFonts w:hint="eastAsia" w:ascii="仿宋_GB2312" w:hAnsi="仿宋_GB2312" w:cs="仿宋_GB2312"/>
          <w:kern w:val="0"/>
          <w:szCs w:val="32"/>
        </w:rPr>
      </w:pPr>
      <w:bookmarkStart w:id="32" w:name="OLE_LINK103"/>
      <w:bookmarkStart w:id="33" w:name="_Toc217058508"/>
      <w:bookmarkStart w:id="34" w:name="_Toc231464589"/>
      <w:bookmarkStart w:id="35" w:name="_Toc232610168"/>
      <w:r>
        <w:rPr>
          <w:rFonts w:hint="eastAsia" w:ascii="仿宋_GB2312"/>
          <w:b/>
          <w:bCs/>
          <w:szCs w:val="32"/>
        </w:rPr>
        <w:t>一轴</w:t>
      </w:r>
      <w:r>
        <w:rPr>
          <w:rFonts w:hint="eastAsia" w:ascii="仿宋_GB2312"/>
          <w:szCs w:val="32"/>
        </w:rPr>
        <w:t>：</w:t>
      </w:r>
      <w:bookmarkStart w:id="36" w:name="OLE_LINK61"/>
      <w:r>
        <w:rPr>
          <w:rFonts w:hint="eastAsia" w:ascii="仿宋_GB2312"/>
          <w:b/>
          <w:bCs/>
          <w:szCs w:val="32"/>
        </w:rPr>
        <w:t>南中轴文化轴</w:t>
      </w:r>
      <w:bookmarkEnd w:id="32"/>
      <w:r>
        <w:rPr>
          <w:rFonts w:hint="eastAsia" w:ascii="仿宋_GB2312"/>
          <w:szCs w:val="32"/>
        </w:rPr>
        <w:t>。</w:t>
      </w:r>
      <w:bookmarkStart w:id="37" w:name="OLE_LINK62"/>
      <w:r>
        <w:rPr>
          <w:rFonts w:hint="eastAsia" w:ascii="仿宋_GB2312" w:hAnsi="仿宋_GB2312" w:cs="仿宋_GB2312"/>
          <w:kern w:val="0"/>
          <w:szCs w:val="32"/>
        </w:rPr>
        <w:t>构筑南中轴“未来轴线”，建设</w:t>
      </w:r>
      <w:r>
        <w:rPr>
          <w:rFonts w:hint="eastAsia" w:ascii="仿宋_GB2312"/>
          <w:szCs w:val="32"/>
        </w:rPr>
        <w:t>大红门博物馆群，</w:t>
      </w:r>
      <w:r>
        <w:rPr>
          <w:rFonts w:hint="eastAsia" w:ascii="仿宋_GB2312" w:hAnsi="仿宋_GB2312" w:cs="仿宋_GB2312"/>
          <w:kern w:val="0"/>
          <w:szCs w:val="32"/>
        </w:rPr>
        <w:t>推进文化博览、文化演艺等业态集聚发展。</w:t>
      </w:r>
      <w:bookmarkEnd w:id="33"/>
      <w:bookmarkEnd w:id="34"/>
      <w:bookmarkEnd w:id="35"/>
      <w:bookmarkEnd w:id="36"/>
      <w:r>
        <w:rPr>
          <w:rFonts w:hint="eastAsia" w:ascii="仿宋_GB2312" w:hAnsi="仿宋_GB2312" w:cs="仿宋_GB2312"/>
          <w:kern w:val="0"/>
          <w:szCs w:val="32"/>
        </w:rPr>
        <w:t>建成国家自然博物馆等国家级重大文化设施，</w:t>
      </w:r>
      <w:r>
        <w:t>推行</w:t>
      </w:r>
      <w:r>
        <w:rPr>
          <w:rFonts w:hint="eastAsia"/>
        </w:rPr>
        <w:t>“博物馆+”“展览</w:t>
      </w:r>
      <w:r>
        <w:t>+</w:t>
      </w:r>
      <w:r>
        <w:rPr>
          <w:rFonts w:hint="eastAsia"/>
        </w:rPr>
        <w:t>”</w:t>
      </w:r>
      <w:r>
        <w:t>模式，鼓励博物馆与文商旅体深度融合。</w:t>
      </w:r>
      <w:r>
        <w:rPr>
          <w:rFonts w:hint="eastAsia"/>
        </w:rPr>
        <w:t>以</w:t>
      </w:r>
      <w:r>
        <w:t>中央芭蕾舞团</w:t>
      </w:r>
      <w:r>
        <w:rPr>
          <w:rFonts w:hint="eastAsia"/>
        </w:rPr>
        <w:t>等国家级院团为引领，</w:t>
      </w:r>
      <w:r>
        <w:rPr>
          <w:rFonts w:hint="eastAsia" w:ascii="仿宋_GB2312"/>
        </w:rPr>
        <w:t>打造</w:t>
      </w:r>
      <w:bookmarkStart w:id="38" w:name="OLE_LINK6"/>
      <w:r>
        <w:rPr>
          <w:rFonts w:hint="eastAsia" w:ascii="仿宋_GB2312"/>
        </w:rPr>
        <w:t>南中轴文博演艺区</w:t>
      </w:r>
      <w:bookmarkEnd w:id="38"/>
      <w:r>
        <w:rPr>
          <w:rFonts w:hint="eastAsia" w:ascii="仿宋_GB2312" w:hAnsi="仿宋_GB2312" w:cs="仿宋_GB2312"/>
          <w:kern w:val="0"/>
          <w:szCs w:val="32"/>
        </w:rPr>
        <w:t>，丰富高品质文化供给。</w:t>
      </w:r>
      <w:r>
        <w:rPr>
          <w:rFonts w:ascii="仿宋_GB2312"/>
          <w:szCs w:val="32"/>
        </w:rPr>
        <w:t>加快推进大国文化客厅建设</w:t>
      </w:r>
      <w:r>
        <w:rPr>
          <w:rFonts w:hint="eastAsia" w:ascii="仿宋_GB2312"/>
          <w:szCs w:val="32"/>
        </w:rPr>
        <w:t>，</w:t>
      </w:r>
      <w:r>
        <w:rPr>
          <w:rFonts w:ascii="仿宋_GB2312"/>
          <w:szCs w:val="32"/>
        </w:rPr>
        <w:t>塑造国际文化交流新阵地</w:t>
      </w:r>
      <w:r>
        <w:rPr>
          <w:rFonts w:hint="eastAsia" w:ascii="仿宋_GB2312"/>
          <w:szCs w:val="32"/>
        </w:rPr>
        <w:t>，</w:t>
      </w:r>
      <w:r>
        <w:rPr>
          <w:rFonts w:hint="eastAsia" w:ascii="仿宋_GB2312" w:hAnsi="仿宋_GB2312" w:cs="仿宋_GB2312"/>
          <w:kern w:val="0"/>
          <w:szCs w:val="32"/>
        </w:rPr>
        <w:t>利用</w:t>
      </w:r>
      <w:r>
        <w:rPr>
          <w:rFonts w:ascii="仿宋_GB2312" w:hAnsi="仿宋_GB2312" w:cs="仿宋_GB2312"/>
          <w:kern w:val="0"/>
          <w:szCs w:val="32"/>
        </w:rPr>
        <w:t>南中轴地区</w:t>
      </w:r>
      <w:r>
        <w:rPr>
          <w:rFonts w:hint="eastAsia" w:ascii="仿宋_GB2312" w:hAnsi="仿宋_GB2312" w:cs="仿宋_GB2312"/>
          <w:kern w:val="0"/>
          <w:szCs w:val="32"/>
        </w:rPr>
        <w:t>产业园区等多元</w:t>
      </w:r>
      <w:r>
        <w:rPr>
          <w:rFonts w:ascii="仿宋_GB2312" w:hAnsi="仿宋_GB2312" w:cs="仿宋_GB2312"/>
          <w:kern w:val="0"/>
          <w:szCs w:val="32"/>
        </w:rPr>
        <w:t>文化空间，</w:t>
      </w:r>
      <w:r>
        <w:rPr>
          <w:rFonts w:hint="eastAsia" w:ascii="仿宋_GB2312" w:hAnsi="仿宋_GB2312" w:cs="仿宋_GB2312"/>
          <w:kern w:val="0"/>
          <w:szCs w:val="32"/>
        </w:rPr>
        <w:t>推动举办</w:t>
      </w:r>
      <w:r>
        <w:rPr>
          <w:rFonts w:ascii="仿宋_GB2312" w:hAnsi="仿宋_GB2312" w:cs="仿宋_GB2312"/>
          <w:kern w:val="0"/>
          <w:szCs w:val="32"/>
        </w:rPr>
        <w:t>国际文化</w:t>
      </w:r>
      <w:r>
        <w:rPr>
          <w:rFonts w:hint="eastAsia" w:ascii="仿宋_GB2312" w:hAnsi="仿宋_GB2312" w:cs="仿宋_GB2312"/>
          <w:kern w:val="0"/>
          <w:szCs w:val="32"/>
        </w:rPr>
        <w:t>活动</w:t>
      </w:r>
      <w:bookmarkEnd w:id="37"/>
      <w:r>
        <w:rPr>
          <w:rFonts w:ascii="仿宋_GB2312" w:hAnsi="仿宋_GB2312" w:cs="仿宋_GB2312"/>
          <w:kern w:val="0"/>
          <w:szCs w:val="32"/>
        </w:rPr>
        <w:t>。</w:t>
      </w:r>
    </w:p>
    <w:p w14:paraId="698B8028">
      <w:pPr>
        <w:spacing w:after="0"/>
        <w:ind w:firstLine="643"/>
        <w:rPr>
          <w:rFonts w:hint="eastAsia" w:ascii="仿宋_GB2312" w:hAnsi="仿宋_GB2312" w:cs="仿宋_GB2312"/>
          <w:kern w:val="0"/>
          <w:szCs w:val="32"/>
        </w:rPr>
      </w:pPr>
      <w:bookmarkStart w:id="39" w:name="OLE_LINK104"/>
      <w:bookmarkStart w:id="40" w:name="OLE_LINK63"/>
      <w:r>
        <w:rPr>
          <w:rFonts w:hint="eastAsia" w:ascii="仿宋_GB2312"/>
          <w:b/>
          <w:bCs/>
          <w:szCs w:val="32"/>
        </w:rPr>
        <w:t>两带</w:t>
      </w:r>
      <w:r>
        <w:rPr>
          <w:rFonts w:hint="eastAsia" w:ascii="仿宋_GB2312"/>
          <w:szCs w:val="32"/>
        </w:rPr>
        <w:t>：</w:t>
      </w:r>
      <w:bookmarkStart w:id="41" w:name="OLE_LINK33"/>
      <w:r>
        <w:rPr>
          <w:rFonts w:hint="eastAsia" w:ascii="仿宋_GB2312"/>
          <w:b/>
          <w:bCs/>
          <w:szCs w:val="32"/>
        </w:rPr>
        <w:t>西山永定河文化带（丰台段）</w:t>
      </w:r>
      <w:bookmarkEnd w:id="39"/>
      <w:r>
        <w:rPr>
          <w:rFonts w:hint="eastAsia" w:ascii="仿宋_GB2312"/>
          <w:szCs w:val="32"/>
        </w:rPr>
        <w:t>。</w:t>
      </w:r>
      <w:bookmarkStart w:id="42" w:name="OLE_LINK25"/>
      <w:bookmarkStart w:id="43" w:name="OLE_LINK64"/>
      <w:r>
        <w:rPr>
          <w:rFonts w:ascii="仿宋_GB2312"/>
          <w:szCs w:val="32"/>
        </w:rPr>
        <w:t>构建</w:t>
      </w:r>
      <w:r>
        <w:rPr>
          <w:rFonts w:hint="eastAsia" w:ascii="仿宋_GB2312"/>
          <w:szCs w:val="32"/>
        </w:rPr>
        <w:t>园博园“</w:t>
      </w:r>
      <w:r>
        <w:rPr>
          <w:rFonts w:ascii="仿宋_GB2312"/>
          <w:szCs w:val="32"/>
        </w:rPr>
        <w:t>生态+文旅+休闲</w:t>
      </w:r>
      <w:r>
        <w:rPr>
          <w:rFonts w:hint="eastAsia" w:ascii="仿宋_GB2312"/>
          <w:szCs w:val="32"/>
        </w:rPr>
        <w:t>”</w:t>
      </w:r>
      <w:r>
        <w:rPr>
          <w:rFonts w:ascii="仿宋_GB2312"/>
          <w:szCs w:val="32"/>
        </w:rPr>
        <w:t>城市综合功能区，焕新鹰山永定塔乐活区和园博湖动感活力水岸，打造永定河亲水消费廊道</w:t>
      </w:r>
      <w:r>
        <w:rPr>
          <w:rFonts w:hint="eastAsia" w:ascii="仿宋_GB2312"/>
          <w:szCs w:val="32"/>
        </w:rPr>
        <w:t>。</w:t>
      </w:r>
      <w:bookmarkEnd w:id="42"/>
      <w:r>
        <w:rPr>
          <w:rFonts w:hint="eastAsia" w:ascii="仿宋_GB2312"/>
          <w:szCs w:val="32"/>
        </w:rPr>
        <w:t>向北</w:t>
      </w:r>
      <w:r>
        <w:rPr>
          <w:rFonts w:ascii="仿宋_GB2312"/>
          <w:szCs w:val="32"/>
        </w:rPr>
        <w:t>联动首钢园，</w:t>
      </w:r>
      <w:r>
        <w:rPr>
          <w:rFonts w:hint="eastAsia" w:ascii="仿宋_GB2312"/>
          <w:szCs w:val="32"/>
        </w:rPr>
        <w:t>实现首钢工业游与园博生态游错位互补、共建共享。</w:t>
      </w:r>
      <w:r>
        <w:rPr>
          <w:rFonts w:ascii="仿宋_GB2312"/>
          <w:szCs w:val="32"/>
        </w:rPr>
        <w:t>加快</w:t>
      </w:r>
      <w:bookmarkStart w:id="44" w:name="OLE_LINK36"/>
      <w:r>
        <w:rPr>
          <w:rFonts w:ascii="仿宋_GB2312"/>
          <w:szCs w:val="32"/>
        </w:rPr>
        <w:t>西山永定河文化带绿道（丰台段）</w:t>
      </w:r>
      <w:bookmarkEnd w:id="44"/>
      <w:r>
        <w:rPr>
          <w:rFonts w:ascii="仿宋_GB2312"/>
          <w:szCs w:val="32"/>
        </w:rPr>
        <w:t>建设，强化永定河流域（丰台段）水岸慢行系统连通和绿化美化</w:t>
      </w:r>
      <w:r>
        <w:rPr>
          <w:rFonts w:hint="eastAsia" w:ascii="仿宋_GB2312"/>
          <w:szCs w:val="32"/>
        </w:rPr>
        <w:t>。完善青少年水上运动基地（园博湖）功能建设，助力打造北京西部“两园一河”水岸客厅</w:t>
      </w:r>
      <w:bookmarkEnd w:id="40"/>
      <w:r>
        <w:rPr>
          <w:rFonts w:hint="eastAsia" w:ascii="仿宋_GB2312" w:hAnsi="仿宋_GB2312" w:cs="仿宋_GB2312"/>
          <w:kern w:val="0"/>
          <w:szCs w:val="32"/>
        </w:rPr>
        <w:t>。</w:t>
      </w:r>
      <w:bookmarkEnd w:id="41"/>
      <w:bookmarkStart w:id="45" w:name="OLE_LINK135"/>
      <w:r>
        <w:rPr>
          <w:rFonts w:hint="eastAsia" w:ascii="仿宋_GB2312" w:hAnsi="仿宋_GB2312" w:cs="仿宋_GB2312"/>
          <w:kern w:val="0"/>
          <w:szCs w:val="32"/>
        </w:rPr>
        <w:t>以创建国家5A级旅游景区为目标，以打造世界和平纪念地为愿景，规划建设卢沟桥文化公园</w:t>
      </w:r>
      <w:bookmarkEnd w:id="45"/>
      <w:r>
        <w:rPr>
          <w:rFonts w:hint="eastAsia" w:ascii="仿宋_GB2312" w:hAnsi="仿宋_GB2312" w:cs="仿宋_GB2312"/>
          <w:kern w:val="0"/>
          <w:szCs w:val="32"/>
        </w:rPr>
        <w:t>，实现“馆桥城园岛河”一体化运营。推进</w:t>
      </w:r>
      <w:r>
        <w:rPr>
          <w:rFonts w:ascii="仿宋_GB2312" w:hAnsi="仿宋_GB2312" w:cs="仿宋_GB2312"/>
          <w:kern w:val="0"/>
          <w:szCs w:val="32"/>
        </w:rPr>
        <w:t>卢沟桥</w:t>
      </w:r>
      <w:r>
        <w:t>－</w:t>
      </w:r>
      <w:r>
        <w:rPr>
          <w:rFonts w:ascii="仿宋_GB2312" w:hAnsi="仿宋_GB2312" w:cs="仿宋_GB2312"/>
          <w:kern w:val="0"/>
          <w:szCs w:val="32"/>
        </w:rPr>
        <w:t>宛平城城市更新</w:t>
      </w:r>
      <w:r>
        <w:rPr>
          <w:rFonts w:hint="eastAsia" w:ascii="仿宋_GB2312" w:hAnsi="仿宋_GB2312" w:cs="仿宋_GB2312"/>
          <w:kern w:val="0"/>
          <w:szCs w:val="32"/>
        </w:rPr>
        <w:t>，盘活片区</w:t>
      </w:r>
      <w:r>
        <w:rPr>
          <w:rFonts w:ascii="仿宋_GB2312" w:hAnsi="仿宋_GB2312" w:cs="仿宋_GB2312"/>
          <w:kern w:val="0"/>
          <w:szCs w:val="32"/>
        </w:rPr>
        <w:t>空间、文</w:t>
      </w:r>
      <w:r>
        <w:rPr>
          <w:rFonts w:hint="eastAsia" w:ascii="仿宋_GB2312" w:hAnsi="仿宋_GB2312" w:cs="仿宋_GB2312"/>
          <w:kern w:val="0"/>
          <w:szCs w:val="32"/>
        </w:rPr>
        <w:t>旅和生态</w:t>
      </w:r>
      <w:r>
        <w:rPr>
          <w:rFonts w:ascii="仿宋_GB2312" w:hAnsi="仿宋_GB2312" w:cs="仿宋_GB2312"/>
          <w:kern w:val="0"/>
          <w:szCs w:val="32"/>
        </w:rPr>
        <w:t>资源，</w:t>
      </w:r>
      <w:r>
        <w:rPr>
          <w:rFonts w:hint="eastAsia" w:ascii="仿宋_GB2312" w:hAnsi="仿宋_GB2312" w:cs="仿宋_GB2312"/>
          <w:kern w:val="0"/>
          <w:szCs w:val="32"/>
        </w:rPr>
        <w:t>提升文旅配套服务和景观风貌。</w:t>
      </w:r>
      <w:bookmarkEnd w:id="43"/>
      <w:r>
        <w:rPr>
          <w:rFonts w:hint="eastAsia" w:ascii="仿宋_GB2312" w:hAnsi="仿宋_GB2312" w:cs="仿宋_GB2312"/>
          <w:b/>
          <w:bCs/>
          <w:szCs w:val="32"/>
        </w:rPr>
        <w:t>四环文旅体休闲活力带。</w:t>
      </w:r>
      <w:bookmarkStart w:id="46" w:name="_Hlk216539980"/>
      <w:bookmarkStart w:id="47" w:name="OLE_LINK65"/>
      <w:r>
        <w:rPr>
          <w:rFonts w:hint="eastAsia" w:ascii="仿宋_GB2312" w:hAnsi="仿宋_GB2312" w:cs="仿宋_GB2312"/>
          <w:szCs w:val="32"/>
        </w:rPr>
        <w:t>加快北京汽车博物馆提质升级，打造沉浸式数字文化展厅，引入汽车车模馆、汽车影院、电竞赛事，构建集文化展示、科技体验、休闲娱乐、商业消费于一体的复合型活力空间</w:t>
      </w:r>
      <w:bookmarkEnd w:id="46"/>
      <w:r>
        <w:rPr>
          <w:rFonts w:ascii="仿宋_GB2312" w:hAnsi="仿宋_GB2312" w:cs="仿宋_GB2312"/>
          <w:kern w:val="0"/>
          <w:szCs w:val="32"/>
        </w:rPr>
        <w:t>。深化</w:t>
      </w:r>
      <w:r>
        <w:rPr>
          <w:rFonts w:hint="eastAsia" w:ascii="仿宋_GB2312" w:hAnsi="仿宋_GB2312" w:cs="仿宋_GB2312"/>
          <w:kern w:val="0"/>
          <w:szCs w:val="32"/>
        </w:rPr>
        <w:t>花卉与</w:t>
      </w:r>
      <w:r>
        <w:rPr>
          <w:rFonts w:ascii="仿宋_GB2312" w:hAnsi="仿宋_GB2312" w:cs="仿宋_GB2312"/>
          <w:kern w:val="0"/>
          <w:szCs w:val="32"/>
        </w:rPr>
        <w:t>文商旅多元融合发展</w:t>
      </w:r>
      <w:r>
        <w:rPr>
          <w:rFonts w:hint="eastAsia" w:ascii="仿宋_GB2312" w:hAnsi="仿宋_GB2312" w:cs="仿宋_GB2312"/>
          <w:kern w:val="0"/>
          <w:szCs w:val="32"/>
        </w:rPr>
        <w:t>，依托</w:t>
      </w:r>
      <w:r>
        <w:rPr>
          <w:rFonts w:ascii="仿宋_GB2312" w:hAnsi="仿宋_GB2312" w:cs="仿宋_GB2312"/>
          <w:kern w:val="0"/>
          <w:szCs w:val="32"/>
        </w:rPr>
        <w:t>北京国际花卉科创中心、羊坊花卉综合产业园</w:t>
      </w:r>
      <w:r>
        <w:rPr>
          <w:rFonts w:hint="eastAsia" w:ascii="仿宋_GB2312" w:hAnsi="仿宋_GB2312" w:cs="仿宋_GB2312"/>
          <w:color w:val="000000" w:themeColor="text1"/>
          <w:kern w:val="0"/>
          <w:szCs w:val="32"/>
          <w14:textFill>
            <w14:solidFill>
              <w14:schemeClr w14:val="tx1"/>
            </w14:solidFill>
          </w14:textFill>
        </w:rPr>
        <w:t>、</w:t>
      </w:r>
      <w:r>
        <w:rPr>
          <w:rFonts w:hint="eastAsia" w:ascii="仿宋_GB2312" w:hAnsi="仿宋_GB2312" w:cs="仿宋_GB2312"/>
          <w:kern w:val="0"/>
          <w:szCs w:val="32"/>
        </w:rPr>
        <w:t>世界花卉大观园、</w:t>
      </w:r>
      <w:r>
        <w:rPr>
          <w:rFonts w:ascii="仿宋_GB2312" w:hAnsi="仿宋_GB2312" w:cs="仿宋_GB2312"/>
          <w:kern w:val="0"/>
          <w:szCs w:val="32"/>
        </w:rPr>
        <w:t>北京花卉交易中心</w:t>
      </w:r>
      <w:r>
        <w:rPr>
          <w:rFonts w:hint="eastAsia" w:ascii="仿宋_GB2312" w:hAnsi="仿宋_GB2312" w:cs="仿宋_GB2312"/>
          <w:kern w:val="0"/>
          <w:szCs w:val="32"/>
        </w:rPr>
        <w:t>等载体，布局</w:t>
      </w:r>
      <w:r>
        <w:rPr>
          <w:rFonts w:ascii="仿宋_GB2312" w:hAnsi="仿宋_GB2312" w:cs="仿宋_GB2312"/>
          <w:kern w:val="0"/>
          <w:szCs w:val="32"/>
        </w:rPr>
        <w:t>花艺剧场</w:t>
      </w:r>
      <w:r>
        <w:rPr>
          <w:rFonts w:hint="eastAsia" w:ascii="仿宋_GB2312" w:hAnsi="仿宋_GB2312" w:cs="仿宋_GB2312"/>
          <w:kern w:val="0"/>
          <w:szCs w:val="32"/>
        </w:rPr>
        <w:t>、非遗手作等业态</w:t>
      </w:r>
      <w:bookmarkStart w:id="48" w:name="OLE_LINK79"/>
      <w:r>
        <w:rPr>
          <w:rFonts w:hint="eastAsia" w:ascii="仿宋_GB2312" w:hAnsi="仿宋_GB2312" w:cs="仿宋_GB2312"/>
          <w:kern w:val="0"/>
          <w:szCs w:val="32"/>
        </w:rPr>
        <w:t>，</w:t>
      </w:r>
      <w:bookmarkEnd w:id="48"/>
      <w:r>
        <w:rPr>
          <w:rFonts w:hint="eastAsia" w:ascii="仿宋_GB2312" w:hAnsi="仿宋_GB2312" w:cs="仿宋_GB2312"/>
          <w:kern w:val="0"/>
          <w:szCs w:val="32"/>
        </w:rPr>
        <w:t>助力</w:t>
      </w:r>
      <w:r>
        <w:rPr>
          <w:rFonts w:hint="eastAsia" w:ascii="仿宋_GB2312" w:hAnsi="仿宋_GB2312" w:cs="仿宋_GB2312"/>
          <w:color w:val="000000" w:themeColor="text1"/>
          <w:kern w:val="0"/>
          <w:szCs w:val="32"/>
          <w14:textFill>
            <w14:solidFill>
              <w14:schemeClr w14:val="tx1"/>
            </w14:solidFill>
          </w14:textFill>
        </w:rPr>
        <w:t>“花园城市”</w:t>
      </w:r>
      <w:r>
        <w:rPr>
          <w:rFonts w:hint="eastAsia" w:ascii="仿宋_GB2312" w:hAnsi="仿宋_GB2312" w:cs="仿宋_GB2312"/>
          <w:kern w:val="0"/>
          <w:szCs w:val="32"/>
        </w:rPr>
        <w:t>建设。</w:t>
      </w:r>
      <w:bookmarkStart w:id="49" w:name="OLE_LINK144"/>
      <w:bookmarkStart w:id="50" w:name="OLE_LINK29"/>
      <w:r>
        <w:rPr>
          <w:rFonts w:hint="eastAsia" w:ascii="仿宋_GB2312" w:hAnsi="Times New Roman"/>
          <w:szCs w:val="32"/>
        </w:rPr>
        <w:t>推动丰台体育中心功能提升，打造北京市西南部地区文化体育活力中心</w:t>
      </w:r>
      <w:bookmarkEnd w:id="47"/>
      <w:bookmarkEnd w:id="49"/>
      <w:r>
        <w:rPr>
          <w:rFonts w:hint="eastAsia" w:ascii="仿宋_GB2312" w:hAnsi="仿宋_GB2312" w:cs="仿宋_GB2312"/>
          <w:kern w:val="0"/>
          <w:szCs w:val="32"/>
        </w:rPr>
        <w:t>。</w:t>
      </w:r>
      <w:bookmarkEnd w:id="50"/>
    </w:p>
    <w:p w14:paraId="27C07345">
      <w:pPr>
        <w:keepNext/>
        <w:spacing w:after="0"/>
        <w:ind w:firstLine="0" w:firstLineChars="0"/>
        <w:rPr>
          <w:rFonts w:hint="eastAsia" w:ascii="仿宋_GB2312" w:hAnsi="仿宋_GB2312" w:cs="仿宋_GB2312"/>
          <w:kern w:val="0"/>
          <w:szCs w:val="32"/>
        </w:rPr>
      </w:pPr>
      <w:r>
        <w:rPr>
          <w:rFonts w:hint="eastAsia" w:ascii="楷体_GB2312" w:eastAsia="楷体_GB2312"/>
        </w:rPr>
        <w:t xml:space="preserve">    </w:t>
      </w:r>
      <w:r>
        <w:rPr>
          <w:rFonts w:hint="eastAsia" w:ascii="仿宋_GB2312" w:hAnsi="仿宋_GB2312" w:cs="仿宋_GB2312"/>
          <w:b/>
          <w:bCs/>
          <w:kern w:val="0"/>
          <w:szCs w:val="32"/>
        </w:rPr>
        <w:t>三区：</w:t>
      </w:r>
      <w:bookmarkStart w:id="51" w:name="_Hlk216457187"/>
      <w:r>
        <w:rPr>
          <w:rFonts w:hint="eastAsia" w:ascii="仿宋_GB2312" w:hAnsi="仿宋_GB2312" w:cs="仿宋_GB2312"/>
          <w:b/>
          <w:bCs/>
          <w:kern w:val="0"/>
          <w:szCs w:val="32"/>
        </w:rPr>
        <w:t>莲花池－金中都古都文化片区</w:t>
      </w:r>
      <w:bookmarkEnd w:id="51"/>
      <w:r>
        <w:rPr>
          <w:rFonts w:hint="eastAsia" w:ascii="仿宋_GB2312" w:hAnsi="仿宋_GB2312" w:cs="仿宋_GB2312"/>
          <w:b/>
          <w:bCs/>
          <w:kern w:val="0"/>
          <w:szCs w:val="32"/>
        </w:rPr>
        <w:t>。</w:t>
      </w:r>
      <w:bookmarkStart w:id="52" w:name="OLE_LINK56"/>
      <w:r>
        <w:rPr>
          <w:rFonts w:hint="eastAsia" w:ascii="仿宋_GB2312" w:hAnsi="仿宋_GB2312" w:cs="仿宋_GB2312"/>
          <w:kern w:val="0"/>
          <w:szCs w:val="32"/>
        </w:rPr>
        <w:t>以莲花池、金中都城墙遗址、水关遗址及沿线文化廊道为主轴，优化丽泽金融商务区及周边品牌酒店、国际交流、文化休闲、艺术展示等高品质配套布局，实现古都文化韵味与现代城市风貌深度融合。推动中国戏曲学院“国戏剧场”开放运营，以戏曲文化赋能区域</w:t>
      </w:r>
      <w:r>
        <w:rPr>
          <w:rFonts w:ascii="仿宋_GB2312" w:hAnsi="仿宋_GB2312" w:cs="仿宋_GB2312"/>
          <w:kern w:val="0"/>
          <w:szCs w:val="32"/>
        </w:rPr>
        <w:t>文化建设与产业发展。</w:t>
      </w:r>
      <w:bookmarkEnd w:id="52"/>
      <w:bookmarkStart w:id="53" w:name="_Hlk216457213"/>
      <w:r>
        <w:rPr>
          <w:rFonts w:hint="eastAsia" w:ascii="仿宋_GB2312" w:hAnsi="仿宋_GB2312" w:cs="仿宋_GB2312"/>
          <w:b/>
          <w:bCs/>
          <w:kern w:val="0"/>
          <w:szCs w:val="32"/>
        </w:rPr>
        <w:t>南苑文旅体休闲活力片区</w:t>
      </w:r>
      <w:r>
        <w:rPr>
          <w:rFonts w:hint="eastAsia" w:ascii="仿宋_GB2312" w:hAnsi="仿宋_GB2312" w:cs="仿宋_GB2312"/>
          <w:kern w:val="0"/>
          <w:szCs w:val="32"/>
        </w:rPr>
        <w:t>。推动南苑森林湿地公园品质提升，布局生态科普、森林步道、露营基地等户外设施，举办文化演出、体育赛事等活动，构建京南生态运动休闲标杆。</w:t>
      </w:r>
      <w:r>
        <w:rPr>
          <w:rFonts w:hint="eastAsia" w:ascii="仿宋_GB2312" w:hAnsi="仿宋_GB2312" w:cs="仿宋_GB2312"/>
          <w:b/>
          <w:bCs/>
          <w:kern w:val="0"/>
          <w:szCs w:val="32"/>
        </w:rPr>
        <w:t>河西生态微度假</w:t>
      </w:r>
      <w:bookmarkEnd w:id="53"/>
      <w:r>
        <w:rPr>
          <w:rFonts w:hint="eastAsia" w:ascii="仿宋_GB2312" w:hAnsi="仿宋_GB2312" w:cs="仿宋_GB2312"/>
          <w:b/>
          <w:bCs/>
          <w:kern w:val="0"/>
          <w:szCs w:val="32"/>
        </w:rPr>
        <w:t>片区。</w:t>
      </w:r>
      <w:r>
        <w:rPr>
          <w:rFonts w:ascii="仿宋_GB2312" w:hAnsi="仿宋_GB2312" w:cs="仿宋_GB2312"/>
          <w:kern w:val="0"/>
          <w:szCs w:val="32"/>
        </w:rPr>
        <w:t>打造全域旅游生态，</w:t>
      </w:r>
      <w:r>
        <w:rPr>
          <w:rFonts w:hint="eastAsia" w:ascii="仿宋_GB2312" w:hAnsi="仿宋_GB2312" w:cs="仿宋_GB2312"/>
          <w:kern w:val="0"/>
          <w:szCs w:val="32"/>
        </w:rPr>
        <w:t>推动旅游、研学、康养、文化、体育等业态深度融合，拓展近山、亲水、赏园、归田休闲消费空间，布局非遗体验</w:t>
      </w:r>
      <w:r>
        <w:rPr>
          <w:rFonts w:hint="eastAsia" w:ascii="Times New Roman" w:hAnsi="Times New Roman" w:cs="Times New Roman"/>
          <w:szCs w:val="32"/>
        </w:rPr>
        <w:t>场所，发展体育赛事经济</w:t>
      </w:r>
      <w:r>
        <w:rPr>
          <w:rFonts w:hint="eastAsia" w:ascii="仿宋_GB2312" w:hAnsi="仿宋_GB2312" w:cs="仿宋_GB2312"/>
          <w:kern w:val="0"/>
          <w:szCs w:val="32"/>
        </w:rPr>
        <w:t>。</w:t>
      </w:r>
    </w:p>
    <w:p w14:paraId="1D12F7C2">
      <w:pPr>
        <w:spacing w:after="0"/>
        <w:ind w:firstLine="643"/>
        <w:rPr>
          <w:rFonts w:hint="eastAsia"/>
        </w:rPr>
      </w:pPr>
      <w:bookmarkStart w:id="54" w:name="OLE_LINK67"/>
      <w:r>
        <w:rPr>
          <w:rFonts w:hint="eastAsia"/>
          <w:b/>
          <w:bCs/>
        </w:rPr>
        <w:t>多点：</w:t>
      </w:r>
      <w:r>
        <w:rPr>
          <w:rFonts w:hint="eastAsia"/>
        </w:rPr>
        <w:t>立足均衡有序的空间格局，</w:t>
      </w:r>
      <w:bookmarkStart w:id="55" w:name="OLE_LINK55"/>
      <w:r>
        <w:rPr>
          <w:rFonts w:hint="eastAsia"/>
        </w:rPr>
        <w:t>建设覆盖不同主题的地标性新场景。</w:t>
      </w:r>
      <w:bookmarkEnd w:id="55"/>
      <w:r>
        <w:rPr>
          <w:rFonts w:hint="eastAsia"/>
        </w:rPr>
        <w:t>打造方庄公共文化地标、马西右戏曲演艺地标、玉泉营</w:t>
      </w:r>
      <w:r>
        <w:rPr>
          <w:rFonts w:hint="eastAsia" w:ascii="仿宋_GB2312" w:hAnsi="仿宋_GB2312" w:cs="仿宋_GB2312"/>
          <w:kern w:val="0"/>
          <w:szCs w:val="32"/>
        </w:rPr>
        <w:t>花乡花卉艺术地标、</w:t>
      </w:r>
      <w:r>
        <w:rPr>
          <w:rFonts w:hint="eastAsia"/>
        </w:rPr>
        <w:t>右安门出版文化地标等文化服务新场景</w:t>
      </w:r>
      <w:bookmarkEnd w:id="54"/>
      <w:r>
        <w:rPr>
          <w:rFonts w:hint="eastAsia"/>
        </w:rPr>
        <w:t>。打造古道文化体验地标（长辛店）、</w:t>
      </w:r>
      <w:r>
        <w:t>大葆台汉风文旅融合</w:t>
      </w:r>
      <w:r>
        <w:rPr>
          <w:rFonts w:hint="eastAsia"/>
        </w:rPr>
        <w:t>地标、</w:t>
      </w:r>
      <w:r>
        <w:t>卢沟桥</w:t>
      </w:r>
      <w:bookmarkStart w:id="56" w:name="OLE_LINK46"/>
      <w:r>
        <w:t>－</w:t>
      </w:r>
      <w:bookmarkEnd w:id="56"/>
      <w:r>
        <w:t>宛平城和平纪念</w:t>
      </w:r>
      <w:r>
        <w:rPr>
          <w:rFonts w:hint="eastAsia"/>
        </w:rPr>
        <w:t>地标、</w:t>
      </w:r>
      <w:r>
        <w:t>长辛店红色</w:t>
      </w:r>
      <w:r>
        <w:rPr>
          <w:rFonts w:hint="eastAsia"/>
        </w:rPr>
        <w:t>地标、</w:t>
      </w:r>
      <w:r>
        <w:rPr>
          <w:rFonts w:hint="eastAsia" w:ascii="仿宋_GB2312" w:hAnsi="仿宋_GB2312" w:cs="仿宋_GB2312"/>
          <w:kern w:val="0"/>
          <w:szCs w:val="32"/>
        </w:rPr>
        <w:t>“三站两楼”交旅融合地标</w:t>
      </w:r>
      <w:r>
        <w:rPr>
          <w:rFonts w:hint="eastAsia"/>
        </w:rPr>
        <w:t>等文旅融合新场景。打造</w:t>
      </w:r>
      <w:r>
        <w:t>中关村丰台园</w:t>
      </w:r>
      <w:r>
        <w:rPr>
          <w:rFonts w:hint="eastAsia"/>
        </w:rPr>
        <w:t>科技旅游地标、东高地</w:t>
      </w:r>
      <w:r>
        <w:t>航天文化体验</w:t>
      </w:r>
      <w:r>
        <w:rPr>
          <w:rFonts w:hint="eastAsia"/>
        </w:rPr>
        <w:t>地标、青创村</w:t>
      </w:r>
      <w:r>
        <w:t>科创融合</w:t>
      </w:r>
      <w:r>
        <w:rPr>
          <w:rFonts w:hint="eastAsia"/>
        </w:rPr>
        <w:t>地标等科旅融合新场景。打造王佐全域旅游小镇地标、</w:t>
      </w:r>
      <w:r>
        <w:t>北宫森林生态地标</w:t>
      </w:r>
      <w:r>
        <w:rPr>
          <w:rFonts w:hint="eastAsia"/>
        </w:rPr>
        <w:t>等乡村旅游新场景。</w:t>
      </w:r>
    </w:p>
    <w:p w14:paraId="7BB79135">
      <w:pPr>
        <w:adjustRightInd w:val="0"/>
        <w:spacing w:after="0"/>
        <w:ind w:firstLine="640"/>
        <w:outlineLvl w:val="0"/>
        <w:rPr>
          <w:rFonts w:ascii="Times New Roman" w:hAnsi="Times New Roman" w:eastAsia="黑体" w:cs="Times New Roman"/>
          <w:bCs/>
          <w:kern w:val="44"/>
          <w:szCs w:val="32"/>
        </w:rPr>
      </w:pPr>
      <w:bookmarkStart w:id="57" w:name="_Toc231464593"/>
      <w:bookmarkStart w:id="58" w:name="_Toc217058512"/>
      <w:bookmarkStart w:id="59" w:name="_Toc232610172"/>
      <w:bookmarkStart w:id="60" w:name="_Toc241505617"/>
      <w:r>
        <w:rPr>
          <w:rFonts w:hint="eastAsia" w:ascii="Times New Roman" w:hAnsi="Times New Roman" w:eastAsia="黑体" w:cs="Times New Roman"/>
          <w:bCs/>
          <w:kern w:val="44"/>
          <w:szCs w:val="32"/>
        </w:rPr>
        <w:t>三、</w:t>
      </w:r>
      <w:bookmarkStart w:id="61" w:name="OLE_LINK57"/>
      <w:r>
        <w:rPr>
          <w:rFonts w:hint="eastAsia" w:ascii="Times New Roman" w:hAnsi="Times New Roman" w:eastAsia="黑体" w:cs="Times New Roman"/>
          <w:bCs/>
          <w:kern w:val="44"/>
          <w:szCs w:val="32"/>
        </w:rPr>
        <w:t>深挖核心资源内涵，塑造丰台特色品牌名片</w:t>
      </w:r>
      <w:bookmarkEnd w:id="57"/>
      <w:bookmarkEnd w:id="58"/>
      <w:bookmarkEnd w:id="59"/>
      <w:bookmarkEnd w:id="60"/>
      <w:bookmarkEnd w:id="61"/>
    </w:p>
    <w:p w14:paraId="4C4AA640">
      <w:pPr>
        <w:pStyle w:val="37"/>
        <w:ind w:firstLine="640"/>
        <w:outlineLvl w:val="1"/>
        <w:rPr>
          <w:rFonts w:ascii="楷体_GB2312" w:eastAsia="楷体_GB2312"/>
        </w:rPr>
      </w:pPr>
      <w:bookmarkStart w:id="62" w:name="_Toc241505618"/>
      <w:bookmarkStart w:id="63" w:name="_Toc232610173"/>
      <w:bookmarkStart w:id="64" w:name="_Toc231464594"/>
      <w:bookmarkStart w:id="65" w:name="_Toc217058513"/>
      <w:bookmarkStart w:id="66" w:name="OLE_LINK5"/>
      <w:r>
        <w:rPr>
          <w:rFonts w:hint="eastAsia" w:ascii="楷体_GB2312" w:eastAsia="楷体_GB2312" w:cstheme="minorBidi"/>
          <w:b w:val="0"/>
        </w:rPr>
        <w:t>（一）</w:t>
      </w:r>
      <w:r>
        <w:rPr>
          <w:rFonts w:hint="eastAsia" w:ascii="楷体_GB2312" w:eastAsia="楷体_GB2312" w:cstheme="minorBidi"/>
          <w:b w:val="0"/>
          <w:bCs/>
        </w:rPr>
        <w:t>加强</w:t>
      </w:r>
      <w:r>
        <w:rPr>
          <w:rFonts w:hint="eastAsia" w:ascii="楷体_GB2312" w:eastAsia="楷体_GB2312" w:cstheme="minorBidi"/>
          <w:b w:val="0"/>
        </w:rPr>
        <w:t>文化</w:t>
      </w:r>
      <w:r>
        <w:rPr>
          <w:rFonts w:hint="eastAsia" w:ascii="楷体_GB2312" w:eastAsia="楷体_GB2312" w:cstheme="minorBidi"/>
          <w:b w:val="0"/>
          <w:bCs/>
        </w:rPr>
        <w:t>遗产保护传承</w:t>
      </w:r>
      <w:bookmarkEnd w:id="62"/>
    </w:p>
    <w:p w14:paraId="66D8B2CC">
      <w:pPr>
        <w:spacing w:after="0"/>
        <w:ind w:firstLine="640"/>
        <w:rPr>
          <w:rFonts w:ascii="仿宋_GB2312" w:eastAsia="楷体_GB2312"/>
          <w:b/>
        </w:rPr>
      </w:pPr>
      <w:r>
        <w:rPr>
          <w:rFonts w:hint="eastAsia" w:ascii="仿宋_GB2312" w:hAnsi="Times New Roman"/>
          <w:szCs w:val="32"/>
        </w:rPr>
        <w:t>扎实推进第四次全国文物普查工作，持续完善文物保护单位</w:t>
      </w:r>
      <w:r>
        <w:rPr>
          <w:rFonts w:ascii="仿宋_GB2312" w:hAnsi="Times New Roman"/>
          <w:szCs w:val="32"/>
        </w:rPr>
        <w:t>“</w:t>
      </w:r>
      <w:r>
        <w:rPr>
          <w:rFonts w:hint="eastAsia" w:ascii="仿宋_GB2312" w:hAnsi="Times New Roman"/>
          <w:szCs w:val="32"/>
        </w:rPr>
        <w:t>四有</w:t>
      </w:r>
      <w:r>
        <w:rPr>
          <w:rFonts w:ascii="仿宋_GB2312" w:hAnsi="Times New Roman"/>
          <w:szCs w:val="32"/>
        </w:rPr>
        <w:t>”</w:t>
      </w:r>
      <w:r>
        <w:rPr>
          <w:rFonts w:hint="eastAsia" w:ascii="仿宋_GB2312" w:hAnsi="Times New Roman"/>
          <w:szCs w:val="32"/>
        </w:rPr>
        <w:t>工作，强化文化遗产系统性保护。加强新宫、大葆台、金中都等遗址考古研究与保护展示，深化卢沟桥</w:t>
      </w:r>
      <w:r>
        <w:t>－</w:t>
      </w:r>
      <w:r>
        <w:rPr>
          <w:rFonts w:hint="eastAsia" w:ascii="仿宋_GB2312" w:hAnsi="Times New Roman"/>
          <w:szCs w:val="32"/>
        </w:rPr>
        <w:t>宛平城、长辛店革命遗址群文物连片保护利用，推进二七机车厂近现代建筑遗存保护，有序推进历史街区、文物建筑修缮及活化，健全文物安全防护和动态监测机制。加快文物数字档案建设，搭建文物智慧保护管理体系，推进宛平城数字化保护利用。</w:t>
      </w:r>
      <w:r>
        <w:rPr>
          <w:rFonts w:hint="eastAsia" w:ascii="仿宋_GB2312" w:hAnsi="Times New Roman" w:cs="Times New Roman"/>
          <w:szCs w:val="32"/>
        </w:rPr>
        <w:t>开展非遗项目及传承人数字化记录，加强传承人梯队建设</w:t>
      </w:r>
      <w:r>
        <w:rPr>
          <w:rFonts w:hint="eastAsia" w:ascii="仿宋_GB2312" w:hAnsi="Times New Roman"/>
          <w:szCs w:val="32"/>
        </w:rPr>
        <w:t>，持续完善非遗传承传播体系。</w:t>
      </w:r>
    </w:p>
    <w:p w14:paraId="22503C3D">
      <w:pPr>
        <w:pStyle w:val="37"/>
        <w:ind w:firstLine="640"/>
        <w:outlineLvl w:val="1"/>
        <w:rPr>
          <w:rFonts w:ascii="楷体_GB2312" w:eastAsia="楷体_GB2312" w:cstheme="minorBidi"/>
          <w:b w:val="0"/>
        </w:rPr>
      </w:pPr>
      <w:bookmarkStart w:id="67" w:name="_Toc241505619"/>
      <w:r>
        <w:rPr>
          <w:rFonts w:hint="eastAsia" w:ascii="楷体_GB2312" w:eastAsia="楷体_GB2312" w:cstheme="minorBidi"/>
          <w:b w:val="0"/>
        </w:rPr>
        <w:t>（二）打造古都文化品牌</w:t>
      </w:r>
      <w:bookmarkEnd w:id="63"/>
      <w:bookmarkEnd w:id="64"/>
      <w:bookmarkEnd w:id="65"/>
      <w:bookmarkEnd w:id="67"/>
    </w:p>
    <w:p w14:paraId="7B23BADC">
      <w:pPr>
        <w:spacing w:after="0"/>
        <w:ind w:firstLine="640"/>
        <w:rPr>
          <w:rFonts w:ascii="仿宋_GB2312" w:hAnsi="Times New Roman"/>
          <w:szCs w:val="32"/>
        </w:rPr>
      </w:pPr>
      <w:bookmarkStart w:id="68" w:name="OLE_LINK66"/>
      <w:bookmarkStart w:id="69" w:name="OLE_LINK27"/>
      <w:bookmarkStart w:id="70" w:name="OLE_LINK12"/>
      <w:r>
        <w:rPr>
          <w:rFonts w:hint="eastAsia" w:ascii="仿宋_GB2312" w:hAnsi="Times New Roman"/>
          <w:szCs w:val="32"/>
        </w:rPr>
        <w:t>依托新宫考古遗址、大葆台西汉墓遗址、金中都城墙</w:t>
      </w:r>
      <w:r>
        <w:rPr>
          <w:rFonts w:hint="eastAsia"/>
        </w:rPr>
        <w:t>遗址</w:t>
      </w:r>
      <w:r>
        <w:rPr>
          <w:rFonts w:hint="eastAsia" w:ascii="仿宋_GB2312" w:hAnsi="Times New Roman"/>
          <w:szCs w:val="32"/>
        </w:rPr>
        <w:t>，挖掘北京都城起源地文化内涵，</w:t>
      </w:r>
      <w:bookmarkStart w:id="71" w:name="OLE_LINK85"/>
      <w:r>
        <w:rPr>
          <w:rFonts w:hint="eastAsia" w:ascii="仿宋_GB2312" w:hAnsi="Times New Roman"/>
          <w:szCs w:val="32"/>
        </w:rPr>
        <w:t>打造“古都北京的城源与都始”</w:t>
      </w:r>
      <w:bookmarkEnd w:id="71"/>
      <w:bookmarkStart w:id="72" w:name="OLE_LINK86"/>
      <w:r>
        <w:rPr>
          <w:rFonts w:hint="eastAsia" w:ascii="仿宋_GB2312" w:hAnsi="Times New Roman"/>
          <w:szCs w:val="32"/>
        </w:rPr>
        <w:t>文化名片，培育“卢沟狮”“卢沟晓月”等文化IP。挖掘古都北京水源地文化内涵，推进莲花池、永定河、凉水河等滨水文化空间建设，串联沿岸人文生态资源，塑造“先有莲花池，后有北京城”“山河永定”文化IP，办好荷花文化节、凉水河国际水岸艺术节等特色活动，呈现水城共融的文化新图景。</w:t>
      </w:r>
      <w:r>
        <w:rPr>
          <w:rFonts w:ascii="仿宋_GB2312" w:hAnsi="Times New Roman"/>
          <w:szCs w:val="32"/>
        </w:rPr>
        <w:t>深挖</w:t>
      </w:r>
      <w:r>
        <w:rPr>
          <w:rFonts w:hint="eastAsia" w:ascii="仿宋_GB2312" w:hAnsi="Times New Roman"/>
          <w:szCs w:val="32"/>
        </w:rPr>
        <w:t>南苑皇家苑囿建设地</w:t>
      </w:r>
      <w:r>
        <w:rPr>
          <w:rFonts w:ascii="仿宋_GB2312" w:hAnsi="Times New Roman"/>
          <w:szCs w:val="32"/>
        </w:rPr>
        <w:t>文化内涵</w:t>
      </w:r>
      <w:bookmarkEnd w:id="72"/>
      <w:r>
        <w:rPr>
          <w:rFonts w:hint="eastAsia" w:ascii="仿宋_GB2312" w:hAnsi="Times New Roman"/>
          <w:szCs w:val="32"/>
        </w:rPr>
        <w:t>，擦亮“皇家苑囿”文化品牌</w:t>
      </w:r>
      <w:r>
        <w:rPr>
          <w:rFonts w:ascii="仿宋_GB2312" w:hAnsi="仿宋_GB2312" w:cs="仿宋_GB2312"/>
          <w:szCs w:val="32"/>
        </w:rPr>
        <w:t>，构建</w:t>
      </w:r>
      <w:r>
        <w:rPr>
          <w:rFonts w:hint="eastAsia" w:ascii="仿宋_GB2312" w:hAnsi="仿宋_GB2312" w:cs="仿宋_GB2312"/>
          <w:szCs w:val="32"/>
        </w:rPr>
        <w:t>“南囿秋风”文化IP</w:t>
      </w:r>
      <w:r>
        <w:rPr>
          <w:rFonts w:ascii="仿宋_GB2312" w:hAnsi="Times New Roman"/>
          <w:szCs w:val="32"/>
        </w:rPr>
        <w:t>。</w:t>
      </w:r>
      <w:r>
        <w:rPr>
          <w:rFonts w:hint="eastAsia" w:ascii="仿宋_GB2312" w:hAnsi="Times New Roman"/>
          <w:szCs w:val="32"/>
        </w:rPr>
        <w:t>推进各类考古遗址、文物空间活化利用，整合特色文化场景打造主题文旅线路，丰富文旅业态与优质产品供给。</w:t>
      </w:r>
      <w:bookmarkEnd w:id="68"/>
      <w:bookmarkEnd w:id="69"/>
    </w:p>
    <w:bookmarkEnd w:id="70"/>
    <w:p w14:paraId="24C48DCC">
      <w:pPr>
        <w:pStyle w:val="37"/>
        <w:keepNext w:val="0"/>
        <w:keepLines w:val="0"/>
        <w:ind w:firstLine="640"/>
        <w:outlineLvl w:val="1"/>
        <w:rPr>
          <w:rFonts w:ascii="楷体_GB2312" w:eastAsia="楷体_GB2312" w:cstheme="minorBidi"/>
          <w:b w:val="0"/>
        </w:rPr>
      </w:pPr>
      <w:bookmarkStart w:id="73" w:name="_Toc232610174"/>
      <w:bookmarkStart w:id="74" w:name="_Toc241505620"/>
      <w:bookmarkStart w:id="75" w:name="_Toc217058514"/>
      <w:bookmarkStart w:id="76" w:name="_Toc231464595"/>
      <w:r>
        <w:rPr>
          <w:rFonts w:hint="eastAsia" w:ascii="楷体_GB2312" w:eastAsia="楷体_GB2312" w:cstheme="minorBidi"/>
          <w:b w:val="0"/>
        </w:rPr>
        <w:t>（三）塑造红色文化标杆</w:t>
      </w:r>
      <w:bookmarkEnd w:id="73"/>
      <w:bookmarkEnd w:id="74"/>
      <w:bookmarkEnd w:id="75"/>
      <w:bookmarkEnd w:id="76"/>
    </w:p>
    <w:p w14:paraId="238098F6">
      <w:pPr>
        <w:adjustRightInd w:val="0"/>
        <w:snapToGrid w:val="0"/>
        <w:spacing w:after="0"/>
        <w:ind w:firstLine="640"/>
        <w:rPr>
          <w:rFonts w:hint="eastAsia" w:ascii="仿宋_GB2312" w:hAnsi="宋体"/>
        </w:rPr>
      </w:pPr>
      <w:bookmarkStart w:id="77" w:name="OLE_LINK92"/>
      <w:r>
        <w:rPr>
          <w:rFonts w:hint="eastAsia" w:ascii="仿宋_GB2312" w:hAnsi="宋体"/>
        </w:rPr>
        <w:t>依托北方红星策源地、全民抗战爆发地文化资源，推</w:t>
      </w:r>
      <w:r>
        <w:rPr>
          <w:rFonts w:ascii="仿宋_GB2312" w:hAnsi="宋体"/>
        </w:rPr>
        <w:t>进卢沟桥</w:t>
      </w:r>
      <w:r>
        <w:t>－</w:t>
      </w:r>
      <w:r>
        <w:rPr>
          <w:rFonts w:hint="eastAsia" w:ascii="仿宋_GB2312" w:hAnsi="宋体"/>
        </w:rPr>
        <w:t>宛平城、</w:t>
      </w:r>
      <w:r>
        <w:rPr>
          <w:rFonts w:ascii="仿宋_GB2312" w:hAnsi="宋体"/>
        </w:rPr>
        <w:t>长辛店红色文化片区</w:t>
      </w:r>
      <w:r>
        <w:rPr>
          <w:rFonts w:hint="eastAsia" w:ascii="仿宋_GB2312" w:hAnsi="宋体"/>
        </w:rPr>
        <w:t>保护</w:t>
      </w:r>
      <w:r>
        <w:rPr>
          <w:rFonts w:ascii="仿宋_GB2312" w:hAnsi="宋体"/>
        </w:rPr>
        <w:t>发展</w:t>
      </w:r>
      <w:r>
        <w:rPr>
          <w:rFonts w:hint="eastAsia" w:ascii="仿宋_GB2312" w:hAnsi="宋体"/>
        </w:rPr>
        <w:t>。强化抗战主题片区核心区一体化管理运营，推进中国共产党早期革命与工人运动旧址连片保护与利用</w:t>
      </w:r>
      <w:bookmarkEnd w:id="77"/>
      <w:r>
        <w:rPr>
          <w:rFonts w:hint="eastAsia" w:ascii="仿宋_GB2312" w:hAnsi="宋体"/>
        </w:rPr>
        <w:t>，打响“北方红星”红色文旅品牌。</w:t>
      </w:r>
      <w:bookmarkStart w:id="78" w:name="OLE_LINK23"/>
      <w:r>
        <w:rPr>
          <w:rFonts w:hint="eastAsia" w:ascii="仿宋_GB2312" w:hAnsi="宋体"/>
        </w:rPr>
        <w:t>保护、焕新提升卢沟桥</w:t>
      </w:r>
      <w:r>
        <w:rPr>
          <w:rFonts w:hint="eastAsia"/>
        </w:rPr>
        <w:t>、</w:t>
      </w:r>
      <w:r>
        <w:rPr>
          <w:rFonts w:hint="eastAsia" w:ascii="仿宋_GB2312" w:hAnsi="宋体"/>
        </w:rPr>
        <w:t>宛平城等革命文物资源，擦亮“宛平烽火”文化名片。</w:t>
      </w:r>
      <w:bookmarkStart w:id="79" w:name="OLE_LINK98"/>
      <w:r>
        <w:rPr>
          <w:rFonts w:hint="eastAsia" w:ascii="仿宋_GB2312" w:hAnsi="宋体"/>
        </w:rPr>
        <w:t>大力推广</w:t>
      </w:r>
      <w:r>
        <w:rPr>
          <w:rFonts w:ascii="仿宋_GB2312" w:hAnsi="宋体"/>
        </w:rPr>
        <w:t>“红色研学</w:t>
      </w:r>
      <w:r>
        <w:rPr>
          <w:rFonts w:hint="eastAsia" w:ascii="微软雅黑" w:hAnsi="微软雅黑" w:eastAsia="微软雅黑" w:cs="微软雅黑"/>
        </w:rPr>
        <w:t>・</w:t>
      </w:r>
      <w:r>
        <w:rPr>
          <w:rFonts w:hint="eastAsia" w:ascii="仿宋_GB2312" w:hAnsi="仿宋_GB2312" w:cs="仿宋_GB2312"/>
        </w:rPr>
        <w:t>为党而歌之旅</w:t>
      </w:r>
      <w:r>
        <w:rPr>
          <w:rFonts w:ascii="仿宋_GB2312" w:hAnsi="宋体"/>
        </w:rPr>
        <w:t>”市级</w:t>
      </w:r>
      <w:r>
        <w:rPr>
          <w:rFonts w:hint="eastAsia" w:ascii="仿宋_GB2312" w:hAnsi="宋体"/>
        </w:rPr>
        <w:t>主题线路，</w:t>
      </w:r>
      <w:r>
        <w:rPr>
          <w:rFonts w:hint="eastAsia"/>
        </w:rPr>
        <w:t>积极打造丰台实景思政沉浸式红色研学课堂。</w:t>
      </w:r>
      <w:bookmarkEnd w:id="78"/>
      <w:bookmarkEnd w:id="79"/>
      <w:bookmarkStart w:id="80" w:name="OLE_LINK14"/>
      <w:bookmarkStart w:id="81" w:name="OLE_LINK15"/>
      <w:r>
        <w:rPr>
          <w:rFonts w:ascii="仿宋_GB2312" w:hAnsi="宋体"/>
        </w:rPr>
        <w:t>升级卢沟桥</w:t>
      </w:r>
      <w:r>
        <w:t>－</w:t>
      </w:r>
      <w:r>
        <w:rPr>
          <w:rFonts w:ascii="仿宋_GB2312" w:hAnsi="宋体"/>
        </w:rPr>
        <w:t>宛平城历史文化街区</w:t>
      </w:r>
      <w:r>
        <w:rPr>
          <w:rFonts w:hint="eastAsia" w:ascii="仿宋_GB2312" w:hAnsi="宋体"/>
        </w:rPr>
        <w:t>业态，培育长辛店老镇本土国潮品牌，打造“非遗美食街”等特色街区。</w:t>
      </w:r>
      <w:bookmarkEnd w:id="80"/>
    </w:p>
    <w:bookmarkEnd w:id="81"/>
    <w:p w14:paraId="1778E4A5">
      <w:pPr>
        <w:pStyle w:val="37"/>
        <w:ind w:firstLine="640"/>
        <w:outlineLvl w:val="1"/>
        <w:rPr>
          <w:rFonts w:ascii="楷体_GB2312" w:eastAsia="楷体_GB2312" w:cstheme="minorBidi"/>
          <w:b w:val="0"/>
        </w:rPr>
      </w:pPr>
      <w:bookmarkStart w:id="82" w:name="_Toc232610175"/>
      <w:bookmarkStart w:id="83" w:name="_Toc231464596"/>
      <w:bookmarkStart w:id="84" w:name="_Toc241505621"/>
      <w:bookmarkStart w:id="85" w:name="_Toc217058515"/>
      <w:r>
        <w:rPr>
          <w:rFonts w:hint="eastAsia" w:ascii="楷体_GB2312" w:eastAsia="楷体_GB2312" w:cstheme="minorBidi"/>
          <w:b w:val="0"/>
        </w:rPr>
        <w:t>（四）释放京味文化活力</w:t>
      </w:r>
      <w:bookmarkEnd w:id="82"/>
      <w:bookmarkEnd w:id="83"/>
      <w:bookmarkEnd w:id="84"/>
      <w:bookmarkEnd w:id="85"/>
    </w:p>
    <w:p w14:paraId="6A132D79">
      <w:pPr>
        <w:spacing w:after="0"/>
        <w:ind w:firstLine="640"/>
        <w:rPr>
          <w:rFonts w:ascii="仿宋_GB2312" w:hAnsi="Times New Roman" w:cs="Times New Roman"/>
          <w:szCs w:val="32"/>
        </w:rPr>
      </w:pPr>
      <w:bookmarkStart w:id="86" w:name="OLE_LINK127"/>
      <w:r>
        <w:rPr>
          <w:rFonts w:ascii="仿宋_GB2312" w:hAnsi="仿宋_GB2312"/>
          <w:szCs w:val="32"/>
        </w:rPr>
        <w:t>深化与</w:t>
      </w:r>
      <w:r>
        <w:rPr>
          <w:rFonts w:hint="eastAsia" w:ascii="仿宋_GB2312" w:hAnsi="仿宋_GB2312"/>
          <w:szCs w:val="32"/>
        </w:rPr>
        <w:t>中国戏曲学院、北京京剧院等</w:t>
      </w:r>
      <w:r>
        <w:rPr>
          <w:rFonts w:ascii="仿宋_GB2312" w:hAnsi="仿宋_GB2312"/>
          <w:szCs w:val="32"/>
        </w:rPr>
        <w:t>知名戏曲院团机构合作，提升“中国戏曲文化周”品牌影响力，擦亮“丰台有戏”</w:t>
      </w:r>
      <w:r>
        <w:rPr>
          <w:rFonts w:hint="eastAsia" w:ascii="仿宋_GB2312" w:hAnsi="仿宋_GB2312"/>
          <w:szCs w:val="32"/>
        </w:rPr>
        <w:t>城市</w:t>
      </w:r>
      <w:r>
        <w:rPr>
          <w:rFonts w:ascii="仿宋_GB2312" w:hAnsi="仿宋_GB2312"/>
          <w:szCs w:val="32"/>
        </w:rPr>
        <w:t>文化名片</w:t>
      </w:r>
      <w:r>
        <w:rPr>
          <w:rFonts w:hint="eastAsia" w:ascii="仿宋_GB2312" w:hAnsi="Times New Roman" w:cs="Times New Roman"/>
          <w:szCs w:val="32"/>
        </w:rPr>
        <w:t>。加强对卢沟桥传说、怪村太平鼓等非物质文化遗产发掘整理、保护利用，推动非遗老字号传承创新发展。推动“非遗+”融合发展，鼓励非遗与文物、历史建筑、历史文化街区等有机融合，盘活文化载体与地域特色，</w:t>
      </w:r>
      <w:r>
        <w:rPr>
          <w:rFonts w:hint="eastAsia" w:ascii="仿宋_GB2312" w:hAnsi="仿宋_GB2312" w:cs="仿宋_GB2312"/>
          <w:szCs w:val="32"/>
        </w:rPr>
        <w:t>推动</w:t>
      </w:r>
      <w:bookmarkStart w:id="87" w:name="OLE_LINK22"/>
      <w:r>
        <w:rPr>
          <w:rFonts w:hint="eastAsia" w:ascii="Times New Roman" w:hAnsi="Times New Roman" w:cs="Times New Roman"/>
          <w:szCs w:val="32"/>
        </w:rPr>
        <w:t>特色非遗</w:t>
      </w:r>
      <w:bookmarkEnd w:id="87"/>
      <w:r>
        <w:rPr>
          <w:rFonts w:hint="eastAsia" w:ascii="仿宋_GB2312" w:hAnsi="仿宋_GB2312" w:cs="仿宋_GB2312"/>
          <w:szCs w:val="32"/>
        </w:rPr>
        <w:t>进校区、进景区、进博物馆，</w:t>
      </w:r>
      <w:r>
        <w:rPr>
          <w:rFonts w:ascii="仿宋_GB2312" w:hAnsi="Times New Roman" w:cs="Times New Roman"/>
          <w:szCs w:val="32"/>
        </w:rPr>
        <w:t>支持建设一批非遗体验文化空间及非遗工坊，</w:t>
      </w:r>
      <w:bookmarkStart w:id="88" w:name="OLE_LINK128"/>
      <w:r>
        <w:rPr>
          <w:rFonts w:ascii="仿宋_GB2312" w:hAnsi="Times New Roman" w:cs="Times New Roman"/>
          <w:szCs w:val="32"/>
        </w:rPr>
        <w:t>打造一批</w:t>
      </w:r>
      <w:r>
        <w:rPr>
          <w:rFonts w:hint="eastAsia" w:ascii="仿宋_GB2312" w:hAnsi="Times New Roman" w:cs="Times New Roman"/>
          <w:szCs w:val="32"/>
        </w:rPr>
        <w:t>“</w:t>
      </w:r>
      <w:r>
        <w:rPr>
          <w:rFonts w:ascii="仿宋_GB2312" w:hAnsi="Times New Roman" w:cs="Times New Roman"/>
          <w:szCs w:val="32"/>
        </w:rPr>
        <w:t>京彩非遗游</w:t>
      </w:r>
      <w:r>
        <w:rPr>
          <w:rFonts w:hint="eastAsia" w:ascii="仿宋_GB2312" w:hAnsi="Times New Roman" w:cs="Times New Roman"/>
          <w:szCs w:val="32"/>
        </w:rPr>
        <w:t>”</w:t>
      </w:r>
      <w:r>
        <w:rPr>
          <w:rFonts w:ascii="仿宋_GB2312" w:hAnsi="Times New Roman" w:cs="Times New Roman"/>
          <w:szCs w:val="32"/>
        </w:rPr>
        <w:t>体验项目。</w:t>
      </w:r>
      <w:bookmarkEnd w:id="86"/>
      <w:bookmarkEnd w:id="88"/>
    </w:p>
    <w:p w14:paraId="51252BE7">
      <w:pPr>
        <w:pStyle w:val="37"/>
        <w:ind w:firstLine="640"/>
        <w:outlineLvl w:val="1"/>
        <w:rPr>
          <w:rFonts w:ascii="楷体_GB2312" w:eastAsia="楷体_GB2312" w:cstheme="minorBidi"/>
          <w:b w:val="0"/>
        </w:rPr>
      </w:pPr>
      <w:bookmarkStart w:id="89" w:name="_Toc217058516"/>
      <w:bookmarkStart w:id="90" w:name="_Toc232610176"/>
      <w:bookmarkStart w:id="91" w:name="_Toc231464597"/>
      <w:bookmarkStart w:id="92" w:name="_Toc241505622"/>
      <w:r>
        <w:rPr>
          <w:rFonts w:hint="eastAsia" w:ascii="楷体_GB2312" w:eastAsia="楷体_GB2312" w:cstheme="minorBidi"/>
          <w:b w:val="0"/>
        </w:rPr>
        <w:t>（五）构建创新文化生态</w:t>
      </w:r>
      <w:bookmarkEnd w:id="89"/>
      <w:bookmarkEnd w:id="90"/>
      <w:bookmarkEnd w:id="91"/>
      <w:bookmarkEnd w:id="92"/>
    </w:p>
    <w:p w14:paraId="44D74CF0">
      <w:pPr>
        <w:spacing w:after="0"/>
        <w:ind w:firstLine="640"/>
        <w:rPr>
          <w:rFonts w:hint="eastAsia" w:ascii="仿宋_GB2312" w:hAnsi="仿宋_GB2312" w:cs="仿宋_GB2312"/>
          <w:szCs w:val="32"/>
        </w:rPr>
      </w:pPr>
      <w:bookmarkStart w:id="93" w:name="OLE_LINK108"/>
      <w:bookmarkStart w:id="94" w:name="OLE_LINK21"/>
      <w:r>
        <w:rPr>
          <w:rFonts w:hint="eastAsia" w:ascii="仿宋_GB2312" w:hAnsi="仿宋_GB2312" w:cs="仿宋_GB2312"/>
          <w:szCs w:val="32"/>
        </w:rPr>
        <w:t>挖掘航空航天孕育地文化资源，</w:t>
      </w:r>
      <w:r>
        <w:rPr>
          <w:rFonts w:ascii="仿宋_GB2312" w:hAnsi="仿宋_GB2312" w:cs="仿宋_GB2312"/>
          <w:szCs w:val="32"/>
        </w:rPr>
        <w:t>依托</w:t>
      </w:r>
      <w:r>
        <w:rPr>
          <w:rFonts w:hint="eastAsia" w:ascii="仿宋_GB2312" w:hAnsi="仿宋_GB2312" w:cs="仿宋_GB2312"/>
          <w:szCs w:val="32"/>
        </w:rPr>
        <w:t>中国航天博物馆、</w:t>
      </w:r>
      <w:r>
        <w:rPr>
          <w:rFonts w:ascii="仿宋_GB2312" w:hAnsi="仿宋_GB2312" w:cs="仿宋_GB2312"/>
          <w:szCs w:val="32"/>
        </w:rPr>
        <w:t>航天</w:t>
      </w:r>
      <w:r>
        <w:rPr>
          <w:rFonts w:hint="eastAsia" w:ascii="仿宋_GB2312" w:hAnsi="仿宋_GB2312" w:cs="仿宋_GB2312"/>
          <w:szCs w:val="32"/>
        </w:rPr>
        <w:t>院所</w:t>
      </w:r>
      <w:r>
        <w:rPr>
          <w:rFonts w:ascii="仿宋_GB2312" w:hAnsi="仿宋_GB2312" w:cs="仿宋_GB2312"/>
          <w:szCs w:val="32"/>
        </w:rPr>
        <w:t>科技创新资源，</w:t>
      </w:r>
      <w:r>
        <w:rPr>
          <w:rFonts w:hint="eastAsia" w:ascii="仿宋_GB2312" w:hAnsi="仿宋_GB2312" w:cs="仿宋_GB2312"/>
          <w:szCs w:val="32"/>
        </w:rPr>
        <w:t>升级“航天逐梦”文化品牌。挖掘北京工业发祥地文化资源，深挖</w:t>
      </w:r>
      <w:r>
        <w:rPr>
          <w:rFonts w:hint="eastAsia" w:ascii="仿宋_GB2312" w:hAnsi="宋体"/>
        </w:rPr>
        <w:t>二七厂等国家</w:t>
      </w:r>
      <w:r>
        <w:rPr>
          <w:rFonts w:hint="eastAsia" w:ascii="仿宋_GB2312" w:hAnsi="仿宋_GB2312" w:cs="仿宋_GB2312"/>
          <w:szCs w:val="32"/>
        </w:rPr>
        <w:t>工业遗产资源，布局</w:t>
      </w:r>
      <w:r>
        <w:rPr>
          <w:rFonts w:ascii="仿宋_GB2312" w:hAnsi="仿宋_GB2312" w:cs="仿宋_GB2312"/>
          <w:szCs w:val="32"/>
        </w:rPr>
        <w:t>工匠文化</w:t>
      </w:r>
      <w:r>
        <w:rPr>
          <w:rFonts w:hint="eastAsia" w:ascii="仿宋_GB2312" w:hAnsi="仿宋_GB2312" w:cs="仿宋_GB2312"/>
          <w:szCs w:val="32"/>
        </w:rPr>
        <w:t>展示</w:t>
      </w:r>
      <w:r>
        <w:rPr>
          <w:rFonts w:ascii="仿宋_GB2312" w:hAnsi="仿宋_GB2312" w:cs="仿宋_GB2312"/>
          <w:szCs w:val="32"/>
        </w:rPr>
        <w:t>、</w:t>
      </w:r>
      <w:r>
        <w:rPr>
          <w:rFonts w:hint="eastAsia" w:ascii="仿宋_GB2312" w:hAnsi="仿宋_GB2312" w:cs="仿宋_GB2312"/>
          <w:szCs w:val="32"/>
        </w:rPr>
        <w:t>工业</w:t>
      </w:r>
      <w:r>
        <w:rPr>
          <w:rFonts w:ascii="仿宋_GB2312" w:hAnsi="仿宋_GB2312" w:cs="仿宋_GB2312"/>
          <w:szCs w:val="32"/>
        </w:rPr>
        <w:t>场景体验等业态，</w:t>
      </w:r>
      <w:r>
        <w:rPr>
          <w:rFonts w:hint="eastAsia" w:ascii="仿宋_GB2312" w:hAnsi="仿宋_GB2312" w:cs="仿宋_GB2312"/>
          <w:szCs w:val="32"/>
        </w:rPr>
        <w:t>打造工业旅游目的地</w:t>
      </w:r>
      <w:r>
        <w:rPr>
          <w:rFonts w:hint="eastAsia" w:ascii="仿宋_GB2312" w:hAnsi="宋体"/>
        </w:rPr>
        <w:t>。</w:t>
      </w:r>
      <w:r>
        <w:rPr>
          <w:rFonts w:ascii="仿宋_GB2312" w:hAnsi="宋体"/>
        </w:rPr>
        <w:t>运用AIGC、数字孪生等数字技术，推动航天文化、工业遗存等资源同数字沉浸式体验深度融合，</w:t>
      </w:r>
      <w:r>
        <w:rPr>
          <w:rFonts w:hint="eastAsia" w:ascii="仿宋_GB2312" w:hAnsi="宋体"/>
        </w:rPr>
        <w:t>借助中试平台资源，推动科技旅游</w:t>
      </w:r>
      <w:bookmarkStart w:id="95" w:name="OLE_LINK95"/>
      <w:r>
        <w:rPr>
          <w:rFonts w:hint="eastAsia" w:ascii="仿宋_GB2312" w:hAnsi="宋体"/>
        </w:rPr>
        <w:t>。</w:t>
      </w:r>
      <w:bookmarkEnd w:id="93"/>
      <w:bookmarkEnd w:id="95"/>
    </w:p>
    <w:bookmarkEnd w:id="94"/>
    <w:p w14:paraId="12AF7B44">
      <w:pPr>
        <w:pStyle w:val="37"/>
        <w:ind w:firstLine="640"/>
        <w:outlineLvl w:val="1"/>
        <w:rPr>
          <w:rFonts w:hint="eastAsia" w:ascii="楷体_GB2312" w:eastAsia="楷体_GB2312"/>
        </w:rPr>
      </w:pPr>
      <w:bookmarkStart w:id="96" w:name="_Toc232610177"/>
      <w:bookmarkStart w:id="97" w:name="_Toc231464598"/>
      <w:bookmarkStart w:id="98" w:name="_Toc241505623"/>
      <w:bookmarkStart w:id="99" w:name="_Toc217058517"/>
      <w:r>
        <w:rPr>
          <w:rFonts w:hint="eastAsia" w:ascii="楷体_GB2312" w:eastAsia="楷体_GB2312" w:cstheme="minorBidi"/>
          <w:b w:val="0"/>
        </w:rPr>
        <w:t>（六）深化特色文化融合</w:t>
      </w:r>
      <w:bookmarkEnd w:id="96"/>
      <w:bookmarkEnd w:id="97"/>
      <w:bookmarkEnd w:id="98"/>
      <w:bookmarkEnd w:id="99"/>
    </w:p>
    <w:p w14:paraId="71189EA4">
      <w:pPr>
        <w:spacing w:after="0"/>
        <w:ind w:firstLine="640"/>
        <w:rPr>
          <w:rFonts w:ascii="仿宋_GB2312" w:hAnsi="Times New Roman"/>
          <w:szCs w:val="32"/>
        </w:rPr>
      </w:pPr>
      <w:r>
        <w:rPr>
          <w:rFonts w:hint="eastAsia" w:ascii="仿宋_GB2312" w:hAnsi="Times New Roman"/>
          <w:szCs w:val="32"/>
        </w:rPr>
        <w:t>立足花卉资源，挖掘唐花技艺传承地文化内涵，做好传统插花与唐花技艺活态展陈，拓展花卉研学、主题文创、花事市集多元内容</w:t>
      </w:r>
      <w:r>
        <w:rPr>
          <w:rFonts w:ascii="仿宋_GB2312" w:hAnsi="Times New Roman"/>
          <w:szCs w:val="32"/>
        </w:rPr>
        <w:t>，</w:t>
      </w:r>
      <w:r>
        <w:rPr>
          <w:rFonts w:hint="eastAsia" w:ascii="仿宋_GB2312" w:hAnsi="Times New Roman"/>
          <w:szCs w:val="32"/>
        </w:rPr>
        <w:t>升级“花开丰台”文化品牌。</w:t>
      </w:r>
      <w:r>
        <w:rPr>
          <w:rFonts w:ascii="仿宋_GB2312" w:hAnsi="Times New Roman"/>
          <w:szCs w:val="32"/>
        </w:rPr>
        <w:t>深耕</w:t>
      </w:r>
      <w:r>
        <w:rPr>
          <w:rFonts w:hint="eastAsia" w:ascii="仿宋_GB2312" w:hAnsi="Times New Roman"/>
          <w:szCs w:val="32"/>
        </w:rPr>
        <w:t>北京交通枢纽地</w:t>
      </w:r>
      <w:r>
        <w:rPr>
          <w:rFonts w:ascii="仿宋_GB2312" w:hAnsi="Times New Roman"/>
          <w:szCs w:val="32"/>
        </w:rPr>
        <w:t>文化，</w:t>
      </w:r>
      <w:r>
        <w:rPr>
          <w:rFonts w:hint="eastAsia" w:ascii="仿宋_GB2312" w:hAnsi="Times New Roman"/>
          <w:szCs w:val="32"/>
        </w:rPr>
        <w:t>推进九省御道文化公园建设，</w:t>
      </w:r>
      <w:r>
        <w:rPr>
          <w:rFonts w:ascii="仿宋_GB2312" w:hAnsi="Times New Roman"/>
          <w:szCs w:val="32"/>
        </w:rPr>
        <w:t>保护修缮古道遗存，依托重点交通枢纽</w:t>
      </w:r>
      <w:r>
        <w:rPr>
          <w:rFonts w:hint="eastAsia" w:ascii="仿宋_GB2312" w:hAnsi="Times New Roman"/>
          <w:szCs w:val="32"/>
        </w:rPr>
        <w:t>展示丰台交通发展史，塑造</w:t>
      </w:r>
      <w:r>
        <w:rPr>
          <w:rFonts w:ascii="仿宋_GB2312" w:hAnsi="Times New Roman"/>
          <w:szCs w:val="32"/>
        </w:rPr>
        <w:t>古今</w:t>
      </w:r>
      <w:r>
        <w:rPr>
          <w:rFonts w:hint="eastAsia" w:ascii="仿宋_GB2312" w:hAnsi="Times New Roman"/>
          <w:szCs w:val="32"/>
        </w:rPr>
        <w:t>交融的“京畿通衢”标识。培育街镇特色文化，</w:t>
      </w:r>
      <w:bookmarkStart w:id="100" w:name="OLE_LINK97"/>
      <w:r>
        <w:rPr>
          <w:rFonts w:hint="eastAsia" w:ascii="仿宋_GB2312" w:hAnsi="Times New Roman"/>
          <w:szCs w:val="32"/>
        </w:rPr>
        <w:t>打造“一街（镇）一品”</w:t>
      </w:r>
      <w:bookmarkEnd w:id="100"/>
      <w:r>
        <w:rPr>
          <w:rFonts w:hint="eastAsia" w:ascii="仿宋_GB2312" w:hAnsi="Times New Roman"/>
          <w:szCs w:val="32"/>
        </w:rPr>
        <w:t>，</w:t>
      </w:r>
      <w:r>
        <w:rPr>
          <w:rFonts w:hint="eastAsia"/>
        </w:rPr>
        <w:t>形成分层分类、各具特色的街镇文旅品牌体系</w:t>
      </w:r>
      <w:r>
        <w:rPr>
          <w:rFonts w:ascii="仿宋_GB2312" w:hAnsi="仿宋_GB2312" w:cs="仿宋_GB2312"/>
          <w:szCs w:val="32"/>
        </w:rPr>
        <w:t>。</w:t>
      </w:r>
      <w:bookmarkEnd w:id="66"/>
      <w:bookmarkStart w:id="101" w:name="OLE_LINK3"/>
    </w:p>
    <w:bookmarkEnd w:id="101"/>
    <w:p w14:paraId="588AE998">
      <w:pPr>
        <w:adjustRightInd w:val="0"/>
        <w:spacing w:after="0"/>
        <w:ind w:firstLine="640"/>
        <w:outlineLvl w:val="0"/>
        <w:rPr>
          <w:rFonts w:ascii="Times New Roman" w:hAnsi="Times New Roman" w:eastAsia="黑体" w:cs="Times New Roman"/>
          <w:bCs/>
          <w:kern w:val="44"/>
          <w:szCs w:val="32"/>
        </w:rPr>
      </w:pPr>
      <w:bookmarkStart w:id="102" w:name="_Toc241505624"/>
      <w:bookmarkStart w:id="103" w:name="_Toc217058518"/>
      <w:bookmarkStart w:id="104" w:name="_Toc231464599"/>
      <w:bookmarkStart w:id="105" w:name="_Toc232610178"/>
      <w:bookmarkStart w:id="106" w:name="OLE_LINK2"/>
      <w:bookmarkStart w:id="107" w:name="_Hlk215311950"/>
      <w:r>
        <w:rPr>
          <w:rFonts w:hint="eastAsia" w:ascii="Times New Roman" w:hAnsi="Times New Roman" w:eastAsia="黑体" w:cs="Times New Roman"/>
          <w:bCs/>
          <w:kern w:val="44"/>
          <w:szCs w:val="32"/>
        </w:rPr>
        <w:t>四、</w:t>
      </w:r>
      <w:bookmarkStart w:id="108" w:name="OLE_LINK73"/>
      <w:r>
        <w:rPr>
          <w:rFonts w:hint="eastAsia" w:ascii="Times New Roman" w:hAnsi="Times New Roman" w:eastAsia="黑体" w:cs="Times New Roman"/>
          <w:bCs/>
          <w:kern w:val="44"/>
          <w:szCs w:val="32"/>
        </w:rPr>
        <w:t>坚持以人为本，推动公共文旅体服务提质增效</w:t>
      </w:r>
      <w:bookmarkEnd w:id="102"/>
      <w:bookmarkEnd w:id="103"/>
      <w:bookmarkEnd w:id="104"/>
      <w:bookmarkEnd w:id="105"/>
      <w:bookmarkEnd w:id="108"/>
    </w:p>
    <w:p w14:paraId="64305B56">
      <w:pPr>
        <w:pStyle w:val="37"/>
        <w:keepNext w:val="0"/>
        <w:keepLines w:val="0"/>
        <w:ind w:firstLine="640"/>
        <w:outlineLvl w:val="1"/>
        <w:rPr>
          <w:rFonts w:ascii="楷体_GB2312" w:eastAsia="楷体_GB2312"/>
          <w:b w:val="0"/>
          <w:bCs/>
        </w:rPr>
      </w:pPr>
      <w:bookmarkStart w:id="109" w:name="_Toc241505625"/>
      <w:bookmarkStart w:id="110" w:name="_Toc231464600"/>
      <w:bookmarkStart w:id="111" w:name="_Toc232610179"/>
      <w:bookmarkStart w:id="112" w:name="_Toc217058519"/>
      <w:bookmarkStart w:id="113" w:name="OLE_LINK7"/>
      <w:r>
        <w:rPr>
          <w:rFonts w:hint="eastAsia" w:ascii="楷体_GB2312" w:eastAsia="楷体_GB2312"/>
          <w:b w:val="0"/>
          <w:bCs/>
        </w:rPr>
        <w:t>（一）完善标志性文体设施</w:t>
      </w:r>
      <w:bookmarkEnd w:id="109"/>
      <w:bookmarkEnd w:id="110"/>
      <w:bookmarkEnd w:id="111"/>
      <w:bookmarkEnd w:id="112"/>
      <w:r>
        <w:rPr>
          <w:rFonts w:ascii="楷体_GB2312" w:eastAsia="楷体_GB2312"/>
          <w:b w:val="0"/>
          <w:bCs/>
        </w:rPr>
        <w:t xml:space="preserve"> </w:t>
      </w:r>
    </w:p>
    <w:p w14:paraId="2E2CDA65">
      <w:pPr>
        <w:spacing w:after="0"/>
        <w:ind w:firstLine="640"/>
        <w:rPr>
          <w:rFonts w:ascii="仿宋_GB2312" w:hAnsi="Times New Roman"/>
          <w:szCs w:val="32"/>
        </w:rPr>
      </w:pPr>
      <w:r>
        <w:rPr>
          <w:rFonts w:hint="eastAsia" w:ascii="仿宋_GB2312" w:hAnsi="Times New Roman"/>
          <w:szCs w:val="32"/>
        </w:rPr>
        <w:t>持续推进国家自然博物馆新馆和首都规划展览馆建设，依托方庄体育公园、北京市木樨园体育运动技术学校、南苑地区体育中心、亚林西体育用地、丰台体育中心、北京园博园、北京体育大学二七国家冰雪运动训练科研基地、青龙湖区域等八大体育活力节点，丰富群众体育供给。通过“存量改造+增量拓展”模式，推进街镇级公共文体设施建设，拓展基层文体承载能力。</w:t>
      </w:r>
    </w:p>
    <w:bookmarkEnd w:id="113"/>
    <w:p w14:paraId="09C31A9A">
      <w:pPr>
        <w:pStyle w:val="37"/>
        <w:ind w:firstLine="640"/>
        <w:outlineLvl w:val="1"/>
        <w:rPr>
          <w:rFonts w:ascii="仿宋_GB2312"/>
        </w:rPr>
      </w:pPr>
      <w:bookmarkStart w:id="114" w:name="_Toc231464601"/>
      <w:bookmarkStart w:id="115" w:name="_Toc232610180"/>
      <w:bookmarkStart w:id="116" w:name="_Toc217058520"/>
      <w:bookmarkStart w:id="117" w:name="_Toc241505626"/>
      <w:r>
        <w:rPr>
          <w:rFonts w:hint="eastAsia" w:ascii="楷体_GB2312" w:eastAsia="楷体_GB2312"/>
          <w:b w:val="0"/>
          <w:bCs/>
        </w:rPr>
        <w:t>（二）</w:t>
      </w:r>
      <w:bookmarkStart w:id="118" w:name="OLE_LINK99"/>
      <w:r>
        <w:rPr>
          <w:rFonts w:hint="eastAsia" w:ascii="楷体_GB2312" w:eastAsia="楷体_GB2312"/>
          <w:b w:val="0"/>
          <w:bCs/>
        </w:rPr>
        <w:t>提高文旅体服务品质</w:t>
      </w:r>
      <w:bookmarkEnd w:id="114"/>
      <w:bookmarkEnd w:id="115"/>
      <w:bookmarkEnd w:id="116"/>
      <w:bookmarkEnd w:id="117"/>
      <w:bookmarkEnd w:id="118"/>
    </w:p>
    <w:p w14:paraId="2B6863CD">
      <w:pPr>
        <w:spacing w:after="0"/>
        <w:ind w:firstLine="640"/>
        <w:rPr>
          <w:rFonts w:hint="eastAsia"/>
        </w:rPr>
      </w:pPr>
      <w:bookmarkStart w:id="119" w:name="OLE_LINK74"/>
      <w:r>
        <w:rPr>
          <w:rFonts w:hint="eastAsia" w:ascii="仿宋_GB2312" w:hAnsi="仿宋_GB2312" w:cs="仿宋_GB2312"/>
          <w:kern w:val="0"/>
          <w:szCs w:val="32"/>
          <w:lang w:bidi="ar"/>
        </w:rPr>
        <w:t>优化旅游厕所、标识等文旅体公共服务配套，</w:t>
      </w:r>
      <w:r>
        <w:rPr>
          <w:rFonts w:hint="eastAsia" w:ascii="仿宋_GB2312" w:hAnsi="仿宋_GB2312" w:cs="仿宋_GB2312"/>
          <w:szCs w:val="32"/>
        </w:rPr>
        <w:t>更新全民健身器材</w:t>
      </w:r>
      <w:r>
        <w:rPr>
          <w:rFonts w:hint="eastAsia" w:ascii="仿宋_GB2312" w:hAnsi="仿宋_GB2312" w:cs="仿宋_GB2312"/>
          <w:szCs w:val="32"/>
          <w:lang w:val="zh-CN"/>
        </w:rPr>
        <w:t>，加快推进无障碍</w:t>
      </w:r>
      <w:r>
        <w:rPr>
          <w:rFonts w:hint="eastAsia" w:ascii="仿宋_GB2312" w:hAnsi="仿宋_GB2312" w:cs="仿宋_GB2312"/>
          <w:szCs w:val="32"/>
        </w:rPr>
        <w:t>设施</w:t>
      </w:r>
      <w:r>
        <w:rPr>
          <w:rFonts w:hint="eastAsia" w:ascii="仿宋_GB2312" w:hAnsi="仿宋_GB2312" w:cs="仿宋_GB2312"/>
          <w:szCs w:val="32"/>
          <w:lang w:val="zh-CN"/>
        </w:rPr>
        <w:t>建设，推进文旅体设施适老化、适儿化改造，兼顾老年人、儿童等群体使用需求，持续提升全年龄段群众体验感。</w:t>
      </w:r>
      <w:bookmarkStart w:id="120" w:name="OLE_LINK50"/>
      <w:r>
        <w:rPr>
          <w:rFonts w:ascii="仿宋_GB2312" w:hAnsi="仿宋_GB2312" w:cs="仿宋_GB2312"/>
          <w:kern w:val="0"/>
          <w:szCs w:val="32"/>
          <w:lang w:bidi="ar"/>
        </w:rPr>
        <w:t>推出特色旅游、跨区联动</w:t>
      </w:r>
      <w:r>
        <w:rPr>
          <w:rFonts w:hint="eastAsia" w:ascii="仿宋_GB2312" w:hAnsi="仿宋_GB2312" w:cs="仿宋_GB2312"/>
          <w:kern w:val="0"/>
          <w:szCs w:val="32"/>
          <w:lang w:bidi="ar"/>
        </w:rPr>
        <w:t>线路</w:t>
      </w:r>
      <w:r>
        <w:rPr>
          <w:rFonts w:ascii="仿宋_GB2312" w:hAnsi="仿宋_GB2312" w:cs="仿宋_GB2312"/>
          <w:kern w:val="0"/>
          <w:szCs w:val="32"/>
          <w:lang w:bidi="ar"/>
        </w:rPr>
        <w:t>，</w:t>
      </w:r>
      <w:bookmarkEnd w:id="120"/>
      <w:r>
        <w:rPr>
          <w:rFonts w:hint="eastAsia" w:ascii="仿宋_GB2312" w:hAnsi="仿宋_GB2312" w:cs="仿宋_GB2312"/>
          <w:kern w:val="0"/>
          <w:szCs w:val="32"/>
          <w:lang w:bidi="ar"/>
        </w:rPr>
        <w:t>深化区域文旅资源互通、客源互送。</w:t>
      </w:r>
      <w:r>
        <w:rPr>
          <w:rFonts w:hint="eastAsia" w:ascii="仿宋_GB2312" w:hAnsi="仿宋_GB2312" w:cs="仿宋_GB2312"/>
          <w:szCs w:val="32"/>
        </w:rPr>
        <w:t>优化群众体育组织网络建设，优化社会体育指导员队伍培养体系，优先推荐优秀指导员参与国家、市级培训。规范指导并扶持各类协会，释放社会组织服务活力</w:t>
      </w:r>
      <w:bookmarkEnd w:id="119"/>
      <w:r>
        <w:rPr>
          <w:rFonts w:hint="eastAsia" w:ascii="仿宋_GB2312" w:hAnsi="仿宋_GB2312" w:cs="仿宋_GB2312"/>
          <w:szCs w:val="32"/>
        </w:rPr>
        <w:t>。</w:t>
      </w:r>
      <w:r>
        <w:rPr>
          <w:rFonts w:hint="eastAsia"/>
        </w:rPr>
        <w:t>探索公共文体设施社会化运营机制，引导社会资本通过委托管理、项目合作、特许经营等方式参与公共文体设施功能提升与空间改造。完善公共场所配套商业、餐饮服务，提升综合运营效能，推动公共服务提质增效。</w:t>
      </w:r>
    </w:p>
    <w:p w14:paraId="70054904">
      <w:pPr>
        <w:pStyle w:val="37"/>
        <w:ind w:firstLine="640"/>
        <w:outlineLvl w:val="1"/>
        <w:rPr>
          <w:rFonts w:ascii="楷体_GB2312" w:eastAsia="楷体_GB2312"/>
          <w:b w:val="0"/>
          <w:bCs/>
        </w:rPr>
      </w:pPr>
      <w:bookmarkStart w:id="121" w:name="_Toc232610181"/>
      <w:bookmarkStart w:id="122" w:name="_Toc231464602"/>
      <w:bookmarkStart w:id="123" w:name="_Toc217058521"/>
      <w:bookmarkStart w:id="124" w:name="_Toc241505627"/>
      <w:r>
        <w:rPr>
          <w:rFonts w:hint="eastAsia" w:ascii="楷体_GB2312" w:eastAsia="楷体_GB2312"/>
          <w:b w:val="0"/>
          <w:bCs/>
        </w:rPr>
        <w:t>（三）创新文体特色空间</w:t>
      </w:r>
      <w:bookmarkEnd w:id="121"/>
      <w:bookmarkEnd w:id="122"/>
      <w:bookmarkEnd w:id="123"/>
      <w:bookmarkEnd w:id="124"/>
    </w:p>
    <w:p w14:paraId="15CF01BC">
      <w:pPr>
        <w:spacing w:after="0"/>
        <w:ind w:firstLine="650" w:firstLineChars="0"/>
        <w:rPr>
          <w:rFonts w:hint="eastAsia"/>
        </w:rPr>
      </w:pPr>
      <w:bookmarkStart w:id="125" w:name="OLE_LINK9"/>
      <w:bookmarkStart w:id="126" w:name="OLE_LINK75"/>
      <w:r>
        <w:rPr>
          <w:rFonts w:hint="eastAsia" w:ascii="仿宋_GB2312" w:hAnsi="Times New Roman"/>
          <w:szCs w:val="32"/>
        </w:rPr>
        <w:t>构建“博物馆－类博物馆－文博空间”三级文博体系。有序引导大型特色博物馆在重点文博区选址建设，</w:t>
      </w:r>
      <w:r>
        <w:rPr>
          <w:rFonts w:ascii="仿宋_GB2312" w:hAnsi="Times New Roman"/>
          <w:szCs w:val="32"/>
        </w:rPr>
        <w:t>鼓励</w:t>
      </w:r>
      <w:r>
        <w:rPr>
          <w:rFonts w:hint="eastAsia" w:ascii="仿宋_GB2312" w:hAnsi="Times New Roman"/>
          <w:szCs w:val="32"/>
        </w:rPr>
        <w:t>打造各类</w:t>
      </w:r>
      <w:r>
        <w:rPr>
          <w:rFonts w:ascii="仿宋_GB2312" w:hAnsi="Times New Roman"/>
          <w:szCs w:val="32"/>
        </w:rPr>
        <w:t>专题博物馆和类博物馆</w:t>
      </w:r>
      <w:r>
        <w:rPr>
          <w:rFonts w:hint="eastAsia" w:ascii="仿宋_GB2312" w:hAnsi="Times New Roman"/>
          <w:szCs w:val="32"/>
        </w:rPr>
        <w:t>。</w:t>
      </w:r>
      <w:bookmarkStart w:id="127" w:name="OLE_LINK109"/>
      <w:r>
        <w:rPr>
          <w:rFonts w:hint="eastAsia" w:ascii="仿宋_GB2312" w:hAnsi="仿宋_GB2312" w:cs="仿宋_GB2312"/>
          <w:szCs w:val="32"/>
        </w:rPr>
        <w:t>以城市更新为契机，挖掘宛平历史文脉，布局文博、文创等多元业态，加快宛平博物馆之城建设。推动长辛店老镇城市更新，落地长辛店微短剧基地，打造文旅消费活力街区。活化利用二七厂工业遗存，构建红色、工业及科创融合发展的特色文化园区。</w:t>
      </w:r>
      <w:r>
        <w:rPr>
          <w:rFonts w:ascii="仿宋_GB2312" w:hAnsi="Times New Roman"/>
          <w:szCs w:val="32"/>
        </w:rPr>
        <w:t>支持</w:t>
      </w:r>
      <w:r>
        <w:rPr>
          <w:rFonts w:hint="eastAsia" w:ascii="仿宋_GB2312" w:hAnsi="Times New Roman"/>
          <w:szCs w:val="32"/>
        </w:rPr>
        <w:t>演艺消费场景建设，鼓励在传统商圈、工业厂房、旅游景区、公共空间改造中增设文博</w:t>
      </w:r>
      <w:bookmarkEnd w:id="125"/>
      <w:bookmarkStart w:id="128" w:name="OLE_LINK30"/>
      <w:bookmarkStart w:id="129" w:name="OLE_LINK101"/>
      <w:r>
        <w:rPr>
          <w:rFonts w:hint="eastAsia" w:ascii="仿宋_GB2312" w:hAnsi="Times New Roman"/>
          <w:szCs w:val="32"/>
        </w:rPr>
        <w:t>、演艺、体育等空间，引导二七厂、园博园</w:t>
      </w:r>
      <w:r>
        <w:rPr>
          <w:rFonts w:hint="eastAsia" w:ascii="仿宋_GB2312" w:hAnsi="仿宋_GB2312" w:cs="仿宋_GB2312"/>
          <w:szCs w:val="32"/>
        </w:rPr>
        <w:t>等</w:t>
      </w:r>
      <w:r>
        <w:rPr>
          <w:rFonts w:hint="eastAsia" w:ascii="仿宋_GB2312" w:hAnsi="Times New Roman"/>
          <w:szCs w:val="32"/>
        </w:rPr>
        <w:t>培育演艺新空间。</w:t>
      </w:r>
      <w:bookmarkEnd w:id="128"/>
      <w:r>
        <w:rPr>
          <w:rFonts w:hint="eastAsia" w:ascii="仿宋_GB2312" w:hAnsi="仿宋_GB2312" w:cs="仿宋_GB2312"/>
          <w:szCs w:val="32"/>
        </w:rPr>
        <w:t>充分挖掘城市各类“金角银边”，配建群众身边“小而美”的全民健身场地设施。</w:t>
      </w:r>
      <w:bookmarkEnd w:id="126"/>
      <w:bookmarkEnd w:id="127"/>
      <w:bookmarkEnd w:id="129"/>
    </w:p>
    <w:p w14:paraId="418256B3">
      <w:pPr>
        <w:pStyle w:val="37"/>
        <w:ind w:firstLine="640"/>
        <w:outlineLvl w:val="1"/>
        <w:rPr>
          <w:rFonts w:ascii="楷体_GB2312" w:eastAsia="楷体_GB2312"/>
          <w:b w:val="0"/>
          <w:bCs/>
        </w:rPr>
      </w:pPr>
      <w:bookmarkStart w:id="130" w:name="_Hlk213334621"/>
      <w:bookmarkStart w:id="131" w:name="_Toc232610182"/>
      <w:bookmarkStart w:id="132" w:name="_Toc217058522"/>
      <w:bookmarkStart w:id="133" w:name="_Toc241505628"/>
      <w:bookmarkStart w:id="134" w:name="_Toc231464603"/>
      <w:bookmarkStart w:id="135" w:name="OLE_LINK1"/>
      <w:r>
        <w:rPr>
          <w:rFonts w:hint="eastAsia" w:ascii="楷体_GB2312" w:eastAsia="楷体_GB2312"/>
          <w:b w:val="0"/>
          <w:bCs/>
        </w:rPr>
        <w:t>（四）</w:t>
      </w:r>
      <w:bookmarkEnd w:id="130"/>
      <w:r>
        <w:rPr>
          <w:rFonts w:hint="eastAsia" w:ascii="楷体_GB2312" w:eastAsia="楷体_GB2312"/>
          <w:b w:val="0"/>
          <w:bCs/>
        </w:rPr>
        <w:t>丰富文体产品供给</w:t>
      </w:r>
      <w:bookmarkEnd w:id="131"/>
      <w:bookmarkEnd w:id="132"/>
      <w:bookmarkEnd w:id="133"/>
      <w:bookmarkEnd w:id="134"/>
    </w:p>
    <w:p w14:paraId="4044DCDB">
      <w:pPr>
        <w:widowControl/>
        <w:spacing w:after="0"/>
        <w:ind w:firstLine="640"/>
        <w:rPr>
          <w:rFonts w:hint="eastAsia" w:ascii="仿宋_GB2312" w:hAnsi="仿宋_GB2312" w:cs="仿宋_GB2312"/>
          <w:szCs w:val="32"/>
        </w:rPr>
      </w:pPr>
      <w:bookmarkStart w:id="136" w:name="OLE_LINK77"/>
      <w:bookmarkStart w:id="137" w:name="_Hlk202708643"/>
      <w:bookmarkStart w:id="138" w:name="OLE_LINK10"/>
      <w:r>
        <w:rPr>
          <w:rFonts w:hint="eastAsia" w:ascii="仿宋_GB2312" w:hAnsi="Times New Roman"/>
          <w:szCs w:val="32"/>
        </w:rPr>
        <w:t>围绕纪念中国工农红军长征胜利90周年、庆祝中国人民解放军建军100周年、新中国成立80周年等</w:t>
      </w:r>
      <w:r>
        <w:rPr>
          <w:rFonts w:ascii="仿宋_GB2312" w:hAnsi="Times New Roman"/>
          <w:szCs w:val="32"/>
        </w:rPr>
        <w:t>重大时间节点，</w:t>
      </w:r>
      <w:r>
        <w:rPr>
          <w:rFonts w:hint="eastAsia" w:ascii="仿宋_GB2312" w:hAnsi="Times New Roman"/>
          <w:szCs w:val="32"/>
        </w:rPr>
        <w:t>做好群众文化体育普及，常态化开展普惠性公共文体活动。</w:t>
      </w:r>
      <w:r>
        <w:t>推动优质资源直达基层</w:t>
      </w:r>
      <w:r>
        <w:rPr>
          <w:rFonts w:hint="eastAsia"/>
        </w:rPr>
        <w:t>，</w:t>
      </w:r>
      <w:r>
        <w:rPr>
          <w:rFonts w:hint="eastAsia" w:ascii="仿宋_GB2312" w:hAnsi="Times New Roman"/>
          <w:szCs w:val="32"/>
        </w:rPr>
        <w:t>持续擦亮“我的丰台我的家”群众文体品牌，</w:t>
      </w:r>
      <w:r>
        <w:rPr>
          <w:rFonts w:hint="eastAsia" w:ascii="仿宋_GB2312" w:hAnsi="仿宋_GB2312" w:cs="仿宋_GB2312"/>
          <w:szCs w:val="32"/>
        </w:rPr>
        <w:t>鼓励文化企业以市场化方式参与</w:t>
      </w:r>
      <w:r>
        <w:rPr>
          <w:rFonts w:hint="eastAsia" w:ascii="仿宋_GB2312" w:hAnsi="Times New Roman"/>
          <w:szCs w:val="32"/>
        </w:rPr>
        <w:t>多种艺术门类演出，支持小型演出多元化发展。</w:t>
      </w:r>
      <w:bookmarkStart w:id="139" w:name="OLE_LINK34"/>
      <w:r>
        <w:rPr>
          <w:rFonts w:ascii="仿宋_GB2312" w:hAnsi="Times New Roman"/>
          <w:szCs w:val="32"/>
        </w:rPr>
        <w:t>联动辖区院团专业资源，加强群众文艺团队和原创作品培育，聚焦科技赋能视听内容创新、视听人才共创等内容，以网络视听为重要抓手推进新大众文艺繁荣发展</w:t>
      </w:r>
      <w:r>
        <w:rPr>
          <w:rFonts w:hint="eastAsia" w:ascii="仿宋_GB2312" w:hAnsi="Times New Roman"/>
          <w:szCs w:val="32"/>
        </w:rPr>
        <w:t>。</w:t>
      </w:r>
      <w:bookmarkStart w:id="140" w:name="OLE_LINK32"/>
      <w:r>
        <w:rPr>
          <w:rFonts w:hint="eastAsia"/>
        </w:rPr>
        <w:t>持续</w:t>
      </w:r>
      <w:r>
        <w:rPr>
          <w:rFonts w:hint="eastAsia" w:ascii="仿宋_GB2312" w:hAnsi="仿宋_GB2312" w:cs="仿宋_GB2312"/>
          <w:szCs w:val="32"/>
        </w:rPr>
        <w:t>办好中国戏曲文化周、“卢沟晓月”中秋文化活动、“卢沟桥醒狮越野跑”“丰彩城市艺术季”“丰彩城市活力季”等品牌活动，</w:t>
      </w:r>
      <w:r>
        <w:rPr>
          <w:rFonts w:hint="eastAsia" w:ascii="仿宋_GB2312" w:hAnsi="Times New Roman"/>
          <w:szCs w:val="32"/>
        </w:rPr>
        <w:t>开展</w:t>
      </w:r>
      <w:r>
        <w:rPr>
          <w:rFonts w:hint="eastAsia" w:ascii="仿宋_GB2312" w:hAnsi="仿宋_GB2312" w:cs="仿宋_GB2312"/>
          <w:szCs w:val="32"/>
        </w:rPr>
        <w:t>保龄球、小轮车等时尚潮流赛事活动，释放区域文旅体品牌效应。</w:t>
      </w:r>
      <w:bookmarkEnd w:id="136"/>
      <w:bookmarkEnd w:id="137"/>
      <w:bookmarkEnd w:id="139"/>
      <w:bookmarkEnd w:id="140"/>
    </w:p>
    <w:bookmarkEnd w:id="106"/>
    <w:bookmarkEnd w:id="135"/>
    <w:p w14:paraId="165A0DF1">
      <w:pPr>
        <w:spacing w:after="0"/>
        <w:ind w:firstLine="640"/>
        <w:outlineLvl w:val="0"/>
        <w:rPr>
          <w:rFonts w:ascii="Times New Roman" w:hAnsi="Times New Roman" w:eastAsia="黑体" w:cs="Times New Roman"/>
          <w:bCs/>
          <w:kern w:val="44"/>
          <w:szCs w:val="32"/>
        </w:rPr>
      </w:pPr>
      <w:bookmarkStart w:id="141" w:name="_Toc217058524"/>
      <w:bookmarkStart w:id="142" w:name="_Toc241505629"/>
      <w:bookmarkStart w:id="143" w:name="_Toc232610184"/>
      <w:bookmarkStart w:id="144" w:name="_Toc231464605"/>
      <w:r>
        <w:rPr>
          <w:rFonts w:hint="eastAsia" w:ascii="Times New Roman" w:hAnsi="Times New Roman" w:eastAsia="黑体" w:cs="Times New Roman"/>
          <w:bCs/>
          <w:kern w:val="44"/>
          <w:szCs w:val="32"/>
        </w:rPr>
        <w:t>五、</w:t>
      </w:r>
      <w:bookmarkStart w:id="145" w:name="OLE_LINK59"/>
      <w:r>
        <w:rPr>
          <w:rFonts w:hint="eastAsia" w:ascii="Times New Roman" w:hAnsi="Times New Roman" w:eastAsia="黑体" w:cs="Times New Roman"/>
          <w:bCs/>
          <w:kern w:val="44"/>
          <w:szCs w:val="32"/>
        </w:rPr>
        <w:t>深化融合赋能，聚力驱动文旅体</w:t>
      </w:r>
      <w:bookmarkStart w:id="146" w:name="OLE_LINK105"/>
      <w:r>
        <w:rPr>
          <w:rFonts w:hint="eastAsia" w:ascii="Times New Roman" w:hAnsi="Times New Roman" w:eastAsia="黑体" w:cs="Times New Roman"/>
          <w:bCs/>
          <w:kern w:val="44"/>
          <w:szCs w:val="32"/>
        </w:rPr>
        <w:t>行业</w:t>
      </w:r>
      <w:bookmarkEnd w:id="141"/>
      <w:r>
        <w:rPr>
          <w:rFonts w:hint="eastAsia" w:ascii="Times New Roman" w:hAnsi="Times New Roman" w:eastAsia="黑体" w:cs="Times New Roman"/>
          <w:bCs/>
          <w:kern w:val="44"/>
          <w:szCs w:val="32"/>
        </w:rPr>
        <w:t>创新发展</w:t>
      </w:r>
      <w:bookmarkEnd w:id="142"/>
      <w:bookmarkEnd w:id="143"/>
      <w:bookmarkEnd w:id="144"/>
      <w:bookmarkEnd w:id="145"/>
      <w:bookmarkEnd w:id="146"/>
    </w:p>
    <w:p w14:paraId="17D58D07">
      <w:pPr>
        <w:pStyle w:val="37"/>
        <w:ind w:firstLine="640"/>
        <w:outlineLvl w:val="1"/>
        <w:rPr>
          <w:rFonts w:ascii="楷体_GB2312" w:eastAsia="楷体_GB2312"/>
          <w:b w:val="0"/>
          <w:bCs/>
        </w:rPr>
      </w:pPr>
      <w:bookmarkStart w:id="147" w:name="_Toc217058525"/>
      <w:bookmarkStart w:id="148" w:name="_Toc231464606"/>
      <w:bookmarkStart w:id="149" w:name="_Toc232610185"/>
      <w:bookmarkStart w:id="150" w:name="_Toc241505630"/>
      <w:r>
        <w:rPr>
          <w:rFonts w:hint="eastAsia" w:ascii="楷体_GB2312" w:eastAsia="楷体_GB2312"/>
          <w:b w:val="0"/>
          <w:bCs/>
        </w:rPr>
        <w:t>（一）</w:t>
      </w:r>
      <w:bookmarkStart w:id="151" w:name="OLE_LINK60"/>
      <w:r>
        <w:rPr>
          <w:rFonts w:hint="eastAsia" w:ascii="楷体_GB2312" w:eastAsia="楷体_GB2312"/>
          <w:b w:val="0"/>
          <w:bCs/>
        </w:rPr>
        <w:t>加速文旅视听行业提质升级</w:t>
      </w:r>
      <w:bookmarkEnd w:id="147"/>
      <w:bookmarkEnd w:id="148"/>
      <w:bookmarkEnd w:id="149"/>
      <w:bookmarkEnd w:id="150"/>
      <w:bookmarkEnd w:id="151"/>
    </w:p>
    <w:p w14:paraId="7690120B">
      <w:pPr>
        <w:spacing w:after="0"/>
        <w:ind w:firstLine="640"/>
        <w:rPr>
          <w:rFonts w:hint="eastAsia" w:ascii="仿宋_GB2312"/>
          <w:szCs w:val="32"/>
          <w:lang w:val="zh-CN"/>
        </w:rPr>
      </w:pPr>
      <w:bookmarkStart w:id="152" w:name="OLE_LINK11"/>
      <w:bookmarkStart w:id="153" w:name="OLE_LINK26"/>
      <w:bookmarkStart w:id="154" w:name="OLE_LINK81"/>
      <w:r>
        <w:rPr>
          <w:rFonts w:hint="eastAsia" w:ascii="仿宋_GB2312" w:hAnsi="仿宋_GB2312" w:cs="仿宋_GB2312"/>
          <w:szCs w:val="32"/>
        </w:rPr>
        <w:t>推动</w:t>
      </w:r>
      <w:r>
        <w:rPr>
          <w:rFonts w:ascii="仿宋_GB2312" w:hAnsi="仿宋_GB2312" w:cs="仿宋_GB2312"/>
          <w:szCs w:val="32"/>
        </w:rPr>
        <w:t>“景区游”向“城市游、街区游、微度假、深体验”转型</w:t>
      </w:r>
      <w:r>
        <w:rPr>
          <w:rFonts w:hint="eastAsia" w:ascii="仿宋_GB2312" w:hAnsi="仿宋_GB2312" w:cs="仿宋_GB2312"/>
          <w:szCs w:val="32"/>
        </w:rPr>
        <w:t>，加快景区景点提质升级，</w:t>
      </w:r>
      <w:r>
        <w:rPr>
          <w:rFonts w:hint="eastAsia" w:ascii="仿宋_GB2312" w:hAnsi="仿宋_GB2312" w:cs="仿宋_GB2312"/>
          <w:kern w:val="0"/>
          <w:szCs w:val="32"/>
        </w:rPr>
        <w:t>实施北京园博园焕新、宛平历史文化街区综合整治提升、中车北京二七智能制造园改造等项目</w:t>
      </w:r>
      <w:r>
        <w:rPr>
          <w:rFonts w:hint="eastAsia" w:ascii="仿宋_GB2312" w:hAnsi="仿宋_GB2312" w:cs="仿宋_GB2312"/>
          <w:szCs w:val="32"/>
        </w:rPr>
        <w:t>。</w:t>
      </w:r>
      <w:bookmarkEnd w:id="152"/>
      <w:bookmarkEnd w:id="153"/>
      <w:r>
        <w:rPr>
          <w:rFonts w:hint="eastAsia" w:ascii="仿宋_GB2312" w:hAnsi="仿宋_GB2312" w:cs="仿宋_GB2312"/>
          <w:szCs w:val="32"/>
        </w:rPr>
        <w:t>丰富“丰台礼物”产品体系，培育特色文创产品，推动“丰台礼物”店建设，搭建线上线下联动销售渠道，健全文创产品全链条运营模式。依托“三站两楼”</w:t>
      </w:r>
      <w:r>
        <w:rPr>
          <w:rFonts w:hint="eastAsia" w:ascii="仿宋_GB2312"/>
          <w:szCs w:val="32"/>
          <w:lang w:val="zh-CN"/>
        </w:rPr>
        <w:t>交通枢纽</w:t>
      </w:r>
      <w:r>
        <w:rPr>
          <w:rFonts w:hint="eastAsia" w:ascii="仿宋_GB2312"/>
          <w:szCs w:val="32"/>
        </w:rPr>
        <w:t>优势</w:t>
      </w:r>
      <w:r>
        <w:rPr>
          <w:rFonts w:hint="eastAsia" w:ascii="仿宋_GB2312"/>
          <w:szCs w:val="32"/>
          <w:lang w:val="zh-CN"/>
        </w:rPr>
        <w:t>，打造集多语种咨询、实时翻译、线路规划、门票预订、应急支持等功能于一体的交旅融合示范场景。</w:t>
      </w:r>
      <w:r>
        <w:rPr>
          <w:rFonts w:hint="eastAsia" w:ascii="仿宋_GB2312"/>
          <w:szCs w:val="32"/>
        </w:rPr>
        <w:t>完善</w:t>
      </w:r>
      <w:r>
        <w:rPr>
          <w:rFonts w:ascii="仿宋_GB2312"/>
          <w:szCs w:val="32"/>
        </w:rPr>
        <w:t>企业服务</w:t>
      </w:r>
      <w:r>
        <w:rPr>
          <w:rFonts w:hint="eastAsia" w:ascii="仿宋_GB2312"/>
          <w:szCs w:val="32"/>
        </w:rPr>
        <w:t>机制</w:t>
      </w:r>
      <w:r>
        <w:rPr>
          <w:rFonts w:hint="eastAsia" w:ascii="仿宋_GB2312" w:hAnsi="Times New Roman"/>
        </w:rPr>
        <w:t>，推行“一企一策”精准服务，</w:t>
      </w:r>
      <w:r>
        <w:rPr>
          <w:rFonts w:hint="eastAsia" w:ascii="仿宋_GB2312"/>
          <w:szCs w:val="32"/>
          <w:lang w:val="zh-CN"/>
        </w:rPr>
        <w:t>招引行业头部企业落地，挖潜、培新、育强现有市场主体，构建梯队化企业发展集群。</w:t>
      </w:r>
      <w:r>
        <w:rPr>
          <w:rFonts w:hint="eastAsia" w:ascii="仿宋_GB2312" w:hAnsi="仿宋_GB2312" w:cs="仿宋_GB2312"/>
          <w:szCs w:val="32"/>
        </w:rPr>
        <w:t>优化住宿业结构</w:t>
      </w:r>
      <w:bookmarkStart w:id="155" w:name="OLE_LINK37"/>
      <w:bookmarkStart w:id="156" w:name="OLE_LINK44"/>
      <w:bookmarkStart w:id="157" w:name="OLE_LINK58"/>
      <w:r>
        <w:rPr>
          <w:rFonts w:hint="eastAsia" w:ascii="仿宋_GB2312" w:hAnsi="仿宋_GB2312" w:cs="仿宋_GB2312"/>
          <w:szCs w:val="32"/>
        </w:rPr>
        <w:t>，补齐高端酒店供给短板，</w:t>
      </w:r>
      <w:bookmarkEnd w:id="155"/>
      <w:r>
        <w:rPr>
          <w:rFonts w:hint="eastAsia" w:ascii="仿宋_GB2312" w:hAnsi="仿宋_GB2312" w:cs="仿宋_GB2312"/>
          <w:szCs w:val="32"/>
        </w:rPr>
        <w:t>推动中端酒店存量升级，</w:t>
      </w:r>
      <w:r>
        <w:rPr>
          <w:rFonts w:ascii="仿宋_GB2312" w:hAnsi="仿宋_GB2312" w:cs="仿宋_GB2312"/>
          <w:szCs w:val="32"/>
        </w:rPr>
        <w:t>打造特色住宿空间，</w:t>
      </w:r>
      <w:r>
        <w:rPr>
          <w:rFonts w:hint="eastAsia" w:ascii="仿宋_GB2312" w:hAnsi="仿宋_GB2312" w:cs="仿宋_GB2312"/>
          <w:szCs w:val="32"/>
        </w:rPr>
        <w:t>培育</w:t>
      </w:r>
      <w:r>
        <w:rPr>
          <w:rFonts w:ascii="仿宋_GB2312" w:hAnsi="仿宋_GB2312" w:cs="仿宋_GB2312"/>
          <w:szCs w:val="32"/>
        </w:rPr>
        <w:t>“宛平人家”丰台特色</w:t>
      </w:r>
      <w:r>
        <w:rPr>
          <w:rFonts w:hint="eastAsia" w:ascii="仿宋_GB2312" w:hAnsi="仿宋_GB2312" w:cs="仿宋_GB2312"/>
          <w:szCs w:val="32"/>
        </w:rPr>
        <w:t>民宿</w:t>
      </w:r>
      <w:r>
        <w:rPr>
          <w:rFonts w:ascii="仿宋_GB2312" w:hAnsi="仿宋_GB2312" w:cs="仿宋_GB2312"/>
          <w:szCs w:val="32"/>
        </w:rPr>
        <w:t>品牌。</w:t>
      </w:r>
      <w:bookmarkEnd w:id="156"/>
      <w:bookmarkEnd w:id="157"/>
      <w:r>
        <w:rPr>
          <w:rFonts w:hint="eastAsia" w:ascii="仿宋_GB2312"/>
          <w:szCs w:val="32"/>
          <w:lang w:val="zh-CN"/>
        </w:rPr>
        <w:t>建立健全广电视听领域政策扶持体系，强化资金要素保障，立足差异化发展路径，集聚全区视听优质资源建设北京长辛店微短剧基地，联动辐射园博科创湾区、10号线青创村、中关村科技园等，培育网络视听新业态。</w:t>
      </w:r>
      <w:r>
        <w:rPr>
          <w:rFonts w:hint="eastAsia" w:ascii="仿宋_GB2312"/>
          <w:bCs/>
          <w:szCs w:val="32"/>
        </w:rPr>
        <w:t xml:space="preserve">  </w:t>
      </w:r>
      <w:bookmarkEnd w:id="154"/>
      <w:bookmarkStart w:id="158" w:name="OLE_LINK52"/>
    </w:p>
    <w:bookmarkEnd w:id="158"/>
    <w:p w14:paraId="10111B4C">
      <w:pPr>
        <w:pStyle w:val="37"/>
        <w:ind w:firstLine="640"/>
        <w:outlineLvl w:val="1"/>
        <w:rPr>
          <w:rFonts w:ascii="楷体_GB2312" w:eastAsia="楷体_GB2312"/>
          <w:b w:val="0"/>
        </w:rPr>
      </w:pPr>
      <w:bookmarkStart w:id="159" w:name="_Toc231464607"/>
      <w:bookmarkStart w:id="160" w:name="_Toc232610186"/>
      <w:bookmarkStart w:id="161" w:name="_Toc241505631"/>
      <w:bookmarkStart w:id="162" w:name="_Toc217058527"/>
      <w:r>
        <w:rPr>
          <w:rFonts w:hint="eastAsia" w:ascii="楷体_GB2312" w:eastAsia="楷体_GB2312"/>
          <w:b w:val="0"/>
        </w:rPr>
        <w:t>（二）</w:t>
      </w:r>
      <w:bookmarkStart w:id="163" w:name="OLE_LINK68"/>
      <w:r>
        <w:rPr>
          <w:rFonts w:hint="eastAsia" w:ascii="楷体_GB2312" w:eastAsia="楷体_GB2312"/>
          <w:b w:val="0"/>
        </w:rPr>
        <w:t>强化</w:t>
      </w:r>
      <w:r>
        <w:rPr>
          <w:rFonts w:ascii="楷体_GB2312" w:eastAsia="楷体_GB2312"/>
          <w:b w:val="0"/>
        </w:rPr>
        <w:t>数智</w:t>
      </w:r>
      <w:r>
        <w:rPr>
          <w:rFonts w:hint="eastAsia" w:ascii="楷体_GB2312" w:eastAsia="楷体_GB2312"/>
          <w:b w:val="0"/>
        </w:rPr>
        <w:t>创新</w:t>
      </w:r>
      <w:bookmarkEnd w:id="159"/>
      <w:bookmarkEnd w:id="160"/>
      <w:bookmarkEnd w:id="163"/>
      <w:r>
        <w:rPr>
          <w:rFonts w:hint="eastAsia" w:ascii="楷体_GB2312" w:eastAsia="楷体_GB2312"/>
          <w:b w:val="0"/>
        </w:rPr>
        <w:t>赋能产业发展</w:t>
      </w:r>
      <w:bookmarkEnd w:id="161"/>
    </w:p>
    <w:p w14:paraId="7B50EA47">
      <w:pPr>
        <w:widowControl/>
        <w:spacing w:after="0"/>
        <w:ind w:firstLine="643"/>
        <w:rPr>
          <w:rFonts w:hint="eastAsia" w:ascii="仿宋_GB2312"/>
        </w:rPr>
      </w:pPr>
      <w:bookmarkStart w:id="164" w:name="OLE_LINK107"/>
      <w:bookmarkStart w:id="165" w:name="OLE_LINK82"/>
      <w:r>
        <w:rPr>
          <w:rFonts w:ascii="仿宋_GB2312"/>
          <w:b/>
          <w:bCs/>
        </w:rPr>
        <w:t>加速推进文旅数智化转型</w:t>
      </w:r>
      <w:bookmarkEnd w:id="164"/>
      <w:r>
        <w:rPr>
          <w:rFonts w:hint="eastAsia" w:ascii="仿宋_GB2312"/>
          <w:b/>
          <w:bCs/>
        </w:rPr>
        <w:t>。</w:t>
      </w:r>
      <w:bookmarkStart w:id="166" w:name="OLE_LINK35"/>
      <w:r>
        <w:rPr>
          <w:rFonts w:ascii="仿宋_GB2312"/>
        </w:rPr>
        <w:t>围绕</w:t>
      </w:r>
      <w:r>
        <w:rPr>
          <w:rFonts w:hint="eastAsia" w:ascii="仿宋_GB2312"/>
        </w:rPr>
        <w:t>“</w:t>
      </w:r>
      <w:r>
        <w:rPr>
          <w:rFonts w:ascii="仿宋_GB2312"/>
        </w:rPr>
        <w:t>全域场景化</w:t>
      </w:r>
      <w:r>
        <w:rPr>
          <w:rFonts w:hint="eastAsia" w:ascii="仿宋_GB2312"/>
        </w:rPr>
        <w:t>”</w:t>
      </w:r>
      <w:r>
        <w:rPr>
          <w:rFonts w:ascii="仿宋_GB2312"/>
        </w:rPr>
        <w:t>发展方向，依托5G、VR/AR等新技术赋能景区景点与文博场馆，加快推进智慧景区、智慧度假区建设，推进景区可视化管理体系建设</w:t>
      </w:r>
      <w:r>
        <w:rPr>
          <w:rFonts w:hint="eastAsia" w:ascii="仿宋_GB2312"/>
        </w:rPr>
        <w:t>，推广</w:t>
      </w:r>
      <w:r>
        <w:rPr>
          <w:rFonts w:ascii="仿宋_GB2312"/>
        </w:rPr>
        <w:t>智能文旅</w:t>
      </w:r>
      <w:r>
        <w:rPr>
          <w:rFonts w:hint="eastAsia" w:ascii="仿宋_GB2312"/>
        </w:rPr>
        <w:t>咨询导览</w:t>
      </w:r>
      <w:r>
        <w:rPr>
          <w:rFonts w:ascii="仿宋_GB2312"/>
        </w:rPr>
        <w:t>服务</w:t>
      </w:r>
      <w:r>
        <w:rPr>
          <w:rFonts w:hint="eastAsia" w:ascii="仿宋_GB2312"/>
        </w:rPr>
        <w:t>；</w:t>
      </w:r>
      <w:r>
        <w:rPr>
          <w:rFonts w:ascii="仿宋_GB2312"/>
        </w:rPr>
        <w:t>积极发展智慧文博，通过沉浸式展览、数字体验等新模式活化文化遗产展示，打造数智化文旅场景与产品。</w:t>
      </w:r>
      <w:r>
        <w:rPr>
          <w:rFonts w:hint="eastAsia" w:ascii="仿宋_GB2312" w:hAnsi="仿宋_GB2312" w:cs="仿宋_GB2312"/>
          <w:szCs w:val="32"/>
        </w:rPr>
        <w:t>支持数字出版创新发展，引导企业向数字内容生产、智能分发、沉浸式阅读等数字化新形态跃升。</w:t>
      </w:r>
      <w:r>
        <w:rPr>
          <w:rFonts w:ascii="仿宋_GB2312"/>
        </w:rPr>
        <w:t>落实超高清视听创新提升工程，围绕南中轴布局xR内容生产、人工智能、数字演绎创制等制播技术，培育“超现场”“云演艺”产业生态，打造南中轴超高清大视听产业集群</w:t>
      </w:r>
      <w:r>
        <w:rPr>
          <w:rFonts w:hint="eastAsia" w:ascii="仿宋_GB2312"/>
        </w:rPr>
        <w:t>。</w:t>
      </w:r>
      <w:r>
        <w:rPr>
          <w:rFonts w:ascii="仿宋_GB2312"/>
        </w:rPr>
        <w:t>成立丰台区数智文旅联盟、搭建政</w:t>
      </w:r>
      <w:r>
        <w:rPr>
          <w:rFonts w:hint="eastAsia" w:ascii="仿宋_GB2312"/>
        </w:rPr>
        <w:t>校</w:t>
      </w:r>
      <w:r>
        <w:rPr>
          <w:rFonts w:ascii="仿宋_GB2312"/>
        </w:rPr>
        <w:t>企</w:t>
      </w:r>
      <w:r>
        <w:rPr>
          <w:rFonts w:hint="eastAsia" w:ascii="仿宋_GB2312"/>
        </w:rPr>
        <w:t>文旅</w:t>
      </w:r>
      <w:r>
        <w:rPr>
          <w:rFonts w:ascii="仿宋_GB2312"/>
        </w:rPr>
        <w:t>资源</w:t>
      </w:r>
      <w:r>
        <w:rPr>
          <w:rFonts w:hint="eastAsia" w:ascii="仿宋_GB2312"/>
        </w:rPr>
        <w:t>数智算力实验室</w:t>
      </w:r>
      <w:r>
        <w:rPr>
          <w:rFonts w:ascii="仿宋_GB2312"/>
        </w:rPr>
        <w:t>，助力</w:t>
      </w:r>
      <w:r>
        <w:rPr>
          <w:rFonts w:hint="eastAsia" w:ascii="仿宋_GB2312"/>
        </w:rPr>
        <w:t>区域文旅</w:t>
      </w:r>
      <w:r>
        <w:rPr>
          <w:rFonts w:ascii="仿宋_GB2312"/>
        </w:rPr>
        <w:t>项目完成数智化改造。</w:t>
      </w:r>
      <w:bookmarkEnd w:id="165"/>
      <w:bookmarkEnd w:id="166"/>
    </w:p>
    <w:p w14:paraId="1A089C2D">
      <w:pPr>
        <w:pStyle w:val="37"/>
        <w:ind w:firstLine="640"/>
        <w:outlineLvl w:val="1"/>
        <w:rPr>
          <w:rFonts w:ascii="楷体_GB2312" w:eastAsia="楷体_GB2312"/>
          <w:b w:val="0"/>
        </w:rPr>
      </w:pPr>
      <w:bookmarkStart w:id="167" w:name="_Toc241505632"/>
      <w:bookmarkStart w:id="168" w:name="_Toc231464608"/>
      <w:bookmarkStart w:id="169" w:name="_Toc232610187"/>
      <w:r>
        <w:rPr>
          <w:rFonts w:hint="eastAsia" w:ascii="楷体_GB2312" w:eastAsia="楷体_GB2312"/>
          <w:b w:val="0"/>
        </w:rPr>
        <w:t>（三）</w:t>
      </w:r>
      <w:bookmarkStart w:id="170" w:name="OLE_LINK69"/>
      <w:r>
        <w:rPr>
          <w:rFonts w:hint="eastAsia" w:ascii="楷体_GB2312" w:eastAsia="楷体_GB2312"/>
          <w:b w:val="0"/>
        </w:rPr>
        <w:t>激活生态文旅发展动能</w:t>
      </w:r>
      <w:bookmarkEnd w:id="167"/>
      <w:bookmarkEnd w:id="168"/>
      <w:bookmarkEnd w:id="169"/>
      <w:bookmarkEnd w:id="170"/>
    </w:p>
    <w:p w14:paraId="575C3520">
      <w:pPr>
        <w:spacing w:after="0"/>
        <w:ind w:firstLine="640"/>
        <w:rPr>
          <w:rFonts w:ascii="仿宋_GB2312" w:hAnsi="Times New Roman"/>
          <w:szCs w:val="32"/>
        </w:rPr>
      </w:pPr>
      <w:bookmarkStart w:id="171" w:name="OLE_LINK84"/>
      <w:bookmarkStart w:id="172" w:name="OLE_LINK111"/>
      <w:r>
        <w:rPr>
          <w:rFonts w:hint="eastAsia" w:ascii="仿宋_GB2312" w:hAnsi="Times New Roman"/>
          <w:szCs w:val="32"/>
        </w:rPr>
        <w:t>立足花园城市建设，</w:t>
      </w:r>
      <w:r>
        <w:rPr>
          <w:rFonts w:hint="eastAsia"/>
        </w:rPr>
        <w:t>依托生态本底激活绿色文旅价值，</w:t>
      </w:r>
      <w:r>
        <w:t>以西山永定河</w:t>
      </w:r>
      <w:r>
        <w:rPr>
          <w:rFonts w:hint="eastAsia"/>
        </w:rPr>
        <w:t>文化带</w:t>
      </w:r>
      <w:r>
        <w:t>绿道</w:t>
      </w:r>
      <w:r>
        <w:rPr>
          <w:rFonts w:hint="eastAsia"/>
        </w:rPr>
        <w:t>（丰台段）</w:t>
      </w:r>
      <w:r>
        <w:t>为主线串联沿线山林资源</w:t>
      </w:r>
      <w:r>
        <w:rPr>
          <w:rFonts w:hint="eastAsia"/>
        </w:rPr>
        <w:t>，以</w:t>
      </w:r>
      <w:r>
        <w:t>北宫国家森林公园自然生态基底</w:t>
      </w:r>
      <w:r>
        <w:rPr>
          <w:rFonts w:hint="eastAsia"/>
        </w:rPr>
        <w:t>，</w:t>
      </w:r>
      <w:r>
        <w:t>打造森林游憩核心节点，联动凉水河</w:t>
      </w:r>
      <w:r>
        <w:rPr>
          <w:rFonts w:hint="eastAsia"/>
        </w:rPr>
        <w:t>、</w:t>
      </w:r>
      <w:r>
        <w:t>永定河生态滨水带</w:t>
      </w:r>
      <w:r>
        <w:rPr>
          <w:rFonts w:hint="eastAsia"/>
        </w:rPr>
        <w:t>，打造蓝绿交织滨水文旅廊道</w:t>
      </w:r>
      <w:r>
        <w:rPr>
          <w:rFonts w:hint="eastAsia" w:ascii="仿宋_GB2312" w:hAnsi="仿宋_GB2312" w:cs="仿宋_GB2312"/>
          <w:szCs w:val="32"/>
        </w:rPr>
        <w:t>。完善全域公园游憩体系，构建城市慢行游赏网络。</w:t>
      </w:r>
      <w:r>
        <w:rPr>
          <w:rFonts w:ascii="仿宋_GB2312" w:hAnsi="仿宋_GB2312" w:cs="仿宋_GB2312"/>
          <w:szCs w:val="32"/>
        </w:rPr>
        <w:t>实施“公园+”发展模式，</w:t>
      </w:r>
      <w:r>
        <w:rPr>
          <w:rFonts w:hint="eastAsia" w:ascii="仿宋_GB2312" w:hAnsi="仿宋_GB2312" w:cs="仿宋_GB2312"/>
          <w:szCs w:val="32"/>
        </w:rPr>
        <w:t>推进社区花园微更新与文旅功能融合，构建</w:t>
      </w:r>
      <w:r>
        <w:rPr>
          <w:rFonts w:ascii="仿宋_GB2312" w:hAnsi="仿宋_GB2312" w:cs="仿宋_GB2312"/>
          <w:szCs w:val="32"/>
        </w:rPr>
        <w:t>全龄友好文旅</w:t>
      </w:r>
      <w:r>
        <w:rPr>
          <w:rFonts w:hint="eastAsia" w:ascii="仿宋_GB2312" w:hAnsi="仿宋_GB2312" w:cs="仿宋_GB2312"/>
          <w:szCs w:val="32"/>
        </w:rPr>
        <w:t>消费</w:t>
      </w:r>
      <w:r>
        <w:rPr>
          <w:rFonts w:ascii="仿宋_GB2312" w:hAnsi="仿宋_GB2312" w:cs="仿宋_GB2312"/>
          <w:szCs w:val="32"/>
        </w:rPr>
        <w:t>场景</w:t>
      </w:r>
      <w:r>
        <w:rPr>
          <w:rFonts w:hint="eastAsia" w:ascii="仿宋_GB2312" w:hAnsi="仿宋_GB2312" w:cs="仿宋_GB2312"/>
          <w:szCs w:val="32"/>
        </w:rPr>
        <w:t>。立足“绿水青山就是金山银山”实践创新基地建设成效，</w:t>
      </w:r>
      <w:r>
        <w:rPr>
          <w:rFonts w:hint="eastAsia" w:ascii="仿宋_GB2312" w:hAnsi="Times New Roman"/>
          <w:szCs w:val="32"/>
        </w:rPr>
        <w:t>支持王佐镇争创市级乡村旅游重点村镇</w:t>
      </w:r>
      <w:bookmarkEnd w:id="171"/>
      <w:r>
        <w:rPr>
          <w:rFonts w:hint="eastAsia" w:ascii="仿宋_GB2312" w:hAnsi="Times New Roman"/>
          <w:szCs w:val="32"/>
        </w:rPr>
        <w:t>，释放乡村生态资源文旅价值</w:t>
      </w:r>
      <w:r>
        <w:rPr>
          <w:rFonts w:ascii="仿宋_GB2312" w:hAnsi="Times New Roman"/>
          <w:szCs w:val="32"/>
        </w:rPr>
        <w:t>。</w:t>
      </w:r>
    </w:p>
    <w:bookmarkEnd w:id="172"/>
    <w:p w14:paraId="076EF11C">
      <w:pPr>
        <w:pStyle w:val="37"/>
        <w:ind w:firstLine="640"/>
        <w:outlineLvl w:val="1"/>
        <w:rPr>
          <w:rFonts w:ascii="楷体_GB2312" w:eastAsia="楷体_GB2312"/>
          <w:b w:val="0"/>
        </w:rPr>
      </w:pPr>
      <w:bookmarkStart w:id="173" w:name="_Toc232610188"/>
      <w:bookmarkStart w:id="174" w:name="_Toc241505633"/>
      <w:bookmarkStart w:id="175" w:name="_Toc231464609"/>
      <w:r>
        <w:rPr>
          <w:rFonts w:hint="eastAsia" w:ascii="楷体_GB2312" w:eastAsia="楷体_GB2312"/>
          <w:b w:val="0"/>
        </w:rPr>
        <w:t>（四）</w:t>
      </w:r>
      <w:bookmarkStart w:id="176" w:name="OLE_LINK70"/>
      <w:r>
        <w:rPr>
          <w:rFonts w:hint="eastAsia" w:ascii="楷体_GB2312" w:eastAsia="楷体_GB2312"/>
          <w:b w:val="0"/>
        </w:rPr>
        <w:t>深化跨域多维</w:t>
      </w:r>
      <w:r>
        <w:rPr>
          <w:rFonts w:ascii="楷体_GB2312" w:eastAsia="楷体_GB2312"/>
          <w:b w:val="0"/>
        </w:rPr>
        <w:t>协同</w:t>
      </w:r>
      <w:r>
        <w:rPr>
          <w:rFonts w:hint="eastAsia" w:ascii="楷体_GB2312" w:eastAsia="楷体_GB2312"/>
          <w:b w:val="0"/>
        </w:rPr>
        <w:t>联动</w:t>
      </w:r>
      <w:bookmarkEnd w:id="173"/>
      <w:bookmarkEnd w:id="174"/>
      <w:bookmarkEnd w:id="175"/>
      <w:bookmarkEnd w:id="176"/>
    </w:p>
    <w:p w14:paraId="4624628A">
      <w:pPr>
        <w:spacing w:after="0"/>
        <w:ind w:firstLine="640"/>
        <w:rPr>
          <w:rFonts w:hint="eastAsia" w:ascii="仿宋_GB2312" w:hAnsi="仿宋_GB2312" w:cs="仿宋_GB2312"/>
          <w:szCs w:val="32"/>
        </w:rPr>
      </w:pPr>
      <w:bookmarkStart w:id="177" w:name="OLE_LINK112"/>
      <w:bookmarkStart w:id="178" w:name="OLE_LINK118"/>
      <w:bookmarkStart w:id="179" w:name="OLE_LINK87"/>
      <w:bookmarkStart w:id="180" w:name="OLE_LINK129"/>
      <w:r>
        <w:rPr>
          <w:rFonts w:hint="eastAsia" w:ascii="仿宋_GB2312"/>
        </w:rPr>
        <w:t>以重大文旅体活动为纽带，落实京津冀文旅体一体化发展</w:t>
      </w:r>
      <w:bookmarkEnd w:id="177"/>
      <w:r>
        <w:rPr>
          <w:rFonts w:hint="eastAsia" w:ascii="仿宋_GB2312"/>
        </w:rPr>
        <w:t>，持续京津冀文化交流、赛事联动，推进三地文商旅体展协同发展。</w:t>
      </w:r>
      <w:bookmarkEnd w:id="178"/>
      <w:bookmarkStart w:id="181" w:name="OLE_LINK113"/>
      <w:r>
        <w:rPr>
          <w:rFonts w:hint="eastAsia" w:ascii="仿宋_GB2312" w:hAnsi="Times New Roman"/>
          <w:szCs w:val="32"/>
        </w:rPr>
        <w:t>加强对口协作及区域联动，推进文化互鉴、</w:t>
      </w:r>
      <w:r>
        <w:rPr>
          <w:rFonts w:ascii="仿宋_GB2312" w:hAnsi="Times New Roman"/>
          <w:szCs w:val="32"/>
        </w:rPr>
        <w:t>线路共建、客源互送</w:t>
      </w:r>
      <w:r>
        <w:rPr>
          <w:rFonts w:hint="eastAsia" w:ascii="仿宋_GB2312" w:hAnsi="Times New Roman"/>
          <w:szCs w:val="32"/>
        </w:rPr>
        <w:t>，促进优势互补、合作共赢</w:t>
      </w:r>
      <w:r>
        <w:rPr>
          <w:rFonts w:ascii="仿宋_GB2312" w:hAnsi="Times New Roman"/>
          <w:szCs w:val="32"/>
        </w:rPr>
        <w:t>。</w:t>
      </w:r>
      <w:bookmarkEnd w:id="181"/>
      <w:bookmarkStart w:id="182" w:name="OLE_LINK114"/>
      <w:r>
        <w:rPr>
          <w:rFonts w:hint="eastAsia" w:ascii="仿宋_GB2312"/>
          <w:lang w:val="zh-CN"/>
        </w:rPr>
        <w:t>提升入境旅游服务品质</w:t>
      </w:r>
      <w:bookmarkEnd w:id="182"/>
      <w:r>
        <w:rPr>
          <w:rFonts w:hint="eastAsia" w:ascii="仿宋_GB2312"/>
        </w:rPr>
        <w:t>。</w:t>
      </w:r>
      <w:r>
        <w:rPr>
          <w:rFonts w:hint="eastAsia" w:ascii="仿宋_GB2312" w:hAnsi="Times New Roman"/>
          <w:szCs w:val="32"/>
        </w:rPr>
        <w:t>用好首都过境免签等入境便利政策，</w:t>
      </w:r>
      <w:r>
        <w:rPr>
          <w:rFonts w:ascii="仿宋_GB2312" w:hAnsi="仿宋_GB2312" w:cs="仿宋_GB2312"/>
          <w:szCs w:val="32"/>
        </w:rPr>
        <w:t>推进支付便利化建设，优化外币兑换服务网络，</w:t>
      </w:r>
      <w:r>
        <w:rPr>
          <w:rFonts w:hint="eastAsia" w:ascii="仿宋_GB2312" w:hAnsi="仿宋_GB2312" w:cs="仿宋_GB2312"/>
          <w:szCs w:val="32"/>
        </w:rPr>
        <w:t>扩大入境消费</w:t>
      </w:r>
      <w:r>
        <w:rPr>
          <w:rFonts w:ascii="仿宋_GB2312" w:hAnsi="仿宋_GB2312" w:cs="仿宋_GB2312"/>
          <w:szCs w:val="32"/>
        </w:rPr>
        <w:t>。培育演艺消费、文化IP、数字出版、微短剧等新型文化业态，开发面向入境游客的沉浸式文化体验产品，放大文化消费与入境消费叠加效应。</w:t>
      </w:r>
      <w:r>
        <w:rPr>
          <w:rFonts w:hint="eastAsia" w:ascii="仿宋_GB2312"/>
        </w:rPr>
        <w:t>开发适合外籍游客的文旅体验线路，</w:t>
      </w:r>
      <w:r>
        <w:rPr>
          <w:rFonts w:ascii="仿宋_GB2312"/>
        </w:rPr>
        <w:t>鼓励支持商务会奖旅游发展</w:t>
      </w:r>
      <w:r>
        <w:rPr>
          <w:rFonts w:hint="eastAsia" w:ascii="仿宋_GB2312"/>
        </w:rPr>
        <w:t>。</w:t>
      </w:r>
      <w:r>
        <w:rPr>
          <w:rFonts w:hint="eastAsia" w:ascii="仿宋_GB2312" w:hAnsi="仿宋_GB2312" w:cs="仿宋_GB2312"/>
          <w:szCs w:val="32"/>
        </w:rPr>
        <w:t>优化交通</w:t>
      </w:r>
      <w:r>
        <w:rPr>
          <w:rFonts w:ascii="仿宋_GB2312" w:hAnsi="仿宋_GB2312" w:cs="仿宋_GB2312"/>
          <w:szCs w:val="32"/>
        </w:rPr>
        <w:t>枢纽与重点景区交通接驳，鼓励发展面向入境游客的定制化接驳运输服务</w:t>
      </w:r>
      <w:bookmarkEnd w:id="179"/>
      <w:r>
        <w:rPr>
          <w:rFonts w:ascii="仿宋_GB2312" w:hAnsi="仿宋_GB2312" w:cs="仿宋_GB2312"/>
          <w:szCs w:val="32"/>
        </w:rPr>
        <w:t>。</w:t>
      </w:r>
      <w:bookmarkEnd w:id="180"/>
    </w:p>
    <w:bookmarkEnd w:id="162"/>
    <w:p w14:paraId="7CE517C7">
      <w:pPr>
        <w:pStyle w:val="37"/>
        <w:ind w:firstLine="640"/>
        <w:outlineLvl w:val="1"/>
        <w:rPr>
          <w:rFonts w:hint="eastAsia" w:ascii="楷体_GB2312" w:hAnsi="仿宋_GB2312" w:eastAsia="楷体_GB2312" w:cs="仿宋_GB2312"/>
          <w:b w:val="0"/>
        </w:rPr>
      </w:pPr>
      <w:bookmarkStart w:id="183" w:name="_Toc231464610"/>
      <w:bookmarkStart w:id="184" w:name="_Toc232610189"/>
      <w:bookmarkStart w:id="185" w:name="_Toc241505634"/>
      <w:bookmarkStart w:id="186" w:name="_Toc217058529"/>
      <w:r>
        <w:rPr>
          <w:rFonts w:hint="eastAsia" w:ascii="楷体_GB2312" w:hAnsi="仿宋_GB2312" w:eastAsia="楷体_GB2312" w:cs="仿宋_GB2312"/>
          <w:b w:val="0"/>
        </w:rPr>
        <w:t>（五）</w:t>
      </w:r>
      <w:bookmarkStart w:id="187" w:name="OLE_LINK71"/>
      <w:r>
        <w:rPr>
          <w:rFonts w:hint="eastAsia" w:ascii="楷体_GB2312" w:hAnsi="仿宋_GB2312" w:eastAsia="楷体_GB2312" w:cs="仿宋_GB2312"/>
          <w:b w:val="0"/>
        </w:rPr>
        <w:t>促进体育行业提质培优</w:t>
      </w:r>
      <w:bookmarkEnd w:id="183"/>
      <w:bookmarkEnd w:id="184"/>
      <w:bookmarkEnd w:id="185"/>
      <w:bookmarkEnd w:id="187"/>
    </w:p>
    <w:p w14:paraId="7BCE30B7">
      <w:pPr>
        <w:spacing w:after="0"/>
        <w:ind w:firstLine="643"/>
        <w:rPr>
          <w:rFonts w:hint="eastAsia" w:ascii="仿宋_GB2312" w:hAnsi="仿宋_GB2312" w:cs="仿宋_GB2312"/>
          <w:szCs w:val="32"/>
        </w:rPr>
      </w:pPr>
      <w:bookmarkStart w:id="188" w:name="OLE_LINK88"/>
      <w:r>
        <w:rPr>
          <w:rFonts w:hint="eastAsia" w:ascii="仿宋_GB2312"/>
          <w:b/>
          <w:bCs/>
          <w:szCs w:val="32"/>
        </w:rPr>
        <w:t>推动体育产业发展</w:t>
      </w:r>
      <w:r>
        <w:rPr>
          <w:rFonts w:hint="eastAsia" w:ascii="仿宋_GB2312"/>
          <w:szCs w:val="32"/>
        </w:rPr>
        <w:t>。</w:t>
      </w:r>
      <w:r>
        <w:rPr>
          <w:rFonts w:hint="eastAsia" w:ascii="仿宋_GB2312" w:hAnsi="仿宋_GB2312" w:cs="仿宋_GB2312"/>
          <w:szCs w:val="32"/>
        </w:rPr>
        <w:t>推动冰雪运动普及，</w:t>
      </w:r>
      <w:r>
        <w:rPr>
          <w:rFonts w:hint="eastAsia" w:ascii="仿宋_GB2312"/>
          <w:szCs w:val="32"/>
        </w:rPr>
        <w:t>鼓励社会力量参与冰雪项目开发，开展“欢乐冰雪季”系列活动，持续巩固冰雪运动群众基础。</w:t>
      </w:r>
      <w:r>
        <w:rPr>
          <w:rFonts w:hint="eastAsia" w:ascii="仿宋_GB2312" w:hAnsi="仿宋_GB2312" w:cs="仿宋_GB2312"/>
          <w:szCs w:val="32"/>
        </w:rPr>
        <w:t>开展各类群众足球赛事活动，规划建设足球场地。深化“全民太极大会”“武术进家庭”</w:t>
      </w:r>
      <w:bookmarkStart w:id="189" w:name="OLE_LINK31"/>
      <w:r>
        <w:rPr>
          <w:rFonts w:hint="eastAsia" w:ascii="仿宋_GB2312" w:hAnsi="仿宋_GB2312" w:cs="仿宋_GB2312"/>
          <w:szCs w:val="32"/>
        </w:rPr>
        <w:t>等自主品牌赛事与行动的影响力</w:t>
      </w:r>
      <w:bookmarkEnd w:id="189"/>
      <w:r>
        <w:rPr>
          <w:rFonts w:hint="eastAsia" w:ascii="仿宋_GB2312" w:hAnsi="仿宋_GB2312" w:cs="仿宋_GB2312"/>
          <w:szCs w:val="32"/>
        </w:rPr>
        <w:t>，引入国家级、国际级赛事落户丰台。依托体育产业协会对接政企资源，引进优质企业，落实中小企业升规培育“一对一”帮扶。支持体育明星、退役运动员等专业群体投资创业。拓展数字体育新场景，探索电子竞技、线上体育培训等新业态发展</w:t>
      </w:r>
      <w:bookmarkEnd w:id="188"/>
      <w:r>
        <w:rPr>
          <w:rFonts w:hint="eastAsia" w:ascii="仿宋_GB2312" w:hAnsi="仿宋_GB2312" w:cs="仿宋_GB2312"/>
          <w:szCs w:val="32"/>
        </w:rPr>
        <w:t>。</w:t>
      </w:r>
    </w:p>
    <w:p w14:paraId="302FCD66">
      <w:pPr>
        <w:spacing w:after="0"/>
        <w:ind w:firstLine="643"/>
        <w:rPr>
          <w:rFonts w:hint="eastAsia" w:ascii="仿宋_GB2312"/>
          <w:szCs w:val="32"/>
        </w:rPr>
      </w:pPr>
      <w:r>
        <w:rPr>
          <w:rFonts w:hint="eastAsia" w:ascii="仿宋_GB2312"/>
          <w:b/>
          <w:bCs/>
          <w:szCs w:val="32"/>
        </w:rPr>
        <w:t>优化竞技项目布局</w:t>
      </w:r>
      <w:r>
        <w:rPr>
          <w:rFonts w:hint="eastAsia" w:ascii="仿宋_GB2312"/>
          <w:szCs w:val="32"/>
        </w:rPr>
        <w:t>。</w:t>
      </w:r>
      <w:bookmarkStart w:id="190" w:name="OLE_LINK89"/>
      <w:r>
        <w:rPr>
          <w:rFonts w:hint="eastAsia" w:ascii="仿宋_GB2312" w:hAnsi="仿宋_GB2312" w:cs="仿宋_GB2312"/>
          <w:szCs w:val="32"/>
        </w:rPr>
        <w:t>推动赛艇、皮划艇等项目</w:t>
      </w:r>
      <w:r>
        <w:rPr>
          <w:rFonts w:hint="eastAsia"/>
        </w:rPr>
        <w:t>综合实力跻身全市前六名，实现输送运动员从无到有突破</w:t>
      </w:r>
      <w:r>
        <w:rPr>
          <w:rFonts w:hint="eastAsia" w:ascii="仿宋_GB2312" w:hAnsi="仿宋_GB2312" w:cs="仿宋_GB2312"/>
          <w:szCs w:val="32"/>
        </w:rPr>
        <w:t>，夯实三大球发展根基，组建不少于17支优质队伍。根据国家体育总局文件精神及北京市工作要求构建“1+N”足球青训中心，巩固棒、垒球项目竞技优势。健全“体校+学校+社会力量”人才培养，壮大冰雪运动后备人才规模，常态化开展专项技能培训</w:t>
      </w:r>
      <w:bookmarkEnd w:id="190"/>
      <w:r>
        <w:rPr>
          <w:rFonts w:hint="eastAsia" w:ascii="仿宋_GB2312" w:hAnsi="仿宋_GB2312" w:cs="仿宋_GB2312"/>
          <w:szCs w:val="32"/>
        </w:rPr>
        <w:t>。</w:t>
      </w:r>
    </w:p>
    <w:p w14:paraId="34E791B4">
      <w:pPr>
        <w:pStyle w:val="37"/>
        <w:ind w:firstLine="640"/>
        <w:outlineLvl w:val="1"/>
        <w:rPr>
          <w:rFonts w:hint="eastAsia" w:ascii="楷体_GB2312" w:hAnsi="仿宋_GB2312" w:eastAsia="楷体_GB2312" w:cs="仿宋_GB2312"/>
          <w:b w:val="0"/>
        </w:rPr>
      </w:pPr>
      <w:bookmarkStart w:id="191" w:name="_Toc232610190"/>
      <w:bookmarkStart w:id="192" w:name="_Toc241505635"/>
      <w:bookmarkStart w:id="193" w:name="_Toc231464611"/>
      <w:r>
        <w:rPr>
          <w:rFonts w:hint="eastAsia" w:ascii="楷体_GB2312" w:hAnsi="仿宋_GB2312" w:eastAsia="楷体_GB2312" w:cs="仿宋_GB2312"/>
          <w:b w:val="0"/>
        </w:rPr>
        <w:t>（六）</w:t>
      </w:r>
      <w:bookmarkStart w:id="194" w:name="OLE_LINK72"/>
      <w:r>
        <w:rPr>
          <w:rFonts w:hint="eastAsia" w:ascii="楷体_GB2312" w:hAnsi="仿宋_GB2312" w:eastAsia="楷体_GB2312" w:cs="仿宋_GB2312"/>
          <w:b w:val="0"/>
        </w:rPr>
        <w:t>深化文商旅体展融合发展</w:t>
      </w:r>
      <w:bookmarkEnd w:id="191"/>
      <w:bookmarkEnd w:id="192"/>
      <w:bookmarkEnd w:id="193"/>
      <w:bookmarkEnd w:id="194"/>
    </w:p>
    <w:p w14:paraId="32CD8374">
      <w:pPr>
        <w:spacing w:after="0"/>
        <w:ind w:firstLine="640"/>
        <w:rPr>
          <w:rFonts w:ascii="仿宋_GB2312" w:hAnsi="Times New Roman"/>
          <w:szCs w:val="32"/>
        </w:rPr>
      </w:pPr>
      <w:bookmarkStart w:id="195" w:name="OLE_LINK133"/>
      <w:bookmarkStart w:id="196" w:name="OLE_LINK116"/>
      <w:bookmarkStart w:id="197" w:name="OLE_LINK38"/>
      <w:r>
        <w:rPr>
          <w:rFonts w:hint="eastAsia" w:ascii="仿宋_GB2312" w:hAnsi="仿宋_GB2312" w:cs="仿宋_GB2312"/>
          <w:kern w:val="0"/>
          <w:szCs w:val="32"/>
        </w:rPr>
        <w:t>强化文化引领、商业转化、旅游链接、体育带动，拓展多元融合消费产品。</w:t>
      </w:r>
      <w:r>
        <w:rPr>
          <w:rFonts w:hint="eastAsia" w:ascii="仿宋_GB2312" w:hAnsi="Times New Roman"/>
          <w:szCs w:val="32"/>
        </w:rPr>
        <w:t>加快“两园一河”消费片区建设，以园博合生汇项目落地为契机，培育文旅体休闲娱乐融合业态。</w:t>
      </w:r>
      <w:bookmarkEnd w:id="195"/>
      <w:r>
        <w:rPr>
          <w:rFonts w:hint="eastAsia" w:ascii="仿宋_GB2312" w:hAnsi="仿宋_GB2312" w:cs="仿宋_GB2312"/>
          <w:szCs w:val="32"/>
        </w:rPr>
        <w:t>深入开展“跟着赛事去旅行”，推出一批赛事主题</w:t>
      </w:r>
      <w:r>
        <w:rPr>
          <w:rFonts w:hint="eastAsia" w:ascii="Segoe UI Emoji" w:hAnsi="Segoe UI Emoji" w:cs="Segoe UI Emoji"/>
          <w:szCs w:val="32"/>
        </w:rPr>
        <w:t>游、乡村体育旅游等产品</w:t>
      </w:r>
      <w:r>
        <w:rPr>
          <w:rFonts w:hint="eastAsia" w:ascii="仿宋_GB2312" w:hAnsi="仿宋_GB2312" w:cs="仿宋_GB2312"/>
          <w:szCs w:val="32"/>
        </w:rPr>
        <w:t>，</w:t>
      </w:r>
      <w:r>
        <w:rPr>
          <w:rFonts w:hint="eastAsia"/>
          <w:kern w:val="0"/>
        </w:rPr>
        <w:t>开发城市漫步等特色主题产品</w:t>
      </w:r>
      <w:r>
        <w:rPr>
          <w:rFonts w:hint="eastAsia" w:ascii="仿宋_GB2312" w:hAnsi="仿宋_GB2312" w:cs="仿宋_GB2312"/>
          <w:szCs w:val="32"/>
        </w:rPr>
        <w:t>。</w:t>
      </w:r>
      <w:r>
        <w:rPr>
          <w:rFonts w:hint="eastAsia" w:ascii="仿宋_GB2312" w:hAnsi="Times New Roman"/>
          <w:szCs w:val="32"/>
        </w:rPr>
        <w:t>鼓励举办各类室内外会展和</w:t>
      </w:r>
      <w:r>
        <w:rPr>
          <w:rFonts w:hint="eastAsia" w:ascii="仿宋_GB2312" w:hAnsi="仿宋_GB2312" w:cs="仿宋_GB2312"/>
          <w:szCs w:val="32"/>
        </w:rPr>
        <w:t>赛事活动</w:t>
      </w:r>
      <w:r>
        <w:rPr>
          <w:rFonts w:hint="eastAsia" w:ascii="仿宋_GB2312" w:hAnsi="Times New Roman"/>
          <w:szCs w:val="32"/>
        </w:rPr>
        <w:t>，培育马拉松、</w:t>
      </w:r>
      <w:bookmarkStart w:id="198" w:name="OLE_LINK78"/>
      <w:r>
        <w:rPr>
          <w:rFonts w:hint="eastAsia" w:ascii="仿宋_GB2312" w:hAnsi="Times New Roman"/>
          <w:szCs w:val="32"/>
        </w:rPr>
        <w:t>10公里精英赛、拔河、</w:t>
      </w:r>
      <w:bookmarkEnd w:id="198"/>
      <w:r>
        <w:rPr>
          <w:rFonts w:hint="eastAsia" w:ascii="仿宋_GB2312" w:hAnsi="Times New Roman"/>
          <w:szCs w:val="32"/>
        </w:rPr>
        <w:t>汽车集结赛等特色赛事品牌，</w:t>
      </w:r>
      <w:bookmarkStart w:id="199" w:name="OLE_LINK100"/>
      <w:r>
        <w:rPr>
          <w:rFonts w:hint="eastAsia" w:ascii="仿宋_GB2312" w:hAnsi="Times New Roman"/>
          <w:szCs w:val="32"/>
        </w:rPr>
        <w:t>持续推动赛事活动进商圈，</w:t>
      </w:r>
      <w:bookmarkEnd w:id="199"/>
      <w:r>
        <w:rPr>
          <w:rFonts w:hint="eastAsia" w:ascii="仿宋_GB2312" w:hAnsi="Times New Roman"/>
          <w:szCs w:val="32"/>
        </w:rPr>
        <w:t>打造“观赛+观展+消费”融合新场景，激发文商旅体消费活力</w:t>
      </w:r>
      <w:bookmarkEnd w:id="196"/>
      <w:r>
        <w:rPr>
          <w:rFonts w:hint="eastAsia" w:ascii="仿宋_GB2312" w:hAnsi="仿宋_GB2312" w:cs="仿宋_GB2312"/>
          <w:kern w:val="0"/>
          <w:szCs w:val="32"/>
        </w:rPr>
        <w:t>。</w:t>
      </w:r>
      <w:bookmarkStart w:id="200" w:name="OLE_LINK117"/>
      <w:r>
        <w:rPr>
          <w:rFonts w:hint="eastAsia" w:ascii="仿宋_GB2312" w:hAnsi="仿宋_GB2312" w:cs="仿宋_GB2312"/>
          <w:kern w:val="0"/>
          <w:szCs w:val="32"/>
        </w:rPr>
        <w:t>打造多元研学矩阵</w:t>
      </w:r>
      <w:bookmarkEnd w:id="200"/>
      <w:bookmarkStart w:id="201" w:name="OLE_LINK119"/>
      <w:r>
        <w:rPr>
          <w:rFonts w:hint="eastAsia" w:ascii="仿宋_GB2312" w:hAnsi="仿宋_GB2312" w:cs="仿宋_GB2312"/>
          <w:kern w:val="0"/>
          <w:szCs w:val="32"/>
        </w:rPr>
        <w:t>，以“红色铸魂、生态润心、科技启智、书香涵韵、考古探源、工业砺志、法治明辨、康养怡情”为核心方向，构建集知识传授、文化浸润、消费带动于一体的丰台特色研学体系。培育全新康养文旅名片</w:t>
      </w:r>
      <w:bookmarkEnd w:id="201"/>
      <w:bookmarkStart w:id="202" w:name="OLE_LINK120"/>
      <w:r>
        <w:rPr>
          <w:rFonts w:hint="eastAsia" w:ascii="仿宋_GB2312" w:hAnsi="仿宋_GB2312" w:cs="仿宋_GB2312"/>
          <w:kern w:val="0"/>
          <w:szCs w:val="32"/>
        </w:rPr>
        <w:t>，</w:t>
      </w:r>
      <w:r>
        <w:rPr>
          <w:rFonts w:hint="eastAsia" w:ascii="仿宋_GB2312" w:hAnsi="Times New Roman"/>
          <w:szCs w:val="32"/>
        </w:rPr>
        <w:t>推动“文旅+中医药”跨界融合，鼓励中药文创进商圈、进景区。开发中医药健康、康养旅居、品质养老、温泉康养等银发旅游产品。</w:t>
      </w:r>
      <w:r>
        <w:rPr>
          <w:rFonts w:ascii="仿宋_GB2312" w:hAnsi="Times New Roman"/>
          <w:szCs w:val="32"/>
        </w:rPr>
        <w:t>推出跨境康养旅游产品</w:t>
      </w:r>
      <w:r>
        <w:rPr>
          <w:rFonts w:hint="eastAsia" w:ascii="仿宋_GB2312" w:hAnsi="Times New Roman"/>
          <w:szCs w:val="32"/>
        </w:rPr>
        <w:t>，</w:t>
      </w:r>
      <w:r>
        <w:rPr>
          <w:rFonts w:ascii="仿宋_GB2312" w:hAnsi="Times New Roman"/>
          <w:szCs w:val="32"/>
        </w:rPr>
        <w:t>拓展入境康养体验消费场景</w:t>
      </w:r>
      <w:r>
        <w:rPr>
          <w:rFonts w:hint="eastAsia" w:ascii="仿宋_GB2312" w:hAnsi="Times New Roman"/>
          <w:szCs w:val="32"/>
        </w:rPr>
        <w:t>。</w:t>
      </w:r>
      <w:bookmarkEnd w:id="202"/>
      <w:r>
        <w:rPr>
          <w:rFonts w:hint="eastAsia" w:ascii="仿宋_GB2312" w:hAnsi="Times New Roman"/>
          <w:szCs w:val="32"/>
        </w:rPr>
        <w:t>以“广电+”赋能城市文旅品牌形象提升，以视听内容激活文旅存量资源，以文旅实景丰富内容创作土壤，构建 “线上数字引流种草、线下沉浸式体验打卡” 的消费闭环，实现广电视听产业与城市文旅双向赋能、价值共生。</w:t>
      </w:r>
    </w:p>
    <w:bookmarkEnd w:id="197"/>
    <w:p w14:paraId="1138C38C">
      <w:pPr>
        <w:spacing w:after="0"/>
        <w:ind w:firstLine="640"/>
        <w:outlineLvl w:val="0"/>
        <w:rPr>
          <w:rFonts w:ascii="Times New Roman" w:hAnsi="Times New Roman" w:eastAsia="黑体" w:cs="Times New Roman"/>
          <w:bCs/>
          <w:kern w:val="44"/>
          <w:szCs w:val="32"/>
        </w:rPr>
      </w:pPr>
      <w:bookmarkStart w:id="203" w:name="_Toc231464612"/>
      <w:bookmarkStart w:id="204" w:name="_Toc232610191"/>
      <w:bookmarkStart w:id="205" w:name="_Toc241505636"/>
      <w:r>
        <w:rPr>
          <w:rFonts w:hint="eastAsia" w:ascii="Times New Roman" w:hAnsi="Times New Roman" w:eastAsia="黑体" w:cs="Times New Roman"/>
          <w:bCs/>
          <w:kern w:val="44"/>
          <w:szCs w:val="32"/>
        </w:rPr>
        <w:t>六、</w:t>
      </w:r>
      <w:bookmarkStart w:id="206" w:name="OLE_LINK90"/>
      <w:r>
        <w:rPr>
          <w:rFonts w:hint="eastAsia" w:ascii="Times New Roman" w:hAnsi="Times New Roman" w:eastAsia="黑体" w:cs="Times New Roman"/>
          <w:bCs/>
          <w:kern w:val="44"/>
          <w:szCs w:val="32"/>
        </w:rPr>
        <w:t>培育六大特色经济，激活文旅体消费新动能</w:t>
      </w:r>
      <w:bookmarkEnd w:id="186"/>
      <w:bookmarkEnd w:id="203"/>
      <w:bookmarkEnd w:id="204"/>
      <w:bookmarkEnd w:id="205"/>
      <w:bookmarkEnd w:id="206"/>
    </w:p>
    <w:p w14:paraId="49B2937F">
      <w:pPr>
        <w:pStyle w:val="37"/>
        <w:keepNext w:val="0"/>
        <w:keepLines w:val="0"/>
        <w:ind w:firstLine="640"/>
        <w:outlineLvl w:val="1"/>
        <w:rPr>
          <w:rFonts w:ascii="楷体_GB2312" w:eastAsia="楷体_GB2312"/>
          <w:b w:val="0"/>
        </w:rPr>
      </w:pPr>
      <w:bookmarkStart w:id="207" w:name="_Toc241505637"/>
      <w:bookmarkStart w:id="208" w:name="_Toc217058530"/>
      <w:bookmarkStart w:id="209" w:name="_Toc232610192"/>
      <w:bookmarkStart w:id="210" w:name="_Toc231464613"/>
      <w:r>
        <w:rPr>
          <w:rFonts w:hint="eastAsia" w:ascii="楷体_GB2312" w:eastAsia="楷体_GB2312"/>
          <w:b w:val="0"/>
        </w:rPr>
        <w:t>（一）发展国潮经济</w:t>
      </w:r>
      <w:bookmarkEnd w:id="207"/>
      <w:bookmarkEnd w:id="208"/>
      <w:bookmarkEnd w:id="209"/>
      <w:bookmarkEnd w:id="210"/>
    </w:p>
    <w:p w14:paraId="62D14D78">
      <w:pPr>
        <w:pStyle w:val="37"/>
        <w:keepNext w:val="0"/>
        <w:keepLines w:val="0"/>
        <w:ind w:firstLine="640"/>
        <w:outlineLvl w:val="9"/>
        <w:rPr>
          <w:rFonts w:hint="eastAsia" w:ascii="仿宋_GB2312" w:hAnsi="仿宋_GB2312" w:cs="仿宋_GB2312"/>
          <w:b w:val="0"/>
        </w:rPr>
      </w:pPr>
      <w:bookmarkStart w:id="211" w:name="OLE_LINK91"/>
      <w:r>
        <w:rPr>
          <w:rFonts w:hint="eastAsia" w:ascii="仿宋_GB2312" w:hAnsi="仿宋_GB2312" w:cs="仿宋_GB2312"/>
          <w:b w:val="0"/>
        </w:rPr>
        <w:t>推动非遗、潮玩、国潮展览跨界融合，依托长辛店国潮时尚街区，打造集文化体验、</w:t>
      </w:r>
      <w:r>
        <w:rPr>
          <w:rFonts w:ascii="仿宋_GB2312" w:hAnsi="仿宋_GB2312" w:cs="仿宋_GB2312"/>
          <w:b w:val="0"/>
        </w:rPr>
        <w:t>非遗</w:t>
      </w:r>
      <w:r>
        <w:rPr>
          <w:rFonts w:hint="eastAsia" w:ascii="仿宋_GB2312" w:hAnsi="仿宋_GB2312" w:cs="仿宋_GB2312"/>
          <w:b w:val="0"/>
        </w:rPr>
        <w:t>手作</w:t>
      </w:r>
      <w:r>
        <w:rPr>
          <w:rFonts w:ascii="仿宋_GB2312" w:hAnsi="仿宋_GB2312" w:cs="仿宋_GB2312"/>
          <w:b w:val="0"/>
        </w:rPr>
        <w:t>、</w:t>
      </w:r>
      <w:r>
        <w:rPr>
          <w:rFonts w:hint="eastAsia" w:ascii="仿宋_GB2312" w:hAnsi="仿宋_GB2312" w:cs="仿宋_GB2312"/>
          <w:b w:val="0"/>
        </w:rPr>
        <w:t>实景演艺、</w:t>
      </w:r>
      <w:r>
        <w:rPr>
          <w:rFonts w:ascii="仿宋_GB2312" w:hAnsi="仿宋_GB2312" w:cs="仿宋_GB2312"/>
          <w:b w:val="0"/>
        </w:rPr>
        <w:t>潮流消费于一体的沉浸式国潮体验</w:t>
      </w:r>
      <w:r>
        <w:rPr>
          <w:rFonts w:hint="eastAsia" w:ascii="仿宋_GB2312" w:hAnsi="仿宋_GB2312" w:cs="仿宋_GB2312"/>
          <w:b w:val="0"/>
        </w:rPr>
        <w:t>场景。</w:t>
      </w:r>
      <w:r>
        <w:rPr>
          <w:rFonts w:ascii="仿宋_GB2312" w:hAnsi="仿宋_GB2312" w:cs="仿宋_GB2312"/>
          <w:b w:val="0"/>
        </w:rPr>
        <w:t>联动老字号与新</w:t>
      </w:r>
      <w:r>
        <w:rPr>
          <w:rFonts w:hint="eastAsia" w:ascii="仿宋_GB2312" w:hAnsi="仿宋_GB2312" w:cs="仿宋_GB2312"/>
          <w:b w:val="0"/>
        </w:rPr>
        <w:t>消费品牌，</w:t>
      </w:r>
      <w:r>
        <w:rPr>
          <w:rFonts w:ascii="仿宋_GB2312" w:hAnsi="仿宋_GB2312" w:cs="仿宋_GB2312"/>
          <w:b w:val="0"/>
        </w:rPr>
        <w:t>构建国潮产业链</w:t>
      </w:r>
      <w:r>
        <w:rPr>
          <w:rFonts w:hint="eastAsia" w:ascii="仿宋_GB2312" w:hAnsi="仿宋_GB2312" w:cs="仿宋_GB2312"/>
          <w:b w:val="0"/>
        </w:rPr>
        <w:t>，做强依文·中国手工坊等特色品牌，着力将宛平城打造为“礼物之城”</w:t>
      </w:r>
      <w:bookmarkEnd w:id="211"/>
      <w:r>
        <w:rPr>
          <w:rFonts w:ascii="仿宋_GB2312" w:hAnsi="仿宋_GB2312" w:cs="仿宋_GB2312"/>
          <w:b w:val="0"/>
        </w:rPr>
        <w:t>。做优</w:t>
      </w:r>
      <w:r>
        <w:rPr>
          <w:rFonts w:hint="eastAsia" w:ascii="仿宋_GB2312" w:hAnsi="仿宋_GB2312" w:cs="仿宋_GB2312"/>
          <w:b w:val="0"/>
        </w:rPr>
        <w:t>园博园国潮嘉年华</w:t>
      </w:r>
      <w:r>
        <w:rPr>
          <w:rFonts w:ascii="仿宋_GB2312" w:hAnsi="仿宋_GB2312" w:cs="仿宋_GB2312"/>
          <w:b w:val="0"/>
        </w:rPr>
        <w:t>、世界花卉大观园花朝节等特色国潮活动，丰富国潮</w:t>
      </w:r>
      <w:r>
        <w:rPr>
          <w:rFonts w:hint="eastAsia" w:ascii="仿宋_GB2312" w:hAnsi="仿宋_GB2312" w:cs="仿宋_GB2312"/>
          <w:b w:val="0"/>
        </w:rPr>
        <w:t>消费场景</w:t>
      </w:r>
      <w:r>
        <w:rPr>
          <w:rFonts w:ascii="仿宋_GB2312" w:hAnsi="仿宋_GB2312" w:cs="仿宋_GB2312"/>
          <w:b w:val="0"/>
        </w:rPr>
        <w:t>。</w:t>
      </w:r>
      <w:r>
        <w:rPr>
          <w:rFonts w:hint="eastAsia" w:ascii="仿宋_GB2312" w:hAnsi="仿宋_GB2312" w:cs="仿宋_GB2312"/>
          <w:b w:val="0"/>
        </w:rPr>
        <w:t>系统梳理历史文化标识及现代文旅文脉，提炼宛平城楼、镇岗塔、永定塔等特色文化符号，挖掘戏曲、花卉、园林等特色文化资源，开发具有丰台辨识度的国潮文创产品，</w:t>
      </w:r>
      <w:r>
        <w:rPr>
          <w:rFonts w:ascii="仿宋_GB2312" w:hAnsi="仿宋_GB2312" w:cs="仿宋_GB2312"/>
          <w:b w:val="0"/>
        </w:rPr>
        <w:t>推动国潮经济成为激活区域文化消费潜力的新引擎</w:t>
      </w:r>
      <w:r>
        <w:rPr>
          <w:rFonts w:hint="eastAsia" w:ascii="仿宋_GB2312" w:hAnsi="仿宋_GB2312" w:cs="仿宋_GB2312"/>
          <w:b w:val="0"/>
        </w:rPr>
        <w:t>。</w:t>
      </w:r>
    </w:p>
    <w:p w14:paraId="1295E8BC">
      <w:pPr>
        <w:pStyle w:val="37"/>
        <w:keepNext w:val="0"/>
        <w:keepLines w:val="0"/>
        <w:ind w:firstLine="640"/>
        <w:outlineLvl w:val="1"/>
        <w:rPr>
          <w:rFonts w:ascii="楷体_GB2312" w:eastAsia="楷体_GB2312"/>
          <w:b w:val="0"/>
        </w:rPr>
      </w:pPr>
      <w:bookmarkStart w:id="212" w:name="_Toc217058531"/>
      <w:bookmarkStart w:id="213" w:name="_Toc232610193"/>
      <w:bookmarkStart w:id="214" w:name="_Toc241505638"/>
      <w:bookmarkStart w:id="215" w:name="_Toc231464614"/>
      <w:r>
        <w:rPr>
          <w:rFonts w:hint="eastAsia" w:ascii="楷体_GB2312" w:eastAsia="楷体_GB2312"/>
          <w:b w:val="0"/>
        </w:rPr>
        <w:t>（二）激活夜间经济</w:t>
      </w:r>
      <w:bookmarkEnd w:id="212"/>
      <w:bookmarkEnd w:id="213"/>
      <w:bookmarkEnd w:id="214"/>
      <w:bookmarkEnd w:id="215"/>
    </w:p>
    <w:p w14:paraId="1C0E3C9B">
      <w:pPr>
        <w:pStyle w:val="37"/>
        <w:keepNext w:val="0"/>
        <w:keepLines w:val="0"/>
        <w:ind w:firstLine="640"/>
        <w:outlineLvl w:val="9"/>
        <w:rPr>
          <w:rFonts w:ascii="仿宋_GB2312"/>
          <w:b w:val="0"/>
          <w:bCs/>
        </w:rPr>
      </w:pPr>
      <w:bookmarkStart w:id="216" w:name="OLE_LINK93"/>
      <w:r>
        <w:rPr>
          <w:rFonts w:hint="eastAsia" w:ascii="仿宋_GB2312"/>
          <w:b w:val="0"/>
          <w:bCs/>
        </w:rPr>
        <w:t>提质花卉大观园光影夜游、水魔方嬉水夜游、“园博夜未央”等夜游项目，升级花街夜市、</w:t>
      </w:r>
      <w:r>
        <w:rPr>
          <w:rFonts w:ascii="仿宋_GB2312"/>
          <w:b w:val="0"/>
          <w:bCs/>
        </w:rPr>
        <w:t>丽泽怪市</w:t>
      </w:r>
      <w:r>
        <w:rPr>
          <w:rFonts w:hint="eastAsia" w:ascii="仿宋_GB2312"/>
          <w:b w:val="0"/>
          <w:bCs/>
        </w:rPr>
        <w:t>、南宫夜市</w:t>
      </w:r>
      <w:r>
        <w:rPr>
          <w:rFonts w:ascii="仿宋_GB2312"/>
          <w:b w:val="0"/>
          <w:bCs/>
        </w:rPr>
        <w:t>等夜市品牌</w:t>
      </w:r>
      <w:r>
        <w:rPr>
          <w:rFonts w:hint="eastAsia" w:ascii="仿宋_GB2312"/>
          <w:b w:val="0"/>
          <w:bCs/>
        </w:rPr>
        <w:t>，提升丰台夜间城市活力。依托重点商圈延时开放植入文旅体夜间消费内容，推动文体场馆延长夜间开放时间，丰富夜间主题活动供给。</w:t>
      </w:r>
      <w:r>
        <w:rPr>
          <w:rFonts w:hint="eastAsia" w:ascii="仿宋_GB2312" w:hAnsi="仿宋_GB2312" w:cs="仿宋_GB2312"/>
          <w:b w:val="0"/>
          <w:bCs/>
          <w:kern w:val="0"/>
        </w:rPr>
        <w:t>依托</w:t>
      </w:r>
      <w:r>
        <w:rPr>
          <w:rFonts w:hint="eastAsia" w:ascii="仿宋_GB2312"/>
          <w:b w:val="0"/>
          <w:bCs/>
        </w:rPr>
        <w:t>永定河沿线、园博园、鹰山片区一体化亮化升级，跨界整合文化、旅游、体育、科技、商业等多元要素，</w:t>
      </w:r>
      <w:r>
        <w:rPr>
          <w:rFonts w:hint="eastAsia" w:ascii="仿宋_GB2312" w:hAnsi="仿宋_GB2312" w:cs="仿宋_GB2312"/>
          <w:b w:val="0"/>
          <w:bCs/>
          <w:kern w:val="0"/>
        </w:rPr>
        <w:t>联动</w:t>
      </w:r>
      <w:r>
        <w:rPr>
          <w:rFonts w:hint="eastAsia" w:ascii="仿宋_GB2312"/>
          <w:b w:val="0"/>
          <w:bCs/>
        </w:rPr>
        <w:t>宛平城等景区景点开发夜间市集、实景演艺、古城漫步等多元产品，推动“两园一河”消费升级，</w:t>
      </w:r>
      <w:r>
        <w:rPr>
          <w:rFonts w:ascii="仿宋_GB2312"/>
          <w:b w:val="0"/>
          <w:bCs/>
        </w:rPr>
        <w:t>构建复合型夜间消费</w:t>
      </w:r>
      <w:r>
        <w:rPr>
          <w:rFonts w:hint="eastAsia" w:ascii="仿宋_GB2312"/>
          <w:b w:val="0"/>
          <w:bCs/>
        </w:rPr>
        <w:t>场景</w:t>
      </w:r>
      <w:bookmarkEnd w:id="216"/>
      <w:r>
        <w:rPr>
          <w:rFonts w:ascii="仿宋_GB2312"/>
          <w:b w:val="0"/>
          <w:bCs/>
        </w:rPr>
        <w:t>。</w:t>
      </w:r>
    </w:p>
    <w:p w14:paraId="6937C4A6">
      <w:pPr>
        <w:pStyle w:val="37"/>
        <w:keepNext w:val="0"/>
        <w:keepLines w:val="0"/>
        <w:ind w:firstLine="640"/>
        <w:outlineLvl w:val="1"/>
        <w:rPr>
          <w:rFonts w:ascii="楷体_GB2312" w:eastAsia="楷体_GB2312"/>
          <w:b w:val="0"/>
        </w:rPr>
      </w:pPr>
      <w:bookmarkStart w:id="217" w:name="_Toc241505639"/>
      <w:bookmarkStart w:id="218" w:name="_Toc232610194"/>
      <w:bookmarkStart w:id="219" w:name="_Toc217058532"/>
      <w:bookmarkStart w:id="220" w:name="_Toc231464615"/>
      <w:r>
        <w:rPr>
          <w:rFonts w:hint="eastAsia" w:ascii="楷体_GB2312" w:eastAsia="楷体_GB2312"/>
          <w:b w:val="0"/>
        </w:rPr>
        <w:t>（三）扶持票根经济</w:t>
      </w:r>
      <w:bookmarkEnd w:id="217"/>
      <w:bookmarkEnd w:id="218"/>
      <w:bookmarkEnd w:id="219"/>
      <w:bookmarkEnd w:id="220"/>
    </w:p>
    <w:p w14:paraId="1B7FF2F1">
      <w:pPr>
        <w:pStyle w:val="37"/>
        <w:keepNext w:val="0"/>
        <w:keepLines w:val="0"/>
        <w:ind w:firstLine="640"/>
        <w:outlineLvl w:val="9"/>
        <w:rPr>
          <w:rFonts w:hint="eastAsia" w:ascii="仿宋_GB2312" w:hAnsi="仿宋_GB2312" w:cs="仿宋_GB2312"/>
          <w:b w:val="0"/>
        </w:rPr>
      </w:pPr>
      <w:bookmarkStart w:id="221" w:name="OLE_LINK76"/>
      <w:bookmarkStart w:id="222" w:name="_Hlk214884015"/>
      <w:bookmarkStart w:id="223" w:name="OLE_LINK94"/>
      <w:bookmarkStart w:id="224" w:name="OLE_LINK39"/>
      <w:r>
        <w:rPr>
          <w:rFonts w:hint="eastAsia" w:ascii="仿宋_GB2312" w:hAnsi="仿宋_GB2312" w:cs="仿宋_GB2312"/>
          <w:b w:val="0"/>
        </w:rPr>
        <w:t>搭建票根联动平台，推动大型文化设施、</w:t>
      </w:r>
      <w:r>
        <w:rPr>
          <w:rFonts w:ascii="仿宋_GB2312" w:hAnsi="仿宋_GB2312" w:cs="仿宋_GB2312"/>
          <w:b w:val="0"/>
        </w:rPr>
        <w:t>重点景区、</w:t>
      </w:r>
      <w:r>
        <w:rPr>
          <w:rFonts w:hint="eastAsia" w:ascii="仿宋_GB2312" w:hAnsi="仿宋_GB2312" w:cs="仿宋_GB2312"/>
          <w:b w:val="0"/>
        </w:rPr>
        <w:t>体育场馆、</w:t>
      </w:r>
      <w:r>
        <w:rPr>
          <w:rFonts w:ascii="仿宋_GB2312" w:hAnsi="仿宋_GB2312" w:cs="仿宋_GB2312"/>
          <w:b w:val="0"/>
        </w:rPr>
        <w:t>剧院、博物馆、商圈、</w:t>
      </w:r>
      <w:r>
        <w:rPr>
          <w:rFonts w:hint="eastAsia" w:ascii="仿宋_GB2312" w:hAnsi="仿宋_GB2312" w:cs="仿宋_GB2312"/>
          <w:b w:val="0"/>
        </w:rPr>
        <w:t>住宿及旅行社</w:t>
      </w:r>
      <w:r>
        <w:rPr>
          <w:rFonts w:ascii="仿宋_GB2312" w:hAnsi="仿宋_GB2312" w:cs="仿宋_GB2312"/>
          <w:b w:val="0"/>
        </w:rPr>
        <w:t>等主体</w:t>
      </w:r>
      <w:r>
        <w:rPr>
          <w:rFonts w:hint="eastAsia" w:ascii="仿宋_GB2312" w:hAnsi="仿宋_GB2312" w:cs="仿宋_GB2312"/>
          <w:b w:val="0"/>
        </w:rPr>
        <w:t>组建</w:t>
      </w:r>
      <w:r>
        <w:rPr>
          <w:rFonts w:ascii="仿宋_GB2312" w:hAnsi="仿宋_GB2312" w:cs="仿宋_GB2312"/>
          <w:b w:val="0"/>
          <w:bCs/>
        </w:rPr>
        <w:t>“票根联盟”</w:t>
      </w:r>
      <w:r>
        <w:rPr>
          <w:rFonts w:hint="eastAsia" w:ascii="仿宋_GB2312" w:hAnsi="仿宋_GB2312" w:cs="仿宋_GB2312"/>
          <w:b w:val="0"/>
          <w:bCs/>
        </w:rPr>
        <w:t>。</w:t>
      </w:r>
      <w:r>
        <w:rPr>
          <w:rFonts w:ascii="仿宋_GB2312" w:hAnsi="仿宋_GB2312" w:cs="仿宋_GB2312"/>
          <w:b w:val="0"/>
          <w:bCs/>
        </w:rPr>
        <w:t>依托数字技术搭建一体化票根管理系统</w:t>
      </w:r>
      <w:r>
        <w:rPr>
          <w:rFonts w:hint="eastAsia" w:ascii="仿宋_GB2312" w:hAnsi="仿宋_GB2312" w:cs="仿宋_GB2312"/>
          <w:b w:val="0"/>
          <w:bCs/>
        </w:rPr>
        <w:t>，构建“一票通享、一码通用”的智慧化服务体系。</w:t>
      </w:r>
      <w:bookmarkEnd w:id="221"/>
      <w:r>
        <w:rPr>
          <w:rFonts w:hint="eastAsia" w:ascii="仿宋_GB2312" w:hAnsi="仿宋_GB2312" w:cs="仿宋_GB2312"/>
          <w:b w:val="0"/>
        </w:rPr>
        <w:t>深化“票根+”融合模式，以中国国际服务贸易交易会‌、北京国际电影节、北京国际花展及马拉松等文商旅体展活动为抓手推出专属权益包，开通票券跨业态互兑通道，推动演出、展览、赛事流量高效转化为线下消费动能</w:t>
      </w:r>
      <w:bookmarkEnd w:id="222"/>
      <w:r>
        <w:rPr>
          <w:rFonts w:hint="eastAsia" w:ascii="仿宋_GB2312" w:hAnsi="仿宋_GB2312" w:cs="仿宋_GB2312"/>
          <w:b w:val="0"/>
        </w:rPr>
        <w:t>，实现票根经济从单点突破到全域联动升级</w:t>
      </w:r>
      <w:bookmarkEnd w:id="223"/>
      <w:r>
        <w:rPr>
          <w:rFonts w:hint="eastAsia" w:ascii="仿宋_GB2312" w:hAnsi="仿宋_GB2312" w:cs="仿宋_GB2312"/>
          <w:b w:val="0"/>
        </w:rPr>
        <w:t>。</w:t>
      </w:r>
    </w:p>
    <w:bookmarkEnd w:id="224"/>
    <w:p w14:paraId="1697CAD7">
      <w:pPr>
        <w:pStyle w:val="37"/>
        <w:keepNext w:val="0"/>
        <w:keepLines w:val="0"/>
        <w:ind w:firstLine="640"/>
        <w:outlineLvl w:val="1"/>
        <w:rPr>
          <w:rFonts w:ascii="楷体_GB2312" w:eastAsia="楷体_GB2312"/>
          <w:b w:val="0"/>
        </w:rPr>
      </w:pPr>
      <w:bookmarkStart w:id="225" w:name="_Toc241505640"/>
      <w:bookmarkStart w:id="226" w:name="_Toc231464616"/>
      <w:bookmarkStart w:id="227" w:name="_Toc217058533"/>
      <w:bookmarkStart w:id="228" w:name="_Toc232610195"/>
      <w:r>
        <w:rPr>
          <w:rFonts w:hint="eastAsia" w:ascii="楷体_GB2312" w:eastAsia="楷体_GB2312"/>
          <w:b w:val="0"/>
        </w:rPr>
        <w:t>（四）推广甜蜜经济</w:t>
      </w:r>
      <w:bookmarkEnd w:id="225"/>
      <w:bookmarkEnd w:id="226"/>
      <w:bookmarkEnd w:id="227"/>
      <w:bookmarkEnd w:id="228"/>
    </w:p>
    <w:p w14:paraId="584D51ED">
      <w:pPr>
        <w:spacing w:after="0"/>
        <w:ind w:firstLine="640"/>
        <w:rPr>
          <w:rFonts w:hint="eastAsia"/>
        </w:rPr>
      </w:pPr>
      <w:r>
        <w:rPr>
          <w:rFonts w:hint="eastAsia"/>
          <w:bCs/>
        </w:rPr>
        <w:t>鼓励南苑森林湿地公园、世界花卉大观园、园博园、紫谷伊甸园、世界公园等景区开发婚庆、婚纱摄影等项目，设立主题婚庆旅拍场景，打造婚庆主题旅游线路</w:t>
      </w:r>
      <w:r>
        <w:rPr>
          <w:bCs/>
        </w:rPr>
        <w:t>，联动周边餐饮</w:t>
      </w:r>
      <w:r>
        <w:rPr>
          <w:rFonts w:hint="eastAsia"/>
          <w:bCs/>
        </w:rPr>
        <w:t>、住宿等商户</w:t>
      </w:r>
      <w:r>
        <w:rPr>
          <w:bCs/>
        </w:rPr>
        <w:t>推出专属套餐，</w:t>
      </w:r>
      <w:r>
        <w:rPr>
          <w:rFonts w:hint="eastAsia"/>
          <w:bCs/>
        </w:rPr>
        <w:t>搭建完善的</w:t>
      </w:r>
      <w:r>
        <w:rPr>
          <w:bCs/>
        </w:rPr>
        <w:t>情感消费</w:t>
      </w:r>
      <w:r>
        <w:rPr>
          <w:rFonts w:hint="eastAsia"/>
          <w:bCs/>
        </w:rPr>
        <w:t>链条</w:t>
      </w:r>
      <w:r>
        <w:rPr>
          <w:bCs/>
        </w:rPr>
        <w:t>。</w:t>
      </w:r>
      <w:r>
        <w:t>依托花卉产业</w:t>
      </w:r>
      <w:r>
        <w:rPr>
          <w:rFonts w:hint="eastAsia"/>
        </w:rPr>
        <w:t>优势</w:t>
      </w:r>
      <w:r>
        <w:t>与北京花卉交易中心，以</w:t>
      </w:r>
      <w:r>
        <w:rPr>
          <w:rFonts w:hint="eastAsia"/>
        </w:rPr>
        <w:t>“</w:t>
      </w:r>
      <w:r>
        <w:t>花+</w:t>
      </w:r>
      <w:r>
        <w:rPr>
          <w:rFonts w:hint="eastAsia"/>
        </w:rPr>
        <w:t>”</w:t>
      </w:r>
      <w:r>
        <w:t>为核心，</w:t>
      </w:r>
      <w:r>
        <w:rPr>
          <w:rFonts w:hint="eastAsia"/>
        </w:rPr>
        <w:t>营造花卉文旅特色场景。</w:t>
      </w:r>
      <w:r>
        <w:t>整合婚庆服务、文化体验、休闲娱乐、花卉消费等多元业态，构建全链条甜蜜消费生态。</w:t>
      </w:r>
    </w:p>
    <w:p w14:paraId="294CD74D">
      <w:pPr>
        <w:pStyle w:val="37"/>
        <w:keepNext w:val="0"/>
        <w:keepLines w:val="0"/>
        <w:ind w:firstLine="640"/>
        <w:outlineLvl w:val="1"/>
        <w:rPr>
          <w:rFonts w:ascii="楷体_GB2312" w:eastAsia="楷体_GB2312"/>
          <w:b w:val="0"/>
          <w:bCs/>
        </w:rPr>
      </w:pPr>
      <w:bookmarkStart w:id="229" w:name="_Toc241505641"/>
      <w:bookmarkStart w:id="230" w:name="_Toc232610196"/>
      <w:bookmarkStart w:id="231" w:name="_Toc217058534"/>
      <w:bookmarkStart w:id="232" w:name="_Toc231464617"/>
      <w:bookmarkStart w:id="233" w:name="OLE_LINK4"/>
      <w:r>
        <w:rPr>
          <w:rFonts w:hint="eastAsia" w:ascii="楷体_GB2312" w:eastAsia="楷体_GB2312"/>
          <w:b w:val="0"/>
          <w:bCs/>
        </w:rPr>
        <w:t>（五）拓展户外经济</w:t>
      </w:r>
      <w:bookmarkEnd w:id="229"/>
      <w:bookmarkEnd w:id="230"/>
      <w:bookmarkEnd w:id="231"/>
      <w:bookmarkEnd w:id="232"/>
    </w:p>
    <w:bookmarkEnd w:id="233"/>
    <w:p w14:paraId="03EC7586">
      <w:pPr>
        <w:spacing w:after="0"/>
        <w:ind w:firstLine="640"/>
        <w:rPr>
          <w:rFonts w:hint="eastAsia" w:ascii="仿宋_GB2312" w:hAnsi="仿宋_GB2312" w:cs="仿宋_GB2312"/>
          <w:szCs w:val="32"/>
        </w:rPr>
      </w:pPr>
      <w:r>
        <w:rPr>
          <w:rFonts w:hint="eastAsia" w:ascii="仿宋_GB2312" w:hAnsi="仿宋_GB2312" w:cs="仿宋_GB2312"/>
          <w:szCs w:val="32"/>
        </w:rPr>
        <w:t>依托河西山地资源、丽泽城市公园、南苑森林湿地生态空间、永定河水系，探索建设高质量户外运动目的地。布局骑行绿道、漫步步道、楼宇攀岩、越野登山、水上运动等轻量化户外设施，拓展城市休闲户外运动场景。加大“两园一河”绿道、“越山跨湖，丰景骑行”“疯狂南森”等户外品牌的推广力度，举办系列赛事活动，推动户外运动与文旅资源高效联动。引导旅游景区支持房车停靠，持续策划房车自驾等不同主题的户外旅行线路，打造房车消费友好型目的地。大力发展露营经济，探索引入“露营+”多元业态，开发自然体验课程，丰富户外教育产品。</w:t>
      </w:r>
    </w:p>
    <w:p w14:paraId="21655346">
      <w:pPr>
        <w:pStyle w:val="37"/>
        <w:keepNext w:val="0"/>
        <w:keepLines w:val="0"/>
        <w:ind w:firstLine="640"/>
        <w:outlineLvl w:val="1"/>
        <w:rPr>
          <w:rFonts w:ascii="楷体_GB2312" w:eastAsia="楷体_GB2312"/>
          <w:b w:val="0"/>
        </w:rPr>
      </w:pPr>
      <w:bookmarkStart w:id="234" w:name="_Toc232610197"/>
      <w:bookmarkStart w:id="235" w:name="_Toc231464618"/>
      <w:bookmarkStart w:id="236" w:name="_Toc241505642"/>
      <w:bookmarkStart w:id="237" w:name="_Toc217058535"/>
      <w:r>
        <w:rPr>
          <w:rFonts w:hint="eastAsia" w:ascii="楷体_GB2312" w:eastAsia="楷体_GB2312"/>
          <w:b w:val="0"/>
        </w:rPr>
        <w:t>（六）发展宠物经济</w:t>
      </w:r>
      <w:bookmarkEnd w:id="234"/>
      <w:bookmarkEnd w:id="235"/>
      <w:bookmarkEnd w:id="236"/>
      <w:bookmarkEnd w:id="237"/>
    </w:p>
    <w:p w14:paraId="473863BE">
      <w:pPr>
        <w:spacing w:after="0"/>
        <w:ind w:firstLine="640"/>
        <w:rPr>
          <w:rFonts w:hint="eastAsia" w:ascii="仿宋_GB2312" w:hAnsi="仿宋_GB2312" w:cs="仿宋_GB2312"/>
          <w:szCs w:val="32"/>
        </w:rPr>
      </w:pPr>
      <w:bookmarkStart w:id="238" w:name="OLE_LINK125"/>
      <w:r>
        <w:rPr>
          <w:rFonts w:hint="eastAsia" w:ascii="仿宋_GB2312" w:hAnsi="仿宋_GB2312" w:cs="仿宋_GB2312"/>
          <w:szCs w:val="32"/>
        </w:rPr>
        <w:t>统筹公园绿地、社区广场及商业综合体打造宠物友好空间，利用马家堡ZENG餐厅、北京华联公益西桥购物中心、南苑森林湿地公园、</w:t>
      </w:r>
      <w:r>
        <w:rPr>
          <w:rFonts w:ascii="仿宋_GB2312" w:hAnsi="仿宋_GB2312" w:cs="仿宋_GB2312"/>
          <w:szCs w:val="32"/>
        </w:rPr>
        <w:t>10号线创意公园</w:t>
      </w:r>
      <w:r>
        <w:rPr>
          <w:rFonts w:hint="eastAsia" w:ascii="仿宋_GB2312" w:hAnsi="仿宋_GB2312" w:cs="仿宋_GB2312"/>
          <w:szCs w:val="32"/>
        </w:rPr>
        <w:t>等，</w:t>
      </w:r>
      <w:bookmarkEnd w:id="238"/>
      <w:r>
        <w:rPr>
          <w:rFonts w:ascii="仿宋_GB2312" w:hAnsi="仿宋_GB2312" w:cs="仿宋_GB2312"/>
          <w:szCs w:val="32"/>
        </w:rPr>
        <w:t>配套宠物游</w:t>
      </w:r>
      <w:r>
        <w:rPr>
          <w:rFonts w:hint="eastAsia" w:ascii="仿宋_GB2312" w:hAnsi="仿宋_GB2312" w:cs="仿宋_GB2312"/>
          <w:szCs w:val="32"/>
        </w:rPr>
        <w:t>乐</w:t>
      </w:r>
      <w:r>
        <w:rPr>
          <w:rFonts w:ascii="仿宋_GB2312" w:hAnsi="仿宋_GB2312" w:cs="仿宋_GB2312"/>
          <w:szCs w:val="32"/>
        </w:rPr>
        <w:t>设施，搭建</w:t>
      </w:r>
      <w:r>
        <w:rPr>
          <w:rFonts w:hint="eastAsia" w:ascii="仿宋_GB2312" w:hAnsi="仿宋_GB2312" w:cs="仿宋_GB2312"/>
          <w:szCs w:val="32"/>
        </w:rPr>
        <w:t>宠物友好</w:t>
      </w:r>
      <w:r>
        <w:rPr>
          <w:rFonts w:ascii="仿宋_GB2312" w:hAnsi="仿宋_GB2312" w:cs="仿宋_GB2312"/>
          <w:szCs w:val="32"/>
        </w:rPr>
        <w:t>体验场景。培育</w:t>
      </w:r>
      <w:r>
        <w:rPr>
          <w:rFonts w:hint="eastAsia" w:ascii="仿宋_GB2312" w:hAnsi="仿宋_GB2312" w:cs="仿宋_GB2312"/>
          <w:szCs w:val="32"/>
        </w:rPr>
        <w:t>宠物友好主题线路、</w:t>
      </w:r>
      <w:r>
        <w:rPr>
          <w:rFonts w:ascii="仿宋_GB2312" w:hAnsi="仿宋_GB2312" w:cs="仿宋_GB2312"/>
          <w:szCs w:val="32"/>
        </w:rPr>
        <w:t>宠物赛事、主题展览、萌宠市集、动物科普研学</w:t>
      </w:r>
      <w:r>
        <w:rPr>
          <w:rFonts w:hint="eastAsia" w:ascii="仿宋_GB2312" w:hAnsi="仿宋_GB2312" w:cs="仿宋_GB2312"/>
          <w:szCs w:val="32"/>
        </w:rPr>
        <w:t>等</w:t>
      </w:r>
      <w:r>
        <w:rPr>
          <w:rFonts w:ascii="仿宋_GB2312" w:hAnsi="仿宋_GB2312" w:cs="仿宋_GB2312"/>
          <w:szCs w:val="32"/>
        </w:rPr>
        <w:t>业态，开发</w:t>
      </w:r>
      <w:r>
        <w:rPr>
          <w:rFonts w:hint="eastAsia" w:ascii="仿宋_GB2312" w:hAnsi="仿宋_GB2312" w:cs="仿宋_GB2312"/>
          <w:szCs w:val="32"/>
        </w:rPr>
        <w:t>人宠共游</w:t>
      </w:r>
      <w:r>
        <w:rPr>
          <w:rFonts w:ascii="仿宋_GB2312" w:hAnsi="仿宋_GB2312" w:cs="仿宋_GB2312"/>
          <w:szCs w:val="32"/>
        </w:rPr>
        <w:t>体验产品，</w:t>
      </w:r>
      <w:r>
        <w:rPr>
          <w:rFonts w:hint="eastAsia" w:ascii="仿宋_GB2312" w:hAnsi="仿宋_GB2312" w:cs="仿宋_GB2312"/>
          <w:szCs w:val="32"/>
        </w:rPr>
        <w:t>打造</w:t>
      </w:r>
      <w:r>
        <w:rPr>
          <w:rFonts w:ascii="仿宋_GB2312" w:hAnsi="仿宋_GB2312" w:cs="仿宋_GB2312"/>
          <w:szCs w:val="32"/>
        </w:rPr>
        <w:t>“宠物+文旅+休闲”消费链条</w:t>
      </w:r>
      <w:bookmarkStart w:id="239" w:name="OLE_LINK41"/>
      <w:r>
        <w:rPr>
          <w:rFonts w:hint="eastAsia" w:ascii="仿宋_GB2312" w:hAnsi="仿宋_GB2312" w:cs="仿宋_GB2312"/>
          <w:szCs w:val="32"/>
        </w:rPr>
        <w:t>，</w:t>
      </w:r>
      <w:r>
        <w:rPr>
          <w:rFonts w:ascii="仿宋_GB2312" w:hAnsi="仿宋_GB2312" w:cs="仿宋_GB2312"/>
          <w:szCs w:val="32"/>
        </w:rPr>
        <w:t>培育丰台特色宠物经济品牌。</w:t>
      </w:r>
    </w:p>
    <w:bookmarkEnd w:id="239"/>
    <w:p w14:paraId="59575C85">
      <w:pPr>
        <w:adjustRightInd w:val="0"/>
        <w:spacing w:after="0"/>
        <w:ind w:firstLine="640"/>
        <w:outlineLvl w:val="0"/>
        <w:rPr>
          <w:rFonts w:ascii="Times New Roman" w:hAnsi="Times New Roman" w:eastAsia="黑体" w:cs="Times New Roman"/>
          <w:bCs/>
          <w:kern w:val="44"/>
          <w:szCs w:val="32"/>
        </w:rPr>
      </w:pPr>
      <w:bookmarkStart w:id="240" w:name="_Toc241505643"/>
      <w:bookmarkStart w:id="241" w:name="_Toc231464619"/>
      <w:bookmarkStart w:id="242" w:name="_Toc232610198"/>
      <w:bookmarkStart w:id="243" w:name="_Toc217058536"/>
      <w:r>
        <w:rPr>
          <w:rFonts w:hint="eastAsia" w:ascii="Times New Roman" w:hAnsi="Times New Roman" w:eastAsia="黑体" w:cs="Times New Roman"/>
          <w:bCs/>
          <w:kern w:val="44"/>
          <w:szCs w:val="32"/>
        </w:rPr>
        <w:t>七、</w:t>
      </w:r>
      <w:bookmarkStart w:id="244" w:name="OLE_LINK96"/>
      <w:r>
        <w:rPr>
          <w:rFonts w:hint="eastAsia" w:ascii="Times New Roman" w:hAnsi="Times New Roman" w:eastAsia="黑体" w:cs="Times New Roman"/>
          <w:bCs/>
          <w:kern w:val="44"/>
          <w:szCs w:val="32"/>
        </w:rPr>
        <w:t>提升治理效能，构建服务型治理体系</w:t>
      </w:r>
      <w:bookmarkEnd w:id="240"/>
      <w:bookmarkEnd w:id="241"/>
      <w:bookmarkEnd w:id="242"/>
      <w:bookmarkEnd w:id="243"/>
      <w:bookmarkEnd w:id="244"/>
    </w:p>
    <w:p w14:paraId="078534C2">
      <w:pPr>
        <w:pStyle w:val="37"/>
        <w:keepNext w:val="0"/>
        <w:keepLines w:val="0"/>
        <w:ind w:firstLine="640"/>
        <w:outlineLvl w:val="1"/>
        <w:rPr>
          <w:rFonts w:ascii="楷体_GB2312" w:eastAsia="楷体_GB2312"/>
          <w:b w:val="0"/>
        </w:rPr>
      </w:pPr>
      <w:bookmarkStart w:id="245" w:name="_Toc231464620"/>
      <w:bookmarkStart w:id="246" w:name="_Toc217058537"/>
      <w:bookmarkStart w:id="247" w:name="_Toc241505644"/>
      <w:bookmarkStart w:id="248" w:name="_Toc232610199"/>
      <w:r>
        <w:rPr>
          <w:rFonts w:hint="eastAsia" w:ascii="楷体_GB2312" w:eastAsia="楷体_GB2312"/>
          <w:b w:val="0"/>
        </w:rPr>
        <w:t>（一）升级品牌传播体系</w:t>
      </w:r>
      <w:bookmarkEnd w:id="245"/>
      <w:bookmarkEnd w:id="246"/>
      <w:bookmarkEnd w:id="247"/>
      <w:bookmarkEnd w:id="248"/>
    </w:p>
    <w:p w14:paraId="1C45B32C">
      <w:pPr>
        <w:spacing w:after="0"/>
        <w:ind w:firstLine="640"/>
        <w:rPr>
          <w:rFonts w:hint="eastAsia" w:ascii="仿宋_GB2312"/>
        </w:rPr>
      </w:pPr>
      <w:bookmarkStart w:id="249" w:name="OLE_LINK42"/>
      <w:r>
        <w:rPr>
          <w:rFonts w:hint="eastAsia" w:ascii="仿宋_GB2312"/>
        </w:rPr>
        <w:t>做强“文旅丰台”核心品牌传播矩阵，统筹整合央媒、市媒、新媒体矩阵，联动会展平台、主流OTA渠道，搭建政府引导、行业协同、市场运作、资源联动的一体化品牌推广机制。联动高等院校、文化名家、行业专家、文旅达人等，培育丰台文旅推荐官队伍，深耕抖音、小红书等主流新媒体平台，深挖丰台本土特色资源，采取数字化、场景化、沉浸式传播方式，打造探店打卡、微短剧等多元爆款内容。强化用户互动与UGC内容征集，引导市民游客自发分享丰台文旅体验，持续放大平台声量，吸引更多游客走进丰台。依托专业展会、行业论坛开展主题推介。依托市级社交平台，布局海外传播渠道，加强国际推广，持续放大品牌影响力。</w:t>
      </w:r>
    </w:p>
    <w:bookmarkEnd w:id="249"/>
    <w:p w14:paraId="03E10202">
      <w:pPr>
        <w:pStyle w:val="37"/>
        <w:keepNext w:val="0"/>
        <w:keepLines w:val="0"/>
        <w:ind w:firstLine="640"/>
        <w:outlineLvl w:val="1"/>
        <w:rPr>
          <w:rFonts w:ascii="楷体_GB2312" w:eastAsia="楷体_GB2312"/>
          <w:b w:val="0"/>
        </w:rPr>
      </w:pPr>
      <w:bookmarkStart w:id="250" w:name="_Toc231464622"/>
      <w:bookmarkStart w:id="251" w:name="_Toc217058539"/>
      <w:bookmarkStart w:id="252" w:name="_Toc241505645"/>
      <w:bookmarkStart w:id="253" w:name="_Toc232610200"/>
      <w:r>
        <w:rPr>
          <w:rFonts w:hint="eastAsia" w:ascii="楷体_GB2312" w:eastAsia="楷体_GB2312"/>
          <w:b w:val="0"/>
        </w:rPr>
        <w:t>（二）</w:t>
      </w:r>
      <w:bookmarkEnd w:id="250"/>
      <w:bookmarkEnd w:id="251"/>
      <w:r>
        <w:rPr>
          <w:rFonts w:hint="eastAsia" w:ascii="楷体_GB2312" w:eastAsia="楷体_GB2312"/>
          <w:b w:val="0"/>
        </w:rPr>
        <w:t>提高全链条服务质量</w:t>
      </w:r>
      <w:bookmarkEnd w:id="252"/>
      <w:bookmarkEnd w:id="253"/>
    </w:p>
    <w:p w14:paraId="6A16B64E">
      <w:pPr>
        <w:spacing w:after="0"/>
        <w:ind w:firstLine="640"/>
        <w:rPr>
          <w:rFonts w:hint="eastAsia" w:ascii="仿宋_GB2312" w:hAnsi="仿宋_GB2312" w:cs="仿宋_GB2312"/>
          <w:b/>
          <w:bCs/>
          <w:szCs w:val="32"/>
        </w:rPr>
      </w:pPr>
      <w:r>
        <w:rPr>
          <w:rFonts w:hint="eastAsia" w:ascii="仿宋_GB2312" w:hAnsi="仿宋_GB2312" w:cs="仿宋_GB2312"/>
          <w:szCs w:val="32"/>
        </w:rPr>
        <w:t>优化营商环境，</w:t>
      </w:r>
      <w:r>
        <w:rPr>
          <w:rFonts w:hint="eastAsia" w:ascii="仿宋_GB2312" w:hAnsi="仿宋_GB2312"/>
          <w:kern w:val="0"/>
        </w:rPr>
        <w:t>推进文旅体领域 “高效办成一件事”改革，</w:t>
      </w:r>
      <w:r>
        <w:rPr>
          <w:rFonts w:ascii="仿宋_GB2312" w:hAnsi="仿宋_GB2312" w:cs="仿宋_GB2312"/>
          <w:szCs w:val="32"/>
        </w:rPr>
        <w:t>升级线上办事平台，提升政务服务智能化水平</w:t>
      </w:r>
      <w:r>
        <w:rPr>
          <w:rFonts w:ascii="仿宋_GB2312" w:hAnsi="仿宋_GB2312"/>
          <w:kern w:val="0"/>
        </w:rPr>
        <w:t>。</w:t>
      </w:r>
      <w:r>
        <w:rPr>
          <w:rFonts w:hint="eastAsia" w:ascii="仿宋_GB2312" w:hAnsi="仿宋_GB2312"/>
          <w:kern w:val="0"/>
        </w:rPr>
        <w:t>围绕打造“北京大视听”文艺精品创作，推进“微短剧+”行动计划，以视听专家点建设为抓手，设立绿色通道，孵化培育、精耕细作视听内容生产，提升丰台视听品牌声量；提升全流程协拍服务品质，开放丰台区影视协拍场景和AI影视制作场景，吸引更多主创在丰台创作发展。</w:t>
      </w:r>
      <w:bookmarkStart w:id="254" w:name="OLE_LINK122"/>
      <w:r>
        <w:rPr>
          <w:rFonts w:hint="eastAsia" w:ascii="仿宋_GB2312" w:hAnsi="仿宋_GB2312"/>
          <w:kern w:val="0"/>
        </w:rPr>
        <w:t>构建多元协同的文旅体服务体系</w:t>
      </w:r>
      <w:bookmarkEnd w:id="254"/>
      <w:r>
        <w:rPr>
          <w:rFonts w:hint="eastAsia" w:ascii="仿宋_GB2312" w:hAnsi="仿宋_GB2312" w:cs="仿宋_GB2312"/>
          <w:b/>
          <w:bCs/>
          <w:szCs w:val="32"/>
        </w:rPr>
        <w:t>，</w:t>
      </w:r>
      <w:r>
        <w:rPr>
          <w:rFonts w:hint="eastAsia" w:ascii="仿宋_GB2312" w:hAnsi="仿宋_GB2312" w:cs="仿宋_GB2312"/>
          <w:szCs w:val="32"/>
        </w:rPr>
        <w:t>强化对市场主体的指导与服务</w:t>
      </w:r>
      <w:r>
        <w:rPr>
          <w:rFonts w:ascii="仿宋_GB2312" w:hAnsi="仿宋_GB2312" w:cs="仿宋_GB2312"/>
          <w:szCs w:val="32"/>
        </w:rPr>
        <w:t>。完善“服务包”“服务管家”机制</w:t>
      </w:r>
      <w:r>
        <w:rPr>
          <w:rFonts w:hint="eastAsia" w:ascii="仿宋_GB2312" w:hAnsi="仿宋_GB2312" w:cs="仿宋_GB2312"/>
          <w:szCs w:val="32"/>
        </w:rPr>
        <w:t>，</w:t>
      </w:r>
      <w:r>
        <w:rPr>
          <w:rFonts w:ascii="仿宋_GB2312" w:hAnsi="仿宋_GB2312" w:cs="仿宋_GB2312"/>
          <w:szCs w:val="32"/>
        </w:rPr>
        <w:t>为重点企业</w:t>
      </w:r>
      <w:r>
        <w:rPr>
          <w:rFonts w:hint="eastAsia" w:ascii="仿宋_GB2312" w:hAnsi="仿宋_GB2312" w:cs="仿宋_GB2312"/>
          <w:szCs w:val="32"/>
        </w:rPr>
        <w:t>和</w:t>
      </w:r>
      <w:r>
        <w:rPr>
          <w:rFonts w:ascii="仿宋_GB2312" w:hAnsi="仿宋_GB2312" w:cs="仿宋_GB2312"/>
          <w:szCs w:val="32"/>
        </w:rPr>
        <w:t>重点项目配备“服务专员”</w:t>
      </w:r>
      <w:r>
        <w:rPr>
          <w:rFonts w:hint="eastAsia" w:ascii="仿宋_GB2312" w:hAnsi="仿宋_GB2312" w:cs="仿宋_GB2312"/>
          <w:szCs w:val="32"/>
        </w:rPr>
        <w:t>提供个性化服务</w:t>
      </w:r>
      <w:r>
        <w:rPr>
          <w:rFonts w:ascii="仿宋_GB2312" w:hAnsi="仿宋_GB2312" w:cs="仿宋_GB2312"/>
          <w:szCs w:val="32"/>
        </w:rPr>
        <w:t>。</w:t>
      </w:r>
    </w:p>
    <w:p w14:paraId="045CB54B">
      <w:pPr>
        <w:pStyle w:val="37"/>
        <w:keepNext w:val="0"/>
        <w:keepLines w:val="0"/>
        <w:ind w:firstLine="640"/>
        <w:outlineLvl w:val="1"/>
        <w:rPr>
          <w:rFonts w:ascii="楷体_GB2312" w:eastAsia="楷体_GB2312"/>
          <w:b w:val="0"/>
        </w:rPr>
      </w:pPr>
      <w:bookmarkStart w:id="255" w:name="_Toc231464623"/>
      <w:bookmarkStart w:id="256" w:name="_Toc232610201"/>
      <w:bookmarkStart w:id="257" w:name="_Toc217058540"/>
      <w:bookmarkStart w:id="258" w:name="_Toc241505646"/>
      <w:r>
        <w:rPr>
          <w:rFonts w:hint="eastAsia" w:ascii="楷体_GB2312" w:eastAsia="楷体_GB2312"/>
          <w:b w:val="0"/>
        </w:rPr>
        <w:t>（三）提高行业监管</w:t>
      </w:r>
      <w:bookmarkEnd w:id="255"/>
      <w:bookmarkEnd w:id="256"/>
      <w:bookmarkEnd w:id="257"/>
      <w:r>
        <w:rPr>
          <w:rFonts w:hint="eastAsia" w:ascii="楷体_GB2312" w:eastAsia="楷体_GB2312"/>
          <w:b w:val="0"/>
        </w:rPr>
        <w:t>水平</w:t>
      </w:r>
      <w:bookmarkEnd w:id="258"/>
    </w:p>
    <w:p w14:paraId="73A3A162">
      <w:pPr>
        <w:spacing w:after="0" w:line="578" w:lineRule="exact"/>
        <w:ind w:firstLine="640"/>
        <w:rPr>
          <w:rFonts w:hint="eastAsia" w:ascii="仿宋_GB2312" w:hAnsi="仿宋_GB2312" w:cs="仿宋_GB2312"/>
          <w:szCs w:val="32"/>
        </w:rPr>
      </w:pPr>
      <w:r>
        <w:rPr>
          <w:rFonts w:hint="eastAsia" w:ascii="仿宋_GB2312" w:hAnsi="仿宋_GB2312" w:cs="仿宋_GB2312"/>
          <w:kern w:val="0"/>
          <w:szCs w:val="32"/>
        </w:rPr>
        <w:t>健全跨部门协同联动机制，强化事前事中事后全流程监管。落实</w:t>
      </w:r>
      <w:r>
        <w:rPr>
          <w:rFonts w:hint="eastAsia"/>
        </w:rPr>
        <w:t>行业“风险+信用”综合评级工作。探索数智监管，完善行业监管机制。</w:t>
      </w:r>
      <w:r>
        <w:rPr>
          <w:rFonts w:hint="eastAsia" w:ascii="仿宋_GB2312" w:hAnsi="仿宋_GB2312" w:cs="仿宋_GB2312"/>
          <w:szCs w:val="32"/>
        </w:rPr>
        <w:t>提升投诉调解服务效能，</w:t>
      </w:r>
      <w:r>
        <w:rPr>
          <w:rFonts w:hint="eastAsia" w:ascii="仿宋_GB2312" w:hAnsi="仿宋_GB2312" w:cs="仿宋_GB2312"/>
          <w:kern w:val="0"/>
          <w:szCs w:val="32"/>
        </w:rPr>
        <w:t>建立健全投诉处理责任制，</w:t>
      </w:r>
      <w:r>
        <w:rPr>
          <w:rFonts w:ascii="仿宋_GB2312" w:hAnsi="仿宋_GB2312" w:cs="仿宋_GB2312"/>
          <w:kern w:val="0"/>
          <w:szCs w:val="32"/>
        </w:rPr>
        <w:t>拓宽线上线下</w:t>
      </w:r>
      <w:r>
        <w:rPr>
          <w:rFonts w:hint="eastAsia" w:ascii="仿宋_GB2312" w:hAnsi="仿宋_GB2312" w:cs="仿宋_GB2312"/>
          <w:kern w:val="0"/>
          <w:szCs w:val="32"/>
        </w:rPr>
        <w:t>诉求</w:t>
      </w:r>
      <w:r>
        <w:rPr>
          <w:rFonts w:ascii="仿宋_GB2312" w:hAnsi="仿宋_GB2312" w:cs="仿宋_GB2312"/>
          <w:kern w:val="0"/>
          <w:szCs w:val="32"/>
        </w:rPr>
        <w:t>渠道，</w:t>
      </w:r>
      <w:r>
        <w:rPr>
          <w:rFonts w:hint="eastAsia" w:ascii="仿宋_GB2312" w:hAnsi="仿宋_GB2312" w:cs="仿宋_GB2312"/>
          <w:kern w:val="0"/>
          <w:szCs w:val="32"/>
        </w:rPr>
        <w:t>规范处理流程。强化“合规护航＋容错治理”执法机制，</w:t>
      </w:r>
      <w:r>
        <w:rPr>
          <w:rFonts w:hint="eastAsia" w:ascii="仿宋_GB2312" w:hAnsi="仿宋_GB2312" w:cs="仿宋_GB2312"/>
          <w:szCs w:val="32"/>
        </w:rPr>
        <w:t>提升文旅市场执法水平，严格规范涉企行政执法检查，大力推广非现场监管，探索实施“预约式”执法服务；全面深化初违不罚和轻微免罚，健全完善信用修复工作机制，充分释放包容审慎执法服务效能；坚持处罚与教育相结合，通过发布合规经营指南、开展以案释法活动等精准普法方式，为企业依法合规发展提供坚实保障。</w:t>
      </w:r>
    </w:p>
    <w:p w14:paraId="67733412">
      <w:pPr>
        <w:pStyle w:val="37"/>
        <w:keepNext w:val="0"/>
        <w:keepLines w:val="0"/>
        <w:ind w:firstLine="640"/>
        <w:outlineLvl w:val="1"/>
        <w:rPr>
          <w:rFonts w:ascii="楷体_GB2312" w:eastAsia="楷体_GB2312"/>
          <w:b w:val="0"/>
        </w:rPr>
      </w:pPr>
      <w:bookmarkStart w:id="259" w:name="_Toc231464624"/>
      <w:bookmarkStart w:id="260" w:name="_Toc241505647"/>
      <w:bookmarkStart w:id="261" w:name="_Toc217058541"/>
      <w:bookmarkStart w:id="262" w:name="_Toc232610202"/>
      <w:r>
        <w:rPr>
          <w:rFonts w:hint="eastAsia" w:ascii="楷体_GB2312" w:eastAsia="楷体_GB2312"/>
          <w:b w:val="0"/>
        </w:rPr>
        <w:t>（四）筑牢安全发展防线</w:t>
      </w:r>
      <w:bookmarkEnd w:id="259"/>
      <w:bookmarkEnd w:id="260"/>
      <w:bookmarkEnd w:id="261"/>
      <w:bookmarkEnd w:id="262"/>
    </w:p>
    <w:p w14:paraId="49A17FF7">
      <w:pPr>
        <w:widowControl/>
        <w:spacing w:after="0"/>
        <w:ind w:firstLine="640"/>
        <w:rPr>
          <w:rFonts w:hint="eastAsia" w:ascii="仿宋_GB2312" w:hAnsi="仿宋_GB2312" w:cs="仿宋_GB2312"/>
          <w:kern w:val="0"/>
          <w:szCs w:val="32"/>
        </w:rPr>
      </w:pPr>
      <w:r>
        <w:rPr>
          <w:rFonts w:hint="eastAsia" w:ascii="仿宋_GB2312" w:hAnsi="仿宋_GB2312" w:cs="仿宋_GB2312"/>
          <w:kern w:val="0"/>
          <w:szCs w:val="32"/>
        </w:rPr>
        <w:t>建立安全隐患排查治理长效机制，加强对大型演出、体育赛事、节庆活动等重点领域安全防控</w:t>
      </w:r>
      <w:r>
        <w:rPr>
          <w:rFonts w:hint="eastAsia" w:ascii="仿宋_GB2312" w:hAnsi="仿宋_GB2312" w:cs="仿宋_GB2312"/>
          <w:b/>
          <w:bCs/>
          <w:kern w:val="0"/>
          <w:szCs w:val="32"/>
        </w:rPr>
        <w:t>，</w:t>
      </w:r>
      <w:r>
        <w:rPr>
          <w:rFonts w:hint="eastAsia" w:ascii="仿宋_GB2312" w:hAnsi="仿宋_GB2312" w:cs="仿宋_GB2312"/>
          <w:kern w:val="0"/>
          <w:szCs w:val="32"/>
        </w:rPr>
        <w:t>加大对文旅体自然灾害风险防控。建立健全经营单位（场所）安全生产主体责任落实机制，完善安全教育培训制度。健全跨部门会商评估、联合巡查、信息通报及安全预警等机制，健全文旅体行业突发事件应急管理机制，运用信息化、智慧化手段提升突发事件防范应对能力和水平。</w:t>
      </w:r>
    </w:p>
    <w:bookmarkEnd w:id="107"/>
    <w:bookmarkEnd w:id="138"/>
    <w:p w14:paraId="53B6F002">
      <w:pPr>
        <w:pStyle w:val="2"/>
        <w:keepNext w:val="0"/>
        <w:keepLines w:val="0"/>
        <w:adjustRightInd w:val="0"/>
        <w:spacing w:before="0" w:after="0" w:line="560" w:lineRule="exact"/>
        <w:ind w:firstLine="640"/>
        <w:jc w:val="left"/>
        <w:rPr>
          <w:rFonts w:ascii="Times New Roman" w:hAnsi="Times New Roman" w:eastAsia="黑体" w:cs="Times New Roman"/>
          <w:b w:val="0"/>
          <w:sz w:val="32"/>
          <w:szCs w:val="32"/>
        </w:rPr>
      </w:pPr>
      <w:bookmarkStart w:id="263" w:name="_Toc232610203"/>
      <w:bookmarkStart w:id="264" w:name="OLE_LINK8"/>
      <w:bookmarkStart w:id="265" w:name="_Toc241505648"/>
      <w:bookmarkStart w:id="266" w:name="_Toc231464625"/>
      <w:bookmarkStart w:id="267" w:name="_Toc217058542"/>
      <w:r>
        <w:rPr>
          <w:rFonts w:hint="eastAsia" w:ascii="Times New Roman" w:hAnsi="Times New Roman" w:eastAsia="黑体" w:cs="Times New Roman"/>
          <w:b w:val="0"/>
          <w:sz w:val="32"/>
          <w:szCs w:val="32"/>
        </w:rPr>
        <w:t>八、</w:t>
      </w:r>
      <w:bookmarkStart w:id="268" w:name="OLE_LINK124"/>
      <w:r>
        <w:rPr>
          <w:rFonts w:hint="eastAsia" w:ascii="Times New Roman" w:hAnsi="Times New Roman" w:eastAsia="黑体" w:cs="Times New Roman"/>
          <w:b w:val="0"/>
          <w:sz w:val="32"/>
          <w:szCs w:val="32"/>
        </w:rPr>
        <w:t>强化支撑，健全规划实施保障体系</w:t>
      </w:r>
      <w:bookmarkEnd w:id="263"/>
      <w:bookmarkEnd w:id="264"/>
      <w:bookmarkEnd w:id="265"/>
      <w:bookmarkEnd w:id="266"/>
      <w:bookmarkEnd w:id="267"/>
      <w:bookmarkEnd w:id="268"/>
    </w:p>
    <w:p w14:paraId="6C18D471">
      <w:pPr>
        <w:widowControl/>
        <w:spacing w:after="0"/>
        <w:ind w:firstLine="640"/>
        <w:rPr>
          <w:rFonts w:hint="eastAsia" w:ascii="仿宋_GB2312" w:hAnsi="仿宋_GB2312" w:cs="仿宋_GB2312"/>
          <w:kern w:val="0"/>
          <w:szCs w:val="32"/>
        </w:rPr>
      </w:pPr>
      <w:bookmarkStart w:id="269" w:name="_Toc217058543"/>
      <w:bookmarkStart w:id="270" w:name="_Toc203379000"/>
      <w:bookmarkStart w:id="271" w:name="_Toc232610204"/>
      <w:bookmarkStart w:id="272" w:name="_Toc231464626"/>
      <w:r>
        <w:rPr>
          <w:rFonts w:hint="eastAsia" w:ascii="仿宋_GB2312" w:hAnsi="仿宋_GB2312" w:cs="仿宋_GB2312"/>
          <w:kern w:val="0"/>
          <w:szCs w:val="32"/>
        </w:rPr>
        <w:t>坚持党的全面领导，</w:t>
      </w:r>
      <w:bookmarkEnd w:id="269"/>
      <w:bookmarkEnd w:id="270"/>
      <w:bookmarkEnd w:id="271"/>
      <w:bookmarkEnd w:id="272"/>
      <w:r>
        <w:rPr>
          <w:rFonts w:hint="eastAsia" w:ascii="仿宋_GB2312" w:hAnsi="仿宋_GB2312" w:cs="仿宋_GB2312"/>
          <w:kern w:val="0"/>
          <w:szCs w:val="32"/>
        </w:rPr>
        <w:t>依托区级协调机制，深化市区统筹联动，加强部门协同，推进法治化、标准化、规范化建设，贯彻执行新</w:t>
      </w:r>
      <w:r>
        <w:rPr>
          <w:rFonts w:ascii="仿宋_GB2312" w:hAnsi="仿宋_GB2312" w:cs="仿宋_GB2312"/>
          <w:kern w:val="0"/>
          <w:szCs w:val="32"/>
        </w:rPr>
        <w:t>消费新业态新模式新场景</w:t>
      </w:r>
      <w:r>
        <w:rPr>
          <w:rFonts w:hint="eastAsia" w:ascii="仿宋_GB2312" w:hAnsi="仿宋_GB2312" w:cs="仿宋_GB2312"/>
          <w:kern w:val="0"/>
          <w:szCs w:val="32"/>
        </w:rPr>
        <w:t>等</w:t>
      </w:r>
      <w:r>
        <w:rPr>
          <w:rFonts w:ascii="仿宋_GB2312" w:hAnsi="仿宋_GB2312" w:cs="仿宋_GB2312"/>
          <w:kern w:val="0"/>
          <w:szCs w:val="32"/>
        </w:rPr>
        <w:t>相关行业标准与管理规范</w:t>
      </w:r>
      <w:r>
        <w:rPr>
          <w:rFonts w:hint="eastAsia" w:ascii="仿宋_GB2312" w:hAnsi="仿宋_GB2312" w:cs="仿宋_GB2312"/>
          <w:kern w:val="0"/>
          <w:szCs w:val="32"/>
        </w:rPr>
        <w:t>。</w:t>
      </w:r>
      <w:bookmarkStart w:id="273" w:name="OLE_LINK45"/>
      <w:r>
        <w:rPr>
          <w:rFonts w:hint="eastAsia" w:ascii="仿宋_GB2312" w:hAnsi="仿宋_GB2312" w:cs="仿宋_GB2312"/>
          <w:kern w:val="0"/>
          <w:szCs w:val="32"/>
        </w:rPr>
        <w:t>深化文旅体产业机制创新，激活市场主体创新活力。发挥财政资金引导激励作用，积极争取中央和市级专项资金支持，加大对文旅体领域重大项目支持力度。加强跨部门协同统筹，优化项目用地布局，夯实要素落地保障。创新多元投融资路径，撬动社会资本参与文旅体项目投资运营，搭建可持续多层次投资支撑体系。加强人才队伍建设，健全文旅体骨干人才选拔、培养与支持机制。</w:t>
      </w:r>
      <w:bookmarkEnd w:id="273"/>
      <w:r>
        <w:rPr>
          <w:rFonts w:hint="eastAsia" w:ascii="仿宋_GB2312" w:hAnsi="仿宋_GB2312" w:cs="仿宋_GB2312"/>
          <w:kern w:val="0"/>
          <w:szCs w:val="32"/>
        </w:rPr>
        <w:t>强化规划实施情况跟踪监测分析，完善规划实施评估和动态调整机制，</w:t>
      </w:r>
      <w:bookmarkStart w:id="274" w:name="OLE_LINK43"/>
      <w:r>
        <w:rPr>
          <w:rFonts w:ascii="仿宋_GB2312" w:hAnsi="仿宋_GB2312" w:cs="仿宋_GB2312"/>
          <w:kern w:val="0"/>
          <w:szCs w:val="32"/>
        </w:rPr>
        <w:t>以全过程、多阶段评估持续提升规划实施效能。</w:t>
      </w:r>
      <w:bookmarkEnd w:id="274"/>
    </w:p>
    <w:p w14:paraId="0F9ADF40">
      <w:pPr>
        <w:spacing w:after="0"/>
        <w:ind w:firstLine="640"/>
        <w:rPr>
          <w:rFonts w:hint="eastAsia" w:ascii="仿宋_GB2312" w:hAnsi="仿宋_GB2312" w:cs="仿宋_GB2312"/>
          <w:kern w:val="0"/>
          <w:szCs w:val="32"/>
        </w:rPr>
        <w:sectPr>
          <w:pgSz w:w="11906" w:h="16838"/>
          <w:pgMar w:top="2098" w:right="1474" w:bottom="1985" w:left="1588" w:header="0" w:footer="0" w:gutter="0"/>
          <w:pgNumType w:start="1"/>
          <w:cols w:space="425" w:num="1"/>
          <w:docGrid w:type="lines" w:linePitch="435" w:charSpace="0"/>
        </w:sectPr>
      </w:pPr>
    </w:p>
    <w:p w14:paraId="437358D1">
      <w:pPr>
        <w:widowControl/>
        <w:spacing w:after="0" w:line="240" w:lineRule="auto"/>
        <w:ind w:firstLine="0" w:firstLineChars="0"/>
        <w:jc w:val="left"/>
        <w:outlineLvl w:val="0"/>
        <w:rPr>
          <w:rFonts w:ascii="Times New Roman" w:hAnsi="Times New Roman" w:eastAsia="黑体" w:cs="Times New Roman"/>
          <w:szCs w:val="32"/>
        </w:rPr>
      </w:pPr>
      <w:bookmarkStart w:id="275" w:name="_Toc217058547"/>
      <w:bookmarkStart w:id="276" w:name="_Toc232610207"/>
      <w:bookmarkStart w:id="277" w:name="_Toc231464630"/>
      <w:bookmarkStart w:id="278" w:name="_Toc241505649"/>
      <w:r>
        <w:rPr>
          <w:rFonts w:hint="eastAsia" w:ascii="Times New Roman" w:hAnsi="Times New Roman" w:eastAsia="黑体" w:cs="Times New Roman"/>
          <w:szCs w:val="32"/>
        </w:rPr>
        <w:t>附件1 “十五五”时期丰台区文化旅游体育重点项目清单</w:t>
      </w:r>
      <w:bookmarkEnd w:id="3"/>
      <w:bookmarkEnd w:id="275"/>
      <w:bookmarkEnd w:id="276"/>
      <w:bookmarkEnd w:id="277"/>
      <w:bookmarkEnd w:id="278"/>
    </w:p>
    <w:tbl>
      <w:tblPr>
        <w:tblStyle w:val="23"/>
        <w:tblW w:w="14032" w:type="dxa"/>
        <w:jc w:val="center"/>
        <w:tblLayout w:type="fixed"/>
        <w:tblCellMar>
          <w:top w:w="0" w:type="dxa"/>
          <w:left w:w="108" w:type="dxa"/>
          <w:bottom w:w="0" w:type="dxa"/>
          <w:right w:w="108" w:type="dxa"/>
        </w:tblCellMar>
      </w:tblPr>
      <w:tblGrid>
        <w:gridCol w:w="470"/>
        <w:gridCol w:w="1252"/>
        <w:gridCol w:w="719"/>
        <w:gridCol w:w="1008"/>
        <w:gridCol w:w="1287"/>
        <w:gridCol w:w="864"/>
        <w:gridCol w:w="5911"/>
        <w:gridCol w:w="870"/>
        <w:gridCol w:w="731"/>
        <w:gridCol w:w="920"/>
      </w:tblGrid>
      <w:tr w14:paraId="525E3F0B">
        <w:trPr>
          <w:trHeight w:val="292" w:hRule="atLeast"/>
          <w:tblHeader/>
          <w:jc w:val="center"/>
        </w:trPr>
        <w:tc>
          <w:tcPr>
            <w:tcW w:w="470" w:type="dxa"/>
            <w:vMerge w:val="restart"/>
            <w:tcBorders>
              <w:top w:val="single" w:color="auto" w:sz="4" w:space="0"/>
              <w:left w:val="single" w:color="auto" w:sz="4" w:space="0"/>
              <w:bottom w:val="single" w:color="auto" w:sz="4" w:space="0"/>
              <w:right w:val="single" w:color="auto" w:sz="4" w:space="0"/>
            </w:tcBorders>
            <w:vAlign w:val="center"/>
          </w:tcPr>
          <w:p w14:paraId="3B23171A">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序号</w:t>
            </w:r>
          </w:p>
        </w:tc>
        <w:tc>
          <w:tcPr>
            <w:tcW w:w="1252" w:type="dxa"/>
            <w:vMerge w:val="restart"/>
            <w:tcBorders>
              <w:top w:val="single" w:color="auto" w:sz="4" w:space="0"/>
              <w:left w:val="single" w:color="auto" w:sz="4" w:space="0"/>
              <w:bottom w:val="single" w:color="auto" w:sz="4" w:space="0"/>
              <w:right w:val="single" w:color="auto" w:sz="4" w:space="0"/>
            </w:tcBorders>
            <w:vAlign w:val="center"/>
          </w:tcPr>
          <w:p w14:paraId="4C3A1DBB">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项目</w:t>
            </w:r>
          </w:p>
          <w:p w14:paraId="6C936E3D">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名称</w:t>
            </w:r>
          </w:p>
        </w:tc>
        <w:tc>
          <w:tcPr>
            <w:tcW w:w="719" w:type="dxa"/>
            <w:vMerge w:val="restart"/>
            <w:tcBorders>
              <w:top w:val="single" w:color="auto" w:sz="4" w:space="0"/>
              <w:left w:val="single" w:color="auto" w:sz="4" w:space="0"/>
              <w:bottom w:val="single" w:color="auto" w:sz="4" w:space="0"/>
              <w:right w:val="single" w:color="auto" w:sz="4" w:space="0"/>
            </w:tcBorders>
            <w:vAlign w:val="center"/>
          </w:tcPr>
          <w:p w14:paraId="6EF91C29">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项目</w:t>
            </w:r>
          </w:p>
          <w:p w14:paraId="65BA306D">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成熟度</w:t>
            </w:r>
          </w:p>
        </w:tc>
        <w:tc>
          <w:tcPr>
            <w:tcW w:w="1008" w:type="dxa"/>
            <w:vMerge w:val="restart"/>
            <w:tcBorders>
              <w:top w:val="single" w:color="auto" w:sz="4" w:space="0"/>
              <w:left w:val="single" w:color="auto" w:sz="4" w:space="0"/>
              <w:bottom w:val="single" w:color="auto" w:sz="4" w:space="0"/>
              <w:right w:val="single" w:color="auto" w:sz="4" w:space="0"/>
            </w:tcBorders>
            <w:vAlign w:val="center"/>
          </w:tcPr>
          <w:p w14:paraId="32E0B637">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主责</w:t>
            </w:r>
          </w:p>
          <w:p w14:paraId="71BB360B">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单位</w:t>
            </w:r>
          </w:p>
        </w:tc>
        <w:tc>
          <w:tcPr>
            <w:tcW w:w="1287" w:type="dxa"/>
            <w:vMerge w:val="restart"/>
            <w:tcBorders>
              <w:top w:val="single" w:color="auto" w:sz="4" w:space="0"/>
              <w:left w:val="single" w:color="auto" w:sz="4" w:space="0"/>
              <w:bottom w:val="single" w:color="auto" w:sz="4" w:space="0"/>
              <w:right w:val="single" w:color="auto" w:sz="4" w:space="0"/>
            </w:tcBorders>
            <w:vAlign w:val="center"/>
          </w:tcPr>
          <w:p w14:paraId="36152A93">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建设</w:t>
            </w:r>
          </w:p>
          <w:p w14:paraId="650F1680">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单位</w:t>
            </w:r>
          </w:p>
        </w:tc>
        <w:tc>
          <w:tcPr>
            <w:tcW w:w="864" w:type="dxa"/>
            <w:vMerge w:val="restart"/>
            <w:tcBorders>
              <w:top w:val="single" w:color="auto" w:sz="4" w:space="0"/>
              <w:left w:val="single" w:color="auto" w:sz="4" w:space="0"/>
              <w:bottom w:val="single" w:color="auto" w:sz="4" w:space="0"/>
              <w:right w:val="single" w:color="auto" w:sz="4" w:space="0"/>
            </w:tcBorders>
            <w:vAlign w:val="center"/>
          </w:tcPr>
          <w:p w14:paraId="0EDF292F">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建设</w:t>
            </w:r>
          </w:p>
          <w:p w14:paraId="223BAD25">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地点</w:t>
            </w:r>
          </w:p>
        </w:tc>
        <w:tc>
          <w:tcPr>
            <w:tcW w:w="5911" w:type="dxa"/>
            <w:vMerge w:val="restart"/>
            <w:tcBorders>
              <w:top w:val="single" w:color="auto" w:sz="4" w:space="0"/>
              <w:left w:val="single" w:color="auto" w:sz="4" w:space="0"/>
              <w:bottom w:val="single" w:color="auto" w:sz="4" w:space="0"/>
              <w:right w:val="single" w:color="auto" w:sz="4" w:space="0"/>
            </w:tcBorders>
            <w:vAlign w:val="center"/>
          </w:tcPr>
          <w:p w14:paraId="666E1957">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建设内容</w:t>
            </w:r>
          </w:p>
        </w:tc>
        <w:tc>
          <w:tcPr>
            <w:tcW w:w="1601" w:type="dxa"/>
            <w:gridSpan w:val="2"/>
            <w:tcBorders>
              <w:top w:val="single" w:color="auto" w:sz="4" w:space="0"/>
              <w:left w:val="nil"/>
              <w:bottom w:val="single" w:color="auto" w:sz="4" w:space="0"/>
              <w:right w:val="single" w:color="auto" w:sz="4" w:space="0"/>
            </w:tcBorders>
            <w:vAlign w:val="center"/>
          </w:tcPr>
          <w:p w14:paraId="28CF0196">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实施计划</w:t>
            </w:r>
          </w:p>
        </w:tc>
        <w:tc>
          <w:tcPr>
            <w:tcW w:w="920" w:type="dxa"/>
            <w:vMerge w:val="restart"/>
            <w:tcBorders>
              <w:top w:val="single" w:color="auto" w:sz="4" w:space="0"/>
              <w:left w:val="single" w:color="auto" w:sz="4" w:space="0"/>
              <w:bottom w:val="single" w:color="auto" w:sz="4" w:space="0"/>
              <w:right w:val="single" w:color="auto" w:sz="4" w:space="0"/>
            </w:tcBorders>
            <w:vAlign w:val="center"/>
          </w:tcPr>
          <w:p w14:paraId="287CAF4F">
            <w:pPr>
              <w:widowControl/>
              <w:spacing w:after="0" w:line="280" w:lineRule="exact"/>
              <w:ind w:firstLine="0" w:firstLineChars="0"/>
              <w:jc w:val="left"/>
              <w:rPr>
                <w:rFonts w:hint="eastAsia" w:ascii="黑体" w:hAnsi="黑体" w:eastAsia="黑体" w:cs="宋体"/>
                <w:kern w:val="0"/>
                <w:sz w:val="24"/>
                <w:szCs w:val="24"/>
              </w:rPr>
            </w:pPr>
            <w:r>
              <w:rPr>
                <w:rFonts w:hint="eastAsia" w:ascii="黑体" w:hAnsi="黑体" w:eastAsia="黑体" w:cs="宋体"/>
                <w:kern w:val="0"/>
                <w:sz w:val="24"/>
                <w:szCs w:val="24"/>
              </w:rPr>
              <w:t>项目总投资（万元）</w:t>
            </w:r>
          </w:p>
        </w:tc>
      </w:tr>
      <w:tr w14:paraId="2AFFE56A">
        <w:trPr>
          <w:trHeight w:val="814" w:hRule="atLeast"/>
          <w:tblHeader/>
          <w:jc w:val="center"/>
        </w:trPr>
        <w:tc>
          <w:tcPr>
            <w:tcW w:w="470" w:type="dxa"/>
            <w:vMerge w:val="continue"/>
            <w:tcBorders>
              <w:top w:val="single" w:color="auto" w:sz="4" w:space="0"/>
              <w:left w:val="single" w:color="auto" w:sz="4" w:space="0"/>
              <w:bottom w:val="single" w:color="auto" w:sz="4" w:space="0"/>
              <w:right w:val="single" w:color="auto" w:sz="4" w:space="0"/>
            </w:tcBorders>
            <w:vAlign w:val="center"/>
          </w:tcPr>
          <w:p w14:paraId="04A55E91">
            <w:pPr>
              <w:widowControl/>
              <w:spacing w:after="0" w:line="280" w:lineRule="exact"/>
              <w:ind w:firstLine="0" w:firstLineChars="0"/>
              <w:jc w:val="center"/>
              <w:rPr>
                <w:rFonts w:hint="eastAsia" w:ascii="仿宋_GB2312" w:hAnsi="宋体" w:cs="宋体"/>
                <w:b/>
                <w:bCs/>
                <w:kern w:val="0"/>
                <w:sz w:val="24"/>
                <w:szCs w:val="24"/>
              </w:rPr>
            </w:pPr>
          </w:p>
        </w:tc>
        <w:tc>
          <w:tcPr>
            <w:tcW w:w="1252" w:type="dxa"/>
            <w:vMerge w:val="continue"/>
            <w:tcBorders>
              <w:top w:val="single" w:color="auto" w:sz="4" w:space="0"/>
              <w:left w:val="single" w:color="auto" w:sz="4" w:space="0"/>
              <w:bottom w:val="single" w:color="auto" w:sz="4" w:space="0"/>
              <w:right w:val="single" w:color="auto" w:sz="4" w:space="0"/>
            </w:tcBorders>
            <w:vAlign w:val="center"/>
          </w:tcPr>
          <w:p w14:paraId="5729A4C9">
            <w:pPr>
              <w:widowControl/>
              <w:spacing w:after="0" w:line="280" w:lineRule="exact"/>
              <w:ind w:firstLine="0" w:firstLineChars="0"/>
              <w:jc w:val="center"/>
              <w:rPr>
                <w:rFonts w:hint="eastAsia" w:ascii="仿宋_GB2312" w:hAnsi="宋体" w:cs="宋体"/>
                <w:b/>
                <w:bCs/>
                <w:kern w:val="0"/>
                <w:sz w:val="24"/>
                <w:szCs w:val="24"/>
              </w:rPr>
            </w:pPr>
          </w:p>
        </w:tc>
        <w:tc>
          <w:tcPr>
            <w:tcW w:w="719" w:type="dxa"/>
            <w:vMerge w:val="continue"/>
            <w:tcBorders>
              <w:top w:val="single" w:color="auto" w:sz="4" w:space="0"/>
              <w:left w:val="single" w:color="auto" w:sz="4" w:space="0"/>
              <w:bottom w:val="single" w:color="auto" w:sz="4" w:space="0"/>
              <w:right w:val="single" w:color="auto" w:sz="4" w:space="0"/>
            </w:tcBorders>
            <w:vAlign w:val="center"/>
          </w:tcPr>
          <w:p w14:paraId="73A39120">
            <w:pPr>
              <w:widowControl/>
              <w:spacing w:after="0" w:line="280" w:lineRule="exact"/>
              <w:ind w:firstLine="0" w:firstLineChars="0"/>
              <w:jc w:val="center"/>
              <w:rPr>
                <w:rFonts w:hint="eastAsia" w:ascii="仿宋_GB2312" w:hAnsi="宋体" w:cs="宋体"/>
                <w:b/>
                <w:bCs/>
                <w:kern w:val="0"/>
                <w:sz w:val="24"/>
                <w:szCs w:val="24"/>
              </w:rPr>
            </w:pPr>
          </w:p>
        </w:tc>
        <w:tc>
          <w:tcPr>
            <w:tcW w:w="1008" w:type="dxa"/>
            <w:vMerge w:val="continue"/>
            <w:tcBorders>
              <w:top w:val="single" w:color="auto" w:sz="4" w:space="0"/>
              <w:left w:val="single" w:color="auto" w:sz="4" w:space="0"/>
              <w:bottom w:val="single" w:color="auto" w:sz="4" w:space="0"/>
              <w:right w:val="single" w:color="auto" w:sz="4" w:space="0"/>
            </w:tcBorders>
            <w:vAlign w:val="center"/>
          </w:tcPr>
          <w:p w14:paraId="65037E38">
            <w:pPr>
              <w:widowControl/>
              <w:spacing w:after="0" w:line="280" w:lineRule="exact"/>
              <w:ind w:firstLine="0" w:firstLineChars="0"/>
              <w:jc w:val="center"/>
              <w:rPr>
                <w:rFonts w:hint="eastAsia" w:ascii="仿宋_GB2312" w:hAnsi="宋体" w:cs="宋体"/>
                <w:b/>
                <w:bCs/>
                <w:kern w:val="0"/>
                <w:sz w:val="24"/>
                <w:szCs w:val="24"/>
              </w:rPr>
            </w:pPr>
          </w:p>
        </w:tc>
        <w:tc>
          <w:tcPr>
            <w:tcW w:w="1287" w:type="dxa"/>
            <w:vMerge w:val="continue"/>
            <w:tcBorders>
              <w:top w:val="single" w:color="auto" w:sz="4" w:space="0"/>
              <w:left w:val="single" w:color="auto" w:sz="4" w:space="0"/>
              <w:bottom w:val="single" w:color="auto" w:sz="4" w:space="0"/>
              <w:right w:val="single" w:color="auto" w:sz="4" w:space="0"/>
            </w:tcBorders>
            <w:vAlign w:val="center"/>
          </w:tcPr>
          <w:p w14:paraId="520E2573">
            <w:pPr>
              <w:widowControl/>
              <w:spacing w:after="0" w:line="280" w:lineRule="exact"/>
              <w:ind w:firstLine="0" w:firstLineChars="0"/>
              <w:jc w:val="center"/>
              <w:rPr>
                <w:rFonts w:hint="eastAsia" w:ascii="仿宋_GB2312" w:hAnsi="宋体" w:cs="宋体"/>
                <w:b/>
                <w:bCs/>
                <w:kern w:val="0"/>
                <w:sz w:val="24"/>
                <w:szCs w:val="24"/>
              </w:rPr>
            </w:pPr>
          </w:p>
        </w:tc>
        <w:tc>
          <w:tcPr>
            <w:tcW w:w="864" w:type="dxa"/>
            <w:vMerge w:val="continue"/>
            <w:tcBorders>
              <w:top w:val="single" w:color="auto" w:sz="4" w:space="0"/>
              <w:left w:val="single" w:color="auto" w:sz="4" w:space="0"/>
              <w:bottom w:val="single" w:color="auto" w:sz="4" w:space="0"/>
              <w:right w:val="single" w:color="auto" w:sz="4" w:space="0"/>
            </w:tcBorders>
            <w:vAlign w:val="center"/>
          </w:tcPr>
          <w:p w14:paraId="03BF9754">
            <w:pPr>
              <w:widowControl/>
              <w:spacing w:after="0" w:line="280" w:lineRule="exact"/>
              <w:ind w:firstLine="0" w:firstLineChars="0"/>
              <w:jc w:val="center"/>
              <w:rPr>
                <w:rFonts w:hint="eastAsia" w:ascii="仿宋_GB2312" w:hAnsi="宋体" w:cs="宋体"/>
                <w:b/>
                <w:bCs/>
                <w:kern w:val="0"/>
                <w:sz w:val="24"/>
                <w:szCs w:val="24"/>
              </w:rPr>
            </w:pPr>
          </w:p>
        </w:tc>
        <w:tc>
          <w:tcPr>
            <w:tcW w:w="5911" w:type="dxa"/>
            <w:vMerge w:val="continue"/>
            <w:tcBorders>
              <w:top w:val="single" w:color="auto" w:sz="4" w:space="0"/>
              <w:left w:val="single" w:color="auto" w:sz="4" w:space="0"/>
              <w:bottom w:val="single" w:color="auto" w:sz="4" w:space="0"/>
              <w:right w:val="single" w:color="auto" w:sz="4" w:space="0"/>
            </w:tcBorders>
            <w:vAlign w:val="center"/>
          </w:tcPr>
          <w:p w14:paraId="681D303A">
            <w:pPr>
              <w:widowControl/>
              <w:spacing w:after="0" w:line="280" w:lineRule="exact"/>
              <w:ind w:firstLine="0" w:firstLineChars="0"/>
              <w:jc w:val="center"/>
              <w:rPr>
                <w:rFonts w:hint="eastAsia" w:ascii="仿宋_GB2312" w:hAnsi="宋体" w:cs="宋体"/>
                <w:b/>
                <w:bCs/>
                <w:kern w:val="0"/>
                <w:sz w:val="24"/>
                <w:szCs w:val="24"/>
              </w:rPr>
            </w:pPr>
          </w:p>
        </w:tc>
        <w:tc>
          <w:tcPr>
            <w:tcW w:w="870" w:type="dxa"/>
            <w:tcBorders>
              <w:top w:val="nil"/>
              <w:left w:val="nil"/>
              <w:bottom w:val="single" w:color="auto" w:sz="4" w:space="0"/>
              <w:right w:val="single" w:color="auto" w:sz="4" w:space="0"/>
            </w:tcBorders>
            <w:vAlign w:val="center"/>
          </w:tcPr>
          <w:p w14:paraId="42D0228C">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（计划）开工时间</w:t>
            </w:r>
          </w:p>
        </w:tc>
        <w:tc>
          <w:tcPr>
            <w:tcW w:w="731" w:type="dxa"/>
            <w:tcBorders>
              <w:top w:val="nil"/>
              <w:left w:val="nil"/>
              <w:bottom w:val="single" w:color="auto" w:sz="4" w:space="0"/>
              <w:right w:val="single" w:color="auto" w:sz="4" w:space="0"/>
            </w:tcBorders>
            <w:vAlign w:val="center"/>
          </w:tcPr>
          <w:p w14:paraId="45CA29E7">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（计划）竣工时间</w:t>
            </w:r>
          </w:p>
        </w:tc>
        <w:tc>
          <w:tcPr>
            <w:tcW w:w="920" w:type="dxa"/>
            <w:vMerge w:val="continue"/>
            <w:tcBorders>
              <w:top w:val="single" w:color="auto" w:sz="4" w:space="0"/>
              <w:left w:val="single" w:color="auto" w:sz="4" w:space="0"/>
              <w:bottom w:val="single" w:color="auto" w:sz="4" w:space="0"/>
              <w:right w:val="single" w:color="auto" w:sz="4" w:space="0"/>
            </w:tcBorders>
            <w:vAlign w:val="center"/>
          </w:tcPr>
          <w:p w14:paraId="77B662F9">
            <w:pPr>
              <w:widowControl/>
              <w:spacing w:after="0" w:line="280" w:lineRule="exact"/>
              <w:ind w:firstLine="0" w:firstLineChars="0"/>
              <w:jc w:val="left"/>
              <w:rPr>
                <w:rFonts w:hint="eastAsia" w:ascii="仿宋_GB2312" w:hAnsi="宋体" w:cs="宋体"/>
                <w:b/>
                <w:bCs/>
                <w:kern w:val="0"/>
                <w:sz w:val="24"/>
                <w:szCs w:val="24"/>
              </w:rPr>
            </w:pPr>
          </w:p>
        </w:tc>
      </w:tr>
      <w:tr w14:paraId="79345498">
        <w:trPr>
          <w:trHeight w:val="263" w:hRule="atLeast"/>
          <w:jc w:val="center"/>
        </w:trPr>
        <w:tc>
          <w:tcPr>
            <w:tcW w:w="13112" w:type="dxa"/>
            <w:gridSpan w:val="9"/>
            <w:tcBorders>
              <w:top w:val="single" w:color="auto" w:sz="4" w:space="0"/>
              <w:left w:val="single" w:color="auto" w:sz="4" w:space="0"/>
              <w:bottom w:val="single" w:color="auto" w:sz="4" w:space="0"/>
              <w:right w:val="single" w:color="auto" w:sz="4" w:space="0"/>
            </w:tcBorders>
            <w:vAlign w:val="center"/>
          </w:tcPr>
          <w:p w14:paraId="3610F032">
            <w:pPr>
              <w:widowControl/>
              <w:spacing w:after="0" w:line="280" w:lineRule="exact"/>
              <w:ind w:firstLine="0" w:firstLineChars="0"/>
              <w:jc w:val="center"/>
              <w:rPr>
                <w:rFonts w:hint="eastAsia" w:ascii="仿宋_GB2312" w:hAnsi="宋体" w:cs="宋体"/>
                <w:b/>
                <w:bCs/>
                <w:kern w:val="0"/>
                <w:sz w:val="24"/>
                <w:szCs w:val="24"/>
              </w:rPr>
            </w:pPr>
            <w:r>
              <w:rPr>
                <w:rFonts w:hint="eastAsia" w:ascii="仿宋_GB2312" w:hAnsi="宋体" w:cs="宋体"/>
                <w:b/>
                <w:bCs/>
                <w:kern w:val="0"/>
                <w:sz w:val="24"/>
                <w:szCs w:val="24"/>
              </w:rPr>
              <w:t>南中轴文化轴</w:t>
            </w:r>
          </w:p>
        </w:tc>
        <w:tc>
          <w:tcPr>
            <w:tcW w:w="920" w:type="dxa"/>
            <w:tcBorders>
              <w:top w:val="nil"/>
              <w:left w:val="nil"/>
              <w:bottom w:val="single" w:color="auto" w:sz="4" w:space="0"/>
              <w:right w:val="single" w:color="auto" w:sz="4" w:space="0"/>
            </w:tcBorders>
            <w:noWrap/>
            <w:vAlign w:val="center"/>
          </w:tcPr>
          <w:p w14:paraId="42DB7C1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　</w:t>
            </w:r>
          </w:p>
        </w:tc>
      </w:tr>
      <w:tr w14:paraId="3E04824D">
        <w:trPr>
          <w:trHeight w:val="1367" w:hRule="atLeast"/>
          <w:jc w:val="center"/>
        </w:trPr>
        <w:tc>
          <w:tcPr>
            <w:tcW w:w="470" w:type="dxa"/>
            <w:tcBorders>
              <w:top w:val="nil"/>
              <w:left w:val="single" w:color="auto" w:sz="4" w:space="0"/>
              <w:bottom w:val="single" w:color="auto" w:sz="4" w:space="0"/>
              <w:right w:val="single" w:color="auto" w:sz="4" w:space="0"/>
            </w:tcBorders>
            <w:vAlign w:val="center"/>
          </w:tcPr>
          <w:p w14:paraId="679E4E0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w:t>
            </w:r>
          </w:p>
        </w:tc>
        <w:tc>
          <w:tcPr>
            <w:tcW w:w="1252" w:type="dxa"/>
            <w:tcBorders>
              <w:top w:val="nil"/>
              <w:left w:val="nil"/>
              <w:bottom w:val="single" w:color="auto" w:sz="4" w:space="0"/>
              <w:right w:val="single" w:color="auto" w:sz="4" w:space="0"/>
            </w:tcBorders>
            <w:vAlign w:val="center"/>
          </w:tcPr>
          <w:p w14:paraId="3F24DB8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国家自然博物馆新馆建设工程项目</w:t>
            </w:r>
          </w:p>
        </w:tc>
        <w:tc>
          <w:tcPr>
            <w:tcW w:w="719" w:type="dxa"/>
            <w:tcBorders>
              <w:top w:val="nil"/>
              <w:left w:val="nil"/>
              <w:bottom w:val="single" w:color="auto" w:sz="4" w:space="0"/>
              <w:right w:val="single" w:color="auto" w:sz="4" w:space="0"/>
            </w:tcBorders>
            <w:vAlign w:val="center"/>
          </w:tcPr>
          <w:p w14:paraId="0406BA9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续建</w:t>
            </w:r>
          </w:p>
        </w:tc>
        <w:tc>
          <w:tcPr>
            <w:tcW w:w="1008" w:type="dxa"/>
            <w:tcBorders>
              <w:top w:val="nil"/>
              <w:left w:val="nil"/>
              <w:bottom w:val="single" w:color="auto" w:sz="4" w:space="0"/>
              <w:right w:val="single" w:color="auto" w:sz="4" w:space="0"/>
            </w:tcBorders>
            <w:vAlign w:val="center"/>
          </w:tcPr>
          <w:p w14:paraId="1130DF9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南中轴地区管委会</w:t>
            </w:r>
          </w:p>
        </w:tc>
        <w:tc>
          <w:tcPr>
            <w:tcW w:w="1287" w:type="dxa"/>
            <w:tcBorders>
              <w:top w:val="nil"/>
              <w:left w:val="nil"/>
              <w:bottom w:val="single" w:color="auto" w:sz="4" w:space="0"/>
              <w:right w:val="single" w:color="auto" w:sz="4" w:space="0"/>
            </w:tcBorders>
            <w:vAlign w:val="center"/>
          </w:tcPr>
          <w:p w14:paraId="1AFE683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首开集团、市科研院</w:t>
            </w:r>
          </w:p>
        </w:tc>
        <w:tc>
          <w:tcPr>
            <w:tcW w:w="864" w:type="dxa"/>
            <w:tcBorders>
              <w:top w:val="nil"/>
              <w:left w:val="nil"/>
              <w:bottom w:val="single" w:color="auto" w:sz="4" w:space="0"/>
              <w:right w:val="single" w:color="auto" w:sz="4" w:space="0"/>
            </w:tcBorders>
            <w:vAlign w:val="center"/>
          </w:tcPr>
          <w:p w14:paraId="2CEFEC7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大红门街道</w:t>
            </w:r>
          </w:p>
        </w:tc>
        <w:tc>
          <w:tcPr>
            <w:tcW w:w="5911" w:type="dxa"/>
            <w:tcBorders>
              <w:top w:val="nil"/>
              <w:left w:val="nil"/>
              <w:bottom w:val="single" w:color="auto" w:sz="4" w:space="0"/>
              <w:right w:val="single" w:color="auto" w:sz="4" w:space="0"/>
            </w:tcBorders>
            <w:vAlign w:val="center"/>
          </w:tcPr>
          <w:p w14:paraId="0B4EF10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规划建设用地总规模为5.77公顷，预计新建总建筑面积约为19.38万平方米，其中地上建筑面积约为12.5万平方米，地下建筑面积约为6.88万平方米。项目建设内容包括博物馆建筑，具体由陈列展览区、教育区与服务设施、藏品库区、藏品技术区、业务与研究用房、行政管理区、附属用房等功能区域用房组成，同步建设室外地面铺装、管线、道路、绿化、照明、景观等室外工程。</w:t>
            </w:r>
          </w:p>
        </w:tc>
        <w:tc>
          <w:tcPr>
            <w:tcW w:w="870" w:type="dxa"/>
            <w:tcBorders>
              <w:top w:val="nil"/>
              <w:left w:val="nil"/>
              <w:bottom w:val="single" w:color="auto" w:sz="4" w:space="0"/>
              <w:right w:val="single" w:color="auto" w:sz="4" w:space="0"/>
            </w:tcBorders>
            <w:vAlign w:val="center"/>
          </w:tcPr>
          <w:p w14:paraId="6E80D5E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2024年</w:t>
            </w:r>
          </w:p>
        </w:tc>
        <w:tc>
          <w:tcPr>
            <w:tcW w:w="731" w:type="dxa"/>
            <w:tcBorders>
              <w:top w:val="nil"/>
              <w:left w:val="nil"/>
              <w:bottom w:val="single" w:color="auto" w:sz="4" w:space="0"/>
              <w:right w:val="single" w:color="auto" w:sz="4" w:space="0"/>
            </w:tcBorders>
            <w:vAlign w:val="center"/>
          </w:tcPr>
          <w:p w14:paraId="5F9A181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2029年</w:t>
            </w:r>
          </w:p>
        </w:tc>
        <w:tc>
          <w:tcPr>
            <w:tcW w:w="920" w:type="dxa"/>
            <w:tcBorders>
              <w:top w:val="nil"/>
              <w:left w:val="nil"/>
              <w:bottom w:val="single" w:color="auto" w:sz="4" w:space="0"/>
              <w:right w:val="single" w:color="auto" w:sz="4" w:space="0"/>
            </w:tcBorders>
            <w:vAlign w:val="center"/>
          </w:tcPr>
          <w:p w14:paraId="359C08A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r>
      <w:tr w14:paraId="1C56B4C5">
        <w:trPr>
          <w:trHeight w:val="1074" w:hRule="atLeast"/>
          <w:jc w:val="center"/>
        </w:trPr>
        <w:tc>
          <w:tcPr>
            <w:tcW w:w="470" w:type="dxa"/>
            <w:tcBorders>
              <w:top w:val="nil"/>
              <w:left w:val="single" w:color="auto" w:sz="4" w:space="0"/>
              <w:bottom w:val="single" w:color="auto" w:sz="4" w:space="0"/>
              <w:right w:val="single" w:color="auto" w:sz="4" w:space="0"/>
            </w:tcBorders>
            <w:vAlign w:val="center"/>
          </w:tcPr>
          <w:p w14:paraId="4E078E1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w:t>
            </w:r>
          </w:p>
        </w:tc>
        <w:tc>
          <w:tcPr>
            <w:tcW w:w="1252" w:type="dxa"/>
            <w:tcBorders>
              <w:top w:val="nil"/>
              <w:left w:val="nil"/>
              <w:bottom w:val="single" w:color="auto" w:sz="4" w:space="0"/>
              <w:right w:val="single" w:color="auto" w:sz="4" w:space="0"/>
            </w:tcBorders>
            <w:vAlign w:val="center"/>
          </w:tcPr>
          <w:p w14:paraId="12E2616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首都规划展览馆项目</w:t>
            </w:r>
          </w:p>
        </w:tc>
        <w:tc>
          <w:tcPr>
            <w:tcW w:w="719" w:type="dxa"/>
            <w:tcBorders>
              <w:top w:val="nil"/>
              <w:left w:val="nil"/>
              <w:bottom w:val="single" w:color="auto" w:sz="4" w:space="0"/>
              <w:right w:val="single" w:color="auto" w:sz="4" w:space="0"/>
            </w:tcBorders>
            <w:vAlign w:val="center"/>
          </w:tcPr>
          <w:p w14:paraId="11BF282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续建</w:t>
            </w:r>
          </w:p>
        </w:tc>
        <w:tc>
          <w:tcPr>
            <w:tcW w:w="1008" w:type="dxa"/>
            <w:tcBorders>
              <w:top w:val="nil"/>
              <w:left w:val="nil"/>
              <w:bottom w:val="single" w:color="auto" w:sz="4" w:space="0"/>
              <w:right w:val="single" w:color="auto" w:sz="4" w:space="0"/>
            </w:tcBorders>
            <w:vAlign w:val="center"/>
          </w:tcPr>
          <w:p w14:paraId="6D74061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南中轴地区管委会</w:t>
            </w:r>
          </w:p>
        </w:tc>
        <w:tc>
          <w:tcPr>
            <w:tcW w:w="1287" w:type="dxa"/>
            <w:tcBorders>
              <w:top w:val="nil"/>
              <w:left w:val="nil"/>
              <w:bottom w:val="single" w:color="auto" w:sz="4" w:space="0"/>
              <w:right w:val="single" w:color="auto" w:sz="4" w:space="0"/>
            </w:tcBorders>
            <w:vAlign w:val="center"/>
          </w:tcPr>
          <w:p w14:paraId="171A2A0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市规划展览馆</w:t>
            </w:r>
          </w:p>
        </w:tc>
        <w:tc>
          <w:tcPr>
            <w:tcW w:w="864" w:type="dxa"/>
            <w:tcBorders>
              <w:top w:val="nil"/>
              <w:left w:val="nil"/>
              <w:bottom w:val="single" w:color="auto" w:sz="4" w:space="0"/>
              <w:right w:val="single" w:color="auto" w:sz="4" w:space="0"/>
            </w:tcBorders>
            <w:vAlign w:val="center"/>
          </w:tcPr>
          <w:p w14:paraId="61CAEC4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大红门街道</w:t>
            </w:r>
          </w:p>
        </w:tc>
        <w:tc>
          <w:tcPr>
            <w:tcW w:w="5911" w:type="dxa"/>
            <w:tcBorders>
              <w:top w:val="nil"/>
              <w:left w:val="nil"/>
              <w:bottom w:val="single" w:color="auto" w:sz="4" w:space="0"/>
              <w:right w:val="single" w:color="auto" w:sz="4" w:space="0"/>
            </w:tcBorders>
            <w:vAlign w:val="center"/>
          </w:tcPr>
          <w:p w14:paraId="40D7B0F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规划建设用地总规模为1.72公顷，新建建筑面积5.2万平方米，其中地上建筑面积约为2.9万平方米、地下建筑面积约为2.3万平方米。主要建设展览功能区、公共服务区、仓储功能区、辅助功能区等功能用房，同步实施道路、绿化、管线等室外工程。</w:t>
            </w:r>
          </w:p>
        </w:tc>
        <w:tc>
          <w:tcPr>
            <w:tcW w:w="870" w:type="dxa"/>
            <w:tcBorders>
              <w:top w:val="nil"/>
              <w:left w:val="nil"/>
              <w:bottom w:val="single" w:color="auto" w:sz="4" w:space="0"/>
              <w:right w:val="single" w:color="auto" w:sz="4" w:space="0"/>
            </w:tcBorders>
            <w:vAlign w:val="center"/>
          </w:tcPr>
          <w:p w14:paraId="2DADDF8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2025年</w:t>
            </w:r>
          </w:p>
        </w:tc>
        <w:tc>
          <w:tcPr>
            <w:tcW w:w="731" w:type="dxa"/>
            <w:tcBorders>
              <w:top w:val="nil"/>
              <w:left w:val="nil"/>
              <w:bottom w:val="single" w:color="auto" w:sz="4" w:space="0"/>
              <w:right w:val="single" w:color="auto" w:sz="4" w:space="0"/>
            </w:tcBorders>
            <w:vAlign w:val="center"/>
          </w:tcPr>
          <w:p w14:paraId="026452E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2029年</w:t>
            </w:r>
          </w:p>
        </w:tc>
        <w:tc>
          <w:tcPr>
            <w:tcW w:w="920" w:type="dxa"/>
            <w:tcBorders>
              <w:top w:val="nil"/>
              <w:left w:val="nil"/>
              <w:bottom w:val="single" w:color="auto" w:sz="4" w:space="0"/>
              <w:right w:val="single" w:color="auto" w:sz="4" w:space="0"/>
            </w:tcBorders>
            <w:vAlign w:val="center"/>
          </w:tcPr>
          <w:p w14:paraId="5DCCFEC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r>
      <w:tr w14:paraId="74E5C58B">
        <w:trPr>
          <w:trHeight w:val="644" w:hRule="atLeast"/>
          <w:jc w:val="center"/>
        </w:trPr>
        <w:tc>
          <w:tcPr>
            <w:tcW w:w="470" w:type="dxa"/>
            <w:tcBorders>
              <w:top w:val="nil"/>
              <w:left w:val="single" w:color="auto" w:sz="4" w:space="0"/>
              <w:bottom w:val="single" w:color="auto" w:sz="4" w:space="0"/>
              <w:right w:val="single" w:color="auto" w:sz="4" w:space="0"/>
            </w:tcBorders>
            <w:vAlign w:val="center"/>
          </w:tcPr>
          <w:p w14:paraId="4561B4F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3</w:t>
            </w:r>
          </w:p>
        </w:tc>
        <w:tc>
          <w:tcPr>
            <w:tcW w:w="1252" w:type="dxa"/>
            <w:tcBorders>
              <w:top w:val="nil"/>
              <w:left w:val="nil"/>
              <w:bottom w:val="single" w:color="auto" w:sz="4" w:space="0"/>
              <w:right w:val="single" w:color="auto" w:sz="4" w:space="0"/>
            </w:tcBorders>
            <w:vAlign w:val="center"/>
          </w:tcPr>
          <w:p w14:paraId="5067776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南苑地区体育中心项目</w:t>
            </w:r>
          </w:p>
        </w:tc>
        <w:tc>
          <w:tcPr>
            <w:tcW w:w="719" w:type="dxa"/>
            <w:tcBorders>
              <w:top w:val="nil"/>
              <w:left w:val="nil"/>
              <w:bottom w:val="single" w:color="auto" w:sz="4" w:space="0"/>
              <w:right w:val="single" w:color="auto" w:sz="4" w:space="0"/>
            </w:tcBorders>
            <w:vAlign w:val="center"/>
          </w:tcPr>
          <w:p w14:paraId="2C5CECA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03EED58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7C81506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c>
          <w:tcPr>
            <w:tcW w:w="864" w:type="dxa"/>
            <w:tcBorders>
              <w:top w:val="nil"/>
              <w:left w:val="nil"/>
              <w:bottom w:val="single" w:color="auto" w:sz="4" w:space="0"/>
              <w:right w:val="single" w:color="auto" w:sz="4" w:space="0"/>
            </w:tcBorders>
            <w:vAlign w:val="center"/>
          </w:tcPr>
          <w:p w14:paraId="07F5CB5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丰台区南苑街道</w:t>
            </w:r>
          </w:p>
        </w:tc>
        <w:tc>
          <w:tcPr>
            <w:tcW w:w="5911" w:type="dxa"/>
            <w:tcBorders>
              <w:top w:val="nil"/>
              <w:left w:val="nil"/>
              <w:bottom w:val="single" w:color="auto" w:sz="4" w:space="0"/>
              <w:right w:val="single" w:color="auto" w:sz="4" w:space="0"/>
            </w:tcBorders>
            <w:vAlign w:val="center"/>
          </w:tcPr>
          <w:p w14:paraId="7B86BFA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拟建设一座体育生活综合体，项目总建筑面积为95647平方米，其中地上面积49514平方米，地下面积46133平方米，规划用地面积51192平方米。</w:t>
            </w:r>
          </w:p>
        </w:tc>
        <w:tc>
          <w:tcPr>
            <w:tcW w:w="870" w:type="dxa"/>
            <w:tcBorders>
              <w:top w:val="nil"/>
              <w:left w:val="nil"/>
              <w:bottom w:val="single" w:color="auto" w:sz="4" w:space="0"/>
              <w:right w:val="single" w:color="auto" w:sz="4" w:space="0"/>
            </w:tcBorders>
            <w:vAlign w:val="center"/>
          </w:tcPr>
          <w:p w14:paraId="7B73CEA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731" w:type="dxa"/>
            <w:tcBorders>
              <w:top w:val="nil"/>
              <w:left w:val="nil"/>
              <w:bottom w:val="single" w:color="auto" w:sz="4" w:space="0"/>
              <w:right w:val="single" w:color="auto" w:sz="4" w:space="0"/>
            </w:tcBorders>
            <w:vAlign w:val="center"/>
          </w:tcPr>
          <w:p w14:paraId="24CB93B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30EFA6F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r>
      <w:tr w14:paraId="261624EB">
        <w:trPr>
          <w:trHeight w:val="741" w:hRule="atLeast"/>
          <w:jc w:val="center"/>
        </w:trPr>
        <w:tc>
          <w:tcPr>
            <w:tcW w:w="470" w:type="dxa"/>
            <w:tcBorders>
              <w:top w:val="nil"/>
              <w:left w:val="single" w:color="auto" w:sz="4" w:space="0"/>
              <w:bottom w:val="single" w:color="auto" w:sz="4" w:space="0"/>
              <w:right w:val="single" w:color="auto" w:sz="4" w:space="0"/>
            </w:tcBorders>
            <w:vAlign w:val="center"/>
          </w:tcPr>
          <w:p w14:paraId="2DD867F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4</w:t>
            </w:r>
          </w:p>
        </w:tc>
        <w:tc>
          <w:tcPr>
            <w:tcW w:w="1252" w:type="dxa"/>
            <w:tcBorders>
              <w:top w:val="nil"/>
              <w:left w:val="nil"/>
              <w:bottom w:val="single" w:color="auto" w:sz="4" w:space="0"/>
              <w:right w:val="single" w:color="auto" w:sz="4" w:space="0"/>
            </w:tcBorders>
            <w:vAlign w:val="center"/>
          </w:tcPr>
          <w:p w14:paraId="621891E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木樨园体校游泳馆项目</w:t>
            </w:r>
          </w:p>
        </w:tc>
        <w:tc>
          <w:tcPr>
            <w:tcW w:w="719" w:type="dxa"/>
            <w:tcBorders>
              <w:top w:val="nil"/>
              <w:left w:val="nil"/>
              <w:bottom w:val="single" w:color="auto" w:sz="4" w:space="0"/>
              <w:right w:val="single" w:color="auto" w:sz="4" w:space="0"/>
            </w:tcBorders>
            <w:vAlign w:val="center"/>
          </w:tcPr>
          <w:p w14:paraId="63A1D60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529BE01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40EFE81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北京市体育局</w:t>
            </w:r>
          </w:p>
        </w:tc>
        <w:tc>
          <w:tcPr>
            <w:tcW w:w="864" w:type="dxa"/>
            <w:tcBorders>
              <w:top w:val="nil"/>
              <w:left w:val="nil"/>
              <w:bottom w:val="single" w:color="auto" w:sz="4" w:space="0"/>
              <w:right w:val="single" w:color="auto" w:sz="4" w:space="0"/>
            </w:tcBorders>
            <w:vAlign w:val="center"/>
          </w:tcPr>
          <w:p w14:paraId="4EA83E4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丰台大红门街道</w:t>
            </w:r>
          </w:p>
        </w:tc>
        <w:tc>
          <w:tcPr>
            <w:tcW w:w="5911" w:type="dxa"/>
            <w:tcBorders>
              <w:top w:val="nil"/>
              <w:left w:val="nil"/>
              <w:bottom w:val="single" w:color="auto" w:sz="4" w:space="0"/>
              <w:right w:val="single" w:color="auto" w:sz="4" w:space="0"/>
            </w:tcBorders>
            <w:vAlign w:val="center"/>
          </w:tcPr>
          <w:p w14:paraId="276A2E4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拟建设成为融合国际标准训练场地、科技化体能监测中心、多维度运动康复专区的国家级智能游泳训练综合体，将全面承担起游泳、跳水、花样游泳的奥运备战重任。</w:t>
            </w:r>
          </w:p>
        </w:tc>
        <w:tc>
          <w:tcPr>
            <w:tcW w:w="870" w:type="dxa"/>
            <w:tcBorders>
              <w:top w:val="nil"/>
              <w:left w:val="nil"/>
              <w:bottom w:val="single" w:color="auto" w:sz="4" w:space="0"/>
              <w:right w:val="single" w:color="auto" w:sz="4" w:space="0"/>
            </w:tcBorders>
            <w:vAlign w:val="center"/>
          </w:tcPr>
          <w:p w14:paraId="2F7DC5F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731" w:type="dxa"/>
            <w:tcBorders>
              <w:top w:val="nil"/>
              <w:left w:val="nil"/>
              <w:bottom w:val="single" w:color="auto" w:sz="4" w:space="0"/>
              <w:right w:val="single" w:color="auto" w:sz="4" w:space="0"/>
            </w:tcBorders>
            <w:vAlign w:val="center"/>
          </w:tcPr>
          <w:p w14:paraId="071F5CD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920" w:type="dxa"/>
            <w:tcBorders>
              <w:top w:val="nil"/>
              <w:left w:val="nil"/>
              <w:bottom w:val="single" w:color="auto" w:sz="4" w:space="0"/>
              <w:right w:val="single" w:color="auto" w:sz="4" w:space="0"/>
            </w:tcBorders>
            <w:vAlign w:val="center"/>
          </w:tcPr>
          <w:p w14:paraId="593A212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26500</w:t>
            </w:r>
          </w:p>
        </w:tc>
      </w:tr>
      <w:tr w14:paraId="3115F8EA">
        <w:trPr>
          <w:trHeight w:val="1024" w:hRule="atLeast"/>
          <w:jc w:val="center"/>
        </w:trPr>
        <w:tc>
          <w:tcPr>
            <w:tcW w:w="470" w:type="dxa"/>
            <w:tcBorders>
              <w:top w:val="nil"/>
              <w:left w:val="single" w:color="auto" w:sz="4" w:space="0"/>
              <w:bottom w:val="single" w:color="auto" w:sz="4" w:space="0"/>
              <w:right w:val="single" w:color="auto" w:sz="4" w:space="0"/>
            </w:tcBorders>
            <w:vAlign w:val="center"/>
          </w:tcPr>
          <w:p w14:paraId="3A92FFBF">
            <w:pPr>
              <w:widowControl/>
              <w:spacing w:after="0" w:line="280" w:lineRule="exact"/>
              <w:ind w:firstLine="0" w:firstLineChars="0"/>
              <w:rPr>
                <w:rFonts w:hint="eastAsia" w:ascii="仿宋_GB2312" w:hAnsi="宋体" w:cs="宋体"/>
                <w:kern w:val="0"/>
                <w:sz w:val="24"/>
                <w:szCs w:val="24"/>
              </w:rPr>
            </w:pPr>
            <w:r>
              <w:rPr>
                <w:rFonts w:hint="eastAsia" w:ascii="仿宋_GB2312" w:hAnsi="宋体" w:cs="宋体"/>
                <w:kern w:val="0"/>
                <w:sz w:val="24"/>
                <w:szCs w:val="24"/>
              </w:rPr>
              <w:t>5</w:t>
            </w:r>
          </w:p>
        </w:tc>
        <w:tc>
          <w:tcPr>
            <w:tcW w:w="1252" w:type="dxa"/>
            <w:tcBorders>
              <w:top w:val="nil"/>
              <w:left w:val="nil"/>
              <w:bottom w:val="single" w:color="auto" w:sz="4" w:space="0"/>
              <w:right w:val="single" w:color="auto" w:sz="4" w:space="0"/>
            </w:tcBorders>
            <w:vAlign w:val="center"/>
          </w:tcPr>
          <w:p w14:paraId="346A1AF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北京网球中心中央网球场及2号馆更新改造项目</w:t>
            </w:r>
          </w:p>
        </w:tc>
        <w:tc>
          <w:tcPr>
            <w:tcW w:w="719" w:type="dxa"/>
            <w:tcBorders>
              <w:top w:val="nil"/>
              <w:left w:val="nil"/>
              <w:bottom w:val="single" w:color="auto" w:sz="4" w:space="0"/>
              <w:right w:val="single" w:color="auto" w:sz="4" w:space="0"/>
            </w:tcBorders>
            <w:vAlign w:val="center"/>
          </w:tcPr>
          <w:p w14:paraId="6598D0F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3294804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0609C54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北京市体育局</w:t>
            </w:r>
          </w:p>
        </w:tc>
        <w:tc>
          <w:tcPr>
            <w:tcW w:w="864" w:type="dxa"/>
            <w:tcBorders>
              <w:top w:val="nil"/>
              <w:left w:val="nil"/>
              <w:bottom w:val="single" w:color="auto" w:sz="4" w:space="0"/>
              <w:right w:val="single" w:color="auto" w:sz="4" w:space="0"/>
            </w:tcBorders>
            <w:vAlign w:val="center"/>
          </w:tcPr>
          <w:p w14:paraId="3FE262C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丰台区大红门街道</w:t>
            </w:r>
          </w:p>
        </w:tc>
        <w:tc>
          <w:tcPr>
            <w:tcW w:w="5911" w:type="dxa"/>
            <w:tcBorders>
              <w:top w:val="nil"/>
              <w:left w:val="nil"/>
              <w:bottom w:val="single" w:color="auto" w:sz="4" w:space="0"/>
              <w:right w:val="single" w:color="auto" w:sz="4" w:space="0"/>
            </w:tcBorders>
            <w:vAlign w:val="center"/>
          </w:tcPr>
          <w:p w14:paraId="6AF43D4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中央球场整体更新改造，2号网球馆局部3-5层更新改造。总建筑面积3.7924万平方米，其中地上建筑面积2.2824万平方米、地下建筑面积1.51万平方米。保留原有部分建筑结构，改造后建成室内网球场及附属用房、办公用房、运动员宿舍、停车场等。</w:t>
            </w:r>
          </w:p>
        </w:tc>
        <w:tc>
          <w:tcPr>
            <w:tcW w:w="870" w:type="dxa"/>
            <w:tcBorders>
              <w:top w:val="nil"/>
              <w:left w:val="nil"/>
              <w:bottom w:val="single" w:color="auto" w:sz="4" w:space="0"/>
              <w:right w:val="single" w:color="auto" w:sz="4" w:space="0"/>
            </w:tcBorders>
            <w:vAlign w:val="center"/>
          </w:tcPr>
          <w:p w14:paraId="36E0274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731" w:type="dxa"/>
            <w:tcBorders>
              <w:top w:val="nil"/>
              <w:left w:val="nil"/>
              <w:bottom w:val="single" w:color="auto" w:sz="4" w:space="0"/>
              <w:right w:val="single" w:color="auto" w:sz="4" w:space="0"/>
            </w:tcBorders>
            <w:vAlign w:val="center"/>
          </w:tcPr>
          <w:p w14:paraId="504FE87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2031年</w:t>
            </w:r>
          </w:p>
        </w:tc>
        <w:tc>
          <w:tcPr>
            <w:tcW w:w="920" w:type="dxa"/>
            <w:tcBorders>
              <w:top w:val="nil"/>
              <w:left w:val="nil"/>
              <w:bottom w:val="single" w:color="auto" w:sz="4" w:space="0"/>
              <w:right w:val="single" w:color="auto" w:sz="4" w:space="0"/>
            </w:tcBorders>
            <w:vAlign w:val="center"/>
          </w:tcPr>
          <w:p w14:paraId="2496325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36500</w:t>
            </w:r>
          </w:p>
        </w:tc>
      </w:tr>
      <w:tr w14:paraId="3852A254">
        <w:trPr>
          <w:trHeight w:val="3124" w:hRule="atLeast"/>
          <w:jc w:val="center"/>
        </w:trPr>
        <w:tc>
          <w:tcPr>
            <w:tcW w:w="470" w:type="dxa"/>
            <w:tcBorders>
              <w:top w:val="nil"/>
              <w:left w:val="single" w:color="auto" w:sz="4" w:space="0"/>
              <w:bottom w:val="single" w:color="auto" w:sz="4" w:space="0"/>
              <w:right w:val="single" w:color="auto" w:sz="4" w:space="0"/>
            </w:tcBorders>
            <w:vAlign w:val="center"/>
          </w:tcPr>
          <w:p w14:paraId="32FB0386">
            <w:pPr>
              <w:widowControl/>
              <w:spacing w:after="0" w:line="280" w:lineRule="exact"/>
              <w:ind w:firstLine="0" w:firstLineChars="0"/>
              <w:rPr>
                <w:rFonts w:hint="eastAsia" w:ascii="仿宋_GB2312" w:hAnsi="宋体" w:cs="宋体"/>
                <w:kern w:val="0"/>
                <w:sz w:val="24"/>
                <w:szCs w:val="24"/>
              </w:rPr>
            </w:pPr>
            <w:r>
              <w:rPr>
                <w:rFonts w:hint="eastAsia" w:ascii="仿宋_GB2312" w:hAnsi="宋体" w:cs="宋体"/>
                <w:kern w:val="0"/>
                <w:sz w:val="24"/>
                <w:szCs w:val="24"/>
              </w:rPr>
              <w:t>6</w:t>
            </w:r>
          </w:p>
        </w:tc>
        <w:tc>
          <w:tcPr>
            <w:tcW w:w="1252" w:type="dxa"/>
            <w:tcBorders>
              <w:top w:val="nil"/>
              <w:left w:val="nil"/>
              <w:bottom w:val="single" w:color="auto" w:sz="4" w:space="0"/>
              <w:right w:val="single" w:color="auto" w:sz="4" w:space="0"/>
            </w:tcBorders>
            <w:vAlign w:val="center"/>
          </w:tcPr>
          <w:p w14:paraId="62C2EF5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北京市青少年篮球、排球青训基地项目</w:t>
            </w:r>
          </w:p>
        </w:tc>
        <w:tc>
          <w:tcPr>
            <w:tcW w:w="719" w:type="dxa"/>
            <w:tcBorders>
              <w:top w:val="nil"/>
              <w:left w:val="nil"/>
              <w:bottom w:val="single" w:color="auto" w:sz="4" w:space="0"/>
              <w:right w:val="single" w:color="auto" w:sz="4" w:space="0"/>
            </w:tcBorders>
            <w:vAlign w:val="center"/>
          </w:tcPr>
          <w:p w14:paraId="6B64B74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11D7A3A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18AE834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北京市体育局</w:t>
            </w:r>
          </w:p>
        </w:tc>
        <w:tc>
          <w:tcPr>
            <w:tcW w:w="864" w:type="dxa"/>
            <w:tcBorders>
              <w:top w:val="nil"/>
              <w:left w:val="nil"/>
              <w:bottom w:val="single" w:color="auto" w:sz="4" w:space="0"/>
              <w:right w:val="single" w:color="auto" w:sz="4" w:space="0"/>
            </w:tcBorders>
            <w:vAlign w:val="center"/>
          </w:tcPr>
          <w:p w14:paraId="79EE2DE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丰台区和义街道</w:t>
            </w:r>
          </w:p>
        </w:tc>
        <w:tc>
          <w:tcPr>
            <w:tcW w:w="5911" w:type="dxa"/>
            <w:tcBorders>
              <w:top w:val="nil"/>
              <w:left w:val="nil"/>
              <w:bottom w:val="single" w:color="auto" w:sz="4" w:space="0"/>
              <w:right w:val="single" w:color="auto" w:sz="4" w:space="0"/>
            </w:tcBorders>
            <w:vAlign w:val="center"/>
          </w:tcPr>
          <w:p w14:paraId="4164CAB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该项目东至丰台区界，南至规划绿地、西至大红门旧村改造项目用地、北至东罗园村权属用地，项目计划分两期实施，一期约3公顷（市体育局权属用地），总建筑规模45396</w:t>
            </w:r>
            <w:r>
              <w:rPr>
                <w:rFonts w:hint="eastAsia" w:ascii="微软雅黑" w:hAnsi="微软雅黑" w:eastAsia="微软雅黑" w:cs="微软雅黑"/>
                <w:kern w:val="0"/>
                <w:sz w:val="24"/>
                <w:szCs w:val="24"/>
              </w:rPr>
              <w:t>㎡</w:t>
            </w:r>
            <w:r>
              <w:rPr>
                <w:rFonts w:hint="eastAsia" w:ascii="仿宋_GB2312" w:hAnsi="宋体" w:cs="宋体"/>
                <w:kern w:val="0"/>
                <w:sz w:val="24"/>
                <w:szCs w:val="24"/>
              </w:rPr>
              <w:t>，其中地上36250</w:t>
            </w:r>
            <w:r>
              <w:rPr>
                <w:rFonts w:hint="eastAsia" w:ascii="微软雅黑" w:hAnsi="微软雅黑" w:eastAsia="微软雅黑" w:cs="微软雅黑"/>
                <w:kern w:val="0"/>
                <w:sz w:val="24"/>
                <w:szCs w:val="24"/>
              </w:rPr>
              <w:t>㎡</w:t>
            </w:r>
            <w:r>
              <w:rPr>
                <w:rFonts w:hint="eastAsia" w:ascii="仿宋_GB2312" w:hAnsi="宋体" w:cs="宋体"/>
                <w:kern w:val="0"/>
                <w:sz w:val="24"/>
                <w:szCs w:val="24"/>
              </w:rPr>
              <w:t>（场馆17575</w:t>
            </w:r>
            <w:r>
              <w:rPr>
                <w:rFonts w:hint="eastAsia" w:ascii="微软雅黑" w:hAnsi="微软雅黑" w:eastAsia="微软雅黑" w:cs="微软雅黑"/>
                <w:kern w:val="0"/>
                <w:sz w:val="24"/>
                <w:szCs w:val="24"/>
              </w:rPr>
              <w:t>㎡</w:t>
            </w:r>
            <w:r>
              <w:rPr>
                <w:rFonts w:hint="eastAsia" w:ascii="仿宋_GB2312" w:hAnsi="宋体" w:cs="宋体"/>
                <w:kern w:val="0"/>
                <w:sz w:val="24"/>
                <w:szCs w:val="24"/>
              </w:rPr>
              <w:t>运动员宿舍及配套18675</w:t>
            </w:r>
            <w:r>
              <w:rPr>
                <w:rFonts w:hint="eastAsia" w:ascii="微软雅黑" w:hAnsi="微软雅黑" w:eastAsia="微软雅黑" w:cs="微软雅黑"/>
                <w:kern w:val="0"/>
                <w:sz w:val="24"/>
                <w:szCs w:val="24"/>
              </w:rPr>
              <w:t>㎡</w:t>
            </w:r>
            <w:r>
              <w:rPr>
                <w:rFonts w:hint="eastAsia" w:ascii="仿宋_GB2312" w:hAnsi="宋体" w:cs="宋体"/>
                <w:kern w:val="0"/>
                <w:sz w:val="24"/>
                <w:szCs w:val="24"/>
              </w:rPr>
              <w:t>），地下9146</w:t>
            </w:r>
            <w:r>
              <w:rPr>
                <w:rFonts w:hint="eastAsia" w:ascii="微软雅黑" w:hAnsi="微软雅黑" w:eastAsia="微软雅黑" w:cs="微软雅黑"/>
                <w:kern w:val="0"/>
                <w:sz w:val="24"/>
                <w:szCs w:val="24"/>
              </w:rPr>
              <w:t>㎡</w:t>
            </w:r>
            <w:r>
              <w:rPr>
                <w:rFonts w:hint="eastAsia" w:ascii="仿宋_GB2312" w:hAnsi="宋体" w:cs="宋体"/>
                <w:kern w:val="0"/>
                <w:sz w:val="24"/>
                <w:szCs w:val="24"/>
              </w:rPr>
              <w:t>（食堂及停车），共22片场地。二期约4.67公顷总建筑规模27317</w:t>
            </w:r>
            <w:r>
              <w:rPr>
                <w:rFonts w:hint="eastAsia" w:ascii="微软雅黑" w:hAnsi="微软雅黑" w:eastAsia="微软雅黑" w:cs="微软雅黑"/>
                <w:kern w:val="0"/>
                <w:sz w:val="24"/>
                <w:szCs w:val="24"/>
              </w:rPr>
              <w:t>㎡</w:t>
            </w:r>
            <w:r>
              <w:rPr>
                <w:rFonts w:hint="eastAsia" w:ascii="仿宋_GB2312" w:hAnsi="宋体" w:cs="宋体"/>
                <w:kern w:val="0"/>
                <w:sz w:val="24"/>
                <w:szCs w:val="24"/>
              </w:rPr>
              <w:t>，其中地上19297</w:t>
            </w:r>
            <w:r>
              <w:rPr>
                <w:rFonts w:hint="eastAsia" w:ascii="微软雅黑" w:hAnsi="微软雅黑" w:eastAsia="微软雅黑" w:cs="微软雅黑"/>
                <w:kern w:val="0"/>
                <w:sz w:val="24"/>
                <w:szCs w:val="24"/>
              </w:rPr>
              <w:t>㎡</w:t>
            </w:r>
            <w:r>
              <w:rPr>
                <w:rFonts w:hint="eastAsia" w:ascii="仿宋_GB2312" w:hAnsi="宋体" w:cs="宋体"/>
                <w:kern w:val="0"/>
                <w:sz w:val="24"/>
                <w:szCs w:val="24"/>
              </w:rPr>
              <w:t>（场馆10297</w:t>
            </w:r>
            <w:r>
              <w:rPr>
                <w:rFonts w:hint="eastAsia" w:ascii="微软雅黑" w:hAnsi="微软雅黑" w:eastAsia="微软雅黑" w:cs="微软雅黑"/>
                <w:kern w:val="0"/>
                <w:sz w:val="24"/>
                <w:szCs w:val="24"/>
              </w:rPr>
              <w:t>㎡</w:t>
            </w:r>
            <w:r>
              <w:rPr>
                <w:rFonts w:hint="eastAsia" w:ascii="仿宋_GB2312" w:hAnsi="宋体" w:cs="宋体"/>
                <w:kern w:val="0"/>
                <w:sz w:val="24"/>
                <w:szCs w:val="24"/>
              </w:rPr>
              <w:t>，交流中心9000）</w:t>
            </w:r>
            <w:r>
              <w:rPr>
                <w:rFonts w:hint="eastAsia" w:ascii="微软雅黑" w:hAnsi="微软雅黑" w:eastAsia="微软雅黑" w:cs="微软雅黑"/>
                <w:kern w:val="0"/>
                <w:sz w:val="24"/>
                <w:szCs w:val="24"/>
              </w:rPr>
              <w:t>㎡</w:t>
            </w:r>
            <w:r>
              <w:rPr>
                <w:rFonts w:hint="eastAsia" w:ascii="仿宋_GB2312" w:hAnsi="宋体" w:cs="宋体"/>
                <w:kern w:val="0"/>
                <w:sz w:val="24"/>
                <w:szCs w:val="24"/>
              </w:rPr>
              <w:t>，地下8020</w:t>
            </w:r>
            <w:r>
              <w:rPr>
                <w:rFonts w:hint="eastAsia" w:ascii="微软雅黑" w:hAnsi="微软雅黑" w:eastAsia="微软雅黑" w:cs="微软雅黑"/>
                <w:kern w:val="0"/>
                <w:sz w:val="24"/>
                <w:szCs w:val="24"/>
              </w:rPr>
              <w:t>㎡</w:t>
            </w:r>
            <w:r>
              <w:rPr>
                <w:rFonts w:hint="eastAsia" w:ascii="仿宋_GB2312" w:hAnsi="宋体" w:cs="宋体"/>
                <w:kern w:val="0"/>
                <w:sz w:val="24"/>
                <w:szCs w:val="24"/>
              </w:rPr>
              <w:t>（停车场及设备房），含一座3000席比赛馆、400米田径场。</w:t>
            </w:r>
          </w:p>
        </w:tc>
        <w:tc>
          <w:tcPr>
            <w:tcW w:w="870" w:type="dxa"/>
            <w:tcBorders>
              <w:top w:val="nil"/>
              <w:left w:val="nil"/>
              <w:bottom w:val="single" w:color="auto" w:sz="4" w:space="0"/>
              <w:right w:val="single" w:color="auto" w:sz="4" w:space="0"/>
            </w:tcBorders>
            <w:vAlign w:val="center"/>
          </w:tcPr>
          <w:p w14:paraId="52C1C4C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2029年</w:t>
            </w:r>
          </w:p>
        </w:tc>
        <w:tc>
          <w:tcPr>
            <w:tcW w:w="731" w:type="dxa"/>
            <w:tcBorders>
              <w:top w:val="nil"/>
              <w:left w:val="nil"/>
              <w:bottom w:val="single" w:color="auto" w:sz="4" w:space="0"/>
              <w:right w:val="single" w:color="auto" w:sz="4" w:space="0"/>
            </w:tcBorders>
            <w:vAlign w:val="center"/>
          </w:tcPr>
          <w:p w14:paraId="6EA7725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28D96DB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54873</w:t>
            </w:r>
          </w:p>
        </w:tc>
      </w:tr>
      <w:tr w14:paraId="1A32A327">
        <w:trPr>
          <w:trHeight w:val="411" w:hRule="atLeast"/>
          <w:jc w:val="center"/>
        </w:trPr>
        <w:tc>
          <w:tcPr>
            <w:tcW w:w="13112" w:type="dxa"/>
            <w:gridSpan w:val="9"/>
            <w:tcBorders>
              <w:top w:val="single" w:color="auto" w:sz="4" w:space="0"/>
              <w:left w:val="single" w:color="auto" w:sz="4" w:space="0"/>
              <w:bottom w:val="single" w:color="auto" w:sz="4" w:space="0"/>
              <w:right w:val="single" w:color="auto" w:sz="4" w:space="0"/>
            </w:tcBorders>
            <w:vAlign w:val="center"/>
          </w:tcPr>
          <w:p w14:paraId="552A47BB">
            <w:pPr>
              <w:widowControl/>
              <w:spacing w:after="0" w:line="280" w:lineRule="exact"/>
              <w:ind w:firstLine="0" w:firstLineChars="0"/>
              <w:jc w:val="center"/>
              <w:rPr>
                <w:rFonts w:hint="eastAsia" w:ascii="仿宋_GB2312" w:hAnsi="宋体" w:cs="宋体"/>
                <w:b/>
                <w:bCs/>
                <w:kern w:val="0"/>
                <w:sz w:val="24"/>
                <w:szCs w:val="24"/>
              </w:rPr>
            </w:pPr>
            <w:r>
              <w:rPr>
                <w:rFonts w:hint="eastAsia" w:ascii="仿宋_GB2312" w:hAnsi="宋体" w:cs="宋体"/>
                <w:b/>
                <w:bCs/>
                <w:kern w:val="0"/>
                <w:sz w:val="24"/>
                <w:szCs w:val="24"/>
              </w:rPr>
              <w:t>西山永定河文化带（丰台段）</w:t>
            </w:r>
          </w:p>
        </w:tc>
        <w:tc>
          <w:tcPr>
            <w:tcW w:w="920" w:type="dxa"/>
            <w:tcBorders>
              <w:top w:val="nil"/>
              <w:left w:val="nil"/>
              <w:bottom w:val="single" w:color="auto" w:sz="4" w:space="0"/>
              <w:right w:val="single" w:color="auto" w:sz="4" w:space="0"/>
            </w:tcBorders>
            <w:noWrap/>
            <w:vAlign w:val="center"/>
          </w:tcPr>
          <w:p w14:paraId="520EBB42">
            <w:pPr>
              <w:widowControl/>
              <w:spacing w:after="0" w:line="280" w:lineRule="exact"/>
              <w:ind w:firstLine="0" w:firstLineChars="0"/>
              <w:rPr>
                <w:rFonts w:hint="eastAsia" w:ascii="仿宋_GB2312" w:hAnsi="宋体" w:cs="宋体"/>
                <w:kern w:val="0"/>
                <w:sz w:val="24"/>
                <w:szCs w:val="24"/>
              </w:rPr>
            </w:pPr>
            <w:r>
              <w:rPr>
                <w:rFonts w:hint="eastAsia" w:ascii="仿宋_GB2312" w:hAnsi="宋体" w:cs="宋体"/>
                <w:kern w:val="0"/>
                <w:sz w:val="24"/>
                <w:szCs w:val="24"/>
              </w:rPr>
              <w:t>　</w:t>
            </w:r>
          </w:p>
        </w:tc>
      </w:tr>
      <w:tr w14:paraId="572242E8">
        <w:trPr>
          <w:trHeight w:val="700" w:hRule="atLeast"/>
          <w:jc w:val="center"/>
        </w:trPr>
        <w:tc>
          <w:tcPr>
            <w:tcW w:w="470" w:type="dxa"/>
            <w:tcBorders>
              <w:top w:val="nil"/>
              <w:left w:val="single" w:color="auto" w:sz="4" w:space="0"/>
              <w:bottom w:val="single" w:color="auto" w:sz="4" w:space="0"/>
              <w:right w:val="single" w:color="auto" w:sz="4" w:space="0"/>
            </w:tcBorders>
            <w:vAlign w:val="center"/>
          </w:tcPr>
          <w:p w14:paraId="23A9D04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7</w:t>
            </w:r>
          </w:p>
        </w:tc>
        <w:tc>
          <w:tcPr>
            <w:tcW w:w="1252" w:type="dxa"/>
            <w:tcBorders>
              <w:top w:val="nil"/>
              <w:left w:val="nil"/>
              <w:bottom w:val="single" w:color="auto" w:sz="4" w:space="0"/>
              <w:right w:val="single" w:color="auto" w:sz="4" w:space="0"/>
            </w:tcBorders>
            <w:vAlign w:val="center"/>
          </w:tcPr>
          <w:p w14:paraId="44A82E1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卢沟桥文化公园项目</w:t>
            </w:r>
          </w:p>
        </w:tc>
        <w:tc>
          <w:tcPr>
            <w:tcW w:w="719" w:type="dxa"/>
            <w:tcBorders>
              <w:top w:val="nil"/>
              <w:left w:val="nil"/>
              <w:bottom w:val="single" w:color="auto" w:sz="4" w:space="0"/>
              <w:right w:val="single" w:color="auto" w:sz="4" w:space="0"/>
            </w:tcBorders>
            <w:vAlign w:val="center"/>
          </w:tcPr>
          <w:p w14:paraId="02FC798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2ACEF5B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丰台区文旅局</w:t>
            </w:r>
          </w:p>
        </w:tc>
        <w:tc>
          <w:tcPr>
            <w:tcW w:w="1287" w:type="dxa"/>
            <w:tcBorders>
              <w:top w:val="nil"/>
              <w:left w:val="nil"/>
              <w:bottom w:val="single" w:color="auto" w:sz="4" w:space="0"/>
              <w:right w:val="single" w:color="auto" w:sz="4" w:space="0"/>
            </w:tcBorders>
            <w:vAlign w:val="center"/>
          </w:tcPr>
          <w:p w14:paraId="60B5B79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丰台区城管委、丰台区水务局、丰台区园林绿化局、卢沟桥文化发展中心、丰台文旅集团等</w:t>
            </w:r>
          </w:p>
        </w:tc>
        <w:tc>
          <w:tcPr>
            <w:tcW w:w="864" w:type="dxa"/>
            <w:tcBorders>
              <w:top w:val="nil"/>
              <w:left w:val="nil"/>
              <w:bottom w:val="single" w:color="auto" w:sz="4" w:space="0"/>
              <w:right w:val="single" w:color="auto" w:sz="4" w:space="0"/>
            </w:tcBorders>
            <w:vAlign w:val="center"/>
          </w:tcPr>
          <w:p w14:paraId="364FFBB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丰台区宛平街道卢沟桥－宛平城片区</w:t>
            </w:r>
          </w:p>
        </w:tc>
        <w:tc>
          <w:tcPr>
            <w:tcW w:w="5911" w:type="dxa"/>
            <w:tcBorders>
              <w:top w:val="nil"/>
              <w:left w:val="nil"/>
              <w:bottom w:val="single" w:color="auto" w:sz="4" w:space="0"/>
              <w:right w:val="single" w:color="auto" w:sz="4" w:space="0"/>
            </w:tcBorders>
            <w:vAlign w:val="center"/>
          </w:tcPr>
          <w:p w14:paraId="35792EC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规划提升范围约358公顷，对标国家5A级旅游景区标准，对中国人民抗日战争纪念馆、卢沟桥景区、宛平城、晓月湖公园、中国人民抗日战争纪念雕塑园及其附属公共区域、晓月岛及宛平北御道公园等整体打造提升。依托现有国家4A级旅游景区中国人民抗日战争纪念馆和国家3A级旅游景区中国人民抗日战争纪念雕塑园，整合卢沟桥－宛平城周边空间、文化旅游、生态等资源，全面提升卢沟桥文化公园基础设施、旅游配套服务设施和景观水平，实现“馆桥城园岛河”一体化运营。力争实现国家5A级旅游景区创建。</w:t>
            </w:r>
            <w:r>
              <w:rPr>
                <w:rFonts w:hint="eastAsia" w:ascii="仿宋_GB2312" w:hAnsi="宋体" w:cs="宋体"/>
                <w:kern w:val="0"/>
                <w:sz w:val="24"/>
                <w:szCs w:val="24"/>
              </w:rPr>
              <w:br w:type="textWrapping"/>
            </w:r>
            <w:r>
              <w:rPr>
                <w:rFonts w:hint="eastAsia" w:ascii="仿宋_GB2312" w:hAnsi="宋体" w:cs="宋体"/>
                <w:kern w:val="0"/>
                <w:sz w:val="24"/>
                <w:szCs w:val="24"/>
              </w:rPr>
              <w:t>其中，卢沟桥-宛平城城市更新项目（一期）投资额2个亿，建设内容包括征地、低效楼宇与平房院落更新改造、公共空间改造(含滨水空间、绿化、道路、管线、环境整治等)、旅游基础设施、地下车库建设等。</w:t>
            </w:r>
          </w:p>
        </w:tc>
        <w:tc>
          <w:tcPr>
            <w:tcW w:w="870" w:type="dxa"/>
            <w:tcBorders>
              <w:top w:val="nil"/>
              <w:left w:val="nil"/>
              <w:bottom w:val="single" w:color="auto" w:sz="4" w:space="0"/>
              <w:right w:val="single" w:color="auto" w:sz="4" w:space="0"/>
            </w:tcBorders>
            <w:vAlign w:val="center"/>
          </w:tcPr>
          <w:p w14:paraId="0503FC6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04F5F3A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6A90FC0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591615</w:t>
            </w:r>
          </w:p>
        </w:tc>
      </w:tr>
      <w:tr w14:paraId="3CADA0EB">
        <w:trPr>
          <w:trHeight w:val="682" w:hRule="atLeast"/>
          <w:jc w:val="center"/>
        </w:trPr>
        <w:tc>
          <w:tcPr>
            <w:tcW w:w="470" w:type="dxa"/>
            <w:tcBorders>
              <w:top w:val="nil"/>
              <w:left w:val="single" w:color="auto" w:sz="4" w:space="0"/>
              <w:bottom w:val="single" w:color="auto" w:sz="4" w:space="0"/>
              <w:right w:val="single" w:color="auto" w:sz="4" w:space="0"/>
            </w:tcBorders>
            <w:vAlign w:val="center"/>
          </w:tcPr>
          <w:p w14:paraId="586DA35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8</w:t>
            </w:r>
          </w:p>
        </w:tc>
        <w:tc>
          <w:tcPr>
            <w:tcW w:w="1252" w:type="dxa"/>
            <w:tcBorders>
              <w:top w:val="nil"/>
              <w:left w:val="nil"/>
              <w:bottom w:val="single" w:color="auto" w:sz="4" w:space="0"/>
              <w:right w:val="single" w:color="auto" w:sz="4" w:space="0"/>
            </w:tcBorders>
            <w:vAlign w:val="center"/>
          </w:tcPr>
          <w:p w14:paraId="0120DB8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宛平历史文化街区综合整治提升项目（疏整促三期）</w:t>
            </w:r>
          </w:p>
        </w:tc>
        <w:tc>
          <w:tcPr>
            <w:tcW w:w="719" w:type="dxa"/>
            <w:tcBorders>
              <w:top w:val="nil"/>
              <w:left w:val="nil"/>
              <w:bottom w:val="single" w:color="auto" w:sz="4" w:space="0"/>
              <w:right w:val="single" w:color="auto" w:sz="4" w:space="0"/>
            </w:tcBorders>
            <w:vAlign w:val="center"/>
          </w:tcPr>
          <w:p w14:paraId="6492EBD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736D6A9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1287" w:type="dxa"/>
            <w:tcBorders>
              <w:top w:val="nil"/>
              <w:left w:val="nil"/>
              <w:bottom w:val="single" w:color="auto" w:sz="4" w:space="0"/>
              <w:right w:val="single" w:color="auto" w:sz="4" w:space="0"/>
            </w:tcBorders>
            <w:vAlign w:val="center"/>
          </w:tcPr>
          <w:p w14:paraId="47A035D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864" w:type="dxa"/>
            <w:tcBorders>
              <w:top w:val="nil"/>
              <w:left w:val="nil"/>
              <w:bottom w:val="single" w:color="auto" w:sz="4" w:space="0"/>
              <w:right w:val="single" w:color="auto" w:sz="4" w:space="0"/>
            </w:tcBorders>
            <w:vAlign w:val="center"/>
          </w:tcPr>
          <w:p w14:paraId="683D8E0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宛平城</w:t>
            </w:r>
          </w:p>
        </w:tc>
        <w:tc>
          <w:tcPr>
            <w:tcW w:w="5911" w:type="dxa"/>
            <w:tcBorders>
              <w:top w:val="nil"/>
              <w:left w:val="nil"/>
              <w:bottom w:val="single" w:color="auto" w:sz="4" w:space="0"/>
              <w:right w:val="single" w:color="auto" w:sz="4" w:space="0"/>
            </w:tcBorders>
            <w:vAlign w:val="center"/>
          </w:tcPr>
          <w:p w14:paraId="1C7EB37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东北西北区域城环房屋整治修缮，打通宛平城北部城环，涉及建筑整治提升面积4420平方米，景观整治提升面积4400平方米。</w:t>
            </w:r>
          </w:p>
        </w:tc>
        <w:tc>
          <w:tcPr>
            <w:tcW w:w="870" w:type="dxa"/>
            <w:tcBorders>
              <w:top w:val="nil"/>
              <w:left w:val="nil"/>
              <w:bottom w:val="single" w:color="auto" w:sz="4" w:space="0"/>
              <w:right w:val="single" w:color="auto" w:sz="4" w:space="0"/>
            </w:tcBorders>
            <w:vAlign w:val="center"/>
          </w:tcPr>
          <w:p w14:paraId="43B74E3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6A40957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920" w:type="dxa"/>
            <w:tcBorders>
              <w:top w:val="nil"/>
              <w:left w:val="nil"/>
              <w:bottom w:val="single" w:color="auto" w:sz="4" w:space="0"/>
              <w:right w:val="single" w:color="auto" w:sz="4" w:space="0"/>
            </w:tcBorders>
            <w:vAlign w:val="center"/>
          </w:tcPr>
          <w:p w14:paraId="4AB27E8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3700</w:t>
            </w:r>
          </w:p>
        </w:tc>
      </w:tr>
      <w:tr w14:paraId="4BB1456D">
        <w:trPr>
          <w:trHeight w:val="878" w:hRule="atLeast"/>
          <w:jc w:val="center"/>
        </w:trPr>
        <w:tc>
          <w:tcPr>
            <w:tcW w:w="470" w:type="dxa"/>
            <w:tcBorders>
              <w:top w:val="nil"/>
              <w:left w:val="single" w:color="auto" w:sz="4" w:space="0"/>
              <w:bottom w:val="single" w:color="auto" w:sz="4" w:space="0"/>
              <w:right w:val="single" w:color="auto" w:sz="4" w:space="0"/>
            </w:tcBorders>
            <w:vAlign w:val="center"/>
          </w:tcPr>
          <w:p w14:paraId="6C032BF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9</w:t>
            </w:r>
          </w:p>
        </w:tc>
        <w:tc>
          <w:tcPr>
            <w:tcW w:w="1252" w:type="dxa"/>
            <w:tcBorders>
              <w:top w:val="nil"/>
              <w:left w:val="nil"/>
              <w:bottom w:val="single" w:color="auto" w:sz="4" w:space="0"/>
              <w:right w:val="single" w:color="auto" w:sz="4" w:space="0"/>
            </w:tcBorders>
            <w:vAlign w:val="center"/>
          </w:tcPr>
          <w:p w14:paraId="50BA7F5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宛平城数字化保护利用项目</w:t>
            </w:r>
          </w:p>
        </w:tc>
        <w:tc>
          <w:tcPr>
            <w:tcW w:w="719" w:type="dxa"/>
            <w:tcBorders>
              <w:top w:val="nil"/>
              <w:left w:val="nil"/>
              <w:bottom w:val="single" w:color="auto" w:sz="4" w:space="0"/>
              <w:right w:val="single" w:color="auto" w:sz="4" w:space="0"/>
            </w:tcBorders>
            <w:vAlign w:val="center"/>
          </w:tcPr>
          <w:p w14:paraId="1DB419E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2153737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卢沟桥文化发展中心</w:t>
            </w:r>
          </w:p>
        </w:tc>
        <w:tc>
          <w:tcPr>
            <w:tcW w:w="1287" w:type="dxa"/>
            <w:tcBorders>
              <w:top w:val="nil"/>
              <w:left w:val="nil"/>
              <w:bottom w:val="single" w:color="auto" w:sz="4" w:space="0"/>
              <w:right w:val="single" w:color="auto" w:sz="4" w:space="0"/>
            </w:tcBorders>
            <w:vAlign w:val="center"/>
          </w:tcPr>
          <w:p w14:paraId="198151F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卢沟桥文化发展中心</w:t>
            </w:r>
          </w:p>
        </w:tc>
        <w:tc>
          <w:tcPr>
            <w:tcW w:w="864" w:type="dxa"/>
            <w:tcBorders>
              <w:top w:val="nil"/>
              <w:left w:val="nil"/>
              <w:bottom w:val="single" w:color="auto" w:sz="4" w:space="0"/>
              <w:right w:val="single" w:color="auto" w:sz="4" w:space="0"/>
            </w:tcBorders>
            <w:vAlign w:val="center"/>
          </w:tcPr>
          <w:p w14:paraId="1131E08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宛平城片区</w:t>
            </w:r>
          </w:p>
        </w:tc>
        <w:tc>
          <w:tcPr>
            <w:tcW w:w="5911" w:type="dxa"/>
            <w:tcBorders>
              <w:top w:val="nil"/>
              <w:left w:val="nil"/>
              <w:bottom w:val="single" w:color="auto" w:sz="4" w:space="0"/>
              <w:right w:val="single" w:color="auto" w:sz="4" w:space="0"/>
            </w:tcBorders>
            <w:vAlign w:val="center"/>
          </w:tcPr>
          <w:p w14:paraId="41802BB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通过摄影测量技术获取宛平城的影像数据，对其进行三维重建、数字化记录与建档。有利于文物数据保存、文物研究、数据分析、价值挖掘等。</w:t>
            </w:r>
          </w:p>
        </w:tc>
        <w:tc>
          <w:tcPr>
            <w:tcW w:w="870" w:type="dxa"/>
            <w:tcBorders>
              <w:top w:val="nil"/>
              <w:left w:val="nil"/>
              <w:bottom w:val="single" w:color="auto" w:sz="4" w:space="0"/>
              <w:right w:val="single" w:color="auto" w:sz="4" w:space="0"/>
            </w:tcBorders>
            <w:vAlign w:val="center"/>
          </w:tcPr>
          <w:p w14:paraId="6D19983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09F1718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920" w:type="dxa"/>
            <w:tcBorders>
              <w:top w:val="nil"/>
              <w:left w:val="nil"/>
              <w:bottom w:val="single" w:color="auto" w:sz="4" w:space="0"/>
              <w:right w:val="single" w:color="auto" w:sz="4" w:space="0"/>
            </w:tcBorders>
            <w:vAlign w:val="center"/>
          </w:tcPr>
          <w:p w14:paraId="0E9D82D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541.34</w:t>
            </w:r>
          </w:p>
        </w:tc>
      </w:tr>
      <w:tr w14:paraId="2EF640BA">
        <w:trPr>
          <w:trHeight w:val="800" w:hRule="atLeast"/>
          <w:jc w:val="center"/>
        </w:trPr>
        <w:tc>
          <w:tcPr>
            <w:tcW w:w="470" w:type="dxa"/>
            <w:tcBorders>
              <w:top w:val="nil"/>
              <w:left w:val="single" w:color="auto" w:sz="4" w:space="0"/>
              <w:bottom w:val="single" w:color="auto" w:sz="4" w:space="0"/>
              <w:right w:val="single" w:color="auto" w:sz="4" w:space="0"/>
            </w:tcBorders>
            <w:vAlign w:val="center"/>
          </w:tcPr>
          <w:p w14:paraId="6AC13FD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10</w:t>
            </w:r>
          </w:p>
        </w:tc>
        <w:tc>
          <w:tcPr>
            <w:tcW w:w="1252" w:type="dxa"/>
            <w:tcBorders>
              <w:top w:val="nil"/>
              <w:left w:val="nil"/>
              <w:bottom w:val="single" w:color="auto" w:sz="4" w:space="0"/>
              <w:right w:val="single" w:color="auto" w:sz="4" w:space="0"/>
            </w:tcBorders>
            <w:vAlign w:val="center"/>
          </w:tcPr>
          <w:p w14:paraId="12BADB6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宛平城保护修缮项目</w:t>
            </w:r>
          </w:p>
        </w:tc>
        <w:tc>
          <w:tcPr>
            <w:tcW w:w="719" w:type="dxa"/>
            <w:tcBorders>
              <w:top w:val="nil"/>
              <w:left w:val="nil"/>
              <w:bottom w:val="single" w:color="auto" w:sz="4" w:space="0"/>
              <w:right w:val="single" w:color="auto" w:sz="4" w:space="0"/>
            </w:tcBorders>
            <w:vAlign w:val="center"/>
          </w:tcPr>
          <w:p w14:paraId="257F85B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28387C2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丰台区文旅局</w:t>
            </w:r>
          </w:p>
        </w:tc>
        <w:tc>
          <w:tcPr>
            <w:tcW w:w="1287" w:type="dxa"/>
            <w:tcBorders>
              <w:top w:val="nil"/>
              <w:left w:val="nil"/>
              <w:bottom w:val="single" w:color="auto" w:sz="4" w:space="0"/>
              <w:right w:val="single" w:color="auto" w:sz="4" w:space="0"/>
            </w:tcBorders>
            <w:vAlign w:val="center"/>
          </w:tcPr>
          <w:p w14:paraId="1A003F3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卢沟桥文化发展中心</w:t>
            </w:r>
          </w:p>
        </w:tc>
        <w:tc>
          <w:tcPr>
            <w:tcW w:w="864" w:type="dxa"/>
            <w:tcBorders>
              <w:top w:val="nil"/>
              <w:left w:val="nil"/>
              <w:bottom w:val="single" w:color="auto" w:sz="4" w:space="0"/>
              <w:right w:val="single" w:color="auto" w:sz="4" w:space="0"/>
            </w:tcBorders>
            <w:vAlign w:val="center"/>
          </w:tcPr>
          <w:p w14:paraId="1684C57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丰台区宛平城</w:t>
            </w:r>
          </w:p>
        </w:tc>
        <w:tc>
          <w:tcPr>
            <w:tcW w:w="5911" w:type="dxa"/>
            <w:tcBorders>
              <w:top w:val="nil"/>
              <w:left w:val="nil"/>
              <w:bottom w:val="single" w:color="auto" w:sz="4" w:space="0"/>
              <w:right w:val="single" w:color="auto" w:sz="4" w:space="0"/>
            </w:tcBorders>
            <w:vAlign w:val="center"/>
          </w:tcPr>
          <w:p w14:paraId="7E9751F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宛平城保护修缮工程（二期）、宛平城战争遗迹保护——东001号弹坑、东003－东009号弹坑群保护工程。</w:t>
            </w:r>
          </w:p>
        </w:tc>
        <w:tc>
          <w:tcPr>
            <w:tcW w:w="870" w:type="dxa"/>
            <w:tcBorders>
              <w:top w:val="nil"/>
              <w:left w:val="nil"/>
              <w:bottom w:val="single" w:color="auto" w:sz="4" w:space="0"/>
              <w:right w:val="single" w:color="auto" w:sz="4" w:space="0"/>
            </w:tcBorders>
            <w:vAlign w:val="center"/>
          </w:tcPr>
          <w:p w14:paraId="0E2F9F3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731" w:type="dxa"/>
            <w:tcBorders>
              <w:top w:val="nil"/>
              <w:left w:val="nil"/>
              <w:bottom w:val="single" w:color="auto" w:sz="4" w:space="0"/>
              <w:right w:val="single" w:color="auto" w:sz="4" w:space="0"/>
            </w:tcBorders>
            <w:vAlign w:val="center"/>
          </w:tcPr>
          <w:p w14:paraId="53FB9C7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920" w:type="dxa"/>
            <w:tcBorders>
              <w:top w:val="nil"/>
              <w:left w:val="nil"/>
              <w:bottom w:val="single" w:color="auto" w:sz="4" w:space="0"/>
              <w:right w:val="single" w:color="auto" w:sz="4" w:space="0"/>
            </w:tcBorders>
            <w:vAlign w:val="center"/>
          </w:tcPr>
          <w:p w14:paraId="76AEE78F">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971</w:t>
            </w:r>
          </w:p>
        </w:tc>
      </w:tr>
      <w:tr w14:paraId="51A18D87">
        <w:trPr>
          <w:trHeight w:val="1250" w:hRule="atLeast"/>
          <w:jc w:val="center"/>
        </w:trPr>
        <w:tc>
          <w:tcPr>
            <w:tcW w:w="470" w:type="dxa"/>
            <w:tcBorders>
              <w:top w:val="nil"/>
              <w:left w:val="single" w:color="auto" w:sz="4" w:space="0"/>
              <w:bottom w:val="single" w:color="auto" w:sz="4" w:space="0"/>
              <w:right w:val="single" w:color="auto" w:sz="4" w:space="0"/>
            </w:tcBorders>
            <w:vAlign w:val="center"/>
          </w:tcPr>
          <w:p w14:paraId="381DE91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11</w:t>
            </w:r>
          </w:p>
        </w:tc>
        <w:tc>
          <w:tcPr>
            <w:tcW w:w="1252" w:type="dxa"/>
            <w:tcBorders>
              <w:top w:val="nil"/>
              <w:left w:val="nil"/>
              <w:bottom w:val="single" w:color="auto" w:sz="4" w:space="0"/>
              <w:right w:val="single" w:color="auto" w:sz="4" w:space="0"/>
            </w:tcBorders>
            <w:vAlign w:val="center"/>
          </w:tcPr>
          <w:p w14:paraId="6E835F0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北京园博园焕新项目</w:t>
            </w:r>
          </w:p>
        </w:tc>
        <w:tc>
          <w:tcPr>
            <w:tcW w:w="719" w:type="dxa"/>
            <w:tcBorders>
              <w:top w:val="nil"/>
              <w:left w:val="nil"/>
              <w:bottom w:val="single" w:color="auto" w:sz="4" w:space="0"/>
              <w:right w:val="single" w:color="auto" w:sz="4" w:space="0"/>
            </w:tcBorders>
            <w:vAlign w:val="center"/>
          </w:tcPr>
          <w:p w14:paraId="40E0B92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082BD68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1287" w:type="dxa"/>
            <w:tcBorders>
              <w:top w:val="nil"/>
              <w:left w:val="nil"/>
              <w:bottom w:val="single" w:color="auto" w:sz="4" w:space="0"/>
              <w:right w:val="single" w:color="auto" w:sz="4" w:space="0"/>
            </w:tcBorders>
            <w:vAlign w:val="center"/>
          </w:tcPr>
          <w:p w14:paraId="14D1A5D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864" w:type="dxa"/>
            <w:tcBorders>
              <w:top w:val="nil"/>
              <w:left w:val="nil"/>
              <w:bottom w:val="single" w:color="auto" w:sz="4" w:space="0"/>
              <w:right w:val="single" w:color="auto" w:sz="4" w:space="0"/>
            </w:tcBorders>
            <w:vAlign w:val="center"/>
          </w:tcPr>
          <w:p w14:paraId="49D4677F">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北京园博园片区</w:t>
            </w:r>
          </w:p>
        </w:tc>
        <w:tc>
          <w:tcPr>
            <w:tcW w:w="5911" w:type="dxa"/>
            <w:tcBorders>
              <w:top w:val="nil"/>
              <w:left w:val="nil"/>
              <w:bottom w:val="single" w:color="auto" w:sz="4" w:space="0"/>
              <w:right w:val="single" w:color="auto" w:sz="4" w:space="0"/>
            </w:tcBorders>
            <w:vAlign w:val="center"/>
          </w:tcPr>
          <w:p w14:paraId="7493620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构建“数字经济产业园+园博文创园“双核驱动模式，打造园博科创湾区。规划六大功能板块，布局演艺与高品质休闲空间。先期启动园博酒店群建设，“十五五”期间逐步建成相关商业、文化、休闲板块。</w:t>
            </w:r>
          </w:p>
        </w:tc>
        <w:tc>
          <w:tcPr>
            <w:tcW w:w="870" w:type="dxa"/>
            <w:tcBorders>
              <w:top w:val="nil"/>
              <w:left w:val="nil"/>
              <w:bottom w:val="single" w:color="auto" w:sz="4" w:space="0"/>
              <w:right w:val="single" w:color="auto" w:sz="4" w:space="0"/>
            </w:tcBorders>
            <w:vAlign w:val="center"/>
          </w:tcPr>
          <w:p w14:paraId="5524A02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7920CA8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7A05F55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183000</w:t>
            </w:r>
          </w:p>
        </w:tc>
      </w:tr>
      <w:tr w14:paraId="0F9EE9FA">
        <w:trPr>
          <w:trHeight w:val="689" w:hRule="atLeast"/>
          <w:jc w:val="center"/>
        </w:trPr>
        <w:tc>
          <w:tcPr>
            <w:tcW w:w="470" w:type="dxa"/>
            <w:tcBorders>
              <w:top w:val="nil"/>
              <w:left w:val="single" w:color="auto" w:sz="4" w:space="0"/>
              <w:bottom w:val="single" w:color="auto" w:sz="4" w:space="0"/>
              <w:right w:val="single" w:color="auto" w:sz="4" w:space="0"/>
            </w:tcBorders>
            <w:vAlign w:val="center"/>
          </w:tcPr>
          <w:p w14:paraId="3DBF512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12</w:t>
            </w:r>
          </w:p>
        </w:tc>
        <w:tc>
          <w:tcPr>
            <w:tcW w:w="1252" w:type="dxa"/>
            <w:tcBorders>
              <w:top w:val="nil"/>
              <w:left w:val="nil"/>
              <w:bottom w:val="single" w:color="auto" w:sz="4" w:space="0"/>
              <w:right w:val="single" w:color="auto" w:sz="4" w:space="0"/>
            </w:tcBorders>
            <w:vAlign w:val="center"/>
          </w:tcPr>
          <w:p w14:paraId="6F9A231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北京园博湖动感极限水岸项目</w:t>
            </w:r>
          </w:p>
        </w:tc>
        <w:tc>
          <w:tcPr>
            <w:tcW w:w="719" w:type="dxa"/>
            <w:tcBorders>
              <w:top w:val="nil"/>
              <w:left w:val="nil"/>
              <w:bottom w:val="single" w:color="auto" w:sz="4" w:space="0"/>
              <w:right w:val="single" w:color="auto" w:sz="4" w:space="0"/>
            </w:tcBorders>
            <w:vAlign w:val="center"/>
          </w:tcPr>
          <w:p w14:paraId="0740C08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5A261A0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1287" w:type="dxa"/>
            <w:tcBorders>
              <w:top w:val="nil"/>
              <w:left w:val="nil"/>
              <w:bottom w:val="single" w:color="auto" w:sz="4" w:space="0"/>
              <w:right w:val="single" w:color="auto" w:sz="4" w:space="0"/>
            </w:tcBorders>
            <w:vAlign w:val="center"/>
          </w:tcPr>
          <w:p w14:paraId="02C0B65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丰台文旅集团、水投集团</w:t>
            </w:r>
          </w:p>
        </w:tc>
        <w:tc>
          <w:tcPr>
            <w:tcW w:w="864" w:type="dxa"/>
            <w:tcBorders>
              <w:top w:val="nil"/>
              <w:left w:val="nil"/>
              <w:bottom w:val="single" w:color="auto" w:sz="4" w:space="0"/>
              <w:right w:val="single" w:color="auto" w:sz="4" w:space="0"/>
            </w:tcBorders>
            <w:vAlign w:val="center"/>
          </w:tcPr>
          <w:p w14:paraId="361EF10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北京园博园片区</w:t>
            </w:r>
          </w:p>
        </w:tc>
        <w:tc>
          <w:tcPr>
            <w:tcW w:w="5911" w:type="dxa"/>
            <w:tcBorders>
              <w:top w:val="nil"/>
              <w:left w:val="nil"/>
              <w:bottom w:val="single" w:color="auto" w:sz="4" w:space="0"/>
              <w:right w:val="single" w:color="auto" w:sz="4" w:space="0"/>
            </w:tcBorders>
            <w:vAlign w:val="center"/>
          </w:tcPr>
          <w:p w14:paraId="5C109A5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建设生态友好型滨水活动区，引入皮划艇、帆船、水上卡丁车及亲子小型游船等休闲项目，搭配专业安全指导，满足不同年龄段游客的亲水需求；充分激活闲置水面资源，增设船上茶歇餐厅等增值服务，让市民在慢游中沉浸式感受水畔风光，进一步提升娱乐性与体验感。</w:t>
            </w:r>
          </w:p>
        </w:tc>
        <w:tc>
          <w:tcPr>
            <w:tcW w:w="870" w:type="dxa"/>
            <w:tcBorders>
              <w:top w:val="nil"/>
              <w:left w:val="nil"/>
              <w:bottom w:val="single" w:color="auto" w:sz="4" w:space="0"/>
              <w:right w:val="single" w:color="auto" w:sz="4" w:space="0"/>
            </w:tcBorders>
            <w:vAlign w:val="center"/>
          </w:tcPr>
          <w:p w14:paraId="03FCF5F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1A73A9D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920" w:type="dxa"/>
            <w:tcBorders>
              <w:top w:val="nil"/>
              <w:left w:val="nil"/>
              <w:bottom w:val="single" w:color="auto" w:sz="4" w:space="0"/>
              <w:right w:val="single" w:color="auto" w:sz="4" w:space="0"/>
            </w:tcBorders>
            <w:vAlign w:val="center"/>
          </w:tcPr>
          <w:p w14:paraId="62486D8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3600</w:t>
            </w:r>
          </w:p>
        </w:tc>
      </w:tr>
      <w:tr w14:paraId="7EB8DB76">
        <w:trPr>
          <w:trHeight w:val="539" w:hRule="atLeast"/>
          <w:jc w:val="center"/>
        </w:trPr>
        <w:tc>
          <w:tcPr>
            <w:tcW w:w="470" w:type="dxa"/>
            <w:tcBorders>
              <w:top w:val="nil"/>
              <w:left w:val="single" w:color="auto" w:sz="4" w:space="0"/>
              <w:bottom w:val="single" w:color="auto" w:sz="4" w:space="0"/>
              <w:right w:val="single" w:color="auto" w:sz="4" w:space="0"/>
            </w:tcBorders>
            <w:vAlign w:val="center"/>
          </w:tcPr>
          <w:p w14:paraId="5E82E10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13</w:t>
            </w:r>
          </w:p>
        </w:tc>
        <w:tc>
          <w:tcPr>
            <w:tcW w:w="1252" w:type="dxa"/>
            <w:tcBorders>
              <w:top w:val="nil"/>
              <w:left w:val="nil"/>
              <w:bottom w:val="single" w:color="auto" w:sz="4" w:space="0"/>
              <w:right w:val="single" w:color="auto" w:sz="4" w:space="0"/>
            </w:tcBorders>
            <w:vAlign w:val="center"/>
          </w:tcPr>
          <w:p w14:paraId="5E00A9A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北京园博数字经济创新中心二次装修改造项目（一期）</w:t>
            </w:r>
          </w:p>
        </w:tc>
        <w:tc>
          <w:tcPr>
            <w:tcW w:w="719" w:type="dxa"/>
            <w:tcBorders>
              <w:top w:val="nil"/>
              <w:left w:val="nil"/>
              <w:bottom w:val="single" w:color="auto" w:sz="4" w:space="0"/>
              <w:right w:val="single" w:color="auto" w:sz="4" w:space="0"/>
            </w:tcBorders>
            <w:vAlign w:val="center"/>
          </w:tcPr>
          <w:p w14:paraId="5A7873A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59F8E82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丰台园管委会</w:t>
            </w:r>
          </w:p>
        </w:tc>
        <w:tc>
          <w:tcPr>
            <w:tcW w:w="1287" w:type="dxa"/>
            <w:tcBorders>
              <w:top w:val="nil"/>
              <w:left w:val="nil"/>
              <w:bottom w:val="single" w:color="auto" w:sz="4" w:space="0"/>
              <w:right w:val="single" w:color="auto" w:sz="4" w:space="0"/>
            </w:tcBorders>
            <w:vAlign w:val="center"/>
          </w:tcPr>
          <w:p w14:paraId="3CEE823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c>
          <w:tcPr>
            <w:tcW w:w="864" w:type="dxa"/>
            <w:tcBorders>
              <w:top w:val="nil"/>
              <w:left w:val="nil"/>
              <w:bottom w:val="single" w:color="auto" w:sz="4" w:space="0"/>
              <w:right w:val="single" w:color="auto" w:sz="4" w:space="0"/>
            </w:tcBorders>
            <w:vAlign w:val="center"/>
          </w:tcPr>
          <w:p w14:paraId="25059F3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丰台科技园西一区</w:t>
            </w:r>
          </w:p>
        </w:tc>
        <w:tc>
          <w:tcPr>
            <w:tcW w:w="5911" w:type="dxa"/>
            <w:tcBorders>
              <w:top w:val="nil"/>
              <w:left w:val="nil"/>
              <w:bottom w:val="single" w:color="auto" w:sz="4" w:space="0"/>
              <w:right w:val="single" w:color="auto" w:sz="4" w:space="0"/>
            </w:tcBorders>
            <w:vAlign w:val="center"/>
          </w:tcPr>
          <w:p w14:paraId="63B8EB4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本项目位于I（园博数字经济产业园一期），利用新建产业空间约8万平方米（不含金橙子），打造包含会议研讨空间、成果展示区、专业培训室等产业配套的“研发+测试+协同”复合型研发中心。</w:t>
            </w:r>
          </w:p>
        </w:tc>
        <w:tc>
          <w:tcPr>
            <w:tcW w:w="870" w:type="dxa"/>
            <w:tcBorders>
              <w:top w:val="nil"/>
              <w:left w:val="nil"/>
              <w:bottom w:val="single" w:color="auto" w:sz="4" w:space="0"/>
              <w:right w:val="single" w:color="auto" w:sz="4" w:space="0"/>
            </w:tcBorders>
            <w:vAlign w:val="center"/>
          </w:tcPr>
          <w:p w14:paraId="4826B96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10A4014F">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920" w:type="dxa"/>
            <w:tcBorders>
              <w:top w:val="nil"/>
              <w:left w:val="nil"/>
              <w:bottom w:val="single" w:color="auto" w:sz="4" w:space="0"/>
              <w:right w:val="single" w:color="auto" w:sz="4" w:space="0"/>
            </w:tcBorders>
            <w:vAlign w:val="center"/>
          </w:tcPr>
          <w:p w14:paraId="7ED2F97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16000</w:t>
            </w:r>
          </w:p>
        </w:tc>
      </w:tr>
      <w:tr w14:paraId="1A0B1BE6">
        <w:trPr>
          <w:trHeight w:val="1678" w:hRule="atLeast"/>
          <w:jc w:val="center"/>
        </w:trPr>
        <w:tc>
          <w:tcPr>
            <w:tcW w:w="470" w:type="dxa"/>
            <w:tcBorders>
              <w:top w:val="nil"/>
              <w:left w:val="single" w:color="auto" w:sz="4" w:space="0"/>
              <w:bottom w:val="single" w:color="auto" w:sz="4" w:space="0"/>
              <w:right w:val="single" w:color="auto" w:sz="4" w:space="0"/>
            </w:tcBorders>
            <w:vAlign w:val="center"/>
          </w:tcPr>
          <w:p w14:paraId="14C835A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14</w:t>
            </w:r>
          </w:p>
        </w:tc>
        <w:tc>
          <w:tcPr>
            <w:tcW w:w="1252" w:type="dxa"/>
            <w:tcBorders>
              <w:top w:val="nil"/>
              <w:left w:val="nil"/>
              <w:bottom w:val="single" w:color="auto" w:sz="4" w:space="0"/>
              <w:right w:val="single" w:color="auto" w:sz="4" w:space="0"/>
            </w:tcBorders>
            <w:vAlign w:val="center"/>
          </w:tcPr>
          <w:p w14:paraId="5FC018C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考拉100儿童乐园项目</w:t>
            </w:r>
          </w:p>
        </w:tc>
        <w:tc>
          <w:tcPr>
            <w:tcW w:w="719" w:type="dxa"/>
            <w:tcBorders>
              <w:top w:val="nil"/>
              <w:left w:val="nil"/>
              <w:bottom w:val="single" w:color="auto" w:sz="4" w:space="0"/>
              <w:right w:val="single" w:color="auto" w:sz="4" w:space="0"/>
            </w:tcBorders>
            <w:vAlign w:val="center"/>
          </w:tcPr>
          <w:p w14:paraId="67831F1F">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2C4DD52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1287" w:type="dxa"/>
            <w:tcBorders>
              <w:top w:val="nil"/>
              <w:left w:val="nil"/>
              <w:bottom w:val="single" w:color="auto" w:sz="4" w:space="0"/>
              <w:right w:val="single" w:color="auto" w:sz="4" w:space="0"/>
            </w:tcBorders>
            <w:vAlign w:val="center"/>
          </w:tcPr>
          <w:p w14:paraId="40F6504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北京园博园</w:t>
            </w:r>
          </w:p>
        </w:tc>
        <w:tc>
          <w:tcPr>
            <w:tcW w:w="864" w:type="dxa"/>
            <w:tcBorders>
              <w:top w:val="nil"/>
              <w:left w:val="nil"/>
              <w:bottom w:val="single" w:color="auto" w:sz="4" w:space="0"/>
              <w:right w:val="single" w:color="auto" w:sz="4" w:space="0"/>
            </w:tcBorders>
            <w:vAlign w:val="center"/>
          </w:tcPr>
          <w:p w14:paraId="4472358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北京园博园片区</w:t>
            </w:r>
          </w:p>
        </w:tc>
        <w:tc>
          <w:tcPr>
            <w:tcW w:w="5911" w:type="dxa"/>
            <w:tcBorders>
              <w:top w:val="nil"/>
              <w:left w:val="nil"/>
              <w:bottom w:val="single" w:color="auto" w:sz="4" w:space="0"/>
              <w:right w:val="single" w:color="auto" w:sz="4" w:space="0"/>
            </w:tcBorders>
            <w:vAlign w:val="center"/>
          </w:tcPr>
          <w:p w14:paraId="6C7BE99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该项目以月季园区域为核心场地，毗邻5号门区，上至河堤路、下至中轴路，左至西安园，右至江苏园，占地面积约21000</w:t>
            </w:r>
            <w:r>
              <w:rPr>
                <w:rFonts w:hint="eastAsia" w:ascii="微软雅黑" w:hAnsi="微软雅黑" w:eastAsia="微软雅黑" w:cs="微软雅黑"/>
                <w:kern w:val="0"/>
                <w:sz w:val="24"/>
                <w:szCs w:val="24"/>
              </w:rPr>
              <w:t>㎡</w:t>
            </w:r>
            <w:r>
              <w:rPr>
                <w:rFonts w:hint="eastAsia" w:ascii="仿宋_GB2312" w:hAnsi="宋体" w:cs="宋体"/>
                <w:kern w:val="0"/>
                <w:sz w:val="24"/>
                <w:szCs w:val="24"/>
              </w:rPr>
              <w:t>，交通便利，生态景观集中。该项目分设小童游乐、大童挑战、萌宠互动、IP故事四大功能区，规划建设无动力乐园、萌宠乐园、主题体验区、休闲露营区等功能板块，配套完善基础设施与公共服务设施，融合高空观景、夜游灯光、科普教育、林下露营等多元体验，建成后将填补区域生态亲子业态空白，成为京西亲子文旅新地标。</w:t>
            </w:r>
          </w:p>
        </w:tc>
        <w:tc>
          <w:tcPr>
            <w:tcW w:w="870" w:type="dxa"/>
            <w:tcBorders>
              <w:top w:val="nil"/>
              <w:left w:val="nil"/>
              <w:bottom w:val="single" w:color="auto" w:sz="4" w:space="0"/>
              <w:right w:val="single" w:color="auto" w:sz="4" w:space="0"/>
            </w:tcBorders>
            <w:vAlign w:val="center"/>
          </w:tcPr>
          <w:p w14:paraId="68BDEBA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5906216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920" w:type="dxa"/>
            <w:tcBorders>
              <w:top w:val="nil"/>
              <w:left w:val="nil"/>
              <w:bottom w:val="single" w:color="auto" w:sz="4" w:space="0"/>
              <w:right w:val="single" w:color="auto" w:sz="4" w:space="0"/>
            </w:tcBorders>
            <w:vAlign w:val="center"/>
          </w:tcPr>
          <w:p w14:paraId="5B3BA3E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1500</w:t>
            </w:r>
          </w:p>
        </w:tc>
      </w:tr>
      <w:tr w14:paraId="34BAC58B">
        <w:trPr>
          <w:trHeight w:val="1405" w:hRule="atLeast"/>
          <w:jc w:val="center"/>
        </w:trPr>
        <w:tc>
          <w:tcPr>
            <w:tcW w:w="470" w:type="dxa"/>
            <w:tcBorders>
              <w:top w:val="nil"/>
              <w:left w:val="single" w:color="auto" w:sz="4" w:space="0"/>
              <w:bottom w:val="single" w:color="auto" w:sz="4" w:space="0"/>
              <w:right w:val="single" w:color="auto" w:sz="4" w:space="0"/>
            </w:tcBorders>
            <w:vAlign w:val="center"/>
          </w:tcPr>
          <w:p w14:paraId="373A17A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15</w:t>
            </w:r>
          </w:p>
        </w:tc>
        <w:tc>
          <w:tcPr>
            <w:tcW w:w="1252" w:type="dxa"/>
            <w:tcBorders>
              <w:top w:val="nil"/>
              <w:left w:val="nil"/>
              <w:bottom w:val="single" w:color="auto" w:sz="4" w:space="0"/>
              <w:right w:val="single" w:color="auto" w:sz="4" w:space="0"/>
            </w:tcBorders>
            <w:vAlign w:val="center"/>
          </w:tcPr>
          <w:p w14:paraId="4AA9437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长辛店老镇城市更新项目（二期）</w:t>
            </w:r>
          </w:p>
        </w:tc>
        <w:tc>
          <w:tcPr>
            <w:tcW w:w="719" w:type="dxa"/>
            <w:tcBorders>
              <w:top w:val="nil"/>
              <w:left w:val="nil"/>
              <w:bottom w:val="single" w:color="auto" w:sz="4" w:space="0"/>
              <w:right w:val="single" w:color="auto" w:sz="4" w:space="0"/>
            </w:tcBorders>
            <w:vAlign w:val="center"/>
          </w:tcPr>
          <w:p w14:paraId="5A8F27F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40FD1DD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丰台区住建委</w:t>
            </w:r>
          </w:p>
        </w:tc>
        <w:tc>
          <w:tcPr>
            <w:tcW w:w="1287" w:type="dxa"/>
            <w:tcBorders>
              <w:top w:val="nil"/>
              <w:left w:val="nil"/>
              <w:bottom w:val="single" w:color="auto" w:sz="4" w:space="0"/>
              <w:right w:val="single" w:color="auto" w:sz="4" w:space="0"/>
            </w:tcBorders>
            <w:vAlign w:val="center"/>
          </w:tcPr>
          <w:p w14:paraId="496EF5F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丰台文旅集团</w:t>
            </w:r>
          </w:p>
        </w:tc>
        <w:tc>
          <w:tcPr>
            <w:tcW w:w="864" w:type="dxa"/>
            <w:tcBorders>
              <w:top w:val="nil"/>
              <w:left w:val="nil"/>
              <w:bottom w:val="single" w:color="auto" w:sz="4" w:space="0"/>
              <w:right w:val="single" w:color="auto" w:sz="4" w:space="0"/>
            </w:tcBorders>
            <w:vAlign w:val="center"/>
          </w:tcPr>
          <w:p w14:paraId="40DF8A7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丰台区长辛店老镇</w:t>
            </w:r>
          </w:p>
        </w:tc>
        <w:tc>
          <w:tcPr>
            <w:tcW w:w="5911" w:type="dxa"/>
            <w:tcBorders>
              <w:top w:val="nil"/>
              <w:left w:val="nil"/>
              <w:bottom w:val="single" w:color="auto" w:sz="4" w:space="0"/>
              <w:right w:val="single" w:color="auto" w:sz="4" w:space="0"/>
            </w:tcBorders>
            <w:vAlign w:val="center"/>
          </w:tcPr>
          <w:p w14:paraId="5ACF700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长辛店老镇城市更新项目二期位于长辛店老镇北侧，占地面积约7.37公顷，总建筑规模约8.04万平方米。根据长辛店老镇城市更新项目综合实施方案，二期建设以运营为导向，利用老镇内红色资源，重点向北拓展，总体划分为北关门户区、大街北片区、教堂南片区及择机更新区四个片区。</w:t>
            </w:r>
          </w:p>
        </w:tc>
        <w:tc>
          <w:tcPr>
            <w:tcW w:w="870" w:type="dxa"/>
            <w:tcBorders>
              <w:top w:val="nil"/>
              <w:left w:val="nil"/>
              <w:bottom w:val="single" w:color="auto" w:sz="4" w:space="0"/>
              <w:right w:val="single" w:color="auto" w:sz="4" w:space="0"/>
            </w:tcBorders>
            <w:vAlign w:val="center"/>
          </w:tcPr>
          <w:p w14:paraId="6309F8B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1096559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920" w:type="dxa"/>
            <w:tcBorders>
              <w:top w:val="nil"/>
              <w:left w:val="nil"/>
              <w:bottom w:val="single" w:color="auto" w:sz="4" w:space="0"/>
              <w:right w:val="single" w:color="auto" w:sz="4" w:space="0"/>
            </w:tcBorders>
            <w:vAlign w:val="center"/>
          </w:tcPr>
          <w:p w14:paraId="725EAA5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91905</w:t>
            </w:r>
          </w:p>
        </w:tc>
      </w:tr>
      <w:tr w14:paraId="2FF7BD9B">
        <w:trPr>
          <w:trHeight w:val="553" w:hRule="atLeast"/>
          <w:jc w:val="center"/>
        </w:trPr>
        <w:tc>
          <w:tcPr>
            <w:tcW w:w="470" w:type="dxa"/>
            <w:tcBorders>
              <w:top w:val="nil"/>
              <w:left w:val="single" w:color="auto" w:sz="4" w:space="0"/>
              <w:bottom w:val="single" w:color="auto" w:sz="4" w:space="0"/>
              <w:right w:val="single" w:color="auto" w:sz="4" w:space="0"/>
            </w:tcBorders>
            <w:vAlign w:val="center"/>
          </w:tcPr>
          <w:p w14:paraId="7C3946D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16</w:t>
            </w:r>
          </w:p>
        </w:tc>
        <w:tc>
          <w:tcPr>
            <w:tcW w:w="1252" w:type="dxa"/>
            <w:tcBorders>
              <w:top w:val="nil"/>
              <w:left w:val="nil"/>
              <w:bottom w:val="single" w:color="auto" w:sz="4" w:space="0"/>
              <w:right w:val="single" w:color="auto" w:sz="4" w:space="0"/>
            </w:tcBorders>
            <w:vAlign w:val="center"/>
          </w:tcPr>
          <w:p w14:paraId="3C5F0AF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中车北京二七智能制造园改造项目</w:t>
            </w:r>
          </w:p>
        </w:tc>
        <w:tc>
          <w:tcPr>
            <w:tcW w:w="719" w:type="dxa"/>
            <w:tcBorders>
              <w:top w:val="nil"/>
              <w:left w:val="nil"/>
              <w:bottom w:val="single" w:color="auto" w:sz="4" w:space="0"/>
              <w:right w:val="single" w:color="auto" w:sz="4" w:space="0"/>
            </w:tcBorders>
            <w:vAlign w:val="center"/>
          </w:tcPr>
          <w:p w14:paraId="2535229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续建</w:t>
            </w:r>
          </w:p>
        </w:tc>
        <w:tc>
          <w:tcPr>
            <w:tcW w:w="1008" w:type="dxa"/>
            <w:tcBorders>
              <w:top w:val="nil"/>
              <w:left w:val="nil"/>
              <w:bottom w:val="single" w:color="auto" w:sz="4" w:space="0"/>
              <w:right w:val="single" w:color="auto" w:sz="4" w:space="0"/>
            </w:tcBorders>
            <w:vAlign w:val="center"/>
          </w:tcPr>
          <w:p w14:paraId="027DBC4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丰台园管委会</w:t>
            </w:r>
          </w:p>
        </w:tc>
        <w:tc>
          <w:tcPr>
            <w:tcW w:w="1287" w:type="dxa"/>
            <w:tcBorders>
              <w:top w:val="nil"/>
              <w:left w:val="nil"/>
              <w:bottom w:val="single" w:color="auto" w:sz="4" w:space="0"/>
              <w:right w:val="single" w:color="auto" w:sz="4" w:space="0"/>
            </w:tcBorders>
            <w:vAlign w:val="center"/>
          </w:tcPr>
          <w:p w14:paraId="2CAD929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中车北京二七机车有限公司</w:t>
            </w:r>
          </w:p>
        </w:tc>
        <w:tc>
          <w:tcPr>
            <w:tcW w:w="864" w:type="dxa"/>
            <w:tcBorders>
              <w:top w:val="nil"/>
              <w:left w:val="nil"/>
              <w:bottom w:val="single" w:color="auto" w:sz="4" w:space="0"/>
              <w:right w:val="single" w:color="auto" w:sz="4" w:space="0"/>
            </w:tcBorders>
            <w:vAlign w:val="center"/>
          </w:tcPr>
          <w:p w14:paraId="19DD82A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长辛店街道</w:t>
            </w:r>
          </w:p>
        </w:tc>
        <w:tc>
          <w:tcPr>
            <w:tcW w:w="5911" w:type="dxa"/>
            <w:tcBorders>
              <w:top w:val="nil"/>
              <w:left w:val="nil"/>
              <w:bottom w:val="single" w:color="auto" w:sz="4" w:space="0"/>
              <w:right w:val="single" w:color="auto" w:sz="4" w:space="0"/>
            </w:tcBorders>
            <w:vAlign w:val="center"/>
          </w:tcPr>
          <w:p w14:paraId="61EAECD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二七智能制造园将联动“两园一河”资源，将充分挖掘二七独有的“红色+工业”文化IP，最大限度保留工业痕迹同时彰显城市更新画面，打造丰台红色文化与工业文化集中展示地，并与长辛店老镇协同发展，聚焦工业创新文化，打造北京“两园一河”整体结构的重要文化节点。</w:t>
            </w:r>
          </w:p>
        </w:tc>
        <w:tc>
          <w:tcPr>
            <w:tcW w:w="870" w:type="dxa"/>
            <w:tcBorders>
              <w:top w:val="nil"/>
              <w:left w:val="nil"/>
              <w:bottom w:val="single" w:color="auto" w:sz="4" w:space="0"/>
              <w:right w:val="single" w:color="auto" w:sz="4" w:space="0"/>
            </w:tcBorders>
            <w:vAlign w:val="center"/>
          </w:tcPr>
          <w:p w14:paraId="0C8C73E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2025年</w:t>
            </w:r>
          </w:p>
        </w:tc>
        <w:tc>
          <w:tcPr>
            <w:tcW w:w="731" w:type="dxa"/>
            <w:tcBorders>
              <w:top w:val="nil"/>
              <w:left w:val="nil"/>
              <w:bottom w:val="single" w:color="auto" w:sz="4" w:space="0"/>
              <w:right w:val="single" w:color="auto" w:sz="4" w:space="0"/>
            </w:tcBorders>
            <w:vAlign w:val="center"/>
          </w:tcPr>
          <w:p w14:paraId="03466A0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920" w:type="dxa"/>
            <w:tcBorders>
              <w:top w:val="nil"/>
              <w:left w:val="nil"/>
              <w:bottom w:val="single" w:color="auto" w:sz="4" w:space="0"/>
              <w:right w:val="single" w:color="auto" w:sz="4" w:space="0"/>
            </w:tcBorders>
            <w:vAlign w:val="center"/>
          </w:tcPr>
          <w:p w14:paraId="3F5EB94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66800</w:t>
            </w:r>
          </w:p>
        </w:tc>
      </w:tr>
      <w:tr w14:paraId="104C8D3C">
        <w:trPr>
          <w:trHeight w:val="1127" w:hRule="atLeast"/>
          <w:jc w:val="center"/>
        </w:trPr>
        <w:tc>
          <w:tcPr>
            <w:tcW w:w="470" w:type="dxa"/>
            <w:tcBorders>
              <w:top w:val="nil"/>
              <w:left w:val="single" w:color="auto" w:sz="4" w:space="0"/>
              <w:bottom w:val="single" w:color="auto" w:sz="4" w:space="0"/>
              <w:right w:val="single" w:color="auto" w:sz="4" w:space="0"/>
            </w:tcBorders>
            <w:vAlign w:val="center"/>
          </w:tcPr>
          <w:p w14:paraId="4E31ACB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17</w:t>
            </w:r>
          </w:p>
        </w:tc>
        <w:tc>
          <w:tcPr>
            <w:tcW w:w="1252" w:type="dxa"/>
            <w:tcBorders>
              <w:top w:val="nil"/>
              <w:left w:val="nil"/>
              <w:bottom w:val="single" w:color="auto" w:sz="4" w:space="0"/>
              <w:right w:val="single" w:color="auto" w:sz="4" w:space="0"/>
            </w:tcBorders>
            <w:vAlign w:val="center"/>
          </w:tcPr>
          <w:p w14:paraId="62BCA8C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二七机车厂近现代建筑遗存保护工程项目</w:t>
            </w:r>
          </w:p>
        </w:tc>
        <w:tc>
          <w:tcPr>
            <w:tcW w:w="719" w:type="dxa"/>
            <w:tcBorders>
              <w:top w:val="nil"/>
              <w:left w:val="nil"/>
              <w:bottom w:val="single" w:color="auto" w:sz="4" w:space="0"/>
              <w:right w:val="single" w:color="auto" w:sz="4" w:space="0"/>
            </w:tcBorders>
            <w:vAlign w:val="center"/>
          </w:tcPr>
          <w:p w14:paraId="7AA487A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新开</w:t>
            </w:r>
          </w:p>
        </w:tc>
        <w:tc>
          <w:tcPr>
            <w:tcW w:w="1008" w:type="dxa"/>
            <w:tcBorders>
              <w:top w:val="nil"/>
              <w:left w:val="nil"/>
              <w:bottom w:val="single" w:color="auto" w:sz="4" w:space="0"/>
              <w:right w:val="single" w:color="auto" w:sz="4" w:space="0"/>
            </w:tcBorders>
            <w:vAlign w:val="center"/>
          </w:tcPr>
          <w:p w14:paraId="14F500F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丰台区文旅局</w:t>
            </w:r>
          </w:p>
        </w:tc>
        <w:tc>
          <w:tcPr>
            <w:tcW w:w="1287" w:type="dxa"/>
            <w:tcBorders>
              <w:top w:val="nil"/>
              <w:left w:val="nil"/>
              <w:bottom w:val="single" w:color="auto" w:sz="4" w:space="0"/>
              <w:right w:val="single" w:color="auto" w:sz="4" w:space="0"/>
            </w:tcBorders>
            <w:vAlign w:val="center"/>
          </w:tcPr>
          <w:p w14:paraId="1631C6F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中车（北京）二七机车有限公司</w:t>
            </w:r>
          </w:p>
        </w:tc>
        <w:tc>
          <w:tcPr>
            <w:tcW w:w="864" w:type="dxa"/>
            <w:tcBorders>
              <w:top w:val="nil"/>
              <w:left w:val="nil"/>
              <w:bottom w:val="single" w:color="auto" w:sz="4" w:space="0"/>
              <w:right w:val="single" w:color="auto" w:sz="4" w:space="0"/>
            </w:tcBorders>
            <w:vAlign w:val="center"/>
          </w:tcPr>
          <w:p w14:paraId="0EAB9C8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长辛店二七机车厂</w:t>
            </w:r>
          </w:p>
        </w:tc>
        <w:tc>
          <w:tcPr>
            <w:tcW w:w="5911" w:type="dxa"/>
            <w:tcBorders>
              <w:top w:val="nil"/>
              <w:left w:val="nil"/>
              <w:bottom w:val="single" w:color="auto" w:sz="4" w:space="0"/>
              <w:right w:val="single" w:color="auto" w:sz="4" w:space="0"/>
            </w:tcBorders>
            <w:vAlign w:val="center"/>
          </w:tcPr>
          <w:p w14:paraId="68A1690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二七机车厂近代建筑遗存6栋法式建筑、1栋比利时建筑进行保护修缮。</w:t>
            </w:r>
          </w:p>
        </w:tc>
        <w:tc>
          <w:tcPr>
            <w:tcW w:w="870" w:type="dxa"/>
            <w:tcBorders>
              <w:top w:val="nil"/>
              <w:left w:val="nil"/>
              <w:bottom w:val="single" w:color="auto" w:sz="4" w:space="0"/>
              <w:right w:val="single" w:color="auto" w:sz="4" w:space="0"/>
            </w:tcBorders>
            <w:vAlign w:val="center"/>
          </w:tcPr>
          <w:p w14:paraId="1346CD9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731" w:type="dxa"/>
            <w:tcBorders>
              <w:top w:val="nil"/>
              <w:left w:val="nil"/>
              <w:bottom w:val="single" w:color="auto" w:sz="4" w:space="0"/>
              <w:right w:val="single" w:color="auto" w:sz="4" w:space="0"/>
            </w:tcBorders>
            <w:vAlign w:val="center"/>
          </w:tcPr>
          <w:p w14:paraId="1E490AF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2026年</w:t>
            </w:r>
          </w:p>
        </w:tc>
        <w:tc>
          <w:tcPr>
            <w:tcW w:w="920" w:type="dxa"/>
            <w:tcBorders>
              <w:top w:val="nil"/>
              <w:left w:val="nil"/>
              <w:bottom w:val="single" w:color="auto" w:sz="4" w:space="0"/>
              <w:right w:val="single" w:color="auto" w:sz="4" w:space="0"/>
            </w:tcBorders>
            <w:vAlign w:val="center"/>
          </w:tcPr>
          <w:p w14:paraId="7336970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2000</w:t>
            </w:r>
          </w:p>
        </w:tc>
      </w:tr>
      <w:tr w14:paraId="6836739D">
        <w:trPr>
          <w:trHeight w:val="411" w:hRule="atLeast"/>
          <w:jc w:val="center"/>
        </w:trPr>
        <w:tc>
          <w:tcPr>
            <w:tcW w:w="13112" w:type="dxa"/>
            <w:gridSpan w:val="9"/>
            <w:tcBorders>
              <w:top w:val="single" w:color="auto" w:sz="4" w:space="0"/>
              <w:left w:val="single" w:color="auto" w:sz="4" w:space="0"/>
              <w:bottom w:val="single" w:color="auto" w:sz="4" w:space="0"/>
              <w:right w:val="single" w:color="auto" w:sz="4" w:space="0"/>
            </w:tcBorders>
            <w:vAlign w:val="center"/>
          </w:tcPr>
          <w:p w14:paraId="277B0C39">
            <w:pPr>
              <w:widowControl/>
              <w:spacing w:after="0" w:line="280" w:lineRule="exact"/>
              <w:ind w:firstLine="0" w:firstLineChars="0"/>
              <w:jc w:val="center"/>
              <w:rPr>
                <w:rFonts w:hint="eastAsia" w:ascii="仿宋_GB2312" w:hAnsi="宋体" w:cs="宋体"/>
                <w:b/>
                <w:bCs/>
                <w:kern w:val="0"/>
                <w:sz w:val="24"/>
                <w:szCs w:val="24"/>
              </w:rPr>
            </w:pPr>
            <w:r>
              <w:rPr>
                <w:rFonts w:hint="eastAsia" w:ascii="仿宋_GB2312" w:hAnsi="宋体" w:cs="宋体"/>
                <w:b/>
                <w:bCs/>
                <w:kern w:val="0"/>
                <w:sz w:val="24"/>
                <w:szCs w:val="24"/>
              </w:rPr>
              <w:t>四环文旅体休闲活力带</w:t>
            </w:r>
          </w:p>
        </w:tc>
        <w:tc>
          <w:tcPr>
            <w:tcW w:w="920" w:type="dxa"/>
            <w:tcBorders>
              <w:top w:val="nil"/>
              <w:left w:val="nil"/>
              <w:bottom w:val="single" w:color="auto" w:sz="4" w:space="0"/>
              <w:right w:val="single" w:color="auto" w:sz="4" w:space="0"/>
            </w:tcBorders>
            <w:noWrap/>
            <w:vAlign w:val="center"/>
          </w:tcPr>
          <w:p w14:paraId="3690B32C">
            <w:pPr>
              <w:widowControl/>
              <w:spacing w:after="0" w:line="280" w:lineRule="exact"/>
              <w:ind w:firstLine="0" w:firstLineChars="0"/>
              <w:rPr>
                <w:rFonts w:hint="eastAsia" w:ascii="仿宋_GB2312" w:hAnsi="宋体" w:cs="宋体"/>
                <w:kern w:val="0"/>
                <w:sz w:val="24"/>
                <w:szCs w:val="24"/>
              </w:rPr>
            </w:pPr>
            <w:r>
              <w:rPr>
                <w:rFonts w:hint="eastAsia" w:ascii="仿宋_GB2312" w:hAnsi="宋体" w:cs="宋体"/>
                <w:kern w:val="0"/>
                <w:sz w:val="24"/>
                <w:szCs w:val="24"/>
              </w:rPr>
              <w:t>　</w:t>
            </w:r>
          </w:p>
        </w:tc>
      </w:tr>
      <w:tr w14:paraId="3DBFE289">
        <w:trPr>
          <w:trHeight w:val="1698" w:hRule="atLeast"/>
          <w:jc w:val="center"/>
        </w:trPr>
        <w:tc>
          <w:tcPr>
            <w:tcW w:w="470" w:type="dxa"/>
            <w:tcBorders>
              <w:top w:val="nil"/>
              <w:left w:val="single" w:color="auto" w:sz="4" w:space="0"/>
              <w:bottom w:val="single" w:color="auto" w:sz="4" w:space="0"/>
              <w:right w:val="single" w:color="auto" w:sz="4" w:space="0"/>
            </w:tcBorders>
            <w:vAlign w:val="center"/>
          </w:tcPr>
          <w:p w14:paraId="0BFE414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18</w:t>
            </w:r>
          </w:p>
        </w:tc>
        <w:tc>
          <w:tcPr>
            <w:tcW w:w="1252" w:type="dxa"/>
            <w:tcBorders>
              <w:top w:val="nil"/>
              <w:left w:val="nil"/>
              <w:bottom w:val="single" w:color="auto" w:sz="4" w:space="0"/>
              <w:right w:val="single" w:color="auto" w:sz="4" w:space="0"/>
            </w:tcBorders>
            <w:vAlign w:val="center"/>
          </w:tcPr>
          <w:p w14:paraId="341B023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葆台汉文化公园项目（一期）</w:t>
            </w:r>
          </w:p>
        </w:tc>
        <w:tc>
          <w:tcPr>
            <w:tcW w:w="719" w:type="dxa"/>
            <w:tcBorders>
              <w:top w:val="nil"/>
              <w:left w:val="nil"/>
              <w:bottom w:val="single" w:color="auto" w:sz="4" w:space="0"/>
              <w:right w:val="single" w:color="auto" w:sz="4" w:space="0"/>
            </w:tcBorders>
            <w:vAlign w:val="center"/>
          </w:tcPr>
          <w:p w14:paraId="0B3074B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5CF937B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丰台区园林绿化局、丰台区文旅局</w:t>
            </w:r>
          </w:p>
        </w:tc>
        <w:tc>
          <w:tcPr>
            <w:tcW w:w="1287" w:type="dxa"/>
            <w:tcBorders>
              <w:top w:val="nil"/>
              <w:left w:val="nil"/>
              <w:bottom w:val="single" w:color="auto" w:sz="4" w:space="0"/>
              <w:right w:val="single" w:color="auto" w:sz="4" w:space="0"/>
            </w:tcBorders>
            <w:vAlign w:val="center"/>
          </w:tcPr>
          <w:p w14:paraId="5FDB2EA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南森公司</w:t>
            </w:r>
          </w:p>
        </w:tc>
        <w:tc>
          <w:tcPr>
            <w:tcW w:w="864" w:type="dxa"/>
            <w:tcBorders>
              <w:top w:val="nil"/>
              <w:left w:val="nil"/>
              <w:bottom w:val="single" w:color="auto" w:sz="4" w:space="0"/>
              <w:right w:val="single" w:color="auto" w:sz="4" w:space="0"/>
            </w:tcBorders>
            <w:vAlign w:val="center"/>
          </w:tcPr>
          <w:p w14:paraId="7699F8A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丰台区花乡街道</w:t>
            </w:r>
          </w:p>
        </w:tc>
        <w:tc>
          <w:tcPr>
            <w:tcW w:w="5911" w:type="dxa"/>
            <w:tcBorders>
              <w:top w:val="nil"/>
              <w:left w:val="nil"/>
              <w:bottom w:val="single" w:color="auto" w:sz="4" w:space="0"/>
              <w:right w:val="single" w:color="auto" w:sz="4" w:space="0"/>
            </w:tcBorders>
            <w:vAlign w:val="center"/>
          </w:tcPr>
          <w:p w14:paraId="0BE5617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为贯彻落实北京“全国文化中心”建设、“博物馆之城”建设、“花园城市”建设相关部署，依托大葆台遗址建设葆台汉文化公园，将其打造成为“全国标志性的汉文化传播交流基地、广受汉文化爱好者喜爱的网红打卡地、文商旅体多业态融合的活力消费地”，擦亮区域汉代历史文化底色，树立具有牵引力的文化新地标。</w:t>
            </w:r>
          </w:p>
        </w:tc>
        <w:tc>
          <w:tcPr>
            <w:tcW w:w="870" w:type="dxa"/>
            <w:tcBorders>
              <w:top w:val="nil"/>
              <w:left w:val="nil"/>
              <w:bottom w:val="single" w:color="auto" w:sz="4" w:space="0"/>
              <w:right w:val="single" w:color="auto" w:sz="4" w:space="0"/>
            </w:tcBorders>
            <w:vAlign w:val="center"/>
          </w:tcPr>
          <w:p w14:paraId="79D98FB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731" w:type="dxa"/>
            <w:tcBorders>
              <w:top w:val="nil"/>
              <w:left w:val="nil"/>
              <w:bottom w:val="single" w:color="auto" w:sz="4" w:space="0"/>
              <w:right w:val="single" w:color="auto" w:sz="4" w:space="0"/>
            </w:tcBorders>
            <w:vAlign w:val="center"/>
          </w:tcPr>
          <w:p w14:paraId="2A6B25C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6B94925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9408</w:t>
            </w:r>
          </w:p>
        </w:tc>
      </w:tr>
      <w:tr w14:paraId="0F91F1A1">
        <w:trPr>
          <w:trHeight w:val="2557" w:hRule="atLeast"/>
          <w:jc w:val="center"/>
        </w:trPr>
        <w:tc>
          <w:tcPr>
            <w:tcW w:w="470" w:type="dxa"/>
            <w:tcBorders>
              <w:top w:val="nil"/>
              <w:left w:val="single" w:color="auto" w:sz="4" w:space="0"/>
              <w:bottom w:val="single" w:color="auto" w:sz="4" w:space="0"/>
              <w:right w:val="single" w:color="auto" w:sz="4" w:space="0"/>
            </w:tcBorders>
            <w:vAlign w:val="center"/>
          </w:tcPr>
          <w:p w14:paraId="0562793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19</w:t>
            </w:r>
          </w:p>
        </w:tc>
        <w:tc>
          <w:tcPr>
            <w:tcW w:w="1252" w:type="dxa"/>
            <w:tcBorders>
              <w:top w:val="nil"/>
              <w:left w:val="nil"/>
              <w:bottom w:val="single" w:color="auto" w:sz="4" w:space="0"/>
              <w:right w:val="single" w:color="auto" w:sz="4" w:space="0"/>
            </w:tcBorders>
            <w:vAlign w:val="center"/>
          </w:tcPr>
          <w:p w14:paraId="2DD0E57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北京汽车博物馆提质升级项目</w:t>
            </w:r>
          </w:p>
        </w:tc>
        <w:tc>
          <w:tcPr>
            <w:tcW w:w="719" w:type="dxa"/>
            <w:tcBorders>
              <w:top w:val="nil"/>
              <w:left w:val="nil"/>
              <w:bottom w:val="single" w:color="auto" w:sz="4" w:space="0"/>
              <w:right w:val="single" w:color="auto" w:sz="4" w:space="0"/>
            </w:tcBorders>
            <w:vAlign w:val="center"/>
          </w:tcPr>
          <w:p w14:paraId="420089D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29B57F2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丰台区文旅局</w:t>
            </w:r>
          </w:p>
        </w:tc>
        <w:tc>
          <w:tcPr>
            <w:tcW w:w="1287" w:type="dxa"/>
            <w:tcBorders>
              <w:top w:val="nil"/>
              <w:left w:val="nil"/>
              <w:bottom w:val="single" w:color="auto" w:sz="4" w:space="0"/>
              <w:right w:val="single" w:color="auto" w:sz="4" w:space="0"/>
            </w:tcBorders>
            <w:vAlign w:val="center"/>
          </w:tcPr>
          <w:p w14:paraId="32DC114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北京汽车博物馆</w:t>
            </w:r>
          </w:p>
        </w:tc>
        <w:tc>
          <w:tcPr>
            <w:tcW w:w="864" w:type="dxa"/>
            <w:tcBorders>
              <w:top w:val="nil"/>
              <w:left w:val="nil"/>
              <w:bottom w:val="single" w:color="auto" w:sz="4" w:space="0"/>
              <w:right w:val="single" w:color="auto" w:sz="4" w:space="0"/>
            </w:tcBorders>
            <w:vAlign w:val="center"/>
          </w:tcPr>
          <w:p w14:paraId="3F8E976C">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丰台区花乡街道办事处南四环西路126号北京汽车博物馆</w:t>
            </w:r>
          </w:p>
        </w:tc>
        <w:tc>
          <w:tcPr>
            <w:tcW w:w="5911" w:type="dxa"/>
            <w:tcBorders>
              <w:top w:val="nil"/>
              <w:left w:val="nil"/>
              <w:bottom w:val="single" w:color="auto" w:sz="4" w:space="0"/>
              <w:right w:val="single" w:color="auto" w:sz="4" w:space="0"/>
            </w:tcBorders>
            <w:vAlign w:val="center"/>
          </w:tcPr>
          <w:p w14:paraId="5C53D589">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北京汽车博物馆提质升级项目建设内容：本项目为原址提质升级改造及扩建工程，涉及新增建设用地。在现有总建筑面积约50000</w:t>
            </w: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的范围基础上，利用西侧广场绿地约</w:t>
            </w:r>
            <w:r>
              <w:rPr>
                <w:rFonts w:hint="eastAsia" w:ascii="仿宋_GB2312" w:hAnsi="宋体" w:cs="宋体"/>
                <w:kern w:val="0"/>
                <w:sz w:val="24"/>
                <w:szCs w:val="24"/>
              </w:rPr>
              <w:t>8350</w:t>
            </w: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占地面积（其中新增建设用地约</w:t>
            </w:r>
            <w:r>
              <w:rPr>
                <w:rFonts w:hint="eastAsia" w:ascii="仿宋_GB2312" w:hAnsi="宋体" w:cs="宋体"/>
                <w:kern w:val="0"/>
                <w:sz w:val="24"/>
                <w:szCs w:val="24"/>
              </w:rPr>
              <w:t>5025</w:t>
            </w: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），规划建设总建筑面积达</w:t>
            </w:r>
            <w:r>
              <w:rPr>
                <w:rFonts w:hint="eastAsia" w:ascii="仿宋_GB2312" w:hAnsi="宋体" w:cs="宋体"/>
                <w:kern w:val="0"/>
                <w:sz w:val="24"/>
                <w:szCs w:val="24"/>
              </w:rPr>
              <w:t>30000</w:t>
            </w:r>
            <w:r>
              <w:rPr>
                <w:rFonts w:hint="eastAsia" w:ascii="微软雅黑" w:hAnsi="微软雅黑" w:eastAsia="微软雅黑" w:cs="微软雅黑"/>
                <w:kern w:val="0"/>
                <w:sz w:val="24"/>
                <w:szCs w:val="24"/>
              </w:rPr>
              <w:t>㎡</w:t>
            </w:r>
            <w:r>
              <w:rPr>
                <w:rFonts w:hint="eastAsia" w:ascii="仿宋_GB2312" w:hAnsi="仿宋_GB2312" w:cs="仿宋_GB2312"/>
                <w:kern w:val="0"/>
                <w:sz w:val="24"/>
                <w:szCs w:val="24"/>
              </w:rPr>
              <w:t>的</w:t>
            </w:r>
            <w:r>
              <w:rPr>
                <w:rFonts w:hint="eastAsia" w:ascii="仿宋_GB2312" w:hAnsi="宋体" w:cs="宋体"/>
                <w:kern w:val="0"/>
                <w:sz w:val="24"/>
                <w:szCs w:val="24"/>
              </w:rPr>
              <w:t>“汽车文化创意中心”，并对建筑本体进行系统性改造。“汽车文化创意中心”规划创驰（发布）、创变（办公）、创研（招商）、创曜（展示）、创乐（娱乐）五大核心空间，承载高端发布、深度体验及产业孵化功能。</w:t>
            </w:r>
          </w:p>
        </w:tc>
        <w:tc>
          <w:tcPr>
            <w:tcW w:w="870" w:type="dxa"/>
            <w:tcBorders>
              <w:top w:val="nil"/>
              <w:left w:val="nil"/>
              <w:bottom w:val="single" w:color="auto" w:sz="4" w:space="0"/>
              <w:right w:val="single" w:color="auto" w:sz="4" w:space="0"/>
            </w:tcBorders>
            <w:vAlign w:val="center"/>
          </w:tcPr>
          <w:p w14:paraId="1733D7A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731" w:type="dxa"/>
            <w:tcBorders>
              <w:top w:val="nil"/>
              <w:left w:val="nil"/>
              <w:bottom w:val="single" w:color="auto" w:sz="4" w:space="0"/>
              <w:right w:val="single" w:color="auto" w:sz="4" w:space="0"/>
            </w:tcBorders>
            <w:vAlign w:val="center"/>
          </w:tcPr>
          <w:p w14:paraId="3AE56801">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920" w:type="dxa"/>
            <w:tcBorders>
              <w:top w:val="nil"/>
              <w:left w:val="nil"/>
              <w:bottom w:val="single" w:color="auto" w:sz="4" w:space="0"/>
              <w:right w:val="single" w:color="auto" w:sz="4" w:space="0"/>
            </w:tcBorders>
            <w:vAlign w:val="center"/>
          </w:tcPr>
          <w:p w14:paraId="0DD3C0A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35673.32</w:t>
            </w:r>
          </w:p>
        </w:tc>
      </w:tr>
      <w:tr w14:paraId="1CDDCBB7">
        <w:trPr>
          <w:trHeight w:val="1053" w:hRule="atLeast"/>
          <w:jc w:val="center"/>
        </w:trPr>
        <w:tc>
          <w:tcPr>
            <w:tcW w:w="470" w:type="dxa"/>
            <w:tcBorders>
              <w:top w:val="nil"/>
              <w:left w:val="single" w:color="auto" w:sz="4" w:space="0"/>
              <w:bottom w:val="single" w:color="auto" w:sz="4" w:space="0"/>
              <w:right w:val="single" w:color="auto" w:sz="4" w:space="0"/>
            </w:tcBorders>
            <w:vAlign w:val="center"/>
          </w:tcPr>
          <w:p w14:paraId="6CEF5ABE">
            <w:pPr>
              <w:widowControl/>
              <w:spacing w:after="0" w:line="280" w:lineRule="exact"/>
              <w:ind w:firstLine="0" w:firstLineChars="0"/>
              <w:jc w:val="left"/>
              <w:rPr>
                <w:rFonts w:hint="eastAsia" w:ascii="仿宋_GB2312" w:hAnsi="宋体" w:cs="宋体"/>
                <w:kern w:val="0"/>
                <w:sz w:val="24"/>
                <w:szCs w:val="24"/>
              </w:rPr>
            </w:pPr>
            <w:bookmarkStart w:id="279" w:name="_Hlk240818779"/>
            <w:r>
              <w:rPr>
                <w:rFonts w:hint="eastAsia" w:ascii="仿宋_GB2312" w:hAnsi="宋体" w:cs="宋体"/>
                <w:kern w:val="0"/>
                <w:sz w:val="24"/>
                <w:szCs w:val="24"/>
              </w:rPr>
              <w:t>20</w:t>
            </w:r>
          </w:p>
        </w:tc>
        <w:tc>
          <w:tcPr>
            <w:tcW w:w="1252" w:type="dxa"/>
            <w:tcBorders>
              <w:top w:val="nil"/>
              <w:left w:val="nil"/>
              <w:bottom w:val="single" w:color="auto" w:sz="4" w:space="0"/>
              <w:right w:val="single" w:color="auto" w:sz="4" w:space="0"/>
            </w:tcBorders>
            <w:vAlign w:val="center"/>
          </w:tcPr>
          <w:p w14:paraId="3579202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丰台体育中心功能提升项目</w:t>
            </w:r>
          </w:p>
        </w:tc>
        <w:tc>
          <w:tcPr>
            <w:tcW w:w="719" w:type="dxa"/>
            <w:tcBorders>
              <w:top w:val="nil"/>
              <w:left w:val="nil"/>
              <w:bottom w:val="single" w:color="auto" w:sz="4" w:space="0"/>
              <w:right w:val="single" w:color="auto" w:sz="4" w:space="0"/>
            </w:tcBorders>
            <w:vAlign w:val="center"/>
          </w:tcPr>
          <w:p w14:paraId="02D2B4F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6874F77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6A466F9D">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864" w:type="dxa"/>
            <w:tcBorders>
              <w:top w:val="nil"/>
              <w:left w:val="nil"/>
              <w:bottom w:val="single" w:color="auto" w:sz="4" w:space="0"/>
              <w:right w:val="single" w:color="auto" w:sz="4" w:space="0"/>
            </w:tcBorders>
            <w:vAlign w:val="center"/>
          </w:tcPr>
          <w:p w14:paraId="2B34D3A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丰台区五里店街道</w:t>
            </w:r>
          </w:p>
        </w:tc>
        <w:tc>
          <w:tcPr>
            <w:tcW w:w="5911" w:type="dxa"/>
            <w:tcBorders>
              <w:top w:val="nil"/>
              <w:left w:val="nil"/>
              <w:bottom w:val="single" w:color="auto" w:sz="4" w:space="0"/>
              <w:right w:val="single" w:color="auto" w:sz="4" w:space="0"/>
            </w:tcBorders>
            <w:vAlign w:val="center"/>
          </w:tcPr>
          <w:p w14:paraId="24A8333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本项目占地21.78万平方米，建筑面积约6.45万平方米，拟建设融合集赛展演娱活动中心、丰台棒垒球文化传承地、活力商业街区为一体的北京市西南部地区文化体育活力中心。</w:t>
            </w:r>
          </w:p>
        </w:tc>
        <w:tc>
          <w:tcPr>
            <w:tcW w:w="870" w:type="dxa"/>
            <w:tcBorders>
              <w:top w:val="nil"/>
              <w:left w:val="nil"/>
              <w:bottom w:val="single" w:color="auto" w:sz="4" w:space="0"/>
              <w:right w:val="single" w:color="auto" w:sz="4" w:space="0"/>
            </w:tcBorders>
            <w:vAlign w:val="center"/>
          </w:tcPr>
          <w:p w14:paraId="63C1896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2027年</w:t>
            </w:r>
          </w:p>
        </w:tc>
        <w:tc>
          <w:tcPr>
            <w:tcW w:w="731" w:type="dxa"/>
            <w:tcBorders>
              <w:top w:val="nil"/>
              <w:left w:val="nil"/>
              <w:bottom w:val="single" w:color="auto" w:sz="4" w:space="0"/>
              <w:right w:val="single" w:color="auto" w:sz="4" w:space="0"/>
            </w:tcBorders>
            <w:vAlign w:val="center"/>
          </w:tcPr>
          <w:p w14:paraId="12C094F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2029年</w:t>
            </w:r>
          </w:p>
        </w:tc>
        <w:tc>
          <w:tcPr>
            <w:tcW w:w="920" w:type="dxa"/>
            <w:tcBorders>
              <w:top w:val="nil"/>
              <w:left w:val="nil"/>
              <w:bottom w:val="single" w:color="auto" w:sz="4" w:space="0"/>
              <w:right w:val="single" w:color="auto" w:sz="4" w:space="0"/>
            </w:tcBorders>
            <w:vAlign w:val="center"/>
          </w:tcPr>
          <w:p w14:paraId="011EFD0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100000</w:t>
            </w:r>
          </w:p>
        </w:tc>
      </w:tr>
      <w:bookmarkEnd w:id="279"/>
      <w:tr w14:paraId="62861367">
        <w:trPr>
          <w:trHeight w:val="979" w:hRule="atLeast"/>
          <w:jc w:val="center"/>
        </w:trPr>
        <w:tc>
          <w:tcPr>
            <w:tcW w:w="470" w:type="dxa"/>
            <w:tcBorders>
              <w:top w:val="nil"/>
              <w:left w:val="single" w:color="auto" w:sz="4" w:space="0"/>
              <w:bottom w:val="single" w:color="auto" w:sz="4" w:space="0"/>
              <w:right w:val="single" w:color="auto" w:sz="4" w:space="0"/>
            </w:tcBorders>
            <w:vAlign w:val="center"/>
          </w:tcPr>
          <w:p w14:paraId="03DCDA9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21</w:t>
            </w:r>
          </w:p>
        </w:tc>
        <w:tc>
          <w:tcPr>
            <w:tcW w:w="1252" w:type="dxa"/>
            <w:tcBorders>
              <w:top w:val="nil"/>
              <w:left w:val="nil"/>
              <w:bottom w:val="single" w:color="auto" w:sz="4" w:space="0"/>
              <w:right w:val="single" w:color="auto" w:sz="4" w:space="0"/>
            </w:tcBorders>
            <w:vAlign w:val="center"/>
          </w:tcPr>
          <w:p w14:paraId="4ABB81AE">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北京龙源宾馆改造项目</w:t>
            </w:r>
          </w:p>
        </w:tc>
        <w:tc>
          <w:tcPr>
            <w:tcW w:w="719" w:type="dxa"/>
            <w:tcBorders>
              <w:top w:val="nil"/>
              <w:left w:val="nil"/>
              <w:bottom w:val="single" w:color="auto" w:sz="4" w:space="0"/>
              <w:right w:val="single" w:color="auto" w:sz="4" w:space="0"/>
            </w:tcBorders>
            <w:vAlign w:val="center"/>
          </w:tcPr>
          <w:p w14:paraId="166ABAB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178A50E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丰台区农业农村局</w:t>
            </w:r>
          </w:p>
        </w:tc>
        <w:tc>
          <w:tcPr>
            <w:tcW w:w="1287" w:type="dxa"/>
            <w:tcBorders>
              <w:top w:val="nil"/>
              <w:left w:val="nil"/>
              <w:bottom w:val="single" w:color="auto" w:sz="4" w:space="0"/>
              <w:right w:val="single" w:color="auto" w:sz="4" w:space="0"/>
            </w:tcBorders>
            <w:vAlign w:val="center"/>
          </w:tcPr>
          <w:p w14:paraId="304DA36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北京市菜户营科工贸集团</w:t>
            </w:r>
          </w:p>
        </w:tc>
        <w:tc>
          <w:tcPr>
            <w:tcW w:w="864" w:type="dxa"/>
            <w:tcBorders>
              <w:top w:val="nil"/>
              <w:left w:val="nil"/>
              <w:bottom w:val="single" w:color="auto" w:sz="4" w:space="0"/>
              <w:right w:val="single" w:color="auto" w:sz="4" w:space="0"/>
            </w:tcBorders>
            <w:vAlign w:val="center"/>
          </w:tcPr>
          <w:p w14:paraId="2D81795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丰台区太平桥街道</w:t>
            </w:r>
          </w:p>
        </w:tc>
        <w:tc>
          <w:tcPr>
            <w:tcW w:w="5911" w:type="dxa"/>
            <w:tcBorders>
              <w:top w:val="nil"/>
              <w:left w:val="nil"/>
              <w:bottom w:val="single" w:color="auto" w:sz="4" w:space="0"/>
              <w:right w:val="single" w:color="auto" w:sz="4" w:space="0"/>
            </w:tcBorders>
            <w:vAlign w:val="center"/>
          </w:tcPr>
          <w:p w14:paraId="5B189B7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对龙源宾馆实施内部装修改造，增设文体活动场地、便民服务站等配套设施。</w:t>
            </w:r>
          </w:p>
        </w:tc>
        <w:tc>
          <w:tcPr>
            <w:tcW w:w="870" w:type="dxa"/>
            <w:tcBorders>
              <w:top w:val="nil"/>
              <w:left w:val="nil"/>
              <w:bottom w:val="single" w:color="auto" w:sz="4" w:space="0"/>
              <w:right w:val="single" w:color="auto" w:sz="4" w:space="0"/>
            </w:tcBorders>
            <w:vAlign w:val="center"/>
          </w:tcPr>
          <w:p w14:paraId="5A10885B">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731" w:type="dxa"/>
            <w:tcBorders>
              <w:top w:val="nil"/>
              <w:left w:val="nil"/>
              <w:bottom w:val="single" w:color="auto" w:sz="4" w:space="0"/>
              <w:right w:val="single" w:color="auto" w:sz="4" w:space="0"/>
            </w:tcBorders>
            <w:vAlign w:val="center"/>
          </w:tcPr>
          <w:p w14:paraId="474BF562">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2030年</w:t>
            </w:r>
          </w:p>
        </w:tc>
        <w:tc>
          <w:tcPr>
            <w:tcW w:w="920" w:type="dxa"/>
            <w:tcBorders>
              <w:top w:val="nil"/>
              <w:left w:val="nil"/>
              <w:bottom w:val="single" w:color="auto" w:sz="4" w:space="0"/>
              <w:right w:val="single" w:color="auto" w:sz="4" w:space="0"/>
            </w:tcBorders>
            <w:vAlign w:val="center"/>
          </w:tcPr>
          <w:p w14:paraId="481180C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46500</w:t>
            </w:r>
          </w:p>
        </w:tc>
      </w:tr>
      <w:tr w14:paraId="4CED455A">
        <w:trPr>
          <w:trHeight w:val="263" w:hRule="atLeast"/>
          <w:jc w:val="center"/>
        </w:trPr>
        <w:tc>
          <w:tcPr>
            <w:tcW w:w="13112" w:type="dxa"/>
            <w:gridSpan w:val="9"/>
            <w:tcBorders>
              <w:top w:val="single" w:color="auto" w:sz="4" w:space="0"/>
              <w:left w:val="single" w:color="auto" w:sz="4" w:space="0"/>
              <w:bottom w:val="single" w:color="auto" w:sz="4" w:space="0"/>
              <w:right w:val="single" w:color="auto" w:sz="4" w:space="0"/>
            </w:tcBorders>
            <w:vAlign w:val="center"/>
          </w:tcPr>
          <w:p w14:paraId="4CA350B3">
            <w:pPr>
              <w:widowControl/>
              <w:spacing w:after="0" w:line="280" w:lineRule="exact"/>
              <w:ind w:firstLine="0" w:firstLineChars="0"/>
              <w:jc w:val="center"/>
              <w:rPr>
                <w:rFonts w:hint="eastAsia" w:ascii="仿宋_GB2312" w:hAnsi="宋体" w:cs="宋体"/>
                <w:b/>
                <w:bCs/>
                <w:kern w:val="0"/>
                <w:sz w:val="24"/>
                <w:szCs w:val="24"/>
              </w:rPr>
            </w:pPr>
            <w:r>
              <w:rPr>
                <w:rFonts w:hint="eastAsia" w:ascii="仿宋_GB2312" w:hAnsi="宋体" w:cs="宋体"/>
                <w:b/>
                <w:bCs/>
                <w:kern w:val="0"/>
                <w:sz w:val="24"/>
                <w:szCs w:val="24"/>
              </w:rPr>
              <w:t>其他</w:t>
            </w:r>
          </w:p>
        </w:tc>
        <w:tc>
          <w:tcPr>
            <w:tcW w:w="920" w:type="dxa"/>
            <w:tcBorders>
              <w:top w:val="nil"/>
              <w:left w:val="nil"/>
              <w:bottom w:val="single" w:color="auto" w:sz="4" w:space="0"/>
              <w:right w:val="single" w:color="auto" w:sz="4" w:space="0"/>
            </w:tcBorders>
            <w:noWrap/>
            <w:vAlign w:val="center"/>
          </w:tcPr>
          <w:p w14:paraId="305BCDA7">
            <w:pPr>
              <w:widowControl/>
              <w:spacing w:after="0" w:line="280" w:lineRule="exact"/>
              <w:ind w:firstLine="0" w:firstLineChars="0"/>
              <w:rPr>
                <w:rFonts w:hint="eastAsia" w:ascii="仿宋_GB2312" w:hAnsi="宋体" w:cs="宋体"/>
                <w:kern w:val="0"/>
                <w:sz w:val="24"/>
                <w:szCs w:val="24"/>
              </w:rPr>
            </w:pPr>
            <w:r>
              <w:rPr>
                <w:rFonts w:hint="eastAsia" w:ascii="仿宋_GB2312" w:hAnsi="宋体" w:cs="宋体"/>
                <w:kern w:val="0"/>
                <w:sz w:val="24"/>
                <w:szCs w:val="24"/>
              </w:rPr>
              <w:t>　</w:t>
            </w:r>
          </w:p>
        </w:tc>
      </w:tr>
      <w:tr w14:paraId="10D3EAC1">
        <w:trPr>
          <w:trHeight w:val="1046" w:hRule="atLeast"/>
          <w:jc w:val="center"/>
        </w:trPr>
        <w:tc>
          <w:tcPr>
            <w:tcW w:w="470" w:type="dxa"/>
            <w:tcBorders>
              <w:top w:val="nil"/>
              <w:left w:val="single" w:color="auto" w:sz="4" w:space="0"/>
              <w:bottom w:val="single" w:color="auto" w:sz="4" w:space="0"/>
              <w:right w:val="single" w:color="auto" w:sz="4" w:space="0"/>
            </w:tcBorders>
            <w:vAlign w:val="center"/>
          </w:tcPr>
          <w:p w14:paraId="7610D31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22</w:t>
            </w:r>
          </w:p>
        </w:tc>
        <w:tc>
          <w:tcPr>
            <w:tcW w:w="1252" w:type="dxa"/>
            <w:tcBorders>
              <w:top w:val="nil"/>
              <w:left w:val="nil"/>
              <w:bottom w:val="single" w:color="auto" w:sz="4" w:space="0"/>
              <w:right w:val="single" w:color="auto" w:sz="4" w:space="0"/>
            </w:tcBorders>
            <w:vAlign w:val="center"/>
          </w:tcPr>
          <w:p w14:paraId="7E7F2864">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亚林西体育用地项目</w:t>
            </w:r>
          </w:p>
        </w:tc>
        <w:tc>
          <w:tcPr>
            <w:tcW w:w="719" w:type="dxa"/>
            <w:tcBorders>
              <w:top w:val="nil"/>
              <w:left w:val="nil"/>
              <w:bottom w:val="single" w:color="auto" w:sz="4" w:space="0"/>
              <w:right w:val="single" w:color="auto" w:sz="4" w:space="0"/>
            </w:tcBorders>
            <w:vAlign w:val="center"/>
          </w:tcPr>
          <w:p w14:paraId="6F3D7B16">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谋划</w:t>
            </w:r>
          </w:p>
        </w:tc>
        <w:tc>
          <w:tcPr>
            <w:tcW w:w="1008" w:type="dxa"/>
            <w:tcBorders>
              <w:top w:val="nil"/>
              <w:left w:val="nil"/>
              <w:bottom w:val="single" w:color="auto" w:sz="4" w:space="0"/>
              <w:right w:val="single" w:color="auto" w:sz="4" w:space="0"/>
            </w:tcBorders>
            <w:vAlign w:val="center"/>
          </w:tcPr>
          <w:p w14:paraId="24A7F77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丰台区体育局</w:t>
            </w:r>
          </w:p>
        </w:tc>
        <w:tc>
          <w:tcPr>
            <w:tcW w:w="1287" w:type="dxa"/>
            <w:tcBorders>
              <w:top w:val="nil"/>
              <w:left w:val="nil"/>
              <w:bottom w:val="single" w:color="auto" w:sz="4" w:space="0"/>
              <w:right w:val="single" w:color="auto" w:sz="4" w:space="0"/>
            </w:tcBorders>
            <w:vAlign w:val="center"/>
          </w:tcPr>
          <w:p w14:paraId="5ACCC560">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待定</w:t>
            </w:r>
          </w:p>
        </w:tc>
        <w:tc>
          <w:tcPr>
            <w:tcW w:w="864" w:type="dxa"/>
            <w:tcBorders>
              <w:top w:val="nil"/>
              <w:left w:val="nil"/>
              <w:bottom w:val="single" w:color="auto" w:sz="4" w:space="0"/>
              <w:right w:val="single" w:color="auto" w:sz="4" w:space="0"/>
            </w:tcBorders>
            <w:vAlign w:val="center"/>
          </w:tcPr>
          <w:p w14:paraId="7CBCE277">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丰台区右安门街道</w:t>
            </w:r>
          </w:p>
        </w:tc>
        <w:tc>
          <w:tcPr>
            <w:tcW w:w="5911" w:type="dxa"/>
            <w:tcBorders>
              <w:top w:val="nil"/>
              <w:left w:val="nil"/>
              <w:bottom w:val="single" w:color="auto" w:sz="4" w:space="0"/>
              <w:right w:val="single" w:color="auto" w:sz="4" w:space="0"/>
            </w:tcBorders>
            <w:vAlign w:val="center"/>
          </w:tcPr>
          <w:p w14:paraId="7548F35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本项目位于丰台区右安门街道，东至西铁营西路、西至菜户营南路、南至铁路线、北至福宜街，建设用地性质为体育用地（A4），控规用地面积4.67万m</w:t>
            </w:r>
            <w:r>
              <w:rPr>
                <w:rFonts w:ascii="Calibri" w:hAnsi="Calibri" w:cs="Calibri"/>
                <w:kern w:val="0"/>
                <w:sz w:val="24"/>
                <w:szCs w:val="24"/>
              </w:rPr>
              <w:t>²</w:t>
            </w:r>
            <w:r>
              <w:rPr>
                <w:rFonts w:hint="eastAsia" w:ascii="仿宋_GB2312" w:hAnsi="宋体" w:cs="宋体"/>
                <w:kern w:val="0"/>
                <w:sz w:val="24"/>
                <w:szCs w:val="24"/>
              </w:rPr>
              <w:t>（容积率0.5、绿化率0.3、限高30米）。拟打造集全民健身、娱乐休闲于一体的多功能体育综合设施项目，切实发挥促进区域消费升级、服务民生需求的作用。</w:t>
            </w:r>
          </w:p>
        </w:tc>
        <w:tc>
          <w:tcPr>
            <w:tcW w:w="870" w:type="dxa"/>
            <w:tcBorders>
              <w:top w:val="nil"/>
              <w:left w:val="nil"/>
              <w:bottom w:val="single" w:color="auto" w:sz="4" w:space="0"/>
              <w:right w:val="single" w:color="auto" w:sz="4" w:space="0"/>
            </w:tcBorders>
            <w:vAlign w:val="center"/>
          </w:tcPr>
          <w:p w14:paraId="0AABC05A">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731" w:type="dxa"/>
            <w:tcBorders>
              <w:top w:val="nil"/>
              <w:left w:val="nil"/>
              <w:bottom w:val="single" w:color="auto" w:sz="4" w:space="0"/>
              <w:right w:val="single" w:color="auto" w:sz="4" w:space="0"/>
            </w:tcBorders>
            <w:vAlign w:val="center"/>
          </w:tcPr>
          <w:p w14:paraId="79FEE048">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2028年</w:t>
            </w:r>
          </w:p>
        </w:tc>
        <w:tc>
          <w:tcPr>
            <w:tcW w:w="920" w:type="dxa"/>
            <w:tcBorders>
              <w:top w:val="nil"/>
              <w:left w:val="nil"/>
              <w:bottom w:val="single" w:color="auto" w:sz="4" w:space="0"/>
              <w:right w:val="single" w:color="auto" w:sz="4" w:space="0"/>
            </w:tcBorders>
            <w:vAlign w:val="center"/>
          </w:tcPr>
          <w:p w14:paraId="41EF3513">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52500</w:t>
            </w:r>
          </w:p>
        </w:tc>
      </w:tr>
    </w:tbl>
    <w:p w14:paraId="092B5D71">
      <w:pPr>
        <w:spacing w:after="0"/>
        <w:ind w:firstLine="640"/>
      </w:pPr>
    </w:p>
    <w:p w14:paraId="09DB42D8">
      <w:pPr>
        <w:spacing w:after="0"/>
        <w:ind w:firstLine="640"/>
      </w:pPr>
      <w:r>
        <w:br w:type="page"/>
      </w:r>
    </w:p>
    <w:p w14:paraId="2CE1A137">
      <w:pPr>
        <w:widowControl/>
        <w:spacing w:after="0" w:line="240" w:lineRule="auto"/>
        <w:ind w:firstLine="0" w:firstLineChars="0"/>
        <w:jc w:val="left"/>
        <w:outlineLvl w:val="0"/>
        <w:rPr>
          <w:rFonts w:hint="eastAsia" w:ascii="方正小标宋简体" w:eastAsia="方正小标宋简体" w:cs="FZXBSJW--GB1-0"/>
          <w:kern w:val="0"/>
          <w:szCs w:val="36"/>
        </w:rPr>
      </w:pPr>
      <w:bookmarkStart w:id="280" w:name="_Toc241505650"/>
      <w:r>
        <w:rPr>
          <w:rFonts w:hint="eastAsia" w:ascii="Times New Roman" w:hAnsi="Times New Roman" w:eastAsia="黑体" w:cs="Times New Roman"/>
          <w:szCs w:val="32"/>
        </w:rPr>
        <w:t>附件</w:t>
      </w:r>
      <w:r>
        <w:rPr>
          <w:rFonts w:ascii="Times New Roman" w:hAnsi="Times New Roman" w:eastAsia="黑体" w:cs="Times New Roman"/>
          <w:szCs w:val="32"/>
        </w:rPr>
        <w:t xml:space="preserve">2 </w:t>
      </w:r>
      <w:r>
        <w:rPr>
          <w:rFonts w:hint="eastAsia" w:ascii="Times New Roman" w:hAnsi="Times New Roman" w:eastAsia="黑体" w:cs="Times New Roman"/>
          <w:szCs w:val="32"/>
        </w:rPr>
        <w:t>“十五五”时期丰台区文化旅游体育重点任务清单表</w:t>
      </w:r>
      <w:bookmarkEnd w:id="280"/>
    </w:p>
    <w:tbl>
      <w:tblPr>
        <w:tblStyle w:val="23"/>
        <w:tblW w:w="14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971"/>
        <w:gridCol w:w="857"/>
        <w:gridCol w:w="9427"/>
        <w:gridCol w:w="930"/>
        <w:gridCol w:w="1452"/>
      </w:tblGrid>
      <w:tr w14:paraId="395C391A">
        <w:trPr>
          <w:trHeight w:val="241" w:hRule="atLeast"/>
          <w:tblHeader/>
        </w:trPr>
        <w:tc>
          <w:tcPr>
            <w:tcW w:w="880" w:type="dxa"/>
            <w:vAlign w:val="center"/>
          </w:tcPr>
          <w:p w14:paraId="4854B738">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序号</w:t>
            </w:r>
          </w:p>
        </w:tc>
        <w:tc>
          <w:tcPr>
            <w:tcW w:w="971" w:type="dxa"/>
            <w:vAlign w:val="center"/>
          </w:tcPr>
          <w:p w14:paraId="7505C82A">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细分领域</w:t>
            </w:r>
          </w:p>
        </w:tc>
        <w:tc>
          <w:tcPr>
            <w:tcW w:w="857" w:type="dxa"/>
            <w:vAlign w:val="center"/>
          </w:tcPr>
          <w:p w14:paraId="79DCF7E1">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任务名称</w:t>
            </w:r>
          </w:p>
        </w:tc>
        <w:tc>
          <w:tcPr>
            <w:tcW w:w="9427" w:type="dxa"/>
            <w:vAlign w:val="center"/>
          </w:tcPr>
          <w:p w14:paraId="2D1E600F">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具体内容</w:t>
            </w:r>
          </w:p>
        </w:tc>
        <w:tc>
          <w:tcPr>
            <w:tcW w:w="930" w:type="dxa"/>
            <w:vAlign w:val="center"/>
          </w:tcPr>
          <w:p w14:paraId="0157F9E4">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牵头单位</w:t>
            </w:r>
          </w:p>
        </w:tc>
        <w:tc>
          <w:tcPr>
            <w:tcW w:w="1452" w:type="dxa"/>
            <w:vAlign w:val="center"/>
          </w:tcPr>
          <w:p w14:paraId="271A5C86">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配合单位</w:t>
            </w:r>
          </w:p>
        </w:tc>
      </w:tr>
      <w:tr w14:paraId="016177DF">
        <w:trPr>
          <w:trHeight w:val="1475" w:hRule="atLeast"/>
        </w:trPr>
        <w:tc>
          <w:tcPr>
            <w:tcW w:w="880" w:type="dxa"/>
            <w:vAlign w:val="center"/>
          </w:tcPr>
          <w:p w14:paraId="2207772C">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1</w:t>
            </w:r>
          </w:p>
        </w:tc>
        <w:tc>
          <w:tcPr>
            <w:tcW w:w="971" w:type="dxa"/>
            <w:vMerge w:val="restart"/>
            <w:vAlign w:val="center"/>
          </w:tcPr>
          <w:p w14:paraId="1373912E">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构建“一轴两带三区多点”融合发展新格局</w:t>
            </w:r>
          </w:p>
        </w:tc>
        <w:tc>
          <w:tcPr>
            <w:tcW w:w="857" w:type="dxa"/>
            <w:vAlign w:val="center"/>
          </w:tcPr>
          <w:p w14:paraId="53953C0B">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南中轴文化轴</w:t>
            </w:r>
          </w:p>
        </w:tc>
        <w:tc>
          <w:tcPr>
            <w:tcW w:w="9427" w:type="dxa"/>
            <w:vAlign w:val="center"/>
          </w:tcPr>
          <w:p w14:paraId="1F2D63E4">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1.构筑南中轴“未来轴线”，建设大红门博物馆群，推进文化博览、文化演艺等业态集聚发展。建成国家自然博物馆等国家级重大文化设施，推行“博物馆+”“展览+”模式，鼓励博物馆与文商旅体深度融合。</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2.以中央芭蕾舞团等国家级院团为引领，打造南中轴文博演艺区，丰富高品质文化供给。加快推进大国文化客厅建设，塑造国际文化交流新阵地，利用南中轴地区产业园区等多元文化空间，推动举办国际文化活动。</w:t>
            </w:r>
          </w:p>
        </w:tc>
        <w:tc>
          <w:tcPr>
            <w:tcW w:w="930" w:type="dxa"/>
            <w:vAlign w:val="center"/>
          </w:tcPr>
          <w:p w14:paraId="2B5DD8E7">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4A56DCCD">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南中轴管委会</w:t>
            </w:r>
          </w:p>
        </w:tc>
      </w:tr>
      <w:tr w14:paraId="7E3A7AAA">
        <w:trPr>
          <w:trHeight w:val="1133" w:hRule="atLeast"/>
        </w:trPr>
        <w:tc>
          <w:tcPr>
            <w:tcW w:w="880" w:type="dxa"/>
            <w:vAlign w:val="center"/>
          </w:tcPr>
          <w:p w14:paraId="13405FDC">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2</w:t>
            </w:r>
          </w:p>
        </w:tc>
        <w:tc>
          <w:tcPr>
            <w:tcW w:w="971" w:type="dxa"/>
            <w:vMerge w:val="continue"/>
            <w:vAlign w:val="center"/>
          </w:tcPr>
          <w:p w14:paraId="27AA3718">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48104D3A">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西山永定河文化带（丰台段）</w:t>
            </w:r>
          </w:p>
        </w:tc>
        <w:tc>
          <w:tcPr>
            <w:tcW w:w="9427" w:type="dxa"/>
            <w:vAlign w:val="center"/>
          </w:tcPr>
          <w:p w14:paraId="346F806D">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1.构建园博园“生态+文旅+休闲”城市综合功能区，焕新鹰山永定塔乐活区和园博湖动感活力水岸，打造永定河亲水消费廊道。向北联动首钢园，实现首钢工业游与园博生态游错位互补、共建共享。</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2.加快西山永定河文化带绿道（丰台段）建设，强化永定河流域（丰台段）水岸慢行系统连通和绿化美化。</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3.完善青少年水上运动基地（园博湖）功能建设，助力打造北京西部“两园一河”水岸客厅。</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4.以创建国家5A级旅游景区为目标，以打造世界和平纪念地为愿景，规划建设卢沟桥文化公园，实现“馆桥城园岛河”一体化运营。推进卢沟桥－宛平城城市更新，盘活片区空间、文旅和生态资源，提升文旅配套服务和景观风貌。</w:t>
            </w:r>
          </w:p>
        </w:tc>
        <w:tc>
          <w:tcPr>
            <w:tcW w:w="930" w:type="dxa"/>
            <w:vAlign w:val="center"/>
          </w:tcPr>
          <w:p w14:paraId="349EA95E">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45D457D6">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丰台区城管委、丰台区水务局、丰台区园林绿化局、卢沟桥文化发展中心、丰台区文旅集团、丰台区体育局等</w:t>
            </w:r>
          </w:p>
        </w:tc>
      </w:tr>
      <w:tr w14:paraId="1C07AF2B">
        <w:trPr>
          <w:trHeight w:val="2117" w:hRule="atLeast"/>
        </w:trPr>
        <w:tc>
          <w:tcPr>
            <w:tcW w:w="880" w:type="dxa"/>
            <w:vAlign w:val="center"/>
          </w:tcPr>
          <w:p w14:paraId="2480C85E">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3</w:t>
            </w:r>
          </w:p>
        </w:tc>
        <w:tc>
          <w:tcPr>
            <w:tcW w:w="971" w:type="dxa"/>
            <w:vMerge w:val="continue"/>
            <w:vAlign w:val="center"/>
          </w:tcPr>
          <w:p w14:paraId="7B937451">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62E25424">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四环文旅体休闲活力带</w:t>
            </w:r>
          </w:p>
        </w:tc>
        <w:tc>
          <w:tcPr>
            <w:tcW w:w="9427" w:type="dxa"/>
            <w:vAlign w:val="center"/>
          </w:tcPr>
          <w:p w14:paraId="1FC2C7B7">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1.加快北京汽车博物馆提质升级，打造沉浸式数字文化展厅，引入汽车车模馆、汽车影院、电竞赛事，构建集文化展示、科技体验、休闲娱乐、商业消费于一体的复合型活力空间。</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2.深化花卉与文商旅多元融合发展，依托北京国际花卉科创中心、羊坊花卉综合产业园（请园林局核实项目名称）、世界花卉大观园、北京花卉交易中心等载体，布局花艺剧场、非遗手作等业态，助力“花园城市”（请园林局重点核实表述）建设。</w:t>
            </w:r>
            <w:r>
              <w:rPr>
                <w:rFonts w:hint="eastAsia" w:ascii="仿宋_GB2312" w:hAnsi="宋体" w:cs="宋体"/>
                <w:color w:val="000000"/>
                <w:kern w:val="0"/>
                <w:sz w:val="24"/>
                <w:szCs w:val="24"/>
              </w:rPr>
              <w:br w:type="textWrapping"/>
            </w:r>
            <w:r>
              <w:rPr>
                <w:rFonts w:hint="eastAsia" w:ascii="仿宋_GB2312" w:hAnsi="宋体" w:cs="宋体"/>
                <w:color w:val="000000"/>
                <w:kern w:val="0"/>
                <w:sz w:val="24"/>
                <w:szCs w:val="24"/>
              </w:rPr>
              <w:t>3.推动丰台体育中心功能提升，打造北京市西南部地区文化体育活力中心。</w:t>
            </w:r>
          </w:p>
        </w:tc>
        <w:tc>
          <w:tcPr>
            <w:tcW w:w="930" w:type="dxa"/>
            <w:vAlign w:val="center"/>
          </w:tcPr>
          <w:p w14:paraId="0E747AC5">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25968F64">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北京汽车博物馆、丰台区体育局、丰台区园林局</w:t>
            </w:r>
          </w:p>
        </w:tc>
      </w:tr>
      <w:tr w14:paraId="552D1D39">
        <w:trPr>
          <w:trHeight w:val="2403" w:hRule="atLeast"/>
        </w:trPr>
        <w:tc>
          <w:tcPr>
            <w:tcW w:w="880" w:type="dxa"/>
            <w:vAlign w:val="center"/>
          </w:tcPr>
          <w:p w14:paraId="6DD7D52B">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4</w:t>
            </w:r>
          </w:p>
        </w:tc>
        <w:tc>
          <w:tcPr>
            <w:tcW w:w="971" w:type="dxa"/>
            <w:vMerge w:val="restart"/>
            <w:vAlign w:val="center"/>
          </w:tcPr>
          <w:p w14:paraId="0C19B694">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深挖核心资源内涵，塑造丰台特色品牌名片</w:t>
            </w:r>
          </w:p>
        </w:tc>
        <w:tc>
          <w:tcPr>
            <w:tcW w:w="857" w:type="dxa"/>
            <w:vAlign w:val="center"/>
          </w:tcPr>
          <w:p w14:paraId="517E0B3B">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打造古都文化品牌</w:t>
            </w:r>
          </w:p>
        </w:tc>
        <w:tc>
          <w:tcPr>
            <w:tcW w:w="9427" w:type="dxa"/>
            <w:vAlign w:val="center"/>
          </w:tcPr>
          <w:p w14:paraId="6B81AA80">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依托新宫考古遗址、大葆台西汉墓遗址、金中都城墙遗址，挖掘北京都城起源地文化内涵，打造“古都北京的城源与都始”文化名片，培育“卢沟狮”“卢沟晓月”等文化IP。挖掘古都北京水源地文化内涵，推进莲花池、永定河、凉水河等滨水文化空间建设，串联沿岸人文生态资源，塑造“先有莲花池，后有北京城”“山河永定”文化IP，办好荷花文化节、凉水河国际水岸艺术节等特色活动，呈现水城共融的文化新图景。深挖南苑皇家苑囿建设地文化内涵，擦亮“皇家苑囿”文化品牌，构建“南囿秋风”文化IP。推进各类考古遗址、文物空间活化利用，整合特色文化场景打造主题文旅线路，丰富文旅业态与优质产品供给。</w:t>
            </w:r>
          </w:p>
        </w:tc>
        <w:tc>
          <w:tcPr>
            <w:tcW w:w="930" w:type="dxa"/>
            <w:vAlign w:val="center"/>
          </w:tcPr>
          <w:p w14:paraId="6876E90F">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丰台区园林绿化局、丰台区文旅局</w:t>
            </w:r>
          </w:p>
        </w:tc>
        <w:tc>
          <w:tcPr>
            <w:tcW w:w="1452" w:type="dxa"/>
            <w:vAlign w:val="center"/>
          </w:tcPr>
          <w:p w14:paraId="34D7C854">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南森公司</w:t>
            </w:r>
          </w:p>
        </w:tc>
      </w:tr>
      <w:tr w14:paraId="13EE7A14">
        <w:trPr>
          <w:trHeight w:val="1864" w:hRule="atLeast"/>
        </w:trPr>
        <w:tc>
          <w:tcPr>
            <w:tcW w:w="880" w:type="dxa"/>
            <w:vAlign w:val="center"/>
          </w:tcPr>
          <w:p w14:paraId="3EC70453">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5</w:t>
            </w:r>
          </w:p>
        </w:tc>
        <w:tc>
          <w:tcPr>
            <w:tcW w:w="971" w:type="dxa"/>
            <w:vMerge w:val="continue"/>
            <w:vAlign w:val="center"/>
          </w:tcPr>
          <w:p w14:paraId="73FDBE37">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68772A8E">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塑造红色文化标杆</w:t>
            </w:r>
          </w:p>
        </w:tc>
        <w:tc>
          <w:tcPr>
            <w:tcW w:w="9427" w:type="dxa"/>
            <w:vAlign w:val="center"/>
          </w:tcPr>
          <w:p w14:paraId="3EA87D0D">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依托北方红星策源地、全民抗战爆发地文化资源，推进卢沟桥－宛平城、长辛店红色文化片区保护发展。强化抗战主题片区核心区一体化管理运营，推进中国共产党早期革命与工人运动旧址连片保护与利用，打响“北方红星”红色文旅品牌。保护、焕新提升卢沟桥、宛平城等革命文物资源，擦亮“宛平烽火”文化名片。大力推广“红色研学</w:t>
            </w:r>
            <w:r>
              <w:rPr>
                <w:rFonts w:hint="eastAsia" w:ascii="微软雅黑" w:hAnsi="微软雅黑" w:eastAsia="微软雅黑" w:cs="微软雅黑"/>
                <w:color w:val="000000"/>
                <w:kern w:val="0"/>
                <w:sz w:val="24"/>
                <w:szCs w:val="24"/>
              </w:rPr>
              <w:t>・</w:t>
            </w:r>
            <w:r>
              <w:rPr>
                <w:rFonts w:hint="eastAsia" w:ascii="仿宋_GB2312" w:hAnsi="宋体" w:cs="宋体"/>
                <w:color w:val="000000"/>
                <w:kern w:val="0"/>
                <w:sz w:val="24"/>
                <w:szCs w:val="24"/>
              </w:rPr>
              <w:t>为党而歌之旅”市级主题线路，积极打造丰台实景思政沉浸式红色研学课堂。升级卢沟桥－宛平城历史文化街区业态，培育长辛店老镇本土国潮品牌，打造“非遗美食街”等特色街区。</w:t>
            </w:r>
          </w:p>
        </w:tc>
        <w:tc>
          <w:tcPr>
            <w:tcW w:w="930" w:type="dxa"/>
            <w:vAlign w:val="center"/>
          </w:tcPr>
          <w:p w14:paraId="60D2320A">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7AD68D0F">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卢沟桥文化发展中心、丰台区文旅集团等</w:t>
            </w:r>
          </w:p>
        </w:tc>
      </w:tr>
      <w:tr w14:paraId="6D05AE20">
        <w:trPr>
          <w:trHeight w:val="1806" w:hRule="atLeast"/>
        </w:trPr>
        <w:tc>
          <w:tcPr>
            <w:tcW w:w="880" w:type="dxa"/>
            <w:vAlign w:val="center"/>
          </w:tcPr>
          <w:p w14:paraId="3ECE0E08">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6</w:t>
            </w:r>
          </w:p>
        </w:tc>
        <w:tc>
          <w:tcPr>
            <w:tcW w:w="971" w:type="dxa"/>
            <w:vMerge w:val="continue"/>
            <w:vAlign w:val="center"/>
          </w:tcPr>
          <w:p w14:paraId="01FD2EAA">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68F3D67E">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释放京味文化活力</w:t>
            </w:r>
          </w:p>
        </w:tc>
        <w:tc>
          <w:tcPr>
            <w:tcW w:w="9427" w:type="dxa"/>
            <w:vAlign w:val="center"/>
          </w:tcPr>
          <w:p w14:paraId="6D789C74">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深化与中国戏曲学院、北京京剧院等知名戏曲院团机构合作，提升“中国戏曲文化周”品牌影响力，擦亮“丰台有戏”城市文化名片。加强对卢沟桥传说、怪村太平鼓等非物质文化遗产发掘整理、保护利用，推动非遗老字号传承创新发展。推动“非遗+”融合发展，鼓励非遗与文物、历史建筑、历史文化街区等有机融合，盘活文化载体与地域特色，推动特色非遗进校区、进景区、进博物馆，支持建设一批非遗体验文化空间及非遗工坊，打造一批“京彩非遗游”体验项目。</w:t>
            </w:r>
          </w:p>
        </w:tc>
        <w:tc>
          <w:tcPr>
            <w:tcW w:w="930" w:type="dxa"/>
            <w:vAlign w:val="center"/>
          </w:tcPr>
          <w:p w14:paraId="47170893">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59B0C1BF">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中国戏曲学院、卢沟桥文化发展中心等</w:t>
            </w:r>
          </w:p>
        </w:tc>
      </w:tr>
      <w:tr w14:paraId="2AF68D95">
        <w:trPr>
          <w:trHeight w:val="1583" w:hRule="atLeast"/>
        </w:trPr>
        <w:tc>
          <w:tcPr>
            <w:tcW w:w="880" w:type="dxa"/>
            <w:vAlign w:val="center"/>
          </w:tcPr>
          <w:p w14:paraId="0DF5F77E">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7</w:t>
            </w:r>
          </w:p>
        </w:tc>
        <w:tc>
          <w:tcPr>
            <w:tcW w:w="971" w:type="dxa"/>
            <w:vMerge w:val="continue"/>
            <w:vAlign w:val="center"/>
          </w:tcPr>
          <w:p w14:paraId="3024459C">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7A8F4B48">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构建创新文化生态</w:t>
            </w:r>
          </w:p>
        </w:tc>
        <w:tc>
          <w:tcPr>
            <w:tcW w:w="9427" w:type="dxa"/>
            <w:vAlign w:val="center"/>
          </w:tcPr>
          <w:p w14:paraId="664812A6">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挖掘航空航天孕育地文化资源，依托中国航天博物馆、航天院所科技创新资源，升级“航天逐梦”文化品牌。挖掘北京工业发祥地文化资源，深挖二七厂等国家工业遗产资源，布局工匠文化展示、工业场景体验等业态，打造工业旅游目的地。运用AIGC、数字孪生等数字技术，推动航天文化、工业遗存等资源同数字沉浸式体验深度融合，借助中试平台资源，推动科技旅游。</w:t>
            </w:r>
          </w:p>
        </w:tc>
        <w:tc>
          <w:tcPr>
            <w:tcW w:w="930" w:type="dxa"/>
            <w:vAlign w:val="center"/>
          </w:tcPr>
          <w:p w14:paraId="76005021">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050EFC6D">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航天三院、中车北京二七机车有限公司等</w:t>
            </w:r>
          </w:p>
        </w:tc>
      </w:tr>
      <w:tr w14:paraId="3A8BB8A8">
        <w:trPr>
          <w:trHeight w:val="1663" w:hRule="atLeast"/>
        </w:trPr>
        <w:tc>
          <w:tcPr>
            <w:tcW w:w="880" w:type="dxa"/>
            <w:vAlign w:val="center"/>
          </w:tcPr>
          <w:p w14:paraId="4FA25882">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8</w:t>
            </w:r>
          </w:p>
        </w:tc>
        <w:tc>
          <w:tcPr>
            <w:tcW w:w="971" w:type="dxa"/>
            <w:vMerge w:val="continue"/>
            <w:vAlign w:val="center"/>
          </w:tcPr>
          <w:p w14:paraId="222A42BA">
            <w:pPr>
              <w:widowControl/>
              <w:spacing w:after="0" w:line="280" w:lineRule="exact"/>
              <w:ind w:firstLine="0" w:firstLineChars="0"/>
              <w:jc w:val="left"/>
              <w:rPr>
                <w:rFonts w:hint="eastAsia" w:ascii="仿宋_GB2312" w:hAnsi="宋体" w:cs="宋体"/>
                <w:color w:val="000000"/>
                <w:kern w:val="0"/>
                <w:sz w:val="24"/>
                <w:szCs w:val="24"/>
              </w:rPr>
            </w:pPr>
          </w:p>
        </w:tc>
        <w:tc>
          <w:tcPr>
            <w:tcW w:w="857" w:type="dxa"/>
            <w:vAlign w:val="center"/>
          </w:tcPr>
          <w:p w14:paraId="4A4EA8B2">
            <w:pPr>
              <w:widowControl/>
              <w:spacing w:after="0" w:line="280" w:lineRule="exact"/>
              <w:ind w:firstLine="0" w:firstLineChars="0"/>
              <w:jc w:val="center"/>
              <w:rPr>
                <w:rFonts w:hint="eastAsia" w:ascii="仿宋_GB2312" w:hAnsi="宋体" w:cs="宋体"/>
                <w:color w:val="000000"/>
                <w:kern w:val="0"/>
                <w:sz w:val="24"/>
                <w:szCs w:val="24"/>
              </w:rPr>
            </w:pPr>
            <w:r>
              <w:rPr>
                <w:rFonts w:hint="eastAsia" w:ascii="仿宋_GB2312" w:hAnsi="宋体" w:cs="宋体"/>
                <w:color w:val="000000"/>
                <w:kern w:val="0"/>
                <w:sz w:val="24"/>
                <w:szCs w:val="24"/>
              </w:rPr>
              <w:t>深化特色文化融合</w:t>
            </w:r>
          </w:p>
        </w:tc>
        <w:tc>
          <w:tcPr>
            <w:tcW w:w="9427" w:type="dxa"/>
            <w:vAlign w:val="center"/>
          </w:tcPr>
          <w:p w14:paraId="46AA874F">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立足花卉资源，挖掘唐花技艺传承地文化内涵，做好传统插花与唐花技艺活态展陈，拓展花卉研学、主题文创、花事市集多元内容，升级“花开丰台”文化品牌。深耕北京交通枢纽地文化，推进九省御道文化公园建设，保护修缮古道遗存，依托重点交通枢纽展示丰台交通发展史，塑造古今交融的“京畿通衢”标识。培育街镇特色文化，打造“一街（镇）一品”，形成分层分类、各具特色的街镇文旅品牌体系。</w:t>
            </w:r>
          </w:p>
        </w:tc>
        <w:tc>
          <w:tcPr>
            <w:tcW w:w="930" w:type="dxa"/>
            <w:vAlign w:val="center"/>
          </w:tcPr>
          <w:p w14:paraId="1715C8F4">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丰台区文旅局</w:t>
            </w:r>
          </w:p>
        </w:tc>
        <w:tc>
          <w:tcPr>
            <w:tcW w:w="1452" w:type="dxa"/>
            <w:vAlign w:val="center"/>
          </w:tcPr>
          <w:p w14:paraId="39CAF7A8">
            <w:pPr>
              <w:widowControl/>
              <w:spacing w:after="0" w:line="280" w:lineRule="exact"/>
              <w:ind w:firstLine="0" w:firstLineChars="0"/>
              <w:jc w:val="left"/>
              <w:rPr>
                <w:rFonts w:hint="eastAsia" w:ascii="仿宋_GB2312" w:hAnsi="宋体" w:cs="宋体"/>
                <w:color w:val="000000"/>
                <w:kern w:val="0"/>
                <w:sz w:val="24"/>
                <w:szCs w:val="24"/>
              </w:rPr>
            </w:pPr>
            <w:r>
              <w:rPr>
                <w:rFonts w:hint="eastAsia" w:ascii="仿宋_GB2312" w:hAnsi="宋体" w:cs="宋体"/>
                <w:color w:val="000000"/>
                <w:kern w:val="0"/>
                <w:sz w:val="24"/>
                <w:szCs w:val="24"/>
              </w:rPr>
              <w:t>丰台区文旅集团、丰台区园林局、丰台区水务局、各街镇等</w:t>
            </w:r>
          </w:p>
        </w:tc>
      </w:tr>
    </w:tbl>
    <w:p w14:paraId="66EDCBA7">
      <w:pPr>
        <w:spacing w:after="0"/>
        <w:ind w:firstLine="0" w:firstLineChars="0"/>
        <w:rPr>
          <w:rFonts w:hint="eastAsia" w:ascii="Times New Roman" w:hAnsi="Times New Roman" w:eastAsia="黑体" w:cs="Times New Roman"/>
          <w:szCs w:val="32"/>
        </w:rPr>
      </w:pPr>
    </w:p>
    <w:p w14:paraId="4BAABA8E">
      <w:pPr>
        <w:widowControl/>
        <w:spacing w:after="0" w:line="240" w:lineRule="auto"/>
        <w:ind w:firstLine="0" w:firstLineChars="0"/>
        <w:jc w:val="left"/>
        <w:outlineLvl w:val="0"/>
        <w:rPr>
          <w:rFonts w:hint="eastAsia" w:ascii="仿宋_GB2312" w:hAnsi="仿宋"/>
          <w:szCs w:val="32"/>
        </w:rPr>
      </w:pPr>
      <w:r>
        <w:rPr>
          <w:rFonts w:ascii="黑体" w:hAnsi="黑体" w:eastAsia="黑体"/>
          <w:szCs w:val="32"/>
        </w:rPr>
        <w:br w:type="page"/>
      </w:r>
      <w:bookmarkStart w:id="281" w:name="_Toc241505651"/>
      <w:r>
        <w:rPr>
          <w:rFonts w:hint="eastAsia" w:ascii="Times New Roman" w:hAnsi="Times New Roman" w:eastAsia="黑体" w:cs="Times New Roman"/>
          <w:szCs w:val="32"/>
        </w:rPr>
        <w:t>附件3 “十五五”时期丰台区文化旅游体育重大政策举措清单表</w:t>
      </w:r>
      <w:bookmarkEnd w:id="281"/>
      <w:r>
        <w:rPr>
          <w:rFonts w:hint="eastAsia" w:ascii="Times New Roman" w:hAnsi="Times New Roman" w:eastAsia="黑体" w:cs="Times New Roman"/>
          <w:szCs w:val="32"/>
        </w:rPr>
        <w:t xml:space="preserve"> </w:t>
      </w:r>
    </w:p>
    <w:tbl>
      <w:tblPr>
        <w:tblStyle w:val="23"/>
        <w:tblW w:w="13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201"/>
        <w:gridCol w:w="1813"/>
        <w:gridCol w:w="6122"/>
        <w:gridCol w:w="1978"/>
        <w:gridCol w:w="1577"/>
      </w:tblGrid>
      <w:tr w14:paraId="2F84E90D">
        <w:trPr>
          <w:trHeight w:val="277" w:hRule="atLeast"/>
        </w:trPr>
        <w:tc>
          <w:tcPr>
            <w:tcW w:w="1201" w:type="dxa"/>
            <w:vAlign w:val="center"/>
          </w:tcPr>
          <w:p w14:paraId="6FC3C136">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序号</w:t>
            </w:r>
          </w:p>
        </w:tc>
        <w:tc>
          <w:tcPr>
            <w:tcW w:w="1201" w:type="dxa"/>
            <w:vAlign w:val="center"/>
          </w:tcPr>
          <w:p w14:paraId="43D81679">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细分领域</w:t>
            </w:r>
          </w:p>
        </w:tc>
        <w:tc>
          <w:tcPr>
            <w:tcW w:w="1813" w:type="dxa"/>
            <w:vAlign w:val="center"/>
          </w:tcPr>
          <w:p w14:paraId="53E3027D">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任务</w:t>
            </w:r>
          </w:p>
        </w:tc>
        <w:tc>
          <w:tcPr>
            <w:tcW w:w="6122" w:type="dxa"/>
            <w:vAlign w:val="center"/>
          </w:tcPr>
          <w:p w14:paraId="46E349C8">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改革举措</w:t>
            </w:r>
          </w:p>
        </w:tc>
        <w:tc>
          <w:tcPr>
            <w:tcW w:w="1978" w:type="dxa"/>
            <w:vAlign w:val="center"/>
          </w:tcPr>
          <w:p w14:paraId="1892455E">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牵头单位</w:t>
            </w:r>
          </w:p>
        </w:tc>
        <w:tc>
          <w:tcPr>
            <w:tcW w:w="1577" w:type="dxa"/>
            <w:vAlign w:val="center"/>
          </w:tcPr>
          <w:p w14:paraId="3E7BD41B">
            <w:pPr>
              <w:widowControl/>
              <w:spacing w:after="0" w:line="280" w:lineRule="exact"/>
              <w:ind w:firstLine="0" w:firstLineChars="0"/>
              <w:jc w:val="center"/>
              <w:rPr>
                <w:rFonts w:hint="eastAsia" w:ascii="黑体" w:hAnsi="黑体" w:eastAsia="黑体" w:cs="宋体"/>
                <w:kern w:val="0"/>
                <w:sz w:val="24"/>
                <w:szCs w:val="24"/>
              </w:rPr>
            </w:pPr>
            <w:r>
              <w:rPr>
                <w:rFonts w:hint="eastAsia" w:ascii="黑体" w:hAnsi="黑体" w:eastAsia="黑体" w:cs="宋体"/>
                <w:kern w:val="0"/>
                <w:sz w:val="24"/>
                <w:szCs w:val="24"/>
              </w:rPr>
              <w:t>配合单位</w:t>
            </w:r>
          </w:p>
        </w:tc>
      </w:tr>
      <w:tr w14:paraId="54742AA3">
        <w:trPr>
          <w:trHeight w:val="2901" w:hRule="atLeast"/>
        </w:trPr>
        <w:tc>
          <w:tcPr>
            <w:tcW w:w="1201" w:type="dxa"/>
            <w:vAlign w:val="center"/>
          </w:tcPr>
          <w:p w14:paraId="18ED5804">
            <w:pPr>
              <w:widowControl/>
              <w:spacing w:after="0" w:line="280" w:lineRule="exact"/>
              <w:ind w:firstLine="0" w:firstLineChars="0"/>
              <w:jc w:val="center"/>
              <w:rPr>
                <w:rFonts w:hint="eastAsia" w:ascii="仿宋_GB2312" w:hAnsi="宋体" w:cs="宋体"/>
                <w:kern w:val="0"/>
                <w:sz w:val="24"/>
                <w:szCs w:val="24"/>
              </w:rPr>
            </w:pPr>
            <w:r>
              <w:rPr>
                <w:rFonts w:hint="eastAsia" w:ascii="仿宋_GB2312" w:hAnsi="宋体" w:cs="宋体"/>
                <w:kern w:val="0"/>
                <w:sz w:val="24"/>
                <w:szCs w:val="24"/>
              </w:rPr>
              <w:t>1</w:t>
            </w:r>
          </w:p>
        </w:tc>
        <w:tc>
          <w:tcPr>
            <w:tcW w:w="1201" w:type="dxa"/>
            <w:vAlign w:val="center"/>
          </w:tcPr>
          <w:p w14:paraId="64563F15">
            <w:pPr>
              <w:widowControl/>
              <w:spacing w:after="0" w:line="280" w:lineRule="exact"/>
              <w:ind w:firstLine="0" w:firstLineChars="0"/>
              <w:jc w:val="center"/>
              <w:rPr>
                <w:rFonts w:hint="eastAsia" w:ascii="仿宋_GB2312" w:hAnsi="宋体" w:cs="宋体"/>
                <w:kern w:val="0"/>
                <w:sz w:val="24"/>
                <w:szCs w:val="24"/>
              </w:rPr>
            </w:pPr>
            <w:r>
              <w:rPr>
                <w:rFonts w:hint="eastAsia" w:ascii="仿宋_GB2312" w:hAnsi="宋体" w:cs="宋体"/>
                <w:kern w:val="0"/>
                <w:sz w:val="24"/>
                <w:szCs w:val="24"/>
              </w:rPr>
              <w:t>激活文旅体消费动能</w:t>
            </w:r>
          </w:p>
        </w:tc>
        <w:tc>
          <w:tcPr>
            <w:tcW w:w="1813" w:type="dxa"/>
            <w:vAlign w:val="center"/>
          </w:tcPr>
          <w:p w14:paraId="5BBEFA38">
            <w:pPr>
              <w:widowControl/>
              <w:spacing w:after="0" w:line="280" w:lineRule="exact"/>
              <w:ind w:firstLine="0" w:firstLineChars="0"/>
              <w:jc w:val="center"/>
              <w:rPr>
                <w:rFonts w:hint="eastAsia" w:ascii="仿宋_GB2312" w:hAnsi="宋体" w:cs="宋体"/>
                <w:kern w:val="0"/>
                <w:sz w:val="24"/>
                <w:szCs w:val="24"/>
              </w:rPr>
            </w:pPr>
            <w:r>
              <w:rPr>
                <w:rFonts w:hint="eastAsia" w:ascii="仿宋_GB2312" w:hAnsi="宋体" w:cs="宋体"/>
                <w:kern w:val="0"/>
                <w:sz w:val="24"/>
                <w:szCs w:val="24"/>
              </w:rPr>
              <w:t>发展六大经济</w:t>
            </w:r>
          </w:p>
        </w:tc>
        <w:tc>
          <w:tcPr>
            <w:tcW w:w="6122" w:type="dxa"/>
            <w:vAlign w:val="center"/>
          </w:tcPr>
          <w:p w14:paraId="48921E45">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聚焦六大特色经济精准施策、深化改革。依托本土文化资源，推进国潮文创融合发展；升级夜游夜购业态，延长商圈与文体服务开放时间，丰富夜间沉浸式消费场景；搭建数字化票根联盟，深化“票根+”业态联动，实现流量向实体消费转化；依托花卉、景区资源，培育婚恋甜蜜消费全链条；盘活生态资源，完善户外设施、发展露营研学、打造特色户外赛事线路；优化宠物友好场景，创新宠物文旅休闲业态，全面激活区域文旅消费活力。</w:t>
            </w:r>
          </w:p>
        </w:tc>
        <w:tc>
          <w:tcPr>
            <w:tcW w:w="1978" w:type="dxa"/>
            <w:vAlign w:val="center"/>
          </w:tcPr>
          <w:p w14:paraId="28A0146F">
            <w:pPr>
              <w:widowControl/>
              <w:spacing w:after="0" w:line="280" w:lineRule="exact"/>
              <w:ind w:firstLine="0" w:firstLineChars="0"/>
              <w:jc w:val="left"/>
              <w:rPr>
                <w:rFonts w:hint="eastAsia" w:ascii="仿宋_GB2312" w:hAnsi="宋体" w:cs="宋体"/>
                <w:kern w:val="0"/>
                <w:sz w:val="24"/>
                <w:szCs w:val="24"/>
              </w:rPr>
            </w:pPr>
            <w:r>
              <w:rPr>
                <w:rFonts w:hint="eastAsia" w:ascii="仿宋_GB2312" w:hAnsi="宋体" w:cs="宋体"/>
                <w:kern w:val="0"/>
                <w:sz w:val="24"/>
                <w:szCs w:val="24"/>
              </w:rPr>
              <w:t>丰台区文旅局</w:t>
            </w:r>
          </w:p>
        </w:tc>
        <w:tc>
          <w:tcPr>
            <w:tcW w:w="1577" w:type="dxa"/>
            <w:vAlign w:val="center"/>
          </w:tcPr>
          <w:p w14:paraId="203CB839">
            <w:pPr>
              <w:widowControl/>
              <w:spacing w:after="0" w:line="280" w:lineRule="exact"/>
              <w:ind w:firstLine="0" w:firstLineChars="0"/>
              <w:jc w:val="center"/>
              <w:rPr>
                <w:rFonts w:hint="eastAsia" w:ascii="仿宋_GB2312" w:hAnsi="宋体" w:cs="宋体"/>
                <w:kern w:val="0"/>
                <w:sz w:val="24"/>
                <w:szCs w:val="24"/>
              </w:rPr>
            </w:pPr>
            <w:r>
              <w:rPr>
                <w:rFonts w:hint="eastAsia" w:ascii="仿宋_GB2312" w:hAnsi="宋体" w:cs="宋体"/>
                <w:kern w:val="0"/>
                <w:sz w:val="24"/>
                <w:szCs w:val="24"/>
              </w:rPr>
              <w:t>丰台区体育局、丰台区商务局、丰台区农业农村局等</w:t>
            </w:r>
          </w:p>
        </w:tc>
      </w:tr>
    </w:tbl>
    <w:p w14:paraId="07949772">
      <w:pPr>
        <w:spacing w:after="0" w:line="400" w:lineRule="exact"/>
        <w:ind w:firstLine="0" w:firstLineChars="0"/>
        <w:rPr>
          <w:rFonts w:hint="eastAsia" w:ascii="黑体" w:hAnsi="黑体" w:eastAsia="黑体" w:cs="黑体"/>
        </w:rPr>
      </w:pPr>
    </w:p>
    <w:p w14:paraId="6A8296ED">
      <w:pPr>
        <w:spacing w:after="0" w:line="400" w:lineRule="exact"/>
        <w:ind w:firstLine="0" w:firstLineChars="0"/>
        <w:rPr>
          <w:rFonts w:ascii="Times New Roman" w:hAnsi="Times New Roman" w:eastAsia="黑体" w:cs="Times New Roman"/>
          <w:szCs w:val="32"/>
        </w:rPr>
      </w:pPr>
    </w:p>
    <w:sectPr>
      <w:pgSz w:w="16838" w:h="11906" w:orient="landscape"/>
      <w:pgMar w:top="1800" w:right="1440" w:bottom="1800" w:left="1440"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DejaVu Sans">
    <w:altName w:val="苹方-简"/>
    <w:panose1 w:val="02020603050405020304"/>
    <w:charset w:val="00"/>
    <w:family w:val="roman"/>
    <w:pitch w:val="default"/>
    <w:sig w:usb0="00000000" w:usb1="00000000" w:usb2="00000008" w:usb3="00000000" w:csb0="000001FF" w:csb1="00000000"/>
  </w:font>
  <w:font w:name="苹方-简">
    <w:panose1 w:val="020B0400000000000000"/>
    <w:charset w:val="86"/>
    <w:family w:val="auto"/>
    <w:pitch w:val="default"/>
    <w:sig w:usb0="A00002FF" w:usb1="7ACFFDFB" w:usb2="00000017" w:usb3="00000000" w:csb0="00040001" w:csb1="00000000"/>
  </w:font>
  <w:font w:name="楷体_GB2312">
    <w:altName w:val="汉仪楷体简"/>
    <w:panose1 w:val="00000000000000000000"/>
    <w:charset w:val="00"/>
    <w:family w:val="auto"/>
    <w:pitch w:val="default"/>
    <w:sig w:usb0="00000000" w:usb1="00000000" w:usb2="00000000" w:usb3="00000000" w:csb0="00000000" w:csb1="00000000"/>
  </w:font>
  <w:font w:name="汉仪楷体简">
    <w:panose1 w:val="02010600000101010101"/>
    <w:charset w:val="86"/>
    <w:family w:val="auto"/>
    <w:pitch w:val="default"/>
    <w:sig w:usb0="00000001" w:usb1="080E0800" w:usb2="00000002" w:usb3="00000000" w:csb0="00040000" w:csb1="00000000"/>
  </w:font>
  <w:font w:name="FangSong_GB2312">
    <w:panose1 w:val="02010609030101010101"/>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Courier New">
    <w:panose1 w:val="02070609020205090404"/>
    <w:charset w:val="00"/>
    <w:family w:val="modern"/>
    <w:pitch w:val="default"/>
    <w:sig w:usb0="E0000AFF" w:usb1="40007843" w:usb2="00000001" w:usb3="00000000" w:csb0="400001BF" w:csb1="DFF70000"/>
  </w:font>
  <w:font w:name="方正小标宋_GBK">
    <w:panose1 w:val="02000000000000000000"/>
    <w:charset w:val="86"/>
    <w:family w:val="script"/>
    <w:pitch w:val="default"/>
    <w:sig w:usb0="A00002BF" w:usb1="38CF7CFA" w:usb2="00082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楷体_GB2312">
    <w:altName w:val="汉仪楷体简"/>
    <w:panose1 w:val="02010609030101010101"/>
    <w:charset w:val="86"/>
    <w:family w:val="modern"/>
    <w:pitch w:val="default"/>
    <w:sig w:usb0="00000000" w:usb1="00000000" w:usb2="00000010"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Segoe UI Emoji">
    <w:altName w:val="Apple Color Emoji"/>
    <w:panose1 w:val="020B0502040204020203"/>
    <w:charset w:val="00"/>
    <w:family w:val="swiss"/>
    <w:pitch w:val="default"/>
    <w:sig w:usb0="00000000" w:usb1="00000000" w:usb2="08000000" w:usb3="00000000" w:csb0="00000001" w:csb1="00000000"/>
  </w:font>
  <w:font w:name="FZXBSJW--GB1-0">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旗黑">
    <w:panose1 w:val="00020600040101010101"/>
    <w:charset w:val="86"/>
    <w:family w:val="auto"/>
    <w:pitch w:val="default"/>
    <w:sig w:usb0="A00002BF" w:usb1="1ACF7CFA" w:usb2="00000016" w:usb3="00000000" w:csb0="0004009F" w:csb1="DFD70000"/>
  </w:font>
  <w:font w:name="Apple Color Emoji">
    <w:panose1 w:val="00000000000000000000"/>
    <w:charset w:val="00"/>
    <w:family w:val="auto"/>
    <w:pitch w:val="default"/>
    <w:sig w:usb0="00000003" w:usb1="18000000" w:usb2="14000000" w:usb3="00000000" w:csb0="00000001" w:csb1="00000000"/>
  </w:font>
  <w:font w:name="方正仿宋_GBK">
    <w:panose1 w:val="02000000000000000000"/>
    <w:charset w:val="86"/>
    <w:family w:val="auto"/>
    <w:pitch w:val="default"/>
    <w:sig w:usb0="A00002BF" w:usb1="38CF7CFA" w:usb2="00082016"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9FF19">
    <w:pPr>
      <w:pStyle w:val="13"/>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7514C">
    <w:pPr>
      <w:pStyle w:val="13"/>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895F0">
    <w:pPr>
      <w:pStyle w:val="13"/>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948138"/>
    </w:sdtPr>
    <w:sdtContent>
      <w:p w14:paraId="5D59BE13">
        <w:pPr>
          <w:pStyle w:val="13"/>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6DDC15B">
    <w:pPr>
      <w:pStyle w:val="13"/>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ind w:firstLine="640"/>
      </w:pPr>
    </w:p>
  </w:footnote>
  <w:footnote w:type="continuationSeparator" w:id="5">
    <w:p>
      <w:pPr>
        <w:spacing w:before="0" w:after="0" w:line="240" w:lineRule="auto"/>
        <w:ind w:firstLine="640"/>
      </w:pPr>
    </w:p>
  </w:footnote>
  <w:footnote w:id="0">
    <w:p w14:paraId="38AA62EF">
      <w:pPr>
        <w:pStyle w:val="16"/>
        <w:spacing w:after="0" w:line="400" w:lineRule="exact"/>
        <w:ind w:firstLine="360"/>
        <w:rPr>
          <w:rFonts w:hint="eastAsia"/>
        </w:rPr>
      </w:pPr>
      <w:r>
        <w:rPr>
          <w:rStyle w:val="29"/>
          <w:rFonts w:hint="eastAsia"/>
        </w:rPr>
        <w:footnoteRef/>
      </w:r>
      <w:r>
        <w:rPr>
          <w:rFonts w:hint="eastAsia"/>
        </w:rPr>
        <w:t xml:space="preserve"> “三化”即</w:t>
      </w:r>
      <w:r>
        <w:t>农村城市化、城市现代化、全域场景化</w:t>
      </w:r>
      <w:r>
        <w:rPr>
          <w:rFonts w:hint="eastAsia"/>
        </w:rPr>
        <w:t>；“五区”即</w:t>
      </w:r>
      <w:r>
        <w:t>建设首都功能拓展区、区域协同先行区、产城融合创新区、花园城市特色区、全龄友好活力区</w:t>
      </w:r>
      <w:r>
        <w:rPr>
          <w:rFonts w:hint="eastAsia"/>
        </w:rPr>
        <w:t>。</w:t>
      </w:r>
    </w:p>
  </w:footnote>
  <w:footnote w:id="1">
    <w:p w14:paraId="68B84EA1">
      <w:pPr>
        <w:pStyle w:val="16"/>
        <w:spacing w:after="0" w:line="240" w:lineRule="exact"/>
        <w:ind w:firstLine="0" w:firstLineChars="0"/>
        <w:rPr>
          <w:rFonts w:hint="eastAsia" w:ascii="仿宋_GB2312"/>
          <w:sz w:val="21"/>
          <w:szCs w:val="21"/>
        </w:rPr>
      </w:pPr>
      <w:r>
        <w:rPr>
          <w:rFonts w:hint="eastAsia" w:ascii="仿宋_GB2312"/>
          <w:sz w:val="21"/>
          <w:szCs w:val="21"/>
        </w:rPr>
        <w:t>1</w:t>
      </w:r>
      <w:r>
        <w:rPr>
          <w:rFonts w:hint="eastAsia" w:ascii="仿宋_GB2312" w:hAnsi="仿宋_GB2312" w:cs="仿宋_GB2312"/>
          <w:bCs/>
          <w:kern w:val="0"/>
          <w:sz w:val="21"/>
          <w:szCs w:val="21"/>
        </w:rPr>
        <w:t>注:【】为5年累计数。“新增规上企业（家）”含旅行社及相关服务业、文化艺术业、娱乐业、住宿业、体育业。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330BF">
    <w:pPr>
      <w:pStyle w:val="14"/>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1526F">
    <w:pPr>
      <w:pStyle w:val="14"/>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F7F4F">
    <w:pPr>
      <w:pStyle w:val="14"/>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7"/>
  <w:doNotDisplayPageBoundaries w:val="1"/>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4"/>
    <w:footnote w:id="5"/>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138"/>
    <w:rsid w:val="0000017C"/>
    <w:rsid w:val="00000B48"/>
    <w:rsid w:val="00000B9C"/>
    <w:rsid w:val="00000BCC"/>
    <w:rsid w:val="00000F45"/>
    <w:rsid w:val="00001268"/>
    <w:rsid w:val="0000135D"/>
    <w:rsid w:val="0000170A"/>
    <w:rsid w:val="0000222B"/>
    <w:rsid w:val="0000292F"/>
    <w:rsid w:val="00002961"/>
    <w:rsid w:val="00002A4B"/>
    <w:rsid w:val="00002BD0"/>
    <w:rsid w:val="00002F00"/>
    <w:rsid w:val="000033D6"/>
    <w:rsid w:val="000036F9"/>
    <w:rsid w:val="00003AE6"/>
    <w:rsid w:val="00004057"/>
    <w:rsid w:val="0000409D"/>
    <w:rsid w:val="00004881"/>
    <w:rsid w:val="00004938"/>
    <w:rsid w:val="00004C74"/>
    <w:rsid w:val="00004E3F"/>
    <w:rsid w:val="00004E76"/>
    <w:rsid w:val="0000507B"/>
    <w:rsid w:val="00005262"/>
    <w:rsid w:val="00005810"/>
    <w:rsid w:val="00005920"/>
    <w:rsid w:val="00005C4C"/>
    <w:rsid w:val="00005D8B"/>
    <w:rsid w:val="00005FFB"/>
    <w:rsid w:val="0000603F"/>
    <w:rsid w:val="00006215"/>
    <w:rsid w:val="00006217"/>
    <w:rsid w:val="0000667E"/>
    <w:rsid w:val="000067A6"/>
    <w:rsid w:val="00006934"/>
    <w:rsid w:val="00006B07"/>
    <w:rsid w:val="00006FBF"/>
    <w:rsid w:val="000072A0"/>
    <w:rsid w:val="000075FF"/>
    <w:rsid w:val="000076F4"/>
    <w:rsid w:val="000077EC"/>
    <w:rsid w:val="00007864"/>
    <w:rsid w:val="000079BD"/>
    <w:rsid w:val="00007A9C"/>
    <w:rsid w:val="00007C0D"/>
    <w:rsid w:val="00007F75"/>
    <w:rsid w:val="0001051E"/>
    <w:rsid w:val="0001052E"/>
    <w:rsid w:val="000107BA"/>
    <w:rsid w:val="00010B20"/>
    <w:rsid w:val="00010EF4"/>
    <w:rsid w:val="00010F06"/>
    <w:rsid w:val="0001117A"/>
    <w:rsid w:val="000111A7"/>
    <w:rsid w:val="00011491"/>
    <w:rsid w:val="0001156B"/>
    <w:rsid w:val="00011789"/>
    <w:rsid w:val="00011A1E"/>
    <w:rsid w:val="00011AC4"/>
    <w:rsid w:val="00011C75"/>
    <w:rsid w:val="00011DED"/>
    <w:rsid w:val="00011EC4"/>
    <w:rsid w:val="00012459"/>
    <w:rsid w:val="0001256A"/>
    <w:rsid w:val="000125CD"/>
    <w:rsid w:val="000128E5"/>
    <w:rsid w:val="00012D1B"/>
    <w:rsid w:val="000135D9"/>
    <w:rsid w:val="00013781"/>
    <w:rsid w:val="00013AD7"/>
    <w:rsid w:val="00013CD4"/>
    <w:rsid w:val="00013CD6"/>
    <w:rsid w:val="0001438B"/>
    <w:rsid w:val="00014567"/>
    <w:rsid w:val="000146D5"/>
    <w:rsid w:val="0001471A"/>
    <w:rsid w:val="00014F06"/>
    <w:rsid w:val="00014F1D"/>
    <w:rsid w:val="000153AF"/>
    <w:rsid w:val="000159FC"/>
    <w:rsid w:val="00015A3C"/>
    <w:rsid w:val="00015ADC"/>
    <w:rsid w:val="00015EFB"/>
    <w:rsid w:val="000167B9"/>
    <w:rsid w:val="000169B4"/>
    <w:rsid w:val="00016A13"/>
    <w:rsid w:val="00016B6B"/>
    <w:rsid w:val="00016CBE"/>
    <w:rsid w:val="00016F69"/>
    <w:rsid w:val="0001749B"/>
    <w:rsid w:val="000177EF"/>
    <w:rsid w:val="000178AD"/>
    <w:rsid w:val="00017DFE"/>
    <w:rsid w:val="00017E9C"/>
    <w:rsid w:val="00020074"/>
    <w:rsid w:val="000209FA"/>
    <w:rsid w:val="00020A7F"/>
    <w:rsid w:val="00020C1E"/>
    <w:rsid w:val="00020DFB"/>
    <w:rsid w:val="00020EB0"/>
    <w:rsid w:val="0002185F"/>
    <w:rsid w:val="00021912"/>
    <w:rsid w:val="00021E87"/>
    <w:rsid w:val="00021FAE"/>
    <w:rsid w:val="000223F6"/>
    <w:rsid w:val="0002254F"/>
    <w:rsid w:val="00022F1D"/>
    <w:rsid w:val="00022F89"/>
    <w:rsid w:val="000238FD"/>
    <w:rsid w:val="00023B69"/>
    <w:rsid w:val="00023CB0"/>
    <w:rsid w:val="00023E7D"/>
    <w:rsid w:val="00024B2C"/>
    <w:rsid w:val="00024C5E"/>
    <w:rsid w:val="00024CBC"/>
    <w:rsid w:val="00024D6E"/>
    <w:rsid w:val="00024E39"/>
    <w:rsid w:val="00024E80"/>
    <w:rsid w:val="00024EF7"/>
    <w:rsid w:val="00025E56"/>
    <w:rsid w:val="000262FF"/>
    <w:rsid w:val="0002639A"/>
    <w:rsid w:val="00026B2B"/>
    <w:rsid w:val="00026BA3"/>
    <w:rsid w:val="00027121"/>
    <w:rsid w:val="000273BD"/>
    <w:rsid w:val="00027563"/>
    <w:rsid w:val="000276F7"/>
    <w:rsid w:val="00027806"/>
    <w:rsid w:val="0002787B"/>
    <w:rsid w:val="000278CF"/>
    <w:rsid w:val="00027945"/>
    <w:rsid w:val="00030192"/>
    <w:rsid w:val="0003041E"/>
    <w:rsid w:val="00030463"/>
    <w:rsid w:val="00030678"/>
    <w:rsid w:val="000308B2"/>
    <w:rsid w:val="00030A67"/>
    <w:rsid w:val="00030BA4"/>
    <w:rsid w:val="00030BCD"/>
    <w:rsid w:val="0003108A"/>
    <w:rsid w:val="000312BD"/>
    <w:rsid w:val="00031345"/>
    <w:rsid w:val="00031BE0"/>
    <w:rsid w:val="00031C03"/>
    <w:rsid w:val="00031F50"/>
    <w:rsid w:val="000323DF"/>
    <w:rsid w:val="00032F27"/>
    <w:rsid w:val="000330FB"/>
    <w:rsid w:val="00033345"/>
    <w:rsid w:val="00033356"/>
    <w:rsid w:val="00033604"/>
    <w:rsid w:val="00033756"/>
    <w:rsid w:val="000337EB"/>
    <w:rsid w:val="00033E5E"/>
    <w:rsid w:val="0003406A"/>
    <w:rsid w:val="00034157"/>
    <w:rsid w:val="000341B2"/>
    <w:rsid w:val="00034381"/>
    <w:rsid w:val="0003441B"/>
    <w:rsid w:val="0003450C"/>
    <w:rsid w:val="00034A85"/>
    <w:rsid w:val="00034C93"/>
    <w:rsid w:val="00035465"/>
    <w:rsid w:val="00035B88"/>
    <w:rsid w:val="00035C81"/>
    <w:rsid w:val="00036206"/>
    <w:rsid w:val="0003635F"/>
    <w:rsid w:val="000369E4"/>
    <w:rsid w:val="000373F3"/>
    <w:rsid w:val="0003771F"/>
    <w:rsid w:val="00037B46"/>
    <w:rsid w:val="000401E3"/>
    <w:rsid w:val="0004022F"/>
    <w:rsid w:val="0004039C"/>
    <w:rsid w:val="000404B0"/>
    <w:rsid w:val="00040736"/>
    <w:rsid w:val="000408EB"/>
    <w:rsid w:val="000410B6"/>
    <w:rsid w:val="00041635"/>
    <w:rsid w:val="000419E7"/>
    <w:rsid w:val="00041B4F"/>
    <w:rsid w:val="0004245E"/>
    <w:rsid w:val="00042790"/>
    <w:rsid w:val="00042ABA"/>
    <w:rsid w:val="00042AC5"/>
    <w:rsid w:val="00042D06"/>
    <w:rsid w:val="00043132"/>
    <w:rsid w:val="00043252"/>
    <w:rsid w:val="00043345"/>
    <w:rsid w:val="00043411"/>
    <w:rsid w:val="00043808"/>
    <w:rsid w:val="00043945"/>
    <w:rsid w:val="00043B7F"/>
    <w:rsid w:val="00043B8B"/>
    <w:rsid w:val="00043CA2"/>
    <w:rsid w:val="00043CCB"/>
    <w:rsid w:val="00043DE7"/>
    <w:rsid w:val="00043EB9"/>
    <w:rsid w:val="000440E9"/>
    <w:rsid w:val="00044384"/>
    <w:rsid w:val="0004443C"/>
    <w:rsid w:val="0004457E"/>
    <w:rsid w:val="00044A79"/>
    <w:rsid w:val="00044D8A"/>
    <w:rsid w:val="00044DC0"/>
    <w:rsid w:val="00044DFA"/>
    <w:rsid w:val="000451D0"/>
    <w:rsid w:val="0004546F"/>
    <w:rsid w:val="000456BB"/>
    <w:rsid w:val="0004579C"/>
    <w:rsid w:val="00045DA1"/>
    <w:rsid w:val="00045E90"/>
    <w:rsid w:val="00045F5F"/>
    <w:rsid w:val="0004639B"/>
    <w:rsid w:val="000466D7"/>
    <w:rsid w:val="00046728"/>
    <w:rsid w:val="000469F5"/>
    <w:rsid w:val="00046D8F"/>
    <w:rsid w:val="00046DEB"/>
    <w:rsid w:val="000470B5"/>
    <w:rsid w:val="000470C9"/>
    <w:rsid w:val="00047296"/>
    <w:rsid w:val="000472CE"/>
    <w:rsid w:val="0004741E"/>
    <w:rsid w:val="00047518"/>
    <w:rsid w:val="0004757D"/>
    <w:rsid w:val="00047733"/>
    <w:rsid w:val="00047CDE"/>
    <w:rsid w:val="00047CDF"/>
    <w:rsid w:val="00047D1B"/>
    <w:rsid w:val="00050005"/>
    <w:rsid w:val="0005076B"/>
    <w:rsid w:val="00050CDA"/>
    <w:rsid w:val="00050D56"/>
    <w:rsid w:val="00051019"/>
    <w:rsid w:val="0005177C"/>
    <w:rsid w:val="0005194C"/>
    <w:rsid w:val="0005195E"/>
    <w:rsid w:val="00051AB1"/>
    <w:rsid w:val="00051C00"/>
    <w:rsid w:val="00051E3C"/>
    <w:rsid w:val="000520CC"/>
    <w:rsid w:val="00052387"/>
    <w:rsid w:val="000527E0"/>
    <w:rsid w:val="00052C79"/>
    <w:rsid w:val="00052EB2"/>
    <w:rsid w:val="00052F4E"/>
    <w:rsid w:val="0005309E"/>
    <w:rsid w:val="000532E1"/>
    <w:rsid w:val="00053388"/>
    <w:rsid w:val="0005344A"/>
    <w:rsid w:val="0005365B"/>
    <w:rsid w:val="00053AC9"/>
    <w:rsid w:val="00053F3E"/>
    <w:rsid w:val="00054177"/>
    <w:rsid w:val="000544A9"/>
    <w:rsid w:val="000544C6"/>
    <w:rsid w:val="00054859"/>
    <w:rsid w:val="00054A5E"/>
    <w:rsid w:val="00054BEA"/>
    <w:rsid w:val="00054C54"/>
    <w:rsid w:val="00054D6C"/>
    <w:rsid w:val="00054E71"/>
    <w:rsid w:val="00055094"/>
    <w:rsid w:val="000552FE"/>
    <w:rsid w:val="00055DEB"/>
    <w:rsid w:val="00055DF8"/>
    <w:rsid w:val="0005667C"/>
    <w:rsid w:val="00056712"/>
    <w:rsid w:val="00056795"/>
    <w:rsid w:val="00056BD5"/>
    <w:rsid w:val="00056DBF"/>
    <w:rsid w:val="00056FB5"/>
    <w:rsid w:val="000572CB"/>
    <w:rsid w:val="000577F2"/>
    <w:rsid w:val="00057FF1"/>
    <w:rsid w:val="00060406"/>
    <w:rsid w:val="00060458"/>
    <w:rsid w:val="000609A0"/>
    <w:rsid w:val="000611F6"/>
    <w:rsid w:val="00061B9E"/>
    <w:rsid w:val="00061BBF"/>
    <w:rsid w:val="00061CCF"/>
    <w:rsid w:val="00062007"/>
    <w:rsid w:val="00062277"/>
    <w:rsid w:val="0006230D"/>
    <w:rsid w:val="00062355"/>
    <w:rsid w:val="000626CE"/>
    <w:rsid w:val="000626D1"/>
    <w:rsid w:val="00062850"/>
    <w:rsid w:val="00062A3A"/>
    <w:rsid w:val="00062ACE"/>
    <w:rsid w:val="00062C91"/>
    <w:rsid w:val="00063413"/>
    <w:rsid w:val="000638A4"/>
    <w:rsid w:val="000642BF"/>
    <w:rsid w:val="00064842"/>
    <w:rsid w:val="00064B41"/>
    <w:rsid w:val="00064B46"/>
    <w:rsid w:val="00064D41"/>
    <w:rsid w:val="00064DB1"/>
    <w:rsid w:val="00064EB1"/>
    <w:rsid w:val="00064F1A"/>
    <w:rsid w:val="000652F7"/>
    <w:rsid w:val="0006534C"/>
    <w:rsid w:val="00065368"/>
    <w:rsid w:val="0006550E"/>
    <w:rsid w:val="00065560"/>
    <w:rsid w:val="00065872"/>
    <w:rsid w:val="00065977"/>
    <w:rsid w:val="00065E09"/>
    <w:rsid w:val="00065E78"/>
    <w:rsid w:val="00066290"/>
    <w:rsid w:val="00066609"/>
    <w:rsid w:val="0006696D"/>
    <w:rsid w:val="00066978"/>
    <w:rsid w:val="00066A19"/>
    <w:rsid w:val="00066B31"/>
    <w:rsid w:val="00066BDA"/>
    <w:rsid w:val="0006708E"/>
    <w:rsid w:val="00067911"/>
    <w:rsid w:val="00067981"/>
    <w:rsid w:val="00067B44"/>
    <w:rsid w:val="00067C9E"/>
    <w:rsid w:val="00067CF7"/>
    <w:rsid w:val="00067F96"/>
    <w:rsid w:val="00070052"/>
    <w:rsid w:val="0007008F"/>
    <w:rsid w:val="00070815"/>
    <w:rsid w:val="00070857"/>
    <w:rsid w:val="00070C33"/>
    <w:rsid w:val="0007118F"/>
    <w:rsid w:val="00071340"/>
    <w:rsid w:val="0007164F"/>
    <w:rsid w:val="00071B76"/>
    <w:rsid w:val="00071BD5"/>
    <w:rsid w:val="000722FD"/>
    <w:rsid w:val="0007250E"/>
    <w:rsid w:val="00072788"/>
    <w:rsid w:val="00072877"/>
    <w:rsid w:val="0007306C"/>
    <w:rsid w:val="000732DB"/>
    <w:rsid w:val="00073381"/>
    <w:rsid w:val="00073653"/>
    <w:rsid w:val="000738E4"/>
    <w:rsid w:val="00073AAB"/>
    <w:rsid w:val="00073D30"/>
    <w:rsid w:val="000741DA"/>
    <w:rsid w:val="000742FE"/>
    <w:rsid w:val="000743EF"/>
    <w:rsid w:val="00074456"/>
    <w:rsid w:val="000749A2"/>
    <w:rsid w:val="00074CAB"/>
    <w:rsid w:val="00074E1D"/>
    <w:rsid w:val="00074EB9"/>
    <w:rsid w:val="00075C56"/>
    <w:rsid w:val="00076273"/>
    <w:rsid w:val="00076298"/>
    <w:rsid w:val="000765C5"/>
    <w:rsid w:val="000766A1"/>
    <w:rsid w:val="000766CE"/>
    <w:rsid w:val="0007686E"/>
    <w:rsid w:val="000769DF"/>
    <w:rsid w:val="000769FC"/>
    <w:rsid w:val="00076B51"/>
    <w:rsid w:val="00076C57"/>
    <w:rsid w:val="0007718E"/>
    <w:rsid w:val="000774BF"/>
    <w:rsid w:val="00077756"/>
    <w:rsid w:val="00077844"/>
    <w:rsid w:val="00077CF7"/>
    <w:rsid w:val="00077FCB"/>
    <w:rsid w:val="000801FB"/>
    <w:rsid w:val="0008067B"/>
    <w:rsid w:val="00080825"/>
    <w:rsid w:val="000809EE"/>
    <w:rsid w:val="00081421"/>
    <w:rsid w:val="00081C16"/>
    <w:rsid w:val="00081CF7"/>
    <w:rsid w:val="0008213F"/>
    <w:rsid w:val="00082292"/>
    <w:rsid w:val="00082332"/>
    <w:rsid w:val="00082ABE"/>
    <w:rsid w:val="00082D2C"/>
    <w:rsid w:val="00082DBE"/>
    <w:rsid w:val="00082E8E"/>
    <w:rsid w:val="00083498"/>
    <w:rsid w:val="00083C26"/>
    <w:rsid w:val="00083E96"/>
    <w:rsid w:val="00083EFD"/>
    <w:rsid w:val="00084314"/>
    <w:rsid w:val="00084383"/>
    <w:rsid w:val="00084408"/>
    <w:rsid w:val="000845F1"/>
    <w:rsid w:val="00084BBF"/>
    <w:rsid w:val="00084BD6"/>
    <w:rsid w:val="000855C0"/>
    <w:rsid w:val="000855C1"/>
    <w:rsid w:val="000855DE"/>
    <w:rsid w:val="00085783"/>
    <w:rsid w:val="000857E4"/>
    <w:rsid w:val="00085822"/>
    <w:rsid w:val="00085A9E"/>
    <w:rsid w:val="00085AA6"/>
    <w:rsid w:val="00085D74"/>
    <w:rsid w:val="00086431"/>
    <w:rsid w:val="000865F9"/>
    <w:rsid w:val="0008695D"/>
    <w:rsid w:val="00086982"/>
    <w:rsid w:val="00086A49"/>
    <w:rsid w:val="00087023"/>
    <w:rsid w:val="00087228"/>
    <w:rsid w:val="00087262"/>
    <w:rsid w:val="00087263"/>
    <w:rsid w:val="000876AE"/>
    <w:rsid w:val="00087712"/>
    <w:rsid w:val="00087803"/>
    <w:rsid w:val="00087928"/>
    <w:rsid w:val="00087A50"/>
    <w:rsid w:val="000903F4"/>
    <w:rsid w:val="00090403"/>
    <w:rsid w:val="000908E3"/>
    <w:rsid w:val="00090C88"/>
    <w:rsid w:val="00090F39"/>
    <w:rsid w:val="00091038"/>
    <w:rsid w:val="000914A1"/>
    <w:rsid w:val="00091776"/>
    <w:rsid w:val="00091C9F"/>
    <w:rsid w:val="000924B5"/>
    <w:rsid w:val="000927D6"/>
    <w:rsid w:val="00092840"/>
    <w:rsid w:val="0009287F"/>
    <w:rsid w:val="00092AB7"/>
    <w:rsid w:val="00093388"/>
    <w:rsid w:val="0009340F"/>
    <w:rsid w:val="00093942"/>
    <w:rsid w:val="00093A7A"/>
    <w:rsid w:val="00093A7E"/>
    <w:rsid w:val="00093D91"/>
    <w:rsid w:val="00093FED"/>
    <w:rsid w:val="000940C7"/>
    <w:rsid w:val="00094216"/>
    <w:rsid w:val="00094221"/>
    <w:rsid w:val="00094325"/>
    <w:rsid w:val="000943CD"/>
    <w:rsid w:val="0009464B"/>
    <w:rsid w:val="00094AD2"/>
    <w:rsid w:val="00094E0C"/>
    <w:rsid w:val="00094E39"/>
    <w:rsid w:val="000953BF"/>
    <w:rsid w:val="000955BB"/>
    <w:rsid w:val="00095658"/>
    <w:rsid w:val="000956F2"/>
    <w:rsid w:val="00095955"/>
    <w:rsid w:val="000959DD"/>
    <w:rsid w:val="00095B1C"/>
    <w:rsid w:val="00095CF4"/>
    <w:rsid w:val="0009628C"/>
    <w:rsid w:val="00096375"/>
    <w:rsid w:val="000964BF"/>
    <w:rsid w:val="000966B1"/>
    <w:rsid w:val="0009690F"/>
    <w:rsid w:val="000969D4"/>
    <w:rsid w:val="00096A0E"/>
    <w:rsid w:val="00097380"/>
    <w:rsid w:val="0009770E"/>
    <w:rsid w:val="0009795E"/>
    <w:rsid w:val="00097C1C"/>
    <w:rsid w:val="000A0125"/>
    <w:rsid w:val="000A05DD"/>
    <w:rsid w:val="000A0A2A"/>
    <w:rsid w:val="000A0A49"/>
    <w:rsid w:val="000A1420"/>
    <w:rsid w:val="000A1567"/>
    <w:rsid w:val="000A1667"/>
    <w:rsid w:val="000A16F6"/>
    <w:rsid w:val="000A19CD"/>
    <w:rsid w:val="000A1C4F"/>
    <w:rsid w:val="000A1C66"/>
    <w:rsid w:val="000A203A"/>
    <w:rsid w:val="000A22AB"/>
    <w:rsid w:val="000A24F0"/>
    <w:rsid w:val="000A28D0"/>
    <w:rsid w:val="000A2C76"/>
    <w:rsid w:val="000A3096"/>
    <w:rsid w:val="000A31CE"/>
    <w:rsid w:val="000A322A"/>
    <w:rsid w:val="000A39E2"/>
    <w:rsid w:val="000A41DC"/>
    <w:rsid w:val="000A49CC"/>
    <w:rsid w:val="000A4A1B"/>
    <w:rsid w:val="000A4AC6"/>
    <w:rsid w:val="000A5178"/>
    <w:rsid w:val="000A51E1"/>
    <w:rsid w:val="000A58A7"/>
    <w:rsid w:val="000A5A0E"/>
    <w:rsid w:val="000A5DDD"/>
    <w:rsid w:val="000A6052"/>
    <w:rsid w:val="000A60E9"/>
    <w:rsid w:val="000A60F4"/>
    <w:rsid w:val="000A6169"/>
    <w:rsid w:val="000A6339"/>
    <w:rsid w:val="000A658E"/>
    <w:rsid w:val="000A6B12"/>
    <w:rsid w:val="000A6C42"/>
    <w:rsid w:val="000A6CA4"/>
    <w:rsid w:val="000A707B"/>
    <w:rsid w:val="000A7334"/>
    <w:rsid w:val="000A752C"/>
    <w:rsid w:val="000A75DD"/>
    <w:rsid w:val="000A76F7"/>
    <w:rsid w:val="000A7829"/>
    <w:rsid w:val="000B046F"/>
    <w:rsid w:val="000B0839"/>
    <w:rsid w:val="000B0885"/>
    <w:rsid w:val="000B0EEC"/>
    <w:rsid w:val="000B10A4"/>
    <w:rsid w:val="000B135A"/>
    <w:rsid w:val="000B13C4"/>
    <w:rsid w:val="000B148C"/>
    <w:rsid w:val="000B150C"/>
    <w:rsid w:val="000B1B2A"/>
    <w:rsid w:val="000B1CEB"/>
    <w:rsid w:val="000B22E0"/>
    <w:rsid w:val="000B287A"/>
    <w:rsid w:val="000B2BEC"/>
    <w:rsid w:val="000B2DB7"/>
    <w:rsid w:val="000B3185"/>
    <w:rsid w:val="000B32BA"/>
    <w:rsid w:val="000B3794"/>
    <w:rsid w:val="000B3822"/>
    <w:rsid w:val="000B3935"/>
    <w:rsid w:val="000B3C34"/>
    <w:rsid w:val="000B4471"/>
    <w:rsid w:val="000B453D"/>
    <w:rsid w:val="000B45BE"/>
    <w:rsid w:val="000B47FA"/>
    <w:rsid w:val="000B49EF"/>
    <w:rsid w:val="000B4CA3"/>
    <w:rsid w:val="000B4EF9"/>
    <w:rsid w:val="000B529B"/>
    <w:rsid w:val="000B54D2"/>
    <w:rsid w:val="000B5CBC"/>
    <w:rsid w:val="000B5E67"/>
    <w:rsid w:val="000B630B"/>
    <w:rsid w:val="000B6351"/>
    <w:rsid w:val="000B6732"/>
    <w:rsid w:val="000B6841"/>
    <w:rsid w:val="000B6BA2"/>
    <w:rsid w:val="000B6BD6"/>
    <w:rsid w:val="000B6E33"/>
    <w:rsid w:val="000B7749"/>
    <w:rsid w:val="000B7783"/>
    <w:rsid w:val="000B7992"/>
    <w:rsid w:val="000B7A6F"/>
    <w:rsid w:val="000B7D14"/>
    <w:rsid w:val="000C0178"/>
    <w:rsid w:val="000C0346"/>
    <w:rsid w:val="000C04BB"/>
    <w:rsid w:val="000C114F"/>
    <w:rsid w:val="000C135F"/>
    <w:rsid w:val="000C1575"/>
    <w:rsid w:val="000C1F36"/>
    <w:rsid w:val="000C20ED"/>
    <w:rsid w:val="000C2220"/>
    <w:rsid w:val="000C22FA"/>
    <w:rsid w:val="000C2842"/>
    <w:rsid w:val="000C28D4"/>
    <w:rsid w:val="000C2C06"/>
    <w:rsid w:val="000C342A"/>
    <w:rsid w:val="000C349A"/>
    <w:rsid w:val="000C354E"/>
    <w:rsid w:val="000C3728"/>
    <w:rsid w:val="000C37D4"/>
    <w:rsid w:val="000C3887"/>
    <w:rsid w:val="000C3D46"/>
    <w:rsid w:val="000C3DB4"/>
    <w:rsid w:val="000C445A"/>
    <w:rsid w:val="000C4522"/>
    <w:rsid w:val="000C4545"/>
    <w:rsid w:val="000C4B0D"/>
    <w:rsid w:val="000C4B44"/>
    <w:rsid w:val="000C4F82"/>
    <w:rsid w:val="000C501D"/>
    <w:rsid w:val="000C54C6"/>
    <w:rsid w:val="000C561C"/>
    <w:rsid w:val="000C58E2"/>
    <w:rsid w:val="000C594B"/>
    <w:rsid w:val="000C596C"/>
    <w:rsid w:val="000C5E4E"/>
    <w:rsid w:val="000C60FA"/>
    <w:rsid w:val="000C62CB"/>
    <w:rsid w:val="000C64B3"/>
    <w:rsid w:val="000C65F1"/>
    <w:rsid w:val="000C6612"/>
    <w:rsid w:val="000C6799"/>
    <w:rsid w:val="000C67B5"/>
    <w:rsid w:val="000C69D7"/>
    <w:rsid w:val="000C6B14"/>
    <w:rsid w:val="000C6CCA"/>
    <w:rsid w:val="000C701E"/>
    <w:rsid w:val="000D0B39"/>
    <w:rsid w:val="000D1160"/>
    <w:rsid w:val="000D1A24"/>
    <w:rsid w:val="000D1A49"/>
    <w:rsid w:val="000D1A6D"/>
    <w:rsid w:val="000D1BD5"/>
    <w:rsid w:val="000D1E5C"/>
    <w:rsid w:val="000D21F5"/>
    <w:rsid w:val="000D2228"/>
    <w:rsid w:val="000D227B"/>
    <w:rsid w:val="000D25FA"/>
    <w:rsid w:val="000D2805"/>
    <w:rsid w:val="000D296A"/>
    <w:rsid w:val="000D2A34"/>
    <w:rsid w:val="000D2DBA"/>
    <w:rsid w:val="000D3255"/>
    <w:rsid w:val="000D3518"/>
    <w:rsid w:val="000D3799"/>
    <w:rsid w:val="000D3E29"/>
    <w:rsid w:val="000D3F1C"/>
    <w:rsid w:val="000D42F8"/>
    <w:rsid w:val="000D44EA"/>
    <w:rsid w:val="000D470B"/>
    <w:rsid w:val="000D49DB"/>
    <w:rsid w:val="000D4A69"/>
    <w:rsid w:val="000D4AC4"/>
    <w:rsid w:val="000D4E36"/>
    <w:rsid w:val="000D55AB"/>
    <w:rsid w:val="000D59A5"/>
    <w:rsid w:val="000D6025"/>
    <w:rsid w:val="000D60A0"/>
    <w:rsid w:val="000D62F3"/>
    <w:rsid w:val="000D64BB"/>
    <w:rsid w:val="000D64D2"/>
    <w:rsid w:val="000D68F8"/>
    <w:rsid w:val="000D6BD2"/>
    <w:rsid w:val="000D6C41"/>
    <w:rsid w:val="000D6CA3"/>
    <w:rsid w:val="000D6DA1"/>
    <w:rsid w:val="000D715B"/>
    <w:rsid w:val="000D71B6"/>
    <w:rsid w:val="000D7511"/>
    <w:rsid w:val="000D7A23"/>
    <w:rsid w:val="000D7DB4"/>
    <w:rsid w:val="000D7DF5"/>
    <w:rsid w:val="000E0162"/>
    <w:rsid w:val="000E01E0"/>
    <w:rsid w:val="000E021A"/>
    <w:rsid w:val="000E0341"/>
    <w:rsid w:val="000E0783"/>
    <w:rsid w:val="000E134B"/>
    <w:rsid w:val="000E16BA"/>
    <w:rsid w:val="000E1A18"/>
    <w:rsid w:val="000E1FB0"/>
    <w:rsid w:val="000E24F2"/>
    <w:rsid w:val="000E2569"/>
    <w:rsid w:val="000E259B"/>
    <w:rsid w:val="000E30DA"/>
    <w:rsid w:val="000E3385"/>
    <w:rsid w:val="000E33B4"/>
    <w:rsid w:val="000E357F"/>
    <w:rsid w:val="000E35AF"/>
    <w:rsid w:val="000E39BF"/>
    <w:rsid w:val="000E49DF"/>
    <w:rsid w:val="000E4DE3"/>
    <w:rsid w:val="000E4F02"/>
    <w:rsid w:val="000E50C2"/>
    <w:rsid w:val="000E51EB"/>
    <w:rsid w:val="000E527A"/>
    <w:rsid w:val="000E5369"/>
    <w:rsid w:val="000E5B8C"/>
    <w:rsid w:val="000E5F2F"/>
    <w:rsid w:val="000E60C3"/>
    <w:rsid w:val="000E662C"/>
    <w:rsid w:val="000E69CD"/>
    <w:rsid w:val="000E6BC8"/>
    <w:rsid w:val="000E6E60"/>
    <w:rsid w:val="000E6E88"/>
    <w:rsid w:val="000E713E"/>
    <w:rsid w:val="000E74F5"/>
    <w:rsid w:val="000E75C1"/>
    <w:rsid w:val="000E7656"/>
    <w:rsid w:val="000E76B8"/>
    <w:rsid w:val="000E779A"/>
    <w:rsid w:val="000E7A59"/>
    <w:rsid w:val="000E7ACB"/>
    <w:rsid w:val="000E7AD8"/>
    <w:rsid w:val="000E7AFE"/>
    <w:rsid w:val="000E7C0B"/>
    <w:rsid w:val="000F03B4"/>
    <w:rsid w:val="000F08AC"/>
    <w:rsid w:val="000F0B26"/>
    <w:rsid w:val="000F0BDC"/>
    <w:rsid w:val="000F0DB4"/>
    <w:rsid w:val="000F0DE1"/>
    <w:rsid w:val="000F0F9A"/>
    <w:rsid w:val="000F147F"/>
    <w:rsid w:val="000F181D"/>
    <w:rsid w:val="000F1EBF"/>
    <w:rsid w:val="000F240F"/>
    <w:rsid w:val="000F2414"/>
    <w:rsid w:val="000F2D45"/>
    <w:rsid w:val="000F2D88"/>
    <w:rsid w:val="000F3262"/>
    <w:rsid w:val="000F32FE"/>
    <w:rsid w:val="000F370F"/>
    <w:rsid w:val="000F37F4"/>
    <w:rsid w:val="000F3B35"/>
    <w:rsid w:val="000F40F2"/>
    <w:rsid w:val="000F4182"/>
    <w:rsid w:val="000F4535"/>
    <w:rsid w:val="000F4A9F"/>
    <w:rsid w:val="000F4B08"/>
    <w:rsid w:val="000F4B60"/>
    <w:rsid w:val="000F4E3A"/>
    <w:rsid w:val="000F531A"/>
    <w:rsid w:val="000F54B7"/>
    <w:rsid w:val="000F5576"/>
    <w:rsid w:val="000F57A4"/>
    <w:rsid w:val="000F5A9C"/>
    <w:rsid w:val="000F60E3"/>
    <w:rsid w:val="000F61EA"/>
    <w:rsid w:val="000F65F7"/>
    <w:rsid w:val="000F6872"/>
    <w:rsid w:val="000F6A95"/>
    <w:rsid w:val="000F7B13"/>
    <w:rsid w:val="000F7EF3"/>
    <w:rsid w:val="001004FA"/>
    <w:rsid w:val="0010092F"/>
    <w:rsid w:val="00100B36"/>
    <w:rsid w:val="00100EE0"/>
    <w:rsid w:val="00100EEB"/>
    <w:rsid w:val="0010101A"/>
    <w:rsid w:val="0010134D"/>
    <w:rsid w:val="0010157B"/>
    <w:rsid w:val="00101BB2"/>
    <w:rsid w:val="00101F44"/>
    <w:rsid w:val="00102010"/>
    <w:rsid w:val="001020DA"/>
    <w:rsid w:val="001021B2"/>
    <w:rsid w:val="00102294"/>
    <w:rsid w:val="00102583"/>
    <w:rsid w:val="001025A9"/>
    <w:rsid w:val="00102C63"/>
    <w:rsid w:val="00102CB2"/>
    <w:rsid w:val="00102F01"/>
    <w:rsid w:val="00102F8F"/>
    <w:rsid w:val="001037E2"/>
    <w:rsid w:val="001038DC"/>
    <w:rsid w:val="00103BCA"/>
    <w:rsid w:val="00103CCA"/>
    <w:rsid w:val="00103EBB"/>
    <w:rsid w:val="00104011"/>
    <w:rsid w:val="00104863"/>
    <w:rsid w:val="00104879"/>
    <w:rsid w:val="00104AAD"/>
    <w:rsid w:val="00104BBB"/>
    <w:rsid w:val="00105051"/>
    <w:rsid w:val="001050B7"/>
    <w:rsid w:val="001050F6"/>
    <w:rsid w:val="0010514E"/>
    <w:rsid w:val="001052F3"/>
    <w:rsid w:val="001058F1"/>
    <w:rsid w:val="00105F06"/>
    <w:rsid w:val="00106008"/>
    <w:rsid w:val="0010623A"/>
    <w:rsid w:val="001062AC"/>
    <w:rsid w:val="001063DE"/>
    <w:rsid w:val="0010661C"/>
    <w:rsid w:val="001068E9"/>
    <w:rsid w:val="00106947"/>
    <w:rsid w:val="00106BF3"/>
    <w:rsid w:val="00106C16"/>
    <w:rsid w:val="001071A0"/>
    <w:rsid w:val="001075FC"/>
    <w:rsid w:val="00107E36"/>
    <w:rsid w:val="00107F89"/>
    <w:rsid w:val="00110422"/>
    <w:rsid w:val="00110AAE"/>
    <w:rsid w:val="00110BD4"/>
    <w:rsid w:val="00110C23"/>
    <w:rsid w:val="00110C2A"/>
    <w:rsid w:val="0011137C"/>
    <w:rsid w:val="0011146D"/>
    <w:rsid w:val="001117A8"/>
    <w:rsid w:val="001117C6"/>
    <w:rsid w:val="001118B3"/>
    <w:rsid w:val="00111D53"/>
    <w:rsid w:val="00111E29"/>
    <w:rsid w:val="00111EEA"/>
    <w:rsid w:val="00111F91"/>
    <w:rsid w:val="00112047"/>
    <w:rsid w:val="001122C2"/>
    <w:rsid w:val="00112302"/>
    <w:rsid w:val="001128D0"/>
    <w:rsid w:val="00112E20"/>
    <w:rsid w:val="00112E9C"/>
    <w:rsid w:val="00112FCB"/>
    <w:rsid w:val="00113102"/>
    <w:rsid w:val="00113497"/>
    <w:rsid w:val="001134AF"/>
    <w:rsid w:val="00113507"/>
    <w:rsid w:val="001135B7"/>
    <w:rsid w:val="00113B7B"/>
    <w:rsid w:val="00113C34"/>
    <w:rsid w:val="00113DDA"/>
    <w:rsid w:val="001146D8"/>
    <w:rsid w:val="00114B5F"/>
    <w:rsid w:val="00114C04"/>
    <w:rsid w:val="00114DA8"/>
    <w:rsid w:val="00114F95"/>
    <w:rsid w:val="001152F0"/>
    <w:rsid w:val="0011548E"/>
    <w:rsid w:val="0011560D"/>
    <w:rsid w:val="00115874"/>
    <w:rsid w:val="001159B7"/>
    <w:rsid w:val="00115A9D"/>
    <w:rsid w:val="00115D9B"/>
    <w:rsid w:val="00116099"/>
    <w:rsid w:val="0011649F"/>
    <w:rsid w:val="00116AC0"/>
    <w:rsid w:val="0011727A"/>
    <w:rsid w:val="001174F2"/>
    <w:rsid w:val="0011752A"/>
    <w:rsid w:val="00117614"/>
    <w:rsid w:val="001178F4"/>
    <w:rsid w:val="00117989"/>
    <w:rsid w:val="001179EB"/>
    <w:rsid w:val="00117AB3"/>
    <w:rsid w:val="00120237"/>
    <w:rsid w:val="00120250"/>
    <w:rsid w:val="001204B7"/>
    <w:rsid w:val="001206C9"/>
    <w:rsid w:val="001209DD"/>
    <w:rsid w:val="00120B85"/>
    <w:rsid w:val="00120BCC"/>
    <w:rsid w:val="00121082"/>
    <w:rsid w:val="001216EA"/>
    <w:rsid w:val="0012187F"/>
    <w:rsid w:val="00121AC2"/>
    <w:rsid w:val="00121DFA"/>
    <w:rsid w:val="00122153"/>
    <w:rsid w:val="00122435"/>
    <w:rsid w:val="00122B19"/>
    <w:rsid w:val="00122EAC"/>
    <w:rsid w:val="00122EDE"/>
    <w:rsid w:val="0012346F"/>
    <w:rsid w:val="00123706"/>
    <w:rsid w:val="0012386D"/>
    <w:rsid w:val="00123C1E"/>
    <w:rsid w:val="00124178"/>
    <w:rsid w:val="001250A2"/>
    <w:rsid w:val="00125191"/>
    <w:rsid w:val="001252BF"/>
    <w:rsid w:val="00125515"/>
    <w:rsid w:val="00125A89"/>
    <w:rsid w:val="00125BCA"/>
    <w:rsid w:val="001260B8"/>
    <w:rsid w:val="00126133"/>
    <w:rsid w:val="001267CC"/>
    <w:rsid w:val="001268E6"/>
    <w:rsid w:val="00126EAD"/>
    <w:rsid w:val="00126FAA"/>
    <w:rsid w:val="00126FFB"/>
    <w:rsid w:val="001272CE"/>
    <w:rsid w:val="001277A4"/>
    <w:rsid w:val="00127B37"/>
    <w:rsid w:val="0013040A"/>
    <w:rsid w:val="001304EB"/>
    <w:rsid w:val="00130A4D"/>
    <w:rsid w:val="00130C37"/>
    <w:rsid w:val="00130CF0"/>
    <w:rsid w:val="00130F05"/>
    <w:rsid w:val="0013106E"/>
    <w:rsid w:val="00131341"/>
    <w:rsid w:val="00131920"/>
    <w:rsid w:val="00131BE5"/>
    <w:rsid w:val="00131D34"/>
    <w:rsid w:val="00131E7D"/>
    <w:rsid w:val="00131F49"/>
    <w:rsid w:val="001324AF"/>
    <w:rsid w:val="00132584"/>
    <w:rsid w:val="00132709"/>
    <w:rsid w:val="00132912"/>
    <w:rsid w:val="001329AA"/>
    <w:rsid w:val="0013306C"/>
    <w:rsid w:val="0013317C"/>
    <w:rsid w:val="001332E0"/>
    <w:rsid w:val="00133402"/>
    <w:rsid w:val="001335CB"/>
    <w:rsid w:val="00133DC7"/>
    <w:rsid w:val="00133DDC"/>
    <w:rsid w:val="00133EEC"/>
    <w:rsid w:val="001342E2"/>
    <w:rsid w:val="00134867"/>
    <w:rsid w:val="00134A52"/>
    <w:rsid w:val="00134B96"/>
    <w:rsid w:val="00134C69"/>
    <w:rsid w:val="00134CAB"/>
    <w:rsid w:val="00134D45"/>
    <w:rsid w:val="00134DDB"/>
    <w:rsid w:val="001350DD"/>
    <w:rsid w:val="001356E8"/>
    <w:rsid w:val="00135BAF"/>
    <w:rsid w:val="00135DD0"/>
    <w:rsid w:val="00135EAE"/>
    <w:rsid w:val="00136462"/>
    <w:rsid w:val="00136645"/>
    <w:rsid w:val="001369EB"/>
    <w:rsid w:val="00136E3F"/>
    <w:rsid w:val="00137295"/>
    <w:rsid w:val="00137412"/>
    <w:rsid w:val="001374D5"/>
    <w:rsid w:val="001375E8"/>
    <w:rsid w:val="0013780F"/>
    <w:rsid w:val="0013788F"/>
    <w:rsid w:val="00137A4C"/>
    <w:rsid w:val="00137AA5"/>
    <w:rsid w:val="00137D33"/>
    <w:rsid w:val="001401A9"/>
    <w:rsid w:val="001401EE"/>
    <w:rsid w:val="00140588"/>
    <w:rsid w:val="00140747"/>
    <w:rsid w:val="001408A6"/>
    <w:rsid w:val="001409E6"/>
    <w:rsid w:val="00140AC7"/>
    <w:rsid w:val="00140B55"/>
    <w:rsid w:val="00141359"/>
    <w:rsid w:val="0014139B"/>
    <w:rsid w:val="00141444"/>
    <w:rsid w:val="0014151C"/>
    <w:rsid w:val="00141A40"/>
    <w:rsid w:val="00141B60"/>
    <w:rsid w:val="00141EF4"/>
    <w:rsid w:val="00141F45"/>
    <w:rsid w:val="001421D2"/>
    <w:rsid w:val="00142507"/>
    <w:rsid w:val="00142A0D"/>
    <w:rsid w:val="00142F98"/>
    <w:rsid w:val="0014309B"/>
    <w:rsid w:val="00143186"/>
    <w:rsid w:val="00143AC4"/>
    <w:rsid w:val="00143BB5"/>
    <w:rsid w:val="00143FA6"/>
    <w:rsid w:val="001441D4"/>
    <w:rsid w:val="001445D0"/>
    <w:rsid w:val="00144820"/>
    <w:rsid w:val="00144825"/>
    <w:rsid w:val="00144A92"/>
    <w:rsid w:val="00144AE7"/>
    <w:rsid w:val="00144D4E"/>
    <w:rsid w:val="00144D7A"/>
    <w:rsid w:val="00144E9A"/>
    <w:rsid w:val="001450A5"/>
    <w:rsid w:val="001452F1"/>
    <w:rsid w:val="00145606"/>
    <w:rsid w:val="00145AB1"/>
    <w:rsid w:val="00145CA7"/>
    <w:rsid w:val="00145DC5"/>
    <w:rsid w:val="00145F00"/>
    <w:rsid w:val="00145FEB"/>
    <w:rsid w:val="001465B9"/>
    <w:rsid w:val="00146795"/>
    <w:rsid w:val="0014698D"/>
    <w:rsid w:val="00146A8D"/>
    <w:rsid w:val="0014716B"/>
    <w:rsid w:val="0014794A"/>
    <w:rsid w:val="00147E5A"/>
    <w:rsid w:val="00147FD4"/>
    <w:rsid w:val="0015024C"/>
    <w:rsid w:val="00150427"/>
    <w:rsid w:val="00150461"/>
    <w:rsid w:val="00150A5C"/>
    <w:rsid w:val="00151396"/>
    <w:rsid w:val="00151687"/>
    <w:rsid w:val="001516E4"/>
    <w:rsid w:val="0015185E"/>
    <w:rsid w:val="00151882"/>
    <w:rsid w:val="00151A1F"/>
    <w:rsid w:val="00151F52"/>
    <w:rsid w:val="0015205C"/>
    <w:rsid w:val="00152261"/>
    <w:rsid w:val="0015277C"/>
    <w:rsid w:val="00152B89"/>
    <w:rsid w:val="00152EA6"/>
    <w:rsid w:val="00152F2F"/>
    <w:rsid w:val="00152FBD"/>
    <w:rsid w:val="00153104"/>
    <w:rsid w:val="00153171"/>
    <w:rsid w:val="001533F2"/>
    <w:rsid w:val="001535A3"/>
    <w:rsid w:val="001535D6"/>
    <w:rsid w:val="00153CAE"/>
    <w:rsid w:val="00153F56"/>
    <w:rsid w:val="001541A1"/>
    <w:rsid w:val="00154243"/>
    <w:rsid w:val="001543A3"/>
    <w:rsid w:val="001543C4"/>
    <w:rsid w:val="00154505"/>
    <w:rsid w:val="001545A4"/>
    <w:rsid w:val="0015492C"/>
    <w:rsid w:val="00154D37"/>
    <w:rsid w:val="00154D5B"/>
    <w:rsid w:val="001550AF"/>
    <w:rsid w:val="00155199"/>
    <w:rsid w:val="00155365"/>
    <w:rsid w:val="001554EE"/>
    <w:rsid w:val="00155694"/>
    <w:rsid w:val="00155923"/>
    <w:rsid w:val="00155B2F"/>
    <w:rsid w:val="00155B82"/>
    <w:rsid w:val="00155C2C"/>
    <w:rsid w:val="00155CDA"/>
    <w:rsid w:val="00155CDF"/>
    <w:rsid w:val="00155EA7"/>
    <w:rsid w:val="001561BA"/>
    <w:rsid w:val="00156374"/>
    <w:rsid w:val="001566F5"/>
    <w:rsid w:val="00156778"/>
    <w:rsid w:val="00156949"/>
    <w:rsid w:val="0015697A"/>
    <w:rsid w:val="00156FA6"/>
    <w:rsid w:val="00157137"/>
    <w:rsid w:val="001574AF"/>
    <w:rsid w:val="001576C1"/>
    <w:rsid w:val="001578C6"/>
    <w:rsid w:val="00157EA3"/>
    <w:rsid w:val="001603E3"/>
    <w:rsid w:val="001606DC"/>
    <w:rsid w:val="001607D7"/>
    <w:rsid w:val="00160C85"/>
    <w:rsid w:val="00160E61"/>
    <w:rsid w:val="00160E7A"/>
    <w:rsid w:val="0016145E"/>
    <w:rsid w:val="00161D5C"/>
    <w:rsid w:val="00161E62"/>
    <w:rsid w:val="0016255B"/>
    <w:rsid w:val="00162B6C"/>
    <w:rsid w:val="00162C01"/>
    <w:rsid w:val="00162D90"/>
    <w:rsid w:val="00162DED"/>
    <w:rsid w:val="00162ECE"/>
    <w:rsid w:val="00163242"/>
    <w:rsid w:val="00163281"/>
    <w:rsid w:val="00163352"/>
    <w:rsid w:val="001637D3"/>
    <w:rsid w:val="00163B75"/>
    <w:rsid w:val="00163E3D"/>
    <w:rsid w:val="001647CB"/>
    <w:rsid w:val="00164B7C"/>
    <w:rsid w:val="00164C62"/>
    <w:rsid w:val="00164C7B"/>
    <w:rsid w:val="00164CB1"/>
    <w:rsid w:val="00164ED1"/>
    <w:rsid w:val="00165096"/>
    <w:rsid w:val="001650D1"/>
    <w:rsid w:val="001652F5"/>
    <w:rsid w:val="00165DB5"/>
    <w:rsid w:val="00165F2B"/>
    <w:rsid w:val="001661CE"/>
    <w:rsid w:val="001666E9"/>
    <w:rsid w:val="00166764"/>
    <w:rsid w:val="00166853"/>
    <w:rsid w:val="00166B88"/>
    <w:rsid w:val="00167196"/>
    <w:rsid w:val="001673AD"/>
    <w:rsid w:val="001679A6"/>
    <w:rsid w:val="00167BB4"/>
    <w:rsid w:val="00167C6F"/>
    <w:rsid w:val="00167CF0"/>
    <w:rsid w:val="00167EE1"/>
    <w:rsid w:val="00167EFC"/>
    <w:rsid w:val="00170546"/>
    <w:rsid w:val="001708DF"/>
    <w:rsid w:val="00170928"/>
    <w:rsid w:val="001709B3"/>
    <w:rsid w:val="0017144B"/>
    <w:rsid w:val="001715B3"/>
    <w:rsid w:val="00171AB6"/>
    <w:rsid w:val="00171B21"/>
    <w:rsid w:val="00171DC4"/>
    <w:rsid w:val="00171EB2"/>
    <w:rsid w:val="0017206E"/>
    <w:rsid w:val="00172208"/>
    <w:rsid w:val="001724E4"/>
    <w:rsid w:val="001726E7"/>
    <w:rsid w:val="001729AF"/>
    <w:rsid w:val="00172A27"/>
    <w:rsid w:val="00172AD7"/>
    <w:rsid w:val="00172CCC"/>
    <w:rsid w:val="00172DF9"/>
    <w:rsid w:val="0017303A"/>
    <w:rsid w:val="001730AE"/>
    <w:rsid w:val="00173263"/>
    <w:rsid w:val="0017401E"/>
    <w:rsid w:val="001744F7"/>
    <w:rsid w:val="00174987"/>
    <w:rsid w:val="00174A8D"/>
    <w:rsid w:val="00174CEE"/>
    <w:rsid w:val="00175607"/>
    <w:rsid w:val="0017575F"/>
    <w:rsid w:val="001757C6"/>
    <w:rsid w:val="0017597F"/>
    <w:rsid w:val="00175BA2"/>
    <w:rsid w:val="00175F1E"/>
    <w:rsid w:val="00176033"/>
    <w:rsid w:val="0017615C"/>
    <w:rsid w:val="00176193"/>
    <w:rsid w:val="00176741"/>
    <w:rsid w:val="00176C08"/>
    <w:rsid w:val="00176CE0"/>
    <w:rsid w:val="00176CFA"/>
    <w:rsid w:val="00177387"/>
    <w:rsid w:val="00177409"/>
    <w:rsid w:val="001776AD"/>
    <w:rsid w:val="00177AAE"/>
    <w:rsid w:val="00177C11"/>
    <w:rsid w:val="00177CFE"/>
    <w:rsid w:val="00177EE3"/>
    <w:rsid w:val="001803F8"/>
    <w:rsid w:val="0018044C"/>
    <w:rsid w:val="001805C3"/>
    <w:rsid w:val="001810C0"/>
    <w:rsid w:val="001819C4"/>
    <w:rsid w:val="00181BD6"/>
    <w:rsid w:val="00181D2B"/>
    <w:rsid w:val="00181F10"/>
    <w:rsid w:val="001822EC"/>
    <w:rsid w:val="0018244B"/>
    <w:rsid w:val="0018284E"/>
    <w:rsid w:val="0018293E"/>
    <w:rsid w:val="00182AE0"/>
    <w:rsid w:val="00182D55"/>
    <w:rsid w:val="00182E1F"/>
    <w:rsid w:val="001835E9"/>
    <w:rsid w:val="001839D1"/>
    <w:rsid w:val="00183FF5"/>
    <w:rsid w:val="0018409D"/>
    <w:rsid w:val="00184143"/>
    <w:rsid w:val="00184570"/>
    <w:rsid w:val="001845A2"/>
    <w:rsid w:val="00184BF0"/>
    <w:rsid w:val="00184F6F"/>
    <w:rsid w:val="0018501A"/>
    <w:rsid w:val="00185AA0"/>
    <w:rsid w:val="00185C30"/>
    <w:rsid w:val="001861D2"/>
    <w:rsid w:val="0018639C"/>
    <w:rsid w:val="001864AB"/>
    <w:rsid w:val="001865A9"/>
    <w:rsid w:val="00186758"/>
    <w:rsid w:val="001870D2"/>
    <w:rsid w:val="001872C5"/>
    <w:rsid w:val="0018762C"/>
    <w:rsid w:val="00187979"/>
    <w:rsid w:val="00187AC0"/>
    <w:rsid w:val="00187EAC"/>
    <w:rsid w:val="0019060E"/>
    <w:rsid w:val="0019067F"/>
    <w:rsid w:val="00190C68"/>
    <w:rsid w:val="00190D7B"/>
    <w:rsid w:val="00190D84"/>
    <w:rsid w:val="00191007"/>
    <w:rsid w:val="00191033"/>
    <w:rsid w:val="001910EE"/>
    <w:rsid w:val="00191633"/>
    <w:rsid w:val="001918A7"/>
    <w:rsid w:val="00191906"/>
    <w:rsid w:val="00191B99"/>
    <w:rsid w:val="00191DE5"/>
    <w:rsid w:val="001920A7"/>
    <w:rsid w:val="00192173"/>
    <w:rsid w:val="0019275A"/>
    <w:rsid w:val="0019283B"/>
    <w:rsid w:val="0019286E"/>
    <w:rsid w:val="001929A3"/>
    <w:rsid w:val="00193006"/>
    <w:rsid w:val="00193416"/>
    <w:rsid w:val="0019346E"/>
    <w:rsid w:val="00193765"/>
    <w:rsid w:val="00193E52"/>
    <w:rsid w:val="001940BB"/>
    <w:rsid w:val="00194345"/>
    <w:rsid w:val="0019486B"/>
    <w:rsid w:val="00194C2D"/>
    <w:rsid w:val="00194C32"/>
    <w:rsid w:val="00194D86"/>
    <w:rsid w:val="00194F1C"/>
    <w:rsid w:val="001951A3"/>
    <w:rsid w:val="001954A7"/>
    <w:rsid w:val="001954D5"/>
    <w:rsid w:val="001955D2"/>
    <w:rsid w:val="001956B4"/>
    <w:rsid w:val="00195BC4"/>
    <w:rsid w:val="00196132"/>
    <w:rsid w:val="0019614C"/>
    <w:rsid w:val="001961BB"/>
    <w:rsid w:val="001964CE"/>
    <w:rsid w:val="001968AD"/>
    <w:rsid w:val="001968F0"/>
    <w:rsid w:val="00196AA0"/>
    <w:rsid w:val="00196E88"/>
    <w:rsid w:val="00197104"/>
    <w:rsid w:val="001971E3"/>
    <w:rsid w:val="00197B22"/>
    <w:rsid w:val="00197E5F"/>
    <w:rsid w:val="00197EAF"/>
    <w:rsid w:val="00197F40"/>
    <w:rsid w:val="001A00AE"/>
    <w:rsid w:val="001A0343"/>
    <w:rsid w:val="001A0605"/>
    <w:rsid w:val="001A0A11"/>
    <w:rsid w:val="001A0B63"/>
    <w:rsid w:val="001A0BFD"/>
    <w:rsid w:val="001A0D0D"/>
    <w:rsid w:val="001A1889"/>
    <w:rsid w:val="001A1B49"/>
    <w:rsid w:val="001A1BE2"/>
    <w:rsid w:val="001A204A"/>
    <w:rsid w:val="001A21FE"/>
    <w:rsid w:val="001A2299"/>
    <w:rsid w:val="001A2606"/>
    <w:rsid w:val="001A2799"/>
    <w:rsid w:val="001A2C1F"/>
    <w:rsid w:val="001A2E1C"/>
    <w:rsid w:val="001A2E91"/>
    <w:rsid w:val="001A344A"/>
    <w:rsid w:val="001A3AC0"/>
    <w:rsid w:val="001A46A4"/>
    <w:rsid w:val="001A4F23"/>
    <w:rsid w:val="001A53E0"/>
    <w:rsid w:val="001A5409"/>
    <w:rsid w:val="001A584F"/>
    <w:rsid w:val="001A5982"/>
    <w:rsid w:val="001A5BB4"/>
    <w:rsid w:val="001A5C44"/>
    <w:rsid w:val="001A5FFE"/>
    <w:rsid w:val="001A60CF"/>
    <w:rsid w:val="001A68C0"/>
    <w:rsid w:val="001A6D10"/>
    <w:rsid w:val="001A6E00"/>
    <w:rsid w:val="001A6E39"/>
    <w:rsid w:val="001A6F6C"/>
    <w:rsid w:val="001A72B6"/>
    <w:rsid w:val="001A739B"/>
    <w:rsid w:val="001A75AB"/>
    <w:rsid w:val="001A77D5"/>
    <w:rsid w:val="001B00F6"/>
    <w:rsid w:val="001B0132"/>
    <w:rsid w:val="001B01B8"/>
    <w:rsid w:val="001B0426"/>
    <w:rsid w:val="001B05D9"/>
    <w:rsid w:val="001B0629"/>
    <w:rsid w:val="001B0B1E"/>
    <w:rsid w:val="001B0C03"/>
    <w:rsid w:val="001B0D73"/>
    <w:rsid w:val="001B0E72"/>
    <w:rsid w:val="001B12ED"/>
    <w:rsid w:val="001B1461"/>
    <w:rsid w:val="001B14E0"/>
    <w:rsid w:val="001B1865"/>
    <w:rsid w:val="001B1CA5"/>
    <w:rsid w:val="001B20D7"/>
    <w:rsid w:val="001B220C"/>
    <w:rsid w:val="001B23AE"/>
    <w:rsid w:val="001B25CE"/>
    <w:rsid w:val="001B2B6E"/>
    <w:rsid w:val="001B2CF5"/>
    <w:rsid w:val="001B2FC2"/>
    <w:rsid w:val="001B34A9"/>
    <w:rsid w:val="001B3530"/>
    <w:rsid w:val="001B382B"/>
    <w:rsid w:val="001B3DC2"/>
    <w:rsid w:val="001B3EB6"/>
    <w:rsid w:val="001B44FB"/>
    <w:rsid w:val="001B4569"/>
    <w:rsid w:val="001B4B07"/>
    <w:rsid w:val="001B4C90"/>
    <w:rsid w:val="001B4DCB"/>
    <w:rsid w:val="001B560A"/>
    <w:rsid w:val="001B5641"/>
    <w:rsid w:val="001B56E4"/>
    <w:rsid w:val="001B5919"/>
    <w:rsid w:val="001B596D"/>
    <w:rsid w:val="001B5F08"/>
    <w:rsid w:val="001B5F6B"/>
    <w:rsid w:val="001B60F4"/>
    <w:rsid w:val="001B62EF"/>
    <w:rsid w:val="001B630C"/>
    <w:rsid w:val="001B6394"/>
    <w:rsid w:val="001B63CB"/>
    <w:rsid w:val="001B66F8"/>
    <w:rsid w:val="001B6CCB"/>
    <w:rsid w:val="001B6D86"/>
    <w:rsid w:val="001B6E5D"/>
    <w:rsid w:val="001B7232"/>
    <w:rsid w:val="001B752F"/>
    <w:rsid w:val="001B7861"/>
    <w:rsid w:val="001B7A1F"/>
    <w:rsid w:val="001B7C53"/>
    <w:rsid w:val="001C0491"/>
    <w:rsid w:val="001C0494"/>
    <w:rsid w:val="001C053B"/>
    <w:rsid w:val="001C06A0"/>
    <w:rsid w:val="001C0761"/>
    <w:rsid w:val="001C0824"/>
    <w:rsid w:val="001C0CEE"/>
    <w:rsid w:val="001C0D98"/>
    <w:rsid w:val="001C1445"/>
    <w:rsid w:val="001C153C"/>
    <w:rsid w:val="001C15BB"/>
    <w:rsid w:val="001C15F4"/>
    <w:rsid w:val="001C162A"/>
    <w:rsid w:val="001C1695"/>
    <w:rsid w:val="001C1938"/>
    <w:rsid w:val="001C19E1"/>
    <w:rsid w:val="001C1A69"/>
    <w:rsid w:val="001C1AC7"/>
    <w:rsid w:val="001C1AF5"/>
    <w:rsid w:val="001C1D57"/>
    <w:rsid w:val="001C1F41"/>
    <w:rsid w:val="001C21C9"/>
    <w:rsid w:val="001C22FA"/>
    <w:rsid w:val="001C269E"/>
    <w:rsid w:val="001C27B4"/>
    <w:rsid w:val="001C287C"/>
    <w:rsid w:val="001C29C5"/>
    <w:rsid w:val="001C36FA"/>
    <w:rsid w:val="001C3817"/>
    <w:rsid w:val="001C388B"/>
    <w:rsid w:val="001C38F9"/>
    <w:rsid w:val="001C3B5E"/>
    <w:rsid w:val="001C3C6D"/>
    <w:rsid w:val="001C3DB1"/>
    <w:rsid w:val="001C40DF"/>
    <w:rsid w:val="001C431F"/>
    <w:rsid w:val="001C4528"/>
    <w:rsid w:val="001C45CA"/>
    <w:rsid w:val="001C45CF"/>
    <w:rsid w:val="001C46AE"/>
    <w:rsid w:val="001C4761"/>
    <w:rsid w:val="001C4A04"/>
    <w:rsid w:val="001C513F"/>
    <w:rsid w:val="001C51E6"/>
    <w:rsid w:val="001C5477"/>
    <w:rsid w:val="001C5C55"/>
    <w:rsid w:val="001C5E54"/>
    <w:rsid w:val="001C6305"/>
    <w:rsid w:val="001C64C6"/>
    <w:rsid w:val="001C64D6"/>
    <w:rsid w:val="001C650A"/>
    <w:rsid w:val="001C65E1"/>
    <w:rsid w:val="001C66C8"/>
    <w:rsid w:val="001C690B"/>
    <w:rsid w:val="001C69EB"/>
    <w:rsid w:val="001C6F1C"/>
    <w:rsid w:val="001C718F"/>
    <w:rsid w:val="001C72A7"/>
    <w:rsid w:val="001C7303"/>
    <w:rsid w:val="001C7802"/>
    <w:rsid w:val="001C7C69"/>
    <w:rsid w:val="001C7E2B"/>
    <w:rsid w:val="001C7E88"/>
    <w:rsid w:val="001C7F84"/>
    <w:rsid w:val="001D06B8"/>
    <w:rsid w:val="001D088A"/>
    <w:rsid w:val="001D0BCB"/>
    <w:rsid w:val="001D0F44"/>
    <w:rsid w:val="001D10B0"/>
    <w:rsid w:val="001D1A8B"/>
    <w:rsid w:val="001D1AA3"/>
    <w:rsid w:val="001D1C44"/>
    <w:rsid w:val="001D2084"/>
    <w:rsid w:val="001D24D5"/>
    <w:rsid w:val="001D24F3"/>
    <w:rsid w:val="001D25DF"/>
    <w:rsid w:val="001D29D7"/>
    <w:rsid w:val="001D2BEB"/>
    <w:rsid w:val="001D2C19"/>
    <w:rsid w:val="001D2D60"/>
    <w:rsid w:val="001D3200"/>
    <w:rsid w:val="001D322E"/>
    <w:rsid w:val="001D3635"/>
    <w:rsid w:val="001D369B"/>
    <w:rsid w:val="001D398B"/>
    <w:rsid w:val="001D4140"/>
    <w:rsid w:val="001D41F0"/>
    <w:rsid w:val="001D42C2"/>
    <w:rsid w:val="001D440C"/>
    <w:rsid w:val="001D4649"/>
    <w:rsid w:val="001D4774"/>
    <w:rsid w:val="001D4791"/>
    <w:rsid w:val="001D4A26"/>
    <w:rsid w:val="001D4ADE"/>
    <w:rsid w:val="001D4B01"/>
    <w:rsid w:val="001D4D21"/>
    <w:rsid w:val="001D527B"/>
    <w:rsid w:val="001D5539"/>
    <w:rsid w:val="001D55AC"/>
    <w:rsid w:val="001D5947"/>
    <w:rsid w:val="001D5AB6"/>
    <w:rsid w:val="001D5C27"/>
    <w:rsid w:val="001D5D91"/>
    <w:rsid w:val="001D60C8"/>
    <w:rsid w:val="001D66BD"/>
    <w:rsid w:val="001D6DCD"/>
    <w:rsid w:val="001D6E2A"/>
    <w:rsid w:val="001D72ED"/>
    <w:rsid w:val="001D7843"/>
    <w:rsid w:val="001D789D"/>
    <w:rsid w:val="001D7DAF"/>
    <w:rsid w:val="001D7EF2"/>
    <w:rsid w:val="001E002E"/>
    <w:rsid w:val="001E0162"/>
    <w:rsid w:val="001E031A"/>
    <w:rsid w:val="001E0658"/>
    <w:rsid w:val="001E082D"/>
    <w:rsid w:val="001E0A0E"/>
    <w:rsid w:val="001E0A72"/>
    <w:rsid w:val="001E0A82"/>
    <w:rsid w:val="001E0AD9"/>
    <w:rsid w:val="001E0D5A"/>
    <w:rsid w:val="001E0D75"/>
    <w:rsid w:val="001E0E49"/>
    <w:rsid w:val="001E17D7"/>
    <w:rsid w:val="001E18E1"/>
    <w:rsid w:val="001E1A47"/>
    <w:rsid w:val="001E1B2B"/>
    <w:rsid w:val="001E1B8A"/>
    <w:rsid w:val="001E1CC9"/>
    <w:rsid w:val="001E20CD"/>
    <w:rsid w:val="001E2680"/>
    <w:rsid w:val="001E2C30"/>
    <w:rsid w:val="001E2FC1"/>
    <w:rsid w:val="001E3192"/>
    <w:rsid w:val="001E32FB"/>
    <w:rsid w:val="001E3551"/>
    <w:rsid w:val="001E361F"/>
    <w:rsid w:val="001E37FC"/>
    <w:rsid w:val="001E3935"/>
    <w:rsid w:val="001E3D61"/>
    <w:rsid w:val="001E41BE"/>
    <w:rsid w:val="001E4D86"/>
    <w:rsid w:val="001E4EE1"/>
    <w:rsid w:val="001E50F4"/>
    <w:rsid w:val="001E572E"/>
    <w:rsid w:val="001E57CA"/>
    <w:rsid w:val="001E5C5D"/>
    <w:rsid w:val="001E5CCC"/>
    <w:rsid w:val="001E626F"/>
    <w:rsid w:val="001E6557"/>
    <w:rsid w:val="001E6A61"/>
    <w:rsid w:val="001E6ACA"/>
    <w:rsid w:val="001E6C7F"/>
    <w:rsid w:val="001E6E59"/>
    <w:rsid w:val="001E70E9"/>
    <w:rsid w:val="001F0751"/>
    <w:rsid w:val="001F1194"/>
    <w:rsid w:val="001F12B6"/>
    <w:rsid w:val="001F12C1"/>
    <w:rsid w:val="001F14AE"/>
    <w:rsid w:val="001F1510"/>
    <w:rsid w:val="001F1B49"/>
    <w:rsid w:val="001F1C80"/>
    <w:rsid w:val="001F1E63"/>
    <w:rsid w:val="001F2654"/>
    <w:rsid w:val="001F284F"/>
    <w:rsid w:val="001F2918"/>
    <w:rsid w:val="001F2DB0"/>
    <w:rsid w:val="001F33F9"/>
    <w:rsid w:val="001F3768"/>
    <w:rsid w:val="001F3998"/>
    <w:rsid w:val="001F3AF0"/>
    <w:rsid w:val="001F3B43"/>
    <w:rsid w:val="001F4292"/>
    <w:rsid w:val="001F42C4"/>
    <w:rsid w:val="001F463F"/>
    <w:rsid w:val="001F46D8"/>
    <w:rsid w:val="001F4A52"/>
    <w:rsid w:val="001F4AE5"/>
    <w:rsid w:val="001F4C3E"/>
    <w:rsid w:val="001F4D46"/>
    <w:rsid w:val="001F4DEC"/>
    <w:rsid w:val="001F5009"/>
    <w:rsid w:val="001F508C"/>
    <w:rsid w:val="001F5172"/>
    <w:rsid w:val="001F5324"/>
    <w:rsid w:val="001F5350"/>
    <w:rsid w:val="001F5676"/>
    <w:rsid w:val="001F56C4"/>
    <w:rsid w:val="001F5A43"/>
    <w:rsid w:val="001F5ABC"/>
    <w:rsid w:val="001F5D38"/>
    <w:rsid w:val="001F5D85"/>
    <w:rsid w:val="001F5DE7"/>
    <w:rsid w:val="001F68BA"/>
    <w:rsid w:val="001F69EC"/>
    <w:rsid w:val="001F6BF1"/>
    <w:rsid w:val="001F7F1F"/>
    <w:rsid w:val="00201288"/>
    <w:rsid w:val="00201656"/>
    <w:rsid w:val="00201A84"/>
    <w:rsid w:val="00201E16"/>
    <w:rsid w:val="002022C7"/>
    <w:rsid w:val="00202377"/>
    <w:rsid w:val="002025C0"/>
    <w:rsid w:val="002028DE"/>
    <w:rsid w:val="00202AB2"/>
    <w:rsid w:val="00202CCF"/>
    <w:rsid w:val="00202D52"/>
    <w:rsid w:val="00202DAA"/>
    <w:rsid w:val="00202F34"/>
    <w:rsid w:val="00203112"/>
    <w:rsid w:val="002032E8"/>
    <w:rsid w:val="002035D2"/>
    <w:rsid w:val="0020373A"/>
    <w:rsid w:val="0020377A"/>
    <w:rsid w:val="002037BF"/>
    <w:rsid w:val="00203C8C"/>
    <w:rsid w:val="00203FD2"/>
    <w:rsid w:val="00204391"/>
    <w:rsid w:val="00204583"/>
    <w:rsid w:val="002049ED"/>
    <w:rsid w:val="00204B65"/>
    <w:rsid w:val="00204B73"/>
    <w:rsid w:val="00204DC9"/>
    <w:rsid w:val="0020501C"/>
    <w:rsid w:val="002059C5"/>
    <w:rsid w:val="00205A62"/>
    <w:rsid w:val="00205AE2"/>
    <w:rsid w:val="00205FB2"/>
    <w:rsid w:val="00205FED"/>
    <w:rsid w:val="00206275"/>
    <w:rsid w:val="0020632A"/>
    <w:rsid w:val="002063C5"/>
    <w:rsid w:val="00206525"/>
    <w:rsid w:val="00206763"/>
    <w:rsid w:val="00206C09"/>
    <w:rsid w:val="00206D2D"/>
    <w:rsid w:val="002073A8"/>
    <w:rsid w:val="00207549"/>
    <w:rsid w:val="0020762C"/>
    <w:rsid w:val="00207A5B"/>
    <w:rsid w:val="00207CAD"/>
    <w:rsid w:val="00207D32"/>
    <w:rsid w:val="00207DA8"/>
    <w:rsid w:val="00207F26"/>
    <w:rsid w:val="00207F8B"/>
    <w:rsid w:val="00207F8C"/>
    <w:rsid w:val="002105B5"/>
    <w:rsid w:val="002105FA"/>
    <w:rsid w:val="00210671"/>
    <w:rsid w:val="002108E0"/>
    <w:rsid w:val="00210D6F"/>
    <w:rsid w:val="0021110A"/>
    <w:rsid w:val="002114C5"/>
    <w:rsid w:val="00211521"/>
    <w:rsid w:val="002117BD"/>
    <w:rsid w:val="00211896"/>
    <w:rsid w:val="002119D4"/>
    <w:rsid w:val="00211A55"/>
    <w:rsid w:val="00211B3B"/>
    <w:rsid w:val="00211BC6"/>
    <w:rsid w:val="00212043"/>
    <w:rsid w:val="00212058"/>
    <w:rsid w:val="0021223E"/>
    <w:rsid w:val="00212B49"/>
    <w:rsid w:val="00212EEB"/>
    <w:rsid w:val="00213636"/>
    <w:rsid w:val="00213699"/>
    <w:rsid w:val="00213847"/>
    <w:rsid w:val="00213CEB"/>
    <w:rsid w:val="00213E07"/>
    <w:rsid w:val="00214160"/>
    <w:rsid w:val="002142EB"/>
    <w:rsid w:val="00214909"/>
    <w:rsid w:val="00214A97"/>
    <w:rsid w:val="00214EAA"/>
    <w:rsid w:val="0021510B"/>
    <w:rsid w:val="0021513E"/>
    <w:rsid w:val="00215C24"/>
    <w:rsid w:val="00215CD7"/>
    <w:rsid w:val="00215E83"/>
    <w:rsid w:val="002161DC"/>
    <w:rsid w:val="0021669B"/>
    <w:rsid w:val="00216947"/>
    <w:rsid w:val="00216BE3"/>
    <w:rsid w:val="00216D63"/>
    <w:rsid w:val="002171A4"/>
    <w:rsid w:val="002172B8"/>
    <w:rsid w:val="002172BD"/>
    <w:rsid w:val="002174C1"/>
    <w:rsid w:val="002174FB"/>
    <w:rsid w:val="0021753B"/>
    <w:rsid w:val="00217D42"/>
    <w:rsid w:val="00217D51"/>
    <w:rsid w:val="002200B7"/>
    <w:rsid w:val="002203AC"/>
    <w:rsid w:val="0022046C"/>
    <w:rsid w:val="002206E2"/>
    <w:rsid w:val="002207F6"/>
    <w:rsid w:val="002208D0"/>
    <w:rsid w:val="002209F0"/>
    <w:rsid w:val="00220A10"/>
    <w:rsid w:val="00220A51"/>
    <w:rsid w:val="00220B28"/>
    <w:rsid w:val="00220CE2"/>
    <w:rsid w:val="00220DA2"/>
    <w:rsid w:val="00220F81"/>
    <w:rsid w:val="00220FE4"/>
    <w:rsid w:val="0022133E"/>
    <w:rsid w:val="0022152A"/>
    <w:rsid w:val="0022182D"/>
    <w:rsid w:val="00221C99"/>
    <w:rsid w:val="00221EE4"/>
    <w:rsid w:val="00222042"/>
    <w:rsid w:val="00222444"/>
    <w:rsid w:val="0022264E"/>
    <w:rsid w:val="00222775"/>
    <w:rsid w:val="00222A85"/>
    <w:rsid w:val="00223546"/>
    <w:rsid w:val="00223902"/>
    <w:rsid w:val="00224455"/>
    <w:rsid w:val="0022468F"/>
    <w:rsid w:val="00224862"/>
    <w:rsid w:val="00225281"/>
    <w:rsid w:val="0022578E"/>
    <w:rsid w:val="00225B33"/>
    <w:rsid w:val="00226031"/>
    <w:rsid w:val="00226073"/>
    <w:rsid w:val="0022610E"/>
    <w:rsid w:val="002262A1"/>
    <w:rsid w:val="00226804"/>
    <w:rsid w:val="00226C89"/>
    <w:rsid w:val="00226D28"/>
    <w:rsid w:val="00226F99"/>
    <w:rsid w:val="002278AF"/>
    <w:rsid w:val="00227D70"/>
    <w:rsid w:val="0023061B"/>
    <w:rsid w:val="00230810"/>
    <w:rsid w:val="00230D0E"/>
    <w:rsid w:val="002312E4"/>
    <w:rsid w:val="00231514"/>
    <w:rsid w:val="002316B1"/>
    <w:rsid w:val="00231918"/>
    <w:rsid w:val="00231C9E"/>
    <w:rsid w:val="00232112"/>
    <w:rsid w:val="002322D6"/>
    <w:rsid w:val="0023238F"/>
    <w:rsid w:val="00232519"/>
    <w:rsid w:val="002326EC"/>
    <w:rsid w:val="0023290A"/>
    <w:rsid w:val="0023323D"/>
    <w:rsid w:val="0023376D"/>
    <w:rsid w:val="00233826"/>
    <w:rsid w:val="002338FD"/>
    <w:rsid w:val="00233C7E"/>
    <w:rsid w:val="00233DE6"/>
    <w:rsid w:val="00234781"/>
    <w:rsid w:val="002348D6"/>
    <w:rsid w:val="00234D04"/>
    <w:rsid w:val="00234F3F"/>
    <w:rsid w:val="00234FE0"/>
    <w:rsid w:val="00235380"/>
    <w:rsid w:val="00235473"/>
    <w:rsid w:val="002355C8"/>
    <w:rsid w:val="00235D43"/>
    <w:rsid w:val="00235E48"/>
    <w:rsid w:val="00236078"/>
    <w:rsid w:val="002364FA"/>
    <w:rsid w:val="0023654E"/>
    <w:rsid w:val="002365BF"/>
    <w:rsid w:val="00236BA1"/>
    <w:rsid w:val="00236BE9"/>
    <w:rsid w:val="00236C12"/>
    <w:rsid w:val="00236E46"/>
    <w:rsid w:val="00236EFA"/>
    <w:rsid w:val="00236F73"/>
    <w:rsid w:val="002373D4"/>
    <w:rsid w:val="002373EA"/>
    <w:rsid w:val="002374CF"/>
    <w:rsid w:val="0023754A"/>
    <w:rsid w:val="0024002A"/>
    <w:rsid w:val="002400A8"/>
    <w:rsid w:val="002403BB"/>
    <w:rsid w:val="00240A2B"/>
    <w:rsid w:val="00240D1E"/>
    <w:rsid w:val="00240E98"/>
    <w:rsid w:val="00240F99"/>
    <w:rsid w:val="00241029"/>
    <w:rsid w:val="002411A3"/>
    <w:rsid w:val="0024132A"/>
    <w:rsid w:val="002416CB"/>
    <w:rsid w:val="002417A6"/>
    <w:rsid w:val="00241821"/>
    <w:rsid w:val="0024198D"/>
    <w:rsid w:val="00241A9D"/>
    <w:rsid w:val="00241CA0"/>
    <w:rsid w:val="00241DCB"/>
    <w:rsid w:val="00241F31"/>
    <w:rsid w:val="002420B9"/>
    <w:rsid w:val="00242613"/>
    <w:rsid w:val="00242BD1"/>
    <w:rsid w:val="00242EBB"/>
    <w:rsid w:val="00243103"/>
    <w:rsid w:val="00243181"/>
    <w:rsid w:val="00243512"/>
    <w:rsid w:val="0024392C"/>
    <w:rsid w:val="002439E4"/>
    <w:rsid w:val="00243DE6"/>
    <w:rsid w:val="0024421C"/>
    <w:rsid w:val="002442B7"/>
    <w:rsid w:val="0024457E"/>
    <w:rsid w:val="00244654"/>
    <w:rsid w:val="00244C2B"/>
    <w:rsid w:val="00244E96"/>
    <w:rsid w:val="0024520D"/>
    <w:rsid w:val="00245485"/>
    <w:rsid w:val="002457E4"/>
    <w:rsid w:val="002460B2"/>
    <w:rsid w:val="002462BC"/>
    <w:rsid w:val="0024667C"/>
    <w:rsid w:val="0024669D"/>
    <w:rsid w:val="002469D2"/>
    <w:rsid w:val="00246C70"/>
    <w:rsid w:val="00246D93"/>
    <w:rsid w:val="00246F5E"/>
    <w:rsid w:val="0024754E"/>
    <w:rsid w:val="0024798C"/>
    <w:rsid w:val="002479CF"/>
    <w:rsid w:val="00247A0B"/>
    <w:rsid w:val="00247A8F"/>
    <w:rsid w:val="00247AB1"/>
    <w:rsid w:val="00247E7E"/>
    <w:rsid w:val="00247F52"/>
    <w:rsid w:val="002500EC"/>
    <w:rsid w:val="00250150"/>
    <w:rsid w:val="002505DD"/>
    <w:rsid w:val="00250680"/>
    <w:rsid w:val="00250B69"/>
    <w:rsid w:val="00250E5C"/>
    <w:rsid w:val="00251513"/>
    <w:rsid w:val="00251871"/>
    <w:rsid w:val="00251AFE"/>
    <w:rsid w:val="00251B8A"/>
    <w:rsid w:val="00251C67"/>
    <w:rsid w:val="00251FEE"/>
    <w:rsid w:val="0025250A"/>
    <w:rsid w:val="0025260D"/>
    <w:rsid w:val="00252C5D"/>
    <w:rsid w:val="00252E31"/>
    <w:rsid w:val="002530B3"/>
    <w:rsid w:val="00253358"/>
    <w:rsid w:val="00253561"/>
    <w:rsid w:val="002536B0"/>
    <w:rsid w:val="002537EB"/>
    <w:rsid w:val="00253B02"/>
    <w:rsid w:val="00253C4C"/>
    <w:rsid w:val="00253C8B"/>
    <w:rsid w:val="00254108"/>
    <w:rsid w:val="00254323"/>
    <w:rsid w:val="00254787"/>
    <w:rsid w:val="002547B0"/>
    <w:rsid w:val="00254EC1"/>
    <w:rsid w:val="00255505"/>
    <w:rsid w:val="0025575A"/>
    <w:rsid w:val="00255B05"/>
    <w:rsid w:val="00255B3B"/>
    <w:rsid w:val="00255B40"/>
    <w:rsid w:val="00255BEF"/>
    <w:rsid w:val="00255E16"/>
    <w:rsid w:val="00255E8E"/>
    <w:rsid w:val="002560DD"/>
    <w:rsid w:val="00256473"/>
    <w:rsid w:val="00256720"/>
    <w:rsid w:val="002567ED"/>
    <w:rsid w:val="0025705A"/>
    <w:rsid w:val="002570FE"/>
    <w:rsid w:val="00257270"/>
    <w:rsid w:val="0025736B"/>
    <w:rsid w:val="002575E1"/>
    <w:rsid w:val="00257792"/>
    <w:rsid w:val="002578A5"/>
    <w:rsid w:val="00257A60"/>
    <w:rsid w:val="00257B4B"/>
    <w:rsid w:val="00257BC1"/>
    <w:rsid w:val="002607A6"/>
    <w:rsid w:val="002609E2"/>
    <w:rsid w:val="00260DEB"/>
    <w:rsid w:val="00260EAC"/>
    <w:rsid w:val="0026127B"/>
    <w:rsid w:val="0026144C"/>
    <w:rsid w:val="00261582"/>
    <w:rsid w:val="002616A3"/>
    <w:rsid w:val="00261704"/>
    <w:rsid w:val="0026186A"/>
    <w:rsid w:val="00261A3A"/>
    <w:rsid w:val="00262893"/>
    <w:rsid w:val="00262B18"/>
    <w:rsid w:val="00262D3E"/>
    <w:rsid w:val="00262D91"/>
    <w:rsid w:val="00263628"/>
    <w:rsid w:val="002636CF"/>
    <w:rsid w:val="00263782"/>
    <w:rsid w:val="00263B6E"/>
    <w:rsid w:val="00263C1B"/>
    <w:rsid w:val="00263CF2"/>
    <w:rsid w:val="00263E9B"/>
    <w:rsid w:val="0026421E"/>
    <w:rsid w:val="00264523"/>
    <w:rsid w:val="002645C2"/>
    <w:rsid w:val="0026478F"/>
    <w:rsid w:val="00264A16"/>
    <w:rsid w:val="00264B07"/>
    <w:rsid w:val="00264C56"/>
    <w:rsid w:val="00264F52"/>
    <w:rsid w:val="00264F59"/>
    <w:rsid w:val="002650CB"/>
    <w:rsid w:val="002656A6"/>
    <w:rsid w:val="002657F4"/>
    <w:rsid w:val="00265AEE"/>
    <w:rsid w:val="00265BBA"/>
    <w:rsid w:val="002660D7"/>
    <w:rsid w:val="00266468"/>
    <w:rsid w:val="00266635"/>
    <w:rsid w:val="002666A6"/>
    <w:rsid w:val="002669BF"/>
    <w:rsid w:val="00266AEE"/>
    <w:rsid w:val="00266EA4"/>
    <w:rsid w:val="00266FE6"/>
    <w:rsid w:val="0026766E"/>
    <w:rsid w:val="00267885"/>
    <w:rsid w:val="00267D66"/>
    <w:rsid w:val="00267DAD"/>
    <w:rsid w:val="00267E6D"/>
    <w:rsid w:val="00270248"/>
    <w:rsid w:val="002707A0"/>
    <w:rsid w:val="00270A8E"/>
    <w:rsid w:val="00270D07"/>
    <w:rsid w:val="0027131D"/>
    <w:rsid w:val="002715BB"/>
    <w:rsid w:val="00271DBD"/>
    <w:rsid w:val="00272370"/>
    <w:rsid w:val="00272755"/>
    <w:rsid w:val="0027292D"/>
    <w:rsid w:val="00272C45"/>
    <w:rsid w:val="00273113"/>
    <w:rsid w:val="00273330"/>
    <w:rsid w:val="00273715"/>
    <w:rsid w:val="00273D45"/>
    <w:rsid w:val="00273DA5"/>
    <w:rsid w:val="00273EC9"/>
    <w:rsid w:val="00273F44"/>
    <w:rsid w:val="00274275"/>
    <w:rsid w:val="00274526"/>
    <w:rsid w:val="002746E7"/>
    <w:rsid w:val="00274C73"/>
    <w:rsid w:val="00275165"/>
    <w:rsid w:val="0027542B"/>
    <w:rsid w:val="00275719"/>
    <w:rsid w:val="00275ED0"/>
    <w:rsid w:val="00276065"/>
    <w:rsid w:val="002760FA"/>
    <w:rsid w:val="00276D09"/>
    <w:rsid w:val="00277130"/>
    <w:rsid w:val="00277136"/>
    <w:rsid w:val="0027769F"/>
    <w:rsid w:val="0027798A"/>
    <w:rsid w:val="00277F6F"/>
    <w:rsid w:val="002802A0"/>
    <w:rsid w:val="002804FA"/>
    <w:rsid w:val="002806B1"/>
    <w:rsid w:val="0028071A"/>
    <w:rsid w:val="002808B6"/>
    <w:rsid w:val="0028098D"/>
    <w:rsid w:val="00280C83"/>
    <w:rsid w:val="002812C8"/>
    <w:rsid w:val="00281A1D"/>
    <w:rsid w:val="00281C7B"/>
    <w:rsid w:val="0028232C"/>
    <w:rsid w:val="0028258A"/>
    <w:rsid w:val="00282953"/>
    <w:rsid w:val="00282DA9"/>
    <w:rsid w:val="00282FF1"/>
    <w:rsid w:val="002830F1"/>
    <w:rsid w:val="00283198"/>
    <w:rsid w:val="00283CD6"/>
    <w:rsid w:val="00283CE8"/>
    <w:rsid w:val="00283F41"/>
    <w:rsid w:val="00284130"/>
    <w:rsid w:val="002841BF"/>
    <w:rsid w:val="002843C1"/>
    <w:rsid w:val="002845D8"/>
    <w:rsid w:val="0028464D"/>
    <w:rsid w:val="002849EC"/>
    <w:rsid w:val="00284ADE"/>
    <w:rsid w:val="00284B27"/>
    <w:rsid w:val="00284C0E"/>
    <w:rsid w:val="00285100"/>
    <w:rsid w:val="002852B6"/>
    <w:rsid w:val="00285669"/>
    <w:rsid w:val="002857DE"/>
    <w:rsid w:val="00285A24"/>
    <w:rsid w:val="00285A35"/>
    <w:rsid w:val="00285AA2"/>
    <w:rsid w:val="00285BD2"/>
    <w:rsid w:val="00285C5F"/>
    <w:rsid w:val="00285D9E"/>
    <w:rsid w:val="0028671F"/>
    <w:rsid w:val="00286C61"/>
    <w:rsid w:val="00286D8B"/>
    <w:rsid w:val="00287114"/>
    <w:rsid w:val="0028730A"/>
    <w:rsid w:val="00287393"/>
    <w:rsid w:val="002876C2"/>
    <w:rsid w:val="00287F1F"/>
    <w:rsid w:val="0029004F"/>
    <w:rsid w:val="00290511"/>
    <w:rsid w:val="00290537"/>
    <w:rsid w:val="00290734"/>
    <w:rsid w:val="0029085F"/>
    <w:rsid w:val="00290EA6"/>
    <w:rsid w:val="00290FF1"/>
    <w:rsid w:val="002911E5"/>
    <w:rsid w:val="00291219"/>
    <w:rsid w:val="0029125D"/>
    <w:rsid w:val="002912A5"/>
    <w:rsid w:val="00291427"/>
    <w:rsid w:val="002914D1"/>
    <w:rsid w:val="002915C3"/>
    <w:rsid w:val="0029173F"/>
    <w:rsid w:val="00292241"/>
    <w:rsid w:val="00292247"/>
    <w:rsid w:val="0029289A"/>
    <w:rsid w:val="0029296D"/>
    <w:rsid w:val="00292A12"/>
    <w:rsid w:val="00293160"/>
    <w:rsid w:val="002936ED"/>
    <w:rsid w:val="00293700"/>
    <w:rsid w:val="002938E8"/>
    <w:rsid w:val="0029390D"/>
    <w:rsid w:val="0029390F"/>
    <w:rsid w:val="00293EDF"/>
    <w:rsid w:val="00294068"/>
    <w:rsid w:val="00294A56"/>
    <w:rsid w:val="00294C66"/>
    <w:rsid w:val="00294EE0"/>
    <w:rsid w:val="00295095"/>
    <w:rsid w:val="002952C8"/>
    <w:rsid w:val="002954F1"/>
    <w:rsid w:val="00295886"/>
    <w:rsid w:val="00295A41"/>
    <w:rsid w:val="00295ADF"/>
    <w:rsid w:val="00295D0A"/>
    <w:rsid w:val="00295D85"/>
    <w:rsid w:val="00296074"/>
    <w:rsid w:val="002962C1"/>
    <w:rsid w:val="00296338"/>
    <w:rsid w:val="00296DEE"/>
    <w:rsid w:val="00296F5A"/>
    <w:rsid w:val="0029755D"/>
    <w:rsid w:val="00297672"/>
    <w:rsid w:val="00297E1A"/>
    <w:rsid w:val="00297E3F"/>
    <w:rsid w:val="00297F63"/>
    <w:rsid w:val="002A01DD"/>
    <w:rsid w:val="002A030B"/>
    <w:rsid w:val="002A0589"/>
    <w:rsid w:val="002A0760"/>
    <w:rsid w:val="002A0AC2"/>
    <w:rsid w:val="002A0C85"/>
    <w:rsid w:val="002A110F"/>
    <w:rsid w:val="002A144A"/>
    <w:rsid w:val="002A171C"/>
    <w:rsid w:val="002A197B"/>
    <w:rsid w:val="002A19CA"/>
    <w:rsid w:val="002A1EF4"/>
    <w:rsid w:val="002A20B4"/>
    <w:rsid w:val="002A21F9"/>
    <w:rsid w:val="002A25B3"/>
    <w:rsid w:val="002A25D5"/>
    <w:rsid w:val="002A2AA9"/>
    <w:rsid w:val="002A31DF"/>
    <w:rsid w:val="002A371B"/>
    <w:rsid w:val="002A371E"/>
    <w:rsid w:val="002A3860"/>
    <w:rsid w:val="002A393C"/>
    <w:rsid w:val="002A3A59"/>
    <w:rsid w:val="002A3BC6"/>
    <w:rsid w:val="002A3DA9"/>
    <w:rsid w:val="002A3EBC"/>
    <w:rsid w:val="002A3EF8"/>
    <w:rsid w:val="002A423A"/>
    <w:rsid w:val="002A432A"/>
    <w:rsid w:val="002A461E"/>
    <w:rsid w:val="002A47C3"/>
    <w:rsid w:val="002A47F8"/>
    <w:rsid w:val="002A4955"/>
    <w:rsid w:val="002A4F48"/>
    <w:rsid w:val="002A4FD9"/>
    <w:rsid w:val="002A4FF2"/>
    <w:rsid w:val="002A5062"/>
    <w:rsid w:val="002A5078"/>
    <w:rsid w:val="002A51C9"/>
    <w:rsid w:val="002A5371"/>
    <w:rsid w:val="002A5894"/>
    <w:rsid w:val="002A5D76"/>
    <w:rsid w:val="002A5E57"/>
    <w:rsid w:val="002A5E82"/>
    <w:rsid w:val="002A63B7"/>
    <w:rsid w:val="002A70B7"/>
    <w:rsid w:val="002A722B"/>
    <w:rsid w:val="002A7710"/>
    <w:rsid w:val="002A7F7B"/>
    <w:rsid w:val="002B01F0"/>
    <w:rsid w:val="002B026F"/>
    <w:rsid w:val="002B0573"/>
    <w:rsid w:val="002B067E"/>
    <w:rsid w:val="002B06FD"/>
    <w:rsid w:val="002B0E38"/>
    <w:rsid w:val="002B1B8B"/>
    <w:rsid w:val="002B1C7C"/>
    <w:rsid w:val="002B1D8D"/>
    <w:rsid w:val="002B1F73"/>
    <w:rsid w:val="002B242F"/>
    <w:rsid w:val="002B26B5"/>
    <w:rsid w:val="002B2AEC"/>
    <w:rsid w:val="002B2C7B"/>
    <w:rsid w:val="002B2F5B"/>
    <w:rsid w:val="002B3198"/>
    <w:rsid w:val="002B35DE"/>
    <w:rsid w:val="002B3936"/>
    <w:rsid w:val="002B3D06"/>
    <w:rsid w:val="002B3EFC"/>
    <w:rsid w:val="002B4300"/>
    <w:rsid w:val="002B4C13"/>
    <w:rsid w:val="002B4F3C"/>
    <w:rsid w:val="002B5061"/>
    <w:rsid w:val="002B523B"/>
    <w:rsid w:val="002B54A5"/>
    <w:rsid w:val="002B5505"/>
    <w:rsid w:val="002B5518"/>
    <w:rsid w:val="002B5609"/>
    <w:rsid w:val="002B5942"/>
    <w:rsid w:val="002B59CF"/>
    <w:rsid w:val="002B5CCE"/>
    <w:rsid w:val="002B5D85"/>
    <w:rsid w:val="002B5DED"/>
    <w:rsid w:val="002B61C3"/>
    <w:rsid w:val="002B627F"/>
    <w:rsid w:val="002B649F"/>
    <w:rsid w:val="002B64A3"/>
    <w:rsid w:val="002B6BFC"/>
    <w:rsid w:val="002B6F9B"/>
    <w:rsid w:val="002B7032"/>
    <w:rsid w:val="002B7AB3"/>
    <w:rsid w:val="002C0088"/>
    <w:rsid w:val="002C0689"/>
    <w:rsid w:val="002C07C2"/>
    <w:rsid w:val="002C0842"/>
    <w:rsid w:val="002C09C4"/>
    <w:rsid w:val="002C0C0A"/>
    <w:rsid w:val="002C0D18"/>
    <w:rsid w:val="002C12FC"/>
    <w:rsid w:val="002C15A1"/>
    <w:rsid w:val="002C170D"/>
    <w:rsid w:val="002C1774"/>
    <w:rsid w:val="002C1E29"/>
    <w:rsid w:val="002C1EEF"/>
    <w:rsid w:val="002C1F6D"/>
    <w:rsid w:val="002C2828"/>
    <w:rsid w:val="002C2C97"/>
    <w:rsid w:val="002C32D5"/>
    <w:rsid w:val="002C3514"/>
    <w:rsid w:val="002C35F1"/>
    <w:rsid w:val="002C37D7"/>
    <w:rsid w:val="002C395D"/>
    <w:rsid w:val="002C396B"/>
    <w:rsid w:val="002C3E53"/>
    <w:rsid w:val="002C3F34"/>
    <w:rsid w:val="002C44CA"/>
    <w:rsid w:val="002C4528"/>
    <w:rsid w:val="002C45AE"/>
    <w:rsid w:val="002C485C"/>
    <w:rsid w:val="002C488D"/>
    <w:rsid w:val="002C49EA"/>
    <w:rsid w:val="002C4C73"/>
    <w:rsid w:val="002C51AC"/>
    <w:rsid w:val="002C5E10"/>
    <w:rsid w:val="002C5EB6"/>
    <w:rsid w:val="002C5F14"/>
    <w:rsid w:val="002C6511"/>
    <w:rsid w:val="002C67AE"/>
    <w:rsid w:val="002C698E"/>
    <w:rsid w:val="002C6C99"/>
    <w:rsid w:val="002C6E48"/>
    <w:rsid w:val="002C6EC2"/>
    <w:rsid w:val="002C70C2"/>
    <w:rsid w:val="002C77B3"/>
    <w:rsid w:val="002C7952"/>
    <w:rsid w:val="002C7E5F"/>
    <w:rsid w:val="002C7FA5"/>
    <w:rsid w:val="002D00ED"/>
    <w:rsid w:val="002D04F9"/>
    <w:rsid w:val="002D050B"/>
    <w:rsid w:val="002D0A5A"/>
    <w:rsid w:val="002D0B56"/>
    <w:rsid w:val="002D11F4"/>
    <w:rsid w:val="002D13D8"/>
    <w:rsid w:val="002D1660"/>
    <w:rsid w:val="002D1667"/>
    <w:rsid w:val="002D16A5"/>
    <w:rsid w:val="002D194B"/>
    <w:rsid w:val="002D1C04"/>
    <w:rsid w:val="002D1C2C"/>
    <w:rsid w:val="002D1DF7"/>
    <w:rsid w:val="002D1E89"/>
    <w:rsid w:val="002D276D"/>
    <w:rsid w:val="002D2A50"/>
    <w:rsid w:val="002D2A7A"/>
    <w:rsid w:val="002D3348"/>
    <w:rsid w:val="002D3632"/>
    <w:rsid w:val="002D37D5"/>
    <w:rsid w:val="002D3AF1"/>
    <w:rsid w:val="002D3D48"/>
    <w:rsid w:val="002D4764"/>
    <w:rsid w:val="002D48DE"/>
    <w:rsid w:val="002D49A1"/>
    <w:rsid w:val="002D4DC3"/>
    <w:rsid w:val="002D4E13"/>
    <w:rsid w:val="002D4FA2"/>
    <w:rsid w:val="002D50D3"/>
    <w:rsid w:val="002D5306"/>
    <w:rsid w:val="002D53C3"/>
    <w:rsid w:val="002D5D88"/>
    <w:rsid w:val="002D5F3E"/>
    <w:rsid w:val="002D6152"/>
    <w:rsid w:val="002D6335"/>
    <w:rsid w:val="002D6BBA"/>
    <w:rsid w:val="002D6E72"/>
    <w:rsid w:val="002D7111"/>
    <w:rsid w:val="002D72EF"/>
    <w:rsid w:val="002D75C1"/>
    <w:rsid w:val="002D7F79"/>
    <w:rsid w:val="002E006C"/>
    <w:rsid w:val="002E0099"/>
    <w:rsid w:val="002E07F1"/>
    <w:rsid w:val="002E08CF"/>
    <w:rsid w:val="002E0923"/>
    <w:rsid w:val="002E0AB2"/>
    <w:rsid w:val="002E0AB6"/>
    <w:rsid w:val="002E0D4A"/>
    <w:rsid w:val="002E0D99"/>
    <w:rsid w:val="002E0E94"/>
    <w:rsid w:val="002E0F5F"/>
    <w:rsid w:val="002E1064"/>
    <w:rsid w:val="002E170B"/>
    <w:rsid w:val="002E1A23"/>
    <w:rsid w:val="002E1E42"/>
    <w:rsid w:val="002E1E86"/>
    <w:rsid w:val="002E2050"/>
    <w:rsid w:val="002E2814"/>
    <w:rsid w:val="002E2C55"/>
    <w:rsid w:val="002E3196"/>
    <w:rsid w:val="002E32DA"/>
    <w:rsid w:val="002E3393"/>
    <w:rsid w:val="002E3446"/>
    <w:rsid w:val="002E35D7"/>
    <w:rsid w:val="002E39DB"/>
    <w:rsid w:val="002E39F0"/>
    <w:rsid w:val="002E3D02"/>
    <w:rsid w:val="002E407B"/>
    <w:rsid w:val="002E4203"/>
    <w:rsid w:val="002E4773"/>
    <w:rsid w:val="002E47D6"/>
    <w:rsid w:val="002E49EF"/>
    <w:rsid w:val="002E4BE4"/>
    <w:rsid w:val="002E4F8C"/>
    <w:rsid w:val="002E5014"/>
    <w:rsid w:val="002E532F"/>
    <w:rsid w:val="002E554F"/>
    <w:rsid w:val="002E558A"/>
    <w:rsid w:val="002E568A"/>
    <w:rsid w:val="002E5851"/>
    <w:rsid w:val="002E5C0E"/>
    <w:rsid w:val="002E5E77"/>
    <w:rsid w:val="002E5EF7"/>
    <w:rsid w:val="002E5F18"/>
    <w:rsid w:val="002E5F37"/>
    <w:rsid w:val="002E67A5"/>
    <w:rsid w:val="002E6998"/>
    <w:rsid w:val="002E6A7C"/>
    <w:rsid w:val="002E6E5B"/>
    <w:rsid w:val="002E6EE2"/>
    <w:rsid w:val="002E7238"/>
    <w:rsid w:val="002E7345"/>
    <w:rsid w:val="002E7942"/>
    <w:rsid w:val="002E79A4"/>
    <w:rsid w:val="002E7C25"/>
    <w:rsid w:val="002F049C"/>
    <w:rsid w:val="002F06B9"/>
    <w:rsid w:val="002F10B5"/>
    <w:rsid w:val="002F1360"/>
    <w:rsid w:val="002F15E2"/>
    <w:rsid w:val="002F1C3E"/>
    <w:rsid w:val="002F1DBD"/>
    <w:rsid w:val="002F1E10"/>
    <w:rsid w:val="002F260C"/>
    <w:rsid w:val="002F2A69"/>
    <w:rsid w:val="002F2DB4"/>
    <w:rsid w:val="002F2EC3"/>
    <w:rsid w:val="002F30DB"/>
    <w:rsid w:val="002F30ED"/>
    <w:rsid w:val="002F3257"/>
    <w:rsid w:val="002F352D"/>
    <w:rsid w:val="002F3A5C"/>
    <w:rsid w:val="002F3C96"/>
    <w:rsid w:val="002F3D20"/>
    <w:rsid w:val="002F42C8"/>
    <w:rsid w:val="002F48E0"/>
    <w:rsid w:val="002F4C72"/>
    <w:rsid w:val="002F500E"/>
    <w:rsid w:val="002F50A3"/>
    <w:rsid w:val="002F54AF"/>
    <w:rsid w:val="002F5596"/>
    <w:rsid w:val="002F591B"/>
    <w:rsid w:val="002F59C2"/>
    <w:rsid w:val="002F5E96"/>
    <w:rsid w:val="002F6258"/>
    <w:rsid w:val="002F6484"/>
    <w:rsid w:val="002F6551"/>
    <w:rsid w:val="002F6552"/>
    <w:rsid w:val="002F658F"/>
    <w:rsid w:val="002F68EC"/>
    <w:rsid w:val="002F6D66"/>
    <w:rsid w:val="002F70B0"/>
    <w:rsid w:val="002F73CE"/>
    <w:rsid w:val="002F79B0"/>
    <w:rsid w:val="00300402"/>
    <w:rsid w:val="00300A82"/>
    <w:rsid w:val="00300DC5"/>
    <w:rsid w:val="00301230"/>
    <w:rsid w:val="0030143A"/>
    <w:rsid w:val="00301524"/>
    <w:rsid w:val="003017BE"/>
    <w:rsid w:val="003018C9"/>
    <w:rsid w:val="00301A47"/>
    <w:rsid w:val="00301F04"/>
    <w:rsid w:val="00301FEC"/>
    <w:rsid w:val="0030213C"/>
    <w:rsid w:val="0030214B"/>
    <w:rsid w:val="0030231B"/>
    <w:rsid w:val="00302660"/>
    <w:rsid w:val="00302C55"/>
    <w:rsid w:val="00302D98"/>
    <w:rsid w:val="00303BA1"/>
    <w:rsid w:val="00303D08"/>
    <w:rsid w:val="00304286"/>
    <w:rsid w:val="003042A4"/>
    <w:rsid w:val="00304A4A"/>
    <w:rsid w:val="00304BC2"/>
    <w:rsid w:val="003050E1"/>
    <w:rsid w:val="003054AA"/>
    <w:rsid w:val="003054C0"/>
    <w:rsid w:val="003059C0"/>
    <w:rsid w:val="00305F6A"/>
    <w:rsid w:val="003060DE"/>
    <w:rsid w:val="003062E2"/>
    <w:rsid w:val="003068D5"/>
    <w:rsid w:val="00306E9B"/>
    <w:rsid w:val="00306EBA"/>
    <w:rsid w:val="00306F43"/>
    <w:rsid w:val="00306FE2"/>
    <w:rsid w:val="00306FE6"/>
    <w:rsid w:val="00307022"/>
    <w:rsid w:val="00307222"/>
    <w:rsid w:val="0030734D"/>
    <w:rsid w:val="0030745A"/>
    <w:rsid w:val="0030766F"/>
    <w:rsid w:val="00307C9F"/>
    <w:rsid w:val="00307D35"/>
    <w:rsid w:val="00310784"/>
    <w:rsid w:val="003107A0"/>
    <w:rsid w:val="00310A90"/>
    <w:rsid w:val="00310EAF"/>
    <w:rsid w:val="003110A3"/>
    <w:rsid w:val="00311A63"/>
    <w:rsid w:val="00311DBA"/>
    <w:rsid w:val="0031279A"/>
    <w:rsid w:val="003128A6"/>
    <w:rsid w:val="003128A8"/>
    <w:rsid w:val="003129D9"/>
    <w:rsid w:val="00312B36"/>
    <w:rsid w:val="0031310A"/>
    <w:rsid w:val="00313292"/>
    <w:rsid w:val="00313718"/>
    <w:rsid w:val="00313769"/>
    <w:rsid w:val="00313818"/>
    <w:rsid w:val="00313965"/>
    <w:rsid w:val="003139FF"/>
    <w:rsid w:val="00313F4A"/>
    <w:rsid w:val="00313F57"/>
    <w:rsid w:val="003140DB"/>
    <w:rsid w:val="003141B5"/>
    <w:rsid w:val="00314D05"/>
    <w:rsid w:val="00314D68"/>
    <w:rsid w:val="00314E45"/>
    <w:rsid w:val="00314E5A"/>
    <w:rsid w:val="00314FCB"/>
    <w:rsid w:val="00314FFD"/>
    <w:rsid w:val="003158B3"/>
    <w:rsid w:val="003158E8"/>
    <w:rsid w:val="00315ACE"/>
    <w:rsid w:val="00315BB4"/>
    <w:rsid w:val="00315EBB"/>
    <w:rsid w:val="0031629F"/>
    <w:rsid w:val="0031640E"/>
    <w:rsid w:val="00316483"/>
    <w:rsid w:val="003167ED"/>
    <w:rsid w:val="00316AF5"/>
    <w:rsid w:val="00316B0C"/>
    <w:rsid w:val="00316D66"/>
    <w:rsid w:val="00317069"/>
    <w:rsid w:val="00317540"/>
    <w:rsid w:val="003176EB"/>
    <w:rsid w:val="00317BBF"/>
    <w:rsid w:val="00317D37"/>
    <w:rsid w:val="00317FF9"/>
    <w:rsid w:val="003201FC"/>
    <w:rsid w:val="00320687"/>
    <w:rsid w:val="0032092A"/>
    <w:rsid w:val="00320D2D"/>
    <w:rsid w:val="003212B9"/>
    <w:rsid w:val="00321DD0"/>
    <w:rsid w:val="00321F58"/>
    <w:rsid w:val="003225C9"/>
    <w:rsid w:val="003225F2"/>
    <w:rsid w:val="003225F7"/>
    <w:rsid w:val="0032299F"/>
    <w:rsid w:val="00322A0C"/>
    <w:rsid w:val="003232C1"/>
    <w:rsid w:val="00323AB4"/>
    <w:rsid w:val="00323C19"/>
    <w:rsid w:val="00323E7E"/>
    <w:rsid w:val="00324AE0"/>
    <w:rsid w:val="00324C9C"/>
    <w:rsid w:val="00324EFA"/>
    <w:rsid w:val="00324FAD"/>
    <w:rsid w:val="00325B47"/>
    <w:rsid w:val="00325F44"/>
    <w:rsid w:val="00326039"/>
    <w:rsid w:val="00326070"/>
    <w:rsid w:val="0032614E"/>
    <w:rsid w:val="0032652C"/>
    <w:rsid w:val="00326923"/>
    <w:rsid w:val="003269BD"/>
    <w:rsid w:val="00326B58"/>
    <w:rsid w:val="003270E6"/>
    <w:rsid w:val="00327229"/>
    <w:rsid w:val="0032727A"/>
    <w:rsid w:val="00327465"/>
    <w:rsid w:val="00327557"/>
    <w:rsid w:val="0032767F"/>
    <w:rsid w:val="00327A41"/>
    <w:rsid w:val="00327AE1"/>
    <w:rsid w:val="00327B13"/>
    <w:rsid w:val="00327BD2"/>
    <w:rsid w:val="00330038"/>
    <w:rsid w:val="003301AB"/>
    <w:rsid w:val="003302A0"/>
    <w:rsid w:val="0033055B"/>
    <w:rsid w:val="003308D2"/>
    <w:rsid w:val="00330A18"/>
    <w:rsid w:val="00330BE9"/>
    <w:rsid w:val="00330D22"/>
    <w:rsid w:val="0033114A"/>
    <w:rsid w:val="003312FF"/>
    <w:rsid w:val="003314CD"/>
    <w:rsid w:val="003321AD"/>
    <w:rsid w:val="00332B42"/>
    <w:rsid w:val="00332B9E"/>
    <w:rsid w:val="00332C2D"/>
    <w:rsid w:val="00333644"/>
    <w:rsid w:val="0033367B"/>
    <w:rsid w:val="0033378F"/>
    <w:rsid w:val="003338E3"/>
    <w:rsid w:val="00333AC4"/>
    <w:rsid w:val="00333B91"/>
    <w:rsid w:val="00333EA3"/>
    <w:rsid w:val="00333F37"/>
    <w:rsid w:val="00334446"/>
    <w:rsid w:val="00334767"/>
    <w:rsid w:val="00334B92"/>
    <w:rsid w:val="00334D81"/>
    <w:rsid w:val="003359BD"/>
    <w:rsid w:val="00335ABA"/>
    <w:rsid w:val="00335B88"/>
    <w:rsid w:val="00335D4B"/>
    <w:rsid w:val="00335F64"/>
    <w:rsid w:val="00335F90"/>
    <w:rsid w:val="0033618F"/>
    <w:rsid w:val="003361DE"/>
    <w:rsid w:val="003363DA"/>
    <w:rsid w:val="003368C0"/>
    <w:rsid w:val="00336C3F"/>
    <w:rsid w:val="00336D2F"/>
    <w:rsid w:val="00337046"/>
    <w:rsid w:val="003370F9"/>
    <w:rsid w:val="003377CA"/>
    <w:rsid w:val="0034021A"/>
    <w:rsid w:val="00340309"/>
    <w:rsid w:val="0034089A"/>
    <w:rsid w:val="00340B21"/>
    <w:rsid w:val="00340BDD"/>
    <w:rsid w:val="00340CDB"/>
    <w:rsid w:val="00341015"/>
    <w:rsid w:val="00341151"/>
    <w:rsid w:val="00341736"/>
    <w:rsid w:val="00341B54"/>
    <w:rsid w:val="00341C0D"/>
    <w:rsid w:val="00342001"/>
    <w:rsid w:val="00342054"/>
    <w:rsid w:val="003420C1"/>
    <w:rsid w:val="00342511"/>
    <w:rsid w:val="003427C4"/>
    <w:rsid w:val="00342C37"/>
    <w:rsid w:val="003430A6"/>
    <w:rsid w:val="003436F5"/>
    <w:rsid w:val="00343800"/>
    <w:rsid w:val="00343AA7"/>
    <w:rsid w:val="00343C1A"/>
    <w:rsid w:val="00343C82"/>
    <w:rsid w:val="00343CAD"/>
    <w:rsid w:val="00343CF4"/>
    <w:rsid w:val="00343D7E"/>
    <w:rsid w:val="00343D99"/>
    <w:rsid w:val="00343E51"/>
    <w:rsid w:val="00343E98"/>
    <w:rsid w:val="00343F79"/>
    <w:rsid w:val="003440ED"/>
    <w:rsid w:val="003441D9"/>
    <w:rsid w:val="00344351"/>
    <w:rsid w:val="00344352"/>
    <w:rsid w:val="003445CB"/>
    <w:rsid w:val="00344618"/>
    <w:rsid w:val="00345738"/>
    <w:rsid w:val="0034581D"/>
    <w:rsid w:val="0034592C"/>
    <w:rsid w:val="00345F56"/>
    <w:rsid w:val="00345FE1"/>
    <w:rsid w:val="00346063"/>
    <w:rsid w:val="003460CB"/>
    <w:rsid w:val="00346123"/>
    <w:rsid w:val="003461EF"/>
    <w:rsid w:val="003461FE"/>
    <w:rsid w:val="00346CC5"/>
    <w:rsid w:val="00346D14"/>
    <w:rsid w:val="00347357"/>
    <w:rsid w:val="003477E6"/>
    <w:rsid w:val="00347CEF"/>
    <w:rsid w:val="003501FF"/>
    <w:rsid w:val="00350213"/>
    <w:rsid w:val="0035093E"/>
    <w:rsid w:val="00350DC1"/>
    <w:rsid w:val="0035134A"/>
    <w:rsid w:val="003514ED"/>
    <w:rsid w:val="003515B8"/>
    <w:rsid w:val="003518E8"/>
    <w:rsid w:val="00351A3B"/>
    <w:rsid w:val="00351AA7"/>
    <w:rsid w:val="00351E16"/>
    <w:rsid w:val="00352080"/>
    <w:rsid w:val="003522E9"/>
    <w:rsid w:val="00352322"/>
    <w:rsid w:val="003524F7"/>
    <w:rsid w:val="00352597"/>
    <w:rsid w:val="00352763"/>
    <w:rsid w:val="00352BCF"/>
    <w:rsid w:val="00352E2C"/>
    <w:rsid w:val="00352E9D"/>
    <w:rsid w:val="00352F85"/>
    <w:rsid w:val="0035304A"/>
    <w:rsid w:val="0035307E"/>
    <w:rsid w:val="0035317D"/>
    <w:rsid w:val="00353C01"/>
    <w:rsid w:val="00353DC7"/>
    <w:rsid w:val="00354680"/>
    <w:rsid w:val="00354817"/>
    <w:rsid w:val="00354E08"/>
    <w:rsid w:val="00354EC9"/>
    <w:rsid w:val="00355578"/>
    <w:rsid w:val="0035570E"/>
    <w:rsid w:val="00355B2F"/>
    <w:rsid w:val="00355BB0"/>
    <w:rsid w:val="00355E0C"/>
    <w:rsid w:val="00355EC7"/>
    <w:rsid w:val="00355F6C"/>
    <w:rsid w:val="003560BF"/>
    <w:rsid w:val="003561AB"/>
    <w:rsid w:val="003565FE"/>
    <w:rsid w:val="00356B7F"/>
    <w:rsid w:val="00356BBA"/>
    <w:rsid w:val="00356C1A"/>
    <w:rsid w:val="00356E78"/>
    <w:rsid w:val="00356FCE"/>
    <w:rsid w:val="00357034"/>
    <w:rsid w:val="00357367"/>
    <w:rsid w:val="003573EC"/>
    <w:rsid w:val="0035749B"/>
    <w:rsid w:val="003575C9"/>
    <w:rsid w:val="003578D2"/>
    <w:rsid w:val="0035794E"/>
    <w:rsid w:val="00357950"/>
    <w:rsid w:val="0035799B"/>
    <w:rsid w:val="00357ACF"/>
    <w:rsid w:val="00357C5A"/>
    <w:rsid w:val="00360048"/>
    <w:rsid w:val="0036039B"/>
    <w:rsid w:val="00360578"/>
    <w:rsid w:val="0036061F"/>
    <w:rsid w:val="00360CEF"/>
    <w:rsid w:val="00360F69"/>
    <w:rsid w:val="003612D6"/>
    <w:rsid w:val="00361582"/>
    <w:rsid w:val="003617C2"/>
    <w:rsid w:val="00361877"/>
    <w:rsid w:val="00361C5B"/>
    <w:rsid w:val="00361FEA"/>
    <w:rsid w:val="0036252D"/>
    <w:rsid w:val="00362588"/>
    <w:rsid w:val="003625BF"/>
    <w:rsid w:val="0036282E"/>
    <w:rsid w:val="003628C6"/>
    <w:rsid w:val="00362CA8"/>
    <w:rsid w:val="00362DDA"/>
    <w:rsid w:val="00362EAB"/>
    <w:rsid w:val="003632CA"/>
    <w:rsid w:val="003633AB"/>
    <w:rsid w:val="00363588"/>
    <w:rsid w:val="003635F0"/>
    <w:rsid w:val="0036366D"/>
    <w:rsid w:val="00363F2A"/>
    <w:rsid w:val="0036410E"/>
    <w:rsid w:val="00364154"/>
    <w:rsid w:val="003641D1"/>
    <w:rsid w:val="003642FE"/>
    <w:rsid w:val="003645DC"/>
    <w:rsid w:val="003649D6"/>
    <w:rsid w:val="00364CCD"/>
    <w:rsid w:val="00365034"/>
    <w:rsid w:val="003650AB"/>
    <w:rsid w:val="00365253"/>
    <w:rsid w:val="003652F0"/>
    <w:rsid w:val="003654C5"/>
    <w:rsid w:val="00365517"/>
    <w:rsid w:val="003656BA"/>
    <w:rsid w:val="00365830"/>
    <w:rsid w:val="00365C3E"/>
    <w:rsid w:val="00366099"/>
    <w:rsid w:val="00366283"/>
    <w:rsid w:val="0036651F"/>
    <w:rsid w:val="0036686B"/>
    <w:rsid w:val="003669A8"/>
    <w:rsid w:val="00366CB1"/>
    <w:rsid w:val="00366E68"/>
    <w:rsid w:val="00366F2A"/>
    <w:rsid w:val="00367F2C"/>
    <w:rsid w:val="0037058B"/>
    <w:rsid w:val="003708D0"/>
    <w:rsid w:val="003712E9"/>
    <w:rsid w:val="00371869"/>
    <w:rsid w:val="00371AF4"/>
    <w:rsid w:val="00371CA6"/>
    <w:rsid w:val="00372744"/>
    <w:rsid w:val="003727FC"/>
    <w:rsid w:val="003729B9"/>
    <w:rsid w:val="00372A61"/>
    <w:rsid w:val="00372DC1"/>
    <w:rsid w:val="00372E06"/>
    <w:rsid w:val="00372E07"/>
    <w:rsid w:val="00372E85"/>
    <w:rsid w:val="003735F3"/>
    <w:rsid w:val="003738DC"/>
    <w:rsid w:val="00373AA1"/>
    <w:rsid w:val="00373B28"/>
    <w:rsid w:val="0037468F"/>
    <w:rsid w:val="00374729"/>
    <w:rsid w:val="003747F8"/>
    <w:rsid w:val="00374857"/>
    <w:rsid w:val="003748B6"/>
    <w:rsid w:val="00374D04"/>
    <w:rsid w:val="00374EA0"/>
    <w:rsid w:val="0037512F"/>
    <w:rsid w:val="00375394"/>
    <w:rsid w:val="00375756"/>
    <w:rsid w:val="00375D0C"/>
    <w:rsid w:val="00375FC2"/>
    <w:rsid w:val="0037666F"/>
    <w:rsid w:val="0037693F"/>
    <w:rsid w:val="00376AE6"/>
    <w:rsid w:val="00376C2F"/>
    <w:rsid w:val="0037709C"/>
    <w:rsid w:val="0037742E"/>
    <w:rsid w:val="003775B0"/>
    <w:rsid w:val="003775BC"/>
    <w:rsid w:val="003776B7"/>
    <w:rsid w:val="00377A6A"/>
    <w:rsid w:val="00377B35"/>
    <w:rsid w:val="00377C3E"/>
    <w:rsid w:val="00377F0E"/>
    <w:rsid w:val="00377F7B"/>
    <w:rsid w:val="00380018"/>
    <w:rsid w:val="003808EE"/>
    <w:rsid w:val="00380C46"/>
    <w:rsid w:val="00380D7A"/>
    <w:rsid w:val="00380D8D"/>
    <w:rsid w:val="00380DF1"/>
    <w:rsid w:val="003811C1"/>
    <w:rsid w:val="00381448"/>
    <w:rsid w:val="00381610"/>
    <w:rsid w:val="00381880"/>
    <w:rsid w:val="00381946"/>
    <w:rsid w:val="00381B55"/>
    <w:rsid w:val="00381DF8"/>
    <w:rsid w:val="00381F64"/>
    <w:rsid w:val="0038202F"/>
    <w:rsid w:val="00382301"/>
    <w:rsid w:val="00382426"/>
    <w:rsid w:val="00382B68"/>
    <w:rsid w:val="00382C76"/>
    <w:rsid w:val="00382E75"/>
    <w:rsid w:val="00383024"/>
    <w:rsid w:val="0038310D"/>
    <w:rsid w:val="003832FF"/>
    <w:rsid w:val="003834E2"/>
    <w:rsid w:val="003834EF"/>
    <w:rsid w:val="003839CB"/>
    <w:rsid w:val="00383BE0"/>
    <w:rsid w:val="00383D6F"/>
    <w:rsid w:val="00384739"/>
    <w:rsid w:val="003847B6"/>
    <w:rsid w:val="003852AA"/>
    <w:rsid w:val="003856BA"/>
    <w:rsid w:val="00385893"/>
    <w:rsid w:val="00385FB2"/>
    <w:rsid w:val="0038608A"/>
    <w:rsid w:val="003862AD"/>
    <w:rsid w:val="003864BA"/>
    <w:rsid w:val="0038651B"/>
    <w:rsid w:val="003865C5"/>
    <w:rsid w:val="00386880"/>
    <w:rsid w:val="00386A90"/>
    <w:rsid w:val="00386AA4"/>
    <w:rsid w:val="00386F1B"/>
    <w:rsid w:val="00386FC2"/>
    <w:rsid w:val="00386FF3"/>
    <w:rsid w:val="003872C0"/>
    <w:rsid w:val="003877A9"/>
    <w:rsid w:val="00387C3E"/>
    <w:rsid w:val="00390140"/>
    <w:rsid w:val="0039017D"/>
    <w:rsid w:val="00390195"/>
    <w:rsid w:val="0039060E"/>
    <w:rsid w:val="0039094F"/>
    <w:rsid w:val="00390D56"/>
    <w:rsid w:val="003911D8"/>
    <w:rsid w:val="003912A5"/>
    <w:rsid w:val="003912A7"/>
    <w:rsid w:val="003917C0"/>
    <w:rsid w:val="0039189A"/>
    <w:rsid w:val="00391AAB"/>
    <w:rsid w:val="00391B13"/>
    <w:rsid w:val="00391B53"/>
    <w:rsid w:val="00392128"/>
    <w:rsid w:val="0039275D"/>
    <w:rsid w:val="00392995"/>
    <w:rsid w:val="003929E4"/>
    <w:rsid w:val="00392C78"/>
    <w:rsid w:val="00393280"/>
    <w:rsid w:val="00393AC6"/>
    <w:rsid w:val="00393D1E"/>
    <w:rsid w:val="00393F25"/>
    <w:rsid w:val="00394478"/>
    <w:rsid w:val="003947E0"/>
    <w:rsid w:val="003948E2"/>
    <w:rsid w:val="00394B1E"/>
    <w:rsid w:val="00394B45"/>
    <w:rsid w:val="00394E69"/>
    <w:rsid w:val="00394FF9"/>
    <w:rsid w:val="0039528D"/>
    <w:rsid w:val="00395807"/>
    <w:rsid w:val="00395A09"/>
    <w:rsid w:val="00395C4E"/>
    <w:rsid w:val="0039615F"/>
    <w:rsid w:val="0039618A"/>
    <w:rsid w:val="00396417"/>
    <w:rsid w:val="003964B0"/>
    <w:rsid w:val="00396703"/>
    <w:rsid w:val="00396751"/>
    <w:rsid w:val="003968A5"/>
    <w:rsid w:val="00396A84"/>
    <w:rsid w:val="00396CBF"/>
    <w:rsid w:val="00396F3E"/>
    <w:rsid w:val="003973A1"/>
    <w:rsid w:val="003975D2"/>
    <w:rsid w:val="0039771D"/>
    <w:rsid w:val="003977ED"/>
    <w:rsid w:val="00397BED"/>
    <w:rsid w:val="00397C47"/>
    <w:rsid w:val="00397DD8"/>
    <w:rsid w:val="003A0044"/>
    <w:rsid w:val="003A032B"/>
    <w:rsid w:val="003A075C"/>
    <w:rsid w:val="003A0D23"/>
    <w:rsid w:val="003A0FDC"/>
    <w:rsid w:val="003A10A7"/>
    <w:rsid w:val="003A127A"/>
    <w:rsid w:val="003A136A"/>
    <w:rsid w:val="003A14E7"/>
    <w:rsid w:val="003A17D5"/>
    <w:rsid w:val="003A1D19"/>
    <w:rsid w:val="003A1EA2"/>
    <w:rsid w:val="003A20F2"/>
    <w:rsid w:val="003A2181"/>
    <w:rsid w:val="003A2475"/>
    <w:rsid w:val="003A2482"/>
    <w:rsid w:val="003A25A4"/>
    <w:rsid w:val="003A25A5"/>
    <w:rsid w:val="003A2794"/>
    <w:rsid w:val="003A2A11"/>
    <w:rsid w:val="003A2B07"/>
    <w:rsid w:val="003A2F7F"/>
    <w:rsid w:val="003A2F8D"/>
    <w:rsid w:val="003A2FD0"/>
    <w:rsid w:val="003A30DA"/>
    <w:rsid w:val="003A3229"/>
    <w:rsid w:val="003A3444"/>
    <w:rsid w:val="003A3793"/>
    <w:rsid w:val="003A439F"/>
    <w:rsid w:val="003A4D4B"/>
    <w:rsid w:val="003A4E50"/>
    <w:rsid w:val="003A4ED7"/>
    <w:rsid w:val="003A4F25"/>
    <w:rsid w:val="003A4F61"/>
    <w:rsid w:val="003A58FB"/>
    <w:rsid w:val="003A5A14"/>
    <w:rsid w:val="003A5C8F"/>
    <w:rsid w:val="003A5EE0"/>
    <w:rsid w:val="003A6466"/>
    <w:rsid w:val="003A66E1"/>
    <w:rsid w:val="003A679B"/>
    <w:rsid w:val="003A692F"/>
    <w:rsid w:val="003A6C96"/>
    <w:rsid w:val="003A6CB5"/>
    <w:rsid w:val="003A6D7B"/>
    <w:rsid w:val="003A727C"/>
    <w:rsid w:val="003A73FC"/>
    <w:rsid w:val="003A75D9"/>
    <w:rsid w:val="003A7D07"/>
    <w:rsid w:val="003A7D32"/>
    <w:rsid w:val="003A7DD7"/>
    <w:rsid w:val="003B009B"/>
    <w:rsid w:val="003B0269"/>
    <w:rsid w:val="003B0752"/>
    <w:rsid w:val="003B09B8"/>
    <w:rsid w:val="003B0CC1"/>
    <w:rsid w:val="003B0D47"/>
    <w:rsid w:val="003B0F64"/>
    <w:rsid w:val="003B10B7"/>
    <w:rsid w:val="003B1163"/>
    <w:rsid w:val="003B122C"/>
    <w:rsid w:val="003B1283"/>
    <w:rsid w:val="003B12B5"/>
    <w:rsid w:val="003B1A6D"/>
    <w:rsid w:val="003B1B6F"/>
    <w:rsid w:val="003B1B79"/>
    <w:rsid w:val="003B1CFD"/>
    <w:rsid w:val="003B1F6E"/>
    <w:rsid w:val="003B2157"/>
    <w:rsid w:val="003B220D"/>
    <w:rsid w:val="003B2221"/>
    <w:rsid w:val="003B2548"/>
    <w:rsid w:val="003B2677"/>
    <w:rsid w:val="003B2873"/>
    <w:rsid w:val="003B2955"/>
    <w:rsid w:val="003B297F"/>
    <w:rsid w:val="003B2D3F"/>
    <w:rsid w:val="003B30B8"/>
    <w:rsid w:val="003B32A0"/>
    <w:rsid w:val="003B3621"/>
    <w:rsid w:val="003B3894"/>
    <w:rsid w:val="003B38C1"/>
    <w:rsid w:val="003B3974"/>
    <w:rsid w:val="003B407F"/>
    <w:rsid w:val="003B4392"/>
    <w:rsid w:val="003B4DFC"/>
    <w:rsid w:val="003B4EA5"/>
    <w:rsid w:val="003B4FBD"/>
    <w:rsid w:val="003B510A"/>
    <w:rsid w:val="003B51BE"/>
    <w:rsid w:val="003B5352"/>
    <w:rsid w:val="003B5ACF"/>
    <w:rsid w:val="003B60F2"/>
    <w:rsid w:val="003B6C9F"/>
    <w:rsid w:val="003B709E"/>
    <w:rsid w:val="003B79C6"/>
    <w:rsid w:val="003B79CB"/>
    <w:rsid w:val="003B7CBF"/>
    <w:rsid w:val="003B7F2F"/>
    <w:rsid w:val="003B7F68"/>
    <w:rsid w:val="003C023C"/>
    <w:rsid w:val="003C09A7"/>
    <w:rsid w:val="003C09B8"/>
    <w:rsid w:val="003C0A55"/>
    <w:rsid w:val="003C0CDD"/>
    <w:rsid w:val="003C0DE9"/>
    <w:rsid w:val="003C0E08"/>
    <w:rsid w:val="003C0ED6"/>
    <w:rsid w:val="003C1217"/>
    <w:rsid w:val="003C1BF3"/>
    <w:rsid w:val="003C1CF5"/>
    <w:rsid w:val="003C274F"/>
    <w:rsid w:val="003C29DC"/>
    <w:rsid w:val="003C338A"/>
    <w:rsid w:val="003C34C2"/>
    <w:rsid w:val="003C38E3"/>
    <w:rsid w:val="003C3F01"/>
    <w:rsid w:val="003C4687"/>
    <w:rsid w:val="003C46E2"/>
    <w:rsid w:val="003C48FB"/>
    <w:rsid w:val="003C490B"/>
    <w:rsid w:val="003C4CDF"/>
    <w:rsid w:val="003C4CE4"/>
    <w:rsid w:val="003C522F"/>
    <w:rsid w:val="003C53AD"/>
    <w:rsid w:val="003C54FA"/>
    <w:rsid w:val="003C5E15"/>
    <w:rsid w:val="003C5E55"/>
    <w:rsid w:val="003C6152"/>
    <w:rsid w:val="003C6710"/>
    <w:rsid w:val="003C6AF1"/>
    <w:rsid w:val="003C6E0C"/>
    <w:rsid w:val="003C71A1"/>
    <w:rsid w:val="003C7421"/>
    <w:rsid w:val="003C775B"/>
    <w:rsid w:val="003C7883"/>
    <w:rsid w:val="003C79CA"/>
    <w:rsid w:val="003C7A2E"/>
    <w:rsid w:val="003C7D04"/>
    <w:rsid w:val="003D0212"/>
    <w:rsid w:val="003D0B06"/>
    <w:rsid w:val="003D0B0C"/>
    <w:rsid w:val="003D0FFD"/>
    <w:rsid w:val="003D145D"/>
    <w:rsid w:val="003D14C0"/>
    <w:rsid w:val="003D1BBC"/>
    <w:rsid w:val="003D1C75"/>
    <w:rsid w:val="003D1DA3"/>
    <w:rsid w:val="003D1F96"/>
    <w:rsid w:val="003D2131"/>
    <w:rsid w:val="003D2160"/>
    <w:rsid w:val="003D2381"/>
    <w:rsid w:val="003D2546"/>
    <w:rsid w:val="003D28DE"/>
    <w:rsid w:val="003D2A1C"/>
    <w:rsid w:val="003D2AAA"/>
    <w:rsid w:val="003D2C83"/>
    <w:rsid w:val="003D2CA2"/>
    <w:rsid w:val="003D2DE2"/>
    <w:rsid w:val="003D2E31"/>
    <w:rsid w:val="003D2EAE"/>
    <w:rsid w:val="003D3068"/>
    <w:rsid w:val="003D334A"/>
    <w:rsid w:val="003D36DB"/>
    <w:rsid w:val="003D39E4"/>
    <w:rsid w:val="003D3A24"/>
    <w:rsid w:val="003D4135"/>
    <w:rsid w:val="003D47A9"/>
    <w:rsid w:val="003D47DA"/>
    <w:rsid w:val="003D48B6"/>
    <w:rsid w:val="003D4E4C"/>
    <w:rsid w:val="003D4F86"/>
    <w:rsid w:val="003D4F91"/>
    <w:rsid w:val="003D5028"/>
    <w:rsid w:val="003D5499"/>
    <w:rsid w:val="003D5553"/>
    <w:rsid w:val="003D5656"/>
    <w:rsid w:val="003D5702"/>
    <w:rsid w:val="003D59CD"/>
    <w:rsid w:val="003D5B31"/>
    <w:rsid w:val="003D5CBB"/>
    <w:rsid w:val="003D5F04"/>
    <w:rsid w:val="003D61AC"/>
    <w:rsid w:val="003D6227"/>
    <w:rsid w:val="003D654B"/>
    <w:rsid w:val="003D6AC8"/>
    <w:rsid w:val="003D6DDB"/>
    <w:rsid w:val="003D7360"/>
    <w:rsid w:val="003D7533"/>
    <w:rsid w:val="003D775A"/>
    <w:rsid w:val="003D77B8"/>
    <w:rsid w:val="003D77C2"/>
    <w:rsid w:val="003D797D"/>
    <w:rsid w:val="003D7A99"/>
    <w:rsid w:val="003D7EFE"/>
    <w:rsid w:val="003E0195"/>
    <w:rsid w:val="003E0886"/>
    <w:rsid w:val="003E08BC"/>
    <w:rsid w:val="003E0A3C"/>
    <w:rsid w:val="003E0F54"/>
    <w:rsid w:val="003E1038"/>
    <w:rsid w:val="003E144D"/>
    <w:rsid w:val="003E1753"/>
    <w:rsid w:val="003E183A"/>
    <w:rsid w:val="003E1888"/>
    <w:rsid w:val="003E192B"/>
    <w:rsid w:val="003E1BEA"/>
    <w:rsid w:val="003E1D88"/>
    <w:rsid w:val="003E2227"/>
    <w:rsid w:val="003E24E4"/>
    <w:rsid w:val="003E2B81"/>
    <w:rsid w:val="003E2BBD"/>
    <w:rsid w:val="003E2F03"/>
    <w:rsid w:val="003E34D3"/>
    <w:rsid w:val="003E34E8"/>
    <w:rsid w:val="003E36B3"/>
    <w:rsid w:val="003E3729"/>
    <w:rsid w:val="003E3D14"/>
    <w:rsid w:val="003E4883"/>
    <w:rsid w:val="003E4914"/>
    <w:rsid w:val="003E4B60"/>
    <w:rsid w:val="003E5051"/>
    <w:rsid w:val="003E51E4"/>
    <w:rsid w:val="003E5662"/>
    <w:rsid w:val="003E5778"/>
    <w:rsid w:val="003E58DD"/>
    <w:rsid w:val="003E60FD"/>
    <w:rsid w:val="003E62DF"/>
    <w:rsid w:val="003E63B0"/>
    <w:rsid w:val="003E6A57"/>
    <w:rsid w:val="003E6A76"/>
    <w:rsid w:val="003E703E"/>
    <w:rsid w:val="003E70DF"/>
    <w:rsid w:val="003E7772"/>
    <w:rsid w:val="003E78F9"/>
    <w:rsid w:val="003E7D64"/>
    <w:rsid w:val="003E7E03"/>
    <w:rsid w:val="003E7F0C"/>
    <w:rsid w:val="003F028E"/>
    <w:rsid w:val="003F04BE"/>
    <w:rsid w:val="003F0AAB"/>
    <w:rsid w:val="003F0AF7"/>
    <w:rsid w:val="003F0FD4"/>
    <w:rsid w:val="003F131C"/>
    <w:rsid w:val="003F136C"/>
    <w:rsid w:val="003F158D"/>
    <w:rsid w:val="003F1739"/>
    <w:rsid w:val="003F184A"/>
    <w:rsid w:val="003F2022"/>
    <w:rsid w:val="003F2030"/>
    <w:rsid w:val="003F2152"/>
    <w:rsid w:val="003F26B4"/>
    <w:rsid w:val="003F283A"/>
    <w:rsid w:val="003F2A2E"/>
    <w:rsid w:val="003F2B62"/>
    <w:rsid w:val="003F2C01"/>
    <w:rsid w:val="003F30C2"/>
    <w:rsid w:val="003F32C6"/>
    <w:rsid w:val="003F335C"/>
    <w:rsid w:val="003F3C1A"/>
    <w:rsid w:val="003F424C"/>
    <w:rsid w:val="003F44DE"/>
    <w:rsid w:val="003F4702"/>
    <w:rsid w:val="003F4CAA"/>
    <w:rsid w:val="003F5751"/>
    <w:rsid w:val="003F594E"/>
    <w:rsid w:val="003F600E"/>
    <w:rsid w:val="003F629B"/>
    <w:rsid w:val="003F6709"/>
    <w:rsid w:val="003F6CAD"/>
    <w:rsid w:val="003F71AD"/>
    <w:rsid w:val="003F72AA"/>
    <w:rsid w:val="003F7358"/>
    <w:rsid w:val="003F74F1"/>
    <w:rsid w:val="003F79CA"/>
    <w:rsid w:val="003F79D4"/>
    <w:rsid w:val="003F7C9A"/>
    <w:rsid w:val="004007BB"/>
    <w:rsid w:val="00400A2F"/>
    <w:rsid w:val="00401212"/>
    <w:rsid w:val="0040129B"/>
    <w:rsid w:val="0040163D"/>
    <w:rsid w:val="004016BE"/>
    <w:rsid w:val="004017C7"/>
    <w:rsid w:val="0040189B"/>
    <w:rsid w:val="004018C6"/>
    <w:rsid w:val="00401A1D"/>
    <w:rsid w:val="00401DB2"/>
    <w:rsid w:val="00401F71"/>
    <w:rsid w:val="00402097"/>
    <w:rsid w:val="004025FF"/>
    <w:rsid w:val="00402875"/>
    <w:rsid w:val="004028BC"/>
    <w:rsid w:val="00402A2F"/>
    <w:rsid w:val="00402A3F"/>
    <w:rsid w:val="00402A78"/>
    <w:rsid w:val="00402D38"/>
    <w:rsid w:val="00403333"/>
    <w:rsid w:val="00403546"/>
    <w:rsid w:val="0040355E"/>
    <w:rsid w:val="004037ED"/>
    <w:rsid w:val="00403821"/>
    <w:rsid w:val="00403D55"/>
    <w:rsid w:val="00404E24"/>
    <w:rsid w:val="00404EAB"/>
    <w:rsid w:val="00405069"/>
    <w:rsid w:val="004052C3"/>
    <w:rsid w:val="00405555"/>
    <w:rsid w:val="00405945"/>
    <w:rsid w:val="00405A74"/>
    <w:rsid w:val="00405D5A"/>
    <w:rsid w:val="00405D73"/>
    <w:rsid w:val="00405D8B"/>
    <w:rsid w:val="004066C4"/>
    <w:rsid w:val="00406832"/>
    <w:rsid w:val="0040722C"/>
    <w:rsid w:val="00407404"/>
    <w:rsid w:val="0040796A"/>
    <w:rsid w:val="00407E31"/>
    <w:rsid w:val="00410743"/>
    <w:rsid w:val="004116F8"/>
    <w:rsid w:val="004117AE"/>
    <w:rsid w:val="00411941"/>
    <w:rsid w:val="00411EC3"/>
    <w:rsid w:val="00411F43"/>
    <w:rsid w:val="0041201A"/>
    <w:rsid w:val="004120EE"/>
    <w:rsid w:val="0041231E"/>
    <w:rsid w:val="00412347"/>
    <w:rsid w:val="004127F8"/>
    <w:rsid w:val="0041290C"/>
    <w:rsid w:val="00412E83"/>
    <w:rsid w:val="004130DB"/>
    <w:rsid w:val="004131B2"/>
    <w:rsid w:val="004139FC"/>
    <w:rsid w:val="00413A07"/>
    <w:rsid w:val="00413A44"/>
    <w:rsid w:val="00413B45"/>
    <w:rsid w:val="00414049"/>
    <w:rsid w:val="004143F4"/>
    <w:rsid w:val="0041462A"/>
    <w:rsid w:val="004147AC"/>
    <w:rsid w:val="00414AA3"/>
    <w:rsid w:val="00414C53"/>
    <w:rsid w:val="00414E0F"/>
    <w:rsid w:val="00414E27"/>
    <w:rsid w:val="00414E82"/>
    <w:rsid w:val="00414F7A"/>
    <w:rsid w:val="00415066"/>
    <w:rsid w:val="00415159"/>
    <w:rsid w:val="004152B0"/>
    <w:rsid w:val="004153F0"/>
    <w:rsid w:val="00415D24"/>
    <w:rsid w:val="00416305"/>
    <w:rsid w:val="0041666D"/>
    <w:rsid w:val="00416740"/>
    <w:rsid w:val="004167AE"/>
    <w:rsid w:val="0041694F"/>
    <w:rsid w:val="004169E2"/>
    <w:rsid w:val="00416B21"/>
    <w:rsid w:val="00416B81"/>
    <w:rsid w:val="00416D3C"/>
    <w:rsid w:val="00416FE3"/>
    <w:rsid w:val="0041721C"/>
    <w:rsid w:val="00417533"/>
    <w:rsid w:val="004179FD"/>
    <w:rsid w:val="00417ECA"/>
    <w:rsid w:val="00420129"/>
    <w:rsid w:val="0042030A"/>
    <w:rsid w:val="004203B0"/>
    <w:rsid w:val="004208EA"/>
    <w:rsid w:val="00420A00"/>
    <w:rsid w:val="00420AD7"/>
    <w:rsid w:val="00420AFE"/>
    <w:rsid w:val="00420D72"/>
    <w:rsid w:val="00420EED"/>
    <w:rsid w:val="00421485"/>
    <w:rsid w:val="00421675"/>
    <w:rsid w:val="00421AEA"/>
    <w:rsid w:val="00421BC5"/>
    <w:rsid w:val="00421ED8"/>
    <w:rsid w:val="004223A8"/>
    <w:rsid w:val="004223CD"/>
    <w:rsid w:val="00422569"/>
    <w:rsid w:val="00422AA9"/>
    <w:rsid w:val="00422BE9"/>
    <w:rsid w:val="00422CAD"/>
    <w:rsid w:val="00422CDD"/>
    <w:rsid w:val="00422FA0"/>
    <w:rsid w:val="004230CE"/>
    <w:rsid w:val="00423220"/>
    <w:rsid w:val="0042350F"/>
    <w:rsid w:val="00423721"/>
    <w:rsid w:val="0042382D"/>
    <w:rsid w:val="00423C0D"/>
    <w:rsid w:val="00423C17"/>
    <w:rsid w:val="00423F95"/>
    <w:rsid w:val="00424073"/>
    <w:rsid w:val="00424088"/>
    <w:rsid w:val="0042437E"/>
    <w:rsid w:val="0042481D"/>
    <w:rsid w:val="00424B34"/>
    <w:rsid w:val="0042504F"/>
    <w:rsid w:val="0042519D"/>
    <w:rsid w:val="004254DC"/>
    <w:rsid w:val="004259F9"/>
    <w:rsid w:val="00425A3D"/>
    <w:rsid w:val="00425D3E"/>
    <w:rsid w:val="00426230"/>
    <w:rsid w:val="00426D8F"/>
    <w:rsid w:val="004271F8"/>
    <w:rsid w:val="00427456"/>
    <w:rsid w:val="00427677"/>
    <w:rsid w:val="00427789"/>
    <w:rsid w:val="00427920"/>
    <w:rsid w:val="00427C1A"/>
    <w:rsid w:val="00427C7E"/>
    <w:rsid w:val="00427D3C"/>
    <w:rsid w:val="004305C6"/>
    <w:rsid w:val="004308E0"/>
    <w:rsid w:val="00430952"/>
    <w:rsid w:val="0043109A"/>
    <w:rsid w:val="00431158"/>
    <w:rsid w:val="004311D0"/>
    <w:rsid w:val="00431304"/>
    <w:rsid w:val="00431495"/>
    <w:rsid w:val="00431513"/>
    <w:rsid w:val="00431621"/>
    <w:rsid w:val="004318FC"/>
    <w:rsid w:val="00431A26"/>
    <w:rsid w:val="00431F54"/>
    <w:rsid w:val="00431F5E"/>
    <w:rsid w:val="0043238E"/>
    <w:rsid w:val="0043267E"/>
    <w:rsid w:val="00432740"/>
    <w:rsid w:val="00432E9A"/>
    <w:rsid w:val="004332D0"/>
    <w:rsid w:val="004332D3"/>
    <w:rsid w:val="0043330E"/>
    <w:rsid w:val="0043347D"/>
    <w:rsid w:val="004337DB"/>
    <w:rsid w:val="00433A25"/>
    <w:rsid w:val="00433EC1"/>
    <w:rsid w:val="00433FD2"/>
    <w:rsid w:val="00433FFA"/>
    <w:rsid w:val="00434568"/>
    <w:rsid w:val="00434AB9"/>
    <w:rsid w:val="00434E22"/>
    <w:rsid w:val="00435449"/>
    <w:rsid w:val="004354C6"/>
    <w:rsid w:val="0043587F"/>
    <w:rsid w:val="00435D0A"/>
    <w:rsid w:val="00436073"/>
    <w:rsid w:val="00436188"/>
    <w:rsid w:val="00436195"/>
    <w:rsid w:val="0043620F"/>
    <w:rsid w:val="00436497"/>
    <w:rsid w:val="00436E25"/>
    <w:rsid w:val="0043705B"/>
    <w:rsid w:val="004373AE"/>
    <w:rsid w:val="00437817"/>
    <w:rsid w:val="00437B45"/>
    <w:rsid w:val="00437BD7"/>
    <w:rsid w:val="00440AE6"/>
    <w:rsid w:val="00441215"/>
    <w:rsid w:val="0044125E"/>
    <w:rsid w:val="00441791"/>
    <w:rsid w:val="00441871"/>
    <w:rsid w:val="0044199F"/>
    <w:rsid w:val="004419F8"/>
    <w:rsid w:val="00441C4D"/>
    <w:rsid w:val="00441FA3"/>
    <w:rsid w:val="004425AE"/>
    <w:rsid w:val="00442B05"/>
    <w:rsid w:val="00443659"/>
    <w:rsid w:val="0044398A"/>
    <w:rsid w:val="00443A60"/>
    <w:rsid w:val="00443C86"/>
    <w:rsid w:val="00443D29"/>
    <w:rsid w:val="00443E7C"/>
    <w:rsid w:val="00443F3C"/>
    <w:rsid w:val="0044404E"/>
    <w:rsid w:val="004441B2"/>
    <w:rsid w:val="004441C4"/>
    <w:rsid w:val="00444BF2"/>
    <w:rsid w:val="00444D09"/>
    <w:rsid w:val="00445354"/>
    <w:rsid w:val="004453AD"/>
    <w:rsid w:val="0044565F"/>
    <w:rsid w:val="0044576F"/>
    <w:rsid w:val="004457F4"/>
    <w:rsid w:val="004458DA"/>
    <w:rsid w:val="0044596D"/>
    <w:rsid w:val="00445E71"/>
    <w:rsid w:val="00446394"/>
    <w:rsid w:val="00446637"/>
    <w:rsid w:val="00446959"/>
    <w:rsid w:val="00446C4B"/>
    <w:rsid w:val="00447263"/>
    <w:rsid w:val="004474A2"/>
    <w:rsid w:val="0044785B"/>
    <w:rsid w:val="00447A50"/>
    <w:rsid w:val="00447AE2"/>
    <w:rsid w:val="00447DA0"/>
    <w:rsid w:val="00447FD0"/>
    <w:rsid w:val="00450908"/>
    <w:rsid w:val="0045115A"/>
    <w:rsid w:val="004512D4"/>
    <w:rsid w:val="004514CE"/>
    <w:rsid w:val="004515BA"/>
    <w:rsid w:val="00451819"/>
    <w:rsid w:val="00451C7D"/>
    <w:rsid w:val="00451EBD"/>
    <w:rsid w:val="00451FCE"/>
    <w:rsid w:val="004520CD"/>
    <w:rsid w:val="004523C0"/>
    <w:rsid w:val="00452452"/>
    <w:rsid w:val="004525D0"/>
    <w:rsid w:val="0045278A"/>
    <w:rsid w:val="00452933"/>
    <w:rsid w:val="00452E3F"/>
    <w:rsid w:val="004532D4"/>
    <w:rsid w:val="004534FC"/>
    <w:rsid w:val="004539EA"/>
    <w:rsid w:val="00453A32"/>
    <w:rsid w:val="00453AD0"/>
    <w:rsid w:val="00453BB4"/>
    <w:rsid w:val="00453D9C"/>
    <w:rsid w:val="00453E8B"/>
    <w:rsid w:val="00453F0E"/>
    <w:rsid w:val="004540B4"/>
    <w:rsid w:val="0045422D"/>
    <w:rsid w:val="004547D1"/>
    <w:rsid w:val="00454849"/>
    <w:rsid w:val="00454C7B"/>
    <w:rsid w:val="00454F57"/>
    <w:rsid w:val="0045582A"/>
    <w:rsid w:val="00455A60"/>
    <w:rsid w:val="00455AFB"/>
    <w:rsid w:val="00455F4F"/>
    <w:rsid w:val="0045607A"/>
    <w:rsid w:val="00456435"/>
    <w:rsid w:val="00456848"/>
    <w:rsid w:val="0045687B"/>
    <w:rsid w:val="00456E54"/>
    <w:rsid w:val="004571C6"/>
    <w:rsid w:val="00457306"/>
    <w:rsid w:val="00457448"/>
    <w:rsid w:val="004575AC"/>
    <w:rsid w:val="00457794"/>
    <w:rsid w:val="00457E46"/>
    <w:rsid w:val="00457EDD"/>
    <w:rsid w:val="00460991"/>
    <w:rsid w:val="00460B1C"/>
    <w:rsid w:val="00460D4F"/>
    <w:rsid w:val="00461165"/>
    <w:rsid w:val="004619A2"/>
    <w:rsid w:val="00461BF5"/>
    <w:rsid w:val="004628FD"/>
    <w:rsid w:val="004633F4"/>
    <w:rsid w:val="00463627"/>
    <w:rsid w:val="004636D8"/>
    <w:rsid w:val="00463E54"/>
    <w:rsid w:val="00463EFE"/>
    <w:rsid w:val="0046421A"/>
    <w:rsid w:val="00464534"/>
    <w:rsid w:val="00464643"/>
    <w:rsid w:val="004646FD"/>
    <w:rsid w:val="0046492E"/>
    <w:rsid w:val="00464E11"/>
    <w:rsid w:val="00464E70"/>
    <w:rsid w:val="00465156"/>
    <w:rsid w:val="004653AD"/>
    <w:rsid w:val="0046543F"/>
    <w:rsid w:val="00465444"/>
    <w:rsid w:val="00465B90"/>
    <w:rsid w:val="00465C95"/>
    <w:rsid w:val="0046637A"/>
    <w:rsid w:val="00466587"/>
    <w:rsid w:val="004665EF"/>
    <w:rsid w:val="00466A01"/>
    <w:rsid w:val="00466AD8"/>
    <w:rsid w:val="00466B55"/>
    <w:rsid w:val="00466B5F"/>
    <w:rsid w:val="00466EA9"/>
    <w:rsid w:val="004672AD"/>
    <w:rsid w:val="004672B5"/>
    <w:rsid w:val="004676E5"/>
    <w:rsid w:val="004678CA"/>
    <w:rsid w:val="00467DDE"/>
    <w:rsid w:val="00467DE5"/>
    <w:rsid w:val="00467E58"/>
    <w:rsid w:val="00470027"/>
    <w:rsid w:val="00470054"/>
    <w:rsid w:val="004705C3"/>
    <w:rsid w:val="00470890"/>
    <w:rsid w:val="004711BF"/>
    <w:rsid w:val="00471392"/>
    <w:rsid w:val="004713D4"/>
    <w:rsid w:val="004717C8"/>
    <w:rsid w:val="00471846"/>
    <w:rsid w:val="00471958"/>
    <w:rsid w:val="00471A38"/>
    <w:rsid w:val="00471B1C"/>
    <w:rsid w:val="00471C21"/>
    <w:rsid w:val="00471F70"/>
    <w:rsid w:val="004723AE"/>
    <w:rsid w:val="0047249C"/>
    <w:rsid w:val="004724AA"/>
    <w:rsid w:val="00472503"/>
    <w:rsid w:val="00472670"/>
    <w:rsid w:val="004726F4"/>
    <w:rsid w:val="00473131"/>
    <w:rsid w:val="004731B3"/>
    <w:rsid w:val="004732D6"/>
    <w:rsid w:val="0047335A"/>
    <w:rsid w:val="00473656"/>
    <w:rsid w:val="00473768"/>
    <w:rsid w:val="00473841"/>
    <w:rsid w:val="00473A2A"/>
    <w:rsid w:val="0047435D"/>
    <w:rsid w:val="004746C6"/>
    <w:rsid w:val="0047476D"/>
    <w:rsid w:val="00474830"/>
    <w:rsid w:val="00474DB2"/>
    <w:rsid w:val="0047505A"/>
    <w:rsid w:val="004751C6"/>
    <w:rsid w:val="004754A3"/>
    <w:rsid w:val="004756D6"/>
    <w:rsid w:val="00475856"/>
    <w:rsid w:val="00475AD0"/>
    <w:rsid w:val="00475B77"/>
    <w:rsid w:val="00475D77"/>
    <w:rsid w:val="0047620F"/>
    <w:rsid w:val="0047677D"/>
    <w:rsid w:val="00476B0B"/>
    <w:rsid w:val="0047784A"/>
    <w:rsid w:val="00477F00"/>
    <w:rsid w:val="00477FCB"/>
    <w:rsid w:val="00480035"/>
    <w:rsid w:val="004802F0"/>
    <w:rsid w:val="00480466"/>
    <w:rsid w:val="004804D0"/>
    <w:rsid w:val="0048086A"/>
    <w:rsid w:val="00480D85"/>
    <w:rsid w:val="00481027"/>
    <w:rsid w:val="004813A2"/>
    <w:rsid w:val="004813AB"/>
    <w:rsid w:val="00481425"/>
    <w:rsid w:val="004814B6"/>
    <w:rsid w:val="004815A3"/>
    <w:rsid w:val="004818EA"/>
    <w:rsid w:val="00481BFA"/>
    <w:rsid w:val="00481C83"/>
    <w:rsid w:val="00481E42"/>
    <w:rsid w:val="00482184"/>
    <w:rsid w:val="00482317"/>
    <w:rsid w:val="004825CA"/>
    <w:rsid w:val="00482800"/>
    <w:rsid w:val="004828B1"/>
    <w:rsid w:val="00482F6A"/>
    <w:rsid w:val="0048330E"/>
    <w:rsid w:val="00483387"/>
    <w:rsid w:val="00483AA2"/>
    <w:rsid w:val="00483D72"/>
    <w:rsid w:val="00483EAB"/>
    <w:rsid w:val="00484063"/>
    <w:rsid w:val="0048494A"/>
    <w:rsid w:val="00484CF5"/>
    <w:rsid w:val="00484D16"/>
    <w:rsid w:val="00484EA0"/>
    <w:rsid w:val="00484FF0"/>
    <w:rsid w:val="00485213"/>
    <w:rsid w:val="0048567D"/>
    <w:rsid w:val="004856B0"/>
    <w:rsid w:val="00485C7B"/>
    <w:rsid w:val="00485C98"/>
    <w:rsid w:val="004861D2"/>
    <w:rsid w:val="004861EC"/>
    <w:rsid w:val="00486B09"/>
    <w:rsid w:val="00486FF7"/>
    <w:rsid w:val="004870CA"/>
    <w:rsid w:val="00487152"/>
    <w:rsid w:val="004871B1"/>
    <w:rsid w:val="004873BF"/>
    <w:rsid w:val="004877A0"/>
    <w:rsid w:val="00487B9A"/>
    <w:rsid w:val="00487D80"/>
    <w:rsid w:val="00487EFF"/>
    <w:rsid w:val="0049015F"/>
    <w:rsid w:val="0049019E"/>
    <w:rsid w:val="004902D2"/>
    <w:rsid w:val="00490465"/>
    <w:rsid w:val="00490A25"/>
    <w:rsid w:val="00490C69"/>
    <w:rsid w:val="00491033"/>
    <w:rsid w:val="004910A3"/>
    <w:rsid w:val="00491B84"/>
    <w:rsid w:val="00491C6D"/>
    <w:rsid w:val="00492142"/>
    <w:rsid w:val="004922A0"/>
    <w:rsid w:val="004923D7"/>
    <w:rsid w:val="0049278F"/>
    <w:rsid w:val="004928F7"/>
    <w:rsid w:val="00492972"/>
    <w:rsid w:val="00492D7F"/>
    <w:rsid w:val="00492E7C"/>
    <w:rsid w:val="00492FA7"/>
    <w:rsid w:val="00493254"/>
    <w:rsid w:val="00493446"/>
    <w:rsid w:val="004934BF"/>
    <w:rsid w:val="00493625"/>
    <w:rsid w:val="004938FB"/>
    <w:rsid w:val="0049455F"/>
    <w:rsid w:val="00494803"/>
    <w:rsid w:val="004949C3"/>
    <w:rsid w:val="00494C94"/>
    <w:rsid w:val="0049551E"/>
    <w:rsid w:val="00495677"/>
    <w:rsid w:val="0049593B"/>
    <w:rsid w:val="00495DB0"/>
    <w:rsid w:val="00495DD4"/>
    <w:rsid w:val="00495E56"/>
    <w:rsid w:val="0049602B"/>
    <w:rsid w:val="004962AF"/>
    <w:rsid w:val="004962D0"/>
    <w:rsid w:val="00496388"/>
    <w:rsid w:val="00496393"/>
    <w:rsid w:val="004963B5"/>
    <w:rsid w:val="0049669F"/>
    <w:rsid w:val="00496FCA"/>
    <w:rsid w:val="004970A6"/>
    <w:rsid w:val="00497314"/>
    <w:rsid w:val="004974A3"/>
    <w:rsid w:val="00497635"/>
    <w:rsid w:val="00497774"/>
    <w:rsid w:val="004979CE"/>
    <w:rsid w:val="00497BD5"/>
    <w:rsid w:val="004A08A1"/>
    <w:rsid w:val="004A0EAD"/>
    <w:rsid w:val="004A0EAE"/>
    <w:rsid w:val="004A112F"/>
    <w:rsid w:val="004A1213"/>
    <w:rsid w:val="004A13BC"/>
    <w:rsid w:val="004A18EC"/>
    <w:rsid w:val="004A1BE4"/>
    <w:rsid w:val="004A1D6D"/>
    <w:rsid w:val="004A1DF6"/>
    <w:rsid w:val="004A209D"/>
    <w:rsid w:val="004A215C"/>
    <w:rsid w:val="004A29C1"/>
    <w:rsid w:val="004A2A00"/>
    <w:rsid w:val="004A2DB0"/>
    <w:rsid w:val="004A2F51"/>
    <w:rsid w:val="004A365A"/>
    <w:rsid w:val="004A37CE"/>
    <w:rsid w:val="004A3D86"/>
    <w:rsid w:val="004A40C8"/>
    <w:rsid w:val="004A419B"/>
    <w:rsid w:val="004A4382"/>
    <w:rsid w:val="004A4522"/>
    <w:rsid w:val="004A466A"/>
    <w:rsid w:val="004A4680"/>
    <w:rsid w:val="004A4A33"/>
    <w:rsid w:val="004A4BDC"/>
    <w:rsid w:val="004A4C79"/>
    <w:rsid w:val="004A5284"/>
    <w:rsid w:val="004A52EB"/>
    <w:rsid w:val="004A53D2"/>
    <w:rsid w:val="004A53E2"/>
    <w:rsid w:val="004A54B0"/>
    <w:rsid w:val="004A5534"/>
    <w:rsid w:val="004A56EC"/>
    <w:rsid w:val="004A57C5"/>
    <w:rsid w:val="004A60F3"/>
    <w:rsid w:val="004A681F"/>
    <w:rsid w:val="004A72D9"/>
    <w:rsid w:val="004A774B"/>
    <w:rsid w:val="004A779C"/>
    <w:rsid w:val="004A7DBA"/>
    <w:rsid w:val="004A7F0E"/>
    <w:rsid w:val="004B0391"/>
    <w:rsid w:val="004B048E"/>
    <w:rsid w:val="004B0991"/>
    <w:rsid w:val="004B0D1E"/>
    <w:rsid w:val="004B0D2B"/>
    <w:rsid w:val="004B13FE"/>
    <w:rsid w:val="004B172E"/>
    <w:rsid w:val="004B17ED"/>
    <w:rsid w:val="004B19D8"/>
    <w:rsid w:val="004B20AD"/>
    <w:rsid w:val="004B26E7"/>
    <w:rsid w:val="004B274C"/>
    <w:rsid w:val="004B2810"/>
    <w:rsid w:val="004B29B2"/>
    <w:rsid w:val="004B2CF2"/>
    <w:rsid w:val="004B2E02"/>
    <w:rsid w:val="004B3257"/>
    <w:rsid w:val="004B3837"/>
    <w:rsid w:val="004B3942"/>
    <w:rsid w:val="004B3DBF"/>
    <w:rsid w:val="004B3EAC"/>
    <w:rsid w:val="004B3F6A"/>
    <w:rsid w:val="004B4124"/>
    <w:rsid w:val="004B41D8"/>
    <w:rsid w:val="004B484F"/>
    <w:rsid w:val="004B4C76"/>
    <w:rsid w:val="004B4CFB"/>
    <w:rsid w:val="004B4E42"/>
    <w:rsid w:val="004B4FC2"/>
    <w:rsid w:val="004B50D7"/>
    <w:rsid w:val="004B5BEF"/>
    <w:rsid w:val="004B5C0E"/>
    <w:rsid w:val="004B5C79"/>
    <w:rsid w:val="004B5C96"/>
    <w:rsid w:val="004B5F58"/>
    <w:rsid w:val="004B5FAC"/>
    <w:rsid w:val="004B6227"/>
    <w:rsid w:val="004B6358"/>
    <w:rsid w:val="004B6882"/>
    <w:rsid w:val="004B6CDB"/>
    <w:rsid w:val="004B6D8E"/>
    <w:rsid w:val="004B708D"/>
    <w:rsid w:val="004B7C2C"/>
    <w:rsid w:val="004B7C7A"/>
    <w:rsid w:val="004B7DEB"/>
    <w:rsid w:val="004B7E41"/>
    <w:rsid w:val="004B7ED7"/>
    <w:rsid w:val="004C0122"/>
    <w:rsid w:val="004C02F0"/>
    <w:rsid w:val="004C0912"/>
    <w:rsid w:val="004C0C01"/>
    <w:rsid w:val="004C1A0D"/>
    <w:rsid w:val="004C1A99"/>
    <w:rsid w:val="004C1AC4"/>
    <w:rsid w:val="004C1B3F"/>
    <w:rsid w:val="004C1D50"/>
    <w:rsid w:val="004C1E42"/>
    <w:rsid w:val="004C23DE"/>
    <w:rsid w:val="004C2E8D"/>
    <w:rsid w:val="004C32B1"/>
    <w:rsid w:val="004C393F"/>
    <w:rsid w:val="004C41DD"/>
    <w:rsid w:val="004C42C4"/>
    <w:rsid w:val="004C4355"/>
    <w:rsid w:val="004C4700"/>
    <w:rsid w:val="004C4A6C"/>
    <w:rsid w:val="004C4CE7"/>
    <w:rsid w:val="004C5927"/>
    <w:rsid w:val="004C59A3"/>
    <w:rsid w:val="004C5A33"/>
    <w:rsid w:val="004C5A7D"/>
    <w:rsid w:val="004C66A4"/>
    <w:rsid w:val="004C688C"/>
    <w:rsid w:val="004C6961"/>
    <w:rsid w:val="004C69A2"/>
    <w:rsid w:val="004C7003"/>
    <w:rsid w:val="004C7412"/>
    <w:rsid w:val="004C78F5"/>
    <w:rsid w:val="004D0127"/>
    <w:rsid w:val="004D034D"/>
    <w:rsid w:val="004D044D"/>
    <w:rsid w:val="004D0C42"/>
    <w:rsid w:val="004D0D23"/>
    <w:rsid w:val="004D0E31"/>
    <w:rsid w:val="004D10F5"/>
    <w:rsid w:val="004D125E"/>
    <w:rsid w:val="004D127C"/>
    <w:rsid w:val="004D1404"/>
    <w:rsid w:val="004D18A1"/>
    <w:rsid w:val="004D18EB"/>
    <w:rsid w:val="004D1913"/>
    <w:rsid w:val="004D193C"/>
    <w:rsid w:val="004D19BA"/>
    <w:rsid w:val="004D19C5"/>
    <w:rsid w:val="004D2111"/>
    <w:rsid w:val="004D2862"/>
    <w:rsid w:val="004D2A6E"/>
    <w:rsid w:val="004D2AB3"/>
    <w:rsid w:val="004D2B30"/>
    <w:rsid w:val="004D2FAB"/>
    <w:rsid w:val="004D3384"/>
    <w:rsid w:val="004D36B0"/>
    <w:rsid w:val="004D382A"/>
    <w:rsid w:val="004D38B4"/>
    <w:rsid w:val="004D3ABB"/>
    <w:rsid w:val="004D4025"/>
    <w:rsid w:val="004D412E"/>
    <w:rsid w:val="004D4472"/>
    <w:rsid w:val="004D4912"/>
    <w:rsid w:val="004D4BBB"/>
    <w:rsid w:val="004D4CB9"/>
    <w:rsid w:val="004D4F87"/>
    <w:rsid w:val="004D509B"/>
    <w:rsid w:val="004D514B"/>
    <w:rsid w:val="004D5AA0"/>
    <w:rsid w:val="004D5B42"/>
    <w:rsid w:val="004D5CB0"/>
    <w:rsid w:val="004D5CB4"/>
    <w:rsid w:val="004D6014"/>
    <w:rsid w:val="004D6486"/>
    <w:rsid w:val="004D65AF"/>
    <w:rsid w:val="004D6637"/>
    <w:rsid w:val="004D682D"/>
    <w:rsid w:val="004D6B41"/>
    <w:rsid w:val="004D700C"/>
    <w:rsid w:val="004D733F"/>
    <w:rsid w:val="004D73EC"/>
    <w:rsid w:val="004D76F7"/>
    <w:rsid w:val="004D7EBE"/>
    <w:rsid w:val="004D7FC0"/>
    <w:rsid w:val="004E00E7"/>
    <w:rsid w:val="004E0535"/>
    <w:rsid w:val="004E07A4"/>
    <w:rsid w:val="004E11DE"/>
    <w:rsid w:val="004E121C"/>
    <w:rsid w:val="004E1363"/>
    <w:rsid w:val="004E1659"/>
    <w:rsid w:val="004E1974"/>
    <w:rsid w:val="004E1A74"/>
    <w:rsid w:val="004E1C60"/>
    <w:rsid w:val="004E24AB"/>
    <w:rsid w:val="004E24C1"/>
    <w:rsid w:val="004E2923"/>
    <w:rsid w:val="004E2F2C"/>
    <w:rsid w:val="004E3156"/>
    <w:rsid w:val="004E336D"/>
    <w:rsid w:val="004E33F2"/>
    <w:rsid w:val="004E3562"/>
    <w:rsid w:val="004E384F"/>
    <w:rsid w:val="004E3BD2"/>
    <w:rsid w:val="004E4A12"/>
    <w:rsid w:val="004E4BDB"/>
    <w:rsid w:val="004E4E20"/>
    <w:rsid w:val="004E4F16"/>
    <w:rsid w:val="004E53A3"/>
    <w:rsid w:val="004E57F2"/>
    <w:rsid w:val="004E5ADE"/>
    <w:rsid w:val="004E5C1D"/>
    <w:rsid w:val="004E5F1C"/>
    <w:rsid w:val="004E61FC"/>
    <w:rsid w:val="004E666B"/>
    <w:rsid w:val="004E6ADC"/>
    <w:rsid w:val="004E6CA5"/>
    <w:rsid w:val="004E6DA6"/>
    <w:rsid w:val="004E6DE4"/>
    <w:rsid w:val="004E71B7"/>
    <w:rsid w:val="004E725B"/>
    <w:rsid w:val="004E78AF"/>
    <w:rsid w:val="004E7F1E"/>
    <w:rsid w:val="004F0454"/>
    <w:rsid w:val="004F053D"/>
    <w:rsid w:val="004F056B"/>
    <w:rsid w:val="004F0742"/>
    <w:rsid w:val="004F0B27"/>
    <w:rsid w:val="004F0D26"/>
    <w:rsid w:val="004F0E55"/>
    <w:rsid w:val="004F0F8E"/>
    <w:rsid w:val="004F110E"/>
    <w:rsid w:val="004F1621"/>
    <w:rsid w:val="004F172E"/>
    <w:rsid w:val="004F17EE"/>
    <w:rsid w:val="004F1C01"/>
    <w:rsid w:val="004F1C4C"/>
    <w:rsid w:val="004F1F9E"/>
    <w:rsid w:val="004F1FFA"/>
    <w:rsid w:val="004F226B"/>
    <w:rsid w:val="004F28E6"/>
    <w:rsid w:val="004F2D3A"/>
    <w:rsid w:val="004F2F58"/>
    <w:rsid w:val="004F34C2"/>
    <w:rsid w:val="004F39C1"/>
    <w:rsid w:val="004F3D90"/>
    <w:rsid w:val="004F40FD"/>
    <w:rsid w:val="004F4E25"/>
    <w:rsid w:val="004F4F4A"/>
    <w:rsid w:val="004F5286"/>
    <w:rsid w:val="004F5836"/>
    <w:rsid w:val="004F5AB7"/>
    <w:rsid w:val="004F6290"/>
    <w:rsid w:val="004F6404"/>
    <w:rsid w:val="004F7019"/>
    <w:rsid w:val="004F70B4"/>
    <w:rsid w:val="004F74B4"/>
    <w:rsid w:val="004F7561"/>
    <w:rsid w:val="004F7AD6"/>
    <w:rsid w:val="004F7E73"/>
    <w:rsid w:val="00500104"/>
    <w:rsid w:val="00500B15"/>
    <w:rsid w:val="00501822"/>
    <w:rsid w:val="0050195D"/>
    <w:rsid w:val="00501AF9"/>
    <w:rsid w:val="00501BAC"/>
    <w:rsid w:val="00501BDF"/>
    <w:rsid w:val="00501C63"/>
    <w:rsid w:val="00501D23"/>
    <w:rsid w:val="00501E29"/>
    <w:rsid w:val="00502056"/>
    <w:rsid w:val="00502372"/>
    <w:rsid w:val="00502964"/>
    <w:rsid w:val="00502B5C"/>
    <w:rsid w:val="00502E5D"/>
    <w:rsid w:val="00502F8E"/>
    <w:rsid w:val="00503109"/>
    <w:rsid w:val="0050341A"/>
    <w:rsid w:val="005034FC"/>
    <w:rsid w:val="005035CA"/>
    <w:rsid w:val="00503608"/>
    <w:rsid w:val="005036DD"/>
    <w:rsid w:val="00503B01"/>
    <w:rsid w:val="00503CEC"/>
    <w:rsid w:val="00504369"/>
    <w:rsid w:val="00504B1E"/>
    <w:rsid w:val="00504BF4"/>
    <w:rsid w:val="00505010"/>
    <w:rsid w:val="005053FC"/>
    <w:rsid w:val="00505746"/>
    <w:rsid w:val="00505FA3"/>
    <w:rsid w:val="00506358"/>
    <w:rsid w:val="00506384"/>
    <w:rsid w:val="00506567"/>
    <w:rsid w:val="00506DFC"/>
    <w:rsid w:val="005071FC"/>
    <w:rsid w:val="00507328"/>
    <w:rsid w:val="0050734A"/>
    <w:rsid w:val="00507471"/>
    <w:rsid w:val="005076AD"/>
    <w:rsid w:val="00507AD2"/>
    <w:rsid w:val="0051026F"/>
    <w:rsid w:val="005104EF"/>
    <w:rsid w:val="005105C0"/>
    <w:rsid w:val="00510A87"/>
    <w:rsid w:val="00510BAA"/>
    <w:rsid w:val="0051160B"/>
    <w:rsid w:val="00511884"/>
    <w:rsid w:val="005118D2"/>
    <w:rsid w:val="00511B43"/>
    <w:rsid w:val="00511C37"/>
    <w:rsid w:val="00511ED6"/>
    <w:rsid w:val="00512119"/>
    <w:rsid w:val="00512310"/>
    <w:rsid w:val="00512C74"/>
    <w:rsid w:val="00512DC9"/>
    <w:rsid w:val="00513058"/>
    <w:rsid w:val="005131B8"/>
    <w:rsid w:val="005132A9"/>
    <w:rsid w:val="00513655"/>
    <w:rsid w:val="00513E16"/>
    <w:rsid w:val="00514624"/>
    <w:rsid w:val="00514625"/>
    <w:rsid w:val="00514EC3"/>
    <w:rsid w:val="00514FC4"/>
    <w:rsid w:val="0051577E"/>
    <w:rsid w:val="00515992"/>
    <w:rsid w:val="00515B41"/>
    <w:rsid w:val="00515DF0"/>
    <w:rsid w:val="005163A4"/>
    <w:rsid w:val="00516643"/>
    <w:rsid w:val="00516735"/>
    <w:rsid w:val="005168E8"/>
    <w:rsid w:val="00516ACC"/>
    <w:rsid w:val="00516AD0"/>
    <w:rsid w:val="00516B5D"/>
    <w:rsid w:val="0051720A"/>
    <w:rsid w:val="0051741E"/>
    <w:rsid w:val="00517737"/>
    <w:rsid w:val="00517771"/>
    <w:rsid w:val="00517BB6"/>
    <w:rsid w:val="00517CEA"/>
    <w:rsid w:val="00517E86"/>
    <w:rsid w:val="00517EC4"/>
    <w:rsid w:val="00517FE9"/>
    <w:rsid w:val="00520070"/>
    <w:rsid w:val="005206B2"/>
    <w:rsid w:val="00520840"/>
    <w:rsid w:val="005208DC"/>
    <w:rsid w:val="00520DCD"/>
    <w:rsid w:val="00521145"/>
    <w:rsid w:val="005216AC"/>
    <w:rsid w:val="00521AD0"/>
    <w:rsid w:val="00521BFE"/>
    <w:rsid w:val="00521C8A"/>
    <w:rsid w:val="00521FB6"/>
    <w:rsid w:val="00521FD9"/>
    <w:rsid w:val="00522506"/>
    <w:rsid w:val="0052290A"/>
    <w:rsid w:val="00522925"/>
    <w:rsid w:val="00522D5F"/>
    <w:rsid w:val="00522FEE"/>
    <w:rsid w:val="005233BB"/>
    <w:rsid w:val="00523640"/>
    <w:rsid w:val="00523A1E"/>
    <w:rsid w:val="0052462F"/>
    <w:rsid w:val="00524793"/>
    <w:rsid w:val="00524CC5"/>
    <w:rsid w:val="0052510B"/>
    <w:rsid w:val="0052515D"/>
    <w:rsid w:val="0052528C"/>
    <w:rsid w:val="00525393"/>
    <w:rsid w:val="00525FC4"/>
    <w:rsid w:val="00526303"/>
    <w:rsid w:val="0052678E"/>
    <w:rsid w:val="005268F2"/>
    <w:rsid w:val="005269B7"/>
    <w:rsid w:val="005269E9"/>
    <w:rsid w:val="005271AC"/>
    <w:rsid w:val="00527441"/>
    <w:rsid w:val="0052752C"/>
    <w:rsid w:val="00527594"/>
    <w:rsid w:val="00527704"/>
    <w:rsid w:val="0052776B"/>
    <w:rsid w:val="005278BA"/>
    <w:rsid w:val="00527975"/>
    <w:rsid w:val="00527A15"/>
    <w:rsid w:val="00527A21"/>
    <w:rsid w:val="00527AD4"/>
    <w:rsid w:val="00527F61"/>
    <w:rsid w:val="00527FBE"/>
    <w:rsid w:val="0053029D"/>
    <w:rsid w:val="00530507"/>
    <w:rsid w:val="0053084F"/>
    <w:rsid w:val="00531019"/>
    <w:rsid w:val="005315B4"/>
    <w:rsid w:val="0053170F"/>
    <w:rsid w:val="00531A08"/>
    <w:rsid w:val="00531A0C"/>
    <w:rsid w:val="00531C70"/>
    <w:rsid w:val="00531F17"/>
    <w:rsid w:val="00531F69"/>
    <w:rsid w:val="0053249A"/>
    <w:rsid w:val="005325FB"/>
    <w:rsid w:val="00532E78"/>
    <w:rsid w:val="00532F4F"/>
    <w:rsid w:val="00533246"/>
    <w:rsid w:val="0053377C"/>
    <w:rsid w:val="0053393D"/>
    <w:rsid w:val="00533A88"/>
    <w:rsid w:val="00533BB5"/>
    <w:rsid w:val="00533FD4"/>
    <w:rsid w:val="0053427F"/>
    <w:rsid w:val="0053466A"/>
    <w:rsid w:val="00534A54"/>
    <w:rsid w:val="00534D1D"/>
    <w:rsid w:val="00534FBC"/>
    <w:rsid w:val="005352B5"/>
    <w:rsid w:val="00535509"/>
    <w:rsid w:val="005359D9"/>
    <w:rsid w:val="00535A48"/>
    <w:rsid w:val="00535B73"/>
    <w:rsid w:val="00535C28"/>
    <w:rsid w:val="00535DD6"/>
    <w:rsid w:val="00535F30"/>
    <w:rsid w:val="00536877"/>
    <w:rsid w:val="00536884"/>
    <w:rsid w:val="00536B3B"/>
    <w:rsid w:val="00536BD0"/>
    <w:rsid w:val="00536E19"/>
    <w:rsid w:val="00536ECD"/>
    <w:rsid w:val="00536F26"/>
    <w:rsid w:val="00537259"/>
    <w:rsid w:val="005374B5"/>
    <w:rsid w:val="005375DF"/>
    <w:rsid w:val="0053783A"/>
    <w:rsid w:val="00537A83"/>
    <w:rsid w:val="00537AF6"/>
    <w:rsid w:val="00537D6B"/>
    <w:rsid w:val="0054090F"/>
    <w:rsid w:val="00540925"/>
    <w:rsid w:val="00540AD6"/>
    <w:rsid w:val="00540B38"/>
    <w:rsid w:val="00540EFE"/>
    <w:rsid w:val="00541012"/>
    <w:rsid w:val="00541125"/>
    <w:rsid w:val="005411DD"/>
    <w:rsid w:val="005413F0"/>
    <w:rsid w:val="00541403"/>
    <w:rsid w:val="00541406"/>
    <w:rsid w:val="0054146D"/>
    <w:rsid w:val="00541786"/>
    <w:rsid w:val="005418DF"/>
    <w:rsid w:val="0054264B"/>
    <w:rsid w:val="005427B1"/>
    <w:rsid w:val="00542841"/>
    <w:rsid w:val="005428F4"/>
    <w:rsid w:val="00542DF4"/>
    <w:rsid w:val="00543273"/>
    <w:rsid w:val="005432EB"/>
    <w:rsid w:val="0054344B"/>
    <w:rsid w:val="0054361F"/>
    <w:rsid w:val="00543652"/>
    <w:rsid w:val="00543665"/>
    <w:rsid w:val="005438DA"/>
    <w:rsid w:val="00543980"/>
    <w:rsid w:val="00543D8C"/>
    <w:rsid w:val="0054435A"/>
    <w:rsid w:val="005443DA"/>
    <w:rsid w:val="0054488B"/>
    <w:rsid w:val="0054495B"/>
    <w:rsid w:val="005449E7"/>
    <w:rsid w:val="00544B96"/>
    <w:rsid w:val="00544BBC"/>
    <w:rsid w:val="00544D2E"/>
    <w:rsid w:val="00544FA8"/>
    <w:rsid w:val="005453B5"/>
    <w:rsid w:val="00545554"/>
    <w:rsid w:val="00545558"/>
    <w:rsid w:val="00545566"/>
    <w:rsid w:val="005455E8"/>
    <w:rsid w:val="0054560C"/>
    <w:rsid w:val="00545664"/>
    <w:rsid w:val="00545671"/>
    <w:rsid w:val="005456C7"/>
    <w:rsid w:val="00545AE2"/>
    <w:rsid w:val="00545CC1"/>
    <w:rsid w:val="00545D4B"/>
    <w:rsid w:val="00545E8A"/>
    <w:rsid w:val="0054632F"/>
    <w:rsid w:val="00546A9D"/>
    <w:rsid w:val="00546DAA"/>
    <w:rsid w:val="00546E4E"/>
    <w:rsid w:val="00546ECD"/>
    <w:rsid w:val="0054701C"/>
    <w:rsid w:val="00547A80"/>
    <w:rsid w:val="00547BD9"/>
    <w:rsid w:val="00547FB3"/>
    <w:rsid w:val="0055033D"/>
    <w:rsid w:val="0055094C"/>
    <w:rsid w:val="005509D9"/>
    <w:rsid w:val="00550D58"/>
    <w:rsid w:val="00551079"/>
    <w:rsid w:val="005515DF"/>
    <w:rsid w:val="00551B94"/>
    <w:rsid w:val="00551F72"/>
    <w:rsid w:val="00552165"/>
    <w:rsid w:val="00552218"/>
    <w:rsid w:val="00552A9A"/>
    <w:rsid w:val="00552C66"/>
    <w:rsid w:val="00552EA6"/>
    <w:rsid w:val="00552F3A"/>
    <w:rsid w:val="00552FFF"/>
    <w:rsid w:val="00553096"/>
    <w:rsid w:val="00553296"/>
    <w:rsid w:val="005536F7"/>
    <w:rsid w:val="00553829"/>
    <w:rsid w:val="00553B9A"/>
    <w:rsid w:val="00553EE7"/>
    <w:rsid w:val="00553F04"/>
    <w:rsid w:val="0055490C"/>
    <w:rsid w:val="00554BF1"/>
    <w:rsid w:val="00554E62"/>
    <w:rsid w:val="00554E84"/>
    <w:rsid w:val="0055555E"/>
    <w:rsid w:val="0055556D"/>
    <w:rsid w:val="00555740"/>
    <w:rsid w:val="00555A1D"/>
    <w:rsid w:val="00555B0A"/>
    <w:rsid w:val="00555CE0"/>
    <w:rsid w:val="00555F00"/>
    <w:rsid w:val="0055632E"/>
    <w:rsid w:val="0055668A"/>
    <w:rsid w:val="00556F6B"/>
    <w:rsid w:val="0055740A"/>
    <w:rsid w:val="00557826"/>
    <w:rsid w:val="005578D6"/>
    <w:rsid w:val="00557B71"/>
    <w:rsid w:val="00557F44"/>
    <w:rsid w:val="0056014A"/>
    <w:rsid w:val="00560421"/>
    <w:rsid w:val="005605DA"/>
    <w:rsid w:val="005606A8"/>
    <w:rsid w:val="00560ADC"/>
    <w:rsid w:val="00560EA3"/>
    <w:rsid w:val="00561266"/>
    <w:rsid w:val="0056184E"/>
    <w:rsid w:val="005620CA"/>
    <w:rsid w:val="00562CE1"/>
    <w:rsid w:val="00563658"/>
    <w:rsid w:val="00563689"/>
    <w:rsid w:val="005649C5"/>
    <w:rsid w:val="00564A4F"/>
    <w:rsid w:val="0056560A"/>
    <w:rsid w:val="00566302"/>
    <w:rsid w:val="005663C0"/>
    <w:rsid w:val="005663D7"/>
    <w:rsid w:val="005669C7"/>
    <w:rsid w:val="00566A4B"/>
    <w:rsid w:val="00566A67"/>
    <w:rsid w:val="00566A9F"/>
    <w:rsid w:val="00567086"/>
    <w:rsid w:val="005670D2"/>
    <w:rsid w:val="005676FB"/>
    <w:rsid w:val="005677F7"/>
    <w:rsid w:val="00567D2C"/>
    <w:rsid w:val="00567DE5"/>
    <w:rsid w:val="00567E02"/>
    <w:rsid w:val="00567EC0"/>
    <w:rsid w:val="0057006F"/>
    <w:rsid w:val="005706CB"/>
    <w:rsid w:val="00570731"/>
    <w:rsid w:val="0057079C"/>
    <w:rsid w:val="005707A6"/>
    <w:rsid w:val="00570D81"/>
    <w:rsid w:val="00570E10"/>
    <w:rsid w:val="00571190"/>
    <w:rsid w:val="00571277"/>
    <w:rsid w:val="005715B3"/>
    <w:rsid w:val="005715D9"/>
    <w:rsid w:val="00571772"/>
    <w:rsid w:val="005717F1"/>
    <w:rsid w:val="00571ACF"/>
    <w:rsid w:val="005720D8"/>
    <w:rsid w:val="005721A0"/>
    <w:rsid w:val="00572205"/>
    <w:rsid w:val="0057257A"/>
    <w:rsid w:val="00572596"/>
    <w:rsid w:val="0057266D"/>
    <w:rsid w:val="00572A32"/>
    <w:rsid w:val="00572DC4"/>
    <w:rsid w:val="00573009"/>
    <w:rsid w:val="005733A4"/>
    <w:rsid w:val="0057346F"/>
    <w:rsid w:val="00573548"/>
    <w:rsid w:val="005736CD"/>
    <w:rsid w:val="00573FD7"/>
    <w:rsid w:val="00573FED"/>
    <w:rsid w:val="0057401F"/>
    <w:rsid w:val="00574149"/>
    <w:rsid w:val="0057431D"/>
    <w:rsid w:val="00574685"/>
    <w:rsid w:val="00574D16"/>
    <w:rsid w:val="00574E0F"/>
    <w:rsid w:val="00574F23"/>
    <w:rsid w:val="00574F76"/>
    <w:rsid w:val="00575001"/>
    <w:rsid w:val="00575B87"/>
    <w:rsid w:val="00575FAF"/>
    <w:rsid w:val="00576080"/>
    <w:rsid w:val="005760BC"/>
    <w:rsid w:val="00576389"/>
    <w:rsid w:val="00576711"/>
    <w:rsid w:val="00576B7E"/>
    <w:rsid w:val="00576C51"/>
    <w:rsid w:val="00576E94"/>
    <w:rsid w:val="00577276"/>
    <w:rsid w:val="005773B8"/>
    <w:rsid w:val="0057750A"/>
    <w:rsid w:val="005779EE"/>
    <w:rsid w:val="00577ACE"/>
    <w:rsid w:val="00577B30"/>
    <w:rsid w:val="00577B44"/>
    <w:rsid w:val="00577DDE"/>
    <w:rsid w:val="005802D8"/>
    <w:rsid w:val="00580409"/>
    <w:rsid w:val="00580425"/>
    <w:rsid w:val="00580445"/>
    <w:rsid w:val="0058099C"/>
    <w:rsid w:val="00580FEC"/>
    <w:rsid w:val="00581418"/>
    <w:rsid w:val="00581691"/>
    <w:rsid w:val="005818BC"/>
    <w:rsid w:val="00581A35"/>
    <w:rsid w:val="00581BB0"/>
    <w:rsid w:val="005822C9"/>
    <w:rsid w:val="005822CA"/>
    <w:rsid w:val="005822D6"/>
    <w:rsid w:val="00582398"/>
    <w:rsid w:val="005825D6"/>
    <w:rsid w:val="005827C5"/>
    <w:rsid w:val="00582DD2"/>
    <w:rsid w:val="0058318D"/>
    <w:rsid w:val="00583224"/>
    <w:rsid w:val="0058338A"/>
    <w:rsid w:val="00583460"/>
    <w:rsid w:val="005839DE"/>
    <w:rsid w:val="00583D33"/>
    <w:rsid w:val="00583EEB"/>
    <w:rsid w:val="00583F04"/>
    <w:rsid w:val="00583F1E"/>
    <w:rsid w:val="00584037"/>
    <w:rsid w:val="005840AE"/>
    <w:rsid w:val="005846B3"/>
    <w:rsid w:val="00584A7E"/>
    <w:rsid w:val="00584B74"/>
    <w:rsid w:val="0058517A"/>
    <w:rsid w:val="0058533B"/>
    <w:rsid w:val="005853D5"/>
    <w:rsid w:val="00585434"/>
    <w:rsid w:val="00585EA4"/>
    <w:rsid w:val="00585F3F"/>
    <w:rsid w:val="00586024"/>
    <w:rsid w:val="00586B29"/>
    <w:rsid w:val="0058707E"/>
    <w:rsid w:val="005870A1"/>
    <w:rsid w:val="005870D6"/>
    <w:rsid w:val="00587A2A"/>
    <w:rsid w:val="0059009A"/>
    <w:rsid w:val="0059019A"/>
    <w:rsid w:val="0059057A"/>
    <w:rsid w:val="0059057B"/>
    <w:rsid w:val="005907D4"/>
    <w:rsid w:val="00590B66"/>
    <w:rsid w:val="00590ECF"/>
    <w:rsid w:val="0059112B"/>
    <w:rsid w:val="00591840"/>
    <w:rsid w:val="005918E9"/>
    <w:rsid w:val="00591B0A"/>
    <w:rsid w:val="00591BAC"/>
    <w:rsid w:val="00591E37"/>
    <w:rsid w:val="00591F4D"/>
    <w:rsid w:val="005922EA"/>
    <w:rsid w:val="0059236F"/>
    <w:rsid w:val="00592698"/>
    <w:rsid w:val="0059270F"/>
    <w:rsid w:val="00592C32"/>
    <w:rsid w:val="00592E2D"/>
    <w:rsid w:val="0059312D"/>
    <w:rsid w:val="00593354"/>
    <w:rsid w:val="005933C2"/>
    <w:rsid w:val="005935DB"/>
    <w:rsid w:val="0059380B"/>
    <w:rsid w:val="005938D3"/>
    <w:rsid w:val="005940ED"/>
    <w:rsid w:val="00594188"/>
    <w:rsid w:val="00594553"/>
    <w:rsid w:val="0059498B"/>
    <w:rsid w:val="00595AEA"/>
    <w:rsid w:val="00595E42"/>
    <w:rsid w:val="00595EDF"/>
    <w:rsid w:val="00596257"/>
    <w:rsid w:val="005964F1"/>
    <w:rsid w:val="0059657C"/>
    <w:rsid w:val="00596689"/>
    <w:rsid w:val="00596985"/>
    <w:rsid w:val="00596A36"/>
    <w:rsid w:val="00596B13"/>
    <w:rsid w:val="00596B2D"/>
    <w:rsid w:val="00596D0C"/>
    <w:rsid w:val="00596FD3"/>
    <w:rsid w:val="00597347"/>
    <w:rsid w:val="0059744B"/>
    <w:rsid w:val="0059765F"/>
    <w:rsid w:val="00597AAB"/>
    <w:rsid w:val="00597F54"/>
    <w:rsid w:val="005A00F0"/>
    <w:rsid w:val="005A01EB"/>
    <w:rsid w:val="005A03FC"/>
    <w:rsid w:val="005A0554"/>
    <w:rsid w:val="005A0B14"/>
    <w:rsid w:val="005A0DA7"/>
    <w:rsid w:val="005A1525"/>
    <w:rsid w:val="005A170E"/>
    <w:rsid w:val="005A1A26"/>
    <w:rsid w:val="005A1B9A"/>
    <w:rsid w:val="005A1BFC"/>
    <w:rsid w:val="005A1E22"/>
    <w:rsid w:val="005A1E8D"/>
    <w:rsid w:val="005A2071"/>
    <w:rsid w:val="005A20AC"/>
    <w:rsid w:val="005A2101"/>
    <w:rsid w:val="005A2431"/>
    <w:rsid w:val="005A2A90"/>
    <w:rsid w:val="005A2BB9"/>
    <w:rsid w:val="005A2F65"/>
    <w:rsid w:val="005A2FE5"/>
    <w:rsid w:val="005A30B5"/>
    <w:rsid w:val="005A3107"/>
    <w:rsid w:val="005A31BB"/>
    <w:rsid w:val="005A34D1"/>
    <w:rsid w:val="005A35BC"/>
    <w:rsid w:val="005A3650"/>
    <w:rsid w:val="005A3970"/>
    <w:rsid w:val="005A3D13"/>
    <w:rsid w:val="005A43E0"/>
    <w:rsid w:val="005A440A"/>
    <w:rsid w:val="005A4452"/>
    <w:rsid w:val="005A486D"/>
    <w:rsid w:val="005A498D"/>
    <w:rsid w:val="005A4CD0"/>
    <w:rsid w:val="005A4E05"/>
    <w:rsid w:val="005A52C0"/>
    <w:rsid w:val="005A5425"/>
    <w:rsid w:val="005A56D2"/>
    <w:rsid w:val="005A5837"/>
    <w:rsid w:val="005A5BB3"/>
    <w:rsid w:val="005A5DA4"/>
    <w:rsid w:val="005A5FFA"/>
    <w:rsid w:val="005A6342"/>
    <w:rsid w:val="005A6390"/>
    <w:rsid w:val="005A68E0"/>
    <w:rsid w:val="005A6A8A"/>
    <w:rsid w:val="005A6C0E"/>
    <w:rsid w:val="005A6E78"/>
    <w:rsid w:val="005A6FD0"/>
    <w:rsid w:val="005A722C"/>
    <w:rsid w:val="005A7DE1"/>
    <w:rsid w:val="005B00A1"/>
    <w:rsid w:val="005B01A0"/>
    <w:rsid w:val="005B048D"/>
    <w:rsid w:val="005B069D"/>
    <w:rsid w:val="005B0825"/>
    <w:rsid w:val="005B08D5"/>
    <w:rsid w:val="005B0A4A"/>
    <w:rsid w:val="005B0BDB"/>
    <w:rsid w:val="005B0C15"/>
    <w:rsid w:val="005B0CD9"/>
    <w:rsid w:val="005B11BC"/>
    <w:rsid w:val="005B15A2"/>
    <w:rsid w:val="005B17EE"/>
    <w:rsid w:val="005B188D"/>
    <w:rsid w:val="005B1F7E"/>
    <w:rsid w:val="005B23BE"/>
    <w:rsid w:val="005B23E4"/>
    <w:rsid w:val="005B2472"/>
    <w:rsid w:val="005B268D"/>
    <w:rsid w:val="005B2A39"/>
    <w:rsid w:val="005B2AD3"/>
    <w:rsid w:val="005B2DCD"/>
    <w:rsid w:val="005B2E34"/>
    <w:rsid w:val="005B328E"/>
    <w:rsid w:val="005B3776"/>
    <w:rsid w:val="005B3D1F"/>
    <w:rsid w:val="005B4883"/>
    <w:rsid w:val="005B4974"/>
    <w:rsid w:val="005B4D74"/>
    <w:rsid w:val="005B4DB8"/>
    <w:rsid w:val="005B4E79"/>
    <w:rsid w:val="005B5180"/>
    <w:rsid w:val="005B5244"/>
    <w:rsid w:val="005B57B9"/>
    <w:rsid w:val="005B5A24"/>
    <w:rsid w:val="005B5E6A"/>
    <w:rsid w:val="005B6C99"/>
    <w:rsid w:val="005B7ABE"/>
    <w:rsid w:val="005B7C59"/>
    <w:rsid w:val="005C0256"/>
    <w:rsid w:val="005C055F"/>
    <w:rsid w:val="005C083F"/>
    <w:rsid w:val="005C0872"/>
    <w:rsid w:val="005C0889"/>
    <w:rsid w:val="005C0992"/>
    <w:rsid w:val="005C0BC7"/>
    <w:rsid w:val="005C0EFD"/>
    <w:rsid w:val="005C1183"/>
    <w:rsid w:val="005C1700"/>
    <w:rsid w:val="005C172F"/>
    <w:rsid w:val="005C19AA"/>
    <w:rsid w:val="005C20E9"/>
    <w:rsid w:val="005C270E"/>
    <w:rsid w:val="005C2803"/>
    <w:rsid w:val="005C28E5"/>
    <w:rsid w:val="005C2A5A"/>
    <w:rsid w:val="005C2B6C"/>
    <w:rsid w:val="005C30CC"/>
    <w:rsid w:val="005C3392"/>
    <w:rsid w:val="005C34E9"/>
    <w:rsid w:val="005C3890"/>
    <w:rsid w:val="005C3945"/>
    <w:rsid w:val="005C3CA6"/>
    <w:rsid w:val="005C425E"/>
    <w:rsid w:val="005C4B5E"/>
    <w:rsid w:val="005C4FBB"/>
    <w:rsid w:val="005C5C7A"/>
    <w:rsid w:val="005C63DC"/>
    <w:rsid w:val="005C6436"/>
    <w:rsid w:val="005C69C1"/>
    <w:rsid w:val="005C6B7C"/>
    <w:rsid w:val="005C6B86"/>
    <w:rsid w:val="005C6BB0"/>
    <w:rsid w:val="005C75D1"/>
    <w:rsid w:val="005C7675"/>
    <w:rsid w:val="005C7A3B"/>
    <w:rsid w:val="005C7E48"/>
    <w:rsid w:val="005D01BB"/>
    <w:rsid w:val="005D0374"/>
    <w:rsid w:val="005D0506"/>
    <w:rsid w:val="005D0913"/>
    <w:rsid w:val="005D0CB6"/>
    <w:rsid w:val="005D1228"/>
    <w:rsid w:val="005D1418"/>
    <w:rsid w:val="005D179F"/>
    <w:rsid w:val="005D18EC"/>
    <w:rsid w:val="005D1F2F"/>
    <w:rsid w:val="005D2713"/>
    <w:rsid w:val="005D2938"/>
    <w:rsid w:val="005D299A"/>
    <w:rsid w:val="005D2DD9"/>
    <w:rsid w:val="005D31D4"/>
    <w:rsid w:val="005D3333"/>
    <w:rsid w:val="005D34C4"/>
    <w:rsid w:val="005D358F"/>
    <w:rsid w:val="005D360D"/>
    <w:rsid w:val="005D3D87"/>
    <w:rsid w:val="005D3ECC"/>
    <w:rsid w:val="005D43A4"/>
    <w:rsid w:val="005D44FA"/>
    <w:rsid w:val="005D4B09"/>
    <w:rsid w:val="005D4B2B"/>
    <w:rsid w:val="005D4C46"/>
    <w:rsid w:val="005D4E7A"/>
    <w:rsid w:val="005D50C9"/>
    <w:rsid w:val="005D5201"/>
    <w:rsid w:val="005D5237"/>
    <w:rsid w:val="005D5868"/>
    <w:rsid w:val="005D58ED"/>
    <w:rsid w:val="005D5A8E"/>
    <w:rsid w:val="005D5F95"/>
    <w:rsid w:val="005D62F2"/>
    <w:rsid w:val="005D6435"/>
    <w:rsid w:val="005D65BE"/>
    <w:rsid w:val="005D67A0"/>
    <w:rsid w:val="005D6A4D"/>
    <w:rsid w:val="005D6B29"/>
    <w:rsid w:val="005D6DE2"/>
    <w:rsid w:val="005D6E31"/>
    <w:rsid w:val="005D754D"/>
    <w:rsid w:val="005D7861"/>
    <w:rsid w:val="005D7B72"/>
    <w:rsid w:val="005D7DAB"/>
    <w:rsid w:val="005D7EF8"/>
    <w:rsid w:val="005E045B"/>
    <w:rsid w:val="005E047A"/>
    <w:rsid w:val="005E08A4"/>
    <w:rsid w:val="005E08AA"/>
    <w:rsid w:val="005E0C12"/>
    <w:rsid w:val="005E0E51"/>
    <w:rsid w:val="005E0FC1"/>
    <w:rsid w:val="005E10C7"/>
    <w:rsid w:val="005E1261"/>
    <w:rsid w:val="005E12A7"/>
    <w:rsid w:val="005E13BE"/>
    <w:rsid w:val="005E1677"/>
    <w:rsid w:val="005E1B0C"/>
    <w:rsid w:val="005E2246"/>
    <w:rsid w:val="005E2604"/>
    <w:rsid w:val="005E2914"/>
    <w:rsid w:val="005E2D54"/>
    <w:rsid w:val="005E2F57"/>
    <w:rsid w:val="005E3269"/>
    <w:rsid w:val="005E389D"/>
    <w:rsid w:val="005E39C2"/>
    <w:rsid w:val="005E3A9A"/>
    <w:rsid w:val="005E3DDC"/>
    <w:rsid w:val="005E404D"/>
    <w:rsid w:val="005E4186"/>
    <w:rsid w:val="005E46F5"/>
    <w:rsid w:val="005E4850"/>
    <w:rsid w:val="005E4919"/>
    <w:rsid w:val="005E4D48"/>
    <w:rsid w:val="005E4E4B"/>
    <w:rsid w:val="005E50F3"/>
    <w:rsid w:val="005E52CF"/>
    <w:rsid w:val="005E5353"/>
    <w:rsid w:val="005E5473"/>
    <w:rsid w:val="005E5519"/>
    <w:rsid w:val="005E5A95"/>
    <w:rsid w:val="005E5C8F"/>
    <w:rsid w:val="005E5E82"/>
    <w:rsid w:val="005E5F8A"/>
    <w:rsid w:val="005E664F"/>
    <w:rsid w:val="005E67CE"/>
    <w:rsid w:val="005E6E8D"/>
    <w:rsid w:val="005E7CE4"/>
    <w:rsid w:val="005E7D73"/>
    <w:rsid w:val="005E7F38"/>
    <w:rsid w:val="005F0075"/>
    <w:rsid w:val="005F01D3"/>
    <w:rsid w:val="005F02F6"/>
    <w:rsid w:val="005F0480"/>
    <w:rsid w:val="005F057D"/>
    <w:rsid w:val="005F0937"/>
    <w:rsid w:val="005F0951"/>
    <w:rsid w:val="005F0B40"/>
    <w:rsid w:val="005F0BFC"/>
    <w:rsid w:val="005F0E2D"/>
    <w:rsid w:val="005F0E3B"/>
    <w:rsid w:val="005F1625"/>
    <w:rsid w:val="005F17C2"/>
    <w:rsid w:val="005F17D4"/>
    <w:rsid w:val="005F1C41"/>
    <w:rsid w:val="005F1D7A"/>
    <w:rsid w:val="005F1D9D"/>
    <w:rsid w:val="005F1EC5"/>
    <w:rsid w:val="005F25D6"/>
    <w:rsid w:val="005F2896"/>
    <w:rsid w:val="005F2D94"/>
    <w:rsid w:val="005F2FDD"/>
    <w:rsid w:val="005F320D"/>
    <w:rsid w:val="005F3512"/>
    <w:rsid w:val="005F37B4"/>
    <w:rsid w:val="005F3CDF"/>
    <w:rsid w:val="005F3D18"/>
    <w:rsid w:val="005F3E49"/>
    <w:rsid w:val="005F3EDE"/>
    <w:rsid w:val="005F421D"/>
    <w:rsid w:val="005F431B"/>
    <w:rsid w:val="005F43DA"/>
    <w:rsid w:val="005F4A2F"/>
    <w:rsid w:val="005F4B8A"/>
    <w:rsid w:val="005F4D0E"/>
    <w:rsid w:val="005F4D50"/>
    <w:rsid w:val="005F5167"/>
    <w:rsid w:val="005F536C"/>
    <w:rsid w:val="005F53C5"/>
    <w:rsid w:val="005F595C"/>
    <w:rsid w:val="005F5BD8"/>
    <w:rsid w:val="005F5C2D"/>
    <w:rsid w:val="005F5D85"/>
    <w:rsid w:val="005F5F76"/>
    <w:rsid w:val="005F6239"/>
    <w:rsid w:val="005F662C"/>
    <w:rsid w:val="005F66E0"/>
    <w:rsid w:val="005F694B"/>
    <w:rsid w:val="005F6AE8"/>
    <w:rsid w:val="005F6EA9"/>
    <w:rsid w:val="005F722C"/>
    <w:rsid w:val="005F7282"/>
    <w:rsid w:val="005F72CE"/>
    <w:rsid w:val="005F74A6"/>
    <w:rsid w:val="005F74C9"/>
    <w:rsid w:val="005F7527"/>
    <w:rsid w:val="005F7DF1"/>
    <w:rsid w:val="005F7FF5"/>
    <w:rsid w:val="00600376"/>
    <w:rsid w:val="00600572"/>
    <w:rsid w:val="006009E7"/>
    <w:rsid w:val="00600C1D"/>
    <w:rsid w:val="00600C94"/>
    <w:rsid w:val="0060129D"/>
    <w:rsid w:val="00601464"/>
    <w:rsid w:val="0060160A"/>
    <w:rsid w:val="00601622"/>
    <w:rsid w:val="00601876"/>
    <w:rsid w:val="00601921"/>
    <w:rsid w:val="006019AD"/>
    <w:rsid w:val="00601E80"/>
    <w:rsid w:val="00602089"/>
    <w:rsid w:val="006020B3"/>
    <w:rsid w:val="0060264B"/>
    <w:rsid w:val="00602696"/>
    <w:rsid w:val="00602A9B"/>
    <w:rsid w:val="00602ABF"/>
    <w:rsid w:val="00602AFC"/>
    <w:rsid w:val="00602B55"/>
    <w:rsid w:val="00602C48"/>
    <w:rsid w:val="00603052"/>
    <w:rsid w:val="00603E64"/>
    <w:rsid w:val="00603E78"/>
    <w:rsid w:val="0060417A"/>
    <w:rsid w:val="006042F2"/>
    <w:rsid w:val="006043A9"/>
    <w:rsid w:val="0060445E"/>
    <w:rsid w:val="006045E3"/>
    <w:rsid w:val="006046CB"/>
    <w:rsid w:val="00604CC9"/>
    <w:rsid w:val="00604D82"/>
    <w:rsid w:val="00604E86"/>
    <w:rsid w:val="00604EB9"/>
    <w:rsid w:val="00604FB2"/>
    <w:rsid w:val="006050CD"/>
    <w:rsid w:val="006052D3"/>
    <w:rsid w:val="00605DFC"/>
    <w:rsid w:val="006060C0"/>
    <w:rsid w:val="00606154"/>
    <w:rsid w:val="00606490"/>
    <w:rsid w:val="006067E5"/>
    <w:rsid w:val="00606887"/>
    <w:rsid w:val="006068C5"/>
    <w:rsid w:val="00606C4C"/>
    <w:rsid w:val="00606CC8"/>
    <w:rsid w:val="00606E90"/>
    <w:rsid w:val="00606F12"/>
    <w:rsid w:val="00606FAF"/>
    <w:rsid w:val="0060714E"/>
    <w:rsid w:val="0060720C"/>
    <w:rsid w:val="006074C5"/>
    <w:rsid w:val="00607DA4"/>
    <w:rsid w:val="00610475"/>
    <w:rsid w:val="00610899"/>
    <w:rsid w:val="006109C6"/>
    <w:rsid w:val="00610D62"/>
    <w:rsid w:val="006110D7"/>
    <w:rsid w:val="00611127"/>
    <w:rsid w:val="00611297"/>
    <w:rsid w:val="0061138B"/>
    <w:rsid w:val="00611492"/>
    <w:rsid w:val="0061192F"/>
    <w:rsid w:val="00611D6A"/>
    <w:rsid w:val="00611F49"/>
    <w:rsid w:val="00612074"/>
    <w:rsid w:val="00612349"/>
    <w:rsid w:val="006126F9"/>
    <w:rsid w:val="00613212"/>
    <w:rsid w:val="00613646"/>
    <w:rsid w:val="00613717"/>
    <w:rsid w:val="00613B6F"/>
    <w:rsid w:val="00613C8F"/>
    <w:rsid w:val="00613E78"/>
    <w:rsid w:val="006141CF"/>
    <w:rsid w:val="00614220"/>
    <w:rsid w:val="006144C2"/>
    <w:rsid w:val="006146F8"/>
    <w:rsid w:val="006147AF"/>
    <w:rsid w:val="00614B49"/>
    <w:rsid w:val="00615079"/>
    <w:rsid w:val="0061507A"/>
    <w:rsid w:val="00615692"/>
    <w:rsid w:val="00615B3C"/>
    <w:rsid w:val="00615D4B"/>
    <w:rsid w:val="006168A7"/>
    <w:rsid w:val="006203C6"/>
    <w:rsid w:val="00620907"/>
    <w:rsid w:val="006209E6"/>
    <w:rsid w:val="00620AF8"/>
    <w:rsid w:val="00620E80"/>
    <w:rsid w:val="00620F0E"/>
    <w:rsid w:val="006217AE"/>
    <w:rsid w:val="00621BF0"/>
    <w:rsid w:val="00622469"/>
    <w:rsid w:val="00622527"/>
    <w:rsid w:val="00622823"/>
    <w:rsid w:val="00622AF9"/>
    <w:rsid w:val="00623527"/>
    <w:rsid w:val="00623817"/>
    <w:rsid w:val="00623A87"/>
    <w:rsid w:val="00623B37"/>
    <w:rsid w:val="00623B41"/>
    <w:rsid w:val="00623B95"/>
    <w:rsid w:val="00624087"/>
    <w:rsid w:val="006240CC"/>
    <w:rsid w:val="006243DF"/>
    <w:rsid w:val="006246A3"/>
    <w:rsid w:val="00624A4F"/>
    <w:rsid w:val="00624CFA"/>
    <w:rsid w:val="00624F55"/>
    <w:rsid w:val="00624F89"/>
    <w:rsid w:val="00624FA3"/>
    <w:rsid w:val="00625839"/>
    <w:rsid w:val="006259BA"/>
    <w:rsid w:val="00625DE6"/>
    <w:rsid w:val="0062635E"/>
    <w:rsid w:val="0062646E"/>
    <w:rsid w:val="006265A7"/>
    <w:rsid w:val="00626837"/>
    <w:rsid w:val="00626885"/>
    <w:rsid w:val="00626962"/>
    <w:rsid w:val="00627075"/>
    <w:rsid w:val="006270D8"/>
    <w:rsid w:val="006275DE"/>
    <w:rsid w:val="0062777B"/>
    <w:rsid w:val="0062796F"/>
    <w:rsid w:val="0062799B"/>
    <w:rsid w:val="00627A6B"/>
    <w:rsid w:val="00627D27"/>
    <w:rsid w:val="00630035"/>
    <w:rsid w:val="00630067"/>
    <w:rsid w:val="006301EF"/>
    <w:rsid w:val="006302EC"/>
    <w:rsid w:val="00630B65"/>
    <w:rsid w:val="00630BF0"/>
    <w:rsid w:val="00631156"/>
    <w:rsid w:val="006313FF"/>
    <w:rsid w:val="00631537"/>
    <w:rsid w:val="00631A94"/>
    <w:rsid w:val="00631B05"/>
    <w:rsid w:val="0063233A"/>
    <w:rsid w:val="006323A8"/>
    <w:rsid w:val="006324FB"/>
    <w:rsid w:val="00632B93"/>
    <w:rsid w:val="00632D1F"/>
    <w:rsid w:val="00632D65"/>
    <w:rsid w:val="00633108"/>
    <w:rsid w:val="00633506"/>
    <w:rsid w:val="0063356B"/>
    <w:rsid w:val="006336BA"/>
    <w:rsid w:val="006336CD"/>
    <w:rsid w:val="00633E4D"/>
    <w:rsid w:val="00633E87"/>
    <w:rsid w:val="00633F19"/>
    <w:rsid w:val="00634179"/>
    <w:rsid w:val="006343A9"/>
    <w:rsid w:val="0063465D"/>
    <w:rsid w:val="006346B1"/>
    <w:rsid w:val="00634712"/>
    <w:rsid w:val="006348D9"/>
    <w:rsid w:val="006349FE"/>
    <w:rsid w:val="00634D18"/>
    <w:rsid w:val="00634FDE"/>
    <w:rsid w:val="006351F2"/>
    <w:rsid w:val="006356E2"/>
    <w:rsid w:val="00635774"/>
    <w:rsid w:val="006357C3"/>
    <w:rsid w:val="006359D5"/>
    <w:rsid w:val="006359EC"/>
    <w:rsid w:val="00635A0A"/>
    <w:rsid w:val="00635D83"/>
    <w:rsid w:val="0063637D"/>
    <w:rsid w:val="00636614"/>
    <w:rsid w:val="00636765"/>
    <w:rsid w:val="00636827"/>
    <w:rsid w:val="00636CC9"/>
    <w:rsid w:val="00636FB5"/>
    <w:rsid w:val="00637223"/>
    <w:rsid w:val="0063749F"/>
    <w:rsid w:val="00637906"/>
    <w:rsid w:val="00637A57"/>
    <w:rsid w:val="00637B14"/>
    <w:rsid w:val="0064015B"/>
    <w:rsid w:val="006406B7"/>
    <w:rsid w:val="00640BB0"/>
    <w:rsid w:val="00640C7D"/>
    <w:rsid w:val="00640DA0"/>
    <w:rsid w:val="00641551"/>
    <w:rsid w:val="00641B03"/>
    <w:rsid w:val="00641C7D"/>
    <w:rsid w:val="00641D7D"/>
    <w:rsid w:val="00642061"/>
    <w:rsid w:val="006420A1"/>
    <w:rsid w:val="00642744"/>
    <w:rsid w:val="006428BF"/>
    <w:rsid w:val="00642AEA"/>
    <w:rsid w:val="00642DEC"/>
    <w:rsid w:val="00642F33"/>
    <w:rsid w:val="0064306F"/>
    <w:rsid w:val="00643115"/>
    <w:rsid w:val="006433AD"/>
    <w:rsid w:val="00643601"/>
    <w:rsid w:val="006439EA"/>
    <w:rsid w:val="00643A0C"/>
    <w:rsid w:val="00643D14"/>
    <w:rsid w:val="00644763"/>
    <w:rsid w:val="006448DF"/>
    <w:rsid w:val="006449D2"/>
    <w:rsid w:val="006449D7"/>
    <w:rsid w:val="00644AB9"/>
    <w:rsid w:val="00644ADB"/>
    <w:rsid w:val="00644F3D"/>
    <w:rsid w:val="0064549E"/>
    <w:rsid w:val="0064552C"/>
    <w:rsid w:val="0064557D"/>
    <w:rsid w:val="006455CE"/>
    <w:rsid w:val="00645729"/>
    <w:rsid w:val="006459CE"/>
    <w:rsid w:val="00645EC5"/>
    <w:rsid w:val="006462F0"/>
    <w:rsid w:val="0064655B"/>
    <w:rsid w:val="00646BFE"/>
    <w:rsid w:val="00646EC7"/>
    <w:rsid w:val="006471D7"/>
    <w:rsid w:val="006474E6"/>
    <w:rsid w:val="006477F4"/>
    <w:rsid w:val="00647B4B"/>
    <w:rsid w:val="00647D2F"/>
    <w:rsid w:val="006507A9"/>
    <w:rsid w:val="00650C8E"/>
    <w:rsid w:val="00650D00"/>
    <w:rsid w:val="00650F21"/>
    <w:rsid w:val="0065151D"/>
    <w:rsid w:val="006515A1"/>
    <w:rsid w:val="0065160C"/>
    <w:rsid w:val="006516D6"/>
    <w:rsid w:val="00651E7A"/>
    <w:rsid w:val="00652202"/>
    <w:rsid w:val="00652364"/>
    <w:rsid w:val="0065249F"/>
    <w:rsid w:val="00652964"/>
    <w:rsid w:val="00652A63"/>
    <w:rsid w:val="00652E48"/>
    <w:rsid w:val="006531FE"/>
    <w:rsid w:val="00653375"/>
    <w:rsid w:val="00653963"/>
    <w:rsid w:val="00653B65"/>
    <w:rsid w:val="00654032"/>
    <w:rsid w:val="0065419A"/>
    <w:rsid w:val="00654210"/>
    <w:rsid w:val="00654B18"/>
    <w:rsid w:val="00654C81"/>
    <w:rsid w:val="00654D1B"/>
    <w:rsid w:val="006557E0"/>
    <w:rsid w:val="00655852"/>
    <w:rsid w:val="00655B9B"/>
    <w:rsid w:val="00655DB2"/>
    <w:rsid w:val="00655FAD"/>
    <w:rsid w:val="00656104"/>
    <w:rsid w:val="00656190"/>
    <w:rsid w:val="006562E7"/>
    <w:rsid w:val="00656444"/>
    <w:rsid w:val="00656680"/>
    <w:rsid w:val="006567A2"/>
    <w:rsid w:val="00656954"/>
    <w:rsid w:val="006569F5"/>
    <w:rsid w:val="00656BC3"/>
    <w:rsid w:val="00656F3D"/>
    <w:rsid w:val="00656F5B"/>
    <w:rsid w:val="00657252"/>
    <w:rsid w:val="00657618"/>
    <w:rsid w:val="00657666"/>
    <w:rsid w:val="00657800"/>
    <w:rsid w:val="006578B6"/>
    <w:rsid w:val="00657C99"/>
    <w:rsid w:val="00657E0F"/>
    <w:rsid w:val="00657F2B"/>
    <w:rsid w:val="0066009A"/>
    <w:rsid w:val="00660415"/>
    <w:rsid w:val="00660763"/>
    <w:rsid w:val="00660AB0"/>
    <w:rsid w:val="00660E03"/>
    <w:rsid w:val="006612BE"/>
    <w:rsid w:val="00661610"/>
    <w:rsid w:val="00661782"/>
    <w:rsid w:val="0066194F"/>
    <w:rsid w:val="00661D11"/>
    <w:rsid w:val="00661EB2"/>
    <w:rsid w:val="00661F26"/>
    <w:rsid w:val="006622EE"/>
    <w:rsid w:val="006625E2"/>
    <w:rsid w:val="00662651"/>
    <w:rsid w:val="006629D4"/>
    <w:rsid w:val="00662A07"/>
    <w:rsid w:val="00662AA0"/>
    <w:rsid w:val="00662DEF"/>
    <w:rsid w:val="0066305D"/>
    <w:rsid w:val="0066328B"/>
    <w:rsid w:val="00663414"/>
    <w:rsid w:val="006637AF"/>
    <w:rsid w:val="00663D13"/>
    <w:rsid w:val="00664687"/>
    <w:rsid w:val="00664695"/>
    <w:rsid w:val="00664BBE"/>
    <w:rsid w:val="00664D06"/>
    <w:rsid w:val="006650AB"/>
    <w:rsid w:val="00665223"/>
    <w:rsid w:val="0066546F"/>
    <w:rsid w:val="00665640"/>
    <w:rsid w:val="006657C4"/>
    <w:rsid w:val="00665AF3"/>
    <w:rsid w:val="00665B0B"/>
    <w:rsid w:val="00665D6A"/>
    <w:rsid w:val="00666802"/>
    <w:rsid w:val="006673D1"/>
    <w:rsid w:val="0066793A"/>
    <w:rsid w:val="00667963"/>
    <w:rsid w:val="006679A9"/>
    <w:rsid w:val="006679E6"/>
    <w:rsid w:val="00667ABB"/>
    <w:rsid w:val="00667CDF"/>
    <w:rsid w:val="00667DD3"/>
    <w:rsid w:val="00667E18"/>
    <w:rsid w:val="00667EA0"/>
    <w:rsid w:val="00670016"/>
    <w:rsid w:val="0067029E"/>
    <w:rsid w:val="006705C5"/>
    <w:rsid w:val="00670D5C"/>
    <w:rsid w:val="00670EC9"/>
    <w:rsid w:val="0067104A"/>
    <w:rsid w:val="0067111F"/>
    <w:rsid w:val="006714B2"/>
    <w:rsid w:val="00671511"/>
    <w:rsid w:val="006718F8"/>
    <w:rsid w:val="00671E43"/>
    <w:rsid w:val="0067207E"/>
    <w:rsid w:val="00672334"/>
    <w:rsid w:val="006729C2"/>
    <w:rsid w:val="00672A6E"/>
    <w:rsid w:val="00672E8E"/>
    <w:rsid w:val="00672F24"/>
    <w:rsid w:val="00672FB6"/>
    <w:rsid w:val="0067359D"/>
    <w:rsid w:val="00673639"/>
    <w:rsid w:val="00673CFD"/>
    <w:rsid w:val="00673EF0"/>
    <w:rsid w:val="00673F94"/>
    <w:rsid w:val="00674012"/>
    <w:rsid w:val="0067449B"/>
    <w:rsid w:val="00674545"/>
    <w:rsid w:val="00674738"/>
    <w:rsid w:val="006748ED"/>
    <w:rsid w:val="00674D2F"/>
    <w:rsid w:val="00675114"/>
    <w:rsid w:val="006753E0"/>
    <w:rsid w:val="006754BD"/>
    <w:rsid w:val="006755A4"/>
    <w:rsid w:val="00675627"/>
    <w:rsid w:val="006756B2"/>
    <w:rsid w:val="0067596C"/>
    <w:rsid w:val="00675A3C"/>
    <w:rsid w:val="00675CFC"/>
    <w:rsid w:val="00675D19"/>
    <w:rsid w:val="00675E53"/>
    <w:rsid w:val="0067627C"/>
    <w:rsid w:val="006768E6"/>
    <w:rsid w:val="00676CDE"/>
    <w:rsid w:val="00676E15"/>
    <w:rsid w:val="006770F5"/>
    <w:rsid w:val="006773F8"/>
    <w:rsid w:val="00677B5D"/>
    <w:rsid w:val="00680664"/>
    <w:rsid w:val="0068066C"/>
    <w:rsid w:val="00680926"/>
    <w:rsid w:val="00680A05"/>
    <w:rsid w:val="00680B3B"/>
    <w:rsid w:val="00680CCC"/>
    <w:rsid w:val="00681081"/>
    <w:rsid w:val="00681399"/>
    <w:rsid w:val="006815EA"/>
    <w:rsid w:val="00681A5A"/>
    <w:rsid w:val="00681B9C"/>
    <w:rsid w:val="00681CFF"/>
    <w:rsid w:val="00681DBD"/>
    <w:rsid w:val="00681FEF"/>
    <w:rsid w:val="00682129"/>
    <w:rsid w:val="00682396"/>
    <w:rsid w:val="0068239C"/>
    <w:rsid w:val="00682485"/>
    <w:rsid w:val="00682A0E"/>
    <w:rsid w:val="00682F10"/>
    <w:rsid w:val="006833B9"/>
    <w:rsid w:val="006834CE"/>
    <w:rsid w:val="006835A9"/>
    <w:rsid w:val="00684370"/>
    <w:rsid w:val="00684433"/>
    <w:rsid w:val="00684637"/>
    <w:rsid w:val="006849D9"/>
    <w:rsid w:val="006849DA"/>
    <w:rsid w:val="0068527C"/>
    <w:rsid w:val="00685369"/>
    <w:rsid w:val="00685833"/>
    <w:rsid w:val="00685A5D"/>
    <w:rsid w:val="00685F9B"/>
    <w:rsid w:val="00686245"/>
    <w:rsid w:val="00686380"/>
    <w:rsid w:val="00686509"/>
    <w:rsid w:val="0068670C"/>
    <w:rsid w:val="0068674C"/>
    <w:rsid w:val="0068690B"/>
    <w:rsid w:val="00686BF5"/>
    <w:rsid w:val="00686C00"/>
    <w:rsid w:val="00686CD7"/>
    <w:rsid w:val="00686E69"/>
    <w:rsid w:val="00687436"/>
    <w:rsid w:val="00687485"/>
    <w:rsid w:val="006878E8"/>
    <w:rsid w:val="00687933"/>
    <w:rsid w:val="00687C23"/>
    <w:rsid w:val="00687CB8"/>
    <w:rsid w:val="006900B4"/>
    <w:rsid w:val="006901FE"/>
    <w:rsid w:val="00690282"/>
    <w:rsid w:val="00690440"/>
    <w:rsid w:val="0069074B"/>
    <w:rsid w:val="006907D2"/>
    <w:rsid w:val="0069096B"/>
    <w:rsid w:val="00690E7C"/>
    <w:rsid w:val="0069116B"/>
    <w:rsid w:val="0069124B"/>
    <w:rsid w:val="006912B5"/>
    <w:rsid w:val="00691436"/>
    <w:rsid w:val="00691685"/>
    <w:rsid w:val="00691848"/>
    <w:rsid w:val="00691C55"/>
    <w:rsid w:val="00691DAC"/>
    <w:rsid w:val="00691EE9"/>
    <w:rsid w:val="00691F03"/>
    <w:rsid w:val="006922B5"/>
    <w:rsid w:val="006924BA"/>
    <w:rsid w:val="006928C9"/>
    <w:rsid w:val="0069297D"/>
    <w:rsid w:val="006929A2"/>
    <w:rsid w:val="00692D7F"/>
    <w:rsid w:val="00693096"/>
    <w:rsid w:val="00693224"/>
    <w:rsid w:val="006932F8"/>
    <w:rsid w:val="00693DA2"/>
    <w:rsid w:val="00693E4A"/>
    <w:rsid w:val="0069414E"/>
    <w:rsid w:val="00694350"/>
    <w:rsid w:val="00694AFC"/>
    <w:rsid w:val="00694B10"/>
    <w:rsid w:val="00695246"/>
    <w:rsid w:val="00695747"/>
    <w:rsid w:val="0069580F"/>
    <w:rsid w:val="00695991"/>
    <w:rsid w:val="00695AE1"/>
    <w:rsid w:val="00695B27"/>
    <w:rsid w:val="0069604C"/>
    <w:rsid w:val="0069664E"/>
    <w:rsid w:val="006966D0"/>
    <w:rsid w:val="00696BC9"/>
    <w:rsid w:val="00696E64"/>
    <w:rsid w:val="006970CB"/>
    <w:rsid w:val="00697354"/>
    <w:rsid w:val="006977CA"/>
    <w:rsid w:val="006977D3"/>
    <w:rsid w:val="00697C5D"/>
    <w:rsid w:val="00697F1A"/>
    <w:rsid w:val="006A0031"/>
    <w:rsid w:val="006A028C"/>
    <w:rsid w:val="006A0ED1"/>
    <w:rsid w:val="006A107F"/>
    <w:rsid w:val="006A15CB"/>
    <w:rsid w:val="006A1675"/>
    <w:rsid w:val="006A1B9D"/>
    <w:rsid w:val="006A1BAD"/>
    <w:rsid w:val="006A1E17"/>
    <w:rsid w:val="006A20C8"/>
    <w:rsid w:val="006A21FA"/>
    <w:rsid w:val="006A23D9"/>
    <w:rsid w:val="006A2569"/>
    <w:rsid w:val="006A264A"/>
    <w:rsid w:val="006A264E"/>
    <w:rsid w:val="006A28D5"/>
    <w:rsid w:val="006A2A44"/>
    <w:rsid w:val="006A2F45"/>
    <w:rsid w:val="006A2F4D"/>
    <w:rsid w:val="006A2FD1"/>
    <w:rsid w:val="006A368F"/>
    <w:rsid w:val="006A36B7"/>
    <w:rsid w:val="006A36ED"/>
    <w:rsid w:val="006A3747"/>
    <w:rsid w:val="006A37D6"/>
    <w:rsid w:val="006A3AC4"/>
    <w:rsid w:val="006A3D1F"/>
    <w:rsid w:val="006A3FDB"/>
    <w:rsid w:val="006A405A"/>
    <w:rsid w:val="006A42D0"/>
    <w:rsid w:val="006A434F"/>
    <w:rsid w:val="006A4414"/>
    <w:rsid w:val="006A449D"/>
    <w:rsid w:val="006A551B"/>
    <w:rsid w:val="006A5978"/>
    <w:rsid w:val="006A5CDB"/>
    <w:rsid w:val="006A5DB5"/>
    <w:rsid w:val="006A61D2"/>
    <w:rsid w:val="006A643F"/>
    <w:rsid w:val="006A6477"/>
    <w:rsid w:val="006A6E64"/>
    <w:rsid w:val="006B02D6"/>
    <w:rsid w:val="006B0334"/>
    <w:rsid w:val="006B037E"/>
    <w:rsid w:val="006B0579"/>
    <w:rsid w:val="006B06F7"/>
    <w:rsid w:val="006B0769"/>
    <w:rsid w:val="006B0AAB"/>
    <w:rsid w:val="006B0BFC"/>
    <w:rsid w:val="006B0C0C"/>
    <w:rsid w:val="006B10F5"/>
    <w:rsid w:val="006B15D7"/>
    <w:rsid w:val="006B1624"/>
    <w:rsid w:val="006B1B25"/>
    <w:rsid w:val="006B1F73"/>
    <w:rsid w:val="006B20DC"/>
    <w:rsid w:val="006B276C"/>
    <w:rsid w:val="006B28DD"/>
    <w:rsid w:val="006B29A7"/>
    <w:rsid w:val="006B2A4A"/>
    <w:rsid w:val="006B2CAF"/>
    <w:rsid w:val="006B30E9"/>
    <w:rsid w:val="006B3593"/>
    <w:rsid w:val="006B3708"/>
    <w:rsid w:val="006B3846"/>
    <w:rsid w:val="006B3F01"/>
    <w:rsid w:val="006B3F87"/>
    <w:rsid w:val="006B40F0"/>
    <w:rsid w:val="006B4100"/>
    <w:rsid w:val="006B453A"/>
    <w:rsid w:val="006B4554"/>
    <w:rsid w:val="006B4A43"/>
    <w:rsid w:val="006B4FAD"/>
    <w:rsid w:val="006B5163"/>
    <w:rsid w:val="006B5927"/>
    <w:rsid w:val="006B5FE8"/>
    <w:rsid w:val="006B606D"/>
    <w:rsid w:val="006B65D7"/>
    <w:rsid w:val="006B677F"/>
    <w:rsid w:val="006B6C6F"/>
    <w:rsid w:val="006B6EF7"/>
    <w:rsid w:val="006B71B4"/>
    <w:rsid w:val="006B72B7"/>
    <w:rsid w:val="006B7365"/>
    <w:rsid w:val="006B7C02"/>
    <w:rsid w:val="006B7C83"/>
    <w:rsid w:val="006B7F33"/>
    <w:rsid w:val="006C011D"/>
    <w:rsid w:val="006C031E"/>
    <w:rsid w:val="006C04FA"/>
    <w:rsid w:val="006C0913"/>
    <w:rsid w:val="006C09FF"/>
    <w:rsid w:val="006C0AD3"/>
    <w:rsid w:val="006C0B42"/>
    <w:rsid w:val="006C0C19"/>
    <w:rsid w:val="006C0C37"/>
    <w:rsid w:val="006C0C6D"/>
    <w:rsid w:val="006C0F73"/>
    <w:rsid w:val="006C1540"/>
    <w:rsid w:val="006C187C"/>
    <w:rsid w:val="006C1C2A"/>
    <w:rsid w:val="006C1E50"/>
    <w:rsid w:val="006C20EF"/>
    <w:rsid w:val="006C232D"/>
    <w:rsid w:val="006C2405"/>
    <w:rsid w:val="006C2425"/>
    <w:rsid w:val="006C24B2"/>
    <w:rsid w:val="006C29EC"/>
    <w:rsid w:val="006C2A66"/>
    <w:rsid w:val="006C2A73"/>
    <w:rsid w:val="006C2B98"/>
    <w:rsid w:val="006C2BBA"/>
    <w:rsid w:val="006C394F"/>
    <w:rsid w:val="006C3A3A"/>
    <w:rsid w:val="006C3A82"/>
    <w:rsid w:val="006C3B25"/>
    <w:rsid w:val="006C3BF2"/>
    <w:rsid w:val="006C421F"/>
    <w:rsid w:val="006C4532"/>
    <w:rsid w:val="006C469A"/>
    <w:rsid w:val="006C469F"/>
    <w:rsid w:val="006C47BF"/>
    <w:rsid w:val="006C49E1"/>
    <w:rsid w:val="006C4B9A"/>
    <w:rsid w:val="006C4C47"/>
    <w:rsid w:val="006C4DC6"/>
    <w:rsid w:val="006C4EDC"/>
    <w:rsid w:val="006C53EF"/>
    <w:rsid w:val="006C5445"/>
    <w:rsid w:val="006C5499"/>
    <w:rsid w:val="006C581F"/>
    <w:rsid w:val="006C5C30"/>
    <w:rsid w:val="006C5E25"/>
    <w:rsid w:val="006C622F"/>
    <w:rsid w:val="006C64AB"/>
    <w:rsid w:val="006C663B"/>
    <w:rsid w:val="006C6877"/>
    <w:rsid w:val="006C69BA"/>
    <w:rsid w:val="006C6B00"/>
    <w:rsid w:val="006C6BD9"/>
    <w:rsid w:val="006C6C30"/>
    <w:rsid w:val="006C6D4D"/>
    <w:rsid w:val="006D00E9"/>
    <w:rsid w:val="006D0157"/>
    <w:rsid w:val="006D066D"/>
    <w:rsid w:val="006D0688"/>
    <w:rsid w:val="006D0808"/>
    <w:rsid w:val="006D0923"/>
    <w:rsid w:val="006D0CEA"/>
    <w:rsid w:val="006D0F6E"/>
    <w:rsid w:val="006D1019"/>
    <w:rsid w:val="006D114C"/>
    <w:rsid w:val="006D14E3"/>
    <w:rsid w:val="006D1515"/>
    <w:rsid w:val="006D156A"/>
    <w:rsid w:val="006D1DAD"/>
    <w:rsid w:val="006D24D5"/>
    <w:rsid w:val="006D29A7"/>
    <w:rsid w:val="006D2ADD"/>
    <w:rsid w:val="006D2CFA"/>
    <w:rsid w:val="006D2DE2"/>
    <w:rsid w:val="006D3033"/>
    <w:rsid w:val="006D341D"/>
    <w:rsid w:val="006D351E"/>
    <w:rsid w:val="006D3584"/>
    <w:rsid w:val="006D3767"/>
    <w:rsid w:val="006D3B42"/>
    <w:rsid w:val="006D3D0B"/>
    <w:rsid w:val="006D443A"/>
    <w:rsid w:val="006D4517"/>
    <w:rsid w:val="006D47A6"/>
    <w:rsid w:val="006D497F"/>
    <w:rsid w:val="006D502D"/>
    <w:rsid w:val="006D53FC"/>
    <w:rsid w:val="006D56BB"/>
    <w:rsid w:val="006D573B"/>
    <w:rsid w:val="006D59A3"/>
    <w:rsid w:val="006D59CA"/>
    <w:rsid w:val="006D6064"/>
    <w:rsid w:val="006D63CE"/>
    <w:rsid w:val="006D6564"/>
    <w:rsid w:val="006D6781"/>
    <w:rsid w:val="006D68EB"/>
    <w:rsid w:val="006D6C4B"/>
    <w:rsid w:val="006D6DD0"/>
    <w:rsid w:val="006D6EC3"/>
    <w:rsid w:val="006D6F76"/>
    <w:rsid w:val="006D6FCD"/>
    <w:rsid w:val="006D71E9"/>
    <w:rsid w:val="006D72A3"/>
    <w:rsid w:val="006D73E1"/>
    <w:rsid w:val="006D757D"/>
    <w:rsid w:val="006D75A5"/>
    <w:rsid w:val="006D777A"/>
    <w:rsid w:val="006D7830"/>
    <w:rsid w:val="006D78B7"/>
    <w:rsid w:val="006E0015"/>
    <w:rsid w:val="006E044C"/>
    <w:rsid w:val="006E04FC"/>
    <w:rsid w:val="006E0664"/>
    <w:rsid w:val="006E07E5"/>
    <w:rsid w:val="006E0919"/>
    <w:rsid w:val="006E0ACA"/>
    <w:rsid w:val="006E0ACB"/>
    <w:rsid w:val="006E0D22"/>
    <w:rsid w:val="006E0E76"/>
    <w:rsid w:val="006E153C"/>
    <w:rsid w:val="006E1666"/>
    <w:rsid w:val="006E18B0"/>
    <w:rsid w:val="006E1ABD"/>
    <w:rsid w:val="006E1BAF"/>
    <w:rsid w:val="006E1BC8"/>
    <w:rsid w:val="006E2013"/>
    <w:rsid w:val="006E2176"/>
    <w:rsid w:val="006E2293"/>
    <w:rsid w:val="006E254D"/>
    <w:rsid w:val="006E261A"/>
    <w:rsid w:val="006E2E47"/>
    <w:rsid w:val="006E325F"/>
    <w:rsid w:val="006E3343"/>
    <w:rsid w:val="006E33BA"/>
    <w:rsid w:val="006E34B8"/>
    <w:rsid w:val="006E3A25"/>
    <w:rsid w:val="006E3E87"/>
    <w:rsid w:val="006E3F8B"/>
    <w:rsid w:val="006E413B"/>
    <w:rsid w:val="006E47EB"/>
    <w:rsid w:val="006E48DF"/>
    <w:rsid w:val="006E492C"/>
    <w:rsid w:val="006E49B6"/>
    <w:rsid w:val="006E4F05"/>
    <w:rsid w:val="006E4FEE"/>
    <w:rsid w:val="006E52E2"/>
    <w:rsid w:val="006E5477"/>
    <w:rsid w:val="006E5BF9"/>
    <w:rsid w:val="006E6634"/>
    <w:rsid w:val="006E6644"/>
    <w:rsid w:val="006E6BC5"/>
    <w:rsid w:val="006E6C93"/>
    <w:rsid w:val="006E6FE8"/>
    <w:rsid w:val="006E70B1"/>
    <w:rsid w:val="006E7181"/>
    <w:rsid w:val="006E744F"/>
    <w:rsid w:val="006E770D"/>
    <w:rsid w:val="006E77E3"/>
    <w:rsid w:val="006F0141"/>
    <w:rsid w:val="006F0541"/>
    <w:rsid w:val="006F0991"/>
    <w:rsid w:val="006F0AA7"/>
    <w:rsid w:val="006F0FD1"/>
    <w:rsid w:val="006F1200"/>
    <w:rsid w:val="006F134D"/>
    <w:rsid w:val="006F178C"/>
    <w:rsid w:val="006F1C76"/>
    <w:rsid w:val="006F1E05"/>
    <w:rsid w:val="006F1E6F"/>
    <w:rsid w:val="006F1E7E"/>
    <w:rsid w:val="006F1F13"/>
    <w:rsid w:val="006F20E8"/>
    <w:rsid w:val="006F21F9"/>
    <w:rsid w:val="006F232C"/>
    <w:rsid w:val="006F242C"/>
    <w:rsid w:val="006F25CC"/>
    <w:rsid w:val="006F2733"/>
    <w:rsid w:val="006F2910"/>
    <w:rsid w:val="006F2AD7"/>
    <w:rsid w:val="006F328C"/>
    <w:rsid w:val="006F332D"/>
    <w:rsid w:val="006F33E8"/>
    <w:rsid w:val="006F3F81"/>
    <w:rsid w:val="006F4101"/>
    <w:rsid w:val="006F439D"/>
    <w:rsid w:val="006F447A"/>
    <w:rsid w:val="006F4548"/>
    <w:rsid w:val="006F46AE"/>
    <w:rsid w:val="006F4764"/>
    <w:rsid w:val="006F485A"/>
    <w:rsid w:val="006F4CA5"/>
    <w:rsid w:val="006F4D9A"/>
    <w:rsid w:val="006F500A"/>
    <w:rsid w:val="006F519A"/>
    <w:rsid w:val="006F5574"/>
    <w:rsid w:val="006F5697"/>
    <w:rsid w:val="006F5F33"/>
    <w:rsid w:val="006F6150"/>
    <w:rsid w:val="006F61F6"/>
    <w:rsid w:val="006F63DE"/>
    <w:rsid w:val="006F6589"/>
    <w:rsid w:val="006F6CA9"/>
    <w:rsid w:val="006F6CBE"/>
    <w:rsid w:val="006F6F5A"/>
    <w:rsid w:val="006F7009"/>
    <w:rsid w:val="006F7270"/>
    <w:rsid w:val="006F747E"/>
    <w:rsid w:val="006F7736"/>
    <w:rsid w:val="006F781C"/>
    <w:rsid w:val="006F7C02"/>
    <w:rsid w:val="006F7C29"/>
    <w:rsid w:val="006F7CB1"/>
    <w:rsid w:val="006F7D6E"/>
    <w:rsid w:val="006F7EEF"/>
    <w:rsid w:val="007000FC"/>
    <w:rsid w:val="0070017C"/>
    <w:rsid w:val="007005DE"/>
    <w:rsid w:val="00700675"/>
    <w:rsid w:val="007009DB"/>
    <w:rsid w:val="00700D94"/>
    <w:rsid w:val="00700EF0"/>
    <w:rsid w:val="0070108C"/>
    <w:rsid w:val="00701A02"/>
    <w:rsid w:val="00701AE3"/>
    <w:rsid w:val="00701B36"/>
    <w:rsid w:val="00702059"/>
    <w:rsid w:val="0070269E"/>
    <w:rsid w:val="0070286B"/>
    <w:rsid w:val="0070288C"/>
    <w:rsid w:val="007028F2"/>
    <w:rsid w:val="00702D3C"/>
    <w:rsid w:val="00702DD1"/>
    <w:rsid w:val="00702EE1"/>
    <w:rsid w:val="00702F3D"/>
    <w:rsid w:val="00703417"/>
    <w:rsid w:val="0070375D"/>
    <w:rsid w:val="007038C0"/>
    <w:rsid w:val="007039D5"/>
    <w:rsid w:val="00703BF2"/>
    <w:rsid w:val="00703F4A"/>
    <w:rsid w:val="007042E7"/>
    <w:rsid w:val="00704798"/>
    <w:rsid w:val="00704973"/>
    <w:rsid w:val="00704A67"/>
    <w:rsid w:val="00704B11"/>
    <w:rsid w:val="00704B59"/>
    <w:rsid w:val="00704EB7"/>
    <w:rsid w:val="007050D8"/>
    <w:rsid w:val="007053D8"/>
    <w:rsid w:val="00705846"/>
    <w:rsid w:val="00705CA9"/>
    <w:rsid w:val="00706457"/>
    <w:rsid w:val="00706745"/>
    <w:rsid w:val="0070694C"/>
    <w:rsid w:val="00706A04"/>
    <w:rsid w:val="00706B7C"/>
    <w:rsid w:val="00706C5E"/>
    <w:rsid w:val="00706C69"/>
    <w:rsid w:val="00706E6F"/>
    <w:rsid w:val="0070701C"/>
    <w:rsid w:val="00707199"/>
    <w:rsid w:val="00707522"/>
    <w:rsid w:val="0070774E"/>
    <w:rsid w:val="0070779D"/>
    <w:rsid w:val="00707939"/>
    <w:rsid w:val="007079E6"/>
    <w:rsid w:val="00707C2B"/>
    <w:rsid w:val="007102CC"/>
    <w:rsid w:val="00710824"/>
    <w:rsid w:val="00710B76"/>
    <w:rsid w:val="007115B3"/>
    <w:rsid w:val="00711E29"/>
    <w:rsid w:val="00712055"/>
    <w:rsid w:val="00712715"/>
    <w:rsid w:val="00712723"/>
    <w:rsid w:val="00712B21"/>
    <w:rsid w:val="00712E20"/>
    <w:rsid w:val="00712EBD"/>
    <w:rsid w:val="00713303"/>
    <w:rsid w:val="0071359F"/>
    <w:rsid w:val="00713B4B"/>
    <w:rsid w:val="00713D14"/>
    <w:rsid w:val="007143AB"/>
    <w:rsid w:val="0071452F"/>
    <w:rsid w:val="007149BD"/>
    <w:rsid w:val="00715292"/>
    <w:rsid w:val="00715635"/>
    <w:rsid w:val="007157D7"/>
    <w:rsid w:val="007157E3"/>
    <w:rsid w:val="007159F9"/>
    <w:rsid w:val="007159FA"/>
    <w:rsid w:val="00715A3A"/>
    <w:rsid w:val="00715E0A"/>
    <w:rsid w:val="00715FF7"/>
    <w:rsid w:val="00716208"/>
    <w:rsid w:val="0071623B"/>
    <w:rsid w:val="0071637D"/>
    <w:rsid w:val="007168E6"/>
    <w:rsid w:val="0071690D"/>
    <w:rsid w:val="007169BD"/>
    <w:rsid w:val="007170CE"/>
    <w:rsid w:val="00717190"/>
    <w:rsid w:val="007171DF"/>
    <w:rsid w:val="00717202"/>
    <w:rsid w:val="007172E2"/>
    <w:rsid w:val="00717816"/>
    <w:rsid w:val="007179BF"/>
    <w:rsid w:val="00717C24"/>
    <w:rsid w:val="00720295"/>
    <w:rsid w:val="007203D7"/>
    <w:rsid w:val="00720793"/>
    <w:rsid w:val="0072099A"/>
    <w:rsid w:val="00720F06"/>
    <w:rsid w:val="0072148D"/>
    <w:rsid w:val="00721570"/>
    <w:rsid w:val="00721734"/>
    <w:rsid w:val="00722148"/>
    <w:rsid w:val="00722920"/>
    <w:rsid w:val="00722D4C"/>
    <w:rsid w:val="00722D68"/>
    <w:rsid w:val="007231AA"/>
    <w:rsid w:val="00723232"/>
    <w:rsid w:val="00723328"/>
    <w:rsid w:val="00723585"/>
    <w:rsid w:val="0072380E"/>
    <w:rsid w:val="007239FE"/>
    <w:rsid w:val="00723AE5"/>
    <w:rsid w:val="00723BE7"/>
    <w:rsid w:val="00723F9E"/>
    <w:rsid w:val="0072410D"/>
    <w:rsid w:val="0072464F"/>
    <w:rsid w:val="0072499D"/>
    <w:rsid w:val="00724DC5"/>
    <w:rsid w:val="00724ECB"/>
    <w:rsid w:val="0072539D"/>
    <w:rsid w:val="007253AC"/>
    <w:rsid w:val="007253D3"/>
    <w:rsid w:val="00725672"/>
    <w:rsid w:val="00725A07"/>
    <w:rsid w:val="00725CF8"/>
    <w:rsid w:val="00725DE4"/>
    <w:rsid w:val="00726EDD"/>
    <w:rsid w:val="0073034E"/>
    <w:rsid w:val="0073045A"/>
    <w:rsid w:val="00730723"/>
    <w:rsid w:val="00730C3F"/>
    <w:rsid w:val="00730D1E"/>
    <w:rsid w:val="00730F2F"/>
    <w:rsid w:val="00730FB6"/>
    <w:rsid w:val="007313DB"/>
    <w:rsid w:val="007314FC"/>
    <w:rsid w:val="00731FFF"/>
    <w:rsid w:val="0073208E"/>
    <w:rsid w:val="00732671"/>
    <w:rsid w:val="00732848"/>
    <w:rsid w:val="00732B05"/>
    <w:rsid w:val="00732C30"/>
    <w:rsid w:val="00732F51"/>
    <w:rsid w:val="00732FD8"/>
    <w:rsid w:val="00733405"/>
    <w:rsid w:val="0073340E"/>
    <w:rsid w:val="007336A4"/>
    <w:rsid w:val="00733995"/>
    <w:rsid w:val="00733AC1"/>
    <w:rsid w:val="00734158"/>
    <w:rsid w:val="007341CE"/>
    <w:rsid w:val="00734278"/>
    <w:rsid w:val="007344C5"/>
    <w:rsid w:val="0073455E"/>
    <w:rsid w:val="007346FB"/>
    <w:rsid w:val="007349FC"/>
    <w:rsid w:val="00734F4B"/>
    <w:rsid w:val="0073555C"/>
    <w:rsid w:val="007357A3"/>
    <w:rsid w:val="007358F8"/>
    <w:rsid w:val="00735EA2"/>
    <w:rsid w:val="00735F64"/>
    <w:rsid w:val="0073652E"/>
    <w:rsid w:val="007366F5"/>
    <w:rsid w:val="00736746"/>
    <w:rsid w:val="0073685C"/>
    <w:rsid w:val="00736B4F"/>
    <w:rsid w:val="00736C7C"/>
    <w:rsid w:val="00737049"/>
    <w:rsid w:val="00737718"/>
    <w:rsid w:val="00737724"/>
    <w:rsid w:val="0073784C"/>
    <w:rsid w:val="007378FB"/>
    <w:rsid w:val="00737A05"/>
    <w:rsid w:val="00737C40"/>
    <w:rsid w:val="00737C4B"/>
    <w:rsid w:val="00737E3D"/>
    <w:rsid w:val="00737FC3"/>
    <w:rsid w:val="00737FCF"/>
    <w:rsid w:val="0074012D"/>
    <w:rsid w:val="00740463"/>
    <w:rsid w:val="00740501"/>
    <w:rsid w:val="0074073F"/>
    <w:rsid w:val="0074076C"/>
    <w:rsid w:val="00740A64"/>
    <w:rsid w:val="00740B44"/>
    <w:rsid w:val="00740EC9"/>
    <w:rsid w:val="007419BA"/>
    <w:rsid w:val="00741B81"/>
    <w:rsid w:val="00741BF6"/>
    <w:rsid w:val="00741C5F"/>
    <w:rsid w:val="00741E8E"/>
    <w:rsid w:val="00741EEE"/>
    <w:rsid w:val="00741F8E"/>
    <w:rsid w:val="00742259"/>
    <w:rsid w:val="00742528"/>
    <w:rsid w:val="007427CF"/>
    <w:rsid w:val="00742D70"/>
    <w:rsid w:val="0074313F"/>
    <w:rsid w:val="007432CA"/>
    <w:rsid w:val="007432DC"/>
    <w:rsid w:val="0074374C"/>
    <w:rsid w:val="00743C3C"/>
    <w:rsid w:val="00744796"/>
    <w:rsid w:val="00744C79"/>
    <w:rsid w:val="00744EAB"/>
    <w:rsid w:val="00744EC6"/>
    <w:rsid w:val="00744F97"/>
    <w:rsid w:val="00745229"/>
    <w:rsid w:val="00745A2C"/>
    <w:rsid w:val="00745C10"/>
    <w:rsid w:val="007460DB"/>
    <w:rsid w:val="00746102"/>
    <w:rsid w:val="007464DE"/>
    <w:rsid w:val="00746608"/>
    <w:rsid w:val="00746862"/>
    <w:rsid w:val="007469B4"/>
    <w:rsid w:val="00746C3B"/>
    <w:rsid w:val="00746DBA"/>
    <w:rsid w:val="00746EAF"/>
    <w:rsid w:val="0074705B"/>
    <w:rsid w:val="00747336"/>
    <w:rsid w:val="007473A4"/>
    <w:rsid w:val="007475B8"/>
    <w:rsid w:val="00747660"/>
    <w:rsid w:val="00747684"/>
    <w:rsid w:val="00747765"/>
    <w:rsid w:val="00747C8C"/>
    <w:rsid w:val="007503F1"/>
    <w:rsid w:val="00750946"/>
    <w:rsid w:val="00750F15"/>
    <w:rsid w:val="00751670"/>
    <w:rsid w:val="0075170F"/>
    <w:rsid w:val="007517E3"/>
    <w:rsid w:val="007518AA"/>
    <w:rsid w:val="00751B7D"/>
    <w:rsid w:val="00751F3C"/>
    <w:rsid w:val="007520A9"/>
    <w:rsid w:val="007521B5"/>
    <w:rsid w:val="00752229"/>
    <w:rsid w:val="007524EE"/>
    <w:rsid w:val="0075260D"/>
    <w:rsid w:val="007529E0"/>
    <w:rsid w:val="00752C71"/>
    <w:rsid w:val="00752ED2"/>
    <w:rsid w:val="0075324A"/>
    <w:rsid w:val="00753426"/>
    <w:rsid w:val="00753525"/>
    <w:rsid w:val="00753681"/>
    <w:rsid w:val="00753939"/>
    <w:rsid w:val="00753A9A"/>
    <w:rsid w:val="00753EB2"/>
    <w:rsid w:val="0075401B"/>
    <w:rsid w:val="007543A9"/>
    <w:rsid w:val="007547D8"/>
    <w:rsid w:val="0075483C"/>
    <w:rsid w:val="00754A1C"/>
    <w:rsid w:val="007550B4"/>
    <w:rsid w:val="0075569B"/>
    <w:rsid w:val="007556F5"/>
    <w:rsid w:val="007557AE"/>
    <w:rsid w:val="00755C43"/>
    <w:rsid w:val="00755C6C"/>
    <w:rsid w:val="00755E09"/>
    <w:rsid w:val="0075657F"/>
    <w:rsid w:val="007568C8"/>
    <w:rsid w:val="0075740C"/>
    <w:rsid w:val="00757685"/>
    <w:rsid w:val="007576E5"/>
    <w:rsid w:val="00757832"/>
    <w:rsid w:val="00757B02"/>
    <w:rsid w:val="00757B84"/>
    <w:rsid w:val="00757D20"/>
    <w:rsid w:val="00757D4B"/>
    <w:rsid w:val="00757DE2"/>
    <w:rsid w:val="00757E45"/>
    <w:rsid w:val="00760617"/>
    <w:rsid w:val="007609F3"/>
    <w:rsid w:val="007610A9"/>
    <w:rsid w:val="00761145"/>
    <w:rsid w:val="0076150F"/>
    <w:rsid w:val="0076160A"/>
    <w:rsid w:val="00761617"/>
    <w:rsid w:val="0076196C"/>
    <w:rsid w:val="0076198A"/>
    <w:rsid w:val="00761A87"/>
    <w:rsid w:val="00761B74"/>
    <w:rsid w:val="00761DA7"/>
    <w:rsid w:val="00761E08"/>
    <w:rsid w:val="0076241E"/>
    <w:rsid w:val="00762495"/>
    <w:rsid w:val="0076297D"/>
    <w:rsid w:val="00762DDD"/>
    <w:rsid w:val="00762E5F"/>
    <w:rsid w:val="007637C8"/>
    <w:rsid w:val="0076381C"/>
    <w:rsid w:val="007638FF"/>
    <w:rsid w:val="00763CCD"/>
    <w:rsid w:val="00763F86"/>
    <w:rsid w:val="007641E9"/>
    <w:rsid w:val="00764448"/>
    <w:rsid w:val="007644A7"/>
    <w:rsid w:val="00764710"/>
    <w:rsid w:val="00764A53"/>
    <w:rsid w:val="00764B04"/>
    <w:rsid w:val="00764FCA"/>
    <w:rsid w:val="00765008"/>
    <w:rsid w:val="00765042"/>
    <w:rsid w:val="007658E6"/>
    <w:rsid w:val="00765B81"/>
    <w:rsid w:val="00765D88"/>
    <w:rsid w:val="00765EC3"/>
    <w:rsid w:val="00765FA3"/>
    <w:rsid w:val="00766268"/>
    <w:rsid w:val="00766284"/>
    <w:rsid w:val="00766364"/>
    <w:rsid w:val="0076642F"/>
    <w:rsid w:val="0076682D"/>
    <w:rsid w:val="0076683E"/>
    <w:rsid w:val="00766A80"/>
    <w:rsid w:val="00766ED7"/>
    <w:rsid w:val="00767302"/>
    <w:rsid w:val="00767392"/>
    <w:rsid w:val="007674C6"/>
    <w:rsid w:val="007675B0"/>
    <w:rsid w:val="007676D5"/>
    <w:rsid w:val="00767965"/>
    <w:rsid w:val="00767E2A"/>
    <w:rsid w:val="00770369"/>
    <w:rsid w:val="00770533"/>
    <w:rsid w:val="00770678"/>
    <w:rsid w:val="007708BF"/>
    <w:rsid w:val="0077094B"/>
    <w:rsid w:val="00770DE8"/>
    <w:rsid w:val="00770FFF"/>
    <w:rsid w:val="0077122C"/>
    <w:rsid w:val="007713A7"/>
    <w:rsid w:val="007716B4"/>
    <w:rsid w:val="00771C2D"/>
    <w:rsid w:val="00771DD4"/>
    <w:rsid w:val="00771E76"/>
    <w:rsid w:val="00772095"/>
    <w:rsid w:val="007721DA"/>
    <w:rsid w:val="00772DAE"/>
    <w:rsid w:val="0077324B"/>
    <w:rsid w:val="007732C4"/>
    <w:rsid w:val="0077358B"/>
    <w:rsid w:val="00773704"/>
    <w:rsid w:val="0077371B"/>
    <w:rsid w:val="0077399C"/>
    <w:rsid w:val="007739C2"/>
    <w:rsid w:val="00773F32"/>
    <w:rsid w:val="00773F57"/>
    <w:rsid w:val="007743D0"/>
    <w:rsid w:val="007745CE"/>
    <w:rsid w:val="00774741"/>
    <w:rsid w:val="00774861"/>
    <w:rsid w:val="00774883"/>
    <w:rsid w:val="00774B20"/>
    <w:rsid w:val="00774D7F"/>
    <w:rsid w:val="007751E1"/>
    <w:rsid w:val="007755EF"/>
    <w:rsid w:val="00775711"/>
    <w:rsid w:val="00775A4E"/>
    <w:rsid w:val="00775B44"/>
    <w:rsid w:val="00775F48"/>
    <w:rsid w:val="0077600E"/>
    <w:rsid w:val="007761AD"/>
    <w:rsid w:val="0077630F"/>
    <w:rsid w:val="007767FD"/>
    <w:rsid w:val="00776A23"/>
    <w:rsid w:val="00776BAC"/>
    <w:rsid w:val="00776E37"/>
    <w:rsid w:val="00776F9E"/>
    <w:rsid w:val="007771F1"/>
    <w:rsid w:val="0077733F"/>
    <w:rsid w:val="007773CA"/>
    <w:rsid w:val="007773E5"/>
    <w:rsid w:val="00777547"/>
    <w:rsid w:val="00777558"/>
    <w:rsid w:val="0077768A"/>
    <w:rsid w:val="007776F0"/>
    <w:rsid w:val="00777B2D"/>
    <w:rsid w:val="00777D55"/>
    <w:rsid w:val="00780039"/>
    <w:rsid w:val="007801F8"/>
    <w:rsid w:val="0078041C"/>
    <w:rsid w:val="00780903"/>
    <w:rsid w:val="00780ADC"/>
    <w:rsid w:val="00780B49"/>
    <w:rsid w:val="00780DF4"/>
    <w:rsid w:val="00780DFE"/>
    <w:rsid w:val="0078112A"/>
    <w:rsid w:val="007813FD"/>
    <w:rsid w:val="00781542"/>
    <w:rsid w:val="0078162B"/>
    <w:rsid w:val="00781668"/>
    <w:rsid w:val="007816DB"/>
    <w:rsid w:val="00781B04"/>
    <w:rsid w:val="00781B25"/>
    <w:rsid w:val="00781C8A"/>
    <w:rsid w:val="00782036"/>
    <w:rsid w:val="007823A7"/>
    <w:rsid w:val="00782A16"/>
    <w:rsid w:val="00782B88"/>
    <w:rsid w:val="00782F7B"/>
    <w:rsid w:val="00783058"/>
    <w:rsid w:val="007830EB"/>
    <w:rsid w:val="007832C1"/>
    <w:rsid w:val="00783575"/>
    <w:rsid w:val="00783774"/>
    <w:rsid w:val="007837FF"/>
    <w:rsid w:val="007838BB"/>
    <w:rsid w:val="00783DD5"/>
    <w:rsid w:val="00783F3F"/>
    <w:rsid w:val="00784408"/>
    <w:rsid w:val="0078504F"/>
    <w:rsid w:val="0078518B"/>
    <w:rsid w:val="00785847"/>
    <w:rsid w:val="007863BA"/>
    <w:rsid w:val="007866DC"/>
    <w:rsid w:val="00786F82"/>
    <w:rsid w:val="00787AE7"/>
    <w:rsid w:val="00787D5A"/>
    <w:rsid w:val="00790B9D"/>
    <w:rsid w:val="00790CB0"/>
    <w:rsid w:val="00790DFD"/>
    <w:rsid w:val="00790E64"/>
    <w:rsid w:val="00791003"/>
    <w:rsid w:val="00791497"/>
    <w:rsid w:val="007915A0"/>
    <w:rsid w:val="00791767"/>
    <w:rsid w:val="007918E0"/>
    <w:rsid w:val="007921F6"/>
    <w:rsid w:val="0079221E"/>
    <w:rsid w:val="00792243"/>
    <w:rsid w:val="007926B0"/>
    <w:rsid w:val="00792791"/>
    <w:rsid w:val="0079282D"/>
    <w:rsid w:val="00792A54"/>
    <w:rsid w:val="00792A71"/>
    <w:rsid w:val="00792AF3"/>
    <w:rsid w:val="007932F5"/>
    <w:rsid w:val="00793392"/>
    <w:rsid w:val="007935BF"/>
    <w:rsid w:val="007939BA"/>
    <w:rsid w:val="00793CEE"/>
    <w:rsid w:val="00793E0F"/>
    <w:rsid w:val="00793E61"/>
    <w:rsid w:val="00794023"/>
    <w:rsid w:val="007940F7"/>
    <w:rsid w:val="00794109"/>
    <w:rsid w:val="00794A3A"/>
    <w:rsid w:val="00794B82"/>
    <w:rsid w:val="00794E05"/>
    <w:rsid w:val="00794E33"/>
    <w:rsid w:val="00794E6F"/>
    <w:rsid w:val="00794E85"/>
    <w:rsid w:val="00795AB2"/>
    <w:rsid w:val="00795F81"/>
    <w:rsid w:val="007963F6"/>
    <w:rsid w:val="00796763"/>
    <w:rsid w:val="00796ECF"/>
    <w:rsid w:val="0079712D"/>
    <w:rsid w:val="007973D5"/>
    <w:rsid w:val="00797771"/>
    <w:rsid w:val="00797CB9"/>
    <w:rsid w:val="00797EF1"/>
    <w:rsid w:val="007A08BC"/>
    <w:rsid w:val="007A0961"/>
    <w:rsid w:val="007A0A05"/>
    <w:rsid w:val="007A13BC"/>
    <w:rsid w:val="007A13BD"/>
    <w:rsid w:val="007A1CEA"/>
    <w:rsid w:val="007A209B"/>
    <w:rsid w:val="007A2266"/>
    <w:rsid w:val="007A2D48"/>
    <w:rsid w:val="007A2F39"/>
    <w:rsid w:val="007A32A1"/>
    <w:rsid w:val="007A3B68"/>
    <w:rsid w:val="007A427F"/>
    <w:rsid w:val="007A4384"/>
    <w:rsid w:val="007A4601"/>
    <w:rsid w:val="007A46D4"/>
    <w:rsid w:val="007A474D"/>
    <w:rsid w:val="007A4821"/>
    <w:rsid w:val="007A4B9D"/>
    <w:rsid w:val="007A4C43"/>
    <w:rsid w:val="007A4DCB"/>
    <w:rsid w:val="007A4DE6"/>
    <w:rsid w:val="007A5330"/>
    <w:rsid w:val="007A53C7"/>
    <w:rsid w:val="007A5798"/>
    <w:rsid w:val="007A59C1"/>
    <w:rsid w:val="007A5C37"/>
    <w:rsid w:val="007A5F2A"/>
    <w:rsid w:val="007A6193"/>
    <w:rsid w:val="007A61DA"/>
    <w:rsid w:val="007A6CEF"/>
    <w:rsid w:val="007A6E4F"/>
    <w:rsid w:val="007A7013"/>
    <w:rsid w:val="007A755B"/>
    <w:rsid w:val="007A75FC"/>
    <w:rsid w:val="007A78AE"/>
    <w:rsid w:val="007A7CB4"/>
    <w:rsid w:val="007A7D71"/>
    <w:rsid w:val="007A7E2C"/>
    <w:rsid w:val="007B019B"/>
    <w:rsid w:val="007B03A4"/>
    <w:rsid w:val="007B059E"/>
    <w:rsid w:val="007B0606"/>
    <w:rsid w:val="007B0901"/>
    <w:rsid w:val="007B09BE"/>
    <w:rsid w:val="007B0A6E"/>
    <w:rsid w:val="007B0BB2"/>
    <w:rsid w:val="007B0BC8"/>
    <w:rsid w:val="007B0D4D"/>
    <w:rsid w:val="007B161C"/>
    <w:rsid w:val="007B1822"/>
    <w:rsid w:val="007B2C91"/>
    <w:rsid w:val="007B2DFE"/>
    <w:rsid w:val="007B2DFF"/>
    <w:rsid w:val="007B3347"/>
    <w:rsid w:val="007B3564"/>
    <w:rsid w:val="007B35E4"/>
    <w:rsid w:val="007B3630"/>
    <w:rsid w:val="007B3752"/>
    <w:rsid w:val="007B3959"/>
    <w:rsid w:val="007B3C0B"/>
    <w:rsid w:val="007B3D6A"/>
    <w:rsid w:val="007B3EF7"/>
    <w:rsid w:val="007B3FC5"/>
    <w:rsid w:val="007B3FD8"/>
    <w:rsid w:val="007B4478"/>
    <w:rsid w:val="007B4525"/>
    <w:rsid w:val="007B45BD"/>
    <w:rsid w:val="007B475D"/>
    <w:rsid w:val="007B4A50"/>
    <w:rsid w:val="007B4D2D"/>
    <w:rsid w:val="007B4D2E"/>
    <w:rsid w:val="007B4D99"/>
    <w:rsid w:val="007B4FD9"/>
    <w:rsid w:val="007B547D"/>
    <w:rsid w:val="007B5651"/>
    <w:rsid w:val="007B5907"/>
    <w:rsid w:val="007B59D4"/>
    <w:rsid w:val="007B5F1B"/>
    <w:rsid w:val="007B601E"/>
    <w:rsid w:val="007B605E"/>
    <w:rsid w:val="007B6456"/>
    <w:rsid w:val="007B64E8"/>
    <w:rsid w:val="007B6741"/>
    <w:rsid w:val="007B677E"/>
    <w:rsid w:val="007B6C6C"/>
    <w:rsid w:val="007B6D23"/>
    <w:rsid w:val="007B6E00"/>
    <w:rsid w:val="007B6F33"/>
    <w:rsid w:val="007B6FF2"/>
    <w:rsid w:val="007B70A7"/>
    <w:rsid w:val="007B72AC"/>
    <w:rsid w:val="007B72AE"/>
    <w:rsid w:val="007B74D4"/>
    <w:rsid w:val="007B75BE"/>
    <w:rsid w:val="007B763A"/>
    <w:rsid w:val="007B787F"/>
    <w:rsid w:val="007B78BC"/>
    <w:rsid w:val="007B7943"/>
    <w:rsid w:val="007B7AE6"/>
    <w:rsid w:val="007B7EFC"/>
    <w:rsid w:val="007C0AB7"/>
    <w:rsid w:val="007C0D4E"/>
    <w:rsid w:val="007C123B"/>
    <w:rsid w:val="007C145C"/>
    <w:rsid w:val="007C14C4"/>
    <w:rsid w:val="007C1D72"/>
    <w:rsid w:val="007C1E46"/>
    <w:rsid w:val="007C23E9"/>
    <w:rsid w:val="007C2809"/>
    <w:rsid w:val="007C2854"/>
    <w:rsid w:val="007C2A64"/>
    <w:rsid w:val="007C2BF4"/>
    <w:rsid w:val="007C2DEB"/>
    <w:rsid w:val="007C2E39"/>
    <w:rsid w:val="007C311D"/>
    <w:rsid w:val="007C3133"/>
    <w:rsid w:val="007C38F7"/>
    <w:rsid w:val="007C3915"/>
    <w:rsid w:val="007C3B14"/>
    <w:rsid w:val="007C40C3"/>
    <w:rsid w:val="007C436E"/>
    <w:rsid w:val="007C4674"/>
    <w:rsid w:val="007C5131"/>
    <w:rsid w:val="007C5206"/>
    <w:rsid w:val="007C575A"/>
    <w:rsid w:val="007C5A3F"/>
    <w:rsid w:val="007C6213"/>
    <w:rsid w:val="007C6321"/>
    <w:rsid w:val="007C706C"/>
    <w:rsid w:val="007C70A5"/>
    <w:rsid w:val="007C7353"/>
    <w:rsid w:val="007C7726"/>
    <w:rsid w:val="007C7850"/>
    <w:rsid w:val="007C7853"/>
    <w:rsid w:val="007C797A"/>
    <w:rsid w:val="007C7B9B"/>
    <w:rsid w:val="007C7CCD"/>
    <w:rsid w:val="007C7D5B"/>
    <w:rsid w:val="007C7F87"/>
    <w:rsid w:val="007C7FD9"/>
    <w:rsid w:val="007D02D9"/>
    <w:rsid w:val="007D04F0"/>
    <w:rsid w:val="007D0982"/>
    <w:rsid w:val="007D09F9"/>
    <w:rsid w:val="007D0FEF"/>
    <w:rsid w:val="007D1DBC"/>
    <w:rsid w:val="007D2A2A"/>
    <w:rsid w:val="007D2B76"/>
    <w:rsid w:val="007D2C8F"/>
    <w:rsid w:val="007D306A"/>
    <w:rsid w:val="007D35EF"/>
    <w:rsid w:val="007D3966"/>
    <w:rsid w:val="007D3CBB"/>
    <w:rsid w:val="007D3DE5"/>
    <w:rsid w:val="007D431F"/>
    <w:rsid w:val="007D4376"/>
    <w:rsid w:val="007D43BC"/>
    <w:rsid w:val="007D442E"/>
    <w:rsid w:val="007D44E8"/>
    <w:rsid w:val="007D47A7"/>
    <w:rsid w:val="007D4836"/>
    <w:rsid w:val="007D48DB"/>
    <w:rsid w:val="007D48E6"/>
    <w:rsid w:val="007D49C0"/>
    <w:rsid w:val="007D4A7A"/>
    <w:rsid w:val="007D4A82"/>
    <w:rsid w:val="007D4AFF"/>
    <w:rsid w:val="007D4DC4"/>
    <w:rsid w:val="007D5512"/>
    <w:rsid w:val="007D574B"/>
    <w:rsid w:val="007D5BE0"/>
    <w:rsid w:val="007D61D4"/>
    <w:rsid w:val="007D637B"/>
    <w:rsid w:val="007D67EB"/>
    <w:rsid w:val="007D68AA"/>
    <w:rsid w:val="007D69CF"/>
    <w:rsid w:val="007D6EE6"/>
    <w:rsid w:val="007D70D2"/>
    <w:rsid w:val="007D7284"/>
    <w:rsid w:val="007D7428"/>
    <w:rsid w:val="007D7787"/>
    <w:rsid w:val="007D7E49"/>
    <w:rsid w:val="007D7F1F"/>
    <w:rsid w:val="007D7FF3"/>
    <w:rsid w:val="007E00C0"/>
    <w:rsid w:val="007E01F4"/>
    <w:rsid w:val="007E09E6"/>
    <w:rsid w:val="007E0CE3"/>
    <w:rsid w:val="007E0D45"/>
    <w:rsid w:val="007E0E2A"/>
    <w:rsid w:val="007E10EA"/>
    <w:rsid w:val="007E122D"/>
    <w:rsid w:val="007E156C"/>
    <w:rsid w:val="007E17DF"/>
    <w:rsid w:val="007E1F39"/>
    <w:rsid w:val="007E21F1"/>
    <w:rsid w:val="007E251B"/>
    <w:rsid w:val="007E25E7"/>
    <w:rsid w:val="007E29EB"/>
    <w:rsid w:val="007E2A46"/>
    <w:rsid w:val="007E2CBD"/>
    <w:rsid w:val="007E2F1E"/>
    <w:rsid w:val="007E2F95"/>
    <w:rsid w:val="007E36BF"/>
    <w:rsid w:val="007E37E4"/>
    <w:rsid w:val="007E38A7"/>
    <w:rsid w:val="007E3A87"/>
    <w:rsid w:val="007E3B0D"/>
    <w:rsid w:val="007E4597"/>
    <w:rsid w:val="007E45AC"/>
    <w:rsid w:val="007E4DCC"/>
    <w:rsid w:val="007E5064"/>
    <w:rsid w:val="007E521D"/>
    <w:rsid w:val="007E5651"/>
    <w:rsid w:val="007E5D85"/>
    <w:rsid w:val="007E5DCA"/>
    <w:rsid w:val="007E618E"/>
    <w:rsid w:val="007E636D"/>
    <w:rsid w:val="007E6383"/>
    <w:rsid w:val="007E6538"/>
    <w:rsid w:val="007E6CC8"/>
    <w:rsid w:val="007E6F36"/>
    <w:rsid w:val="007E6FE7"/>
    <w:rsid w:val="007E709A"/>
    <w:rsid w:val="007E783D"/>
    <w:rsid w:val="007E78F6"/>
    <w:rsid w:val="007E7A16"/>
    <w:rsid w:val="007E7A2B"/>
    <w:rsid w:val="007E7CDE"/>
    <w:rsid w:val="007E7E03"/>
    <w:rsid w:val="007E7FAE"/>
    <w:rsid w:val="007F02F2"/>
    <w:rsid w:val="007F0549"/>
    <w:rsid w:val="007F09DC"/>
    <w:rsid w:val="007F0DED"/>
    <w:rsid w:val="007F0E67"/>
    <w:rsid w:val="007F11C7"/>
    <w:rsid w:val="007F11D7"/>
    <w:rsid w:val="007F136A"/>
    <w:rsid w:val="007F14CE"/>
    <w:rsid w:val="007F14ED"/>
    <w:rsid w:val="007F1C09"/>
    <w:rsid w:val="007F1D82"/>
    <w:rsid w:val="007F2274"/>
    <w:rsid w:val="007F2343"/>
    <w:rsid w:val="007F23DB"/>
    <w:rsid w:val="007F2871"/>
    <w:rsid w:val="007F2903"/>
    <w:rsid w:val="007F2F1F"/>
    <w:rsid w:val="007F33B5"/>
    <w:rsid w:val="007F348F"/>
    <w:rsid w:val="007F3615"/>
    <w:rsid w:val="007F3767"/>
    <w:rsid w:val="007F3850"/>
    <w:rsid w:val="007F38D8"/>
    <w:rsid w:val="007F393A"/>
    <w:rsid w:val="007F4192"/>
    <w:rsid w:val="007F41AB"/>
    <w:rsid w:val="007F493C"/>
    <w:rsid w:val="007F497A"/>
    <w:rsid w:val="007F4C52"/>
    <w:rsid w:val="007F507B"/>
    <w:rsid w:val="007F52B9"/>
    <w:rsid w:val="007F548C"/>
    <w:rsid w:val="007F54A3"/>
    <w:rsid w:val="007F5683"/>
    <w:rsid w:val="007F58F5"/>
    <w:rsid w:val="007F5E8F"/>
    <w:rsid w:val="007F615F"/>
    <w:rsid w:val="007F632D"/>
    <w:rsid w:val="007F65F8"/>
    <w:rsid w:val="007F6861"/>
    <w:rsid w:val="007F6878"/>
    <w:rsid w:val="007F6C75"/>
    <w:rsid w:val="007F6CDE"/>
    <w:rsid w:val="007F6DF1"/>
    <w:rsid w:val="007F70FB"/>
    <w:rsid w:val="007F7A0C"/>
    <w:rsid w:val="007F7E07"/>
    <w:rsid w:val="00800320"/>
    <w:rsid w:val="008009C1"/>
    <w:rsid w:val="00800B30"/>
    <w:rsid w:val="00800EBF"/>
    <w:rsid w:val="00800F98"/>
    <w:rsid w:val="008014B2"/>
    <w:rsid w:val="00801550"/>
    <w:rsid w:val="00801588"/>
    <w:rsid w:val="008016D6"/>
    <w:rsid w:val="00801707"/>
    <w:rsid w:val="0080199C"/>
    <w:rsid w:val="00801A3D"/>
    <w:rsid w:val="00801E2C"/>
    <w:rsid w:val="00801F7F"/>
    <w:rsid w:val="00802809"/>
    <w:rsid w:val="008029C9"/>
    <w:rsid w:val="00802A44"/>
    <w:rsid w:val="008032EF"/>
    <w:rsid w:val="008035F1"/>
    <w:rsid w:val="00803661"/>
    <w:rsid w:val="00803C20"/>
    <w:rsid w:val="00803DFF"/>
    <w:rsid w:val="00804212"/>
    <w:rsid w:val="008044D7"/>
    <w:rsid w:val="00804747"/>
    <w:rsid w:val="00804938"/>
    <w:rsid w:val="00804A53"/>
    <w:rsid w:val="00804CA4"/>
    <w:rsid w:val="0080511C"/>
    <w:rsid w:val="008051F3"/>
    <w:rsid w:val="00805259"/>
    <w:rsid w:val="0080530D"/>
    <w:rsid w:val="008053B9"/>
    <w:rsid w:val="008058C9"/>
    <w:rsid w:val="00805E28"/>
    <w:rsid w:val="00805E43"/>
    <w:rsid w:val="0080601C"/>
    <w:rsid w:val="008060D6"/>
    <w:rsid w:val="008060E1"/>
    <w:rsid w:val="00806270"/>
    <w:rsid w:val="008066A3"/>
    <w:rsid w:val="00806931"/>
    <w:rsid w:val="00806AF2"/>
    <w:rsid w:val="00806CA4"/>
    <w:rsid w:val="00806DDA"/>
    <w:rsid w:val="008075EE"/>
    <w:rsid w:val="00807A53"/>
    <w:rsid w:val="00807C81"/>
    <w:rsid w:val="00807FF9"/>
    <w:rsid w:val="008101E5"/>
    <w:rsid w:val="008104B0"/>
    <w:rsid w:val="00810792"/>
    <w:rsid w:val="00810A6B"/>
    <w:rsid w:val="0081108A"/>
    <w:rsid w:val="00811627"/>
    <w:rsid w:val="008116CD"/>
    <w:rsid w:val="0081228C"/>
    <w:rsid w:val="00812465"/>
    <w:rsid w:val="008124B5"/>
    <w:rsid w:val="00812CCA"/>
    <w:rsid w:val="00812CCB"/>
    <w:rsid w:val="008130BD"/>
    <w:rsid w:val="00813400"/>
    <w:rsid w:val="00813425"/>
    <w:rsid w:val="00813612"/>
    <w:rsid w:val="0081397D"/>
    <w:rsid w:val="00813BE6"/>
    <w:rsid w:val="00813E96"/>
    <w:rsid w:val="00813FE0"/>
    <w:rsid w:val="008142FE"/>
    <w:rsid w:val="00814448"/>
    <w:rsid w:val="008145F7"/>
    <w:rsid w:val="008145F8"/>
    <w:rsid w:val="008145FF"/>
    <w:rsid w:val="008148F3"/>
    <w:rsid w:val="00814A60"/>
    <w:rsid w:val="00814ACE"/>
    <w:rsid w:val="00814E71"/>
    <w:rsid w:val="00815543"/>
    <w:rsid w:val="00815709"/>
    <w:rsid w:val="008157A2"/>
    <w:rsid w:val="0081589C"/>
    <w:rsid w:val="00815B65"/>
    <w:rsid w:val="00815BD4"/>
    <w:rsid w:val="00815CB8"/>
    <w:rsid w:val="00815D34"/>
    <w:rsid w:val="00815E08"/>
    <w:rsid w:val="008165A8"/>
    <w:rsid w:val="008169BD"/>
    <w:rsid w:val="00816A32"/>
    <w:rsid w:val="00816A7C"/>
    <w:rsid w:val="008170EC"/>
    <w:rsid w:val="0081710D"/>
    <w:rsid w:val="00817177"/>
    <w:rsid w:val="008173CB"/>
    <w:rsid w:val="00817D4B"/>
    <w:rsid w:val="00820440"/>
    <w:rsid w:val="00820704"/>
    <w:rsid w:val="0082082F"/>
    <w:rsid w:val="00820CE1"/>
    <w:rsid w:val="00820D79"/>
    <w:rsid w:val="00820EC0"/>
    <w:rsid w:val="00820F55"/>
    <w:rsid w:val="0082113E"/>
    <w:rsid w:val="008212A1"/>
    <w:rsid w:val="008213BB"/>
    <w:rsid w:val="008213FD"/>
    <w:rsid w:val="008218E0"/>
    <w:rsid w:val="0082198E"/>
    <w:rsid w:val="00821C7D"/>
    <w:rsid w:val="00821E64"/>
    <w:rsid w:val="00821FC5"/>
    <w:rsid w:val="00822008"/>
    <w:rsid w:val="00822497"/>
    <w:rsid w:val="00822886"/>
    <w:rsid w:val="00822973"/>
    <w:rsid w:val="0082300B"/>
    <w:rsid w:val="00823135"/>
    <w:rsid w:val="00823223"/>
    <w:rsid w:val="008239B2"/>
    <w:rsid w:val="00823B7C"/>
    <w:rsid w:val="00823C60"/>
    <w:rsid w:val="00823D00"/>
    <w:rsid w:val="00823D81"/>
    <w:rsid w:val="00823E21"/>
    <w:rsid w:val="00824344"/>
    <w:rsid w:val="00824470"/>
    <w:rsid w:val="00824675"/>
    <w:rsid w:val="0082476A"/>
    <w:rsid w:val="0082496A"/>
    <w:rsid w:val="008249B1"/>
    <w:rsid w:val="00824F97"/>
    <w:rsid w:val="008252A0"/>
    <w:rsid w:val="0082533D"/>
    <w:rsid w:val="008259BE"/>
    <w:rsid w:val="00825C39"/>
    <w:rsid w:val="00825E7F"/>
    <w:rsid w:val="00825EB0"/>
    <w:rsid w:val="00825EDF"/>
    <w:rsid w:val="00826022"/>
    <w:rsid w:val="00826408"/>
    <w:rsid w:val="00826B1F"/>
    <w:rsid w:val="00826D18"/>
    <w:rsid w:val="00826ED1"/>
    <w:rsid w:val="0082721D"/>
    <w:rsid w:val="008277FA"/>
    <w:rsid w:val="00827EDA"/>
    <w:rsid w:val="00830147"/>
    <w:rsid w:val="00830756"/>
    <w:rsid w:val="008307FF"/>
    <w:rsid w:val="0083129C"/>
    <w:rsid w:val="00831758"/>
    <w:rsid w:val="00831943"/>
    <w:rsid w:val="00831D2C"/>
    <w:rsid w:val="00832130"/>
    <w:rsid w:val="00832195"/>
    <w:rsid w:val="00832594"/>
    <w:rsid w:val="008325BF"/>
    <w:rsid w:val="00832683"/>
    <w:rsid w:val="008327C6"/>
    <w:rsid w:val="00833312"/>
    <w:rsid w:val="00833320"/>
    <w:rsid w:val="00833709"/>
    <w:rsid w:val="008337D9"/>
    <w:rsid w:val="00833C48"/>
    <w:rsid w:val="008340A4"/>
    <w:rsid w:val="00834353"/>
    <w:rsid w:val="008345FC"/>
    <w:rsid w:val="008348E9"/>
    <w:rsid w:val="00834BBE"/>
    <w:rsid w:val="00834CED"/>
    <w:rsid w:val="00834E6C"/>
    <w:rsid w:val="00834EC5"/>
    <w:rsid w:val="008351D7"/>
    <w:rsid w:val="008353FA"/>
    <w:rsid w:val="008356AF"/>
    <w:rsid w:val="00835AAD"/>
    <w:rsid w:val="00835BDE"/>
    <w:rsid w:val="00835E41"/>
    <w:rsid w:val="00836199"/>
    <w:rsid w:val="0083628A"/>
    <w:rsid w:val="00836468"/>
    <w:rsid w:val="008365D2"/>
    <w:rsid w:val="00836918"/>
    <w:rsid w:val="00836B8E"/>
    <w:rsid w:val="00836C88"/>
    <w:rsid w:val="00836D5D"/>
    <w:rsid w:val="00837113"/>
    <w:rsid w:val="00837151"/>
    <w:rsid w:val="008371A1"/>
    <w:rsid w:val="00837277"/>
    <w:rsid w:val="008373A8"/>
    <w:rsid w:val="0083795E"/>
    <w:rsid w:val="00837AFD"/>
    <w:rsid w:val="00837D7F"/>
    <w:rsid w:val="00840013"/>
    <w:rsid w:val="00840159"/>
    <w:rsid w:val="008402ED"/>
    <w:rsid w:val="00840B2D"/>
    <w:rsid w:val="00840BB8"/>
    <w:rsid w:val="008412A9"/>
    <w:rsid w:val="008413EA"/>
    <w:rsid w:val="008415DA"/>
    <w:rsid w:val="00841D77"/>
    <w:rsid w:val="00841F66"/>
    <w:rsid w:val="008421BF"/>
    <w:rsid w:val="008426BC"/>
    <w:rsid w:val="008429DC"/>
    <w:rsid w:val="00842A2D"/>
    <w:rsid w:val="00842BD3"/>
    <w:rsid w:val="00842E71"/>
    <w:rsid w:val="00842FC6"/>
    <w:rsid w:val="008437E5"/>
    <w:rsid w:val="0084380A"/>
    <w:rsid w:val="00843BDA"/>
    <w:rsid w:val="00843F1E"/>
    <w:rsid w:val="00843F6C"/>
    <w:rsid w:val="00843FDA"/>
    <w:rsid w:val="00844578"/>
    <w:rsid w:val="00844A8E"/>
    <w:rsid w:val="0084574A"/>
    <w:rsid w:val="00845850"/>
    <w:rsid w:val="00845997"/>
    <w:rsid w:val="00845A4C"/>
    <w:rsid w:val="00845C96"/>
    <w:rsid w:val="00846002"/>
    <w:rsid w:val="0084626D"/>
    <w:rsid w:val="008468FD"/>
    <w:rsid w:val="00846C28"/>
    <w:rsid w:val="00846D67"/>
    <w:rsid w:val="00847CBF"/>
    <w:rsid w:val="00847CCB"/>
    <w:rsid w:val="00847D24"/>
    <w:rsid w:val="0085014E"/>
    <w:rsid w:val="0085022B"/>
    <w:rsid w:val="00850262"/>
    <w:rsid w:val="00850888"/>
    <w:rsid w:val="0085099B"/>
    <w:rsid w:val="00850EAC"/>
    <w:rsid w:val="00851001"/>
    <w:rsid w:val="008513BC"/>
    <w:rsid w:val="00851649"/>
    <w:rsid w:val="008516E0"/>
    <w:rsid w:val="00851720"/>
    <w:rsid w:val="00851B2E"/>
    <w:rsid w:val="00851ED7"/>
    <w:rsid w:val="00852110"/>
    <w:rsid w:val="00852736"/>
    <w:rsid w:val="008527EE"/>
    <w:rsid w:val="0085306C"/>
    <w:rsid w:val="008532AC"/>
    <w:rsid w:val="00853396"/>
    <w:rsid w:val="008537BC"/>
    <w:rsid w:val="00853BC8"/>
    <w:rsid w:val="0085408D"/>
    <w:rsid w:val="008542E4"/>
    <w:rsid w:val="0085465A"/>
    <w:rsid w:val="00854740"/>
    <w:rsid w:val="00855B89"/>
    <w:rsid w:val="00855D08"/>
    <w:rsid w:val="008565D3"/>
    <w:rsid w:val="008567E6"/>
    <w:rsid w:val="00856C15"/>
    <w:rsid w:val="00856D87"/>
    <w:rsid w:val="00856F53"/>
    <w:rsid w:val="008573C2"/>
    <w:rsid w:val="0085792A"/>
    <w:rsid w:val="00857C1D"/>
    <w:rsid w:val="00857D81"/>
    <w:rsid w:val="00857FD7"/>
    <w:rsid w:val="0086008E"/>
    <w:rsid w:val="008600DC"/>
    <w:rsid w:val="0086014E"/>
    <w:rsid w:val="008605B9"/>
    <w:rsid w:val="008605CC"/>
    <w:rsid w:val="0086060F"/>
    <w:rsid w:val="008607A9"/>
    <w:rsid w:val="00860A22"/>
    <w:rsid w:val="00860B66"/>
    <w:rsid w:val="00860B71"/>
    <w:rsid w:val="00860E46"/>
    <w:rsid w:val="00861160"/>
    <w:rsid w:val="00861164"/>
    <w:rsid w:val="008611A5"/>
    <w:rsid w:val="008611DD"/>
    <w:rsid w:val="00861444"/>
    <w:rsid w:val="008614D4"/>
    <w:rsid w:val="0086183F"/>
    <w:rsid w:val="008618E1"/>
    <w:rsid w:val="00861B5A"/>
    <w:rsid w:val="00861E44"/>
    <w:rsid w:val="008622DE"/>
    <w:rsid w:val="008624EC"/>
    <w:rsid w:val="0086265D"/>
    <w:rsid w:val="008627A6"/>
    <w:rsid w:val="008627E9"/>
    <w:rsid w:val="00862884"/>
    <w:rsid w:val="00862B9D"/>
    <w:rsid w:val="008633CF"/>
    <w:rsid w:val="00863CAF"/>
    <w:rsid w:val="0086403F"/>
    <w:rsid w:val="00864229"/>
    <w:rsid w:val="008642D2"/>
    <w:rsid w:val="00864A37"/>
    <w:rsid w:val="00864B88"/>
    <w:rsid w:val="00864BC9"/>
    <w:rsid w:val="00864E76"/>
    <w:rsid w:val="00865007"/>
    <w:rsid w:val="008655EC"/>
    <w:rsid w:val="0086574C"/>
    <w:rsid w:val="00865BC7"/>
    <w:rsid w:val="00865F8B"/>
    <w:rsid w:val="00866796"/>
    <w:rsid w:val="00866BDB"/>
    <w:rsid w:val="00866C6B"/>
    <w:rsid w:val="00866D76"/>
    <w:rsid w:val="00867004"/>
    <w:rsid w:val="00867050"/>
    <w:rsid w:val="0086722C"/>
    <w:rsid w:val="00867233"/>
    <w:rsid w:val="008674E3"/>
    <w:rsid w:val="008674EB"/>
    <w:rsid w:val="0086760C"/>
    <w:rsid w:val="0086773F"/>
    <w:rsid w:val="0086783E"/>
    <w:rsid w:val="008678AF"/>
    <w:rsid w:val="008679E4"/>
    <w:rsid w:val="00867A01"/>
    <w:rsid w:val="00867B58"/>
    <w:rsid w:val="0087010D"/>
    <w:rsid w:val="00870A9E"/>
    <w:rsid w:val="00870ADD"/>
    <w:rsid w:val="00871011"/>
    <w:rsid w:val="00871024"/>
    <w:rsid w:val="0087152D"/>
    <w:rsid w:val="008715EA"/>
    <w:rsid w:val="008716D0"/>
    <w:rsid w:val="00871DAC"/>
    <w:rsid w:val="00871F27"/>
    <w:rsid w:val="00872EA9"/>
    <w:rsid w:val="00872EC0"/>
    <w:rsid w:val="0087332C"/>
    <w:rsid w:val="00873495"/>
    <w:rsid w:val="00873DC1"/>
    <w:rsid w:val="008742F5"/>
    <w:rsid w:val="00874477"/>
    <w:rsid w:val="008745FB"/>
    <w:rsid w:val="00874A3A"/>
    <w:rsid w:val="00874A78"/>
    <w:rsid w:val="00874DDE"/>
    <w:rsid w:val="00874F5A"/>
    <w:rsid w:val="00875053"/>
    <w:rsid w:val="00875223"/>
    <w:rsid w:val="008754F7"/>
    <w:rsid w:val="00875713"/>
    <w:rsid w:val="00875841"/>
    <w:rsid w:val="00875869"/>
    <w:rsid w:val="00875AFD"/>
    <w:rsid w:val="00875B16"/>
    <w:rsid w:val="00875DA2"/>
    <w:rsid w:val="00875ECE"/>
    <w:rsid w:val="00875F15"/>
    <w:rsid w:val="00875FC7"/>
    <w:rsid w:val="008761F5"/>
    <w:rsid w:val="00876203"/>
    <w:rsid w:val="00876613"/>
    <w:rsid w:val="00876B14"/>
    <w:rsid w:val="00876FC9"/>
    <w:rsid w:val="008775A9"/>
    <w:rsid w:val="0087766B"/>
    <w:rsid w:val="0087779E"/>
    <w:rsid w:val="00877A93"/>
    <w:rsid w:val="00877AD4"/>
    <w:rsid w:val="00877B1E"/>
    <w:rsid w:val="00877D26"/>
    <w:rsid w:val="00877DEB"/>
    <w:rsid w:val="0088046B"/>
    <w:rsid w:val="00880530"/>
    <w:rsid w:val="008805BD"/>
    <w:rsid w:val="00880C03"/>
    <w:rsid w:val="00881215"/>
    <w:rsid w:val="008813B7"/>
    <w:rsid w:val="008814CD"/>
    <w:rsid w:val="00881FF1"/>
    <w:rsid w:val="00882172"/>
    <w:rsid w:val="00882D3C"/>
    <w:rsid w:val="00882E35"/>
    <w:rsid w:val="008831C6"/>
    <w:rsid w:val="00883844"/>
    <w:rsid w:val="008839E0"/>
    <w:rsid w:val="00883A20"/>
    <w:rsid w:val="00883AC4"/>
    <w:rsid w:val="00883B39"/>
    <w:rsid w:val="00883D9E"/>
    <w:rsid w:val="00884325"/>
    <w:rsid w:val="0088466F"/>
    <w:rsid w:val="008846FA"/>
    <w:rsid w:val="0088490E"/>
    <w:rsid w:val="00884A27"/>
    <w:rsid w:val="00884C23"/>
    <w:rsid w:val="00884C63"/>
    <w:rsid w:val="00884FDA"/>
    <w:rsid w:val="00885106"/>
    <w:rsid w:val="00885241"/>
    <w:rsid w:val="0088531A"/>
    <w:rsid w:val="008855B8"/>
    <w:rsid w:val="0088583D"/>
    <w:rsid w:val="00885A15"/>
    <w:rsid w:val="00885BC6"/>
    <w:rsid w:val="00885C28"/>
    <w:rsid w:val="00885C67"/>
    <w:rsid w:val="00885CF3"/>
    <w:rsid w:val="00885E23"/>
    <w:rsid w:val="00885EFA"/>
    <w:rsid w:val="00886075"/>
    <w:rsid w:val="0088607C"/>
    <w:rsid w:val="00886293"/>
    <w:rsid w:val="0088653E"/>
    <w:rsid w:val="008867A6"/>
    <w:rsid w:val="0088694F"/>
    <w:rsid w:val="00886A15"/>
    <w:rsid w:val="00886A9A"/>
    <w:rsid w:val="00886FF2"/>
    <w:rsid w:val="008878DC"/>
    <w:rsid w:val="00887AC9"/>
    <w:rsid w:val="00887D67"/>
    <w:rsid w:val="00890153"/>
    <w:rsid w:val="00890815"/>
    <w:rsid w:val="00890D8F"/>
    <w:rsid w:val="008911C4"/>
    <w:rsid w:val="00891795"/>
    <w:rsid w:val="0089191C"/>
    <w:rsid w:val="00891AEA"/>
    <w:rsid w:val="00891CAA"/>
    <w:rsid w:val="00891E12"/>
    <w:rsid w:val="0089220C"/>
    <w:rsid w:val="0089275C"/>
    <w:rsid w:val="00893193"/>
    <w:rsid w:val="0089323D"/>
    <w:rsid w:val="008932BA"/>
    <w:rsid w:val="0089338D"/>
    <w:rsid w:val="00893AB3"/>
    <w:rsid w:val="00893C94"/>
    <w:rsid w:val="00894414"/>
    <w:rsid w:val="00894459"/>
    <w:rsid w:val="00894464"/>
    <w:rsid w:val="008946AA"/>
    <w:rsid w:val="008948FA"/>
    <w:rsid w:val="00894A18"/>
    <w:rsid w:val="00894D70"/>
    <w:rsid w:val="00894E73"/>
    <w:rsid w:val="0089502B"/>
    <w:rsid w:val="0089517C"/>
    <w:rsid w:val="00895209"/>
    <w:rsid w:val="008952DE"/>
    <w:rsid w:val="0089543E"/>
    <w:rsid w:val="00895B91"/>
    <w:rsid w:val="00896666"/>
    <w:rsid w:val="00896959"/>
    <w:rsid w:val="00896EB2"/>
    <w:rsid w:val="008971A5"/>
    <w:rsid w:val="00897220"/>
    <w:rsid w:val="008972F5"/>
    <w:rsid w:val="008973D3"/>
    <w:rsid w:val="00897ED8"/>
    <w:rsid w:val="008A0015"/>
    <w:rsid w:val="008A01E1"/>
    <w:rsid w:val="008A027A"/>
    <w:rsid w:val="008A0980"/>
    <w:rsid w:val="008A0990"/>
    <w:rsid w:val="008A0BB1"/>
    <w:rsid w:val="008A0BF4"/>
    <w:rsid w:val="008A0C32"/>
    <w:rsid w:val="008A0EB2"/>
    <w:rsid w:val="008A1424"/>
    <w:rsid w:val="008A1462"/>
    <w:rsid w:val="008A1791"/>
    <w:rsid w:val="008A2108"/>
    <w:rsid w:val="008A24D1"/>
    <w:rsid w:val="008A2517"/>
    <w:rsid w:val="008A280A"/>
    <w:rsid w:val="008A2B9F"/>
    <w:rsid w:val="008A2D2F"/>
    <w:rsid w:val="008A2F5C"/>
    <w:rsid w:val="008A35CD"/>
    <w:rsid w:val="008A36DC"/>
    <w:rsid w:val="008A3719"/>
    <w:rsid w:val="008A382E"/>
    <w:rsid w:val="008A39BF"/>
    <w:rsid w:val="008A3E0E"/>
    <w:rsid w:val="008A449F"/>
    <w:rsid w:val="008A4FD6"/>
    <w:rsid w:val="008A531B"/>
    <w:rsid w:val="008A566B"/>
    <w:rsid w:val="008A573C"/>
    <w:rsid w:val="008A58B8"/>
    <w:rsid w:val="008A6122"/>
    <w:rsid w:val="008A6446"/>
    <w:rsid w:val="008A68A7"/>
    <w:rsid w:val="008A69F8"/>
    <w:rsid w:val="008A6A05"/>
    <w:rsid w:val="008A6D82"/>
    <w:rsid w:val="008A6EA5"/>
    <w:rsid w:val="008A6F2D"/>
    <w:rsid w:val="008A7378"/>
    <w:rsid w:val="008A752E"/>
    <w:rsid w:val="008A7884"/>
    <w:rsid w:val="008A788D"/>
    <w:rsid w:val="008A7926"/>
    <w:rsid w:val="008A7C8C"/>
    <w:rsid w:val="008A7D12"/>
    <w:rsid w:val="008A7D51"/>
    <w:rsid w:val="008B0239"/>
    <w:rsid w:val="008B0562"/>
    <w:rsid w:val="008B07C8"/>
    <w:rsid w:val="008B0F98"/>
    <w:rsid w:val="008B124F"/>
    <w:rsid w:val="008B1518"/>
    <w:rsid w:val="008B15B9"/>
    <w:rsid w:val="008B1649"/>
    <w:rsid w:val="008B185E"/>
    <w:rsid w:val="008B1998"/>
    <w:rsid w:val="008B1AFC"/>
    <w:rsid w:val="008B1CF3"/>
    <w:rsid w:val="008B1E65"/>
    <w:rsid w:val="008B1F07"/>
    <w:rsid w:val="008B227A"/>
    <w:rsid w:val="008B2441"/>
    <w:rsid w:val="008B25DE"/>
    <w:rsid w:val="008B27DA"/>
    <w:rsid w:val="008B283C"/>
    <w:rsid w:val="008B2958"/>
    <w:rsid w:val="008B299A"/>
    <w:rsid w:val="008B29AD"/>
    <w:rsid w:val="008B2E1E"/>
    <w:rsid w:val="008B2FBB"/>
    <w:rsid w:val="008B2FE0"/>
    <w:rsid w:val="008B32E5"/>
    <w:rsid w:val="008B3583"/>
    <w:rsid w:val="008B3943"/>
    <w:rsid w:val="008B3C05"/>
    <w:rsid w:val="008B3E7A"/>
    <w:rsid w:val="008B3E80"/>
    <w:rsid w:val="008B3F55"/>
    <w:rsid w:val="008B40B7"/>
    <w:rsid w:val="008B40C9"/>
    <w:rsid w:val="008B42AB"/>
    <w:rsid w:val="008B449A"/>
    <w:rsid w:val="008B4578"/>
    <w:rsid w:val="008B4698"/>
    <w:rsid w:val="008B4C83"/>
    <w:rsid w:val="008B502A"/>
    <w:rsid w:val="008B5815"/>
    <w:rsid w:val="008B597F"/>
    <w:rsid w:val="008B5C52"/>
    <w:rsid w:val="008B613D"/>
    <w:rsid w:val="008B6217"/>
    <w:rsid w:val="008B6342"/>
    <w:rsid w:val="008B6C68"/>
    <w:rsid w:val="008B74BF"/>
    <w:rsid w:val="008B785C"/>
    <w:rsid w:val="008B7BF2"/>
    <w:rsid w:val="008B7D52"/>
    <w:rsid w:val="008B7EFC"/>
    <w:rsid w:val="008B7F20"/>
    <w:rsid w:val="008C0302"/>
    <w:rsid w:val="008C0566"/>
    <w:rsid w:val="008C0AB7"/>
    <w:rsid w:val="008C0B7D"/>
    <w:rsid w:val="008C0BB6"/>
    <w:rsid w:val="008C213F"/>
    <w:rsid w:val="008C2185"/>
    <w:rsid w:val="008C226C"/>
    <w:rsid w:val="008C22F1"/>
    <w:rsid w:val="008C2842"/>
    <w:rsid w:val="008C2A52"/>
    <w:rsid w:val="008C2D30"/>
    <w:rsid w:val="008C2D47"/>
    <w:rsid w:val="008C2F3E"/>
    <w:rsid w:val="008C3171"/>
    <w:rsid w:val="008C3596"/>
    <w:rsid w:val="008C38EE"/>
    <w:rsid w:val="008C3D70"/>
    <w:rsid w:val="008C3E05"/>
    <w:rsid w:val="008C432C"/>
    <w:rsid w:val="008C469F"/>
    <w:rsid w:val="008C471B"/>
    <w:rsid w:val="008C4A5F"/>
    <w:rsid w:val="008C4D56"/>
    <w:rsid w:val="008C4E3B"/>
    <w:rsid w:val="008C5019"/>
    <w:rsid w:val="008C5043"/>
    <w:rsid w:val="008C5339"/>
    <w:rsid w:val="008C533C"/>
    <w:rsid w:val="008C5424"/>
    <w:rsid w:val="008C5E17"/>
    <w:rsid w:val="008C5FF8"/>
    <w:rsid w:val="008C6202"/>
    <w:rsid w:val="008C63F8"/>
    <w:rsid w:val="008C6478"/>
    <w:rsid w:val="008C65A4"/>
    <w:rsid w:val="008C69E8"/>
    <w:rsid w:val="008C6B55"/>
    <w:rsid w:val="008C7DBA"/>
    <w:rsid w:val="008C7E9A"/>
    <w:rsid w:val="008C7F39"/>
    <w:rsid w:val="008C7FB7"/>
    <w:rsid w:val="008D0453"/>
    <w:rsid w:val="008D07B7"/>
    <w:rsid w:val="008D087F"/>
    <w:rsid w:val="008D08AD"/>
    <w:rsid w:val="008D0981"/>
    <w:rsid w:val="008D09D6"/>
    <w:rsid w:val="008D0C09"/>
    <w:rsid w:val="008D0DFE"/>
    <w:rsid w:val="008D1003"/>
    <w:rsid w:val="008D1570"/>
    <w:rsid w:val="008D1636"/>
    <w:rsid w:val="008D1BAB"/>
    <w:rsid w:val="008D1DB4"/>
    <w:rsid w:val="008D214B"/>
    <w:rsid w:val="008D2422"/>
    <w:rsid w:val="008D2748"/>
    <w:rsid w:val="008D2938"/>
    <w:rsid w:val="008D2ABC"/>
    <w:rsid w:val="008D2D90"/>
    <w:rsid w:val="008D2ECA"/>
    <w:rsid w:val="008D31D7"/>
    <w:rsid w:val="008D334B"/>
    <w:rsid w:val="008D3363"/>
    <w:rsid w:val="008D3C51"/>
    <w:rsid w:val="008D4001"/>
    <w:rsid w:val="008D4077"/>
    <w:rsid w:val="008D487D"/>
    <w:rsid w:val="008D4D03"/>
    <w:rsid w:val="008D4DCF"/>
    <w:rsid w:val="008D5A77"/>
    <w:rsid w:val="008D5ABB"/>
    <w:rsid w:val="008D5B55"/>
    <w:rsid w:val="008D5C16"/>
    <w:rsid w:val="008D5C3C"/>
    <w:rsid w:val="008D5DC3"/>
    <w:rsid w:val="008D647C"/>
    <w:rsid w:val="008D67A0"/>
    <w:rsid w:val="008D695E"/>
    <w:rsid w:val="008D6998"/>
    <w:rsid w:val="008D6A33"/>
    <w:rsid w:val="008D6B20"/>
    <w:rsid w:val="008D6D63"/>
    <w:rsid w:val="008D6E2C"/>
    <w:rsid w:val="008D6F93"/>
    <w:rsid w:val="008D703E"/>
    <w:rsid w:val="008D738C"/>
    <w:rsid w:val="008D747F"/>
    <w:rsid w:val="008D7493"/>
    <w:rsid w:val="008D7A77"/>
    <w:rsid w:val="008D7AB0"/>
    <w:rsid w:val="008D7ABE"/>
    <w:rsid w:val="008D7C78"/>
    <w:rsid w:val="008D7CBC"/>
    <w:rsid w:val="008D7F46"/>
    <w:rsid w:val="008D7F62"/>
    <w:rsid w:val="008E053A"/>
    <w:rsid w:val="008E06D6"/>
    <w:rsid w:val="008E084F"/>
    <w:rsid w:val="008E099E"/>
    <w:rsid w:val="008E0B1B"/>
    <w:rsid w:val="008E0B55"/>
    <w:rsid w:val="008E1192"/>
    <w:rsid w:val="008E1251"/>
    <w:rsid w:val="008E1587"/>
    <w:rsid w:val="008E185E"/>
    <w:rsid w:val="008E1876"/>
    <w:rsid w:val="008E1994"/>
    <w:rsid w:val="008E1B55"/>
    <w:rsid w:val="008E1CFF"/>
    <w:rsid w:val="008E21A2"/>
    <w:rsid w:val="008E229A"/>
    <w:rsid w:val="008E26F1"/>
    <w:rsid w:val="008E2972"/>
    <w:rsid w:val="008E2979"/>
    <w:rsid w:val="008E3096"/>
    <w:rsid w:val="008E3167"/>
    <w:rsid w:val="008E35C4"/>
    <w:rsid w:val="008E3693"/>
    <w:rsid w:val="008E3E7B"/>
    <w:rsid w:val="008E3FEE"/>
    <w:rsid w:val="008E4271"/>
    <w:rsid w:val="008E4659"/>
    <w:rsid w:val="008E46A8"/>
    <w:rsid w:val="008E4933"/>
    <w:rsid w:val="008E4970"/>
    <w:rsid w:val="008E4C40"/>
    <w:rsid w:val="008E4D41"/>
    <w:rsid w:val="008E4F55"/>
    <w:rsid w:val="008E4FCE"/>
    <w:rsid w:val="008E5662"/>
    <w:rsid w:val="008E5725"/>
    <w:rsid w:val="008E58CC"/>
    <w:rsid w:val="008E5970"/>
    <w:rsid w:val="008E5B4E"/>
    <w:rsid w:val="008E5C0C"/>
    <w:rsid w:val="008E600C"/>
    <w:rsid w:val="008E60DD"/>
    <w:rsid w:val="008E6495"/>
    <w:rsid w:val="008E64FB"/>
    <w:rsid w:val="008E69EC"/>
    <w:rsid w:val="008E6F82"/>
    <w:rsid w:val="008E7480"/>
    <w:rsid w:val="008E75DA"/>
    <w:rsid w:val="008E7AF4"/>
    <w:rsid w:val="008E7C0A"/>
    <w:rsid w:val="008E7DAD"/>
    <w:rsid w:val="008E7F6F"/>
    <w:rsid w:val="008F00E9"/>
    <w:rsid w:val="008F0B6D"/>
    <w:rsid w:val="008F11FF"/>
    <w:rsid w:val="008F17A8"/>
    <w:rsid w:val="008F194F"/>
    <w:rsid w:val="008F1999"/>
    <w:rsid w:val="008F21DA"/>
    <w:rsid w:val="008F22A0"/>
    <w:rsid w:val="008F292E"/>
    <w:rsid w:val="008F2A2F"/>
    <w:rsid w:val="008F2C51"/>
    <w:rsid w:val="008F2C70"/>
    <w:rsid w:val="008F2CDC"/>
    <w:rsid w:val="008F2D8D"/>
    <w:rsid w:val="008F2FAB"/>
    <w:rsid w:val="008F3064"/>
    <w:rsid w:val="008F3232"/>
    <w:rsid w:val="008F33EC"/>
    <w:rsid w:val="008F35DC"/>
    <w:rsid w:val="008F38AC"/>
    <w:rsid w:val="008F401B"/>
    <w:rsid w:val="008F407D"/>
    <w:rsid w:val="008F4550"/>
    <w:rsid w:val="008F4729"/>
    <w:rsid w:val="008F47AA"/>
    <w:rsid w:val="008F4C39"/>
    <w:rsid w:val="008F4D57"/>
    <w:rsid w:val="008F4E3F"/>
    <w:rsid w:val="008F50B6"/>
    <w:rsid w:val="008F537A"/>
    <w:rsid w:val="008F5662"/>
    <w:rsid w:val="008F572A"/>
    <w:rsid w:val="008F5A66"/>
    <w:rsid w:val="008F5B51"/>
    <w:rsid w:val="008F5B93"/>
    <w:rsid w:val="008F5C99"/>
    <w:rsid w:val="008F5D13"/>
    <w:rsid w:val="008F5E13"/>
    <w:rsid w:val="008F5FF0"/>
    <w:rsid w:val="008F6279"/>
    <w:rsid w:val="008F69F2"/>
    <w:rsid w:val="008F6A5E"/>
    <w:rsid w:val="008F6E7E"/>
    <w:rsid w:val="008F6EAF"/>
    <w:rsid w:val="008F6F07"/>
    <w:rsid w:val="008F7661"/>
    <w:rsid w:val="008F7864"/>
    <w:rsid w:val="008F78CD"/>
    <w:rsid w:val="008F7AC1"/>
    <w:rsid w:val="008F7EEB"/>
    <w:rsid w:val="008F7EF3"/>
    <w:rsid w:val="008F7FD1"/>
    <w:rsid w:val="00900B80"/>
    <w:rsid w:val="00900D3C"/>
    <w:rsid w:val="00901022"/>
    <w:rsid w:val="009012A7"/>
    <w:rsid w:val="009015E5"/>
    <w:rsid w:val="00901819"/>
    <w:rsid w:val="00901B38"/>
    <w:rsid w:val="00902482"/>
    <w:rsid w:val="009026FF"/>
    <w:rsid w:val="00902A3C"/>
    <w:rsid w:val="00902B0A"/>
    <w:rsid w:val="009032E6"/>
    <w:rsid w:val="00903465"/>
    <w:rsid w:val="009035D2"/>
    <w:rsid w:val="0090382D"/>
    <w:rsid w:val="00903BD9"/>
    <w:rsid w:val="00903D96"/>
    <w:rsid w:val="00903EA8"/>
    <w:rsid w:val="00904298"/>
    <w:rsid w:val="00904665"/>
    <w:rsid w:val="009047D9"/>
    <w:rsid w:val="00904C36"/>
    <w:rsid w:val="009050D6"/>
    <w:rsid w:val="00905326"/>
    <w:rsid w:val="00905430"/>
    <w:rsid w:val="00905434"/>
    <w:rsid w:val="0090570D"/>
    <w:rsid w:val="00905725"/>
    <w:rsid w:val="00905BAA"/>
    <w:rsid w:val="00905BBC"/>
    <w:rsid w:val="00905C25"/>
    <w:rsid w:val="00905E8E"/>
    <w:rsid w:val="00906139"/>
    <w:rsid w:val="009062B4"/>
    <w:rsid w:val="0090648C"/>
    <w:rsid w:val="009066D7"/>
    <w:rsid w:val="00906933"/>
    <w:rsid w:val="00906ADF"/>
    <w:rsid w:val="00906AEB"/>
    <w:rsid w:val="00906FCF"/>
    <w:rsid w:val="009072FA"/>
    <w:rsid w:val="009076F2"/>
    <w:rsid w:val="009103F6"/>
    <w:rsid w:val="00910419"/>
    <w:rsid w:val="0091076B"/>
    <w:rsid w:val="0091087F"/>
    <w:rsid w:val="0091094B"/>
    <w:rsid w:val="00910B43"/>
    <w:rsid w:val="0091113E"/>
    <w:rsid w:val="0091179A"/>
    <w:rsid w:val="00911902"/>
    <w:rsid w:val="00912358"/>
    <w:rsid w:val="00912782"/>
    <w:rsid w:val="009127C3"/>
    <w:rsid w:val="009128A2"/>
    <w:rsid w:val="00912DAB"/>
    <w:rsid w:val="00913469"/>
    <w:rsid w:val="0091359A"/>
    <w:rsid w:val="00913BEA"/>
    <w:rsid w:val="00913D71"/>
    <w:rsid w:val="00914216"/>
    <w:rsid w:val="00914258"/>
    <w:rsid w:val="0091440E"/>
    <w:rsid w:val="009144EA"/>
    <w:rsid w:val="0091468F"/>
    <w:rsid w:val="00914713"/>
    <w:rsid w:val="009147C2"/>
    <w:rsid w:val="00914A1B"/>
    <w:rsid w:val="00914C1F"/>
    <w:rsid w:val="00914DD3"/>
    <w:rsid w:val="00915157"/>
    <w:rsid w:val="009151C3"/>
    <w:rsid w:val="00915424"/>
    <w:rsid w:val="00915FE0"/>
    <w:rsid w:val="00916040"/>
    <w:rsid w:val="00916151"/>
    <w:rsid w:val="00916399"/>
    <w:rsid w:val="0091679E"/>
    <w:rsid w:val="00916C9C"/>
    <w:rsid w:val="00916D91"/>
    <w:rsid w:val="009170D2"/>
    <w:rsid w:val="009173A4"/>
    <w:rsid w:val="00917488"/>
    <w:rsid w:val="00917BCB"/>
    <w:rsid w:val="00917BFE"/>
    <w:rsid w:val="00920839"/>
    <w:rsid w:val="0092085C"/>
    <w:rsid w:val="00920C96"/>
    <w:rsid w:val="00920E1A"/>
    <w:rsid w:val="009211DC"/>
    <w:rsid w:val="0092134E"/>
    <w:rsid w:val="00921419"/>
    <w:rsid w:val="00921A5B"/>
    <w:rsid w:val="00922016"/>
    <w:rsid w:val="0092202D"/>
    <w:rsid w:val="00922644"/>
    <w:rsid w:val="00922780"/>
    <w:rsid w:val="009227A6"/>
    <w:rsid w:val="009228DD"/>
    <w:rsid w:val="009229FF"/>
    <w:rsid w:val="00922C2E"/>
    <w:rsid w:val="00922DBD"/>
    <w:rsid w:val="00922E6D"/>
    <w:rsid w:val="009232AA"/>
    <w:rsid w:val="00923777"/>
    <w:rsid w:val="009237EE"/>
    <w:rsid w:val="00923D23"/>
    <w:rsid w:val="009247AB"/>
    <w:rsid w:val="00924B8F"/>
    <w:rsid w:val="00924CA0"/>
    <w:rsid w:val="00924E4B"/>
    <w:rsid w:val="00925185"/>
    <w:rsid w:val="00925A28"/>
    <w:rsid w:val="00925B3E"/>
    <w:rsid w:val="00925BE3"/>
    <w:rsid w:val="00925DB9"/>
    <w:rsid w:val="00925E08"/>
    <w:rsid w:val="00926287"/>
    <w:rsid w:val="00926488"/>
    <w:rsid w:val="0092650F"/>
    <w:rsid w:val="0092661C"/>
    <w:rsid w:val="00926A55"/>
    <w:rsid w:val="00926A75"/>
    <w:rsid w:val="00927052"/>
    <w:rsid w:val="0092732E"/>
    <w:rsid w:val="0092738F"/>
    <w:rsid w:val="00927572"/>
    <w:rsid w:val="009276AE"/>
    <w:rsid w:val="009277BA"/>
    <w:rsid w:val="00927A85"/>
    <w:rsid w:val="00927C4F"/>
    <w:rsid w:val="00930237"/>
    <w:rsid w:val="00930A63"/>
    <w:rsid w:val="00930A9C"/>
    <w:rsid w:val="00930BA0"/>
    <w:rsid w:val="009310E1"/>
    <w:rsid w:val="009312B9"/>
    <w:rsid w:val="00931BF7"/>
    <w:rsid w:val="00931CBE"/>
    <w:rsid w:val="00931CE3"/>
    <w:rsid w:val="00932007"/>
    <w:rsid w:val="00932070"/>
    <w:rsid w:val="0093240B"/>
    <w:rsid w:val="00932963"/>
    <w:rsid w:val="00932CDC"/>
    <w:rsid w:val="00932F48"/>
    <w:rsid w:val="00932F66"/>
    <w:rsid w:val="009332FC"/>
    <w:rsid w:val="0093333C"/>
    <w:rsid w:val="00933667"/>
    <w:rsid w:val="009339B0"/>
    <w:rsid w:val="00933A1A"/>
    <w:rsid w:val="00933B06"/>
    <w:rsid w:val="00933C26"/>
    <w:rsid w:val="00933D25"/>
    <w:rsid w:val="00933E3C"/>
    <w:rsid w:val="00933FD2"/>
    <w:rsid w:val="00934191"/>
    <w:rsid w:val="00934209"/>
    <w:rsid w:val="00934459"/>
    <w:rsid w:val="009349A4"/>
    <w:rsid w:val="00934ED9"/>
    <w:rsid w:val="00934EFD"/>
    <w:rsid w:val="00934FCF"/>
    <w:rsid w:val="009355DA"/>
    <w:rsid w:val="00935996"/>
    <w:rsid w:val="00935BAB"/>
    <w:rsid w:val="00936D0C"/>
    <w:rsid w:val="00936DCC"/>
    <w:rsid w:val="00937225"/>
    <w:rsid w:val="009376C6"/>
    <w:rsid w:val="00937A9C"/>
    <w:rsid w:val="0094000A"/>
    <w:rsid w:val="0094089C"/>
    <w:rsid w:val="009409EA"/>
    <w:rsid w:val="00940B3E"/>
    <w:rsid w:val="00940BE7"/>
    <w:rsid w:val="00940DCB"/>
    <w:rsid w:val="0094105A"/>
    <w:rsid w:val="009412E9"/>
    <w:rsid w:val="009416DD"/>
    <w:rsid w:val="009418A1"/>
    <w:rsid w:val="0094192B"/>
    <w:rsid w:val="00941984"/>
    <w:rsid w:val="00941FA8"/>
    <w:rsid w:val="0094208D"/>
    <w:rsid w:val="0094260E"/>
    <w:rsid w:val="009426DA"/>
    <w:rsid w:val="00942808"/>
    <w:rsid w:val="00942841"/>
    <w:rsid w:val="00942A31"/>
    <w:rsid w:val="00942A39"/>
    <w:rsid w:val="00942C5D"/>
    <w:rsid w:val="00942DEA"/>
    <w:rsid w:val="009436BD"/>
    <w:rsid w:val="0094384E"/>
    <w:rsid w:val="00943AEA"/>
    <w:rsid w:val="00943B93"/>
    <w:rsid w:val="00943E11"/>
    <w:rsid w:val="00944078"/>
    <w:rsid w:val="00944A9B"/>
    <w:rsid w:val="00944DF1"/>
    <w:rsid w:val="00944E47"/>
    <w:rsid w:val="009453B8"/>
    <w:rsid w:val="009454CC"/>
    <w:rsid w:val="00945A20"/>
    <w:rsid w:val="00945A91"/>
    <w:rsid w:val="00945D66"/>
    <w:rsid w:val="00945D95"/>
    <w:rsid w:val="00945F94"/>
    <w:rsid w:val="00946114"/>
    <w:rsid w:val="0094639C"/>
    <w:rsid w:val="00946468"/>
    <w:rsid w:val="009465C3"/>
    <w:rsid w:val="009468B3"/>
    <w:rsid w:val="00946C93"/>
    <w:rsid w:val="00946EE3"/>
    <w:rsid w:val="009472BC"/>
    <w:rsid w:val="009475EC"/>
    <w:rsid w:val="0094762C"/>
    <w:rsid w:val="00947A4E"/>
    <w:rsid w:val="00947E8B"/>
    <w:rsid w:val="009500A8"/>
    <w:rsid w:val="009507C0"/>
    <w:rsid w:val="009507E2"/>
    <w:rsid w:val="0095093F"/>
    <w:rsid w:val="00950FC3"/>
    <w:rsid w:val="009514D1"/>
    <w:rsid w:val="009516B1"/>
    <w:rsid w:val="00951AEE"/>
    <w:rsid w:val="00951B75"/>
    <w:rsid w:val="00951D17"/>
    <w:rsid w:val="00951FFD"/>
    <w:rsid w:val="0095261A"/>
    <w:rsid w:val="00952624"/>
    <w:rsid w:val="00952639"/>
    <w:rsid w:val="00952CD5"/>
    <w:rsid w:val="0095343E"/>
    <w:rsid w:val="00953583"/>
    <w:rsid w:val="0095441D"/>
    <w:rsid w:val="00954599"/>
    <w:rsid w:val="00954A70"/>
    <w:rsid w:val="00954BBC"/>
    <w:rsid w:val="00954DC4"/>
    <w:rsid w:val="00954E81"/>
    <w:rsid w:val="00955074"/>
    <w:rsid w:val="009550B7"/>
    <w:rsid w:val="009553F6"/>
    <w:rsid w:val="009554B4"/>
    <w:rsid w:val="0095551A"/>
    <w:rsid w:val="00955534"/>
    <w:rsid w:val="009555CA"/>
    <w:rsid w:val="00955D9D"/>
    <w:rsid w:val="00955F20"/>
    <w:rsid w:val="00956104"/>
    <w:rsid w:val="009561A9"/>
    <w:rsid w:val="00956264"/>
    <w:rsid w:val="009562AF"/>
    <w:rsid w:val="00956623"/>
    <w:rsid w:val="00956919"/>
    <w:rsid w:val="009569A3"/>
    <w:rsid w:val="00956A6F"/>
    <w:rsid w:val="00956DF6"/>
    <w:rsid w:val="00957563"/>
    <w:rsid w:val="00957859"/>
    <w:rsid w:val="00957E23"/>
    <w:rsid w:val="00957F2D"/>
    <w:rsid w:val="0096034C"/>
    <w:rsid w:val="0096040F"/>
    <w:rsid w:val="009604A9"/>
    <w:rsid w:val="00960710"/>
    <w:rsid w:val="00960985"/>
    <w:rsid w:val="00960A1E"/>
    <w:rsid w:val="00960D29"/>
    <w:rsid w:val="0096196F"/>
    <w:rsid w:val="00961CAD"/>
    <w:rsid w:val="00961E2A"/>
    <w:rsid w:val="00961F7D"/>
    <w:rsid w:val="00961FA4"/>
    <w:rsid w:val="00962413"/>
    <w:rsid w:val="00962490"/>
    <w:rsid w:val="009624BE"/>
    <w:rsid w:val="009624CC"/>
    <w:rsid w:val="0096256C"/>
    <w:rsid w:val="00962874"/>
    <w:rsid w:val="00962B3F"/>
    <w:rsid w:val="00962C7D"/>
    <w:rsid w:val="00963484"/>
    <w:rsid w:val="00963BEA"/>
    <w:rsid w:val="00963CFB"/>
    <w:rsid w:val="00963D3E"/>
    <w:rsid w:val="00963E45"/>
    <w:rsid w:val="00964580"/>
    <w:rsid w:val="009645F8"/>
    <w:rsid w:val="00964A1E"/>
    <w:rsid w:val="00964D47"/>
    <w:rsid w:val="00964DBF"/>
    <w:rsid w:val="00965044"/>
    <w:rsid w:val="0096589A"/>
    <w:rsid w:val="009659EE"/>
    <w:rsid w:val="00965C63"/>
    <w:rsid w:val="00965D60"/>
    <w:rsid w:val="00965F3A"/>
    <w:rsid w:val="00965F6F"/>
    <w:rsid w:val="00965FC3"/>
    <w:rsid w:val="00966399"/>
    <w:rsid w:val="00966549"/>
    <w:rsid w:val="00966C29"/>
    <w:rsid w:val="00967782"/>
    <w:rsid w:val="009677E8"/>
    <w:rsid w:val="00967BFB"/>
    <w:rsid w:val="00967C1F"/>
    <w:rsid w:val="00967DF3"/>
    <w:rsid w:val="00967E17"/>
    <w:rsid w:val="00970389"/>
    <w:rsid w:val="0097054F"/>
    <w:rsid w:val="00970693"/>
    <w:rsid w:val="009707A7"/>
    <w:rsid w:val="00970A7A"/>
    <w:rsid w:val="00970BF5"/>
    <w:rsid w:val="00970E5C"/>
    <w:rsid w:val="00970F4F"/>
    <w:rsid w:val="00971030"/>
    <w:rsid w:val="00971250"/>
    <w:rsid w:val="00971BBE"/>
    <w:rsid w:val="00971BC3"/>
    <w:rsid w:val="00971CAE"/>
    <w:rsid w:val="00972273"/>
    <w:rsid w:val="0097227D"/>
    <w:rsid w:val="00972374"/>
    <w:rsid w:val="00972392"/>
    <w:rsid w:val="00972832"/>
    <w:rsid w:val="00972B59"/>
    <w:rsid w:val="00972B6A"/>
    <w:rsid w:val="00972C4B"/>
    <w:rsid w:val="00972F58"/>
    <w:rsid w:val="00972F77"/>
    <w:rsid w:val="00973555"/>
    <w:rsid w:val="0097355D"/>
    <w:rsid w:val="009737EE"/>
    <w:rsid w:val="00973BC3"/>
    <w:rsid w:val="00973EC4"/>
    <w:rsid w:val="009740FF"/>
    <w:rsid w:val="00974388"/>
    <w:rsid w:val="00974ABC"/>
    <w:rsid w:val="00974B19"/>
    <w:rsid w:val="00974CA7"/>
    <w:rsid w:val="00974CE2"/>
    <w:rsid w:val="00974DEA"/>
    <w:rsid w:val="00974E6F"/>
    <w:rsid w:val="00974F1D"/>
    <w:rsid w:val="00975557"/>
    <w:rsid w:val="009756AA"/>
    <w:rsid w:val="00975DCC"/>
    <w:rsid w:val="00975F90"/>
    <w:rsid w:val="00976536"/>
    <w:rsid w:val="009766FF"/>
    <w:rsid w:val="00976871"/>
    <w:rsid w:val="00976992"/>
    <w:rsid w:val="00976C8B"/>
    <w:rsid w:val="00976FEF"/>
    <w:rsid w:val="0097707E"/>
    <w:rsid w:val="00977247"/>
    <w:rsid w:val="00977375"/>
    <w:rsid w:val="00977420"/>
    <w:rsid w:val="00977A4E"/>
    <w:rsid w:val="00977AF1"/>
    <w:rsid w:val="00977B0B"/>
    <w:rsid w:val="00977F4C"/>
    <w:rsid w:val="0098020A"/>
    <w:rsid w:val="00980521"/>
    <w:rsid w:val="00980795"/>
    <w:rsid w:val="00980811"/>
    <w:rsid w:val="00980BA0"/>
    <w:rsid w:val="00980BE5"/>
    <w:rsid w:val="00980D48"/>
    <w:rsid w:val="00980E0D"/>
    <w:rsid w:val="00981216"/>
    <w:rsid w:val="00981416"/>
    <w:rsid w:val="00981513"/>
    <w:rsid w:val="00981F9E"/>
    <w:rsid w:val="009820A7"/>
    <w:rsid w:val="009820BE"/>
    <w:rsid w:val="009822D9"/>
    <w:rsid w:val="0098253C"/>
    <w:rsid w:val="00982555"/>
    <w:rsid w:val="0098274D"/>
    <w:rsid w:val="009828C8"/>
    <w:rsid w:val="009835BD"/>
    <w:rsid w:val="00983CD8"/>
    <w:rsid w:val="00984222"/>
    <w:rsid w:val="00984258"/>
    <w:rsid w:val="00984802"/>
    <w:rsid w:val="0098482E"/>
    <w:rsid w:val="00984BA0"/>
    <w:rsid w:val="00984C03"/>
    <w:rsid w:val="009850B1"/>
    <w:rsid w:val="00985B31"/>
    <w:rsid w:val="00986842"/>
    <w:rsid w:val="00986E1E"/>
    <w:rsid w:val="009870E3"/>
    <w:rsid w:val="00987116"/>
    <w:rsid w:val="00987182"/>
    <w:rsid w:val="00987A66"/>
    <w:rsid w:val="0099010A"/>
    <w:rsid w:val="0099031C"/>
    <w:rsid w:val="00990466"/>
    <w:rsid w:val="00990565"/>
    <w:rsid w:val="009906E6"/>
    <w:rsid w:val="00990792"/>
    <w:rsid w:val="00990B07"/>
    <w:rsid w:val="00990C2F"/>
    <w:rsid w:val="00990CA2"/>
    <w:rsid w:val="00990ED4"/>
    <w:rsid w:val="009917AD"/>
    <w:rsid w:val="00991884"/>
    <w:rsid w:val="00991AB5"/>
    <w:rsid w:val="00991CF6"/>
    <w:rsid w:val="00991E8C"/>
    <w:rsid w:val="00991F10"/>
    <w:rsid w:val="0099211C"/>
    <w:rsid w:val="00992345"/>
    <w:rsid w:val="00992506"/>
    <w:rsid w:val="00992717"/>
    <w:rsid w:val="0099281C"/>
    <w:rsid w:val="00992BE6"/>
    <w:rsid w:val="00992CAC"/>
    <w:rsid w:val="009934F7"/>
    <w:rsid w:val="009935DE"/>
    <w:rsid w:val="009937A0"/>
    <w:rsid w:val="00993BEE"/>
    <w:rsid w:val="0099427D"/>
    <w:rsid w:val="009942A5"/>
    <w:rsid w:val="00994419"/>
    <w:rsid w:val="0099441F"/>
    <w:rsid w:val="00994689"/>
    <w:rsid w:val="0099490A"/>
    <w:rsid w:val="00994A12"/>
    <w:rsid w:val="00994B7E"/>
    <w:rsid w:val="0099594D"/>
    <w:rsid w:val="00995A66"/>
    <w:rsid w:val="00995C24"/>
    <w:rsid w:val="00995CA4"/>
    <w:rsid w:val="00995D94"/>
    <w:rsid w:val="0099630C"/>
    <w:rsid w:val="0099632C"/>
    <w:rsid w:val="00996515"/>
    <w:rsid w:val="009968E1"/>
    <w:rsid w:val="00996DAC"/>
    <w:rsid w:val="00996DD1"/>
    <w:rsid w:val="009973BC"/>
    <w:rsid w:val="009979A0"/>
    <w:rsid w:val="00997BBF"/>
    <w:rsid w:val="00997C19"/>
    <w:rsid w:val="00997CA9"/>
    <w:rsid w:val="009A0185"/>
    <w:rsid w:val="009A01A4"/>
    <w:rsid w:val="009A0265"/>
    <w:rsid w:val="009A0433"/>
    <w:rsid w:val="009A0921"/>
    <w:rsid w:val="009A0945"/>
    <w:rsid w:val="009A0E07"/>
    <w:rsid w:val="009A0ED2"/>
    <w:rsid w:val="009A0EE6"/>
    <w:rsid w:val="009A0F5A"/>
    <w:rsid w:val="009A102B"/>
    <w:rsid w:val="009A1137"/>
    <w:rsid w:val="009A114C"/>
    <w:rsid w:val="009A119E"/>
    <w:rsid w:val="009A166D"/>
    <w:rsid w:val="009A1687"/>
    <w:rsid w:val="009A1AD3"/>
    <w:rsid w:val="009A1AE2"/>
    <w:rsid w:val="009A1F8B"/>
    <w:rsid w:val="009A1F92"/>
    <w:rsid w:val="009A20F1"/>
    <w:rsid w:val="009A2872"/>
    <w:rsid w:val="009A288C"/>
    <w:rsid w:val="009A2CC5"/>
    <w:rsid w:val="009A31F1"/>
    <w:rsid w:val="009A3433"/>
    <w:rsid w:val="009A34AB"/>
    <w:rsid w:val="009A34CC"/>
    <w:rsid w:val="009A34CD"/>
    <w:rsid w:val="009A3510"/>
    <w:rsid w:val="009A354A"/>
    <w:rsid w:val="009A3631"/>
    <w:rsid w:val="009A37DB"/>
    <w:rsid w:val="009A3C2F"/>
    <w:rsid w:val="009A4227"/>
    <w:rsid w:val="009A45B7"/>
    <w:rsid w:val="009A463E"/>
    <w:rsid w:val="009A4741"/>
    <w:rsid w:val="009A4742"/>
    <w:rsid w:val="009A4766"/>
    <w:rsid w:val="009A4960"/>
    <w:rsid w:val="009A4A3E"/>
    <w:rsid w:val="009A5124"/>
    <w:rsid w:val="009A5375"/>
    <w:rsid w:val="009A56A5"/>
    <w:rsid w:val="009A5A33"/>
    <w:rsid w:val="009A5C73"/>
    <w:rsid w:val="009A5F56"/>
    <w:rsid w:val="009A5FA2"/>
    <w:rsid w:val="009A60BD"/>
    <w:rsid w:val="009A6874"/>
    <w:rsid w:val="009A69FC"/>
    <w:rsid w:val="009A6A9E"/>
    <w:rsid w:val="009A6E3A"/>
    <w:rsid w:val="009A6F68"/>
    <w:rsid w:val="009A7401"/>
    <w:rsid w:val="009A7610"/>
    <w:rsid w:val="009A79DD"/>
    <w:rsid w:val="009A7A53"/>
    <w:rsid w:val="009A7C1F"/>
    <w:rsid w:val="009B027F"/>
    <w:rsid w:val="009B0365"/>
    <w:rsid w:val="009B037A"/>
    <w:rsid w:val="009B041D"/>
    <w:rsid w:val="009B0BC1"/>
    <w:rsid w:val="009B0D3A"/>
    <w:rsid w:val="009B137E"/>
    <w:rsid w:val="009B14CB"/>
    <w:rsid w:val="009B1534"/>
    <w:rsid w:val="009B1618"/>
    <w:rsid w:val="009B178D"/>
    <w:rsid w:val="009B1B42"/>
    <w:rsid w:val="009B1C54"/>
    <w:rsid w:val="009B24B7"/>
    <w:rsid w:val="009B2712"/>
    <w:rsid w:val="009B2CD8"/>
    <w:rsid w:val="009B3001"/>
    <w:rsid w:val="009B32B4"/>
    <w:rsid w:val="009B3344"/>
    <w:rsid w:val="009B342B"/>
    <w:rsid w:val="009B360E"/>
    <w:rsid w:val="009B3843"/>
    <w:rsid w:val="009B38FC"/>
    <w:rsid w:val="009B3DBE"/>
    <w:rsid w:val="009B3E11"/>
    <w:rsid w:val="009B3F06"/>
    <w:rsid w:val="009B3F8C"/>
    <w:rsid w:val="009B3FAF"/>
    <w:rsid w:val="009B456E"/>
    <w:rsid w:val="009B485B"/>
    <w:rsid w:val="009B495B"/>
    <w:rsid w:val="009B49FA"/>
    <w:rsid w:val="009B4C40"/>
    <w:rsid w:val="009B5156"/>
    <w:rsid w:val="009B5407"/>
    <w:rsid w:val="009B5412"/>
    <w:rsid w:val="009B568A"/>
    <w:rsid w:val="009B5795"/>
    <w:rsid w:val="009B6318"/>
    <w:rsid w:val="009B6C20"/>
    <w:rsid w:val="009B7158"/>
    <w:rsid w:val="009B75E3"/>
    <w:rsid w:val="009B769C"/>
    <w:rsid w:val="009B774F"/>
    <w:rsid w:val="009B77DE"/>
    <w:rsid w:val="009B7E86"/>
    <w:rsid w:val="009C0050"/>
    <w:rsid w:val="009C027E"/>
    <w:rsid w:val="009C02E5"/>
    <w:rsid w:val="009C06AA"/>
    <w:rsid w:val="009C06EE"/>
    <w:rsid w:val="009C0763"/>
    <w:rsid w:val="009C0968"/>
    <w:rsid w:val="009C09CD"/>
    <w:rsid w:val="009C0B5A"/>
    <w:rsid w:val="009C0DEF"/>
    <w:rsid w:val="009C1261"/>
    <w:rsid w:val="009C1448"/>
    <w:rsid w:val="009C171A"/>
    <w:rsid w:val="009C18BE"/>
    <w:rsid w:val="009C19ED"/>
    <w:rsid w:val="009C1E0F"/>
    <w:rsid w:val="009C1EAA"/>
    <w:rsid w:val="009C2070"/>
    <w:rsid w:val="009C215C"/>
    <w:rsid w:val="009C2337"/>
    <w:rsid w:val="009C23E4"/>
    <w:rsid w:val="009C28DB"/>
    <w:rsid w:val="009C2935"/>
    <w:rsid w:val="009C29EE"/>
    <w:rsid w:val="009C2A50"/>
    <w:rsid w:val="009C2AAB"/>
    <w:rsid w:val="009C2B70"/>
    <w:rsid w:val="009C3042"/>
    <w:rsid w:val="009C3081"/>
    <w:rsid w:val="009C31DE"/>
    <w:rsid w:val="009C39CC"/>
    <w:rsid w:val="009C3A30"/>
    <w:rsid w:val="009C3AE5"/>
    <w:rsid w:val="009C3AFA"/>
    <w:rsid w:val="009C3CF4"/>
    <w:rsid w:val="009C4303"/>
    <w:rsid w:val="009C4306"/>
    <w:rsid w:val="009C4A10"/>
    <w:rsid w:val="009C4C0C"/>
    <w:rsid w:val="009C4D4E"/>
    <w:rsid w:val="009C4DCE"/>
    <w:rsid w:val="009C4F0F"/>
    <w:rsid w:val="009C517C"/>
    <w:rsid w:val="009C5CF1"/>
    <w:rsid w:val="009C5D71"/>
    <w:rsid w:val="009C622C"/>
    <w:rsid w:val="009C640D"/>
    <w:rsid w:val="009C6483"/>
    <w:rsid w:val="009C682E"/>
    <w:rsid w:val="009C6C74"/>
    <w:rsid w:val="009C6DC3"/>
    <w:rsid w:val="009C7109"/>
    <w:rsid w:val="009C7180"/>
    <w:rsid w:val="009C71E2"/>
    <w:rsid w:val="009C738A"/>
    <w:rsid w:val="009C7666"/>
    <w:rsid w:val="009C76A2"/>
    <w:rsid w:val="009C77B1"/>
    <w:rsid w:val="009D007A"/>
    <w:rsid w:val="009D01D0"/>
    <w:rsid w:val="009D0AC2"/>
    <w:rsid w:val="009D0EF6"/>
    <w:rsid w:val="009D0EFF"/>
    <w:rsid w:val="009D0F99"/>
    <w:rsid w:val="009D1168"/>
    <w:rsid w:val="009D1427"/>
    <w:rsid w:val="009D1ADF"/>
    <w:rsid w:val="009D1E13"/>
    <w:rsid w:val="009D1E9F"/>
    <w:rsid w:val="009D20FB"/>
    <w:rsid w:val="009D21B2"/>
    <w:rsid w:val="009D2B1E"/>
    <w:rsid w:val="009D2F1C"/>
    <w:rsid w:val="009D3031"/>
    <w:rsid w:val="009D309C"/>
    <w:rsid w:val="009D38A0"/>
    <w:rsid w:val="009D3AB5"/>
    <w:rsid w:val="009D3B0A"/>
    <w:rsid w:val="009D3FDC"/>
    <w:rsid w:val="009D40F5"/>
    <w:rsid w:val="009D411B"/>
    <w:rsid w:val="009D4D5F"/>
    <w:rsid w:val="009D4D68"/>
    <w:rsid w:val="009D5126"/>
    <w:rsid w:val="009D55D8"/>
    <w:rsid w:val="009D5613"/>
    <w:rsid w:val="009D5847"/>
    <w:rsid w:val="009D601C"/>
    <w:rsid w:val="009D6348"/>
    <w:rsid w:val="009D64A8"/>
    <w:rsid w:val="009D64EC"/>
    <w:rsid w:val="009D6565"/>
    <w:rsid w:val="009D68CE"/>
    <w:rsid w:val="009D6C63"/>
    <w:rsid w:val="009D6E2D"/>
    <w:rsid w:val="009D71AB"/>
    <w:rsid w:val="009D71B0"/>
    <w:rsid w:val="009D74E4"/>
    <w:rsid w:val="009D7747"/>
    <w:rsid w:val="009D7CE4"/>
    <w:rsid w:val="009E03B1"/>
    <w:rsid w:val="009E0746"/>
    <w:rsid w:val="009E0840"/>
    <w:rsid w:val="009E0A41"/>
    <w:rsid w:val="009E117D"/>
    <w:rsid w:val="009E1192"/>
    <w:rsid w:val="009E11D6"/>
    <w:rsid w:val="009E1230"/>
    <w:rsid w:val="009E1987"/>
    <w:rsid w:val="009E1BB5"/>
    <w:rsid w:val="009E1D62"/>
    <w:rsid w:val="009E229F"/>
    <w:rsid w:val="009E23E2"/>
    <w:rsid w:val="009E292B"/>
    <w:rsid w:val="009E295F"/>
    <w:rsid w:val="009E2F0C"/>
    <w:rsid w:val="009E35E4"/>
    <w:rsid w:val="009E3961"/>
    <w:rsid w:val="009E39D6"/>
    <w:rsid w:val="009E3C03"/>
    <w:rsid w:val="009E3FD6"/>
    <w:rsid w:val="009E41E2"/>
    <w:rsid w:val="009E44F6"/>
    <w:rsid w:val="009E457B"/>
    <w:rsid w:val="009E460E"/>
    <w:rsid w:val="009E4638"/>
    <w:rsid w:val="009E468F"/>
    <w:rsid w:val="009E46AD"/>
    <w:rsid w:val="009E46DC"/>
    <w:rsid w:val="009E49DC"/>
    <w:rsid w:val="009E4C64"/>
    <w:rsid w:val="009E4C83"/>
    <w:rsid w:val="009E5126"/>
    <w:rsid w:val="009E544D"/>
    <w:rsid w:val="009E5466"/>
    <w:rsid w:val="009E56E4"/>
    <w:rsid w:val="009E5C05"/>
    <w:rsid w:val="009E5D0C"/>
    <w:rsid w:val="009E5F1A"/>
    <w:rsid w:val="009E5FC8"/>
    <w:rsid w:val="009E6194"/>
    <w:rsid w:val="009E65FD"/>
    <w:rsid w:val="009E6C76"/>
    <w:rsid w:val="009E6CB6"/>
    <w:rsid w:val="009E6CE3"/>
    <w:rsid w:val="009E7288"/>
    <w:rsid w:val="009E739B"/>
    <w:rsid w:val="009E752C"/>
    <w:rsid w:val="009E768E"/>
    <w:rsid w:val="009E77C4"/>
    <w:rsid w:val="009F0012"/>
    <w:rsid w:val="009F0114"/>
    <w:rsid w:val="009F0171"/>
    <w:rsid w:val="009F06FD"/>
    <w:rsid w:val="009F096E"/>
    <w:rsid w:val="009F099F"/>
    <w:rsid w:val="009F09FA"/>
    <w:rsid w:val="009F0AEF"/>
    <w:rsid w:val="009F0C83"/>
    <w:rsid w:val="009F0CF7"/>
    <w:rsid w:val="009F0E88"/>
    <w:rsid w:val="009F1273"/>
    <w:rsid w:val="009F1E7A"/>
    <w:rsid w:val="009F2292"/>
    <w:rsid w:val="009F26AE"/>
    <w:rsid w:val="009F2A1F"/>
    <w:rsid w:val="009F2B0F"/>
    <w:rsid w:val="009F2B48"/>
    <w:rsid w:val="009F2E6B"/>
    <w:rsid w:val="009F33FC"/>
    <w:rsid w:val="009F35EA"/>
    <w:rsid w:val="009F3606"/>
    <w:rsid w:val="009F3909"/>
    <w:rsid w:val="009F39BB"/>
    <w:rsid w:val="009F39EC"/>
    <w:rsid w:val="009F3AA2"/>
    <w:rsid w:val="009F3EB9"/>
    <w:rsid w:val="009F3FE4"/>
    <w:rsid w:val="009F45F5"/>
    <w:rsid w:val="009F4AAE"/>
    <w:rsid w:val="009F4CB0"/>
    <w:rsid w:val="009F4F64"/>
    <w:rsid w:val="009F5480"/>
    <w:rsid w:val="009F57AA"/>
    <w:rsid w:val="009F5879"/>
    <w:rsid w:val="009F5AF4"/>
    <w:rsid w:val="009F5CB1"/>
    <w:rsid w:val="009F5D1A"/>
    <w:rsid w:val="009F6014"/>
    <w:rsid w:val="009F60C2"/>
    <w:rsid w:val="009F61FC"/>
    <w:rsid w:val="009F629D"/>
    <w:rsid w:val="009F663B"/>
    <w:rsid w:val="009F6B4B"/>
    <w:rsid w:val="009F6DA1"/>
    <w:rsid w:val="009F7927"/>
    <w:rsid w:val="009F7E80"/>
    <w:rsid w:val="00A009CB"/>
    <w:rsid w:val="00A00E53"/>
    <w:rsid w:val="00A01177"/>
    <w:rsid w:val="00A0126D"/>
    <w:rsid w:val="00A01324"/>
    <w:rsid w:val="00A013C7"/>
    <w:rsid w:val="00A0154D"/>
    <w:rsid w:val="00A016EE"/>
    <w:rsid w:val="00A0174E"/>
    <w:rsid w:val="00A01A04"/>
    <w:rsid w:val="00A02462"/>
    <w:rsid w:val="00A02F4E"/>
    <w:rsid w:val="00A03C42"/>
    <w:rsid w:val="00A040C2"/>
    <w:rsid w:val="00A046FC"/>
    <w:rsid w:val="00A0483F"/>
    <w:rsid w:val="00A04951"/>
    <w:rsid w:val="00A04B8D"/>
    <w:rsid w:val="00A04FDF"/>
    <w:rsid w:val="00A0526F"/>
    <w:rsid w:val="00A0560E"/>
    <w:rsid w:val="00A058D9"/>
    <w:rsid w:val="00A05928"/>
    <w:rsid w:val="00A05F7D"/>
    <w:rsid w:val="00A0660B"/>
    <w:rsid w:val="00A06B4E"/>
    <w:rsid w:val="00A06BE5"/>
    <w:rsid w:val="00A06D19"/>
    <w:rsid w:val="00A06DA4"/>
    <w:rsid w:val="00A06F09"/>
    <w:rsid w:val="00A07124"/>
    <w:rsid w:val="00A07136"/>
    <w:rsid w:val="00A074C2"/>
    <w:rsid w:val="00A07660"/>
    <w:rsid w:val="00A0774D"/>
    <w:rsid w:val="00A0791B"/>
    <w:rsid w:val="00A07B75"/>
    <w:rsid w:val="00A07D19"/>
    <w:rsid w:val="00A10898"/>
    <w:rsid w:val="00A109BB"/>
    <w:rsid w:val="00A10B4B"/>
    <w:rsid w:val="00A1109E"/>
    <w:rsid w:val="00A113E2"/>
    <w:rsid w:val="00A11C7A"/>
    <w:rsid w:val="00A11D5E"/>
    <w:rsid w:val="00A11E9B"/>
    <w:rsid w:val="00A1236F"/>
    <w:rsid w:val="00A1275D"/>
    <w:rsid w:val="00A13796"/>
    <w:rsid w:val="00A139E5"/>
    <w:rsid w:val="00A13B78"/>
    <w:rsid w:val="00A13C89"/>
    <w:rsid w:val="00A13D29"/>
    <w:rsid w:val="00A13D6A"/>
    <w:rsid w:val="00A13EA4"/>
    <w:rsid w:val="00A13FAE"/>
    <w:rsid w:val="00A1414E"/>
    <w:rsid w:val="00A142EA"/>
    <w:rsid w:val="00A1480B"/>
    <w:rsid w:val="00A1480E"/>
    <w:rsid w:val="00A1480F"/>
    <w:rsid w:val="00A14AFA"/>
    <w:rsid w:val="00A14B4F"/>
    <w:rsid w:val="00A14B76"/>
    <w:rsid w:val="00A14DFA"/>
    <w:rsid w:val="00A152B2"/>
    <w:rsid w:val="00A154D2"/>
    <w:rsid w:val="00A1567F"/>
    <w:rsid w:val="00A15906"/>
    <w:rsid w:val="00A1593F"/>
    <w:rsid w:val="00A16255"/>
    <w:rsid w:val="00A166CF"/>
    <w:rsid w:val="00A16894"/>
    <w:rsid w:val="00A16924"/>
    <w:rsid w:val="00A16A4F"/>
    <w:rsid w:val="00A170C0"/>
    <w:rsid w:val="00A17119"/>
    <w:rsid w:val="00A1754D"/>
    <w:rsid w:val="00A17C37"/>
    <w:rsid w:val="00A17D56"/>
    <w:rsid w:val="00A17EEB"/>
    <w:rsid w:val="00A20745"/>
    <w:rsid w:val="00A20921"/>
    <w:rsid w:val="00A2148E"/>
    <w:rsid w:val="00A21838"/>
    <w:rsid w:val="00A219DD"/>
    <w:rsid w:val="00A21A21"/>
    <w:rsid w:val="00A21A4F"/>
    <w:rsid w:val="00A21C13"/>
    <w:rsid w:val="00A21E46"/>
    <w:rsid w:val="00A22112"/>
    <w:rsid w:val="00A228FC"/>
    <w:rsid w:val="00A229FA"/>
    <w:rsid w:val="00A22C3F"/>
    <w:rsid w:val="00A22E73"/>
    <w:rsid w:val="00A23470"/>
    <w:rsid w:val="00A234AA"/>
    <w:rsid w:val="00A239DE"/>
    <w:rsid w:val="00A23E36"/>
    <w:rsid w:val="00A23FDF"/>
    <w:rsid w:val="00A243D8"/>
    <w:rsid w:val="00A24482"/>
    <w:rsid w:val="00A24556"/>
    <w:rsid w:val="00A245BD"/>
    <w:rsid w:val="00A246EE"/>
    <w:rsid w:val="00A24BF3"/>
    <w:rsid w:val="00A24F9D"/>
    <w:rsid w:val="00A258A3"/>
    <w:rsid w:val="00A25906"/>
    <w:rsid w:val="00A25A0E"/>
    <w:rsid w:val="00A26260"/>
    <w:rsid w:val="00A263DE"/>
    <w:rsid w:val="00A26B2F"/>
    <w:rsid w:val="00A26E04"/>
    <w:rsid w:val="00A26EAD"/>
    <w:rsid w:val="00A26F4A"/>
    <w:rsid w:val="00A30142"/>
    <w:rsid w:val="00A30A08"/>
    <w:rsid w:val="00A30C08"/>
    <w:rsid w:val="00A30D03"/>
    <w:rsid w:val="00A30D2A"/>
    <w:rsid w:val="00A31702"/>
    <w:rsid w:val="00A31D59"/>
    <w:rsid w:val="00A31F6F"/>
    <w:rsid w:val="00A3209D"/>
    <w:rsid w:val="00A32204"/>
    <w:rsid w:val="00A328AB"/>
    <w:rsid w:val="00A32C24"/>
    <w:rsid w:val="00A33097"/>
    <w:rsid w:val="00A3328D"/>
    <w:rsid w:val="00A33D96"/>
    <w:rsid w:val="00A34092"/>
    <w:rsid w:val="00A341AB"/>
    <w:rsid w:val="00A3464E"/>
    <w:rsid w:val="00A34C15"/>
    <w:rsid w:val="00A34D7D"/>
    <w:rsid w:val="00A350FF"/>
    <w:rsid w:val="00A353CB"/>
    <w:rsid w:val="00A355F2"/>
    <w:rsid w:val="00A3614C"/>
    <w:rsid w:val="00A36AE5"/>
    <w:rsid w:val="00A36CB2"/>
    <w:rsid w:val="00A36ECA"/>
    <w:rsid w:val="00A372B4"/>
    <w:rsid w:val="00A372BF"/>
    <w:rsid w:val="00A3733F"/>
    <w:rsid w:val="00A3750A"/>
    <w:rsid w:val="00A37511"/>
    <w:rsid w:val="00A3759F"/>
    <w:rsid w:val="00A375F3"/>
    <w:rsid w:val="00A3763D"/>
    <w:rsid w:val="00A37937"/>
    <w:rsid w:val="00A37A50"/>
    <w:rsid w:val="00A401E4"/>
    <w:rsid w:val="00A40281"/>
    <w:rsid w:val="00A40417"/>
    <w:rsid w:val="00A404D5"/>
    <w:rsid w:val="00A408DD"/>
    <w:rsid w:val="00A40A07"/>
    <w:rsid w:val="00A40B82"/>
    <w:rsid w:val="00A40CE9"/>
    <w:rsid w:val="00A40E97"/>
    <w:rsid w:val="00A4138A"/>
    <w:rsid w:val="00A4173E"/>
    <w:rsid w:val="00A41BA0"/>
    <w:rsid w:val="00A41BA6"/>
    <w:rsid w:val="00A42D73"/>
    <w:rsid w:val="00A42D9D"/>
    <w:rsid w:val="00A43045"/>
    <w:rsid w:val="00A433D0"/>
    <w:rsid w:val="00A43428"/>
    <w:rsid w:val="00A435BE"/>
    <w:rsid w:val="00A435F4"/>
    <w:rsid w:val="00A43B26"/>
    <w:rsid w:val="00A43DC6"/>
    <w:rsid w:val="00A440F2"/>
    <w:rsid w:val="00A44490"/>
    <w:rsid w:val="00A44839"/>
    <w:rsid w:val="00A44F73"/>
    <w:rsid w:val="00A4511D"/>
    <w:rsid w:val="00A457C6"/>
    <w:rsid w:val="00A457E4"/>
    <w:rsid w:val="00A45A2F"/>
    <w:rsid w:val="00A45DA8"/>
    <w:rsid w:val="00A45E1E"/>
    <w:rsid w:val="00A45F90"/>
    <w:rsid w:val="00A45FA9"/>
    <w:rsid w:val="00A46060"/>
    <w:rsid w:val="00A4606C"/>
    <w:rsid w:val="00A460A1"/>
    <w:rsid w:val="00A46244"/>
    <w:rsid w:val="00A464CF"/>
    <w:rsid w:val="00A4668B"/>
    <w:rsid w:val="00A466B9"/>
    <w:rsid w:val="00A4674B"/>
    <w:rsid w:val="00A46C08"/>
    <w:rsid w:val="00A47024"/>
    <w:rsid w:val="00A47C1D"/>
    <w:rsid w:val="00A47D34"/>
    <w:rsid w:val="00A507CA"/>
    <w:rsid w:val="00A50920"/>
    <w:rsid w:val="00A50C12"/>
    <w:rsid w:val="00A50D78"/>
    <w:rsid w:val="00A51014"/>
    <w:rsid w:val="00A511C4"/>
    <w:rsid w:val="00A512EB"/>
    <w:rsid w:val="00A51827"/>
    <w:rsid w:val="00A51962"/>
    <w:rsid w:val="00A51964"/>
    <w:rsid w:val="00A51B2A"/>
    <w:rsid w:val="00A51B57"/>
    <w:rsid w:val="00A51D9E"/>
    <w:rsid w:val="00A51EEF"/>
    <w:rsid w:val="00A521EC"/>
    <w:rsid w:val="00A52448"/>
    <w:rsid w:val="00A525B5"/>
    <w:rsid w:val="00A525C8"/>
    <w:rsid w:val="00A5278D"/>
    <w:rsid w:val="00A527D8"/>
    <w:rsid w:val="00A52B6F"/>
    <w:rsid w:val="00A52CAB"/>
    <w:rsid w:val="00A532B4"/>
    <w:rsid w:val="00A53682"/>
    <w:rsid w:val="00A53720"/>
    <w:rsid w:val="00A53A30"/>
    <w:rsid w:val="00A53DB5"/>
    <w:rsid w:val="00A53E7D"/>
    <w:rsid w:val="00A53FDB"/>
    <w:rsid w:val="00A54059"/>
    <w:rsid w:val="00A540C0"/>
    <w:rsid w:val="00A54281"/>
    <w:rsid w:val="00A54538"/>
    <w:rsid w:val="00A546EE"/>
    <w:rsid w:val="00A54B2B"/>
    <w:rsid w:val="00A54B63"/>
    <w:rsid w:val="00A54F05"/>
    <w:rsid w:val="00A556F8"/>
    <w:rsid w:val="00A558BD"/>
    <w:rsid w:val="00A55AD2"/>
    <w:rsid w:val="00A55E19"/>
    <w:rsid w:val="00A562D5"/>
    <w:rsid w:val="00A56AF4"/>
    <w:rsid w:val="00A57469"/>
    <w:rsid w:val="00A57480"/>
    <w:rsid w:val="00A576B6"/>
    <w:rsid w:val="00A576EE"/>
    <w:rsid w:val="00A57B77"/>
    <w:rsid w:val="00A57B86"/>
    <w:rsid w:val="00A60078"/>
    <w:rsid w:val="00A603CD"/>
    <w:rsid w:val="00A604FB"/>
    <w:rsid w:val="00A60D83"/>
    <w:rsid w:val="00A60E4D"/>
    <w:rsid w:val="00A60FB8"/>
    <w:rsid w:val="00A61069"/>
    <w:rsid w:val="00A61167"/>
    <w:rsid w:val="00A6125D"/>
    <w:rsid w:val="00A61421"/>
    <w:rsid w:val="00A61708"/>
    <w:rsid w:val="00A61A2F"/>
    <w:rsid w:val="00A61EDD"/>
    <w:rsid w:val="00A62129"/>
    <w:rsid w:val="00A6240D"/>
    <w:rsid w:val="00A624B0"/>
    <w:rsid w:val="00A62654"/>
    <w:rsid w:val="00A627AC"/>
    <w:rsid w:val="00A6280D"/>
    <w:rsid w:val="00A6284F"/>
    <w:rsid w:val="00A6297C"/>
    <w:rsid w:val="00A6349E"/>
    <w:rsid w:val="00A645B0"/>
    <w:rsid w:val="00A64D9D"/>
    <w:rsid w:val="00A651EF"/>
    <w:rsid w:val="00A65321"/>
    <w:rsid w:val="00A65354"/>
    <w:rsid w:val="00A65B3C"/>
    <w:rsid w:val="00A65FF4"/>
    <w:rsid w:val="00A66109"/>
    <w:rsid w:val="00A6680D"/>
    <w:rsid w:val="00A66D06"/>
    <w:rsid w:val="00A66E15"/>
    <w:rsid w:val="00A6711B"/>
    <w:rsid w:val="00A671A1"/>
    <w:rsid w:val="00A6739A"/>
    <w:rsid w:val="00A673E7"/>
    <w:rsid w:val="00A679B0"/>
    <w:rsid w:val="00A701BC"/>
    <w:rsid w:val="00A7035D"/>
    <w:rsid w:val="00A70480"/>
    <w:rsid w:val="00A7053F"/>
    <w:rsid w:val="00A7055C"/>
    <w:rsid w:val="00A70587"/>
    <w:rsid w:val="00A705B9"/>
    <w:rsid w:val="00A70AFE"/>
    <w:rsid w:val="00A70FF9"/>
    <w:rsid w:val="00A71041"/>
    <w:rsid w:val="00A71458"/>
    <w:rsid w:val="00A71849"/>
    <w:rsid w:val="00A71923"/>
    <w:rsid w:val="00A71EF2"/>
    <w:rsid w:val="00A726A8"/>
    <w:rsid w:val="00A72A1D"/>
    <w:rsid w:val="00A72E0A"/>
    <w:rsid w:val="00A72EC2"/>
    <w:rsid w:val="00A72F5B"/>
    <w:rsid w:val="00A73302"/>
    <w:rsid w:val="00A73418"/>
    <w:rsid w:val="00A7365F"/>
    <w:rsid w:val="00A7371E"/>
    <w:rsid w:val="00A73C94"/>
    <w:rsid w:val="00A73ED6"/>
    <w:rsid w:val="00A7494E"/>
    <w:rsid w:val="00A74A37"/>
    <w:rsid w:val="00A757A8"/>
    <w:rsid w:val="00A75AF4"/>
    <w:rsid w:val="00A75B57"/>
    <w:rsid w:val="00A75E19"/>
    <w:rsid w:val="00A763C4"/>
    <w:rsid w:val="00A76716"/>
    <w:rsid w:val="00A76741"/>
    <w:rsid w:val="00A76B5A"/>
    <w:rsid w:val="00A77754"/>
    <w:rsid w:val="00A77CF4"/>
    <w:rsid w:val="00A77E1C"/>
    <w:rsid w:val="00A8036A"/>
    <w:rsid w:val="00A80624"/>
    <w:rsid w:val="00A80BD9"/>
    <w:rsid w:val="00A80C36"/>
    <w:rsid w:val="00A81126"/>
    <w:rsid w:val="00A817BB"/>
    <w:rsid w:val="00A81A40"/>
    <w:rsid w:val="00A81B7E"/>
    <w:rsid w:val="00A82106"/>
    <w:rsid w:val="00A82155"/>
    <w:rsid w:val="00A824EA"/>
    <w:rsid w:val="00A826BA"/>
    <w:rsid w:val="00A8294C"/>
    <w:rsid w:val="00A8345E"/>
    <w:rsid w:val="00A835EE"/>
    <w:rsid w:val="00A841AC"/>
    <w:rsid w:val="00A8428B"/>
    <w:rsid w:val="00A84368"/>
    <w:rsid w:val="00A8464C"/>
    <w:rsid w:val="00A846A6"/>
    <w:rsid w:val="00A84726"/>
    <w:rsid w:val="00A84B8A"/>
    <w:rsid w:val="00A84E3F"/>
    <w:rsid w:val="00A84FA8"/>
    <w:rsid w:val="00A850CF"/>
    <w:rsid w:val="00A85128"/>
    <w:rsid w:val="00A851A8"/>
    <w:rsid w:val="00A85660"/>
    <w:rsid w:val="00A85A63"/>
    <w:rsid w:val="00A85C34"/>
    <w:rsid w:val="00A86465"/>
    <w:rsid w:val="00A866D6"/>
    <w:rsid w:val="00A86BBD"/>
    <w:rsid w:val="00A87084"/>
    <w:rsid w:val="00A8747F"/>
    <w:rsid w:val="00A87527"/>
    <w:rsid w:val="00A87671"/>
    <w:rsid w:val="00A877B2"/>
    <w:rsid w:val="00A877D3"/>
    <w:rsid w:val="00A879CC"/>
    <w:rsid w:val="00A87D19"/>
    <w:rsid w:val="00A87EB4"/>
    <w:rsid w:val="00A901AD"/>
    <w:rsid w:val="00A90218"/>
    <w:rsid w:val="00A90259"/>
    <w:rsid w:val="00A903AF"/>
    <w:rsid w:val="00A90402"/>
    <w:rsid w:val="00A90417"/>
    <w:rsid w:val="00A905E2"/>
    <w:rsid w:val="00A90870"/>
    <w:rsid w:val="00A91634"/>
    <w:rsid w:val="00A91864"/>
    <w:rsid w:val="00A918A8"/>
    <w:rsid w:val="00A91B30"/>
    <w:rsid w:val="00A91F44"/>
    <w:rsid w:val="00A9200E"/>
    <w:rsid w:val="00A92126"/>
    <w:rsid w:val="00A921C7"/>
    <w:rsid w:val="00A9233D"/>
    <w:rsid w:val="00A9247E"/>
    <w:rsid w:val="00A92559"/>
    <w:rsid w:val="00A92F49"/>
    <w:rsid w:val="00A932CB"/>
    <w:rsid w:val="00A9335B"/>
    <w:rsid w:val="00A93464"/>
    <w:rsid w:val="00A936EE"/>
    <w:rsid w:val="00A937B8"/>
    <w:rsid w:val="00A93824"/>
    <w:rsid w:val="00A93AD2"/>
    <w:rsid w:val="00A93CBA"/>
    <w:rsid w:val="00A93D84"/>
    <w:rsid w:val="00A93D90"/>
    <w:rsid w:val="00A94386"/>
    <w:rsid w:val="00A943C7"/>
    <w:rsid w:val="00A947EE"/>
    <w:rsid w:val="00A94EBA"/>
    <w:rsid w:val="00A94EF1"/>
    <w:rsid w:val="00A94FA1"/>
    <w:rsid w:val="00A9518F"/>
    <w:rsid w:val="00A95A3A"/>
    <w:rsid w:val="00A95B63"/>
    <w:rsid w:val="00A95CB7"/>
    <w:rsid w:val="00A964B4"/>
    <w:rsid w:val="00A9676C"/>
    <w:rsid w:val="00A967AD"/>
    <w:rsid w:val="00A96C78"/>
    <w:rsid w:val="00A96DF4"/>
    <w:rsid w:val="00A96E3B"/>
    <w:rsid w:val="00A96FC3"/>
    <w:rsid w:val="00A97101"/>
    <w:rsid w:val="00A973E9"/>
    <w:rsid w:val="00A978AD"/>
    <w:rsid w:val="00A97CFA"/>
    <w:rsid w:val="00A97D86"/>
    <w:rsid w:val="00A97F1B"/>
    <w:rsid w:val="00A97FA0"/>
    <w:rsid w:val="00AA00D2"/>
    <w:rsid w:val="00AA066B"/>
    <w:rsid w:val="00AA0769"/>
    <w:rsid w:val="00AA0A42"/>
    <w:rsid w:val="00AA0E9C"/>
    <w:rsid w:val="00AA0EA8"/>
    <w:rsid w:val="00AA0FFF"/>
    <w:rsid w:val="00AA14B9"/>
    <w:rsid w:val="00AA1659"/>
    <w:rsid w:val="00AA16DA"/>
    <w:rsid w:val="00AA1701"/>
    <w:rsid w:val="00AA17CC"/>
    <w:rsid w:val="00AA1C4C"/>
    <w:rsid w:val="00AA1E9C"/>
    <w:rsid w:val="00AA25A7"/>
    <w:rsid w:val="00AA262D"/>
    <w:rsid w:val="00AA2D75"/>
    <w:rsid w:val="00AA2D7D"/>
    <w:rsid w:val="00AA2DFE"/>
    <w:rsid w:val="00AA2E68"/>
    <w:rsid w:val="00AA310F"/>
    <w:rsid w:val="00AA312D"/>
    <w:rsid w:val="00AA363B"/>
    <w:rsid w:val="00AA3B6D"/>
    <w:rsid w:val="00AA3FE1"/>
    <w:rsid w:val="00AA41B0"/>
    <w:rsid w:val="00AA42A5"/>
    <w:rsid w:val="00AA43D6"/>
    <w:rsid w:val="00AA445A"/>
    <w:rsid w:val="00AA4518"/>
    <w:rsid w:val="00AA45E5"/>
    <w:rsid w:val="00AA4736"/>
    <w:rsid w:val="00AA4886"/>
    <w:rsid w:val="00AA4C40"/>
    <w:rsid w:val="00AA4EEC"/>
    <w:rsid w:val="00AA5791"/>
    <w:rsid w:val="00AA5A8C"/>
    <w:rsid w:val="00AA6027"/>
    <w:rsid w:val="00AA60B9"/>
    <w:rsid w:val="00AA637F"/>
    <w:rsid w:val="00AA6380"/>
    <w:rsid w:val="00AA63EA"/>
    <w:rsid w:val="00AA65EA"/>
    <w:rsid w:val="00AA6779"/>
    <w:rsid w:val="00AA6BA7"/>
    <w:rsid w:val="00AA6D97"/>
    <w:rsid w:val="00AA6F29"/>
    <w:rsid w:val="00AA769C"/>
    <w:rsid w:val="00AA7A4D"/>
    <w:rsid w:val="00AA7C85"/>
    <w:rsid w:val="00AA7EDA"/>
    <w:rsid w:val="00AB022A"/>
    <w:rsid w:val="00AB0532"/>
    <w:rsid w:val="00AB07DF"/>
    <w:rsid w:val="00AB0838"/>
    <w:rsid w:val="00AB0948"/>
    <w:rsid w:val="00AB0CA2"/>
    <w:rsid w:val="00AB0D51"/>
    <w:rsid w:val="00AB0DE3"/>
    <w:rsid w:val="00AB1149"/>
    <w:rsid w:val="00AB1600"/>
    <w:rsid w:val="00AB172F"/>
    <w:rsid w:val="00AB19EE"/>
    <w:rsid w:val="00AB1D5A"/>
    <w:rsid w:val="00AB2015"/>
    <w:rsid w:val="00AB22A9"/>
    <w:rsid w:val="00AB2634"/>
    <w:rsid w:val="00AB268D"/>
    <w:rsid w:val="00AB297B"/>
    <w:rsid w:val="00AB2D07"/>
    <w:rsid w:val="00AB2DDF"/>
    <w:rsid w:val="00AB2DED"/>
    <w:rsid w:val="00AB2F96"/>
    <w:rsid w:val="00AB30CD"/>
    <w:rsid w:val="00AB327F"/>
    <w:rsid w:val="00AB3675"/>
    <w:rsid w:val="00AB374D"/>
    <w:rsid w:val="00AB3968"/>
    <w:rsid w:val="00AB3985"/>
    <w:rsid w:val="00AB3B32"/>
    <w:rsid w:val="00AB3E1E"/>
    <w:rsid w:val="00AB3FE0"/>
    <w:rsid w:val="00AB45A5"/>
    <w:rsid w:val="00AB492A"/>
    <w:rsid w:val="00AB516A"/>
    <w:rsid w:val="00AB51EA"/>
    <w:rsid w:val="00AB5630"/>
    <w:rsid w:val="00AB5707"/>
    <w:rsid w:val="00AB579F"/>
    <w:rsid w:val="00AB597B"/>
    <w:rsid w:val="00AB59CB"/>
    <w:rsid w:val="00AB5FA9"/>
    <w:rsid w:val="00AB6245"/>
    <w:rsid w:val="00AB62E0"/>
    <w:rsid w:val="00AB63D1"/>
    <w:rsid w:val="00AB64BD"/>
    <w:rsid w:val="00AB66AC"/>
    <w:rsid w:val="00AB6740"/>
    <w:rsid w:val="00AB6D13"/>
    <w:rsid w:val="00AB6D32"/>
    <w:rsid w:val="00AB7C50"/>
    <w:rsid w:val="00AB7E50"/>
    <w:rsid w:val="00AC01A1"/>
    <w:rsid w:val="00AC0903"/>
    <w:rsid w:val="00AC098C"/>
    <w:rsid w:val="00AC0B29"/>
    <w:rsid w:val="00AC0C24"/>
    <w:rsid w:val="00AC11AD"/>
    <w:rsid w:val="00AC12EF"/>
    <w:rsid w:val="00AC142F"/>
    <w:rsid w:val="00AC1AFA"/>
    <w:rsid w:val="00AC1CC5"/>
    <w:rsid w:val="00AC200F"/>
    <w:rsid w:val="00AC283D"/>
    <w:rsid w:val="00AC2B0E"/>
    <w:rsid w:val="00AC2B6A"/>
    <w:rsid w:val="00AC2CFA"/>
    <w:rsid w:val="00AC2D51"/>
    <w:rsid w:val="00AC2DA4"/>
    <w:rsid w:val="00AC364C"/>
    <w:rsid w:val="00AC3A20"/>
    <w:rsid w:val="00AC3B09"/>
    <w:rsid w:val="00AC3B6F"/>
    <w:rsid w:val="00AC414D"/>
    <w:rsid w:val="00AC433B"/>
    <w:rsid w:val="00AC43C3"/>
    <w:rsid w:val="00AC466D"/>
    <w:rsid w:val="00AC468B"/>
    <w:rsid w:val="00AC47D5"/>
    <w:rsid w:val="00AC4CB6"/>
    <w:rsid w:val="00AC4D95"/>
    <w:rsid w:val="00AC55EC"/>
    <w:rsid w:val="00AC576E"/>
    <w:rsid w:val="00AC583E"/>
    <w:rsid w:val="00AC59CC"/>
    <w:rsid w:val="00AC5B87"/>
    <w:rsid w:val="00AC5F22"/>
    <w:rsid w:val="00AC627D"/>
    <w:rsid w:val="00AC62BE"/>
    <w:rsid w:val="00AC62ED"/>
    <w:rsid w:val="00AC6387"/>
    <w:rsid w:val="00AC6494"/>
    <w:rsid w:val="00AC699A"/>
    <w:rsid w:val="00AC69E3"/>
    <w:rsid w:val="00AC7024"/>
    <w:rsid w:val="00AC7175"/>
    <w:rsid w:val="00AC71B1"/>
    <w:rsid w:val="00AC7204"/>
    <w:rsid w:val="00AC72A2"/>
    <w:rsid w:val="00AC7424"/>
    <w:rsid w:val="00AC74AA"/>
    <w:rsid w:val="00AC773E"/>
    <w:rsid w:val="00AC7864"/>
    <w:rsid w:val="00AC7C50"/>
    <w:rsid w:val="00AC7EA5"/>
    <w:rsid w:val="00AD01CD"/>
    <w:rsid w:val="00AD045C"/>
    <w:rsid w:val="00AD0808"/>
    <w:rsid w:val="00AD0D91"/>
    <w:rsid w:val="00AD1872"/>
    <w:rsid w:val="00AD1964"/>
    <w:rsid w:val="00AD1A25"/>
    <w:rsid w:val="00AD1ABE"/>
    <w:rsid w:val="00AD1CC5"/>
    <w:rsid w:val="00AD211E"/>
    <w:rsid w:val="00AD22B4"/>
    <w:rsid w:val="00AD34BF"/>
    <w:rsid w:val="00AD34E8"/>
    <w:rsid w:val="00AD3500"/>
    <w:rsid w:val="00AD3678"/>
    <w:rsid w:val="00AD3697"/>
    <w:rsid w:val="00AD397A"/>
    <w:rsid w:val="00AD3E43"/>
    <w:rsid w:val="00AD3E7D"/>
    <w:rsid w:val="00AD3F8D"/>
    <w:rsid w:val="00AD436C"/>
    <w:rsid w:val="00AD4424"/>
    <w:rsid w:val="00AD44D5"/>
    <w:rsid w:val="00AD459E"/>
    <w:rsid w:val="00AD4A66"/>
    <w:rsid w:val="00AD51DD"/>
    <w:rsid w:val="00AD5E47"/>
    <w:rsid w:val="00AD5FE8"/>
    <w:rsid w:val="00AD61BB"/>
    <w:rsid w:val="00AD6639"/>
    <w:rsid w:val="00AD6696"/>
    <w:rsid w:val="00AD7554"/>
    <w:rsid w:val="00AD77D8"/>
    <w:rsid w:val="00AD7AA3"/>
    <w:rsid w:val="00AD7C08"/>
    <w:rsid w:val="00AD7DAD"/>
    <w:rsid w:val="00AD7E85"/>
    <w:rsid w:val="00AE0189"/>
    <w:rsid w:val="00AE01C1"/>
    <w:rsid w:val="00AE0653"/>
    <w:rsid w:val="00AE07EB"/>
    <w:rsid w:val="00AE0873"/>
    <w:rsid w:val="00AE0CD3"/>
    <w:rsid w:val="00AE1298"/>
    <w:rsid w:val="00AE142B"/>
    <w:rsid w:val="00AE1596"/>
    <w:rsid w:val="00AE1C6F"/>
    <w:rsid w:val="00AE1DD4"/>
    <w:rsid w:val="00AE1FDF"/>
    <w:rsid w:val="00AE207A"/>
    <w:rsid w:val="00AE2622"/>
    <w:rsid w:val="00AE2893"/>
    <w:rsid w:val="00AE2A0D"/>
    <w:rsid w:val="00AE2E46"/>
    <w:rsid w:val="00AE3221"/>
    <w:rsid w:val="00AE3A09"/>
    <w:rsid w:val="00AE3A67"/>
    <w:rsid w:val="00AE3D4E"/>
    <w:rsid w:val="00AE3E59"/>
    <w:rsid w:val="00AE4585"/>
    <w:rsid w:val="00AE45C7"/>
    <w:rsid w:val="00AE476A"/>
    <w:rsid w:val="00AE4959"/>
    <w:rsid w:val="00AE4984"/>
    <w:rsid w:val="00AE4BFC"/>
    <w:rsid w:val="00AE4C69"/>
    <w:rsid w:val="00AE4E04"/>
    <w:rsid w:val="00AE5372"/>
    <w:rsid w:val="00AE57A0"/>
    <w:rsid w:val="00AE5B9E"/>
    <w:rsid w:val="00AE5BB8"/>
    <w:rsid w:val="00AE5C33"/>
    <w:rsid w:val="00AE5FE9"/>
    <w:rsid w:val="00AE64E9"/>
    <w:rsid w:val="00AE651A"/>
    <w:rsid w:val="00AE68CC"/>
    <w:rsid w:val="00AE6CF8"/>
    <w:rsid w:val="00AE6DD4"/>
    <w:rsid w:val="00AE6E04"/>
    <w:rsid w:val="00AE6E39"/>
    <w:rsid w:val="00AE6FA7"/>
    <w:rsid w:val="00AE793B"/>
    <w:rsid w:val="00AE7AEF"/>
    <w:rsid w:val="00AE7E51"/>
    <w:rsid w:val="00AF0363"/>
    <w:rsid w:val="00AF0389"/>
    <w:rsid w:val="00AF066E"/>
    <w:rsid w:val="00AF0C73"/>
    <w:rsid w:val="00AF0DCC"/>
    <w:rsid w:val="00AF0E2C"/>
    <w:rsid w:val="00AF117C"/>
    <w:rsid w:val="00AF13E5"/>
    <w:rsid w:val="00AF174C"/>
    <w:rsid w:val="00AF18A8"/>
    <w:rsid w:val="00AF1A46"/>
    <w:rsid w:val="00AF1A8D"/>
    <w:rsid w:val="00AF1C39"/>
    <w:rsid w:val="00AF1E7F"/>
    <w:rsid w:val="00AF1F22"/>
    <w:rsid w:val="00AF20BB"/>
    <w:rsid w:val="00AF21D6"/>
    <w:rsid w:val="00AF2248"/>
    <w:rsid w:val="00AF22E8"/>
    <w:rsid w:val="00AF2584"/>
    <w:rsid w:val="00AF2608"/>
    <w:rsid w:val="00AF2639"/>
    <w:rsid w:val="00AF2E47"/>
    <w:rsid w:val="00AF2E5E"/>
    <w:rsid w:val="00AF2E8B"/>
    <w:rsid w:val="00AF2F4B"/>
    <w:rsid w:val="00AF333B"/>
    <w:rsid w:val="00AF362B"/>
    <w:rsid w:val="00AF3875"/>
    <w:rsid w:val="00AF3A24"/>
    <w:rsid w:val="00AF3C65"/>
    <w:rsid w:val="00AF433D"/>
    <w:rsid w:val="00AF465D"/>
    <w:rsid w:val="00AF486D"/>
    <w:rsid w:val="00AF4C1B"/>
    <w:rsid w:val="00AF5175"/>
    <w:rsid w:val="00AF58ED"/>
    <w:rsid w:val="00AF5AE1"/>
    <w:rsid w:val="00AF5AE8"/>
    <w:rsid w:val="00AF5B21"/>
    <w:rsid w:val="00AF5C36"/>
    <w:rsid w:val="00AF5D32"/>
    <w:rsid w:val="00AF5EE3"/>
    <w:rsid w:val="00AF60AC"/>
    <w:rsid w:val="00AF6847"/>
    <w:rsid w:val="00AF6DEC"/>
    <w:rsid w:val="00AF71CA"/>
    <w:rsid w:val="00AF7232"/>
    <w:rsid w:val="00AF7283"/>
    <w:rsid w:val="00AF74E8"/>
    <w:rsid w:val="00AF7761"/>
    <w:rsid w:val="00AF7890"/>
    <w:rsid w:val="00AF7E04"/>
    <w:rsid w:val="00AF7E40"/>
    <w:rsid w:val="00B002E1"/>
    <w:rsid w:val="00B0032D"/>
    <w:rsid w:val="00B00341"/>
    <w:rsid w:val="00B003DF"/>
    <w:rsid w:val="00B0049D"/>
    <w:rsid w:val="00B00639"/>
    <w:rsid w:val="00B008C1"/>
    <w:rsid w:val="00B00CDB"/>
    <w:rsid w:val="00B00DB9"/>
    <w:rsid w:val="00B0113B"/>
    <w:rsid w:val="00B01898"/>
    <w:rsid w:val="00B01AD9"/>
    <w:rsid w:val="00B01C94"/>
    <w:rsid w:val="00B01E78"/>
    <w:rsid w:val="00B020CC"/>
    <w:rsid w:val="00B02CDA"/>
    <w:rsid w:val="00B02DA3"/>
    <w:rsid w:val="00B0300E"/>
    <w:rsid w:val="00B0302F"/>
    <w:rsid w:val="00B03297"/>
    <w:rsid w:val="00B03E47"/>
    <w:rsid w:val="00B03E72"/>
    <w:rsid w:val="00B03F51"/>
    <w:rsid w:val="00B04BCE"/>
    <w:rsid w:val="00B050B5"/>
    <w:rsid w:val="00B050BC"/>
    <w:rsid w:val="00B055C0"/>
    <w:rsid w:val="00B056E9"/>
    <w:rsid w:val="00B05A7A"/>
    <w:rsid w:val="00B05C55"/>
    <w:rsid w:val="00B065C1"/>
    <w:rsid w:val="00B068CA"/>
    <w:rsid w:val="00B06908"/>
    <w:rsid w:val="00B06C9C"/>
    <w:rsid w:val="00B06D44"/>
    <w:rsid w:val="00B06D99"/>
    <w:rsid w:val="00B06E85"/>
    <w:rsid w:val="00B06E98"/>
    <w:rsid w:val="00B07238"/>
    <w:rsid w:val="00B075F7"/>
    <w:rsid w:val="00B0790D"/>
    <w:rsid w:val="00B07AC9"/>
    <w:rsid w:val="00B07AE7"/>
    <w:rsid w:val="00B10202"/>
    <w:rsid w:val="00B102B9"/>
    <w:rsid w:val="00B104D1"/>
    <w:rsid w:val="00B104E6"/>
    <w:rsid w:val="00B1062D"/>
    <w:rsid w:val="00B10D95"/>
    <w:rsid w:val="00B10E64"/>
    <w:rsid w:val="00B1137E"/>
    <w:rsid w:val="00B11399"/>
    <w:rsid w:val="00B11442"/>
    <w:rsid w:val="00B11743"/>
    <w:rsid w:val="00B11894"/>
    <w:rsid w:val="00B11C28"/>
    <w:rsid w:val="00B11C5D"/>
    <w:rsid w:val="00B11EF0"/>
    <w:rsid w:val="00B11FD4"/>
    <w:rsid w:val="00B121E1"/>
    <w:rsid w:val="00B1226B"/>
    <w:rsid w:val="00B12463"/>
    <w:rsid w:val="00B125B5"/>
    <w:rsid w:val="00B127AB"/>
    <w:rsid w:val="00B12E8F"/>
    <w:rsid w:val="00B12F5E"/>
    <w:rsid w:val="00B12FA0"/>
    <w:rsid w:val="00B13877"/>
    <w:rsid w:val="00B13AA2"/>
    <w:rsid w:val="00B13B77"/>
    <w:rsid w:val="00B13E9D"/>
    <w:rsid w:val="00B13EE1"/>
    <w:rsid w:val="00B140DC"/>
    <w:rsid w:val="00B141D7"/>
    <w:rsid w:val="00B141DA"/>
    <w:rsid w:val="00B143CC"/>
    <w:rsid w:val="00B144D6"/>
    <w:rsid w:val="00B14504"/>
    <w:rsid w:val="00B14989"/>
    <w:rsid w:val="00B14992"/>
    <w:rsid w:val="00B14DD8"/>
    <w:rsid w:val="00B14FBA"/>
    <w:rsid w:val="00B150B0"/>
    <w:rsid w:val="00B156AB"/>
    <w:rsid w:val="00B15731"/>
    <w:rsid w:val="00B15857"/>
    <w:rsid w:val="00B158CA"/>
    <w:rsid w:val="00B159D8"/>
    <w:rsid w:val="00B15B12"/>
    <w:rsid w:val="00B15B97"/>
    <w:rsid w:val="00B15DF4"/>
    <w:rsid w:val="00B15FC1"/>
    <w:rsid w:val="00B164C7"/>
    <w:rsid w:val="00B165B1"/>
    <w:rsid w:val="00B1672E"/>
    <w:rsid w:val="00B168FE"/>
    <w:rsid w:val="00B16AA3"/>
    <w:rsid w:val="00B16B75"/>
    <w:rsid w:val="00B16CB7"/>
    <w:rsid w:val="00B16DB6"/>
    <w:rsid w:val="00B16E31"/>
    <w:rsid w:val="00B16FA1"/>
    <w:rsid w:val="00B171FF"/>
    <w:rsid w:val="00B17306"/>
    <w:rsid w:val="00B173DB"/>
    <w:rsid w:val="00B177AE"/>
    <w:rsid w:val="00B17BEB"/>
    <w:rsid w:val="00B17C53"/>
    <w:rsid w:val="00B20159"/>
    <w:rsid w:val="00B206C7"/>
    <w:rsid w:val="00B20817"/>
    <w:rsid w:val="00B208A9"/>
    <w:rsid w:val="00B20BAF"/>
    <w:rsid w:val="00B20BE7"/>
    <w:rsid w:val="00B210E7"/>
    <w:rsid w:val="00B2123E"/>
    <w:rsid w:val="00B21753"/>
    <w:rsid w:val="00B21CEC"/>
    <w:rsid w:val="00B21CFB"/>
    <w:rsid w:val="00B220A7"/>
    <w:rsid w:val="00B22758"/>
    <w:rsid w:val="00B229C6"/>
    <w:rsid w:val="00B22A0A"/>
    <w:rsid w:val="00B22E09"/>
    <w:rsid w:val="00B22F1E"/>
    <w:rsid w:val="00B22F83"/>
    <w:rsid w:val="00B233AE"/>
    <w:rsid w:val="00B234AF"/>
    <w:rsid w:val="00B2381F"/>
    <w:rsid w:val="00B238A5"/>
    <w:rsid w:val="00B23A3B"/>
    <w:rsid w:val="00B23A50"/>
    <w:rsid w:val="00B23AB8"/>
    <w:rsid w:val="00B23F33"/>
    <w:rsid w:val="00B2446C"/>
    <w:rsid w:val="00B244AC"/>
    <w:rsid w:val="00B25B65"/>
    <w:rsid w:val="00B25CAF"/>
    <w:rsid w:val="00B25DD4"/>
    <w:rsid w:val="00B26445"/>
    <w:rsid w:val="00B26682"/>
    <w:rsid w:val="00B269BD"/>
    <w:rsid w:val="00B26D6F"/>
    <w:rsid w:val="00B26F61"/>
    <w:rsid w:val="00B26F84"/>
    <w:rsid w:val="00B27292"/>
    <w:rsid w:val="00B27562"/>
    <w:rsid w:val="00B2779E"/>
    <w:rsid w:val="00B279E1"/>
    <w:rsid w:val="00B27B87"/>
    <w:rsid w:val="00B27FBF"/>
    <w:rsid w:val="00B300C7"/>
    <w:rsid w:val="00B3030A"/>
    <w:rsid w:val="00B3062B"/>
    <w:rsid w:val="00B30A0C"/>
    <w:rsid w:val="00B30E65"/>
    <w:rsid w:val="00B31102"/>
    <w:rsid w:val="00B3118C"/>
    <w:rsid w:val="00B3128D"/>
    <w:rsid w:val="00B31571"/>
    <w:rsid w:val="00B3165D"/>
    <w:rsid w:val="00B3178B"/>
    <w:rsid w:val="00B31B20"/>
    <w:rsid w:val="00B3211F"/>
    <w:rsid w:val="00B32214"/>
    <w:rsid w:val="00B32432"/>
    <w:rsid w:val="00B32521"/>
    <w:rsid w:val="00B3261F"/>
    <w:rsid w:val="00B32776"/>
    <w:rsid w:val="00B33086"/>
    <w:rsid w:val="00B330DE"/>
    <w:rsid w:val="00B33121"/>
    <w:rsid w:val="00B33516"/>
    <w:rsid w:val="00B33C9C"/>
    <w:rsid w:val="00B33CC3"/>
    <w:rsid w:val="00B343E1"/>
    <w:rsid w:val="00B3495F"/>
    <w:rsid w:val="00B34B5B"/>
    <w:rsid w:val="00B34CC2"/>
    <w:rsid w:val="00B34D50"/>
    <w:rsid w:val="00B34DB5"/>
    <w:rsid w:val="00B34ED4"/>
    <w:rsid w:val="00B35085"/>
    <w:rsid w:val="00B350D4"/>
    <w:rsid w:val="00B3530F"/>
    <w:rsid w:val="00B353D2"/>
    <w:rsid w:val="00B3571D"/>
    <w:rsid w:val="00B35BEB"/>
    <w:rsid w:val="00B36306"/>
    <w:rsid w:val="00B36954"/>
    <w:rsid w:val="00B36FA8"/>
    <w:rsid w:val="00B37131"/>
    <w:rsid w:val="00B37303"/>
    <w:rsid w:val="00B37339"/>
    <w:rsid w:val="00B37371"/>
    <w:rsid w:val="00B373B7"/>
    <w:rsid w:val="00B37B77"/>
    <w:rsid w:val="00B37CE6"/>
    <w:rsid w:val="00B401E8"/>
    <w:rsid w:val="00B40527"/>
    <w:rsid w:val="00B407C3"/>
    <w:rsid w:val="00B40806"/>
    <w:rsid w:val="00B4083D"/>
    <w:rsid w:val="00B40A16"/>
    <w:rsid w:val="00B40EA9"/>
    <w:rsid w:val="00B41130"/>
    <w:rsid w:val="00B413F2"/>
    <w:rsid w:val="00B41472"/>
    <w:rsid w:val="00B414C1"/>
    <w:rsid w:val="00B4177A"/>
    <w:rsid w:val="00B41CA5"/>
    <w:rsid w:val="00B4231E"/>
    <w:rsid w:val="00B42431"/>
    <w:rsid w:val="00B42613"/>
    <w:rsid w:val="00B426DB"/>
    <w:rsid w:val="00B42863"/>
    <w:rsid w:val="00B42B72"/>
    <w:rsid w:val="00B42C9E"/>
    <w:rsid w:val="00B42D0E"/>
    <w:rsid w:val="00B42D8C"/>
    <w:rsid w:val="00B43042"/>
    <w:rsid w:val="00B43389"/>
    <w:rsid w:val="00B433EA"/>
    <w:rsid w:val="00B43729"/>
    <w:rsid w:val="00B4391C"/>
    <w:rsid w:val="00B43A1B"/>
    <w:rsid w:val="00B43D8B"/>
    <w:rsid w:val="00B44109"/>
    <w:rsid w:val="00B443BD"/>
    <w:rsid w:val="00B4471E"/>
    <w:rsid w:val="00B44906"/>
    <w:rsid w:val="00B44AC6"/>
    <w:rsid w:val="00B45053"/>
    <w:rsid w:val="00B450C2"/>
    <w:rsid w:val="00B4541B"/>
    <w:rsid w:val="00B45960"/>
    <w:rsid w:val="00B45BC1"/>
    <w:rsid w:val="00B45E08"/>
    <w:rsid w:val="00B4667B"/>
    <w:rsid w:val="00B4674D"/>
    <w:rsid w:val="00B46AAC"/>
    <w:rsid w:val="00B46BB3"/>
    <w:rsid w:val="00B4739A"/>
    <w:rsid w:val="00B474B1"/>
    <w:rsid w:val="00B47A76"/>
    <w:rsid w:val="00B47C41"/>
    <w:rsid w:val="00B47FC4"/>
    <w:rsid w:val="00B503ED"/>
    <w:rsid w:val="00B505B9"/>
    <w:rsid w:val="00B506F3"/>
    <w:rsid w:val="00B50BBC"/>
    <w:rsid w:val="00B50E7F"/>
    <w:rsid w:val="00B513DC"/>
    <w:rsid w:val="00B5147C"/>
    <w:rsid w:val="00B519F3"/>
    <w:rsid w:val="00B51E1F"/>
    <w:rsid w:val="00B51EDF"/>
    <w:rsid w:val="00B526A2"/>
    <w:rsid w:val="00B529CC"/>
    <w:rsid w:val="00B52B96"/>
    <w:rsid w:val="00B52D2D"/>
    <w:rsid w:val="00B52E25"/>
    <w:rsid w:val="00B5343B"/>
    <w:rsid w:val="00B53FBF"/>
    <w:rsid w:val="00B544CD"/>
    <w:rsid w:val="00B5458B"/>
    <w:rsid w:val="00B548B7"/>
    <w:rsid w:val="00B554F9"/>
    <w:rsid w:val="00B55A31"/>
    <w:rsid w:val="00B55BE0"/>
    <w:rsid w:val="00B55D62"/>
    <w:rsid w:val="00B55F54"/>
    <w:rsid w:val="00B56936"/>
    <w:rsid w:val="00B56D54"/>
    <w:rsid w:val="00B56E01"/>
    <w:rsid w:val="00B5772E"/>
    <w:rsid w:val="00B577DA"/>
    <w:rsid w:val="00B5780A"/>
    <w:rsid w:val="00B57A55"/>
    <w:rsid w:val="00B57D41"/>
    <w:rsid w:val="00B57F46"/>
    <w:rsid w:val="00B60068"/>
    <w:rsid w:val="00B60522"/>
    <w:rsid w:val="00B606EA"/>
    <w:rsid w:val="00B60E4D"/>
    <w:rsid w:val="00B610B2"/>
    <w:rsid w:val="00B61161"/>
    <w:rsid w:val="00B612F0"/>
    <w:rsid w:val="00B6134F"/>
    <w:rsid w:val="00B614E7"/>
    <w:rsid w:val="00B61C24"/>
    <w:rsid w:val="00B6223C"/>
    <w:rsid w:val="00B62608"/>
    <w:rsid w:val="00B62BA7"/>
    <w:rsid w:val="00B62F8E"/>
    <w:rsid w:val="00B63341"/>
    <w:rsid w:val="00B63434"/>
    <w:rsid w:val="00B63465"/>
    <w:rsid w:val="00B635DD"/>
    <w:rsid w:val="00B636C4"/>
    <w:rsid w:val="00B6371B"/>
    <w:rsid w:val="00B6385F"/>
    <w:rsid w:val="00B638AE"/>
    <w:rsid w:val="00B63DDD"/>
    <w:rsid w:val="00B63F4F"/>
    <w:rsid w:val="00B641E5"/>
    <w:rsid w:val="00B647CB"/>
    <w:rsid w:val="00B64892"/>
    <w:rsid w:val="00B648B7"/>
    <w:rsid w:val="00B64B06"/>
    <w:rsid w:val="00B64BD3"/>
    <w:rsid w:val="00B64CB2"/>
    <w:rsid w:val="00B64F90"/>
    <w:rsid w:val="00B65150"/>
    <w:rsid w:val="00B652F9"/>
    <w:rsid w:val="00B653CD"/>
    <w:rsid w:val="00B65E0D"/>
    <w:rsid w:val="00B65EC7"/>
    <w:rsid w:val="00B65F19"/>
    <w:rsid w:val="00B6635D"/>
    <w:rsid w:val="00B664A5"/>
    <w:rsid w:val="00B6691E"/>
    <w:rsid w:val="00B66A6F"/>
    <w:rsid w:val="00B67083"/>
    <w:rsid w:val="00B673E3"/>
    <w:rsid w:val="00B67437"/>
    <w:rsid w:val="00B67651"/>
    <w:rsid w:val="00B67689"/>
    <w:rsid w:val="00B676DE"/>
    <w:rsid w:val="00B679A4"/>
    <w:rsid w:val="00B67A38"/>
    <w:rsid w:val="00B67BF3"/>
    <w:rsid w:val="00B67C18"/>
    <w:rsid w:val="00B7020A"/>
    <w:rsid w:val="00B70906"/>
    <w:rsid w:val="00B70999"/>
    <w:rsid w:val="00B71616"/>
    <w:rsid w:val="00B7161E"/>
    <w:rsid w:val="00B717E7"/>
    <w:rsid w:val="00B71A0D"/>
    <w:rsid w:val="00B71CB2"/>
    <w:rsid w:val="00B71E7A"/>
    <w:rsid w:val="00B71FEB"/>
    <w:rsid w:val="00B726CE"/>
    <w:rsid w:val="00B72B56"/>
    <w:rsid w:val="00B72EBF"/>
    <w:rsid w:val="00B732C1"/>
    <w:rsid w:val="00B733CB"/>
    <w:rsid w:val="00B737BF"/>
    <w:rsid w:val="00B73819"/>
    <w:rsid w:val="00B73938"/>
    <w:rsid w:val="00B73A03"/>
    <w:rsid w:val="00B73A35"/>
    <w:rsid w:val="00B73C3E"/>
    <w:rsid w:val="00B73E6C"/>
    <w:rsid w:val="00B74276"/>
    <w:rsid w:val="00B74350"/>
    <w:rsid w:val="00B7473D"/>
    <w:rsid w:val="00B74A80"/>
    <w:rsid w:val="00B74B4B"/>
    <w:rsid w:val="00B74B81"/>
    <w:rsid w:val="00B74C4C"/>
    <w:rsid w:val="00B74CA1"/>
    <w:rsid w:val="00B75055"/>
    <w:rsid w:val="00B7562A"/>
    <w:rsid w:val="00B75B2D"/>
    <w:rsid w:val="00B75E24"/>
    <w:rsid w:val="00B7619A"/>
    <w:rsid w:val="00B76860"/>
    <w:rsid w:val="00B7688F"/>
    <w:rsid w:val="00B76914"/>
    <w:rsid w:val="00B7693C"/>
    <w:rsid w:val="00B76F41"/>
    <w:rsid w:val="00B7710D"/>
    <w:rsid w:val="00B77214"/>
    <w:rsid w:val="00B772BB"/>
    <w:rsid w:val="00B774C9"/>
    <w:rsid w:val="00B774D8"/>
    <w:rsid w:val="00B775C5"/>
    <w:rsid w:val="00B77661"/>
    <w:rsid w:val="00B77EA7"/>
    <w:rsid w:val="00B801D7"/>
    <w:rsid w:val="00B805D8"/>
    <w:rsid w:val="00B80C18"/>
    <w:rsid w:val="00B80CA3"/>
    <w:rsid w:val="00B81524"/>
    <w:rsid w:val="00B815F1"/>
    <w:rsid w:val="00B81D0B"/>
    <w:rsid w:val="00B81D17"/>
    <w:rsid w:val="00B81EFD"/>
    <w:rsid w:val="00B8266A"/>
    <w:rsid w:val="00B82775"/>
    <w:rsid w:val="00B82C62"/>
    <w:rsid w:val="00B82F2E"/>
    <w:rsid w:val="00B82F99"/>
    <w:rsid w:val="00B832A1"/>
    <w:rsid w:val="00B83332"/>
    <w:rsid w:val="00B83631"/>
    <w:rsid w:val="00B837F7"/>
    <w:rsid w:val="00B838E7"/>
    <w:rsid w:val="00B83AD6"/>
    <w:rsid w:val="00B83D7A"/>
    <w:rsid w:val="00B840A5"/>
    <w:rsid w:val="00B84142"/>
    <w:rsid w:val="00B8422D"/>
    <w:rsid w:val="00B844D2"/>
    <w:rsid w:val="00B84BBB"/>
    <w:rsid w:val="00B85354"/>
    <w:rsid w:val="00B85AD3"/>
    <w:rsid w:val="00B85EED"/>
    <w:rsid w:val="00B8659F"/>
    <w:rsid w:val="00B86701"/>
    <w:rsid w:val="00B86712"/>
    <w:rsid w:val="00B86A70"/>
    <w:rsid w:val="00B86BDF"/>
    <w:rsid w:val="00B86E0D"/>
    <w:rsid w:val="00B87066"/>
    <w:rsid w:val="00B870B9"/>
    <w:rsid w:val="00B873B6"/>
    <w:rsid w:val="00B87444"/>
    <w:rsid w:val="00B87493"/>
    <w:rsid w:val="00B87C02"/>
    <w:rsid w:val="00B87D0D"/>
    <w:rsid w:val="00B87DB9"/>
    <w:rsid w:val="00B87EDD"/>
    <w:rsid w:val="00B87FD2"/>
    <w:rsid w:val="00B90968"/>
    <w:rsid w:val="00B90A95"/>
    <w:rsid w:val="00B90D3D"/>
    <w:rsid w:val="00B912B7"/>
    <w:rsid w:val="00B912D9"/>
    <w:rsid w:val="00B91A37"/>
    <w:rsid w:val="00B91C5B"/>
    <w:rsid w:val="00B92426"/>
    <w:rsid w:val="00B92647"/>
    <w:rsid w:val="00B931CE"/>
    <w:rsid w:val="00B93660"/>
    <w:rsid w:val="00B939E4"/>
    <w:rsid w:val="00B93AFC"/>
    <w:rsid w:val="00B9448B"/>
    <w:rsid w:val="00B94589"/>
    <w:rsid w:val="00B94663"/>
    <w:rsid w:val="00B94781"/>
    <w:rsid w:val="00B94A7A"/>
    <w:rsid w:val="00B94BA2"/>
    <w:rsid w:val="00B95050"/>
    <w:rsid w:val="00B9535B"/>
    <w:rsid w:val="00B9550C"/>
    <w:rsid w:val="00B955F6"/>
    <w:rsid w:val="00B9597C"/>
    <w:rsid w:val="00B95BFC"/>
    <w:rsid w:val="00B95C2B"/>
    <w:rsid w:val="00B95ED0"/>
    <w:rsid w:val="00B95FF5"/>
    <w:rsid w:val="00B96A10"/>
    <w:rsid w:val="00B96B81"/>
    <w:rsid w:val="00B96BEC"/>
    <w:rsid w:val="00B97129"/>
    <w:rsid w:val="00B97312"/>
    <w:rsid w:val="00B97381"/>
    <w:rsid w:val="00B97785"/>
    <w:rsid w:val="00B97792"/>
    <w:rsid w:val="00B977E3"/>
    <w:rsid w:val="00B979BB"/>
    <w:rsid w:val="00B979DC"/>
    <w:rsid w:val="00B97DA6"/>
    <w:rsid w:val="00B97DB3"/>
    <w:rsid w:val="00B97F5A"/>
    <w:rsid w:val="00B97FB8"/>
    <w:rsid w:val="00BA0282"/>
    <w:rsid w:val="00BA0292"/>
    <w:rsid w:val="00BA0AD6"/>
    <w:rsid w:val="00BA0B12"/>
    <w:rsid w:val="00BA0B16"/>
    <w:rsid w:val="00BA0C27"/>
    <w:rsid w:val="00BA0E48"/>
    <w:rsid w:val="00BA1098"/>
    <w:rsid w:val="00BA12C6"/>
    <w:rsid w:val="00BA1708"/>
    <w:rsid w:val="00BA1965"/>
    <w:rsid w:val="00BA1F4C"/>
    <w:rsid w:val="00BA2165"/>
    <w:rsid w:val="00BA2462"/>
    <w:rsid w:val="00BA24ED"/>
    <w:rsid w:val="00BA2A0F"/>
    <w:rsid w:val="00BA2C95"/>
    <w:rsid w:val="00BA2DB8"/>
    <w:rsid w:val="00BA398B"/>
    <w:rsid w:val="00BA3EE3"/>
    <w:rsid w:val="00BA4076"/>
    <w:rsid w:val="00BA45B1"/>
    <w:rsid w:val="00BA4834"/>
    <w:rsid w:val="00BA4E4E"/>
    <w:rsid w:val="00BA50D7"/>
    <w:rsid w:val="00BA5371"/>
    <w:rsid w:val="00BA5674"/>
    <w:rsid w:val="00BA579C"/>
    <w:rsid w:val="00BA58AE"/>
    <w:rsid w:val="00BA5AA2"/>
    <w:rsid w:val="00BA5AEF"/>
    <w:rsid w:val="00BA5AF7"/>
    <w:rsid w:val="00BA5B0C"/>
    <w:rsid w:val="00BA5D4B"/>
    <w:rsid w:val="00BA5D69"/>
    <w:rsid w:val="00BA5EF1"/>
    <w:rsid w:val="00BA6B96"/>
    <w:rsid w:val="00BA7021"/>
    <w:rsid w:val="00BA72A1"/>
    <w:rsid w:val="00BA74A1"/>
    <w:rsid w:val="00BA780B"/>
    <w:rsid w:val="00BA786A"/>
    <w:rsid w:val="00BB0012"/>
    <w:rsid w:val="00BB002F"/>
    <w:rsid w:val="00BB0099"/>
    <w:rsid w:val="00BB02D0"/>
    <w:rsid w:val="00BB04A6"/>
    <w:rsid w:val="00BB080A"/>
    <w:rsid w:val="00BB08E0"/>
    <w:rsid w:val="00BB0B44"/>
    <w:rsid w:val="00BB0B5C"/>
    <w:rsid w:val="00BB0C5E"/>
    <w:rsid w:val="00BB1595"/>
    <w:rsid w:val="00BB201E"/>
    <w:rsid w:val="00BB2202"/>
    <w:rsid w:val="00BB222E"/>
    <w:rsid w:val="00BB2866"/>
    <w:rsid w:val="00BB29C3"/>
    <w:rsid w:val="00BB36D0"/>
    <w:rsid w:val="00BB376C"/>
    <w:rsid w:val="00BB38F4"/>
    <w:rsid w:val="00BB3A88"/>
    <w:rsid w:val="00BB3CC1"/>
    <w:rsid w:val="00BB3E0A"/>
    <w:rsid w:val="00BB3FFE"/>
    <w:rsid w:val="00BB409D"/>
    <w:rsid w:val="00BB44E7"/>
    <w:rsid w:val="00BB4E9E"/>
    <w:rsid w:val="00BB4FA5"/>
    <w:rsid w:val="00BB53CA"/>
    <w:rsid w:val="00BB57CA"/>
    <w:rsid w:val="00BB5A27"/>
    <w:rsid w:val="00BB612D"/>
    <w:rsid w:val="00BB617F"/>
    <w:rsid w:val="00BB61D7"/>
    <w:rsid w:val="00BB6453"/>
    <w:rsid w:val="00BB6833"/>
    <w:rsid w:val="00BB695F"/>
    <w:rsid w:val="00BB6BED"/>
    <w:rsid w:val="00BB724D"/>
    <w:rsid w:val="00BB73E5"/>
    <w:rsid w:val="00BB7467"/>
    <w:rsid w:val="00BB74B5"/>
    <w:rsid w:val="00BB784B"/>
    <w:rsid w:val="00BB7A2A"/>
    <w:rsid w:val="00BB7B0A"/>
    <w:rsid w:val="00BB7C05"/>
    <w:rsid w:val="00BC05B1"/>
    <w:rsid w:val="00BC06F0"/>
    <w:rsid w:val="00BC0A3A"/>
    <w:rsid w:val="00BC0D01"/>
    <w:rsid w:val="00BC0FF2"/>
    <w:rsid w:val="00BC1522"/>
    <w:rsid w:val="00BC169D"/>
    <w:rsid w:val="00BC16C1"/>
    <w:rsid w:val="00BC177B"/>
    <w:rsid w:val="00BC1DE8"/>
    <w:rsid w:val="00BC1E15"/>
    <w:rsid w:val="00BC20D6"/>
    <w:rsid w:val="00BC22BA"/>
    <w:rsid w:val="00BC2445"/>
    <w:rsid w:val="00BC28BA"/>
    <w:rsid w:val="00BC2C09"/>
    <w:rsid w:val="00BC2CEE"/>
    <w:rsid w:val="00BC2D36"/>
    <w:rsid w:val="00BC2EEA"/>
    <w:rsid w:val="00BC2F9D"/>
    <w:rsid w:val="00BC3013"/>
    <w:rsid w:val="00BC3731"/>
    <w:rsid w:val="00BC395C"/>
    <w:rsid w:val="00BC3CF8"/>
    <w:rsid w:val="00BC3EFD"/>
    <w:rsid w:val="00BC3F42"/>
    <w:rsid w:val="00BC3FF3"/>
    <w:rsid w:val="00BC3FFE"/>
    <w:rsid w:val="00BC418B"/>
    <w:rsid w:val="00BC43F4"/>
    <w:rsid w:val="00BC4808"/>
    <w:rsid w:val="00BC4A67"/>
    <w:rsid w:val="00BC4F03"/>
    <w:rsid w:val="00BC4F19"/>
    <w:rsid w:val="00BC4F72"/>
    <w:rsid w:val="00BC4F8A"/>
    <w:rsid w:val="00BC508C"/>
    <w:rsid w:val="00BC5091"/>
    <w:rsid w:val="00BC5267"/>
    <w:rsid w:val="00BC5520"/>
    <w:rsid w:val="00BC5793"/>
    <w:rsid w:val="00BC59A3"/>
    <w:rsid w:val="00BC5C1E"/>
    <w:rsid w:val="00BC5F60"/>
    <w:rsid w:val="00BC666E"/>
    <w:rsid w:val="00BC66CA"/>
    <w:rsid w:val="00BC676B"/>
    <w:rsid w:val="00BC6C44"/>
    <w:rsid w:val="00BC6C9D"/>
    <w:rsid w:val="00BC706D"/>
    <w:rsid w:val="00BC7398"/>
    <w:rsid w:val="00BC7D3B"/>
    <w:rsid w:val="00BD0539"/>
    <w:rsid w:val="00BD0599"/>
    <w:rsid w:val="00BD0632"/>
    <w:rsid w:val="00BD0D01"/>
    <w:rsid w:val="00BD0F51"/>
    <w:rsid w:val="00BD0FEE"/>
    <w:rsid w:val="00BD1301"/>
    <w:rsid w:val="00BD17C7"/>
    <w:rsid w:val="00BD17EB"/>
    <w:rsid w:val="00BD18FA"/>
    <w:rsid w:val="00BD1C9E"/>
    <w:rsid w:val="00BD2382"/>
    <w:rsid w:val="00BD2448"/>
    <w:rsid w:val="00BD260D"/>
    <w:rsid w:val="00BD2766"/>
    <w:rsid w:val="00BD297A"/>
    <w:rsid w:val="00BD2A17"/>
    <w:rsid w:val="00BD2EA9"/>
    <w:rsid w:val="00BD320B"/>
    <w:rsid w:val="00BD3528"/>
    <w:rsid w:val="00BD3529"/>
    <w:rsid w:val="00BD3628"/>
    <w:rsid w:val="00BD36C3"/>
    <w:rsid w:val="00BD39AC"/>
    <w:rsid w:val="00BD3E28"/>
    <w:rsid w:val="00BD3F30"/>
    <w:rsid w:val="00BD4233"/>
    <w:rsid w:val="00BD4425"/>
    <w:rsid w:val="00BD4972"/>
    <w:rsid w:val="00BD49E8"/>
    <w:rsid w:val="00BD4DAD"/>
    <w:rsid w:val="00BD52C0"/>
    <w:rsid w:val="00BD5408"/>
    <w:rsid w:val="00BD543C"/>
    <w:rsid w:val="00BD5608"/>
    <w:rsid w:val="00BD586A"/>
    <w:rsid w:val="00BD5968"/>
    <w:rsid w:val="00BD59DB"/>
    <w:rsid w:val="00BD5B0B"/>
    <w:rsid w:val="00BD5D18"/>
    <w:rsid w:val="00BD5D92"/>
    <w:rsid w:val="00BD620B"/>
    <w:rsid w:val="00BD6C49"/>
    <w:rsid w:val="00BD6E96"/>
    <w:rsid w:val="00BD6FF7"/>
    <w:rsid w:val="00BD7067"/>
    <w:rsid w:val="00BD7118"/>
    <w:rsid w:val="00BD718B"/>
    <w:rsid w:val="00BD746B"/>
    <w:rsid w:val="00BD74C8"/>
    <w:rsid w:val="00BD74F6"/>
    <w:rsid w:val="00BD76D0"/>
    <w:rsid w:val="00BD7960"/>
    <w:rsid w:val="00BD7AE7"/>
    <w:rsid w:val="00BD7DC0"/>
    <w:rsid w:val="00BD7E85"/>
    <w:rsid w:val="00BD7F6B"/>
    <w:rsid w:val="00BE00C7"/>
    <w:rsid w:val="00BE01F9"/>
    <w:rsid w:val="00BE0380"/>
    <w:rsid w:val="00BE0416"/>
    <w:rsid w:val="00BE044B"/>
    <w:rsid w:val="00BE0803"/>
    <w:rsid w:val="00BE0E39"/>
    <w:rsid w:val="00BE0F69"/>
    <w:rsid w:val="00BE1142"/>
    <w:rsid w:val="00BE1193"/>
    <w:rsid w:val="00BE1215"/>
    <w:rsid w:val="00BE13A9"/>
    <w:rsid w:val="00BE13B2"/>
    <w:rsid w:val="00BE170C"/>
    <w:rsid w:val="00BE1966"/>
    <w:rsid w:val="00BE1C9F"/>
    <w:rsid w:val="00BE1DF5"/>
    <w:rsid w:val="00BE1F26"/>
    <w:rsid w:val="00BE2502"/>
    <w:rsid w:val="00BE2542"/>
    <w:rsid w:val="00BE279B"/>
    <w:rsid w:val="00BE2878"/>
    <w:rsid w:val="00BE2E15"/>
    <w:rsid w:val="00BE2FB2"/>
    <w:rsid w:val="00BE31E3"/>
    <w:rsid w:val="00BE3BE3"/>
    <w:rsid w:val="00BE4068"/>
    <w:rsid w:val="00BE414B"/>
    <w:rsid w:val="00BE45F5"/>
    <w:rsid w:val="00BE4665"/>
    <w:rsid w:val="00BE473B"/>
    <w:rsid w:val="00BE4A77"/>
    <w:rsid w:val="00BE4DA5"/>
    <w:rsid w:val="00BE4DEB"/>
    <w:rsid w:val="00BE4E6C"/>
    <w:rsid w:val="00BE56C8"/>
    <w:rsid w:val="00BE5F0E"/>
    <w:rsid w:val="00BE5FB4"/>
    <w:rsid w:val="00BE62EB"/>
    <w:rsid w:val="00BE6472"/>
    <w:rsid w:val="00BE6513"/>
    <w:rsid w:val="00BE66F0"/>
    <w:rsid w:val="00BE6927"/>
    <w:rsid w:val="00BE6AED"/>
    <w:rsid w:val="00BE6B0D"/>
    <w:rsid w:val="00BE6BAE"/>
    <w:rsid w:val="00BE6DAA"/>
    <w:rsid w:val="00BE6E85"/>
    <w:rsid w:val="00BE6F00"/>
    <w:rsid w:val="00BE7153"/>
    <w:rsid w:val="00BE7A0F"/>
    <w:rsid w:val="00BF06CD"/>
    <w:rsid w:val="00BF07A6"/>
    <w:rsid w:val="00BF084B"/>
    <w:rsid w:val="00BF0B07"/>
    <w:rsid w:val="00BF1578"/>
    <w:rsid w:val="00BF18EB"/>
    <w:rsid w:val="00BF194A"/>
    <w:rsid w:val="00BF1BE7"/>
    <w:rsid w:val="00BF1C62"/>
    <w:rsid w:val="00BF1D28"/>
    <w:rsid w:val="00BF20DD"/>
    <w:rsid w:val="00BF24DD"/>
    <w:rsid w:val="00BF2657"/>
    <w:rsid w:val="00BF269A"/>
    <w:rsid w:val="00BF3932"/>
    <w:rsid w:val="00BF3A3F"/>
    <w:rsid w:val="00BF3B85"/>
    <w:rsid w:val="00BF3F62"/>
    <w:rsid w:val="00BF419F"/>
    <w:rsid w:val="00BF486F"/>
    <w:rsid w:val="00BF4E52"/>
    <w:rsid w:val="00BF4EB1"/>
    <w:rsid w:val="00BF52BF"/>
    <w:rsid w:val="00BF52DD"/>
    <w:rsid w:val="00BF5314"/>
    <w:rsid w:val="00BF56D7"/>
    <w:rsid w:val="00BF57AB"/>
    <w:rsid w:val="00BF590E"/>
    <w:rsid w:val="00BF5B5B"/>
    <w:rsid w:val="00BF5CC9"/>
    <w:rsid w:val="00BF5D3D"/>
    <w:rsid w:val="00BF6290"/>
    <w:rsid w:val="00BF6335"/>
    <w:rsid w:val="00BF72AE"/>
    <w:rsid w:val="00BF745C"/>
    <w:rsid w:val="00BF759F"/>
    <w:rsid w:val="00BF76C9"/>
    <w:rsid w:val="00BF7976"/>
    <w:rsid w:val="00BF7C74"/>
    <w:rsid w:val="00C00154"/>
    <w:rsid w:val="00C001DE"/>
    <w:rsid w:val="00C005C7"/>
    <w:rsid w:val="00C00DD4"/>
    <w:rsid w:val="00C0108D"/>
    <w:rsid w:val="00C011C3"/>
    <w:rsid w:val="00C0121E"/>
    <w:rsid w:val="00C01950"/>
    <w:rsid w:val="00C01EC1"/>
    <w:rsid w:val="00C01EEA"/>
    <w:rsid w:val="00C02174"/>
    <w:rsid w:val="00C021CF"/>
    <w:rsid w:val="00C021F0"/>
    <w:rsid w:val="00C02244"/>
    <w:rsid w:val="00C0267C"/>
    <w:rsid w:val="00C02990"/>
    <w:rsid w:val="00C02DDF"/>
    <w:rsid w:val="00C02E78"/>
    <w:rsid w:val="00C02EFB"/>
    <w:rsid w:val="00C030C4"/>
    <w:rsid w:val="00C0373A"/>
    <w:rsid w:val="00C038CA"/>
    <w:rsid w:val="00C03ADB"/>
    <w:rsid w:val="00C03B8A"/>
    <w:rsid w:val="00C0434A"/>
    <w:rsid w:val="00C04B36"/>
    <w:rsid w:val="00C04C75"/>
    <w:rsid w:val="00C050A3"/>
    <w:rsid w:val="00C050BD"/>
    <w:rsid w:val="00C056D8"/>
    <w:rsid w:val="00C058EE"/>
    <w:rsid w:val="00C05E6A"/>
    <w:rsid w:val="00C06078"/>
    <w:rsid w:val="00C06291"/>
    <w:rsid w:val="00C062B4"/>
    <w:rsid w:val="00C063AC"/>
    <w:rsid w:val="00C06411"/>
    <w:rsid w:val="00C065DB"/>
    <w:rsid w:val="00C071D9"/>
    <w:rsid w:val="00C0743C"/>
    <w:rsid w:val="00C07441"/>
    <w:rsid w:val="00C07968"/>
    <w:rsid w:val="00C07BC8"/>
    <w:rsid w:val="00C07D98"/>
    <w:rsid w:val="00C1021E"/>
    <w:rsid w:val="00C10252"/>
    <w:rsid w:val="00C103CE"/>
    <w:rsid w:val="00C105AF"/>
    <w:rsid w:val="00C108B7"/>
    <w:rsid w:val="00C10948"/>
    <w:rsid w:val="00C109AD"/>
    <w:rsid w:val="00C11409"/>
    <w:rsid w:val="00C11BCA"/>
    <w:rsid w:val="00C11FBF"/>
    <w:rsid w:val="00C121E9"/>
    <w:rsid w:val="00C122A0"/>
    <w:rsid w:val="00C1233C"/>
    <w:rsid w:val="00C12717"/>
    <w:rsid w:val="00C12723"/>
    <w:rsid w:val="00C128CD"/>
    <w:rsid w:val="00C12A42"/>
    <w:rsid w:val="00C12B26"/>
    <w:rsid w:val="00C12C18"/>
    <w:rsid w:val="00C12CAF"/>
    <w:rsid w:val="00C12E05"/>
    <w:rsid w:val="00C12EE7"/>
    <w:rsid w:val="00C13190"/>
    <w:rsid w:val="00C13274"/>
    <w:rsid w:val="00C132A1"/>
    <w:rsid w:val="00C13908"/>
    <w:rsid w:val="00C13917"/>
    <w:rsid w:val="00C1412B"/>
    <w:rsid w:val="00C14131"/>
    <w:rsid w:val="00C1413A"/>
    <w:rsid w:val="00C144E5"/>
    <w:rsid w:val="00C14619"/>
    <w:rsid w:val="00C1481E"/>
    <w:rsid w:val="00C1499A"/>
    <w:rsid w:val="00C149EF"/>
    <w:rsid w:val="00C14CF1"/>
    <w:rsid w:val="00C14FCF"/>
    <w:rsid w:val="00C1506D"/>
    <w:rsid w:val="00C1510A"/>
    <w:rsid w:val="00C153E8"/>
    <w:rsid w:val="00C15547"/>
    <w:rsid w:val="00C155B5"/>
    <w:rsid w:val="00C155C4"/>
    <w:rsid w:val="00C15734"/>
    <w:rsid w:val="00C15E3D"/>
    <w:rsid w:val="00C1670C"/>
    <w:rsid w:val="00C16940"/>
    <w:rsid w:val="00C16A34"/>
    <w:rsid w:val="00C16B71"/>
    <w:rsid w:val="00C16EFF"/>
    <w:rsid w:val="00C17503"/>
    <w:rsid w:val="00C17536"/>
    <w:rsid w:val="00C176BE"/>
    <w:rsid w:val="00C1775E"/>
    <w:rsid w:val="00C17868"/>
    <w:rsid w:val="00C17A7D"/>
    <w:rsid w:val="00C17EB1"/>
    <w:rsid w:val="00C20462"/>
    <w:rsid w:val="00C20488"/>
    <w:rsid w:val="00C20961"/>
    <w:rsid w:val="00C20C92"/>
    <w:rsid w:val="00C20E6C"/>
    <w:rsid w:val="00C213ED"/>
    <w:rsid w:val="00C2163C"/>
    <w:rsid w:val="00C21AC3"/>
    <w:rsid w:val="00C21BA1"/>
    <w:rsid w:val="00C21D50"/>
    <w:rsid w:val="00C21D7A"/>
    <w:rsid w:val="00C21FD6"/>
    <w:rsid w:val="00C227BF"/>
    <w:rsid w:val="00C22C4B"/>
    <w:rsid w:val="00C23011"/>
    <w:rsid w:val="00C2308D"/>
    <w:rsid w:val="00C230F1"/>
    <w:rsid w:val="00C23322"/>
    <w:rsid w:val="00C233F8"/>
    <w:rsid w:val="00C234EA"/>
    <w:rsid w:val="00C234FF"/>
    <w:rsid w:val="00C237C3"/>
    <w:rsid w:val="00C2388B"/>
    <w:rsid w:val="00C23AF5"/>
    <w:rsid w:val="00C23DDD"/>
    <w:rsid w:val="00C23F6B"/>
    <w:rsid w:val="00C2405E"/>
    <w:rsid w:val="00C24180"/>
    <w:rsid w:val="00C247FF"/>
    <w:rsid w:val="00C249D8"/>
    <w:rsid w:val="00C24AB0"/>
    <w:rsid w:val="00C24CD0"/>
    <w:rsid w:val="00C24D71"/>
    <w:rsid w:val="00C250F6"/>
    <w:rsid w:val="00C252DF"/>
    <w:rsid w:val="00C256A8"/>
    <w:rsid w:val="00C25A51"/>
    <w:rsid w:val="00C25F13"/>
    <w:rsid w:val="00C26389"/>
    <w:rsid w:val="00C263CB"/>
    <w:rsid w:val="00C26620"/>
    <w:rsid w:val="00C2695C"/>
    <w:rsid w:val="00C26AD0"/>
    <w:rsid w:val="00C26C2F"/>
    <w:rsid w:val="00C27504"/>
    <w:rsid w:val="00C2783B"/>
    <w:rsid w:val="00C27A4A"/>
    <w:rsid w:val="00C27A6B"/>
    <w:rsid w:val="00C27B4D"/>
    <w:rsid w:val="00C27DBF"/>
    <w:rsid w:val="00C27F33"/>
    <w:rsid w:val="00C3058D"/>
    <w:rsid w:val="00C306FD"/>
    <w:rsid w:val="00C30764"/>
    <w:rsid w:val="00C30B0B"/>
    <w:rsid w:val="00C30CA0"/>
    <w:rsid w:val="00C30EBD"/>
    <w:rsid w:val="00C3102B"/>
    <w:rsid w:val="00C310A5"/>
    <w:rsid w:val="00C3117A"/>
    <w:rsid w:val="00C3131E"/>
    <w:rsid w:val="00C31328"/>
    <w:rsid w:val="00C31487"/>
    <w:rsid w:val="00C31633"/>
    <w:rsid w:val="00C316B0"/>
    <w:rsid w:val="00C318D1"/>
    <w:rsid w:val="00C31A6F"/>
    <w:rsid w:val="00C32068"/>
    <w:rsid w:val="00C3207D"/>
    <w:rsid w:val="00C3230E"/>
    <w:rsid w:val="00C32356"/>
    <w:rsid w:val="00C3248F"/>
    <w:rsid w:val="00C3251A"/>
    <w:rsid w:val="00C327A9"/>
    <w:rsid w:val="00C32ACA"/>
    <w:rsid w:val="00C32B35"/>
    <w:rsid w:val="00C32E3F"/>
    <w:rsid w:val="00C32FDB"/>
    <w:rsid w:val="00C33275"/>
    <w:rsid w:val="00C33337"/>
    <w:rsid w:val="00C3354D"/>
    <w:rsid w:val="00C33925"/>
    <w:rsid w:val="00C33AE9"/>
    <w:rsid w:val="00C33EB8"/>
    <w:rsid w:val="00C3423D"/>
    <w:rsid w:val="00C34829"/>
    <w:rsid w:val="00C349B4"/>
    <w:rsid w:val="00C34B91"/>
    <w:rsid w:val="00C34C9E"/>
    <w:rsid w:val="00C34D9E"/>
    <w:rsid w:val="00C3539C"/>
    <w:rsid w:val="00C354B2"/>
    <w:rsid w:val="00C35533"/>
    <w:rsid w:val="00C358CC"/>
    <w:rsid w:val="00C3598A"/>
    <w:rsid w:val="00C35CEC"/>
    <w:rsid w:val="00C35DD3"/>
    <w:rsid w:val="00C3660E"/>
    <w:rsid w:val="00C3690B"/>
    <w:rsid w:val="00C369C5"/>
    <w:rsid w:val="00C36D31"/>
    <w:rsid w:val="00C36E0B"/>
    <w:rsid w:val="00C36F0B"/>
    <w:rsid w:val="00C37070"/>
    <w:rsid w:val="00C370EB"/>
    <w:rsid w:val="00C373F2"/>
    <w:rsid w:val="00C3765A"/>
    <w:rsid w:val="00C376D7"/>
    <w:rsid w:val="00C37801"/>
    <w:rsid w:val="00C403EB"/>
    <w:rsid w:val="00C404A5"/>
    <w:rsid w:val="00C4066C"/>
    <w:rsid w:val="00C40AE7"/>
    <w:rsid w:val="00C40B2D"/>
    <w:rsid w:val="00C40C55"/>
    <w:rsid w:val="00C40D32"/>
    <w:rsid w:val="00C416FE"/>
    <w:rsid w:val="00C417A9"/>
    <w:rsid w:val="00C41895"/>
    <w:rsid w:val="00C41897"/>
    <w:rsid w:val="00C41A3A"/>
    <w:rsid w:val="00C41A5C"/>
    <w:rsid w:val="00C41B0F"/>
    <w:rsid w:val="00C4205B"/>
    <w:rsid w:val="00C420C8"/>
    <w:rsid w:val="00C42A1A"/>
    <w:rsid w:val="00C42CAD"/>
    <w:rsid w:val="00C42CE7"/>
    <w:rsid w:val="00C42F01"/>
    <w:rsid w:val="00C42F52"/>
    <w:rsid w:val="00C42FC7"/>
    <w:rsid w:val="00C43162"/>
    <w:rsid w:val="00C4324D"/>
    <w:rsid w:val="00C43452"/>
    <w:rsid w:val="00C43531"/>
    <w:rsid w:val="00C43534"/>
    <w:rsid w:val="00C439A5"/>
    <w:rsid w:val="00C43B92"/>
    <w:rsid w:val="00C43E48"/>
    <w:rsid w:val="00C449C6"/>
    <w:rsid w:val="00C44D59"/>
    <w:rsid w:val="00C44E86"/>
    <w:rsid w:val="00C44E88"/>
    <w:rsid w:val="00C44F62"/>
    <w:rsid w:val="00C4534C"/>
    <w:rsid w:val="00C45408"/>
    <w:rsid w:val="00C45922"/>
    <w:rsid w:val="00C45D14"/>
    <w:rsid w:val="00C45F39"/>
    <w:rsid w:val="00C45F6A"/>
    <w:rsid w:val="00C45F82"/>
    <w:rsid w:val="00C46B18"/>
    <w:rsid w:val="00C46D8F"/>
    <w:rsid w:val="00C46E86"/>
    <w:rsid w:val="00C46E99"/>
    <w:rsid w:val="00C46EAF"/>
    <w:rsid w:val="00C46F6E"/>
    <w:rsid w:val="00C46FD5"/>
    <w:rsid w:val="00C47026"/>
    <w:rsid w:val="00C471DF"/>
    <w:rsid w:val="00C47233"/>
    <w:rsid w:val="00C476CE"/>
    <w:rsid w:val="00C47D18"/>
    <w:rsid w:val="00C47D4A"/>
    <w:rsid w:val="00C503F0"/>
    <w:rsid w:val="00C5045C"/>
    <w:rsid w:val="00C5074B"/>
    <w:rsid w:val="00C50A47"/>
    <w:rsid w:val="00C50B9D"/>
    <w:rsid w:val="00C50BAB"/>
    <w:rsid w:val="00C50DF3"/>
    <w:rsid w:val="00C50EE2"/>
    <w:rsid w:val="00C50F36"/>
    <w:rsid w:val="00C51026"/>
    <w:rsid w:val="00C51058"/>
    <w:rsid w:val="00C51686"/>
    <w:rsid w:val="00C51B18"/>
    <w:rsid w:val="00C51BBE"/>
    <w:rsid w:val="00C51EEA"/>
    <w:rsid w:val="00C5273C"/>
    <w:rsid w:val="00C52D7B"/>
    <w:rsid w:val="00C52D86"/>
    <w:rsid w:val="00C52DD6"/>
    <w:rsid w:val="00C52E40"/>
    <w:rsid w:val="00C53148"/>
    <w:rsid w:val="00C53741"/>
    <w:rsid w:val="00C53783"/>
    <w:rsid w:val="00C53931"/>
    <w:rsid w:val="00C53A50"/>
    <w:rsid w:val="00C5401A"/>
    <w:rsid w:val="00C5425C"/>
    <w:rsid w:val="00C5443B"/>
    <w:rsid w:val="00C54907"/>
    <w:rsid w:val="00C549A0"/>
    <w:rsid w:val="00C54B85"/>
    <w:rsid w:val="00C54BAE"/>
    <w:rsid w:val="00C54E4F"/>
    <w:rsid w:val="00C5516C"/>
    <w:rsid w:val="00C551F0"/>
    <w:rsid w:val="00C55D29"/>
    <w:rsid w:val="00C55D73"/>
    <w:rsid w:val="00C560EE"/>
    <w:rsid w:val="00C560FD"/>
    <w:rsid w:val="00C56108"/>
    <w:rsid w:val="00C561D3"/>
    <w:rsid w:val="00C562FD"/>
    <w:rsid w:val="00C564F8"/>
    <w:rsid w:val="00C56692"/>
    <w:rsid w:val="00C569F0"/>
    <w:rsid w:val="00C56B34"/>
    <w:rsid w:val="00C56EA5"/>
    <w:rsid w:val="00C57017"/>
    <w:rsid w:val="00C57B3B"/>
    <w:rsid w:val="00C57C79"/>
    <w:rsid w:val="00C60015"/>
    <w:rsid w:val="00C60202"/>
    <w:rsid w:val="00C6028D"/>
    <w:rsid w:val="00C6030A"/>
    <w:rsid w:val="00C60372"/>
    <w:rsid w:val="00C60738"/>
    <w:rsid w:val="00C60987"/>
    <w:rsid w:val="00C60A32"/>
    <w:rsid w:val="00C60B49"/>
    <w:rsid w:val="00C60D0B"/>
    <w:rsid w:val="00C60DFB"/>
    <w:rsid w:val="00C60F09"/>
    <w:rsid w:val="00C60FBE"/>
    <w:rsid w:val="00C61544"/>
    <w:rsid w:val="00C61FF3"/>
    <w:rsid w:val="00C6213E"/>
    <w:rsid w:val="00C62544"/>
    <w:rsid w:val="00C62547"/>
    <w:rsid w:val="00C62A08"/>
    <w:rsid w:val="00C62AA7"/>
    <w:rsid w:val="00C62AE5"/>
    <w:rsid w:val="00C62F55"/>
    <w:rsid w:val="00C6306D"/>
    <w:rsid w:val="00C63300"/>
    <w:rsid w:val="00C6398B"/>
    <w:rsid w:val="00C63C30"/>
    <w:rsid w:val="00C63C81"/>
    <w:rsid w:val="00C63E4B"/>
    <w:rsid w:val="00C640B5"/>
    <w:rsid w:val="00C6427F"/>
    <w:rsid w:val="00C64ECE"/>
    <w:rsid w:val="00C64F6F"/>
    <w:rsid w:val="00C651EB"/>
    <w:rsid w:val="00C663D0"/>
    <w:rsid w:val="00C66550"/>
    <w:rsid w:val="00C665F2"/>
    <w:rsid w:val="00C66DF8"/>
    <w:rsid w:val="00C66E60"/>
    <w:rsid w:val="00C675A8"/>
    <w:rsid w:val="00C67CE3"/>
    <w:rsid w:val="00C67F1C"/>
    <w:rsid w:val="00C67F62"/>
    <w:rsid w:val="00C700AF"/>
    <w:rsid w:val="00C70323"/>
    <w:rsid w:val="00C704C8"/>
    <w:rsid w:val="00C7075A"/>
    <w:rsid w:val="00C7082C"/>
    <w:rsid w:val="00C70853"/>
    <w:rsid w:val="00C70919"/>
    <w:rsid w:val="00C70DB9"/>
    <w:rsid w:val="00C7120C"/>
    <w:rsid w:val="00C713CC"/>
    <w:rsid w:val="00C71460"/>
    <w:rsid w:val="00C7162E"/>
    <w:rsid w:val="00C7172D"/>
    <w:rsid w:val="00C718BC"/>
    <w:rsid w:val="00C71FF0"/>
    <w:rsid w:val="00C72000"/>
    <w:rsid w:val="00C7216C"/>
    <w:rsid w:val="00C724CE"/>
    <w:rsid w:val="00C7272E"/>
    <w:rsid w:val="00C73601"/>
    <w:rsid w:val="00C73732"/>
    <w:rsid w:val="00C73853"/>
    <w:rsid w:val="00C73B8F"/>
    <w:rsid w:val="00C740BE"/>
    <w:rsid w:val="00C7429B"/>
    <w:rsid w:val="00C7455B"/>
    <w:rsid w:val="00C7460F"/>
    <w:rsid w:val="00C7467B"/>
    <w:rsid w:val="00C74A09"/>
    <w:rsid w:val="00C74B6D"/>
    <w:rsid w:val="00C74BD9"/>
    <w:rsid w:val="00C74DB9"/>
    <w:rsid w:val="00C74E9E"/>
    <w:rsid w:val="00C74EE3"/>
    <w:rsid w:val="00C751A7"/>
    <w:rsid w:val="00C7520B"/>
    <w:rsid w:val="00C754C2"/>
    <w:rsid w:val="00C755B6"/>
    <w:rsid w:val="00C75BBA"/>
    <w:rsid w:val="00C75BE2"/>
    <w:rsid w:val="00C75FF2"/>
    <w:rsid w:val="00C762AC"/>
    <w:rsid w:val="00C76312"/>
    <w:rsid w:val="00C7673C"/>
    <w:rsid w:val="00C76EB8"/>
    <w:rsid w:val="00C76EEF"/>
    <w:rsid w:val="00C7720A"/>
    <w:rsid w:val="00C7755B"/>
    <w:rsid w:val="00C77627"/>
    <w:rsid w:val="00C77681"/>
    <w:rsid w:val="00C776CD"/>
    <w:rsid w:val="00C77968"/>
    <w:rsid w:val="00C779A8"/>
    <w:rsid w:val="00C77A44"/>
    <w:rsid w:val="00C808EF"/>
    <w:rsid w:val="00C80983"/>
    <w:rsid w:val="00C80E3A"/>
    <w:rsid w:val="00C80F06"/>
    <w:rsid w:val="00C81321"/>
    <w:rsid w:val="00C8132A"/>
    <w:rsid w:val="00C8179E"/>
    <w:rsid w:val="00C81F09"/>
    <w:rsid w:val="00C81F1B"/>
    <w:rsid w:val="00C82143"/>
    <w:rsid w:val="00C82374"/>
    <w:rsid w:val="00C82380"/>
    <w:rsid w:val="00C8256B"/>
    <w:rsid w:val="00C82686"/>
    <w:rsid w:val="00C8271A"/>
    <w:rsid w:val="00C82CA4"/>
    <w:rsid w:val="00C82E0E"/>
    <w:rsid w:val="00C8304F"/>
    <w:rsid w:val="00C83395"/>
    <w:rsid w:val="00C835D5"/>
    <w:rsid w:val="00C8368E"/>
    <w:rsid w:val="00C836B2"/>
    <w:rsid w:val="00C83BDA"/>
    <w:rsid w:val="00C83D5E"/>
    <w:rsid w:val="00C843D2"/>
    <w:rsid w:val="00C845EB"/>
    <w:rsid w:val="00C84BA8"/>
    <w:rsid w:val="00C84E8D"/>
    <w:rsid w:val="00C85426"/>
    <w:rsid w:val="00C85890"/>
    <w:rsid w:val="00C858E8"/>
    <w:rsid w:val="00C85A2B"/>
    <w:rsid w:val="00C85BEC"/>
    <w:rsid w:val="00C85E48"/>
    <w:rsid w:val="00C85EC3"/>
    <w:rsid w:val="00C86149"/>
    <w:rsid w:val="00C8615F"/>
    <w:rsid w:val="00C86442"/>
    <w:rsid w:val="00C86493"/>
    <w:rsid w:val="00C86625"/>
    <w:rsid w:val="00C868C4"/>
    <w:rsid w:val="00C86D11"/>
    <w:rsid w:val="00C86D81"/>
    <w:rsid w:val="00C86F5C"/>
    <w:rsid w:val="00C871D2"/>
    <w:rsid w:val="00C87579"/>
    <w:rsid w:val="00C87590"/>
    <w:rsid w:val="00C8792E"/>
    <w:rsid w:val="00C87A6F"/>
    <w:rsid w:val="00C87E59"/>
    <w:rsid w:val="00C90078"/>
    <w:rsid w:val="00C900CB"/>
    <w:rsid w:val="00C901F0"/>
    <w:rsid w:val="00C9072E"/>
    <w:rsid w:val="00C9088B"/>
    <w:rsid w:val="00C90E7C"/>
    <w:rsid w:val="00C91045"/>
    <w:rsid w:val="00C914D2"/>
    <w:rsid w:val="00C9169E"/>
    <w:rsid w:val="00C91A79"/>
    <w:rsid w:val="00C91B22"/>
    <w:rsid w:val="00C91E79"/>
    <w:rsid w:val="00C9217B"/>
    <w:rsid w:val="00C9287E"/>
    <w:rsid w:val="00C93077"/>
    <w:rsid w:val="00C93384"/>
    <w:rsid w:val="00C935C0"/>
    <w:rsid w:val="00C936AE"/>
    <w:rsid w:val="00C93872"/>
    <w:rsid w:val="00C93968"/>
    <w:rsid w:val="00C93C07"/>
    <w:rsid w:val="00C93C38"/>
    <w:rsid w:val="00C93F22"/>
    <w:rsid w:val="00C93F78"/>
    <w:rsid w:val="00C945A0"/>
    <w:rsid w:val="00C9470E"/>
    <w:rsid w:val="00C94CE3"/>
    <w:rsid w:val="00C94D52"/>
    <w:rsid w:val="00C95008"/>
    <w:rsid w:val="00C95991"/>
    <w:rsid w:val="00C95B06"/>
    <w:rsid w:val="00C95D27"/>
    <w:rsid w:val="00C95E7E"/>
    <w:rsid w:val="00C95FC3"/>
    <w:rsid w:val="00C961C3"/>
    <w:rsid w:val="00C96395"/>
    <w:rsid w:val="00C9644C"/>
    <w:rsid w:val="00C965F9"/>
    <w:rsid w:val="00C9683A"/>
    <w:rsid w:val="00C96B4F"/>
    <w:rsid w:val="00C96B96"/>
    <w:rsid w:val="00C96F10"/>
    <w:rsid w:val="00C97402"/>
    <w:rsid w:val="00C9746F"/>
    <w:rsid w:val="00C9759A"/>
    <w:rsid w:val="00C9777E"/>
    <w:rsid w:val="00C97972"/>
    <w:rsid w:val="00C97F90"/>
    <w:rsid w:val="00CA0044"/>
    <w:rsid w:val="00CA0122"/>
    <w:rsid w:val="00CA0181"/>
    <w:rsid w:val="00CA056D"/>
    <w:rsid w:val="00CA0FCA"/>
    <w:rsid w:val="00CA1222"/>
    <w:rsid w:val="00CA17F1"/>
    <w:rsid w:val="00CA1811"/>
    <w:rsid w:val="00CA1933"/>
    <w:rsid w:val="00CA197B"/>
    <w:rsid w:val="00CA1BBC"/>
    <w:rsid w:val="00CA24AA"/>
    <w:rsid w:val="00CA26C6"/>
    <w:rsid w:val="00CA2A49"/>
    <w:rsid w:val="00CA2AEC"/>
    <w:rsid w:val="00CA2DE4"/>
    <w:rsid w:val="00CA2FD4"/>
    <w:rsid w:val="00CA303C"/>
    <w:rsid w:val="00CA313E"/>
    <w:rsid w:val="00CA34A2"/>
    <w:rsid w:val="00CA37DD"/>
    <w:rsid w:val="00CA3F5D"/>
    <w:rsid w:val="00CA41DF"/>
    <w:rsid w:val="00CA42FE"/>
    <w:rsid w:val="00CA44D8"/>
    <w:rsid w:val="00CA4C30"/>
    <w:rsid w:val="00CA4E44"/>
    <w:rsid w:val="00CA4FA7"/>
    <w:rsid w:val="00CA52A1"/>
    <w:rsid w:val="00CA54CE"/>
    <w:rsid w:val="00CA5C8F"/>
    <w:rsid w:val="00CA615C"/>
    <w:rsid w:val="00CA68E2"/>
    <w:rsid w:val="00CA6F21"/>
    <w:rsid w:val="00CA71A5"/>
    <w:rsid w:val="00CA751D"/>
    <w:rsid w:val="00CB0161"/>
    <w:rsid w:val="00CB017E"/>
    <w:rsid w:val="00CB0742"/>
    <w:rsid w:val="00CB0957"/>
    <w:rsid w:val="00CB0E33"/>
    <w:rsid w:val="00CB0F05"/>
    <w:rsid w:val="00CB1645"/>
    <w:rsid w:val="00CB1863"/>
    <w:rsid w:val="00CB1BA9"/>
    <w:rsid w:val="00CB1E67"/>
    <w:rsid w:val="00CB20B8"/>
    <w:rsid w:val="00CB281D"/>
    <w:rsid w:val="00CB2C9C"/>
    <w:rsid w:val="00CB2EC3"/>
    <w:rsid w:val="00CB2ED0"/>
    <w:rsid w:val="00CB2F2B"/>
    <w:rsid w:val="00CB31D6"/>
    <w:rsid w:val="00CB3447"/>
    <w:rsid w:val="00CB390F"/>
    <w:rsid w:val="00CB3B2B"/>
    <w:rsid w:val="00CB3D6B"/>
    <w:rsid w:val="00CB3DB9"/>
    <w:rsid w:val="00CB4612"/>
    <w:rsid w:val="00CB4E7E"/>
    <w:rsid w:val="00CB5C6A"/>
    <w:rsid w:val="00CB5F20"/>
    <w:rsid w:val="00CB5F4B"/>
    <w:rsid w:val="00CB602A"/>
    <w:rsid w:val="00CB624B"/>
    <w:rsid w:val="00CB629A"/>
    <w:rsid w:val="00CB65E7"/>
    <w:rsid w:val="00CB661F"/>
    <w:rsid w:val="00CB66D8"/>
    <w:rsid w:val="00CB67D2"/>
    <w:rsid w:val="00CB69AC"/>
    <w:rsid w:val="00CB7135"/>
    <w:rsid w:val="00CB7757"/>
    <w:rsid w:val="00CC018D"/>
    <w:rsid w:val="00CC064C"/>
    <w:rsid w:val="00CC07FC"/>
    <w:rsid w:val="00CC0926"/>
    <w:rsid w:val="00CC09A6"/>
    <w:rsid w:val="00CC0A6E"/>
    <w:rsid w:val="00CC0B33"/>
    <w:rsid w:val="00CC0C6A"/>
    <w:rsid w:val="00CC1152"/>
    <w:rsid w:val="00CC1861"/>
    <w:rsid w:val="00CC1F28"/>
    <w:rsid w:val="00CC1FFD"/>
    <w:rsid w:val="00CC216A"/>
    <w:rsid w:val="00CC25CE"/>
    <w:rsid w:val="00CC2615"/>
    <w:rsid w:val="00CC2C61"/>
    <w:rsid w:val="00CC2E7B"/>
    <w:rsid w:val="00CC2F43"/>
    <w:rsid w:val="00CC2F8E"/>
    <w:rsid w:val="00CC302E"/>
    <w:rsid w:val="00CC34F9"/>
    <w:rsid w:val="00CC397B"/>
    <w:rsid w:val="00CC3B5C"/>
    <w:rsid w:val="00CC418A"/>
    <w:rsid w:val="00CC41F2"/>
    <w:rsid w:val="00CC4282"/>
    <w:rsid w:val="00CC4706"/>
    <w:rsid w:val="00CC47DB"/>
    <w:rsid w:val="00CC4B49"/>
    <w:rsid w:val="00CC4E05"/>
    <w:rsid w:val="00CC51B7"/>
    <w:rsid w:val="00CC5602"/>
    <w:rsid w:val="00CC5741"/>
    <w:rsid w:val="00CC5E0E"/>
    <w:rsid w:val="00CC5F00"/>
    <w:rsid w:val="00CC616C"/>
    <w:rsid w:val="00CC64E5"/>
    <w:rsid w:val="00CC6834"/>
    <w:rsid w:val="00CC6A1A"/>
    <w:rsid w:val="00CC6D91"/>
    <w:rsid w:val="00CC6E54"/>
    <w:rsid w:val="00CC6F89"/>
    <w:rsid w:val="00CC7529"/>
    <w:rsid w:val="00CC79EB"/>
    <w:rsid w:val="00CC7D15"/>
    <w:rsid w:val="00CC7EA7"/>
    <w:rsid w:val="00CD00F4"/>
    <w:rsid w:val="00CD0339"/>
    <w:rsid w:val="00CD046C"/>
    <w:rsid w:val="00CD0482"/>
    <w:rsid w:val="00CD0713"/>
    <w:rsid w:val="00CD0717"/>
    <w:rsid w:val="00CD0972"/>
    <w:rsid w:val="00CD0EB8"/>
    <w:rsid w:val="00CD0FD4"/>
    <w:rsid w:val="00CD14BB"/>
    <w:rsid w:val="00CD165C"/>
    <w:rsid w:val="00CD172E"/>
    <w:rsid w:val="00CD19DE"/>
    <w:rsid w:val="00CD21DB"/>
    <w:rsid w:val="00CD241D"/>
    <w:rsid w:val="00CD284D"/>
    <w:rsid w:val="00CD2AA0"/>
    <w:rsid w:val="00CD2F2F"/>
    <w:rsid w:val="00CD31CE"/>
    <w:rsid w:val="00CD33AA"/>
    <w:rsid w:val="00CD369F"/>
    <w:rsid w:val="00CD3B0A"/>
    <w:rsid w:val="00CD3E06"/>
    <w:rsid w:val="00CD411B"/>
    <w:rsid w:val="00CD4466"/>
    <w:rsid w:val="00CD4990"/>
    <w:rsid w:val="00CD4DA9"/>
    <w:rsid w:val="00CD4DCE"/>
    <w:rsid w:val="00CD4F65"/>
    <w:rsid w:val="00CD50CA"/>
    <w:rsid w:val="00CD50F9"/>
    <w:rsid w:val="00CD5390"/>
    <w:rsid w:val="00CD572B"/>
    <w:rsid w:val="00CD5A01"/>
    <w:rsid w:val="00CD5ABE"/>
    <w:rsid w:val="00CD5BF6"/>
    <w:rsid w:val="00CD5CD5"/>
    <w:rsid w:val="00CD609B"/>
    <w:rsid w:val="00CD60FA"/>
    <w:rsid w:val="00CD65B3"/>
    <w:rsid w:val="00CD65F7"/>
    <w:rsid w:val="00CD66D7"/>
    <w:rsid w:val="00CD6911"/>
    <w:rsid w:val="00CD6ADC"/>
    <w:rsid w:val="00CD6C56"/>
    <w:rsid w:val="00CD6C82"/>
    <w:rsid w:val="00CD6EC0"/>
    <w:rsid w:val="00CD6EC8"/>
    <w:rsid w:val="00CD6F50"/>
    <w:rsid w:val="00CD6FE8"/>
    <w:rsid w:val="00CE0826"/>
    <w:rsid w:val="00CE0958"/>
    <w:rsid w:val="00CE0CED"/>
    <w:rsid w:val="00CE0E3D"/>
    <w:rsid w:val="00CE14ED"/>
    <w:rsid w:val="00CE1995"/>
    <w:rsid w:val="00CE199A"/>
    <w:rsid w:val="00CE1AD8"/>
    <w:rsid w:val="00CE1C1F"/>
    <w:rsid w:val="00CE1C5C"/>
    <w:rsid w:val="00CE1C5E"/>
    <w:rsid w:val="00CE27C1"/>
    <w:rsid w:val="00CE2AB0"/>
    <w:rsid w:val="00CE2DF1"/>
    <w:rsid w:val="00CE3343"/>
    <w:rsid w:val="00CE39C5"/>
    <w:rsid w:val="00CE3DB2"/>
    <w:rsid w:val="00CE3FB9"/>
    <w:rsid w:val="00CE409A"/>
    <w:rsid w:val="00CE451E"/>
    <w:rsid w:val="00CE461F"/>
    <w:rsid w:val="00CE4A32"/>
    <w:rsid w:val="00CE4B7B"/>
    <w:rsid w:val="00CE4FE5"/>
    <w:rsid w:val="00CE507D"/>
    <w:rsid w:val="00CE5132"/>
    <w:rsid w:val="00CE518A"/>
    <w:rsid w:val="00CE546A"/>
    <w:rsid w:val="00CE5768"/>
    <w:rsid w:val="00CE592A"/>
    <w:rsid w:val="00CE592B"/>
    <w:rsid w:val="00CE68F9"/>
    <w:rsid w:val="00CE6E37"/>
    <w:rsid w:val="00CE6F7C"/>
    <w:rsid w:val="00CE6FF4"/>
    <w:rsid w:val="00CE7145"/>
    <w:rsid w:val="00CE7182"/>
    <w:rsid w:val="00CE7269"/>
    <w:rsid w:val="00CE72AC"/>
    <w:rsid w:val="00CE7339"/>
    <w:rsid w:val="00CE74A8"/>
    <w:rsid w:val="00CE79AD"/>
    <w:rsid w:val="00CE7A11"/>
    <w:rsid w:val="00CE7B69"/>
    <w:rsid w:val="00CE7BD5"/>
    <w:rsid w:val="00CF02E3"/>
    <w:rsid w:val="00CF044C"/>
    <w:rsid w:val="00CF0546"/>
    <w:rsid w:val="00CF08E0"/>
    <w:rsid w:val="00CF0CE8"/>
    <w:rsid w:val="00CF0CFD"/>
    <w:rsid w:val="00CF0E4E"/>
    <w:rsid w:val="00CF1180"/>
    <w:rsid w:val="00CF11CD"/>
    <w:rsid w:val="00CF19E6"/>
    <w:rsid w:val="00CF1A4C"/>
    <w:rsid w:val="00CF1AAB"/>
    <w:rsid w:val="00CF1B24"/>
    <w:rsid w:val="00CF1DE2"/>
    <w:rsid w:val="00CF1F45"/>
    <w:rsid w:val="00CF21E2"/>
    <w:rsid w:val="00CF241A"/>
    <w:rsid w:val="00CF25F1"/>
    <w:rsid w:val="00CF29ED"/>
    <w:rsid w:val="00CF2A58"/>
    <w:rsid w:val="00CF2E92"/>
    <w:rsid w:val="00CF2FAD"/>
    <w:rsid w:val="00CF30CB"/>
    <w:rsid w:val="00CF3815"/>
    <w:rsid w:val="00CF3B99"/>
    <w:rsid w:val="00CF3BEE"/>
    <w:rsid w:val="00CF3BFC"/>
    <w:rsid w:val="00CF3C01"/>
    <w:rsid w:val="00CF43B5"/>
    <w:rsid w:val="00CF441E"/>
    <w:rsid w:val="00CF4ABD"/>
    <w:rsid w:val="00CF4B9F"/>
    <w:rsid w:val="00CF4EA5"/>
    <w:rsid w:val="00CF5647"/>
    <w:rsid w:val="00CF5D32"/>
    <w:rsid w:val="00CF5E5F"/>
    <w:rsid w:val="00CF60B4"/>
    <w:rsid w:val="00CF62DC"/>
    <w:rsid w:val="00CF66E6"/>
    <w:rsid w:val="00CF6910"/>
    <w:rsid w:val="00CF6ADA"/>
    <w:rsid w:val="00CF6AFC"/>
    <w:rsid w:val="00CF6CF9"/>
    <w:rsid w:val="00CF77BA"/>
    <w:rsid w:val="00CF77C9"/>
    <w:rsid w:val="00CF79DF"/>
    <w:rsid w:val="00CF7DC6"/>
    <w:rsid w:val="00CF7EF4"/>
    <w:rsid w:val="00D00327"/>
    <w:rsid w:val="00D0059C"/>
    <w:rsid w:val="00D006DD"/>
    <w:rsid w:val="00D00969"/>
    <w:rsid w:val="00D00994"/>
    <w:rsid w:val="00D00B0B"/>
    <w:rsid w:val="00D00EBD"/>
    <w:rsid w:val="00D011BB"/>
    <w:rsid w:val="00D015CB"/>
    <w:rsid w:val="00D0187D"/>
    <w:rsid w:val="00D01AA3"/>
    <w:rsid w:val="00D01B7A"/>
    <w:rsid w:val="00D01C10"/>
    <w:rsid w:val="00D01C68"/>
    <w:rsid w:val="00D01DC5"/>
    <w:rsid w:val="00D01DE0"/>
    <w:rsid w:val="00D025E7"/>
    <w:rsid w:val="00D026A2"/>
    <w:rsid w:val="00D02863"/>
    <w:rsid w:val="00D02883"/>
    <w:rsid w:val="00D02C48"/>
    <w:rsid w:val="00D02D19"/>
    <w:rsid w:val="00D0315D"/>
    <w:rsid w:val="00D03283"/>
    <w:rsid w:val="00D032C4"/>
    <w:rsid w:val="00D04119"/>
    <w:rsid w:val="00D041B1"/>
    <w:rsid w:val="00D045ED"/>
    <w:rsid w:val="00D05330"/>
    <w:rsid w:val="00D058B3"/>
    <w:rsid w:val="00D05986"/>
    <w:rsid w:val="00D05AB4"/>
    <w:rsid w:val="00D0633C"/>
    <w:rsid w:val="00D0651E"/>
    <w:rsid w:val="00D06533"/>
    <w:rsid w:val="00D06606"/>
    <w:rsid w:val="00D06E24"/>
    <w:rsid w:val="00D07044"/>
    <w:rsid w:val="00D073AA"/>
    <w:rsid w:val="00D07412"/>
    <w:rsid w:val="00D07493"/>
    <w:rsid w:val="00D07615"/>
    <w:rsid w:val="00D07AA1"/>
    <w:rsid w:val="00D07CBA"/>
    <w:rsid w:val="00D07E4E"/>
    <w:rsid w:val="00D10A2A"/>
    <w:rsid w:val="00D10A9C"/>
    <w:rsid w:val="00D10DFE"/>
    <w:rsid w:val="00D10E3D"/>
    <w:rsid w:val="00D10EA3"/>
    <w:rsid w:val="00D11126"/>
    <w:rsid w:val="00D1168D"/>
    <w:rsid w:val="00D11ED4"/>
    <w:rsid w:val="00D12653"/>
    <w:rsid w:val="00D12D7E"/>
    <w:rsid w:val="00D12EA7"/>
    <w:rsid w:val="00D12F5B"/>
    <w:rsid w:val="00D1336A"/>
    <w:rsid w:val="00D13723"/>
    <w:rsid w:val="00D137D6"/>
    <w:rsid w:val="00D13ACF"/>
    <w:rsid w:val="00D13C67"/>
    <w:rsid w:val="00D13FE0"/>
    <w:rsid w:val="00D1423A"/>
    <w:rsid w:val="00D14B81"/>
    <w:rsid w:val="00D15165"/>
    <w:rsid w:val="00D1597A"/>
    <w:rsid w:val="00D15AFF"/>
    <w:rsid w:val="00D16324"/>
    <w:rsid w:val="00D16325"/>
    <w:rsid w:val="00D16750"/>
    <w:rsid w:val="00D16924"/>
    <w:rsid w:val="00D16ACE"/>
    <w:rsid w:val="00D16B99"/>
    <w:rsid w:val="00D16F04"/>
    <w:rsid w:val="00D16FEB"/>
    <w:rsid w:val="00D1705E"/>
    <w:rsid w:val="00D1708A"/>
    <w:rsid w:val="00D1730E"/>
    <w:rsid w:val="00D1759E"/>
    <w:rsid w:val="00D175A7"/>
    <w:rsid w:val="00D176C9"/>
    <w:rsid w:val="00D2003C"/>
    <w:rsid w:val="00D200E6"/>
    <w:rsid w:val="00D2022A"/>
    <w:rsid w:val="00D209D8"/>
    <w:rsid w:val="00D20FCD"/>
    <w:rsid w:val="00D21191"/>
    <w:rsid w:val="00D21BB3"/>
    <w:rsid w:val="00D21C95"/>
    <w:rsid w:val="00D21DD5"/>
    <w:rsid w:val="00D222BB"/>
    <w:rsid w:val="00D22416"/>
    <w:rsid w:val="00D22CBC"/>
    <w:rsid w:val="00D2338B"/>
    <w:rsid w:val="00D233E3"/>
    <w:rsid w:val="00D23497"/>
    <w:rsid w:val="00D236B3"/>
    <w:rsid w:val="00D2378F"/>
    <w:rsid w:val="00D2398B"/>
    <w:rsid w:val="00D23B92"/>
    <w:rsid w:val="00D240EE"/>
    <w:rsid w:val="00D24193"/>
    <w:rsid w:val="00D2456B"/>
    <w:rsid w:val="00D248AB"/>
    <w:rsid w:val="00D24C2C"/>
    <w:rsid w:val="00D2508B"/>
    <w:rsid w:val="00D250E9"/>
    <w:rsid w:val="00D2517E"/>
    <w:rsid w:val="00D25BD9"/>
    <w:rsid w:val="00D25DA4"/>
    <w:rsid w:val="00D2631D"/>
    <w:rsid w:val="00D26385"/>
    <w:rsid w:val="00D26509"/>
    <w:rsid w:val="00D266D7"/>
    <w:rsid w:val="00D26B99"/>
    <w:rsid w:val="00D26FBD"/>
    <w:rsid w:val="00D270B1"/>
    <w:rsid w:val="00D270E8"/>
    <w:rsid w:val="00D27250"/>
    <w:rsid w:val="00D27410"/>
    <w:rsid w:val="00D274BE"/>
    <w:rsid w:val="00D276F7"/>
    <w:rsid w:val="00D27819"/>
    <w:rsid w:val="00D27831"/>
    <w:rsid w:val="00D27C84"/>
    <w:rsid w:val="00D27EC4"/>
    <w:rsid w:val="00D3093F"/>
    <w:rsid w:val="00D30974"/>
    <w:rsid w:val="00D30B54"/>
    <w:rsid w:val="00D3148A"/>
    <w:rsid w:val="00D31693"/>
    <w:rsid w:val="00D31ABA"/>
    <w:rsid w:val="00D31C86"/>
    <w:rsid w:val="00D31D33"/>
    <w:rsid w:val="00D31F43"/>
    <w:rsid w:val="00D32036"/>
    <w:rsid w:val="00D320E0"/>
    <w:rsid w:val="00D3288F"/>
    <w:rsid w:val="00D32D9A"/>
    <w:rsid w:val="00D33150"/>
    <w:rsid w:val="00D3321D"/>
    <w:rsid w:val="00D33232"/>
    <w:rsid w:val="00D33300"/>
    <w:rsid w:val="00D3377C"/>
    <w:rsid w:val="00D3396A"/>
    <w:rsid w:val="00D33A14"/>
    <w:rsid w:val="00D33DE5"/>
    <w:rsid w:val="00D3429B"/>
    <w:rsid w:val="00D3455B"/>
    <w:rsid w:val="00D345A2"/>
    <w:rsid w:val="00D34FD0"/>
    <w:rsid w:val="00D35036"/>
    <w:rsid w:val="00D35362"/>
    <w:rsid w:val="00D35883"/>
    <w:rsid w:val="00D363F9"/>
    <w:rsid w:val="00D36770"/>
    <w:rsid w:val="00D369B1"/>
    <w:rsid w:val="00D36ACA"/>
    <w:rsid w:val="00D36D05"/>
    <w:rsid w:val="00D36F8B"/>
    <w:rsid w:val="00D3721A"/>
    <w:rsid w:val="00D37262"/>
    <w:rsid w:val="00D372AE"/>
    <w:rsid w:val="00D37375"/>
    <w:rsid w:val="00D375FF"/>
    <w:rsid w:val="00D4004D"/>
    <w:rsid w:val="00D4019C"/>
    <w:rsid w:val="00D40515"/>
    <w:rsid w:val="00D406B0"/>
    <w:rsid w:val="00D40B7E"/>
    <w:rsid w:val="00D40C2C"/>
    <w:rsid w:val="00D41048"/>
    <w:rsid w:val="00D410F7"/>
    <w:rsid w:val="00D41114"/>
    <w:rsid w:val="00D41200"/>
    <w:rsid w:val="00D412C0"/>
    <w:rsid w:val="00D415B4"/>
    <w:rsid w:val="00D417A3"/>
    <w:rsid w:val="00D41867"/>
    <w:rsid w:val="00D41AE4"/>
    <w:rsid w:val="00D41E10"/>
    <w:rsid w:val="00D4200F"/>
    <w:rsid w:val="00D4212E"/>
    <w:rsid w:val="00D42152"/>
    <w:rsid w:val="00D4295E"/>
    <w:rsid w:val="00D42F73"/>
    <w:rsid w:val="00D431DB"/>
    <w:rsid w:val="00D43488"/>
    <w:rsid w:val="00D436EC"/>
    <w:rsid w:val="00D438BC"/>
    <w:rsid w:val="00D43B9D"/>
    <w:rsid w:val="00D43EA3"/>
    <w:rsid w:val="00D44252"/>
    <w:rsid w:val="00D4488F"/>
    <w:rsid w:val="00D44997"/>
    <w:rsid w:val="00D44B0F"/>
    <w:rsid w:val="00D44E10"/>
    <w:rsid w:val="00D44E39"/>
    <w:rsid w:val="00D451C2"/>
    <w:rsid w:val="00D45373"/>
    <w:rsid w:val="00D454CB"/>
    <w:rsid w:val="00D45555"/>
    <w:rsid w:val="00D45ACA"/>
    <w:rsid w:val="00D45EA5"/>
    <w:rsid w:val="00D4634A"/>
    <w:rsid w:val="00D46399"/>
    <w:rsid w:val="00D46505"/>
    <w:rsid w:val="00D46623"/>
    <w:rsid w:val="00D46703"/>
    <w:rsid w:val="00D46909"/>
    <w:rsid w:val="00D46E61"/>
    <w:rsid w:val="00D470A4"/>
    <w:rsid w:val="00D472B7"/>
    <w:rsid w:val="00D474E4"/>
    <w:rsid w:val="00D47679"/>
    <w:rsid w:val="00D47FF8"/>
    <w:rsid w:val="00D5000E"/>
    <w:rsid w:val="00D507FA"/>
    <w:rsid w:val="00D5111A"/>
    <w:rsid w:val="00D51139"/>
    <w:rsid w:val="00D511D4"/>
    <w:rsid w:val="00D51364"/>
    <w:rsid w:val="00D513FC"/>
    <w:rsid w:val="00D514FB"/>
    <w:rsid w:val="00D52016"/>
    <w:rsid w:val="00D5214B"/>
    <w:rsid w:val="00D523F7"/>
    <w:rsid w:val="00D52F70"/>
    <w:rsid w:val="00D53074"/>
    <w:rsid w:val="00D53300"/>
    <w:rsid w:val="00D53580"/>
    <w:rsid w:val="00D536B3"/>
    <w:rsid w:val="00D53839"/>
    <w:rsid w:val="00D53941"/>
    <w:rsid w:val="00D53B0B"/>
    <w:rsid w:val="00D53EAD"/>
    <w:rsid w:val="00D53FA1"/>
    <w:rsid w:val="00D5443F"/>
    <w:rsid w:val="00D54680"/>
    <w:rsid w:val="00D54718"/>
    <w:rsid w:val="00D54719"/>
    <w:rsid w:val="00D5484D"/>
    <w:rsid w:val="00D549E2"/>
    <w:rsid w:val="00D54A02"/>
    <w:rsid w:val="00D5502F"/>
    <w:rsid w:val="00D55165"/>
    <w:rsid w:val="00D553D9"/>
    <w:rsid w:val="00D55537"/>
    <w:rsid w:val="00D556C1"/>
    <w:rsid w:val="00D55848"/>
    <w:rsid w:val="00D55959"/>
    <w:rsid w:val="00D55ACF"/>
    <w:rsid w:val="00D55AE4"/>
    <w:rsid w:val="00D55CB4"/>
    <w:rsid w:val="00D56069"/>
    <w:rsid w:val="00D56190"/>
    <w:rsid w:val="00D563F2"/>
    <w:rsid w:val="00D565D2"/>
    <w:rsid w:val="00D56647"/>
    <w:rsid w:val="00D56922"/>
    <w:rsid w:val="00D56FA8"/>
    <w:rsid w:val="00D5730D"/>
    <w:rsid w:val="00D5772B"/>
    <w:rsid w:val="00D577A7"/>
    <w:rsid w:val="00D57830"/>
    <w:rsid w:val="00D57930"/>
    <w:rsid w:val="00D57B2F"/>
    <w:rsid w:val="00D57F3C"/>
    <w:rsid w:val="00D60339"/>
    <w:rsid w:val="00D6072B"/>
    <w:rsid w:val="00D60738"/>
    <w:rsid w:val="00D60846"/>
    <w:rsid w:val="00D60A9E"/>
    <w:rsid w:val="00D60ADC"/>
    <w:rsid w:val="00D60CED"/>
    <w:rsid w:val="00D61913"/>
    <w:rsid w:val="00D61CF1"/>
    <w:rsid w:val="00D61D7B"/>
    <w:rsid w:val="00D61F61"/>
    <w:rsid w:val="00D623BD"/>
    <w:rsid w:val="00D62915"/>
    <w:rsid w:val="00D62965"/>
    <w:rsid w:val="00D62C52"/>
    <w:rsid w:val="00D63071"/>
    <w:rsid w:val="00D63129"/>
    <w:rsid w:val="00D6331F"/>
    <w:rsid w:val="00D63C99"/>
    <w:rsid w:val="00D63C9E"/>
    <w:rsid w:val="00D6445A"/>
    <w:rsid w:val="00D646D1"/>
    <w:rsid w:val="00D648B8"/>
    <w:rsid w:val="00D648DA"/>
    <w:rsid w:val="00D64B60"/>
    <w:rsid w:val="00D64ED1"/>
    <w:rsid w:val="00D651B1"/>
    <w:rsid w:val="00D652DD"/>
    <w:rsid w:val="00D656D1"/>
    <w:rsid w:val="00D6588A"/>
    <w:rsid w:val="00D6595F"/>
    <w:rsid w:val="00D65B83"/>
    <w:rsid w:val="00D65BC0"/>
    <w:rsid w:val="00D6608F"/>
    <w:rsid w:val="00D6668C"/>
    <w:rsid w:val="00D6674A"/>
    <w:rsid w:val="00D66DA5"/>
    <w:rsid w:val="00D66FA9"/>
    <w:rsid w:val="00D6704D"/>
    <w:rsid w:val="00D672EC"/>
    <w:rsid w:val="00D673F5"/>
    <w:rsid w:val="00D67776"/>
    <w:rsid w:val="00D67A0A"/>
    <w:rsid w:val="00D67A1E"/>
    <w:rsid w:val="00D7024C"/>
    <w:rsid w:val="00D70256"/>
    <w:rsid w:val="00D70360"/>
    <w:rsid w:val="00D7040F"/>
    <w:rsid w:val="00D70477"/>
    <w:rsid w:val="00D704AC"/>
    <w:rsid w:val="00D707F0"/>
    <w:rsid w:val="00D7084C"/>
    <w:rsid w:val="00D70857"/>
    <w:rsid w:val="00D708D7"/>
    <w:rsid w:val="00D70B9A"/>
    <w:rsid w:val="00D71150"/>
    <w:rsid w:val="00D716B9"/>
    <w:rsid w:val="00D71F03"/>
    <w:rsid w:val="00D7227B"/>
    <w:rsid w:val="00D728E8"/>
    <w:rsid w:val="00D730D4"/>
    <w:rsid w:val="00D733B7"/>
    <w:rsid w:val="00D73440"/>
    <w:rsid w:val="00D73660"/>
    <w:rsid w:val="00D7391F"/>
    <w:rsid w:val="00D73A36"/>
    <w:rsid w:val="00D73A62"/>
    <w:rsid w:val="00D73B11"/>
    <w:rsid w:val="00D73D62"/>
    <w:rsid w:val="00D73DED"/>
    <w:rsid w:val="00D7463B"/>
    <w:rsid w:val="00D746D0"/>
    <w:rsid w:val="00D74A4A"/>
    <w:rsid w:val="00D74FBE"/>
    <w:rsid w:val="00D75011"/>
    <w:rsid w:val="00D75170"/>
    <w:rsid w:val="00D754EE"/>
    <w:rsid w:val="00D75B76"/>
    <w:rsid w:val="00D75ECD"/>
    <w:rsid w:val="00D76031"/>
    <w:rsid w:val="00D76117"/>
    <w:rsid w:val="00D76AB6"/>
    <w:rsid w:val="00D76DB3"/>
    <w:rsid w:val="00D76DF6"/>
    <w:rsid w:val="00D77259"/>
    <w:rsid w:val="00D77525"/>
    <w:rsid w:val="00D77564"/>
    <w:rsid w:val="00D77609"/>
    <w:rsid w:val="00D803C6"/>
    <w:rsid w:val="00D803E1"/>
    <w:rsid w:val="00D803F8"/>
    <w:rsid w:val="00D805C7"/>
    <w:rsid w:val="00D80A73"/>
    <w:rsid w:val="00D80D68"/>
    <w:rsid w:val="00D815D5"/>
    <w:rsid w:val="00D819C9"/>
    <w:rsid w:val="00D81AC8"/>
    <w:rsid w:val="00D81B28"/>
    <w:rsid w:val="00D81E73"/>
    <w:rsid w:val="00D82C1F"/>
    <w:rsid w:val="00D82CA4"/>
    <w:rsid w:val="00D82FB1"/>
    <w:rsid w:val="00D82FF6"/>
    <w:rsid w:val="00D8319A"/>
    <w:rsid w:val="00D8421E"/>
    <w:rsid w:val="00D8421F"/>
    <w:rsid w:val="00D8458D"/>
    <w:rsid w:val="00D84F86"/>
    <w:rsid w:val="00D85116"/>
    <w:rsid w:val="00D8513A"/>
    <w:rsid w:val="00D85288"/>
    <w:rsid w:val="00D852B9"/>
    <w:rsid w:val="00D85310"/>
    <w:rsid w:val="00D85502"/>
    <w:rsid w:val="00D85EA7"/>
    <w:rsid w:val="00D86504"/>
    <w:rsid w:val="00D8660E"/>
    <w:rsid w:val="00D8670A"/>
    <w:rsid w:val="00D86A8B"/>
    <w:rsid w:val="00D86B60"/>
    <w:rsid w:val="00D86CC9"/>
    <w:rsid w:val="00D86D07"/>
    <w:rsid w:val="00D86F54"/>
    <w:rsid w:val="00D871CA"/>
    <w:rsid w:val="00D874BF"/>
    <w:rsid w:val="00D874D2"/>
    <w:rsid w:val="00D874F2"/>
    <w:rsid w:val="00D87990"/>
    <w:rsid w:val="00D879B1"/>
    <w:rsid w:val="00D87ACE"/>
    <w:rsid w:val="00D87E64"/>
    <w:rsid w:val="00D902C9"/>
    <w:rsid w:val="00D904F0"/>
    <w:rsid w:val="00D9092F"/>
    <w:rsid w:val="00D90B5D"/>
    <w:rsid w:val="00D90F1B"/>
    <w:rsid w:val="00D90F77"/>
    <w:rsid w:val="00D911C5"/>
    <w:rsid w:val="00D91843"/>
    <w:rsid w:val="00D9199C"/>
    <w:rsid w:val="00D91B69"/>
    <w:rsid w:val="00D91B97"/>
    <w:rsid w:val="00D91C56"/>
    <w:rsid w:val="00D9274B"/>
    <w:rsid w:val="00D92C7E"/>
    <w:rsid w:val="00D92FBE"/>
    <w:rsid w:val="00D935FB"/>
    <w:rsid w:val="00D9372F"/>
    <w:rsid w:val="00D937D5"/>
    <w:rsid w:val="00D938F1"/>
    <w:rsid w:val="00D93A74"/>
    <w:rsid w:val="00D93C40"/>
    <w:rsid w:val="00D93CA4"/>
    <w:rsid w:val="00D93D43"/>
    <w:rsid w:val="00D940BB"/>
    <w:rsid w:val="00D94330"/>
    <w:rsid w:val="00D944D0"/>
    <w:rsid w:val="00D946C9"/>
    <w:rsid w:val="00D9484C"/>
    <w:rsid w:val="00D94A32"/>
    <w:rsid w:val="00D94F99"/>
    <w:rsid w:val="00D9510D"/>
    <w:rsid w:val="00D95222"/>
    <w:rsid w:val="00D95325"/>
    <w:rsid w:val="00D95565"/>
    <w:rsid w:val="00D95738"/>
    <w:rsid w:val="00D95F74"/>
    <w:rsid w:val="00D95FF0"/>
    <w:rsid w:val="00D962CA"/>
    <w:rsid w:val="00D965E2"/>
    <w:rsid w:val="00D96965"/>
    <w:rsid w:val="00D97185"/>
    <w:rsid w:val="00D97AF3"/>
    <w:rsid w:val="00D97B97"/>
    <w:rsid w:val="00D97BDD"/>
    <w:rsid w:val="00D97F12"/>
    <w:rsid w:val="00DA000F"/>
    <w:rsid w:val="00DA0135"/>
    <w:rsid w:val="00DA01C6"/>
    <w:rsid w:val="00DA06C1"/>
    <w:rsid w:val="00DA0B93"/>
    <w:rsid w:val="00DA0BF0"/>
    <w:rsid w:val="00DA0C2E"/>
    <w:rsid w:val="00DA0C81"/>
    <w:rsid w:val="00DA0CF2"/>
    <w:rsid w:val="00DA0D7C"/>
    <w:rsid w:val="00DA12E3"/>
    <w:rsid w:val="00DA135C"/>
    <w:rsid w:val="00DA17DC"/>
    <w:rsid w:val="00DA1903"/>
    <w:rsid w:val="00DA202C"/>
    <w:rsid w:val="00DA2409"/>
    <w:rsid w:val="00DA2464"/>
    <w:rsid w:val="00DA27CC"/>
    <w:rsid w:val="00DA27FA"/>
    <w:rsid w:val="00DA284A"/>
    <w:rsid w:val="00DA2B1C"/>
    <w:rsid w:val="00DA2BF7"/>
    <w:rsid w:val="00DA2E8D"/>
    <w:rsid w:val="00DA2EBA"/>
    <w:rsid w:val="00DA3160"/>
    <w:rsid w:val="00DA3391"/>
    <w:rsid w:val="00DA33D9"/>
    <w:rsid w:val="00DA39D7"/>
    <w:rsid w:val="00DA3EB0"/>
    <w:rsid w:val="00DA3F1E"/>
    <w:rsid w:val="00DA3F77"/>
    <w:rsid w:val="00DA4289"/>
    <w:rsid w:val="00DA4B81"/>
    <w:rsid w:val="00DA512B"/>
    <w:rsid w:val="00DA6068"/>
    <w:rsid w:val="00DA6186"/>
    <w:rsid w:val="00DA6A88"/>
    <w:rsid w:val="00DA6DED"/>
    <w:rsid w:val="00DA7285"/>
    <w:rsid w:val="00DA79B1"/>
    <w:rsid w:val="00DA79FF"/>
    <w:rsid w:val="00DA7AF2"/>
    <w:rsid w:val="00DB09A9"/>
    <w:rsid w:val="00DB0A44"/>
    <w:rsid w:val="00DB1171"/>
    <w:rsid w:val="00DB1496"/>
    <w:rsid w:val="00DB152F"/>
    <w:rsid w:val="00DB17AE"/>
    <w:rsid w:val="00DB2008"/>
    <w:rsid w:val="00DB2224"/>
    <w:rsid w:val="00DB23A7"/>
    <w:rsid w:val="00DB2411"/>
    <w:rsid w:val="00DB2435"/>
    <w:rsid w:val="00DB2596"/>
    <w:rsid w:val="00DB2B47"/>
    <w:rsid w:val="00DB3442"/>
    <w:rsid w:val="00DB370A"/>
    <w:rsid w:val="00DB3974"/>
    <w:rsid w:val="00DB3A5D"/>
    <w:rsid w:val="00DB3B61"/>
    <w:rsid w:val="00DB3CC4"/>
    <w:rsid w:val="00DB3D74"/>
    <w:rsid w:val="00DB4212"/>
    <w:rsid w:val="00DB4421"/>
    <w:rsid w:val="00DB45A4"/>
    <w:rsid w:val="00DB4692"/>
    <w:rsid w:val="00DB4A78"/>
    <w:rsid w:val="00DB4C2B"/>
    <w:rsid w:val="00DB4D34"/>
    <w:rsid w:val="00DB4DF2"/>
    <w:rsid w:val="00DB4E2F"/>
    <w:rsid w:val="00DB5017"/>
    <w:rsid w:val="00DB539A"/>
    <w:rsid w:val="00DB6483"/>
    <w:rsid w:val="00DB6606"/>
    <w:rsid w:val="00DB6A02"/>
    <w:rsid w:val="00DB6E69"/>
    <w:rsid w:val="00DB6FE8"/>
    <w:rsid w:val="00DB71E8"/>
    <w:rsid w:val="00DB76BD"/>
    <w:rsid w:val="00DB799F"/>
    <w:rsid w:val="00DB7ADA"/>
    <w:rsid w:val="00DB7FE1"/>
    <w:rsid w:val="00DC0430"/>
    <w:rsid w:val="00DC0B02"/>
    <w:rsid w:val="00DC0D79"/>
    <w:rsid w:val="00DC11BD"/>
    <w:rsid w:val="00DC1541"/>
    <w:rsid w:val="00DC1947"/>
    <w:rsid w:val="00DC1B48"/>
    <w:rsid w:val="00DC1BAE"/>
    <w:rsid w:val="00DC1D32"/>
    <w:rsid w:val="00DC1D87"/>
    <w:rsid w:val="00DC1EF2"/>
    <w:rsid w:val="00DC24D1"/>
    <w:rsid w:val="00DC2552"/>
    <w:rsid w:val="00DC2851"/>
    <w:rsid w:val="00DC2C05"/>
    <w:rsid w:val="00DC2C86"/>
    <w:rsid w:val="00DC3048"/>
    <w:rsid w:val="00DC35A9"/>
    <w:rsid w:val="00DC367C"/>
    <w:rsid w:val="00DC3975"/>
    <w:rsid w:val="00DC3A2A"/>
    <w:rsid w:val="00DC3B78"/>
    <w:rsid w:val="00DC3E45"/>
    <w:rsid w:val="00DC41B3"/>
    <w:rsid w:val="00DC4323"/>
    <w:rsid w:val="00DC48CD"/>
    <w:rsid w:val="00DC4BBB"/>
    <w:rsid w:val="00DC4FF3"/>
    <w:rsid w:val="00DC5D3F"/>
    <w:rsid w:val="00DC65C1"/>
    <w:rsid w:val="00DC6848"/>
    <w:rsid w:val="00DC6AA9"/>
    <w:rsid w:val="00DC6D3B"/>
    <w:rsid w:val="00DC6DA4"/>
    <w:rsid w:val="00DC6E59"/>
    <w:rsid w:val="00DC70B4"/>
    <w:rsid w:val="00DC710A"/>
    <w:rsid w:val="00DC7361"/>
    <w:rsid w:val="00DC7601"/>
    <w:rsid w:val="00DC7932"/>
    <w:rsid w:val="00DC7A2E"/>
    <w:rsid w:val="00DC7DAE"/>
    <w:rsid w:val="00DC7E3F"/>
    <w:rsid w:val="00DD01A5"/>
    <w:rsid w:val="00DD0202"/>
    <w:rsid w:val="00DD06CD"/>
    <w:rsid w:val="00DD0953"/>
    <w:rsid w:val="00DD0A2C"/>
    <w:rsid w:val="00DD0B21"/>
    <w:rsid w:val="00DD1286"/>
    <w:rsid w:val="00DD14D3"/>
    <w:rsid w:val="00DD1529"/>
    <w:rsid w:val="00DD16C3"/>
    <w:rsid w:val="00DD209D"/>
    <w:rsid w:val="00DD2180"/>
    <w:rsid w:val="00DD2258"/>
    <w:rsid w:val="00DD2533"/>
    <w:rsid w:val="00DD26E3"/>
    <w:rsid w:val="00DD278F"/>
    <w:rsid w:val="00DD2B6B"/>
    <w:rsid w:val="00DD3196"/>
    <w:rsid w:val="00DD3B15"/>
    <w:rsid w:val="00DD3D76"/>
    <w:rsid w:val="00DD3E86"/>
    <w:rsid w:val="00DD3F67"/>
    <w:rsid w:val="00DD47A3"/>
    <w:rsid w:val="00DD48CC"/>
    <w:rsid w:val="00DD4A5C"/>
    <w:rsid w:val="00DD4AE1"/>
    <w:rsid w:val="00DD4D5D"/>
    <w:rsid w:val="00DD53E2"/>
    <w:rsid w:val="00DD53E8"/>
    <w:rsid w:val="00DD5684"/>
    <w:rsid w:val="00DD5F71"/>
    <w:rsid w:val="00DD606E"/>
    <w:rsid w:val="00DD63DE"/>
    <w:rsid w:val="00DD6597"/>
    <w:rsid w:val="00DD6C1B"/>
    <w:rsid w:val="00DD6E72"/>
    <w:rsid w:val="00DD7C4E"/>
    <w:rsid w:val="00DD7F10"/>
    <w:rsid w:val="00DE005C"/>
    <w:rsid w:val="00DE04D9"/>
    <w:rsid w:val="00DE0929"/>
    <w:rsid w:val="00DE09C9"/>
    <w:rsid w:val="00DE0D1A"/>
    <w:rsid w:val="00DE0EF5"/>
    <w:rsid w:val="00DE102D"/>
    <w:rsid w:val="00DE148C"/>
    <w:rsid w:val="00DE1577"/>
    <w:rsid w:val="00DE19A9"/>
    <w:rsid w:val="00DE1A72"/>
    <w:rsid w:val="00DE1B1A"/>
    <w:rsid w:val="00DE1CE5"/>
    <w:rsid w:val="00DE1DC6"/>
    <w:rsid w:val="00DE1FB3"/>
    <w:rsid w:val="00DE20B9"/>
    <w:rsid w:val="00DE20E4"/>
    <w:rsid w:val="00DE2269"/>
    <w:rsid w:val="00DE235D"/>
    <w:rsid w:val="00DE24FA"/>
    <w:rsid w:val="00DE269F"/>
    <w:rsid w:val="00DE274B"/>
    <w:rsid w:val="00DE2862"/>
    <w:rsid w:val="00DE2A42"/>
    <w:rsid w:val="00DE2C3F"/>
    <w:rsid w:val="00DE2C4F"/>
    <w:rsid w:val="00DE2FF7"/>
    <w:rsid w:val="00DE3091"/>
    <w:rsid w:val="00DE334F"/>
    <w:rsid w:val="00DE336C"/>
    <w:rsid w:val="00DE371A"/>
    <w:rsid w:val="00DE3BB5"/>
    <w:rsid w:val="00DE3EB1"/>
    <w:rsid w:val="00DE403E"/>
    <w:rsid w:val="00DE43F4"/>
    <w:rsid w:val="00DE4755"/>
    <w:rsid w:val="00DE47B7"/>
    <w:rsid w:val="00DE484B"/>
    <w:rsid w:val="00DE48DA"/>
    <w:rsid w:val="00DE497B"/>
    <w:rsid w:val="00DE4C8D"/>
    <w:rsid w:val="00DE4CCD"/>
    <w:rsid w:val="00DE4D00"/>
    <w:rsid w:val="00DE4EEE"/>
    <w:rsid w:val="00DE573C"/>
    <w:rsid w:val="00DE57C5"/>
    <w:rsid w:val="00DE57D4"/>
    <w:rsid w:val="00DE58F7"/>
    <w:rsid w:val="00DE5A18"/>
    <w:rsid w:val="00DE5AE1"/>
    <w:rsid w:val="00DE64BD"/>
    <w:rsid w:val="00DE6510"/>
    <w:rsid w:val="00DE6526"/>
    <w:rsid w:val="00DE6ADD"/>
    <w:rsid w:val="00DE6F6F"/>
    <w:rsid w:val="00DE73FF"/>
    <w:rsid w:val="00DE74AE"/>
    <w:rsid w:val="00DE7587"/>
    <w:rsid w:val="00DE7986"/>
    <w:rsid w:val="00DE7C94"/>
    <w:rsid w:val="00DE7CAC"/>
    <w:rsid w:val="00DF07CD"/>
    <w:rsid w:val="00DF09E6"/>
    <w:rsid w:val="00DF0B6A"/>
    <w:rsid w:val="00DF110E"/>
    <w:rsid w:val="00DF1BF6"/>
    <w:rsid w:val="00DF1C94"/>
    <w:rsid w:val="00DF207A"/>
    <w:rsid w:val="00DF21A0"/>
    <w:rsid w:val="00DF2254"/>
    <w:rsid w:val="00DF225A"/>
    <w:rsid w:val="00DF2991"/>
    <w:rsid w:val="00DF29A5"/>
    <w:rsid w:val="00DF2C9A"/>
    <w:rsid w:val="00DF2DBD"/>
    <w:rsid w:val="00DF2DFB"/>
    <w:rsid w:val="00DF2F2D"/>
    <w:rsid w:val="00DF3394"/>
    <w:rsid w:val="00DF349D"/>
    <w:rsid w:val="00DF381F"/>
    <w:rsid w:val="00DF3B1B"/>
    <w:rsid w:val="00DF410D"/>
    <w:rsid w:val="00DF4312"/>
    <w:rsid w:val="00DF43D5"/>
    <w:rsid w:val="00DF4776"/>
    <w:rsid w:val="00DF5436"/>
    <w:rsid w:val="00DF543A"/>
    <w:rsid w:val="00DF5447"/>
    <w:rsid w:val="00DF57A9"/>
    <w:rsid w:val="00DF5817"/>
    <w:rsid w:val="00DF5934"/>
    <w:rsid w:val="00DF59FF"/>
    <w:rsid w:val="00DF5EAE"/>
    <w:rsid w:val="00DF5F4D"/>
    <w:rsid w:val="00DF60EC"/>
    <w:rsid w:val="00DF63BE"/>
    <w:rsid w:val="00DF6496"/>
    <w:rsid w:val="00DF6670"/>
    <w:rsid w:val="00DF66E7"/>
    <w:rsid w:val="00DF6784"/>
    <w:rsid w:val="00DF6852"/>
    <w:rsid w:val="00DF6A49"/>
    <w:rsid w:val="00DF6B89"/>
    <w:rsid w:val="00DF6C39"/>
    <w:rsid w:val="00DF72BB"/>
    <w:rsid w:val="00E00660"/>
    <w:rsid w:val="00E00DEE"/>
    <w:rsid w:val="00E0130F"/>
    <w:rsid w:val="00E01457"/>
    <w:rsid w:val="00E01538"/>
    <w:rsid w:val="00E0154C"/>
    <w:rsid w:val="00E01721"/>
    <w:rsid w:val="00E01C69"/>
    <w:rsid w:val="00E01C71"/>
    <w:rsid w:val="00E01DD1"/>
    <w:rsid w:val="00E01ED7"/>
    <w:rsid w:val="00E020B8"/>
    <w:rsid w:val="00E02582"/>
    <w:rsid w:val="00E027DF"/>
    <w:rsid w:val="00E02F64"/>
    <w:rsid w:val="00E03100"/>
    <w:rsid w:val="00E0312A"/>
    <w:rsid w:val="00E0328B"/>
    <w:rsid w:val="00E03587"/>
    <w:rsid w:val="00E0365B"/>
    <w:rsid w:val="00E0387E"/>
    <w:rsid w:val="00E03C32"/>
    <w:rsid w:val="00E03C89"/>
    <w:rsid w:val="00E03D6F"/>
    <w:rsid w:val="00E04071"/>
    <w:rsid w:val="00E04399"/>
    <w:rsid w:val="00E043A5"/>
    <w:rsid w:val="00E045AF"/>
    <w:rsid w:val="00E0472C"/>
    <w:rsid w:val="00E04B57"/>
    <w:rsid w:val="00E04D73"/>
    <w:rsid w:val="00E04F42"/>
    <w:rsid w:val="00E05061"/>
    <w:rsid w:val="00E0532B"/>
    <w:rsid w:val="00E057DE"/>
    <w:rsid w:val="00E05964"/>
    <w:rsid w:val="00E05B5E"/>
    <w:rsid w:val="00E05B71"/>
    <w:rsid w:val="00E05E3F"/>
    <w:rsid w:val="00E06358"/>
    <w:rsid w:val="00E06611"/>
    <w:rsid w:val="00E06E6F"/>
    <w:rsid w:val="00E06F18"/>
    <w:rsid w:val="00E07098"/>
    <w:rsid w:val="00E072D4"/>
    <w:rsid w:val="00E073E5"/>
    <w:rsid w:val="00E073FD"/>
    <w:rsid w:val="00E07938"/>
    <w:rsid w:val="00E07A1D"/>
    <w:rsid w:val="00E07AE7"/>
    <w:rsid w:val="00E102BB"/>
    <w:rsid w:val="00E10615"/>
    <w:rsid w:val="00E1064E"/>
    <w:rsid w:val="00E10B0D"/>
    <w:rsid w:val="00E10FDA"/>
    <w:rsid w:val="00E10FE2"/>
    <w:rsid w:val="00E11031"/>
    <w:rsid w:val="00E11216"/>
    <w:rsid w:val="00E113C9"/>
    <w:rsid w:val="00E11E56"/>
    <w:rsid w:val="00E12597"/>
    <w:rsid w:val="00E12821"/>
    <w:rsid w:val="00E1291D"/>
    <w:rsid w:val="00E12A7C"/>
    <w:rsid w:val="00E12DD0"/>
    <w:rsid w:val="00E1310F"/>
    <w:rsid w:val="00E13766"/>
    <w:rsid w:val="00E137AB"/>
    <w:rsid w:val="00E138A2"/>
    <w:rsid w:val="00E13A2B"/>
    <w:rsid w:val="00E13B34"/>
    <w:rsid w:val="00E13C39"/>
    <w:rsid w:val="00E13DA8"/>
    <w:rsid w:val="00E13FBE"/>
    <w:rsid w:val="00E143CC"/>
    <w:rsid w:val="00E144D4"/>
    <w:rsid w:val="00E1455F"/>
    <w:rsid w:val="00E146C1"/>
    <w:rsid w:val="00E147B5"/>
    <w:rsid w:val="00E14974"/>
    <w:rsid w:val="00E14C98"/>
    <w:rsid w:val="00E14DB9"/>
    <w:rsid w:val="00E14F78"/>
    <w:rsid w:val="00E15087"/>
    <w:rsid w:val="00E152E6"/>
    <w:rsid w:val="00E1558C"/>
    <w:rsid w:val="00E15630"/>
    <w:rsid w:val="00E1566C"/>
    <w:rsid w:val="00E15760"/>
    <w:rsid w:val="00E159BD"/>
    <w:rsid w:val="00E15A30"/>
    <w:rsid w:val="00E15C99"/>
    <w:rsid w:val="00E15DA4"/>
    <w:rsid w:val="00E15FAF"/>
    <w:rsid w:val="00E163B3"/>
    <w:rsid w:val="00E169CE"/>
    <w:rsid w:val="00E179EC"/>
    <w:rsid w:val="00E17C1B"/>
    <w:rsid w:val="00E202C6"/>
    <w:rsid w:val="00E207F2"/>
    <w:rsid w:val="00E20B81"/>
    <w:rsid w:val="00E20B92"/>
    <w:rsid w:val="00E20BB3"/>
    <w:rsid w:val="00E20C06"/>
    <w:rsid w:val="00E20DD9"/>
    <w:rsid w:val="00E2121A"/>
    <w:rsid w:val="00E2127A"/>
    <w:rsid w:val="00E21514"/>
    <w:rsid w:val="00E21A5B"/>
    <w:rsid w:val="00E22040"/>
    <w:rsid w:val="00E22054"/>
    <w:rsid w:val="00E223DF"/>
    <w:rsid w:val="00E223E2"/>
    <w:rsid w:val="00E2250D"/>
    <w:rsid w:val="00E2265E"/>
    <w:rsid w:val="00E22735"/>
    <w:rsid w:val="00E22C27"/>
    <w:rsid w:val="00E22C4E"/>
    <w:rsid w:val="00E22D27"/>
    <w:rsid w:val="00E2314E"/>
    <w:rsid w:val="00E23325"/>
    <w:rsid w:val="00E23356"/>
    <w:rsid w:val="00E23938"/>
    <w:rsid w:val="00E239A2"/>
    <w:rsid w:val="00E23DA1"/>
    <w:rsid w:val="00E23FF7"/>
    <w:rsid w:val="00E2432A"/>
    <w:rsid w:val="00E24557"/>
    <w:rsid w:val="00E248BB"/>
    <w:rsid w:val="00E24AFA"/>
    <w:rsid w:val="00E254E3"/>
    <w:rsid w:val="00E258AC"/>
    <w:rsid w:val="00E25A05"/>
    <w:rsid w:val="00E25A17"/>
    <w:rsid w:val="00E2653C"/>
    <w:rsid w:val="00E265C6"/>
    <w:rsid w:val="00E26674"/>
    <w:rsid w:val="00E26A74"/>
    <w:rsid w:val="00E26BEC"/>
    <w:rsid w:val="00E26F8F"/>
    <w:rsid w:val="00E2719F"/>
    <w:rsid w:val="00E276A0"/>
    <w:rsid w:val="00E27728"/>
    <w:rsid w:val="00E27770"/>
    <w:rsid w:val="00E2793F"/>
    <w:rsid w:val="00E27A36"/>
    <w:rsid w:val="00E27BF4"/>
    <w:rsid w:val="00E27D46"/>
    <w:rsid w:val="00E30969"/>
    <w:rsid w:val="00E3098B"/>
    <w:rsid w:val="00E309EB"/>
    <w:rsid w:val="00E30C7B"/>
    <w:rsid w:val="00E30CC7"/>
    <w:rsid w:val="00E30D79"/>
    <w:rsid w:val="00E30E74"/>
    <w:rsid w:val="00E30F6B"/>
    <w:rsid w:val="00E31162"/>
    <w:rsid w:val="00E31E47"/>
    <w:rsid w:val="00E31F83"/>
    <w:rsid w:val="00E320A7"/>
    <w:rsid w:val="00E32435"/>
    <w:rsid w:val="00E32F31"/>
    <w:rsid w:val="00E3300B"/>
    <w:rsid w:val="00E33A03"/>
    <w:rsid w:val="00E33A63"/>
    <w:rsid w:val="00E33BB0"/>
    <w:rsid w:val="00E33C5C"/>
    <w:rsid w:val="00E33F90"/>
    <w:rsid w:val="00E3430A"/>
    <w:rsid w:val="00E3445D"/>
    <w:rsid w:val="00E344ED"/>
    <w:rsid w:val="00E3464F"/>
    <w:rsid w:val="00E34772"/>
    <w:rsid w:val="00E34D34"/>
    <w:rsid w:val="00E34EC8"/>
    <w:rsid w:val="00E3505F"/>
    <w:rsid w:val="00E3510C"/>
    <w:rsid w:val="00E35653"/>
    <w:rsid w:val="00E357FE"/>
    <w:rsid w:val="00E3588F"/>
    <w:rsid w:val="00E35F05"/>
    <w:rsid w:val="00E35FCE"/>
    <w:rsid w:val="00E362D0"/>
    <w:rsid w:val="00E3646F"/>
    <w:rsid w:val="00E366E7"/>
    <w:rsid w:val="00E3681F"/>
    <w:rsid w:val="00E36F2B"/>
    <w:rsid w:val="00E3743F"/>
    <w:rsid w:val="00E37D0E"/>
    <w:rsid w:val="00E37DB6"/>
    <w:rsid w:val="00E37E31"/>
    <w:rsid w:val="00E37E7F"/>
    <w:rsid w:val="00E37F30"/>
    <w:rsid w:val="00E37FCB"/>
    <w:rsid w:val="00E40004"/>
    <w:rsid w:val="00E404BE"/>
    <w:rsid w:val="00E4063E"/>
    <w:rsid w:val="00E40966"/>
    <w:rsid w:val="00E40A3F"/>
    <w:rsid w:val="00E40E8E"/>
    <w:rsid w:val="00E41475"/>
    <w:rsid w:val="00E41515"/>
    <w:rsid w:val="00E41ED8"/>
    <w:rsid w:val="00E41F4E"/>
    <w:rsid w:val="00E420ED"/>
    <w:rsid w:val="00E42140"/>
    <w:rsid w:val="00E4283B"/>
    <w:rsid w:val="00E4297E"/>
    <w:rsid w:val="00E42C06"/>
    <w:rsid w:val="00E42C62"/>
    <w:rsid w:val="00E42F38"/>
    <w:rsid w:val="00E42FE5"/>
    <w:rsid w:val="00E4310F"/>
    <w:rsid w:val="00E43250"/>
    <w:rsid w:val="00E43384"/>
    <w:rsid w:val="00E43410"/>
    <w:rsid w:val="00E43697"/>
    <w:rsid w:val="00E43908"/>
    <w:rsid w:val="00E4427C"/>
    <w:rsid w:val="00E444F7"/>
    <w:rsid w:val="00E44636"/>
    <w:rsid w:val="00E449A9"/>
    <w:rsid w:val="00E44F4B"/>
    <w:rsid w:val="00E450A9"/>
    <w:rsid w:val="00E4548D"/>
    <w:rsid w:val="00E456BE"/>
    <w:rsid w:val="00E4608E"/>
    <w:rsid w:val="00E4641C"/>
    <w:rsid w:val="00E467A5"/>
    <w:rsid w:val="00E469C9"/>
    <w:rsid w:val="00E46B7C"/>
    <w:rsid w:val="00E46C3B"/>
    <w:rsid w:val="00E46C68"/>
    <w:rsid w:val="00E46C93"/>
    <w:rsid w:val="00E46E47"/>
    <w:rsid w:val="00E471EB"/>
    <w:rsid w:val="00E4725A"/>
    <w:rsid w:val="00E472BC"/>
    <w:rsid w:val="00E47348"/>
    <w:rsid w:val="00E47DB8"/>
    <w:rsid w:val="00E47E30"/>
    <w:rsid w:val="00E47E65"/>
    <w:rsid w:val="00E47F79"/>
    <w:rsid w:val="00E50088"/>
    <w:rsid w:val="00E505C6"/>
    <w:rsid w:val="00E5076B"/>
    <w:rsid w:val="00E50778"/>
    <w:rsid w:val="00E50BD7"/>
    <w:rsid w:val="00E50C94"/>
    <w:rsid w:val="00E50D8A"/>
    <w:rsid w:val="00E50ECE"/>
    <w:rsid w:val="00E50EF0"/>
    <w:rsid w:val="00E511E4"/>
    <w:rsid w:val="00E51284"/>
    <w:rsid w:val="00E512FF"/>
    <w:rsid w:val="00E5143D"/>
    <w:rsid w:val="00E51C96"/>
    <w:rsid w:val="00E51F4E"/>
    <w:rsid w:val="00E521C9"/>
    <w:rsid w:val="00E52390"/>
    <w:rsid w:val="00E5298B"/>
    <w:rsid w:val="00E52A7D"/>
    <w:rsid w:val="00E52AED"/>
    <w:rsid w:val="00E52BEE"/>
    <w:rsid w:val="00E52F5F"/>
    <w:rsid w:val="00E530AE"/>
    <w:rsid w:val="00E532E0"/>
    <w:rsid w:val="00E536E4"/>
    <w:rsid w:val="00E53842"/>
    <w:rsid w:val="00E539DC"/>
    <w:rsid w:val="00E53B28"/>
    <w:rsid w:val="00E53F50"/>
    <w:rsid w:val="00E540E6"/>
    <w:rsid w:val="00E541B2"/>
    <w:rsid w:val="00E544E5"/>
    <w:rsid w:val="00E545BB"/>
    <w:rsid w:val="00E546C8"/>
    <w:rsid w:val="00E54A5B"/>
    <w:rsid w:val="00E54C63"/>
    <w:rsid w:val="00E54DAA"/>
    <w:rsid w:val="00E54DAB"/>
    <w:rsid w:val="00E5536F"/>
    <w:rsid w:val="00E554C3"/>
    <w:rsid w:val="00E55581"/>
    <w:rsid w:val="00E55A04"/>
    <w:rsid w:val="00E55B36"/>
    <w:rsid w:val="00E56197"/>
    <w:rsid w:val="00E56238"/>
    <w:rsid w:val="00E563CB"/>
    <w:rsid w:val="00E563E4"/>
    <w:rsid w:val="00E56745"/>
    <w:rsid w:val="00E56751"/>
    <w:rsid w:val="00E56926"/>
    <w:rsid w:val="00E56B62"/>
    <w:rsid w:val="00E56BCE"/>
    <w:rsid w:val="00E56BD1"/>
    <w:rsid w:val="00E56EBE"/>
    <w:rsid w:val="00E56FB3"/>
    <w:rsid w:val="00E577C2"/>
    <w:rsid w:val="00E57B0A"/>
    <w:rsid w:val="00E57CFD"/>
    <w:rsid w:val="00E57E21"/>
    <w:rsid w:val="00E6163C"/>
    <w:rsid w:val="00E61FA8"/>
    <w:rsid w:val="00E6201B"/>
    <w:rsid w:val="00E6230B"/>
    <w:rsid w:val="00E625FD"/>
    <w:rsid w:val="00E62A20"/>
    <w:rsid w:val="00E62E65"/>
    <w:rsid w:val="00E63021"/>
    <w:rsid w:val="00E630A6"/>
    <w:rsid w:val="00E63445"/>
    <w:rsid w:val="00E635DD"/>
    <w:rsid w:val="00E63B46"/>
    <w:rsid w:val="00E63D3B"/>
    <w:rsid w:val="00E64431"/>
    <w:rsid w:val="00E644FD"/>
    <w:rsid w:val="00E6468D"/>
    <w:rsid w:val="00E64B5A"/>
    <w:rsid w:val="00E64FCC"/>
    <w:rsid w:val="00E6508D"/>
    <w:rsid w:val="00E650BA"/>
    <w:rsid w:val="00E651F0"/>
    <w:rsid w:val="00E65871"/>
    <w:rsid w:val="00E658C4"/>
    <w:rsid w:val="00E658E6"/>
    <w:rsid w:val="00E65ADC"/>
    <w:rsid w:val="00E65B79"/>
    <w:rsid w:val="00E65B90"/>
    <w:rsid w:val="00E6610E"/>
    <w:rsid w:val="00E663A9"/>
    <w:rsid w:val="00E66416"/>
    <w:rsid w:val="00E6644B"/>
    <w:rsid w:val="00E66664"/>
    <w:rsid w:val="00E66C1E"/>
    <w:rsid w:val="00E66C6A"/>
    <w:rsid w:val="00E67105"/>
    <w:rsid w:val="00E67771"/>
    <w:rsid w:val="00E67A18"/>
    <w:rsid w:val="00E67BA1"/>
    <w:rsid w:val="00E67C67"/>
    <w:rsid w:val="00E70069"/>
    <w:rsid w:val="00E709F5"/>
    <w:rsid w:val="00E70A49"/>
    <w:rsid w:val="00E71547"/>
    <w:rsid w:val="00E7164F"/>
    <w:rsid w:val="00E71DDF"/>
    <w:rsid w:val="00E720A2"/>
    <w:rsid w:val="00E7267A"/>
    <w:rsid w:val="00E72DE4"/>
    <w:rsid w:val="00E7305F"/>
    <w:rsid w:val="00E730CE"/>
    <w:rsid w:val="00E73213"/>
    <w:rsid w:val="00E73387"/>
    <w:rsid w:val="00E7359F"/>
    <w:rsid w:val="00E7384C"/>
    <w:rsid w:val="00E7399F"/>
    <w:rsid w:val="00E73C18"/>
    <w:rsid w:val="00E73D10"/>
    <w:rsid w:val="00E741A3"/>
    <w:rsid w:val="00E74889"/>
    <w:rsid w:val="00E74899"/>
    <w:rsid w:val="00E74C62"/>
    <w:rsid w:val="00E7535A"/>
    <w:rsid w:val="00E75386"/>
    <w:rsid w:val="00E75514"/>
    <w:rsid w:val="00E75572"/>
    <w:rsid w:val="00E75B4F"/>
    <w:rsid w:val="00E76202"/>
    <w:rsid w:val="00E763D6"/>
    <w:rsid w:val="00E76449"/>
    <w:rsid w:val="00E76CDB"/>
    <w:rsid w:val="00E77790"/>
    <w:rsid w:val="00E7789E"/>
    <w:rsid w:val="00E77C32"/>
    <w:rsid w:val="00E77C4E"/>
    <w:rsid w:val="00E77C59"/>
    <w:rsid w:val="00E77F88"/>
    <w:rsid w:val="00E800D4"/>
    <w:rsid w:val="00E804D1"/>
    <w:rsid w:val="00E804E9"/>
    <w:rsid w:val="00E80577"/>
    <w:rsid w:val="00E8068B"/>
    <w:rsid w:val="00E806D3"/>
    <w:rsid w:val="00E809CE"/>
    <w:rsid w:val="00E80ED5"/>
    <w:rsid w:val="00E8127C"/>
    <w:rsid w:val="00E81FFD"/>
    <w:rsid w:val="00E82107"/>
    <w:rsid w:val="00E82203"/>
    <w:rsid w:val="00E82917"/>
    <w:rsid w:val="00E82CDA"/>
    <w:rsid w:val="00E82DE5"/>
    <w:rsid w:val="00E8325B"/>
    <w:rsid w:val="00E83D08"/>
    <w:rsid w:val="00E83F50"/>
    <w:rsid w:val="00E845E7"/>
    <w:rsid w:val="00E848DE"/>
    <w:rsid w:val="00E84BBC"/>
    <w:rsid w:val="00E84D1C"/>
    <w:rsid w:val="00E851FD"/>
    <w:rsid w:val="00E85233"/>
    <w:rsid w:val="00E85309"/>
    <w:rsid w:val="00E8549C"/>
    <w:rsid w:val="00E8550C"/>
    <w:rsid w:val="00E85936"/>
    <w:rsid w:val="00E85AA1"/>
    <w:rsid w:val="00E85EE8"/>
    <w:rsid w:val="00E8601B"/>
    <w:rsid w:val="00E860B1"/>
    <w:rsid w:val="00E86191"/>
    <w:rsid w:val="00E861C6"/>
    <w:rsid w:val="00E86237"/>
    <w:rsid w:val="00E86C04"/>
    <w:rsid w:val="00E872CC"/>
    <w:rsid w:val="00E87473"/>
    <w:rsid w:val="00E87928"/>
    <w:rsid w:val="00E87AA8"/>
    <w:rsid w:val="00E87FDB"/>
    <w:rsid w:val="00E903AB"/>
    <w:rsid w:val="00E903FA"/>
    <w:rsid w:val="00E90567"/>
    <w:rsid w:val="00E90BE4"/>
    <w:rsid w:val="00E90D34"/>
    <w:rsid w:val="00E90E67"/>
    <w:rsid w:val="00E91608"/>
    <w:rsid w:val="00E918A2"/>
    <w:rsid w:val="00E91CAC"/>
    <w:rsid w:val="00E91CB8"/>
    <w:rsid w:val="00E91E3E"/>
    <w:rsid w:val="00E91F66"/>
    <w:rsid w:val="00E920BB"/>
    <w:rsid w:val="00E92359"/>
    <w:rsid w:val="00E92A8A"/>
    <w:rsid w:val="00E92BB8"/>
    <w:rsid w:val="00E92C45"/>
    <w:rsid w:val="00E92C62"/>
    <w:rsid w:val="00E92E13"/>
    <w:rsid w:val="00E930DF"/>
    <w:rsid w:val="00E931BA"/>
    <w:rsid w:val="00E9386F"/>
    <w:rsid w:val="00E94323"/>
    <w:rsid w:val="00E943F3"/>
    <w:rsid w:val="00E945B0"/>
    <w:rsid w:val="00E94A26"/>
    <w:rsid w:val="00E94A32"/>
    <w:rsid w:val="00E94CE4"/>
    <w:rsid w:val="00E94D05"/>
    <w:rsid w:val="00E94EAE"/>
    <w:rsid w:val="00E94FFB"/>
    <w:rsid w:val="00E950F6"/>
    <w:rsid w:val="00E95691"/>
    <w:rsid w:val="00E95AF6"/>
    <w:rsid w:val="00E96337"/>
    <w:rsid w:val="00E96A1B"/>
    <w:rsid w:val="00E96A81"/>
    <w:rsid w:val="00E96D6D"/>
    <w:rsid w:val="00E97074"/>
    <w:rsid w:val="00E97079"/>
    <w:rsid w:val="00E97834"/>
    <w:rsid w:val="00E97A44"/>
    <w:rsid w:val="00E97AC8"/>
    <w:rsid w:val="00E97B1C"/>
    <w:rsid w:val="00E97FEC"/>
    <w:rsid w:val="00EA029C"/>
    <w:rsid w:val="00EA02BC"/>
    <w:rsid w:val="00EA0B1C"/>
    <w:rsid w:val="00EA0BA6"/>
    <w:rsid w:val="00EA0C6C"/>
    <w:rsid w:val="00EA12BE"/>
    <w:rsid w:val="00EA15B0"/>
    <w:rsid w:val="00EA1830"/>
    <w:rsid w:val="00EA2021"/>
    <w:rsid w:val="00EA20FE"/>
    <w:rsid w:val="00EA2182"/>
    <w:rsid w:val="00EA24EE"/>
    <w:rsid w:val="00EA2760"/>
    <w:rsid w:val="00EA2773"/>
    <w:rsid w:val="00EA331D"/>
    <w:rsid w:val="00EA3B5A"/>
    <w:rsid w:val="00EA3E2F"/>
    <w:rsid w:val="00EA42FE"/>
    <w:rsid w:val="00EA4ADC"/>
    <w:rsid w:val="00EA4CBA"/>
    <w:rsid w:val="00EA4E84"/>
    <w:rsid w:val="00EA51EB"/>
    <w:rsid w:val="00EA520F"/>
    <w:rsid w:val="00EA57BA"/>
    <w:rsid w:val="00EA58D4"/>
    <w:rsid w:val="00EA59F3"/>
    <w:rsid w:val="00EA68D7"/>
    <w:rsid w:val="00EA6AF5"/>
    <w:rsid w:val="00EA7409"/>
    <w:rsid w:val="00EA75E2"/>
    <w:rsid w:val="00EA7640"/>
    <w:rsid w:val="00EA76A6"/>
    <w:rsid w:val="00EB0129"/>
    <w:rsid w:val="00EB06CD"/>
    <w:rsid w:val="00EB085A"/>
    <w:rsid w:val="00EB0903"/>
    <w:rsid w:val="00EB098D"/>
    <w:rsid w:val="00EB09FF"/>
    <w:rsid w:val="00EB0C7A"/>
    <w:rsid w:val="00EB0CE3"/>
    <w:rsid w:val="00EB120D"/>
    <w:rsid w:val="00EB1695"/>
    <w:rsid w:val="00EB1A3B"/>
    <w:rsid w:val="00EB1B41"/>
    <w:rsid w:val="00EB1D01"/>
    <w:rsid w:val="00EB2662"/>
    <w:rsid w:val="00EB295A"/>
    <w:rsid w:val="00EB2A87"/>
    <w:rsid w:val="00EB2B43"/>
    <w:rsid w:val="00EB2C62"/>
    <w:rsid w:val="00EB2D92"/>
    <w:rsid w:val="00EB328A"/>
    <w:rsid w:val="00EB3297"/>
    <w:rsid w:val="00EB334A"/>
    <w:rsid w:val="00EB360A"/>
    <w:rsid w:val="00EB3896"/>
    <w:rsid w:val="00EB3E31"/>
    <w:rsid w:val="00EB3E6F"/>
    <w:rsid w:val="00EB408F"/>
    <w:rsid w:val="00EB40A6"/>
    <w:rsid w:val="00EB40D9"/>
    <w:rsid w:val="00EB4247"/>
    <w:rsid w:val="00EB4E52"/>
    <w:rsid w:val="00EB560F"/>
    <w:rsid w:val="00EB5611"/>
    <w:rsid w:val="00EB56CD"/>
    <w:rsid w:val="00EB5791"/>
    <w:rsid w:val="00EB59F1"/>
    <w:rsid w:val="00EB5A1F"/>
    <w:rsid w:val="00EB5ABB"/>
    <w:rsid w:val="00EB5BAF"/>
    <w:rsid w:val="00EB5D61"/>
    <w:rsid w:val="00EB5F05"/>
    <w:rsid w:val="00EB64EC"/>
    <w:rsid w:val="00EB6BBF"/>
    <w:rsid w:val="00EB6F43"/>
    <w:rsid w:val="00EB6FEF"/>
    <w:rsid w:val="00EB7428"/>
    <w:rsid w:val="00EB7891"/>
    <w:rsid w:val="00EB79B6"/>
    <w:rsid w:val="00EB7B11"/>
    <w:rsid w:val="00EB7B92"/>
    <w:rsid w:val="00EB7CEF"/>
    <w:rsid w:val="00EC0272"/>
    <w:rsid w:val="00EC030E"/>
    <w:rsid w:val="00EC0687"/>
    <w:rsid w:val="00EC07EE"/>
    <w:rsid w:val="00EC0C71"/>
    <w:rsid w:val="00EC15A8"/>
    <w:rsid w:val="00EC1B49"/>
    <w:rsid w:val="00EC1B5A"/>
    <w:rsid w:val="00EC215F"/>
    <w:rsid w:val="00EC2256"/>
    <w:rsid w:val="00EC24AE"/>
    <w:rsid w:val="00EC2A22"/>
    <w:rsid w:val="00EC2AA7"/>
    <w:rsid w:val="00EC2E74"/>
    <w:rsid w:val="00EC2F6C"/>
    <w:rsid w:val="00EC2F97"/>
    <w:rsid w:val="00EC32D5"/>
    <w:rsid w:val="00EC32F5"/>
    <w:rsid w:val="00EC3476"/>
    <w:rsid w:val="00EC3488"/>
    <w:rsid w:val="00EC3C29"/>
    <w:rsid w:val="00EC3FAB"/>
    <w:rsid w:val="00EC42A4"/>
    <w:rsid w:val="00EC43FB"/>
    <w:rsid w:val="00EC46BA"/>
    <w:rsid w:val="00EC49B0"/>
    <w:rsid w:val="00EC52F6"/>
    <w:rsid w:val="00EC5347"/>
    <w:rsid w:val="00EC53A3"/>
    <w:rsid w:val="00EC53E3"/>
    <w:rsid w:val="00EC5512"/>
    <w:rsid w:val="00EC5914"/>
    <w:rsid w:val="00EC5D39"/>
    <w:rsid w:val="00EC6254"/>
    <w:rsid w:val="00EC6578"/>
    <w:rsid w:val="00EC6601"/>
    <w:rsid w:val="00EC6649"/>
    <w:rsid w:val="00EC67BA"/>
    <w:rsid w:val="00EC67E6"/>
    <w:rsid w:val="00EC6BF5"/>
    <w:rsid w:val="00EC6DF9"/>
    <w:rsid w:val="00EC7515"/>
    <w:rsid w:val="00EC7F4F"/>
    <w:rsid w:val="00ED0167"/>
    <w:rsid w:val="00ED0862"/>
    <w:rsid w:val="00ED0C9B"/>
    <w:rsid w:val="00ED0D6E"/>
    <w:rsid w:val="00ED0E6B"/>
    <w:rsid w:val="00ED0F4E"/>
    <w:rsid w:val="00ED16E4"/>
    <w:rsid w:val="00ED17E9"/>
    <w:rsid w:val="00ED1963"/>
    <w:rsid w:val="00ED1976"/>
    <w:rsid w:val="00ED1B6F"/>
    <w:rsid w:val="00ED1B9A"/>
    <w:rsid w:val="00ED1FC4"/>
    <w:rsid w:val="00ED23AE"/>
    <w:rsid w:val="00ED24FC"/>
    <w:rsid w:val="00ED2599"/>
    <w:rsid w:val="00ED25D4"/>
    <w:rsid w:val="00ED2623"/>
    <w:rsid w:val="00ED28ED"/>
    <w:rsid w:val="00ED2CE6"/>
    <w:rsid w:val="00ED2E7C"/>
    <w:rsid w:val="00ED30D2"/>
    <w:rsid w:val="00ED3120"/>
    <w:rsid w:val="00ED32A1"/>
    <w:rsid w:val="00ED33CF"/>
    <w:rsid w:val="00ED35ED"/>
    <w:rsid w:val="00ED3807"/>
    <w:rsid w:val="00ED3DAA"/>
    <w:rsid w:val="00ED4156"/>
    <w:rsid w:val="00ED41E7"/>
    <w:rsid w:val="00ED426A"/>
    <w:rsid w:val="00ED44DD"/>
    <w:rsid w:val="00ED48A2"/>
    <w:rsid w:val="00ED4A5E"/>
    <w:rsid w:val="00ED4ADA"/>
    <w:rsid w:val="00ED4D5D"/>
    <w:rsid w:val="00ED4F87"/>
    <w:rsid w:val="00ED521B"/>
    <w:rsid w:val="00ED54DD"/>
    <w:rsid w:val="00ED561B"/>
    <w:rsid w:val="00ED5C42"/>
    <w:rsid w:val="00ED5C96"/>
    <w:rsid w:val="00ED5E91"/>
    <w:rsid w:val="00ED5F62"/>
    <w:rsid w:val="00ED6014"/>
    <w:rsid w:val="00ED62F1"/>
    <w:rsid w:val="00ED6428"/>
    <w:rsid w:val="00ED65C2"/>
    <w:rsid w:val="00ED69AA"/>
    <w:rsid w:val="00ED6D37"/>
    <w:rsid w:val="00ED6DCB"/>
    <w:rsid w:val="00ED7703"/>
    <w:rsid w:val="00ED77CA"/>
    <w:rsid w:val="00ED7C46"/>
    <w:rsid w:val="00ED7F58"/>
    <w:rsid w:val="00EE0049"/>
    <w:rsid w:val="00EE025E"/>
    <w:rsid w:val="00EE0480"/>
    <w:rsid w:val="00EE059A"/>
    <w:rsid w:val="00EE0659"/>
    <w:rsid w:val="00EE0714"/>
    <w:rsid w:val="00EE0766"/>
    <w:rsid w:val="00EE12D0"/>
    <w:rsid w:val="00EE1868"/>
    <w:rsid w:val="00EE1CEE"/>
    <w:rsid w:val="00EE1CF9"/>
    <w:rsid w:val="00EE2169"/>
    <w:rsid w:val="00EE2847"/>
    <w:rsid w:val="00EE2CF4"/>
    <w:rsid w:val="00EE2DCE"/>
    <w:rsid w:val="00EE2EF1"/>
    <w:rsid w:val="00EE2F88"/>
    <w:rsid w:val="00EE3213"/>
    <w:rsid w:val="00EE36FA"/>
    <w:rsid w:val="00EE38BA"/>
    <w:rsid w:val="00EE4561"/>
    <w:rsid w:val="00EE461A"/>
    <w:rsid w:val="00EE46E0"/>
    <w:rsid w:val="00EE4EEB"/>
    <w:rsid w:val="00EE5161"/>
    <w:rsid w:val="00EE5195"/>
    <w:rsid w:val="00EE52E1"/>
    <w:rsid w:val="00EE554F"/>
    <w:rsid w:val="00EE59A8"/>
    <w:rsid w:val="00EE5D58"/>
    <w:rsid w:val="00EE6036"/>
    <w:rsid w:val="00EE61C4"/>
    <w:rsid w:val="00EE6515"/>
    <w:rsid w:val="00EE6544"/>
    <w:rsid w:val="00EE65E7"/>
    <w:rsid w:val="00EE672F"/>
    <w:rsid w:val="00EE67B8"/>
    <w:rsid w:val="00EE6A3F"/>
    <w:rsid w:val="00EE6B5B"/>
    <w:rsid w:val="00EE6C5A"/>
    <w:rsid w:val="00EE6C75"/>
    <w:rsid w:val="00EE6D35"/>
    <w:rsid w:val="00EE6DDF"/>
    <w:rsid w:val="00EE70EB"/>
    <w:rsid w:val="00EE7876"/>
    <w:rsid w:val="00EE78E7"/>
    <w:rsid w:val="00EE7BD2"/>
    <w:rsid w:val="00EF005A"/>
    <w:rsid w:val="00EF021A"/>
    <w:rsid w:val="00EF0AF2"/>
    <w:rsid w:val="00EF0BF2"/>
    <w:rsid w:val="00EF0E84"/>
    <w:rsid w:val="00EF1142"/>
    <w:rsid w:val="00EF1372"/>
    <w:rsid w:val="00EF168F"/>
    <w:rsid w:val="00EF16FC"/>
    <w:rsid w:val="00EF1936"/>
    <w:rsid w:val="00EF1D8E"/>
    <w:rsid w:val="00EF2121"/>
    <w:rsid w:val="00EF23FA"/>
    <w:rsid w:val="00EF25EE"/>
    <w:rsid w:val="00EF2852"/>
    <w:rsid w:val="00EF299C"/>
    <w:rsid w:val="00EF2ABB"/>
    <w:rsid w:val="00EF2C4A"/>
    <w:rsid w:val="00EF31CD"/>
    <w:rsid w:val="00EF33FD"/>
    <w:rsid w:val="00EF3584"/>
    <w:rsid w:val="00EF3688"/>
    <w:rsid w:val="00EF37A6"/>
    <w:rsid w:val="00EF38B1"/>
    <w:rsid w:val="00EF3ADC"/>
    <w:rsid w:val="00EF3C2E"/>
    <w:rsid w:val="00EF3C9B"/>
    <w:rsid w:val="00EF3FED"/>
    <w:rsid w:val="00EF41CF"/>
    <w:rsid w:val="00EF436C"/>
    <w:rsid w:val="00EF45A3"/>
    <w:rsid w:val="00EF45D8"/>
    <w:rsid w:val="00EF4964"/>
    <w:rsid w:val="00EF4AEC"/>
    <w:rsid w:val="00EF4B1D"/>
    <w:rsid w:val="00EF4B42"/>
    <w:rsid w:val="00EF4F47"/>
    <w:rsid w:val="00EF4FBE"/>
    <w:rsid w:val="00EF5AC0"/>
    <w:rsid w:val="00EF5EFF"/>
    <w:rsid w:val="00EF63AA"/>
    <w:rsid w:val="00EF63CF"/>
    <w:rsid w:val="00EF68E8"/>
    <w:rsid w:val="00EF6938"/>
    <w:rsid w:val="00EF69C7"/>
    <w:rsid w:val="00EF6AF4"/>
    <w:rsid w:val="00EF6EE6"/>
    <w:rsid w:val="00EF748D"/>
    <w:rsid w:val="00EF7635"/>
    <w:rsid w:val="00EF793D"/>
    <w:rsid w:val="00EF7B9E"/>
    <w:rsid w:val="00F00126"/>
    <w:rsid w:val="00F0023F"/>
    <w:rsid w:val="00F002DA"/>
    <w:rsid w:val="00F002F8"/>
    <w:rsid w:val="00F0046C"/>
    <w:rsid w:val="00F00785"/>
    <w:rsid w:val="00F00F05"/>
    <w:rsid w:val="00F01598"/>
    <w:rsid w:val="00F018AE"/>
    <w:rsid w:val="00F01902"/>
    <w:rsid w:val="00F01DE6"/>
    <w:rsid w:val="00F020BE"/>
    <w:rsid w:val="00F020D6"/>
    <w:rsid w:val="00F02101"/>
    <w:rsid w:val="00F02389"/>
    <w:rsid w:val="00F0252B"/>
    <w:rsid w:val="00F025E9"/>
    <w:rsid w:val="00F026AA"/>
    <w:rsid w:val="00F02743"/>
    <w:rsid w:val="00F02A6A"/>
    <w:rsid w:val="00F03048"/>
    <w:rsid w:val="00F0324C"/>
    <w:rsid w:val="00F03693"/>
    <w:rsid w:val="00F036C5"/>
    <w:rsid w:val="00F03983"/>
    <w:rsid w:val="00F03A00"/>
    <w:rsid w:val="00F04188"/>
    <w:rsid w:val="00F04508"/>
    <w:rsid w:val="00F0451A"/>
    <w:rsid w:val="00F048A0"/>
    <w:rsid w:val="00F0490F"/>
    <w:rsid w:val="00F04CA4"/>
    <w:rsid w:val="00F04CCD"/>
    <w:rsid w:val="00F056FD"/>
    <w:rsid w:val="00F05847"/>
    <w:rsid w:val="00F0592C"/>
    <w:rsid w:val="00F05972"/>
    <w:rsid w:val="00F0600C"/>
    <w:rsid w:val="00F06185"/>
    <w:rsid w:val="00F0632C"/>
    <w:rsid w:val="00F06504"/>
    <w:rsid w:val="00F067C9"/>
    <w:rsid w:val="00F0685B"/>
    <w:rsid w:val="00F06933"/>
    <w:rsid w:val="00F069EB"/>
    <w:rsid w:val="00F06AB4"/>
    <w:rsid w:val="00F06C6A"/>
    <w:rsid w:val="00F06CD1"/>
    <w:rsid w:val="00F06EC6"/>
    <w:rsid w:val="00F06EC7"/>
    <w:rsid w:val="00F07154"/>
    <w:rsid w:val="00F071A6"/>
    <w:rsid w:val="00F07317"/>
    <w:rsid w:val="00F0748B"/>
    <w:rsid w:val="00F077AA"/>
    <w:rsid w:val="00F07911"/>
    <w:rsid w:val="00F1014C"/>
    <w:rsid w:val="00F10406"/>
    <w:rsid w:val="00F10582"/>
    <w:rsid w:val="00F106F7"/>
    <w:rsid w:val="00F106FD"/>
    <w:rsid w:val="00F10BEB"/>
    <w:rsid w:val="00F10BFA"/>
    <w:rsid w:val="00F11449"/>
    <w:rsid w:val="00F11611"/>
    <w:rsid w:val="00F1164B"/>
    <w:rsid w:val="00F11655"/>
    <w:rsid w:val="00F1168B"/>
    <w:rsid w:val="00F118B0"/>
    <w:rsid w:val="00F119EB"/>
    <w:rsid w:val="00F11AE4"/>
    <w:rsid w:val="00F1221D"/>
    <w:rsid w:val="00F1240F"/>
    <w:rsid w:val="00F126B3"/>
    <w:rsid w:val="00F128BC"/>
    <w:rsid w:val="00F12B58"/>
    <w:rsid w:val="00F12D5F"/>
    <w:rsid w:val="00F12DF6"/>
    <w:rsid w:val="00F13191"/>
    <w:rsid w:val="00F131D6"/>
    <w:rsid w:val="00F13280"/>
    <w:rsid w:val="00F13360"/>
    <w:rsid w:val="00F133FA"/>
    <w:rsid w:val="00F13834"/>
    <w:rsid w:val="00F1390A"/>
    <w:rsid w:val="00F140BE"/>
    <w:rsid w:val="00F1433C"/>
    <w:rsid w:val="00F148D2"/>
    <w:rsid w:val="00F14906"/>
    <w:rsid w:val="00F14B85"/>
    <w:rsid w:val="00F14E0B"/>
    <w:rsid w:val="00F14FA6"/>
    <w:rsid w:val="00F152B6"/>
    <w:rsid w:val="00F155DC"/>
    <w:rsid w:val="00F15797"/>
    <w:rsid w:val="00F15879"/>
    <w:rsid w:val="00F15CB9"/>
    <w:rsid w:val="00F15E85"/>
    <w:rsid w:val="00F169AA"/>
    <w:rsid w:val="00F16A9B"/>
    <w:rsid w:val="00F16E1C"/>
    <w:rsid w:val="00F16E72"/>
    <w:rsid w:val="00F16F91"/>
    <w:rsid w:val="00F170C7"/>
    <w:rsid w:val="00F17354"/>
    <w:rsid w:val="00F209E2"/>
    <w:rsid w:val="00F20BDF"/>
    <w:rsid w:val="00F214AF"/>
    <w:rsid w:val="00F216F0"/>
    <w:rsid w:val="00F217D3"/>
    <w:rsid w:val="00F21F32"/>
    <w:rsid w:val="00F220E6"/>
    <w:rsid w:val="00F2230F"/>
    <w:rsid w:val="00F223F4"/>
    <w:rsid w:val="00F22754"/>
    <w:rsid w:val="00F22B26"/>
    <w:rsid w:val="00F23445"/>
    <w:rsid w:val="00F2423B"/>
    <w:rsid w:val="00F2427B"/>
    <w:rsid w:val="00F2431D"/>
    <w:rsid w:val="00F243EA"/>
    <w:rsid w:val="00F2442F"/>
    <w:rsid w:val="00F24688"/>
    <w:rsid w:val="00F24A05"/>
    <w:rsid w:val="00F24B17"/>
    <w:rsid w:val="00F24BF9"/>
    <w:rsid w:val="00F24D7B"/>
    <w:rsid w:val="00F24F6B"/>
    <w:rsid w:val="00F250EA"/>
    <w:rsid w:val="00F25308"/>
    <w:rsid w:val="00F255A1"/>
    <w:rsid w:val="00F255F3"/>
    <w:rsid w:val="00F25BD4"/>
    <w:rsid w:val="00F2619F"/>
    <w:rsid w:val="00F26547"/>
    <w:rsid w:val="00F26CDC"/>
    <w:rsid w:val="00F27712"/>
    <w:rsid w:val="00F279CC"/>
    <w:rsid w:val="00F27DA3"/>
    <w:rsid w:val="00F27F21"/>
    <w:rsid w:val="00F300F0"/>
    <w:rsid w:val="00F30411"/>
    <w:rsid w:val="00F3045B"/>
    <w:rsid w:val="00F30751"/>
    <w:rsid w:val="00F30A0B"/>
    <w:rsid w:val="00F30A33"/>
    <w:rsid w:val="00F30B5C"/>
    <w:rsid w:val="00F30D97"/>
    <w:rsid w:val="00F31396"/>
    <w:rsid w:val="00F31412"/>
    <w:rsid w:val="00F3147D"/>
    <w:rsid w:val="00F316AA"/>
    <w:rsid w:val="00F323D3"/>
    <w:rsid w:val="00F32E4E"/>
    <w:rsid w:val="00F32EE4"/>
    <w:rsid w:val="00F32EF9"/>
    <w:rsid w:val="00F331D2"/>
    <w:rsid w:val="00F33448"/>
    <w:rsid w:val="00F33551"/>
    <w:rsid w:val="00F335FF"/>
    <w:rsid w:val="00F3374B"/>
    <w:rsid w:val="00F33FBB"/>
    <w:rsid w:val="00F3428E"/>
    <w:rsid w:val="00F343BB"/>
    <w:rsid w:val="00F3459B"/>
    <w:rsid w:val="00F345B8"/>
    <w:rsid w:val="00F34719"/>
    <w:rsid w:val="00F34AB8"/>
    <w:rsid w:val="00F3501A"/>
    <w:rsid w:val="00F352B3"/>
    <w:rsid w:val="00F352FF"/>
    <w:rsid w:val="00F35510"/>
    <w:rsid w:val="00F3568B"/>
    <w:rsid w:val="00F357E0"/>
    <w:rsid w:val="00F35A59"/>
    <w:rsid w:val="00F35A93"/>
    <w:rsid w:val="00F35CBC"/>
    <w:rsid w:val="00F36032"/>
    <w:rsid w:val="00F3615C"/>
    <w:rsid w:val="00F3631E"/>
    <w:rsid w:val="00F363F3"/>
    <w:rsid w:val="00F3640C"/>
    <w:rsid w:val="00F3642F"/>
    <w:rsid w:val="00F364CD"/>
    <w:rsid w:val="00F365D4"/>
    <w:rsid w:val="00F365DE"/>
    <w:rsid w:val="00F36893"/>
    <w:rsid w:val="00F36A89"/>
    <w:rsid w:val="00F36E93"/>
    <w:rsid w:val="00F36F73"/>
    <w:rsid w:val="00F3709E"/>
    <w:rsid w:val="00F371EC"/>
    <w:rsid w:val="00F3762D"/>
    <w:rsid w:val="00F40017"/>
    <w:rsid w:val="00F40151"/>
    <w:rsid w:val="00F40412"/>
    <w:rsid w:val="00F4065E"/>
    <w:rsid w:val="00F408CE"/>
    <w:rsid w:val="00F40C59"/>
    <w:rsid w:val="00F40EE3"/>
    <w:rsid w:val="00F40F1C"/>
    <w:rsid w:val="00F416E2"/>
    <w:rsid w:val="00F4173B"/>
    <w:rsid w:val="00F41C2D"/>
    <w:rsid w:val="00F41C4B"/>
    <w:rsid w:val="00F42347"/>
    <w:rsid w:val="00F42600"/>
    <w:rsid w:val="00F42796"/>
    <w:rsid w:val="00F42A1A"/>
    <w:rsid w:val="00F42CA1"/>
    <w:rsid w:val="00F4372B"/>
    <w:rsid w:val="00F438F2"/>
    <w:rsid w:val="00F43E25"/>
    <w:rsid w:val="00F43E6A"/>
    <w:rsid w:val="00F440C2"/>
    <w:rsid w:val="00F44630"/>
    <w:rsid w:val="00F44764"/>
    <w:rsid w:val="00F44BF0"/>
    <w:rsid w:val="00F4519A"/>
    <w:rsid w:val="00F452A9"/>
    <w:rsid w:val="00F45354"/>
    <w:rsid w:val="00F459F8"/>
    <w:rsid w:val="00F45CD2"/>
    <w:rsid w:val="00F45E04"/>
    <w:rsid w:val="00F468DF"/>
    <w:rsid w:val="00F46CED"/>
    <w:rsid w:val="00F46E93"/>
    <w:rsid w:val="00F47603"/>
    <w:rsid w:val="00F4768C"/>
    <w:rsid w:val="00F478EA"/>
    <w:rsid w:val="00F47AF8"/>
    <w:rsid w:val="00F47B45"/>
    <w:rsid w:val="00F47B72"/>
    <w:rsid w:val="00F47C8D"/>
    <w:rsid w:val="00F47CCB"/>
    <w:rsid w:val="00F47E74"/>
    <w:rsid w:val="00F50021"/>
    <w:rsid w:val="00F5070E"/>
    <w:rsid w:val="00F50AB3"/>
    <w:rsid w:val="00F50BC7"/>
    <w:rsid w:val="00F510C5"/>
    <w:rsid w:val="00F5132B"/>
    <w:rsid w:val="00F51921"/>
    <w:rsid w:val="00F51AC0"/>
    <w:rsid w:val="00F51AD0"/>
    <w:rsid w:val="00F51C34"/>
    <w:rsid w:val="00F520D6"/>
    <w:rsid w:val="00F5242F"/>
    <w:rsid w:val="00F52484"/>
    <w:rsid w:val="00F5252F"/>
    <w:rsid w:val="00F5292D"/>
    <w:rsid w:val="00F52C2D"/>
    <w:rsid w:val="00F530C8"/>
    <w:rsid w:val="00F53214"/>
    <w:rsid w:val="00F53638"/>
    <w:rsid w:val="00F53868"/>
    <w:rsid w:val="00F538A0"/>
    <w:rsid w:val="00F542D6"/>
    <w:rsid w:val="00F5446F"/>
    <w:rsid w:val="00F5450D"/>
    <w:rsid w:val="00F5477E"/>
    <w:rsid w:val="00F54AED"/>
    <w:rsid w:val="00F54D4F"/>
    <w:rsid w:val="00F550CE"/>
    <w:rsid w:val="00F551C6"/>
    <w:rsid w:val="00F551E6"/>
    <w:rsid w:val="00F55328"/>
    <w:rsid w:val="00F5540A"/>
    <w:rsid w:val="00F5548D"/>
    <w:rsid w:val="00F557AF"/>
    <w:rsid w:val="00F559C3"/>
    <w:rsid w:val="00F55B55"/>
    <w:rsid w:val="00F55C3D"/>
    <w:rsid w:val="00F55CE2"/>
    <w:rsid w:val="00F56112"/>
    <w:rsid w:val="00F561A9"/>
    <w:rsid w:val="00F564D5"/>
    <w:rsid w:val="00F56B60"/>
    <w:rsid w:val="00F56EB4"/>
    <w:rsid w:val="00F570D7"/>
    <w:rsid w:val="00F57160"/>
    <w:rsid w:val="00F573FF"/>
    <w:rsid w:val="00F576D5"/>
    <w:rsid w:val="00F5785E"/>
    <w:rsid w:val="00F57983"/>
    <w:rsid w:val="00F60101"/>
    <w:rsid w:val="00F602C9"/>
    <w:rsid w:val="00F6085A"/>
    <w:rsid w:val="00F609A0"/>
    <w:rsid w:val="00F60DAC"/>
    <w:rsid w:val="00F61009"/>
    <w:rsid w:val="00F6104D"/>
    <w:rsid w:val="00F61D39"/>
    <w:rsid w:val="00F61E99"/>
    <w:rsid w:val="00F620AA"/>
    <w:rsid w:val="00F62110"/>
    <w:rsid w:val="00F626A4"/>
    <w:rsid w:val="00F62A80"/>
    <w:rsid w:val="00F62D96"/>
    <w:rsid w:val="00F62DB5"/>
    <w:rsid w:val="00F62FB6"/>
    <w:rsid w:val="00F62FC0"/>
    <w:rsid w:val="00F6323B"/>
    <w:rsid w:val="00F632F8"/>
    <w:rsid w:val="00F6369F"/>
    <w:rsid w:val="00F639C8"/>
    <w:rsid w:val="00F63B55"/>
    <w:rsid w:val="00F63D9D"/>
    <w:rsid w:val="00F63F58"/>
    <w:rsid w:val="00F63FD7"/>
    <w:rsid w:val="00F64313"/>
    <w:rsid w:val="00F6435C"/>
    <w:rsid w:val="00F6499F"/>
    <w:rsid w:val="00F64C2B"/>
    <w:rsid w:val="00F64E58"/>
    <w:rsid w:val="00F65480"/>
    <w:rsid w:val="00F656BD"/>
    <w:rsid w:val="00F65ACD"/>
    <w:rsid w:val="00F65B1B"/>
    <w:rsid w:val="00F65B1D"/>
    <w:rsid w:val="00F66048"/>
    <w:rsid w:val="00F66129"/>
    <w:rsid w:val="00F662F9"/>
    <w:rsid w:val="00F66530"/>
    <w:rsid w:val="00F6659F"/>
    <w:rsid w:val="00F66BB6"/>
    <w:rsid w:val="00F66FF6"/>
    <w:rsid w:val="00F66FFA"/>
    <w:rsid w:val="00F6708C"/>
    <w:rsid w:val="00F6733F"/>
    <w:rsid w:val="00F676AF"/>
    <w:rsid w:val="00F6782A"/>
    <w:rsid w:val="00F67B6B"/>
    <w:rsid w:val="00F67C39"/>
    <w:rsid w:val="00F67D02"/>
    <w:rsid w:val="00F700BE"/>
    <w:rsid w:val="00F70431"/>
    <w:rsid w:val="00F704B5"/>
    <w:rsid w:val="00F706C6"/>
    <w:rsid w:val="00F709EA"/>
    <w:rsid w:val="00F70B90"/>
    <w:rsid w:val="00F70BD9"/>
    <w:rsid w:val="00F70C09"/>
    <w:rsid w:val="00F70E88"/>
    <w:rsid w:val="00F70EE4"/>
    <w:rsid w:val="00F710BC"/>
    <w:rsid w:val="00F71237"/>
    <w:rsid w:val="00F7143A"/>
    <w:rsid w:val="00F71A9F"/>
    <w:rsid w:val="00F71B5B"/>
    <w:rsid w:val="00F71FE3"/>
    <w:rsid w:val="00F72062"/>
    <w:rsid w:val="00F72178"/>
    <w:rsid w:val="00F721B9"/>
    <w:rsid w:val="00F72239"/>
    <w:rsid w:val="00F72367"/>
    <w:rsid w:val="00F7248E"/>
    <w:rsid w:val="00F72664"/>
    <w:rsid w:val="00F7297A"/>
    <w:rsid w:val="00F72A4F"/>
    <w:rsid w:val="00F72F0D"/>
    <w:rsid w:val="00F73051"/>
    <w:rsid w:val="00F73417"/>
    <w:rsid w:val="00F73490"/>
    <w:rsid w:val="00F7366E"/>
    <w:rsid w:val="00F7375F"/>
    <w:rsid w:val="00F73C45"/>
    <w:rsid w:val="00F7401F"/>
    <w:rsid w:val="00F745F0"/>
    <w:rsid w:val="00F746D6"/>
    <w:rsid w:val="00F7475F"/>
    <w:rsid w:val="00F749CF"/>
    <w:rsid w:val="00F74ADC"/>
    <w:rsid w:val="00F74D30"/>
    <w:rsid w:val="00F74EBF"/>
    <w:rsid w:val="00F74FE3"/>
    <w:rsid w:val="00F7518C"/>
    <w:rsid w:val="00F752DF"/>
    <w:rsid w:val="00F7536C"/>
    <w:rsid w:val="00F7541B"/>
    <w:rsid w:val="00F75540"/>
    <w:rsid w:val="00F75677"/>
    <w:rsid w:val="00F7579D"/>
    <w:rsid w:val="00F75B28"/>
    <w:rsid w:val="00F75CB2"/>
    <w:rsid w:val="00F75E98"/>
    <w:rsid w:val="00F7602F"/>
    <w:rsid w:val="00F7626E"/>
    <w:rsid w:val="00F76618"/>
    <w:rsid w:val="00F76976"/>
    <w:rsid w:val="00F769CC"/>
    <w:rsid w:val="00F76A39"/>
    <w:rsid w:val="00F76B2D"/>
    <w:rsid w:val="00F7729A"/>
    <w:rsid w:val="00F77592"/>
    <w:rsid w:val="00F77676"/>
    <w:rsid w:val="00F779D9"/>
    <w:rsid w:val="00F77B3E"/>
    <w:rsid w:val="00F77D8C"/>
    <w:rsid w:val="00F80143"/>
    <w:rsid w:val="00F801C8"/>
    <w:rsid w:val="00F80266"/>
    <w:rsid w:val="00F8037C"/>
    <w:rsid w:val="00F80431"/>
    <w:rsid w:val="00F8077A"/>
    <w:rsid w:val="00F80799"/>
    <w:rsid w:val="00F80A03"/>
    <w:rsid w:val="00F80B79"/>
    <w:rsid w:val="00F8100C"/>
    <w:rsid w:val="00F81134"/>
    <w:rsid w:val="00F8167E"/>
    <w:rsid w:val="00F817CB"/>
    <w:rsid w:val="00F8191B"/>
    <w:rsid w:val="00F819CA"/>
    <w:rsid w:val="00F81A5A"/>
    <w:rsid w:val="00F81C2E"/>
    <w:rsid w:val="00F81CB8"/>
    <w:rsid w:val="00F82114"/>
    <w:rsid w:val="00F825A3"/>
    <w:rsid w:val="00F82707"/>
    <w:rsid w:val="00F82BBB"/>
    <w:rsid w:val="00F82BF0"/>
    <w:rsid w:val="00F8308C"/>
    <w:rsid w:val="00F830AD"/>
    <w:rsid w:val="00F830BA"/>
    <w:rsid w:val="00F8313A"/>
    <w:rsid w:val="00F83910"/>
    <w:rsid w:val="00F83AEE"/>
    <w:rsid w:val="00F83C7F"/>
    <w:rsid w:val="00F840F6"/>
    <w:rsid w:val="00F8415E"/>
    <w:rsid w:val="00F843AE"/>
    <w:rsid w:val="00F848FE"/>
    <w:rsid w:val="00F84B2F"/>
    <w:rsid w:val="00F84F4B"/>
    <w:rsid w:val="00F84FAB"/>
    <w:rsid w:val="00F85265"/>
    <w:rsid w:val="00F85456"/>
    <w:rsid w:val="00F8598C"/>
    <w:rsid w:val="00F85FA7"/>
    <w:rsid w:val="00F863CC"/>
    <w:rsid w:val="00F86429"/>
    <w:rsid w:val="00F86C58"/>
    <w:rsid w:val="00F86DC0"/>
    <w:rsid w:val="00F86F65"/>
    <w:rsid w:val="00F873A8"/>
    <w:rsid w:val="00F87527"/>
    <w:rsid w:val="00F875D8"/>
    <w:rsid w:val="00F876B8"/>
    <w:rsid w:val="00F87921"/>
    <w:rsid w:val="00F87F95"/>
    <w:rsid w:val="00F905FB"/>
    <w:rsid w:val="00F90627"/>
    <w:rsid w:val="00F90652"/>
    <w:rsid w:val="00F906C1"/>
    <w:rsid w:val="00F90971"/>
    <w:rsid w:val="00F90A14"/>
    <w:rsid w:val="00F90B26"/>
    <w:rsid w:val="00F90E0E"/>
    <w:rsid w:val="00F90EC1"/>
    <w:rsid w:val="00F910BD"/>
    <w:rsid w:val="00F9139B"/>
    <w:rsid w:val="00F91731"/>
    <w:rsid w:val="00F91878"/>
    <w:rsid w:val="00F919C4"/>
    <w:rsid w:val="00F91B26"/>
    <w:rsid w:val="00F91F0E"/>
    <w:rsid w:val="00F91FD0"/>
    <w:rsid w:val="00F92361"/>
    <w:rsid w:val="00F923D6"/>
    <w:rsid w:val="00F92424"/>
    <w:rsid w:val="00F9274B"/>
    <w:rsid w:val="00F92898"/>
    <w:rsid w:val="00F929DC"/>
    <w:rsid w:val="00F92A79"/>
    <w:rsid w:val="00F92A86"/>
    <w:rsid w:val="00F92DC5"/>
    <w:rsid w:val="00F92E10"/>
    <w:rsid w:val="00F93017"/>
    <w:rsid w:val="00F938D9"/>
    <w:rsid w:val="00F93AFA"/>
    <w:rsid w:val="00F93BBE"/>
    <w:rsid w:val="00F93C6A"/>
    <w:rsid w:val="00F93ED5"/>
    <w:rsid w:val="00F93F10"/>
    <w:rsid w:val="00F9421F"/>
    <w:rsid w:val="00F9449D"/>
    <w:rsid w:val="00F94573"/>
    <w:rsid w:val="00F94678"/>
    <w:rsid w:val="00F94818"/>
    <w:rsid w:val="00F9492C"/>
    <w:rsid w:val="00F9519C"/>
    <w:rsid w:val="00F95218"/>
    <w:rsid w:val="00F956A1"/>
    <w:rsid w:val="00F958B7"/>
    <w:rsid w:val="00F95C75"/>
    <w:rsid w:val="00F95CCA"/>
    <w:rsid w:val="00F95DEC"/>
    <w:rsid w:val="00F95F94"/>
    <w:rsid w:val="00F966AD"/>
    <w:rsid w:val="00F969A2"/>
    <w:rsid w:val="00F96BFB"/>
    <w:rsid w:val="00F96C6B"/>
    <w:rsid w:val="00F96DA9"/>
    <w:rsid w:val="00F975D5"/>
    <w:rsid w:val="00F97C72"/>
    <w:rsid w:val="00F97D51"/>
    <w:rsid w:val="00FA033D"/>
    <w:rsid w:val="00FA0522"/>
    <w:rsid w:val="00FA08D5"/>
    <w:rsid w:val="00FA0AA2"/>
    <w:rsid w:val="00FA0C82"/>
    <w:rsid w:val="00FA1574"/>
    <w:rsid w:val="00FA1B66"/>
    <w:rsid w:val="00FA1C7F"/>
    <w:rsid w:val="00FA1E0D"/>
    <w:rsid w:val="00FA2309"/>
    <w:rsid w:val="00FA2369"/>
    <w:rsid w:val="00FA24D4"/>
    <w:rsid w:val="00FA276B"/>
    <w:rsid w:val="00FA2B72"/>
    <w:rsid w:val="00FA31CA"/>
    <w:rsid w:val="00FA33A4"/>
    <w:rsid w:val="00FA3ABC"/>
    <w:rsid w:val="00FA3AC3"/>
    <w:rsid w:val="00FA4610"/>
    <w:rsid w:val="00FA46EE"/>
    <w:rsid w:val="00FA4B25"/>
    <w:rsid w:val="00FA4BC0"/>
    <w:rsid w:val="00FA4EB1"/>
    <w:rsid w:val="00FA566E"/>
    <w:rsid w:val="00FA58BE"/>
    <w:rsid w:val="00FA58FF"/>
    <w:rsid w:val="00FA639E"/>
    <w:rsid w:val="00FA63A2"/>
    <w:rsid w:val="00FA6630"/>
    <w:rsid w:val="00FA667B"/>
    <w:rsid w:val="00FA6884"/>
    <w:rsid w:val="00FA695E"/>
    <w:rsid w:val="00FA6B45"/>
    <w:rsid w:val="00FA6BD5"/>
    <w:rsid w:val="00FA6C9C"/>
    <w:rsid w:val="00FA6DBC"/>
    <w:rsid w:val="00FA6F27"/>
    <w:rsid w:val="00FA763D"/>
    <w:rsid w:val="00FA78E2"/>
    <w:rsid w:val="00FA7BE2"/>
    <w:rsid w:val="00FA7E1D"/>
    <w:rsid w:val="00FB05C3"/>
    <w:rsid w:val="00FB078B"/>
    <w:rsid w:val="00FB0B45"/>
    <w:rsid w:val="00FB0C56"/>
    <w:rsid w:val="00FB0CBD"/>
    <w:rsid w:val="00FB0E05"/>
    <w:rsid w:val="00FB0EDE"/>
    <w:rsid w:val="00FB1355"/>
    <w:rsid w:val="00FB1AD5"/>
    <w:rsid w:val="00FB1B59"/>
    <w:rsid w:val="00FB21DE"/>
    <w:rsid w:val="00FB2276"/>
    <w:rsid w:val="00FB22FD"/>
    <w:rsid w:val="00FB2329"/>
    <w:rsid w:val="00FB2355"/>
    <w:rsid w:val="00FB24E2"/>
    <w:rsid w:val="00FB25B5"/>
    <w:rsid w:val="00FB2693"/>
    <w:rsid w:val="00FB27A1"/>
    <w:rsid w:val="00FB27AA"/>
    <w:rsid w:val="00FB2846"/>
    <w:rsid w:val="00FB296A"/>
    <w:rsid w:val="00FB3074"/>
    <w:rsid w:val="00FB33B4"/>
    <w:rsid w:val="00FB3784"/>
    <w:rsid w:val="00FB3B92"/>
    <w:rsid w:val="00FB3E5D"/>
    <w:rsid w:val="00FB4309"/>
    <w:rsid w:val="00FB430E"/>
    <w:rsid w:val="00FB49D0"/>
    <w:rsid w:val="00FB57D3"/>
    <w:rsid w:val="00FB615E"/>
    <w:rsid w:val="00FB63D6"/>
    <w:rsid w:val="00FB6589"/>
    <w:rsid w:val="00FB66C8"/>
    <w:rsid w:val="00FB6B77"/>
    <w:rsid w:val="00FB6C4F"/>
    <w:rsid w:val="00FB6CAD"/>
    <w:rsid w:val="00FB6DD1"/>
    <w:rsid w:val="00FB6F39"/>
    <w:rsid w:val="00FB6FBE"/>
    <w:rsid w:val="00FB7244"/>
    <w:rsid w:val="00FB73E5"/>
    <w:rsid w:val="00FB75C6"/>
    <w:rsid w:val="00FB7DAC"/>
    <w:rsid w:val="00FC0171"/>
    <w:rsid w:val="00FC08B5"/>
    <w:rsid w:val="00FC0BEF"/>
    <w:rsid w:val="00FC10CB"/>
    <w:rsid w:val="00FC1209"/>
    <w:rsid w:val="00FC128F"/>
    <w:rsid w:val="00FC1AE6"/>
    <w:rsid w:val="00FC1FBC"/>
    <w:rsid w:val="00FC270A"/>
    <w:rsid w:val="00FC27EB"/>
    <w:rsid w:val="00FC2856"/>
    <w:rsid w:val="00FC2DCE"/>
    <w:rsid w:val="00FC2EA0"/>
    <w:rsid w:val="00FC2ED8"/>
    <w:rsid w:val="00FC2FD4"/>
    <w:rsid w:val="00FC3361"/>
    <w:rsid w:val="00FC3596"/>
    <w:rsid w:val="00FC3AED"/>
    <w:rsid w:val="00FC3D63"/>
    <w:rsid w:val="00FC43D2"/>
    <w:rsid w:val="00FC4503"/>
    <w:rsid w:val="00FC47D0"/>
    <w:rsid w:val="00FC5508"/>
    <w:rsid w:val="00FC55EE"/>
    <w:rsid w:val="00FC5C33"/>
    <w:rsid w:val="00FC5E92"/>
    <w:rsid w:val="00FC6266"/>
    <w:rsid w:val="00FC681F"/>
    <w:rsid w:val="00FC6E4B"/>
    <w:rsid w:val="00FC6ECB"/>
    <w:rsid w:val="00FC740E"/>
    <w:rsid w:val="00FC7443"/>
    <w:rsid w:val="00FC7475"/>
    <w:rsid w:val="00FC7E69"/>
    <w:rsid w:val="00FD0046"/>
    <w:rsid w:val="00FD0799"/>
    <w:rsid w:val="00FD0B9F"/>
    <w:rsid w:val="00FD1229"/>
    <w:rsid w:val="00FD1230"/>
    <w:rsid w:val="00FD15EE"/>
    <w:rsid w:val="00FD186F"/>
    <w:rsid w:val="00FD1BC5"/>
    <w:rsid w:val="00FD1BD6"/>
    <w:rsid w:val="00FD2436"/>
    <w:rsid w:val="00FD2720"/>
    <w:rsid w:val="00FD2E9C"/>
    <w:rsid w:val="00FD35A5"/>
    <w:rsid w:val="00FD3B50"/>
    <w:rsid w:val="00FD3B9E"/>
    <w:rsid w:val="00FD3CE6"/>
    <w:rsid w:val="00FD4333"/>
    <w:rsid w:val="00FD43B8"/>
    <w:rsid w:val="00FD487F"/>
    <w:rsid w:val="00FD536A"/>
    <w:rsid w:val="00FD55A1"/>
    <w:rsid w:val="00FD5810"/>
    <w:rsid w:val="00FD585D"/>
    <w:rsid w:val="00FD595D"/>
    <w:rsid w:val="00FD5A4E"/>
    <w:rsid w:val="00FD5E6B"/>
    <w:rsid w:val="00FD61A3"/>
    <w:rsid w:val="00FD642E"/>
    <w:rsid w:val="00FD652E"/>
    <w:rsid w:val="00FD677A"/>
    <w:rsid w:val="00FD682C"/>
    <w:rsid w:val="00FD75BE"/>
    <w:rsid w:val="00FD761A"/>
    <w:rsid w:val="00FD791E"/>
    <w:rsid w:val="00FD7A45"/>
    <w:rsid w:val="00FD7B1D"/>
    <w:rsid w:val="00FD7C21"/>
    <w:rsid w:val="00FE040B"/>
    <w:rsid w:val="00FE072E"/>
    <w:rsid w:val="00FE08E3"/>
    <w:rsid w:val="00FE09C8"/>
    <w:rsid w:val="00FE0B90"/>
    <w:rsid w:val="00FE0C83"/>
    <w:rsid w:val="00FE0E19"/>
    <w:rsid w:val="00FE10C4"/>
    <w:rsid w:val="00FE1262"/>
    <w:rsid w:val="00FE13EF"/>
    <w:rsid w:val="00FE141A"/>
    <w:rsid w:val="00FE1425"/>
    <w:rsid w:val="00FE155D"/>
    <w:rsid w:val="00FE157E"/>
    <w:rsid w:val="00FE1617"/>
    <w:rsid w:val="00FE172B"/>
    <w:rsid w:val="00FE1AFB"/>
    <w:rsid w:val="00FE1F92"/>
    <w:rsid w:val="00FE2A59"/>
    <w:rsid w:val="00FE2C5F"/>
    <w:rsid w:val="00FE2C75"/>
    <w:rsid w:val="00FE3239"/>
    <w:rsid w:val="00FE352D"/>
    <w:rsid w:val="00FE3703"/>
    <w:rsid w:val="00FE39DF"/>
    <w:rsid w:val="00FE3A21"/>
    <w:rsid w:val="00FE3C3F"/>
    <w:rsid w:val="00FE401C"/>
    <w:rsid w:val="00FE4134"/>
    <w:rsid w:val="00FE41A8"/>
    <w:rsid w:val="00FE4838"/>
    <w:rsid w:val="00FE4C0D"/>
    <w:rsid w:val="00FE4D97"/>
    <w:rsid w:val="00FE54EE"/>
    <w:rsid w:val="00FE5736"/>
    <w:rsid w:val="00FE59A5"/>
    <w:rsid w:val="00FE5BE1"/>
    <w:rsid w:val="00FE5C4C"/>
    <w:rsid w:val="00FE5C55"/>
    <w:rsid w:val="00FE5F72"/>
    <w:rsid w:val="00FE61EE"/>
    <w:rsid w:val="00FE64EC"/>
    <w:rsid w:val="00FE6B81"/>
    <w:rsid w:val="00FE7092"/>
    <w:rsid w:val="00FE7330"/>
    <w:rsid w:val="00FE7650"/>
    <w:rsid w:val="00FE7863"/>
    <w:rsid w:val="00FE79AB"/>
    <w:rsid w:val="00FE7CFA"/>
    <w:rsid w:val="00FE7F68"/>
    <w:rsid w:val="00FF0039"/>
    <w:rsid w:val="00FF00DD"/>
    <w:rsid w:val="00FF0461"/>
    <w:rsid w:val="00FF07B1"/>
    <w:rsid w:val="00FF086F"/>
    <w:rsid w:val="00FF0F34"/>
    <w:rsid w:val="00FF1149"/>
    <w:rsid w:val="00FF1A21"/>
    <w:rsid w:val="00FF1ABB"/>
    <w:rsid w:val="00FF1CA4"/>
    <w:rsid w:val="00FF2BDB"/>
    <w:rsid w:val="00FF2E0D"/>
    <w:rsid w:val="00FF2F51"/>
    <w:rsid w:val="00FF316B"/>
    <w:rsid w:val="00FF3266"/>
    <w:rsid w:val="00FF3275"/>
    <w:rsid w:val="00FF3278"/>
    <w:rsid w:val="00FF32A8"/>
    <w:rsid w:val="00FF35EF"/>
    <w:rsid w:val="00FF4110"/>
    <w:rsid w:val="00FF41CC"/>
    <w:rsid w:val="00FF43DF"/>
    <w:rsid w:val="00FF462F"/>
    <w:rsid w:val="00FF4767"/>
    <w:rsid w:val="00FF4B3A"/>
    <w:rsid w:val="00FF56D3"/>
    <w:rsid w:val="00FF5D0D"/>
    <w:rsid w:val="00FF6177"/>
    <w:rsid w:val="00FF64DB"/>
    <w:rsid w:val="00FF67B8"/>
    <w:rsid w:val="00FF6952"/>
    <w:rsid w:val="00FF6BF9"/>
    <w:rsid w:val="00FF6C58"/>
    <w:rsid w:val="00FF74DA"/>
    <w:rsid w:val="00FF755C"/>
    <w:rsid w:val="00FF7673"/>
    <w:rsid w:val="00FF768F"/>
    <w:rsid w:val="00FF78E9"/>
    <w:rsid w:val="00FF7C07"/>
    <w:rsid w:val="00FF7FC3"/>
    <w:rsid w:val="025F51B8"/>
    <w:rsid w:val="02BEE258"/>
    <w:rsid w:val="03F9AB48"/>
    <w:rsid w:val="09D786F4"/>
    <w:rsid w:val="0A6BF396"/>
    <w:rsid w:val="0CDD048E"/>
    <w:rsid w:val="12D703D3"/>
    <w:rsid w:val="1332ACAB"/>
    <w:rsid w:val="14FD42B3"/>
    <w:rsid w:val="1759DE4F"/>
    <w:rsid w:val="17F78054"/>
    <w:rsid w:val="19FC370B"/>
    <w:rsid w:val="1A3DF2B8"/>
    <w:rsid w:val="1CF6AF69"/>
    <w:rsid w:val="1EFFA844"/>
    <w:rsid w:val="1FDAF15D"/>
    <w:rsid w:val="26BF0B17"/>
    <w:rsid w:val="277D46EF"/>
    <w:rsid w:val="28FBD17C"/>
    <w:rsid w:val="2B733854"/>
    <w:rsid w:val="2BFB7BB3"/>
    <w:rsid w:val="2FFFD126"/>
    <w:rsid w:val="32F980EC"/>
    <w:rsid w:val="33FD394A"/>
    <w:rsid w:val="34DE4028"/>
    <w:rsid w:val="37A7951B"/>
    <w:rsid w:val="37B3DF68"/>
    <w:rsid w:val="37CF2536"/>
    <w:rsid w:val="37FFC08F"/>
    <w:rsid w:val="3AD94A51"/>
    <w:rsid w:val="3BCE4386"/>
    <w:rsid w:val="3BFF7675"/>
    <w:rsid w:val="3D96AB06"/>
    <w:rsid w:val="3DBFF2EF"/>
    <w:rsid w:val="3DDC83BE"/>
    <w:rsid w:val="3F2B8EF3"/>
    <w:rsid w:val="3F3E4A6D"/>
    <w:rsid w:val="3F7919CE"/>
    <w:rsid w:val="3FB58713"/>
    <w:rsid w:val="3FEFAE8F"/>
    <w:rsid w:val="3FF696C4"/>
    <w:rsid w:val="3FFE7084"/>
    <w:rsid w:val="3FFF8A1F"/>
    <w:rsid w:val="3FFFFA7C"/>
    <w:rsid w:val="46DD546F"/>
    <w:rsid w:val="470CE624"/>
    <w:rsid w:val="49BBF0F4"/>
    <w:rsid w:val="4FAE3B15"/>
    <w:rsid w:val="4FFEE613"/>
    <w:rsid w:val="4FFF5B9F"/>
    <w:rsid w:val="537EB44C"/>
    <w:rsid w:val="543BAE82"/>
    <w:rsid w:val="559B155C"/>
    <w:rsid w:val="55FBBDDA"/>
    <w:rsid w:val="56DEAB9B"/>
    <w:rsid w:val="575BB16F"/>
    <w:rsid w:val="577B6F4C"/>
    <w:rsid w:val="59D54534"/>
    <w:rsid w:val="5BDF577B"/>
    <w:rsid w:val="5BF39B66"/>
    <w:rsid w:val="5BFD337C"/>
    <w:rsid w:val="5BFFC1FF"/>
    <w:rsid w:val="5D7F3444"/>
    <w:rsid w:val="5DBAA2BD"/>
    <w:rsid w:val="5E778547"/>
    <w:rsid w:val="5EF46789"/>
    <w:rsid w:val="5F0D8799"/>
    <w:rsid w:val="5F3ABB89"/>
    <w:rsid w:val="5F3C1791"/>
    <w:rsid w:val="5FBFBE2B"/>
    <w:rsid w:val="5FDFB0D8"/>
    <w:rsid w:val="5FEFCD96"/>
    <w:rsid w:val="5FF7D6F8"/>
    <w:rsid w:val="5FFE160A"/>
    <w:rsid w:val="62BAD7CB"/>
    <w:rsid w:val="63FF5F2C"/>
    <w:rsid w:val="65B0EE90"/>
    <w:rsid w:val="66720AB9"/>
    <w:rsid w:val="677BC743"/>
    <w:rsid w:val="679EF990"/>
    <w:rsid w:val="67AFF179"/>
    <w:rsid w:val="67CFF7F2"/>
    <w:rsid w:val="67FF3FC8"/>
    <w:rsid w:val="6AD54ED0"/>
    <w:rsid w:val="6ADFF4B6"/>
    <w:rsid w:val="6AE456B1"/>
    <w:rsid w:val="6B5D5110"/>
    <w:rsid w:val="6BB668D7"/>
    <w:rsid w:val="6BDFC9F6"/>
    <w:rsid w:val="6BF6F437"/>
    <w:rsid w:val="6BF74CAE"/>
    <w:rsid w:val="6BFF80A2"/>
    <w:rsid w:val="6CF4204C"/>
    <w:rsid w:val="6D446585"/>
    <w:rsid w:val="6DDF5C80"/>
    <w:rsid w:val="6DFFBB5E"/>
    <w:rsid w:val="6EEF20AC"/>
    <w:rsid w:val="6EF7F606"/>
    <w:rsid w:val="6FB69852"/>
    <w:rsid w:val="6FD067BC"/>
    <w:rsid w:val="6FDD1058"/>
    <w:rsid w:val="6FE506F7"/>
    <w:rsid w:val="6FEBAEFF"/>
    <w:rsid w:val="6FEE3BC1"/>
    <w:rsid w:val="6FFF1EB1"/>
    <w:rsid w:val="71BF7A44"/>
    <w:rsid w:val="72AF3F14"/>
    <w:rsid w:val="731F8367"/>
    <w:rsid w:val="737E2F0A"/>
    <w:rsid w:val="73F589D9"/>
    <w:rsid w:val="73FD4CA6"/>
    <w:rsid w:val="7446BFF5"/>
    <w:rsid w:val="753DDE62"/>
    <w:rsid w:val="759730E5"/>
    <w:rsid w:val="75BFE40A"/>
    <w:rsid w:val="75F77C17"/>
    <w:rsid w:val="75FE90C8"/>
    <w:rsid w:val="769F732C"/>
    <w:rsid w:val="76D54F59"/>
    <w:rsid w:val="76FDAED1"/>
    <w:rsid w:val="77A8B10E"/>
    <w:rsid w:val="77B312E3"/>
    <w:rsid w:val="77D14B84"/>
    <w:rsid w:val="77EB9D58"/>
    <w:rsid w:val="77F58FBF"/>
    <w:rsid w:val="77FC370C"/>
    <w:rsid w:val="77FF9F41"/>
    <w:rsid w:val="78AB9880"/>
    <w:rsid w:val="78FCC185"/>
    <w:rsid w:val="79FCB3D9"/>
    <w:rsid w:val="7AFF2E7E"/>
    <w:rsid w:val="7B7B4A4D"/>
    <w:rsid w:val="7BBF9BFD"/>
    <w:rsid w:val="7BC99921"/>
    <w:rsid w:val="7BEFB837"/>
    <w:rsid w:val="7BF4FEBE"/>
    <w:rsid w:val="7CE752E1"/>
    <w:rsid w:val="7CFDAD3F"/>
    <w:rsid w:val="7D1E2246"/>
    <w:rsid w:val="7D721F65"/>
    <w:rsid w:val="7DD21A56"/>
    <w:rsid w:val="7DEA3C95"/>
    <w:rsid w:val="7DEF87EB"/>
    <w:rsid w:val="7DF7211E"/>
    <w:rsid w:val="7E56F8F0"/>
    <w:rsid w:val="7E7F54E0"/>
    <w:rsid w:val="7EBD4F16"/>
    <w:rsid w:val="7EBF673B"/>
    <w:rsid w:val="7EBFB926"/>
    <w:rsid w:val="7EDE270E"/>
    <w:rsid w:val="7EDEF56A"/>
    <w:rsid w:val="7EE5800A"/>
    <w:rsid w:val="7EEDA281"/>
    <w:rsid w:val="7EF541D2"/>
    <w:rsid w:val="7EFF981B"/>
    <w:rsid w:val="7EFFCB38"/>
    <w:rsid w:val="7F2CE337"/>
    <w:rsid w:val="7F5F98D3"/>
    <w:rsid w:val="7F6F4CAE"/>
    <w:rsid w:val="7F760436"/>
    <w:rsid w:val="7F7E9BB0"/>
    <w:rsid w:val="7F7FADD7"/>
    <w:rsid w:val="7F7FCDAA"/>
    <w:rsid w:val="7F94DC8F"/>
    <w:rsid w:val="7F9D0751"/>
    <w:rsid w:val="7FA340E7"/>
    <w:rsid w:val="7FAD9D80"/>
    <w:rsid w:val="7FC96765"/>
    <w:rsid w:val="7FCF75D6"/>
    <w:rsid w:val="7FDC9A06"/>
    <w:rsid w:val="7FDD93E0"/>
    <w:rsid w:val="7FE73E94"/>
    <w:rsid w:val="7FEA006A"/>
    <w:rsid w:val="7FEF0BD7"/>
    <w:rsid w:val="7FF3DA7D"/>
    <w:rsid w:val="7FF91C80"/>
    <w:rsid w:val="7FF9A349"/>
    <w:rsid w:val="7FFBFFFD"/>
    <w:rsid w:val="7FFF8DBB"/>
    <w:rsid w:val="83738D29"/>
    <w:rsid w:val="8F7E1AF4"/>
    <w:rsid w:val="97CF25F7"/>
    <w:rsid w:val="97FF7BF3"/>
    <w:rsid w:val="98FD9BA9"/>
    <w:rsid w:val="9BFEBA9D"/>
    <w:rsid w:val="9C4F6B3D"/>
    <w:rsid w:val="9D76D476"/>
    <w:rsid w:val="9DF5FB36"/>
    <w:rsid w:val="9EDF0F22"/>
    <w:rsid w:val="9FDADE45"/>
    <w:rsid w:val="A7BBAFC8"/>
    <w:rsid w:val="A7FC1F67"/>
    <w:rsid w:val="ABFF76CD"/>
    <w:rsid w:val="AF1B6880"/>
    <w:rsid w:val="AFEF3018"/>
    <w:rsid w:val="AFFE5862"/>
    <w:rsid w:val="B4FFB959"/>
    <w:rsid w:val="B7256476"/>
    <w:rsid w:val="B76F2CFD"/>
    <w:rsid w:val="B7CF62DD"/>
    <w:rsid w:val="B9CFEA71"/>
    <w:rsid w:val="BAFE0D00"/>
    <w:rsid w:val="BAFF8405"/>
    <w:rsid w:val="BBFB3676"/>
    <w:rsid w:val="BD875682"/>
    <w:rsid w:val="BDB73E2B"/>
    <w:rsid w:val="BE6E1800"/>
    <w:rsid w:val="BEAFC5AC"/>
    <w:rsid w:val="BEF74802"/>
    <w:rsid w:val="BEFFF163"/>
    <w:rsid w:val="BF6AAEEE"/>
    <w:rsid w:val="BFBEAB04"/>
    <w:rsid w:val="BFBEB1CB"/>
    <w:rsid w:val="BFD7D409"/>
    <w:rsid w:val="BFDE1B2B"/>
    <w:rsid w:val="BFEEFF66"/>
    <w:rsid w:val="BFFF43C6"/>
    <w:rsid w:val="BFFF990F"/>
    <w:rsid w:val="C373C513"/>
    <w:rsid w:val="C3F7E123"/>
    <w:rsid w:val="C6FE4D18"/>
    <w:rsid w:val="C7F70DB4"/>
    <w:rsid w:val="C9EE51CA"/>
    <w:rsid w:val="CAA74CF2"/>
    <w:rsid w:val="CCDF2512"/>
    <w:rsid w:val="CCF60AEB"/>
    <w:rsid w:val="CDFFE78C"/>
    <w:rsid w:val="CEFF4DD7"/>
    <w:rsid w:val="CF7D87CD"/>
    <w:rsid w:val="CFF1FD5B"/>
    <w:rsid w:val="CFFB8894"/>
    <w:rsid w:val="D05DA0E3"/>
    <w:rsid w:val="D59C9A6D"/>
    <w:rsid w:val="D5F7BD57"/>
    <w:rsid w:val="D67EA74C"/>
    <w:rsid w:val="D75F4283"/>
    <w:rsid w:val="D7FAD9A8"/>
    <w:rsid w:val="D9EFAD23"/>
    <w:rsid w:val="DADFE9F9"/>
    <w:rsid w:val="DB6FB331"/>
    <w:rsid w:val="DBF71A22"/>
    <w:rsid w:val="DDFFDCEF"/>
    <w:rsid w:val="DE9E5BAD"/>
    <w:rsid w:val="DEE707F6"/>
    <w:rsid w:val="DF3FCAAE"/>
    <w:rsid w:val="DF7E59FB"/>
    <w:rsid w:val="DF859EF0"/>
    <w:rsid w:val="DF9D891D"/>
    <w:rsid w:val="DFA7AE43"/>
    <w:rsid w:val="DFAB5A84"/>
    <w:rsid w:val="DFAB94EB"/>
    <w:rsid w:val="DFD2B79C"/>
    <w:rsid w:val="DFDD6608"/>
    <w:rsid w:val="DFDF86CC"/>
    <w:rsid w:val="DFE70761"/>
    <w:rsid w:val="DFF1B2C5"/>
    <w:rsid w:val="DFF763D7"/>
    <w:rsid w:val="DFFD87B2"/>
    <w:rsid w:val="DFFF39BD"/>
    <w:rsid w:val="E536D182"/>
    <w:rsid w:val="E5FFC5B7"/>
    <w:rsid w:val="E63F631C"/>
    <w:rsid w:val="E6CFF4B0"/>
    <w:rsid w:val="E77F4186"/>
    <w:rsid w:val="E97ED304"/>
    <w:rsid w:val="E9ADDC3E"/>
    <w:rsid w:val="EAFDD003"/>
    <w:rsid w:val="EBCCBC52"/>
    <w:rsid w:val="EBF86FEB"/>
    <w:rsid w:val="ECAF99BE"/>
    <w:rsid w:val="EDEFBDC9"/>
    <w:rsid w:val="EDFF2721"/>
    <w:rsid w:val="EF7F574E"/>
    <w:rsid w:val="EF8FDD57"/>
    <w:rsid w:val="EFBDF81F"/>
    <w:rsid w:val="EFBFB5FF"/>
    <w:rsid w:val="EFCFA9A8"/>
    <w:rsid w:val="EFF771D5"/>
    <w:rsid w:val="EFFEED90"/>
    <w:rsid w:val="F27E34F8"/>
    <w:rsid w:val="F3E348D1"/>
    <w:rsid w:val="F3FCD1BD"/>
    <w:rsid w:val="F3FFE4DD"/>
    <w:rsid w:val="F47D032A"/>
    <w:rsid w:val="F4F278AD"/>
    <w:rsid w:val="F5AD419D"/>
    <w:rsid w:val="F5ED2978"/>
    <w:rsid w:val="F5FBE59C"/>
    <w:rsid w:val="F69D6BBB"/>
    <w:rsid w:val="F73B7AA0"/>
    <w:rsid w:val="F7A1DDAA"/>
    <w:rsid w:val="F7BACBEE"/>
    <w:rsid w:val="F7BD161D"/>
    <w:rsid w:val="F7DB9E53"/>
    <w:rsid w:val="F7E76B98"/>
    <w:rsid w:val="F7F87E0A"/>
    <w:rsid w:val="F7FD638D"/>
    <w:rsid w:val="F7FF24B3"/>
    <w:rsid w:val="F8EF4CA4"/>
    <w:rsid w:val="F8F67935"/>
    <w:rsid w:val="F9AFF8E6"/>
    <w:rsid w:val="F9DD60E1"/>
    <w:rsid w:val="FAFFDD5B"/>
    <w:rsid w:val="FB7B08F3"/>
    <w:rsid w:val="FBC79EBA"/>
    <w:rsid w:val="FBF97A80"/>
    <w:rsid w:val="FBFB76C9"/>
    <w:rsid w:val="FBFDB64E"/>
    <w:rsid w:val="FBFDF51A"/>
    <w:rsid w:val="FBFF2B9F"/>
    <w:rsid w:val="FC22FED7"/>
    <w:rsid w:val="FC476989"/>
    <w:rsid w:val="FCF71D35"/>
    <w:rsid w:val="FCFA837A"/>
    <w:rsid w:val="FD4BF953"/>
    <w:rsid w:val="FD77F570"/>
    <w:rsid w:val="FD7F7D5A"/>
    <w:rsid w:val="FDB74235"/>
    <w:rsid w:val="FDE3A837"/>
    <w:rsid w:val="FDF13D26"/>
    <w:rsid w:val="FDF5CD6C"/>
    <w:rsid w:val="FDFC6216"/>
    <w:rsid w:val="FDFF13A0"/>
    <w:rsid w:val="FE8FA4C9"/>
    <w:rsid w:val="FEAEAAB2"/>
    <w:rsid w:val="FEB3A633"/>
    <w:rsid w:val="FEDD4E59"/>
    <w:rsid w:val="FEEF9F03"/>
    <w:rsid w:val="FEF0A33C"/>
    <w:rsid w:val="FEF39C74"/>
    <w:rsid w:val="FF1E7219"/>
    <w:rsid w:val="FF7F0661"/>
    <w:rsid w:val="FF7F56BD"/>
    <w:rsid w:val="FF99E149"/>
    <w:rsid w:val="FF9F4253"/>
    <w:rsid w:val="FFBF2E0E"/>
    <w:rsid w:val="FFC7AF8B"/>
    <w:rsid w:val="FFC7D2A6"/>
    <w:rsid w:val="FFCB6CA9"/>
    <w:rsid w:val="FFD6D555"/>
    <w:rsid w:val="FFDB22DC"/>
    <w:rsid w:val="FFDEEE40"/>
    <w:rsid w:val="FFFA2DDF"/>
    <w:rsid w:val="FFFBF14D"/>
    <w:rsid w:val="FFFF6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560" w:lineRule="exact"/>
      <w:ind w:firstLine="200" w:firstLineChars="20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6"/>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next w:val="1"/>
    <w:link w:val="35"/>
    <w:semiHidden/>
    <w:unhideWhenUsed/>
    <w:qFormat/>
    <w:uiPriority w:val="9"/>
    <w:pPr>
      <w:keepNext/>
      <w:keepLines/>
      <w:spacing w:before="260" w:after="260" w:line="416" w:lineRule="auto"/>
      <w:outlineLvl w:val="2"/>
    </w:pPr>
    <w:rPr>
      <w:b/>
      <w:bCs/>
      <w:szCs w:val="32"/>
    </w:rPr>
  </w:style>
  <w:style w:type="paragraph" w:styleId="5">
    <w:name w:val="heading 4"/>
    <w:basedOn w:val="1"/>
    <w:next w:val="1"/>
    <w:link w:val="3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5">
    <w:name w:val="Default Paragraph Font"/>
    <w:semiHidden/>
    <w:unhideWhenUsed/>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39"/>
    <w:unhideWhenUsed/>
    <w:qFormat/>
    <w:uiPriority w:val="0"/>
    <w:pPr>
      <w:adjustRightInd w:val="0"/>
      <w:snapToGrid w:val="0"/>
      <w:spacing w:line="320" w:lineRule="exact"/>
      <w:jc w:val="left"/>
    </w:pPr>
    <w:rPr>
      <w:rFonts w:ascii="Calibri" w:hAnsi="Calibri" w:eastAsia="宋体" w:cs="Times New Roman"/>
      <w:szCs w:val="24"/>
    </w:rPr>
  </w:style>
  <w:style w:type="paragraph" w:styleId="7">
    <w:name w:val="Body Text"/>
    <w:basedOn w:val="1"/>
    <w:link w:val="43"/>
    <w:semiHidden/>
    <w:unhideWhenUsed/>
    <w:qFormat/>
    <w:uiPriority w:val="99"/>
    <w:pPr>
      <w:spacing w:after="120"/>
    </w:pPr>
  </w:style>
  <w:style w:type="paragraph" w:styleId="8">
    <w:name w:val="Body Text Indent"/>
    <w:basedOn w:val="1"/>
    <w:link w:val="41"/>
    <w:semiHidden/>
    <w:unhideWhenUsed/>
    <w:qFormat/>
    <w:uiPriority w:val="99"/>
    <w:pPr>
      <w:spacing w:after="120"/>
      <w:ind w:left="420" w:leftChars="200"/>
    </w:pPr>
  </w:style>
  <w:style w:type="paragraph" w:styleId="9">
    <w:name w:val="toc 3"/>
    <w:basedOn w:val="1"/>
    <w:next w:val="1"/>
    <w:unhideWhenUsed/>
    <w:qFormat/>
    <w:uiPriority w:val="39"/>
    <w:pPr>
      <w:spacing w:after="0"/>
      <w:ind w:left="250" w:leftChars="250" w:firstLine="0" w:firstLineChars="0"/>
    </w:pPr>
    <w:rPr>
      <w:sz w:val="28"/>
    </w:rPr>
  </w:style>
  <w:style w:type="paragraph" w:styleId="10">
    <w:name w:val="Plain Text"/>
    <w:basedOn w:val="1"/>
    <w:link w:val="32"/>
    <w:qFormat/>
    <w:uiPriority w:val="0"/>
    <w:rPr>
      <w:rFonts w:ascii="宋体" w:hAnsi="Courier New"/>
      <w:szCs w:val="24"/>
    </w:rPr>
  </w:style>
  <w:style w:type="paragraph" w:styleId="11">
    <w:name w:val="endnote text"/>
    <w:basedOn w:val="1"/>
    <w:link w:val="54"/>
    <w:semiHidden/>
    <w:unhideWhenUsed/>
    <w:qFormat/>
    <w:uiPriority w:val="99"/>
    <w:pPr>
      <w:snapToGrid w:val="0"/>
      <w:jc w:val="left"/>
    </w:pPr>
  </w:style>
  <w:style w:type="paragraph" w:styleId="12">
    <w:name w:val="Balloon Text"/>
    <w:basedOn w:val="1"/>
    <w:link w:val="34"/>
    <w:qFormat/>
    <w:uiPriority w:val="0"/>
    <w:rPr>
      <w:sz w:val="18"/>
      <w:szCs w:val="18"/>
    </w:rPr>
  </w:style>
  <w:style w:type="paragraph" w:styleId="13">
    <w:name w:val="footer"/>
    <w:basedOn w:val="1"/>
    <w:link w:val="31"/>
    <w:unhideWhenUsed/>
    <w:qFormat/>
    <w:uiPriority w:val="99"/>
    <w:pPr>
      <w:tabs>
        <w:tab w:val="center" w:pos="4153"/>
        <w:tab w:val="right" w:pos="8306"/>
      </w:tabs>
      <w:snapToGrid w:val="0"/>
      <w:jc w:val="left"/>
    </w:pPr>
    <w:rPr>
      <w:sz w:val="18"/>
      <w:szCs w:val="18"/>
    </w:rPr>
  </w:style>
  <w:style w:type="paragraph" w:styleId="14">
    <w:name w:val="header"/>
    <w:basedOn w:val="1"/>
    <w:link w:val="30"/>
    <w:unhideWhenUsed/>
    <w:qFormat/>
    <w:uiPriority w:val="99"/>
    <w:pP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spacing w:after="0"/>
      <w:ind w:firstLine="0" w:firstLineChars="0"/>
    </w:pPr>
    <w:rPr>
      <w:rFonts w:ascii="Times New Roman" w:hAnsi="Times New Roman" w:cs="Times New Roman"/>
      <w:sz w:val="28"/>
      <w:szCs w:val="32"/>
    </w:rPr>
  </w:style>
  <w:style w:type="paragraph" w:styleId="16">
    <w:name w:val="footnote text"/>
    <w:basedOn w:val="1"/>
    <w:link w:val="50"/>
    <w:semiHidden/>
    <w:unhideWhenUsed/>
    <w:qFormat/>
    <w:uiPriority w:val="99"/>
    <w:pPr>
      <w:snapToGrid w:val="0"/>
      <w:jc w:val="left"/>
    </w:pPr>
    <w:rPr>
      <w:sz w:val="18"/>
      <w:szCs w:val="18"/>
    </w:rPr>
  </w:style>
  <w:style w:type="paragraph" w:styleId="17">
    <w:name w:val="toc 2"/>
    <w:basedOn w:val="1"/>
    <w:next w:val="1"/>
    <w:unhideWhenUsed/>
    <w:qFormat/>
    <w:uiPriority w:val="39"/>
    <w:pPr>
      <w:spacing w:after="0"/>
      <w:ind w:left="100" w:leftChars="100" w:firstLine="0" w:firstLineChars="0"/>
    </w:pPr>
    <w:rPr>
      <w:sz w:val="28"/>
    </w:rPr>
  </w:style>
  <w:style w:type="paragraph" w:styleId="18">
    <w:name w:val="Normal (Web)"/>
    <w:basedOn w:val="1"/>
    <w:qFormat/>
    <w:uiPriority w:val="99"/>
    <w:pPr>
      <w:spacing w:beforeAutospacing="1" w:afterAutospacing="1"/>
      <w:jc w:val="left"/>
    </w:pPr>
    <w:rPr>
      <w:rFonts w:cs="Times New Roman"/>
      <w:kern w:val="0"/>
      <w:sz w:val="24"/>
    </w:rPr>
  </w:style>
  <w:style w:type="paragraph" w:styleId="19">
    <w:name w:val="Title"/>
    <w:basedOn w:val="1"/>
    <w:next w:val="1"/>
    <w:link w:val="52"/>
    <w:qFormat/>
    <w:uiPriority w:val="10"/>
    <w:pPr>
      <w:spacing w:before="240" w:after="60"/>
      <w:jc w:val="center"/>
      <w:outlineLvl w:val="0"/>
    </w:pPr>
    <w:rPr>
      <w:rFonts w:asciiTheme="majorHAnsi" w:hAnsiTheme="majorHAnsi" w:eastAsiaTheme="majorEastAsia" w:cstheme="majorBidi"/>
      <w:b/>
      <w:bCs/>
      <w:szCs w:val="32"/>
    </w:rPr>
  </w:style>
  <w:style w:type="paragraph" w:styleId="20">
    <w:name w:val="annotation subject"/>
    <w:basedOn w:val="6"/>
    <w:next w:val="6"/>
    <w:link w:val="45"/>
    <w:semiHidden/>
    <w:unhideWhenUsed/>
    <w:qFormat/>
    <w:uiPriority w:val="99"/>
    <w:pPr>
      <w:adjustRightInd/>
      <w:snapToGrid/>
      <w:spacing w:line="240" w:lineRule="auto"/>
      <w:ind w:firstLine="0" w:firstLineChars="0"/>
    </w:pPr>
    <w:rPr>
      <w:rFonts w:asciiTheme="minorHAnsi" w:hAnsiTheme="minorHAnsi" w:eastAsiaTheme="minorEastAsia" w:cstheme="minorBidi"/>
      <w:b/>
      <w:bCs/>
      <w:szCs w:val="22"/>
    </w:rPr>
  </w:style>
  <w:style w:type="paragraph" w:styleId="21">
    <w:name w:val="Body Text First Indent"/>
    <w:basedOn w:val="7"/>
    <w:link w:val="44"/>
    <w:semiHidden/>
    <w:unhideWhenUsed/>
    <w:qFormat/>
    <w:uiPriority w:val="99"/>
    <w:pPr>
      <w:ind w:firstLine="420" w:firstLineChars="100"/>
    </w:pPr>
  </w:style>
  <w:style w:type="paragraph" w:styleId="22">
    <w:name w:val="Body Text First Indent 2"/>
    <w:basedOn w:val="8"/>
    <w:next w:val="21"/>
    <w:link w:val="42"/>
    <w:unhideWhenUsed/>
    <w:qFormat/>
    <w:uiPriority w:val="99"/>
    <w:pPr>
      <w:spacing w:after="0" w:line="260" w:lineRule="exact"/>
      <w:ind w:left="200"/>
    </w:pPr>
    <w:rPr>
      <w:rFonts w:ascii="Calibri" w:hAnsi="Calibri" w:eastAsia="宋体" w:cs="Times New Roman"/>
      <w:sz w:val="28"/>
      <w:szCs w:val="24"/>
    </w:rPr>
  </w:style>
  <w:style w:type="table" w:styleId="24">
    <w:name w:val="Table Grid"/>
    <w:basedOn w:val="2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endnote reference"/>
    <w:basedOn w:val="25"/>
    <w:semiHidden/>
    <w:unhideWhenUsed/>
    <w:qFormat/>
    <w:uiPriority w:val="99"/>
    <w:rPr>
      <w:vertAlign w:val="superscript"/>
    </w:rPr>
  </w:style>
  <w:style w:type="character" w:styleId="27">
    <w:name w:val="Hyperlink"/>
    <w:basedOn w:val="25"/>
    <w:unhideWhenUsed/>
    <w:qFormat/>
    <w:uiPriority w:val="99"/>
    <w:rPr>
      <w:color w:val="0563C1" w:themeColor="hyperlink"/>
      <w:u w:val="single"/>
      <w14:textFill>
        <w14:solidFill>
          <w14:schemeClr w14:val="hlink"/>
        </w14:solidFill>
      </w14:textFill>
    </w:rPr>
  </w:style>
  <w:style w:type="character" w:styleId="28">
    <w:name w:val="annotation reference"/>
    <w:basedOn w:val="25"/>
    <w:semiHidden/>
    <w:unhideWhenUsed/>
    <w:qFormat/>
    <w:uiPriority w:val="99"/>
    <w:rPr>
      <w:sz w:val="21"/>
      <w:szCs w:val="21"/>
    </w:rPr>
  </w:style>
  <w:style w:type="character" w:styleId="29">
    <w:name w:val="footnote reference"/>
    <w:basedOn w:val="25"/>
    <w:semiHidden/>
    <w:unhideWhenUsed/>
    <w:qFormat/>
    <w:uiPriority w:val="99"/>
    <w:rPr>
      <w:vertAlign w:val="superscript"/>
    </w:rPr>
  </w:style>
  <w:style w:type="character" w:customStyle="1" w:styleId="30">
    <w:name w:val="页眉 字符"/>
    <w:basedOn w:val="25"/>
    <w:link w:val="14"/>
    <w:qFormat/>
    <w:uiPriority w:val="99"/>
    <w:rPr>
      <w:sz w:val="18"/>
      <w:szCs w:val="18"/>
    </w:rPr>
  </w:style>
  <w:style w:type="character" w:customStyle="1" w:styleId="31">
    <w:name w:val="页脚 字符"/>
    <w:basedOn w:val="25"/>
    <w:link w:val="13"/>
    <w:qFormat/>
    <w:uiPriority w:val="99"/>
    <w:rPr>
      <w:sz w:val="18"/>
      <w:szCs w:val="18"/>
    </w:rPr>
  </w:style>
  <w:style w:type="character" w:customStyle="1" w:styleId="32">
    <w:name w:val="纯文本 字符"/>
    <w:basedOn w:val="25"/>
    <w:link w:val="10"/>
    <w:qFormat/>
    <w:uiPriority w:val="0"/>
    <w:rPr>
      <w:rFonts w:ascii="宋体" w:hAnsi="Courier New"/>
      <w:szCs w:val="24"/>
    </w:rPr>
  </w:style>
  <w:style w:type="character" w:customStyle="1" w:styleId="33">
    <w:name w:val="标题 1 字符"/>
    <w:basedOn w:val="25"/>
    <w:link w:val="2"/>
    <w:qFormat/>
    <w:uiPriority w:val="9"/>
    <w:rPr>
      <w:b/>
      <w:bCs/>
      <w:kern w:val="44"/>
      <w:sz w:val="44"/>
      <w:szCs w:val="44"/>
    </w:rPr>
  </w:style>
  <w:style w:type="character" w:customStyle="1" w:styleId="34">
    <w:name w:val="批注框文本 字符"/>
    <w:basedOn w:val="25"/>
    <w:link w:val="12"/>
    <w:qFormat/>
    <w:uiPriority w:val="0"/>
    <w:rPr>
      <w:sz w:val="18"/>
      <w:szCs w:val="18"/>
    </w:rPr>
  </w:style>
  <w:style w:type="character" w:customStyle="1" w:styleId="35">
    <w:name w:val="标题 3 字符"/>
    <w:basedOn w:val="25"/>
    <w:link w:val="4"/>
    <w:semiHidden/>
    <w:qFormat/>
    <w:uiPriority w:val="9"/>
    <w:rPr>
      <w:b/>
      <w:bCs/>
      <w:sz w:val="32"/>
      <w:szCs w:val="32"/>
    </w:rPr>
  </w:style>
  <w:style w:type="character" w:customStyle="1" w:styleId="36">
    <w:name w:val="标题 4 字符"/>
    <w:basedOn w:val="25"/>
    <w:link w:val="5"/>
    <w:semiHidden/>
    <w:qFormat/>
    <w:uiPriority w:val="9"/>
    <w:rPr>
      <w:rFonts w:asciiTheme="majorHAnsi" w:hAnsiTheme="majorHAnsi" w:eastAsiaTheme="majorEastAsia" w:cstheme="majorBidi"/>
      <w:b/>
      <w:bCs/>
      <w:sz w:val="28"/>
      <w:szCs w:val="28"/>
    </w:rPr>
  </w:style>
  <w:style w:type="paragraph" w:customStyle="1" w:styleId="37">
    <w:name w:val="1."/>
    <w:basedOn w:val="4"/>
    <w:qFormat/>
    <w:uiPriority w:val="0"/>
    <w:pPr>
      <w:adjustRightInd w:val="0"/>
      <w:spacing w:before="0" w:after="0" w:line="560" w:lineRule="exact"/>
    </w:pPr>
    <w:rPr>
      <w:rFonts w:ascii="Times New Roman" w:hAnsi="Times New Roman" w:cs="Times New Roman"/>
      <w:bCs w:val="0"/>
    </w:rPr>
  </w:style>
  <w:style w:type="paragraph" w:customStyle="1" w:styleId="38">
    <w:name w:val="修订1"/>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character" w:customStyle="1" w:styleId="39">
    <w:name w:val="批注文字 字符"/>
    <w:basedOn w:val="25"/>
    <w:link w:val="6"/>
    <w:qFormat/>
    <w:uiPriority w:val="0"/>
    <w:rPr>
      <w:rFonts w:ascii="Calibri" w:hAnsi="Calibri" w:eastAsia="宋体" w:cs="Times New Roman"/>
      <w:szCs w:val="24"/>
    </w:rPr>
  </w:style>
  <w:style w:type="paragraph" w:customStyle="1" w:styleId="4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1">
    <w:name w:val="正文文本缩进 字符"/>
    <w:basedOn w:val="25"/>
    <w:link w:val="8"/>
    <w:semiHidden/>
    <w:qFormat/>
    <w:uiPriority w:val="99"/>
  </w:style>
  <w:style w:type="character" w:customStyle="1" w:styleId="42">
    <w:name w:val="正文文本首行缩进 2 字符"/>
    <w:basedOn w:val="41"/>
    <w:link w:val="22"/>
    <w:qFormat/>
    <w:uiPriority w:val="99"/>
    <w:rPr>
      <w:rFonts w:ascii="Calibri" w:hAnsi="Calibri" w:eastAsia="宋体" w:cs="Times New Roman"/>
      <w:sz w:val="28"/>
      <w:szCs w:val="24"/>
    </w:rPr>
  </w:style>
  <w:style w:type="character" w:customStyle="1" w:styleId="43">
    <w:name w:val="正文文本 字符"/>
    <w:basedOn w:val="25"/>
    <w:link w:val="7"/>
    <w:semiHidden/>
    <w:qFormat/>
    <w:uiPriority w:val="99"/>
  </w:style>
  <w:style w:type="character" w:customStyle="1" w:styleId="44">
    <w:name w:val="正文文本首行缩进 字符"/>
    <w:basedOn w:val="43"/>
    <w:link w:val="21"/>
    <w:semiHidden/>
    <w:qFormat/>
    <w:uiPriority w:val="99"/>
  </w:style>
  <w:style w:type="character" w:customStyle="1" w:styleId="45">
    <w:name w:val="批注主题 字符"/>
    <w:basedOn w:val="39"/>
    <w:link w:val="20"/>
    <w:semiHidden/>
    <w:qFormat/>
    <w:uiPriority w:val="99"/>
    <w:rPr>
      <w:rFonts w:ascii="Calibri" w:hAnsi="Calibri" w:eastAsia="宋体" w:cs="Times New Roman"/>
      <w:b/>
      <w:bCs/>
      <w:szCs w:val="24"/>
    </w:rPr>
  </w:style>
  <w:style w:type="character" w:customStyle="1" w:styleId="46">
    <w:name w:val="标题 2 字符"/>
    <w:basedOn w:val="25"/>
    <w:link w:val="3"/>
    <w:qFormat/>
    <w:uiPriority w:val="0"/>
    <w:rPr>
      <w:rFonts w:asciiTheme="majorHAnsi" w:hAnsiTheme="majorHAnsi" w:eastAsiaTheme="majorEastAsia" w:cstheme="majorBidi"/>
      <w:b/>
      <w:bCs/>
      <w:kern w:val="2"/>
      <w:sz w:val="32"/>
      <w:szCs w:val="32"/>
    </w:rPr>
  </w:style>
  <w:style w:type="character" w:customStyle="1" w:styleId="47">
    <w:name w:val="未处理的提及1"/>
    <w:basedOn w:val="25"/>
    <w:semiHidden/>
    <w:unhideWhenUsed/>
    <w:qFormat/>
    <w:uiPriority w:val="99"/>
    <w:rPr>
      <w:color w:val="605E5C"/>
      <w:shd w:val="clear" w:color="auto" w:fill="E1DFDD"/>
    </w:rPr>
  </w:style>
  <w:style w:type="paragraph" w:customStyle="1" w:styleId="48">
    <w:name w:val="Default1"/>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49">
    <w:name w:val="修订2"/>
    <w:hidden/>
    <w:unhideWhenUsed/>
    <w:qFormat/>
    <w:uiPriority w:val="99"/>
    <w:pPr>
      <w:spacing w:after="160" w:line="278" w:lineRule="auto"/>
    </w:pPr>
    <w:rPr>
      <w:rFonts w:eastAsia="仿宋_GB2312" w:asciiTheme="minorHAnsi" w:hAnsiTheme="minorHAnsi" w:cstheme="minorBidi"/>
      <w:kern w:val="2"/>
      <w:sz w:val="32"/>
      <w:szCs w:val="22"/>
      <w:lang w:val="en-US" w:eastAsia="zh-CN" w:bidi="ar-SA"/>
    </w:rPr>
  </w:style>
  <w:style w:type="character" w:customStyle="1" w:styleId="50">
    <w:name w:val="脚注文本 字符"/>
    <w:basedOn w:val="25"/>
    <w:link w:val="16"/>
    <w:semiHidden/>
    <w:qFormat/>
    <w:uiPriority w:val="99"/>
    <w:rPr>
      <w:rFonts w:eastAsia="仿宋_GB2312"/>
      <w:kern w:val="2"/>
      <w:sz w:val="18"/>
      <w:szCs w:val="18"/>
    </w:rPr>
  </w:style>
  <w:style w:type="paragraph" w:customStyle="1" w:styleId="51">
    <w:name w:val="CJX文件标题"/>
    <w:basedOn w:val="19"/>
    <w:qFormat/>
    <w:uiPriority w:val="0"/>
    <w:pPr>
      <w:spacing w:before="0" w:after="0"/>
      <w:ind w:firstLine="0" w:firstLineChars="0"/>
    </w:pPr>
    <w:rPr>
      <w:rFonts w:ascii="Times New Roman" w:hAnsi="Times New Roman" w:eastAsia="方正小标宋_GBK" w:cs="方正小标宋_GBK"/>
      <w:b w:val="0"/>
      <w:bCs w:val="0"/>
      <w:sz w:val="44"/>
      <w:szCs w:val="44"/>
    </w:rPr>
  </w:style>
  <w:style w:type="character" w:customStyle="1" w:styleId="52">
    <w:name w:val="标题 字符"/>
    <w:basedOn w:val="25"/>
    <w:link w:val="19"/>
    <w:qFormat/>
    <w:uiPriority w:val="10"/>
    <w:rPr>
      <w:rFonts w:asciiTheme="majorHAnsi" w:hAnsiTheme="majorHAnsi" w:eastAsiaTheme="majorEastAsia" w:cstheme="majorBidi"/>
      <w:b/>
      <w:bCs/>
      <w:kern w:val="2"/>
      <w:sz w:val="32"/>
      <w:szCs w:val="32"/>
    </w:rPr>
  </w:style>
  <w:style w:type="paragraph" w:styleId="53">
    <w:name w:val="List Paragraph"/>
    <w:basedOn w:val="1"/>
    <w:qFormat/>
    <w:uiPriority w:val="34"/>
    <w:pPr>
      <w:spacing w:line="240" w:lineRule="auto"/>
      <w:ind w:firstLine="420" w:firstLineChars="0"/>
    </w:pPr>
    <w:rPr>
      <w:rFonts w:eastAsiaTheme="minorEastAsia"/>
      <w:sz w:val="21"/>
      <w:szCs w:val="24"/>
    </w:rPr>
  </w:style>
  <w:style w:type="character" w:customStyle="1" w:styleId="54">
    <w:name w:val="尾注文本 字符"/>
    <w:basedOn w:val="25"/>
    <w:link w:val="11"/>
    <w:semiHidden/>
    <w:qFormat/>
    <w:uiPriority w:val="99"/>
    <w:rPr>
      <w:rFonts w:eastAsia="仿宋_GB2312"/>
      <w:kern w:val="2"/>
      <w:sz w:val="32"/>
      <w:szCs w:val="22"/>
    </w:rPr>
  </w:style>
  <w:style w:type="paragraph" w:customStyle="1" w:styleId="55">
    <w:name w:val="修订3"/>
    <w:hidden/>
    <w:unhideWhenUsed/>
    <w:qFormat/>
    <w:uiPriority w:val="99"/>
    <w:pPr>
      <w:spacing w:after="160" w:line="278" w:lineRule="auto"/>
    </w:pPr>
    <w:rPr>
      <w:rFonts w:eastAsia="仿宋_GB2312" w:asciiTheme="minorHAnsi" w:hAnsiTheme="minorHAnsi" w:cstheme="minorBidi"/>
      <w:kern w:val="2"/>
      <w:sz w:val="32"/>
      <w:szCs w:val="22"/>
      <w:lang w:val="en-US" w:eastAsia="zh-CN" w:bidi="ar-SA"/>
    </w:rPr>
  </w:style>
  <w:style w:type="paragraph" w:customStyle="1" w:styleId="56">
    <w:name w:val="修订4"/>
    <w:hidden/>
    <w:unhideWhenUsed/>
    <w:qFormat/>
    <w:uiPriority w:val="99"/>
    <w:rPr>
      <w:rFonts w:eastAsia="仿宋_GB2312" w:asciiTheme="minorHAnsi" w:hAnsiTheme="minorHAnsi" w:cstheme="minorBidi"/>
      <w:kern w:val="2"/>
      <w:sz w:val="32"/>
      <w:szCs w:val="22"/>
      <w:lang w:val="en-US" w:eastAsia="zh-CN" w:bidi="ar-SA"/>
    </w:rPr>
  </w:style>
  <w:style w:type="paragraph" w:customStyle="1" w:styleId="57">
    <w:name w:val="修订5"/>
    <w:hidden/>
    <w:unhideWhenUsed/>
    <w:qFormat/>
    <w:uiPriority w:val="99"/>
    <w:rPr>
      <w:rFonts w:eastAsia="仿宋_GB2312" w:asciiTheme="minorHAnsi" w:hAnsiTheme="minorHAnsi" w:cstheme="minorBidi"/>
      <w:kern w:val="2"/>
      <w:sz w:val="32"/>
      <w:szCs w:val="22"/>
      <w:lang w:val="en-US" w:eastAsia="zh-CN" w:bidi="ar-SA"/>
    </w:rPr>
  </w:style>
  <w:style w:type="paragraph" w:customStyle="1" w:styleId="58">
    <w:name w:val="TOC 标题2"/>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9">
    <w:name w:val="修订6"/>
    <w:hidden/>
    <w:unhideWhenUsed/>
    <w:uiPriority w:val="99"/>
    <w:rPr>
      <w:rFonts w:eastAsia="仿宋_GB2312" w:asciiTheme="minorHAnsi" w:hAnsiTheme="minorHAnsi" w:cstheme="minorBidi"/>
      <w:kern w:val="2"/>
      <w:sz w:val="32"/>
      <w:szCs w:val="22"/>
      <w:lang w:val="en-US" w:eastAsia="zh-CN" w:bidi="ar-SA"/>
    </w:rPr>
  </w:style>
  <w:style w:type="paragraph" w:customStyle="1" w:styleId="60">
    <w:name w:val="修订7"/>
    <w:hidden/>
    <w:unhideWhenUsed/>
    <w:uiPriority w:val="99"/>
    <w:rPr>
      <w:rFonts w:eastAsia="仿宋_GB2312" w:asciiTheme="minorHAnsi" w:hAnsiTheme="minorHAnsi" w:cstheme="minorBidi"/>
      <w:kern w:val="2"/>
      <w:sz w:val="32"/>
      <w:szCs w:val="22"/>
      <w:lang w:val="en-US" w:eastAsia="zh-CN" w:bidi="ar-SA"/>
    </w:rPr>
  </w:style>
  <w:style w:type="paragraph" w:customStyle="1" w:styleId="61">
    <w:name w:val="17babae4-54f0-44fa-a444-1068224df0ac"/>
    <w:basedOn w:val="19"/>
    <w:next w:val="62"/>
    <w:link w:val="63"/>
    <w:uiPriority w:val="0"/>
    <w:pPr>
      <w:adjustRightInd w:val="0"/>
      <w:spacing w:before="0" w:after="0" w:line="288" w:lineRule="auto"/>
      <w:ind w:firstLine="0"/>
    </w:pPr>
    <w:rPr>
      <w:rFonts w:ascii="微软雅黑" w:hAnsi="微软雅黑" w:eastAsia="微软雅黑" w:cs="仿宋_GB2312"/>
      <w:color w:val="000000"/>
      <w:kern w:val="0"/>
      <w:sz w:val="40"/>
    </w:rPr>
  </w:style>
  <w:style w:type="paragraph" w:customStyle="1" w:styleId="62">
    <w:name w:val="acbfdd8b-e11b-4d36-88ff-6049b138f862"/>
    <w:basedOn w:val="1"/>
    <w:link w:val="64"/>
    <w:uiPriority w:val="0"/>
    <w:pPr>
      <w:adjustRightInd w:val="0"/>
      <w:spacing w:after="0" w:line="288" w:lineRule="auto"/>
      <w:ind w:firstLine="0"/>
      <w:jc w:val="left"/>
    </w:pPr>
    <w:rPr>
      <w:rFonts w:ascii="微软雅黑" w:hAnsi="微软雅黑" w:eastAsia="微软雅黑" w:cs="仿宋_GB2312"/>
      <w:color w:val="000000"/>
      <w:kern w:val="0"/>
      <w:sz w:val="22"/>
      <w:szCs w:val="32"/>
    </w:rPr>
  </w:style>
  <w:style w:type="character" w:customStyle="1" w:styleId="63">
    <w:name w:val="17babae4-54f0-44fa-a444-1068224df0ac 字符"/>
    <w:basedOn w:val="25"/>
    <w:link w:val="61"/>
    <w:uiPriority w:val="0"/>
    <w:rPr>
      <w:rFonts w:ascii="微软雅黑" w:hAnsi="微软雅黑" w:eastAsia="微软雅黑" w:cs="仿宋_GB2312"/>
      <w:b/>
      <w:bCs/>
      <w:color w:val="000000"/>
      <w:sz w:val="40"/>
      <w:szCs w:val="32"/>
    </w:rPr>
  </w:style>
  <w:style w:type="character" w:customStyle="1" w:styleId="64">
    <w:name w:val="acbfdd8b-e11b-4d36-88ff-6049b138f862 字符"/>
    <w:basedOn w:val="25"/>
    <w:link w:val="62"/>
    <w:uiPriority w:val="0"/>
    <w:rPr>
      <w:rFonts w:ascii="微软雅黑" w:hAnsi="微软雅黑" w:eastAsia="微软雅黑" w:cs="仿宋_GB2312"/>
      <w:color w:val="000000"/>
      <w:sz w:val="22"/>
      <w:szCs w:val="32"/>
    </w:rPr>
  </w:style>
  <w:style w:type="paragraph" w:customStyle="1" w:styleId="65">
    <w:name w:val="TOC 标题3"/>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6">
    <w:name w:val="修订8"/>
    <w:hidden/>
    <w:unhideWhenUsed/>
    <w:uiPriority w:val="99"/>
    <w:rPr>
      <w:rFonts w:eastAsia="仿宋_GB2312" w:asciiTheme="minorHAnsi" w:hAnsiTheme="minorHAnsi" w:cstheme="minorBidi"/>
      <w:kern w:val="2"/>
      <w:sz w:val="32"/>
      <w:szCs w:val="22"/>
      <w:lang w:val="en-US" w:eastAsia="zh-CN" w:bidi="ar-SA"/>
    </w:rPr>
  </w:style>
  <w:style w:type="paragraph" w:customStyle="1" w:styleId="67">
    <w:name w:val="Revision"/>
    <w:hidden/>
    <w:unhideWhenUsed/>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2.xml><?xml version="1.0" encoding="utf-8"?>
<contractReview xmlns="http://schemas.wps.cn/vas-ai-hub/contract-review">
  <reviewItems>
    <reviewItem>
      <errorID>e0567401-725d-455d-af7b-f3ebd464b67f</errorID>
      <errorWord>建党100周年</errorWord>
      <group>L1_Political</group>
      <groupName>政治性问题</groupName>
      <ability>L2_Unpolitical</ability>
      <abilityName>政治敏感错误</abilityName>
      <candidateList>
        <item>中国共产党成立100周年</item>
      </candidateList>
      <explain/>
      <paraID>5271F0CC</paraID>
      <start>4</start>
      <end>11</end>
      <status>ignored</status>
      <modifiedWord/>
      <trackRevisions>false</trackRevisions>
    </reviewItem>
    <reviewItem>
      <errorID>d4f4af18-dfe0-4dac-a660-eeda955fd1ad</errorID>
      <errorWord>累</errorWord>
      <group>L1_Word</group>
      <groupName>字词问题</groupName>
      <ability>L2_Typo</ability>
      <abilityName>字词错误</abilityName>
      <candidateList>
        <item>累计</item>
      </candidateList>
      <explain/>
      <paraID>140B161D</paraID>
      <start>168</start>
      <end>170</end>
      <status>modified</status>
      <modifiedWord>累计</modifiedWord>
      <trackRevisions>false</trackRevisions>
    </reviewItem>
    <reviewItem>
      <errorID>a4ebfefd-dc03-47ac-928a-ee135d4a436e</errorID>
      <errorWord>馆</errorWord>
      <group>L1_Word</group>
      <groupName>字词问题</groupName>
      <ability>L2_Typo</ability>
      <abilityName>字词错误</abilityName>
      <candidateList>
        <item>馆等</item>
      </candidateList>
      <explain/>
      <paraID>6704D4E5</paraID>
      <start>117</start>
      <end>118</end>
      <status>ignored</status>
      <modifiedWord/>
      <trackRevisions>false</trackRevisions>
    </reviewItem>
    <reviewItem>
      <errorID>620f026c-d9a5-4209-a829-4371d1808cc9</errorID>
      <errorWord>扩内需战略</errorWord>
      <group>L1_Political</group>
      <groupName>政治性问题</groupName>
      <ability>L2_Keyword</ability>
      <abilityName>固定表述</abilityName>
      <candidateList>
        <item>扩大内需战略</item>
      </candidateList>
      <explain>词汇“扩大内需战略”在特定场景下为固定表述形式，请确认此处的“扩内需战略”是否存在不当。</explain>
      <paraID>72D12458</paraID>
      <start>5</start>
      <end>11</end>
      <status>modified</status>
      <modifiedWord>扩大内需战略</modifiedWord>
      <trackRevisions>false</trackRevisions>
    </reviewItem>
    <reviewItem>
      <errorID>01907859-d2ab-472f-a026-04047503e904</errorID>
      <errorWord>文旅部</errorWord>
      <group>L1_Word</group>
      <groupName>字词问题</groupName>
      <ability>L2_Typo</ability>
      <abilityName>字词错误</abilityName>
      <candidateList>
        <item>文化和旅游部</item>
      </candidateList>
      <explain/>
      <paraID>72D12458</paraID>
      <start>50</start>
      <end>53</end>
      <status>ignored</status>
      <modifiedWord/>
      <trackRevisions>false</trackRevisions>
    </reviewItem>
    <reviewItem>
      <errorID>d562403f-130c-4a3e-9276-d7f0fab0373d</errorID>
      <errorWord>国家发改委</errorWord>
      <group>L1_Knowledge</group>
      <groupName>知识性问题</groupName>
      <ability>L2_Knowledge</ability>
      <abilityName>其他知识</abilityName>
      <candidateList>
        <item>国家发展改革委</item>
      </candidateList>
      <explain/>
      <paraID>72D12458</paraID>
      <start>58</start>
      <end>63</end>
      <status>ignored</status>
      <modifiedWord/>
      <trackRevisions>false</trackRevisions>
    </reviewItem>
    <reviewItem>
      <errorID>544ae118-d5d7-4f55-bec3-972269da7097</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7CCBCBCD</paraID>
      <start>63</start>
      <end>68</end>
      <status>ignored</status>
      <modifiedWord/>
      <trackRevisions>false</trackRevisions>
    </reviewItem>
    <reviewItem>
      <errorID>61b08245-16ac-43cb-8921-09f4f41de4a5</errorID>
      <errorWord>-</errorWord>
      <group>L1_Format</group>
      <groupName>格式问题</groupName>
      <ability>L2_HalfPunc</ability>
      <abilityName>全半角检查</abilityName>
      <candidateList>
        <item>－</item>
      </candidateList>
      <explain>文本全半角错误。</explain>
      <paraID>5D091BDE</paraID>
      <start>23</start>
      <end>24</end>
      <status>modified</status>
      <modifiedWord>－</modifiedWord>
      <trackRevisions>false</trackRevisions>
    </reviewItem>
    <reviewItem>
      <errorID>ddaa102f-bc3b-43ac-ab20-f28e991feb42</errorID>
      <errorWord>，</errorWord>
      <group>L1_Word</group>
      <groupName>字词问题</groupName>
      <ability>L2_Typo</ability>
      <abilityName>字词错误</abilityName>
      <candidateList>
        <item>，以</item>
      </candidateList>
      <explain/>
      <paraID>3E6F3A50</paraID>
      <start>51</start>
      <end>53</end>
      <status>modified</status>
      <modifiedWord>，以</modifiedWord>
      <trackRevisions>false</trackRevisions>
    </reviewItem>
    <reviewItem>
      <errorID>80d9ad74-e27c-4be2-a7e0-bf960c4d53fe</errorID>
      <errorWord>(</errorWord>
      <group>L1_Format</group>
      <groupName>格式问题</groupName>
      <ability>L2_HalfPunc</ability>
      <abilityName>全半角检查</abilityName>
      <candidateList>
        <item>（</item>
      </candidateList>
      <explain>文本全半角错误。</explain>
      <paraID>17B304A8</paraID>
      <start>13</start>
      <end>14</end>
      <status>modified</status>
      <modifiedWord>（</modifiedWord>
      <trackRevisions>false</trackRevisions>
    </reviewItem>
    <reviewItem>
      <errorID>8f41bdd3-a471-4cb2-8a7f-67bb3a1f5361</errorID>
      <errorWord>)</errorWord>
      <group>L1_Format</group>
      <groupName>格式问题</groupName>
      <ability>L2_HalfPunc</ability>
      <abilityName>全半角检查</abilityName>
      <candidateList>
        <item>）</item>
      </candidateList>
      <explain>文本全半角错误。</explain>
      <paraID>17B304A8</paraID>
      <start>15</start>
      <end>16</end>
      <status>modified</status>
      <modifiedWord>）</modifiedWord>
      <trackRevisions>false</trackRevisions>
    </reviewItem>
    <reviewItem>
      <errorID>35cfbeb7-f37f-4c0a-86b1-d4026e6e452e</errorID>
      <errorWord>(</errorWord>
      <group>L1_Format</group>
      <groupName>格式问题</groupName>
      <ability>L2_HalfPunc</ability>
      <abilityName>全半角检查</abilityName>
      <candidateList>
        <item>（</item>
      </candidateList>
      <explain>文本全半角错误。</explain>
      <paraID>5A582C5A</paraID>
      <start>11</start>
      <end>12</end>
      <status>modified</status>
      <modifiedWord>（</modifiedWord>
      <trackRevisions>false</trackRevisions>
    </reviewItem>
    <reviewItem>
      <errorID>39ecbf59-03e9-4e8b-98e3-deeb746aaf12</errorID>
      <errorWord>)</errorWord>
      <group>L1_Format</group>
      <groupName>格式问题</groupName>
      <ability>L2_HalfPunc</ability>
      <abilityName>全半角检查</abilityName>
      <candidateList>
        <item>）</item>
      </candidateList>
      <explain>文本全半角错误。</explain>
      <paraID>5A582C5A</paraID>
      <start>19</start>
      <end>20</end>
      <status>modified</status>
      <modifiedWord>）</modifiedWord>
      <trackRevisions>false</trackRevisions>
    </reviewItem>
    <reviewItem>
      <errorID>5e02c4d2-9f30-43bf-bb05-7eadb71e9476</errorID>
      <errorWord>＞</errorWord>
      <group>L1_Format</group>
      <groupName>格式问题</groupName>
      <ability>L2_HalfPunc</ability>
      <abilityName>全半角检查</abilityName>
      <candidateList>
        <item>&gt;</item>
      </candidateList>
      <explain>文本全半角错误。</explain>
      <paraID> 181ADEE</paraID>
      <start>0</start>
      <end>1</end>
      <status>modified</status>
      <modifiedWord>&gt;</modifiedWord>
      <trackRevisions>false</trackRevisions>
    </reviewItem>
    <reviewItem>
      <errorID>e1d728f6-4fb3-4f86-87d3-8c2f9e7eb2e1</errorID>
      <errorWord>＞</errorWord>
      <group>L1_Format</group>
      <groupName>格式问题</groupName>
      <ability>L2_HalfPunc</ability>
      <abilityName>全半角检查</abilityName>
      <candidateList>
        <item>&gt;</item>
      </candidateList>
      <explain>文本全半角错误。</explain>
      <paraID> 7961999</paraID>
      <start>0</start>
      <end>1</end>
      <status>modified</status>
      <modifiedWord>&gt;</modifiedWord>
      <trackRevisions>false</trackRevisions>
    </reviewItem>
    <reviewItem>
      <errorID>82b18e89-9e21-468f-ad6d-001d92da2b97</errorID>
      <errorWord>-</errorWord>
      <group>L1_Format</group>
      <groupName>格式问题</groupName>
      <ability>L2_HalfPunc</ability>
      <abilityName>全半角检查</abilityName>
      <candidateList>
        <item>－</item>
      </candidateList>
      <explain>文本全半角错误。</explain>
      <paraID> C4A51AD</paraID>
      <start>5</start>
      <end>6</end>
      <status>modified</status>
      <modifiedWord>－</modifiedWord>
      <trackRevisions>false</trackRevisions>
    </reviewItem>
    <reviewItem>
      <errorID>f7f52293-9550-4aac-964e-db5106229cb9</errorID>
      <errorWord>-</errorWord>
      <group>L1_Format</group>
      <groupName>格式问题</groupName>
      <ability>L2_HalfPunc</ability>
      <abilityName>全半角检查</abilityName>
      <candidateList>
        <item>－</item>
      </candidateList>
      <explain>文本全半角错误。</explain>
      <paraID>29573C00</paraID>
      <start>297</start>
      <end>298</end>
      <status>modified</status>
      <modifiedWord>－</modifiedWord>
      <trackRevisions>false</trackRevisions>
    </reviewItem>
    <reviewItem>
      <errorID>5889be89-f15b-4c43-a325-26df9cc4e134</errorID>
      <errorWord>-</errorWord>
      <group>L1_Format</group>
      <groupName>格式问题</groupName>
      <ability>L2_HalfPunc</ability>
      <abilityName>全半角检查</abilityName>
      <candidateList>
        <item>－</item>
      </candidateList>
      <explain>文本全半角错误。</explain>
      <paraID>2F76F494</paraID>
      <start>22</start>
      <end>23</end>
      <status>modified</status>
      <modifiedWord>－</modifiedWord>
      <trackRevisions>false</trackRevisions>
    </reviewItem>
    <reviewItem>
      <errorID>be3da8f2-51b1-43e4-aa82-9c1dfac7a2d6</errorID>
      <errorWord>-</errorWord>
      <group>L1_Format</group>
      <groupName>格式问题</groupName>
      <ability>L2_HalfPunc</ability>
      <abilityName>全半角检查</abilityName>
      <candidateList>
        <item>－</item>
      </candidateList>
      <explain>文本全半角错误。</explain>
      <paraID>2F76F494</paraID>
      <start>31</start>
      <end>32</end>
      <status>modified</status>
      <modifiedWord>－</modifiedWord>
      <trackRevisions>false</trackRevisions>
    </reviewItem>
    <reviewItem>
      <errorID>26084e2a-7994-42b2-b266-a920c2de8f46</errorID>
      <errorWord>-</errorWord>
      <group>L1_Format</group>
      <groupName>格式问题</groupName>
      <ability>L2_HalfPunc</ability>
      <abilityName>全半角检查</abilityName>
      <candidateList>
        <item>－</item>
      </candidateList>
      <explain>文本全半角错误。</explain>
      <paraID>2F76F494</paraID>
      <start>39</start>
      <end>40</end>
      <status>modified</status>
      <modifiedWord>－</modifiedWord>
      <trackRevisions>false</trackRevisions>
    </reviewItem>
    <reviewItem>
      <errorID>3ab89254-e69a-4b4c-9fb7-417fbf3aecc9</errorID>
      <errorWord>-</errorWord>
      <group>L1_Format</group>
      <groupName>格式问题</groupName>
      <ability>L2_HalfPunc</ability>
      <abilityName>全半角检查</abilityName>
      <candidateList>
        <item>－</item>
      </candidateList>
      <explain>文本全半角错误。</explain>
      <paraID>2F76F494</paraID>
      <start>43</start>
      <end>44</end>
      <status>modified</status>
      <modifiedWord>－</modifiedWord>
      <trackRevisions>false</trackRevisions>
    </reviewItem>
    <reviewItem>
      <errorID>ecf1912a-4a8d-4c36-ad6b-811a7ad40b0f</errorID>
      <errorWord>强</errorWord>
      <group>L1_Word</group>
      <groupName>字词问题</groupName>
      <ability>L2_Typo</ability>
      <abilityName>字词错误</abilityName>
      <candidateList>
        <item>强对</item>
      </candidateList>
      <explain/>
      <paraID>2F76F494</paraID>
      <start>121</start>
      <end>122</end>
      <status>ignored</status>
      <modifiedWord/>
      <trackRevisions>false</trackRevisions>
    </reviewItem>
    <reviewItem>
      <errorID>2a8cffa3-3991-40f0-8827-a343306948b1</errorID>
      <errorWord>-</errorWord>
      <group>L1_Format</group>
      <groupName>格式问题</groupName>
      <ability>L2_HalfPunc</ability>
      <abilityName>全半角检查</abilityName>
      <candidateList>
        <item>－</item>
      </candidateList>
      <explain>文本全半角错误。</explain>
      <paraID>6A5743AC</paraID>
      <start>8</start>
      <end>9</end>
      <status>modified</status>
      <modifiedWord>－</modifiedWord>
      <trackRevisions>false</trackRevisions>
    </reviewItem>
    <reviewItem>
      <errorID>60c45de1-d603-4add-b05f-3823c41f5e25</errorID>
      <errorWord>-</errorWord>
      <group>L1_Format</group>
      <groupName>格式问题</groupName>
      <ability>L2_HalfPunc</ability>
      <abilityName>全半角检查</abilityName>
      <candidateList>
        <item>－</item>
      </candidateList>
      <explain>文本全半角错误。</explain>
      <paraID>6A5743AC</paraID>
      <start>13</start>
      <end>14</end>
      <status>modified</status>
      <modifiedWord>－</modifiedWord>
      <trackRevisions>false</trackRevisions>
    </reviewItem>
    <reviewItem>
      <errorID>11fbcaee-bc99-44e0-b824-ef3494ebfd33</errorID>
      <errorWord>-</errorWord>
      <group>L1_Format</group>
      <groupName>格式问题</groupName>
      <ability>L2_HalfPunc</ability>
      <abilityName>全半角检查</abilityName>
      <candidateList>
        <item>－</item>
      </candidateList>
      <explain>文本全半角错误。</explain>
      <paraID>2A997C50</paraID>
      <start>64</start>
      <end>65</end>
      <status>modified</status>
      <modifiedWord>－</modifiedWord>
      <trackRevisions>false</trackRevisions>
    </reviewItem>
    <reviewItem>
      <errorID>51532201-9ae2-4940-aa2b-74e74b8e476b</errorID>
      <errorWord>-</errorWord>
      <group>L1_Format</group>
      <groupName>格式问题</groupName>
      <ability>L2_HalfPunc</ability>
      <abilityName>全半角检查</abilityName>
      <candidateList>
        <item>－</item>
      </candidateList>
      <explain>文本全半角错误。</explain>
      <paraID>2A997C50</paraID>
      <start>69</start>
      <end>70</end>
      <status>modified</status>
      <modifiedWord>－</modifiedWord>
      <trackRevisions>false</trackRevisions>
    </reviewItem>
    <reviewItem>
      <errorID>d401de37-813b-41b2-b71d-61a3cfcd3879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4ED3F5BB</paraID>
      <start>59</start>
      <end>60</end>
      <status>modified</status>
      <modifiedWord>—</modifiedWord>
      <trackRevisions>false</trackRevisions>
    </reviewItem>
    <reviewItem>
      <errorID>d151b299-73da-4d20-9842-6cbafd4086c8</errorID>
      <errorWord>两楼</errorWord>
      <group>L1_Word</group>
      <groupName>字词问题</groupName>
      <ability>L2_Typo</ability>
      <abilityName>字词错误</abilityName>
      <candidateList>
        <item>两场</item>
      </candidateList>
      <explain/>
      <paraID>69E38E54</paraID>
      <start>79</start>
      <end>81</end>
      <status>ignored</status>
      <modifiedWord/>
      <trackRevisions>false</trackRevisions>
    </reviewItem>
    <reviewItem>
      <errorID>f8f7bfbd-644e-4f4e-a248-9ee4ac92310c</errorID>
      <errorWord>文化与旅游</errorWord>
      <group>L1_Word</group>
      <groupName>字词问题</groupName>
      <ability>L2_Typo</ability>
      <abilityName>字词错误</abilityName>
      <candidateList>
        <item>文化和旅游</item>
      </candidateList>
      <explain/>
      <paraID>248B6F30</paraID>
      <start>240</start>
      <end>245</end>
      <status>ignored</status>
      <modifiedWord/>
      <trackRevisions>false</trackRevisions>
    </reviewItem>
    <reviewItem>
      <errorID>0060eed1-bad8-45ff-9d70-2ee3d45eb3c3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78AA3139</paraID>
      <start>46</start>
      <end>47</end>
      <status>modified</status>
      <modifiedWord>—</modifiedWord>
      <trackRevisions>false</trackRevisions>
    </reviewItem>
    <reviewItem>
      <errorID>a6761759-4372-423b-8247-5e8322a5d08a</errorID>
      <errorWord>两楼</errorWord>
      <group>L1_Word</group>
      <groupName>字词问题</groupName>
      <ability>L2_Typo</ability>
      <abilityName>字词错误</abilityName>
      <candidateList>
        <item>两场</item>
      </candidateList>
      <explain/>
      <paraID> CB6E36C</paraID>
      <start>25</start>
      <end>27</end>
      <status>ignored</status>
      <modifiedWord/>
      <trackRevisions>false</trackRevisions>
    </reviewItem>
    <reviewItem>
      <errorID>e2384d4f-58ff-4989-af43-b10b17cfb01a</errorID>
      <errorWord>-</errorWord>
      <group>L1_Format</group>
      <groupName>格式问题</groupName>
      <ability>L2_HalfPunc</ability>
      <abilityName>全半角检查</abilityName>
      <candidateList>
        <item>－</item>
      </candidateList>
      <explain>文本全半角错误。</explain>
      <paraID>108466DF</paraID>
      <start>130</start>
      <end>131</end>
      <status>modified</status>
      <modifiedWord>－</modifiedWord>
      <trackRevisions>false</trackRevisions>
    </reviewItem>
    <reviewItem>
      <errorID>e86e2a83-063e-45be-9058-24b26f7da2ca</errorID>
      <errorWord>-</errorWord>
      <group>L1_Format</group>
      <groupName>格式问题</groupName>
      <ability>L2_HalfPunc</ability>
      <abilityName>全半角检查</abilityName>
      <candidateList>
        <item>－</item>
      </candidateList>
      <explain>文本全半角错误。</explain>
      <paraID>108466DF</paraID>
      <start>135</start>
      <end>136</end>
      <status>modified</status>
      <modifiedWord>－</modifiedWord>
      <trackRevisions>false</trackRevisions>
    </reviewItem>
    <reviewItem>
      <errorID>1c38d1f2-5978-46fc-8e78-30ed869cdbe4</errorID>
      <errorWord>(</errorWord>
      <group>L1_Format</group>
      <groupName>格式问题</groupName>
      <ability>L2_HalfPunc</ability>
      <abilityName>全半角检查</abilityName>
      <candidateList>
        <item>（</item>
      </candidateList>
      <explain>文本全半角错误。</explain>
      <paraID>2770A83C</paraID>
      <start>80</start>
      <end>81</end>
      <status>modified</status>
      <modifiedWord>（</modifiedWord>
      <trackRevisions>false</trackRevisions>
    </reviewItem>
    <reviewItem>
      <errorID>d1fa5674-01af-41a1-b46c-6cca72489428</errorID>
      <errorWord>)</errorWord>
      <group>L1_Format</group>
      <groupName>格式问题</groupName>
      <ability>L2_HalfPunc</ability>
      <abilityName>全半角检查</abilityName>
      <candidateList>
        <item>）</item>
      </candidateList>
      <explain>文本全半角错误。</explain>
      <paraID>2770A83C</paraID>
      <start>84</start>
      <end>85</end>
      <status>modified</status>
      <modifiedWord>）</modifiedWord>
      <trackRevisions>false</trackRevisions>
    </reviewItem>
    <reviewItem>
      <errorID>41eb90c5-0804-4afb-a3b2-f5516dc2fefe</errorID>
      <errorWord>-</errorWord>
      <group>L1_Format</group>
      <groupName>格式问题</groupName>
      <ability>L2_HalfPunc</ability>
      <abilityName>全半角检查</abilityName>
      <candidateList>
        <item>－</item>
      </candidateList>
      <explain>文本全半角错误。</explain>
      <paraID>27F2D440</paraID>
      <start>94</start>
      <end>95</end>
      <status>modified</status>
      <modifiedWord>－</modifiedWord>
      <trackRevisions>false</trackRevisions>
    </reviewItem>
    <reviewItem>
      <errorID>5160d930-3777-428e-9f92-95d3c1d8c9e8</errorID>
      <errorWord>全渠道传播体系</errorWord>
      <group>L1_Political</group>
      <groupName>政治性问题</groupName>
      <ability>L2_Keyword</ability>
      <abilityName>固定表述</abilityName>
      <candidateList>
        <item>全媒体传播体系</item>
      </candidateList>
      <explain>词汇“全媒体传播体系”在特定场景下为固定表述形式，请确认此处的“全渠道传播体系”是否存在不当。</explain>
      <paraID>74A91B7B</paraID>
      <start>54</start>
      <end>61</end>
      <status>ignored</status>
      <modifiedWord/>
      <trackRevisions>false</trackRevisions>
    </reviewItem>
    <reviewItem>
      <errorID>a3d2d8bc-a637-4129-a806-729340771193</errorID>
      <errorWord>-</errorWord>
      <group>L1_Format</group>
      <groupName>格式问题</groupName>
      <ability>L2_HalfPunc</ability>
      <abilityName>全半角检查</abilityName>
      <candidateList>
        <item>－</item>
      </candidateList>
      <explain>文本全半角错误。</explain>
      <paraID>2CCEE961</paraID>
      <start>11</start>
      <end>12</end>
      <status>modified</status>
      <modifiedWord>－</modifiedWord>
      <trackRevisions>false</trackRevisions>
    </reviewItem>
    <reviewItem>
      <errorID>9f8f9bcf-4d27-4ec4-ac2c-bd0058517d74</errorID>
      <errorWord>-</errorWord>
      <group>L1_Format</group>
      <groupName>格式问题</groupName>
      <ability>L2_HalfPunc</ability>
      <abilityName>全半角检查</abilityName>
      <candidateList>
        <item>－</item>
      </candidateList>
      <explain>文本全半角错误。</explain>
      <paraID>18DBF4D3</paraID>
      <start>150</start>
      <end>151</end>
      <status>modified</status>
      <modifiedWord>－</modifiedWord>
      <trackRevisions>false</trackRevisions>
    </reviewItem>
    <reviewItem>
      <errorID>635e350c-1893-4f63-a9f1-d6e0c424edc7</errorID>
      <errorWord>-</errorWord>
      <group>L1_Format</group>
      <groupName>格式问题</groupName>
      <ability>L2_HalfPunc</ability>
      <abilityName>全半角检查</abilityName>
      <candidateList>
        <item>－</item>
      </candidateList>
      <explain>文本全半角错误。</explain>
      <paraID>128092D5</paraID>
      <start>37</start>
      <end>38</end>
      <status>modified</status>
      <modifiedWord>－</modifiedWord>
      <trackRevisions>false</trackRevisions>
    </reviewItem>
    <reviewItem>
      <errorID>50e3d128-bf2a-4818-b741-4896df054dfa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5777EBEE</paraID>
      <start>0</start>
      <end>2</end>
      <status>modified</status>
      <modifiedWord>1.</modifiedWord>
      <trackRevisions>false</trackRevisions>
    </reviewItem>
  </reviewItems>
  <config/>
</contractReview>
</file>

<file path=customXml/itemProps1.xml><?xml version="1.0" encoding="utf-8"?>
<ds:datastoreItem xmlns:ds="http://schemas.openxmlformats.org/officeDocument/2006/customXml" ds:itemID="{5A150ED0-4697-438F-8B35-FB43FF7857F6}">
  <ds:schemaRefs/>
</ds:datastoreItem>
</file>

<file path=customXml/itemProps2.xml><?xml version="1.0" encoding="utf-8"?>
<ds:datastoreItem xmlns:ds="http://schemas.openxmlformats.org/officeDocument/2006/customXml" ds:itemID="{32B5A992-803B-44E9-A517-497207B854F6}">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10162</Words>
  <Characters>10467</Characters>
  <Lines>951</Lines>
  <Paragraphs>687</Paragraphs>
  <TotalTime>14</TotalTime>
  <ScaleCrop>false</ScaleCrop>
  <LinksUpToDate>false</LinksUpToDate>
  <CharactersWithSpaces>19942</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2026-09-28T16:41:00Z</dcterms:created>
  <dc:creator>apple SUn</dc:creator>
  <cp:lastModifiedBy>百香果</cp:lastModifiedBy>
  <cp:lastPrinted>2025-12-12T14:42:00Z</cp:lastPrinted>
  <dcterms:modified xsi:type="dcterms:W3CDTF">2026-10-08T09:28:35Z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901AECE806374C9E9ECAFE6E2A48355F_13</vt:lpwstr>
  </property>
  <property fmtid="{D5CDD505-2E9C-101B-9397-08002B2CF9AE}" pid="4" name="KSOTemplateDocerSaveRecord">
    <vt:lpwstr>eyJoZGlkIjoiODdmMDM1OGVmZjJmODZmOWEwNjViOGIzMGNjODhjMzkiLCJ1c2VySWQiOiIyOTI4NzE5MjgifQ==</vt:lpwstr>
  </property>
</Properties>
</file>