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ind w:left="0" w:leftChars="0" w:firstLine="0" w:firstLineChars="0"/>
        <w:jc w:val="left"/>
        <w:rPr>
          <w:rFonts w:hint="eastAsia" w:ascii="仿宋_GB2312" w:hAnsi="仿宋_GB2312" w:cs="仿宋_GB2312"/>
          <w:spacing w:val="0"/>
          <w:szCs w:val="32"/>
          <w:lang w:val="en-US"/>
        </w:rPr>
      </w:pPr>
      <w:bookmarkStart w:id="0" w:name="_Toc23597"/>
      <w:bookmarkStart w:id="1" w:name="_Toc14361"/>
      <w:bookmarkStart w:id="2" w:name="_Toc30817"/>
      <w:bookmarkStart w:id="3" w:name="_Toc20196"/>
      <w:bookmarkStart w:id="4" w:name="_Toc31871"/>
      <w:bookmarkStart w:id="5" w:name="_Toc22319"/>
      <w:bookmarkStart w:id="6" w:name="_Toc10238"/>
      <w:bookmarkStart w:id="7" w:name="_Toc15795"/>
      <w:bookmarkStart w:id="8" w:name="_Toc24804"/>
      <w:bookmarkStart w:id="9" w:name="_Toc32100"/>
      <w:bookmarkStart w:id="10" w:name="_Toc10837"/>
      <w:bookmarkStart w:id="11" w:name="_Toc15588"/>
      <w:r>
        <w:rPr>
          <w:rFonts w:hint="eastAsia" w:ascii="黑体" w:hAnsi="黑体" w:eastAsia="黑体" w:cs="黑体"/>
          <w:b w:val="0"/>
          <w:bCs w:val="0"/>
          <w:color w:val="auto"/>
          <w:sz w:val="32"/>
          <w:szCs w:val="32"/>
          <w:highlight w:val="none"/>
          <w:lang w:eastAsia="zh-CN"/>
        </w:rPr>
        <w:t>附件</w:t>
      </w:r>
      <w:r>
        <w:rPr>
          <w:rFonts w:hint="eastAsia" w:ascii="黑体" w:hAnsi="黑体" w:eastAsia="黑体" w:cs="黑体"/>
          <w:b w:val="0"/>
          <w:bCs w:val="0"/>
          <w:color w:val="auto"/>
          <w:sz w:val="32"/>
          <w:szCs w:val="32"/>
          <w:highlight w:val="none"/>
          <w:lang w:val="en-US" w:eastAsia="zh-CN"/>
        </w:rPr>
        <w:t>1</w:t>
      </w:r>
    </w:p>
    <w:p>
      <w:pPr>
        <w:jc w:val="center"/>
        <w:rPr>
          <w:rFonts w:hint="eastAsia" w:ascii="仿宋_GB2312" w:hAnsi="仿宋_GB2312" w:cs="仿宋_GB2312"/>
          <w:spacing w:val="0"/>
          <w:szCs w:val="32"/>
        </w:rPr>
      </w:pPr>
    </w:p>
    <w:p>
      <w:pPr>
        <w:jc w:val="center"/>
        <w:rPr>
          <w:rFonts w:hint="eastAsia" w:ascii="仿宋_GB2312" w:hAnsi="仿宋_GB2312" w:cs="仿宋_GB2312"/>
          <w:spacing w:val="0"/>
          <w:szCs w:val="32"/>
        </w:rPr>
      </w:pPr>
    </w:p>
    <w:p>
      <w:pPr>
        <w:pStyle w:val="2"/>
        <w:rPr>
          <w:rFonts w:hint="eastAsia"/>
        </w:rPr>
      </w:pPr>
      <w:bookmarkStart w:id="12" w:name="_Toc14264"/>
      <w:bookmarkStart w:id="13" w:name="_Toc27937"/>
      <w:bookmarkStart w:id="14" w:name="_Toc13619"/>
      <w:bookmarkStart w:id="15" w:name="_Toc18474"/>
      <w:bookmarkStart w:id="16" w:name="_Toc8359"/>
      <w:bookmarkStart w:id="17" w:name="_Toc17466"/>
      <w:bookmarkStart w:id="18" w:name="_Toc10471"/>
      <w:bookmarkStart w:id="19" w:name="_Toc202868222"/>
      <w:bookmarkStart w:id="20" w:name="_Toc19831"/>
      <w:bookmarkStart w:id="21" w:name="_Toc202878899"/>
      <w:bookmarkStart w:id="22" w:name="_Toc15752"/>
      <w:bookmarkStart w:id="23" w:name="_Toc196838247"/>
      <w:bookmarkStart w:id="24" w:name="_Toc202866606"/>
      <w:bookmarkStart w:id="25" w:name="_Hlk204070279"/>
      <w:bookmarkStart w:id="26" w:name="_Hlk206154172"/>
      <w:r>
        <w:rPr>
          <w:rFonts w:hint="eastAsia"/>
        </w:rPr>
        <w:t>延庆区“十五五”时期城乡建设发展规划</w:t>
      </w:r>
      <w:bookmarkEnd w:id="12"/>
      <w:bookmarkEnd w:id="13"/>
      <w:bookmarkEnd w:id="14"/>
      <w:bookmarkEnd w:id="15"/>
      <w:bookmarkEnd w:id="16"/>
      <w:bookmarkEnd w:id="17"/>
      <w:bookmarkEnd w:id="18"/>
      <w:bookmarkEnd w:id="19"/>
      <w:bookmarkEnd w:id="20"/>
      <w:bookmarkEnd w:id="21"/>
      <w:bookmarkEnd w:id="22"/>
      <w:bookmarkEnd w:id="23"/>
      <w:bookmarkEnd w:id="24"/>
    </w:p>
    <w:bookmarkEnd w:id="0"/>
    <w:bookmarkEnd w:id="1"/>
    <w:bookmarkEnd w:id="2"/>
    <w:bookmarkEnd w:id="3"/>
    <w:bookmarkEnd w:id="4"/>
    <w:bookmarkEnd w:id="5"/>
    <w:bookmarkEnd w:id="6"/>
    <w:bookmarkEnd w:id="7"/>
    <w:bookmarkEnd w:id="8"/>
    <w:bookmarkEnd w:id="9"/>
    <w:bookmarkEnd w:id="10"/>
    <w:bookmarkEnd w:id="11"/>
    <w:bookmarkEnd w:id="25"/>
    <w:bookmarkEnd w:id="26"/>
    <w:p>
      <w:pPr>
        <w:pStyle w:val="27"/>
        <w:rPr>
          <w:rFonts w:hint="eastAsia"/>
        </w:rPr>
      </w:pPr>
      <w:bookmarkStart w:id="27" w:name="_Toc4715"/>
      <w:bookmarkStart w:id="28" w:name="_Toc7925"/>
      <w:bookmarkStart w:id="29" w:name="_Toc26179"/>
      <w:bookmarkStart w:id="30" w:name="_Toc8038"/>
      <w:bookmarkStart w:id="31" w:name="_Toc9768"/>
      <w:bookmarkStart w:id="32" w:name="_Toc7702"/>
      <w:bookmarkStart w:id="33" w:name="_Toc12828"/>
      <w:bookmarkStart w:id="34" w:name="_Toc456"/>
      <w:r>
        <w:rPr>
          <w:rFonts w:hint="eastAsia" w:ascii="方正小标宋简体" w:hAnsi="方正小标宋简体" w:eastAsia="方正小标宋简体" w:cs="方正小标宋简体"/>
          <w:kern w:val="0"/>
          <w:sz w:val="44"/>
          <w:szCs w:val="44"/>
          <w:highlight w:val="none"/>
        </w:rPr>
        <w:t>（20</w:t>
      </w:r>
      <w:r>
        <w:rPr>
          <w:rFonts w:hint="eastAsia" w:ascii="方正小标宋简体" w:hAnsi="方正小标宋简体" w:eastAsia="方正小标宋简体" w:cs="方正小标宋简体"/>
          <w:kern w:val="0"/>
          <w:sz w:val="44"/>
          <w:szCs w:val="44"/>
          <w:highlight w:val="none"/>
          <w:lang w:val="en-US" w:eastAsia="zh-CN"/>
        </w:rPr>
        <w:t>26</w:t>
      </w:r>
      <w:r>
        <w:rPr>
          <w:rFonts w:hint="eastAsia" w:ascii="方正小标宋简体" w:hAnsi="方正小标宋简体" w:eastAsia="方正小标宋简体" w:cs="方正小标宋简体"/>
          <w:kern w:val="0"/>
          <w:sz w:val="44"/>
          <w:szCs w:val="44"/>
          <w:highlight w:val="none"/>
        </w:rPr>
        <w:t>年—203</w:t>
      </w:r>
      <w:r>
        <w:rPr>
          <w:rFonts w:hint="eastAsia" w:ascii="方正小标宋简体" w:hAnsi="方正小标宋简体" w:eastAsia="方正小标宋简体" w:cs="方正小标宋简体"/>
          <w:kern w:val="0"/>
          <w:sz w:val="44"/>
          <w:szCs w:val="44"/>
          <w:highlight w:val="none"/>
          <w:lang w:val="en-US" w:eastAsia="zh-CN"/>
        </w:rPr>
        <w:t>0</w:t>
      </w:r>
      <w:r>
        <w:rPr>
          <w:rFonts w:hint="eastAsia" w:ascii="方正小标宋简体" w:hAnsi="方正小标宋简体" w:eastAsia="方正小标宋简体" w:cs="方正小标宋简体"/>
          <w:kern w:val="0"/>
          <w:sz w:val="44"/>
          <w:szCs w:val="44"/>
          <w:highlight w:val="none"/>
        </w:rPr>
        <w:t>年）</w:t>
      </w:r>
    </w:p>
    <w:p>
      <w:pPr>
        <w:ind w:firstLine="0" w:firstLineChars="0"/>
        <w:jc w:val="center"/>
        <w:rPr>
          <w:rFonts w:hint="eastAsia" w:ascii="方正小标宋简体" w:hAnsi="方正小标宋简体" w:eastAsia="方正小标宋简体" w:cs="方正小标宋简体"/>
          <w:spacing w:val="0"/>
          <w:sz w:val="44"/>
          <w:szCs w:val="44"/>
        </w:rPr>
      </w:pPr>
    </w:p>
    <w:p>
      <w:pPr>
        <w:ind w:firstLine="0" w:firstLineChars="0"/>
        <w:jc w:val="center"/>
        <w:rPr>
          <w:rFonts w:hint="eastAsia" w:ascii="方正小标宋简体" w:hAnsi="方正小标宋简体" w:eastAsia="方正小标宋简体" w:cs="方正小标宋简体"/>
          <w:spacing w:val="0"/>
          <w:sz w:val="44"/>
          <w:szCs w:val="44"/>
        </w:rPr>
      </w:pPr>
    </w:p>
    <w:p>
      <w:pPr>
        <w:ind w:firstLine="0" w:firstLineChars="0"/>
        <w:jc w:val="center"/>
        <w:rPr>
          <w:rFonts w:hint="eastAsia" w:ascii="方正小标宋简体" w:hAnsi="方正小标宋简体" w:eastAsia="方正小标宋简体" w:cs="方正小标宋简体"/>
          <w:spacing w:val="0"/>
          <w:sz w:val="44"/>
          <w:szCs w:val="44"/>
        </w:rPr>
      </w:pPr>
      <w:bookmarkStart w:id="902" w:name="_GoBack"/>
      <w:bookmarkEnd w:id="902"/>
    </w:p>
    <w:p>
      <w:pPr>
        <w:ind w:firstLine="0" w:firstLineChars="0"/>
        <w:jc w:val="center"/>
        <w:rPr>
          <w:rFonts w:hint="eastAsia" w:ascii="方正小标宋简体" w:hAnsi="方正小标宋简体" w:eastAsia="方正小标宋简体" w:cs="方正小标宋简体"/>
          <w:spacing w:val="0"/>
          <w:sz w:val="44"/>
          <w:szCs w:val="44"/>
        </w:rPr>
      </w:pPr>
    </w:p>
    <w:p>
      <w:pPr>
        <w:ind w:firstLine="0" w:firstLineChars="0"/>
        <w:jc w:val="center"/>
        <w:rPr>
          <w:rFonts w:hint="eastAsia" w:ascii="方正小标宋简体" w:hAnsi="方正小标宋简体" w:eastAsia="方正小标宋简体" w:cs="方正小标宋简体"/>
          <w:spacing w:val="0"/>
          <w:sz w:val="44"/>
          <w:szCs w:val="44"/>
        </w:rPr>
      </w:pPr>
    </w:p>
    <w:p>
      <w:pPr>
        <w:ind w:firstLine="0" w:firstLineChars="0"/>
        <w:jc w:val="center"/>
        <w:rPr>
          <w:rFonts w:hint="eastAsia" w:ascii="方正小标宋简体" w:hAnsi="方正小标宋简体" w:eastAsia="方正小标宋简体" w:cs="方正小标宋简体"/>
          <w:spacing w:val="0"/>
          <w:sz w:val="44"/>
          <w:szCs w:val="44"/>
        </w:rPr>
      </w:pPr>
    </w:p>
    <w:p>
      <w:pPr>
        <w:ind w:firstLine="0" w:firstLineChars="0"/>
        <w:jc w:val="center"/>
        <w:rPr>
          <w:rFonts w:hint="eastAsia" w:ascii="方正小标宋简体" w:hAnsi="方正小标宋简体" w:eastAsia="方正小标宋简体" w:cs="方正小标宋简体"/>
          <w:spacing w:val="0"/>
          <w:sz w:val="44"/>
          <w:szCs w:val="44"/>
        </w:rPr>
      </w:pPr>
    </w:p>
    <w:p>
      <w:pPr>
        <w:ind w:firstLine="0" w:firstLineChars="0"/>
        <w:jc w:val="center"/>
        <w:rPr>
          <w:rFonts w:hint="eastAsia" w:ascii="方正小标宋简体" w:hAnsi="方正小标宋简体" w:eastAsia="方正小标宋简体" w:cs="方正小标宋简体"/>
          <w:spacing w:val="0"/>
          <w:sz w:val="44"/>
          <w:szCs w:val="44"/>
        </w:rPr>
      </w:pPr>
    </w:p>
    <w:p>
      <w:pPr>
        <w:ind w:firstLine="0" w:firstLineChars="0"/>
        <w:jc w:val="center"/>
        <w:rPr>
          <w:rFonts w:hint="eastAsia" w:ascii="方正小标宋简体" w:hAnsi="方正小标宋简体" w:eastAsia="方正小标宋简体" w:cs="方正小标宋简体"/>
          <w:spacing w:val="0"/>
          <w:sz w:val="44"/>
          <w:szCs w:val="44"/>
        </w:rPr>
      </w:pPr>
    </w:p>
    <w:p>
      <w:pPr>
        <w:ind w:firstLine="0" w:firstLineChars="0"/>
        <w:jc w:val="center"/>
        <w:rPr>
          <w:rFonts w:hint="eastAsia" w:ascii="方正小标宋简体" w:hAnsi="方正小标宋简体" w:eastAsia="方正小标宋简体" w:cs="方正小标宋简体"/>
          <w:spacing w:val="0"/>
          <w:sz w:val="44"/>
          <w:szCs w:val="44"/>
        </w:rPr>
      </w:pPr>
    </w:p>
    <w:p>
      <w:pPr>
        <w:ind w:firstLine="0" w:firstLineChars="0"/>
        <w:jc w:val="center"/>
        <w:rPr>
          <w:rFonts w:hint="eastAsia" w:ascii="方正小标宋简体" w:hAnsi="方正小标宋简体" w:eastAsia="方正小标宋简体" w:cs="方正小标宋简体"/>
          <w:spacing w:val="0"/>
          <w:sz w:val="44"/>
          <w:szCs w:val="44"/>
        </w:rPr>
      </w:pPr>
    </w:p>
    <w:p>
      <w:pPr>
        <w:ind w:firstLine="0" w:firstLineChars="0"/>
        <w:jc w:val="center"/>
        <w:rPr>
          <w:rFonts w:hint="eastAsia" w:ascii="方正小标宋简体" w:hAnsi="方正小标宋简体" w:eastAsia="方正小标宋简体" w:cs="方正小标宋简体"/>
          <w:spacing w:val="0"/>
          <w:sz w:val="44"/>
          <w:szCs w:val="44"/>
        </w:rPr>
      </w:pPr>
    </w:p>
    <w:p>
      <w:pPr>
        <w:ind w:firstLine="0" w:firstLineChars="0"/>
        <w:jc w:val="center"/>
        <w:rPr>
          <w:rFonts w:hint="eastAsia" w:ascii="楷体_GB2312" w:hAnsi="楷体_GB2312" w:eastAsia="楷体_GB2312" w:cs="楷体_GB2312"/>
          <w:spacing w:val="0"/>
          <w:szCs w:val="32"/>
        </w:rPr>
      </w:pPr>
      <w:bookmarkStart w:id="35" w:name="_Toc32028"/>
      <w:r>
        <w:rPr>
          <w:rFonts w:hint="eastAsia" w:ascii="楷体_GB2312" w:hAnsi="楷体_GB2312" w:eastAsia="楷体_GB2312" w:cs="楷体_GB2312"/>
          <w:spacing w:val="0"/>
          <w:szCs w:val="32"/>
        </w:rPr>
        <w:t>北京市规划和自然资源委员会延庆分局</w:t>
      </w:r>
    </w:p>
    <w:p>
      <w:pPr>
        <w:ind w:firstLine="0" w:firstLineChars="0"/>
        <w:jc w:val="center"/>
        <w:rPr>
          <w:rFonts w:hint="eastAsia" w:ascii="楷体_GB2312" w:hAnsi="楷体_GB2312" w:eastAsia="楷体_GB2312" w:cs="楷体_GB2312"/>
          <w:spacing w:val="0"/>
          <w:szCs w:val="32"/>
        </w:rPr>
      </w:pPr>
      <w:r>
        <w:rPr>
          <w:rFonts w:hint="eastAsia" w:ascii="楷体_GB2312" w:hAnsi="楷体_GB2312" w:eastAsia="楷体_GB2312" w:cs="楷体_GB2312"/>
          <w:spacing w:val="0"/>
          <w:szCs w:val="32"/>
        </w:rPr>
        <w:t>北京市延庆区住房和城乡建设委员会</w:t>
      </w:r>
    </w:p>
    <w:bookmarkEnd w:id="35"/>
    <w:p>
      <w:pPr>
        <w:ind w:firstLine="0" w:firstLineChars="0"/>
        <w:jc w:val="center"/>
        <w:rPr>
          <w:rFonts w:hint="eastAsia" w:ascii="楷体_GB2312" w:hAnsi="楷体_GB2312" w:eastAsia="楷体_GB2312" w:cs="楷体_GB2312"/>
          <w:spacing w:val="0"/>
          <w:szCs w:val="32"/>
        </w:rPr>
      </w:pPr>
      <w:bookmarkStart w:id="36" w:name="_Toc1373"/>
      <w:bookmarkStart w:id="37" w:name="_Toc508018033"/>
      <w:r>
        <w:rPr>
          <w:rFonts w:hint="eastAsia" w:ascii="楷体_GB2312" w:hAnsi="楷体_GB2312" w:eastAsia="楷体_GB2312" w:cs="楷体_GB2312"/>
          <w:spacing w:val="0"/>
          <w:szCs w:val="32"/>
        </w:rPr>
        <w:t>二〇二六年九月</w:t>
      </w:r>
      <w:bookmarkEnd w:id="36"/>
      <w:bookmarkEnd w:id="37"/>
    </w:p>
    <w:p>
      <w:pPr>
        <w:ind w:firstLine="0" w:firstLineChars="0"/>
        <w:jc w:val="center"/>
        <w:rPr>
          <w:rFonts w:hint="eastAsia" w:ascii="方正小标宋简体" w:hAnsi="方正小标宋简体" w:eastAsia="方正小标宋简体" w:cs="方正小标宋简体"/>
          <w:spacing w:val="0"/>
          <w:sz w:val="44"/>
          <w:szCs w:val="44"/>
        </w:rPr>
        <w:sectPr>
          <w:headerReference r:id="rId6" w:type="first"/>
          <w:footerReference r:id="rId9" w:type="first"/>
          <w:headerReference r:id="rId4" w:type="default"/>
          <w:footerReference r:id="rId7" w:type="default"/>
          <w:headerReference r:id="rId5" w:type="even"/>
          <w:footerReference r:id="rId8" w:type="even"/>
          <w:pgSz w:w="11906" w:h="16838"/>
          <w:pgMar w:top="2098" w:right="1474" w:bottom="1984" w:left="1587" w:header="851" w:footer="992" w:gutter="0"/>
          <w:pgNumType w:start="1"/>
          <w:cols w:space="720" w:num="1"/>
          <w:docGrid w:type="lines" w:linePitch="312" w:charSpace="0"/>
        </w:sectPr>
      </w:pPr>
    </w:p>
    <w:p>
      <w:pPr>
        <w:ind w:firstLine="0" w:firstLineChars="0"/>
        <w:jc w:val="center"/>
        <w:outlineLvl w:val="0"/>
        <w:rPr>
          <w:rFonts w:hint="eastAsia" w:ascii="方正小标宋简体" w:hAnsi="方正小标宋简体" w:eastAsia="方正小标宋简体" w:cs="方正小标宋简体"/>
          <w:spacing w:val="0"/>
          <w:sz w:val="36"/>
          <w:szCs w:val="36"/>
        </w:rPr>
      </w:pPr>
      <w:bookmarkStart w:id="38" w:name="_Toc11402"/>
      <w:bookmarkStart w:id="39" w:name="_Toc24366"/>
      <w:bookmarkStart w:id="40" w:name="_Toc17955"/>
      <w:bookmarkStart w:id="41" w:name="_Toc21509"/>
      <w:bookmarkStart w:id="42" w:name="_Toc28366"/>
      <w:bookmarkStart w:id="43" w:name="_Toc8518"/>
      <w:bookmarkStart w:id="44" w:name="_Toc12302"/>
      <w:bookmarkStart w:id="45" w:name="_Toc12004"/>
      <w:bookmarkStart w:id="46" w:name="_Toc8296"/>
      <w:bookmarkStart w:id="47" w:name="_Toc1993950902"/>
      <w:bookmarkStart w:id="48" w:name="_Toc17662"/>
      <w:bookmarkStart w:id="49" w:name="_Toc3929"/>
      <w:bookmarkStart w:id="50" w:name="_Toc30693"/>
      <w:bookmarkStart w:id="51" w:name="_Toc8422"/>
      <w:bookmarkStart w:id="52" w:name="_Toc1123"/>
      <w:bookmarkStart w:id="53" w:name="_Toc113454954"/>
      <w:bookmarkStart w:id="54" w:name="_Toc1109400674"/>
      <w:bookmarkStart w:id="55" w:name="_Toc746533459"/>
      <w:bookmarkStart w:id="56" w:name="_Toc23836"/>
      <w:bookmarkStart w:id="57" w:name="_Toc14512"/>
      <w:bookmarkStart w:id="58" w:name="_Toc17189"/>
      <w:bookmarkStart w:id="59" w:name="_Toc24399"/>
      <w:bookmarkStart w:id="60" w:name="_Toc10199"/>
      <w:bookmarkStart w:id="61" w:name="_Toc28947"/>
      <w:bookmarkStart w:id="62" w:name="_Toc14663"/>
      <w:bookmarkStart w:id="63" w:name="_Toc24245"/>
      <w:bookmarkStart w:id="64" w:name="_Toc12650"/>
      <w:bookmarkStart w:id="65" w:name="_Toc24026"/>
      <w:bookmarkStart w:id="66" w:name="_Toc27450"/>
      <w:bookmarkStart w:id="67" w:name="_Toc7092"/>
      <w:bookmarkStart w:id="68" w:name="_Toc2258"/>
      <w:bookmarkStart w:id="69" w:name="_Toc27656"/>
      <w:bookmarkStart w:id="70" w:name="_Toc30163"/>
      <w:bookmarkStart w:id="71" w:name="_Toc28570"/>
      <w:bookmarkStart w:id="72" w:name="_Toc642237189"/>
      <w:bookmarkStart w:id="73" w:name="_Toc16098"/>
      <w:bookmarkStart w:id="74" w:name="_Toc12071"/>
      <w:bookmarkStart w:id="75" w:name="_Toc22104"/>
      <w:bookmarkStart w:id="76" w:name="_Toc26325"/>
      <w:bookmarkStart w:id="77" w:name="_Toc1610"/>
      <w:bookmarkStart w:id="78" w:name="_Toc23026"/>
      <w:bookmarkStart w:id="79" w:name="_Toc30297"/>
      <w:bookmarkStart w:id="80" w:name="_Toc21257"/>
      <w:bookmarkStart w:id="81" w:name="_Toc1483"/>
      <w:bookmarkStart w:id="82" w:name="_Toc17730"/>
      <w:bookmarkStart w:id="83" w:name="_Toc10059"/>
      <w:bookmarkStart w:id="84" w:name="_Toc15600"/>
      <w:bookmarkStart w:id="85" w:name="_Toc5709"/>
      <w:bookmarkStart w:id="86" w:name="_Toc6741"/>
      <w:bookmarkStart w:id="87" w:name="_Toc14691"/>
      <w:bookmarkStart w:id="88" w:name="_Toc5664"/>
      <w:bookmarkStart w:id="89" w:name="_Toc11413"/>
      <w:bookmarkStart w:id="90" w:name="_Toc16515"/>
      <w:bookmarkStart w:id="91" w:name="_Toc15971"/>
      <w:bookmarkStart w:id="92" w:name="_Toc20605"/>
      <w:r>
        <w:rPr>
          <w:rFonts w:hint="eastAsia" w:ascii="方正小标宋简体" w:hAnsi="方正小标宋简体" w:eastAsia="方正小标宋简体" w:cs="方正小标宋简体"/>
          <w:spacing w:val="0"/>
          <w:sz w:val="36"/>
          <w:szCs w:val="36"/>
        </w:rPr>
        <w:t>序  言</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spacing w:line="240" w:lineRule="auto"/>
        <w:ind w:firstLine="0" w:firstLineChars="0"/>
        <w:rPr>
          <w:rFonts w:hint="eastAsia" w:ascii="宋体" w:hAnsi="宋体" w:eastAsia="宋体" w:cs="宋体"/>
          <w:spacing w:val="0"/>
          <w:sz w:val="21"/>
          <w:szCs w:val="21"/>
        </w:rPr>
      </w:pPr>
    </w:p>
    <w:p>
      <w:pPr>
        <w:rPr>
          <w:rFonts w:hint="eastAsia" w:ascii="仿宋_GB2312" w:hAnsi="仿宋_GB2312" w:cs="仿宋_GB2312"/>
          <w:spacing w:val="0"/>
          <w:szCs w:val="32"/>
        </w:rPr>
      </w:pPr>
      <w:r>
        <w:rPr>
          <w:rFonts w:hint="eastAsia" w:ascii="仿宋_GB2312" w:hAnsi="仿宋_GB2312" w:cs="仿宋_GB2312"/>
          <w:spacing w:val="0"/>
          <w:szCs w:val="32"/>
        </w:rPr>
        <w:t>延庆区是北京生态涵养区的重要组成部分，是保障首都可持续发展的关键区域。一切工作必须坚持落实总体规划确定的城市功能定位，围绕国际一流的生态文明示范区建设，打造首都西北部重要生态保育及区域生态治理协作区、生态文明示范区、国际文化体育旅游休闲名区和京西北科技创新特色发展区。</w:t>
      </w:r>
    </w:p>
    <w:p>
      <w:pPr>
        <w:rPr>
          <w:rFonts w:hint="eastAsia" w:ascii="仿宋_GB2312" w:hAnsi="仿宋_GB2312" w:cs="仿宋_GB2312"/>
          <w:spacing w:val="0"/>
          <w:szCs w:val="32"/>
        </w:rPr>
      </w:pPr>
      <w:r>
        <w:rPr>
          <w:rFonts w:hint="eastAsia" w:ascii="仿宋_GB2312" w:hAnsi="仿宋_GB2312" w:cs="仿宋_GB2312"/>
          <w:spacing w:val="0"/>
          <w:szCs w:val="32"/>
        </w:rPr>
        <w:t>“十五五”时期是基本实现社会主义现代化夯实基础、全面发力的关键时期，是应对百年未有之大变局的战略规划期，是北京落实首都城市战略定位、率先基本实现社会主义现代化的重要窗口期，也是延庆区在“十四五”发展成效基础上，积极融入京津冀协同发展战略布局和新时代首都发展大局，奋力推进全面建设生态文明幸福的最美冬奥城和推动地区高质量绿色发展，以更高标准推进生态文明示范区建设、城乡融合发展纵深突破、重点领域改革持续深化、城乡建设减量提质增效的关键时期。</w:t>
      </w:r>
    </w:p>
    <w:p>
      <w:pPr>
        <w:rPr>
          <w:rFonts w:hint="eastAsia" w:ascii="仿宋_GB2312" w:hAnsi="仿宋_GB2312" w:cs="仿宋_GB2312"/>
          <w:spacing w:val="0"/>
          <w:szCs w:val="32"/>
        </w:rPr>
      </w:pPr>
      <w:r>
        <w:rPr>
          <w:rFonts w:hint="eastAsia" w:ascii="仿宋_GB2312" w:hAnsi="仿宋_GB2312" w:cs="仿宋_GB2312"/>
          <w:spacing w:val="0"/>
          <w:szCs w:val="32"/>
        </w:rPr>
        <w:t>本次规划坚持世界眼光、延庆特色，强调战略性、引领性、落地性，突出绿色低碳、集约高效、创新提质、特色发展、统筹协调，着力建设创新、宜居、美丽、韧性、文明、智慧的现代化人民城市，在深入分析“十四五”时期城乡建设发展成效、发展问题，研判未来五年发展新形势及挑战的基础上，提出了总体构想、发展目标、主要任务和工作措施，主要阐明区委、区政府战略意图，明确“十五五”时期全区在城乡建设领域发展的目标路径和重点任务，奋力推动全面建设最美冬奥城和地区高质量绿色发展再上新台阶，确保基本实现社会主义现代化取得决定性进展。</w:t>
      </w:r>
    </w:p>
    <w:p>
      <w:pPr>
        <w:rPr>
          <w:rFonts w:hint="eastAsia" w:ascii="仿宋_GB2312" w:hAnsi="仿宋_GB2312" w:cs="仿宋_GB2312"/>
          <w:spacing w:val="0"/>
          <w:szCs w:val="32"/>
        </w:rPr>
      </w:pPr>
      <w:r>
        <w:rPr>
          <w:rFonts w:hint="eastAsia" w:ascii="仿宋_GB2312" w:hAnsi="仿宋_GB2312" w:cs="仿宋_GB2312"/>
          <w:spacing w:val="0"/>
          <w:szCs w:val="32"/>
        </w:rPr>
        <w:t>本次规划期限为2026年至2030年，规划主要依据《北京城市总体规划（2016年—2035年）》《北京市国民经济和社会发展第十五个五年规划和二〇三五年远景目标纲要》《延庆分区规划（国土空间规划）（2017年—2035年）》《延庆区国民经济和社会发展第十五个五年规划和二〇三五年远景目标纲要》《延庆区绿色低碳美丽城市建设方案（2024年—2035年）》《延庆分区规划实施评估报告（2020年—2024年）》、延庆区各乡镇国土空间规划等文件编制。</w:t>
      </w:r>
    </w:p>
    <w:p>
      <w:pPr>
        <w:rPr>
          <w:rFonts w:hint="eastAsia" w:ascii="仿宋_GB2312" w:hAnsi="仿宋_GB2312" w:cs="仿宋_GB2312"/>
          <w:spacing w:val="0"/>
          <w:szCs w:val="32"/>
        </w:rPr>
        <w:sectPr>
          <w:pgSz w:w="11906" w:h="16838"/>
          <w:pgMar w:top="2098" w:right="1474" w:bottom="1984" w:left="1587" w:header="851" w:footer="992" w:gutter="0"/>
          <w:cols w:space="720" w:num="1"/>
          <w:docGrid w:type="lines" w:linePitch="312" w:charSpace="0"/>
        </w:sectPr>
      </w:pPr>
      <w:bookmarkStart w:id="93" w:name="_Toc204691158"/>
    </w:p>
    <w:p>
      <w:pPr>
        <w:tabs>
          <w:tab w:val="right" w:leader="dot" w:pos="8306"/>
        </w:tabs>
        <w:ind w:firstLine="0" w:firstLineChars="0"/>
        <w:jc w:val="center"/>
        <w:rPr>
          <w:rFonts w:hint="eastAsia" w:ascii="方正小标宋简体" w:hAnsi="方正小标宋简体" w:eastAsia="方正小标宋简体" w:cs="方正小标宋简体"/>
          <w:spacing w:val="0"/>
          <w:sz w:val="36"/>
          <w:szCs w:val="36"/>
        </w:rPr>
      </w:pPr>
      <w:r>
        <w:rPr>
          <w:rFonts w:hint="eastAsia" w:ascii="方正小标宋简体" w:hAnsi="方正小标宋简体" w:eastAsia="方正小标宋简体" w:cs="方正小标宋简体"/>
          <w:spacing w:val="0"/>
          <w:sz w:val="36"/>
          <w:szCs w:val="36"/>
        </w:rPr>
        <w:t>目  录</w:t>
      </w:r>
    </w:p>
    <w:p>
      <w:pPr>
        <w:pStyle w:val="19"/>
        <w:rPr>
          <w:spacing w:val="-6"/>
        </w:rPr>
      </w:pPr>
      <w:r>
        <w:rPr>
          <w:spacing w:val="-6"/>
        </w:rPr>
        <w:fldChar w:fldCharType="begin"/>
      </w:r>
      <w:r>
        <w:rPr>
          <w:spacing w:val="-6"/>
        </w:rPr>
        <w:instrText xml:space="preserve">TOC \o "1-2" \h \u </w:instrText>
      </w:r>
      <w:r>
        <w:rPr>
          <w:spacing w:val="-6"/>
        </w:rPr>
        <w:fldChar w:fldCharType="separate"/>
      </w:r>
    </w:p>
    <w:p>
      <w:pPr>
        <w:pStyle w:val="19"/>
        <w:rPr>
          <w:spacing w:val="-6"/>
        </w:rPr>
      </w:pPr>
      <w:r>
        <w:rPr>
          <w:spacing w:val="-6"/>
        </w:rPr>
        <w:fldChar w:fldCharType="begin"/>
      </w:r>
      <w:r>
        <w:rPr>
          <w:spacing w:val="-6"/>
        </w:rPr>
        <w:instrText xml:space="preserve"> HYPERLINK \l "_Toc1913" </w:instrText>
      </w:r>
      <w:r>
        <w:rPr>
          <w:spacing w:val="-6"/>
        </w:rPr>
        <w:fldChar w:fldCharType="separate"/>
      </w:r>
      <w:r>
        <w:rPr>
          <w:rFonts w:hint="eastAsia"/>
          <w:spacing w:val="-6"/>
        </w:rPr>
        <w:t>第一章 “十四五”时期城乡建设发展基础</w:t>
      </w:r>
      <w:r>
        <w:rPr>
          <w:spacing w:val="-6"/>
        </w:rPr>
        <w:tab/>
      </w:r>
      <w:r>
        <w:rPr>
          <w:spacing w:val="-6"/>
        </w:rPr>
        <w:fldChar w:fldCharType="begin"/>
      </w:r>
      <w:r>
        <w:rPr>
          <w:spacing w:val="-6"/>
        </w:rPr>
        <w:instrText xml:space="preserve"> PAGEREF _Toc1913 \h </w:instrText>
      </w:r>
      <w:r>
        <w:rPr>
          <w:spacing w:val="-6"/>
        </w:rPr>
        <w:fldChar w:fldCharType="separate"/>
      </w:r>
      <w:r>
        <w:rPr>
          <w:spacing w:val="-6"/>
        </w:rPr>
        <w:t>1</w:t>
      </w:r>
      <w:r>
        <w:rPr>
          <w:spacing w:val="-6"/>
        </w:rPr>
        <w:fldChar w:fldCharType="end"/>
      </w:r>
      <w:r>
        <w:rPr>
          <w:spacing w:val="-6"/>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"_Toc30691" </w:instrText>
      </w:r>
      <w:r>
        <w:rPr>
          <w:spacing w:val="-6"/>
        </w:rPr>
        <w:fldChar w:fldCharType="separate"/>
      </w:r>
      <w:r>
        <w:rPr>
          <w:rFonts w:hint="eastAsia" w:ascii="楷体_GB2312" w:hAnsi="楷体_GB2312" w:eastAsia="楷体_GB2312" w:cs="楷体_GB2312"/>
          <w:bCs/>
          <w:spacing w:val="-6"/>
          <w:sz w:val="32"/>
          <w:szCs w:val="32"/>
        </w:rPr>
        <w:t>一、</w:t>
      </w:r>
      <w:r>
        <w:rPr>
          <w:rFonts w:hint="eastAsia" w:ascii="楷体_GB2312" w:hAnsi="楷体_GB2312" w:eastAsia="楷体_GB2312" w:cs="楷体_GB2312"/>
          <w:spacing w:val="-6"/>
          <w:sz w:val="32"/>
          <w:szCs w:val="32"/>
        </w:rPr>
        <w:t>主要成就</w:t>
      </w:r>
      <w:r>
        <w:rPr>
          <w:spacing w:val="-6"/>
          <w:sz w:val="32"/>
          <w:szCs w:val="32"/>
        </w:rPr>
        <w:tab/>
      </w:r>
      <w:r>
        <w:rPr>
          <w:spacing w:val="-6"/>
          <w:sz w:val="32"/>
          <w:szCs w:val="32"/>
        </w:rPr>
        <w:fldChar w:fldCharType="begin"/>
      </w:r>
      <w:r>
        <w:rPr>
          <w:spacing w:val="-6"/>
          <w:sz w:val="32"/>
          <w:szCs w:val="32"/>
        </w:rPr>
        <w:instrText xml:space="preserve"> PAGEREF _Toc30691 \h </w:instrText>
      </w:r>
      <w:r>
        <w:rPr>
          <w:spacing w:val="-6"/>
          <w:sz w:val="32"/>
          <w:szCs w:val="32"/>
        </w:rPr>
        <w:fldChar w:fldCharType="separate"/>
      </w:r>
      <w:r>
        <w:rPr>
          <w:spacing w:val="-6"/>
          <w:sz w:val="32"/>
          <w:szCs w:val="32"/>
        </w:rPr>
        <w:t>1</w:t>
      </w:r>
      <w:r>
        <w:rPr>
          <w:spacing w:val="-6"/>
          <w:sz w:val="32"/>
          <w:szCs w:val="32"/>
        </w:rPr>
        <w:fldChar w:fldCharType="end"/>
      </w:r>
      <w:r>
        <w:rPr>
          <w:spacing w:val="-6"/>
          <w:sz w:val="32"/>
          <w:szCs w:val="32"/>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"_Toc26774" </w:instrText>
      </w:r>
      <w:r>
        <w:rPr>
          <w:spacing w:val="-6"/>
        </w:rPr>
        <w:fldChar w:fldCharType="separate"/>
      </w:r>
      <w:r>
        <w:rPr>
          <w:rFonts w:hint="eastAsia" w:ascii="楷体_GB2312" w:hAnsi="楷体_GB2312" w:eastAsia="楷体_GB2312" w:cs="楷体_GB2312"/>
          <w:bCs/>
          <w:spacing w:val="-6"/>
          <w:sz w:val="32"/>
          <w:szCs w:val="32"/>
        </w:rPr>
        <w:t>二、</w:t>
      </w:r>
      <w:r>
        <w:rPr>
          <w:rFonts w:hint="eastAsia" w:ascii="楷体_GB2312" w:hAnsi="楷体_GB2312" w:eastAsia="楷体_GB2312" w:cs="楷体_GB2312"/>
          <w:spacing w:val="-6"/>
          <w:sz w:val="32"/>
          <w:szCs w:val="32"/>
        </w:rPr>
        <w:t>存在问题</w:t>
      </w:r>
      <w:r>
        <w:rPr>
          <w:spacing w:val="-6"/>
          <w:sz w:val="32"/>
          <w:szCs w:val="32"/>
        </w:rPr>
        <w:tab/>
      </w:r>
      <w:r>
        <w:rPr>
          <w:spacing w:val="-6"/>
          <w:sz w:val="32"/>
          <w:szCs w:val="32"/>
        </w:rPr>
        <w:fldChar w:fldCharType="begin"/>
      </w:r>
      <w:r>
        <w:rPr>
          <w:spacing w:val="-6"/>
          <w:sz w:val="32"/>
          <w:szCs w:val="32"/>
        </w:rPr>
        <w:instrText xml:space="preserve"> PAGEREF _Toc26774 \h </w:instrText>
      </w:r>
      <w:r>
        <w:rPr>
          <w:spacing w:val="-6"/>
          <w:sz w:val="32"/>
          <w:szCs w:val="32"/>
        </w:rPr>
        <w:fldChar w:fldCharType="separate"/>
      </w:r>
      <w:r>
        <w:rPr>
          <w:spacing w:val="-6"/>
          <w:sz w:val="32"/>
          <w:szCs w:val="32"/>
        </w:rPr>
        <w:t>13</w:t>
      </w:r>
      <w:r>
        <w:rPr>
          <w:spacing w:val="-6"/>
          <w:sz w:val="32"/>
          <w:szCs w:val="32"/>
        </w:rPr>
        <w:fldChar w:fldCharType="end"/>
      </w:r>
      <w:r>
        <w:rPr>
          <w:spacing w:val="-6"/>
          <w:sz w:val="32"/>
          <w:szCs w:val="32"/>
        </w:rPr>
        <w:fldChar w:fldCharType="end"/>
      </w:r>
    </w:p>
    <w:p>
      <w:pPr>
        <w:pStyle w:val="19"/>
        <w:rPr>
          <w:spacing w:val="-6"/>
        </w:rPr>
      </w:pPr>
      <w:r>
        <w:rPr>
          <w:spacing w:val="-6"/>
        </w:rPr>
        <w:fldChar w:fldCharType="begin"/>
      </w:r>
      <w:r>
        <w:rPr>
          <w:spacing w:val="-6"/>
        </w:rPr>
        <w:instrText xml:space="preserve"> HYPERLINK \l "_Toc19030" </w:instrText>
      </w:r>
      <w:r>
        <w:rPr>
          <w:spacing w:val="-6"/>
        </w:rPr>
        <w:fldChar w:fldCharType="separate"/>
      </w:r>
      <w:r>
        <w:rPr>
          <w:rFonts w:hint="eastAsia"/>
          <w:spacing w:val="-6"/>
        </w:rPr>
        <w:t>第二章 “十五五”时期城乡建设发展面临形势</w:t>
      </w:r>
      <w:r>
        <w:rPr>
          <w:spacing w:val="-6"/>
        </w:rPr>
        <w:tab/>
      </w:r>
      <w:r>
        <w:rPr>
          <w:spacing w:val="-6"/>
        </w:rPr>
        <w:fldChar w:fldCharType="begin"/>
      </w:r>
      <w:r>
        <w:rPr>
          <w:spacing w:val="-6"/>
        </w:rPr>
        <w:instrText xml:space="preserve"> PAGEREF _Toc19030 \h </w:instrText>
      </w:r>
      <w:r>
        <w:rPr>
          <w:spacing w:val="-6"/>
        </w:rPr>
        <w:fldChar w:fldCharType="separate"/>
      </w:r>
      <w:r>
        <w:rPr>
          <w:spacing w:val="-6"/>
        </w:rPr>
        <w:t>19</w:t>
      </w:r>
      <w:r>
        <w:rPr>
          <w:spacing w:val="-6"/>
        </w:rPr>
        <w:fldChar w:fldCharType="end"/>
      </w:r>
      <w:r>
        <w:rPr>
          <w:spacing w:val="-6"/>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"_Toc23679" </w:instrText>
      </w:r>
      <w:r>
        <w:rPr>
          <w:spacing w:val="-6"/>
        </w:rPr>
        <w:fldChar w:fldCharType="separate"/>
      </w:r>
      <w:r>
        <w:rPr>
          <w:rFonts w:hint="eastAsia" w:ascii="楷体_GB2312" w:hAnsi="楷体_GB2312" w:eastAsia="楷体_GB2312" w:cs="楷体_GB2312"/>
          <w:bCs/>
          <w:spacing w:val="-6"/>
          <w:sz w:val="32"/>
          <w:szCs w:val="32"/>
        </w:rPr>
        <w:t>一、</w:t>
      </w:r>
      <w:r>
        <w:rPr>
          <w:rFonts w:hint="eastAsia" w:ascii="楷体_GB2312" w:hAnsi="楷体_GB2312" w:eastAsia="楷体_GB2312" w:cs="楷体_GB2312"/>
          <w:spacing w:val="-6"/>
          <w:sz w:val="32"/>
          <w:szCs w:val="32"/>
        </w:rPr>
        <w:t>发展机遇</w:t>
      </w:r>
      <w:r>
        <w:rPr>
          <w:spacing w:val="-6"/>
          <w:sz w:val="32"/>
          <w:szCs w:val="32"/>
        </w:rPr>
        <w:tab/>
      </w:r>
      <w:r>
        <w:rPr>
          <w:spacing w:val="-6"/>
          <w:sz w:val="32"/>
          <w:szCs w:val="32"/>
        </w:rPr>
        <w:fldChar w:fldCharType="begin"/>
      </w:r>
      <w:r>
        <w:rPr>
          <w:spacing w:val="-6"/>
          <w:sz w:val="32"/>
          <w:szCs w:val="32"/>
        </w:rPr>
        <w:instrText xml:space="preserve"> PAGEREF _Toc23679 \h </w:instrText>
      </w:r>
      <w:r>
        <w:rPr>
          <w:spacing w:val="-6"/>
          <w:sz w:val="32"/>
          <w:szCs w:val="32"/>
        </w:rPr>
        <w:fldChar w:fldCharType="separate"/>
      </w:r>
      <w:r>
        <w:rPr>
          <w:spacing w:val="-6"/>
          <w:sz w:val="32"/>
          <w:szCs w:val="32"/>
        </w:rPr>
        <w:t>19</w:t>
      </w:r>
      <w:r>
        <w:rPr>
          <w:spacing w:val="-6"/>
          <w:sz w:val="32"/>
          <w:szCs w:val="32"/>
        </w:rPr>
        <w:fldChar w:fldCharType="end"/>
      </w:r>
      <w:r>
        <w:rPr>
          <w:spacing w:val="-6"/>
          <w:sz w:val="32"/>
          <w:szCs w:val="32"/>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"_Toc18172" </w:instrText>
      </w:r>
      <w:r>
        <w:rPr>
          <w:spacing w:val="-6"/>
        </w:rPr>
        <w:fldChar w:fldCharType="separate"/>
      </w:r>
      <w:r>
        <w:rPr>
          <w:rFonts w:hint="eastAsia" w:ascii="楷体_GB2312" w:hAnsi="楷体_GB2312" w:eastAsia="楷体_GB2312" w:cs="楷体_GB2312"/>
          <w:bCs/>
          <w:spacing w:val="-6"/>
          <w:sz w:val="32"/>
          <w:szCs w:val="32"/>
        </w:rPr>
        <w:t>二、</w:t>
      </w:r>
      <w:r>
        <w:rPr>
          <w:rFonts w:hint="eastAsia" w:ascii="楷体_GB2312" w:hAnsi="楷体_GB2312" w:eastAsia="楷体_GB2312" w:cs="楷体_GB2312"/>
          <w:spacing w:val="-6"/>
          <w:sz w:val="32"/>
          <w:szCs w:val="32"/>
        </w:rPr>
        <w:t>面临挑战</w:t>
      </w:r>
      <w:r>
        <w:rPr>
          <w:spacing w:val="-6"/>
          <w:sz w:val="32"/>
          <w:szCs w:val="32"/>
        </w:rPr>
        <w:tab/>
      </w:r>
      <w:r>
        <w:rPr>
          <w:spacing w:val="-6"/>
          <w:sz w:val="32"/>
          <w:szCs w:val="32"/>
        </w:rPr>
        <w:fldChar w:fldCharType="begin"/>
      </w:r>
      <w:r>
        <w:rPr>
          <w:spacing w:val="-6"/>
          <w:sz w:val="32"/>
          <w:szCs w:val="32"/>
        </w:rPr>
        <w:instrText xml:space="preserve"> PAGEREF _Toc18172 \h </w:instrText>
      </w:r>
      <w:r>
        <w:rPr>
          <w:spacing w:val="-6"/>
          <w:sz w:val="32"/>
          <w:szCs w:val="32"/>
        </w:rPr>
        <w:fldChar w:fldCharType="separate"/>
      </w:r>
      <w:r>
        <w:rPr>
          <w:spacing w:val="-6"/>
          <w:sz w:val="32"/>
          <w:szCs w:val="32"/>
        </w:rPr>
        <w:t>20</w:t>
      </w:r>
      <w:r>
        <w:rPr>
          <w:spacing w:val="-6"/>
          <w:sz w:val="32"/>
          <w:szCs w:val="32"/>
        </w:rPr>
        <w:fldChar w:fldCharType="end"/>
      </w:r>
      <w:r>
        <w:rPr>
          <w:spacing w:val="-6"/>
          <w:sz w:val="32"/>
          <w:szCs w:val="32"/>
        </w:rPr>
        <w:fldChar w:fldCharType="end"/>
      </w:r>
    </w:p>
    <w:p>
      <w:pPr>
        <w:pStyle w:val="19"/>
        <w:rPr>
          <w:spacing w:val="-6"/>
        </w:rPr>
      </w:pPr>
      <w:r>
        <w:rPr>
          <w:spacing w:val="-6"/>
        </w:rPr>
        <w:fldChar w:fldCharType="begin"/>
      </w:r>
      <w:r>
        <w:rPr>
          <w:spacing w:val="-6"/>
        </w:rPr>
        <w:instrText xml:space="preserve"> HYPERLINK \l "_Toc3852" </w:instrText>
      </w:r>
      <w:r>
        <w:rPr>
          <w:spacing w:val="-6"/>
        </w:rPr>
        <w:fldChar w:fldCharType="separate"/>
      </w:r>
      <w:r>
        <w:rPr>
          <w:rFonts w:hint="eastAsia"/>
          <w:spacing w:val="-6"/>
        </w:rPr>
        <w:t>第三章 指导思想、基本原则与发展目标</w:t>
      </w:r>
      <w:r>
        <w:rPr>
          <w:spacing w:val="-6"/>
        </w:rPr>
        <w:tab/>
      </w:r>
      <w:r>
        <w:rPr>
          <w:spacing w:val="-6"/>
        </w:rPr>
        <w:fldChar w:fldCharType="begin"/>
      </w:r>
      <w:r>
        <w:rPr>
          <w:spacing w:val="-6"/>
        </w:rPr>
        <w:instrText xml:space="preserve"> PAGEREF _Toc3852 \h </w:instrText>
      </w:r>
      <w:r>
        <w:rPr>
          <w:spacing w:val="-6"/>
        </w:rPr>
        <w:fldChar w:fldCharType="separate"/>
      </w:r>
      <w:r>
        <w:rPr>
          <w:spacing w:val="-6"/>
        </w:rPr>
        <w:t>23</w:t>
      </w:r>
      <w:r>
        <w:rPr>
          <w:spacing w:val="-6"/>
        </w:rPr>
        <w:fldChar w:fldCharType="end"/>
      </w:r>
      <w:r>
        <w:rPr>
          <w:spacing w:val="-6"/>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"_Toc8435" </w:instrText>
      </w:r>
      <w:r>
        <w:rPr>
          <w:spacing w:val="-6"/>
        </w:rPr>
        <w:fldChar w:fldCharType="separate"/>
      </w:r>
      <w:r>
        <w:rPr>
          <w:rFonts w:hint="eastAsia" w:ascii="楷体_GB2312" w:hAnsi="楷体_GB2312" w:eastAsia="楷体_GB2312" w:cs="楷体_GB2312"/>
          <w:bCs/>
          <w:spacing w:val="-6"/>
          <w:sz w:val="32"/>
          <w:szCs w:val="32"/>
        </w:rPr>
        <w:t>一、</w:t>
      </w:r>
      <w:r>
        <w:rPr>
          <w:rFonts w:hint="eastAsia" w:ascii="楷体_GB2312" w:hAnsi="楷体_GB2312" w:eastAsia="楷体_GB2312" w:cs="楷体_GB2312"/>
          <w:spacing w:val="-6"/>
          <w:sz w:val="32"/>
          <w:szCs w:val="32"/>
        </w:rPr>
        <w:t>指导思想</w:t>
      </w:r>
      <w:r>
        <w:rPr>
          <w:spacing w:val="-6"/>
          <w:sz w:val="32"/>
          <w:szCs w:val="32"/>
        </w:rPr>
        <w:tab/>
      </w:r>
      <w:r>
        <w:rPr>
          <w:spacing w:val="-6"/>
          <w:sz w:val="32"/>
          <w:szCs w:val="32"/>
        </w:rPr>
        <w:fldChar w:fldCharType="begin"/>
      </w:r>
      <w:r>
        <w:rPr>
          <w:spacing w:val="-6"/>
          <w:sz w:val="32"/>
          <w:szCs w:val="32"/>
        </w:rPr>
        <w:instrText xml:space="preserve"> PAGEREF _Toc8435 \h </w:instrText>
      </w:r>
      <w:r>
        <w:rPr>
          <w:spacing w:val="-6"/>
          <w:sz w:val="32"/>
          <w:szCs w:val="32"/>
        </w:rPr>
        <w:fldChar w:fldCharType="separate"/>
      </w:r>
      <w:r>
        <w:rPr>
          <w:spacing w:val="-6"/>
          <w:sz w:val="32"/>
          <w:szCs w:val="32"/>
        </w:rPr>
        <w:t>23</w:t>
      </w:r>
      <w:r>
        <w:rPr>
          <w:spacing w:val="-6"/>
          <w:sz w:val="32"/>
          <w:szCs w:val="32"/>
        </w:rPr>
        <w:fldChar w:fldCharType="end"/>
      </w:r>
      <w:r>
        <w:rPr>
          <w:spacing w:val="-6"/>
          <w:sz w:val="32"/>
          <w:szCs w:val="32"/>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"_Toc27369" </w:instrText>
      </w:r>
      <w:r>
        <w:rPr>
          <w:spacing w:val="-6"/>
        </w:rPr>
        <w:fldChar w:fldCharType="separate"/>
      </w:r>
      <w:r>
        <w:rPr>
          <w:rFonts w:hint="eastAsia" w:ascii="楷体_GB2312" w:hAnsi="楷体_GB2312" w:eastAsia="楷体_GB2312" w:cs="楷体_GB2312"/>
          <w:bCs/>
          <w:spacing w:val="-6"/>
          <w:sz w:val="32"/>
          <w:szCs w:val="32"/>
        </w:rPr>
        <w:t>二、</w:t>
      </w:r>
      <w:r>
        <w:rPr>
          <w:rFonts w:hint="eastAsia" w:ascii="楷体_GB2312" w:hAnsi="楷体_GB2312" w:eastAsia="楷体_GB2312" w:cs="楷体_GB2312"/>
          <w:spacing w:val="-6"/>
          <w:sz w:val="32"/>
          <w:szCs w:val="32"/>
        </w:rPr>
        <w:t>基本原则</w:t>
      </w:r>
      <w:r>
        <w:rPr>
          <w:spacing w:val="-6"/>
          <w:sz w:val="32"/>
          <w:szCs w:val="32"/>
        </w:rPr>
        <w:tab/>
      </w:r>
      <w:r>
        <w:rPr>
          <w:spacing w:val="-6"/>
          <w:sz w:val="32"/>
          <w:szCs w:val="32"/>
        </w:rPr>
        <w:fldChar w:fldCharType="begin"/>
      </w:r>
      <w:r>
        <w:rPr>
          <w:spacing w:val="-6"/>
          <w:sz w:val="32"/>
          <w:szCs w:val="32"/>
        </w:rPr>
        <w:instrText xml:space="preserve"> PAGEREF _Toc27369 \h </w:instrText>
      </w:r>
      <w:r>
        <w:rPr>
          <w:spacing w:val="-6"/>
          <w:sz w:val="32"/>
          <w:szCs w:val="32"/>
        </w:rPr>
        <w:fldChar w:fldCharType="separate"/>
      </w:r>
      <w:r>
        <w:rPr>
          <w:spacing w:val="-6"/>
          <w:sz w:val="32"/>
          <w:szCs w:val="32"/>
        </w:rPr>
        <w:t>23</w:t>
      </w:r>
      <w:r>
        <w:rPr>
          <w:spacing w:val="-6"/>
          <w:sz w:val="32"/>
          <w:szCs w:val="32"/>
        </w:rPr>
        <w:fldChar w:fldCharType="end"/>
      </w:r>
      <w:r>
        <w:rPr>
          <w:spacing w:val="-6"/>
          <w:sz w:val="32"/>
          <w:szCs w:val="32"/>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"_Toc5173" </w:instrText>
      </w:r>
      <w:r>
        <w:rPr>
          <w:spacing w:val="-6"/>
        </w:rPr>
        <w:fldChar w:fldCharType="separate"/>
      </w:r>
      <w:r>
        <w:rPr>
          <w:rFonts w:hint="eastAsia" w:ascii="楷体_GB2312" w:hAnsi="楷体_GB2312" w:eastAsia="楷体_GB2312" w:cs="楷体_GB2312"/>
          <w:bCs/>
          <w:spacing w:val="-6"/>
          <w:sz w:val="32"/>
          <w:szCs w:val="32"/>
        </w:rPr>
        <w:t>三、</w:t>
      </w:r>
      <w:r>
        <w:rPr>
          <w:rFonts w:hint="eastAsia" w:ascii="楷体_GB2312" w:hAnsi="楷体_GB2312" w:eastAsia="楷体_GB2312" w:cs="楷体_GB2312"/>
          <w:spacing w:val="-6"/>
          <w:sz w:val="32"/>
          <w:szCs w:val="32"/>
        </w:rPr>
        <w:t>发展定位及目标</w:t>
      </w:r>
      <w:r>
        <w:rPr>
          <w:spacing w:val="-6"/>
          <w:sz w:val="32"/>
          <w:szCs w:val="32"/>
        </w:rPr>
        <w:tab/>
      </w:r>
      <w:r>
        <w:rPr>
          <w:spacing w:val="-6"/>
          <w:sz w:val="32"/>
          <w:szCs w:val="32"/>
        </w:rPr>
        <w:fldChar w:fldCharType="begin"/>
      </w:r>
      <w:r>
        <w:rPr>
          <w:spacing w:val="-6"/>
          <w:sz w:val="32"/>
          <w:szCs w:val="32"/>
        </w:rPr>
        <w:instrText xml:space="preserve"> PAGEREF _Toc5173 \h </w:instrText>
      </w:r>
      <w:r>
        <w:rPr>
          <w:spacing w:val="-6"/>
          <w:sz w:val="32"/>
          <w:szCs w:val="32"/>
        </w:rPr>
        <w:fldChar w:fldCharType="separate"/>
      </w:r>
      <w:r>
        <w:rPr>
          <w:spacing w:val="-6"/>
          <w:sz w:val="32"/>
          <w:szCs w:val="32"/>
        </w:rPr>
        <w:t>24</w:t>
      </w:r>
      <w:r>
        <w:rPr>
          <w:spacing w:val="-6"/>
          <w:sz w:val="32"/>
          <w:szCs w:val="32"/>
        </w:rPr>
        <w:fldChar w:fldCharType="end"/>
      </w:r>
      <w:r>
        <w:rPr>
          <w:spacing w:val="-6"/>
          <w:sz w:val="32"/>
          <w:szCs w:val="32"/>
        </w:rPr>
        <w:fldChar w:fldCharType="end"/>
      </w:r>
    </w:p>
    <w:p>
      <w:pPr>
        <w:pStyle w:val="19"/>
        <w:rPr>
          <w:spacing w:val="-6"/>
        </w:rPr>
      </w:pPr>
      <w:r>
        <w:rPr>
          <w:spacing w:val="-6"/>
        </w:rPr>
        <w:fldChar w:fldCharType="begin"/>
      </w:r>
      <w:r>
        <w:rPr>
          <w:spacing w:val="-6"/>
        </w:rPr>
        <w:instrText xml:space="preserve"> HYPERLINK \l "_Toc12345" </w:instrText>
      </w:r>
      <w:r>
        <w:rPr>
          <w:spacing w:val="-6"/>
        </w:rPr>
        <w:fldChar w:fldCharType="separate"/>
      </w:r>
      <w:r>
        <w:rPr>
          <w:rFonts w:hint="eastAsia"/>
          <w:spacing w:val="-6"/>
        </w:rPr>
        <w:t>第四章 着力优化现代化城市体系</w:t>
      </w:r>
      <w:r>
        <w:rPr>
          <w:spacing w:val="-6"/>
        </w:rPr>
        <w:tab/>
      </w:r>
      <w:r>
        <w:rPr>
          <w:spacing w:val="-6"/>
        </w:rPr>
        <w:fldChar w:fldCharType="begin"/>
      </w:r>
      <w:r>
        <w:rPr>
          <w:spacing w:val="-6"/>
        </w:rPr>
        <w:instrText xml:space="preserve"> PAGEREF _Toc12345 \h </w:instrText>
      </w:r>
      <w:r>
        <w:rPr>
          <w:spacing w:val="-6"/>
        </w:rPr>
        <w:fldChar w:fldCharType="separate"/>
      </w:r>
      <w:r>
        <w:rPr>
          <w:spacing w:val="-6"/>
        </w:rPr>
        <w:t>29</w:t>
      </w:r>
      <w:r>
        <w:rPr>
          <w:spacing w:val="-6"/>
        </w:rPr>
        <w:fldChar w:fldCharType="end"/>
      </w:r>
      <w:r>
        <w:rPr>
          <w:spacing w:val="-6"/>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"_Toc19487" </w:instrText>
      </w:r>
      <w:r>
        <w:rPr>
          <w:spacing w:val="-6"/>
        </w:rPr>
        <w:fldChar w:fldCharType="separate"/>
      </w:r>
      <w:r>
        <w:rPr>
          <w:rFonts w:hint="eastAsia" w:ascii="楷体_GB2312" w:hAnsi="楷体_GB2312" w:eastAsia="楷体_GB2312" w:cs="楷体_GB2312"/>
          <w:bCs/>
          <w:spacing w:val="-6"/>
          <w:sz w:val="32"/>
          <w:szCs w:val="32"/>
        </w:rPr>
        <w:t>一、</w:t>
      </w:r>
      <w:r>
        <w:rPr>
          <w:rFonts w:hint="eastAsia" w:ascii="楷体_GB2312" w:hAnsi="楷体_GB2312" w:eastAsia="楷体_GB2312" w:cs="楷体_GB2312"/>
          <w:spacing w:val="-6"/>
          <w:sz w:val="32"/>
          <w:szCs w:val="32"/>
        </w:rPr>
        <w:t>夯实国土空间规划体系</w:t>
      </w:r>
      <w:r>
        <w:rPr>
          <w:spacing w:val="-6"/>
          <w:sz w:val="32"/>
          <w:szCs w:val="32"/>
        </w:rPr>
        <w:tab/>
      </w:r>
      <w:r>
        <w:rPr>
          <w:spacing w:val="-6"/>
          <w:sz w:val="32"/>
          <w:szCs w:val="32"/>
        </w:rPr>
        <w:fldChar w:fldCharType="begin"/>
      </w:r>
      <w:r>
        <w:rPr>
          <w:spacing w:val="-6"/>
          <w:sz w:val="32"/>
          <w:szCs w:val="32"/>
        </w:rPr>
        <w:instrText xml:space="preserve"> PAGEREF _Toc19487 \h </w:instrText>
      </w:r>
      <w:r>
        <w:rPr>
          <w:spacing w:val="-6"/>
          <w:sz w:val="32"/>
          <w:szCs w:val="32"/>
        </w:rPr>
        <w:fldChar w:fldCharType="separate"/>
      </w:r>
      <w:r>
        <w:rPr>
          <w:spacing w:val="-6"/>
          <w:sz w:val="32"/>
          <w:szCs w:val="32"/>
        </w:rPr>
        <w:t>29</w:t>
      </w:r>
      <w:r>
        <w:rPr>
          <w:spacing w:val="-6"/>
          <w:sz w:val="32"/>
          <w:szCs w:val="32"/>
        </w:rPr>
        <w:fldChar w:fldCharType="end"/>
      </w:r>
      <w:r>
        <w:rPr>
          <w:spacing w:val="-6"/>
          <w:sz w:val="32"/>
          <w:szCs w:val="32"/>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"_Toc16778" </w:instrText>
      </w:r>
      <w:r>
        <w:rPr>
          <w:spacing w:val="-6"/>
        </w:rPr>
        <w:fldChar w:fldCharType="separate"/>
      </w:r>
      <w:r>
        <w:rPr>
          <w:rFonts w:hint="eastAsia" w:ascii="楷体_GB2312" w:hAnsi="楷体_GB2312" w:eastAsia="楷体_GB2312" w:cs="楷体_GB2312"/>
          <w:bCs/>
          <w:spacing w:val="-6"/>
          <w:sz w:val="32"/>
          <w:szCs w:val="32"/>
        </w:rPr>
        <w:t>二、</w:t>
      </w:r>
      <w:r>
        <w:rPr>
          <w:rFonts w:hint="eastAsia" w:ascii="楷体_GB2312" w:hAnsi="楷体_GB2312" w:eastAsia="楷体_GB2312" w:cs="楷体_GB2312"/>
          <w:spacing w:val="-6"/>
          <w:sz w:val="32"/>
          <w:szCs w:val="32"/>
        </w:rPr>
        <w:t>加强全域空间管控</w:t>
      </w:r>
      <w:r>
        <w:rPr>
          <w:spacing w:val="-6"/>
          <w:sz w:val="32"/>
          <w:szCs w:val="32"/>
        </w:rPr>
        <w:tab/>
      </w:r>
      <w:r>
        <w:rPr>
          <w:spacing w:val="-6"/>
          <w:sz w:val="32"/>
          <w:szCs w:val="32"/>
        </w:rPr>
        <w:fldChar w:fldCharType="begin"/>
      </w:r>
      <w:r>
        <w:rPr>
          <w:spacing w:val="-6"/>
          <w:sz w:val="32"/>
          <w:szCs w:val="32"/>
        </w:rPr>
        <w:instrText xml:space="preserve"> PAGEREF _Toc16778 \h </w:instrText>
      </w:r>
      <w:r>
        <w:rPr>
          <w:spacing w:val="-6"/>
          <w:sz w:val="32"/>
          <w:szCs w:val="32"/>
        </w:rPr>
        <w:fldChar w:fldCharType="separate"/>
      </w:r>
      <w:r>
        <w:rPr>
          <w:spacing w:val="-6"/>
          <w:sz w:val="32"/>
          <w:szCs w:val="32"/>
        </w:rPr>
        <w:t>31</w:t>
      </w:r>
      <w:r>
        <w:rPr>
          <w:spacing w:val="-6"/>
          <w:sz w:val="32"/>
          <w:szCs w:val="32"/>
        </w:rPr>
        <w:fldChar w:fldCharType="end"/>
      </w:r>
      <w:r>
        <w:rPr>
          <w:spacing w:val="-6"/>
          <w:sz w:val="32"/>
          <w:szCs w:val="32"/>
        </w:rPr>
        <w:fldChar w:fldCharType="end"/>
      </w:r>
    </w:p>
    <w:p>
      <w:pPr>
        <w:pStyle w:val="19"/>
        <w:rPr>
          <w:spacing w:val="-6"/>
        </w:rPr>
      </w:pPr>
      <w:r>
        <w:rPr>
          <w:spacing w:val="-6"/>
        </w:rPr>
        <w:fldChar w:fldCharType="begin"/>
      </w:r>
      <w:r>
        <w:rPr>
          <w:spacing w:val="-6"/>
        </w:rPr>
        <w:instrText xml:space="preserve"> HYPERLINK \l "_Toc31527" </w:instrText>
      </w:r>
      <w:r>
        <w:rPr>
          <w:spacing w:val="-6"/>
        </w:rPr>
        <w:fldChar w:fldCharType="separate"/>
      </w:r>
      <w:r>
        <w:rPr>
          <w:rFonts w:hint="eastAsia"/>
          <w:spacing w:val="-6"/>
        </w:rPr>
        <w:t>第五章 强化重点功能区建设</w:t>
      </w:r>
      <w:r>
        <w:rPr>
          <w:spacing w:val="-6"/>
        </w:rPr>
        <w:tab/>
      </w:r>
      <w:r>
        <w:rPr>
          <w:spacing w:val="-6"/>
        </w:rPr>
        <w:fldChar w:fldCharType="begin"/>
      </w:r>
      <w:r>
        <w:rPr>
          <w:spacing w:val="-6"/>
        </w:rPr>
        <w:instrText xml:space="preserve"> PAGEREF _Toc31527 \h </w:instrText>
      </w:r>
      <w:r>
        <w:rPr>
          <w:spacing w:val="-6"/>
        </w:rPr>
        <w:fldChar w:fldCharType="separate"/>
      </w:r>
      <w:r>
        <w:rPr>
          <w:spacing w:val="-6"/>
        </w:rPr>
        <w:t>34</w:t>
      </w:r>
      <w:r>
        <w:rPr>
          <w:spacing w:val="-6"/>
        </w:rPr>
        <w:fldChar w:fldCharType="end"/>
      </w:r>
      <w:r>
        <w:rPr>
          <w:spacing w:val="-6"/>
        </w:rPr>
        <w:fldChar w:fldCharType="end"/>
      </w:r>
    </w:p>
    <w:p>
      <w:pPr>
        <w:pStyle w:val="30"/>
        <w:tabs>
          <w:tab w:val="right" w:leader="dot" w:pos="8845"/>
          <w:tab w:val="clear" w:pos="8835"/>
        </w:tabs>
        <w:ind w:firstLine="280"/>
        <w:rPr>
          <w:spacing w:val="-17"/>
          <w:sz w:val="32"/>
          <w:szCs w:val="32"/>
        </w:rPr>
      </w:pPr>
      <w:r>
        <w:rPr>
          <w:spacing w:val="-17"/>
        </w:rPr>
        <w:fldChar w:fldCharType="begin"/>
      </w:r>
      <w:r>
        <w:rPr>
          <w:spacing w:val="-17"/>
        </w:rPr>
        <w:instrText xml:space="preserve"> HYPERLINK \l "_Toc24871" </w:instrText>
      </w:r>
      <w:r>
        <w:rPr>
          <w:spacing w:val="-17"/>
        </w:rPr>
        <w:fldChar w:fldCharType="separate"/>
      </w:r>
      <w:r>
        <w:rPr>
          <w:rFonts w:hint="eastAsia" w:ascii="楷体_GB2312" w:hAnsi="楷体_GB2312" w:eastAsia="楷体_GB2312" w:cs="楷体_GB2312"/>
          <w:bCs/>
          <w:spacing w:val="-17"/>
          <w:sz w:val="32"/>
          <w:szCs w:val="32"/>
          <w:lang w:val="zh-TW"/>
        </w:rPr>
        <w:t>一、</w:t>
      </w:r>
      <w:r>
        <w:rPr>
          <w:rFonts w:hint="eastAsia" w:ascii="楷体_GB2312" w:hAnsi="楷体_GB2312" w:eastAsia="楷体_GB2312" w:cs="楷体_GB2312"/>
          <w:spacing w:val="-17"/>
          <w:sz w:val="32"/>
          <w:szCs w:val="32"/>
        </w:rPr>
        <w:t>枢纽聚能、世园聚气，加速新城南部片区重点地段建设</w:t>
      </w:r>
      <w:r>
        <w:rPr>
          <w:spacing w:val="-17"/>
          <w:sz w:val="32"/>
          <w:szCs w:val="32"/>
        </w:rPr>
        <w:tab/>
      </w:r>
      <w:r>
        <w:rPr>
          <w:spacing w:val="-17"/>
          <w:sz w:val="32"/>
          <w:szCs w:val="32"/>
        </w:rPr>
        <w:fldChar w:fldCharType="begin"/>
      </w:r>
      <w:r>
        <w:rPr>
          <w:spacing w:val="-17"/>
          <w:sz w:val="32"/>
          <w:szCs w:val="32"/>
        </w:rPr>
        <w:instrText xml:space="preserve"> PAGEREF _Toc24871 \h </w:instrText>
      </w:r>
      <w:r>
        <w:rPr>
          <w:spacing w:val="-17"/>
          <w:sz w:val="32"/>
          <w:szCs w:val="32"/>
        </w:rPr>
        <w:fldChar w:fldCharType="separate"/>
      </w:r>
      <w:r>
        <w:rPr>
          <w:spacing w:val="-17"/>
          <w:sz w:val="32"/>
          <w:szCs w:val="32"/>
        </w:rPr>
        <w:t>34</w:t>
      </w:r>
      <w:r>
        <w:rPr>
          <w:spacing w:val="-17"/>
          <w:sz w:val="32"/>
          <w:szCs w:val="32"/>
        </w:rPr>
        <w:fldChar w:fldCharType="end"/>
      </w:r>
      <w:r>
        <w:rPr>
          <w:spacing w:val="-17"/>
          <w:sz w:val="32"/>
          <w:szCs w:val="32"/>
        </w:rPr>
        <w:fldChar w:fldCharType="end"/>
      </w:r>
    </w:p>
    <w:p>
      <w:pPr>
        <w:pStyle w:val="30"/>
        <w:tabs>
          <w:tab w:val="right" w:leader="dot" w:pos="8845"/>
          <w:tab w:val="clear" w:pos="8835"/>
        </w:tabs>
        <w:ind w:firstLine="280"/>
        <w:rPr>
          <w:spacing w:val="-17"/>
          <w:sz w:val="32"/>
          <w:szCs w:val="32"/>
        </w:rPr>
      </w:pPr>
      <w:r>
        <w:rPr>
          <w:spacing w:val="-17"/>
        </w:rPr>
        <w:fldChar w:fldCharType="begin"/>
      </w:r>
      <w:r>
        <w:rPr>
          <w:spacing w:val="-17"/>
        </w:rPr>
        <w:instrText xml:space="preserve"> HYPERLINK \l "_Toc5454" </w:instrText>
      </w:r>
      <w:r>
        <w:rPr>
          <w:spacing w:val="-17"/>
        </w:rPr>
        <w:fldChar w:fldCharType="separate"/>
      </w:r>
      <w:r>
        <w:rPr>
          <w:rFonts w:hint="eastAsia" w:ascii="楷体_GB2312" w:hAnsi="楷体_GB2312" w:eastAsia="楷体_GB2312" w:cs="楷体_GB2312"/>
          <w:bCs/>
          <w:spacing w:val="-17"/>
          <w:sz w:val="32"/>
          <w:szCs w:val="32"/>
        </w:rPr>
        <w:t>二、</w:t>
      </w:r>
      <w:r>
        <w:rPr>
          <w:rFonts w:hint="eastAsia" w:ascii="楷体_GB2312" w:hAnsi="楷体_GB2312" w:eastAsia="楷体_GB2312" w:cs="楷体_GB2312"/>
          <w:spacing w:val="-17"/>
          <w:sz w:val="32"/>
          <w:szCs w:val="32"/>
        </w:rPr>
        <w:t>创新引领、环境提升，加快中关村延庆园迭代升级</w:t>
      </w:r>
      <w:r>
        <w:rPr>
          <w:spacing w:val="-17"/>
          <w:sz w:val="32"/>
          <w:szCs w:val="32"/>
        </w:rPr>
        <w:tab/>
      </w:r>
      <w:r>
        <w:rPr>
          <w:spacing w:val="-17"/>
          <w:sz w:val="32"/>
          <w:szCs w:val="32"/>
        </w:rPr>
        <w:fldChar w:fldCharType="begin"/>
      </w:r>
      <w:r>
        <w:rPr>
          <w:spacing w:val="-17"/>
          <w:sz w:val="32"/>
          <w:szCs w:val="32"/>
        </w:rPr>
        <w:instrText xml:space="preserve"> PAGEREF _Toc5454 \h </w:instrText>
      </w:r>
      <w:r>
        <w:rPr>
          <w:spacing w:val="-17"/>
          <w:sz w:val="32"/>
          <w:szCs w:val="32"/>
        </w:rPr>
        <w:fldChar w:fldCharType="separate"/>
      </w:r>
      <w:r>
        <w:rPr>
          <w:spacing w:val="-17"/>
          <w:sz w:val="32"/>
          <w:szCs w:val="32"/>
        </w:rPr>
        <w:t>36</w:t>
      </w:r>
      <w:r>
        <w:rPr>
          <w:spacing w:val="-17"/>
          <w:sz w:val="32"/>
          <w:szCs w:val="32"/>
        </w:rPr>
        <w:fldChar w:fldCharType="end"/>
      </w:r>
      <w:r>
        <w:rPr>
          <w:spacing w:val="-17"/>
          <w:sz w:val="32"/>
          <w:szCs w:val="32"/>
        </w:rPr>
        <w:fldChar w:fldCharType="end"/>
      </w:r>
    </w:p>
    <w:p>
      <w:pPr>
        <w:pStyle w:val="30"/>
        <w:tabs>
          <w:tab w:val="right" w:leader="dot" w:pos="8845"/>
          <w:tab w:val="clear" w:pos="8835"/>
        </w:tabs>
        <w:ind w:firstLine="280"/>
        <w:rPr>
          <w:spacing w:val="-17"/>
          <w:sz w:val="32"/>
          <w:szCs w:val="32"/>
        </w:rPr>
      </w:pPr>
      <w:r>
        <w:rPr>
          <w:spacing w:val="-17"/>
        </w:rPr>
        <w:fldChar w:fldCharType="begin"/>
      </w:r>
      <w:r>
        <w:rPr>
          <w:spacing w:val="-17"/>
        </w:rPr>
        <w:instrText xml:space="preserve"> HYPERLINK \l "_Toc10834" </w:instrText>
      </w:r>
      <w:r>
        <w:rPr>
          <w:spacing w:val="-17"/>
        </w:rPr>
        <w:fldChar w:fldCharType="separate"/>
      </w:r>
      <w:r>
        <w:rPr>
          <w:rFonts w:hint="eastAsia" w:ascii="楷体_GB2312" w:hAnsi="楷体_GB2312" w:eastAsia="楷体_GB2312" w:cs="楷体_GB2312"/>
          <w:bCs/>
          <w:spacing w:val="-17"/>
          <w:sz w:val="32"/>
          <w:szCs w:val="32"/>
        </w:rPr>
        <w:t>三、</w:t>
      </w:r>
      <w:r>
        <w:rPr>
          <w:rFonts w:hint="eastAsia" w:ascii="楷体_GB2312" w:hAnsi="楷体_GB2312" w:eastAsia="楷体_GB2312" w:cs="楷体_GB2312"/>
          <w:spacing w:val="-17"/>
          <w:sz w:val="32"/>
          <w:szCs w:val="32"/>
        </w:rPr>
        <w:t>校研联动、人才培育，高水平规划建设环高校创新发展片区</w:t>
      </w:r>
      <w:r>
        <w:rPr>
          <w:spacing w:val="-17"/>
          <w:sz w:val="32"/>
          <w:szCs w:val="32"/>
        </w:rPr>
        <w:tab/>
      </w:r>
      <w:r>
        <w:rPr>
          <w:spacing w:val="-17"/>
          <w:sz w:val="32"/>
          <w:szCs w:val="32"/>
        </w:rPr>
        <w:fldChar w:fldCharType="begin"/>
      </w:r>
      <w:r>
        <w:rPr>
          <w:spacing w:val="-17"/>
          <w:sz w:val="32"/>
          <w:szCs w:val="32"/>
        </w:rPr>
        <w:instrText xml:space="preserve"> PAGEREF _Toc10834 \h </w:instrText>
      </w:r>
      <w:r>
        <w:rPr>
          <w:spacing w:val="-17"/>
          <w:sz w:val="32"/>
          <w:szCs w:val="32"/>
        </w:rPr>
        <w:fldChar w:fldCharType="separate"/>
      </w:r>
      <w:r>
        <w:rPr>
          <w:spacing w:val="-17"/>
          <w:sz w:val="32"/>
          <w:szCs w:val="32"/>
        </w:rPr>
        <w:t>37</w:t>
      </w:r>
      <w:r>
        <w:rPr>
          <w:spacing w:val="-17"/>
          <w:sz w:val="32"/>
          <w:szCs w:val="32"/>
        </w:rPr>
        <w:fldChar w:fldCharType="end"/>
      </w:r>
      <w:r>
        <w:rPr>
          <w:spacing w:val="-17"/>
          <w:sz w:val="32"/>
          <w:szCs w:val="32"/>
        </w:rPr>
        <w:fldChar w:fldCharType="end"/>
      </w:r>
    </w:p>
    <w:p>
      <w:pPr>
        <w:pStyle w:val="30"/>
        <w:tabs>
          <w:tab w:val="right" w:leader="dot" w:pos="8845"/>
          <w:tab w:val="clear" w:pos="8835"/>
        </w:tabs>
        <w:ind w:firstLine="280"/>
        <w:rPr>
          <w:spacing w:val="-17"/>
          <w:sz w:val="32"/>
          <w:szCs w:val="32"/>
        </w:rPr>
      </w:pPr>
      <w:r>
        <w:rPr>
          <w:spacing w:val="-17"/>
        </w:rPr>
        <w:fldChar w:fldCharType="begin"/>
      </w:r>
      <w:r>
        <w:rPr>
          <w:spacing w:val="-17"/>
        </w:rPr>
        <w:instrText xml:space="preserve"> HYPERLINK \l "_Toc27408" </w:instrText>
      </w:r>
      <w:r>
        <w:rPr>
          <w:spacing w:val="-17"/>
        </w:rPr>
        <w:fldChar w:fldCharType="separate"/>
      </w:r>
      <w:r>
        <w:rPr>
          <w:rFonts w:hint="eastAsia" w:ascii="楷体_GB2312" w:hAnsi="楷体_GB2312" w:eastAsia="楷体_GB2312" w:cs="楷体_GB2312"/>
          <w:bCs/>
          <w:spacing w:val="-17"/>
          <w:sz w:val="32"/>
          <w:szCs w:val="32"/>
        </w:rPr>
        <w:t>四、</w:t>
      </w:r>
      <w:r>
        <w:rPr>
          <w:rFonts w:hint="eastAsia" w:ascii="楷体_GB2312" w:hAnsi="楷体_GB2312" w:eastAsia="楷体_GB2312" w:cs="楷体_GB2312"/>
          <w:spacing w:val="-17"/>
          <w:sz w:val="32"/>
          <w:szCs w:val="32"/>
        </w:rPr>
        <w:t>生态彰显、活力营造，突出一河两岸滨水片区环境品质</w:t>
      </w:r>
      <w:r>
        <w:rPr>
          <w:spacing w:val="-17"/>
          <w:sz w:val="32"/>
          <w:szCs w:val="32"/>
        </w:rPr>
        <w:tab/>
      </w:r>
      <w:r>
        <w:rPr>
          <w:spacing w:val="-17"/>
          <w:sz w:val="32"/>
          <w:szCs w:val="32"/>
        </w:rPr>
        <w:fldChar w:fldCharType="begin"/>
      </w:r>
      <w:r>
        <w:rPr>
          <w:spacing w:val="-17"/>
          <w:sz w:val="32"/>
          <w:szCs w:val="32"/>
        </w:rPr>
        <w:instrText xml:space="preserve"> PAGEREF _Toc27408 \h </w:instrText>
      </w:r>
      <w:r>
        <w:rPr>
          <w:spacing w:val="-17"/>
          <w:sz w:val="32"/>
          <w:szCs w:val="32"/>
        </w:rPr>
        <w:fldChar w:fldCharType="separate"/>
      </w:r>
      <w:r>
        <w:rPr>
          <w:spacing w:val="-17"/>
          <w:sz w:val="32"/>
          <w:szCs w:val="32"/>
        </w:rPr>
        <w:t>39</w:t>
      </w:r>
      <w:r>
        <w:rPr>
          <w:spacing w:val="-17"/>
          <w:sz w:val="32"/>
          <w:szCs w:val="32"/>
        </w:rPr>
        <w:fldChar w:fldCharType="end"/>
      </w:r>
      <w:r>
        <w:rPr>
          <w:spacing w:val="-17"/>
          <w:sz w:val="32"/>
          <w:szCs w:val="32"/>
        </w:rPr>
        <w:fldChar w:fldCharType="end"/>
      </w:r>
    </w:p>
    <w:p>
      <w:pPr>
        <w:pStyle w:val="30"/>
        <w:tabs>
          <w:tab w:val="right" w:leader="dot" w:pos="8845"/>
          <w:tab w:val="clear" w:pos="8835"/>
        </w:tabs>
        <w:ind w:firstLine="280"/>
        <w:rPr>
          <w:spacing w:val="-17"/>
          <w:sz w:val="32"/>
          <w:szCs w:val="32"/>
        </w:rPr>
      </w:pPr>
      <w:r>
        <w:rPr>
          <w:spacing w:val="-17"/>
        </w:rPr>
        <w:fldChar w:fldCharType="begin"/>
      </w:r>
      <w:r>
        <w:rPr>
          <w:spacing w:val="-17"/>
        </w:rPr>
        <w:instrText xml:space="preserve"> HYPERLINK \l "_Toc11494" </w:instrText>
      </w:r>
      <w:r>
        <w:rPr>
          <w:spacing w:val="-17"/>
        </w:rPr>
        <w:fldChar w:fldCharType="separate"/>
      </w:r>
      <w:r>
        <w:rPr>
          <w:rFonts w:hint="eastAsia" w:ascii="楷体_GB2312" w:hAnsi="楷体_GB2312" w:eastAsia="楷体_GB2312" w:cs="楷体_GB2312"/>
          <w:bCs/>
          <w:spacing w:val="-17"/>
          <w:sz w:val="32"/>
          <w:szCs w:val="32"/>
        </w:rPr>
        <w:t>五、</w:t>
      </w:r>
      <w:r>
        <w:rPr>
          <w:rFonts w:hint="eastAsia" w:ascii="楷体_GB2312" w:hAnsi="楷体_GB2312" w:eastAsia="楷体_GB2312" w:cs="楷体_GB2312"/>
          <w:spacing w:val="-17"/>
          <w:sz w:val="32"/>
          <w:szCs w:val="32"/>
        </w:rPr>
        <w:t>品牌强塑、国际交往，打造长城大景区样板</w:t>
      </w:r>
      <w:r>
        <w:rPr>
          <w:spacing w:val="-17"/>
          <w:sz w:val="32"/>
          <w:szCs w:val="32"/>
        </w:rPr>
        <w:tab/>
      </w:r>
      <w:r>
        <w:rPr>
          <w:spacing w:val="-17"/>
          <w:sz w:val="32"/>
          <w:szCs w:val="32"/>
        </w:rPr>
        <w:fldChar w:fldCharType="begin"/>
      </w:r>
      <w:r>
        <w:rPr>
          <w:spacing w:val="-17"/>
          <w:sz w:val="32"/>
          <w:szCs w:val="32"/>
        </w:rPr>
        <w:instrText xml:space="preserve"> PAGEREF _Toc11494 \h </w:instrText>
      </w:r>
      <w:r>
        <w:rPr>
          <w:spacing w:val="-17"/>
          <w:sz w:val="32"/>
          <w:szCs w:val="32"/>
        </w:rPr>
        <w:fldChar w:fldCharType="separate"/>
      </w:r>
      <w:r>
        <w:rPr>
          <w:spacing w:val="-17"/>
          <w:sz w:val="32"/>
          <w:szCs w:val="32"/>
        </w:rPr>
        <w:t>43</w:t>
      </w:r>
      <w:r>
        <w:rPr>
          <w:spacing w:val="-17"/>
          <w:sz w:val="32"/>
          <w:szCs w:val="32"/>
        </w:rPr>
        <w:fldChar w:fldCharType="end"/>
      </w:r>
      <w:r>
        <w:rPr>
          <w:spacing w:val="-17"/>
          <w:sz w:val="32"/>
          <w:szCs w:val="32"/>
        </w:rPr>
        <w:fldChar w:fldCharType="end"/>
      </w:r>
    </w:p>
    <w:p>
      <w:pPr>
        <w:pStyle w:val="30"/>
        <w:tabs>
          <w:tab w:val="right" w:leader="dot" w:pos="8845"/>
          <w:tab w:val="clear" w:pos="8835"/>
        </w:tabs>
        <w:ind w:firstLine="280"/>
        <w:rPr>
          <w:spacing w:val="-6"/>
          <w:sz w:val="32"/>
          <w:szCs w:val="32"/>
        </w:rPr>
      </w:pPr>
      <w:r>
        <w:rPr>
          <w:spacing w:val="-17"/>
        </w:rPr>
        <w:fldChar w:fldCharType="begin"/>
      </w:r>
      <w:r>
        <w:rPr>
          <w:spacing w:val="-17"/>
        </w:rPr>
        <w:instrText xml:space="preserve"> HYPERLINK \l "_Toc4320" </w:instrText>
      </w:r>
      <w:r>
        <w:rPr>
          <w:spacing w:val="-17"/>
        </w:rPr>
        <w:fldChar w:fldCharType="separate"/>
      </w:r>
      <w:r>
        <w:rPr>
          <w:rFonts w:hint="eastAsia" w:ascii="楷体_GB2312" w:hAnsi="楷体_GB2312" w:eastAsia="楷体_GB2312" w:cs="楷体_GB2312"/>
          <w:bCs/>
          <w:spacing w:val="-17"/>
          <w:sz w:val="32"/>
          <w:szCs w:val="32"/>
        </w:rPr>
        <w:t>六、场馆运维、村镇共建，注重延庆奥林匹克园区赛后利用</w:t>
      </w:r>
      <w:r>
        <w:rPr>
          <w:spacing w:val="-17"/>
          <w:sz w:val="32"/>
          <w:szCs w:val="32"/>
        </w:rPr>
        <w:tab/>
      </w:r>
      <w:r>
        <w:rPr>
          <w:spacing w:val="-17"/>
          <w:sz w:val="32"/>
          <w:szCs w:val="32"/>
        </w:rPr>
        <w:fldChar w:fldCharType="begin"/>
      </w:r>
      <w:r>
        <w:rPr>
          <w:spacing w:val="-17"/>
          <w:sz w:val="32"/>
          <w:szCs w:val="32"/>
        </w:rPr>
        <w:instrText xml:space="preserve"> PAGEREF _Toc4320 \h </w:instrText>
      </w:r>
      <w:r>
        <w:rPr>
          <w:spacing w:val="-17"/>
          <w:sz w:val="32"/>
          <w:szCs w:val="32"/>
        </w:rPr>
        <w:fldChar w:fldCharType="separate"/>
      </w:r>
      <w:r>
        <w:rPr>
          <w:spacing w:val="-17"/>
          <w:sz w:val="32"/>
          <w:szCs w:val="32"/>
        </w:rPr>
        <w:t>46</w:t>
      </w:r>
      <w:r>
        <w:rPr>
          <w:spacing w:val="-17"/>
          <w:sz w:val="32"/>
          <w:szCs w:val="32"/>
        </w:rPr>
        <w:fldChar w:fldCharType="end"/>
      </w:r>
      <w:r>
        <w:rPr>
          <w:spacing w:val="-17"/>
          <w:sz w:val="32"/>
          <w:szCs w:val="32"/>
        </w:rPr>
        <w:fldChar w:fldCharType="end"/>
      </w:r>
    </w:p>
    <w:p>
      <w:pPr>
        <w:pStyle w:val="19"/>
        <w:rPr>
          <w:spacing w:val="-6"/>
        </w:rPr>
      </w:pPr>
      <w:r>
        <w:rPr>
          <w:spacing w:val="-6"/>
        </w:rPr>
        <w:fldChar w:fldCharType="begin"/>
      </w:r>
      <w:r>
        <w:rPr>
          <w:spacing w:val="-6"/>
        </w:rPr>
        <w:instrText xml:space="preserve"> HYPERLINK \l "_Toc1906" </w:instrText>
      </w:r>
      <w:r>
        <w:rPr>
          <w:spacing w:val="-6"/>
        </w:rPr>
        <w:fldChar w:fldCharType="separate"/>
      </w:r>
      <w:r>
        <w:rPr>
          <w:rFonts w:hint="eastAsia"/>
          <w:spacing w:val="-6"/>
        </w:rPr>
        <w:t>第六章 完善城乡一体化发展格局</w:t>
      </w:r>
      <w:r>
        <w:rPr>
          <w:spacing w:val="-6"/>
        </w:rPr>
        <w:tab/>
      </w:r>
      <w:r>
        <w:rPr>
          <w:spacing w:val="-6"/>
        </w:rPr>
        <w:fldChar w:fldCharType="begin"/>
      </w:r>
      <w:r>
        <w:rPr>
          <w:spacing w:val="-6"/>
        </w:rPr>
        <w:instrText xml:space="preserve"> PAGEREF _Toc1906 \h </w:instrText>
      </w:r>
      <w:r>
        <w:rPr>
          <w:spacing w:val="-6"/>
        </w:rPr>
        <w:fldChar w:fldCharType="separate"/>
      </w:r>
      <w:r>
        <w:rPr>
          <w:spacing w:val="-6"/>
        </w:rPr>
        <w:t>51</w:t>
      </w:r>
      <w:r>
        <w:rPr>
          <w:spacing w:val="-6"/>
        </w:rPr>
        <w:fldChar w:fldCharType="end"/>
      </w:r>
      <w:r>
        <w:rPr>
          <w:spacing w:val="-6"/>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"_Toc8046" </w:instrText>
      </w:r>
      <w:r>
        <w:rPr>
          <w:spacing w:val="-6"/>
        </w:rPr>
        <w:fldChar w:fldCharType="separate"/>
      </w:r>
      <w:r>
        <w:rPr>
          <w:rFonts w:hint="eastAsia" w:ascii="楷体_GB2312" w:hAnsi="楷体_GB2312" w:eastAsia="楷体_GB2312" w:cs="楷体_GB2312"/>
          <w:bCs/>
          <w:spacing w:val="-6"/>
          <w:sz w:val="32"/>
          <w:szCs w:val="32"/>
        </w:rPr>
        <w:t>一、</w:t>
      </w:r>
      <w:r>
        <w:rPr>
          <w:rFonts w:hint="eastAsia" w:ascii="楷体_GB2312" w:hAnsi="楷体_GB2312" w:eastAsia="楷体_GB2312" w:cs="楷体_GB2312"/>
          <w:spacing w:val="-6"/>
          <w:sz w:val="32"/>
          <w:szCs w:val="32"/>
        </w:rPr>
        <w:t>开创城乡融合发展新局面</w:t>
      </w:r>
      <w:r>
        <w:rPr>
          <w:spacing w:val="-6"/>
          <w:sz w:val="32"/>
          <w:szCs w:val="32"/>
        </w:rPr>
        <w:tab/>
      </w:r>
      <w:r>
        <w:rPr>
          <w:spacing w:val="-6"/>
          <w:sz w:val="32"/>
          <w:szCs w:val="32"/>
        </w:rPr>
        <w:fldChar w:fldCharType="begin"/>
      </w:r>
      <w:r>
        <w:rPr>
          <w:spacing w:val="-6"/>
          <w:sz w:val="32"/>
          <w:szCs w:val="32"/>
        </w:rPr>
        <w:instrText xml:space="preserve"> PAGEREF _Toc8046 \h </w:instrText>
      </w:r>
      <w:r>
        <w:rPr>
          <w:spacing w:val="-6"/>
          <w:sz w:val="32"/>
          <w:szCs w:val="32"/>
        </w:rPr>
        <w:fldChar w:fldCharType="separate"/>
      </w:r>
      <w:r>
        <w:rPr>
          <w:spacing w:val="-6"/>
          <w:sz w:val="32"/>
          <w:szCs w:val="32"/>
        </w:rPr>
        <w:t>51</w:t>
      </w:r>
      <w:r>
        <w:rPr>
          <w:spacing w:val="-6"/>
          <w:sz w:val="32"/>
          <w:szCs w:val="32"/>
        </w:rPr>
        <w:fldChar w:fldCharType="end"/>
      </w:r>
      <w:r>
        <w:rPr>
          <w:spacing w:val="-6"/>
          <w:sz w:val="32"/>
          <w:szCs w:val="32"/>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"_Toc31441" </w:instrText>
      </w:r>
      <w:r>
        <w:rPr>
          <w:spacing w:val="-6"/>
        </w:rPr>
        <w:fldChar w:fldCharType="separate"/>
      </w:r>
      <w:r>
        <w:rPr>
          <w:rFonts w:hint="eastAsia" w:ascii="楷体_GB2312" w:hAnsi="楷体_GB2312" w:eastAsia="楷体_GB2312" w:cs="楷体_GB2312"/>
          <w:bCs/>
          <w:spacing w:val="-6"/>
          <w:sz w:val="32"/>
          <w:szCs w:val="32"/>
        </w:rPr>
        <w:t>二、</w:t>
      </w:r>
      <w:r>
        <w:rPr>
          <w:rFonts w:hint="eastAsia" w:ascii="楷体_GB2312" w:hAnsi="楷体_GB2312" w:eastAsia="楷体_GB2312" w:cs="楷体_GB2312"/>
          <w:spacing w:val="-6"/>
          <w:sz w:val="32"/>
          <w:szCs w:val="32"/>
        </w:rPr>
        <w:t>促进非建设空间提质增效</w:t>
      </w:r>
      <w:r>
        <w:rPr>
          <w:spacing w:val="-6"/>
          <w:sz w:val="32"/>
          <w:szCs w:val="32"/>
        </w:rPr>
        <w:tab/>
      </w:r>
      <w:r>
        <w:rPr>
          <w:spacing w:val="-6"/>
          <w:sz w:val="32"/>
          <w:szCs w:val="32"/>
        </w:rPr>
        <w:fldChar w:fldCharType="begin"/>
      </w:r>
      <w:r>
        <w:rPr>
          <w:spacing w:val="-6"/>
          <w:sz w:val="32"/>
          <w:szCs w:val="32"/>
        </w:rPr>
        <w:instrText xml:space="preserve"> PAGEREF _Toc31441 \h </w:instrText>
      </w:r>
      <w:r>
        <w:rPr>
          <w:spacing w:val="-6"/>
          <w:sz w:val="32"/>
          <w:szCs w:val="32"/>
        </w:rPr>
        <w:fldChar w:fldCharType="separate"/>
      </w:r>
      <w:r>
        <w:rPr>
          <w:spacing w:val="-6"/>
          <w:sz w:val="32"/>
          <w:szCs w:val="32"/>
        </w:rPr>
        <w:t>58</w:t>
      </w:r>
      <w:r>
        <w:rPr>
          <w:spacing w:val="-6"/>
          <w:sz w:val="32"/>
          <w:szCs w:val="32"/>
        </w:rPr>
        <w:fldChar w:fldCharType="end"/>
      </w:r>
      <w:r>
        <w:rPr>
          <w:spacing w:val="-6"/>
          <w:sz w:val="32"/>
          <w:szCs w:val="32"/>
        </w:rPr>
        <w:fldChar w:fldCharType="end"/>
      </w:r>
    </w:p>
    <w:p>
      <w:pPr>
        <w:pStyle w:val="19"/>
        <w:rPr>
          <w:spacing w:val="-6"/>
        </w:rPr>
      </w:pPr>
      <w:r>
        <w:rPr>
          <w:spacing w:val="-6"/>
        </w:rPr>
        <w:fldChar w:fldCharType="begin"/>
      </w:r>
      <w:r>
        <w:rPr>
          <w:spacing w:val="-6"/>
        </w:rPr>
        <w:instrText xml:space="preserve"> HYPERLINK \l "_Toc31570" </w:instrText>
      </w:r>
      <w:r>
        <w:rPr>
          <w:spacing w:val="-6"/>
        </w:rPr>
        <w:fldChar w:fldCharType="separate"/>
      </w:r>
      <w:r>
        <w:rPr>
          <w:rFonts w:hint="eastAsia"/>
          <w:spacing w:val="-6"/>
        </w:rPr>
        <w:t>第七章 加快实施城市更新行动</w:t>
      </w:r>
      <w:r>
        <w:rPr>
          <w:spacing w:val="-6"/>
        </w:rPr>
        <w:tab/>
      </w:r>
      <w:r>
        <w:rPr>
          <w:spacing w:val="-6"/>
        </w:rPr>
        <w:fldChar w:fldCharType="begin"/>
      </w:r>
      <w:r>
        <w:rPr>
          <w:spacing w:val="-6"/>
        </w:rPr>
        <w:instrText xml:space="preserve"> PAGEREF _Toc31570 \h </w:instrText>
      </w:r>
      <w:r>
        <w:rPr>
          <w:spacing w:val="-6"/>
        </w:rPr>
        <w:fldChar w:fldCharType="separate"/>
      </w:r>
      <w:r>
        <w:rPr>
          <w:spacing w:val="-6"/>
        </w:rPr>
        <w:t>64</w:t>
      </w:r>
      <w:r>
        <w:rPr>
          <w:spacing w:val="-6"/>
        </w:rPr>
        <w:fldChar w:fldCharType="end"/>
      </w:r>
      <w:r>
        <w:rPr>
          <w:spacing w:val="-6"/>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"_Toc3009" </w:instrText>
      </w:r>
      <w:r>
        <w:rPr>
          <w:spacing w:val="-6"/>
        </w:rPr>
        <w:fldChar w:fldCharType="separate"/>
      </w:r>
      <w:r>
        <w:rPr>
          <w:rFonts w:hint="eastAsia" w:ascii="楷体_GB2312" w:hAnsi="楷体_GB2312" w:eastAsia="楷体_GB2312" w:cs="楷体_GB2312"/>
          <w:bCs/>
          <w:spacing w:val="-6"/>
          <w:sz w:val="32"/>
          <w:szCs w:val="32"/>
        </w:rPr>
        <w:t>一、</w:t>
      </w:r>
      <w:r>
        <w:rPr>
          <w:rFonts w:hint="eastAsia" w:ascii="楷体_GB2312" w:hAnsi="楷体_GB2312" w:eastAsia="楷体_GB2312" w:cs="楷体_GB2312"/>
          <w:spacing w:val="-6"/>
          <w:sz w:val="32"/>
          <w:szCs w:val="32"/>
        </w:rPr>
        <w:t>从“补短板”到“增引力”的工作重点转变</w:t>
      </w:r>
      <w:r>
        <w:rPr>
          <w:spacing w:val="-6"/>
          <w:sz w:val="32"/>
          <w:szCs w:val="32"/>
        </w:rPr>
        <w:tab/>
      </w:r>
      <w:r>
        <w:rPr>
          <w:spacing w:val="-6"/>
          <w:sz w:val="32"/>
          <w:szCs w:val="32"/>
        </w:rPr>
        <w:fldChar w:fldCharType="begin"/>
      </w:r>
      <w:r>
        <w:rPr>
          <w:spacing w:val="-6"/>
          <w:sz w:val="32"/>
          <w:szCs w:val="32"/>
        </w:rPr>
        <w:instrText xml:space="preserve"> PAGEREF _Toc3009 \h </w:instrText>
      </w:r>
      <w:r>
        <w:rPr>
          <w:spacing w:val="-6"/>
          <w:sz w:val="32"/>
          <w:szCs w:val="32"/>
        </w:rPr>
        <w:fldChar w:fldCharType="separate"/>
      </w:r>
      <w:r>
        <w:rPr>
          <w:spacing w:val="-6"/>
          <w:sz w:val="32"/>
          <w:szCs w:val="32"/>
        </w:rPr>
        <w:t>64</w:t>
      </w:r>
      <w:r>
        <w:rPr>
          <w:spacing w:val="-6"/>
          <w:sz w:val="32"/>
          <w:szCs w:val="32"/>
        </w:rPr>
        <w:fldChar w:fldCharType="end"/>
      </w:r>
      <w:r>
        <w:rPr>
          <w:spacing w:val="-6"/>
          <w:sz w:val="32"/>
          <w:szCs w:val="32"/>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"_Toc1741" </w:instrText>
      </w:r>
      <w:r>
        <w:rPr>
          <w:spacing w:val="-6"/>
        </w:rPr>
        <w:fldChar w:fldCharType="separate"/>
      </w:r>
      <w:r>
        <w:rPr>
          <w:rFonts w:hint="eastAsia" w:ascii="楷体_GB2312" w:hAnsi="楷体_GB2312" w:eastAsia="楷体_GB2312" w:cs="楷体_GB2312"/>
          <w:bCs/>
          <w:spacing w:val="-6"/>
          <w:sz w:val="32"/>
          <w:szCs w:val="32"/>
        </w:rPr>
        <w:t>二、</w:t>
      </w:r>
      <w:r>
        <w:rPr>
          <w:rFonts w:hint="eastAsia" w:ascii="楷体_GB2312" w:hAnsi="楷体_GB2312" w:eastAsia="楷体_GB2312" w:cs="楷体_GB2312"/>
          <w:spacing w:val="-6"/>
          <w:sz w:val="32"/>
          <w:szCs w:val="32"/>
        </w:rPr>
        <w:t>组团更新片区合力开展城市更新与治理工作</w:t>
      </w:r>
      <w:r>
        <w:rPr>
          <w:spacing w:val="-6"/>
          <w:sz w:val="32"/>
          <w:szCs w:val="32"/>
        </w:rPr>
        <w:tab/>
      </w:r>
      <w:r>
        <w:rPr>
          <w:spacing w:val="-6"/>
          <w:sz w:val="32"/>
          <w:szCs w:val="32"/>
        </w:rPr>
        <w:fldChar w:fldCharType="begin"/>
      </w:r>
      <w:r>
        <w:rPr>
          <w:spacing w:val="-6"/>
          <w:sz w:val="32"/>
          <w:szCs w:val="32"/>
        </w:rPr>
        <w:instrText xml:space="preserve"> PAGEREF _Toc1741 \h </w:instrText>
      </w:r>
      <w:r>
        <w:rPr>
          <w:spacing w:val="-6"/>
          <w:sz w:val="32"/>
          <w:szCs w:val="32"/>
        </w:rPr>
        <w:fldChar w:fldCharType="separate"/>
      </w:r>
      <w:r>
        <w:rPr>
          <w:spacing w:val="-6"/>
          <w:sz w:val="32"/>
          <w:szCs w:val="32"/>
        </w:rPr>
        <w:t>67</w:t>
      </w:r>
      <w:r>
        <w:rPr>
          <w:spacing w:val="-6"/>
          <w:sz w:val="32"/>
          <w:szCs w:val="32"/>
        </w:rPr>
        <w:fldChar w:fldCharType="end"/>
      </w:r>
      <w:r>
        <w:rPr>
          <w:spacing w:val="-6"/>
          <w:sz w:val="32"/>
          <w:szCs w:val="32"/>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"_Toc10770" </w:instrText>
      </w:r>
      <w:r>
        <w:rPr>
          <w:spacing w:val="-6"/>
        </w:rPr>
        <w:fldChar w:fldCharType="separate"/>
      </w:r>
      <w:r>
        <w:rPr>
          <w:rFonts w:hint="eastAsia" w:ascii="楷体_GB2312" w:hAnsi="楷体_GB2312" w:eastAsia="楷体_GB2312" w:cs="楷体_GB2312"/>
          <w:bCs/>
          <w:spacing w:val="-6"/>
          <w:sz w:val="32"/>
          <w:szCs w:val="32"/>
        </w:rPr>
        <w:t>三、</w:t>
      </w:r>
      <w:r>
        <w:rPr>
          <w:rFonts w:hint="eastAsia" w:ascii="楷体_GB2312" w:hAnsi="楷体_GB2312" w:eastAsia="楷体_GB2312" w:cs="楷体_GB2312"/>
          <w:spacing w:val="-6"/>
          <w:sz w:val="32"/>
          <w:szCs w:val="32"/>
        </w:rPr>
        <w:t>加强政策、资金保障与多元参与的更新实施支撑</w:t>
      </w:r>
      <w:r>
        <w:rPr>
          <w:spacing w:val="-6"/>
          <w:sz w:val="32"/>
          <w:szCs w:val="32"/>
        </w:rPr>
        <w:tab/>
      </w:r>
      <w:r>
        <w:rPr>
          <w:spacing w:val="-6"/>
          <w:sz w:val="32"/>
          <w:szCs w:val="32"/>
        </w:rPr>
        <w:fldChar w:fldCharType="begin"/>
      </w:r>
      <w:r>
        <w:rPr>
          <w:spacing w:val="-6"/>
          <w:sz w:val="32"/>
          <w:szCs w:val="32"/>
        </w:rPr>
        <w:instrText xml:space="preserve"> PAGEREF _Toc10770 \h </w:instrText>
      </w:r>
      <w:r>
        <w:rPr>
          <w:spacing w:val="-6"/>
          <w:sz w:val="32"/>
          <w:szCs w:val="32"/>
        </w:rPr>
        <w:fldChar w:fldCharType="separate"/>
      </w:r>
      <w:r>
        <w:rPr>
          <w:spacing w:val="-6"/>
          <w:sz w:val="32"/>
          <w:szCs w:val="32"/>
        </w:rPr>
        <w:t>73</w:t>
      </w:r>
      <w:r>
        <w:rPr>
          <w:spacing w:val="-6"/>
          <w:sz w:val="32"/>
          <w:szCs w:val="32"/>
        </w:rPr>
        <w:fldChar w:fldCharType="end"/>
      </w:r>
      <w:r>
        <w:rPr>
          <w:spacing w:val="-6"/>
          <w:sz w:val="32"/>
          <w:szCs w:val="32"/>
        </w:rPr>
        <w:fldChar w:fldCharType="end"/>
      </w:r>
    </w:p>
    <w:p>
      <w:pPr>
        <w:pStyle w:val="19"/>
        <w:rPr>
          <w:spacing w:val="-6"/>
        </w:rPr>
      </w:pPr>
      <w:r>
        <w:rPr>
          <w:spacing w:val="-6"/>
        </w:rPr>
        <w:fldChar w:fldCharType="begin"/>
      </w:r>
      <w:r>
        <w:rPr>
          <w:spacing w:val="-6"/>
        </w:rPr>
        <w:instrText xml:space="preserve"> HYPERLINK \l "_Toc30390" </w:instrText>
      </w:r>
      <w:r>
        <w:rPr>
          <w:spacing w:val="-6"/>
        </w:rPr>
        <w:fldChar w:fldCharType="separate"/>
      </w:r>
      <w:r>
        <w:rPr>
          <w:rFonts w:hint="eastAsia"/>
          <w:spacing w:val="-6"/>
        </w:rPr>
        <w:t>第八章 优化民生保障与宜居品质</w:t>
      </w:r>
      <w:r>
        <w:rPr>
          <w:spacing w:val="-6"/>
        </w:rPr>
        <w:tab/>
      </w:r>
      <w:r>
        <w:rPr>
          <w:spacing w:val="-6"/>
        </w:rPr>
        <w:fldChar w:fldCharType="begin"/>
      </w:r>
      <w:r>
        <w:rPr>
          <w:spacing w:val="-6"/>
        </w:rPr>
        <w:instrText xml:space="preserve"> PAGEREF _Toc30390 \h </w:instrText>
      </w:r>
      <w:r>
        <w:rPr>
          <w:spacing w:val="-6"/>
        </w:rPr>
        <w:fldChar w:fldCharType="separate"/>
      </w:r>
      <w:r>
        <w:rPr>
          <w:spacing w:val="-6"/>
        </w:rPr>
        <w:t>76</w:t>
      </w:r>
      <w:r>
        <w:rPr>
          <w:spacing w:val="-6"/>
        </w:rPr>
        <w:fldChar w:fldCharType="end"/>
      </w:r>
      <w:r>
        <w:rPr>
          <w:spacing w:val="-6"/>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"_Toc21086" </w:instrText>
      </w:r>
      <w:r>
        <w:rPr>
          <w:spacing w:val="-6"/>
        </w:rPr>
        <w:fldChar w:fldCharType="separate"/>
      </w:r>
      <w:r>
        <w:rPr>
          <w:rFonts w:hint="eastAsia" w:ascii="楷体_GB2312" w:hAnsi="楷体_GB2312" w:eastAsia="楷体_GB2312" w:cs="楷体_GB2312"/>
          <w:bCs/>
          <w:spacing w:val="-6"/>
          <w:sz w:val="32"/>
          <w:szCs w:val="32"/>
        </w:rPr>
        <w:t>一、</w:t>
      </w:r>
      <w:r>
        <w:rPr>
          <w:rFonts w:hint="eastAsia" w:ascii="楷体_GB2312" w:hAnsi="楷体_GB2312" w:eastAsia="楷体_GB2312" w:cs="楷体_GB2312"/>
          <w:spacing w:val="-6"/>
          <w:sz w:val="32"/>
          <w:szCs w:val="32"/>
        </w:rPr>
        <w:t>强化多元住房保障体系</w:t>
      </w:r>
      <w:r>
        <w:rPr>
          <w:spacing w:val="-6"/>
          <w:sz w:val="32"/>
          <w:szCs w:val="32"/>
        </w:rPr>
        <w:tab/>
      </w:r>
      <w:r>
        <w:rPr>
          <w:spacing w:val="-6"/>
          <w:sz w:val="32"/>
          <w:szCs w:val="32"/>
        </w:rPr>
        <w:fldChar w:fldCharType="begin"/>
      </w:r>
      <w:r>
        <w:rPr>
          <w:spacing w:val="-6"/>
          <w:sz w:val="32"/>
          <w:szCs w:val="32"/>
        </w:rPr>
        <w:instrText xml:space="preserve"> PAGEREF _Toc21086 \h </w:instrText>
      </w:r>
      <w:r>
        <w:rPr>
          <w:spacing w:val="-6"/>
          <w:sz w:val="32"/>
          <w:szCs w:val="32"/>
        </w:rPr>
        <w:fldChar w:fldCharType="separate"/>
      </w:r>
      <w:r>
        <w:rPr>
          <w:spacing w:val="-6"/>
          <w:sz w:val="32"/>
          <w:szCs w:val="32"/>
        </w:rPr>
        <w:t>76</w:t>
      </w:r>
      <w:r>
        <w:rPr>
          <w:spacing w:val="-6"/>
          <w:sz w:val="32"/>
          <w:szCs w:val="32"/>
        </w:rPr>
        <w:fldChar w:fldCharType="end"/>
      </w:r>
      <w:r>
        <w:rPr>
          <w:spacing w:val="-6"/>
          <w:sz w:val="32"/>
          <w:szCs w:val="32"/>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"_Toc1641" </w:instrText>
      </w:r>
      <w:r>
        <w:rPr>
          <w:spacing w:val="-6"/>
        </w:rPr>
        <w:fldChar w:fldCharType="separate"/>
      </w:r>
      <w:r>
        <w:rPr>
          <w:rFonts w:hint="eastAsia" w:ascii="楷体_GB2312" w:hAnsi="楷体_GB2312" w:eastAsia="楷体_GB2312" w:cs="楷体_GB2312"/>
          <w:bCs/>
          <w:spacing w:val="-6"/>
          <w:sz w:val="32"/>
          <w:szCs w:val="32"/>
        </w:rPr>
        <w:t>二、</w:t>
      </w:r>
      <w:r>
        <w:rPr>
          <w:rFonts w:hint="eastAsia" w:ascii="楷体_GB2312" w:hAnsi="楷体_GB2312" w:eastAsia="楷体_GB2312" w:cs="楷体_GB2312"/>
          <w:spacing w:val="-6"/>
          <w:sz w:val="32"/>
          <w:szCs w:val="32"/>
        </w:rPr>
        <w:t>高质量发展房地产市场</w:t>
      </w:r>
      <w:r>
        <w:rPr>
          <w:spacing w:val="-6"/>
          <w:sz w:val="32"/>
          <w:szCs w:val="32"/>
        </w:rPr>
        <w:tab/>
      </w:r>
      <w:r>
        <w:rPr>
          <w:spacing w:val="-6"/>
          <w:sz w:val="32"/>
          <w:szCs w:val="32"/>
        </w:rPr>
        <w:fldChar w:fldCharType="begin"/>
      </w:r>
      <w:r>
        <w:rPr>
          <w:spacing w:val="-6"/>
          <w:sz w:val="32"/>
          <w:szCs w:val="32"/>
        </w:rPr>
        <w:instrText xml:space="preserve"> PAGEREF _Toc1641 \h </w:instrText>
      </w:r>
      <w:r>
        <w:rPr>
          <w:spacing w:val="-6"/>
          <w:sz w:val="32"/>
          <w:szCs w:val="32"/>
        </w:rPr>
        <w:fldChar w:fldCharType="separate"/>
      </w:r>
      <w:r>
        <w:rPr>
          <w:spacing w:val="-6"/>
          <w:sz w:val="32"/>
          <w:szCs w:val="32"/>
        </w:rPr>
        <w:t>78</w:t>
      </w:r>
      <w:r>
        <w:rPr>
          <w:spacing w:val="-6"/>
          <w:sz w:val="32"/>
          <w:szCs w:val="32"/>
        </w:rPr>
        <w:fldChar w:fldCharType="end"/>
      </w:r>
      <w:r>
        <w:rPr>
          <w:spacing w:val="-6"/>
          <w:sz w:val="32"/>
          <w:szCs w:val="32"/>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"_Toc15456" </w:instrText>
      </w:r>
      <w:r>
        <w:rPr>
          <w:spacing w:val="-6"/>
        </w:rPr>
        <w:fldChar w:fldCharType="separate"/>
      </w:r>
      <w:r>
        <w:rPr>
          <w:rFonts w:hint="eastAsia" w:ascii="楷体_GB2312" w:hAnsi="楷体_GB2312" w:eastAsia="楷体_GB2312" w:cs="楷体_GB2312"/>
          <w:bCs/>
          <w:spacing w:val="-6"/>
          <w:sz w:val="32"/>
          <w:szCs w:val="32"/>
        </w:rPr>
        <w:t>三、</w:t>
      </w:r>
      <w:r>
        <w:rPr>
          <w:rFonts w:hint="eastAsia" w:ascii="楷体_GB2312" w:hAnsi="楷体_GB2312" w:eastAsia="楷体_GB2312" w:cs="楷体_GB2312"/>
          <w:spacing w:val="-6"/>
          <w:sz w:val="32"/>
          <w:szCs w:val="32"/>
        </w:rPr>
        <w:t>打造高品质公共服务</w:t>
      </w:r>
      <w:r>
        <w:rPr>
          <w:spacing w:val="-6"/>
          <w:sz w:val="32"/>
          <w:szCs w:val="32"/>
        </w:rPr>
        <w:tab/>
      </w:r>
      <w:r>
        <w:rPr>
          <w:spacing w:val="-6"/>
          <w:sz w:val="32"/>
          <w:szCs w:val="32"/>
        </w:rPr>
        <w:fldChar w:fldCharType="begin"/>
      </w:r>
      <w:r>
        <w:rPr>
          <w:spacing w:val="-6"/>
          <w:sz w:val="32"/>
          <w:szCs w:val="32"/>
        </w:rPr>
        <w:instrText xml:space="preserve"> PAGEREF _Toc15456 \h </w:instrText>
      </w:r>
      <w:r>
        <w:rPr>
          <w:spacing w:val="-6"/>
          <w:sz w:val="32"/>
          <w:szCs w:val="32"/>
        </w:rPr>
        <w:fldChar w:fldCharType="separate"/>
      </w:r>
      <w:r>
        <w:rPr>
          <w:spacing w:val="-6"/>
          <w:sz w:val="32"/>
          <w:szCs w:val="32"/>
        </w:rPr>
        <w:t>80</w:t>
      </w:r>
      <w:r>
        <w:rPr>
          <w:spacing w:val="-6"/>
          <w:sz w:val="32"/>
          <w:szCs w:val="32"/>
        </w:rPr>
        <w:fldChar w:fldCharType="end"/>
      </w:r>
      <w:r>
        <w:rPr>
          <w:spacing w:val="-6"/>
          <w:sz w:val="32"/>
          <w:szCs w:val="32"/>
        </w:rPr>
        <w:fldChar w:fldCharType="end"/>
      </w:r>
    </w:p>
    <w:p>
      <w:pPr>
        <w:pStyle w:val="19"/>
        <w:rPr>
          <w:spacing w:val="-6"/>
        </w:rPr>
      </w:pPr>
      <w:r>
        <w:rPr>
          <w:spacing w:val="-6"/>
        </w:rPr>
        <w:fldChar w:fldCharType="begin"/>
      </w:r>
      <w:r>
        <w:rPr>
          <w:spacing w:val="-6"/>
        </w:rPr>
        <w:instrText xml:space="preserve"> HYPERLINK \l "_Toc6551" </w:instrText>
      </w:r>
      <w:r>
        <w:rPr>
          <w:spacing w:val="-6"/>
        </w:rPr>
        <w:fldChar w:fldCharType="separate"/>
      </w:r>
      <w:r>
        <w:rPr>
          <w:rFonts w:hint="eastAsia"/>
          <w:spacing w:val="-6"/>
        </w:rPr>
        <w:t>第九章 打造韧性智慧的基础保障</w:t>
      </w:r>
      <w:r>
        <w:rPr>
          <w:spacing w:val="-6"/>
        </w:rPr>
        <w:tab/>
      </w:r>
      <w:r>
        <w:rPr>
          <w:spacing w:val="-6"/>
        </w:rPr>
        <w:fldChar w:fldCharType="begin"/>
      </w:r>
      <w:r>
        <w:rPr>
          <w:spacing w:val="-6"/>
        </w:rPr>
        <w:instrText xml:space="preserve"> PAGEREF _Toc6551 \h </w:instrText>
      </w:r>
      <w:r>
        <w:rPr>
          <w:spacing w:val="-6"/>
        </w:rPr>
        <w:fldChar w:fldCharType="separate"/>
      </w:r>
      <w:r>
        <w:rPr>
          <w:spacing w:val="-6"/>
        </w:rPr>
        <w:t>87</w:t>
      </w:r>
      <w:r>
        <w:rPr>
          <w:spacing w:val="-6"/>
        </w:rPr>
        <w:fldChar w:fldCharType="end"/>
      </w:r>
      <w:r>
        <w:rPr>
          <w:spacing w:val="-6"/>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"_Toc29895" </w:instrText>
      </w:r>
      <w:r>
        <w:rPr>
          <w:spacing w:val="-6"/>
        </w:rPr>
        <w:fldChar w:fldCharType="separate"/>
      </w:r>
      <w:r>
        <w:rPr>
          <w:rFonts w:hint="eastAsia" w:ascii="楷体_GB2312" w:hAnsi="楷体_GB2312" w:eastAsia="楷体_GB2312" w:cs="楷体_GB2312"/>
          <w:bCs/>
          <w:spacing w:val="-6"/>
          <w:sz w:val="32"/>
          <w:szCs w:val="32"/>
        </w:rPr>
        <w:t>一、</w:t>
      </w:r>
      <w:r>
        <w:rPr>
          <w:rFonts w:hint="eastAsia" w:ascii="楷体_GB2312" w:hAnsi="楷体_GB2312" w:eastAsia="楷体_GB2312" w:cs="楷体_GB2312"/>
          <w:spacing w:val="-6"/>
          <w:sz w:val="32"/>
          <w:szCs w:val="32"/>
        </w:rPr>
        <w:t>优化城乡交通网络体系</w:t>
      </w:r>
      <w:r>
        <w:rPr>
          <w:spacing w:val="-6"/>
          <w:sz w:val="32"/>
          <w:szCs w:val="32"/>
        </w:rPr>
        <w:tab/>
      </w:r>
      <w:r>
        <w:rPr>
          <w:spacing w:val="-6"/>
          <w:sz w:val="32"/>
          <w:szCs w:val="32"/>
        </w:rPr>
        <w:fldChar w:fldCharType="begin"/>
      </w:r>
      <w:r>
        <w:rPr>
          <w:spacing w:val="-6"/>
          <w:sz w:val="32"/>
          <w:szCs w:val="32"/>
        </w:rPr>
        <w:instrText xml:space="preserve"> PAGEREF _Toc29895 \h </w:instrText>
      </w:r>
      <w:r>
        <w:rPr>
          <w:spacing w:val="-6"/>
          <w:sz w:val="32"/>
          <w:szCs w:val="32"/>
        </w:rPr>
        <w:fldChar w:fldCharType="separate"/>
      </w:r>
      <w:r>
        <w:rPr>
          <w:spacing w:val="-6"/>
          <w:sz w:val="32"/>
          <w:szCs w:val="32"/>
        </w:rPr>
        <w:t>87</w:t>
      </w:r>
      <w:r>
        <w:rPr>
          <w:spacing w:val="-6"/>
          <w:sz w:val="32"/>
          <w:szCs w:val="32"/>
        </w:rPr>
        <w:fldChar w:fldCharType="end"/>
      </w:r>
      <w:r>
        <w:rPr>
          <w:spacing w:val="-6"/>
          <w:sz w:val="32"/>
          <w:szCs w:val="32"/>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"_Toc31273" </w:instrText>
      </w:r>
      <w:r>
        <w:rPr>
          <w:spacing w:val="-6"/>
        </w:rPr>
        <w:fldChar w:fldCharType="separate"/>
      </w:r>
      <w:r>
        <w:rPr>
          <w:rFonts w:hint="eastAsia" w:ascii="楷体_GB2312" w:hAnsi="楷体_GB2312" w:eastAsia="楷体_GB2312" w:cs="楷体_GB2312"/>
          <w:bCs/>
          <w:spacing w:val="-6"/>
          <w:sz w:val="32"/>
          <w:szCs w:val="32"/>
        </w:rPr>
        <w:t>二、</w:t>
      </w:r>
      <w:r>
        <w:rPr>
          <w:rFonts w:hint="eastAsia" w:ascii="楷体_GB2312" w:hAnsi="楷体_GB2312" w:eastAsia="楷体_GB2312" w:cs="楷体_GB2312"/>
          <w:spacing w:val="-6"/>
          <w:sz w:val="32"/>
          <w:szCs w:val="32"/>
        </w:rPr>
        <w:t>高标准建设韧性基础设施</w:t>
      </w:r>
      <w:r>
        <w:rPr>
          <w:spacing w:val="-6"/>
          <w:sz w:val="32"/>
          <w:szCs w:val="32"/>
        </w:rPr>
        <w:tab/>
      </w:r>
      <w:r>
        <w:rPr>
          <w:spacing w:val="-6"/>
          <w:sz w:val="32"/>
          <w:szCs w:val="32"/>
        </w:rPr>
        <w:fldChar w:fldCharType="begin"/>
      </w:r>
      <w:r>
        <w:rPr>
          <w:spacing w:val="-6"/>
          <w:sz w:val="32"/>
          <w:szCs w:val="32"/>
        </w:rPr>
        <w:instrText xml:space="preserve"> PAGEREF _Toc31273 \h </w:instrText>
      </w:r>
      <w:r>
        <w:rPr>
          <w:spacing w:val="-6"/>
          <w:sz w:val="32"/>
          <w:szCs w:val="32"/>
        </w:rPr>
        <w:fldChar w:fldCharType="separate"/>
      </w:r>
      <w:r>
        <w:rPr>
          <w:spacing w:val="-6"/>
          <w:sz w:val="32"/>
          <w:szCs w:val="32"/>
        </w:rPr>
        <w:t>91</w:t>
      </w:r>
      <w:r>
        <w:rPr>
          <w:spacing w:val="-6"/>
          <w:sz w:val="32"/>
          <w:szCs w:val="32"/>
        </w:rPr>
        <w:fldChar w:fldCharType="end"/>
      </w:r>
      <w:r>
        <w:rPr>
          <w:spacing w:val="-6"/>
          <w:sz w:val="32"/>
          <w:szCs w:val="32"/>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"_Toc5859" </w:instrText>
      </w:r>
      <w:r>
        <w:rPr>
          <w:spacing w:val="-6"/>
        </w:rPr>
        <w:fldChar w:fldCharType="separate"/>
      </w:r>
      <w:r>
        <w:rPr>
          <w:rFonts w:hint="eastAsia" w:ascii="楷体_GB2312" w:hAnsi="楷体_GB2312" w:eastAsia="楷体_GB2312" w:cs="楷体_GB2312"/>
          <w:bCs/>
          <w:spacing w:val="-6"/>
          <w:sz w:val="32"/>
          <w:szCs w:val="32"/>
        </w:rPr>
        <w:t>三、</w:t>
      </w:r>
      <w:r>
        <w:rPr>
          <w:rFonts w:hint="eastAsia" w:ascii="楷体_GB2312" w:hAnsi="楷体_GB2312" w:eastAsia="楷体_GB2312" w:cs="楷体_GB2312"/>
          <w:spacing w:val="-6"/>
          <w:sz w:val="32"/>
          <w:szCs w:val="32"/>
        </w:rPr>
        <w:t>推进现代智慧城市建设</w:t>
      </w:r>
      <w:r>
        <w:rPr>
          <w:spacing w:val="-6"/>
          <w:sz w:val="32"/>
          <w:szCs w:val="32"/>
        </w:rPr>
        <w:tab/>
      </w:r>
      <w:r>
        <w:rPr>
          <w:spacing w:val="-6"/>
          <w:sz w:val="32"/>
          <w:szCs w:val="32"/>
        </w:rPr>
        <w:fldChar w:fldCharType="begin"/>
      </w:r>
      <w:r>
        <w:rPr>
          <w:spacing w:val="-6"/>
          <w:sz w:val="32"/>
          <w:szCs w:val="32"/>
        </w:rPr>
        <w:instrText xml:space="preserve"> PAGEREF _Toc5859 \h </w:instrText>
      </w:r>
      <w:r>
        <w:rPr>
          <w:spacing w:val="-6"/>
          <w:sz w:val="32"/>
          <w:szCs w:val="32"/>
        </w:rPr>
        <w:fldChar w:fldCharType="separate"/>
      </w:r>
      <w:r>
        <w:rPr>
          <w:spacing w:val="-6"/>
          <w:sz w:val="32"/>
          <w:szCs w:val="32"/>
        </w:rPr>
        <w:t>98</w:t>
      </w:r>
      <w:r>
        <w:rPr>
          <w:spacing w:val="-6"/>
          <w:sz w:val="32"/>
          <w:szCs w:val="32"/>
        </w:rPr>
        <w:fldChar w:fldCharType="end"/>
      </w:r>
      <w:r>
        <w:rPr>
          <w:spacing w:val="-6"/>
          <w:sz w:val="32"/>
          <w:szCs w:val="32"/>
        </w:rPr>
        <w:fldChar w:fldCharType="end"/>
      </w:r>
    </w:p>
    <w:p>
      <w:pPr>
        <w:pStyle w:val="19"/>
        <w:rPr>
          <w:spacing w:val="-6"/>
        </w:rPr>
      </w:pPr>
      <w:r>
        <w:rPr>
          <w:spacing w:val="-6"/>
        </w:rPr>
        <w:fldChar w:fldCharType="begin"/>
      </w:r>
      <w:r>
        <w:rPr>
          <w:spacing w:val="-6"/>
        </w:rPr>
        <w:instrText xml:space="preserve"> HYPERLINK \l "_Toc9482" </w:instrText>
      </w:r>
      <w:r>
        <w:rPr>
          <w:spacing w:val="-6"/>
        </w:rPr>
        <w:fldChar w:fldCharType="separate"/>
      </w:r>
      <w:r>
        <w:rPr>
          <w:rFonts w:hint="eastAsia"/>
          <w:spacing w:val="-6"/>
        </w:rPr>
        <w:t>第十章 规划实施保障举措</w:t>
      </w:r>
      <w:r>
        <w:rPr>
          <w:spacing w:val="-6"/>
        </w:rPr>
        <w:tab/>
      </w:r>
      <w:r>
        <w:rPr>
          <w:spacing w:val="-6"/>
        </w:rPr>
        <w:fldChar w:fldCharType="begin"/>
      </w:r>
      <w:r>
        <w:rPr>
          <w:spacing w:val="-6"/>
        </w:rPr>
        <w:instrText xml:space="preserve"> PAGEREF _Toc9482 \h </w:instrText>
      </w:r>
      <w:r>
        <w:rPr>
          <w:spacing w:val="-6"/>
        </w:rPr>
        <w:fldChar w:fldCharType="separate"/>
      </w:r>
      <w:r>
        <w:rPr>
          <w:spacing w:val="-6"/>
        </w:rPr>
        <w:t>99</w:t>
      </w:r>
      <w:r>
        <w:rPr>
          <w:spacing w:val="-6"/>
        </w:rPr>
        <w:fldChar w:fldCharType="end"/>
      </w:r>
      <w:r>
        <w:rPr>
          <w:spacing w:val="-6"/>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"_Toc19649" </w:instrText>
      </w:r>
      <w:r>
        <w:rPr>
          <w:spacing w:val="-6"/>
        </w:rPr>
        <w:fldChar w:fldCharType="separate"/>
      </w:r>
      <w:r>
        <w:rPr>
          <w:rFonts w:hint="eastAsia" w:ascii="楷体_GB2312" w:hAnsi="楷体_GB2312" w:eastAsia="楷体_GB2312" w:cs="楷体_GB2312"/>
          <w:bCs/>
          <w:spacing w:val="-6"/>
          <w:sz w:val="32"/>
          <w:szCs w:val="32"/>
        </w:rPr>
        <w:t>一、</w:t>
      </w:r>
      <w:r>
        <w:rPr>
          <w:rFonts w:hint="eastAsia" w:ascii="楷体_GB2312" w:hAnsi="楷体_GB2312" w:eastAsia="楷体_GB2312" w:cs="楷体_GB2312"/>
          <w:spacing w:val="-6"/>
          <w:sz w:val="32"/>
          <w:szCs w:val="32"/>
        </w:rPr>
        <w:t>全面深化改革保障措施</w:t>
      </w:r>
      <w:r>
        <w:rPr>
          <w:spacing w:val="-6"/>
          <w:sz w:val="32"/>
          <w:szCs w:val="32"/>
        </w:rPr>
        <w:tab/>
      </w:r>
      <w:r>
        <w:rPr>
          <w:spacing w:val="-6"/>
          <w:sz w:val="32"/>
          <w:szCs w:val="32"/>
        </w:rPr>
        <w:fldChar w:fldCharType="begin"/>
      </w:r>
      <w:r>
        <w:rPr>
          <w:spacing w:val="-6"/>
          <w:sz w:val="32"/>
          <w:szCs w:val="32"/>
        </w:rPr>
        <w:instrText xml:space="preserve"> PAGEREF _Toc19649 \h </w:instrText>
      </w:r>
      <w:r>
        <w:rPr>
          <w:spacing w:val="-6"/>
          <w:sz w:val="32"/>
          <w:szCs w:val="32"/>
        </w:rPr>
        <w:fldChar w:fldCharType="separate"/>
      </w:r>
      <w:r>
        <w:rPr>
          <w:spacing w:val="-6"/>
          <w:sz w:val="32"/>
          <w:szCs w:val="32"/>
        </w:rPr>
        <w:t>99</w:t>
      </w:r>
      <w:r>
        <w:rPr>
          <w:spacing w:val="-6"/>
          <w:sz w:val="32"/>
          <w:szCs w:val="32"/>
        </w:rPr>
        <w:fldChar w:fldCharType="end"/>
      </w:r>
      <w:r>
        <w:rPr>
          <w:spacing w:val="-6"/>
          <w:sz w:val="32"/>
          <w:szCs w:val="32"/>
        </w:rPr>
        <w:fldChar w:fldCharType="end"/>
      </w:r>
    </w:p>
    <w:p>
      <w:pPr>
        <w:pStyle w:val="30"/>
        <w:tabs>
          <w:tab w:val="right" w:leader="dot" w:pos="8845"/>
          <w:tab w:val="clear" w:pos="8835"/>
        </w:tabs>
        <w:ind w:firstLine="280"/>
        <w:rPr>
          <w:spacing w:val="-6"/>
          <w:sz w:val="32"/>
          <w:szCs w:val="32"/>
        </w:rPr>
      </w:pPr>
      <w:r>
        <w:rPr>
          <w:spacing w:val="-6"/>
        </w:rPr>
        <w:fldChar w:fldCharType="begin"/>
      </w:r>
      <w:r>
        <w:rPr>
          <w:spacing w:val="-6"/>
        </w:rPr>
        <w:instrText xml:space="preserve"> HYPERLINK \l "_Toc8579" </w:instrText>
      </w:r>
      <w:r>
        <w:rPr>
          <w:spacing w:val="-6"/>
        </w:rPr>
        <w:fldChar w:fldCharType="separate"/>
      </w:r>
      <w:r>
        <w:rPr>
          <w:rFonts w:hint="eastAsia" w:ascii="楷体_GB2312" w:hAnsi="楷体_GB2312" w:eastAsia="楷体_GB2312" w:cs="楷体_GB2312"/>
          <w:bCs/>
          <w:spacing w:val="-6"/>
          <w:sz w:val="32"/>
          <w:szCs w:val="32"/>
        </w:rPr>
        <w:t>二、</w:t>
      </w:r>
      <w:r>
        <w:rPr>
          <w:rFonts w:hint="eastAsia" w:ascii="楷体_GB2312" w:hAnsi="楷体_GB2312" w:eastAsia="楷体_GB2312" w:cs="楷体_GB2312"/>
          <w:spacing w:val="-6"/>
          <w:sz w:val="32"/>
          <w:szCs w:val="32"/>
        </w:rPr>
        <w:t>统筹资源要素配置</w:t>
      </w:r>
      <w:r>
        <w:rPr>
          <w:spacing w:val="-6"/>
          <w:sz w:val="32"/>
          <w:szCs w:val="32"/>
        </w:rPr>
        <w:tab/>
      </w:r>
      <w:r>
        <w:rPr>
          <w:spacing w:val="-6"/>
          <w:sz w:val="32"/>
          <w:szCs w:val="32"/>
        </w:rPr>
        <w:fldChar w:fldCharType="begin"/>
      </w:r>
      <w:r>
        <w:rPr>
          <w:spacing w:val="-6"/>
          <w:sz w:val="32"/>
          <w:szCs w:val="32"/>
        </w:rPr>
        <w:instrText xml:space="preserve"> PAGEREF _Toc8579 \h </w:instrText>
      </w:r>
      <w:r>
        <w:rPr>
          <w:spacing w:val="-6"/>
          <w:sz w:val="32"/>
          <w:szCs w:val="32"/>
        </w:rPr>
        <w:fldChar w:fldCharType="separate"/>
      </w:r>
      <w:r>
        <w:rPr>
          <w:spacing w:val="-6"/>
          <w:sz w:val="32"/>
          <w:szCs w:val="32"/>
        </w:rPr>
        <w:t>100</w:t>
      </w:r>
      <w:r>
        <w:rPr>
          <w:spacing w:val="-6"/>
          <w:sz w:val="32"/>
          <w:szCs w:val="32"/>
        </w:rPr>
        <w:fldChar w:fldCharType="end"/>
      </w:r>
      <w:r>
        <w:rPr>
          <w:spacing w:val="-6"/>
          <w:sz w:val="32"/>
          <w:szCs w:val="32"/>
        </w:rPr>
        <w:fldChar w:fldCharType="end"/>
      </w:r>
    </w:p>
    <w:p>
      <w:pPr>
        <w:rPr>
          <w:spacing w:val="0"/>
          <w:szCs w:val="32"/>
        </w:rPr>
      </w:pPr>
      <w:r>
        <w:rPr>
          <w:spacing w:val="-6"/>
          <w:szCs w:val="32"/>
        </w:rPr>
        <w:fldChar w:fldCharType="end"/>
      </w:r>
    </w:p>
    <w:bookmarkEnd w:id="27"/>
    <w:bookmarkEnd w:id="28"/>
    <w:bookmarkEnd w:id="29"/>
    <w:bookmarkEnd w:id="30"/>
    <w:bookmarkEnd w:id="31"/>
    <w:bookmarkEnd w:id="32"/>
    <w:bookmarkEnd w:id="33"/>
    <w:bookmarkEnd w:id="34"/>
    <w:bookmarkEnd w:id="93"/>
    <w:p>
      <w:pPr>
        <w:pStyle w:val="34"/>
        <w:spacing w:before="156" w:after="156"/>
        <w:rPr>
          <w:rFonts w:hint="eastAsia"/>
          <w:spacing w:val="0"/>
        </w:rPr>
        <w:sectPr>
          <w:headerReference r:id="rId10" w:type="default"/>
          <w:footerReference r:id="rId11" w:type="default"/>
          <w:pgSz w:w="11906" w:h="16838"/>
          <w:pgMar w:top="2098" w:right="1474" w:bottom="1984" w:left="1587" w:header="851" w:footer="992" w:gutter="0"/>
          <w:pgNumType w:start="1"/>
          <w:cols w:space="720" w:num="1"/>
          <w:docGrid w:type="lines" w:linePitch="312" w:charSpace="0"/>
        </w:sectPr>
      </w:pPr>
      <w:bookmarkStart w:id="94" w:name="_Toc5469"/>
      <w:bookmarkStart w:id="95" w:name="_Toc20072"/>
      <w:bookmarkStart w:id="96" w:name="_Toc202170175"/>
      <w:bookmarkStart w:id="97" w:name="_Toc18945"/>
      <w:bookmarkStart w:id="98" w:name="_Toc6398"/>
      <w:bookmarkStart w:id="99" w:name="_Toc204691159"/>
      <w:bookmarkStart w:id="100" w:name="_Toc16180"/>
      <w:bookmarkStart w:id="101" w:name="_Hlk202184536"/>
      <w:bookmarkStart w:id="102" w:name="_Toc18971"/>
      <w:bookmarkStart w:id="103" w:name="_Toc22943"/>
      <w:bookmarkStart w:id="104" w:name="_Toc12202"/>
      <w:bookmarkStart w:id="105" w:name="_Toc32067"/>
      <w:bookmarkStart w:id="106" w:name="_Toc29009"/>
      <w:bookmarkStart w:id="107" w:name="_Toc202170179"/>
      <w:bookmarkStart w:id="108" w:name="_Toc23852"/>
      <w:bookmarkStart w:id="109" w:name="_Toc31485"/>
      <w:bookmarkStart w:id="110" w:name="_Toc19147"/>
      <w:bookmarkStart w:id="111" w:name="_Toc26168"/>
      <w:bookmarkStart w:id="112" w:name="_Toc5283"/>
      <w:bookmarkStart w:id="113" w:name="_Toc16577"/>
      <w:bookmarkStart w:id="114" w:name="_Toc3374"/>
      <w:bookmarkStart w:id="115" w:name="_Toc25985"/>
      <w:bookmarkStart w:id="116" w:name="_Toc6031"/>
      <w:bookmarkStart w:id="117" w:name="_Toc721"/>
      <w:bookmarkStart w:id="118" w:name="_Toc29831"/>
      <w:bookmarkStart w:id="119" w:name="_Toc55808672"/>
    </w:p>
    <w:p>
      <w:pPr>
        <w:pStyle w:val="34"/>
        <w:spacing w:before="156" w:after="156"/>
        <w:rPr>
          <w:rFonts w:hint="eastAsia"/>
          <w:spacing w:val="0"/>
        </w:rPr>
      </w:pPr>
      <w:bookmarkStart w:id="120" w:name="_Toc4240"/>
      <w:bookmarkStart w:id="121" w:name="_Toc1913"/>
      <w:r>
        <w:rPr>
          <w:rFonts w:hint="eastAsia"/>
          <w:spacing w:val="0"/>
        </w:rPr>
        <w:t>“十四五”时期城乡建设发展基础</w:t>
      </w:r>
      <w:bookmarkEnd w:id="94"/>
      <w:bookmarkEnd w:id="95"/>
      <w:bookmarkEnd w:id="96"/>
      <w:bookmarkEnd w:id="97"/>
      <w:bookmarkEnd w:id="98"/>
      <w:bookmarkEnd w:id="99"/>
      <w:bookmarkEnd w:id="100"/>
      <w:bookmarkEnd w:id="120"/>
      <w:bookmarkEnd w:id="121"/>
      <w:bookmarkStart w:id="122" w:name="_Toc22925"/>
      <w:bookmarkStart w:id="123" w:name="_Toc28487"/>
      <w:bookmarkStart w:id="124" w:name="_Toc7556"/>
      <w:bookmarkStart w:id="125" w:name="_Toc27751"/>
      <w:bookmarkStart w:id="126" w:name="_Toc9681"/>
      <w:bookmarkStart w:id="127" w:name="_Toc23330"/>
    </w:p>
    <w:p>
      <w:pPr>
        <w:pStyle w:val="3"/>
        <w:ind w:left="616" w:leftChars="200" w:firstLine="4" w:firstLineChars="0"/>
        <w:jc w:val="left"/>
        <w:rPr>
          <w:rFonts w:hint="eastAsia" w:ascii="楷体_GB2312" w:hAnsi="楷体_GB2312" w:eastAsia="楷体_GB2312" w:cs="楷体_GB2312"/>
          <w:spacing w:val="0"/>
        </w:rPr>
      </w:pPr>
      <w:bookmarkStart w:id="128" w:name="_Toc30691"/>
      <w:bookmarkStart w:id="129" w:name="_Toc30681"/>
      <w:bookmarkStart w:id="130" w:name="_Toc9840"/>
      <w:bookmarkStart w:id="131" w:name="_Toc30629"/>
      <w:bookmarkStart w:id="132" w:name="_Toc20599"/>
      <w:bookmarkStart w:id="133" w:name="_Toc25355"/>
      <w:bookmarkStart w:id="134" w:name="_Toc204691160"/>
      <w:bookmarkStart w:id="135" w:name="_Toc202170176"/>
      <w:bookmarkStart w:id="136" w:name="_Toc19744"/>
      <w:r>
        <w:rPr>
          <w:rFonts w:hint="eastAsia" w:ascii="楷体_GB2312" w:hAnsi="楷体_GB2312" w:eastAsia="楷体_GB2312" w:cs="楷体_GB2312"/>
          <w:spacing w:val="0"/>
        </w:rPr>
        <w:t>主要成就</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rPr>
          <w:rFonts w:hint="eastAsia" w:ascii="仿宋_GB2312" w:hAnsi="仿宋_GB2312" w:cs="仿宋_GB2312"/>
          <w:spacing w:val="0"/>
          <w:szCs w:val="32"/>
        </w:rPr>
      </w:pPr>
      <w:bookmarkStart w:id="137" w:name="OLE_LINK13"/>
      <w:r>
        <w:rPr>
          <w:rFonts w:hint="eastAsia" w:ascii="仿宋_GB2312" w:hAnsi="仿宋_GB2312" w:cs="仿宋_GB2312"/>
          <w:spacing w:val="0"/>
          <w:szCs w:val="32"/>
        </w:rPr>
        <w:t>“十四五”时期，延庆区在市委、市政府和区委、区政府的坚强领导下，始终坚持以习近平新时代中国特色社会主义思想为指导，全面学习贯彻党的二十大及二十届二中、三中、四中全会精神，深入学习贯彻习近平总书记给八达岭镇石峡村乡亲们的重要回信精神，牢记“延庆是个好地方”“延庆是属于未来的”重要嘱托，以新时代首都发展为统领，紧扣“建设国际一流的生态文明示范区”总目标，坚定落实生态涵养区功能定位，围绕“十四五”城乡建设规划部署，持续夯实生态本底优势，高标准圆满完成北京冬奥会保障重大任务，全力保障世园会、冬奥会成功举办，不断破解会后赛后利用难题，深化“两山”理论转化实践，加快推进京张体育文化旅游带建设，加速延庆高铁站片区规划建设，引导绿色高精尖产业落地，首都体育学院、北方工业大学相继选址落地，挂牌北京首个“中关村低空技术产业园”，城市形象跨越式提升，城乡一体化绿色高质量发展不断突破，人民群众的获得感、幸福感、安全感持续增强，全面保障且超预期完成“十四五”规划任务，为“十五五”开局打下坚实基础，持续谱写生态、文明、幸福的最美冬奥城建设新篇章</w:t>
      </w:r>
      <w:bookmarkEnd w:id="137"/>
      <w:r>
        <w:rPr>
          <w:rFonts w:hint="eastAsia" w:ascii="仿宋_GB2312" w:hAnsi="仿宋_GB2312" w:cs="仿宋_GB2312"/>
          <w:spacing w:val="0"/>
          <w:szCs w:val="32"/>
        </w:rPr>
        <w:t>！</w:t>
      </w:r>
    </w:p>
    <w:p>
      <w:pPr>
        <w:pStyle w:val="4"/>
        <w:numPr>
          <w:ilvl w:val="2"/>
          <w:numId w:val="0"/>
        </w:numPr>
        <w:ind w:left="616" w:leftChars="200"/>
        <w:rPr>
          <w:rFonts w:hint="eastAsia" w:ascii="仿宋_GB2312" w:hAnsi="仿宋_GB2312" w:eastAsia="仿宋_GB2312" w:cs="仿宋_GB2312"/>
          <w:b/>
          <w:bCs/>
        </w:rPr>
      </w:pPr>
      <w:bookmarkStart w:id="138" w:name="_Toc19367"/>
      <w:bookmarkStart w:id="139" w:name="_Toc2706"/>
      <w:bookmarkStart w:id="140" w:name="_Toc22569"/>
      <w:bookmarkStart w:id="141" w:name="_Toc204691161"/>
      <w:bookmarkStart w:id="142" w:name="_Toc202170177"/>
      <w:bookmarkStart w:id="143" w:name="_Toc8600"/>
      <w:bookmarkStart w:id="144" w:name="_Toc16899"/>
      <w:bookmarkStart w:id="145" w:name="_Toc15604"/>
      <w:bookmarkStart w:id="146" w:name="_Toc32605"/>
      <w:bookmarkStart w:id="147" w:name="_Toc29345"/>
      <w:bookmarkStart w:id="148" w:name="_Toc3603"/>
      <w:bookmarkStart w:id="149" w:name="_Toc4039"/>
      <w:bookmarkStart w:id="150" w:name="_Toc553"/>
      <w:r>
        <w:rPr>
          <w:rFonts w:hint="eastAsia" w:ascii="仿宋_GB2312" w:hAnsi="仿宋_GB2312" w:eastAsia="仿宋_GB2312" w:cs="仿宋_GB2312"/>
          <w:b/>
          <w:bCs/>
        </w:rPr>
        <w:t>（一）空间管控水平持续提升</w:t>
      </w:r>
      <w:bookmarkEnd w:id="138"/>
      <w:bookmarkEnd w:id="139"/>
      <w:bookmarkEnd w:id="140"/>
      <w:bookmarkEnd w:id="141"/>
    </w:p>
    <w:p>
      <w:pPr>
        <w:rPr>
          <w:rFonts w:hint="eastAsia" w:ascii="仿宋_GB2312" w:hAnsi="仿宋_GB2312" w:cs="仿宋_GB2312"/>
          <w:bCs/>
          <w:spacing w:val="0"/>
          <w:szCs w:val="32"/>
        </w:rPr>
      </w:pPr>
      <w:bookmarkStart w:id="151" w:name="_Toc202187225"/>
      <w:r>
        <w:rPr>
          <w:rFonts w:hint="eastAsia" w:ascii="仿宋_GB2312" w:hAnsi="仿宋_GB2312" w:cs="仿宋_GB2312"/>
          <w:bCs/>
          <w:spacing w:val="0"/>
          <w:szCs w:val="32"/>
        </w:rPr>
        <w:t>城乡空间结构持续优化，</w:t>
      </w:r>
      <w:bookmarkEnd w:id="151"/>
      <w:r>
        <w:rPr>
          <w:rFonts w:hint="eastAsia" w:ascii="仿宋_GB2312" w:hAnsi="仿宋_GB2312" w:cs="仿宋_GB2312"/>
          <w:bCs/>
          <w:spacing w:val="0"/>
          <w:szCs w:val="32"/>
        </w:rPr>
        <w:t>城乡空间建设实现跨越式升级。五年来，延庆区以分区规划为指引，空间结构逐渐明晰，新城、小城镇、新型农村社区“三级”城乡体系全面优化，山川辉映、景城共融的风貌初步凸显，城市形象不断提升，连续五年高标准完成“疏解整治促提升”专项行动，高标准创建“基本无违法建设区”。土地资源有序投放，有效保障产业、居住、公服、市政基础设施等项目落地，生态、生产、生活空间不断融合，城乡一体化水平不断提升，城乡空间建设品质持续优化。</w:t>
      </w:r>
    </w:p>
    <w:p>
      <w:pPr>
        <w:rPr>
          <w:rFonts w:hint="eastAsia" w:ascii="仿宋_GB2312" w:hAnsi="仿宋_GB2312" w:cs="仿宋_GB2312"/>
          <w:spacing w:val="0"/>
          <w:szCs w:val="32"/>
        </w:rPr>
      </w:pPr>
      <w:r>
        <w:rPr>
          <w:rFonts w:hint="eastAsia" w:ascii="仿宋_GB2312" w:hAnsi="仿宋_GB2312" w:cs="仿宋_GB2312"/>
          <w:bCs/>
          <w:spacing w:val="0"/>
          <w:szCs w:val="32"/>
        </w:rPr>
        <w:t>规划核心指标有序管控，建设用地承载能力持续增强。城镇化进程稳步推进，2024年延庆区城镇化率达到61.1%，城镇化从快速增长期转向稳定发展期，近五年（2019-2024）共计增长0.7万人，2024年常住人口共34.2万人。“两线三区”管控良好，“十四五”期间，“两线三区”比例由3.5:3.4:93.1优化为3.4:3.4:93.2，永久基本农田保护面积由20.8万亩增加至21.61万亩，永久基本农田储备区1.62万亩，完成市级下发保护任务。减量发展成效显著，14个乡镇及延庆新城在五年来均实现了减量发展，城乡建设用地减少193.64公顷，建筑规模增加65万平方米，与分区规划2035年规划目标相比仍有1254万平方米余量。各类空间规模管控良好，产业用地规模减少172公顷，居住用地规模减少118公顷，非建设用地增长105.92公顷。空间资源要素有序投放，五年来延庆区国有土地共计划拨87个地块，土地划拨面积514.77公顷，总计招拍挂7个地块，出让用地面积14.22公顷。</w:t>
      </w:r>
    </w:p>
    <w:p>
      <w:pPr>
        <w:ind w:firstLine="643"/>
        <w:rPr>
          <w:rFonts w:hint="eastAsia" w:ascii="仿宋_GB2312" w:hAnsi="仿宋_GB2312" w:cs="仿宋_GB2312"/>
          <w:spacing w:val="0"/>
          <w:szCs w:val="32"/>
        </w:rPr>
      </w:pPr>
      <w:r>
        <w:rPr>
          <w:rFonts w:hint="eastAsia" w:ascii="仿宋_GB2312" w:hAnsi="仿宋_GB2312" w:cs="仿宋_GB2312"/>
          <w:b/>
          <w:spacing w:val="0"/>
          <w:szCs w:val="32"/>
        </w:rPr>
        <w:t>规划编制体系持续完善，规划创新能级不断跃升。</w:t>
      </w:r>
      <w:r>
        <w:rPr>
          <w:rFonts w:hint="eastAsia" w:ascii="仿宋_GB2312" w:hAnsi="仿宋_GB2312" w:cs="仿宋_GB2312"/>
          <w:spacing w:val="0"/>
          <w:szCs w:val="32"/>
        </w:rPr>
        <w:t>坚持规划引领，持续夯实“三级三类四体系”国土空间规划总体框架，严格落实北京城市总体规划及延庆分区规划，完善“城－镇－村”三级规划管控体系，“多规合一”国土空间规划体系已基本形成，进入全面实施阶段。在全市率先完成乡镇规划全覆盖目标，全区14个乡镇国土空间规划批复率达100%，5个乡镇集中建设区控规编制完成，延庆新城批复4个街区控规，在编3个街区控规，美丽乡村建设方面，352个村庄已完工，25个示范村全部建成。</w:t>
      </w:r>
    </w:p>
    <w:p>
      <w:pPr>
        <w:rPr>
          <w:rFonts w:hint="eastAsia" w:ascii="仿宋_GB2312" w:hAnsi="仿宋_GB2312" w:cs="仿宋_GB2312"/>
          <w:spacing w:val="0"/>
          <w:szCs w:val="32"/>
        </w:rPr>
      </w:pPr>
      <w:r>
        <w:rPr>
          <w:rFonts w:hint="eastAsia" w:ascii="仿宋_GB2312" w:hAnsi="仿宋_GB2312" w:cs="仿宋_GB2312"/>
          <w:spacing w:val="0"/>
          <w:szCs w:val="32"/>
        </w:rPr>
        <w:t>有序实施“一年一体检，五年一评估”机制。同时在生态文明、绿色低碳、文旅高质量发展等领域不断创新规划编制体系，编制并发布《延庆区生态文明建设规划（2021—2035年）》《京张体育文化旅游带空间发展规划研究报告》《</w:t>
      </w:r>
      <w:bookmarkStart w:id="152" w:name="OLE_LINK20"/>
      <w:r>
        <w:rPr>
          <w:rFonts w:hint="eastAsia" w:ascii="仿宋_GB2312" w:hAnsi="仿宋_GB2312" w:cs="仿宋_GB2312"/>
          <w:spacing w:val="0"/>
          <w:szCs w:val="32"/>
        </w:rPr>
        <w:t>延庆区绿色低碳美丽城市建设方案</w:t>
      </w:r>
      <w:bookmarkEnd w:id="152"/>
      <w:r>
        <w:rPr>
          <w:rFonts w:hint="eastAsia" w:ascii="仿宋_GB2312" w:hAnsi="仿宋_GB2312" w:cs="仿宋_GB2312"/>
          <w:spacing w:val="0"/>
          <w:szCs w:val="32"/>
        </w:rPr>
        <w:t>（2024年—2035年）》。不断提高固定资产投资项目审批效率和服务水平，“规划引领·延庆服务”审批服务示范品牌成效显著，审批效率大幅提高，保障重点项目稳步推进。构建“1+7”责任规划师体系，深度参与延庆城乡规划、建设、管理工作。</w:t>
      </w:r>
    </w:p>
    <w:p>
      <w:pPr>
        <w:pStyle w:val="4"/>
        <w:numPr>
          <w:ilvl w:val="2"/>
          <w:numId w:val="0"/>
        </w:numPr>
        <w:ind w:left="616" w:leftChars="200"/>
        <w:rPr>
          <w:rFonts w:hint="eastAsia" w:ascii="仿宋_GB2312" w:hAnsi="仿宋_GB2312" w:eastAsia="仿宋_GB2312" w:cs="仿宋_GB2312"/>
          <w:b/>
          <w:bCs/>
        </w:rPr>
      </w:pPr>
      <w:bookmarkStart w:id="153" w:name="_Toc20354"/>
      <w:bookmarkStart w:id="154" w:name="_Toc27468"/>
      <w:bookmarkStart w:id="155" w:name="_Toc204691163"/>
      <w:bookmarkStart w:id="156" w:name="_Toc2452"/>
      <w:bookmarkStart w:id="157" w:name="_Toc204691162"/>
      <w:r>
        <w:rPr>
          <w:rFonts w:hint="eastAsia" w:ascii="仿宋_GB2312" w:hAnsi="仿宋_GB2312" w:eastAsia="仿宋_GB2312" w:cs="仿宋_GB2312"/>
          <w:b/>
          <w:bCs/>
        </w:rPr>
        <w:t>（二）重点功能区建设不断完善</w:t>
      </w:r>
      <w:bookmarkEnd w:id="153"/>
      <w:bookmarkEnd w:id="154"/>
      <w:bookmarkEnd w:id="155"/>
      <w:bookmarkEnd w:id="156"/>
    </w:p>
    <w:p>
      <w:pPr>
        <w:rPr>
          <w:rFonts w:hint="eastAsia" w:ascii="仿宋_GB2312" w:hAnsi="仿宋_GB2312" w:cs="仿宋_GB2312"/>
          <w:spacing w:val="0"/>
          <w:szCs w:val="32"/>
        </w:rPr>
      </w:pPr>
      <w:r>
        <w:rPr>
          <w:rFonts w:hint="eastAsia" w:ascii="仿宋_GB2312" w:hAnsi="仿宋_GB2312" w:cs="仿宋_GB2312"/>
          <w:spacing w:val="0"/>
          <w:szCs w:val="32"/>
        </w:rPr>
        <w:t>深入推进长城文化带建设。立足北京作为全国文化中心定位，积极推进建设长城文化带延庆段，融入长城国家文化公园建设。谋划和实施长城遗产保护，制定并实施《延庆区长城保护发展三年行动计划》，率先出台国家级长城保护重要点段《八达岭长城保护规划》，完成长城保护区划调整施划试点项目。以八达岭长城景区为核心，推进长城文化资源的合理利用，完成八达岭长城景区旅游基础设施改造，加快推进中国长城博物馆改造提升工程，八达岭长城景区获评为第二批国家级文明旅游示范单位。深度开发旅游产品，八达岭夜长城春节首次开放入选全国文化中心建设2023年度十件大事，青年公社文创产业园成为延庆区首家市级文化产业园区。</w:t>
      </w:r>
    </w:p>
    <w:p>
      <w:pPr>
        <w:rPr>
          <w:rFonts w:hint="eastAsia" w:ascii="仿宋_GB2312" w:hAnsi="仿宋_GB2312" w:cs="仿宋_GB2312"/>
          <w:spacing w:val="0"/>
          <w:szCs w:val="32"/>
        </w:rPr>
      </w:pPr>
      <w:r>
        <w:rPr>
          <w:rFonts w:hint="eastAsia" w:ascii="仿宋_GB2312" w:hAnsi="仿宋_GB2312" w:cs="仿宋_GB2312"/>
          <w:spacing w:val="0"/>
          <w:szCs w:val="32"/>
        </w:rPr>
        <w:t>积极推动世园公园周边特色功能承载区建设焕新。全面落实北京建设国际一流的和谐宜居之都的要求，彰显世园公园作为延庆区生态文明展示传播窗口的功能，持续提升旅游服务质量，开展特色文化体验交流活动。“四馆一中心”和各类展园的后续利用有序开展，连续举办北京国际花园节，建成世园国际营地交流中心，获评“国家青少年自然教育绿色营地”“全国第四批自然教育基地”。2021年以来，世园公园获评“国家体育旅游示范基地”“市级旅游度假区”“航空科技体育运动公园”。以世园公园为核心，高水平谋划延庆高铁站周边片区发展，编制发布建设规划方案，进一步拉开新城发展框架，着力打造区域高质量发展新增长极。</w:t>
      </w:r>
    </w:p>
    <w:p>
      <w:pPr>
        <w:rPr>
          <w:rFonts w:hint="eastAsia" w:ascii="仿宋_GB2312" w:hAnsi="仿宋_GB2312" w:cs="仿宋_GB2312"/>
          <w:spacing w:val="0"/>
          <w:szCs w:val="32"/>
        </w:rPr>
      </w:pPr>
      <w:r>
        <w:rPr>
          <w:rFonts w:hint="eastAsia" w:ascii="仿宋_GB2312" w:hAnsi="仿宋_GB2312" w:cs="仿宋_GB2312"/>
          <w:spacing w:val="0"/>
          <w:szCs w:val="32"/>
        </w:rPr>
        <w:t>圆满完成冬奥会服务保障工作。落实绿色、共享、开放、廉洁的办奥理念，按照“简约、安全、精彩”的办赛要求，按时按质完成场馆建设、生态修复和城乡环境提升等46项工程。巩固并扩大“带动三亿人参与冰雪运动”成果，以建设国际文化体育旅游休闲名区为目标，持续探索推进冬奥遗产赛后利用工作。制定并实施赛区赛后运营方案和场馆遗产利用计划。“十四五”期间，高山滑雪北京延庆国家训练基地、雪车雪橇北京延庆国家训练基地挂牌亮相，北京市冰上项目训练基地投入使用。获评国家首批、北京首个“国家级滑雪旅游度假地”，连续两年被评为“北京市体育旅游十佳景区”。</w:t>
      </w:r>
    </w:p>
    <w:p>
      <w:pPr>
        <w:rPr>
          <w:rFonts w:hint="eastAsia" w:ascii="仿宋_GB2312" w:hAnsi="仿宋_GB2312" w:cs="仿宋_GB2312"/>
          <w:spacing w:val="0"/>
          <w:szCs w:val="32"/>
        </w:rPr>
      </w:pPr>
      <w:r>
        <w:rPr>
          <w:rFonts w:hint="eastAsia" w:ascii="仿宋_GB2312" w:hAnsi="仿宋_GB2312" w:cs="仿宋_GB2312"/>
          <w:spacing w:val="0"/>
          <w:szCs w:val="32"/>
        </w:rPr>
        <w:t>聚力推动创新载体空间优化与功能提升。落实北京建设国际科技创新中心的要求，紧紧围绕京西北科技创新特色发展区定位，加速培育低空技术、科技体育等特色主导产业的创新发展，构建具有延庆特色的绿色“高精尖”产业结构。加快构建“一园两区”格局，无人机创新园作为全市首个无人机产业标准化载体空间正式投用，全市首个无人机科技馆落成开放。时代飞鸿生产基地、中国电信北京公司超大规模智能算力中心等项目落地。编制完成《康庄大道和康张路两侧城市风貌设计及管控研究》，有序引导塑造园区展示窗口。</w:t>
      </w:r>
    </w:p>
    <w:p>
      <w:pPr>
        <w:pStyle w:val="4"/>
        <w:numPr>
          <w:ilvl w:val="2"/>
          <w:numId w:val="0"/>
        </w:numPr>
        <w:ind w:left="616" w:leftChars="200"/>
        <w:rPr>
          <w:rFonts w:hint="eastAsia" w:ascii="仿宋_GB2312" w:hAnsi="仿宋_GB2312" w:eastAsia="仿宋_GB2312" w:cs="仿宋_GB2312"/>
          <w:b/>
          <w:bCs/>
        </w:rPr>
      </w:pPr>
      <w:bookmarkStart w:id="158" w:name="_Toc20948"/>
      <w:bookmarkStart w:id="159" w:name="_Toc30060"/>
      <w:bookmarkStart w:id="160" w:name="_Toc9615"/>
      <w:r>
        <w:rPr>
          <w:rFonts w:hint="eastAsia" w:ascii="仿宋_GB2312" w:hAnsi="仿宋_GB2312" w:eastAsia="仿宋_GB2312" w:cs="仿宋_GB2312"/>
          <w:b/>
          <w:bCs/>
        </w:rPr>
        <w:t>（三）绿色低碳美丽城市加快建设</w:t>
      </w:r>
      <w:bookmarkEnd w:id="157"/>
      <w:bookmarkEnd w:id="158"/>
      <w:bookmarkEnd w:id="159"/>
      <w:bookmarkEnd w:id="160"/>
    </w:p>
    <w:p>
      <w:pPr>
        <w:rPr>
          <w:rFonts w:hint="eastAsia" w:ascii="仿宋_GB2312" w:hAnsi="仿宋_GB2312" w:cs="仿宋_GB2312"/>
          <w:spacing w:val="0"/>
          <w:szCs w:val="32"/>
        </w:rPr>
      </w:pPr>
      <w:r>
        <w:rPr>
          <w:rFonts w:hint="eastAsia" w:ascii="仿宋_GB2312" w:hAnsi="仿宋_GB2312" w:cs="仿宋_GB2312"/>
          <w:spacing w:val="0"/>
          <w:szCs w:val="32"/>
        </w:rPr>
        <w:t>夯实国土空间规划体系下的绿色低碳规划体系。建立分区规划—专项规划—专项研究体系，严格落实分区规划定位要求，以空间布局和用途管制构建生态保护体系，保障首都生态安全；结合生态文明建设规划、花园城市专项规划、绿道系统专项规划，着力探索绿色高质量发展路径和区域协同发展模式；开展绿色低碳专项研究，提出“推进绿色城市建设发展”研究课题，建立绿色城市建设指标体系；编制《延庆区绿色低碳美丽城市建设方案（2024年—2035年）》，成为生态涵养区首个推广绿色低碳美丽城市建设方案的区。方案突出全领域转型、全地域建设、全过程提升，聚焦绿色建筑、绿色交通、绿色能源、绿色城市管理、绿色公共空间五大领域，以及绿色园区、绿色景区、绿色社区、绿色村镇、绿色滨水空间五大场景，战略性谋划、系统性构建、项目化推动绿色低碳美丽城市建设发展，持续推动“两山”理论创新实践。</w:t>
      </w:r>
    </w:p>
    <w:p>
      <w:pPr>
        <w:rPr>
          <w:rFonts w:hint="eastAsia" w:ascii="仿宋_GB2312" w:hAnsi="仿宋_GB2312" w:cs="仿宋_GB2312"/>
          <w:spacing w:val="0"/>
          <w:szCs w:val="32"/>
        </w:rPr>
      </w:pPr>
      <w:r>
        <w:rPr>
          <w:rFonts w:hint="eastAsia" w:ascii="仿宋_GB2312" w:hAnsi="仿宋_GB2312" w:cs="仿宋_GB2312"/>
          <w:spacing w:val="0"/>
          <w:szCs w:val="32"/>
        </w:rPr>
        <w:t>绿色高质量发展新格局不断完善，生态保护及绿色低碳建设成果丰硕。“十四五”期间，延庆区持续建设首都西北部重要生态保育及区域生态治理协作区，生态环境根基更加夯实，生态空间不断优化，生态协同治理成效显著，生态保护建设成绩斐然，连续获得国家首批生态文明建设示范区、国家森林城市、全国水生态文明城市、“两山”理论实践创新基地、国家农业绿色发展先行区、中国天然氧吧、全国文明城区等一系列荣誉。借助举办重大赛事和活动历史机遇，成为首都及中国生态文明的重要展示窗口。持续建设国际文化体育旅游休闲名区，三张“金名片”持续擦亮，积极融入国际国内赛事体系，世园之城知名度不断提升，加速推进长城国家文化公园和长城文化带建设，成功创建国家全域旅游示范区。持续建设京西北科技创新特色发展区，绿色发展动能不断显现，高标准推进低空技术创新和产业发展先导区建设，四个特色科创产业累计引入企业超过1500家，获评国家体育产业示范基地、北京延庆能源互联网综合示范区，创建全市首个绿电示范园。</w:t>
      </w:r>
    </w:p>
    <w:p>
      <w:pPr>
        <w:rPr>
          <w:rFonts w:hint="eastAsia" w:ascii="仿宋_GB2312" w:hAnsi="仿宋_GB2312" w:cs="仿宋_GB2312"/>
          <w:spacing w:val="0"/>
          <w:szCs w:val="32"/>
        </w:rPr>
      </w:pPr>
      <w:r>
        <w:rPr>
          <w:rFonts w:hint="eastAsia" w:ascii="仿宋_GB2312" w:hAnsi="仿宋_GB2312" w:cs="仿宋_GB2312"/>
          <w:spacing w:val="0"/>
          <w:szCs w:val="32"/>
        </w:rPr>
        <w:t>国际一流的生态文明示范区建设纵深推进，绿水青山“变现生金”。持续优化生态系统，燕山山地南部生态综合治理工程进展顺利，观长城森林步道石峡示范段完工，实现公园绿地500米服务半径全覆盖、城区绿地社会化管护全覆盖，花园式示范街区、城市画廊、社区微花园建成开放，加强野鸭湖国际重要湿地保护修复、野生珍稀植物资源调查观测保护，生物多样性空间格局持续优化。探索推进价值转化，印发国家生态产品价值实现机制试点实施方案，在全国率先出台实施GEP（生态产品总值）提升工作方案，率先开展“亮出GEP-R（生态调节服务价值）”行动，在全市率先探索GEP核算成果应用，完成全市首批水土保持生态产品价值签约。创新培育星空小镇、集体林场林下经济示范基地、鸟类食源地等载体，初步打造出“未来在延”生态教育品牌，立体化展示延庆“两山”实践的优秀成果。</w:t>
      </w:r>
    </w:p>
    <w:p>
      <w:pPr>
        <w:pStyle w:val="4"/>
        <w:numPr>
          <w:ilvl w:val="2"/>
          <w:numId w:val="0"/>
        </w:numPr>
        <w:ind w:left="616" w:leftChars="200"/>
        <w:rPr>
          <w:rFonts w:hint="eastAsia" w:ascii="仿宋_GB2312" w:hAnsi="仿宋_GB2312" w:eastAsia="仿宋_GB2312" w:cs="仿宋_GB2312"/>
          <w:b/>
          <w:bCs/>
        </w:rPr>
      </w:pPr>
      <w:bookmarkStart w:id="161" w:name="_Toc5909"/>
      <w:bookmarkStart w:id="162" w:name="_Toc204691164"/>
      <w:bookmarkStart w:id="163" w:name="_Toc5819"/>
      <w:bookmarkStart w:id="164" w:name="_Toc5895"/>
      <w:r>
        <w:rPr>
          <w:rFonts w:hint="eastAsia" w:ascii="仿宋_GB2312" w:hAnsi="仿宋_GB2312" w:eastAsia="仿宋_GB2312" w:cs="仿宋_GB2312"/>
          <w:b/>
          <w:bCs/>
        </w:rPr>
        <w:t>（四）城市更新行动有力有序</w:t>
      </w:r>
      <w:bookmarkEnd w:id="161"/>
      <w:bookmarkEnd w:id="162"/>
      <w:bookmarkEnd w:id="163"/>
      <w:bookmarkEnd w:id="164"/>
    </w:p>
    <w:p>
      <w:pPr>
        <w:rPr>
          <w:rFonts w:hint="eastAsia" w:ascii="仿宋_GB2312" w:hAnsi="仿宋_GB2312" w:cs="仿宋_GB2312"/>
          <w:spacing w:val="0"/>
          <w:szCs w:val="32"/>
        </w:rPr>
      </w:pPr>
      <w:r>
        <w:rPr>
          <w:rFonts w:hint="eastAsia" w:ascii="仿宋_GB2312" w:hAnsi="仿宋_GB2312" w:cs="仿宋_GB2312"/>
          <w:spacing w:val="0"/>
          <w:szCs w:val="32"/>
        </w:rPr>
        <w:t>延庆区深入落实《北京市城市更新条例》、北京城市总体规划和北京市关于城市更新的工作要求，锚定建设国际一流的生态文明示范区的总体发展目标，持续推进城乡建设，大力推进城市更新行动计划，“十四五”期间，全区共实施100项城市更新项目，已完成90项。</w:t>
      </w:r>
    </w:p>
    <w:p>
      <w:pPr>
        <w:rPr>
          <w:rFonts w:hint="eastAsia" w:ascii="仿宋_GB2312" w:hAnsi="仿宋_GB2312" w:cs="仿宋_GB2312"/>
          <w:spacing w:val="0"/>
          <w:szCs w:val="32"/>
        </w:rPr>
      </w:pPr>
      <w:r>
        <w:rPr>
          <w:rFonts w:hint="eastAsia" w:ascii="仿宋_GB2312" w:hAnsi="仿宋_GB2312" w:cs="仿宋_GB2312"/>
          <w:spacing w:val="0"/>
          <w:szCs w:val="32"/>
        </w:rPr>
        <w:t>推动城乡居住条件改善。坚持以人民为中心的发展思想，着力改造提升城镇老旧小区，改善居民居住条件，推动构建社区治理体系。“十四五”期间，综合整治老旧小区192万平方米，44个小区417栋楼焕然一新。分阶段完成“三街一镇”45个老旧住宅小区的物业市场化改革任务。坚持党建引领，探索建立共建共治共享的社会治理制度，儒林街道永安社区“微管家+专业代管”物业服务模式、百泉街道舜泽园社区“居民建议—业主代表商议—社区党支部审议—群众决议”四方议事法等共4个优秀案例被选入市级典型案例集。组织乡镇开展农村危房改造工作，截至目前共计完成农村危房改造竣工验收267户。</w:t>
      </w:r>
    </w:p>
    <w:p>
      <w:pPr>
        <w:rPr>
          <w:rFonts w:hint="eastAsia" w:ascii="仿宋_GB2312" w:hAnsi="仿宋_GB2312" w:cs="仿宋_GB2312"/>
          <w:color w:val="EE0000"/>
          <w:spacing w:val="0"/>
          <w:szCs w:val="32"/>
        </w:rPr>
      </w:pPr>
      <w:r>
        <w:rPr>
          <w:rFonts w:hint="eastAsia" w:ascii="仿宋_GB2312" w:hAnsi="仿宋_GB2312" w:cs="仿宋_GB2312"/>
          <w:spacing w:val="0"/>
          <w:szCs w:val="32"/>
        </w:rPr>
        <w:t>推动低效用地、老旧厂房等存量资源再利用。落实关于实施全面节约战略等决策部署，提高土地利用效率。积极探索低效用地再开发和闲置资源盘活路径及机制，推动资源可持续利用。盘活叶片一厂、京仪绿能等闲置厂房，利用东晨阳光地块完成无人机组装车间及配套设施项目建设，为无人机产业发展提供空间保障。盘活永宁铸造厂为延庆·好物文化创意产业园，盘活黑汉岭村中心小学为小溪嘟嘟乐享妫川花海乐园，引入文化创意、农副产品销售、非遗展示等多种业态，带动延庆东部区域文旅产业发展，分别获评2024、2025年度“北京城市更新最佳实践”优秀项目。根据居民诉求，改造百泉街道湖南社区闲置锅炉房，补充社区综合服务设施，切实提升居民获得感、幸福感。</w:t>
      </w:r>
    </w:p>
    <w:p>
      <w:pPr>
        <w:rPr>
          <w:rFonts w:hint="eastAsia" w:ascii="仿宋_GB2312" w:hAnsi="仿宋_GB2312" w:cs="仿宋_GB2312"/>
          <w:spacing w:val="0"/>
          <w:szCs w:val="32"/>
        </w:rPr>
      </w:pPr>
      <w:r>
        <w:rPr>
          <w:rFonts w:hint="eastAsia" w:ascii="仿宋_GB2312" w:hAnsi="仿宋_GB2312" w:cs="仿宋_GB2312"/>
          <w:spacing w:val="0"/>
          <w:szCs w:val="32"/>
        </w:rPr>
        <w:t>推动城市功能完善。织补公共服务设施短板，建成5个一刻钟便民生活圈，聚焦“家门口”的民生需求，为居民提供了更加便捷、多元的服务，截至2024年底一刻钟便民生活圈覆盖率92.3%，优秀率44%，延庆区入选全国第四批一刻钟便民生活圈试点城市，新兴生活圈入选北京市2024年度“夜京城”生活圈名单，进一步提升了区域“夜经济”的知名度。以保留原有建筑特色印记为前提，利用原新城南部供暖中心建设延庆区档案馆新馆。持续完善绿色空间品质，见缝插绿完成小营、石河营等口袋公园和格兰二期南侧、樾熙府东侧等小微绿地建设，公园绿地500米服务半径覆盖率达到99.93%。</w:t>
      </w:r>
    </w:p>
    <w:p>
      <w:pPr>
        <w:pStyle w:val="4"/>
        <w:numPr>
          <w:ilvl w:val="2"/>
          <w:numId w:val="0"/>
        </w:numPr>
        <w:ind w:left="616" w:leftChars="200"/>
        <w:rPr>
          <w:rFonts w:hint="eastAsia" w:ascii="仿宋_GB2312" w:hAnsi="仿宋_GB2312" w:eastAsia="仿宋_GB2312" w:cs="仿宋_GB2312"/>
          <w:b/>
          <w:bCs/>
        </w:rPr>
      </w:pPr>
      <w:bookmarkStart w:id="165" w:name="_Toc204691165"/>
      <w:bookmarkStart w:id="166" w:name="_Toc5542"/>
      <w:bookmarkStart w:id="167" w:name="_Toc25387"/>
      <w:bookmarkStart w:id="168" w:name="_Toc24145"/>
      <w:r>
        <w:rPr>
          <w:rFonts w:hint="eastAsia" w:ascii="仿宋_GB2312" w:hAnsi="仿宋_GB2312" w:eastAsia="仿宋_GB2312" w:cs="仿宋_GB2312"/>
          <w:b/>
          <w:bCs/>
        </w:rPr>
        <w:t>（五）民生保障平稳健康</w:t>
      </w:r>
      <w:bookmarkEnd w:id="165"/>
      <w:bookmarkEnd w:id="166"/>
      <w:bookmarkEnd w:id="167"/>
      <w:bookmarkEnd w:id="168"/>
    </w:p>
    <w:p>
      <w:pPr>
        <w:rPr>
          <w:rFonts w:hint="eastAsia" w:ascii="仿宋_GB2312" w:hAnsi="仿宋_GB2312" w:cs="仿宋_GB2312"/>
          <w:spacing w:val="0"/>
          <w:szCs w:val="32"/>
        </w:rPr>
      </w:pPr>
      <w:r>
        <w:rPr>
          <w:rFonts w:hint="eastAsia" w:ascii="仿宋_GB2312" w:hAnsi="仿宋_GB2312" w:cs="仿宋_GB2312"/>
          <w:spacing w:val="0"/>
          <w:szCs w:val="32"/>
        </w:rPr>
        <w:t>构建多层次住房保障体系。形成梯度化的“租购并举”供给模式，构建共有产权房、公租房、保租房、定向安置房的各类保障性住房体系，覆盖低收入家庭、中等收入家庭、新市民和青年群体，精准解决不同收入阶层的住房困难问题。“住有所居”相关指标持续向好，“十四五”期间累计滚动提供公租房2097套，发放公租房租金补贴705万元，公租房总体保障率由25.70%提升至98.54%，不断完善优先配租机制，对12类重点人群家庭群体给予优先配租。保障房筹集建设有序推进，完成保障性租赁住房和公共租赁住房建设筹集2242套（间），竣工各类保障房1.4万套（间）。小营、石河营棚改、南辛堡、百眼泉、民主村棚改、康庄一二三街棚改、南菜园1-5巷（一期、二期）棚改安置房相继完成建设并已回迁安置，下屯棚改项目完成建设并已回迁安置，延庆区历史性棚改任务圆满收官。</w:t>
      </w:r>
    </w:p>
    <w:p>
      <w:pPr>
        <w:rPr>
          <w:rFonts w:hint="eastAsia" w:ascii="仿宋_GB2312" w:hAnsi="仿宋_GB2312" w:cs="仿宋_GB2312"/>
          <w:spacing w:val="0"/>
          <w:szCs w:val="32"/>
        </w:rPr>
      </w:pPr>
      <w:r>
        <w:rPr>
          <w:rFonts w:hint="eastAsia" w:ascii="仿宋_GB2312" w:hAnsi="仿宋_GB2312" w:cs="仿宋_GB2312"/>
          <w:spacing w:val="0"/>
          <w:szCs w:val="32"/>
        </w:rPr>
        <w:t>住房市场平稳健康发展。严格落实各项房地产市场调控政策，“十四五”期间，延庆区房地产市场累计上市开盘商品房项目8个，有序供应各价位商品住房1377套，满足不同收入群体的住房需求。累计完成商品住宅销售2504套。商品住房市场向多元化发展，引入中交、中建、碧桂园、住总等多家高质量房地产企业，带动房地产市场向高质量发展。高层建筑带电梯、精装交付、人车分流等逐渐成为常态。“十四五”期间，产品户型横跨90平方米三居到210平方米六居多个等级，满足民众对居住品质的需求。房地产市场交付风险得到有效化解，持续推进预售项目风险防控处置工作，制定相应工作机制，提前谋划、全过程管控，平稳完成碧桂园、世园村等逾期项目交付工作，在全市范围内“率先”完成辖区内“保交楼”任务，交付率100%，有效化解房地产领域交付风险，提供健康平稳的发展环境。</w:t>
      </w:r>
    </w:p>
    <w:p>
      <w:pPr>
        <w:rPr>
          <w:rFonts w:hint="eastAsia" w:ascii="仿宋_GB2312" w:hAnsi="仿宋_GB2312" w:cs="仿宋_GB2312"/>
          <w:spacing w:val="0"/>
          <w:szCs w:val="32"/>
        </w:rPr>
      </w:pPr>
      <w:r>
        <w:rPr>
          <w:rFonts w:hint="eastAsia" w:ascii="仿宋_GB2312" w:hAnsi="仿宋_GB2312" w:cs="仿宋_GB2312"/>
          <w:spacing w:val="0"/>
          <w:szCs w:val="32"/>
        </w:rPr>
        <w:t>住房租赁市场健康有序发展。引导行业企业纳入规范化管理，五年来备案住房租赁中介企业从20家发展至35家。健全行业从业人员信用管理机制，全区住房租赁中介企业从业人员信息管理得到进一步强化，做到底数清、情况明，提升精细化管理水平，严格按要求办理企业备案，建立辖区内房地产经纪机构信用管理台账，保障住房租赁市场规范健康发展。</w:t>
      </w:r>
    </w:p>
    <w:p>
      <w:pPr>
        <w:rPr>
          <w:rFonts w:hint="eastAsia" w:ascii="仿宋_GB2312" w:hAnsi="仿宋_GB2312" w:cs="仿宋_GB2312"/>
          <w:spacing w:val="0"/>
          <w:szCs w:val="32"/>
        </w:rPr>
      </w:pPr>
      <w:r>
        <w:rPr>
          <w:rFonts w:hint="eastAsia" w:ascii="仿宋_GB2312" w:hAnsi="仿宋_GB2312" w:cs="仿宋_GB2312"/>
          <w:spacing w:val="0"/>
          <w:szCs w:val="32"/>
        </w:rPr>
        <w:t>“七有”“五性”水平稳步提升。教育体制改革持续深化，重点教育工程建设加快推进，出台深化教育改革加快教育高质量发展的实施意见，首都体育学院新校区建设加快推进，北京第二外国语学院延庆校区投入使用，北方工业大学延庆校区规综方案和规划设计方案获市政府批复；医疗服务体系不断完善，延庆区医院晋升为三级综合医院，实现18个街乡镇急救站点和基层医疗机构全覆盖，区中医医院、区妇幼保健院、区中心血站等完成迁址扩容；基层卫生绩效考核两年获得全市优秀，3个街道全部获评北京市卫生街道，8个乡镇顺利通过国家卫生乡镇市级验收，成功创建全国健康区，荣膺2022年度全国健康城市建设样板市称号；养老服务体系不断完善，安宁疗护中心、老年护理中心建成投用，建成并运营区域养老服务中心7个、养老服务驿站33家、养老助餐点115个、农村邻里互助点165个；文化、体育设施建设全市领先，高标准创建北京市公共文化服务体系示范区，三级公共文化设施实现全覆盖。成功创建延庆镇、张山营镇、康庄镇、大庄科乡4个市级体育特色乡镇、64个区级体育特色村。人均公共文化服务设施面积达到3.18平方米，人均体育场地面积7.7平方米，均大幅高于北京市标准。</w:t>
      </w:r>
    </w:p>
    <w:p>
      <w:pPr>
        <w:pStyle w:val="4"/>
        <w:numPr>
          <w:ilvl w:val="2"/>
          <w:numId w:val="0"/>
        </w:numPr>
        <w:ind w:left="616" w:leftChars="200"/>
        <w:rPr>
          <w:rFonts w:hint="eastAsia" w:ascii="仿宋_GB2312" w:hAnsi="仿宋_GB2312" w:eastAsia="仿宋_GB2312" w:cs="仿宋_GB2312"/>
          <w:b/>
          <w:bCs/>
        </w:rPr>
      </w:pPr>
      <w:bookmarkStart w:id="169" w:name="_Toc204691166"/>
      <w:bookmarkStart w:id="170" w:name="_Toc12687"/>
      <w:bookmarkStart w:id="171" w:name="_Toc26657"/>
      <w:bookmarkStart w:id="172" w:name="_Toc23666"/>
      <w:r>
        <w:rPr>
          <w:rFonts w:hint="eastAsia" w:ascii="仿宋_GB2312" w:hAnsi="仿宋_GB2312" w:eastAsia="仿宋_GB2312" w:cs="仿宋_GB2312"/>
          <w:b/>
          <w:bCs/>
        </w:rPr>
        <w:t>（六）市政基础保障不断夯实</w:t>
      </w:r>
      <w:bookmarkEnd w:id="169"/>
      <w:bookmarkEnd w:id="170"/>
      <w:bookmarkEnd w:id="171"/>
      <w:bookmarkEnd w:id="172"/>
    </w:p>
    <w:p>
      <w:pPr>
        <w:rPr>
          <w:rFonts w:hint="eastAsia" w:ascii="仿宋_GB2312" w:hAnsi="仿宋_GB2312" w:cs="仿宋_GB2312"/>
          <w:spacing w:val="0"/>
          <w:szCs w:val="32"/>
        </w:rPr>
      </w:pPr>
      <w:r>
        <w:rPr>
          <w:rFonts w:hint="eastAsia" w:ascii="仿宋_GB2312" w:hAnsi="仿宋_GB2312" w:cs="仿宋_GB2312"/>
          <w:spacing w:val="0"/>
          <w:szCs w:val="32"/>
        </w:rPr>
        <w:t>综合交通体系全面优化。借势冬奥会、世园会两大重要活动，延庆区交通服务水平实现了极大提升，外畅内联道路交通网络基本形成，成为京津冀区域交通一体化关键节点，交旅融合服务品质再上新台阶，枢纽带动作用持续增强，轨道交通支撑能力和智慧交通设施大幅提升，延庆区已基本构建起布局均衡、结构合理、等级分明、功能完善的道路网系统。公路网形成了“区域大循环、镇域小循环、农村微循环”的现代化公路交通网络体系，荣获“四好农村路”示范县，全区公路总里程突破2000公里，公路网、道路网密度持续提升，二级以上公路网密度由2020年28.34公里/百平方公里，增加至2025年30.46公里/百平方公里；集中建设区（延庆新城内）城市道路网密度由5.86公里/平方公里增加至6.68公里/平方公里；加大最美乡村路创建力度，累计建设4条最美乡村路，共计87.96公里，最美乡村路占比69%，形成多条精品自驾路线，延庆区被授牌为“四好农村路”全国示范县，《“三个坚持”推动“四好农村路”高质量赋能乡村振兴》成功入选交通运输部、农业农村部、文化和旅游部、国家邮政局联合评选的“四好农村路”高质量发展典型案例，滦赤路、古龙路、香龙路、昌赤路新线、妫川山水旅游公路获评国家级最美农村路、市级最美乡村路，第一批旅游公路项目等多项荣誉称号。绿道建设不断完善，旅游景区内绿道建设共计121.6公里，覆盖八达岭长城、北京世园公园等全区12个旅游景区。绿色交通发展深入推进，已开通47条公交线路，线路总长度达1895公里，日均客运量约3万人次，实现了公交线网对全区覆盖。</w:t>
      </w:r>
    </w:p>
    <w:p>
      <w:pPr>
        <w:rPr>
          <w:rFonts w:hint="eastAsia" w:ascii="仿宋_GB2312" w:hAnsi="仿宋_GB2312" w:cs="仿宋_GB2312"/>
          <w:spacing w:val="0"/>
          <w:szCs w:val="32"/>
        </w:rPr>
      </w:pPr>
      <w:r>
        <w:rPr>
          <w:rFonts w:hint="eastAsia" w:ascii="仿宋_GB2312" w:hAnsi="仿宋_GB2312" w:cs="仿宋_GB2312"/>
          <w:spacing w:val="0"/>
          <w:szCs w:val="32"/>
        </w:rPr>
        <w:t>市政保障体系更加稳固。“十四五”期间，延庆区基础设施品质焕然一新，对区域发展形成了稳固支撑。给水领域，持续完善城区给排水基础设施，不断完善老旧小区自来水管线改造，强化村庄供水管网及城乡一体化改造，不断提升农村供水能力，全区7座供水厂最高日供水量达7.2万m³/日，供水安全系数达3.17。排水领域，延庆新城已建成雨水管道约71.9公里，雨水管道覆盖率达63%，新城范围内市政排水管网均已实现雨污分流，城乡污水处理率从90%提升至98.33%，海绵城市建设达标面积9.36平方公里。燃气领域，积极推进能源保障基础设施建设工作，持续推进张山营、永宁等区域的管道及燃气站建设，完成35个老旧小区供热管网改造，延庆区燃气管线总里程达902公里。供热领域，大力开展城区管网改造工作，提升3.4万户居民的供热质量，清洁能源供热比例保持100%，优质能源供热比重从91.6%提升至96.5%。环卫领域，建成垃圾分类全链条体系，延庆区环卫车辆综合管理中心按计划建成，8座镇级生活垃圾转运站建设完成，垃圾前端回收站点实现100%覆盖，生活垃圾无害化处理率达到100%。防灾减灾领域，统筹推进防灾减灾救灾工作，健全应急管理体制机制，编制韧性城市建设工作要点，人均应急避难场所面积从1.54平方米/人增加至1.73平方米/人。</w:t>
      </w:r>
    </w:p>
    <w:p>
      <w:pPr>
        <w:pStyle w:val="3"/>
        <w:ind w:left="616" w:leftChars="200" w:firstLine="4" w:firstLineChars="0"/>
        <w:jc w:val="left"/>
        <w:rPr>
          <w:rFonts w:hint="eastAsia" w:ascii="楷体_GB2312" w:hAnsi="楷体_GB2312" w:eastAsia="楷体_GB2312" w:cs="楷体_GB2312"/>
          <w:spacing w:val="0"/>
        </w:rPr>
      </w:pPr>
      <w:bookmarkStart w:id="173" w:name="_Toc8553"/>
      <w:bookmarkStart w:id="174" w:name="_Toc25416"/>
      <w:bookmarkStart w:id="175" w:name="_Toc26774"/>
      <w:bookmarkStart w:id="176" w:name="_Toc15183"/>
      <w:bookmarkStart w:id="177" w:name="_Toc30739"/>
      <w:bookmarkStart w:id="178" w:name="_Toc204691167"/>
      <w:r>
        <w:rPr>
          <w:rFonts w:hint="eastAsia" w:ascii="楷体_GB2312" w:hAnsi="楷体_GB2312" w:eastAsia="楷体_GB2312" w:cs="楷体_GB2312"/>
          <w:spacing w:val="0"/>
        </w:rPr>
        <w:t>存在问题</w:t>
      </w:r>
      <w:bookmarkEnd w:id="142"/>
      <w:bookmarkEnd w:id="173"/>
      <w:bookmarkEnd w:id="174"/>
      <w:bookmarkEnd w:id="175"/>
      <w:bookmarkEnd w:id="176"/>
      <w:bookmarkEnd w:id="177"/>
      <w:bookmarkEnd w:id="178"/>
    </w:p>
    <w:p>
      <w:pPr>
        <w:pStyle w:val="4"/>
        <w:numPr>
          <w:ilvl w:val="2"/>
          <w:numId w:val="0"/>
        </w:numPr>
        <w:ind w:left="616" w:leftChars="200"/>
        <w:rPr>
          <w:rFonts w:hint="eastAsia" w:ascii="仿宋_GB2312" w:hAnsi="仿宋_GB2312" w:eastAsia="仿宋_GB2312" w:cs="仿宋_GB2312"/>
          <w:b/>
          <w:bCs/>
        </w:rPr>
      </w:pPr>
      <w:bookmarkStart w:id="179" w:name="_Toc29226"/>
      <w:bookmarkStart w:id="180" w:name="_Toc25877"/>
      <w:bookmarkStart w:id="181" w:name="_Toc2228"/>
      <w:bookmarkStart w:id="182" w:name="_Toc204691168"/>
      <w:r>
        <w:rPr>
          <w:rFonts w:hint="eastAsia" w:ascii="仿宋_GB2312" w:hAnsi="仿宋_GB2312" w:eastAsia="仿宋_GB2312" w:cs="仿宋_GB2312"/>
          <w:b/>
          <w:bCs/>
        </w:rPr>
        <w:t>（一）城乡发展格局尚需优化，规划管控有待精准施策</w:t>
      </w:r>
      <w:bookmarkEnd w:id="179"/>
      <w:bookmarkEnd w:id="180"/>
      <w:bookmarkEnd w:id="181"/>
      <w:bookmarkEnd w:id="182"/>
    </w:p>
    <w:p>
      <w:pPr>
        <w:rPr>
          <w:rFonts w:hint="eastAsia" w:ascii="仿宋_GB2312" w:hAnsi="仿宋_GB2312" w:cs="仿宋_GB2312"/>
          <w:spacing w:val="0"/>
          <w:szCs w:val="32"/>
        </w:rPr>
      </w:pPr>
      <w:r>
        <w:rPr>
          <w:rFonts w:hint="eastAsia" w:ascii="仿宋_GB2312" w:hAnsi="仿宋_GB2312" w:cs="仿宋_GB2312"/>
          <w:spacing w:val="0"/>
          <w:szCs w:val="32"/>
        </w:rPr>
        <w:t>城乡建设水平仍需继续提升。城市空间整体性及各重点功能区的协同性需进一步加强，不同片区城市建设品质不均衡，重点地区辨识度有待增强，城区中高品质空间较少，城乡融合发展仍需深入推进，各乡镇差异化发展及融合发展路径有待持续深化，和美乡村建设仍待完善，全面推进乡村振兴工作统筹力度需持续提升，农文旅融合深度不足，乡村吸引力有待进一步加强。</w:t>
      </w:r>
    </w:p>
    <w:p>
      <w:pPr>
        <w:rPr>
          <w:rFonts w:hint="eastAsia" w:ascii="仿宋_GB2312" w:hAnsi="仿宋_GB2312" w:cs="仿宋_GB2312"/>
          <w:spacing w:val="0"/>
          <w:szCs w:val="32"/>
        </w:rPr>
      </w:pPr>
      <w:r>
        <w:rPr>
          <w:rFonts w:hint="eastAsia" w:ascii="仿宋_GB2312" w:hAnsi="仿宋_GB2312" w:cs="仿宋_GB2312"/>
          <w:spacing w:val="0"/>
          <w:szCs w:val="32"/>
        </w:rPr>
        <w:t>土地资源投放尚需精准管控。各乡镇地区土地资源复杂，需要进一步强化土地资源利用引导，提高土地资源的优化配置水平，延庆新城、康庄镇、永宁镇城乡建设用地规模、建筑规模与规划目标相比仍有余量，需加强规划实施与管理，加快高质量建设进程；张山营镇、八达岭镇需注重减量发展，井庄镇、大庄科乡、刘斌堡乡等中、东部地区乡镇仍需持续减量，部分集体产业用地、村庄公服设施用地产权复杂，减量实施难度大；延庆新城及中关村延庆园经营性地块库存量大，受房地产市场降温影响，面临市场交易规模收缩压力，产业用地闲置低效问题有待精准施策。未来需持续推进重点街区、乡镇集中建设区控规编制，强化规划对项目实施的精准引导。</w:t>
      </w:r>
    </w:p>
    <w:p>
      <w:pPr>
        <w:pStyle w:val="4"/>
        <w:numPr>
          <w:ilvl w:val="2"/>
          <w:numId w:val="0"/>
        </w:numPr>
        <w:ind w:left="616" w:leftChars="200"/>
        <w:rPr>
          <w:rFonts w:hint="eastAsia" w:ascii="仿宋_GB2312" w:hAnsi="仿宋_GB2312" w:eastAsia="仿宋_GB2312" w:cs="仿宋_GB2312"/>
        </w:rPr>
      </w:pPr>
      <w:bookmarkStart w:id="183" w:name="_Toc204691169"/>
      <w:bookmarkStart w:id="184" w:name="_Toc4696"/>
      <w:bookmarkStart w:id="185" w:name="_Toc6957"/>
      <w:bookmarkStart w:id="186" w:name="_Toc28299"/>
      <w:r>
        <w:rPr>
          <w:rFonts w:hint="eastAsia" w:ascii="仿宋_GB2312" w:hAnsi="仿宋_GB2312" w:eastAsia="仿宋_GB2312" w:cs="仿宋_GB2312"/>
        </w:rPr>
        <w:t>（二）绿色价值有待充分激发，多元绿色场景</w:t>
      </w:r>
      <w:bookmarkEnd w:id="183"/>
      <w:r>
        <w:rPr>
          <w:rFonts w:hint="eastAsia" w:ascii="仿宋_GB2312" w:hAnsi="仿宋_GB2312" w:eastAsia="仿宋_GB2312" w:cs="仿宋_GB2312"/>
        </w:rPr>
        <w:t>需深化拓展</w:t>
      </w:r>
      <w:bookmarkEnd w:id="184"/>
      <w:bookmarkEnd w:id="185"/>
      <w:bookmarkEnd w:id="186"/>
    </w:p>
    <w:p>
      <w:pPr>
        <w:rPr>
          <w:rFonts w:hint="eastAsia" w:ascii="仿宋_GB2312" w:hAnsi="仿宋_GB2312" w:cs="仿宋_GB2312"/>
          <w:spacing w:val="0"/>
          <w:szCs w:val="32"/>
        </w:rPr>
      </w:pPr>
      <w:bookmarkStart w:id="187" w:name="OLE_LINK49"/>
      <w:bookmarkStart w:id="188" w:name="OLE_LINK50"/>
      <w:bookmarkStart w:id="189" w:name="_Toc204691170"/>
      <w:r>
        <w:rPr>
          <w:rFonts w:hint="eastAsia" w:ascii="仿宋_GB2312" w:hAnsi="仿宋_GB2312" w:cs="仿宋_GB2312"/>
          <w:spacing w:val="0"/>
          <w:szCs w:val="32"/>
        </w:rPr>
        <w:t>重点领域绿色低碳高质量发展亟待落实。延庆区绿色低碳美丽城市建设进程不断加快，需着力加强五大领域建设。绿色建筑新技术应用有待进一步提高。绿色交通出行体系服务功能有待增强，新能源交通设施配套仍需完善。绿色能源开发利用不足，市政基础设施绿色低碳改造相对滞后。绿色管理效能不高，固体废弃物处理亟待加强，城市智慧化管理水平有待提高。</w:t>
      </w:r>
      <w:bookmarkStart w:id="190" w:name="OLE_LINK12"/>
      <w:r>
        <w:rPr>
          <w:rFonts w:hint="eastAsia" w:ascii="仿宋_GB2312" w:hAnsi="仿宋_GB2312" w:cs="仿宋_GB2312"/>
          <w:spacing w:val="0"/>
          <w:szCs w:val="32"/>
        </w:rPr>
        <w:t>城乡绿色空间格局亟待优化，生态环境治理能力需进一步提升，公园体系构建仍需完善，绿道系统有待持续建设，海绵设施建设不充分，生态稳定性及碳汇能效有待强化，绿地服务效能仍需提质。</w:t>
      </w:r>
    </w:p>
    <w:p>
      <w:pPr>
        <w:rPr>
          <w:rFonts w:hint="eastAsia" w:ascii="仿宋_GB2312" w:hAnsi="仿宋_GB2312" w:cs="仿宋_GB2312"/>
          <w:spacing w:val="0"/>
          <w:szCs w:val="32"/>
        </w:rPr>
      </w:pPr>
      <w:bookmarkStart w:id="191" w:name="OLE_LINK19"/>
      <w:r>
        <w:rPr>
          <w:rFonts w:hint="eastAsia" w:ascii="仿宋_GB2312" w:hAnsi="仿宋_GB2312" w:cs="仿宋_GB2312"/>
          <w:spacing w:val="0"/>
          <w:szCs w:val="32"/>
        </w:rPr>
        <w:t>绿色低碳应用新场景需不断强化。园区环境宜人度、生活便利化设施待进一步丰富。景区基础设施亟待向绿色低碳转型升级，生态型休闲娱乐深度体验不足，科技智慧创新应用场景较少。需着力完善全龄友好、无障碍设施、科技智慧、旅居康养等完整社区配套设施，加快建设安全舒适、智慧低碳的好房子。村镇特色主题和定位亟待进一步明确，人居环境品质需系统提升。绿色滨水空间功能在游憩体系构建、配套设施完善、新场景塑造、生态韧性建设等方面仍需强化。</w:t>
      </w:r>
      <w:bookmarkEnd w:id="187"/>
      <w:bookmarkEnd w:id="188"/>
      <w:bookmarkEnd w:id="190"/>
      <w:bookmarkEnd w:id="191"/>
    </w:p>
    <w:p>
      <w:pPr>
        <w:pStyle w:val="4"/>
        <w:numPr>
          <w:ilvl w:val="2"/>
          <w:numId w:val="0"/>
        </w:numPr>
        <w:ind w:left="616" w:leftChars="200"/>
        <w:rPr>
          <w:rFonts w:hint="eastAsia" w:ascii="仿宋_GB2312" w:hAnsi="仿宋_GB2312" w:eastAsia="仿宋_GB2312" w:cs="仿宋_GB2312"/>
          <w:b/>
          <w:bCs/>
        </w:rPr>
      </w:pPr>
      <w:bookmarkStart w:id="192" w:name="_Toc17785"/>
      <w:bookmarkStart w:id="193" w:name="_Toc24690"/>
      <w:bookmarkStart w:id="194" w:name="_Toc28706"/>
      <w:r>
        <w:rPr>
          <w:rFonts w:hint="eastAsia" w:ascii="仿宋_GB2312" w:hAnsi="仿宋_GB2312" w:eastAsia="仿宋_GB2312" w:cs="仿宋_GB2312"/>
          <w:b/>
          <w:bCs/>
        </w:rPr>
        <w:t>（三）产城校地协同联动薄弱，重点片区建设仍需加强</w:t>
      </w:r>
      <w:bookmarkEnd w:id="189"/>
      <w:bookmarkEnd w:id="192"/>
      <w:bookmarkEnd w:id="193"/>
      <w:bookmarkEnd w:id="194"/>
    </w:p>
    <w:p>
      <w:pPr>
        <w:rPr>
          <w:rFonts w:hint="eastAsia" w:ascii="仿宋_GB2312" w:hAnsi="仿宋_GB2312" w:cs="仿宋_GB2312"/>
          <w:spacing w:val="0"/>
          <w:szCs w:val="32"/>
        </w:rPr>
      </w:pPr>
      <w:r>
        <w:rPr>
          <w:rFonts w:hint="eastAsia" w:ascii="仿宋_GB2312" w:hAnsi="仿宋_GB2312" w:cs="仿宋_GB2312"/>
          <w:spacing w:val="0"/>
          <w:szCs w:val="32"/>
        </w:rPr>
        <w:t>三张“金名片”协同带动、深度融合、场景创新不足。长城、世园、冬奥三大资源仍以门票经济为主，产品链条短、游客停留时间短、二次消费贡献薄弱。八达岭景区以传统观光为主，产品创新性、娱乐参与性及沿线资源带动作用有待加强；世园深度体验不足，运营模式单一，对周边土地开发的带动效应亟待提升；冬奥冰雪产业以旅游服务为主，距离“冰雪+度假+培训”体系仍有差距，科技体育等衍生产业发展滞后；三大景区需进一步强化发展联动，大力加强与张家口、昌平等周边地区的跨区域合作。</w:t>
      </w:r>
    </w:p>
    <w:p>
      <w:pPr>
        <w:rPr>
          <w:rFonts w:hint="eastAsia" w:ascii="仿宋_GB2312" w:hAnsi="仿宋_GB2312" w:cs="仿宋_GB2312"/>
          <w:spacing w:val="0"/>
          <w:szCs w:val="32"/>
        </w:rPr>
      </w:pPr>
      <w:r>
        <w:rPr>
          <w:rFonts w:hint="eastAsia" w:ascii="仿宋_GB2312" w:hAnsi="仿宋_GB2312" w:cs="仿宋_GB2312"/>
          <w:spacing w:val="0"/>
          <w:szCs w:val="32"/>
        </w:rPr>
        <w:t>产城校地联动潜力和纵深发展效能尚未激发。</w:t>
      </w:r>
      <w:r>
        <w:rPr>
          <w:rFonts w:ascii="仿宋_GB2312" w:hAnsi="仿宋_GB2312" w:cs="仿宋_GB2312"/>
          <w:spacing w:val="0"/>
          <w:szCs w:val="32"/>
        </w:rPr>
        <w:t>京张高铁延庆站</w:t>
      </w:r>
      <w:r>
        <w:rPr>
          <w:rFonts w:hint="eastAsia" w:ascii="仿宋_GB2312" w:hAnsi="仿宋_GB2312" w:cs="仿宋_GB2312"/>
          <w:spacing w:val="0"/>
          <w:szCs w:val="32"/>
        </w:rPr>
        <w:t>周边地区交通优势、世园公园周边的生态优势、在延高校的科研优势未能充分发挥，片区联动发展不足。园区空间效能偏低，中关村延庆园布局待优化，康庄片区仍有部分低效用地需盘活，产业定位与空间匹配度不足。产业园区对高端人才的吸引力需加强，需加快补足产业配套、生活配套、公共服务配套短板。　</w:t>
      </w:r>
    </w:p>
    <w:p>
      <w:pPr>
        <w:pStyle w:val="4"/>
        <w:numPr>
          <w:ilvl w:val="2"/>
          <w:numId w:val="0"/>
        </w:numPr>
        <w:ind w:left="616" w:leftChars="200"/>
        <w:rPr>
          <w:rFonts w:hint="eastAsia" w:ascii="仿宋_GB2312" w:hAnsi="仿宋_GB2312" w:eastAsia="仿宋_GB2312" w:cs="仿宋_GB2312"/>
          <w:b/>
          <w:bCs/>
        </w:rPr>
      </w:pPr>
      <w:bookmarkStart w:id="195" w:name="_Toc18597"/>
      <w:bookmarkStart w:id="196" w:name="_Toc8996"/>
      <w:bookmarkStart w:id="197" w:name="_Toc27746"/>
      <w:bookmarkStart w:id="198" w:name="_Toc204691171"/>
      <w:r>
        <w:rPr>
          <w:rFonts w:hint="eastAsia" w:ascii="仿宋_GB2312" w:hAnsi="仿宋_GB2312" w:eastAsia="仿宋_GB2312" w:cs="仿宋_GB2312"/>
          <w:b/>
          <w:bCs/>
        </w:rPr>
        <w:t>（四）闲置低效资源亟待挖潜，可持续更新模式仍待探索</w:t>
      </w:r>
      <w:bookmarkEnd w:id="195"/>
      <w:bookmarkEnd w:id="196"/>
      <w:bookmarkEnd w:id="197"/>
      <w:bookmarkEnd w:id="198"/>
    </w:p>
    <w:p>
      <w:pPr>
        <w:rPr>
          <w:rFonts w:hint="eastAsia" w:ascii="仿宋_GB2312" w:hAnsi="仿宋_GB2312" w:cs="仿宋_GB2312"/>
          <w:spacing w:val="0"/>
          <w:szCs w:val="32"/>
        </w:rPr>
      </w:pPr>
      <w:bookmarkStart w:id="199" w:name="_Toc204691172"/>
      <w:r>
        <w:rPr>
          <w:rFonts w:hint="eastAsia" w:ascii="仿宋_GB2312" w:hAnsi="仿宋_GB2312" w:cs="仿宋_GB2312"/>
          <w:spacing w:val="0"/>
          <w:szCs w:val="32"/>
        </w:rPr>
        <w:t>延庆区积极探索实施可持续的城市更新模式。经初步统计，截至目前，延庆区共有各类闲置储备资源300余项，可更新利用资源潜力较大。但“十四五”时期，延庆区城市更新尚处于点状探索、系统性不足的阶段，主要面临的问题包括引入社会资本有难度、产权不清晰、片区统筹不足、宣传推介方式单一等。引入社会资本有难度，一方面，资金投入大但回收周期长，市场主体信心不足，另一方面，受限于开发强度或规范标准等因素，投资回报率较低，社会资本参与度不足。产权不清晰制约资源盘活，新城或镇中心区部分单位自管房权属关系复杂，周边乡镇集体建设用地面临权属登记不全、流转机制不畅等问题。此外，集体建设用地更新路径模糊，尽管政策允许入市，但缺少实操路径，项目难以落地。更新模式碎片化，缺乏区域统筹，目前延庆区城市更新以“点状突破”为主，“片区统筹”的更新模式尚未形成，导致资源整合度低，难以形成规模效应。宣传推介方式单一，延庆区现有城市更新宣传主要依赖政府文件、会议传达等传统形式，宣传广度受限，属地政府、社会资本、产权主体对城市更新政策及意义的认知度和参与度较低。</w:t>
      </w:r>
    </w:p>
    <w:p>
      <w:pPr>
        <w:pStyle w:val="4"/>
        <w:numPr>
          <w:ilvl w:val="2"/>
          <w:numId w:val="0"/>
        </w:numPr>
        <w:ind w:left="616" w:leftChars="200"/>
        <w:rPr>
          <w:rFonts w:hint="eastAsia" w:ascii="仿宋_GB2312" w:hAnsi="仿宋_GB2312" w:eastAsia="仿宋_GB2312" w:cs="仿宋_GB2312"/>
          <w:b/>
          <w:bCs/>
        </w:rPr>
      </w:pPr>
      <w:bookmarkStart w:id="200" w:name="_Toc15671"/>
      <w:bookmarkStart w:id="201" w:name="_Toc28094"/>
      <w:bookmarkStart w:id="202" w:name="_Toc25963"/>
      <w:r>
        <w:rPr>
          <w:rFonts w:hint="eastAsia" w:ascii="仿宋_GB2312" w:hAnsi="仿宋_GB2312" w:eastAsia="仿宋_GB2312" w:cs="仿宋_GB2312"/>
          <w:b/>
          <w:bCs/>
        </w:rPr>
        <w:t>（五）住房结构性供给待优化，高品质特色服务仍需</w:t>
      </w:r>
      <w:bookmarkEnd w:id="199"/>
      <w:r>
        <w:rPr>
          <w:rFonts w:hint="eastAsia" w:ascii="仿宋_GB2312" w:hAnsi="仿宋_GB2312" w:eastAsia="仿宋_GB2312" w:cs="仿宋_GB2312"/>
          <w:b/>
          <w:bCs/>
        </w:rPr>
        <w:t>强化</w:t>
      </w:r>
      <w:bookmarkEnd w:id="200"/>
      <w:bookmarkEnd w:id="201"/>
      <w:bookmarkEnd w:id="202"/>
    </w:p>
    <w:p>
      <w:pPr>
        <w:rPr>
          <w:rFonts w:hint="eastAsia" w:ascii="仿宋_GB2312" w:hAnsi="仿宋_GB2312" w:cs="仿宋_GB2312"/>
          <w:spacing w:val="0"/>
          <w:szCs w:val="32"/>
        </w:rPr>
      </w:pPr>
      <w:r>
        <w:rPr>
          <w:rFonts w:hint="eastAsia" w:ascii="仿宋_GB2312" w:hAnsi="仿宋_GB2312" w:cs="仿宋_GB2312"/>
          <w:spacing w:val="0"/>
          <w:szCs w:val="32"/>
        </w:rPr>
        <w:t>公租房方面，现有房源户型与当前轮候家庭需求不匹配，房源供应过剩，需进一步优化供应结构。商品房方面，需加强特色化与品质型产品供给，优质住宅设计与高质量居住环境打造的“好房子”理念落地缓慢，产品供应与民众期望存在错位，需不断强化房屋品质与配套设施的丰富度，匹配居民住房需求逐渐由刚性需求向改善性需求转变。公共服务应对未来人口多元、特色需求方面仍需加强，在人口老龄化加剧背景下，教育、医疗、养老设施配套与服务水平仍有可提升空间，随着城镇化进程加快和生育政策调整，城区学位不足与部分乡村学校资源闲置问题并存，小学和初中即将面临入学高峰，优质医疗机构、国际学校、养老机构较为缺乏，较难满足未来人才入驻后的多元化生活需求。</w:t>
      </w:r>
    </w:p>
    <w:p>
      <w:pPr>
        <w:pStyle w:val="4"/>
        <w:numPr>
          <w:ilvl w:val="2"/>
          <w:numId w:val="0"/>
        </w:numPr>
        <w:ind w:left="616" w:leftChars="200"/>
        <w:rPr>
          <w:rFonts w:hint="eastAsia" w:ascii="仿宋_GB2312" w:hAnsi="仿宋_GB2312" w:eastAsia="仿宋_GB2312" w:cs="仿宋_GB2312"/>
          <w:b/>
          <w:bCs/>
        </w:rPr>
      </w:pPr>
      <w:bookmarkStart w:id="203" w:name="_Toc204691173"/>
      <w:bookmarkStart w:id="204" w:name="_Toc21359"/>
      <w:bookmarkStart w:id="205" w:name="_Toc10736"/>
      <w:bookmarkStart w:id="206" w:name="_Toc581"/>
      <w:r>
        <w:rPr>
          <w:rFonts w:hint="eastAsia" w:ascii="仿宋_GB2312" w:hAnsi="仿宋_GB2312" w:eastAsia="仿宋_GB2312" w:cs="仿宋_GB2312"/>
          <w:b/>
          <w:bCs/>
        </w:rPr>
        <w:t>（六）交通服务效能有待增强，设施韧性水平仍需</w:t>
      </w:r>
      <w:bookmarkEnd w:id="203"/>
      <w:r>
        <w:rPr>
          <w:rFonts w:hint="eastAsia" w:ascii="仿宋_GB2312" w:hAnsi="仿宋_GB2312" w:eastAsia="仿宋_GB2312" w:cs="仿宋_GB2312"/>
          <w:b/>
          <w:bCs/>
        </w:rPr>
        <w:t>持续关注</w:t>
      </w:r>
      <w:bookmarkEnd w:id="204"/>
      <w:bookmarkEnd w:id="205"/>
      <w:bookmarkEnd w:id="206"/>
    </w:p>
    <w:p>
      <w:pPr>
        <w:rPr>
          <w:rFonts w:hint="eastAsia" w:ascii="仿宋_GB2312" w:hAnsi="仿宋_GB2312" w:cs="仿宋_GB2312"/>
          <w:spacing w:val="0"/>
          <w:szCs w:val="32"/>
        </w:rPr>
      </w:pPr>
      <w:bookmarkStart w:id="207" w:name="_Toc202170178"/>
      <w:r>
        <w:rPr>
          <w:rFonts w:hint="eastAsia" w:ascii="仿宋_GB2312" w:hAnsi="仿宋_GB2312" w:cs="仿宋_GB2312"/>
          <w:spacing w:val="0"/>
          <w:szCs w:val="32"/>
        </w:rPr>
        <w:t>公路交通网络服务品质有待提升，难以充分满足人民群众多元化和多功能的交通出行需求，交旅融合深度与广度不足，公路功能与旅游资源尚未形成高效联动，未能完全契合旅游业发展新态势，旅游公路体系的系统性与适配性需持续优化；公路等级结构、综合服务能力及智慧化服务水平需进一步针对性施策。城乡绿道系统建设功能略显不足，缺乏骑行配套及休憩游览设施，路衍经济潜力尚未充分激发。城区路网体系仍有待完善，交通微循环系统尚不健全，校城融合的通行效率亟待提升，特别是</w:t>
      </w:r>
      <w:r>
        <w:rPr>
          <w:rFonts w:ascii="仿宋_GB2312" w:hAnsi="仿宋_GB2312" w:cs="仿宋_GB2312"/>
          <w:spacing w:val="0"/>
          <w:szCs w:val="32"/>
        </w:rPr>
        <w:t>京张高铁延庆</w:t>
      </w:r>
      <w:r>
        <w:rPr>
          <w:rFonts w:hint="eastAsia" w:ascii="仿宋_GB2312" w:hAnsi="仿宋_GB2312" w:cs="仿宋_GB2312"/>
          <w:spacing w:val="0"/>
          <w:szCs w:val="32"/>
        </w:rPr>
        <w:t>站周边片区、奥林匹克学院、北方工大校区等重点功能区，其周边交通基础设施配套建设有待增补。景区间交通联系便捷度不高，游客换乘不便，旅游旺季重点景区公交线路运力不足。</w:t>
      </w:r>
    </w:p>
    <w:p>
      <w:pPr>
        <w:rPr>
          <w:rFonts w:hint="eastAsia" w:ascii="仿宋_GB2312" w:hAnsi="仿宋_GB2312" w:cs="仿宋_GB2312"/>
          <w:spacing w:val="0"/>
          <w:szCs w:val="32"/>
        </w:rPr>
      </w:pPr>
      <w:r>
        <w:rPr>
          <w:rFonts w:hint="eastAsia" w:ascii="仿宋_GB2312" w:hAnsi="仿宋_GB2312" w:cs="仿宋_GB2312"/>
          <w:spacing w:val="0"/>
          <w:szCs w:val="32"/>
        </w:rPr>
        <w:t>市政基础设施存在偏远地区覆盖不足、局部老化、智慧化水平有待提升等问题，城乡安全韧性需持续关注。供水方面，连通性、管网及供水站标准化有待提升，康庄镇、八达岭镇用水存在缺口。污水方面，雨污分流改造成果需进一步巩固，污水处理设施应进一步向节能改造与低碳方向转型。燃气方面，部分乡镇燃气覆盖不足，老旧管网亟待改造。热力系统在可再生能源占比、智慧供热方面需进一步提升。环卫方面，需进一步提升垃圾分类、垃圾处理资源化及智慧监管水平，乡镇级环卫设施不足，垃圾转运效率偏低。水利领域防灾减灾体系薄弱，突出表现为水利基础设施滞后、农村河道防洪达标率不足，防洪预警、救灾应急能力亟须提升。</w:t>
      </w:r>
      <w:r>
        <w:rPr>
          <w:rFonts w:hint="eastAsia" w:ascii="仿宋_GB2312" w:hAnsi="仿宋_GB2312" w:cs="仿宋_GB2312"/>
          <w:spacing w:val="0"/>
          <w:szCs w:val="32"/>
        </w:rPr>
        <w:br w:type="page"/>
      </w:r>
    </w:p>
    <w:p>
      <w:pPr>
        <w:pStyle w:val="34"/>
        <w:spacing w:before="156" w:after="156"/>
        <w:rPr>
          <w:rFonts w:hint="eastAsia"/>
          <w:spacing w:val="0"/>
        </w:rPr>
      </w:pPr>
      <w:bookmarkStart w:id="208" w:name="_Toc18972"/>
      <w:bookmarkStart w:id="209" w:name="_Toc19030"/>
      <w:bookmarkStart w:id="210" w:name="_Toc22201"/>
      <w:bookmarkStart w:id="211" w:name="_Toc204691174"/>
      <w:bookmarkStart w:id="212" w:name="_Toc30583"/>
      <w:bookmarkStart w:id="213" w:name="_Toc14430"/>
      <w:r>
        <w:rPr>
          <w:rFonts w:hint="eastAsia"/>
          <w:spacing w:val="0"/>
        </w:rPr>
        <w:t>“十五五”时期城乡建设发展面临形势</w:t>
      </w:r>
      <w:bookmarkEnd w:id="207"/>
      <w:bookmarkEnd w:id="208"/>
      <w:bookmarkEnd w:id="209"/>
      <w:bookmarkEnd w:id="210"/>
      <w:bookmarkEnd w:id="211"/>
      <w:bookmarkEnd w:id="212"/>
      <w:bookmarkEnd w:id="213"/>
    </w:p>
    <w:p>
      <w:pPr>
        <w:pStyle w:val="3"/>
        <w:ind w:left="616" w:leftChars="200" w:firstLine="4" w:firstLineChars="0"/>
        <w:jc w:val="left"/>
        <w:rPr>
          <w:rFonts w:hint="eastAsia" w:ascii="楷体_GB2312" w:hAnsi="楷体_GB2312" w:eastAsia="楷体_GB2312" w:cs="楷体_GB2312"/>
          <w:spacing w:val="0"/>
        </w:rPr>
      </w:pPr>
      <w:bookmarkStart w:id="214" w:name="_Toc6860"/>
      <w:bookmarkStart w:id="215" w:name="_Toc18536"/>
      <w:bookmarkStart w:id="216" w:name="_Toc31484"/>
      <w:bookmarkStart w:id="217" w:name="_Toc18032"/>
      <w:bookmarkStart w:id="218" w:name="_Toc204691175"/>
      <w:bookmarkStart w:id="219" w:name="_Toc23679"/>
      <w:r>
        <w:rPr>
          <w:rFonts w:hint="eastAsia" w:ascii="楷体_GB2312" w:hAnsi="楷体_GB2312" w:eastAsia="楷体_GB2312" w:cs="楷体_GB2312"/>
          <w:spacing w:val="0"/>
        </w:rPr>
        <w:t>发展机遇</w:t>
      </w:r>
      <w:bookmarkEnd w:id="214"/>
      <w:bookmarkEnd w:id="215"/>
      <w:bookmarkEnd w:id="216"/>
      <w:bookmarkEnd w:id="217"/>
      <w:bookmarkEnd w:id="218"/>
      <w:bookmarkEnd w:id="219"/>
    </w:p>
    <w:p>
      <w:pPr>
        <w:ind w:firstLine="643"/>
        <w:rPr>
          <w:rFonts w:hint="eastAsia" w:ascii="仿宋_GB2312" w:hAnsi="仿宋_GB2312" w:cs="仿宋_GB2312"/>
          <w:spacing w:val="0"/>
          <w:szCs w:val="32"/>
        </w:rPr>
      </w:pPr>
      <w:r>
        <w:rPr>
          <w:rFonts w:hint="eastAsia" w:ascii="仿宋_GB2312" w:hAnsi="仿宋_GB2312" w:cs="仿宋_GB2312"/>
          <w:b/>
          <w:bCs/>
          <w:spacing w:val="0"/>
          <w:szCs w:val="32"/>
        </w:rPr>
        <w:t>一是党的二十届四中全会、中央城市工作会议指明城市发展新方向。</w:t>
      </w:r>
      <w:r>
        <w:rPr>
          <w:rFonts w:hint="eastAsia" w:ascii="仿宋_GB2312" w:hAnsi="仿宋_GB2312" w:cs="仿宋_GB2312"/>
          <w:spacing w:val="0"/>
          <w:szCs w:val="32"/>
        </w:rPr>
        <w:t>二十届四中全会审议通过了《中共中央关于制定国民经济和社会发展第十五个五年规划的建议》，提出“十五五”阶段锚定高质量发展取得显著成效，科技自立自强水平大幅提高，进一步全面深化改革取得新突破，社会文明程度明显提升，人民生活品质不断提高，美丽中国建设取得新的重大进展，国家安全屏障更加巩固。习近平总书记在中央城市工作会议上提出了城市工作创新、宜居、美丽、韧性、文明、智慧七个方面的重点任务，为做好新时代城市工作提供了根本遵循。延庆区依托资源禀赋和基础条件，锚定最美冬奥城和国际一流的生态文明示范区建设，持续完善城乡规划体系，加快推动重点功能区建设，深刻领悟城市发展进入新阶段的重要判断和“五个转变”的重要原则，更加注重以人为本、集约高效、特色发展、治理投入、统筹协调，大力推动城市结构优化、动能转换、品质提升、绿色转型、文脉赓续、治理增效。</w:t>
      </w:r>
    </w:p>
    <w:p>
      <w:pPr>
        <w:ind w:firstLine="643"/>
        <w:rPr>
          <w:rFonts w:hint="eastAsia" w:ascii="仿宋_GB2312" w:hAnsi="仿宋_GB2312" w:cs="仿宋_GB2312"/>
          <w:spacing w:val="0"/>
          <w:szCs w:val="32"/>
        </w:rPr>
      </w:pPr>
      <w:r>
        <w:rPr>
          <w:rFonts w:hint="eastAsia" w:ascii="仿宋_GB2312" w:hAnsi="仿宋_GB2312" w:cs="仿宋_GB2312"/>
          <w:b/>
          <w:bCs/>
          <w:spacing w:val="0"/>
          <w:szCs w:val="32"/>
        </w:rPr>
        <w:t>二是现代化首都都市圈为区域发展加速区域创新发展。</w:t>
      </w:r>
      <w:r>
        <w:rPr>
          <w:rFonts w:hint="eastAsia" w:ascii="仿宋_GB2312" w:hAnsi="仿宋_GB2312" w:cs="仿宋_GB2312"/>
          <w:spacing w:val="0"/>
          <w:szCs w:val="32"/>
        </w:rPr>
        <w:t>现代化首都都市圈建设迈出新步伐，产业、科技、交通、生态、公共服务、文化旅游等重点领域同城化效应不断深入，延庆区作为京津冀协同发展西北门户，京张体育文化旅游带的关键节点，具备承接首都产业转移，打造科技创新增长引擎，建设文体旅休闲核心载体的发展优势，也是依托优质的生态本底，促进北京优质教育医疗资源向西北部河北地区延伸，推进优质公共服务设施环京布局，推进通勤圈聚焦职住协同的关键区域。</w:t>
      </w:r>
    </w:p>
    <w:p>
      <w:pPr>
        <w:ind w:firstLine="643"/>
        <w:rPr>
          <w:rFonts w:hint="eastAsia" w:ascii="仿宋_GB2312" w:hAnsi="仿宋_GB2312" w:cs="仿宋_GB2312"/>
          <w:spacing w:val="0"/>
          <w:szCs w:val="32"/>
        </w:rPr>
      </w:pPr>
      <w:r>
        <w:rPr>
          <w:rFonts w:hint="eastAsia" w:ascii="仿宋_GB2312" w:hAnsi="仿宋_GB2312" w:cs="仿宋_GB2312"/>
          <w:b/>
          <w:bCs/>
          <w:spacing w:val="0"/>
          <w:szCs w:val="32"/>
        </w:rPr>
        <w:t>三是首都“四个中心”“四个服务”能量释放更加显著。</w:t>
      </w:r>
      <w:r>
        <w:rPr>
          <w:rFonts w:hint="eastAsia" w:ascii="仿宋_GB2312" w:hAnsi="仿宋_GB2312" w:cs="仿宋_GB2312"/>
          <w:spacing w:val="0"/>
          <w:szCs w:val="32"/>
        </w:rPr>
        <w:t>北京迈入率先实现社会主义现代化的关键时期，总体规划和分区规划深度实施，进入深化改革和高质量发展阶段，北京市在深入落实京津冀协同发展战略、推进新型城镇化及乡村振兴、推动产业特色转型等方面向生态涵养区释放更多发展潜力，作为首都功能重要承载地，延庆区紧扣服务首都发展大局，未来将通过强化生态保障功能，提升国际交往水平、强化科技创新能力、加强文化服务水平、服务首都高品质生活需求，打造首善标准的“首都后花园”、国际交往新名片、科技创新新载体。</w:t>
      </w:r>
    </w:p>
    <w:p>
      <w:pPr>
        <w:ind w:firstLine="643"/>
        <w:rPr>
          <w:rFonts w:hint="eastAsia" w:ascii="仿宋_GB2312" w:hAnsi="仿宋_GB2312" w:cs="仿宋_GB2312"/>
          <w:spacing w:val="0"/>
          <w:szCs w:val="32"/>
        </w:rPr>
      </w:pPr>
      <w:r>
        <w:rPr>
          <w:rFonts w:hint="eastAsia" w:ascii="仿宋_GB2312" w:hAnsi="仿宋_GB2312" w:cs="仿宋_GB2312"/>
          <w:b/>
          <w:bCs/>
          <w:spacing w:val="0"/>
          <w:szCs w:val="32"/>
        </w:rPr>
        <w:t>四是“两山”理论为延庆区高质量绿色发展持续注入动力。</w:t>
      </w:r>
      <w:r>
        <w:rPr>
          <w:rFonts w:hint="eastAsia" w:ascii="仿宋_GB2312" w:hAnsi="仿宋_GB2312" w:cs="仿宋_GB2312"/>
          <w:spacing w:val="0"/>
          <w:szCs w:val="32"/>
        </w:rPr>
        <w:t>首都高度重视并大力推进生态涵养区保护和绿色发展，为延庆区发展提供有力保障，作为首都生态涵养区，延庆区“国际一流的生态文明示范区”定位明确、绿色发展道路路径坚定、生态本底优势突出，已成为展示首都乃至中国生态文明的重要窗口，将一如既往、坚定不移地贯彻习近平总书记世园会开幕式重要讲话精神，牢记习近平总书记“延庆是属于未来的”重要嘱托，不断探索“绿水青山转化为金山银山”的有效路径，为推动美丽中国建设贡献延庆经验、延庆智慧、延庆方案。</w:t>
      </w:r>
    </w:p>
    <w:p>
      <w:pPr>
        <w:pStyle w:val="3"/>
        <w:ind w:left="616" w:leftChars="200" w:firstLine="4" w:firstLineChars="0"/>
        <w:jc w:val="left"/>
        <w:rPr>
          <w:rFonts w:hint="eastAsia" w:ascii="楷体_GB2312" w:hAnsi="楷体_GB2312" w:eastAsia="楷体_GB2312" w:cs="楷体_GB2312"/>
          <w:spacing w:val="0"/>
        </w:rPr>
      </w:pPr>
      <w:bookmarkStart w:id="220" w:name="_Toc2181"/>
      <w:bookmarkStart w:id="221" w:name="_Toc750"/>
      <w:bookmarkStart w:id="222" w:name="_Toc204691176"/>
      <w:bookmarkStart w:id="223" w:name="_Toc13404"/>
      <w:bookmarkStart w:id="224" w:name="_Toc17695"/>
      <w:bookmarkStart w:id="225" w:name="_Toc18172"/>
      <w:r>
        <w:rPr>
          <w:rFonts w:hint="eastAsia" w:ascii="楷体_GB2312" w:hAnsi="楷体_GB2312" w:eastAsia="楷体_GB2312" w:cs="楷体_GB2312"/>
          <w:spacing w:val="0"/>
        </w:rPr>
        <w:t>面临挑战</w:t>
      </w:r>
      <w:bookmarkEnd w:id="220"/>
      <w:bookmarkEnd w:id="221"/>
      <w:bookmarkEnd w:id="222"/>
      <w:bookmarkEnd w:id="223"/>
      <w:bookmarkEnd w:id="224"/>
      <w:bookmarkEnd w:id="225"/>
    </w:p>
    <w:p>
      <w:pPr>
        <w:rPr>
          <w:rFonts w:hint="eastAsia" w:ascii="仿宋_GB2312" w:hAnsi="仿宋_GB2312" w:cs="仿宋_GB2312"/>
          <w:spacing w:val="0"/>
          <w:szCs w:val="32"/>
        </w:rPr>
      </w:pPr>
      <w:bookmarkStart w:id="226" w:name="_Toc11386"/>
      <w:bookmarkStart w:id="227" w:name="_Hlk87136505"/>
      <w:bookmarkStart w:id="228" w:name="_Toc8211"/>
      <w:bookmarkStart w:id="229" w:name="_Hlk87136515"/>
      <w:r>
        <w:rPr>
          <w:rFonts w:hint="eastAsia" w:ascii="仿宋_GB2312" w:hAnsi="仿宋_GB2312" w:cs="仿宋_GB2312"/>
          <w:spacing w:val="0"/>
          <w:szCs w:val="32"/>
        </w:rPr>
        <w:t>一是践行生态文明理念，对低碳绿色发展路径提出更高要求</w:t>
      </w:r>
      <w:bookmarkEnd w:id="226"/>
      <w:bookmarkEnd w:id="227"/>
      <w:r>
        <w:rPr>
          <w:rFonts w:hint="eastAsia" w:ascii="仿宋_GB2312" w:hAnsi="仿宋_GB2312" w:cs="仿宋_GB2312"/>
          <w:spacing w:val="0"/>
          <w:szCs w:val="32"/>
        </w:rPr>
        <w:t>。当前延庆区生态环境品质与国际一流生态文明示范区要求尚有差距，生态系统质量和服务功能有待提升，拓展“绿水青山”向“金山银山”转化的路径不够有力，绿色大事带动效应不足，GEP应用场景仍有待丰富，多领域的绿色示范有待先行，这需要延庆区更加注重特色发展，把传统价值与未来的时代需求结合起来，运用好、传承好世园会、冬奥会“两件大事”留下的丰厚物质遗产和精神财富，不断创新路径激发“三张金名片”的潜力转化，突破绿色技术革新，打造绿色创新支撑环境，强化资源集聚和协同发展，加快创新一批绿色低碳新场景，推动城市规划建设各领域绿色低碳发展，建成生态文明画卷优美、绿色动能强劲、魅力彰显的最美冬奥城。</w:t>
      </w:r>
    </w:p>
    <w:p>
      <w:pPr>
        <w:rPr>
          <w:rFonts w:hint="eastAsia" w:ascii="仿宋_GB2312" w:hAnsi="仿宋_GB2312" w:cs="仿宋_GB2312"/>
          <w:spacing w:val="0"/>
          <w:szCs w:val="32"/>
        </w:rPr>
      </w:pPr>
      <w:r>
        <w:rPr>
          <w:rFonts w:hint="eastAsia" w:ascii="仿宋_GB2312" w:hAnsi="仿宋_GB2312" w:cs="仿宋_GB2312"/>
          <w:spacing w:val="0"/>
          <w:szCs w:val="32"/>
        </w:rPr>
        <w:t>二是地区建设品质与大国首都底色的标准相比仍有差距。城乡空间布局仍需进一步优化，产业发展基础尚不牢固，地区经济总量小，主导产业发展缓慢，龙头企业规模较小，优质企业的服务能力存在短板，文旅产业深度融合有待探索，城市更新、生态环境保护、绿色发展任务依然繁重，民生保障、服务配套、应急防灾和安全保障能力、智慧城市建设、现代化治理能力等领域存在短板，城乡发展不平衡不充分问题依然存在，践行以人民为中心的发展思想、不断提升民生福祉的能力。</w:t>
      </w:r>
    </w:p>
    <w:p>
      <w:pPr>
        <w:rPr>
          <w:rFonts w:hint="eastAsia" w:ascii="仿宋_GB2312" w:hAnsi="仿宋_GB2312" w:cs="仿宋_GB2312"/>
          <w:bCs/>
          <w:spacing w:val="0"/>
          <w:szCs w:val="32"/>
        </w:rPr>
      </w:pPr>
      <w:r>
        <w:rPr>
          <w:rFonts w:hint="eastAsia" w:ascii="仿宋_GB2312" w:hAnsi="仿宋_GB2312" w:cs="仿宋_GB2312"/>
          <w:spacing w:val="0"/>
          <w:szCs w:val="32"/>
        </w:rPr>
        <w:t>三是延庆区由增量发展迈入增存并举阶段，面临高质量发展与内涵提升双重</w:t>
      </w:r>
      <w:bookmarkEnd w:id="228"/>
      <w:r>
        <w:rPr>
          <w:rFonts w:hint="eastAsia" w:ascii="仿宋_GB2312" w:hAnsi="仿宋_GB2312" w:cs="仿宋_GB2312"/>
          <w:spacing w:val="0"/>
          <w:szCs w:val="32"/>
        </w:rPr>
        <w:t>压力</w:t>
      </w:r>
      <w:r>
        <w:rPr>
          <w:rFonts w:hint="eastAsia" w:ascii="仿宋_GB2312" w:hAnsi="仿宋_GB2312" w:cs="仿宋_GB2312"/>
          <w:b/>
          <w:bCs/>
          <w:spacing w:val="0"/>
          <w:szCs w:val="32"/>
        </w:rPr>
        <w:t>。</w:t>
      </w:r>
      <w:bookmarkEnd w:id="229"/>
      <w:r>
        <w:rPr>
          <w:rFonts w:hint="eastAsia" w:ascii="仿宋_GB2312" w:hAnsi="仿宋_GB2312" w:cs="仿宋_GB2312"/>
          <w:spacing w:val="0"/>
          <w:szCs w:val="32"/>
        </w:rPr>
        <w:t>当前延庆区“多规合一”国土空间规划体系进入落地见效的实施阶段，与此同时，越来越多的存量资源有待盘活，土地开发与城市更新任务并行，对高质量发展带来极大挑战，另一方面，延庆区城镇化从增长期转向稳定发展期，人口从规模增长转向结构分化，人民对美好生活的向往变得更加强烈，多元人群差异化的需求更加显著，设施供给要求从“有没有”转向“好不好”和“优不优”，这需要全区城乡建设工作更加强化科学调控，精准配置土地资源要素，提升城市品质，探索应对人群需求的差异化特色化设施供给模式，以更大力度引增量、育存量、提质量。</w:t>
      </w:r>
      <w:bookmarkEnd w:id="101"/>
      <w:bookmarkEnd w:id="143"/>
      <w:bookmarkEnd w:id="144"/>
      <w:bookmarkEnd w:id="145"/>
      <w:bookmarkEnd w:id="146"/>
      <w:bookmarkEnd w:id="147"/>
      <w:bookmarkEnd w:id="148"/>
      <w:bookmarkEnd w:id="149"/>
      <w:bookmarkEnd w:id="150"/>
      <w:r>
        <w:rPr>
          <w:rFonts w:hint="eastAsia" w:ascii="仿宋_GB2312" w:hAnsi="仿宋_GB2312" w:cs="仿宋_GB2312"/>
          <w:spacing w:val="0"/>
          <w:szCs w:val="32"/>
        </w:rPr>
        <w:br w:type="page"/>
      </w:r>
    </w:p>
    <w:p>
      <w:pPr>
        <w:pStyle w:val="34"/>
        <w:spacing w:before="156" w:after="156"/>
        <w:rPr>
          <w:rFonts w:hint="eastAsia"/>
          <w:spacing w:val="0"/>
        </w:rPr>
      </w:pPr>
      <w:bookmarkStart w:id="230" w:name="_Toc11938"/>
      <w:bookmarkStart w:id="231" w:name="_Toc204691177"/>
      <w:bookmarkStart w:id="232" w:name="_Toc4839"/>
      <w:bookmarkStart w:id="233" w:name="_Toc23822"/>
      <w:bookmarkStart w:id="234" w:name="_Toc12130"/>
      <w:bookmarkStart w:id="235" w:name="_Toc3852"/>
      <w:r>
        <w:rPr>
          <w:rFonts w:hint="eastAsia"/>
          <w:spacing w:val="0"/>
        </w:rPr>
        <w:t>指导思想、基本原则与发展目标</w:t>
      </w:r>
      <w:bookmarkEnd w:id="102"/>
      <w:bookmarkEnd w:id="103"/>
      <w:bookmarkEnd w:id="104"/>
      <w:bookmarkEnd w:id="105"/>
      <w:bookmarkEnd w:id="106"/>
      <w:bookmarkEnd w:id="107"/>
      <w:bookmarkEnd w:id="108"/>
      <w:bookmarkEnd w:id="109"/>
      <w:bookmarkEnd w:id="110"/>
      <w:bookmarkEnd w:id="230"/>
      <w:bookmarkEnd w:id="231"/>
      <w:bookmarkEnd w:id="232"/>
      <w:bookmarkEnd w:id="233"/>
      <w:bookmarkEnd w:id="234"/>
      <w:bookmarkEnd w:id="235"/>
      <w:bookmarkStart w:id="236" w:name="_Toc23858"/>
      <w:bookmarkStart w:id="237" w:name="_Toc19563"/>
      <w:bookmarkStart w:id="238" w:name="_Toc21807"/>
      <w:bookmarkStart w:id="239" w:name="_Toc328"/>
      <w:bookmarkStart w:id="240" w:name="_Toc30534"/>
      <w:bookmarkStart w:id="241" w:name="_Toc23696"/>
    </w:p>
    <w:p>
      <w:pPr>
        <w:pStyle w:val="3"/>
        <w:ind w:left="616" w:leftChars="200" w:firstLine="4" w:firstLineChars="0"/>
        <w:jc w:val="left"/>
        <w:rPr>
          <w:rFonts w:hint="eastAsia" w:ascii="楷体_GB2312" w:hAnsi="楷体_GB2312" w:eastAsia="楷体_GB2312" w:cs="楷体_GB2312"/>
          <w:spacing w:val="0"/>
        </w:rPr>
      </w:pPr>
      <w:bookmarkStart w:id="242" w:name="_Toc22465"/>
      <w:bookmarkStart w:id="243" w:name="_Toc204691178"/>
      <w:bookmarkStart w:id="244" w:name="_Toc202170180"/>
      <w:bookmarkStart w:id="245" w:name="_Toc6540"/>
      <w:bookmarkStart w:id="246" w:name="_Toc2143"/>
      <w:bookmarkStart w:id="247" w:name="_Toc16328"/>
      <w:bookmarkStart w:id="248" w:name="_Toc22338"/>
      <w:bookmarkStart w:id="249" w:name="_Toc8435"/>
      <w:bookmarkStart w:id="250" w:name="_Toc18582"/>
      <w:r>
        <w:rPr>
          <w:rFonts w:hint="eastAsia" w:ascii="楷体_GB2312" w:hAnsi="楷体_GB2312" w:eastAsia="楷体_GB2312" w:cs="楷体_GB2312"/>
          <w:spacing w:val="0"/>
        </w:rPr>
        <w:t>指导思想</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Start w:id="251" w:name="_Toc55808667"/>
    </w:p>
    <w:p>
      <w:pPr>
        <w:ind w:firstLine="616"/>
        <w:rPr>
          <w:rFonts w:hint="eastAsia" w:ascii="仿宋_GB2312" w:hAnsi="仿宋_GB2312" w:cs="仿宋_GB2312"/>
          <w:szCs w:val="32"/>
        </w:rPr>
      </w:pPr>
      <w:r>
        <w:rPr>
          <w:rFonts w:hint="eastAsia" w:ascii="仿宋_GB2312" w:hAnsi="仿宋_GB2312" w:cs="仿宋_GB2312"/>
          <w:szCs w:val="32"/>
        </w:rPr>
        <w:t>坚持马克思列宁主义、毛泽东思想、邓小平理论、“三个代表”重要思想、科学发展观，全面贯彻习近平新时代中国特色社会主义思想，深入贯彻党的二十大和二十届历次全会精神，领会中央城市工作会议精神，学习贯彻习近平总书记给八达岭镇石峡村乡亲们的重要回信精神，牢记“延庆是属于未来的”重要嘱托，完整准确全面贯彻新发展理念，坚持以新时代首都发展为统领，大力加强“四个中心”功能建设，深入实施京津冀协同发展战略，扎实推动以人民为中心的高质量发展，立足生态涵养区功能定位，加快地区高质量绿色发展，大力推动“两山”理念在延庆区形成生动实践，顺应后冬奥时期城乡建设新形势、高质量发展新要求和人民群众新期待，全面优化现代化城市体系，着力建设绿色低碳的美丽城市、富有活力的创新城市、舒适便利的宜居城市、安全可靠的韧性城市、崇德向善的文明城市、便捷高效的智慧城市，大力推进国际一流的生态文明示范区建设，为构建生态文明幸福的最美冬奥城提供坚实保障。</w:t>
      </w:r>
    </w:p>
    <w:p>
      <w:pPr>
        <w:pStyle w:val="3"/>
        <w:ind w:left="616" w:leftChars="200" w:firstLine="4" w:firstLineChars="0"/>
        <w:jc w:val="left"/>
        <w:rPr>
          <w:rFonts w:hint="eastAsia" w:ascii="楷体_GB2312" w:hAnsi="楷体_GB2312" w:eastAsia="楷体_GB2312" w:cs="楷体_GB2312"/>
          <w:spacing w:val="0"/>
        </w:rPr>
      </w:pPr>
      <w:bookmarkStart w:id="252" w:name="_Toc204691179"/>
      <w:bookmarkStart w:id="253" w:name="_Toc29408"/>
      <w:bookmarkStart w:id="254" w:name="_Toc19187"/>
      <w:bookmarkStart w:id="255" w:name="_Toc6641"/>
      <w:bookmarkStart w:id="256" w:name="_Toc5613"/>
      <w:bookmarkStart w:id="257" w:name="_Toc55808670"/>
      <w:bookmarkStart w:id="258" w:name="_Toc8249"/>
      <w:bookmarkStart w:id="259" w:name="_Toc30518"/>
      <w:bookmarkStart w:id="260" w:name="_Toc24496"/>
      <w:bookmarkStart w:id="261" w:name="_Toc202170181"/>
      <w:bookmarkStart w:id="262" w:name="_Toc14099"/>
      <w:bookmarkStart w:id="263" w:name="_Toc14898"/>
      <w:bookmarkStart w:id="264" w:name="_Toc27369"/>
      <w:bookmarkStart w:id="265" w:name="_Toc29430"/>
      <w:bookmarkStart w:id="266" w:name="_Toc6994"/>
      <w:bookmarkStart w:id="267" w:name="_Toc16270"/>
      <w:r>
        <w:rPr>
          <w:rFonts w:hint="eastAsia" w:ascii="楷体_GB2312" w:hAnsi="楷体_GB2312" w:eastAsia="楷体_GB2312" w:cs="楷体_GB2312"/>
          <w:spacing w:val="0"/>
        </w:rPr>
        <w:t>基本原则</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rPr>
          <w:rFonts w:hint="eastAsia" w:ascii="仿宋_GB2312" w:hAnsi="仿宋_GB2312" w:cs="仿宋_GB2312"/>
          <w:spacing w:val="0"/>
          <w:szCs w:val="32"/>
        </w:rPr>
      </w:pPr>
      <w:r>
        <w:rPr>
          <w:rFonts w:hint="eastAsia" w:ascii="仿宋_GB2312" w:hAnsi="仿宋_GB2312" w:cs="仿宋_GB2312"/>
          <w:spacing w:val="0"/>
          <w:szCs w:val="32"/>
        </w:rPr>
        <w:t>生态韧性，绿色低碳。坚持生态立区，牢固树立并践行“两山”理念，坚定不移走生态优先、绿色发展之路，坚决守住好山好水好生态，推动城乡建设发展绿色转型，将人民群众生命安全放在第一位，着力建设安全可靠的韧性城市，构建人与自然和谐共生的生态文明城市。</w:t>
      </w:r>
    </w:p>
    <w:p>
      <w:pPr>
        <w:rPr>
          <w:rFonts w:hint="eastAsia" w:ascii="仿宋_GB2312" w:hAnsi="仿宋_GB2312" w:cs="仿宋_GB2312"/>
          <w:spacing w:val="0"/>
          <w:szCs w:val="32"/>
        </w:rPr>
      </w:pPr>
      <w:r>
        <w:rPr>
          <w:rFonts w:hint="eastAsia" w:ascii="仿宋_GB2312" w:hAnsi="仿宋_GB2312" w:cs="仿宋_GB2312"/>
          <w:spacing w:val="0"/>
          <w:szCs w:val="32"/>
        </w:rPr>
        <w:t>以人为本，美丽宜居。践行人民城市理念，以高水平标准引领延庆区高品质绿色低碳美丽城市建设，打造丰富多样的绿色低碳美丽新场景，彰显花园城市品质，推进“好房子、好小区、好社区、好城区”四好建设，打造宜居宜业宜游的“绿色健康之城、休闲宜居之城、山水心灵之城”。</w:t>
      </w:r>
    </w:p>
    <w:p>
      <w:pPr>
        <w:rPr>
          <w:rFonts w:hint="eastAsia" w:ascii="仿宋_GB2312" w:hAnsi="仿宋_GB2312" w:cs="仿宋_GB2312"/>
          <w:spacing w:val="0"/>
          <w:szCs w:val="32"/>
        </w:rPr>
      </w:pPr>
      <w:r>
        <w:rPr>
          <w:rFonts w:hint="eastAsia" w:ascii="仿宋_GB2312" w:hAnsi="仿宋_GB2312" w:cs="仿宋_GB2312"/>
          <w:spacing w:val="0"/>
          <w:szCs w:val="32"/>
        </w:rPr>
        <w:t>特色发展，融合创新。牢牢把握高质量绿色发展首要任务，持续擦亮生态底色，不断完善城市功能、优化城市结构、创新动能转换方式，激发重点功能片区的创新带动作用，打造产城融合、站城融合、校城融合、园城融合、城乡融合的无界城市。</w:t>
      </w:r>
    </w:p>
    <w:p>
      <w:pPr>
        <w:rPr>
          <w:rFonts w:hint="eastAsia" w:ascii="仿宋_GB2312" w:hAnsi="仿宋_GB2312" w:cs="仿宋_GB2312"/>
          <w:spacing w:val="0"/>
          <w:szCs w:val="32"/>
        </w:rPr>
      </w:pPr>
      <w:r>
        <w:rPr>
          <w:rFonts w:hint="eastAsia" w:ascii="仿宋_GB2312" w:hAnsi="仿宋_GB2312" w:cs="仿宋_GB2312"/>
          <w:spacing w:val="0"/>
          <w:szCs w:val="32"/>
        </w:rPr>
        <w:t>集约高效，有机更新。紧紧围绕“减量、提质、增效”，强化土地资源要素保障，着力挖潜建设发展空间，持续盘活存量低效土地。以城市更新为抓手，提升存量空间品质，不断推动城市高质量绿色发展，增强经济社会的动能与活力。</w:t>
      </w:r>
    </w:p>
    <w:p>
      <w:pPr>
        <w:rPr>
          <w:rFonts w:hint="eastAsia" w:ascii="仿宋_GB2312" w:hAnsi="仿宋_GB2312" w:cs="仿宋_GB2312"/>
          <w:spacing w:val="0"/>
          <w:szCs w:val="32"/>
        </w:rPr>
      </w:pPr>
      <w:r>
        <w:rPr>
          <w:rFonts w:hint="eastAsia" w:ascii="仿宋_GB2312" w:hAnsi="仿宋_GB2312" w:cs="仿宋_GB2312"/>
          <w:spacing w:val="0"/>
          <w:szCs w:val="32"/>
        </w:rPr>
        <w:t>首善标准，智慧治理。科学统筹“有效市场”和“有为政府”，引导社会力量、社会资本共同推进规划实施，加大政策、资金、人才等方面支持力度，发挥人工智能等新技术在治理机制中的作用，构建政府主导、多元参与、智慧高效、系统完整的城乡建设治理体系。</w:t>
      </w:r>
    </w:p>
    <w:p>
      <w:pPr>
        <w:pStyle w:val="3"/>
        <w:ind w:left="616" w:leftChars="200" w:firstLine="4" w:firstLineChars="0"/>
        <w:jc w:val="left"/>
        <w:rPr>
          <w:rFonts w:hint="eastAsia" w:ascii="楷体_GB2312" w:hAnsi="楷体_GB2312" w:eastAsia="楷体_GB2312" w:cs="楷体_GB2312"/>
          <w:spacing w:val="0"/>
        </w:rPr>
      </w:pPr>
      <w:bookmarkStart w:id="268" w:name="_Toc21106"/>
      <w:bookmarkStart w:id="269" w:name="_Toc31684"/>
      <w:bookmarkStart w:id="270" w:name="_Toc204691180"/>
      <w:bookmarkStart w:id="271" w:name="_Toc15442"/>
      <w:bookmarkStart w:id="272" w:name="_Toc32674"/>
      <w:bookmarkStart w:id="273" w:name="_Toc9696"/>
      <w:bookmarkStart w:id="274" w:name="_Toc11342"/>
      <w:bookmarkStart w:id="275" w:name="_Toc30333"/>
      <w:bookmarkStart w:id="276" w:name="_Toc202170182"/>
      <w:bookmarkStart w:id="277" w:name="_Toc10003"/>
      <w:bookmarkStart w:id="278" w:name="_Toc16646"/>
      <w:bookmarkStart w:id="279" w:name="_Toc5173"/>
      <w:bookmarkStart w:id="280" w:name="_Toc29308"/>
      <w:bookmarkStart w:id="281" w:name="_Toc3382"/>
      <w:bookmarkStart w:id="282" w:name="_Toc10998"/>
      <w:r>
        <w:rPr>
          <w:rFonts w:hint="eastAsia" w:ascii="楷体_GB2312" w:hAnsi="楷体_GB2312" w:eastAsia="楷体_GB2312" w:cs="楷体_GB2312"/>
          <w:spacing w:val="0"/>
        </w:rPr>
        <w:t>发展定位及目标</w:t>
      </w:r>
      <w:bookmarkEnd w:id="251"/>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ind w:firstLine="643"/>
        <w:rPr>
          <w:rFonts w:hint="eastAsia" w:ascii="仿宋_GB2312" w:hAnsi="仿宋_GB2312" w:cs="仿宋_GB2312"/>
          <w:b/>
          <w:bCs/>
          <w:spacing w:val="0"/>
          <w:szCs w:val="32"/>
        </w:rPr>
      </w:pPr>
      <w:r>
        <w:rPr>
          <w:rFonts w:hint="eastAsia" w:ascii="仿宋_GB2312" w:hAnsi="仿宋_GB2312" w:cs="仿宋_GB2312"/>
          <w:b/>
          <w:bCs/>
          <w:spacing w:val="0"/>
          <w:szCs w:val="32"/>
        </w:rPr>
        <w:t>（一）2030年发展目标</w:t>
      </w:r>
    </w:p>
    <w:p>
      <w:pPr>
        <w:rPr>
          <w:rFonts w:hint="eastAsia" w:ascii="仿宋_GB2312" w:hAnsi="仿宋_GB2312" w:cs="仿宋_GB2312"/>
          <w:spacing w:val="0"/>
          <w:szCs w:val="32"/>
        </w:rPr>
      </w:pPr>
      <w:r>
        <w:rPr>
          <w:rFonts w:hint="eastAsia" w:ascii="仿宋_GB2312" w:hAnsi="仿宋_GB2312" w:cs="仿宋_GB2312"/>
          <w:spacing w:val="0"/>
          <w:szCs w:val="32"/>
        </w:rPr>
        <w:t>持续建设“国际一流的生态文明示范区”，创新延庆区绿色高质量发展模式，立足生态涵养优势，紧扣时代发展脉搏，破解会后赛后利用、“两山”转化、科技创新等发展难题。打造首都西北部重要生态保育及区域生态治理协作区、生态文明示范区、国际文化体育旅游休闲名区、京西北科技创新特色发展区。</w:t>
      </w:r>
    </w:p>
    <w:p>
      <w:pPr>
        <w:rPr>
          <w:rFonts w:hint="eastAsia" w:ascii="仿宋_GB2312" w:hAnsi="仿宋_GB2312" w:cs="仿宋_GB2312"/>
          <w:spacing w:val="0"/>
          <w:szCs w:val="32"/>
        </w:rPr>
      </w:pPr>
      <w:r>
        <w:rPr>
          <w:rFonts w:hint="eastAsia" w:ascii="仿宋_GB2312" w:hAnsi="仿宋_GB2312" w:cs="仿宋_GB2312"/>
          <w:spacing w:val="0"/>
          <w:szCs w:val="32"/>
        </w:rPr>
        <w:t>生态系统更加完善，区域协同治理更加深入，绿色低碳美丽城市建设品牌影响力进一步扩大，绿色生产方式和生活方式基本形成，绿水青山就是金山银山创新实践成为全国示范，生态文明示范区建设进一步提升。</w:t>
      </w:r>
    </w:p>
    <w:p>
      <w:pPr>
        <w:rPr>
          <w:rFonts w:hint="eastAsia" w:ascii="仿宋_GB2312" w:hAnsi="仿宋_GB2312" w:cs="仿宋_GB2312"/>
          <w:spacing w:val="0"/>
          <w:szCs w:val="32"/>
        </w:rPr>
      </w:pPr>
      <w:r>
        <w:rPr>
          <w:rFonts w:hint="eastAsia" w:ascii="仿宋_GB2312" w:hAnsi="仿宋_GB2312" w:cs="仿宋_GB2312"/>
          <w:spacing w:val="0"/>
          <w:szCs w:val="32"/>
        </w:rPr>
        <w:t>国际交往中心功能建设能力不断提升，持续擦亮长城、世园、冬奥三张“金名片”，全域旅游及文体旅融合示范意义突出，京津冀高端旅游休闲度假区引领作用增强，作为京张体育文化旅游带发展核引领带动作用持续增强。</w:t>
      </w:r>
    </w:p>
    <w:p>
      <w:pPr>
        <w:rPr>
          <w:rFonts w:hint="eastAsia" w:ascii="仿宋_GB2312" w:hAnsi="仿宋_GB2312" w:cs="仿宋_GB2312"/>
          <w:spacing w:val="0"/>
          <w:szCs w:val="32"/>
        </w:rPr>
      </w:pPr>
      <w:r>
        <w:rPr>
          <w:rFonts w:hint="eastAsia" w:ascii="仿宋_GB2312" w:hAnsi="仿宋_GB2312" w:cs="仿宋_GB2312"/>
          <w:spacing w:val="0"/>
          <w:szCs w:val="32"/>
        </w:rPr>
        <w:t>京西北科技特色发展区建设全面跃升，低空技术、绿色能源、科技体育、医药健康特色产业体系进一步发展，全面承接首都都市圈规划产业布局，不断完善与海淀、昌平产业协同发展格局。</w:t>
      </w:r>
    </w:p>
    <w:p>
      <w:pPr>
        <w:rPr>
          <w:rFonts w:hint="eastAsia" w:ascii="仿宋_GB2312" w:hAnsi="仿宋_GB2312" w:cs="仿宋_GB2312"/>
          <w:spacing w:val="0"/>
          <w:szCs w:val="32"/>
        </w:rPr>
      </w:pPr>
      <w:r>
        <w:rPr>
          <w:rFonts w:hint="eastAsia" w:ascii="仿宋_GB2312" w:hAnsi="仿宋_GB2312" w:cs="仿宋_GB2312"/>
          <w:spacing w:val="0"/>
          <w:szCs w:val="32"/>
        </w:rPr>
        <w:t>城乡融合发展持续深入，城乡一体化空间格局不断优化，城乡产业发展、基础设施、公共服务均等化纵深推进，小城镇连接城乡枢纽作用及引领全区经济增长极作用更加突出，推动乡村全面振兴不断取得实质性进展。</w:t>
      </w:r>
    </w:p>
    <w:p>
      <w:pPr>
        <w:ind w:firstLine="643"/>
        <w:rPr>
          <w:rFonts w:hint="eastAsia" w:ascii="仿宋_GB2312" w:hAnsi="仿宋_GB2312" w:cs="仿宋_GB2312"/>
          <w:b/>
          <w:bCs/>
          <w:spacing w:val="0"/>
          <w:szCs w:val="32"/>
        </w:rPr>
      </w:pPr>
      <w:r>
        <w:rPr>
          <w:rFonts w:hint="eastAsia" w:ascii="仿宋_GB2312" w:hAnsi="仿宋_GB2312" w:cs="仿宋_GB2312"/>
          <w:b/>
          <w:bCs/>
          <w:spacing w:val="0"/>
          <w:szCs w:val="32"/>
        </w:rPr>
        <w:t>（二）远景发展目标</w:t>
      </w:r>
    </w:p>
    <w:p>
      <w:pPr>
        <w:rPr>
          <w:rFonts w:hint="eastAsia" w:ascii="仿宋_GB2312" w:hAnsi="仿宋_GB2312" w:cs="仿宋_GB2312"/>
          <w:spacing w:val="0"/>
          <w:szCs w:val="32"/>
        </w:rPr>
      </w:pPr>
      <w:r>
        <w:rPr>
          <w:rFonts w:hint="eastAsia" w:ascii="仿宋_GB2312" w:hAnsi="仿宋_GB2312" w:cs="仿宋_GB2312"/>
          <w:spacing w:val="0"/>
          <w:szCs w:val="32"/>
        </w:rPr>
        <w:t>全面建成更高水平的国际一流生态文明示范区。各项生态文明发展指标全面达到国际领先水平，成为展现中国绿色发展和生态文明建设成就的典范区域。</w:t>
      </w:r>
    </w:p>
    <w:p>
      <w:pPr>
        <w:ind w:firstLine="0" w:firstLineChars="0"/>
        <w:jc w:val="center"/>
        <w:rPr>
          <w:rFonts w:hint="eastAsia" w:ascii="仿宋_GB2312" w:hAnsi="仿宋_GB2312" w:cs="仿宋_GB2312"/>
          <w:b/>
          <w:spacing w:val="0"/>
          <w:szCs w:val="32"/>
        </w:rPr>
      </w:pPr>
      <w:bookmarkStart w:id="283" w:name="_Toc30412"/>
      <w:bookmarkStart w:id="284" w:name="_Toc2421"/>
      <w:r>
        <w:rPr>
          <w:rFonts w:hint="eastAsia" w:ascii="楷体_GB2312" w:hAnsi="楷体_GB2312" w:eastAsia="楷体_GB2312" w:cs="楷体_GB2312"/>
          <w:b/>
          <w:bCs/>
          <w:spacing w:val="0"/>
          <w:sz w:val="30"/>
          <w:szCs w:val="30"/>
        </w:rPr>
        <w:t>表2-1“十五五”时期城乡建设主要指标</w:t>
      </w:r>
      <w:bookmarkEnd w:id="283"/>
      <w:bookmarkEnd w:id="284"/>
      <w:r>
        <w:rPr>
          <w:rFonts w:hint="eastAsia" w:ascii="楷体_GB2312" w:hAnsi="楷体_GB2312" w:eastAsia="楷体_GB2312" w:cs="楷体_GB2312"/>
          <w:b/>
          <w:bCs/>
          <w:spacing w:val="0"/>
          <w:sz w:val="30"/>
          <w:szCs w:val="30"/>
        </w:rPr>
        <w:t>表</w:t>
      </w:r>
    </w:p>
    <w:tbl>
      <w:tblPr>
        <w:tblStyle w:val="41"/>
        <w:tblpPr w:leftFromText="180" w:rightFromText="180" w:vertAnchor="text" w:tblpXSpec="center" w:tblpY="1"/>
        <w:tblOverlap w:val="never"/>
        <w:tblW w:w="90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717"/>
        <w:gridCol w:w="2924"/>
        <w:gridCol w:w="957"/>
        <w:gridCol w:w="1271"/>
        <w:gridCol w:w="1239"/>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49" w:hRule="atLeast"/>
          <w:tblHeader/>
          <w:jc w:val="center"/>
        </w:trPr>
        <w:tc>
          <w:tcPr>
            <w:tcW w:w="749" w:type="dxa"/>
            <w:vAlign w:val="center"/>
          </w:tcPr>
          <w:p>
            <w:pPr>
              <w:pStyle w:val="185"/>
              <w:snapToGrid w:val="0"/>
              <w:spacing w:line="240" w:lineRule="auto"/>
              <w:ind w:left="53" w:firstLine="0" w:firstLineChars="0"/>
              <w:jc w:val="center"/>
              <w:rPr>
                <w:rFonts w:hint="eastAsia" w:ascii="黑体" w:hAnsi="黑体" w:eastAsia="黑体" w:cs="黑体"/>
                <w:b/>
                <w:bCs/>
                <w:spacing w:val="0"/>
                <w:sz w:val="21"/>
                <w:szCs w:val="21"/>
              </w:rPr>
            </w:pPr>
            <w:r>
              <w:rPr>
                <w:rFonts w:hint="eastAsia" w:ascii="黑体" w:hAnsi="黑体" w:eastAsia="黑体" w:cs="黑体"/>
                <w:b/>
                <w:bCs/>
                <w:spacing w:val="0"/>
                <w:sz w:val="21"/>
                <w:szCs w:val="21"/>
              </w:rPr>
              <w:t>分类</w:t>
            </w:r>
          </w:p>
        </w:tc>
        <w:tc>
          <w:tcPr>
            <w:tcW w:w="717" w:type="dxa"/>
            <w:vAlign w:val="center"/>
          </w:tcPr>
          <w:p>
            <w:pPr>
              <w:pStyle w:val="185"/>
              <w:snapToGrid w:val="0"/>
              <w:spacing w:line="240" w:lineRule="auto"/>
              <w:ind w:left="53" w:firstLine="0" w:firstLineChars="0"/>
              <w:jc w:val="center"/>
              <w:rPr>
                <w:rFonts w:hint="eastAsia" w:ascii="黑体" w:hAnsi="黑体" w:eastAsia="黑体" w:cs="黑体"/>
                <w:b/>
                <w:bCs/>
                <w:spacing w:val="0"/>
                <w:sz w:val="21"/>
                <w:szCs w:val="21"/>
              </w:rPr>
            </w:pPr>
            <w:r>
              <w:rPr>
                <w:rFonts w:hint="eastAsia" w:ascii="黑体" w:hAnsi="黑体" w:eastAsia="黑体" w:cs="黑体"/>
                <w:b/>
                <w:bCs/>
                <w:spacing w:val="0"/>
                <w:sz w:val="21"/>
                <w:szCs w:val="21"/>
              </w:rPr>
              <w:t>序号</w:t>
            </w:r>
          </w:p>
        </w:tc>
        <w:tc>
          <w:tcPr>
            <w:tcW w:w="2924" w:type="dxa"/>
            <w:vAlign w:val="center"/>
          </w:tcPr>
          <w:p>
            <w:pPr>
              <w:pStyle w:val="185"/>
              <w:snapToGrid w:val="0"/>
              <w:spacing w:line="240" w:lineRule="auto"/>
              <w:ind w:left="53" w:firstLine="0" w:firstLineChars="0"/>
              <w:jc w:val="center"/>
              <w:rPr>
                <w:rFonts w:hint="eastAsia" w:ascii="黑体" w:hAnsi="黑体" w:eastAsia="黑体" w:cs="黑体"/>
                <w:b/>
                <w:bCs/>
                <w:spacing w:val="0"/>
                <w:sz w:val="21"/>
                <w:szCs w:val="21"/>
              </w:rPr>
            </w:pPr>
            <w:r>
              <w:rPr>
                <w:rFonts w:hint="eastAsia" w:ascii="黑体" w:hAnsi="黑体" w:eastAsia="黑体" w:cs="黑体"/>
                <w:b/>
                <w:bCs/>
                <w:spacing w:val="0"/>
                <w:sz w:val="21"/>
                <w:szCs w:val="21"/>
              </w:rPr>
              <w:t>指标名称</w:t>
            </w:r>
          </w:p>
        </w:tc>
        <w:tc>
          <w:tcPr>
            <w:tcW w:w="957" w:type="dxa"/>
            <w:vAlign w:val="center"/>
          </w:tcPr>
          <w:p>
            <w:pPr>
              <w:pStyle w:val="185"/>
              <w:snapToGrid w:val="0"/>
              <w:spacing w:line="240" w:lineRule="auto"/>
              <w:ind w:left="53" w:firstLine="0" w:firstLineChars="0"/>
              <w:jc w:val="center"/>
              <w:rPr>
                <w:rFonts w:hint="eastAsia" w:ascii="黑体" w:hAnsi="黑体" w:eastAsia="黑体" w:cs="黑体"/>
                <w:b/>
                <w:bCs/>
                <w:spacing w:val="0"/>
                <w:sz w:val="21"/>
                <w:szCs w:val="21"/>
              </w:rPr>
            </w:pPr>
            <w:r>
              <w:rPr>
                <w:rFonts w:hint="eastAsia" w:ascii="黑体" w:hAnsi="黑体" w:eastAsia="黑体" w:cs="黑体"/>
                <w:b/>
                <w:bCs/>
                <w:spacing w:val="0"/>
                <w:sz w:val="21"/>
                <w:szCs w:val="21"/>
              </w:rPr>
              <w:t>2024年</w:t>
            </w:r>
          </w:p>
        </w:tc>
        <w:tc>
          <w:tcPr>
            <w:tcW w:w="1271" w:type="dxa"/>
            <w:vAlign w:val="center"/>
          </w:tcPr>
          <w:p>
            <w:pPr>
              <w:pStyle w:val="185"/>
              <w:snapToGrid w:val="0"/>
              <w:spacing w:line="240" w:lineRule="auto"/>
              <w:ind w:left="53" w:firstLine="0" w:firstLineChars="0"/>
              <w:jc w:val="center"/>
              <w:rPr>
                <w:rFonts w:hint="eastAsia" w:ascii="黑体" w:hAnsi="黑体" w:eastAsia="黑体" w:cs="黑体"/>
                <w:b/>
                <w:bCs/>
                <w:spacing w:val="0"/>
                <w:sz w:val="21"/>
                <w:szCs w:val="21"/>
              </w:rPr>
            </w:pPr>
            <w:r>
              <w:rPr>
                <w:rFonts w:hint="eastAsia" w:ascii="黑体" w:hAnsi="黑体" w:eastAsia="黑体" w:cs="黑体"/>
                <w:b/>
                <w:bCs/>
                <w:spacing w:val="0"/>
                <w:sz w:val="21"/>
                <w:szCs w:val="21"/>
              </w:rPr>
              <w:t>2030年</w:t>
            </w:r>
          </w:p>
        </w:tc>
        <w:tc>
          <w:tcPr>
            <w:tcW w:w="1239" w:type="dxa"/>
            <w:vAlign w:val="center"/>
          </w:tcPr>
          <w:p>
            <w:pPr>
              <w:pStyle w:val="185"/>
              <w:snapToGrid w:val="0"/>
              <w:spacing w:line="240" w:lineRule="auto"/>
              <w:ind w:left="53" w:firstLine="0" w:firstLineChars="0"/>
              <w:jc w:val="center"/>
              <w:rPr>
                <w:rFonts w:hint="eastAsia" w:ascii="黑体" w:hAnsi="黑体" w:eastAsia="黑体" w:cs="黑体"/>
                <w:b/>
                <w:bCs/>
                <w:spacing w:val="0"/>
                <w:sz w:val="21"/>
                <w:szCs w:val="21"/>
              </w:rPr>
            </w:pPr>
            <w:r>
              <w:rPr>
                <w:rFonts w:hint="eastAsia" w:ascii="黑体" w:hAnsi="黑体" w:eastAsia="黑体" w:cs="黑体"/>
                <w:b/>
                <w:bCs/>
                <w:spacing w:val="0"/>
                <w:sz w:val="21"/>
                <w:szCs w:val="21"/>
              </w:rPr>
              <w:t>2035年</w:t>
            </w:r>
          </w:p>
        </w:tc>
        <w:tc>
          <w:tcPr>
            <w:tcW w:w="1200" w:type="dxa"/>
            <w:vAlign w:val="center"/>
          </w:tcPr>
          <w:p>
            <w:pPr>
              <w:pStyle w:val="185"/>
              <w:snapToGrid w:val="0"/>
              <w:spacing w:line="240" w:lineRule="auto"/>
              <w:ind w:left="53" w:firstLine="0" w:firstLineChars="0"/>
              <w:jc w:val="center"/>
              <w:rPr>
                <w:rFonts w:hint="eastAsia" w:ascii="黑体" w:hAnsi="黑体" w:eastAsia="黑体" w:cs="黑体"/>
                <w:b/>
                <w:bCs/>
                <w:spacing w:val="0"/>
                <w:sz w:val="21"/>
                <w:szCs w:val="21"/>
              </w:rPr>
            </w:pPr>
            <w:r>
              <w:rPr>
                <w:rFonts w:hint="eastAsia" w:ascii="黑体" w:hAnsi="黑体" w:eastAsia="黑体" w:cs="黑体"/>
                <w:b/>
                <w:bCs/>
                <w:spacing w:val="0"/>
                <w:sz w:val="21"/>
                <w:szCs w:val="21"/>
              </w:rPr>
              <w:t>指标类型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749"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人口</w:t>
            </w: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1</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常住人口规模（万人）</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34.2</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35.5</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约38</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749" w:type="dxa"/>
            <w:vMerge w:val="restart"/>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用地</w:t>
            </w: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2</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城乡建设用地规模（平方公里）</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85.93</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87.23</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89.6</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3</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永久基本农田保护面积（万亩）</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21.61</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4</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耕地保有量（万亩）</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25.21</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5</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生态控制区面积占全区面积的比例（%）</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93.2</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93</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93</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6</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生态保护红线面积（平方公里）</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714</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≥597.9</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≥597.9</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7</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战略留白用地面积（平方公里）</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8</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城乡职住用地比例</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1:3.2</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1:2.3</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1:2</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9</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新城基准高度（米）</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18—36</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18—36</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restart"/>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资源</w:t>
            </w: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10</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人均地下空间建筑面积（平方米）</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11</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单位地区生产总值水耗降低（比2015年）（%）</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44.08</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＞40</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＞40</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12</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单位地区生产总值能耗降低（比2015年）（%）</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30.09</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13</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用水总量（亿立方米）</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0.4547</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符合市级要求</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bookmarkStart w:id="285" w:name="RANGE!F14"/>
            <w:r>
              <w:rPr>
                <w:rFonts w:hint="eastAsia"/>
                <w:spacing w:val="0"/>
                <w:sz w:val="21"/>
                <w:szCs w:val="21"/>
                <w:lang w:eastAsia="zh-CN"/>
              </w:rPr>
              <w:t>符合市级要求</w:t>
            </w:r>
            <w:bookmarkEnd w:id="285"/>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14</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再生水资源利用量（亿立方米）</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0.2163</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15</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能源消费总量（万吨标准煤）</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74.29</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符合市级要求</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符合市级要求</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16</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优质能源比重（%）</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99</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99</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99</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17</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新能源和可再生能源比重（%）</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27.69</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40</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40</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restart"/>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环境</w:t>
            </w: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18</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细颗粒物（PM2.5）年均浓度（微克/立方米）</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22.7</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符合市级要求</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符合市级要求</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19</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受污染耕地及污染地块安全利用率（%）</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无污染</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＞95</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＞95</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20</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重要江河湖泊水功能区水质达标率（%）</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21</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地表水环境质量</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达标</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达到水环境功能区要求</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达到水环境功能区要求</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22</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森林覆盖率（%）</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65.22</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61</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61</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23</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单位地区生产总值二氧化碳排放降低（比2015年）（%）</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restart"/>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交通</w:t>
            </w: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24</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集中建设区道路网密度（公里/平方公里）</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6.68</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7.19</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8</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25</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绿色出行比例（%）</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85</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85</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26</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公路网密度（二级及以上）（公里/百平方公里）</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29.46</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31.3</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41</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restart"/>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市政</w:t>
            </w: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27</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城乡污水处理率（%）</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97.5</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98</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＞99</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28</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供水安全系数</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1.88</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1.9</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1.3</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29</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实现降雨70%就地消纳和利用的城市建成区比重（%）</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47.32</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63.66</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＞80</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30</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供电可靠率（%）</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99.991</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99.99</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99.99</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31</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天然气气化率（%）</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增加</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80</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32</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可再生能源供热比例（%）</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100</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增加</w:t>
            </w:r>
          </w:p>
        </w:tc>
        <w:tc>
          <w:tcPr>
            <w:tcW w:w="1239" w:type="dxa"/>
            <w:shd w:val="clear" w:color="000000" w:fill="FFFFFF"/>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100</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33</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综合管廊长度（公里）</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15</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15</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15</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34</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生活垃圾焚烧和生化处理能力（万吨/日）</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35</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城区家庭宽带接入能力（千兆比特/秒）</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城市安全</w:t>
            </w: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36</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人均应急避难场所面积（平方米）</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1.73</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2.07</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2.4</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restart"/>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经济科技</w:t>
            </w: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37</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人均地区生产总值（万元/人）</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7.4</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提高</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提高</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38</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单位地区生产总值建设用地使用面积（公顷/万元）</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48.22</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减少</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减少</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39</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全社会研究与试验发展经费支出占地区生产总值的比重（%）</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达到市级要求</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40</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居民收入弹性系数</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居民收入增长与经济增长同步</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居民收入增长与经济增长同步</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restart"/>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公共服务</w:t>
            </w: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41</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基础教育设施千人用地面积（平方米）</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4076</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4167.54</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4259</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42</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千人医疗卫生机构床位数（张）</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5.15</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5.58</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6</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43</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千人养老机构床位数（张）</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8.87</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10.24</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11.6</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44</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人均公共文化服务设施建筑面积（平方米）</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2.61</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2.65</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0.6</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45</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人均公共体育用地面积（平方米）</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2.23</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2.25</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0.88</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46</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建成区人均公园绿地面积（平方米）</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46.37</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48.19</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50</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47</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建成区公园绿地500米服务半径覆盖率（%）</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99.93</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100</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100</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48</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一刻钟社区服务圈覆盖率（%）</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92.3%</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基本实现城乡社区全覆盖</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基本实现城乡社区全覆盖</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restart"/>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文化</w:t>
            </w: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49</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历史文化街区数量（片）</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持平或增加</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持平或增加</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50</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万人拥有实体书店数量（家）</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0.96</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1.73</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2.5</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51</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每10万人拥有博物馆数量（处）</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2.34</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2.35</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2.29</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52</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文物保护单位数量（项）</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128</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持平或增加</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持平或增加</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53</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历史建筑数量（个）</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2</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增加</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增加</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54</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历史文化名镇、名村数量（个）</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持平或增加</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持平或增加</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jc w:val="center"/>
        </w:trPr>
        <w:tc>
          <w:tcPr>
            <w:tcW w:w="749" w:type="dxa"/>
            <w:vMerge w:val="continue"/>
            <w:vAlign w:val="center"/>
          </w:tcPr>
          <w:p>
            <w:pPr>
              <w:pStyle w:val="185"/>
              <w:numPr>
                <w:ilvl w:val="255"/>
                <w:numId w:val="0"/>
              </w:numPr>
              <w:snapToGrid w:val="0"/>
              <w:spacing w:line="240" w:lineRule="auto"/>
              <w:jc w:val="center"/>
              <w:rPr>
                <w:rFonts w:hint="eastAsia"/>
                <w:spacing w:val="0"/>
                <w:sz w:val="21"/>
                <w:szCs w:val="21"/>
                <w:lang w:eastAsia="zh-CN"/>
              </w:rPr>
            </w:pPr>
          </w:p>
        </w:tc>
        <w:tc>
          <w:tcPr>
            <w:tcW w:w="717" w:type="dxa"/>
            <w:vAlign w:val="center"/>
          </w:tcPr>
          <w:p>
            <w:pPr>
              <w:pStyle w:val="185"/>
              <w:numPr>
                <w:ilvl w:val="255"/>
                <w:numId w:val="0"/>
              </w:numPr>
              <w:snapToGrid w:val="0"/>
              <w:spacing w:line="240" w:lineRule="auto"/>
              <w:jc w:val="center"/>
              <w:rPr>
                <w:rFonts w:hint="eastAsia"/>
                <w:spacing w:val="0"/>
                <w:sz w:val="21"/>
                <w:szCs w:val="21"/>
                <w:lang w:eastAsia="zh-CN"/>
              </w:rPr>
            </w:pPr>
            <w:r>
              <w:rPr>
                <w:rFonts w:hint="eastAsia"/>
                <w:spacing w:val="0"/>
                <w:sz w:val="21"/>
                <w:szCs w:val="21"/>
                <w:lang w:eastAsia="zh-CN"/>
              </w:rPr>
              <w:t>55</w:t>
            </w:r>
          </w:p>
        </w:tc>
        <w:tc>
          <w:tcPr>
            <w:tcW w:w="2924"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传统村落数量（个）</w:t>
            </w:r>
          </w:p>
        </w:tc>
        <w:tc>
          <w:tcPr>
            <w:tcW w:w="957"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5</w:t>
            </w:r>
          </w:p>
        </w:tc>
        <w:tc>
          <w:tcPr>
            <w:tcW w:w="1271"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持平或增加</w:t>
            </w:r>
          </w:p>
        </w:tc>
        <w:tc>
          <w:tcPr>
            <w:tcW w:w="1239"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持平或增加</w:t>
            </w:r>
          </w:p>
        </w:tc>
        <w:tc>
          <w:tcPr>
            <w:tcW w:w="1200" w:type="dxa"/>
            <w:vAlign w:val="center"/>
          </w:tcPr>
          <w:p>
            <w:pPr>
              <w:pStyle w:val="185"/>
              <w:snapToGrid w:val="0"/>
              <w:spacing w:line="240" w:lineRule="auto"/>
              <w:ind w:firstLine="0" w:firstLineChars="0"/>
              <w:jc w:val="center"/>
              <w:rPr>
                <w:rFonts w:hint="eastAsia"/>
                <w:spacing w:val="0"/>
                <w:sz w:val="21"/>
                <w:szCs w:val="21"/>
                <w:lang w:eastAsia="zh-CN"/>
              </w:rPr>
            </w:pPr>
            <w:r>
              <w:rPr>
                <w:rFonts w:hint="eastAsia"/>
                <w:spacing w:val="0"/>
                <w:sz w:val="21"/>
                <w:szCs w:val="21"/>
                <w:lang w:eastAsia="zh-CN"/>
              </w:rPr>
              <w:t>预期性</w:t>
            </w:r>
          </w:p>
        </w:tc>
      </w:tr>
    </w:tbl>
    <w:p>
      <w:pPr>
        <w:rPr>
          <w:rFonts w:hint="eastAsia" w:ascii="仿宋_GB2312" w:hAnsi="仿宋_GB2312" w:cs="仿宋_GB2312"/>
          <w:spacing w:val="0"/>
          <w:szCs w:val="32"/>
        </w:rPr>
      </w:pPr>
      <w:r>
        <w:rPr>
          <w:rFonts w:hint="eastAsia" w:ascii="仿宋_GB2312" w:hAnsi="仿宋_GB2312" w:cs="仿宋_GB2312"/>
          <w:spacing w:val="0"/>
          <w:szCs w:val="32"/>
        </w:rPr>
        <w:br w:type="page"/>
      </w:r>
    </w:p>
    <w:p>
      <w:pPr>
        <w:pStyle w:val="34"/>
        <w:spacing w:before="156" w:after="156"/>
        <w:rPr>
          <w:rFonts w:hint="eastAsia"/>
          <w:spacing w:val="0"/>
        </w:rPr>
      </w:pPr>
      <w:bookmarkStart w:id="286" w:name="_Toc18481"/>
      <w:bookmarkStart w:id="287" w:name="_Toc14235"/>
      <w:bookmarkStart w:id="288" w:name="_Toc12345"/>
      <w:bookmarkStart w:id="289" w:name="_Toc26071"/>
      <w:bookmarkStart w:id="290" w:name="_Toc25059"/>
      <w:r>
        <w:rPr>
          <w:rFonts w:hint="eastAsia"/>
          <w:spacing w:val="0"/>
        </w:rPr>
        <w:t>着力优化现代化城市体系</w:t>
      </w:r>
      <w:bookmarkEnd w:id="286"/>
      <w:bookmarkEnd w:id="287"/>
      <w:bookmarkEnd w:id="288"/>
      <w:bookmarkEnd w:id="289"/>
      <w:bookmarkEnd w:id="290"/>
    </w:p>
    <w:p>
      <w:pPr>
        <w:pStyle w:val="3"/>
        <w:ind w:left="616" w:leftChars="200" w:firstLine="4" w:firstLineChars="0"/>
        <w:jc w:val="left"/>
        <w:rPr>
          <w:rFonts w:hint="eastAsia" w:ascii="楷体_GB2312" w:hAnsi="楷体_GB2312" w:eastAsia="楷体_GB2312" w:cs="楷体_GB2312"/>
          <w:spacing w:val="0"/>
        </w:rPr>
      </w:pPr>
      <w:bookmarkStart w:id="291" w:name="_Toc5679"/>
      <w:bookmarkStart w:id="292" w:name="_Toc4784"/>
      <w:bookmarkStart w:id="293" w:name="_Toc19487"/>
      <w:bookmarkStart w:id="294" w:name="_Toc27606"/>
      <w:bookmarkStart w:id="295" w:name="_Toc19797"/>
      <w:bookmarkStart w:id="296" w:name="_Hlk213319356"/>
      <w:bookmarkStart w:id="297" w:name="_Toc204691182"/>
      <w:r>
        <w:rPr>
          <w:rFonts w:hint="eastAsia" w:ascii="楷体_GB2312" w:hAnsi="楷体_GB2312" w:eastAsia="楷体_GB2312" w:cs="楷体_GB2312"/>
          <w:spacing w:val="0"/>
        </w:rPr>
        <w:t>夯实国土空间规划体系</w:t>
      </w:r>
      <w:bookmarkEnd w:id="291"/>
      <w:bookmarkEnd w:id="292"/>
      <w:bookmarkEnd w:id="293"/>
      <w:bookmarkEnd w:id="294"/>
      <w:bookmarkEnd w:id="295"/>
    </w:p>
    <w:bookmarkEnd w:id="296"/>
    <w:p>
      <w:pPr>
        <w:pStyle w:val="4"/>
        <w:numPr>
          <w:ilvl w:val="2"/>
          <w:numId w:val="0"/>
        </w:numPr>
        <w:ind w:left="616" w:leftChars="200"/>
        <w:rPr>
          <w:rFonts w:hint="eastAsia" w:ascii="仿宋_GB2312" w:hAnsi="仿宋_GB2312" w:eastAsia="仿宋_GB2312" w:cs="仿宋_GB2312"/>
          <w:b/>
          <w:bCs/>
        </w:rPr>
      </w:pPr>
      <w:bookmarkStart w:id="298" w:name="_Toc13489"/>
      <w:bookmarkStart w:id="299" w:name="_Toc19584"/>
      <w:bookmarkStart w:id="300" w:name="_Toc10291"/>
      <w:r>
        <w:rPr>
          <w:rFonts w:hint="eastAsia" w:ascii="仿宋_GB2312" w:hAnsi="仿宋_GB2312" w:eastAsia="仿宋_GB2312" w:cs="仿宋_GB2312"/>
          <w:b/>
          <w:bCs/>
        </w:rPr>
        <w:t>（一）加快融入现代化</w:t>
      </w:r>
      <w:bookmarkStart w:id="301" w:name="_Hlk211607642"/>
      <w:r>
        <w:rPr>
          <w:rFonts w:hint="eastAsia" w:ascii="仿宋_GB2312" w:hAnsi="仿宋_GB2312" w:eastAsia="仿宋_GB2312" w:cs="仿宋_GB2312"/>
          <w:b/>
          <w:bCs/>
        </w:rPr>
        <w:t>首都都市圈</w:t>
      </w:r>
      <w:bookmarkEnd w:id="298"/>
      <w:bookmarkEnd w:id="299"/>
      <w:bookmarkEnd w:id="300"/>
      <w:bookmarkEnd w:id="301"/>
    </w:p>
    <w:p>
      <w:pPr>
        <w:ind w:firstLine="616"/>
        <w:rPr>
          <w:rFonts w:hint="eastAsia" w:ascii="仿宋_GB2312" w:hAnsi="仿宋_GB2312" w:cs="仿宋_GB2312"/>
          <w:szCs w:val="32"/>
        </w:rPr>
      </w:pPr>
      <w:bookmarkStart w:id="302" w:name="_Hlk210122921"/>
      <w:r>
        <w:rPr>
          <w:rFonts w:hint="eastAsia" w:ascii="仿宋_GB2312" w:hAnsi="仿宋_GB2312" w:cs="仿宋_GB2312"/>
          <w:szCs w:val="32"/>
        </w:rPr>
        <w:t>落实京津冀协同发展战略，融入、承接、衔接京津冀通勤圈、功能圈、产业协同圈，作为京津冀协同发展的西北门户全力推进以首都为核心的世界级城市群建设，加速创新发展，重塑区域关系。</w:t>
      </w:r>
    </w:p>
    <w:p>
      <w:pPr>
        <w:ind w:firstLine="616"/>
        <w:rPr>
          <w:rFonts w:hint="eastAsia" w:ascii="仿宋_GB2312" w:hAnsi="仿宋_GB2312" w:cs="仿宋_GB2312"/>
          <w:szCs w:val="32"/>
        </w:rPr>
      </w:pPr>
      <w:r>
        <w:rPr>
          <w:rFonts w:hint="eastAsia" w:ascii="仿宋_GB2312" w:hAnsi="仿宋_GB2312" w:cs="仿宋_GB2312"/>
          <w:szCs w:val="32"/>
        </w:rPr>
        <w:t>打造京张体育文化旅游带建设的发展核心，推进与海淀、昌平、河北怀来、赤城等区域合作，联合开展主题旅游，形成跨区消费链，完善“高铁+景区门票”“高铁+酒店”等模式，开发“一程多站”等高效旅游产品，开发跨区域长城主题、冰雪主题旅游线路，贯通一批道路生态景观廊道。发挥八达岭长城及周边区域作为长城文化带、京张体育文化旅游带交汇点的重要作用，融合文化展示、国际交往、休闲旅游、体育赛事等多种功能，以世界级文化旅游休闲度假目的地为目标，将其打造为首都都市圈中的重要节点区域。全面承接首都都市圈规划产业布局，发挥京张承新质生产力产业廊道优势，创新跨区域产业合作模式，加快培育和发展新质生产力，联动海淀区产业集群，着力优化绿色高精尖产业体系，发展医药健康、科技体育、智能制造与装备、空天产业集群，布局绿色算力等前沿未来产业，与张家口共建重大科研基础设施。打造京津冀高端旅游休闲度假区，紧密对接北京市中心城区优质公共服务资源溢出需求，提高医疗康养、优质教育、特色消费、冰雪体育等公共服务等配套水平，探索建立教育联盟、医疗联合体、文体产业联盟等多种组织，打造一批合作标杆项目，推动优质教育、医疗、文化资源向延庆布局，营建“低密度、绿色化、高品质”第二居所，满足京津冀地区高净值人群旅居度假需求。构建区域生态综合治理示范窗口，强化京津冀生态环境联建联防联治，深化区域生态协同治理，共建延怀赤水体协同治理格局，为构筑首都生态安全格局提供有力支撑。</w:t>
      </w:r>
    </w:p>
    <w:bookmarkEnd w:id="302"/>
    <w:p>
      <w:pPr>
        <w:pStyle w:val="4"/>
        <w:numPr>
          <w:ilvl w:val="2"/>
          <w:numId w:val="0"/>
        </w:numPr>
        <w:ind w:left="616" w:leftChars="200"/>
        <w:rPr>
          <w:rFonts w:hint="eastAsia" w:ascii="仿宋_GB2312" w:hAnsi="仿宋_GB2312" w:eastAsia="仿宋_GB2312" w:cs="仿宋_GB2312"/>
          <w:b/>
          <w:bCs/>
        </w:rPr>
      </w:pPr>
      <w:bookmarkStart w:id="303" w:name="_Toc5133"/>
      <w:bookmarkStart w:id="304" w:name="_Toc19419"/>
      <w:bookmarkStart w:id="305" w:name="_Toc30310"/>
      <w:bookmarkStart w:id="306" w:name="_Toc204691190"/>
      <w:r>
        <w:rPr>
          <w:rFonts w:hint="eastAsia" w:ascii="仿宋_GB2312" w:hAnsi="仿宋_GB2312" w:eastAsia="仿宋_GB2312" w:cs="仿宋_GB2312"/>
          <w:b/>
          <w:bCs/>
        </w:rPr>
        <w:t>（二）着力优化城乡空间结构</w:t>
      </w:r>
      <w:bookmarkEnd w:id="303"/>
      <w:bookmarkEnd w:id="304"/>
      <w:bookmarkEnd w:id="305"/>
    </w:p>
    <w:bookmarkEnd w:id="306"/>
    <w:p>
      <w:pPr>
        <w:rPr>
          <w:rFonts w:hint="eastAsia" w:ascii="仿宋_GB2312" w:hAnsi="仿宋_GB2312" w:cs="仿宋_GB2312"/>
          <w:spacing w:val="0"/>
          <w:szCs w:val="32"/>
        </w:rPr>
      </w:pPr>
      <w:bookmarkStart w:id="307" w:name="_Hlk204878554"/>
      <w:r>
        <w:rPr>
          <w:rFonts w:hint="eastAsia" w:ascii="仿宋_GB2312" w:hAnsi="仿宋_GB2312" w:cs="仿宋_GB2312"/>
          <w:spacing w:val="0"/>
          <w:szCs w:val="32"/>
        </w:rPr>
        <w:t>严格落实分区规划，围绕国际一流的生态文明示范区、生态文明幸福最美冬奥城发展目标，以绿色低碳美丽城市为引领，全力夯实“一城、两带，两区”</w:t>
      </w:r>
      <w:r>
        <w:rPr>
          <w:rStyle w:val="40"/>
          <w:rFonts w:hint="eastAsia" w:ascii="仿宋_GB2312" w:hAnsi="仿宋_GB2312" w:cs="仿宋_GB2312"/>
          <w:spacing w:val="0"/>
          <w:szCs w:val="32"/>
        </w:rPr>
        <w:footnoteReference w:id="0"/>
      </w:r>
      <w:r>
        <w:rPr>
          <w:rFonts w:hint="eastAsia" w:ascii="仿宋_GB2312" w:hAnsi="仿宋_GB2312" w:cs="仿宋_GB2312"/>
          <w:spacing w:val="0"/>
          <w:szCs w:val="32"/>
        </w:rPr>
        <w:t>的全域空间结构。着力打造重点功能片区，包括延庆高铁站片区、中关村延庆园八达岭－康庄片区、环高校创新发展片区、一河两岸滨水片区、八达岭长城大景区、冬奥村片区。提升八达岭镇、永宁镇、康庄镇、张山营重点镇在产业、生态、宜居等方面的服务品质，辐射带动村庄，促进镇村统筹协调发展。推动形成生态魅力更加彰显、国际功能更加突出、创新活力更加强劲、百姓生活更加宜居、城乡融合更加深入、安全韧性更加稳固的城乡发展格局。</w:t>
      </w:r>
    </w:p>
    <w:bookmarkEnd w:id="307"/>
    <w:p>
      <w:pPr>
        <w:pStyle w:val="4"/>
        <w:numPr>
          <w:ilvl w:val="2"/>
          <w:numId w:val="0"/>
        </w:numPr>
        <w:ind w:left="616" w:leftChars="200"/>
        <w:rPr>
          <w:rFonts w:hint="eastAsia" w:ascii="仿宋_GB2312" w:hAnsi="仿宋_GB2312" w:eastAsia="仿宋_GB2312" w:cs="仿宋_GB2312"/>
          <w:b/>
          <w:bCs/>
        </w:rPr>
      </w:pPr>
      <w:bookmarkStart w:id="308" w:name="_Toc7598"/>
      <w:bookmarkStart w:id="309" w:name="_Toc21266"/>
      <w:bookmarkStart w:id="310" w:name="_Toc30094"/>
      <w:r>
        <w:rPr>
          <w:rFonts w:hint="eastAsia" w:ascii="仿宋_GB2312" w:hAnsi="仿宋_GB2312" w:eastAsia="仿宋_GB2312" w:cs="仿宋_GB2312"/>
          <w:b/>
          <w:bCs/>
        </w:rPr>
        <w:t>（三）持续完善规划编制体系</w:t>
      </w:r>
      <w:bookmarkEnd w:id="308"/>
      <w:bookmarkEnd w:id="309"/>
      <w:bookmarkEnd w:id="310"/>
    </w:p>
    <w:p>
      <w:pPr>
        <w:rPr>
          <w:rFonts w:hint="eastAsia" w:ascii="仿宋_GB2312" w:hAnsi="仿宋_GB2312" w:cs="仿宋_GB2312"/>
          <w:spacing w:val="0"/>
          <w:szCs w:val="32"/>
        </w:rPr>
      </w:pPr>
      <w:r>
        <w:rPr>
          <w:rFonts w:hint="eastAsia" w:ascii="仿宋_GB2312" w:hAnsi="仿宋_GB2312" w:cs="仿宋_GB2312"/>
          <w:spacing w:val="0"/>
          <w:szCs w:val="32"/>
        </w:rPr>
        <w:t>发挥规划的战略引领和刚性约束作用，立足首都城市战略定位，坚定不移抓好分区规划全面落地实施，推动重点功能区规划、专项规划、街区控规、规划综合实施方案有机协同，以新城南部片区、</w:t>
      </w:r>
      <w:bookmarkStart w:id="311" w:name="OLE_LINK4"/>
      <w:r>
        <w:rPr>
          <w:rFonts w:hint="eastAsia" w:ascii="仿宋_GB2312" w:hAnsi="仿宋_GB2312" w:cs="仿宋_GB2312"/>
          <w:spacing w:val="0"/>
          <w:szCs w:val="32"/>
        </w:rPr>
        <w:t>世园休闲片区</w:t>
      </w:r>
      <w:bookmarkEnd w:id="311"/>
      <w:r>
        <w:rPr>
          <w:rFonts w:hint="eastAsia" w:ascii="仿宋_GB2312" w:hAnsi="仿宋_GB2312" w:cs="仿宋_GB2312"/>
          <w:spacing w:val="0"/>
          <w:szCs w:val="32"/>
        </w:rPr>
        <w:t>（十一学校）、妫水河滨水片区等三大区域为重点，有序推进重点街区及乡镇集中建设区控规编制。持续推进城市更新行动，推动镇乡特色化发展，以全域土地综合整治为抓手，不断优化生产、生活、生态空间布局。用好责任规划师机制，加强城市体检评估，对分区规划实施情况定期评估、动态维护，维护规划的严肃性、权威性。</w:t>
      </w:r>
    </w:p>
    <w:bookmarkEnd w:id="297"/>
    <w:p>
      <w:pPr>
        <w:pStyle w:val="3"/>
        <w:ind w:left="616" w:leftChars="200" w:firstLine="4" w:firstLineChars="0"/>
        <w:jc w:val="left"/>
        <w:rPr>
          <w:rFonts w:hint="eastAsia" w:ascii="楷体_GB2312" w:hAnsi="楷体_GB2312" w:eastAsia="楷体_GB2312" w:cs="楷体_GB2312"/>
          <w:spacing w:val="0"/>
        </w:rPr>
      </w:pPr>
      <w:bookmarkStart w:id="312" w:name="_Toc18527"/>
      <w:bookmarkStart w:id="313" w:name="_Toc10501"/>
      <w:bookmarkStart w:id="314" w:name="_Toc16778"/>
      <w:bookmarkStart w:id="315" w:name="_Toc26794"/>
      <w:bookmarkStart w:id="316" w:name="_Toc17201"/>
      <w:r>
        <w:rPr>
          <w:rFonts w:hint="eastAsia" w:ascii="楷体_GB2312" w:hAnsi="楷体_GB2312" w:eastAsia="楷体_GB2312" w:cs="楷体_GB2312"/>
          <w:spacing w:val="0"/>
        </w:rPr>
        <w:t>加强全域空间管控</w:t>
      </w:r>
      <w:bookmarkEnd w:id="312"/>
      <w:bookmarkEnd w:id="313"/>
      <w:bookmarkEnd w:id="314"/>
      <w:bookmarkEnd w:id="315"/>
      <w:bookmarkEnd w:id="316"/>
    </w:p>
    <w:p>
      <w:pPr>
        <w:pStyle w:val="4"/>
        <w:numPr>
          <w:ilvl w:val="2"/>
          <w:numId w:val="0"/>
        </w:numPr>
        <w:ind w:left="616" w:leftChars="200"/>
        <w:rPr>
          <w:rFonts w:hint="eastAsia" w:ascii="仿宋_GB2312" w:hAnsi="仿宋_GB2312" w:eastAsia="仿宋_GB2312" w:cs="仿宋_GB2312"/>
          <w:b/>
          <w:bCs/>
        </w:rPr>
      </w:pPr>
      <w:bookmarkStart w:id="317" w:name="_Toc12820"/>
      <w:bookmarkStart w:id="318" w:name="_Toc8811"/>
      <w:bookmarkStart w:id="319" w:name="_Toc204691184"/>
      <w:bookmarkStart w:id="320" w:name="_Toc25536"/>
      <w:r>
        <w:rPr>
          <w:rFonts w:hint="eastAsia" w:ascii="仿宋_GB2312" w:hAnsi="仿宋_GB2312" w:eastAsia="仿宋_GB2312" w:cs="仿宋_GB2312"/>
          <w:b/>
          <w:bCs/>
        </w:rPr>
        <w:t>（一）优化人口结构和布局</w:t>
      </w:r>
      <w:bookmarkEnd w:id="317"/>
      <w:bookmarkEnd w:id="318"/>
      <w:bookmarkEnd w:id="319"/>
      <w:bookmarkEnd w:id="320"/>
    </w:p>
    <w:p>
      <w:pPr>
        <w:spacing w:line="540" w:lineRule="exact"/>
        <w:rPr>
          <w:rFonts w:hint="eastAsia" w:ascii="仿宋_GB2312" w:hAnsi="仿宋_GB2312" w:cs="仿宋_GB2312"/>
          <w:spacing w:val="0"/>
          <w:szCs w:val="32"/>
        </w:rPr>
      </w:pPr>
      <w:bookmarkStart w:id="321" w:name="_Hlk206513555"/>
      <w:r>
        <w:rPr>
          <w:rFonts w:hint="eastAsia" w:ascii="仿宋_GB2312" w:hAnsi="仿宋_GB2312" w:cs="仿宋_GB2312"/>
          <w:spacing w:val="0"/>
          <w:szCs w:val="32"/>
        </w:rPr>
        <w:t>扎实推进以人为核心的城镇化。推进镇村宜居宜业水平，稳步推动农村人口城镇化进程；强化新城和西部地区宜居宜业水平，提升综合承载力，顺应北京市放松限购政策，着力满足居民改善性住房需求，重点打造延庆高铁站片区、中关村延庆园八达岭－康庄片区及北方工业大学、首都体育学院、北京第二外国语学院环高校创新发展片区等重点功能区的产城人居新图景，</w:t>
      </w:r>
      <w:bookmarkStart w:id="322" w:name="_Hlk215753173"/>
      <w:r>
        <w:rPr>
          <w:rFonts w:hint="eastAsia" w:ascii="仿宋_GB2312" w:hAnsi="仿宋_GB2312" w:cs="仿宋_GB2312"/>
          <w:spacing w:val="0"/>
          <w:szCs w:val="32"/>
        </w:rPr>
        <w:t>加强对京津冀地区高净值人群的吸引，</w:t>
      </w:r>
      <w:bookmarkEnd w:id="322"/>
      <w:r>
        <w:rPr>
          <w:rFonts w:hint="eastAsia" w:ascii="仿宋_GB2312" w:hAnsi="仿宋_GB2312" w:cs="仿宋_GB2312"/>
          <w:spacing w:val="0"/>
          <w:szCs w:val="32"/>
        </w:rPr>
        <w:t>不断吸纳、培养与新质生产力发展相适应的高质量就业人才及高校师生，</w:t>
      </w:r>
      <w:bookmarkStart w:id="323" w:name="_Hlk215754717"/>
      <w:r>
        <w:rPr>
          <w:rFonts w:hint="eastAsia" w:ascii="仿宋_GB2312" w:hAnsi="仿宋_GB2312" w:cs="仿宋_GB2312"/>
          <w:spacing w:val="0"/>
          <w:szCs w:val="32"/>
        </w:rPr>
        <w:t>提供梯度丰富的保障性住房供应体系，配套高品质服务功能，保障人才宜居安居</w:t>
      </w:r>
      <w:bookmarkEnd w:id="323"/>
      <w:r>
        <w:rPr>
          <w:rFonts w:hint="eastAsia" w:ascii="仿宋_GB2312" w:hAnsi="仿宋_GB2312" w:cs="仿宋_GB2312"/>
          <w:spacing w:val="0"/>
          <w:szCs w:val="32"/>
        </w:rPr>
        <w:t>；着力强化首都后花园定位，提升高品质山居休闲度假区功能，大力吸引旅居度假人群，满足首都人群第二居所需求。</w:t>
      </w:r>
    </w:p>
    <w:bookmarkEnd w:id="321"/>
    <w:p>
      <w:pPr>
        <w:spacing w:line="540" w:lineRule="exact"/>
        <w:rPr>
          <w:rFonts w:hint="eastAsia" w:ascii="仿宋_GB2312" w:hAnsi="仿宋_GB2312" w:cs="仿宋_GB2312"/>
          <w:spacing w:val="0"/>
          <w:szCs w:val="32"/>
        </w:rPr>
      </w:pPr>
      <w:r>
        <w:rPr>
          <w:rFonts w:hint="eastAsia" w:ascii="仿宋_GB2312" w:hAnsi="仿宋_GB2312" w:cs="仿宋_GB2312"/>
          <w:spacing w:val="0"/>
          <w:szCs w:val="32"/>
        </w:rPr>
        <w:t>立足生态涵养区的功能定位，以资源环境承载能力为硬约束，综合考虑生态本底条件及环境合理容量，到2030年全区适宜的常住人口规模约35.5万人。</w:t>
      </w:r>
      <w:bookmarkStart w:id="324" w:name="_Hlk215755084"/>
      <w:r>
        <w:rPr>
          <w:rFonts w:hint="eastAsia" w:ascii="仿宋_GB2312" w:hAnsi="仿宋_GB2312" w:cs="仿宋_GB2312"/>
          <w:spacing w:val="0"/>
          <w:szCs w:val="32"/>
        </w:rPr>
        <w:t>延庆新城、重点功能区地区为人口增长的重点地区；中部地区人口基本保持稳定；东部地区强调生态涵养和生态保育，人口总量稳中有降。</w:t>
      </w:r>
    </w:p>
    <w:bookmarkEnd w:id="324"/>
    <w:p>
      <w:pPr>
        <w:pStyle w:val="4"/>
        <w:numPr>
          <w:ilvl w:val="2"/>
          <w:numId w:val="0"/>
        </w:numPr>
        <w:ind w:left="616" w:leftChars="200"/>
        <w:rPr>
          <w:rFonts w:hint="eastAsia" w:ascii="仿宋_GB2312" w:hAnsi="仿宋_GB2312" w:eastAsia="仿宋_GB2312" w:cs="仿宋_GB2312"/>
          <w:b/>
          <w:bCs/>
        </w:rPr>
      </w:pPr>
      <w:bookmarkStart w:id="325" w:name="_Toc19740"/>
      <w:bookmarkStart w:id="326" w:name="_Toc14276"/>
      <w:bookmarkStart w:id="327" w:name="_Toc22828"/>
      <w:r>
        <w:rPr>
          <w:rFonts w:hint="eastAsia" w:ascii="仿宋_GB2312" w:hAnsi="仿宋_GB2312" w:eastAsia="仿宋_GB2312" w:cs="仿宋_GB2312"/>
          <w:b/>
          <w:bCs/>
        </w:rPr>
        <w:t>（二）完善土地要素配置</w:t>
      </w:r>
      <w:bookmarkEnd w:id="325"/>
      <w:bookmarkEnd w:id="326"/>
      <w:bookmarkEnd w:id="327"/>
    </w:p>
    <w:p>
      <w:pPr>
        <w:rPr>
          <w:rFonts w:hint="eastAsia" w:ascii="仿宋_GB2312" w:hAnsi="仿宋_GB2312" w:cs="仿宋_GB2312"/>
          <w:spacing w:val="0"/>
          <w:szCs w:val="32"/>
        </w:rPr>
      </w:pPr>
      <w:r>
        <w:rPr>
          <w:rFonts w:hint="eastAsia" w:ascii="仿宋_GB2312" w:hAnsi="仿宋_GB2312" w:cs="仿宋_GB2312"/>
          <w:spacing w:val="0"/>
          <w:szCs w:val="32"/>
        </w:rPr>
        <w:t>推动城乡建设用地结构优化转型，统筹好减量、增量、存量关系，合理把握供地规模、供地节奏和供地结构，结合城市更新，盘活存量用地，推进建设用地节约集约发展，强化产城融合、职住平衡，打造产业、城市、人口之间互为依托、互相促进、高效优质的发展模式，推动城市生产率提升和高质量发展。</w:t>
      </w:r>
    </w:p>
    <w:p>
      <w:pPr>
        <w:rPr>
          <w:rFonts w:hint="eastAsia" w:ascii="仿宋_GB2312" w:hAnsi="仿宋_GB2312" w:cs="仿宋_GB2312"/>
          <w:spacing w:val="0"/>
          <w:szCs w:val="32"/>
        </w:rPr>
      </w:pPr>
      <w:r>
        <w:rPr>
          <w:rFonts w:hint="eastAsia" w:ascii="仿宋_GB2312" w:hAnsi="仿宋_GB2312" w:cs="仿宋_GB2312"/>
          <w:spacing w:val="0"/>
          <w:szCs w:val="32"/>
        </w:rPr>
        <w:t>2025年，全区现状城乡建设用地规模为85.93平方公里，预估到2030年城乡建设用地可实现净新增1.3平方公里，2030年城乡建设用地规模预期控制在87.23平方公里。到2035年，全区城乡建设用地规模应控制在89.6平方公里内（其中1.6平方公里专项用于支持北京冬奥会建设）。</w:t>
      </w:r>
    </w:p>
    <w:p>
      <w:pPr>
        <w:pStyle w:val="4"/>
        <w:numPr>
          <w:ilvl w:val="2"/>
          <w:numId w:val="0"/>
        </w:numPr>
        <w:ind w:left="616" w:leftChars="200"/>
        <w:rPr>
          <w:rFonts w:hint="eastAsia" w:ascii="仿宋_GB2312" w:hAnsi="仿宋_GB2312" w:eastAsia="仿宋_GB2312" w:cs="仿宋_GB2312"/>
          <w:b/>
          <w:bCs/>
        </w:rPr>
      </w:pPr>
      <w:bookmarkStart w:id="328" w:name="_Toc3153"/>
      <w:bookmarkStart w:id="329" w:name="_Toc5270"/>
      <w:bookmarkStart w:id="330" w:name="_Toc8108"/>
      <w:r>
        <w:rPr>
          <w:rFonts w:hint="eastAsia" w:ascii="仿宋_GB2312" w:hAnsi="仿宋_GB2312" w:eastAsia="仿宋_GB2312" w:cs="仿宋_GB2312"/>
          <w:b/>
          <w:bCs/>
        </w:rPr>
        <w:t>（三）精准管控建筑规模</w:t>
      </w:r>
      <w:bookmarkEnd w:id="328"/>
      <w:bookmarkEnd w:id="329"/>
      <w:bookmarkEnd w:id="330"/>
    </w:p>
    <w:p>
      <w:pPr>
        <w:spacing w:line="540" w:lineRule="exact"/>
        <w:rPr>
          <w:rFonts w:hint="eastAsia" w:ascii="仿宋_GB2312" w:hAnsi="仿宋_GB2312" w:cs="仿宋_GB2312"/>
          <w:spacing w:val="0"/>
          <w:szCs w:val="32"/>
        </w:rPr>
      </w:pPr>
      <w:r>
        <w:rPr>
          <w:rFonts w:hint="eastAsia" w:ascii="仿宋_GB2312" w:hAnsi="仿宋_GB2312" w:cs="仿宋_GB2312"/>
          <w:spacing w:val="0"/>
          <w:szCs w:val="32"/>
        </w:rPr>
        <w:t>夯实集约内涵发展基础，科学控制总建筑规模，加强建筑规模精细化、差异化实施引导，推动生产空间集约高效、生活空间宜居适度。探索区级层面指标适度优化匹配路径，适度进行区级指标统筹协调，优化人地房空间分布协调性，指标分配适度向产业经济发展动力足、空间建设动力强的延庆新城、八达岭镇、康庄镇倾斜，保障延庆高铁站片区、中关村延庆园八达岭－康庄片区、北方工业大学及首都体育学院环高校创新发展片区等重点功能区的发展。严控东部山区千家店镇、珍珠泉乡、刘斌堡乡、四海镇建设用地增量，严控中部地区沈家营镇、香营乡、井庄镇、大庄科乡建设规模增量。进一步落实增减挂钩，通过一级开发、山区搬迁带动减量发展。</w:t>
      </w:r>
      <w:bookmarkEnd w:id="111"/>
      <w:bookmarkEnd w:id="112"/>
      <w:bookmarkEnd w:id="113"/>
      <w:bookmarkEnd w:id="114"/>
      <w:bookmarkEnd w:id="115"/>
      <w:bookmarkEnd w:id="116"/>
      <w:bookmarkEnd w:id="117"/>
      <w:bookmarkEnd w:id="118"/>
      <w:bookmarkStart w:id="331" w:name="_Toc214036015"/>
      <w:bookmarkEnd w:id="331"/>
      <w:bookmarkStart w:id="332" w:name="_Toc215252495"/>
      <w:bookmarkEnd w:id="332"/>
      <w:bookmarkStart w:id="333" w:name="_Toc215252468"/>
      <w:bookmarkEnd w:id="333"/>
      <w:bookmarkStart w:id="334" w:name="_Toc215252525"/>
      <w:bookmarkEnd w:id="334"/>
      <w:bookmarkStart w:id="335" w:name="_Toc215252529"/>
      <w:bookmarkEnd w:id="335"/>
      <w:bookmarkStart w:id="336" w:name="_Toc215252531"/>
      <w:bookmarkEnd w:id="336"/>
      <w:bookmarkStart w:id="337" w:name="_Toc215252435"/>
      <w:bookmarkEnd w:id="337"/>
      <w:bookmarkStart w:id="338" w:name="_Toc215252431"/>
      <w:bookmarkEnd w:id="338"/>
      <w:bookmarkStart w:id="339" w:name="_Toc215252486"/>
      <w:bookmarkEnd w:id="339"/>
      <w:bookmarkStart w:id="340" w:name="_Toc215252423"/>
      <w:bookmarkEnd w:id="340"/>
      <w:bookmarkStart w:id="341" w:name="_Toc215252507"/>
      <w:bookmarkEnd w:id="341"/>
      <w:bookmarkStart w:id="342" w:name="_Toc215252516"/>
      <w:bookmarkEnd w:id="342"/>
      <w:bookmarkStart w:id="343" w:name="_Toc215252484"/>
      <w:bookmarkEnd w:id="343"/>
      <w:bookmarkStart w:id="344" w:name="_Toc215252418"/>
      <w:bookmarkEnd w:id="344"/>
      <w:bookmarkStart w:id="345" w:name="_Toc215252522"/>
      <w:bookmarkEnd w:id="345"/>
      <w:bookmarkStart w:id="346" w:name="_Toc215252427"/>
      <w:bookmarkEnd w:id="346"/>
      <w:bookmarkStart w:id="347" w:name="_Toc215252497"/>
      <w:bookmarkEnd w:id="347"/>
      <w:bookmarkStart w:id="348" w:name="_Toc215252470"/>
      <w:bookmarkEnd w:id="348"/>
      <w:bookmarkStart w:id="349" w:name="_Toc215252519"/>
      <w:bookmarkEnd w:id="349"/>
      <w:bookmarkStart w:id="350" w:name="_Toc215252465"/>
      <w:bookmarkEnd w:id="350"/>
      <w:bookmarkStart w:id="351" w:name="_Toc215252496"/>
      <w:bookmarkEnd w:id="351"/>
      <w:bookmarkStart w:id="352" w:name="_Toc215252510"/>
      <w:bookmarkEnd w:id="352"/>
      <w:bookmarkStart w:id="353" w:name="_Toc215252421"/>
      <w:bookmarkEnd w:id="353"/>
      <w:bookmarkStart w:id="354" w:name="_Toc215252459"/>
      <w:bookmarkEnd w:id="354"/>
      <w:bookmarkStart w:id="355" w:name="_Toc215252429"/>
      <w:bookmarkEnd w:id="355"/>
      <w:bookmarkStart w:id="356" w:name="_Toc215252472"/>
      <w:bookmarkEnd w:id="356"/>
      <w:bookmarkStart w:id="357" w:name="_Toc215252477"/>
      <w:bookmarkEnd w:id="357"/>
      <w:bookmarkStart w:id="358" w:name="_Toc215252428"/>
      <w:bookmarkEnd w:id="358"/>
      <w:bookmarkStart w:id="359" w:name="_Toc215252456"/>
      <w:bookmarkEnd w:id="359"/>
      <w:bookmarkStart w:id="360" w:name="_Toc215252436"/>
      <w:bookmarkEnd w:id="360"/>
      <w:bookmarkStart w:id="361" w:name="_Toc215252534"/>
      <w:bookmarkEnd w:id="361"/>
      <w:bookmarkStart w:id="362" w:name="_Toc215252482"/>
      <w:bookmarkEnd w:id="362"/>
      <w:bookmarkStart w:id="363" w:name="_Toc215252494"/>
      <w:bookmarkEnd w:id="363"/>
      <w:bookmarkStart w:id="364" w:name="_Toc215252523"/>
      <w:bookmarkEnd w:id="364"/>
      <w:bookmarkStart w:id="365" w:name="_Toc215252449"/>
      <w:bookmarkEnd w:id="365"/>
      <w:bookmarkStart w:id="366" w:name="_Toc215252536"/>
      <w:bookmarkEnd w:id="366"/>
      <w:bookmarkStart w:id="367" w:name="_Toc215252537"/>
      <w:bookmarkEnd w:id="367"/>
      <w:bookmarkStart w:id="368" w:name="_Toc215252457"/>
      <w:bookmarkEnd w:id="368"/>
      <w:bookmarkStart w:id="369" w:name="_Toc215252530"/>
      <w:bookmarkEnd w:id="369"/>
      <w:bookmarkStart w:id="370" w:name="_Toc215252461"/>
      <w:bookmarkEnd w:id="370"/>
      <w:bookmarkStart w:id="371" w:name="_Toc215252404"/>
      <w:bookmarkEnd w:id="371"/>
      <w:bookmarkStart w:id="372" w:name="_Toc215252448"/>
      <w:bookmarkEnd w:id="372"/>
      <w:bookmarkStart w:id="373" w:name="_Toc215252509"/>
      <w:bookmarkEnd w:id="373"/>
      <w:bookmarkStart w:id="374" w:name="_Toc215252446"/>
      <w:bookmarkEnd w:id="374"/>
      <w:bookmarkStart w:id="375" w:name="_Toc215252463"/>
      <w:bookmarkEnd w:id="375"/>
      <w:bookmarkStart w:id="376" w:name="_Toc215252469"/>
      <w:bookmarkEnd w:id="376"/>
      <w:bookmarkStart w:id="377" w:name="_Toc215252455"/>
      <w:bookmarkEnd w:id="377"/>
      <w:bookmarkStart w:id="378" w:name="_Toc215252447"/>
      <w:bookmarkEnd w:id="378"/>
      <w:bookmarkStart w:id="379" w:name="_Toc215252426"/>
      <w:bookmarkEnd w:id="379"/>
      <w:bookmarkStart w:id="380" w:name="_Toc215252490"/>
      <w:bookmarkEnd w:id="380"/>
      <w:bookmarkStart w:id="381" w:name="_Toc215252544"/>
      <w:bookmarkEnd w:id="381"/>
      <w:bookmarkStart w:id="382" w:name="_Toc215252424"/>
      <w:bookmarkEnd w:id="382"/>
      <w:bookmarkStart w:id="383" w:name="_Toc215252476"/>
      <w:bookmarkEnd w:id="383"/>
      <w:bookmarkStart w:id="384" w:name="_Toc215252451"/>
      <w:bookmarkEnd w:id="384"/>
      <w:bookmarkStart w:id="385" w:name="_Toc215252438"/>
      <w:bookmarkEnd w:id="385"/>
      <w:bookmarkStart w:id="386" w:name="_Toc215252517"/>
      <w:bookmarkEnd w:id="386"/>
      <w:bookmarkStart w:id="387" w:name="_Toc215252479"/>
      <w:bookmarkEnd w:id="387"/>
      <w:bookmarkStart w:id="388" w:name="_Toc215252453"/>
      <w:bookmarkEnd w:id="388"/>
      <w:bookmarkStart w:id="389" w:name="_Toc215252533"/>
      <w:bookmarkEnd w:id="389"/>
      <w:bookmarkStart w:id="390" w:name="_Toc215252541"/>
      <w:bookmarkEnd w:id="390"/>
      <w:bookmarkStart w:id="391" w:name="_Toc215252504"/>
      <w:bookmarkEnd w:id="391"/>
      <w:bookmarkStart w:id="392" w:name="_Toc215252513"/>
      <w:bookmarkEnd w:id="392"/>
      <w:bookmarkStart w:id="393" w:name="_Toc215252458"/>
      <w:bookmarkEnd w:id="393"/>
      <w:bookmarkStart w:id="394" w:name="_Toc215252419"/>
      <w:bookmarkEnd w:id="394"/>
      <w:bookmarkStart w:id="395" w:name="_Toc215252520"/>
      <w:bookmarkEnd w:id="395"/>
      <w:bookmarkStart w:id="396" w:name="_Toc215252480"/>
      <w:bookmarkEnd w:id="396"/>
      <w:bookmarkStart w:id="397" w:name="_Toc215252471"/>
      <w:bookmarkEnd w:id="397"/>
      <w:bookmarkStart w:id="398" w:name="_Toc215252445"/>
      <w:bookmarkEnd w:id="398"/>
      <w:bookmarkStart w:id="399" w:name="_Toc215252430"/>
      <w:bookmarkEnd w:id="399"/>
      <w:bookmarkStart w:id="400" w:name="_Toc215252464"/>
      <w:bookmarkEnd w:id="400"/>
      <w:bookmarkStart w:id="401" w:name="_Toc215252524"/>
      <w:bookmarkEnd w:id="401"/>
      <w:bookmarkStart w:id="402" w:name="_Toc215252462"/>
      <w:bookmarkEnd w:id="402"/>
      <w:bookmarkStart w:id="403" w:name="_Toc215252485"/>
      <w:bookmarkEnd w:id="403"/>
      <w:bookmarkStart w:id="404" w:name="_Toc215252505"/>
      <w:bookmarkEnd w:id="404"/>
      <w:bookmarkStart w:id="405" w:name="_Toc214036032"/>
      <w:bookmarkEnd w:id="405"/>
      <w:bookmarkStart w:id="406" w:name="_Toc215252503"/>
      <w:bookmarkEnd w:id="406"/>
      <w:bookmarkStart w:id="407" w:name="_Toc215252540"/>
      <w:bookmarkEnd w:id="407"/>
      <w:bookmarkStart w:id="408" w:name="_Toc215252515"/>
      <w:bookmarkEnd w:id="408"/>
      <w:bookmarkStart w:id="409" w:name="_Toc215252542"/>
      <w:bookmarkEnd w:id="409"/>
      <w:bookmarkStart w:id="410" w:name="_Toc215252487"/>
      <w:bookmarkEnd w:id="410"/>
      <w:bookmarkStart w:id="411" w:name="_Toc215252474"/>
      <w:bookmarkEnd w:id="411"/>
      <w:bookmarkStart w:id="412" w:name="_Toc215252409"/>
      <w:bookmarkEnd w:id="412"/>
      <w:bookmarkStart w:id="413" w:name="_Toc215252422"/>
      <w:bookmarkEnd w:id="413"/>
      <w:bookmarkStart w:id="414" w:name="_Toc215252489"/>
      <w:bookmarkEnd w:id="414"/>
      <w:bookmarkStart w:id="415" w:name="_Toc215252437"/>
      <w:bookmarkEnd w:id="415"/>
      <w:bookmarkStart w:id="416" w:name="_Toc215252535"/>
      <w:bookmarkEnd w:id="416"/>
      <w:bookmarkStart w:id="417" w:name="_Toc215252414"/>
      <w:bookmarkEnd w:id="417"/>
      <w:bookmarkStart w:id="418" w:name="_Toc215252466"/>
      <w:bookmarkEnd w:id="418"/>
      <w:bookmarkStart w:id="419" w:name="_Toc215252483"/>
      <w:bookmarkEnd w:id="419"/>
      <w:bookmarkStart w:id="420" w:name="_Toc215252481"/>
      <w:bookmarkEnd w:id="420"/>
      <w:bookmarkStart w:id="421" w:name="_Toc215252441"/>
      <w:bookmarkEnd w:id="421"/>
      <w:bookmarkStart w:id="422" w:name="_Toc215252450"/>
      <w:bookmarkEnd w:id="422"/>
      <w:bookmarkStart w:id="423" w:name="_Toc215252417"/>
      <w:bookmarkEnd w:id="423"/>
      <w:bookmarkStart w:id="424" w:name="_Toc215252501"/>
      <w:bookmarkEnd w:id="424"/>
      <w:bookmarkStart w:id="425" w:name="_Toc215252521"/>
      <w:bookmarkEnd w:id="425"/>
      <w:bookmarkStart w:id="426" w:name="_Toc215252434"/>
      <w:bookmarkEnd w:id="426"/>
      <w:bookmarkStart w:id="427" w:name="_Toc215252440"/>
      <w:bookmarkEnd w:id="427"/>
      <w:bookmarkStart w:id="428" w:name="_Toc215252499"/>
      <w:bookmarkEnd w:id="428"/>
      <w:bookmarkStart w:id="429" w:name="_Toc215252527"/>
      <w:bookmarkEnd w:id="429"/>
      <w:bookmarkStart w:id="430" w:name="_Toc215252491"/>
      <w:bookmarkEnd w:id="430"/>
      <w:bookmarkStart w:id="431" w:name="_Toc215252492"/>
      <w:bookmarkEnd w:id="431"/>
      <w:bookmarkStart w:id="432" w:name="_Toc215252444"/>
      <w:bookmarkEnd w:id="432"/>
      <w:bookmarkStart w:id="433" w:name="_Toc215252411"/>
      <w:bookmarkEnd w:id="433"/>
      <w:bookmarkStart w:id="434" w:name="_Toc215252551"/>
      <w:bookmarkEnd w:id="434"/>
      <w:bookmarkStart w:id="435" w:name="_Toc215252493"/>
      <w:bookmarkEnd w:id="435"/>
      <w:bookmarkStart w:id="436" w:name="_Toc215252502"/>
      <w:bookmarkEnd w:id="436"/>
      <w:bookmarkStart w:id="437" w:name="_Toc215252413"/>
      <w:bookmarkEnd w:id="437"/>
      <w:bookmarkStart w:id="438" w:name="_Toc215252506"/>
      <w:bookmarkEnd w:id="438"/>
      <w:bookmarkStart w:id="439" w:name="_Toc215252452"/>
      <w:bookmarkEnd w:id="439"/>
      <w:bookmarkStart w:id="440" w:name="_Toc215252475"/>
      <w:bookmarkEnd w:id="440"/>
      <w:bookmarkStart w:id="441" w:name="_Toc215252460"/>
      <w:bookmarkEnd w:id="441"/>
      <w:bookmarkStart w:id="442" w:name="_Toc215252539"/>
      <w:bookmarkEnd w:id="442"/>
      <w:bookmarkStart w:id="443" w:name="_Toc215252512"/>
      <w:bookmarkEnd w:id="443"/>
      <w:bookmarkStart w:id="444" w:name="_Toc215252420"/>
      <w:bookmarkEnd w:id="444"/>
      <w:bookmarkStart w:id="445" w:name="_Toc215252532"/>
      <w:bookmarkEnd w:id="445"/>
      <w:bookmarkStart w:id="446" w:name="_Toc215252514"/>
      <w:bookmarkEnd w:id="446"/>
      <w:bookmarkStart w:id="447" w:name="_Toc215252473"/>
      <w:bookmarkEnd w:id="447"/>
      <w:bookmarkStart w:id="448" w:name="_Toc215252439"/>
      <w:bookmarkEnd w:id="448"/>
      <w:bookmarkStart w:id="449" w:name="_Toc215252432"/>
      <w:bookmarkEnd w:id="449"/>
      <w:bookmarkStart w:id="450" w:name="_Toc215252500"/>
      <w:bookmarkEnd w:id="450"/>
      <w:bookmarkStart w:id="451" w:name="_Toc215252526"/>
      <w:bookmarkEnd w:id="451"/>
      <w:bookmarkStart w:id="452" w:name="_Toc215252416"/>
      <w:bookmarkEnd w:id="452"/>
      <w:bookmarkStart w:id="453" w:name="_Toc215252442"/>
      <w:bookmarkEnd w:id="453"/>
      <w:bookmarkStart w:id="454" w:name="_Toc215252415"/>
      <w:bookmarkEnd w:id="454"/>
      <w:bookmarkStart w:id="455" w:name="_Toc215252543"/>
      <w:bookmarkEnd w:id="455"/>
      <w:bookmarkStart w:id="456" w:name="_Toc215252511"/>
      <w:bookmarkEnd w:id="456"/>
      <w:bookmarkStart w:id="457" w:name="_Hlk213318167"/>
      <w:bookmarkStart w:id="458" w:name="_Hlk209967370"/>
      <w:bookmarkStart w:id="459" w:name="_Toc211328007"/>
      <w:bookmarkStart w:id="460" w:name="_Toc6983"/>
      <w:bookmarkStart w:id="461" w:name="_Toc27923"/>
      <w:bookmarkStart w:id="462" w:name="_Toc2864"/>
      <w:bookmarkStart w:id="463" w:name="_Hlk204070547"/>
      <w:bookmarkStart w:id="464" w:name="_Toc7480"/>
      <w:bookmarkStart w:id="465" w:name="_Toc2834"/>
      <w:bookmarkStart w:id="466" w:name="_Toc31647"/>
      <w:bookmarkStart w:id="467" w:name="_Toc16526"/>
      <w:bookmarkStart w:id="468" w:name="_Toc28748"/>
      <w:r>
        <w:rPr>
          <w:rFonts w:hint="eastAsia" w:ascii="仿宋_GB2312" w:hAnsi="仿宋_GB2312" w:cs="仿宋_GB2312"/>
          <w:spacing w:val="0"/>
          <w:szCs w:val="32"/>
        </w:rPr>
        <w:br w:type="page"/>
      </w:r>
    </w:p>
    <w:p>
      <w:pPr>
        <w:pStyle w:val="34"/>
        <w:spacing w:before="156" w:after="156"/>
        <w:rPr>
          <w:rFonts w:hint="eastAsia"/>
          <w:spacing w:val="0"/>
        </w:rPr>
      </w:pPr>
      <w:bookmarkStart w:id="469" w:name="_Toc24073"/>
      <w:bookmarkStart w:id="470" w:name="_Toc743"/>
      <w:bookmarkStart w:id="471" w:name="_Toc31527"/>
      <w:bookmarkStart w:id="472" w:name="_Toc4786"/>
      <w:bookmarkStart w:id="473" w:name="_Toc11930"/>
      <w:r>
        <w:rPr>
          <w:rFonts w:hint="eastAsia"/>
          <w:spacing w:val="0"/>
        </w:rPr>
        <w:t>强化重点功能区建设</w:t>
      </w:r>
      <w:bookmarkEnd w:id="469"/>
      <w:bookmarkEnd w:id="470"/>
      <w:bookmarkEnd w:id="471"/>
      <w:bookmarkEnd w:id="472"/>
      <w:bookmarkEnd w:id="473"/>
    </w:p>
    <w:p>
      <w:pPr>
        <w:pStyle w:val="3"/>
        <w:ind w:left="616" w:leftChars="200" w:firstLine="4" w:firstLineChars="0"/>
        <w:jc w:val="left"/>
        <w:rPr>
          <w:rFonts w:hint="eastAsia" w:ascii="楷体_GB2312" w:hAnsi="楷体_GB2312" w:eastAsia="楷体_GB2312" w:cs="楷体_GB2312"/>
          <w:spacing w:val="0"/>
          <w:lang w:val="zh-TW"/>
        </w:rPr>
      </w:pPr>
      <w:bookmarkStart w:id="474" w:name="_Toc3125"/>
      <w:bookmarkStart w:id="475" w:name="_Toc32363"/>
      <w:bookmarkStart w:id="476" w:name="_Toc24871"/>
      <w:bookmarkStart w:id="477" w:name="_Toc3780"/>
      <w:bookmarkStart w:id="478" w:name="_Toc5740"/>
      <w:r>
        <w:rPr>
          <w:rFonts w:hint="eastAsia" w:ascii="楷体_GB2312" w:hAnsi="楷体_GB2312" w:eastAsia="楷体_GB2312" w:cs="楷体_GB2312"/>
          <w:spacing w:val="0"/>
        </w:rPr>
        <w:t>枢纽聚能、世园聚气，加速新城南部片区重点地段建设</w:t>
      </w:r>
      <w:bookmarkEnd w:id="474"/>
      <w:bookmarkEnd w:id="475"/>
      <w:bookmarkEnd w:id="476"/>
      <w:bookmarkEnd w:id="477"/>
      <w:bookmarkEnd w:id="478"/>
    </w:p>
    <w:p>
      <w:pPr>
        <w:rPr>
          <w:rFonts w:hint="eastAsia" w:ascii="仿宋_GB2312" w:hAnsi="仿宋_GB2312" w:cs="仿宋_GB2312"/>
          <w:spacing w:val="0"/>
          <w:szCs w:val="32"/>
        </w:rPr>
      </w:pPr>
      <w:r>
        <w:rPr>
          <w:rFonts w:hint="eastAsia" w:ascii="仿宋_GB2312" w:hAnsi="仿宋_GB2312" w:cs="仿宋_GB2312"/>
          <w:spacing w:val="0"/>
          <w:szCs w:val="32"/>
          <w:lang w:val="zh-TW"/>
        </w:rPr>
        <w:t>发挥生态与区位双重优势，以世园公园为核心引擎，以建设延庆高铁站片区为抓手，激发内生动力，推进生态景观优势向生态商务休闲度假功能转变，积极创建国家级旅游度假区，打造国际一流生态文明先行示范区的展示区。</w:t>
      </w:r>
    </w:p>
    <w:p>
      <w:pPr>
        <w:pStyle w:val="4"/>
        <w:numPr>
          <w:ilvl w:val="2"/>
          <w:numId w:val="0"/>
        </w:numPr>
        <w:ind w:left="616" w:leftChars="200"/>
        <w:rPr>
          <w:rFonts w:hint="eastAsia" w:ascii="仿宋_GB2312" w:hAnsi="仿宋_GB2312" w:eastAsia="仿宋_GB2312" w:cs="仿宋_GB2312"/>
          <w:b/>
          <w:bCs/>
        </w:rPr>
      </w:pPr>
      <w:bookmarkStart w:id="479" w:name="_Toc14953"/>
      <w:bookmarkStart w:id="480" w:name="_Toc29034"/>
      <w:bookmarkStart w:id="481" w:name="_Toc27303"/>
      <w:r>
        <w:rPr>
          <w:rFonts w:hint="eastAsia" w:ascii="仿宋_GB2312" w:hAnsi="仿宋_GB2312" w:eastAsia="仿宋_GB2312" w:cs="仿宋_GB2312"/>
          <w:b/>
          <w:bCs/>
        </w:rPr>
        <w:t>（一）推动延庆高铁站片区一体化建设，打造</w:t>
      </w:r>
      <w:bookmarkEnd w:id="479"/>
      <w:bookmarkEnd w:id="480"/>
      <w:r>
        <w:rPr>
          <w:rFonts w:hint="eastAsia" w:ascii="仿宋_GB2312" w:hAnsi="仿宋_GB2312" w:eastAsia="仿宋_GB2312" w:cs="仿宋_GB2312"/>
          <w:b/>
          <w:bCs/>
        </w:rPr>
        <w:t>立体城市客厅</w:t>
      </w:r>
      <w:bookmarkEnd w:id="481"/>
    </w:p>
    <w:p>
      <w:pPr>
        <w:rPr>
          <w:rFonts w:hint="eastAsia" w:ascii="仿宋_GB2312" w:hAnsi="仿宋_GB2312" w:cs="仿宋_GB2312"/>
          <w:spacing w:val="0"/>
          <w:szCs w:val="32"/>
        </w:rPr>
      </w:pPr>
      <w:r>
        <w:rPr>
          <w:rFonts w:hint="eastAsia" w:ascii="仿宋_GB2312" w:hAnsi="仿宋_GB2312" w:cs="仿宋_GB2312"/>
          <w:spacing w:val="0"/>
          <w:szCs w:val="32"/>
        </w:rPr>
        <w:t>全力推进新城南部产城融合片区建设。围绕延庆高铁站片区、中关村延庆园延庆片区、中关村科技体育前沿技术创新中心打造立体城市客厅。优先实施一批关键枢纽、产业载体项目，开展立体化换乘枢纽建设。发挥京张高铁延庆站对城市发展的引导作用，探索地上地下空间协同开发创新模式，复合建设公交场站，打造北京首个三维立体城市客厅。加强站点周边风貌引导，结合公共空间改造，优化城市形象，营建花园场站。加快中关村延庆园延庆片区建设。借势首都体育学院（北京国际奥林匹克学院）新校区、延庆高铁站片区建设，聚力打造国际体育（冰雪）产业示范区，围绕低空技术、科技体育两大产业，承接企业总部、研发办公、展览展示、交易结算等功能。</w:t>
      </w:r>
      <w:r>
        <w:rPr>
          <w:rFonts w:hint="eastAsia" w:ascii="仿宋_GB2312" w:hAnsi="仿宋_GB2312" w:cs="仿宋_GB2312"/>
          <w:spacing w:val="0"/>
          <w:szCs w:val="32"/>
          <w:lang w:val="zh-TW"/>
        </w:rPr>
        <w:t>以智能建造为抓手，打造建筑业新质生产力，推动广联达数字建筑产业基地建设加快落地。塑造三维立体花园场站风貌，统筹科创办公、交通枢纽建筑与园林景观；建筑风格简洁明快、体量尺度宜人，色彩选取高明度、低彩度暖雅色调；第五立面以坡屋顶为主，屋顶设备集中布置并做遮蔽处理，突出高效现代、蓝绿交融特征。</w:t>
      </w:r>
    </w:p>
    <w:p>
      <w:pPr>
        <w:pStyle w:val="4"/>
        <w:numPr>
          <w:ilvl w:val="2"/>
          <w:numId w:val="0"/>
        </w:numPr>
        <w:ind w:left="616" w:leftChars="200"/>
        <w:rPr>
          <w:rFonts w:hint="eastAsia" w:ascii="仿宋_GB2312" w:hAnsi="仿宋_GB2312" w:eastAsia="仿宋_GB2312" w:cs="仿宋_GB2312"/>
          <w:b/>
          <w:bCs/>
        </w:rPr>
      </w:pPr>
      <w:bookmarkStart w:id="482" w:name="_Toc11664"/>
      <w:bookmarkStart w:id="483" w:name="_Toc13572"/>
      <w:bookmarkStart w:id="484" w:name="_Toc3005"/>
      <w:r>
        <w:rPr>
          <w:rFonts w:hint="eastAsia" w:ascii="仿宋_GB2312" w:hAnsi="仿宋_GB2312" w:eastAsia="仿宋_GB2312" w:cs="仿宋_GB2312"/>
          <w:b/>
          <w:bCs/>
        </w:rPr>
        <w:t>（二）深化世园片区融合发展，创建国家级旅游度假区</w:t>
      </w:r>
      <w:bookmarkEnd w:id="482"/>
      <w:bookmarkEnd w:id="483"/>
      <w:bookmarkEnd w:id="484"/>
    </w:p>
    <w:p>
      <w:pPr>
        <w:rPr>
          <w:rFonts w:hint="eastAsia" w:ascii="仿宋_GB2312" w:hAnsi="仿宋_GB2312" w:cs="仿宋_GB2312"/>
          <w:spacing w:val="0"/>
          <w:szCs w:val="32"/>
        </w:rPr>
      </w:pPr>
      <w:r>
        <w:rPr>
          <w:rFonts w:hint="eastAsia" w:ascii="仿宋_GB2312" w:hAnsi="仿宋_GB2312" w:cs="仿宋_GB2312"/>
          <w:spacing w:val="0"/>
          <w:szCs w:val="32"/>
        </w:rPr>
        <w:t>城园融合共建，强化世园生态价值转化。保护提升世园公园及周边生态系统，坚持绿色低碳发展理念，营建多样生境空间。强化世园公园与周边公园的空间连接，加强社区与山川、绿化、水系景观的有机融合，全力打造一城山水、城融百园的格局。延续世园生态园林底色，塑造城园共生的生态度假区风貌；建筑布局低缓疏朗，建筑高度严格遵从新城基准高度管控，强化生境营造，优先选用本土耐久生态材质，第五立面鼓励屋顶绿化、园艺化处理，与园区景观衔接，体现生态文明对外展示窗口的风貌特质。以国家级旅游度假区创建为抓手，优先推进北京世园农业研学基地、世园村 D地块住宅项目等世园周边配套提升项目落地，发展新业态，完善智慧设施，提升服务标准，打造世园遗产示范区和生态创新基地。</w:t>
      </w:r>
    </w:p>
    <w:p>
      <w:pPr>
        <w:rPr>
          <w:rFonts w:hint="eastAsia" w:ascii="仿宋_GB2312" w:hAnsi="仿宋_GB2312" w:cs="仿宋_GB2312"/>
          <w:spacing w:val="0"/>
          <w:szCs w:val="32"/>
          <w:lang w:val="zh-TW"/>
        </w:rPr>
      </w:pPr>
      <w:r>
        <w:rPr>
          <w:rFonts w:hint="eastAsia" w:ascii="仿宋_GB2312" w:hAnsi="仿宋_GB2312" w:cs="仿宋_GB2312"/>
          <w:spacing w:val="0"/>
          <w:szCs w:val="32"/>
        </w:rPr>
        <w:t>城站园联动开发，加速延庆高铁站片区整体建设。以世园公园作为片区发展的核心引力，统筹人口、产业、居住、交通功能，塑造世园公园南门向东延伸至京张高铁延庆站前的连片发展区。提升空间资源效能，以十一学校建设为契机，系统谋划环世园公园出入口的世园休闲片区（G地块、公园东南侧产业带等）建设，积极推动片区内经营性地块入市。统筹布局商业商务、科研办公、创新服务功能，加快完善区域交通与公共服务设施，构建富有活力、功能复合</w:t>
      </w:r>
      <w:bookmarkStart w:id="485" w:name="_Hlk224070025"/>
      <w:r>
        <w:rPr>
          <w:rFonts w:hint="eastAsia" w:ascii="仿宋_GB2312" w:hAnsi="仿宋_GB2312" w:cs="仿宋_GB2312"/>
          <w:spacing w:val="0"/>
          <w:szCs w:val="32"/>
        </w:rPr>
        <w:t>的高铁站周边片区中部产业综合服务轴</w:t>
      </w:r>
      <w:bookmarkEnd w:id="485"/>
      <w:r>
        <w:rPr>
          <w:rFonts w:hint="eastAsia" w:ascii="仿宋_GB2312" w:hAnsi="仿宋_GB2312" w:cs="仿宋_GB2312"/>
          <w:spacing w:val="0"/>
          <w:szCs w:val="32"/>
        </w:rPr>
        <w:t>。</w:t>
      </w:r>
    </w:p>
    <w:p>
      <w:pPr>
        <w:pStyle w:val="3"/>
        <w:ind w:left="616" w:leftChars="200" w:firstLine="4" w:firstLineChars="0"/>
        <w:jc w:val="left"/>
        <w:rPr>
          <w:rFonts w:hint="eastAsia" w:ascii="楷体_GB2312" w:hAnsi="楷体_GB2312" w:eastAsia="楷体_GB2312" w:cs="楷体_GB2312"/>
          <w:spacing w:val="0"/>
        </w:rPr>
      </w:pPr>
      <w:bookmarkStart w:id="486" w:name="_Toc19169"/>
      <w:bookmarkStart w:id="487" w:name="_Toc20367"/>
      <w:bookmarkStart w:id="488" w:name="_Toc5454"/>
      <w:bookmarkStart w:id="489" w:name="_Toc13772"/>
      <w:bookmarkStart w:id="490" w:name="_Toc15885"/>
      <w:r>
        <w:rPr>
          <w:rFonts w:hint="eastAsia" w:ascii="楷体_GB2312" w:hAnsi="楷体_GB2312" w:eastAsia="楷体_GB2312" w:cs="楷体_GB2312"/>
          <w:spacing w:val="0"/>
        </w:rPr>
        <w:t>创新引领、环境提升，加快中关村延庆园迭代升级</w:t>
      </w:r>
      <w:bookmarkEnd w:id="486"/>
      <w:bookmarkEnd w:id="487"/>
      <w:bookmarkEnd w:id="488"/>
      <w:bookmarkEnd w:id="489"/>
      <w:bookmarkEnd w:id="490"/>
    </w:p>
    <w:p>
      <w:pPr>
        <w:rPr>
          <w:rFonts w:hint="eastAsia" w:ascii="仿宋_GB2312" w:hAnsi="仿宋_GB2312" w:cs="仿宋_GB2312"/>
          <w:spacing w:val="0"/>
          <w:szCs w:val="32"/>
          <w:lang w:val="zh-TW"/>
        </w:rPr>
      </w:pPr>
      <w:r>
        <w:rPr>
          <w:rFonts w:hint="eastAsia" w:ascii="仿宋_GB2312" w:hAnsi="仿宋_GB2312" w:cs="仿宋_GB2312"/>
          <w:spacing w:val="0"/>
          <w:szCs w:val="32"/>
          <w:lang w:val="zh-TW"/>
        </w:rPr>
        <w:t>立足创新引领与绿色发展，以八达岭机场和长城脚下的创新家园为核心，依托八达岭、康庄片区制造业基础，培育新质生产力，围绕低空技术、绿色能源、</w:t>
      </w:r>
      <w:bookmarkStart w:id="491" w:name="OLE_LINK2"/>
      <w:r>
        <w:rPr>
          <w:rFonts w:hint="eastAsia" w:ascii="仿宋_GB2312" w:hAnsi="仿宋_GB2312" w:cs="仿宋_GB2312"/>
          <w:spacing w:val="0"/>
          <w:szCs w:val="32"/>
          <w:lang w:val="zh-TW"/>
        </w:rPr>
        <w:t>医药健康</w:t>
      </w:r>
      <w:bookmarkEnd w:id="491"/>
      <w:r>
        <w:rPr>
          <w:rFonts w:hint="eastAsia" w:ascii="仿宋_GB2312" w:hAnsi="仿宋_GB2312" w:cs="仿宋_GB2312"/>
          <w:spacing w:val="0"/>
          <w:szCs w:val="32"/>
          <w:lang w:val="zh-TW"/>
        </w:rPr>
        <w:t>等重点产业，科学布局产业载体，推进集约高效、零碳示范的高品质园区建设，为区域高质量发展注入强劲新动能。</w:t>
      </w:r>
    </w:p>
    <w:p>
      <w:pPr>
        <w:pStyle w:val="4"/>
        <w:numPr>
          <w:ilvl w:val="2"/>
          <w:numId w:val="0"/>
        </w:numPr>
        <w:ind w:left="616" w:leftChars="200"/>
        <w:rPr>
          <w:rFonts w:hint="eastAsia" w:ascii="仿宋_GB2312" w:hAnsi="仿宋_GB2312" w:eastAsia="仿宋_GB2312" w:cs="仿宋_GB2312"/>
          <w:b/>
          <w:bCs/>
        </w:rPr>
      </w:pPr>
      <w:bookmarkStart w:id="492" w:name="_Toc10779"/>
      <w:bookmarkStart w:id="493" w:name="_Toc1005"/>
      <w:bookmarkStart w:id="494" w:name="_Toc31361"/>
      <w:r>
        <w:rPr>
          <w:rFonts w:hint="eastAsia" w:ascii="仿宋_GB2312" w:hAnsi="仿宋_GB2312" w:eastAsia="仿宋_GB2312" w:cs="仿宋_GB2312"/>
          <w:b/>
          <w:bCs/>
        </w:rPr>
        <w:t>（一）技术引领，打造延庆科技创新发展引擎</w:t>
      </w:r>
      <w:bookmarkEnd w:id="492"/>
      <w:bookmarkEnd w:id="493"/>
      <w:bookmarkEnd w:id="494"/>
    </w:p>
    <w:p>
      <w:pPr>
        <w:rPr>
          <w:rFonts w:hint="eastAsia" w:ascii="仿宋_GB2312" w:hAnsi="仿宋_GB2312" w:cs="仿宋_GB2312"/>
          <w:spacing w:val="0"/>
          <w:szCs w:val="32"/>
        </w:rPr>
      </w:pPr>
      <w:r>
        <w:rPr>
          <w:rFonts w:hint="eastAsia" w:ascii="仿宋_GB2312" w:hAnsi="仿宋_GB2312" w:cs="仿宋_GB2312"/>
          <w:spacing w:val="0"/>
          <w:szCs w:val="32"/>
        </w:rPr>
        <w:t>加强园区核心产业竞争力。依托现有龙头企业完善无人机产业链条，打造低空技术创新和产业发展先导区。加强与海淀、昌平、张家口的产业协作，</w:t>
      </w:r>
      <w:r>
        <w:rPr>
          <w:rFonts w:hint="eastAsia" w:ascii="仿宋_GB2312" w:hAnsi="仿宋_GB2312" w:cs="仿宋_GB2312"/>
          <w:spacing w:val="0"/>
          <w:szCs w:val="32"/>
          <w:lang w:val="zh-TW"/>
        </w:rPr>
        <w:t>依托八达岭能源谷、同方药业</w:t>
      </w:r>
      <w:r>
        <w:rPr>
          <w:rFonts w:hint="eastAsia" w:ascii="仿宋_GB2312" w:hAnsi="仿宋_GB2312" w:cs="仿宋_GB2312"/>
          <w:spacing w:val="0"/>
          <w:szCs w:val="32"/>
        </w:rPr>
        <w:t>重点集聚以氢能为主的清洁能源、能源互联网产业生态，积极谋划高端医疗器械、模式生物等高潜力产业。加快新质生产力产业载体建设，</w:t>
      </w:r>
      <w:r>
        <w:rPr>
          <w:rFonts w:hint="eastAsia" w:ascii="仿宋_GB2312" w:hAnsi="仿宋_GB2312" w:cs="仿宋_GB2312"/>
          <w:spacing w:val="0"/>
          <w:szCs w:val="32"/>
          <w:lang w:val="zh-TW"/>
        </w:rPr>
        <w:t>推动推进航空制造院等实体项目落地达产，规划建设和改造低空产业园高标准厂房，建设领航科技园项目、延庆无人机装备产业基地建设项目，推进低空防御组团开发建设。推进以中国电信北京公司超大规模智能算力中心项目建设为代表的绿色算力等前沿未来产业发展。打造先进科创智造园区风貌，适配低空、绿色能源产业功能，建筑风貌简约现代；同片区建筑尺度、色彩、材质相互协调，避免造型夸张体量失控；屋顶设施适当遮蔽，第五立面保持整洁有序，体现集约高效的产业空间特质。</w:t>
      </w:r>
    </w:p>
    <w:p>
      <w:pPr>
        <w:pStyle w:val="4"/>
        <w:numPr>
          <w:ilvl w:val="2"/>
          <w:numId w:val="0"/>
        </w:numPr>
        <w:ind w:left="616" w:leftChars="200"/>
        <w:rPr>
          <w:rFonts w:hint="eastAsia" w:ascii="仿宋_GB2312" w:hAnsi="仿宋_GB2312" w:eastAsia="仿宋_GB2312" w:cs="仿宋_GB2312"/>
          <w:b/>
          <w:bCs/>
        </w:rPr>
      </w:pPr>
      <w:bookmarkStart w:id="495" w:name="_Toc28910"/>
      <w:bookmarkStart w:id="496" w:name="_Toc1490"/>
      <w:bookmarkStart w:id="497" w:name="_Toc20943"/>
      <w:r>
        <w:rPr>
          <w:rFonts w:hint="eastAsia" w:ascii="仿宋_GB2312" w:hAnsi="仿宋_GB2312" w:eastAsia="仿宋_GB2312" w:cs="仿宋_GB2312"/>
          <w:b/>
          <w:bCs/>
        </w:rPr>
        <w:t>（二）品质赋能，塑造产城融合发展样板</w:t>
      </w:r>
      <w:bookmarkEnd w:id="495"/>
      <w:bookmarkEnd w:id="496"/>
      <w:bookmarkEnd w:id="497"/>
    </w:p>
    <w:p>
      <w:pPr>
        <w:rPr>
          <w:rFonts w:hint="eastAsia" w:ascii="仿宋_GB2312" w:hAnsi="仿宋_GB2312" w:cs="仿宋_GB2312"/>
          <w:spacing w:val="0"/>
          <w:szCs w:val="32"/>
          <w:lang w:val="zh-TW"/>
        </w:rPr>
      </w:pPr>
      <w:r>
        <w:rPr>
          <w:rFonts w:hint="eastAsia" w:ascii="仿宋_GB2312" w:hAnsi="仿宋_GB2312" w:cs="仿宋_GB2312"/>
          <w:spacing w:val="0"/>
          <w:szCs w:val="32"/>
          <w:lang w:val="zh-TW"/>
        </w:rPr>
        <w:t>加速镇园融合发展。围绕长城脚下创新家园一期，全面提升康庄大道－康张路两侧城市空间风貌，系统提升景观品质，高标准建设无人机主题公园、长城家园文化公园和康庄城市公园，营造花园园区环境。优先完善园区骨干路网与能源保障配套，推进康庄镇区与园区一体化建设与功能协同，园区依托产业资源吸引人流、提供技术与平台，康庄镇区积极承接园区生产性服务业外溢及配套需求。全面提升园区基础设施建设。推进光谷九街、风谷一路、四路以及智能无人机检测实验室组团道路工程建设，保障园区交通微循环。同步实施光谷220千伏输变电、人才公寓等配套项目，为园区产业发展和人才集聚提供坚实保障。推进绿色低碳园区建设。持续优化产业生态，重点发展绿色能源等关键技术及应用，以中关村延庆园为重点示范园区，遵循“节能低碳、绿色环保、以人为本”理念，探索零碳园区建设，积极申报首批国家级零碳园区。鼓励园区建筑应用先进节能技术。塑造园镇一体花园式产业社区风貌，推动工业空间与城市公园、生活配套交织渗透；建筑立面优先选用砖、石等本土材料，色彩采用暖雅低饱和色调，第五立面整洁有序，践行零碳建设理念，实现产业空间宜居化转型。</w:t>
      </w:r>
    </w:p>
    <w:p>
      <w:pPr>
        <w:pStyle w:val="3"/>
        <w:ind w:left="616" w:leftChars="200" w:firstLine="4" w:firstLineChars="0"/>
        <w:jc w:val="left"/>
        <w:rPr>
          <w:rFonts w:hint="eastAsia" w:ascii="楷体_GB2312" w:hAnsi="楷体_GB2312" w:eastAsia="楷体_GB2312" w:cs="楷体_GB2312"/>
          <w:spacing w:val="0"/>
        </w:rPr>
      </w:pPr>
      <w:bookmarkStart w:id="498" w:name="_Toc10834"/>
      <w:bookmarkStart w:id="499" w:name="_Toc16341"/>
      <w:bookmarkStart w:id="500" w:name="_Toc20974"/>
      <w:bookmarkStart w:id="501" w:name="_Toc25144"/>
      <w:bookmarkStart w:id="502" w:name="_Toc2508"/>
      <w:r>
        <w:rPr>
          <w:rFonts w:hint="eastAsia" w:ascii="楷体_GB2312" w:hAnsi="楷体_GB2312" w:eastAsia="楷体_GB2312" w:cs="楷体_GB2312"/>
          <w:spacing w:val="0"/>
        </w:rPr>
        <w:t>校研联动、人才培育，高水平规划建设环高校创新发展片区</w:t>
      </w:r>
      <w:bookmarkEnd w:id="498"/>
      <w:bookmarkEnd w:id="499"/>
      <w:bookmarkEnd w:id="500"/>
      <w:bookmarkEnd w:id="501"/>
      <w:bookmarkEnd w:id="502"/>
    </w:p>
    <w:p>
      <w:pPr>
        <w:rPr>
          <w:rFonts w:hint="eastAsia" w:ascii="仿宋_GB2312" w:hAnsi="仿宋_GB2312" w:cs="仿宋_GB2312"/>
          <w:spacing w:val="0"/>
          <w:szCs w:val="32"/>
        </w:rPr>
      </w:pPr>
      <w:r>
        <w:rPr>
          <w:rFonts w:hint="eastAsia" w:ascii="仿宋_GB2312" w:hAnsi="仿宋_GB2312" w:cs="仿宋_GB2312"/>
          <w:spacing w:val="0"/>
          <w:szCs w:val="32"/>
        </w:rPr>
        <w:t>充分发挥高校培养基础研究人才主力军作用，</w:t>
      </w:r>
      <w:r>
        <w:rPr>
          <w:rFonts w:hint="eastAsia" w:ascii="仿宋_GB2312" w:hAnsi="仿宋_GB2312" w:cs="仿宋_GB2312"/>
          <w:spacing w:val="0"/>
          <w:szCs w:val="32"/>
          <w:lang w:val="zh-TW"/>
        </w:rPr>
        <w:t>加快推进首体院新校区、北方工大延庆校区、北京第二外国语学院延庆校区建设，</w:t>
      </w:r>
      <w:r>
        <w:rPr>
          <w:rFonts w:hint="eastAsia" w:ascii="仿宋_GB2312" w:hAnsi="仿宋_GB2312" w:cs="仿宋_GB2312"/>
          <w:spacing w:val="0"/>
          <w:szCs w:val="32"/>
        </w:rPr>
        <w:t>以北方工大高教园区建设为核心抓手，探索“校企合作、产教融合”新模式，强化政府、研发机构、孵化器及高新技术企业间的资源协同，优化空间布局与公共服务配套，谋划建设集居住、社交、创业等功能于一体的创新活力社区，构建产学研用一体化的创新生态，为区域高质量发展提供坚实的智力支撑与人才保障。</w:t>
      </w:r>
    </w:p>
    <w:p>
      <w:pPr>
        <w:pStyle w:val="4"/>
        <w:numPr>
          <w:ilvl w:val="2"/>
          <w:numId w:val="0"/>
        </w:numPr>
        <w:ind w:left="616" w:leftChars="200"/>
        <w:rPr>
          <w:rFonts w:hint="eastAsia" w:ascii="仿宋_GB2312" w:hAnsi="仿宋_GB2312" w:eastAsia="仿宋_GB2312" w:cs="仿宋_GB2312"/>
          <w:b/>
          <w:bCs/>
        </w:rPr>
      </w:pPr>
      <w:bookmarkStart w:id="503" w:name="_Toc15481"/>
      <w:bookmarkStart w:id="504" w:name="_Toc11059"/>
      <w:bookmarkStart w:id="505" w:name="_Toc30186"/>
      <w:r>
        <w:rPr>
          <w:rFonts w:hint="eastAsia" w:ascii="仿宋_GB2312" w:hAnsi="仿宋_GB2312" w:eastAsia="仿宋_GB2312" w:cs="仿宋_GB2312"/>
          <w:b/>
          <w:bCs/>
        </w:rPr>
        <w:t>（一）深化产教融合，构筑协同创新平台</w:t>
      </w:r>
      <w:bookmarkEnd w:id="503"/>
      <w:bookmarkEnd w:id="504"/>
      <w:bookmarkEnd w:id="505"/>
    </w:p>
    <w:p>
      <w:pPr>
        <w:rPr>
          <w:rFonts w:hint="eastAsia" w:ascii="仿宋_GB2312" w:hAnsi="仿宋_GB2312" w:cs="仿宋_GB2312"/>
          <w:spacing w:val="0"/>
          <w:szCs w:val="32"/>
          <w:lang w:val="zh-TW"/>
        </w:rPr>
      </w:pPr>
      <w:r>
        <w:rPr>
          <w:rFonts w:hint="eastAsia" w:ascii="仿宋_GB2312" w:hAnsi="仿宋_GB2312" w:cs="仿宋_GB2312"/>
          <w:spacing w:val="0"/>
          <w:szCs w:val="32"/>
          <w:lang w:val="zh-TW"/>
        </w:rPr>
        <w:t>建设零碳低碳校区。发挥要素保障作用，加快推进北方工业大学延庆校区低碳学校创建工作，通过运用数字化平台技术整合绿热（冷）、绿电、节能、减排、固碳、碳汇等关键举措，构建智慧化能源管理体系。打造创新策源新高地。依托学校无人机优势学科，建设全国低空技术测试验证中心。联合航天九院、北京航空航天大学、北京理工大学等专业机构设立低空技术创新研发中心。打造无人机科技成果转化承接中心，推动八达岭低空安全研究院实体化运作，落实高校实验室建设、重大科技项目、成果转化落地等事宜，服务保障北方工大创新港入学建设，办好八达岭低空安全发展大会。塑造低碳科教创新街区风貌，校园科研建筑风格现代简约，传统元素采取抽象提炼现代表达；建筑色彩选取高明度、低彩度暖雅色系，第五立面整洁，鼓励光伏一体化等降碳屋顶形式，凸显产学研创新策源地的空间特色。</w:t>
      </w:r>
    </w:p>
    <w:p>
      <w:pPr>
        <w:pStyle w:val="4"/>
        <w:numPr>
          <w:ilvl w:val="2"/>
          <w:numId w:val="0"/>
        </w:numPr>
        <w:ind w:left="616" w:leftChars="200"/>
        <w:rPr>
          <w:rFonts w:hint="eastAsia" w:ascii="仿宋_GB2312" w:hAnsi="仿宋_GB2312" w:eastAsia="仿宋_GB2312" w:cs="仿宋_GB2312"/>
          <w:b/>
          <w:bCs/>
        </w:rPr>
      </w:pPr>
      <w:bookmarkStart w:id="506" w:name="_Toc26731"/>
      <w:bookmarkStart w:id="507" w:name="_Toc7348"/>
      <w:bookmarkStart w:id="508" w:name="_Toc13989"/>
      <w:r>
        <w:rPr>
          <w:rFonts w:hint="eastAsia" w:ascii="仿宋_GB2312" w:hAnsi="仿宋_GB2312" w:eastAsia="仿宋_GB2312" w:cs="仿宋_GB2312"/>
          <w:b/>
          <w:bCs/>
        </w:rPr>
        <w:t>（二）完善功能配套，夯实人才发展基础</w:t>
      </w:r>
      <w:bookmarkEnd w:id="506"/>
      <w:bookmarkEnd w:id="507"/>
      <w:bookmarkEnd w:id="508"/>
    </w:p>
    <w:p>
      <w:pPr>
        <w:rPr>
          <w:rFonts w:hint="eastAsia" w:ascii="仿宋_GB2312" w:hAnsi="仿宋_GB2312" w:cs="仿宋_GB2312"/>
          <w:spacing w:val="0"/>
          <w:szCs w:val="32"/>
        </w:rPr>
      </w:pPr>
      <w:r>
        <w:rPr>
          <w:rFonts w:hint="eastAsia" w:ascii="仿宋_GB2312" w:hAnsi="仿宋_GB2312" w:cs="仿宋_GB2312"/>
          <w:spacing w:val="0"/>
          <w:szCs w:val="32"/>
          <w:lang w:val="zh-TW"/>
        </w:rPr>
        <w:t>统筹教育科研、产业发展、服务配套的空间布局，强化与北京科技职业学院（八达岭校区）的协同联动，构建职业技能与本科教育贯通的人才培养体系，推动教育科研用地与产业用地高效衔接，形成以校促城、以城带校的良性互动。</w:t>
      </w:r>
      <w:r>
        <w:rPr>
          <w:rFonts w:hint="eastAsia" w:ascii="仿宋_GB2312" w:hAnsi="仿宋_GB2312" w:cs="仿宋_GB2312"/>
          <w:spacing w:val="0"/>
          <w:szCs w:val="32"/>
        </w:rPr>
        <w:t>优化交通体系，加快实施校区周边路网，优化交通联络线，推进京张高铁延庆站与校园接驳工程，规划校区与城区、园区直达公交专线。提升公共服务设施水平，对接在延高校需求，完善医疗、基础教育设施，实施人才安居工程，加大住房供应力度，按需建设国际人才社区、青年公寓，采取购租并举等方式满足人才多层次住房需求。打造青年友好型创新人居风貌，创新公寓、公共服务与校园空间有机衔接；建筑高度、色彩、材质与周边片区风貌统一，街道公共设施一体化统筹，营造开放共享、宜居宜业的环高校生活圈风貌。</w:t>
      </w:r>
    </w:p>
    <w:p>
      <w:pPr>
        <w:pStyle w:val="3"/>
        <w:ind w:left="616" w:leftChars="200" w:firstLine="4" w:firstLineChars="0"/>
        <w:jc w:val="left"/>
        <w:rPr>
          <w:rFonts w:hint="eastAsia" w:ascii="楷体_GB2312" w:hAnsi="楷体_GB2312" w:eastAsia="楷体_GB2312" w:cs="楷体_GB2312"/>
          <w:spacing w:val="0"/>
        </w:rPr>
      </w:pPr>
      <w:bookmarkStart w:id="509" w:name="_Toc4152"/>
      <w:bookmarkStart w:id="510" w:name="_Toc15020"/>
      <w:bookmarkStart w:id="511" w:name="_Toc27408"/>
      <w:bookmarkStart w:id="512" w:name="_Toc29120"/>
      <w:bookmarkStart w:id="513" w:name="_Toc874"/>
      <w:r>
        <w:rPr>
          <w:rFonts w:hint="eastAsia" w:ascii="楷体_GB2312" w:hAnsi="楷体_GB2312" w:eastAsia="楷体_GB2312" w:cs="楷体_GB2312"/>
          <w:spacing w:val="0"/>
        </w:rPr>
        <w:t>生态彰显、活力营造，突出一河两岸滨水片区环境品质</w:t>
      </w:r>
      <w:bookmarkEnd w:id="509"/>
      <w:bookmarkEnd w:id="510"/>
      <w:bookmarkEnd w:id="511"/>
      <w:bookmarkEnd w:id="512"/>
      <w:bookmarkEnd w:id="513"/>
    </w:p>
    <w:p>
      <w:pPr>
        <w:rPr>
          <w:rFonts w:hint="eastAsia" w:ascii="仿宋_GB2312" w:hAnsi="仿宋_GB2312" w:cs="仿宋_GB2312"/>
          <w:spacing w:val="0"/>
          <w:szCs w:val="32"/>
        </w:rPr>
      </w:pPr>
      <w:r>
        <w:rPr>
          <w:rFonts w:hint="eastAsia" w:ascii="仿宋_GB2312" w:hAnsi="仿宋_GB2312" w:cs="仿宋_GB2312"/>
          <w:spacing w:val="0"/>
          <w:szCs w:val="32"/>
        </w:rPr>
        <w:t>以妫水河“一河两岸”为核心载体，系统完善城区蓝绿空间骨架，推动新城结构优化、品质提升，打造集生态、商业、文化、休闲于一体的滨水活力走廊和城市会客厅，塑造北京花园城市精华示范片区，建设成为北京“山水花园城市”特色样板。</w:t>
      </w:r>
    </w:p>
    <w:p>
      <w:pPr>
        <w:pStyle w:val="4"/>
        <w:numPr>
          <w:ilvl w:val="2"/>
          <w:numId w:val="0"/>
        </w:numPr>
        <w:ind w:left="616" w:leftChars="200"/>
        <w:rPr>
          <w:rFonts w:hint="eastAsia" w:ascii="仿宋_GB2312" w:hAnsi="仿宋_GB2312" w:eastAsia="仿宋_GB2312" w:cs="仿宋_GB2312"/>
          <w:b/>
          <w:bCs/>
        </w:rPr>
      </w:pPr>
      <w:bookmarkStart w:id="514" w:name="_Toc28288"/>
      <w:bookmarkStart w:id="515" w:name="_Toc14428"/>
      <w:bookmarkStart w:id="516" w:name="_Toc17061"/>
      <w:r>
        <w:rPr>
          <w:rFonts w:hint="eastAsia" w:ascii="仿宋_GB2312" w:hAnsi="仿宋_GB2312" w:eastAsia="仿宋_GB2312" w:cs="仿宋_GB2312"/>
          <w:b/>
          <w:bCs/>
        </w:rPr>
        <w:t>（一）强化蓝绿空间骨架，提升空间品质</w:t>
      </w:r>
      <w:bookmarkEnd w:id="514"/>
      <w:bookmarkEnd w:id="515"/>
      <w:bookmarkEnd w:id="516"/>
    </w:p>
    <w:p>
      <w:pPr>
        <w:rPr>
          <w:rFonts w:hint="eastAsia" w:ascii="仿宋_GB2312" w:hAnsi="仿宋_GB2312" w:cs="仿宋_GB2312"/>
          <w:spacing w:val="0"/>
          <w:szCs w:val="32"/>
        </w:rPr>
      </w:pPr>
      <w:r>
        <w:rPr>
          <w:rFonts w:hint="eastAsia" w:ascii="仿宋_GB2312" w:hAnsi="仿宋_GB2312" w:cs="仿宋_GB2312"/>
          <w:spacing w:val="0"/>
          <w:szCs w:val="32"/>
        </w:rPr>
        <w:t>厚植延庆区城水共生、水绿润城的特色本底。构建山水相依的滨水生态廊道风貌，严格管控滨水建筑高度，管控滨水建筑界面，保障观山视线通廊；以连续绿道水系串联各类公园，凸显花园城市生态基底。以世园公园为休闲游绿心，依托环城绿色生态屏障环、妫水河滨水绿带、沿水系及交通要道的绿化景观通廊和三级公园绿地，系统推进新城蓝绿空间建设，构建“城在园中、景城融合”的生态骨架。</w:t>
      </w:r>
    </w:p>
    <w:p>
      <w:pPr>
        <w:rPr>
          <w:rFonts w:hint="eastAsia" w:ascii="仿宋_GB2312" w:hAnsi="仿宋_GB2312" w:cs="仿宋_GB2312"/>
          <w:spacing w:val="0"/>
          <w:szCs w:val="32"/>
        </w:rPr>
      </w:pPr>
      <w:r>
        <w:rPr>
          <w:rFonts w:hint="eastAsia" w:ascii="仿宋_GB2312" w:hAnsi="仿宋_GB2312" w:cs="仿宋_GB2312"/>
          <w:spacing w:val="0"/>
          <w:szCs w:val="32"/>
        </w:rPr>
        <w:t>突出两大生态水系廊道，锚固蓝绿空间骨架</w:t>
      </w:r>
      <w:r>
        <w:rPr>
          <w:rFonts w:hint="eastAsia" w:ascii="仿宋_GB2312" w:hAnsi="仿宋_GB2312" w:cs="仿宋_GB2312"/>
          <w:b/>
          <w:bCs/>
          <w:spacing w:val="0"/>
          <w:szCs w:val="32"/>
        </w:rPr>
        <w:t>。</w:t>
      </w:r>
      <w:r>
        <w:rPr>
          <w:rFonts w:hint="eastAsia" w:ascii="仿宋_GB2312" w:hAnsi="仿宋_GB2312" w:cs="仿宋_GB2312"/>
          <w:spacing w:val="0"/>
          <w:szCs w:val="32"/>
        </w:rPr>
        <w:t>打通水系循环、修复滨水生态，优先实施妫水河滨水空间提升改造试点项目工程。治理妫水河沿线滨水环境，提升水环境质量和城市韧性。治理妫水河河道生态，打造生态文明城区最美水岸；依托妫水河，构建妫水生态休闲运动体验带。</w:t>
      </w:r>
    </w:p>
    <w:p>
      <w:pPr>
        <w:rPr>
          <w:rFonts w:hint="eastAsia" w:ascii="仿宋_GB2312" w:hAnsi="仿宋_GB2312" w:cs="仿宋_GB2312"/>
          <w:spacing w:val="0"/>
          <w:szCs w:val="32"/>
        </w:rPr>
      </w:pPr>
      <w:r>
        <w:rPr>
          <w:rFonts w:hint="eastAsia" w:ascii="仿宋_GB2312" w:hAnsi="仿宋_GB2312" w:cs="仿宋_GB2312"/>
          <w:spacing w:val="0"/>
          <w:szCs w:val="32"/>
        </w:rPr>
        <w:t>推进八大主题公园建设，营造滨水空间环境。优化滨水开敞空间布局，按照大公园持续“焕新”、小游园不断“加量”的思路，提升妫河森林公园、世园公园、夏都公园、东湖公园、江水泉公园、三里河湿地公园等6大现状公园的环境与配套设施，新建妫水公园、先锋文化公园等2处公园，共同营造高品质的滨水空间环境。以东湖公园为重点开展滨水空间环境整治提升，统筹防洪与景观功能，打造时尚智慧的绿色滨水空间样板。</w:t>
      </w:r>
    </w:p>
    <w:p>
      <w:pPr>
        <w:tabs>
          <w:tab w:val="left" w:pos="5387"/>
        </w:tabs>
        <w:rPr>
          <w:rFonts w:hint="eastAsia" w:ascii="仿宋_GB2312" w:hAnsi="仿宋_GB2312" w:cs="仿宋_GB2312"/>
          <w:spacing w:val="0"/>
          <w:szCs w:val="32"/>
        </w:rPr>
      </w:pPr>
      <w:r>
        <w:rPr>
          <w:rFonts w:hint="eastAsia" w:ascii="仿宋_GB2312" w:hAnsi="仿宋_GB2312" w:cs="仿宋_GB2312"/>
          <w:spacing w:val="0"/>
          <w:szCs w:val="32"/>
        </w:rPr>
        <w:t>建设最美妫河城市绿道，构建滨水慢行体系。结合妫水河、三里河的滨水空间与世园会园区、妫川广场等开敞空间设置城市健康休闲绿道，打造网络连续、环境宜人的绿色慢行系统。建设全线联通的“最美妫河”绿道项目，结合滨河绿道完善滨水设施配套和绿道驿站建设。绿道驿站、景观小品融入长城肌理、妫水波纹、冰雪韵律地域文化符号，街道家具统一风貌样式。</w:t>
      </w:r>
    </w:p>
    <w:p>
      <w:pPr>
        <w:rPr>
          <w:rFonts w:hint="eastAsia" w:ascii="仿宋_GB2312" w:hAnsi="仿宋_GB2312" w:cs="仿宋_GB2312"/>
          <w:spacing w:val="0"/>
          <w:szCs w:val="32"/>
        </w:rPr>
      </w:pPr>
      <w:r>
        <w:rPr>
          <w:rFonts w:hint="eastAsia" w:ascii="仿宋_GB2312" w:hAnsi="仿宋_GB2312" w:cs="仿宋_GB2312"/>
          <w:spacing w:val="0"/>
          <w:szCs w:val="32"/>
        </w:rPr>
        <w:t>打造多个滨水特色项目，带动生态价值提升。全面激活滨水空间活力，布局水上运动、商业休闲等业态，打造滨水经济带和活力秀场，实现“以水兴产、以水促城”的发展格局。利用滨水空间节点，重点推进妫水生态休闲运动体验带建设，实施世园妫水生态休闲户外运动公园建设改造提升工程；打造三里河滨水活力走廊，通过水系治理、景观提升和功能植入，打造可游赏、可漫步、可运动、可消费的休闲慢生活水岸。完善滨水休闲功能，重点建设妫水夜画二期、“妫水坊”滨水休闲商业、妫水之心文化馆、主题酒店、康养度假社区等多个特色项目，带动生态价值转化和提升。</w:t>
      </w:r>
    </w:p>
    <w:p>
      <w:pPr>
        <w:pStyle w:val="4"/>
        <w:numPr>
          <w:ilvl w:val="2"/>
          <w:numId w:val="0"/>
        </w:numPr>
        <w:ind w:left="616" w:leftChars="200"/>
        <w:rPr>
          <w:rFonts w:hint="eastAsia" w:ascii="仿宋_GB2312" w:hAnsi="仿宋_GB2312" w:eastAsia="仿宋_GB2312" w:cs="仿宋_GB2312"/>
          <w:b/>
          <w:bCs/>
        </w:rPr>
      </w:pPr>
      <w:bookmarkStart w:id="517" w:name="_Toc5461"/>
      <w:bookmarkStart w:id="518" w:name="_Toc3263"/>
      <w:bookmarkStart w:id="519" w:name="_Toc31887"/>
      <w:r>
        <w:rPr>
          <w:rFonts w:hint="eastAsia" w:ascii="仿宋_GB2312" w:hAnsi="仿宋_GB2312" w:eastAsia="仿宋_GB2312" w:cs="仿宋_GB2312"/>
          <w:b/>
          <w:bCs/>
        </w:rPr>
        <w:t>（二）优化城市功能空间，带动城市均衡发展</w:t>
      </w:r>
      <w:bookmarkEnd w:id="517"/>
      <w:bookmarkEnd w:id="518"/>
      <w:bookmarkEnd w:id="519"/>
    </w:p>
    <w:p>
      <w:pPr>
        <w:rPr>
          <w:rFonts w:hint="eastAsia" w:ascii="仿宋_GB2312" w:hAnsi="仿宋_GB2312" w:cs="仿宋_GB2312"/>
          <w:spacing w:val="0"/>
          <w:szCs w:val="32"/>
        </w:rPr>
      </w:pPr>
      <w:r>
        <w:rPr>
          <w:rFonts w:hint="eastAsia" w:ascii="仿宋_GB2312" w:hAnsi="仿宋_GB2312" w:cs="仿宋_GB2312"/>
          <w:spacing w:val="0"/>
          <w:szCs w:val="32"/>
        </w:rPr>
        <w:t>围绕一河两岸，优化城市功能空间，统筹城市、产业与人口发展，坚持整体谋划、分片实施，形成城北、城南两个服务中心，推动南北联动发展，打造功能互补、均衡协调的城市格局。坚持南北差异化风貌管控，南岸侧重现代科创风貌，北岸老城延续妫川本土城市肌理，实现新旧空间协调共生。</w:t>
      </w:r>
    </w:p>
    <w:p>
      <w:pPr>
        <w:rPr>
          <w:rFonts w:hint="eastAsia" w:ascii="仿宋_GB2312" w:hAnsi="仿宋_GB2312" w:cs="仿宋_GB2312"/>
          <w:spacing w:val="0"/>
          <w:szCs w:val="32"/>
        </w:rPr>
      </w:pPr>
      <w:r>
        <w:rPr>
          <w:rFonts w:hint="eastAsia" w:ascii="仿宋_GB2312" w:hAnsi="仿宋_GB2312" w:cs="仿宋_GB2312"/>
          <w:spacing w:val="0"/>
          <w:szCs w:val="32"/>
        </w:rPr>
        <w:t>妫水河南岸以存量和增量并重为方向。结合片区城市更新（污水处理厂、规划馆等地块），落实全过程风貌管控，同步优化建筑立面、第五立面、街巷附属构件，提升滨水空间风貌，完善商业服务、公共服务、文体休闲等功能。抓紧TOD枢纽及低空技术要素聚集区建设契机，推动城区南部科技服务创新中心建设。以高铁站为核心提升人流集散与城市功能链接能力，完善站前服务、科技创新等功能，成为带动南部城市结构优化与创新生态培育的关键节点。推动新城南部与环高校创新发展片区、中关村延庆园八达岭—康庄片区联动发展，引导城市功能向南拓展，促进人才集聚、产业协同与服务配套等多维度互动，增强区域协同效能，整体提升延庆南部科技创新能级与发展活力。</w:t>
      </w:r>
    </w:p>
    <w:p>
      <w:pPr>
        <w:rPr>
          <w:rFonts w:hint="eastAsia" w:ascii="仿宋_GB2312" w:hAnsi="仿宋_GB2312" w:cs="仿宋_GB2312"/>
          <w:spacing w:val="0"/>
          <w:szCs w:val="32"/>
        </w:rPr>
      </w:pPr>
      <w:r>
        <w:rPr>
          <w:rFonts w:hint="eastAsia" w:ascii="仿宋_GB2312" w:hAnsi="仿宋_GB2312" w:cs="仿宋_GB2312"/>
          <w:spacing w:val="0"/>
          <w:szCs w:val="32"/>
        </w:rPr>
        <w:t>妫水河北岸以老城更新提升为主导。以文化商业中心为关键节点，补齐城市公共服务设施短板，重构滨水城市门户。加快推进存量地块建设。三里河东岸重点提升老城区城市风貌。通过蓝绿生态景观与城市功能组团渗透联动，以慢行系统和线性道路串联万达广场、政务服务中心、会展中心等优质空间资源，结合三里河滨水活力走廊，整体构建老城北部休闲文化商业商务中心。三里河西岸为老城未来建设的潜力片区。近期结合三里河河道治理开展沿线村庄整治提升，未来积极导入康养休闲等高端业态和高品质住宅产品。</w:t>
      </w:r>
    </w:p>
    <w:p>
      <w:pPr>
        <w:pStyle w:val="4"/>
        <w:numPr>
          <w:ilvl w:val="2"/>
          <w:numId w:val="0"/>
        </w:numPr>
        <w:ind w:left="616" w:leftChars="200"/>
        <w:rPr>
          <w:rFonts w:hint="eastAsia" w:ascii="仿宋_GB2312" w:hAnsi="仿宋_GB2312" w:eastAsia="仿宋_GB2312" w:cs="仿宋_GB2312"/>
          <w:b/>
          <w:bCs/>
        </w:rPr>
      </w:pPr>
      <w:bookmarkStart w:id="520" w:name="_Toc10375"/>
      <w:bookmarkStart w:id="521" w:name="_Toc7165"/>
      <w:bookmarkStart w:id="522" w:name="_Toc26896"/>
      <w:r>
        <w:rPr>
          <w:rFonts w:hint="eastAsia" w:ascii="仿宋_GB2312" w:hAnsi="仿宋_GB2312" w:eastAsia="仿宋_GB2312" w:cs="仿宋_GB2312"/>
          <w:b/>
          <w:bCs/>
        </w:rPr>
        <w:t>（三）打造多类花园城市场景，推进城市更新治理</w:t>
      </w:r>
      <w:bookmarkEnd w:id="520"/>
      <w:bookmarkEnd w:id="521"/>
      <w:bookmarkEnd w:id="522"/>
    </w:p>
    <w:p>
      <w:pPr>
        <w:rPr>
          <w:rFonts w:hint="eastAsia" w:ascii="仿宋_GB2312" w:hAnsi="仿宋_GB2312" w:cs="仿宋_GB2312"/>
          <w:spacing w:val="0"/>
          <w:szCs w:val="32"/>
        </w:rPr>
      </w:pPr>
      <w:r>
        <w:rPr>
          <w:rFonts w:hint="eastAsia" w:ascii="仿宋_GB2312" w:hAnsi="仿宋_GB2312" w:cs="仿宋_GB2312"/>
          <w:spacing w:val="0"/>
          <w:szCs w:val="32"/>
        </w:rPr>
        <w:t>坚持以生态资源引领绿色发展，发挥延庆区山水优势，强化生态价值赋能城市高质量发展。借力北京“花园城市”建设契机，突出延庆区城水共生、水绿润城的特色本底，营造花园城市场景。衔接城市更新行动，营建花园社区、花园街道、花园公服、花园商圈、花园办公、花园工厂、花园场站7类花园场景。提升居住品质，持续推动花园住区场景建设。推动街道一体化设计，整合道路红线内外空间资源，营建花园街道，推进百康路道路绿化工程。保障公共服务品质，营建花园学校、花园医院、花园养老、花园文体等公共服务设施场景。激发消费活力，加强商圈改造提升，推动花园商圈场景建设。提升人才吸引力，营造多元人性化花园办公场景。统筹考虑功能转型需求，探索鼓励政策，激励自主更新，持续推动花园工厂场景建设。</w:t>
      </w:r>
    </w:p>
    <w:p>
      <w:pPr>
        <w:pStyle w:val="3"/>
        <w:ind w:left="616" w:leftChars="200" w:firstLine="4" w:firstLineChars="0"/>
        <w:jc w:val="left"/>
        <w:rPr>
          <w:rFonts w:hint="eastAsia" w:ascii="楷体_GB2312" w:hAnsi="楷体_GB2312" w:eastAsia="楷体_GB2312" w:cs="楷体_GB2312"/>
          <w:spacing w:val="0"/>
        </w:rPr>
      </w:pPr>
      <w:bookmarkStart w:id="523" w:name="_Toc11494"/>
      <w:bookmarkStart w:id="524" w:name="_Toc32415"/>
      <w:bookmarkStart w:id="525" w:name="_Toc11626"/>
      <w:bookmarkStart w:id="526" w:name="_Toc16219"/>
      <w:bookmarkStart w:id="527" w:name="_Toc10943"/>
      <w:r>
        <w:rPr>
          <w:rFonts w:hint="eastAsia" w:ascii="楷体_GB2312" w:hAnsi="楷体_GB2312" w:eastAsia="楷体_GB2312" w:cs="楷体_GB2312"/>
          <w:spacing w:val="0"/>
        </w:rPr>
        <w:t>品牌强塑、国际交往，打造长城大景区样板</w:t>
      </w:r>
      <w:bookmarkEnd w:id="523"/>
      <w:bookmarkEnd w:id="524"/>
      <w:bookmarkEnd w:id="525"/>
      <w:bookmarkEnd w:id="526"/>
      <w:bookmarkEnd w:id="527"/>
    </w:p>
    <w:p>
      <w:pPr>
        <w:pStyle w:val="4"/>
        <w:numPr>
          <w:ilvl w:val="2"/>
          <w:numId w:val="0"/>
        </w:numPr>
        <w:ind w:left="616" w:leftChars="200"/>
        <w:rPr>
          <w:rFonts w:hint="eastAsia" w:ascii="仿宋_GB2312" w:hAnsi="仿宋_GB2312" w:eastAsia="仿宋_GB2312" w:cs="仿宋_GB2312"/>
          <w:b/>
          <w:bCs/>
          <w:spacing w:val="-11"/>
        </w:rPr>
      </w:pPr>
      <w:bookmarkStart w:id="528" w:name="_Toc30953"/>
      <w:bookmarkStart w:id="529" w:name="_Toc6581"/>
      <w:bookmarkStart w:id="530" w:name="_Toc12643"/>
      <w:r>
        <w:rPr>
          <w:rFonts w:hint="eastAsia" w:ascii="仿宋_GB2312" w:hAnsi="仿宋_GB2312" w:eastAsia="仿宋_GB2312" w:cs="仿宋_GB2312"/>
          <w:b/>
          <w:bCs/>
          <w:spacing w:val="-11"/>
        </w:rPr>
        <w:t>（一）加强保护利用，突出国际展示交流，打造国际交往会客厅</w:t>
      </w:r>
      <w:bookmarkEnd w:id="528"/>
      <w:bookmarkEnd w:id="529"/>
      <w:bookmarkEnd w:id="530"/>
    </w:p>
    <w:p>
      <w:pPr>
        <w:rPr>
          <w:rFonts w:hint="eastAsia" w:ascii="仿宋_GB2312" w:hAnsi="仿宋_GB2312" w:cs="仿宋_GB2312"/>
          <w:spacing w:val="0"/>
          <w:szCs w:val="32"/>
        </w:rPr>
      </w:pPr>
      <w:r>
        <w:rPr>
          <w:rFonts w:hint="eastAsia" w:ascii="仿宋_GB2312" w:hAnsi="仿宋_GB2312" w:cs="仿宋_GB2312"/>
          <w:spacing w:val="0"/>
          <w:szCs w:val="32"/>
        </w:rPr>
        <w:t>以区域内长城本体和地势环境为核心，增强区域生态系统连通性、协调性、完整性。抓好长城保护范围与建设控制地带调整契机，统筹推进保护传承与区域发展。全面推进长城文物和文化资源保护传承利用，推动长城文化带建设从“线性拓展”向“片区组团”发展，沿南部长城及周边沟域拓展文化产业和旅游服务业，加强对长城军事防御体系、特色聚落文化等内容的整体性、系统性保护展示。以八达岭长城为核心，加强古长城、水关长城、花家窑长城等周边资源联动，推进区域资源整合开发，建设成为长城大景区，打造全国长城保护传承利用的示范样板。优先实施长城博物馆改造提升等标杆项目，突出国际交往与外事接待，塑造国际交往文化品牌。高水准完成中国长城博物馆升级改造，打造长城国家文化公园建设的地标性工程；推动建设长城文化带八达岭长城片区配套功能区，增强八达岭长城作为国事活动场所的服务保障能力；打造“长城国际会客厅”，加强国际交流合作，强化长城名片，建设首都文化传承与国际交往的窗口地区。落实长城古韵风貌区管控以及长城保护范围、建设控制地带高度管控要求，以长城本体风貌为核心，新建建筑低尺度、小体量；延续传统色彩基调，建筑风格古韵质朴，塑造历史文化厚重、适配外事接待的国际文化交往风貌。</w:t>
      </w:r>
    </w:p>
    <w:p>
      <w:pPr>
        <w:pStyle w:val="4"/>
        <w:numPr>
          <w:ilvl w:val="2"/>
          <w:numId w:val="0"/>
        </w:numPr>
        <w:ind w:left="616" w:leftChars="200"/>
        <w:rPr>
          <w:rFonts w:hint="eastAsia" w:ascii="仿宋_GB2312" w:hAnsi="仿宋_GB2312" w:eastAsia="仿宋_GB2312" w:cs="仿宋_GB2312"/>
          <w:b/>
          <w:bCs/>
        </w:rPr>
      </w:pPr>
      <w:bookmarkStart w:id="531" w:name="_Toc16565"/>
      <w:bookmarkStart w:id="532" w:name="_Toc18708"/>
      <w:bookmarkStart w:id="533" w:name="_Toc1848"/>
      <w:r>
        <w:rPr>
          <w:rFonts w:hint="eastAsia" w:ascii="仿宋_GB2312" w:hAnsi="仿宋_GB2312" w:eastAsia="仿宋_GB2312" w:cs="仿宋_GB2312"/>
          <w:b/>
          <w:bCs/>
        </w:rPr>
        <w:t>（二）优化景区资源，完善景区设施配套，提升景区水准</w:t>
      </w:r>
      <w:bookmarkEnd w:id="531"/>
      <w:bookmarkEnd w:id="532"/>
      <w:bookmarkEnd w:id="533"/>
    </w:p>
    <w:p>
      <w:pPr>
        <w:ind w:firstLine="616"/>
        <w:rPr>
          <w:rFonts w:hint="eastAsia" w:ascii="仿宋_GB2312" w:hAnsi="仿宋_GB2312" w:cs="仿宋_GB2312"/>
          <w:szCs w:val="32"/>
        </w:rPr>
      </w:pPr>
      <w:r>
        <w:rPr>
          <w:rFonts w:hint="eastAsia" w:ascii="仿宋_GB2312" w:hAnsi="仿宋_GB2312" w:cs="仿宋_GB2312"/>
          <w:szCs w:val="32"/>
          <w:lang w:val="zh-TW"/>
        </w:rPr>
        <w:t>持续深化长城文化带和长城国家文化公园示范段建设，以八达岭大景区为示范，优化景区资源、完善景区配套。</w:t>
      </w:r>
      <w:r>
        <w:rPr>
          <w:rFonts w:hint="eastAsia" w:ascii="仿宋_GB2312" w:hAnsi="仿宋_GB2312" w:cs="仿宋_GB2312"/>
          <w:szCs w:val="32"/>
        </w:rPr>
        <w:t>充分挖掘黄花路、黄花水长城（延庆段）景观资源，开放提升四海镇（九眼楼）、大庄科乡长城景点资源，为八达岭长城景区分流，构建长城大景区的特色产品板块。设立统一管理与运营平台，重点改造提升黑龙潭服务区、古长城门区、花家窑门区环境与设施配套，建设长城非遗传承中心。融合长城与铁路文化，完善S2线服务旅游观光的功能，改造青龙桥火车站登城口。推进“京畿长城”国家风景道（延庆段）旅游基础设施改造提升，构建长城文化带绿道体系，精心打造观长城森林步道和沿线驿站，串联延庆古城、永宁古城、四海冶城等古城寨堡和长城文化村，促进长城游览体验再升级。加强长城沿线环境综合整治、风貌管控提升、文旅要素统筹、空间业态整合，打造水关－青龙桥－八达岭-花家窑-罗锅城环长城风景线。推进景区内外联络线建设，重点研究G6辅路跨京礼高速向西延伸至外石路，形成连接四个长城景区的“大景区”风景联络线，实现区域空间联通。引导机动车交通，逐步拆除核心景区内停车场，以周边村庄为主要载体，推进停车场地改造扩容，优化景区交通接驳系统。统筹协调各段长城景区风貌，旅游配套设施轻量化、乡土化，依托风景道串联长城、古堡，构建山地文旅风景廊道风貌；山区建筑落实基准高度管控，杜绝大体量现代建筑破坏山水长城视廊。</w:t>
      </w:r>
    </w:p>
    <w:p>
      <w:pPr>
        <w:pStyle w:val="4"/>
        <w:numPr>
          <w:ilvl w:val="2"/>
          <w:numId w:val="0"/>
        </w:numPr>
        <w:ind w:left="616" w:leftChars="200"/>
        <w:rPr>
          <w:rFonts w:hint="eastAsia" w:ascii="仿宋_GB2312" w:hAnsi="仿宋_GB2312" w:eastAsia="仿宋_GB2312" w:cs="仿宋_GB2312"/>
          <w:b/>
          <w:bCs/>
          <w:spacing w:val="-11"/>
        </w:rPr>
      </w:pPr>
      <w:bookmarkStart w:id="534" w:name="_Toc7271"/>
      <w:bookmarkStart w:id="535" w:name="_Toc1947"/>
      <w:bookmarkStart w:id="536" w:name="_Toc6805"/>
      <w:r>
        <w:rPr>
          <w:rFonts w:hint="eastAsia" w:ascii="仿宋_GB2312" w:hAnsi="仿宋_GB2312" w:eastAsia="仿宋_GB2312" w:cs="仿宋_GB2312"/>
          <w:b/>
          <w:bCs/>
          <w:spacing w:val="-11"/>
        </w:rPr>
        <w:t>（三）促进文旅消费，打造多元体验场景，强化国际文旅目的地</w:t>
      </w:r>
      <w:bookmarkEnd w:id="534"/>
      <w:bookmarkEnd w:id="535"/>
      <w:bookmarkEnd w:id="536"/>
    </w:p>
    <w:p>
      <w:pPr>
        <w:rPr>
          <w:rFonts w:hint="eastAsia" w:ascii="仿宋_GB2312" w:hAnsi="仿宋_GB2312" w:cs="仿宋_GB2312"/>
          <w:spacing w:val="0"/>
          <w:szCs w:val="32"/>
        </w:rPr>
      </w:pPr>
      <w:r>
        <w:rPr>
          <w:rFonts w:hint="eastAsia" w:ascii="仿宋_GB2312" w:hAnsi="仿宋_GB2312" w:cs="仿宋_GB2312"/>
          <w:spacing w:val="0"/>
          <w:szCs w:val="32"/>
        </w:rPr>
        <w:t>充分发挥八达岭长城及周边区域作为长城文化带、京张体育文化旅游带交汇点的重要作用，融合文化展示、国际交往、休闲旅游、体育赛事等多种功能，打造世界级文化旅游休闲度假目的地，将其打造为首都都市圈中的重要节点区域。近期重点推进“三所楼”建筑改造升级，形成多功能复合空间，建设八达岭长城国际研学营地。文旅空间场景再升级，引入大型沉浸式主题体验产品。围绕八达岭长城、水关长城、古长城、花家窑打造四大长城主题游线，提供多类型多人群多体验的“长城游”产品，突出国际+、演艺+、度假+、野趣+等文旅特色及主题项目建设。</w:t>
      </w:r>
      <w:r>
        <w:rPr>
          <w:rFonts w:hint="eastAsia" w:ascii="仿宋_GB2312" w:hAnsi="仿宋_GB2312" w:cs="仿宋_GB2312"/>
          <w:spacing w:val="0"/>
          <w:szCs w:val="32"/>
          <w:lang w:val="zh-TW"/>
        </w:rPr>
        <w:t>推进长城体验的</w:t>
      </w:r>
      <w:r>
        <w:rPr>
          <w:rFonts w:hint="eastAsia" w:ascii="仿宋_GB2312" w:hAnsi="仿宋_GB2312" w:cs="仿宋_GB2312"/>
          <w:spacing w:val="0"/>
          <w:szCs w:val="32"/>
        </w:rPr>
        <w:t>时间维度延伸，打造“夜长城”大型夜景灯光秀，丰富四季主题活动，策划“冰雪长城”“冰雪嘉年华”活动。培育新业态新模式，发展研学旅游等特色产品。风貌上兼顾历史质感与现代文旅体验，适度布局沉浸式文旅场景，夜景灯光服从长城文物保护，建筑体量小尺度、低高度，色彩贴合长城古韵风貌分区基调，突出国际化山地文旅特质。</w:t>
      </w:r>
    </w:p>
    <w:p>
      <w:pPr>
        <w:pStyle w:val="4"/>
        <w:numPr>
          <w:ilvl w:val="2"/>
          <w:numId w:val="0"/>
        </w:numPr>
        <w:ind w:left="616" w:leftChars="200"/>
        <w:rPr>
          <w:rFonts w:hint="eastAsia" w:ascii="仿宋_GB2312" w:hAnsi="仿宋_GB2312" w:eastAsia="仿宋_GB2312" w:cs="仿宋_GB2312"/>
          <w:b/>
          <w:bCs/>
          <w:spacing w:val="-17"/>
        </w:rPr>
      </w:pPr>
      <w:bookmarkStart w:id="537" w:name="_Toc15243"/>
      <w:bookmarkStart w:id="538" w:name="_Toc22852"/>
      <w:bookmarkStart w:id="539" w:name="_Toc13198"/>
      <w:r>
        <w:rPr>
          <w:rFonts w:hint="eastAsia" w:ascii="仿宋_GB2312" w:hAnsi="仿宋_GB2312" w:eastAsia="仿宋_GB2312" w:cs="仿宋_GB2312"/>
          <w:b/>
          <w:bCs/>
          <w:spacing w:val="-17"/>
        </w:rPr>
        <w:t>（四）强化区域联动，带动乡村振兴发展，构建景镇村融合示范</w:t>
      </w:r>
      <w:bookmarkEnd w:id="537"/>
      <w:bookmarkEnd w:id="538"/>
      <w:bookmarkEnd w:id="539"/>
    </w:p>
    <w:p>
      <w:pPr>
        <w:rPr>
          <w:rFonts w:hint="eastAsia" w:ascii="仿宋_GB2312" w:hAnsi="仿宋_GB2312" w:cs="仿宋_GB2312"/>
          <w:spacing w:val="0"/>
          <w:szCs w:val="32"/>
        </w:rPr>
      </w:pPr>
      <w:r>
        <w:rPr>
          <w:rFonts w:hint="eastAsia" w:ascii="仿宋_GB2312" w:hAnsi="仿宋_GB2312" w:cs="仿宋_GB2312"/>
          <w:spacing w:val="0"/>
          <w:szCs w:val="32"/>
          <w:lang w:val="zh-TW"/>
        </w:rPr>
        <w:t>加强长城沿线村庄的特色挖掘与整理，以“长城人家”“长城村落”特色品牌为引领，落实总书记指示，保护振兴石峡村、岔道村、石佛寺村等长城脚下特色文化村落，建立分级有序的村庄保护和管理机制。</w:t>
      </w:r>
      <w:r>
        <w:rPr>
          <w:rFonts w:hint="eastAsia" w:ascii="仿宋_GB2312" w:hAnsi="仿宋_GB2312" w:cs="仿宋_GB2312"/>
          <w:spacing w:val="0"/>
          <w:szCs w:val="32"/>
        </w:rPr>
        <w:t>以八达岭长城及周边长城景区为核心，统筹周边村庄保护和利用，形成传统村落集中连片区域，扩大服务区域，推进乡村振兴。统筹谋划，系统布局，选取2～4个村庄开展试点工作。以乡村风貌提升为突破口，通过乡村风貌大赛等形式，借助专业技术团队助力乡村资源禀赋挖掘，强化乡村空间设计和风貌管控，塑造高辨识度的村庄风貌。实施村落整体提升工程，推动公共服务和基础设施升级；培育特色产业集群，差异化打造文旅融合产品；创新运营管理模式，探索构建村落旅游收益分成机制。探索与八达岭景区实行联票制，促进客源互送。保护修缮长城脚下传统村落肌理，延续乡土建筑风貌，文旅配套植入不破坏村落原生格局，打造景镇村共生的长城村落风貌。</w:t>
      </w:r>
    </w:p>
    <w:p>
      <w:pPr>
        <w:pStyle w:val="3"/>
        <w:ind w:left="616" w:leftChars="200" w:firstLine="4" w:firstLineChars="0"/>
        <w:jc w:val="left"/>
        <w:rPr>
          <w:rFonts w:hint="eastAsia" w:ascii="楷体_GB2312" w:hAnsi="楷体_GB2312" w:eastAsia="楷体_GB2312" w:cs="楷体_GB2312"/>
        </w:rPr>
      </w:pPr>
      <w:bookmarkStart w:id="540" w:name="_Toc6773"/>
      <w:bookmarkStart w:id="541" w:name="_Toc1444"/>
      <w:bookmarkStart w:id="542" w:name="_Toc27592"/>
      <w:bookmarkStart w:id="543" w:name="_Toc30734"/>
      <w:bookmarkStart w:id="544" w:name="_Toc4320"/>
      <w:r>
        <w:rPr>
          <w:rFonts w:hint="eastAsia" w:ascii="楷体_GB2312" w:hAnsi="楷体_GB2312" w:eastAsia="楷体_GB2312" w:cs="楷体_GB2312"/>
        </w:rPr>
        <w:t>场馆运维、村镇共建，</w:t>
      </w:r>
      <w:bookmarkEnd w:id="540"/>
      <w:bookmarkEnd w:id="541"/>
      <w:bookmarkEnd w:id="542"/>
      <w:r>
        <w:rPr>
          <w:rFonts w:hint="eastAsia" w:ascii="楷体_GB2312" w:hAnsi="楷体_GB2312" w:eastAsia="楷体_GB2312" w:cs="楷体_GB2312"/>
        </w:rPr>
        <w:t>注重延庆奥林匹克园区赛后利用</w:t>
      </w:r>
      <w:bookmarkEnd w:id="543"/>
      <w:bookmarkEnd w:id="544"/>
    </w:p>
    <w:p>
      <w:pPr>
        <w:rPr>
          <w:rFonts w:hint="eastAsia" w:ascii="仿宋_GB2312" w:hAnsi="仿宋_GB2312" w:cs="仿宋_GB2312"/>
          <w:spacing w:val="0"/>
          <w:szCs w:val="32"/>
        </w:rPr>
      </w:pPr>
      <w:r>
        <w:rPr>
          <w:rFonts w:hint="eastAsia" w:ascii="仿宋_GB2312" w:hAnsi="仿宋_GB2312" w:cs="仿宋_GB2312"/>
          <w:spacing w:val="0"/>
          <w:szCs w:val="32"/>
        </w:rPr>
        <w:t>高效利用冬奥遗产，拓展赛事承办、冰雪培训、休闲旅游等业态，推动延庆—张家口体育文旅基础设施互联互通，整合延庆“冬奥小镇”与崇礼滑雪场资源，联动松山—海陀山一线北部山区的冰雪体育、户外旅游资源，共同培育具有国际影响力的滑雪度假旅游目的地。</w:t>
      </w:r>
    </w:p>
    <w:p>
      <w:pPr>
        <w:pStyle w:val="4"/>
        <w:numPr>
          <w:ilvl w:val="2"/>
          <w:numId w:val="0"/>
        </w:numPr>
        <w:ind w:left="616" w:leftChars="200"/>
        <w:rPr>
          <w:rFonts w:hint="eastAsia" w:ascii="仿宋_GB2312" w:hAnsi="仿宋_GB2312" w:eastAsia="仿宋_GB2312" w:cs="仿宋_GB2312"/>
          <w:b/>
          <w:bCs/>
        </w:rPr>
      </w:pPr>
      <w:bookmarkStart w:id="545" w:name="_Toc13775"/>
      <w:bookmarkStart w:id="546" w:name="_Toc29094"/>
      <w:bookmarkStart w:id="547" w:name="_Toc14600"/>
      <w:r>
        <w:rPr>
          <w:rFonts w:hint="eastAsia" w:ascii="仿宋_GB2312" w:hAnsi="仿宋_GB2312" w:eastAsia="仿宋_GB2312" w:cs="仿宋_GB2312"/>
          <w:b/>
          <w:bCs/>
        </w:rPr>
        <w:t>（一）充分利用冬奥遗产资源，打造国际冰雪竞技创新高地</w:t>
      </w:r>
      <w:bookmarkEnd w:id="545"/>
      <w:bookmarkEnd w:id="546"/>
      <w:bookmarkEnd w:id="547"/>
    </w:p>
    <w:p>
      <w:pPr>
        <w:spacing w:line="540" w:lineRule="exact"/>
        <w:rPr>
          <w:rFonts w:hint="eastAsia" w:ascii="仿宋_GB2312" w:hAnsi="仿宋_GB2312" w:cs="仿宋_GB2312"/>
          <w:spacing w:val="0"/>
          <w:szCs w:val="32"/>
        </w:rPr>
      </w:pPr>
      <w:r>
        <w:rPr>
          <w:rFonts w:hint="eastAsia" w:ascii="仿宋_GB2312" w:hAnsi="仿宋_GB2312" w:cs="仿宋_GB2312"/>
          <w:spacing w:val="0"/>
          <w:szCs w:val="32"/>
        </w:rPr>
        <w:t>聚焦专业运动训练和赛事承办，加快竞技服务、赛事运营、科技研发等高端要素集聚，打造国际知名的极限滑雪运动训练地和高端滑雪赛事举办地。重点推进</w:t>
      </w:r>
      <w:bookmarkStart w:id="548" w:name="OLE_LINK9"/>
      <w:r>
        <w:rPr>
          <w:rFonts w:hint="eastAsia" w:ascii="仿宋_GB2312" w:hAnsi="仿宋_GB2312" w:cs="仿宋_GB2312"/>
          <w:spacing w:val="0"/>
          <w:szCs w:val="32"/>
        </w:rPr>
        <w:t>高山滑雪训练基地</w:t>
      </w:r>
      <w:bookmarkEnd w:id="548"/>
      <w:r>
        <w:rPr>
          <w:rFonts w:hint="eastAsia" w:ascii="仿宋_GB2312" w:hAnsi="仿宋_GB2312" w:cs="仿宋_GB2312"/>
          <w:spacing w:val="0"/>
          <w:szCs w:val="32"/>
        </w:rPr>
        <w:t>、滑雪培训学校、运动医疗中心等场所建设。依托延庆奥林匹克园区建设“国际体育合作创新区”，引入国家级体育实验室和研发中心，发展体育大数据、智能装备等未来产业，打造集会展、首发、艺术于一体的复合空间。保留 “山林场馆、生态冬奥” 冬奥建筑本体特色，新增科研会展建筑与山地环境协调，塑造冰雪科创融合的山地竞技风貌。</w:t>
      </w:r>
    </w:p>
    <w:p>
      <w:pPr>
        <w:pStyle w:val="4"/>
        <w:numPr>
          <w:ilvl w:val="2"/>
          <w:numId w:val="0"/>
        </w:numPr>
        <w:spacing w:line="540" w:lineRule="exact"/>
        <w:ind w:left="616" w:leftChars="200"/>
        <w:rPr>
          <w:rFonts w:hint="eastAsia" w:ascii="仿宋_GB2312" w:hAnsi="仿宋_GB2312" w:eastAsia="仿宋_GB2312" w:cs="仿宋_GB2312"/>
          <w:b/>
          <w:bCs/>
        </w:rPr>
      </w:pPr>
      <w:bookmarkStart w:id="549" w:name="_Toc22960"/>
      <w:bookmarkStart w:id="550" w:name="_Toc21877"/>
      <w:bookmarkStart w:id="551" w:name="_Toc31157"/>
      <w:r>
        <w:rPr>
          <w:rFonts w:hint="eastAsia" w:ascii="仿宋_GB2312" w:hAnsi="仿宋_GB2312" w:eastAsia="仿宋_GB2312" w:cs="仿宋_GB2312"/>
          <w:b/>
          <w:bCs/>
        </w:rPr>
        <w:t>（二）以“冰雪”运动为引领，建设高质量户外运动目的地</w:t>
      </w:r>
      <w:bookmarkEnd w:id="549"/>
      <w:bookmarkEnd w:id="550"/>
      <w:bookmarkEnd w:id="551"/>
    </w:p>
    <w:p>
      <w:pPr>
        <w:spacing w:line="540" w:lineRule="exact"/>
        <w:rPr>
          <w:rFonts w:hint="eastAsia" w:ascii="仿宋_GB2312" w:hAnsi="仿宋_GB2312" w:cs="仿宋_GB2312"/>
          <w:spacing w:val="0"/>
          <w:szCs w:val="32"/>
        </w:rPr>
      </w:pPr>
      <w:r>
        <w:rPr>
          <w:rFonts w:hint="eastAsia" w:ascii="仿宋_GB2312" w:hAnsi="仿宋_GB2312" w:cs="仿宋_GB2312"/>
          <w:spacing w:val="0"/>
          <w:szCs w:val="32"/>
        </w:rPr>
        <w:t>立足“冰雪+户外+文旅+生态”融合理念，结合“一轴（冬奥-世园）两带（北部冰雪户外旅游带、南部长城冰雪户外文化带），双核（‘世园公园’‘延庆中心城区’）支撑，京张协同”的延庆户外产业融合发展新格局，加快冬奥赛事设施改造，联动长城沿线、世园公园和延庆中心城区，引进和开发适合大众的冰雪项目，形成以“冰雪”运动为引领的户外运动产业体系，推动形成区域经济发展的新引擎。建筑融入山地自然基底，户外运动设施轻量化布局，建筑及配套尺度克制，第五立面低隐起伏，实现运动场景与山林生态相融，塑造四季皆宜的山地户外运动风貌。</w:t>
      </w:r>
    </w:p>
    <w:p>
      <w:pPr>
        <w:pStyle w:val="4"/>
        <w:numPr>
          <w:ilvl w:val="2"/>
          <w:numId w:val="0"/>
        </w:numPr>
        <w:spacing w:line="540" w:lineRule="exact"/>
        <w:ind w:left="616" w:leftChars="200"/>
        <w:rPr>
          <w:rFonts w:hint="eastAsia" w:ascii="仿宋_GB2312" w:hAnsi="仿宋_GB2312" w:eastAsia="仿宋_GB2312" w:cs="仿宋_GB2312"/>
          <w:b/>
          <w:bCs/>
        </w:rPr>
      </w:pPr>
      <w:bookmarkStart w:id="552" w:name="_Toc6595"/>
      <w:bookmarkStart w:id="553" w:name="_Toc24148"/>
      <w:bookmarkStart w:id="554" w:name="_Toc23071"/>
      <w:r>
        <w:rPr>
          <w:rFonts w:hint="eastAsia" w:ascii="仿宋_GB2312" w:hAnsi="仿宋_GB2312" w:eastAsia="仿宋_GB2312" w:cs="仿宋_GB2312"/>
          <w:b/>
          <w:bCs/>
        </w:rPr>
        <w:t>（三）整合镇村资源，丰富休闲度假功能</w:t>
      </w:r>
      <w:bookmarkEnd w:id="552"/>
      <w:bookmarkEnd w:id="553"/>
      <w:bookmarkEnd w:id="554"/>
    </w:p>
    <w:p>
      <w:pPr>
        <w:spacing w:line="540" w:lineRule="exact"/>
        <w:rPr>
          <w:rFonts w:hint="eastAsia" w:ascii="仿宋_GB2312" w:hAnsi="仿宋_GB2312" w:cs="仿宋_GB2312"/>
          <w:spacing w:val="0"/>
          <w:szCs w:val="32"/>
        </w:rPr>
      </w:pPr>
      <w:r>
        <w:rPr>
          <w:rFonts w:hint="eastAsia" w:ascii="仿宋_GB2312" w:hAnsi="仿宋_GB2312" w:cs="仿宋_GB2312"/>
          <w:spacing w:val="0"/>
          <w:szCs w:val="32"/>
        </w:rPr>
        <w:t>发挥滑雪运动的带动效应和集聚效应，联动海陀山度假产品和龙庆峡冰灯、云瀑沟冰瀑等特色资源，整合张山营镇生态和民宿资源，促进山上发展引擎与山下服务节点联动，打造度假功能齐备的国际滑雪度假旅游胜地核心区。建立冬奥森林公园，保护山区珍贵植物资源，设置科普娱乐设施。统筹冬奥小镇、民俗民宿与山林生态，延续北部山村乡土风貌，度假配套因地制宜布局，建筑以坡屋顶为主，与山水空间和谐相融，塑造山-馆-村一体的后冬奥度假人居风貌。</w:t>
      </w:r>
    </w:p>
    <w:p>
      <w:pPr>
        <w:spacing w:line="540" w:lineRule="exact"/>
        <w:rPr>
          <w:rFonts w:hint="eastAsia" w:ascii="仿宋_GB2312" w:hAnsi="仿宋_GB2312" w:cs="仿宋_GB2312"/>
          <w:spacing w:val="0"/>
          <w:szCs w:val="32"/>
        </w:rPr>
      </w:pPr>
    </w:p>
    <w:tbl>
      <w:tblPr>
        <w:tblStyle w:val="42"/>
        <w:tblW w:w="931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9312" w:type="dxa"/>
            <w:vAlign w:val="center"/>
          </w:tcPr>
          <w:p>
            <w:pPr>
              <w:jc w:val="center"/>
              <w:rPr>
                <w:spacing w:val="0"/>
              </w:rPr>
            </w:pPr>
            <w:r>
              <w:rPr>
                <w:rFonts w:hint="eastAsia" w:ascii="仿宋_GB2312" w:hAnsi="仿宋_GB2312" w:cs="仿宋_GB2312"/>
                <w:spacing w:val="0"/>
                <w:szCs w:val="32"/>
              </w:rPr>
              <w:t>专栏1重点片区资源投放梳理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312" w:type="dxa"/>
            <w:vAlign w:val="center"/>
          </w:tcPr>
          <w:p>
            <w:pPr>
              <w:rPr>
                <w:rFonts w:hint="eastAsia" w:ascii="仿宋_GB2312" w:hAnsi="仿宋_GB2312" w:cs="仿宋_GB2312"/>
                <w:spacing w:val="0"/>
                <w:szCs w:val="32"/>
              </w:rPr>
            </w:pPr>
            <w:r>
              <w:rPr>
                <w:rFonts w:hint="eastAsia" w:ascii="仿宋_GB2312" w:hAnsi="仿宋_GB2312" w:cs="仿宋_GB2312"/>
                <w:spacing w:val="0"/>
                <w:szCs w:val="32"/>
              </w:rPr>
              <w:t>2024年11月22日，殷市长到延庆区调研并明确指出，延庆区要积极谋划未来产业，围绕京张高铁延庆站做足文章，努力打造具有活力的区域中心。“十五五”时期，将以京张高铁延庆站为核心，结合周边中关村延庆园康庄片区、八达岭片区（长城大景区）、北方工业大学片区等功能片区，开展建设工作。</w:t>
            </w:r>
          </w:p>
          <w:p>
            <w:pPr>
              <w:rPr>
                <w:rFonts w:hint="eastAsia" w:ascii="仿宋_GB2312" w:hAnsi="仿宋_GB2312" w:cs="仿宋_GB2312"/>
                <w:spacing w:val="0"/>
                <w:szCs w:val="32"/>
              </w:rPr>
            </w:pPr>
            <w:r>
              <w:rPr>
                <w:rFonts w:hint="eastAsia" w:ascii="仿宋_GB2312" w:hAnsi="仿宋_GB2312" w:cs="仿宋_GB2312"/>
                <w:spacing w:val="0"/>
                <w:szCs w:val="32"/>
              </w:rPr>
              <w:t>预计至“十五五”期末，将投放建设用地约194公顷（含首体和工大片区），建筑规模约225万平方米，将吸引常住人口约0.7万人，就业人口约1.4万人，入驻高校师生约3.9万人。</w:t>
            </w:r>
          </w:p>
          <w:p>
            <w:pPr>
              <w:rPr>
                <w:rFonts w:hint="eastAsia" w:ascii="仿宋_GB2312" w:hAnsi="仿宋_GB2312" w:cs="仿宋_GB2312"/>
                <w:spacing w:val="0"/>
                <w:szCs w:val="32"/>
              </w:rPr>
            </w:pPr>
            <w:r>
              <w:rPr>
                <w:rFonts w:hint="eastAsia" w:ascii="仿宋_GB2312" w:hAnsi="仿宋_GB2312" w:cs="仿宋_GB2312"/>
                <w:spacing w:val="0"/>
                <w:szCs w:val="32"/>
              </w:rPr>
              <w:t>延庆高铁站片区预计投放100公顷建设用地和103万平方米建筑规模，吸引常住人口约0.6万人，就业人口约1.1万人，高校师生约0.5万人。</w:t>
            </w:r>
          </w:p>
          <w:p>
            <w:pPr>
              <w:rPr>
                <w:rFonts w:hint="eastAsia" w:ascii="仿宋_GB2312" w:hAnsi="仿宋_GB2312" w:cs="仿宋_GB2312"/>
                <w:spacing w:val="0"/>
                <w:szCs w:val="32"/>
              </w:rPr>
            </w:pPr>
            <w:r>
              <w:rPr>
                <w:rFonts w:hint="eastAsia" w:ascii="仿宋_GB2312" w:hAnsi="仿宋_GB2312" w:cs="仿宋_GB2312"/>
                <w:spacing w:val="0"/>
                <w:szCs w:val="32"/>
              </w:rPr>
              <w:drawing>
                <wp:anchor distT="0" distB="0" distL="0" distR="0" simplePos="0" relativeHeight="251659264" behindDoc="0" locked="0" layoutInCell="1" allowOverlap="1">
                  <wp:simplePos x="0" y="0"/>
                  <wp:positionH relativeFrom="column">
                    <wp:posOffset>263525</wp:posOffset>
                  </wp:positionH>
                  <wp:positionV relativeFrom="paragraph">
                    <wp:posOffset>25400</wp:posOffset>
                  </wp:positionV>
                  <wp:extent cx="5442585" cy="3230880"/>
                  <wp:effectExtent l="0" t="0" r="5715" b="7620"/>
                  <wp:wrapNone/>
                  <wp:docPr id="2042882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88247" name="图片 2"/>
                          <pic:cNvPicPr>
                            <a:picLocks noChangeAspect="1" noChangeArrowheads="1"/>
                          </pic:cNvPicPr>
                        </pic:nvPicPr>
                        <pic:blipFill>
                          <a:blip r:embed="rId14" cstate="print">
                            <a:extLst>
                              <a:ext uri="{28A0092B-C50C-407E-A947-70E740481C1C}">
                                <a14:useLocalDpi xmlns:a14="http://schemas.microsoft.com/office/drawing/2010/main" val="0"/>
                              </a:ext>
                            </a:extLst>
                          </a:blip>
                          <a:srcRect t="11723" b="6871"/>
                          <a:stretch>
                            <a:fillRect/>
                          </a:stretch>
                        </pic:blipFill>
                        <pic:spPr>
                          <a:xfrm>
                            <a:off x="0" y="0"/>
                            <a:ext cx="5442585" cy="3230880"/>
                          </a:xfrm>
                          <a:prstGeom prst="rect">
                            <a:avLst/>
                          </a:prstGeom>
                          <a:noFill/>
                          <a:ln>
                            <a:noFill/>
                          </a:ln>
                        </pic:spPr>
                      </pic:pic>
                    </a:graphicData>
                  </a:graphic>
                </wp:anchor>
              </w:drawing>
            </w:r>
          </w:p>
          <w:p>
            <w:pPr>
              <w:rPr>
                <w:rFonts w:hint="eastAsia" w:ascii="仿宋_GB2312" w:hAnsi="仿宋_GB2312" w:cs="仿宋_GB2312"/>
                <w:spacing w:val="0"/>
                <w:szCs w:val="32"/>
              </w:rPr>
            </w:pPr>
          </w:p>
          <w:p>
            <w:pPr>
              <w:rPr>
                <w:rFonts w:hint="eastAsia" w:ascii="仿宋_GB2312" w:hAnsi="仿宋_GB2312" w:cs="仿宋_GB2312"/>
                <w:spacing w:val="0"/>
                <w:szCs w:val="32"/>
              </w:rPr>
            </w:pPr>
          </w:p>
          <w:p>
            <w:pPr>
              <w:rPr>
                <w:rFonts w:hint="eastAsia" w:ascii="仿宋_GB2312" w:hAnsi="仿宋_GB2312" w:cs="仿宋_GB2312"/>
                <w:spacing w:val="0"/>
                <w:szCs w:val="32"/>
              </w:rPr>
            </w:pPr>
          </w:p>
          <w:p>
            <w:pPr>
              <w:rPr>
                <w:rFonts w:hint="eastAsia" w:ascii="仿宋_GB2312" w:hAnsi="仿宋_GB2312" w:cs="仿宋_GB2312"/>
                <w:spacing w:val="0"/>
                <w:szCs w:val="32"/>
              </w:rPr>
            </w:pPr>
          </w:p>
          <w:p>
            <w:pPr>
              <w:rPr>
                <w:rFonts w:hint="eastAsia" w:ascii="仿宋_GB2312" w:hAnsi="仿宋_GB2312" w:cs="仿宋_GB2312"/>
                <w:spacing w:val="0"/>
                <w:szCs w:val="32"/>
              </w:rPr>
            </w:pPr>
          </w:p>
          <w:p>
            <w:pPr>
              <w:rPr>
                <w:rFonts w:hint="eastAsia" w:ascii="仿宋_GB2312" w:hAnsi="仿宋_GB2312" w:cs="仿宋_GB2312"/>
                <w:spacing w:val="0"/>
                <w:szCs w:val="32"/>
              </w:rPr>
            </w:pPr>
          </w:p>
          <w:p>
            <w:pPr>
              <w:rPr>
                <w:rFonts w:hint="eastAsia" w:ascii="仿宋_GB2312" w:hAnsi="仿宋_GB2312" w:cs="仿宋_GB2312"/>
                <w:spacing w:val="0"/>
                <w:szCs w:val="32"/>
              </w:rPr>
            </w:pPr>
          </w:p>
          <w:p>
            <w:pPr>
              <w:rPr>
                <w:rFonts w:hint="eastAsia" w:ascii="仿宋_GB2312" w:hAnsi="仿宋_GB2312" w:cs="仿宋_GB2312"/>
                <w:spacing w:val="0"/>
                <w:szCs w:val="32"/>
              </w:rPr>
            </w:pPr>
          </w:p>
          <w:p>
            <w:pPr>
              <w:ind w:firstLine="0" w:firstLineChars="0"/>
              <w:jc w:val="center"/>
              <w:rPr>
                <w:rFonts w:hint="eastAsia" w:ascii="楷体_GB2312" w:hAnsi="楷体_GB2312" w:eastAsia="楷体_GB2312" w:cs="楷体_GB2312"/>
                <w:b/>
                <w:bCs/>
                <w:spacing w:val="0"/>
                <w:sz w:val="30"/>
                <w:szCs w:val="30"/>
              </w:rPr>
            </w:pPr>
            <w:r>
              <w:rPr>
                <w:rFonts w:hint="eastAsia" w:ascii="楷体_GB2312" w:hAnsi="楷体_GB2312" w:eastAsia="楷体_GB2312" w:cs="楷体_GB2312"/>
                <w:b/>
                <w:bCs/>
                <w:spacing w:val="0"/>
                <w:sz w:val="30"/>
                <w:szCs w:val="30"/>
              </w:rPr>
              <w:t>图1：延庆高铁站片区分期建设示意</w:t>
            </w:r>
          </w:p>
          <w:tbl>
            <w:tblPr>
              <w:tblStyle w:val="41"/>
              <w:tblW w:w="91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99"/>
              <w:gridCol w:w="283"/>
              <w:gridCol w:w="284"/>
              <w:gridCol w:w="1597"/>
              <w:gridCol w:w="464"/>
              <w:gridCol w:w="1381"/>
              <w:gridCol w:w="976"/>
              <w:gridCol w:w="977"/>
              <w:gridCol w:w="892"/>
              <w:gridCol w:w="643"/>
              <w:gridCol w:w="703"/>
              <w:gridCol w:w="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89" w:hRule="atLeast"/>
              </w:trPr>
              <w:tc>
                <w:tcPr>
                  <w:tcW w:w="2463" w:type="dxa"/>
                  <w:gridSpan w:val="4"/>
                  <w:vMerge w:val="restart"/>
                  <w:shd w:val="clear" w:color="auto" w:fill="F1F1F1" w:themeFill="background1" w:themeFillShade="F2"/>
                  <w:vAlign w:val="center"/>
                </w:tcPr>
                <w:p>
                  <w:pPr>
                    <w:spacing w:line="240" w:lineRule="auto"/>
                    <w:ind w:firstLine="0" w:firstLineChars="0"/>
                    <w:jc w:val="center"/>
                    <w:rPr>
                      <w:rFonts w:hint="eastAsia" w:ascii="黑体" w:hAnsi="黑体" w:eastAsia="黑体" w:cs="黑体"/>
                      <w:b/>
                      <w:bCs/>
                      <w:spacing w:val="0"/>
                      <w:sz w:val="21"/>
                      <w:szCs w:val="21"/>
                    </w:rPr>
                  </w:pPr>
                  <w:bookmarkStart w:id="555" w:name="OLE_LINK11"/>
                  <w:r>
                    <w:rPr>
                      <w:rFonts w:hint="eastAsia" w:ascii="黑体" w:hAnsi="黑体" w:eastAsia="黑体" w:cs="黑体"/>
                      <w:b/>
                      <w:bCs/>
                      <w:spacing w:val="0"/>
                      <w:sz w:val="21"/>
                      <w:szCs w:val="21"/>
                    </w:rPr>
                    <w:t>重点片区</w:t>
                  </w:r>
                </w:p>
              </w:tc>
              <w:tc>
                <w:tcPr>
                  <w:tcW w:w="464" w:type="dxa"/>
                  <w:vMerge w:val="restart"/>
                  <w:shd w:val="clear" w:color="auto" w:fill="F1F1F1" w:themeFill="background1" w:themeFillShade="F2"/>
                  <w:vAlign w:val="center"/>
                </w:tcPr>
                <w:p>
                  <w:pPr>
                    <w:spacing w:line="240" w:lineRule="auto"/>
                    <w:ind w:firstLine="0" w:firstLineChars="0"/>
                    <w:jc w:val="center"/>
                    <w:rPr>
                      <w:rFonts w:hint="eastAsia" w:ascii="黑体" w:hAnsi="黑体" w:eastAsia="黑体" w:cs="黑体"/>
                      <w:b/>
                      <w:bCs/>
                      <w:spacing w:val="0"/>
                      <w:sz w:val="21"/>
                      <w:szCs w:val="21"/>
                    </w:rPr>
                  </w:pPr>
                  <w:r>
                    <w:rPr>
                      <w:rFonts w:hint="eastAsia" w:ascii="黑体" w:hAnsi="黑体" w:eastAsia="黑体" w:cs="黑体"/>
                      <w:b/>
                      <w:bCs/>
                      <w:spacing w:val="0"/>
                      <w:sz w:val="21"/>
                      <w:szCs w:val="21"/>
                    </w:rPr>
                    <w:t>规划范围（公顷）</w:t>
                  </w:r>
                </w:p>
              </w:tc>
              <w:tc>
                <w:tcPr>
                  <w:tcW w:w="2357" w:type="dxa"/>
                  <w:gridSpan w:val="2"/>
                  <w:shd w:val="clear" w:color="auto" w:fill="F1F1F1" w:themeFill="background1" w:themeFillShade="F2"/>
                  <w:vAlign w:val="center"/>
                </w:tcPr>
                <w:p>
                  <w:pPr>
                    <w:spacing w:line="240" w:lineRule="auto"/>
                    <w:ind w:firstLine="0" w:firstLineChars="0"/>
                    <w:jc w:val="center"/>
                    <w:rPr>
                      <w:rFonts w:hint="eastAsia" w:ascii="黑体" w:hAnsi="黑体" w:eastAsia="黑体" w:cs="黑体"/>
                      <w:b/>
                      <w:bCs/>
                      <w:spacing w:val="0"/>
                      <w:sz w:val="21"/>
                      <w:szCs w:val="21"/>
                    </w:rPr>
                  </w:pPr>
                  <w:r>
                    <w:rPr>
                      <w:rFonts w:hint="eastAsia" w:ascii="黑体" w:hAnsi="黑体" w:eastAsia="黑体" w:cs="黑体"/>
                      <w:b/>
                      <w:bCs/>
                      <w:spacing w:val="0"/>
                      <w:sz w:val="21"/>
                      <w:szCs w:val="21"/>
                    </w:rPr>
                    <w:t>待开发用地和待利用</w:t>
                  </w:r>
                </w:p>
                <w:p>
                  <w:pPr>
                    <w:spacing w:line="240" w:lineRule="auto"/>
                    <w:ind w:firstLine="0" w:firstLineChars="0"/>
                    <w:jc w:val="center"/>
                    <w:rPr>
                      <w:rFonts w:hint="eastAsia" w:ascii="黑体" w:hAnsi="黑体" w:eastAsia="黑体" w:cs="黑体"/>
                      <w:b/>
                      <w:bCs/>
                      <w:spacing w:val="0"/>
                      <w:sz w:val="21"/>
                      <w:szCs w:val="21"/>
                    </w:rPr>
                  </w:pPr>
                  <w:r>
                    <w:rPr>
                      <w:rFonts w:hint="eastAsia" w:ascii="黑体" w:hAnsi="黑体" w:eastAsia="黑体" w:cs="黑体"/>
                      <w:b/>
                      <w:bCs/>
                      <w:spacing w:val="0"/>
                      <w:sz w:val="21"/>
                      <w:szCs w:val="21"/>
                    </w:rPr>
                    <w:t>建筑规模</w:t>
                  </w:r>
                </w:p>
              </w:tc>
              <w:tc>
                <w:tcPr>
                  <w:tcW w:w="1869" w:type="dxa"/>
                  <w:gridSpan w:val="2"/>
                  <w:shd w:val="clear" w:color="auto" w:fill="F1F1F1" w:themeFill="background1" w:themeFillShade="F2"/>
                  <w:vAlign w:val="center"/>
                </w:tcPr>
                <w:p>
                  <w:pPr>
                    <w:spacing w:line="240" w:lineRule="auto"/>
                    <w:ind w:firstLine="0" w:firstLineChars="0"/>
                    <w:jc w:val="center"/>
                    <w:rPr>
                      <w:rFonts w:hint="eastAsia" w:ascii="黑体" w:hAnsi="黑体" w:eastAsia="黑体" w:cs="黑体"/>
                      <w:b/>
                      <w:bCs/>
                      <w:spacing w:val="0"/>
                      <w:sz w:val="21"/>
                      <w:szCs w:val="21"/>
                    </w:rPr>
                  </w:pPr>
                  <w:r>
                    <w:rPr>
                      <w:rFonts w:hint="eastAsia" w:ascii="黑体" w:hAnsi="黑体" w:eastAsia="黑体" w:cs="黑体"/>
                      <w:b/>
                      <w:bCs/>
                      <w:spacing w:val="0"/>
                      <w:sz w:val="21"/>
                      <w:szCs w:val="21"/>
                    </w:rPr>
                    <w:t>“十五五”时期投放用地和建筑规模预估</w:t>
                  </w:r>
                </w:p>
              </w:tc>
              <w:tc>
                <w:tcPr>
                  <w:tcW w:w="1970" w:type="dxa"/>
                  <w:gridSpan w:val="3"/>
                  <w:shd w:val="clear" w:color="auto" w:fill="F1F1F1" w:themeFill="background1" w:themeFillShade="F2"/>
                  <w:vAlign w:val="center"/>
                </w:tcPr>
                <w:p>
                  <w:pPr>
                    <w:spacing w:line="240" w:lineRule="auto"/>
                    <w:ind w:firstLine="0" w:firstLineChars="0"/>
                    <w:jc w:val="center"/>
                    <w:rPr>
                      <w:rFonts w:hint="eastAsia" w:ascii="黑体" w:hAnsi="黑体" w:eastAsia="黑体" w:cs="黑体"/>
                      <w:b/>
                      <w:bCs/>
                      <w:spacing w:val="0"/>
                      <w:sz w:val="21"/>
                      <w:szCs w:val="21"/>
                    </w:rPr>
                  </w:pPr>
                  <w:r>
                    <w:rPr>
                      <w:rFonts w:hint="eastAsia" w:ascii="黑体" w:hAnsi="黑体" w:eastAsia="黑体" w:cs="黑体"/>
                      <w:b/>
                      <w:bCs/>
                      <w:spacing w:val="0"/>
                      <w:sz w:val="21"/>
                      <w:szCs w:val="21"/>
                    </w:rPr>
                    <w:t>“十五五”时期人口预估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02" w:hRule="atLeast"/>
              </w:trPr>
              <w:tc>
                <w:tcPr>
                  <w:tcW w:w="2463" w:type="dxa"/>
                  <w:gridSpan w:val="4"/>
                  <w:vMerge w:val="continue"/>
                  <w:shd w:val="clear" w:color="auto" w:fill="F1F1F1" w:themeFill="background1" w:themeFillShade="F2"/>
                  <w:vAlign w:val="center"/>
                </w:tcPr>
                <w:p>
                  <w:pPr>
                    <w:spacing w:line="240" w:lineRule="auto"/>
                    <w:ind w:firstLine="0" w:firstLineChars="0"/>
                    <w:rPr>
                      <w:rFonts w:hint="eastAsia" w:ascii="黑体" w:hAnsi="黑体" w:eastAsia="黑体" w:cs="黑体"/>
                      <w:b/>
                      <w:bCs/>
                      <w:spacing w:val="0"/>
                      <w:sz w:val="21"/>
                      <w:szCs w:val="21"/>
                    </w:rPr>
                  </w:pPr>
                </w:p>
              </w:tc>
              <w:tc>
                <w:tcPr>
                  <w:tcW w:w="464" w:type="dxa"/>
                  <w:vMerge w:val="continue"/>
                  <w:shd w:val="clear" w:color="auto" w:fill="F1F1F1" w:themeFill="background1" w:themeFillShade="F2"/>
                  <w:vAlign w:val="center"/>
                </w:tcPr>
                <w:p>
                  <w:pPr>
                    <w:spacing w:line="240" w:lineRule="auto"/>
                    <w:ind w:firstLine="0" w:firstLineChars="0"/>
                    <w:rPr>
                      <w:rFonts w:hint="eastAsia" w:ascii="黑体" w:hAnsi="黑体" w:eastAsia="黑体" w:cs="黑体"/>
                      <w:b/>
                      <w:bCs/>
                      <w:spacing w:val="0"/>
                      <w:sz w:val="21"/>
                      <w:szCs w:val="21"/>
                    </w:rPr>
                  </w:pPr>
                </w:p>
              </w:tc>
              <w:tc>
                <w:tcPr>
                  <w:tcW w:w="1381" w:type="dxa"/>
                  <w:shd w:val="clear" w:color="auto" w:fill="F1F1F1" w:themeFill="background1" w:themeFillShade="F2"/>
                  <w:vAlign w:val="center"/>
                </w:tcPr>
                <w:p>
                  <w:pPr>
                    <w:spacing w:line="240" w:lineRule="auto"/>
                    <w:ind w:firstLine="0" w:firstLineChars="0"/>
                    <w:rPr>
                      <w:rFonts w:hint="eastAsia" w:ascii="黑体" w:hAnsi="黑体" w:eastAsia="黑体" w:cs="黑体"/>
                      <w:b/>
                      <w:bCs/>
                      <w:spacing w:val="0"/>
                      <w:sz w:val="21"/>
                      <w:szCs w:val="21"/>
                    </w:rPr>
                  </w:pPr>
                  <w:r>
                    <w:rPr>
                      <w:rFonts w:hint="eastAsia" w:ascii="黑体" w:hAnsi="黑体" w:eastAsia="黑体" w:cs="黑体"/>
                      <w:b/>
                      <w:bCs/>
                      <w:spacing w:val="0"/>
                      <w:sz w:val="21"/>
                      <w:szCs w:val="21"/>
                    </w:rPr>
                    <w:t>待开发用地（居住+产业+高校）面积（公顷）</w:t>
                  </w:r>
                </w:p>
              </w:tc>
              <w:tc>
                <w:tcPr>
                  <w:tcW w:w="976" w:type="dxa"/>
                  <w:shd w:val="clear" w:color="auto" w:fill="F1F1F1" w:themeFill="background1" w:themeFillShade="F2"/>
                  <w:vAlign w:val="center"/>
                </w:tcPr>
                <w:p>
                  <w:pPr>
                    <w:spacing w:line="240" w:lineRule="auto"/>
                    <w:ind w:firstLine="0" w:firstLineChars="0"/>
                    <w:rPr>
                      <w:rFonts w:hint="eastAsia" w:ascii="黑体" w:hAnsi="黑体" w:eastAsia="黑体" w:cs="黑体"/>
                      <w:b/>
                      <w:bCs/>
                      <w:spacing w:val="0"/>
                      <w:sz w:val="21"/>
                      <w:szCs w:val="21"/>
                    </w:rPr>
                  </w:pPr>
                  <w:r>
                    <w:rPr>
                      <w:rFonts w:hint="eastAsia" w:ascii="黑体" w:hAnsi="黑体" w:eastAsia="黑体" w:cs="黑体"/>
                      <w:b/>
                      <w:bCs/>
                      <w:spacing w:val="0"/>
                      <w:sz w:val="21"/>
                      <w:szCs w:val="21"/>
                    </w:rPr>
                    <w:t>待利用建筑规模（万平方米）</w:t>
                  </w:r>
                </w:p>
              </w:tc>
              <w:tc>
                <w:tcPr>
                  <w:tcW w:w="977" w:type="dxa"/>
                  <w:shd w:val="clear" w:color="auto" w:fill="F1F1F1" w:themeFill="background1" w:themeFillShade="F2"/>
                  <w:vAlign w:val="center"/>
                </w:tcPr>
                <w:p>
                  <w:pPr>
                    <w:spacing w:line="240" w:lineRule="auto"/>
                    <w:ind w:firstLine="0" w:firstLineChars="0"/>
                    <w:rPr>
                      <w:rFonts w:hint="eastAsia" w:ascii="黑体" w:hAnsi="黑体" w:eastAsia="黑体" w:cs="黑体"/>
                      <w:b/>
                      <w:bCs/>
                      <w:spacing w:val="0"/>
                      <w:sz w:val="21"/>
                      <w:szCs w:val="21"/>
                    </w:rPr>
                  </w:pPr>
                  <w:r>
                    <w:rPr>
                      <w:rFonts w:hint="eastAsia" w:ascii="黑体" w:hAnsi="黑体" w:eastAsia="黑体" w:cs="黑体"/>
                      <w:b/>
                      <w:bCs/>
                      <w:spacing w:val="0"/>
                      <w:sz w:val="21"/>
                      <w:szCs w:val="21"/>
                    </w:rPr>
                    <w:t>投放用地面积（公顷）</w:t>
                  </w:r>
                </w:p>
              </w:tc>
              <w:tc>
                <w:tcPr>
                  <w:tcW w:w="892" w:type="dxa"/>
                  <w:shd w:val="clear" w:color="auto" w:fill="F1F1F1" w:themeFill="background1" w:themeFillShade="F2"/>
                  <w:vAlign w:val="center"/>
                </w:tcPr>
                <w:p>
                  <w:pPr>
                    <w:spacing w:line="240" w:lineRule="auto"/>
                    <w:ind w:firstLine="0" w:firstLineChars="0"/>
                    <w:rPr>
                      <w:rFonts w:hint="eastAsia" w:ascii="黑体" w:hAnsi="黑体" w:eastAsia="黑体" w:cs="黑体"/>
                      <w:b/>
                      <w:bCs/>
                      <w:spacing w:val="0"/>
                      <w:sz w:val="21"/>
                      <w:szCs w:val="21"/>
                    </w:rPr>
                  </w:pPr>
                  <w:r>
                    <w:rPr>
                      <w:rFonts w:hint="eastAsia" w:ascii="黑体" w:hAnsi="黑体" w:eastAsia="黑体" w:cs="黑体"/>
                      <w:b/>
                      <w:bCs/>
                      <w:spacing w:val="0"/>
                      <w:sz w:val="21"/>
                      <w:szCs w:val="21"/>
                    </w:rPr>
                    <w:t>投放建筑规模（万平方米）</w:t>
                  </w:r>
                </w:p>
              </w:tc>
              <w:tc>
                <w:tcPr>
                  <w:tcW w:w="643" w:type="dxa"/>
                  <w:shd w:val="clear" w:color="auto" w:fill="F1F1F1" w:themeFill="background1" w:themeFillShade="F2"/>
                  <w:vAlign w:val="center"/>
                </w:tcPr>
                <w:p>
                  <w:pPr>
                    <w:spacing w:line="240" w:lineRule="auto"/>
                    <w:ind w:firstLine="0" w:firstLineChars="0"/>
                    <w:rPr>
                      <w:rFonts w:hint="eastAsia" w:ascii="黑体" w:hAnsi="黑体" w:eastAsia="黑体" w:cs="黑体"/>
                      <w:b/>
                      <w:bCs/>
                      <w:spacing w:val="0"/>
                      <w:sz w:val="21"/>
                      <w:szCs w:val="21"/>
                    </w:rPr>
                  </w:pPr>
                  <w:r>
                    <w:rPr>
                      <w:rFonts w:hint="eastAsia" w:ascii="黑体" w:hAnsi="黑体" w:eastAsia="黑体" w:cs="黑体"/>
                      <w:b/>
                      <w:bCs/>
                      <w:spacing w:val="0"/>
                      <w:sz w:val="21"/>
                      <w:szCs w:val="21"/>
                    </w:rPr>
                    <w:t>常住人口（万人）</w:t>
                  </w:r>
                </w:p>
              </w:tc>
              <w:tc>
                <w:tcPr>
                  <w:tcW w:w="703" w:type="dxa"/>
                  <w:shd w:val="clear" w:color="auto" w:fill="F1F1F1" w:themeFill="background1" w:themeFillShade="F2"/>
                  <w:vAlign w:val="center"/>
                </w:tcPr>
                <w:p>
                  <w:pPr>
                    <w:spacing w:line="240" w:lineRule="auto"/>
                    <w:ind w:firstLine="0" w:firstLineChars="0"/>
                    <w:rPr>
                      <w:rFonts w:hint="eastAsia" w:ascii="黑体" w:hAnsi="黑体" w:eastAsia="黑体" w:cs="黑体"/>
                      <w:b/>
                      <w:bCs/>
                      <w:spacing w:val="0"/>
                      <w:sz w:val="21"/>
                      <w:szCs w:val="21"/>
                    </w:rPr>
                  </w:pPr>
                  <w:r>
                    <w:rPr>
                      <w:rFonts w:hint="eastAsia" w:ascii="黑体" w:hAnsi="黑体" w:eastAsia="黑体" w:cs="黑体"/>
                      <w:b/>
                      <w:bCs/>
                      <w:spacing w:val="0"/>
                      <w:sz w:val="21"/>
                      <w:szCs w:val="21"/>
                    </w:rPr>
                    <w:t>就业人口（万人）</w:t>
                  </w:r>
                </w:p>
              </w:tc>
              <w:tc>
                <w:tcPr>
                  <w:tcW w:w="624" w:type="dxa"/>
                  <w:shd w:val="clear" w:color="auto" w:fill="F1F1F1" w:themeFill="background1" w:themeFillShade="F2"/>
                  <w:vAlign w:val="center"/>
                </w:tcPr>
                <w:p>
                  <w:pPr>
                    <w:spacing w:line="240" w:lineRule="auto"/>
                    <w:ind w:firstLine="0" w:firstLineChars="0"/>
                    <w:rPr>
                      <w:rFonts w:hint="eastAsia" w:ascii="黑体" w:hAnsi="黑体" w:eastAsia="黑体" w:cs="黑体"/>
                      <w:b/>
                      <w:bCs/>
                      <w:spacing w:val="0"/>
                      <w:sz w:val="21"/>
                      <w:szCs w:val="21"/>
                    </w:rPr>
                  </w:pPr>
                  <w:r>
                    <w:rPr>
                      <w:rFonts w:hint="eastAsia" w:ascii="黑体" w:hAnsi="黑体" w:eastAsia="黑体" w:cs="黑体"/>
                      <w:b/>
                      <w:bCs/>
                      <w:spacing w:val="0"/>
                      <w:sz w:val="21"/>
                      <w:szCs w:val="21"/>
                    </w:rPr>
                    <w:t>高校师生（万人）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36" w:hRule="atLeast"/>
              </w:trPr>
              <w:tc>
                <w:tcPr>
                  <w:tcW w:w="2463" w:type="dxa"/>
                  <w:gridSpan w:val="4"/>
                  <w:vAlign w:val="center"/>
                </w:tcPr>
                <w:p>
                  <w:pPr>
                    <w:spacing w:line="240" w:lineRule="auto"/>
                    <w:ind w:firstLine="0" w:firstLineChars="0"/>
                    <w:jc w:val="center"/>
                    <w:rPr>
                      <w:rFonts w:hint="eastAsia" w:ascii="黑体" w:hAnsi="黑体" w:eastAsia="黑体" w:cs="黑体"/>
                      <w:spacing w:val="0"/>
                      <w:sz w:val="21"/>
                      <w:szCs w:val="21"/>
                    </w:rPr>
                  </w:pPr>
                  <w:r>
                    <w:rPr>
                      <w:rFonts w:hint="eastAsia" w:ascii="黑体" w:hAnsi="黑体" w:eastAsia="黑体" w:cs="黑体"/>
                      <w:spacing w:val="0"/>
                      <w:sz w:val="21"/>
                      <w:szCs w:val="21"/>
                    </w:rPr>
                    <w:t>重点片区</w:t>
                  </w:r>
                </w:p>
              </w:tc>
              <w:tc>
                <w:tcPr>
                  <w:tcW w:w="46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w:t>
                  </w:r>
                </w:p>
              </w:tc>
              <w:tc>
                <w:tcPr>
                  <w:tcW w:w="1381"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w:t>
                  </w:r>
                </w:p>
              </w:tc>
              <w:tc>
                <w:tcPr>
                  <w:tcW w:w="976"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w:t>
                  </w:r>
                </w:p>
              </w:tc>
              <w:tc>
                <w:tcPr>
                  <w:tcW w:w="977"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194</w:t>
                  </w:r>
                </w:p>
              </w:tc>
              <w:tc>
                <w:tcPr>
                  <w:tcW w:w="892"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225</w:t>
                  </w:r>
                </w:p>
              </w:tc>
              <w:tc>
                <w:tcPr>
                  <w:tcW w:w="64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0.7</w:t>
                  </w:r>
                </w:p>
              </w:tc>
              <w:tc>
                <w:tcPr>
                  <w:tcW w:w="70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1.4</w:t>
                  </w:r>
                </w:p>
              </w:tc>
              <w:tc>
                <w:tcPr>
                  <w:tcW w:w="62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36" w:hRule="atLeast"/>
              </w:trPr>
              <w:tc>
                <w:tcPr>
                  <w:tcW w:w="299" w:type="dxa"/>
                  <w:vMerge w:val="restart"/>
                  <w:vAlign w:val="center"/>
                </w:tcPr>
                <w:p>
                  <w:pPr>
                    <w:spacing w:line="240" w:lineRule="auto"/>
                    <w:ind w:firstLine="0" w:firstLineChars="0"/>
                    <w:jc w:val="center"/>
                    <w:rPr>
                      <w:rFonts w:hint="eastAsia" w:ascii="黑体" w:hAnsi="黑体" w:eastAsia="黑体" w:cs="黑体"/>
                      <w:spacing w:val="0"/>
                      <w:sz w:val="21"/>
                      <w:szCs w:val="21"/>
                    </w:rPr>
                  </w:pPr>
                  <w:r>
                    <w:rPr>
                      <w:rFonts w:hint="eastAsia" w:ascii="黑体" w:hAnsi="黑体" w:eastAsia="黑体" w:cs="黑体"/>
                      <w:spacing w:val="0"/>
                      <w:sz w:val="21"/>
                      <w:szCs w:val="21"/>
                    </w:rPr>
                    <w:t>其中</w:t>
                  </w:r>
                </w:p>
              </w:tc>
              <w:tc>
                <w:tcPr>
                  <w:tcW w:w="2164" w:type="dxa"/>
                  <w:gridSpan w:val="3"/>
                  <w:vAlign w:val="center"/>
                </w:tcPr>
                <w:p>
                  <w:pPr>
                    <w:spacing w:line="240" w:lineRule="auto"/>
                    <w:ind w:firstLine="0" w:firstLineChars="0"/>
                    <w:jc w:val="center"/>
                    <w:rPr>
                      <w:rFonts w:hint="eastAsia" w:ascii="黑体" w:hAnsi="黑体" w:eastAsia="黑体" w:cs="黑体"/>
                      <w:spacing w:val="0"/>
                      <w:sz w:val="21"/>
                      <w:szCs w:val="21"/>
                    </w:rPr>
                  </w:pPr>
                  <w:r>
                    <w:rPr>
                      <w:rFonts w:hint="eastAsia" w:ascii="黑体" w:hAnsi="黑体" w:eastAsia="黑体" w:cs="黑体"/>
                      <w:spacing w:val="0"/>
                      <w:sz w:val="21"/>
                      <w:szCs w:val="21"/>
                    </w:rPr>
                    <w:t>新城南部片区</w:t>
                  </w:r>
                </w:p>
              </w:tc>
              <w:tc>
                <w:tcPr>
                  <w:tcW w:w="46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1880</w:t>
                  </w:r>
                </w:p>
              </w:tc>
              <w:tc>
                <w:tcPr>
                  <w:tcW w:w="1381"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203</w:t>
                  </w:r>
                </w:p>
              </w:tc>
              <w:tc>
                <w:tcPr>
                  <w:tcW w:w="976"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349</w:t>
                  </w:r>
                </w:p>
              </w:tc>
              <w:tc>
                <w:tcPr>
                  <w:tcW w:w="977"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100</w:t>
                  </w:r>
                </w:p>
              </w:tc>
              <w:tc>
                <w:tcPr>
                  <w:tcW w:w="892"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103</w:t>
                  </w:r>
                </w:p>
              </w:tc>
              <w:tc>
                <w:tcPr>
                  <w:tcW w:w="64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0.6</w:t>
                  </w:r>
                </w:p>
              </w:tc>
              <w:tc>
                <w:tcPr>
                  <w:tcW w:w="70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1.1</w:t>
                  </w:r>
                </w:p>
              </w:tc>
              <w:tc>
                <w:tcPr>
                  <w:tcW w:w="62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74" w:hRule="atLeast"/>
              </w:trPr>
              <w:tc>
                <w:tcPr>
                  <w:tcW w:w="299" w:type="dxa"/>
                  <w:vMerge w:val="continue"/>
                  <w:vAlign w:val="center"/>
                </w:tcPr>
                <w:p>
                  <w:pPr>
                    <w:spacing w:line="240" w:lineRule="auto"/>
                    <w:ind w:firstLine="0" w:firstLineChars="0"/>
                    <w:jc w:val="center"/>
                    <w:rPr>
                      <w:rFonts w:hint="eastAsia" w:ascii="黑体" w:hAnsi="黑体" w:eastAsia="黑体" w:cs="黑体"/>
                      <w:spacing w:val="0"/>
                      <w:sz w:val="21"/>
                      <w:szCs w:val="21"/>
                    </w:rPr>
                  </w:pPr>
                </w:p>
              </w:tc>
              <w:tc>
                <w:tcPr>
                  <w:tcW w:w="283" w:type="dxa"/>
                  <w:vMerge w:val="restart"/>
                  <w:vAlign w:val="center"/>
                </w:tcPr>
                <w:p>
                  <w:pPr>
                    <w:spacing w:line="240" w:lineRule="auto"/>
                    <w:ind w:firstLine="0" w:firstLineChars="0"/>
                    <w:jc w:val="center"/>
                    <w:rPr>
                      <w:rFonts w:hint="eastAsia" w:ascii="黑体" w:hAnsi="黑体" w:eastAsia="黑体" w:cs="黑体"/>
                      <w:spacing w:val="0"/>
                      <w:sz w:val="21"/>
                      <w:szCs w:val="21"/>
                    </w:rPr>
                  </w:pPr>
                  <w:r>
                    <w:rPr>
                      <w:rFonts w:hint="eastAsia" w:ascii="黑体" w:hAnsi="黑体" w:eastAsia="黑体" w:cs="黑体"/>
                      <w:spacing w:val="0"/>
                      <w:sz w:val="21"/>
                      <w:szCs w:val="21"/>
                    </w:rPr>
                    <w:t>其中</w:t>
                  </w:r>
                </w:p>
              </w:tc>
              <w:tc>
                <w:tcPr>
                  <w:tcW w:w="1881" w:type="dxa"/>
                  <w:gridSpan w:val="2"/>
                  <w:vAlign w:val="center"/>
                </w:tcPr>
                <w:p>
                  <w:pPr>
                    <w:spacing w:line="240" w:lineRule="auto"/>
                    <w:ind w:firstLine="0" w:firstLineChars="0"/>
                    <w:jc w:val="center"/>
                    <w:rPr>
                      <w:rFonts w:hint="eastAsia" w:ascii="黑体" w:hAnsi="黑体" w:eastAsia="黑体" w:cs="黑体"/>
                      <w:spacing w:val="0"/>
                      <w:sz w:val="21"/>
                      <w:szCs w:val="21"/>
                    </w:rPr>
                  </w:pPr>
                  <w:r>
                    <w:rPr>
                      <w:rFonts w:hint="eastAsia" w:ascii="黑体" w:hAnsi="黑体" w:eastAsia="黑体" w:cs="黑体"/>
                      <w:spacing w:val="0"/>
                      <w:sz w:val="21"/>
                      <w:szCs w:val="21"/>
                    </w:rPr>
                    <w:t>延庆高铁站片区</w:t>
                  </w:r>
                </w:p>
              </w:tc>
              <w:tc>
                <w:tcPr>
                  <w:tcW w:w="46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315</w:t>
                  </w:r>
                </w:p>
              </w:tc>
              <w:tc>
                <w:tcPr>
                  <w:tcW w:w="1381" w:type="dxa"/>
                  <w:vAlign w:val="center"/>
                </w:tcPr>
                <w:p>
                  <w:pPr>
                    <w:spacing w:line="240" w:lineRule="auto"/>
                    <w:ind w:firstLine="0" w:firstLineChars="0"/>
                    <w:jc w:val="center"/>
                    <w:rPr>
                      <w:rFonts w:hint="eastAsia" w:ascii="仿宋_GB2312" w:hAnsi="仿宋_GB2312" w:cs="仿宋_GB2312"/>
                      <w:spacing w:val="0"/>
                      <w:sz w:val="21"/>
                      <w:szCs w:val="21"/>
                    </w:rPr>
                  </w:pPr>
                  <w:r>
                    <w:rPr>
                      <w:rFonts w:hint="eastAsia" w:ascii="仿宋_GB2312" w:hAnsi="仿宋_GB2312" w:cs="仿宋_GB2312"/>
                      <w:spacing w:val="0"/>
                      <w:sz w:val="21"/>
                      <w:szCs w:val="21"/>
                    </w:rPr>
                    <w:t>128</w:t>
                  </w:r>
                </w:p>
                <w:p>
                  <w:pPr>
                    <w:spacing w:line="240" w:lineRule="auto"/>
                    <w:ind w:firstLine="0" w:firstLineChars="0"/>
                    <w:jc w:val="center"/>
                    <w:rPr>
                      <w:spacing w:val="0"/>
                      <w:sz w:val="21"/>
                      <w:szCs w:val="21"/>
                    </w:rPr>
                  </w:pPr>
                  <w:r>
                    <w:rPr>
                      <w:rFonts w:hint="eastAsia" w:ascii="仿宋_GB2312" w:hAnsi="仿宋_GB2312" w:cs="仿宋_GB2312"/>
                      <w:spacing w:val="0"/>
                      <w:sz w:val="21"/>
                      <w:szCs w:val="21"/>
                    </w:rPr>
                    <w:t>（含首体）</w:t>
                  </w:r>
                </w:p>
              </w:tc>
              <w:tc>
                <w:tcPr>
                  <w:tcW w:w="976" w:type="dxa"/>
                  <w:vAlign w:val="center"/>
                </w:tcPr>
                <w:p>
                  <w:pPr>
                    <w:spacing w:line="240" w:lineRule="auto"/>
                    <w:ind w:firstLine="0" w:firstLineChars="0"/>
                    <w:jc w:val="center"/>
                    <w:rPr>
                      <w:rFonts w:hint="eastAsia" w:ascii="仿宋_GB2312" w:hAnsi="仿宋_GB2312" w:cs="仿宋_GB2312"/>
                      <w:spacing w:val="0"/>
                      <w:sz w:val="21"/>
                      <w:szCs w:val="21"/>
                    </w:rPr>
                  </w:pPr>
                  <w:r>
                    <w:rPr>
                      <w:rFonts w:hint="eastAsia" w:ascii="仿宋_GB2312" w:hAnsi="仿宋_GB2312" w:cs="仿宋_GB2312"/>
                      <w:spacing w:val="0"/>
                      <w:sz w:val="21"/>
                      <w:szCs w:val="21"/>
                    </w:rPr>
                    <w:t>242</w:t>
                  </w:r>
                </w:p>
                <w:p>
                  <w:pPr>
                    <w:spacing w:line="240" w:lineRule="auto"/>
                    <w:ind w:firstLine="0" w:firstLineChars="0"/>
                    <w:jc w:val="center"/>
                    <w:rPr>
                      <w:spacing w:val="0"/>
                      <w:sz w:val="21"/>
                      <w:szCs w:val="21"/>
                    </w:rPr>
                  </w:pPr>
                  <w:r>
                    <w:rPr>
                      <w:rFonts w:hint="eastAsia" w:ascii="仿宋_GB2312" w:hAnsi="仿宋_GB2312" w:cs="仿宋_GB2312"/>
                      <w:spacing w:val="0"/>
                      <w:sz w:val="21"/>
                      <w:szCs w:val="21"/>
                    </w:rPr>
                    <w:t>（含首体）</w:t>
                  </w:r>
                </w:p>
              </w:tc>
              <w:tc>
                <w:tcPr>
                  <w:tcW w:w="977"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78（含首体）</w:t>
                  </w:r>
                </w:p>
              </w:tc>
              <w:tc>
                <w:tcPr>
                  <w:tcW w:w="892"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72</w:t>
                  </w:r>
                  <w:r>
                    <w:rPr>
                      <w:rFonts w:hint="eastAsia" w:ascii="仿宋_GB2312" w:hAnsi="仿宋_GB2312" w:cs="仿宋_GB2312"/>
                      <w:spacing w:val="0"/>
                      <w:sz w:val="21"/>
                      <w:szCs w:val="21"/>
                    </w:rPr>
                    <w:br w:type="textWrapping"/>
                  </w:r>
                  <w:r>
                    <w:rPr>
                      <w:rFonts w:hint="eastAsia" w:ascii="仿宋_GB2312" w:hAnsi="仿宋_GB2312" w:cs="仿宋_GB2312"/>
                      <w:spacing w:val="0"/>
                      <w:sz w:val="21"/>
                      <w:szCs w:val="21"/>
                    </w:rPr>
                    <w:t>（含首体）</w:t>
                  </w:r>
                </w:p>
              </w:tc>
              <w:tc>
                <w:tcPr>
                  <w:tcW w:w="64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0.4</w:t>
                  </w:r>
                </w:p>
              </w:tc>
              <w:tc>
                <w:tcPr>
                  <w:tcW w:w="70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1.0</w:t>
                  </w:r>
                </w:p>
              </w:tc>
              <w:tc>
                <w:tcPr>
                  <w:tcW w:w="62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74" w:hRule="atLeast"/>
              </w:trPr>
              <w:tc>
                <w:tcPr>
                  <w:tcW w:w="299" w:type="dxa"/>
                  <w:vMerge w:val="continue"/>
                  <w:vAlign w:val="center"/>
                </w:tcPr>
                <w:p>
                  <w:pPr>
                    <w:spacing w:line="240" w:lineRule="auto"/>
                    <w:ind w:firstLine="0" w:firstLineChars="0"/>
                    <w:jc w:val="center"/>
                    <w:rPr>
                      <w:spacing w:val="0"/>
                      <w:sz w:val="18"/>
                      <w:szCs w:val="13"/>
                    </w:rPr>
                  </w:pPr>
                </w:p>
              </w:tc>
              <w:tc>
                <w:tcPr>
                  <w:tcW w:w="283" w:type="dxa"/>
                  <w:vMerge w:val="continue"/>
                  <w:vAlign w:val="center"/>
                </w:tcPr>
                <w:p>
                  <w:pPr>
                    <w:spacing w:line="240" w:lineRule="auto"/>
                    <w:ind w:firstLine="0" w:firstLineChars="0"/>
                    <w:jc w:val="center"/>
                    <w:rPr>
                      <w:rFonts w:hint="eastAsia" w:ascii="黑体" w:hAnsi="黑体" w:eastAsia="黑体" w:cs="黑体"/>
                      <w:spacing w:val="0"/>
                      <w:sz w:val="21"/>
                      <w:szCs w:val="21"/>
                    </w:rPr>
                  </w:pPr>
                </w:p>
              </w:tc>
              <w:tc>
                <w:tcPr>
                  <w:tcW w:w="284" w:type="dxa"/>
                  <w:vMerge w:val="restart"/>
                  <w:vAlign w:val="center"/>
                </w:tcPr>
                <w:p>
                  <w:pPr>
                    <w:spacing w:line="240" w:lineRule="auto"/>
                    <w:ind w:firstLine="0" w:firstLineChars="0"/>
                    <w:jc w:val="center"/>
                    <w:rPr>
                      <w:rFonts w:hint="eastAsia" w:ascii="黑体" w:hAnsi="黑体" w:eastAsia="黑体" w:cs="黑体"/>
                      <w:spacing w:val="0"/>
                      <w:sz w:val="21"/>
                      <w:szCs w:val="21"/>
                    </w:rPr>
                  </w:pPr>
                  <w:r>
                    <w:rPr>
                      <w:rFonts w:hint="eastAsia" w:ascii="黑体" w:hAnsi="黑体" w:eastAsia="黑体" w:cs="黑体"/>
                      <w:spacing w:val="0"/>
                      <w:sz w:val="21"/>
                      <w:szCs w:val="21"/>
                    </w:rPr>
                    <w:t>其中</w:t>
                  </w:r>
                </w:p>
              </w:tc>
              <w:tc>
                <w:tcPr>
                  <w:tcW w:w="1597" w:type="dxa"/>
                  <w:vAlign w:val="center"/>
                </w:tcPr>
                <w:p>
                  <w:pPr>
                    <w:spacing w:line="240" w:lineRule="auto"/>
                    <w:ind w:firstLine="0" w:firstLineChars="0"/>
                    <w:jc w:val="center"/>
                    <w:rPr>
                      <w:rFonts w:hint="eastAsia" w:ascii="黑体" w:hAnsi="黑体" w:eastAsia="黑体" w:cs="黑体"/>
                      <w:spacing w:val="0"/>
                      <w:sz w:val="21"/>
                      <w:szCs w:val="21"/>
                    </w:rPr>
                  </w:pPr>
                  <w:r>
                    <w:rPr>
                      <w:rFonts w:hint="eastAsia" w:ascii="黑体" w:hAnsi="黑体" w:eastAsia="黑体" w:cs="黑体"/>
                      <w:spacing w:val="0"/>
                      <w:sz w:val="21"/>
                      <w:szCs w:val="21"/>
                    </w:rPr>
                    <w:t>一期：城市客厅（TOD枢纽区域）</w:t>
                  </w:r>
                </w:p>
              </w:tc>
              <w:tc>
                <w:tcPr>
                  <w:tcW w:w="46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63</w:t>
                  </w:r>
                </w:p>
              </w:tc>
              <w:tc>
                <w:tcPr>
                  <w:tcW w:w="1381"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29</w:t>
                  </w:r>
                </w:p>
              </w:tc>
              <w:tc>
                <w:tcPr>
                  <w:tcW w:w="976"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69</w:t>
                  </w:r>
                </w:p>
              </w:tc>
              <w:tc>
                <w:tcPr>
                  <w:tcW w:w="977"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29</w:t>
                  </w:r>
                </w:p>
              </w:tc>
              <w:tc>
                <w:tcPr>
                  <w:tcW w:w="892"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25</w:t>
                  </w:r>
                </w:p>
              </w:tc>
              <w:tc>
                <w:tcPr>
                  <w:tcW w:w="64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0.1</w:t>
                  </w:r>
                </w:p>
              </w:tc>
              <w:tc>
                <w:tcPr>
                  <w:tcW w:w="70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0.6</w:t>
                  </w:r>
                </w:p>
              </w:tc>
              <w:tc>
                <w:tcPr>
                  <w:tcW w:w="62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1059" w:hRule="atLeast"/>
              </w:trPr>
              <w:tc>
                <w:tcPr>
                  <w:tcW w:w="299" w:type="dxa"/>
                  <w:vMerge w:val="continue"/>
                  <w:vAlign w:val="center"/>
                </w:tcPr>
                <w:p>
                  <w:pPr>
                    <w:spacing w:line="240" w:lineRule="auto"/>
                    <w:ind w:firstLine="0" w:firstLineChars="0"/>
                    <w:jc w:val="center"/>
                    <w:rPr>
                      <w:spacing w:val="0"/>
                      <w:sz w:val="18"/>
                      <w:szCs w:val="13"/>
                    </w:rPr>
                  </w:pPr>
                </w:p>
              </w:tc>
              <w:tc>
                <w:tcPr>
                  <w:tcW w:w="283" w:type="dxa"/>
                  <w:vMerge w:val="continue"/>
                  <w:vAlign w:val="center"/>
                </w:tcPr>
                <w:p>
                  <w:pPr>
                    <w:spacing w:line="240" w:lineRule="auto"/>
                    <w:ind w:firstLine="0" w:firstLineChars="0"/>
                    <w:jc w:val="center"/>
                    <w:rPr>
                      <w:rFonts w:hint="eastAsia" w:ascii="黑体" w:hAnsi="黑体" w:eastAsia="黑体" w:cs="黑体"/>
                      <w:spacing w:val="0"/>
                      <w:sz w:val="21"/>
                      <w:szCs w:val="21"/>
                    </w:rPr>
                  </w:pPr>
                </w:p>
              </w:tc>
              <w:tc>
                <w:tcPr>
                  <w:tcW w:w="284" w:type="dxa"/>
                  <w:vMerge w:val="continue"/>
                  <w:vAlign w:val="center"/>
                </w:tcPr>
                <w:p>
                  <w:pPr>
                    <w:spacing w:line="240" w:lineRule="auto"/>
                    <w:ind w:firstLine="0" w:firstLineChars="0"/>
                    <w:jc w:val="center"/>
                    <w:rPr>
                      <w:rFonts w:hint="eastAsia" w:ascii="黑体" w:hAnsi="黑体" w:eastAsia="黑体" w:cs="黑体"/>
                      <w:spacing w:val="0"/>
                      <w:sz w:val="21"/>
                      <w:szCs w:val="21"/>
                    </w:rPr>
                  </w:pPr>
                </w:p>
              </w:tc>
              <w:tc>
                <w:tcPr>
                  <w:tcW w:w="1597" w:type="dxa"/>
                  <w:vAlign w:val="center"/>
                </w:tcPr>
                <w:p>
                  <w:pPr>
                    <w:spacing w:line="240" w:lineRule="auto"/>
                    <w:ind w:firstLine="0" w:firstLineChars="0"/>
                    <w:jc w:val="center"/>
                    <w:rPr>
                      <w:rFonts w:hint="eastAsia" w:ascii="黑体" w:hAnsi="黑体" w:eastAsia="黑体" w:cs="黑体"/>
                      <w:spacing w:val="0"/>
                      <w:sz w:val="21"/>
                      <w:szCs w:val="21"/>
                    </w:rPr>
                  </w:pPr>
                  <w:r>
                    <w:rPr>
                      <w:rFonts w:hint="eastAsia" w:ascii="黑体" w:hAnsi="黑体" w:eastAsia="黑体" w:cs="黑体"/>
                      <w:spacing w:val="0"/>
                      <w:sz w:val="21"/>
                      <w:szCs w:val="21"/>
                    </w:rPr>
                    <w:t>二期：中关村延庆园延庆片区</w:t>
                  </w:r>
                </w:p>
              </w:tc>
              <w:tc>
                <w:tcPr>
                  <w:tcW w:w="46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116</w:t>
                  </w:r>
                </w:p>
              </w:tc>
              <w:tc>
                <w:tcPr>
                  <w:tcW w:w="1381"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56</w:t>
                  </w:r>
                </w:p>
              </w:tc>
              <w:tc>
                <w:tcPr>
                  <w:tcW w:w="976"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103</w:t>
                  </w:r>
                </w:p>
              </w:tc>
              <w:tc>
                <w:tcPr>
                  <w:tcW w:w="977"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22</w:t>
                  </w:r>
                </w:p>
              </w:tc>
              <w:tc>
                <w:tcPr>
                  <w:tcW w:w="892"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14</w:t>
                  </w:r>
                </w:p>
              </w:tc>
              <w:tc>
                <w:tcPr>
                  <w:tcW w:w="64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0.2</w:t>
                  </w:r>
                </w:p>
              </w:tc>
              <w:tc>
                <w:tcPr>
                  <w:tcW w:w="70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0.3</w:t>
                  </w:r>
                </w:p>
              </w:tc>
              <w:tc>
                <w:tcPr>
                  <w:tcW w:w="62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36" w:hRule="atLeast"/>
              </w:trPr>
              <w:tc>
                <w:tcPr>
                  <w:tcW w:w="299" w:type="dxa"/>
                  <w:vMerge w:val="continue"/>
                  <w:vAlign w:val="center"/>
                </w:tcPr>
                <w:p>
                  <w:pPr>
                    <w:spacing w:line="240" w:lineRule="auto"/>
                    <w:ind w:firstLine="0" w:firstLineChars="0"/>
                    <w:jc w:val="center"/>
                    <w:rPr>
                      <w:spacing w:val="0"/>
                      <w:sz w:val="18"/>
                      <w:szCs w:val="13"/>
                    </w:rPr>
                  </w:pPr>
                </w:p>
              </w:tc>
              <w:tc>
                <w:tcPr>
                  <w:tcW w:w="283" w:type="dxa"/>
                  <w:vMerge w:val="continue"/>
                  <w:vAlign w:val="center"/>
                </w:tcPr>
                <w:p>
                  <w:pPr>
                    <w:spacing w:line="240" w:lineRule="auto"/>
                    <w:ind w:firstLine="0" w:firstLineChars="0"/>
                    <w:jc w:val="center"/>
                    <w:rPr>
                      <w:rFonts w:hint="eastAsia" w:ascii="黑体" w:hAnsi="黑体" w:eastAsia="黑体" w:cs="黑体"/>
                      <w:spacing w:val="0"/>
                      <w:sz w:val="21"/>
                      <w:szCs w:val="21"/>
                    </w:rPr>
                  </w:pPr>
                </w:p>
              </w:tc>
              <w:tc>
                <w:tcPr>
                  <w:tcW w:w="284" w:type="dxa"/>
                  <w:vMerge w:val="continue"/>
                  <w:vAlign w:val="center"/>
                </w:tcPr>
                <w:p>
                  <w:pPr>
                    <w:spacing w:line="240" w:lineRule="auto"/>
                    <w:ind w:firstLine="0" w:firstLineChars="0"/>
                    <w:jc w:val="center"/>
                    <w:rPr>
                      <w:rFonts w:hint="eastAsia" w:ascii="黑体" w:hAnsi="黑体" w:eastAsia="黑体" w:cs="黑体"/>
                      <w:spacing w:val="0"/>
                      <w:sz w:val="21"/>
                      <w:szCs w:val="21"/>
                    </w:rPr>
                  </w:pPr>
                </w:p>
              </w:tc>
              <w:tc>
                <w:tcPr>
                  <w:tcW w:w="1597" w:type="dxa"/>
                  <w:vAlign w:val="center"/>
                </w:tcPr>
                <w:p>
                  <w:pPr>
                    <w:spacing w:line="240" w:lineRule="auto"/>
                    <w:ind w:firstLine="0" w:firstLineChars="0"/>
                    <w:jc w:val="center"/>
                    <w:rPr>
                      <w:rFonts w:hint="eastAsia" w:ascii="黑体" w:hAnsi="黑体" w:eastAsia="黑体" w:cs="黑体"/>
                      <w:spacing w:val="0"/>
                      <w:sz w:val="21"/>
                      <w:szCs w:val="21"/>
                    </w:rPr>
                  </w:pPr>
                  <w:r>
                    <w:rPr>
                      <w:rFonts w:hint="eastAsia" w:ascii="黑体" w:hAnsi="黑体" w:eastAsia="黑体" w:cs="黑体"/>
                      <w:spacing w:val="0"/>
                      <w:sz w:val="21"/>
                      <w:szCs w:val="21"/>
                    </w:rPr>
                    <w:t>三期：延庆高铁站南侧</w:t>
                  </w:r>
                </w:p>
              </w:tc>
              <w:tc>
                <w:tcPr>
                  <w:tcW w:w="46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41</w:t>
                  </w:r>
                </w:p>
              </w:tc>
              <w:tc>
                <w:tcPr>
                  <w:tcW w:w="1381"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16</w:t>
                  </w:r>
                </w:p>
              </w:tc>
              <w:tc>
                <w:tcPr>
                  <w:tcW w:w="976"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28</w:t>
                  </w:r>
                </w:p>
              </w:tc>
              <w:tc>
                <w:tcPr>
                  <w:tcW w:w="977"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w:t>
                  </w:r>
                </w:p>
              </w:tc>
              <w:tc>
                <w:tcPr>
                  <w:tcW w:w="892"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w:t>
                  </w:r>
                </w:p>
              </w:tc>
              <w:tc>
                <w:tcPr>
                  <w:tcW w:w="64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0.0</w:t>
                  </w:r>
                </w:p>
              </w:tc>
              <w:tc>
                <w:tcPr>
                  <w:tcW w:w="70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0.0</w:t>
                  </w:r>
                </w:p>
              </w:tc>
              <w:tc>
                <w:tcPr>
                  <w:tcW w:w="62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73" w:hRule="atLeast"/>
              </w:trPr>
              <w:tc>
                <w:tcPr>
                  <w:tcW w:w="299" w:type="dxa"/>
                  <w:vMerge w:val="continue"/>
                  <w:vAlign w:val="center"/>
                </w:tcPr>
                <w:p>
                  <w:pPr>
                    <w:spacing w:line="240" w:lineRule="auto"/>
                    <w:ind w:firstLine="0" w:firstLineChars="0"/>
                    <w:jc w:val="center"/>
                    <w:rPr>
                      <w:spacing w:val="0"/>
                      <w:sz w:val="18"/>
                      <w:szCs w:val="13"/>
                    </w:rPr>
                  </w:pPr>
                </w:p>
              </w:tc>
              <w:tc>
                <w:tcPr>
                  <w:tcW w:w="283" w:type="dxa"/>
                  <w:vMerge w:val="continue"/>
                  <w:vAlign w:val="center"/>
                </w:tcPr>
                <w:p>
                  <w:pPr>
                    <w:spacing w:line="240" w:lineRule="auto"/>
                    <w:ind w:firstLine="0" w:firstLineChars="0"/>
                    <w:jc w:val="center"/>
                    <w:rPr>
                      <w:rFonts w:hint="eastAsia" w:ascii="黑体" w:hAnsi="黑体" w:eastAsia="黑体" w:cs="黑体"/>
                      <w:spacing w:val="0"/>
                      <w:sz w:val="21"/>
                      <w:szCs w:val="21"/>
                    </w:rPr>
                  </w:pPr>
                </w:p>
              </w:tc>
              <w:tc>
                <w:tcPr>
                  <w:tcW w:w="284" w:type="dxa"/>
                  <w:vMerge w:val="continue"/>
                  <w:vAlign w:val="center"/>
                </w:tcPr>
                <w:p>
                  <w:pPr>
                    <w:spacing w:line="240" w:lineRule="auto"/>
                    <w:ind w:firstLine="0" w:firstLineChars="0"/>
                    <w:jc w:val="center"/>
                    <w:rPr>
                      <w:rFonts w:hint="eastAsia" w:ascii="黑体" w:hAnsi="黑体" w:eastAsia="黑体" w:cs="黑体"/>
                      <w:spacing w:val="0"/>
                      <w:sz w:val="21"/>
                      <w:szCs w:val="21"/>
                    </w:rPr>
                  </w:pPr>
                </w:p>
              </w:tc>
              <w:tc>
                <w:tcPr>
                  <w:tcW w:w="1597" w:type="dxa"/>
                  <w:vAlign w:val="center"/>
                </w:tcPr>
                <w:p>
                  <w:pPr>
                    <w:spacing w:line="240" w:lineRule="auto"/>
                    <w:ind w:firstLine="0" w:firstLineChars="0"/>
                    <w:jc w:val="center"/>
                    <w:rPr>
                      <w:rFonts w:hint="eastAsia" w:ascii="黑体" w:hAnsi="黑体" w:eastAsia="黑体" w:cs="黑体"/>
                      <w:spacing w:val="0"/>
                      <w:sz w:val="21"/>
                      <w:szCs w:val="21"/>
                    </w:rPr>
                  </w:pPr>
                  <w:r>
                    <w:rPr>
                      <w:rFonts w:hint="eastAsia" w:ascii="黑体" w:hAnsi="黑体" w:eastAsia="黑体" w:cs="黑体"/>
                      <w:spacing w:val="0"/>
                      <w:sz w:val="21"/>
                      <w:szCs w:val="21"/>
                    </w:rPr>
                    <w:t>首体院以东片区</w:t>
                  </w:r>
                </w:p>
              </w:tc>
              <w:tc>
                <w:tcPr>
                  <w:tcW w:w="46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66</w:t>
                  </w:r>
                </w:p>
              </w:tc>
              <w:tc>
                <w:tcPr>
                  <w:tcW w:w="1381"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27</w:t>
                  </w:r>
                </w:p>
              </w:tc>
              <w:tc>
                <w:tcPr>
                  <w:tcW w:w="976"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42</w:t>
                  </w:r>
                </w:p>
              </w:tc>
              <w:tc>
                <w:tcPr>
                  <w:tcW w:w="977"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27</w:t>
                  </w:r>
                </w:p>
              </w:tc>
              <w:tc>
                <w:tcPr>
                  <w:tcW w:w="892"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33</w:t>
                  </w:r>
                </w:p>
              </w:tc>
              <w:tc>
                <w:tcPr>
                  <w:tcW w:w="64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0.1</w:t>
                  </w:r>
                </w:p>
              </w:tc>
              <w:tc>
                <w:tcPr>
                  <w:tcW w:w="70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0.1</w:t>
                  </w:r>
                </w:p>
              </w:tc>
              <w:tc>
                <w:tcPr>
                  <w:tcW w:w="62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1752" w:hRule="atLeast"/>
              </w:trPr>
              <w:tc>
                <w:tcPr>
                  <w:tcW w:w="299" w:type="dxa"/>
                  <w:vMerge w:val="continue"/>
                  <w:vAlign w:val="center"/>
                </w:tcPr>
                <w:p>
                  <w:pPr>
                    <w:spacing w:line="240" w:lineRule="auto"/>
                    <w:ind w:firstLine="0" w:firstLineChars="0"/>
                    <w:jc w:val="center"/>
                    <w:rPr>
                      <w:spacing w:val="0"/>
                      <w:sz w:val="18"/>
                      <w:szCs w:val="13"/>
                    </w:rPr>
                  </w:pPr>
                </w:p>
              </w:tc>
              <w:tc>
                <w:tcPr>
                  <w:tcW w:w="283" w:type="dxa"/>
                  <w:vMerge w:val="continue"/>
                  <w:vAlign w:val="center"/>
                </w:tcPr>
                <w:p>
                  <w:pPr>
                    <w:spacing w:line="240" w:lineRule="auto"/>
                    <w:ind w:firstLine="0" w:firstLineChars="0"/>
                    <w:jc w:val="center"/>
                    <w:rPr>
                      <w:rFonts w:hint="eastAsia" w:ascii="黑体" w:hAnsi="黑体" w:eastAsia="黑体" w:cs="黑体"/>
                      <w:spacing w:val="0"/>
                      <w:sz w:val="21"/>
                      <w:szCs w:val="21"/>
                    </w:rPr>
                  </w:pPr>
                </w:p>
              </w:tc>
              <w:tc>
                <w:tcPr>
                  <w:tcW w:w="1881" w:type="dxa"/>
                  <w:gridSpan w:val="2"/>
                  <w:vAlign w:val="center"/>
                </w:tcPr>
                <w:p>
                  <w:pPr>
                    <w:spacing w:line="240" w:lineRule="auto"/>
                    <w:ind w:firstLine="0" w:firstLineChars="0"/>
                    <w:jc w:val="center"/>
                    <w:rPr>
                      <w:rFonts w:hint="eastAsia" w:ascii="黑体" w:hAnsi="黑体" w:eastAsia="黑体" w:cs="黑体"/>
                      <w:spacing w:val="0"/>
                      <w:sz w:val="21"/>
                      <w:szCs w:val="21"/>
                    </w:rPr>
                  </w:pPr>
                  <w:r>
                    <w:rPr>
                      <w:rFonts w:hint="eastAsia" w:ascii="黑体" w:hAnsi="黑体" w:eastAsia="黑体" w:cs="黑体"/>
                      <w:spacing w:val="0"/>
                      <w:sz w:val="21"/>
                      <w:szCs w:val="21"/>
                    </w:rPr>
                    <w:t>其他区域（公园内东侧产业带、G地块、P2停车场地块等）</w:t>
                  </w:r>
                </w:p>
              </w:tc>
              <w:tc>
                <w:tcPr>
                  <w:tcW w:w="46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w:t>
                  </w:r>
                </w:p>
              </w:tc>
              <w:tc>
                <w:tcPr>
                  <w:tcW w:w="1381"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75</w:t>
                  </w:r>
                </w:p>
              </w:tc>
              <w:tc>
                <w:tcPr>
                  <w:tcW w:w="976"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107</w:t>
                  </w:r>
                </w:p>
              </w:tc>
              <w:tc>
                <w:tcPr>
                  <w:tcW w:w="977"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22</w:t>
                  </w:r>
                </w:p>
              </w:tc>
              <w:tc>
                <w:tcPr>
                  <w:tcW w:w="892"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31</w:t>
                  </w:r>
                </w:p>
              </w:tc>
              <w:tc>
                <w:tcPr>
                  <w:tcW w:w="64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0.2</w:t>
                  </w:r>
                </w:p>
              </w:tc>
              <w:tc>
                <w:tcPr>
                  <w:tcW w:w="70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0.1</w:t>
                  </w:r>
                </w:p>
              </w:tc>
              <w:tc>
                <w:tcPr>
                  <w:tcW w:w="62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36" w:hRule="atLeast"/>
              </w:trPr>
              <w:tc>
                <w:tcPr>
                  <w:tcW w:w="299" w:type="dxa"/>
                  <w:vMerge w:val="continue"/>
                  <w:vAlign w:val="center"/>
                </w:tcPr>
                <w:p>
                  <w:pPr>
                    <w:spacing w:line="240" w:lineRule="auto"/>
                    <w:ind w:firstLine="0" w:firstLineChars="0"/>
                    <w:jc w:val="center"/>
                    <w:rPr>
                      <w:spacing w:val="0"/>
                      <w:sz w:val="18"/>
                      <w:szCs w:val="13"/>
                    </w:rPr>
                  </w:pPr>
                </w:p>
              </w:tc>
              <w:tc>
                <w:tcPr>
                  <w:tcW w:w="2164" w:type="dxa"/>
                  <w:gridSpan w:val="3"/>
                  <w:vAlign w:val="center"/>
                </w:tcPr>
                <w:p>
                  <w:pPr>
                    <w:spacing w:line="240" w:lineRule="auto"/>
                    <w:ind w:firstLine="0" w:firstLineChars="0"/>
                    <w:jc w:val="center"/>
                    <w:rPr>
                      <w:rFonts w:hint="eastAsia" w:ascii="黑体" w:hAnsi="黑体" w:eastAsia="黑体" w:cs="黑体"/>
                      <w:spacing w:val="0"/>
                      <w:sz w:val="21"/>
                      <w:szCs w:val="21"/>
                    </w:rPr>
                  </w:pPr>
                  <w:r>
                    <w:rPr>
                      <w:rFonts w:hint="eastAsia" w:ascii="黑体" w:hAnsi="黑体" w:eastAsia="黑体" w:cs="黑体"/>
                      <w:spacing w:val="0"/>
                      <w:sz w:val="21"/>
                      <w:szCs w:val="21"/>
                    </w:rPr>
                    <w:t>北方工大片区（待供地）</w:t>
                  </w:r>
                </w:p>
              </w:tc>
              <w:tc>
                <w:tcPr>
                  <w:tcW w:w="46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96</w:t>
                  </w:r>
                </w:p>
              </w:tc>
              <w:tc>
                <w:tcPr>
                  <w:tcW w:w="1381"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58</w:t>
                  </w:r>
                </w:p>
              </w:tc>
              <w:tc>
                <w:tcPr>
                  <w:tcW w:w="976"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82</w:t>
                  </w:r>
                </w:p>
              </w:tc>
              <w:tc>
                <w:tcPr>
                  <w:tcW w:w="977"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58</w:t>
                  </w:r>
                </w:p>
              </w:tc>
              <w:tc>
                <w:tcPr>
                  <w:tcW w:w="892"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82</w:t>
                  </w:r>
                </w:p>
              </w:tc>
              <w:tc>
                <w:tcPr>
                  <w:tcW w:w="64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w:t>
                  </w:r>
                </w:p>
              </w:tc>
              <w:tc>
                <w:tcPr>
                  <w:tcW w:w="70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w:t>
                  </w:r>
                </w:p>
              </w:tc>
              <w:tc>
                <w:tcPr>
                  <w:tcW w:w="62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148" w:hRule="atLeast"/>
              </w:trPr>
              <w:tc>
                <w:tcPr>
                  <w:tcW w:w="299" w:type="dxa"/>
                  <w:vMerge w:val="continue"/>
                  <w:vAlign w:val="center"/>
                </w:tcPr>
                <w:p>
                  <w:pPr>
                    <w:spacing w:line="240" w:lineRule="auto"/>
                    <w:ind w:firstLine="0" w:firstLineChars="0"/>
                    <w:jc w:val="center"/>
                    <w:rPr>
                      <w:spacing w:val="0"/>
                      <w:sz w:val="18"/>
                      <w:szCs w:val="13"/>
                    </w:rPr>
                  </w:pPr>
                </w:p>
              </w:tc>
              <w:tc>
                <w:tcPr>
                  <w:tcW w:w="2164" w:type="dxa"/>
                  <w:gridSpan w:val="3"/>
                  <w:vAlign w:val="center"/>
                </w:tcPr>
                <w:p>
                  <w:pPr>
                    <w:spacing w:line="240" w:lineRule="auto"/>
                    <w:ind w:firstLine="0" w:firstLineChars="0"/>
                    <w:jc w:val="center"/>
                    <w:rPr>
                      <w:spacing w:val="0"/>
                      <w:sz w:val="18"/>
                      <w:szCs w:val="13"/>
                    </w:rPr>
                  </w:pPr>
                  <w:r>
                    <w:rPr>
                      <w:rFonts w:hint="eastAsia" w:ascii="黑体" w:hAnsi="黑体" w:eastAsia="黑体" w:cs="黑体"/>
                      <w:spacing w:val="0"/>
                      <w:sz w:val="21"/>
                      <w:szCs w:val="21"/>
                    </w:rPr>
                    <w:t>中关村延庆园八达岭－康庄片区</w:t>
                  </w:r>
                </w:p>
              </w:tc>
              <w:tc>
                <w:tcPr>
                  <w:tcW w:w="46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600</w:t>
                  </w:r>
                </w:p>
              </w:tc>
              <w:tc>
                <w:tcPr>
                  <w:tcW w:w="1381"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71</w:t>
                  </w:r>
                </w:p>
              </w:tc>
              <w:tc>
                <w:tcPr>
                  <w:tcW w:w="976"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81</w:t>
                  </w:r>
                </w:p>
              </w:tc>
              <w:tc>
                <w:tcPr>
                  <w:tcW w:w="977"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36</w:t>
                  </w:r>
                </w:p>
              </w:tc>
              <w:tc>
                <w:tcPr>
                  <w:tcW w:w="892"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41</w:t>
                  </w:r>
                </w:p>
              </w:tc>
              <w:tc>
                <w:tcPr>
                  <w:tcW w:w="64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0.1</w:t>
                  </w:r>
                </w:p>
              </w:tc>
              <w:tc>
                <w:tcPr>
                  <w:tcW w:w="703"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0.3</w:t>
                  </w:r>
                </w:p>
              </w:tc>
              <w:tc>
                <w:tcPr>
                  <w:tcW w:w="624" w:type="dxa"/>
                  <w:vAlign w:val="center"/>
                </w:tcPr>
                <w:p>
                  <w:pPr>
                    <w:spacing w:line="240" w:lineRule="auto"/>
                    <w:ind w:firstLine="0" w:firstLineChars="0"/>
                    <w:jc w:val="center"/>
                    <w:rPr>
                      <w:spacing w:val="0"/>
                      <w:sz w:val="21"/>
                      <w:szCs w:val="21"/>
                    </w:rPr>
                  </w:pPr>
                  <w:r>
                    <w:rPr>
                      <w:rFonts w:hint="eastAsia" w:ascii="仿宋_GB2312" w:hAnsi="仿宋_GB2312" w:cs="仿宋_GB2312"/>
                      <w:spacing w:val="0"/>
                      <w:sz w:val="21"/>
                      <w:szCs w:val="21"/>
                    </w:rPr>
                    <w:t>——</w:t>
                  </w:r>
                </w:p>
              </w:tc>
            </w:tr>
            <w:bookmarkEnd w:id="555"/>
          </w:tbl>
          <w:p>
            <w:pPr>
              <w:ind w:firstLine="0" w:firstLineChars="0"/>
              <w:jc w:val="center"/>
              <w:rPr>
                <w:rFonts w:hint="eastAsia" w:ascii="楷体_GB2312" w:hAnsi="楷体_GB2312" w:eastAsia="楷体_GB2312" w:cs="楷体_GB2312"/>
                <w:b/>
                <w:bCs/>
                <w:spacing w:val="0"/>
                <w:sz w:val="30"/>
                <w:szCs w:val="30"/>
              </w:rPr>
            </w:pPr>
            <w:r>
              <w:rPr>
                <w:rFonts w:hint="eastAsia" w:ascii="楷体_GB2312" w:hAnsi="楷体_GB2312" w:eastAsia="楷体_GB2312" w:cs="楷体_GB2312"/>
                <w:b/>
                <w:bCs/>
                <w:spacing w:val="0"/>
                <w:sz w:val="30"/>
                <w:szCs w:val="30"/>
              </w:rPr>
              <w:t>表1：“十五五”期间重点区域投放指标预估</w:t>
            </w:r>
          </w:p>
          <w:p>
            <w:pPr>
              <w:spacing w:line="540" w:lineRule="exact"/>
              <w:rPr>
                <w:rFonts w:hint="eastAsia" w:ascii="仿宋_GB2312" w:hAnsi="仿宋_GB2312" w:cs="仿宋_GB2312"/>
                <w:spacing w:val="0"/>
                <w:szCs w:val="32"/>
              </w:rPr>
            </w:pPr>
            <w:r>
              <w:rPr>
                <w:rFonts w:hint="eastAsia" w:ascii="仿宋_GB2312" w:hAnsi="仿宋_GB2312" w:cs="仿宋_GB2312"/>
                <w:spacing w:val="0"/>
                <w:szCs w:val="32"/>
              </w:rPr>
              <w:t>延庆高铁站片区预计投放78公顷（含首体片区）建设用地和72万平方米建筑规模。其中，一期（2025—2028年）建设立体城市客厅（TOD枢纽区域），预计投放29公顷建设用地和25万平方米建筑规模。二期（2028—2030年）建设中关村延庆园延庆片区，预计投放22公顷建设用地和14万平方米建筑规模。另外，首体及东侧零星住宅及商业用地也将在“十五五”时期建设，预计投放27公顷建设用地和33万平方米建筑规模（其中首体约占地23公顷，一期建筑规模约22万平方米）。</w:t>
            </w:r>
          </w:p>
          <w:p>
            <w:pPr>
              <w:spacing w:line="540" w:lineRule="exact"/>
              <w:rPr>
                <w:spacing w:val="0"/>
              </w:rPr>
            </w:pPr>
            <w:r>
              <w:rPr>
                <w:rFonts w:hint="eastAsia" w:ascii="仿宋_GB2312" w:hAnsi="仿宋_GB2312" w:cs="仿宋_GB2312"/>
                <w:spacing w:val="0"/>
                <w:szCs w:val="32"/>
              </w:rPr>
              <w:t>延庆高铁站片区以外区域，重点在世园公园内产业带、G地块、P2停车场地块投放指标。预计将投放建设用地22公顷，建筑规模约31万平方米。围绕环高校创新发展片区，预计“十五五”时期投放建设用地约58公顷，建筑规模约82万平方米。将入驻师生3.4万人。围绕延庆园康庄片区，预计“十五五”时期投放建设用地约36公顷，建筑规模约41万平方米。将吸引就业人口0.3万人。</w:t>
            </w:r>
          </w:p>
        </w:tc>
      </w:tr>
    </w:tbl>
    <w:p>
      <w:pPr>
        <w:rPr>
          <w:rFonts w:hint="eastAsia" w:ascii="仿宋_GB2312" w:hAnsi="仿宋_GB2312" w:cs="仿宋_GB2312"/>
          <w:spacing w:val="0"/>
          <w:szCs w:val="32"/>
        </w:rPr>
      </w:pPr>
      <w:r>
        <w:rPr>
          <w:rFonts w:hint="eastAsia" w:ascii="仿宋_GB2312" w:hAnsi="仿宋_GB2312" w:cs="仿宋_GB2312"/>
          <w:spacing w:val="0"/>
          <w:szCs w:val="32"/>
        </w:rPr>
        <w:br w:type="page"/>
      </w:r>
    </w:p>
    <w:bookmarkEnd w:id="457"/>
    <w:bookmarkEnd w:id="458"/>
    <w:bookmarkEnd w:id="459"/>
    <w:p>
      <w:pPr>
        <w:pStyle w:val="34"/>
        <w:spacing w:before="156" w:after="156"/>
        <w:rPr>
          <w:rFonts w:hint="eastAsia"/>
          <w:spacing w:val="0"/>
        </w:rPr>
      </w:pPr>
      <w:bookmarkStart w:id="556" w:name="_Toc5507"/>
      <w:bookmarkStart w:id="557" w:name="_Toc31627"/>
      <w:bookmarkStart w:id="558" w:name="_Toc1906"/>
      <w:bookmarkStart w:id="559" w:name="_Toc4468"/>
      <w:bookmarkStart w:id="560" w:name="_Toc21452"/>
      <w:bookmarkStart w:id="561" w:name="_Toc204691193"/>
      <w:r>
        <w:rPr>
          <w:rFonts w:hint="eastAsia"/>
          <w:spacing w:val="0"/>
        </w:rPr>
        <w:t>完善城乡一体化发展格局</w:t>
      </w:r>
      <w:bookmarkEnd w:id="556"/>
      <w:bookmarkEnd w:id="557"/>
      <w:bookmarkEnd w:id="558"/>
      <w:bookmarkEnd w:id="559"/>
      <w:bookmarkEnd w:id="560"/>
    </w:p>
    <w:p>
      <w:pPr>
        <w:pStyle w:val="3"/>
        <w:ind w:left="616" w:leftChars="200" w:firstLine="4" w:firstLineChars="0"/>
        <w:jc w:val="left"/>
        <w:rPr>
          <w:rFonts w:hint="eastAsia" w:ascii="楷体_GB2312" w:hAnsi="楷体_GB2312" w:eastAsia="楷体_GB2312" w:cs="楷体_GB2312"/>
          <w:spacing w:val="0"/>
        </w:rPr>
      </w:pPr>
      <w:bookmarkStart w:id="562" w:name="_Toc31880"/>
      <w:bookmarkStart w:id="563" w:name="_Toc8046"/>
      <w:bookmarkStart w:id="564" w:name="_Toc16590"/>
      <w:bookmarkStart w:id="565" w:name="_Toc28290"/>
      <w:bookmarkStart w:id="566" w:name="_Toc12256"/>
      <w:bookmarkStart w:id="567" w:name="_Toc211328008"/>
      <w:bookmarkStart w:id="568" w:name="_Toc204691189"/>
      <w:r>
        <w:rPr>
          <w:rFonts w:hint="eastAsia" w:ascii="楷体_GB2312" w:hAnsi="楷体_GB2312" w:eastAsia="楷体_GB2312" w:cs="楷体_GB2312"/>
          <w:spacing w:val="0"/>
        </w:rPr>
        <w:t>开创城乡融合发展新局面</w:t>
      </w:r>
      <w:bookmarkEnd w:id="562"/>
      <w:bookmarkEnd w:id="563"/>
      <w:bookmarkEnd w:id="564"/>
      <w:bookmarkEnd w:id="565"/>
      <w:bookmarkEnd w:id="566"/>
      <w:bookmarkEnd w:id="567"/>
    </w:p>
    <w:p>
      <w:pPr>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树立城乡一盘棋理念，</w:t>
      </w:r>
      <w:bookmarkStart w:id="569" w:name="_Hlk213318230"/>
      <w:r>
        <w:rPr>
          <w:rFonts w:hint="eastAsia" w:ascii="仿宋_GB2312" w:hAnsi="仿宋_GB2312" w:cs="仿宋_GB2312"/>
          <w:color w:val="000000" w:themeColor="text1"/>
          <w:spacing w:val="0"/>
          <w:szCs w:val="32"/>
          <w14:textFill>
            <w14:solidFill>
              <w14:schemeClr w14:val="tx1"/>
            </w14:solidFill>
          </w14:textFill>
        </w:rPr>
        <w:t>按照功能互补、特色分明、城乡一体的要求，协调推进新型城镇化和乡村振兴战略，增强首都功能承载能力，全力落实新城—小城镇—新型农村社区的新型城乡体系，以“均衡发展、极点支撑、深层协同”为原则，着力打造新城为引领，八达岭镇、康庄镇、张山营镇、永宁镇为牵引，全域镇村多元互补的“1+4+N”</w:t>
      </w:r>
      <w:r>
        <w:rPr>
          <w:rStyle w:val="40"/>
          <w:rFonts w:hint="eastAsia" w:ascii="仿宋_GB2312" w:hAnsi="仿宋_GB2312" w:cs="仿宋_GB2312"/>
          <w:color w:val="000000" w:themeColor="text1"/>
          <w:spacing w:val="0"/>
          <w:szCs w:val="32"/>
          <w14:textFill>
            <w14:solidFill>
              <w14:schemeClr w14:val="tx1"/>
            </w14:solidFill>
          </w14:textFill>
        </w:rPr>
        <w:footnoteReference w:id="1"/>
      </w:r>
      <w:r>
        <w:rPr>
          <w:rFonts w:hint="eastAsia" w:ascii="仿宋_GB2312" w:hAnsi="仿宋_GB2312" w:cs="仿宋_GB2312"/>
          <w:color w:val="000000" w:themeColor="text1"/>
          <w:spacing w:val="0"/>
          <w:szCs w:val="32"/>
          <w14:textFill>
            <w14:solidFill>
              <w14:schemeClr w14:val="tx1"/>
            </w14:solidFill>
          </w14:textFill>
        </w:rPr>
        <w:t>的城乡融合发展格局。</w:t>
      </w:r>
    </w:p>
    <w:bookmarkEnd w:id="569"/>
    <w:p>
      <w:pPr>
        <w:pStyle w:val="4"/>
        <w:numPr>
          <w:ilvl w:val="2"/>
          <w:numId w:val="0"/>
        </w:numPr>
        <w:ind w:left="616" w:leftChars="200"/>
        <w:rPr>
          <w:rFonts w:hint="eastAsia" w:ascii="仿宋_GB2312" w:hAnsi="仿宋_GB2312" w:eastAsia="仿宋_GB2312" w:cs="仿宋_GB2312"/>
          <w:b/>
          <w:bCs/>
        </w:rPr>
      </w:pPr>
      <w:bookmarkStart w:id="570" w:name="_Toc211328009"/>
      <w:bookmarkStart w:id="571" w:name="_Toc19474"/>
      <w:bookmarkStart w:id="572" w:name="_Toc24545"/>
      <w:bookmarkStart w:id="573" w:name="_Toc6990"/>
      <w:r>
        <w:rPr>
          <w:rFonts w:hint="eastAsia" w:ascii="仿宋_GB2312" w:hAnsi="仿宋_GB2312" w:eastAsia="仿宋_GB2312" w:cs="仿宋_GB2312"/>
          <w:b/>
          <w:bCs/>
        </w:rPr>
        <w:t>（一）厚植城乡融合发展基础</w:t>
      </w:r>
      <w:bookmarkEnd w:id="570"/>
      <w:bookmarkEnd w:id="571"/>
      <w:bookmarkEnd w:id="572"/>
      <w:bookmarkEnd w:id="573"/>
    </w:p>
    <w:p>
      <w:pPr>
        <w:spacing w:after="200"/>
        <w:rPr>
          <w:rFonts w:ascii="仿宋_GB2312"/>
          <w:sz w:val="30"/>
          <w:szCs w:val="30"/>
        </w:rPr>
      </w:pPr>
      <w:r>
        <w:rPr>
          <w:rFonts w:hint="eastAsia" w:ascii="仿宋_GB2312" w:hAnsi="仿宋_GB2312" w:cs="仿宋_GB2312"/>
          <w:color w:val="000000" w:themeColor="text1"/>
          <w:spacing w:val="0"/>
          <w:szCs w:val="32"/>
          <w14:textFill>
            <w14:solidFill>
              <w14:schemeClr w14:val="tx1"/>
            </w14:solidFill>
          </w14:textFill>
        </w:rPr>
        <w:t>突出以人为核心，坚持公平共享、以城带乡，深化完善城乡融合发展制度机制，推进城乡一体化建设，统筹新型城镇特色发展，优先发展农业农村，全面推进乡村振兴，提升农业农村现代化水平，构建城乡要素融合、服务融合、设施融合、经济融合的新型城乡关系。</w:t>
      </w:r>
    </w:p>
    <w:p>
      <w:pPr>
        <w:spacing w:after="200"/>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构建山川辉映、景城共融的全域风貌格局，强化本土文化特色，彰显时代风采，塑造依山就势、田屋交错、古韵质朴的建筑风貌，划定四个风貌分区。本土乡居风貌区以北部川区为核心，展现原生清新的乡愁特色；山水精韵风貌区以东部山区为核心，彰显灵动秀美的东方风韵；长城古韵风貌区以南部山区为核心，传承长城文化、承接国际交往，展现长城风采、古韵质朴的风貌形象；现代田园风貌区以中部川区为核心，展现创新发展与田园生活，塑造时尚现代、多元典雅的形象。全区建筑整体以低层、多层为主，严格管控长城保护范围及建设控制地带内建筑高度。充分展现延庆山水、林田、花海的生态自然本底特色，延续本土建筑色彩特征，确立青山溢彩、暖意质朴的整体城乡色彩意象，协调长城保护范围及建设控制地带的传统色彩基调。</w:t>
      </w:r>
    </w:p>
    <w:p>
      <w:pPr>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全面推进基础设施全域均衡化与现代化，深化城乡基础设施互联互通、公共服务普惠共享，提升农村地区基础设施和公共服务建设水平，满足人民群众生产生活需要。构建城乡一体的综合交通体系，持续高标准推进“农村四好”公路建设，提升京畿长城国家风景道、百里山水画廊等特色绿道的交旅融合服务功能，持续增加重点镇与重要节点接驳的公交线路。完善乡村市政基础设施建设，加强康庄镇、八达岭镇的供水服务能力，完成张山营镇佛峪口水厂水毁修工程，稳步推进农村电网升级改造，不断提高</w:t>
      </w:r>
      <w:r>
        <w:rPr>
          <w:rFonts w:hint="eastAsia" w:ascii="仿宋_GB2312" w:hAnsi="仿宋_GB2312" w:cs="仿宋_GB2312"/>
          <w:bCs/>
          <w:color w:val="000000" w:themeColor="text1"/>
          <w:spacing w:val="0"/>
          <w:szCs w:val="32"/>
          <w14:textFill>
            <w14:solidFill>
              <w14:schemeClr w14:val="tx1"/>
            </w14:solidFill>
          </w14:textFill>
        </w:rPr>
        <w:t>地热、抽水蓄能、风电、</w:t>
      </w:r>
      <w:r>
        <w:rPr>
          <w:rFonts w:hint="eastAsia" w:ascii="仿宋_GB2312" w:hAnsi="仿宋_GB2312" w:cs="仿宋_GB2312"/>
          <w:color w:val="000000" w:themeColor="text1"/>
          <w:spacing w:val="0"/>
          <w:szCs w:val="32"/>
          <w14:textFill>
            <w14:solidFill>
              <w14:schemeClr w14:val="tx1"/>
            </w14:solidFill>
          </w14:textFill>
        </w:rPr>
        <w:t>农光互补、林光互补等绿色低碳能源应用比例，提高乡镇垃圾转运效率，提升山区村镇韧性防灾减灾能力，有序推进险村搬迁工程。提高城乡基本公共服务水平，推进城乡标准化办学，逐步实现镇村学校全面配建图书室、音乐室、体育馆等设施和场所，完善基层医疗卫生服务体系，提高镇村养老服务专业化水平。推动人才、资本、技术下乡，鼓励在外就读大学生、热衷家乡建设事业的专业人才、经济能手、文化名人、社会名流等能人回乡参与建设。</w:t>
      </w:r>
    </w:p>
    <w:bookmarkEnd w:id="568"/>
    <w:p>
      <w:pPr>
        <w:pStyle w:val="4"/>
        <w:numPr>
          <w:ilvl w:val="2"/>
          <w:numId w:val="0"/>
        </w:numPr>
        <w:ind w:left="616" w:leftChars="200"/>
        <w:rPr>
          <w:rFonts w:hint="eastAsia" w:ascii="仿宋_GB2312" w:hAnsi="仿宋_GB2312" w:eastAsia="仿宋_GB2312" w:cs="仿宋_GB2312"/>
          <w:b/>
          <w:bCs/>
        </w:rPr>
      </w:pPr>
      <w:bookmarkStart w:id="574" w:name="_Toc204691191"/>
      <w:bookmarkStart w:id="575" w:name="_Toc27140"/>
      <w:bookmarkStart w:id="576" w:name="_Toc211328010"/>
      <w:bookmarkStart w:id="577" w:name="_Toc3367"/>
      <w:bookmarkStart w:id="578" w:name="_Toc13598"/>
      <w:r>
        <w:rPr>
          <w:rFonts w:hint="eastAsia" w:ascii="仿宋_GB2312" w:hAnsi="仿宋_GB2312" w:eastAsia="仿宋_GB2312" w:cs="仿宋_GB2312"/>
          <w:b/>
          <w:bCs/>
        </w:rPr>
        <w:t>（二）强化</w:t>
      </w:r>
      <w:bookmarkEnd w:id="574"/>
      <w:r>
        <w:rPr>
          <w:rFonts w:hint="eastAsia" w:ascii="仿宋_GB2312" w:hAnsi="仿宋_GB2312" w:eastAsia="仿宋_GB2312" w:cs="仿宋_GB2312"/>
          <w:b/>
          <w:bCs/>
        </w:rPr>
        <w:t>新型小城镇特色发展</w:t>
      </w:r>
      <w:bookmarkEnd w:id="575"/>
      <w:bookmarkEnd w:id="576"/>
      <w:bookmarkEnd w:id="577"/>
      <w:bookmarkEnd w:id="578"/>
    </w:p>
    <w:p>
      <w:pPr>
        <w:ind w:firstLine="616"/>
        <w:rPr>
          <w:rFonts w:hint="eastAsia" w:ascii="仿宋_GB2312" w:hAnsi="仿宋_GB2312" w:cs="仿宋_GB2312"/>
          <w:b/>
          <w:bCs/>
          <w:color w:val="000000" w:themeColor="text1"/>
          <w:szCs w:val="32"/>
          <w14:textFill>
            <w14:solidFill>
              <w14:schemeClr w14:val="tx1"/>
            </w14:solidFill>
          </w14:textFill>
        </w:rPr>
      </w:pPr>
      <w:r>
        <w:rPr>
          <w:rFonts w:hint="eastAsia" w:ascii="仿宋_GB2312" w:hAnsi="仿宋_GB2312" w:cs="仿宋_GB2312"/>
          <w:color w:val="000000" w:themeColor="text1"/>
          <w:szCs w:val="32"/>
          <w14:textFill>
            <w14:solidFill>
              <w14:schemeClr w14:val="tx1"/>
            </w14:solidFill>
          </w14:textFill>
        </w:rPr>
        <w:t>充分发挥小城镇连接城乡的重要枢纽作用，积极推进新型城镇化，以乡镇国土空间规划为纲领，引导产业要素和公共服务资源向镇区集中，强化镇中心区建设，提升基础设施和公共服务水平，加强绿色生态保护，推进城镇化和农业现代化融合发展，促进差异化、多元化发展。</w:t>
      </w:r>
    </w:p>
    <w:p>
      <w:pPr>
        <w:rPr>
          <w:rFonts w:hint="eastAsia" w:ascii="仿宋_GB2312" w:hAnsi="仿宋_GB2312" w:cs="仿宋_GB2312"/>
          <w:color w:val="000000" w:themeColor="text1"/>
          <w:spacing w:val="0"/>
          <w:szCs w:val="32"/>
          <w14:textFill>
            <w14:solidFill>
              <w14:schemeClr w14:val="tx1"/>
            </w14:solidFill>
          </w14:textFill>
        </w:rPr>
      </w:pPr>
      <w:bookmarkStart w:id="579" w:name="_Hlk209967651"/>
      <w:r>
        <w:rPr>
          <w:rFonts w:hint="eastAsia" w:ascii="仿宋_GB2312" w:hAnsi="仿宋_GB2312" w:cs="仿宋_GB2312"/>
          <w:color w:val="000000" w:themeColor="text1"/>
          <w:spacing w:val="0"/>
          <w:szCs w:val="32"/>
          <w14:textFill>
            <w14:solidFill>
              <w14:schemeClr w14:val="tx1"/>
            </w14:solidFill>
          </w14:textFill>
        </w:rPr>
        <w:t>构建特色分明、功能互补、融合发展的城乡特色发展格局。</w:t>
      </w:r>
      <w:bookmarkEnd w:id="579"/>
      <w:bookmarkStart w:id="580" w:name="_Hlk210032587"/>
      <w:bookmarkStart w:id="581" w:name="_Hlk209967803"/>
      <w:r>
        <w:rPr>
          <w:rFonts w:hint="eastAsia" w:ascii="仿宋_GB2312" w:hAnsi="仿宋_GB2312" w:cs="仿宋_GB2312"/>
          <w:color w:val="000000" w:themeColor="text1"/>
          <w:spacing w:val="0"/>
          <w:szCs w:val="32"/>
          <w14:textFill>
            <w14:solidFill>
              <w14:schemeClr w14:val="tx1"/>
            </w14:solidFill>
          </w14:textFill>
        </w:rPr>
        <w:t>在张山营镇、康庄镇、八达岭镇，围绕中关村延庆园、低空技术、绿色能源、医药健康、品牌旅游、都市农业进行引导形成西部文旅运动创新区。在永宁镇、旧县镇、井庄镇、香营乡，围绕生态农业、乡土文化体验、田园休闲、度假旅游进行引导形成中部绿色发展区。在四海镇、大庄科乡、千家店镇、珍珠泉乡、刘斌堡乡围绕生态山水旅游、休闲度假、特色林果业进行引导形成东部生态旅游度假区。</w:t>
      </w:r>
      <w:bookmarkEnd w:id="580"/>
    </w:p>
    <w:bookmarkEnd w:id="581"/>
    <w:p>
      <w:pPr>
        <w:rPr>
          <w:rFonts w:hint="eastAsia" w:ascii="仿宋_GB2312" w:hAnsi="仿宋_GB2312" w:cs="仿宋_GB2312"/>
          <w:color w:val="000000" w:themeColor="text1"/>
          <w:spacing w:val="0"/>
          <w:szCs w:val="32"/>
          <w14:textFill>
            <w14:solidFill>
              <w14:schemeClr w14:val="tx1"/>
            </w14:solidFill>
          </w14:textFill>
        </w:rPr>
      </w:pPr>
      <w:bookmarkStart w:id="582" w:name="_Hlk209967616"/>
      <w:r>
        <w:rPr>
          <w:rFonts w:hint="eastAsia" w:ascii="仿宋_GB2312" w:hAnsi="仿宋_GB2312" w:cs="仿宋_GB2312"/>
          <w:color w:val="000000" w:themeColor="text1"/>
          <w:spacing w:val="0"/>
          <w:szCs w:val="32"/>
          <w14:textFill>
            <w14:solidFill>
              <w14:schemeClr w14:val="tx1"/>
            </w14:solidFill>
          </w14:textFill>
        </w:rPr>
        <w:t>建设绿色创新、特色鲜明、宜居宜业的重点小城镇。八达岭镇围绕首都核心功能承载、长城国家文化公园建设、长城文化带发展需求，突出八达岭长城金名片，坚持区域生态保育和治理，遵循生态长城发展理念，重点发展文化旅游、山地自然旅游、休闲度假旅游产业，将八达岭镇建设为集聚“旅游服务、健康运动、农业休闲”功能的长城国家文化公园名镇。着力加强“国际交往和文化交流窗口、长城国家文化公园核心载体、绿色发展和区域协作门户、文旅体商农融合发展平台”四个城镇职能建设，充分发挥长城文化和林田资源特色，利用风景名胜区和中关村延庆园发展优势，优化生态环境，加强文化保护，完善基础设施、优化产业布局，大力促进一二三产业融合发展，推动城乡统筹和乡村振兴实施。</w:t>
      </w:r>
    </w:p>
    <w:bookmarkEnd w:id="582"/>
    <w:p>
      <w:pPr>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康庄镇立足生态环境与科技创新的特色优势，形成功能联动、融合发展、城乡一体的新型城镇化格局，将康庄镇建设成为蓝绿交织、城乡融合的生态科创小城镇。坚持生态优先，严守生态底线，保障首都生态安全，提升生态品质，打造延庆国际一流的生态文明示范区的先行先试区，加强环官厅水库生态圈建设，巩固京西北生态安全屏障，打造京西北绿色生态明珠。坚持科技创新，发挥中关村延庆园的特色产业集聚效应，积极承接非首都核心功能产业转移，形成北京建设科技创新中心的重要支撑，加快产业功能转型升级，提升科技创新服务能力，形成现代化科技服务体系，成为全区重要的经济增长极及科技创新引擎。坚持以人民为中心，促进城乡均衡发展，健全公共服务体系，完善基础设施建设，强化公共安全设施建设，提升城乡空间环境品质，优化城乡空间布局，打造有机蔬菜品牌，形成生态旅游特色，全面推进乡村振兴，实现镇-园-村协调发展。</w:t>
      </w:r>
    </w:p>
    <w:p>
      <w:pPr>
        <w:rPr>
          <w:rFonts w:hint="eastAsia" w:ascii="仿宋_GB2312" w:hAnsi="仿宋_GB2312" w:cs="仿宋_GB2312"/>
          <w:b/>
          <w:bCs/>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张山营镇借助冬奥契机，依托山水、农业、文化等多样化资源，打造“世界知名冬奥</w:t>
      </w:r>
      <w:r>
        <w:rPr>
          <w:rFonts w:ascii="仿宋_GB2312" w:hAnsi="仿宋_GB2312" w:cs="仿宋_GB2312"/>
          <w:color w:val="000000" w:themeColor="text1"/>
          <w:spacing w:val="0"/>
          <w:szCs w:val="32"/>
          <w14:textFill>
            <w14:solidFill>
              <w14:schemeClr w14:val="tx1"/>
            </w14:solidFill>
          </w14:textFill>
        </w:rPr>
        <w:t>小镇</w:t>
      </w:r>
      <w:r>
        <w:rPr>
          <w:rFonts w:hint="eastAsia" w:ascii="仿宋_GB2312" w:hAnsi="仿宋_GB2312" w:cs="仿宋_GB2312"/>
          <w:color w:val="000000" w:themeColor="text1"/>
          <w:spacing w:val="0"/>
          <w:szCs w:val="32"/>
          <w14:textFill>
            <w14:solidFill>
              <w14:schemeClr w14:val="tx1"/>
            </w14:solidFill>
          </w14:textFill>
        </w:rPr>
        <w:t>”。建设绿色冬奥的生态实践样板，加强松山国家级自然保护区、玉渡山区级自然保护区生物多样性及栖息地保护，持续实施官厅水库、蔡家河流域治理，开展山、蔡家河平原造林森林健康经营，传承“绿色办奥”理念，推动生态产品价值转换，打造生态样板镇；打造冰雪运动引领全域旅游典范，借助冬奥契机，深入谋划赛后产业发展，以冰雪运动引爆全域旅游。构建高度复合的休闲旅游度假产品体系，谋划全域四季旅游的长远发展。打造冬奥带动本地城镇化的示范，依托张山营镇中心区、龙聚山庄片区、延庆奥林匹克园区构建多点辐射、分级带动的城镇服务体系，支撑全域美丽乡村齐头并进，建设乡村振兴典范；延续冬奥对城镇建设的影响，建设和谐、平等、共生的新型城乡关系。打造中国冬奥村镇魅力的展示窗口，活化保护和利用冬奥场馆设施、精品村落等元素，继承和发扬冬奥文化遗产，擦亮冬奥文化名片。融合人文和生态多元文化，打造山水相映、林田交织、多元融合、本土乡居的总体风貌，塑造京北气韵、传承精粹的建筑风貌，建设多元文化交相辉映的魅力城镇。</w:t>
      </w:r>
    </w:p>
    <w:p>
      <w:pPr>
        <w:rPr>
          <w:rFonts w:hint="eastAsia" w:ascii="仿宋_GB2312" w:hAnsi="仿宋_GB2312" w:cs="仿宋_GB2312"/>
          <w:color w:val="000000" w:themeColor="text1"/>
          <w:spacing w:val="0"/>
          <w:szCs w:val="32"/>
          <w14:textFill>
            <w14:solidFill>
              <w14:schemeClr w14:val="tx1"/>
            </w14:solidFill>
          </w14:textFill>
        </w:rPr>
      </w:pPr>
      <w:bookmarkStart w:id="583" w:name="_Hlk209968059"/>
      <w:r>
        <w:rPr>
          <w:rFonts w:hint="eastAsia" w:ascii="仿宋_GB2312" w:hAnsi="仿宋_GB2312" w:cs="仿宋_GB2312"/>
          <w:color w:val="000000" w:themeColor="text1"/>
          <w:spacing w:val="0"/>
          <w:szCs w:val="32"/>
          <w14:textFill>
            <w14:solidFill>
              <w14:schemeClr w14:val="tx1"/>
            </w14:solidFill>
          </w14:textFill>
        </w:rPr>
        <w:t>永宁镇建设成为辐射中东部乡镇的综合服务中心、以永宁古城为引擎的绿色产业功能聚集区和以卫城文化为核心的文旅休闲节点，加强住宿、餐饮、购物、交通集散等旅游服务设施体系的建设与品质提升，完善教育、医疗、养老、文化等公共服务职能，形成延庆区中东部的综合服务中心。</w:t>
      </w:r>
      <w:bookmarkEnd w:id="583"/>
      <w:r>
        <w:rPr>
          <w:rFonts w:hint="eastAsia" w:ascii="仿宋_GB2312" w:hAnsi="仿宋_GB2312" w:cs="仿宋_GB2312"/>
          <w:color w:val="000000" w:themeColor="text1"/>
          <w:spacing w:val="0"/>
          <w:szCs w:val="32"/>
          <w14:textFill>
            <w14:solidFill>
              <w14:schemeClr w14:val="tx1"/>
            </w14:solidFill>
          </w14:textFill>
        </w:rPr>
        <w:t>依托延琉路、永偏路等对外交通廊道，充分发挥对中东部地区公共服务和旅游服务的辐射作用，促进资源共享和优势互补，推动中东部乡镇实现全面协调可持续发展。以完整保存且活态传承的永宁古城为核心，联动周边丰富的自然资源，发挥既有特色产业和存量产业用地资源优势，打造“永宁古城文化集聚区”，引导绿色产业向功能区聚集，形成镇域绿色产业发展引擎，推动文化旅游融合发展，依托永宁古城遗存，整合古城内文化遗产资源和戍边堡寨聚落体系，结合乡土民俗和非物质文化遗产，突出永宁古城在京西北旅游环线上的活态传承与资源稀缺优势，成为联动区域的文旅休闲节点。</w:t>
      </w:r>
    </w:p>
    <w:p>
      <w:pPr>
        <w:pStyle w:val="4"/>
        <w:numPr>
          <w:ilvl w:val="2"/>
          <w:numId w:val="0"/>
        </w:numPr>
        <w:ind w:left="616" w:leftChars="200"/>
        <w:rPr>
          <w:rFonts w:hint="eastAsia" w:ascii="仿宋_GB2312" w:hAnsi="仿宋_GB2312" w:eastAsia="仿宋_GB2312" w:cs="仿宋_GB2312"/>
          <w:b/>
          <w:bCs/>
        </w:rPr>
      </w:pPr>
      <w:bookmarkStart w:id="584" w:name="_Toc211328011"/>
      <w:bookmarkStart w:id="585" w:name="_Toc14776"/>
      <w:bookmarkStart w:id="586" w:name="_Toc7300"/>
      <w:bookmarkStart w:id="587" w:name="_Toc16969"/>
      <w:r>
        <w:rPr>
          <w:rFonts w:hint="eastAsia" w:ascii="仿宋_GB2312" w:hAnsi="仿宋_GB2312" w:eastAsia="仿宋_GB2312" w:cs="仿宋_GB2312"/>
          <w:b/>
          <w:bCs/>
        </w:rPr>
        <w:t>（三）扎实推进乡村全面振兴</w:t>
      </w:r>
      <w:bookmarkEnd w:id="584"/>
      <w:bookmarkEnd w:id="585"/>
      <w:bookmarkEnd w:id="586"/>
      <w:bookmarkEnd w:id="587"/>
    </w:p>
    <w:p>
      <w:pPr>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高标准建设新时代美丽乡村，推进示范片区组团式发展，全力打造首都生态型乡村振兴示范样板区、京郊农业农村高质量发展领航区、大都市远郊农业农村现代化创新实验区。在全域城乡特色发展区的差异引导下，指导村庄产业发展和特色资源保护，重点围绕长城文化风景带、网红路边网红村、九沟十八湾区域，抓点连线成片，梳理盘活闲置空间，导入文化体验、康养、研学、运动休闲等乡村主导产业，推动“文旅体商农”等产业深度融合，打造主题文化体验、户外运动休闲、生态康养度假、时尚艺术创意、自然研学教育、亲子游乐度假等特色乡村，将提升乡村风貌与发展产业、富裕农民紧密结合，实现产业、人才、文化、生态、组织全面振兴。</w:t>
      </w:r>
    </w:p>
    <w:p>
      <w:pPr>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立足村庄资源禀赋精准定位特色，通过“一村一主题、多村成链条”的发展模式，推动相邻村庄功能互补、产业联动，动态开展“百村示范、千村振兴”乡村振兴示范村创建，井庄片区以柳沟村乡宴、密湾村民宿为双核，联动周边村形成餐饮－住宿－户外运动产业链；八达岭片区以石峡村为中心，串联林果园、文化基地打造长城休闲产业集群；大榆树片区打造“特色种植+农事体验+文创研学”产业链，形成集采摘、观赏、农耕研学于一体的农文旅融合集群。</w:t>
      </w:r>
    </w:p>
    <w:p>
      <w:pPr>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以全域土地综合整治为手段促进城乡融合，适应宜居宜业宜游的和美乡村建设需要，对农村零散、闲置、低效建设用地进行整理盘活，统筹推进建设用地布局优化、村庄建设用地整理、废弃采矿用地复垦利用、城镇低效用地再开发，努力破解农村“土地资源闲置”与“产业发展空间缺失”的矛盾，确保城镇开发边界规模和扩展倍数不突破，整治区域内建设用地总面积不增加，推动农村集体产业用地合理有效充分利用，加快释放土地价值、拓展产业空间、优化资源配置，努力破解农村“土地资源闲置”与“产业发展空间缺失”的矛盾。为保障农民合理居住需求、乡村基础设施建设和产业发展提供用地支撑。以康庄镇为试点，到2030年底完成3个乡镇的全域土地综合整治，实施“零散地块归并”工程，通过增减挂钩政策整合闲置宅基地、废弃工矿用地，新增耕地优先用于高标准农田建设。</w:t>
      </w:r>
    </w:p>
    <w:p>
      <w:pPr>
        <w:pStyle w:val="4"/>
        <w:numPr>
          <w:ilvl w:val="2"/>
          <w:numId w:val="0"/>
        </w:numPr>
        <w:ind w:left="616" w:leftChars="200"/>
        <w:rPr>
          <w:rFonts w:hint="eastAsia" w:ascii="仿宋_GB2312" w:hAnsi="仿宋_GB2312" w:eastAsia="仿宋_GB2312" w:cs="仿宋_GB2312"/>
          <w:b/>
          <w:bCs/>
        </w:rPr>
      </w:pPr>
      <w:bookmarkStart w:id="588" w:name="_Toc21426"/>
      <w:bookmarkStart w:id="589" w:name="_Toc211328012"/>
      <w:bookmarkStart w:id="590" w:name="_Toc10818"/>
      <w:bookmarkStart w:id="591" w:name="_Toc26805"/>
      <w:r>
        <w:rPr>
          <w:rFonts w:hint="eastAsia" w:ascii="仿宋_GB2312" w:hAnsi="仿宋_GB2312" w:eastAsia="仿宋_GB2312" w:cs="仿宋_GB2312"/>
          <w:b/>
          <w:bCs/>
        </w:rPr>
        <w:t>（四）焕新特色产业格局</w:t>
      </w:r>
      <w:bookmarkEnd w:id="588"/>
      <w:bookmarkEnd w:id="589"/>
      <w:bookmarkEnd w:id="590"/>
      <w:bookmarkEnd w:id="591"/>
    </w:p>
    <w:p>
      <w:pPr>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全面建设富有活力的创新城市，加大对产业用地的支持力度，以挖潜、提质、增效为原则，着力支撑“141”现代化产业体系导入</w:t>
      </w:r>
      <w:r>
        <w:rPr>
          <w:rStyle w:val="40"/>
          <w:rFonts w:hint="eastAsia" w:ascii="仿宋_GB2312" w:hAnsi="仿宋_GB2312" w:cs="仿宋_GB2312"/>
          <w:color w:val="000000" w:themeColor="text1"/>
          <w:spacing w:val="0"/>
          <w:szCs w:val="32"/>
          <w14:textFill>
            <w14:solidFill>
              <w14:schemeClr w14:val="tx1"/>
            </w14:solidFill>
          </w14:textFill>
        </w:rPr>
        <w:footnoteReference w:id="2"/>
      </w:r>
      <w:r>
        <w:rPr>
          <w:rFonts w:hint="eastAsia" w:ascii="仿宋_GB2312" w:hAnsi="仿宋_GB2312" w:cs="仿宋_GB2312"/>
          <w:color w:val="000000" w:themeColor="text1"/>
          <w:spacing w:val="0"/>
          <w:szCs w:val="32"/>
          <w14:textFill>
            <w14:solidFill>
              <w14:schemeClr w14:val="tx1"/>
            </w14:solidFill>
          </w14:textFill>
        </w:rPr>
        <w:t>，促进新旧动能加速转换。</w:t>
      </w:r>
    </w:p>
    <w:p>
      <w:pPr>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大力发展以文旅体商农融合发展为核心的全域旅游，加强产品融合，创新推出复合型旅游产品、联动型旅游线路，强化资源融合，推进片区化、组团式旅游发展模式。充分发挥长城、世园、冬奥三张“金名片”的价值，串联区域旅游资源，引领带动延庆体育、文化、旅游全面发展。围绕各类存量景区、乡村旅游等重点领域，大力发展滑雪产业、文旅演艺、夜间经济、数字文旅、研学旅游、户外运动、文创产品研发等创新业态，推动业态融合，创新体验场景。</w:t>
      </w:r>
    </w:p>
    <w:p>
      <w:pPr>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重点培育低空技术、绿色能源、科技体育、医药健康四大产业方向，因地制宜发展若干特色产业。加强北京市低空技术创新和产业发展先导区建设，在低空安全技术攻关、低空基础设施建设、低空空域管理创新等方面先行先试；发展绿色能源科技新质生产力，重点发展绿色能源、绿色能源装备、能源互联网及新型储能等关键技术及应用，推动产业向高端化、智能化、融合化升级；全面释放后冬奥科技体育产业活力，重点发展体育人工智能、高端体育装备、体育相关专业服务等，将延庆打造成为以冰雪为特色的科技体育创新高地；构建具有延庆特色的医药健康产业，抢抓北京市未来健康产业发展机遇，充分发挥头部企业带动效应，持续发展中药、模式生物、高端医疗器械等重点方向，形成与生态涵养区功能相容、附加值高的医药健康产业格局。</w:t>
      </w:r>
    </w:p>
    <w:p>
      <w:pPr>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以组织化、规模化、科技化、品牌化为导向做优做精都市型现代农业，推进科技兴农，发展特色农业，构建支持产业发展的农业经营体系，深化农旅融合。</w:t>
      </w:r>
    </w:p>
    <w:p>
      <w:pPr>
        <w:pStyle w:val="3"/>
        <w:ind w:left="616" w:leftChars="200" w:firstLine="4" w:firstLineChars="0"/>
        <w:jc w:val="left"/>
        <w:rPr>
          <w:rFonts w:hint="eastAsia" w:ascii="楷体_GB2312" w:hAnsi="楷体_GB2312" w:eastAsia="楷体_GB2312" w:cs="楷体_GB2312"/>
          <w:spacing w:val="0"/>
        </w:rPr>
      </w:pPr>
      <w:bookmarkStart w:id="592" w:name="_Toc31441"/>
      <w:bookmarkStart w:id="593" w:name="_Toc20531"/>
      <w:bookmarkStart w:id="594" w:name="_Toc22312"/>
      <w:bookmarkStart w:id="595" w:name="_Toc14185"/>
      <w:bookmarkStart w:id="596" w:name="_Toc211328013"/>
      <w:bookmarkStart w:id="597" w:name="_Toc12340"/>
      <w:r>
        <w:rPr>
          <w:rFonts w:hint="eastAsia" w:ascii="楷体_GB2312" w:hAnsi="楷体_GB2312" w:eastAsia="楷体_GB2312" w:cs="楷体_GB2312"/>
          <w:spacing w:val="0"/>
        </w:rPr>
        <w:t>促进非建设空间提质增效</w:t>
      </w:r>
      <w:bookmarkEnd w:id="592"/>
      <w:bookmarkEnd w:id="593"/>
      <w:bookmarkEnd w:id="594"/>
      <w:bookmarkEnd w:id="595"/>
      <w:bookmarkEnd w:id="596"/>
      <w:bookmarkEnd w:id="597"/>
    </w:p>
    <w:p>
      <w:pPr>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坚持生态立区发展观，全力落实“首都西部重点生态保育及区域生态治理协作区、生态文明示范区”功能定位。落实“三区三线”空间管控要求，强化耕地和永久基本农田、生态保护红线、城镇开发边界三条控制线对国土空间开发保护基本格局的刚性管控和战略引领作用，推动三条控制线统筹落地。加强生态环境保护，巩固首都绿色生态基础。统筹推进生态修复，提升生态系统质量和稳定性，深化区域协同治理。推动绿色可持续发展，拓展多元“绿色经济”路径。建设国际一流的生态文明示范区、宜居宜游的生态发展引领区、人与自然和谐共生的美丽延庆。</w:t>
      </w:r>
    </w:p>
    <w:p>
      <w:pPr>
        <w:pStyle w:val="4"/>
        <w:numPr>
          <w:ilvl w:val="2"/>
          <w:numId w:val="0"/>
        </w:numPr>
        <w:ind w:left="616" w:leftChars="200"/>
        <w:rPr>
          <w:rFonts w:hint="eastAsia" w:ascii="仿宋_GB2312" w:hAnsi="仿宋_GB2312" w:eastAsia="仿宋_GB2312" w:cs="仿宋_GB2312"/>
          <w:b/>
          <w:bCs/>
        </w:rPr>
      </w:pPr>
      <w:bookmarkStart w:id="598" w:name="_Toc29231"/>
      <w:bookmarkStart w:id="599" w:name="_Toc211328014"/>
      <w:bookmarkStart w:id="600" w:name="_Toc3354"/>
      <w:bookmarkStart w:id="601" w:name="_Toc2639"/>
      <w:r>
        <w:rPr>
          <w:rFonts w:hint="eastAsia" w:ascii="仿宋_GB2312" w:hAnsi="仿宋_GB2312" w:eastAsia="仿宋_GB2312" w:cs="仿宋_GB2312"/>
          <w:b/>
          <w:bCs/>
        </w:rPr>
        <w:t>（一）强化生态格局管控，筑牢首都西部生态屏障</w:t>
      </w:r>
      <w:bookmarkEnd w:id="598"/>
      <w:bookmarkEnd w:id="599"/>
      <w:bookmarkEnd w:id="600"/>
      <w:bookmarkEnd w:id="601"/>
    </w:p>
    <w:p>
      <w:pPr>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坚持“一张蓝图绘到底”，持续优化以山区、川区、河道及交通生态绿化廊道、大型绿色空间构成的生态空间格局。统筹山水林田湖草各类生态要素，严守生态底线，统筹生态保护红线、永久基本农田及永久基本农田储备区、自然保护地及其他具有重要生态价值区域，严守生态管控边界，强化底线管控和保护保育，保障重要生态空间安全，巩固生态系统碳汇能力，实现重要生态空间的全域保护和质量提升。</w:t>
      </w:r>
    </w:p>
    <w:p>
      <w:pPr>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强化水域空间管控，提升水生态系统质量。持续落实规划水域用地，落实延庆区河道蓝线、地表水源保护区、水厂水源井及其保护范围，加强水生态空间保障；加强本地水源涵养，提升官厅水库水质，恢复官厅水库饮用水水源功能，加强对白河堡水库的水源保护，强化水环境治理；补齐防洪工程短板，强化水库安全管理与调度，打通行洪通道，加强极端降雨应对能力；提升水环境品质，提高水生态系统质量，对现状河道进行生态清淤，加强水系连通，打造滨水生态廊道，营造滨水景观，提高滨水空间生物多样性。</w:t>
      </w:r>
    </w:p>
    <w:p>
      <w:pPr>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优化高质量农田安全格局，加强耕地三位一体保护。严守耕地规模底线，严格保护永久基本农田。统筹实施农用地集中连片整治、质量提升和生态化改造。强化农田质量建设，优先在永久基本农田上开展高标准农田建设，补齐农田基础设施短板，提升农田质量。引导零星、破碎、散乱的农田集中连片布局，推进农田空间内违法建设用地腾退复垦和零星其他非耕农用地整理，打造百亩园、千亩方、万亩片。推进农田生态建设，加强农田防护林建设，开展农业面源污染防控，提升农田生态服务功能。</w:t>
      </w:r>
    </w:p>
    <w:p>
      <w:pPr>
        <w:spacing w:line="540" w:lineRule="exact"/>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构建林地生态安全格局，提升森林生态系统服务功能。系统加强“大林”空间的布局优化，营造大尺度绿色生态空间。完善生态涵养保护区、生态景观发展区、风沙治理与环境保护区建设，强化山区林地水源涵养与生态屏障功能，推进八达岭森林生态系统综合治理；拓展绿色生态空间，加强川区造林绿化工程建设，引导林地集中连片布局，增加植被碳储量；优化现有植被结构，全面建设以林木为主、乔灌搭配、分布自然、功能高效、景观优美的城市森林生态体系，提升南部山区森林抚育功能；构建生态游憩网络，积极推进绿道建设，形成城乡一体、景城互融的生态休闲游憩体系，着力优化环境品质。</w:t>
      </w:r>
    </w:p>
    <w:p>
      <w:pPr>
        <w:spacing w:line="540" w:lineRule="exact"/>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健全生物安全格局，完善生物多样性保护体系。以生态优先、绿色发展为导向，结合水源涵养、生物多样性、生态屏障及人居环境优势，着力打造生物多样性示范区。强化生物源地和生态保护红线的刚性管控，保护区域生物栖息地和生态系统的完整性和健康性。不断优化松山－玉渡山－太安山－龙庆峡生物多样性保护格局，促进自然保护地及其周边区域栖息地质量逐渐提升。构建生态廊道修复系统，加强生物迁徙廊道建设，形成生物多样性保护网络，加强生物栖息地受损区域保护和生态修复，逐步恢复生境，提高生物多样性。</w:t>
      </w:r>
    </w:p>
    <w:p>
      <w:pPr>
        <w:pStyle w:val="4"/>
        <w:numPr>
          <w:ilvl w:val="2"/>
          <w:numId w:val="0"/>
        </w:numPr>
        <w:spacing w:line="540" w:lineRule="exact"/>
        <w:ind w:left="616" w:leftChars="200"/>
        <w:rPr>
          <w:rFonts w:hint="eastAsia" w:ascii="仿宋_GB2312" w:hAnsi="仿宋_GB2312" w:eastAsia="仿宋_GB2312" w:cs="仿宋_GB2312"/>
          <w:b/>
          <w:bCs/>
        </w:rPr>
      </w:pPr>
      <w:bookmarkStart w:id="602" w:name="_Toc8260"/>
      <w:bookmarkStart w:id="603" w:name="_Toc211328015"/>
      <w:bookmarkStart w:id="604" w:name="_Toc13330"/>
      <w:bookmarkStart w:id="605" w:name="_Toc13778"/>
      <w:r>
        <w:rPr>
          <w:rFonts w:hint="eastAsia" w:ascii="仿宋_GB2312" w:hAnsi="仿宋_GB2312" w:eastAsia="仿宋_GB2312" w:cs="仿宋_GB2312"/>
          <w:b/>
          <w:bCs/>
        </w:rPr>
        <w:t>（二）推进系统修复治理，提升国土空间生态功能</w:t>
      </w:r>
      <w:bookmarkEnd w:id="602"/>
      <w:bookmarkEnd w:id="603"/>
      <w:bookmarkEnd w:id="604"/>
      <w:bookmarkEnd w:id="605"/>
    </w:p>
    <w:p>
      <w:pPr>
        <w:spacing w:line="540" w:lineRule="exact"/>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强化国土空间系统修复。推进生态系统整体保护，强化山水林田湖草系统修复，加强对生态系统质量受损、生态功能退化、生态过程受阻的重要生态斑块、廊道等开展生态系统修复，提升生态系统质量和服务功能，提高重要生态功能区碳汇能力。加强重点地区综合整治，持续推进新城环境提升与生境修复，开展小微绿地建设，加强拆违腾退用地生态修复，实现复耕复绿复蓝，增加绿色开敞空间，增强生态网络连通性，提升安全格局整体效能，提升区域生态功能和生态系统稳定性。</w:t>
      </w:r>
    </w:p>
    <w:p>
      <w:pPr>
        <w:spacing w:line="540" w:lineRule="exact"/>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落实重点区域修复治理。开展官厅水库－妫河流域水源地保护与生态修复，开展河道综合整治，加强湿地生境修复，提升湿地生态质量，实施蔡家河水环境综合整治与生态修复项目；有序推进川区农田整治与水生态修复，推动川区耕地质量建设与田园景观提升，加强高标准农田建设，发展绿色高效的现代化农业；实施白河堡水库－白河流域森林保育与水源涵养功能提升工程，加强白河流域森林生态系统综合治理，提升森林质量；稳步推进松山－玉渡山生物多样性保护与修复，加强松山地区森林生态系统保育，完善重要生物源地与迁徙廊道体系；逐步开展南部山区森林生态修复与生态屏障功能提升，加强森林抚育，构筑稳定健康的森林生态系统。</w:t>
      </w:r>
    </w:p>
    <w:p>
      <w:pPr>
        <w:pStyle w:val="4"/>
        <w:numPr>
          <w:ilvl w:val="2"/>
          <w:numId w:val="0"/>
        </w:numPr>
        <w:spacing w:line="540" w:lineRule="exact"/>
        <w:ind w:left="616" w:leftChars="200"/>
        <w:rPr>
          <w:rFonts w:hint="eastAsia" w:ascii="仿宋_GB2312" w:hAnsi="仿宋_GB2312" w:eastAsia="仿宋_GB2312" w:cs="仿宋_GB2312"/>
          <w:b/>
          <w:bCs/>
        </w:rPr>
      </w:pPr>
      <w:bookmarkStart w:id="606" w:name="_Toc16049"/>
      <w:bookmarkStart w:id="607" w:name="_Toc22529"/>
      <w:bookmarkStart w:id="608" w:name="_Toc211328016"/>
      <w:bookmarkStart w:id="609" w:name="_Toc32537"/>
      <w:r>
        <w:rPr>
          <w:rFonts w:hint="eastAsia" w:ascii="仿宋_GB2312" w:hAnsi="仿宋_GB2312" w:eastAsia="仿宋_GB2312" w:cs="仿宋_GB2312"/>
          <w:b/>
          <w:bCs/>
        </w:rPr>
        <w:t>（三）创新绿色发展场景，拓展多元生态价值转化</w:t>
      </w:r>
      <w:bookmarkEnd w:id="606"/>
      <w:bookmarkEnd w:id="607"/>
      <w:bookmarkEnd w:id="608"/>
      <w:bookmarkEnd w:id="609"/>
    </w:p>
    <w:p>
      <w:pPr>
        <w:spacing w:line="540" w:lineRule="exact"/>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推进国家生态产品价值实现机制试点建设，落实《延庆区国家生态产品价值实现机制试点实施方案（2025-2027）》，建立健全生态产品价值实现机制，力争推出一批具有引领示范意义的试点成果。</w:t>
      </w:r>
    </w:p>
    <w:p>
      <w:pPr>
        <w:spacing w:line="540" w:lineRule="exact"/>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营造公园活力新场景。不断创新“两山”转化路径，构建“城园融合－花园经济”发展模式，融入花园经济、无界公园、宠物友好、全龄友好公园等新理念、新功能，持续提升公园品质，布局绿色消费新场景，拓展公园多元运营业态，推出“一园一景一体验”，提升公园自我造血能力，丰富绿色游憩体系及配套设施，满足市民多样化、品质化的美好生活需求。</w:t>
      </w:r>
    </w:p>
    <w:p>
      <w:pPr>
        <w:spacing w:line="540" w:lineRule="exact"/>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塑造弹性滨水新场景。拓展“功能复合－水岸经济”模式，推进“一河两岸”弹性滨水空间生态更新改造，推进水岸经济发展。加快妫水河滨水空间提升改造和滨水健身步道系统建设，强化智慧交互休闲体验，发展滨水微度假，打造高品质的滨水空间，促进延庆区“康养+休闲”的水岸经济发展，打造高品质滨水康养休闲体验。</w:t>
      </w:r>
    </w:p>
    <w:p>
      <w:pPr>
        <w:spacing w:line="540" w:lineRule="exact"/>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构建森林碳汇新场景。培育“立体共生-林下经济”模式，推动发展森林旅游、森林康养、森林园艺、自然教育、户外拓展等产业，强化林下经济建设。探索“林游”“林草”发展路径，促进产业融合发展。打造碳中和林带，巩固提升林业碳汇能力，加强CCER林业碳汇核算，强化生态系统碳汇监测，推动GEP总量和质量双提升，打造生态文明先行示范样板。</w:t>
      </w:r>
    </w:p>
    <w:p>
      <w:pPr>
        <w:spacing w:line="540" w:lineRule="exact"/>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打造都市型现代农业休闲场景。加快推进农业现代化，促进优质农田提质增效，延伸农业产业链，推动农业与科技、文旅等深度融合发展，联动园艺观光、展示交易以及民宿休闲等功能，拓展现代农业休闲、农业体验文化创意功能，大力发展休闲农业，做强“妫水农耕”区域公用品牌，推动高品质农产品供给，打造“乐享妫川”精品线路，全面提升改造星级休闲农业园区，构建高质量农业发展格局。</w:t>
      </w:r>
    </w:p>
    <w:p>
      <w:pPr>
        <w:spacing w:line="540" w:lineRule="exact"/>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拓展生态旅游体验场景。聚焦产业融合，拓展文旅融合发展内涵，大力推动旅游业与文化创意、现代园艺、冰雪体育、新能源节能环保、无人机绿色高精尖产业、康养休闲等产业深度融合，培育新业态、开拓新场景、延伸价值链，稳步推进百里山水画廊京北休闲康养产业带改造提升项目、野鸭湖微度假区建设、世界葡萄博览园（世葡园）运营提升。聚焦景区品质，增强生态旅游支撑能力，提升交旅融合绿色出行配套水平，不断完善绿色低碳景区建设，开展文旅生态产品认证，推广游客碳汇积分“护照”。</w:t>
      </w:r>
    </w:p>
    <w:p>
      <w:pPr>
        <w:spacing w:line="540" w:lineRule="exact"/>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发展生态观鸟经济。结合生物多样性优势，开展鸟类栖息地保护与修复，完善科普宣教体系和鸟类救护体系，塑造优质观鸟环境，推出观鸟精品路线，营建特色拍（观）鸟点、观鸟民宿等区域，形成观鸟特色产业链，打响延庆区生态观鸟品牌。</w:t>
      </w:r>
    </w:p>
    <w:p>
      <w:pPr>
        <w:pStyle w:val="4"/>
        <w:numPr>
          <w:ilvl w:val="2"/>
          <w:numId w:val="0"/>
        </w:numPr>
        <w:spacing w:line="540" w:lineRule="exact"/>
        <w:ind w:left="616" w:leftChars="200"/>
        <w:rPr>
          <w:rFonts w:hint="eastAsia" w:ascii="仿宋_GB2312" w:hAnsi="仿宋_GB2312" w:eastAsia="仿宋_GB2312" w:cs="仿宋_GB2312"/>
          <w:b/>
          <w:bCs/>
        </w:rPr>
      </w:pPr>
      <w:bookmarkStart w:id="610" w:name="_Toc211328017"/>
      <w:bookmarkStart w:id="611" w:name="_Toc21102"/>
      <w:bookmarkStart w:id="612" w:name="_Toc13923"/>
      <w:bookmarkStart w:id="613" w:name="_Toc20649"/>
      <w:r>
        <w:rPr>
          <w:rFonts w:hint="eastAsia" w:ascii="仿宋_GB2312" w:hAnsi="仿宋_GB2312" w:eastAsia="仿宋_GB2312" w:cs="仿宋_GB2312"/>
          <w:b/>
          <w:bCs/>
        </w:rPr>
        <w:t>（四）深化区域协同治理，共建京津冀生态一体化格局</w:t>
      </w:r>
      <w:bookmarkEnd w:id="610"/>
      <w:bookmarkEnd w:id="611"/>
      <w:bookmarkEnd w:id="612"/>
      <w:bookmarkEnd w:id="613"/>
    </w:p>
    <w:p>
      <w:pPr>
        <w:spacing w:line="540" w:lineRule="exact"/>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聚焦区域生态综合治理，加强与密云区、怀柔区、张家口市在生态保育、生态防控等领域的联防联动，共同提升区域生态涵养水平，共建首都西北生态防护带和环首都森林湿地公园环。“十五五”期间重点实施燕山山地南部生态综合治理工程，全力推进燕山—塞罕坝国家公园创建，持续加强官厅水库流域协同治理。</w:t>
      </w:r>
    </w:p>
    <w:p>
      <w:pPr>
        <w:spacing w:line="540" w:lineRule="exact"/>
        <w:rPr>
          <w:rFonts w:hint="eastAsia" w:ascii="仿宋_GB2312" w:hAnsi="仿宋_GB2312" w:cs="仿宋_GB2312"/>
          <w:color w:val="000000" w:themeColor="text1"/>
          <w:spacing w:val="0"/>
          <w:szCs w:val="32"/>
          <w14:textFill>
            <w14:solidFill>
              <w14:schemeClr w14:val="tx1"/>
            </w14:solidFill>
          </w14:textFill>
        </w:rPr>
      </w:pPr>
      <w:r>
        <w:rPr>
          <w:rFonts w:hint="eastAsia" w:ascii="仿宋_GB2312" w:hAnsi="仿宋_GB2312" w:cs="仿宋_GB2312"/>
          <w:color w:val="000000" w:themeColor="text1"/>
          <w:spacing w:val="0"/>
          <w:szCs w:val="32"/>
          <w14:textFill>
            <w14:solidFill>
              <w14:schemeClr w14:val="tx1"/>
            </w14:solidFill>
          </w14:textFill>
        </w:rPr>
        <w:t>深化京津冀地区协同共护，促进区域水环境系统协同共治，加强延怀赤三地密切配合，在强化生态协同治理等方面深入合作，筑牢首都生态安全防线，协同推进重点生态修复工程。推进长城文化带建设，强化文化遗产的全面保护与合理利用，彰显其深厚的历史文化价值。</w:t>
      </w:r>
    </w:p>
    <w:p>
      <w:pPr>
        <w:pStyle w:val="34"/>
        <w:spacing w:before="156" w:after="156"/>
        <w:rPr>
          <w:rFonts w:hint="eastAsia"/>
          <w:spacing w:val="0"/>
        </w:rPr>
      </w:pPr>
      <w:bookmarkStart w:id="614" w:name="_Toc31570"/>
      <w:bookmarkStart w:id="615" w:name="_Toc8455"/>
      <w:bookmarkStart w:id="616" w:name="_Toc9685"/>
      <w:bookmarkStart w:id="617" w:name="_Toc20595"/>
      <w:bookmarkStart w:id="618" w:name="_Toc23280"/>
      <w:r>
        <w:rPr>
          <w:rFonts w:hint="eastAsia"/>
          <w:spacing w:val="0"/>
        </w:rPr>
        <w:t>加快实施城市更新行动</w:t>
      </w:r>
      <w:bookmarkEnd w:id="614"/>
      <w:bookmarkEnd w:id="615"/>
      <w:bookmarkEnd w:id="616"/>
      <w:bookmarkEnd w:id="617"/>
      <w:bookmarkEnd w:id="618"/>
    </w:p>
    <w:p>
      <w:pPr>
        <w:pStyle w:val="3"/>
        <w:ind w:left="616" w:leftChars="200" w:firstLine="4" w:firstLineChars="0"/>
        <w:jc w:val="left"/>
        <w:rPr>
          <w:rFonts w:hint="eastAsia" w:ascii="楷体_GB2312" w:hAnsi="楷体_GB2312" w:eastAsia="楷体_GB2312" w:cs="楷体_GB2312"/>
          <w:spacing w:val="0"/>
        </w:rPr>
      </w:pPr>
      <w:bookmarkStart w:id="619" w:name="_Toc11672"/>
      <w:bookmarkStart w:id="620" w:name="_Toc17273"/>
      <w:bookmarkStart w:id="621" w:name="_Toc3009"/>
      <w:bookmarkStart w:id="622" w:name="_Toc7217"/>
      <w:bookmarkStart w:id="623" w:name="_Toc29464"/>
      <w:r>
        <w:rPr>
          <w:rFonts w:hint="eastAsia" w:ascii="楷体_GB2312" w:hAnsi="楷体_GB2312" w:eastAsia="楷体_GB2312" w:cs="楷体_GB2312"/>
          <w:spacing w:val="0"/>
        </w:rPr>
        <w:t>从“补短板”到“增引力”的工作重点转变</w:t>
      </w:r>
      <w:bookmarkEnd w:id="619"/>
      <w:bookmarkEnd w:id="620"/>
      <w:bookmarkEnd w:id="621"/>
      <w:bookmarkEnd w:id="622"/>
      <w:bookmarkEnd w:id="623"/>
    </w:p>
    <w:p>
      <w:pPr>
        <w:rPr>
          <w:rFonts w:hint="eastAsia" w:ascii="仿宋_GB2312" w:hAnsi="仿宋_GB2312" w:cs="仿宋_GB2312"/>
          <w:spacing w:val="0"/>
          <w:szCs w:val="32"/>
        </w:rPr>
      </w:pPr>
      <w:r>
        <w:rPr>
          <w:rFonts w:hint="eastAsia" w:ascii="仿宋_GB2312" w:hAnsi="仿宋_GB2312" w:cs="仿宋_GB2312"/>
          <w:spacing w:val="0"/>
          <w:szCs w:val="32"/>
        </w:rPr>
        <w:t>以城市更新作为实现规划的重要途径，把规划作为指导管理城市更新的基本遵循，激发市场活力，增强发展动力。注重项目谋划与落地实施，立足生态涵养区功能定位，契合延庆区核心资源特色价值，以“建设创新、宜居、美丽、韧性、文明、智慧的现代化人民城市”为导向，通过工作重点的转变，提升环境吸引力、产业竞争力、文化影响力、城市宜居力、服务保障力，建设国际一流生态文明示范区。</w:t>
      </w:r>
    </w:p>
    <w:p>
      <w:pPr>
        <w:pStyle w:val="4"/>
        <w:numPr>
          <w:ilvl w:val="2"/>
          <w:numId w:val="0"/>
        </w:numPr>
        <w:ind w:left="616" w:leftChars="200"/>
        <w:rPr>
          <w:rFonts w:hint="eastAsia" w:ascii="仿宋_GB2312" w:hAnsi="仿宋_GB2312" w:eastAsia="仿宋_GB2312" w:cs="仿宋_GB2312"/>
          <w:b/>
          <w:bCs/>
        </w:rPr>
      </w:pPr>
      <w:bookmarkStart w:id="624" w:name="_Toc7379"/>
      <w:bookmarkStart w:id="625" w:name="_Toc6131"/>
      <w:bookmarkStart w:id="626" w:name="_Toc2628"/>
      <w:r>
        <w:rPr>
          <w:rFonts w:hint="eastAsia" w:ascii="仿宋_GB2312" w:hAnsi="仿宋_GB2312" w:eastAsia="仿宋_GB2312" w:cs="仿宋_GB2312"/>
          <w:b/>
          <w:bCs/>
        </w:rPr>
        <w:t>（一）转变城市发展理念，更加注重以人为本</w:t>
      </w:r>
      <w:bookmarkEnd w:id="624"/>
      <w:bookmarkEnd w:id="625"/>
      <w:bookmarkEnd w:id="626"/>
    </w:p>
    <w:p>
      <w:pPr>
        <w:rPr>
          <w:rFonts w:hint="eastAsia" w:ascii="仿宋_GB2312" w:hAnsi="仿宋_GB2312" w:cs="仿宋_GB2312"/>
          <w:spacing w:val="0"/>
          <w:szCs w:val="32"/>
        </w:rPr>
      </w:pPr>
      <w:r>
        <w:rPr>
          <w:rFonts w:hint="eastAsia" w:ascii="仿宋_GB2312" w:hAnsi="仿宋_GB2312" w:cs="仿宋_GB2312"/>
          <w:spacing w:val="0"/>
          <w:szCs w:val="32"/>
        </w:rPr>
        <w:t>践行人民城市理念，构建“以人为本”新标尺。针对延庆区当前人口增长动力不足、外部资源与人才吸引力偏弱的现实挑战，城市更新需在保障“本地”居民需求基础上，重点聚焦“外来”产业人群、旅居人群、休闲人群的综合诉求。基于人群需求，建立低效与更新空间判定“标尺”，建立人群需求和城市需求“标尺”，建立系统更新体系评价“标尺”，系统指导城市整体更新体系建立和更新项目谋划。</w:t>
      </w:r>
    </w:p>
    <w:p>
      <w:pPr>
        <w:pStyle w:val="4"/>
        <w:numPr>
          <w:ilvl w:val="2"/>
          <w:numId w:val="0"/>
        </w:numPr>
        <w:ind w:left="616" w:leftChars="200"/>
        <w:rPr>
          <w:rFonts w:hint="eastAsia" w:ascii="仿宋_GB2312" w:hAnsi="仿宋_GB2312" w:eastAsia="仿宋_GB2312" w:cs="仿宋_GB2312"/>
          <w:b/>
          <w:bCs/>
        </w:rPr>
      </w:pPr>
      <w:bookmarkStart w:id="627" w:name="_Toc29570"/>
      <w:bookmarkStart w:id="628" w:name="_Toc24483"/>
      <w:bookmarkStart w:id="629" w:name="_Toc17292"/>
      <w:r>
        <w:rPr>
          <w:rFonts w:hint="eastAsia" w:ascii="仿宋_GB2312" w:hAnsi="仿宋_GB2312" w:eastAsia="仿宋_GB2312" w:cs="仿宋_GB2312"/>
          <w:b/>
          <w:bCs/>
        </w:rPr>
        <w:t>（二）转变城市发展方式，更加注重集约高效</w:t>
      </w:r>
      <w:bookmarkEnd w:id="627"/>
      <w:bookmarkEnd w:id="628"/>
      <w:bookmarkEnd w:id="629"/>
    </w:p>
    <w:p>
      <w:pPr>
        <w:rPr>
          <w:rFonts w:hint="eastAsia" w:ascii="仿宋_GB2312" w:hAnsi="仿宋_GB2312" w:cs="仿宋_GB2312"/>
          <w:spacing w:val="0"/>
          <w:szCs w:val="32"/>
        </w:rPr>
      </w:pPr>
      <w:r>
        <w:rPr>
          <w:rFonts w:hint="eastAsia" w:ascii="仿宋_GB2312" w:hAnsi="仿宋_GB2312" w:cs="仿宋_GB2312"/>
          <w:spacing w:val="0"/>
          <w:szCs w:val="32"/>
        </w:rPr>
        <w:t>坚持内涵发展主线，探索“增存联动”新模式。空间资源从分散向集聚转化，突破单点项目局限，立足重点片区的成片开发逻辑，实现资源高效集约利用。通过存量空间提质与增量空间赋能的双向联动，推动城市功能结构优化、空间结构优化，划定重点更新片区，谋划重点更新项目，落实区域整体谋划和资金平衡测算。</w:t>
      </w:r>
    </w:p>
    <w:p>
      <w:pPr>
        <w:pStyle w:val="4"/>
        <w:numPr>
          <w:ilvl w:val="2"/>
          <w:numId w:val="0"/>
        </w:numPr>
        <w:ind w:left="616" w:leftChars="200"/>
        <w:rPr>
          <w:rFonts w:hint="eastAsia" w:ascii="仿宋_GB2312" w:hAnsi="仿宋_GB2312" w:eastAsia="仿宋_GB2312" w:cs="仿宋_GB2312"/>
          <w:b/>
          <w:bCs/>
        </w:rPr>
      </w:pPr>
      <w:bookmarkStart w:id="630" w:name="_Toc17490"/>
      <w:bookmarkStart w:id="631" w:name="_Toc6296"/>
      <w:bookmarkStart w:id="632" w:name="_Toc29265"/>
      <w:r>
        <w:rPr>
          <w:rFonts w:hint="eastAsia" w:ascii="仿宋_GB2312" w:hAnsi="仿宋_GB2312" w:eastAsia="仿宋_GB2312" w:cs="仿宋_GB2312"/>
          <w:b/>
          <w:bCs/>
        </w:rPr>
        <w:t>（三）转变城市发展动力，更加注重特色发展</w:t>
      </w:r>
      <w:bookmarkEnd w:id="630"/>
      <w:bookmarkEnd w:id="631"/>
      <w:bookmarkEnd w:id="632"/>
    </w:p>
    <w:p>
      <w:pPr>
        <w:rPr>
          <w:rFonts w:hint="eastAsia" w:ascii="仿宋_GB2312" w:hAnsi="仿宋_GB2312" w:cs="仿宋_GB2312"/>
          <w:spacing w:val="0"/>
          <w:szCs w:val="32"/>
        </w:rPr>
      </w:pPr>
      <w:r>
        <w:rPr>
          <w:rFonts w:hint="eastAsia" w:ascii="仿宋_GB2312" w:hAnsi="仿宋_GB2312" w:cs="仿宋_GB2312"/>
          <w:spacing w:val="0"/>
          <w:szCs w:val="32"/>
        </w:rPr>
        <w:t>激发特色创新活力，打造“多业融合”新场景。激发城市创新活力，立足延庆区生态资源优势，依托三张“金名片”，创新“生态+”“文化+”“冰雪+”三类新场景。加强科技和文化赋能，打造核心竞争力。推动资源潜力向发展优势转化，激活城市发展新动能，增强城市发展的内生新动力、塑造竞争新优势。</w:t>
      </w:r>
    </w:p>
    <w:p>
      <w:pPr>
        <w:pStyle w:val="4"/>
        <w:numPr>
          <w:ilvl w:val="2"/>
          <w:numId w:val="0"/>
        </w:numPr>
        <w:ind w:left="616" w:leftChars="200"/>
        <w:rPr>
          <w:rFonts w:hint="eastAsia" w:ascii="仿宋_GB2312" w:hAnsi="仿宋_GB2312" w:eastAsia="仿宋_GB2312" w:cs="仿宋_GB2312"/>
          <w:b/>
          <w:bCs/>
        </w:rPr>
      </w:pPr>
      <w:bookmarkStart w:id="633" w:name="_Toc21517"/>
      <w:bookmarkStart w:id="634" w:name="_Toc24320"/>
      <w:bookmarkStart w:id="635" w:name="_Toc11297"/>
      <w:r>
        <w:rPr>
          <w:rFonts w:hint="eastAsia" w:ascii="仿宋_GB2312" w:hAnsi="仿宋_GB2312" w:eastAsia="仿宋_GB2312" w:cs="仿宋_GB2312"/>
          <w:b/>
          <w:bCs/>
        </w:rPr>
        <w:t>（四）转变城市工作重心，更加注重治理投入</w:t>
      </w:r>
      <w:bookmarkEnd w:id="633"/>
      <w:bookmarkEnd w:id="634"/>
      <w:bookmarkEnd w:id="635"/>
    </w:p>
    <w:p>
      <w:pPr>
        <w:rPr>
          <w:rFonts w:hint="eastAsia" w:ascii="仿宋_GB2312" w:hAnsi="仿宋_GB2312" w:cs="仿宋_GB2312"/>
          <w:spacing w:val="0"/>
          <w:szCs w:val="32"/>
        </w:rPr>
      </w:pPr>
      <w:r>
        <w:rPr>
          <w:rFonts w:hint="eastAsia" w:ascii="仿宋_GB2312" w:hAnsi="仿宋_GB2312" w:cs="仿宋_GB2312"/>
          <w:spacing w:val="0"/>
          <w:szCs w:val="32"/>
        </w:rPr>
        <w:t>谋划重点示范项目，打造“生态涵养”新标杆。通过“运营前置锚定方向、设计贯穿强化品质、政策兜底保障落地”的协同发力，谋划“特色化、标杆性”城市更新项目。结合城市体检，组织编制延庆区城市更新专项规划，以中长期发展需求为主，确定城市更新五年期的总体目标及年度工作目标。划定更新片区、建立城市更新项目库。针对重点片区，加强功能业态策划研究，明确更新内容，形成详细设计方案。具体项目实施方案重点考虑项目更新建设的可实施性和落地性，明确更新方式、资金模式与运营方式，形成建筑更新改造方案与环境提升景观设计方案。</w:t>
      </w:r>
    </w:p>
    <w:p>
      <w:pPr>
        <w:pStyle w:val="4"/>
        <w:numPr>
          <w:ilvl w:val="2"/>
          <w:numId w:val="0"/>
        </w:numPr>
        <w:ind w:left="616" w:leftChars="200"/>
        <w:rPr>
          <w:rFonts w:hint="eastAsia" w:ascii="仿宋_GB2312" w:hAnsi="仿宋_GB2312" w:eastAsia="仿宋_GB2312" w:cs="仿宋_GB2312"/>
          <w:b/>
          <w:bCs/>
        </w:rPr>
      </w:pPr>
      <w:bookmarkStart w:id="636" w:name="_Toc26357"/>
      <w:bookmarkStart w:id="637" w:name="_Toc23523"/>
      <w:bookmarkStart w:id="638" w:name="_Toc6033"/>
      <w:r>
        <w:rPr>
          <w:rFonts w:hint="eastAsia" w:ascii="仿宋_GB2312" w:hAnsi="仿宋_GB2312" w:eastAsia="仿宋_GB2312" w:cs="仿宋_GB2312"/>
          <w:b/>
          <w:bCs/>
        </w:rPr>
        <w:t>（五）转变城市工作方法，更加注重统筹协调</w:t>
      </w:r>
      <w:bookmarkEnd w:id="636"/>
      <w:bookmarkEnd w:id="637"/>
      <w:bookmarkEnd w:id="638"/>
    </w:p>
    <w:p>
      <w:pPr>
        <w:rPr>
          <w:rFonts w:hint="eastAsia" w:ascii="仿宋_GB2312" w:hAnsi="仿宋_GB2312" w:cs="仿宋_GB2312"/>
          <w:spacing w:val="0"/>
          <w:szCs w:val="32"/>
        </w:rPr>
      </w:pPr>
      <w:r>
        <w:rPr>
          <w:rFonts w:hint="eastAsia" w:ascii="仿宋_GB2312" w:hAnsi="仿宋_GB2312" w:cs="仿宋_GB2312"/>
          <w:spacing w:val="0"/>
          <w:szCs w:val="32"/>
        </w:rPr>
        <w:t>发挥部门统筹合力，打造“协同发力”新范式。强化多规合一与三级传导，推动国土空间规划、产业发展规划、生态环境保护规划等相互衔接，构建“区级更新专项规划、更新片区策划方案、更新项目（片区）实施方案”逐级深化面向更新实施的规划体系。</w:t>
      </w:r>
    </w:p>
    <w:p>
      <w:pPr>
        <w:rPr>
          <w:rFonts w:hint="eastAsia" w:ascii="仿宋_GB2312" w:hAnsi="仿宋_GB2312" w:cs="仿宋_GB2312"/>
          <w:spacing w:val="0"/>
          <w:szCs w:val="32"/>
        </w:rPr>
      </w:pPr>
      <w:r>
        <w:rPr>
          <w:rFonts w:hint="eastAsia" w:ascii="仿宋_GB2312" w:hAnsi="仿宋_GB2312" w:cs="仿宋_GB2312"/>
          <w:spacing w:val="0"/>
          <w:szCs w:val="32"/>
        </w:rPr>
        <w:t>激发市场活力，促进地产开发、商业开发等项目推进。保障公共利益，促进公服设施、生态绿地、市政基建等公益项目推进。优化制度流程，简化项目资金申请、审批流程等程序。</w:t>
      </w:r>
    </w:p>
    <w:p>
      <w:pPr>
        <w:rPr>
          <w:rFonts w:hint="eastAsia" w:ascii="仿宋_GB2312" w:hAnsi="仿宋_GB2312" w:cs="仿宋_GB2312"/>
          <w:spacing w:val="0"/>
          <w:szCs w:val="32"/>
        </w:rPr>
      </w:pPr>
      <w:r>
        <w:rPr>
          <w:rFonts w:hint="eastAsia" w:ascii="仿宋_GB2312" w:hAnsi="仿宋_GB2312" w:cs="仿宋_GB2312"/>
          <w:spacing w:val="0"/>
          <w:szCs w:val="32"/>
        </w:rPr>
        <w:t>建立多元共建、共创、共治的参与机制。畅通市场参与渠道，发挥国企带头作用。政府主导重点片区更新，引导市场主体参与。开展完整社区共同缔造试点，探索社区规划师服务模式。</w:t>
      </w:r>
    </w:p>
    <w:p>
      <w:pPr>
        <w:rPr>
          <w:rFonts w:hint="eastAsia" w:ascii="仿宋_GB2312" w:hAnsi="仿宋_GB2312" w:cs="仿宋_GB2312"/>
          <w:spacing w:val="0"/>
          <w:szCs w:val="32"/>
        </w:rPr>
      </w:pPr>
      <w:r>
        <w:rPr>
          <w:rFonts w:hint="eastAsia" w:ascii="仿宋_GB2312" w:hAnsi="仿宋_GB2312" w:cs="仿宋_GB2312"/>
          <w:spacing w:val="0"/>
          <w:szCs w:val="32"/>
        </w:rPr>
        <w:t>建立全生命周期的城市更新管理机制。搭建信息化管理平台，整合项目全周期数据。建立城市体检与更新衔接与重大项目全周期管理机制。形成多维度评价体系，完善全过程监管机制，实现闭环管理。</w:t>
      </w:r>
    </w:p>
    <w:p>
      <w:pPr>
        <w:pStyle w:val="3"/>
        <w:ind w:left="616" w:leftChars="200" w:firstLine="4" w:firstLineChars="0"/>
        <w:jc w:val="left"/>
        <w:rPr>
          <w:rFonts w:hint="eastAsia" w:ascii="楷体_GB2312" w:hAnsi="楷体_GB2312" w:eastAsia="楷体_GB2312" w:cs="楷体_GB2312"/>
          <w:spacing w:val="0"/>
        </w:rPr>
      </w:pPr>
      <w:bookmarkStart w:id="639" w:name="_Toc7153"/>
      <w:bookmarkStart w:id="640" w:name="_Toc14284"/>
      <w:bookmarkStart w:id="641" w:name="_Toc30007"/>
      <w:bookmarkStart w:id="642" w:name="_Toc29998"/>
      <w:bookmarkStart w:id="643" w:name="_Toc1741"/>
      <w:r>
        <w:rPr>
          <w:rFonts w:hint="eastAsia" w:ascii="楷体_GB2312" w:hAnsi="楷体_GB2312" w:eastAsia="楷体_GB2312" w:cs="楷体_GB2312"/>
          <w:spacing w:val="0"/>
        </w:rPr>
        <w:t>组团更新片区合力开展城市更新与治理工作</w:t>
      </w:r>
      <w:bookmarkEnd w:id="639"/>
      <w:bookmarkEnd w:id="640"/>
      <w:bookmarkEnd w:id="641"/>
      <w:bookmarkEnd w:id="642"/>
      <w:bookmarkEnd w:id="643"/>
    </w:p>
    <w:p>
      <w:pPr>
        <w:rPr>
          <w:rFonts w:hint="eastAsia" w:ascii="仿宋_GB2312" w:hAnsi="仿宋_GB2312" w:cs="仿宋_GB2312"/>
          <w:spacing w:val="0"/>
          <w:szCs w:val="32"/>
        </w:rPr>
      </w:pPr>
      <w:r>
        <w:rPr>
          <w:rFonts w:hint="eastAsia" w:ascii="仿宋_GB2312" w:hAnsi="仿宋_GB2312" w:cs="仿宋_GB2312"/>
          <w:spacing w:val="0"/>
          <w:szCs w:val="32"/>
        </w:rPr>
        <w:t>坚持城市内涵式发展，以推进城市更新为重要抓手，坚持增量建设与存量更新并重，以需求为导向、以项目为牵引，以综合化组团更新破解自身发展瓶颈，激活特色资源禀赋，增强核心竞争力。厘清新建开发和存量更新实施边界，实施分类分区施策。重点聚焦老旧街区、老旧厂房更新改造，完善城市功能，修复城市生态系统等方面，实现品质再提升、产业再升级、活力再焕发，为经济社会高质量发展提供坚实支撑。</w:t>
      </w:r>
    </w:p>
    <w:p>
      <w:pPr>
        <w:pStyle w:val="4"/>
        <w:numPr>
          <w:ilvl w:val="2"/>
          <w:numId w:val="0"/>
        </w:numPr>
        <w:ind w:left="616" w:leftChars="200"/>
        <w:rPr>
          <w:rFonts w:hint="eastAsia" w:ascii="仿宋_GB2312" w:hAnsi="仿宋_GB2312" w:eastAsia="仿宋_GB2312" w:cs="仿宋_GB2312"/>
          <w:b/>
          <w:bCs/>
        </w:rPr>
      </w:pPr>
      <w:bookmarkStart w:id="644" w:name="_Toc12000"/>
      <w:bookmarkStart w:id="645" w:name="_Toc1625"/>
      <w:bookmarkStart w:id="646" w:name="_Toc2635"/>
      <w:r>
        <w:rPr>
          <w:rFonts w:hint="eastAsia" w:ascii="仿宋_GB2312" w:hAnsi="仿宋_GB2312" w:eastAsia="仿宋_GB2312" w:cs="仿宋_GB2312"/>
          <w:b/>
          <w:bCs/>
        </w:rPr>
        <w:t>（一）综合化组团整体更新，推进城市更新工作</w:t>
      </w:r>
      <w:bookmarkEnd w:id="644"/>
      <w:bookmarkEnd w:id="645"/>
      <w:bookmarkEnd w:id="646"/>
    </w:p>
    <w:p>
      <w:pPr>
        <w:rPr>
          <w:rFonts w:hint="eastAsia" w:ascii="仿宋_GB2312" w:hAnsi="仿宋_GB2312" w:cs="仿宋_GB2312"/>
          <w:spacing w:val="0"/>
          <w:szCs w:val="32"/>
          <w:lang w:val="zh-TW"/>
        </w:rPr>
      </w:pPr>
      <w:r>
        <w:rPr>
          <w:rFonts w:hint="eastAsia" w:ascii="仿宋_GB2312" w:hAnsi="仿宋_GB2312" w:cs="仿宋_GB2312"/>
          <w:spacing w:val="0"/>
          <w:szCs w:val="32"/>
          <w:lang w:val="zh-TW"/>
        </w:rPr>
        <w:t>以世园</w:t>
      </w:r>
      <w:r>
        <w:rPr>
          <w:rFonts w:hint="eastAsia" w:ascii="仿宋_GB2312" w:hAnsi="仿宋_GB2312" w:cs="仿宋_GB2312"/>
          <w:spacing w:val="0"/>
          <w:szCs w:val="32"/>
          <w:lang w:val="zh-TW" w:eastAsia="zh-CN"/>
        </w:rPr>
        <w:t>片区</w:t>
      </w:r>
      <w:r>
        <w:rPr>
          <w:rFonts w:hint="eastAsia" w:ascii="仿宋_GB2312" w:hAnsi="仿宋_GB2312" w:cs="仿宋_GB2312"/>
          <w:spacing w:val="0"/>
          <w:szCs w:val="32"/>
          <w:lang w:val="zh-TW"/>
        </w:rPr>
        <w:t>、八达岭长城</w:t>
      </w:r>
      <w:r>
        <w:rPr>
          <w:rFonts w:hint="eastAsia" w:ascii="仿宋_GB2312" w:hAnsi="仿宋_GB2312" w:cs="仿宋_GB2312"/>
          <w:spacing w:val="0"/>
          <w:szCs w:val="32"/>
          <w:lang w:val="zh-TW" w:eastAsia="zh-CN"/>
        </w:rPr>
        <w:t>片区</w:t>
      </w:r>
      <w:r>
        <w:rPr>
          <w:rFonts w:hint="eastAsia" w:ascii="仿宋_GB2312" w:hAnsi="仿宋_GB2312" w:cs="仿宋_GB2312"/>
          <w:spacing w:val="0"/>
          <w:szCs w:val="32"/>
          <w:lang w:val="zh-TW"/>
        </w:rPr>
        <w:t>、北方工大</w:t>
      </w:r>
      <w:r>
        <w:rPr>
          <w:rFonts w:hint="eastAsia" w:ascii="仿宋_GB2312" w:hAnsi="仿宋_GB2312" w:cs="仿宋_GB2312"/>
          <w:spacing w:val="0"/>
          <w:szCs w:val="32"/>
          <w:lang w:val="zh-TW" w:eastAsia="zh-CN"/>
        </w:rPr>
        <w:t>片区</w:t>
      </w:r>
      <w:r>
        <w:rPr>
          <w:rFonts w:hint="eastAsia" w:ascii="仿宋_GB2312" w:hAnsi="仿宋_GB2312" w:cs="仿宋_GB2312"/>
          <w:spacing w:val="0"/>
          <w:szCs w:val="32"/>
          <w:lang w:val="zh-TW"/>
        </w:rPr>
        <w:t>、冬奥延庆赛区、永宁</w:t>
      </w:r>
      <w:r>
        <w:rPr>
          <w:rFonts w:hint="eastAsia" w:ascii="仿宋_GB2312" w:hAnsi="仿宋_GB2312" w:cs="仿宋_GB2312"/>
          <w:spacing w:val="0"/>
          <w:szCs w:val="32"/>
          <w:lang w:val="zh-TW" w:eastAsia="zh-CN"/>
        </w:rPr>
        <w:t>古城</w:t>
      </w:r>
      <w:r>
        <w:rPr>
          <w:rFonts w:hint="eastAsia" w:ascii="仿宋_GB2312" w:hAnsi="仿宋_GB2312" w:cs="仿宋_GB2312"/>
          <w:spacing w:val="0"/>
          <w:szCs w:val="32"/>
          <w:lang w:val="zh-TW"/>
        </w:rPr>
        <w:t>、京张高铁延庆站（城南TOD）片区为综合化更新组团，形成更新合力。结合妫河两岸整体提升，研究优化世园围墙，贯通滨水步行骑行系统，塑造北国山城滨水特色风貌。</w:t>
      </w:r>
    </w:p>
    <w:p>
      <w:pPr>
        <w:rPr>
          <w:rFonts w:hint="eastAsia" w:ascii="仿宋_GB2312" w:hAnsi="仿宋_GB2312" w:cs="仿宋_GB2312"/>
          <w:bCs/>
          <w:spacing w:val="0"/>
          <w:szCs w:val="32"/>
          <w:lang w:val="zh-TW"/>
        </w:rPr>
      </w:pPr>
      <w:r>
        <w:rPr>
          <w:rFonts w:hint="eastAsia" w:ascii="仿宋_GB2312" w:hAnsi="仿宋_GB2312" w:cs="仿宋_GB2312"/>
          <w:bCs/>
          <w:spacing w:val="0"/>
          <w:szCs w:val="32"/>
          <w:lang w:val="zh-TW"/>
        </w:rPr>
        <w:t>世园综合化组团探索公园POD模式，打造无界城市样板，以“生态+园艺+音乐+运动+研学”全龄友好IP，构建商业文化旅游融合消费圈。探索从“公园+”到“+公园”的范式跃迁。</w:t>
      </w:r>
    </w:p>
    <w:p>
      <w:pPr>
        <w:rPr>
          <w:rFonts w:hint="eastAsia" w:ascii="仿宋_GB2312" w:hAnsi="仿宋_GB2312" w:cs="仿宋_GB2312"/>
          <w:bCs/>
          <w:spacing w:val="0"/>
          <w:szCs w:val="32"/>
          <w:lang w:val="zh-TW"/>
        </w:rPr>
      </w:pPr>
      <w:r>
        <w:rPr>
          <w:rFonts w:hint="eastAsia" w:ascii="仿宋_GB2312" w:hAnsi="仿宋_GB2312" w:cs="仿宋_GB2312"/>
          <w:bCs/>
          <w:spacing w:val="0"/>
          <w:szCs w:val="32"/>
          <w:lang w:val="zh-TW"/>
        </w:rPr>
        <w:t>八达岭长城综合化组团打造长城大景区样板，提升世界遗产文化品牌，完善核心景区配套，加快各景区门区的环境改造提升与更新治理，以“长城人家”“长城村落”特色品牌为引领，落实总书记指示，保护振兴长城脚下特色文化村落，进一步盘活文化旅游资源。</w:t>
      </w:r>
    </w:p>
    <w:p>
      <w:pPr>
        <w:rPr>
          <w:rFonts w:hint="eastAsia" w:ascii="仿宋_GB2312" w:hAnsi="仿宋_GB2312" w:cs="仿宋_GB2312"/>
          <w:bCs/>
          <w:spacing w:val="0"/>
          <w:szCs w:val="32"/>
          <w:lang w:val="zh-TW"/>
        </w:rPr>
      </w:pPr>
      <w:r>
        <w:rPr>
          <w:rFonts w:hint="eastAsia" w:ascii="仿宋_GB2312" w:hAnsi="仿宋_GB2312" w:cs="仿宋_GB2312"/>
          <w:bCs/>
          <w:spacing w:val="0"/>
          <w:szCs w:val="32"/>
          <w:lang w:val="zh-TW"/>
        </w:rPr>
        <w:t>北方工大综合化组团强化校地融合与产学研融合，建设满足高校教育科研生活需求的城镇街区，提升周边配套服务与风貌景观质量，以校地融合带动大榆树镇高质量发展，形成校地融合互促、协同发展的良性格局。</w:t>
      </w:r>
    </w:p>
    <w:p>
      <w:pPr>
        <w:rPr>
          <w:rFonts w:hint="eastAsia" w:ascii="仿宋_GB2312" w:hAnsi="仿宋_GB2312" w:cs="仿宋_GB2312"/>
          <w:bCs/>
          <w:spacing w:val="0"/>
          <w:szCs w:val="32"/>
          <w:lang w:val="zh-TW"/>
        </w:rPr>
      </w:pPr>
      <w:r>
        <w:rPr>
          <w:rFonts w:hint="eastAsia" w:ascii="仿宋_GB2312" w:hAnsi="仿宋_GB2312" w:cs="仿宋_GB2312"/>
          <w:bCs/>
          <w:spacing w:val="0"/>
          <w:szCs w:val="32"/>
          <w:lang w:val="zh-TW"/>
        </w:rPr>
        <w:t>冬奥</w:t>
      </w:r>
      <w:r>
        <w:rPr>
          <w:rFonts w:ascii="仿宋_GB2312" w:hAnsi="仿宋_GB2312" w:cs="仿宋_GB2312"/>
          <w:bCs/>
          <w:spacing w:val="0"/>
          <w:szCs w:val="32"/>
        </w:rPr>
        <w:t>综合化更新组团</w:t>
      </w:r>
      <w:r>
        <w:rPr>
          <w:rFonts w:hint="eastAsia" w:ascii="仿宋_GB2312" w:hAnsi="仿宋_GB2312" w:cs="仿宋_GB2312"/>
          <w:bCs/>
          <w:spacing w:val="0"/>
          <w:szCs w:val="32"/>
          <w:lang w:val="zh-TW"/>
        </w:rPr>
        <w:t>重点打造国际冰雪赛事承载地，建设体育文化交往中心，推进高山滑雪训练基地、运动医疗中心等场所建设，加强与首都体育学院等国内外知名体育高校合作，发展体育大数据、智能装备等未来产业，丰富冰雪体验和户外度假功能。</w:t>
      </w:r>
    </w:p>
    <w:p>
      <w:pPr>
        <w:rPr>
          <w:rFonts w:hint="eastAsia" w:ascii="仿宋_GB2312" w:hAnsi="仿宋_GB2312" w:cs="仿宋_GB2312"/>
          <w:bCs/>
          <w:spacing w:val="0"/>
          <w:szCs w:val="32"/>
          <w:lang w:val="zh-TW"/>
        </w:rPr>
      </w:pPr>
      <w:r>
        <w:rPr>
          <w:rFonts w:hint="eastAsia" w:ascii="仿宋_GB2312" w:hAnsi="仿宋_GB2312" w:cs="仿宋_GB2312"/>
          <w:bCs/>
          <w:spacing w:val="0"/>
          <w:szCs w:val="32"/>
          <w:lang w:val="zh-TW"/>
        </w:rPr>
        <w:t>永宁综合化更新组团强化永宁</w:t>
      </w:r>
      <w:r>
        <w:rPr>
          <w:rFonts w:hint="eastAsia" w:ascii="仿宋_GB2312" w:hAnsi="仿宋_GB2312" w:cs="仿宋_GB2312"/>
          <w:bCs/>
          <w:spacing w:val="0"/>
          <w:szCs w:val="32"/>
        </w:rPr>
        <w:t>古城整体保护与利用，以永宁古城为引擎，探索永宁古城大片区统筹更新模式。发挥既有特色产业和存量产业用地资源优势，引导绿色产业向功能区聚集，形成镇域</w:t>
      </w:r>
      <w:r>
        <w:rPr>
          <w:rFonts w:hint="eastAsia" w:ascii="仿宋_GB2312" w:hAnsi="仿宋_GB2312" w:cs="仿宋_GB2312"/>
          <w:bCs/>
          <w:spacing w:val="0"/>
          <w:szCs w:val="32"/>
          <w:lang w:val="zh-TW"/>
        </w:rPr>
        <w:t>绿色产业发展引擎，推动文化旅游融合发展。</w:t>
      </w:r>
    </w:p>
    <w:p>
      <w:pPr>
        <w:rPr>
          <w:rFonts w:hint="eastAsia" w:ascii="仿宋_GB2312" w:hAnsi="仿宋_GB2312" w:cs="仿宋_GB2312"/>
          <w:spacing w:val="0"/>
          <w:szCs w:val="32"/>
          <w:lang w:val="zh-TW"/>
        </w:rPr>
      </w:pPr>
      <w:r>
        <w:rPr>
          <w:rFonts w:hint="eastAsia" w:ascii="仿宋_GB2312" w:hAnsi="仿宋_GB2312" w:cs="仿宋_GB2312"/>
          <w:bCs/>
          <w:spacing w:val="0"/>
          <w:szCs w:val="32"/>
        </w:rPr>
        <w:t>延庆高铁站片区</w:t>
      </w:r>
      <w:r>
        <w:rPr>
          <w:rFonts w:hint="eastAsia" w:ascii="仿宋_GB2312" w:hAnsi="仿宋_GB2312" w:cs="仿宋_GB2312"/>
          <w:bCs/>
          <w:spacing w:val="0"/>
          <w:szCs w:val="32"/>
          <w:lang w:val="zh-TW"/>
        </w:rPr>
        <w:t>综合化组团以中关村延庆园为核心，融合科技体育、高铁枢纽等多类型场景，形成以科技创新为内生动力的高铁站城融合综合化组团。以更新统筹空间业态整合，引领增量与存量空间资源分配。</w:t>
      </w:r>
    </w:p>
    <w:p>
      <w:pPr>
        <w:pStyle w:val="4"/>
        <w:numPr>
          <w:ilvl w:val="2"/>
          <w:numId w:val="0"/>
        </w:numPr>
        <w:ind w:left="616" w:leftChars="200"/>
        <w:rPr>
          <w:rFonts w:hint="eastAsia" w:ascii="仿宋_GB2312" w:hAnsi="仿宋_GB2312" w:eastAsia="仿宋_GB2312" w:cs="仿宋_GB2312"/>
          <w:b/>
          <w:bCs/>
        </w:rPr>
      </w:pPr>
      <w:bookmarkStart w:id="647" w:name="_Toc21762"/>
      <w:bookmarkStart w:id="648" w:name="_Toc12967"/>
      <w:bookmarkStart w:id="649" w:name="_Toc1386"/>
      <w:r>
        <w:rPr>
          <w:rFonts w:hint="eastAsia" w:ascii="仿宋_GB2312" w:hAnsi="仿宋_GB2312" w:eastAsia="仿宋_GB2312" w:cs="仿宋_GB2312"/>
          <w:b/>
          <w:bCs/>
        </w:rPr>
        <w:t>（二）围绕八大重点任务，分类开展城市更新实施</w:t>
      </w:r>
      <w:bookmarkEnd w:id="647"/>
      <w:bookmarkEnd w:id="648"/>
      <w:bookmarkEnd w:id="649"/>
    </w:p>
    <w:p>
      <w:pPr>
        <w:rPr>
          <w:rFonts w:hint="eastAsia" w:ascii="仿宋_GB2312" w:hAnsi="仿宋_GB2312" w:cs="仿宋_GB2312"/>
          <w:spacing w:val="0"/>
          <w:szCs w:val="32"/>
        </w:rPr>
      </w:pPr>
      <w:r>
        <w:rPr>
          <w:rFonts w:hint="eastAsia" w:ascii="仿宋_GB2312" w:hAnsi="仿宋_GB2312" w:cs="仿宋_GB2312"/>
          <w:spacing w:val="0"/>
          <w:szCs w:val="32"/>
        </w:rPr>
        <w:t>加强既有建筑改造利用。大力推进公共建筑节能绿色化改造工作，引导社会资本参与节能绿色化改造，推广合同能源管理、能源费用托管服务等模式。落实公共建筑能效分级管理办法，推动公共建筑能效提升。持续推进低效楼宇和老旧楼宇改造，深化台账数据应用，老旧楼宇侧重安全隐患消除、建筑能效提升；低效楼宇支持物业权利人自主更新，做好“一楼一策”服务指引，推进燕水商城等改造项目落地。</w:t>
      </w:r>
    </w:p>
    <w:p>
      <w:pPr>
        <w:rPr>
          <w:rFonts w:hint="eastAsia" w:ascii="仿宋_GB2312" w:hAnsi="仿宋_GB2312" w:cs="仿宋_GB2312"/>
          <w:spacing w:val="0"/>
          <w:szCs w:val="32"/>
        </w:rPr>
      </w:pPr>
      <w:r>
        <w:rPr>
          <w:rFonts w:hint="eastAsia" w:ascii="仿宋_GB2312" w:hAnsi="仿宋_GB2312" w:cs="仿宋_GB2312"/>
          <w:spacing w:val="0"/>
          <w:szCs w:val="32"/>
        </w:rPr>
        <w:t>推进城镇老旧小区整治改造。按照市级统筹部署，结合我区实际情况，系统谋划老旧小区改造项目，引导实现老旧小区及周边地区城市服务功能的整体提升。持续攻坚建筑保温、电梯加装更新、适老化及无障碍改造、社区服务配套完善等群众关注重点。聚力解决小区停车、充电、托育、养老服务等急难愁盼问题。“面子”与“里子”兼顾，推动实现老旧小区内各类管线改造“只改一次，一次改到位”，有力提升管线设施安全运行水平。推动小区周边环境整治。持续改善人居环境，做好背街小巷环境精细化治理，促进街巷治理共建共治共享。</w:t>
      </w:r>
    </w:p>
    <w:p>
      <w:pPr>
        <w:rPr>
          <w:rFonts w:hint="eastAsia" w:ascii="仿宋_GB2312" w:hAnsi="仿宋_GB2312" w:cs="仿宋_GB2312"/>
          <w:spacing w:val="0"/>
          <w:szCs w:val="32"/>
        </w:rPr>
      </w:pPr>
      <w:r>
        <w:rPr>
          <w:rFonts w:hint="eastAsia" w:ascii="仿宋_GB2312" w:hAnsi="仿宋_GB2312" w:cs="仿宋_GB2312"/>
          <w:spacing w:val="0"/>
          <w:szCs w:val="32"/>
        </w:rPr>
        <w:t>探索完整社区建设。积极推进完整社区建设工作，统筹推进老旧小区改造、嵌入式设施建设、一刻钟便民生活圈建设等工作。依据国家相关标准，以社区体检为基础，明确需补足的公共服务设施和基础设施，科学编制改造方案。按照“缺什么补什么”的原则，通过补建、购置、置换、租赁、改造等方式，利用好锅炉房、腾退空间、地下空间等资源，精准织补各类设施短板。重点聚焦“老老人”和“小小孩”，完善养老服务、托育服务等设施建设。加强供水、排水、供电等基础设施改造，打造宜居环境。</w:t>
      </w:r>
    </w:p>
    <w:p>
      <w:pPr>
        <w:rPr>
          <w:rFonts w:hint="eastAsia" w:ascii="仿宋_GB2312" w:hAnsi="仿宋_GB2312" w:cs="仿宋_GB2312"/>
          <w:spacing w:val="0"/>
          <w:szCs w:val="32"/>
        </w:rPr>
      </w:pPr>
      <w:r>
        <w:rPr>
          <w:rFonts w:hint="eastAsia" w:ascii="仿宋_GB2312" w:hAnsi="仿宋_GB2312" w:cs="仿宋_GB2312"/>
          <w:spacing w:val="0"/>
          <w:szCs w:val="32"/>
        </w:rPr>
        <w:t>推进老旧街区、老旧厂区、城中村等更新改造。以街区为单元统筹城市更新，试点探索街区城市更新体检，合理划定实施单元，推进老旧街区功能转换、业态升级、活力提升，因地制宜打造一批活力街区。</w:t>
      </w:r>
    </w:p>
    <w:p>
      <w:pPr>
        <w:rPr>
          <w:rFonts w:hint="eastAsia" w:ascii="仿宋_GB2312" w:hAnsi="仿宋_GB2312" w:cs="仿宋_GB2312"/>
          <w:spacing w:val="0"/>
          <w:szCs w:val="32"/>
        </w:rPr>
      </w:pPr>
      <w:r>
        <w:rPr>
          <w:rFonts w:hint="eastAsia" w:ascii="仿宋_GB2312" w:hAnsi="仿宋_GB2312" w:cs="仿宋_GB2312"/>
          <w:spacing w:val="0"/>
          <w:szCs w:val="32"/>
        </w:rPr>
        <w:t>推动商业街区改造，推动消费功能及空间品质双提升。鼓励运营主体结合消费需求，调整业态结构，融合演艺、体育、文博多元业态，打造新业态、新模式、新场景。加强室内外空间改造，完善公共空间，打造城市精品消费空间。通过业态升级与场景创新培育消费新动能，系统性、示范性推进妫川广场商圈焕新及区域整体风貌提升，推动延庆东街业态提升，打造妫水河北岸的重要门户节点。</w:t>
      </w:r>
    </w:p>
    <w:p>
      <w:pPr>
        <w:rPr>
          <w:rFonts w:hint="eastAsia" w:ascii="仿宋_GB2312" w:hAnsi="仿宋_GB2312" w:cs="仿宋_GB2312"/>
          <w:spacing w:val="0"/>
          <w:szCs w:val="32"/>
          <w:lang w:val="zh-TW"/>
        </w:rPr>
      </w:pPr>
      <w:r>
        <w:rPr>
          <w:rFonts w:hint="eastAsia" w:ascii="仿宋_GB2312" w:hAnsi="仿宋_GB2312" w:cs="仿宋_GB2312"/>
          <w:spacing w:val="0"/>
          <w:szCs w:val="32"/>
          <w:lang w:val="zh-TW"/>
        </w:rPr>
        <w:t>推动产业园区更新，促进产业资源和空间资源有效匹配。全面梳理产业园区低效存量空间资源，完善评估退出机制，出台相应认定标准，推动闲置低效用地的盘活和老旧厂房设施更新，提高土地利用效率。围绕推进低空技术、绿色能源等主导产业发展，加强更新项目主动谋划。加快盘活中材叶片二厂、城建八地块等低效闲置用地。推进传感器及仪器仪表智能工厂改造提升项目建设投产，提高地区经济产值。</w:t>
      </w:r>
    </w:p>
    <w:p>
      <w:pPr>
        <w:rPr>
          <w:rFonts w:hint="eastAsia" w:ascii="仿宋_GB2312" w:hAnsi="仿宋_GB2312" w:cs="仿宋_GB2312"/>
          <w:spacing w:val="0"/>
          <w:szCs w:val="32"/>
        </w:rPr>
      </w:pPr>
      <w:r>
        <w:rPr>
          <w:rFonts w:hint="eastAsia" w:ascii="仿宋_GB2312" w:hAnsi="仿宋_GB2312" w:cs="仿宋_GB2312"/>
          <w:spacing w:val="0"/>
          <w:szCs w:val="32"/>
        </w:rPr>
        <w:t>推动老旧厂区（厂房）改造，对于具有重要历史价值或位于城市核心区的厂房，要延续工业文脉，保留历史记忆，推动厂区（厂房）与周边环境整体升级，打造成具有特色的“打卡地”。加强遗产区位价值论证，引入社会资本和专业运营团队，植入新业态新功能，促进产业转型升级。加快推进永宁镇拖拉机站、永宁铸造厂二期、雪润园区等闲置资产的盘活利用。</w:t>
      </w:r>
    </w:p>
    <w:p>
      <w:pPr>
        <w:rPr>
          <w:rFonts w:hint="eastAsia" w:ascii="仿宋_GB2312" w:hAnsi="仿宋_GB2312" w:cs="仿宋_GB2312"/>
          <w:spacing w:val="0"/>
          <w:szCs w:val="32"/>
        </w:rPr>
      </w:pPr>
      <w:r>
        <w:rPr>
          <w:rFonts w:hint="eastAsia" w:ascii="仿宋_GB2312" w:hAnsi="仿宋_GB2312" w:cs="仿宋_GB2312"/>
          <w:spacing w:val="0"/>
          <w:szCs w:val="32"/>
        </w:rPr>
        <w:t>积极推进城中村改造，坚持不搞大拆大建，分类施策。对暂不具备大规模改造条件的城区周边城乡结合部片区，充分对接政策实施条件，合理把握改造时序，现阶段以管控提升为主要方向，重点消除安全隐患、开展环境综合整治；按照“一村一策”的思路，研究推进北关片区城中村改造项目。</w:t>
      </w:r>
    </w:p>
    <w:p>
      <w:pPr>
        <w:rPr>
          <w:rFonts w:hint="eastAsia" w:ascii="仿宋_GB2312" w:hAnsi="仿宋_GB2312" w:cs="仿宋_GB2312"/>
          <w:spacing w:val="0"/>
          <w:szCs w:val="32"/>
        </w:rPr>
      </w:pPr>
      <w:r>
        <w:rPr>
          <w:rFonts w:hint="eastAsia" w:ascii="仿宋_GB2312" w:hAnsi="仿宋_GB2312" w:cs="仿宋_GB2312"/>
          <w:spacing w:val="0"/>
          <w:szCs w:val="32"/>
        </w:rPr>
        <w:t>完善城市功能。重点补齐商业、教育、养老、医疗等公共服务功能短板，加大南部区域公共服务资源配置力度。充分利用存量闲置房屋和低效用地，优先补齐民生领域公共服务设施短板，推进延庆区医院门诊楼及西病房楼改扩建、永宁古城环境提升等项目。积极稳步推进“平急两用”公共基础设施建设。重点围绕旅游居住、高速公路服务区旅居集散地、医疗应急服务点、城郊大仓物流基地、多功能公共服务设施等五类设施，盘活利用存量资源，推进建设一批具有首都特点的“平急两用”公共基础设施。重点提升延庆农产品储运中转能力，优化延庆物流集散体系，强化全市战略储备能力。</w:t>
      </w:r>
    </w:p>
    <w:p>
      <w:pPr>
        <w:rPr>
          <w:rFonts w:hint="eastAsia" w:ascii="仿宋_GB2312" w:hAnsi="仿宋_GB2312" w:cs="仿宋_GB2312"/>
          <w:spacing w:val="0"/>
          <w:szCs w:val="32"/>
        </w:rPr>
      </w:pPr>
      <w:r>
        <w:rPr>
          <w:rFonts w:hint="eastAsia" w:ascii="仿宋_GB2312" w:hAnsi="仿宋_GB2312" w:cs="仿宋_GB2312"/>
          <w:spacing w:val="0"/>
          <w:szCs w:val="32"/>
        </w:rPr>
        <w:t>加强城市基础设施建设改造。结合各专项工作，加快城市燃气、供水、排水、污水、供热等地下管线管网和地下综合管廊建设改造，完善建设运维长效管理制度。开展延庆新城市政老旧供水管网更新改造（一期）工程项目。做好生活垃圾处理设施改造，在原生垃圾“零堆埋”的基础上，争取延庆区垃圾转运站项目落地。结合韧性城市建设，工程和管理措施并举，完善城市防洪排涝体系，加强积水治理和处置。推进消防设施更新改造，因地制宜补足或更新改造公共消防基础设施，按需补充建设政府专职小型消防站。完善城市交通基础设施，重点完善重要功能区及周边交通网络建设，逐步完善绿色慢行交通体系；加强停车设施建设改造，试点推进老旧厂房、老旧低效楼宇、人防工程等地上地下空间补充建设停车设施，利用闲置空间挖潜建设停车位。</w:t>
      </w:r>
    </w:p>
    <w:p>
      <w:pPr>
        <w:rPr>
          <w:rFonts w:hint="eastAsia" w:ascii="仿宋_GB2312" w:hAnsi="仿宋_GB2312" w:cs="仿宋_GB2312"/>
          <w:spacing w:val="0"/>
          <w:szCs w:val="32"/>
        </w:rPr>
      </w:pPr>
      <w:r>
        <w:rPr>
          <w:rFonts w:hint="eastAsia" w:ascii="仿宋_GB2312" w:hAnsi="仿宋_GB2312" w:cs="仿宋_GB2312"/>
          <w:spacing w:val="0"/>
          <w:szCs w:val="32"/>
        </w:rPr>
        <w:t>修复城市生态系统。加强建设用地土壤污染风险管控，持续推进更新及污染建设用地修复。增强海绵城市建设的整体性和系统性。巩固黑臭水体治理成果，抓好日常监测，实现动态清零。开展生态清洁小流域建设，积极探索推进“生态清洁小流域”生态产品价值实现机制。持续做好湿地保护修复工作，按照自然恢复为主、自然恢复和人工修复相结合的原则，科学修复湿地。大力实施城市绿环绿廊绿楔绿道建设，推进社区级绿道建设，进一步完善绿道网络系统，打造连续性的、可体验的、优美的花园式绿色休闲空间。强化滨水空间品质提升，结合花园城市建设任务，充分挖掘妫水河两岸现有滨水资源禀赋，统筹研究世园周边道路贯通，塑造辨识度突出的城市精品滨水公共空间；用好城区 “金角银边”，推进延庆小微绿地建设工程。</w:t>
      </w:r>
    </w:p>
    <w:p>
      <w:pPr>
        <w:rPr>
          <w:rFonts w:hint="eastAsia" w:ascii="仿宋_GB2312" w:hAnsi="仿宋_GB2312" w:cs="仿宋_GB2312"/>
          <w:spacing w:val="0"/>
          <w:szCs w:val="32"/>
        </w:rPr>
      </w:pPr>
      <w:r>
        <w:rPr>
          <w:rFonts w:hint="eastAsia" w:ascii="仿宋_GB2312" w:hAnsi="仿宋_GB2312" w:cs="仿宋_GB2312"/>
          <w:spacing w:val="0"/>
          <w:szCs w:val="32"/>
        </w:rPr>
        <w:t>保护传承城市历史文化。结合第四次文物普查工作，全面调查老城及其历史文化街区，摸清老旧街区、老旧厂区文化遗产资源底数。开展文化遗产影响评价，建立健全“先调查后建设”“先考古后出让”的保护前置机制。探索对历史建筑、历史文化街区开展“微更新”，围绕永宁古城、岔道口古城、非遗文化等延庆特色，谋划实施文旅更新项目，实现保护与发展有机统一。落实地名管理法律法规，起好、用好、管好地名，传承中华优秀传统文化。</w:t>
      </w:r>
    </w:p>
    <w:p>
      <w:pPr>
        <w:pStyle w:val="3"/>
        <w:ind w:left="616" w:leftChars="200" w:firstLine="4" w:firstLineChars="0"/>
        <w:jc w:val="left"/>
        <w:rPr>
          <w:rFonts w:hint="eastAsia" w:ascii="楷体_GB2312" w:hAnsi="楷体_GB2312" w:eastAsia="楷体_GB2312" w:cs="楷体_GB2312"/>
          <w:spacing w:val="0"/>
        </w:rPr>
      </w:pPr>
      <w:bookmarkStart w:id="650" w:name="_Toc8701"/>
      <w:bookmarkStart w:id="651" w:name="_Toc4092"/>
      <w:bookmarkStart w:id="652" w:name="_Toc9459"/>
      <w:bookmarkStart w:id="653" w:name="_Toc10770"/>
      <w:bookmarkStart w:id="654" w:name="_Toc23126"/>
      <w:r>
        <w:rPr>
          <w:rFonts w:hint="eastAsia" w:ascii="楷体_GB2312" w:hAnsi="楷体_GB2312" w:eastAsia="楷体_GB2312" w:cs="楷体_GB2312"/>
          <w:spacing w:val="0"/>
        </w:rPr>
        <w:t>加强政策、资金保障与多元参与的更新实施支撑</w:t>
      </w:r>
      <w:bookmarkEnd w:id="650"/>
      <w:bookmarkEnd w:id="651"/>
      <w:bookmarkEnd w:id="652"/>
      <w:bookmarkEnd w:id="653"/>
      <w:bookmarkEnd w:id="654"/>
    </w:p>
    <w:p>
      <w:pPr>
        <w:rPr>
          <w:rFonts w:hint="eastAsia" w:ascii="仿宋_GB2312" w:hAnsi="仿宋_GB2312" w:cs="仿宋_GB2312"/>
          <w:spacing w:val="0"/>
          <w:szCs w:val="32"/>
          <w:lang w:val="zh-TW"/>
        </w:rPr>
      </w:pPr>
      <w:r>
        <w:rPr>
          <w:rFonts w:hint="eastAsia" w:ascii="仿宋_GB2312" w:hAnsi="仿宋_GB2312" w:cs="仿宋_GB2312"/>
          <w:spacing w:val="0"/>
          <w:szCs w:val="32"/>
        </w:rPr>
        <w:t>聚焦规划落地、资金平衡、长效运营等关键环节的堵点难点，结合市级城市更新政策，</w:t>
      </w:r>
      <w:r>
        <w:rPr>
          <w:rFonts w:hint="eastAsia" w:ascii="仿宋_GB2312" w:hAnsi="仿宋_GB2312" w:cs="仿宋_GB2312"/>
          <w:spacing w:val="0"/>
          <w:szCs w:val="32"/>
          <w:lang w:val="zh-TW"/>
        </w:rPr>
        <w:t>完善配套政策工具包，通过正负面清单等制度创新，破解城市更新可持续发展难题，完善“政府引导、市场运作、公众参与”的实施路径，鼓励金融机构注入资金，吸引国企、民企等参与更新。践行“人民城市人民建”理念，畅渠道、搭平台，推动多方共治，深化城市治理现代化。</w:t>
      </w:r>
    </w:p>
    <w:p>
      <w:pPr>
        <w:pStyle w:val="4"/>
        <w:numPr>
          <w:ilvl w:val="2"/>
          <w:numId w:val="0"/>
        </w:numPr>
        <w:ind w:left="616" w:leftChars="200"/>
        <w:rPr>
          <w:rFonts w:hint="eastAsia" w:ascii="仿宋_GB2312" w:hAnsi="仿宋_GB2312" w:eastAsia="仿宋_GB2312" w:cs="仿宋_GB2312"/>
          <w:b/>
          <w:bCs/>
        </w:rPr>
      </w:pPr>
      <w:bookmarkStart w:id="655" w:name="_Toc4573"/>
      <w:bookmarkStart w:id="656" w:name="_Toc3376"/>
      <w:bookmarkStart w:id="657" w:name="_Toc19617"/>
      <w:r>
        <w:rPr>
          <w:rFonts w:hint="eastAsia" w:ascii="仿宋_GB2312" w:hAnsi="仿宋_GB2312" w:eastAsia="仿宋_GB2312" w:cs="仿宋_GB2312"/>
          <w:b/>
          <w:bCs/>
        </w:rPr>
        <w:t>（一）推进规划和土地、资金政策机制完善</w:t>
      </w:r>
      <w:bookmarkEnd w:id="655"/>
      <w:bookmarkEnd w:id="656"/>
      <w:bookmarkEnd w:id="657"/>
    </w:p>
    <w:p>
      <w:pPr>
        <w:rPr>
          <w:rFonts w:hint="eastAsia" w:ascii="仿宋_GB2312" w:hAnsi="仿宋_GB2312" w:cs="仿宋_GB2312"/>
          <w:spacing w:val="0"/>
          <w:szCs w:val="32"/>
        </w:rPr>
      </w:pPr>
      <w:r>
        <w:rPr>
          <w:rFonts w:hint="eastAsia" w:ascii="仿宋_GB2312" w:hAnsi="仿宋_GB2312" w:cs="仿宋_GB2312"/>
          <w:spacing w:val="0"/>
          <w:szCs w:val="32"/>
        </w:rPr>
        <w:t>推进规划和政策改进。坚持规划引领，“刚弹结合”原则，以打造职住商服平衡的活力中心为目标，依托综合化城市更新组团重点项目，推进政策在项目上集成落地，提升政策整体效能，发挥叠加效应，吸引社会资本参与，支持项目高质量谋划实施。实行清单化管理、项目化推进。对于全面实施类政策工具，实行免申即享、拿到即用，明确政策工具的实施流程，提供“一站式”办理服务；对于试点推进类政策工具，研提试点项目；对于探索研究类政策工具，研提工作方案。</w:t>
      </w:r>
    </w:p>
    <w:p>
      <w:pPr>
        <w:rPr>
          <w:rFonts w:hint="eastAsia" w:ascii="仿宋_GB2312" w:hAnsi="仿宋_GB2312" w:cs="仿宋_GB2312"/>
          <w:spacing w:val="0"/>
          <w:szCs w:val="32"/>
        </w:rPr>
      </w:pPr>
      <w:r>
        <w:rPr>
          <w:rFonts w:hint="eastAsia" w:ascii="仿宋_GB2312" w:hAnsi="仿宋_GB2312" w:cs="仿宋_GB2312"/>
          <w:spacing w:val="0"/>
          <w:szCs w:val="32"/>
        </w:rPr>
        <w:t>探索多元资金支持。按照“专项债主导、社会资本协同”的原则，保障重大项目推进，扩大社会资本参与，确保城市更新实施。利用好北京市专项债政策，重点支持城中村改造、土地储备、市政基础设施及产业园区建设等项目。积极吸引社会资本参与投资、建设和运营。通过特许经营、股权合作等方式，提高项目收益可持续性。推动保障性租赁住房、产业园区等资产证券化，盘活存量资产，吸引长期资金进入城市更新领域。通过土地出让收益、经营性资产收益（如商业配套、停车位运营）平衡项目资金。</w:t>
      </w:r>
    </w:p>
    <w:p>
      <w:pPr>
        <w:pStyle w:val="4"/>
        <w:numPr>
          <w:ilvl w:val="2"/>
          <w:numId w:val="0"/>
        </w:numPr>
        <w:ind w:left="616" w:leftChars="200"/>
        <w:rPr>
          <w:rFonts w:hint="eastAsia" w:ascii="仿宋_GB2312" w:hAnsi="仿宋_GB2312" w:eastAsia="仿宋_GB2312" w:cs="仿宋_GB2312"/>
          <w:b/>
          <w:bCs/>
        </w:rPr>
      </w:pPr>
      <w:bookmarkStart w:id="658" w:name="_Toc3495"/>
      <w:bookmarkStart w:id="659" w:name="_Toc30902"/>
      <w:bookmarkStart w:id="660" w:name="_Toc10350"/>
      <w:r>
        <w:rPr>
          <w:rFonts w:hint="eastAsia" w:ascii="仿宋_GB2312" w:hAnsi="仿宋_GB2312" w:eastAsia="仿宋_GB2312" w:cs="仿宋_GB2312"/>
          <w:b/>
          <w:bCs/>
        </w:rPr>
        <w:t>（二）强化政府引导与多元参与，构建多方共治格局</w:t>
      </w:r>
      <w:bookmarkEnd w:id="658"/>
      <w:bookmarkEnd w:id="659"/>
      <w:bookmarkEnd w:id="660"/>
    </w:p>
    <w:p>
      <w:pPr>
        <w:rPr>
          <w:rFonts w:hint="eastAsia" w:ascii="仿宋_GB2312" w:hAnsi="仿宋_GB2312" w:cs="仿宋_GB2312"/>
          <w:spacing w:val="0"/>
          <w:szCs w:val="32"/>
        </w:rPr>
      </w:pPr>
      <w:r>
        <w:rPr>
          <w:rFonts w:hint="eastAsia" w:ascii="仿宋_GB2312" w:hAnsi="仿宋_GB2312" w:cs="仿宋_GB2312"/>
          <w:spacing w:val="0"/>
          <w:szCs w:val="32"/>
        </w:rPr>
        <w:t>强化政府统筹。健全组织保障体系。建立“体检－评估”机制，完善可持续的城市更新规划编制体系。创新政策工具，更新迭代《延庆区城市更新议事协调工作指引》，建立物业权利人参与机制，保障知情权、监督权，推动矛盾化解。制定行动计划，统筹存量资源，确保更新项目精准落地。</w:t>
      </w:r>
    </w:p>
    <w:p>
      <w:pPr>
        <w:rPr>
          <w:rFonts w:hint="eastAsia" w:ascii="仿宋_GB2312" w:hAnsi="仿宋_GB2312" w:cs="仿宋_GB2312"/>
          <w:spacing w:val="0"/>
          <w:szCs w:val="32"/>
        </w:rPr>
      </w:pPr>
      <w:r>
        <w:rPr>
          <w:rFonts w:hint="eastAsia" w:ascii="仿宋_GB2312" w:hAnsi="仿宋_GB2312" w:cs="仿宋_GB2312"/>
          <w:spacing w:val="0"/>
          <w:szCs w:val="32"/>
        </w:rPr>
        <w:t>积极政策宣传解读。通过政策宣讲、开展解读培训等多种方式，持续扩大政策知晓面和可达性。主动做好政策解读，提高政策兑现的便利性。运用好“吹哨报到”机制，根据项目需要及时进行政策指导和咨询服务，打通政策落地“最后一公里”。</w:t>
      </w:r>
    </w:p>
    <w:p>
      <w:pPr>
        <w:rPr>
          <w:rFonts w:hint="eastAsia" w:ascii="仿宋_GB2312" w:hAnsi="仿宋_GB2312" w:cs="仿宋_GB2312"/>
          <w:spacing w:val="0"/>
          <w:szCs w:val="32"/>
        </w:rPr>
      </w:pPr>
      <w:r>
        <w:rPr>
          <w:rFonts w:hint="eastAsia" w:ascii="仿宋_GB2312" w:hAnsi="仿宋_GB2312" w:cs="仿宋_GB2312"/>
          <w:spacing w:val="0"/>
          <w:szCs w:val="32"/>
        </w:rPr>
        <w:t>创新市场运作机制。发挥国企带头示范作用，鼓励庆隆公司、八达岭文旅集团等在区企业参与改造，引入新业态、创新利用方式，带动资源盘活和区域发展。支持社会资本通过TOD、EOD等模式参与更新，推动“存量资产+产业运营”一体化开发。设立“城市更新基金”，引入保险资金等长期资本，支持民宿集群、文旅融合等特色项目。注重从“重资产持有”到“轻资产运营”的转型，加强城市更新的运营思维，创新运营模式。鼓励产权业主、社会个体、青年创业者的参与。</w:t>
      </w:r>
    </w:p>
    <w:p>
      <w:pPr>
        <w:rPr>
          <w:rFonts w:hint="eastAsia" w:ascii="仿宋_GB2312" w:hAnsi="仿宋_GB2312" w:cs="仿宋_GB2312"/>
          <w:bCs/>
          <w:spacing w:val="0"/>
          <w:szCs w:val="32"/>
        </w:rPr>
      </w:pPr>
      <w:r>
        <w:rPr>
          <w:rFonts w:hint="eastAsia" w:ascii="仿宋_GB2312" w:hAnsi="仿宋_GB2312" w:cs="仿宋_GB2312"/>
          <w:bCs/>
          <w:spacing w:val="0"/>
          <w:szCs w:val="32"/>
        </w:rPr>
        <w:t>建立“政策制定+执行反馈”机制。组织开展城市更新政策激励工具箱实施效果跟踪评估，重点从市场主体反映和项目推进情况两方面，检验政策工具落地效果。因地制宜针对各类应用场景进一步细化政策工具，在更新模式、政策集成、技术方法等方面积极创新探索。</w:t>
      </w:r>
    </w:p>
    <w:p>
      <w:pPr>
        <w:rPr>
          <w:rFonts w:hint="eastAsia" w:ascii="仿宋_GB2312" w:hAnsi="仿宋_GB2312" w:cs="仿宋_GB2312"/>
          <w:spacing w:val="0"/>
          <w:szCs w:val="32"/>
        </w:rPr>
      </w:pPr>
      <w:r>
        <w:rPr>
          <w:rFonts w:hint="eastAsia" w:ascii="仿宋_GB2312" w:hAnsi="仿宋_GB2312" w:cs="仿宋_GB2312"/>
          <w:bCs/>
          <w:spacing w:val="0"/>
          <w:szCs w:val="32"/>
        </w:rPr>
        <w:t>鼓励多元参与。持续</w:t>
      </w:r>
      <w:r>
        <w:rPr>
          <w:rFonts w:hint="eastAsia" w:ascii="仿宋_GB2312" w:hAnsi="仿宋_GB2312" w:cs="仿宋_GB2312"/>
          <w:spacing w:val="0"/>
          <w:szCs w:val="32"/>
        </w:rPr>
        <w:t>发挥责任规划师作用，深化以“1+7”模式为核心的责任规划体系，发挥专业优势和创新能力，不断探索延庆区城市更新新路径。组建专家智库，对重大项目开展可行性评估，确保科学决策。充分发挥社区基层作用，鼓励社区积极参与共治共建工作。</w:t>
      </w:r>
      <w:r>
        <w:rPr>
          <w:rFonts w:hint="eastAsia" w:ascii="仿宋_GB2312" w:hAnsi="仿宋_GB2312" w:cs="仿宋_GB2312"/>
          <w:spacing w:val="0"/>
          <w:szCs w:val="32"/>
        </w:rPr>
        <w:br w:type="page"/>
      </w:r>
    </w:p>
    <w:bookmarkEnd w:id="561"/>
    <w:p>
      <w:pPr>
        <w:pStyle w:val="34"/>
        <w:spacing w:before="156" w:after="156"/>
        <w:rPr>
          <w:rFonts w:hint="eastAsia"/>
          <w:spacing w:val="0"/>
        </w:rPr>
      </w:pPr>
      <w:bookmarkStart w:id="661" w:name="_Toc12269"/>
      <w:bookmarkStart w:id="662" w:name="_Toc24876"/>
      <w:bookmarkStart w:id="663" w:name="_Toc30390"/>
      <w:bookmarkStart w:id="664" w:name="_Toc3502"/>
      <w:bookmarkStart w:id="665" w:name="_Toc10280"/>
      <w:bookmarkStart w:id="666" w:name="_Hlk209967395"/>
      <w:r>
        <w:rPr>
          <w:rFonts w:hint="eastAsia"/>
          <w:spacing w:val="0"/>
        </w:rPr>
        <w:t>优化民生保障与宜居品质</w:t>
      </w:r>
      <w:bookmarkEnd w:id="661"/>
      <w:bookmarkEnd w:id="662"/>
      <w:bookmarkEnd w:id="663"/>
      <w:bookmarkEnd w:id="664"/>
      <w:bookmarkEnd w:id="665"/>
    </w:p>
    <w:bookmarkEnd w:id="666"/>
    <w:p>
      <w:pPr>
        <w:pStyle w:val="3"/>
        <w:ind w:left="616" w:leftChars="200" w:firstLine="4" w:firstLineChars="0"/>
        <w:jc w:val="left"/>
        <w:rPr>
          <w:rFonts w:hint="eastAsia" w:ascii="楷体_GB2312" w:hAnsi="楷体_GB2312" w:eastAsia="楷体_GB2312" w:cs="楷体_GB2312"/>
          <w:spacing w:val="0"/>
        </w:rPr>
      </w:pPr>
      <w:bookmarkStart w:id="667" w:name="_Toc22898"/>
      <w:bookmarkStart w:id="668" w:name="_Toc24494"/>
      <w:bookmarkStart w:id="669" w:name="_Toc13504"/>
      <w:bookmarkStart w:id="670" w:name="_Toc29121"/>
      <w:bookmarkStart w:id="671" w:name="_Toc21086"/>
      <w:r>
        <w:rPr>
          <w:rFonts w:hint="eastAsia" w:ascii="楷体_GB2312" w:hAnsi="楷体_GB2312" w:eastAsia="楷体_GB2312" w:cs="楷体_GB2312"/>
          <w:spacing w:val="0"/>
        </w:rPr>
        <w:t>强化多元住房保障体系</w:t>
      </w:r>
      <w:bookmarkEnd w:id="667"/>
      <w:bookmarkEnd w:id="668"/>
      <w:bookmarkEnd w:id="669"/>
      <w:bookmarkEnd w:id="670"/>
      <w:bookmarkEnd w:id="671"/>
    </w:p>
    <w:p>
      <w:pPr>
        <w:pStyle w:val="4"/>
        <w:numPr>
          <w:ilvl w:val="2"/>
          <w:numId w:val="0"/>
        </w:numPr>
        <w:ind w:left="616" w:leftChars="200"/>
        <w:rPr>
          <w:rFonts w:hint="eastAsia" w:ascii="仿宋_GB2312" w:hAnsi="仿宋_GB2312" w:eastAsia="仿宋_GB2312" w:cs="仿宋_GB2312"/>
          <w:b/>
          <w:bCs/>
        </w:rPr>
      </w:pPr>
      <w:bookmarkStart w:id="672" w:name="_Toc28814"/>
      <w:bookmarkStart w:id="673" w:name="_Toc12550"/>
      <w:bookmarkStart w:id="674" w:name="_Toc10368"/>
      <w:r>
        <w:rPr>
          <w:rFonts w:hint="eastAsia" w:ascii="仿宋_GB2312" w:hAnsi="仿宋_GB2312" w:eastAsia="仿宋_GB2312" w:cs="仿宋_GB2312"/>
          <w:b/>
          <w:bCs/>
        </w:rPr>
        <w:t>（一）打造梯度化保障性住房体系</w:t>
      </w:r>
      <w:bookmarkEnd w:id="672"/>
      <w:bookmarkEnd w:id="673"/>
      <w:bookmarkEnd w:id="674"/>
    </w:p>
    <w:p>
      <w:pPr>
        <w:rPr>
          <w:rFonts w:hint="eastAsia" w:ascii="仿宋_GB2312" w:hAnsi="仿宋_GB2312" w:cs="仿宋_GB2312"/>
          <w:spacing w:val="0"/>
          <w:szCs w:val="32"/>
        </w:rPr>
      </w:pPr>
      <w:r>
        <w:rPr>
          <w:rFonts w:hint="eastAsia" w:ascii="仿宋_GB2312" w:hAnsi="仿宋_GB2312" w:cs="仿宋_GB2312"/>
          <w:spacing w:val="0"/>
          <w:szCs w:val="32"/>
        </w:rPr>
        <w:t>‌深化公租房兜底保障，持续优化公租房轮候与配租规则。应保尽保“低保、低收入、重残、大病”等特殊困难家庭；优先保障优抚对象、消防救援人员、见义勇为人员、省部级劳模等十二类重点人群家庭；精准保障符合条件的城镇稳定就业外来务工人员，关心关爱农民工以及建筑施工、环卫绿化、市政养护、快递外卖等城市一线劳动者家庭。优化公租房配租及调换政策，提高保障对象家庭人数及结构等因素与分配住房户型的匹配度，对老人、残疾人等特殊群体，根据意愿调换低楼层，因家庭人口增加、就业、子女就学等因素产生需求的，根据房源情况及时给予调换，持续推行“实物配租+货币补贴”双轨保障模式，优化分层分类惠民保障体系，让困难群众住得进、住得好。</w:t>
      </w:r>
    </w:p>
    <w:p>
      <w:pPr>
        <w:rPr>
          <w:rFonts w:hint="eastAsia" w:ascii="仿宋_GB2312" w:hAnsi="仿宋_GB2312" w:cs="仿宋_GB2312"/>
          <w:spacing w:val="0"/>
          <w:szCs w:val="32"/>
        </w:rPr>
      </w:pPr>
      <w:r>
        <w:rPr>
          <w:rFonts w:hint="eastAsia" w:ascii="仿宋_GB2312" w:hAnsi="仿宋_GB2312" w:cs="仿宋_GB2312"/>
          <w:spacing w:val="0"/>
          <w:szCs w:val="32"/>
        </w:rPr>
        <w:t>强化保障性租赁住房支撑，加快解决应届毕业生、新就业、初创业人群等新市民、青年人的阶段性住房困难问题，健全完善“一张床”“一间房”“一套房”的多层次租赁住房供应体系，面向毕业生实施专项配租，加强公寓型、宿舍型保障性租赁住房供给，优化保障性租赁住房户型设计，扩大小户型占比，进一步控制租金、优化户型、稳定租期、健全配套、提升品质、优化服务，引导建设符合当代青年人生活习惯和交往需求的租赁住房，让新市民、青年人在延庆区生活得更方便、更舒心、更美好。</w:t>
      </w:r>
    </w:p>
    <w:p>
      <w:pPr>
        <w:rPr>
          <w:rFonts w:hint="eastAsia" w:ascii="仿宋_GB2312" w:hAnsi="仿宋_GB2312" w:cs="仿宋_GB2312"/>
          <w:spacing w:val="0"/>
          <w:szCs w:val="32"/>
        </w:rPr>
      </w:pPr>
      <w:r>
        <w:rPr>
          <w:rFonts w:hint="eastAsia" w:ascii="仿宋_GB2312" w:hAnsi="仿宋_GB2312" w:cs="仿宋_GB2312"/>
          <w:spacing w:val="0"/>
          <w:szCs w:val="32"/>
        </w:rPr>
        <w:t>加大人才保障房供给力度，结合产业发展与人口导入，保障人才安居，优先布局产业园区及周边、轨道交通站点附近和城市建设重点片区等区域，引导产城人融合、供需适配、人地房联动，推广中关村延庆园人才社区保障性租赁住房模式，着力加强办公学习、休闲娱乐、生活配套、体育锻炼、智慧服务等更多元的配套服务及共享空间打造，切实提升企业和人才的幸福感与获得感。</w:t>
      </w:r>
    </w:p>
    <w:p>
      <w:pPr>
        <w:pStyle w:val="4"/>
        <w:numPr>
          <w:ilvl w:val="2"/>
          <w:numId w:val="0"/>
        </w:numPr>
        <w:ind w:left="616" w:leftChars="200"/>
        <w:rPr>
          <w:rFonts w:hint="eastAsia" w:ascii="仿宋_GB2312" w:hAnsi="仿宋_GB2312" w:eastAsia="仿宋_GB2312" w:cs="仿宋_GB2312"/>
          <w:b/>
          <w:bCs/>
        </w:rPr>
      </w:pPr>
      <w:bookmarkStart w:id="675" w:name="_Toc22580"/>
      <w:bookmarkStart w:id="676" w:name="_Toc22041"/>
      <w:bookmarkStart w:id="677" w:name="_Toc11256"/>
      <w:bookmarkStart w:id="678" w:name="_Hlk215754985"/>
      <w:r>
        <w:rPr>
          <w:rFonts w:hint="eastAsia" w:ascii="仿宋_GB2312" w:hAnsi="仿宋_GB2312" w:eastAsia="仿宋_GB2312" w:cs="仿宋_GB2312"/>
          <w:b/>
          <w:bCs/>
        </w:rPr>
        <w:t>（二）拓展配售型保障性住房新路径</w:t>
      </w:r>
      <w:bookmarkEnd w:id="675"/>
      <w:bookmarkEnd w:id="676"/>
      <w:bookmarkEnd w:id="677"/>
    </w:p>
    <w:bookmarkEnd w:id="678"/>
    <w:p>
      <w:pPr>
        <w:rPr>
          <w:rFonts w:hint="eastAsia" w:ascii="仿宋_GB2312" w:hAnsi="仿宋_GB2312" w:cs="仿宋_GB2312"/>
          <w:spacing w:val="0"/>
          <w:szCs w:val="32"/>
        </w:rPr>
      </w:pPr>
      <w:r>
        <w:rPr>
          <w:rFonts w:hint="eastAsia" w:ascii="仿宋_GB2312" w:hAnsi="仿宋_GB2312" w:cs="仿宋_GB2312"/>
          <w:spacing w:val="0"/>
          <w:szCs w:val="32"/>
        </w:rPr>
        <w:t>完善“市场+保障”的住房供应体系，推进配售型保障性住房筹建、供给和规范运营，遵循“政府主导、市场运作、以需定建、以需定购、封闭管理、合理布局、稳慎推进”原则，解决延庆区住房有困难的工薪收入群体及城市引进人才群体的住房困难问题。</w:t>
      </w:r>
    </w:p>
    <w:p>
      <w:pPr>
        <w:rPr>
          <w:rFonts w:hint="eastAsia" w:ascii="仿宋_GB2312" w:hAnsi="仿宋_GB2312" w:cs="仿宋_GB2312"/>
          <w:spacing w:val="0"/>
          <w:szCs w:val="32"/>
        </w:rPr>
      </w:pPr>
      <w:r>
        <w:rPr>
          <w:rFonts w:hint="eastAsia" w:ascii="仿宋_GB2312" w:hAnsi="仿宋_GB2312" w:cs="仿宋_GB2312"/>
          <w:spacing w:val="0"/>
          <w:szCs w:val="32"/>
        </w:rPr>
        <w:t>通过新建、收购存量房和政策性住房调整等方式筹集建设配售型保障房，采取社会资本投资、专项贷款、财政补助等多元资金筹措方式，强化资金可平衡、发展可持续、积极推广应用先进、成熟、适用、安全的新技术、新工艺、新材料、新设备，打造舒适宜人、绿色节能、配套丰富的居住体验。进一步强化配售型保障性住房建设、申请、配售、使用等环节的监督管理，完善封闭流转制度，建立健全退出机制。</w:t>
      </w:r>
    </w:p>
    <w:p>
      <w:pPr>
        <w:pStyle w:val="4"/>
        <w:numPr>
          <w:ilvl w:val="2"/>
          <w:numId w:val="0"/>
        </w:numPr>
        <w:ind w:left="616" w:leftChars="200"/>
        <w:rPr>
          <w:rFonts w:hint="eastAsia" w:ascii="仿宋_GB2312" w:hAnsi="仿宋_GB2312" w:eastAsia="仿宋_GB2312" w:cs="仿宋_GB2312"/>
          <w:b/>
          <w:bCs/>
        </w:rPr>
      </w:pPr>
      <w:bookmarkStart w:id="679" w:name="_Toc23678"/>
      <w:bookmarkStart w:id="680" w:name="_Toc13351"/>
      <w:bookmarkStart w:id="681" w:name="_Toc877"/>
      <w:bookmarkStart w:id="682" w:name="_Hlk215755017"/>
      <w:bookmarkStart w:id="683" w:name="_Hlk210049797"/>
      <w:r>
        <w:rPr>
          <w:rFonts w:hint="eastAsia" w:ascii="仿宋_GB2312" w:hAnsi="仿宋_GB2312" w:eastAsia="仿宋_GB2312" w:cs="仿宋_GB2312"/>
          <w:b/>
          <w:bCs/>
        </w:rPr>
        <w:t>（三）多渠道筹集建设保障性住房</w:t>
      </w:r>
      <w:bookmarkEnd w:id="679"/>
      <w:bookmarkEnd w:id="680"/>
      <w:bookmarkEnd w:id="681"/>
    </w:p>
    <w:bookmarkEnd w:id="682"/>
    <w:p>
      <w:pPr>
        <w:rPr>
          <w:rFonts w:hint="eastAsia" w:ascii="仿宋_GB2312" w:hAnsi="仿宋_GB2312" w:cs="仿宋_GB2312"/>
          <w:spacing w:val="0"/>
          <w:szCs w:val="32"/>
        </w:rPr>
      </w:pPr>
      <w:r>
        <w:rPr>
          <w:rFonts w:hint="eastAsia" w:ascii="仿宋_GB2312" w:hAnsi="仿宋_GB2312" w:cs="仿宋_GB2312"/>
          <w:spacing w:val="0"/>
          <w:szCs w:val="32"/>
        </w:rPr>
        <w:t>推广“盘活存量为主、适度新增为辅”的存量盘活路径，进一步提升住房保障能力，降低新建成本，促进城市存量土地的有效利用。鼓励改建闲置和低效利用的商业办公、旅馆、厂房、仓储、科研教育等非居住存量房屋。利用企事业单位自有闲置土地、产业园区配套用地建设等，加大房源筹集。对城中村改造、棚户区改造项目空置余量房以及长期空置的保障性租赁住房等政策性住房进行合理调整利用。深化“以购代建”，盘活优质房源，支持政府或国有企业收购市场上的存量商品住房，引导社会力量参与公共租赁住房的新建、配建、改建、购买、长期租赁等领域。鼓励农村集体经济组织通过自建或联营、入股等方式，在合法依规的前提下利用集体经营性建设用地建设保障性租赁住房。</w:t>
      </w:r>
    </w:p>
    <w:bookmarkEnd w:id="683"/>
    <w:p>
      <w:pPr>
        <w:pStyle w:val="3"/>
        <w:ind w:left="616" w:leftChars="200" w:firstLine="4" w:firstLineChars="0"/>
        <w:jc w:val="left"/>
        <w:rPr>
          <w:rFonts w:hint="eastAsia" w:ascii="楷体_GB2312" w:hAnsi="楷体_GB2312" w:eastAsia="楷体_GB2312" w:cs="楷体_GB2312"/>
          <w:spacing w:val="0"/>
        </w:rPr>
      </w:pPr>
      <w:bookmarkStart w:id="684" w:name="_Toc6894"/>
      <w:bookmarkStart w:id="685" w:name="_Toc10687"/>
      <w:bookmarkStart w:id="686" w:name="_Toc1641"/>
      <w:bookmarkStart w:id="687" w:name="_Toc11813"/>
      <w:bookmarkStart w:id="688" w:name="_Toc26022"/>
      <w:r>
        <w:rPr>
          <w:rFonts w:hint="eastAsia" w:ascii="楷体_GB2312" w:hAnsi="楷体_GB2312" w:eastAsia="楷体_GB2312" w:cs="楷体_GB2312"/>
          <w:spacing w:val="0"/>
        </w:rPr>
        <w:t>高质量发展房地产市场</w:t>
      </w:r>
      <w:bookmarkEnd w:id="684"/>
      <w:bookmarkEnd w:id="685"/>
      <w:bookmarkEnd w:id="686"/>
      <w:bookmarkEnd w:id="687"/>
      <w:bookmarkEnd w:id="688"/>
    </w:p>
    <w:p>
      <w:pPr>
        <w:pStyle w:val="4"/>
        <w:numPr>
          <w:ilvl w:val="2"/>
          <w:numId w:val="0"/>
        </w:numPr>
        <w:ind w:left="616" w:leftChars="200"/>
        <w:rPr>
          <w:rFonts w:hint="eastAsia" w:ascii="仿宋_GB2312" w:hAnsi="仿宋_GB2312" w:eastAsia="仿宋_GB2312" w:cs="仿宋_GB2312"/>
          <w:b/>
          <w:bCs/>
        </w:rPr>
      </w:pPr>
      <w:bookmarkStart w:id="689" w:name="_Toc2522"/>
      <w:bookmarkStart w:id="690" w:name="_Toc15768"/>
      <w:bookmarkStart w:id="691" w:name="_Toc6292"/>
      <w:bookmarkStart w:id="692" w:name="_Hlk210050117"/>
      <w:r>
        <w:rPr>
          <w:rFonts w:hint="eastAsia" w:ascii="仿宋_GB2312" w:hAnsi="仿宋_GB2312" w:eastAsia="仿宋_GB2312" w:cs="仿宋_GB2312"/>
          <w:b/>
          <w:bCs/>
        </w:rPr>
        <w:t>（一）有序推进土地供应</w:t>
      </w:r>
      <w:bookmarkEnd w:id="689"/>
      <w:bookmarkEnd w:id="690"/>
      <w:bookmarkEnd w:id="691"/>
    </w:p>
    <w:bookmarkEnd w:id="692"/>
    <w:p>
      <w:pPr>
        <w:rPr>
          <w:rFonts w:hint="eastAsia" w:ascii="仿宋_GB2312" w:hAnsi="仿宋_GB2312" w:cs="仿宋_GB2312"/>
          <w:spacing w:val="0"/>
          <w:szCs w:val="32"/>
        </w:rPr>
      </w:pPr>
      <w:bookmarkStart w:id="693" w:name="_Hlk210050531"/>
      <w:r>
        <w:rPr>
          <w:rFonts w:hint="eastAsia" w:ascii="仿宋_GB2312" w:hAnsi="仿宋_GB2312" w:cs="仿宋_GB2312"/>
          <w:spacing w:val="0"/>
          <w:szCs w:val="32"/>
        </w:rPr>
        <w:t>加快构建房地产发展新模式，全面贯彻“房住不炒”理念，根据整体规划和住房需求，逐步推动住宅地块入市交易，合理把控土地出让节奏，稳妥有序推出土地供应项目，引导土地集约利用、功能适度混合、配套设施健全、绿色低碳发展和特色风貌塑造，重点围绕一河两岸、世园休闲片区、东湖生态片区、中关村延庆园八达岭—康庄等重点地区、环高校创新发展片区等产业聚集程度较高区域，全面提升住房品质，体现片区特色，适配本地居民改善型住房需求、高新技术人才职住需求、旅居康养度假人群需求，有序推进南三村棚改地块、</w:t>
      </w:r>
      <w:bookmarkStart w:id="694" w:name="_Hlk215754365"/>
      <w:r>
        <w:rPr>
          <w:rFonts w:hint="eastAsia" w:ascii="仿宋_GB2312" w:hAnsi="仿宋_GB2312" w:cs="仿宋_GB2312"/>
          <w:spacing w:val="0"/>
          <w:szCs w:val="32"/>
        </w:rPr>
        <w:t>2019年中国北京世界园艺博览会土地一级开发项目（G地块）</w:t>
      </w:r>
      <w:bookmarkEnd w:id="694"/>
      <w:r>
        <w:rPr>
          <w:rFonts w:hint="eastAsia" w:ascii="仿宋_GB2312" w:hAnsi="仿宋_GB2312" w:cs="仿宋_GB2312"/>
          <w:spacing w:val="0"/>
          <w:szCs w:val="32"/>
        </w:rPr>
        <w:t>、八达岭开发区创新家园、八达岭第二居所土地一级开发项目等地块土地供应。通过强化“人房地钱”要素联动机制，加强政府引导，吸引市场主体参与，推动房地产市场平稳高质量发展。</w:t>
      </w:r>
    </w:p>
    <w:bookmarkEnd w:id="693"/>
    <w:p>
      <w:pPr>
        <w:pStyle w:val="4"/>
        <w:numPr>
          <w:ilvl w:val="2"/>
          <w:numId w:val="0"/>
        </w:numPr>
        <w:ind w:left="616" w:leftChars="200"/>
        <w:rPr>
          <w:rFonts w:hint="eastAsia" w:ascii="仿宋_GB2312" w:hAnsi="仿宋_GB2312" w:eastAsia="仿宋_GB2312" w:cs="仿宋_GB2312"/>
          <w:b/>
          <w:bCs/>
        </w:rPr>
      </w:pPr>
      <w:bookmarkStart w:id="695" w:name="_Toc16949"/>
      <w:bookmarkStart w:id="696" w:name="_Toc23037"/>
      <w:bookmarkStart w:id="697" w:name="_Toc18845"/>
      <w:bookmarkStart w:id="698" w:name="_Hlk210050133"/>
      <w:r>
        <w:rPr>
          <w:rFonts w:hint="eastAsia" w:ascii="仿宋_GB2312" w:hAnsi="仿宋_GB2312" w:eastAsia="仿宋_GB2312" w:cs="仿宋_GB2312"/>
          <w:b/>
          <w:bCs/>
        </w:rPr>
        <w:t>（二）打造人民满意的好房子</w:t>
      </w:r>
      <w:bookmarkEnd w:id="695"/>
      <w:bookmarkEnd w:id="696"/>
      <w:bookmarkEnd w:id="697"/>
    </w:p>
    <w:bookmarkEnd w:id="698"/>
    <w:p>
      <w:pPr>
        <w:rPr>
          <w:rFonts w:hint="eastAsia" w:ascii="仿宋_GB2312" w:hAnsi="仿宋_GB2312" w:cs="仿宋_GB2312"/>
          <w:spacing w:val="0"/>
          <w:szCs w:val="32"/>
        </w:rPr>
      </w:pPr>
      <w:bookmarkStart w:id="699" w:name="OLE_LINK206"/>
      <w:bookmarkStart w:id="700" w:name="OLE_LINK212"/>
      <w:bookmarkStart w:id="701" w:name="OLE_LINK207"/>
      <w:bookmarkStart w:id="702" w:name="OLE_LINK37"/>
      <w:r>
        <w:rPr>
          <w:rFonts w:hint="eastAsia" w:ascii="仿宋_GB2312" w:hAnsi="仿宋_GB2312" w:cs="仿宋_GB2312"/>
          <w:spacing w:val="0"/>
          <w:szCs w:val="32"/>
        </w:rPr>
        <w:t>建设安全舒适的韧性好房子，提升建筑全生命周期品质保障，加强抗震、防火、防风、防洪及安防能力，应对气候变化挑战。</w:t>
      </w:r>
      <w:bookmarkStart w:id="703" w:name="OLE_LINK215"/>
      <w:bookmarkStart w:id="704" w:name="OLE_LINK214"/>
      <w:r>
        <w:rPr>
          <w:rFonts w:hint="eastAsia" w:ascii="仿宋_GB2312" w:hAnsi="仿宋_GB2312" w:cs="仿宋_GB2312"/>
          <w:spacing w:val="0"/>
          <w:szCs w:val="32"/>
        </w:rPr>
        <w:t>提升室内光照、空气和用水质量，采用适老化设计，优化室内环境，保障居住健康安全。</w:t>
      </w:r>
      <w:bookmarkStart w:id="705" w:name="OLE_LINK226"/>
      <w:bookmarkStart w:id="706" w:name="OLE_LINK225"/>
      <w:r>
        <w:rPr>
          <w:rFonts w:hint="eastAsia" w:ascii="仿宋_GB2312" w:hAnsi="仿宋_GB2312" w:cs="仿宋_GB2312"/>
          <w:spacing w:val="0"/>
          <w:szCs w:val="32"/>
        </w:rPr>
        <w:t>优化室内空间功能布局，满足不同家庭结构生活多样化需求，注</w:t>
      </w:r>
      <w:bookmarkStart w:id="707" w:name="OLE_LINK224"/>
      <w:r>
        <w:rPr>
          <w:rFonts w:hint="eastAsia" w:ascii="仿宋_GB2312" w:hAnsi="仿宋_GB2312" w:cs="仿宋_GB2312"/>
          <w:spacing w:val="0"/>
          <w:szCs w:val="32"/>
        </w:rPr>
        <w:t>重户型创新与空间尺度优化，强化空间灵活与动线流畅</w:t>
      </w:r>
      <w:bookmarkEnd w:id="705"/>
      <w:bookmarkEnd w:id="706"/>
      <w:bookmarkEnd w:id="707"/>
      <w:r>
        <w:rPr>
          <w:rFonts w:hint="eastAsia" w:ascii="仿宋_GB2312" w:hAnsi="仿宋_GB2312" w:cs="仿宋_GB2312"/>
          <w:spacing w:val="0"/>
          <w:szCs w:val="32"/>
        </w:rPr>
        <w:t>，强调运营维护，降低运营成本，保证设备设施持续稳定运行。</w:t>
      </w:r>
    </w:p>
    <w:bookmarkEnd w:id="699"/>
    <w:bookmarkEnd w:id="700"/>
    <w:bookmarkEnd w:id="701"/>
    <w:bookmarkEnd w:id="703"/>
    <w:bookmarkEnd w:id="704"/>
    <w:p>
      <w:pPr>
        <w:rPr>
          <w:rFonts w:hint="eastAsia" w:ascii="仿宋_GB2312" w:hAnsi="仿宋_GB2312" w:cs="仿宋_GB2312"/>
          <w:spacing w:val="0"/>
          <w:szCs w:val="32"/>
        </w:rPr>
      </w:pPr>
      <w:r>
        <w:rPr>
          <w:rFonts w:hint="eastAsia" w:ascii="仿宋_GB2312" w:hAnsi="仿宋_GB2312" w:cs="仿宋_GB2312"/>
          <w:spacing w:val="0"/>
          <w:szCs w:val="32"/>
        </w:rPr>
        <w:t>打造低碳节能的</w:t>
      </w:r>
      <w:bookmarkEnd w:id="702"/>
      <w:r>
        <w:rPr>
          <w:rFonts w:hint="eastAsia" w:ascii="仿宋_GB2312" w:hAnsi="仿宋_GB2312" w:cs="仿宋_GB2312"/>
          <w:spacing w:val="0"/>
          <w:szCs w:val="32"/>
        </w:rPr>
        <w:t>绿色好房子，践行绿色发展理念，采用适宜的绿色低碳建筑技术，鼓励应用新材料、新技术、新工艺，实现建筑全生命周期品质保障。推广高星级绿色建筑、装配式建筑、超低能耗建筑、近零能耗建筑，新建居住建筑执行绿色建筑二星级以上标准。有序推进公共建筑、老旧小区等既有建筑节能绿色化改造。深化可再生能源建筑应用，大力提升新建建筑房屋光伏覆盖率。大力推广绿色建造方式，扩大绿色建材应用比例，装配式建筑占新建建筑面积比例达到60%。</w:t>
      </w:r>
    </w:p>
    <w:p>
      <w:pPr>
        <w:rPr>
          <w:rFonts w:hint="eastAsia" w:ascii="仿宋_GB2312" w:hAnsi="仿宋_GB2312" w:cs="仿宋_GB2312"/>
          <w:spacing w:val="0"/>
          <w:szCs w:val="32"/>
        </w:rPr>
      </w:pPr>
      <w:bookmarkStart w:id="708" w:name="OLE_LINK233"/>
      <w:bookmarkStart w:id="709" w:name="OLE_LINK232"/>
      <w:bookmarkStart w:id="710" w:name="OLE_LINK234"/>
      <w:bookmarkStart w:id="711" w:name="OLE_LINK231"/>
      <w:bookmarkStart w:id="712" w:name="OLE_LINK210"/>
      <w:bookmarkStart w:id="713" w:name="OLE_LINK211"/>
      <w:r>
        <w:rPr>
          <w:rFonts w:hint="eastAsia" w:ascii="仿宋_GB2312" w:hAnsi="仿宋_GB2312" w:cs="仿宋_GB2312"/>
          <w:spacing w:val="0"/>
          <w:szCs w:val="32"/>
        </w:rPr>
        <w:t>打造智慧便利的</w:t>
      </w:r>
      <w:bookmarkEnd w:id="708"/>
      <w:bookmarkEnd w:id="709"/>
      <w:bookmarkEnd w:id="710"/>
      <w:bookmarkEnd w:id="711"/>
      <w:bookmarkStart w:id="714" w:name="OLE_LINK235"/>
      <w:r>
        <w:rPr>
          <w:rFonts w:hint="eastAsia" w:ascii="仿宋_GB2312" w:hAnsi="仿宋_GB2312" w:cs="仿宋_GB2312"/>
          <w:spacing w:val="0"/>
          <w:szCs w:val="32"/>
        </w:rPr>
        <w:t>智能好房子，推进智慧化标杆示范项目打造，倡导运用新一代信息技术，设置智慧安防、智慧管家、智慧停车、智慧养老等智慧管理系统应用于新建居住区。推广智能安防、智能家居、智能健康监测功能，</w:t>
      </w:r>
      <w:bookmarkEnd w:id="714"/>
      <w:r>
        <w:rPr>
          <w:rFonts w:hint="eastAsia" w:ascii="仿宋_GB2312" w:hAnsi="仿宋_GB2312" w:cs="仿宋_GB2312"/>
          <w:spacing w:val="0"/>
          <w:szCs w:val="32"/>
        </w:rPr>
        <w:t>满足居民线上获得自然灾害预警提醒、预约诊疗、房屋租赁、交通出行等社会化服务的需求，设置居家异常行为监控、紧急呼叫、健康管理等适老化服务。</w:t>
      </w:r>
    </w:p>
    <w:bookmarkEnd w:id="712"/>
    <w:bookmarkEnd w:id="713"/>
    <w:p>
      <w:pPr>
        <w:ind w:firstLine="616"/>
        <w:rPr>
          <w:rFonts w:hint="eastAsia" w:ascii="仿宋_GB2312" w:hAnsi="仿宋_GB2312" w:cs="仿宋_GB2312"/>
          <w:szCs w:val="32"/>
        </w:rPr>
      </w:pPr>
      <w:r>
        <w:rPr>
          <w:rFonts w:hint="eastAsia" w:ascii="仿宋_GB2312" w:hAnsi="仿宋_GB2312" w:cs="仿宋_GB2312"/>
          <w:szCs w:val="32"/>
        </w:rPr>
        <w:t>打造住有宜居的美丽好房子，立足于优质山水环境，探索建设低密度、高品质住区，增强相邻街道空间连续性，塑造完整、积极的城市界面，强化小街区、密路网建设，确保住宅和公共空间视廊视线通畅，建筑布局高低错落有致，与周边城市天际线和谐统一，营造宜人的空间尺度。塑造与自然相融合的特色住区风貌，把控立面色彩与材质，提升建筑外观品质，符合地域文化，增强建筑可识别性，对建筑屋顶色彩与形式、屋顶绿化、太阳能利用等进行一体化设计，营造与环境相协调、具有可辨识度的第五立面。</w:t>
      </w:r>
    </w:p>
    <w:p>
      <w:pPr>
        <w:pStyle w:val="4"/>
        <w:numPr>
          <w:ilvl w:val="2"/>
          <w:numId w:val="0"/>
        </w:numPr>
        <w:ind w:left="616" w:leftChars="200"/>
        <w:rPr>
          <w:rFonts w:hint="eastAsia" w:ascii="仿宋_GB2312" w:hAnsi="仿宋_GB2312" w:eastAsia="仿宋_GB2312" w:cs="仿宋_GB2312"/>
          <w:b/>
          <w:bCs/>
        </w:rPr>
      </w:pPr>
      <w:bookmarkStart w:id="715" w:name="_Toc6902"/>
      <w:bookmarkStart w:id="716" w:name="_Toc14549"/>
      <w:bookmarkStart w:id="717" w:name="_Toc6989"/>
      <w:r>
        <w:rPr>
          <w:rFonts w:hint="eastAsia" w:ascii="仿宋_GB2312" w:hAnsi="仿宋_GB2312" w:eastAsia="仿宋_GB2312" w:cs="仿宋_GB2312"/>
          <w:b/>
          <w:bCs/>
        </w:rPr>
        <w:t>（三）构建特色旅居康养住房体系</w:t>
      </w:r>
      <w:bookmarkEnd w:id="715"/>
      <w:bookmarkEnd w:id="716"/>
      <w:bookmarkEnd w:id="717"/>
    </w:p>
    <w:p>
      <w:pPr>
        <w:rPr>
          <w:rFonts w:hint="eastAsia" w:ascii="仿宋_GB2312" w:hAnsi="仿宋_GB2312" w:cs="仿宋_GB2312"/>
          <w:spacing w:val="0"/>
          <w:szCs w:val="32"/>
        </w:rPr>
      </w:pPr>
      <w:bookmarkStart w:id="718" w:name="_Hlk210050850"/>
      <w:r>
        <w:rPr>
          <w:rFonts w:hint="eastAsia" w:ascii="仿宋_GB2312" w:hAnsi="仿宋_GB2312" w:cs="仿宋_GB2312"/>
          <w:spacing w:val="0"/>
          <w:szCs w:val="32"/>
        </w:rPr>
        <w:t>充分发挥延庆区“北京夏都”气候优势，面向京津冀二居所、康养度假、候鸟旅居、养老养生人群，构建“旅居+”健康、旅游、教育、文化、森林、养生等多业态跨界融合的旅居发展新格局，推动生态资源向生态产品与生态服务转化，打造集康体疗养、心灵放松、情绪调节、饮食养生、理疗保健、精神陶冶、休闲娱乐于一体的旅居度假产品。发挥世园片区花园低密居住体验及高品质医养配套优势，着力提升新华家园服务能级，高质量推进八达岭第二居所项目，探索旅居长租服务模式，提供理疗保健、送餐、洗衣、周边游接送等多元服务。</w:t>
      </w:r>
    </w:p>
    <w:bookmarkEnd w:id="718"/>
    <w:p>
      <w:pPr>
        <w:pStyle w:val="3"/>
        <w:ind w:left="616" w:leftChars="200" w:firstLine="4" w:firstLineChars="0"/>
        <w:jc w:val="left"/>
        <w:rPr>
          <w:rFonts w:hint="eastAsia" w:ascii="楷体_GB2312" w:hAnsi="楷体_GB2312" w:eastAsia="楷体_GB2312" w:cs="楷体_GB2312"/>
          <w:spacing w:val="0"/>
        </w:rPr>
      </w:pPr>
      <w:bookmarkStart w:id="719" w:name="_Toc22099"/>
      <w:bookmarkStart w:id="720" w:name="_Toc30999"/>
      <w:bookmarkStart w:id="721" w:name="_Toc26848"/>
      <w:bookmarkStart w:id="722" w:name="_Toc15456"/>
      <w:bookmarkStart w:id="723" w:name="_Toc8736"/>
      <w:r>
        <w:rPr>
          <w:rFonts w:hint="eastAsia" w:ascii="楷体_GB2312" w:hAnsi="楷体_GB2312" w:eastAsia="楷体_GB2312" w:cs="楷体_GB2312"/>
          <w:spacing w:val="0"/>
        </w:rPr>
        <w:t>打造高品质公共服务</w:t>
      </w:r>
      <w:bookmarkEnd w:id="719"/>
      <w:bookmarkEnd w:id="720"/>
      <w:bookmarkEnd w:id="721"/>
      <w:bookmarkEnd w:id="722"/>
      <w:bookmarkEnd w:id="723"/>
    </w:p>
    <w:p>
      <w:pPr>
        <w:pStyle w:val="4"/>
        <w:numPr>
          <w:ilvl w:val="2"/>
          <w:numId w:val="0"/>
        </w:numPr>
        <w:ind w:left="616" w:leftChars="200"/>
        <w:rPr>
          <w:rFonts w:hint="eastAsia" w:ascii="仿宋_GB2312" w:hAnsi="仿宋_GB2312" w:eastAsia="仿宋_GB2312" w:cs="仿宋_GB2312"/>
          <w:b/>
          <w:bCs/>
        </w:rPr>
      </w:pPr>
      <w:bookmarkStart w:id="724" w:name="_Toc4345"/>
      <w:bookmarkStart w:id="725" w:name="_Toc31623"/>
      <w:bookmarkStart w:id="726" w:name="_Toc6032"/>
      <w:bookmarkStart w:id="727" w:name="_Hlk210050173"/>
      <w:r>
        <w:rPr>
          <w:rFonts w:hint="eastAsia" w:ascii="仿宋_GB2312" w:hAnsi="仿宋_GB2312" w:eastAsia="仿宋_GB2312" w:cs="仿宋_GB2312"/>
          <w:b/>
          <w:bCs/>
        </w:rPr>
        <w:t>（一）强化特色服务供给</w:t>
      </w:r>
      <w:bookmarkEnd w:id="724"/>
      <w:bookmarkEnd w:id="725"/>
      <w:bookmarkEnd w:id="726"/>
    </w:p>
    <w:bookmarkEnd w:id="727"/>
    <w:p>
      <w:pPr>
        <w:rPr>
          <w:rFonts w:hint="eastAsia" w:ascii="仿宋_GB2312" w:hAnsi="仿宋_GB2312" w:cs="仿宋_GB2312"/>
          <w:spacing w:val="0"/>
          <w:szCs w:val="32"/>
        </w:rPr>
      </w:pPr>
      <w:r>
        <w:rPr>
          <w:rFonts w:hint="eastAsia" w:ascii="仿宋_GB2312" w:hAnsi="仿宋_GB2312" w:cs="仿宋_GB2312"/>
          <w:spacing w:val="0"/>
          <w:szCs w:val="32"/>
        </w:rPr>
        <w:t>着力</w:t>
      </w:r>
      <w:bookmarkStart w:id="728" w:name="_Hlk210121039"/>
      <w:r>
        <w:rPr>
          <w:rFonts w:hint="eastAsia" w:ascii="仿宋_GB2312" w:hAnsi="仿宋_GB2312" w:cs="仿宋_GB2312"/>
          <w:spacing w:val="0"/>
          <w:szCs w:val="32"/>
        </w:rPr>
        <w:t>构建优质、均衡、特色的公共服务体系，在持续提升“七有”“五性”保障水平，注重结构性补短板的基础上，更有针对性地强化医疗、体育、教育、养老等高品质特色服务，创新“生态公服”供给，打造京北公共服务创新示范区。</w:t>
      </w:r>
      <w:bookmarkEnd w:id="728"/>
    </w:p>
    <w:p>
      <w:pPr>
        <w:rPr>
          <w:rFonts w:hint="eastAsia" w:ascii="仿宋_GB2312" w:hAnsi="仿宋_GB2312" w:cs="仿宋_GB2312"/>
          <w:spacing w:val="0"/>
          <w:szCs w:val="32"/>
        </w:rPr>
      </w:pPr>
      <w:r>
        <w:rPr>
          <w:rFonts w:hint="eastAsia" w:ascii="仿宋_GB2312" w:hAnsi="仿宋_GB2312" w:cs="仿宋_GB2312"/>
          <w:spacing w:val="0"/>
          <w:szCs w:val="32"/>
        </w:rPr>
        <w:t>改造拓展优质教育空间，持续推进“小而精小而美”校园建设，推进集团化办学、“大思政课”等教育综合改革，加快创建国家学前教育普及、普惠示范区和义务教育优质均衡发展区。大力发展社区嵌入式托育服务，健全普惠托育体系，让“小小孩”幼有所托、幼有所育。</w:t>
      </w:r>
    </w:p>
    <w:p>
      <w:pPr>
        <w:rPr>
          <w:rFonts w:hint="eastAsia" w:ascii="仿宋_GB2312" w:hAnsi="仿宋_GB2312" w:cs="仿宋_GB2312"/>
          <w:spacing w:val="0"/>
          <w:szCs w:val="32"/>
        </w:rPr>
      </w:pPr>
      <w:r>
        <w:rPr>
          <w:rFonts w:hint="eastAsia" w:ascii="仿宋_GB2312" w:hAnsi="仿宋_GB2312" w:cs="仿宋_GB2312"/>
          <w:spacing w:val="0"/>
          <w:szCs w:val="32"/>
        </w:rPr>
        <w:t>创新医疗设施供给模式，深化市区医院医疗卫生合作，组建医联体、专科联盟和远程诊疗平台，推进三甲医院建设，向怀来、赤城等周边地区开放共享医疗资源，推进全国中医药示范区创建，推动医疗服务与旅游、体育训练、高品质养老、康养旅居度假结合，打造医养结合模式，完善基层医疗卫生服务体系，村卫生室一体化管理率达到100%。推进延庆区医院门诊楼及西病房楼改扩建工程，围绕北京新华家园养老社区在南部新城引进高品质医疗机构。</w:t>
      </w:r>
    </w:p>
    <w:p>
      <w:pPr>
        <w:rPr>
          <w:rFonts w:hint="eastAsia" w:ascii="仿宋_GB2312" w:hAnsi="仿宋_GB2312" w:cs="仿宋_GB2312"/>
          <w:spacing w:val="0"/>
          <w:szCs w:val="32"/>
        </w:rPr>
      </w:pPr>
      <w:r>
        <w:rPr>
          <w:rFonts w:hint="eastAsia" w:ascii="仿宋_GB2312" w:hAnsi="仿宋_GB2312" w:cs="仿宋_GB2312"/>
          <w:spacing w:val="0"/>
          <w:szCs w:val="32"/>
        </w:rPr>
        <w:t>打造科技、生态、共享的全民健身设施建设，发挥延庆冰雪体育优势，发展全民体育运动，配置基层体育设施，构建覆盖城乡、优质均衡、层次分明的公共体育服务体系。鼓励体育场地与公共空间、文化设施融合利用，完善15分钟健身生活圈，提升体育场馆的四季运营能力，依托京张体育文化旅游带建设，利用冬奥场馆设施资源，引入国际高端冰雪赛事、商展会议、专业滑雪运动，建设青少年冰雪训练中心，举办全民健身活动，加强科技体育功能，积极引入电竞、机器人竞赛等数字体育盛会。</w:t>
      </w:r>
    </w:p>
    <w:p>
      <w:pPr>
        <w:rPr>
          <w:rFonts w:hint="eastAsia" w:ascii="仿宋_GB2312" w:hAnsi="仿宋_GB2312" w:cs="仿宋_GB2312"/>
          <w:spacing w:val="0"/>
          <w:szCs w:val="32"/>
        </w:rPr>
      </w:pPr>
      <w:r>
        <w:rPr>
          <w:rFonts w:hint="eastAsia" w:ascii="仿宋_GB2312" w:hAnsi="仿宋_GB2312" w:cs="仿宋_GB2312"/>
          <w:spacing w:val="0"/>
          <w:szCs w:val="32"/>
        </w:rPr>
        <w:t>着力增加养老服务供给，盘活新华家园社区，引进高品质养老机构，吸引京津冀地区高端养老人群。开发旅居康养、漫游、家庭游、怀旧游等养老产品。通过新建、升级改造等方式建设街道（乡镇）区域养老服务中心，为老年人就近提供普惠养老服务，开展“老老人”家庭病床与照护床位“两床融合”实践，以社会化、互助式运营思路健全养老助餐服务体系，探索居家、社区、机构三类养老服务融合，夯实居家养老服务“最后一米”。</w:t>
      </w:r>
    </w:p>
    <w:p>
      <w:pPr>
        <w:rPr>
          <w:rFonts w:hint="eastAsia" w:ascii="仿宋_GB2312" w:hAnsi="仿宋_GB2312" w:cs="仿宋_GB2312"/>
          <w:spacing w:val="0"/>
          <w:szCs w:val="32"/>
        </w:rPr>
      </w:pPr>
      <w:r>
        <w:rPr>
          <w:rFonts w:hint="eastAsia" w:ascii="仿宋_GB2312" w:hAnsi="仿宋_GB2312" w:cs="仿宋_GB2312"/>
          <w:spacing w:val="0"/>
          <w:szCs w:val="32"/>
        </w:rPr>
        <w:t>推动特色文化设施建设，着力提升国际文化交往功能，构建现代公共文化服务体系，加强长城文化、世园文化、冰雪文化、体育文化、非遗民俗文化、生态文化等特色文化设施建设。提升八达岭长城国际文化交往和展示功能，打造八达岭文化小镇，推进中国长城博物馆改造工程，加强京张体育文化旅游带建设，打造永宁古城文化聚集区，建设永宁古城文化博物馆，在各乡镇更新、建设一批特色文化场馆，促进非物质文化遗产活态传承，提升设施数字化水平，持续增加群众文化活动，重点补充村庄基层文化设施。</w:t>
      </w:r>
    </w:p>
    <w:p>
      <w:pPr>
        <w:rPr>
          <w:rFonts w:hint="eastAsia" w:ascii="仿宋_GB2312" w:hAnsi="仿宋_GB2312" w:cs="仿宋_GB2312"/>
          <w:spacing w:val="0"/>
          <w:szCs w:val="32"/>
        </w:rPr>
      </w:pPr>
      <w:r>
        <w:rPr>
          <w:rFonts w:hint="eastAsia" w:ascii="仿宋_GB2312" w:hAnsi="仿宋_GB2312" w:cs="仿宋_GB2312"/>
          <w:spacing w:val="0"/>
          <w:szCs w:val="32"/>
        </w:rPr>
        <w:t>立足国际标准，打造高品质旅游服务设施，构建城镇、乡村、景区联动的旅游服务网络，持续加强世园、八达岭长城、冬奥</w:t>
      </w:r>
      <w:r>
        <w:rPr>
          <w:rFonts w:ascii="仿宋_GB2312" w:hAnsi="仿宋_GB2312" w:cs="仿宋_GB2312"/>
          <w:spacing w:val="0"/>
          <w:szCs w:val="32"/>
        </w:rPr>
        <w:t>体育</w:t>
      </w:r>
      <w:r>
        <w:rPr>
          <w:rFonts w:hint="eastAsia" w:ascii="仿宋_GB2312" w:hAnsi="仿宋_GB2312" w:cs="仿宋_GB2312"/>
          <w:spacing w:val="0"/>
          <w:szCs w:val="32"/>
        </w:rPr>
        <w:t>、永宁古城集中复合旅游服务基地建设，完善各类景区旅游服务中心建设，特色村庄与景区联动打造旅游服务点。围绕京张体育文化旅游带、世园妫水生态休闲户外运动公园、百里画廊休闲康养带、百里骑行公路，完善骑行、徒步、健身等沿线设施。打造“核心文化亮点引爆+四季有主题+全要素覆盖”的IP体系，提升区域文化品牌辨识度和价值。</w:t>
      </w:r>
    </w:p>
    <w:p>
      <w:pPr>
        <w:rPr>
          <w:rFonts w:hint="eastAsia" w:ascii="仿宋_GB2312" w:hAnsi="仿宋_GB2312" w:cs="仿宋_GB2312"/>
          <w:spacing w:val="0"/>
          <w:szCs w:val="32"/>
        </w:rPr>
      </w:pPr>
      <w:r>
        <w:rPr>
          <w:rFonts w:hint="eastAsia" w:ascii="仿宋_GB2312" w:hAnsi="仿宋_GB2312" w:cs="仿宋_GB2312"/>
          <w:spacing w:val="0"/>
          <w:szCs w:val="32"/>
        </w:rPr>
        <w:t>创新多业融合特色消费场景，紧抓首都都市圈消费需求，深入推进重点消费领域供给侧结构性改革，深化文商旅体多业态融合，统筹线上线下消费结合，加大旅游消费、体育消费、健康消费、服务消费、体验消费等新型消费供给，着力推动传统消费体验化、品质化、数字化提升。推出一批首店经济，打造“夜长城、夜世园、夜海坨”等夜间消费体验，打造“永宁夜古城”品牌。</w:t>
      </w:r>
    </w:p>
    <w:p>
      <w:pPr>
        <w:rPr>
          <w:rFonts w:hint="eastAsia" w:ascii="仿宋_GB2312" w:hAnsi="仿宋_GB2312" w:cs="仿宋_GB2312"/>
          <w:spacing w:val="0"/>
          <w:szCs w:val="32"/>
        </w:rPr>
      </w:pPr>
      <w:r>
        <w:rPr>
          <w:rFonts w:hint="eastAsia" w:ascii="仿宋_GB2312" w:hAnsi="仿宋_GB2312" w:cs="仿宋_GB2312"/>
          <w:spacing w:val="0"/>
          <w:szCs w:val="32"/>
        </w:rPr>
        <w:t>积极稳步推进“平急两用”公共基础设施建设。重点围绕旅游居住、高速公路服务区旅居集散地、医疗应急服务点、城郊大仓物流基地、多功能公共服务设施等五类设施，盘活利用存量资源，推进建设一批具有首都特点的“平急两用”公共基础设施。</w:t>
      </w:r>
    </w:p>
    <w:p>
      <w:pPr>
        <w:pStyle w:val="4"/>
        <w:numPr>
          <w:ilvl w:val="2"/>
          <w:numId w:val="0"/>
        </w:numPr>
        <w:ind w:left="616" w:leftChars="200"/>
        <w:rPr>
          <w:rFonts w:hint="eastAsia" w:ascii="仿宋_GB2312" w:hAnsi="仿宋_GB2312" w:eastAsia="仿宋_GB2312" w:cs="仿宋_GB2312"/>
          <w:b/>
          <w:bCs/>
        </w:rPr>
      </w:pPr>
      <w:bookmarkStart w:id="729" w:name="_Toc21991"/>
      <w:bookmarkStart w:id="730" w:name="_Toc12343"/>
      <w:bookmarkStart w:id="731" w:name="_Toc8566"/>
      <w:bookmarkStart w:id="732" w:name="_Hlk207613766"/>
      <w:r>
        <w:rPr>
          <w:rFonts w:hint="eastAsia" w:ascii="仿宋_GB2312" w:hAnsi="仿宋_GB2312" w:eastAsia="仿宋_GB2312" w:cs="仿宋_GB2312"/>
          <w:b/>
          <w:bCs/>
        </w:rPr>
        <w:t>（二）完善便民服务体系</w:t>
      </w:r>
      <w:bookmarkEnd w:id="729"/>
      <w:bookmarkEnd w:id="730"/>
      <w:bookmarkEnd w:id="731"/>
    </w:p>
    <w:p>
      <w:pPr>
        <w:rPr>
          <w:rFonts w:hint="eastAsia" w:ascii="仿宋_GB2312" w:hAnsi="仿宋_GB2312" w:cs="仿宋_GB2312"/>
          <w:spacing w:val="0"/>
          <w:szCs w:val="32"/>
        </w:rPr>
      </w:pPr>
      <w:r>
        <w:rPr>
          <w:rFonts w:hint="eastAsia" w:ascii="仿宋_GB2312" w:hAnsi="仿宋_GB2312" w:cs="仿宋_GB2312"/>
          <w:spacing w:val="0"/>
          <w:szCs w:val="32"/>
        </w:rPr>
        <w:t>打造人民安居的</w:t>
      </w:r>
      <w:bookmarkStart w:id="733" w:name="_Hlk210121476"/>
      <w:r>
        <w:rPr>
          <w:rFonts w:hint="eastAsia" w:ascii="仿宋_GB2312" w:hAnsi="仿宋_GB2312" w:cs="仿宋_GB2312"/>
          <w:spacing w:val="0"/>
          <w:szCs w:val="32"/>
        </w:rPr>
        <w:t>“好小区”“好社区”，着力强化“5～15分钟”社区生活圈建设，积极探索完整社区打造模式，推行涵盖医疗、康养、养老、托幼、运动健身、文化服务等功能在内的社区服务综合体模式，满足多元化、个性化、品质化的生活需求。完善全龄公共设施，提供健康安全公共环境，营造宜老宜幼的活动场景，利用小微绿地、边角空间提供公共交往功能，布局社区游园、多功能运动场地，推动无障碍环境建设，创造健康活力的居住氛围，打造公共交往会客厅。鼓励闲置空间利用与空间功能复合打造，重点补充综合超市、社区食堂、菜市场、家政、便民维修、文化活动设施等基础民生保障业态。进一步增补机动车及非机动车停车位，新建固定车位100%建设充电基础设施或预留安装条件。</w:t>
      </w:r>
      <w:bookmarkEnd w:id="733"/>
    </w:p>
    <w:bookmarkEnd w:id="732"/>
    <w:p>
      <w:pPr>
        <w:pStyle w:val="4"/>
        <w:numPr>
          <w:ilvl w:val="2"/>
          <w:numId w:val="0"/>
        </w:numPr>
        <w:ind w:left="616" w:leftChars="200"/>
        <w:rPr>
          <w:rFonts w:hint="eastAsia" w:ascii="仿宋_GB2312" w:hAnsi="仿宋_GB2312" w:eastAsia="仿宋_GB2312" w:cs="仿宋_GB2312"/>
          <w:b/>
          <w:bCs/>
        </w:rPr>
      </w:pPr>
      <w:bookmarkStart w:id="734" w:name="_Toc24531"/>
      <w:bookmarkStart w:id="735" w:name="_Toc25788"/>
      <w:bookmarkStart w:id="736" w:name="_Toc27991"/>
      <w:bookmarkStart w:id="737" w:name="_Hlk210050204"/>
      <w:r>
        <w:rPr>
          <w:rFonts w:hint="eastAsia" w:ascii="仿宋_GB2312" w:hAnsi="仿宋_GB2312" w:eastAsia="仿宋_GB2312" w:cs="仿宋_GB2312"/>
          <w:b/>
          <w:bCs/>
        </w:rPr>
        <w:t>（三）塑造城园融合环境</w:t>
      </w:r>
      <w:bookmarkEnd w:id="734"/>
      <w:bookmarkEnd w:id="735"/>
      <w:bookmarkEnd w:id="736"/>
    </w:p>
    <w:bookmarkEnd w:id="737"/>
    <w:p>
      <w:pPr>
        <w:rPr>
          <w:rFonts w:hint="eastAsia" w:ascii="仿宋_GB2312" w:hAnsi="仿宋_GB2312" w:cs="仿宋_GB2312"/>
          <w:spacing w:val="0"/>
          <w:szCs w:val="32"/>
        </w:rPr>
      </w:pPr>
      <w:bookmarkStart w:id="738" w:name="_Hlk210050391"/>
      <w:r>
        <w:rPr>
          <w:rFonts w:hint="eastAsia" w:ascii="仿宋_GB2312" w:hAnsi="仿宋_GB2312" w:cs="仿宋_GB2312"/>
          <w:spacing w:val="0"/>
          <w:szCs w:val="32"/>
        </w:rPr>
        <w:t>以“滨水活力走廊、无界公园网络、城市画廊”串联织补城市功能，强化山川、绿化、水系景观与城市、住区有机融合，创新“城园融合－花园经济”新场景及运营新模式，植入“花园城市”“无界公园”“宠物友好”“全龄友好公园”“城市微度假”等新理念，打造可感知的花园绿色场景。提质改造老城片区公园品质及运营水平，将香水苑公园、江水泉公园、妫水公园、东湖公园（含体育公园）、三里河湿地公园五个大型公园打造为“花园经济示范公园”；打造高铁站周边区域精品示范区无界公园网络，依托世园公园、百泉公园、科创公园、迎宾公园等，拆栏透绿，植入小微绿地，强化绿道串联公园绿地，打通妫河绿道；依托延庆高铁站及周边生态资源，以交通枢纽为引擎，融合商业、运动、文化及生态功能，打造京张高铁延庆站站前公园综合体；联动体育馆、东湖公园、体育公园及东侧林地，整体打造为集运动、健康、竞技、赛事于一体的体育公园户外运动综合体。</w:t>
      </w:r>
    </w:p>
    <w:p>
      <w:pPr>
        <w:rPr>
          <w:rFonts w:hint="eastAsia" w:ascii="仿宋_GB2312" w:hAnsi="仿宋_GB2312" w:cs="仿宋_GB2312"/>
          <w:spacing w:val="0"/>
          <w:szCs w:val="32"/>
        </w:rPr>
      </w:pPr>
      <w:r>
        <w:rPr>
          <w:rFonts w:hint="eastAsia" w:ascii="仿宋_GB2312" w:hAnsi="仿宋_GB2312" w:cs="仿宋_GB2312"/>
          <w:spacing w:val="0"/>
          <w:szCs w:val="32"/>
        </w:rPr>
        <w:t>营造人与自然和谐共生的宜居体验，强化社区与山川、绿化、水系景观的有机融合，打造可感知的绿色场景，构建内外交融的花园住区。塑造望山亲水、森拥园簇的花园社区环境，重视住区内部景观环境与外部社区公园、小微绿地、林荫绿道等绿色空间的渗透、连通关系，倡导采用景观围栏、花箱花墙等花园式打造方法，削弱住区边界的封闭性与阻隔感，增强住区内外透绿、显绿水平，引导住区内绿色公共空间融入城市，鼓励在住宅首层设置视线通透、空间开敞的架空层，探索结合北方气候特点局部设置适宜的围护设施，打造室内外融合的共享绿色公共空间。提高住区植物绿量和绿视率，优先选用乡土植物，避免选用致敏植物，加强住区植物色彩搭配，引导全域彩化，打造与城市色彩主基调相匹配、四季分明的生动住区景观。老旧小区结合实际情况，因地制宜、见缝插针，构建低维护、高韧性的植物群落。打造小而精、小而美的无界绿化空间和花园生活街区，促进全民共建共享生态文明场景。</w:t>
      </w:r>
    </w:p>
    <w:bookmarkEnd w:id="738"/>
    <w:p>
      <w:pPr>
        <w:pStyle w:val="4"/>
        <w:numPr>
          <w:ilvl w:val="2"/>
          <w:numId w:val="0"/>
        </w:numPr>
        <w:ind w:left="616" w:leftChars="200"/>
        <w:rPr>
          <w:rFonts w:hint="eastAsia" w:ascii="仿宋_GB2312" w:hAnsi="仿宋_GB2312" w:eastAsia="仿宋_GB2312" w:cs="仿宋_GB2312"/>
          <w:b/>
          <w:bCs/>
        </w:rPr>
      </w:pPr>
      <w:bookmarkStart w:id="739" w:name="_Toc12634"/>
      <w:bookmarkStart w:id="740" w:name="_Toc2728"/>
      <w:bookmarkStart w:id="741" w:name="_Toc31642"/>
      <w:bookmarkStart w:id="742" w:name="_Hlk210050217"/>
      <w:r>
        <w:rPr>
          <w:rFonts w:hint="eastAsia" w:ascii="仿宋_GB2312" w:hAnsi="仿宋_GB2312" w:eastAsia="仿宋_GB2312" w:cs="仿宋_GB2312"/>
          <w:b/>
          <w:bCs/>
        </w:rPr>
        <w:t>（四）建设韧性宜居村镇</w:t>
      </w:r>
      <w:bookmarkEnd w:id="739"/>
      <w:bookmarkEnd w:id="740"/>
      <w:bookmarkEnd w:id="741"/>
    </w:p>
    <w:bookmarkEnd w:id="742"/>
    <w:p>
      <w:pPr>
        <w:rPr>
          <w:rFonts w:hint="eastAsia" w:ascii="仿宋_GB2312" w:hAnsi="仿宋_GB2312" w:cs="仿宋_GB2312"/>
          <w:spacing w:val="0"/>
          <w:szCs w:val="32"/>
        </w:rPr>
      </w:pPr>
      <w:r>
        <w:rPr>
          <w:rFonts w:hint="eastAsia" w:ascii="仿宋_GB2312" w:hAnsi="仿宋_GB2312" w:cs="仿宋_GB2312"/>
          <w:spacing w:val="0"/>
          <w:szCs w:val="32"/>
        </w:rPr>
        <w:t>全力提升农村宜居水平，持续推进和美乡村建设，加强农村房屋建设规范化管理，推动农村建筑节能降碳，探索建设“零碳乡村”，提高乡村民居建筑安全标准，积极开展农村建筑隐患排查，持续推进农村抗震节能和危房改造，实施农村人居环境长效治理和整治提升，用“绣花”功夫打造景观节点和休闲空间，加强传统村落风貌保护与引导，留住乡愁韵味，持续改善乡村面貌，保留村庄风貌肌理，深度探索乡村旅游特色风貌，分类制定村容村貌提升方案。优化乡村配套品质，持续推进农村污水处理厂站、管网、供水站等设施的标准化建设，有序实施乡村公路建养工程，推动城乡功能优化均衡，统筹推进村庄闲置空间梳理和有机更新。</w:t>
      </w:r>
    </w:p>
    <w:p>
      <w:pPr>
        <w:rPr>
          <w:rFonts w:hint="eastAsia" w:ascii="仿宋_GB2312" w:hAnsi="仿宋_GB2312" w:cs="仿宋_GB2312"/>
          <w:bCs/>
          <w:spacing w:val="0"/>
          <w:szCs w:val="32"/>
        </w:rPr>
      </w:pPr>
      <w:r>
        <w:rPr>
          <w:rFonts w:hint="eastAsia" w:ascii="仿宋_GB2312" w:hAnsi="仿宋_GB2312" w:cs="仿宋_GB2312"/>
          <w:spacing w:val="0"/>
          <w:szCs w:val="32"/>
        </w:rPr>
        <w:t>强化村庄韧性安全建设，以“宜居、韧性、智慧乡镇”为导向，提升村镇安全防灾、市政基础设施与公共服务能力，促进城乡融合发展，打造一批可复制、可推广的韧性村庄试点项目。着力提升村庄防灾减灾能力，推动城市基础设施和公共服务向农村延伸覆盖，不断提升农村基础设施互联互通水平和公共服务的可及性、均等化、便利化，进一步完善“平急两用”公共基础设施。全面提升对外交通通道防灾抗灾标准，加强通村道路规划建设，打通山区生命通道，提升交通通达性和安全性。合理规划设置村镇避险场所、应急通信设施等，提升村民自救互救和应急避险能力。</w:t>
      </w:r>
      <w:r>
        <w:rPr>
          <w:rFonts w:hint="eastAsia" w:ascii="仿宋_GB2312" w:hAnsi="仿宋_GB2312" w:cs="仿宋_GB2312"/>
          <w:spacing w:val="0"/>
          <w:szCs w:val="32"/>
        </w:rPr>
        <w:br w:type="page"/>
      </w:r>
      <w:bookmarkEnd w:id="119"/>
      <w:bookmarkEnd w:id="460"/>
      <w:bookmarkEnd w:id="461"/>
      <w:bookmarkEnd w:id="462"/>
      <w:bookmarkEnd w:id="463"/>
      <w:bookmarkEnd w:id="464"/>
      <w:bookmarkEnd w:id="465"/>
      <w:bookmarkEnd w:id="466"/>
      <w:bookmarkEnd w:id="467"/>
      <w:bookmarkEnd w:id="468"/>
      <w:bookmarkStart w:id="743" w:name="_Toc21940"/>
      <w:bookmarkStart w:id="744" w:name="_Toc15823"/>
      <w:bookmarkStart w:id="745" w:name="_Toc18353"/>
      <w:bookmarkStart w:id="746" w:name="_Toc32466"/>
    </w:p>
    <w:bookmarkEnd w:id="743"/>
    <w:bookmarkEnd w:id="744"/>
    <w:bookmarkEnd w:id="745"/>
    <w:bookmarkEnd w:id="746"/>
    <w:p>
      <w:pPr>
        <w:pStyle w:val="34"/>
        <w:spacing w:before="156" w:after="156"/>
        <w:rPr>
          <w:rFonts w:hint="eastAsia"/>
          <w:spacing w:val="0"/>
        </w:rPr>
      </w:pPr>
      <w:bookmarkStart w:id="747" w:name="_Toc6551"/>
      <w:bookmarkStart w:id="748" w:name="_Toc16421"/>
      <w:bookmarkStart w:id="749" w:name="_Toc14023"/>
      <w:bookmarkStart w:id="750" w:name="_Toc213765183"/>
      <w:bookmarkStart w:id="751" w:name="_Toc31701"/>
      <w:bookmarkStart w:id="752" w:name="_Toc6187"/>
      <w:bookmarkStart w:id="753" w:name="_Hlk210119550"/>
      <w:bookmarkStart w:id="754" w:name="_Hlk210047415"/>
      <w:bookmarkStart w:id="755" w:name="_Toc210145636"/>
      <w:bookmarkStart w:id="756" w:name="_Toc204691259"/>
      <w:bookmarkStart w:id="757" w:name="_Toc203043067"/>
      <w:bookmarkStart w:id="758" w:name="_Hlk210048797"/>
      <w:r>
        <w:rPr>
          <w:rFonts w:hint="eastAsia"/>
          <w:spacing w:val="0"/>
        </w:rPr>
        <w:t>打造韧性智慧的基础保障</w:t>
      </w:r>
      <w:bookmarkEnd w:id="747"/>
      <w:bookmarkEnd w:id="748"/>
      <w:bookmarkEnd w:id="749"/>
      <w:bookmarkEnd w:id="750"/>
      <w:bookmarkEnd w:id="751"/>
      <w:bookmarkEnd w:id="752"/>
    </w:p>
    <w:bookmarkEnd w:id="753"/>
    <w:p>
      <w:pPr>
        <w:pStyle w:val="3"/>
        <w:ind w:left="616" w:leftChars="200" w:firstLine="4" w:firstLineChars="0"/>
        <w:jc w:val="left"/>
        <w:rPr>
          <w:rFonts w:hint="eastAsia" w:ascii="楷体_GB2312" w:hAnsi="楷体_GB2312" w:eastAsia="楷体_GB2312" w:cs="楷体_GB2312"/>
          <w:spacing w:val="0"/>
        </w:rPr>
      </w:pPr>
      <w:bookmarkStart w:id="759" w:name="_Toc2911"/>
      <w:bookmarkStart w:id="760" w:name="_Toc11338"/>
      <w:bookmarkStart w:id="761" w:name="_Toc29895"/>
      <w:bookmarkStart w:id="762" w:name="_Toc203756383"/>
      <w:bookmarkStart w:id="763" w:name="_Toc213765184"/>
      <w:bookmarkStart w:id="764" w:name="_Toc20840"/>
      <w:bookmarkStart w:id="765" w:name="_Toc25516"/>
      <w:bookmarkStart w:id="766" w:name="_Toc202259500"/>
      <w:bookmarkStart w:id="767" w:name="_Toc195626631"/>
      <w:bookmarkStart w:id="768" w:name="_Hlk206175183"/>
      <w:r>
        <w:rPr>
          <w:rFonts w:hint="eastAsia" w:ascii="楷体_GB2312" w:hAnsi="楷体_GB2312" w:eastAsia="楷体_GB2312" w:cs="楷体_GB2312"/>
          <w:spacing w:val="0"/>
        </w:rPr>
        <w:t>优化城乡交通网络体系</w:t>
      </w:r>
      <w:bookmarkEnd w:id="759"/>
      <w:bookmarkEnd w:id="760"/>
      <w:bookmarkEnd w:id="761"/>
      <w:bookmarkEnd w:id="762"/>
      <w:bookmarkEnd w:id="763"/>
      <w:bookmarkEnd w:id="764"/>
      <w:bookmarkEnd w:id="765"/>
      <w:bookmarkEnd w:id="766"/>
      <w:bookmarkEnd w:id="767"/>
    </w:p>
    <w:p>
      <w:pPr>
        <w:rPr>
          <w:rFonts w:hint="eastAsia" w:ascii="仿宋_GB2312" w:hAnsi="仿宋_GB2312" w:cs="仿宋_GB2312"/>
          <w:spacing w:val="0"/>
          <w:szCs w:val="32"/>
        </w:rPr>
      </w:pPr>
      <w:r>
        <w:rPr>
          <w:rFonts w:hint="eastAsia" w:ascii="仿宋_GB2312" w:hAnsi="仿宋_GB2312" w:cs="仿宋_GB2312"/>
          <w:spacing w:val="0"/>
          <w:szCs w:val="32"/>
        </w:rPr>
        <w:t>“十五五”期间重点以打造国际一流旅游休闲目的地为目标，系统推进旅游公路体系建设，构建覆盖全域、主题多样、跨区互联的公路旅行内外环线，全力打造特色鲜明的交旅融合示范走廊，为公路旅游高质量发展提供坚实交通支撑。系统提升环线交通整体效率，</w:t>
      </w:r>
      <w:bookmarkEnd w:id="768"/>
      <w:r>
        <w:rPr>
          <w:rFonts w:hint="eastAsia" w:ascii="仿宋_GB2312" w:hAnsi="仿宋_GB2312" w:cs="仿宋_GB2312"/>
          <w:spacing w:val="0"/>
          <w:szCs w:val="32"/>
        </w:rPr>
        <w:t>强化冬奥小镇、世园、八达岭、龙庆峡、野鸭湖、古崖居、永宁、四海、龙泉峪、红色大庄科等标志性文旅名片与新城之间的交通联系，不断提高景区景点的通达度。完善城镇路网骨架体系，筑牢高铁站周边片区、北方工大等重点功能区的交通基础设施服务保障。持续深化绿道体系建设，构建以“轻行”“骑游”为特色的绿色慢行系统，大力提升公交等绿色交通发展水平，优化停车设施和配套服务设施，进一步提升绿色交通出行比例。</w:t>
      </w:r>
    </w:p>
    <w:p>
      <w:pPr>
        <w:pStyle w:val="4"/>
        <w:numPr>
          <w:ilvl w:val="2"/>
          <w:numId w:val="0"/>
        </w:numPr>
        <w:ind w:left="616" w:leftChars="200"/>
        <w:rPr>
          <w:rFonts w:hint="eastAsia" w:ascii="仿宋_GB2312" w:hAnsi="仿宋_GB2312" w:eastAsia="仿宋_GB2312" w:cs="仿宋_GB2312"/>
          <w:b/>
          <w:bCs/>
        </w:rPr>
      </w:pPr>
      <w:bookmarkStart w:id="769" w:name="_Toc213765185"/>
      <w:bookmarkStart w:id="770" w:name="_Toc3904"/>
      <w:bookmarkStart w:id="771" w:name="_Toc25341"/>
      <w:bookmarkStart w:id="772" w:name="_Toc3966"/>
      <w:bookmarkStart w:id="773" w:name="_Toc203756384"/>
      <w:r>
        <w:rPr>
          <w:rFonts w:hint="eastAsia" w:ascii="仿宋_GB2312" w:hAnsi="仿宋_GB2312" w:eastAsia="仿宋_GB2312" w:cs="仿宋_GB2312"/>
          <w:b/>
          <w:bCs/>
        </w:rPr>
        <w:t>（一）强化交旅融合，提升“三横五纵”</w:t>
      </w:r>
      <w:r>
        <w:rPr>
          <w:rStyle w:val="40"/>
          <w:rFonts w:hint="eastAsia" w:ascii="仿宋_GB2312" w:hAnsi="仿宋_GB2312" w:eastAsia="仿宋_GB2312" w:cs="仿宋_GB2312"/>
          <w:b/>
          <w:bCs/>
        </w:rPr>
        <w:footnoteReference w:id="3"/>
      </w:r>
      <w:r>
        <w:rPr>
          <w:rFonts w:hint="eastAsia" w:ascii="仿宋_GB2312" w:hAnsi="仿宋_GB2312" w:eastAsia="仿宋_GB2312" w:cs="仿宋_GB2312"/>
          <w:b/>
          <w:bCs/>
        </w:rPr>
        <w:t>公路网</w:t>
      </w:r>
      <w:bookmarkEnd w:id="769"/>
      <w:bookmarkEnd w:id="770"/>
      <w:bookmarkEnd w:id="771"/>
      <w:bookmarkEnd w:id="772"/>
      <w:bookmarkEnd w:id="773"/>
      <w:r>
        <w:rPr>
          <w:rFonts w:hint="eastAsia" w:ascii="仿宋_GB2312" w:hAnsi="仿宋_GB2312" w:eastAsia="仿宋_GB2312" w:cs="仿宋_GB2312"/>
          <w:b/>
          <w:bCs/>
        </w:rPr>
        <w:t>　</w:t>
      </w:r>
    </w:p>
    <w:p>
      <w:pPr>
        <w:rPr>
          <w:rFonts w:hint="eastAsia" w:ascii="仿宋_GB2312" w:hAnsi="仿宋_GB2312" w:cs="仿宋_GB2312"/>
          <w:spacing w:val="0"/>
          <w:szCs w:val="32"/>
        </w:rPr>
      </w:pPr>
      <w:r>
        <w:rPr>
          <w:rFonts w:hint="eastAsia" w:ascii="仿宋_GB2312" w:hAnsi="仿宋_GB2312" w:cs="仿宋_GB2312"/>
          <w:spacing w:val="0"/>
          <w:szCs w:val="32"/>
        </w:rPr>
        <w:t>以京礼高速为核心的高速交通体系，持续优化延庆区“三横五纵”公路网骨架。重点推进规划新昌赤路（南线）、规划新昌赤路（北线）、国道111新线（规划安四路）、南山环线（二期）（小浮坨至康张路段）、国道234（永宁－琉璃庙）等骨干道路的建设或提级改造，加快G6辅路、东岔路、八达岭路等改建工程。全面完善旅游公路交通骨架，提升延庆区北部、中东部以及西部区域的公路交旅综合服务水平，通过拓宽道路路面、优化线形设计、提升道路等级等措施，构建“延庆+”跨区域公路旅游外环线和公路旅游内环线</w:t>
      </w:r>
      <w:r>
        <w:rPr>
          <w:rStyle w:val="40"/>
          <w:rFonts w:hint="eastAsia" w:ascii="仿宋_GB2312" w:hAnsi="仿宋_GB2312" w:cs="仿宋_GB2312"/>
          <w:spacing w:val="0"/>
          <w:szCs w:val="32"/>
        </w:rPr>
        <w:footnoteReference w:id="4"/>
      </w:r>
      <w:r>
        <w:rPr>
          <w:rFonts w:hint="eastAsia" w:ascii="仿宋_GB2312" w:hAnsi="仿宋_GB2312" w:cs="仿宋_GB2312"/>
          <w:spacing w:val="0"/>
          <w:szCs w:val="32"/>
        </w:rPr>
        <w:t>，精心打造“快行”与“慢游”有机融合的立体化交通设施网络，形成“串点连环、东西均衡、主题鲜明”的交旅融合示范走廊，有力推动区域公路旅游实现联动式、集群化发展。</w:t>
      </w:r>
    </w:p>
    <w:p>
      <w:pPr>
        <w:rPr>
          <w:rFonts w:hint="eastAsia" w:ascii="仿宋_GB2312" w:hAnsi="仿宋_GB2312" w:cs="仿宋_GB2312"/>
          <w:spacing w:val="0"/>
          <w:szCs w:val="32"/>
        </w:rPr>
      </w:pPr>
      <w:r>
        <w:rPr>
          <w:rFonts w:hint="eastAsia" w:ascii="仿宋_GB2312" w:hAnsi="仿宋_GB2312" w:cs="仿宋_GB2312"/>
          <w:spacing w:val="0"/>
          <w:szCs w:val="32"/>
        </w:rPr>
        <w:t>聚焦如张山营镇、康庄镇、八达岭镇、永宁镇等交旅节点及特色乡镇村落，结合乡村振兴与文旅资源开发，在“三横五纵”公路沿线，完善周边景区与村落的旅游交通网络体系，包括慢行系统改造、安全防护设施建设、交通导引标识、照明系统等沿线公共服务设施提升，合理布局服务区、停车区、观景台、农产品临时集散点等配套服务设施，配备充电桩、休息座椅、公共卫生间等便民设施，打造“公路+产业”示范线路，推动“干支线互联、路产景融合”满足公路旅游多样化需求，助力经济发展。</w:t>
      </w:r>
    </w:p>
    <w:p>
      <w:pPr>
        <w:rPr>
          <w:rFonts w:hint="eastAsia" w:ascii="仿宋_GB2312" w:hAnsi="仿宋_GB2312" w:cs="仿宋_GB2312"/>
          <w:spacing w:val="0"/>
          <w:szCs w:val="32"/>
        </w:rPr>
      </w:pPr>
      <w:r>
        <w:rPr>
          <w:rFonts w:hint="eastAsia" w:ascii="仿宋_GB2312" w:hAnsi="仿宋_GB2312" w:cs="仿宋_GB2312"/>
          <w:spacing w:val="0"/>
          <w:szCs w:val="32"/>
        </w:rPr>
        <w:t>搭建智慧公路管理系统，安装智能监控设备，实时监测路况信息、车流量等数据，通过电子显示屏、手机APP等渠道及时发布交通预警与诱导、停车服务等信息，实现公路网的动态化、智能化管理，全方位提升公路网综合服务水平和运营效率。</w:t>
      </w:r>
    </w:p>
    <w:p>
      <w:pPr>
        <w:pStyle w:val="4"/>
        <w:numPr>
          <w:ilvl w:val="2"/>
          <w:numId w:val="0"/>
        </w:numPr>
        <w:ind w:left="616" w:leftChars="200"/>
        <w:rPr>
          <w:rFonts w:hint="eastAsia" w:ascii="仿宋_GB2312" w:hAnsi="仿宋_GB2312" w:eastAsia="仿宋_GB2312" w:cs="仿宋_GB2312"/>
          <w:b/>
          <w:bCs/>
        </w:rPr>
      </w:pPr>
      <w:bookmarkStart w:id="774" w:name="_Toc7644"/>
      <w:bookmarkStart w:id="775" w:name="_Toc19259"/>
      <w:bookmarkStart w:id="776" w:name="_Toc213765186"/>
      <w:bookmarkStart w:id="777" w:name="_Toc3713"/>
      <w:bookmarkStart w:id="778" w:name="_Toc203756385"/>
      <w:r>
        <w:rPr>
          <w:rFonts w:hint="eastAsia" w:ascii="仿宋_GB2312" w:hAnsi="仿宋_GB2312" w:eastAsia="仿宋_GB2312" w:cs="仿宋_GB2312"/>
          <w:b/>
          <w:bCs/>
        </w:rPr>
        <w:t>（二）加强产城校城联通，完善城区路网</w:t>
      </w:r>
      <w:bookmarkEnd w:id="774"/>
      <w:bookmarkEnd w:id="775"/>
      <w:bookmarkEnd w:id="776"/>
      <w:bookmarkEnd w:id="777"/>
      <w:bookmarkEnd w:id="778"/>
    </w:p>
    <w:p>
      <w:pPr>
        <w:rPr>
          <w:rFonts w:hint="eastAsia" w:ascii="仿宋_GB2312" w:hAnsi="仿宋_GB2312" w:cs="仿宋_GB2312"/>
          <w:spacing w:val="0"/>
          <w:szCs w:val="32"/>
        </w:rPr>
      </w:pPr>
      <w:r>
        <w:rPr>
          <w:rFonts w:hint="eastAsia" w:ascii="仿宋_GB2312" w:hAnsi="仿宋_GB2312" w:cs="仿宋_GB2312"/>
          <w:spacing w:val="0"/>
          <w:szCs w:val="32"/>
        </w:rPr>
        <w:t>以打通断头路、补齐短板路、畅通交通微循环为重点任务，进一步完善新城路网骨架体系，加快推进延庆高铁站周边和校区（首体院、北方工业大学）等重点功能区域的道路网建设。重点推进新城鸿川路等主干路网的连通合围工程，形成高效便捷的主干交通网络。有序推进司莲街、双杏街、迎夏路、双杏南街、博园北街、仰夏路（兴创街－圣百街）等次干路和支路路网的建成完善工作，提升道路网的密度和连通性。积极推进东刘路、大小路的市政化拓建改造，显著强化北方工大校区、城郊大仓等功能区与主城之间的交通连接，实现校城交通的高效融合。</w:t>
      </w:r>
    </w:p>
    <w:p>
      <w:pPr>
        <w:pStyle w:val="4"/>
        <w:numPr>
          <w:ilvl w:val="2"/>
          <w:numId w:val="0"/>
        </w:numPr>
        <w:ind w:left="616" w:leftChars="200"/>
        <w:rPr>
          <w:rFonts w:hint="eastAsia" w:ascii="仿宋_GB2312" w:hAnsi="仿宋_GB2312" w:eastAsia="仿宋_GB2312" w:cs="仿宋_GB2312"/>
          <w:b/>
          <w:bCs/>
        </w:rPr>
      </w:pPr>
      <w:bookmarkStart w:id="779" w:name="_Toc13038"/>
      <w:bookmarkStart w:id="780" w:name="_Toc23519"/>
      <w:bookmarkStart w:id="781" w:name="_Toc213765187"/>
      <w:bookmarkStart w:id="782" w:name="_Toc7451"/>
      <w:bookmarkStart w:id="783" w:name="_Toc195626632"/>
      <w:r>
        <w:rPr>
          <w:rFonts w:hint="eastAsia" w:ascii="仿宋_GB2312" w:hAnsi="仿宋_GB2312" w:eastAsia="仿宋_GB2312" w:cs="仿宋_GB2312"/>
          <w:b/>
          <w:bCs/>
        </w:rPr>
        <w:t>（三）加快站城融合</w:t>
      </w:r>
      <w:bookmarkStart w:id="784" w:name="_Toc203756386"/>
      <w:r>
        <w:rPr>
          <w:rFonts w:hint="eastAsia" w:ascii="仿宋_GB2312" w:hAnsi="仿宋_GB2312" w:eastAsia="仿宋_GB2312" w:cs="仿宋_GB2312"/>
          <w:b/>
          <w:bCs/>
        </w:rPr>
        <w:t>，提升枢纽服务能级</w:t>
      </w:r>
      <w:bookmarkEnd w:id="779"/>
      <w:bookmarkEnd w:id="780"/>
      <w:bookmarkEnd w:id="781"/>
      <w:bookmarkEnd w:id="782"/>
      <w:bookmarkEnd w:id="784"/>
    </w:p>
    <w:p>
      <w:pPr>
        <w:rPr>
          <w:rFonts w:hint="eastAsia" w:ascii="仿宋_GB2312" w:hAnsi="仿宋_GB2312" w:cs="仿宋_GB2312"/>
          <w:spacing w:val="0"/>
          <w:szCs w:val="32"/>
        </w:rPr>
      </w:pPr>
      <w:r>
        <w:rPr>
          <w:rFonts w:hint="eastAsia" w:ascii="仿宋_GB2312" w:hAnsi="仿宋_GB2312" w:cs="仿宋_GB2312"/>
          <w:spacing w:val="0"/>
          <w:szCs w:val="32"/>
        </w:rPr>
        <w:t>构建“铁路快旅”服务体系，实现高效畅行的“快旅”目标。首要强化延庆站、八达岭长城站枢纽功能，研究提升延庆通往主要城市的高铁便捷性，推动市郊铁路S2线运营服务提质升级，探索节假日期间合理增开列车对数。同时，全面优化两站交通接驳体系，切实提升“快旅”服务品质与出行体验。先期对延庆站实施站前广场地面改造工程，合理规划人流、车流路线，提升交通接驳效率。而后结合TOD一体化综合开发理念，重点围绕延庆高铁站片区布局混合功能区，采用“地上地下联动”策略，对延庆站前地下空间进行深度开发，建设现代化停车场与地下道路，缓解地面交通压力，实现南北两侧交通贯通，同时向东延展，覆盖开发区未来拓展空间。地上空间布局公共绿地微型公园、科创展区空间、商业街，打造集交通、休闲、商业、科创于一体的城市新地标，推动向城市东南方向延伸，拉开城市发展框架，强化与北方工大片区的联动，显著提升土地利用效率和城市综合服务功能。</w:t>
      </w:r>
    </w:p>
    <w:p>
      <w:pPr>
        <w:rPr>
          <w:rFonts w:hint="eastAsia" w:ascii="仿宋_GB2312" w:hAnsi="仿宋_GB2312" w:cs="仿宋_GB2312"/>
          <w:spacing w:val="0"/>
          <w:szCs w:val="32"/>
        </w:rPr>
      </w:pPr>
      <w:r>
        <w:rPr>
          <w:rFonts w:hint="eastAsia" w:ascii="仿宋_GB2312" w:hAnsi="仿宋_GB2312" w:cs="仿宋_GB2312"/>
          <w:spacing w:val="0"/>
          <w:szCs w:val="32"/>
        </w:rPr>
        <w:t>充分发挥永宁中部交通区位优势，形成中部旅游服务核心枢纽。在永宁建设1个公交枢纽+中东部旅游集散综合交通枢纽，整合串接中东部旅游资源，因地制宜地完善配套新建停车场、利用闲置地块增设临时停车场，提高充电桩配建比例，同步新建游客服务中心、配套骑行驿站、观景台、环卫、交通导引标识等旅游公共服务设施。</w:t>
      </w:r>
    </w:p>
    <w:bookmarkEnd w:id="783"/>
    <w:p>
      <w:pPr>
        <w:pStyle w:val="4"/>
        <w:numPr>
          <w:ilvl w:val="2"/>
          <w:numId w:val="0"/>
        </w:numPr>
        <w:ind w:left="616" w:leftChars="200"/>
        <w:rPr>
          <w:rFonts w:hint="eastAsia" w:ascii="仿宋_GB2312" w:hAnsi="仿宋_GB2312" w:eastAsia="仿宋_GB2312" w:cs="仿宋_GB2312"/>
          <w:b/>
          <w:bCs/>
        </w:rPr>
      </w:pPr>
      <w:bookmarkStart w:id="785" w:name="_Toc213765188"/>
      <w:bookmarkStart w:id="786" w:name="_Toc6646"/>
      <w:bookmarkStart w:id="787" w:name="_Toc203756387"/>
      <w:bookmarkStart w:id="788" w:name="_Toc26638"/>
      <w:bookmarkStart w:id="789" w:name="_Toc6673"/>
      <w:r>
        <w:rPr>
          <w:rFonts w:hint="eastAsia" w:ascii="仿宋_GB2312" w:hAnsi="仿宋_GB2312" w:eastAsia="仿宋_GB2312" w:cs="仿宋_GB2312"/>
          <w:b/>
          <w:bCs/>
        </w:rPr>
        <w:t>（四）提升接驳效率，优化低碳公交出行</w:t>
      </w:r>
      <w:bookmarkEnd w:id="785"/>
      <w:bookmarkEnd w:id="786"/>
      <w:bookmarkEnd w:id="787"/>
      <w:bookmarkEnd w:id="788"/>
      <w:bookmarkEnd w:id="789"/>
    </w:p>
    <w:p>
      <w:pPr>
        <w:rPr>
          <w:rFonts w:hint="eastAsia" w:ascii="仿宋_GB2312" w:hAnsi="仿宋_GB2312" w:cs="仿宋_GB2312"/>
          <w:spacing w:val="0"/>
          <w:szCs w:val="32"/>
        </w:rPr>
      </w:pPr>
      <w:r>
        <w:rPr>
          <w:rFonts w:hint="eastAsia" w:ascii="仿宋_GB2312" w:hAnsi="仿宋_GB2312" w:cs="仿宋_GB2312"/>
          <w:spacing w:val="0"/>
          <w:szCs w:val="32"/>
        </w:rPr>
        <w:t>以新城、康庄、永宁、八达岭、张山营为核心节点，完善公交线网组织模式，建设“康庄－新城－永宁”“新城-张山营”“八达岭-新城”三条快速公交走廊。建设康庄站、延庆站、永宁站、张山营站4个公交枢纽与新城京张路公交中心站，并逐步延伸公共交通线路至周边地区，</w:t>
      </w:r>
      <w:bookmarkStart w:id="790" w:name="OLE_LINK15"/>
      <w:r>
        <w:rPr>
          <w:rFonts w:hint="eastAsia" w:ascii="仿宋_GB2312" w:hAnsi="仿宋_GB2312" w:cs="仿宋_GB2312"/>
          <w:spacing w:val="0"/>
          <w:szCs w:val="32"/>
        </w:rPr>
        <w:t>构建“环线+放射线”的公交体系，加强区内交通与对外枢纽的衔接和便捷换乘，提升区域服务能力</w:t>
      </w:r>
      <w:bookmarkEnd w:id="790"/>
      <w:r>
        <w:rPr>
          <w:rFonts w:hint="eastAsia" w:ascii="仿宋_GB2312" w:hAnsi="仿宋_GB2312" w:cs="仿宋_GB2312"/>
          <w:spacing w:val="0"/>
          <w:szCs w:val="32"/>
        </w:rPr>
        <w:t>。</w:t>
      </w:r>
    </w:p>
    <w:p>
      <w:pPr>
        <w:rPr>
          <w:rFonts w:hint="eastAsia" w:ascii="仿宋_GB2312" w:hAnsi="仿宋_GB2312" w:cs="仿宋_GB2312"/>
          <w:spacing w:val="0"/>
          <w:szCs w:val="32"/>
        </w:rPr>
      </w:pPr>
      <w:r>
        <w:rPr>
          <w:rFonts w:hint="eastAsia" w:ascii="仿宋_GB2312" w:hAnsi="仿宋_GB2312" w:cs="仿宋_GB2312"/>
          <w:spacing w:val="0"/>
          <w:szCs w:val="32"/>
        </w:rPr>
        <w:t>开通定制公交旅游专线，提倡绿色出行，采用灵活的预约制发车模式，重点覆盖中关村延庆园、世园会园区、八达岭景区、冬奥小镇、野鸭湖、龙庆峡等园区和景点，为游客提供便捷、舒适的出行服务。城区开通循环观光公交，联通景区、景点、高铁站点等重点区域，提供高效接驳服务。大力推动绿色低碳的物流装备应用，确保定制公交旅游专线100%采用新能源公交大巴，实现公共交通的零排放、低能耗，探索智慧交通，开展“无人驾驶微循环巴士”试点工作，提升公共交通的绿色、智慧服务水平。</w:t>
      </w:r>
    </w:p>
    <w:p>
      <w:pPr>
        <w:pStyle w:val="4"/>
        <w:numPr>
          <w:ilvl w:val="2"/>
          <w:numId w:val="0"/>
        </w:numPr>
        <w:ind w:left="616" w:leftChars="200"/>
        <w:rPr>
          <w:rFonts w:hint="eastAsia" w:ascii="仿宋_GB2312" w:hAnsi="仿宋_GB2312" w:eastAsia="仿宋_GB2312" w:cs="仿宋_GB2312"/>
          <w:b/>
          <w:bCs/>
        </w:rPr>
      </w:pPr>
      <w:bookmarkStart w:id="791" w:name="_Toc30544"/>
      <w:bookmarkStart w:id="792" w:name="_Toc213765189"/>
      <w:bookmarkStart w:id="793" w:name="_Toc25696"/>
      <w:bookmarkStart w:id="794" w:name="_Toc7183"/>
      <w:bookmarkStart w:id="795" w:name="OLE_LINK8"/>
      <w:r>
        <w:rPr>
          <w:rFonts w:hint="eastAsia" w:ascii="仿宋_GB2312" w:hAnsi="仿宋_GB2312" w:eastAsia="仿宋_GB2312" w:cs="仿宋_GB2312"/>
          <w:b/>
          <w:bCs/>
        </w:rPr>
        <w:t>（五）织密慢行网络，构建画廊体系</w:t>
      </w:r>
      <w:bookmarkEnd w:id="791"/>
      <w:bookmarkEnd w:id="792"/>
      <w:bookmarkEnd w:id="793"/>
      <w:bookmarkEnd w:id="794"/>
    </w:p>
    <w:bookmarkEnd w:id="795"/>
    <w:p>
      <w:pPr>
        <w:adjustRightInd w:val="0"/>
        <w:rPr>
          <w:rFonts w:hint="eastAsia" w:ascii="仿宋_GB2312" w:hAnsi="仿宋_GB2312" w:cs="仿宋_GB2312"/>
          <w:spacing w:val="0"/>
          <w:szCs w:val="32"/>
        </w:rPr>
      </w:pPr>
      <w:bookmarkStart w:id="796" w:name="_Toc195626636"/>
      <w:r>
        <w:rPr>
          <w:rFonts w:hint="eastAsia" w:ascii="仿宋_GB2312" w:hAnsi="仿宋_GB2312" w:cs="仿宋_GB2312"/>
          <w:spacing w:val="0"/>
          <w:szCs w:val="32"/>
        </w:rPr>
        <w:t>提升慢行路径的总长度和服务范围。结合妫水河、三里河的滨水空间与世园会园区、妫川广场等开敞空间设置城市健康休闲绿道，打造网络连续、环境宜人，以“轻行”“骑游”为特色的绿色慢行系统。</w:t>
      </w:r>
    </w:p>
    <w:p>
      <w:pPr>
        <w:adjustRightInd w:val="0"/>
        <w:rPr>
          <w:rFonts w:hint="eastAsia" w:ascii="仿宋_GB2312" w:hAnsi="仿宋_GB2312" w:cs="仿宋_GB2312"/>
          <w:spacing w:val="0"/>
          <w:szCs w:val="32"/>
        </w:rPr>
      </w:pPr>
      <w:r>
        <w:rPr>
          <w:rFonts w:hint="eastAsia" w:ascii="仿宋_GB2312" w:hAnsi="仿宋_GB2312" w:cs="仿宋_GB2312"/>
          <w:spacing w:val="0"/>
          <w:szCs w:val="32"/>
        </w:rPr>
        <w:t>落实北京市花园城市建设、城市画廊建设等重点工作，探索“路衍经济－路景融合”模式，打造“城市画廊”绿道系统。构建“生态画廊”“街巷画廊”“智慧画廊”三类城市画廊新场景，打响延庆绿道品牌。创新实践“以生态增值撬动消费变现”的路衍经济，实施城市道路、绿道绿化带“彩化、立体化、绿化”三化行动，结合停留空间植入驿站、集装箱市集、露营地、轻餐饮等绿色消费场景，植入科技互动节点、文化体验节点，增加沿街商业活力，打造多元功能的路衍经济带，让“空气清新、林荫宜人”的道路绿化带成为可定价的绿色生产力，助力生态产品价值实现。</w:t>
      </w:r>
    </w:p>
    <w:p>
      <w:pPr>
        <w:adjustRightInd w:val="0"/>
        <w:rPr>
          <w:rFonts w:hint="eastAsia" w:ascii="仿宋_GB2312" w:hAnsi="仿宋_GB2312" w:cs="仿宋_GB2312"/>
          <w:spacing w:val="0"/>
          <w:szCs w:val="32"/>
        </w:rPr>
      </w:pPr>
      <w:r>
        <w:rPr>
          <w:rFonts w:hint="eastAsia" w:ascii="仿宋_GB2312" w:hAnsi="仿宋_GB2312" w:cs="仿宋_GB2312"/>
          <w:spacing w:val="0"/>
          <w:szCs w:val="32"/>
        </w:rPr>
        <w:t>全力推进“绿道旅游品牌”和“生态画廊”建设，重点打造京畿长城国家风景道、京张体育文化旅游带、世园妫水生态休闲户外运动公园带、百里山水画廊京北休闲旅游带等延庆“观长城、登海陀、亲妫水、游百里”市级绿道品牌。</w:t>
      </w:r>
    </w:p>
    <w:bookmarkEnd w:id="796"/>
    <w:p>
      <w:pPr>
        <w:pStyle w:val="3"/>
        <w:ind w:left="616" w:leftChars="200" w:firstLine="4" w:firstLineChars="0"/>
        <w:jc w:val="left"/>
        <w:rPr>
          <w:rFonts w:hint="eastAsia" w:ascii="楷体_GB2312" w:hAnsi="楷体_GB2312" w:eastAsia="楷体_GB2312" w:cs="楷体_GB2312"/>
          <w:spacing w:val="0"/>
        </w:rPr>
      </w:pPr>
      <w:bookmarkStart w:id="797" w:name="_Toc31111"/>
      <w:bookmarkStart w:id="798" w:name="_Toc21401"/>
      <w:bookmarkStart w:id="799" w:name="_Toc5940"/>
      <w:bookmarkStart w:id="800" w:name="_Toc14586"/>
      <w:bookmarkStart w:id="801" w:name="_Toc31273"/>
      <w:bookmarkStart w:id="802" w:name="_Toc213765191"/>
      <w:bookmarkStart w:id="803" w:name="OLE_LINK7"/>
      <w:r>
        <w:rPr>
          <w:rFonts w:hint="eastAsia" w:ascii="楷体_GB2312" w:hAnsi="楷体_GB2312" w:eastAsia="楷体_GB2312" w:cs="楷体_GB2312"/>
          <w:spacing w:val="0"/>
        </w:rPr>
        <w:t>高标准建设韧性基础设施</w:t>
      </w:r>
      <w:bookmarkEnd w:id="797"/>
      <w:bookmarkEnd w:id="798"/>
      <w:bookmarkEnd w:id="799"/>
      <w:bookmarkEnd w:id="800"/>
      <w:bookmarkEnd w:id="801"/>
      <w:bookmarkEnd w:id="802"/>
    </w:p>
    <w:p>
      <w:pPr>
        <w:pStyle w:val="4"/>
        <w:numPr>
          <w:ilvl w:val="2"/>
          <w:numId w:val="0"/>
        </w:numPr>
        <w:ind w:left="616" w:leftChars="200"/>
        <w:rPr>
          <w:rFonts w:hint="eastAsia" w:ascii="仿宋_GB2312" w:hAnsi="仿宋_GB2312" w:eastAsia="仿宋_GB2312" w:cs="仿宋_GB2312"/>
          <w:b/>
          <w:bCs/>
        </w:rPr>
      </w:pPr>
      <w:bookmarkStart w:id="804" w:name="_Toc213765192"/>
      <w:bookmarkStart w:id="805" w:name="_Toc207698918"/>
      <w:bookmarkStart w:id="806" w:name="_Toc11064"/>
      <w:bookmarkStart w:id="807" w:name="_Toc30864"/>
      <w:bookmarkStart w:id="808" w:name="_Toc9811"/>
      <w:r>
        <w:rPr>
          <w:rFonts w:hint="eastAsia" w:ascii="仿宋_GB2312" w:hAnsi="仿宋_GB2312" w:eastAsia="仿宋_GB2312" w:cs="仿宋_GB2312"/>
          <w:b/>
          <w:bCs/>
        </w:rPr>
        <w:t>（一）构建韧性保障、协同高效的城乡供排水体系</w:t>
      </w:r>
      <w:bookmarkEnd w:id="804"/>
      <w:bookmarkEnd w:id="805"/>
      <w:bookmarkEnd w:id="806"/>
      <w:bookmarkEnd w:id="807"/>
      <w:bookmarkEnd w:id="808"/>
    </w:p>
    <w:p>
      <w:pPr>
        <w:rPr>
          <w:rFonts w:hint="eastAsia" w:ascii="仿宋_GB2312" w:hAnsi="仿宋_GB2312" w:cs="仿宋_GB2312"/>
          <w:spacing w:val="0"/>
          <w:szCs w:val="32"/>
        </w:rPr>
      </w:pPr>
      <w:r>
        <w:rPr>
          <w:rFonts w:hint="eastAsia" w:ascii="仿宋_GB2312" w:hAnsi="仿宋_GB2312" w:cs="仿宋_GB2312"/>
          <w:spacing w:val="0"/>
          <w:szCs w:val="32"/>
        </w:rPr>
        <w:t>构建安全可靠、应急强化的韧性供水体系。强化供水连通性，实行水厂联网、环线供水，推动独立供水分区与相邻供水分区互联互通。聚焦重点功能片区、院校、景区及乡镇，提升供水保障能力，补齐供水设施短板。全面排查城镇供水管网，优先改造老旧漏损管线，优化管网布局，降低漏损率、保障供水水质。加快水毁供水设施修复，加强应急供水设施建设，提升防灾能力。推进农村供水井房、取水净水消毒设施标准化改造，提升农村供水品质。</w:t>
      </w:r>
    </w:p>
    <w:p>
      <w:pPr>
        <w:rPr>
          <w:rFonts w:hint="eastAsia" w:ascii="仿宋_GB2312" w:hAnsi="仿宋_GB2312" w:cs="仿宋_GB2312"/>
          <w:spacing w:val="0"/>
          <w:szCs w:val="32"/>
        </w:rPr>
      </w:pPr>
      <w:r>
        <w:rPr>
          <w:rFonts w:hint="eastAsia" w:ascii="仿宋_GB2312" w:hAnsi="仿宋_GB2312" w:cs="仿宋_GB2312"/>
          <w:spacing w:val="0"/>
          <w:szCs w:val="32"/>
        </w:rPr>
        <w:t>构建厂网并举、高效运维的污水治理体系。坚持“厂网并举、冗余保障”，配套建设污水处理厂及管网，推进水毁污水设施修复，推动农村污水处理厂站及管网标准化建设，为重点用户配备应急电源。推动污水处理设施节能改造与低碳转型，提升再生水回用水平。健全排水运维管理机制，明晰责任标准，创新运维保障模式。</w:t>
      </w:r>
    </w:p>
    <w:p>
      <w:pPr>
        <w:rPr>
          <w:rFonts w:hint="eastAsia" w:ascii="仿宋_GB2312" w:hAnsi="仿宋_GB2312" w:cs="仿宋_GB2312"/>
          <w:spacing w:val="0"/>
          <w:szCs w:val="32"/>
        </w:rPr>
      </w:pPr>
      <w:r>
        <w:rPr>
          <w:rFonts w:hint="eastAsia" w:ascii="仿宋_GB2312" w:hAnsi="仿宋_GB2312" w:cs="仿宋_GB2312"/>
          <w:spacing w:val="0"/>
          <w:szCs w:val="32"/>
        </w:rPr>
        <w:t>构建雨洪调蓄、海绵融合的协同排水体系。遵循“上蓄、中疏、下排、有效蓄滞”思路，提升城区及长城文化带、冬奥核心区等城市重要区域雨水管网提标、泵站扩容和地下调蓄设施建设，在山区乡镇布设移动抽排设备，加快水毁排水设施修复，形成“分区自循环、区间可互援”的排水格局。巩固雨污分流成果，新建项目严格执行雨污分流标准。落实海绵城市理念，推广透水道路、下沉绿地等设施。</w:t>
      </w:r>
    </w:p>
    <w:p>
      <w:pPr>
        <w:pStyle w:val="4"/>
        <w:numPr>
          <w:ilvl w:val="2"/>
          <w:numId w:val="0"/>
        </w:numPr>
        <w:ind w:left="616" w:leftChars="200"/>
        <w:rPr>
          <w:rFonts w:hint="eastAsia" w:ascii="仿宋_GB2312" w:hAnsi="仿宋_GB2312" w:eastAsia="仿宋_GB2312" w:cs="仿宋_GB2312"/>
          <w:b/>
          <w:bCs/>
        </w:rPr>
      </w:pPr>
      <w:bookmarkStart w:id="809" w:name="_Toc6794"/>
      <w:bookmarkStart w:id="810" w:name="_Toc9767"/>
      <w:bookmarkStart w:id="811" w:name="_Toc471"/>
      <w:bookmarkStart w:id="812" w:name="_Toc213765193"/>
      <w:r>
        <w:rPr>
          <w:rFonts w:hint="eastAsia" w:ascii="仿宋_GB2312" w:hAnsi="仿宋_GB2312" w:eastAsia="仿宋_GB2312" w:cs="仿宋_GB2312"/>
          <w:b/>
          <w:bCs/>
        </w:rPr>
        <w:t>（二）构建链条完备、精准有序的环卫综合治理</w:t>
      </w:r>
      <w:bookmarkEnd w:id="809"/>
      <w:bookmarkEnd w:id="810"/>
      <w:bookmarkEnd w:id="811"/>
      <w:bookmarkEnd w:id="812"/>
    </w:p>
    <w:p>
      <w:pPr>
        <w:rPr>
          <w:rFonts w:hint="eastAsia" w:ascii="仿宋_GB2312" w:hAnsi="仿宋_GB2312" w:cs="仿宋_GB2312"/>
          <w:spacing w:val="0"/>
          <w:szCs w:val="32"/>
        </w:rPr>
      </w:pPr>
      <w:r>
        <w:rPr>
          <w:rFonts w:hint="eastAsia" w:ascii="仿宋_GB2312" w:hAnsi="仿宋_GB2312" w:cs="仿宋_GB2312"/>
          <w:spacing w:val="0"/>
          <w:szCs w:val="32"/>
        </w:rPr>
        <w:t>加快推进生活垃圾再生资源分拣中心与垃圾转运站建设，夯实城乡生活垃圾分类收集、运输体系基础，完善垃圾分类管理体系——居住小区探索推广智能垃圾分类投放设施，畅通资源回收渠道，到2030年因地制宜实现小区智能分类设备全覆盖；完善农村垃圾分类设备配置，提升运行实效；建立城乡垃圾收运智慧监管平台实时追踪垃圾清运与处理，依托“定时定点”收运模式，优化清运路线，对偏远地区收运全覆盖，构建城乡一体化收运体系，提升处理效率；餐饮集中区建设分布式有机质垃圾生物处理设施，减少运输成本与二次污染风险，实现餐厨垃圾资源化利用；推广移动式建筑垃圾破碎生产线，实现“就地处理－就地利用”闭环模式，打通建筑垃圾再生资源下游产业链条，推动再生骨料在市政道路、生态修复等工程中的规模化利用；新增医疗废物处理设施，完善医疗废物“分类收集－密闭运输－集中处理”闭环管理体系；强化对危废物品的跨区域协同处置能力，依托危废品智能暂存仓库，实现全流程可追溯监管。拓展新能源应用体系，推动公共领域用车新能源替代，实现核心区域燃油环卫车清零目标；完善存量治理体系，完成存量垃圾填埋场生态封场工作，加强生活垃圾渗滤液处理，实现达标排放；提升监管能力，构建一体化监测网络，覆盖重点区域。将环卫指标纳入GEP核算体系及政绩考核。</w:t>
      </w:r>
    </w:p>
    <w:p>
      <w:pPr>
        <w:pStyle w:val="4"/>
        <w:numPr>
          <w:ilvl w:val="2"/>
          <w:numId w:val="0"/>
        </w:numPr>
        <w:ind w:left="616" w:leftChars="200"/>
        <w:rPr>
          <w:rFonts w:hint="eastAsia" w:ascii="仿宋_GB2312" w:hAnsi="仿宋_GB2312" w:eastAsia="仿宋_GB2312" w:cs="仿宋_GB2312"/>
          <w:b/>
          <w:bCs/>
        </w:rPr>
      </w:pPr>
      <w:bookmarkStart w:id="813" w:name="_Toc207698923"/>
      <w:bookmarkStart w:id="814" w:name="_Toc29459"/>
      <w:bookmarkStart w:id="815" w:name="_Toc19615"/>
      <w:bookmarkStart w:id="816" w:name="_Toc22356"/>
      <w:bookmarkStart w:id="817" w:name="_Toc213765194"/>
      <w:r>
        <w:rPr>
          <w:rFonts w:hint="eastAsia" w:ascii="仿宋_GB2312" w:hAnsi="仿宋_GB2312" w:eastAsia="仿宋_GB2312" w:cs="仿宋_GB2312"/>
          <w:b/>
          <w:bCs/>
        </w:rPr>
        <w:t>（三）构建多能互补、绿色低碳的新型供热体系</w:t>
      </w:r>
      <w:bookmarkEnd w:id="813"/>
      <w:bookmarkEnd w:id="814"/>
      <w:bookmarkEnd w:id="815"/>
      <w:bookmarkEnd w:id="816"/>
      <w:bookmarkEnd w:id="817"/>
    </w:p>
    <w:p>
      <w:pPr>
        <w:rPr>
          <w:rFonts w:hint="eastAsia" w:ascii="仿宋_GB2312" w:hAnsi="仿宋_GB2312" w:cs="仿宋_GB2312"/>
          <w:spacing w:val="0"/>
          <w:szCs w:val="32"/>
        </w:rPr>
      </w:pPr>
      <w:r>
        <w:rPr>
          <w:rFonts w:hint="eastAsia" w:ascii="仿宋_GB2312" w:hAnsi="仿宋_GB2312" w:cs="仿宋_GB2312"/>
          <w:spacing w:val="0"/>
          <w:szCs w:val="32"/>
        </w:rPr>
        <w:t>以地热能、太阳能开发利用为重点，大力推动可再生能源的利用，实现供热行业向绿色低碳转型。持续推进老旧设施更新和智能化改造，提升系统安全性和稳定性。构建多能互补、互联互通的供热体系，提高供热系统的应急保障能力。</w:t>
      </w:r>
    </w:p>
    <w:p>
      <w:pPr>
        <w:pStyle w:val="4"/>
        <w:numPr>
          <w:ilvl w:val="2"/>
          <w:numId w:val="0"/>
        </w:numPr>
        <w:ind w:left="616" w:leftChars="200"/>
        <w:rPr>
          <w:rFonts w:hint="eastAsia" w:ascii="仿宋_GB2312" w:hAnsi="仿宋_GB2312" w:eastAsia="仿宋_GB2312" w:cs="仿宋_GB2312"/>
          <w:b/>
          <w:bCs/>
        </w:rPr>
      </w:pPr>
      <w:bookmarkStart w:id="818" w:name="_Toc3037"/>
      <w:bookmarkStart w:id="819" w:name="_Toc18884"/>
      <w:bookmarkStart w:id="820" w:name="_Toc213765195"/>
      <w:bookmarkStart w:id="821" w:name="_Toc207698924"/>
      <w:bookmarkStart w:id="822" w:name="_Toc30950"/>
      <w:r>
        <w:rPr>
          <w:rFonts w:hint="eastAsia" w:ascii="仿宋_GB2312" w:hAnsi="仿宋_GB2312" w:eastAsia="仿宋_GB2312" w:cs="仿宋_GB2312"/>
          <w:b/>
          <w:bCs/>
        </w:rPr>
        <w:t>（四）构建全域覆盖、安全可靠的新型供气体系</w:t>
      </w:r>
      <w:bookmarkEnd w:id="818"/>
      <w:bookmarkEnd w:id="819"/>
      <w:bookmarkEnd w:id="820"/>
      <w:bookmarkEnd w:id="821"/>
      <w:bookmarkEnd w:id="822"/>
    </w:p>
    <w:p>
      <w:pPr>
        <w:rPr>
          <w:rFonts w:hint="eastAsia" w:ascii="仿宋_GB2312" w:hAnsi="仿宋_GB2312" w:cs="仿宋_GB2312"/>
          <w:spacing w:val="0"/>
          <w:szCs w:val="32"/>
        </w:rPr>
      </w:pPr>
      <w:r>
        <w:rPr>
          <w:rFonts w:hint="eastAsia" w:ascii="仿宋_GB2312" w:hAnsi="仿宋_GB2312" w:cs="仿宋_GB2312"/>
          <w:spacing w:val="0"/>
          <w:szCs w:val="32"/>
        </w:rPr>
        <w:t>推动城乡一体化发展，科学谋划、分步实施老旧管网更新改造，提升管网安全可靠性。合理布局新建燃气管网，提高输送能力，满足用户需求。进一步加强安全设施建设，提高安全管理水平，消除安全隐患，保障各类燃气场站及高压管道等关键基础设施的安全，加强储备及调峰设施建设，构建气源多样、调度灵活、供应可靠的燃气供应体系。</w:t>
      </w:r>
    </w:p>
    <w:p>
      <w:pPr>
        <w:pStyle w:val="4"/>
        <w:numPr>
          <w:ilvl w:val="2"/>
          <w:numId w:val="0"/>
        </w:numPr>
        <w:ind w:left="616" w:leftChars="200"/>
        <w:rPr>
          <w:rFonts w:hint="eastAsia" w:ascii="仿宋_GB2312" w:hAnsi="仿宋_GB2312" w:eastAsia="仿宋_GB2312" w:cs="仿宋_GB2312"/>
          <w:b/>
          <w:bCs/>
        </w:rPr>
      </w:pPr>
      <w:bookmarkStart w:id="823" w:name="_Toc13585"/>
      <w:bookmarkStart w:id="824" w:name="_Toc213765196"/>
      <w:bookmarkStart w:id="825" w:name="_Toc25921"/>
      <w:bookmarkStart w:id="826" w:name="_Toc25554"/>
      <w:r>
        <w:rPr>
          <w:rFonts w:hint="eastAsia" w:ascii="仿宋_GB2312" w:hAnsi="仿宋_GB2312" w:eastAsia="仿宋_GB2312" w:cs="仿宋_GB2312"/>
          <w:b/>
          <w:bCs/>
        </w:rPr>
        <w:t>（五）构建多能互补、清洁高效的绿色能源体系</w:t>
      </w:r>
      <w:bookmarkEnd w:id="823"/>
      <w:bookmarkEnd w:id="824"/>
      <w:bookmarkEnd w:id="825"/>
      <w:bookmarkEnd w:id="826"/>
    </w:p>
    <w:p>
      <w:pPr>
        <w:rPr>
          <w:rFonts w:hint="eastAsia" w:ascii="仿宋_GB2312" w:hAnsi="仿宋_GB2312" w:cs="仿宋_GB2312"/>
          <w:bCs/>
          <w:spacing w:val="0"/>
          <w:szCs w:val="32"/>
        </w:rPr>
      </w:pPr>
      <w:r>
        <w:rPr>
          <w:rFonts w:hint="eastAsia" w:ascii="仿宋_GB2312" w:hAnsi="仿宋_GB2312" w:cs="仿宋_GB2312"/>
          <w:bCs/>
          <w:spacing w:val="0"/>
          <w:szCs w:val="32"/>
        </w:rPr>
        <w:t>多能互补构建绿色低碳能源体系，立足首都生态涵养区定位，锚定绿色低碳发展核心目标，依托区域地热、抽水蓄能、风电、光伏及农林资源优势，联动延庆氢能产业园建设，推动各类清洁能源与绿氢产业深度耦合，构建“地热稳基、风光赋能、储调支撑、氢能增值”的源网荷储氢一体化多能互补体系，打造首都西北部绿色低碳能源示范与氢能产业创新高地。</w:t>
      </w:r>
    </w:p>
    <w:p>
      <w:pPr>
        <w:rPr>
          <w:rFonts w:hint="eastAsia" w:ascii="仿宋_GB2312" w:hAnsi="仿宋_GB2312" w:cs="仿宋_GB2312"/>
          <w:bCs/>
          <w:spacing w:val="0"/>
          <w:szCs w:val="32"/>
        </w:rPr>
      </w:pPr>
      <w:r>
        <w:rPr>
          <w:rFonts w:hint="eastAsia" w:ascii="仿宋_GB2312" w:hAnsi="仿宋_GB2312" w:cs="仿宋_GB2312"/>
          <w:bCs/>
          <w:spacing w:val="0"/>
          <w:szCs w:val="32"/>
        </w:rPr>
        <w:t>分层开发地热资源并协同其他能源落地，系统整合延庆新城闲置地热井群，持续扩大供暖覆盖规模，配套布局分布式光伏、分散式风电，完善新城与重点园区绿电互通体系，依托片区富余绿电，开展可再生能源电解水制氢，搭建就近发电、就地制氢、园区消纳的绿氢供给体系，精准匹配氢能产业园基础用能需求。外围区域（张山营镇、康庄镇）在精准开发地热资源的同时，充分发挥区域农业、林地资源富集及风光条件优越的双重优势，大力推进农光互补、林光互补项目建设，依托片区充足绿电产能，联动氢能产业园发展绿氢制备、储运示范应用，构建“地热+风光+农林互补+绿氢”一体化供能系统，提升乡镇绿电自给水平与能源安全，形成“新能源发电—绿氢转化—产业应用”闭环链条，支撑乡镇级零碳绿电园区和氢能示范场景建设。空白区（沈家营镇、大榆树镇）在深入勘察地热资源的基础上，优先布局抽水蓄能电站，提前预留绿电输送通道，为未来承接中关村延庆园光伏及农光、林光互补项目的绿电输送夯实基础，保障后续多能融合工作有序推进。</w:t>
      </w:r>
    </w:p>
    <w:p>
      <w:pPr>
        <w:rPr>
          <w:rFonts w:hint="eastAsia" w:ascii="仿宋_GB2312" w:hAnsi="仿宋_GB2312" w:cs="仿宋_GB2312"/>
          <w:bCs/>
          <w:spacing w:val="0"/>
          <w:szCs w:val="32"/>
        </w:rPr>
      </w:pPr>
      <w:r>
        <w:rPr>
          <w:rFonts w:hint="eastAsia" w:ascii="仿宋_GB2312" w:hAnsi="仿宋_GB2312" w:cs="仿宋_GB2312"/>
          <w:bCs/>
          <w:spacing w:val="0"/>
          <w:szCs w:val="32"/>
        </w:rPr>
        <w:t>政策与技术创新驱动多能融合发展，破除单一能源利用壁垒，赋能多能融合与氢能产业高质量发展。对标“十五五”创新发展部署，出台绿电园区、氢能产业专项扶持政策，重点支持“地热+储能+风光+农林互补+绿氢”耦合模式推广，加速园区规模化建设。聚焦技术创新，推动地热利用、风光发电、储能调峰、绿氢储运等关键技术融合应用，建设智慧能源示范区，搭建一体化智能调度平台，实现各类能源梯级利用、精准匹配、高效互补。</w:t>
      </w:r>
    </w:p>
    <w:p>
      <w:pPr>
        <w:rPr>
          <w:rFonts w:hint="eastAsia" w:ascii="仿宋_GB2312" w:hAnsi="仿宋_GB2312" w:cs="仿宋_GB2312"/>
          <w:bCs/>
          <w:spacing w:val="0"/>
          <w:szCs w:val="32"/>
        </w:rPr>
      </w:pPr>
      <w:r>
        <w:rPr>
          <w:rFonts w:hint="eastAsia" w:ascii="仿宋_GB2312" w:hAnsi="仿宋_GB2312" w:cs="仿宋_GB2312"/>
          <w:bCs/>
          <w:spacing w:val="0"/>
          <w:szCs w:val="32"/>
        </w:rPr>
        <w:t>深化氢能场景全域赋能，提升能源系统韧性与城市低碳发展水平。将“地热+光伏+绿氢”耦合模式融入城市更新、产业升级、基建改造等重点工程，在温泉康养、现代农业、产业园区等重点场景配套蓄热、储氢及氢能转换装置，构建复合型供能体系，增强能源系统抗扰动能力。依托氢能产业园，延伸绿氢产业链，拓展工业供氢、交通加氢、储能调峰、氢能发电等多元应用场景，构建集制备、储运、应用、研发于一体的氢能产业生态。以多能互补、氢能融合发展助力韧性城市、零碳城市建设，全力打造首都绿色低碳发展标杆和新能源与氢能融合示范高地。</w:t>
      </w:r>
    </w:p>
    <w:p>
      <w:pPr>
        <w:pStyle w:val="4"/>
        <w:numPr>
          <w:ilvl w:val="2"/>
          <w:numId w:val="0"/>
        </w:numPr>
        <w:ind w:left="616" w:leftChars="200"/>
        <w:rPr>
          <w:rFonts w:hint="eastAsia" w:ascii="仿宋_GB2312" w:hAnsi="仿宋_GB2312" w:eastAsia="仿宋_GB2312" w:cs="仿宋_GB2312"/>
          <w:b/>
          <w:bCs/>
        </w:rPr>
      </w:pPr>
      <w:bookmarkStart w:id="827" w:name="_Toc213765197"/>
      <w:bookmarkStart w:id="828" w:name="_Toc29594"/>
      <w:bookmarkStart w:id="829" w:name="_Toc27722"/>
      <w:bookmarkStart w:id="830" w:name="_Toc28119"/>
      <w:r>
        <w:rPr>
          <w:rFonts w:hint="eastAsia" w:ascii="仿宋_GB2312" w:hAnsi="仿宋_GB2312" w:eastAsia="仿宋_GB2312" w:cs="仿宋_GB2312"/>
          <w:b/>
          <w:bCs/>
        </w:rPr>
        <w:t>（六）构建安全稳固、便捷互联的道路基础设施</w:t>
      </w:r>
      <w:bookmarkEnd w:id="827"/>
      <w:bookmarkEnd w:id="828"/>
      <w:bookmarkEnd w:id="829"/>
      <w:bookmarkEnd w:id="830"/>
    </w:p>
    <w:p>
      <w:pPr>
        <w:rPr>
          <w:rFonts w:hint="eastAsia" w:ascii="仿宋_GB2312" w:hAnsi="仿宋_GB2312" w:cs="仿宋_GB2312"/>
          <w:spacing w:val="0"/>
          <w:szCs w:val="32"/>
        </w:rPr>
      </w:pPr>
      <w:r>
        <w:rPr>
          <w:rFonts w:hint="eastAsia" w:ascii="仿宋_GB2312" w:hAnsi="仿宋_GB2312" w:cs="仿宋_GB2312"/>
          <w:spacing w:val="0"/>
          <w:szCs w:val="32"/>
        </w:rPr>
        <w:t>以多式协同为核心，构建韧性交通生命线网。依托铁路、高速，以及干线公路和城市干路网，构建区域外联骨架，形成延庆区内外交通运输与物资供给的韧性廊道，打造“公路+铁路”协同互补的韧性交通生命线网络，全面提升灾时服务保障能力。</w:t>
      </w:r>
    </w:p>
    <w:p>
      <w:pPr>
        <w:rPr>
          <w:rFonts w:hint="eastAsia" w:ascii="仿宋_GB2312" w:hAnsi="仿宋_GB2312" w:cs="仿宋_GB2312"/>
          <w:spacing w:val="0"/>
          <w:szCs w:val="32"/>
        </w:rPr>
      </w:pPr>
      <w:r>
        <w:rPr>
          <w:rFonts w:hint="eastAsia" w:ascii="仿宋_GB2312" w:hAnsi="仿宋_GB2312" w:cs="仿宋_GB2312"/>
          <w:spacing w:val="0"/>
          <w:szCs w:val="32"/>
        </w:rPr>
        <w:t>补足交通防灾薄弱环节、强化关键位置交通韧性服务保障能力。为充分应对极端暴雨等灾害，畅通抗灾救灾交通生命线网，增强农村“四好公路”抗灾承压能力，筑牢安全防线，重点提升地质灾害易发区域的道路基础韧性。融合低空技术、人工智能等新兴技术，构建智慧低空应急救援指挥系统和“低空应急救援通道”，推动应急救援提质增效。</w:t>
      </w:r>
    </w:p>
    <w:p>
      <w:pPr>
        <w:pStyle w:val="4"/>
        <w:numPr>
          <w:ilvl w:val="2"/>
          <w:numId w:val="0"/>
        </w:numPr>
        <w:ind w:left="616" w:leftChars="200"/>
        <w:rPr>
          <w:rFonts w:hint="eastAsia" w:ascii="仿宋_GB2312" w:hAnsi="仿宋_GB2312" w:eastAsia="仿宋_GB2312" w:cs="仿宋_GB2312"/>
          <w:b/>
          <w:bCs/>
        </w:rPr>
      </w:pPr>
      <w:bookmarkStart w:id="831" w:name="_Toc31941"/>
      <w:bookmarkStart w:id="832" w:name="_Toc608"/>
      <w:bookmarkStart w:id="833" w:name="_Toc25122"/>
      <w:bookmarkStart w:id="834" w:name="_Toc213765198"/>
      <w:bookmarkStart w:id="835" w:name="_Toc207698927"/>
      <w:r>
        <w:rPr>
          <w:rFonts w:hint="eastAsia" w:ascii="仿宋_GB2312" w:hAnsi="仿宋_GB2312" w:eastAsia="仿宋_GB2312" w:cs="仿宋_GB2312"/>
          <w:b/>
          <w:bCs/>
        </w:rPr>
        <w:t>（七）构建疏蓄联动、韧性安全的防洪减灾体系</w:t>
      </w:r>
      <w:bookmarkEnd w:id="831"/>
      <w:bookmarkEnd w:id="832"/>
      <w:bookmarkEnd w:id="833"/>
      <w:bookmarkEnd w:id="834"/>
      <w:bookmarkEnd w:id="835"/>
    </w:p>
    <w:p>
      <w:pPr>
        <w:rPr>
          <w:rFonts w:hint="eastAsia" w:ascii="仿宋_GB2312" w:hAnsi="仿宋_GB2312" w:cs="仿宋_GB2312"/>
          <w:spacing w:val="0"/>
          <w:szCs w:val="32"/>
        </w:rPr>
      </w:pPr>
      <w:r>
        <w:rPr>
          <w:rFonts w:hint="eastAsia" w:ascii="仿宋_GB2312" w:hAnsi="仿宋_GB2312" w:cs="仿宋_GB2312"/>
          <w:spacing w:val="0"/>
          <w:szCs w:val="32"/>
        </w:rPr>
        <w:t>筑牢防洪减灾体系，保障区域安全。系统构建“监测预警—工程防护—应急调度—灾后恢复”全链条防灾体系，全面提升工程防御、智慧预警与应急恢复能力。推进妫水河等重点河道治理与行洪能力提升工程，实施官厅水库等水库除险加固及上游防洪工程，确保城镇防洪100%达标。开展乡村支流清淤疏浚与岸坡防护，消除淤堵隐患，保障城镇防洪达标率大于94%。严格河道岸线及保护范围管理，推进蓄滞洪区建设与水库优化调度，切实留足行洪蓄滞空间。建设智慧监测预警体系，集成多源数据与全域感知能力，融合大数据等先进技术，构建数字孪生流域与洪涝模拟系统，实现洪水过程精准推演。健全区、街道（乡镇）、社区（村）三级预警机制，确保灾害信息快速直达、响应及时。</w:t>
      </w:r>
    </w:p>
    <w:p>
      <w:pPr>
        <w:rPr>
          <w:rFonts w:hint="eastAsia" w:ascii="仿宋_GB2312" w:hAnsi="仿宋_GB2312" w:cs="仿宋_GB2312"/>
          <w:spacing w:val="0"/>
          <w:szCs w:val="32"/>
        </w:rPr>
      </w:pPr>
      <w:r>
        <w:rPr>
          <w:rFonts w:hint="eastAsia" w:ascii="仿宋_GB2312" w:hAnsi="仿宋_GB2312" w:cs="仿宋_GB2312"/>
          <w:spacing w:val="0"/>
          <w:szCs w:val="32"/>
        </w:rPr>
        <w:t>强化水资源刚性约束，保障城乡供水安全。严格落实“三条红线”管控，全面推进节水型社会建设。加强水源保护与水污染治理，系统防控工业、城乡与农业污染，实现城乡污水全处理、直排入河污染源基本清零。保障饮用水水源地水质100%达标，恢复官厅水库备用饮用水源功能。推进水源保护区规范化建设，完成农村饮用水水源调查评估与保护区划定。实施官厅水库、白河堡水库等重点水域生态修复与库滨带治理，开展退耕还湿，建设应急备用水源工程，增强供水保障能力。</w:t>
      </w:r>
    </w:p>
    <w:p>
      <w:pPr>
        <w:spacing w:line="540" w:lineRule="exact"/>
        <w:rPr>
          <w:rFonts w:hint="eastAsia" w:ascii="仿宋_GB2312" w:hAnsi="仿宋_GB2312" w:cs="仿宋_GB2312"/>
          <w:spacing w:val="0"/>
          <w:szCs w:val="32"/>
        </w:rPr>
      </w:pPr>
      <w:r>
        <w:rPr>
          <w:rFonts w:hint="eastAsia" w:ascii="仿宋_GB2312" w:hAnsi="仿宋_GB2312" w:cs="仿宋_GB2312"/>
          <w:spacing w:val="0"/>
          <w:szCs w:val="32"/>
        </w:rPr>
        <w:t>推进流域系统治理与生态修复，构建健康河湖体系。以永定河、潮白河、北运河流域为重点，统筹水城关系，实施水系连通、湿地建设与生态补水，提升水生态安全水平。围绕重点河湖水功能区水质全面达标目标，推进妫水河、官厅水库等河湖综合治理与生态修复，城镇段按50～100年一遇、乡村段按10～20年一遇防洪标准建设，恢复自然岸线比例30%以上，提升水生生物完整性。严格岸线与水生态空间管控，清退不符合保护要求的占用行为。发展生态农业与缓冲带，探索建立生态补偿机制。完善河湖健康评估体系，实现重点河湖评估全覆盖，健康河湖比例稳定在85%以上，推行“一河一策”精准治理。</w:t>
      </w:r>
    </w:p>
    <w:p>
      <w:pPr>
        <w:pStyle w:val="3"/>
        <w:spacing w:line="540" w:lineRule="exact"/>
        <w:ind w:left="616" w:leftChars="200" w:firstLine="4" w:firstLineChars="0"/>
        <w:jc w:val="left"/>
        <w:rPr>
          <w:rFonts w:hint="eastAsia" w:ascii="楷体_GB2312" w:hAnsi="楷体_GB2312" w:eastAsia="楷体_GB2312" w:cs="楷体_GB2312"/>
          <w:spacing w:val="0"/>
        </w:rPr>
      </w:pPr>
      <w:bookmarkStart w:id="836" w:name="_Toc5500"/>
      <w:bookmarkStart w:id="837" w:name="_Toc30139"/>
      <w:bookmarkStart w:id="838" w:name="_Toc5859"/>
      <w:bookmarkStart w:id="839" w:name="_Toc213765199"/>
      <w:bookmarkStart w:id="840" w:name="_Toc15338"/>
      <w:bookmarkStart w:id="841" w:name="_Toc13355"/>
      <w:r>
        <w:rPr>
          <w:rFonts w:hint="eastAsia" w:ascii="楷体_GB2312" w:hAnsi="楷体_GB2312" w:eastAsia="楷体_GB2312" w:cs="楷体_GB2312"/>
          <w:spacing w:val="0"/>
        </w:rPr>
        <w:t>推进现代智慧城市建设</w:t>
      </w:r>
      <w:bookmarkEnd w:id="836"/>
      <w:bookmarkEnd w:id="837"/>
      <w:bookmarkEnd w:id="838"/>
      <w:bookmarkEnd w:id="839"/>
      <w:bookmarkEnd w:id="840"/>
      <w:bookmarkEnd w:id="841"/>
    </w:p>
    <w:p>
      <w:pPr>
        <w:pStyle w:val="4"/>
        <w:numPr>
          <w:ilvl w:val="2"/>
          <w:numId w:val="0"/>
        </w:numPr>
        <w:spacing w:line="540" w:lineRule="exact"/>
        <w:ind w:left="616" w:leftChars="200"/>
        <w:rPr>
          <w:rFonts w:hint="eastAsia" w:ascii="仿宋_GB2312" w:hAnsi="仿宋_GB2312" w:eastAsia="仿宋_GB2312" w:cs="仿宋_GB2312"/>
          <w:b/>
          <w:bCs/>
        </w:rPr>
      </w:pPr>
      <w:bookmarkStart w:id="842" w:name="_Toc203756405"/>
      <w:bookmarkStart w:id="843" w:name="_Toc31491"/>
      <w:bookmarkStart w:id="844" w:name="_Toc18411"/>
      <w:bookmarkStart w:id="845" w:name="_Toc213765200"/>
      <w:bookmarkStart w:id="846" w:name="_Toc634"/>
      <w:r>
        <w:rPr>
          <w:rFonts w:hint="eastAsia" w:ascii="仿宋_GB2312" w:hAnsi="仿宋_GB2312" w:eastAsia="仿宋_GB2312" w:cs="仿宋_GB2312"/>
          <w:b/>
          <w:bCs/>
        </w:rPr>
        <w:t>（一）构建城市信息模型，搭建智慧管理平台</w:t>
      </w:r>
      <w:bookmarkEnd w:id="842"/>
      <w:bookmarkEnd w:id="843"/>
      <w:bookmarkEnd w:id="844"/>
      <w:bookmarkEnd w:id="845"/>
      <w:bookmarkEnd w:id="846"/>
    </w:p>
    <w:p>
      <w:pPr>
        <w:spacing w:line="540" w:lineRule="exact"/>
        <w:rPr>
          <w:rFonts w:hint="eastAsia" w:ascii="仿宋_GB2312" w:hAnsi="仿宋_GB2312" w:cs="仿宋_GB2312"/>
          <w:spacing w:val="0"/>
          <w:szCs w:val="32"/>
        </w:rPr>
      </w:pPr>
      <w:r>
        <w:rPr>
          <w:rFonts w:hint="eastAsia" w:ascii="仿宋_GB2312" w:hAnsi="仿宋_GB2312" w:cs="仿宋_GB2312"/>
          <w:spacing w:val="0"/>
          <w:szCs w:val="32"/>
        </w:rPr>
        <w:t>依托建筑信息模型（BIM）、地理信息系统（GIS）与物联网（IoT），对城市地上地下、室内室外、宏观微观数据进行多尺度全空间融合，形成可持续更新的“数字孪生城市”底座，涵盖环境保护、安全管理、民生保障、智慧交通、社会服务、社区治理、文化生活、应急保障等领域，实现市、区、街乡镇、社区村、单元网格纵向贯穿，数据共享共用，构建“一网统管全城、一网统领行业、一网统筹全域”的城市运行管理新模式。</w:t>
      </w:r>
    </w:p>
    <w:p>
      <w:pPr>
        <w:pStyle w:val="4"/>
        <w:numPr>
          <w:ilvl w:val="2"/>
          <w:numId w:val="0"/>
        </w:numPr>
        <w:spacing w:line="540" w:lineRule="exact"/>
        <w:ind w:left="616" w:leftChars="200"/>
        <w:rPr>
          <w:rFonts w:hint="eastAsia" w:ascii="仿宋_GB2312" w:hAnsi="仿宋_GB2312" w:eastAsia="仿宋_GB2312" w:cs="仿宋_GB2312"/>
          <w:b/>
          <w:bCs/>
        </w:rPr>
      </w:pPr>
      <w:bookmarkStart w:id="847" w:name="_Toc213765201"/>
      <w:bookmarkStart w:id="848" w:name="_Toc20307"/>
      <w:bookmarkStart w:id="849" w:name="_Toc10530"/>
      <w:bookmarkStart w:id="850" w:name="_Toc21123"/>
      <w:bookmarkStart w:id="851" w:name="_Toc203756403"/>
      <w:r>
        <w:rPr>
          <w:rFonts w:hint="eastAsia" w:ascii="仿宋_GB2312" w:hAnsi="仿宋_GB2312" w:eastAsia="仿宋_GB2312" w:cs="仿宋_GB2312"/>
          <w:b/>
          <w:bCs/>
        </w:rPr>
        <w:t>（二）智慧赋能韧性系统，高效保障生命线安全</w:t>
      </w:r>
      <w:bookmarkEnd w:id="847"/>
      <w:bookmarkEnd w:id="848"/>
      <w:bookmarkEnd w:id="849"/>
      <w:bookmarkEnd w:id="850"/>
    </w:p>
    <w:bookmarkEnd w:id="851"/>
    <w:p>
      <w:pPr>
        <w:spacing w:line="540" w:lineRule="exact"/>
        <w:rPr>
          <w:rFonts w:hint="eastAsia" w:ascii="仿宋_GB2312" w:hAnsi="仿宋_GB2312" w:cs="仿宋_GB2312"/>
          <w:bCs/>
          <w:spacing w:val="0"/>
          <w:szCs w:val="32"/>
        </w:rPr>
      </w:pPr>
      <w:bookmarkStart w:id="852" w:name="_Toc203756404"/>
      <w:r>
        <w:rPr>
          <w:rFonts w:hint="eastAsia" w:ascii="仿宋_GB2312" w:hAnsi="仿宋_GB2312" w:cs="仿宋_GB2312"/>
          <w:spacing w:val="0"/>
          <w:szCs w:val="32"/>
        </w:rPr>
        <w:t>探索构建消防安全管理系统、气象动态监测系统、人流态势感知、数据分析研判、工地管理等应用场景，推动新一代信息技术同城市基础设施深度融合，探索更多智慧城市协同创新应用场景，创造城市数智治理新范式。精确采集在线数据，提高态势感知能力</w:t>
      </w:r>
      <w:bookmarkEnd w:id="852"/>
      <w:r>
        <w:rPr>
          <w:rFonts w:hint="eastAsia" w:ascii="仿宋_GB2312" w:hAnsi="仿宋_GB2312" w:cs="仿宋_GB2312"/>
          <w:spacing w:val="0"/>
          <w:szCs w:val="32"/>
        </w:rPr>
        <w:t>，提升城市减灾韧性能力，形成“空—天—地”一体化监测体系，</w:t>
      </w:r>
      <w:bookmarkEnd w:id="803"/>
      <w:r>
        <w:rPr>
          <w:rFonts w:hint="eastAsia" w:ascii="仿宋_GB2312" w:hAnsi="仿宋_GB2312" w:cs="仿宋_GB2312"/>
          <w:spacing w:val="0"/>
          <w:szCs w:val="32"/>
        </w:rPr>
        <w:t>重点加强生命线系统监测、预警、评估、模拟以及应急决策等能力，搭建防洪应急智慧调度系统，自动生成闸坝联调、应急抽排的优化方案，与智慧城市指挥中心联动，实现人员疏散、交通管制、物资调配的快速响应。通过“预报—预警—调度—评估”全链条数字化管理，增强城市应对极端天气的主动防御与快速恢复能力。</w:t>
      </w:r>
      <w:r>
        <w:rPr>
          <w:rFonts w:hint="eastAsia" w:ascii="仿宋_GB2312" w:hAnsi="仿宋_GB2312" w:cs="仿宋_GB2312"/>
          <w:spacing w:val="0"/>
          <w:szCs w:val="32"/>
        </w:rPr>
        <w:br w:type="page"/>
      </w:r>
    </w:p>
    <w:p>
      <w:pPr>
        <w:pStyle w:val="34"/>
        <w:spacing w:before="156" w:after="156"/>
        <w:rPr>
          <w:rFonts w:hint="eastAsia"/>
          <w:spacing w:val="0"/>
        </w:rPr>
      </w:pPr>
      <w:bookmarkStart w:id="853" w:name="_Toc17886"/>
      <w:bookmarkStart w:id="854" w:name="_Toc9482"/>
      <w:bookmarkStart w:id="855" w:name="_Toc28793"/>
      <w:bookmarkStart w:id="856" w:name="_Toc21623"/>
      <w:bookmarkStart w:id="857" w:name="_Toc2015"/>
      <w:r>
        <w:rPr>
          <w:rFonts w:hint="eastAsia"/>
          <w:spacing w:val="0"/>
        </w:rPr>
        <w:t>规划实施保障举措</w:t>
      </w:r>
      <w:bookmarkEnd w:id="853"/>
      <w:bookmarkEnd w:id="854"/>
      <w:bookmarkEnd w:id="855"/>
      <w:bookmarkEnd w:id="856"/>
      <w:bookmarkEnd w:id="857"/>
    </w:p>
    <w:p>
      <w:pPr>
        <w:pStyle w:val="3"/>
        <w:ind w:left="616" w:leftChars="200" w:firstLine="4" w:firstLineChars="0"/>
        <w:jc w:val="left"/>
        <w:rPr>
          <w:rFonts w:hint="eastAsia" w:ascii="楷体_GB2312" w:hAnsi="楷体_GB2312" w:eastAsia="楷体_GB2312" w:cs="楷体_GB2312"/>
          <w:spacing w:val="0"/>
        </w:rPr>
      </w:pPr>
      <w:bookmarkStart w:id="858" w:name="_Toc16103"/>
      <w:bookmarkStart w:id="859" w:name="_Toc250"/>
      <w:bookmarkStart w:id="860" w:name="_Toc19649"/>
      <w:bookmarkStart w:id="861" w:name="_Toc17514"/>
      <w:bookmarkStart w:id="862" w:name="_Toc11248"/>
      <w:bookmarkStart w:id="863" w:name="_Toc204691256"/>
      <w:bookmarkStart w:id="864" w:name="_Toc206178894"/>
      <w:bookmarkStart w:id="865" w:name="_Toc204691255"/>
      <w:bookmarkStart w:id="866" w:name="_Hlk197534133"/>
      <w:r>
        <w:rPr>
          <w:rFonts w:hint="eastAsia" w:ascii="楷体_GB2312" w:hAnsi="楷体_GB2312" w:eastAsia="楷体_GB2312" w:cs="楷体_GB2312"/>
          <w:spacing w:val="0"/>
        </w:rPr>
        <w:t>全面深化改革保障措施</w:t>
      </w:r>
      <w:bookmarkEnd w:id="858"/>
      <w:bookmarkEnd w:id="859"/>
      <w:bookmarkEnd w:id="860"/>
      <w:bookmarkEnd w:id="861"/>
      <w:bookmarkEnd w:id="862"/>
    </w:p>
    <w:p>
      <w:pPr>
        <w:pStyle w:val="4"/>
        <w:numPr>
          <w:ilvl w:val="2"/>
          <w:numId w:val="0"/>
        </w:numPr>
        <w:ind w:left="616" w:leftChars="200"/>
        <w:rPr>
          <w:rFonts w:hint="eastAsia" w:ascii="仿宋_GB2312" w:hAnsi="仿宋_GB2312" w:eastAsia="仿宋_GB2312" w:cs="仿宋_GB2312"/>
          <w:b/>
          <w:bCs/>
        </w:rPr>
      </w:pPr>
      <w:bookmarkStart w:id="867" w:name="_Toc9451"/>
      <w:bookmarkStart w:id="868" w:name="_Toc32250"/>
      <w:bookmarkStart w:id="869" w:name="_Toc11360"/>
      <w:r>
        <w:rPr>
          <w:rFonts w:hint="eastAsia" w:ascii="仿宋_GB2312" w:hAnsi="仿宋_GB2312" w:eastAsia="仿宋_GB2312" w:cs="仿宋_GB2312"/>
          <w:b/>
          <w:bCs/>
        </w:rPr>
        <w:t>（一）深化城市工作联席会议机制</w:t>
      </w:r>
      <w:bookmarkEnd w:id="867"/>
      <w:bookmarkEnd w:id="868"/>
      <w:bookmarkEnd w:id="869"/>
    </w:p>
    <w:p>
      <w:pPr>
        <w:rPr>
          <w:rFonts w:hint="eastAsia" w:ascii="仿宋_GB2312" w:hAnsi="仿宋_GB2312" w:cs="仿宋_GB2312"/>
          <w:spacing w:val="0"/>
          <w:szCs w:val="32"/>
        </w:rPr>
      </w:pPr>
      <w:bookmarkStart w:id="870" w:name="_Toc206178863"/>
      <w:r>
        <w:rPr>
          <w:rFonts w:hint="eastAsia" w:ascii="仿宋_GB2312" w:hAnsi="仿宋_GB2312" w:cs="仿宋_GB2312"/>
          <w:spacing w:val="0"/>
          <w:szCs w:val="32"/>
        </w:rPr>
        <w:t>坚持党建引领，完善领导小组领导、协调机制统筹、专班具体推进、部门及街道联动落实、全社会广泛参与的协调机制，打破条块分割壁垒，协调推进“十五五”时期城乡建设相关项目的顶层设计、前期规划、资金筹措、建设实施、管理运维工作，保证项目审批、立项、资金筹措等环节有效实施，构建规划引领、部门协同、多主体参与的共建共治共享机制。</w:t>
      </w:r>
    </w:p>
    <w:bookmarkEnd w:id="870"/>
    <w:p>
      <w:pPr>
        <w:pStyle w:val="4"/>
        <w:numPr>
          <w:ilvl w:val="2"/>
          <w:numId w:val="0"/>
        </w:numPr>
        <w:ind w:left="616" w:leftChars="200"/>
        <w:rPr>
          <w:rFonts w:hint="eastAsia" w:ascii="仿宋_GB2312" w:hAnsi="仿宋_GB2312" w:eastAsia="仿宋_GB2312" w:cs="仿宋_GB2312"/>
          <w:b/>
          <w:bCs/>
        </w:rPr>
      </w:pPr>
      <w:bookmarkStart w:id="871" w:name="_Toc16734"/>
      <w:bookmarkStart w:id="872" w:name="_Toc14425"/>
      <w:bookmarkStart w:id="873" w:name="_Toc16811"/>
      <w:r>
        <w:rPr>
          <w:rFonts w:hint="eastAsia" w:ascii="仿宋_GB2312" w:hAnsi="仿宋_GB2312" w:eastAsia="仿宋_GB2312" w:cs="仿宋_GB2312"/>
          <w:b/>
          <w:bCs/>
        </w:rPr>
        <w:t>（二）不断夯实城市更新工作机制</w:t>
      </w:r>
      <w:bookmarkEnd w:id="871"/>
      <w:bookmarkEnd w:id="872"/>
      <w:bookmarkEnd w:id="873"/>
    </w:p>
    <w:p>
      <w:pPr>
        <w:rPr>
          <w:rFonts w:hint="eastAsia" w:ascii="仿宋_GB2312" w:hAnsi="仿宋_GB2312" w:cs="仿宋_GB2312"/>
          <w:spacing w:val="0"/>
          <w:szCs w:val="32"/>
        </w:rPr>
      </w:pPr>
      <w:bookmarkStart w:id="874" w:name="_Hlk210047039"/>
      <w:r>
        <w:rPr>
          <w:rFonts w:hint="eastAsia" w:ascii="仿宋_GB2312" w:hAnsi="仿宋_GB2312" w:cs="仿宋_GB2312"/>
          <w:spacing w:val="0"/>
          <w:szCs w:val="32"/>
        </w:rPr>
        <w:t>以“民生优先、规划引领、政府统筹、多元参与、改革创新”为原则，结合北京市城市更新专项小组工作机制，成立延庆区城市更新工作专班，设置专班会议制度、联合会商制度、宣传培训制度，统筹政府、市场、社会各方力量，打破部门壁垒，住建、发改、规自、财政、产业、园林、文旅等部门形成推动存量资源规划实施的工作合力。落实城市更新相关规划、土地、财税、金融等配套政策，统筹全区城市更新工作，研究审议城市更新专项规划、行动计划、年度工作要点等，研究确定项目实施方案、划定实施单元、确定统筹主体等重大事宜。</w:t>
      </w:r>
    </w:p>
    <w:bookmarkEnd w:id="863"/>
    <w:bookmarkEnd w:id="864"/>
    <w:bookmarkEnd w:id="874"/>
    <w:p>
      <w:pPr>
        <w:pStyle w:val="4"/>
        <w:numPr>
          <w:ilvl w:val="2"/>
          <w:numId w:val="0"/>
        </w:numPr>
        <w:ind w:left="616" w:leftChars="200"/>
        <w:rPr>
          <w:rFonts w:hint="eastAsia" w:ascii="仿宋_GB2312" w:hAnsi="仿宋_GB2312" w:eastAsia="仿宋_GB2312" w:cs="仿宋_GB2312"/>
          <w:b/>
          <w:bCs/>
        </w:rPr>
      </w:pPr>
      <w:bookmarkStart w:id="875" w:name="_Toc13340"/>
      <w:bookmarkStart w:id="876" w:name="_Toc11145"/>
      <w:bookmarkStart w:id="877" w:name="_Toc29871"/>
      <w:r>
        <w:rPr>
          <w:rFonts w:hint="eastAsia" w:ascii="仿宋_GB2312" w:hAnsi="仿宋_GB2312" w:eastAsia="仿宋_GB2312" w:cs="仿宋_GB2312"/>
          <w:b/>
          <w:bCs/>
        </w:rPr>
        <w:t>（三）强化规建管运一体化保障</w:t>
      </w:r>
      <w:bookmarkEnd w:id="875"/>
      <w:bookmarkEnd w:id="876"/>
      <w:bookmarkEnd w:id="877"/>
    </w:p>
    <w:p>
      <w:pPr>
        <w:rPr>
          <w:rFonts w:hint="eastAsia" w:ascii="仿宋_GB2312" w:hAnsi="仿宋_GB2312" w:cs="仿宋_GB2312"/>
          <w:spacing w:val="0"/>
          <w:szCs w:val="32"/>
        </w:rPr>
      </w:pPr>
      <w:bookmarkStart w:id="878" w:name="_Hlk210047162"/>
      <w:r>
        <w:rPr>
          <w:rFonts w:hint="eastAsia" w:ascii="仿宋_GB2312" w:hAnsi="仿宋_GB2312" w:cs="仿宋_GB2312"/>
          <w:spacing w:val="0"/>
          <w:szCs w:val="32"/>
        </w:rPr>
        <w:t>积极打造全周期管理闭环，健全推进落实机制，以规划为引领明确工作安排、推进措施等，落实年度计划，做好年度间综合平衡，合理确定年度工作重点。加强政策协同和要素保障，促进财政、土地、就业、金融、产业等政策协同发力，健全监测评估机制，开展规划实施情况动态监测、中期评估和总结评估，强化监测结果和评估报告的有效应用。同时，明确依法制定的规划，未经法定程序不得调整，确需调整的，应当严格履行相关程序。</w:t>
      </w:r>
    </w:p>
    <w:bookmarkEnd w:id="865"/>
    <w:bookmarkEnd w:id="866"/>
    <w:bookmarkEnd w:id="878"/>
    <w:p>
      <w:pPr>
        <w:pStyle w:val="3"/>
        <w:ind w:left="616" w:leftChars="200" w:firstLine="4" w:firstLineChars="0"/>
        <w:jc w:val="left"/>
        <w:rPr>
          <w:rFonts w:hint="eastAsia" w:ascii="楷体_GB2312" w:hAnsi="楷体_GB2312" w:eastAsia="楷体_GB2312" w:cs="楷体_GB2312"/>
          <w:spacing w:val="0"/>
        </w:rPr>
      </w:pPr>
      <w:bookmarkStart w:id="879" w:name="_Toc14835"/>
      <w:bookmarkStart w:id="880" w:name="_Toc14601"/>
      <w:bookmarkStart w:id="881" w:name="_Toc8579"/>
      <w:bookmarkStart w:id="882" w:name="_Toc19007"/>
      <w:r>
        <w:rPr>
          <w:rFonts w:hint="eastAsia" w:ascii="楷体_GB2312" w:hAnsi="楷体_GB2312" w:eastAsia="楷体_GB2312" w:cs="楷体_GB2312"/>
          <w:spacing w:val="0"/>
        </w:rPr>
        <w:t>统筹资源要素配置</w:t>
      </w:r>
      <w:bookmarkEnd w:id="879"/>
      <w:bookmarkEnd w:id="880"/>
      <w:bookmarkEnd w:id="881"/>
      <w:bookmarkEnd w:id="882"/>
    </w:p>
    <w:p>
      <w:pPr>
        <w:pStyle w:val="4"/>
        <w:numPr>
          <w:ilvl w:val="2"/>
          <w:numId w:val="0"/>
        </w:numPr>
        <w:ind w:left="616" w:leftChars="200"/>
        <w:rPr>
          <w:rFonts w:hint="eastAsia" w:ascii="仿宋_GB2312" w:hAnsi="仿宋_GB2312" w:eastAsia="仿宋_GB2312" w:cs="仿宋_GB2312"/>
          <w:b/>
          <w:bCs/>
        </w:rPr>
      </w:pPr>
      <w:bookmarkStart w:id="883" w:name="_Toc29059"/>
      <w:bookmarkStart w:id="884" w:name="_Hlk210047681"/>
      <w:r>
        <w:rPr>
          <w:rFonts w:hint="eastAsia" w:ascii="仿宋_GB2312" w:hAnsi="仿宋_GB2312" w:eastAsia="仿宋_GB2312" w:cs="仿宋_GB2312"/>
          <w:b/>
          <w:bCs/>
        </w:rPr>
        <w:t>（一）积极打造有效市场和有为政府</w:t>
      </w:r>
      <w:bookmarkEnd w:id="883"/>
    </w:p>
    <w:p>
      <w:pPr>
        <w:rPr>
          <w:rFonts w:hint="eastAsia" w:ascii="仿宋_GB2312" w:hAnsi="仿宋_GB2312" w:cs="仿宋_GB2312"/>
          <w:spacing w:val="0"/>
          <w:szCs w:val="32"/>
        </w:rPr>
      </w:pPr>
      <w:r>
        <w:rPr>
          <w:rFonts w:hint="eastAsia" w:ascii="仿宋_GB2312" w:hAnsi="仿宋_GB2312" w:cs="仿宋_GB2312"/>
          <w:spacing w:val="0"/>
          <w:szCs w:val="32"/>
        </w:rPr>
        <w:t>更好地发挥政府作用，统筹用好政策资金，激发市场在资源配置中的决定性作用，认真落实产权保护、市场准入、公平竞争、社会信用等市场经济基础制度，提高行政效能，进一步降低制度性交易成本。持续深化营商环境改革，全面谋划工程建设领域营商环境新一轮改革任务，落实好《北京市全面优化营商环境打造国际一流“北京服务”工作要点》。出台规划许可延续、变更及容缺受理等规范性文件，探索开发全流程三维数字化报审系统，构建全流程规划设计质量安全监管体系。发挥责任规划师、行业专家的专业技术赋能作用，加强在地化、陪伴式的规划服务。</w:t>
      </w:r>
    </w:p>
    <w:p>
      <w:pPr>
        <w:pStyle w:val="4"/>
        <w:numPr>
          <w:ilvl w:val="2"/>
          <w:numId w:val="0"/>
        </w:numPr>
        <w:ind w:left="616" w:leftChars="200"/>
        <w:rPr>
          <w:rFonts w:hint="eastAsia" w:ascii="仿宋_GB2312" w:hAnsi="仿宋_GB2312" w:eastAsia="仿宋_GB2312" w:cs="仿宋_GB2312"/>
          <w:b/>
          <w:bCs/>
        </w:rPr>
      </w:pPr>
      <w:bookmarkStart w:id="885" w:name="_Toc31258"/>
      <w:bookmarkStart w:id="886" w:name="_Toc5678"/>
      <w:bookmarkStart w:id="887" w:name="_Toc4404"/>
      <w:r>
        <w:rPr>
          <w:rFonts w:hint="eastAsia" w:ascii="仿宋_GB2312" w:hAnsi="仿宋_GB2312" w:eastAsia="仿宋_GB2312" w:cs="仿宋_GB2312"/>
          <w:b/>
          <w:bCs/>
        </w:rPr>
        <w:t>（二）建立城乡统一的建设用地市场</w:t>
      </w:r>
      <w:bookmarkEnd w:id="885"/>
      <w:bookmarkEnd w:id="886"/>
      <w:bookmarkEnd w:id="887"/>
    </w:p>
    <w:bookmarkEnd w:id="884"/>
    <w:p>
      <w:pPr>
        <w:rPr>
          <w:rFonts w:hint="eastAsia" w:ascii="仿宋_GB2312" w:hAnsi="仿宋_GB2312" w:cs="仿宋_GB2312"/>
          <w:spacing w:val="0"/>
          <w:szCs w:val="32"/>
        </w:rPr>
      </w:pPr>
      <w:bookmarkStart w:id="888" w:name="_Hlk210047697"/>
      <w:r>
        <w:rPr>
          <w:rFonts w:hint="eastAsia" w:ascii="仿宋_GB2312" w:hAnsi="仿宋_GB2312" w:cs="仿宋_GB2312"/>
          <w:spacing w:val="0"/>
          <w:szCs w:val="32"/>
        </w:rPr>
        <w:t>促进土地要素流通顺畅，提高存量土地资源配置效率，健全服务和监管体系，提高节约集约利用水平。增强优势地区要素保障能力，坚持以规划定项目、以项目落规划，土地供应与市场需求相衔接，指标优先向重点功能区、高精尖产业、轨道站点周边等发展需求强烈的区域投放，推动产城融合、职住商服平衡。不断完善土地混合开发利用、用途合理转换机制，持续开展低效用地再开发试点。探索下放产业用地弹性年期审查管理权限，明确弹性年期出让定价、允许提前续期规则。</w:t>
      </w:r>
    </w:p>
    <w:bookmarkEnd w:id="888"/>
    <w:p>
      <w:pPr>
        <w:pStyle w:val="4"/>
        <w:numPr>
          <w:ilvl w:val="2"/>
          <w:numId w:val="0"/>
        </w:numPr>
        <w:ind w:left="616" w:leftChars="200"/>
        <w:rPr>
          <w:rFonts w:hint="eastAsia" w:ascii="仿宋_GB2312" w:hAnsi="仿宋_GB2312" w:eastAsia="仿宋_GB2312" w:cs="仿宋_GB2312"/>
          <w:b/>
          <w:bCs/>
        </w:rPr>
      </w:pPr>
      <w:bookmarkStart w:id="889" w:name="_Toc3102"/>
      <w:bookmarkStart w:id="890" w:name="_Toc17639"/>
      <w:bookmarkStart w:id="891" w:name="_Toc25045"/>
      <w:r>
        <w:rPr>
          <w:rFonts w:hint="eastAsia" w:ascii="仿宋_GB2312" w:hAnsi="仿宋_GB2312" w:eastAsia="仿宋_GB2312" w:cs="仿宋_GB2312"/>
          <w:b/>
          <w:bCs/>
        </w:rPr>
        <w:t>（三）提高土地资源市场化配置程度</w:t>
      </w:r>
      <w:bookmarkEnd w:id="889"/>
      <w:bookmarkEnd w:id="890"/>
      <w:bookmarkEnd w:id="891"/>
    </w:p>
    <w:p>
      <w:pPr>
        <w:adjustRightInd w:val="0"/>
        <w:rPr>
          <w:rFonts w:hint="eastAsia" w:ascii="仿宋_GB2312" w:hAnsi="仿宋_GB2312" w:cs="仿宋_GB2312"/>
          <w:spacing w:val="0"/>
          <w:szCs w:val="32"/>
        </w:rPr>
      </w:pPr>
      <w:r>
        <w:rPr>
          <w:rFonts w:hint="eastAsia" w:ascii="仿宋_GB2312" w:hAnsi="仿宋_GB2312" w:cs="仿宋_GB2312"/>
          <w:spacing w:val="0"/>
          <w:szCs w:val="32"/>
        </w:rPr>
        <w:t>强化土地一、二级市场联动，探索灵活的土地供应方式及宗地组合供应模式，以规划引导强化成本核算、情景模拟和路径推演，有序匹配空间资源投放和规划实施时序，降低实施成本。推进“政府引导+市场主导”的多主体治理模式，探索土地出让加租模式，鼓励开展产业链供地，研究各类企业的准入条件，明确产业类型、投资强度、产出效率、创新能力、节能环保、运营维护等要求，作为土地供应的前置条件。</w:t>
      </w:r>
    </w:p>
    <w:p>
      <w:pPr>
        <w:rPr>
          <w:rFonts w:hint="eastAsia" w:ascii="仿宋_GB2312" w:hAnsi="仿宋_GB2312" w:cs="仿宋_GB2312"/>
          <w:spacing w:val="0"/>
          <w:szCs w:val="32"/>
        </w:rPr>
      </w:pPr>
      <w:r>
        <w:rPr>
          <w:rFonts w:hint="eastAsia" w:ascii="仿宋_GB2312" w:hAnsi="仿宋_GB2312" w:cs="仿宋_GB2312"/>
          <w:spacing w:val="0"/>
          <w:szCs w:val="32"/>
        </w:rPr>
        <w:t>稳妥有序推进集体经营性建设用地入市，做好宅基地和集体建设用地地籍调查登记发证工作，探索完善农村集体经营性建设用地科学规划和用途管制路径，着力盘活空闲、废弃和低效利用的存量集体建设用地，提高集体建设用地节约集约利用水平。</w:t>
      </w:r>
    </w:p>
    <w:p>
      <w:pPr>
        <w:rPr>
          <w:rFonts w:hint="eastAsia" w:ascii="仿宋_GB2312" w:hAnsi="仿宋_GB2312" w:cs="仿宋_GB2312"/>
          <w:spacing w:val="0"/>
          <w:szCs w:val="32"/>
        </w:rPr>
      </w:pPr>
      <w:r>
        <w:rPr>
          <w:rFonts w:hint="eastAsia" w:ascii="仿宋_GB2312" w:hAnsi="仿宋_GB2312" w:cs="仿宋_GB2312"/>
          <w:spacing w:val="0"/>
          <w:szCs w:val="32"/>
        </w:rPr>
        <w:t>统筹低效用地再开发，推动土地利用提质增效，加大批而未供土地的有效利用，加快闲置土地处置和城市土地的综合利用，全面推进城镇低效用地再开发。大力协同城市更新，鼓励运用市场机制盘活存量土地和低效用地，探索国有企业存量用地、集体存量用地的盘活利用途径。</w:t>
      </w:r>
      <w:bookmarkStart w:id="892" w:name="_Toc206178897"/>
      <w:bookmarkStart w:id="893" w:name="_Toc14575"/>
      <w:bookmarkStart w:id="894" w:name="_Toc204691258"/>
    </w:p>
    <w:p>
      <w:pPr>
        <w:pStyle w:val="4"/>
        <w:numPr>
          <w:ilvl w:val="2"/>
          <w:numId w:val="0"/>
        </w:numPr>
        <w:ind w:left="616" w:leftChars="200"/>
        <w:rPr>
          <w:rFonts w:hint="eastAsia" w:ascii="仿宋_GB2312" w:hAnsi="仿宋_GB2312" w:eastAsia="仿宋_GB2312" w:cs="仿宋_GB2312"/>
          <w:b/>
          <w:bCs/>
        </w:rPr>
      </w:pPr>
      <w:bookmarkStart w:id="895" w:name="_Toc23622"/>
      <w:bookmarkStart w:id="896" w:name="_Toc9754"/>
      <w:bookmarkStart w:id="897" w:name="_Toc17799"/>
      <w:r>
        <w:rPr>
          <w:rFonts w:hint="eastAsia" w:ascii="仿宋_GB2312" w:hAnsi="仿宋_GB2312" w:eastAsia="仿宋_GB2312" w:cs="仿宋_GB2312"/>
          <w:b/>
          <w:bCs/>
        </w:rPr>
        <w:t>（四）构建多元投融资机制</w:t>
      </w:r>
      <w:bookmarkEnd w:id="895"/>
      <w:bookmarkEnd w:id="896"/>
      <w:bookmarkEnd w:id="897"/>
    </w:p>
    <w:bookmarkEnd w:id="892"/>
    <w:bookmarkEnd w:id="893"/>
    <w:bookmarkEnd w:id="894"/>
    <w:p>
      <w:pPr>
        <w:rPr>
          <w:rFonts w:hint="eastAsia" w:ascii="仿宋_GB2312" w:hAnsi="仿宋_GB2312" w:cs="仿宋_GB2312"/>
          <w:spacing w:val="0"/>
          <w:szCs w:val="32"/>
        </w:rPr>
      </w:pPr>
      <w:bookmarkStart w:id="898" w:name="_Hlk210047287"/>
      <w:r>
        <w:rPr>
          <w:rFonts w:hint="eastAsia" w:ascii="仿宋_GB2312" w:hAnsi="仿宋_GB2312" w:cs="仿宋_GB2312"/>
          <w:spacing w:val="0"/>
          <w:szCs w:val="32"/>
        </w:rPr>
        <w:t>积极引入城市建设管理运营平台公司，统筹城市建设、管理与运营，推进项目落地与长效运转。坚持惠民生和促消费、投资于物和投资于人紧密结合，引导社会资本进入城市重点功能区、主导产业及低空技术、科技体育等新兴产业及重点项目中，大力吸引创新型企业、创新型总部进驻延庆区。</w:t>
      </w:r>
    </w:p>
    <w:p>
      <w:pPr>
        <w:rPr>
          <w:rFonts w:hint="eastAsia" w:ascii="仿宋_GB2312" w:hAnsi="仿宋_GB2312" w:cs="仿宋_GB2312"/>
          <w:spacing w:val="0"/>
          <w:szCs w:val="32"/>
        </w:rPr>
      </w:pPr>
      <w:r>
        <w:rPr>
          <w:rFonts w:hint="eastAsia" w:ascii="仿宋_GB2312" w:hAnsi="仿宋_GB2312" w:cs="仿宋_GB2312"/>
          <w:spacing w:val="0"/>
          <w:szCs w:val="32"/>
        </w:rPr>
        <w:t>深化融资对接机制，搭建银企合作平台。持续推广“畅融工程”等模式，充分利用商业银行、政策性银行以及各类金融租赁、信托、保险等非银行金融机构的特色和优势，增强融资支持力度。通过直接投资、资本金注入、投资补助以及贷款贴息等方式，灵活安排财政性资金或地方政府专项债券。</w:t>
      </w:r>
    </w:p>
    <w:p>
      <w:pPr>
        <w:rPr>
          <w:rFonts w:hint="eastAsia" w:ascii="仿宋_GB2312" w:hAnsi="仿宋_GB2312" w:cs="仿宋_GB2312"/>
          <w:spacing w:val="0"/>
          <w:szCs w:val="32"/>
        </w:rPr>
      </w:pPr>
      <w:r>
        <w:rPr>
          <w:rFonts w:hint="eastAsia" w:ascii="仿宋_GB2312" w:hAnsi="仿宋_GB2312" w:cs="仿宋_GB2312"/>
          <w:spacing w:val="0"/>
          <w:szCs w:val="32"/>
        </w:rPr>
        <w:t>强化绿色金融创新，激活存量资产价值。引进社会资本，配套税收减免政策，开展REITs试点，发行特色产业专项收益票据，吸引险资等长期资本参与，盘活存量资产‌。对区内新能源项目发行碳中和债券，探索“碳减排挂钩贷款”，将利率与减排绩效动态绑定。合理利用生态资源，进行GEP贷款额度测算，探索GEP贷款模式。</w:t>
      </w:r>
    </w:p>
    <w:bookmarkEnd w:id="898"/>
    <w:p>
      <w:pPr>
        <w:pStyle w:val="4"/>
        <w:numPr>
          <w:ilvl w:val="2"/>
          <w:numId w:val="0"/>
        </w:numPr>
        <w:ind w:left="616" w:leftChars="200"/>
        <w:rPr>
          <w:rFonts w:hint="eastAsia" w:ascii="仿宋_GB2312" w:hAnsi="仿宋_GB2312" w:eastAsia="仿宋_GB2312" w:cs="仿宋_GB2312"/>
          <w:b/>
          <w:bCs/>
        </w:rPr>
      </w:pPr>
      <w:bookmarkStart w:id="899" w:name="_Toc9996"/>
      <w:bookmarkStart w:id="900" w:name="_Toc19616"/>
      <w:bookmarkStart w:id="901" w:name="_Toc4851"/>
      <w:r>
        <w:rPr>
          <w:rFonts w:hint="eastAsia" w:ascii="仿宋_GB2312" w:hAnsi="仿宋_GB2312" w:eastAsia="仿宋_GB2312" w:cs="仿宋_GB2312"/>
          <w:b/>
          <w:bCs/>
        </w:rPr>
        <w:t>（五）强化规划资源要素支撑</w:t>
      </w:r>
      <w:bookmarkEnd w:id="899"/>
      <w:bookmarkEnd w:id="900"/>
      <w:bookmarkEnd w:id="901"/>
    </w:p>
    <w:p>
      <w:pPr>
        <w:rPr>
          <w:rFonts w:hint="eastAsia" w:ascii="仿宋_GB2312" w:hAnsi="仿宋_GB2312" w:cs="仿宋_GB2312"/>
          <w:spacing w:val="0"/>
          <w:szCs w:val="32"/>
        </w:rPr>
      </w:pPr>
      <w:r>
        <w:rPr>
          <w:rFonts w:hint="eastAsia" w:ascii="仿宋_GB2312" w:hAnsi="仿宋_GB2312" w:cs="仿宋_GB2312"/>
          <w:spacing w:val="0"/>
          <w:szCs w:val="32"/>
        </w:rPr>
        <w:t>坚持规划引导资源配置，在落实国土空间总体规划管控规则的前提下，按照急用先编、保障发展的原则，做好各类规划的编制工作，全力保障各类项目用地指标，为建设项目规划许可及实施城乡开发建设、整治更新、保护修复活动提供法定依据。发挥多方能动性、集中资源办大事，最大程度整合、最高效率布局片区资源要素。</w:t>
      </w:r>
    </w:p>
    <w:p>
      <w:pPr>
        <w:rPr>
          <w:rFonts w:hint="eastAsia" w:ascii="仿宋_GB2312" w:hAnsi="仿宋_GB2312" w:cs="仿宋_GB2312"/>
          <w:spacing w:val="0"/>
          <w:szCs w:val="32"/>
        </w:rPr>
      </w:pPr>
      <w:r>
        <w:rPr>
          <w:rFonts w:hint="eastAsia" w:ascii="仿宋_GB2312" w:hAnsi="仿宋_GB2312" w:cs="仿宋_GB2312"/>
          <w:spacing w:val="0"/>
          <w:szCs w:val="32"/>
        </w:rPr>
        <w:t>综合运用全域土地综合整治、集体经营性建设用地入市、“平急两用”公共基础设施建设、点状配套设施、设施农业及林业用地等政策，引导各类建设用地集约高效、非建设空间要素合理有序布局，全力推动项目高效落地投产。</w:t>
      </w:r>
    </w:p>
    <w:p>
      <w:pPr>
        <w:rPr>
          <w:rFonts w:hint="eastAsia" w:ascii="仿宋_GB2312" w:hAnsi="仿宋_GB2312" w:cs="仿宋_GB2312"/>
          <w:spacing w:val="0"/>
          <w:szCs w:val="32"/>
        </w:rPr>
      </w:pPr>
      <w:r>
        <w:rPr>
          <w:rFonts w:hint="eastAsia" w:ascii="仿宋_GB2312" w:hAnsi="仿宋_GB2312" w:cs="仿宋_GB2312"/>
          <w:spacing w:val="0"/>
          <w:szCs w:val="32"/>
        </w:rPr>
        <w:t>不断完善集约节约用地制度建设，加强建设项目节约集约用地控制标准审核，加大土地供应批后监管力度，促进节约集约用地制度、市场配置、政策激励、科技应用、考核评价机制更加完善。加强空间协调，坚持区域协同、领域协同、城乡融合、地上地下空间综合利用。</w:t>
      </w:r>
      <w:bookmarkEnd w:id="754"/>
      <w:bookmarkEnd w:id="755"/>
      <w:bookmarkEnd w:id="756"/>
      <w:bookmarkEnd w:id="757"/>
      <w:bookmarkEnd w:id="758"/>
    </w:p>
    <w:sectPr>
      <w:footerReference r:id="rId12" w:type="default"/>
      <w:pgSz w:w="11906" w:h="16838"/>
      <w:pgMar w:top="2098" w:right="1474" w:bottom="1984" w:left="158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33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3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3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336"/>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360"/>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ind w:firstLine="53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hlWFeEAIAAAcEAAAOAAAAAAAAAAEAIAAA&#10;AB8BAABkcnMvZTJvRG9jLnhtbFBLBQYAAAAABgAGAFkBAAChBQAAAAA=&#10;">
              <v:fill on="f" focussize="0,0"/>
              <v:stroke on="f" weight="0.5pt"/>
              <v:imagedata o:title=""/>
              <o:lock v:ext="edit" aspectratio="f"/>
              <v:textbox inset="0mm,0mm,0mm,0mm" style="mso-fit-shape-to-text:t;">
                <w:txbxContent>
                  <w:p>
                    <w:pPr>
                      <w:pStyle w:val="23"/>
                      <w:ind w:firstLine="53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28"/>
        <w:ind w:firstLine="360"/>
      </w:pPr>
      <w:r>
        <w:rPr>
          <w:rStyle w:val="40"/>
        </w:rPr>
        <w:footnoteRef/>
      </w:r>
      <w:r>
        <w:t xml:space="preserve"> </w:t>
      </w:r>
      <w:r>
        <w:rPr>
          <w:rFonts w:hint="eastAsia"/>
        </w:rPr>
        <w:t>“一城”，即延庆新城。“两带”，即长城文化带与京张体育文化旅游带。“两区”，即山区与川区。</w:t>
      </w:r>
    </w:p>
  </w:footnote>
  <w:footnote w:id="1">
    <w:p>
      <w:pPr>
        <w:pStyle w:val="28"/>
        <w:spacing w:line="240" w:lineRule="auto"/>
        <w:ind w:firstLine="0" w:firstLineChars="0"/>
      </w:pPr>
      <w:r>
        <w:rPr>
          <w:rStyle w:val="40"/>
        </w:rPr>
        <w:footnoteRef/>
      </w:r>
      <w:r>
        <w:t xml:space="preserve"> </w:t>
      </w:r>
      <w:r>
        <w:rPr>
          <w:rFonts w:hint="eastAsia"/>
        </w:rPr>
        <w:t>“1”为新城为引领，“4”为八达岭镇、康庄镇、张山营镇、永宁镇为四个重点镇牵引，“N”为全域镇村多元互补。</w:t>
      </w:r>
    </w:p>
  </w:footnote>
  <w:footnote w:id="2">
    <w:p>
      <w:pPr>
        <w:pStyle w:val="28"/>
        <w:spacing w:line="240" w:lineRule="auto"/>
        <w:ind w:firstLine="360"/>
      </w:pPr>
      <w:r>
        <w:rPr>
          <w:rStyle w:val="40"/>
        </w:rPr>
        <w:footnoteRef/>
      </w:r>
      <w:r>
        <w:t xml:space="preserve"> </w:t>
      </w:r>
      <w:r>
        <w:rPr>
          <w:rFonts w:hint="eastAsia" w:ascii="仿宋_GB2312" w:hAnsi="仿宋_GB2312" w:cs="仿宋_GB2312"/>
          <w:color w:val="000000" w:themeColor="text1"/>
          <w:spacing w:val="0"/>
          <w:szCs w:val="32"/>
          <w14:textFill>
            <w14:solidFill>
              <w14:schemeClr w14:val="tx1"/>
            </w14:solidFill>
          </w14:textFill>
        </w:rPr>
        <w:t>第一个“1”是文旅体商农融合驱动的现代服务业，“4”是低空技术、绿色能源、科技体育、医药健康四个科创产业，第二个“1”是都市型现代农业</w:t>
      </w:r>
    </w:p>
  </w:footnote>
  <w:footnote w:id="3">
    <w:p>
      <w:pPr>
        <w:pStyle w:val="28"/>
        <w:spacing w:line="240" w:lineRule="auto"/>
        <w:ind w:firstLine="0" w:firstLineChars="0"/>
      </w:pPr>
      <w:r>
        <w:rPr>
          <w:rStyle w:val="40"/>
        </w:rPr>
        <w:footnoteRef/>
      </w:r>
      <w:r>
        <w:t xml:space="preserve"> </w:t>
      </w:r>
      <w:r>
        <w:rPr>
          <w:rFonts w:hint="eastAsia"/>
        </w:rPr>
        <w:t>“三横”：京青线—旧小路—香龙路—昌赤路—滦赤路、兴阳线（G234）、G6辅路—南山环线—永偏路东延，“五纵”：康张路、京礼高速、京新高速、昌赤路、千小路—四宝路—安四路</w:t>
      </w:r>
    </w:p>
  </w:footnote>
  <w:footnote w:id="4">
    <w:p>
      <w:pPr>
        <w:pStyle w:val="28"/>
        <w:spacing w:line="240" w:lineRule="auto"/>
        <w:ind w:firstLine="0" w:firstLineChars="0"/>
      </w:pPr>
      <w:r>
        <w:rPr>
          <w:rStyle w:val="40"/>
        </w:rPr>
        <w:footnoteRef/>
      </w:r>
      <w:r>
        <w:t xml:space="preserve"> </w:t>
      </w:r>
      <w:r>
        <w:rPr>
          <w:rFonts w:hint="eastAsia"/>
        </w:rPr>
        <w:t>“中南部外环”：长城古韵时光文化之旅，系统化串联“世园会、八达岭-居庸关、十三陵、大庄科红色遗址、四海-四季花海、永宁-延庆古城、龙泉峪”。“东部外环”：山水乡居花径森呼吸之旅，系统化串联“四季花海、百里山水画廊、黄花城水长城、莲花山森林公园、永宁古城”等。“城区内环线”：田园妫川活力之旅，提升延庆新城公路旅游内环线，系统化串联古崖居、冬奥小镇、玉渡山/龙庆峡、永宁/柳沟、八达岭、野鸭湖/康西草原/世葡园，形成“文化+体育+生态+民俗”的旅游组合。</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3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3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CBDBE4B"/>
    <w:multiLevelType w:val="multilevel"/>
    <w:tmpl w:val="DCBDBE4B"/>
    <w:lvl w:ilvl="0" w:tentative="0">
      <w:start w:val="1"/>
      <w:numFmt w:val="chineseCounting"/>
      <w:pStyle w:val="34"/>
      <w:suff w:val="nothing"/>
      <w:lvlText w:val="第%1章 "/>
      <w:lvlJc w:val="center"/>
      <w:pPr>
        <w:tabs>
          <w:tab w:val="left" w:pos="0"/>
        </w:tabs>
        <w:ind w:left="0" w:firstLine="0"/>
      </w:pPr>
      <w:rPr>
        <w:rFonts w:hint="eastAsia" w:eastAsia="黑体"/>
        <w:b w:val="0"/>
        <w:bCs w:val="0"/>
        <w:sz w:val="32"/>
      </w:rPr>
    </w:lvl>
    <w:lvl w:ilvl="1" w:tentative="0">
      <w:start w:val="1"/>
      <w:numFmt w:val="chineseCounting"/>
      <w:pStyle w:val="3"/>
      <w:suff w:val="nothing"/>
      <w:lvlText w:val="%2、"/>
      <w:lvlJc w:val="left"/>
      <w:pPr>
        <w:ind w:left="0" w:firstLine="2"/>
      </w:pPr>
      <w:rPr>
        <w:rFonts w:hint="eastAsia" w:ascii="楷体_GB2312" w:hAnsi="楷体_GB2312" w:eastAsia="楷体_GB2312" w:cs="楷体_GB2312"/>
        <w:b w:val="0"/>
        <w:bCs/>
        <w:sz w:val="32"/>
      </w:rPr>
    </w:lvl>
    <w:lvl w:ilvl="2" w:tentative="0">
      <w:start w:val="1"/>
      <w:numFmt w:val="decimal"/>
      <w:pStyle w:val="4"/>
      <w:suff w:val="nothing"/>
      <w:lvlText w:val="%3."/>
      <w:lvlJc w:val="left"/>
      <w:pPr>
        <w:ind w:left="0" w:firstLine="40"/>
      </w:pPr>
      <w:rPr>
        <w:rFonts w:hint="default" w:ascii="仿宋_GB2312" w:hAnsi="仿宋_GB2312" w:eastAsia="仿宋_GB2312" w:cs="仿宋_GB2312"/>
        <w:sz w:val="32"/>
      </w:rPr>
    </w:lvl>
    <w:lvl w:ilvl="3" w:tentative="0">
      <w:start w:val="1"/>
      <w:numFmt w:val="decimal"/>
      <w:lvlText w:val="%4、"/>
      <w:lvlJc w:val="left"/>
      <w:pPr>
        <w:tabs>
          <w:tab w:val="left" w:pos="420"/>
        </w:tabs>
        <w:ind w:left="0" w:firstLine="40"/>
      </w:pPr>
      <w:rPr>
        <w:rFonts w:hint="eastAsia"/>
      </w:r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embedSystemFonts/>
  <w:bordersDoNotSurroundHeader w:val="0"/>
  <w:bordersDoNotSurroundFooter w:val="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173"/>
    <w:rsid w:val="000007A6"/>
    <w:rsid w:val="000010CA"/>
    <w:rsid w:val="00001E85"/>
    <w:rsid w:val="00002C5B"/>
    <w:rsid w:val="0000328B"/>
    <w:rsid w:val="00003A9E"/>
    <w:rsid w:val="0000424F"/>
    <w:rsid w:val="0000469B"/>
    <w:rsid w:val="0000640F"/>
    <w:rsid w:val="00006B9B"/>
    <w:rsid w:val="000071FE"/>
    <w:rsid w:val="00007515"/>
    <w:rsid w:val="00007DCE"/>
    <w:rsid w:val="00010112"/>
    <w:rsid w:val="00010AE1"/>
    <w:rsid w:val="00012A01"/>
    <w:rsid w:val="00012AF3"/>
    <w:rsid w:val="00012D7F"/>
    <w:rsid w:val="000132B5"/>
    <w:rsid w:val="00013C48"/>
    <w:rsid w:val="00013DFE"/>
    <w:rsid w:val="00015BC4"/>
    <w:rsid w:val="000173E8"/>
    <w:rsid w:val="00017639"/>
    <w:rsid w:val="000177D5"/>
    <w:rsid w:val="00022257"/>
    <w:rsid w:val="00022765"/>
    <w:rsid w:val="00022DBA"/>
    <w:rsid w:val="00023055"/>
    <w:rsid w:val="0002489A"/>
    <w:rsid w:val="000248BD"/>
    <w:rsid w:val="00024A59"/>
    <w:rsid w:val="00025018"/>
    <w:rsid w:val="0002553D"/>
    <w:rsid w:val="00026E90"/>
    <w:rsid w:val="0002742C"/>
    <w:rsid w:val="000309AC"/>
    <w:rsid w:val="00030B9B"/>
    <w:rsid w:val="00030D11"/>
    <w:rsid w:val="000312FE"/>
    <w:rsid w:val="000329FE"/>
    <w:rsid w:val="00033AAA"/>
    <w:rsid w:val="000341C6"/>
    <w:rsid w:val="00034B32"/>
    <w:rsid w:val="00034BC8"/>
    <w:rsid w:val="00037CF2"/>
    <w:rsid w:val="00037DE1"/>
    <w:rsid w:val="00037DF3"/>
    <w:rsid w:val="000406B9"/>
    <w:rsid w:val="00040BB8"/>
    <w:rsid w:val="00040DF4"/>
    <w:rsid w:val="000419A2"/>
    <w:rsid w:val="000433A0"/>
    <w:rsid w:val="0004417E"/>
    <w:rsid w:val="00044D2D"/>
    <w:rsid w:val="00044D6A"/>
    <w:rsid w:val="00045066"/>
    <w:rsid w:val="000452B6"/>
    <w:rsid w:val="00045DDA"/>
    <w:rsid w:val="0004613E"/>
    <w:rsid w:val="000463D4"/>
    <w:rsid w:val="00050104"/>
    <w:rsid w:val="00050A27"/>
    <w:rsid w:val="00051339"/>
    <w:rsid w:val="00053556"/>
    <w:rsid w:val="00053DAD"/>
    <w:rsid w:val="00054550"/>
    <w:rsid w:val="000548A6"/>
    <w:rsid w:val="0005535C"/>
    <w:rsid w:val="00055DC0"/>
    <w:rsid w:val="00056CE0"/>
    <w:rsid w:val="0005712C"/>
    <w:rsid w:val="00057444"/>
    <w:rsid w:val="000574EC"/>
    <w:rsid w:val="00061616"/>
    <w:rsid w:val="00061A8F"/>
    <w:rsid w:val="00061E37"/>
    <w:rsid w:val="0006229E"/>
    <w:rsid w:val="0006254D"/>
    <w:rsid w:val="00063017"/>
    <w:rsid w:val="00065130"/>
    <w:rsid w:val="00065519"/>
    <w:rsid w:val="00065F8B"/>
    <w:rsid w:val="00066805"/>
    <w:rsid w:val="00066EC8"/>
    <w:rsid w:val="00070F83"/>
    <w:rsid w:val="00071922"/>
    <w:rsid w:val="00071C4A"/>
    <w:rsid w:val="00071DDD"/>
    <w:rsid w:val="0007256B"/>
    <w:rsid w:val="00072764"/>
    <w:rsid w:val="00072C5A"/>
    <w:rsid w:val="00072C5F"/>
    <w:rsid w:val="00072EAE"/>
    <w:rsid w:val="0007414C"/>
    <w:rsid w:val="000742B2"/>
    <w:rsid w:val="000744F9"/>
    <w:rsid w:val="0007474D"/>
    <w:rsid w:val="00076364"/>
    <w:rsid w:val="000766BB"/>
    <w:rsid w:val="000807D0"/>
    <w:rsid w:val="00084A03"/>
    <w:rsid w:val="00085B06"/>
    <w:rsid w:val="0008607F"/>
    <w:rsid w:val="00087CAB"/>
    <w:rsid w:val="000906BF"/>
    <w:rsid w:val="000908FD"/>
    <w:rsid w:val="00091D1F"/>
    <w:rsid w:val="00091F58"/>
    <w:rsid w:val="00092F60"/>
    <w:rsid w:val="0009303B"/>
    <w:rsid w:val="000932F0"/>
    <w:rsid w:val="0009337C"/>
    <w:rsid w:val="0009339D"/>
    <w:rsid w:val="00093B30"/>
    <w:rsid w:val="00095A8B"/>
    <w:rsid w:val="00095B55"/>
    <w:rsid w:val="000962FF"/>
    <w:rsid w:val="000968EB"/>
    <w:rsid w:val="00096DFD"/>
    <w:rsid w:val="00097846"/>
    <w:rsid w:val="00097FF4"/>
    <w:rsid w:val="000A0944"/>
    <w:rsid w:val="000A0B06"/>
    <w:rsid w:val="000A1C4C"/>
    <w:rsid w:val="000A276C"/>
    <w:rsid w:val="000A27FA"/>
    <w:rsid w:val="000A4E79"/>
    <w:rsid w:val="000A50A8"/>
    <w:rsid w:val="000A5976"/>
    <w:rsid w:val="000A5A60"/>
    <w:rsid w:val="000A60E8"/>
    <w:rsid w:val="000A630B"/>
    <w:rsid w:val="000A6615"/>
    <w:rsid w:val="000A7B6B"/>
    <w:rsid w:val="000A7CC9"/>
    <w:rsid w:val="000B003E"/>
    <w:rsid w:val="000B0D03"/>
    <w:rsid w:val="000B0FD2"/>
    <w:rsid w:val="000B131A"/>
    <w:rsid w:val="000B1758"/>
    <w:rsid w:val="000B190F"/>
    <w:rsid w:val="000B2067"/>
    <w:rsid w:val="000B2534"/>
    <w:rsid w:val="000B4D43"/>
    <w:rsid w:val="000B5842"/>
    <w:rsid w:val="000B612A"/>
    <w:rsid w:val="000B76E0"/>
    <w:rsid w:val="000C022D"/>
    <w:rsid w:val="000C1419"/>
    <w:rsid w:val="000C1CAB"/>
    <w:rsid w:val="000C22FF"/>
    <w:rsid w:val="000C2991"/>
    <w:rsid w:val="000C2F5B"/>
    <w:rsid w:val="000C3F11"/>
    <w:rsid w:val="000C559A"/>
    <w:rsid w:val="000C61B6"/>
    <w:rsid w:val="000C6BC5"/>
    <w:rsid w:val="000C7350"/>
    <w:rsid w:val="000D004D"/>
    <w:rsid w:val="000D12F8"/>
    <w:rsid w:val="000D14A8"/>
    <w:rsid w:val="000D199F"/>
    <w:rsid w:val="000D259F"/>
    <w:rsid w:val="000D2B95"/>
    <w:rsid w:val="000D3665"/>
    <w:rsid w:val="000D45AD"/>
    <w:rsid w:val="000D5173"/>
    <w:rsid w:val="000D52AF"/>
    <w:rsid w:val="000D5530"/>
    <w:rsid w:val="000D6401"/>
    <w:rsid w:val="000D685B"/>
    <w:rsid w:val="000D6AB6"/>
    <w:rsid w:val="000D6B85"/>
    <w:rsid w:val="000D7F69"/>
    <w:rsid w:val="000E168A"/>
    <w:rsid w:val="000E264A"/>
    <w:rsid w:val="000E27A1"/>
    <w:rsid w:val="000E2FF8"/>
    <w:rsid w:val="000E31D1"/>
    <w:rsid w:val="000E3243"/>
    <w:rsid w:val="000E3398"/>
    <w:rsid w:val="000E370C"/>
    <w:rsid w:val="000E3F56"/>
    <w:rsid w:val="000E43BD"/>
    <w:rsid w:val="000E6CCA"/>
    <w:rsid w:val="000E6F93"/>
    <w:rsid w:val="000E748D"/>
    <w:rsid w:val="000F0FF2"/>
    <w:rsid w:val="000F103A"/>
    <w:rsid w:val="000F1246"/>
    <w:rsid w:val="000F25BC"/>
    <w:rsid w:val="000F2610"/>
    <w:rsid w:val="000F28E1"/>
    <w:rsid w:val="000F33D8"/>
    <w:rsid w:val="000F443E"/>
    <w:rsid w:val="000F49A9"/>
    <w:rsid w:val="000F4E08"/>
    <w:rsid w:val="000F5564"/>
    <w:rsid w:val="000F55A5"/>
    <w:rsid w:val="000F5A53"/>
    <w:rsid w:val="000F6049"/>
    <w:rsid w:val="001000FF"/>
    <w:rsid w:val="00100850"/>
    <w:rsid w:val="00100910"/>
    <w:rsid w:val="00100917"/>
    <w:rsid w:val="00100EA0"/>
    <w:rsid w:val="00100ECE"/>
    <w:rsid w:val="00101457"/>
    <w:rsid w:val="00101722"/>
    <w:rsid w:val="00101796"/>
    <w:rsid w:val="001018FA"/>
    <w:rsid w:val="00101C84"/>
    <w:rsid w:val="00102A67"/>
    <w:rsid w:val="00102CAE"/>
    <w:rsid w:val="00103EA6"/>
    <w:rsid w:val="00105048"/>
    <w:rsid w:val="00105233"/>
    <w:rsid w:val="00105967"/>
    <w:rsid w:val="00106628"/>
    <w:rsid w:val="001068BC"/>
    <w:rsid w:val="00106D04"/>
    <w:rsid w:val="00106DA8"/>
    <w:rsid w:val="0010721E"/>
    <w:rsid w:val="00107711"/>
    <w:rsid w:val="00107846"/>
    <w:rsid w:val="00107CC5"/>
    <w:rsid w:val="001111AD"/>
    <w:rsid w:val="00111C6E"/>
    <w:rsid w:val="00111D43"/>
    <w:rsid w:val="0011269E"/>
    <w:rsid w:val="00113DD7"/>
    <w:rsid w:val="00113FDB"/>
    <w:rsid w:val="00114087"/>
    <w:rsid w:val="001144B9"/>
    <w:rsid w:val="001146AB"/>
    <w:rsid w:val="00114E23"/>
    <w:rsid w:val="00114E3A"/>
    <w:rsid w:val="00115D9E"/>
    <w:rsid w:val="00115DB9"/>
    <w:rsid w:val="00115FB3"/>
    <w:rsid w:val="00116694"/>
    <w:rsid w:val="00116B7F"/>
    <w:rsid w:val="00116C14"/>
    <w:rsid w:val="0011717D"/>
    <w:rsid w:val="00117D7C"/>
    <w:rsid w:val="001201AD"/>
    <w:rsid w:val="00120224"/>
    <w:rsid w:val="00120621"/>
    <w:rsid w:val="001216EB"/>
    <w:rsid w:val="00121B36"/>
    <w:rsid w:val="00121E69"/>
    <w:rsid w:val="0012274F"/>
    <w:rsid w:val="001232E7"/>
    <w:rsid w:val="00124301"/>
    <w:rsid w:val="00125DB4"/>
    <w:rsid w:val="00125F0B"/>
    <w:rsid w:val="0012602D"/>
    <w:rsid w:val="001301E4"/>
    <w:rsid w:val="0013036D"/>
    <w:rsid w:val="00130F5B"/>
    <w:rsid w:val="00132154"/>
    <w:rsid w:val="00134260"/>
    <w:rsid w:val="00134AD5"/>
    <w:rsid w:val="00135019"/>
    <w:rsid w:val="001352C7"/>
    <w:rsid w:val="001356A7"/>
    <w:rsid w:val="0013577D"/>
    <w:rsid w:val="001361A4"/>
    <w:rsid w:val="001365C2"/>
    <w:rsid w:val="00136822"/>
    <w:rsid w:val="00136BC9"/>
    <w:rsid w:val="00137016"/>
    <w:rsid w:val="00137258"/>
    <w:rsid w:val="001403C4"/>
    <w:rsid w:val="00141645"/>
    <w:rsid w:val="00141CED"/>
    <w:rsid w:val="00141D0D"/>
    <w:rsid w:val="00142FCE"/>
    <w:rsid w:val="0014319E"/>
    <w:rsid w:val="00143AAC"/>
    <w:rsid w:val="00143CD7"/>
    <w:rsid w:val="001447A9"/>
    <w:rsid w:val="00144F01"/>
    <w:rsid w:val="001501AA"/>
    <w:rsid w:val="00151148"/>
    <w:rsid w:val="00151D03"/>
    <w:rsid w:val="00151D60"/>
    <w:rsid w:val="0015339E"/>
    <w:rsid w:val="0015351F"/>
    <w:rsid w:val="00153534"/>
    <w:rsid w:val="0015356D"/>
    <w:rsid w:val="00154C2C"/>
    <w:rsid w:val="00154E07"/>
    <w:rsid w:val="001552C3"/>
    <w:rsid w:val="0015624B"/>
    <w:rsid w:val="001565B3"/>
    <w:rsid w:val="00156C93"/>
    <w:rsid w:val="0015765F"/>
    <w:rsid w:val="00161468"/>
    <w:rsid w:val="00161864"/>
    <w:rsid w:val="00162E64"/>
    <w:rsid w:val="00164804"/>
    <w:rsid w:val="00165A8A"/>
    <w:rsid w:val="001668CF"/>
    <w:rsid w:val="00166A1E"/>
    <w:rsid w:val="00167CA6"/>
    <w:rsid w:val="001705E7"/>
    <w:rsid w:val="001739E4"/>
    <w:rsid w:val="00173A38"/>
    <w:rsid w:val="0017474D"/>
    <w:rsid w:val="0017524F"/>
    <w:rsid w:val="001767A5"/>
    <w:rsid w:val="00177BF8"/>
    <w:rsid w:val="00180051"/>
    <w:rsid w:val="00181C7C"/>
    <w:rsid w:val="0018292F"/>
    <w:rsid w:val="00183115"/>
    <w:rsid w:val="0018473C"/>
    <w:rsid w:val="00184ADE"/>
    <w:rsid w:val="00185447"/>
    <w:rsid w:val="00185FD5"/>
    <w:rsid w:val="00186021"/>
    <w:rsid w:val="00186086"/>
    <w:rsid w:val="00186106"/>
    <w:rsid w:val="00186302"/>
    <w:rsid w:val="001878B3"/>
    <w:rsid w:val="00187F9B"/>
    <w:rsid w:val="001900C6"/>
    <w:rsid w:val="00190486"/>
    <w:rsid w:val="00190F9E"/>
    <w:rsid w:val="0019128B"/>
    <w:rsid w:val="001928E3"/>
    <w:rsid w:val="00192C67"/>
    <w:rsid w:val="00194D78"/>
    <w:rsid w:val="00194F24"/>
    <w:rsid w:val="00195DB2"/>
    <w:rsid w:val="00196535"/>
    <w:rsid w:val="001971AE"/>
    <w:rsid w:val="00197334"/>
    <w:rsid w:val="00197539"/>
    <w:rsid w:val="0019786B"/>
    <w:rsid w:val="00197DB8"/>
    <w:rsid w:val="00197EB9"/>
    <w:rsid w:val="001A019A"/>
    <w:rsid w:val="001A1248"/>
    <w:rsid w:val="001A1573"/>
    <w:rsid w:val="001A1BF5"/>
    <w:rsid w:val="001A2378"/>
    <w:rsid w:val="001A2755"/>
    <w:rsid w:val="001A27D3"/>
    <w:rsid w:val="001A3F75"/>
    <w:rsid w:val="001A3FE8"/>
    <w:rsid w:val="001A4AC7"/>
    <w:rsid w:val="001A5D76"/>
    <w:rsid w:val="001A6BCE"/>
    <w:rsid w:val="001A710A"/>
    <w:rsid w:val="001A74BD"/>
    <w:rsid w:val="001B1117"/>
    <w:rsid w:val="001B169B"/>
    <w:rsid w:val="001B1E08"/>
    <w:rsid w:val="001B2279"/>
    <w:rsid w:val="001B3C55"/>
    <w:rsid w:val="001B4750"/>
    <w:rsid w:val="001B59A5"/>
    <w:rsid w:val="001B7129"/>
    <w:rsid w:val="001B7E15"/>
    <w:rsid w:val="001C0161"/>
    <w:rsid w:val="001C1009"/>
    <w:rsid w:val="001C10FC"/>
    <w:rsid w:val="001C182C"/>
    <w:rsid w:val="001C24ED"/>
    <w:rsid w:val="001C2580"/>
    <w:rsid w:val="001C2F8C"/>
    <w:rsid w:val="001C3521"/>
    <w:rsid w:val="001C4755"/>
    <w:rsid w:val="001C4A25"/>
    <w:rsid w:val="001C4C30"/>
    <w:rsid w:val="001C56C1"/>
    <w:rsid w:val="001C6325"/>
    <w:rsid w:val="001C6DE7"/>
    <w:rsid w:val="001D25C7"/>
    <w:rsid w:val="001D2B29"/>
    <w:rsid w:val="001D3431"/>
    <w:rsid w:val="001D37AA"/>
    <w:rsid w:val="001D3F24"/>
    <w:rsid w:val="001D40DF"/>
    <w:rsid w:val="001D47AD"/>
    <w:rsid w:val="001D489E"/>
    <w:rsid w:val="001D4B2C"/>
    <w:rsid w:val="001D4C2A"/>
    <w:rsid w:val="001D627D"/>
    <w:rsid w:val="001D7761"/>
    <w:rsid w:val="001D7E92"/>
    <w:rsid w:val="001E2852"/>
    <w:rsid w:val="001E2CAF"/>
    <w:rsid w:val="001E31A3"/>
    <w:rsid w:val="001E6D64"/>
    <w:rsid w:val="001E6E59"/>
    <w:rsid w:val="001E719C"/>
    <w:rsid w:val="001E74D8"/>
    <w:rsid w:val="001E766A"/>
    <w:rsid w:val="001F08B0"/>
    <w:rsid w:val="001F0FB3"/>
    <w:rsid w:val="001F1B71"/>
    <w:rsid w:val="001F288B"/>
    <w:rsid w:val="001F3FA2"/>
    <w:rsid w:val="001F4690"/>
    <w:rsid w:val="001F5910"/>
    <w:rsid w:val="001F69E5"/>
    <w:rsid w:val="001F6BE3"/>
    <w:rsid w:val="00200BE0"/>
    <w:rsid w:val="00201CA7"/>
    <w:rsid w:val="00202078"/>
    <w:rsid w:val="00203A48"/>
    <w:rsid w:val="002046BF"/>
    <w:rsid w:val="00204ED9"/>
    <w:rsid w:val="00205295"/>
    <w:rsid w:val="0020652F"/>
    <w:rsid w:val="00207204"/>
    <w:rsid w:val="002074A3"/>
    <w:rsid w:val="0021143F"/>
    <w:rsid w:val="002118A7"/>
    <w:rsid w:val="0021288F"/>
    <w:rsid w:val="00212B81"/>
    <w:rsid w:val="00213871"/>
    <w:rsid w:val="002147D9"/>
    <w:rsid w:val="00214809"/>
    <w:rsid w:val="00214912"/>
    <w:rsid w:val="00215614"/>
    <w:rsid w:val="002158FB"/>
    <w:rsid w:val="00215BC3"/>
    <w:rsid w:val="00215EA3"/>
    <w:rsid w:val="002205CD"/>
    <w:rsid w:val="0022068E"/>
    <w:rsid w:val="00220851"/>
    <w:rsid w:val="00220AB7"/>
    <w:rsid w:val="00221084"/>
    <w:rsid w:val="00221C45"/>
    <w:rsid w:val="00223A78"/>
    <w:rsid w:val="00223B6D"/>
    <w:rsid w:val="00224430"/>
    <w:rsid w:val="00225511"/>
    <w:rsid w:val="00225D1B"/>
    <w:rsid w:val="00225FB0"/>
    <w:rsid w:val="0022642C"/>
    <w:rsid w:val="00226B67"/>
    <w:rsid w:val="0022753F"/>
    <w:rsid w:val="0022763F"/>
    <w:rsid w:val="002302CC"/>
    <w:rsid w:val="0023151E"/>
    <w:rsid w:val="002325EF"/>
    <w:rsid w:val="00232690"/>
    <w:rsid w:val="00233247"/>
    <w:rsid w:val="002339A3"/>
    <w:rsid w:val="00233BDC"/>
    <w:rsid w:val="0023415B"/>
    <w:rsid w:val="00234AA8"/>
    <w:rsid w:val="00235280"/>
    <w:rsid w:val="00235CB5"/>
    <w:rsid w:val="00235E73"/>
    <w:rsid w:val="002361E1"/>
    <w:rsid w:val="00236386"/>
    <w:rsid w:val="00236491"/>
    <w:rsid w:val="00237B90"/>
    <w:rsid w:val="00240B22"/>
    <w:rsid w:val="00241F8C"/>
    <w:rsid w:val="002434FD"/>
    <w:rsid w:val="00243562"/>
    <w:rsid w:val="00243FB8"/>
    <w:rsid w:val="0024456C"/>
    <w:rsid w:val="002457C3"/>
    <w:rsid w:val="00245A03"/>
    <w:rsid w:val="00245D86"/>
    <w:rsid w:val="0024632C"/>
    <w:rsid w:val="002466DE"/>
    <w:rsid w:val="00247A43"/>
    <w:rsid w:val="00250C09"/>
    <w:rsid w:val="00250EB2"/>
    <w:rsid w:val="002518D4"/>
    <w:rsid w:val="0025211C"/>
    <w:rsid w:val="00253202"/>
    <w:rsid w:val="0025347A"/>
    <w:rsid w:val="002535A6"/>
    <w:rsid w:val="0025560E"/>
    <w:rsid w:val="00255A76"/>
    <w:rsid w:val="00255CBA"/>
    <w:rsid w:val="0025631A"/>
    <w:rsid w:val="00257671"/>
    <w:rsid w:val="002603AC"/>
    <w:rsid w:val="0026040B"/>
    <w:rsid w:val="00260D77"/>
    <w:rsid w:val="00261A1F"/>
    <w:rsid w:val="00262D9D"/>
    <w:rsid w:val="00262FF6"/>
    <w:rsid w:val="002630EA"/>
    <w:rsid w:val="002641D4"/>
    <w:rsid w:val="00264231"/>
    <w:rsid w:val="00264626"/>
    <w:rsid w:val="00264A97"/>
    <w:rsid w:val="00266389"/>
    <w:rsid w:val="00266A59"/>
    <w:rsid w:val="0027188F"/>
    <w:rsid w:val="00271DDE"/>
    <w:rsid w:val="0027246A"/>
    <w:rsid w:val="00272C44"/>
    <w:rsid w:val="00273739"/>
    <w:rsid w:val="00273B00"/>
    <w:rsid w:val="0027469F"/>
    <w:rsid w:val="00274B2E"/>
    <w:rsid w:val="0027553E"/>
    <w:rsid w:val="00275658"/>
    <w:rsid w:val="0027570C"/>
    <w:rsid w:val="00275808"/>
    <w:rsid w:val="00276836"/>
    <w:rsid w:val="00276F8A"/>
    <w:rsid w:val="00277CEA"/>
    <w:rsid w:val="00277CF8"/>
    <w:rsid w:val="00280B51"/>
    <w:rsid w:val="0028257F"/>
    <w:rsid w:val="00282B10"/>
    <w:rsid w:val="00282D07"/>
    <w:rsid w:val="00284BAD"/>
    <w:rsid w:val="0028500B"/>
    <w:rsid w:val="0028571C"/>
    <w:rsid w:val="0028651F"/>
    <w:rsid w:val="002876F6"/>
    <w:rsid w:val="0029195A"/>
    <w:rsid w:val="002920A6"/>
    <w:rsid w:val="00292852"/>
    <w:rsid w:val="00292E33"/>
    <w:rsid w:val="0029304D"/>
    <w:rsid w:val="00293F6B"/>
    <w:rsid w:val="002950C6"/>
    <w:rsid w:val="0029687F"/>
    <w:rsid w:val="00296ED6"/>
    <w:rsid w:val="00297A22"/>
    <w:rsid w:val="002A107E"/>
    <w:rsid w:val="002A1BA4"/>
    <w:rsid w:val="002A2344"/>
    <w:rsid w:val="002A3365"/>
    <w:rsid w:val="002A3D73"/>
    <w:rsid w:val="002A43D2"/>
    <w:rsid w:val="002A632D"/>
    <w:rsid w:val="002A6733"/>
    <w:rsid w:val="002A7932"/>
    <w:rsid w:val="002B09B1"/>
    <w:rsid w:val="002B25A9"/>
    <w:rsid w:val="002B393B"/>
    <w:rsid w:val="002B5FC6"/>
    <w:rsid w:val="002B67B8"/>
    <w:rsid w:val="002B79B1"/>
    <w:rsid w:val="002B7C08"/>
    <w:rsid w:val="002C0674"/>
    <w:rsid w:val="002C3403"/>
    <w:rsid w:val="002C353F"/>
    <w:rsid w:val="002C3E67"/>
    <w:rsid w:val="002C485C"/>
    <w:rsid w:val="002C5BD8"/>
    <w:rsid w:val="002C5CD6"/>
    <w:rsid w:val="002C64A0"/>
    <w:rsid w:val="002C6636"/>
    <w:rsid w:val="002D005E"/>
    <w:rsid w:val="002D0322"/>
    <w:rsid w:val="002D0732"/>
    <w:rsid w:val="002D0743"/>
    <w:rsid w:val="002D100D"/>
    <w:rsid w:val="002D1AAA"/>
    <w:rsid w:val="002D1E9F"/>
    <w:rsid w:val="002D2414"/>
    <w:rsid w:val="002D3752"/>
    <w:rsid w:val="002D43B7"/>
    <w:rsid w:val="002D44D6"/>
    <w:rsid w:val="002D494E"/>
    <w:rsid w:val="002D4B41"/>
    <w:rsid w:val="002D518A"/>
    <w:rsid w:val="002D6AAC"/>
    <w:rsid w:val="002D6EE5"/>
    <w:rsid w:val="002D76E7"/>
    <w:rsid w:val="002D7B5E"/>
    <w:rsid w:val="002D7CA0"/>
    <w:rsid w:val="002E13F8"/>
    <w:rsid w:val="002E1ED2"/>
    <w:rsid w:val="002E3A9B"/>
    <w:rsid w:val="002E3BD6"/>
    <w:rsid w:val="002E3CD5"/>
    <w:rsid w:val="002E4286"/>
    <w:rsid w:val="002E596B"/>
    <w:rsid w:val="002E7752"/>
    <w:rsid w:val="002E7B22"/>
    <w:rsid w:val="002F34BB"/>
    <w:rsid w:val="002F3BA0"/>
    <w:rsid w:val="002F3CAE"/>
    <w:rsid w:val="002F3EE8"/>
    <w:rsid w:val="002F4A85"/>
    <w:rsid w:val="002F4FA2"/>
    <w:rsid w:val="002F5459"/>
    <w:rsid w:val="002F5C12"/>
    <w:rsid w:val="002F6DBC"/>
    <w:rsid w:val="003011D5"/>
    <w:rsid w:val="00301A3C"/>
    <w:rsid w:val="00301D6F"/>
    <w:rsid w:val="00301E6B"/>
    <w:rsid w:val="00303055"/>
    <w:rsid w:val="0030361D"/>
    <w:rsid w:val="00304370"/>
    <w:rsid w:val="00304EEA"/>
    <w:rsid w:val="00304FED"/>
    <w:rsid w:val="00305BE9"/>
    <w:rsid w:val="0030727B"/>
    <w:rsid w:val="00310A8C"/>
    <w:rsid w:val="003126AC"/>
    <w:rsid w:val="00312809"/>
    <w:rsid w:val="00312E18"/>
    <w:rsid w:val="00313627"/>
    <w:rsid w:val="003156C4"/>
    <w:rsid w:val="00317A2D"/>
    <w:rsid w:val="00317BB7"/>
    <w:rsid w:val="00321ACE"/>
    <w:rsid w:val="00321C12"/>
    <w:rsid w:val="00322D5D"/>
    <w:rsid w:val="0032306D"/>
    <w:rsid w:val="00323321"/>
    <w:rsid w:val="00323428"/>
    <w:rsid w:val="003236B1"/>
    <w:rsid w:val="00323A80"/>
    <w:rsid w:val="00324409"/>
    <w:rsid w:val="00324943"/>
    <w:rsid w:val="00324DEF"/>
    <w:rsid w:val="003252A2"/>
    <w:rsid w:val="0032569F"/>
    <w:rsid w:val="00325B93"/>
    <w:rsid w:val="00326B7A"/>
    <w:rsid w:val="00326E92"/>
    <w:rsid w:val="00327B41"/>
    <w:rsid w:val="0033009D"/>
    <w:rsid w:val="003346AE"/>
    <w:rsid w:val="00334D8D"/>
    <w:rsid w:val="0033585B"/>
    <w:rsid w:val="0033613E"/>
    <w:rsid w:val="00336245"/>
    <w:rsid w:val="00336AC0"/>
    <w:rsid w:val="00336E88"/>
    <w:rsid w:val="00337625"/>
    <w:rsid w:val="00337BC2"/>
    <w:rsid w:val="00340204"/>
    <w:rsid w:val="0034087F"/>
    <w:rsid w:val="003411D5"/>
    <w:rsid w:val="003413B3"/>
    <w:rsid w:val="00342AE0"/>
    <w:rsid w:val="003436D6"/>
    <w:rsid w:val="003438EA"/>
    <w:rsid w:val="003454C6"/>
    <w:rsid w:val="0034735B"/>
    <w:rsid w:val="00347461"/>
    <w:rsid w:val="003476A4"/>
    <w:rsid w:val="00347768"/>
    <w:rsid w:val="00347FBC"/>
    <w:rsid w:val="00350160"/>
    <w:rsid w:val="0035054F"/>
    <w:rsid w:val="0035128E"/>
    <w:rsid w:val="00351DF6"/>
    <w:rsid w:val="00352E2A"/>
    <w:rsid w:val="00354489"/>
    <w:rsid w:val="00354840"/>
    <w:rsid w:val="00354B49"/>
    <w:rsid w:val="00354E84"/>
    <w:rsid w:val="00355168"/>
    <w:rsid w:val="00355CD3"/>
    <w:rsid w:val="00355E0F"/>
    <w:rsid w:val="0035635B"/>
    <w:rsid w:val="00356CC2"/>
    <w:rsid w:val="003577FC"/>
    <w:rsid w:val="003600EB"/>
    <w:rsid w:val="00360220"/>
    <w:rsid w:val="003620F2"/>
    <w:rsid w:val="00362D11"/>
    <w:rsid w:val="00364650"/>
    <w:rsid w:val="0036556A"/>
    <w:rsid w:val="003670C4"/>
    <w:rsid w:val="00367F1C"/>
    <w:rsid w:val="0037031C"/>
    <w:rsid w:val="00370E47"/>
    <w:rsid w:val="00370FDE"/>
    <w:rsid w:val="003719F4"/>
    <w:rsid w:val="00371A8D"/>
    <w:rsid w:val="00373474"/>
    <w:rsid w:val="00373B76"/>
    <w:rsid w:val="003746DA"/>
    <w:rsid w:val="00374AC0"/>
    <w:rsid w:val="00376215"/>
    <w:rsid w:val="00376F02"/>
    <w:rsid w:val="00376F5A"/>
    <w:rsid w:val="00377C96"/>
    <w:rsid w:val="00377D67"/>
    <w:rsid w:val="00380173"/>
    <w:rsid w:val="0038120A"/>
    <w:rsid w:val="00381BFE"/>
    <w:rsid w:val="00381FD2"/>
    <w:rsid w:val="003822AE"/>
    <w:rsid w:val="00382740"/>
    <w:rsid w:val="00382EBC"/>
    <w:rsid w:val="003837FE"/>
    <w:rsid w:val="00383B21"/>
    <w:rsid w:val="00383C84"/>
    <w:rsid w:val="00383D5C"/>
    <w:rsid w:val="003842F1"/>
    <w:rsid w:val="003846EA"/>
    <w:rsid w:val="0038513E"/>
    <w:rsid w:val="003854C8"/>
    <w:rsid w:val="00387D00"/>
    <w:rsid w:val="00390C3F"/>
    <w:rsid w:val="003914FF"/>
    <w:rsid w:val="00392442"/>
    <w:rsid w:val="00393014"/>
    <w:rsid w:val="003933E3"/>
    <w:rsid w:val="0039369A"/>
    <w:rsid w:val="00393A7B"/>
    <w:rsid w:val="00393B6B"/>
    <w:rsid w:val="0039435B"/>
    <w:rsid w:val="00394605"/>
    <w:rsid w:val="003948FA"/>
    <w:rsid w:val="0039506D"/>
    <w:rsid w:val="0039540A"/>
    <w:rsid w:val="00395542"/>
    <w:rsid w:val="0039719C"/>
    <w:rsid w:val="003973B2"/>
    <w:rsid w:val="003977A5"/>
    <w:rsid w:val="003A019B"/>
    <w:rsid w:val="003A0812"/>
    <w:rsid w:val="003A1277"/>
    <w:rsid w:val="003A2563"/>
    <w:rsid w:val="003A299E"/>
    <w:rsid w:val="003A2CEB"/>
    <w:rsid w:val="003A2D9A"/>
    <w:rsid w:val="003A31FC"/>
    <w:rsid w:val="003A371F"/>
    <w:rsid w:val="003A3D13"/>
    <w:rsid w:val="003A47AE"/>
    <w:rsid w:val="003A4A39"/>
    <w:rsid w:val="003A5AF5"/>
    <w:rsid w:val="003A5C62"/>
    <w:rsid w:val="003A64C5"/>
    <w:rsid w:val="003A677B"/>
    <w:rsid w:val="003A6AF4"/>
    <w:rsid w:val="003A6B8D"/>
    <w:rsid w:val="003A6DD2"/>
    <w:rsid w:val="003A75E0"/>
    <w:rsid w:val="003A7666"/>
    <w:rsid w:val="003B1FDD"/>
    <w:rsid w:val="003B218C"/>
    <w:rsid w:val="003B22CD"/>
    <w:rsid w:val="003B29FF"/>
    <w:rsid w:val="003B2B8C"/>
    <w:rsid w:val="003B3813"/>
    <w:rsid w:val="003B42E6"/>
    <w:rsid w:val="003B489E"/>
    <w:rsid w:val="003B5483"/>
    <w:rsid w:val="003B54B3"/>
    <w:rsid w:val="003B64DB"/>
    <w:rsid w:val="003B683B"/>
    <w:rsid w:val="003B6892"/>
    <w:rsid w:val="003B7530"/>
    <w:rsid w:val="003C0127"/>
    <w:rsid w:val="003C0F8F"/>
    <w:rsid w:val="003C10FD"/>
    <w:rsid w:val="003C2A4F"/>
    <w:rsid w:val="003C393E"/>
    <w:rsid w:val="003C453B"/>
    <w:rsid w:val="003C4AD9"/>
    <w:rsid w:val="003C6C0F"/>
    <w:rsid w:val="003C7103"/>
    <w:rsid w:val="003D01C0"/>
    <w:rsid w:val="003D02C0"/>
    <w:rsid w:val="003D0936"/>
    <w:rsid w:val="003D1A84"/>
    <w:rsid w:val="003D1CC1"/>
    <w:rsid w:val="003D2465"/>
    <w:rsid w:val="003D2F57"/>
    <w:rsid w:val="003D31CB"/>
    <w:rsid w:val="003D3AE9"/>
    <w:rsid w:val="003D4100"/>
    <w:rsid w:val="003D48C2"/>
    <w:rsid w:val="003D4965"/>
    <w:rsid w:val="003D4EBA"/>
    <w:rsid w:val="003D4FBC"/>
    <w:rsid w:val="003D5288"/>
    <w:rsid w:val="003D55B2"/>
    <w:rsid w:val="003D56DC"/>
    <w:rsid w:val="003D5F4B"/>
    <w:rsid w:val="003E1443"/>
    <w:rsid w:val="003E1631"/>
    <w:rsid w:val="003E1EE7"/>
    <w:rsid w:val="003E277D"/>
    <w:rsid w:val="003E2C97"/>
    <w:rsid w:val="003E4245"/>
    <w:rsid w:val="003E49F1"/>
    <w:rsid w:val="003E5B5D"/>
    <w:rsid w:val="003E609D"/>
    <w:rsid w:val="003E6553"/>
    <w:rsid w:val="003E65AD"/>
    <w:rsid w:val="003E68BC"/>
    <w:rsid w:val="003E765F"/>
    <w:rsid w:val="003F0428"/>
    <w:rsid w:val="003F1AB5"/>
    <w:rsid w:val="003F1B94"/>
    <w:rsid w:val="003F22C3"/>
    <w:rsid w:val="003F2AF5"/>
    <w:rsid w:val="003F30F4"/>
    <w:rsid w:val="003F341B"/>
    <w:rsid w:val="003F34F9"/>
    <w:rsid w:val="003F356E"/>
    <w:rsid w:val="003F3B82"/>
    <w:rsid w:val="003F59AA"/>
    <w:rsid w:val="003F5DEF"/>
    <w:rsid w:val="003F63AF"/>
    <w:rsid w:val="003F7964"/>
    <w:rsid w:val="003F797D"/>
    <w:rsid w:val="00400E76"/>
    <w:rsid w:val="00400FCE"/>
    <w:rsid w:val="00401229"/>
    <w:rsid w:val="004015F7"/>
    <w:rsid w:val="00402857"/>
    <w:rsid w:val="00404CC3"/>
    <w:rsid w:val="0040570C"/>
    <w:rsid w:val="00405D95"/>
    <w:rsid w:val="00405E7F"/>
    <w:rsid w:val="004063F7"/>
    <w:rsid w:val="00407E2C"/>
    <w:rsid w:val="00410CDB"/>
    <w:rsid w:val="00411E81"/>
    <w:rsid w:val="00412940"/>
    <w:rsid w:val="00412995"/>
    <w:rsid w:val="004130B0"/>
    <w:rsid w:val="00413797"/>
    <w:rsid w:val="00414701"/>
    <w:rsid w:val="00414B59"/>
    <w:rsid w:val="00415A50"/>
    <w:rsid w:val="00416400"/>
    <w:rsid w:val="00417B69"/>
    <w:rsid w:val="0042069B"/>
    <w:rsid w:val="0042072F"/>
    <w:rsid w:val="0042082E"/>
    <w:rsid w:val="00420ACF"/>
    <w:rsid w:val="00421DF4"/>
    <w:rsid w:val="004229C1"/>
    <w:rsid w:val="00423094"/>
    <w:rsid w:val="00423A12"/>
    <w:rsid w:val="00423FCA"/>
    <w:rsid w:val="00424073"/>
    <w:rsid w:val="00424987"/>
    <w:rsid w:val="0042512D"/>
    <w:rsid w:val="0042521F"/>
    <w:rsid w:val="00425E78"/>
    <w:rsid w:val="00426D85"/>
    <w:rsid w:val="00426E0D"/>
    <w:rsid w:val="0042730B"/>
    <w:rsid w:val="00427749"/>
    <w:rsid w:val="0042792F"/>
    <w:rsid w:val="00427C51"/>
    <w:rsid w:val="004313A1"/>
    <w:rsid w:val="00431482"/>
    <w:rsid w:val="004315BD"/>
    <w:rsid w:val="00433006"/>
    <w:rsid w:val="00433CA2"/>
    <w:rsid w:val="00433E3D"/>
    <w:rsid w:val="00434132"/>
    <w:rsid w:val="0043424C"/>
    <w:rsid w:val="004345D2"/>
    <w:rsid w:val="00434995"/>
    <w:rsid w:val="00435210"/>
    <w:rsid w:val="00435D56"/>
    <w:rsid w:val="00435E88"/>
    <w:rsid w:val="00436636"/>
    <w:rsid w:val="00437210"/>
    <w:rsid w:val="004375FF"/>
    <w:rsid w:val="00437EB9"/>
    <w:rsid w:val="00437FB0"/>
    <w:rsid w:val="00441439"/>
    <w:rsid w:val="00441ADC"/>
    <w:rsid w:val="00442A9A"/>
    <w:rsid w:val="00442ECA"/>
    <w:rsid w:val="0044302C"/>
    <w:rsid w:val="004437DE"/>
    <w:rsid w:val="004439D4"/>
    <w:rsid w:val="004443A0"/>
    <w:rsid w:val="004446C7"/>
    <w:rsid w:val="00445028"/>
    <w:rsid w:val="00446612"/>
    <w:rsid w:val="0044714E"/>
    <w:rsid w:val="00447722"/>
    <w:rsid w:val="00447BDA"/>
    <w:rsid w:val="00447E3D"/>
    <w:rsid w:val="0045016A"/>
    <w:rsid w:val="0045200F"/>
    <w:rsid w:val="00452298"/>
    <w:rsid w:val="00453042"/>
    <w:rsid w:val="00454212"/>
    <w:rsid w:val="00454808"/>
    <w:rsid w:val="004549F7"/>
    <w:rsid w:val="004557CB"/>
    <w:rsid w:val="004571E9"/>
    <w:rsid w:val="00460428"/>
    <w:rsid w:val="00460481"/>
    <w:rsid w:val="004609F6"/>
    <w:rsid w:val="00460CE5"/>
    <w:rsid w:val="00461099"/>
    <w:rsid w:val="0046121A"/>
    <w:rsid w:val="004617DA"/>
    <w:rsid w:val="00461980"/>
    <w:rsid w:val="00461F05"/>
    <w:rsid w:val="0046567C"/>
    <w:rsid w:val="00465788"/>
    <w:rsid w:val="004671E0"/>
    <w:rsid w:val="004679F8"/>
    <w:rsid w:val="00467E02"/>
    <w:rsid w:val="00471688"/>
    <w:rsid w:val="004716DA"/>
    <w:rsid w:val="004732FC"/>
    <w:rsid w:val="00473390"/>
    <w:rsid w:val="00473912"/>
    <w:rsid w:val="004758D7"/>
    <w:rsid w:val="004762AF"/>
    <w:rsid w:val="00476818"/>
    <w:rsid w:val="00477387"/>
    <w:rsid w:val="00477A73"/>
    <w:rsid w:val="00480B28"/>
    <w:rsid w:val="00480DDB"/>
    <w:rsid w:val="00481D91"/>
    <w:rsid w:val="0048381B"/>
    <w:rsid w:val="00483E9D"/>
    <w:rsid w:val="00483F1E"/>
    <w:rsid w:val="00484C58"/>
    <w:rsid w:val="00485BF8"/>
    <w:rsid w:val="00486CDD"/>
    <w:rsid w:val="00487492"/>
    <w:rsid w:val="004875A8"/>
    <w:rsid w:val="00487A79"/>
    <w:rsid w:val="00490353"/>
    <w:rsid w:val="00490D04"/>
    <w:rsid w:val="004917EF"/>
    <w:rsid w:val="00491B59"/>
    <w:rsid w:val="00493A3A"/>
    <w:rsid w:val="004941B9"/>
    <w:rsid w:val="004948DD"/>
    <w:rsid w:val="004974E6"/>
    <w:rsid w:val="004A057C"/>
    <w:rsid w:val="004A0706"/>
    <w:rsid w:val="004A0967"/>
    <w:rsid w:val="004A19C5"/>
    <w:rsid w:val="004A19DE"/>
    <w:rsid w:val="004A24C9"/>
    <w:rsid w:val="004A2534"/>
    <w:rsid w:val="004A38A0"/>
    <w:rsid w:val="004B01E0"/>
    <w:rsid w:val="004B2A75"/>
    <w:rsid w:val="004B376E"/>
    <w:rsid w:val="004B475C"/>
    <w:rsid w:val="004B59A5"/>
    <w:rsid w:val="004B5A36"/>
    <w:rsid w:val="004B6615"/>
    <w:rsid w:val="004B6FC9"/>
    <w:rsid w:val="004B7296"/>
    <w:rsid w:val="004B785F"/>
    <w:rsid w:val="004C03A9"/>
    <w:rsid w:val="004C0A62"/>
    <w:rsid w:val="004C1202"/>
    <w:rsid w:val="004C1388"/>
    <w:rsid w:val="004C138E"/>
    <w:rsid w:val="004C1657"/>
    <w:rsid w:val="004C25EB"/>
    <w:rsid w:val="004C2D80"/>
    <w:rsid w:val="004C4AF0"/>
    <w:rsid w:val="004C5829"/>
    <w:rsid w:val="004C5BC5"/>
    <w:rsid w:val="004C63E2"/>
    <w:rsid w:val="004C65E3"/>
    <w:rsid w:val="004C66DA"/>
    <w:rsid w:val="004C77E8"/>
    <w:rsid w:val="004C7A82"/>
    <w:rsid w:val="004D0BB3"/>
    <w:rsid w:val="004D112B"/>
    <w:rsid w:val="004D15A5"/>
    <w:rsid w:val="004D2672"/>
    <w:rsid w:val="004D2A79"/>
    <w:rsid w:val="004D4000"/>
    <w:rsid w:val="004D4C00"/>
    <w:rsid w:val="004D4C76"/>
    <w:rsid w:val="004D6AF4"/>
    <w:rsid w:val="004E032E"/>
    <w:rsid w:val="004E04E4"/>
    <w:rsid w:val="004E0F61"/>
    <w:rsid w:val="004E1095"/>
    <w:rsid w:val="004E1617"/>
    <w:rsid w:val="004E1664"/>
    <w:rsid w:val="004E1673"/>
    <w:rsid w:val="004E1E04"/>
    <w:rsid w:val="004E21F3"/>
    <w:rsid w:val="004E3603"/>
    <w:rsid w:val="004E3797"/>
    <w:rsid w:val="004E4469"/>
    <w:rsid w:val="004E4ECB"/>
    <w:rsid w:val="004E5E73"/>
    <w:rsid w:val="004E627F"/>
    <w:rsid w:val="004E659C"/>
    <w:rsid w:val="004E69BB"/>
    <w:rsid w:val="004E705E"/>
    <w:rsid w:val="004E7BAB"/>
    <w:rsid w:val="004F0105"/>
    <w:rsid w:val="004F0285"/>
    <w:rsid w:val="004F02C5"/>
    <w:rsid w:val="004F04C6"/>
    <w:rsid w:val="004F075F"/>
    <w:rsid w:val="004F0CCC"/>
    <w:rsid w:val="004F0CD1"/>
    <w:rsid w:val="004F26F4"/>
    <w:rsid w:val="004F2B69"/>
    <w:rsid w:val="004F2DFC"/>
    <w:rsid w:val="004F352E"/>
    <w:rsid w:val="004F3A9B"/>
    <w:rsid w:val="004F4452"/>
    <w:rsid w:val="004F53D3"/>
    <w:rsid w:val="004F5487"/>
    <w:rsid w:val="004F5D2D"/>
    <w:rsid w:val="004F7FC5"/>
    <w:rsid w:val="0050256C"/>
    <w:rsid w:val="0050584D"/>
    <w:rsid w:val="00505B78"/>
    <w:rsid w:val="00505ED5"/>
    <w:rsid w:val="00506464"/>
    <w:rsid w:val="00507B39"/>
    <w:rsid w:val="00510807"/>
    <w:rsid w:val="00510F0E"/>
    <w:rsid w:val="00511929"/>
    <w:rsid w:val="00515ADF"/>
    <w:rsid w:val="0051710E"/>
    <w:rsid w:val="00517C04"/>
    <w:rsid w:val="005211C9"/>
    <w:rsid w:val="00521F1A"/>
    <w:rsid w:val="00522D93"/>
    <w:rsid w:val="0052387F"/>
    <w:rsid w:val="00524776"/>
    <w:rsid w:val="00526115"/>
    <w:rsid w:val="00526393"/>
    <w:rsid w:val="0052661A"/>
    <w:rsid w:val="00526639"/>
    <w:rsid w:val="005300AF"/>
    <w:rsid w:val="005323DF"/>
    <w:rsid w:val="00532FDC"/>
    <w:rsid w:val="005333F3"/>
    <w:rsid w:val="00535198"/>
    <w:rsid w:val="005351AD"/>
    <w:rsid w:val="0053595B"/>
    <w:rsid w:val="005361C2"/>
    <w:rsid w:val="00536A35"/>
    <w:rsid w:val="00536FF7"/>
    <w:rsid w:val="00537091"/>
    <w:rsid w:val="00540607"/>
    <w:rsid w:val="00541B41"/>
    <w:rsid w:val="00543797"/>
    <w:rsid w:val="0054385A"/>
    <w:rsid w:val="00543D08"/>
    <w:rsid w:val="0054413C"/>
    <w:rsid w:val="0054415D"/>
    <w:rsid w:val="005449A7"/>
    <w:rsid w:val="00545E71"/>
    <w:rsid w:val="00547FDB"/>
    <w:rsid w:val="00551583"/>
    <w:rsid w:val="005525FE"/>
    <w:rsid w:val="00553BF3"/>
    <w:rsid w:val="00553E50"/>
    <w:rsid w:val="00555685"/>
    <w:rsid w:val="00555B1F"/>
    <w:rsid w:val="00556354"/>
    <w:rsid w:val="00557E9C"/>
    <w:rsid w:val="00557F2B"/>
    <w:rsid w:val="005602FF"/>
    <w:rsid w:val="0056231E"/>
    <w:rsid w:val="00562320"/>
    <w:rsid w:val="0056255E"/>
    <w:rsid w:val="00563B8E"/>
    <w:rsid w:val="0056449D"/>
    <w:rsid w:val="00565C14"/>
    <w:rsid w:val="00565F8E"/>
    <w:rsid w:val="00566532"/>
    <w:rsid w:val="005667A1"/>
    <w:rsid w:val="00566A36"/>
    <w:rsid w:val="005677C5"/>
    <w:rsid w:val="00567B6D"/>
    <w:rsid w:val="00572311"/>
    <w:rsid w:val="0057293F"/>
    <w:rsid w:val="00573F4B"/>
    <w:rsid w:val="005741C2"/>
    <w:rsid w:val="0057517D"/>
    <w:rsid w:val="005769BE"/>
    <w:rsid w:val="00576D2E"/>
    <w:rsid w:val="005800FD"/>
    <w:rsid w:val="00580D60"/>
    <w:rsid w:val="005817E3"/>
    <w:rsid w:val="005818EB"/>
    <w:rsid w:val="00583447"/>
    <w:rsid w:val="0058352A"/>
    <w:rsid w:val="0058447C"/>
    <w:rsid w:val="00586151"/>
    <w:rsid w:val="005866B5"/>
    <w:rsid w:val="00586AD2"/>
    <w:rsid w:val="00586C4D"/>
    <w:rsid w:val="00587378"/>
    <w:rsid w:val="00587C99"/>
    <w:rsid w:val="00590264"/>
    <w:rsid w:val="00590A65"/>
    <w:rsid w:val="00590CC9"/>
    <w:rsid w:val="00591E78"/>
    <w:rsid w:val="0059213C"/>
    <w:rsid w:val="00592C96"/>
    <w:rsid w:val="00592F0E"/>
    <w:rsid w:val="005942C7"/>
    <w:rsid w:val="005946E0"/>
    <w:rsid w:val="00594CDC"/>
    <w:rsid w:val="0059520B"/>
    <w:rsid w:val="005957E6"/>
    <w:rsid w:val="00595FBA"/>
    <w:rsid w:val="00596870"/>
    <w:rsid w:val="00596CDB"/>
    <w:rsid w:val="00596CF9"/>
    <w:rsid w:val="00596FE7"/>
    <w:rsid w:val="005A0305"/>
    <w:rsid w:val="005A09D8"/>
    <w:rsid w:val="005A12AB"/>
    <w:rsid w:val="005A1501"/>
    <w:rsid w:val="005A156C"/>
    <w:rsid w:val="005A17BD"/>
    <w:rsid w:val="005A1E48"/>
    <w:rsid w:val="005A1E90"/>
    <w:rsid w:val="005A21A1"/>
    <w:rsid w:val="005A29B4"/>
    <w:rsid w:val="005A2A11"/>
    <w:rsid w:val="005A2AAA"/>
    <w:rsid w:val="005A2C29"/>
    <w:rsid w:val="005A4D31"/>
    <w:rsid w:val="005A53EB"/>
    <w:rsid w:val="005A5EB1"/>
    <w:rsid w:val="005A6662"/>
    <w:rsid w:val="005A68DE"/>
    <w:rsid w:val="005A6DCE"/>
    <w:rsid w:val="005A6F88"/>
    <w:rsid w:val="005B172F"/>
    <w:rsid w:val="005B2B4B"/>
    <w:rsid w:val="005B2BDB"/>
    <w:rsid w:val="005B303B"/>
    <w:rsid w:val="005B3261"/>
    <w:rsid w:val="005B328D"/>
    <w:rsid w:val="005B35E0"/>
    <w:rsid w:val="005B3989"/>
    <w:rsid w:val="005B4F55"/>
    <w:rsid w:val="005B6D99"/>
    <w:rsid w:val="005B71B8"/>
    <w:rsid w:val="005B7F1B"/>
    <w:rsid w:val="005C0A75"/>
    <w:rsid w:val="005C0CDB"/>
    <w:rsid w:val="005C2483"/>
    <w:rsid w:val="005C2D4A"/>
    <w:rsid w:val="005C3BCD"/>
    <w:rsid w:val="005C3D65"/>
    <w:rsid w:val="005C6923"/>
    <w:rsid w:val="005C69F5"/>
    <w:rsid w:val="005C6D3C"/>
    <w:rsid w:val="005C7403"/>
    <w:rsid w:val="005C7784"/>
    <w:rsid w:val="005C78CD"/>
    <w:rsid w:val="005C7E3E"/>
    <w:rsid w:val="005D0627"/>
    <w:rsid w:val="005D0D6D"/>
    <w:rsid w:val="005D106D"/>
    <w:rsid w:val="005D19F9"/>
    <w:rsid w:val="005D1CC4"/>
    <w:rsid w:val="005D318C"/>
    <w:rsid w:val="005D3DB6"/>
    <w:rsid w:val="005D426E"/>
    <w:rsid w:val="005D43D8"/>
    <w:rsid w:val="005D4407"/>
    <w:rsid w:val="005D4425"/>
    <w:rsid w:val="005D5025"/>
    <w:rsid w:val="005D521F"/>
    <w:rsid w:val="005D6542"/>
    <w:rsid w:val="005D6DC4"/>
    <w:rsid w:val="005D6FB9"/>
    <w:rsid w:val="005E18B9"/>
    <w:rsid w:val="005E1CD1"/>
    <w:rsid w:val="005E25D4"/>
    <w:rsid w:val="005E47D8"/>
    <w:rsid w:val="005E52EF"/>
    <w:rsid w:val="005E5B2E"/>
    <w:rsid w:val="005E6F77"/>
    <w:rsid w:val="005E7290"/>
    <w:rsid w:val="005E7EDE"/>
    <w:rsid w:val="005F0924"/>
    <w:rsid w:val="005F12F7"/>
    <w:rsid w:val="005F1A8D"/>
    <w:rsid w:val="005F1C30"/>
    <w:rsid w:val="005F1D4C"/>
    <w:rsid w:val="005F2808"/>
    <w:rsid w:val="005F37A9"/>
    <w:rsid w:val="005F4870"/>
    <w:rsid w:val="005F49F3"/>
    <w:rsid w:val="005F5CDF"/>
    <w:rsid w:val="005F5F37"/>
    <w:rsid w:val="005F68AD"/>
    <w:rsid w:val="005F6BDD"/>
    <w:rsid w:val="005F72BC"/>
    <w:rsid w:val="005F7CEE"/>
    <w:rsid w:val="005F7E97"/>
    <w:rsid w:val="006000A6"/>
    <w:rsid w:val="006001B9"/>
    <w:rsid w:val="0060038E"/>
    <w:rsid w:val="006005FA"/>
    <w:rsid w:val="006008FE"/>
    <w:rsid w:val="00600AB4"/>
    <w:rsid w:val="00600D67"/>
    <w:rsid w:val="00600E34"/>
    <w:rsid w:val="00602620"/>
    <w:rsid w:val="00603823"/>
    <w:rsid w:val="00603EBD"/>
    <w:rsid w:val="0060403E"/>
    <w:rsid w:val="0060473A"/>
    <w:rsid w:val="00605516"/>
    <w:rsid w:val="00606454"/>
    <w:rsid w:val="0060707F"/>
    <w:rsid w:val="00611946"/>
    <w:rsid w:val="00611AC7"/>
    <w:rsid w:val="00611ED4"/>
    <w:rsid w:val="0061251E"/>
    <w:rsid w:val="00612D95"/>
    <w:rsid w:val="00613375"/>
    <w:rsid w:val="00613881"/>
    <w:rsid w:val="00613B96"/>
    <w:rsid w:val="00614989"/>
    <w:rsid w:val="00614ACE"/>
    <w:rsid w:val="00614EC3"/>
    <w:rsid w:val="00615BB6"/>
    <w:rsid w:val="006207B0"/>
    <w:rsid w:val="0062200A"/>
    <w:rsid w:val="00623BC8"/>
    <w:rsid w:val="00623F20"/>
    <w:rsid w:val="006244A2"/>
    <w:rsid w:val="0062561E"/>
    <w:rsid w:val="00625AC5"/>
    <w:rsid w:val="00625F6F"/>
    <w:rsid w:val="006260FD"/>
    <w:rsid w:val="0062654D"/>
    <w:rsid w:val="00626A53"/>
    <w:rsid w:val="00626A9D"/>
    <w:rsid w:val="00626B44"/>
    <w:rsid w:val="006270C6"/>
    <w:rsid w:val="006278C7"/>
    <w:rsid w:val="00630228"/>
    <w:rsid w:val="00630747"/>
    <w:rsid w:val="0063136D"/>
    <w:rsid w:val="006318BD"/>
    <w:rsid w:val="00631BB0"/>
    <w:rsid w:val="00632609"/>
    <w:rsid w:val="00632FEB"/>
    <w:rsid w:val="006332AF"/>
    <w:rsid w:val="006339C6"/>
    <w:rsid w:val="00634EE8"/>
    <w:rsid w:val="00635E3F"/>
    <w:rsid w:val="0063603D"/>
    <w:rsid w:val="0063670A"/>
    <w:rsid w:val="0064027B"/>
    <w:rsid w:val="006405D5"/>
    <w:rsid w:val="00640D34"/>
    <w:rsid w:val="0064130D"/>
    <w:rsid w:val="0064163A"/>
    <w:rsid w:val="0064179F"/>
    <w:rsid w:val="00641A9C"/>
    <w:rsid w:val="006420ED"/>
    <w:rsid w:val="006427D8"/>
    <w:rsid w:val="00643BB2"/>
    <w:rsid w:val="00644A43"/>
    <w:rsid w:val="00645801"/>
    <w:rsid w:val="006459BD"/>
    <w:rsid w:val="00647104"/>
    <w:rsid w:val="006476C8"/>
    <w:rsid w:val="0065019F"/>
    <w:rsid w:val="00651ABD"/>
    <w:rsid w:val="00651D2F"/>
    <w:rsid w:val="00652616"/>
    <w:rsid w:val="006531EF"/>
    <w:rsid w:val="00653294"/>
    <w:rsid w:val="006533BC"/>
    <w:rsid w:val="00655788"/>
    <w:rsid w:val="00655A81"/>
    <w:rsid w:val="006563CC"/>
    <w:rsid w:val="006565CF"/>
    <w:rsid w:val="00657401"/>
    <w:rsid w:val="00660429"/>
    <w:rsid w:val="00660903"/>
    <w:rsid w:val="00661EA5"/>
    <w:rsid w:val="006620C0"/>
    <w:rsid w:val="00662AE3"/>
    <w:rsid w:val="006639A8"/>
    <w:rsid w:val="00663CF0"/>
    <w:rsid w:val="006643FC"/>
    <w:rsid w:val="006653F3"/>
    <w:rsid w:val="006659E8"/>
    <w:rsid w:val="00666419"/>
    <w:rsid w:val="0066683A"/>
    <w:rsid w:val="00670591"/>
    <w:rsid w:val="006709CB"/>
    <w:rsid w:val="00670DD2"/>
    <w:rsid w:val="0067139E"/>
    <w:rsid w:val="00671C21"/>
    <w:rsid w:val="006725C9"/>
    <w:rsid w:val="0067272B"/>
    <w:rsid w:val="00672B81"/>
    <w:rsid w:val="00672EDA"/>
    <w:rsid w:val="00673029"/>
    <w:rsid w:val="00674C6B"/>
    <w:rsid w:val="0067526A"/>
    <w:rsid w:val="00675360"/>
    <w:rsid w:val="006756E8"/>
    <w:rsid w:val="00675BB9"/>
    <w:rsid w:val="00676721"/>
    <w:rsid w:val="00677360"/>
    <w:rsid w:val="006803B1"/>
    <w:rsid w:val="00680959"/>
    <w:rsid w:val="006809D0"/>
    <w:rsid w:val="00680B92"/>
    <w:rsid w:val="00680CD5"/>
    <w:rsid w:val="00680D62"/>
    <w:rsid w:val="00682E15"/>
    <w:rsid w:val="00684B8D"/>
    <w:rsid w:val="00684F89"/>
    <w:rsid w:val="00685024"/>
    <w:rsid w:val="00685177"/>
    <w:rsid w:val="00686102"/>
    <w:rsid w:val="0068635B"/>
    <w:rsid w:val="006864B2"/>
    <w:rsid w:val="00687915"/>
    <w:rsid w:val="00687C5D"/>
    <w:rsid w:val="0069115F"/>
    <w:rsid w:val="006917F1"/>
    <w:rsid w:val="00691F17"/>
    <w:rsid w:val="00692459"/>
    <w:rsid w:val="0069286E"/>
    <w:rsid w:val="0069403C"/>
    <w:rsid w:val="00694C0A"/>
    <w:rsid w:val="00695BEA"/>
    <w:rsid w:val="006A01B0"/>
    <w:rsid w:val="006A08A0"/>
    <w:rsid w:val="006A0E98"/>
    <w:rsid w:val="006A0FA9"/>
    <w:rsid w:val="006A153D"/>
    <w:rsid w:val="006A2389"/>
    <w:rsid w:val="006A37FA"/>
    <w:rsid w:val="006A419D"/>
    <w:rsid w:val="006A4984"/>
    <w:rsid w:val="006A523F"/>
    <w:rsid w:val="006A590B"/>
    <w:rsid w:val="006A5EA8"/>
    <w:rsid w:val="006A662C"/>
    <w:rsid w:val="006A7822"/>
    <w:rsid w:val="006A78E7"/>
    <w:rsid w:val="006B15CB"/>
    <w:rsid w:val="006B1BCB"/>
    <w:rsid w:val="006B20C1"/>
    <w:rsid w:val="006B2170"/>
    <w:rsid w:val="006B32F5"/>
    <w:rsid w:val="006B36F5"/>
    <w:rsid w:val="006B4736"/>
    <w:rsid w:val="006B502B"/>
    <w:rsid w:val="006B6187"/>
    <w:rsid w:val="006B661D"/>
    <w:rsid w:val="006B74C7"/>
    <w:rsid w:val="006C00A8"/>
    <w:rsid w:val="006C0223"/>
    <w:rsid w:val="006C027C"/>
    <w:rsid w:val="006C061A"/>
    <w:rsid w:val="006C0BB2"/>
    <w:rsid w:val="006C1F8B"/>
    <w:rsid w:val="006C3189"/>
    <w:rsid w:val="006C3C78"/>
    <w:rsid w:val="006C3E3F"/>
    <w:rsid w:val="006C4463"/>
    <w:rsid w:val="006C45A6"/>
    <w:rsid w:val="006C4F89"/>
    <w:rsid w:val="006C5198"/>
    <w:rsid w:val="006C5D57"/>
    <w:rsid w:val="006C5E20"/>
    <w:rsid w:val="006C70B9"/>
    <w:rsid w:val="006D08B3"/>
    <w:rsid w:val="006D0B67"/>
    <w:rsid w:val="006D0ECD"/>
    <w:rsid w:val="006D1561"/>
    <w:rsid w:val="006D2FAC"/>
    <w:rsid w:val="006D3420"/>
    <w:rsid w:val="006D3763"/>
    <w:rsid w:val="006D4EB3"/>
    <w:rsid w:val="006D5701"/>
    <w:rsid w:val="006D6867"/>
    <w:rsid w:val="006D68D7"/>
    <w:rsid w:val="006D6A87"/>
    <w:rsid w:val="006D799A"/>
    <w:rsid w:val="006D79C2"/>
    <w:rsid w:val="006E1554"/>
    <w:rsid w:val="006E1A73"/>
    <w:rsid w:val="006E30CF"/>
    <w:rsid w:val="006E3945"/>
    <w:rsid w:val="006E3BE5"/>
    <w:rsid w:val="006E3E46"/>
    <w:rsid w:val="006E4038"/>
    <w:rsid w:val="006E47FB"/>
    <w:rsid w:val="006E4BA7"/>
    <w:rsid w:val="006E4E48"/>
    <w:rsid w:val="006E4FFB"/>
    <w:rsid w:val="006E51CA"/>
    <w:rsid w:val="006E54D0"/>
    <w:rsid w:val="006E59BC"/>
    <w:rsid w:val="006E6823"/>
    <w:rsid w:val="006E6B07"/>
    <w:rsid w:val="006E6C09"/>
    <w:rsid w:val="006E6E6B"/>
    <w:rsid w:val="006E73C9"/>
    <w:rsid w:val="006E752A"/>
    <w:rsid w:val="006E75CE"/>
    <w:rsid w:val="006E77A5"/>
    <w:rsid w:val="006E7B2B"/>
    <w:rsid w:val="006E7D87"/>
    <w:rsid w:val="006E7ED9"/>
    <w:rsid w:val="006F0A8C"/>
    <w:rsid w:val="006F0D27"/>
    <w:rsid w:val="006F21B0"/>
    <w:rsid w:val="006F3D47"/>
    <w:rsid w:val="006F44E1"/>
    <w:rsid w:val="006F5453"/>
    <w:rsid w:val="006F5BCF"/>
    <w:rsid w:val="006F7111"/>
    <w:rsid w:val="006F7234"/>
    <w:rsid w:val="006F7B3E"/>
    <w:rsid w:val="007002AF"/>
    <w:rsid w:val="00700C8A"/>
    <w:rsid w:val="0070246D"/>
    <w:rsid w:val="00702E00"/>
    <w:rsid w:val="00703F85"/>
    <w:rsid w:val="0070431E"/>
    <w:rsid w:val="00704C31"/>
    <w:rsid w:val="00704D3A"/>
    <w:rsid w:val="00704DA8"/>
    <w:rsid w:val="0070598A"/>
    <w:rsid w:val="00705AFB"/>
    <w:rsid w:val="00705BC3"/>
    <w:rsid w:val="0070647D"/>
    <w:rsid w:val="007073C7"/>
    <w:rsid w:val="00707422"/>
    <w:rsid w:val="00710639"/>
    <w:rsid w:val="0071091A"/>
    <w:rsid w:val="00710DD5"/>
    <w:rsid w:val="00711B7D"/>
    <w:rsid w:val="00712234"/>
    <w:rsid w:val="00712575"/>
    <w:rsid w:val="00713FDB"/>
    <w:rsid w:val="00714523"/>
    <w:rsid w:val="00715080"/>
    <w:rsid w:val="00715824"/>
    <w:rsid w:val="00715B86"/>
    <w:rsid w:val="00716067"/>
    <w:rsid w:val="00716251"/>
    <w:rsid w:val="00717C73"/>
    <w:rsid w:val="007215B9"/>
    <w:rsid w:val="00721D34"/>
    <w:rsid w:val="00721DE6"/>
    <w:rsid w:val="0072236A"/>
    <w:rsid w:val="00722BD6"/>
    <w:rsid w:val="00723631"/>
    <w:rsid w:val="00723646"/>
    <w:rsid w:val="0072525F"/>
    <w:rsid w:val="00725290"/>
    <w:rsid w:val="0072676D"/>
    <w:rsid w:val="00727209"/>
    <w:rsid w:val="00727A53"/>
    <w:rsid w:val="0073026C"/>
    <w:rsid w:val="00730AE9"/>
    <w:rsid w:val="00731670"/>
    <w:rsid w:val="00731733"/>
    <w:rsid w:val="00731CBB"/>
    <w:rsid w:val="0073279E"/>
    <w:rsid w:val="00733634"/>
    <w:rsid w:val="007343EB"/>
    <w:rsid w:val="00734707"/>
    <w:rsid w:val="007356EF"/>
    <w:rsid w:val="00737AB2"/>
    <w:rsid w:val="00740EA3"/>
    <w:rsid w:val="0074111C"/>
    <w:rsid w:val="007414FB"/>
    <w:rsid w:val="00741E0D"/>
    <w:rsid w:val="007426BE"/>
    <w:rsid w:val="007428AF"/>
    <w:rsid w:val="00743E47"/>
    <w:rsid w:val="00744493"/>
    <w:rsid w:val="0074468B"/>
    <w:rsid w:val="00744E9C"/>
    <w:rsid w:val="007464A2"/>
    <w:rsid w:val="00746B1F"/>
    <w:rsid w:val="007470DF"/>
    <w:rsid w:val="00747663"/>
    <w:rsid w:val="00751008"/>
    <w:rsid w:val="00751049"/>
    <w:rsid w:val="00751833"/>
    <w:rsid w:val="00751B4A"/>
    <w:rsid w:val="00752082"/>
    <w:rsid w:val="00752344"/>
    <w:rsid w:val="00753592"/>
    <w:rsid w:val="00754A24"/>
    <w:rsid w:val="00754B1C"/>
    <w:rsid w:val="00754DA9"/>
    <w:rsid w:val="00754DAB"/>
    <w:rsid w:val="0075532E"/>
    <w:rsid w:val="00755E33"/>
    <w:rsid w:val="0075612D"/>
    <w:rsid w:val="00756FF5"/>
    <w:rsid w:val="007579CA"/>
    <w:rsid w:val="00760894"/>
    <w:rsid w:val="00760F20"/>
    <w:rsid w:val="00763114"/>
    <w:rsid w:val="007631E3"/>
    <w:rsid w:val="00763803"/>
    <w:rsid w:val="00766204"/>
    <w:rsid w:val="00766914"/>
    <w:rsid w:val="00770293"/>
    <w:rsid w:val="007711F8"/>
    <w:rsid w:val="007716C6"/>
    <w:rsid w:val="00772D49"/>
    <w:rsid w:val="007732CA"/>
    <w:rsid w:val="007739F9"/>
    <w:rsid w:val="007742F9"/>
    <w:rsid w:val="007749B5"/>
    <w:rsid w:val="00774EE4"/>
    <w:rsid w:val="00775AC8"/>
    <w:rsid w:val="00775DA5"/>
    <w:rsid w:val="007762C3"/>
    <w:rsid w:val="00777442"/>
    <w:rsid w:val="00777F38"/>
    <w:rsid w:val="007802F2"/>
    <w:rsid w:val="00780B2A"/>
    <w:rsid w:val="00781053"/>
    <w:rsid w:val="00781887"/>
    <w:rsid w:val="00782353"/>
    <w:rsid w:val="007824DA"/>
    <w:rsid w:val="007855B9"/>
    <w:rsid w:val="00785FB1"/>
    <w:rsid w:val="007872E8"/>
    <w:rsid w:val="00787FA7"/>
    <w:rsid w:val="00790A28"/>
    <w:rsid w:val="00790B76"/>
    <w:rsid w:val="00791DD8"/>
    <w:rsid w:val="00791FC9"/>
    <w:rsid w:val="00792D9F"/>
    <w:rsid w:val="00793D54"/>
    <w:rsid w:val="007942CA"/>
    <w:rsid w:val="00794402"/>
    <w:rsid w:val="0079469F"/>
    <w:rsid w:val="007949BD"/>
    <w:rsid w:val="0079519D"/>
    <w:rsid w:val="0079587D"/>
    <w:rsid w:val="00795B80"/>
    <w:rsid w:val="00796E68"/>
    <w:rsid w:val="00796F70"/>
    <w:rsid w:val="00797FF3"/>
    <w:rsid w:val="007A0293"/>
    <w:rsid w:val="007A0D20"/>
    <w:rsid w:val="007A16C5"/>
    <w:rsid w:val="007A2ABD"/>
    <w:rsid w:val="007A2BF4"/>
    <w:rsid w:val="007A3B3D"/>
    <w:rsid w:val="007A3E38"/>
    <w:rsid w:val="007A47B0"/>
    <w:rsid w:val="007A4A48"/>
    <w:rsid w:val="007A68B1"/>
    <w:rsid w:val="007A7C81"/>
    <w:rsid w:val="007B1228"/>
    <w:rsid w:val="007B17C4"/>
    <w:rsid w:val="007B1CDF"/>
    <w:rsid w:val="007B1E0E"/>
    <w:rsid w:val="007B2878"/>
    <w:rsid w:val="007B31B3"/>
    <w:rsid w:val="007B53A8"/>
    <w:rsid w:val="007B572E"/>
    <w:rsid w:val="007B592B"/>
    <w:rsid w:val="007B6F3A"/>
    <w:rsid w:val="007B7285"/>
    <w:rsid w:val="007B72B0"/>
    <w:rsid w:val="007B7A7D"/>
    <w:rsid w:val="007C00FE"/>
    <w:rsid w:val="007C03BB"/>
    <w:rsid w:val="007C2557"/>
    <w:rsid w:val="007C255F"/>
    <w:rsid w:val="007C28D0"/>
    <w:rsid w:val="007C2D1A"/>
    <w:rsid w:val="007C2F59"/>
    <w:rsid w:val="007C3B97"/>
    <w:rsid w:val="007C43D8"/>
    <w:rsid w:val="007C539A"/>
    <w:rsid w:val="007C571E"/>
    <w:rsid w:val="007C682F"/>
    <w:rsid w:val="007C6C83"/>
    <w:rsid w:val="007C6DFF"/>
    <w:rsid w:val="007C6F4C"/>
    <w:rsid w:val="007C7A57"/>
    <w:rsid w:val="007C7A5E"/>
    <w:rsid w:val="007C7E44"/>
    <w:rsid w:val="007C7FB9"/>
    <w:rsid w:val="007D2829"/>
    <w:rsid w:val="007D310F"/>
    <w:rsid w:val="007D3BBB"/>
    <w:rsid w:val="007D5540"/>
    <w:rsid w:val="007D5F6C"/>
    <w:rsid w:val="007D6FAA"/>
    <w:rsid w:val="007D7591"/>
    <w:rsid w:val="007D7604"/>
    <w:rsid w:val="007E15FA"/>
    <w:rsid w:val="007E22C0"/>
    <w:rsid w:val="007E266B"/>
    <w:rsid w:val="007E3318"/>
    <w:rsid w:val="007E3549"/>
    <w:rsid w:val="007E3831"/>
    <w:rsid w:val="007E42DF"/>
    <w:rsid w:val="007E4BF2"/>
    <w:rsid w:val="007E4DFE"/>
    <w:rsid w:val="007E530C"/>
    <w:rsid w:val="007F11EA"/>
    <w:rsid w:val="007F35C6"/>
    <w:rsid w:val="007F3BD9"/>
    <w:rsid w:val="007F51A7"/>
    <w:rsid w:val="007F5D07"/>
    <w:rsid w:val="007F624E"/>
    <w:rsid w:val="007F69F6"/>
    <w:rsid w:val="007F70BC"/>
    <w:rsid w:val="008001D1"/>
    <w:rsid w:val="00801E76"/>
    <w:rsid w:val="008021C0"/>
    <w:rsid w:val="00802D94"/>
    <w:rsid w:val="00803FF0"/>
    <w:rsid w:val="008041F5"/>
    <w:rsid w:val="00804F41"/>
    <w:rsid w:val="00804FDD"/>
    <w:rsid w:val="00805BAB"/>
    <w:rsid w:val="00806723"/>
    <w:rsid w:val="00806E3B"/>
    <w:rsid w:val="0081022A"/>
    <w:rsid w:val="008102A6"/>
    <w:rsid w:val="00810D41"/>
    <w:rsid w:val="00810EB6"/>
    <w:rsid w:val="008112B0"/>
    <w:rsid w:val="008116FD"/>
    <w:rsid w:val="008121A6"/>
    <w:rsid w:val="00812FD1"/>
    <w:rsid w:val="0081386B"/>
    <w:rsid w:val="00813E1F"/>
    <w:rsid w:val="00813EF7"/>
    <w:rsid w:val="008158F5"/>
    <w:rsid w:val="00816591"/>
    <w:rsid w:val="008165AC"/>
    <w:rsid w:val="00816F2D"/>
    <w:rsid w:val="00817FAB"/>
    <w:rsid w:val="0082035E"/>
    <w:rsid w:val="008211F6"/>
    <w:rsid w:val="008216D9"/>
    <w:rsid w:val="00821755"/>
    <w:rsid w:val="0082298B"/>
    <w:rsid w:val="008236D2"/>
    <w:rsid w:val="00823BB9"/>
    <w:rsid w:val="00823BC2"/>
    <w:rsid w:val="008241A1"/>
    <w:rsid w:val="008245A7"/>
    <w:rsid w:val="00825A70"/>
    <w:rsid w:val="00825DD1"/>
    <w:rsid w:val="00826699"/>
    <w:rsid w:val="008266B0"/>
    <w:rsid w:val="008268E9"/>
    <w:rsid w:val="00827585"/>
    <w:rsid w:val="008275F9"/>
    <w:rsid w:val="00827E25"/>
    <w:rsid w:val="00830464"/>
    <w:rsid w:val="00830DA6"/>
    <w:rsid w:val="00831F8F"/>
    <w:rsid w:val="00832033"/>
    <w:rsid w:val="00832ADD"/>
    <w:rsid w:val="00832CBA"/>
    <w:rsid w:val="00833B18"/>
    <w:rsid w:val="00834064"/>
    <w:rsid w:val="008345C7"/>
    <w:rsid w:val="00835480"/>
    <w:rsid w:val="008356C6"/>
    <w:rsid w:val="00835841"/>
    <w:rsid w:val="00836C2A"/>
    <w:rsid w:val="008378D6"/>
    <w:rsid w:val="008406BA"/>
    <w:rsid w:val="0084084B"/>
    <w:rsid w:val="00840D06"/>
    <w:rsid w:val="00841DE8"/>
    <w:rsid w:val="00841E8E"/>
    <w:rsid w:val="008420B2"/>
    <w:rsid w:val="00842A55"/>
    <w:rsid w:val="008436EA"/>
    <w:rsid w:val="00843D67"/>
    <w:rsid w:val="00844770"/>
    <w:rsid w:val="00844958"/>
    <w:rsid w:val="0084547A"/>
    <w:rsid w:val="00846064"/>
    <w:rsid w:val="00846C5E"/>
    <w:rsid w:val="008471E6"/>
    <w:rsid w:val="00847DCB"/>
    <w:rsid w:val="00847FE3"/>
    <w:rsid w:val="008501F7"/>
    <w:rsid w:val="00850CB5"/>
    <w:rsid w:val="00852363"/>
    <w:rsid w:val="0085393D"/>
    <w:rsid w:val="008543EC"/>
    <w:rsid w:val="00855E98"/>
    <w:rsid w:val="00857050"/>
    <w:rsid w:val="008572B7"/>
    <w:rsid w:val="00857B16"/>
    <w:rsid w:val="00857D31"/>
    <w:rsid w:val="00857D8B"/>
    <w:rsid w:val="0086009C"/>
    <w:rsid w:val="008603AC"/>
    <w:rsid w:val="0086062B"/>
    <w:rsid w:val="008668E6"/>
    <w:rsid w:val="00866D5F"/>
    <w:rsid w:val="00867509"/>
    <w:rsid w:val="00870D49"/>
    <w:rsid w:val="00870FB6"/>
    <w:rsid w:val="008714B7"/>
    <w:rsid w:val="008715A5"/>
    <w:rsid w:val="00871B21"/>
    <w:rsid w:val="00871B31"/>
    <w:rsid w:val="00872BD0"/>
    <w:rsid w:val="00872CBF"/>
    <w:rsid w:val="00872E04"/>
    <w:rsid w:val="00874BB4"/>
    <w:rsid w:val="00876412"/>
    <w:rsid w:val="00876A68"/>
    <w:rsid w:val="0088174D"/>
    <w:rsid w:val="00881A84"/>
    <w:rsid w:val="00881EB7"/>
    <w:rsid w:val="008820B5"/>
    <w:rsid w:val="008828D4"/>
    <w:rsid w:val="008828E8"/>
    <w:rsid w:val="00882F7A"/>
    <w:rsid w:val="008833A6"/>
    <w:rsid w:val="00883D04"/>
    <w:rsid w:val="00884F2F"/>
    <w:rsid w:val="00885D2B"/>
    <w:rsid w:val="00887451"/>
    <w:rsid w:val="008874A1"/>
    <w:rsid w:val="00887DF3"/>
    <w:rsid w:val="00890BFB"/>
    <w:rsid w:val="00891060"/>
    <w:rsid w:val="008915EC"/>
    <w:rsid w:val="00891930"/>
    <w:rsid w:val="00891CFE"/>
    <w:rsid w:val="00891E08"/>
    <w:rsid w:val="00891E8E"/>
    <w:rsid w:val="008924D1"/>
    <w:rsid w:val="008928CA"/>
    <w:rsid w:val="00892B07"/>
    <w:rsid w:val="008947B1"/>
    <w:rsid w:val="0089544B"/>
    <w:rsid w:val="00895571"/>
    <w:rsid w:val="00895674"/>
    <w:rsid w:val="008959BE"/>
    <w:rsid w:val="00895D28"/>
    <w:rsid w:val="00895E31"/>
    <w:rsid w:val="008978F8"/>
    <w:rsid w:val="008A0216"/>
    <w:rsid w:val="008A06E0"/>
    <w:rsid w:val="008A0926"/>
    <w:rsid w:val="008A0B96"/>
    <w:rsid w:val="008A0E93"/>
    <w:rsid w:val="008A13F2"/>
    <w:rsid w:val="008A18EE"/>
    <w:rsid w:val="008A1FF3"/>
    <w:rsid w:val="008A2028"/>
    <w:rsid w:val="008A3375"/>
    <w:rsid w:val="008A3DA6"/>
    <w:rsid w:val="008A3E90"/>
    <w:rsid w:val="008A4D97"/>
    <w:rsid w:val="008A651D"/>
    <w:rsid w:val="008A7504"/>
    <w:rsid w:val="008B0F73"/>
    <w:rsid w:val="008B2116"/>
    <w:rsid w:val="008B23CB"/>
    <w:rsid w:val="008B316C"/>
    <w:rsid w:val="008B3783"/>
    <w:rsid w:val="008B3CCE"/>
    <w:rsid w:val="008B3FED"/>
    <w:rsid w:val="008B4B09"/>
    <w:rsid w:val="008B644B"/>
    <w:rsid w:val="008B648E"/>
    <w:rsid w:val="008B65FA"/>
    <w:rsid w:val="008B66A6"/>
    <w:rsid w:val="008B6F36"/>
    <w:rsid w:val="008B7646"/>
    <w:rsid w:val="008B786B"/>
    <w:rsid w:val="008C0807"/>
    <w:rsid w:val="008C19DA"/>
    <w:rsid w:val="008C19DC"/>
    <w:rsid w:val="008C2232"/>
    <w:rsid w:val="008C30A6"/>
    <w:rsid w:val="008C348B"/>
    <w:rsid w:val="008C3842"/>
    <w:rsid w:val="008C3BEC"/>
    <w:rsid w:val="008C49D4"/>
    <w:rsid w:val="008C5314"/>
    <w:rsid w:val="008C61C6"/>
    <w:rsid w:val="008C7B24"/>
    <w:rsid w:val="008D05C6"/>
    <w:rsid w:val="008D0815"/>
    <w:rsid w:val="008D10D3"/>
    <w:rsid w:val="008D180A"/>
    <w:rsid w:val="008D2590"/>
    <w:rsid w:val="008D321E"/>
    <w:rsid w:val="008D37CD"/>
    <w:rsid w:val="008D3D29"/>
    <w:rsid w:val="008D4713"/>
    <w:rsid w:val="008D4A31"/>
    <w:rsid w:val="008D5CCA"/>
    <w:rsid w:val="008D7E8A"/>
    <w:rsid w:val="008E0ECA"/>
    <w:rsid w:val="008E1B4A"/>
    <w:rsid w:val="008E209D"/>
    <w:rsid w:val="008E2F05"/>
    <w:rsid w:val="008E38B9"/>
    <w:rsid w:val="008E3E52"/>
    <w:rsid w:val="008E3F62"/>
    <w:rsid w:val="008E4199"/>
    <w:rsid w:val="008E53D0"/>
    <w:rsid w:val="008E6080"/>
    <w:rsid w:val="008E728E"/>
    <w:rsid w:val="008E7AF5"/>
    <w:rsid w:val="008F2780"/>
    <w:rsid w:val="008F33F1"/>
    <w:rsid w:val="008F3F14"/>
    <w:rsid w:val="008F4717"/>
    <w:rsid w:val="008F4BAD"/>
    <w:rsid w:val="008F6DEF"/>
    <w:rsid w:val="008F71FA"/>
    <w:rsid w:val="008F72F3"/>
    <w:rsid w:val="00901DD2"/>
    <w:rsid w:val="00901FCD"/>
    <w:rsid w:val="009029DE"/>
    <w:rsid w:val="0090394D"/>
    <w:rsid w:val="009039AA"/>
    <w:rsid w:val="00903FA8"/>
    <w:rsid w:val="009042B6"/>
    <w:rsid w:val="00904430"/>
    <w:rsid w:val="00904BBE"/>
    <w:rsid w:val="00907FC2"/>
    <w:rsid w:val="009106E7"/>
    <w:rsid w:val="00910CAB"/>
    <w:rsid w:val="00910E32"/>
    <w:rsid w:val="009134CC"/>
    <w:rsid w:val="0091480C"/>
    <w:rsid w:val="00915D01"/>
    <w:rsid w:val="0091605C"/>
    <w:rsid w:val="00916BAE"/>
    <w:rsid w:val="00917A53"/>
    <w:rsid w:val="009203B9"/>
    <w:rsid w:val="00920D7A"/>
    <w:rsid w:val="0092145B"/>
    <w:rsid w:val="009218D3"/>
    <w:rsid w:val="00921A1B"/>
    <w:rsid w:val="00921D9C"/>
    <w:rsid w:val="009235B6"/>
    <w:rsid w:val="009247A5"/>
    <w:rsid w:val="009253DC"/>
    <w:rsid w:val="00926BB1"/>
    <w:rsid w:val="009278D8"/>
    <w:rsid w:val="00930419"/>
    <w:rsid w:val="009308D5"/>
    <w:rsid w:val="00930944"/>
    <w:rsid w:val="0093208F"/>
    <w:rsid w:val="00932419"/>
    <w:rsid w:val="00932CCE"/>
    <w:rsid w:val="0093315E"/>
    <w:rsid w:val="009352E3"/>
    <w:rsid w:val="00935ED0"/>
    <w:rsid w:val="00936842"/>
    <w:rsid w:val="0094045D"/>
    <w:rsid w:val="009404E7"/>
    <w:rsid w:val="00940C33"/>
    <w:rsid w:val="00941DDA"/>
    <w:rsid w:val="00942253"/>
    <w:rsid w:val="009424BD"/>
    <w:rsid w:val="0094254E"/>
    <w:rsid w:val="0094282E"/>
    <w:rsid w:val="0094453E"/>
    <w:rsid w:val="00945093"/>
    <w:rsid w:val="009453C0"/>
    <w:rsid w:val="00945BB5"/>
    <w:rsid w:val="009463A5"/>
    <w:rsid w:val="00946CA4"/>
    <w:rsid w:val="00946F9C"/>
    <w:rsid w:val="00947E36"/>
    <w:rsid w:val="00947EBE"/>
    <w:rsid w:val="00950BFF"/>
    <w:rsid w:val="0095101F"/>
    <w:rsid w:val="0095115E"/>
    <w:rsid w:val="00951454"/>
    <w:rsid w:val="00951531"/>
    <w:rsid w:val="009516A1"/>
    <w:rsid w:val="00953133"/>
    <w:rsid w:val="00953628"/>
    <w:rsid w:val="00953878"/>
    <w:rsid w:val="00954167"/>
    <w:rsid w:val="00954281"/>
    <w:rsid w:val="0095439E"/>
    <w:rsid w:val="00954FB0"/>
    <w:rsid w:val="009550C1"/>
    <w:rsid w:val="00955AE3"/>
    <w:rsid w:val="00955F01"/>
    <w:rsid w:val="0095608E"/>
    <w:rsid w:val="00956D8B"/>
    <w:rsid w:val="00956E8C"/>
    <w:rsid w:val="009576F6"/>
    <w:rsid w:val="00957F0B"/>
    <w:rsid w:val="0096064E"/>
    <w:rsid w:val="00960805"/>
    <w:rsid w:val="00960DFD"/>
    <w:rsid w:val="00961BDE"/>
    <w:rsid w:val="009649B6"/>
    <w:rsid w:val="009654F6"/>
    <w:rsid w:val="00965FC4"/>
    <w:rsid w:val="00967476"/>
    <w:rsid w:val="0097020D"/>
    <w:rsid w:val="00970224"/>
    <w:rsid w:val="00970B6B"/>
    <w:rsid w:val="00970D8C"/>
    <w:rsid w:val="0097226B"/>
    <w:rsid w:val="0097325E"/>
    <w:rsid w:val="009732E8"/>
    <w:rsid w:val="00973861"/>
    <w:rsid w:val="00973C96"/>
    <w:rsid w:val="00974097"/>
    <w:rsid w:val="009744E5"/>
    <w:rsid w:val="0097499E"/>
    <w:rsid w:val="00974DAF"/>
    <w:rsid w:val="00974E22"/>
    <w:rsid w:val="00977ECE"/>
    <w:rsid w:val="009801D1"/>
    <w:rsid w:val="00980FD9"/>
    <w:rsid w:val="009818BE"/>
    <w:rsid w:val="009821D5"/>
    <w:rsid w:val="00982716"/>
    <w:rsid w:val="009831BB"/>
    <w:rsid w:val="0098489B"/>
    <w:rsid w:val="00986A3A"/>
    <w:rsid w:val="0098754C"/>
    <w:rsid w:val="009875D6"/>
    <w:rsid w:val="009877EA"/>
    <w:rsid w:val="00987AC0"/>
    <w:rsid w:val="00990F18"/>
    <w:rsid w:val="009920A7"/>
    <w:rsid w:val="00992FA1"/>
    <w:rsid w:val="0099369B"/>
    <w:rsid w:val="00993945"/>
    <w:rsid w:val="009941D4"/>
    <w:rsid w:val="00994ACD"/>
    <w:rsid w:val="0099500A"/>
    <w:rsid w:val="00995C0B"/>
    <w:rsid w:val="009961A8"/>
    <w:rsid w:val="0099727E"/>
    <w:rsid w:val="00997470"/>
    <w:rsid w:val="00997B77"/>
    <w:rsid w:val="00997FAE"/>
    <w:rsid w:val="009A02BC"/>
    <w:rsid w:val="009A0AB4"/>
    <w:rsid w:val="009A0E4F"/>
    <w:rsid w:val="009A1058"/>
    <w:rsid w:val="009A1C4D"/>
    <w:rsid w:val="009A29B9"/>
    <w:rsid w:val="009A2A0A"/>
    <w:rsid w:val="009A3690"/>
    <w:rsid w:val="009A567B"/>
    <w:rsid w:val="009A56CF"/>
    <w:rsid w:val="009A720A"/>
    <w:rsid w:val="009A781D"/>
    <w:rsid w:val="009A787E"/>
    <w:rsid w:val="009B01B7"/>
    <w:rsid w:val="009B0F75"/>
    <w:rsid w:val="009B19E4"/>
    <w:rsid w:val="009B2606"/>
    <w:rsid w:val="009B29E7"/>
    <w:rsid w:val="009B3B80"/>
    <w:rsid w:val="009B462F"/>
    <w:rsid w:val="009B558F"/>
    <w:rsid w:val="009B57FF"/>
    <w:rsid w:val="009B6A5E"/>
    <w:rsid w:val="009B783B"/>
    <w:rsid w:val="009C10F7"/>
    <w:rsid w:val="009C1479"/>
    <w:rsid w:val="009C19F3"/>
    <w:rsid w:val="009C3E2B"/>
    <w:rsid w:val="009C583D"/>
    <w:rsid w:val="009C5A95"/>
    <w:rsid w:val="009C74DB"/>
    <w:rsid w:val="009D1240"/>
    <w:rsid w:val="009D31A7"/>
    <w:rsid w:val="009D38BF"/>
    <w:rsid w:val="009D41D8"/>
    <w:rsid w:val="009D42BF"/>
    <w:rsid w:val="009D4A63"/>
    <w:rsid w:val="009D54C2"/>
    <w:rsid w:val="009D59E4"/>
    <w:rsid w:val="009D5D1C"/>
    <w:rsid w:val="009D5ECB"/>
    <w:rsid w:val="009D6177"/>
    <w:rsid w:val="009D6918"/>
    <w:rsid w:val="009D6983"/>
    <w:rsid w:val="009D7177"/>
    <w:rsid w:val="009D7758"/>
    <w:rsid w:val="009E0547"/>
    <w:rsid w:val="009E0595"/>
    <w:rsid w:val="009E1623"/>
    <w:rsid w:val="009E197D"/>
    <w:rsid w:val="009E1D86"/>
    <w:rsid w:val="009E1EC4"/>
    <w:rsid w:val="009E24C8"/>
    <w:rsid w:val="009E32FF"/>
    <w:rsid w:val="009E3630"/>
    <w:rsid w:val="009E3EAA"/>
    <w:rsid w:val="009E485E"/>
    <w:rsid w:val="009E48EB"/>
    <w:rsid w:val="009E7336"/>
    <w:rsid w:val="009E78B9"/>
    <w:rsid w:val="009E7B3B"/>
    <w:rsid w:val="009F0FB6"/>
    <w:rsid w:val="009F124A"/>
    <w:rsid w:val="009F1AE8"/>
    <w:rsid w:val="009F1BB0"/>
    <w:rsid w:val="009F2872"/>
    <w:rsid w:val="009F38E3"/>
    <w:rsid w:val="009F3ABB"/>
    <w:rsid w:val="009F54F4"/>
    <w:rsid w:val="009F5A79"/>
    <w:rsid w:val="009F5E5C"/>
    <w:rsid w:val="009F634B"/>
    <w:rsid w:val="009F6A9C"/>
    <w:rsid w:val="009F758B"/>
    <w:rsid w:val="00A0261C"/>
    <w:rsid w:val="00A02F8E"/>
    <w:rsid w:val="00A03043"/>
    <w:rsid w:val="00A03354"/>
    <w:rsid w:val="00A038BB"/>
    <w:rsid w:val="00A042D4"/>
    <w:rsid w:val="00A04BE7"/>
    <w:rsid w:val="00A0604C"/>
    <w:rsid w:val="00A06622"/>
    <w:rsid w:val="00A06F33"/>
    <w:rsid w:val="00A10657"/>
    <w:rsid w:val="00A1119B"/>
    <w:rsid w:val="00A119CF"/>
    <w:rsid w:val="00A138A7"/>
    <w:rsid w:val="00A13B97"/>
    <w:rsid w:val="00A13D4F"/>
    <w:rsid w:val="00A1569C"/>
    <w:rsid w:val="00A15A03"/>
    <w:rsid w:val="00A15FE2"/>
    <w:rsid w:val="00A173FA"/>
    <w:rsid w:val="00A17617"/>
    <w:rsid w:val="00A179A4"/>
    <w:rsid w:val="00A17D4E"/>
    <w:rsid w:val="00A20FEE"/>
    <w:rsid w:val="00A21758"/>
    <w:rsid w:val="00A22755"/>
    <w:rsid w:val="00A23BEB"/>
    <w:rsid w:val="00A23D07"/>
    <w:rsid w:val="00A2497A"/>
    <w:rsid w:val="00A24D39"/>
    <w:rsid w:val="00A24F52"/>
    <w:rsid w:val="00A25943"/>
    <w:rsid w:val="00A26785"/>
    <w:rsid w:val="00A26B53"/>
    <w:rsid w:val="00A30364"/>
    <w:rsid w:val="00A333B6"/>
    <w:rsid w:val="00A339E8"/>
    <w:rsid w:val="00A33AD2"/>
    <w:rsid w:val="00A33EE0"/>
    <w:rsid w:val="00A34423"/>
    <w:rsid w:val="00A34EDA"/>
    <w:rsid w:val="00A34FC1"/>
    <w:rsid w:val="00A357D2"/>
    <w:rsid w:val="00A3584F"/>
    <w:rsid w:val="00A35FD7"/>
    <w:rsid w:val="00A36423"/>
    <w:rsid w:val="00A36C04"/>
    <w:rsid w:val="00A40131"/>
    <w:rsid w:val="00A40487"/>
    <w:rsid w:val="00A40902"/>
    <w:rsid w:val="00A421C2"/>
    <w:rsid w:val="00A43A4D"/>
    <w:rsid w:val="00A44B86"/>
    <w:rsid w:val="00A4574A"/>
    <w:rsid w:val="00A47093"/>
    <w:rsid w:val="00A470F0"/>
    <w:rsid w:val="00A51CC4"/>
    <w:rsid w:val="00A52147"/>
    <w:rsid w:val="00A52D03"/>
    <w:rsid w:val="00A52ECB"/>
    <w:rsid w:val="00A539C5"/>
    <w:rsid w:val="00A53B35"/>
    <w:rsid w:val="00A55CA2"/>
    <w:rsid w:val="00A56DC7"/>
    <w:rsid w:val="00A574A1"/>
    <w:rsid w:val="00A57637"/>
    <w:rsid w:val="00A611F1"/>
    <w:rsid w:val="00A61A41"/>
    <w:rsid w:val="00A637A4"/>
    <w:rsid w:val="00A63AA5"/>
    <w:rsid w:val="00A63D2A"/>
    <w:rsid w:val="00A6542D"/>
    <w:rsid w:val="00A6563C"/>
    <w:rsid w:val="00A65AB5"/>
    <w:rsid w:val="00A664F0"/>
    <w:rsid w:val="00A66C0A"/>
    <w:rsid w:val="00A70647"/>
    <w:rsid w:val="00A7070E"/>
    <w:rsid w:val="00A70B1A"/>
    <w:rsid w:val="00A70DE3"/>
    <w:rsid w:val="00A71412"/>
    <w:rsid w:val="00A71B48"/>
    <w:rsid w:val="00A72293"/>
    <w:rsid w:val="00A72EA6"/>
    <w:rsid w:val="00A73B53"/>
    <w:rsid w:val="00A7608A"/>
    <w:rsid w:val="00A77ACA"/>
    <w:rsid w:val="00A800CB"/>
    <w:rsid w:val="00A80294"/>
    <w:rsid w:val="00A80C11"/>
    <w:rsid w:val="00A8109B"/>
    <w:rsid w:val="00A81294"/>
    <w:rsid w:val="00A81A90"/>
    <w:rsid w:val="00A81CBA"/>
    <w:rsid w:val="00A82DF1"/>
    <w:rsid w:val="00A830CE"/>
    <w:rsid w:val="00A84106"/>
    <w:rsid w:val="00A84EF9"/>
    <w:rsid w:val="00A857C6"/>
    <w:rsid w:val="00A857ED"/>
    <w:rsid w:val="00A85C2C"/>
    <w:rsid w:val="00A862E9"/>
    <w:rsid w:val="00A874BF"/>
    <w:rsid w:val="00A8765D"/>
    <w:rsid w:val="00A90652"/>
    <w:rsid w:val="00A90DC8"/>
    <w:rsid w:val="00A90FDB"/>
    <w:rsid w:val="00A93DDA"/>
    <w:rsid w:val="00A949A8"/>
    <w:rsid w:val="00A94FA6"/>
    <w:rsid w:val="00A950ED"/>
    <w:rsid w:val="00A96A16"/>
    <w:rsid w:val="00A97AC5"/>
    <w:rsid w:val="00A97F4F"/>
    <w:rsid w:val="00AA0583"/>
    <w:rsid w:val="00AA0EA9"/>
    <w:rsid w:val="00AA13CA"/>
    <w:rsid w:val="00AA1625"/>
    <w:rsid w:val="00AA17B5"/>
    <w:rsid w:val="00AA1CC4"/>
    <w:rsid w:val="00AA1DBC"/>
    <w:rsid w:val="00AA1DEA"/>
    <w:rsid w:val="00AA41B9"/>
    <w:rsid w:val="00AA43C5"/>
    <w:rsid w:val="00AA670A"/>
    <w:rsid w:val="00AA6E83"/>
    <w:rsid w:val="00AB1429"/>
    <w:rsid w:val="00AB1433"/>
    <w:rsid w:val="00AB1B07"/>
    <w:rsid w:val="00AB2534"/>
    <w:rsid w:val="00AB3113"/>
    <w:rsid w:val="00AB4342"/>
    <w:rsid w:val="00AB439D"/>
    <w:rsid w:val="00AB45E6"/>
    <w:rsid w:val="00AB5EA3"/>
    <w:rsid w:val="00AB60B6"/>
    <w:rsid w:val="00AB6936"/>
    <w:rsid w:val="00AB720E"/>
    <w:rsid w:val="00AC091A"/>
    <w:rsid w:val="00AC0F4E"/>
    <w:rsid w:val="00AC12DC"/>
    <w:rsid w:val="00AC1515"/>
    <w:rsid w:val="00AC162A"/>
    <w:rsid w:val="00AC1C51"/>
    <w:rsid w:val="00AC2A0F"/>
    <w:rsid w:val="00AC2A30"/>
    <w:rsid w:val="00AC3C61"/>
    <w:rsid w:val="00AC436A"/>
    <w:rsid w:val="00AC4713"/>
    <w:rsid w:val="00AC4DB5"/>
    <w:rsid w:val="00AC4DEE"/>
    <w:rsid w:val="00AC50BA"/>
    <w:rsid w:val="00AC5F24"/>
    <w:rsid w:val="00AC70CF"/>
    <w:rsid w:val="00AC7D54"/>
    <w:rsid w:val="00AD04A4"/>
    <w:rsid w:val="00AD1323"/>
    <w:rsid w:val="00AD20C0"/>
    <w:rsid w:val="00AD25D3"/>
    <w:rsid w:val="00AD305F"/>
    <w:rsid w:val="00AD41EA"/>
    <w:rsid w:val="00AD54AD"/>
    <w:rsid w:val="00AD5A5E"/>
    <w:rsid w:val="00AD5B33"/>
    <w:rsid w:val="00AD6662"/>
    <w:rsid w:val="00AD7512"/>
    <w:rsid w:val="00AE0702"/>
    <w:rsid w:val="00AE1AA9"/>
    <w:rsid w:val="00AE1CB3"/>
    <w:rsid w:val="00AE2095"/>
    <w:rsid w:val="00AE3269"/>
    <w:rsid w:val="00AE450D"/>
    <w:rsid w:val="00AE49BC"/>
    <w:rsid w:val="00AE6D9E"/>
    <w:rsid w:val="00AF0C16"/>
    <w:rsid w:val="00AF1058"/>
    <w:rsid w:val="00AF1908"/>
    <w:rsid w:val="00AF21FB"/>
    <w:rsid w:val="00AF261A"/>
    <w:rsid w:val="00AF2F5F"/>
    <w:rsid w:val="00AF377C"/>
    <w:rsid w:val="00AF3AB5"/>
    <w:rsid w:val="00AF3FE7"/>
    <w:rsid w:val="00AF4186"/>
    <w:rsid w:val="00AF5983"/>
    <w:rsid w:val="00AF5D54"/>
    <w:rsid w:val="00AF6645"/>
    <w:rsid w:val="00AF6E2D"/>
    <w:rsid w:val="00AF712A"/>
    <w:rsid w:val="00AF7241"/>
    <w:rsid w:val="00AF72D3"/>
    <w:rsid w:val="00AF7D97"/>
    <w:rsid w:val="00B012AB"/>
    <w:rsid w:val="00B01793"/>
    <w:rsid w:val="00B01D48"/>
    <w:rsid w:val="00B02992"/>
    <w:rsid w:val="00B02CFF"/>
    <w:rsid w:val="00B02EF3"/>
    <w:rsid w:val="00B035EF"/>
    <w:rsid w:val="00B0378D"/>
    <w:rsid w:val="00B04047"/>
    <w:rsid w:val="00B0565E"/>
    <w:rsid w:val="00B05E55"/>
    <w:rsid w:val="00B07069"/>
    <w:rsid w:val="00B07106"/>
    <w:rsid w:val="00B07788"/>
    <w:rsid w:val="00B10536"/>
    <w:rsid w:val="00B10945"/>
    <w:rsid w:val="00B10E0F"/>
    <w:rsid w:val="00B1437D"/>
    <w:rsid w:val="00B14BB7"/>
    <w:rsid w:val="00B14F80"/>
    <w:rsid w:val="00B1565A"/>
    <w:rsid w:val="00B15BA6"/>
    <w:rsid w:val="00B16271"/>
    <w:rsid w:val="00B170BA"/>
    <w:rsid w:val="00B17144"/>
    <w:rsid w:val="00B1729A"/>
    <w:rsid w:val="00B17989"/>
    <w:rsid w:val="00B17D71"/>
    <w:rsid w:val="00B17EDF"/>
    <w:rsid w:val="00B2055F"/>
    <w:rsid w:val="00B2112F"/>
    <w:rsid w:val="00B22BC1"/>
    <w:rsid w:val="00B22C94"/>
    <w:rsid w:val="00B231BB"/>
    <w:rsid w:val="00B24182"/>
    <w:rsid w:val="00B252E2"/>
    <w:rsid w:val="00B26064"/>
    <w:rsid w:val="00B262D3"/>
    <w:rsid w:val="00B262E2"/>
    <w:rsid w:val="00B2654B"/>
    <w:rsid w:val="00B26860"/>
    <w:rsid w:val="00B27F08"/>
    <w:rsid w:val="00B30E21"/>
    <w:rsid w:val="00B311EA"/>
    <w:rsid w:val="00B31A2C"/>
    <w:rsid w:val="00B32C03"/>
    <w:rsid w:val="00B32D67"/>
    <w:rsid w:val="00B32F04"/>
    <w:rsid w:val="00B348A4"/>
    <w:rsid w:val="00B34BE5"/>
    <w:rsid w:val="00B3502C"/>
    <w:rsid w:val="00B3517D"/>
    <w:rsid w:val="00B35B54"/>
    <w:rsid w:val="00B361F4"/>
    <w:rsid w:val="00B36312"/>
    <w:rsid w:val="00B36375"/>
    <w:rsid w:val="00B36471"/>
    <w:rsid w:val="00B36735"/>
    <w:rsid w:val="00B406C8"/>
    <w:rsid w:val="00B4258D"/>
    <w:rsid w:val="00B42DC5"/>
    <w:rsid w:val="00B42E9C"/>
    <w:rsid w:val="00B42F2A"/>
    <w:rsid w:val="00B450CD"/>
    <w:rsid w:val="00B45762"/>
    <w:rsid w:val="00B45AED"/>
    <w:rsid w:val="00B46842"/>
    <w:rsid w:val="00B46F7C"/>
    <w:rsid w:val="00B50BE5"/>
    <w:rsid w:val="00B51F16"/>
    <w:rsid w:val="00B525EB"/>
    <w:rsid w:val="00B52C8E"/>
    <w:rsid w:val="00B53929"/>
    <w:rsid w:val="00B53D3B"/>
    <w:rsid w:val="00B5515B"/>
    <w:rsid w:val="00B552C7"/>
    <w:rsid w:val="00B55550"/>
    <w:rsid w:val="00B55E35"/>
    <w:rsid w:val="00B56B72"/>
    <w:rsid w:val="00B57C27"/>
    <w:rsid w:val="00B60ABC"/>
    <w:rsid w:val="00B61A9A"/>
    <w:rsid w:val="00B61C63"/>
    <w:rsid w:val="00B61E86"/>
    <w:rsid w:val="00B63A61"/>
    <w:rsid w:val="00B63B73"/>
    <w:rsid w:val="00B64B00"/>
    <w:rsid w:val="00B64D61"/>
    <w:rsid w:val="00B64E13"/>
    <w:rsid w:val="00B65059"/>
    <w:rsid w:val="00B6683B"/>
    <w:rsid w:val="00B66BBB"/>
    <w:rsid w:val="00B66EB7"/>
    <w:rsid w:val="00B67702"/>
    <w:rsid w:val="00B67BCF"/>
    <w:rsid w:val="00B70703"/>
    <w:rsid w:val="00B709B8"/>
    <w:rsid w:val="00B724C0"/>
    <w:rsid w:val="00B7344F"/>
    <w:rsid w:val="00B735F7"/>
    <w:rsid w:val="00B737CD"/>
    <w:rsid w:val="00B73862"/>
    <w:rsid w:val="00B73F84"/>
    <w:rsid w:val="00B73F88"/>
    <w:rsid w:val="00B75698"/>
    <w:rsid w:val="00B764C4"/>
    <w:rsid w:val="00B766C4"/>
    <w:rsid w:val="00B7750E"/>
    <w:rsid w:val="00B7785D"/>
    <w:rsid w:val="00B810EA"/>
    <w:rsid w:val="00B8180A"/>
    <w:rsid w:val="00B8379E"/>
    <w:rsid w:val="00B84904"/>
    <w:rsid w:val="00B84DE0"/>
    <w:rsid w:val="00B84F23"/>
    <w:rsid w:val="00B8561C"/>
    <w:rsid w:val="00B85F43"/>
    <w:rsid w:val="00B91F88"/>
    <w:rsid w:val="00B91FF1"/>
    <w:rsid w:val="00B92BAE"/>
    <w:rsid w:val="00B92D10"/>
    <w:rsid w:val="00B931EA"/>
    <w:rsid w:val="00B934A2"/>
    <w:rsid w:val="00B944B8"/>
    <w:rsid w:val="00B9467C"/>
    <w:rsid w:val="00B95FFD"/>
    <w:rsid w:val="00B96B6C"/>
    <w:rsid w:val="00B96C70"/>
    <w:rsid w:val="00B971CD"/>
    <w:rsid w:val="00B975C1"/>
    <w:rsid w:val="00BA0297"/>
    <w:rsid w:val="00BA12F5"/>
    <w:rsid w:val="00BA196A"/>
    <w:rsid w:val="00BA2526"/>
    <w:rsid w:val="00BA3A88"/>
    <w:rsid w:val="00BA3E44"/>
    <w:rsid w:val="00BA3F7D"/>
    <w:rsid w:val="00BA436C"/>
    <w:rsid w:val="00BA5C5B"/>
    <w:rsid w:val="00BA68BA"/>
    <w:rsid w:val="00BA6DF6"/>
    <w:rsid w:val="00BB0576"/>
    <w:rsid w:val="00BB070F"/>
    <w:rsid w:val="00BB0728"/>
    <w:rsid w:val="00BB0F02"/>
    <w:rsid w:val="00BB2D66"/>
    <w:rsid w:val="00BB2E3A"/>
    <w:rsid w:val="00BB404F"/>
    <w:rsid w:val="00BB4149"/>
    <w:rsid w:val="00BB4B5A"/>
    <w:rsid w:val="00BB4EB0"/>
    <w:rsid w:val="00BB6D76"/>
    <w:rsid w:val="00BB77D6"/>
    <w:rsid w:val="00BB7E44"/>
    <w:rsid w:val="00BC00D5"/>
    <w:rsid w:val="00BC0501"/>
    <w:rsid w:val="00BC0D21"/>
    <w:rsid w:val="00BC24BD"/>
    <w:rsid w:val="00BC28BE"/>
    <w:rsid w:val="00BC3396"/>
    <w:rsid w:val="00BC4235"/>
    <w:rsid w:val="00BC4391"/>
    <w:rsid w:val="00BC5425"/>
    <w:rsid w:val="00BC5A14"/>
    <w:rsid w:val="00BC61CF"/>
    <w:rsid w:val="00BC66C9"/>
    <w:rsid w:val="00BC67F2"/>
    <w:rsid w:val="00BC6B53"/>
    <w:rsid w:val="00BC73A4"/>
    <w:rsid w:val="00BC74F7"/>
    <w:rsid w:val="00BC79F8"/>
    <w:rsid w:val="00BD0F58"/>
    <w:rsid w:val="00BD10A9"/>
    <w:rsid w:val="00BD1A5C"/>
    <w:rsid w:val="00BD1E15"/>
    <w:rsid w:val="00BD229A"/>
    <w:rsid w:val="00BD295E"/>
    <w:rsid w:val="00BD2A23"/>
    <w:rsid w:val="00BD2C94"/>
    <w:rsid w:val="00BD3C13"/>
    <w:rsid w:val="00BD4258"/>
    <w:rsid w:val="00BD54D8"/>
    <w:rsid w:val="00BD58D8"/>
    <w:rsid w:val="00BD635D"/>
    <w:rsid w:val="00BD64E4"/>
    <w:rsid w:val="00BD6BBA"/>
    <w:rsid w:val="00BD76E8"/>
    <w:rsid w:val="00BD77AB"/>
    <w:rsid w:val="00BD7DD0"/>
    <w:rsid w:val="00BE0A31"/>
    <w:rsid w:val="00BE0AB8"/>
    <w:rsid w:val="00BE15EA"/>
    <w:rsid w:val="00BE1841"/>
    <w:rsid w:val="00BE260A"/>
    <w:rsid w:val="00BE28A4"/>
    <w:rsid w:val="00BE3522"/>
    <w:rsid w:val="00BE40D2"/>
    <w:rsid w:val="00BE44F2"/>
    <w:rsid w:val="00BE45DA"/>
    <w:rsid w:val="00BE46D8"/>
    <w:rsid w:val="00BE4ACB"/>
    <w:rsid w:val="00BE51C4"/>
    <w:rsid w:val="00BE64DE"/>
    <w:rsid w:val="00BE6CD1"/>
    <w:rsid w:val="00BF00D0"/>
    <w:rsid w:val="00BF045E"/>
    <w:rsid w:val="00BF069F"/>
    <w:rsid w:val="00BF123A"/>
    <w:rsid w:val="00BF1A3D"/>
    <w:rsid w:val="00BF4019"/>
    <w:rsid w:val="00BF4FBF"/>
    <w:rsid w:val="00BF6A6E"/>
    <w:rsid w:val="00BF6D25"/>
    <w:rsid w:val="00BF7CC3"/>
    <w:rsid w:val="00C0163C"/>
    <w:rsid w:val="00C018F3"/>
    <w:rsid w:val="00C01C88"/>
    <w:rsid w:val="00C02443"/>
    <w:rsid w:val="00C02800"/>
    <w:rsid w:val="00C02AFE"/>
    <w:rsid w:val="00C02CB2"/>
    <w:rsid w:val="00C04034"/>
    <w:rsid w:val="00C0409E"/>
    <w:rsid w:val="00C0420C"/>
    <w:rsid w:val="00C04B82"/>
    <w:rsid w:val="00C04EEE"/>
    <w:rsid w:val="00C057BC"/>
    <w:rsid w:val="00C05AC7"/>
    <w:rsid w:val="00C06F1D"/>
    <w:rsid w:val="00C06F9C"/>
    <w:rsid w:val="00C1037E"/>
    <w:rsid w:val="00C10CB3"/>
    <w:rsid w:val="00C121A0"/>
    <w:rsid w:val="00C12486"/>
    <w:rsid w:val="00C12C4A"/>
    <w:rsid w:val="00C12E46"/>
    <w:rsid w:val="00C13DE6"/>
    <w:rsid w:val="00C15A54"/>
    <w:rsid w:val="00C15B1C"/>
    <w:rsid w:val="00C15CC4"/>
    <w:rsid w:val="00C1681A"/>
    <w:rsid w:val="00C1689E"/>
    <w:rsid w:val="00C20B18"/>
    <w:rsid w:val="00C213E9"/>
    <w:rsid w:val="00C21C6B"/>
    <w:rsid w:val="00C22165"/>
    <w:rsid w:val="00C22A55"/>
    <w:rsid w:val="00C2476A"/>
    <w:rsid w:val="00C259D0"/>
    <w:rsid w:val="00C25D2E"/>
    <w:rsid w:val="00C25F68"/>
    <w:rsid w:val="00C264DD"/>
    <w:rsid w:val="00C267A2"/>
    <w:rsid w:val="00C27CA8"/>
    <w:rsid w:val="00C27F4B"/>
    <w:rsid w:val="00C306F7"/>
    <w:rsid w:val="00C31DF5"/>
    <w:rsid w:val="00C32866"/>
    <w:rsid w:val="00C3329F"/>
    <w:rsid w:val="00C332AD"/>
    <w:rsid w:val="00C340AA"/>
    <w:rsid w:val="00C34120"/>
    <w:rsid w:val="00C34139"/>
    <w:rsid w:val="00C3461C"/>
    <w:rsid w:val="00C3475D"/>
    <w:rsid w:val="00C3483A"/>
    <w:rsid w:val="00C34C70"/>
    <w:rsid w:val="00C4048F"/>
    <w:rsid w:val="00C404CA"/>
    <w:rsid w:val="00C42835"/>
    <w:rsid w:val="00C446A6"/>
    <w:rsid w:val="00C448F6"/>
    <w:rsid w:val="00C452F5"/>
    <w:rsid w:val="00C45316"/>
    <w:rsid w:val="00C457FB"/>
    <w:rsid w:val="00C511CF"/>
    <w:rsid w:val="00C52885"/>
    <w:rsid w:val="00C53A9B"/>
    <w:rsid w:val="00C53B0E"/>
    <w:rsid w:val="00C5465D"/>
    <w:rsid w:val="00C54684"/>
    <w:rsid w:val="00C5603F"/>
    <w:rsid w:val="00C56508"/>
    <w:rsid w:val="00C56FBE"/>
    <w:rsid w:val="00C5725C"/>
    <w:rsid w:val="00C601F0"/>
    <w:rsid w:val="00C61ED2"/>
    <w:rsid w:val="00C62E2D"/>
    <w:rsid w:val="00C63CF0"/>
    <w:rsid w:val="00C63FEA"/>
    <w:rsid w:val="00C640C1"/>
    <w:rsid w:val="00C65459"/>
    <w:rsid w:val="00C665C6"/>
    <w:rsid w:val="00C6744B"/>
    <w:rsid w:val="00C67D60"/>
    <w:rsid w:val="00C71611"/>
    <w:rsid w:val="00C716A4"/>
    <w:rsid w:val="00C72515"/>
    <w:rsid w:val="00C7377A"/>
    <w:rsid w:val="00C740E3"/>
    <w:rsid w:val="00C74B35"/>
    <w:rsid w:val="00C75503"/>
    <w:rsid w:val="00C759DD"/>
    <w:rsid w:val="00C76481"/>
    <w:rsid w:val="00C76AFE"/>
    <w:rsid w:val="00C8000D"/>
    <w:rsid w:val="00C80145"/>
    <w:rsid w:val="00C80A63"/>
    <w:rsid w:val="00C8114A"/>
    <w:rsid w:val="00C8170D"/>
    <w:rsid w:val="00C81C63"/>
    <w:rsid w:val="00C82316"/>
    <w:rsid w:val="00C846FD"/>
    <w:rsid w:val="00C84E0B"/>
    <w:rsid w:val="00C857B2"/>
    <w:rsid w:val="00C85D4C"/>
    <w:rsid w:val="00C865A2"/>
    <w:rsid w:val="00C865EF"/>
    <w:rsid w:val="00C866DC"/>
    <w:rsid w:val="00C8671F"/>
    <w:rsid w:val="00C87BD1"/>
    <w:rsid w:val="00C87D6B"/>
    <w:rsid w:val="00C87E99"/>
    <w:rsid w:val="00C90B62"/>
    <w:rsid w:val="00C91DF2"/>
    <w:rsid w:val="00C922B0"/>
    <w:rsid w:val="00C928A4"/>
    <w:rsid w:val="00C93EA8"/>
    <w:rsid w:val="00C943E0"/>
    <w:rsid w:val="00C9469B"/>
    <w:rsid w:val="00C948DF"/>
    <w:rsid w:val="00C9688F"/>
    <w:rsid w:val="00C97783"/>
    <w:rsid w:val="00C97F7B"/>
    <w:rsid w:val="00CA01CA"/>
    <w:rsid w:val="00CA05A5"/>
    <w:rsid w:val="00CA12EE"/>
    <w:rsid w:val="00CA1767"/>
    <w:rsid w:val="00CA2113"/>
    <w:rsid w:val="00CA2D50"/>
    <w:rsid w:val="00CA3340"/>
    <w:rsid w:val="00CA498F"/>
    <w:rsid w:val="00CA4A89"/>
    <w:rsid w:val="00CA51D0"/>
    <w:rsid w:val="00CA5917"/>
    <w:rsid w:val="00CA5933"/>
    <w:rsid w:val="00CA66B6"/>
    <w:rsid w:val="00CA6DE8"/>
    <w:rsid w:val="00CA6F4A"/>
    <w:rsid w:val="00CA73B4"/>
    <w:rsid w:val="00CA743D"/>
    <w:rsid w:val="00CA7623"/>
    <w:rsid w:val="00CA78EB"/>
    <w:rsid w:val="00CA78F4"/>
    <w:rsid w:val="00CB09D9"/>
    <w:rsid w:val="00CB157F"/>
    <w:rsid w:val="00CB236D"/>
    <w:rsid w:val="00CB4022"/>
    <w:rsid w:val="00CB40B3"/>
    <w:rsid w:val="00CB5E15"/>
    <w:rsid w:val="00CB6AA6"/>
    <w:rsid w:val="00CB7048"/>
    <w:rsid w:val="00CB71C5"/>
    <w:rsid w:val="00CB738C"/>
    <w:rsid w:val="00CC02F0"/>
    <w:rsid w:val="00CC0D97"/>
    <w:rsid w:val="00CC0FFB"/>
    <w:rsid w:val="00CC1176"/>
    <w:rsid w:val="00CC14CA"/>
    <w:rsid w:val="00CC1FD3"/>
    <w:rsid w:val="00CC22A1"/>
    <w:rsid w:val="00CC2645"/>
    <w:rsid w:val="00CC30F5"/>
    <w:rsid w:val="00CC379E"/>
    <w:rsid w:val="00CC49E6"/>
    <w:rsid w:val="00CC57E5"/>
    <w:rsid w:val="00CC5E48"/>
    <w:rsid w:val="00CC6478"/>
    <w:rsid w:val="00CC6488"/>
    <w:rsid w:val="00CC6961"/>
    <w:rsid w:val="00CC697A"/>
    <w:rsid w:val="00CC6D1F"/>
    <w:rsid w:val="00CC6E9C"/>
    <w:rsid w:val="00CC7C13"/>
    <w:rsid w:val="00CD0123"/>
    <w:rsid w:val="00CD02E9"/>
    <w:rsid w:val="00CD1027"/>
    <w:rsid w:val="00CD1278"/>
    <w:rsid w:val="00CD1B5E"/>
    <w:rsid w:val="00CD282F"/>
    <w:rsid w:val="00CD2BF9"/>
    <w:rsid w:val="00CD3337"/>
    <w:rsid w:val="00CD3D95"/>
    <w:rsid w:val="00CD586E"/>
    <w:rsid w:val="00CD6A2A"/>
    <w:rsid w:val="00CD7011"/>
    <w:rsid w:val="00CD7150"/>
    <w:rsid w:val="00CD7E78"/>
    <w:rsid w:val="00CE0F0D"/>
    <w:rsid w:val="00CE166F"/>
    <w:rsid w:val="00CE1D36"/>
    <w:rsid w:val="00CE2B4F"/>
    <w:rsid w:val="00CE38E8"/>
    <w:rsid w:val="00CE4F0E"/>
    <w:rsid w:val="00CE5011"/>
    <w:rsid w:val="00CE541D"/>
    <w:rsid w:val="00CE5E10"/>
    <w:rsid w:val="00CE6075"/>
    <w:rsid w:val="00CE65E2"/>
    <w:rsid w:val="00CE7C47"/>
    <w:rsid w:val="00CE7ED3"/>
    <w:rsid w:val="00CF00BC"/>
    <w:rsid w:val="00CF0926"/>
    <w:rsid w:val="00CF0AB2"/>
    <w:rsid w:val="00CF1787"/>
    <w:rsid w:val="00CF1C6D"/>
    <w:rsid w:val="00CF21F9"/>
    <w:rsid w:val="00CF3717"/>
    <w:rsid w:val="00CF461F"/>
    <w:rsid w:val="00CF4BE8"/>
    <w:rsid w:val="00CF5392"/>
    <w:rsid w:val="00CF5B55"/>
    <w:rsid w:val="00CF5DE2"/>
    <w:rsid w:val="00CF6454"/>
    <w:rsid w:val="00CF65DC"/>
    <w:rsid w:val="00CF70D9"/>
    <w:rsid w:val="00CF711E"/>
    <w:rsid w:val="00CF7C1D"/>
    <w:rsid w:val="00CF7C99"/>
    <w:rsid w:val="00D00112"/>
    <w:rsid w:val="00D001CC"/>
    <w:rsid w:val="00D001D4"/>
    <w:rsid w:val="00D002DA"/>
    <w:rsid w:val="00D004FE"/>
    <w:rsid w:val="00D01A07"/>
    <w:rsid w:val="00D01AB6"/>
    <w:rsid w:val="00D02263"/>
    <w:rsid w:val="00D024A8"/>
    <w:rsid w:val="00D02DDC"/>
    <w:rsid w:val="00D02FDC"/>
    <w:rsid w:val="00D048B9"/>
    <w:rsid w:val="00D05113"/>
    <w:rsid w:val="00D05B94"/>
    <w:rsid w:val="00D05BFE"/>
    <w:rsid w:val="00D05FC8"/>
    <w:rsid w:val="00D062BE"/>
    <w:rsid w:val="00D06BB3"/>
    <w:rsid w:val="00D07873"/>
    <w:rsid w:val="00D07F85"/>
    <w:rsid w:val="00D10243"/>
    <w:rsid w:val="00D10388"/>
    <w:rsid w:val="00D10A7B"/>
    <w:rsid w:val="00D10D4F"/>
    <w:rsid w:val="00D1105E"/>
    <w:rsid w:val="00D11561"/>
    <w:rsid w:val="00D123B3"/>
    <w:rsid w:val="00D12F16"/>
    <w:rsid w:val="00D13D17"/>
    <w:rsid w:val="00D14058"/>
    <w:rsid w:val="00D1501F"/>
    <w:rsid w:val="00D15175"/>
    <w:rsid w:val="00D15EB3"/>
    <w:rsid w:val="00D16893"/>
    <w:rsid w:val="00D176CD"/>
    <w:rsid w:val="00D177BB"/>
    <w:rsid w:val="00D20116"/>
    <w:rsid w:val="00D2046E"/>
    <w:rsid w:val="00D20856"/>
    <w:rsid w:val="00D20C2C"/>
    <w:rsid w:val="00D21223"/>
    <w:rsid w:val="00D21A77"/>
    <w:rsid w:val="00D21FC1"/>
    <w:rsid w:val="00D22229"/>
    <w:rsid w:val="00D231C2"/>
    <w:rsid w:val="00D23492"/>
    <w:rsid w:val="00D2453F"/>
    <w:rsid w:val="00D2562E"/>
    <w:rsid w:val="00D25881"/>
    <w:rsid w:val="00D258D9"/>
    <w:rsid w:val="00D26E2D"/>
    <w:rsid w:val="00D27022"/>
    <w:rsid w:val="00D305AF"/>
    <w:rsid w:val="00D30A44"/>
    <w:rsid w:val="00D314E8"/>
    <w:rsid w:val="00D31CEB"/>
    <w:rsid w:val="00D34A55"/>
    <w:rsid w:val="00D3561C"/>
    <w:rsid w:val="00D36B89"/>
    <w:rsid w:val="00D370F1"/>
    <w:rsid w:val="00D37164"/>
    <w:rsid w:val="00D41B0E"/>
    <w:rsid w:val="00D425D8"/>
    <w:rsid w:val="00D42A66"/>
    <w:rsid w:val="00D4346B"/>
    <w:rsid w:val="00D4461A"/>
    <w:rsid w:val="00D451ED"/>
    <w:rsid w:val="00D457CF"/>
    <w:rsid w:val="00D45A5A"/>
    <w:rsid w:val="00D4625C"/>
    <w:rsid w:val="00D4694F"/>
    <w:rsid w:val="00D479DF"/>
    <w:rsid w:val="00D47D00"/>
    <w:rsid w:val="00D47D6C"/>
    <w:rsid w:val="00D47FB0"/>
    <w:rsid w:val="00D5099B"/>
    <w:rsid w:val="00D509B6"/>
    <w:rsid w:val="00D51C7A"/>
    <w:rsid w:val="00D531EE"/>
    <w:rsid w:val="00D536B6"/>
    <w:rsid w:val="00D536DD"/>
    <w:rsid w:val="00D54461"/>
    <w:rsid w:val="00D54C36"/>
    <w:rsid w:val="00D55259"/>
    <w:rsid w:val="00D56422"/>
    <w:rsid w:val="00D578D1"/>
    <w:rsid w:val="00D57FCC"/>
    <w:rsid w:val="00D6125D"/>
    <w:rsid w:val="00D61C52"/>
    <w:rsid w:val="00D62324"/>
    <w:rsid w:val="00D626D6"/>
    <w:rsid w:val="00D62FCB"/>
    <w:rsid w:val="00D63217"/>
    <w:rsid w:val="00D6357F"/>
    <w:rsid w:val="00D649BD"/>
    <w:rsid w:val="00D65B7A"/>
    <w:rsid w:val="00D66298"/>
    <w:rsid w:val="00D6666C"/>
    <w:rsid w:val="00D705AE"/>
    <w:rsid w:val="00D71BDF"/>
    <w:rsid w:val="00D7233B"/>
    <w:rsid w:val="00D72636"/>
    <w:rsid w:val="00D731B6"/>
    <w:rsid w:val="00D73704"/>
    <w:rsid w:val="00D73931"/>
    <w:rsid w:val="00D741E4"/>
    <w:rsid w:val="00D745AA"/>
    <w:rsid w:val="00D75416"/>
    <w:rsid w:val="00D76628"/>
    <w:rsid w:val="00D76D53"/>
    <w:rsid w:val="00D77C81"/>
    <w:rsid w:val="00D8086D"/>
    <w:rsid w:val="00D80F38"/>
    <w:rsid w:val="00D84648"/>
    <w:rsid w:val="00D847A8"/>
    <w:rsid w:val="00D84D5E"/>
    <w:rsid w:val="00D855FA"/>
    <w:rsid w:val="00D857EA"/>
    <w:rsid w:val="00D85B44"/>
    <w:rsid w:val="00D85BB2"/>
    <w:rsid w:val="00D867E3"/>
    <w:rsid w:val="00D86904"/>
    <w:rsid w:val="00D86BAF"/>
    <w:rsid w:val="00D903F1"/>
    <w:rsid w:val="00D9061F"/>
    <w:rsid w:val="00D91048"/>
    <w:rsid w:val="00D918B4"/>
    <w:rsid w:val="00D941BA"/>
    <w:rsid w:val="00D950D5"/>
    <w:rsid w:val="00D95BF9"/>
    <w:rsid w:val="00D9651D"/>
    <w:rsid w:val="00D9688D"/>
    <w:rsid w:val="00D96E4D"/>
    <w:rsid w:val="00D978DE"/>
    <w:rsid w:val="00DA03E9"/>
    <w:rsid w:val="00DA040D"/>
    <w:rsid w:val="00DA0FD4"/>
    <w:rsid w:val="00DA15BF"/>
    <w:rsid w:val="00DA1CFC"/>
    <w:rsid w:val="00DA267D"/>
    <w:rsid w:val="00DA28DB"/>
    <w:rsid w:val="00DA295E"/>
    <w:rsid w:val="00DA35BC"/>
    <w:rsid w:val="00DA3FEF"/>
    <w:rsid w:val="00DA4332"/>
    <w:rsid w:val="00DA527B"/>
    <w:rsid w:val="00DA5926"/>
    <w:rsid w:val="00DA5964"/>
    <w:rsid w:val="00DA637A"/>
    <w:rsid w:val="00DA6395"/>
    <w:rsid w:val="00DA6C91"/>
    <w:rsid w:val="00DA6F1C"/>
    <w:rsid w:val="00DA72E8"/>
    <w:rsid w:val="00DA7C63"/>
    <w:rsid w:val="00DA7F13"/>
    <w:rsid w:val="00DA7FB0"/>
    <w:rsid w:val="00DB0D0E"/>
    <w:rsid w:val="00DB1982"/>
    <w:rsid w:val="00DB1B31"/>
    <w:rsid w:val="00DB1C59"/>
    <w:rsid w:val="00DB20A0"/>
    <w:rsid w:val="00DB263E"/>
    <w:rsid w:val="00DB271D"/>
    <w:rsid w:val="00DB3FCC"/>
    <w:rsid w:val="00DB41AA"/>
    <w:rsid w:val="00DB420A"/>
    <w:rsid w:val="00DB4789"/>
    <w:rsid w:val="00DB653C"/>
    <w:rsid w:val="00DB65E2"/>
    <w:rsid w:val="00DB6845"/>
    <w:rsid w:val="00DB6F46"/>
    <w:rsid w:val="00DC0231"/>
    <w:rsid w:val="00DC039A"/>
    <w:rsid w:val="00DC042D"/>
    <w:rsid w:val="00DC0EF8"/>
    <w:rsid w:val="00DC128E"/>
    <w:rsid w:val="00DC1535"/>
    <w:rsid w:val="00DC1547"/>
    <w:rsid w:val="00DC1D46"/>
    <w:rsid w:val="00DC2B2F"/>
    <w:rsid w:val="00DC6A0F"/>
    <w:rsid w:val="00DC71D2"/>
    <w:rsid w:val="00DC7ADE"/>
    <w:rsid w:val="00DD0905"/>
    <w:rsid w:val="00DD0B21"/>
    <w:rsid w:val="00DD17D7"/>
    <w:rsid w:val="00DD1C49"/>
    <w:rsid w:val="00DD236A"/>
    <w:rsid w:val="00DD29BC"/>
    <w:rsid w:val="00DD2A10"/>
    <w:rsid w:val="00DD2E24"/>
    <w:rsid w:val="00DD33C5"/>
    <w:rsid w:val="00DD35AB"/>
    <w:rsid w:val="00DD3CC3"/>
    <w:rsid w:val="00DD5A2F"/>
    <w:rsid w:val="00DD62B6"/>
    <w:rsid w:val="00DD62F6"/>
    <w:rsid w:val="00DD660B"/>
    <w:rsid w:val="00DD6CFC"/>
    <w:rsid w:val="00DD7004"/>
    <w:rsid w:val="00DD793A"/>
    <w:rsid w:val="00DE0C7C"/>
    <w:rsid w:val="00DE11A5"/>
    <w:rsid w:val="00DE1D9A"/>
    <w:rsid w:val="00DE226A"/>
    <w:rsid w:val="00DE2782"/>
    <w:rsid w:val="00DE2C44"/>
    <w:rsid w:val="00DE3D43"/>
    <w:rsid w:val="00DE40EF"/>
    <w:rsid w:val="00DE4230"/>
    <w:rsid w:val="00DE5FF8"/>
    <w:rsid w:val="00DE66E4"/>
    <w:rsid w:val="00DE6BF6"/>
    <w:rsid w:val="00DE7250"/>
    <w:rsid w:val="00DF0A8C"/>
    <w:rsid w:val="00DF0B7B"/>
    <w:rsid w:val="00DF0D10"/>
    <w:rsid w:val="00DF2B08"/>
    <w:rsid w:val="00DF3198"/>
    <w:rsid w:val="00DF3963"/>
    <w:rsid w:val="00DF3F07"/>
    <w:rsid w:val="00DF5E13"/>
    <w:rsid w:val="00DF6971"/>
    <w:rsid w:val="00DF7BFC"/>
    <w:rsid w:val="00DF7CF1"/>
    <w:rsid w:val="00E014E8"/>
    <w:rsid w:val="00E01B06"/>
    <w:rsid w:val="00E01BFE"/>
    <w:rsid w:val="00E023DC"/>
    <w:rsid w:val="00E02476"/>
    <w:rsid w:val="00E02DE7"/>
    <w:rsid w:val="00E02F41"/>
    <w:rsid w:val="00E0382F"/>
    <w:rsid w:val="00E03BDA"/>
    <w:rsid w:val="00E03FD5"/>
    <w:rsid w:val="00E0499A"/>
    <w:rsid w:val="00E04A1B"/>
    <w:rsid w:val="00E06681"/>
    <w:rsid w:val="00E068B0"/>
    <w:rsid w:val="00E0767C"/>
    <w:rsid w:val="00E079A7"/>
    <w:rsid w:val="00E07C78"/>
    <w:rsid w:val="00E1019D"/>
    <w:rsid w:val="00E1059D"/>
    <w:rsid w:val="00E11153"/>
    <w:rsid w:val="00E11377"/>
    <w:rsid w:val="00E116BE"/>
    <w:rsid w:val="00E117C2"/>
    <w:rsid w:val="00E11BBB"/>
    <w:rsid w:val="00E11FE8"/>
    <w:rsid w:val="00E13079"/>
    <w:rsid w:val="00E13210"/>
    <w:rsid w:val="00E135D5"/>
    <w:rsid w:val="00E140BB"/>
    <w:rsid w:val="00E149BE"/>
    <w:rsid w:val="00E158DB"/>
    <w:rsid w:val="00E1591D"/>
    <w:rsid w:val="00E15BA1"/>
    <w:rsid w:val="00E15F90"/>
    <w:rsid w:val="00E16065"/>
    <w:rsid w:val="00E1677A"/>
    <w:rsid w:val="00E20915"/>
    <w:rsid w:val="00E2131F"/>
    <w:rsid w:val="00E214FE"/>
    <w:rsid w:val="00E222DE"/>
    <w:rsid w:val="00E22E1C"/>
    <w:rsid w:val="00E230DD"/>
    <w:rsid w:val="00E23109"/>
    <w:rsid w:val="00E235F6"/>
    <w:rsid w:val="00E238A9"/>
    <w:rsid w:val="00E23EB6"/>
    <w:rsid w:val="00E241F9"/>
    <w:rsid w:val="00E24616"/>
    <w:rsid w:val="00E2488A"/>
    <w:rsid w:val="00E2492C"/>
    <w:rsid w:val="00E25D26"/>
    <w:rsid w:val="00E26167"/>
    <w:rsid w:val="00E261C5"/>
    <w:rsid w:val="00E26228"/>
    <w:rsid w:val="00E2663A"/>
    <w:rsid w:val="00E30FBB"/>
    <w:rsid w:val="00E31541"/>
    <w:rsid w:val="00E3494E"/>
    <w:rsid w:val="00E373E9"/>
    <w:rsid w:val="00E37410"/>
    <w:rsid w:val="00E41A87"/>
    <w:rsid w:val="00E41F10"/>
    <w:rsid w:val="00E42858"/>
    <w:rsid w:val="00E42B1E"/>
    <w:rsid w:val="00E45DDD"/>
    <w:rsid w:val="00E45FA2"/>
    <w:rsid w:val="00E46348"/>
    <w:rsid w:val="00E464E9"/>
    <w:rsid w:val="00E46ADD"/>
    <w:rsid w:val="00E46DF9"/>
    <w:rsid w:val="00E477E2"/>
    <w:rsid w:val="00E50302"/>
    <w:rsid w:val="00E506EC"/>
    <w:rsid w:val="00E50762"/>
    <w:rsid w:val="00E51C99"/>
    <w:rsid w:val="00E51E56"/>
    <w:rsid w:val="00E525C7"/>
    <w:rsid w:val="00E52C5C"/>
    <w:rsid w:val="00E53922"/>
    <w:rsid w:val="00E54C7C"/>
    <w:rsid w:val="00E55297"/>
    <w:rsid w:val="00E5558A"/>
    <w:rsid w:val="00E555DA"/>
    <w:rsid w:val="00E55D11"/>
    <w:rsid w:val="00E56036"/>
    <w:rsid w:val="00E5613C"/>
    <w:rsid w:val="00E56F53"/>
    <w:rsid w:val="00E57C87"/>
    <w:rsid w:val="00E57EF0"/>
    <w:rsid w:val="00E60943"/>
    <w:rsid w:val="00E61ABC"/>
    <w:rsid w:val="00E62620"/>
    <w:rsid w:val="00E631C5"/>
    <w:rsid w:val="00E63E2E"/>
    <w:rsid w:val="00E6455E"/>
    <w:rsid w:val="00E64930"/>
    <w:rsid w:val="00E651CE"/>
    <w:rsid w:val="00E657C6"/>
    <w:rsid w:val="00E65887"/>
    <w:rsid w:val="00E66A7E"/>
    <w:rsid w:val="00E66ADF"/>
    <w:rsid w:val="00E67459"/>
    <w:rsid w:val="00E67601"/>
    <w:rsid w:val="00E67718"/>
    <w:rsid w:val="00E67B98"/>
    <w:rsid w:val="00E67DAD"/>
    <w:rsid w:val="00E703F4"/>
    <w:rsid w:val="00E70E71"/>
    <w:rsid w:val="00E710C2"/>
    <w:rsid w:val="00E71219"/>
    <w:rsid w:val="00E7184F"/>
    <w:rsid w:val="00E72004"/>
    <w:rsid w:val="00E72600"/>
    <w:rsid w:val="00E72EAC"/>
    <w:rsid w:val="00E737CD"/>
    <w:rsid w:val="00E742D9"/>
    <w:rsid w:val="00E7569B"/>
    <w:rsid w:val="00E760DF"/>
    <w:rsid w:val="00E773EB"/>
    <w:rsid w:val="00E775B6"/>
    <w:rsid w:val="00E776C1"/>
    <w:rsid w:val="00E7774E"/>
    <w:rsid w:val="00E804DB"/>
    <w:rsid w:val="00E8069F"/>
    <w:rsid w:val="00E81150"/>
    <w:rsid w:val="00E81C6F"/>
    <w:rsid w:val="00E8249E"/>
    <w:rsid w:val="00E82E80"/>
    <w:rsid w:val="00E8331F"/>
    <w:rsid w:val="00E83A6B"/>
    <w:rsid w:val="00E83E86"/>
    <w:rsid w:val="00E84875"/>
    <w:rsid w:val="00E84B60"/>
    <w:rsid w:val="00E84F99"/>
    <w:rsid w:val="00E85793"/>
    <w:rsid w:val="00E85B94"/>
    <w:rsid w:val="00E86AD3"/>
    <w:rsid w:val="00E90DE2"/>
    <w:rsid w:val="00E91309"/>
    <w:rsid w:val="00E91D46"/>
    <w:rsid w:val="00E9272A"/>
    <w:rsid w:val="00E92B5D"/>
    <w:rsid w:val="00E93132"/>
    <w:rsid w:val="00E93DC8"/>
    <w:rsid w:val="00E95170"/>
    <w:rsid w:val="00E955C8"/>
    <w:rsid w:val="00E9570F"/>
    <w:rsid w:val="00E9588E"/>
    <w:rsid w:val="00E95A50"/>
    <w:rsid w:val="00E96B75"/>
    <w:rsid w:val="00E96E95"/>
    <w:rsid w:val="00E97A4F"/>
    <w:rsid w:val="00EA0BFB"/>
    <w:rsid w:val="00EA1E70"/>
    <w:rsid w:val="00EA1F71"/>
    <w:rsid w:val="00EA2152"/>
    <w:rsid w:val="00EA2DDB"/>
    <w:rsid w:val="00EA32D0"/>
    <w:rsid w:val="00EA44B4"/>
    <w:rsid w:val="00EA674D"/>
    <w:rsid w:val="00EA7934"/>
    <w:rsid w:val="00EA7DA7"/>
    <w:rsid w:val="00EB0AE0"/>
    <w:rsid w:val="00EB17B7"/>
    <w:rsid w:val="00EB1829"/>
    <w:rsid w:val="00EB2B25"/>
    <w:rsid w:val="00EB3A43"/>
    <w:rsid w:val="00EB59E5"/>
    <w:rsid w:val="00EB6B63"/>
    <w:rsid w:val="00EB6CBE"/>
    <w:rsid w:val="00EB7F69"/>
    <w:rsid w:val="00EC083F"/>
    <w:rsid w:val="00EC0B89"/>
    <w:rsid w:val="00EC29B7"/>
    <w:rsid w:val="00EC37AE"/>
    <w:rsid w:val="00EC3A39"/>
    <w:rsid w:val="00EC501D"/>
    <w:rsid w:val="00EC6E52"/>
    <w:rsid w:val="00ED1030"/>
    <w:rsid w:val="00ED1B4B"/>
    <w:rsid w:val="00ED1EB8"/>
    <w:rsid w:val="00ED209A"/>
    <w:rsid w:val="00ED4635"/>
    <w:rsid w:val="00ED50DA"/>
    <w:rsid w:val="00ED55A5"/>
    <w:rsid w:val="00ED6FDC"/>
    <w:rsid w:val="00ED7237"/>
    <w:rsid w:val="00ED78A5"/>
    <w:rsid w:val="00EE1585"/>
    <w:rsid w:val="00EE1669"/>
    <w:rsid w:val="00EE295B"/>
    <w:rsid w:val="00EE323C"/>
    <w:rsid w:val="00EE3E3E"/>
    <w:rsid w:val="00EE5798"/>
    <w:rsid w:val="00EE6CA7"/>
    <w:rsid w:val="00EE72F8"/>
    <w:rsid w:val="00EF07AF"/>
    <w:rsid w:val="00EF0A54"/>
    <w:rsid w:val="00EF1DF7"/>
    <w:rsid w:val="00EF2E87"/>
    <w:rsid w:val="00EF3645"/>
    <w:rsid w:val="00EF493D"/>
    <w:rsid w:val="00EF5088"/>
    <w:rsid w:val="00EF5ABF"/>
    <w:rsid w:val="00EF60A8"/>
    <w:rsid w:val="00EF6D83"/>
    <w:rsid w:val="00EF7DDA"/>
    <w:rsid w:val="00F00DCE"/>
    <w:rsid w:val="00F0173B"/>
    <w:rsid w:val="00F022EF"/>
    <w:rsid w:val="00F02B9D"/>
    <w:rsid w:val="00F02C1C"/>
    <w:rsid w:val="00F04C4B"/>
    <w:rsid w:val="00F0599B"/>
    <w:rsid w:val="00F059E1"/>
    <w:rsid w:val="00F065F5"/>
    <w:rsid w:val="00F068B9"/>
    <w:rsid w:val="00F06A58"/>
    <w:rsid w:val="00F0705E"/>
    <w:rsid w:val="00F073FF"/>
    <w:rsid w:val="00F079EC"/>
    <w:rsid w:val="00F07D49"/>
    <w:rsid w:val="00F07D57"/>
    <w:rsid w:val="00F07E44"/>
    <w:rsid w:val="00F10134"/>
    <w:rsid w:val="00F10DAC"/>
    <w:rsid w:val="00F113A2"/>
    <w:rsid w:val="00F11926"/>
    <w:rsid w:val="00F1252F"/>
    <w:rsid w:val="00F129C3"/>
    <w:rsid w:val="00F12A0E"/>
    <w:rsid w:val="00F12EA3"/>
    <w:rsid w:val="00F13517"/>
    <w:rsid w:val="00F13607"/>
    <w:rsid w:val="00F13662"/>
    <w:rsid w:val="00F13B3A"/>
    <w:rsid w:val="00F15825"/>
    <w:rsid w:val="00F163A5"/>
    <w:rsid w:val="00F16445"/>
    <w:rsid w:val="00F17102"/>
    <w:rsid w:val="00F1736E"/>
    <w:rsid w:val="00F1739B"/>
    <w:rsid w:val="00F17C86"/>
    <w:rsid w:val="00F20598"/>
    <w:rsid w:val="00F20D25"/>
    <w:rsid w:val="00F234F0"/>
    <w:rsid w:val="00F239E6"/>
    <w:rsid w:val="00F23E2A"/>
    <w:rsid w:val="00F2523F"/>
    <w:rsid w:val="00F25336"/>
    <w:rsid w:val="00F254A1"/>
    <w:rsid w:val="00F25A7B"/>
    <w:rsid w:val="00F26CBB"/>
    <w:rsid w:val="00F26D4E"/>
    <w:rsid w:val="00F27114"/>
    <w:rsid w:val="00F31658"/>
    <w:rsid w:val="00F321DD"/>
    <w:rsid w:val="00F32488"/>
    <w:rsid w:val="00F3249D"/>
    <w:rsid w:val="00F32609"/>
    <w:rsid w:val="00F33341"/>
    <w:rsid w:val="00F33531"/>
    <w:rsid w:val="00F34F56"/>
    <w:rsid w:val="00F35346"/>
    <w:rsid w:val="00F354B4"/>
    <w:rsid w:val="00F35614"/>
    <w:rsid w:val="00F370AE"/>
    <w:rsid w:val="00F374CF"/>
    <w:rsid w:val="00F40403"/>
    <w:rsid w:val="00F41D37"/>
    <w:rsid w:val="00F4226D"/>
    <w:rsid w:val="00F44A6B"/>
    <w:rsid w:val="00F44AA9"/>
    <w:rsid w:val="00F44EA5"/>
    <w:rsid w:val="00F45070"/>
    <w:rsid w:val="00F462BE"/>
    <w:rsid w:val="00F46F18"/>
    <w:rsid w:val="00F505B2"/>
    <w:rsid w:val="00F50A7F"/>
    <w:rsid w:val="00F51574"/>
    <w:rsid w:val="00F51DF9"/>
    <w:rsid w:val="00F52484"/>
    <w:rsid w:val="00F526C2"/>
    <w:rsid w:val="00F52C49"/>
    <w:rsid w:val="00F531D2"/>
    <w:rsid w:val="00F5321F"/>
    <w:rsid w:val="00F53B6E"/>
    <w:rsid w:val="00F56237"/>
    <w:rsid w:val="00F5675B"/>
    <w:rsid w:val="00F577C7"/>
    <w:rsid w:val="00F60389"/>
    <w:rsid w:val="00F60596"/>
    <w:rsid w:val="00F63B18"/>
    <w:rsid w:val="00F63DEE"/>
    <w:rsid w:val="00F656A3"/>
    <w:rsid w:val="00F65B58"/>
    <w:rsid w:val="00F6642D"/>
    <w:rsid w:val="00F66699"/>
    <w:rsid w:val="00F66C0A"/>
    <w:rsid w:val="00F66F63"/>
    <w:rsid w:val="00F705FE"/>
    <w:rsid w:val="00F706BE"/>
    <w:rsid w:val="00F7074A"/>
    <w:rsid w:val="00F707A5"/>
    <w:rsid w:val="00F708CF"/>
    <w:rsid w:val="00F70C6E"/>
    <w:rsid w:val="00F71675"/>
    <w:rsid w:val="00F71B50"/>
    <w:rsid w:val="00F71C3F"/>
    <w:rsid w:val="00F724B0"/>
    <w:rsid w:val="00F732C0"/>
    <w:rsid w:val="00F73BBD"/>
    <w:rsid w:val="00F74AFB"/>
    <w:rsid w:val="00F74EB1"/>
    <w:rsid w:val="00F74F34"/>
    <w:rsid w:val="00F76069"/>
    <w:rsid w:val="00F77A6C"/>
    <w:rsid w:val="00F80388"/>
    <w:rsid w:val="00F8042C"/>
    <w:rsid w:val="00F80F2E"/>
    <w:rsid w:val="00F8190E"/>
    <w:rsid w:val="00F82144"/>
    <w:rsid w:val="00F8341F"/>
    <w:rsid w:val="00F83BAE"/>
    <w:rsid w:val="00F84A8F"/>
    <w:rsid w:val="00F84AB9"/>
    <w:rsid w:val="00F85110"/>
    <w:rsid w:val="00F85928"/>
    <w:rsid w:val="00F8644A"/>
    <w:rsid w:val="00F90609"/>
    <w:rsid w:val="00F90DC0"/>
    <w:rsid w:val="00F919AC"/>
    <w:rsid w:val="00F92675"/>
    <w:rsid w:val="00F94199"/>
    <w:rsid w:val="00F94F6A"/>
    <w:rsid w:val="00F9560B"/>
    <w:rsid w:val="00F95ED7"/>
    <w:rsid w:val="00F96B8F"/>
    <w:rsid w:val="00F97375"/>
    <w:rsid w:val="00F97585"/>
    <w:rsid w:val="00F975F5"/>
    <w:rsid w:val="00FA1DC4"/>
    <w:rsid w:val="00FA474F"/>
    <w:rsid w:val="00FA47BB"/>
    <w:rsid w:val="00FA4D90"/>
    <w:rsid w:val="00FA55DF"/>
    <w:rsid w:val="00FA5D8C"/>
    <w:rsid w:val="00FA64E8"/>
    <w:rsid w:val="00FA65B8"/>
    <w:rsid w:val="00FA73FC"/>
    <w:rsid w:val="00FA772C"/>
    <w:rsid w:val="00FA7815"/>
    <w:rsid w:val="00FB130C"/>
    <w:rsid w:val="00FB1DF1"/>
    <w:rsid w:val="00FB29AE"/>
    <w:rsid w:val="00FB4494"/>
    <w:rsid w:val="00FB4AFA"/>
    <w:rsid w:val="00FB4E88"/>
    <w:rsid w:val="00FB562B"/>
    <w:rsid w:val="00FB5EC2"/>
    <w:rsid w:val="00FB6DC2"/>
    <w:rsid w:val="00FB6F75"/>
    <w:rsid w:val="00FB7518"/>
    <w:rsid w:val="00FB7532"/>
    <w:rsid w:val="00FC0B26"/>
    <w:rsid w:val="00FC3FEB"/>
    <w:rsid w:val="00FC441E"/>
    <w:rsid w:val="00FC4E64"/>
    <w:rsid w:val="00FC51D3"/>
    <w:rsid w:val="00FC56C0"/>
    <w:rsid w:val="00FC6233"/>
    <w:rsid w:val="00FC6380"/>
    <w:rsid w:val="00FC7A2C"/>
    <w:rsid w:val="00FC7D3B"/>
    <w:rsid w:val="00FC7F2A"/>
    <w:rsid w:val="00FD0572"/>
    <w:rsid w:val="00FD06F4"/>
    <w:rsid w:val="00FD0979"/>
    <w:rsid w:val="00FD1074"/>
    <w:rsid w:val="00FD27F0"/>
    <w:rsid w:val="00FD3EC3"/>
    <w:rsid w:val="00FD402A"/>
    <w:rsid w:val="00FD41FA"/>
    <w:rsid w:val="00FD4236"/>
    <w:rsid w:val="00FD4A2B"/>
    <w:rsid w:val="00FD6EEE"/>
    <w:rsid w:val="00FD74F8"/>
    <w:rsid w:val="00FD7BC8"/>
    <w:rsid w:val="00FD7D3C"/>
    <w:rsid w:val="00FD7D92"/>
    <w:rsid w:val="00FE1D1F"/>
    <w:rsid w:val="00FE2324"/>
    <w:rsid w:val="00FE24E0"/>
    <w:rsid w:val="00FE28CA"/>
    <w:rsid w:val="00FE3512"/>
    <w:rsid w:val="00FE61B0"/>
    <w:rsid w:val="00FE6575"/>
    <w:rsid w:val="00FE7B99"/>
    <w:rsid w:val="00FF088A"/>
    <w:rsid w:val="00FF1268"/>
    <w:rsid w:val="00FF133C"/>
    <w:rsid w:val="00FF18D1"/>
    <w:rsid w:val="00FF19EE"/>
    <w:rsid w:val="00FF1B68"/>
    <w:rsid w:val="00FF1DEC"/>
    <w:rsid w:val="00FF32EE"/>
    <w:rsid w:val="00FF4268"/>
    <w:rsid w:val="00FF7C94"/>
    <w:rsid w:val="016D72B8"/>
    <w:rsid w:val="02F71F39"/>
    <w:rsid w:val="04226617"/>
    <w:rsid w:val="05C30230"/>
    <w:rsid w:val="05E802B2"/>
    <w:rsid w:val="06132AD7"/>
    <w:rsid w:val="06273BEC"/>
    <w:rsid w:val="07C67531"/>
    <w:rsid w:val="083D7BD1"/>
    <w:rsid w:val="095B12B3"/>
    <w:rsid w:val="09DC0C8E"/>
    <w:rsid w:val="0A3E72D1"/>
    <w:rsid w:val="0A40746F"/>
    <w:rsid w:val="0BB5538C"/>
    <w:rsid w:val="0BDD7448"/>
    <w:rsid w:val="0C0D512F"/>
    <w:rsid w:val="0C4D6F8D"/>
    <w:rsid w:val="0CE70161"/>
    <w:rsid w:val="0DFB6E97"/>
    <w:rsid w:val="0EB9334C"/>
    <w:rsid w:val="107D37B5"/>
    <w:rsid w:val="1095020C"/>
    <w:rsid w:val="111365EE"/>
    <w:rsid w:val="12211C07"/>
    <w:rsid w:val="12287226"/>
    <w:rsid w:val="12552E1A"/>
    <w:rsid w:val="12D822E6"/>
    <w:rsid w:val="13D15126"/>
    <w:rsid w:val="14327E28"/>
    <w:rsid w:val="1437235A"/>
    <w:rsid w:val="14EE0743"/>
    <w:rsid w:val="153D32B2"/>
    <w:rsid w:val="15A50084"/>
    <w:rsid w:val="16501073"/>
    <w:rsid w:val="165A7FBF"/>
    <w:rsid w:val="16BB4159"/>
    <w:rsid w:val="174C67F6"/>
    <w:rsid w:val="1831416F"/>
    <w:rsid w:val="183A5EF9"/>
    <w:rsid w:val="19720CC7"/>
    <w:rsid w:val="1A1B311E"/>
    <w:rsid w:val="1A6E17D9"/>
    <w:rsid w:val="1B980E7F"/>
    <w:rsid w:val="1C0A5931"/>
    <w:rsid w:val="1C1229AF"/>
    <w:rsid w:val="1E664522"/>
    <w:rsid w:val="1EFD7DE0"/>
    <w:rsid w:val="1F5575C1"/>
    <w:rsid w:val="20597105"/>
    <w:rsid w:val="209E394C"/>
    <w:rsid w:val="20AC2D10"/>
    <w:rsid w:val="20C0361E"/>
    <w:rsid w:val="21025026"/>
    <w:rsid w:val="21413E90"/>
    <w:rsid w:val="214D1DF8"/>
    <w:rsid w:val="22C02AA3"/>
    <w:rsid w:val="22FE3F94"/>
    <w:rsid w:val="236573E4"/>
    <w:rsid w:val="241149A6"/>
    <w:rsid w:val="24D57AD6"/>
    <w:rsid w:val="25DA1C89"/>
    <w:rsid w:val="281029C9"/>
    <w:rsid w:val="28AB629E"/>
    <w:rsid w:val="29115E06"/>
    <w:rsid w:val="2AF972D0"/>
    <w:rsid w:val="2B990D07"/>
    <w:rsid w:val="2C5146F3"/>
    <w:rsid w:val="2C836DEC"/>
    <w:rsid w:val="2D95262C"/>
    <w:rsid w:val="2DBE4083"/>
    <w:rsid w:val="2EB61207"/>
    <w:rsid w:val="30203C2D"/>
    <w:rsid w:val="328255D6"/>
    <w:rsid w:val="34E534E2"/>
    <w:rsid w:val="351719D8"/>
    <w:rsid w:val="36155022"/>
    <w:rsid w:val="366E2D7F"/>
    <w:rsid w:val="367B530C"/>
    <w:rsid w:val="37D1089B"/>
    <w:rsid w:val="396B536B"/>
    <w:rsid w:val="39777F17"/>
    <w:rsid w:val="39C72876"/>
    <w:rsid w:val="39DF0555"/>
    <w:rsid w:val="3B3C1D91"/>
    <w:rsid w:val="3B696D8F"/>
    <w:rsid w:val="3E1C46DE"/>
    <w:rsid w:val="3E782C4D"/>
    <w:rsid w:val="3E7D5116"/>
    <w:rsid w:val="3F591E5E"/>
    <w:rsid w:val="405E0D86"/>
    <w:rsid w:val="40DD1559"/>
    <w:rsid w:val="40F956A6"/>
    <w:rsid w:val="42955054"/>
    <w:rsid w:val="42EE0B0F"/>
    <w:rsid w:val="4316534F"/>
    <w:rsid w:val="43744105"/>
    <w:rsid w:val="45166290"/>
    <w:rsid w:val="45312A7D"/>
    <w:rsid w:val="45423ABB"/>
    <w:rsid w:val="459D59BA"/>
    <w:rsid w:val="45D71D2E"/>
    <w:rsid w:val="49132400"/>
    <w:rsid w:val="49293269"/>
    <w:rsid w:val="4B347454"/>
    <w:rsid w:val="4C37302E"/>
    <w:rsid w:val="4D893851"/>
    <w:rsid w:val="4DCA05DB"/>
    <w:rsid w:val="4DD643FC"/>
    <w:rsid w:val="4EA95EB4"/>
    <w:rsid w:val="4F136E54"/>
    <w:rsid w:val="4F824D7E"/>
    <w:rsid w:val="4F9613DC"/>
    <w:rsid w:val="4FAC080C"/>
    <w:rsid w:val="50134089"/>
    <w:rsid w:val="508A11AF"/>
    <w:rsid w:val="50D72EE4"/>
    <w:rsid w:val="51B344A4"/>
    <w:rsid w:val="51C212F0"/>
    <w:rsid w:val="52F04AA6"/>
    <w:rsid w:val="540C60D1"/>
    <w:rsid w:val="54687E84"/>
    <w:rsid w:val="549C36EE"/>
    <w:rsid w:val="562D652E"/>
    <w:rsid w:val="56A43C65"/>
    <w:rsid w:val="582A73EF"/>
    <w:rsid w:val="58770F1C"/>
    <w:rsid w:val="5891718E"/>
    <w:rsid w:val="58B60765"/>
    <w:rsid w:val="591C23F8"/>
    <w:rsid w:val="59DD74BB"/>
    <w:rsid w:val="5B3C7A8D"/>
    <w:rsid w:val="5BE95805"/>
    <w:rsid w:val="5C8276A5"/>
    <w:rsid w:val="5C886625"/>
    <w:rsid w:val="5D6D76DB"/>
    <w:rsid w:val="5D7B24C3"/>
    <w:rsid w:val="5F117F7C"/>
    <w:rsid w:val="60337AA7"/>
    <w:rsid w:val="60AF592A"/>
    <w:rsid w:val="60D43C6E"/>
    <w:rsid w:val="618D327F"/>
    <w:rsid w:val="61A5247D"/>
    <w:rsid w:val="61A75155"/>
    <w:rsid w:val="61F72502"/>
    <w:rsid w:val="621F2464"/>
    <w:rsid w:val="6229065B"/>
    <w:rsid w:val="62B62F9F"/>
    <w:rsid w:val="639548B8"/>
    <w:rsid w:val="63980443"/>
    <w:rsid w:val="646442A1"/>
    <w:rsid w:val="64C845C6"/>
    <w:rsid w:val="657B3329"/>
    <w:rsid w:val="69397463"/>
    <w:rsid w:val="6B1F31CF"/>
    <w:rsid w:val="6B2218E4"/>
    <w:rsid w:val="6B6F1456"/>
    <w:rsid w:val="6BFB05F2"/>
    <w:rsid w:val="6C7A3328"/>
    <w:rsid w:val="6CA849A9"/>
    <w:rsid w:val="6D0F6A38"/>
    <w:rsid w:val="6D9D1E69"/>
    <w:rsid w:val="6DB44503"/>
    <w:rsid w:val="6DFC2CA2"/>
    <w:rsid w:val="6E0E5A3E"/>
    <w:rsid w:val="6E8D5E4E"/>
    <w:rsid w:val="6ECB52A4"/>
    <w:rsid w:val="6F0D2199"/>
    <w:rsid w:val="6F8F5B1E"/>
    <w:rsid w:val="6FAD74D8"/>
    <w:rsid w:val="6FE46D04"/>
    <w:rsid w:val="710E5564"/>
    <w:rsid w:val="71AD4298"/>
    <w:rsid w:val="71D15A32"/>
    <w:rsid w:val="72867925"/>
    <w:rsid w:val="72DB18FF"/>
    <w:rsid w:val="72DE1525"/>
    <w:rsid w:val="730C130B"/>
    <w:rsid w:val="73B34FC4"/>
    <w:rsid w:val="740E11C1"/>
    <w:rsid w:val="74B75E27"/>
    <w:rsid w:val="75CD54D4"/>
    <w:rsid w:val="799E680F"/>
    <w:rsid w:val="7AD93877"/>
    <w:rsid w:val="7B0119DA"/>
    <w:rsid w:val="7B374C19"/>
    <w:rsid w:val="7BFE975B"/>
    <w:rsid w:val="7C5E4A19"/>
    <w:rsid w:val="7CB15B29"/>
    <w:rsid w:val="7D376822"/>
    <w:rsid w:val="7FDD4B68"/>
    <w:rsid w:val="EFFDF5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qFormat="1"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640" w:firstLineChars="200"/>
      <w:jc w:val="both"/>
    </w:pPr>
    <w:rPr>
      <w:rFonts w:ascii="Times New Roman" w:hAnsi="Times New Roman" w:eastAsia="仿宋_GB2312" w:cs="Times New Roman"/>
      <w:spacing w:val="-6"/>
      <w:kern w:val="2"/>
      <w:sz w:val="32"/>
      <w:lang w:val="en-US" w:eastAsia="zh-CN" w:bidi="ar-SA"/>
    </w:rPr>
  </w:style>
  <w:style w:type="paragraph" w:styleId="2">
    <w:name w:val="heading 1"/>
    <w:basedOn w:val="1"/>
    <w:next w:val="1"/>
    <w:link w:val="117"/>
    <w:qFormat/>
    <w:uiPriority w:val="9"/>
    <w:pPr>
      <w:ind w:firstLine="0" w:firstLineChars="0"/>
      <w:jc w:val="center"/>
      <w:textAlignment w:val="center"/>
      <w:outlineLvl w:val="0"/>
    </w:pPr>
    <w:rPr>
      <w:rFonts w:ascii="方正小标宋简体" w:hAnsi="方正小标宋简体" w:eastAsia="方正小标宋简体" w:cs="方正小标宋简体"/>
      <w:spacing w:val="0"/>
      <w:sz w:val="44"/>
      <w:szCs w:val="44"/>
      <w14:ligatures w14:val="standardContextual"/>
    </w:rPr>
  </w:style>
  <w:style w:type="paragraph" w:styleId="3">
    <w:name w:val="heading 2"/>
    <w:basedOn w:val="1"/>
    <w:next w:val="1"/>
    <w:link w:val="51"/>
    <w:unhideWhenUsed/>
    <w:qFormat/>
    <w:uiPriority w:val="0"/>
    <w:pPr>
      <w:numPr>
        <w:ilvl w:val="1"/>
        <w:numId w:val="1"/>
      </w:numPr>
      <w:jc w:val="center"/>
      <w:outlineLvl w:val="1"/>
    </w:pPr>
    <w:rPr>
      <w:rFonts w:eastAsia="黑体" w:cs="宋体"/>
      <w:bCs/>
      <w:szCs w:val="32"/>
    </w:rPr>
  </w:style>
  <w:style w:type="paragraph" w:styleId="4">
    <w:name w:val="heading 3"/>
    <w:basedOn w:val="1"/>
    <w:next w:val="1"/>
    <w:link w:val="43"/>
    <w:unhideWhenUsed/>
    <w:qFormat/>
    <w:uiPriority w:val="0"/>
    <w:pPr>
      <w:numPr>
        <w:ilvl w:val="2"/>
        <w:numId w:val="1"/>
      </w:numPr>
      <w:tabs>
        <w:tab w:val="left" w:pos="420"/>
      </w:tabs>
      <w:ind w:firstLine="0" w:firstLineChars="0"/>
      <w:outlineLvl w:val="2"/>
    </w:pPr>
    <w:rPr>
      <w:rFonts w:ascii="楷体_GB2312" w:hAnsi="楷体_GB2312" w:eastAsia="楷体_GB2312" w:cs="楷体_GB2312"/>
      <w:spacing w:val="0"/>
      <w:szCs w:val="32"/>
    </w:rPr>
  </w:style>
  <w:style w:type="paragraph" w:styleId="5">
    <w:name w:val="heading 4"/>
    <w:basedOn w:val="1"/>
    <w:next w:val="1"/>
    <w:link w:val="60"/>
    <w:semiHidden/>
    <w:unhideWhenUsed/>
    <w:qFormat/>
    <w:uiPriority w:val="9"/>
    <w:pPr>
      <w:keepNext/>
      <w:keepLines/>
      <w:spacing w:before="280" w:after="290" w:line="376" w:lineRule="auto"/>
      <w:outlineLvl w:val="3"/>
    </w:pPr>
    <w:rPr>
      <w:rFonts w:ascii="宋体" w:hAnsi="宋体" w:eastAsia="宋体" w:cs="宋体"/>
      <w:b/>
      <w:bCs/>
      <w:sz w:val="28"/>
      <w:szCs w:val="28"/>
    </w:rPr>
  </w:style>
  <w:style w:type="paragraph" w:styleId="6">
    <w:name w:val="heading 5"/>
    <w:basedOn w:val="1"/>
    <w:next w:val="1"/>
    <w:link w:val="191"/>
    <w:semiHidden/>
    <w:unhideWhenUsed/>
    <w:qFormat/>
    <w:uiPriority w:val="9"/>
    <w:pPr>
      <w:keepNext/>
      <w:keepLines/>
      <w:spacing w:before="80" w:after="40" w:line="278" w:lineRule="auto"/>
      <w:ind w:firstLine="0" w:firstLineChars="0"/>
      <w:jc w:val="left"/>
      <w:outlineLvl w:val="4"/>
    </w:pPr>
    <w:rPr>
      <w:rFonts w:ascii="宋体" w:hAnsi="宋体" w:eastAsia="宋体" w:cs="宋体"/>
      <w:color w:val="2E75B6" w:themeColor="accent1" w:themeShade="BF"/>
      <w:spacing w:val="0"/>
      <w:sz w:val="24"/>
      <w:szCs w:val="24"/>
      <w14:ligatures w14:val="standardContextual"/>
    </w:rPr>
  </w:style>
  <w:style w:type="paragraph" w:styleId="7">
    <w:name w:val="heading 6"/>
    <w:basedOn w:val="1"/>
    <w:next w:val="1"/>
    <w:link w:val="192"/>
    <w:semiHidden/>
    <w:unhideWhenUsed/>
    <w:qFormat/>
    <w:uiPriority w:val="9"/>
    <w:pPr>
      <w:keepNext/>
      <w:keepLines/>
      <w:spacing w:before="40" w:line="278" w:lineRule="auto"/>
      <w:ind w:firstLine="0" w:firstLineChars="0"/>
      <w:jc w:val="left"/>
      <w:outlineLvl w:val="5"/>
    </w:pPr>
    <w:rPr>
      <w:rFonts w:ascii="宋体" w:hAnsi="宋体" w:eastAsia="宋体" w:cs="宋体"/>
      <w:b/>
      <w:bCs/>
      <w:color w:val="2E75B6" w:themeColor="accent1" w:themeShade="BF"/>
      <w:spacing w:val="0"/>
      <w:sz w:val="22"/>
      <w:szCs w:val="24"/>
      <w14:ligatures w14:val="standardContextual"/>
    </w:rPr>
  </w:style>
  <w:style w:type="paragraph" w:styleId="8">
    <w:name w:val="heading 7"/>
    <w:basedOn w:val="1"/>
    <w:next w:val="1"/>
    <w:link w:val="193"/>
    <w:semiHidden/>
    <w:unhideWhenUsed/>
    <w:qFormat/>
    <w:uiPriority w:val="9"/>
    <w:pPr>
      <w:keepNext/>
      <w:keepLines/>
      <w:spacing w:before="40" w:line="278" w:lineRule="auto"/>
      <w:ind w:firstLine="0" w:firstLineChars="0"/>
      <w:jc w:val="left"/>
      <w:outlineLvl w:val="6"/>
    </w:pPr>
    <w:rPr>
      <w:rFonts w:ascii="宋体" w:hAnsi="宋体" w:eastAsia="宋体" w:cs="宋体"/>
      <w:b/>
      <w:bCs/>
      <w:color w:val="595959" w:themeColor="text1" w:themeTint="A6"/>
      <w:spacing w:val="0"/>
      <w:sz w:val="2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194"/>
    <w:semiHidden/>
    <w:unhideWhenUsed/>
    <w:qFormat/>
    <w:uiPriority w:val="9"/>
    <w:pPr>
      <w:keepNext/>
      <w:keepLines/>
      <w:spacing w:line="278" w:lineRule="auto"/>
      <w:ind w:firstLine="0" w:firstLineChars="0"/>
      <w:jc w:val="left"/>
      <w:outlineLvl w:val="7"/>
    </w:pPr>
    <w:rPr>
      <w:rFonts w:ascii="宋体" w:hAnsi="宋体" w:eastAsia="宋体" w:cs="宋体"/>
      <w:color w:val="595959" w:themeColor="text1" w:themeTint="A6"/>
      <w:spacing w:val="0"/>
      <w:sz w:val="2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195"/>
    <w:semiHidden/>
    <w:unhideWhenUsed/>
    <w:qFormat/>
    <w:uiPriority w:val="9"/>
    <w:pPr>
      <w:keepNext/>
      <w:keepLines/>
      <w:spacing w:line="278" w:lineRule="auto"/>
      <w:ind w:firstLine="0" w:firstLineChars="0"/>
      <w:jc w:val="left"/>
      <w:outlineLvl w:val="8"/>
    </w:pPr>
    <w:rPr>
      <w:rFonts w:ascii="宋体" w:hAnsi="宋体" w:eastAsia="宋体" w:cs="宋体"/>
      <w:color w:val="595959" w:themeColor="text1" w:themeTint="A6"/>
      <w:spacing w:val="0"/>
      <w:sz w:val="22"/>
      <w:szCs w:val="24"/>
      <w14:textFill>
        <w14:solidFill>
          <w14:schemeClr w14:val="tx1">
            <w14:lumMod w14:val="65000"/>
            <w14:lumOff w14:val="35000"/>
          </w14:schemeClr>
        </w14:solidFill>
      </w14:textFill>
      <w14:ligatures w14:val="standardContextual"/>
    </w:rPr>
  </w:style>
  <w:style w:type="character" w:default="1" w:styleId="35">
    <w:name w:val="Default Paragraph Font"/>
    <w:semiHidden/>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styleId="11">
    <w:name w:val="annotation subject"/>
    <w:basedOn w:val="12"/>
    <w:next w:val="12"/>
    <w:link w:val="56"/>
    <w:semiHidden/>
    <w:unhideWhenUsed/>
    <w:qFormat/>
    <w:uiPriority w:val="99"/>
    <w:rPr>
      <w:b/>
      <w:bCs/>
    </w:rPr>
  </w:style>
  <w:style w:type="paragraph" w:styleId="12">
    <w:name w:val="annotation text"/>
    <w:basedOn w:val="1"/>
    <w:link w:val="55"/>
    <w:semiHidden/>
    <w:unhideWhenUsed/>
    <w:qFormat/>
    <w:uiPriority w:val="99"/>
  </w:style>
  <w:style w:type="paragraph" w:styleId="13">
    <w:name w:val="toc 7"/>
    <w:basedOn w:val="1"/>
    <w:next w:val="1"/>
    <w:unhideWhenUsed/>
    <w:qFormat/>
    <w:uiPriority w:val="39"/>
    <w:pPr>
      <w:ind w:left="2520" w:leftChars="1200" w:firstLine="0" w:firstLineChars="0"/>
    </w:pPr>
    <w:rPr>
      <w:rFonts w:ascii="宋体" w:hAnsi="宋体" w:eastAsia="宋体" w:cs="宋体"/>
      <w:sz w:val="22"/>
      <w:szCs w:val="24"/>
      <w14:ligatures w14:val="standardContextual"/>
    </w:rPr>
  </w:style>
  <w:style w:type="paragraph" w:styleId="14">
    <w:name w:val="Body Text"/>
    <w:basedOn w:val="1"/>
    <w:next w:val="1"/>
    <w:link w:val="49"/>
    <w:semiHidden/>
    <w:unhideWhenUsed/>
    <w:qFormat/>
    <w:uiPriority w:val="99"/>
  </w:style>
  <w:style w:type="paragraph" w:styleId="15">
    <w:name w:val="Body Text Indent"/>
    <w:basedOn w:val="1"/>
    <w:link w:val="66"/>
    <w:semiHidden/>
    <w:unhideWhenUsed/>
    <w:qFormat/>
    <w:uiPriority w:val="99"/>
    <w:pPr>
      <w:ind w:left="420" w:leftChars="200"/>
    </w:pPr>
  </w:style>
  <w:style w:type="paragraph" w:styleId="16">
    <w:name w:val="toc 5"/>
    <w:basedOn w:val="1"/>
    <w:next w:val="1"/>
    <w:unhideWhenUsed/>
    <w:qFormat/>
    <w:uiPriority w:val="39"/>
    <w:pPr>
      <w:ind w:left="1680" w:leftChars="800" w:firstLine="0" w:firstLineChars="0"/>
    </w:pPr>
    <w:rPr>
      <w:rFonts w:ascii="宋体" w:hAnsi="宋体" w:eastAsia="宋体" w:cs="宋体"/>
      <w:sz w:val="22"/>
      <w:szCs w:val="24"/>
      <w14:ligatures w14:val="standardContextual"/>
    </w:rPr>
  </w:style>
  <w:style w:type="paragraph" w:styleId="17">
    <w:name w:val="toc 3"/>
    <w:basedOn w:val="1"/>
    <w:next w:val="1"/>
    <w:unhideWhenUsed/>
    <w:qFormat/>
    <w:uiPriority w:val="39"/>
    <w:pPr>
      <w:spacing w:line="420" w:lineRule="exact"/>
      <w:ind w:left="200" w:leftChars="200" w:firstLine="0" w:firstLineChars="0"/>
    </w:pPr>
    <w:rPr>
      <w:sz w:val="24"/>
    </w:rPr>
  </w:style>
  <w:style w:type="paragraph" w:styleId="18">
    <w:name w:val="Plain Text"/>
    <w:basedOn w:val="1"/>
    <w:next w:val="19"/>
    <w:link w:val="118"/>
    <w:unhideWhenUsed/>
    <w:qFormat/>
    <w:uiPriority w:val="99"/>
    <w:pPr>
      <w:ind w:firstLine="0" w:firstLineChars="0"/>
      <w:jc w:val="center"/>
      <w:outlineLvl w:val="0"/>
    </w:pPr>
    <w:rPr>
      <w:rFonts w:ascii="方正小标宋简体" w:hAnsi="方正小标宋简体" w:eastAsia="方正小标宋简体" w:cs="方正小标宋简体"/>
      <w:spacing w:val="0"/>
      <w:sz w:val="36"/>
      <w:szCs w:val="36"/>
    </w:rPr>
  </w:style>
  <w:style w:type="paragraph" w:styleId="19">
    <w:name w:val="toc 1"/>
    <w:basedOn w:val="1"/>
    <w:next w:val="1"/>
    <w:unhideWhenUsed/>
    <w:qFormat/>
    <w:uiPriority w:val="39"/>
    <w:pPr>
      <w:tabs>
        <w:tab w:val="right" w:leader="dot" w:pos="8845"/>
      </w:tabs>
      <w:spacing w:line="240" w:lineRule="auto"/>
      <w:ind w:firstLine="0" w:firstLineChars="0"/>
    </w:pPr>
    <w:rPr>
      <w:rFonts w:eastAsia="黑体" w:cs="黑体"/>
      <w:szCs w:val="32"/>
    </w:rPr>
  </w:style>
  <w:style w:type="paragraph" w:styleId="20">
    <w:name w:val="toc 8"/>
    <w:basedOn w:val="1"/>
    <w:next w:val="1"/>
    <w:unhideWhenUsed/>
    <w:qFormat/>
    <w:uiPriority w:val="39"/>
    <w:pPr>
      <w:ind w:left="2940" w:leftChars="1400" w:firstLine="0" w:firstLineChars="0"/>
    </w:pPr>
    <w:rPr>
      <w:rFonts w:ascii="宋体" w:hAnsi="宋体" w:eastAsia="宋体" w:cs="宋体"/>
      <w:sz w:val="22"/>
      <w:szCs w:val="24"/>
      <w14:ligatures w14:val="standardContextual"/>
    </w:rPr>
  </w:style>
  <w:style w:type="paragraph" w:styleId="21">
    <w:name w:val="Body Text Indent 2"/>
    <w:basedOn w:val="1"/>
    <w:link w:val="128"/>
    <w:semiHidden/>
    <w:unhideWhenUsed/>
    <w:qFormat/>
    <w:uiPriority w:val="99"/>
    <w:pPr>
      <w:spacing w:after="120" w:line="480" w:lineRule="auto"/>
      <w:ind w:left="420" w:leftChars="200"/>
    </w:pPr>
  </w:style>
  <w:style w:type="paragraph" w:styleId="22">
    <w:name w:val="Balloon Text"/>
    <w:basedOn w:val="1"/>
    <w:link w:val="57"/>
    <w:semiHidden/>
    <w:unhideWhenUsed/>
    <w:qFormat/>
    <w:uiPriority w:val="99"/>
    <w:rPr>
      <w:sz w:val="18"/>
      <w:szCs w:val="18"/>
    </w:rPr>
  </w:style>
  <w:style w:type="paragraph" w:styleId="23">
    <w:name w:val="footer"/>
    <w:basedOn w:val="1"/>
    <w:link w:val="58"/>
    <w:semiHidden/>
    <w:unhideWhenUsed/>
    <w:qFormat/>
    <w:uiPriority w:val="99"/>
    <w:pPr>
      <w:tabs>
        <w:tab w:val="center" w:pos="4153"/>
        <w:tab w:val="right" w:pos="8306"/>
      </w:tabs>
      <w:snapToGrid w:val="0"/>
    </w:pPr>
    <w:rPr>
      <w:sz w:val="18"/>
      <w:szCs w:val="18"/>
    </w:rPr>
  </w:style>
  <w:style w:type="paragraph" w:styleId="24">
    <w:name w:val="Body Text First Indent 2"/>
    <w:basedOn w:val="15"/>
    <w:link w:val="184"/>
    <w:semiHidden/>
    <w:unhideWhenUsed/>
    <w:qFormat/>
    <w:uiPriority w:val="99"/>
    <w:pPr>
      <w:ind w:firstLine="420"/>
    </w:pPr>
  </w:style>
  <w:style w:type="paragraph" w:styleId="25">
    <w:name w:val="header"/>
    <w:basedOn w:val="1"/>
    <w:link w:val="9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26">
    <w:name w:val="toc 4"/>
    <w:basedOn w:val="1"/>
    <w:next w:val="1"/>
    <w:unhideWhenUsed/>
    <w:qFormat/>
    <w:uiPriority w:val="39"/>
    <w:pPr>
      <w:ind w:left="400" w:leftChars="400" w:firstLine="0" w:firstLineChars="0"/>
    </w:pPr>
    <w:rPr>
      <w:rFonts w:ascii="宋体" w:hAnsi="宋体" w:eastAsia="宋体" w:cs="宋体"/>
      <w:sz w:val="22"/>
      <w:szCs w:val="24"/>
      <w14:ligatures w14:val="standardContextual"/>
    </w:rPr>
  </w:style>
  <w:style w:type="paragraph" w:styleId="27">
    <w:name w:val="Subtitle"/>
    <w:basedOn w:val="1"/>
    <w:next w:val="1"/>
    <w:link w:val="196"/>
    <w:qFormat/>
    <w:uiPriority w:val="11"/>
    <w:pPr>
      <w:ind w:firstLine="0" w:firstLineChars="0"/>
      <w:jc w:val="center"/>
    </w:pPr>
    <w:rPr>
      <w:rFonts w:ascii="楷体_GB2312" w:hAnsi="楷体_GB2312" w:eastAsia="楷体_GB2312" w:cs="楷体_GB2312"/>
      <w:spacing w:val="0"/>
      <w:szCs w:val="32"/>
    </w:rPr>
  </w:style>
  <w:style w:type="paragraph" w:styleId="28">
    <w:name w:val="footnote text"/>
    <w:basedOn w:val="1"/>
    <w:link w:val="119"/>
    <w:semiHidden/>
    <w:unhideWhenUsed/>
    <w:qFormat/>
    <w:uiPriority w:val="99"/>
    <w:pPr>
      <w:snapToGrid w:val="0"/>
    </w:pPr>
    <w:rPr>
      <w:sz w:val="18"/>
      <w:szCs w:val="18"/>
    </w:rPr>
  </w:style>
  <w:style w:type="paragraph" w:styleId="29">
    <w:name w:val="toc 6"/>
    <w:basedOn w:val="1"/>
    <w:next w:val="1"/>
    <w:unhideWhenUsed/>
    <w:qFormat/>
    <w:uiPriority w:val="39"/>
    <w:pPr>
      <w:ind w:left="2100" w:leftChars="1000" w:firstLine="0" w:firstLineChars="0"/>
    </w:pPr>
    <w:rPr>
      <w:rFonts w:ascii="宋体" w:hAnsi="宋体" w:eastAsia="宋体" w:cs="宋体"/>
      <w:sz w:val="22"/>
      <w:szCs w:val="24"/>
      <w14:ligatures w14:val="standardContextual"/>
    </w:rPr>
  </w:style>
  <w:style w:type="paragraph" w:styleId="30">
    <w:name w:val="toc 2"/>
    <w:basedOn w:val="1"/>
    <w:next w:val="1"/>
    <w:unhideWhenUsed/>
    <w:qFormat/>
    <w:uiPriority w:val="39"/>
    <w:pPr>
      <w:tabs>
        <w:tab w:val="right" w:leader="dot" w:pos="8835"/>
      </w:tabs>
      <w:ind w:firstLine="320" w:firstLineChars="100"/>
    </w:pPr>
    <w:rPr>
      <w:rFonts w:eastAsia="楷体"/>
      <w:sz w:val="28"/>
    </w:rPr>
  </w:style>
  <w:style w:type="paragraph" w:styleId="31">
    <w:name w:val="toc 9"/>
    <w:basedOn w:val="1"/>
    <w:next w:val="1"/>
    <w:unhideWhenUsed/>
    <w:qFormat/>
    <w:uiPriority w:val="39"/>
    <w:pPr>
      <w:ind w:left="3360" w:leftChars="1600" w:firstLine="0" w:firstLineChars="0"/>
    </w:pPr>
    <w:rPr>
      <w:rFonts w:ascii="宋体" w:hAnsi="宋体" w:eastAsia="宋体" w:cs="宋体"/>
      <w:sz w:val="22"/>
      <w:szCs w:val="24"/>
      <w14:ligatures w14:val="standardContextual"/>
    </w:rPr>
  </w:style>
  <w:style w:type="paragraph" w:styleId="32">
    <w:name w:val="Body Text 2"/>
    <w:basedOn w:val="1"/>
    <w:link w:val="120"/>
    <w:semiHidden/>
    <w:unhideWhenUsed/>
    <w:qFormat/>
    <w:uiPriority w:val="99"/>
    <w:pPr>
      <w:spacing w:line="480" w:lineRule="auto"/>
    </w:pPr>
  </w:style>
  <w:style w:type="paragraph" w:styleId="33">
    <w:name w:val="Normal (Web)"/>
    <w:basedOn w:val="1"/>
    <w:semiHidden/>
    <w:unhideWhenUsed/>
    <w:qFormat/>
    <w:uiPriority w:val="99"/>
    <w:rPr>
      <w:sz w:val="24"/>
      <w:szCs w:val="24"/>
    </w:rPr>
  </w:style>
  <w:style w:type="paragraph" w:styleId="34">
    <w:name w:val="Title"/>
    <w:basedOn w:val="1"/>
    <w:next w:val="1"/>
    <w:link w:val="50"/>
    <w:qFormat/>
    <w:uiPriority w:val="0"/>
    <w:pPr>
      <w:numPr>
        <w:ilvl w:val="0"/>
        <w:numId w:val="1"/>
      </w:numPr>
      <w:spacing w:before="50" w:beforeLines="50" w:after="50" w:afterLines="50" w:line="360" w:lineRule="auto"/>
      <w:ind w:firstLineChars="0"/>
      <w:jc w:val="center"/>
      <w:outlineLvl w:val="0"/>
    </w:pPr>
    <w:rPr>
      <w:rFonts w:ascii="黑体" w:hAnsi="黑体" w:eastAsia="黑体" w:cs="黑体"/>
      <w:bCs/>
      <w:szCs w:val="32"/>
    </w:rPr>
  </w:style>
  <w:style w:type="character" w:styleId="36">
    <w:name w:val="Strong"/>
    <w:basedOn w:val="35"/>
    <w:qFormat/>
    <w:uiPriority w:val="22"/>
    <w:rPr>
      <w:b/>
      <w:bCs/>
    </w:rPr>
  </w:style>
  <w:style w:type="character" w:styleId="37">
    <w:name w:val="FollowedHyperlink"/>
    <w:basedOn w:val="35"/>
    <w:semiHidden/>
    <w:unhideWhenUsed/>
    <w:qFormat/>
    <w:uiPriority w:val="99"/>
    <w:rPr>
      <w:color w:val="954F72"/>
      <w:u w:val="single"/>
    </w:rPr>
  </w:style>
  <w:style w:type="character" w:styleId="38">
    <w:name w:val="Hyperlink"/>
    <w:basedOn w:val="35"/>
    <w:unhideWhenUsed/>
    <w:qFormat/>
    <w:uiPriority w:val="99"/>
    <w:rPr>
      <w:color w:val="0563C1" w:themeColor="hyperlink"/>
      <w:u w:val="single"/>
      <w14:textFill>
        <w14:solidFill>
          <w14:schemeClr w14:val="hlink"/>
        </w14:solidFill>
      </w14:textFill>
    </w:rPr>
  </w:style>
  <w:style w:type="character" w:styleId="39">
    <w:name w:val="annotation reference"/>
    <w:basedOn w:val="35"/>
    <w:semiHidden/>
    <w:unhideWhenUsed/>
    <w:qFormat/>
    <w:uiPriority w:val="99"/>
    <w:rPr>
      <w:sz w:val="21"/>
      <w:szCs w:val="21"/>
    </w:rPr>
  </w:style>
  <w:style w:type="character" w:styleId="40">
    <w:name w:val="footnote reference"/>
    <w:semiHidden/>
    <w:unhideWhenUsed/>
    <w:qFormat/>
    <w:uiPriority w:val="99"/>
    <w:rPr>
      <w:vertAlign w:val="superscript"/>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43">
    <w:name w:val="标题 3 字符"/>
    <w:link w:val="4"/>
    <w:qFormat/>
    <w:uiPriority w:val="0"/>
    <w:rPr>
      <w:rFonts w:ascii="楷体_GB2312" w:hAnsi="楷体_GB2312" w:eastAsia="楷体_GB2312" w:cs="楷体_GB2312"/>
      <w:spacing w:val="0"/>
      <w:kern w:val="2"/>
      <w:sz w:val="32"/>
      <w:szCs w:val="32"/>
      <w:highlight w:val="none"/>
      <w:u w:val="none"/>
      <w:lang w:val="en-US" w:eastAsia="zh-CN" w:bidi="ar-SA"/>
    </w:rPr>
  </w:style>
  <w:style w:type="paragraph" w:customStyle="1" w:styleId="44">
    <w:name w:val="正文m"/>
    <w:basedOn w:val="1"/>
    <w:link w:val="65"/>
    <w:qFormat/>
    <w:uiPriority w:val="0"/>
    <w:pPr>
      <w:snapToGrid w:val="0"/>
      <w:spacing w:line="240" w:lineRule="auto"/>
      <w:ind w:firstLine="0" w:firstLineChars="0"/>
    </w:pPr>
    <w:rPr>
      <w:rFonts w:ascii="宋体" w:hAnsi="宋体" w:eastAsia="宋体"/>
      <w:sz w:val="21"/>
      <w:szCs w:val="21"/>
    </w:rPr>
  </w:style>
  <w:style w:type="paragraph" w:customStyle="1" w:styleId="45">
    <w:name w:val="TOC 标题1"/>
    <w:basedOn w:val="2"/>
    <w:next w:val="1"/>
    <w:qFormat/>
    <w:uiPriority w:val="99"/>
    <w:pPr>
      <w:spacing w:before="480" w:line="276" w:lineRule="auto"/>
      <w:jc w:val="left"/>
      <w:outlineLvl w:val="9"/>
    </w:pPr>
    <w:rPr>
      <w:rFonts w:ascii="Cambria" w:hAnsi="Cambria"/>
      <w:color w:val="365F91"/>
      <w:kern w:val="0"/>
      <w:sz w:val="28"/>
      <w:szCs w:val="28"/>
    </w:rPr>
  </w:style>
  <w:style w:type="paragraph" w:customStyle="1" w:styleId="46">
    <w:name w:val="目录 11"/>
    <w:next w:val="1"/>
    <w:link w:val="53"/>
    <w:qFormat/>
    <w:uiPriority w:val="0"/>
    <w:pPr>
      <w:wordWrap w:val="0"/>
      <w:spacing w:after="499" w:line="278" w:lineRule="auto"/>
      <w:jc w:val="both"/>
    </w:pPr>
    <w:rPr>
      <w:rFonts w:ascii="Times New Roman" w:hAnsi="Times New Roman" w:eastAsia="宋体" w:cs="Times New Roman"/>
      <w:sz w:val="21"/>
      <w:szCs w:val="22"/>
      <w:lang w:val="en-US" w:eastAsia="zh-CN" w:bidi="ar-SA"/>
    </w:rPr>
  </w:style>
  <w:style w:type="paragraph" w:customStyle="1" w:styleId="47">
    <w:name w:val="00正文文字"/>
    <w:basedOn w:val="1"/>
    <w:qFormat/>
    <w:uiPriority w:val="0"/>
    <w:pPr>
      <w:spacing w:beforeLines="50" w:afterLines="50" w:line="288" w:lineRule="auto"/>
    </w:pPr>
    <w:rPr>
      <w:sz w:val="28"/>
      <w:szCs w:val="21"/>
      <w:lang w:val="zh-CN"/>
    </w:rPr>
  </w:style>
  <w:style w:type="paragraph" w:customStyle="1" w:styleId="48">
    <w:name w:val="列表段落1"/>
    <w:basedOn w:val="1"/>
    <w:qFormat/>
    <w:uiPriority w:val="99"/>
    <w:pPr>
      <w:ind w:firstLine="420"/>
    </w:pPr>
  </w:style>
  <w:style w:type="character" w:customStyle="1" w:styleId="49">
    <w:name w:val="正文文本 字符"/>
    <w:basedOn w:val="35"/>
    <w:link w:val="14"/>
    <w:qFormat/>
    <w:uiPriority w:val="99"/>
    <w:rPr>
      <w:rFonts w:eastAsia="仿宋_GB2312"/>
      <w:kern w:val="2"/>
      <w:sz w:val="32"/>
      <w:szCs w:val="22"/>
    </w:rPr>
  </w:style>
  <w:style w:type="character" w:customStyle="1" w:styleId="50">
    <w:name w:val="标题 字符"/>
    <w:link w:val="34"/>
    <w:qFormat/>
    <w:uiPriority w:val="0"/>
    <w:rPr>
      <w:rFonts w:ascii="黑体" w:hAnsi="黑体" w:eastAsia="黑体" w:cs="黑体"/>
      <w:bCs/>
      <w:spacing w:val="-6"/>
      <w:kern w:val="2"/>
      <w:sz w:val="32"/>
      <w:szCs w:val="32"/>
      <w:lang w:val="en-US" w:eastAsia="zh-CN" w:bidi="ar-SA"/>
    </w:rPr>
  </w:style>
  <w:style w:type="character" w:customStyle="1" w:styleId="51">
    <w:name w:val="标题 2 字符"/>
    <w:link w:val="3"/>
    <w:qFormat/>
    <w:uiPriority w:val="0"/>
    <w:rPr>
      <w:rFonts w:ascii="Times New Roman" w:hAnsi="Times New Roman" w:eastAsia="黑体" w:cs="宋体"/>
      <w:bCs/>
      <w:color w:val="auto"/>
      <w:spacing w:val="-6"/>
      <w:kern w:val="2"/>
      <w:sz w:val="32"/>
      <w:szCs w:val="32"/>
      <w:lang w:val="en-US" w:eastAsia="zh-CN" w:bidi="ar-SA"/>
    </w:rPr>
  </w:style>
  <w:style w:type="paragraph" w:customStyle="1" w:styleId="52">
    <w:name w:val="图表名称"/>
    <w:basedOn w:val="46"/>
    <w:link w:val="54"/>
    <w:qFormat/>
    <w:uiPriority w:val="0"/>
    <w:pPr>
      <w:widowControl w:val="0"/>
      <w:wordWrap/>
      <w:adjustRightInd w:val="0"/>
      <w:snapToGrid w:val="0"/>
      <w:spacing w:before="312" w:beforeLines="100" w:after="124" w:afterLines="40"/>
      <w:jc w:val="center"/>
    </w:pPr>
    <w:rPr>
      <w:rFonts w:ascii="楷体_GB2312" w:hAnsi="楷体_GB2312" w:eastAsia="楷体_GB2312" w:cs="楷体_GB2312"/>
      <w:color w:val="000000"/>
      <w:sz w:val="28"/>
      <w:szCs w:val="28"/>
    </w:rPr>
  </w:style>
  <w:style w:type="character" w:customStyle="1" w:styleId="53">
    <w:name w:val="目录 11 字符"/>
    <w:basedOn w:val="35"/>
    <w:link w:val="46"/>
    <w:qFormat/>
    <w:uiPriority w:val="0"/>
    <w:rPr>
      <w:rFonts w:ascii="Times New Roman" w:hAnsi="Times New Roman" w:eastAsia="宋体" w:cs="Times New Roman"/>
      <w:sz w:val="21"/>
      <w:szCs w:val="22"/>
    </w:rPr>
  </w:style>
  <w:style w:type="character" w:customStyle="1" w:styleId="54">
    <w:name w:val="图表名称 字符"/>
    <w:basedOn w:val="53"/>
    <w:link w:val="52"/>
    <w:qFormat/>
    <w:uiPriority w:val="0"/>
    <w:rPr>
      <w:rFonts w:ascii="楷体_GB2312" w:hAnsi="楷体_GB2312" w:eastAsia="楷体_GB2312" w:cs="楷体_GB2312"/>
      <w:color w:val="000000"/>
      <w:sz w:val="28"/>
      <w:szCs w:val="28"/>
    </w:rPr>
  </w:style>
  <w:style w:type="character" w:customStyle="1" w:styleId="55">
    <w:name w:val="批注文字 字符"/>
    <w:basedOn w:val="35"/>
    <w:link w:val="12"/>
    <w:qFormat/>
    <w:uiPriority w:val="0"/>
    <w:rPr>
      <w:rFonts w:ascii="Times New Roman" w:hAnsi="Times New Roman" w:eastAsia="仿宋_GB2312" w:cs="Times New Roman"/>
      <w:kern w:val="2"/>
      <w:sz w:val="32"/>
      <w:szCs w:val="22"/>
    </w:rPr>
  </w:style>
  <w:style w:type="character" w:customStyle="1" w:styleId="56">
    <w:name w:val="批注主题 字符"/>
    <w:basedOn w:val="55"/>
    <w:link w:val="11"/>
    <w:qFormat/>
    <w:uiPriority w:val="0"/>
    <w:rPr>
      <w:rFonts w:ascii="Times New Roman" w:hAnsi="Times New Roman" w:eastAsia="仿宋_GB2312" w:cs="Times New Roman"/>
      <w:b/>
      <w:bCs/>
      <w:kern w:val="2"/>
      <w:sz w:val="32"/>
      <w:szCs w:val="22"/>
    </w:rPr>
  </w:style>
  <w:style w:type="character" w:customStyle="1" w:styleId="57">
    <w:name w:val="批注框文本 字符"/>
    <w:basedOn w:val="35"/>
    <w:link w:val="22"/>
    <w:qFormat/>
    <w:uiPriority w:val="0"/>
    <w:rPr>
      <w:rFonts w:ascii="Times New Roman" w:hAnsi="Times New Roman" w:eastAsia="仿宋_GB2312" w:cs="Times New Roman"/>
      <w:kern w:val="2"/>
      <w:sz w:val="18"/>
      <w:szCs w:val="18"/>
    </w:rPr>
  </w:style>
  <w:style w:type="character" w:customStyle="1" w:styleId="58">
    <w:name w:val="页脚 字符"/>
    <w:basedOn w:val="35"/>
    <w:link w:val="23"/>
    <w:qFormat/>
    <w:uiPriority w:val="99"/>
    <w:rPr>
      <w:rFonts w:ascii="Times New Roman" w:hAnsi="Times New Roman" w:eastAsia="仿宋_GB2312" w:cs="Times New Roman"/>
      <w:kern w:val="2"/>
      <w:sz w:val="18"/>
      <w:szCs w:val="18"/>
    </w:rPr>
  </w:style>
  <w:style w:type="character" w:customStyle="1" w:styleId="59">
    <w:name w:val="未处理的提及1"/>
    <w:basedOn w:val="35"/>
    <w:unhideWhenUsed/>
    <w:qFormat/>
    <w:uiPriority w:val="99"/>
    <w:rPr>
      <w:color w:val="605E5C"/>
      <w:shd w:val="clear" w:color="auto" w:fill="E1DFDD"/>
    </w:rPr>
  </w:style>
  <w:style w:type="character" w:customStyle="1" w:styleId="60">
    <w:name w:val="标题 4 字符"/>
    <w:basedOn w:val="35"/>
    <w:link w:val="5"/>
    <w:qFormat/>
    <w:uiPriority w:val="0"/>
    <w:rPr>
      <w:rFonts w:ascii="宋体" w:hAnsi="宋体" w:eastAsia="宋体" w:cs="宋体"/>
      <w:b/>
      <w:bCs/>
      <w:kern w:val="2"/>
      <w:sz w:val="28"/>
      <w:szCs w:val="28"/>
    </w:rPr>
  </w:style>
  <w:style w:type="paragraph" w:customStyle="1" w:styleId="61">
    <w:name w:val="无间隔1"/>
    <w:qFormat/>
    <w:uiPriority w:val="1"/>
    <w:pPr>
      <w:widowControl w:val="0"/>
      <w:spacing w:after="499" w:line="278" w:lineRule="auto"/>
      <w:jc w:val="both"/>
    </w:pPr>
    <w:rPr>
      <w:rFonts w:ascii="Times New Roman" w:hAnsi="Times New Roman" w:eastAsia="宋体" w:cs="宋体"/>
      <w:kern w:val="2"/>
      <w:sz w:val="28"/>
      <w:szCs w:val="22"/>
      <w:lang w:val="en-US" w:eastAsia="zh-CN" w:bidi="ar-SA"/>
    </w:rPr>
  </w:style>
  <w:style w:type="paragraph" w:styleId="62">
    <w:name w:val="List Paragraph"/>
    <w:basedOn w:val="1"/>
    <w:unhideWhenUsed/>
    <w:qFormat/>
    <w:uiPriority w:val="34"/>
    <w:pPr>
      <w:ind w:firstLine="420"/>
    </w:pPr>
  </w:style>
  <w:style w:type="table" w:customStyle="1" w:styleId="63">
    <w:name w:val="网格型1"/>
    <w:basedOn w:val="41"/>
    <w:qFormat/>
    <w:uiPriority w:val="39"/>
    <w:rPr>
      <w:rFonts w:ascii="宋体" w:hAnsi="宋体" w:cs="宋体"/>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64">
    <w:name w:val="未处理的提及2"/>
    <w:basedOn w:val="35"/>
    <w:semiHidden/>
    <w:unhideWhenUsed/>
    <w:qFormat/>
    <w:uiPriority w:val="99"/>
    <w:rPr>
      <w:color w:val="605E5C"/>
      <w:shd w:val="clear" w:color="auto" w:fill="E1DFDD"/>
    </w:rPr>
  </w:style>
  <w:style w:type="character" w:customStyle="1" w:styleId="65">
    <w:name w:val="正文m 字符"/>
    <w:link w:val="44"/>
    <w:qFormat/>
    <w:uiPriority w:val="0"/>
    <w:rPr>
      <w:rFonts w:ascii="宋体" w:hAnsi="宋体"/>
      <w:spacing w:val="-6"/>
      <w:kern w:val="2"/>
      <w:sz w:val="21"/>
      <w:szCs w:val="21"/>
    </w:rPr>
  </w:style>
  <w:style w:type="character" w:customStyle="1" w:styleId="66">
    <w:name w:val="正文文本缩进 字符"/>
    <w:basedOn w:val="35"/>
    <w:link w:val="15"/>
    <w:qFormat/>
    <w:uiPriority w:val="0"/>
    <w:rPr>
      <w:rFonts w:eastAsia="仿宋_GB2312"/>
      <w:kern w:val="2"/>
      <w:sz w:val="32"/>
      <w:szCs w:val="22"/>
    </w:rPr>
  </w:style>
  <w:style w:type="character" w:customStyle="1" w:styleId="67">
    <w:name w:val="正文文本首行缩进 2 字符"/>
    <w:basedOn w:val="66"/>
    <w:qFormat/>
    <w:uiPriority w:val="0"/>
    <w:rPr>
      <w:rFonts w:eastAsia="仿宋_GB2312"/>
      <w:kern w:val="2"/>
      <w:sz w:val="32"/>
      <w:szCs w:val="22"/>
    </w:rPr>
  </w:style>
  <w:style w:type="paragraph" w:customStyle="1" w:styleId="68">
    <w:name w:val="表"/>
    <w:basedOn w:val="1"/>
    <w:link w:val="69"/>
    <w:qFormat/>
    <w:uiPriority w:val="0"/>
    <w:pPr>
      <w:framePr w:hSpace="180" w:wrap="around" w:vAnchor="page" w:hAnchor="margin" w:xAlign="center" w:y="4607"/>
      <w:spacing w:line="240" w:lineRule="auto"/>
      <w:ind w:firstLine="0" w:firstLineChars="0"/>
      <w:jc w:val="center"/>
    </w:pPr>
    <w:rPr>
      <w:bCs/>
      <w:sz w:val="21"/>
      <w:szCs w:val="16"/>
    </w:rPr>
  </w:style>
  <w:style w:type="character" w:customStyle="1" w:styleId="69">
    <w:name w:val="表 字符"/>
    <w:basedOn w:val="35"/>
    <w:link w:val="68"/>
    <w:qFormat/>
    <w:uiPriority w:val="0"/>
    <w:rPr>
      <w:rFonts w:eastAsia="仿宋_GB2312"/>
      <w:bCs/>
      <w:kern w:val="2"/>
      <w:sz w:val="21"/>
      <w:szCs w:val="16"/>
    </w:rPr>
  </w:style>
  <w:style w:type="table" w:customStyle="1" w:styleId="70">
    <w:name w:val="网格型浅色1"/>
    <w:basedOn w:val="41"/>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Pr>
  </w:style>
  <w:style w:type="table" w:customStyle="1" w:styleId="71">
    <w:name w:val="无格式表格 51"/>
    <w:basedOn w:val="41"/>
    <w:qFormat/>
    <w:uiPriority w:val="45"/>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72">
    <w:name w:val="无格式表格 11"/>
    <w:basedOn w:val="41"/>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73">
    <w:name w:val="无格式表格 21"/>
    <w:basedOn w:val="41"/>
    <w:qFormat/>
    <w:uiPriority w:val="42"/>
    <w:tblPr>
      <w:tblBorders>
        <w:top w:val="single" w:color="7E7E7E" w:themeColor="text1" w:themeTint="80" w:sz="4" w:space="0"/>
        <w:bottom w:val="single" w:color="7E7E7E" w:themeColor="text1" w:themeTint="80" w:sz="4" w:space="0"/>
      </w:tblBorders>
      <w:tblLayout w:type="fixed"/>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74">
    <w:name w:val="列出段落1"/>
    <w:basedOn w:val="1"/>
    <w:qFormat/>
    <w:uiPriority w:val="99"/>
    <w:pPr>
      <w:spacing w:line="240" w:lineRule="auto"/>
      <w:ind w:firstLine="420"/>
    </w:pPr>
    <w:rPr>
      <w:rFonts w:ascii="宋体" w:hAnsi="宋体" w:eastAsia="宋体" w:cs="宋体"/>
      <w:sz w:val="21"/>
    </w:rPr>
  </w:style>
  <w:style w:type="paragraph" w:customStyle="1" w:styleId="75">
    <w:name w:val="msonormal"/>
    <w:basedOn w:val="1"/>
    <w:qFormat/>
    <w:uiPriority w:val="0"/>
    <w:pPr>
      <w:spacing w:before="100" w:beforeAutospacing="1" w:after="100" w:afterAutospacing="1" w:line="240" w:lineRule="auto"/>
      <w:ind w:firstLine="0" w:firstLineChars="0"/>
    </w:pPr>
    <w:rPr>
      <w:rFonts w:ascii="宋体" w:hAnsi="宋体" w:eastAsia="宋体" w:cs="宋体"/>
      <w:kern w:val="0"/>
      <w:sz w:val="24"/>
      <w:szCs w:val="24"/>
    </w:rPr>
  </w:style>
  <w:style w:type="paragraph" w:customStyle="1" w:styleId="76">
    <w:name w:val="font5"/>
    <w:basedOn w:val="1"/>
    <w:qFormat/>
    <w:uiPriority w:val="0"/>
    <w:pPr>
      <w:spacing w:before="100" w:beforeAutospacing="1" w:after="100" w:afterAutospacing="1" w:line="240" w:lineRule="auto"/>
      <w:ind w:firstLine="0" w:firstLineChars="0"/>
    </w:pPr>
    <w:rPr>
      <w:rFonts w:ascii="仿宋_GB2312" w:hAnsi="宋体" w:cs="宋体"/>
      <w:color w:val="000000"/>
      <w:kern w:val="0"/>
      <w:sz w:val="21"/>
      <w:szCs w:val="21"/>
    </w:rPr>
  </w:style>
  <w:style w:type="paragraph" w:customStyle="1" w:styleId="77">
    <w:name w:val="font6"/>
    <w:basedOn w:val="1"/>
    <w:qFormat/>
    <w:uiPriority w:val="0"/>
    <w:pPr>
      <w:spacing w:before="100" w:beforeAutospacing="1" w:after="100" w:afterAutospacing="1" w:line="240" w:lineRule="auto"/>
      <w:ind w:firstLine="0" w:firstLineChars="0"/>
    </w:pPr>
    <w:rPr>
      <w:rFonts w:ascii="微软雅黑" w:hAnsi="微软雅黑" w:eastAsia="微软雅黑" w:cs="宋体"/>
      <w:kern w:val="0"/>
      <w:sz w:val="18"/>
      <w:szCs w:val="18"/>
    </w:rPr>
  </w:style>
  <w:style w:type="paragraph" w:customStyle="1" w:styleId="78">
    <w:name w:val="xl65"/>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cs="宋体"/>
      <w:b/>
      <w:bCs/>
      <w:kern w:val="0"/>
      <w:sz w:val="21"/>
      <w:szCs w:val="21"/>
    </w:rPr>
  </w:style>
  <w:style w:type="paragraph" w:customStyle="1" w:styleId="79">
    <w:name w:val="xl6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cs="宋体"/>
      <w:kern w:val="0"/>
      <w:sz w:val="21"/>
      <w:szCs w:val="21"/>
    </w:rPr>
  </w:style>
  <w:style w:type="paragraph" w:customStyle="1" w:styleId="80">
    <w:name w:val="xl67"/>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cs="宋体"/>
      <w:kern w:val="0"/>
      <w:sz w:val="21"/>
      <w:szCs w:val="21"/>
    </w:rPr>
  </w:style>
  <w:style w:type="paragraph" w:customStyle="1" w:styleId="81">
    <w:name w:val="xl6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cs="宋体"/>
      <w:color w:val="000000"/>
      <w:kern w:val="0"/>
      <w:sz w:val="21"/>
      <w:szCs w:val="21"/>
    </w:rPr>
  </w:style>
  <w:style w:type="paragraph" w:customStyle="1" w:styleId="82">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cs="宋体"/>
      <w:b/>
      <w:bCs/>
      <w:color w:val="000000"/>
      <w:kern w:val="0"/>
      <w:sz w:val="20"/>
    </w:rPr>
  </w:style>
  <w:style w:type="paragraph" w:customStyle="1" w:styleId="83">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cs="宋体"/>
      <w:color w:val="000000"/>
      <w:kern w:val="0"/>
      <w:sz w:val="20"/>
    </w:rPr>
  </w:style>
  <w:style w:type="paragraph" w:customStyle="1" w:styleId="84">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cs="宋体"/>
      <w:color w:val="000000"/>
      <w:kern w:val="0"/>
      <w:sz w:val="18"/>
      <w:szCs w:val="18"/>
    </w:rPr>
  </w:style>
  <w:style w:type="paragraph" w:customStyle="1" w:styleId="85">
    <w:name w:val="xl7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cs="宋体"/>
      <w:kern w:val="0"/>
      <w:sz w:val="24"/>
      <w:szCs w:val="24"/>
    </w:rPr>
  </w:style>
  <w:style w:type="paragraph" w:customStyle="1" w:styleId="86">
    <w:name w:val="xl7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cs="宋体"/>
      <w:color w:val="000000"/>
      <w:kern w:val="0"/>
      <w:sz w:val="16"/>
      <w:szCs w:val="16"/>
    </w:rPr>
  </w:style>
  <w:style w:type="paragraph" w:customStyle="1" w:styleId="87">
    <w:name w:val="xl7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cs="宋体"/>
      <w:kern w:val="0"/>
      <w:sz w:val="36"/>
      <w:szCs w:val="36"/>
    </w:rPr>
  </w:style>
  <w:style w:type="paragraph" w:customStyle="1" w:styleId="88">
    <w:name w:val="xl75"/>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cs="宋体"/>
      <w:b/>
      <w:bCs/>
      <w:kern w:val="0"/>
      <w:sz w:val="21"/>
      <w:szCs w:val="21"/>
    </w:rPr>
  </w:style>
  <w:style w:type="paragraph" w:customStyle="1" w:styleId="89">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_GB2312" w:hAnsi="宋体" w:cs="宋体"/>
      <w:color w:val="000000"/>
      <w:kern w:val="0"/>
      <w:sz w:val="21"/>
      <w:szCs w:val="21"/>
    </w:rPr>
  </w:style>
  <w:style w:type="character" w:customStyle="1" w:styleId="90">
    <w:name w:val="页眉 字符"/>
    <w:basedOn w:val="35"/>
    <w:link w:val="25"/>
    <w:qFormat/>
    <w:uiPriority w:val="99"/>
    <w:rPr>
      <w:rFonts w:eastAsia="仿宋_GB2312"/>
      <w:kern w:val="2"/>
      <w:sz w:val="18"/>
      <w:szCs w:val="18"/>
    </w:rPr>
  </w:style>
  <w:style w:type="paragraph" w:customStyle="1" w:styleId="91">
    <w:name w:val="font7"/>
    <w:basedOn w:val="1"/>
    <w:qFormat/>
    <w:uiPriority w:val="0"/>
    <w:pPr>
      <w:spacing w:before="100" w:beforeAutospacing="1" w:after="100" w:afterAutospacing="1" w:line="240" w:lineRule="auto"/>
      <w:ind w:firstLine="0" w:firstLineChars="0"/>
    </w:pPr>
    <w:rPr>
      <w:rFonts w:eastAsia="宋体"/>
      <w:color w:val="000000"/>
      <w:kern w:val="0"/>
      <w:sz w:val="21"/>
      <w:szCs w:val="21"/>
    </w:rPr>
  </w:style>
  <w:style w:type="paragraph" w:customStyle="1" w:styleId="92">
    <w:name w:val="font8"/>
    <w:basedOn w:val="1"/>
    <w:qFormat/>
    <w:uiPriority w:val="0"/>
    <w:pPr>
      <w:spacing w:before="100" w:beforeAutospacing="1" w:after="100" w:afterAutospacing="1" w:line="240" w:lineRule="auto"/>
      <w:ind w:firstLine="0" w:firstLineChars="0"/>
    </w:pPr>
    <w:rPr>
      <w:rFonts w:ascii="仿宋_GB2312" w:hAnsi="宋体" w:cs="宋体"/>
      <w:color w:val="000000"/>
      <w:kern w:val="0"/>
      <w:sz w:val="21"/>
      <w:szCs w:val="21"/>
    </w:rPr>
  </w:style>
  <w:style w:type="paragraph" w:customStyle="1" w:styleId="93">
    <w:name w:val="font9"/>
    <w:basedOn w:val="1"/>
    <w:qFormat/>
    <w:uiPriority w:val="0"/>
    <w:pPr>
      <w:spacing w:before="100" w:beforeAutospacing="1" w:after="100" w:afterAutospacing="1" w:line="240" w:lineRule="auto"/>
      <w:ind w:firstLine="0" w:firstLineChars="0"/>
    </w:pPr>
    <w:rPr>
      <w:rFonts w:ascii="微软雅黑" w:hAnsi="微软雅黑" w:eastAsia="微软雅黑" w:cs="宋体"/>
      <w:color w:val="000000"/>
      <w:kern w:val="0"/>
      <w:sz w:val="21"/>
      <w:szCs w:val="21"/>
    </w:rPr>
  </w:style>
  <w:style w:type="paragraph" w:customStyle="1" w:styleId="94">
    <w:name w:val="font10"/>
    <w:basedOn w:val="1"/>
    <w:qFormat/>
    <w:uiPriority w:val="0"/>
    <w:pPr>
      <w:spacing w:before="100" w:beforeAutospacing="1" w:after="100" w:afterAutospacing="1" w:line="240" w:lineRule="auto"/>
      <w:ind w:firstLine="0" w:firstLineChars="0"/>
    </w:pPr>
    <w:rPr>
      <w:rFonts w:ascii="仿宋" w:hAnsi="仿宋" w:eastAsia="仿宋" w:cs="宋体"/>
      <w:color w:val="000000"/>
      <w:kern w:val="0"/>
      <w:sz w:val="21"/>
      <w:szCs w:val="21"/>
    </w:rPr>
  </w:style>
  <w:style w:type="paragraph" w:customStyle="1" w:styleId="95">
    <w:name w:val="font11"/>
    <w:basedOn w:val="1"/>
    <w:qFormat/>
    <w:uiPriority w:val="0"/>
    <w:pPr>
      <w:spacing w:before="100" w:beforeAutospacing="1" w:after="100" w:afterAutospacing="1" w:line="240" w:lineRule="auto"/>
      <w:ind w:firstLine="0" w:firstLineChars="0"/>
    </w:pPr>
    <w:rPr>
      <w:rFonts w:ascii="仿宋" w:hAnsi="仿宋" w:eastAsia="仿宋" w:cs="宋体"/>
      <w:color w:val="000000"/>
      <w:kern w:val="0"/>
      <w:sz w:val="21"/>
      <w:szCs w:val="21"/>
    </w:rPr>
  </w:style>
  <w:style w:type="paragraph" w:customStyle="1" w:styleId="96">
    <w:name w:val="font12"/>
    <w:basedOn w:val="1"/>
    <w:qFormat/>
    <w:uiPriority w:val="0"/>
    <w:pPr>
      <w:spacing w:before="100" w:beforeAutospacing="1" w:after="100" w:afterAutospacing="1" w:line="240" w:lineRule="auto"/>
      <w:ind w:firstLine="0" w:firstLineChars="0"/>
    </w:pPr>
    <w:rPr>
      <w:rFonts w:ascii="微软雅黑" w:hAnsi="微软雅黑" w:eastAsia="微软雅黑" w:cs="宋体"/>
      <w:kern w:val="0"/>
      <w:sz w:val="18"/>
      <w:szCs w:val="18"/>
    </w:rPr>
  </w:style>
  <w:style w:type="paragraph" w:customStyle="1" w:styleId="97">
    <w:name w:val="font13"/>
    <w:basedOn w:val="1"/>
    <w:qFormat/>
    <w:uiPriority w:val="0"/>
    <w:pPr>
      <w:spacing w:before="100" w:beforeAutospacing="1" w:after="100" w:afterAutospacing="1" w:line="240" w:lineRule="auto"/>
      <w:ind w:firstLine="0" w:firstLineChars="0"/>
    </w:pPr>
    <w:rPr>
      <w:rFonts w:ascii="微软雅黑" w:hAnsi="微软雅黑" w:eastAsia="微软雅黑" w:cs="宋体"/>
      <w:color w:val="000000"/>
      <w:kern w:val="0"/>
      <w:sz w:val="20"/>
    </w:rPr>
  </w:style>
  <w:style w:type="paragraph" w:customStyle="1" w:styleId="98">
    <w:name w:val="font14"/>
    <w:basedOn w:val="1"/>
    <w:qFormat/>
    <w:uiPriority w:val="0"/>
    <w:pPr>
      <w:spacing w:before="100" w:beforeAutospacing="1" w:after="100" w:afterAutospacing="1" w:line="240" w:lineRule="auto"/>
      <w:ind w:firstLine="0" w:firstLineChars="0"/>
    </w:pPr>
    <w:rPr>
      <w:rFonts w:ascii="微软雅黑" w:hAnsi="微软雅黑" w:eastAsia="微软雅黑" w:cs="宋体"/>
      <w:b/>
      <w:bCs/>
      <w:color w:val="000000"/>
      <w:kern w:val="0"/>
      <w:sz w:val="20"/>
    </w:rPr>
  </w:style>
  <w:style w:type="paragraph" w:customStyle="1" w:styleId="99">
    <w:name w:val="font15"/>
    <w:basedOn w:val="1"/>
    <w:qFormat/>
    <w:uiPriority w:val="0"/>
    <w:pPr>
      <w:spacing w:before="100" w:beforeAutospacing="1" w:after="100" w:afterAutospacing="1" w:line="240" w:lineRule="auto"/>
      <w:ind w:firstLine="0" w:firstLineChars="0"/>
    </w:pPr>
    <w:rPr>
      <w:rFonts w:ascii="Arial" w:hAnsi="Arial" w:eastAsia="宋体" w:cs="Arial"/>
      <w:color w:val="000000"/>
      <w:kern w:val="0"/>
      <w:sz w:val="20"/>
    </w:rPr>
  </w:style>
  <w:style w:type="paragraph" w:customStyle="1" w:styleId="100">
    <w:name w:val="font16"/>
    <w:basedOn w:val="1"/>
    <w:qFormat/>
    <w:uiPriority w:val="0"/>
    <w:pPr>
      <w:spacing w:before="100" w:beforeAutospacing="1" w:after="100" w:afterAutospacing="1" w:line="240" w:lineRule="auto"/>
      <w:ind w:firstLine="0" w:firstLineChars="0"/>
    </w:pPr>
    <w:rPr>
      <w:rFonts w:ascii="Arial" w:hAnsi="Arial" w:eastAsia="宋体" w:cs="Arial"/>
      <w:b/>
      <w:bCs/>
      <w:color w:val="000000"/>
      <w:kern w:val="0"/>
      <w:sz w:val="20"/>
    </w:rPr>
  </w:style>
  <w:style w:type="paragraph" w:customStyle="1" w:styleId="101">
    <w:name w:val="font17"/>
    <w:basedOn w:val="1"/>
    <w:qFormat/>
    <w:uiPriority w:val="0"/>
    <w:pPr>
      <w:spacing w:before="100" w:beforeAutospacing="1" w:after="100" w:afterAutospacing="1" w:line="240" w:lineRule="auto"/>
      <w:ind w:firstLine="0" w:firstLineChars="0"/>
    </w:pPr>
    <w:rPr>
      <w:rFonts w:ascii="微软雅黑" w:hAnsi="微软雅黑" w:eastAsia="微软雅黑" w:cs="宋体"/>
      <w:color w:val="000000"/>
      <w:kern w:val="0"/>
      <w:sz w:val="18"/>
      <w:szCs w:val="18"/>
    </w:rPr>
  </w:style>
  <w:style w:type="paragraph" w:customStyle="1" w:styleId="102">
    <w:name w:val="font18"/>
    <w:basedOn w:val="1"/>
    <w:qFormat/>
    <w:uiPriority w:val="0"/>
    <w:pPr>
      <w:spacing w:before="100" w:beforeAutospacing="1" w:after="100" w:afterAutospacing="1" w:line="240" w:lineRule="auto"/>
      <w:ind w:firstLine="0" w:firstLineChars="0"/>
    </w:pPr>
    <w:rPr>
      <w:rFonts w:ascii="Arial" w:hAnsi="Arial" w:eastAsia="宋体" w:cs="Arial"/>
      <w:color w:val="000000"/>
      <w:kern w:val="0"/>
      <w:sz w:val="18"/>
      <w:szCs w:val="18"/>
    </w:rPr>
  </w:style>
  <w:style w:type="paragraph" w:customStyle="1" w:styleId="103">
    <w:name w:val="font19"/>
    <w:basedOn w:val="1"/>
    <w:qFormat/>
    <w:uiPriority w:val="0"/>
    <w:pPr>
      <w:spacing w:before="100" w:beforeAutospacing="1" w:after="100" w:afterAutospacing="1" w:line="240" w:lineRule="auto"/>
      <w:ind w:firstLine="0" w:firstLineChars="0"/>
    </w:pPr>
    <w:rPr>
      <w:rFonts w:ascii="Arial" w:hAnsi="Arial" w:eastAsia="宋体" w:cs="Arial"/>
      <w:color w:val="000000"/>
      <w:kern w:val="0"/>
      <w:sz w:val="16"/>
      <w:szCs w:val="16"/>
    </w:rPr>
  </w:style>
  <w:style w:type="paragraph" w:customStyle="1" w:styleId="104">
    <w:name w:val="font20"/>
    <w:basedOn w:val="1"/>
    <w:qFormat/>
    <w:uiPriority w:val="0"/>
    <w:pPr>
      <w:spacing w:before="100" w:beforeAutospacing="1" w:after="100" w:afterAutospacing="1" w:line="240" w:lineRule="auto"/>
      <w:ind w:firstLine="0" w:firstLineChars="0"/>
    </w:pPr>
    <w:rPr>
      <w:rFonts w:ascii="微软雅黑" w:hAnsi="微软雅黑" w:eastAsia="微软雅黑" w:cs="宋体"/>
      <w:color w:val="000000"/>
      <w:kern w:val="0"/>
      <w:sz w:val="16"/>
      <w:szCs w:val="16"/>
    </w:rPr>
  </w:style>
  <w:style w:type="paragraph" w:customStyle="1" w:styleId="105">
    <w:name w:val="xl77"/>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Arial" w:hAnsi="Arial" w:eastAsia="宋体" w:cs="Arial"/>
      <w:b/>
      <w:bCs/>
      <w:color w:val="000000"/>
      <w:kern w:val="0"/>
      <w:sz w:val="20"/>
    </w:rPr>
  </w:style>
  <w:style w:type="paragraph" w:customStyle="1" w:styleId="106">
    <w:name w:val="xl7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Arial" w:hAnsi="Arial" w:eastAsia="宋体" w:cs="Arial"/>
      <w:color w:val="000000"/>
      <w:kern w:val="0"/>
      <w:sz w:val="18"/>
      <w:szCs w:val="18"/>
    </w:rPr>
  </w:style>
  <w:style w:type="paragraph" w:customStyle="1" w:styleId="107">
    <w:name w:val="xl7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宋体" w:hAnsi="宋体" w:eastAsia="宋体" w:cs="宋体"/>
      <w:kern w:val="0"/>
      <w:sz w:val="24"/>
      <w:szCs w:val="24"/>
    </w:rPr>
  </w:style>
  <w:style w:type="paragraph" w:customStyle="1" w:styleId="108">
    <w:name w:val="xl8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Arial" w:hAnsi="Arial" w:eastAsia="宋体" w:cs="Arial"/>
      <w:color w:val="000000"/>
      <w:kern w:val="0"/>
      <w:sz w:val="16"/>
      <w:szCs w:val="16"/>
    </w:rPr>
  </w:style>
  <w:style w:type="paragraph" w:customStyle="1" w:styleId="109">
    <w:name w:val="xl8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宋体" w:hAnsi="宋体" w:eastAsia="宋体" w:cs="宋体"/>
      <w:color w:val="000000"/>
      <w:kern w:val="0"/>
      <w:sz w:val="16"/>
      <w:szCs w:val="16"/>
    </w:rPr>
  </w:style>
  <w:style w:type="paragraph" w:customStyle="1" w:styleId="110">
    <w:name w:val="xl8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Arial" w:hAnsi="Arial" w:eastAsia="宋体" w:cs="Arial"/>
      <w:kern w:val="0"/>
      <w:sz w:val="36"/>
      <w:szCs w:val="36"/>
    </w:rPr>
  </w:style>
  <w:style w:type="paragraph" w:customStyle="1" w:styleId="111">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仿宋" w:hAnsi="仿宋" w:eastAsia="仿宋" w:cs="宋体"/>
      <w:color w:val="000000"/>
      <w:kern w:val="0"/>
      <w:sz w:val="21"/>
      <w:szCs w:val="21"/>
    </w:rPr>
  </w:style>
  <w:style w:type="paragraph" w:customStyle="1" w:styleId="112">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pPr>
    <w:rPr>
      <w:rFonts w:ascii="仿宋" w:hAnsi="仿宋" w:eastAsia="仿宋" w:cs="宋体"/>
      <w:color w:val="000000"/>
      <w:kern w:val="0"/>
      <w:sz w:val="21"/>
      <w:szCs w:val="21"/>
    </w:rPr>
  </w:style>
  <w:style w:type="paragraph" w:customStyle="1" w:styleId="113">
    <w:name w:val="xl85"/>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pPr>
    <w:rPr>
      <w:rFonts w:ascii="仿宋" w:hAnsi="仿宋" w:eastAsia="仿宋" w:cs="宋体"/>
      <w:color w:val="000000"/>
      <w:kern w:val="0"/>
      <w:sz w:val="21"/>
      <w:szCs w:val="21"/>
    </w:rPr>
  </w:style>
  <w:style w:type="paragraph" w:customStyle="1" w:styleId="114">
    <w:name w:val="xl8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pPr>
    <w:rPr>
      <w:rFonts w:ascii="Calibri Light" w:hAnsi="Calibri Light" w:eastAsia="宋体" w:cs="Calibri Light"/>
      <w:color w:val="000000"/>
      <w:kern w:val="0"/>
      <w:sz w:val="21"/>
      <w:szCs w:val="21"/>
    </w:rPr>
  </w:style>
  <w:style w:type="paragraph" w:customStyle="1" w:styleId="115">
    <w:name w:val="xl87"/>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pPr>
    <w:rPr>
      <w:rFonts w:ascii="仿宋" w:hAnsi="仿宋" w:eastAsia="仿宋" w:cs="宋体"/>
      <w:color w:val="000000"/>
      <w:kern w:val="0"/>
      <w:sz w:val="21"/>
      <w:szCs w:val="21"/>
    </w:rPr>
  </w:style>
  <w:style w:type="paragraph" w:customStyle="1" w:styleId="116">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eastAsia="宋体"/>
      <w:color w:val="000000"/>
      <w:kern w:val="0"/>
      <w:sz w:val="21"/>
      <w:szCs w:val="21"/>
    </w:rPr>
  </w:style>
  <w:style w:type="character" w:customStyle="1" w:styleId="117">
    <w:name w:val="标题 1 字符"/>
    <w:link w:val="2"/>
    <w:qFormat/>
    <w:uiPriority w:val="99"/>
    <w:rPr>
      <w:rFonts w:ascii="方正小标宋简体" w:hAnsi="方正小标宋简体" w:eastAsia="方正小标宋简体" w:cs="方正小标宋简体"/>
      <w:spacing w:val="0"/>
      <w:kern w:val="2"/>
      <w:sz w:val="44"/>
      <w:szCs w:val="44"/>
      <w:highlight w:val="none"/>
      <w:u w:val="none"/>
      <w:lang w:val="en-US" w:eastAsia="zh-CN" w:bidi="ar-SA"/>
      <w14:ligatures w14:val="standardContextual"/>
    </w:rPr>
  </w:style>
  <w:style w:type="character" w:customStyle="1" w:styleId="118">
    <w:name w:val="纯文本 字符"/>
    <w:link w:val="18"/>
    <w:qFormat/>
    <w:uiPriority w:val="99"/>
    <w:rPr>
      <w:rFonts w:ascii="方正小标宋简体" w:hAnsi="方正小标宋简体" w:eastAsia="方正小标宋简体" w:cs="方正小标宋简体"/>
      <w:spacing w:val="0"/>
      <w:kern w:val="2"/>
      <w:sz w:val="36"/>
      <w:szCs w:val="36"/>
      <w:highlight w:val="none"/>
      <w:u w:val="none"/>
      <w:lang w:val="en-US" w:eastAsia="zh-CN" w:bidi="ar-SA"/>
    </w:rPr>
  </w:style>
  <w:style w:type="character" w:customStyle="1" w:styleId="119">
    <w:name w:val="脚注文本 字符"/>
    <w:basedOn w:val="35"/>
    <w:link w:val="28"/>
    <w:qFormat/>
    <w:uiPriority w:val="99"/>
    <w:rPr>
      <w:rFonts w:eastAsia="仿宋_GB2312"/>
      <w:kern w:val="2"/>
      <w:sz w:val="18"/>
      <w:szCs w:val="18"/>
    </w:rPr>
  </w:style>
  <w:style w:type="character" w:customStyle="1" w:styleId="120">
    <w:name w:val="正文文本 2 字符"/>
    <w:basedOn w:val="35"/>
    <w:link w:val="32"/>
    <w:qFormat/>
    <w:uiPriority w:val="0"/>
    <w:rPr>
      <w:rFonts w:eastAsia="仿宋_GB2312"/>
      <w:kern w:val="2"/>
      <w:sz w:val="32"/>
      <w:szCs w:val="22"/>
    </w:rPr>
  </w:style>
  <w:style w:type="character" w:customStyle="1" w:styleId="121">
    <w:name w:val="未处理的提及3"/>
    <w:basedOn w:val="35"/>
    <w:semiHidden/>
    <w:unhideWhenUsed/>
    <w:qFormat/>
    <w:uiPriority w:val="99"/>
    <w:rPr>
      <w:color w:val="605E5C"/>
      <w:shd w:val="clear" w:color="auto" w:fill="E1DFDD"/>
    </w:rPr>
  </w:style>
  <w:style w:type="character" w:customStyle="1" w:styleId="122">
    <w:name w:val="未处理的提及4"/>
    <w:basedOn w:val="35"/>
    <w:semiHidden/>
    <w:unhideWhenUsed/>
    <w:qFormat/>
    <w:uiPriority w:val="99"/>
    <w:rPr>
      <w:color w:val="605E5C"/>
      <w:shd w:val="clear" w:color="auto" w:fill="E1DFDD"/>
    </w:rPr>
  </w:style>
  <w:style w:type="paragraph" w:customStyle="1" w:styleId="123">
    <w:name w:val="封面标题格式"/>
    <w:basedOn w:val="1"/>
    <w:qFormat/>
    <w:uiPriority w:val="0"/>
    <w:pPr>
      <w:ind w:firstLine="638" w:firstLineChars="145"/>
      <w:jc w:val="center"/>
    </w:pPr>
    <w:rPr>
      <w:rFonts w:eastAsia="方正小标宋简体"/>
      <w:color w:val="000000" w:themeColor="text1"/>
      <w:sz w:val="44"/>
      <w:szCs w:val="44"/>
      <w14:textFill>
        <w14:solidFill>
          <w14:schemeClr w14:val="tx1"/>
        </w14:solidFill>
      </w14:textFill>
    </w:rPr>
  </w:style>
  <w:style w:type="paragraph" w:customStyle="1" w:styleId="124">
    <w:name w:val="表格内文字样式"/>
    <w:basedOn w:val="1"/>
    <w:link w:val="125"/>
    <w:qFormat/>
    <w:uiPriority w:val="0"/>
    <w:pPr>
      <w:snapToGrid w:val="0"/>
      <w:spacing w:line="240" w:lineRule="auto"/>
      <w:ind w:firstLine="0" w:firstLineChars="0"/>
      <w:jc w:val="center"/>
    </w:pPr>
    <w:rPr>
      <w:rFonts w:cs="宋体"/>
      <w:bCs/>
      <w:color w:val="000000" w:themeColor="text1"/>
      <w:sz w:val="21"/>
      <w:szCs w:val="21"/>
      <w14:textFill>
        <w14:solidFill>
          <w14:schemeClr w14:val="tx1"/>
        </w14:solidFill>
      </w14:textFill>
    </w:rPr>
  </w:style>
  <w:style w:type="character" w:customStyle="1" w:styleId="125">
    <w:name w:val="表格内文字样式 字符"/>
    <w:basedOn w:val="35"/>
    <w:link w:val="124"/>
    <w:qFormat/>
    <w:uiPriority w:val="0"/>
    <w:rPr>
      <w:rFonts w:eastAsia="仿宋_GB2312" w:cs="宋体"/>
      <w:bCs/>
      <w:color w:val="000000" w:themeColor="text1"/>
      <w:kern w:val="2"/>
      <w:sz w:val="21"/>
      <w:szCs w:val="21"/>
      <w14:textFill>
        <w14:solidFill>
          <w14:schemeClr w14:val="tx1"/>
        </w14:solidFill>
      </w14:textFill>
    </w:rPr>
  </w:style>
  <w:style w:type="paragraph" w:customStyle="1" w:styleId="126">
    <w:name w:val="TOC 标题2"/>
    <w:basedOn w:val="2"/>
    <w:next w:val="1"/>
    <w:unhideWhenUsed/>
    <w:qFormat/>
    <w:uiPriority w:val="39"/>
    <w:pPr>
      <w:keepNext/>
      <w:keepLines/>
      <w:spacing w:before="240" w:line="259" w:lineRule="auto"/>
      <w:jc w:val="left"/>
      <w:outlineLvl w:val="9"/>
    </w:pPr>
    <w:rPr>
      <w:rFonts w:ascii="宋体" w:hAnsi="宋体" w:eastAsia="宋体" w:cs="宋体"/>
      <w:color w:val="2E75B6" w:themeColor="accent1" w:themeShade="BF"/>
      <w:kern w:val="0"/>
      <w:sz w:val="32"/>
      <w:szCs w:val="32"/>
    </w:rPr>
  </w:style>
  <w:style w:type="paragraph" w:customStyle="1" w:styleId="127">
    <w:name w:val="marklang-paragraph"/>
    <w:basedOn w:val="1"/>
    <w:qFormat/>
    <w:uiPriority w:val="0"/>
    <w:pPr>
      <w:spacing w:before="100" w:beforeAutospacing="1" w:after="100" w:afterAutospacing="1" w:line="240" w:lineRule="auto"/>
      <w:ind w:firstLine="0" w:firstLineChars="0"/>
      <w:jc w:val="left"/>
    </w:pPr>
    <w:rPr>
      <w:rFonts w:ascii="宋体" w:hAnsi="宋体" w:eastAsia="宋体" w:cs="宋体"/>
      <w:kern w:val="0"/>
      <w:sz w:val="24"/>
      <w:szCs w:val="24"/>
    </w:rPr>
  </w:style>
  <w:style w:type="character" w:customStyle="1" w:styleId="128">
    <w:name w:val="正文文本缩进 2 字符"/>
    <w:basedOn w:val="35"/>
    <w:link w:val="21"/>
    <w:qFormat/>
    <w:uiPriority w:val="0"/>
    <w:rPr>
      <w:rFonts w:eastAsia="仿宋_GB2312"/>
      <w:spacing w:val="-6"/>
      <w:kern w:val="2"/>
      <w:sz w:val="32"/>
    </w:rPr>
  </w:style>
  <w:style w:type="paragraph" w:customStyle="1" w:styleId="129">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CAEDFB"/>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30">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CAEDFB"/>
      <w:spacing w:before="100" w:beforeAutospacing="1" w:after="100" w:afterAutospacing="1" w:line="240" w:lineRule="auto"/>
      <w:ind w:firstLine="0" w:firstLineChars="0"/>
      <w:jc w:val="left"/>
    </w:pPr>
    <w:rPr>
      <w:rFonts w:ascii="仿宋_GB2312" w:hAnsi="宋体" w:cs="宋体"/>
      <w:spacing w:val="0"/>
      <w:kern w:val="0"/>
      <w:sz w:val="16"/>
      <w:szCs w:val="16"/>
    </w:rPr>
  </w:style>
  <w:style w:type="paragraph" w:customStyle="1" w:styleId="131">
    <w:name w:val="xl9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仿宋_GB2312" w:hAnsi="宋体" w:cs="宋体"/>
      <w:b/>
      <w:bCs/>
      <w:spacing w:val="0"/>
      <w:kern w:val="0"/>
      <w:sz w:val="16"/>
      <w:szCs w:val="16"/>
    </w:rPr>
  </w:style>
  <w:style w:type="paragraph" w:customStyle="1" w:styleId="132">
    <w:name w:val="xl92"/>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仿宋_GB2312" w:hAnsi="宋体" w:cs="宋体"/>
      <w:b/>
      <w:bCs/>
      <w:spacing w:val="0"/>
      <w:kern w:val="0"/>
      <w:sz w:val="16"/>
      <w:szCs w:val="16"/>
    </w:rPr>
  </w:style>
  <w:style w:type="paragraph" w:customStyle="1" w:styleId="133">
    <w:name w:val="xl93"/>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line="240" w:lineRule="auto"/>
      <w:ind w:firstLine="0" w:firstLineChars="0"/>
      <w:jc w:val="center"/>
    </w:pPr>
    <w:rPr>
      <w:rFonts w:ascii="仿宋_GB2312" w:hAnsi="宋体" w:cs="宋体"/>
      <w:b/>
      <w:bCs/>
      <w:spacing w:val="0"/>
      <w:kern w:val="0"/>
      <w:sz w:val="16"/>
      <w:szCs w:val="16"/>
    </w:rPr>
  </w:style>
  <w:style w:type="paragraph" w:customStyle="1" w:styleId="134">
    <w:name w:val="xl94"/>
    <w:basedOn w:val="1"/>
    <w:qFormat/>
    <w:uiPriority w:val="0"/>
    <w:pPr>
      <w:widowControl/>
      <w:pBdr>
        <w:top w:val="single" w:color="auto" w:sz="4" w:space="0"/>
        <w:left w:val="single" w:color="auto" w:sz="4" w:space="0"/>
        <w:bottom w:val="single" w:color="auto" w:sz="4" w:space="0"/>
        <w:right w:val="single" w:color="auto" w:sz="8" w:space="0"/>
      </w:pBdr>
      <w:shd w:val="clear" w:color="000000" w:fill="F2CEEF"/>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35">
    <w:name w:val="xl95"/>
    <w:basedOn w:val="1"/>
    <w:qFormat/>
    <w:uiPriority w:val="0"/>
    <w:pPr>
      <w:widowControl/>
      <w:pBdr>
        <w:top w:val="single" w:color="auto" w:sz="4" w:space="0"/>
        <w:left w:val="single" w:color="auto" w:sz="4" w:space="0"/>
        <w:bottom w:val="single" w:color="auto" w:sz="4" w:space="0"/>
        <w:right w:val="single" w:color="auto" w:sz="8" w:space="0"/>
      </w:pBdr>
      <w:shd w:val="clear" w:color="000000" w:fill="FBE2D5"/>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36">
    <w:name w:val="xl96"/>
    <w:basedOn w:val="1"/>
    <w:qFormat/>
    <w:uiPriority w:val="0"/>
    <w:pPr>
      <w:widowControl/>
      <w:pBdr>
        <w:top w:val="single" w:color="auto" w:sz="4" w:space="0"/>
        <w:left w:val="single" w:color="auto" w:sz="4" w:space="0"/>
        <w:bottom w:val="single" w:color="auto" w:sz="4" w:space="0"/>
        <w:right w:val="single" w:color="auto" w:sz="8" w:space="0"/>
      </w:pBdr>
      <w:shd w:val="clear" w:color="000000" w:fill="CAEDFB"/>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37">
    <w:name w:val="xl97"/>
    <w:basedOn w:val="1"/>
    <w:qFormat/>
    <w:uiPriority w:val="0"/>
    <w:pPr>
      <w:widowControl/>
      <w:pBdr>
        <w:top w:val="single" w:color="auto" w:sz="4" w:space="0"/>
        <w:left w:val="single" w:color="auto" w:sz="4" w:space="0"/>
        <w:bottom w:val="single" w:color="auto" w:sz="4" w:space="0"/>
        <w:right w:val="single" w:color="auto" w:sz="4" w:space="0"/>
      </w:pBdr>
      <w:shd w:val="clear" w:color="000000" w:fill="CAEDFB"/>
      <w:spacing w:before="100" w:beforeAutospacing="1" w:after="100" w:afterAutospacing="1" w:line="240" w:lineRule="auto"/>
      <w:ind w:firstLine="0" w:firstLineChars="0"/>
      <w:jc w:val="center"/>
    </w:pPr>
    <w:rPr>
      <w:rFonts w:ascii="仿宋_GB2312" w:hAnsi="宋体" w:cs="宋体"/>
      <w:b/>
      <w:bCs/>
      <w:spacing w:val="0"/>
      <w:kern w:val="0"/>
      <w:sz w:val="16"/>
      <w:szCs w:val="16"/>
    </w:rPr>
  </w:style>
  <w:style w:type="paragraph" w:customStyle="1" w:styleId="138">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CAEDFB"/>
      <w:spacing w:before="100" w:beforeAutospacing="1" w:after="100" w:afterAutospacing="1" w:line="240" w:lineRule="auto"/>
      <w:ind w:firstLine="0" w:firstLineChars="0"/>
      <w:jc w:val="left"/>
    </w:pPr>
    <w:rPr>
      <w:rFonts w:ascii="仿宋_GB2312" w:hAnsi="宋体" w:cs="宋体"/>
      <w:b/>
      <w:bCs/>
      <w:spacing w:val="0"/>
      <w:kern w:val="0"/>
      <w:sz w:val="16"/>
      <w:szCs w:val="16"/>
    </w:rPr>
  </w:style>
  <w:style w:type="paragraph" w:customStyle="1" w:styleId="139">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AF2D0"/>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40">
    <w:name w:val="xl100"/>
    <w:basedOn w:val="1"/>
    <w:qFormat/>
    <w:uiPriority w:val="0"/>
    <w:pPr>
      <w:widowControl/>
      <w:pBdr>
        <w:top w:val="single" w:color="auto" w:sz="4" w:space="0"/>
        <w:left w:val="single" w:color="auto" w:sz="8" w:space="0"/>
        <w:bottom w:val="single" w:color="auto" w:sz="4" w:space="0"/>
        <w:right w:val="single" w:color="auto" w:sz="4" w:space="0"/>
      </w:pBdr>
      <w:shd w:val="clear" w:color="000000" w:fill="CAEDFB"/>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41">
    <w:name w:val="xl101"/>
    <w:basedOn w:val="1"/>
    <w:qFormat/>
    <w:uiPriority w:val="0"/>
    <w:pPr>
      <w:widowControl/>
      <w:pBdr>
        <w:top w:val="single" w:color="auto" w:sz="4" w:space="0"/>
        <w:left w:val="single" w:color="auto" w:sz="8" w:space="0"/>
        <w:bottom w:val="single" w:color="auto" w:sz="4" w:space="0"/>
        <w:right w:val="single" w:color="auto" w:sz="4" w:space="0"/>
      </w:pBdr>
      <w:shd w:val="clear" w:color="000000" w:fill="FBE2D5"/>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42">
    <w:name w:val="xl102"/>
    <w:basedOn w:val="1"/>
    <w:qFormat/>
    <w:uiPriority w:val="0"/>
    <w:pPr>
      <w:widowControl/>
      <w:pBdr>
        <w:top w:val="single" w:color="auto" w:sz="4" w:space="0"/>
        <w:left w:val="single" w:color="auto" w:sz="8" w:space="0"/>
        <w:bottom w:val="single" w:color="auto" w:sz="4" w:space="0"/>
        <w:right w:val="single" w:color="auto" w:sz="4" w:space="0"/>
      </w:pBdr>
      <w:shd w:val="clear" w:color="000000" w:fill="F2CEEF"/>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43">
    <w:name w:val="xl103"/>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44">
    <w:name w:val="xl104"/>
    <w:basedOn w:val="1"/>
    <w:qFormat/>
    <w:uiPriority w:val="0"/>
    <w:pPr>
      <w:widowControl/>
      <w:pBdr>
        <w:top w:val="single" w:color="auto" w:sz="4" w:space="0"/>
        <w:left w:val="single" w:color="auto" w:sz="4" w:space="0"/>
        <w:bottom w:val="single" w:color="auto" w:sz="4" w:space="0"/>
        <w:right w:val="single" w:color="auto" w:sz="8" w:space="0"/>
      </w:pBdr>
      <w:shd w:val="clear" w:color="000000" w:fill="F2CEEF"/>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45">
    <w:name w:val="xl105"/>
    <w:basedOn w:val="1"/>
    <w:qFormat/>
    <w:uiPriority w:val="0"/>
    <w:pPr>
      <w:widowControl/>
      <w:pBdr>
        <w:top w:val="single" w:color="auto" w:sz="4" w:space="0"/>
        <w:left w:val="single" w:color="auto" w:sz="4" w:space="0"/>
        <w:bottom w:val="single" w:color="auto" w:sz="4" w:space="0"/>
        <w:right w:val="single" w:color="auto" w:sz="8" w:space="0"/>
      </w:pBdr>
      <w:shd w:val="clear" w:color="000000" w:fill="DAF2D0"/>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46">
    <w:name w:val="xl106"/>
    <w:basedOn w:val="1"/>
    <w:qFormat/>
    <w:uiPriority w:val="0"/>
    <w:pPr>
      <w:widowControl/>
      <w:pBdr>
        <w:top w:val="single" w:color="auto" w:sz="4" w:space="0"/>
        <w:left w:val="single" w:color="auto" w:sz="4" w:space="0"/>
        <w:bottom w:val="single" w:color="auto" w:sz="4" w:space="0"/>
        <w:right w:val="single" w:color="auto" w:sz="8" w:space="0"/>
      </w:pBdr>
      <w:shd w:val="clear" w:color="000000" w:fill="C0E6F5"/>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47">
    <w:name w:val="xl107"/>
    <w:basedOn w:val="1"/>
    <w:qFormat/>
    <w:uiPriority w:val="0"/>
    <w:pPr>
      <w:widowControl/>
      <w:pBdr>
        <w:top w:val="single" w:color="auto" w:sz="4" w:space="0"/>
        <w:left w:val="single" w:color="auto" w:sz="4" w:space="0"/>
        <w:bottom w:val="single" w:color="auto" w:sz="4" w:space="0"/>
        <w:right w:val="single" w:color="auto" w:sz="8" w:space="0"/>
      </w:pBdr>
      <w:shd w:val="clear" w:color="000000" w:fill="C0E6F5"/>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48">
    <w:name w:val="xl108"/>
    <w:basedOn w:val="1"/>
    <w:qFormat/>
    <w:uiPriority w:val="0"/>
    <w:pPr>
      <w:widowControl/>
      <w:pBdr>
        <w:top w:val="single" w:color="auto" w:sz="4" w:space="0"/>
        <w:left w:val="single" w:color="auto" w:sz="4" w:space="0"/>
        <w:bottom w:val="single" w:color="auto" w:sz="4" w:space="0"/>
        <w:right w:val="single" w:color="auto" w:sz="8" w:space="0"/>
      </w:pBdr>
      <w:shd w:val="clear" w:color="000000" w:fill="FBE2D5"/>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49">
    <w:name w:val="xl109"/>
    <w:basedOn w:val="1"/>
    <w:qFormat/>
    <w:uiPriority w:val="0"/>
    <w:pPr>
      <w:widowControl/>
      <w:pBdr>
        <w:top w:val="single" w:color="auto" w:sz="4" w:space="0"/>
        <w:left w:val="single" w:color="auto" w:sz="4" w:space="0"/>
        <w:bottom w:val="single" w:color="auto" w:sz="4" w:space="0"/>
        <w:right w:val="single" w:color="auto" w:sz="8" w:space="0"/>
      </w:pBdr>
      <w:shd w:val="clear" w:color="000000" w:fill="F2CEEF"/>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50">
    <w:name w:val="xl110"/>
    <w:basedOn w:val="1"/>
    <w:qFormat/>
    <w:uiPriority w:val="0"/>
    <w:pPr>
      <w:widowControl/>
      <w:pBdr>
        <w:top w:val="single" w:color="auto" w:sz="4" w:space="0"/>
        <w:left w:val="single" w:color="auto" w:sz="8" w:space="0"/>
        <w:bottom w:val="single" w:color="auto" w:sz="4" w:space="0"/>
        <w:right w:val="single" w:color="auto" w:sz="4" w:space="0"/>
      </w:pBdr>
      <w:shd w:val="clear" w:color="000000" w:fill="DAF2D0"/>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51">
    <w:name w:val="xl111"/>
    <w:basedOn w:val="1"/>
    <w:qFormat/>
    <w:uiPriority w:val="0"/>
    <w:pPr>
      <w:widowControl/>
      <w:pBdr>
        <w:top w:val="single" w:color="auto" w:sz="8" w:space="0"/>
        <w:left w:val="single" w:color="auto" w:sz="8" w:space="0"/>
        <w:bottom w:val="single" w:color="auto" w:sz="4" w:space="0"/>
      </w:pBdr>
      <w:spacing w:before="100" w:beforeAutospacing="1" w:after="100" w:afterAutospacing="1" w:line="240" w:lineRule="auto"/>
      <w:ind w:firstLine="0" w:firstLineChars="0"/>
      <w:jc w:val="center"/>
    </w:pPr>
    <w:rPr>
      <w:rFonts w:ascii="仿宋_GB2312" w:hAnsi="宋体" w:cs="宋体"/>
      <w:b/>
      <w:bCs/>
      <w:spacing w:val="0"/>
      <w:kern w:val="0"/>
      <w:sz w:val="16"/>
      <w:szCs w:val="16"/>
    </w:rPr>
  </w:style>
  <w:style w:type="paragraph" w:customStyle="1" w:styleId="152">
    <w:name w:val="xl112"/>
    <w:basedOn w:val="1"/>
    <w:qFormat/>
    <w:uiPriority w:val="0"/>
    <w:pPr>
      <w:widowControl/>
      <w:pBdr>
        <w:top w:val="single" w:color="auto" w:sz="8" w:space="0"/>
        <w:bottom w:val="single" w:color="auto" w:sz="4" w:space="0"/>
        <w:right w:val="single" w:color="auto" w:sz="4" w:space="0"/>
      </w:pBdr>
      <w:spacing w:before="100" w:beforeAutospacing="1" w:after="100" w:afterAutospacing="1" w:line="240" w:lineRule="auto"/>
      <w:ind w:firstLine="0" w:firstLineChars="0"/>
      <w:jc w:val="center"/>
    </w:pPr>
    <w:rPr>
      <w:rFonts w:ascii="仿宋_GB2312" w:hAnsi="宋体" w:cs="宋体"/>
      <w:b/>
      <w:bCs/>
      <w:spacing w:val="0"/>
      <w:kern w:val="0"/>
      <w:sz w:val="16"/>
      <w:szCs w:val="16"/>
    </w:rPr>
  </w:style>
  <w:style w:type="paragraph" w:customStyle="1" w:styleId="153">
    <w:name w:val="xl113"/>
    <w:basedOn w:val="1"/>
    <w:qFormat/>
    <w:uiPriority w:val="0"/>
    <w:pPr>
      <w:widowControl/>
      <w:pBdr>
        <w:top w:val="single" w:color="auto" w:sz="4" w:space="0"/>
        <w:right w:val="single" w:color="auto" w:sz="4" w:space="0"/>
      </w:pBdr>
      <w:shd w:val="clear" w:color="000000" w:fill="DAF2D0"/>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54">
    <w:name w:val="xl114"/>
    <w:basedOn w:val="1"/>
    <w:qFormat/>
    <w:uiPriority w:val="0"/>
    <w:pPr>
      <w:widowControl/>
      <w:pBdr>
        <w:left w:val="single" w:color="auto" w:sz="8" w:space="0"/>
      </w:pBdr>
      <w:shd w:val="clear" w:color="000000" w:fill="DAF2D0"/>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55">
    <w:name w:val="xl115"/>
    <w:basedOn w:val="1"/>
    <w:qFormat/>
    <w:uiPriority w:val="0"/>
    <w:pPr>
      <w:widowControl/>
      <w:pBdr>
        <w:right w:val="single" w:color="auto" w:sz="4" w:space="0"/>
      </w:pBdr>
      <w:shd w:val="clear" w:color="000000" w:fill="DAF2D0"/>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56">
    <w:name w:val="xl116"/>
    <w:basedOn w:val="1"/>
    <w:qFormat/>
    <w:uiPriority w:val="0"/>
    <w:pPr>
      <w:widowControl/>
      <w:pBdr>
        <w:left w:val="single" w:color="auto" w:sz="8" w:space="0"/>
        <w:bottom w:val="single" w:color="auto" w:sz="4" w:space="0"/>
      </w:pBdr>
      <w:shd w:val="clear" w:color="000000" w:fill="DAF2D0"/>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57">
    <w:name w:val="xl117"/>
    <w:basedOn w:val="1"/>
    <w:qFormat/>
    <w:uiPriority w:val="0"/>
    <w:pPr>
      <w:widowControl/>
      <w:pBdr>
        <w:bottom w:val="single" w:color="auto" w:sz="4" w:space="0"/>
        <w:right w:val="single" w:color="auto" w:sz="4" w:space="0"/>
      </w:pBdr>
      <w:shd w:val="clear" w:color="000000" w:fill="DAF2D0"/>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58">
    <w:name w:val="xl118"/>
    <w:basedOn w:val="1"/>
    <w:qFormat/>
    <w:uiPriority w:val="0"/>
    <w:pPr>
      <w:widowControl/>
      <w:pBdr>
        <w:top w:val="single" w:color="auto" w:sz="4" w:space="0"/>
        <w:right w:val="single" w:color="auto" w:sz="4" w:space="0"/>
      </w:pBdr>
      <w:shd w:val="clear" w:color="000000" w:fill="F2CEEF"/>
      <w:spacing w:before="100" w:beforeAutospacing="1" w:after="100" w:afterAutospacing="1" w:line="240" w:lineRule="auto"/>
      <w:ind w:firstLine="0" w:firstLineChars="0"/>
      <w:jc w:val="center"/>
    </w:pPr>
    <w:rPr>
      <w:rFonts w:ascii="仿宋_GB2312" w:hAnsi="宋体" w:cs="宋体"/>
      <w:color w:val="FF0000"/>
      <w:spacing w:val="0"/>
      <w:kern w:val="0"/>
      <w:sz w:val="16"/>
      <w:szCs w:val="16"/>
    </w:rPr>
  </w:style>
  <w:style w:type="paragraph" w:customStyle="1" w:styleId="159">
    <w:name w:val="xl119"/>
    <w:basedOn w:val="1"/>
    <w:qFormat/>
    <w:uiPriority w:val="0"/>
    <w:pPr>
      <w:widowControl/>
      <w:pBdr>
        <w:left w:val="single" w:color="auto" w:sz="8" w:space="0"/>
      </w:pBdr>
      <w:shd w:val="clear" w:color="000000" w:fill="F2CEEF"/>
      <w:spacing w:before="100" w:beforeAutospacing="1" w:after="100" w:afterAutospacing="1" w:line="240" w:lineRule="auto"/>
      <w:ind w:firstLine="0" w:firstLineChars="0"/>
      <w:jc w:val="center"/>
    </w:pPr>
    <w:rPr>
      <w:rFonts w:ascii="仿宋_GB2312" w:hAnsi="宋体" w:cs="宋体"/>
      <w:color w:val="FF0000"/>
      <w:spacing w:val="0"/>
      <w:kern w:val="0"/>
      <w:sz w:val="16"/>
      <w:szCs w:val="16"/>
    </w:rPr>
  </w:style>
  <w:style w:type="paragraph" w:customStyle="1" w:styleId="160">
    <w:name w:val="xl120"/>
    <w:basedOn w:val="1"/>
    <w:qFormat/>
    <w:uiPriority w:val="0"/>
    <w:pPr>
      <w:widowControl/>
      <w:pBdr>
        <w:right w:val="single" w:color="auto" w:sz="4" w:space="0"/>
      </w:pBdr>
      <w:shd w:val="clear" w:color="000000" w:fill="F2CEEF"/>
      <w:spacing w:before="100" w:beforeAutospacing="1" w:after="100" w:afterAutospacing="1" w:line="240" w:lineRule="auto"/>
      <w:ind w:firstLine="0" w:firstLineChars="0"/>
      <w:jc w:val="center"/>
    </w:pPr>
    <w:rPr>
      <w:rFonts w:ascii="仿宋_GB2312" w:hAnsi="宋体" w:cs="宋体"/>
      <w:color w:val="FF0000"/>
      <w:spacing w:val="0"/>
      <w:kern w:val="0"/>
      <w:sz w:val="16"/>
      <w:szCs w:val="16"/>
    </w:rPr>
  </w:style>
  <w:style w:type="paragraph" w:customStyle="1" w:styleId="161">
    <w:name w:val="xl121"/>
    <w:basedOn w:val="1"/>
    <w:qFormat/>
    <w:uiPriority w:val="0"/>
    <w:pPr>
      <w:widowControl/>
      <w:pBdr>
        <w:left w:val="single" w:color="auto" w:sz="8" w:space="0"/>
        <w:bottom w:val="single" w:color="auto" w:sz="4" w:space="0"/>
      </w:pBdr>
      <w:shd w:val="clear" w:color="000000" w:fill="F2CEEF"/>
      <w:spacing w:before="100" w:beforeAutospacing="1" w:after="100" w:afterAutospacing="1" w:line="240" w:lineRule="auto"/>
      <w:ind w:firstLine="0" w:firstLineChars="0"/>
      <w:jc w:val="center"/>
    </w:pPr>
    <w:rPr>
      <w:rFonts w:ascii="仿宋_GB2312" w:hAnsi="宋体" w:cs="宋体"/>
      <w:color w:val="FF0000"/>
      <w:spacing w:val="0"/>
      <w:kern w:val="0"/>
      <w:sz w:val="16"/>
      <w:szCs w:val="16"/>
    </w:rPr>
  </w:style>
  <w:style w:type="paragraph" w:customStyle="1" w:styleId="162">
    <w:name w:val="xl122"/>
    <w:basedOn w:val="1"/>
    <w:qFormat/>
    <w:uiPriority w:val="0"/>
    <w:pPr>
      <w:widowControl/>
      <w:pBdr>
        <w:bottom w:val="single" w:color="auto" w:sz="4" w:space="0"/>
        <w:right w:val="single" w:color="auto" w:sz="4" w:space="0"/>
      </w:pBdr>
      <w:shd w:val="clear" w:color="000000" w:fill="F2CEEF"/>
      <w:spacing w:before="100" w:beforeAutospacing="1" w:after="100" w:afterAutospacing="1" w:line="240" w:lineRule="auto"/>
      <w:ind w:firstLine="0" w:firstLineChars="0"/>
      <w:jc w:val="center"/>
    </w:pPr>
    <w:rPr>
      <w:rFonts w:ascii="仿宋_GB2312" w:hAnsi="宋体" w:cs="宋体"/>
      <w:color w:val="FF0000"/>
      <w:spacing w:val="0"/>
      <w:kern w:val="0"/>
      <w:sz w:val="16"/>
      <w:szCs w:val="16"/>
    </w:rPr>
  </w:style>
  <w:style w:type="paragraph" w:customStyle="1" w:styleId="163">
    <w:name w:val="xl123"/>
    <w:basedOn w:val="1"/>
    <w:qFormat/>
    <w:uiPriority w:val="0"/>
    <w:pPr>
      <w:widowControl/>
      <w:pBdr>
        <w:top w:val="single" w:color="auto" w:sz="4" w:space="0"/>
        <w:left w:val="single" w:color="auto" w:sz="8" w:space="0"/>
        <w:bottom w:val="single" w:color="auto" w:sz="4" w:space="0"/>
        <w:right w:val="single" w:color="auto" w:sz="4" w:space="0"/>
      </w:pBdr>
      <w:shd w:val="clear" w:color="000000" w:fill="CAEDFB"/>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64">
    <w:name w:val="xl124"/>
    <w:basedOn w:val="1"/>
    <w:qFormat/>
    <w:uiPriority w:val="0"/>
    <w:pPr>
      <w:widowControl/>
      <w:pBdr>
        <w:top w:val="single" w:color="auto" w:sz="4" w:space="0"/>
        <w:left w:val="single" w:color="auto" w:sz="8" w:space="0"/>
      </w:pBdr>
      <w:shd w:val="clear" w:color="000000" w:fill="F2CEEF"/>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65">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FBE2D5"/>
      <w:spacing w:before="100" w:beforeAutospacing="1" w:after="100" w:afterAutospacing="1" w:line="240" w:lineRule="auto"/>
      <w:ind w:firstLine="0" w:firstLineChars="0"/>
      <w:jc w:val="left"/>
    </w:pPr>
    <w:rPr>
      <w:rFonts w:ascii="仿宋_GB2312" w:hAnsi="宋体" w:cs="宋体"/>
      <w:b/>
      <w:bCs/>
      <w:spacing w:val="0"/>
      <w:kern w:val="0"/>
      <w:sz w:val="16"/>
      <w:szCs w:val="16"/>
    </w:rPr>
  </w:style>
  <w:style w:type="paragraph" w:customStyle="1" w:styleId="166">
    <w:name w:val="xl126"/>
    <w:basedOn w:val="1"/>
    <w:qFormat/>
    <w:uiPriority w:val="0"/>
    <w:pPr>
      <w:widowControl/>
      <w:pBdr>
        <w:top w:val="single" w:color="auto" w:sz="4" w:space="0"/>
        <w:left w:val="single" w:color="auto" w:sz="8" w:space="0"/>
      </w:pBdr>
      <w:shd w:val="clear" w:color="000000" w:fill="FBE2D5"/>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67">
    <w:name w:val="xl127"/>
    <w:basedOn w:val="1"/>
    <w:qFormat/>
    <w:uiPriority w:val="0"/>
    <w:pPr>
      <w:widowControl/>
      <w:pBdr>
        <w:top w:val="single" w:color="auto" w:sz="4" w:space="0"/>
        <w:right w:val="single" w:color="auto" w:sz="4" w:space="0"/>
      </w:pBdr>
      <w:shd w:val="clear" w:color="000000" w:fill="FBE2D5"/>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68">
    <w:name w:val="xl128"/>
    <w:basedOn w:val="1"/>
    <w:qFormat/>
    <w:uiPriority w:val="0"/>
    <w:pPr>
      <w:widowControl/>
      <w:pBdr>
        <w:left w:val="single" w:color="auto" w:sz="8" w:space="0"/>
      </w:pBdr>
      <w:shd w:val="clear" w:color="000000" w:fill="FBE2D5"/>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69">
    <w:name w:val="xl129"/>
    <w:basedOn w:val="1"/>
    <w:qFormat/>
    <w:uiPriority w:val="0"/>
    <w:pPr>
      <w:widowControl/>
      <w:pBdr>
        <w:right w:val="single" w:color="auto" w:sz="4" w:space="0"/>
      </w:pBdr>
      <w:shd w:val="clear" w:color="000000" w:fill="FBE2D5"/>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70">
    <w:name w:val="xl130"/>
    <w:basedOn w:val="1"/>
    <w:qFormat/>
    <w:uiPriority w:val="0"/>
    <w:pPr>
      <w:widowControl/>
      <w:pBdr>
        <w:left w:val="single" w:color="auto" w:sz="8" w:space="0"/>
        <w:bottom w:val="single" w:color="auto" w:sz="4" w:space="0"/>
      </w:pBdr>
      <w:shd w:val="clear" w:color="000000" w:fill="FBE2D5"/>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71">
    <w:name w:val="xl131"/>
    <w:basedOn w:val="1"/>
    <w:qFormat/>
    <w:uiPriority w:val="0"/>
    <w:pPr>
      <w:widowControl/>
      <w:pBdr>
        <w:bottom w:val="single" w:color="auto" w:sz="4" w:space="0"/>
        <w:right w:val="single" w:color="auto" w:sz="4" w:space="0"/>
      </w:pBdr>
      <w:shd w:val="clear" w:color="000000" w:fill="FBE2D5"/>
      <w:spacing w:before="100" w:beforeAutospacing="1" w:after="100" w:afterAutospacing="1" w:line="240" w:lineRule="auto"/>
      <w:ind w:firstLine="0" w:firstLineChars="0"/>
      <w:jc w:val="center"/>
    </w:pPr>
    <w:rPr>
      <w:rFonts w:ascii="仿宋_GB2312" w:hAnsi="宋体" w:cs="宋体"/>
      <w:spacing w:val="0"/>
      <w:kern w:val="0"/>
      <w:sz w:val="16"/>
      <w:szCs w:val="16"/>
    </w:rPr>
  </w:style>
  <w:style w:type="paragraph" w:customStyle="1" w:styleId="172">
    <w:name w:val="21bc9c4b-6a32-43e5-beaa-fd2d792c5735"/>
    <w:basedOn w:val="2"/>
    <w:next w:val="173"/>
    <w:link w:val="174"/>
    <w:qFormat/>
    <w:uiPriority w:val="0"/>
    <w:pPr>
      <w:adjustRightInd w:val="0"/>
      <w:spacing w:line="288" w:lineRule="auto"/>
      <w:jc w:val="left"/>
    </w:pPr>
    <w:rPr>
      <w:rFonts w:ascii="微软雅黑" w:hAnsi="微软雅黑" w:eastAsia="微软雅黑"/>
      <w:b/>
      <w:color w:val="000000"/>
      <w:sz w:val="32"/>
    </w:rPr>
  </w:style>
  <w:style w:type="paragraph" w:customStyle="1" w:styleId="173">
    <w:name w:val="acbfdd8b-e11b-4d36-88ff-6049b138f862"/>
    <w:basedOn w:val="1"/>
    <w:link w:val="175"/>
    <w:qFormat/>
    <w:uiPriority w:val="0"/>
    <w:pPr>
      <w:adjustRightInd w:val="0"/>
      <w:spacing w:line="288" w:lineRule="auto"/>
      <w:ind w:firstLine="0"/>
      <w:jc w:val="left"/>
    </w:pPr>
    <w:rPr>
      <w:rFonts w:ascii="微软雅黑" w:hAnsi="微软雅黑" w:eastAsia="微软雅黑"/>
      <w:color w:val="000000"/>
      <w:sz w:val="22"/>
    </w:rPr>
  </w:style>
  <w:style w:type="character" w:customStyle="1" w:styleId="174">
    <w:name w:val="21bc9c4b-6a32-43e5-beaa-fd2d792c5735 字符"/>
    <w:basedOn w:val="35"/>
    <w:link w:val="172"/>
    <w:qFormat/>
    <w:uiPriority w:val="0"/>
    <w:rPr>
      <w:rFonts w:ascii="微软雅黑" w:hAnsi="微软雅黑" w:eastAsia="微软雅黑"/>
      <w:b/>
      <w:bCs/>
      <w:color w:val="000000"/>
      <w:spacing w:val="-6"/>
      <w:kern w:val="44"/>
      <w:sz w:val="32"/>
      <w:szCs w:val="44"/>
    </w:rPr>
  </w:style>
  <w:style w:type="character" w:customStyle="1" w:styleId="175">
    <w:name w:val="acbfdd8b-e11b-4d36-88ff-6049b138f862 字符"/>
    <w:basedOn w:val="35"/>
    <w:link w:val="173"/>
    <w:qFormat/>
    <w:uiPriority w:val="0"/>
    <w:rPr>
      <w:rFonts w:ascii="微软雅黑" w:hAnsi="微软雅黑" w:eastAsia="微软雅黑"/>
      <w:color w:val="000000"/>
      <w:spacing w:val="-6"/>
      <w:kern w:val="2"/>
      <w:sz w:val="22"/>
    </w:rPr>
  </w:style>
  <w:style w:type="character" w:customStyle="1" w:styleId="176">
    <w:name w:val="未处理的提及5"/>
    <w:basedOn w:val="35"/>
    <w:semiHidden/>
    <w:unhideWhenUsed/>
    <w:qFormat/>
    <w:uiPriority w:val="99"/>
    <w:rPr>
      <w:color w:val="605E5C"/>
      <w:shd w:val="clear" w:color="auto" w:fill="E1DFDD"/>
    </w:rPr>
  </w:style>
  <w:style w:type="character" w:customStyle="1" w:styleId="177">
    <w:name w:val="未处理的提及6"/>
    <w:basedOn w:val="35"/>
    <w:semiHidden/>
    <w:unhideWhenUsed/>
    <w:qFormat/>
    <w:uiPriority w:val="99"/>
    <w:rPr>
      <w:color w:val="605E5C"/>
      <w:shd w:val="clear" w:color="auto" w:fill="E1DFDD"/>
    </w:rPr>
  </w:style>
  <w:style w:type="paragraph" w:customStyle="1" w:styleId="178">
    <w:name w:val="修订1"/>
    <w:hidden/>
    <w:unhideWhenUsed/>
    <w:qFormat/>
    <w:uiPriority w:val="99"/>
    <w:pPr>
      <w:spacing w:after="160" w:line="278" w:lineRule="auto"/>
    </w:pPr>
    <w:rPr>
      <w:rFonts w:ascii="Times New Roman" w:hAnsi="Times New Roman" w:eastAsia="仿宋_GB2312" w:cs="Times New Roman"/>
      <w:spacing w:val="-6"/>
      <w:kern w:val="2"/>
      <w:sz w:val="32"/>
      <w:lang w:val="en-US" w:eastAsia="zh-CN" w:bidi="ar-SA"/>
    </w:rPr>
  </w:style>
  <w:style w:type="paragraph" w:customStyle="1" w:styleId="179">
    <w:name w:val="修订2"/>
    <w:hidden/>
    <w:unhideWhenUsed/>
    <w:qFormat/>
    <w:uiPriority w:val="99"/>
    <w:rPr>
      <w:rFonts w:ascii="Times New Roman" w:hAnsi="Times New Roman" w:eastAsia="仿宋_GB2312" w:cs="Times New Roman"/>
      <w:spacing w:val="-6"/>
      <w:kern w:val="2"/>
      <w:sz w:val="32"/>
      <w:lang w:val="en-US" w:eastAsia="zh-CN" w:bidi="ar-SA"/>
    </w:rPr>
  </w:style>
  <w:style w:type="character" w:customStyle="1" w:styleId="180">
    <w:name w:val="未处理的提及7"/>
    <w:basedOn w:val="35"/>
    <w:semiHidden/>
    <w:unhideWhenUsed/>
    <w:qFormat/>
    <w:uiPriority w:val="99"/>
    <w:rPr>
      <w:rFonts w:ascii="Times New Roman" w:hAnsi="Times New Roman" w:eastAsia="宋体" w:cs="Times New Roman"/>
      <w:color w:val="605E5C"/>
      <w:shd w:val="clear" w:color="auto" w:fill="E1DFDD"/>
    </w:rPr>
  </w:style>
  <w:style w:type="paragraph" w:customStyle="1" w:styleId="181">
    <w:name w:val="修订3"/>
    <w:hidden/>
    <w:unhideWhenUsed/>
    <w:qFormat/>
    <w:uiPriority w:val="99"/>
    <w:rPr>
      <w:rFonts w:ascii="Times New Roman" w:hAnsi="Times New Roman" w:eastAsia="仿宋_GB2312" w:cs="Times New Roman"/>
      <w:spacing w:val="-6"/>
      <w:kern w:val="2"/>
      <w:sz w:val="32"/>
      <w:lang w:val="en-US" w:eastAsia="zh-CN" w:bidi="ar-SA"/>
    </w:rPr>
  </w:style>
  <w:style w:type="character" w:customStyle="1" w:styleId="182">
    <w:name w:val="未处理的提及8"/>
    <w:basedOn w:val="35"/>
    <w:semiHidden/>
    <w:unhideWhenUsed/>
    <w:qFormat/>
    <w:uiPriority w:val="99"/>
    <w:rPr>
      <w:color w:val="605E5C"/>
      <w:shd w:val="clear" w:color="auto" w:fill="E1DFDD"/>
    </w:rPr>
  </w:style>
  <w:style w:type="character" w:customStyle="1" w:styleId="183">
    <w:name w:val="未处理的提及9"/>
    <w:basedOn w:val="35"/>
    <w:semiHidden/>
    <w:unhideWhenUsed/>
    <w:qFormat/>
    <w:uiPriority w:val="99"/>
    <w:rPr>
      <w:rFonts w:ascii="Times New Roman" w:hAnsi="Times New Roman" w:eastAsia="宋体" w:cs="Times New Roman"/>
      <w:color w:val="605E5C"/>
      <w:shd w:val="clear" w:color="auto" w:fill="E1DFDD"/>
    </w:rPr>
  </w:style>
  <w:style w:type="character" w:customStyle="1" w:styleId="184">
    <w:name w:val="正文文本首行缩进 2 字符1"/>
    <w:basedOn w:val="66"/>
    <w:link w:val="24"/>
    <w:qFormat/>
    <w:uiPriority w:val="0"/>
    <w:rPr>
      <w:rFonts w:ascii="Times New Roman" w:hAnsi="Times New Roman" w:eastAsia="仿宋_GB2312" w:cs="Times New Roman"/>
      <w:kern w:val="2"/>
      <w:sz w:val="32"/>
      <w:szCs w:val="22"/>
    </w:rPr>
  </w:style>
  <w:style w:type="paragraph" w:customStyle="1" w:styleId="185">
    <w:name w:val="Table Text"/>
    <w:basedOn w:val="1"/>
    <w:semiHidden/>
    <w:qFormat/>
    <w:uiPriority w:val="0"/>
    <w:rPr>
      <w:rFonts w:ascii="仿宋_GB2312" w:hAnsi="仿宋_GB2312" w:cs="仿宋_GB2312"/>
      <w:sz w:val="22"/>
      <w:szCs w:val="22"/>
      <w:lang w:eastAsia="en-US"/>
    </w:rPr>
  </w:style>
  <w:style w:type="table" w:customStyle="1" w:styleId="186">
    <w:name w:val="Table Normal"/>
    <w:semiHidden/>
    <w:unhideWhenUsed/>
    <w:qFormat/>
    <w:uiPriority w:val="0"/>
    <w:tblPr>
      <w:tblLayout w:type="fixed"/>
      <w:tblCellMar>
        <w:top w:w="0" w:type="dxa"/>
        <w:left w:w="0" w:type="dxa"/>
        <w:bottom w:w="0" w:type="dxa"/>
        <w:right w:w="0" w:type="dxa"/>
      </w:tblCellMar>
    </w:tblPr>
  </w:style>
  <w:style w:type="paragraph" w:customStyle="1" w:styleId="187">
    <w:name w:val="修订4"/>
    <w:hidden/>
    <w:unhideWhenUsed/>
    <w:qFormat/>
    <w:uiPriority w:val="99"/>
    <w:rPr>
      <w:rFonts w:ascii="Times New Roman" w:hAnsi="Times New Roman" w:eastAsia="仿宋_GB2312" w:cs="Times New Roman"/>
      <w:spacing w:val="-6"/>
      <w:kern w:val="2"/>
      <w:sz w:val="32"/>
      <w:lang w:val="en-US" w:eastAsia="zh-CN" w:bidi="ar-SA"/>
    </w:rPr>
  </w:style>
  <w:style w:type="paragraph" w:customStyle="1" w:styleId="188">
    <w:name w:val="修订5"/>
    <w:hidden/>
    <w:unhideWhenUsed/>
    <w:qFormat/>
    <w:uiPriority w:val="99"/>
    <w:rPr>
      <w:rFonts w:ascii="Times New Roman" w:hAnsi="Times New Roman" w:eastAsia="仿宋_GB2312" w:cs="Times New Roman"/>
      <w:spacing w:val="-6"/>
      <w:kern w:val="2"/>
      <w:sz w:val="32"/>
      <w:lang w:val="en-US" w:eastAsia="zh-CN" w:bidi="ar-SA"/>
    </w:rPr>
  </w:style>
  <w:style w:type="character" w:customStyle="1" w:styleId="189">
    <w:name w:val="未处理的提及10"/>
    <w:basedOn w:val="35"/>
    <w:semiHidden/>
    <w:unhideWhenUsed/>
    <w:qFormat/>
    <w:uiPriority w:val="99"/>
    <w:rPr>
      <w:color w:val="605E5C"/>
      <w:shd w:val="clear" w:color="auto" w:fill="E1DFDD"/>
    </w:rPr>
  </w:style>
  <w:style w:type="paragraph" w:customStyle="1" w:styleId="190">
    <w:name w:val="修订6"/>
    <w:hidden/>
    <w:unhideWhenUsed/>
    <w:qFormat/>
    <w:uiPriority w:val="99"/>
    <w:rPr>
      <w:rFonts w:ascii="Times New Roman" w:hAnsi="Times New Roman" w:eastAsia="仿宋_GB2312" w:cs="Times New Roman"/>
      <w:spacing w:val="-6"/>
      <w:kern w:val="2"/>
      <w:sz w:val="32"/>
      <w:lang w:val="en-US" w:eastAsia="zh-CN" w:bidi="ar-SA"/>
    </w:rPr>
  </w:style>
  <w:style w:type="character" w:customStyle="1" w:styleId="191">
    <w:name w:val="标题 5 字符"/>
    <w:basedOn w:val="35"/>
    <w:link w:val="6"/>
    <w:semiHidden/>
    <w:qFormat/>
    <w:uiPriority w:val="9"/>
    <w:rPr>
      <w:rFonts w:ascii="宋体" w:hAnsi="宋体" w:eastAsia="宋体" w:cs="宋体"/>
      <w:color w:val="2E75B6" w:themeColor="accent1" w:themeShade="BF"/>
      <w:kern w:val="2"/>
      <w:sz w:val="24"/>
      <w:szCs w:val="24"/>
      <w:lang w:val="en-US" w:eastAsia="zh-CN" w:bidi="ar-SA"/>
      <w14:ligatures w14:val="standardContextual"/>
    </w:rPr>
  </w:style>
  <w:style w:type="character" w:customStyle="1" w:styleId="192">
    <w:name w:val="标题 6 字符"/>
    <w:basedOn w:val="35"/>
    <w:link w:val="7"/>
    <w:semiHidden/>
    <w:qFormat/>
    <w:uiPriority w:val="9"/>
    <w:rPr>
      <w:rFonts w:ascii="宋体" w:hAnsi="宋体" w:eastAsia="宋体" w:cs="宋体"/>
      <w:b/>
      <w:bCs/>
      <w:color w:val="2E75B6" w:themeColor="accent1" w:themeShade="BF"/>
      <w:kern w:val="2"/>
      <w:sz w:val="22"/>
      <w:szCs w:val="24"/>
      <w:lang w:val="en-US" w:eastAsia="zh-CN" w:bidi="ar-SA"/>
      <w14:ligatures w14:val="standardContextual"/>
    </w:rPr>
  </w:style>
  <w:style w:type="character" w:customStyle="1" w:styleId="193">
    <w:name w:val="标题 7 字符"/>
    <w:basedOn w:val="35"/>
    <w:link w:val="8"/>
    <w:semiHidden/>
    <w:qFormat/>
    <w:uiPriority w:val="9"/>
    <w:rPr>
      <w:rFonts w:ascii="宋体" w:hAnsi="宋体" w:eastAsia="宋体" w:cs="宋体"/>
      <w:b/>
      <w:bCs/>
      <w:color w:val="595959" w:themeColor="text1" w:themeTint="A6"/>
      <w:kern w:val="2"/>
      <w:sz w:val="22"/>
      <w:szCs w:val="24"/>
      <w:lang w:val="en-US" w:eastAsia="zh-CN" w:bidi="ar-SA"/>
      <w14:textFill>
        <w14:solidFill>
          <w14:schemeClr w14:val="tx1">
            <w14:lumMod w14:val="65000"/>
            <w14:lumOff w14:val="35000"/>
          </w14:schemeClr>
        </w14:solidFill>
      </w14:textFill>
      <w14:ligatures w14:val="standardContextual"/>
    </w:rPr>
  </w:style>
  <w:style w:type="character" w:customStyle="1" w:styleId="194">
    <w:name w:val="标题 8 字符"/>
    <w:basedOn w:val="35"/>
    <w:link w:val="9"/>
    <w:semiHidden/>
    <w:qFormat/>
    <w:uiPriority w:val="9"/>
    <w:rPr>
      <w:rFonts w:ascii="宋体" w:hAnsi="宋体" w:eastAsia="宋体" w:cs="宋体"/>
      <w:color w:val="595959" w:themeColor="text1" w:themeTint="A6"/>
      <w:kern w:val="2"/>
      <w:sz w:val="22"/>
      <w:szCs w:val="24"/>
      <w:lang w:val="en-US" w:eastAsia="zh-CN" w:bidi="ar-SA"/>
      <w14:textFill>
        <w14:solidFill>
          <w14:schemeClr w14:val="tx1">
            <w14:lumMod w14:val="65000"/>
            <w14:lumOff w14:val="35000"/>
          </w14:schemeClr>
        </w14:solidFill>
      </w14:textFill>
      <w14:ligatures w14:val="standardContextual"/>
    </w:rPr>
  </w:style>
  <w:style w:type="character" w:customStyle="1" w:styleId="195">
    <w:name w:val="标题 9 字符"/>
    <w:basedOn w:val="35"/>
    <w:link w:val="10"/>
    <w:semiHidden/>
    <w:qFormat/>
    <w:uiPriority w:val="9"/>
    <w:rPr>
      <w:rFonts w:ascii="宋体" w:hAnsi="宋体" w:eastAsia="宋体" w:cs="宋体"/>
      <w:color w:val="595959" w:themeColor="text1" w:themeTint="A6"/>
      <w:kern w:val="2"/>
      <w:sz w:val="22"/>
      <w:szCs w:val="24"/>
      <w:lang w:val="en-US" w:eastAsia="zh-CN" w:bidi="ar-SA"/>
      <w14:textFill>
        <w14:solidFill>
          <w14:schemeClr w14:val="tx1">
            <w14:lumMod w14:val="65000"/>
            <w14:lumOff w14:val="35000"/>
          </w14:schemeClr>
        </w14:solidFill>
      </w14:textFill>
      <w14:ligatures w14:val="standardContextual"/>
    </w:rPr>
  </w:style>
  <w:style w:type="character" w:customStyle="1" w:styleId="196">
    <w:name w:val="副标题 字符"/>
    <w:link w:val="27"/>
    <w:qFormat/>
    <w:uiPriority w:val="11"/>
    <w:rPr>
      <w:rFonts w:ascii="楷体_GB2312" w:hAnsi="楷体_GB2312" w:eastAsia="楷体_GB2312" w:cs="楷体_GB2312"/>
      <w:color w:val="auto"/>
      <w:spacing w:val="0"/>
      <w:kern w:val="2"/>
      <w:sz w:val="32"/>
      <w:szCs w:val="32"/>
      <w:highlight w:val="none"/>
      <w:u w:val="none"/>
      <w:lang w:val="en-US" w:eastAsia="zh-CN" w:bidi="ar-SA"/>
    </w:rPr>
  </w:style>
  <w:style w:type="paragraph" w:styleId="197">
    <w:name w:val="Quote"/>
    <w:basedOn w:val="1"/>
    <w:next w:val="1"/>
    <w:link w:val="198"/>
    <w:qFormat/>
    <w:uiPriority w:val="29"/>
    <w:pPr>
      <w:spacing w:before="160" w:line="278" w:lineRule="auto"/>
      <w:ind w:firstLine="0" w:firstLineChars="0"/>
      <w:jc w:val="center"/>
    </w:pPr>
    <w:rPr>
      <w:rFonts w:ascii="宋体" w:hAnsi="宋体" w:eastAsia="宋体" w:cs="宋体"/>
      <w:i/>
      <w:iCs/>
      <w:color w:val="404040" w:themeColor="text1" w:themeTint="BF"/>
      <w:spacing w:val="0"/>
      <w:sz w:val="22"/>
      <w:szCs w:val="24"/>
      <w14:textFill>
        <w14:solidFill>
          <w14:schemeClr w14:val="tx1">
            <w14:lumMod w14:val="75000"/>
            <w14:lumOff w14:val="25000"/>
          </w14:schemeClr>
        </w14:solidFill>
      </w14:textFill>
      <w14:ligatures w14:val="standardContextual"/>
    </w:rPr>
  </w:style>
  <w:style w:type="character" w:customStyle="1" w:styleId="198">
    <w:name w:val="引用 字符"/>
    <w:basedOn w:val="35"/>
    <w:link w:val="197"/>
    <w:qFormat/>
    <w:uiPriority w:val="29"/>
    <w:rPr>
      <w:rFonts w:ascii="宋体" w:hAnsi="宋体" w:eastAsia="宋体" w:cs="宋体"/>
      <w:i/>
      <w:iCs/>
      <w:color w:val="404040" w:themeColor="text1" w:themeTint="BF"/>
      <w:kern w:val="2"/>
      <w:sz w:val="22"/>
      <w:szCs w:val="24"/>
      <w:lang w:val="en-US" w:eastAsia="zh-CN" w:bidi="ar-SA"/>
      <w14:textFill>
        <w14:solidFill>
          <w14:schemeClr w14:val="tx1">
            <w14:lumMod w14:val="75000"/>
            <w14:lumOff w14:val="25000"/>
          </w14:schemeClr>
        </w14:solidFill>
      </w14:textFill>
      <w14:ligatures w14:val="standardContextual"/>
    </w:rPr>
  </w:style>
  <w:style w:type="character" w:customStyle="1" w:styleId="199">
    <w:name w:val="明显强调1"/>
    <w:basedOn w:val="35"/>
    <w:qFormat/>
    <w:uiPriority w:val="21"/>
    <w:rPr>
      <w:rFonts w:ascii="宋体" w:hAnsi="宋体" w:eastAsia="宋体" w:cs="宋体"/>
      <w:i/>
      <w:iCs/>
      <w:color w:val="2E75B6" w:themeColor="accent1" w:themeShade="BF"/>
      <w:kern w:val="2"/>
      <w:sz w:val="22"/>
      <w:szCs w:val="24"/>
      <w:lang w:val="en-US" w:eastAsia="zh-CN" w:bidi="ar-SA"/>
      <w14:ligatures w14:val="standardContextual"/>
    </w:rPr>
  </w:style>
  <w:style w:type="paragraph" w:styleId="200">
    <w:name w:val="Intense Quote"/>
    <w:basedOn w:val="1"/>
    <w:next w:val="1"/>
    <w:link w:val="201"/>
    <w:qFormat/>
    <w:uiPriority w:val="30"/>
    <w:pPr>
      <w:pBdr>
        <w:top w:val="single" w:color="2E75B5" w:themeColor="accent1" w:themeShade="BF" w:sz="4" w:space="10"/>
        <w:bottom w:val="single" w:color="2E75B5" w:themeColor="accent1" w:themeShade="BF" w:sz="4" w:space="10"/>
      </w:pBdr>
      <w:spacing w:before="360" w:after="360" w:line="278" w:lineRule="auto"/>
      <w:ind w:left="864" w:right="864" w:firstLine="0" w:firstLineChars="0"/>
      <w:jc w:val="center"/>
    </w:pPr>
    <w:rPr>
      <w:rFonts w:ascii="宋体" w:hAnsi="宋体" w:eastAsia="宋体" w:cs="宋体"/>
      <w:i/>
      <w:iCs/>
      <w:color w:val="2E75B6" w:themeColor="accent1" w:themeShade="BF"/>
      <w:spacing w:val="0"/>
      <w:sz w:val="22"/>
      <w:szCs w:val="24"/>
      <w14:ligatures w14:val="standardContextual"/>
    </w:rPr>
  </w:style>
  <w:style w:type="character" w:customStyle="1" w:styleId="201">
    <w:name w:val="明显引用 字符"/>
    <w:basedOn w:val="35"/>
    <w:link w:val="200"/>
    <w:qFormat/>
    <w:uiPriority w:val="30"/>
    <w:rPr>
      <w:rFonts w:ascii="宋体" w:hAnsi="宋体" w:eastAsia="宋体" w:cs="宋体"/>
      <w:i/>
      <w:iCs/>
      <w:color w:val="2E75B6" w:themeColor="accent1" w:themeShade="BF"/>
      <w:kern w:val="2"/>
      <w:sz w:val="22"/>
      <w:szCs w:val="24"/>
      <w:lang w:val="en-US" w:eastAsia="zh-CN" w:bidi="ar-SA"/>
      <w14:ligatures w14:val="standardContextual"/>
    </w:rPr>
  </w:style>
  <w:style w:type="character" w:customStyle="1" w:styleId="202">
    <w:name w:val="明显参考1"/>
    <w:basedOn w:val="35"/>
    <w:qFormat/>
    <w:uiPriority w:val="32"/>
    <w:rPr>
      <w:rFonts w:ascii="宋体" w:hAnsi="宋体" w:eastAsia="宋体" w:cs="宋体"/>
      <w:b/>
      <w:bCs/>
      <w:smallCaps/>
      <w:color w:val="2E75B6" w:themeColor="accent1" w:themeShade="BF"/>
      <w:spacing w:val="5"/>
      <w:kern w:val="2"/>
      <w:sz w:val="22"/>
      <w:szCs w:val="24"/>
      <w:lang w:val="en-US" w:eastAsia="zh-CN" w:bidi="ar-SA"/>
      <w14:ligatures w14:val="standardContextual"/>
    </w:rPr>
  </w:style>
  <w:style w:type="paragraph" w:customStyle="1" w:styleId="203">
    <w:name w:val="修订7"/>
    <w:hidden/>
    <w:unhideWhenUsed/>
    <w:qFormat/>
    <w:uiPriority w:val="99"/>
    <w:rPr>
      <w:rFonts w:ascii="Times New Roman" w:hAnsi="Times New Roman" w:eastAsia="仿宋_GB2312" w:cs="Times New Roman"/>
      <w:spacing w:val="-6"/>
      <w:kern w:val="2"/>
      <w:sz w:val="32"/>
      <w:lang w:val="en-US" w:eastAsia="zh-CN" w:bidi="ar-SA"/>
    </w:rPr>
  </w:style>
  <w:style w:type="paragraph" w:customStyle="1" w:styleId="204">
    <w:name w:val="修订8"/>
    <w:hidden/>
    <w:unhideWhenUsed/>
    <w:qFormat/>
    <w:uiPriority w:val="99"/>
    <w:rPr>
      <w:rFonts w:ascii="Times New Roman" w:hAnsi="Times New Roman" w:eastAsia="仿宋_GB2312" w:cs="Times New Roman"/>
      <w:spacing w:val="-6"/>
      <w:kern w:val="2"/>
      <w:sz w:val="32"/>
      <w:lang w:val="en-US" w:eastAsia="zh-CN" w:bidi="ar-SA"/>
    </w:rPr>
  </w:style>
  <w:style w:type="character" w:customStyle="1" w:styleId="205">
    <w:name w:val="未处理的提及11"/>
    <w:basedOn w:val="3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0d93d523-b48d-4fef-983e-139515e52171</errorID>
      <errorWord>规模减少</errorWord>
      <group>L1_Word</group>
      <groupName>字词问题</groupName>
      <ability>L2_Typo</ability>
      <abilityName>字词错误</abilityName>
      <candidateList>
        <item>规模减小</item>
      </candidateList>
      <explain/>
      <paraID> E1E4437</paraID>
      <start>329</start>
      <end>333</end>
      <status>unmodified</status>
      <modifiedWord/>
      <trackRevisions>false</trackRevisions>
    </reviewItem>
    <reviewItem>
      <errorID>870110aa-5f85-4ae8-9690-33cc4161a36b</errorID>
      <errorWord>规模减少</errorWord>
      <group>L1_Word</group>
      <groupName>字词问题</groupName>
      <ability>L2_Typo</ability>
      <abilityName>字词错误</abilityName>
      <candidateList>
        <item>规模减小</item>
      </candidateList>
      <explain/>
      <paraID> E1E4437</paraID>
      <start>343</start>
      <end>347</end>
      <status>unmodified</status>
      <modifiedWord/>
      <trackRevisions>false</trackRevisions>
    </reviewItem>
    <reviewItem>
      <errorID>be91ca2e-1c9c-467e-81a8-e5b727660bb1</errorID>
      <errorWord>巩固并扩大“带动三亿人参与冰雪运动”成果</errorWord>
      <group>L1_Political</group>
      <groupName>政治性问题</groupName>
      <ability>L2_Keyword</ability>
      <abilityName>固定表述</abilityName>
      <candidateList>
        <item>巩固和扩大“带动三亿人参与冰雪运动”成果</item>
      </candidateList>
      <explain>词汇“巩固和扩大“带动三亿人参与冰雪运动”成果”在特定场景下为固定表述形式，请确认此处的“巩固并扩大“带动三亿人参与冰雪运动”成果”是否存在不当。</explain>
      <paraID>20FF8FDD</paraID>
      <start>80</start>
      <end>100</end>
      <status>unmodified</status>
      <modifiedWord/>
      <trackRevisions>false</trackRevisions>
    </reviewItem>
    <reviewItem>
      <errorID>59ab5e6c-c59d-4a2d-87e6-62183702e2a4</errorID>
      <errorWord>二十届四中全会</errorWord>
      <group>L1_Political</group>
      <groupName>政治性问题</groupName>
      <ability>L2_Unpolitical</ability>
      <abilityName>政治敏感错误</abilityName>
      <candidateList>
        <item>党的二十届四中全会</item>
      </candidateList>
      <explain/>
      <paraID>38F8AC6A</paraID>
      <start>30</start>
      <end>37</end>
      <status>unmodified</status>
      <modifiedWord/>
      <trackRevisions>false</trackRevisions>
    </reviewItem>
    <reviewItem>
      <errorID>3fa72c7f-1f62-4c31-bb16-a4b003953d89</errorID>
      <errorWord>来</errorWord>
      <group>L1_Word</group>
      <groupName>字词问题</groupName>
      <ability>L2_Typo</ability>
      <abilityName>字词错误</abilityName>
      <candidateList>
        <item>来将</item>
      </candidateList>
      <explain/>
      <paraID> AC0F9AA</paraID>
      <start>207</start>
      <end>208</end>
      <status>unmodified</status>
      <modifiedWord/>
      <trackRevisions>false</trackRevisions>
    </reviewItem>
    <reviewItem>
      <errorID>25bcd1f3-1642-4164-901e-24c3bfc11b62</errorID>
      <errorWord>高质量农田</errorWord>
      <group>L1_Political</group>
      <groupName>政治性问题</groupName>
      <ability>L2_Keyword</ability>
      <abilityName>固定表述</abilityName>
      <candidateList>
        <item>高标准农田</item>
      </candidateList>
      <explain>词汇“高标准农田”在特定场景下为固定表述形式，请确认此处的“高质量农田”是否存在不当。</explain>
      <paraID>40D1FC29</paraID>
      <start>2</start>
      <end>7</end>
      <status>unmodified</status>
      <modifiedWord/>
      <trackRevisions>false</trackRevisions>
    </reviewItem>
    <reviewItem>
      <errorID>302d6318-8402-47ad-9464-add97ae6ae01</errorID>
      <errorWord>生态涵养保护区</errorWord>
      <group>L1_Political</group>
      <groupName>政治性问题</groupName>
      <ability>L2_Keyword</ability>
      <abilityName>固定表述</abilityName>
      <candidateList>
        <item>生态功能保护区</item>
      </candidateList>
      <explain>词汇“生态功能保护区”在特定场景下为固定表述形式，请确认此处的“生态涵养保护区”是否存在不当。</explain>
      <paraID>569E874B</paraID>
      <start>54</start>
      <end>61</end>
      <status>unmodified</status>
      <modifiedWord/>
      <trackRevisions>false</trackRevisions>
    </reviewItem>
    <reviewItem>
      <errorID>4b3530a8-5e18-4b71-a713-bbe224a31371</errorID>
      <errorWord>美好生活需求</errorWord>
      <group>L1_Word</group>
      <groupName>字词问题</groupName>
      <ability>L2_Typo</ability>
      <abilityName>字词错误</abilityName>
      <candidateList>
        <item>美好生活需要</item>
      </candidateList>
      <explain/>
      <paraID> 8967E0C</paraID>
      <start>152</start>
      <end>158</end>
      <status>unmodified</status>
      <modifiedWord/>
      <trackRevisions>false</trackRevisions>
    </reviewItem>
    <reviewItem>
      <errorID>3dd621b7-a8c4-4cf6-a9a2-2cb1d3ce3d71</errorID>
      <errorWord>资源高效集约利用</errorWord>
      <group>L1_Political</group>
      <groupName>政治性问题</groupName>
      <ability>L2_Keyword</ability>
      <abilityName>固定表述</abilityName>
      <candidateList>
        <item>资源节约集约利用</item>
      </candidateList>
      <explain>词汇“资源节约集约利用”在特定场景下为固定表述形式，请确认此处的“资源高效集约利用”是否存在不当。</explain>
      <paraID>1DF4F5BF</paraID>
      <start>59</start>
      <end>67</end>
      <status>unmodified</status>
      <modifiedWord/>
      <trackRevisions>false</trackRevisions>
    </reviewItem>
    <reviewItem>
      <errorID>f61f7480-ab8d-45e9-beb6-9be0fdd64030</errorID>
      <errorWord>城乡结合部</errorWord>
      <group>L1_Knowledge</group>
      <groupName>知识性问题</groupName>
      <ability>L2_Knowledge</ability>
      <abilityName>其他知识</abilityName>
      <candidateList>
        <item>城乡接合部</item>
      </candidateList>
      <explain/>
      <paraID>3E15C1BF</paraID>
      <start>41</start>
      <end>46</end>
      <status>unmodified</status>
      <modifiedWord/>
      <trackRevisions>false</trackRevisions>
    </reviewItem>
    <reviewItem>
      <errorID>1ce535fc-3475-44d3-9161-f15de10e64f7</errorID>
      <errorWord>免申即享</errorWord>
      <group>L1_Political</group>
      <groupName>政治性问题</groupName>
      <ability>L2_Keyword</ability>
      <abilityName>固定表述</abilityName>
      <candidateList>
        <item>“免申即享”</item>
      </candidateList>
      <explain>注意检查当前固定表述标点是否使用规范。</explain>
      <paraID>5FEDD62C</paraID>
      <start>138</start>
      <end>142</end>
      <status>unmodified</status>
      <modifiedWord/>
      <trackRevisions>false</trackRevisions>
    </reviewItem>
    <reviewItem>
      <errorID>56e65142-2235-4d55-897a-85bfa8d17bf2</errorID>
      <errorWord>站站</errorWord>
      <group>L1_Word</group>
      <groupName>字词问题</groupName>
      <ability>L2_Typo</ability>
      <abilityName>字词错误</abilityName>
      <candidateList>
        <item>站</item>
      </candidateList>
      <explain/>
      <paraID>784A7634</paraID>
      <start>326</start>
      <end>328</end>
      <status>unmodified</status>
      <modifiedWord/>
      <trackRevisions>false</trackRevisions>
    </reviewItem>
    <reviewItem>
      <errorID>32b0e073-0884-43de-8bc5-6cc064b58973</errorID>
      <errorWord>首要</errorWord>
      <group>L1_Word</group>
      <groupName>字词问题</groupName>
      <ability>L2_Typo</ability>
      <abilityName>字词错误</abilityName>
      <candidateList>
        <item>要</item>
      </candidateList>
      <explain/>
      <paraID>16248364</paraID>
      <start>27</start>
      <end>29</end>
      <status>unmodified</status>
      <modifiedWord/>
      <trackRevisions>false</trackRevisions>
    </reviewItem>
    <reviewItem>
      <errorID>7cd62d30-7304-4d0f-90fa-a77953187b14</errorID>
      <errorWord>；</errorWord>
      <group>L1_Word</group>
      <groupName>字词问题</groupName>
      <ability>L2_Typo</ability>
      <abilityName>字词错误</abilityName>
      <candidateList>
        <item>；在</item>
      </candidateList>
      <explain/>
      <paraID>6C52CD69</paraID>
      <start>204</start>
      <end>205</end>
      <status>unmodified</status>
      <modifiedWord/>
      <trackRevisions>false</trackRevisions>
    </reviewItem>
    <reviewItem>
      <errorID>7a031f34-928d-41f4-a599-90aafb653e58</errorID>
      <errorWord>、就</errorWord>
      <group>L1_Punc</group>
      <groupName>标点问题</groupName>
      <ability>L2_Punc_CN</ability>
      <abilityName>标点符号问题</abilityName>
      <candidateList>
        <item>，就</item>
      </candidateList>
      <explain>连接词前后不宜使用顿号，建议使用逗号。</explain>
      <paraID>243AE464</paraID>
      <start>104</start>
      <end>106</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6DB846-F85D-4A89-BC8E-252F20E0BA1E}">
  <ds:schemaRefs/>
</ds:datastoreItem>
</file>

<file path=customXml/itemProps3.xml><?xml version="1.0" encoding="utf-8"?>
<ds:datastoreItem xmlns:ds="http://schemas.openxmlformats.org/officeDocument/2006/customXml" ds:itemID="{3A882EB3-435E-400B-BC94-51A62207F71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107</Pages>
  <Words>30539</Words>
  <Characters>30539</Characters>
  <Lines>1221</Lines>
  <Paragraphs>442</Paragraphs>
  <TotalTime>0</TotalTime>
  <ScaleCrop>false</ScaleCrop>
  <LinksUpToDate>false</LinksUpToDate>
  <CharactersWithSpaces>60636</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2026-03-30T02:58:00Z</dcterms:created>
  <dc:creator>Lenovo</dc:creator>
  <cp:lastModifiedBy>陈磊</cp:lastModifiedBy>
  <cp:lastPrinted>2026-09-21T07:52:00Z</cp:lastPrinted>
  <dcterms:modified xsi:type="dcterms:W3CDTF">2026-09-30T06:23:09Z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y fmtid="{D5CDD505-2E9C-101B-9397-08002B2CF9AE}" pid="3" name="ICV">
    <vt:lpwstr>333925D865BA42448B7AE3782E2B0666_13</vt:lpwstr>
  </property>
  <property fmtid="{D5CDD505-2E9C-101B-9397-08002B2CF9AE}" pid="4" name="KSOTemplateDocerSaveRecord">
    <vt:lpwstr>eyJoZGlkIjoiMzMxZmJiNjAxODFjOTA0MDk4YzUxNzhkMTdjNmFhODEiLCJ1c2VySWQiOiIxNjU3NDI3MDUwIn0=</vt:lpwstr>
  </property>
</Properties>
</file>