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C3C171">
      <w:pPr>
        <w:keepNext w:val="0"/>
        <w:keepLines w:val="0"/>
        <w:pageBreakBefore w:val="0"/>
        <w:widowControl/>
        <w:kinsoku/>
        <w:wordWrap/>
        <w:overflowPunct/>
        <w:topLinePunct w:val="0"/>
        <w:autoSpaceDE/>
        <w:autoSpaceDN/>
        <w:bidi w:val="0"/>
        <w:adjustRightInd/>
        <w:snapToGrid/>
        <w:spacing w:beforeLines="0" w:after="0" w:afterLines="0" w:line="560" w:lineRule="exact"/>
        <w:ind w:left="0" w:firstLine="0"/>
        <w:jc w:val="both"/>
        <w:textAlignment w:val="baseline"/>
        <w:rPr>
          <w:rFonts w:hint="default" w:ascii="方正小标宋简体" w:hAnsi="Times New Roman" w:eastAsia="方正小标宋简体" w:cs="Times New Roman"/>
          <w:color w:val="auto"/>
          <w:kern w:val="2"/>
          <w:sz w:val="32"/>
          <w:szCs w:val="32"/>
          <w:highlight w:val="none"/>
          <w:lang w:val="en-US" w:eastAsia="zh-CN" w:bidi="ar-SA"/>
        </w:rPr>
      </w:pPr>
    </w:p>
    <w:p w14:paraId="1726D25E">
      <w:pPr>
        <w:keepNext w:val="0"/>
        <w:keepLines w:val="0"/>
        <w:pageBreakBefore w:val="0"/>
        <w:widowControl/>
        <w:kinsoku/>
        <w:wordWrap/>
        <w:overflowPunct/>
        <w:topLinePunct w:val="0"/>
        <w:autoSpaceDE/>
        <w:autoSpaceDN/>
        <w:bidi w:val="0"/>
        <w:adjustRightInd/>
        <w:snapToGrid/>
        <w:spacing w:beforeLines="0" w:after="0" w:afterLines="0" w:line="560" w:lineRule="exact"/>
        <w:ind w:left="0" w:firstLine="0"/>
        <w:jc w:val="both"/>
        <w:textAlignment w:val="baseline"/>
        <w:rPr>
          <w:rFonts w:hint="eastAsia" w:ascii="方正小标宋简体" w:hAnsi="Times New Roman" w:eastAsia="方正小标宋简体" w:cs="Times New Roman"/>
          <w:color w:val="auto"/>
          <w:kern w:val="2"/>
          <w:sz w:val="32"/>
          <w:szCs w:val="32"/>
          <w:highlight w:val="none"/>
          <w:lang w:val="en-US" w:eastAsia="zh-CN" w:bidi="ar-SA"/>
        </w:rPr>
      </w:pPr>
    </w:p>
    <w:p w14:paraId="3B122B39">
      <w:pPr>
        <w:keepNext w:val="0"/>
        <w:keepLines w:val="0"/>
        <w:pageBreakBefore w:val="0"/>
        <w:widowControl/>
        <w:kinsoku/>
        <w:wordWrap/>
        <w:overflowPunct/>
        <w:topLinePunct w:val="0"/>
        <w:autoSpaceDE/>
        <w:autoSpaceDN/>
        <w:bidi w:val="0"/>
        <w:adjustRightInd/>
        <w:snapToGrid/>
        <w:spacing w:beforeLines="0" w:after="0" w:afterLines="0" w:line="560" w:lineRule="exact"/>
        <w:ind w:left="0" w:firstLine="0"/>
        <w:jc w:val="both"/>
        <w:textAlignment w:val="baseline"/>
        <w:rPr>
          <w:rFonts w:hint="eastAsia" w:ascii="方正小标宋简体" w:hAnsi="Times New Roman" w:eastAsia="方正小标宋简体" w:cs="Times New Roman"/>
          <w:color w:val="auto"/>
          <w:kern w:val="2"/>
          <w:sz w:val="32"/>
          <w:szCs w:val="32"/>
          <w:highlight w:val="none"/>
          <w:lang w:val="en-US" w:eastAsia="zh-CN" w:bidi="ar-SA"/>
        </w:rPr>
      </w:pPr>
    </w:p>
    <w:p w14:paraId="33AD8079">
      <w:pPr>
        <w:keepNext w:val="0"/>
        <w:keepLines w:val="0"/>
        <w:pageBreakBefore w:val="0"/>
        <w:widowControl/>
        <w:kinsoku/>
        <w:wordWrap/>
        <w:overflowPunct/>
        <w:topLinePunct w:val="0"/>
        <w:autoSpaceDE/>
        <w:autoSpaceDN/>
        <w:bidi w:val="0"/>
        <w:adjustRightInd/>
        <w:snapToGrid/>
        <w:spacing w:beforeLines="0" w:after="0" w:afterLines="0" w:line="560" w:lineRule="exact"/>
        <w:ind w:left="0" w:firstLine="0"/>
        <w:jc w:val="both"/>
        <w:textAlignment w:val="baseline"/>
        <w:rPr>
          <w:rFonts w:hint="eastAsia" w:ascii="方正小标宋简体" w:hAnsi="Times New Roman" w:eastAsia="方正小标宋简体" w:cs="Times New Roman"/>
          <w:color w:val="auto"/>
          <w:kern w:val="2"/>
          <w:sz w:val="32"/>
          <w:szCs w:val="32"/>
          <w:highlight w:val="none"/>
          <w:lang w:val="en-US" w:eastAsia="zh-CN" w:bidi="ar-SA"/>
        </w:rPr>
      </w:pPr>
    </w:p>
    <w:p w14:paraId="7CD8B82A">
      <w:pPr>
        <w:keepNext w:val="0"/>
        <w:keepLines w:val="0"/>
        <w:pageBreakBefore w:val="0"/>
        <w:widowControl/>
        <w:kinsoku/>
        <w:wordWrap/>
        <w:overflowPunct/>
        <w:topLinePunct w:val="0"/>
        <w:autoSpaceDE/>
        <w:autoSpaceDN/>
        <w:bidi w:val="0"/>
        <w:adjustRightInd/>
        <w:snapToGrid/>
        <w:spacing w:beforeLines="0" w:after="0" w:afterLines="0" w:line="560" w:lineRule="exact"/>
        <w:ind w:left="0" w:leftChars="0" w:firstLine="0" w:firstLineChars="0"/>
        <w:jc w:val="center"/>
        <w:textAlignment w:val="baseline"/>
        <w:rPr>
          <w:rFonts w:hint="eastAsia" w:ascii="方正小标宋简体" w:hAnsi="方正小标宋简体" w:eastAsia="方正小标宋简体" w:cs="方正小标宋简体"/>
          <w:b w:val="0"/>
          <w:bCs w:val="0"/>
          <w:color w:val="auto"/>
          <w:kern w:val="2"/>
          <w:sz w:val="44"/>
          <w:szCs w:val="44"/>
          <w:highlight w:val="none"/>
          <w:lang w:val="en-US" w:eastAsia="zh-CN" w:bidi="ar-SA"/>
        </w:rPr>
      </w:pPr>
      <w:r>
        <w:rPr>
          <w:rFonts w:hint="eastAsia" w:ascii="方正小标宋简体" w:hAnsi="方正小标宋简体" w:eastAsia="方正小标宋简体" w:cs="方正小标宋简体"/>
          <w:b w:val="0"/>
          <w:bCs w:val="0"/>
          <w:color w:val="auto"/>
          <w:kern w:val="2"/>
          <w:sz w:val="44"/>
          <w:szCs w:val="44"/>
          <w:highlight w:val="none"/>
          <w:lang w:val="en-US" w:eastAsia="zh-CN" w:bidi="ar-SA"/>
        </w:rPr>
        <w:t>丰台区“十五五”时期城市管理</w:t>
      </w:r>
    </w:p>
    <w:p w14:paraId="542FB141">
      <w:pPr>
        <w:keepNext w:val="0"/>
        <w:keepLines w:val="0"/>
        <w:pageBreakBefore w:val="0"/>
        <w:widowControl/>
        <w:kinsoku/>
        <w:wordWrap/>
        <w:overflowPunct/>
        <w:topLinePunct w:val="0"/>
        <w:autoSpaceDE/>
        <w:autoSpaceDN/>
        <w:bidi w:val="0"/>
        <w:adjustRightInd/>
        <w:snapToGrid/>
        <w:spacing w:beforeLines="0" w:after="0" w:afterLines="0" w:line="560" w:lineRule="exact"/>
        <w:ind w:left="0" w:leftChars="0" w:firstLine="0" w:firstLineChars="0"/>
        <w:jc w:val="center"/>
        <w:textAlignment w:val="baseline"/>
        <w:rPr>
          <w:rFonts w:hint="eastAsia" w:ascii="方正小标宋简体" w:hAnsi="方正小标宋简体" w:eastAsia="方正小标宋简体" w:cs="方正小标宋简体"/>
          <w:b w:val="0"/>
          <w:bCs w:val="0"/>
          <w:color w:val="auto"/>
          <w:kern w:val="2"/>
          <w:sz w:val="44"/>
          <w:szCs w:val="44"/>
          <w:highlight w:val="none"/>
          <w:lang w:val="en-US" w:eastAsia="zh-CN" w:bidi="ar-SA"/>
        </w:rPr>
      </w:pPr>
      <w:r>
        <w:rPr>
          <w:rFonts w:hint="eastAsia" w:ascii="方正小标宋简体" w:hAnsi="方正小标宋简体" w:eastAsia="方正小标宋简体" w:cs="方正小标宋简体"/>
          <w:b w:val="0"/>
          <w:bCs w:val="0"/>
          <w:color w:val="auto"/>
          <w:kern w:val="2"/>
          <w:sz w:val="44"/>
          <w:szCs w:val="44"/>
          <w:highlight w:val="none"/>
          <w:lang w:val="en-US" w:eastAsia="zh-CN" w:bidi="ar-SA"/>
        </w:rPr>
        <w:t>发展规划</w:t>
      </w:r>
    </w:p>
    <w:p w14:paraId="1665F62A">
      <w:pPr>
        <w:keepNext w:val="0"/>
        <w:keepLines w:val="0"/>
        <w:pageBreakBefore w:val="0"/>
        <w:widowControl/>
        <w:kinsoku/>
        <w:wordWrap/>
        <w:overflowPunct/>
        <w:topLinePunct w:val="0"/>
        <w:autoSpaceDE/>
        <w:autoSpaceDN/>
        <w:bidi w:val="0"/>
        <w:adjustRightInd/>
        <w:snapToGrid/>
        <w:spacing w:beforeLines="0" w:after="0" w:afterLines="0" w:line="560" w:lineRule="exact"/>
        <w:ind w:left="0" w:firstLine="0"/>
        <w:jc w:val="center"/>
        <w:textAlignment w:val="baseline"/>
        <w:rPr>
          <w:rFonts w:hint="eastAsia" w:ascii="方正小标宋简体" w:hAnsi="方正小标宋简体" w:eastAsia="方正小标宋简体" w:cs="方正小标宋简体"/>
          <w:b w:val="0"/>
          <w:bCs w:val="0"/>
          <w:color w:val="auto"/>
          <w:kern w:val="2"/>
          <w:sz w:val="36"/>
          <w:szCs w:val="36"/>
          <w:highlight w:val="none"/>
          <w:lang w:val="en-US" w:eastAsia="zh-CN" w:bidi="ar-SA"/>
        </w:rPr>
      </w:pPr>
    </w:p>
    <w:p w14:paraId="67BC2E71">
      <w:pPr>
        <w:keepNext w:val="0"/>
        <w:keepLines w:val="0"/>
        <w:pageBreakBefore w:val="0"/>
        <w:widowControl/>
        <w:kinsoku/>
        <w:wordWrap/>
        <w:overflowPunct/>
        <w:topLinePunct w:val="0"/>
        <w:autoSpaceDE/>
        <w:autoSpaceDN/>
        <w:bidi w:val="0"/>
        <w:adjustRightInd/>
        <w:snapToGrid/>
        <w:spacing w:beforeLines="0" w:after="0" w:afterLines="0" w:line="560" w:lineRule="exact"/>
        <w:ind w:left="0" w:firstLine="0"/>
        <w:jc w:val="center"/>
        <w:textAlignment w:val="baseline"/>
        <w:rPr>
          <w:rFonts w:hint="default" w:ascii="楷体_GB2312" w:hAnsi="Times New Roman" w:eastAsia="楷体_GB2312" w:cs="楷体_GB2312"/>
          <w:color w:val="auto"/>
          <w:kern w:val="2"/>
          <w:sz w:val="32"/>
          <w:szCs w:val="32"/>
          <w:highlight w:val="none"/>
          <w:lang w:val="en-US" w:eastAsia="zh-CN" w:bidi="ar-SA"/>
        </w:rPr>
      </w:pPr>
    </w:p>
    <w:p w14:paraId="5627B259">
      <w:pPr>
        <w:keepNext w:val="0"/>
        <w:keepLines w:val="0"/>
        <w:pageBreakBefore w:val="0"/>
        <w:widowControl/>
        <w:kinsoku/>
        <w:wordWrap/>
        <w:overflowPunct/>
        <w:topLinePunct w:val="0"/>
        <w:autoSpaceDE/>
        <w:autoSpaceDN/>
        <w:bidi w:val="0"/>
        <w:adjustRightInd/>
        <w:snapToGrid/>
        <w:spacing w:beforeLines="0" w:after="0" w:afterLines="0" w:line="560" w:lineRule="exact"/>
        <w:ind w:left="0" w:firstLine="0"/>
        <w:jc w:val="center"/>
        <w:textAlignment w:val="baseline"/>
        <w:rPr>
          <w:rFonts w:hint="eastAsia" w:ascii="楷体_GB2312" w:hAnsi="Times New Roman" w:eastAsia="楷体_GB2312" w:cs="楷体_GB2312"/>
          <w:color w:val="auto"/>
          <w:kern w:val="2"/>
          <w:sz w:val="32"/>
          <w:szCs w:val="32"/>
          <w:highlight w:val="none"/>
          <w:lang w:val="en-US" w:eastAsia="zh-CN" w:bidi="ar-SA"/>
        </w:rPr>
      </w:pPr>
    </w:p>
    <w:p w14:paraId="7B9AD2F4">
      <w:pPr>
        <w:keepNext w:val="0"/>
        <w:keepLines w:val="0"/>
        <w:pageBreakBefore w:val="0"/>
        <w:widowControl/>
        <w:kinsoku/>
        <w:wordWrap/>
        <w:overflowPunct/>
        <w:topLinePunct w:val="0"/>
        <w:autoSpaceDE/>
        <w:autoSpaceDN/>
        <w:bidi w:val="0"/>
        <w:adjustRightInd/>
        <w:snapToGrid/>
        <w:spacing w:beforeLines="0" w:after="0" w:afterLines="0" w:line="560" w:lineRule="exact"/>
        <w:ind w:left="0" w:firstLine="0"/>
        <w:jc w:val="center"/>
        <w:textAlignment w:val="baseline"/>
        <w:rPr>
          <w:rFonts w:hint="eastAsia" w:ascii="楷体_GB2312" w:hAnsi="Times New Roman" w:eastAsia="楷体_GB2312" w:cs="楷体_GB2312"/>
          <w:color w:val="auto"/>
          <w:kern w:val="2"/>
          <w:sz w:val="32"/>
          <w:szCs w:val="32"/>
          <w:highlight w:val="none"/>
          <w:lang w:val="en-US" w:eastAsia="zh-CN" w:bidi="ar-SA"/>
        </w:rPr>
      </w:pPr>
    </w:p>
    <w:p w14:paraId="158C3C8A">
      <w:pPr>
        <w:keepNext w:val="0"/>
        <w:keepLines w:val="0"/>
        <w:pageBreakBefore w:val="0"/>
        <w:widowControl/>
        <w:kinsoku/>
        <w:wordWrap/>
        <w:overflowPunct/>
        <w:topLinePunct w:val="0"/>
        <w:autoSpaceDE/>
        <w:autoSpaceDN/>
        <w:bidi w:val="0"/>
        <w:adjustRightInd/>
        <w:snapToGrid/>
        <w:spacing w:beforeLines="0" w:after="0" w:afterLines="0" w:line="560" w:lineRule="exact"/>
        <w:ind w:left="0" w:firstLine="0"/>
        <w:jc w:val="center"/>
        <w:textAlignment w:val="baseline"/>
        <w:rPr>
          <w:rFonts w:hint="eastAsia" w:ascii="楷体_GB2312" w:hAnsi="Times New Roman" w:eastAsia="楷体_GB2312" w:cs="楷体_GB2312"/>
          <w:color w:val="auto"/>
          <w:kern w:val="2"/>
          <w:sz w:val="32"/>
          <w:szCs w:val="32"/>
          <w:highlight w:val="none"/>
          <w:lang w:val="en-US" w:eastAsia="zh-CN" w:bidi="ar-SA"/>
        </w:rPr>
      </w:pPr>
    </w:p>
    <w:p w14:paraId="3E0DFDC6">
      <w:pPr>
        <w:keepNext w:val="0"/>
        <w:keepLines w:val="0"/>
        <w:pageBreakBefore w:val="0"/>
        <w:widowControl/>
        <w:kinsoku/>
        <w:wordWrap/>
        <w:overflowPunct/>
        <w:topLinePunct w:val="0"/>
        <w:autoSpaceDE/>
        <w:autoSpaceDN/>
        <w:bidi w:val="0"/>
        <w:adjustRightInd/>
        <w:snapToGrid/>
        <w:spacing w:beforeLines="0" w:after="0" w:afterLines="0" w:line="560" w:lineRule="exact"/>
        <w:ind w:left="0" w:firstLine="0"/>
        <w:jc w:val="center"/>
        <w:textAlignment w:val="baseline"/>
        <w:rPr>
          <w:rFonts w:hint="eastAsia" w:ascii="楷体_GB2312" w:hAnsi="Times New Roman" w:eastAsia="楷体_GB2312" w:cs="楷体_GB2312"/>
          <w:color w:val="auto"/>
          <w:kern w:val="2"/>
          <w:sz w:val="32"/>
          <w:szCs w:val="32"/>
          <w:highlight w:val="none"/>
          <w:lang w:val="en-US" w:eastAsia="zh-CN" w:bidi="ar-SA"/>
        </w:rPr>
      </w:pPr>
    </w:p>
    <w:p w14:paraId="7210CE2D">
      <w:pPr>
        <w:keepNext w:val="0"/>
        <w:keepLines w:val="0"/>
        <w:pageBreakBefore w:val="0"/>
        <w:widowControl/>
        <w:kinsoku/>
        <w:wordWrap/>
        <w:overflowPunct/>
        <w:topLinePunct w:val="0"/>
        <w:autoSpaceDE/>
        <w:autoSpaceDN/>
        <w:bidi w:val="0"/>
        <w:adjustRightInd/>
        <w:snapToGrid/>
        <w:spacing w:beforeLines="0" w:after="0" w:afterLines="0" w:line="560" w:lineRule="exact"/>
        <w:ind w:left="0" w:firstLine="0"/>
        <w:jc w:val="center"/>
        <w:textAlignment w:val="baseline"/>
        <w:rPr>
          <w:rFonts w:hint="eastAsia" w:ascii="楷体_GB2312" w:hAnsi="Times New Roman" w:eastAsia="楷体_GB2312" w:cs="楷体_GB2312"/>
          <w:color w:val="auto"/>
          <w:kern w:val="2"/>
          <w:sz w:val="32"/>
          <w:szCs w:val="32"/>
          <w:highlight w:val="none"/>
          <w:lang w:val="en-US" w:eastAsia="zh-CN" w:bidi="ar-SA"/>
        </w:rPr>
      </w:pPr>
    </w:p>
    <w:p w14:paraId="587E0A82">
      <w:pPr>
        <w:keepNext w:val="0"/>
        <w:keepLines w:val="0"/>
        <w:pageBreakBefore w:val="0"/>
        <w:widowControl/>
        <w:kinsoku/>
        <w:wordWrap/>
        <w:overflowPunct/>
        <w:topLinePunct w:val="0"/>
        <w:autoSpaceDE/>
        <w:autoSpaceDN/>
        <w:bidi w:val="0"/>
        <w:adjustRightInd/>
        <w:snapToGrid/>
        <w:spacing w:beforeLines="0" w:after="0" w:afterLines="0" w:line="560" w:lineRule="exact"/>
        <w:ind w:left="0" w:firstLine="0"/>
        <w:jc w:val="center"/>
        <w:textAlignment w:val="baseline"/>
        <w:rPr>
          <w:rFonts w:hint="eastAsia" w:ascii="楷体_GB2312" w:hAnsi="Times New Roman" w:eastAsia="楷体_GB2312" w:cs="楷体_GB2312"/>
          <w:color w:val="auto"/>
          <w:kern w:val="2"/>
          <w:sz w:val="32"/>
          <w:szCs w:val="32"/>
          <w:highlight w:val="none"/>
          <w:lang w:val="en-US" w:eastAsia="zh-CN" w:bidi="ar-SA"/>
        </w:rPr>
      </w:pPr>
    </w:p>
    <w:p w14:paraId="60EEFAAA">
      <w:pPr>
        <w:keepNext w:val="0"/>
        <w:keepLines w:val="0"/>
        <w:pageBreakBefore w:val="0"/>
        <w:widowControl/>
        <w:kinsoku/>
        <w:wordWrap/>
        <w:overflowPunct/>
        <w:topLinePunct w:val="0"/>
        <w:autoSpaceDE/>
        <w:autoSpaceDN/>
        <w:bidi w:val="0"/>
        <w:adjustRightInd/>
        <w:snapToGrid/>
        <w:spacing w:beforeLines="0" w:after="0" w:afterLines="0" w:line="560" w:lineRule="exact"/>
        <w:ind w:left="0" w:firstLine="0"/>
        <w:jc w:val="center"/>
        <w:textAlignment w:val="baseline"/>
        <w:rPr>
          <w:rFonts w:hint="eastAsia" w:ascii="楷体_GB2312" w:hAnsi="Times New Roman" w:eastAsia="楷体_GB2312" w:cs="楷体_GB2312"/>
          <w:color w:val="auto"/>
          <w:kern w:val="2"/>
          <w:sz w:val="32"/>
          <w:szCs w:val="32"/>
          <w:highlight w:val="none"/>
          <w:lang w:val="en-US" w:eastAsia="zh-CN" w:bidi="ar-SA"/>
        </w:rPr>
      </w:pPr>
    </w:p>
    <w:p w14:paraId="793A1ECF">
      <w:pPr>
        <w:keepNext w:val="0"/>
        <w:keepLines w:val="0"/>
        <w:pageBreakBefore w:val="0"/>
        <w:widowControl/>
        <w:kinsoku/>
        <w:wordWrap/>
        <w:overflowPunct/>
        <w:topLinePunct w:val="0"/>
        <w:autoSpaceDE/>
        <w:autoSpaceDN/>
        <w:bidi w:val="0"/>
        <w:adjustRightInd/>
        <w:snapToGrid/>
        <w:spacing w:beforeLines="0" w:after="0" w:afterLines="0" w:line="560" w:lineRule="exact"/>
        <w:ind w:left="0" w:firstLine="0"/>
        <w:jc w:val="center"/>
        <w:textAlignment w:val="baseline"/>
        <w:rPr>
          <w:rFonts w:hint="eastAsia" w:ascii="楷体_GB2312" w:hAnsi="Times New Roman" w:eastAsia="楷体_GB2312" w:cs="楷体_GB2312"/>
          <w:color w:val="auto"/>
          <w:kern w:val="2"/>
          <w:sz w:val="32"/>
          <w:szCs w:val="32"/>
          <w:highlight w:val="none"/>
          <w:lang w:val="en-US" w:eastAsia="zh-CN" w:bidi="ar-SA"/>
        </w:rPr>
      </w:pPr>
    </w:p>
    <w:p w14:paraId="5006C07B">
      <w:pPr>
        <w:keepNext w:val="0"/>
        <w:keepLines w:val="0"/>
        <w:pageBreakBefore w:val="0"/>
        <w:widowControl/>
        <w:kinsoku/>
        <w:wordWrap/>
        <w:overflowPunct/>
        <w:topLinePunct w:val="0"/>
        <w:autoSpaceDE/>
        <w:autoSpaceDN/>
        <w:bidi w:val="0"/>
        <w:adjustRightInd/>
        <w:snapToGrid/>
        <w:spacing w:beforeLines="0" w:after="0" w:afterLines="0" w:line="560" w:lineRule="exact"/>
        <w:ind w:left="0" w:firstLine="0"/>
        <w:jc w:val="center"/>
        <w:textAlignment w:val="baseline"/>
        <w:rPr>
          <w:rFonts w:hint="eastAsia" w:ascii="楷体_GB2312" w:hAnsi="Times New Roman" w:eastAsia="楷体_GB2312" w:cs="楷体_GB2312"/>
          <w:color w:val="auto"/>
          <w:kern w:val="2"/>
          <w:sz w:val="32"/>
          <w:szCs w:val="32"/>
          <w:highlight w:val="none"/>
          <w:lang w:val="en-US" w:eastAsia="zh-CN" w:bidi="ar-SA"/>
        </w:rPr>
      </w:pPr>
    </w:p>
    <w:p w14:paraId="707C671A">
      <w:pPr>
        <w:keepNext w:val="0"/>
        <w:keepLines w:val="0"/>
        <w:pageBreakBefore w:val="0"/>
        <w:widowControl/>
        <w:kinsoku/>
        <w:wordWrap/>
        <w:overflowPunct/>
        <w:topLinePunct w:val="0"/>
        <w:autoSpaceDE/>
        <w:autoSpaceDN/>
        <w:bidi w:val="0"/>
        <w:adjustRightInd/>
        <w:snapToGrid/>
        <w:spacing w:beforeLines="0" w:after="0" w:afterLines="0" w:line="560" w:lineRule="exact"/>
        <w:ind w:left="0" w:firstLine="0"/>
        <w:jc w:val="center"/>
        <w:textAlignment w:val="baseline"/>
        <w:rPr>
          <w:rFonts w:hint="eastAsia" w:ascii="楷体_GB2312" w:hAnsi="Times New Roman" w:eastAsia="楷体_GB2312" w:cs="楷体_GB2312"/>
          <w:color w:val="auto"/>
          <w:kern w:val="2"/>
          <w:sz w:val="32"/>
          <w:szCs w:val="32"/>
          <w:highlight w:val="none"/>
          <w:lang w:val="en-US" w:eastAsia="zh-CN" w:bidi="ar-SA"/>
        </w:rPr>
      </w:pPr>
    </w:p>
    <w:p w14:paraId="6B019995">
      <w:pPr>
        <w:keepNext w:val="0"/>
        <w:keepLines w:val="0"/>
        <w:pageBreakBefore w:val="0"/>
        <w:widowControl/>
        <w:kinsoku/>
        <w:wordWrap/>
        <w:overflowPunct/>
        <w:topLinePunct w:val="0"/>
        <w:autoSpaceDE/>
        <w:autoSpaceDN/>
        <w:bidi w:val="0"/>
        <w:adjustRightInd/>
        <w:snapToGrid/>
        <w:spacing w:beforeLines="0" w:after="0" w:afterLines="0" w:line="560" w:lineRule="exact"/>
        <w:ind w:left="0" w:firstLine="0"/>
        <w:jc w:val="center"/>
        <w:textAlignment w:val="baseline"/>
        <w:rPr>
          <w:rFonts w:hint="eastAsia" w:ascii="楷体_GB2312" w:hAnsi="Times New Roman" w:eastAsia="楷体_GB2312" w:cs="楷体_GB2312"/>
          <w:color w:val="auto"/>
          <w:kern w:val="2"/>
          <w:sz w:val="32"/>
          <w:szCs w:val="32"/>
          <w:highlight w:val="none"/>
          <w:lang w:val="en-US" w:eastAsia="zh-CN" w:bidi="ar-SA"/>
        </w:rPr>
      </w:pPr>
    </w:p>
    <w:p w14:paraId="2C33BB5B">
      <w:pPr>
        <w:keepNext w:val="0"/>
        <w:keepLines w:val="0"/>
        <w:pageBreakBefore w:val="0"/>
        <w:widowControl/>
        <w:kinsoku/>
        <w:wordWrap/>
        <w:overflowPunct/>
        <w:topLinePunct w:val="0"/>
        <w:autoSpaceDE/>
        <w:autoSpaceDN/>
        <w:bidi w:val="0"/>
        <w:adjustRightInd/>
        <w:snapToGrid/>
        <w:spacing w:beforeLines="0" w:after="0" w:afterLines="0" w:line="560" w:lineRule="exact"/>
        <w:ind w:left="0" w:firstLine="0"/>
        <w:jc w:val="center"/>
        <w:textAlignment w:val="baseline"/>
        <w:rPr>
          <w:rFonts w:hint="eastAsia" w:ascii="楷体_GB2312" w:hAnsi="Times New Roman" w:eastAsia="楷体_GB2312" w:cs="楷体_GB2312"/>
          <w:color w:val="auto"/>
          <w:kern w:val="2"/>
          <w:sz w:val="32"/>
          <w:szCs w:val="32"/>
          <w:highlight w:val="none"/>
          <w:lang w:val="en-US" w:eastAsia="zh-CN" w:bidi="ar-SA"/>
        </w:rPr>
      </w:pPr>
    </w:p>
    <w:p w14:paraId="0C538260">
      <w:pPr>
        <w:keepNext w:val="0"/>
        <w:keepLines w:val="0"/>
        <w:pageBreakBefore w:val="0"/>
        <w:widowControl/>
        <w:kinsoku/>
        <w:wordWrap/>
        <w:overflowPunct/>
        <w:topLinePunct w:val="0"/>
        <w:autoSpaceDE/>
        <w:autoSpaceDN/>
        <w:bidi w:val="0"/>
        <w:adjustRightInd/>
        <w:snapToGrid/>
        <w:spacing w:beforeLines="0" w:after="0" w:afterLines="0" w:line="560" w:lineRule="exact"/>
        <w:ind w:left="0" w:leftChars="0" w:firstLine="0" w:firstLineChars="0"/>
        <w:jc w:val="center"/>
        <w:textAlignment w:val="baseline"/>
        <w:rPr>
          <w:rFonts w:hint="eastAsia"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丰台区城市管理委员会</w:t>
      </w:r>
    </w:p>
    <w:p w14:paraId="15E43439">
      <w:pPr>
        <w:keepNext w:val="0"/>
        <w:keepLines w:val="0"/>
        <w:pageBreakBefore w:val="0"/>
        <w:widowControl/>
        <w:kinsoku/>
        <w:wordWrap/>
        <w:overflowPunct/>
        <w:topLinePunct w:val="0"/>
        <w:autoSpaceDE/>
        <w:autoSpaceDN/>
        <w:bidi w:val="0"/>
        <w:adjustRightInd/>
        <w:snapToGrid/>
        <w:spacing w:beforeLines="0" w:after="0" w:afterLines="0" w:line="560" w:lineRule="exact"/>
        <w:ind w:left="0" w:leftChars="0" w:firstLine="0" w:firstLineChars="0"/>
        <w:jc w:val="center"/>
        <w:textAlignment w:val="baseline"/>
        <w:rPr>
          <w:rFonts w:hint="eastAsia"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二〇二六年九月</w:t>
      </w:r>
    </w:p>
    <w:p w14:paraId="034DF1D2">
      <w:pPr>
        <w:spacing w:beforeLines="0" w:afterLines="0" w:line="560" w:lineRule="exact"/>
        <w:ind w:firstLine="0" w:firstLineChars="0"/>
        <w:jc w:val="center"/>
        <w:rPr>
          <w:rFonts w:hint="eastAsia"/>
          <w:lang w:val="en-US" w:eastAsia="zh-CN"/>
        </w:rPr>
        <w:sectPr>
          <w:pgSz w:w="11906" w:h="16838"/>
          <w:pgMar w:top="1440" w:right="1800" w:bottom="1440" w:left="1800" w:header="851" w:footer="992" w:gutter="0"/>
          <w:pgNumType w:fmt="decimal"/>
          <w:cols w:space="425" w:num="1"/>
          <w:docGrid w:type="lines" w:linePitch="312" w:charSpace="0"/>
        </w:sectPr>
      </w:pPr>
    </w:p>
    <w:p w14:paraId="4B03BB8D">
      <w:pPr>
        <w:keepNext w:val="0"/>
        <w:keepLines w:val="0"/>
        <w:pageBreakBefore w:val="0"/>
        <w:widowControl w:val="0"/>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0"/>
        <w:rPr>
          <w:rFonts w:hint="default"/>
          <w:lang w:val="en-US" w:eastAsia="zh-CN"/>
        </w:rPr>
      </w:pPr>
      <w:bookmarkStart w:id="0" w:name="_Toc4629"/>
      <w:bookmarkStart w:id="1" w:name="_Toc16875"/>
      <w:bookmarkStart w:id="2" w:name="_Toc6062"/>
      <w:r>
        <w:rPr>
          <w:rFonts w:hint="eastAsia" w:ascii="黑体" w:hAnsi="黑体" w:eastAsia="黑体" w:cs="黑体"/>
          <w:b w:val="0"/>
          <w:bCs w:val="0"/>
          <w:lang w:val="en-US" w:eastAsia="zh-CN"/>
        </w:rPr>
        <w:t>前言</w:t>
      </w:r>
      <w:bookmarkEnd w:id="0"/>
      <w:bookmarkEnd w:id="1"/>
      <w:bookmarkEnd w:id="2"/>
    </w:p>
    <w:p w14:paraId="7F4DBAA5">
      <w:pPr>
        <w:keepNext w:val="0"/>
        <w:keepLines w:val="0"/>
        <w:pageBreakBefore w:val="0"/>
        <w:widowControl w:val="0"/>
        <w:kinsoku/>
        <w:wordWrap/>
        <w:overflowPunct/>
        <w:topLinePunct w:val="0"/>
        <w:autoSpaceDE/>
        <w:autoSpaceDN/>
        <w:bidi w:val="0"/>
        <w:adjustRightInd w:val="0"/>
        <w:snapToGrid w:val="0"/>
        <w:spacing w:beforeLines="0" w:after="0" w:afterLines="0" w:line="560" w:lineRule="exact"/>
        <w:ind w:firstLine="616"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“十五五”时期是北京市落实首都城市战略定位、建设国际一流的和谐宜居之都的关键时期，也是丰台区践行新发展理念、推动城市高质量发展的重要阶段。丰台区“十五五”时期城市管理发展规划深入</w:t>
      </w:r>
      <w:r>
        <w:rPr>
          <w:rFonts w:hint="eastAsia" w:ascii="仿宋_GB2312" w:hAnsi="仿宋_GB2312" w:eastAsia="仿宋_GB2312" w:cs="仿宋_GB2312"/>
          <w:color w:val="auto"/>
          <w:kern w:val="2"/>
          <w:sz w:val="32"/>
          <w:szCs w:val="32"/>
          <w:highlight w:val="none"/>
          <w:lang w:val="en-US" w:eastAsia="zh" w:bidi="ar-SA"/>
        </w:rPr>
        <w:t>贯彻</w:t>
      </w:r>
      <w:r>
        <w:rPr>
          <w:rFonts w:hint="eastAsia" w:ascii="仿宋_GB2312" w:hAnsi="仿宋_GB2312" w:eastAsia="仿宋_GB2312" w:cs="仿宋_GB2312"/>
          <w:color w:val="auto"/>
          <w:kern w:val="2"/>
          <w:sz w:val="32"/>
          <w:szCs w:val="32"/>
          <w:highlight w:val="none"/>
          <w:lang w:val="en-US" w:eastAsia="zh-CN" w:bidi="ar-SA"/>
        </w:rPr>
        <w:t>中央城市工作会议精神，践行人民城市理念，对标“三化五区”战略部署，以内涵式发展为主线，</w:t>
      </w:r>
      <w:r>
        <w:rPr>
          <w:rFonts w:hint="eastAsia" w:ascii="仿宋_GB2312" w:hAnsi="仿宋_GB2312" w:eastAsia="仿宋_GB2312" w:cs="仿宋_GB2312"/>
          <w:color w:val="auto"/>
          <w:kern w:val="2"/>
          <w:sz w:val="32"/>
          <w:szCs w:val="32"/>
          <w:highlight w:val="none"/>
          <w:lang w:val="en-US" w:eastAsia="zh" w:bidi="ar-SA"/>
        </w:rPr>
        <w:t>明确</w:t>
      </w:r>
      <w:r>
        <w:rPr>
          <w:rFonts w:hint="eastAsia" w:ascii="仿宋_GB2312" w:hAnsi="仿宋_GB2312" w:eastAsia="仿宋_GB2312" w:cs="仿宋_GB2312"/>
          <w:color w:val="auto"/>
          <w:kern w:val="2"/>
          <w:sz w:val="32"/>
          <w:szCs w:val="32"/>
          <w:highlight w:val="none"/>
          <w:lang w:val="en-US" w:eastAsia="zh-CN" w:bidi="ar-SA"/>
        </w:rPr>
        <w:t>城市管理发展目标和主要任务，</w:t>
      </w:r>
      <w:r>
        <w:rPr>
          <w:rFonts w:hint="default" w:ascii="仿宋_GB2312" w:hAnsi="仿宋_GB2312" w:eastAsia="仿宋_GB2312" w:cs="仿宋_GB2312"/>
          <w:color w:val="auto"/>
          <w:kern w:val="2"/>
          <w:sz w:val="32"/>
          <w:szCs w:val="32"/>
          <w:highlight w:val="none"/>
          <w:lang w:val="en-US" w:eastAsia="zh-CN" w:bidi="ar-SA"/>
        </w:rPr>
        <w:t>落实建设创新、宜居、美丽、韧性、文明、智慧的现代化人民城市部署要求</w:t>
      </w:r>
      <w:r>
        <w:rPr>
          <w:rFonts w:hint="eastAsia" w:ascii="仿宋_GB2312" w:hAnsi="仿宋_GB2312" w:eastAsia="仿宋_GB2312" w:cs="仿宋_GB2312"/>
          <w:color w:val="auto"/>
          <w:kern w:val="2"/>
          <w:sz w:val="32"/>
          <w:szCs w:val="32"/>
          <w:highlight w:val="none"/>
          <w:lang w:val="en-US" w:eastAsia="zh-CN" w:bidi="ar-SA"/>
        </w:rPr>
        <w:t>，是指导丰台区城市管理工作的行动纲领。</w:t>
      </w:r>
    </w:p>
    <w:p w14:paraId="22070845">
      <w:pPr>
        <w:keepNext w:val="0"/>
        <w:keepLines w:val="0"/>
        <w:pageBreakBefore w:val="0"/>
        <w:widowControl w:val="0"/>
        <w:kinsoku/>
        <w:wordWrap/>
        <w:overflowPunct/>
        <w:topLinePunct w:val="0"/>
        <w:autoSpaceDE/>
        <w:autoSpaceDN/>
        <w:bidi w:val="0"/>
        <w:adjustRightInd w:val="0"/>
        <w:snapToGrid w:val="0"/>
        <w:spacing w:beforeLines="0" w:after="0" w:afterLines="0" w:line="560" w:lineRule="exact"/>
        <w:ind w:firstLine="616" w:firstLineChars="200"/>
        <w:textAlignment w:val="auto"/>
        <w:rPr>
          <w:rFonts w:hint="eastAsia" w:ascii="仿宋_GB2312" w:eastAsia="仿宋_GB2312" w:cs="仿宋_GB2312"/>
          <w:b w:val="0"/>
          <w:bCs w:val="0"/>
          <w:color w:val="auto"/>
          <w:sz w:val="32"/>
          <w:szCs w:val="32"/>
          <w:highlight w:val="none"/>
          <w:lang w:val="en-US" w:eastAsia="zh-CN"/>
        </w:rPr>
      </w:pPr>
      <w:r>
        <w:rPr>
          <w:rFonts w:hint="eastAsia" w:ascii="仿宋_GB2312" w:eastAsia="仿宋_GB2312" w:cs="仿宋_GB2312"/>
          <w:color w:val="auto"/>
          <w:sz w:val="32"/>
          <w:szCs w:val="32"/>
          <w:highlight w:val="none"/>
          <w:lang w:val="en-US" w:eastAsia="zh-CN"/>
        </w:rPr>
        <w:t>规划编制依据：</w:t>
      </w:r>
      <w:r>
        <w:rPr>
          <w:rFonts w:hint="eastAsia" w:ascii="仿宋_GB2312" w:eastAsia="仿宋_GB2312" w:cs="仿宋_GB2312"/>
          <w:b/>
          <w:bCs/>
          <w:color w:val="auto"/>
          <w:sz w:val="32"/>
          <w:szCs w:val="32"/>
          <w:highlight w:val="none"/>
          <w:lang w:val="en-US" w:eastAsia="zh-CN"/>
        </w:rPr>
        <w:t>上位规划层面</w:t>
      </w:r>
      <w:r>
        <w:rPr>
          <w:rFonts w:hint="eastAsia" w:ascii="仿宋_GB2312" w:eastAsia="仿宋_GB2312" w:cs="仿宋_GB2312"/>
          <w:b w:val="0"/>
          <w:bCs w:val="0"/>
          <w:color w:val="auto"/>
          <w:sz w:val="32"/>
          <w:szCs w:val="32"/>
          <w:highlight w:val="none"/>
          <w:lang w:val="en-US" w:eastAsia="zh-CN"/>
        </w:rPr>
        <w:t>，包括《中华人民共和国国民经济和社会发展第十五个五年规划纲要》《北京城市总体规划（</w:t>
      </w:r>
      <w:r>
        <w:rPr>
          <w:rFonts w:hint="eastAsia" w:ascii="Times New Roman" w:hAnsi="Times New Roman" w:eastAsia="Times New Roman" w:cs="Times New Roman"/>
          <w:b w:val="0"/>
          <w:bCs w:val="0"/>
          <w:color w:val="auto"/>
          <w:sz w:val="32"/>
          <w:szCs w:val="32"/>
          <w:highlight w:val="none"/>
          <w:lang w:val="en-US" w:eastAsia="zh-CN"/>
        </w:rPr>
        <w:t>2016</w:t>
      </w:r>
      <w:r>
        <w:rPr>
          <w:rFonts w:hint="eastAsia" w:ascii="仿宋_GB2312" w:eastAsia="仿宋_GB2312" w:cs="仿宋_GB2312"/>
          <w:b w:val="0"/>
          <w:bCs w:val="0"/>
          <w:color w:val="auto"/>
          <w:sz w:val="32"/>
          <w:szCs w:val="32"/>
          <w:highlight w:val="none"/>
          <w:lang w:val="en-US" w:eastAsia="zh-CN"/>
        </w:rPr>
        <w:t>年—</w:t>
      </w:r>
      <w:r>
        <w:rPr>
          <w:rFonts w:hint="eastAsia" w:ascii="Times New Roman" w:hAnsi="Times New Roman" w:eastAsia="Times New Roman" w:cs="Times New Roman"/>
          <w:b w:val="0"/>
          <w:bCs w:val="0"/>
          <w:color w:val="auto"/>
          <w:sz w:val="32"/>
          <w:szCs w:val="32"/>
          <w:highlight w:val="none"/>
          <w:lang w:val="en-US" w:eastAsia="zh-CN"/>
        </w:rPr>
        <w:t>2035</w:t>
      </w:r>
      <w:r>
        <w:rPr>
          <w:rFonts w:hint="eastAsia" w:ascii="仿宋_GB2312" w:eastAsia="仿宋_GB2312" w:cs="仿宋_GB2312"/>
          <w:b w:val="0"/>
          <w:bCs w:val="0"/>
          <w:color w:val="auto"/>
          <w:sz w:val="32"/>
          <w:szCs w:val="32"/>
          <w:highlight w:val="none"/>
          <w:lang w:val="en-US" w:eastAsia="zh-CN"/>
        </w:rPr>
        <w:t>年）》《北京市国民经济和社会发展第十五个五年规划纲要》《丰台分区规划（国土空间规划）（</w:t>
      </w:r>
      <w:r>
        <w:rPr>
          <w:rFonts w:hint="eastAsia" w:ascii="Times New Roman" w:hAnsi="Times New Roman" w:eastAsia="Times New Roman" w:cs="Times New Roman"/>
          <w:b w:val="0"/>
          <w:bCs w:val="0"/>
          <w:color w:val="auto"/>
          <w:sz w:val="32"/>
          <w:szCs w:val="32"/>
          <w:highlight w:val="none"/>
          <w:lang w:val="en-US" w:eastAsia="zh-CN"/>
        </w:rPr>
        <w:t>2017</w:t>
      </w:r>
      <w:r>
        <w:rPr>
          <w:rFonts w:hint="eastAsia" w:ascii="仿宋_GB2312" w:eastAsia="仿宋_GB2312" w:cs="仿宋_GB2312"/>
          <w:b w:val="0"/>
          <w:bCs w:val="0"/>
          <w:color w:val="auto"/>
          <w:sz w:val="32"/>
          <w:szCs w:val="32"/>
          <w:highlight w:val="none"/>
          <w:lang w:val="en-US" w:eastAsia="zh-CN"/>
        </w:rPr>
        <w:t>年—</w:t>
      </w:r>
      <w:r>
        <w:rPr>
          <w:rFonts w:hint="eastAsia" w:ascii="Times New Roman" w:hAnsi="Times New Roman" w:eastAsia="Times New Roman" w:cs="Times New Roman"/>
          <w:b w:val="0"/>
          <w:bCs w:val="0"/>
          <w:color w:val="auto"/>
          <w:sz w:val="32"/>
          <w:szCs w:val="32"/>
          <w:highlight w:val="none"/>
          <w:lang w:val="en-US" w:eastAsia="zh-CN"/>
        </w:rPr>
        <w:t>2035</w:t>
      </w:r>
      <w:r>
        <w:rPr>
          <w:rFonts w:hint="eastAsia" w:ascii="仿宋_GB2312" w:eastAsia="仿宋_GB2312" w:cs="仿宋_GB2312"/>
          <w:b w:val="0"/>
          <w:bCs w:val="0"/>
          <w:color w:val="auto"/>
          <w:sz w:val="32"/>
          <w:szCs w:val="32"/>
          <w:highlight w:val="none"/>
          <w:lang w:val="en-US" w:eastAsia="zh-CN"/>
        </w:rPr>
        <w:t>年）》《中共</w:t>
      </w:r>
      <w:r>
        <w:rPr>
          <w:rFonts w:hint="eastAsia" w:ascii="仿宋_GB2312" w:hAnsi="仿宋_GB2312" w:eastAsia="仿宋_GB2312" w:cs="仿宋_GB2312"/>
          <w:color w:val="auto"/>
          <w:kern w:val="2"/>
          <w:sz w:val="32"/>
          <w:szCs w:val="32"/>
          <w:highlight w:val="none"/>
          <w:lang w:val="en-US" w:eastAsia="zh-CN" w:bidi="ar-SA"/>
        </w:rPr>
        <w:t>北京市</w:t>
      </w:r>
      <w:r>
        <w:rPr>
          <w:rFonts w:hint="eastAsia" w:ascii="仿宋_GB2312" w:eastAsia="仿宋_GB2312" w:cs="仿宋_GB2312"/>
          <w:b w:val="0"/>
          <w:bCs w:val="0"/>
          <w:color w:val="auto"/>
          <w:sz w:val="32"/>
          <w:szCs w:val="32"/>
          <w:highlight w:val="none"/>
          <w:lang w:val="en-US" w:eastAsia="zh-CN"/>
        </w:rPr>
        <w:t>丰台区委关于制定丰台区国民经济和社会发展第十五个五年规划的建议》《北京市丰台区国民经济和社会发展第十五个五年规划纲要》等；</w:t>
      </w:r>
      <w:r>
        <w:rPr>
          <w:rFonts w:hint="eastAsia" w:ascii="仿宋_GB2312" w:eastAsia="仿宋_GB2312" w:cs="仿宋_GB2312"/>
          <w:b/>
          <w:bCs/>
          <w:color w:val="auto"/>
          <w:sz w:val="32"/>
          <w:szCs w:val="32"/>
          <w:highlight w:val="none"/>
          <w:lang w:val="en-US" w:eastAsia="zh-CN"/>
        </w:rPr>
        <w:t>专项规划层面，</w:t>
      </w:r>
      <w:r>
        <w:rPr>
          <w:rFonts w:hint="eastAsia" w:ascii="仿宋_GB2312" w:eastAsia="仿宋_GB2312" w:cs="仿宋_GB2312"/>
          <w:b w:val="0"/>
          <w:bCs w:val="0"/>
          <w:color w:val="auto"/>
          <w:sz w:val="32"/>
          <w:szCs w:val="32"/>
          <w:highlight w:val="none"/>
          <w:lang w:val="en-US" w:eastAsia="zh-CN"/>
        </w:rPr>
        <w:t>包括《北京市“十五五”时期城市管理发展规划》《北京市“十五五”时期城市照明发展规划》《北京花园城市专项规划（</w:t>
      </w:r>
      <w:r>
        <w:rPr>
          <w:rFonts w:hint="eastAsia" w:ascii="Times New Roman" w:hAnsi="Times New Roman" w:eastAsia="Times New Roman" w:cs="Times New Roman"/>
          <w:b w:val="0"/>
          <w:bCs w:val="0"/>
          <w:color w:val="auto"/>
          <w:sz w:val="32"/>
          <w:szCs w:val="32"/>
          <w:highlight w:val="none"/>
          <w:lang w:val="en-US" w:eastAsia="zh-CN"/>
        </w:rPr>
        <w:t>2023</w:t>
      </w:r>
      <w:r>
        <w:rPr>
          <w:rFonts w:hint="eastAsia" w:ascii="仿宋_GB2312" w:eastAsia="仿宋_GB2312" w:cs="仿宋_GB2312"/>
          <w:b w:val="0"/>
          <w:bCs w:val="0"/>
          <w:color w:val="auto"/>
          <w:sz w:val="32"/>
          <w:szCs w:val="32"/>
          <w:highlight w:val="none"/>
          <w:lang w:val="en-US" w:eastAsia="zh-CN"/>
        </w:rPr>
        <w:t>年—</w:t>
      </w:r>
      <w:r>
        <w:rPr>
          <w:rFonts w:hint="eastAsia" w:ascii="Times New Roman" w:hAnsi="Times New Roman" w:eastAsia="Times New Roman" w:cs="Times New Roman"/>
          <w:b w:val="0"/>
          <w:bCs w:val="0"/>
          <w:color w:val="auto"/>
          <w:sz w:val="32"/>
          <w:szCs w:val="32"/>
          <w:highlight w:val="none"/>
          <w:lang w:val="en-US" w:eastAsia="zh-CN"/>
        </w:rPr>
        <w:t>2035</w:t>
      </w:r>
      <w:r>
        <w:rPr>
          <w:rFonts w:hint="eastAsia" w:ascii="仿宋_GB2312" w:eastAsia="仿宋_GB2312" w:cs="仿宋_GB2312"/>
          <w:b w:val="0"/>
          <w:bCs w:val="0"/>
          <w:color w:val="auto"/>
          <w:sz w:val="32"/>
          <w:szCs w:val="32"/>
          <w:highlight w:val="none"/>
          <w:lang w:val="en-US" w:eastAsia="zh-CN"/>
        </w:rPr>
        <w:t>年）》等；</w:t>
      </w:r>
      <w:r>
        <w:rPr>
          <w:rFonts w:hint="eastAsia" w:ascii="仿宋_GB2312" w:eastAsia="仿宋_GB2312" w:cs="仿宋_GB2312"/>
          <w:b/>
          <w:bCs/>
          <w:color w:val="auto"/>
          <w:sz w:val="32"/>
          <w:szCs w:val="32"/>
          <w:highlight w:val="none"/>
          <w:lang w:val="en-US" w:eastAsia="zh-CN"/>
        </w:rPr>
        <w:t>政策文件层面，</w:t>
      </w:r>
      <w:r>
        <w:rPr>
          <w:rFonts w:hint="eastAsia" w:ascii="仿宋_GB2312" w:eastAsia="仿宋_GB2312" w:cs="仿宋_GB2312"/>
          <w:b w:val="0"/>
          <w:bCs w:val="0"/>
          <w:color w:val="auto"/>
          <w:sz w:val="32"/>
          <w:szCs w:val="32"/>
          <w:highlight w:val="none"/>
          <w:lang w:val="en-US" w:eastAsia="zh-CN"/>
        </w:rPr>
        <w:t>包括《关于持续推进城市更新行动的意见》《关于加快推进韧性城市建设的指导意见》</w:t>
      </w:r>
      <w:r>
        <w:rPr>
          <w:rFonts w:hint="eastAsia" w:ascii="仿宋_GB2312" w:eastAsia="仿宋_GB2312" w:cs="仿宋_GB2312"/>
          <w:color w:val="auto"/>
          <w:sz w:val="32"/>
          <w:szCs w:val="32"/>
          <w:highlight w:val="none"/>
          <w:lang w:val="en-US" w:eastAsia="zh-CN"/>
        </w:rPr>
        <w:t>《北京市进一步提升生活垃圾分类质效三年行动方案（</w:t>
      </w:r>
      <w:r>
        <w:rPr>
          <w:rFonts w:hint="eastAsia" w:ascii="Times New Roman" w:hAnsi="Times New Roman" w:eastAsia="Times New Roman" w:cs="Times New Roman"/>
          <w:color w:val="auto"/>
          <w:sz w:val="32"/>
          <w:szCs w:val="32"/>
          <w:highlight w:val="none"/>
          <w:lang w:val="en-US" w:eastAsia="zh-CN"/>
        </w:rPr>
        <w:t>2026</w:t>
      </w:r>
      <w:r>
        <w:rPr>
          <w:rFonts w:hint="eastAsia" w:ascii="仿宋_GB2312" w:eastAsia="仿宋_GB2312" w:cs="仿宋_GB2312"/>
          <w:color w:val="auto"/>
          <w:sz w:val="32"/>
          <w:szCs w:val="32"/>
          <w:highlight w:val="none"/>
          <w:lang w:val="en-US" w:eastAsia="zh-CN"/>
        </w:rPr>
        <w:t>—</w:t>
      </w:r>
      <w:r>
        <w:rPr>
          <w:rFonts w:hint="eastAsia" w:ascii="Times New Roman" w:hAnsi="Times New Roman" w:eastAsia="Times New Roman" w:cs="Times New Roman"/>
          <w:color w:val="auto"/>
          <w:sz w:val="32"/>
          <w:szCs w:val="32"/>
          <w:highlight w:val="none"/>
          <w:lang w:val="en-US" w:eastAsia="zh-CN"/>
        </w:rPr>
        <w:t>2028</w:t>
      </w:r>
      <w:r>
        <w:rPr>
          <w:rFonts w:hint="eastAsia" w:ascii="仿宋_GB2312" w:eastAsia="仿宋_GB2312" w:cs="仿宋_GB2312"/>
          <w:color w:val="auto"/>
          <w:sz w:val="32"/>
          <w:szCs w:val="32"/>
          <w:highlight w:val="none"/>
          <w:lang w:val="en-US" w:eastAsia="zh-CN"/>
        </w:rPr>
        <w:t>年）》</w:t>
      </w:r>
      <w:r>
        <w:rPr>
          <w:rFonts w:hint="eastAsia" w:ascii="仿宋_GB2312" w:eastAsia="仿宋_GB2312" w:cs="仿宋_GB2312"/>
          <w:b w:val="0"/>
          <w:bCs w:val="0"/>
          <w:color w:val="auto"/>
          <w:sz w:val="32"/>
          <w:szCs w:val="32"/>
          <w:highlight w:val="none"/>
          <w:lang w:val="en-US" w:eastAsia="zh-CN"/>
        </w:rPr>
        <w:t>等。同时依据市委、市政府对</w:t>
      </w:r>
      <w:r>
        <w:rPr>
          <w:rFonts w:hint="eastAsia" w:ascii="仿宋_GB2312" w:eastAsia="仿宋_GB2312" w:cs="仿宋_GB2312"/>
          <w:b w:val="0"/>
          <w:bCs w:val="0"/>
          <w:color w:val="auto"/>
          <w:sz w:val="32"/>
          <w:szCs w:val="32"/>
          <w:highlight w:val="none"/>
          <w:lang w:val="en-US" w:eastAsia="zh"/>
        </w:rPr>
        <w:t>“</w:t>
      </w:r>
      <w:r>
        <w:rPr>
          <w:rFonts w:hint="eastAsia" w:ascii="仿宋_GB2312" w:eastAsia="仿宋_GB2312" w:cs="仿宋_GB2312"/>
          <w:b w:val="0"/>
          <w:bCs w:val="0"/>
          <w:color w:val="auto"/>
          <w:sz w:val="32"/>
          <w:szCs w:val="32"/>
          <w:highlight w:val="none"/>
          <w:lang w:val="en-US" w:eastAsia="zh-CN"/>
        </w:rPr>
        <w:t>十五五</w:t>
      </w:r>
      <w:r>
        <w:rPr>
          <w:rFonts w:hint="eastAsia" w:ascii="仿宋_GB2312" w:eastAsia="仿宋_GB2312" w:cs="仿宋_GB2312"/>
          <w:b w:val="0"/>
          <w:bCs w:val="0"/>
          <w:color w:val="auto"/>
          <w:sz w:val="32"/>
          <w:szCs w:val="32"/>
          <w:highlight w:val="none"/>
          <w:lang w:val="en-US" w:eastAsia="zh"/>
        </w:rPr>
        <w:t>”</w:t>
      </w:r>
      <w:r>
        <w:rPr>
          <w:rFonts w:hint="eastAsia" w:ascii="仿宋_GB2312" w:eastAsia="仿宋_GB2312" w:cs="仿宋_GB2312"/>
          <w:b w:val="0"/>
          <w:bCs w:val="0"/>
          <w:color w:val="auto"/>
          <w:sz w:val="32"/>
          <w:szCs w:val="32"/>
          <w:highlight w:val="none"/>
          <w:lang w:val="en-US" w:eastAsia="zh-CN"/>
        </w:rPr>
        <w:t>规划编制部署的重要指示精神，以及相关法律法规和政策文件。</w:t>
      </w:r>
    </w:p>
    <w:p w14:paraId="09C0B002">
      <w:pPr>
        <w:keepNext w:val="0"/>
        <w:keepLines w:val="0"/>
        <w:pageBreakBefore w:val="0"/>
        <w:widowControl w:val="0"/>
        <w:kinsoku/>
        <w:wordWrap/>
        <w:overflowPunct/>
        <w:topLinePunct w:val="0"/>
        <w:autoSpaceDE/>
        <w:autoSpaceDN/>
        <w:bidi w:val="0"/>
        <w:adjustRightInd w:val="0"/>
        <w:snapToGrid w:val="0"/>
        <w:spacing w:beforeLines="0" w:after="0" w:afterLines="0" w:line="560" w:lineRule="exact"/>
        <w:ind w:firstLine="616" w:firstLineChars="200"/>
        <w:textAlignment w:val="auto"/>
        <w:rPr>
          <w:rFonts w:hint="eastAsia" w:ascii="仿宋_GB2312" w:eastAsia="仿宋_GB2312" w:cs="仿宋_GB2312"/>
          <w:color w:val="auto"/>
          <w:sz w:val="32"/>
          <w:szCs w:val="32"/>
          <w:highlight w:val="none"/>
          <w:lang w:val="en-US" w:eastAsia="zh-CN"/>
        </w:rPr>
      </w:pPr>
      <w:r>
        <w:rPr>
          <w:rFonts w:hint="eastAsia" w:ascii="仿宋_GB2312" w:eastAsia="仿宋_GB2312" w:cs="仿宋_GB2312"/>
          <w:color w:val="auto"/>
          <w:sz w:val="32"/>
          <w:szCs w:val="32"/>
          <w:highlight w:val="none"/>
          <w:lang w:val="en-US" w:eastAsia="zh-CN"/>
        </w:rPr>
        <w:t>本规划的期限：</w:t>
      </w:r>
      <w:r>
        <w:rPr>
          <w:rFonts w:hint="eastAsia" w:ascii="Times New Roman" w:hAnsi="Times New Roman" w:eastAsia="Times New Roman" w:cs="Times New Roman"/>
          <w:color w:val="auto"/>
          <w:sz w:val="32"/>
          <w:szCs w:val="32"/>
          <w:highlight w:val="none"/>
          <w:lang w:val="en-US" w:eastAsia="zh-CN"/>
        </w:rPr>
        <w:t>2026</w:t>
      </w:r>
      <w:r>
        <w:rPr>
          <w:rFonts w:hint="eastAsia" w:ascii="仿宋_GB2312" w:eastAsia="仿宋_GB2312" w:cs="仿宋_GB2312"/>
          <w:color w:val="auto"/>
          <w:sz w:val="32"/>
          <w:szCs w:val="32"/>
          <w:highlight w:val="none"/>
          <w:lang w:val="en-US" w:eastAsia="zh-CN"/>
        </w:rPr>
        <w:t>年—</w:t>
      </w:r>
      <w:r>
        <w:rPr>
          <w:rFonts w:hint="eastAsia" w:ascii="Times New Roman" w:hAnsi="Times New Roman" w:eastAsia="Times New Roman" w:cs="Times New Roman"/>
          <w:color w:val="auto"/>
          <w:sz w:val="32"/>
          <w:szCs w:val="32"/>
          <w:highlight w:val="none"/>
          <w:lang w:val="en-US" w:eastAsia="zh-CN"/>
        </w:rPr>
        <w:t>2030</w:t>
      </w:r>
      <w:r>
        <w:rPr>
          <w:rFonts w:hint="eastAsia" w:ascii="仿宋_GB2312" w:eastAsia="仿宋_GB2312" w:cs="仿宋_GB2312"/>
          <w:color w:val="auto"/>
          <w:sz w:val="32"/>
          <w:szCs w:val="32"/>
          <w:highlight w:val="none"/>
          <w:lang w:val="en-US" w:eastAsia="zh-CN"/>
        </w:rPr>
        <w:t>年。</w:t>
      </w:r>
    </w:p>
    <w:p w14:paraId="3DB73A2F">
      <w:pPr>
        <w:keepNext w:val="0"/>
        <w:keepLines w:val="0"/>
        <w:pageBreakBefore w:val="0"/>
        <w:widowControl w:val="0"/>
        <w:kinsoku/>
        <w:wordWrap/>
        <w:overflowPunct/>
        <w:topLinePunct w:val="0"/>
        <w:autoSpaceDE/>
        <w:autoSpaceDN/>
        <w:bidi w:val="0"/>
        <w:adjustRightInd w:val="0"/>
        <w:snapToGrid w:val="0"/>
        <w:spacing w:beforeLines="0" w:after="0" w:afterLines="0" w:line="560" w:lineRule="exact"/>
        <w:ind w:firstLine="616" w:firstLineChars="200"/>
        <w:textAlignment w:val="auto"/>
        <w:rPr>
          <w:rFonts w:hint="eastAsia" w:ascii="仿宋_GB2312" w:eastAsia="仿宋_GB2312" w:cs="仿宋_GB2312"/>
          <w:color w:val="auto"/>
          <w:sz w:val="32"/>
          <w:szCs w:val="32"/>
          <w:highlight w:val="none"/>
          <w:lang w:val="en-US" w:eastAsia="zh-CN"/>
        </w:rPr>
      </w:pPr>
    </w:p>
    <w:sdt>
      <w:sdtPr>
        <w:rPr>
          <w:rFonts w:hint="eastAsia" w:ascii="黑体" w:hAnsi="黑体" w:eastAsia="黑体" w:cs="黑体"/>
          <w:color w:val="auto"/>
          <w:spacing w:val="-6"/>
          <w:kern w:val="2"/>
          <w:sz w:val="36"/>
          <w:szCs w:val="36"/>
          <w:lang w:val="en-US" w:eastAsia="zh-CN" w:bidi="ar-SA"/>
        </w:rPr>
        <w:id w:val="147475379"/>
        <w15:color w:val="DBDBDB"/>
        <w:docPartObj>
          <w:docPartGallery w:val="Table of Contents"/>
          <w:docPartUnique/>
        </w:docPartObj>
      </w:sdtPr>
      <w:sdtEndPr>
        <w:rPr>
          <w:rFonts w:hint="eastAsia" w:ascii="黑体" w:hAnsi="黑体" w:eastAsia="黑体" w:cs="黑体"/>
          <w:color w:val="auto"/>
          <w:spacing w:val="-6"/>
          <w:kern w:val="2"/>
          <w:sz w:val="32"/>
          <w:szCs w:val="32"/>
          <w:lang w:val="en-US" w:eastAsia="zh-CN" w:bidi="ar-SA"/>
        </w:rPr>
      </w:sdtEndPr>
      <w:sdtContent>
        <w:p w14:paraId="30E15FED">
          <w:pPr>
            <w:pStyle w:val="18"/>
            <w:keepNext w:val="0"/>
            <w:keepLines w:val="0"/>
            <w:pageBreakBefore w:val="0"/>
            <w:widowControl w:val="0"/>
            <w:tabs>
              <w:tab w:val="right" w:leader="dot" w:pos="8306"/>
            </w:tabs>
            <w:kinsoku/>
            <w:wordWrap/>
            <w:overflowPunct/>
            <w:topLinePunct w:val="0"/>
            <w:autoSpaceDE/>
            <w:autoSpaceDN/>
            <w:bidi w:val="0"/>
            <w:adjustRightInd w:val="0"/>
            <w:snapToGrid w:val="0"/>
            <w:spacing w:beforeLines="0" w:afterLines="0" w:line="360" w:lineRule="auto"/>
            <w:ind w:left="0" w:leftChars="0" w:firstLine="0" w:firstLineChars="0"/>
            <w:jc w:val="center"/>
            <w:textAlignment w:val="auto"/>
            <w:rPr>
              <w:rFonts w:ascii="仿宋" w:hAnsi="仿宋" w:eastAsia="仿宋" w:cs="Times New Roman"/>
              <w:color w:val="auto"/>
              <w:spacing w:val="-6"/>
              <w:kern w:val="2"/>
              <w:sz w:val="28"/>
              <w:szCs w:val="28"/>
              <w:lang w:val="en-US" w:eastAsia="zh-CN" w:bidi="ar-SA"/>
            </w:rPr>
          </w:pPr>
          <w:r>
            <w:rPr>
              <w:rFonts w:hint="eastAsia" w:ascii="黑体" w:hAnsi="黑体" w:eastAsia="黑体" w:cs="黑体"/>
              <w:sz w:val="36"/>
              <w:szCs w:val="36"/>
            </w:rPr>
            <w:t>目录</w:t>
          </w:r>
          <w:r>
            <w:rPr>
              <w:sz w:val="28"/>
              <w:szCs w:val="28"/>
            </w:rPr>
            <w:fldChar w:fldCharType="begin"/>
          </w:r>
          <w:r>
            <w:rPr>
              <w:sz w:val="28"/>
              <w:szCs w:val="28"/>
            </w:rPr>
            <w:instrText xml:space="preserve">TOC \o "1-3" \h \u </w:instrText>
          </w:r>
          <w:r>
            <w:rPr>
              <w:sz w:val="28"/>
              <w:szCs w:val="28"/>
            </w:rPr>
            <w:fldChar w:fldCharType="separate"/>
          </w:r>
        </w:p>
        <w:p w14:paraId="267BC8AB">
          <w:pPr>
            <w:pStyle w:val="14"/>
            <w:tabs>
              <w:tab w:val="right" w:leader="dot" w:pos="8306"/>
            </w:tabs>
            <w:ind w:left="0" w:leftChars="0" w:firstLine="0" w:firstLineChars="0"/>
            <w:rPr>
              <w:sz w:val="28"/>
              <w:szCs w:val="28"/>
            </w:rPr>
          </w:pPr>
          <w:r>
            <w:rPr>
              <w:sz w:val="28"/>
              <w:szCs w:val="24"/>
            </w:rPr>
            <w:fldChar w:fldCharType="begin"/>
          </w:r>
          <w:r>
            <w:rPr>
              <w:sz w:val="28"/>
              <w:szCs w:val="24"/>
            </w:rPr>
            <w:instrText xml:space="preserve"> HYPERLINK \l _Toc23643 </w:instrText>
          </w:r>
          <w:r>
            <w:rPr>
              <w:sz w:val="28"/>
              <w:szCs w:val="24"/>
            </w:rPr>
            <w:fldChar w:fldCharType="separate"/>
          </w:r>
          <w:r>
            <w:rPr>
              <w:rFonts w:hint="eastAsia" w:ascii="方正小标宋简体" w:hAnsi="方正小标宋简体" w:eastAsia="方正小标宋简体" w:cs="方正小标宋简体"/>
              <w:sz w:val="28"/>
              <w:szCs w:val="32"/>
              <w:lang w:val="en-US" w:eastAsia="zh-CN"/>
            </w:rPr>
            <w:t>第一章 “十四五”时期发展成就与形势研判</w:t>
          </w:r>
          <w:r>
            <w:rPr>
              <w:sz w:val="28"/>
              <w:szCs w:val="28"/>
            </w:rPr>
            <w:tab/>
          </w:r>
          <w:r>
            <w:rPr>
              <w:sz w:val="28"/>
              <w:szCs w:val="28"/>
            </w:rPr>
            <w:fldChar w:fldCharType="begin"/>
          </w:r>
          <w:r>
            <w:rPr>
              <w:sz w:val="28"/>
              <w:szCs w:val="28"/>
            </w:rPr>
            <w:instrText xml:space="preserve"> PAGEREF _Toc23643 \h </w:instrText>
          </w:r>
          <w:r>
            <w:rPr>
              <w:sz w:val="28"/>
              <w:szCs w:val="28"/>
            </w:rPr>
            <w:fldChar w:fldCharType="separate"/>
          </w:r>
          <w:r>
            <w:rPr>
              <w:sz w:val="28"/>
              <w:szCs w:val="28"/>
            </w:rPr>
            <w:t>4</w:t>
          </w:r>
          <w:r>
            <w:rPr>
              <w:sz w:val="28"/>
              <w:szCs w:val="28"/>
            </w:rPr>
            <w:fldChar w:fldCharType="end"/>
          </w:r>
          <w:r>
            <w:rPr>
              <w:sz w:val="28"/>
              <w:szCs w:val="24"/>
            </w:rPr>
            <w:fldChar w:fldCharType="end"/>
          </w:r>
        </w:p>
        <w:p w14:paraId="73A76199">
          <w:pPr>
            <w:pStyle w:val="18"/>
            <w:tabs>
              <w:tab w:val="right" w:leader="dot" w:pos="8306"/>
            </w:tabs>
            <w:ind w:left="0" w:leftChars="0" w:firstLine="538" w:firstLineChars="201"/>
            <w:rPr>
              <w:sz w:val="28"/>
              <w:szCs w:val="28"/>
            </w:rPr>
          </w:pPr>
          <w:r>
            <w:rPr>
              <w:sz w:val="28"/>
              <w:szCs w:val="24"/>
            </w:rPr>
            <w:fldChar w:fldCharType="begin"/>
          </w:r>
          <w:r>
            <w:rPr>
              <w:sz w:val="28"/>
              <w:szCs w:val="24"/>
            </w:rPr>
            <w:instrText xml:space="preserve"> HYPERLINK \l _Toc6077 </w:instrText>
          </w:r>
          <w:r>
            <w:rPr>
              <w:sz w:val="28"/>
              <w:szCs w:val="24"/>
            </w:rPr>
            <w:fldChar w:fldCharType="separate"/>
          </w:r>
          <w:r>
            <w:rPr>
              <w:rFonts w:hint="eastAsia" w:ascii="黑体" w:hAnsi="黑体" w:eastAsia="黑体" w:cs="黑体"/>
              <w:bCs/>
              <w:spacing w:val="-6"/>
              <w:sz w:val="28"/>
              <w:szCs w:val="28"/>
              <w:highlight w:val="none"/>
              <w:lang w:val="en-US" w:eastAsia="zh-CN"/>
            </w:rPr>
            <w:t>一、发展成就</w:t>
          </w:r>
          <w:r>
            <w:rPr>
              <w:sz w:val="28"/>
              <w:szCs w:val="28"/>
            </w:rPr>
            <w:tab/>
          </w:r>
          <w:r>
            <w:rPr>
              <w:sz w:val="28"/>
              <w:szCs w:val="28"/>
            </w:rPr>
            <w:fldChar w:fldCharType="begin"/>
          </w:r>
          <w:r>
            <w:rPr>
              <w:sz w:val="28"/>
              <w:szCs w:val="28"/>
            </w:rPr>
            <w:instrText xml:space="preserve"> PAGEREF _Toc6077 \h </w:instrText>
          </w:r>
          <w:r>
            <w:rPr>
              <w:sz w:val="28"/>
              <w:szCs w:val="28"/>
            </w:rPr>
            <w:fldChar w:fldCharType="separate"/>
          </w:r>
          <w:r>
            <w:rPr>
              <w:sz w:val="28"/>
              <w:szCs w:val="28"/>
            </w:rPr>
            <w:t>4</w:t>
          </w:r>
          <w:r>
            <w:rPr>
              <w:sz w:val="28"/>
              <w:szCs w:val="28"/>
            </w:rPr>
            <w:fldChar w:fldCharType="end"/>
          </w:r>
          <w:r>
            <w:rPr>
              <w:sz w:val="28"/>
              <w:szCs w:val="24"/>
            </w:rPr>
            <w:fldChar w:fldCharType="end"/>
          </w:r>
        </w:p>
        <w:p w14:paraId="107E01BE">
          <w:pPr>
            <w:pStyle w:val="18"/>
            <w:tabs>
              <w:tab w:val="right" w:leader="dot" w:pos="8306"/>
            </w:tabs>
            <w:ind w:left="0" w:leftChars="0" w:firstLine="538" w:firstLineChars="201"/>
            <w:rPr>
              <w:sz w:val="28"/>
              <w:szCs w:val="28"/>
            </w:rPr>
          </w:pPr>
          <w:r>
            <w:rPr>
              <w:sz w:val="28"/>
              <w:szCs w:val="24"/>
            </w:rPr>
            <w:fldChar w:fldCharType="begin"/>
          </w:r>
          <w:r>
            <w:rPr>
              <w:sz w:val="28"/>
              <w:szCs w:val="24"/>
            </w:rPr>
            <w:instrText xml:space="preserve"> HYPERLINK \l _Toc10987 </w:instrText>
          </w:r>
          <w:r>
            <w:rPr>
              <w:sz w:val="28"/>
              <w:szCs w:val="24"/>
            </w:rPr>
            <w:fldChar w:fldCharType="separate"/>
          </w:r>
          <w:r>
            <w:rPr>
              <w:rFonts w:hint="eastAsia" w:ascii="黑体" w:hAnsi="黑体" w:eastAsia="黑体" w:cs="黑体"/>
              <w:bCs/>
              <w:spacing w:val="-6"/>
              <w:sz w:val="28"/>
              <w:szCs w:val="28"/>
              <w:highlight w:val="none"/>
              <w:lang w:val="en-US" w:eastAsia="zh-CN"/>
            </w:rPr>
            <w:t>二、形势研判</w:t>
          </w:r>
          <w:r>
            <w:rPr>
              <w:sz w:val="28"/>
              <w:szCs w:val="28"/>
            </w:rPr>
            <w:tab/>
          </w:r>
          <w:r>
            <w:rPr>
              <w:sz w:val="28"/>
              <w:szCs w:val="28"/>
            </w:rPr>
            <w:fldChar w:fldCharType="begin"/>
          </w:r>
          <w:r>
            <w:rPr>
              <w:sz w:val="28"/>
              <w:szCs w:val="28"/>
            </w:rPr>
            <w:instrText xml:space="preserve"> PAGEREF _Toc10987 \h </w:instrText>
          </w:r>
          <w:r>
            <w:rPr>
              <w:sz w:val="28"/>
              <w:szCs w:val="28"/>
            </w:rPr>
            <w:fldChar w:fldCharType="separate"/>
          </w:r>
          <w:r>
            <w:rPr>
              <w:sz w:val="28"/>
              <w:szCs w:val="28"/>
            </w:rPr>
            <w:t>6</w:t>
          </w:r>
          <w:r>
            <w:rPr>
              <w:sz w:val="28"/>
              <w:szCs w:val="28"/>
            </w:rPr>
            <w:fldChar w:fldCharType="end"/>
          </w:r>
          <w:r>
            <w:rPr>
              <w:sz w:val="28"/>
              <w:szCs w:val="24"/>
            </w:rPr>
            <w:fldChar w:fldCharType="end"/>
          </w:r>
        </w:p>
        <w:p w14:paraId="5B6A46DD">
          <w:pPr>
            <w:pStyle w:val="18"/>
            <w:tabs>
              <w:tab w:val="right" w:leader="dot" w:pos="8306"/>
            </w:tabs>
            <w:ind w:left="0" w:leftChars="0" w:firstLine="538" w:firstLineChars="201"/>
            <w:rPr>
              <w:sz w:val="28"/>
              <w:szCs w:val="28"/>
            </w:rPr>
          </w:pPr>
          <w:r>
            <w:rPr>
              <w:sz w:val="28"/>
              <w:szCs w:val="24"/>
            </w:rPr>
            <w:fldChar w:fldCharType="begin"/>
          </w:r>
          <w:r>
            <w:rPr>
              <w:sz w:val="28"/>
              <w:szCs w:val="24"/>
            </w:rPr>
            <w:instrText xml:space="preserve"> HYPERLINK \l _Toc9623 </w:instrText>
          </w:r>
          <w:r>
            <w:rPr>
              <w:sz w:val="28"/>
              <w:szCs w:val="24"/>
            </w:rPr>
            <w:fldChar w:fldCharType="separate"/>
          </w:r>
          <w:r>
            <w:rPr>
              <w:rFonts w:hint="eastAsia" w:ascii="黑体" w:hAnsi="黑体" w:eastAsia="黑体" w:cs="黑体"/>
              <w:bCs/>
              <w:spacing w:val="-6"/>
              <w:sz w:val="28"/>
              <w:szCs w:val="28"/>
              <w:highlight w:val="none"/>
              <w:lang w:val="en-US" w:eastAsia="zh-CN"/>
            </w:rPr>
            <w:t>三、存在问题</w:t>
          </w:r>
          <w:r>
            <w:rPr>
              <w:sz w:val="28"/>
              <w:szCs w:val="28"/>
            </w:rPr>
            <w:tab/>
          </w:r>
          <w:r>
            <w:rPr>
              <w:sz w:val="28"/>
              <w:szCs w:val="28"/>
            </w:rPr>
            <w:fldChar w:fldCharType="begin"/>
          </w:r>
          <w:r>
            <w:rPr>
              <w:sz w:val="28"/>
              <w:szCs w:val="28"/>
            </w:rPr>
            <w:instrText xml:space="preserve"> PAGEREF _Toc9623 \h </w:instrText>
          </w:r>
          <w:r>
            <w:rPr>
              <w:sz w:val="28"/>
              <w:szCs w:val="28"/>
            </w:rPr>
            <w:fldChar w:fldCharType="separate"/>
          </w:r>
          <w:r>
            <w:rPr>
              <w:sz w:val="28"/>
              <w:szCs w:val="28"/>
            </w:rPr>
            <w:t>7</w:t>
          </w:r>
          <w:r>
            <w:rPr>
              <w:sz w:val="28"/>
              <w:szCs w:val="28"/>
            </w:rPr>
            <w:fldChar w:fldCharType="end"/>
          </w:r>
          <w:r>
            <w:rPr>
              <w:sz w:val="28"/>
              <w:szCs w:val="24"/>
            </w:rPr>
            <w:fldChar w:fldCharType="end"/>
          </w:r>
        </w:p>
        <w:p w14:paraId="15582818">
          <w:pPr>
            <w:pStyle w:val="14"/>
            <w:tabs>
              <w:tab w:val="right" w:leader="dot" w:pos="8306"/>
            </w:tabs>
            <w:ind w:left="0" w:leftChars="0" w:firstLine="0" w:firstLineChars="0"/>
            <w:rPr>
              <w:sz w:val="28"/>
              <w:szCs w:val="28"/>
            </w:rPr>
          </w:pPr>
          <w:r>
            <w:rPr>
              <w:sz w:val="28"/>
              <w:szCs w:val="24"/>
            </w:rPr>
            <w:fldChar w:fldCharType="begin"/>
          </w:r>
          <w:r>
            <w:rPr>
              <w:sz w:val="28"/>
              <w:szCs w:val="24"/>
            </w:rPr>
            <w:instrText xml:space="preserve"> HYPERLINK \l _Toc19552 </w:instrText>
          </w:r>
          <w:r>
            <w:rPr>
              <w:sz w:val="28"/>
              <w:szCs w:val="24"/>
            </w:rPr>
            <w:fldChar w:fldCharType="separate"/>
          </w:r>
          <w:r>
            <w:rPr>
              <w:rFonts w:hint="eastAsia" w:ascii="方正小标宋简体" w:hAnsi="方正小标宋简体" w:eastAsia="方正小标宋简体" w:cs="方正小标宋简体"/>
              <w:sz w:val="28"/>
              <w:szCs w:val="32"/>
              <w:lang w:val="en-US" w:eastAsia="zh-CN"/>
            </w:rPr>
            <w:t>第二章 “十五五”时期总体思路与发展目标</w:t>
          </w:r>
          <w:r>
            <w:rPr>
              <w:sz w:val="28"/>
              <w:szCs w:val="28"/>
            </w:rPr>
            <w:tab/>
          </w:r>
          <w:r>
            <w:rPr>
              <w:sz w:val="28"/>
              <w:szCs w:val="28"/>
            </w:rPr>
            <w:fldChar w:fldCharType="begin"/>
          </w:r>
          <w:r>
            <w:rPr>
              <w:sz w:val="28"/>
              <w:szCs w:val="28"/>
            </w:rPr>
            <w:instrText xml:space="preserve"> PAGEREF _Toc19552 \h </w:instrText>
          </w:r>
          <w:r>
            <w:rPr>
              <w:sz w:val="28"/>
              <w:szCs w:val="28"/>
            </w:rPr>
            <w:fldChar w:fldCharType="separate"/>
          </w:r>
          <w:r>
            <w:rPr>
              <w:sz w:val="28"/>
              <w:szCs w:val="28"/>
            </w:rPr>
            <w:t>9</w:t>
          </w:r>
          <w:r>
            <w:rPr>
              <w:sz w:val="28"/>
              <w:szCs w:val="28"/>
            </w:rPr>
            <w:fldChar w:fldCharType="end"/>
          </w:r>
          <w:r>
            <w:rPr>
              <w:sz w:val="28"/>
              <w:szCs w:val="24"/>
            </w:rPr>
            <w:fldChar w:fldCharType="end"/>
          </w:r>
        </w:p>
        <w:p w14:paraId="5991D6BE">
          <w:pPr>
            <w:pStyle w:val="18"/>
            <w:tabs>
              <w:tab w:val="right" w:leader="dot" w:pos="8306"/>
            </w:tabs>
            <w:ind w:left="0" w:leftChars="0" w:firstLine="538" w:firstLineChars="201"/>
            <w:rPr>
              <w:sz w:val="28"/>
              <w:szCs w:val="28"/>
            </w:rPr>
          </w:pPr>
          <w:r>
            <w:rPr>
              <w:sz w:val="28"/>
              <w:szCs w:val="24"/>
            </w:rPr>
            <w:fldChar w:fldCharType="begin"/>
          </w:r>
          <w:r>
            <w:rPr>
              <w:sz w:val="28"/>
              <w:szCs w:val="24"/>
            </w:rPr>
            <w:instrText xml:space="preserve"> HYPERLINK \l _Toc14667 </w:instrText>
          </w:r>
          <w:r>
            <w:rPr>
              <w:sz w:val="28"/>
              <w:szCs w:val="24"/>
            </w:rPr>
            <w:fldChar w:fldCharType="separate"/>
          </w:r>
          <w:r>
            <w:rPr>
              <w:rFonts w:hint="eastAsia" w:ascii="黑体" w:hAnsi="黑体" w:eastAsia="黑体" w:cs="黑体"/>
              <w:bCs/>
              <w:i w:val="0"/>
              <w:iCs w:val="0"/>
              <w:caps w:val="0"/>
              <w:smallCaps w:val="0"/>
              <w:snapToGrid/>
              <w:spacing w:val="-6"/>
              <w:kern w:val="2"/>
              <w:sz w:val="28"/>
              <w:szCs w:val="28"/>
              <w:highlight w:val="none"/>
              <w:shd w:val="clear" w:color="auto" w:fill="auto"/>
              <w:lang w:val="en-US" w:eastAsia="zh-CN" w:bidi="ar-SA"/>
            </w:rPr>
            <w:t>一、指导思想</w:t>
          </w:r>
          <w:r>
            <w:rPr>
              <w:sz w:val="28"/>
              <w:szCs w:val="28"/>
            </w:rPr>
            <w:tab/>
          </w:r>
          <w:r>
            <w:rPr>
              <w:sz w:val="28"/>
              <w:szCs w:val="28"/>
            </w:rPr>
            <w:fldChar w:fldCharType="begin"/>
          </w:r>
          <w:r>
            <w:rPr>
              <w:sz w:val="28"/>
              <w:szCs w:val="28"/>
            </w:rPr>
            <w:instrText xml:space="preserve"> PAGEREF _Toc14667 \h </w:instrText>
          </w:r>
          <w:r>
            <w:rPr>
              <w:sz w:val="28"/>
              <w:szCs w:val="28"/>
            </w:rPr>
            <w:fldChar w:fldCharType="separate"/>
          </w:r>
          <w:r>
            <w:rPr>
              <w:sz w:val="28"/>
              <w:szCs w:val="28"/>
            </w:rPr>
            <w:t>9</w:t>
          </w:r>
          <w:r>
            <w:rPr>
              <w:sz w:val="28"/>
              <w:szCs w:val="28"/>
            </w:rPr>
            <w:fldChar w:fldCharType="end"/>
          </w:r>
          <w:r>
            <w:rPr>
              <w:sz w:val="28"/>
              <w:szCs w:val="24"/>
            </w:rPr>
            <w:fldChar w:fldCharType="end"/>
          </w:r>
        </w:p>
        <w:p w14:paraId="6BB450C5">
          <w:pPr>
            <w:pStyle w:val="18"/>
            <w:tabs>
              <w:tab w:val="right" w:leader="dot" w:pos="8306"/>
            </w:tabs>
            <w:ind w:left="0" w:leftChars="0" w:firstLine="538" w:firstLineChars="201"/>
            <w:rPr>
              <w:sz w:val="28"/>
              <w:szCs w:val="28"/>
            </w:rPr>
          </w:pPr>
          <w:r>
            <w:rPr>
              <w:sz w:val="28"/>
              <w:szCs w:val="24"/>
            </w:rPr>
            <w:fldChar w:fldCharType="begin"/>
          </w:r>
          <w:r>
            <w:rPr>
              <w:sz w:val="28"/>
              <w:szCs w:val="24"/>
            </w:rPr>
            <w:instrText xml:space="preserve"> HYPERLINK \l _Toc7589 </w:instrText>
          </w:r>
          <w:r>
            <w:rPr>
              <w:sz w:val="28"/>
              <w:szCs w:val="24"/>
            </w:rPr>
            <w:fldChar w:fldCharType="separate"/>
          </w:r>
          <w:r>
            <w:rPr>
              <w:rFonts w:hint="eastAsia" w:ascii="黑体" w:hAnsi="黑体" w:eastAsia="黑体" w:cs="黑体"/>
              <w:bCs/>
              <w:snapToGrid/>
              <w:spacing w:val="-6"/>
              <w:kern w:val="2"/>
              <w:sz w:val="28"/>
              <w:szCs w:val="28"/>
              <w:highlight w:val="none"/>
              <w:shd w:val="clear" w:color="auto" w:fill="auto"/>
              <w:lang w:val="en-US" w:eastAsia="zh-CN"/>
            </w:rPr>
            <w:t>二、规划原则</w:t>
          </w:r>
          <w:r>
            <w:rPr>
              <w:sz w:val="28"/>
              <w:szCs w:val="28"/>
            </w:rPr>
            <w:tab/>
          </w:r>
          <w:r>
            <w:rPr>
              <w:sz w:val="28"/>
              <w:szCs w:val="28"/>
            </w:rPr>
            <w:fldChar w:fldCharType="begin"/>
          </w:r>
          <w:r>
            <w:rPr>
              <w:sz w:val="28"/>
              <w:szCs w:val="28"/>
            </w:rPr>
            <w:instrText xml:space="preserve"> PAGEREF _Toc7589 \h </w:instrText>
          </w:r>
          <w:r>
            <w:rPr>
              <w:sz w:val="28"/>
              <w:szCs w:val="28"/>
            </w:rPr>
            <w:fldChar w:fldCharType="separate"/>
          </w:r>
          <w:r>
            <w:rPr>
              <w:sz w:val="28"/>
              <w:szCs w:val="28"/>
            </w:rPr>
            <w:t>9</w:t>
          </w:r>
          <w:r>
            <w:rPr>
              <w:sz w:val="28"/>
              <w:szCs w:val="28"/>
            </w:rPr>
            <w:fldChar w:fldCharType="end"/>
          </w:r>
          <w:r>
            <w:rPr>
              <w:sz w:val="28"/>
              <w:szCs w:val="24"/>
            </w:rPr>
            <w:fldChar w:fldCharType="end"/>
          </w:r>
        </w:p>
        <w:p w14:paraId="39311DE8">
          <w:pPr>
            <w:pStyle w:val="18"/>
            <w:tabs>
              <w:tab w:val="right" w:leader="dot" w:pos="8306"/>
            </w:tabs>
            <w:ind w:left="0" w:leftChars="0" w:firstLine="538" w:firstLineChars="201"/>
            <w:rPr>
              <w:sz w:val="28"/>
              <w:szCs w:val="28"/>
            </w:rPr>
          </w:pPr>
          <w:r>
            <w:rPr>
              <w:sz w:val="28"/>
              <w:szCs w:val="24"/>
            </w:rPr>
            <w:fldChar w:fldCharType="begin"/>
          </w:r>
          <w:r>
            <w:rPr>
              <w:sz w:val="28"/>
              <w:szCs w:val="24"/>
            </w:rPr>
            <w:instrText xml:space="preserve"> HYPERLINK \l _Toc17014 </w:instrText>
          </w:r>
          <w:r>
            <w:rPr>
              <w:sz w:val="28"/>
              <w:szCs w:val="24"/>
            </w:rPr>
            <w:fldChar w:fldCharType="separate"/>
          </w:r>
          <w:r>
            <w:rPr>
              <w:rFonts w:hint="eastAsia" w:ascii="黑体" w:hAnsi="黑体" w:eastAsia="黑体" w:cs="黑体"/>
              <w:bCs/>
              <w:snapToGrid/>
              <w:spacing w:val="-6"/>
              <w:kern w:val="2"/>
              <w:sz w:val="28"/>
              <w:szCs w:val="28"/>
              <w:highlight w:val="none"/>
              <w:shd w:val="clear" w:color="auto" w:fill="auto"/>
              <w:lang w:val="en-US" w:eastAsia="zh-CN"/>
            </w:rPr>
            <w:t>三、发展目标</w:t>
          </w:r>
          <w:r>
            <w:rPr>
              <w:sz w:val="28"/>
              <w:szCs w:val="28"/>
            </w:rPr>
            <w:tab/>
          </w:r>
          <w:r>
            <w:rPr>
              <w:sz w:val="28"/>
              <w:szCs w:val="28"/>
            </w:rPr>
            <w:fldChar w:fldCharType="begin"/>
          </w:r>
          <w:r>
            <w:rPr>
              <w:sz w:val="28"/>
              <w:szCs w:val="28"/>
            </w:rPr>
            <w:instrText xml:space="preserve"> PAGEREF _Toc17014 \h </w:instrText>
          </w:r>
          <w:r>
            <w:rPr>
              <w:sz w:val="28"/>
              <w:szCs w:val="28"/>
            </w:rPr>
            <w:fldChar w:fldCharType="separate"/>
          </w:r>
          <w:r>
            <w:rPr>
              <w:sz w:val="28"/>
              <w:szCs w:val="28"/>
            </w:rPr>
            <w:t>10</w:t>
          </w:r>
          <w:r>
            <w:rPr>
              <w:sz w:val="28"/>
              <w:szCs w:val="28"/>
            </w:rPr>
            <w:fldChar w:fldCharType="end"/>
          </w:r>
          <w:r>
            <w:rPr>
              <w:sz w:val="28"/>
              <w:szCs w:val="24"/>
            </w:rPr>
            <w:fldChar w:fldCharType="end"/>
          </w:r>
        </w:p>
        <w:p w14:paraId="1F50DF41">
          <w:pPr>
            <w:pStyle w:val="14"/>
            <w:tabs>
              <w:tab w:val="right" w:leader="dot" w:pos="8306"/>
            </w:tabs>
            <w:ind w:left="0" w:leftChars="0" w:firstLine="0" w:firstLineChars="0"/>
            <w:rPr>
              <w:sz w:val="28"/>
              <w:szCs w:val="28"/>
            </w:rPr>
          </w:pPr>
          <w:r>
            <w:rPr>
              <w:sz w:val="28"/>
              <w:szCs w:val="24"/>
            </w:rPr>
            <w:fldChar w:fldCharType="begin"/>
          </w:r>
          <w:r>
            <w:rPr>
              <w:sz w:val="28"/>
              <w:szCs w:val="24"/>
            </w:rPr>
            <w:instrText xml:space="preserve"> HYPERLINK \l _Toc9430 </w:instrText>
          </w:r>
          <w:r>
            <w:rPr>
              <w:sz w:val="28"/>
              <w:szCs w:val="24"/>
            </w:rPr>
            <w:fldChar w:fldCharType="separate"/>
          </w:r>
          <w:r>
            <w:rPr>
              <w:rFonts w:hint="eastAsia" w:ascii="方正小标宋简体" w:hAnsi="方正小标宋简体" w:eastAsia="方正小标宋简体" w:cs="方正小标宋简体"/>
              <w:sz w:val="28"/>
              <w:szCs w:val="32"/>
              <w:lang w:val="en-US" w:eastAsia="zh-CN"/>
            </w:rPr>
            <w:t>第三章 “十五五”时期城市管理重点任务</w:t>
          </w:r>
          <w:r>
            <w:rPr>
              <w:sz w:val="28"/>
              <w:szCs w:val="28"/>
            </w:rPr>
            <w:tab/>
          </w:r>
          <w:r>
            <w:rPr>
              <w:sz w:val="28"/>
              <w:szCs w:val="28"/>
            </w:rPr>
            <w:fldChar w:fldCharType="begin"/>
          </w:r>
          <w:r>
            <w:rPr>
              <w:sz w:val="28"/>
              <w:szCs w:val="28"/>
            </w:rPr>
            <w:instrText xml:space="preserve"> PAGEREF _Toc9430 \h </w:instrText>
          </w:r>
          <w:r>
            <w:rPr>
              <w:sz w:val="28"/>
              <w:szCs w:val="28"/>
            </w:rPr>
            <w:fldChar w:fldCharType="separate"/>
          </w:r>
          <w:r>
            <w:rPr>
              <w:sz w:val="28"/>
              <w:szCs w:val="28"/>
            </w:rPr>
            <w:t>13</w:t>
          </w:r>
          <w:r>
            <w:rPr>
              <w:sz w:val="28"/>
              <w:szCs w:val="28"/>
            </w:rPr>
            <w:fldChar w:fldCharType="end"/>
          </w:r>
          <w:r>
            <w:rPr>
              <w:sz w:val="28"/>
              <w:szCs w:val="24"/>
            </w:rPr>
            <w:fldChar w:fldCharType="end"/>
          </w:r>
        </w:p>
        <w:p w14:paraId="7BC3502B">
          <w:pPr>
            <w:pStyle w:val="18"/>
            <w:tabs>
              <w:tab w:val="right" w:leader="dot" w:pos="8306"/>
            </w:tabs>
            <w:ind w:left="0" w:leftChars="0" w:firstLine="538" w:firstLineChars="201"/>
            <w:rPr>
              <w:sz w:val="28"/>
              <w:szCs w:val="28"/>
            </w:rPr>
          </w:pPr>
          <w:r>
            <w:rPr>
              <w:sz w:val="28"/>
              <w:szCs w:val="24"/>
            </w:rPr>
            <w:fldChar w:fldCharType="begin"/>
          </w:r>
          <w:r>
            <w:rPr>
              <w:sz w:val="28"/>
              <w:szCs w:val="24"/>
            </w:rPr>
            <w:instrText xml:space="preserve"> HYPERLINK \l _Toc30702 </w:instrText>
          </w:r>
          <w:r>
            <w:rPr>
              <w:sz w:val="28"/>
              <w:szCs w:val="24"/>
            </w:rPr>
            <w:fldChar w:fldCharType="separate"/>
          </w:r>
          <w:r>
            <w:rPr>
              <w:rFonts w:hint="eastAsia" w:ascii="黑体" w:hAnsi="黑体" w:eastAsia="黑体" w:cs="黑体"/>
              <w:bCs/>
              <w:spacing w:val="-6"/>
              <w:sz w:val="28"/>
              <w:szCs w:val="28"/>
              <w:highlight w:val="none"/>
              <w:lang w:val="en-US" w:eastAsia="zh-CN"/>
            </w:rPr>
            <w:t>一、建立城市创新治理模式</w:t>
          </w:r>
          <w:r>
            <w:rPr>
              <w:sz w:val="28"/>
              <w:szCs w:val="28"/>
            </w:rPr>
            <w:tab/>
          </w:r>
          <w:r>
            <w:rPr>
              <w:sz w:val="28"/>
              <w:szCs w:val="28"/>
            </w:rPr>
            <w:fldChar w:fldCharType="begin"/>
          </w:r>
          <w:r>
            <w:rPr>
              <w:sz w:val="28"/>
              <w:szCs w:val="28"/>
            </w:rPr>
            <w:instrText xml:space="preserve"> PAGEREF _Toc30702 \h </w:instrText>
          </w:r>
          <w:r>
            <w:rPr>
              <w:sz w:val="28"/>
              <w:szCs w:val="28"/>
            </w:rPr>
            <w:fldChar w:fldCharType="separate"/>
          </w:r>
          <w:r>
            <w:rPr>
              <w:sz w:val="28"/>
              <w:szCs w:val="28"/>
            </w:rPr>
            <w:t>13</w:t>
          </w:r>
          <w:r>
            <w:rPr>
              <w:sz w:val="28"/>
              <w:szCs w:val="28"/>
            </w:rPr>
            <w:fldChar w:fldCharType="end"/>
          </w:r>
          <w:r>
            <w:rPr>
              <w:sz w:val="28"/>
              <w:szCs w:val="24"/>
            </w:rPr>
            <w:fldChar w:fldCharType="end"/>
          </w:r>
        </w:p>
        <w:p w14:paraId="12E749A1">
          <w:pPr>
            <w:pStyle w:val="11"/>
            <w:tabs>
              <w:tab w:val="right" w:leader="dot" w:pos="8306"/>
            </w:tabs>
            <w:ind w:left="0" w:leftChars="0" w:firstLine="1077" w:firstLineChars="402"/>
            <w:rPr>
              <w:sz w:val="28"/>
              <w:szCs w:val="28"/>
            </w:rPr>
          </w:pPr>
          <w:r>
            <w:rPr>
              <w:sz w:val="28"/>
              <w:szCs w:val="24"/>
            </w:rPr>
            <w:fldChar w:fldCharType="begin"/>
          </w:r>
          <w:r>
            <w:rPr>
              <w:sz w:val="28"/>
              <w:szCs w:val="24"/>
            </w:rPr>
            <w:instrText xml:space="preserve"> HYPERLINK \l _Toc2548 </w:instrText>
          </w:r>
          <w:r>
            <w:rPr>
              <w:sz w:val="28"/>
              <w:szCs w:val="24"/>
            </w:rPr>
            <w:fldChar w:fldCharType="separate"/>
          </w:r>
          <w:r>
            <w:rPr>
              <w:rFonts w:hint="eastAsia" w:ascii="楷体_GB2312" w:hAnsi="楷体_GB2312" w:eastAsia="楷体_GB2312" w:cs="楷体_GB2312"/>
              <w:bCs w:val="0"/>
              <w:spacing w:val="0"/>
              <w:sz w:val="28"/>
              <w:szCs w:val="22"/>
              <w:highlight w:val="none"/>
              <w:lang w:val="en-US" w:eastAsia="zh-CN"/>
            </w:rPr>
            <w:t>（一）构建城市管理多元共治新格局</w:t>
          </w:r>
          <w:r>
            <w:rPr>
              <w:sz w:val="28"/>
              <w:szCs w:val="28"/>
            </w:rPr>
            <w:tab/>
          </w:r>
          <w:r>
            <w:rPr>
              <w:sz w:val="28"/>
              <w:szCs w:val="28"/>
            </w:rPr>
            <w:fldChar w:fldCharType="begin"/>
          </w:r>
          <w:r>
            <w:rPr>
              <w:sz w:val="28"/>
              <w:szCs w:val="28"/>
            </w:rPr>
            <w:instrText xml:space="preserve"> PAGEREF _Toc2548 \h </w:instrText>
          </w:r>
          <w:r>
            <w:rPr>
              <w:sz w:val="28"/>
              <w:szCs w:val="28"/>
            </w:rPr>
            <w:fldChar w:fldCharType="separate"/>
          </w:r>
          <w:r>
            <w:rPr>
              <w:sz w:val="28"/>
              <w:szCs w:val="28"/>
            </w:rPr>
            <w:t>13</w:t>
          </w:r>
          <w:r>
            <w:rPr>
              <w:sz w:val="28"/>
              <w:szCs w:val="28"/>
            </w:rPr>
            <w:fldChar w:fldCharType="end"/>
          </w:r>
          <w:r>
            <w:rPr>
              <w:sz w:val="28"/>
              <w:szCs w:val="24"/>
            </w:rPr>
            <w:fldChar w:fldCharType="end"/>
          </w:r>
        </w:p>
        <w:p w14:paraId="221FBF4A">
          <w:pPr>
            <w:pStyle w:val="11"/>
            <w:tabs>
              <w:tab w:val="right" w:leader="dot" w:pos="8306"/>
            </w:tabs>
            <w:ind w:left="0" w:leftChars="0" w:firstLine="1077" w:firstLineChars="402"/>
            <w:rPr>
              <w:sz w:val="28"/>
              <w:szCs w:val="28"/>
            </w:rPr>
          </w:pPr>
          <w:r>
            <w:rPr>
              <w:sz w:val="28"/>
              <w:szCs w:val="24"/>
            </w:rPr>
            <w:fldChar w:fldCharType="begin"/>
          </w:r>
          <w:r>
            <w:rPr>
              <w:sz w:val="28"/>
              <w:szCs w:val="24"/>
            </w:rPr>
            <w:instrText xml:space="preserve"> HYPERLINK \l _Toc1060 </w:instrText>
          </w:r>
          <w:r>
            <w:rPr>
              <w:sz w:val="28"/>
              <w:szCs w:val="24"/>
            </w:rPr>
            <w:fldChar w:fldCharType="separate"/>
          </w:r>
          <w:r>
            <w:rPr>
              <w:rFonts w:hint="eastAsia" w:ascii="楷体_GB2312" w:hAnsi="楷体_GB2312" w:eastAsia="楷体_GB2312" w:cs="楷体_GB2312"/>
              <w:bCs w:val="0"/>
              <w:spacing w:val="0"/>
              <w:sz w:val="28"/>
              <w:szCs w:val="22"/>
              <w:highlight w:val="none"/>
              <w:lang w:val="en-US" w:eastAsia="zh-CN"/>
            </w:rPr>
            <w:t>（二）积极探索城市管理新范式</w:t>
          </w:r>
          <w:r>
            <w:rPr>
              <w:sz w:val="28"/>
              <w:szCs w:val="28"/>
            </w:rPr>
            <w:tab/>
          </w:r>
          <w:r>
            <w:rPr>
              <w:sz w:val="28"/>
              <w:szCs w:val="28"/>
            </w:rPr>
            <w:fldChar w:fldCharType="begin"/>
          </w:r>
          <w:r>
            <w:rPr>
              <w:sz w:val="28"/>
              <w:szCs w:val="28"/>
            </w:rPr>
            <w:instrText xml:space="preserve"> PAGEREF _Toc1060 \h </w:instrText>
          </w:r>
          <w:r>
            <w:rPr>
              <w:sz w:val="28"/>
              <w:szCs w:val="28"/>
            </w:rPr>
            <w:fldChar w:fldCharType="separate"/>
          </w:r>
          <w:r>
            <w:rPr>
              <w:sz w:val="28"/>
              <w:szCs w:val="28"/>
            </w:rPr>
            <w:t>14</w:t>
          </w:r>
          <w:r>
            <w:rPr>
              <w:sz w:val="28"/>
              <w:szCs w:val="28"/>
            </w:rPr>
            <w:fldChar w:fldCharType="end"/>
          </w:r>
          <w:r>
            <w:rPr>
              <w:sz w:val="28"/>
              <w:szCs w:val="24"/>
            </w:rPr>
            <w:fldChar w:fldCharType="end"/>
          </w:r>
        </w:p>
        <w:p w14:paraId="3E9363AC">
          <w:pPr>
            <w:pStyle w:val="18"/>
            <w:tabs>
              <w:tab w:val="right" w:leader="dot" w:pos="8306"/>
            </w:tabs>
            <w:ind w:left="0" w:leftChars="0" w:firstLine="538" w:firstLineChars="201"/>
            <w:rPr>
              <w:sz w:val="28"/>
              <w:szCs w:val="28"/>
            </w:rPr>
          </w:pPr>
          <w:r>
            <w:rPr>
              <w:sz w:val="28"/>
              <w:szCs w:val="24"/>
            </w:rPr>
            <w:fldChar w:fldCharType="begin"/>
          </w:r>
          <w:r>
            <w:rPr>
              <w:sz w:val="28"/>
              <w:szCs w:val="24"/>
            </w:rPr>
            <w:instrText xml:space="preserve"> HYPERLINK \l _Toc20026 </w:instrText>
          </w:r>
          <w:r>
            <w:rPr>
              <w:sz w:val="28"/>
              <w:szCs w:val="24"/>
            </w:rPr>
            <w:fldChar w:fldCharType="separate"/>
          </w:r>
          <w:r>
            <w:rPr>
              <w:rFonts w:hint="eastAsia" w:ascii="黑体" w:hAnsi="黑体" w:eastAsia="黑体" w:cs="黑体"/>
              <w:bCs/>
              <w:spacing w:val="-6"/>
              <w:sz w:val="28"/>
              <w:szCs w:val="28"/>
              <w:highlight w:val="none"/>
              <w:lang w:val="en-US" w:eastAsia="zh-CN"/>
            </w:rPr>
            <w:t>二、提升城市宜居环境品质</w:t>
          </w:r>
          <w:r>
            <w:rPr>
              <w:sz w:val="28"/>
              <w:szCs w:val="28"/>
            </w:rPr>
            <w:tab/>
          </w:r>
          <w:r>
            <w:rPr>
              <w:sz w:val="28"/>
              <w:szCs w:val="28"/>
            </w:rPr>
            <w:fldChar w:fldCharType="begin"/>
          </w:r>
          <w:r>
            <w:rPr>
              <w:sz w:val="28"/>
              <w:szCs w:val="28"/>
            </w:rPr>
            <w:instrText xml:space="preserve"> PAGEREF _Toc20026 \h </w:instrText>
          </w:r>
          <w:r>
            <w:rPr>
              <w:sz w:val="28"/>
              <w:szCs w:val="28"/>
            </w:rPr>
            <w:fldChar w:fldCharType="separate"/>
          </w:r>
          <w:r>
            <w:rPr>
              <w:sz w:val="28"/>
              <w:szCs w:val="28"/>
            </w:rPr>
            <w:t>14</w:t>
          </w:r>
          <w:r>
            <w:rPr>
              <w:sz w:val="28"/>
              <w:szCs w:val="28"/>
            </w:rPr>
            <w:fldChar w:fldCharType="end"/>
          </w:r>
          <w:r>
            <w:rPr>
              <w:sz w:val="28"/>
              <w:szCs w:val="24"/>
            </w:rPr>
            <w:fldChar w:fldCharType="end"/>
          </w:r>
        </w:p>
        <w:p w14:paraId="054544F3">
          <w:pPr>
            <w:pStyle w:val="11"/>
            <w:tabs>
              <w:tab w:val="right" w:leader="dot" w:pos="8306"/>
            </w:tabs>
            <w:ind w:left="0" w:leftChars="0" w:firstLine="1077" w:firstLineChars="402"/>
            <w:rPr>
              <w:sz w:val="28"/>
              <w:szCs w:val="28"/>
            </w:rPr>
          </w:pPr>
          <w:r>
            <w:rPr>
              <w:sz w:val="28"/>
              <w:szCs w:val="24"/>
            </w:rPr>
            <w:fldChar w:fldCharType="begin"/>
          </w:r>
          <w:r>
            <w:rPr>
              <w:sz w:val="28"/>
              <w:szCs w:val="24"/>
            </w:rPr>
            <w:instrText xml:space="preserve"> HYPERLINK \l _Toc10680 </w:instrText>
          </w:r>
          <w:r>
            <w:rPr>
              <w:sz w:val="28"/>
              <w:szCs w:val="24"/>
            </w:rPr>
            <w:fldChar w:fldCharType="separate"/>
          </w:r>
          <w:r>
            <w:rPr>
              <w:rFonts w:hint="eastAsia" w:ascii="楷体_GB2312" w:hAnsi="楷体_GB2312" w:eastAsia="楷体_GB2312" w:cs="楷体_GB2312"/>
              <w:bCs w:val="0"/>
              <w:spacing w:val="0"/>
              <w:sz w:val="28"/>
              <w:szCs w:val="22"/>
              <w:highlight w:val="none"/>
              <w:lang w:val="en-US" w:eastAsia="zh-CN"/>
            </w:rPr>
            <w:t>（一）深化环卫作业精细管理</w:t>
          </w:r>
          <w:r>
            <w:rPr>
              <w:sz w:val="28"/>
              <w:szCs w:val="28"/>
            </w:rPr>
            <w:tab/>
          </w:r>
          <w:r>
            <w:rPr>
              <w:sz w:val="28"/>
              <w:szCs w:val="28"/>
            </w:rPr>
            <w:fldChar w:fldCharType="begin"/>
          </w:r>
          <w:r>
            <w:rPr>
              <w:sz w:val="28"/>
              <w:szCs w:val="28"/>
            </w:rPr>
            <w:instrText xml:space="preserve"> PAGEREF _Toc10680 \h </w:instrText>
          </w:r>
          <w:r>
            <w:rPr>
              <w:sz w:val="28"/>
              <w:szCs w:val="28"/>
            </w:rPr>
            <w:fldChar w:fldCharType="separate"/>
          </w:r>
          <w:r>
            <w:rPr>
              <w:sz w:val="28"/>
              <w:szCs w:val="28"/>
            </w:rPr>
            <w:t>14</w:t>
          </w:r>
          <w:r>
            <w:rPr>
              <w:sz w:val="28"/>
              <w:szCs w:val="28"/>
            </w:rPr>
            <w:fldChar w:fldCharType="end"/>
          </w:r>
          <w:r>
            <w:rPr>
              <w:sz w:val="28"/>
              <w:szCs w:val="24"/>
            </w:rPr>
            <w:fldChar w:fldCharType="end"/>
          </w:r>
        </w:p>
        <w:p w14:paraId="3ED78B26">
          <w:pPr>
            <w:pStyle w:val="11"/>
            <w:tabs>
              <w:tab w:val="right" w:leader="dot" w:pos="8306"/>
            </w:tabs>
            <w:ind w:left="0" w:leftChars="0" w:firstLine="1077" w:firstLineChars="402"/>
            <w:rPr>
              <w:sz w:val="28"/>
              <w:szCs w:val="28"/>
            </w:rPr>
          </w:pPr>
          <w:r>
            <w:rPr>
              <w:sz w:val="28"/>
              <w:szCs w:val="24"/>
            </w:rPr>
            <w:fldChar w:fldCharType="begin"/>
          </w:r>
          <w:r>
            <w:rPr>
              <w:sz w:val="28"/>
              <w:szCs w:val="24"/>
            </w:rPr>
            <w:instrText xml:space="preserve"> HYPERLINK \l _Toc32492 </w:instrText>
          </w:r>
          <w:r>
            <w:rPr>
              <w:sz w:val="28"/>
              <w:szCs w:val="24"/>
            </w:rPr>
            <w:fldChar w:fldCharType="separate"/>
          </w:r>
          <w:r>
            <w:rPr>
              <w:rFonts w:hint="eastAsia" w:ascii="楷体_GB2312" w:hAnsi="楷体_GB2312" w:eastAsia="楷体_GB2312" w:cs="楷体_GB2312"/>
              <w:bCs w:val="0"/>
              <w:spacing w:val="0"/>
              <w:sz w:val="28"/>
              <w:szCs w:val="22"/>
              <w:highlight w:val="none"/>
              <w:lang w:val="en-US" w:eastAsia="zh-CN"/>
            </w:rPr>
            <w:t>（二）完善垃圾全链条治理体系</w:t>
          </w:r>
          <w:r>
            <w:rPr>
              <w:sz w:val="28"/>
              <w:szCs w:val="28"/>
            </w:rPr>
            <w:tab/>
          </w:r>
          <w:r>
            <w:rPr>
              <w:sz w:val="28"/>
              <w:szCs w:val="28"/>
            </w:rPr>
            <w:fldChar w:fldCharType="begin"/>
          </w:r>
          <w:r>
            <w:rPr>
              <w:sz w:val="28"/>
              <w:szCs w:val="28"/>
            </w:rPr>
            <w:instrText xml:space="preserve"> PAGEREF _Toc32492 \h </w:instrText>
          </w:r>
          <w:r>
            <w:rPr>
              <w:sz w:val="28"/>
              <w:szCs w:val="28"/>
            </w:rPr>
            <w:fldChar w:fldCharType="separate"/>
          </w:r>
          <w:r>
            <w:rPr>
              <w:sz w:val="28"/>
              <w:szCs w:val="28"/>
            </w:rPr>
            <w:t>16</w:t>
          </w:r>
          <w:r>
            <w:rPr>
              <w:sz w:val="28"/>
              <w:szCs w:val="28"/>
            </w:rPr>
            <w:fldChar w:fldCharType="end"/>
          </w:r>
          <w:r>
            <w:rPr>
              <w:sz w:val="28"/>
              <w:szCs w:val="24"/>
            </w:rPr>
            <w:fldChar w:fldCharType="end"/>
          </w:r>
        </w:p>
        <w:p w14:paraId="3C3A0A0B">
          <w:pPr>
            <w:pStyle w:val="11"/>
            <w:tabs>
              <w:tab w:val="right" w:leader="dot" w:pos="8306"/>
            </w:tabs>
            <w:ind w:left="0" w:leftChars="0" w:firstLine="1077" w:firstLineChars="402"/>
            <w:rPr>
              <w:sz w:val="28"/>
              <w:szCs w:val="28"/>
            </w:rPr>
          </w:pPr>
          <w:r>
            <w:rPr>
              <w:sz w:val="28"/>
              <w:szCs w:val="24"/>
            </w:rPr>
            <w:fldChar w:fldCharType="begin"/>
          </w:r>
          <w:r>
            <w:rPr>
              <w:sz w:val="28"/>
              <w:szCs w:val="24"/>
            </w:rPr>
            <w:instrText xml:space="preserve"> HYPERLINK \l _Toc18399 </w:instrText>
          </w:r>
          <w:r>
            <w:rPr>
              <w:sz w:val="28"/>
              <w:szCs w:val="24"/>
            </w:rPr>
            <w:fldChar w:fldCharType="separate"/>
          </w:r>
          <w:r>
            <w:rPr>
              <w:rFonts w:hint="eastAsia" w:ascii="楷体_GB2312" w:hAnsi="楷体_GB2312" w:eastAsia="楷体_GB2312" w:cs="楷体_GB2312"/>
              <w:bCs w:val="0"/>
              <w:spacing w:val="0"/>
              <w:sz w:val="28"/>
              <w:szCs w:val="22"/>
              <w:highlight w:val="none"/>
              <w:lang w:val="en-US" w:eastAsia="zh-CN"/>
            </w:rPr>
            <w:t>（三）统筹交通综合治理</w:t>
          </w:r>
          <w:r>
            <w:rPr>
              <w:sz w:val="28"/>
              <w:szCs w:val="28"/>
            </w:rPr>
            <w:tab/>
          </w:r>
          <w:r>
            <w:rPr>
              <w:sz w:val="28"/>
              <w:szCs w:val="28"/>
            </w:rPr>
            <w:fldChar w:fldCharType="begin"/>
          </w:r>
          <w:r>
            <w:rPr>
              <w:sz w:val="28"/>
              <w:szCs w:val="28"/>
            </w:rPr>
            <w:instrText xml:space="preserve"> PAGEREF _Toc18399 \h </w:instrText>
          </w:r>
          <w:r>
            <w:rPr>
              <w:sz w:val="28"/>
              <w:szCs w:val="28"/>
            </w:rPr>
            <w:fldChar w:fldCharType="separate"/>
          </w:r>
          <w:r>
            <w:rPr>
              <w:sz w:val="28"/>
              <w:szCs w:val="28"/>
            </w:rPr>
            <w:t>17</w:t>
          </w:r>
          <w:r>
            <w:rPr>
              <w:sz w:val="28"/>
              <w:szCs w:val="28"/>
            </w:rPr>
            <w:fldChar w:fldCharType="end"/>
          </w:r>
          <w:r>
            <w:rPr>
              <w:sz w:val="28"/>
              <w:szCs w:val="24"/>
            </w:rPr>
            <w:fldChar w:fldCharType="end"/>
          </w:r>
        </w:p>
        <w:p w14:paraId="6C00C197">
          <w:pPr>
            <w:pStyle w:val="18"/>
            <w:tabs>
              <w:tab w:val="right" w:leader="dot" w:pos="8306"/>
            </w:tabs>
            <w:ind w:left="0" w:leftChars="0" w:firstLine="538" w:firstLineChars="201"/>
            <w:rPr>
              <w:sz w:val="28"/>
              <w:szCs w:val="28"/>
            </w:rPr>
          </w:pPr>
          <w:r>
            <w:rPr>
              <w:sz w:val="28"/>
              <w:szCs w:val="24"/>
            </w:rPr>
            <w:fldChar w:fldCharType="begin"/>
          </w:r>
          <w:r>
            <w:rPr>
              <w:sz w:val="28"/>
              <w:szCs w:val="24"/>
            </w:rPr>
            <w:instrText xml:space="preserve"> HYPERLINK \l _Toc15685 </w:instrText>
          </w:r>
          <w:r>
            <w:rPr>
              <w:sz w:val="28"/>
              <w:szCs w:val="24"/>
            </w:rPr>
            <w:fldChar w:fldCharType="separate"/>
          </w:r>
          <w:r>
            <w:rPr>
              <w:rFonts w:hint="eastAsia" w:ascii="黑体" w:hAnsi="黑体" w:eastAsia="黑体" w:cs="黑体"/>
              <w:bCs/>
              <w:spacing w:val="-6"/>
              <w:sz w:val="28"/>
              <w:szCs w:val="28"/>
              <w:highlight w:val="none"/>
              <w:lang w:val="en-US" w:eastAsia="zh-CN"/>
            </w:rPr>
            <w:t>三、塑造城市美丽景观风貌</w:t>
          </w:r>
          <w:r>
            <w:rPr>
              <w:sz w:val="28"/>
              <w:szCs w:val="28"/>
            </w:rPr>
            <w:tab/>
          </w:r>
          <w:r>
            <w:rPr>
              <w:sz w:val="28"/>
              <w:szCs w:val="28"/>
            </w:rPr>
            <w:fldChar w:fldCharType="begin"/>
          </w:r>
          <w:r>
            <w:rPr>
              <w:sz w:val="28"/>
              <w:szCs w:val="28"/>
            </w:rPr>
            <w:instrText xml:space="preserve"> PAGEREF _Toc15685 \h </w:instrText>
          </w:r>
          <w:r>
            <w:rPr>
              <w:sz w:val="28"/>
              <w:szCs w:val="28"/>
            </w:rPr>
            <w:fldChar w:fldCharType="separate"/>
          </w:r>
          <w:r>
            <w:rPr>
              <w:sz w:val="28"/>
              <w:szCs w:val="28"/>
            </w:rPr>
            <w:t>19</w:t>
          </w:r>
          <w:r>
            <w:rPr>
              <w:sz w:val="28"/>
              <w:szCs w:val="28"/>
            </w:rPr>
            <w:fldChar w:fldCharType="end"/>
          </w:r>
          <w:r>
            <w:rPr>
              <w:sz w:val="28"/>
              <w:szCs w:val="24"/>
            </w:rPr>
            <w:fldChar w:fldCharType="end"/>
          </w:r>
        </w:p>
        <w:p w14:paraId="0BEB501E">
          <w:pPr>
            <w:pStyle w:val="11"/>
            <w:tabs>
              <w:tab w:val="right" w:leader="dot" w:pos="8306"/>
            </w:tabs>
            <w:ind w:left="0" w:leftChars="0" w:firstLine="1077" w:firstLineChars="402"/>
            <w:rPr>
              <w:sz w:val="28"/>
              <w:szCs w:val="28"/>
            </w:rPr>
          </w:pPr>
          <w:r>
            <w:rPr>
              <w:sz w:val="28"/>
              <w:szCs w:val="24"/>
            </w:rPr>
            <w:fldChar w:fldCharType="begin"/>
          </w:r>
          <w:r>
            <w:rPr>
              <w:sz w:val="28"/>
              <w:szCs w:val="24"/>
            </w:rPr>
            <w:instrText xml:space="preserve"> HYPERLINK \l _Toc11022 </w:instrText>
          </w:r>
          <w:r>
            <w:rPr>
              <w:sz w:val="28"/>
              <w:szCs w:val="24"/>
            </w:rPr>
            <w:fldChar w:fldCharType="separate"/>
          </w:r>
          <w:r>
            <w:rPr>
              <w:rFonts w:hint="eastAsia" w:ascii="楷体_GB2312" w:hAnsi="楷体_GB2312" w:eastAsia="楷体_GB2312" w:cs="楷体_GB2312"/>
              <w:bCs w:val="0"/>
              <w:spacing w:val="0"/>
              <w:sz w:val="28"/>
              <w:szCs w:val="22"/>
              <w:highlight w:val="none"/>
              <w:lang w:val="en-US" w:eastAsia="zh-CN"/>
            </w:rPr>
            <w:t>（一）塑造丰台特色景观风貌</w:t>
          </w:r>
          <w:r>
            <w:rPr>
              <w:sz w:val="28"/>
              <w:szCs w:val="28"/>
            </w:rPr>
            <w:tab/>
          </w:r>
          <w:r>
            <w:rPr>
              <w:sz w:val="28"/>
              <w:szCs w:val="28"/>
            </w:rPr>
            <w:fldChar w:fldCharType="begin"/>
          </w:r>
          <w:r>
            <w:rPr>
              <w:sz w:val="28"/>
              <w:szCs w:val="28"/>
            </w:rPr>
            <w:instrText xml:space="preserve"> PAGEREF _Toc11022 \h </w:instrText>
          </w:r>
          <w:r>
            <w:rPr>
              <w:sz w:val="28"/>
              <w:szCs w:val="28"/>
            </w:rPr>
            <w:fldChar w:fldCharType="separate"/>
          </w:r>
          <w:r>
            <w:rPr>
              <w:sz w:val="28"/>
              <w:szCs w:val="28"/>
            </w:rPr>
            <w:t>19</w:t>
          </w:r>
          <w:r>
            <w:rPr>
              <w:sz w:val="28"/>
              <w:szCs w:val="28"/>
            </w:rPr>
            <w:fldChar w:fldCharType="end"/>
          </w:r>
          <w:r>
            <w:rPr>
              <w:sz w:val="28"/>
              <w:szCs w:val="24"/>
            </w:rPr>
            <w:fldChar w:fldCharType="end"/>
          </w:r>
        </w:p>
        <w:p w14:paraId="07C88397">
          <w:pPr>
            <w:pStyle w:val="11"/>
            <w:tabs>
              <w:tab w:val="right" w:leader="dot" w:pos="8306"/>
            </w:tabs>
            <w:ind w:left="0" w:leftChars="0" w:firstLine="1077" w:firstLineChars="402"/>
            <w:rPr>
              <w:sz w:val="28"/>
              <w:szCs w:val="28"/>
            </w:rPr>
          </w:pPr>
          <w:r>
            <w:rPr>
              <w:sz w:val="28"/>
              <w:szCs w:val="24"/>
            </w:rPr>
            <w:fldChar w:fldCharType="begin"/>
          </w:r>
          <w:r>
            <w:rPr>
              <w:sz w:val="28"/>
              <w:szCs w:val="24"/>
            </w:rPr>
            <w:instrText xml:space="preserve"> HYPERLINK \l _Toc22516 </w:instrText>
          </w:r>
          <w:r>
            <w:rPr>
              <w:sz w:val="28"/>
              <w:szCs w:val="24"/>
            </w:rPr>
            <w:fldChar w:fldCharType="separate"/>
          </w:r>
          <w:r>
            <w:rPr>
              <w:rFonts w:hint="eastAsia" w:ascii="楷体_GB2312" w:hAnsi="楷体_GB2312" w:eastAsia="楷体_GB2312" w:cs="楷体_GB2312"/>
              <w:bCs w:val="0"/>
              <w:spacing w:val="0"/>
              <w:sz w:val="28"/>
              <w:szCs w:val="22"/>
              <w:highlight w:val="none"/>
              <w:lang w:val="en-US" w:eastAsia="zh-CN"/>
            </w:rPr>
            <w:t>（二）提升公共空间环境品质</w:t>
          </w:r>
          <w:r>
            <w:rPr>
              <w:sz w:val="28"/>
              <w:szCs w:val="28"/>
            </w:rPr>
            <w:tab/>
          </w:r>
          <w:r>
            <w:rPr>
              <w:sz w:val="28"/>
              <w:szCs w:val="28"/>
            </w:rPr>
            <w:fldChar w:fldCharType="begin"/>
          </w:r>
          <w:r>
            <w:rPr>
              <w:sz w:val="28"/>
              <w:szCs w:val="28"/>
            </w:rPr>
            <w:instrText xml:space="preserve"> PAGEREF _Toc22516 \h </w:instrText>
          </w:r>
          <w:r>
            <w:rPr>
              <w:sz w:val="28"/>
              <w:szCs w:val="28"/>
            </w:rPr>
            <w:fldChar w:fldCharType="separate"/>
          </w:r>
          <w:r>
            <w:rPr>
              <w:sz w:val="28"/>
              <w:szCs w:val="28"/>
            </w:rPr>
            <w:t>21</w:t>
          </w:r>
          <w:r>
            <w:rPr>
              <w:sz w:val="28"/>
              <w:szCs w:val="28"/>
            </w:rPr>
            <w:fldChar w:fldCharType="end"/>
          </w:r>
          <w:r>
            <w:rPr>
              <w:sz w:val="28"/>
              <w:szCs w:val="24"/>
            </w:rPr>
            <w:fldChar w:fldCharType="end"/>
          </w:r>
        </w:p>
        <w:p w14:paraId="55B3E9F7">
          <w:pPr>
            <w:pStyle w:val="11"/>
            <w:tabs>
              <w:tab w:val="right" w:leader="dot" w:pos="8306"/>
            </w:tabs>
            <w:ind w:left="0" w:leftChars="0" w:firstLine="1077" w:firstLineChars="402"/>
            <w:rPr>
              <w:sz w:val="28"/>
              <w:szCs w:val="28"/>
            </w:rPr>
          </w:pPr>
          <w:r>
            <w:rPr>
              <w:sz w:val="28"/>
              <w:szCs w:val="24"/>
            </w:rPr>
            <w:fldChar w:fldCharType="begin"/>
          </w:r>
          <w:r>
            <w:rPr>
              <w:sz w:val="28"/>
              <w:szCs w:val="24"/>
            </w:rPr>
            <w:instrText xml:space="preserve"> HYPERLINK \l _Toc3567 </w:instrText>
          </w:r>
          <w:r>
            <w:rPr>
              <w:sz w:val="28"/>
              <w:szCs w:val="24"/>
            </w:rPr>
            <w:fldChar w:fldCharType="separate"/>
          </w:r>
          <w:r>
            <w:rPr>
              <w:rFonts w:hint="eastAsia" w:ascii="楷体_GB2312" w:hAnsi="楷体_GB2312" w:eastAsia="楷体_GB2312" w:cs="楷体_GB2312"/>
              <w:bCs w:val="0"/>
              <w:spacing w:val="0"/>
              <w:sz w:val="28"/>
              <w:szCs w:val="22"/>
              <w:highlight w:val="none"/>
              <w:lang w:val="en-US" w:eastAsia="zh-CN"/>
            </w:rPr>
            <w:t>（三）提升照明广告与城市家具精细化管理</w:t>
          </w:r>
          <w:r>
            <w:rPr>
              <w:sz w:val="28"/>
              <w:szCs w:val="28"/>
            </w:rPr>
            <w:tab/>
          </w:r>
          <w:r>
            <w:rPr>
              <w:sz w:val="28"/>
              <w:szCs w:val="28"/>
            </w:rPr>
            <w:fldChar w:fldCharType="begin"/>
          </w:r>
          <w:r>
            <w:rPr>
              <w:sz w:val="28"/>
              <w:szCs w:val="28"/>
            </w:rPr>
            <w:instrText xml:space="preserve"> PAGEREF _Toc3567 \h </w:instrText>
          </w:r>
          <w:r>
            <w:rPr>
              <w:sz w:val="28"/>
              <w:szCs w:val="28"/>
            </w:rPr>
            <w:fldChar w:fldCharType="separate"/>
          </w:r>
          <w:r>
            <w:rPr>
              <w:sz w:val="28"/>
              <w:szCs w:val="28"/>
            </w:rPr>
            <w:t>22</w:t>
          </w:r>
          <w:r>
            <w:rPr>
              <w:sz w:val="28"/>
              <w:szCs w:val="28"/>
            </w:rPr>
            <w:fldChar w:fldCharType="end"/>
          </w:r>
          <w:r>
            <w:rPr>
              <w:sz w:val="28"/>
              <w:szCs w:val="24"/>
            </w:rPr>
            <w:fldChar w:fldCharType="end"/>
          </w:r>
        </w:p>
        <w:p w14:paraId="5253590B">
          <w:pPr>
            <w:pStyle w:val="18"/>
            <w:keepNext/>
            <w:keepLines w:val="0"/>
            <w:pageBreakBefore w:val="0"/>
            <w:widowControl w:val="0"/>
            <w:tabs>
              <w:tab w:val="right" w:leader="dot" w:pos="8306"/>
            </w:tabs>
            <w:kinsoku/>
            <w:wordWrap/>
            <w:overflowPunct/>
            <w:topLinePunct w:val="0"/>
            <w:autoSpaceDE/>
            <w:autoSpaceDN/>
            <w:bidi w:val="0"/>
            <w:adjustRightInd w:val="0"/>
            <w:snapToGrid w:val="0"/>
            <w:ind w:left="0" w:leftChars="0" w:firstLine="538" w:firstLineChars="201"/>
            <w:textAlignment w:val="auto"/>
            <w:rPr>
              <w:sz w:val="28"/>
              <w:szCs w:val="28"/>
            </w:rPr>
          </w:pPr>
          <w:r>
            <w:rPr>
              <w:sz w:val="28"/>
              <w:szCs w:val="24"/>
            </w:rPr>
            <w:fldChar w:fldCharType="begin"/>
          </w:r>
          <w:r>
            <w:rPr>
              <w:sz w:val="28"/>
              <w:szCs w:val="24"/>
            </w:rPr>
            <w:instrText xml:space="preserve"> HYPERLINK \l _Toc6057 </w:instrText>
          </w:r>
          <w:r>
            <w:rPr>
              <w:sz w:val="28"/>
              <w:szCs w:val="24"/>
            </w:rPr>
            <w:fldChar w:fldCharType="separate"/>
          </w:r>
          <w:r>
            <w:rPr>
              <w:rFonts w:hint="eastAsia" w:ascii="黑体" w:hAnsi="黑体" w:eastAsia="黑体" w:cs="黑体"/>
              <w:bCs/>
              <w:spacing w:val="-6"/>
              <w:sz w:val="28"/>
              <w:szCs w:val="28"/>
              <w:highlight w:val="none"/>
              <w:lang w:val="en-US" w:eastAsia="zh-CN"/>
            </w:rPr>
            <w:t>四、筑牢城市安全韧性基础</w:t>
          </w:r>
          <w:r>
            <w:rPr>
              <w:sz w:val="28"/>
              <w:szCs w:val="28"/>
            </w:rPr>
            <w:tab/>
          </w:r>
          <w:r>
            <w:rPr>
              <w:sz w:val="28"/>
              <w:szCs w:val="28"/>
            </w:rPr>
            <w:fldChar w:fldCharType="begin"/>
          </w:r>
          <w:r>
            <w:rPr>
              <w:sz w:val="28"/>
              <w:szCs w:val="28"/>
            </w:rPr>
            <w:instrText xml:space="preserve"> PAGEREF _Toc6057 \h </w:instrText>
          </w:r>
          <w:r>
            <w:rPr>
              <w:sz w:val="28"/>
              <w:szCs w:val="28"/>
            </w:rPr>
            <w:fldChar w:fldCharType="separate"/>
          </w:r>
          <w:r>
            <w:rPr>
              <w:sz w:val="28"/>
              <w:szCs w:val="28"/>
            </w:rPr>
            <w:t>24</w:t>
          </w:r>
          <w:r>
            <w:rPr>
              <w:sz w:val="28"/>
              <w:szCs w:val="28"/>
            </w:rPr>
            <w:fldChar w:fldCharType="end"/>
          </w:r>
          <w:r>
            <w:rPr>
              <w:sz w:val="28"/>
              <w:szCs w:val="24"/>
            </w:rPr>
            <w:fldChar w:fldCharType="end"/>
          </w:r>
        </w:p>
        <w:p w14:paraId="054AD57E">
          <w:pPr>
            <w:pStyle w:val="11"/>
            <w:tabs>
              <w:tab w:val="right" w:leader="dot" w:pos="8306"/>
            </w:tabs>
            <w:ind w:left="0" w:leftChars="0" w:firstLine="1077" w:firstLineChars="402"/>
            <w:rPr>
              <w:sz w:val="28"/>
              <w:szCs w:val="28"/>
            </w:rPr>
          </w:pPr>
          <w:r>
            <w:rPr>
              <w:sz w:val="28"/>
              <w:szCs w:val="24"/>
            </w:rPr>
            <w:fldChar w:fldCharType="begin"/>
          </w:r>
          <w:r>
            <w:rPr>
              <w:sz w:val="28"/>
              <w:szCs w:val="24"/>
            </w:rPr>
            <w:instrText xml:space="preserve"> HYPERLINK \l _Toc4716 </w:instrText>
          </w:r>
          <w:r>
            <w:rPr>
              <w:sz w:val="28"/>
              <w:szCs w:val="24"/>
            </w:rPr>
            <w:fldChar w:fldCharType="separate"/>
          </w:r>
          <w:r>
            <w:rPr>
              <w:rFonts w:hint="eastAsia" w:ascii="楷体_GB2312" w:hAnsi="楷体_GB2312" w:eastAsia="楷体_GB2312" w:cs="楷体_GB2312"/>
              <w:bCs w:val="0"/>
              <w:spacing w:val="0"/>
              <w:sz w:val="28"/>
              <w:szCs w:val="22"/>
              <w:highlight w:val="none"/>
              <w:lang w:val="en-US" w:eastAsia="zh-CN"/>
            </w:rPr>
            <w:t>（一）筑牢能源安全底线</w:t>
          </w:r>
          <w:r>
            <w:rPr>
              <w:sz w:val="28"/>
              <w:szCs w:val="28"/>
            </w:rPr>
            <w:tab/>
          </w:r>
          <w:r>
            <w:rPr>
              <w:sz w:val="28"/>
              <w:szCs w:val="28"/>
            </w:rPr>
            <w:fldChar w:fldCharType="begin"/>
          </w:r>
          <w:r>
            <w:rPr>
              <w:sz w:val="28"/>
              <w:szCs w:val="28"/>
            </w:rPr>
            <w:instrText xml:space="preserve"> PAGEREF _Toc4716 \h </w:instrText>
          </w:r>
          <w:r>
            <w:rPr>
              <w:sz w:val="28"/>
              <w:szCs w:val="28"/>
            </w:rPr>
            <w:fldChar w:fldCharType="separate"/>
          </w:r>
          <w:r>
            <w:rPr>
              <w:sz w:val="28"/>
              <w:szCs w:val="28"/>
            </w:rPr>
            <w:t>24</w:t>
          </w:r>
          <w:r>
            <w:rPr>
              <w:sz w:val="28"/>
              <w:szCs w:val="28"/>
            </w:rPr>
            <w:fldChar w:fldCharType="end"/>
          </w:r>
          <w:r>
            <w:rPr>
              <w:sz w:val="28"/>
              <w:szCs w:val="24"/>
            </w:rPr>
            <w:fldChar w:fldCharType="end"/>
          </w:r>
        </w:p>
        <w:p w14:paraId="150D5E15">
          <w:pPr>
            <w:pStyle w:val="11"/>
            <w:tabs>
              <w:tab w:val="right" w:leader="dot" w:pos="8306"/>
            </w:tabs>
            <w:ind w:left="0" w:leftChars="0" w:firstLine="1077" w:firstLineChars="402"/>
            <w:rPr>
              <w:sz w:val="28"/>
              <w:szCs w:val="28"/>
            </w:rPr>
          </w:pPr>
          <w:r>
            <w:rPr>
              <w:sz w:val="28"/>
              <w:szCs w:val="24"/>
            </w:rPr>
            <w:fldChar w:fldCharType="begin"/>
          </w:r>
          <w:r>
            <w:rPr>
              <w:sz w:val="28"/>
              <w:szCs w:val="24"/>
            </w:rPr>
            <w:instrText xml:space="preserve"> HYPERLINK \l _Toc18813 </w:instrText>
          </w:r>
          <w:r>
            <w:rPr>
              <w:sz w:val="28"/>
              <w:szCs w:val="24"/>
            </w:rPr>
            <w:fldChar w:fldCharType="separate"/>
          </w:r>
          <w:r>
            <w:rPr>
              <w:rFonts w:hint="eastAsia" w:ascii="楷体_GB2312" w:hAnsi="楷体_GB2312" w:eastAsia="楷体_GB2312" w:cs="楷体_GB2312"/>
              <w:bCs w:val="0"/>
              <w:spacing w:val="0"/>
              <w:sz w:val="28"/>
              <w:szCs w:val="22"/>
              <w:highlight w:val="none"/>
              <w:lang w:val="en-US" w:eastAsia="zh-CN"/>
            </w:rPr>
            <w:t>（二）补齐城市安全韧性短板</w:t>
          </w:r>
          <w:r>
            <w:rPr>
              <w:sz w:val="28"/>
              <w:szCs w:val="28"/>
            </w:rPr>
            <w:tab/>
          </w:r>
          <w:r>
            <w:rPr>
              <w:sz w:val="28"/>
              <w:szCs w:val="28"/>
            </w:rPr>
            <w:fldChar w:fldCharType="begin"/>
          </w:r>
          <w:r>
            <w:rPr>
              <w:sz w:val="28"/>
              <w:szCs w:val="28"/>
            </w:rPr>
            <w:instrText xml:space="preserve"> PAGEREF _Toc18813 \h </w:instrText>
          </w:r>
          <w:r>
            <w:rPr>
              <w:sz w:val="28"/>
              <w:szCs w:val="28"/>
            </w:rPr>
            <w:fldChar w:fldCharType="separate"/>
          </w:r>
          <w:r>
            <w:rPr>
              <w:sz w:val="28"/>
              <w:szCs w:val="28"/>
            </w:rPr>
            <w:t>26</w:t>
          </w:r>
          <w:r>
            <w:rPr>
              <w:sz w:val="28"/>
              <w:szCs w:val="28"/>
            </w:rPr>
            <w:fldChar w:fldCharType="end"/>
          </w:r>
          <w:r>
            <w:rPr>
              <w:sz w:val="28"/>
              <w:szCs w:val="24"/>
            </w:rPr>
            <w:fldChar w:fldCharType="end"/>
          </w:r>
        </w:p>
        <w:p w14:paraId="431A76F2">
          <w:pPr>
            <w:pStyle w:val="18"/>
            <w:tabs>
              <w:tab w:val="right" w:leader="dot" w:pos="8306"/>
            </w:tabs>
            <w:ind w:left="0" w:leftChars="0" w:firstLine="538" w:firstLineChars="201"/>
            <w:rPr>
              <w:sz w:val="28"/>
              <w:szCs w:val="28"/>
            </w:rPr>
          </w:pPr>
          <w:r>
            <w:rPr>
              <w:sz w:val="28"/>
              <w:szCs w:val="24"/>
            </w:rPr>
            <w:fldChar w:fldCharType="begin"/>
          </w:r>
          <w:r>
            <w:rPr>
              <w:sz w:val="28"/>
              <w:szCs w:val="24"/>
            </w:rPr>
            <w:instrText xml:space="preserve"> HYPERLINK \l _Toc8364 </w:instrText>
          </w:r>
          <w:r>
            <w:rPr>
              <w:sz w:val="28"/>
              <w:szCs w:val="24"/>
            </w:rPr>
            <w:fldChar w:fldCharType="separate"/>
          </w:r>
          <w:r>
            <w:rPr>
              <w:rFonts w:hint="eastAsia" w:ascii="黑体" w:hAnsi="黑体" w:eastAsia="黑体" w:cs="黑体"/>
              <w:bCs/>
              <w:spacing w:val="-6"/>
              <w:sz w:val="28"/>
              <w:szCs w:val="28"/>
              <w:highlight w:val="none"/>
              <w:lang w:val="en-US" w:eastAsia="zh-CN"/>
            </w:rPr>
            <w:t>五、涵养城市文明发展风尚</w:t>
          </w:r>
          <w:r>
            <w:rPr>
              <w:sz w:val="28"/>
              <w:szCs w:val="28"/>
            </w:rPr>
            <w:tab/>
          </w:r>
          <w:r>
            <w:rPr>
              <w:sz w:val="28"/>
              <w:szCs w:val="28"/>
            </w:rPr>
            <w:fldChar w:fldCharType="begin"/>
          </w:r>
          <w:r>
            <w:rPr>
              <w:sz w:val="28"/>
              <w:szCs w:val="28"/>
            </w:rPr>
            <w:instrText xml:space="preserve"> PAGEREF _Toc8364 \h </w:instrText>
          </w:r>
          <w:r>
            <w:rPr>
              <w:sz w:val="28"/>
              <w:szCs w:val="28"/>
            </w:rPr>
            <w:fldChar w:fldCharType="separate"/>
          </w:r>
          <w:r>
            <w:rPr>
              <w:sz w:val="28"/>
              <w:szCs w:val="28"/>
            </w:rPr>
            <w:t>27</w:t>
          </w:r>
          <w:r>
            <w:rPr>
              <w:sz w:val="28"/>
              <w:szCs w:val="28"/>
            </w:rPr>
            <w:fldChar w:fldCharType="end"/>
          </w:r>
          <w:r>
            <w:rPr>
              <w:sz w:val="28"/>
              <w:szCs w:val="24"/>
            </w:rPr>
            <w:fldChar w:fldCharType="end"/>
          </w:r>
        </w:p>
        <w:p w14:paraId="71B0CDCB">
          <w:pPr>
            <w:pStyle w:val="11"/>
            <w:tabs>
              <w:tab w:val="right" w:leader="dot" w:pos="8306"/>
            </w:tabs>
            <w:ind w:left="0" w:leftChars="0" w:firstLine="1077" w:firstLineChars="402"/>
            <w:rPr>
              <w:sz w:val="28"/>
              <w:szCs w:val="28"/>
            </w:rPr>
          </w:pPr>
          <w:r>
            <w:rPr>
              <w:sz w:val="28"/>
              <w:szCs w:val="24"/>
            </w:rPr>
            <w:fldChar w:fldCharType="begin"/>
          </w:r>
          <w:r>
            <w:rPr>
              <w:sz w:val="28"/>
              <w:szCs w:val="24"/>
            </w:rPr>
            <w:instrText xml:space="preserve"> HYPERLINK \l _Toc3751 </w:instrText>
          </w:r>
          <w:r>
            <w:rPr>
              <w:sz w:val="28"/>
              <w:szCs w:val="24"/>
            </w:rPr>
            <w:fldChar w:fldCharType="separate"/>
          </w:r>
          <w:r>
            <w:rPr>
              <w:rFonts w:hint="eastAsia" w:ascii="楷体_GB2312" w:hAnsi="楷体_GB2312" w:eastAsia="楷体_GB2312" w:cs="楷体_GB2312"/>
              <w:bCs w:val="0"/>
              <w:spacing w:val="0"/>
              <w:sz w:val="28"/>
              <w:szCs w:val="22"/>
              <w:highlight w:val="none"/>
              <w:lang w:val="en-US" w:eastAsia="zh-CN"/>
            </w:rPr>
            <w:t>（一）打造城市文明窗口</w:t>
          </w:r>
          <w:r>
            <w:rPr>
              <w:sz w:val="28"/>
              <w:szCs w:val="28"/>
            </w:rPr>
            <w:tab/>
          </w:r>
          <w:r>
            <w:rPr>
              <w:sz w:val="28"/>
              <w:szCs w:val="28"/>
            </w:rPr>
            <w:fldChar w:fldCharType="begin"/>
          </w:r>
          <w:r>
            <w:rPr>
              <w:sz w:val="28"/>
              <w:szCs w:val="28"/>
            </w:rPr>
            <w:instrText xml:space="preserve"> PAGEREF _Toc3751 \h </w:instrText>
          </w:r>
          <w:r>
            <w:rPr>
              <w:sz w:val="28"/>
              <w:szCs w:val="28"/>
            </w:rPr>
            <w:fldChar w:fldCharType="separate"/>
          </w:r>
          <w:r>
            <w:rPr>
              <w:sz w:val="28"/>
              <w:szCs w:val="28"/>
            </w:rPr>
            <w:t>27</w:t>
          </w:r>
          <w:r>
            <w:rPr>
              <w:sz w:val="28"/>
              <w:szCs w:val="28"/>
            </w:rPr>
            <w:fldChar w:fldCharType="end"/>
          </w:r>
          <w:r>
            <w:rPr>
              <w:sz w:val="28"/>
              <w:szCs w:val="24"/>
            </w:rPr>
            <w:fldChar w:fldCharType="end"/>
          </w:r>
        </w:p>
        <w:p w14:paraId="089300B1">
          <w:pPr>
            <w:pStyle w:val="11"/>
            <w:tabs>
              <w:tab w:val="right" w:leader="dot" w:pos="8306"/>
            </w:tabs>
            <w:ind w:left="0" w:leftChars="0" w:firstLine="1077" w:firstLineChars="402"/>
            <w:rPr>
              <w:sz w:val="28"/>
              <w:szCs w:val="28"/>
            </w:rPr>
          </w:pPr>
          <w:r>
            <w:rPr>
              <w:sz w:val="28"/>
              <w:szCs w:val="24"/>
            </w:rPr>
            <w:fldChar w:fldCharType="begin"/>
          </w:r>
          <w:r>
            <w:rPr>
              <w:sz w:val="28"/>
              <w:szCs w:val="24"/>
            </w:rPr>
            <w:instrText xml:space="preserve"> HYPERLINK \l _Toc28686 </w:instrText>
          </w:r>
          <w:r>
            <w:rPr>
              <w:sz w:val="28"/>
              <w:szCs w:val="24"/>
            </w:rPr>
            <w:fldChar w:fldCharType="separate"/>
          </w:r>
          <w:r>
            <w:rPr>
              <w:rFonts w:hint="eastAsia" w:ascii="楷体_GB2312" w:hAnsi="楷体_GB2312" w:eastAsia="楷体_GB2312" w:cs="楷体_GB2312"/>
              <w:bCs w:val="0"/>
              <w:spacing w:val="0"/>
              <w:sz w:val="28"/>
              <w:szCs w:val="22"/>
              <w:highlight w:val="none"/>
              <w:lang w:val="en-US" w:eastAsia="zh-CN"/>
            </w:rPr>
            <w:t>（二）提升社会文明程度</w:t>
          </w:r>
          <w:r>
            <w:rPr>
              <w:sz w:val="28"/>
              <w:szCs w:val="28"/>
            </w:rPr>
            <w:tab/>
          </w:r>
          <w:r>
            <w:rPr>
              <w:sz w:val="28"/>
              <w:szCs w:val="28"/>
            </w:rPr>
            <w:fldChar w:fldCharType="begin"/>
          </w:r>
          <w:r>
            <w:rPr>
              <w:sz w:val="28"/>
              <w:szCs w:val="28"/>
            </w:rPr>
            <w:instrText xml:space="preserve"> PAGEREF _Toc28686 \h </w:instrText>
          </w:r>
          <w:r>
            <w:rPr>
              <w:sz w:val="28"/>
              <w:szCs w:val="28"/>
            </w:rPr>
            <w:fldChar w:fldCharType="separate"/>
          </w:r>
          <w:r>
            <w:rPr>
              <w:sz w:val="28"/>
              <w:szCs w:val="28"/>
            </w:rPr>
            <w:t>28</w:t>
          </w:r>
          <w:r>
            <w:rPr>
              <w:sz w:val="28"/>
              <w:szCs w:val="28"/>
            </w:rPr>
            <w:fldChar w:fldCharType="end"/>
          </w:r>
          <w:r>
            <w:rPr>
              <w:sz w:val="28"/>
              <w:szCs w:val="24"/>
            </w:rPr>
            <w:fldChar w:fldCharType="end"/>
          </w:r>
        </w:p>
        <w:p w14:paraId="4DFF68C1">
          <w:pPr>
            <w:pStyle w:val="11"/>
            <w:tabs>
              <w:tab w:val="right" w:leader="dot" w:pos="8306"/>
            </w:tabs>
            <w:ind w:left="0" w:leftChars="0" w:firstLine="1077" w:firstLineChars="402"/>
            <w:rPr>
              <w:sz w:val="28"/>
              <w:szCs w:val="28"/>
            </w:rPr>
          </w:pPr>
          <w:r>
            <w:rPr>
              <w:sz w:val="28"/>
              <w:szCs w:val="24"/>
            </w:rPr>
            <w:fldChar w:fldCharType="begin"/>
          </w:r>
          <w:r>
            <w:rPr>
              <w:sz w:val="28"/>
              <w:szCs w:val="24"/>
            </w:rPr>
            <w:instrText xml:space="preserve"> HYPERLINK \l _Toc30728 </w:instrText>
          </w:r>
          <w:r>
            <w:rPr>
              <w:sz w:val="28"/>
              <w:szCs w:val="24"/>
            </w:rPr>
            <w:fldChar w:fldCharType="separate"/>
          </w:r>
          <w:r>
            <w:rPr>
              <w:rFonts w:hint="eastAsia" w:ascii="楷体_GB2312" w:hAnsi="楷体_GB2312" w:eastAsia="楷体_GB2312" w:cs="楷体_GB2312"/>
              <w:bCs w:val="0"/>
              <w:spacing w:val="0"/>
              <w:sz w:val="28"/>
              <w:szCs w:val="22"/>
              <w:highlight w:val="none"/>
              <w:lang w:val="en-US" w:eastAsia="zh-CN"/>
            </w:rPr>
            <w:t>（三）推进文明成果转化</w:t>
          </w:r>
          <w:r>
            <w:rPr>
              <w:sz w:val="28"/>
              <w:szCs w:val="28"/>
            </w:rPr>
            <w:tab/>
          </w:r>
          <w:r>
            <w:rPr>
              <w:sz w:val="28"/>
              <w:szCs w:val="28"/>
            </w:rPr>
            <w:fldChar w:fldCharType="begin"/>
          </w:r>
          <w:r>
            <w:rPr>
              <w:sz w:val="28"/>
              <w:szCs w:val="28"/>
            </w:rPr>
            <w:instrText xml:space="preserve"> PAGEREF _Toc30728 \h </w:instrText>
          </w:r>
          <w:r>
            <w:rPr>
              <w:sz w:val="28"/>
              <w:szCs w:val="28"/>
            </w:rPr>
            <w:fldChar w:fldCharType="separate"/>
          </w:r>
          <w:r>
            <w:rPr>
              <w:sz w:val="28"/>
              <w:szCs w:val="28"/>
            </w:rPr>
            <w:t>28</w:t>
          </w:r>
          <w:r>
            <w:rPr>
              <w:sz w:val="28"/>
              <w:szCs w:val="28"/>
            </w:rPr>
            <w:fldChar w:fldCharType="end"/>
          </w:r>
          <w:r>
            <w:rPr>
              <w:sz w:val="28"/>
              <w:szCs w:val="24"/>
            </w:rPr>
            <w:fldChar w:fldCharType="end"/>
          </w:r>
        </w:p>
        <w:p w14:paraId="6CB0C8F8">
          <w:pPr>
            <w:pStyle w:val="18"/>
            <w:tabs>
              <w:tab w:val="right" w:leader="dot" w:pos="8306"/>
            </w:tabs>
            <w:ind w:left="0" w:leftChars="0" w:firstLine="538" w:firstLineChars="201"/>
            <w:rPr>
              <w:sz w:val="28"/>
              <w:szCs w:val="28"/>
            </w:rPr>
          </w:pPr>
          <w:r>
            <w:rPr>
              <w:sz w:val="28"/>
              <w:szCs w:val="24"/>
            </w:rPr>
            <w:fldChar w:fldCharType="begin"/>
          </w:r>
          <w:r>
            <w:rPr>
              <w:sz w:val="28"/>
              <w:szCs w:val="24"/>
            </w:rPr>
            <w:instrText xml:space="preserve"> HYPERLINK \l _Toc4348 </w:instrText>
          </w:r>
          <w:r>
            <w:rPr>
              <w:sz w:val="28"/>
              <w:szCs w:val="24"/>
            </w:rPr>
            <w:fldChar w:fldCharType="separate"/>
          </w:r>
          <w:r>
            <w:rPr>
              <w:rFonts w:hint="eastAsia" w:ascii="黑体" w:hAnsi="黑体" w:eastAsia="黑体" w:cs="黑体"/>
              <w:bCs/>
              <w:spacing w:val="-6"/>
              <w:sz w:val="28"/>
              <w:szCs w:val="28"/>
              <w:highlight w:val="none"/>
              <w:lang w:val="en-US" w:eastAsia="zh-CN"/>
            </w:rPr>
            <w:t>六、赋能城市智慧管理应用</w:t>
          </w:r>
          <w:r>
            <w:rPr>
              <w:sz w:val="28"/>
              <w:szCs w:val="28"/>
            </w:rPr>
            <w:tab/>
          </w:r>
          <w:r>
            <w:rPr>
              <w:sz w:val="28"/>
              <w:szCs w:val="28"/>
            </w:rPr>
            <w:fldChar w:fldCharType="begin"/>
          </w:r>
          <w:r>
            <w:rPr>
              <w:sz w:val="28"/>
              <w:szCs w:val="28"/>
            </w:rPr>
            <w:instrText xml:space="preserve"> PAGEREF _Toc4348 \h </w:instrText>
          </w:r>
          <w:r>
            <w:rPr>
              <w:sz w:val="28"/>
              <w:szCs w:val="28"/>
            </w:rPr>
            <w:fldChar w:fldCharType="separate"/>
          </w:r>
          <w:r>
            <w:rPr>
              <w:sz w:val="28"/>
              <w:szCs w:val="28"/>
            </w:rPr>
            <w:t>28</w:t>
          </w:r>
          <w:r>
            <w:rPr>
              <w:sz w:val="28"/>
              <w:szCs w:val="28"/>
            </w:rPr>
            <w:fldChar w:fldCharType="end"/>
          </w:r>
          <w:r>
            <w:rPr>
              <w:sz w:val="28"/>
              <w:szCs w:val="24"/>
            </w:rPr>
            <w:fldChar w:fldCharType="end"/>
          </w:r>
        </w:p>
        <w:p w14:paraId="07CBCEB0">
          <w:pPr>
            <w:pStyle w:val="11"/>
            <w:tabs>
              <w:tab w:val="right" w:leader="dot" w:pos="8306"/>
            </w:tabs>
            <w:ind w:left="0" w:leftChars="0" w:firstLine="1077" w:firstLineChars="402"/>
            <w:rPr>
              <w:sz w:val="28"/>
              <w:szCs w:val="28"/>
            </w:rPr>
          </w:pPr>
          <w:r>
            <w:rPr>
              <w:sz w:val="28"/>
              <w:szCs w:val="24"/>
            </w:rPr>
            <w:fldChar w:fldCharType="begin"/>
          </w:r>
          <w:r>
            <w:rPr>
              <w:sz w:val="28"/>
              <w:szCs w:val="24"/>
            </w:rPr>
            <w:instrText xml:space="preserve"> HYPERLINK \l _Toc21284 </w:instrText>
          </w:r>
          <w:r>
            <w:rPr>
              <w:sz w:val="28"/>
              <w:szCs w:val="24"/>
            </w:rPr>
            <w:fldChar w:fldCharType="separate"/>
          </w:r>
          <w:r>
            <w:rPr>
              <w:rFonts w:hint="eastAsia" w:ascii="楷体_GB2312" w:hAnsi="楷体_GB2312" w:eastAsia="楷体_GB2312" w:cs="楷体_GB2312"/>
              <w:bCs w:val="0"/>
              <w:spacing w:val="0"/>
              <w:sz w:val="28"/>
              <w:szCs w:val="22"/>
              <w:highlight w:val="none"/>
              <w:lang w:val="en-US" w:eastAsia="zh-CN"/>
            </w:rPr>
            <w:t>（一）筑牢城市智慧管理数据基础</w:t>
          </w:r>
          <w:r>
            <w:rPr>
              <w:sz w:val="28"/>
              <w:szCs w:val="28"/>
            </w:rPr>
            <w:tab/>
          </w:r>
          <w:r>
            <w:rPr>
              <w:sz w:val="28"/>
              <w:szCs w:val="28"/>
            </w:rPr>
            <w:fldChar w:fldCharType="begin"/>
          </w:r>
          <w:r>
            <w:rPr>
              <w:sz w:val="28"/>
              <w:szCs w:val="28"/>
            </w:rPr>
            <w:instrText xml:space="preserve"> PAGEREF _Toc21284 \h </w:instrText>
          </w:r>
          <w:r>
            <w:rPr>
              <w:sz w:val="28"/>
              <w:szCs w:val="28"/>
            </w:rPr>
            <w:fldChar w:fldCharType="separate"/>
          </w:r>
          <w:r>
            <w:rPr>
              <w:sz w:val="28"/>
              <w:szCs w:val="28"/>
            </w:rPr>
            <w:t>28</w:t>
          </w:r>
          <w:r>
            <w:rPr>
              <w:sz w:val="28"/>
              <w:szCs w:val="28"/>
            </w:rPr>
            <w:fldChar w:fldCharType="end"/>
          </w:r>
          <w:r>
            <w:rPr>
              <w:sz w:val="28"/>
              <w:szCs w:val="24"/>
            </w:rPr>
            <w:fldChar w:fldCharType="end"/>
          </w:r>
        </w:p>
        <w:p w14:paraId="15BCC671">
          <w:pPr>
            <w:pStyle w:val="11"/>
            <w:tabs>
              <w:tab w:val="right" w:leader="dot" w:pos="8306"/>
            </w:tabs>
            <w:ind w:left="0" w:leftChars="0" w:firstLine="1077" w:firstLineChars="402"/>
            <w:rPr>
              <w:sz w:val="28"/>
              <w:szCs w:val="28"/>
            </w:rPr>
          </w:pPr>
          <w:r>
            <w:rPr>
              <w:sz w:val="28"/>
              <w:szCs w:val="24"/>
            </w:rPr>
            <w:fldChar w:fldCharType="begin"/>
          </w:r>
          <w:r>
            <w:rPr>
              <w:sz w:val="28"/>
              <w:szCs w:val="24"/>
            </w:rPr>
            <w:instrText xml:space="preserve"> HYPERLINK \l _Toc18067 </w:instrText>
          </w:r>
          <w:r>
            <w:rPr>
              <w:sz w:val="28"/>
              <w:szCs w:val="24"/>
            </w:rPr>
            <w:fldChar w:fldCharType="separate"/>
          </w:r>
          <w:r>
            <w:rPr>
              <w:rFonts w:hint="eastAsia" w:ascii="楷体_GB2312" w:hAnsi="楷体_GB2312" w:eastAsia="楷体_GB2312" w:cs="楷体_GB2312"/>
              <w:bCs w:val="0"/>
              <w:spacing w:val="0"/>
              <w:sz w:val="28"/>
              <w:szCs w:val="22"/>
              <w:highlight w:val="none"/>
              <w:lang w:val="en-US" w:eastAsia="zh-CN"/>
            </w:rPr>
            <w:t>（二）拓展城市治理数字技术应用新场景</w:t>
          </w:r>
          <w:r>
            <w:rPr>
              <w:sz w:val="28"/>
              <w:szCs w:val="28"/>
            </w:rPr>
            <w:tab/>
          </w:r>
          <w:r>
            <w:rPr>
              <w:sz w:val="28"/>
              <w:szCs w:val="28"/>
            </w:rPr>
            <w:fldChar w:fldCharType="begin"/>
          </w:r>
          <w:r>
            <w:rPr>
              <w:sz w:val="28"/>
              <w:szCs w:val="28"/>
            </w:rPr>
            <w:instrText xml:space="preserve"> PAGEREF _Toc18067 \h </w:instrText>
          </w:r>
          <w:r>
            <w:rPr>
              <w:sz w:val="28"/>
              <w:szCs w:val="28"/>
            </w:rPr>
            <w:fldChar w:fldCharType="separate"/>
          </w:r>
          <w:r>
            <w:rPr>
              <w:sz w:val="28"/>
              <w:szCs w:val="28"/>
            </w:rPr>
            <w:t>29</w:t>
          </w:r>
          <w:r>
            <w:rPr>
              <w:sz w:val="28"/>
              <w:szCs w:val="28"/>
            </w:rPr>
            <w:fldChar w:fldCharType="end"/>
          </w:r>
          <w:r>
            <w:rPr>
              <w:sz w:val="28"/>
              <w:szCs w:val="24"/>
            </w:rPr>
            <w:fldChar w:fldCharType="end"/>
          </w:r>
        </w:p>
        <w:p w14:paraId="7A13BD13">
          <w:pPr>
            <w:pStyle w:val="14"/>
            <w:tabs>
              <w:tab w:val="right" w:leader="dot" w:pos="8306"/>
            </w:tabs>
            <w:ind w:left="0" w:leftChars="0" w:firstLine="0" w:firstLineChars="0"/>
            <w:rPr>
              <w:sz w:val="28"/>
              <w:szCs w:val="28"/>
            </w:rPr>
          </w:pPr>
          <w:r>
            <w:rPr>
              <w:sz w:val="28"/>
              <w:szCs w:val="24"/>
            </w:rPr>
            <w:fldChar w:fldCharType="begin"/>
          </w:r>
          <w:r>
            <w:rPr>
              <w:sz w:val="28"/>
              <w:szCs w:val="24"/>
            </w:rPr>
            <w:instrText xml:space="preserve"> HYPERLINK \l _Toc23491 </w:instrText>
          </w:r>
          <w:r>
            <w:rPr>
              <w:sz w:val="28"/>
              <w:szCs w:val="24"/>
            </w:rPr>
            <w:fldChar w:fldCharType="separate"/>
          </w:r>
          <w:r>
            <w:rPr>
              <w:rFonts w:hint="eastAsia" w:ascii="方正小标宋简体" w:hAnsi="方正小标宋简体" w:eastAsia="方正小标宋简体" w:cs="方正小标宋简体"/>
              <w:sz w:val="28"/>
              <w:szCs w:val="32"/>
              <w:lang w:val="en-US" w:eastAsia="zh-CN"/>
            </w:rPr>
            <w:t>第四章 保障措施</w:t>
          </w:r>
          <w:r>
            <w:rPr>
              <w:sz w:val="28"/>
              <w:szCs w:val="28"/>
            </w:rPr>
            <w:tab/>
          </w:r>
          <w:r>
            <w:rPr>
              <w:sz w:val="28"/>
              <w:szCs w:val="28"/>
            </w:rPr>
            <w:fldChar w:fldCharType="begin"/>
          </w:r>
          <w:r>
            <w:rPr>
              <w:sz w:val="28"/>
              <w:szCs w:val="28"/>
            </w:rPr>
            <w:instrText xml:space="preserve"> PAGEREF _Toc23491 \h </w:instrText>
          </w:r>
          <w:r>
            <w:rPr>
              <w:sz w:val="28"/>
              <w:szCs w:val="28"/>
            </w:rPr>
            <w:fldChar w:fldCharType="separate"/>
          </w:r>
          <w:r>
            <w:rPr>
              <w:sz w:val="28"/>
              <w:szCs w:val="28"/>
            </w:rPr>
            <w:t>29</w:t>
          </w:r>
          <w:r>
            <w:rPr>
              <w:sz w:val="28"/>
              <w:szCs w:val="28"/>
            </w:rPr>
            <w:fldChar w:fldCharType="end"/>
          </w:r>
          <w:r>
            <w:rPr>
              <w:sz w:val="28"/>
              <w:szCs w:val="24"/>
            </w:rPr>
            <w:fldChar w:fldCharType="end"/>
          </w:r>
        </w:p>
        <w:p w14:paraId="15876EA1">
          <w:pPr>
            <w:pStyle w:val="18"/>
            <w:tabs>
              <w:tab w:val="right" w:leader="dot" w:pos="8306"/>
            </w:tabs>
            <w:ind w:left="0" w:leftChars="0" w:firstLine="538" w:firstLineChars="201"/>
            <w:rPr>
              <w:sz w:val="28"/>
              <w:szCs w:val="28"/>
            </w:rPr>
          </w:pPr>
          <w:r>
            <w:rPr>
              <w:sz w:val="28"/>
              <w:szCs w:val="24"/>
            </w:rPr>
            <w:fldChar w:fldCharType="begin"/>
          </w:r>
          <w:r>
            <w:rPr>
              <w:sz w:val="28"/>
              <w:szCs w:val="24"/>
            </w:rPr>
            <w:instrText xml:space="preserve"> HYPERLINK \l _Toc13861 </w:instrText>
          </w:r>
          <w:r>
            <w:rPr>
              <w:sz w:val="28"/>
              <w:szCs w:val="24"/>
            </w:rPr>
            <w:fldChar w:fldCharType="separate"/>
          </w:r>
          <w:r>
            <w:rPr>
              <w:rFonts w:hint="eastAsia" w:ascii="黑体" w:hAnsi="黑体" w:eastAsia="黑体" w:cs="黑体"/>
              <w:bCs/>
              <w:spacing w:val="-6"/>
              <w:sz w:val="28"/>
              <w:szCs w:val="28"/>
              <w:lang w:val="en-US" w:eastAsia="zh-CN"/>
            </w:rPr>
            <w:t>一、</w:t>
          </w:r>
          <w:r>
            <w:rPr>
              <w:rFonts w:hint="default" w:ascii="黑体" w:hAnsi="黑体" w:eastAsia="黑体" w:cs="黑体"/>
              <w:bCs/>
              <w:spacing w:val="-6"/>
              <w:sz w:val="28"/>
              <w:szCs w:val="28"/>
              <w:highlight w:val="none"/>
              <w:lang w:val="en-US" w:eastAsia="zh-CN"/>
            </w:rPr>
            <w:t>强化组织与党建引领，凝聚治理合力</w:t>
          </w:r>
          <w:r>
            <w:rPr>
              <w:sz w:val="28"/>
              <w:szCs w:val="28"/>
            </w:rPr>
            <w:tab/>
          </w:r>
          <w:r>
            <w:rPr>
              <w:sz w:val="28"/>
              <w:szCs w:val="28"/>
            </w:rPr>
            <w:fldChar w:fldCharType="begin"/>
          </w:r>
          <w:r>
            <w:rPr>
              <w:sz w:val="28"/>
              <w:szCs w:val="28"/>
            </w:rPr>
            <w:instrText xml:space="preserve"> PAGEREF _Toc13861 \h </w:instrText>
          </w:r>
          <w:r>
            <w:rPr>
              <w:sz w:val="28"/>
              <w:szCs w:val="28"/>
            </w:rPr>
            <w:fldChar w:fldCharType="separate"/>
          </w:r>
          <w:r>
            <w:rPr>
              <w:sz w:val="28"/>
              <w:szCs w:val="28"/>
            </w:rPr>
            <w:t>29</w:t>
          </w:r>
          <w:r>
            <w:rPr>
              <w:sz w:val="28"/>
              <w:szCs w:val="28"/>
            </w:rPr>
            <w:fldChar w:fldCharType="end"/>
          </w:r>
          <w:r>
            <w:rPr>
              <w:sz w:val="28"/>
              <w:szCs w:val="24"/>
            </w:rPr>
            <w:fldChar w:fldCharType="end"/>
          </w:r>
        </w:p>
        <w:p w14:paraId="13EEFE9B">
          <w:pPr>
            <w:pStyle w:val="18"/>
            <w:tabs>
              <w:tab w:val="right" w:leader="dot" w:pos="8306"/>
            </w:tabs>
            <w:ind w:left="0" w:leftChars="0" w:firstLine="538" w:firstLineChars="201"/>
            <w:rPr>
              <w:sz w:val="28"/>
              <w:szCs w:val="28"/>
            </w:rPr>
          </w:pPr>
          <w:r>
            <w:rPr>
              <w:sz w:val="28"/>
              <w:szCs w:val="24"/>
            </w:rPr>
            <w:fldChar w:fldCharType="begin"/>
          </w:r>
          <w:r>
            <w:rPr>
              <w:sz w:val="28"/>
              <w:szCs w:val="24"/>
            </w:rPr>
            <w:instrText xml:space="preserve"> HYPERLINK \l _Toc24538 </w:instrText>
          </w:r>
          <w:r>
            <w:rPr>
              <w:sz w:val="28"/>
              <w:szCs w:val="24"/>
            </w:rPr>
            <w:fldChar w:fldCharType="separate"/>
          </w:r>
          <w:r>
            <w:rPr>
              <w:rFonts w:hint="eastAsia" w:ascii="黑体" w:hAnsi="黑体" w:eastAsia="黑体" w:cs="黑体"/>
              <w:bCs/>
              <w:spacing w:val="-6"/>
              <w:sz w:val="28"/>
              <w:szCs w:val="28"/>
              <w:lang w:val="en-US" w:eastAsia="zh-CN"/>
            </w:rPr>
            <w:t>二、</w:t>
          </w:r>
          <w:r>
            <w:rPr>
              <w:rFonts w:hint="default" w:ascii="黑体" w:hAnsi="黑体" w:eastAsia="黑体" w:cs="黑体"/>
              <w:bCs/>
              <w:spacing w:val="-6"/>
              <w:sz w:val="28"/>
              <w:szCs w:val="28"/>
              <w:highlight w:val="none"/>
              <w:lang w:val="en-US" w:eastAsia="zh-CN"/>
            </w:rPr>
            <w:t>优化资源配置与技术创新，夯实基础支撑</w:t>
          </w:r>
          <w:r>
            <w:rPr>
              <w:sz w:val="28"/>
              <w:szCs w:val="28"/>
            </w:rPr>
            <w:tab/>
          </w:r>
          <w:r>
            <w:rPr>
              <w:sz w:val="28"/>
              <w:szCs w:val="28"/>
            </w:rPr>
            <w:fldChar w:fldCharType="begin"/>
          </w:r>
          <w:r>
            <w:rPr>
              <w:sz w:val="28"/>
              <w:szCs w:val="28"/>
            </w:rPr>
            <w:instrText xml:space="preserve"> PAGEREF _Toc24538 \h </w:instrText>
          </w:r>
          <w:r>
            <w:rPr>
              <w:sz w:val="28"/>
              <w:szCs w:val="28"/>
            </w:rPr>
            <w:fldChar w:fldCharType="separate"/>
          </w:r>
          <w:r>
            <w:rPr>
              <w:sz w:val="28"/>
              <w:szCs w:val="28"/>
            </w:rPr>
            <w:t>29</w:t>
          </w:r>
          <w:r>
            <w:rPr>
              <w:sz w:val="28"/>
              <w:szCs w:val="28"/>
            </w:rPr>
            <w:fldChar w:fldCharType="end"/>
          </w:r>
          <w:r>
            <w:rPr>
              <w:sz w:val="28"/>
              <w:szCs w:val="24"/>
            </w:rPr>
            <w:fldChar w:fldCharType="end"/>
          </w:r>
        </w:p>
        <w:p w14:paraId="660B5D63">
          <w:pPr>
            <w:pStyle w:val="18"/>
            <w:tabs>
              <w:tab w:val="right" w:leader="dot" w:pos="8306"/>
            </w:tabs>
            <w:ind w:left="0" w:leftChars="0" w:firstLine="538" w:firstLineChars="201"/>
            <w:rPr>
              <w:sz w:val="28"/>
              <w:szCs w:val="28"/>
            </w:rPr>
          </w:pPr>
          <w:r>
            <w:rPr>
              <w:sz w:val="28"/>
              <w:szCs w:val="24"/>
            </w:rPr>
            <w:fldChar w:fldCharType="begin"/>
          </w:r>
          <w:r>
            <w:rPr>
              <w:sz w:val="28"/>
              <w:szCs w:val="24"/>
            </w:rPr>
            <w:instrText xml:space="preserve"> HYPERLINK \l _Toc25627 </w:instrText>
          </w:r>
          <w:r>
            <w:rPr>
              <w:sz w:val="28"/>
              <w:szCs w:val="24"/>
            </w:rPr>
            <w:fldChar w:fldCharType="separate"/>
          </w:r>
          <w:r>
            <w:rPr>
              <w:rFonts w:hint="eastAsia" w:ascii="黑体" w:hAnsi="黑体" w:eastAsia="黑体" w:cs="黑体"/>
              <w:bCs/>
              <w:spacing w:val="-6"/>
              <w:sz w:val="28"/>
              <w:szCs w:val="28"/>
              <w:lang w:val="en-US" w:eastAsia="zh-CN"/>
            </w:rPr>
            <w:t>三、</w:t>
          </w:r>
          <w:r>
            <w:rPr>
              <w:rFonts w:hint="default" w:ascii="黑体" w:hAnsi="黑体" w:eastAsia="黑体" w:cs="黑体"/>
              <w:bCs/>
              <w:spacing w:val="-6"/>
              <w:sz w:val="28"/>
              <w:szCs w:val="28"/>
              <w:highlight w:val="none"/>
              <w:lang w:val="en-US" w:eastAsia="zh-CN"/>
            </w:rPr>
            <w:t>深化协同联动与公众参与，构建共治格局</w:t>
          </w:r>
          <w:r>
            <w:rPr>
              <w:sz w:val="28"/>
              <w:szCs w:val="28"/>
            </w:rPr>
            <w:tab/>
          </w:r>
          <w:r>
            <w:rPr>
              <w:sz w:val="28"/>
              <w:szCs w:val="28"/>
            </w:rPr>
            <w:fldChar w:fldCharType="begin"/>
          </w:r>
          <w:r>
            <w:rPr>
              <w:sz w:val="28"/>
              <w:szCs w:val="28"/>
            </w:rPr>
            <w:instrText xml:space="preserve"> PAGEREF _Toc25627 \h </w:instrText>
          </w:r>
          <w:r>
            <w:rPr>
              <w:sz w:val="28"/>
              <w:szCs w:val="28"/>
            </w:rPr>
            <w:fldChar w:fldCharType="separate"/>
          </w:r>
          <w:r>
            <w:rPr>
              <w:sz w:val="28"/>
              <w:szCs w:val="28"/>
            </w:rPr>
            <w:t>29</w:t>
          </w:r>
          <w:r>
            <w:rPr>
              <w:sz w:val="28"/>
              <w:szCs w:val="28"/>
            </w:rPr>
            <w:fldChar w:fldCharType="end"/>
          </w:r>
          <w:r>
            <w:rPr>
              <w:sz w:val="28"/>
              <w:szCs w:val="24"/>
            </w:rPr>
            <w:fldChar w:fldCharType="end"/>
          </w:r>
        </w:p>
        <w:p w14:paraId="579650ED">
          <w:pPr>
            <w:pStyle w:val="18"/>
            <w:tabs>
              <w:tab w:val="right" w:leader="dot" w:pos="8306"/>
            </w:tabs>
            <w:ind w:left="0" w:leftChars="0" w:firstLine="538" w:firstLineChars="201"/>
          </w:pPr>
          <w:r>
            <w:rPr>
              <w:sz w:val="28"/>
              <w:szCs w:val="24"/>
            </w:rPr>
            <w:fldChar w:fldCharType="begin"/>
          </w:r>
          <w:r>
            <w:rPr>
              <w:sz w:val="28"/>
              <w:szCs w:val="24"/>
            </w:rPr>
            <w:instrText xml:space="preserve"> HYPERLINK \l _Toc3941 </w:instrText>
          </w:r>
          <w:r>
            <w:rPr>
              <w:sz w:val="28"/>
              <w:szCs w:val="24"/>
            </w:rPr>
            <w:fldChar w:fldCharType="separate"/>
          </w:r>
          <w:r>
            <w:rPr>
              <w:rFonts w:hint="eastAsia" w:ascii="黑体" w:hAnsi="黑体" w:eastAsia="黑体" w:cs="黑体"/>
              <w:bCs/>
              <w:spacing w:val="-6"/>
              <w:sz w:val="28"/>
              <w:szCs w:val="28"/>
              <w:lang w:val="en-US" w:eastAsia="zh-CN"/>
            </w:rPr>
            <w:t>四、</w:t>
          </w:r>
          <w:r>
            <w:rPr>
              <w:rFonts w:hint="default" w:ascii="黑体" w:hAnsi="黑体" w:eastAsia="黑体" w:cs="黑体"/>
              <w:bCs/>
              <w:spacing w:val="-6"/>
              <w:sz w:val="28"/>
              <w:szCs w:val="28"/>
              <w:highlight w:val="none"/>
              <w:lang w:val="en-US" w:eastAsia="zh-CN"/>
            </w:rPr>
            <w:t>完善监督评估与动态调整，确保实施效能</w:t>
          </w:r>
          <w:r>
            <w:rPr>
              <w:sz w:val="28"/>
              <w:szCs w:val="28"/>
            </w:rPr>
            <w:tab/>
          </w:r>
          <w:r>
            <w:rPr>
              <w:sz w:val="28"/>
              <w:szCs w:val="28"/>
            </w:rPr>
            <w:fldChar w:fldCharType="begin"/>
          </w:r>
          <w:r>
            <w:rPr>
              <w:sz w:val="28"/>
              <w:szCs w:val="28"/>
            </w:rPr>
            <w:instrText xml:space="preserve"> PAGEREF _Toc3941 \h </w:instrText>
          </w:r>
          <w:r>
            <w:rPr>
              <w:sz w:val="28"/>
              <w:szCs w:val="28"/>
            </w:rPr>
            <w:fldChar w:fldCharType="separate"/>
          </w:r>
          <w:r>
            <w:rPr>
              <w:sz w:val="28"/>
              <w:szCs w:val="28"/>
            </w:rPr>
            <w:t>29</w:t>
          </w:r>
          <w:r>
            <w:rPr>
              <w:sz w:val="28"/>
              <w:szCs w:val="28"/>
            </w:rPr>
            <w:fldChar w:fldCharType="end"/>
          </w:r>
          <w:r>
            <w:rPr>
              <w:sz w:val="28"/>
              <w:szCs w:val="24"/>
            </w:rPr>
            <w:fldChar w:fldCharType="end"/>
          </w:r>
        </w:p>
        <w:p w14:paraId="5A2DDE26">
          <w:pPr>
            <w:keepNext w:val="0"/>
            <w:keepLines w:val="0"/>
            <w:pageBreakBefore w:val="0"/>
            <w:widowControl w:val="0"/>
            <w:tabs>
              <w:tab w:val="right" w:leader="dot" w:pos="8306"/>
            </w:tabs>
            <w:kinsoku/>
            <w:wordWrap/>
            <w:overflowPunct/>
            <w:topLinePunct w:val="0"/>
            <w:autoSpaceDE/>
            <w:autoSpaceDN/>
            <w:bidi w:val="0"/>
            <w:adjustRightInd w:val="0"/>
            <w:snapToGrid w:val="0"/>
            <w:spacing w:beforeLines="0" w:afterLines="0" w:line="360" w:lineRule="auto"/>
            <w:ind w:left="0" w:leftChars="0" w:firstLine="0" w:firstLineChars="0"/>
            <w:jc w:val="center"/>
            <w:textAlignment w:val="auto"/>
          </w:pPr>
          <w:r>
            <w:rPr>
              <w:sz w:val="28"/>
              <w:szCs w:val="28"/>
            </w:rPr>
            <w:fldChar w:fldCharType="end"/>
          </w:r>
        </w:p>
      </w:sdtContent>
    </w:sdt>
    <w:p w14:paraId="128D1844">
      <w:pPr>
        <w:rPr>
          <w:rFonts w:hint="default" w:ascii="方正小标宋简体" w:hAnsi="方正小标宋简体" w:eastAsia="方正小标宋简体" w:cs="方正小标宋简体"/>
          <w:sz w:val="36"/>
          <w:szCs w:val="36"/>
          <w:lang w:val="en-US" w:eastAsia="zh-CN"/>
        </w:rPr>
      </w:pPr>
      <w:bookmarkStart w:id="3" w:name="_Toc23643"/>
      <w:bookmarkStart w:id="4" w:name="_Toc30573"/>
      <w:bookmarkStart w:id="5" w:name="_Toc30422"/>
      <w:bookmarkStart w:id="6" w:name="_Toc6454"/>
      <w:bookmarkStart w:id="7" w:name="_Toc490"/>
      <w:r>
        <w:rPr>
          <w:rFonts w:hint="eastAsia" w:ascii="方正小标宋简体" w:hAnsi="方正小标宋简体" w:eastAsia="方正小标宋简体" w:cs="方正小标宋简体"/>
          <w:sz w:val="36"/>
          <w:szCs w:val="36"/>
          <w:lang w:val="en-US" w:eastAsia="zh-CN"/>
        </w:rPr>
        <w:br w:type="page"/>
      </w:r>
    </w:p>
    <w:p w14:paraId="688E207F">
      <w:pPr>
        <w:keepNext/>
        <w:keepLines w:val="0"/>
        <w:pageBreakBefore w:val="0"/>
        <w:widowControl/>
        <w:numPr>
          <w:ilvl w:val="0"/>
          <w:numId w:val="1"/>
        </w:numPr>
        <w:kinsoku/>
        <w:wordWrap/>
        <w:overflowPunct/>
        <w:topLinePunct w:val="0"/>
        <w:autoSpaceDE/>
        <w:autoSpaceDN/>
        <w:bidi w:val="0"/>
        <w:adjustRightInd/>
        <w:snapToGrid/>
        <w:spacing w:beforeLines="0" w:afterLines="0" w:line="560" w:lineRule="exact"/>
        <w:ind w:left="0" w:leftChars="0" w:right="0" w:firstLine="402" w:firstLineChars="0"/>
        <w:jc w:val="center"/>
        <w:textAlignment w:val="auto"/>
        <w:outlineLvl w:val="0"/>
        <w:rPr>
          <w:rFonts w:hint="default"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“十四五”时期发展成就与形势研判</w:t>
      </w:r>
      <w:bookmarkEnd w:id="3"/>
    </w:p>
    <w:p w14:paraId="5F3E16FE">
      <w:pPr>
        <w:pStyle w:val="3"/>
        <w:keepNext/>
        <w:keepLines/>
        <w:pageBreakBefore w:val="0"/>
        <w:widowControl w:val="0"/>
        <w:numPr>
          <w:ilvl w:val="-1"/>
          <w:numId w:val="0"/>
        </w:numPr>
        <w:kinsoku/>
        <w:wordWrap/>
        <w:overflowPunct/>
        <w:topLinePunct w:val="0"/>
        <w:autoSpaceDE/>
        <w:autoSpaceDN/>
        <w:bidi w:val="0"/>
        <w:adjustRightInd/>
        <w:snapToGrid/>
        <w:spacing w:after="0" w:afterLines="0"/>
        <w:ind w:left="0" w:leftChars="0" w:firstLine="616" w:firstLineChars="200"/>
        <w:textAlignment w:val="baseline"/>
        <w:rPr>
          <w:rFonts w:hint="eastAsia" w:ascii="黑体" w:hAnsi="黑体" w:eastAsia="黑体" w:cs="黑体"/>
          <w:b w:val="0"/>
          <w:bCs/>
          <w:color w:val="auto"/>
          <w:spacing w:val="-6"/>
          <w:sz w:val="32"/>
          <w:szCs w:val="32"/>
          <w:highlight w:val="none"/>
          <w:lang w:val="en-US" w:eastAsia="zh-CN"/>
        </w:rPr>
      </w:pPr>
      <w:bookmarkStart w:id="8" w:name="_Toc6077"/>
      <w:bookmarkStart w:id="9" w:name="_Toc9879"/>
      <w:r>
        <w:rPr>
          <w:rFonts w:hint="eastAsia" w:ascii="黑体" w:hAnsi="黑体" w:eastAsia="黑体" w:cs="黑体"/>
          <w:b w:val="0"/>
          <w:bCs/>
          <w:color w:val="auto"/>
          <w:spacing w:val="-6"/>
          <w:sz w:val="32"/>
          <w:szCs w:val="32"/>
          <w:highlight w:val="none"/>
          <w:lang w:val="en-US" w:eastAsia="zh-CN"/>
        </w:rPr>
        <w:t>一、发展成就</w:t>
      </w:r>
      <w:bookmarkEnd w:id="8"/>
      <w:bookmarkEnd w:id="9"/>
    </w:p>
    <w:p w14:paraId="050A5B04">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hint="eastAsia" w:eastAsia="仿宋_GB2312"/>
          <w:color w:val="auto"/>
          <w:spacing w:val="0"/>
          <w:sz w:val="32"/>
          <w:szCs w:val="32"/>
          <w:highlight w:val="none"/>
          <w:lang w:val="en-US" w:eastAsia="zh-CN"/>
        </w:rPr>
      </w:pPr>
      <w:r>
        <w:rPr>
          <w:rFonts w:hint="eastAsia" w:eastAsia="仿宋_GB2312"/>
          <w:color w:val="auto"/>
          <w:spacing w:val="0"/>
          <w:sz w:val="32"/>
          <w:szCs w:val="32"/>
          <w:highlight w:val="none"/>
          <w:lang w:val="en-US" w:eastAsia="zh-CN"/>
        </w:rPr>
        <w:t>“十四五”时期，丰台区统筹推进环境提升、精细治理、能源保障、环卫提质、交通治理五大任务，城市品质与治理能力整体跃升，群众获得感、幸福感、安全感持续增强。全社会用电量首次超过首都功能核心区合计，跃居全市第</w:t>
      </w:r>
      <w:r>
        <w:rPr>
          <w:rFonts w:hint="eastAsia" w:ascii="Times New Roman" w:hAnsi="Times New Roman" w:eastAsia="Times New Roman" w:cs="Times New Roman"/>
          <w:color w:val="auto"/>
          <w:spacing w:val="0"/>
          <w:sz w:val="32"/>
          <w:szCs w:val="32"/>
          <w:highlight w:val="none"/>
          <w:lang w:val="en-US" w:eastAsia="zh-CN"/>
        </w:rPr>
        <w:t>3</w:t>
      </w:r>
      <w:r>
        <w:rPr>
          <w:rFonts w:hint="eastAsia" w:eastAsia="仿宋_GB2312"/>
          <w:color w:val="auto"/>
          <w:spacing w:val="0"/>
          <w:sz w:val="32"/>
          <w:szCs w:val="32"/>
          <w:highlight w:val="none"/>
          <w:lang w:val="en-US" w:eastAsia="zh-CN"/>
        </w:rPr>
        <w:t>位；供电可靠率</w:t>
      </w:r>
      <w:r>
        <w:rPr>
          <w:rFonts w:hint="eastAsia" w:ascii="Times New Roman" w:hAnsi="Times New Roman" w:eastAsia="Times New Roman" w:cs="Times New Roman"/>
          <w:color w:val="auto"/>
          <w:spacing w:val="0"/>
          <w:sz w:val="32"/>
          <w:szCs w:val="32"/>
          <w:highlight w:val="none"/>
          <w:lang w:val="en-US" w:eastAsia="zh-CN"/>
        </w:rPr>
        <w:t>99</w:t>
      </w:r>
      <w:r>
        <w:rPr>
          <w:rFonts w:hint="eastAsia" w:eastAsia="仿宋_GB2312"/>
          <w:color w:val="auto"/>
          <w:spacing w:val="0"/>
          <w:sz w:val="32"/>
          <w:szCs w:val="32"/>
          <w:highlight w:val="none"/>
          <w:lang w:val="en-US" w:eastAsia="zh-CN"/>
        </w:rPr>
        <w:t>.</w:t>
      </w:r>
      <w:r>
        <w:rPr>
          <w:rFonts w:hint="eastAsia" w:ascii="Times New Roman" w:hAnsi="Times New Roman" w:eastAsia="Times New Roman" w:cs="Times New Roman"/>
          <w:color w:val="auto"/>
          <w:spacing w:val="0"/>
          <w:sz w:val="32"/>
          <w:szCs w:val="32"/>
          <w:highlight w:val="none"/>
          <w:lang w:val="en-US" w:eastAsia="zh-CN"/>
        </w:rPr>
        <w:t>9979</w:t>
      </w:r>
      <w:r>
        <w:rPr>
          <w:rFonts w:hint="eastAsia" w:eastAsia="仿宋_GB2312"/>
          <w:color w:val="auto"/>
          <w:spacing w:val="0"/>
          <w:sz w:val="32"/>
          <w:szCs w:val="32"/>
          <w:highlight w:val="none"/>
          <w:lang w:val="en-US" w:eastAsia="zh-CN"/>
        </w:rPr>
        <w:t>%、生活垃圾资源化利用率</w:t>
      </w:r>
      <w:r>
        <w:rPr>
          <w:rFonts w:hint="eastAsia" w:ascii="Times New Roman" w:hAnsi="Times New Roman" w:eastAsia="Times New Roman" w:cs="Times New Roman"/>
          <w:color w:val="auto"/>
          <w:spacing w:val="0"/>
          <w:sz w:val="32"/>
          <w:szCs w:val="32"/>
          <w:highlight w:val="none"/>
          <w:lang w:val="en-US" w:eastAsia="zh-CN"/>
        </w:rPr>
        <w:t>85</w:t>
      </w:r>
      <w:r>
        <w:rPr>
          <w:rFonts w:hint="eastAsia" w:eastAsia="仿宋_GB2312"/>
          <w:color w:val="auto"/>
          <w:spacing w:val="0"/>
          <w:sz w:val="32"/>
          <w:szCs w:val="32"/>
          <w:highlight w:val="none"/>
          <w:lang w:val="en-US" w:eastAsia="zh-CN"/>
        </w:rPr>
        <w:t>.</w:t>
      </w:r>
      <w:r>
        <w:rPr>
          <w:rFonts w:hint="eastAsia" w:ascii="Times New Roman" w:hAnsi="Times New Roman" w:eastAsia="Times New Roman" w:cs="Times New Roman"/>
          <w:color w:val="auto"/>
          <w:spacing w:val="0"/>
          <w:sz w:val="32"/>
          <w:szCs w:val="32"/>
          <w:highlight w:val="none"/>
          <w:lang w:val="en-US" w:eastAsia="zh-CN"/>
        </w:rPr>
        <w:t>31</w:t>
      </w:r>
      <w:r>
        <w:rPr>
          <w:rFonts w:hint="eastAsia" w:eastAsia="仿宋_GB2312"/>
          <w:color w:val="auto"/>
          <w:spacing w:val="0"/>
          <w:sz w:val="32"/>
          <w:szCs w:val="32"/>
          <w:highlight w:val="none"/>
          <w:lang w:val="en-US" w:eastAsia="zh-CN"/>
        </w:rPr>
        <w:t>%、城市管理网格问题办结率</w:t>
      </w:r>
      <w:r>
        <w:rPr>
          <w:rFonts w:hint="eastAsia" w:ascii="Times New Roman" w:hAnsi="Times New Roman" w:eastAsia="Times New Roman" w:cs="Times New Roman"/>
          <w:color w:val="auto"/>
          <w:spacing w:val="0"/>
          <w:sz w:val="32"/>
          <w:szCs w:val="32"/>
          <w:highlight w:val="none"/>
          <w:lang w:val="en-US" w:eastAsia="zh-CN"/>
        </w:rPr>
        <w:t>99</w:t>
      </w:r>
      <w:r>
        <w:rPr>
          <w:rFonts w:hint="eastAsia" w:eastAsia="仿宋_GB2312"/>
          <w:color w:val="auto"/>
          <w:spacing w:val="0"/>
          <w:sz w:val="32"/>
          <w:szCs w:val="32"/>
          <w:highlight w:val="none"/>
          <w:lang w:val="en-US" w:eastAsia="zh-CN"/>
        </w:rPr>
        <w:t>.</w:t>
      </w:r>
      <w:r>
        <w:rPr>
          <w:rFonts w:hint="eastAsia" w:ascii="Times New Roman" w:hAnsi="Times New Roman" w:eastAsia="Times New Roman" w:cs="Times New Roman"/>
          <w:color w:val="auto"/>
          <w:spacing w:val="0"/>
          <w:sz w:val="32"/>
          <w:szCs w:val="32"/>
          <w:highlight w:val="none"/>
          <w:lang w:val="en-US" w:eastAsia="zh-CN"/>
        </w:rPr>
        <w:t>8</w:t>
      </w:r>
      <w:r>
        <w:rPr>
          <w:rFonts w:hint="eastAsia" w:eastAsia="仿宋_GB2312"/>
          <w:color w:val="auto"/>
          <w:spacing w:val="0"/>
          <w:sz w:val="32"/>
          <w:szCs w:val="32"/>
          <w:highlight w:val="none"/>
          <w:lang w:val="en-US" w:eastAsia="zh-CN"/>
        </w:rPr>
        <w:t>%，均高于全市平均水平，为“十五五”时期“六个城市”建设奠定坚实基础。</w:t>
      </w:r>
    </w:p>
    <w:p w14:paraId="000F05A4">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hint="eastAsia" w:eastAsia="仿宋_GB2312"/>
          <w:color w:val="auto"/>
          <w:spacing w:val="0"/>
          <w:sz w:val="32"/>
          <w:szCs w:val="32"/>
          <w:highlight w:val="none"/>
          <w:lang w:val="en-US" w:eastAsia="zh-CN"/>
        </w:rPr>
      </w:pPr>
      <w:r>
        <w:rPr>
          <w:rFonts w:hint="eastAsia" w:ascii="Times New Roman" w:hAnsi="Times New Roman" w:eastAsia="Times New Roman" w:cs="Times New Roman"/>
          <w:b/>
          <w:bCs/>
          <w:color w:val="auto"/>
          <w:spacing w:val="0"/>
          <w:sz w:val="32"/>
          <w:szCs w:val="32"/>
          <w:highlight w:val="none"/>
          <w:lang w:val="en-US" w:eastAsia="zh-CN"/>
        </w:rPr>
        <w:t>1</w:t>
      </w:r>
      <w:r>
        <w:rPr>
          <w:rFonts w:hint="eastAsia" w:eastAsia="仿宋_GB2312"/>
          <w:b/>
          <w:bCs/>
          <w:color w:val="auto"/>
          <w:spacing w:val="0"/>
          <w:sz w:val="32"/>
          <w:szCs w:val="32"/>
          <w:highlight w:val="none"/>
          <w:lang w:val="en-US" w:eastAsia="zh-CN"/>
        </w:rPr>
        <w:t>.城市环境风貌全面升级。</w:t>
      </w:r>
      <w:r>
        <w:rPr>
          <w:rFonts w:hint="eastAsia" w:eastAsia="仿宋_GB2312"/>
          <w:color w:val="auto"/>
          <w:spacing w:val="0"/>
          <w:sz w:val="32"/>
          <w:szCs w:val="32"/>
          <w:highlight w:val="none"/>
          <w:lang w:val="en-US" w:eastAsia="zh-CN"/>
        </w:rPr>
        <w:t>以重大活动保障为牵引、国家“创卫”评审为标尺，环境建设由“整治达标”向“品质塑造”深化。完成党的二十大、中国共产党成立</w:t>
      </w:r>
      <w:r>
        <w:rPr>
          <w:rFonts w:hint="eastAsia" w:ascii="Times New Roman" w:hAnsi="Times New Roman" w:eastAsia="Times New Roman" w:cs="Times New Roman"/>
          <w:color w:val="auto"/>
          <w:spacing w:val="0"/>
          <w:sz w:val="32"/>
          <w:szCs w:val="32"/>
          <w:highlight w:val="none"/>
          <w:lang w:val="en-US" w:eastAsia="zh-CN"/>
        </w:rPr>
        <w:t>100</w:t>
      </w:r>
      <w:r>
        <w:rPr>
          <w:rFonts w:hint="eastAsia" w:eastAsia="仿宋_GB2312"/>
          <w:color w:val="auto"/>
          <w:spacing w:val="0"/>
          <w:sz w:val="32"/>
          <w:szCs w:val="32"/>
          <w:highlight w:val="none"/>
          <w:lang w:val="en-US" w:eastAsia="zh-CN"/>
        </w:rPr>
        <w:t>周年、北京冬奥会等</w:t>
      </w:r>
      <w:r>
        <w:rPr>
          <w:rFonts w:hint="eastAsia" w:ascii="Times New Roman" w:hAnsi="Times New Roman" w:eastAsia="Times New Roman" w:cs="Times New Roman"/>
          <w:color w:val="auto"/>
          <w:spacing w:val="0"/>
          <w:sz w:val="32"/>
          <w:szCs w:val="32"/>
          <w:highlight w:val="none"/>
          <w:lang w:val="en-US" w:eastAsia="zh-CN"/>
        </w:rPr>
        <w:t>30</w:t>
      </w:r>
      <w:r>
        <w:rPr>
          <w:rFonts w:hint="eastAsia" w:eastAsia="仿宋_GB2312"/>
          <w:color w:val="auto"/>
          <w:spacing w:val="0"/>
          <w:sz w:val="32"/>
          <w:szCs w:val="32"/>
          <w:highlight w:val="none"/>
          <w:lang w:val="en-US" w:eastAsia="zh-CN"/>
        </w:rPr>
        <w:t>余场重大活动保障，实现“零失误、零投诉”；推进“三大门户、一廊、一城”绿化美化，打造“金角银边”</w:t>
      </w:r>
      <w:r>
        <w:rPr>
          <w:rFonts w:hint="eastAsia" w:ascii="Times New Roman" w:hAnsi="Times New Roman" w:eastAsia="Times New Roman" w:cs="Times New Roman"/>
          <w:color w:val="auto"/>
          <w:spacing w:val="0"/>
          <w:sz w:val="32"/>
          <w:szCs w:val="32"/>
          <w:highlight w:val="none"/>
          <w:lang w:val="en-US" w:eastAsia="zh-CN"/>
        </w:rPr>
        <w:t>359</w:t>
      </w:r>
      <w:r>
        <w:rPr>
          <w:rFonts w:hint="eastAsia" w:eastAsia="仿宋_GB2312"/>
          <w:color w:val="auto"/>
          <w:spacing w:val="0"/>
          <w:sz w:val="32"/>
          <w:szCs w:val="32"/>
          <w:highlight w:val="none"/>
          <w:lang w:val="en-US" w:eastAsia="zh-CN"/>
        </w:rPr>
        <w:t>处，完成</w:t>
      </w:r>
      <w:r>
        <w:rPr>
          <w:rFonts w:hint="eastAsia" w:ascii="Times New Roman" w:hAnsi="Times New Roman" w:eastAsia="Times New Roman" w:cs="Times New Roman"/>
          <w:color w:val="auto"/>
          <w:spacing w:val="0"/>
          <w:sz w:val="32"/>
          <w:szCs w:val="32"/>
          <w:highlight w:val="none"/>
          <w:lang w:val="en-US" w:eastAsia="zh-CN"/>
        </w:rPr>
        <w:t>197</w:t>
      </w:r>
      <w:r>
        <w:rPr>
          <w:rFonts w:hint="eastAsia" w:eastAsia="仿宋_GB2312"/>
          <w:color w:val="auto"/>
          <w:spacing w:val="0"/>
          <w:sz w:val="32"/>
          <w:szCs w:val="32"/>
          <w:highlight w:val="none"/>
          <w:lang w:val="en-US" w:eastAsia="zh-CN"/>
        </w:rPr>
        <w:t>条精品街巷提升，城市主干路照明亮灯率保持</w:t>
      </w:r>
      <w:r>
        <w:rPr>
          <w:rFonts w:hint="eastAsia" w:ascii="Times New Roman" w:hAnsi="Times New Roman" w:eastAsia="Times New Roman" w:cs="Times New Roman"/>
          <w:color w:val="auto"/>
          <w:spacing w:val="0"/>
          <w:sz w:val="32"/>
          <w:szCs w:val="32"/>
          <w:highlight w:val="none"/>
          <w:lang w:val="en-US" w:eastAsia="zh-CN"/>
        </w:rPr>
        <w:t>100</w:t>
      </w:r>
      <w:r>
        <w:rPr>
          <w:rFonts w:hint="eastAsia" w:eastAsia="仿宋_GB2312"/>
          <w:color w:val="auto"/>
          <w:spacing w:val="0"/>
          <w:sz w:val="32"/>
          <w:szCs w:val="32"/>
          <w:highlight w:val="none"/>
          <w:lang w:val="en-US" w:eastAsia="zh-CN"/>
        </w:rPr>
        <w:t>%，景观照明设施完好率达</w:t>
      </w:r>
      <w:r>
        <w:rPr>
          <w:rFonts w:hint="eastAsia" w:ascii="Times New Roman" w:hAnsi="Times New Roman" w:eastAsia="Times New Roman" w:cs="Times New Roman"/>
          <w:color w:val="auto"/>
          <w:spacing w:val="0"/>
          <w:sz w:val="32"/>
          <w:szCs w:val="32"/>
          <w:highlight w:val="none"/>
          <w:lang w:val="en-US" w:eastAsia="zh-CN"/>
        </w:rPr>
        <w:t>98</w:t>
      </w:r>
      <w:r>
        <w:rPr>
          <w:rFonts w:hint="eastAsia" w:eastAsia="仿宋_GB2312"/>
          <w:color w:val="auto"/>
          <w:spacing w:val="0"/>
          <w:sz w:val="32"/>
          <w:szCs w:val="32"/>
          <w:highlight w:val="none"/>
          <w:lang w:val="en-US" w:eastAsia="zh-CN"/>
        </w:rPr>
        <w:t>%。城市门户形象与环境品质同步跃升，美丽城市建设底色更加鲜明。</w:t>
      </w:r>
    </w:p>
    <w:p w14:paraId="44AC09E5">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hint="eastAsia" w:eastAsia="仿宋_GB2312"/>
          <w:color w:val="auto"/>
          <w:spacing w:val="0"/>
          <w:sz w:val="32"/>
          <w:szCs w:val="32"/>
          <w:highlight w:val="none"/>
          <w:lang w:val="en-US" w:eastAsia="zh-CN"/>
        </w:rPr>
      </w:pPr>
      <w:r>
        <w:rPr>
          <w:rFonts w:hint="eastAsia" w:ascii="Times New Roman" w:hAnsi="Times New Roman" w:eastAsia="Times New Roman" w:cs="Times New Roman"/>
          <w:b/>
          <w:bCs/>
          <w:color w:val="auto"/>
          <w:spacing w:val="0"/>
          <w:sz w:val="32"/>
          <w:szCs w:val="32"/>
          <w:highlight w:val="none"/>
          <w:lang w:val="en-US" w:eastAsia="zh-CN"/>
        </w:rPr>
        <w:t>2</w:t>
      </w:r>
      <w:r>
        <w:rPr>
          <w:rFonts w:hint="eastAsia" w:eastAsia="仿宋_GB2312"/>
          <w:b/>
          <w:bCs/>
          <w:color w:val="auto"/>
          <w:spacing w:val="0"/>
          <w:sz w:val="32"/>
          <w:szCs w:val="32"/>
          <w:highlight w:val="none"/>
          <w:lang w:val="en-US" w:eastAsia="zh-CN"/>
        </w:rPr>
        <w:t>.城市精细化管理水平稳步提高。</w:t>
      </w:r>
      <w:r>
        <w:rPr>
          <w:rFonts w:hint="eastAsia" w:eastAsia="仿宋_GB2312"/>
          <w:color w:val="auto"/>
          <w:spacing w:val="0"/>
          <w:sz w:val="32"/>
          <w:szCs w:val="32"/>
          <w:highlight w:val="none"/>
          <w:lang w:val="en-US" w:eastAsia="zh-CN"/>
        </w:rPr>
        <w:t>坚持治理重心向基层下沉、向源头前移，多元共治协同发力。实现“社区治理服务站”全覆盖，推动管理由“诉求找上门”向“未诉先治”转变；联合周边八区签订“伙伴计划”；立案查处占道经营等违法行为</w:t>
      </w:r>
      <w:r>
        <w:rPr>
          <w:rFonts w:hint="eastAsia" w:ascii="Times New Roman" w:hAnsi="Times New Roman" w:eastAsia="Times New Roman" w:cs="Times New Roman"/>
          <w:color w:val="auto"/>
          <w:spacing w:val="0"/>
          <w:sz w:val="32"/>
          <w:szCs w:val="32"/>
          <w:highlight w:val="none"/>
          <w:lang w:val="en-US" w:eastAsia="zh-CN"/>
        </w:rPr>
        <w:t>3</w:t>
      </w:r>
      <w:r>
        <w:rPr>
          <w:rFonts w:hint="eastAsia" w:eastAsia="仿宋_GB2312"/>
          <w:color w:val="auto"/>
          <w:spacing w:val="0"/>
          <w:sz w:val="32"/>
          <w:szCs w:val="32"/>
          <w:highlight w:val="none"/>
          <w:lang w:val="en-US" w:eastAsia="zh-CN"/>
        </w:rPr>
        <w:t>.</w:t>
      </w:r>
      <w:r>
        <w:rPr>
          <w:rFonts w:hint="eastAsia" w:ascii="Times New Roman" w:hAnsi="Times New Roman" w:eastAsia="Times New Roman" w:cs="Times New Roman"/>
          <w:color w:val="auto"/>
          <w:spacing w:val="0"/>
          <w:sz w:val="32"/>
          <w:szCs w:val="32"/>
          <w:highlight w:val="none"/>
          <w:lang w:val="en-US" w:eastAsia="zh-CN"/>
        </w:rPr>
        <w:t>8</w:t>
      </w:r>
      <w:r>
        <w:rPr>
          <w:rFonts w:hint="eastAsia" w:eastAsia="仿宋_GB2312"/>
          <w:color w:val="auto"/>
          <w:spacing w:val="0"/>
          <w:sz w:val="32"/>
          <w:szCs w:val="32"/>
          <w:highlight w:val="none"/>
          <w:lang w:val="en-US" w:eastAsia="zh-CN"/>
        </w:rPr>
        <w:t>万余起；治理违法建设</w:t>
      </w:r>
      <w:r>
        <w:rPr>
          <w:rFonts w:hint="eastAsia" w:ascii="Times New Roman" w:hAnsi="Times New Roman" w:eastAsia="Times New Roman" w:cs="Times New Roman"/>
          <w:color w:val="auto"/>
          <w:spacing w:val="0"/>
          <w:sz w:val="32"/>
          <w:szCs w:val="32"/>
          <w:highlight w:val="none"/>
          <w:lang w:val="en-US" w:eastAsia="zh-CN"/>
        </w:rPr>
        <w:t>873</w:t>
      </w:r>
      <w:r>
        <w:rPr>
          <w:rFonts w:hint="eastAsia" w:eastAsia="仿宋_GB2312"/>
          <w:color w:val="auto"/>
          <w:spacing w:val="0"/>
          <w:sz w:val="32"/>
          <w:szCs w:val="32"/>
          <w:highlight w:val="none"/>
          <w:lang w:val="en-US" w:eastAsia="zh-CN"/>
        </w:rPr>
        <w:t>.</w:t>
      </w:r>
      <w:r>
        <w:rPr>
          <w:rFonts w:hint="eastAsia" w:ascii="Times New Roman" w:hAnsi="Times New Roman" w:eastAsia="Times New Roman" w:cs="Times New Roman"/>
          <w:color w:val="auto"/>
          <w:spacing w:val="0"/>
          <w:sz w:val="32"/>
          <w:szCs w:val="32"/>
          <w:highlight w:val="none"/>
          <w:lang w:val="en-US" w:eastAsia="zh-CN"/>
        </w:rPr>
        <w:t>18</w:t>
      </w:r>
      <w:r>
        <w:rPr>
          <w:rFonts w:hint="eastAsia" w:eastAsia="仿宋_GB2312"/>
          <w:color w:val="auto"/>
          <w:spacing w:val="0"/>
          <w:sz w:val="32"/>
          <w:szCs w:val="32"/>
          <w:highlight w:val="none"/>
          <w:lang w:val="en-US" w:eastAsia="zh-CN"/>
        </w:rPr>
        <w:t>万平方米、腾退土地</w:t>
      </w:r>
      <w:r>
        <w:rPr>
          <w:rFonts w:hint="eastAsia" w:ascii="Times New Roman" w:hAnsi="Times New Roman" w:eastAsia="Times New Roman" w:cs="Times New Roman"/>
          <w:color w:val="auto"/>
          <w:spacing w:val="0"/>
          <w:sz w:val="32"/>
          <w:szCs w:val="32"/>
          <w:highlight w:val="none"/>
          <w:lang w:val="en-US" w:eastAsia="zh-CN"/>
        </w:rPr>
        <w:t>704</w:t>
      </w:r>
      <w:r>
        <w:rPr>
          <w:rFonts w:hint="eastAsia" w:eastAsia="仿宋_GB2312"/>
          <w:color w:val="auto"/>
          <w:spacing w:val="0"/>
          <w:sz w:val="32"/>
          <w:szCs w:val="32"/>
          <w:highlight w:val="none"/>
          <w:lang w:val="en-US" w:eastAsia="zh-CN"/>
        </w:rPr>
        <w:t>.</w:t>
      </w:r>
      <w:r>
        <w:rPr>
          <w:rFonts w:hint="eastAsia" w:ascii="Times New Roman" w:hAnsi="Times New Roman" w:eastAsia="Times New Roman" w:cs="Times New Roman"/>
          <w:color w:val="auto"/>
          <w:spacing w:val="0"/>
          <w:sz w:val="32"/>
          <w:szCs w:val="32"/>
          <w:highlight w:val="none"/>
          <w:lang w:val="en-US" w:eastAsia="zh-CN"/>
        </w:rPr>
        <w:t>07</w:t>
      </w:r>
      <w:r>
        <w:rPr>
          <w:rFonts w:hint="eastAsia" w:eastAsia="仿宋_GB2312"/>
          <w:color w:val="auto"/>
          <w:spacing w:val="0"/>
          <w:sz w:val="32"/>
          <w:szCs w:val="32"/>
          <w:highlight w:val="none"/>
          <w:lang w:val="en-US" w:eastAsia="zh-CN"/>
        </w:rPr>
        <w:t>公顷，完成“基本无违法建设区”创建，新生违法建设保持动态清零。创新城市共治格局加快构建。</w:t>
      </w:r>
    </w:p>
    <w:p w14:paraId="7561FFA1">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hint="eastAsia" w:eastAsia="仿宋_GB2312"/>
          <w:color w:val="auto"/>
          <w:spacing w:val="0"/>
          <w:sz w:val="32"/>
          <w:szCs w:val="32"/>
          <w:highlight w:val="none"/>
          <w:lang w:val="en-US" w:eastAsia="zh-CN"/>
        </w:rPr>
      </w:pPr>
      <w:r>
        <w:rPr>
          <w:rFonts w:hint="eastAsia" w:ascii="Times New Roman" w:hAnsi="Times New Roman" w:eastAsia="Times New Roman" w:cs="Times New Roman"/>
          <w:b/>
          <w:bCs/>
          <w:color w:val="auto"/>
          <w:spacing w:val="0"/>
          <w:sz w:val="32"/>
          <w:szCs w:val="32"/>
          <w:highlight w:val="none"/>
          <w:lang w:val="en-US" w:eastAsia="zh-CN"/>
        </w:rPr>
        <w:t>3</w:t>
      </w:r>
      <w:r>
        <w:rPr>
          <w:rFonts w:hint="eastAsia" w:eastAsia="仿宋_GB2312"/>
          <w:b/>
          <w:bCs/>
          <w:color w:val="auto"/>
          <w:spacing w:val="0"/>
          <w:sz w:val="32"/>
          <w:szCs w:val="32"/>
          <w:highlight w:val="none"/>
          <w:lang w:val="en-US" w:eastAsia="zh-CN"/>
        </w:rPr>
        <w:t>.城市安全运行保障能力日益增强。</w:t>
      </w:r>
      <w:r>
        <w:rPr>
          <w:rFonts w:hint="eastAsia" w:eastAsia="仿宋_GB2312"/>
          <w:b w:val="0"/>
          <w:bCs w:val="0"/>
          <w:color w:val="auto"/>
          <w:spacing w:val="0"/>
          <w:sz w:val="32"/>
          <w:szCs w:val="32"/>
          <w:highlight w:val="none"/>
          <w:lang w:val="en-US" w:eastAsia="zh-CN"/>
        </w:rPr>
        <w:t>圆满完成全域燃油锅炉清零攻坚任务，从源头优化供热能源结构。</w:t>
      </w:r>
      <w:r>
        <w:rPr>
          <w:rFonts w:hint="eastAsia" w:ascii="Times New Roman" w:hAnsi="Times New Roman" w:eastAsia="Times New Roman" w:cs="Times New Roman"/>
          <w:color w:val="auto"/>
          <w:spacing w:val="0"/>
          <w:sz w:val="32"/>
          <w:szCs w:val="32"/>
          <w:highlight w:val="none"/>
          <w:lang w:val="en-US" w:eastAsia="zh-CN"/>
        </w:rPr>
        <w:t>220</w:t>
      </w:r>
      <w:r>
        <w:rPr>
          <w:rFonts w:hint="eastAsia" w:eastAsia="仿宋_GB2312"/>
          <w:color w:val="auto"/>
          <w:spacing w:val="0"/>
          <w:sz w:val="32"/>
          <w:szCs w:val="32"/>
          <w:highlight w:val="none"/>
          <w:lang w:val="en-US" w:eastAsia="zh-CN"/>
        </w:rPr>
        <w:t>千伏主变总容量较“十三五”增长</w:t>
      </w:r>
      <w:r>
        <w:rPr>
          <w:rFonts w:hint="eastAsia" w:ascii="Times New Roman" w:hAnsi="Times New Roman" w:eastAsia="Times New Roman" w:cs="Times New Roman"/>
          <w:color w:val="auto"/>
          <w:spacing w:val="0"/>
          <w:sz w:val="32"/>
          <w:szCs w:val="32"/>
          <w:highlight w:val="none"/>
          <w:lang w:val="en-US" w:eastAsia="zh-CN"/>
        </w:rPr>
        <w:t>15</w:t>
      </w:r>
      <w:r>
        <w:rPr>
          <w:rFonts w:hint="eastAsia" w:eastAsia="仿宋_GB2312"/>
          <w:color w:val="auto"/>
          <w:spacing w:val="0"/>
          <w:sz w:val="32"/>
          <w:szCs w:val="32"/>
          <w:highlight w:val="none"/>
          <w:lang w:val="en-US" w:eastAsia="zh-CN"/>
        </w:rPr>
        <w:t>.</w:t>
      </w:r>
      <w:r>
        <w:rPr>
          <w:rFonts w:hint="eastAsia" w:ascii="Times New Roman" w:hAnsi="Times New Roman" w:eastAsia="Times New Roman" w:cs="Times New Roman"/>
          <w:color w:val="auto"/>
          <w:spacing w:val="0"/>
          <w:sz w:val="32"/>
          <w:szCs w:val="32"/>
          <w:highlight w:val="none"/>
          <w:lang w:val="en-US" w:eastAsia="zh-CN"/>
        </w:rPr>
        <w:t>46</w:t>
      </w:r>
      <w:r>
        <w:rPr>
          <w:rFonts w:hint="eastAsia" w:eastAsia="仿宋_GB2312"/>
          <w:color w:val="auto"/>
          <w:spacing w:val="0"/>
          <w:sz w:val="32"/>
          <w:szCs w:val="32"/>
          <w:highlight w:val="none"/>
          <w:lang w:val="en-US" w:eastAsia="zh-CN"/>
        </w:rPr>
        <w:t>%，</w:t>
      </w:r>
      <w:r>
        <w:rPr>
          <w:rFonts w:hint="eastAsia" w:ascii="Times New Roman" w:hAnsi="Times New Roman" w:eastAsia="Times New Roman" w:cs="Times New Roman"/>
          <w:color w:val="auto"/>
          <w:spacing w:val="0"/>
          <w:sz w:val="32"/>
          <w:szCs w:val="32"/>
          <w:highlight w:val="none"/>
          <w:lang w:val="en-US" w:eastAsia="zh-CN"/>
        </w:rPr>
        <w:t>110</w:t>
      </w:r>
      <w:r>
        <w:rPr>
          <w:rFonts w:hint="eastAsia" w:eastAsia="仿宋_GB2312"/>
          <w:color w:val="auto"/>
          <w:spacing w:val="0"/>
          <w:sz w:val="32"/>
          <w:szCs w:val="32"/>
          <w:highlight w:val="none"/>
          <w:lang w:val="en-US" w:eastAsia="zh-CN"/>
        </w:rPr>
        <w:t>千伏双方向电源比例由</w:t>
      </w:r>
      <w:r>
        <w:rPr>
          <w:rFonts w:hint="eastAsia" w:ascii="Times New Roman" w:hAnsi="Times New Roman" w:eastAsia="Times New Roman" w:cs="Times New Roman"/>
          <w:color w:val="auto"/>
          <w:spacing w:val="0"/>
          <w:sz w:val="32"/>
          <w:szCs w:val="32"/>
          <w:highlight w:val="none"/>
          <w:lang w:val="en-US" w:eastAsia="zh-CN"/>
        </w:rPr>
        <w:t>32</w:t>
      </w:r>
      <w:r>
        <w:rPr>
          <w:rFonts w:hint="eastAsia" w:eastAsia="仿宋_GB2312"/>
          <w:color w:val="auto"/>
          <w:spacing w:val="0"/>
          <w:sz w:val="32"/>
          <w:szCs w:val="32"/>
          <w:highlight w:val="none"/>
          <w:lang w:val="en-US" w:eastAsia="zh-CN"/>
        </w:rPr>
        <w:t>%提升至</w:t>
      </w:r>
      <w:r>
        <w:rPr>
          <w:rFonts w:hint="eastAsia" w:ascii="Times New Roman" w:hAnsi="Times New Roman" w:eastAsia="Times New Roman" w:cs="Times New Roman"/>
          <w:color w:val="auto"/>
          <w:spacing w:val="0"/>
          <w:sz w:val="32"/>
          <w:szCs w:val="32"/>
          <w:highlight w:val="none"/>
          <w:lang w:val="en-US" w:eastAsia="zh-CN"/>
        </w:rPr>
        <w:t>38</w:t>
      </w:r>
      <w:r>
        <w:rPr>
          <w:rFonts w:hint="eastAsia" w:eastAsia="仿宋_GB2312"/>
          <w:color w:val="auto"/>
          <w:spacing w:val="0"/>
          <w:sz w:val="32"/>
          <w:szCs w:val="32"/>
          <w:highlight w:val="none"/>
          <w:lang w:val="en-US" w:eastAsia="zh-CN"/>
        </w:rPr>
        <w:t>.</w:t>
      </w:r>
      <w:r>
        <w:rPr>
          <w:rFonts w:hint="eastAsia" w:ascii="Times New Roman" w:hAnsi="Times New Roman" w:eastAsia="Times New Roman" w:cs="Times New Roman"/>
          <w:color w:val="auto"/>
          <w:spacing w:val="0"/>
          <w:sz w:val="32"/>
          <w:szCs w:val="32"/>
          <w:highlight w:val="none"/>
          <w:lang w:val="en-US" w:eastAsia="zh-CN"/>
        </w:rPr>
        <w:t>5</w:t>
      </w:r>
      <w:r>
        <w:rPr>
          <w:rFonts w:hint="eastAsia" w:eastAsia="仿宋_GB2312"/>
          <w:color w:val="auto"/>
          <w:spacing w:val="0"/>
          <w:sz w:val="32"/>
          <w:szCs w:val="32"/>
          <w:highlight w:val="none"/>
          <w:lang w:val="en-US" w:eastAsia="zh-CN"/>
        </w:rPr>
        <w:t>%，公共充电设施服务半径由</w:t>
      </w:r>
      <w:r>
        <w:rPr>
          <w:rFonts w:hint="eastAsia" w:ascii="Times New Roman" w:hAnsi="Times New Roman" w:eastAsia="Times New Roman" w:cs="Times New Roman"/>
          <w:color w:val="auto"/>
          <w:spacing w:val="0"/>
          <w:sz w:val="32"/>
          <w:szCs w:val="32"/>
          <w:highlight w:val="none"/>
          <w:lang w:val="en-US" w:eastAsia="zh-CN"/>
        </w:rPr>
        <w:t>1</w:t>
      </w:r>
      <w:r>
        <w:rPr>
          <w:rFonts w:hint="eastAsia" w:eastAsia="仿宋_GB2312"/>
          <w:color w:val="auto"/>
          <w:spacing w:val="0"/>
          <w:sz w:val="32"/>
          <w:szCs w:val="32"/>
          <w:highlight w:val="none"/>
          <w:lang w:val="en-US" w:eastAsia="zh-CN"/>
        </w:rPr>
        <w:t>.</w:t>
      </w:r>
      <w:r>
        <w:rPr>
          <w:rFonts w:hint="eastAsia" w:ascii="Times New Roman" w:hAnsi="Times New Roman" w:eastAsia="Times New Roman" w:cs="Times New Roman"/>
          <w:color w:val="auto"/>
          <w:spacing w:val="0"/>
          <w:sz w:val="32"/>
          <w:szCs w:val="32"/>
          <w:highlight w:val="none"/>
          <w:lang w:val="en-US" w:eastAsia="zh-CN"/>
        </w:rPr>
        <w:t>5</w:t>
      </w:r>
      <w:r>
        <w:rPr>
          <w:rFonts w:hint="eastAsia" w:eastAsia="仿宋_GB2312"/>
          <w:color w:val="auto"/>
          <w:spacing w:val="0"/>
          <w:sz w:val="32"/>
          <w:szCs w:val="32"/>
          <w:highlight w:val="none"/>
          <w:lang w:val="en-US" w:eastAsia="zh-CN"/>
        </w:rPr>
        <w:t>公里缩短至</w:t>
      </w:r>
      <w:r>
        <w:rPr>
          <w:rFonts w:hint="eastAsia" w:ascii="Times New Roman" w:hAnsi="Times New Roman" w:eastAsia="Times New Roman" w:cs="Times New Roman"/>
          <w:color w:val="auto"/>
          <w:spacing w:val="0"/>
          <w:sz w:val="32"/>
          <w:szCs w:val="32"/>
          <w:highlight w:val="none"/>
          <w:lang w:val="en-US" w:eastAsia="zh-CN"/>
        </w:rPr>
        <w:t>0</w:t>
      </w:r>
      <w:r>
        <w:rPr>
          <w:rFonts w:hint="eastAsia" w:eastAsia="仿宋_GB2312"/>
          <w:color w:val="auto"/>
          <w:spacing w:val="0"/>
          <w:sz w:val="32"/>
          <w:szCs w:val="32"/>
          <w:highlight w:val="none"/>
          <w:lang w:val="en-US" w:eastAsia="zh-CN"/>
        </w:rPr>
        <w:t>.</w:t>
      </w:r>
      <w:r>
        <w:rPr>
          <w:rFonts w:hint="eastAsia" w:ascii="Times New Roman" w:hAnsi="Times New Roman" w:eastAsia="Times New Roman" w:cs="Times New Roman"/>
          <w:color w:val="auto"/>
          <w:spacing w:val="0"/>
          <w:sz w:val="32"/>
          <w:szCs w:val="32"/>
          <w:highlight w:val="none"/>
          <w:lang w:val="en-US" w:eastAsia="zh-CN"/>
        </w:rPr>
        <w:t>9</w:t>
      </w:r>
      <w:r>
        <w:rPr>
          <w:rFonts w:hint="eastAsia" w:eastAsia="仿宋_GB2312"/>
          <w:color w:val="auto"/>
          <w:spacing w:val="0"/>
          <w:sz w:val="32"/>
          <w:szCs w:val="32"/>
          <w:highlight w:val="none"/>
          <w:lang w:val="en-US" w:eastAsia="zh-CN"/>
        </w:rPr>
        <w:t>公里；实现管道天然气五级供气系统全域覆盖，新发展燃气管线</w:t>
      </w:r>
      <w:r>
        <w:rPr>
          <w:rFonts w:hint="eastAsia" w:ascii="Times New Roman" w:hAnsi="Times New Roman" w:eastAsia="Times New Roman" w:cs="Times New Roman"/>
          <w:color w:val="auto"/>
          <w:spacing w:val="0"/>
          <w:sz w:val="32"/>
          <w:szCs w:val="32"/>
          <w:highlight w:val="none"/>
          <w:lang w:val="en-US" w:eastAsia="zh-CN"/>
        </w:rPr>
        <w:t>248</w:t>
      </w:r>
      <w:r>
        <w:rPr>
          <w:rFonts w:hint="eastAsia" w:eastAsia="仿宋_GB2312"/>
          <w:color w:val="auto"/>
          <w:spacing w:val="0"/>
          <w:sz w:val="32"/>
          <w:szCs w:val="32"/>
          <w:highlight w:val="none"/>
          <w:lang w:val="en-US" w:eastAsia="zh-CN"/>
        </w:rPr>
        <w:t>公里；全区供热总面积达</w:t>
      </w:r>
      <w:r>
        <w:rPr>
          <w:rFonts w:hint="eastAsia" w:ascii="Times New Roman" w:hAnsi="Times New Roman" w:eastAsia="Times New Roman" w:cs="Times New Roman"/>
          <w:color w:val="auto"/>
          <w:spacing w:val="0"/>
          <w:sz w:val="32"/>
          <w:szCs w:val="32"/>
          <w:highlight w:val="none"/>
          <w:lang w:val="en-US" w:eastAsia="zh-CN"/>
        </w:rPr>
        <w:t>8510</w:t>
      </w:r>
      <w:r>
        <w:rPr>
          <w:rFonts w:hint="eastAsia" w:eastAsia="仿宋_GB2312"/>
          <w:color w:val="auto"/>
          <w:spacing w:val="0"/>
          <w:sz w:val="32"/>
          <w:szCs w:val="32"/>
          <w:highlight w:val="none"/>
          <w:lang w:val="en-US" w:eastAsia="zh-CN"/>
        </w:rPr>
        <w:t>万平方米，完成老旧供热管网更新改造</w:t>
      </w:r>
      <w:r>
        <w:rPr>
          <w:rFonts w:hint="eastAsia" w:ascii="Times New Roman" w:hAnsi="Times New Roman" w:eastAsia="Times New Roman" w:cs="Times New Roman"/>
          <w:color w:val="auto"/>
          <w:spacing w:val="0"/>
          <w:sz w:val="32"/>
          <w:szCs w:val="32"/>
          <w:highlight w:val="none"/>
          <w:lang w:val="en-US" w:eastAsia="zh-CN"/>
        </w:rPr>
        <w:t>1214</w:t>
      </w:r>
      <w:r>
        <w:rPr>
          <w:rFonts w:hint="eastAsia" w:eastAsia="仿宋_GB2312"/>
          <w:color w:val="auto"/>
          <w:spacing w:val="0"/>
          <w:sz w:val="32"/>
          <w:szCs w:val="32"/>
          <w:highlight w:val="none"/>
          <w:lang w:val="en-US" w:eastAsia="zh-CN"/>
        </w:rPr>
        <w:t>公里。城市生命线承载能力增强，韧性城市安全基础稳步夯实。</w:t>
      </w:r>
    </w:p>
    <w:p w14:paraId="5C88FD95">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eastAsia" w:eastAsia="仿宋_GB2312"/>
          <w:color w:val="auto"/>
          <w:spacing w:val="0"/>
          <w:sz w:val="32"/>
          <w:szCs w:val="32"/>
          <w:highlight w:val="none"/>
          <w:lang w:val="en-US" w:eastAsia="zh-CN"/>
        </w:rPr>
      </w:pPr>
      <w:r>
        <w:rPr>
          <w:rFonts w:hint="eastAsia" w:ascii="Times New Roman" w:hAnsi="Times New Roman" w:eastAsia="Times New Roman" w:cs="Times New Roman"/>
          <w:b/>
          <w:bCs/>
          <w:color w:val="auto"/>
          <w:spacing w:val="0"/>
          <w:sz w:val="32"/>
          <w:szCs w:val="32"/>
          <w:highlight w:val="none"/>
          <w:lang w:val="en-US" w:eastAsia="zh-CN"/>
        </w:rPr>
        <w:t>4</w:t>
      </w:r>
      <w:r>
        <w:rPr>
          <w:rFonts w:hint="eastAsia" w:eastAsia="仿宋_GB2312"/>
          <w:b/>
          <w:bCs/>
          <w:color w:val="auto"/>
          <w:spacing w:val="0"/>
          <w:sz w:val="32"/>
          <w:szCs w:val="32"/>
          <w:highlight w:val="none"/>
          <w:lang w:val="en-US" w:eastAsia="zh-CN"/>
        </w:rPr>
        <w:t>.环卫事业发展再上新台阶。</w:t>
      </w:r>
      <w:r>
        <w:rPr>
          <w:rFonts w:hint="eastAsia" w:eastAsia="仿宋_GB2312"/>
          <w:color w:val="auto"/>
          <w:spacing w:val="0"/>
          <w:sz w:val="32"/>
          <w:szCs w:val="32"/>
          <w:highlight w:val="none"/>
          <w:lang w:val="en-US" w:eastAsia="zh-CN"/>
        </w:rPr>
        <w:t>环卫服务由单一清运向全链条治理延伸。完成湿解处理厂、餐厨厨余垃圾处理厂技改升级，改造后处置规模分别达600吨/日、530吨/日，夯实生活垃圾处置基础。垃圾分类覆盖率达</w:t>
      </w:r>
      <w:r>
        <w:rPr>
          <w:rFonts w:hint="eastAsia" w:ascii="Times New Roman" w:hAnsi="Times New Roman" w:eastAsia="Times New Roman" w:cs="Times New Roman"/>
          <w:color w:val="auto"/>
          <w:spacing w:val="0"/>
          <w:sz w:val="32"/>
          <w:szCs w:val="32"/>
          <w:highlight w:val="none"/>
          <w:lang w:val="en-US" w:eastAsia="zh-CN"/>
        </w:rPr>
        <w:t>100</w:t>
      </w:r>
      <w:r>
        <w:rPr>
          <w:rFonts w:hint="eastAsia" w:eastAsia="仿宋_GB2312"/>
          <w:color w:val="auto"/>
          <w:spacing w:val="0"/>
          <w:sz w:val="32"/>
          <w:szCs w:val="32"/>
          <w:highlight w:val="none"/>
          <w:lang w:val="en-US" w:eastAsia="zh-CN"/>
        </w:rPr>
        <w:t>%，建成“交投点—中转站—分拣中心”三级回收体系，生活垃圾资源化利用率达</w:t>
      </w:r>
      <w:r>
        <w:rPr>
          <w:rFonts w:hint="eastAsia" w:ascii="Times New Roman" w:hAnsi="Times New Roman" w:eastAsia="Times New Roman" w:cs="Times New Roman"/>
          <w:color w:val="auto"/>
          <w:spacing w:val="0"/>
          <w:sz w:val="32"/>
          <w:szCs w:val="32"/>
          <w:highlight w:val="none"/>
          <w:lang w:val="en-US" w:eastAsia="zh-CN"/>
        </w:rPr>
        <w:t>85</w:t>
      </w:r>
      <w:r>
        <w:rPr>
          <w:rFonts w:hint="eastAsia" w:eastAsia="仿宋_GB2312"/>
          <w:color w:val="auto"/>
          <w:spacing w:val="0"/>
          <w:sz w:val="32"/>
          <w:szCs w:val="32"/>
          <w:highlight w:val="none"/>
          <w:lang w:val="en-US" w:eastAsia="zh-CN"/>
        </w:rPr>
        <w:t>.</w:t>
      </w:r>
      <w:r>
        <w:rPr>
          <w:rFonts w:hint="eastAsia" w:ascii="Times New Roman" w:hAnsi="Times New Roman" w:eastAsia="Times New Roman" w:cs="Times New Roman"/>
          <w:color w:val="auto"/>
          <w:spacing w:val="0"/>
          <w:sz w:val="32"/>
          <w:szCs w:val="32"/>
          <w:highlight w:val="none"/>
          <w:lang w:val="en-US" w:eastAsia="zh-CN"/>
        </w:rPr>
        <w:t>31</w:t>
      </w:r>
      <w:r>
        <w:rPr>
          <w:rFonts w:hint="eastAsia" w:eastAsia="仿宋_GB2312"/>
          <w:color w:val="auto"/>
          <w:spacing w:val="0"/>
          <w:sz w:val="32"/>
          <w:szCs w:val="32"/>
          <w:highlight w:val="none"/>
          <w:lang w:val="en-US" w:eastAsia="zh-CN"/>
        </w:rPr>
        <w:t>%；完成</w:t>
      </w:r>
      <w:r>
        <w:rPr>
          <w:rFonts w:hint="eastAsia" w:ascii="Times New Roman" w:hAnsi="Times New Roman" w:eastAsia="Times New Roman" w:cs="Times New Roman"/>
          <w:color w:val="auto"/>
          <w:spacing w:val="0"/>
          <w:sz w:val="32"/>
          <w:szCs w:val="32"/>
          <w:highlight w:val="none"/>
          <w:lang w:val="en-US" w:eastAsia="zh-CN"/>
        </w:rPr>
        <w:t>164</w:t>
      </w:r>
      <w:r>
        <w:rPr>
          <w:rFonts w:hint="eastAsia" w:eastAsia="仿宋_GB2312"/>
          <w:color w:val="auto"/>
          <w:spacing w:val="0"/>
          <w:sz w:val="32"/>
          <w:szCs w:val="32"/>
          <w:highlight w:val="none"/>
          <w:lang w:val="en-US" w:eastAsia="zh-CN"/>
        </w:rPr>
        <w:t>座公厕修缮提升并全部达标；垃圾转运站达标率达</w:t>
      </w:r>
      <w:r>
        <w:rPr>
          <w:rFonts w:hint="eastAsia" w:ascii="Times New Roman" w:hAnsi="Times New Roman" w:eastAsia="Times New Roman" w:cs="Times New Roman"/>
          <w:color w:val="auto"/>
          <w:spacing w:val="0"/>
          <w:sz w:val="32"/>
          <w:szCs w:val="32"/>
          <w:highlight w:val="none"/>
          <w:lang w:val="en-US" w:eastAsia="zh-CN"/>
        </w:rPr>
        <w:t>100</w:t>
      </w:r>
      <w:r>
        <w:rPr>
          <w:rFonts w:hint="eastAsia" w:eastAsia="仿宋_GB2312"/>
          <w:color w:val="auto"/>
          <w:spacing w:val="0"/>
          <w:sz w:val="32"/>
          <w:szCs w:val="32"/>
          <w:highlight w:val="none"/>
          <w:lang w:val="en-US" w:eastAsia="zh-CN"/>
        </w:rPr>
        <w:t>%，实现垃圾“零填埋”。环卫服务品质显著改善，文明城市习惯养成加快。</w:t>
      </w:r>
    </w:p>
    <w:p w14:paraId="7C149949">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eastAsia" w:ascii="黑体" w:hAnsi="黑体" w:eastAsia="黑体" w:cs="黑体"/>
          <w:b w:val="0"/>
          <w:bCs/>
          <w:color w:val="auto"/>
          <w:spacing w:val="-6"/>
          <w:sz w:val="32"/>
          <w:szCs w:val="32"/>
          <w:highlight w:val="none"/>
          <w:lang w:val="en-US" w:eastAsia="zh-CN"/>
        </w:rPr>
      </w:pPr>
      <w:r>
        <w:rPr>
          <w:rFonts w:hint="eastAsia" w:ascii="Times New Roman" w:hAnsi="Times New Roman" w:eastAsia="Times New Roman" w:cs="Times New Roman"/>
          <w:b/>
          <w:bCs/>
          <w:color w:val="auto"/>
          <w:spacing w:val="0"/>
          <w:sz w:val="32"/>
          <w:szCs w:val="32"/>
          <w:highlight w:val="none"/>
          <w:lang w:val="en-US" w:eastAsia="zh-CN"/>
        </w:rPr>
        <w:t>5</w:t>
      </w:r>
      <w:r>
        <w:rPr>
          <w:rFonts w:hint="eastAsia" w:eastAsia="仿宋_GB2312"/>
          <w:b/>
          <w:bCs/>
          <w:color w:val="auto"/>
          <w:spacing w:val="0"/>
          <w:sz w:val="32"/>
          <w:szCs w:val="32"/>
          <w:highlight w:val="none"/>
          <w:lang w:val="en-US" w:eastAsia="zh-CN"/>
        </w:rPr>
        <w:t>.交通体系运行提质增效。</w:t>
      </w:r>
      <w:r>
        <w:rPr>
          <w:rFonts w:hint="eastAsia" w:eastAsia="仿宋_GB2312"/>
          <w:color w:val="auto"/>
          <w:spacing w:val="0"/>
          <w:sz w:val="32"/>
          <w:szCs w:val="32"/>
          <w:highlight w:val="none"/>
          <w:lang w:val="en-US" w:eastAsia="zh-CN"/>
        </w:rPr>
        <w:t>开通道路</w:t>
      </w:r>
      <w:r>
        <w:rPr>
          <w:rFonts w:hint="eastAsia" w:ascii="Times New Roman" w:hAnsi="Times New Roman" w:eastAsia="Times New Roman" w:cs="Times New Roman"/>
          <w:color w:val="auto"/>
          <w:spacing w:val="0"/>
          <w:sz w:val="32"/>
          <w:szCs w:val="32"/>
          <w:highlight w:val="none"/>
          <w:lang w:val="en-US" w:eastAsia="zh-CN"/>
        </w:rPr>
        <w:t>83</w:t>
      </w:r>
      <w:r>
        <w:rPr>
          <w:rFonts w:hint="eastAsia" w:eastAsia="仿宋_GB2312"/>
          <w:color w:val="auto"/>
          <w:spacing w:val="0"/>
          <w:sz w:val="32"/>
          <w:szCs w:val="32"/>
          <w:highlight w:val="none"/>
          <w:lang w:val="en-US" w:eastAsia="zh-CN"/>
        </w:rPr>
        <w:t>条、</w:t>
      </w:r>
      <w:r>
        <w:rPr>
          <w:rFonts w:hint="eastAsia" w:ascii="Times New Roman" w:hAnsi="Times New Roman" w:eastAsia="Times New Roman" w:cs="Times New Roman"/>
          <w:color w:val="auto"/>
          <w:spacing w:val="0"/>
          <w:sz w:val="32"/>
          <w:szCs w:val="32"/>
          <w:highlight w:val="none"/>
          <w:lang w:val="en-US" w:eastAsia="zh-CN"/>
        </w:rPr>
        <w:t>100</w:t>
      </w:r>
      <w:r>
        <w:rPr>
          <w:rFonts w:hint="eastAsia" w:eastAsia="仿宋_GB2312"/>
          <w:color w:val="auto"/>
          <w:spacing w:val="0"/>
          <w:sz w:val="32"/>
          <w:szCs w:val="32"/>
          <w:highlight w:val="none"/>
          <w:lang w:val="en-US" w:eastAsia="zh-CN"/>
        </w:rPr>
        <w:t>.</w:t>
      </w:r>
      <w:r>
        <w:rPr>
          <w:rFonts w:hint="eastAsia" w:ascii="Times New Roman" w:hAnsi="Times New Roman" w:eastAsia="Times New Roman" w:cs="Times New Roman"/>
          <w:color w:val="auto"/>
          <w:spacing w:val="0"/>
          <w:sz w:val="32"/>
          <w:szCs w:val="32"/>
          <w:highlight w:val="none"/>
          <w:lang w:val="en-US" w:eastAsia="zh-CN"/>
        </w:rPr>
        <w:t>92</w:t>
      </w:r>
      <w:r>
        <w:rPr>
          <w:rFonts w:hint="eastAsia" w:eastAsia="仿宋_GB2312"/>
          <w:color w:val="auto"/>
          <w:spacing w:val="0"/>
          <w:sz w:val="32"/>
          <w:szCs w:val="32"/>
          <w:highlight w:val="none"/>
          <w:lang w:val="en-US" w:eastAsia="zh-CN"/>
        </w:rPr>
        <w:t>公里，集中建设区道路网密度达</w:t>
      </w:r>
      <w:r>
        <w:rPr>
          <w:rFonts w:hint="eastAsia" w:ascii="Times New Roman" w:hAnsi="Times New Roman" w:eastAsia="Times New Roman" w:cs="Times New Roman"/>
          <w:color w:val="auto"/>
          <w:spacing w:val="0"/>
          <w:sz w:val="32"/>
          <w:szCs w:val="32"/>
          <w:highlight w:val="none"/>
          <w:lang w:val="en-US" w:eastAsia="zh-CN"/>
        </w:rPr>
        <w:t>5</w:t>
      </w:r>
      <w:r>
        <w:rPr>
          <w:rFonts w:hint="eastAsia" w:eastAsia="仿宋_GB2312"/>
          <w:color w:val="auto"/>
          <w:spacing w:val="0"/>
          <w:sz w:val="32"/>
          <w:szCs w:val="32"/>
          <w:highlight w:val="none"/>
          <w:lang w:val="en-US" w:eastAsia="zh-CN"/>
        </w:rPr>
        <w:t>.</w:t>
      </w:r>
      <w:r>
        <w:rPr>
          <w:rFonts w:hint="eastAsia" w:ascii="Times New Roman" w:hAnsi="Times New Roman" w:eastAsia="Times New Roman" w:cs="Times New Roman"/>
          <w:color w:val="auto"/>
          <w:spacing w:val="0"/>
          <w:sz w:val="32"/>
          <w:szCs w:val="32"/>
          <w:highlight w:val="none"/>
          <w:lang w:val="en-US" w:eastAsia="zh-CN"/>
        </w:rPr>
        <w:t>96</w:t>
      </w:r>
      <w:r>
        <w:rPr>
          <w:rFonts w:hint="eastAsia" w:eastAsia="仿宋_GB2312"/>
          <w:color w:val="auto"/>
          <w:spacing w:val="0"/>
          <w:sz w:val="32"/>
          <w:szCs w:val="32"/>
          <w:highlight w:val="none"/>
          <w:lang w:val="en-US" w:eastAsia="zh-CN"/>
        </w:rPr>
        <w:t>公里/平方公里，解决了</w:t>
      </w:r>
      <w:r>
        <w:rPr>
          <w:rFonts w:hint="eastAsia" w:ascii="Times New Roman" w:hAnsi="Times New Roman" w:eastAsia="Times New Roman" w:cs="Times New Roman"/>
          <w:color w:val="auto"/>
          <w:spacing w:val="0"/>
          <w:sz w:val="32"/>
          <w:szCs w:val="32"/>
          <w:highlight w:val="none"/>
          <w:lang w:val="en-US" w:eastAsia="zh-CN"/>
        </w:rPr>
        <w:t>2018</w:t>
      </w:r>
      <w:r>
        <w:rPr>
          <w:rFonts w:hint="eastAsia" w:eastAsia="仿宋_GB2312"/>
          <w:color w:val="auto"/>
          <w:spacing w:val="0"/>
          <w:sz w:val="32"/>
          <w:szCs w:val="32"/>
          <w:highlight w:val="none"/>
          <w:lang w:val="en-US" w:eastAsia="zh-CN"/>
        </w:rPr>
        <w:t>年以来长期未解决的交通堵点；新增停车泊位约</w:t>
      </w:r>
      <w:r>
        <w:rPr>
          <w:rFonts w:hint="eastAsia" w:ascii="Times New Roman" w:hAnsi="Times New Roman" w:eastAsia="Times New Roman" w:cs="Times New Roman"/>
          <w:color w:val="auto"/>
          <w:spacing w:val="0"/>
          <w:sz w:val="32"/>
          <w:szCs w:val="32"/>
          <w:highlight w:val="none"/>
          <w:lang w:val="en-US" w:eastAsia="zh-CN"/>
        </w:rPr>
        <w:t>2</w:t>
      </w:r>
      <w:r>
        <w:rPr>
          <w:rFonts w:hint="eastAsia" w:eastAsia="仿宋_GB2312"/>
          <w:color w:val="auto"/>
          <w:spacing w:val="0"/>
          <w:sz w:val="32"/>
          <w:szCs w:val="32"/>
          <w:highlight w:val="none"/>
          <w:lang w:val="en-US" w:eastAsia="zh-CN"/>
        </w:rPr>
        <w:t>.</w:t>
      </w:r>
      <w:r>
        <w:rPr>
          <w:rFonts w:hint="eastAsia" w:ascii="Times New Roman" w:hAnsi="Times New Roman" w:eastAsia="Times New Roman" w:cs="Times New Roman"/>
          <w:color w:val="auto"/>
          <w:spacing w:val="0"/>
          <w:sz w:val="32"/>
          <w:szCs w:val="32"/>
          <w:highlight w:val="none"/>
          <w:lang w:val="en-US" w:eastAsia="zh-CN"/>
        </w:rPr>
        <w:t>6</w:t>
      </w:r>
      <w:r>
        <w:rPr>
          <w:rFonts w:hint="eastAsia" w:eastAsia="仿宋_GB2312"/>
          <w:color w:val="auto"/>
          <w:spacing w:val="0"/>
          <w:sz w:val="32"/>
          <w:szCs w:val="32"/>
          <w:highlight w:val="none"/>
          <w:lang w:val="en-US" w:eastAsia="zh-CN"/>
        </w:rPr>
        <w:t>万个，共享单车停放治理实现新突破；慢行道达标率</w:t>
      </w:r>
      <w:r>
        <w:rPr>
          <w:rFonts w:hint="eastAsia" w:ascii="Times New Roman" w:hAnsi="Times New Roman" w:eastAsia="Times New Roman" w:cs="Times New Roman"/>
          <w:color w:val="auto"/>
          <w:spacing w:val="0"/>
          <w:sz w:val="32"/>
          <w:szCs w:val="32"/>
          <w:highlight w:val="none"/>
          <w:lang w:val="en-US" w:eastAsia="zh-CN"/>
        </w:rPr>
        <w:t>89</w:t>
      </w:r>
      <w:r>
        <w:rPr>
          <w:rFonts w:hint="eastAsia" w:eastAsia="仿宋_GB2312"/>
          <w:color w:val="auto"/>
          <w:spacing w:val="0"/>
          <w:sz w:val="32"/>
          <w:szCs w:val="32"/>
          <w:highlight w:val="none"/>
          <w:lang w:val="en-US" w:eastAsia="zh-CN"/>
        </w:rPr>
        <w:t>%，建成方庄、右安门</w:t>
      </w:r>
      <w:r>
        <w:rPr>
          <w:rFonts w:hint="eastAsia" w:ascii="Times New Roman" w:hAnsi="Times New Roman" w:eastAsia="Times New Roman" w:cs="Times New Roman"/>
          <w:color w:val="auto"/>
          <w:spacing w:val="0"/>
          <w:sz w:val="32"/>
          <w:szCs w:val="32"/>
          <w:highlight w:val="none"/>
          <w:lang w:val="en-US" w:eastAsia="zh-CN"/>
        </w:rPr>
        <w:t>2</w:t>
      </w:r>
      <w:r>
        <w:rPr>
          <w:rFonts w:hint="eastAsia" w:eastAsia="仿宋_GB2312"/>
          <w:color w:val="auto"/>
          <w:spacing w:val="0"/>
          <w:sz w:val="32"/>
          <w:szCs w:val="32"/>
          <w:highlight w:val="none"/>
          <w:lang w:val="en-US" w:eastAsia="zh-CN"/>
        </w:rPr>
        <w:t>个示范片区；完成</w:t>
      </w:r>
      <w:r>
        <w:rPr>
          <w:rFonts w:hint="eastAsia" w:ascii="Times New Roman" w:hAnsi="Times New Roman" w:eastAsia="Times New Roman" w:cs="Times New Roman"/>
          <w:color w:val="auto"/>
          <w:spacing w:val="0"/>
          <w:sz w:val="32"/>
          <w:szCs w:val="32"/>
          <w:highlight w:val="none"/>
          <w:lang w:val="en-US" w:eastAsia="zh-CN"/>
        </w:rPr>
        <w:t>263</w:t>
      </w:r>
      <w:r>
        <w:rPr>
          <w:rFonts w:hint="eastAsia" w:eastAsia="仿宋_GB2312"/>
          <w:color w:val="auto"/>
          <w:spacing w:val="0"/>
          <w:sz w:val="32"/>
          <w:szCs w:val="32"/>
          <w:highlight w:val="none"/>
          <w:lang w:val="en-US" w:eastAsia="zh-CN"/>
        </w:rPr>
        <w:t>条道路、</w:t>
      </w:r>
      <w:r>
        <w:rPr>
          <w:rFonts w:hint="eastAsia" w:ascii="Times New Roman" w:hAnsi="Times New Roman" w:eastAsia="Times New Roman" w:cs="Times New Roman"/>
          <w:color w:val="auto"/>
          <w:spacing w:val="0"/>
          <w:sz w:val="32"/>
          <w:szCs w:val="32"/>
          <w:highlight w:val="none"/>
          <w:lang w:val="en-US" w:eastAsia="zh-CN"/>
        </w:rPr>
        <w:t>20946</w:t>
      </w:r>
      <w:r>
        <w:rPr>
          <w:rFonts w:hint="eastAsia" w:eastAsia="仿宋_GB2312"/>
          <w:color w:val="auto"/>
          <w:spacing w:val="0"/>
          <w:sz w:val="32"/>
          <w:szCs w:val="32"/>
          <w:highlight w:val="none"/>
          <w:lang w:val="en-US" w:eastAsia="zh-CN"/>
        </w:rPr>
        <w:t>个停车位电子收费改造，违停处置效率提升</w:t>
      </w:r>
      <w:r>
        <w:rPr>
          <w:rFonts w:hint="eastAsia" w:ascii="Times New Roman" w:hAnsi="Times New Roman" w:eastAsia="Times New Roman" w:cs="Times New Roman"/>
          <w:color w:val="auto"/>
          <w:spacing w:val="0"/>
          <w:sz w:val="32"/>
          <w:szCs w:val="32"/>
          <w:highlight w:val="none"/>
          <w:lang w:val="en-US" w:eastAsia="zh-CN"/>
        </w:rPr>
        <w:t>30</w:t>
      </w:r>
      <w:r>
        <w:rPr>
          <w:rFonts w:hint="eastAsia" w:eastAsia="仿宋_GB2312"/>
          <w:color w:val="auto"/>
          <w:spacing w:val="0"/>
          <w:sz w:val="32"/>
          <w:szCs w:val="32"/>
          <w:highlight w:val="none"/>
          <w:lang w:val="en-US" w:eastAsia="zh-CN"/>
        </w:rPr>
        <w:t>%。群众出行便利度持续改善，宜居城市、智慧城市建设基础更加坚实。</w:t>
      </w:r>
      <w:r>
        <w:rPr>
          <w:rFonts w:hint="eastAsia" w:ascii="黑体" w:hAnsi="黑体" w:eastAsia="黑体" w:cs="黑体"/>
          <w:b w:val="0"/>
          <w:bCs/>
          <w:color w:val="auto"/>
          <w:spacing w:val="-6"/>
          <w:sz w:val="32"/>
          <w:szCs w:val="32"/>
          <w:highlight w:val="none"/>
          <w:lang w:val="en-US" w:eastAsia="zh-CN"/>
        </w:rPr>
        <w:br w:type="page"/>
      </w:r>
    </w:p>
    <w:p w14:paraId="32EDC331">
      <w:pPr>
        <w:pStyle w:val="3"/>
        <w:keepNext/>
        <w:keepLines/>
        <w:pageBreakBefore w:val="0"/>
        <w:widowControl w:val="0"/>
        <w:numPr>
          <w:ilvl w:val="-1"/>
          <w:numId w:val="0"/>
        </w:numPr>
        <w:kinsoku/>
        <w:wordWrap/>
        <w:overflowPunct/>
        <w:topLinePunct w:val="0"/>
        <w:autoSpaceDE/>
        <w:autoSpaceDN/>
        <w:bidi w:val="0"/>
        <w:adjustRightInd/>
        <w:snapToGrid/>
        <w:spacing w:after="0" w:afterLines="0"/>
        <w:ind w:left="0" w:leftChars="0" w:firstLine="616" w:firstLineChars="200"/>
        <w:textAlignment w:val="baseline"/>
        <w:rPr>
          <w:rFonts w:hint="eastAsia" w:ascii="黑体" w:hAnsi="黑体" w:eastAsia="黑体" w:cs="黑体"/>
          <w:b w:val="0"/>
          <w:bCs/>
          <w:color w:val="auto"/>
          <w:spacing w:val="-6"/>
          <w:sz w:val="32"/>
          <w:szCs w:val="32"/>
          <w:highlight w:val="none"/>
          <w:lang w:val="en-US" w:eastAsia="zh-CN"/>
        </w:rPr>
      </w:pPr>
      <w:bookmarkStart w:id="10" w:name="_Toc10987"/>
      <w:r>
        <w:rPr>
          <w:rFonts w:hint="eastAsia" w:ascii="黑体" w:hAnsi="黑体" w:eastAsia="黑体" w:cs="黑体"/>
          <w:b w:val="0"/>
          <w:bCs/>
          <w:color w:val="auto"/>
          <w:spacing w:val="-6"/>
          <w:sz w:val="32"/>
          <w:szCs w:val="32"/>
          <w:highlight w:val="none"/>
          <w:lang w:val="en-US" w:eastAsia="zh-CN"/>
        </w:rPr>
        <w:t>二、形势研判</w:t>
      </w:r>
      <w:bookmarkEnd w:id="10"/>
    </w:p>
    <w:p w14:paraId="646C5007">
      <w:pPr>
        <w:keepNext w:val="0"/>
        <w:keepLines w:val="0"/>
        <w:pageBreakBefore w:val="0"/>
        <w:widowControl w:val="0"/>
        <w:kinsoku/>
        <w:wordWrap/>
        <w:overflowPunct/>
        <w:topLinePunct w:val="0"/>
        <w:autoSpaceDE/>
        <w:autoSpaceDN/>
        <w:bidi w:val="0"/>
        <w:adjustRightInd w:val="0"/>
        <w:snapToGrid w:val="0"/>
        <w:spacing w:after="0" w:afterLines="0" w:line="560" w:lineRule="exact"/>
        <w:ind w:firstLine="640" w:firstLineChars="200"/>
        <w:textAlignment w:val="auto"/>
        <w:rPr>
          <w:rFonts w:hint="eastAsia" w:ascii="仿宋" w:hAnsi="仿宋" w:eastAsia="仿宋_GB2312" w:cs="Times New Roman"/>
          <w:b w:val="0"/>
          <w:bCs w:val="0"/>
          <w:color w:val="auto"/>
          <w:spacing w:val="0"/>
          <w:sz w:val="32"/>
          <w:szCs w:val="32"/>
          <w:highlight w:val="none"/>
          <w:lang w:val="en-US" w:eastAsia="zh-CN"/>
        </w:rPr>
      </w:pPr>
      <w:bookmarkStart w:id="11" w:name="_Toc21049"/>
      <w:r>
        <w:rPr>
          <w:rFonts w:hint="eastAsia" w:eastAsia="仿宋_GB2312" w:cs="Times New Roman"/>
          <w:b w:val="0"/>
          <w:bCs w:val="0"/>
          <w:color w:val="auto"/>
          <w:spacing w:val="0"/>
          <w:sz w:val="32"/>
          <w:szCs w:val="32"/>
          <w:highlight w:val="none"/>
          <w:lang w:val="en-US" w:eastAsia="zh-CN"/>
        </w:rPr>
        <w:t>“十五五”时期</w:t>
      </w:r>
      <w:r>
        <w:rPr>
          <w:rFonts w:hint="eastAsia" w:ascii="仿宋" w:hAnsi="仿宋" w:eastAsia="仿宋_GB2312" w:cs="Times New Roman"/>
          <w:b w:val="0"/>
          <w:bCs w:val="0"/>
          <w:color w:val="auto"/>
          <w:spacing w:val="0"/>
          <w:sz w:val="32"/>
          <w:szCs w:val="32"/>
          <w:highlight w:val="none"/>
          <w:lang w:val="en-US" w:eastAsia="zh-CN"/>
        </w:rPr>
        <w:t>是丰台区落实首都城市战略定位、建设高品质城市环境的关键期，也是对标</w:t>
      </w:r>
      <w:r>
        <w:rPr>
          <w:rFonts w:hint="eastAsia" w:eastAsia="仿宋_GB2312" w:cs="Times New Roman"/>
          <w:b w:val="0"/>
          <w:bCs w:val="0"/>
          <w:color w:val="auto"/>
          <w:spacing w:val="0"/>
          <w:sz w:val="32"/>
          <w:szCs w:val="32"/>
          <w:highlight w:val="none"/>
          <w:lang w:val="en-US" w:eastAsia="zh-CN"/>
        </w:rPr>
        <w:t>“</w:t>
      </w:r>
      <w:r>
        <w:rPr>
          <w:rFonts w:hint="eastAsia" w:ascii="仿宋" w:hAnsi="仿宋" w:eastAsia="仿宋_GB2312" w:cs="Times New Roman"/>
          <w:b w:val="0"/>
          <w:bCs w:val="0"/>
          <w:color w:val="auto"/>
          <w:spacing w:val="0"/>
          <w:sz w:val="32"/>
          <w:szCs w:val="32"/>
          <w:highlight w:val="none"/>
          <w:lang w:val="en-US" w:eastAsia="zh-CN"/>
        </w:rPr>
        <w:t>三化五区</w:t>
      </w:r>
      <w:r>
        <w:rPr>
          <w:rFonts w:hint="eastAsia" w:eastAsia="仿宋_GB2312" w:cs="Times New Roman"/>
          <w:b w:val="0"/>
          <w:bCs w:val="0"/>
          <w:color w:val="auto"/>
          <w:spacing w:val="0"/>
          <w:sz w:val="32"/>
          <w:szCs w:val="32"/>
          <w:highlight w:val="none"/>
          <w:lang w:val="en-US" w:eastAsia="zh-CN"/>
        </w:rPr>
        <w:t>”</w:t>
      </w:r>
      <w:r>
        <w:rPr>
          <w:rFonts w:hint="eastAsia" w:ascii="仿宋" w:hAnsi="仿宋" w:eastAsia="仿宋_GB2312" w:cs="Times New Roman"/>
          <w:b w:val="0"/>
          <w:bCs w:val="0"/>
          <w:color w:val="auto"/>
          <w:spacing w:val="0"/>
          <w:sz w:val="32"/>
          <w:szCs w:val="32"/>
          <w:highlight w:val="none"/>
          <w:lang w:val="en-US" w:eastAsia="zh-CN"/>
        </w:rPr>
        <w:t>战略部署、以内涵式发展深化城市管理转型的攻坚期。中央城市工作会议明确，</w:t>
      </w:r>
      <w:r>
        <w:rPr>
          <w:rFonts w:hint="eastAsia" w:eastAsia="仿宋_GB2312"/>
          <w:color w:val="auto"/>
          <w:spacing w:val="0"/>
          <w:sz w:val="32"/>
          <w:szCs w:val="32"/>
          <w:highlight w:val="none"/>
          <w:lang w:eastAsia="zh-CN"/>
        </w:rPr>
        <w:t>我国城镇化正从快速增长期转向稳定发展期，城市发展正从大规模增量扩张阶段转向存量提质增效为主的阶段。</w:t>
      </w:r>
      <w:r>
        <w:rPr>
          <w:rFonts w:hint="eastAsia" w:ascii="仿宋" w:hAnsi="仿宋" w:eastAsia="仿宋_GB2312" w:cs="Times New Roman"/>
          <w:b w:val="0"/>
          <w:bCs w:val="0"/>
          <w:color w:val="auto"/>
          <w:spacing w:val="0"/>
          <w:sz w:val="32"/>
          <w:szCs w:val="32"/>
          <w:highlight w:val="none"/>
          <w:lang w:val="en-US" w:eastAsia="zh-CN"/>
        </w:rPr>
        <w:t>多重因素交织，共同决定这一时期城市管理的发展方位。</w:t>
      </w:r>
    </w:p>
    <w:p w14:paraId="30F4ED10">
      <w:pPr>
        <w:keepNext w:val="0"/>
        <w:keepLines w:val="0"/>
        <w:pageBreakBefore w:val="0"/>
        <w:widowControl w:val="0"/>
        <w:kinsoku/>
        <w:wordWrap/>
        <w:overflowPunct/>
        <w:topLinePunct w:val="0"/>
        <w:autoSpaceDE/>
        <w:autoSpaceDN/>
        <w:bidi w:val="0"/>
        <w:adjustRightInd w:val="0"/>
        <w:snapToGrid w:val="0"/>
        <w:spacing w:after="0" w:afterLines="0" w:line="560" w:lineRule="exact"/>
        <w:ind w:firstLine="640" w:firstLineChars="200"/>
        <w:textAlignment w:val="auto"/>
        <w:rPr>
          <w:rFonts w:hint="eastAsia" w:ascii="仿宋" w:hAnsi="仿宋" w:eastAsia="仿宋_GB2312" w:cs="Times New Roman"/>
          <w:b w:val="0"/>
          <w:bCs w:val="0"/>
          <w:color w:val="auto"/>
          <w:spacing w:val="0"/>
          <w:sz w:val="32"/>
          <w:szCs w:val="32"/>
          <w:highlight w:val="none"/>
          <w:lang w:val="en-US" w:eastAsia="zh-CN"/>
        </w:rPr>
      </w:pPr>
      <w:r>
        <w:rPr>
          <w:rFonts w:hint="eastAsia" w:ascii="Times New Roman" w:hAnsi="Times New Roman" w:eastAsia="Times New Roman" w:cs="Times New Roman"/>
          <w:b/>
          <w:bCs/>
          <w:color w:val="auto"/>
          <w:spacing w:val="0"/>
          <w:sz w:val="32"/>
          <w:szCs w:val="32"/>
          <w:highlight w:val="none"/>
          <w:lang w:val="en-US" w:eastAsia="zh-CN"/>
        </w:rPr>
        <w:t>1</w:t>
      </w:r>
      <w:r>
        <w:rPr>
          <w:rFonts w:hint="eastAsia" w:ascii="仿宋" w:hAnsi="仿宋" w:eastAsia="仿宋_GB2312" w:cs="Times New Roman"/>
          <w:b/>
          <w:bCs/>
          <w:color w:val="auto"/>
          <w:spacing w:val="0"/>
          <w:sz w:val="32"/>
          <w:szCs w:val="32"/>
          <w:highlight w:val="none"/>
          <w:lang w:val="en-US" w:eastAsia="zh-CN"/>
        </w:rPr>
        <w:t>.人民城市理念要求城市管理重心下移、强基固本。</w:t>
      </w:r>
      <w:r>
        <w:rPr>
          <w:rFonts w:hint="eastAsia" w:ascii="仿宋" w:hAnsi="仿宋" w:eastAsia="仿宋_GB2312" w:cs="Times New Roman"/>
          <w:b w:val="0"/>
          <w:bCs w:val="0"/>
          <w:color w:val="auto"/>
          <w:spacing w:val="0"/>
          <w:sz w:val="32"/>
          <w:szCs w:val="32"/>
          <w:highlight w:val="none"/>
          <w:lang w:val="en-US" w:eastAsia="zh-CN"/>
        </w:rPr>
        <w:t>从价值导向看，中央城市工作会议提出人民城市人民建、人民城市为人民，要求把人民群众对美好生活的向往作为城市工作出发</w:t>
      </w:r>
      <w:r>
        <w:rPr>
          <w:rFonts w:hint="eastAsia" w:eastAsia="仿宋_GB2312" w:cs="Times New Roman"/>
          <w:b w:val="0"/>
          <w:bCs w:val="0"/>
          <w:color w:val="auto"/>
          <w:spacing w:val="0"/>
          <w:sz w:val="32"/>
          <w:szCs w:val="32"/>
          <w:highlight w:val="none"/>
          <w:lang w:val="en-US" w:eastAsia="zh-CN"/>
        </w:rPr>
        <w:t>点和</w:t>
      </w:r>
      <w:r>
        <w:rPr>
          <w:rFonts w:hint="eastAsia" w:ascii="仿宋" w:hAnsi="仿宋" w:eastAsia="仿宋_GB2312" w:cs="Times New Roman"/>
          <w:b w:val="0"/>
          <w:bCs w:val="0"/>
          <w:color w:val="auto"/>
          <w:spacing w:val="0"/>
          <w:sz w:val="32"/>
          <w:szCs w:val="32"/>
          <w:highlight w:val="none"/>
          <w:lang w:val="en-US" w:eastAsia="zh-CN"/>
        </w:rPr>
        <w:t>落脚点，推动治理</w:t>
      </w:r>
      <w:r>
        <w:rPr>
          <w:rFonts w:hint="eastAsia" w:eastAsia="仿宋_GB2312"/>
          <w:color w:val="auto"/>
          <w:spacing w:val="0"/>
          <w:sz w:val="32"/>
          <w:szCs w:val="32"/>
          <w:highlight w:val="none"/>
          <w:lang w:eastAsia="zh-CN"/>
        </w:rPr>
        <w:t>资源</w:t>
      </w:r>
      <w:r>
        <w:rPr>
          <w:rFonts w:hint="eastAsia" w:ascii="仿宋" w:hAnsi="仿宋" w:eastAsia="仿宋_GB2312" w:cs="Times New Roman"/>
          <w:b w:val="0"/>
          <w:bCs w:val="0"/>
          <w:color w:val="auto"/>
          <w:spacing w:val="0"/>
          <w:sz w:val="32"/>
          <w:szCs w:val="32"/>
          <w:highlight w:val="none"/>
          <w:lang w:val="en-US" w:eastAsia="zh-CN"/>
        </w:rPr>
        <w:t>和服务力量下沉。丰台区老旧小区、背街小巷、城中村等场景复杂，粗放模式难以适配多元需求，必须夯实治理基础，以精细化管理提升获得感，为创新城市、文明城市建设提供根本遵循。</w:t>
      </w:r>
    </w:p>
    <w:p w14:paraId="30B55847">
      <w:pPr>
        <w:keepNext w:val="0"/>
        <w:keepLines w:val="0"/>
        <w:pageBreakBefore w:val="0"/>
        <w:widowControl w:val="0"/>
        <w:kinsoku/>
        <w:wordWrap/>
        <w:overflowPunct/>
        <w:topLinePunct w:val="0"/>
        <w:autoSpaceDE/>
        <w:autoSpaceDN/>
        <w:bidi w:val="0"/>
        <w:adjustRightInd w:val="0"/>
        <w:snapToGrid w:val="0"/>
        <w:spacing w:after="0" w:afterLines="0" w:line="560" w:lineRule="exact"/>
        <w:ind w:firstLine="640" w:firstLineChars="200"/>
        <w:textAlignment w:val="auto"/>
        <w:rPr>
          <w:rFonts w:hint="eastAsia" w:ascii="仿宋" w:hAnsi="仿宋" w:eastAsia="仿宋_GB2312" w:cs="Times New Roman"/>
          <w:b w:val="0"/>
          <w:bCs w:val="0"/>
          <w:color w:val="auto"/>
          <w:spacing w:val="0"/>
          <w:sz w:val="32"/>
          <w:szCs w:val="32"/>
          <w:highlight w:val="none"/>
          <w:lang w:val="en-US" w:eastAsia="zh-CN"/>
        </w:rPr>
      </w:pPr>
      <w:r>
        <w:rPr>
          <w:rFonts w:hint="eastAsia" w:ascii="Times New Roman" w:hAnsi="Times New Roman" w:eastAsia="Times New Roman" w:cs="Times New Roman"/>
          <w:b/>
          <w:bCs/>
          <w:color w:val="auto"/>
          <w:spacing w:val="0"/>
          <w:sz w:val="32"/>
          <w:szCs w:val="32"/>
          <w:highlight w:val="none"/>
          <w:lang w:val="en-US" w:eastAsia="zh-CN"/>
        </w:rPr>
        <w:t>2</w:t>
      </w:r>
      <w:r>
        <w:rPr>
          <w:rFonts w:hint="eastAsia" w:ascii="仿宋" w:hAnsi="仿宋" w:eastAsia="仿宋_GB2312" w:cs="Times New Roman"/>
          <w:b/>
          <w:bCs/>
          <w:color w:val="auto"/>
          <w:spacing w:val="0"/>
          <w:sz w:val="32"/>
          <w:szCs w:val="32"/>
          <w:highlight w:val="none"/>
          <w:lang w:val="en-US" w:eastAsia="zh-CN"/>
        </w:rPr>
        <w:t>.首都战略定位要求城市管理品质提升、治理增效。</w:t>
      </w:r>
      <w:r>
        <w:rPr>
          <w:rFonts w:hint="eastAsia" w:ascii="仿宋" w:hAnsi="仿宋" w:eastAsia="仿宋_GB2312" w:cs="Times New Roman"/>
          <w:b w:val="0"/>
          <w:bCs w:val="0"/>
          <w:color w:val="auto"/>
          <w:spacing w:val="0"/>
          <w:sz w:val="32"/>
          <w:szCs w:val="32"/>
          <w:highlight w:val="none"/>
          <w:lang w:val="en-US" w:eastAsia="zh-CN"/>
        </w:rPr>
        <w:t>从治理标准看，中央城市工作会议强调转变工作重心、更加注重治理投入，打破</w:t>
      </w:r>
      <w:r>
        <w:rPr>
          <w:rFonts w:hint="eastAsia" w:eastAsia="仿宋_GB2312" w:cs="Times New Roman"/>
          <w:b w:val="0"/>
          <w:bCs w:val="0"/>
          <w:color w:val="auto"/>
          <w:spacing w:val="0"/>
          <w:sz w:val="32"/>
          <w:szCs w:val="32"/>
          <w:highlight w:val="none"/>
          <w:lang w:val="en-US" w:eastAsia="zh-CN"/>
        </w:rPr>
        <w:t>“</w:t>
      </w:r>
      <w:r>
        <w:rPr>
          <w:rFonts w:hint="eastAsia" w:ascii="仿宋" w:hAnsi="仿宋" w:eastAsia="仿宋_GB2312" w:cs="Times New Roman"/>
          <w:b w:val="0"/>
          <w:bCs w:val="0"/>
          <w:color w:val="auto"/>
          <w:spacing w:val="0"/>
          <w:sz w:val="32"/>
          <w:szCs w:val="32"/>
          <w:highlight w:val="none"/>
          <w:lang w:val="en-US" w:eastAsia="zh-CN"/>
        </w:rPr>
        <w:t>重建设、轻治理</w:t>
      </w:r>
      <w:r>
        <w:rPr>
          <w:rFonts w:hint="eastAsia" w:eastAsia="仿宋_GB2312" w:cs="Times New Roman"/>
          <w:b w:val="0"/>
          <w:bCs w:val="0"/>
          <w:color w:val="auto"/>
          <w:spacing w:val="0"/>
          <w:sz w:val="32"/>
          <w:szCs w:val="32"/>
          <w:highlight w:val="none"/>
          <w:lang w:val="en-US" w:eastAsia="zh-CN"/>
        </w:rPr>
        <w:t>”</w:t>
      </w:r>
      <w:r>
        <w:rPr>
          <w:rFonts w:hint="eastAsia" w:ascii="仿宋" w:hAnsi="仿宋" w:eastAsia="仿宋_GB2312" w:cs="Times New Roman"/>
          <w:b w:val="0"/>
          <w:bCs w:val="0"/>
          <w:color w:val="auto"/>
          <w:spacing w:val="0"/>
          <w:sz w:val="32"/>
          <w:szCs w:val="32"/>
          <w:highlight w:val="none"/>
          <w:lang w:val="en-US" w:eastAsia="zh-CN"/>
        </w:rPr>
        <w:t>思维；《北京城市总体规划（</w:t>
      </w:r>
      <w:r>
        <w:rPr>
          <w:rFonts w:hint="eastAsia" w:ascii="Times New Roman" w:hAnsi="Times New Roman" w:eastAsia="Times New Roman" w:cs="Times New Roman"/>
          <w:b w:val="0"/>
          <w:bCs w:val="0"/>
          <w:color w:val="auto"/>
          <w:spacing w:val="0"/>
          <w:sz w:val="32"/>
          <w:szCs w:val="32"/>
          <w:highlight w:val="none"/>
          <w:lang w:val="en-US" w:eastAsia="zh-CN"/>
        </w:rPr>
        <w:t>2016</w:t>
      </w:r>
      <w:r>
        <w:rPr>
          <w:rFonts w:hint="eastAsia" w:ascii="仿宋" w:hAnsi="仿宋" w:eastAsia="仿宋_GB2312" w:cs="Times New Roman"/>
          <w:b w:val="0"/>
          <w:bCs w:val="0"/>
          <w:color w:val="auto"/>
          <w:spacing w:val="0"/>
          <w:sz w:val="32"/>
          <w:szCs w:val="32"/>
          <w:highlight w:val="none"/>
          <w:lang w:val="en-US" w:eastAsia="zh-CN"/>
        </w:rPr>
        <w:t>—</w:t>
      </w:r>
      <w:r>
        <w:rPr>
          <w:rFonts w:hint="eastAsia" w:ascii="Times New Roman" w:hAnsi="Times New Roman" w:eastAsia="Times New Roman" w:cs="Times New Roman"/>
          <w:b w:val="0"/>
          <w:bCs w:val="0"/>
          <w:color w:val="auto"/>
          <w:spacing w:val="0"/>
          <w:sz w:val="32"/>
          <w:szCs w:val="32"/>
          <w:highlight w:val="none"/>
          <w:lang w:val="en-US" w:eastAsia="zh-CN"/>
        </w:rPr>
        <w:t>2035</w:t>
      </w:r>
      <w:r>
        <w:rPr>
          <w:rFonts w:hint="eastAsia" w:ascii="仿宋" w:hAnsi="仿宋" w:eastAsia="仿宋_GB2312" w:cs="Times New Roman"/>
          <w:b w:val="0"/>
          <w:bCs w:val="0"/>
          <w:color w:val="auto"/>
          <w:spacing w:val="0"/>
          <w:sz w:val="32"/>
          <w:szCs w:val="32"/>
          <w:highlight w:val="none"/>
          <w:lang w:val="en-US" w:eastAsia="zh-CN"/>
        </w:rPr>
        <w:t>年）》</w:t>
      </w:r>
      <w:r>
        <w:rPr>
          <w:rFonts w:hint="eastAsia" w:eastAsia="仿宋_GB2312" w:cs="Times New Roman"/>
          <w:b w:val="0"/>
          <w:bCs w:val="0"/>
          <w:color w:val="auto"/>
          <w:spacing w:val="0"/>
          <w:sz w:val="32"/>
          <w:szCs w:val="32"/>
          <w:highlight w:val="none"/>
          <w:lang w:val="en-US" w:eastAsia="zh-CN"/>
        </w:rPr>
        <w:t>和</w:t>
      </w:r>
      <w:r>
        <w:rPr>
          <w:rFonts w:hint="eastAsia" w:ascii="仿宋" w:hAnsi="仿宋" w:eastAsia="仿宋_GB2312" w:cs="Times New Roman"/>
          <w:b w:val="0"/>
          <w:bCs w:val="0"/>
          <w:color w:val="auto"/>
          <w:spacing w:val="0"/>
          <w:sz w:val="32"/>
          <w:szCs w:val="32"/>
          <w:highlight w:val="none"/>
          <w:lang w:val="en-US" w:eastAsia="zh-CN"/>
        </w:rPr>
        <w:t>《北京市</w:t>
      </w:r>
      <w:r>
        <w:rPr>
          <w:rFonts w:hint="eastAsia" w:eastAsia="仿宋_GB2312" w:cs="Times New Roman"/>
          <w:b w:val="0"/>
          <w:bCs w:val="0"/>
          <w:color w:val="auto"/>
          <w:spacing w:val="0"/>
          <w:sz w:val="32"/>
          <w:szCs w:val="32"/>
          <w:highlight w:val="none"/>
          <w:lang w:val="en-US" w:eastAsia="zh-CN"/>
        </w:rPr>
        <w:t>“十五五”时期</w:t>
      </w:r>
      <w:r>
        <w:rPr>
          <w:rFonts w:hint="eastAsia" w:ascii="仿宋" w:hAnsi="仿宋" w:eastAsia="仿宋_GB2312" w:cs="Times New Roman"/>
          <w:b w:val="0"/>
          <w:bCs w:val="0"/>
          <w:color w:val="auto"/>
          <w:spacing w:val="0"/>
          <w:sz w:val="32"/>
          <w:szCs w:val="32"/>
          <w:highlight w:val="none"/>
          <w:lang w:val="en-US" w:eastAsia="zh-CN"/>
        </w:rPr>
        <w:t>城市管理发展规划》对城市环境品质和治理效能提出更高要求。丰台区作为中心城区，承担疏解提质、环境升级任务，必须推动城市管理向高品质升级转变，为美丽城市建设夯实基础。</w:t>
      </w:r>
    </w:p>
    <w:p w14:paraId="49A80F25">
      <w:pPr>
        <w:keepNext w:val="0"/>
        <w:keepLines w:val="0"/>
        <w:pageBreakBefore w:val="0"/>
        <w:widowControl w:val="0"/>
        <w:kinsoku/>
        <w:wordWrap/>
        <w:overflowPunct/>
        <w:topLinePunct w:val="0"/>
        <w:autoSpaceDE/>
        <w:autoSpaceDN/>
        <w:bidi w:val="0"/>
        <w:adjustRightInd w:val="0"/>
        <w:snapToGrid w:val="0"/>
        <w:spacing w:after="0" w:afterLines="0" w:line="560" w:lineRule="exact"/>
        <w:ind w:firstLine="640" w:firstLineChars="200"/>
        <w:textAlignment w:val="auto"/>
        <w:rPr>
          <w:rFonts w:hint="eastAsia" w:ascii="仿宋" w:hAnsi="仿宋" w:eastAsia="仿宋_GB2312" w:cs="Times New Roman"/>
          <w:b w:val="0"/>
          <w:bCs w:val="0"/>
          <w:color w:val="auto"/>
          <w:spacing w:val="0"/>
          <w:sz w:val="32"/>
          <w:szCs w:val="32"/>
          <w:highlight w:val="none"/>
          <w:lang w:val="en-US" w:eastAsia="zh-CN"/>
        </w:rPr>
      </w:pPr>
      <w:r>
        <w:rPr>
          <w:rFonts w:hint="eastAsia" w:ascii="Times New Roman" w:hAnsi="Times New Roman" w:eastAsia="Times New Roman" w:cs="Times New Roman"/>
          <w:b/>
          <w:bCs/>
          <w:color w:val="auto"/>
          <w:spacing w:val="0"/>
          <w:sz w:val="32"/>
          <w:szCs w:val="32"/>
          <w:highlight w:val="none"/>
          <w:lang w:val="en-US" w:eastAsia="zh-CN"/>
        </w:rPr>
        <w:t>3</w:t>
      </w:r>
      <w:r>
        <w:rPr>
          <w:rFonts w:hint="eastAsia" w:ascii="仿宋" w:hAnsi="仿宋" w:eastAsia="仿宋_GB2312" w:cs="Times New Roman"/>
          <w:b/>
          <w:bCs/>
          <w:color w:val="auto"/>
          <w:spacing w:val="0"/>
          <w:sz w:val="32"/>
          <w:szCs w:val="32"/>
          <w:highlight w:val="none"/>
          <w:lang w:val="en-US" w:eastAsia="zh-CN"/>
        </w:rPr>
        <w:t>.数智技术变革要求城市管理手段革新、数据驱动。</w:t>
      </w:r>
      <w:r>
        <w:rPr>
          <w:rFonts w:hint="eastAsia" w:ascii="仿宋" w:hAnsi="仿宋" w:eastAsia="仿宋_GB2312" w:cs="Times New Roman"/>
          <w:b w:val="0"/>
          <w:bCs w:val="0"/>
          <w:color w:val="auto"/>
          <w:spacing w:val="0"/>
          <w:sz w:val="32"/>
          <w:szCs w:val="32"/>
          <w:highlight w:val="none"/>
          <w:lang w:val="en-US" w:eastAsia="zh-CN"/>
        </w:rPr>
        <w:t>从技术条件看，人工智能、大数据、物联网等加速向城市治理渗透，中央城市工作会议明确</w:t>
      </w:r>
      <w:r>
        <w:rPr>
          <w:rFonts w:hint="eastAsia" w:eastAsia="仿宋_GB2312" w:cs="Times New Roman"/>
          <w:b w:val="0"/>
          <w:bCs w:val="0"/>
          <w:color w:val="auto"/>
          <w:spacing w:val="0"/>
          <w:sz w:val="32"/>
          <w:szCs w:val="32"/>
          <w:highlight w:val="none"/>
          <w:lang w:val="en-US" w:eastAsia="zh-CN"/>
        </w:rPr>
        <w:t>“</w:t>
      </w:r>
      <w:r>
        <w:rPr>
          <w:rFonts w:hint="eastAsia" w:ascii="仿宋" w:hAnsi="仿宋" w:eastAsia="仿宋_GB2312" w:cs="Times New Roman"/>
          <w:b w:val="0"/>
          <w:bCs w:val="0"/>
          <w:color w:val="auto"/>
          <w:spacing w:val="0"/>
          <w:sz w:val="32"/>
          <w:szCs w:val="32"/>
          <w:highlight w:val="none"/>
          <w:lang w:val="en-US" w:eastAsia="zh-CN"/>
        </w:rPr>
        <w:t>着力建设便捷高效的智慧城市</w:t>
      </w:r>
      <w:r>
        <w:rPr>
          <w:rFonts w:hint="eastAsia" w:eastAsia="仿宋_GB2312" w:cs="Times New Roman"/>
          <w:b w:val="0"/>
          <w:bCs w:val="0"/>
          <w:color w:val="auto"/>
          <w:spacing w:val="0"/>
          <w:sz w:val="32"/>
          <w:szCs w:val="32"/>
          <w:highlight w:val="none"/>
          <w:lang w:val="en-US" w:eastAsia="zh-CN"/>
        </w:rPr>
        <w:t>”</w:t>
      </w:r>
      <w:r>
        <w:rPr>
          <w:rFonts w:hint="eastAsia" w:ascii="仿宋" w:hAnsi="仿宋" w:eastAsia="仿宋_GB2312" w:cs="Times New Roman"/>
          <w:b w:val="0"/>
          <w:bCs w:val="0"/>
          <w:color w:val="auto"/>
          <w:spacing w:val="0"/>
          <w:sz w:val="32"/>
          <w:szCs w:val="32"/>
          <w:highlight w:val="none"/>
          <w:lang w:val="en-US" w:eastAsia="zh-CN"/>
        </w:rPr>
        <w:t>，要求顺应数智化趋势，创新治理理念、模式、手段。丰台区智慧场景布局尚不充分，需依托</w:t>
      </w:r>
      <w:r>
        <w:rPr>
          <w:rFonts w:hint="eastAsia" w:eastAsia="仿宋_GB2312" w:cs="Times New Roman"/>
          <w:b w:val="0"/>
          <w:bCs w:val="0"/>
          <w:color w:val="auto"/>
          <w:spacing w:val="0"/>
          <w:sz w:val="32"/>
          <w:szCs w:val="32"/>
          <w:highlight w:val="none"/>
          <w:lang w:val="en-US" w:eastAsia="zh-CN"/>
        </w:rPr>
        <w:t>“</w:t>
      </w:r>
      <w:r>
        <w:rPr>
          <w:rFonts w:hint="eastAsia" w:ascii="仿宋" w:hAnsi="仿宋" w:eastAsia="仿宋_GB2312" w:cs="Times New Roman"/>
          <w:b w:val="0"/>
          <w:bCs w:val="0"/>
          <w:color w:val="auto"/>
          <w:spacing w:val="0"/>
          <w:sz w:val="32"/>
          <w:szCs w:val="32"/>
          <w:highlight w:val="none"/>
          <w:lang w:val="en-US" w:eastAsia="zh-CN"/>
        </w:rPr>
        <w:t>丰智汇</w:t>
      </w:r>
      <w:r>
        <w:rPr>
          <w:rFonts w:hint="eastAsia" w:eastAsia="仿宋_GB2312" w:cs="Times New Roman"/>
          <w:b w:val="0"/>
          <w:bCs w:val="0"/>
          <w:color w:val="auto"/>
          <w:spacing w:val="0"/>
          <w:sz w:val="32"/>
          <w:szCs w:val="32"/>
          <w:highlight w:val="none"/>
          <w:lang w:val="en-US" w:eastAsia="zh-CN"/>
        </w:rPr>
        <w:t>”</w:t>
      </w:r>
      <w:r>
        <w:rPr>
          <w:rFonts w:hint="eastAsia" w:ascii="仿宋" w:hAnsi="仿宋" w:eastAsia="仿宋_GB2312" w:cs="Times New Roman"/>
          <w:b w:val="0"/>
          <w:bCs w:val="0"/>
          <w:color w:val="auto"/>
          <w:spacing w:val="0"/>
          <w:sz w:val="32"/>
          <w:szCs w:val="32"/>
          <w:highlight w:val="none"/>
          <w:lang w:val="en-US" w:eastAsia="zh-CN"/>
        </w:rPr>
        <w:t>智慧城市操作系统加快数字赋能，推动管理从经验判断向智慧决策转变，为智慧城市建设提供技术支撑。</w:t>
      </w:r>
    </w:p>
    <w:p w14:paraId="327CE3B0">
      <w:pPr>
        <w:keepNext w:val="0"/>
        <w:keepLines w:val="0"/>
        <w:pageBreakBefore w:val="0"/>
        <w:widowControl w:val="0"/>
        <w:kinsoku/>
        <w:wordWrap/>
        <w:overflowPunct/>
        <w:topLinePunct w:val="0"/>
        <w:autoSpaceDE/>
        <w:autoSpaceDN/>
        <w:bidi w:val="0"/>
        <w:adjustRightInd w:val="0"/>
        <w:snapToGrid w:val="0"/>
        <w:spacing w:after="0" w:afterLines="0" w:line="560" w:lineRule="exact"/>
        <w:ind w:firstLine="640" w:firstLineChars="200"/>
        <w:textAlignment w:val="auto"/>
        <w:rPr>
          <w:rFonts w:hint="eastAsia" w:ascii="仿宋" w:hAnsi="仿宋" w:eastAsia="仿宋_GB2312" w:cs="Times New Roman"/>
          <w:b w:val="0"/>
          <w:bCs w:val="0"/>
          <w:color w:val="auto"/>
          <w:spacing w:val="0"/>
          <w:sz w:val="32"/>
          <w:szCs w:val="32"/>
          <w:highlight w:val="none"/>
          <w:lang w:val="en-US" w:eastAsia="zh-CN"/>
        </w:rPr>
      </w:pPr>
      <w:r>
        <w:rPr>
          <w:rFonts w:hint="eastAsia" w:ascii="Times New Roman" w:hAnsi="Times New Roman" w:eastAsia="Times New Roman" w:cs="Times New Roman"/>
          <w:b/>
          <w:bCs/>
          <w:color w:val="auto"/>
          <w:spacing w:val="0"/>
          <w:sz w:val="32"/>
          <w:szCs w:val="32"/>
          <w:highlight w:val="none"/>
          <w:lang w:val="en-US" w:eastAsia="zh-CN"/>
        </w:rPr>
        <w:t>4</w:t>
      </w:r>
      <w:r>
        <w:rPr>
          <w:rFonts w:hint="eastAsia" w:ascii="仿宋" w:hAnsi="仿宋" w:eastAsia="仿宋_GB2312" w:cs="Times New Roman"/>
          <w:b/>
          <w:bCs/>
          <w:color w:val="auto"/>
          <w:spacing w:val="0"/>
          <w:sz w:val="32"/>
          <w:szCs w:val="32"/>
          <w:highlight w:val="none"/>
          <w:lang w:val="en-US" w:eastAsia="zh-CN"/>
        </w:rPr>
        <w:t>.超大城市运行风险要求城市管理系统防控、韧性增强。</w:t>
      </w:r>
      <w:r>
        <w:rPr>
          <w:rFonts w:hint="eastAsia" w:ascii="仿宋" w:hAnsi="仿宋" w:eastAsia="仿宋_GB2312" w:cs="Times New Roman"/>
          <w:b w:val="0"/>
          <w:bCs w:val="0"/>
          <w:color w:val="auto"/>
          <w:spacing w:val="0"/>
          <w:sz w:val="32"/>
          <w:szCs w:val="32"/>
          <w:highlight w:val="none"/>
          <w:lang w:val="en-US" w:eastAsia="zh-CN"/>
        </w:rPr>
        <w:t>从安全风险看，城市人口、资源与经济社会活动高度密集，基础设施老化风险增多。中央城市工作会议要求提高城市管理</w:t>
      </w:r>
      <w:r>
        <w:rPr>
          <w:rFonts w:hint="eastAsia" w:eastAsia="仿宋_GB2312" w:cs="Times New Roman"/>
          <w:b w:val="0"/>
          <w:bCs w:val="0"/>
          <w:color w:val="auto"/>
          <w:spacing w:val="0"/>
          <w:sz w:val="32"/>
          <w:szCs w:val="32"/>
          <w:highlight w:val="none"/>
          <w:lang w:val="en-US" w:eastAsia="zh-CN"/>
        </w:rPr>
        <w:t>“</w:t>
      </w:r>
      <w:r>
        <w:rPr>
          <w:rFonts w:hint="eastAsia" w:ascii="仿宋" w:hAnsi="仿宋" w:eastAsia="仿宋_GB2312" w:cs="Times New Roman"/>
          <w:b w:val="0"/>
          <w:bCs w:val="0"/>
          <w:color w:val="auto"/>
          <w:spacing w:val="0"/>
          <w:sz w:val="32"/>
          <w:szCs w:val="32"/>
          <w:highlight w:val="none"/>
          <w:lang w:val="en-US" w:eastAsia="zh-CN"/>
        </w:rPr>
        <w:t>软件</w:t>
      </w:r>
      <w:r>
        <w:rPr>
          <w:rFonts w:hint="eastAsia" w:eastAsia="仿宋_GB2312" w:cs="Times New Roman"/>
          <w:b w:val="0"/>
          <w:bCs w:val="0"/>
          <w:color w:val="auto"/>
          <w:spacing w:val="0"/>
          <w:sz w:val="32"/>
          <w:szCs w:val="32"/>
          <w:highlight w:val="none"/>
          <w:lang w:val="en-US" w:eastAsia="zh-CN"/>
        </w:rPr>
        <w:t>”</w:t>
      </w:r>
      <w:r>
        <w:rPr>
          <w:rFonts w:hint="eastAsia" w:ascii="仿宋" w:hAnsi="仿宋" w:eastAsia="仿宋_GB2312" w:cs="Times New Roman"/>
          <w:b w:val="0"/>
          <w:bCs w:val="0"/>
          <w:color w:val="auto"/>
          <w:spacing w:val="0"/>
          <w:sz w:val="32"/>
          <w:szCs w:val="32"/>
          <w:highlight w:val="none"/>
          <w:lang w:val="en-US" w:eastAsia="zh-CN"/>
        </w:rPr>
        <w:t>韧性，把风险防控嵌入城市管理系统。丰台区立足</w:t>
      </w:r>
      <w:r>
        <w:rPr>
          <w:rFonts w:hint="eastAsia" w:eastAsia="仿宋_GB2312" w:cs="Times New Roman"/>
          <w:b w:val="0"/>
          <w:bCs w:val="0"/>
          <w:color w:val="auto"/>
          <w:spacing w:val="0"/>
          <w:sz w:val="32"/>
          <w:szCs w:val="32"/>
          <w:highlight w:val="none"/>
          <w:lang w:val="en-US" w:eastAsia="zh-CN"/>
        </w:rPr>
        <w:t>“</w:t>
      </w:r>
      <w:r>
        <w:rPr>
          <w:rFonts w:hint="eastAsia" w:ascii="仿宋" w:hAnsi="仿宋" w:eastAsia="仿宋_GB2312" w:cs="Times New Roman"/>
          <w:b w:val="0"/>
          <w:bCs w:val="0"/>
          <w:color w:val="auto"/>
          <w:spacing w:val="0"/>
          <w:sz w:val="32"/>
          <w:szCs w:val="32"/>
          <w:highlight w:val="none"/>
          <w:lang w:val="en-US" w:eastAsia="zh-CN"/>
        </w:rPr>
        <w:t>四区一枢纽</w:t>
      </w:r>
      <w:r>
        <w:rPr>
          <w:rFonts w:hint="eastAsia" w:eastAsia="仿宋_GB2312" w:cs="Times New Roman"/>
          <w:b w:val="0"/>
          <w:bCs w:val="0"/>
          <w:color w:val="auto"/>
          <w:spacing w:val="0"/>
          <w:sz w:val="32"/>
          <w:szCs w:val="32"/>
          <w:highlight w:val="none"/>
          <w:lang w:val="en-US" w:eastAsia="zh-CN"/>
        </w:rPr>
        <w:t>”</w:t>
      </w:r>
      <w:r>
        <w:rPr>
          <w:rFonts w:hint="eastAsia" w:ascii="仿宋" w:hAnsi="仿宋" w:eastAsia="仿宋_GB2312" w:cs="Times New Roman"/>
          <w:b w:val="0"/>
          <w:bCs w:val="0"/>
          <w:color w:val="auto"/>
          <w:spacing w:val="0"/>
          <w:sz w:val="32"/>
          <w:szCs w:val="32"/>
          <w:highlight w:val="none"/>
          <w:lang w:val="en-US" w:eastAsia="zh-CN"/>
        </w:rPr>
        <w:t>定位，安全韧性有待</w:t>
      </w:r>
      <w:r>
        <w:rPr>
          <w:rFonts w:hint="eastAsia" w:eastAsia="仿宋_GB2312"/>
          <w:color w:val="auto"/>
          <w:spacing w:val="0"/>
          <w:sz w:val="32"/>
          <w:szCs w:val="32"/>
          <w:highlight w:val="none"/>
          <w:lang w:eastAsia="zh-CN"/>
        </w:rPr>
        <w:t>系统</w:t>
      </w:r>
      <w:r>
        <w:rPr>
          <w:rFonts w:hint="eastAsia" w:ascii="仿宋" w:hAnsi="仿宋" w:eastAsia="仿宋_GB2312" w:cs="Times New Roman"/>
          <w:b w:val="0"/>
          <w:bCs w:val="0"/>
          <w:color w:val="auto"/>
          <w:spacing w:val="0"/>
          <w:sz w:val="32"/>
          <w:szCs w:val="32"/>
          <w:highlight w:val="none"/>
          <w:lang w:val="en-US" w:eastAsia="zh-CN"/>
        </w:rPr>
        <w:t>提升。需构建</w:t>
      </w:r>
      <w:r>
        <w:rPr>
          <w:rFonts w:hint="eastAsia" w:eastAsia="仿宋_GB2312" w:cs="Times New Roman"/>
          <w:b w:val="0"/>
          <w:bCs w:val="0"/>
          <w:color w:val="auto"/>
          <w:spacing w:val="0"/>
          <w:sz w:val="32"/>
          <w:szCs w:val="32"/>
          <w:highlight w:val="none"/>
          <w:lang w:val="en-US" w:eastAsia="zh-CN"/>
        </w:rPr>
        <w:t>“</w:t>
      </w:r>
      <w:r>
        <w:rPr>
          <w:rFonts w:hint="eastAsia" w:ascii="仿宋" w:hAnsi="仿宋" w:eastAsia="仿宋_GB2312" w:cs="Times New Roman"/>
          <w:b w:val="0"/>
          <w:bCs w:val="0"/>
          <w:color w:val="auto"/>
          <w:spacing w:val="0"/>
          <w:sz w:val="32"/>
          <w:szCs w:val="32"/>
          <w:highlight w:val="none"/>
          <w:lang w:val="en-US" w:eastAsia="zh-CN"/>
        </w:rPr>
        <w:t>全周期、多维度</w:t>
      </w:r>
      <w:r>
        <w:rPr>
          <w:rFonts w:hint="eastAsia" w:eastAsia="仿宋_GB2312" w:cs="Times New Roman"/>
          <w:b w:val="0"/>
          <w:bCs w:val="0"/>
          <w:color w:val="auto"/>
          <w:spacing w:val="0"/>
          <w:sz w:val="32"/>
          <w:szCs w:val="32"/>
          <w:highlight w:val="none"/>
          <w:lang w:val="en-US" w:eastAsia="zh-CN"/>
        </w:rPr>
        <w:t>”</w:t>
      </w:r>
      <w:r>
        <w:rPr>
          <w:rFonts w:hint="eastAsia" w:ascii="仿宋" w:hAnsi="仿宋" w:eastAsia="仿宋_GB2312" w:cs="Times New Roman"/>
          <w:b w:val="0"/>
          <w:bCs w:val="0"/>
          <w:color w:val="auto"/>
          <w:spacing w:val="0"/>
          <w:sz w:val="32"/>
          <w:szCs w:val="32"/>
          <w:highlight w:val="none"/>
          <w:lang w:val="en-US" w:eastAsia="zh-CN"/>
        </w:rPr>
        <w:t>韧性治理体系，推进地下管线、能源设施更新改造，为韧性城市建设筑牢安全屏障。</w:t>
      </w:r>
    </w:p>
    <w:p w14:paraId="7E1E8935">
      <w:pPr>
        <w:keepNext w:val="0"/>
        <w:keepLines w:val="0"/>
        <w:pageBreakBefore w:val="0"/>
        <w:widowControl w:val="0"/>
        <w:kinsoku/>
        <w:wordWrap/>
        <w:overflowPunct/>
        <w:topLinePunct w:val="0"/>
        <w:autoSpaceDE/>
        <w:autoSpaceDN/>
        <w:bidi w:val="0"/>
        <w:adjustRightInd w:val="0"/>
        <w:snapToGrid w:val="0"/>
        <w:spacing w:after="0" w:afterLines="0" w:line="560" w:lineRule="exact"/>
        <w:ind w:firstLine="640" w:firstLineChars="200"/>
        <w:textAlignment w:val="auto"/>
        <w:rPr>
          <w:rFonts w:hint="eastAsia" w:ascii="黑体" w:hAnsi="黑体" w:eastAsia="黑体" w:cs="黑体"/>
          <w:b w:val="0"/>
          <w:bCs/>
          <w:color w:val="auto"/>
          <w:spacing w:val="-6"/>
          <w:sz w:val="32"/>
          <w:szCs w:val="32"/>
          <w:highlight w:val="none"/>
          <w:lang w:val="en-US" w:eastAsia="zh-CN"/>
        </w:rPr>
      </w:pPr>
      <w:r>
        <w:rPr>
          <w:rFonts w:hint="eastAsia" w:ascii="Times New Roman" w:hAnsi="Times New Roman" w:eastAsia="Times New Roman" w:cs="Times New Roman"/>
          <w:b/>
          <w:bCs/>
          <w:color w:val="auto"/>
          <w:spacing w:val="0"/>
          <w:sz w:val="32"/>
          <w:szCs w:val="32"/>
          <w:highlight w:val="none"/>
          <w:lang w:val="en-US" w:eastAsia="zh-CN"/>
        </w:rPr>
        <w:t>5</w:t>
      </w:r>
      <w:r>
        <w:rPr>
          <w:rFonts w:hint="eastAsia" w:ascii="仿宋" w:hAnsi="仿宋" w:eastAsia="仿宋_GB2312" w:cs="Times New Roman"/>
          <w:b/>
          <w:bCs/>
          <w:color w:val="auto"/>
          <w:spacing w:val="0"/>
          <w:sz w:val="32"/>
          <w:szCs w:val="32"/>
          <w:highlight w:val="none"/>
          <w:lang w:val="en-US" w:eastAsia="zh-CN"/>
        </w:rPr>
        <w:t>.京津冀协同发展和民生期待要求城市管理结构优化、便民惠民。</w:t>
      </w:r>
      <w:r>
        <w:rPr>
          <w:rFonts w:hint="eastAsia" w:ascii="仿宋" w:hAnsi="仿宋" w:eastAsia="仿宋_GB2312" w:cs="Times New Roman"/>
          <w:b w:val="0"/>
          <w:bCs w:val="0"/>
          <w:color w:val="auto"/>
          <w:spacing w:val="0"/>
          <w:sz w:val="32"/>
          <w:szCs w:val="32"/>
          <w:highlight w:val="none"/>
          <w:lang w:val="en-US" w:eastAsia="zh-CN"/>
        </w:rPr>
        <w:t>从区域格局和群众需求看，京津冀协同发展纵深推进，群众对城市环境</w:t>
      </w:r>
      <w:r>
        <w:rPr>
          <w:rFonts w:hint="eastAsia" w:eastAsia="仿宋_GB2312" w:cs="Times New Roman"/>
          <w:b w:val="0"/>
          <w:bCs w:val="0"/>
          <w:color w:val="auto"/>
          <w:spacing w:val="0"/>
          <w:sz w:val="32"/>
          <w:szCs w:val="32"/>
          <w:highlight w:val="none"/>
          <w:lang w:val="en-US" w:eastAsia="zh-CN"/>
        </w:rPr>
        <w:t>与</w:t>
      </w:r>
      <w:r>
        <w:rPr>
          <w:rFonts w:hint="eastAsia" w:ascii="仿宋" w:hAnsi="仿宋" w:eastAsia="仿宋_GB2312" w:cs="Times New Roman"/>
          <w:b w:val="0"/>
          <w:bCs w:val="0"/>
          <w:color w:val="auto"/>
          <w:spacing w:val="0"/>
          <w:sz w:val="32"/>
          <w:szCs w:val="32"/>
          <w:highlight w:val="none"/>
          <w:lang w:val="en-US" w:eastAsia="zh-CN"/>
        </w:rPr>
        <w:t>服务要求持续提高。丰台区需依托</w:t>
      </w:r>
      <w:r>
        <w:rPr>
          <w:rFonts w:hint="eastAsia" w:eastAsia="仿宋_GB2312" w:cs="Times New Roman"/>
          <w:b w:val="0"/>
          <w:bCs w:val="0"/>
          <w:color w:val="auto"/>
          <w:spacing w:val="0"/>
          <w:sz w:val="32"/>
          <w:szCs w:val="32"/>
          <w:highlight w:val="none"/>
          <w:lang w:val="en-US" w:eastAsia="zh-CN"/>
        </w:rPr>
        <w:t>“</w:t>
      </w:r>
      <w:r>
        <w:rPr>
          <w:rFonts w:hint="eastAsia" w:ascii="仿宋" w:hAnsi="仿宋" w:eastAsia="仿宋_GB2312" w:cs="Times New Roman"/>
          <w:b w:val="0"/>
          <w:bCs w:val="0"/>
          <w:color w:val="auto"/>
          <w:spacing w:val="0"/>
          <w:sz w:val="32"/>
          <w:szCs w:val="32"/>
          <w:highlight w:val="none"/>
          <w:lang w:val="en-US" w:eastAsia="zh-CN"/>
        </w:rPr>
        <w:t>三站两楼</w:t>
      </w:r>
      <w:r>
        <w:rPr>
          <w:rFonts w:hint="eastAsia" w:eastAsia="仿宋_GB2312" w:cs="Times New Roman"/>
          <w:b w:val="0"/>
          <w:bCs w:val="0"/>
          <w:color w:val="auto"/>
          <w:spacing w:val="0"/>
          <w:sz w:val="32"/>
          <w:szCs w:val="32"/>
          <w:highlight w:val="none"/>
          <w:lang w:val="en-US" w:eastAsia="zh-CN"/>
        </w:rPr>
        <w:t>”</w:t>
      </w:r>
      <w:r>
        <w:rPr>
          <w:rFonts w:hint="eastAsia" w:ascii="仿宋" w:hAnsi="仿宋" w:eastAsia="仿宋_GB2312" w:cs="Times New Roman"/>
          <w:b w:val="0"/>
          <w:bCs w:val="0"/>
          <w:color w:val="auto"/>
          <w:spacing w:val="0"/>
          <w:sz w:val="32"/>
          <w:szCs w:val="32"/>
          <w:highlight w:val="none"/>
          <w:lang w:val="en-US" w:eastAsia="zh-CN"/>
        </w:rPr>
        <w:t>枢纽优势，服务京津冀交通一体化，优化城市空间结构，助力</w:t>
      </w:r>
      <w:r>
        <w:rPr>
          <w:rFonts w:hint="eastAsia" w:eastAsia="仿宋_GB2312" w:cs="Times New Roman"/>
          <w:b w:val="0"/>
          <w:bCs w:val="0"/>
          <w:color w:val="auto"/>
          <w:spacing w:val="0"/>
          <w:sz w:val="32"/>
          <w:szCs w:val="32"/>
          <w:highlight w:val="none"/>
          <w:lang w:val="en-US" w:eastAsia="zh-CN"/>
        </w:rPr>
        <w:t>“</w:t>
      </w:r>
      <w:r>
        <w:rPr>
          <w:rFonts w:hint="eastAsia" w:ascii="仿宋" w:hAnsi="仿宋" w:eastAsia="仿宋_GB2312" w:cs="Times New Roman"/>
          <w:b w:val="0"/>
          <w:bCs w:val="0"/>
          <w:color w:val="auto"/>
          <w:spacing w:val="0"/>
          <w:sz w:val="32"/>
          <w:szCs w:val="32"/>
          <w:highlight w:val="none"/>
          <w:lang w:val="en-US" w:eastAsia="zh-CN"/>
        </w:rPr>
        <w:t>首都前院、城市门户、文化客厅、生态屏障、幸福家园</w:t>
      </w:r>
      <w:r>
        <w:rPr>
          <w:rFonts w:hint="eastAsia" w:eastAsia="仿宋_GB2312" w:cs="Times New Roman"/>
          <w:b w:val="0"/>
          <w:bCs w:val="0"/>
          <w:color w:val="auto"/>
          <w:spacing w:val="0"/>
          <w:sz w:val="32"/>
          <w:szCs w:val="32"/>
          <w:highlight w:val="none"/>
          <w:lang w:val="en-US" w:eastAsia="zh-CN"/>
        </w:rPr>
        <w:t>”</w:t>
      </w:r>
      <w:r>
        <w:rPr>
          <w:rFonts w:hint="eastAsia" w:ascii="仿宋" w:hAnsi="仿宋" w:eastAsia="仿宋_GB2312" w:cs="Times New Roman"/>
          <w:b w:val="0"/>
          <w:bCs w:val="0"/>
          <w:color w:val="auto"/>
          <w:spacing w:val="0"/>
          <w:sz w:val="32"/>
          <w:szCs w:val="32"/>
          <w:highlight w:val="none"/>
          <w:lang w:val="en-US" w:eastAsia="zh-CN"/>
        </w:rPr>
        <w:t>愿景加快实现；促进城市管理成果更多转化为群众获得感、幸福感、安全感，为宜居城市建设奠定基础。</w:t>
      </w:r>
      <w:bookmarkEnd w:id="11"/>
    </w:p>
    <w:p w14:paraId="38EB315F">
      <w:pPr>
        <w:pStyle w:val="3"/>
        <w:keepNext/>
        <w:keepLines/>
        <w:pageBreakBefore w:val="0"/>
        <w:widowControl w:val="0"/>
        <w:numPr>
          <w:ilvl w:val="-1"/>
          <w:numId w:val="0"/>
        </w:numPr>
        <w:kinsoku/>
        <w:wordWrap/>
        <w:overflowPunct/>
        <w:topLinePunct w:val="0"/>
        <w:autoSpaceDE/>
        <w:autoSpaceDN/>
        <w:bidi w:val="0"/>
        <w:adjustRightInd/>
        <w:snapToGrid/>
        <w:spacing w:after="0" w:afterLines="0"/>
        <w:ind w:left="0" w:leftChars="0" w:firstLine="616" w:firstLineChars="200"/>
        <w:textAlignment w:val="baseline"/>
        <w:rPr>
          <w:rFonts w:hint="eastAsia" w:ascii="黑体" w:hAnsi="黑体" w:eastAsia="黑体" w:cs="黑体"/>
          <w:b w:val="0"/>
          <w:bCs/>
          <w:color w:val="auto"/>
          <w:spacing w:val="-6"/>
          <w:sz w:val="32"/>
          <w:szCs w:val="32"/>
          <w:highlight w:val="none"/>
          <w:lang w:val="en-US" w:eastAsia="zh-CN"/>
        </w:rPr>
      </w:pPr>
      <w:bookmarkStart w:id="12" w:name="_Toc9623"/>
      <w:r>
        <w:rPr>
          <w:rFonts w:hint="eastAsia" w:ascii="黑体" w:hAnsi="黑体" w:eastAsia="黑体" w:cs="黑体"/>
          <w:b w:val="0"/>
          <w:bCs/>
          <w:color w:val="auto"/>
          <w:spacing w:val="-6"/>
          <w:sz w:val="32"/>
          <w:szCs w:val="32"/>
          <w:highlight w:val="none"/>
          <w:lang w:val="en-US" w:eastAsia="zh-CN"/>
        </w:rPr>
        <w:t>三、存在问题</w:t>
      </w:r>
      <w:bookmarkEnd w:id="12"/>
    </w:p>
    <w:p w14:paraId="7C856096">
      <w:pPr>
        <w:keepNext w:val="0"/>
        <w:keepLines w:val="0"/>
        <w:pageBreakBefore w:val="0"/>
        <w:widowControl w:val="0"/>
        <w:kinsoku/>
        <w:wordWrap/>
        <w:overflowPunct/>
        <w:topLinePunct w:val="0"/>
        <w:autoSpaceDE/>
        <w:autoSpaceDN/>
        <w:bidi w:val="0"/>
        <w:adjustRightInd w:val="0"/>
        <w:snapToGrid w:val="0"/>
        <w:spacing w:after="0" w:line="560" w:lineRule="exact"/>
        <w:ind w:firstLine="616" w:firstLineChars="200"/>
        <w:textAlignment w:val="auto"/>
        <w:rPr>
          <w:rFonts w:hint="eastAsia" w:ascii="仿宋_GB2312" w:hAnsi="仿宋_GB2312" w:eastAsia="仿宋_GB2312" w:cs="仿宋_GB2312"/>
          <w:b w:val="0"/>
          <w:bCs w:val="0"/>
          <w:color w:val="auto"/>
          <w:spacing w:val="-6"/>
          <w:sz w:val="32"/>
          <w:szCs w:val="32"/>
          <w:lang w:eastAsia="zh-CN"/>
        </w:rPr>
      </w:pPr>
      <w:r>
        <w:rPr>
          <w:rFonts w:hint="eastAsia" w:ascii="仿宋_GB2312" w:hAnsi="仿宋_GB2312" w:eastAsia="仿宋_GB2312" w:cs="仿宋_GB2312"/>
          <w:b w:val="0"/>
          <w:bCs w:val="0"/>
          <w:color w:val="auto"/>
          <w:spacing w:val="-6"/>
          <w:sz w:val="32"/>
          <w:szCs w:val="32"/>
          <w:highlight w:val="none"/>
          <w:lang w:eastAsia="zh-CN"/>
        </w:rPr>
        <w:t>对照中央城市工作会议部署和市委、市政府对首都城市环境建设管理的工作要求，立足</w:t>
      </w:r>
      <w:r>
        <w:rPr>
          <w:rFonts w:hint="eastAsia" w:ascii="仿宋_GB2312" w:hAnsi="仿宋_GB2312" w:eastAsia="仿宋_GB2312" w:cs="仿宋_GB2312"/>
          <w:b w:val="0"/>
          <w:bCs w:val="0"/>
          <w:color w:val="auto"/>
          <w:spacing w:val="-6"/>
          <w:sz w:val="32"/>
          <w:szCs w:val="32"/>
          <w:lang w:eastAsia="zh-CN"/>
        </w:rPr>
        <w:t>“</w:t>
      </w:r>
      <w:r>
        <w:rPr>
          <w:rFonts w:hint="eastAsia" w:ascii="仿宋_GB2312" w:hAnsi="仿宋_GB2312" w:eastAsia="仿宋_GB2312" w:cs="仿宋_GB2312"/>
          <w:b w:val="0"/>
          <w:bCs w:val="0"/>
          <w:color w:val="auto"/>
          <w:spacing w:val="-6"/>
          <w:sz w:val="32"/>
          <w:szCs w:val="32"/>
          <w:highlight w:val="none"/>
          <w:lang w:eastAsia="zh-CN"/>
        </w:rPr>
        <w:t>四区一枢纽</w:t>
      </w:r>
      <w:r>
        <w:rPr>
          <w:rFonts w:hint="eastAsia" w:ascii="仿宋_GB2312" w:hAnsi="仿宋_GB2312" w:eastAsia="仿宋_GB2312" w:cs="仿宋_GB2312"/>
          <w:b w:val="0"/>
          <w:bCs w:val="0"/>
          <w:color w:val="auto"/>
          <w:spacing w:val="-6"/>
          <w:sz w:val="32"/>
          <w:szCs w:val="32"/>
          <w:lang w:eastAsia="zh-CN"/>
        </w:rPr>
        <w:t>”</w:t>
      </w:r>
      <w:r>
        <w:rPr>
          <w:rFonts w:hint="eastAsia" w:ascii="仿宋_GB2312" w:hAnsi="仿宋_GB2312" w:eastAsia="仿宋_GB2312" w:cs="仿宋_GB2312"/>
          <w:b w:val="0"/>
          <w:bCs w:val="0"/>
          <w:color w:val="auto"/>
          <w:spacing w:val="-6"/>
          <w:sz w:val="32"/>
          <w:szCs w:val="32"/>
          <w:highlight w:val="none"/>
          <w:lang w:eastAsia="zh-CN"/>
        </w:rPr>
        <w:t>功能定位，当前我区城市管理领域仍存在以下短板和差距：</w:t>
      </w:r>
    </w:p>
    <w:p w14:paraId="7BD4FB0B">
      <w:pPr>
        <w:keepNext w:val="0"/>
        <w:keepLines w:val="0"/>
        <w:pageBreakBefore w:val="0"/>
        <w:widowControl/>
        <w:kinsoku/>
        <w:wordWrap/>
        <w:overflowPunct/>
        <w:topLinePunct w:val="0"/>
        <w:autoSpaceDE/>
        <w:autoSpaceDN/>
        <w:bidi w:val="0"/>
        <w:adjustRightInd/>
        <w:snapToGrid/>
        <w:spacing w:after="0" w:line="240" w:lineRule="auto"/>
        <w:ind w:firstLine="0" w:firstLineChars="0"/>
        <w:textAlignment w:val="auto"/>
        <w:rPr>
          <w:rFonts w:hint="eastAsia" w:ascii="仿宋_GB2312" w:hAnsi="仿宋_GB2312" w:eastAsia="仿宋_GB2312" w:cs="仿宋_GB2312"/>
          <w:b/>
          <w:bCs/>
          <w:color w:val="auto"/>
          <w:spacing w:val="-6"/>
          <w:sz w:val="32"/>
          <w:szCs w:val="32"/>
          <w:lang w:val="en-US" w:eastAsia="zh-CN"/>
        </w:rPr>
      </w:pPr>
      <w:r>
        <w:rPr>
          <w:rFonts w:hint="eastAsia" w:ascii="仿宋_GB2312" w:hAnsi="仿宋_GB2312" w:eastAsia="仿宋_GB2312" w:cs="仿宋_GB2312"/>
          <w:b/>
          <w:bCs/>
          <w:color w:val="auto"/>
          <w:spacing w:val="-6"/>
          <w:sz w:val="32"/>
          <w:szCs w:val="32"/>
          <w:lang w:val="en-US" w:eastAsia="zh-CN"/>
        </w:rPr>
        <w:br w:type="page"/>
      </w:r>
    </w:p>
    <w:p w14:paraId="351369B6">
      <w:pPr>
        <w:keepNext w:val="0"/>
        <w:keepLines w:val="0"/>
        <w:pageBreakBefore w:val="0"/>
        <w:widowControl w:val="0"/>
        <w:kinsoku/>
        <w:wordWrap/>
        <w:overflowPunct/>
        <w:topLinePunct w:val="0"/>
        <w:autoSpaceDE/>
        <w:autoSpaceDN/>
        <w:bidi w:val="0"/>
        <w:adjustRightInd w:val="0"/>
        <w:snapToGrid w:val="0"/>
        <w:spacing w:after="0" w:line="560" w:lineRule="exact"/>
        <w:ind w:firstLine="616" w:firstLineChars="200"/>
        <w:textAlignment w:val="auto"/>
        <w:rPr>
          <w:rFonts w:hint="eastAsia" w:ascii="仿宋_GB2312" w:hAnsi="仿宋_GB2312" w:eastAsia="仿宋_GB2312" w:cs="仿宋_GB2312"/>
          <w:b/>
          <w:bCs/>
          <w:color w:val="auto"/>
          <w:spacing w:val="-6"/>
          <w:sz w:val="32"/>
          <w:szCs w:val="32"/>
          <w:lang w:eastAsia="zh-CN"/>
        </w:rPr>
      </w:pPr>
      <w:r>
        <w:rPr>
          <w:rFonts w:hint="eastAsia" w:ascii="Times New Roman" w:hAnsi="Times New Roman" w:eastAsia="Times New Roman" w:cs="Times New Roman"/>
          <w:b/>
          <w:bCs/>
          <w:color w:val="auto"/>
          <w:spacing w:val="-6"/>
          <w:sz w:val="32"/>
          <w:szCs w:val="32"/>
          <w:lang w:val="en-US" w:eastAsia="zh-CN"/>
        </w:rPr>
        <w:t>1</w:t>
      </w:r>
      <w:r>
        <w:rPr>
          <w:rFonts w:hint="eastAsia" w:ascii="仿宋_GB2312" w:hAnsi="仿宋_GB2312" w:eastAsia="仿宋_GB2312" w:cs="仿宋_GB2312"/>
          <w:b/>
          <w:bCs/>
          <w:color w:val="auto"/>
          <w:spacing w:val="-6"/>
          <w:sz w:val="32"/>
          <w:szCs w:val="32"/>
          <w:lang w:val="en-US" w:eastAsia="zh-CN"/>
        </w:rPr>
        <w:t>.</w:t>
      </w:r>
      <w:r>
        <w:rPr>
          <w:rFonts w:hint="eastAsia" w:ascii="仿宋_GB2312" w:hAnsi="仿宋_GB2312" w:eastAsia="仿宋_GB2312" w:cs="仿宋_GB2312"/>
          <w:b/>
          <w:bCs/>
          <w:color w:val="auto"/>
          <w:spacing w:val="-6"/>
          <w:sz w:val="32"/>
          <w:szCs w:val="32"/>
          <w:lang w:eastAsia="zh-CN"/>
        </w:rPr>
        <w:t>首都风范城市景观风貌彰显不足。</w:t>
      </w:r>
      <w:r>
        <w:rPr>
          <w:rFonts w:hint="eastAsia" w:ascii="仿宋_GB2312" w:hAnsi="仿宋_GB2312" w:eastAsia="仿宋_GB2312" w:cs="仿宋_GB2312"/>
          <w:b w:val="0"/>
          <w:bCs w:val="0"/>
          <w:color w:val="auto"/>
          <w:spacing w:val="-6"/>
          <w:sz w:val="32"/>
          <w:szCs w:val="32"/>
          <w:lang w:eastAsia="zh-CN"/>
        </w:rPr>
        <w:t>丰台区作为首都“一主”“一轴”关键承载区，南中轴、“两园一河”精华区、三环路沿线等重点区域景观建设成效尚未充分显现，体现首都风范、古都风韵、时代风貌的景观环境尚需系统性塑造，景观统筹和品质管控能力有待增强。</w:t>
      </w:r>
    </w:p>
    <w:p w14:paraId="0EDF932B">
      <w:pPr>
        <w:keepNext w:val="0"/>
        <w:keepLines w:val="0"/>
        <w:pageBreakBefore w:val="0"/>
        <w:widowControl/>
        <w:kinsoku/>
        <w:wordWrap/>
        <w:overflowPunct/>
        <w:topLinePunct w:val="0"/>
        <w:autoSpaceDE/>
        <w:autoSpaceDN/>
        <w:bidi w:val="0"/>
        <w:adjustRightInd w:val="0"/>
        <w:snapToGrid w:val="0"/>
        <w:spacing w:after="0" w:line="560" w:lineRule="exact"/>
        <w:ind w:firstLine="616" w:firstLineChars="200"/>
        <w:textAlignment w:val="auto"/>
        <w:rPr>
          <w:rFonts w:hint="eastAsia" w:ascii="仿宋_GB2312" w:hAnsi="仿宋_GB2312" w:eastAsia="仿宋_GB2312" w:cs="仿宋_GB2312"/>
          <w:b/>
          <w:bCs/>
          <w:color w:val="auto"/>
          <w:spacing w:val="-6"/>
          <w:sz w:val="32"/>
          <w:szCs w:val="32"/>
          <w:lang w:eastAsia="zh-CN"/>
        </w:rPr>
      </w:pPr>
      <w:r>
        <w:rPr>
          <w:rFonts w:hint="eastAsia" w:ascii="Times New Roman" w:hAnsi="Times New Roman" w:eastAsia="Times New Roman" w:cs="Times New Roman"/>
          <w:b/>
          <w:bCs/>
          <w:color w:val="auto"/>
          <w:spacing w:val="-6"/>
          <w:sz w:val="32"/>
          <w:szCs w:val="32"/>
          <w:lang w:eastAsia="zh-CN"/>
        </w:rPr>
        <w:t>2</w:t>
      </w:r>
      <w:r>
        <w:rPr>
          <w:rFonts w:hint="eastAsia" w:ascii="仿宋_GB2312" w:hAnsi="仿宋_GB2312" w:eastAsia="仿宋_GB2312" w:cs="仿宋_GB2312"/>
          <w:b/>
          <w:bCs/>
          <w:color w:val="auto"/>
          <w:spacing w:val="-6"/>
          <w:sz w:val="32"/>
          <w:szCs w:val="32"/>
          <w:lang w:eastAsia="zh-CN"/>
        </w:rPr>
        <w:t>.智慧赋能城市管理有待提升。</w:t>
      </w:r>
      <w:r>
        <w:rPr>
          <w:rFonts w:hint="eastAsia" w:ascii="仿宋_GB2312" w:hAnsi="仿宋_GB2312" w:eastAsia="仿宋_GB2312" w:cs="仿宋_GB2312"/>
          <w:b w:val="0"/>
          <w:bCs w:val="0"/>
          <w:color w:val="auto"/>
          <w:spacing w:val="-6"/>
          <w:sz w:val="32"/>
          <w:szCs w:val="32"/>
          <w:lang w:eastAsia="zh-CN"/>
        </w:rPr>
        <w:t>人工智能、大数据等前沿技术在城市治理领域应用不深，全域覆盖、全时监测、动态预警的城市运行感知体系尚未健全，系统集成度不高、数据共享与业务协同不畅，智慧赋能城市管理的基础尚不牢固。</w:t>
      </w:r>
    </w:p>
    <w:p w14:paraId="15B924B3">
      <w:pPr>
        <w:keepNext w:val="0"/>
        <w:keepLines w:val="0"/>
        <w:pageBreakBefore w:val="0"/>
        <w:widowControl w:val="0"/>
        <w:kinsoku/>
        <w:wordWrap/>
        <w:overflowPunct/>
        <w:topLinePunct w:val="0"/>
        <w:autoSpaceDE/>
        <w:autoSpaceDN/>
        <w:bidi w:val="0"/>
        <w:adjustRightInd w:val="0"/>
        <w:snapToGrid w:val="0"/>
        <w:spacing w:after="0" w:line="560" w:lineRule="exact"/>
        <w:ind w:firstLine="616" w:firstLineChars="200"/>
        <w:textAlignment w:val="auto"/>
        <w:rPr>
          <w:rFonts w:hint="eastAsia" w:ascii="仿宋_GB2312" w:hAnsi="仿宋_GB2312" w:eastAsia="仿宋_GB2312" w:cs="仿宋_GB2312"/>
          <w:b/>
          <w:bCs/>
          <w:color w:val="auto"/>
          <w:spacing w:val="-6"/>
          <w:sz w:val="32"/>
          <w:szCs w:val="32"/>
          <w:lang w:eastAsia="zh-CN"/>
        </w:rPr>
      </w:pPr>
      <w:r>
        <w:rPr>
          <w:rFonts w:hint="eastAsia" w:ascii="Times New Roman" w:hAnsi="Times New Roman" w:eastAsia="Times New Roman" w:cs="Times New Roman"/>
          <w:b/>
          <w:bCs/>
          <w:color w:val="auto"/>
          <w:spacing w:val="-6"/>
          <w:sz w:val="32"/>
          <w:szCs w:val="32"/>
          <w:lang w:eastAsia="zh-CN"/>
        </w:rPr>
        <w:t>3</w:t>
      </w:r>
      <w:r>
        <w:rPr>
          <w:rFonts w:hint="eastAsia" w:ascii="仿宋_GB2312" w:hAnsi="仿宋_GB2312" w:eastAsia="仿宋_GB2312" w:cs="仿宋_GB2312"/>
          <w:b/>
          <w:bCs/>
          <w:color w:val="auto"/>
          <w:spacing w:val="-6"/>
          <w:sz w:val="32"/>
          <w:szCs w:val="32"/>
          <w:lang w:eastAsia="zh-CN"/>
        </w:rPr>
        <w:t>.城市综合承载力需提质扩容。</w:t>
      </w:r>
      <w:r>
        <w:rPr>
          <w:rFonts w:hint="eastAsia" w:ascii="仿宋_GB2312" w:hAnsi="仿宋_GB2312" w:eastAsia="仿宋_GB2312" w:cs="仿宋_GB2312"/>
          <w:b w:val="0"/>
          <w:bCs w:val="0"/>
          <w:color w:val="auto"/>
          <w:spacing w:val="-6"/>
          <w:sz w:val="32"/>
          <w:szCs w:val="32"/>
          <w:lang w:eastAsia="zh-CN"/>
        </w:rPr>
        <w:t>集中供热覆盖不足，供热管网面积</w:t>
      </w:r>
      <w:r>
        <w:rPr>
          <w:rFonts w:hint="eastAsia" w:ascii="Times New Roman" w:hAnsi="Times New Roman" w:eastAsia="Times New Roman" w:cs="Times New Roman"/>
          <w:b w:val="0"/>
          <w:bCs w:val="0"/>
          <w:color w:val="auto"/>
          <w:spacing w:val="-6"/>
          <w:sz w:val="32"/>
          <w:szCs w:val="32"/>
          <w:lang w:eastAsia="zh-CN"/>
        </w:rPr>
        <w:t>1777</w:t>
      </w:r>
      <w:r>
        <w:rPr>
          <w:rFonts w:hint="eastAsia" w:ascii="仿宋_GB2312" w:hAnsi="仿宋_GB2312" w:eastAsia="仿宋_GB2312" w:cs="仿宋_GB2312"/>
          <w:b w:val="0"/>
          <w:bCs w:val="0"/>
          <w:color w:val="auto"/>
          <w:spacing w:val="-6"/>
          <w:sz w:val="32"/>
          <w:szCs w:val="32"/>
          <w:lang w:eastAsia="zh-CN"/>
        </w:rPr>
        <w:t>.</w:t>
      </w:r>
      <w:r>
        <w:rPr>
          <w:rFonts w:hint="eastAsia" w:ascii="Times New Roman" w:hAnsi="Times New Roman" w:eastAsia="Times New Roman" w:cs="Times New Roman"/>
          <w:b w:val="0"/>
          <w:bCs w:val="0"/>
          <w:color w:val="auto"/>
          <w:spacing w:val="-6"/>
          <w:sz w:val="32"/>
          <w:szCs w:val="32"/>
          <w:lang w:eastAsia="zh-CN"/>
        </w:rPr>
        <w:t>24</w:t>
      </w:r>
      <w:r>
        <w:rPr>
          <w:rFonts w:hint="eastAsia" w:ascii="仿宋_GB2312" w:hAnsi="仿宋_GB2312" w:eastAsia="仿宋_GB2312" w:cs="仿宋_GB2312"/>
          <w:b w:val="0"/>
          <w:bCs w:val="0"/>
          <w:color w:val="auto"/>
          <w:spacing w:val="-6"/>
          <w:sz w:val="32"/>
          <w:szCs w:val="32"/>
          <w:lang w:eastAsia="zh-CN"/>
        </w:rPr>
        <w:t>万平方米、仅占全区采暖季总面积的</w:t>
      </w:r>
      <w:r>
        <w:rPr>
          <w:rFonts w:hint="eastAsia" w:ascii="Times New Roman" w:hAnsi="Times New Roman" w:eastAsia="Times New Roman" w:cs="Times New Roman"/>
          <w:b w:val="0"/>
          <w:bCs w:val="0"/>
          <w:color w:val="auto"/>
          <w:spacing w:val="-6"/>
          <w:sz w:val="32"/>
          <w:szCs w:val="32"/>
          <w:lang w:eastAsia="zh-CN"/>
        </w:rPr>
        <w:t>20</w:t>
      </w:r>
      <w:r>
        <w:rPr>
          <w:rFonts w:hint="eastAsia" w:ascii="仿宋_GB2312" w:hAnsi="仿宋_GB2312" w:eastAsia="仿宋_GB2312" w:cs="仿宋_GB2312"/>
          <w:b w:val="0"/>
          <w:bCs w:val="0"/>
          <w:color w:val="auto"/>
          <w:spacing w:val="-6"/>
          <w:sz w:val="32"/>
          <w:szCs w:val="32"/>
          <w:lang w:eastAsia="zh-CN"/>
        </w:rPr>
        <w:t>.</w:t>
      </w:r>
      <w:r>
        <w:rPr>
          <w:rFonts w:hint="eastAsia" w:ascii="Times New Roman" w:hAnsi="Times New Roman" w:eastAsia="Times New Roman" w:cs="Times New Roman"/>
          <w:b w:val="0"/>
          <w:bCs w:val="0"/>
          <w:color w:val="auto"/>
          <w:spacing w:val="-6"/>
          <w:sz w:val="32"/>
          <w:szCs w:val="32"/>
          <w:lang w:eastAsia="zh-CN"/>
        </w:rPr>
        <w:t>9</w:t>
      </w:r>
      <w:r>
        <w:rPr>
          <w:rFonts w:hint="eastAsia" w:ascii="仿宋_GB2312" w:hAnsi="仿宋_GB2312" w:eastAsia="仿宋_GB2312" w:cs="仿宋_GB2312"/>
          <w:b w:val="0"/>
          <w:bCs w:val="0"/>
          <w:color w:val="auto"/>
          <w:spacing w:val="-6"/>
          <w:sz w:val="32"/>
          <w:szCs w:val="32"/>
          <w:lang w:eastAsia="zh-CN"/>
        </w:rPr>
        <w:t>%；电网存在缺少</w:t>
      </w:r>
      <w:r>
        <w:rPr>
          <w:rFonts w:hint="eastAsia" w:ascii="Times New Roman" w:hAnsi="Times New Roman" w:eastAsia="Times New Roman" w:cs="Times New Roman"/>
          <w:b w:val="0"/>
          <w:bCs w:val="0"/>
          <w:color w:val="auto"/>
          <w:spacing w:val="-6"/>
          <w:sz w:val="32"/>
          <w:szCs w:val="32"/>
          <w:lang w:eastAsia="zh-CN"/>
        </w:rPr>
        <w:t>500</w:t>
      </w:r>
      <w:r>
        <w:rPr>
          <w:rFonts w:hint="eastAsia" w:ascii="仿宋_GB2312" w:hAnsi="仿宋_GB2312" w:eastAsia="仿宋_GB2312" w:cs="仿宋_GB2312"/>
          <w:b w:val="0"/>
          <w:bCs w:val="0"/>
          <w:color w:val="auto"/>
          <w:spacing w:val="-6"/>
          <w:sz w:val="32"/>
          <w:szCs w:val="32"/>
          <w:lang w:eastAsia="zh-CN"/>
        </w:rPr>
        <w:t>千伏电源点、重点区域支撑站点少、</w:t>
      </w:r>
      <w:r>
        <w:rPr>
          <w:rFonts w:hint="eastAsia" w:ascii="Times New Roman" w:hAnsi="Times New Roman" w:eastAsia="Times New Roman" w:cs="Times New Roman"/>
          <w:b w:val="0"/>
          <w:bCs w:val="0"/>
          <w:color w:val="auto"/>
          <w:spacing w:val="-6"/>
          <w:sz w:val="32"/>
          <w:szCs w:val="32"/>
          <w:lang w:eastAsia="zh-CN"/>
        </w:rPr>
        <w:t>110</w:t>
      </w:r>
      <w:r>
        <w:rPr>
          <w:rFonts w:hint="eastAsia" w:ascii="仿宋_GB2312" w:hAnsi="仿宋_GB2312" w:eastAsia="仿宋_GB2312" w:cs="仿宋_GB2312"/>
          <w:b w:val="0"/>
          <w:bCs w:val="0"/>
          <w:color w:val="auto"/>
          <w:spacing w:val="-6"/>
          <w:sz w:val="32"/>
          <w:szCs w:val="32"/>
          <w:lang w:eastAsia="zh-CN"/>
        </w:rPr>
        <w:t>千伏多方向率低的“两少一低”问题；河西路网、公交、轨道和燃气中压管线建设滞后于河东。</w:t>
      </w:r>
    </w:p>
    <w:p w14:paraId="5DA19DB6">
      <w:pPr>
        <w:keepNext w:val="0"/>
        <w:keepLines w:val="0"/>
        <w:pageBreakBefore w:val="0"/>
        <w:widowControl w:val="0"/>
        <w:kinsoku/>
        <w:wordWrap/>
        <w:overflowPunct/>
        <w:topLinePunct w:val="0"/>
        <w:autoSpaceDE/>
        <w:autoSpaceDN/>
        <w:bidi w:val="0"/>
        <w:adjustRightInd w:val="0"/>
        <w:snapToGrid w:val="0"/>
        <w:spacing w:after="0" w:line="560" w:lineRule="exact"/>
        <w:ind w:firstLine="616" w:firstLineChars="200"/>
        <w:textAlignment w:val="auto"/>
        <w:rPr>
          <w:rFonts w:hint="eastAsia" w:ascii="仿宋_GB2312" w:hAnsi="仿宋_GB2312" w:eastAsia="仿宋_GB2312" w:cs="仿宋_GB2312"/>
          <w:b w:val="0"/>
          <w:bCs w:val="0"/>
          <w:color w:val="auto"/>
          <w:spacing w:val="-6"/>
          <w:sz w:val="32"/>
          <w:szCs w:val="32"/>
          <w:lang w:eastAsia="zh-CN"/>
        </w:rPr>
      </w:pPr>
      <w:r>
        <w:rPr>
          <w:rFonts w:hint="eastAsia" w:ascii="Times New Roman" w:hAnsi="Times New Roman" w:eastAsia="Times New Roman" w:cs="Times New Roman"/>
          <w:b/>
          <w:bCs/>
          <w:color w:val="auto"/>
          <w:spacing w:val="-6"/>
          <w:sz w:val="32"/>
          <w:szCs w:val="32"/>
          <w:lang w:eastAsia="zh-CN"/>
        </w:rPr>
        <w:t>4</w:t>
      </w:r>
      <w:r>
        <w:rPr>
          <w:rFonts w:hint="eastAsia" w:ascii="仿宋_GB2312" w:hAnsi="仿宋_GB2312" w:eastAsia="仿宋_GB2312" w:cs="仿宋_GB2312"/>
          <w:b/>
          <w:bCs/>
          <w:color w:val="auto"/>
          <w:spacing w:val="-6"/>
          <w:sz w:val="32"/>
          <w:szCs w:val="32"/>
          <w:lang w:eastAsia="zh-CN"/>
        </w:rPr>
        <w:t>.现代化城市治理体系仍需健全。</w:t>
      </w:r>
      <w:r>
        <w:rPr>
          <w:rFonts w:hint="eastAsia" w:ascii="仿宋_GB2312" w:hAnsi="仿宋_GB2312" w:eastAsia="仿宋_GB2312" w:cs="仿宋_GB2312"/>
          <w:b w:val="0"/>
          <w:bCs w:val="0"/>
          <w:color w:val="auto"/>
          <w:spacing w:val="-6"/>
          <w:sz w:val="32"/>
          <w:szCs w:val="32"/>
          <w:lang w:eastAsia="zh-CN"/>
        </w:rPr>
        <w:t>“政府主导、社会协同、公众参与”的多元共治格局尚未成熟，行业管理方、权属方、属地方权责交叉、边界不清，条块分割尚未根本破除，跨部门协同和基层治理能力有待增强，城市管理的权责边界和协同机制仍需理顺。</w:t>
      </w:r>
    </w:p>
    <w:p w14:paraId="7817AFD0">
      <w:pPr>
        <w:keepNext w:val="0"/>
        <w:keepLines w:val="0"/>
        <w:pageBreakBefore w:val="0"/>
        <w:widowControl w:val="0"/>
        <w:kinsoku/>
        <w:wordWrap/>
        <w:overflowPunct/>
        <w:topLinePunct w:val="0"/>
        <w:autoSpaceDE/>
        <w:autoSpaceDN/>
        <w:bidi w:val="0"/>
        <w:adjustRightInd w:val="0"/>
        <w:snapToGrid w:val="0"/>
        <w:spacing w:after="0" w:line="560" w:lineRule="exact"/>
        <w:ind w:firstLine="616" w:firstLineChars="200"/>
        <w:textAlignment w:val="auto"/>
        <w:rPr>
          <w:rFonts w:hint="eastAsia" w:ascii="仿宋_GB2312" w:hAnsi="仿宋_GB2312" w:eastAsia="仿宋_GB2312" w:cs="仿宋_GB2312"/>
          <w:b w:val="0"/>
          <w:bCs w:val="0"/>
          <w:color w:val="auto"/>
          <w:spacing w:val="-6"/>
          <w:sz w:val="32"/>
          <w:szCs w:val="32"/>
          <w:lang w:eastAsia="zh-CN"/>
        </w:rPr>
      </w:pPr>
      <w:r>
        <w:rPr>
          <w:rFonts w:hint="eastAsia" w:ascii="Times New Roman" w:hAnsi="Times New Roman" w:eastAsia="Times New Roman" w:cs="Times New Roman"/>
          <w:b/>
          <w:bCs/>
          <w:color w:val="auto"/>
          <w:spacing w:val="-6"/>
          <w:sz w:val="32"/>
          <w:szCs w:val="32"/>
          <w:lang w:eastAsia="zh-CN"/>
        </w:rPr>
        <w:t>5</w:t>
      </w:r>
      <w:r>
        <w:rPr>
          <w:rFonts w:hint="eastAsia" w:ascii="仿宋_GB2312" w:hAnsi="仿宋_GB2312" w:eastAsia="仿宋_GB2312" w:cs="仿宋_GB2312"/>
          <w:b/>
          <w:bCs/>
          <w:color w:val="auto"/>
          <w:spacing w:val="-6"/>
          <w:sz w:val="32"/>
          <w:szCs w:val="32"/>
          <w:lang w:eastAsia="zh-CN"/>
        </w:rPr>
        <w:t>.城市环境建设管理与群众期待存在差距。</w:t>
      </w:r>
      <w:r>
        <w:rPr>
          <w:rFonts w:hint="eastAsia" w:ascii="仿宋_GB2312" w:hAnsi="仿宋_GB2312" w:eastAsia="仿宋_GB2312" w:cs="仿宋_GB2312"/>
          <w:b w:val="0"/>
          <w:bCs w:val="0"/>
          <w:color w:val="auto"/>
          <w:spacing w:val="-6"/>
          <w:sz w:val="32"/>
          <w:szCs w:val="32"/>
          <w:lang w:eastAsia="zh-CN"/>
        </w:rPr>
        <w:t>“十四五”时期，“</w:t>
      </w:r>
      <w:r>
        <w:rPr>
          <w:rFonts w:hint="eastAsia" w:ascii="Times New Roman" w:hAnsi="Times New Roman" w:eastAsia="Times New Roman" w:cs="Times New Roman"/>
          <w:b w:val="0"/>
          <w:bCs w:val="0"/>
          <w:color w:val="auto"/>
          <w:spacing w:val="-6"/>
          <w:sz w:val="32"/>
          <w:szCs w:val="32"/>
          <w:lang w:eastAsia="zh-CN"/>
        </w:rPr>
        <w:t>12345</w:t>
      </w:r>
      <w:r>
        <w:rPr>
          <w:rFonts w:hint="eastAsia" w:ascii="仿宋_GB2312" w:hAnsi="仿宋_GB2312" w:eastAsia="仿宋_GB2312" w:cs="仿宋_GB2312"/>
          <w:b w:val="0"/>
          <w:bCs w:val="0"/>
          <w:color w:val="auto"/>
          <w:spacing w:val="-6"/>
          <w:sz w:val="32"/>
          <w:szCs w:val="32"/>
          <w:lang w:eastAsia="zh-CN"/>
        </w:rPr>
        <w:t>”热线诉求中停车类</w:t>
      </w:r>
      <w:r>
        <w:rPr>
          <w:rFonts w:hint="eastAsia" w:ascii="Times New Roman" w:hAnsi="Times New Roman" w:eastAsia="Times New Roman" w:cs="Times New Roman"/>
          <w:b w:val="0"/>
          <w:bCs w:val="0"/>
          <w:color w:val="auto"/>
          <w:spacing w:val="-6"/>
          <w:sz w:val="32"/>
          <w:szCs w:val="32"/>
          <w:lang w:eastAsia="zh-CN"/>
        </w:rPr>
        <w:t>19603</w:t>
      </w:r>
      <w:r>
        <w:rPr>
          <w:rFonts w:hint="eastAsia" w:ascii="仿宋_GB2312" w:hAnsi="仿宋_GB2312" w:eastAsia="仿宋_GB2312" w:cs="仿宋_GB2312"/>
          <w:b w:val="0"/>
          <w:bCs w:val="0"/>
          <w:color w:val="auto"/>
          <w:spacing w:val="-6"/>
          <w:sz w:val="32"/>
          <w:szCs w:val="32"/>
          <w:lang w:eastAsia="zh-CN"/>
        </w:rPr>
        <w:t>件、市政类</w:t>
      </w:r>
      <w:r>
        <w:rPr>
          <w:rFonts w:hint="eastAsia" w:ascii="Times New Roman" w:hAnsi="Times New Roman" w:eastAsia="Times New Roman" w:cs="Times New Roman"/>
          <w:b w:val="0"/>
          <w:bCs w:val="0"/>
          <w:color w:val="auto"/>
          <w:spacing w:val="-6"/>
          <w:sz w:val="32"/>
          <w:szCs w:val="32"/>
          <w:lang w:eastAsia="zh-CN"/>
        </w:rPr>
        <w:t>13875</w:t>
      </w:r>
      <w:r>
        <w:rPr>
          <w:rFonts w:hint="eastAsia" w:ascii="仿宋_GB2312" w:hAnsi="仿宋_GB2312" w:eastAsia="仿宋_GB2312" w:cs="仿宋_GB2312"/>
          <w:b w:val="0"/>
          <w:bCs w:val="0"/>
          <w:color w:val="auto"/>
          <w:spacing w:val="-6"/>
          <w:sz w:val="32"/>
          <w:szCs w:val="32"/>
          <w:lang w:eastAsia="zh-CN"/>
        </w:rPr>
        <w:t>件、市容卫生类</w:t>
      </w:r>
      <w:r>
        <w:rPr>
          <w:rFonts w:hint="eastAsia" w:ascii="Times New Roman" w:hAnsi="Times New Roman" w:eastAsia="Times New Roman" w:cs="Times New Roman"/>
          <w:b w:val="0"/>
          <w:bCs w:val="0"/>
          <w:color w:val="auto"/>
          <w:spacing w:val="-6"/>
          <w:sz w:val="32"/>
          <w:szCs w:val="32"/>
          <w:lang w:eastAsia="zh-CN"/>
        </w:rPr>
        <w:t>10445</w:t>
      </w:r>
      <w:r>
        <w:rPr>
          <w:rFonts w:hint="eastAsia" w:ascii="仿宋_GB2312" w:hAnsi="仿宋_GB2312" w:eastAsia="仿宋_GB2312" w:cs="仿宋_GB2312"/>
          <w:b w:val="0"/>
          <w:bCs w:val="0"/>
          <w:color w:val="auto"/>
          <w:spacing w:val="-6"/>
          <w:sz w:val="32"/>
          <w:szCs w:val="32"/>
          <w:lang w:eastAsia="zh-CN"/>
        </w:rPr>
        <w:t>件，分别占</w:t>
      </w:r>
      <w:r>
        <w:rPr>
          <w:rFonts w:hint="eastAsia" w:ascii="Times New Roman" w:hAnsi="Times New Roman" w:eastAsia="Times New Roman" w:cs="Times New Roman"/>
          <w:b w:val="0"/>
          <w:bCs w:val="0"/>
          <w:color w:val="auto"/>
          <w:spacing w:val="-6"/>
          <w:sz w:val="32"/>
          <w:szCs w:val="32"/>
          <w:lang w:eastAsia="zh-CN"/>
        </w:rPr>
        <w:t>33</w:t>
      </w:r>
      <w:r>
        <w:rPr>
          <w:rFonts w:hint="eastAsia" w:ascii="仿宋_GB2312" w:hAnsi="仿宋_GB2312" w:eastAsia="仿宋_GB2312" w:cs="仿宋_GB2312"/>
          <w:b w:val="0"/>
          <w:bCs w:val="0"/>
          <w:color w:val="auto"/>
          <w:spacing w:val="-6"/>
          <w:sz w:val="32"/>
          <w:szCs w:val="32"/>
          <w:lang w:eastAsia="zh-CN"/>
        </w:rPr>
        <w:t>.</w:t>
      </w:r>
      <w:r>
        <w:rPr>
          <w:rFonts w:hint="eastAsia" w:ascii="Times New Roman" w:hAnsi="Times New Roman" w:eastAsia="Times New Roman" w:cs="Times New Roman"/>
          <w:b w:val="0"/>
          <w:bCs w:val="0"/>
          <w:color w:val="auto"/>
          <w:spacing w:val="-6"/>
          <w:sz w:val="32"/>
          <w:szCs w:val="32"/>
          <w:lang w:eastAsia="zh-CN"/>
        </w:rPr>
        <w:t>63</w:t>
      </w:r>
      <w:r>
        <w:rPr>
          <w:rFonts w:hint="eastAsia" w:ascii="仿宋_GB2312" w:hAnsi="仿宋_GB2312" w:eastAsia="仿宋_GB2312" w:cs="仿宋_GB2312"/>
          <w:b w:val="0"/>
          <w:bCs w:val="0"/>
          <w:color w:val="auto"/>
          <w:spacing w:val="-6"/>
          <w:sz w:val="32"/>
          <w:szCs w:val="32"/>
          <w:lang w:eastAsia="zh-CN"/>
        </w:rPr>
        <w:t>%、</w:t>
      </w:r>
      <w:r>
        <w:rPr>
          <w:rFonts w:hint="eastAsia" w:ascii="Times New Roman" w:hAnsi="Times New Roman" w:eastAsia="Times New Roman" w:cs="Times New Roman"/>
          <w:b w:val="0"/>
          <w:bCs w:val="0"/>
          <w:color w:val="auto"/>
          <w:spacing w:val="-6"/>
          <w:sz w:val="32"/>
          <w:szCs w:val="32"/>
          <w:lang w:eastAsia="zh-CN"/>
        </w:rPr>
        <w:t>23</w:t>
      </w:r>
      <w:r>
        <w:rPr>
          <w:rFonts w:hint="eastAsia" w:ascii="仿宋_GB2312" w:hAnsi="仿宋_GB2312" w:eastAsia="仿宋_GB2312" w:cs="仿宋_GB2312"/>
          <w:b w:val="0"/>
          <w:bCs w:val="0"/>
          <w:color w:val="auto"/>
          <w:spacing w:val="-6"/>
          <w:sz w:val="32"/>
          <w:szCs w:val="32"/>
          <w:lang w:eastAsia="zh-CN"/>
        </w:rPr>
        <w:t>.</w:t>
      </w:r>
      <w:r>
        <w:rPr>
          <w:rFonts w:hint="eastAsia" w:ascii="Times New Roman" w:hAnsi="Times New Roman" w:eastAsia="Times New Roman" w:cs="Times New Roman"/>
          <w:b w:val="0"/>
          <w:bCs w:val="0"/>
          <w:color w:val="auto"/>
          <w:spacing w:val="-6"/>
          <w:sz w:val="32"/>
          <w:szCs w:val="32"/>
          <w:lang w:eastAsia="zh-CN"/>
        </w:rPr>
        <w:t>8</w:t>
      </w:r>
      <w:r>
        <w:rPr>
          <w:rFonts w:hint="eastAsia" w:ascii="仿宋_GB2312" w:hAnsi="仿宋_GB2312" w:eastAsia="仿宋_GB2312" w:cs="仿宋_GB2312"/>
          <w:b w:val="0"/>
          <w:bCs w:val="0"/>
          <w:color w:val="auto"/>
          <w:spacing w:val="-6"/>
          <w:sz w:val="32"/>
          <w:szCs w:val="32"/>
          <w:lang w:eastAsia="zh-CN"/>
        </w:rPr>
        <w:t>%、</w:t>
      </w:r>
      <w:r>
        <w:rPr>
          <w:rFonts w:hint="eastAsia" w:ascii="Times New Roman" w:hAnsi="Times New Roman" w:eastAsia="Times New Roman" w:cs="Times New Roman"/>
          <w:b w:val="0"/>
          <w:bCs w:val="0"/>
          <w:color w:val="auto"/>
          <w:spacing w:val="-6"/>
          <w:sz w:val="32"/>
          <w:szCs w:val="32"/>
          <w:lang w:eastAsia="zh-CN"/>
        </w:rPr>
        <w:t>17</w:t>
      </w:r>
      <w:r>
        <w:rPr>
          <w:rFonts w:hint="eastAsia" w:ascii="仿宋_GB2312" w:hAnsi="仿宋_GB2312" w:eastAsia="仿宋_GB2312" w:cs="仿宋_GB2312"/>
          <w:b w:val="0"/>
          <w:bCs w:val="0"/>
          <w:color w:val="auto"/>
          <w:spacing w:val="-6"/>
          <w:sz w:val="32"/>
          <w:szCs w:val="32"/>
          <w:lang w:eastAsia="zh-CN"/>
        </w:rPr>
        <w:t>.</w:t>
      </w:r>
      <w:r>
        <w:rPr>
          <w:rFonts w:hint="eastAsia" w:ascii="Times New Roman" w:hAnsi="Times New Roman" w:eastAsia="Times New Roman" w:cs="Times New Roman"/>
          <w:b w:val="0"/>
          <w:bCs w:val="0"/>
          <w:color w:val="auto"/>
          <w:spacing w:val="-6"/>
          <w:sz w:val="32"/>
          <w:szCs w:val="32"/>
          <w:lang w:eastAsia="zh-CN"/>
        </w:rPr>
        <w:t>92</w:t>
      </w:r>
      <w:r>
        <w:rPr>
          <w:rFonts w:hint="eastAsia" w:ascii="仿宋_GB2312" w:hAnsi="仿宋_GB2312" w:eastAsia="仿宋_GB2312" w:cs="仿宋_GB2312"/>
          <w:b w:val="0"/>
          <w:bCs w:val="0"/>
          <w:color w:val="auto"/>
          <w:spacing w:val="-6"/>
          <w:sz w:val="32"/>
          <w:szCs w:val="32"/>
          <w:lang w:eastAsia="zh-CN"/>
        </w:rPr>
        <w:t>%，三类合计超七成；接诉即办平均满意率</w:t>
      </w:r>
      <w:r>
        <w:rPr>
          <w:rFonts w:hint="eastAsia" w:ascii="Times New Roman" w:hAnsi="Times New Roman" w:eastAsia="Times New Roman" w:cs="Times New Roman"/>
          <w:b w:val="0"/>
          <w:bCs w:val="0"/>
          <w:color w:val="auto"/>
          <w:spacing w:val="-6"/>
          <w:sz w:val="32"/>
          <w:szCs w:val="32"/>
          <w:lang w:eastAsia="zh-CN"/>
        </w:rPr>
        <w:t>66</w:t>
      </w:r>
      <w:r>
        <w:rPr>
          <w:rFonts w:hint="eastAsia" w:ascii="仿宋_GB2312" w:hAnsi="仿宋_GB2312" w:eastAsia="仿宋_GB2312" w:cs="仿宋_GB2312"/>
          <w:b w:val="0"/>
          <w:bCs w:val="0"/>
          <w:color w:val="auto"/>
          <w:spacing w:val="-6"/>
          <w:sz w:val="32"/>
          <w:szCs w:val="32"/>
          <w:lang w:eastAsia="zh-CN"/>
        </w:rPr>
        <w:t>.</w:t>
      </w:r>
      <w:r>
        <w:rPr>
          <w:rFonts w:hint="eastAsia" w:ascii="Times New Roman" w:hAnsi="Times New Roman" w:eastAsia="Times New Roman" w:cs="Times New Roman"/>
          <w:b w:val="0"/>
          <w:bCs w:val="0"/>
          <w:color w:val="auto"/>
          <w:spacing w:val="-6"/>
          <w:sz w:val="32"/>
          <w:szCs w:val="32"/>
          <w:lang w:eastAsia="zh-CN"/>
        </w:rPr>
        <w:t>22</w:t>
      </w:r>
      <w:r>
        <w:rPr>
          <w:rFonts w:hint="eastAsia" w:ascii="仿宋_GB2312" w:hAnsi="仿宋_GB2312" w:eastAsia="仿宋_GB2312" w:cs="仿宋_GB2312"/>
          <w:b w:val="0"/>
          <w:bCs w:val="0"/>
          <w:color w:val="auto"/>
          <w:spacing w:val="-6"/>
          <w:sz w:val="32"/>
          <w:szCs w:val="32"/>
          <w:lang w:eastAsia="zh-CN"/>
        </w:rPr>
        <w:t>%，高频诉求解决成效不足，源头治理能力仍需提升。</w:t>
      </w:r>
      <w:r>
        <w:rPr>
          <w:rFonts w:hint="eastAsia" w:ascii="仿宋_GB2312" w:hAnsi="仿宋_GB2312" w:eastAsia="仿宋_GB2312" w:cs="仿宋_GB2312"/>
          <w:b w:val="0"/>
          <w:bCs w:val="0"/>
          <w:color w:val="auto"/>
          <w:spacing w:val="-6"/>
          <w:sz w:val="32"/>
          <w:szCs w:val="32"/>
          <w:lang w:eastAsia="zh-CN"/>
        </w:rPr>
        <w:br w:type="page"/>
      </w:r>
    </w:p>
    <w:p w14:paraId="7326B802">
      <w:pPr>
        <w:keepNext/>
        <w:keepLines w:val="0"/>
        <w:pageBreakBefore w:val="0"/>
        <w:widowControl/>
        <w:numPr>
          <w:ilvl w:val="0"/>
          <w:numId w:val="1"/>
        </w:numPr>
        <w:kinsoku/>
        <w:wordWrap/>
        <w:overflowPunct/>
        <w:topLinePunct w:val="0"/>
        <w:autoSpaceDE/>
        <w:autoSpaceDN/>
        <w:bidi w:val="0"/>
        <w:adjustRightInd/>
        <w:snapToGrid/>
        <w:spacing w:beforeLines="0" w:afterLines="0" w:line="560" w:lineRule="exact"/>
        <w:ind w:left="0" w:leftChars="0" w:right="0" w:firstLine="0" w:firstLineChars="0"/>
        <w:jc w:val="center"/>
        <w:textAlignment w:val="auto"/>
        <w:outlineLvl w:val="0"/>
        <w:rPr>
          <w:rFonts w:hint="default" w:ascii="方正小标宋简体" w:hAnsi="方正小标宋简体" w:eastAsia="方正小标宋简体" w:cs="方正小标宋简体"/>
          <w:sz w:val="36"/>
          <w:szCs w:val="36"/>
          <w:lang w:val="en-US" w:eastAsia="zh-CN"/>
        </w:rPr>
      </w:pPr>
      <w:bookmarkStart w:id="13" w:name="_Toc19552"/>
      <w:r>
        <w:rPr>
          <w:rFonts w:hint="eastAsia" w:ascii="方正小标宋简体" w:hAnsi="方正小标宋简体" w:eastAsia="方正小标宋简体" w:cs="方正小标宋简体"/>
          <w:sz w:val="36"/>
          <w:szCs w:val="36"/>
          <w:lang w:val="en-US" w:eastAsia="zh-CN"/>
        </w:rPr>
        <w:t>“十五五”时期总体思路与发展目标</w:t>
      </w:r>
      <w:bookmarkEnd w:id="4"/>
      <w:bookmarkEnd w:id="5"/>
      <w:bookmarkEnd w:id="6"/>
      <w:bookmarkEnd w:id="7"/>
      <w:bookmarkEnd w:id="13"/>
    </w:p>
    <w:p w14:paraId="645BAE34">
      <w:pPr>
        <w:pStyle w:val="3"/>
        <w:keepNext/>
        <w:keepLines/>
        <w:pageBreakBefore w:val="0"/>
        <w:widowControl w:val="0"/>
        <w:numPr>
          <w:ilvl w:val="0"/>
          <w:numId w:val="0"/>
        </w:numPr>
        <w:kinsoku/>
        <w:wordWrap/>
        <w:overflowPunct/>
        <w:topLinePunct w:val="0"/>
        <w:autoSpaceDE/>
        <w:autoSpaceDN/>
        <w:bidi w:val="0"/>
        <w:adjustRightInd/>
        <w:snapToGrid/>
        <w:spacing w:beforeLines="0" w:after="0" w:afterLines="0"/>
        <w:ind w:leftChars="0" w:firstLine="616" w:firstLineChars="200"/>
        <w:textAlignment w:val="baseline"/>
        <w:rPr>
          <w:rFonts w:hint="eastAsia" w:ascii="黑体" w:hAnsi="黑体" w:eastAsia="黑体" w:cs="黑体"/>
          <w:b w:val="0"/>
          <w:bCs/>
          <w:i w:val="0"/>
          <w:iCs w:val="0"/>
          <w:caps w:val="0"/>
          <w:smallCaps w:val="0"/>
          <w:snapToGrid/>
          <w:color w:val="auto"/>
          <w:spacing w:val="-6"/>
          <w:kern w:val="2"/>
          <w:sz w:val="32"/>
          <w:szCs w:val="32"/>
          <w:highlight w:val="none"/>
          <w:shd w:val="clear" w:color="auto" w:fill="auto"/>
          <w:lang w:val="en-US" w:eastAsia="zh-CN" w:bidi="ar-SA"/>
        </w:rPr>
      </w:pPr>
      <w:bookmarkStart w:id="14" w:name="_Toc14667"/>
      <w:r>
        <w:rPr>
          <w:rFonts w:hint="eastAsia" w:ascii="黑体" w:hAnsi="黑体" w:eastAsia="黑体" w:cs="黑体"/>
          <w:b w:val="0"/>
          <w:bCs/>
          <w:i w:val="0"/>
          <w:iCs w:val="0"/>
          <w:caps w:val="0"/>
          <w:smallCaps w:val="0"/>
          <w:snapToGrid/>
          <w:color w:val="auto"/>
          <w:spacing w:val="-6"/>
          <w:kern w:val="2"/>
          <w:sz w:val="32"/>
          <w:szCs w:val="32"/>
          <w:highlight w:val="none"/>
          <w:shd w:val="clear" w:color="auto" w:fill="auto"/>
          <w:lang w:val="en-US" w:eastAsia="zh-CN" w:bidi="ar-SA"/>
        </w:rPr>
        <w:t>一、指导思想</w:t>
      </w:r>
      <w:bookmarkEnd w:id="14"/>
    </w:p>
    <w:p w14:paraId="4630CB0A">
      <w:pPr>
        <w:keepNext w:val="0"/>
        <w:keepLines w:val="0"/>
        <w:pageBreakBefore w:val="0"/>
        <w:widowControl w:val="0"/>
        <w:kinsoku/>
        <w:wordWrap/>
        <w:overflowPunct/>
        <w:topLinePunct w:val="0"/>
        <w:autoSpaceDE/>
        <w:autoSpaceDN/>
        <w:bidi w:val="0"/>
        <w:adjustRightInd w:val="0"/>
        <w:snapToGrid w:val="0"/>
        <w:spacing w:beforeLines="0" w:after="0" w:afterLines="0" w:line="560" w:lineRule="exact"/>
        <w:ind w:firstLine="640" w:firstLineChars="200"/>
        <w:textAlignment w:val="auto"/>
        <w:rPr>
          <w:rFonts w:hint="eastAsia" w:ascii="仿宋" w:hAnsi="仿宋" w:eastAsia="仿宋_GB2312" w:cs="Arial"/>
          <w:i w:val="0"/>
          <w:iCs w:val="0"/>
          <w:caps w:val="0"/>
          <w:smallCaps w:val="0"/>
          <w:snapToGrid w:val="0"/>
          <w:color w:val="auto"/>
          <w:spacing w:val="0"/>
          <w:kern w:val="0"/>
          <w:sz w:val="32"/>
          <w:szCs w:val="32"/>
          <w:highlight w:val="none"/>
          <w:shd w:val="clear" w:color="auto" w:fill="auto"/>
          <w:lang w:val="en-US" w:eastAsia="zh-CN" w:bidi="ar-SA"/>
        </w:rPr>
      </w:pPr>
      <w:r>
        <w:rPr>
          <w:rFonts w:hint="eastAsia" w:ascii="仿宋" w:hAnsi="仿宋" w:eastAsia="仿宋_GB2312" w:cs="Arial"/>
          <w:i w:val="0"/>
          <w:iCs w:val="0"/>
          <w:caps w:val="0"/>
          <w:smallCaps w:val="0"/>
          <w:snapToGrid w:val="0"/>
          <w:color w:val="auto"/>
          <w:spacing w:val="0"/>
          <w:kern w:val="0"/>
          <w:sz w:val="32"/>
          <w:szCs w:val="32"/>
          <w:highlight w:val="none"/>
          <w:shd w:val="clear" w:color="auto" w:fill="auto"/>
          <w:lang w:val="en-US" w:eastAsia="zh-CN" w:bidi="ar-SA"/>
        </w:rPr>
        <w:t>以习近平新时代中国特色社会主义思想为指导，全面贯彻党的二十大和二十届历次全会精神，深入学习贯彻习近平总书记关于城市工作的重要论述及对北京系列重要讲话精神，认真落实</w:t>
      </w:r>
      <w:r>
        <w:rPr>
          <w:rFonts w:hint="eastAsia" w:ascii="Times New Roman" w:hAnsi="Times New Roman" w:eastAsia="Times New Roman" w:cs="Times New Roman"/>
          <w:i w:val="0"/>
          <w:iCs w:val="0"/>
          <w:caps w:val="0"/>
          <w:smallCaps w:val="0"/>
          <w:snapToGrid w:val="0"/>
          <w:color w:val="auto"/>
          <w:spacing w:val="0"/>
          <w:kern w:val="0"/>
          <w:sz w:val="32"/>
          <w:szCs w:val="32"/>
          <w:highlight w:val="none"/>
          <w:shd w:val="clear" w:color="auto" w:fill="auto"/>
          <w:lang w:val="en-US" w:eastAsia="zh-CN" w:bidi="ar-SA"/>
        </w:rPr>
        <w:t>2025</w:t>
      </w:r>
      <w:r>
        <w:rPr>
          <w:rFonts w:hint="eastAsia" w:ascii="仿宋" w:hAnsi="仿宋" w:eastAsia="仿宋_GB2312" w:cs="Arial"/>
          <w:i w:val="0"/>
          <w:iCs w:val="0"/>
          <w:caps w:val="0"/>
          <w:smallCaps w:val="0"/>
          <w:snapToGrid w:val="0"/>
          <w:color w:val="auto"/>
          <w:spacing w:val="0"/>
          <w:kern w:val="0"/>
          <w:sz w:val="32"/>
          <w:szCs w:val="32"/>
          <w:highlight w:val="none"/>
          <w:shd w:val="clear" w:color="auto" w:fill="auto"/>
          <w:lang w:val="en-US" w:eastAsia="zh-CN" w:bidi="ar-SA"/>
        </w:rPr>
        <w:t>年中央城市工作会议部署，立足丰台“四区一枢纽”功能定位，大力加强“四个中心”功能建设、提高“四个服务”水平，深入落实“三化五区”战略部署，锚定建设创新、宜居、美丽、韧性、文明、智慧的现代化人民城市目标，以内涵式发展为主线，为北京率先基本实现社会主义现代化取得决定性进展贡献丰台力量。</w:t>
      </w:r>
    </w:p>
    <w:p w14:paraId="02E0D225">
      <w:pPr>
        <w:pStyle w:val="3"/>
        <w:keepNext/>
        <w:keepLines/>
        <w:pageBreakBefore w:val="0"/>
        <w:widowControl/>
        <w:numPr>
          <w:ilvl w:val="0"/>
          <w:numId w:val="0"/>
        </w:numPr>
        <w:kinsoku/>
        <w:wordWrap/>
        <w:overflowPunct/>
        <w:topLinePunct w:val="0"/>
        <w:autoSpaceDE/>
        <w:autoSpaceDN/>
        <w:bidi w:val="0"/>
        <w:adjustRightInd/>
        <w:snapToGrid/>
        <w:spacing w:beforeLines="0" w:after="0" w:afterLines="0"/>
        <w:ind w:leftChars="200" w:firstLine="0" w:firstLineChars="0"/>
        <w:textAlignment w:val="baseline"/>
        <w:rPr>
          <w:rFonts w:hint="eastAsia" w:ascii="黑体" w:hAnsi="黑体" w:eastAsia="黑体" w:cs="黑体"/>
          <w:b w:val="0"/>
          <w:bCs/>
          <w:snapToGrid/>
          <w:color w:val="auto"/>
          <w:spacing w:val="-6"/>
          <w:kern w:val="2"/>
          <w:sz w:val="32"/>
          <w:szCs w:val="32"/>
          <w:highlight w:val="none"/>
          <w:shd w:val="clear"/>
          <w:lang w:val="en-US" w:eastAsia="zh-CN"/>
        </w:rPr>
      </w:pPr>
      <w:bookmarkStart w:id="15" w:name="_Toc7589"/>
      <w:bookmarkStart w:id="16" w:name="_Toc13053"/>
      <w:bookmarkStart w:id="17" w:name="_Toc16351"/>
      <w:bookmarkStart w:id="18" w:name="_Toc28567"/>
      <w:r>
        <w:rPr>
          <w:rFonts w:hint="eastAsia" w:ascii="黑体" w:hAnsi="黑体" w:eastAsia="黑体" w:cs="黑体"/>
          <w:b w:val="0"/>
          <w:bCs/>
          <w:snapToGrid/>
          <w:color w:val="auto"/>
          <w:spacing w:val="-6"/>
          <w:kern w:val="2"/>
          <w:sz w:val="32"/>
          <w:szCs w:val="32"/>
          <w:highlight w:val="none"/>
          <w:shd w:val="clear" w:color="auto" w:fill="auto"/>
          <w:lang w:val="en-US" w:eastAsia="zh-CN"/>
        </w:rPr>
        <w:t>二、规划原则</w:t>
      </w:r>
      <w:bookmarkEnd w:id="15"/>
    </w:p>
    <w:p w14:paraId="4666579E">
      <w:pPr>
        <w:keepNext w:val="0"/>
        <w:keepLines w:val="0"/>
        <w:pageBreakBefore w:val="0"/>
        <w:widowControl w:val="0"/>
        <w:kinsoku/>
        <w:wordWrap/>
        <w:overflowPunct/>
        <w:topLinePunct w:val="0"/>
        <w:autoSpaceDE/>
        <w:autoSpaceDN/>
        <w:bidi w:val="0"/>
        <w:adjustRightInd w:val="0"/>
        <w:snapToGrid w:val="0"/>
        <w:spacing w:beforeLines="0" w:after="0" w:afterLines="0" w:line="560" w:lineRule="exact"/>
        <w:ind w:firstLine="641" w:firstLineChars="0"/>
        <w:textAlignment w:val="auto"/>
        <w:rPr>
          <w:rFonts w:hint="eastAsia" w:ascii="仿宋_GB2312" w:hAnsi="仿宋_GB2312" w:eastAsia="仿宋_GB2312" w:cs="仿宋_GB2312"/>
          <w:b w:val="0"/>
          <w:bCs w:val="0"/>
          <w:snapToGrid/>
          <w:color w:val="auto"/>
          <w:spacing w:val="-6"/>
          <w:kern w:val="2"/>
          <w:sz w:val="32"/>
          <w:szCs w:val="32"/>
          <w:highlight w:val="none"/>
          <w:shd w:val="clear" w:color="auto" w:fill="auto"/>
          <w:lang w:val="en-US" w:eastAsia="zh-CN"/>
        </w:rPr>
      </w:pPr>
      <w:r>
        <w:rPr>
          <w:rFonts w:hint="eastAsia" w:ascii="仿宋_GB2312" w:hAnsi="仿宋_GB2312" w:eastAsia="仿宋_GB2312" w:cs="仿宋_GB2312"/>
          <w:b w:val="0"/>
          <w:bCs w:val="0"/>
          <w:snapToGrid/>
          <w:color w:val="auto"/>
          <w:spacing w:val="-6"/>
          <w:kern w:val="2"/>
          <w:sz w:val="32"/>
          <w:szCs w:val="32"/>
          <w:highlight w:val="none"/>
          <w:shd w:val="clear" w:color="auto" w:fill="auto"/>
          <w:lang w:val="en-US" w:eastAsia="zh-CN"/>
        </w:rPr>
        <w:t>“十五五”时期是丰台城市管理转型攻坚的关键期。本规划坚持人民城市理念主线，围绕“六个城市”建设目标，明确城市管理方向，确保各项任务落地见效。</w:t>
      </w:r>
    </w:p>
    <w:p w14:paraId="20858316">
      <w:pPr>
        <w:keepNext w:val="0"/>
        <w:keepLines w:val="0"/>
        <w:pageBreakBefore w:val="0"/>
        <w:widowControl w:val="0"/>
        <w:kinsoku/>
        <w:wordWrap/>
        <w:overflowPunct/>
        <w:topLinePunct w:val="0"/>
        <w:autoSpaceDE/>
        <w:autoSpaceDN/>
        <w:bidi w:val="0"/>
        <w:adjustRightInd w:val="0"/>
        <w:snapToGrid w:val="0"/>
        <w:spacing w:beforeLines="0" w:after="0" w:afterLines="0" w:line="560" w:lineRule="exact"/>
        <w:ind w:firstLine="641" w:firstLineChars="0"/>
        <w:textAlignment w:val="auto"/>
        <w:rPr>
          <w:rFonts w:hint="eastAsia" w:ascii="仿宋_GB2312" w:hAnsi="仿宋_GB2312" w:eastAsia="仿宋_GB2312" w:cs="仿宋_GB2312"/>
          <w:b w:val="0"/>
          <w:bCs w:val="0"/>
          <w:snapToGrid/>
          <w:color w:val="auto"/>
          <w:spacing w:val="-6"/>
          <w:kern w:val="2"/>
          <w:sz w:val="32"/>
          <w:szCs w:val="32"/>
          <w:highlight w:val="none"/>
          <w:shd w:val="clear" w:color="auto" w:fill="auto"/>
          <w:lang w:val="en-US" w:eastAsia="zh-CN"/>
        </w:rPr>
      </w:pPr>
      <w:r>
        <w:rPr>
          <w:rFonts w:hint="eastAsia" w:ascii="仿宋_GB2312" w:hAnsi="仿宋_GB2312" w:eastAsia="仿宋_GB2312" w:cs="仿宋_GB2312"/>
          <w:b/>
          <w:bCs/>
          <w:snapToGrid/>
          <w:color w:val="auto"/>
          <w:spacing w:val="-6"/>
          <w:kern w:val="2"/>
          <w:sz w:val="32"/>
          <w:szCs w:val="32"/>
          <w:highlight w:val="none"/>
          <w:shd w:val="clear" w:color="auto" w:fill="auto"/>
          <w:lang w:val="en-US" w:eastAsia="zh-CN"/>
        </w:rPr>
        <w:t>坚持党建引领，构建多元共治格局。</w:t>
      </w:r>
      <w:r>
        <w:rPr>
          <w:rFonts w:hint="eastAsia" w:ascii="仿宋_GB2312" w:hAnsi="仿宋_GB2312" w:eastAsia="仿宋_GB2312" w:cs="仿宋_GB2312"/>
          <w:b w:val="0"/>
          <w:bCs w:val="0"/>
          <w:snapToGrid/>
          <w:color w:val="auto"/>
          <w:spacing w:val="-6"/>
          <w:kern w:val="2"/>
          <w:sz w:val="32"/>
          <w:szCs w:val="32"/>
          <w:highlight w:val="none"/>
          <w:shd w:val="clear" w:color="auto" w:fill="auto"/>
          <w:lang w:val="en-US" w:eastAsia="zh-CN"/>
        </w:rPr>
        <w:t>推动城市管理由粗放管理向精细治理转变，以“长辛先锋”牵引治理重心持续向基层下沉、向源头前移。</w:t>
      </w:r>
    </w:p>
    <w:p w14:paraId="6D9A23B9">
      <w:pPr>
        <w:keepNext w:val="0"/>
        <w:keepLines w:val="0"/>
        <w:pageBreakBefore w:val="0"/>
        <w:widowControl w:val="0"/>
        <w:kinsoku/>
        <w:wordWrap/>
        <w:overflowPunct/>
        <w:topLinePunct w:val="0"/>
        <w:autoSpaceDE/>
        <w:autoSpaceDN/>
        <w:bidi w:val="0"/>
        <w:adjustRightInd w:val="0"/>
        <w:snapToGrid w:val="0"/>
        <w:spacing w:beforeLines="0" w:after="0" w:afterLines="0" w:line="560" w:lineRule="exact"/>
        <w:ind w:firstLine="641" w:firstLineChars="0"/>
        <w:textAlignment w:val="auto"/>
        <w:rPr>
          <w:rFonts w:hint="eastAsia" w:ascii="仿宋_GB2312" w:hAnsi="仿宋_GB2312" w:eastAsia="仿宋_GB2312" w:cs="仿宋_GB2312"/>
          <w:b w:val="0"/>
          <w:bCs w:val="0"/>
          <w:snapToGrid/>
          <w:color w:val="auto"/>
          <w:spacing w:val="-6"/>
          <w:kern w:val="2"/>
          <w:sz w:val="32"/>
          <w:szCs w:val="32"/>
          <w:highlight w:val="none"/>
          <w:shd w:val="clear" w:color="auto" w:fill="auto"/>
          <w:lang w:val="en-US" w:eastAsia="zh-CN"/>
        </w:rPr>
      </w:pPr>
      <w:r>
        <w:rPr>
          <w:rFonts w:hint="eastAsia" w:ascii="仿宋_GB2312" w:hAnsi="仿宋_GB2312" w:eastAsia="仿宋_GB2312" w:cs="仿宋_GB2312"/>
          <w:b/>
          <w:bCs/>
          <w:snapToGrid/>
          <w:color w:val="auto"/>
          <w:spacing w:val="-6"/>
          <w:kern w:val="2"/>
          <w:sz w:val="32"/>
          <w:szCs w:val="32"/>
          <w:highlight w:val="none"/>
          <w:shd w:val="clear" w:color="auto" w:fill="auto"/>
          <w:lang w:val="en-US" w:eastAsia="zh-CN"/>
        </w:rPr>
        <w:t>坚持人民城市，提升宜居服务品质。</w:t>
      </w:r>
      <w:r>
        <w:rPr>
          <w:rFonts w:hint="eastAsia" w:ascii="仿宋_GB2312" w:hAnsi="仿宋_GB2312" w:eastAsia="仿宋_GB2312" w:cs="仿宋_GB2312"/>
          <w:b w:val="0"/>
          <w:bCs w:val="0"/>
          <w:snapToGrid/>
          <w:color w:val="auto"/>
          <w:spacing w:val="-6"/>
          <w:kern w:val="2"/>
          <w:sz w:val="32"/>
          <w:szCs w:val="32"/>
          <w:highlight w:val="none"/>
          <w:shd w:val="clear" w:color="auto" w:fill="auto"/>
          <w:lang w:val="en-US" w:eastAsia="zh-CN"/>
        </w:rPr>
        <w:t>推动城市管理由“诉求找上门”向“未诉先治”深化，以“接诉即办”纵深推进管理服务进社区、进街巷。</w:t>
      </w:r>
    </w:p>
    <w:p w14:paraId="4B59C5B8">
      <w:pPr>
        <w:keepNext w:val="0"/>
        <w:keepLines w:val="0"/>
        <w:pageBreakBefore w:val="0"/>
        <w:widowControl w:val="0"/>
        <w:kinsoku/>
        <w:wordWrap/>
        <w:overflowPunct/>
        <w:topLinePunct w:val="0"/>
        <w:autoSpaceDE/>
        <w:autoSpaceDN/>
        <w:bidi w:val="0"/>
        <w:adjustRightInd w:val="0"/>
        <w:snapToGrid w:val="0"/>
        <w:spacing w:beforeLines="0" w:after="0" w:afterLines="0" w:line="560" w:lineRule="exact"/>
        <w:ind w:firstLine="641" w:firstLineChars="0"/>
        <w:textAlignment w:val="auto"/>
        <w:rPr>
          <w:rFonts w:hint="eastAsia" w:ascii="仿宋_GB2312" w:hAnsi="仿宋_GB2312" w:eastAsia="仿宋_GB2312" w:cs="仿宋_GB2312"/>
          <w:b w:val="0"/>
          <w:bCs w:val="0"/>
          <w:snapToGrid/>
          <w:color w:val="auto"/>
          <w:spacing w:val="-6"/>
          <w:kern w:val="2"/>
          <w:sz w:val="32"/>
          <w:szCs w:val="32"/>
          <w:highlight w:val="none"/>
          <w:shd w:val="clear" w:color="auto" w:fill="auto"/>
          <w:lang w:val="en-US" w:eastAsia="zh-CN"/>
        </w:rPr>
      </w:pPr>
      <w:r>
        <w:rPr>
          <w:rFonts w:hint="eastAsia" w:ascii="仿宋_GB2312" w:hAnsi="仿宋_GB2312" w:eastAsia="仿宋_GB2312" w:cs="仿宋_GB2312"/>
          <w:b/>
          <w:bCs/>
          <w:snapToGrid/>
          <w:color w:val="auto"/>
          <w:spacing w:val="-6"/>
          <w:kern w:val="2"/>
          <w:sz w:val="32"/>
          <w:szCs w:val="32"/>
          <w:highlight w:val="none"/>
          <w:shd w:val="clear" w:color="auto" w:fill="auto"/>
          <w:lang w:val="en-US" w:eastAsia="zh-CN"/>
        </w:rPr>
        <w:t>坚持品质塑造，改善城乡环境风貌。</w:t>
      </w:r>
      <w:r>
        <w:rPr>
          <w:rFonts w:hint="eastAsia" w:ascii="仿宋_GB2312" w:hAnsi="仿宋_GB2312" w:eastAsia="仿宋_GB2312" w:cs="仿宋_GB2312"/>
          <w:b w:val="0"/>
          <w:bCs w:val="0"/>
          <w:snapToGrid/>
          <w:color w:val="auto"/>
          <w:spacing w:val="-6"/>
          <w:kern w:val="2"/>
          <w:sz w:val="32"/>
          <w:szCs w:val="32"/>
          <w:highlight w:val="none"/>
          <w:shd w:val="clear" w:color="auto" w:fill="auto"/>
          <w:lang w:val="en-US" w:eastAsia="zh-CN"/>
        </w:rPr>
        <w:t>推动城市环境由“干净整洁”向“品质示范”跃升，以“提景增靓”持续彰显首都风范、古都风韵、时代风貌。</w:t>
      </w:r>
    </w:p>
    <w:p w14:paraId="0E1C479C">
      <w:pPr>
        <w:keepNext w:val="0"/>
        <w:keepLines w:val="0"/>
        <w:pageBreakBefore w:val="0"/>
        <w:widowControl w:val="0"/>
        <w:kinsoku/>
        <w:wordWrap/>
        <w:overflowPunct/>
        <w:topLinePunct w:val="0"/>
        <w:autoSpaceDE/>
        <w:autoSpaceDN/>
        <w:bidi w:val="0"/>
        <w:adjustRightInd w:val="0"/>
        <w:snapToGrid w:val="0"/>
        <w:spacing w:beforeLines="0" w:after="0" w:afterLines="0" w:line="560" w:lineRule="exact"/>
        <w:ind w:firstLine="641" w:firstLineChars="0"/>
        <w:textAlignment w:val="auto"/>
        <w:rPr>
          <w:rFonts w:hint="eastAsia" w:ascii="仿宋_GB2312" w:hAnsi="仿宋_GB2312" w:eastAsia="仿宋_GB2312" w:cs="仿宋_GB2312"/>
          <w:b w:val="0"/>
          <w:bCs w:val="0"/>
          <w:snapToGrid/>
          <w:color w:val="auto"/>
          <w:spacing w:val="-6"/>
          <w:kern w:val="2"/>
          <w:sz w:val="32"/>
          <w:szCs w:val="32"/>
          <w:highlight w:val="none"/>
          <w:shd w:val="clear" w:color="auto" w:fill="auto"/>
          <w:lang w:val="en-US" w:eastAsia="zh-CN"/>
        </w:rPr>
      </w:pPr>
      <w:r>
        <w:rPr>
          <w:rFonts w:hint="eastAsia" w:ascii="仿宋_GB2312" w:hAnsi="仿宋_GB2312" w:eastAsia="仿宋_GB2312" w:cs="仿宋_GB2312"/>
          <w:b/>
          <w:bCs/>
          <w:snapToGrid/>
          <w:color w:val="auto"/>
          <w:spacing w:val="-6"/>
          <w:kern w:val="2"/>
          <w:sz w:val="32"/>
          <w:szCs w:val="32"/>
          <w:highlight w:val="none"/>
          <w:shd w:val="clear" w:color="auto" w:fill="auto"/>
          <w:lang w:val="en-US" w:eastAsia="zh-CN"/>
        </w:rPr>
        <w:t>坚持风险防控，筑牢城市安全底线。</w:t>
      </w:r>
      <w:r>
        <w:rPr>
          <w:rFonts w:hint="eastAsia" w:ascii="仿宋_GB2312" w:hAnsi="仿宋_GB2312" w:eastAsia="仿宋_GB2312" w:cs="仿宋_GB2312"/>
          <w:b w:val="0"/>
          <w:bCs w:val="0"/>
          <w:snapToGrid/>
          <w:color w:val="auto"/>
          <w:spacing w:val="-6"/>
          <w:kern w:val="2"/>
          <w:sz w:val="32"/>
          <w:szCs w:val="32"/>
          <w:highlight w:val="none"/>
          <w:shd w:val="clear" w:color="auto" w:fill="auto"/>
          <w:lang w:val="en-US" w:eastAsia="zh-CN"/>
        </w:rPr>
        <w:t>推动安全保障由事后处置向全过程防控延伸，持续加快水电气热等老旧管线更新改造，确保城市运行安全底线。</w:t>
      </w:r>
    </w:p>
    <w:p w14:paraId="6B4F0A3E">
      <w:pPr>
        <w:keepNext w:val="0"/>
        <w:keepLines w:val="0"/>
        <w:pageBreakBefore w:val="0"/>
        <w:widowControl w:val="0"/>
        <w:kinsoku/>
        <w:wordWrap/>
        <w:overflowPunct/>
        <w:topLinePunct w:val="0"/>
        <w:autoSpaceDE/>
        <w:autoSpaceDN/>
        <w:bidi w:val="0"/>
        <w:adjustRightInd w:val="0"/>
        <w:snapToGrid w:val="0"/>
        <w:spacing w:beforeLines="0" w:after="0" w:afterLines="0" w:line="560" w:lineRule="exact"/>
        <w:ind w:firstLine="641" w:firstLineChars="0"/>
        <w:textAlignment w:val="auto"/>
        <w:rPr>
          <w:rFonts w:hint="eastAsia" w:ascii="仿宋_GB2312" w:hAnsi="仿宋_GB2312" w:eastAsia="仿宋_GB2312" w:cs="仿宋_GB2312"/>
          <w:b w:val="0"/>
          <w:bCs w:val="0"/>
          <w:snapToGrid/>
          <w:color w:val="auto"/>
          <w:spacing w:val="-6"/>
          <w:kern w:val="2"/>
          <w:sz w:val="32"/>
          <w:szCs w:val="32"/>
          <w:highlight w:val="none"/>
          <w:shd w:val="clear" w:color="auto" w:fill="auto"/>
          <w:lang w:val="en-US" w:eastAsia="zh-CN"/>
        </w:rPr>
      </w:pPr>
      <w:r>
        <w:rPr>
          <w:rFonts w:hint="eastAsia" w:ascii="仿宋_GB2312" w:hAnsi="仿宋_GB2312" w:eastAsia="仿宋_GB2312" w:cs="仿宋_GB2312"/>
          <w:b/>
          <w:bCs/>
          <w:snapToGrid/>
          <w:color w:val="auto"/>
          <w:spacing w:val="-6"/>
          <w:kern w:val="2"/>
          <w:sz w:val="32"/>
          <w:szCs w:val="32"/>
          <w:highlight w:val="none"/>
          <w:shd w:val="clear" w:color="auto" w:fill="auto"/>
          <w:lang w:val="en-US" w:eastAsia="zh-CN"/>
        </w:rPr>
        <w:t>坚持源头治理，涵养首都文明风尚。</w:t>
      </w:r>
      <w:r>
        <w:rPr>
          <w:rFonts w:hint="eastAsia" w:ascii="仿宋_GB2312" w:hAnsi="仿宋_GB2312" w:eastAsia="仿宋_GB2312" w:cs="仿宋_GB2312"/>
          <w:b w:val="0"/>
          <w:bCs w:val="0"/>
          <w:snapToGrid/>
          <w:color w:val="auto"/>
          <w:spacing w:val="-6"/>
          <w:kern w:val="2"/>
          <w:sz w:val="32"/>
          <w:szCs w:val="32"/>
          <w:highlight w:val="none"/>
          <w:shd w:val="clear" w:color="auto" w:fill="auto"/>
          <w:lang w:val="en-US" w:eastAsia="zh-CN"/>
        </w:rPr>
        <w:t>推动文明建设由外部引导向习惯养成转化，深化“两网融合”和垃圾全链条治理，实现文明风尚建设常态长效。</w:t>
      </w:r>
    </w:p>
    <w:p w14:paraId="52ACDED3">
      <w:pPr>
        <w:keepNext w:val="0"/>
        <w:keepLines w:val="0"/>
        <w:pageBreakBefore w:val="0"/>
        <w:widowControl w:val="0"/>
        <w:kinsoku/>
        <w:wordWrap/>
        <w:overflowPunct/>
        <w:topLinePunct w:val="0"/>
        <w:autoSpaceDE/>
        <w:autoSpaceDN/>
        <w:bidi w:val="0"/>
        <w:adjustRightInd w:val="0"/>
        <w:snapToGrid w:val="0"/>
        <w:spacing w:beforeLines="0" w:after="0" w:afterLines="0" w:line="560" w:lineRule="exact"/>
        <w:ind w:firstLine="641" w:firstLineChars="0"/>
        <w:textAlignment w:val="auto"/>
        <w:rPr>
          <w:rFonts w:hint="eastAsia" w:ascii="仿宋_GB2312" w:hAnsi="仿宋_GB2312" w:eastAsia="仿宋_GB2312" w:cs="仿宋_GB2312"/>
          <w:b w:val="0"/>
          <w:bCs/>
          <w:snapToGrid/>
          <w:color w:val="auto"/>
          <w:spacing w:val="-6"/>
          <w:kern w:val="2"/>
          <w:sz w:val="32"/>
          <w:szCs w:val="32"/>
          <w:highlight w:val="none"/>
          <w:shd w:val="clear" w:color="auto" w:fill="auto"/>
          <w:lang w:val="en-US" w:eastAsia="zh-CN"/>
        </w:rPr>
      </w:pPr>
      <w:r>
        <w:rPr>
          <w:rFonts w:hint="eastAsia" w:ascii="仿宋_GB2312" w:hAnsi="仿宋_GB2312" w:eastAsia="仿宋_GB2312" w:cs="仿宋_GB2312"/>
          <w:b/>
          <w:bCs/>
          <w:snapToGrid/>
          <w:color w:val="auto"/>
          <w:spacing w:val="-6"/>
          <w:kern w:val="2"/>
          <w:sz w:val="32"/>
          <w:szCs w:val="32"/>
          <w:highlight w:val="none"/>
          <w:shd w:val="clear" w:color="auto" w:fill="auto"/>
          <w:lang w:val="en-US" w:eastAsia="zh-CN"/>
        </w:rPr>
        <w:t>坚持数字赋能，提高数智治理水平。</w:t>
      </w:r>
      <w:r>
        <w:rPr>
          <w:rFonts w:hint="eastAsia" w:ascii="仿宋_GB2312" w:hAnsi="仿宋_GB2312" w:eastAsia="仿宋_GB2312" w:cs="仿宋_GB2312"/>
          <w:b w:val="0"/>
          <w:bCs w:val="0"/>
          <w:snapToGrid/>
          <w:color w:val="auto"/>
          <w:spacing w:val="-6"/>
          <w:kern w:val="2"/>
          <w:sz w:val="32"/>
          <w:szCs w:val="32"/>
          <w:highlight w:val="none"/>
          <w:shd w:val="clear" w:color="auto" w:fill="auto"/>
          <w:lang w:val="en-US" w:eastAsia="zh-CN"/>
        </w:rPr>
        <w:t>推动城市管理由经验判断向数据驱动升级，依托“丰智汇”深化“一网统管”“一网慧治”，提升城市运行感知能力。</w:t>
      </w:r>
    </w:p>
    <w:p w14:paraId="4B409279">
      <w:pPr>
        <w:pStyle w:val="3"/>
        <w:keepNext w:val="0"/>
        <w:keepLines w:val="0"/>
        <w:pageBreakBefore w:val="0"/>
        <w:widowControl w:val="0"/>
        <w:numPr>
          <w:ilvl w:val="0"/>
          <w:numId w:val="0"/>
        </w:numPr>
        <w:kinsoku/>
        <w:wordWrap/>
        <w:overflowPunct/>
        <w:topLinePunct w:val="0"/>
        <w:autoSpaceDE/>
        <w:autoSpaceDN/>
        <w:bidi w:val="0"/>
        <w:adjustRightInd/>
        <w:snapToGrid/>
        <w:spacing w:beforeLines="0" w:after="0" w:afterLines="0"/>
        <w:ind w:leftChars="200" w:firstLine="0" w:firstLineChars="0"/>
        <w:textAlignment w:val="baseline"/>
        <w:rPr>
          <w:rFonts w:hint="eastAsia" w:ascii="黑体" w:hAnsi="黑体" w:eastAsia="黑体" w:cs="黑体"/>
          <w:b w:val="0"/>
          <w:bCs/>
          <w:snapToGrid/>
          <w:color w:val="auto"/>
          <w:spacing w:val="-6"/>
          <w:kern w:val="2"/>
          <w:sz w:val="32"/>
          <w:szCs w:val="32"/>
          <w:highlight w:val="none"/>
          <w:shd w:val="clear" w:color="auto" w:fill="auto"/>
          <w:lang w:val="en-US" w:eastAsia="zh-CN"/>
        </w:rPr>
      </w:pPr>
      <w:bookmarkStart w:id="19" w:name="_Toc17014"/>
      <w:r>
        <w:rPr>
          <w:rFonts w:hint="eastAsia" w:ascii="黑体" w:hAnsi="黑体" w:eastAsia="黑体" w:cs="黑体"/>
          <w:b w:val="0"/>
          <w:bCs/>
          <w:snapToGrid/>
          <w:color w:val="auto"/>
          <w:spacing w:val="-6"/>
          <w:kern w:val="2"/>
          <w:sz w:val="32"/>
          <w:szCs w:val="32"/>
          <w:highlight w:val="none"/>
          <w:shd w:val="clear" w:color="auto" w:fill="auto"/>
          <w:lang w:val="en-US" w:eastAsia="zh-CN"/>
        </w:rPr>
        <w:t>三、发展目标</w:t>
      </w:r>
      <w:bookmarkEnd w:id="19"/>
    </w:p>
    <w:p w14:paraId="03A3CA87">
      <w:pPr>
        <w:keepNext w:val="0"/>
        <w:keepLines w:val="0"/>
        <w:pageBreakBefore w:val="0"/>
        <w:widowControl w:val="0"/>
        <w:kinsoku/>
        <w:wordWrap/>
        <w:overflowPunct/>
        <w:topLinePunct w:val="0"/>
        <w:autoSpaceDE/>
        <w:autoSpaceDN/>
        <w:bidi w:val="0"/>
        <w:adjustRightInd w:val="0"/>
        <w:snapToGrid w:val="0"/>
        <w:spacing w:beforeLines="0" w:after="0" w:afterLines="0" w:line="560" w:lineRule="exact"/>
        <w:ind w:firstLine="640" w:firstLineChars="0"/>
        <w:textAlignment w:val="auto"/>
        <w:rPr>
          <w:rFonts w:hint="eastAsia" w:ascii="仿宋_GB2312" w:eastAsia="仿宋_GB2312" w:cs="Arial"/>
          <w:b/>
          <w:bCs/>
          <w:color w:val="auto"/>
          <w:sz w:val="32"/>
          <w:szCs w:val="32"/>
          <w:lang w:val="en-US" w:eastAsia="zh-CN"/>
        </w:rPr>
      </w:pPr>
      <w:r>
        <w:rPr>
          <w:rFonts w:hint="default" w:ascii="仿宋" w:hAnsi="仿宋" w:eastAsia="仿宋_GB2312" w:cs="Arial"/>
          <w:b w:val="0"/>
          <w:bCs w:val="0"/>
          <w:snapToGrid w:val="0"/>
          <w:color w:val="auto"/>
          <w:spacing w:val="0"/>
          <w:kern w:val="0"/>
          <w:sz w:val="32"/>
          <w:szCs w:val="32"/>
          <w:highlight w:val="none"/>
          <w:shd w:val="clear" w:color="auto" w:fill="auto"/>
          <w:lang w:val="en-US" w:eastAsia="zh-CN"/>
        </w:rPr>
        <w:t>到</w:t>
      </w:r>
      <w:r>
        <w:rPr>
          <w:rFonts w:hint="default" w:ascii="Times New Roman" w:hAnsi="Times New Roman" w:eastAsia="Times New Roman" w:cs="Times New Roman"/>
          <w:b w:val="0"/>
          <w:bCs w:val="0"/>
          <w:snapToGrid w:val="0"/>
          <w:color w:val="auto"/>
          <w:spacing w:val="0"/>
          <w:kern w:val="0"/>
          <w:sz w:val="32"/>
          <w:szCs w:val="32"/>
          <w:highlight w:val="none"/>
          <w:shd w:val="clear" w:color="auto" w:fill="auto"/>
          <w:lang w:val="en-US" w:eastAsia="zh-CN"/>
        </w:rPr>
        <w:t>2030</w:t>
      </w:r>
      <w:r>
        <w:rPr>
          <w:rFonts w:hint="default" w:ascii="仿宋" w:hAnsi="仿宋" w:eastAsia="仿宋_GB2312" w:cs="Arial"/>
          <w:b w:val="0"/>
          <w:bCs w:val="0"/>
          <w:snapToGrid w:val="0"/>
          <w:color w:val="auto"/>
          <w:spacing w:val="0"/>
          <w:kern w:val="0"/>
          <w:sz w:val="32"/>
          <w:szCs w:val="32"/>
          <w:highlight w:val="none"/>
          <w:shd w:val="clear" w:color="auto" w:fill="auto"/>
          <w:lang w:val="en-US" w:eastAsia="zh-CN"/>
        </w:rPr>
        <w:t>年，与社会主义现代化强国首都形象相匹配、与丰台</w:t>
      </w:r>
      <w:r>
        <w:rPr>
          <w:rFonts w:hint="eastAsia" w:ascii="仿宋" w:hAnsi="仿宋" w:eastAsia="仿宋_GB2312" w:cs="Arial"/>
          <w:b w:val="0"/>
          <w:bCs w:val="0"/>
          <w:snapToGrid w:val="0"/>
          <w:color w:val="auto"/>
          <w:spacing w:val="0"/>
          <w:kern w:val="0"/>
          <w:sz w:val="32"/>
          <w:szCs w:val="32"/>
          <w:highlight w:val="none"/>
          <w:shd w:val="clear" w:color="auto" w:fill="auto"/>
          <w:lang w:val="en-US" w:eastAsia="zh-CN"/>
        </w:rPr>
        <w:t>“</w:t>
      </w:r>
      <w:r>
        <w:rPr>
          <w:rFonts w:hint="default" w:ascii="仿宋" w:hAnsi="仿宋" w:eastAsia="仿宋_GB2312" w:cs="Arial"/>
          <w:b w:val="0"/>
          <w:bCs w:val="0"/>
          <w:snapToGrid w:val="0"/>
          <w:color w:val="auto"/>
          <w:spacing w:val="0"/>
          <w:kern w:val="0"/>
          <w:sz w:val="32"/>
          <w:szCs w:val="32"/>
          <w:highlight w:val="none"/>
          <w:shd w:val="clear" w:color="auto" w:fill="auto"/>
          <w:lang w:val="en-US" w:eastAsia="zh-CN"/>
        </w:rPr>
        <w:t>四区一枢纽</w:t>
      </w:r>
      <w:r>
        <w:rPr>
          <w:rFonts w:hint="eastAsia" w:ascii="仿宋" w:hAnsi="仿宋" w:eastAsia="仿宋_GB2312" w:cs="Arial"/>
          <w:b w:val="0"/>
          <w:bCs w:val="0"/>
          <w:snapToGrid w:val="0"/>
          <w:color w:val="auto"/>
          <w:spacing w:val="0"/>
          <w:kern w:val="0"/>
          <w:sz w:val="32"/>
          <w:szCs w:val="32"/>
          <w:highlight w:val="none"/>
          <w:shd w:val="clear" w:color="auto" w:fill="auto"/>
          <w:lang w:val="en-US" w:eastAsia="zh-CN"/>
        </w:rPr>
        <w:t>”</w:t>
      </w:r>
      <w:r>
        <w:rPr>
          <w:rFonts w:hint="default" w:ascii="仿宋" w:hAnsi="仿宋" w:eastAsia="仿宋_GB2312" w:cs="Arial"/>
          <w:b w:val="0"/>
          <w:bCs w:val="0"/>
          <w:snapToGrid w:val="0"/>
          <w:color w:val="auto"/>
          <w:spacing w:val="0"/>
          <w:kern w:val="0"/>
          <w:sz w:val="32"/>
          <w:szCs w:val="32"/>
          <w:highlight w:val="none"/>
          <w:shd w:val="clear" w:color="auto" w:fill="auto"/>
          <w:lang w:val="en-US" w:eastAsia="zh-CN"/>
        </w:rPr>
        <w:t>功能定位和市民对美好生活的新期待相契合、具备首善</w:t>
      </w:r>
      <w:r>
        <w:rPr>
          <w:rFonts w:hint="default" w:ascii="仿宋" w:hAnsi="仿宋" w:eastAsia="仿宋_GB2312" w:cs="Arial"/>
          <w:b w:val="0"/>
          <w:bCs/>
          <w:snapToGrid w:val="0"/>
          <w:color w:val="auto"/>
          <w:spacing w:val="0"/>
          <w:kern w:val="0"/>
          <w:sz w:val="32"/>
          <w:szCs w:val="32"/>
          <w:highlight w:val="none"/>
          <w:shd w:val="clear" w:color="auto" w:fill="auto"/>
          <w:lang w:val="en-US" w:eastAsia="zh-CN"/>
        </w:rPr>
        <w:t>标准</w:t>
      </w:r>
      <w:r>
        <w:rPr>
          <w:rFonts w:hint="default" w:ascii="仿宋" w:hAnsi="仿宋" w:eastAsia="仿宋_GB2312" w:cs="Arial"/>
          <w:b w:val="0"/>
          <w:bCs w:val="0"/>
          <w:snapToGrid w:val="0"/>
          <w:color w:val="auto"/>
          <w:spacing w:val="0"/>
          <w:kern w:val="0"/>
          <w:sz w:val="32"/>
          <w:szCs w:val="32"/>
          <w:highlight w:val="none"/>
          <w:shd w:val="clear" w:color="auto" w:fill="auto"/>
          <w:lang w:val="en-US" w:eastAsia="zh-CN"/>
        </w:rPr>
        <w:t>和高品质内涵的现代化城市管理体系初步形成，</w:t>
      </w:r>
      <w:r>
        <w:rPr>
          <w:rFonts w:hint="eastAsia" w:ascii="仿宋" w:hAnsi="仿宋" w:eastAsia="仿宋_GB2312" w:cs="Arial"/>
          <w:b w:val="0"/>
          <w:bCs w:val="0"/>
          <w:snapToGrid w:val="0"/>
          <w:color w:val="auto"/>
          <w:spacing w:val="0"/>
          <w:kern w:val="0"/>
          <w:sz w:val="32"/>
          <w:szCs w:val="32"/>
          <w:highlight w:val="none"/>
          <w:shd w:val="clear" w:color="auto" w:fill="auto"/>
          <w:lang w:val="en-US" w:eastAsia="zh-CN"/>
        </w:rPr>
        <w:t>“</w:t>
      </w:r>
      <w:r>
        <w:rPr>
          <w:rFonts w:hint="default" w:ascii="仿宋" w:hAnsi="仿宋" w:eastAsia="仿宋_GB2312" w:cs="Arial"/>
          <w:b w:val="0"/>
          <w:bCs w:val="0"/>
          <w:snapToGrid w:val="0"/>
          <w:color w:val="auto"/>
          <w:spacing w:val="0"/>
          <w:kern w:val="0"/>
          <w:sz w:val="32"/>
          <w:szCs w:val="32"/>
          <w:highlight w:val="none"/>
          <w:shd w:val="clear" w:color="auto" w:fill="auto"/>
          <w:lang w:val="en-US" w:eastAsia="zh-CN"/>
        </w:rPr>
        <w:t>六个城市</w:t>
      </w:r>
      <w:r>
        <w:rPr>
          <w:rFonts w:hint="eastAsia" w:ascii="仿宋" w:hAnsi="仿宋" w:eastAsia="仿宋_GB2312" w:cs="Arial"/>
          <w:b w:val="0"/>
          <w:bCs w:val="0"/>
          <w:snapToGrid w:val="0"/>
          <w:color w:val="auto"/>
          <w:spacing w:val="0"/>
          <w:kern w:val="0"/>
          <w:sz w:val="32"/>
          <w:szCs w:val="32"/>
          <w:highlight w:val="none"/>
          <w:shd w:val="clear" w:color="auto" w:fill="auto"/>
          <w:lang w:val="en-US" w:eastAsia="zh-CN"/>
        </w:rPr>
        <w:t>”</w:t>
      </w:r>
      <w:r>
        <w:rPr>
          <w:rFonts w:hint="default" w:ascii="仿宋" w:hAnsi="仿宋" w:eastAsia="仿宋_GB2312" w:cs="Arial"/>
          <w:b w:val="0"/>
          <w:bCs w:val="0"/>
          <w:snapToGrid w:val="0"/>
          <w:color w:val="auto"/>
          <w:spacing w:val="0"/>
          <w:kern w:val="0"/>
          <w:sz w:val="32"/>
          <w:szCs w:val="32"/>
          <w:highlight w:val="none"/>
          <w:shd w:val="clear" w:color="auto" w:fill="auto"/>
          <w:lang w:val="en-US" w:eastAsia="zh-CN"/>
        </w:rPr>
        <w:t>建设取得突破性进展，为</w:t>
      </w:r>
      <w:r>
        <w:rPr>
          <w:rFonts w:hint="eastAsia" w:ascii="仿宋" w:hAnsi="仿宋" w:eastAsia="仿宋_GB2312" w:cs="Arial"/>
          <w:b w:val="0"/>
          <w:bCs w:val="0"/>
          <w:snapToGrid w:val="0"/>
          <w:color w:val="auto"/>
          <w:spacing w:val="0"/>
          <w:kern w:val="0"/>
          <w:sz w:val="32"/>
          <w:szCs w:val="32"/>
          <w:highlight w:val="none"/>
          <w:shd w:val="clear" w:color="auto" w:fill="auto"/>
          <w:lang w:val="en-US" w:eastAsia="zh-CN"/>
        </w:rPr>
        <w:t>“</w:t>
      </w:r>
      <w:r>
        <w:rPr>
          <w:rFonts w:hint="default" w:ascii="仿宋" w:hAnsi="仿宋" w:eastAsia="仿宋_GB2312" w:cs="Arial"/>
          <w:b w:val="0"/>
          <w:bCs w:val="0"/>
          <w:snapToGrid w:val="0"/>
          <w:color w:val="auto"/>
          <w:spacing w:val="0"/>
          <w:kern w:val="0"/>
          <w:sz w:val="32"/>
          <w:szCs w:val="32"/>
          <w:highlight w:val="none"/>
          <w:shd w:val="clear" w:color="auto" w:fill="auto"/>
          <w:lang w:val="en-US" w:eastAsia="zh-CN"/>
        </w:rPr>
        <w:t>三化五区</w:t>
      </w:r>
      <w:r>
        <w:rPr>
          <w:rFonts w:hint="eastAsia" w:ascii="仿宋" w:hAnsi="仿宋" w:eastAsia="仿宋_GB2312" w:cs="Arial"/>
          <w:b w:val="0"/>
          <w:bCs w:val="0"/>
          <w:snapToGrid w:val="0"/>
          <w:color w:val="auto"/>
          <w:spacing w:val="0"/>
          <w:kern w:val="0"/>
          <w:sz w:val="32"/>
          <w:szCs w:val="32"/>
          <w:highlight w:val="none"/>
          <w:shd w:val="clear" w:color="auto" w:fill="auto"/>
          <w:lang w:val="en-US" w:eastAsia="zh-CN"/>
        </w:rPr>
        <w:t>”</w:t>
      </w:r>
      <w:r>
        <w:rPr>
          <w:rFonts w:hint="default" w:ascii="仿宋" w:hAnsi="仿宋" w:eastAsia="仿宋_GB2312" w:cs="Arial"/>
          <w:b w:val="0"/>
          <w:bCs w:val="0"/>
          <w:snapToGrid w:val="0"/>
          <w:color w:val="auto"/>
          <w:spacing w:val="0"/>
          <w:kern w:val="0"/>
          <w:sz w:val="32"/>
          <w:szCs w:val="32"/>
          <w:highlight w:val="none"/>
          <w:shd w:val="clear" w:color="auto" w:fill="auto"/>
          <w:lang w:val="en-US" w:eastAsia="zh-CN"/>
        </w:rPr>
        <w:t>战略纵深实施和</w:t>
      </w:r>
      <w:r>
        <w:rPr>
          <w:rFonts w:hint="eastAsia" w:ascii="仿宋" w:hAnsi="仿宋" w:eastAsia="仿宋_GB2312" w:cs="Arial"/>
          <w:b w:val="0"/>
          <w:bCs w:val="0"/>
          <w:snapToGrid w:val="0"/>
          <w:color w:val="auto"/>
          <w:spacing w:val="0"/>
          <w:kern w:val="0"/>
          <w:sz w:val="32"/>
          <w:szCs w:val="32"/>
          <w:highlight w:val="none"/>
          <w:shd w:val="clear" w:color="auto" w:fill="auto"/>
          <w:lang w:val="en-US" w:eastAsia="zh-CN"/>
        </w:rPr>
        <w:t>“</w:t>
      </w:r>
      <w:r>
        <w:rPr>
          <w:rFonts w:hint="default" w:ascii="仿宋" w:hAnsi="仿宋" w:eastAsia="仿宋_GB2312" w:cs="Arial"/>
          <w:b w:val="0"/>
          <w:bCs w:val="0"/>
          <w:snapToGrid w:val="0"/>
          <w:color w:val="auto"/>
          <w:spacing w:val="0"/>
          <w:kern w:val="0"/>
          <w:sz w:val="32"/>
          <w:szCs w:val="32"/>
          <w:highlight w:val="none"/>
          <w:shd w:val="clear" w:color="auto" w:fill="auto"/>
          <w:lang w:val="en-US" w:eastAsia="zh-CN"/>
        </w:rPr>
        <w:t>首都前院、城市门户、文化客厅、生态屏障、幸福家园</w:t>
      </w:r>
      <w:r>
        <w:rPr>
          <w:rFonts w:hint="eastAsia" w:ascii="仿宋" w:hAnsi="仿宋" w:eastAsia="仿宋_GB2312" w:cs="Arial"/>
          <w:b w:val="0"/>
          <w:bCs w:val="0"/>
          <w:snapToGrid w:val="0"/>
          <w:color w:val="auto"/>
          <w:spacing w:val="0"/>
          <w:kern w:val="0"/>
          <w:sz w:val="32"/>
          <w:szCs w:val="32"/>
          <w:highlight w:val="none"/>
          <w:shd w:val="clear" w:color="auto" w:fill="auto"/>
          <w:lang w:val="en-US" w:eastAsia="zh-CN"/>
        </w:rPr>
        <w:t>”</w:t>
      </w:r>
      <w:r>
        <w:rPr>
          <w:rFonts w:hint="default" w:ascii="仿宋" w:hAnsi="仿宋" w:eastAsia="仿宋_GB2312" w:cs="Arial"/>
          <w:b w:val="0"/>
          <w:bCs w:val="0"/>
          <w:snapToGrid w:val="0"/>
          <w:color w:val="auto"/>
          <w:spacing w:val="0"/>
          <w:kern w:val="0"/>
          <w:sz w:val="32"/>
          <w:szCs w:val="32"/>
          <w:highlight w:val="none"/>
          <w:shd w:val="clear" w:color="auto" w:fill="auto"/>
          <w:lang w:val="en-US" w:eastAsia="zh-CN"/>
        </w:rPr>
        <w:t>建设愿景提供坚实支撑。</w:t>
      </w:r>
      <w:bookmarkEnd w:id="16"/>
      <w:bookmarkEnd w:id="17"/>
      <w:bookmarkEnd w:id="18"/>
    </w:p>
    <w:p w14:paraId="49FFAAA6">
      <w:pPr>
        <w:keepNext w:val="0"/>
        <w:keepLines w:val="0"/>
        <w:pageBreakBefore w:val="0"/>
        <w:widowControl w:val="0"/>
        <w:kinsoku/>
        <w:wordWrap/>
        <w:overflowPunct/>
        <w:topLinePunct w:val="0"/>
        <w:autoSpaceDE/>
        <w:autoSpaceDN/>
        <w:bidi w:val="0"/>
        <w:adjustRightInd w:val="0"/>
        <w:snapToGrid w:val="0"/>
        <w:spacing w:beforeLines="0" w:after="0" w:afterLines="0" w:line="560" w:lineRule="exact"/>
        <w:ind w:firstLine="619" w:firstLineChars="200"/>
        <w:textAlignment w:val="auto"/>
        <w:rPr>
          <w:rFonts w:hint="eastAsia" w:ascii="仿宋_GB2312" w:eastAsia="仿宋_GB2312" w:cs="Arial"/>
          <w:color w:val="auto"/>
          <w:sz w:val="32"/>
          <w:szCs w:val="32"/>
          <w:lang w:val="en-US" w:eastAsia="zh-CN"/>
        </w:rPr>
      </w:pPr>
      <w:r>
        <w:rPr>
          <w:rFonts w:hint="eastAsia" w:ascii="仿宋_GB2312" w:eastAsia="仿宋_GB2312" w:cs="Arial"/>
          <w:b/>
          <w:bCs/>
          <w:color w:val="auto"/>
          <w:sz w:val="32"/>
          <w:szCs w:val="32"/>
          <w:lang w:val="en-US" w:eastAsia="zh-CN"/>
        </w:rPr>
        <w:t>——创新城市建设取得新成效。</w:t>
      </w:r>
      <w:r>
        <w:rPr>
          <w:rFonts w:hint="eastAsia" w:ascii="仿宋_GB2312" w:eastAsia="仿宋_GB2312" w:cs="Arial"/>
          <w:color w:val="auto"/>
          <w:sz w:val="32"/>
          <w:szCs w:val="32"/>
          <w:lang w:val="en-US" w:eastAsia="zh-CN"/>
        </w:rPr>
        <w:t>城市治理体制机制更加健全，“政府主导、社会协同、公众参与”的多元共治格局基本形成，城市环境建设管理议事协调机制高效运转，群众诉求响应率、解决率、满意率稳步提高。</w:t>
      </w:r>
    </w:p>
    <w:p w14:paraId="492C1B1B">
      <w:pPr>
        <w:keepNext w:val="0"/>
        <w:keepLines w:val="0"/>
        <w:pageBreakBefore w:val="0"/>
        <w:widowControl w:val="0"/>
        <w:kinsoku/>
        <w:wordWrap/>
        <w:overflowPunct/>
        <w:topLinePunct w:val="0"/>
        <w:autoSpaceDE/>
        <w:autoSpaceDN/>
        <w:bidi w:val="0"/>
        <w:adjustRightInd w:val="0"/>
        <w:snapToGrid w:val="0"/>
        <w:spacing w:beforeLines="0" w:after="0" w:afterLines="0" w:line="560" w:lineRule="exact"/>
        <w:ind w:firstLine="619" w:firstLineChars="200"/>
        <w:textAlignment w:val="auto"/>
        <w:rPr>
          <w:rFonts w:hint="eastAsia" w:ascii="仿宋_GB2312" w:eastAsia="仿宋_GB2312" w:cs="Arial"/>
          <w:color w:val="auto"/>
          <w:sz w:val="32"/>
          <w:szCs w:val="32"/>
          <w:lang w:val="en-US" w:eastAsia="zh-CN"/>
        </w:rPr>
      </w:pPr>
      <w:r>
        <w:rPr>
          <w:rFonts w:hint="eastAsia" w:ascii="仿宋_GB2312" w:eastAsia="仿宋_GB2312" w:cs="Arial"/>
          <w:b/>
          <w:bCs/>
          <w:color w:val="auto"/>
          <w:sz w:val="32"/>
          <w:szCs w:val="32"/>
          <w:lang w:val="en-US" w:eastAsia="zh-CN"/>
        </w:rPr>
        <w:t>——宜居城市建设实现新提升。</w:t>
      </w:r>
      <w:r>
        <w:rPr>
          <w:rFonts w:hint="eastAsia" w:ascii="仿宋_GB2312" w:eastAsia="仿宋_GB2312" w:cs="Arial"/>
          <w:color w:val="auto"/>
          <w:sz w:val="32"/>
          <w:szCs w:val="32"/>
          <w:lang w:val="en-US" w:eastAsia="zh-CN"/>
        </w:rPr>
        <w:t>城市公共空间品质全面提升，新增停车泊位</w:t>
      </w:r>
      <w:r>
        <w:rPr>
          <w:rFonts w:hint="eastAsia" w:ascii="Times New Roman" w:hAnsi="Times New Roman" w:eastAsia="Times New Roman" w:cs="Times New Roman"/>
          <w:color w:val="auto"/>
          <w:sz w:val="32"/>
          <w:szCs w:val="32"/>
          <w:lang w:val="en-US" w:eastAsia="zh-CN"/>
        </w:rPr>
        <w:t>2</w:t>
      </w:r>
      <w:r>
        <w:rPr>
          <w:rFonts w:hint="eastAsia" w:ascii="仿宋_GB2312" w:eastAsia="仿宋_GB2312" w:cs="Arial"/>
          <w:color w:val="auto"/>
          <w:sz w:val="32"/>
          <w:szCs w:val="32"/>
          <w:lang w:val="en-US" w:eastAsia="zh-CN"/>
        </w:rPr>
        <w:t>万个，集中建设区道路网密度达</w:t>
      </w:r>
      <w:r>
        <w:rPr>
          <w:rFonts w:hint="eastAsia" w:ascii="Times New Roman" w:hAnsi="Times New Roman" w:eastAsia="Times New Roman" w:cs="Times New Roman"/>
          <w:color w:val="auto"/>
          <w:sz w:val="32"/>
          <w:szCs w:val="32"/>
          <w:lang w:val="en-US" w:eastAsia="zh-CN"/>
        </w:rPr>
        <w:t>7</w:t>
      </w:r>
      <w:r>
        <w:rPr>
          <w:rFonts w:hint="eastAsia" w:ascii="仿宋_GB2312" w:eastAsia="仿宋_GB2312" w:cs="Arial"/>
          <w:color w:val="auto"/>
          <w:sz w:val="32"/>
          <w:szCs w:val="32"/>
          <w:lang w:val="en-US" w:eastAsia="zh-CN"/>
        </w:rPr>
        <w:t>.</w:t>
      </w:r>
      <w:r>
        <w:rPr>
          <w:rFonts w:hint="eastAsia" w:ascii="Times New Roman" w:hAnsi="Times New Roman" w:eastAsia="Times New Roman" w:cs="Times New Roman"/>
          <w:color w:val="auto"/>
          <w:sz w:val="32"/>
          <w:szCs w:val="32"/>
          <w:lang w:val="en-US" w:eastAsia="zh-CN"/>
        </w:rPr>
        <w:t>0</w:t>
      </w:r>
      <w:r>
        <w:rPr>
          <w:rFonts w:hint="eastAsia" w:ascii="仿宋_GB2312" w:eastAsia="仿宋_GB2312" w:cs="Arial"/>
          <w:color w:val="auto"/>
          <w:sz w:val="32"/>
          <w:szCs w:val="32"/>
          <w:lang w:val="en-US" w:eastAsia="zh-CN"/>
        </w:rPr>
        <w:t>公里/平方公里，新建、扩建和改建交通设施无障碍达标率</w:t>
      </w:r>
      <w:r>
        <w:rPr>
          <w:rFonts w:hint="eastAsia" w:ascii="Times New Roman" w:hAnsi="Times New Roman" w:eastAsia="Times New Roman" w:cs="Times New Roman"/>
          <w:color w:val="auto"/>
          <w:sz w:val="32"/>
          <w:szCs w:val="32"/>
          <w:lang w:val="en-US" w:eastAsia="zh-CN"/>
        </w:rPr>
        <w:t>100</w:t>
      </w:r>
      <w:r>
        <w:rPr>
          <w:rFonts w:hint="eastAsia" w:ascii="仿宋_GB2312" w:eastAsia="仿宋_GB2312" w:cs="Arial"/>
          <w:color w:val="auto"/>
          <w:sz w:val="32"/>
          <w:szCs w:val="32"/>
          <w:lang w:val="en-US" w:eastAsia="zh-CN"/>
        </w:rPr>
        <w:t>%，环境卫生服务从“干净整洁”向“品质示范”跃升。</w:t>
      </w:r>
    </w:p>
    <w:p w14:paraId="52C3C521">
      <w:pPr>
        <w:keepNext w:val="0"/>
        <w:keepLines w:val="0"/>
        <w:pageBreakBefore w:val="0"/>
        <w:widowControl w:val="0"/>
        <w:kinsoku/>
        <w:wordWrap/>
        <w:overflowPunct/>
        <w:topLinePunct w:val="0"/>
        <w:autoSpaceDE/>
        <w:autoSpaceDN/>
        <w:bidi w:val="0"/>
        <w:adjustRightInd w:val="0"/>
        <w:snapToGrid w:val="0"/>
        <w:spacing w:beforeLines="0" w:after="0" w:afterLines="0" w:line="560" w:lineRule="exact"/>
        <w:ind w:firstLine="619" w:firstLineChars="200"/>
        <w:textAlignment w:val="auto"/>
        <w:rPr>
          <w:rFonts w:hint="eastAsia" w:ascii="仿宋_GB2312" w:eastAsia="仿宋_GB2312" w:cs="Arial"/>
          <w:color w:val="auto"/>
          <w:sz w:val="32"/>
          <w:szCs w:val="32"/>
          <w:lang w:val="en-US" w:eastAsia="zh-CN"/>
        </w:rPr>
      </w:pPr>
      <w:r>
        <w:rPr>
          <w:rFonts w:hint="eastAsia" w:ascii="仿宋_GB2312" w:eastAsia="仿宋_GB2312" w:cs="Arial"/>
          <w:b/>
          <w:bCs/>
          <w:color w:val="auto"/>
          <w:sz w:val="32"/>
          <w:szCs w:val="32"/>
          <w:lang w:val="en-US" w:eastAsia="zh-CN"/>
        </w:rPr>
        <w:t>——美丽城市建设塑造新风貌。</w:t>
      </w:r>
      <w:r>
        <w:rPr>
          <w:rFonts w:hint="eastAsia" w:ascii="仿宋_GB2312" w:eastAsia="仿宋_GB2312" w:cs="Arial"/>
          <w:color w:val="auto"/>
          <w:sz w:val="32"/>
          <w:szCs w:val="32"/>
          <w:lang w:val="en-US" w:eastAsia="zh-CN"/>
        </w:rPr>
        <w:t>聚焦南中轴、丽泽、“两园一河”等重点区域，打造彰显首都风范的景观地标，城市主干路照明亮灯率保持</w:t>
      </w:r>
      <w:r>
        <w:rPr>
          <w:rFonts w:hint="eastAsia" w:ascii="Times New Roman" w:hAnsi="Times New Roman" w:eastAsia="Times New Roman" w:cs="Times New Roman"/>
          <w:color w:val="auto"/>
          <w:sz w:val="32"/>
          <w:szCs w:val="32"/>
          <w:lang w:val="en-US" w:eastAsia="zh-CN"/>
        </w:rPr>
        <w:t>100</w:t>
      </w:r>
      <w:r>
        <w:rPr>
          <w:rFonts w:hint="eastAsia" w:ascii="仿宋_GB2312" w:eastAsia="仿宋_GB2312" w:cs="Arial"/>
          <w:color w:val="auto"/>
          <w:sz w:val="32"/>
          <w:szCs w:val="32"/>
          <w:lang w:val="en-US" w:eastAsia="zh-CN"/>
        </w:rPr>
        <w:t>%，景观照明设施完好率达</w:t>
      </w:r>
      <w:r>
        <w:rPr>
          <w:rFonts w:hint="eastAsia" w:ascii="Times New Roman" w:hAnsi="Times New Roman" w:eastAsia="Times New Roman" w:cs="Times New Roman"/>
          <w:color w:val="auto"/>
          <w:sz w:val="32"/>
          <w:szCs w:val="32"/>
          <w:lang w:val="en-US" w:eastAsia="zh-CN"/>
        </w:rPr>
        <w:t>99</w:t>
      </w:r>
      <w:r>
        <w:rPr>
          <w:rFonts w:hint="eastAsia" w:ascii="仿宋_GB2312" w:eastAsia="仿宋_GB2312" w:cs="Arial"/>
          <w:color w:val="auto"/>
          <w:sz w:val="32"/>
          <w:szCs w:val="32"/>
          <w:lang w:val="en-US" w:eastAsia="zh-CN"/>
        </w:rPr>
        <w:t>%，构建和谐统一、特色鲜明的城市环境风貌。</w:t>
      </w:r>
    </w:p>
    <w:p w14:paraId="4FB17914">
      <w:pPr>
        <w:keepNext w:val="0"/>
        <w:keepLines w:val="0"/>
        <w:pageBreakBefore w:val="0"/>
        <w:widowControl w:val="0"/>
        <w:kinsoku/>
        <w:wordWrap/>
        <w:overflowPunct/>
        <w:topLinePunct w:val="0"/>
        <w:autoSpaceDE/>
        <w:autoSpaceDN/>
        <w:bidi w:val="0"/>
        <w:adjustRightInd w:val="0"/>
        <w:snapToGrid w:val="0"/>
        <w:spacing w:beforeLines="0" w:after="0" w:afterLines="0" w:line="560" w:lineRule="exact"/>
        <w:ind w:firstLine="619" w:firstLineChars="200"/>
        <w:textAlignment w:val="auto"/>
        <w:rPr>
          <w:rFonts w:hint="eastAsia" w:ascii="仿宋_GB2312" w:eastAsia="仿宋_GB2312" w:cs="Arial"/>
          <w:color w:val="auto"/>
          <w:sz w:val="32"/>
          <w:szCs w:val="32"/>
          <w:lang w:val="en-US" w:eastAsia="zh-CN"/>
        </w:rPr>
      </w:pPr>
      <w:r>
        <w:rPr>
          <w:rFonts w:hint="eastAsia" w:ascii="仿宋_GB2312" w:eastAsia="仿宋_GB2312" w:cs="Arial"/>
          <w:b/>
          <w:bCs/>
          <w:color w:val="auto"/>
          <w:sz w:val="32"/>
          <w:szCs w:val="32"/>
          <w:lang w:val="en-US" w:eastAsia="zh-CN"/>
        </w:rPr>
        <w:t>——韧性城市建设筑牢新支撑。</w:t>
      </w:r>
      <w:r>
        <w:rPr>
          <w:rFonts w:hint="eastAsia" w:ascii="仿宋_GB2312" w:eastAsia="仿宋_GB2312" w:cs="Arial"/>
          <w:b w:val="0"/>
          <w:bCs w:val="0"/>
          <w:color w:val="auto"/>
          <w:sz w:val="32"/>
          <w:szCs w:val="32"/>
          <w:lang w:val="en-US" w:eastAsia="zh-CN"/>
        </w:rPr>
        <w:t>供电可靠率达</w:t>
      </w:r>
      <w:r>
        <w:rPr>
          <w:rFonts w:hint="eastAsia" w:ascii="Times New Roman" w:hAnsi="Times New Roman" w:eastAsia="Times New Roman" w:cs="Times New Roman"/>
          <w:b w:val="0"/>
          <w:bCs w:val="0"/>
          <w:color w:val="auto"/>
          <w:sz w:val="32"/>
          <w:szCs w:val="32"/>
          <w:lang w:val="en-US" w:eastAsia="zh-CN"/>
        </w:rPr>
        <w:t>99</w:t>
      </w:r>
      <w:r>
        <w:rPr>
          <w:rFonts w:hint="eastAsia" w:ascii="仿宋_GB2312" w:eastAsia="仿宋_GB2312" w:cs="Arial"/>
          <w:b w:val="0"/>
          <w:bCs w:val="0"/>
          <w:color w:val="auto"/>
          <w:sz w:val="32"/>
          <w:szCs w:val="32"/>
          <w:lang w:val="en-US" w:eastAsia="zh-CN"/>
        </w:rPr>
        <w:t>.</w:t>
      </w:r>
      <w:r>
        <w:rPr>
          <w:rFonts w:hint="eastAsia" w:ascii="Times New Roman" w:hAnsi="Times New Roman" w:eastAsia="Times New Roman" w:cs="Times New Roman"/>
          <w:b w:val="0"/>
          <w:bCs w:val="0"/>
          <w:color w:val="auto"/>
          <w:sz w:val="32"/>
          <w:szCs w:val="32"/>
          <w:lang w:val="en-US" w:eastAsia="zh-CN"/>
        </w:rPr>
        <w:t>9980%</w:t>
      </w:r>
      <w:r>
        <w:rPr>
          <w:rFonts w:hint="eastAsia" w:ascii="仿宋_GB2312" w:eastAsia="仿宋_GB2312" w:cs="Arial"/>
          <w:b w:val="0"/>
          <w:bCs w:val="0"/>
          <w:color w:val="auto"/>
          <w:sz w:val="32"/>
          <w:szCs w:val="32"/>
          <w:lang w:val="en-US" w:eastAsia="zh-CN"/>
        </w:rPr>
        <w:t>，电网最大负荷达</w:t>
      </w:r>
      <w:r>
        <w:rPr>
          <w:rFonts w:hint="eastAsia" w:ascii="Times New Roman" w:hAnsi="Times New Roman" w:eastAsia="Times New Roman" w:cs="Times New Roman"/>
          <w:b w:val="0"/>
          <w:bCs w:val="0"/>
          <w:color w:val="auto"/>
          <w:sz w:val="32"/>
          <w:szCs w:val="32"/>
          <w:lang w:val="en-US" w:eastAsia="zh-CN"/>
        </w:rPr>
        <w:t>325</w:t>
      </w:r>
      <w:r>
        <w:rPr>
          <w:rFonts w:hint="eastAsia" w:ascii="仿宋_GB2312" w:eastAsia="仿宋_GB2312" w:cs="Arial"/>
          <w:b w:val="0"/>
          <w:bCs w:val="0"/>
          <w:color w:val="auto"/>
          <w:sz w:val="32"/>
          <w:szCs w:val="32"/>
          <w:lang w:val="en-US" w:eastAsia="zh-CN"/>
        </w:rPr>
        <w:t>万千瓦</w:t>
      </w:r>
      <w:r>
        <w:rPr>
          <w:rFonts w:hint="eastAsia" w:ascii="仿宋_GB2312" w:eastAsia="仿宋_GB2312" w:cs="Arial"/>
          <w:color w:val="auto"/>
          <w:sz w:val="32"/>
          <w:szCs w:val="32"/>
          <w:lang w:val="en-US" w:eastAsia="zh-CN"/>
        </w:rPr>
        <w:t>，更新改造老旧供热管线</w:t>
      </w:r>
      <w:r>
        <w:rPr>
          <w:rFonts w:hint="eastAsia" w:ascii="Times New Roman" w:hAnsi="Times New Roman" w:eastAsia="Times New Roman" w:cs="Times New Roman"/>
          <w:color w:val="auto"/>
          <w:sz w:val="32"/>
          <w:szCs w:val="32"/>
          <w:lang w:val="en-US" w:eastAsia="zh-CN"/>
        </w:rPr>
        <w:t>300</w:t>
      </w:r>
      <w:r>
        <w:rPr>
          <w:rFonts w:hint="eastAsia" w:ascii="仿宋_GB2312" w:eastAsia="仿宋_GB2312" w:cs="Arial"/>
          <w:color w:val="auto"/>
          <w:sz w:val="32"/>
          <w:szCs w:val="32"/>
          <w:lang w:val="en-US" w:eastAsia="zh-CN"/>
        </w:rPr>
        <w:t>公里、既有建筑供热系统智能化改造</w:t>
      </w:r>
      <w:r>
        <w:rPr>
          <w:rFonts w:hint="eastAsia" w:ascii="Times New Roman" w:hAnsi="Times New Roman" w:eastAsia="Times New Roman" w:cs="Times New Roman"/>
          <w:color w:val="auto"/>
          <w:sz w:val="32"/>
          <w:szCs w:val="32"/>
          <w:lang w:val="en-US" w:eastAsia="zh-CN"/>
        </w:rPr>
        <w:t>500</w:t>
      </w:r>
      <w:r>
        <w:rPr>
          <w:rFonts w:hint="eastAsia" w:ascii="仿宋_GB2312" w:eastAsia="仿宋_GB2312" w:cs="Arial"/>
          <w:color w:val="auto"/>
          <w:sz w:val="32"/>
          <w:szCs w:val="32"/>
          <w:lang w:val="en-US" w:eastAsia="zh-CN"/>
        </w:rPr>
        <w:t>万平方米，燃气输配系统持续优化，“一网统管”“一网慧治”深度应用，城市生命线安全运行保障能力全面增强。</w:t>
      </w:r>
    </w:p>
    <w:p w14:paraId="4614726F">
      <w:pPr>
        <w:keepNext w:val="0"/>
        <w:keepLines w:val="0"/>
        <w:pageBreakBefore w:val="0"/>
        <w:widowControl w:val="0"/>
        <w:kinsoku/>
        <w:wordWrap/>
        <w:overflowPunct/>
        <w:topLinePunct w:val="0"/>
        <w:autoSpaceDE/>
        <w:autoSpaceDN/>
        <w:bidi w:val="0"/>
        <w:adjustRightInd w:val="0"/>
        <w:snapToGrid w:val="0"/>
        <w:spacing w:beforeLines="0" w:after="0" w:afterLines="0" w:line="560" w:lineRule="exact"/>
        <w:ind w:firstLine="619" w:firstLineChars="200"/>
        <w:textAlignment w:val="auto"/>
        <w:rPr>
          <w:rFonts w:hint="eastAsia" w:ascii="仿宋_GB2312" w:eastAsia="仿宋_GB2312" w:cs="Arial"/>
          <w:color w:val="auto"/>
          <w:sz w:val="32"/>
          <w:szCs w:val="32"/>
          <w:lang w:val="en-US" w:eastAsia="zh-CN"/>
        </w:rPr>
      </w:pPr>
      <w:r>
        <w:rPr>
          <w:rFonts w:hint="eastAsia" w:ascii="仿宋_GB2312" w:eastAsia="仿宋_GB2312" w:cs="Arial"/>
          <w:b/>
          <w:bCs/>
          <w:color w:val="auto"/>
          <w:sz w:val="32"/>
          <w:szCs w:val="32"/>
          <w:lang w:val="en-US" w:eastAsia="zh-CN"/>
        </w:rPr>
        <w:t>——文明城市建设迈上新台阶。</w:t>
      </w:r>
      <w:r>
        <w:rPr>
          <w:rFonts w:hint="eastAsia" w:ascii="仿宋_GB2312" w:eastAsia="仿宋_GB2312" w:cs="Arial"/>
          <w:color w:val="auto"/>
          <w:sz w:val="32"/>
          <w:szCs w:val="32"/>
          <w:lang w:val="en-US" w:eastAsia="zh-CN"/>
        </w:rPr>
        <w:t>垃圾分类文明习惯深度养成，新生违法建设保持动态清零，柔性执法、文明执法成为常态，首都风范、古都风韵、时代风貌在城市治理中充分彰显。</w:t>
      </w:r>
    </w:p>
    <w:p w14:paraId="317CBE19">
      <w:pPr>
        <w:keepNext w:val="0"/>
        <w:keepLines w:val="0"/>
        <w:pageBreakBefore w:val="0"/>
        <w:widowControl w:val="0"/>
        <w:kinsoku/>
        <w:wordWrap/>
        <w:overflowPunct/>
        <w:topLinePunct w:val="0"/>
        <w:autoSpaceDE/>
        <w:autoSpaceDN/>
        <w:bidi w:val="0"/>
        <w:adjustRightInd w:val="0"/>
        <w:snapToGrid w:val="0"/>
        <w:spacing w:beforeLines="0" w:after="0" w:afterLines="0" w:line="560" w:lineRule="exact"/>
        <w:ind w:firstLine="619" w:firstLineChars="200"/>
        <w:textAlignment w:val="auto"/>
        <w:rPr>
          <w:rFonts w:hint="eastAsia" w:ascii="仿宋_GB2312" w:eastAsia="仿宋_GB2312" w:cs="Arial"/>
          <w:color w:val="auto"/>
          <w:sz w:val="32"/>
          <w:szCs w:val="32"/>
          <w:lang w:val="en-US" w:eastAsia="zh-CN"/>
        </w:rPr>
      </w:pPr>
      <w:r>
        <w:rPr>
          <w:rFonts w:hint="eastAsia" w:ascii="仿宋_GB2312" w:eastAsia="仿宋_GB2312" w:cs="Arial"/>
          <w:b/>
          <w:bCs/>
          <w:color w:val="auto"/>
          <w:sz w:val="32"/>
          <w:szCs w:val="32"/>
          <w:lang w:val="en-US" w:eastAsia="zh-CN"/>
        </w:rPr>
        <w:t>——智慧城市建设抢占新高地。</w:t>
      </w:r>
      <w:r>
        <w:rPr>
          <w:rFonts w:hint="eastAsia" w:ascii="仿宋_GB2312" w:eastAsia="仿宋_GB2312" w:cs="Arial"/>
          <w:color w:val="auto"/>
          <w:sz w:val="32"/>
          <w:szCs w:val="32"/>
          <w:lang w:val="en-US" w:eastAsia="zh-CN"/>
        </w:rPr>
        <w:t>基本建成“人工智能+”城市治理体系，依托“丰智汇”智慧城市操作系统，实现云网、数据、智算、大模型等数字资源全要素集约统筹，大幅提升城市运行智能感知、智慧决策、精准处置能力。</w:t>
      </w:r>
    </w:p>
    <w:p w14:paraId="3670E1EC">
      <w:pPr>
        <w:keepNext w:val="0"/>
        <w:keepLines w:val="0"/>
        <w:pageBreakBefore w:val="0"/>
        <w:widowControl w:val="0"/>
        <w:kinsoku/>
        <w:wordWrap/>
        <w:overflowPunct/>
        <w:topLinePunct w:val="0"/>
        <w:autoSpaceDE/>
        <w:autoSpaceDN/>
        <w:bidi w:val="0"/>
        <w:adjustRightInd w:val="0"/>
        <w:snapToGrid w:val="0"/>
        <w:spacing w:beforeLines="0" w:after="0" w:afterLines="0" w:line="560" w:lineRule="exact"/>
        <w:ind w:firstLine="616" w:firstLineChars="200"/>
        <w:textAlignment w:val="auto"/>
        <w:rPr>
          <w:rFonts w:hint="eastAsia" w:ascii="仿宋_GB2312" w:eastAsia="仿宋_GB2312" w:cs="Arial"/>
          <w:color w:val="auto"/>
          <w:sz w:val="32"/>
          <w:szCs w:val="32"/>
          <w:lang w:val="en-US" w:eastAsia="zh-CN"/>
        </w:rPr>
      </w:pPr>
      <w:r>
        <w:rPr>
          <w:rFonts w:hint="eastAsia" w:ascii="仿宋_GB2312" w:eastAsia="仿宋_GB2312" w:cs="Arial"/>
          <w:color w:val="auto"/>
          <w:sz w:val="32"/>
          <w:szCs w:val="32"/>
          <w:lang w:val="en-US" w:eastAsia="zh-CN"/>
        </w:rPr>
        <w:t>到</w:t>
      </w:r>
      <w:r>
        <w:rPr>
          <w:rFonts w:hint="eastAsia" w:ascii="Times New Roman" w:hAnsi="Times New Roman" w:eastAsia="Times New Roman" w:cs="Times New Roman"/>
          <w:color w:val="auto"/>
          <w:sz w:val="32"/>
          <w:szCs w:val="32"/>
          <w:lang w:val="en-US" w:eastAsia="zh-CN"/>
        </w:rPr>
        <w:t>2035</w:t>
      </w:r>
      <w:r>
        <w:rPr>
          <w:rFonts w:hint="eastAsia" w:ascii="仿宋_GB2312" w:eastAsia="仿宋_GB2312" w:cs="Arial"/>
          <w:color w:val="auto"/>
          <w:sz w:val="32"/>
          <w:szCs w:val="32"/>
          <w:lang w:val="en-US" w:eastAsia="zh-CN"/>
        </w:rPr>
        <w:t>年，与社会主义现代化强国首都形象相匹配、与丰台“四区一枢纽”功能定位相适应的国际一流和谐宜居城区基本建成，“六个城市”建设取得标志性成果，丰台城市治理体系和治理能力基本实现现代化，为“三化五区”战略全面落地和“首都前院、城市门户、文化客厅、生态屏障、幸福家园”建设愿景全面实现提供坚实支撑。</w:t>
      </w:r>
    </w:p>
    <w:p w14:paraId="47D10F65">
      <w:pPr>
        <w:rPr>
          <w:rFonts w:hint="eastAsia" w:ascii="仿宋_GB2312" w:eastAsia="仿宋_GB2312" w:cs="Arial"/>
          <w:color w:val="auto"/>
          <w:sz w:val="32"/>
          <w:szCs w:val="32"/>
          <w:lang w:val="en-US" w:eastAsia="zh-CN"/>
        </w:rPr>
      </w:pPr>
      <w:r>
        <w:rPr>
          <w:rFonts w:hint="eastAsia" w:ascii="仿宋_GB2312" w:eastAsia="仿宋_GB2312" w:cs="Arial"/>
          <w:color w:val="auto"/>
          <w:sz w:val="32"/>
          <w:szCs w:val="32"/>
          <w:lang w:val="en-US" w:eastAsia="zh-CN"/>
        </w:rPr>
        <w:br w:type="page"/>
      </w:r>
    </w:p>
    <w:p w14:paraId="227C6469">
      <w:pPr>
        <w:keepNext/>
        <w:keepLines w:val="0"/>
        <w:pageBreakBefore w:val="0"/>
        <w:widowControl/>
        <w:kinsoku/>
        <w:wordWrap/>
        <w:overflowPunct/>
        <w:topLinePunct w:val="0"/>
        <w:autoSpaceDE/>
        <w:autoSpaceDN/>
        <w:bidi w:val="0"/>
        <w:adjustRightInd/>
        <w:snapToGrid/>
        <w:spacing w:before="0" w:beforeLines="0" w:after="0" w:afterLines="0" w:line="560" w:lineRule="exact"/>
        <w:ind w:firstLine="0" w:firstLineChars="0"/>
        <w:jc w:val="center"/>
        <w:textAlignment w:val="auto"/>
        <w:rPr>
          <w:rFonts w:ascii="黑体" w:hAnsi="黑体" w:eastAsia="黑体" w:cs="黑体"/>
          <w:spacing w:val="-1"/>
          <w:sz w:val="28"/>
          <w:szCs w:val="28"/>
        </w:rPr>
      </w:pPr>
      <w:r>
        <w:rPr>
          <w:rFonts w:hint="eastAsia" w:ascii="黑体" w:hAnsi="黑体" w:eastAsia="黑体" w:cs="黑体"/>
          <w:spacing w:val="-1"/>
          <w:sz w:val="28"/>
          <w:szCs w:val="28"/>
          <w:lang w:val="en-US" w:eastAsia="zh-CN"/>
        </w:rPr>
        <w:t>丰台区</w:t>
      </w:r>
      <w:r>
        <w:rPr>
          <w:rFonts w:ascii="黑体" w:hAnsi="黑体" w:eastAsia="黑体" w:cs="黑体"/>
          <w:spacing w:val="-1"/>
          <w:sz w:val="28"/>
          <w:szCs w:val="28"/>
        </w:rPr>
        <w:t>“十五五”时期城市管理发展规划主要指标</w:t>
      </w:r>
    </w:p>
    <w:tbl>
      <w:tblPr>
        <w:tblStyle w:val="23"/>
        <w:tblpPr w:leftFromText="180" w:rightFromText="180" w:vertAnchor="text" w:horzAnchor="page" w:tblpX="1806" w:tblpY="149"/>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12"/>
        <w:gridCol w:w="807"/>
        <w:gridCol w:w="2119"/>
        <w:gridCol w:w="803"/>
        <w:gridCol w:w="985"/>
        <w:gridCol w:w="1045"/>
        <w:gridCol w:w="925"/>
        <w:gridCol w:w="1326"/>
      </w:tblGrid>
      <w:tr w14:paraId="1AB0C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tblHeader/>
        </w:trPr>
        <w:tc>
          <w:tcPr>
            <w:tcW w:w="300" w:type="pct"/>
            <w:shd w:val="clear" w:color="auto" w:fill="auto"/>
            <w:noWrap/>
            <w:vAlign w:val="center"/>
          </w:tcPr>
          <w:p w14:paraId="7CB7D8AB">
            <w:pPr>
              <w:keepNext/>
              <w:keepLines w:val="0"/>
              <w:pageBreakBefore w:val="0"/>
              <w:widowControl w:val="0"/>
              <w:kinsoku/>
              <w:wordWrap/>
              <w:overflowPunct/>
              <w:topLinePunct w:val="0"/>
              <w:autoSpaceDE/>
              <w:autoSpaceDN/>
              <w:bidi w:val="0"/>
              <w:adjustRightInd/>
              <w:snapToGrid/>
              <w:spacing w:before="0" w:beforeLines="0" w:after="0" w:afterLines="0" w:line="240" w:lineRule="auto"/>
              <w:ind w:firstLine="0" w:firstLineChars="0"/>
              <w:jc w:val="center"/>
              <w:textAlignment w:val="baseline"/>
              <w:rPr>
                <w:rFonts w:hint="eastAsia" w:ascii="黑体" w:hAnsi="黑体" w:eastAsia="黑体" w:cs="黑体"/>
                <w:b/>
                <w:bCs/>
                <w:sz w:val="24"/>
                <w:szCs w:val="24"/>
              </w:rPr>
            </w:pPr>
            <w:r>
              <w:rPr>
                <w:rFonts w:hint="eastAsia" w:ascii="黑体" w:hAnsi="黑体" w:eastAsia="黑体" w:cs="黑体"/>
                <w:b/>
                <w:bCs/>
                <w:sz w:val="24"/>
                <w:szCs w:val="24"/>
                <w:lang w:val="en-US" w:eastAsia="zh-CN"/>
              </w:rPr>
              <w:t>序号</w:t>
            </w:r>
          </w:p>
        </w:tc>
        <w:tc>
          <w:tcPr>
            <w:tcW w:w="473" w:type="pct"/>
            <w:shd w:val="clear" w:color="auto" w:fill="auto"/>
            <w:noWrap/>
            <w:vAlign w:val="center"/>
          </w:tcPr>
          <w:p w14:paraId="7B3E47E5">
            <w:pPr>
              <w:keepNext/>
              <w:keepLines w:val="0"/>
              <w:pageBreakBefore w:val="0"/>
              <w:widowControl w:val="0"/>
              <w:kinsoku/>
              <w:wordWrap/>
              <w:overflowPunct/>
              <w:topLinePunct w:val="0"/>
              <w:autoSpaceDE/>
              <w:autoSpaceDN/>
              <w:bidi w:val="0"/>
              <w:adjustRightInd/>
              <w:snapToGrid/>
              <w:spacing w:before="0" w:beforeLines="0" w:after="0" w:afterLines="0" w:line="240" w:lineRule="auto"/>
              <w:ind w:firstLine="0" w:firstLineChars="0"/>
              <w:jc w:val="center"/>
              <w:textAlignment w:val="baseline"/>
              <w:rPr>
                <w:rFonts w:hint="default" w:ascii="黑体" w:hAnsi="黑体" w:eastAsia="黑体" w:cs="黑体"/>
                <w:b/>
                <w:bCs/>
                <w:sz w:val="24"/>
                <w:szCs w:val="24"/>
                <w:lang w:val="en-US" w:eastAsia="zh-CN"/>
              </w:rPr>
            </w:pPr>
            <w:r>
              <w:rPr>
                <w:rFonts w:hint="eastAsia" w:ascii="黑体" w:hAnsi="黑体" w:eastAsia="黑体" w:cs="黑体"/>
                <w:b/>
                <w:bCs/>
                <w:sz w:val="24"/>
                <w:szCs w:val="24"/>
                <w:lang w:val="en-US" w:eastAsia="zh-CN"/>
              </w:rPr>
              <w:t>分类</w:t>
            </w:r>
          </w:p>
        </w:tc>
        <w:tc>
          <w:tcPr>
            <w:tcW w:w="1243" w:type="pct"/>
            <w:shd w:val="clear" w:color="auto" w:fill="auto"/>
            <w:noWrap/>
            <w:vAlign w:val="center"/>
          </w:tcPr>
          <w:p w14:paraId="491D0261">
            <w:pPr>
              <w:keepNext/>
              <w:keepLines w:val="0"/>
              <w:pageBreakBefore w:val="0"/>
              <w:widowControl w:val="0"/>
              <w:kinsoku/>
              <w:wordWrap/>
              <w:overflowPunct/>
              <w:topLinePunct w:val="0"/>
              <w:autoSpaceDE/>
              <w:autoSpaceDN/>
              <w:bidi w:val="0"/>
              <w:adjustRightInd/>
              <w:snapToGrid/>
              <w:spacing w:before="0" w:beforeLines="0" w:after="0" w:afterLines="0" w:line="240" w:lineRule="auto"/>
              <w:ind w:firstLine="0" w:firstLineChars="0"/>
              <w:jc w:val="center"/>
              <w:textAlignment w:val="baseline"/>
              <w:rPr>
                <w:rFonts w:hint="eastAsia" w:ascii="黑体" w:hAnsi="黑体" w:eastAsia="黑体" w:cs="黑体"/>
                <w:b/>
                <w:bCs/>
                <w:sz w:val="24"/>
                <w:szCs w:val="24"/>
              </w:rPr>
            </w:pPr>
            <w:r>
              <w:rPr>
                <w:rFonts w:hint="eastAsia" w:ascii="黑体" w:hAnsi="黑体" w:eastAsia="黑体" w:cs="黑体"/>
                <w:b/>
                <w:bCs/>
                <w:sz w:val="24"/>
                <w:szCs w:val="24"/>
                <w:lang w:val="en-US" w:eastAsia="zh-CN"/>
              </w:rPr>
              <w:t>主要规划指标</w:t>
            </w:r>
          </w:p>
        </w:tc>
        <w:tc>
          <w:tcPr>
            <w:tcW w:w="471" w:type="pct"/>
            <w:shd w:val="clear" w:color="auto" w:fill="auto"/>
            <w:noWrap/>
            <w:vAlign w:val="center"/>
          </w:tcPr>
          <w:p w14:paraId="55468CB7">
            <w:pPr>
              <w:keepNext/>
              <w:keepLines w:val="0"/>
              <w:pageBreakBefore w:val="0"/>
              <w:widowControl w:val="0"/>
              <w:kinsoku/>
              <w:wordWrap/>
              <w:overflowPunct/>
              <w:topLinePunct w:val="0"/>
              <w:autoSpaceDE/>
              <w:autoSpaceDN/>
              <w:bidi w:val="0"/>
              <w:adjustRightInd/>
              <w:snapToGrid/>
              <w:spacing w:before="0" w:beforeLines="0" w:after="0" w:afterLines="0" w:line="240" w:lineRule="auto"/>
              <w:ind w:firstLine="0" w:firstLineChars="0"/>
              <w:jc w:val="center"/>
              <w:textAlignment w:val="baseline"/>
              <w:rPr>
                <w:rFonts w:hint="eastAsia" w:ascii="黑体" w:hAnsi="黑体" w:eastAsia="黑体" w:cs="黑体"/>
                <w:b/>
                <w:bCs/>
                <w:sz w:val="24"/>
                <w:szCs w:val="24"/>
              </w:rPr>
            </w:pPr>
            <w:r>
              <w:rPr>
                <w:rFonts w:hint="eastAsia" w:ascii="黑体" w:hAnsi="黑体" w:eastAsia="黑体" w:cs="黑体"/>
                <w:b/>
                <w:bCs/>
                <w:sz w:val="24"/>
                <w:szCs w:val="24"/>
                <w:lang w:val="en-US" w:eastAsia="zh-CN"/>
              </w:rPr>
              <w:t>单位</w:t>
            </w:r>
          </w:p>
        </w:tc>
        <w:tc>
          <w:tcPr>
            <w:tcW w:w="577" w:type="pct"/>
            <w:shd w:val="clear" w:color="auto" w:fill="auto"/>
            <w:vAlign w:val="center"/>
          </w:tcPr>
          <w:p w14:paraId="1ECA534E">
            <w:pPr>
              <w:keepNext/>
              <w:keepLines w:val="0"/>
              <w:pageBreakBefore w:val="0"/>
              <w:widowControl w:val="0"/>
              <w:kinsoku/>
              <w:wordWrap/>
              <w:overflowPunct/>
              <w:topLinePunct w:val="0"/>
              <w:autoSpaceDE/>
              <w:autoSpaceDN/>
              <w:bidi w:val="0"/>
              <w:adjustRightInd/>
              <w:snapToGrid/>
              <w:spacing w:before="0" w:beforeLines="0" w:after="0" w:afterLines="0" w:line="240" w:lineRule="auto"/>
              <w:ind w:firstLine="0" w:firstLineChars="0"/>
              <w:jc w:val="center"/>
              <w:textAlignment w:val="baseline"/>
              <w:rPr>
                <w:rFonts w:hint="eastAsia" w:ascii="黑体" w:hAnsi="黑体" w:eastAsia="黑体" w:cs="黑体"/>
                <w:b/>
                <w:bCs/>
                <w:sz w:val="24"/>
                <w:szCs w:val="24"/>
                <w:lang w:val="en-US" w:eastAsia="zh-CN"/>
              </w:rPr>
            </w:pPr>
            <w:r>
              <w:rPr>
                <w:rFonts w:hint="eastAsia" w:ascii="Times New Roman" w:hAnsi="Times New Roman" w:eastAsia="Times New Roman" w:cs="Times New Roman"/>
                <w:b/>
                <w:bCs/>
                <w:sz w:val="24"/>
                <w:szCs w:val="24"/>
                <w:lang w:val="en-US" w:eastAsia="zh-CN"/>
              </w:rPr>
              <w:t>2025</w:t>
            </w:r>
            <w:r>
              <w:rPr>
                <w:rFonts w:hint="eastAsia" w:ascii="黑体" w:hAnsi="黑体" w:eastAsia="黑体" w:cs="黑体"/>
                <w:b/>
                <w:bCs/>
                <w:sz w:val="24"/>
                <w:szCs w:val="24"/>
                <w:lang w:val="en-US" w:eastAsia="zh-CN"/>
              </w:rPr>
              <w:t>年</w:t>
            </w:r>
          </w:p>
          <w:p w14:paraId="6907775B">
            <w:pPr>
              <w:keepNext/>
              <w:keepLines w:val="0"/>
              <w:pageBreakBefore w:val="0"/>
              <w:widowControl w:val="0"/>
              <w:kinsoku/>
              <w:wordWrap/>
              <w:overflowPunct/>
              <w:topLinePunct w:val="0"/>
              <w:autoSpaceDE/>
              <w:autoSpaceDN/>
              <w:bidi w:val="0"/>
              <w:adjustRightInd/>
              <w:snapToGrid/>
              <w:spacing w:before="0" w:beforeLines="0" w:after="0" w:afterLines="0" w:line="240" w:lineRule="auto"/>
              <w:ind w:firstLine="0" w:firstLineChars="0"/>
              <w:jc w:val="center"/>
              <w:textAlignment w:val="baseline"/>
              <w:rPr>
                <w:rFonts w:hint="eastAsia" w:ascii="黑体" w:hAnsi="黑体" w:eastAsia="黑体" w:cs="黑体"/>
                <w:b/>
                <w:bCs/>
                <w:sz w:val="24"/>
                <w:szCs w:val="24"/>
              </w:rPr>
            </w:pPr>
            <w:r>
              <w:rPr>
                <w:rFonts w:hint="eastAsia" w:ascii="黑体" w:hAnsi="黑体" w:eastAsia="黑体" w:cs="黑体"/>
                <w:b/>
                <w:bCs/>
                <w:sz w:val="24"/>
                <w:szCs w:val="24"/>
                <w:lang w:val="en-US" w:eastAsia="zh-CN"/>
              </w:rPr>
              <w:t>现状值</w:t>
            </w:r>
          </w:p>
        </w:tc>
        <w:tc>
          <w:tcPr>
            <w:tcW w:w="613" w:type="pct"/>
            <w:shd w:val="clear" w:color="auto" w:fill="auto"/>
            <w:vAlign w:val="center"/>
          </w:tcPr>
          <w:p w14:paraId="04DF6F93">
            <w:pPr>
              <w:keepNext/>
              <w:keepLines w:val="0"/>
              <w:pageBreakBefore w:val="0"/>
              <w:widowControl w:val="0"/>
              <w:kinsoku/>
              <w:wordWrap/>
              <w:overflowPunct/>
              <w:topLinePunct w:val="0"/>
              <w:autoSpaceDE/>
              <w:autoSpaceDN/>
              <w:bidi w:val="0"/>
              <w:adjustRightInd/>
              <w:snapToGrid/>
              <w:spacing w:before="0" w:beforeLines="0" w:after="0" w:afterLines="0" w:line="240" w:lineRule="auto"/>
              <w:ind w:firstLine="0" w:firstLineChars="0"/>
              <w:jc w:val="center"/>
              <w:textAlignment w:val="baseline"/>
              <w:rPr>
                <w:rFonts w:hint="eastAsia" w:ascii="黑体" w:hAnsi="黑体" w:eastAsia="黑体" w:cs="黑体"/>
                <w:b/>
                <w:bCs/>
                <w:sz w:val="24"/>
                <w:szCs w:val="24"/>
                <w:lang w:val="en-US" w:eastAsia="zh-CN"/>
              </w:rPr>
            </w:pPr>
            <w:r>
              <w:rPr>
                <w:rFonts w:hint="eastAsia" w:ascii="Times New Roman" w:hAnsi="Times New Roman" w:eastAsia="Times New Roman" w:cs="Times New Roman"/>
                <w:b/>
                <w:bCs/>
                <w:sz w:val="24"/>
                <w:szCs w:val="24"/>
                <w:lang w:val="en-US" w:eastAsia="zh-CN"/>
              </w:rPr>
              <w:t>2030</w:t>
            </w:r>
            <w:r>
              <w:rPr>
                <w:rFonts w:hint="eastAsia" w:ascii="黑体" w:hAnsi="黑体" w:eastAsia="黑体" w:cs="黑体"/>
                <w:b/>
                <w:bCs/>
                <w:sz w:val="24"/>
                <w:szCs w:val="24"/>
                <w:lang w:val="en-US" w:eastAsia="zh-CN"/>
              </w:rPr>
              <w:t>年</w:t>
            </w:r>
          </w:p>
          <w:p w14:paraId="12D6DF77">
            <w:pPr>
              <w:keepNext/>
              <w:keepLines w:val="0"/>
              <w:pageBreakBefore w:val="0"/>
              <w:widowControl w:val="0"/>
              <w:kinsoku/>
              <w:wordWrap/>
              <w:overflowPunct/>
              <w:topLinePunct w:val="0"/>
              <w:autoSpaceDE/>
              <w:autoSpaceDN/>
              <w:bidi w:val="0"/>
              <w:adjustRightInd/>
              <w:snapToGrid/>
              <w:spacing w:before="0" w:beforeLines="0" w:after="0" w:afterLines="0" w:line="240" w:lineRule="auto"/>
              <w:ind w:firstLine="0" w:firstLineChars="0"/>
              <w:jc w:val="center"/>
              <w:textAlignment w:val="baseline"/>
              <w:rPr>
                <w:rFonts w:hint="eastAsia" w:ascii="黑体" w:hAnsi="黑体" w:eastAsia="黑体" w:cs="黑体"/>
                <w:b/>
                <w:bCs/>
                <w:sz w:val="24"/>
                <w:szCs w:val="24"/>
              </w:rPr>
            </w:pPr>
            <w:r>
              <w:rPr>
                <w:rFonts w:hint="eastAsia" w:ascii="黑体" w:hAnsi="黑体" w:eastAsia="黑体" w:cs="黑体"/>
                <w:b/>
                <w:bCs/>
                <w:sz w:val="24"/>
                <w:szCs w:val="24"/>
                <w:lang w:val="en-US" w:eastAsia="zh-CN"/>
              </w:rPr>
              <w:t>目标值</w:t>
            </w:r>
          </w:p>
        </w:tc>
        <w:tc>
          <w:tcPr>
            <w:tcW w:w="542" w:type="pct"/>
            <w:shd w:val="clear" w:color="auto" w:fill="auto"/>
            <w:vAlign w:val="center"/>
          </w:tcPr>
          <w:p w14:paraId="376D1DC9">
            <w:pPr>
              <w:keepNext/>
              <w:keepLines w:val="0"/>
              <w:pageBreakBefore w:val="0"/>
              <w:widowControl w:val="0"/>
              <w:kinsoku/>
              <w:wordWrap/>
              <w:overflowPunct/>
              <w:topLinePunct w:val="0"/>
              <w:autoSpaceDE/>
              <w:autoSpaceDN/>
              <w:bidi w:val="0"/>
              <w:adjustRightInd/>
              <w:snapToGrid/>
              <w:spacing w:before="0" w:beforeLines="0" w:after="0" w:afterLines="0" w:line="240" w:lineRule="auto"/>
              <w:ind w:firstLine="0" w:firstLineChars="0"/>
              <w:jc w:val="center"/>
              <w:textAlignment w:val="baseline"/>
              <w:rPr>
                <w:rFonts w:hint="eastAsia" w:ascii="黑体" w:hAnsi="黑体" w:eastAsia="黑体" w:cs="黑体"/>
                <w:b/>
                <w:bCs/>
                <w:sz w:val="24"/>
                <w:szCs w:val="24"/>
                <w:lang w:val="en-US" w:eastAsia="zh-CN"/>
              </w:rPr>
            </w:pPr>
            <w:r>
              <w:rPr>
                <w:rFonts w:hint="eastAsia" w:ascii="黑体" w:hAnsi="黑体" w:eastAsia="黑体" w:cs="黑体"/>
                <w:b/>
                <w:bCs/>
                <w:sz w:val="24"/>
                <w:szCs w:val="24"/>
                <w:lang w:val="en-US" w:eastAsia="zh-CN"/>
              </w:rPr>
              <w:t>指标</w:t>
            </w:r>
          </w:p>
          <w:p w14:paraId="0F445F19">
            <w:pPr>
              <w:keepNext/>
              <w:keepLines w:val="0"/>
              <w:pageBreakBefore w:val="0"/>
              <w:widowControl w:val="0"/>
              <w:kinsoku/>
              <w:wordWrap/>
              <w:overflowPunct/>
              <w:topLinePunct w:val="0"/>
              <w:autoSpaceDE/>
              <w:autoSpaceDN/>
              <w:bidi w:val="0"/>
              <w:adjustRightInd/>
              <w:snapToGrid/>
              <w:spacing w:before="0" w:beforeLines="0" w:after="0" w:afterLines="0" w:line="240" w:lineRule="auto"/>
              <w:ind w:firstLine="0" w:firstLineChars="0"/>
              <w:jc w:val="center"/>
              <w:textAlignment w:val="baseline"/>
              <w:rPr>
                <w:rFonts w:hint="eastAsia" w:ascii="黑体" w:hAnsi="黑体" w:eastAsia="黑体" w:cs="黑体"/>
                <w:b/>
                <w:bCs/>
                <w:sz w:val="24"/>
                <w:szCs w:val="24"/>
              </w:rPr>
            </w:pPr>
            <w:r>
              <w:rPr>
                <w:rFonts w:hint="eastAsia" w:ascii="黑体" w:hAnsi="黑体" w:eastAsia="黑体" w:cs="黑体"/>
                <w:b/>
                <w:bCs/>
                <w:sz w:val="24"/>
                <w:szCs w:val="24"/>
                <w:lang w:val="en-US" w:eastAsia="zh-CN"/>
              </w:rPr>
              <w:t>类型</w:t>
            </w:r>
          </w:p>
        </w:tc>
        <w:tc>
          <w:tcPr>
            <w:tcW w:w="777" w:type="pct"/>
            <w:shd w:val="clear" w:color="auto" w:fill="auto"/>
            <w:vAlign w:val="center"/>
          </w:tcPr>
          <w:p w14:paraId="7715C639">
            <w:pPr>
              <w:keepNext/>
              <w:keepLines w:val="0"/>
              <w:pageBreakBefore w:val="0"/>
              <w:widowControl w:val="0"/>
              <w:kinsoku/>
              <w:wordWrap/>
              <w:overflowPunct/>
              <w:topLinePunct w:val="0"/>
              <w:autoSpaceDE/>
              <w:autoSpaceDN/>
              <w:bidi w:val="0"/>
              <w:adjustRightInd/>
              <w:snapToGrid/>
              <w:spacing w:before="0" w:beforeLines="0" w:after="0" w:afterLines="0" w:line="240" w:lineRule="auto"/>
              <w:ind w:firstLine="0" w:firstLineChars="0"/>
              <w:jc w:val="center"/>
              <w:textAlignment w:val="baseline"/>
              <w:rPr>
                <w:rFonts w:hint="eastAsia" w:ascii="黑体" w:hAnsi="黑体" w:eastAsia="黑体" w:cs="黑体"/>
                <w:b/>
                <w:bCs/>
                <w:sz w:val="24"/>
                <w:szCs w:val="24"/>
                <w:lang w:val="en-US" w:eastAsia="zh-CN"/>
              </w:rPr>
            </w:pPr>
            <w:r>
              <w:rPr>
                <w:rFonts w:hint="eastAsia" w:ascii="黑体" w:hAnsi="黑体" w:eastAsia="黑体" w:cs="黑体"/>
                <w:b/>
                <w:bCs/>
                <w:sz w:val="24"/>
                <w:szCs w:val="24"/>
                <w:lang w:val="en-US" w:eastAsia="zh-CN"/>
              </w:rPr>
              <w:t>衔接</w:t>
            </w:r>
          </w:p>
          <w:p w14:paraId="21AB16EF">
            <w:pPr>
              <w:keepNext/>
              <w:keepLines w:val="0"/>
              <w:pageBreakBefore w:val="0"/>
              <w:widowControl w:val="0"/>
              <w:kinsoku/>
              <w:wordWrap/>
              <w:overflowPunct/>
              <w:topLinePunct w:val="0"/>
              <w:autoSpaceDE/>
              <w:autoSpaceDN/>
              <w:bidi w:val="0"/>
              <w:adjustRightInd/>
              <w:snapToGrid/>
              <w:spacing w:before="0" w:beforeLines="0" w:after="0" w:afterLines="0" w:line="240" w:lineRule="auto"/>
              <w:ind w:firstLine="0" w:firstLineChars="0"/>
              <w:jc w:val="center"/>
              <w:textAlignment w:val="baseline"/>
              <w:rPr>
                <w:rFonts w:hint="eastAsia" w:ascii="黑体" w:hAnsi="黑体" w:eastAsia="黑体" w:cs="黑体"/>
                <w:b/>
                <w:bCs/>
                <w:sz w:val="24"/>
                <w:szCs w:val="24"/>
                <w:lang w:val="en-US" w:eastAsia="zh-CN"/>
              </w:rPr>
            </w:pPr>
            <w:r>
              <w:rPr>
                <w:rFonts w:hint="eastAsia" w:ascii="黑体" w:hAnsi="黑体" w:eastAsia="黑体" w:cs="黑体"/>
                <w:b/>
                <w:bCs/>
                <w:sz w:val="24"/>
                <w:szCs w:val="24"/>
                <w:lang w:val="en-US" w:eastAsia="zh-CN"/>
              </w:rPr>
              <w:t>情况</w:t>
            </w:r>
          </w:p>
        </w:tc>
      </w:tr>
      <w:tr w14:paraId="7BA3B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tblHeader/>
        </w:trPr>
        <w:tc>
          <w:tcPr>
            <w:tcW w:w="300" w:type="pct"/>
            <w:shd w:val="clear" w:color="auto" w:fill="auto"/>
            <w:noWrap/>
            <w:vAlign w:val="center"/>
          </w:tcPr>
          <w:p w14:paraId="39317402">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default" w:ascii="Times New Roman" w:hAnsi="Times New Roman" w:eastAsia="Times New Roman" w:cs="Times New Roman"/>
                <w:b w:val="0"/>
                <w:bCs w:val="0"/>
                <w:color w:val="auto"/>
                <w:sz w:val="24"/>
                <w:szCs w:val="24"/>
                <w:highlight w:val="none"/>
                <w:lang w:val="en-US" w:eastAsia="zh-CN"/>
              </w:rPr>
            </w:pPr>
            <w:r>
              <w:rPr>
                <w:rFonts w:hint="eastAsia" w:ascii="Times New Roman" w:hAnsi="Times New Roman" w:eastAsia="Times New Roman" w:cs="Times New Roman"/>
                <w:b w:val="0"/>
                <w:bCs w:val="0"/>
                <w:color w:val="auto"/>
                <w:sz w:val="24"/>
                <w:szCs w:val="24"/>
                <w:highlight w:val="none"/>
                <w:lang w:val="en-US" w:eastAsia="zh-CN"/>
              </w:rPr>
              <w:t>1</w:t>
            </w:r>
          </w:p>
        </w:tc>
        <w:tc>
          <w:tcPr>
            <w:tcW w:w="473" w:type="pct"/>
            <w:vMerge w:val="restart"/>
            <w:shd w:val="clear" w:color="auto" w:fill="auto"/>
            <w:noWrap/>
            <w:vAlign w:val="center"/>
          </w:tcPr>
          <w:p w14:paraId="2673B29E">
            <w:pPr>
              <w:pStyle w:val="2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firstLine="0" w:firstLineChars="0"/>
              <w:textAlignment w:val="baseline"/>
              <w:rPr>
                <w:rFonts w:hint="eastAsia" w:ascii="仿宋" w:hAnsi="仿宋" w:eastAsia="仿宋" w:cs="仿宋"/>
                <w:b w:val="0"/>
                <w:bCs w:val="0"/>
                <w:color w:val="auto"/>
                <w:spacing w:val="-6"/>
                <w:kern w:val="2"/>
                <w:sz w:val="24"/>
                <w:szCs w:val="24"/>
                <w:highlight w:val="none"/>
                <w:lang w:val="en-US" w:eastAsia="zh-CN" w:bidi="ar-SA"/>
              </w:rPr>
            </w:pPr>
            <w:r>
              <w:rPr>
                <w:rFonts w:hint="eastAsia" w:ascii="仿宋" w:hAnsi="仿宋" w:eastAsia="仿宋" w:cs="仿宋"/>
                <w:b w:val="0"/>
                <w:bCs w:val="0"/>
                <w:color w:val="auto"/>
                <w:spacing w:val="-6"/>
                <w:kern w:val="2"/>
                <w:sz w:val="24"/>
                <w:szCs w:val="24"/>
                <w:highlight w:val="none"/>
                <w:lang w:val="en-US" w:eastAsia="zh-CN" w:bidi="ar-SA"/>
              </w:rPr>
              <w:t>宜居</w:t>
            </w:r>
            <w:r>
              <w:rPr>
                <w:rFonts w:hint="eastAsia" w:eastAsia="仿宋" w:cs="仿宋"/>
                <w:b w:val="0"/>
                <w:bCs w:val="0"/>
                <w:color w:val="auto"/>
                <w:spacing w:val="-6"/>
                <w:kern w:val="2"/>
                <w:sz w:val="24"/>
                <w:szCs w:val="24"/>
                <w:highlight w:val="none"/>
                <w:lang w:val="en-US" w:eastAsia="zh-CN" w:bidi="ar-SA"/>
              </w:rPr>
              <w:t>环境</w:t>
            </w:r>
          </w:p>
        </w:tc>
        <w:tc>
          <w:tcPr>
            <w:tcW w:w="1243" w:type="pct"/>
            <w:shd w:val="clear" w:color="auto" w:fill="auto"/>
            <w:noWrap/>
            <w:vAlign w:val="center"/>
          </w:tcPr>
          <w:p w14:paraId="330EFBAC">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仿宋" w:hAnsi="仿宋" w:eastAsia="仿宋" w:cs="仿宋"/>
                <w:b w:val="0"/>
                <w:bCs w:val="0"/>
                <w:i w:val="0"/>
                <w:iCs w:val="0"/>
                <w:color w:val="auto"/>
                <w:kern w:val="0"/>
                <w:sz w:val="24"/>
                <w:szCs w:val="24"/>
                <w:highlight w:val="none"/>
                <w:u w:val="none"/>
                <w:lang w:val="en-US" w:eastAsia="zh-CN" w:bidi="ar"/>
              </w:rPr>
            </w:pPr>
            <w:r>
              <w:rPr>
                <w:rFonts w:hint="eastAsia" w:ascii="仿宋" w:hAnsi="仿宋" w:eastAsia="仿宋" w:cs="仿宋"/>
                <w:b w:val="0"/>
                <w:bCs w:val="0"/>
                <w:color w:val="auto"/>
                <w:sz w:val="24"/>
                <w:szCs w:val="24"/>
                <w:highlight w:val="none"/>
                <w:lang w:val="en-US" w:eastAsia="zh-CN"/>
              </w:rPr>
              <w:t>生活垃圾回收利用率</w:t>
            </w:r>
          </w:p>
        </w:tc>
        <w:tc>
          <w:tcPr>
            <w:tcW w:w="471" w:type="pct"/>
            <w:shd w:val="clear" w:color="auto" w:fill="auto"/>
            <w:noWrap/>
            <w:vAlign w:val="center"/>
          </w:tcPr>
          <w:p w14:paraId="0B31AEDF">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Times New Roman" w:hAnsi="Times New Roman" w:eastAsia="Times New Roman" w:cs="Times New Roman"/>
                <w:b w:val="0"/>
                <w:bCs w:val="0"/>
                <w:i w:val="0"/>
                <w:iCs w:val="0"/>
                <w:color w:val="auto"/>
                <w:kern w:val="0"/>
                <w:sz w:val="24"/>
                <w:szCs w:val="24"/>
                <w:highlight w:val="none"/>
                <w:u w:val="none"/>
                <w:lang w:val="en-US" w:eastAsia="zh-CN" w:bidi="ar"/>
              </w:rPr>
            </w:pPr>
            <w:r>
              <w:rPr>
                <w:rFonts w:hint="eastAsia" w:ascii="Times New Roman" w:hAnsi="Times New Roman" w:eastAsia="Times New Roman" w:cs="Times New Roman"/>
                <w:b w:val="0"/>
                <w:bCs w:val="0"/>
                <w:color w:val="auto"/>
                <w:sz w:val="24"/>
                <w:szCs w:val="24"/>
                <w:highlight w:val="none"/>
                <w:lang w:val="en-US" w:eastAsia="zh-CN"/>
              </w:rPr>
              <w:t>%</w:t>
            </w:r>
          </w:p>
        </w:tc>
        <w:tc>
          <w:tcPr>
            <w:tcW w:w="577" w:type="pct"/>
            <w:shd w:val="clear" w:color="auto" w:fill="auto"/>
            <w:vAlign w:val="center"/>
          </w:tcPr>
          <w:p w14:paraId="73DDB3BC">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Times New Roman" w:hAnsi="Times New Roman" w:eastAsia="Times New Roman" w:cs="Times New Roman"/>
                <w:b w:val="0"/>
                <w:bCs w:val="0"/>
                <w:i w:val="0"/>
                <w:iCs w:val="0"/>
                <w:color w:val="auto"/>
                <w:kern w:val="0"/>
                <w:sz w:val="24"/>
                <w:szCs w:val="24"/>
                <w:highlight w:val="none"/>
                <w:u w:val="none"/>
                <w:lang w:val="en-US" w:eastAsia="zh-CN" w:bidi="ar"/>
              </w:rPr>
            </w:pPr>
            <w:r>
              <w:rPr>
                <w:rFonts w:hint="eastAsia" w:ascii="Times New Roman" w:hAnsi="Times New Roman" w:eastAsia="Times New Roman" w:cs="Times New Roman"/>
                <w:b w:val="0"/>
                <w:bCs w:val="0"/>
                <w:color w:val="auto"/>
                <w:sz w:val="24"/>
                <w:szCs w:val="24"/>
                <w:highlight w:val="none"/>
                <w:lang w:val="en-US" w:eastAsia="zh-CN"/>
              </w:rPr>
              <w:t>40</w:t>
            </w:r>
          </w:p>
        </w:tc>
        <w:tc>
          <w:tcPr>
            <w:tcW w:w="613" w:type="pct"/>
            <w:shd w:val="clear" w:color="auto" w:fill="auto"/>
            <w:vAlign w:val="center"/>
          </w:tcPr>
          <w:p w14:paraId="228C254B">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Times New Roman" w:hAnsi="Times New Roman" w:eastAsia="Times New Roman" w:cs="Times New Roman"/>
                <w:b w:val="0"/>
                <w:bCs w:val="0"/>
                <w:i w:val="0"/>
                <w:iCs w:val="0"/>
                <w:color w:val="auto"/>
                <w:kern w:val="0"/>
                <w:sz w:val="24"/>
                <w:szCs w:val="24"/>
                <w:highlight w:val="none"/>
                <w:u w:val="none"/>
                <w:lang w:val="en-US" w:eastAsia="zh-CN" w:bidi="ar"/>
              </w:rPr>
            </w:pPr>
            <w:r>
              <w:rPr>
                <w:rFonts w:hint="eastAsia" w:eastAsia="仿宋" w:cs="仿宋"/>
                <w:b w:val="0"/>
                <w:bCs w:val="0"/>
                <w:color w:val="auto"/>
                <w:sz w:val="24"/>
                <w:szCs w:val="24"/>
                <w:highlight w:val="none"/>
                <w:lang w:val="en-US" w:eastAsia="zh-CN"/>
              </w:rPr>
              <w:t>＞</w:t>
            </w:r>
            <w:r>
              <w:rPr>
                <w:rFonts w:hint="eastAsia" w:ascii="Times New Roman" w:hAnsi="Times New Roman" w:eastAsia="Times New Roman" w:cs="Times New Roman"/>
                <w:b w:val="0"/>
                <w:bCs w:val="0"/>
                <w:color w:val="auto"/>
                <w:sz w:val="24"/>
                <w:szCs w:val="24"/>
                <w:highlight w:val="none"/>
                <w:lang w:val="en-US" w:eastAsia="zh-CN"/>
              </w:rPr>
              <w:t>46</w:t>
            </w:r>
          </w:p>
        </w:tc>
        <w:tc>
          <w:tcPr>
            <w:tcW w:w="542" w:type="pct"/>
            <w:shd w:val="clear" w:color="auto" w:fill="auto"/>
            <w:vAlign w:val="center"/>
          </w:tcPr>
          <w:p w14:paraId="35438E51">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仿宋" w:hAnsi="仿宋" w:eastAsia="仿宋" w:cs="仿宋"/>
                <w:b w:val="0"/>
                <w:bCs w:val="0"/>
                <w:i w:val="0"/>
                <w:iCs w:val="0"/>
                <w:color w:val="auto"/>
                <w:kern w:val="0"/>
                <w:sz w:val="24"/>
                <w:szCs w:val="24"/>
                <w:highlight w:val="none"/>
                <w:u w:val="none"/>
                <w:lang w:val="en-US" w:eastAsia="zh-CN" w:bidi="ar"/>
              </w:rPr>
            </w:pPr>
            <w:r>
              <w:rPr>
                <w:rFonts w:hint="eastAsia" w:eastAsia="仿宋" w:cs="仿宋"/>
                <w:b w:val="0"/>
                <w:bCs w:val="0"/>
                <w:color w:val="auto"/>
                <w:sz w:val="24"/>
                <w:szCs w:val="24"/>
                <w:highlight w:val="none"/>
                <w:lang w:val="en-US" w:eastAsia="zh-CN"/>
              </w:rPr>
              <w:t>约束</w:t>
            </w:r>
            <w:r>
              <w:rPr>
                <w:rFonts w:hint="eastAsia" w:eastAsia="仿宋" w:cs="仿宋"/>
                <w:b w:val="0"/>
                <w:bCs w:val="0"/>
                <w:i w:val="0"/>
                <w:iCs w:val="0"/>
                <w:color w:val="000000"/>
                <w:kern w:val="0"/>
                <w:sz w:val="24"/>
                <w:szCs w:val="24"/>
                <w:highlight w:val="none"/>
                <w:u w:val="none"/>
                <w:lang w:val="en-US" w:eastAsia="zh-CN" w:bidi="ar"/>
              </w:rPr>
              <w:t>性</w:t>
            </w:r>
          </w:p>
        </w:tc>
        <w:tc>
          <w:tcPr>
            <w:tcW w:w="777" w:type="pct"/>
            <w:shd w:val="clear" w:color="auto" w:fill="auto"/>
            <w:vAlign w:val="center"/>
          </w:tcPr>
          <w:p w14:paraId="52F5AEDC">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仿宋" w:hAnsi="仿宋" w:eastAsia="仿宋" w:cs="仿宋"/>
                <w:b w:val="0"/>
                <w:bCs w:val="0"/>
                <w:i w:val="0"/>
                <w:iCs w:val="0"/>
                <w:color w:val="auto"/>
                <w:kern w:val="0"/>
                <w:sz w:val="24"/>
                <w:szCs w:val="24"/>
                <w:highlight w:val="none"/>
                <w:u w:val="none"/>
                <w:lang w:val="en-US" w:eastAsia="zh-CN" w:bidi="ar"/>
              </w:rPr>
            </w:pPr>
            <w:r>
              <w:rPr>
                <w:rFonts w:hint="eastAsia" w:ascii="仿宋" w:hAnsi="仿宋" w:eastAsia="仿宋" w:cs="仿宋"/>
                <w:b w:val="0"/>
                <w:bCs w:val="0"/>
                <w:color w:val="auto"/>
                <w:sz w:val="24"/>
                <w:szCs w:val="24"/>
                <w:highlight w:val="none"/>
                <w:lang w:val="en-US" w:eastAsia="zh-CN"/>
              </w:rPr>
              <w:t>市级纲要</w:t>
            </w:r>
          </w:p>
        </w:tc>
      </w:tr>
      <w:tr w14:paraId="0B57E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tblHeader/>
        </w:trPr>
        <w:tc>
          <w:tcPr>
            <w:tcW w:w="300" w:type="pct"/>
            <w:shd w:val="clear" w:color="auto" w:fill="auto"/>
            <w:noWrap/>
            <w:vAlign w:val="center"/>
          </w:tcPr>
          <w:p w14:paraId="7325DAAE">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default" w:ascii="Times New Roman" w:hAnsi="Times New Roman" w:eastAsia="Times New Roman" w:cs="Times New Roman"/>
                <w:b w:val="0"/>
                <w:bCs w:val="0"/>
                <w:color w:val="auto"/>
                <w:sz w:val="24"/>
                <w:szCs w:val="24"/>
                <w:highlight w:val="none"/>
                <w:lang w:val="en-US" w:eastAsia="zh-CN"/>
              </w:rPr>
            </w:pPr>
            <w:r>
              <w:rPr>
                <w:rFonts w:hint="eastAsia" w:ascii="Times New Roman" w:hAnsi="Times New Roman" w:eastAsia="Times New Roman" w:cs="Times New Roman"/>
                <w:b w:val="0"/>
                <w:bCs w:val="0"/>
                <w:color w:val="auto"/>
                <w:sz w:val="24"/>
                <w:szCs w:val="24"/>
                <w:highlight w:val="none"/>
                <w:lang w:val="en-US" w:eastAsia="zh-CN"/>
              </w:rPr>
              <w:t>2</w:t>
            </w:r>
          </w:p>
        </w:tc>
        <w:tc>
          <w:tcPr>
            <w:tcW w:w="473" w:type="pct"/>
            <w:vMerge w:val="continue"/>
            <w:shd w:val="clear" w:color="auto" w:fill="auto"/>
            <w:noWrap/>
            <w:vAlign w:val="center"/>
          </w:tcPr>
          <w:p w14:paraId="77A7C80C">
            <w:pPr>
              <w:pStyle w:val="2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firstLine="0" w:firstLineChars="0"/>
              <w:textAlignment w:val="baseline"/>
              <w:rPr>
                <w:rFonts w:hint="eastAsia" w:ascii="仿宋" w:hAnsi="仿宋" w:eastAsia="仿宋" w:cs="仿宋"/>
                <w:b w:val="0"/>
                <w:bCs w:val="0"/>
                <w:color w:val="auto"/>
                <w:spacing w:val="-6"/>
                <w:kern w:val="2"/>
                <w:sz w:val="24"/>
                <w:szCs w:val="24"/>
                <w:highlight w:val="none"/>
                <w:lang w:val="en-US" w:eastAsia="zh-CN" w:bidi="ar-SA"/>
              </w:rPr>
            </w:pPr>
          </w:p>
        </w:tc>
        <w:tc>
          <w:tcPr>
            <w:tcW w:w="1243" w:type="pct"/>
            <w:shd w:val="clear" w:color="auto" w:fill="auto"/>
            <w:noWrap/>
            <w:vAlign w:val="center"/>
          </w:tcPr>
          <w:p w14:paraId="7360985F">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仿宋" w:hAnsi="仿宋" w:eastAsia="仿宋" w:cs="仿宋"/>
                <w:b w:val="0"/>
                <w:bCs w:val="0"/>
                <w:i w:val="0"/>
                <w:iCs w:val="0"/>
                <w:color w:val="auto"/>
                <w:kern w:val="0"/>
                <w:sz w:val="24"/>
                <w:szCs w:val="24"/>
                <w:highlight w:val="none"/>
                <w:u w:val="none"/>
                <w:lang w:val="en-US" w:eastAsia="zh-CN" w:bidi="ar"/>
              </w:rPr>
            </w:pPr>
            <w:r>
              <w:rPr>
                <w:rFonts w:hint="eastAsia" w:ascii="仿宋" w:hAnsi="仿宋" w:eastAsia="仿宋" w:cs="仿宋"/>
                <w:b w:val="0"/>
                <w:bCs w:val="0"/>
                <w:color w:val="auto"/>
                <w:sz w:val="24"/>
                <w:szCs w:val="24"/>
                <w:highlight w:val="none"/>
                <w:lang w:val="en-US" w:eastAsia="zh-CN"/>
              </w:rPr>
              <w:t>生活垃圾资源化利用率</w:t>
            </w:r>
          </w:p>
        </w:tc>
        <w:tc>
          <w:tcPr>
            <w:tcW w:w="471" w:type="pct"/>
            <w:shd w:val="clear" w:color="auto" w:fill="auto"/>
            <w:noWrap/>
            <w:vAlign w:val="center"/>
          </w:tcPr>
          <w:p w14:paraId="0D2C5DAA">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Times New Roman" w:hAnsi="Times New Roman" w:eastAsia="Times New Roman" w:cs="Times New Roman"/>
                <w:b w:val="0"/>
                <w:bCs w:val="0"/>
                <w:i w:val="0"/>
                <w:iCs w:val="0"/>
                <w:color w:val="auto"/>
                <w:kern w:val="0"/>
                <w:sz w:val="24"/>
                <w:szCs w:val="24"/>
                <w:highlight w:val="none"/>
                <w:u w:val="none"/>
                <w:lang w:val="en-US" w:eastAsia="zh-CN" w:bidi="ar"/>
              </w:rPr>
            </w:pPr>
            <w:r>
              <w:rPr>
                <w:rFonts w:hint="eastAsia" w:ascii="Times New Roman" w:hAnsi="Times New Roman" w:eastAsia="Times New Roman" w:cs="Times New Roman"/>
                <w:b w:val="0"/>
                <w:bCs w:val="0"/>
                <w:color w:val="auto"/>
                <w:sz w:val="24"/>
                <w:szCs w:val="24"/>
                <w:highlight w:val="none"/>
                <w:lang w:val="en-US" w:eastAsia="zh-CN"/>
              </w:rPr>
              <w:t>%</w:t>
            </w:r>
          </w:p>
        </w:tc>
        <w:tc>
          <w:tcPr>
            <w:tcW w:w="577" w:type="pct"/>
            <w:shd w:val="clear" w:color="auto" w:fill="auto"/>
            <w:vAlign w:val="center"/>
          </w:tcPr>
          <w:p w14:paraId="6A4ADC80">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Times New Roman" w:hAnsi="Times New Roman" w:eastAsia="Times New Roman" w:cs="Times New Roman"/>
                <w:b w:val="0"/>
                <w:bCs w:val="0"/>
                <w:i w:val="0"/>
                <w:iCs w:val="0"/>
                <w:color w:val="auto"/>
                <w:kern w:val="0"/>
                <w:sz w:val="24"/>
                <w:szCs w:val="24"/>
                <w:highlight w:val="none"/>
                <w:u w:val="none"/>
                <w:lang w:val="en-US" w:eastAsia="zh-CN" w:bidi="ar"/>
              </w:rPr>
            </w:pPr>
            <w:r>
              <w:rPr>
                <w:rFonts w:hint="eastAsia" w:ascii="Times New Roman" w:hAnsi="Times New Roman" w:eastAsia="Times New Roman" w:cs="Times New Roman"/>
                <w:b w:val="0"/>
                <w:bCs w:val="0"/>
                <w:color w:val="auto"/>
                <w:sz w:val="24"/>
                <w:szCs w:val="24"/>
                <w:highlight w:val="none"/>
                <w:lang w:val="en-US" w:eastAsia="zh-CN"/>
              </w:rPr>
              <w:t>85.31</w:t>
            </w:r>
          </w:p>
        </w:tc>
        <w:tc>
          <w:tcPr>
            <w:tcW w:w="613" w:type="pct"/>
            <w:shd w:val="clear" w:color="auto" w:fill="auto"/>
            <w:vAlign w:val="center"/>
          </w:tcPr>
          <w:p w14:paraId="726E0210">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Times New Roman" w:hAnsi="Times New Roman" w:eastAsia="Times New Roman" w:cs="Times New Roman"/>
                <w:b w:val="0"/>
                <w:bCs w:val="0"/>
                <w:i w:val="0"/>
                <w:iCs w:val="0"/>
                <w:color w:val="auto"/>
                <w:kern w:val="0"/>
                <w:sz w:val="24"/>
                <w:szCs w:val="24"/>
                <w:highlight w:val="none"/>
                <w:u w:val="none"/>
                <w:lang w:val="en-US" w:eastAsia="zh-CN" w:bidi="ar"/>
              </w:rPr>
            </w:pPr>
            <w:r>
              <w:rPr>
                <w:rFonts w:hint="eastAsia" w:ascii="Times New Roman" w:hAnsi="Times New Roman" w:eastAsia="Times New Roman" w:cs="Times New Roman"/>
                <w:b w:val="0"/>
                <w:bCs w:val="0"/>
                <w:color w:val="auto"/>
                <w:sz w:val="24"/>
                <w:szCs w:val="24"/>
                <w:highlight w:val="none"/>
                <w:lang w:val="en-US" w:eastAsia="zh-CN"/>
              </w:rPr>
              <w:t>87</w:t>
            </w:r>
          </w:p>
        </w:tc>
        <w:tc>
          <w:tcPr>
            <w:tcW w:w="542" w:type="pct"/>
            <w:shd w:val="clear" w:color="auto" w:fill="auto"/>
            <w:vAlign w:val="center"/>
          </w:tcPr>
          <w:p w14:paraId="423FF7BE">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仿宋" w:hAnsi="仿宋" w:eastAsia="仿宋" w:cs="仿宋"/>
                <w:b w:val="0"/>
                <w:bCs w:val="0"/>
                <w:i w:val="0"/>
                <w:iCs w:val="0"/>
                <w:color w:val="auto"/>
                <w:kern w:val="0"/>
                <w:sz w:val="24"/>
                <w:szCs w:val="24"/>
                <w:highlight w:val="none"/>
                <w:u w:val="none"/>
                <w:lang w:val="en-US" w:eastAsia="zh-CN" w:bidi="ar"/>
              </w:rPr>
            </w:pPr>
            <w:r>
              <w:rPr>
                <w:rFonts w:hint="eastAsia" w:eastAsia="仿宋" w:cs="仿宋"/>
                <w:b w:val="0"/>
                <w:bCs w:val="0"/>
                <w:color w:val="auto"/>
                <w:sz w:val="24"/>
                <w:szCs w:val="24"/>
                <w:highlight w:val="none"/>
                <w:lang w:val="en-US" w:eastAsia="zh-CN"/>
              </w:rPr>
              <w:t>预期</w:t>
            </w:r>
            <w:r>
              <w:rPr>
                <w:rFonts w:hint="eastAsia" w:eastAsia="仿宋" w:cs="仿宋"/>
                <w:b w:val="0"/>
                <w:bCs w:val="0"/>
                <w:i w:val="0"/>
                <w:iCs w:val="0"/>
                <w:color w:val="auto"/>
                <w:kern w:val="0"/>
                <w:sz w:val="24"/>
                <w:szCs w:val="24"/>
                <w:highlight w:val="none"/>
                <w:u w:val="none"/>
                <w:lang w:val="en-US" w:eastAsia="zh-CN" w:bidi="ar"/>
              </w:rPr>
              <w:t>性</w:t>
            </w:r>
          </w:p>
        </w:tc>
        <w:tc>
          <w:tcPr>
            <w:tcW w:w="777" w:type="pct"/>
            <w:shd w:val="clear" w:color="auto" w:fill="auto"/>
            <w:vAlign w:val="center"/>
          </w:tcPr>
          <w:p w14:paraId="716269E2">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仿宋" w:hAnsi="仿宋" w:eastAsia="仿宋" w:cs="仿宋"/>
                <w:b w:val="0"/>
                <w:bCs w:val="0"/>
                <w:i w:val="0"/>
                <w:iCs w:val="0"/>
                <w:color w:val="auto"/>
                <w:kern w:val="0"/>
                <w:sz w:val="24"/>
                <w:szCs w:val="24"/>
                <w:highlight w:val="none"/>
                <w:u w:val="none"/>
                <w:lang w:val="en-US" w:eastAsia="zh-CN" w:bidi="ar"/>
              </w:rPr>
            </w:pPr>
            <w:r>
              <w:rPr>
                <w:rFonts w:hint="eastAsia" w:ascii="仿宋" w:hAnsi="仿宋" w:eastAsia="仿宋" w:cs="仿宋"/>
                <w:b w:val="0"/>
                <w:bCs w:val="0"/>
                <w:color w:val="auto"/>
                <w:sz w:val="24"/>
                <w:szCs w:val="24"/>
                <w:highlight w:val="none"/>
                <w:lang w:val="en-US" w:eastAsia="zh-CN"/>
              </w:rPr>
              <w:t>市级城管规划</w:t>
            </w:r>
          </w:p>
        </w:tc>
      </w:tr>
      <w:tr w14:paraId="7C79A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tblHeader/>
        </w:trPr>
        <w:tc>
          <w:tcPr>
            <w:tcW w:w="300" w:type="pct"/>
            <w:shd w:val="clear" w:color="auto" w:fill="auto"/>
            <w:noWrap/>
            <w:vAlign w:val="center"/>
          </w:tcPr>
          <w:p w14:paraId="0953FEDB">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default" w:ascii="Times New Roman" w:hAnsi="Times New Roman" w:eastAsia="Times New Roman" w:cs="Times New Roman"/>
                <w:b w:val="0"/>
                <w:bCs w:val="0"/>
                <w:color w:val="auto"/>
                <w:sz w:val="24"/>
                <w:szCs w:val="24"/>
                <w:highlight w:val="none"/>
                <w:lang w:val="en-US" w:eastAsia="zh-CN"/>
              </w:rPr>
            </w:pPr>
            <w:r>
              <w:rPr>
                <w:rFonts w:hint="eastAsia" w:ascii="Times New Roman" w:hAnsi="Times New Roman" w:eastAsia="Times New Roman" w:cs="Times New Roman"/>
                <w:b w:val="0"/>
                <w:bCs w:val="0"/>
                <w:color w:val="auto"/>
                <w:sz w:val="24"/>
                <w:szCs w:val="24"/>
                <w:highlight w:val="none"/>
                <w:lang w:val="en-US" w:eastAsia="zh-CN"/>
              </w:rPr>
              <w:t>3</w:t>
            </w:r>
          </w:p>
        </w:tc>
        <w:tc>
          <w:tcPr>
            <w:tcW w:w="473" w:type="pct"/>
            <w:vMerge w:val="continue"/>
            <w:shd w:val="clear" w:color="auto" w:fill="auto"/>
            <w:noWrap/>
            <w:vAlign w:val="center"/>
          </w:tcPr>
          <w:p w14:paraId="77307420">
            <w:pPr>
              <w:pStyle w:val="2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firstLine="0" w:firstLineChars="0"/>
              <w:textAlignment w:val="baseline"/>
              <w:rPr>
                <w:rFonts w:hint="eastAsia" w:ascii="仿宋" w:hAnsi="仿宋" w:eastAsia="仿宋" w:cs="仿宋"/>
                <w:b w:val="0"/>
                <w:bCs w:val="0"/>
                <w:color w:val="auto"/>
                <w:spacing w:val="-6"/>
                <w:kern w:val="2"/>
                <w:sz w:val="24"/>
                <w:szCs w:val="24"/>
                <w:highlight w:val="none"/>
                <w:lang w:val="en-US" w:eastAsia="zh-CN" w:bidi="ar-SA"/>
              </w:rPr>
            </w:pPr>
          </w:p>
        </w:tc>
        <w:tc>
          <w:tcPr>
            <w:tcW w:w="1243" w:type="pct"/>
            <w:shd w:val="clear" w:color="auto" w:fill="auto"/>
            <w:noWrap/>
            <w:vAlign w:val="center"/>
          </w:tcPr>
          <w:p w14:paraId="7A3C4529">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仿宋" w:hAnsi="仿宋" w:eastAsia="仿宋" w:cs="仿宋"/>
                <w:b w:val="0"/>
                <w:bCs w:val="0"/>
                <w:i w:val="0"/>
                <w:iCs w:val="0"/>
                <w:color w:val="auto"/>
                <w:kern w:val="0"/>
                <w:sz w:val="24"/>
                <w:szCs w:val="24"/>
                <w:highlight w:val="none"/>
                <w:u w:val="none"/>
                <w:lang w:val="en-US" w:eastAsia="zh-CN" w:bidi="ar"/>
              </w:rPr>
            </w:pPr>
            <w:r>
              <w:rPr>
                <w:rFonts w:hint="eastAsia" w:ascii="仿宋" w:hAnsi="仿宋" w:eastAsia="仿宋" w:cs="仿宋"/>
                <w:b w:val="0"/>
                <w:bCs w:val="0"/>
                <w:color w:val="auto"/>
                <w:sz w:val="24"/>
                <w:szCs w:val="24"/>
                <w:highlight w:val="none"/>
                <w:lang w:val="en-US" w:eastAsia="zh-CN"/>
              </w:rPr>
              <w:t>城市建筑垃圾综合利用率</w:t>
            </w:r>
          </w:p>
        </w:tc>
        <w:tc>
          <w:tcPr>
            <w:tcW w:w="471" w:type="pct"/>
            <w:shd w:val="clear" w:color="auto" w:fill="auto"/>
            <w:noWrap/>
            <w:vAlign w:val="center"/>
          </w:tcPr>
          <w:p w14:paraId="1C5C1FC3">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Times New Roman" w:hAnsi="Times New Roman" w:eastAsia="Times New Roman" w:cs="Times New Roman"/>
                <w:b w:val="0"/>
                <w:bCs w:val="0"/>
                <w:i w:val="0"/>
                <w:iCs w:val="0"/>
                <w:color w:val="auto"/>
                <w:kern w:val="0"/>
                <w:sz w:val="24"/>
                <w:szCs w:val="24"/>
                <w:highlight w:val="none"/>
                <w:u w:val="none"/>
                <w:lang w:val="en-US" w:eastAsia="zh-CN" w:bidi="ar"/>
              </w:rPr>
            </w:pPr>
            <w:r>
              <w:rPr>
                <w:rFonts w:hint="eastAsia" w:ascii="Times New Roman" w:hAnsi="Times New Roman" w:eastAsia="Times New Roman" w:cs="Times New Roman"/>
                <w:b w:val="0"/>
                <w:bCs w:val="0"/>
                <w:color w:val="auto"/>
                <w:sz w:val="24"/>
                <w:szCs w:val="24"/>
                <w:highlight w:val="none"/>
                <w:lang w:val="en-US" w:eastAsia="zh-CN"/>
              </w:rPr>
              <w:t>%</w:t>
            </w:r>
          </w:p>
        </w:tc>
        <w:tc>
          <w:tcPr>
            <w:tcW w:w="577" w:type="pct"/>
            <w:shd w:val="clear" w:color="auto" w:fill="auto"/>
            <w:vAlign w:val="center"/>
          </w:tcPr>
          <w:p w14:paraId="0EB8818F">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Times New Roman" w:hAnsi="Times New Roman" w:eastAsia="Times New Roman" w:cs="Times New Roman"/>
                <w:b w:val="0"/>
                <w:bCs w:val="0"/>
                <w:i w:val="0"/>
                <w:iCs w:val="0"/>
                <w:color w:val="auto"/>
                <w:kern w:val="0"/>
                <w:sz w:val="24"/>
                <w:szCs w:val="24"/>
                <w:highlight w:val="none"/>
                <w:u w:val="none"/>
                <w:lang w:val="en-US" w:eastAsia="zh-CN" w:bidi="ar"/>
              </w:rPr>
            </w:pPr>
            <w:r>
              <w:rPr>
                <w:rFonts w:hint="eastAsia" w:ascii="Times New Roman" w:hAnsi="Times New Roman" w:eastAsia="Times New Roman" w:cs="Times New Roman"/>
                <w:b w:val="0"/>
                <w:bCs w:val="0"/>
                <w:color w:val="auto"/>
                <w:sz w:val="24"/>
                <w:szCs w:val="24"/>
                <w:highlight w:val="none"/>
                <w:lang w:val="en-US" w:eastAsia="zh-CN"/>
              </w:rPr>
              <w:t>85</w:t>
            </w:r>
          </w:p>
        </w:tc>
        <w:tc>
          <w:tcPr>
            <w:tcW w:w="613" w:type="pct"/>
            <w:shd w:val="clear" w:color="auto" w:fill="auto"/>
            <w:vAlign w:val="center"/>
          </w:tcPr>
          <w:p w14:paraId="1F86135B">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Times New Roman" w:hAnsi="Times New Roman" w:eastAsia="Times New Roman" w:cs="Times New Roman"/>
                <w:b w:val="0"/>
                <w:bCs w:val="0"/>
                <w:i w:val="0"/>
                <w:iCs w:val="0"/>
                <w:color w:val="auto"/>
                <w:kern w:val="0"/>
                <w:sz w:val="24"/>
                <w:szCs w:val="24"/>
                <w:highlight w:val="none"/>
                <w:u w:val="none"/>
                <w:lang w:val="en-US" w:eastAsia="zh-CN" w:bidi="ar"/>
              </w:rPr>
            </w:pPr>
            <w:r>
              <w:rPr>
                <w:rFonts w:hint="eastAsia" w:ascii="Times New Roman" w:hAnsi="Times New Roman" w:eastAsia="Times New Roman" w:cs="Times New Roman"/>
                <w:b w:val="0"/>
                <w:bCs w:val="0"/>
                <w:color w:val="auto"/>
                <w:sz w:val="24"/>
                <w:szCs w:val="24"/>
                <w:highlight w:val="none"/>
                <w:lang w:val="en-US" w:eastAsia="zh-CN"/>
              </w:rPr>
              <w:t>≥90</w:t>
            </w:r>
          </w:p>
        </w:tc>
        <w:tc>
          <w:tcPr>
            <w:tcW w:w="542" w:type="pct"/>
            <w:shd w:val="clear" w:color="auto" w:fill="auto"/>
            <w:vAlign w:val="center"/>
          </w:tcPr>
          <w:p w14:paraId="0BF53B38">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仿宋" w:hAnsi="仿宋" w:eastAsia="仿宋" w:cs="仿宋"/>
                <w:b w:val="0"/>
                <w:bCs w:val="0"/>
                <w:i w:val="0"/>
                <w:iCs w:val="0"/>
                <w:color w:val="auto"/>
                <w:kern w:val="0"/>
                <w:sz w:val="24"/>
                <w:szCs w:val="24"/>
                <w:highlight w:val="none"/>
                <w:u w:val="none"/>
                <w:lang w:val="en-US" w:eastAsia="zh-CN" w:bidi="ar"/>
              </w:rPr>
            </w:pPr>
            <w:r>
              <w:rPr>
                <w:rFonts w:hint="eastAsia" w:eastAsia="仿宋" w:cs="仿宋"/>
                <w:b w:val="0"/>
                <w:bCs w:val="0"/>
                <w:color w:val="auto"/>
                <w:sz w:val="24"/>
                <w:szCs w:val="24"/>
                <w:highlight w:val="none"/>
                <w:lang w:val="en-US" w:eastAsia="zh-CN"/>
              </w:rPr>
              <w:t>预期</w:t>
            </w:r>
            <w:r>
              <w:rPr>
                <w:rFonts w:hint="eastAsia" w:eastAsia="仿宋" w:cs="仿宋"/>
                <w:b w:val="0"/>
                <w:bCs w:val="0"/>
                <w:i w:val="0"/>
                <w:iCs w:val="0"/>
                <w:color w:val="auto"/>
                <w:kern w:val="0"/>
                <w:sz w:val="24"/>
                <w:szCs w:val="24"/>
                <w:highlight w:val="none"/>
                <w:u w:val="none"/>
                <w:lang w:val="en-US" w:eastAsia="zh-CN" w:bidi="ar"/>
              </w:rPr>
              <w:t>性</w:t>
            </w:r>
          </w:p>
        </w:tc>
        <w:tc>
          <w:tcPr>
            <w:tcW w:w="777" w:type="pct"/>
            <w:shd w:val="clear" w:color="auto" w:fill="auto"/>
            <w:vAlign w:val="center"/>
          </w:tcPr>
          <w:p w14:paraId="7FE6229D">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仿宋" w:hAnsi="仿宋" w:eastAsia="仿宋" w:cs="仿宋"/>
                <w:b w:val="0"/>
                <w:bCs w:val="0"/>
                <w:i w:val="0"/>
                <w:iCs w:val="0"/>
                <w:color w:val="auto"/>
                <w:kern w:val="0"/>
                <w:sz w:val="24"/>
                <w:szCs w:val="24"/>
                <w:highlight w:val="none"/>
                <w:u w:val="none"/>
                <w:lang w:val="en-US" w:eastAsia="zh-CN" w:bidi="ar"/>
              </w:rPr>
            </w:pPr>
            <w:r>
              <w:rPr>
                <w:rFonts w:hint="eastAsia" w:ascii="仿宋" w:hAnsi="仿宋" w:eastAsia="仿宋" w:cs="仿宋"/>
                <w:b w:val="0"/>
                <w:bCs w:val="0"/>
                <w:color w:val="auto"/>
                <w:sz w:val="24"/>
                <w:szCs w:val="24"/>
                <w:highlight w:val="none"/>
                <w:lang w:val="en-US" w:eastAsia="zh-CN"/>
              </w:rPr>
              <w:t>市级城管规划</w:t>
            </w:r>
          </w:p>
        </w:tc>
      </w:tr>
      <w:tr w14:paraId="6BB13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tblHeader/>
        </w:trPr>
        <w:tc>
          <w:tcPr>
            <w:tcW w:w="300" w:type="pct"/>
            <w:shd w:val="clear" w:color="auto" w:fill="auto"/>
            <w:noWrap/>
            <w:vAlign w:val="center"/>
          </w:tcPr>
          <w:p w14:paraId="4E3B6BE1">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default" w:ascii="Times New Roman" w:hAnsi="Times New Roman" w:eastAsia="Times New Roman" w:cs="Times New Roman"/>
                <w:b w:val="0"/>
                <w:bCs w:val="0"/>
                <w:color w:val="auto"/>
                <w:sz w:val="24"/>
                <w:szCs w:val="24"/>
                <w:highlight w:val="none"/>
                <w:lang w:val="en-US" w:eastAsia="zh-CN"/>
              </w:rPr>
            </w:pPr>
            <w:r>
              <w:rPr>
                <w:rFonts w:hint="eastAsia" w:ascii="Times New Roman" w:hAnsi="Times New Roman" w:eastAsia="Times New Roman" w:cs="Times New Roman"/>
                <w:b w:val="0"/>
                <w:bCs w:val="0"/>
                <w:color w:val="auto"/>
                <w:sz w:val="24"/>
                <w:szCs w:val="24"/>
                <w:highlight w:val="none"/>
                <w:lang w:val="en-US" w:eastAsia="zh-CN"/>
              </w:rPr>
              <w:t>4</w:t>
            </w:r>
          </w:p>
        </w:tc>
        <w:tc>
          <w:tcPr>
            <w:tcW w:w="473" w:type="pct"/>
            <w:vMerge w:val="restart"/>
            <w:shd w:val="clear" w:color="auto" w:fill="auto"/>
            <w:noWrap/>
            <w:vAlign w:val="center"/>
          </w:tcPr>
          <w:p w14:paraId="29AAF525">
            <w:pPr>
              <w:pStyle w:val="2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firstLine="0" w:firstLineChars="0"/>
              <w:textAlignment w:val="baseline"/>
              <w:rPr>
                <w:rFonts w:hint="default" w:ascii="仿宋" w:hAnsi="仿宋" w:eastAsia="仿宋" w:cs="仿宋"/>
                <w:b w:val="0"/>
                <w:bCs w:val="0"/>
                <w:color w:val="auto"/>
                <w:spacing w:val="-6"/>
                <w:kern w:val="2"/>
                <w:sz w:val="24"/>
                <w:szCs w:val="24"/>
                <w:highlight w:val="none"/>
                <w:lang w:val="en-US" w:eastAsia="zh-CN" w:bidi="ar-SA"/>
              </w:rPr>
            </w:pPr>
            <w:r>
              <w:rPr>
                <w:rFonts w:hint="eastAsia" w:eastAsia="仿宋" w:cs="仿宋"/>
                <w:b w:val="0"/>
                <w:bCs w:val="0"/>
                <w:color w:val="auto"/>
                <w:spacing w:val="-6"/>
                <w:kern w:val="2"/>
                <w:sz w:val="24"/>
                <w:szCs w:val="24"/>
                <w:highlight w:val="none"/>
                <w:lang w:val="en-US" w:eastAsia="zh-CN" w:bidi="ar-SA"/>
              </w:rPr>
              <w:t>道路交通</w:t>
            </w:r>
          </w:p>
        </w:tc>
        <w:tc>
          <w:tcPr>
            <w:tcW w:w="1243" w:type="pct"/>
            <w:shd w:val="clear" w:color="auto" w:fill="auto"/>
            <w:noWrap/>
            <w:vAlign w:val="center"/>
          </w:tcPr>
          <w:p w14:paraId="21BA8366">
            <w:pPr>
              <w:keepNext w:val="0"/>
              <w:keepLines w:val="0"/>
              <w:pageBreakBefore w:val="0"/>
              <w:widowControl/>
              <w:suppressLineNumbers w:val="0"/>
              <w:kinsoku/>
              <w:wordWrap/>
              <w:overflowPunct/>
              <w:topLinePunct w:val="0"/>
              <w:autoSpaceDE/>
              <w:autoSpaceDN/>
              <w:bidi w:val="0"/>
              <w:adjustRightInd/>
              <w:snapToGrid/>
              <w:spacing w:beforeLines="0" w:afterLines="0" w:line="240" w:lineRule="auto"/>
              <w:ind w:firstLine="0" w:firstLineChars="0"/>
              <w:jc w:val="center"/>
              <w:textAlignment w:val="center"/>
              <w:rPr>
                <w:rFonts w:hint="eastAsia" w:ascii="仿宋" w:hAnsi="仿宋" w:eastAsia="仿宋" w:cs="仿宋"/>
                <w:b w:val="0"/>
                <w:bCs w:val="0"/>
                <w:sz w:val="24"/>
                <w:szCs w:val="24"/>
                <w:highlight w:val="none"/>
              </w:rPr>
            </w:pPr>
            <w:r>
              <w:rPr>
                <w:rFonts w:hint="eastAsia" w:ascii="仿宋" w:hAnsi="仿宋" w:eastAsia="仿宋" w:cs="仿宋"/>
                <w:b w:val="0"/>
                <w:bCs w:val="0"/>
                <w:i w:val="0"/>
                <w:iCs w:val="0"/>
                <w:color w:val="auto"/>
                <w:kern w:val="0"/>
                <w:sz w:val="24"/>
                <w:szCs w:val="24"/>
                <w:highlight w:val="none"/>
                <w:u w:val="none"/>
                <w:lang w:val="en-US" w:eastAsia="zh-CN" w:bidi="ar"/>
              </w:rPr>
              <w:t>城市道路车行道机械化作业率</w:t>
            </w:r>
          </w:p>
        </w:tc>
        <w:tc>
          <w:tcPr>
            <w:tcW w:w="471" w:type="pct"/>
            <w:shd w:val="clear" w:color="auto" w:fill="auto"/>
            <w:noWrap/>
            <w:vAlign w:val="center"/>
          </w:tcPr>
          <w:p w14:paraId="20DE5DA0">
            <w:pPr>
              <w:keepNext w:val="0"/>
              <w:keepLines w:val="0"/>
              <w:pageBreakBefore w:val="0"/>
              <w:widowControl/>
              <w:suppressLineNumbers w:val="0"/>
              <w:kinsoku/>
              <w:wordWrap/>
              <w:overflowPunct/>
              <w:topLinePunct w:val="0"/>
              <w:autoSpaceDE/>
              <w:autoSpaceDN/>
              <w:bidi w:val="0"/>
              <w:adjustRightInd/>
              <w:snapToGrid/>
              <w:spacing w:beforeLines="0" w:afterLines="0" w:line="240" w:lineRule="auto"/>
              <w:ind w:firstLine="0" w:firstLineChars="0"/>
              <w:jc w:val="center"/>
              <w:textAlignment w:val="center"/>
              <w:rPr>
                <w:rFonts w:hint="eastAsia" w:ascii="Times New Roman" w:hAnsi="Times New Roman" w:eastAsia="Times New Roman" w:cs="Times New Roman"/>
                <w:b w:val="0"/>
                <w:bCs w:val="0"/>
                <w:color w:val="auto"/>
                <w:spacing w:val="-6"/>
                <w:kern w:val="2"/>
                <w:sz w:val="24"/>
                <w:szCs w:val="24"/>
                <w:highlight w:val="none"/>
                <w:lang w:val="en-US" w:eastAsia="zh-CN" w:bidi="ar-SA"/>
              </w:rPr>
            </w:pPr>
            <w:r>
              <w:rPr>
                <w:rFonts w:hint="eastAsia" w:ascii="Times New Roman" w:hAnsi="Times New Roman" w:eastAsia="Times New Roman" w:cs="Times New Roman"/>
                <w:b w:val="0"/>
                <w:bCs w:val="0"/>
                <w:i w:val="0"/>
                <w:iCs w:val="0"/>
                <w:color w:val="auto"/>
                <w:kern w:val="0"/>
                <w:sz w:val="24"/>
                <w:szCs w:val="24"/>
                <w:highlight w:val="none"/>
                <w:u w:val="none"/>
                <w:lang w:val="en-US" w:eastAsia="zh-CN" w:bidi="ar"/>
              </w:rPr>
              <w:t>%</w:t>
            </w:r>
          </w:p>
        </w:tc>
        <w:tc>
          <w:tcPr>
            <w:tcW w:w="577" w:type="pct"/>
            <w:shd w:val="clear" w:color="auto" w:fill="auto"/>
            <w:vAlign w:val="center"/>
          </w:tcPr>
          <w:p w14:paraId="1BF9DF58">
            <w:pPr>
              <w:keepNext w:val="0"/>
              <w:keepLines w:val="0"/>
              <w:pageBreakBefore w:val="0"/>
              <w:widowControl/>
              <w:suppressLineNumbers w:val="0"/>
              <w:kinsoku/>
              <w:wordWrap/>
              <w:overflowPunct/>
              <w:topLinePunct w:val="0"/>
              <w:autoSpaceDE/>
              <w:autoSpaceDN/>
              <w:bidi w:val="0"/>
              <w:adjustRightInd/>
              <w:snapToGrid/>
              <w:spacing w:beforeLines="0" w:afterLines="0" w:line="240" w:lineRule="auto"/>
              <w:ind w:firstLine="0" w:firstLineChars="0"/>
              <w:jc w:val="center"/>
              <w:textAlignment w:val="center"/>
              <w:rPr>
                <w:rFonts w:hint="eastAsia" w:ascii="仿宋" w:hAnsi="仿宋" w:eastAsia="仿宋" w:cs="仿宋"/>
                <w:b w:val="0"/>
                <w:bCs w:val="0"/>
                <w:i w:val="0"/>
                <w:iCs w:val="0"/>
                <w:color w:val="auto"/>
                <w:kern w:val="2"/>
                <w:sz w:val="24"/>
                <w:szCs w:val="24"/>
                <w:highlight w:val="none"/>
                <w:u w:val="none"/>
                <w:lang w:val="en-US" w:eastAsia="zh-CN" w:bidi="ar"/>
              </w:rPr>
            </w:pPr>
            <w:r>
              <w:rPr>
                <w:rFonts w:hint="eastAsia" w:ascii="Times New Roman" w:hAnsi="Times New Roman" w:eastAsia="Times New Roman" w:cs="Times New Roman"/>
                <w:b w:val="0"/>
                <w:bCs w:val="0"/>
                <w:i w:val="0"/>
                <w:iCs w:val="0"/>
                <w:color w:val="auto"/>
                <w:kern w:val="0"/>
                <w:sz w:val="24"/>
                <w:szCs w:val="24"/>
                <w:highlight w:val="none"/>
                <w:u w:val="none"/>
                <w:lang w:val="en-US" w:eastAsia="zh-CN" w:bidi="ar"/>
              </w:rPr>
              <w:t>97</w:t>
            </w:r>
          </w:p>
        </w:tc>
        <w:tc>
          <w:tcPr>
            <w:tcW w:w="613" w:type="pct"/>
            <w:shd w:val="clear" w:color="auto" w:fill="auto"/>
            <w:vAlign w:val="center"/>
          </w:tcPr>
          <w:p w14:paraId="18052DA3">
            <w:pPr>
              <w:keepNext w:val="0"/>
              <w:keepLines w:val="0"/>
              <w:pageBreakBefore w:val="0"/>
              <w:widowControl/>
              <w:suppressLineNumbers w:val="0"/>
              <w:kinsoku/>
              <w:wordWrap/>
              <w:overflowPunct/>
              <w:topLinePunct w:val="0"/>
              <w:autoSpaceDE/>
              <w:autoSpaceDN/>
              <w:bidi w:val="0"/>
              <w:adjustRightInd/>
              <w:snapToGrid/>
              <w:spacing w:beforeLines="0" w:afterLines="0" w:line="240" w:lineRule="auto"/>
              <w:ind w:firstLine="0" w:firstLineChars="0"/>
              <w:jc w:val="center"/>
              <w:textAlignment w:val="center"/>
              <w:rPr>
                <w:rFonts w:hint="eastAsia" w:ascii="Times New Roman" w:hAnsi="Times New Roman" w:eastAsia="Times New Roman" w:cs="Times New Roman"/>
                <w:b w:val="0"/>
                <w:bCs w:val="0"/>
                <w:color w:val="auto"/>
                <w:sz w:val="24"/>
                <w:szCs w:val="24"/>
                <w:highlight w:val="none"/>
                <w:lang w:val="en-US" w:eastAsia="zh-CN"/>
              </w:rPr>
            </w:pPr>
            <w:r>
              <w:rPr>
                <w:rFonts w:hint="eastAsia" w:ascii="Times New Roman" w:hAnsi="Times New Roman" w:eastAsia="Times New Roman" w:cs="Times New Roman"/>
                <w:b w:val="0"/>
                <w:bCs w:val="0"/>
                <w:i w:val="0"/>
                <w:iCs w:val="0"/>
                <w:color w:val="auto"/>
                <w:kern w:val="0"/>
                <w:sz w:val="24"/>
                <w:szCs w:val="24"/>
                <w:highlight w:val="none"/>
                <w:u w:val="none"/>
                <w:lang w:val="en-US" w:eastAsia="zh-CN" w:bidi="ar"/>
              </w:rPr>
              <w:t>99</w:t>
            </w:r>
          </w:p>
        </w:tc>
        <w:tc>
          <w:tcPr>
            <w:tcW w:w="542" w:type="pct"/>
            <w:shd w:val="clear" w:color="auto" w:fill="auto"/>
            <w:vAlign w:val="center"/>
          </w:tcPr>
          <w:p w14:paraId="7DC288D3">
            <w:pPr>
              <w:keepNext w:val="0"/>
              <w:keepLines w:val="0"/>
              <w:pageBreakBefore w:val="0"/>
              <w:widowControl/>
              <w:suppressLineNumbers w:val="0"/>
              <w:kinsoku/>
              <w:wordWrap/>
              <w:overflowPunct/>
              <w:topLinePunct w:val="0"/>
              <w:autoSpaceDE/>
              <w:autoSpaceDN/>
              <w:bidi w:val="0"/>
              <w:adjustRightInd/>
              <w:snapToGrid/>
              <w:spacing w:beforeLines="0" w:afterLines="0" w:line="240" w:lineRule="auto"/>
              <w:ind w:firstLine="0" w:firstLineChars="0"/>
              <w:jc w:val="center"/>
              <w:textAlignment w:val="center"/>
              <w:rPr>
                <w:rFonts w:hint="eastAsia" w:ascii="仿宋" w:hAnsi="仿宋" w:eastAsia="仿宋" w:cs="仿宋"/>
                <w:b w:val="0"/>
                <w:bCs w:val="0"/>
                <w:sz w:val="24"/>
                <w:szCs w:val="24"/>
                <w:highlight w:val="none"/>
                <w:lang w:val="en-US" w:eastAsia="zh-CN"/>
              </w:rPr>
            </w:pPr>
            <w:r>
              <w:rPr>
                <w:rFonts w:hint="eastAsia" w:ascii="仿宋" w:hAnsi="仿宋" w:eastAsia="仿宋" w:cs="仿宋"/>
                <w:b w:val="0"/>
                <w:bCs w:val="0"/>
                <w:i w:val="0"/>
                <w:iCs w:val="0"/>
                <w:color w:val="auto"/>
                <w:kern w:val="0"/>
                <w:sz w:val="24"/>
                <w:szCs w:val="24"/>
                <w:highlight w:val="none"/>
                <w:u w:val="none"/>
                <w:lang w:val="en-US" w:eastAsia="zh-CN" w:bidi="ar"/>
              </w:rPr>
              <w:t>约束</w:t>
            </w:r>
            <w:r>
              <w:rPr>
                <w:rFonts w:hint="eastAsia" w:eastAsia="仿宋" w:cs="仿宋"/>
                <w:b w:val="0"/>
                <w:bCs w:val="0"/>
                <w:i w:val="0"/>
                <w:iCs w:val="0"/>
                <w:color w:val="auto"/>
                <w:kern w:val="0"/>
                <w:sz w:val="24"/>
                <w:szCs w:val="24"/>
                <w:highlight w:val="none"/>
                <w:u w:val="none"/>
                <w:lang w:val="en-US" w:eastAsia="zh-CN" w:bidi="ar"/>
              </w:rPr>
              <w:t>性</w:t>
            </w:r>
          </w:p>
        </w:tc>
        <w:tc>
          <w:tcPr>
            <w:tcW w:w="777" w:type="pct"/>
            <w:shd w:val="clear" w:color="auto" w:fill="auto"/>
            <w:vAlign w:val="center"/>
          </w:tcPr>
          <w:p w14:paraId="1E502352">
            <w:pPr>
              <w:keepNext w:val="0"/>
              <w:keepLines w:val="0"/>
              <w:pageBreakBefore w:val="0"/>
              <w:widowControl/>
              <w:suppressLineNumbers w:val="0"/>
              <w:kinsoku/>
              <w:wordWrap/>
              <w:overflowPunct/>
              <w:topLinePunct w:val="0"/>
              <w:autoSpaceDE/>
              <w:autoSpaceDN/>
              <w:bidi w:val="0"/>
              <w:adjustRightInd/>
              <w:snapToGrid/>
              <w:spacing w:beforeLines="0" w:afterLines="0" w:line="240" w:lineRule="auto"/>
              <w:ind w:firstLine="0" w:firstLineChars="0"/>
              <w:jc w:val="center"/>
              <w:textAlignment w:val="center"/>
              <w:rPr>
                <w:rFonts w:hint="eastAsia" w:eastAsia="仿宋" w:cs="仿宋"/>
                <w:b w:val="0"/>
                <w:bCs w:val="0"/>
                <w:color w:val="auto"/>
                <w:sz w:val="24"/>
                <w:szCs w:val="24"/>
                <w:highlight w:val="none"/>
                <w:lang w:val="en-US" w:eastAsia="zh-CN"/>
              </w:rPr>
            </w:pPr>
            <w:r>
              <w:rPr>
                <w:rFonts w:hint="eastAsia" w:ascii="仿宋" w:hAnsi="仿宋" w:eastAsia="仿宋" w:cs="仿宋"/>
                <w:b w:val="0"/>
                <w:bCs w:val="0"/>
                <w:i w:val="0"/>
                <w:iCs w:val="0"/>
                <w:color w:val="auto"/>
                <w:kern w:val="0"/>
                <w:sz w:val="24"/>
                <w:szCs w:val="24"/>
                <w:highlight w:val="none"/>
                <w:u w:val="none"/>
                <w:lang w:val="en-US" w:eastAsia="zh-CN" w:bidi="ar"/>
              </w:rPr>
              <w:t>市级城管规划</w:t>
            </w:r>
          </w:p>
        </w:tc>
      </w:tr>
      <w:tr w14:paraId="460B0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trPr>
        <w:tc>
          <w:tcPr>
            <w:tcW w:w="300" w:type="pct"/>
            <w:shd w:val="clear" w:color="auto" w:fill="auto"/>
            <w:noWrap/>
            <w:vAlign w:val="center"/>
          </w:tcPr>
          <w:p w14:paraId="7C56F1D6">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default" w:ascii="Times New Roman" w:hAnsi="Times New Roman" w:eastAsia="Times New Roman" w:cs="Times New Roman"/>
                <w:b w:val="0"/>
                <w:bCs w:val="0"/>
                <w:color w:val="auto"/>
                <w:sz w:val="24"/>
                <w:szCs w:val="24"/>
                <w:highlight w:val="none"/>
                <w:lang w:val="en-US" w:eastAsia="zh-CN"/>
              </w:rPr>
            </w:pPr>
            <w:r>
              <w:rPr>
                <w:rFonts w:hint="eastAsia" w:ascii="Times New Roman" w:hAnsi="Times New Roman" w:eastAsia="Times New Roman" w:cs="Times New Roman"/>
                <w:b w:val="0"/>
                <w:bCs w:val="0"/>
                <w:color w:val="auto"/>
                <w:sz w:val="24"/>
                <w:szCs w:val="24"/>
                <w:highlight w:val="none"/>
                <w:lang w:val="en-US" w:eastAsia="zh-CN"/>
              </w:rPr>
              <w:t>5</w:t>
            </w:r>
          </w:p>
        </w:tc>
        <w:tc>
          <w:tcPr>
            <w:tcW w:w="473" w:type="pct"/>
            <w:vMerge w:val="continue"/>
            <w:shd w:val="clear" w:color="auto" w:fill="auto"/>
            <w:noWrap/>
            <w:vAlign w:val="center"/>
          </w:tcPr>
          <w:p w14:paraId="0B6CB6DF">
            <w:pPr>
              <w:pStyle w:val="2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firstLine="0" w:firstLineChars="0"/>
              <w:textAlignment w:val="baseline"/>
              <w:rPr>
                <w:rFonts w:hint="eastAsia" w:ascii="仿宋" w:hAnsi="仿宋" w:eastAsia="仿宋" w:cs="仿宋"/>
                <w:b w:val="0"/>
                <w:bCs w:val="0"/>
                <w:color w:val="auto"/>
                <w:spacing w:val="-6"/>
                <w:kern w:val="2"/>
                <w:sz w:val="24"/>
                <w:szCs w:val="24"/>
                <w:highlight w:val="none"/>
                <w:lang w:val="en-US" w:eastAsia="zh-CN" w:bidi="ar-SA"/>
              </w:rPr>
            </w:pPr>
          </w:p>
        </w:tc>
        <w:tc>
          <w:tcPr>
            <w:tcW w:w="1243" w:type="pct"/>
            <w:shd w:val="clear" w:color="auto" w:fill="auto"/>
            <w:noWrap/>
            <w:vAlign w:val="center"/>
          </w:tcPr>
          <w:p w14:paraId="7BE13DB7">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仿宋" w:hAnsi="仿宋" w:eastAsia="仿宋" w:cs="仿宋"/>
                <w:b w:val="0"/>
                <w:bCs w:val="0"/>
                <w:sz w:val="24"/>
                <w:szCs w:val="24"/>
                <w:highlight w:val="none"/>
              </w:rPr>
            </w:pPr>
            <w:r>
              <w:rPr>
                <w:rFonts w:hint="eastAsia" w:ascii="仿宋" w:hAnsi="仿宋" w:eastAsia="仿宋" w:cs="仿宋"/>
                <w:b w:val="0"/>
                <w:bCs w:val="0"/>
                <w:color w:val="auto"/>
                <w:sz w:val="24"/>
                <w:szCs w:val="24"/>
                <w:highlight w:val="none"/>
                <w:lang w:val="en-US" w:eastAsia="zh-CN"/>
              </w:rPr>
              <w:t>集中</w:t>
            </w:r>
            <w:r>
              <w:rPr>
                <w:rFonts w:hint="eastAsia" w:eastAsia="仿宋" w:cs="仿宋"/>
                <w:b w:val="0"/>
                <w:bCs w:val="0"/>
                <w:color w:val="auto"/>
                <w:sz w:val="24"/>
                <w:szCs w:val="24"/>
                <w:highlight w:val="none"/>
                <w:lang w:val="en-US" w:eastAsia="zh-CN"/>
              </w:rPr>
              <w:t>建设</w:t>
            </w:r>
            <w:r>
              <w:rPr>
                <w:rFonts w:hint="eastAsia" w:ascii="仿宋" w:hAnsi="仿宋" w:eastAsia="仿宋" w:cs="仿宋"/>
                <w:b w:val="0"/>
                <w:bCs w:val="0"/>
                <w:color w:val="auto"/>
                <w:sz w:val="24"/>
                <w:szCs w:val="24"/>
                <w:highlight w:val="none"/>
                <w:lang w:val="en-US" w:eastAsia="zh-CN"/>
              </w:rPr>
              <w:t>区道路网密度</w:t>
            </w:r>
          </w:p>
        </w:tc>
        <w:tc>
          <w:tcPr>
            <w:tcW w:w="471" w:type="pct"/>
            <w:shd w:val="clear" w:color="auto" w:fill="auto"/>
            <w:noWrap/>
            <w:vAlign w:val="center"/>
          </w:tcPr>
          <w:p w14:paraId="602071E6">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Times New Roman" w:hAnsi="Times New Roman" w:eastAsia="Times New Roman" w:cs="Times New Roman"/>
                <w:b w:val="0"/>
                <w:bCs w:val="0"/>
                <w:color w:val="auto"/>
                <w:spacing w:val="-6"/>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公里/平方公里</w:t>
            </w:r>
          </w:p>
        </w:tc>
        <w:tc>
          <w:tcPr>
            <w:tcW w:w="577" w:type="pct"/>
            <w:shd w:val="clear" w:color="auto" w:fill="auto"/>
            <w:vAlign w:val="center"/>
          </w:tcPr>
          <w:p w14:paraId="156CAE85">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仿宋" w:hAnsi="仿宋" w:eastAsia="仿宋" w:cs="仿宋"/>
                <w:b w:val="0"/>
                <w:bCs w:val="0"/>
                <w:i w:val="0"/>
                <w:iCs w:val="0"/>
                <w:color w:val="auto"/>
                <w:kern w:val="2"/>
                <w:sz w:val="24"/>
                <w:szCs w:val="24"/>
                <w:highlight w:val="none"/>
                <w:u w:val="none"/>
                <w:lang w:val="en-US" w:eastAsia="zh-CN" w:bidi="ar"/>
              </w:rPr>
            </w:pPr>
            <w:r>
              <w:rPr>
                <w:rFonts w:hint="eastAsia" w:ascii="Times New Roman" w:hAnsi="Times New Roman" w:eastAsia="Times New Roman" w:cs="Times New Roman"/>
                <w:b w:val="0"/>
                <w:bCs w:val="0"/>
                <w:snapToGrid/>
                <w:color w:val="auto"/>
                <w:kern w:val="2"/>
                <w:sz w:val="24"/>
                <w:szCs w:val="24"/>
                <w:highlight w:val="none"/>
                <w:lang w:val="en-US" w:eastAsia="zh-CN" w:bidi="ar-SA"/>
              </w:rPr>
              <w:t>5</w:t>
            </w:r>
            <w:r>
              <w:rPr>
                <w:rFonts w:hint="eastAsia" w:ascii="仿宋" w:hAnsi="仿宋" w:eastAsia="仿宋" w:cs="仿宋"/>
                <w:b w:val="0"/>
                <w:bCs w:val="0"/>
                <w:snapToGrid/>
                <w:color w:val="auto"/>
                <w:kern w:val="2"/>
                <w:sz w:val="24"/>
                <w:szCs w:val="24"/>
                <w:highlight w:val="none"/>
                <w:lang w:val="en-US" w:eastAsia="zh-CN" w:bidi="ar-SA"/>
              </w:rPr>
              <w:t>.</w:t>
            </w:r>
            <w:r>
              <w:rPr>
                <w:rFonts w:hint="eastAsia" w:ascii="Times New Roman" w:hAnsi="Times New Roman" w:eastAsia="Times New Roman" w:cs="Times New Roman"/>
                <w:b w:val="0"/>
                <w:bCs w:val="0"/>
                <w:snapToGrid/>
                <w:color w:val="auto"/>
                <w:kern w:val="2"/>
                <w:sz w:val="24"/>
                <w:szCs w:val="24"/>
                <w:highlight w:val="none"/>
                <w:lang w:val="en-US" w:eastAsia="zh-CN" w:bidi="ar-SA"/>
              </w:rPr>
              <w:t>96</w:t>
            </w:r>
          </w:p>
        </w:tc>
        <w:tc>
          <w:tcPr>
            <w:tcW w:w="613" w:type="pct"/>
            <w:shd w:val="clear" w:color="auto" w:fill="auto"/>
            <w:vAlign w:val="center"/>
          </w:tcPr>
          <w:p w14:paraId="11311812">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Times New Roman" w:hAnsi="Times New Roman" w:eastAsia="Times New Roman" w:cs="Times New Roman"/>
                <w:b w:val="0"/>
                <w:bCs w:val="0"/>
                <w:color w:val="auto"/>
                <w:sz w:val="24"/>
                <w:szCs w:val="24"/>
                <w:highlight w:val="none"/>
                <w:lang w:val="en-US" w:eastAsia="zh-CN"/>
              </w:rPr>
            </w:pPr>
            <w:r>
              <w:rPr>
                <w:rFonts w:hint="eastAsia" w:ascii="Times New Roman" w:hAnsi="Times New Roman" w:eastAsia="Times New Roman" w:cs="Times New Roman"/>
                <w:b w:val="0"/>
                <w:bCs w:val="0"/>
                <w:color w:val="auto"/>
                <w:sz w:val="24"/>
                <w:szCs w:val="24"/>
                <w:highlight w:val="none"/>
                <w:lang w:val="en-US" w:eastAsia="zh-CN"/>
              </w:rPr>
              <w:t>7</w:t>
            </w:r>
            <w:r>
              <w:rPr>
                <w:rFonts w:hint="eastAsia" w:eastAsia="仿宋" w:cs="仿宋"/>
                <w:b w:val="0"/>
                <w:bCs w:val="0"/>
                <w:color w:val="auto"/>
                <w:sz w:val="24"/>
                <w:szCs w:val="24"/>
                <w:highlight w:val="none"/>
                <w:lang w:val="en-US" w:eastAsia="zh-CN"/>
              </w:rPr>
              <w:t>.</w:t>
            </w:r>
            <w:r>
              <w:rPr>
                <w:rFonts w:hint="eastAsia" w:ascii="Times New Roman" w:hAnsi="Times New Roman" w:eastAsia="Times New Roman" w:cs="Times New Roman"/>
                <w:b w:val="0"/>
                <w:bCs w:val="0"/>
                <w:color w:val="auto"/>
                <w:sz w:val="24"/>
                <w:szCs w:val="24"/>
                <w:highlight w:val="none"/>
                <w:lang w:val="en-US" w:eastAsia="zh-CN"/>
              </w:rPr>
              <w:t>0</w:t>
            </w:r>
          </w:p>
        </w:tc>
        <w:tc>
          <w:tcPr>
            <w:tcW w:w="542" w:type="pct"/>
            <w:shd w:val="clear" w:color="auto" w:fill="auto"/>
            <w:vAlign w:val="center"/>
          </w:tcPr>
          <w:p w14:paraId="375426B1">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仿宋" w:hAnsi="仿宋" w:eastAsia="仿宋" w:cs="仿宋"/>
                <w:b w:val="0"/>
                <w:bCs w:val="0"/>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预期</w:t>
            </w:r>
            <w:r>
              <w:rPr>
                <w:rFonts w:hint="eastAsia" w:eastAsia="仿宋" w:cs="仿宋"/>
                <w:b w:val="0"/>
                <w:bCs w:val="0"/>
                <w:i w:val="0"/>
                <w:iCs w:val="0"/>
                <w:color w:val="000000"/>
                <w:kern w:val="0"/>
                <w:sz w:val="24"/>
                <w:szCs w:val="24"/>
                <w:highlight w:val="none"/>
                <w:u w:val="none"/>
                <w:lang w:val="en-US" w:eastAsia="zh-CN" w:bidi="ar"/>
              </w:rPr>
              <w:t>性</w:t>
            </w:r>
          </w:p>
        </w:tc>
        <w:tc>
          <w:tcPr>
            <w:tcW w:w="777" w:type="pct"/>
            <w:shd w:val="clear" w:color="auto" w:fill="auto"/>
            <w:vAlign w:val="center"/>
          </w:tcPr>
          <w:p w14:paraId="11050A08">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eastAsia="仿宋" w:cs="仿宋"/>
                <w:b w:val="0"/>
                <w:bCs w:val="0"/>
                <w:color w:val="auto"/>
                <w:sz w:val="24"/>
                <w:szCs w:val="24"/>
                <w:highlight w:val="none"/>
                <w:lang w:val="en-US" w:eastAsia="zh-CN"/>
              </w:rPr>
            </w:pPr>
            <w:r>
              <w:rPr>
                <w:rFonts w:hint="eastAsia" w:eastAsia="仿宋" w:cs="仿宋"/>
                <w:b w:val="0"/>
                <w:bCs w:val="0"/>
                <w:color w:val="auto"/>
                <w:sz w:val="24"/>
                <w:szCs w:val="24"/>
                <w:highlight w:val="none"/>
                <w:lang w:val="en-US" w:eastAsia="zh-CN"/>
              </w:rPr>
              <w:t>市级交通规划</w:t>
            </w:r>
          </w:p>
        </w:tc>
      </w:tr>
      <w:tr w14:paraId="01181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trPr>
        <w:tc>
          <w:tcPr>
            <w:tcW w:w="300" w:type="pct"/>
            <w:shd w:val="clear" w:color="auto" w:fill="auto"/>
            <w:noWrap/>
            <w:vAlign w:val="center"/>
          </w:tcPr>
          <w:p w14:paraId="22A2B4D5">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default" w:ascii="Times New Roman" w:hAnsi="Times New Roman" w:eastAsia="Times New Roman" w:cs="Times New Roman"/>
                <w:b w:val="0"/>
                <w:bCs w:val="0"/>
                <w:color w:val="auto"/>
                <w:sz w:val="24"/>
                <w:szCs w:val="24"/>
                <w:highlight w:val="none"/>
                <w:lang w:val="en-US" w:eastAsia="zh-CN"/>
              </w:rPr>
            </w:pPr>
            <w:r>
              <w:rPr>
                <w:rFonts w:hint="eastAsia" w:ascii="Times New Roman" w:hAnsi="Times New Roman" w:eastAsia="Times New Roman" w:cs="Times New Roman"/>
                <w:b w:val="0"/>
                <w:bCs w:val="0"/>
                <w:color w:val="auto"/>
                <w:sz w:val="24"/>
                <w:szCs w:val="24"/>
                <w:highlight w:val="none"/>
                <w:lang w:val="en-US" w:eastAsia="zh-CN"/>
              </w:rPr>
              <w:t>6</w:t>
            </w:r>
          </w:p>
        </w:tc>
        <w:tc>
          <w:tcPr>
            <w:tcW w:w="473" w:type="pct"/>
            <w:vMerge w:val="continue"/>
            <w:shd w:val="clear" w:color="auto" w:fill="auto"/>
            <w:noWrap/>
            <w:vAlign w:val="center"/>
          </w:tcPr>
          <w:p w14:paraId="7D690430">
            <w:pPr>
              <w:pStyle w:val="2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firstLine="0" w:firstLineChars="0"/>
              <w:textAlignment w:val="baseline"/>
              <w:rPr>
                <w:rFonts w:hint="eastAsia" w:ascii="仿宋" w:hAnsi="仿宋" w:eastAsia="仿宋" w:cs="仿宋"/>
                <w:b w:val="0"/>
                <w:bCs w:val="0"/>
                <w:color w:val="auto"/>
                <w:spacing w:val="-6"/>
                <w:kern w:val="2"/>
                <w:sz w:val="24"/>
                <w:szCs w:val="24"/>
                <w:highlight w:val="none"/>
                <w:lang w:val="en-US" w:eastAsia="zh-CN" w:bidi="ar-SA"/>
              </w:rPr>
            </w:pPr>
          </w:p>
        </w:tc>
        <w:tc>
          <w:tcPr>
            <w:tcW w:w="1243" w:type="pct"/>
            <w:shd w:val="clear" w:color="auto" w:fill="auto"/>
            <w:noWrap/>
            <w:vAlign w:val="center"/>
          </w:tcPr>
          <w:p w14:paraId="37108D5D">
            <w:pPr>
              <w:pStyle w:val="29"/>
              <w:adjustRightInd/>
              <w:snapToGrid/>
              <w:spacing w:beforeLines="0" w:afterLines="0" w:line="240" w:lineRule="auto"/>
              <w:ind w:firstLine="0" w:firstLineChars="0"/>
              <w:textAlignment w:val="baseline"/>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新建、扩建和改建交通设施无障碍达标率</w:t>
            </w:r>
          </w:p>
        </w:tc>
        <w:tc>
          <w:tcPr>
            <w:tcW w:w="471" w:type="pct"/>
            <w:shd w:val="clear" w:color="auto" w:fill="auto"/>
            <w:noWrap/>
            <w:vAlign w:val="center"/>
          </w:tcPr>
          <w:p w14:paraId="3C1F0A28">
            <w:pPr>
              <w:pStyle w:val="29"/>
              <w:adjustRightInd/>
              <w:snapToGrid/>
              <w:spacing w:beforeLines="0" w:afterLines="0" w:line="240" w:lineRule="auto"/>
              <w:ind w:firstLine="0" w:firstLineChars="0"/>
              <w:textAlignment w:val="baseline"/>
              <w:rPr>
                <w:rFonts w:hint="eastAsia" w:ascii="Times New Roman" w:hAnsi="Times New Roman" w:eastAsia="Times New Roman" w:cs="Times New Roman"/>
                <w:b w:val="0"/>
                <w:bCs w:val="0"/>
                <w:color w:val="auto"/>
                <w:spacing w:val="-6"/>
                <w:kern w:val="2"/>
                <w:sz w:val="24"/>
                <w:szCs w:val="24"/>
                <w:highlight w:val="none"/>
                <w:lang w:val="en-US" w:eastAsia="zh-CN" w:bidi="ar-SA"/>
              </w:rPr>
            </w:pPr>
            <w:r>
              <w:rPr>
                <w:rFonts w:hint="eastAsia" w:ascii="Times New Roman" w:hAnsi="Times New Roman" w:eastAsia="Times New Roman" w:cs="Times New Roman"/>
                <w:b w:val="0"/>
                <w:bCs w:val="0"/>
                <w:color w:val="auto"/>
                <w:spacing w:val="-6"/>
                <w:kern w:val="2"/>
                <w:sz w:val="24"/>
                <w:szCs w:val="24"/>
                <w:highlight w:val="none"/>
                <w:lang w:val="en-US" w:eastAsia="zh-CN" w:bidi="ar-SA"/>
              </w:rPr>
              <w:t>%</w:t>
            </w:r>
          </w:p>
        </w:tc>
        <w:tc>
          <w:tcPr>
            <w:tcW w:w="577" w:type="pct"/>
            <w:shd w:val="clear" w:color="auto" w:fill="auto"/>
            <w:vAlign w:val="center"/>
          </w:tcPr>
          <w:p w14:paraId="45D91F1F">
            <w:pPr>
              <w:pStyle w:val="29"/>
              <w:adjustRightInd/>
              <w:snapToGrid/>
              <w:spacing w:beforeLines="0" w:afterLines="0" w:line="240" w:lineRule="auto"/>
              <w:ind w:firstLine="0" w:firstLineChars="0"/>
              <w:textAlignment w:val="baseline"/>
              <w:rPr>
                <w:rFonts w:hint="eastAsia" w:ascii="仿宋" w:hAnsi="仿宋" w:eastAsia="仿宋" w:cs="仿宋"/>
                <w:b w:val="0"/>
                <w:bCs w:val="0"/>
                <w:i w:val="0"/>
                <w:iCs w:val="0"/>
                <w:color w:val="auto"/>
                <w:kern w:val="2"/>
                <w:sz w:val="24"/>
                <w:szCs w:val="24"/>
                <w:highlight w:val="none"/>
                <w:u w:val="none"/>
                <w:lang w:val="en-US" w:eastAsia="zh-CN" w:bidi="ar"/>
              </w:rPr>
            </w:pPr>
            <w:r>
              <w:rPr>
                <w:rFonts w:hint="eastAsia" w:ascii="仿宋" w:hAnsi="仿宋" w:eastAsia="仿宋" w:cs="仿宋"/>
                <w:b w:val="0"/>
                <w:bCs w:val="0"/>
                <w:i w:val="0"/>
                <w:iCs w:val="0"/>
                <w:color w:val="auto"/>
                <w:kern w:val="2"/>
                <w:sz w:val="24"/>
                <w:szCs w:val="24"/>
                <w:highlight w:val="none"/>
                <w:u w:val="none"/>
                <w:lang w:val="en-US" w:eastAsia="zh-CN" w:bidi="ar"/>
              </w:rPr>
              <w:t>——</w:t>
            </w:r>
          </w:p>
        </w:tc>
        <w:tc>
          <w:tcPr>
            <w:tcW w:w="613" w:type="pct"/>
            <w:shd w:val="clear" w:color="auto" w:fill="auto"/>
            <w:vAlign w:val="center"/>
          </w:tcPr>
          <w:p w14:paraId="631E502B">
            <w:pPr>
              <w:pStyle w:val="29"/>
              <w:adjustRightInd/>
              <w:snapToGrid/>
              <w:spacing w:beforeLines="0" w:afterLines="0" w:line="240" w:lineRule="auto"/>
              <w:ind w:firstLine="0" w:firstLineChars="0"/>
              <w:textAlignment w:val="baseline"/>
              <w:rPr>
                <w:rFonts w:hint="eastAsia" w:ascii="Times New Roman" w:hAnsi="Times New Roman" w:eastAsia="Times New Roman" w:cs="Times New Roman"/>
                <w:b w:val="0"/>
                <w:bCs w:val="0"/>
                <w:color w:val="auto"/>
                <w:sz w:val="24"/>
                <w:szCs w:val="24"/>
                <w:highlight w:val="none"/>
                <w:lang w:val="en-US" w:eastAsia="zh-CN"/>
              </w:rPr>
            </w:pPr>
            <w:r>
              <w:rPr>
                <w:rFonts w:hint="eastAsia" w:ascii="Times New Roman" w:hAnsi="Times New Roman" w:eastAsia="Times New Roman" w:cs="Times New Roman"/>
                <w:b w:val="0"/>
                <w:bCs w:val="0"/>
                <w:color w:val="auto"/>
                <w:sz w:val="24"/>
                <w:szCs w:val="24"/>
                <w:highlight w:val="none"/>
                <w:lang w:val="en-US" w:eastAsia="zh-CN"/>
              </w:rPr>
              <w:t>100</w:t>
            </w:r>
          </w:p>
        </w:tc>
        <w:tc>
          <w:tcPr>
            <w:tcW w:w="542" w:type="pct"/>
            <w:shd w:val="clear" w:color="auto" w:fill="auto"/>
            <w:vAlign w:val="center"/>
          </w:tcPr>
          <w:p w14:paraId="47DA9D56">
            <w:pPr>
              <w:pStyle w:val="29"/>
              <w:adjustRightInd/>
              <w:snapToGrid/>
              <w:spacing w:beforeLines="0" w:afterLines="0" w:line="240" w:lineRule="auto"/>
              <w:ind w:firstLine="0" w:firstLineChars="0"/>
              <w:textAlignment w:val="baseline"/>
              <w:rPr>
                <w:rFonts w:hint="eastAsia"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lang w:val="en-US" w:eastAsia="zh-CN"/>
              </w:rPr>
              <w:t>预期</w:t>
            </w:r>
            <w:r>
              <w:rPr>
                <w:rFonts w:hint="eastAsia" w:eastAsia="仿宋" w:cs="仿宋"/>
                <w:b w:val="0"/>
                <w:bCs w:val="0"/>
                <w:i w:val="0"/>
                <w:iCs w:val="0"/>
                <w:color w:val="000000"/>
                <w:kern w:val="0"/>
                <w:sz w:val="24"/>
                <w:szCs w:val="24"/>
                <w:highlight w:val="none"/>
                <w:u w:val="none"/>
                <w:lang w:val="en-US" w:eastAsia="zh-CN" w:bidi="ar"/>
              </w:rPr>
              <w:t>性</w:t>
            </w:r>
          </w:p>
        </w:tc>
        <w:tc>
          <w:tcPr>
            <w:tcW w:w="777" w:type="pct"/>
            <w:shd w:val="clear" w:color="auto" w:fill="auto"/>
            <w:vAlign w:val="center"/>
          </w:tcPr>
          <w:p w14:paraId="7B38F4E1">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eastAsia="仿宋" w:cs="仿宋"/>
                <w:b w:val="0"/>
                <w:bCs w:val="0"/>
                <w:color w:val="auto"/>
                <w:sz w:val="24"/>
                <w:szCs w:val="24"/>
                <w:highlight w:val="none"/>
                <w:lang w:val="en-US" w:eastAsia="zh-CN"/>
              </w:rPr>
            </w:pPr>
            <w:r>
              <w:rPr>
                <w:rFonts w:hint="eastAsia" w:eastAsia="仿宋" w:cs="仿宋"/>
                <w:b w:val="0"/>
                <w:bCs w:val="0"/>
                <w:color w:val="auto"/>
                <w:sz w:val="24"/>
                <w:szCs w:val="24"/>
                <w:highlight w:val="none"/>
                <w:lang w:val="en-US" w:eastAsia="zh-CN"/>
              </w:rPr>
              <w:t>市级交通规划</w:t>
            </w:r>
          </w:p>
        </w:tc>
      </w:tr>
      <w:tr w14:paraId="64548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trPr>
        <w:tc>
          <w:tcPr>
            <w:tcW w:w="300" w:type="pct"/>
            <w:shd w:val="clear" w:color="auto" w:fill="auto"/>
            <w:noWrap/>
            <w:vAlign w:val="center"/>
          </w:tcPr>
          <w:p w14:paraId="585F2854">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default" w:ascii="仿宋" w:hAnsi="仿宋" w:eastAsia="仿宋" w:cs="仿宋"/>
                <w:b w:val="0"/>
                <w:bCs w:val="0"/>
                <w:color w:val="auto"/>
                <w:spacing w:val="-6"/>
                <w:kern w:val="2"/>
                <w:sz w:val="24"/>
                <w:szCs w:val="24"/>
                <w:highlight w:val="none"/>
                <w:lang w:val="en-US" w:eastAsia="zh-CN" w:bidi="ar-SA"/>
              </w:rPr>
            </w:pPr>
            <w:r>
              <w:rPr>
                <w:rFonts w:hint="eastAsia" w:ascii="Times New Roman" w:hAnsi="Times New Roman" w:eastAsia="Times New Roman" w:cs="Times New Roman"/>
                <w:b w:val="0"/>
                <w:bCs w:val="0"/>
                <w:color w:val="auto"/>
                <w:sz w:val="24"/>
                <w:szCs w:val="24"/>
                <w:highlight w:val="none"/>
                <w:lang w:val="en-US" w:eastAsia="zh-CN"/>
              </w:rPr>
              <w:t>7</w:t>
            </w:r>
          </w:p>
        </w:tc>
        <w:tc>
          <w:tcPr>
            <w:tcW w:w="473" w:type="pct"/>
            <w:vMerge w:val="restart"/>
            <w:shd w:val="clear" w:color="auto" w:fill="auto"/>
            <w:noWrap/>
            <w:vAlign w:val="center"/>
          </w:tcPr>
          <w:p w14:paraId="2655589A">
            <w:pPr>
              <w:pStyle w:val="2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firstLine="0" w:firstLineChars="0"/>
              <w:textAlignment w:val="baseline"/>
              <w:rPr>
                <w:rFonts w:hint="default" w:ascii="仿宋" w:hAnsi="仿宋" w:eastAsia="仿宋" w:cs="仿宋"/>
                <w:b w:val="0"/>
                <w:bCs w:val="0"/>
                <w:color w:val="auto"/>
                <w:spacing w:val="-6"/>
                <w:kern w:val="2"/>
                <w:sz w:val="24"/>
                <w:szCs w:val="24"/>
                <w:highlight w:val="none"/>
                <w:lang w:val="en-US" w:eastAsia="zh-CN" w:bidi="ar-SA"/>
              </w:rPr>
            </w:pPr>
            <w:r>
              <w:rPr>
                <w:rFonts w:hint="eastAsia" w:eastAsia="仿宋" w:cs="仿宋"/>
                <w:b w:val="0"/>
                <w:bCs w:val="0"/>
                <w:color w:val="auto"/>
                <w:spacing w:val="-6"/>
                <w:kern w:val="2"/>
                <w:sz w:val="24"/>
                <w:szCs w:val="24"/>
                <w:highlight w:val="none"/>
                <w:lang w:val="en-US" w:eastAsia="zh-CN" w:bidi="ar-SA"/>
              </w:rPr>
              <w:t>美丽风貌</w:t>
            </w:r>
          </w:p>
        </w:tc>
        <w:tc>
          <w:tcPr>
            <w:tcW w:w="1243" w:type="pct"/>
            <w:shd w:val="clear" w:color="auto" w:fill="auto"/>
            <w:noWrap/>
            <w:vAlign w:val="center"/>
          </w:tcPr>
          <w:p w14:paraId="290A7B5C">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仿宋" w:hAnsi="仿宋" w:eastAsia="仿宋" w:cs="仿宋"/>
                <w:b w:val="0"/>
                <w:bCs w:val="0"/>
                <w:color w:val="auto"/>
                <w:spacing w:val="-6"/>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城市主干路照明亮灯率</w:t>
            </w:r>
          </w:p>
        </w:tc>
        <w:tc>
          <w:tcPr>
            <w:tcW w:w="471" w:type="pct"/>
            <w:shd w:val="clear" w:color="auto" w:fill="auto"/>
            <w:noWrap/>
            <w:vAlign w:val="center"/>
          </w:tcPr>
          <w:p w14:paraId="179E5E93">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仿宋" w:hAnsi="仿宋" w:eastAsia="仿宋" w:cs="仿宋"/>
                <w:b w:val="0"/>
                <w:bCs w:val="0"/>
                <w:color w:val="auto"/>
                <w:spacing w:val="-6"/>
                <w:kern w:val="2"/>
                <w:sz w:val="24"/>
                <w:szCs w:val="24"/>
                <w:highlight w:val="none"/>
                <w:lang w:val="en-US" w:eastAsia="zh-CN" w:bidi="ar-SA"/>
              </w:rPr>
            </w:pPr>
            <w:r>
              <w:rPr>
                <w:rFonts w:hint="eastAsia" w:ascii="Times New Roman" w:hAnsi="Times New Roman" w:eastAsia="Times New Roman" w:cs="Times New Roman"/>
                <w:b w:val="0"/>
                <w:bCs w:val="0"/>
                <w:color w:val="auto"/>
                <w:sz w:val="24"/>
                <w:szCs w:val="24"/>
                <w:highlight w:val="none"/>
                <w:lang w:val="en-US" w:eastAsia="zh-CN"/>
              </w:rPr>
              <w:t>%</w:t>
            </w:r>
          </w:p>
        </w:tc>
        <w:tc>
          <w:tcPr>
            <w:tcW w:w="577" w:type="pct"/>
            <w:shd w:val="clear" w:color="auto" w:fill="auto"/>
            <w:vAlign w:val="center"/>
          </w:tcPr>
          <w:p w14:paraId="207BD75E">
            <w:pPr>
              <w:keepNext w:val="0"/>
              <w:keepLines w:val="0"/>
              <w:pageBreakBefore w:val="0"/>
              <w:widowControl/>
              <w:suppressLineNumbers w:val="0"/>
              <w:kinsoku/>
              <w:wordWrap/>
              <w:overflowPunct/>
              <w:topLinePunct w:val="0"/>
              <w:autoSpaceDE/>
              <w:autoSpaceDN/>
              <w:bidi w:val="0"/>
              <w:adjustRightInd/>
              <w:snapToGrid/>
              <w:spacing w:beforeLines="0" w:afterLines="0" w:line="240" w:lineRule="auto"/>
              <w:ind w:firstLine="0" w:firstLineChars="0"/>
              <w:jc w:val="center"/>
              <w:textAlignment w:val="center"/>
              <w:rPr>
                <w:rFonts w:hint="eastAsia" w:ascii="Times New Roman" w:hAnsi="Times New Roman" w:eastAsia="Times New Roman" w:cs="Times New Roman"/>
                <w:b w:val="0"/>
                <w:bCs w:val="0"/>
                <w:i w:val="0"/>
                <w:iCs w:val="0"/>
                <w:color w:val="000000"/>
                <w:spacing w:val="-6"/>
                <w:kern w:val="0"/>
                <w:sz w:val="24"/>
                <w:szCs w:val="24"/>
                <w:highlight w:val="none"/>
                <w:u w:val="none"/>
                <w:lang w:val="en-US" w:eastAsia="zh-CN" w:bidi="ar"/>
              </w:rPr>
            </w:pPr>
            <w:r>
              <w:rPr>
                <w:rFonts w:hint="eastAsia" w:ascii="Times New Roman" w:hAnsi="Times New Roman" w:eastAsia="Times New Roman" w:cs="Times New Roman"/>
                <w:b w:val="0"/>
                <w:bCs w:val="0"/>
                <w:i w:val="0"/>
                <w:iCs w:val="0"/>
                <w:color w:val="000000"/>
                <w:kern w:val="0"/>
                <w:sz w:val="24"/>
                <w:szCs w:val="24"/>
                <w:highlight w:val="none"/>
                <w:u w:val="none"/>
                <w:lang w:val="en-US" w:eastAsia="zh-CN" w:bidi="ar"/>
              </w:rPr>
              <w:t>100</w:t>
            </w:r>
          </w:p>
        </w:tc>
        <w:tc>
          <w:tcPr>
            <w:tcW w:w="613" w:type="pct"/>
            <w:shd w:val="clear" w:color="auto" w:fill="auto"/>
            <w:vAlign w:val="center"/>
          </w:tcPr>
          <w:p w14:paraId="41DA343D">
            <w:pPr>
              <w:keepNext w:val="0"/>
              <w:keepLines w:val="0"/>
              <w:pageBreakBefore w:val="0"/>
              <w:widowControl/>
              <w:suppressLineNumbers w:val="0"/>
              <w:kinsoku/>
              <w:wordWrap/>
              <w:overflowPunct/>
              <w:topLinePunct w:val="0"/>
              <w:autoSpaceDE/>
              <w:autoSpaceDN/>
              <w:bidi w:val="0"/>
              <w:adjustRightInd/>
              <w:snapToGrid/>
              <w:spacing w:beforeLines="0" w:afterLines="0" w:line="240" w:lineRule="auto"/>
              <w:ind w:firstLine="0" w:firstLineChars="0"/>
              <w:jc w:val="center"/>
              <w:textAlignment w:val="center"/>
              <w:rPr>
                <w:rFonts w:hint="eastAsia" w:ascii="Times New Roman" w:hAnsi="Times New Roman" w:eastAsia="Times New Roman" w:cs="Times New Roman"/>
                <w:b w:val="0"/>
                <w:bCs w:val="0"/>
                <w:i w:val="0"/>
                <w:iCs w:val="0"/>
                <w:color w:val="000000"/>
                <w:spacing w:val="-6"/>
                <w:kern w:val="0"/>
                <w:sz w:val="24"/>
                <w:szCs w:val="24"/>
                <w:highlight w:val="none"/>
                <w:u w:val="none"/>
                <w:lang w:val="en-US" w:eastAsia="zh-CN" w:bidi="ar"/>
              </w:rPr>
            </w:pPr>
            <w:r>
              <w:rPr>
                <w:rFonts w:hint="eastAsia" w:ascii="Times New Roman" w:hAnsi="Times New Roman" w:eastAsia="Times New Roman" w:cs="Times New Roman"/>
                <w:b w:val="0"/>
                <w:bCs w:val="0"/>
                <w:i w:val="0"/>
                <w:iCs w:val="0"/>
                <w:color w:val="000000"/>
                <w:kern w:val="0"/>
                <w:sz w:val="24"/>
                <w:szCs w:val="24"/>
                <w:highlight w:val="none"/>
                <w:u w:val="none"/>
                <w:lang w:val="en-US" w:eastAsia="zh-CN" w:bidi="ar"/>
              </w:rPr>
              <w:t>100</w:t>
            </w:r>
          </w:p>
        </w:tc>
        <w:tc>
          <w:tcPr>
            <w:tcW w:w="542" w:type="pct"/>
            <w:shd w:val="clear" w:color="auto" w:fill="auto"/>
            <w:vAlign w:val="center"/>
          </w:tcPr>
          <w:p w14:paraId="55D3F41B">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仿宋" w:hAnsi="仿宋" w:eastAsia="仿宋" w:cs="仿宋"/>
                <w:b w:val="0"/>
                <w:bCs w:val="0"/>
                <w:color w:val="auto"/>
                <w:spacing w:val="-6"/>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约束</w:t>
            </w:r>
            <w:r>
              <w:rPr>
                <w:rFonts w:hint="eastAsia" w:eastAsia="仿宋" w:cs="仿宋"/>
                <w:b w:val="0"/>
                <w:bCs w:val="0"/>
                <w:i w:val="0"/>
                <w:iCs w:val="0"/>
                <w:color w:val="000000"/>
                <w:kern w:val="0"/>
                <w:sz w:val="24"/>
                <w:szCs w:val="24"/>
                <w:highlight w:val="none"/>
                <w:u w:val="none"/>
                <w:lang w:val="en-US" w:eastAsia="zh-CN" w:bidi="ar"/>
              </w:rPr>
              <w:t>性</w:t>
            </w:r>
          </w:p>
        </w:tc>
        <w:tc>
          <w:tcPr>
            <w:tcW w:w="777" w:type="pct"/>
            <w:shd w:val="clear" w:color="auto" w:fill="auto"/>
            <w:vAlign w:val="center"/>
          </w:tcPr>
          <w:p w14:paraId="10087E1B">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eastAsia="仿宋" w:cs="仿宋"/>
                <w:b w:val="0"/>
                <w:bCs w:val="0"/>
                <w:color w:val="auto"/>
                <w:sz w:val="24"/>
                <w:szCs w:val="24"/>
                <w:highlight w:val="none"/>
                <w:lang w:val="en-US" w:eastAsia="zh-CN"/>
              </w:rPr>
            </w:pPr>
            <w:r>
              <w:rPr>
                <w:rFonts w:hint="eastAsia" w:eastAsia="仿宋" w:cs="仿宋"/>
                <w:b w:val="0"/>
                <w:bCs w:val="0"/>
                <w:color w:val="auto"/>
                <w:sz w:val="24"/>
                <w:szCs w:val="24"/>
                <w:highlight w:val="none"/>
                <w:lang w:val="en-US" w:eastAsia="zh-CN"/>
              </w:rPr>
              <w:t>“十四五”</w:t>
            </w:r>
          </w:p>
        </w:tc>
      </w:tr>
      <w:tr w14:paraId="316E8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tblHeader/>
        </w:trPr>
        <w:tc>
          <w:tcPr>
            <w:tcW w:w="300" w:type="pct"/>
            <w:shd w:val="clear" w:color="auto" w:fill="auto"/>
            <w:noWrap/>
            <w:vAlign w:val="center"/>
          </w:tcPr>
          <w:p w14:paraId="1E83A411">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default" w:ascii="仿宋" w:hAnsi="仿宋" w:eastAsia="仿宋" w:cs="仿宋"/>
                <w:b w:val="0"/>
                <w:bCs w:val="0"/>
                <w:color w:val="auto"/>
                <w:spacing w:val="-6"/>
                <w:kern w:val="2"/>
                <w:sz w:val="24"/>
                <w:szCs w:val="24"/>
                <w:highlight w:val="none"/>
                <w:lang w:val="en-US" w:eastAsia="zh-CN" w:bidi="ar-SA"/>
              </w:rPr>
            </w:pPr>
            <w:r>
              <w:rPr>
                <w:rFonts w:hint="eastAsia" w:ascii="Times New Roman" w:hAnsi="Times New Roman" w:eastAsia="Times New Roman" w:cs="Times New Roman"/>
                <w:b w:val="0"/>
                <w:bCs w:val="0"/>
                <w:color w:val="auto"/>
                <w:sz w:val="24"/>
                <w:szCs w:val="24"/>
                <w:highlight w:val="none"/>
                <w:lang w:val="en-US" w:eastAsia="zh-CN"/>
              </w:rPr>
              <w:t>8</w:t>
            </w:r>
          </w:p>
        </w:tc>
        <w:tc>
          <w:tcPr>
            <w:tcW w:w="473" w:type="pct"/>
            <w:vMerge w:val="continue"/>
            <w:shd w:val="clear" w:color="auto" w:fill="auto"/>
            <w:noWrap/>
            <w:vAlign w:val="center"/>
          </w:tcPr>
          <w:p w14:paraId="24C822CE">
            <w:pPr>
              <w:pStyle w:val="2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firstLine="0" w:firstLineChars="0"/>
              <w:textAlignment w:val="baseline"/>
              <w:rPr>
                <w:rFonts w:hint="eastAsia" w:ascii="仿宋" w:hAnsi="仿宋" w:eastAsia="仿宋" w:cs="仿宋"/>
                <w:b w:val="0"/>
                <w:bCs w:val="0"/>
                <w:color w:val="auto"/>
                <w:spacing w:val="-6"/>
                <w:kern w:val="2"/>
                <w:sz w:val="24"/>
                <w:szCs w:val="24"/>
                <w:highlight w:val="none"/>
                <w:lang w:val="en-US" w:eastAsia="zh-CN" w:bidi="ar-SA"/>
              </w:rPr>
            </w:pPr>
          </w:p>
        </w:tc>
        <w:tc>
          <w:tcPr>
            <w:tcW w:w="1243" w:type="pct"/>
            <w:shd w:val="clear" w:color="auto" w:fill="auto"/>
            <w:noWrap/>
            <w:vAlign w:val="center"/>
          </w:tcPr>
          <w:p w14:paraId="4D27638C">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仿宋" w:hAnsi="仿宋" w:eastAsia="仿宋" w:cs="仿宋"/>
                <w:b w:val="0"/>
                <w:bCs w:val="0"/>
                <w:color w:val="auto"/>
                <w:spacing w:val="-6"/>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城市道路及公共场所装灯率</w:t>
            </w:r>
          </w:p>
        </w:tc>
        <w:tc>
          <w:tcPr>
            <w:tcW w:w="471" w:type="pct"/>
            <w:shd w:val="clear" w:color="auto" w:fill="auto"/>
            <w:noWrap/>
            <w:vAlign w:val="center"/>
          </w:tcPr>
          <w:p w14:paraId="2CE2A204">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仿宋" w:hAnsi="仿宋" w:eastAsia="仿宋" w:cs="仿宋"/>
                <w:b w:val="0"/>
                <w:bCs w:val="0"/>
                <w:color w:val="auto"/>
                <w:spacing w:val="-6"/>
                <w:kern w:val="2"/>
                <w:sz w:val="24"/>
                <w:szCs w:val="24"/>
                <w:highlight w:val="none"/>
                <w:lang w:val="en-US" w:eastAsia="zh-CN" w:bidi="ar-SA"/>
              </w:rPr>
            </w:pPr>
            <w:r>
              <w:rPr>
                <w:rFonts w:hint="eastAsia" w:ascii="Times New Roman" w:hAnsi="Times New Roman" w:eastAsia="Times New Roman" w:cs="Times New Roman"/>
                <w:b w:val="0"/>
                <w:bCs w:val="0"/>
                <w:color w:val="auto"/>
                <w:sz w:val="24"/>
                <w:szCs w:val="24"/>
                <w:highlight w:val="none"/>
                <w:lang w:val="en-US" w:eastAsia="zh-CN"/>
              </w:rPr>
              <w:t>%</w:t>
            </w:r>
          </w:p>
        </w:tc>
        <w:tc>
          <w:tcPr>
            <w:tcW w:w="577" w:type="pct"/>
            <w:shd w:val="clear" w:color="auto" w:fill="auto"/>
            <w:vAlign w:val="center"/>
          </w:tcPr>
          <w:p w14:paraId="10331597">
            <w:pPr>
              <w:keepNext w:val="0"/>
              <w:keepLines w:val="0"/>
              <w:pageBreakBefore w:val="0"/>
              <w:widowControl/>
              <w:suppressLineNumbers w:val="0"/>
              <w:kinsoku/>
              <w:wordWrap/>
              <w:overflowPunct/>
              <w:topLinePunct w:val="0"/>
              <w:autoSpaceDE/>
              <w:autoSpaceDN/>
              <w:bidi w:val="0"/>
              <w:adjustRightInd/>
              <w:snapToGrid/>
              <w:spacing w:beforeLines="0" w:afterLines="0" w:line="240" w:lineRule="auto"/>
              <w:ind w:firstLine="0" w:firstLineChars="0"/>
              <w:jc w:val="center"/>
              <w:textAlignment w:val="center"/>
              <w:rPr>
                <w:rFonts w:hint="eastAsia" w:ascii="Times New Roman" w:hAnsi="Times New Roman" w:eastAsia="Times New Roman" w:cs="Times New Roman"/>
                <w:b w:val="0"/>
                <w:bCs w:val="0"/>
                <w:i w:val="0"/>
                <w:iCs w:val="0"/>
                <w:color w:val="000000"/>
                <w:spacing w:val="-6"/>
                <w:kern w:val="0"/>
                <w:sz w:val="24"/>
                <w:szCs w:val="24"/>
                <w:highlight w:val="none"/>
                <w:u w:val="none"/>
                <w:lang w:val="en-US" w:eastAsia="zh-CN" w:bidi="ar"/>
              </w:rPr>
            </w:pPr>
            <w:r>
              <w:rPr>
                <w:rFonts w:hint="eastAsia" w:ascii="Times New Roman" w:hAnsi="Times New Roman" w:eastAsia="Times New Roman" w:cs="Times New Roman"/>
                <w:b w:val="0"/>
                <w:bCs w:val="0"/>
                <w:i w:val="0"/>
                <w:iCs w:val="0"/>
                <w:color w:val="000000"/>
                <w:kern w:val="0"/>
                <w:sz w:val="24"/>
                <w:szCs w:val="24"/>
                <w:highlight w:val="none"/>
                <w:u w:val="none"/>
                <w:lang w:val="en-US" w:eastAsia="zh-CN" w:bidi="ar"/>
              </w:rPr>
              <w:t>98</w:t>
            </w:r>
          </w:p>
        </w:tc>
        <w:tc>
          <w:tcPr>
            <w:tcW w:w="613" w:type="pct"/>
            <w:shd w:val="clear" w:color="auto" w:fill="auto"/>
            <w:vAlign w:val="center"/>
          </w:tcPr>
          <w:p w14:paraId="29C2CCCD">
            <w:pPr>
              <w:keepNext w:val="0"/>
              <w:keepLines w:val="0"/>
              <w:pageBreakBefore w:val="0"/>
              <w:widowControl/>
              <w:suppressLineNumbers w:val="0"/>
              <w:kinsoku/>
              <w:wordWrap/>
              <w:overflowPunct/>
              <w:topLinePunct w:val="0"/>
              <w:autoSpaceDE/>
              <w:autoSpaceDN/>
              <w:bidi w:val="0"/>
              <w:adjustRightInd/>
              <w:snapToGrid/>
              <w:spacing w:beforeLines="0" w:afterLines="0" w:line="240" w:lineRule="auto"/>
              <w:ind w:firstLine="0" w:firstLineChars="0"/>
              <w:jc w:val="center"/>
              <w:textAlignment w:val="center"/>
              <w:rPr>
                <w:rFonts w:hint="eastAsia" w:ascii="Times New Roman" w:hAnsi="Times New Roman" w:eastAsia="Times New Roman" w:cs="Times New Roman"/>
                <w:b w:val="0"/>
                <w:bCs w:val="0"/>
                <w:i w:val="0"/>
                <w:iCs w:val="0"/>
                <w:color w:val="000000"/>
                <w:spacing w:val="-6"/>
                <w:kern w:val="0"/>
                <w:sz w:val="24"/>
                <w:szCs w:val="24"/>
                <w:highlight w:val="none"/>
                <w:u w:val="none"/>
                <w:lang w:val="en-US" w:eastAsia="zh-CN" w:bidi="ar"/>
              </w:rPr>
            </w:pPr>
            <w:r>
              <w:rPr>
                <w:rFonts w:hint="eastAsia" w:ascii="Times New Roman" w:hAnsi="Times New Roman" w:eastAsia="Times New Roman" w:cs="Times New Roman"/>
                <w:b w:val="0"/>
                <w:bCs w:val="0"/>
                <w:i w:val="0"/>
                <w:iCs w:val="0"/>
                <w:color w:val="000000"/>
                <w:kern w:val="0"/>
                <w:sz w:val="24"/>
                <w:szCs w:val="24"/>
                <w:highlight w:val="none"/>
                <w:u w:val="none"/>
                <w:lang w:val="en-US" w:eastAsia="zh-CN" w:bidi="ar"/>
              </w:rPr>
              <w:t>99</w:t>
            </w:r>
          </w:p>
        </w:tc>
        <w:tc>
          <w:tcPr>
            <w:tcW w:w="542" w:type="pct"/>
            <w:shd w:val="clear" w:color="auto" w:fill="auto"/>
            <w:vAlign w:val="center"/>
          </w:tcPr>
          <w:p w14:paraId="384854B7">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仿宋" w:hAnsi="仿宋" w:eastAsia="仿宋" w:cs="仿宋"/>
                <w:b w:val="0"/>
                <w:bCs w:val="0"/>
                <w:color w:val="auto"/>
                <w:spacing w:val="-6"/>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预期</w:t>
            </w:r>
            <w:r>
              <w:rPr>
                <w:rFonts w:hint="eastAsia" w:eastAsia="仿宋" w:cs="仿宋"/>
                <w:b w:val="0"/>
                <w:bCs w:val="0"/>
                <w:i w:val="0"/>
                <w:iCs w:val="0"/>
                <w:color w:val="000000"/>
                <w:kern w:val="0"/>
                <w:sz w:val="24"/>
                <w:szCs w:val="24"/>
                <w:highlight w:val="none"/>
                <w:u w:val="none"/>
                <w:lang w:val="en-US" w:eastAsia="zh-CN" w:bidi="ar"/>
              </w:rPr>
              <w:t>性</w:t>
            </w:r>
          </w:p>
        </w:tc>
        <w:tc>
          <w:tcPr>
            <w:tcW w:w="777" w:type="pct"/>
            <w:shd w:val="clear" w:color="auto" w:fill="auto"/>
            <w:vAlign w:val="center"/>
          </w:tcPr>
          <w:p w14:paraId="330D943A">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eastAsia="仿宋" w:cs="仿宋"/>
                <w:b w:val="0"/>
                <w:bCs w:val="0"/>
                <w:color w:val="auto"/>
                <w:sz w:val="24"/>
                <w:szCs w:val="24"/>
                <w:highlight w:val="none"/>
                <w:lang w:val="en-US" w:eastAsia="zh-CN"/>
              </w:rPr>
            </w:pPr>
            <w:r>
              <w:rPr>
                <w:rFonts w:hint="eastAsia" w:eastAsia="仿宋" w:cs="仿宋"/>
                <w:b w:val="0"/>
                <w:bCs w:val="0"/>
                <w:color w:val="auto"/>
                <w:sz w:val="24"/>
                <w:szCs w:val="24"/>
                <w:highlight w:val="none"/>
                <w:lang w:val="en-US" w:eastAsia="zh-CN"/>
              </w:rPr>
              <w:t>“十四五”</w:t>
            </w:r>
          </w:p>
        </w:tc>
      </w:tr>
      <w:tr w14:paraId="6B2C8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tblHeader/>
        </w:trPr>
        <w:tc>
          <w:tcPr>
            <w:tcW w:w="300" w:type="pct"/>
            <w:shd w:val="clear" w:color="auto" w:fill="auto"/>
            <w:noWrap/>
            <w:vAlign w:val="center"/>
          </w:tcPr>
          <w:p w14:paraId="7509BA0B">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default" w:ascii="仿宋" w:hAnsi="仿宋" w:eastAsia="仿宋" w:cs="仿宋"/>
                <w:b w:val="0"/>
                <w:bCs w:val="0"/>
                <w:color w:val="auto"/>
                <w:spacing w:val="-6"/>
                <w:kern w:val="2"/>
                <w:sz w:val="24"/>
                <w:szCs w:val="24"/>
                <w:highlight w:val="none"/>
                <w:lang w:val="en-US" w:eastAsia="zh-CN" w:bidi="ar-SA"/>
              </w:rPr>
            </w:pPr>
            <w:r>
              <w:rPr>
                <w:rFonts w:hint="eastAsia" w:ascii="Times New Roman" w:hAnsi="Times New Roman" w:eastAsia="Times New Roman" w:cs="Times New Roman"/>
                <w:b w:val="0"/>
                <w:bCs w:val="0"/>
                <w:color w:val="auto"/>
                <w:sz w:val="24"/>
                <w:szCs w:val="24"/>
                <w:highlight w:val="none"/>
                <w:lang w:val="en-US" w:eastAsia="zh-CN"/>
              </w:rPr>
              <w:t>9</w:t>
            </w:r>
          </w:p>
        </w:tc>
        <w:tc>
          <w:tcPr>
            <w:tcW w:w="473" w:type="pct"/>
            <w:vMerge w:val="continue"/>
            <w:shd w:val="clear" w:color="auto" w:fill="auto"/>
            <w:noWrap/>
            <w:vAlign w:val="center"/>
          </w:tcPr>
          <w:p w14:paraId="78C8A49D">
            <w:pPr>
              <w:pStyle w:val="2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firstLine="0" w:firstLineChars="0"/>
              <w:textAlignment w:val="baseline"/>
              <w:rPr>
                <w:rFonts w:hint="eastAsia" w:ascii="仿宋" w:hAnsi="仿宋" w:eastAsia="仿宋" w:cs="仿宋"/>
                <w:b w:val="0"/>
                <w:bCs w:val="0"/>
                <w:color w:val="auto"/>
                <w:spacing w:val="-6"/>
                <w:kern w:val="2"/>
                <w:sz w:val="24"/>
                <w:szCs w:val="24"/>
                <w:highlight w:val="none"/>
                <w:lang w:val="en-US" w:eastAsia="zh-CN" w:bidi="ar-SA"/>
              </w:rPr>
            </w:pPr>
          </w:p>
        </w:tc>
        <w:tc>
          <w:tcPr>
            <w:tcW w:w="1243" w:type="pct"/>
            <w:shd w:val="clear" w:color="auto" w:fill="auto"/>
            <w:noWrap/>
            <w:vAlign w:val="center"/>
          </w:tcPr>
          <w:p w14:paraId="75EF26AA">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仿宋" w:hAnsi="仿宋" w:eastAsia="仿宋" w:cs="仿宋"/>
                <w:b w:val="0"/>
                <w:bCs w:val="0"/>
                <w:color w:val="auto"/>
                <w:spacing w:val="-6"/>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景观照明设施完好率</w:t>
            </w:r>
          </w:p>
        </w:tc>
        <w:tc>
          <w:tcPr>
            <w:tcW w:w="471" w:type="pct"/>
            <w:shd w:val="clear" w:color="auto" w:fill="auto"/>
            <w:noWrap/>
            <w:vAlign w:val="center"/>
          </w:tcPr>
          <w:p w14:paraId="38F796ED">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仿宋" w:hAnsi="仿宋" w:eastAsia="仿宋" w:cs="仿宋"/>
                <w:b w:val="0"/>
                <w:bCs w:val="0"/>
                <w:color w:val="auto"/>
                <w:spacing w:val="-6"/>
                <w:kern w:val="2"/>
                <w:sz w:val="24"/>
                <w:szCs w:val="24"/>
                <w:highlight w:val="none"/>
                <w:lang w:val="en-US" w:eastAsia="zh-CN" w:bidi="ar-SA"/>
              </w:rPr>
            </w:pPr>
            <w:r>
              <w:rPr>
                <w:rFonts w:hint="eastAsia" w:ascii="Times New Roman" w:hAnsi="Times New Roman" w:eastAsia="Times New Roman" w:cs="Times New Roman"/>
                <w:b w:val="0"/>
                <w:bCs w:val="0"/>
                <w:color w:val="auto"/>
                <w:sz w:val="24"/>
                <w:szCs w:val="24"/>
                <w:highlight w:val="none"/>
                <w:lang w:val="en-US" w:eastAsia="zh-CN"/>
              </w:rPr>
              <w:t>%</w:t>
            </w:r>
          </w:p>
        </w:tc>
        <w:tc>
          <w:tcPr>
            <w:tcW w:w="577" w:type="pct"/>
            <w:shd w:val="clear" w:color="auto" w:fill="auto"/>
            <w:vAlign w:val="center"/>
          </w:tcPr>
          <w:p w14:paraId="6E691C22">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仿宋" w:hAnsi="仿宋" w:eastAsia="仿宋" w:cs="仿宋"/>
                <w:b w:val="0"/>
                <w:bCs w:val="0"/>
                <w:color w:val="auto"/>
                <w:spacing w:val="-6"/>
                <w:kern w:val="2"/>
                <w:sz w:val="24"/>
                <w:szCs w:val="24"/>
                <w:highlight w:val="none"/>
                <w:lang w:val="en-US" w:eastAsia="zh-CN" w:bidi="ar-SA"/>
              </w:rPr>
            </w:pPr>
            <w:r>
              <w:rPr>
                <w:rFonts w:hint="eastAsia" w:ascii="Times New Roman" w:hAnsi="Times New Roman" w:eastAsia="Times New Roman" w:cs="Times New Roman"/>
                <w:b w:val="0"/>
                <w:bCs w:val="0"/>
                <w:color w:val="auto"/>
                <w:sz w:val="24"/>
                <w:szCs w:val="24"/>
                <w:highlight w:val="none"/>
                <w:lang w:val="en-US" w:eastAsia="zh-CN"/>
              </w:rPr>
              <w:t>98</w:t>
            </w:r>
          </w:p>
        </w:tc>
        <w:tc>
          <w:tcPr>
            <w:tcW w:w="613" w:type="pct"/>
            <w:shd w:val="clear" w:color="auto" w:fill="auto"/>
            <w:vAlign w:val="center"/>
          </w:tcPr>
          <w:p w14:paraId="5CD03441">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仿宋" w:hAnsi="仿宋" w:eastAsia="仿宋" w:cs="仿宋"/>
                <w:b w:val="0"/>
                <w:bCs w:val="0"/>
                <w:color w:val="auto"/>
                <w:spacing w:val="-6"/>
                <w:kern w:val="2"/>
                <w:sz w:val="24"/>
                <w:szCs w:val="24"/>
                <w:highlight w:val="none"/>
                <w:lang w:val="en-US" w:eastAsia="zh-CN" w:bidi="ar-SA"/>
              </w:rPr>
            </w:pPr>
            <w:r>
              <w:rPr>
                <w:rFonts w:hint="eastAsia" w:ascii="Times New Roman" w:hAnsi="Times New Roman" w:eastAsia="Times New Roman" w:cs="Times New Roman"/>
                <w:b w:val="0"/>
                <w:bCs w:val="0"/>
                <w:color w:val="auto"/>
                <w:sz w:val="24"/>
                <w:szCs w:val="24"/>
                <w:highlight w:val="none"/>
                <w:lang w:val="en-US" w:eastAsia="zh-CN"/>
              </w:rPr>
              <w:t>99</w:t>
            </w:r>
          </w:p>
        </w:tc>
        <w:tc>
          <w:tcPr>
            <w:tcW w:w="542" w:type="pct"/>
            <w:shd w:val="clear" w:color="auto" w:fill="auto"/>
            <w:vAlign w:val="center"/>
          </w:tcPr>
          <w:p w14:paraId="6407E51F">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仿宋" w:hAnsi="仿宋" w:eastAsia="仿宋" w:cs="仿宋"/>
                <w:b w:val="0"/>
                <w:bCs w:val="0"/>
                <w:color w:val="auto"/>
                <w:spacing w:val="-6"/>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预期</w:t>
            </w:r>
            <w:r>
              <w:rPr>
                <w:rFonts w:hint="eastAsia" w:eastAsia="仿宋" w:cs="仿宋"/>
                <w:b w:val="0"/>
                <w:bCs w:val="0"/>
                <w:i w:val="0"/>
                <w:iCs w:val="0"/>
                <w:color w:val="000000"/>
                <w:kern w:val="0"/>
                <w:sz w:val="24"/>
                <w:szCs w:val="24"/>
                <w:highlight w:val="none"/>
                <w:u w:val="none"/>
                <w:lang w:val="en-US" w:eastAsia="zh-CN" w:bidi="ar"/>
              </w:rPr>
              <w:t>性</w:t>
            </w:r>
          </w:p>
        </w:tc>
        <w:tc>
          <w:tcPr>
            <w:tcW w:w="777" w:type="pct"/>
            <w:shd w:val="clear" w:color="auto" w:fill="auto"/>
            <w:vAlign w:val="center"/>
          </w:tcPr>
          <w:p w14:paraId="7C11E7CC">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eastAsia="仿宋" w:cs="仿宋"/>
                <w:b w:val="0"/>
                <w:bCs w:val="0"/>
                <w:color w:val="auto"/>
                <w:sz w:val="24"/>
                <w:szCs w:val="24"/>
                <w:highlight w:val="none"/>
                <w:lang w:val="en-US" w:eastAsia="zh-CN"/>
              </w:rPr>
            </w:pPr>
            <w:r>
              <w:rPr>
                <w:rFonts w:hint="eastAsia" w:eastAsia="仿宋" w:cs="仿宋"/>
                <w:b w:val="0"/>
                <w:bCs w:val="0"/>
                <w:color w:val="auto"/>
                <w:sz w:val="24"/>
                <w:szCs w:val="24"/>
                <w:highlight w:val="none"/>
                <w:lang w:val="en-US" w:eastAsia="zh-CN"/>
              </w:rPr>
              <w:t>“十四五”</w:t>
            </w:r>
          </w:p>
        </w:tc>
      </w:tr>
      <w:tr w14:paraId="0ED3B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tblHeader/>
        </w:trPr>
        <w:tc>
          <w:tcPr>
            <w:tcW w:w="300" w:type="pct"/>
            <w:shd w:val="clear" w:color="auto" w:fill="auto"/>
            <w:noWrap/>
            <w:vAlign w:val="center"/>
          </w:tcPr>
          <w:p w14:paraId="439D4E68">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default" w:ascii="仿宋" w:hAnsi="仿宋" w:eastAsia="仿宋" w:cs="仿宋"/>
                <w:b w:val="0"/>
                <w:bCs w:val="0"/>
                <w:color w:val="auto"/>
                <w:spacing w:val="-6"/>
                <w:kern w:val="2"/>
                <w:sz w:val="24"/>
                <w:szCs w:val="24"/>
                <w:highlight w:val="none"/>
                <w:lang w:val="en-US" w:eastAsia="zh-CN" w:bidi="ar-SA"/>
              </w:rPr>
            </w:pPr>
            <w:r>
              <w:rPr>
                <w:rFonts w:hint="eastAsia" w:ascii="Times New Roman" w:hAnsi="Times New Roman" w:eastAsia="Times New Roman" w:cs="Times New Roman"/>
                <w:b w:val="0"/>
                <w:bCs w:val="0"/>
                <w:color w:val="auto"/>
                <w:sz w:val="24"/>
                <w:szCs w:val="24"/>
                <w:highlight w:val="none"/>
                <w:lang w:val="en-US" w:eastAsia="zh-CN"/>
              </w:rPr>
              <w:t>10</w:t>
            </w:r>
          </w:p>
        </w:tc>
        <w:tc>
          <w:tcPr>
            <w:tcW w:w="473" w:type="pct"/>
            <w:vMerge w:val="continue"/>
            <w:shd w:val="clear" w:color="auto" w:fill="auto"/>
            <w:noWrap/>
            <w:vAlign w:val="center"/>
          </w:tcPr>
          <w:p w14:paraId="6D23A3EE">
            <w:pPr>
              <w:pStyle w:val="2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firstLine="0" w:firstLineChars="0"/>
              <w:textAlignment w:val="baseline"/>
              <w:rPr>
                <w:rFonts w:hint="eastAsia" w:ascii="仿宋" w:hAnsi="仿宋" w:eastAsia="仿宋" w:cs="仿宋"/>
                <w:b w:val="0"/>
                <w:bCs w:val="0"/>
                <w:color w:val="auto"/>
                <w:spacing w:val="-6"/>
                <w:kern w:val="2"/>
                <w:sz w:val="24"/>
                <w:szCs w:val="24"/>
                <w:highlight w:val="none"/>
                <w:lang w:val="en-US" w:eastAsia="zh-CN" w:bidi="ar-SA"/>
              </w:rPr>
            </w:pPr>
          </w:p>
        </w:tc>
        <w:tc>
          <w:tcPr>
            <w:tcW w:w="1243" w:type="pct"/>
            <w:shd w:val="clear" w:color="auto" w:fill="auto"/>
            <w:noWrap/>
            <w:vAlign w:val="center"/>
          </w:tcPr>
          <w:p w14:paraId="2318A245">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仿宋" w:hAnsi="仿宋" w:eastAsia="仿宋" w:cs="仿宋"/>
                <w:b w:val="0"/>
                <w:bCs w:val="0"/>
                <w:color w:val="auto"/>
                <w:spacing w:val="-6"/>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城市户外广告、牌匾设置规范完好率</w:t>
            </w:r>
          </w:p>
        </w:tc>
        <w:tc>
          <w:tcPr>
            <w:tcW w:w="471" w:type="pct"/>
            <w:shd w:val="clear" w:color="auto" w:fill="auto"/>
            <w:noWrap/>
            <w:vAlign w:val="center"/>
          </w:tcPr>
          <w:p w14:paraId="28EB9E09">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仿宋" w:hAnsi="仿宋" w:eastAsia="仿宋" w:cs="仿宋"/>
                <w:b w:val="0"/>
                <w:bCs w:val="0"/>
                <w:color w:val="auto"/>
                <w:spacing w:val="-6"/>
                <w:kern w:val="2"/>
                <w:sz w:val="24"/>
                <w:szCs w:val="24"/>
                <w:highlight w:val="none"/>
                <w:lang w:val="en-US" w:eastAsia="zh-CN" w:bidi="ar-SA"/>
              </w:rPr>
            </w:pPr>
            <w:r>
              <w:rPr>
                <w:rFonts w:hint="eastAsia" w:ascii="Times New Roman" w:hAnsi="Times New Roman" w:eastAsia="Times New Roman" w:cs="Times New Roman"/>
                <w:b w:val="0"/>
                <w:bCs w:val="0"/>
                <w:color w:val="auto"/>
                <w:sz w:val="24"/>
                <w:szCs w:val="24"/>
                <w:highlight w:val="none"/>
                <w:lang w:val="en-US" w:eastAsia="zh-CN"/>
              </w:rPr>
              <w:t>%</w:t>
            </w:r>
          </w:p>
        </w:tc>
        <w:tc>
          <w:tcPr>
            <w:tcW w:w="577" w:type="pct"/>
            <w:shd w:val="clear" w:color="auto" w:fill="auto"/>
            <w:vAlign w:val="center"/>
          </w:tcPr>
          <w:p w14:paraId="76D4C353">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仿宋" w:hAnsi="仿宋" w:eastAsia="仿宋" w:cs="仿宋"/>
                <w:b w:val="0"/>
                <w:bCs w:val="0"/>
                <w:color w:val="auto"/>
                <w:spacing w:val="-6"/>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参照市级标准</w:t>
            </w:r>
          </w:p>
        </w:tc>
        <w:tc>
          <w:tcPr>
            <w:tcW w:w="613" w:type="pct"/>
            <w:shd w:val="clear" w:color="auto" w:fill="auto"/>
            <w:vAlign w:val="center"/>
          </w:tcPr>
          <w:p w14:paraId="4119875C">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仿宋" w:hAnsi="仿宋" w:eastAsia="仿宋" w:cs="仿宋"/>
                <w:b w:val="0"/>
                <w:bCs w:val="0"/>
                <w:color w:val="auto"/>
                <w:spacing w:val="-6"/>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达到市级要求</w:t>
            </w:r>
          </w:p>
        </w:tc>
        <w:tc>
          <w:tcPr>
            <w:tcW w:w="542" w:type="pct"/>
            <w:shd w:val="clear" w:color="auto" w:fill="auto"/>
            <w:vAlign w:val="center"/>
          </w:tcPr>
          <w:p w14:paraId="12A0168C">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仿宋" w:hAnsi="仿宋" w:eastAsia="仿宋" w:cs="仿宋"/>
                <w:b w:val="0"/>
                <w:bCs w:val="0"/>
                <w:color w:val="auto"/>
                <w:spacing w:val="-6"/>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预期</w:t>
            </w:r>
            <w:r>
              <w:rPr>
                <w:rFonts w:hint="eastAsia" w:eastAsia="仿宋" w:cs="仿宋"/>
                <w:b w:val="0"/>
                <w:bCs w:val="0"/>
                <w:i w:val="0"/>
                <w:iCs w:val="0"/>
                <w:color w:val="000000"/>
                <w:kern w:val="0"/>
                <w:sz w:val="24"/>
                <w:szCs w:val="24"/>
                <w:highlight w:val="none"/>
                <w:u w:val="none"/>
                <w:lang w:val="en-US" w:eastAsia="zh-CN" w:bidi="ar"/>
              </w:rPr>
              <w:t>性</w:t>
            </w:r>
          </w:p>
        </w:tc>
        <w:tc>
          <w:tcPr>
            <w:tcW w:w="777" w:type="pct"/>
            <w:shd w:val="clear" w:color="auto" w:fill="auto"/>
            <w:vAlign w:val="center"/>
          </w:tcPr>
          <w:p w14:paraId="613F1646">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eastAsia="仿宋" w:cs="仿宋"/>
                <w:b w:val="0"/>
                <w:bCs w:val="0"/>
                <w:color w:val="auto"/>
                <w:sz w:val="24"/>
                <w:szCs w:val="24"/>
                <w:highlight w:val="none"/>
                <w:lang w:val="en-US" w:eastAsia="zh-CN"/>
              </w:rPr>
            </w:pPr>
            <w:r>
              <w:rPr>
                <w:rFonts w:hint="eastAsia" w:eastAsia="仿宋" w:cs="仿宋"/>
                <w:b w:val="0"/>
                <w:bCs w:val="0"/>
                <w:color w:val="auto"/>
                <w:sz w:val="24"/>
                <w:szCs w:val="24"/>
                <w:highlight w:val="none"/>
                <w:lang w:val="en-US" w:eastAsia="zh-CN"/>
              </w:rPr>
              <w:t>“十四五”</w:t>
            </w:r>
          </w:p>
        </w:tc>
      </w:tr>
      <w:tr w14:paraId="50E0A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trPr>
        <w:tc>
          <w:tcPr>
            <w:tcW w:w="300" w:type="pct"/>
            <w:shd w:val="clear" w:color="auto" w:fill="auto"/>
            <w:noWrap/>
            <w:vAlign w:val="center"/>
          </w:tcPr>
          <w:p w14:paraId="34703A95">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default" w:ascii="Times New Roman" w:hAnsi="Times New Roman" w:eastAsia="Times New Roman" w:cs="Times New Roman"/>
                <w:b w:val="0"/>
                <w:bCs w:val="0"/>
                <w:color w:val="auto"/>
                <w:sz w:val="24"/>
                <w:szCs w:val="24"/>
                <w:highlight w:val="none"/>
                <w:lang w:val="en-US" w:eastAsia="zh-CN"/>
              </w:rPr>
            </w:pPr>
            <w:r>
              <w:rPr>
                <w:rFonts w:hint="eastAsia" w:ascii="Times New Roman" w:hAnsi="Times New Roman" w:eastAsia="Times New Roman" w:cs="Times New Roman"/>
                <w:b w:val="0"/>
                <w:bCs w:val="0"/>
                <w:color w:val="auto"/>
                <w:sz w:val="24"/>
                <w:szCs w:val="24"/>
                <w:highlight w:val="none"/>
                <w:lang w:val="en-US" w:eastAsia="zh-CN"/>
              </w:rPr>
              <w:t>11</w:t>
            </w:r>
          </w:p>
        </w:tc>
        <w:tc>
          <w:tcPr>
            <w:tcW w:w="473" w:type="pct"/>
            <w:vMerge w:val="continue"/>
            <w:shd w:val="clear" w:color="auto" w:fill="auto"/>
            <w:noWrap/>
            <w:vAlign w:val="center"/>
          </w:tcPr>
          <w:p w14:paraId="06969FE2">
            <w:pPr>
              <w:pStyle w:val="2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firstLine="0" w:firstLineChars="0"/>
              <w:textAlignment w:val="baseline"/>
              <w:rPr>
                <w:rFonts w:hint="eastAsia" w:ascii="仿宋" w:hAnsi="仿宋" w:eastAsia="仿宋" w:cs="仿宋"/>
                <w:b w:val="0"/>
                <w:bCs w:val="0"/>
                <w:color w:val="auto"/>
                <w:spacing w:val="-6"/>
                <w:kern w:val="2"/>
                <w:sz w:val="24"/>
                <w:szCs w:val="24"/>
                <w:highlight w:val="none"/>
                <w:lang w:val="en-US" w:eastAsia="zh-CN" w:bidi="ar-SA"/>
              </w:rPr>
            </w:pPr>
          </w:p>
        </w:tc>
        <w:tc>
          <w:tcPr>
            <w:tcW w:w="1243" w:type="pct"/>
            <w:shd w:val="clear" w:color="auto" w:fill="auto"/>
            <w:noWrap/>
            <w:vAlign w:val="center"/>
          </w:tcPr>
          <w:p w14:paraId="34411CEE">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仿宋" w:hAnsi="仿宋" w:eastAsia="仿宋" w:cs="仿宋"/>
                <w:b w:val="0"/>
                <w:bCs w:val="0"/>
                <w:color w:val="auto"/>
                <w:spacing w:val="-6"/>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新生违法建设数量</w:t>
            </w:r>
          </w:p>
        </w:tc>
        <w:tc>
          <w:tcPr>
            <w:tcW w:w="471" w:type="pct"/>
            <w:shd w:val="clear" w:color="auto" w:fill="auto"/>
            <w:noWrap/>
            <w:vAlign w:val="center"/>
          </w:tcPr>
          <w:p w14:paraId="11FB9154">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Times New Roman" w:hAnsi="Times New Roman" w:eastAsia="Times New Roman" w:cs="Times New Roman"/>
                <w:b w:val="0"/>
                <w:bCs w:val="0"/>
                <w:color w:val="auto"/>
                <w:spacing w:val="-6"/>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个</w:t>
            </w:r>
          </w:p>
        </w:tc>
        <w:tc>
          <w:tcPr>
            <w:tcW w:w="577" w:type="pct"/>
            <w:shd w:val="clear" w:color="auto" w:fill="auto"/>
            <w:vAlign w:val="center"/>
          </w:tcPr>
          <w:p w14:paraId="035A21CB">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仿宋" w:hAnsi="仿宋" w:eastAsia="仿宋" w:cs="仿宋"/>
                <w:b w:val="0"/>
                <w:bCs w:val="0"/>
                <w:i w:val="0"/>
                <w:iCs w:val="0"/>
                <w:color w:val="auto"/>
                <w:spacing w:val="-6"/>
                <w:kern w:val="2"/>
                <w:sz w:val="24"/>
                <w:szCs w:val="24"/>
                <w:highlight w:val="none"/>
                <w:u w:val="none"/>
                <w:lang w:val="en-US" w:eastAsia="zh-CN" w:bidi="ar"/>
              </w:rPr>
            </w:pPr>
            <w:r>
              <w:rPr>
                <w:rFonts w:hint="eastAsia" w:ascii="仿宋" w:hAnsi="仿宋" w:eastAsia="仿宋" w:cs="仿宋"/>
                <w:b w:val="0"/>
                <w:bCs w:val="0"/>
                <w:color w:val="auto"/>
                <w:sz w:val="24"/>
                <w:szCs w:val="24"/>
                <w:highlight w:val="none"/>
                <w:lang w:val="en-US" w:eastAsia="zh-CN"/>
              </w:rPr>
              <w:t>动态清零</w:t>
            </w:r>
          </w:p>
        </w:tc>
        <w:tc>
          <w:tcPr>
            <w:tcW w:w="613" w:type="pct"/>
            <w:shd w:val="clear" w:color="auto" w:fill="auto"/>
            <w:vAlign w:val="center"/>
          </w:tcPr>
          <w:p w14:paraId="6C3ABD73">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Times New Roman" w:hAnsi="Times New Roman" w:eastAsia="Times New Roman" w:cs="Times New Roman"/>
                <w:b w:val="0"/>
                <w:bCs w:val="0"/>
                <w:color w:val="auto"/>
                <w:spacing w:val="-6"/>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动态清零</w:t>
            </w:r>
          </w:p>
        </w:tc>
        <w:tc>
          <w:tcPr>
            <w:tcW w:w="542" w:type="pct"/>
            <w:shd w:val="clear" w:color="auto" w:fill="auto"/>
            <w:vAlign w:val="center"/>
          </w:tcPr>
          <w:p w14:paraId="3A6F5FB9">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仿宋" w:hAnsi="仿宋" w:eastAsia="仿宋" w:cs="仿宋"/>
                <w:b w:val="0"/>
                <w:bCs w:val="0"/>
                <w:color w:val="auto"/>
                <w:spacing w:val="-6"/>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约束</w:t>
            </w:r>
            <w:r>
              <w:rPr>
                <w:rFonts w:hint="eastAsia" w:eastAsia="仿宋" w:cs="仿宋"/>
                <w:b w:val="0"/>
                <w:bCs w:val="0"/>
                <w:i w:val="0"/>
                <w:iCs w:val="0"/>
                <w:color w:val="auto"/>
                <w:kern w:val="0"/>
                <w:sz w:val="24"/>
                <w:szCs w:val="24"/>
                <w:highlight w:val="none"/>
                <w:u w:val="none"/>
                <w:lang w:val="en-US" w:eastAsia="zh-CN" w:bidi="ar"/>
              </w:rPr>
              <w:t>性</w:t>
            </w:r>
          </w:p>
        </w:tc>
        <w:tc>
          <w:tcPr>
            <w:tcW w:w="777" w:type="pct"/>
            <w:shd w:val="clear" w:color="auto" w:fill="auto"/>
            <w:vAlign w:val="center"/>
          </w:tcPr>
          <w:p w14:paraId="61206F5C">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仿宋" w:hAnsi="仿宋" w:eastAsia="仿宋" w:cs="仿宋"/>
                <w:b w:val="0"/>
                <w:bCs w:val="0"/>
                <w:color w:val="auto"/>
                <w:spacing w:val="-6"/>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“十四五”</w:t>
            </w:r>
          </w:p>
        </w:tc>
      </w:tr>
      <w:tr w14:paraId="30901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trPr>
        <w:tc>
          <w:tcPr>
            <w:tcW w:w="300" w:type="pct"/>
            <w:shd w:val="clear" w:color="auto" w:fill="auto"/>
            <w:noWrap/>
            <w:vAlign w:val="center"/>
          </w:tcPr>
          <w:p w14:paraId="70612EF5">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default" w:ascii="仿宋" w:hAnsi="仿宋" w:eastAsia="仿宋" w:cs="仿宋"/>
                <w:b w:val="0"/>
                <w:bCs w:val="0"/>
                <w:color w:val="auto"/>
                <w:spacing w:val="-6"/>
                <w:kern w:val="2"/>
                <w:sz w:val="24"/>
                <w:szCs w:val="24"/>
                <w:highlight w:val="none"/>
                <w:lang w:val="en-US" w:eastAsia="zh-CN" w:bidi="ar-SA"/>
              </w:rPr>
            </w:pPr>
            <w:r>
              <w:rPr>
                <w:rFonts w:hint="eastAsia" w:ascii="Times New Roman" w:hAnsi="Times New Roman" w:eastAsia="Times New Roman" w:cs="Times New Roman"/>
                <w:b w:val="0"/>
                <w:bCs w:val="0"/>
                <w:color w:val="auto"/>
                <w:sz w:val="24"/>
                <w:szCs w:val="24"/>
                <w:highlight w:val="none"/>
                <w:lang w:val="en-US" w:eastAsia="zh-CN"/>
              </w:rPr>
              <w:t>12</w:t>
            </w:r>
          </w:p>
        </w:tc>
        <w:tc>
          <w:tcPr>
            <w:tcW w:w="473" w:type="pct"/>
            <w:vMerge w:val="restart"/>
            <w:shd w:val="clear" w:color="auto" w:fill="auto"/>
            <w:noWrap/>
            <w:vAlign w:val="center"/>
          </w:tcPr>
          <w:p w14:paraId="64B9EF73">
            <w:pPr>
              <w:pStyle w:val="2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firstLine="0" w:firstLineChars="0"/>
              <w:textAlignment w:val="baseline"/>
              <w:rPr>
                <w:rFonts w:hint="default" w:ascii="仿宋" w:hAnsi="仿宋" w:eastAsia="仿宋" w:cs="仿宋"/>
                <w:b w:val="0"/>
                <w:bCs w:val="0"/>
                <w:color w:val="auto"/>
                <w:spacing w:val="-6"/>
                <w:kern w:val="2"/>
                <w:sz w:val="24"/>
                <w:szCs w:val="24"/>
                <w:highlight w:val="none"/>
                <w:lang w:val="en-US" w:eastAsia="zh-CN" w:bidi="ar-SA"/>
              </w:rPr>
            </w:pPr>
            <w:r>
              <w:rPr>
                <w:rFonts w:hint="default" w:ascii="仿宋" w:hAnsi="仿宋" w:eastAsia="仿宋" w:cs="仿宋"/>
                <w:b w:val="0"/>
                <w:bCs w:val="0"/>
                <w:color w:val="auto"/>
                <w:spacing w:val="-6"/>
                <w:kern w:val="2"/>
                <w:sz w:val="24"/>
                <w:szCs w:val="24"/>
                <w:highlight w:val="none"/>
                <w:lang w:val="en-US" w:eastAsia="zh-CN" w:bidi="ar-SA"/>
              </w:rPr>
              <w:t>安全韧性</w:t>
            </w:r>
          </w:p>
        </w:tc>
        <w:tc>
          <w:tcPr>
            <w:tcW w:w="1243" w:type="pct"/>
            <w:shd w:val="clear" w:color="auto" w:fill="auto"/>
            <w:noWrap/>
            <w:vAlign w:val="center"/>
          </w:tcPr>
          <w:p w14:paraId="08AC2D48">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仿宋" w:hAnsi="仿宋" w:eastAsia="仿宋" w:cs="仿宋"/>
                <w:b w:val="0"/>
                <w:bCs w:val="0"/>
                <w:color w:val="auto"/>
                <w:spacing w:val="-6"/>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供电可靠率</w:t>
            </w:r>
          </w:p>
        </w:tc>
        <w:tc>
          <w:tcPr>
            <w:tcW w:w="471" w:type="pct"/>
            <w:shd w:val="clear" w:color="auto" w:fill="auto"/>
            <w:noWrap/>
            <w:vAlign w:val="center"/>
          </w:tcPr>
          <w:p w14:paraId="298087D1">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仿宋" w:hAnsi="仿宋" w:eastAsia="仿宋" w:cs="仿宋"/>
                <w:b w:val="0"/>
                <w:bCs w:val="0"/>
                <w:color w:val="auto"/>
                <w:spacing w:val="-6"/>
                <w:kern w:val="2"/>
                <w:sz w:val="24"/>
                <w:szCs w:val="24"/>
                <w:highlight w:val="none"/>
                <w:lang w:val="en-US" w:eastAsia="zh-CN" w:bidi="ar-SA"/>
              </w:rPr>
            </w:pPr>
            <w:r>
              <w:rPr>
                <w:rFonts w:hint="eastAsia" w:ascii="Times New Roman" w:hAnsi="Times New Roman" w:eastAsia="Times New Roman" w:cs="Times New Roman"/>
                <w:b w:val="0"/>
                <w:bCs w:val="0"/>
                <w:color w:val="auto"/>
                <w:sz w:val="24"/>
                <w:szCs w:val="24"/>
                <w:highlight w:val="none"/>
                <w:lang w:val="en-US" w:eastAsia="zh-CN"/>
              </w:rPr>
              <w:t>%</w:t>
            </w:r>
          </w:p>
        </w:tc>
        <w:tc>
          <w:tcPr>
            <w:tcW w:w="577" w:type="pct"/>
            <w:shd w:val="clear" w:color="auto" w:fill="auto"/>
            <w:vAlign w:val="center"/>
          </w:tcPr>
          <w:p w14:paraId="26B366EE">
            <w:pPr>
              <w:keepNext w:val="0"/>
              <w:keepLines w:val="0"/>
              <w:pageBreakBefore w:val="0"/>
              <w:widowControl/>
              <w:suppressLineNumbers w:val="0"/>
              <w:kinsoku/>
              <w:wordWrap/>
              <w:overflowPunct/>
              <w:topLinePunct w:val="0"/>
              <w:autoSpaceDE/>
              <w:autoSpaceDN/>
              <w:bidi w:val="0"/>
              <w:adjustRightInd/>
              <w:snapToGrid/>
              <w:spacing w:beforeLines="0" w:afterLines="0" w:line="240" w:lineRule="auto"/>
              <w:ind w:firstLine="0" w:firstLineChars="0"/>
              <w:jc w:val="center"/>
              <w:textAlignment w:val="center"/>
              <w:rPr>
                <w:rFonts w:hint="eastAsia" w:ascii="Times New Roman" w:hAnsi="Times New Roman" w:eastAsia="Times New Roman" w:cs="Times New Roman"/>
                <w:b w:val="0"/>
                <w:bCs w:val="0"/>
                <w:i w:val="0"/>
                <w:iCs w:val="0"/>
                <w:color w:val="auto"/>
                <w:spacing w:val="-6"/>
                <w:kern w:val="0"/>
                <w:sz w:val="24"/>
                <w:szCs w:val="24"/>
                <w:highlight w:val="none"/>
                <w:u w:val="none"/>
                <w:lang w:val="en-US" w:eastAsia="zh-CN" w:bidi="ar"/>
              </w:rPr>
            </w:pPr>
            <w:r>
              <w:rPr>
                <w:rFonts w:hint="eastAsia" w:ascii="Times New Roman" w:hAnsi="Times New Roman" w:eastAsia="Times New Roman" w:cs="Times New Roman"/>
                <w:b w:val="0"/>
                <w:bCs w:val="0"/>
                <w:i w:val="0"/>
                <w:iCs w:val="0"/>
                <w:color w:val="auto"/>
                <w:kern w:val="0"/>
                <w:sz w:val="24"/>
                <w:szCs w:val="24"/>
                <w:highlight w:val="none"/>
                <w:u w:val="none"/>
                <w:lang w:val="en-US" w:eastAsia="zh-CN" w:bidi="ar"/>
              </w:rPr>
              <w:t>99.9979</w:t>
            </w:r>
          </w:p>
        </w:tc>
        <w:tc>
          <w:tcPr>
            <w:tcW w:w="613" w:type="pct"/>
            <w:shd w:val="clear" w:color="auto" w:fill="auto"/>
            <w:vAlign w:val="center"/>
          </w:tcPr>
          <w:p w14:paraId="56532367">
            <w:pPr>
              <w:keepNext w:val="0"/>
              <w:keepLines w:val="0"/>
              <w:pageBreakBefore w:val="0"/>
              <w:widowControl/>
              <w:suppressLineNumbers w:val="0"/>
              <w:kinsoku/>
              <w:wordWrap/>
              <w:overflowPunct/>
              <w:topLinePunct w:val="0"/>
              <w:autoSpaceDE/>
              <w:autoSpaceDN/>
              <w:bidi w:val="0"/>
              <w:adjustRightInd/>
              <w:snapToGrid/>
              <w:spacing w:beforeLines="0" w:afterLines="0" w:line="240" w:lineRule="auto"/>
              <w:ind w:firstLine="0" w:firstLineChars="0"/>
              <w:jc w:val="center"/>
              <w:textAlignment w:val="center"/>
              <w:rPr>
                <w:rFonts w:hint="eastAsia" w:ascii="Times New Roman" w:hAnsi="Times New Roman" w:eastAsia="Times New Roman" w:cs="Times New Roman"/>
                <w:b w:val="0"/>
                <w:bCs w:val="0"/>
                <w:i w:val="0"/>
                <w:iCs w:val="0"/>
                <w:color w:val="auto"/>
                <w:spacing w:val="-6"/>
                <w:kern w:val="0"/>
                <w:sz w:val="24"/>
                <w:szCs w:val="24"/>
                <w:highlight w:val="none"/>
                <w:u w:val="none"/>
                <w:lang w:val="en-US" w:eastAsia="zh-CN" w:bidi="ar"/>
              </w:rPr>
            </w:pPr>
            <w:r>
              <w:rPr>
                <w:rFonts w:hint="eastAsia" w:ascii="Times New Roman" w:hAnsi="Times New Roman" w:eastAsia="Times New Roman" w:cs="Times New Roman"/>
                <w:b w:val="0"/>
                <w:bCs w:val="0"/>
                <w:i w:val="0"/>
                <w:iCs w:val="0"/>
                <w:color w:val="auto"/>
                <w:kern w:val="0"/>
                <w:sz w:val="24"/>
                <w:szCs w:val="24"/>
                <w:highlight w:val="none"/>
                <w:u w:val="none"/>
                <w:lang w:val="en-US" w:eastAsia="zh-CN" w:bidi="ar"/>
              </w:rPr>
              <w:t>99.9980</w:t>
            </w:r>
          </w:p>
        </w:tc>
        <w:tc>
          <w:tcPr>
            <w:tcW w:w="542" w:type="pct"/>
            <w:shd w:val="clear" w:color="auto" w:fill="auto"/>
            <w:vAlign w:val="center"/>
          </w:tcPr>
          <w:p w14:paraId="6093D763">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仿宋" w:hAnsi="仿宋" w:eastAsia="仿宋" w:cs="仿宋"/>
                <w:b w:val="0"/>
                <w:bCs w:val="0"/>
                <w:color w:val="auto"/>
                <w:spacing w:val="-6"/>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预期</w:t>
            </w:r>
            <w:r>
              <w:rPr>
                <w:rFonts w:hint="eastAsia" w:eastAsia="仿宋" w:cs="仿宋"/>
                <w:b w:val="0"/>
                <w:bCs w:val="0"/>
                <w:i w:val="0"/>
                <w:iCs w:val="0"/>
                <w:color w:val="auto"/>
                <w:kern w:val="0"/>
                <w:sz w:val="24"/>
                <w:szCs w:val="24"/>
                <w:highlight w:val="none"/>
                <w:u w:val="none"/>
                <w:lang w:val="en-US" w:eastAsia="zh-CN" w:bidi="ar"/>
              </w:rPr>
              <w:t>性</w:t>
            </w:r>
          </w:p>
        </w:tc>
        <w:tc>
          <w:tcPr>
            <w:tcW w:w="777" w:type="pct"/>
            <w:shd w:val="clear" w:color="auto" w:fill="auto"/>
            <w:vAlign w:val="center"/>
          </w:tcPr>
          <w:p w14:paraId="4B0292C8">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eastAsia="仿宋" w:cs="仿宋"/>
                <w:b w:val="0"/>
                <w:bCs w:val="0"/>
                <w:color w:val="auto"/>
                <w:sz w:val="24"/>
                <w:szCs w:val="24"/>
                <w:highlight w:val="none"/>
                <w:lang w:val="en-US" w:eastAsia="zh-CN"/>
              </w:rPr>
            </w:pPr>
            <w:r>
              <w:rPr>
                <w:rFonts w:hint="eastAsia" w:eastAsia="仿宋" w:cs="仿宋"/>
                <w:b w:val="0"/>
                <w:bCs w:val="0"/>
                <w:color w:val="auto"/>
                <w:sz w:val="24"/>
                <w:szCs w:val="24"/>
                <w:highlight w:val="none"/>
                <w:lang w:val="en-US" w:eastAsia="zh-CN"/>
              </w:rPr>
              <w:t>市级纲要</w:t>
            </w:r>
          </w:p>
        </w:tc>
      </w:tr>
      <w:tr w14:paraId="34EE3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tblHeader/>
        </w:trPr>
        <w:tc>
          <w:tcPr>
            <w:tcW w:w="300" w:type="pct"/>
            <w:shd w:val="clear" w:color="auto" w:fill="auto"/>
            <w:noWrap/>
            <w:vAlign w:val="center"/>
          </w:tcPr>
          <w:p w14:paraId="7F31B3DD">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default" w:ascii="Times New Roman" w:hAnsi="Times New Roman" w:eastAsia="Times New Roman" w:cs="Times New Roman"/>
                <w:b w:val="0"/>
                <w:bCs w:val="0"/>
                <w:color w:val="auto"/>
                <w:spacing w:val="-6"/>
                <w:kern w:val="2"/>
                <w:sz w:val="24"/>
                <w:szCs w:val="24"/>
                <w:highlight w:val="none"/>
                <w:lang w:val="en-US" w:eastAsia="zh-CN" w:bidi="ar-SA"/>
              </w:rPr>
            </w:pPr>
            <w:r>
              <w:rPr>
                <w:rFonts w:hint="eastAsia" w:ascii="Times New Roman" w:hAnsi="Times New Roman" w:eastAsia="Times New Roman" w:cs="Times New Roman"/>
                <w:b w:val="0"/>
                <w:bCs w:val="0"/>
                <w:color w:val="auto"/>
                <w:sz w:val="24"/>
                <w:szCs w:val="24"/>
                <w:highlight w:val="none"/>
                <w:lang w:val="en-US" w:eastAsia="zh-CN"/>
              </w:rPr>
              <w:t>13</w:t>
            </w:r>
          </w:p>
        </w:tc>
        <w:tc>
          <w:tcPr>
            <w:tcW w:w="473" w:type="pct"/>
            <w:vMerge w:val="continue"/>
            <w:shd w:val="clear" w:color="auto" w:fill="auto"/>
            <w:noWrap/>
            <w:vAlign w:val="center"/>
          </w:tcPr>
          <w:p w14:paraId="3B209852">
            <w:pPr>
              <w:pStyle w:val="2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firstLine="0" w:firstLineChars="0"/>
              <w:textAlignment w:val="baseline"/>
              <w:rPr>
                <w:rFonts w:hint="eastAsia" w:ascii="仿宋" w:hAnsi="仿宋" w:eastAsia="仿宋" w:cs="仿宋"/>
                <w:b w:val="0"/>
                <w:bCs w:val="0"/>
                <w:color w:val="auto"/>
                <w:spacing w:val="-6"/>
                <w:kern w:val="2"/>
                <w:sz w:val="24"/>
                <w:szCs w:val="24"/>
                <w:highlight w:val="none"/>
                <w:lang w:val="en-US" w:eastAsia="zh-CN" w:bidi="ar-SA"/>
              </w:rPr>
            </w:pPr>
          </w:p>
        </w:tc>
        <w:tc>
          <w:tcPr>
            <w:tcW w:w="1243" w:type="pct"/>
            <w:shd w:val="clear" w:color="auto" w:fill="auto"/>
            <w:noWrap/>
            <w:vAlign w:val="center"/>
          </w:tcPr>
          <w:p w14:paraId="1DDC5268">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仿宋" w:hAnsi="仿宋" w:eastAsia="仿宋" w:cs="仿宋"/>
                <w:b w:val="0"/>
                <w:bCs w:val="0"/>
                <w:color w:val="auto"/>
                <w:spacing w:val="-6"/>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更新改造老旧供热管线长度</w:t>
            </w:r>
          </w:p>
        </w:tc>
        <w:tc>
          <w:tcPr>
            <w:tcW w:w="471" w:type="pct"/>
            <w:shd w:val="clear" w:color="auto" w:fill="auto"/>
            <w:noWrap/>
            <w:vAlign w:val="center"/>
          </w:tcPr>
          <w:p w14:paraId="7779F7CC">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仿宋" w:hAnsi="仿宋" w:eastAsia="仿宋" w:cs="仿宋"/>
                <w:b w:val="0"/>
                <w:bCs w:val="0"/>
                <w:color w:val="auto"/>
                <w:spacing w:val="-6"/>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公里</w:t>
            </w:r>
          </w:p>
        </w:tc>
        <w:tc>
          <w:tcPr>
            <w:tcW w:w="577" w:type="pct"/>
            <w:shd w:val="clear" w:color="auto" w:fill="auto"/>
            <w:vAlign w:val="center"/>
          </w:tcPr>
          <w:p w14:paraId="30EC2D1E">
            <w:pPr>
              <w:keepNext w:val="0"/>
              <w:keepLines w:val="0"/>
              <w:pageBreakBefore w:val="0"/>
              <w:widowControl/>
              <w:suppressLineNumbers w:val="0"/>
              <w:kinsoku/>
              <w:wordWrap/>
              <w:overflowPunct/>
              <w:topLinePunct w:val="0"/>
              <w:autoSpaceDE/>
              <w:autoSpaceDN/>
              <w:bidi w:val="0"/>
              <w:adjustRightInd/>
              <w:snapToGrid/>
              <w:spacing w:beforeLines="0" w:afterLines="0" w:line="240" w:lineRule="auto"/>
              <w:ind w:firstLine="0" w:firstLineChars="0"/>
              <w:jc w:val="center"/>
              <w:textAlignment w:val="center"/>
              <w:rPr>
                <w:rFonts w:hint="eastAsia" w:ascii="Times New Roman" w:hAnsi="Times New Roman" w:eastAsia="Times New Roman" w:cs="Times New Roman"/>
                <w:b w:val="0"/>
                <w:bCs w:val="0"/>
                <w:i w:val="0"/>
                <w:iCs w:val="0"/>
                <w:color w:val="auto"/>
                <w:spacing w:val="-6"/>
                <w:kern w:val="0"/>
                <w:sz w:val="24"/>
                <w:szCs w:val="24"/>
                <w:highlight w:val="none"/>
                <w:u w:val="none"/>
                <w:lang w:val="en-US" w:eastAsia="zh-CN" w:bidi="ar"/>
              </w:rPr>
            </w:pPr>
            <w:r>
              <w:rPr>
                <w:rFonts w:hint="eastAsia" w:ascii="Times New Roman" w:hAnsi="Times New Roman" w:eastAsia="Times New Roman" w:cs="Times New Roman"/>
                <w:b w:val="0"/>
                <w:bCs w:val="0"/>
                <w:i w:val="0"/>
                <w:iCs w:val="0"/>
                <w:color w:val="auto"/>
                <w:kern w:val="0"/>
                <w:sz w:val="24"/>
                <w:szCs w:val="24"/>
                <w:highlight w:val="none"/>
                <w:u w:val="none"/>
                <w:lang w:val="en-US" w:eastAsia="zh-CN" w:bidi="ar"/>
              </w:rPr>
              <w:t>——</w:t>
            </w:r>
          </w:p>
        </w:tc>
        <w:tc>
          <w:tcPr>
            <w:tcW w:w="613" w:type="pct"/>
            <w:shd w:val="clear" w:color="auto" w:fill="auto"/>
            <w:vAlign w:val="center"/>
          </w:tcPr>
          <w:p w14:paraId="4B1744EA">
            <w:pPr>
              <w:keepNext w:val="0"/>
              <w:keepLines w:val="0"/>
              <w:pageBreakBefore w:val="0"/>
              <w:widowControl/>
              <w:suppressLineNumbers w:val="0"/>
              <w:kinsoku/>
              <w:wordWrap/>
              <w:overflowPunct/>
              <w:topLinePunct w:val="0"/>
              <w:autoSpaceDE/>
              <w:autoSpaceDN/>
              <w:bidi w:val="0"/>
              <w:adjustRightInd/>
              <w:snapToGrid/>
              <w:spacing w:beforeLines="0" w:afterLines="0" w:line="240" w:lineRule="auto"/>
              <w:ind w:firstLine="0" w:firstLineChars="0"/>
              <w:jc w:val="center"/>
              <w:textAlignment w:val="center"/>
              <w:rPr>
                <w:rFonts w:hint="eastAsia" w:ascii="Times New Roman" w:hAnsi="Times New Roman" w:eastAsia="Times New Roman" w:cs="Times New Roman"/>
                <w:b w:val="0"/>
                <w:bCs w:val="0"/>
                <w:i w:val="0"/>
                <w:iCs w:val="0"/>
                <w:color w:val="auto"/>
                <w:spacing w:val="-6"/>
                <w:kern w:val="0"/>
                <w:sz w:val="24"/>
                <w:szCs w:val="24"/>
                <w:highlight w:val="none"/>
                <w:u w:val="none"/>
                <w:lang w:val="en-US" w:eastAsia="zh-CN" w:bidi="ar"/>
              </w:rPr>
            </w:pPr>
            <w:r>
              <w:rPr>
                <w:rFonts w:hint="eastAsia" w:ascii="Times New Roman" w:hAnsi="Times New Roman" w:eastAsia="Times New Roman" w:cs="Times New Roman"/>
                <w:b w:val="0"/>
                <w:bCs w:val="0"/>
                <w:i w:val="0"/>
                <w:iCs w:val="0"/>
                <w:color w:val="auto"/>
                <w:kern w:val="0"/>
                <w:sz w:val="24"/>
                <w:szCs w:val="24"/>
                <w:highlight w:val="none"/>
                <w:u w:val="none"/>
                <w:lang w:val="en-US" w:eastAsia="zh-CN" w:bidi="ar"/>
              </w:rPr>
              <w:t>〔300〕</w:t>
            </w:r>
          </w:p>
        </w:tc>
        <w:tc>
          <w:tcPr>
            <w:tcW w:w="542" w:type="pct"/>
            <w:shd w:val="clear" w:color="auto" w:fill="auto"/>
            <w:vAlign w:val="center"/>
          </w:tcPr>
          <w:p w14:paraId="5E236A8E">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ascii="仿宋" w:hAnsi="仿宋" w:eastAsia="仿宋" w:cs="仿宋"/>
                <w:b w:val="0"/>
                <w:bCs w:val="0"/>
                <w:color w:val="auto"/>
                <w:spacing w:val="-6"/>
                <w:kern w:val="2"/>
                <w:sz w:val="24"/>
                <w:szCs w:val="24"/>
                <w:highlight w:val="none"/>
                <w:lang w:val="en-US" w:eastAsia="zh-CN" w:bidi="ar-SA"/>
              </w:rPr>
            </w:pPr>
            <w:r>
              <w:rPr>
                <w:rFonts w:hint="eastAsia" w:ascii="仿宋" w:hAnsi="仿宋" w:eastAsia="仿宋" w:cs="仿宋"/>
                <w:b w:val="0"/>
                <w:bCs w:val="0"/>
                <w:color w:val="auto"/>
                <w:spacing w:val="-6"/>
                <w:kern w:val="2"/>
                <w:sz w:val="24"/>
                <w:szCs w:val="24"/>
                <w:highlight w:val="none"/>
                <w:lang w:val="en-US" w:eastAsia="zh-CN" w:bidi="ar-SA"/>
              </w:rPr>
              <w:t>预期性</w:t>
            </w:r>
          </w:p>
        </w:tc>
        <w:tc>
          <w:tcPr>
            <w:tcW w:w="777" w:type="pct"/>
            <w:shd w:val="clear" w:color="auto" w:fill="auto"/>
            <w:vAlign w:val="center"/>
          </w:tcPr>
          <w:p w14:paraId="7B9251CE">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eastAsia="仿宋" w:cs="仿宋"/>
                <w:b w:val="0"/>
                <w:bCs w:val="0"/>
                <w:color w:val="auto"/>
                <w:sz w:val="24"/>
                <w:szCs w:val="24"/>
                <w:highlight w:val="none"/>
                <w:lang w:val="en-US" w:eastAsia="zh-CN"/>
              </w:rPr>
            </w:pPr>
            <w:r>
              <w:rPr>
                <w:rFonts w:hint="eastAsia" w:eastAsia="仿宋" w:cs="仿宋"/>
                <w:b w:val="0"/>
                <w:bCs w:val="0"/>
                <w:color w:val="auto"/>
                <w:sz w:val="24"/>
                <w:szCs w:val="24"/>
                <w:highlight w:val="none"/>
                <w:lang w:val="en-US" w:eastAsia="zh-CN"/>
              </w:rPr>
              <w:t>市级纲要</w:t>
            </w:r>
          </w:p>
        </w:tc>
      </w:tr>
      <w:tr w14:paraId="020AA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tblHeader/>
        </w:trPr>
        <w:tc>
          <w:tcPr>
            <w:tcW w:w="300" w:type="pct"/>
            <w:shd w:val="clear" w:color="auto" w:fill="auto"/>
            <w:noWrap/>
            <w:vAlign w:val="center"/>
          </w:tcPr>
          <w:p w14:paraId="740AF5A2">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default" w:ascii="Times New Roman" w:hAnsi="Times New Roman" w:eastAsia="Times New Roman" w:cs="Times New Roman"/>
                <w:b w:val="0"/>
                <w:bCs w:val="0"/>
                <w:color w:val="auto"/>
                <w:sz w:val="24"/>
                <w:szCs w:val="24"/>
                <w:highlight w:val="none"/>
                <w:lang w:val="en-US" w:eastAsia="zh-CN"/>
              </w:rPr>
            </w:pPr>
            <w:r>
              <w:rPr>
                <w:rFonts w:hint="eastAsia" w:ascii="Times New Roman" w:hAnsi="Times New Roman" w:eastAsia="Times New Roman" w:cs="Times New Roman"/>
                <w:b w:val="0"/>
                <w:bCs w:val="0"/>
                <w:color w:val="auto"/>
                <w:sz w:val="24"/>
                <w:szCs w:val="24"/>
                <w:highlight w:val="none"/>
                <w:lang w:val="en-US" w:eastAsia="zh-CN"/>
              </w:rPr>
              <w:t>14</w:t>
            </w:r>
          </w:p>
        </w:tc>
        <w:tc>
          <w:tcPr>
            <w:tcW w:w="473" w:type="pct"/>
            <w:vMerge w:val="continue"/>
            <w:shd w:val="clear" w:color="auto" w:fill="auto"/>
            <w:noWrap/>
            <w:vAlign w:val="center"/>
          </w:tcPr>
          <w:p w14:paraId="709B942E">
            <w:pPr>
              <w:pStyle w:val="2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firstLine="0" w:firstLineChars="0"/>
              <w:textAlignment w:val="baseline"/>
              <w:rPr>
                <w:rFonts w:hint="eastAsia" w:ascii="仿宋" w:hAnsi="仿宋" w:eastAsia="仿宋" w:cs="仿宋"/>
                <w:b w:val="0"/>
                <w:bCs w:val="0"/>
                <w:color w:val="auto"/>
                <w:spacing w:val="-6"/>
                <w:kern w:val="2"/>
                <w:sz w:val="24"/>
                <w:szCs w:val="24"/>
                <w:highlight w:val="none"/>
                <w:lang w:val="en-US" w:eastAsia="zh-CN" w:bidi="ar-SA"/>
              </w:rPr>
            </w:pPr>
          </w:p>
        </w:tc>
        <w:tc>
          <w:tcPr>
            <w:tcW w:w="1243" w:type="pct"/>
            <w:shd w:val="clear" w:color="auto" w:fill="auto"/>
            <w:noWrap/>
            <w:vAlign w:val="center"/>
          </w:tcPr>
          <w:p w14:paraId="30D06CC9">
            <w:pPr>
              <w:keepNext w:val="0"/>
              <w:keepLines w:val="0"/>
              <w:pageBreakBefore w:val="0"/>
              <w:widowControl/>
              <w:suppressLineNumbers w:val="0"/>
              <w:kinsoku/>
              <w:wordWrap/>
              <w:overflowPunct/>
              <w:topLinePunct w:val="0"/>
              <w:autoSpaceDE/>
              <w:autoSpaceDN/>
              <w:bidi w:val="0"/>
              <w:adjustRightInd/>
              <w:snapToGrid/>
              <w:spacing w:beforeLines="0" w:afterLines="0" w:line="240" w:lineRule="auto"/>
              <w:ind w:firstLine="0" w:firstLineChars="0"/>
              <w:jc w:val="center"/>
              <w:textAlignment w:val="center"/>
              <w:rPr>
                <w:rFonts w:hint="eastAsia" w:ascii="仿宋" w:hAnsi="仿宋" w:eastAsia="仿宋" w:cs="仿宋"/>
                <w:b w:val="0"/>
                <w:bCs w:val="0"/>
                <w:color w:val="auto"/>
                <w:sz w:val="24"/>
                <w:szCs w:val="24"/>
                <w:highlight w:val="none"/>
                <w:lang w:val="en-US" w:eastAsia="zh-CN"/>
              </w:rPr>
            </w:pPr>
            <w:r>
              <w:rPr>
                <w:rFonts w:hint="eastAsia" w:cs="仿宋"/>
                <w:b w:val="0"/>
                <w:bCs w:val="0"/>
                <w:i w:val="0"/>
                <w:iCs w:val="0"/>
                <w:color w:val="auto"/>
                <w:kern w:val="0"/>
                <w:sz w:val="24"/>
                <w:szCs w:val="24"/>
                <w:highlight w:val="none"/>
                <w:u w:val="none"/>
                <w:lang w:val="en-US" w:eastAsia="zh-CN" w:bidi="ar"/>
              </w:rPr>
              <w:t>建设加氢站</w:t>
            </w:r>
          </w:p>
        </w:tc>
        <w:tc>
          <w:tcPr>
            <w:tcW w:w="471" w:type="pct"/>
            <w:shd w:val="clear" w:color="auto" w:fill="auto"/>
            <w:noWrap/>
            <w:vAlign w:val="center"/>
          </w:tcPr>
          <w:p w14:paraId="30EF169A">
            <w:pPr>
              <w:keepNext w:val="0"/>
              <w:keepLines w:val="0"/>
              <w:pageBreakBefore w:val="0"/>
              <w:widowControl/>
              <w:suppressLineNumbers w:val="0"/>
              <w:kinsoku/>
              <w:wordWrap/>
              <w:overflowPunct/>
              <w:topLinePunct w:val="0"/>
              <w:autoSpaceDE/>
              <w:autoSpaceDN/>
              <w:bidi w:val="0"/>
              <w:adjustRightInd/>
              <w:snapToGrid/>
              <w:spacing w:beforeLines="0" w:afterLines="0" w:line="240" w:lineRule="auto"/>
              <w:ind w:firstLine="0" w:firstLineChars="0"/>
              <w:jc w:val="center"/>
              <w:textAlignment w:val="center"/>
              <w:rPr>
                <w:rFonts w:hint="eastAsia" w:ascii="仿宋" w:hAnsi="仿宋" w:eastAsia="仿宋" w:cs="仿宋"/>
                <w:b w:val="0"/>
                <w:bCs w:val="0"/>
                <w:color w:val="auto"/>
                <w:sz w:val="24"/>
                <w:szCs w:val="24"/>
                <w:highlight w:val="none"/>
                <w:lang w:val="en-US" w:eastAsia="zh-CN"/>
              </w:rPr>
            </w:pPr>
            <w:r>
              <w:rPr>
                <w:rFonts w:hint="eastAsia" w:cs="仿宋"/>
                <w:b w:val="0"/>
                <w:bCs w:val="0"/>
                <w:i w:val="0"/>
                <w:iCs w:val="0"/>
                <w:color w:val="auto"/>
                <w:spacing w:val="-6"/>
                <w:kern w:val="0"/>
                <w:sz w:val="24"/>
                <w:szCs w:val="24"/>
                <w:highlight w:val="none"/>
                <w:u w:val="none"/>
                <w:lang w:val="en-US" w:eastAsia="zh-CN" w:bidi="ar"/>
              </w:rPr>
              <w:t>座</w:t>
            </w:r>
          </w:p>
        </w:tc>
        <w:tc>
          <w:tcPr>
            <w:tcW w:w="577" w:type="pct"/>
            <w:shd w:val="clear" w:color="auto" w:fill="auto"/>
            <w:vAlign w:val="center"/>
          </w:tcPr>
          <w:p w14:paraId="5DC60E40">
            <w:pPr>
              <w:keepNext w:val="0"/>
              <w:keepLines w:val="0"/>
              <w:pageBreakBefore w:val="0"/>
              <w:widowControl/>
              <w:suppressLineNumbers w:val="0"/>
              <w:kinsoku/>
              <w:wordWrap/>
              <w:overflowPunct/>
              <w:topLinePunct w:val="0"/>
              <w:autoSpaceDE/>
              <w:autoSpaceDN/>
              <w:bidi w:val="0"/>
              <w:adjustRightInd/>
              <w:snapToGrid/>
              <w:spacing w:beforeLines="0" w:afterLines="0" w:line="240" w:lineRule="auto"/>
              <w:ind w:firstLine="0" w:firstLineChars="0"/>
              <w:jc w:val="center"/>
              <w:textAlignment w:val="center"/>
              <w:rPr>
                <w:rFonts w:hint="eastAsia" w:ascii="Times New Roman" w:hAnsi="Times New Roman" w:eastAsia="Times New Roman" w:cs="Times New Roman"/>
                <w:b w:val="0"/>
                <w:bCs w:val="0"/>
                <w:i w:val="0"/>
                <w:iCs w:val="0"/>
                <w:color w:val="auto"/>
                <w:kern w:val="0"/>
                <w:sz w:val="24"/>
                <w:szCs w:val="24"/>
                <w:highlight w:val="none"/>
                <w:u w:val="none"/>
                <w:lang w:val="en-US" w:eastAsia="zh-CN" w:bidi="ar"/>
              </w:rPr>
            </w:pPr>
            <w:r>
              <w:rPr>
                <w:rFonts w:hint="eastAsia" w:ascii="Times New Roman" w:hAnsi="Times New Roman" w:eastAsia="Times New Roman" w:cs="Times New Roman"/>
                <w:b w:val="0"/>
                <w:bCs w:val="0"/>
                <w:i w:val="0"/>
                <w:iCs w:val="0"/>
                <w:color w:val="auto"/>
                <w:spacing w:val="-6"/>
                <w:kern w:val="0"/>
                <w:sz w:val="24"/>
                <w:szCs w:val="24"/>
                <w:highlight w:val="none"/>
                <w:u w:val="none"/>
                <w:lang w:val="en-US" w:eastAsia="zh-CN" w:bidi="ar"/>
              </w:rPr>
              <w:t>0</w:t>
            </w:r>
          </w:p>
        </w:tc>
        <w:tc>
          <w:tcPr>
            <w:tcW w:w="613" w:type="pct"/>
            <w:shd w:val="clear" w:color="auto" w:fill="auto"/>
            <w:vAlign w:val="center"/>
          </w:tcPr>
          <w:p w14:paraId="6EB873C0">
            <w:pPr>
              <w:keepNext w:val="0"/>
              <w:keepLines w:val="0"/>
              <w:pageBreakBefore w:val="0"/>
              <w:widowControl/>
              <w:suppressLineNumbers w:val="0"/>
              <w:kinsoku/>
              <w:wordWrap/>
              <w:overflowPunct/>
              <w:topLinePunct w:val="0"/>
              <w:autoSpaceDE/>
              <w:autoSpaceDN/>
              <w:bidi w:val="0"/>
              <w:adjustRightInd/>
              <w:snapToGrid/>
              <w:spacing w:beforeLines="0" w:afterLines="0" w:line="240" w:lineRule="auto"/>
              <w:ind w:firstLine="0" w:firstLineChars="0"/>
              <w:jc w:val="center"/>
              <w:textAlignment w:val="center"/>
              <w:rPr>
                <w:rFonts w:hint="eastAsia" w:ascii="Times New Roman" w:hAnsi="Times New Roman" w:eastAsia="Times New Roman" w:cs="Times New Roman"/>
                <w:b w:val="0"/>
                <w:bCs w:val="0"/>
                <w:i w:val="0"/>
                <w:iCs w:val="0"/>
                <w:color w:val="auto"/>
                <w:kern w:val="0"/>
                <w:sz w:val="24"/>
                <w:szCs w:val="24"/>
                <w:highlight w:val="none"/>
                <w:u w:val="none"/>
                <w:lang w:val="en-US" w:eastAsia="zh-CN" w:bidi="ar"/>
              </w:rPr>
            </w:pPr>
            <w:r>
              <w:rPr>
                <w:rFonts w:hint="eastAsia" w:ascii="Times New Roman" w:hAnsi="Times New Roman" w:eastAsia="Times New Roman" w:cs="Times New Roman"/>
                <w:b w:val="0"/>
                <w:bCs w:val="0"/>
                <w:i w:val="0"/>
                <w:iCs w:val="0"/>
                <w:color w:val="auto"/>
                <w:spacing w:val="-6"/>
                <w:kern w:val="0"/>
                <w:sz w:val="24"/>
                <w:szCs w:val="24"/>
                <w:highlight w:val="none"/>
                <w:u w:val="none"/>
                <w:lang w:val="en-US" w:eastAsia="zh-CN" w:bidi="ar"/>
              </w:rPr>
              <w:t>1</w:t>
            </w:r>
          </w:p>
        </w:tc>
        <w:tc>
          <w:tcPr>
            <w:tcW w:w="542" w:type="pct"/>
            <w:shd w:val="clear" w:color="auto" w:fill="auto"/>
            <w:vAlign w:val="center"/>
          </w:tcPr>
          <w:p w14:paraId="56C31E6A">
            <w:pPr>
              <w:keepNext w:val="0"/>
              <w:keepLines w:val="0"/>
              <w:pageBreakBefore w:val="0"/>
              <w:widowControl/>
              <w:suppressLineNumbers w:val="0"/>
              <w:kinsoku/>
              <w:wordWrap/>
              <w:overflowPunct/>
              <w:topLinePunct w:val="0"/>
              <w:autoSpaceDE/>
              <w:autoSpaceDN/>
              <w:bidi w:val="0"/>
              <w:adjustRightInd/>
              <w:snapToGrid/>
              <w:spacing w:beforeLines="0" w:afterLines="0" w:line="240" w:lineRule="auto"/>
              <w:ind w:firstLine="0" w:firstLineChars="0"/>
              <w:jc w:val="center"/>
              <w:textAlignment w:val="center"/>
              <w:rPr>
                <w:rFonts w:hint="eastAsia" w:ascii="仿宋" w:hAnsi="仿宋" w:eastAsia="仿宋" w:cs="仿宋"/>
                <w:b w:val="0"/>
                <w:bCs w:val="0"/>
                <w:color w:val="auto"/>
                <w:spacing w:val="-6"/>
                <w:kern w:val="2"/>
                <w:sz w:val="24"/>
                <w:szCs w:val="24"/>
                <w:highlight w:val="none"/>
                <w:lang w:val="en-US" w:eastAsia="zh-CN" w:bidi="ar-SA"/>
              </w:rPr>
            </w:pPr>
            <w:r>
              <w:rPr>
                <w:rFonts w:hint="eastAsia" w:cs="仿宋"/>
                <w:b w:val="0"/>
                <w:bCs w:val="0"/>
                <w:i w:val="0"/>
                <w:iCs w:val="0"/>
                <w:color w:val="auto"/>
                <w:kern w:val="0"/>
                <w:sz w:val="24"/>
                <w:szCs w:val="24"/>
                <w:highlight w:val="none"/>
                <w:u w:val="none"/>
                <w:lang w:val="en-US" w:eastAsia="zh-CN" w:bidi="ar"/>
              </w:rPr>
              <w:t>预期</w:t>
            </w:r>
            <w:r>
              <w:rPr>
                <w:rFonts w:hint="eastAsia" w:eastAsia="仿宋" w:cs="仿宋"/>
                <w:b w:val="0"/>
                <w:bCs w:val="0"/>
                <w:i w:val="0"/>
                <w:iCs w:val="0"/>
                <w:color w:val="auto"/>
                <w:kern w:val="0"/>
                <w:sz w:val="24"/>
                <w:szCs w:val="24"/>
                <w:highlight w:val="none"/>
                <w:u w:val="none"/>
                <w:lang w:val="en-US" w:eastAsia="zh-CN" w:bidi="ar"/>
              </w:rPr>
              <w:t>性</w:t>
            </w:r>
          </w:p>
        </w:tc>
        <w:tc>
          <w:tcPr>
            <w:tcW w:w="777" w:type="pct"/>
            <w:shd w:val="clear" w:color="auto" w:fill="auto"/>
            <w:vAlign w:val="center"/>
          </w:tcPr>
          <w:p w14:paraId="27DA2EE6">
            <w:pPr>
              <w:keepNext w:val="0"/>
              <w:keepLines w:val="0"/>
              <w:pageBreakBefore w:val="0"/>
              <w:widowControl/>
              <w:suppressLineNumbers w:val="0"/>
              <w:kinsoku/>
              <w:wordWrap/>
              <w:overflowPunct/>
              <w:topLinePunct w:val="0"/>
              <w:autoSpaceDE/>
              <w:autoSpaceDN/>
              <w:bidi w:val="0"/>
              <w:adjustRightInd/>
              <w:snapToGrid/>
              <w:spacing w:beforeLines="0" w:afterLines="0" w:line="240" w:lineRule="auto"/>
              <w:ind w:firstLine="0" w:firstLineChars="0"/>
              <w:jc w:val="center"/>
              <w:textAlignment w:val="center"/>
              <w:rPr>
                <w:rFonts w:hint="eastAsia" w:eastAsia="仿宋" w:cs="仿宋"/>
                <w:b w:val="0"/>
                <w:bCs w:val="0"/>
                <w:color w:val="auto"/>
                <w:sz w:val="24"/>
                <w:szCs w:val="24"/>
                <w:highlight w:val="none"/>
                <w:lang w:val="en-US" w:eastAsia="zh-CN"/>
              </w:rPr>
            </w:pPr>
            <w:r>
              <w:rPr>
                <w:rFonts w:hint="eastAsia" w:ascii="仿宋" w:hAnsi="仿宋" w:eastAsia="仿宋" w:cs="仿宋"/>
                <w:b w:val="0"/>
                <w:bCs w:val="0"/>
                <w:i w:val="0"/>
                <w:iCs w:val="0"/>
                <w:color w:val="auto"/>
                <w:kern w:val="0"/>
                <w:sz w:val="24"/>
                <w:szCs w:val="24"/>
                <w:highlight w:val="none"/>
                <w:u w:val="none"/>
                <w:lang w:val="en-US" w:eastAsia="zh-CN" w:bidi="ar"/>
              </w:rPr>
              <w:t>市级城管规划</w:t>
            </w:r>
          </w:p>
        </w:tc>
      </w:tr>
      <w:tr w14:paraId="5993F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trPr>
        <w:tc>
          <w:tcPr>
            <w:tcW w:w="300" w:type="pct"/>
            <w:shd w:val="clear" w:color="auto" w:fill="auto"/>
            <w:noWrap/>
            <w:vAlign w:val="center"/>
          </w:tcPr>
          <w:p w14:paraId="000D2591">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default" w:ascii="Times New Roman" w:hAnsi="Times New Roman" w:eastAsia="Times New Roman" w:cs="Times New Roman"/>
                <w:b w:val="0"/>
                <w:bCs w:val="0"/>
                <w:color w:val="auto"/>
                <w:sz w:val="24"/>
                <w:szCs w:val="24"/>
                <w:highlight w:val="none"/>
                <w:lang w:val="en-US" w:eastAsia="zh-CN"/>
              </w:rPr>
            </w:pPr>
            <w:r>
              <w:rPr>
                <w:rFonts w:hint="eastAsia" w:ascii="Times New Roman" w:hAnsi="Times New Roman" w:eastAsia="Times New Roman" w:cs="Times New Roman"/>
                <w:b w:val="0"/>
                <w:bCs w:val="0"/>
                <w:color w:val="auto"/>
                <w:sz w:val="24"/>
                <w:szCs w:val="24"/>
                <w:highlight w:val="none"/>
                <w:lang w:val="en-US" w:eastAsia="zh-CN"/>
              </w:rPr>
              <w:t>15</w:t>
            </w:r>
          </w:p>
        </w:tc>
        <w:tc>
          <w:tcPr>
            <w:tcW w:w="473" w:type="pct"/>
            <w:vMerge w:val="restart"/>
            <w:shd w:val="clear" w:color="auto" w:fill="auto"/>
            <w:noWrap/>
            <w:vAlign w:val="center"/>
          </w:tcPr>
          <w:p w14:paraId="0159A017">
            <w:pPr>
              <w:pStyle w:val="2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firstLine="0" w:firstLineChars="0"/>
              <w:textAlignment w:val="baseline"/>
              <w:rPr>
                <w:rFonts w:hint="default" w:ascii="仿宋" w:hAnsi="仿宋" w:eastAsia="仿宋" w:cs="仿宋"/>
                <w:b w:val="0"/>
                <w:bCs w:val="0"/>
                <w:color w:val="auto"/>
                <w:spacing w:val="-6"/>
                <w:kern w:val="2"/>
                <w:sz w:val="24"/>
                <w:szCs w:val="24"/>
                <w:highlight w:val="none"/>
                <w:lang w:val="en-US" w:eastAsia="zh-CN" w:bidi="ar-SA"/>
              </w:rPr>
            </w:pPr>
            <w:r>
              <w:rPr>
                <w:rFonts w:hint="eastAsia" w:eastAsia="仿宋" w:cs="仿宋"/>
                <w:b w:val="0"/>
                <w:bCs w:val="0"/>
                <w:color w:val="auto"/>
                <w:spacing w:val="-6"/>
                <w:kern w:val="2"/>
                <w:sz w:val="24"/>
                <w:szCs w:val="24"/>
                <w:highlight w:val="none"/>
                <w:lang w:val="en-US" w:eastAsia="zh-CN" w:bidi="ar-SA"/>
              </w:rPr>
              <w:t>智慧创新</w:t>
            </w:r>
          </w:p>
        </w:tc>
        <w:tc>
          <w:tcPr>
            <w:tcW w:w="1243" w:type="pct"/>
            <w:shd w:val="clear" w:color="auto" w:fill="auto"/>
            <w:noWrap/>
            <w:vAlign w:val="center"/>
          </w:tcPr>
          <w:p w14:paraId="374D08C7">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cs="仿宋"/>
                <w:b w:val="0"/>
                <w:bCs w:val="0"/>
                <w:i w:val="0"/>
                <w:iCs w:val="0"/>
                <w:color w:val="auto"/>
                <w:kern w:val="0"/>
                <w:sz w:val="24"/>
                <w:szCs w:val="24"/>
                <w:highlight w:val="none"/>
                <w:u w:val="none"/>
                <w:lang w:val="en-US" w:eastAsia="zh-CN" w:bidi="ar"/>
              </w:rPr>
            </w:pPr>
            <w:r>
              <w:rPr>
                <w:rFonts w:hint="eastAsia" w:ascii="仿宋" w:hAnsi="仿宋" w:eastAsia="仿宋" w:cs="仿宋"/>
                <w:b w:val="0"/>
                <w:bCs w:val="0"/>
                <w:color w:val="auto"/>
                <w:sz w:val="24"/>
                <w:szCs w:val="24"/>
                <w:highlight w:val="none"/>
                <w:lang w:val="en-US" w:eastAsia="zh-CN"/>
              </w:rPr>
              <w:t>既有建筑</w:t>
            </w:r>
            <w:r>
              <w:rPr>
                <w:rFonts w:hint="eastAsia" w:eastAsia="仿宋" w:cs="仿宋"/>
                <w:b w:val="0"/>
                <w:bCs w:val="0"/>
                <w:color w:val="auto"/>
                <w:sz w:val="24"/>
                <w:szCs w:val="24"/>
                <w:highlight w:val="none"/>
                <w:lang w:val="en-US" w:eastAsia="zh-CN"/>
              </w:rPr>
              <w:t>供热系统</w:t>
            </w:r>
            <w:r>
              <w:rPr>
                <w:rFonts w:hint="eastAsia" w:ascii="仿宋" w:hAnsi="仿宋" w:eastAsia="仿宋" w:cs="仿宋"/>
                <w:b w:val="0"/>
                <w:bCs w:val="0"/>
                <w:color w:val="auto"/>
                <w:sz w:val="24"/>
                <w:szCs w:val="24"/>
                <w:highlight w:val="none"/>
                <w:lang w:val="en-US" w:eastAsia="zh-CN"/>
              </w:rPr>
              <w:t>智能化改造面积</w:t>
            </w:r>
          </w:p>
        </w:tc>
        <w:tc>
          <w:tcPr>
            <w:tcW w:w="471" w:type="pct"/>
            <w:shd w:val="clear" w:color="auto" w:fill="auto"/>
            <w:noWrap/>
            <w:vAlign w:val="center"/>
          </w:tcPr>
          <w:p w14:paraId="348F178D">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cs="仿宋"/>
                <w:b w:val="0"/>
                <w:bCs w:val="0"/>
                <w:i w:val="0"/>
                <w:iCs w:val="0"/>
                <w:color w:val="auto"/>
                <w:spacing w:val="-6"/>
                <w:kern w:val="0"/>
                <w:sz w:val="24"/>
                <w:szCs w:val="24"/>
                <w:highlight w:val="none"/>
                <w:u w:val="none"/>
                <w:lang w:val="en-US" w:eastAsia="zh-CN" w:bidi="ar"/>
              </w:rPr>
            </w:pPr>
            <w:r>
              <w:rPr>
                <w:rFonts w:hint="eastAsia" w:ascii="仿宋" w:hAnsi="仿宋" w:eastAsia="仿宋" w:cs="仿宋"/>
                <w:b w:val="0"/>
                <w:bCs w:val="0"/>
                <w:color w:val="auto"/>
                <w:sz w:val="24"/>
                <w:szCs w:val="24"/>
                <w:highlight w:val="none"/>
                <w:lang w:val="en-US" w:eastAsia="zh-CN"/>
              </w:rPr>
              <w:t>万平方米</w:t>
            </w:r>
          </w:p>
        </w:tc>
        <w:tc>
          <w:tcPr>
            <w:tcW w:w="577" w:type="pct"/>
            <w:shd w:val="clear" w:color="auto" w:fill="auto"/>
            <w:vAlign w:val="center"/>
          </w:tcPr>
          <w:p w14:paraId="0389ACFA">
            <w:pPr>
              <w:keepNext w:val="0"/>
              <w:keepLines w:val="0"/>
              <w:pageBreakBefore w:val="0"/>
              <w:widowControl/>
              <w:suppressLineNumbers w:val="0"/>
              <w:kinsoku/>
              <w:wordWrap/>
              <w:overflowPunct/>
              <w:topLinePunct w:val="0"/>
              <w:autoSpaceDE/>
              <w:autoSpaceDN/>
              <w:bidi w:val="0"/>
              <w:adjustRightInd/>
              <w:snapToGrid/>
              <w:spacing w:beforeLines="0" w:afterLines="0" w:line="240" w:lineRule="auto"/>
              <w:ind w:firstLine="0" w:firstLineChars="0"/>
              <w:jc w:val="center"/>
              <w:textAlignment w:val="center"/>
              <w:rPr>
                <w:rFonts w:hint="eastAsia" w:ascii="Times New Roman" w:hAnsi="Times New Roman" w:eastAsia="Times New Roman" w:cs="Times New Roman"/>
                <w:b w:val="0"/>
                <w:bCs w:val="0"/>
                <w:i w:val="0"/>
                <w:iCs w:val="0"/>
                <w:color w:val="auto"/>
                <w:spacing w:val="-6"/>
                <w:kern w:val="0"/>
                <w:sz w:val="24"/>
                <w:szCs w:val="24"/>
                <w:highlight w:val="none"/>
                <w:u w:val="none"/>
                <w:lang w:val="en-US" w:eastAsia="zh-CN" w:bidi="ar"/>
              </w:rPr>
            </w:pPr>
            <w:r>
              <w:rPr>
                <w:rFonts w:hint="eastAsia" w:ascii="Times New Roman" w:hAnsi="Times New Roman" w:eastAsia="Times New Roman" w:cs="Times New Roman"/>
                <w:b w:val="0"/>
                <w:bCs w:val="0"/>
                <w:i w:val="0"/>
                <w:iCs w:val="0"/>
                <w:color w:val="auto"/>
                <w:kern w:val="0"/>
                <w:sz w:val="24"/>
                <w:szCs w:val="24"/>
                <w:highlight w:val="none"/>
                <w:u w:val="none"/>
                <w:lang w:val="en-US" w:eastAsia="zh-CN" w:bidi="ar"/>
              </w:rPr>
              <w:t>——</w:t>
            </w:r>
          </w:p>
        </w:tc>
        <w:tc>
          <w:tcPr>
            <w:tcW w:w="613" w:type="pct"/>
            <w:shd w:val="clear" w:color="auto" w:fill="auto"/>
            <w:vAlign w:val="center"/>
          </w:tcPr>
          <w:p w14:paraId="5CE233C1">
            <w:pPr>
              <w:keepNext w:val="0"/>
              <w:keepLines w:val="0"/>
              <w:pageBreakBefore w:val="0"/>
              <w:widowControl/>
              <w:suppressLineNumbers w:val="0"/>
              <w:kinsoku/>
              <w:wordWrap/>
              <w:overflowPunct/>
              <w:topLinePunct w:val="0"/>
              <w:autoSpaceDE/>
              <w:autoSpaceDN/>
              <w:bidi w:val="0"/>
              <w:adjustRightInd/>
              <w:snapToGrid/>
              <w:spacing w:beforeLines="0" w:afterLines="0" w:line="240" w:lineRule="auto"/>
              <w:ind w:firstLine="0" w:firstLineChars="0"/>
              <w:jc w:val="center"/>
              <w:textAlignment w:val="center"/>
              <w:rPr>
                <w:rFonts w:hint="eastAsia" w:ascii="Times New Roman" w:hAnsi="Times New Roman" w:eastAsia="Times New Roman" w:cs="Times New Roman"/>
                <w:b w:val="0"/>
                <w:bCs w:val="0"/>
                <w:i w:val="0"/>
                <w:iCs w:val="0"/>
                <w:color w:val="auto"/>
                <w:spacing w:val="-6"/>
                <w:kern w:val="0"/>
                <w:sz w:val="24"/>
                <w:szCs w:val="24"/>
                <w:highlight w:val="none"/>
                <w:u w:val="none"/>
                <w:lang w:val="en-US" w:eastAsia="zh-CN" w:bidi="ar"/>
              </w:rPr>
            </w:pPr>
            <w:r>
              <w:rPr>
                <w:rFonts w:hint="eastAsia" w:ascii="Times New Roman" w:hAnsi="Times New Roman" w:eastAsia="Times New Roman" w:cs="Times New Roman"/>
                <w:b w:val="0"/>
                <w:bCs w:val="0"/>
                <w:i w:val="0"/>
                <w:iCs w:val="0"/>
                <w:color w:val="auto"/>
                <w:kern w:val="0"/>
                <w:sz w:val="24"/>
                <w:szCs w:val="24"/>
                <w:highlight w:val="none"/>
                <w:u w:val="none"/>
                <w:lang w:val="en-US" w:eastAsia="zh-CN" w:bidi="ar"/>
              </w:rPr>
              <w:t>〔500〕</w:t>
            </w:r>
          </w:p>
        </w:tc>
        <w:tc>
          <w:tcPr>
            <w:tcW w:w="542" w:type="pct"/>
            <w:shd w:val="clear" w:color="auto" w:fill="auto"/>
            <w:vAlign w:val="center"/>
          </w:tcPr>
          <w:p w14:paraId="313CEC52">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eastAsia" w:cs="仿宋"/>
                <w:b w:val="0"/>
                <w:bCs w:val="0"/>
                <w:i w:val="0"/>
                <w:iCs w:val="0"/>
                <w:color w:val="auto"/>
                <w:kern w:val="0"/>
                <w:sz w:val="24"/>
                <w:szCs w:val="24"/>
                <w:highlight w:val="none"/>
                <w:u w:val="none"/>
                <w:lang w:val="en-US" w:eastAsia="zh-CN" w:bidi="ar"/>
              </w:rPr>
            </w:pPr>
            <w:r>
              <w:rPr>
                <w:rFonts w:hint="eastAsia" w:ascii="仿宋" w:hAnsi="仿宋" w:eastAsia="仿宋" w:cs="仿宋"/>
                <w:b w:val="0"/>
                <w:bCs w:val="0"/>
                <w:color w:val="auto"/>
                <w:sz w:val="24"/>
                <w:szCs w:val="24"/>
                <w:highlight w:val="none"/>
                <w:lang w:val="en-US" w:eastAsia="zh-CN"/>
              </w:rPr>
              <w:t>约束</w:t>
            </w:r>
            <w:r>
              <w:rPr>
                <w:rFonts w:hint="eastAsia" w:eastAsia="仿宋" w:cs="仿宋"/>
                <w:b w:val="0"/>
                <w:bCs w:val="0"/>
                <w:i w:val="0"/>
                <w:iCs w:val="0"/>
                <w:color w:val="auto"/>
                <w:kern w:val="0"/>
                <w:sz w:val="24"/>
                <w:szCs w:val="24"/>
                <w:highlight w:val="none"/>
                <w:u w:val="none"/>
                <w:lang w:val="en-US" w:eastAsia="zh-CN" w:bidi="ar"/>
              </w:rPr>
              <w:t>性</w:t>
            </w:r>
          </w:p>
        </w:tc>
        <w:tc>
          <w:tcPr>
            <w:tcW w:w="777" w:type="pct"/>
            <w:shd w:val="clear" w:color="auto" w:fill="auto"/>
            <w:vAlign w:val="center"/>
          </w:tcPr>
          <w:p w14:paraId="198BB59A">
            <w:pPr>
              <w:keepNext w:val="0"/>
              <w:keepLines w:val="0"/>
              <w:pageBreakBefore w:val="0"/>
              <w:widowControl/>
              <w:suppressLineNumbers w:val="0"/>
              <w:kinsoku/>
              <w:wordWrap/>
              <w:overflowPunct/>
              <w:topLinePunct w:val="0"/>
              <w:autoSpaceDE/>
              <w:autoSpaceDN/>
              <w:bidi w:val="0"/>
              <w:adjustRightInd/>
              <w:snapToGrid/>
              <w:spacing w:beforeLines="0" w:afterLines="0" w:line="240" w:lineRule="auto"/>
              <w:ind w:firstLine="0" w:firstLineChars="0"/>
              <w:jc w:val="center"/>
              <w:textAlignment w:val="center"/>
              <w:rPr>
                <w:rFonts w:hint="eastAsia" w:ascii="仿宋" w:hAnsi="仿宋" w:eastAsia="仿宋" w:cs="仿宋"/>
                <w:b w:val="0"/>
                <w:bCs w:val="0"/>
                <w:i w:val="0"/>
                <w:iCs w:val="0"/>
                <w:color w:val="auto"/>
                <w:kern w:val="0"/>
                <w:sz w:val="24"/>
                <w:szCs w:val="24"/>
                <w:highlight w:val="none"/>
                <w:u w:val="none"/>
                <w:lang w:val="en-US" w:eastAsia="zh-CN" w:bidi="ar"/>
              </w:rPr>
            </w:pPr>
            <w:r>
              <w:rPr>
                <w:rFonts w:hint="eastAsia" w:cs="仿宋"/>
                <w:b w:val="0"/>
                <w:bCs w:val="0"/>
                <w:i w:val="0"/>
                <w:iCs w:val="0"/>
                <w:color w:val="auto"/>
                <w:kern w:val="0"/>
                <w:sz w:val="24"/>
                <w:szCs w:val="24"/>
                <w:highlight w:val="none"/>
                <w:u w:val="none"/>
                <w:lang w:val="en-US" w:eastAsia="zh-CN" w:bidi="ar"/>
              </w:rPr>
              <w:t>市级纲要</w:t>
            </w:r>
          </w:p>
        </w:tc>
      </w:tr>
      <w:tr w14:paraId="3A417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tblHeader/>
        </w:trPr>
        <w:tc>
          <w:tcPr>
            <w:tcW w:w="300" w:type="pct"/>
            <w:shd w:val="clear" w:color="auto" w:fill="auto"/>
            <w:noWrap/>
            <w:vAlign w:val="center"/>
          </w:tcPr>
          <w:p w14:paraId="7D056E24">
            <w:pPr>
              <w:pStyle w:val="29"/>
              <w:keepNext w:val="0"/>
              <w:keepLines w:val="0"/>
              <w:pageBreakBefore w:val="0"/>
              <w:widowControl w:val="0"/>
              <w:kinsoku/>
              <w:wordWrap/>
              <w:overflowPunct/>
              <w:topLinePunct w:val="0"/>
              <w:autoSpaceDE/>
              <w:autoSpaceDN/>
              <w:bidi w:val="0"/>
              <w:adjustRightInd/>
              <w:snapToGrid/>
              <w:spacing w:beforeLines="0" w:after="0" w:afterLines="0" w:line="240" w:lineRule="auto"/>
              <w:ind w:firstLine="0" w:firstLineChars="0"/>
              <w:textAlignment w:val="baseline"/>
              <w:rPr>
                <w:rFonts w:hint="default" w:ascii="Times New Roman" w:hAnsi="Times New Roman" w:eastAsia="Times New Roman" w:cs="Times New Roman"/>
                <w:b w:val="0"/>
                <w:bCs w:val="0"/>
                <w:color w:val="auto"/>
                <w:sz w:val="24"/>
                <w:szCs w:val="24"/>
                <w:highlight w:val="none"/>
                <w:lang w:val="en-US" w:eastAsia="zh-CN"/>
              </w:rPr>
            </w:pPr>
            <w:r>
              <w:rPr>
                <w:rFonts w:hint="eastAsia" w:ascii="Times New Roman" w:hAnsi="Times New Roman" w:eastAsia="Times New Roman" w:cs="Times New Roman"/>
                <w:b w:val="0"/>
                <w:bCs w:val="0"/>
                <w:color w:val="auto"/>
                <w:sz w:val="24"/>
                <w:szCs w:val="24"/>
                <w:highlight w:val="none"/>
                <w:lang w:val="en-US" w:eastAsia="zh-CN"/>
              </w:rPr>
              <w:t>16</w:t>
            </w:r>
          </w:p>
        </w:tc>
        <w:tc>
          <w:tcPr>
            <w:tcW w:w="473" w:type="pct"/>
            <w:vMerge w:val="continue"/>
            <w:shd w:val="clear" w:color="auto" w:fill="auto"/>
            <w:noWrap/>
            <w:vAlign w:val="center"/>
          </w:tcPr>
          <w:p w14:paraId="466869E2">
            <w:pPr>
              <w:pStyle w:val="2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firstLine="0" w:firstLineChars="0"/>
              <w:textAlignment w:val="baseline"/>
              <w:rPr>
                <w:rFonts w:hint="eastAsia" w:ascii="仿宋" w:hAnsi="仿宋" w:eastAsia="仿宋" w:cs="仿宋"/>
                <w:b w:val="0"/>
                <w:bCs w:val="0"/>
                <w:color w:val="auto"/>
                <w:spacing w:val="-6"/>
                <w:kern w:val="2"/>
                <w:sz w:val="24"/>
                <w:szCs w:val="24"/>
                <w:highlight w:val="none"/>
                <w:lang w:val="en-US" w:eastAsia="zh-CN" w:bidi="ar-SA"/>
              </w:rPr>
            </w:pPr>
          </w:p>
        </w:tc>
        <w:tc>
          <w:tcPr>
            <w:tcW w:w="1243" w:type="pct"/>
            <w:shd w:val="clear" w:color="auto" w:fill="auto"/>
            <w:noWrap/>
            <w:vAlign w:val="center"/>
          </w:tcPr>
          <w:p w14:paraId="5E528058">
            <w:pPr>
              <w:keepNext w:val="0"/>
              <w:keepLines w:val="0"/>
              <w:pageBreakBefore w:val="0"/>
              <w:widowControl/>
              <w:suppressLineNumbers w:val="0"/>
              <w:kinsoku/>
              <w:wordWrap/>
              <w:overflowPunct/>
              <w:topLinePunct w:val="0"/>
              <w:autoSpaceDE/>
              <w:autoSpaceDN/>
              <w:bidi w:val="0"/>
              <w:adjustRightInd/>
              <w:snapToGrid/>
              <w:spacing w:beforeLines="0" w:afterLines="0" w:line="240" w:lineRule="auto"/>
              <w:ind w:firstLine="0" w:firstLineChars="0"/>
              <w:jc w:val="center"/>
              <w:textAlignment w:val="center"/>
              <w:rPr>
                <w:rFonts w:hint="eastAsia" w:cs="仿宋"/>
                <w:b w:val="0"/>
                <w:bCs w:val="0"/>
                <w:i w:val="0"/>
                <w:iCs w:val="0"/>
                <w:color w:val="auto"/>
                <w:kern w:val="0"/>
                <w:sz w:val="24"/>
                <w:szCs w:val="24"/>
                <w:highlight w:val="none"/>
                <w:u w:val="none"/>
                <w:lang w:val="en-US" w:eastAsia="zh-CN" w:bidi="ar"/>
              </w:rPr>
            </w:pPr>
            <w:r>
              <w:rPr>
                <w:rFonts w:hint="eastAsia" w:cs="仿宋"/>
                <w:b w:val="0"/>
                <w:bCs w:val="0"/>
                <w:i w:val="0"/>
                <w:iCs w:val="0"/>
                <w:color w:val="auto"/>
                <w:kern w:val="0"/>
                <w:sz w:val="24"/>
                <w:szCs w:val="24"/>
                <w:highlight w:val="none"/>
                <w:u w:val="none"/>
                <w:lang w:val="en-US" w:eastAsia="zh-CN" w:bidi="ar"/>
              </w:rPr>
              <w:t>城市管理网格问题办结</w:t>
            </w:r>
            <w:r>
              <w:rPr>
                <w:rFonts w:hint="eastAsia" w:ascii="仿宋" w:hAnsi="仿宋" w:eastAsia="仿宋" w:cs="仿宋"/>
                <w:b w:val="0"/>
                <w:bCs w:val="0"/>
                <w:i w:val="0"/>
                <w:iCs w:val="0"/>
                <w:color w:val="auto"/>
                <w:kern w:val="0"/>
                <w:sz w:val="24"/>
                <w:szCs w:val="24"/>
                <w:highlight w:val="none"/>
                <w:u w:val="none"/>
                <w:lang w:val="en-US" w:eastAsia="zh-CN" w:bidi="ar"/>
              </w:rPr>
              <w:t>率</w:t>
            </w:r>
          </w:p>
        </w:tc>
        <w:tc>
          <w:tcPr>
            <w:tcW w:w="471" w:type="pct"/>
            <w:shd w:val="clear" w:color="auto" w:fill="auto"/>
            <w:noWrap/>
            <w:vAlign w:val="center"/>
          </w:tcPr>
          <w:p w14:paraId="0EB74634">
            <w:pPr>
              <w:keepNext w:val="0"/>
              <w:keepLines w:val="0"/>
              <w:pageBreakBefore w:val="0"/>
              <w:widowControl/>
              <w:suppressLineNumbers w:val="0"/>
              <w:kinsoku/>
              <w:wordWrap/>
              <w:overflowPunct/>
              <w:topLinePunct w:val="0"/>
              <w:autoSpaceDE/>
              <w:autoSpaceDN/>
              <w:bidi w:val="0"/>
              <w:adjustRightInd/>
              <w:snapToGrid/>
              <w:spacing w:beforeLines="0" w:afterLines="0" w:line="240" w:lineRule="auto"/>
              <w:ind w:firstLine="0" w:firstLineChars="0"/>
              <w:jc w:val="center"/>
              <w:textAlignment w:val="center"/>
              <w:rPr>
                <w:rFonts w:hint="eastAsia" w:cs="仿宋"/>
                <w:b w:val="0"/>
                <w:bCs w:val="0"/>
                <w:i w:val="0"/>
                <w:iCs w:val="0"/>
                <w:color w:val="auto"/>
                <w:spacing w:val="-6"/>
                <w:kern w:val="0"/>
                <w:sz w:val="24"/>
                <w:szCs w:val="24"/>
                <w:highlight w:val="none"/>
                <w:u w:val="none"/>
                <w:lang w:val="en-US" w:eastAsia="zh-CN" w:bidi="ar"/>
              </w:rPr>
            </w:pPr>
            <w:r>
              <w:rPr>
                <w:rFonts w:hint="eastAsia" w:ascii="Times New Roman" w:hAnsi="Times New Roman" w:eastAsia="Times New Roman" w:cs="Times New Roman"/>
                <w:b w:val="0"/>
                <w:bCs w:val="0"/>
                <w:i w:val="0"/>
                <w:iCs w:val="0"/>
                <w:color w:val="auto"/>
                <w:kern w:val="0"/>
                <w:sz w:val="24"/>
                <w:szCs w:val="24"/>
                <w:highlight w:val="none"/>
                <w:u w:val="none"/>
                <w:lang w:val="en-US" w:eastAsia="zh-CN" w:bidi="ar"/>
              </w:rPr>
              <w:t>%</w:t>
            </w:r>
          </w:p>
        </w:tc>
        <w:tc>
          <w:tcPr>
            <w:tcW w:w="577" w:type="pct"/>
            <w:shd w:val="clear" w:color="auto" w:fill="auto"/>
            <w:vAlign w:val="center"/>
          </w:tcPr>
          <w:p w14:paraId="6C11D4C0">
            <w:pPr>
              <w:keepNext w:val="0"/>
              <w:keepLines w:val="0"/>
              <w:pageBreakBefore w:val="0"/>
              <w:widowControl/>
              <w:suppressLineNumbers w:val="0"/>
              <w:kinsoku/>
              <w:wordWrap/>
              <w:overflowPunct/>
              <w:topLinePunct w:val="0"/>
              <w:autoSpaceDE/>
              <w:autoSpaceDN/>
              <w:bidi w:val="0"/>
              <w:adjustRightInd/>
              <w:snapToGrid/>
              <w:spacing w:beforeLines="0" w:afterLines="0" w:line="240" w:lineRule="auto"/>
              <w:ind w:firstLine="0" w:firstLineChars="0"/>
              <w:jc w:val="center"/>
              <w:textAlignment w:val="center"/>
              <w:rPr>
                <w:rFonts w:hint="eastAsia" w:ascii="Times New Roman" w:hAnsi="Times New Roman" w:eastAsia="Times New Roman" w:cs="Times New Roman"/>
                <w:b w:val="0"/>
                <w:bCs w:val="0"/>
                <w:i w:val="0"/>
                <w:iCs w:val="0"/>
                <w:color w:val="auto"/>
                <w:spacing w:val="-6"/>
                <w:kern w:val="0"/>
                <w:sz w:val="24"/>
                <w:szCs w:val="24"/>
                <w:highlight w:val="none"/>
                <w:u w:val="none"/>
                <w:lang w:val="en-US" w:eastAsia="zh-CN" w:bidi="ar"/>
              </w:rPr>
            </w:pPr>
            <w:r>
              <w:rPr>
                <w:rFonts w:hint="eastAsia" w:ascii="Times New Roman" w:hAnsi="Times New Roman" w:eastAsia="Times New Roman" w:cs="Times New Roman"/>
                <w:b w:val="0"/>
                <w:bCs w:val="0"/>
                <w:i w:val="0"/>
                <w:iCs w:val="0"/>
                <w:color w:val="auto"/>
                <w:kern w:val="0"/>
                <w:sz w:val="24"/>
                <w:szCs w:val="24"/>
                <w:highlight w:val="none"/>
                <w:u w:val="none"/>
                <w:lang w:val="en-US" w:eastAsia="zh-CN" w:bidi="ar"/>
              </w:rPr>
              <w:t>99.8</w:t>
            </w:r>
          </w:p>
        </w:tc>
        <w:tc>
          <w:tcPr>
            <w:tcW w:w="613" w:type="pct"/>
            <w:shd w:val="clear" w:color="auto" w:fill="auto"/>
            <w:vAlign w:val="center"/>
          </w:tcPr>
          <w:p w14:paraId="41659FDC">
            <w:pPr>
              <w:keepNext w:val="0"/>
              <w:keepLines w:val="0"/>
              <w:pageBreakBefore w:val="0"/>
              <w:widowControl/>
              <w:suppressLineNumbers w:val="0"/>
              <w:kinsoku/>
              <w:wordWrap/>
              <w:overflowPunct/>
              <w:topLinePunct w:val="0"/>
              <w:autoSpaceDE/>
              <w:autoSpaceDN/>
              <w:bidi w:val="0"/>
              <w:adjustRightInd/>
              <w:snapToGrid/>
              <w:spacing w:beforeLines="0" w:afterLines="0" w:line="240" w:lineRule="auto"/>
              <w:ind w:firstLine="0" w:firstLineChars="0"/>
              <w:jc w:val="center"/>
              <w:textAlignment w:val="center"/>
              <w:rPr>
                <w:rFonts w:hint="eastAsia" w:ascii="Times New Roman" w:hAnsi="Times New Roman" w:eastAsia="Times New Roman" w:cs="Times New Roman"/>
                <w:b w:val="0"/>
                <w:bCs w:val="0"/>
                <w:i w:val="0"/>
                <w:iCs w:val="0"/>
                <w:color w:val="auto"/>
                <w:spacing w:val="-6"/>
                <w:kern w:val="0"/>
                <w:sz w:val="24"/>
                <w:szCs w:val="24"/>
                <w:highlight w:val="none"/>
                <w:u w:val="none"/>
                <w:lang w:val="en-US" w:eastAsia="zh-CN" w:bidi="ar"/>
              </w:rPr>
            </w:pPr>
            <w:r>
              <w:rPr>
                <w:rFonts w:hint="eastAsia" w:ascii="Times New Roman" w:hAnsi="Times New Roman" w:eastAsia="Times New Roman" w:cs="Times New Roman"/>
                <w:b w:val="0"/>
                <w:bCs w:val="0"/>
                <w:i w:val="0"/>
                <w:iCs w:val="0"/>
                <w:color w:val="auto"/>
                <w:kern w:val="0"/>
                <w:sz w:val="24"/>
                <w:szCs w:val="24"/>
                <w:highlight w:val="none"/>
                <w:u w:val="none"/>
                <w:lang w:val="en-US" w:eastAsia="zh-CN" w:bidi="ar"/>
              </w:rPr>
              <w:t>99.9</w:t>
            </w:r>
          </w:p>
        </w:tc>
        <w:tc>
          <w:tcPr>
            <w:tcW w:w="542" w:type="pct"/>
            <w:shd w:val="clear" w:color="auto" w:fill="auto"/>
            <w:vAlign w:val="center"/>
          </w:tcPr>
          <w:p w14:paraId="6C69CC65">
            <w:pPr>
              <w:keepNext w:val="0"/>
              <w:keepLines w:val="0"/>
              <w:pageBreakBefore w:val="0"/>
              <w:widowControl/>
              <w:suppressLineNumbers w:val="0"/>
              <w:kinsoku/>
              <w:wordWrap/>
              <w:overflowPunct/>
              <w:topLinePunct w:val="0"/>
              <w:autoSpaceDE/>
              <w:autoSpaceDN/>
              <w:bidi w:val="0"/>
              <w:adjustRightInd/>
              <w:snapToGrid/>
              <w:spacing w:beforeLines="0" w:afterLines="0" w:line="240" w:lineRule="auto"/>
              <w:ind w:firstLine="0" w:firstLineChars="0"/>
              <w:jc w:val="center"/>
              <w:textAlignment w:val="center"/>
              <w:rPr>
                <w:rFonts w:hint="eastAsia" w:cs="仿宋"/>
                <w:b w:val="0"/>
                <w:bCs w:val="0"/>
                <w:i w:val="0"/>
                <w:iCs w:val="0"/>
                <w:color w:val="auto"/>
                <w:kern w:val="0"/>
                <w:sz w:val="24"/>
                <w:szCs w:val="24"/>
                <w:highlight w:val="none"/>
                <w:u w:val="none"/>
                <w:lang w:val="en-US" w:eastAsia="zh-CN" w:bidi="ar"/>
              </w:rPr>
            </w:pPr>
            <w:r>
              <w:rPr>
                <w:rFonts w:hint="eastAsia" w:cs="仿宋"/>
                <w:b w:val="0"/>
                <w:bCs w:val="0"/>
                <w:i w:val="0"/>
                <w:iCs w:val="0"/>
                <w:color w:val="auto"/>
                <w:kern w:val="0"/>
                <w:sz w:val="24"/>
                <w:szCs w:val="24"/>
                <w:highlight w:val="none"/>
                <w:u w:val="none"/>
                <w:lang w:val="en-US" w:eastAsia="zh-CN" w:bidi="ar"/>
              </w:rPr>
              <w:t>预期</w:t>
            </w:r>
            <w:r>
              <w:rPr>
                <w:rFonts w:hint="eastAsia" w:eastAsia="仿宋" w:cs="仿宋"/>
                <w:b w:val="0"/>
                <w:bCs w:val="0"/>
                <w:i w:val="0"/>
                <w:iCs w:val="0"/>
                <w:color w:val="auto"/>
                <w:kern w:val="0"/>
                <w:sz w:val="24"/>
                <w:szCs w:val="24"/>
                <w:highlight w:val="none"/>
                <w:u w:val="none"/>
                <w:lang w:val="en-US" w:eastAsia="zh-CN" w:bidi="ar"/>
              </w:rPr>
              <w:t>性</w:t>
            </w:r>
          </w:p>
        </w:tc>
        <w:tc>
          <w:tcPr>
            <w:tcW w:w="777" w:type="pct"/>
            <w:shd w:val="clear" w:color="auto" w:fill="auto"/>
            <w:vAlign w:val="center"/>
          </w:tcPr>
          <w:p w14:paraId="05EB398B">
            <w:pPr>
              <w:keepNext w:val="0"/>
              <w:keepLines w:val="0"/>
              <w:pageBreakBefore w:val="0"/>
              <w:widowControl/>
              <w:suppressLineNumbers w:val="0"/>
              <w:kinsoku/>
              <w:wordWrap/>
              <w:overflowPunct/>
              <w:topLinePunct w:val="0"/>
              <w:autoSpaceDE/>
              <w:autoSpaceDN/>
              <w:bidi w:val="0"/>
              <w:adjustRightInd/>
              <w:snapToGrid/>
              <w:spacing w:beforeLines="0" w:afterLines="0" w:line="240" w:lineRule="auto"/>
              <w:ind w:firstLine="0" w:firstLineChars="0"/>
              <w:jc w:val="center"/>
              <w:textAlignment w:val="center"/>
              <w:rPr>
                <w:rFonts w:hint="eastAsia" w:ascii="仿宋" w:hAnsi="仿宋" w:eastAsia="仿宋" w:cs="仿宋"/>
                <w:b w:val="0"/>
                <w:bCs w:val="0"/>
                <w:i w:val="0"/>
                <w:iCs w:val="0"/>
                <w:color w:val="auto"/>
                <w:kern w:val="0"/>
                <w:sz w:val="24"/>
                <w:szCs w:val="24"/>
                <w:highlight w:val="none"/>
                <w:u w:val="none"/>
                <w:lang w:val="en-US" w:eastAsia="zh-CN" w:bidi="ar"/>
              </w:rPr>
            </w:pPr>
            <w:r>
              <w:rPr>
                <w:rFonts w:hint="eastAsia" w:cs="仿宋"/>
                <w:b w:val="0"/>
                <w:bCs w:val="0"/>
                <w:i w:val="0"/>
                <w:iCs w:val="0"/>
                <w:color w:val="auto"/>
                <w:kern w:val="0"/>
                <w:sz w:val="24"/>
                <w:szCs w:val="24"/>
                <w:highlight w:val="none"/>
                <w:u w:val="none"/>
                <w:lang w:val="en-US" w:eastAsia="zh-CN" w:bidi="ar"/>
              </w:rPr>
              <w:t>市级城管规划</w:t>
            </w:r>
          </w:p>
        </w:tc>
      </w:tr>
    </w:tbl>
    <w:p w14:paraId="36151F0A">
      <w:pPr>
        <w:pStyle w:val="29"/>
        <w:adjustRightInd/>
        <w:snapToGrid/>
        <w:spacing w:beforeLines="0" w:afterLines="0" w:line="560" w:lineRule="exact"/>
        <w:ind w:firstLine="0" w:firstLineChars="0"/>
        <w:jc w:val="left"/>
        <w:textAlignment w:val="baseline"/>
        <w:rPr>
          <w:rFonts w:hint="eastAsia"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lang w:val="en-US" w:eastAsia="zh-CN"/>
        </w:rPr>
        <w:t>注：〔〕内为五年内的累计数。</w:t>
      </w:r>
    </w:p>
    <w:p w14:paraId="5FA10E6A">
      <w:pPr>
        <w:pStyle w:val="29"/>
        <w:adjustRightInd/>
        <w:snapToGrid/>
        <w:spacing w:beforeLines="0" w:afterLines="0" w:line="560" w:lineRule="exact"/>
        <w:ind w:firstLine="0" w:firstLineChars="0"/>
        <w:jc w:val="left"/>
        <w:textAlignment w:val="baseline"/>
        <w:rPr>
          <w:rFonts w:hint="default" w:ascii="仿宋" w:hAnsi="仿宋" w:eastAsia="仿宋" w:cs="仿宋"/>
          <w:b w:val="0"/>
          <w:bCs w:val="0"/>
          <w:sz w:val="24"/>
          <w:szCs w:val="24"/>
          <w:highlight w:val="none"/>
          <w:lang w:val="en-US" w:eastAsia="zh-CN"/>
        </w:rPr>
      </w:pPr>
    </w:p>
    <w:p w14:paraId="731ADFD2">
      <w:pPr>
        <w:keepNext/>
        <w:keepLines w:val="0"/>
        <w:pageBreakBefore w:val="0"/>
        <w:widowControl/>
        <w:numPr>
          <w:ilvl w:val="0"/>
          <w:numId w:val="1"/>
        </w:numPr>
        <w:kinsoku/>
        <w:wordWrap/>
        <w:overflowPunct/>
        <w:topLinePunct w:val="0"/>
        <w:autoSpaceDE/>
        <w:autoSpaceDN/>
        <w:bidi w:val="0"/>
        <w:adjustRightInd/>
        <w:snapToGrid/>
        <w:spacing w:beforeLines="0" w:afterLines="0" w:line="560" w:lineRule="exact"/>
        <w:ind w:left="0" w:leftChars="0" w:right="0" w:firstLine="0" w:firstLineChars="0"/>
        <w:jc w:val="center"/>
        <w:textAlignment w:val="auto"/>
        <w:outlineLvl w:val="0"/>
        <w:rPr>
          <w:rFonts w:hint="default" w:ascii="方正小标宋简体" w:hAnsi="方正小标宋简体" w:eastAsia="方正小标宋简体" w:cs="方正小标宋简体"/>
          <w:sz w:val="36"/>
          <w:szCs w:val="36"/>
          <w:lang w:val="en-US" w:eastAsia="zh-CN"/>
        </w:rPr>
      </w:pPr>
      <w:bookmarkStart w:id="20" w:name="_Toc31115"/>
      <w:bookmarkStart w:id="21" w:name="_Toc17909"/>
      <w:bookmarkStart w:id="22" w:name="_Toc9430"/>
      <w:bookmarkStart w:id="23" w:name="_Toc5506"/>
      <w:bookmarkStart w:id="24" w:name="_Toc13944"/>
      <w:r>
        <w:rPr>
          <w:rFonts w:hint="eastAsia" w:ascii="方正小标宋简体" w:hAnsi="方正小标宋简体" w:eastAsia="方正小标宋简体" w:cs="方正小标宋简体"/>
          <w:sz w:val="36"/>
          <w:szCs w:val="36"/>
          <w:lang w:val="en-US" w:eastAsia="zh-CN"/>
        </w:rPr>
        <w:t>“十五五”时期城市管理重点任务</w:t>
      </w:r>
      <w:bookmarkEnd w:id="20"/>
      <w:bookmarkEnd w:id="21"/>
      <w:bookmarkEnd w:id="22"/>
      <w:bookmarkEnd w:id="23"/>
      <w:bookmarkEnd w:id="24"/>
    </w:p>
    <w:p w14:paraId="30E3D6DE">
      <w:pPr>
        <w:pStyle w:val="3"/>
        <w:keepNext/>
        <w:keepLines/>
        <w:widowControl w:val="0"/>
        <w:numPr>
          <w:ilvl w:val="-1"/>
          <w:numId w:val="0"/>
        </w:numPr>
        <w:adjustRightInd/>
        <w:snapToGrid/>
        <w:spacing w:after="0" w:afterLines="0" w:line="560" w:lineRule="exact"/>
        <w:ind w:leftChars="200" w:firstLine="0" w:firstLineChars="0"/>
        <w:textAlignment w:val="baseline"/>
        <w:rPr>
          <w:rFonts w:hint="eastAsia" w:ascii="黑体" w:hAnsi="黑体" w:eastAsia="黑体" w:cs="黑体"/>
          <w:b w:val="0"/>
          <w:bCs/>
          <w:spacing w:val="-6"/>
          <w:sz w:val="32"/>
          <w:szCs w:val="32"/>
          <w:highlight w:val="none"/>
          <w:lang w:val="en-US" w:eastAsia="zh-CN"/>
        </w:rPr>
      </w:pPr>
      <w:bookmarkStart w:id="25" w:name="_Toc25705"/>
      <w:bookmarkStart w:id="26" w:name="_Toc30702"/>
      <w:r>
        <w:rPr>
          <w:rFonts w:hint="eastAsia" w:ascii="黑体" w:hAnsi="黑体" w:eastAsia="黑体" w:cs="黑体"/>
          <w:b w:val="0"/>
          <w:bCs/>
          <w:spacing w:val="-6"/>
          <w:sz w:val="32"/>
          <w:szCs w:val="32"/>
          <w:highlight w:val="none"/>
          <w:lang w:val="en-US" w:eastAsia="zh-CN"/>
        </w:rPr>
        <w:t>一、</w:t>
      </w:r>
      <w:bookmarkEnd w:id="25"/>
      <w:r>
        <w:rPr>
          <w:rFonts w:hint="eastAsia" w:ascii="黑体" w:hAnsi="黑体" w:eastAsia="黑体" w:cs="黑体"/>
          <w:b w:val="0"/>
          <w:bCs/>
          <w:spacing w:val="-6"/>
          <w:sz w:val="32"/>
          <w:szCs w:val="32"/>
          <w:highlight w:val="none"/>
          <w:lang w:val="en-US" w:eastAsia="zh-CN"/>
        </w:rPr>
        <w:t>建立城市创新治理模式</w:t>
      </w:r>
      <w:bookmarkEnd w:id="26"/>
    </w:p>
    <w:p w14:paraId="76FD0E92">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hint="eastAsia"/>
          <w:lang w:val="en-US" w:eastAsia="zh-CN"/>
        </w:rPr>
      </w:pPr>
      <w:r>
        <w:rPr>
          <w:rFonts w:hint="eastAsia" w:ascii="仿宋_GB2312" w:hAnsi="Times New Roman" w:eastAsia="仿宋_GB2312" w:cs="仿宋_GB2312"/>
          <w:b w:val="0"/>
          <w:bCs/>
          <w:snapToGrid/>
          <w:color w:val="auto"/>
          <w:spacing w:val="0"/>
          <w:kern w:val="2"/>
          <w:sz w:val="32"/>
          <w:szCs w:val="24"/>
          <w:highlight w:val="none"/>
          <w:lang w:val="en-US" w:eastAsia="zh-CN" w:bidi="ar-SA"/>
        </w:rPr>
        <w:t>创新是现代化人民城市的第一动力。落实“建设创新城市”部署与丰台“三化五区”战略，城市治理现代化的根本出路在改革破题、关键在机制变革，必须以制度创新推动管理从粗放向精细、从独奏向合奏跃升。</w:t>
      </w:r>
    </w:p>
    <w:p w14:paraId="5043D7A7">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3" w:firstLineChars="200"/>
        <w:jc w:val="left"/>
        <w:textAlignment w:val="auto"/>
        <w:outlineLvl w:val="2"/>
        <w:rPr>
          <w:rFonts w:hint="eastAsia" w:ascii="楷体_GB2312" w:hAnsi="楷体_GB2312" w:eastAsia="楷体_GB2312" w:cs="楷体_GB2312"/>
          <w:b/>
          <w:bCs w:val="0"/>
          <w:spacing w:val="0"/>
          <w:sz w:val="32"/>
          <w:szCs w:val="24"/>
          <w:highlight w:val="none"/>
          <w:lang w:val="en-US" w:eastAsia="zh-CN"/>
        </w:rPr>
      </w:pPr>
      <w:bookmarkStart w:id="27" w:name="_Toc21361"/>
      <w:bookmarkStart w:id="28" w:name="_Toc2548"/>
      <w:bookmarkStart w:id="29" w:name="_Toc10083"/>
      <w:bookmarkStart w:id="30" w:name="_Toc18528"/>
      <w:bookmarkStart w:id="31" w:name="_Toc1758"/>
      <w:bookmarkStart w:id="32" w:name="_Toc5482"/>
      <w:r>
        <w:rPr>
          <w:rFonts w:hint="eastAsia" w:ascii="楷体_GB2312" w:hAnsi="楷体_GB2312" w:eastAsia="楷体_GB2312" w:cs="楷体_GB2312"/>
          <w:b/>
          <w:bCs w:val="0"/>
          <w:spacing w:val="0"/>
          <w:sz w:val="32"/>
          <w:szCs w:val="24"/>
          <w:highlight w:val="none"/>
          <w:lang w:val="en-US" w:eastAsia="zh-CN"/>
        </w:rPr>
        <w:t>（一）构建城市管理多元共治新格局</w:t>
      </w:r>
      <w:bookmarkEnd w:id="27"/>
      <w:bookmarkEnd w:id="28"/>
      <w:bookmarkEnd w:id="29"/>
      <w:bookmarkEnd w:id="30"/>
      <w:bookmarkEnd w:id="31"/>
      <w:bookmarkEnd w:id="32"/>
    </w:p>
    <w:p w14:paraId="1F06669A">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hint="eastAsia" w:ascii="仿宋_GB2312" w:hAnsi="Times New Roman" w:eastAsia="仿宋_GB2312" w:cs="仿宋_GB2312"/>
          <w:b w:val="0"/>
          <w:bCs/>
          <w:snapToGrid/>
          <w:color w:val="auto"/>
          <w:spacing w:val="0"/>
          <w:kern w:val="2"/>
          <w:sz w:val="32"/>
          <w:szCs w:val="24"/>
          <w:highlight w:val="none"/>
          <w:lang w:val="en-US" w:eastAsia="zh-CN" w:bidi="ar-SA"/>
        </w:rPr>
      </w:pPr>
      <w:r>
        <w:rPr>
          <w:rFonts w:hint="eastAsia" w:ascii="仿宋_GB2312" w:hAnsi="Times New Roman" w:eastAsia="仿宋_GB2312" w:cs="仿宋_GB2312"/>
          <w:b w:val="0"/>
          <w:bCs/>
          <w:snapToGrid/>
          <w:color w:val="auto"/>
          <w:spacing w:val="0"/>
          <w:kern w:val="2"/>
          <w:sz w:val="32"/>
          <w:szCs w:val="24"/>
          <w:highlight w:val="none"/>
          <w:lang w:val="en-US" w:eastAsia="zh-CN" w:bidi="ar-SA"/>
        </w:rPr>
        <w:t>针对现代化城市治理体系不够健全、多元共治格局尚未成熟等问题，重点推进以下任务：</w:t>
      </w:r>
    </w:p>
    <w:p w14:paraId="6454A8B2">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both"/>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Times New Roman" w:hAnsi="Times New Roman" w:eastAsia="Times New Roman" w:cs="Times New Roman"/>
          <w:b/>
          <w:bCs w:val="0"/>
          <w:spacing w:val="0"/>
          <w:sz w:val="32"/>
          <w:szCs w:val="24"/>
          <w:highlight w:val="none"/>
          <w:lang w:val="en-US" w:eastAsia="zh-CN"/>
        </w:rPr>
        <w:t>1</w:t>
      </w:r>
      <w:r>
        <w:rPr>
          <w:rFonts w:hint="eastAsia" w:ascii="仿宋_GB2312" w:hAnsi="Times New Roman" w:eastAsia="仿宋_GB2312" w:cs="仿宋_GB2312"/>
          <w:b/>
          <w:bCs w:val="0"/>
          <w:spacing w:val="0"/>
          <w:sz w:val="32"/>
          <w:szCs w:val="24"/>
          <w:highlight w:val="none"/>
          <w:lang w:val="en-US" w:eastAsia="zh-CN"/>
        </w:rPr>
        <w:t>.健全多方协同共治体系。</w:t>
      </w:r>
      <w:r>
        <w:rPr>
          <w:rFonts w:hint="eastAsia" w:ascii="仿宋_GB2312" w:hAnsi="Times New Roman" w:eastAsia="仿宋_GB2312" w:cs="仿宋_GB2312"/>
          <w:bCs/>
          <w:spacing w:val="0"/>
          <w:sz w:val="32"/>
          <w:szCs w:val="24"/>
          <w:highlight w:val="none"/>
          <w:lang w:val="en-US" w:eastAsia="zh-CN"/>
        </w:rPr>
        <w:t>不断完善环境建设管理工作机制，着力提升城市管理的科学化、精细化、智能化水平。健全跨部门行政执法体系，完善“街乡吹哨、部门报到”和跨部门联合执法体制机制，强化城管、市场监管、生态环境等多领域执法联动，提升城市环境建设管理问题处置效率。推广社区党组织引领下居委会、业委会、物业企业“三方协同”治理模式，落实“门前三包”责任制，形成“多元参与、权责清晰、响应高效”的治理新格局。</w:t>
      </w:r>
    </w:p>
    <w:p w14:paraId="619D4366">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both"/>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Times New Roman" w:hAnsi="Times New Roman" w:eastAsia="Times New Roman" w:cs="Times New Roman"/>
          <w:b/>
          <w:bCs w:val="0"/>
          <w:spacing w:val="0"/>
          <w:sz w:val="32"/>
          <w:szCs w:val="24"/>
          <w:highlight w:val="none"/>
          <w:lang w:val="en-US" w:eastAsia="zh-CN"/>
        </w:rPr>
        <w:t>2</w:t>
      </w:r>
      <w:r>
        <w:rPr>
          <w:rFonts w:hint="eastAsia" w:ascii="仿宋_GB2312" w:hAnsi="Times New Roman" w:eastAsia="仿宋_GB2312" w:cs="仿宋_GB2312"/>
          <w:b/>
          <w:bCs w:val="0"/>
          <w:spacing w:val="0"/>
          <w:sz w:val="32"/>
          <w:szCs w:val="24"/>
          <w:highlight w:val="none"/>
          <w:lang w:val="en-US" w:eastAsia="zh-CN"/>
        </w:rPr>
        <w:t>.推动城市社会治理重心下沉。</w:t>
      </w:r>
      <w:r>
        <w:rPr>
          <w:rFonts w:hint="eastAsia" w:ascii="仿宋_GB2312" w:hAnsi="Times New Roman" w:eastAsia="仿宋_GB2312" w:cs="仿宋_GB2312"/>
          <w:bCs/>
          <w:spacing w:val="0"/>
          <w:sz w:val="32"/>
          <w:szCs w:val="24"/>
          <w:highlight w:val="none"/>
          <w:lang w:val="en-US" w:eastAsia="zh-CN"/>
        </w:rPr>
        <w:t>坚持新时代“长辛先锋”党建引领基层治理机制，依托“接诉即办”等机制，强化条块协同与诉求响应。引导社会组织、企业、市民参与老旧小区更新、背街小巷整治、垃圾分类等重点领域，构建“政府主导、社会协同、公众参与、科技赋能”的基层治理体系。</w:t>
      </w:r>
    </w:p>
    <w:p w14:paraId="49313467">
      <w:pPr>
        <w:rPr>
          <w:rFonts w:hint="eastAsia" w:ascii="楷体_GB2312" w:hAnsi="楷体_GB2312" w:eastAsia="楷体_GB2312" w:cs="楷体_GB2312"/>
          <w:b/>
          <w:bCs w:val="0"/>
          <w:spacing w:val="0"/>
          <w:sz w:val="32"/>
          <w:szCs w:val="24"/>
          <w:highlight w:val="none"/>
          <w:lang w:val="en-US" w:eastAsia="zh-CN"/>
        </w:rPr>
      </w:pPr>
      <w:bookmarkStart w:id="33" w:name="_Toc20495"/>
      <w:bookmarkStart w:id="34" w:name="_Toc23984"/>
      <w:bookmarkStart w:id="35" w:name="_Toc19999"/>
      <w:bookmarkStart w:id="36" w:name="_Toc4301"/>
      <w:bookmarkStart w:id="37" w:name="_Toc1060"/>
      <w:bookmarkStart w:id="38" w:name="_Toc16312"/>
      <w:r>
        <w:rPr>
          <w:rFonts w:hint="eastAsia" w:ascii="楷体_GB2312" w:hAnsi="楷体_GB2312" w:eastAsia="楷体_GB2312" w:cs="楷体_GB2312"/>
          <w:b/>
          <w:bCs w:val="0"/>
          <w:spacing w:val="0"/>
          <w:sz w:val="32"/>
          <w:szCs w:val="24"/>
          <w:highlight w:val="none"/>
          <w:lang w:val="en-US" w:eastAsia="zh-CN"/>
        </w:rPr>
        <w:br w:type="page"/>
      </w:r>
    </w:p>
    <w:p w14:paraId="6368C53A">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3" w:firstLineChars="200"/>
        <w:jc w:val="left"/>
        <w:textAlignment w:val="auto"/>
        <w:outlineLvl w:val="2"/>
        <w:rPr>
          <w:rFonts w:hint="eastAsia" w:ascii="楷体_GB2312" w:hAnsi="楷体_GB2312" w:eastAsia="楷体_GB2312" w:cs="楷体_GB2312"/>
          <w:b/>
          <w:bCs w:val="0"/>
          <w:spacing w:val="0"/>
          <w:sz w:val="32"/>
          <w:szCs w:val="24"/>
          <w:highlight w:val="none"/>
          <w:lang w:val="en-US" w:eastAsia="zh-CN"/>
        </w:rPr>
      </w:pPr>
      <w:r>
        <w:rPr>
          <w:rFonts w:hint="eastAsia" w:ascii="楷体_GB2312" w:hAnsi="楷体_GB2312" w:eastAsia="楷体_GB2312" w:cs="楷体_GB2312"/>
          <w:b/>
          <w:bCs w:val="0"/>
          <w:spacing w:val="0"/>
          <w:sz w:val="32"/>
          <w:szCs w:val="24"/>
          <w:highlight w:val="none"/>
          <w:lang w:val="en-US" w:eastAsia="zh-CN"/>
        </w:rPr>
        <w:t>（二）积极探索城市管理新范式</w:t>
      </w:r>
      <w:bookmarkEnd w:id="33"/>
      <w:bookmarkEnd w:id="34"/>
      <w:bookmarkEnd w:id="35"/>
      <w:bookmarkEnd w:id="36"/>
      <w:bookmarkEnd w:id="37"/>
      <w:bookmarkEnd w:id="38"/>
    </w:p>
    <w:p w14:paraId="59419638">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hint="default" w:ascii="仿宋_GB2312" w:hAnsi="Times New Roman" w:eastAsia="仿宋_GB2312" w:cs="仿宋_GB2312"/>
          <w:b w:val="0"/>
          <w:bCs/>
          <w:snapToGrid/>
          <w:color w:val="auto"/>
          <w:spacing w:val="0"/>
          <w:kern w:val="2"/>
          <w:sz w:val="32"/>
          <w:szCs w:val="24"/>
          <w:highlight w:val="none"/>
          <w:lang w:val="en-US" w:eastAsia="zh-CN" w:bidi="ar-SA"/>
        </w:rPr>
      </w:pPr>
      <w:r>
        <w:rPr>
          <w:rFonts w:hint="default" w:ascii="仿宋_GB2312" w:hAnsi="Times New Roman" w:eastAsia="仿宋_GB2312" w:cs="仿宋_GB2312"/>
          <w:b w:val="0"/>
          <w:bCs/>
          <w:snapToGrid/>
          <w:color w:val="auto"/>
          <w:spacing w:val="0"/>
          <w:kern w:val="2"/>
          <w:sz w:val="32"/>
          <w:szCs w:val="24"/>
          <w:highlight w:val="none"/>
          <w:lang w:val="en-US" w:eastAsia="zh-CN" w:bidi="ar-SA"/>
        </w:rPr>
        <w:t>针对城市治理中条块分割、权责交叉、基层治理能力不足等问题，重点推进以下改革</w:t>
      </w:r>
      <w:r>
        <w:rPr>
          <w:rFonts w:hint="default" w:ascii="仿宋_GB2312" w:hAnsi="仿宋_GB2312" w:eastAsia="仿宋_GB2312" w:cs="仿宋_GB2312"/>
          <w:b w:val="0"/>
          <w:bCs w:val="0"/>
          <w:snapToGrid w:val="0"/>
          <w:color w:val="auto"/>
          <w:spacing w:val="0"/>
          <w:kern w:val="0"/>
          <w:szCs w:val="21"/>
          <w:lang w:val="en-US" w:eastAsia="zh-CN"/>
        </w:rPr>
        <w:t>举措</w:t>
      </w:r>
      <w:r>
        <w:rPr>
          <w:rFonts w:hint="default" w:ascii="仿宋_GB2312" w:hAnsi="Times New Roman" w:eastAsia="仿宋_GB2312" w:cs="仿宋_GB2312"/>
          <w:b w:val="0"/>
          <w:bCs/>
          <w:snapToGrid/>
          <w:color w:val="auto"/>
          <w:spacing w:val="0"/>
          <w:kern w:val="2"/>
          <w:sz w:val="32"/>
          <w:szCs w:val="24"/>
          <w:highlight w:val="none"/>
          <w:lang w:val="en-US" w:eastAsia="zh-CN" w:bidi="ar-SA"/>
        </w:rPr>
        <w:t>：</w:t>
      </w:r>
    </w:p>
    <w:p w14:paraId="170DBEA6">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both"/>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Times New Roman" w:hAnsi="Times New Roman" w:eastAsia="Times New Roman" w:cs="Times New Roman"/>
          <w:b/>
          <w:bCs w:val="0"/>
          <w:spacing w:val="0"/>
          <w:sz w:val="32"/>
          <w:szCs w:val="24"/>
          <w:highlight w:val="none"/>
          <w:lang w:val="en-US" w:eastAsia="zh-CN"/>
        </w:rPr>
        <w:t>1</w:t>
      </w:r>
      <w:r>
        <w:rPr>
          <w:rFonts w:hint="eastAsia" w:ascii="仿宋_GB2312" w:hAnsi="Times New Roman" w:eastAsia="仿宋_GB2312" w:cs="仿宋_GB2312"/>
          <w:b/>
          <w:bCs w:val="0"/>
          <w:spacing w:val="0"/>
          <w:sz w:val="32"/>
          <w:szCs w:val="24"/>
          <w:highlight w:val="none"/>
          <w:lang w:val="en-US" w:eastAsia="zh-CN"/>
        </w:rPr>
        <w:t>.增强法治化管理效能。</w:t>
      </w:r>
      <w:r>
        <w:rPr>
          <w:rFonts w:hint="eastAsia" w:ascii="仿宋_GB2312" w:hAnsi="Times New Roman" w:eastAsia="仿宋_GB2312" w:cs="仿宋_GB2312"/>
          <w:bCs/>
          <w:spacing w:val="0"/>
          <w:sz w:val="32"/>
          <w:szCs w:val="24"/>
          <w:highlight w:val="none"/>
          <w:lang w:val="en-US" w:eastAsia="zh-CN"/>
        </w:rPr>
        <w:t>动态更新权责清单与行政处罚自由裁量基准，聚焦市容环境整治、违法建设治理、市政设施管护等重点领域强化精准执法。推广“首违不罚”“整改承诺制”等柔性措施，应用物联网、热点网格等技术实现非现场执法与智能监管。强化执法队伍法治培训与实战演练，推动城市治理从单点整治向系统治理转型。</w:t>
      </w:r>
    </w:p>
    <w:p w14:paraId="3D793005">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both"/>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Times New Roman" w:hAnsi="Times New Roman" w:eastAsia="Times New Roman" w:cs="Times New Roman"/>
          <w:b/>
          <w:bCs w:val="0"/>
          <w:spacing w:val="0"/>
          <w:sz w:val="32"/>
          <w:szCs w:val="24"/>
          <w:highlight w:val="none"/>
          <w:lang w:val="en-US" w:eastAsia="zh-CN"/>
        </w:rPr>
        <w:t>2</w:t>
      </w:r>
      <w:r>
        <w:rPr>
          <w:rFonts w:hint="eastAsia" w:ascii="仿宋_GB2312" w:hAnsi="Times New Roman" w:eastAsia="仿宋_GB2312" w:cs="仿宋_GB2312"/>
          <w:b/>
          <w:bCs w:val="0"/>
          <w:spacing w:val="0"/>
          <w:sz w:val="32"/>
          <w:szCs w:val="24"/>
          <w:highlight w:val="none"/>
          <w:lang w:val="en-US" w:eastAsia="zh-CN"/>
        </w:rPr>
        <w:t>.推行城市公共空间一体化作业管理。</w:t>
      </w:r>
      <w:r>
        <w:rPr>
          <w:rFonts w:hint="eastAsia" w:ascii="仿宋_GB2312" w:hAnsi="Times New Roman" w:eastAsia="仿宋_GB2312" w:cs="仿宋_GB2312"/>
          <w:bCs/>
          <w:spacing w:val="0"/>
          <w:sz w:val="32"/>
          <w:szCs w:val="24"/>
          <w:highlight w:val="none"/>
          <w:lang w:val="en-US" w:eastAsia="zh-CN"/>
        </w:rPr>
        <w:t>整合道路保洁、道路养护、城市绿地养护、水务河道管护、停车秩序管理等城市公共空间管理事项，构建属地管理、部门协同、市场运营的治理体系，统筹环卫、园林、市政作业力量，实现作业标准、调度、考核“三统一”，形成职责明晰、运转高效的一体化工作机制，推动城市公共空间管理从分散低效向集约高效转变，系统提升城市公共空间管理效能。</w:t>
      </w:r>
    </w:p>
    <w:p w14:paraId="3CB50F4B">
      <w:pPr>
        <w:pStyle w:val="3"/>
        <w:keepNext/>
        <w:keepLines/>
        <w:widowControl w:val="0"/>
        <w:numPr>
          <w:ilvl w:val="-1"/>
          <w:numId w:val="0"/>
        </w:numPr>
        <w:adjustRightInd/>
        <w:snapToGrid/>
        <w:spacing w:after="0" w:afterLines="0" w:line="560" w:lineRule="exact"/>
        <w:ind w:leftChars="200" w:firstLine="0" w:firstLineChars="0"/>
        <w:textAlignment w:val="baseline"/>
        <w:rPr>
          <w:rFonts w:hint="eastAsia" w:ascii="黑体" w:hAnsi="黑体" w:eastAsia="黑体" w:cs="黑体"/>
          <w:b w:val="0"/>
          <w:bCs/>
          <w:spacing w:val="-6"/>
          <w:sz w:val="32"/>
          <w:szCs w:val="32"/>
          <w:highlight w:val="none"/>
          <w:lang w:val="en-US" w:eastAsia="zh-CN"/>
        </w:rPr>
      </w:pPr>
      <w:bookmarkStart w:id="39" w:name="_Toc9561"/>
      <w:bookmarkStart w:id="40" w:name="_Toc20026"/>
      <w:r>
        <w:rPr>
          <w:rFonts w:hint="eastAsia" w:ascii="黑体" w:hAnsi="黑体" w:eastAsia="黑体" w:cs="黑体"/>
          <w:b w:val="0"/>
          <w:bCs/>
          <w:spacing w:val="-6"/>
          <w:sz w:val="32"/>
          <w:szCs w:val="32"/>
          <w:highlight w:val="none"/>
          <w:lang w:val="en-US" w:eastAsia="zh-CN"/>
        </w:rPr>
        <w:t>二、提升城市宜居环境品质</w:t>
      </w:r>
      <w:bookmarkEnd w:id="39"/>
      <w:bookmarkEnd w:id="40"/>
    </w:p>
    <w:p w14:paraId="4053410C">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both"/>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仿宋_GB2312" w:hAnsi="Times New Roman" w:eastAsia="仿宋_GB2312" w:cs="仿宋_GB2312"/>
          <w:bCs/>
          <w:spacing w:val="0"/>
          <w:sz w:val="32"/>
          <w:szCs w:val="24"/>
          <w:highlight w:val="none"/>
          <w:lang w:val="en-US" w:eastAsia="zh-CN"/>
        </w:rPr>
        <w:t>宜居是人民城市建设的价值归宿。落实“建设宜居城市”部署与丰台“三化五区”战略，城市工作最终要落到群众可感可及的获得感，以环境品质与公共服务持续跃升，让“品质示范”成为宜居丰台的最亮标识。</w:t>
      </w:r>
    </w:p>
    <w:p w14:paraId="5277EA0A">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3" w:firstLineChars="200"/>
        <w:jc w:val="left"/>
        <w:textAlignment w:val="auto"/>
        <w:outlineLvl w:val="2"/>
        <w:rPr>
          <w:rFonts w:hint="eastAsia" w:ascii="楷体_GB2312" w:hAnsi="楷体_GB2312" w:eastAsia="楷体_GB2312" w:cs="楷体_GB2312"/>
          <w:b/>
          <w:bCs w:val="0"/>
          <w:spacing w:val="0"/>
          <w:sz w:val="32"/>
          <w:szCs w:val="24"/>
          <w:highlight w:val="none"/>
          <w:lang w:val="en-US" w:eastAsia="zh-CN"/>
        </w:rPr>
      </w:pPr>
      <w:bookmarkStart w:id="41" w:name="_Toc10680"/>
      <w:r>
        <w:rPr>
          <w:rFonts w:hint="eastAsia" w:ascii="楷体_GB2312" w:hAnsi="楷体_GB2312" w:eastAsia="楷体_GB2312" w:cs="楷体_GB2312"/>
          <w:b/>
          <w:bCs w:val="0"/>
          <w:spacing w:val="0"/>
          <w:sz w:val="32"/>
          <w:szCs w:val="24"/>
          <w:highlight w:val="none"/>
          <w:lang w:val="en-US" w:eastAsia="zh-CN"/>
        </w:rPr>
        <w:t>（一）深化环卫作业精细化管理</w:t>
      </w:r>
      <w:bookmarkEnd w:id="41"/>
    </w:p>
    <w:p w14:paraId="01D7CC5E">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both"/>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仿宋_GB2312" w:hAnsi="Times New Roman" w:eastAsia="仿宋_GB2312" w:cs="仿宋_GB2312"/>
          <w:bCs/>
          <w:spacing w:val="0"/>
          <w:sz w:val="32"/>
          <w:szCs w:val="24"/>
          <w:highlight w:val="none"/>
          <w:lang w:val="en-US" w:eastAsia="zh-CN"/>
        </w:rPr>
        <w:t>针对群众环境品质期望日益提升、薄弱区域环卫保洁存在短板、环卫装备绿色化智慧化水平不高等问题，对标中心城区环境卫生考评先进水平，推动环境卫生服务从“干净整洁”向“品质示范”提升，重点推进以下任务：</w:t>
      </w:r>
    </w:p>
    <w:p w14:paraId="4338235A">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left"/>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Times New Roman" w:hAnsi="Times New Roman" w:eastAsia="Times New Roman" w:cs="Times New Roman"/>
          <w:b/>
          <w:bCs w:val="0"/>
          <w:spacing w:val="0"/>
          <w:sz w:val="32"/>
          <w:szCs w:val="24"/>
          <w:highlight w:val="none"/>
          <w:lang w:val="en-US" w:eastAsia="zh-CN"/>
        </w:rPr>
        <w:t>1</w:t>
      </w:r>
      <w:r>
        <w:rPr>
          <w:rFonts w:hint="eastAsia" w:ascii="仿宋_GB2312" w:hAnsi="Times New Roman" w:eastAsia="仿宋_GB2312" w:cs="仿宋_GB2312"/>
          <w:b/>
          <w:bCs w:val="0"/>
          <w:spacing w:val="0"/>
          <w:sz w:val="32"/>
          <w:szCs w:val="24"/>
          <w:highlight w:val="none"/>
          <w:lang w:val="en-US" w:eastAsia="zh-CN"/>
        </w:rPr>
        <w:t>.优化道路清洁作业管理。</w:t>
      </w:r>
      <w:r>
        <w:rPr>
          <w:rFonts w:hint="eastAsia" w:ascii="仿宋_GB2312" w:hAnsi="Times New Roman" w:eastAsia="仿宋_GB2312" w:cs="仿宋_GB2312"/>
          <w:bCs/>
          <w:spacing w:val="0"/>
          <w:sz w:val="32"/>
          <w:szCs w:val="24"/>
          <w:highlight w:val="none"/>
          <w:lang w:val="en-US" w:eastAsia="zh-CN"/>
        </w:rPr>
        <w:t>将全区主次干道及背街小巷纳入专业化保洁。推广“冲扫洗收”一体化工艺，到</w:t>
      </w:r>
      <w:r>
        <w:rPr>
          <w:rFonts w:hint="eastAsia" w:ascii="Times New Roman" w:hAnsi="Times New Roman" w:eastAsia="Times New Roman" w:cs="Times New Roman"/>
          <w:bCs/>
          <w:spacing w:val="0"/>
          <w:sz w:val="32"/>
          <w:szCs w:val="24"/>
          <w:highlight w:val="none"/>
          <w:lang w:val="en-US" w:eastAsia="zh-CN"/>
        </w:rPr>
        <w:t>2030</w:t>
      </w:r>
      <w:r>
        <w:rPr>
          <w:rFonts w:hint="eastAsia" w:ascii="仿宋_GB2312" w:hAnsi="Times New Roman" w:eastAsia="仿宋_GB2312" w:cs="仿宋_GB2312"/>
          <w:bCs/>
          <w:spacing w:val="0"/>
          <w:sz w:val="32"/>
          <w:szCs w:val="24"/>
          <w:highlight w:val="none"/>
          <w:lang w:val="en-US" w:eastAsia="zh-CN"/>
        </w:rPr>
        <w:t>年城市道路车行道机械化作业率达</w:t>
      </w:r>
      <w:r>
        <w:rPr>
          <w:rFonts w:hint="eastAsia" w:ascii="Times New Roman" w:hAnsi="Times New Roman" w:eastAsia="Times New Roman" w:cs="Times New Roman"/>
          <w:bCs/>
          <w:spacing w:val="0"/>
          <w:sz w:val="32"/>
          <w:szCs w:val="24"/>
          <w:highlight w:val="none"/>
          <w:lang w:val="en-US" w:eastAsia="zh-CN"/>
        </w:rPr>
        <w:t>99</w:t>
      </w:r>
      <w:r>
        <w:rPr>
          <w:rFonts w:hint="eastAsia" w:ascii="仿宋_GB2312" w:hAnsi="Times New Roman" w:eastAsia="仿宋_GB2312" w:cs="仿宋_GB2312"/>
          <w:bCs/>
          <w:spacing w:val="0"/>
          <w:sz w:val="32"/>
          <w:szCs w:val="24"/>
          <w:highlight w:val="none"/>
          <w:lang w:val="en-US" w:eastAsia="zh-CN"/>
        </w:rPr>
        <w:t>%，重点区域道路实行</w:t>
      </w:r>
      <w:r>
        <w:rPr>
          <w:rFonts w:hint="eastAsia" w:ascii="Times New Roman" w:hAnsi="Times New Roman" w:eastAsia="Times New Roman" w:cs="Times New Roman"/>
          <w:bCs/>
          <w:spacing w:val="0"/>
          <w:sz w:val="32"/>
          <w:szCs w:val="24"/>
          <w:highlight w:val="none"/>
          <w:lang w:val="en-US" w:eastAsia="zh-CN"/>
        </w:rPr>
        <w:t>24</w:t>
      </w:r>
      <w:r>
        <w:rPr>
          <w:rFonts w:hint="eastAsia" w:ascii="仿宋_GB2312" w:hAnsi="Times New Roman" w:eastAsia="仿宋_GB2312" w:cs="仿宋_GB2312"/>
          <w:bCs/>
          <w:spacing w:val="0"/>
          <w:sz w:val="32"/>
          <w:szCs w:val="24"/>
          <w:highlight w:val="none"/>
          <w:lang w:val="en-US" w:eastAsia="zh-CN"/>
        </w:rPr>
        <w:t>小时机械化保洁。建立人机协同机制，针对北京丰台站等枢纽实施“高峰前清扫、平峰期巡保、夜间深度保洁”错时作业。实现城中村、城乡结合部等薄弱区域环卫保洁全覆盖。协同网格员和“门前三包”责任主体落实冬季扫雪铲冰标准。组建专业巡查队伍，配备快速检测设备，重点监控施工工地、餐饮企业等污染源头，降低扬尘污染。</w:t>
      </w:r>
    </w:p>
    <w:p w14:paraId="654CDF8C">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left"/>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Times New Roman" w:hAnsi="Times New Roman" w:eastAsia="Times New Roman" w:cs="Times New Roman"/>
          <w:b/>
          <w:bCs w:val="0"/>
          <w:spacing w:val="0"/>
          <w:sz w:val="32"/>
          <w:szCs w:val="24"/>
          <w:highlight w:val="none"/>
          <w:lang w:val="en-US" w:eastAsia="zh-CN"/>
        </w:rPr>
        <w:t>2</w:t>
      </w:r>
      <w:r>
        <w:rPr>
          <w:rFonts w:hint="eastAsia" w:ascii="仿宋_GB2312" w:hAnsi="Times New Roman" w:eastAsia="仿宋_GB2312" w:cs="仿宋_GB2312"/>
          <w:b/>
          <w:bCs w:val="0"/>
          <w:spacing w:val="0"/>
          <w:sz w:val="32"/>
          <w:szCs w:val="24"/>
          <w:highlight w:val="none"/>
          <w:lang w:val="en-US" w:eastAsia="zh-CN"/>
        </w:rPr>
        <w:t>.升级公厕服务与管理体系。</w:t>
      </w:r>
      <w:r>
        <w:rPr>
          <w:rFonts w:hint="eastAsia" w:ascii="仿宋_GB2312" w:hAnsi="Times New Roman" w:eastAsia="仿宋_GB2312" w:cs="仿宋_GB2312"/>
          <w:bCs/>
          <w:spacing w:val="0"/>
          <w:sz w:val="32"/>
          <w:szCs w:val="24"/>
          <w:highlight w:val="none"/>
          <w:lang w:val="en-US" w:eastAsia="zh-CN"/>
        </w:rPr>
        <w:t>建立“每日巡查、每周检修、定期大修”三级维护机制，达到市级公厕等级标准。试点推行“公厕+便民服务”模式。</w:t>
      </w:r>
    </w:p>
    <w:p w14:paraId="5CAAADD7">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left"/>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Times New Roman" w:hAnsi="Times New Roman" w:eastAsia="Times New Roman" w:cs="Times New Roman"/>
          <w:b/>
          <w:bCs w:val="0"/>
          <w:spacing w:val="0"/>
          <w:sz w:val="32"/>
          <w:szCs w:val="24"/>
          <w:highlight w:val="none"/>
          <w:lang w:val="en-US" w:eastAsia="zh-CN"/>
        </w:rPr>
        <w:t>3</w:t>
      </w:r>
      <w:r>
        <w:rPr>
          <w:rFonts w:hint="eastAsia" w:ascii="仿宋_GB2312" w:hAnsi="Times New Roman" w:eastAsia="仿宋_GB2312" w:cs="仿宋_GB2312"/>
          <w:b/>
          <w:bCs w:val="0"/>
          <w:spacing w:val="0"/>
          <w:sz w:val="32"/>
          <w:szCs w:val="24"/>
          <w:highlight w:val="none"/>
          <w:lang w:val="en-US" w:eastAsia="zh-CN"/>
        </w:rPr>
        <w:t>.推广新能源环卫装备，构建智慧环卫监管体系。</w:t>
      </w:r>
      <w:r>
        <w:rPr>
          <w:rFonts w:hint="eastAsia" w:ascii="仿宋_GB2312" w:hAnsi="Times New Roman" w:eastAsia="仿宋_GB2312" w:cs="仿宋_GB2312"/>
          <w:bCs/>
          <w:spacing w:val="0"/>
          <w:sz w:val="32"/>
          <w:szCs w:val="24"/>
          <w:highlight w:val="none"/>
          <w:lang w:val="en-US" w:eastAsia="zh-CN"/>
        </w:rPr>
        <w:t>实施环卫车辆绿色更新工程，逐步淘汰高排放燃油车辆，扩大新能源环卫车辆覆盖率。在垃圾房、转运站等场所推广太阳能光伏板供电，试点雨水收集系统用于道路降尘。建立环卫设备全生命周期管理机制，延长设备使用寿命。运用物联网与大数据技术，制定统一数据采集标准，建立数据共享交换平台，打造分类宏观监测看板，建设末端处置设施监管与应急调度系统，推动极端天气下作业质量、公厕状况、人流量等在线监管。</w:t>
      </w:r>
    </w:p>
    <w:p w14:paraId="78A12314">
      <w:pPr>
        <w:keepNext/>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3" w:firstLineChars="200"/>
        <w:jc w:val="left"/>
        <w:textAlignment w:val="auto"/>
        <w:outlineLvl w:val="2"/>
        <w:rPr>
          <w:rFonts w:hint="eastAsia" w:ascii="楷体_GB2312" w:hAnsi="楷体_GB2312" w:eastAsia="楷体_GB2312" w:cs="楷体_GB2312"/>
          <w:b/>
          <w:bCs w:val="0"/>
          <w:spacing w:val="0"/>
          <w:sz w:val="32"/>
          <w:szCs w:val="24"/>
          <w:highlight w:val="none"/>
          <w:lang w:val="en-US" w:eastAsia="zh-CN"/>
        </w:rPr>
      </w:pPr>
      <w:bookmarkStart w:id="42" w:name="_Toc32492"/>
      <w:r>
        <w:rPr>
          <w:rFonts w:hint="eastAsia" w:ascii="楷体_GB2312" w:hAnsi="楷体_GB2312" w:eastAsia="楷体_GB2312" w:cs="楷体_GB2312"/>
          <w:b/>
          <w:bCs w:val="0"/>
          <w:spacing w:val="0"/>
          <w:sz w:val="32"/>
          <w:szCs w:val="24"/>
          <w:highlight w:val="none"/>
          <w:lang w:val="en-US" w:eastAsia="zh-CN"/>
        </w:rPr>
        <w:t>（二）完善垃圾全链条治理体系</w:t>
      </w:r>
      <w:bookmarkEnd w:id="42"/>
    </w:p>
    <w:p w14:paraId="617C0303">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left"/>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仿宋_GB2312" w:hAnsi="Times New Roman" w:eastAsia="仿宋_GB2312" w:cs="仿宋_GB2312"/>
          <w:bCs/>
          <w:spacing w:val="0"/>
          <w:sz w:val="32"/>
          <w:szCs w:val="24"/>
          <w:highlight w:val="none"/>
          <w:lang w:val="en-US" w:eastAsia="zh-CN"/>
        </w:rPr>
        <w:t>针对垃圾分类长效管理机制尚需深化、资源化利用水平不高、建筑垃圾全过程治理体系有待健全等问题，推动垃圾全链条治理，重点推进以下任务：</w:t>
      </w:r>
    </w:p>
    <w:p w14:paraId="7668B24A">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left"/>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Times New Roman" w:hAnsi="Times New Roman" w:eastAsia="Times New Roman" w:cs="Times New Roman"/>
          <w:b/>
          <w:bCs w:val="0"/>
          <w:spacing w:val="0"/>
          <w:sz w:val="32"/>
          <w:szCs w:val="24"/>
          <w:highlight w:val="none"/>
          <w:lang w:val="en-US" w:eastAsia="zh-CN"/>
        </w:rPr>
        <w:t>1</w:t>
      </w:r>
      <w:r>
        <w:rPr>
          <w:rFonts w:hint="eastAsia" w:ascii="仿宋_GB2312" w:hAnsi="Times New Roman" w:eastAsia="仿宋_GB2312" w:cs="仿宋_GB2312"/>
          <w:b/>
          <w:bCs w:val="0"/>
          <w:spacing w:val="0"/>
          <w:sz w:val="32"/>
          <w:szCs w:val="24"/>
          <w:highlight w:val="none"/>
          <w:lang w:val="en-US" w:eastAsia="zh-CN"/>
        </w:rPr>
        <w:t>.落实垃圾分类品质提升三年行动计划，推进箱房式投放点建设。</w:t>
      </w:r>
      <w:r>
        <w:rPr>
          <w:rFonts w:hint="eastAsia" w:ascii="仿宋_GB2312" w:hAnsi="Times New Roman" w:eastAsia="仿宋_GB2312" w:cs="仿宋_GB2312"/>
          <w:bCs/>
          <w:spacing w:val="0"/>
          <w:sz w:val="32"/>
          <w:szCs w:val="24"/>
          <w:highlight w:val="none"/>
          <w:lang w:val="en-US" w:eastAsia="zh-CN"/>
        </w:rPr>
        <w:t>优化生活垃圾全品类、全链条管理，将垃圾分类纳入“疏整促”考核体系，构建“区级、街镇、社区、物业”四级联动机制，建立月度评估和整改闭环机制。强化源头减量和分类宣传，助力过度包装治理。按照“一小区一方案”原则，对小区敞开式垃圾桶站进行整合归并，因地制宜建设箱房式投放点，每</w:t>
      </w:r>
      <w:r>
        <w:rPr>
          <w:rFonts w:hint="eastAsia" w:ascii="Times New Roman" w:hAnsi="Times New Roman" w:eastAsia="Times New Roman" w:cs="Times New Roman"/>
          <w:bCs/>
          <w:spacing w:val="0"/>
          <w:sz w:val="32"/>
          <w:szCs w:val="24"/>
          <w:highlight w:val="none"/>
          <w:lang w:val="en-US" w:eastAsia="zh-CN"/>
        </w:rPr>
        <w:t>300</w:t>
      </w:r>
      <w:r>
        <w:rPr>
          <w:rFonts w:hint="eastAsia" w:ascii="仿宋_GB2312" w:hAnsi="Times New Roman" w:eastAsia="仿宋_GB2312" w:cs="仿宋_GB2312"/>
          <w:bCs/>
          <w:spacing w:val="0"/>
          <w:sz w:val="32"/>
          <w:szCs w:val="24"/>
          <w:highlight w:val="none"/>
          <w:lang w:val="en-US" w:eastAsia="zh-CN"/>
        </w:rPr>
        <w:t>至</w:t>
      </w:r>
      <w:r>
        <w:rPr>
          <w:rFonts w:hint="eastAsia" w:ascii="Times New Roman" w:hAnsi="Times New Roman" w:eastAsia="Times New Roman" w:cs="Times New Roman"/>
          <w:bCs/>
          <w:spacing w:val="0"/>
          <w:sz w:val="32"/>
          <w:szCs w:val="24"/>
          <w:highlight w:val="none"/>
          <w:lang w:val="en-US" w:eastAsia="zh-CN"/>
        </w:rPr>
        <w:t>500</w:t>
      </w:r>
      <w:r>
        <w:rPr>
          <w:rFonts w:hint="eastAsia" w:ascii="仿宋_GB2312" w:hAnsi="Times New Roman" w:eastAsia="仿宋_GB2312" w:cs="仿宋_GB2312"/>
          <w:bCs/>
          <w:spacing w:val="0"/>
          <w:sz w:val="32"/>
          <w:szCs w:val="24"/>
          <w:highlight w:val="none"/>
          <w:lang w:val="en-US" w:eastAsia="zh-CN"/>
        </w:rPr>
        <w:t>户居民设置一处，配备灭蚊蝇、除臭等设施。扩大社区智能回收机覆盖面。撤桶后空间用于小区“还绿”或设置座椅、充电桩等便民公共服务设施。</w:t>
      </w:r>
    </w:p>
    <w:p w14:paraId="734A8A94">
      <w:pPr>
        <w:keepNext w:val="0"/>
        <w:keepLines w:val="0"/>
        <w:pageBreakBefore w:val="0"/>
        <w:widowControl/>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left"/>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Times New Roman" w:hAnsi="Times New Roman" w:eastAsia="Times New Roman" w:cs="Times New Roman"/>
          <w:b/>
          <w:bCs w:val="0"/>
          <w:spacing w:val="0"/>
          <w:sz w:val="32"/>
          <w:szCs w:val="24"/>
          <w:highlight w:val="none"/>
          <w:lang w:val="en-US" w:eastAsia="zh-CN"/>
        </w:rPr>
        <w:t>2</w:t>
      </w:r>
      <w:r>
        <w:rPr>
          <w:rFonts w:hint="eastAsia" w:ascii="仿宋_GB2312" w:hAnsi="Times New Roman" w:eastAsia="仿宋_GB2312" w:cs="仿宋_GB2312"/>
          <w:b/>
          <w:bCs w:val="0"/>
          <w:spacing w:val="0"/>
          <w:sz w:val="32"/>
          <w:szCs w:val="24"/>
          <w:highlight w:val="none"/>
          <w:lang w:val="en-US" w:eastAsia="zh-CN"/>
        </w:rPr>
        <w:t>.健全可回收物回收利用体系，推进垃圾处理设施提质升级。</w:t>
      </w:r>
      <w:r>
        <w:rPr>
          <w:rFonts w:hint="eastAsia" w:ascii="仿宋_GB2312" w:hAnsi="Times New Roman" w:eastAsia="仿宋_GB2312" w:cs="仿宋_GB2312"/>
          <w:bCs/>
          <w:spacing w:val="0"/>
          <w:sz w:val="32"/>
          <w:szCs w:val="24"/>
          <w:highlight w:val="none"/>
          <w:lang w:val="en-US" w:eastAsia="zh-CN"/>
        </w:rPr>
        <w:t>完善“点、站、中心”三级回收网络，推动垃圾分类和再生资源回收“两网融合”，实现社区回收服务全覆盖。推进再生资源分拣中心数智化建设，应用智能分选设备和智能仓储系统，实现分拣自动化。推进循环经济产业园环境治理与设施功能优化，提高环境效益与资源化利用水平。强化垃圾转运站智能化升级，配备称重计量、视频监控、智能环保等系统，建立智能高效的垃圾分类管理体系。</w:t>
      </w:r>
    </w:p>
    <w:p w14:paraId="0979D4FB">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left"/>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Times New Roman" w:hAnsi="Times New Roman" w:eastAsia="Times New Roman" w:cs="Times New Roman"/>
          <w:b/>
          <w:bCs w:val="0"/>
          <w:spacing w:val="0"/>
          <w:sz w:val="32"/>
          <w:szCs w:val="24"/>
          <w:highlight w:val="none"/>
          <w:lang w:val="en-US" w:eastAsia="zh-CN"/>
        </w:rPr>
        <w:t>3</w:t>
      </w:r>
      <w:r>
        <w:rPr>
          <w:rFonts w:hint="eastAsia" w:ascii="仿宋_GB2312" w:hAnsi="Times New Roman" w:eastAsia="仿宋_GB2312" w:cs="仿宋_GB2312"/>
          <w:b/>
          <w:bCs w:val="0"/>
          <w:spacing w:val="0"/>
          <w:sz w:val="32"/>
          <w:szCs w:val="24"/>
          <w:highlight w:val="none"/>
          <w:lang w:val="en-US" w:eastAsia="zh-CN"/>
        </w:rPr>
        <w:t>.加强建筑垃圾全链条综合治理。</w:t>
      </w:r>
      <w:r>
        <w:rPr>
          <w:rFonts w:hint="eastAsia" w:ascii="仿宋_GB2312" w:hAnsi="Times New Roman" w:eastAsia="仿宋_GB2312" w:cs="仿宋_GB2312"/>
          <w:b w:val="0"/>
          <w:bCs/>
          <w:spacing w:val="0"/>
          <w:sz w:val="32"/>
          <w:szCs w:val="24"/>
          <w:highlight w:val="none"/>
          <w:lang w:val="en-US" w:eastAsia="zh-CN"/>
        </w:rPr>
        <w:t>构建系统闭环、技术驱动的建筑垃圾全过程治理体系。</w:t>
      </w:r>
      <w:r>
        <w:rPr>
          <w:rFonts w:hint="eastAsia" w:ascii="仿宋_GB2312" w:hAnsi="Times New Roman" w:eastAsia="仿宋_GB2312" w:cs="仿宋_GB2312"/>
          <w:bCs/>
          <w:spacing w:val="0"/>
          <w:sz w:val="32"/>
          <w:szCs w:val="24"/>
          <w:highlight w:val="none"/>
          <w:lang w:val="en-US" w:eastAsia="zh-CN"/>
        </w:rPr>
        <w:t>结合市级要求进一步完善临时、固定设施配置和规范化管理。联合相关部门持续开展建筑垃圾专项整治，重点打击未备案、无证运输、道路遗撒、电子运单未落实、跨省非法转移、非法消纳、超期堆存、越界存放等违法违规行为。</w:t>
      </w:r>
    </w:p>
    <w:tbl>
      <w:tblPr>
        <w:tblStyle w:val="2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5CD1C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3CF74A21">
            <w:pPr>
              <w:pStyle w:val="4"/>
              <w:keepNext/>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仿宋_GB2312" w:hAnsi="Times New Roman" w:eastAsia="仿宋_GB2312" w:cs="仿宋_GB2312"/>
                <w:bCs/>
                <w:spacing w:val="0"/>
                <w:sz w:val="32"/>
                <w:szCs w:val="24"/>
                <w:highlight w:val="none"/>
                <w:vertAlign w:val="baseline"/>
                <w:lang w:val="en-US" w:eastAsia="zh-CN"/>
              </w:rPr>
            </w:pPr>
            <w:bookmarkStart w:id="43" w:name="_Toc18804"/>
            <w:bookmarkStart w:id="44" w:name="_Toc14657"/>
            <w:r>
              <w:rPr>
                <w:rFonts w:hint="eastAsia" w:ascii="黑体" w:hAnsi="黑体" w:eastAsia="黑体" w:cs="黑体"/>
                <w:b w:val="0"/>
                <w:bCs/>
                <w:sz w:val="24"/>
                <w:szCs w:val="24"/>
              </w:rPr>
              <w:t>专栏</w:t>
            </w:r>
            <w:r>
              <w:rPr>
                <w:rFonts w:hint="eastAsia" w:ascii="Times New Roman" w:hAnsi="Times New Roman" w:eastAsia="Times New Roman" w:cs="Times New Roman"/>
                <w:b w:val="0"/>
                <w:bCs/>
                <w:sz w:val="24"/>
                <w:szCs w:val="24"/>
                <w:lang w:val="en-US" w:eastAsia="zh-CN"/>
              </w:rPr>
              <w:t>1</w:t>
            </w:r>
            <w:r>
              <w:rPr>
                <w:rFonts w:hint="eastAsia" w:ascii="黑体" w:hAnsi="黑体" w:eastAsia="黑体" w:cs="黑体"/>
                <w:b w:val="0"/>
                <w:bCs/>
                <w:sz w:val="24"/>
                <w:szCs w:val="24"/>
              </w:rPr>
              <w:t xml:space="preserve"> 环卫设施提质升级</w:t>
            </w:r>
            <w:bookmarkEnd w:id="43"/>
            <w:bookmarkEnd w:id="44"/>
          </w:p>
        </w:tc>
      </w:tr>
      <w:tr w14:paraId="196F4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2FAF45C5">
            <w:pPr>
              <w:pStyle w:val="20"/>
              <w:keepNext w:val="0"/>
              <w:keepLines w:val="0"/>
              <w:widowControl/>
              <w:suppressLineNumbers w:val="0"/>
              <w:spacing w:before="0" w:beforeAutospacing="0" w:after="0" w:afterAutospacing="0" w:line="240" w:lineRule="auto"/>
              <w:ind w:left="0" w:right="0" w:firstLine="420"/>
              <w:jc w:val="left"/>
            </w:pPr>
            <w:r>
              <w:rPr>
                <w:rFonts w:ascii="仿宋" w:hAnsi="仿宋" w:eastAsia="仿宋" w:cs="仿宋"/>
                <w:b w:val="0"/>
                <w:bCs w:val="0"/>
                <w:i w:val="0"/>
                <w:iCs w:val="0"/>
                <w:color w:val="000000"/>
                <w:spacing w:val="-6"/>
                <w:w w:val="100"/>
                <w:sz w:val="24"/>
                <w:szCs w:val="24"/>
                <w:vertAlign w:val="baseline"/>
              </w:rPr>
              <w:t>围绕生活垃圾、建筑垃圾、环卫装备三类，实施设施提标改造项目共</w:t>
            </w:r>
            <w:r>
              <w:rPr>
                <w:rFonts w:ascii="Times New Roman" w:hAnsi="Times New Roman" w:eastAsia="Times New Roman" w:cs="Times New Roman"/>
                <w:b w:val="0"/>
                <w:bCs w:val="0"/>
                <w:i w:val="0"/>
                <w:iCs w:val="0"/>
                <w:color w:val="000000"/>
                <w:spacing w:val="-6"/>
                <w:w w:val="100"/>
                <w:sz w:val="24"/>
                <w:szCs w:val="24"/>
                <w:vertAlign w:val="baseline"/>
              </w:rPr>
              <w:t>9</w:t>
            </w:r>
            <w:r>
              <w:rPr>
                <w:rFonts w:ascii="仿宋" w:hAnsi="仿宋" w:eastAsia="仿宋" w:cs="仿宋"/>
                <w:b w:val="0"/>
                <w:bCs w:val="0"/>
                <w:i w:val="0"/>
                <w:iCs w:val="0"/>
                <w:color w:val="000000"/>
                <w:spacing w:val="-6"/>
                <w:w w:val="100"/>
                <w:sz w:val="24"/>
                <w:szCs w:val="24"/>
                <w:vertAlign w:val="baseline"/>
              </w:rPr>
              <w:t>项。</w:t>
            </w:r>
          </w:p>
          <w:p w14:paraId="033EA731">
            <w:pPr>
              <w:pStyle w:val="20"/>
              <w:keepNext w:val="0"/>
              <w:keepLines w:val="0"/>
              <w:widowControl/>
              <w:suppressLineNumbers w:val="0"/>
              <w:spacing w:before="0" w:beforeAutospacing="0" w:after="0" w:afterAutospacing="0" w:line="240" w:lineRule="auto"/>
              <w:ind w:left="0" w:right="0" w:firstLine="420"/>
              <w:jc w:val="left"/>
            </w:pPr>
            <w:r>
              <w:rPr>
                <w:rFonts w:hint="eastAsia" w:ascii="仿宋" w:hAnsi="仿宋" w:eastAsia="仿宋" w:cs="仿宋"/>
                <w:b/>
                <w:bCs/>
                <w:i w:val="0"/>
                <w:iCs w:val="0"/>
                <w:color w:val="000000"/>
                <w:spacing w:val="-6"/>
                <w:w w:val="100"/>
                <w:sz w:val="24"/>
                <w:szCs w:val="24"/>
                <w:vertAlign w:val="baseline"/>
              </w:rPr>
              <w:t>提升分类处置。</w:t>
            </w:r>
            <w:r>
              <w:rPr>
                <w:rFonts w:hint="eastAsia" w:ascii="仿宋" w:hAnsi="仿宋" w:eastAsia="仿宋" w:cs="仿宋"/>
                <w:b w:val="0"/>
                <w:bCs w:val="0"/>
                <w:i w:val="0"/>
                <w:iCs w:val="0"/>
                <w:color w:val="000000"/>
                <w:spacing w:val="-6"/>
                <w:w w:val="100"/>
                <w:sz w:val="24"/>
                <w:szCs w:val="24"/>
                <w:vertAlign w:val="baseline"/>
              </w:rPr>
              <w:t>实施餐厨厨余垃圾处理厂环保升级项目，建设可回收物精分拣中心，实施填埋场环保治理项目，完善“点、站、中心”三级回收网络。</w:t>
            </w:r>
          </w:p>
          <w:p w14:paraId="31627111">
            <w:pPr>
              <w:pStyle w:val="20"/>
              <w:keepNext w:val="0"/>
              <w:keepLines w:val="0"/>
              <w:widowControl/>
              <w:suppressLineNumbers w:val="0"/>
              <w:spacing w:before="0" w:beforeAutospacing="0" w:after="0" w:afterAutospacing="0" w:line="240" w:lineRule="auto"/>
              <w:ind w:left="0" w:right="0" w:firstLine="420"/>
              <w:jc w:val="left"/>
            </w:pPr>
            <w:r>
              <w:rPr>
                <w:rFonts w:hint="eastAsia" w:ascii="仿宋" w:hAnsi="仿宋" w:eastAsia="仿宋" w:cs="仿宋"/>
                <w:b/>
                <w:bCs/>
                <w:i w:val="0"/>
                <w:iCs w:val="0"/>
                <w:color w:val="000000"/>
                <w:spacing w:val="-6"/>
                <w:w w:val="100"/>
                <w:sz w:val="24"/>
                <w:szCs w:val="24"/>
                <w:vertAlign w:val="baseline"/>
              </w:rPr>
              <w:t>强化建筑垃圾治理。</w:t>
            </w:r>
            <w:r>
              <w:rPr>
                <w:rFonts w:hint="eastAsia" w:ascii="仿宋" w:hAnsi="仿宋" w:eastAsia="仿宋" w:cs="仿宋"/>
                <w:b w:val="0"/>
                <w:bCs w:val="0"/>
                <w:i w:val="0"/>
                <w:iCs w:val="0"/>
                <w:color w:val="000000"/>
                <w:spacing w:val="-6"/>
                <w:w w:val="100"/>
                <w:sz w:val="24"/>
                <w:szCs w:val="24"/>
                <w:vertAlign w:val="baseline"/>
              </w:rPr>
              <w:t>实施建筑垃圾全链条管理项目，优化建筑垃圾处置场建设，规范临时、固定设施配置与运行管理。</w:t>
            </w:r>
          </w:p>
          <w:p w14:paraId="3439F182">
            <w:pPr>
              <w:pStyle w:val="20"/>
              <w:keepNext w:val="0"/>
              <w:keepLines w:val="0"/>
              <w:widowControl/>
              <w:suppressLineNumbers w:val="0"/>
              <w:spacing w:before="0" w:beforeAutospacing="0" w:after="0" w:afterAutospacing="0" w:line="240" w:lineRule="auto"/>
              <w:ind w:left="0" w:right="0" w:firstLine="420"/>
              <w:jc w:val="left"/>
              <w:rPr>
                <w:rFonts w:hint="eastAsia" w:ascii="仿宋_GB2312" w:hAnsi="Times New Roman" w:eastAsia="仿宋_GB2312" w:cs="仿宋_GB2312"/>
                <w:bCs/>
                <w:spacing w:val="0"/>
                <w:sz w:val="32"/>
                <w:szCs w:val="24"/>
                <w:highlight w:val="none"/>
                <w:vertAlign w:val="baseline"/>
                <w:lang w:val="en-US" w:eastAsia="zh-CN"/>
              </w:rPr>
            </w:pPr>
            <w:r>
              <w:rPr>
                <w:rFonts w:hint="eastAsia" w:ascii="仿宋" w:hAnsi="仿宋" w:eastAsia="仿宋" w:cs="仿宋"/>
                <w:b/>
                <w:bCs/>
                <w:i w:val="0"/>
                <w:iCs w:val="0"/>
                <w:color w:val="000000"/>
                <w:spacing w:val="-6"/>
                <w:w w:val="100"/>
                <w:sz w:val="24"/>
                <w:szCs w:val="24"/>
                <w:vertAlign w:val="baseline"/>
              </w:rPr>
              <w:t>推进装备更新。</w:t>
            </w:r>
            <w:r>
              <w:rPr>
                <w:rFonts w:hint="eastAsia" w:ascii="仿宋" w:hAnsi="仿宋" w:eastAsia="仿宋" w:cs="仿宋"/>
                <w:b w:val="0"/>
                <w:bCs w:val="0"/>
                <w:i w:val="0"/>
                <w:iCs w:val="0"/>
                <w:color w:val="000000"/>
                <w:spacing w:val="-6"/>
                <w:w w:val="100"/>
                <w:sz w:val="24"/>
                <w:szCs w:val="24"/>
                <w:vertAlign w:val="baseline"/>
              </w:rPr>
              <w:t>实施环卫车辆更新（第一期、第二期），推进环卫设施升级改造，扩大新能源环卫车辆覆盖率；布局算电协同产业园，推动环卫与能源算力融合。</w:t>
            </w:r>
          </w:p>
        </w:tc>
      </w:tr>
    </w:tbl>
    <w:p w14:paraId="3C09F164">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3" w:firstLineChars="200"/>
        <w:jc w:val="left"/>
        <w:textAlignment w:val="auto"/>
        <w:outlineLvl w:val="2"/>
        <w:rPr>
          <w:rFonts w:hint="eastAsia" w:ascii="楷体_GB2312" w:hAnsi="楷体_GB2312" w:eastAsia="楷体_GB2312" w:cs="楷体_GB2312"/>
          <w:b/>
          <w:bCs w:val="0"/>
          <w:spacing w:val="0"/>
          <w:sz w:val="32"/>
          <w:szCs w:val="24"/>
          <w:highlight w:val="none"/>
          <w:lang w:val="en-US" w:eastAsia="zh-CN"/>
        </w:rPr>
      </w:pPr>
      <w:bookmarkStart w:id="45" w:name="_Toc18399"/>
      <w:r>
        <w:rPr>
          <w:rFonts w:hint="eastAsia" w:ascii="楷体_GB2312" w:hAnsi="楷体_GB2312" w:eastAsia="楷体_GB2312" w:cs="楷体_GB2312"/>
          <w:b/>
          <w:bCs w:val="0"/>
          <w:spacing w:val="0"/>
          <w:sz w:val="32"/>
          <w:szCs w:val="24"/>
          <w:highlight w:val="none"/>
          <w:lang w:val="en-US" w:eastAsia="zh-CN"/>
        </w:rPr>
        <w:t>（三）统筹交通综合治理</w:t>
      </w:r>
      <w:bookmarkEnd w:id="45"/>
    </w:p>
    <w:p w14:paraId="52C728BB">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left"/>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仿宋_GB2312" w:hAnsi="Times New Roman" w:eastAsia="仿宋_GB2312" w:cs="仿宋_GB2312"/>
          <w:bCs/>
          <w:spacing w:val="0"/>
          <w:sz w:val="32"/>
          <w:szCs w:val="24"/>
          <w:highlight w:val="none"/>
          <w:lang w:val="en-US" w:eastAsia="zh-CN"/>
        </w:rPr>
        <w:t>针对停车管理类诉求占比高、停车资源供需矛盾突出、交通拥堵治理任务繁重、河东河西交通发展不均衡等问题，坚持“向管理要空间、向规划要容量、向体系要秩序”的治理思路，统筹推进交通综合治理，重点推进以下任务：</w:t>
      </w:r>
    </w:p>
    <w:p w14:paraId="2098750F">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left"/>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Times New Roman" w:hAnsi="Times New Roman" w:eastAsia="Times New Roman" w:cs="Times New Roman"/>
          <w:b/>
          <w:bCs w:val="0"/>
          <w:spacing w:val="0"/>
          <w:sz w:val="32"/>
          <w:szCs w:val="24"/>
          <w:highlight w:val="none"/>
          <w:lang w:val="en-US" w:eastAsia="zh-CN"/>
        </w:rPr>
        <w:t>1</w:t>
      </w:r>
      <w:r>
        <w:rPr>
          <w:rFonts w:hint="eastAsia" w:ascii="仿宋_GB2312" w:hAnsi="Times New Roman" w:eastAsia="仿宋_GB2312" w:cs="仿宋_GB2312"/>
          <w:b/>
          <w:bCs w:val="0"/>
          <w:spacing w:val="0"/>
          <w:sz w:val="32"/>
          <w:szCs w:val="24"/>
          <w:highlight w:val="none"/>
          <w:lang w:val="en-US" w:eastAsia="zh-CN"/>
        </w:rPr>
        <w:t>.优化机动车停车资源供给。</w:t>
      </w:r>
      <w:r>
        <w:rPr>
          <w:rFonts w:hint="eastAsia" w:ascii="仿宋_GB2312" w:hAnsi="Times New Roman" w:eastAsia="仿宋_GB2312" w:cs="仿宋_GB2312"/>
          <w:bCs/>
          <w:spacing w:val="0"/>
          <w:sz w:val="32"/>
          <w:szCs w:val="24"/>
          <w:highlight w:val="none"/>
          <w:lang w:val="en-US" w:eastAsia="zh-CN"/>
        </w:rPr>
        <w:t>新增</w:t>
      </w:r>
      <w:r>
        <w:rPr>
          <w:rFonts w:hint="eastAsia" w:ascii="Times New Roman" w:hAnsi="Times New Roman" w:eastAsia="Times New Roman" w:cs="Times New Roman"/>
          <w:bCs/>
          <w:spacing w:val="0"/>
          <w:sz w:val="32"/>
          <w:szCs w:val="24"/>
          <w:highlight w:val="none"/>
          <w:lang w:val="en-US" w:eastAsia="zh-CN"/>
        </w:rPr>
        <w:t>40</w:t>
      </w:r>
      <w:r>
        <w:rPr>
          <w:rFonts w:hint="eastAsia" w:ascii="仿宋_GB2312" w:hAnsi="Times New Roman" w:eastAsia="仿宋_GB2312" w:cs="仿宋_GB2312"/>
          <w:bCs/>
          <w:spacing w:val="0"/>
          <w:sz w:val="32"/>
          <w:szCs w:val="24"/>
          <w:highlight w:val="none"/>
          <w:lang w:val="en-US" w:eastAsia="zh-CN"/>
        </w:rPr>
        <w:t>余条电子收费道路，取消影响通行的停车位，杜绝“一位多占”，提高车位周转率；针对“学医景商”和老旧小区等区域，采取“新建+挖潜”策略，新增停车泊位</w:t>
      </w:r>
      <w:r>
        <w:rPr>
          <w:rFonts w:hint="eastAsia" w:ascii="Times New Roman" w:hAnsi="Times New Roman" w:eastAsia="Times New Roman" w:cs="Times New Roman"/>
          <w:bCs/>
          <w:spacing w:val="0"/>
          <w:sz w:val="32"/>
          <w:szCs w:val="24"/>
          <w:highlight w:val="none"/>
          <w:lang w:val="en-US" w:eastAsia="zh-CN"/>
        </w:rPr>
        <w:t>2</w:t>
      </w:r>
      <w:r>
        <w:rPr>
          <w:rFonts w:hint="eastAsia" w:ascii="仿宋_GB2312" w:hAnsi="Times New Roman" w:eastAsia="仿宋_GB2312" w:cs="仿宋_GB2312"/>
          <w:bCs/>
          <w:spacing w:val="0"/>
          <w:sz w:val="32"/>
          <w:szCs w:val="24"/>
          <w:highlight w:val="none"/>
          <w:lang w:val="en-US" w:eastAsia="zh-CN"/>
        </w:rPr>
        <w:t>万个，推动错时共享停车。</w:t>
      </w:r>
    </w:p>
    <w:p w14:paraId="624A98F4">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left"/>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Times New Roman" w:hAnsi="Times New Roman" w:eastAsia="Times New Roman" w:cs="Times New Roman"/>
          <w:b/>
          <w:bCs w:val="0"/>
          <w:spacing w:val="0"/>
          <w:sz w:val="32"/>
          <w:szCs w:val="24"/>
          <w:highlight w:val="none"/>
          <w:lang w:val="en-US" w:eastAsia="zh-CN"/>
        </w:rPr>
        <w:t>2</w:t>
      </w:r>
      <w:r>
        <w:rPr>
          <w:rFonts w:hint="eastAsia" w:ascii="仿宋_GB2312" w:hAnsi="Times New Roman" w:eastAsia="仿宋_GB2312" w:cs="仿宋_GB2312"/>
          <w:b/>
          <w:bCs w:val="0"/>
          <w:spacing w:val="0"/>
          <w:sz w:val="32"/>
          <w:szCs w:val="24"/>
          <w:highlight w:val="none"/>
          <w:lang w:val="en-US" w:eastAsia="zh-CN"/>
        </w:rPr>
        <w:t>.推动“停车+充电”一体布局。</w:t>
      </w:r>
      <w:r>
        <w:rPr>
          <w:rFonts w:hint="eastAsia" w:ascii="仿宋_GB2312" w:hAnsi="Times New Roman" w:eastAsia="仿宋_GB2312" w:cs="仿宋_GB2312"/>
          <w:bCs/>
          <w:spacing w:val="0"/>
          <w:sz w:val="32"/>
          <w:szCs w:val="24"/>
          <w:highlight w:val="none"/>
          <w:lang w:val="en-US" w:eastAsia="zh-CN"/>
        </w:rPr>
        <w:t>新建公共建筑和大型商业综合体停车场按不低于车位总数</w:t>
      </w:r>
      <w:r>
        <w:rPr>
          <w:rFonts w:hint="eastAsia" w:ascii="Times New Roman" w:hAnsi="Times New Roman" w:eastAsia="Times New Roman" w:cs="Times New Roman"/>
          <w:bCs/>
          <w:spacing w:val="0"/>
          <w:sz w:val="32"/>
          <w:szCs w:val="24"/>
          <w:highlight w:val="none"/>
          <w:lang w:val="en-US" w:eastAsia="zh-CN"/>
        </w:rPr>
        <w:t>10</w:t>
      </w:r>
      <w:r>
        <w:rPr>
          <w:rFonts w:hint="eastAsia" w:ascii="仿宋_GB2312" w:hAnsi="Times New Roman" w:eastAsia="仿宋_GB2312" w:cs="仿宋_GB2312"/>
          <w:bCs/>
          <w:spacing w:val="0"/>
          <w:sz w:val="32"/>
          <w:szCs w:val="24"/>
          <w:highlight w:val="none"/>
          <w:lang w:val="en-US" w:eastAsia="zh-CN"/>
        </w:rPr>
        <w:t>%的比例同步配建充电桩，预留电力容量与管线条件。推动既有社会公共停车场和交通枢纽停车场进行充电设施试点改造。鼓励停车场管理方、充电运营商、车企、电力公司等多主体参与投资运营，构建“停车+充电”一体化基础设施体系。</w:t>
      </w:r>
    </w:p>
    <w:p w14:paraId="72DE6708">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left"/>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Times New Roman" w:hAnsi="Times New Roman" w:eastAsia="Times New Roman" w:cs="Times New Roman"/>
          <w:b/>
          <w:bCs w:val="0"/>
          <w:spacing w:val="0"/>
          <w:sz w:val="32"/>
          <w:szCs w:val="24"/>
          <w:highlight w:val="none"/>
          <w:lang w:val="en-US" w:eastAsia="zh-CN"/>
        </w:rPr>
        <w:t>3</w:t>
      </w:r>
      <w:r>
        <w:rPr>
          <w:rFonts w:hint="eastAsia" w:ascii="仿宋_GB2312" w:hAnsi="Times New Roman" w:eastAsia="仿宋_GB2312" w:cs="仿宋_GB2312"/>
          <w:b/>
          <w:bCs w:val="0"/>
          <w:spacing w:val="0"/>
          <w:sz w:val="32"/>
          <w:szCs w:val="24"/>
          <w:highlight w:val="none"/>
          <w:lang w:val="en-US" w:eastAsia="zh-CN"/>
        </w:rPr>
        <w:t>.强化非机动车停车管理。</w:t>
      </w:r>
      <w:r>
        <w:rPr>
          <w:rFonts w:hint="eastAsia" w:ascii="仿宋_GB2312" w:hAnsi="Times New Roman" w:eastAsia="仿宋_GB2312" w:cs="仿宋_GB2312"/>
          <w:bCs/>
          <w:spacing w:val="0"/>
          <w:sz w:val="32"/>
          <w:szCs w:val="24"/>
          <w:highlight w:val="none"/>
          <w:lang w:val="en-US" w:eastAsia="zh-CN"/>
        </w:rPr>
        <w:t>优化非机动车停放区设置，按照“配建为主、公共为辅、道路为补充”的原则挖潜停放空间，利用边角空地布设停放点，配套电子围栏，建立部门、街道、运营企业三方联动管控机制。依据潮汐规律动态调控互联网租赁自行车投放数量，督促运营企业配足运维人员和调度车辆，坚持“谁投放、谁管理”原则，及时清理违规停放和超量堆积车辆，保障停放规范有序。</w:t>
      </w:r>
    </w:p>
    <w:p w14:paraId="7BDBA8D6">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left"/>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Times New Roman" w:hAnsi="Times New Roman" w:eastAsia="Times New Roman" w:cs="Times New Roman"/>
          <w:b/>
          <w:bCs w:val="0"/>
          <w:spacing w:val="0"/>
          <w:sz w:val="32"/>
          <w:szCs w:val="24"/>
          <w:highlight w:val="none"/>
          <w:lang w:val="en-US" w:eastAsia="zh-CN"/>
        </w:rPr>
        <w:t>4</w:t>
      </w:r>
      <w:r>
        <w:rPr>
          <w:rFonts w:hint="eastAsia" w:ascii="仿宋_GB2312" w:hAnsi="Times New Roman" w:eastAsia="仿宋_GB2312" w:cs="仿宋_GB2312"/>
          <w:b/>
          <w:bCs w:val="0"/>
          <w:spacing w:val="0"/>
          <w:sz w:val="32"/>
          <w:szCs w:val="24"/>
          <w:highlight w:val="none"/>
          <w:lang w:val="en-US" w:eastAsia="zh-CN"/>
        </w:rPr>
        <w:t>.持续发力推进辖区交通疏堵治理。</w:t>
      </w:r>
      <w:r>
        <w:rPr>
          <w:rFonts w:hint="eastAsia" w:ascii="仿宋_GB2312" w:hAnsi="Times New Roman" w:eastAsia="仿宋_GB2312" w:cs="仿宋_GB2312"/>
          <w:bCs/>
          <w:spacing w:val="0"/>
          <w:sz w:val="32"/>
          <w:szCs w:val="24"/>
          <w:highlight w:val="none"/>
          <w:lang w:val="en-US" w:eastAsia="zh-CN"/>
        </w:rPr>
        <w:t>聚焦道路时空资源配置不均衡，试点推行潮汐车道等动态交通组织方式，配合市级部门实施京港澳、京开、杜家坎等重点点位疏堵整治。围绕断头路打通、“学医景商”周边治理等制定综合治理方案，每年完成不少于</w:t>
      </w:r>
      <w:r>
        <w:rPr>
          <w:rFonts w:hint="eastAsia" w:ascii="Times New Roman" w:hAnsi="Times New Roman" w:eastAsia="Times New Roman" w:cs="Times New Roman"/>
          <w:bCs/>
          <w:spacing w:val="0"/>
          <w:sz w:val="32"/>
          <w:szCs w:val="24"/>
          <w:highlight w:val="none"/>
          <w:lang w:val="en-US" w:eastAsia="zh-CN"/>
        </w:rPr>
        <w:t>5</w:t>
      </w:r>
      <w:r>
        <w:rPr>
          <w:rFonts w:hint="eastAsia" w:ascii="仿宋_GB2312" w:hAnsi="Times New Roman" w:eastAsia="仿宋_GB2312" w:cs="仿宋_GB2312"/>
          <w:bCs/>
          <w:spacing w:val="0"/>
          <w:sz w:val="32"/>
          <w:szCs w:val="24"/>
          <w:highlight w:val="none"/>
          <w:lang w:val="en-US" w:eastAsia="zh-CN"/>
        </w:rPr>
        <w:t>处区级堵点治理。消除步行通道断点，清理阻隔物，保障步行网络连续畅通。</w:t>
      </w:r>
    </w:p>
    <w:p w14:paraId="4EADE16C">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left"/>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Times New Roman" w:hAnsi="Times New Roman" w:eastAsia="Times New Roman" w:cs="Times New Roman"/>
          <w:b/>
          <w:bCs w:val="0"/>
          <w:spacing w:val="0"/>
          <w:sz w:val="32"/>
          <w:szCs w:val="24"/>
          <w:highlight w:val="none"/>
          <w:lang w:val="en-US" w:eastAsia="zh-CN"/>
        </w:rPr>
        <w:t>5</w:t>
      </w:r>
      <w:r>
        <w:rPr>
          <w:rFonts w:hint="eastAsia" w:ascii="仿宋_GB2312" w:hAnsi="Times New Roman" w:eastAsia="仿宋_GB2312" w:cs="仿宋_GB2312"/>
          <w:b/>
          <w:bCs w:val="0"/>
          <w:spacing w:val="0"/>
          <w:sz w:val="32"/>
          <w:szCs w:val="24"/>
          <w:highlight w:val="none"/>
          <w:lang w:val="en-US" w:eastAsia="zh-CN"/>
        </w:rPr>
        <w:t>.强化重点区域差异化交通治理。</w:t>
      </w:r>
      <w:r>
        <w:rPr>
          <w:rFonts w:hint="eastAsia" w:ascii="仿宋_GB2312" w:hAnsi="Times New Roman" w:eastAsia="仿宋_GB2312" w:cs="仿宋_GB2312"/>
          <w:bCs/>
          <w:spacing w:val="0"/>
          <w:sz w:val="32"/>
          <w:szCs w:val="24"/>
          <w:highlight w:val="none"/>
          <w:lang w:val="en-US" w:eastAsia="zh-CN"/>
        </w:rPr>
        <w:t>推行“一街一策”精准治理，针对“学医景商”周边实施限时停车等措施，强化高峰疏导，严查电动自行车违法。实施差异化交通战略，河东提升丽泽交通品质，破解科技园区停车难，推进分钟寺等路网建设；河西聚焦园博园、京良路西段等关键节点，补齐交通基础设施短板，提升交通服务品质。</w:t>
      </w:r>
    </w:p>
    <w:p w14:paraId="5FBE67F1">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left"/>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Times New Roman" w:hAnsi="Times New Roman" w:eastAsia="Times New Roman" w:cs="Times New Roman"/>
          <w:b/>
          <w:bCs w:val="0"/>
          <w:spacing w:val="0"/>
          <w:sz w:val="32"/>
          <w:szCs w:val="24"/>
          <w:highlight w:val="none"/>
          <w:lang w:val="en-US" w:eastAsia="zh-CN"/>
        </w:rPr>
        <w:t>6</w:t>
      </w:r>
      <w:r>
        <w:rPr>
          <w:rFonts w:hint="eastAsia" w:ascii="仿宋_GB2312" w:hAnsi="Times New Roman" w:eastAsia="仿宋_GB2312" w:cs="仿宋_GB2312"/>
          <w:b/>
          <w:bCs w:val="0"/>
          <w:spacing w:val="0"/>
          <w:sz w:val="32"/>
          <w:szCs w:val="24"/>
          <w:highlight w:val="none"/>
          <w:lang w:val="en-US" w:eastAsia="zh-CN"/>
        </w:rPr>
        <w:t>.推进交旅融合与交通服务品质提升。</w:t>
      </w:r>
      <w:r>
        <w:rPr>
          <w:rFonts w:hint="eastAsia" w:ascii="仿宋_GB2312" w:hAnsi="Times New Roman" w:eastAsia="仿宋_GB2312" w:cs="仿宋_GB2312"/>
          <w:bCs/>
          <w:spacing w:val="0"/>
          <w:sz w:val="32"/>
          <w:szCs w:val="24"/>
          <w:highlight w:val="none"/>
          <w:lang w:val="en-US" w:eastAsia="zh-CN"/>
        </w:rPr>
        <w:t>围绕“两园一河”、南中轴地区等核心文旅片区，优化沿线交通指引和旅游标识系统，配合打造旅游主题公交专线，构建多层次文旅接驳服务网络，推动交通服务与文旅消费融合发展。</w:t>
      </w:r>
    </w:p>
    <w:p w14:paraId="282D517F">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left"/>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Times New Roman" w:hAnsi="Times New Roman" w:eastAsia="Times New Roman" w:cs="Times New Roman"/>
          <w:b/>
          <w:bCs w:val="0"/>
          <w:spacing w:val="0"/>
          <w:sz w:val="32"/>
          <w:szCs w:val="24"/>
          <w:highlight w:val="none"/>
          <w:lang w:val="en-US" w:eastAsia="zh-CN"/>
        </w:rPr>
        <w:t>7</w:t>
      </w:r>
      <w:r>
        <w:rPr>
          <w:rFonts w:hint="eastAsia" w:ascii="仿宋_GB2312" w:hAnsi="Times New Roman" w:eastAsia="仿宋_GB2312" w:cs="仿宋_GB2312"/>
          <w:b/>
          <w:bCs w:val="0"/>
          <w:spacing w:val="0"/>
          <w:sz w:val="32"/>
          <w:szCs w:val="24"/>
          <w:highlight w:val="none"/>
          <w:lang w:val="en-US" w:eastAsia="zh-CN"/>
        </w:rPr>
        <w:t>.推进交通无障碍环境建设。</w:t>
      </w:r>
      <w:r>
        <w:rPr>
          <w:rFonts w:hint="eastAsia" w:ascii="仿宋_GB2312" w:hAnsi="Times New Roman" w:eastAsia="仿宋_GB2312" w:cs="仿宋_GB2312"/>
          <w:bCs/>
          <w:spacing w:val="0"/>
          <w:sz w:val="32"/>
          <w:szCs w:val="24"/>
          <w:highlight w:val="none"/>
          <w:lang w:val="en-US" w:eastAsia="zh-CN"/>
        </w:rPr>
        <w:t>贯彻落实无障碍环境建设要求，推进新建、扩建和改建交通设施无障碍达标率达到</w:t>
      </w:r>
      <w:r>
        <w:rPr>
          <w:rFonts w:hint="eastAsia" w:ascii="Times New Roman" w:hAnsi="Times New Roman" w:eastAsia="Times New Roman" w:cs="Times New Roman"/>
          <w:bCs/>
          <w:spacing w:val="0"/>
          <w:sz w:val="32"/>
          <w:szCs w:val="24"/>
          <w:highlight w:val="none"/>
          <w:lang w:val="en-US" w:eastAsia="zh-CN"/>
        </w:rPr>
        <w:t>100</w:t>
      </w:r>
      <w:r>
        <w:rPr>
          <w:rFonts w:hint="eastAsia" w:ascii="仿宋_GB2312" w:hAnsi="Times New Roman" w:eastAsia="仿宋_GB2312" w:cs="仿宋_GB2312"/>
          <w:bCs/>
          <w:spacing w:val="0"/>
          <w:sz w:val="32"/>
          <w:szCs w:val="24"/>
          <w:highlight w:val="none"/>
          <w:lang w:val="en-US" w:eastAsia="zh-CN"/>
        </w:rPr>
        <w:t>%。重点推进交通枢纽、公交站点、人行过街设施等无障碍改造，完善盲道、缘石坡道、无障碍标识等设施，保障老年人、残疾人等群体安全便捷出行。</w:t>
      </w:r>
    </w:p>
    <w:p w14:paraId="3F5A5933">
      <w:pPr>
        <w:pStyle w:val="3"/>
        <w:keepNext/>
        <w:keepLines/>
        <w:widowControl w:val="0"/>
        <w:numPr>
          <w:ilvl w:val="-1"/>
          <w:numId w:val="0"/>
        </w:numPr>
        <w:adjustRightInd/>
        <w:snapToGrid/>
        <w:spacing w:after="0" w:afterLines="0" w:line="560" w:lineRule="exact"/>
        <w:ind w:leftChars="200" w:firstLine="0" w:firstLineChars="0"/>
        <w:textAlignment w:val="baseline"/>
        <w:rPr>
          <w:rFonts w:hint="eastAsia" w:ascii="黑体" w:hAnsi="黑体" w:eastAsia="黑体" w:cs="黑体"/>
          <w:b w:val="0"/>
          <w:bCs/>
          <w:spacing w:val="-6"/>
          <w:sz w:val="32"/>
          <w:szCs w:val="32"/>
          <w:highlight w:val="none"/>
          <w:lang w:val="en-US" w:eastAsia="zh-CN"/>
        </w:rPr>
      </w:pPr>
      <w:bookmarkStart w:id="46" w:name="_Toc7762"/>
      <w:bookmarkStart w:id="47" w:name="_Toc15685"/>
      <w:r>
        <w:rPr>
          <w:rFonts w:hint="eastAsia" w:ascii="黑体" w:hAnsi="黑体" w:eastAsia="黑体" w:cs="黑体"/>
          <w:b w:val="0"/>
          <w:bCs/>
          <w:spacing w:val="-6"/>
          <w:sz w:val="32"/>
          <w:szCs w:val="32"/>
          <w:highlight w:val="none"/>
          <w:lang w:val="en-US" w:eastAsia="zh-CN"/>
        </w:rPr>
        <w:t>三、塑造城市美丽景观</w:t>
      </w:r>
      <w:bookmarkEnd w:id="46"/>
      <w:r>
        <w:rPr>
          <w:rFonts w:hint="eastAsia" w:ascii="黑体" w:hAnsi="黑体" w:eastAsia="黑体" w:cs="黑体"/>
          <w:b w:val="0"/>
          <w:bCs/>
          <w:spacing w:val="-6"/>
          <w:sz w:val="32"/>
          <w:szCs w:val="32"/>
          <w:highlight w:val="none"/>
          <w:lang w:val="en-US" w:eastAsia="zh-CN"/>
        </w:rPr>
        <w:t>风貌</w:t>
      </w:r>
      <w:bookmarkEnd w:id="47"/>
    </w:p>
    <w:p w14:paraId="58BD2C81">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left"/>
        <w:textAlignment w:val="auto"/>
        <w:outlineLvl w:val="9"/>
        <w:rPr>
          <w:rFonts w:hint="default"/>
          <w:lang w:val="en-US" w:eastAsia="zh-CN"/>
        </w:rPr>
      </w:pPr>
      <w:r>
        <w:rPr>
          <w:rFonts w:hint="eastAsia" w:ascii="仿宋_GB2312" w:hAnsi="Times New Roman" w:eastAsia="仿宋_GB2312" w:cs="仿宋_GB2312"/>
          <w:bCs/>
          <w:spacing w:val="0"/>
          <w:sz w:val="32"/>
          <w:szCs w:val="24"/>
          <w:highlight w:val="none"/>
          <w:lang w:val="en-US" w:eastAsia="zh-CN"/>
        </w:rPr>
        <w:t>美丽是首都风范的直观彰显。落实“建设美丽城市”部署与丰台“三化五区”战略，必须把“提景增靓”作为内涵式发展的空间载体，以重点区域景观塑造与公共空间精治，擦亮“首都前院、文化客厅”的丰台印象。</w:t>
      </w:r>
    </w:p>
    <w:p w14:paraId="78F6597B">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3" w:firstLineChars="200"/>
        <w:jc w:val="left"/>
        <w:textAlignment w:val="auto"/>
        <w:outlineLvl w:val="2"/>
        <w:rPr>
          <w:rFonts w:hint="eastAsia" w:ascii="楷体_GB2312" w:hAnsi="楷体_GB2312" w:eastAsia="楷体_GB2312" w:cs="楷体_GB2312"/>
          <w:b/>
          <w:bCs w:val="0"/>
          <w:spacing w:val="0"/>
          <w:sz w:val="32"/>
          <w:szCs w:val="24"/>
          <w:highlight w:val="none"/>
          <w:lang w:val="en-US" w:eastAsia="zh-CN"/>
        </w:rPr>
      </w:pPr>
      <w:bookmarkStart w:id="48" w:name="_Toc11022"/>
      <w:r>
        <w:rPr>
          <w:rFonts w:hint="eastAsia" w:ascii="楷体_GB2312" w:hAnsi="楷体_GB2312" w:eastAsia="楷体_GB2312" w:cs="楷体_GB2312"/>
          <w:b/>
          <w:bCs w:val="0"/>
          <w:spacing w:val="0"/>
          <w:sz w:val="32"/>
          <w:szCs w:val="24"/>
          <w:highlight w:val="none"/>
          <w:lang w:val="en-US" w:eastAsia="zh-CN"/>
        </w:rPr>
        <w:t>（一）塑造丰台特色景观风貌</w:t>
      </w:r>
      <w:bookmarkEnd w:id="48"/>
    </w:p>
    <w:p w14:paraId="5A332745">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left"/>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仿宋_GB2312" w:hAnsi="Times New Roman" w:eastAsia="仿宋_GB2312" w:cs="仿宋_GB2312"/>
          <w:bCs/>
          <w:spacing w:val="0"/>
          <w:sz w:val="32"/>
          <w:szCs w:val="24"/>
          <w:highlight w:val="none"/>
          <w:lang w:val="en-US" w:eastAsia="zh-CN"/>
        </w:rPr>
        <w:t>针对彰显首都风范的城市景观风貌不够、重点区域景观品质有待提升等问题，落实市委、市政府花园城市建设部署，聚焦“三站两楼”、南中轴、环路沿线等领导关注、群众可视的重点区域，重点推进以下任务：</w:t>
      </w:r>
    </w:p>
    <w:p w14:paraId="5D621139">
      <w:pPr>
        <w:keepNext w:val="0"/>
        <w:keepLines w:val="0"/>
        <w:pageBreakBefore w:val="0"/>
        <w:widowControl/>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left"/>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Times New Roman" w:hAnsi="Times New Roman" w:eastAsia="Times New Roman" w:cs="Times New Roman"/>
          <w:b/>
          <w:bCs w:val="0"/>
          <w:spacing w:val="0"/>
          <w:sz w:val="32"/>
          <w:szCs w:val="24"/>
          <w:highlight w:val="none"/>
          <w:lang w:val="en-US" w:eastAsia="zh-CN"/>
        </w:rPr>
        <w:t>1</w:t>
      </w:r>
      <w:r>
        <w:rPr>
          <w:rFonts w:hint="eastAsia" w:ascii="仿宋_GB2312" w:hAnsi="Times New Roman" w:eastAsia="仿宋_GB2312" w:cs="仿宋_GB2312"/>
          <w:b/>
          <w:bCs w:val="0"/>
          <w:spacing w:val="0"/>
          <w:sz w:val="32"/>
          <w:szCs w:val="24"/>
          <w:highlight w:val="none"/>
          <w:lang w:val="en-US" w:eastAsia="zh-CN"/>
        </w:rPr>
        <w:t>.打造城市环境标志性区域。</w:t>
      </w:r>
      <w:r>
        <w:rPr>
          <w:rFonts w:hint="eastAsia" w:ascii="仿宋_GB2312" w:hAnsi="Times New Roman" w:eastAsia="仿宋_GB2312" w:cs="仿宋_GB2312"/>
          <w:bCs/>
          <w:spacing w:val="0"/>
          <w:sz w:val="32"/>
          <w:szCs w:val="24"/>
          <w:highlight w:val="none"/>
          <w:lang w:val="en-US" w:eastAsia="zh-CN"/>
        </w:rPr>
        <w:t>树立“花园场站”门户形象，推进“三站两楼”周边环境提升，强化站城园融合，营造“最美进京第一印象”。构建“一廊”生态脉络，以京港澳高速（丰台段）为重点，打造“春有花、夏有荫、秋有色、冬有景”生态景观带，融入历史文化元素，形成“穿林伴花、古今通衢”生态绿廊。彰显“一城”文化底蕴，依托卢沟桥、宛平城、抗日战争纪念馆、长辛店革命活动旧址等资源，结合片区城市更新及</w:t>
      </w:r>
      <w:r>
        <w:rPr>
          <w:rFonts w:hint="eastAsia" w:ascii="Times New Roman" w:hAnsi="Times New Roman" w:eastAsia="Times New Roman" w:cs="Times New Roman"/>
          <w:bCs/>
          <w:spacing w:val="0"/>
          <w:sz w:val="32"/>
          <w:szCs w:val="24"/>
          <w:highlight w:val="none"/>
          <w:lang w:val="en-US" w:eastAsia="zh-CN"/>
        </w:rPr>
        <w:t>5</w:t>
      </w:r>
      <w:r>
        <w:rPr>
          <w:rFonts w:hint="eastAsia" w:ascii="仿宋_GB2312" w:hAnsi="Times New Roman" w:eastAsia="仿宋_GB2312" w:cs="仿宋_GB2312"/>
          <w:bCs/>
          <w:spacing w:val="0"/>
          <w:sz w:val="32"/>
          <w:szCs w:val="24"/>
          <w:highlight w:val="none"/>
          <w:lang w:val="en-US" w:eastAsia="zh-CN"/>
        </w:rPr>
        <w:t>A级景区打造，持续提升红色纪念地环境，突出国家纪念地品牌形象。提升南中轴路（丰台段）景观风貌，统筹推进大红门地区城市更新，重点实施南苑湿地城中村、时村地区城中村等改造工程，加强建筑色彩、第五立面精细化管控，推进架空线入地，助力南中轴博物馆群落地。点亮“两园一河”精品景观区，以“一桥跨千年光影映长河”为主题，实现“一带、两岸、三区、多节点”亮化提升，打造“京西情景水岸、网红打卡地”。推进宛平城综合管线改造，提升园博大道、地铁一号线支线等区域环境品质。</w:t>
      </w:r>
    </w:p>
    <w:p w14:paraId="1187E2E8">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left"/>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Times New Roman" w:hAnsi="Times New Roman" w:eastAsia="Times New Roman" w:cs="Times New Roman"/>
          <w:b/>
          <w:bCs w:val="0"/>
          <w:spacing w:val="0"/>
          <w:sz w:val="32"/>
          <w:szCs w:val="24"/>
          <w:highlight w:val="none"/>
          <w:lang w:val="en-US" w:eastAsia="zh-CN"/>
        </w:rPr>
        <w:t>2</w:t>
      </w:r>
      <w:r>
        <w:rPr>
          <w:rFonts w:hint="eastAsia" w:ascii="仿宋_GB2312" w:hAnsi="Times New Roman" w:eastAsia="仿宋_GB2312" w:cs="仿宋_GB2312"/>
          <w:b/>
          <w:bCs w:val="0"/>
          <w:spacing w:val="0"/>
          <w:sz w:val="32"/>
          <w:szCs w:val="24"/>
          <w:highlight w:val="none"/>
          <w:lang w:val="en-US" w:eastAsia="zh-CN"/>
        </w:rPr>
        <w:t>.构建特色环路景观廊道。</w:t>
      </w:r>
      <w:r>
        <w:rPr>
          <w:rFonts w:hint="eastAsia" w:ascii="仿宋_GB2312" w:hAnsi="Times New Roman" w:eastAsia="仿宋_GB2312" w:cs="仿宋_GB2312"/>
          <w:bCs/>
          <w:spacing w:val="0"/>
          <w:sz w:val="32"/>
          <w:szCs w:val="24"/>
          <w:highlight w:val="none"/>
          <w:lang w:val="en-US" w:eastAsia="zh-CN"/>
        </w:rPr>
        <w:t>以三环、四环为骨架，打造三环路夜景光影走廊，实施莲花桥南至分钟寺桥西段</w:t>
      </w:r>
      <w:r>
        <w:rPr>
          <w:rFonts w:hint="eastAsia" w:ascii="Times New Roman" w:hAnsi="Times New Roman" w:eastAsia="Times New Roman" w:cs="Times New Roman"/>
          <w:bCs/>
          <w:spacing w:val="0"/>
          <w:sz w:val="32"/>
          <w:szCs w:val="24"/>
          <w:highlight w:val="none"/>
          <w:lang w:val="en-US" w:eastAsia="zh-CN"/>
        </w:rPr>
        <w:t>170</w:t>
      </w:r>
      <w:r>
        <w:rPr>
          <w:rFonts w:hint="eastAsia" w:ascii="仿宋_GB2312" w:hAnsi="Times New Roman" w:eastAsia="仿宋_GB2312" w:cs="仿宋_GB2312"/>
          <w:bCs/>
          <w:spacing w:val="0"/>
          <w:sz w:val="32"/>
          <w:szCs w:val="24"/>
          <w:highlight w:val="none"/>
          <w:lang w:val="en-US" w:eastAsia="zh-CN"/>
        </w:rPr>
        <w:t>余栋建筑组团化景观照明，形成错落有致的夜间城市界面。整治提升广安路（六里桥至西城区界）两侧环境，塑造门户花园示范街道，强化进京门户形象。推动四环路全要素融合升级，统筹道路功能、公共空间与景观风貌，做好架空线入地，完善生态系统，增加绿色覆盖，融入文化元素，打造“首都绿色客厅、京南锦绣花城”景观更新典范。</w:t>
      </w:r>
    </w:p>
    <w:p w14:paraId="50DBD184">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left"/>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Times New Roman" w:hAnsi="Times New Roman" w:eastAsia="Times New Roman" w:cs="Times New Roman"/>
          <w:b/>
          <w:bCs w:val="0"/>
          <w:spacing w:val="0"/>
          <w:sz w:val="32"/>
          <w:szCs w:val="24"/>
          <w:highlight w:val="none"/>
          <w:lang w:val="en-US" w:eastAsia="zh-CN"/>
        </w:rPr>
        <w:t>3</w:t>
      </w:r>
      <w:r>
        <w:rPr>
          <w:rFonts w:hint="eastAsia" w:ascii="仿宋_GB2312" w:hAnsi="Times New Roman" w:eastAsia="仿宋_GB2312" w:cs="仿宋_GB2312"/>
          <w:b/>
          <w:bCs w:val="0"/>
          <w:spacing w:val="0"/>
          <w:sz w:val="32"/>
          <w:szCs w:val="24"/>
          <w:highlight w:val="none"/>
          <w:lang w:val="en-US" w:eastAsia="zh-CN"/>
        </w:rPr>
        <w:t>.营造可感可知花园场景。</w:t>
      </w:r>
      <w:r>
        <w:rPr>
          <w:rFonts w:hint="eastAsia" w:ascii="仿宋_GB2312" w:hAnsi="Times New Roman" w:eastAsia="仿宋_GB2312" w:cs="仿宋_GB2312"/>
          <w:bCs/>
          <w:spacing w:val="0"/>
          <w:sz w:val="32"/>
          <w:szCs w:val="24"/>
          <w:highlight w:val="none"/>
          <w:lang w:val="en-US" w:eastAsia="zh-CN"/>
        </w:rPr>
        <w:t>深化“十大场景”建设，针对公园绿地、滨水河道、出行环境、城市边角等十类空间，打造兼具生态、休闲与文化功能的环境场景。激活“金角银边”潜能，利用闲置地块、边角空地建设口袋公园、体育设施、文化活动场地、停车场等多类空间载体。持续推进“三道”工程，依据绿道、碧道、秀道标准，完善连通全区的慢行绿网、亲水岸线和特色景观廊道，织补“留白”空间，实现出门见绿、漫步进园。</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0F738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blHeader/>
        </w:trPr>
        <w:tc>
          <w:tcPr>
            <w:tcW w:w="8522" w:type="dxa"/>
          </w:tcPr>
          <w:p w14:paraId="5F4FEB42">
            <w:pPr>
              <w:keepNext w:val="0"/>
              <w:keepLines w:val="0"/>
              <w:pageBreakBefore w:val="0"/>
              <w:widowControl w:val="0"/>
              <w:numPr>
                <w:ilvl w:val="-1"/>
                <w:numId w:val="0"/>
              </w:numPr>
              <w:kinsoku/>
              <w:wordWrap/>
              <w:overflowPunct/>
              <w:topLinePunct w:val="0"/>
              <w:autoSpaceDE/>
              <w:autoSpaceDN/>
              <w:bidi w:val="0"/>
              <w:adjustRightInd w:val="0"/>
              <w:snapToGrid w:val="0"/>
              <w:spacing w:afterLines="0" w:line="240" w:lineRule="auto"/>
              <w:ind w:right="0"/>
              <w:jc w:val="center"/>
              <w:textAlignment w:val="auto"/>
              <w:outlineLvl w:val="9"/>
              <w:rPr>
                <w:rFonts w:hint="eastAsia" w:ascii="仿宋_GB2312" w:hAnsi="Times New Roman" w:eastAsia="仿宋_GB2312" w:cs="仿宋_GB2312"/>
                <w:bCs/>
                <w:spacing w:val="0"/>
                <w:sz w:val="24"/>
                <w:szCs w:val="21"/>
                <w:highlight w:val="none"/>
                <w:vertAlign w:val="baseline"/>
                <w:lang w:val="en-US" w:eastAsia="zh-CN"/>
              </w:rPr>
            </w:pPr>
            <w:r>
              <w:rPr>
                <w:rFonts w:hint="eastAsia" w:ascii="黑体" w:hAnsi="黑体" w:eastAsia="黑体" w:cs="黑体"/>
                <w:bCs/>
                <w:spacing w:val="0"/>
                <w:sz w:val="24"/>
                <w:szCs w:val="21"/>
                <w:highlight w:val="none"/>
                <w:vertAlign w:val="baseline"/>
                <w:lang w:val="en-US" w:eastAsia="zh-CN"/>
              </w:rPr>
              <w:t>专栏</w:t>
            </w:r>
            <w:r>
              <w:rPr>
                <w:rFonts w:hint="eastAsia" w:ascii="Times New Roman" w:hAnsi="Times New Roman" w:eastAsia="Times New Roman" w:cs="Times New Roman"/>
                <w:bCs/>
                <w:spacing w:val="0"/>
                <w:sz w:val="24"/>
                <w:szCs w:val="21"/>
                <w:highlight w:val="none"/>
                <w:vertAlign w:val="baseline"/>
                <w:lang w:val="en-US" w:eastAsia="zh-CN"/>
              </w:rPr>
              <w:t>2</w:t>
            </w:r>
            <w:r>
              <w:rPr>
                <w:rFonts w:hint="eastAsia" w:ascii="黑体" w:hAnsi="黑体" w:eastAsia="黑体" w:cs="黑体"/>
                <w:bCs/>
                <w:spacing w:val="0"/>
                <w:sz w:val="24"/>
                <w:szCs w:val="21"/>
                <w:highlight w:val="none"/>
                <w:vertAlign w:val="baseline"/>
                <w:lang w:val="en-US" w:eastAsia="zh-CN"/>
              </w:rPr>
              <w:t xml:space="preserve"> 重点区域环境品质提升</w:t>
            </w:r>
          </w:p>
        </w:tc>
      </w:tr>
      <w:tr w14:paraId="46D25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8522" w:type="dxa"/>
          </w:tcPr>
          <w:p w14:paraId="48BB17C6">
            <w:pPr>
              <w:pStyle w:val="20"/>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textAlignment w:val="auto"/>
              <w:rPr>
                <w:rFonts w:hint="eastAsia"/>
              </w:rPr>
            </w:pPr>
            <w:r>
              <w:rPr>
                <w:rFonts w:hint="eastAsia"/>
              </w:rPr>
              <w:t>聚焦南中轴（丰台段）、“两园一河”精华区、二至四环路沿线等重点区域，实施环境整治提升、景观照明建设改造两类项目共</w:t>
            </w:r>
            <w:r>
              <w:rPr>
                <w:rFonts w:hint="eastAsia" w:ascii="Times New Roman" w:hAnsi="Times New Roman" w:eastAsia="Times New Roman" w:cs="Times New Roman"/>
              </w:rPr>
              <w:t>7</w:t>
            </w:r>
            <w:r>
              <w:rPr>
                <w:rFonts w:hint="eastAsia"/>
              </w:rPr>
              <w:t>项。</w:t>
            </w:r>
          </w:p>
          <w:p w14:paraId="62691730">
            <w:pPr>
              <w:pStyle w:val="20"/>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textAlignment w:val="auto"/>
              <w:rPr>
                <w:rFonts w:hint="eastAsia"/>
              </w:rPr>
            </w:pPr>
            <w:r>
              <w:rPr>
                <w:rFonts w:hint="eastAsia"/>
                <w:b/>
                <w:bCs/>
              </w:rPr>
              <w:t>整治南中轴沿线。</w:t>
            </w:r>
            <w:r>
              <w:rPr>
                <w:rFonts w:hint="eastAsia"/>
              </w:rPr>
              <w:t>推进南中轴（丰台段）沿线整治提升项目，统筹建筑色彩与第五立面精细化管控，同步实施架空线入地，助力南中轴博物馆群落地，塑造庄重典雅、古今辉映的轴线风貌。</w:t>
            </w:r>
          </w:p>
          <w:p w14:paraId="003479C7">
            <w:pPr>
              <w:pStyle w:val="20"/>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textAlignment w:val="auto"/>
              <w:rPr>
                <w:rFonts w:hint="eastAsia"/>
              </w:rPr>
            </w:pPr>
            <w:r>
              <w:rPr>
                <w:rFonts w:hint="eastAsia"/>
                <w:b/>
                <w:bCs/>
              </w:rPr>
              <w:t>点亮“两园一河”精华区。</w:t>
            </w:r>
            <w:r>
              <w:rPr>
                <w:rFonts w:hint="eastAsia"/>
              </w:rPr>
              <w:t>以“一桥跨千年光影映长河”为主题，实施“两园一河”精华区景观照明工程（一期、二期），构建“一带、两岸、三区、多节点”亮化格局，打造京西情景水岸。</w:t>
            </w:r>
          </w:p>
          <w:p w14:paraId="18050435">
            <w:pPr>
              <w:pStyle w:val="20"/>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textAlignment w:val="auto"/>
              <w:rPr>
                <w:rFonts w:hint="eastAsia" w:ascii="仿宋_GB2312" w:hAnsi="Times New Roman" w:eastAsia="仿宋_GB2312" w:cs="仿宋_GB2312"/>
                <w:bCs/>
                <w:spacing w:val="0"/>
                <w:sz w:val="24"/>
                <w:szCs w:val="21"/>
                <w:highlight w:val="none"/>
                <w:vertAlign w:val="baseline"/>
                <w:lang w:val="en-US" w:eastAsia="zh-CN"/>
              </w:rPr>
            </w:pPr>
            <w:r>
              <w:rPr>
                <w:rFonts w:hint="eastAsia"/>
                <w:b/>
                <w:bCs/>
              </w:rPr>
              <w:t>提升环路廊道。</w:t>
            </w:r>
            <w:r>
              <w:rPr>
                <w:rFonts w:hint="eastAsia"/>
              </w:rPr>
              <w:t>实施三环路（丰台段）、四环路（丰台段）沿线环境整治提升项目，推进二至四环立交桥景观照明设施更新改造及二环路（丰台段）景观照明提升，形成错落有致的夜间城市界面。</w:t>
            </w:r>
          </w:p>
        </w:tc>
      </w:tr>
    </w:tbl>
    <w:p w14:paraId="25DD7D5B">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3" w:firstLineChars="200"/>
        <w:jc w:val="left"/>
        <w:textAlignment w:val="auto"/>
        <w:outlineLvl w:val="2"/>
        <w:rPr>
          <w:rFonts w:hint="eastAsia" w:ascii="楷体_GB2312" w:hAnsi="楷体_GB2312" w:eastAsia="楷体_GB2312" w:cs="楷体_GB2312"/>
          <w:b/>
          <w:bCs w:val="0"/>
          <w:spacing w:val="0"/>
          <w:sz w:val="32"/>
          <w:szCs w:val="24"/>
          <w:highlight w:val="none"/>
          <w:lang w:val="en-US" w:eastAsia="zh-CN"/>
        </w:rPr>
      </w:pPr>
      <w:bookmarkStart w:id="49" w:name="_Toc22516"/>
      <w:r>
        <w:rPr>
          <w:rFonts w:hint="eastAsia" w:ascii="楷体_GB2312" w:hAnsi="楷体_GB2312" w:eastAsia="楷体_GB2312" w:cs="楷体_GB2312"/>
          <w:b/>
          <w:bCs w:val="0"/>
          <w:spacing w:val="0"/>
          <w:sz w:val="32"/>
          <w:szCs w:val="24"/>
          <w:highlight w:val="none"/>
          <w:lang w:val="en-US" w:eastAsia="zh-CN"/>
        </w:rPr>
        <w:t>（二）提升公共空间环境品质</w:t>
      </w:r>
      <w:bookmarkEnd w:id="49"/>
    </w:p>
    <w:p w14:paraId="3D67A9B5">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left"/>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仿宋_GB2312" w:hAnsi="Times New Roman" w:eastAsia="仿宋_GB2312" w:cs="仿宋_GB2312"/>
          <w:bCs/>
          <w:spacing w:val="0"/>
          <w:sz w:val="32"/>
          <w:szCs w:val="24"/>
          <w:highlight w:val="none"/>
          <w:lang w:val="en-US" w:eastAsia="zh-CN"/>
        </w:rPr>
        <w:t>针对城市公共空间品质不高、背街小巷和老旧小区环境治理需深化等问题，与安全韧性任务相衔接，聚焦环境品质提升，重点推进以下任务：</w:t>
      </w:r>
    </w:p>
    <w:p w14:paraId="20F684B9">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left"/>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Times New Roman" w:hAnsi="Times New Roman" w:eastAsia="Times New Roman" w:cs="Times New Roman"/>
          <w:b/>
          <w:bCs w:val="0"/>
          <w:spacing w:val="0"/>
          <w:sz w:val="32"/>
          <w:szCs w:val="24"/>
          <w:highlight w:val="none"/>
          <w:lang w:val="en-US" w:eastAsia="zh-CN"/>
        </w:rPr>
        <w:t>1</w:t>
      </w:r>
      <w:r>
        <w:rPr>
          <w:rFonts w:hint="eastAsia" w:ascii="仿宋_GB2312" w:hAnsi="Times New Roman" w:eastAsia="仿宋_GB2312" w:cs="仿宋_GB2312"/>
          <w:b/>
          <w:bCs w:val="0"/>
          <w:spacing w:val="0"/>
          <w:sz w:val="32"/>
          <w:szCs w:val="24"/>
          <w:highlight w:val="none"/>
          <w:lang w:val="en-US" w:eastAsia="zh-CN"/>
        </w:rPr>
        <w:t>.实施城市公共空间品质提升三年行动计划。</w:t>
      </w:r>
      <w:r>
        <w:rPr>
          <w:rFonts w:hint="eastAsia" w:ascii="仿宋_GB2312" w:hAnsi="Times New Roman" w:eastAsia="仿宋_GB2312" w:cs="仿宋_GB2312"/>
          <w:bCs/>
          <w:spacing w:val="0"/>
          <w:sz w:val="32"/>
          <w:szCs w:val="24"/>
          <w:highlight w:val="none"/>
          <w:lang w:val="en-US" w:eastAsia="zh-CN"/>
        </w:rPr>
        <w:t>编制实施丰台区城市公共空间品质提升三年行动计划，对全区城市公共空间进行系统性品质提升。重点围绕城市家具更新、墙体彩绘美化等方面，建立“一空间一方案”的精细化提升机制。到</w:t>
      </w:r>
      <w:r>
        <w:rPr>
          <w:rFonts w:hint="eastAsia" w:ascii="Times New Roman" w:hAnsi="Times New Roman" w:eastAsia="Times New Roman" w:cs="Times New Roman"/>
          <w:bCs/>
          <w:spacing w:val="0"/>
          <w:sz w:val="32"/>
          <w:szCs w:val="24"/>
          <w:highlight w:val="none"/>
          <w:lang w:val="en-US" w:eastAsia="zh-CN"/>
        </w:rPr>
        <w:t>2030</w:t>
      </w:r>
      <w:r>
        <w:rPr>
          <w:rFonts w:hint="eastAsia" w:ascii="仿宋_GB2312" w:hAnsi="Times New Roman" w:eastAsia="仿宋_GB2312" w:cs="仿宋_GB2312"/>
          <w:bCs/>
          <w:spacing w:val="0"/>
          <w:sz w:val="32"/>
          <w:szCs w:val="24"/>
          <w:highlight w:val="none"/>
          <w:lang w:val="en-US" w:eastAsia="zh-CN"/>
        </w:rPr>
        <w:t>年，实现城市公共空间环境品质全面提升，打造一批具有丰台特色、彰显首都风范的公共空间精品示范区域。</w:t>
      </w:r>
    </w:p>
    <w:p w14:paraId="684518B9">
      <w:pPr>
        <w:keepNext w:val="0"/>
        <w:keepLines w:val="0"/>
        <w:pageBreakBefore w:val="0"/>
        <w:widowControl/>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left"/>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Times New Roman" w:hAnsi="Times New Roman" w:eastAsia="Times New Roman" w:cs="Times New Roman"/>
          <w:b/>
          <w:bCs w:val="0"/>
          <w:spacing w:val="0"/>
          <w:sz w:val="32"/>
          <w:szCs w:val="24"/>
          <w:highlight w:val="none"/>
          <w:lang w:val="en-US" w:eastAsia="zh-CN"/>
        </w:rPr>
        <w:t>2</w:t>
      </w:r>
      <w:r>
        <w:rPr>
          <w:rFonts w:hint="eastAsia" w:ascii="仿宋_GB2312" w:hAnsi="Times New Roman" w:eastAsia="仿宋_GB2312" w:cs="仿宋_GB2312"/>
          <w:b/>
          <w:bCs w:val="0"/>
          <w:spacing w:val="0"/>
          <w:sz w:val="32"/>
          <w:szCs w:val="24"/>
          <w:highlight w:val="none"/>
          <w:lang w:val="en-US" w:eastAsia="zh-CN"/>
        </w:rPr>
        <w:t>.实施背街小巷精细化治理。</w:t>
      </w:r>
      <w:r>
        <w:rPr>
          <w:rFonts w:hint="eastAsia" w:ascii="仿宋_GB2312" w:hAnsi="Times New Roman" w:eastAsia="仿宋_GB2312" w:cs="仿宋_GB2312"/>
          <w:bCs/>
          <w:spacing w:val="0"/>
          <w:sz w:val="32"/>
          <w:szCs w:val="24"/>
          <w:highlight w:val="none"/>
          <w:lang w:val="en-US" w:eastAsia="zh-CN"/>
        </w:rPr>
        <w:t>巩固背街小巷治理成效，按照“一街（巷）一策”实施分类治理，坚持“常态长效、问题导向、多元参与”原则，按照“达标、优美、精品”三类治理标准，加快构建常态化治理体系，推进街巷环境与周边片区整体联动、协同提质。建立“街巷长统筹、小巷管家协管、专业队伍作业”三级责任体系，形成问题“发现、处置、反馈”闭环机制。</w:t>
      </w:r>
    </w:p>
    <w:p w14:paraId="19254DE6">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left"/>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Times New Roman" w:hAnsi="Times New Roman" w:eastAsia="Times New Roman" w:cs="Times New Roman"/>
          <w:b/>
          <w:bCs w:val="0"/>
          <w:spacing w:val="0"/>
          <w:sz w:val="32"/>
          <w:szCs w:val="24"/>
          <w:highlight w:val="none"/>
          <w:lang w:val="en-US" w:eastAsia="zh-CN"/>
        </w:rPr>
        <w:t>3</w:t>
      </w:r>
      <w:r>
        <w:rPr>
          <w:rFonts w:hint="eastAsia" w:ascii="仿宋_GB2312" w:hAnsi="Times New Roman" w:eastAsia="仿宋_GB2312" w:cs="仿宋_GB2312"/>
          <w:b/>
          <w:bCs w:val="0"/>
          <w:spacing w:val="0"/>
          <w:sz w:val="32"/>
          <w:szCs w:val="24"/>
          <w:highlight w:val="none"/>
          <w:lang w:val="en-US" w:eastAsia="zh-CN"/>
        </w:rPr>
        <w:t>.规范公共场所市容环境秩序。</w:t>
      </w:r>
      <w:r>
        <w:rPr>
          <w:rFonts w:hint="eastAsia" w:ascii="仿宋_GB2312" w:hAnsi="Times New Roman" w:eastAsia="仿宋_GB2312" w:cs="仿宋_GB2312"/>
          <w:bCs/>
          <w:spacing w:val="0"/>
          <w:sz w:val="32"/>
          <w:szCs w:val="24"/>
          <w:highlight w:val="none"/>
          <w:lang w:val="en-US" w:eastAsia="zh-CN"/>
        </w:rPr>
        <w:t>强化对商业街区、景区景点、轨道交通、医院、学校等人员密集区域的市容环境综合整治，依法查处占道经营、店外经营、游商摊贩、违规设置牌匾标识、堆物堆料等问题。持续开展周边八区交界区域联合执法行动，强化跨部门协作，确保执法覆盖全面，提升城市环境品质。</w:t>
      </w:r>
    </w:p>
    <w:p w14:paraId="0914840D">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left"/>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Times New Roman" w:hAnsi="Times New Roman" w:eastAsia="Times New Roman" w:cs="Times New Roman"/>
          <w:b/>
          <w:bCs w:val="0"/>
          <w:spacing w:val="0"/>
          <w:sz w:val="32"/>
          <w:szCs w:val="24"/>
          <w:highlight w:val="none"/>
          <w:lang w:val="en-US" w:eastAsia="zh-CN"/>
        </w:rPr>
        <w:t>4</w:t>
      </w:r>
      <w:r>
        <w:rPr>
          <w:rFonts w:hint="eastAsia" w:ascii="仿宋_GB2312" w:hAnsi="Times New Roman" w:eastAsia="仿宋_GB2312" w:cs="仿宋_GB2312"/>
          <w:b/>
          <w:bCs w:val="0"/>
          <w:spacing w:val="0"/>
          <w:sz w:val="32"/>
          <w:szCs w:val="24"/>
          <w:highlight w:val="none"/>
          <w:lang w:val="en-US" w:eastAsia="zh-CN"/>
        </w:rPr>
        <w:t>.持续指导推进存量历史无手续建筑治理。</w:t>
      </w:r>
      <w:r>
        <w:rPr>
          <w:rFonts w:hint="eastAsia" w:ascii="仿宋_GB2312" w:hAnsi="Times New Roman" w:eastAsia="仿宋_GB2312" w:cs="仿宋_GB2312"/>
          <w:bCs/>
          <w:spacing w:val="0"/>
          <w:sz w:val="32"/>
          <w:szCs w:val="24"/>
          <w:highlight w:val="none"/>
          <w:lang w:val="en-US" w:eastAsia="zh-CN"/>
        </w:rPr>
        <w:t>根据《深化巩固创建“基本无违法建设区”成效三年行动计划（</w:t>
      </w:r>
      <w:r>
        <w:rPr>
          <w:rFonts w:hint="eastAsia" w:ascii="Times New Roman" w:hAnsi="Times New Roman" w:eastAsia="Times New Roman" w:cs="Times New Roman"/>
          <w:bCs/>
          <w:spacing w:val="0"/>
          <w:sz w:val="32"/>
          <w:szCs w:val="24"/>
          <w:highlight w:val="none"/>
          <w:lang w:val="en-US" w:eastAsia="zh-CN"/>
        </w:rPr>
        <w:t>2024</w:t>
      </w:r>
      <w:r>
        <w:rPr>
          <w:rFonts w:hint="eastAsia" w:ascii="仿宋_GB2312" w:hAnsi="Times New Roman" w:eastAsia="仿宋_GB2312" w:cs="仿宋_GB2312"/>
          <w:bCs/>
          <w:spacing w:val="0"/>
          <w:sz w:val="32"/>
          <w:szCs w:val="24"/>
          <w:highlight w:val="none"/>
          <w:lang w:val="en-US" w:eastAsia="zh-CN"/>
        </w:rPr>
        <w:t>—</w:t>
      </w:r>
      <w:r>
        <w:rPr>
          <w:rFonts w:hint="eastAsia" w:ascii="Times New Roman" w:hAnsi="Times New Roman" w:eastAsia="Times New Roman" w:cs="Times New Roman"/>
          <w:bCs/>
          <w:spacing w:val="0"/>
          <w:sz w:val="32"/>
          <w:szCs w:val="24"/>
          <w:highlight w:val="none"/>
          <w:lang w:val="en-US" w:eastAsia="zh-CN"/>
        </w:rPr>
        <w:t>2026</w:t>
      </w:r>
      <w:r>
        <w:rPr>
          <w:rFonts w:hint="eastAsia" w:ascii="仿宋_GB2312" w:hAnsi="Times New Roman" w:eastAsia="仿宋_GB2312" w:cs="仿宋_GB2312"/>
          <w:bCs/>
          <w:spacing w:val="0"/>
          <w:sz w:val="32"/>
          <w:szCs w:val="24"/>
          <w:highlight w:val="none"/>
          <w:lang w:val="en-US" w:eastAsia="zh-CN"/>
        </w:rPr>
        <w:t>年）》，</w:t>
      </w:r>
      <w:r>
        <w:rPr>
          <w:rFonts w:hint="eastAsia" w:ascii="Times New Roman" w:hAnsi="Times New Roman" w:eastAsia="Times New Roman" w:cs="Times New Roman"/>
          <w:bCs/>
          <w:spacing w:val="0"/>
          <w:sz w:val="32"/>
          <w:szCs w:val="24"/>
          <w:highlight w:val="none"/>
          <w:lang w:val="en-US" w:eastAsia="zh-CN"/>
        </w:rPr>
        <w:t>2026</w:t>
      </w:r>
      <w:r>
        <w:rPr>
          <w:rFonts w:hint="eastAsia" w:ascii="仿宋_GB2312" w:hAnsi="Times New Roman" w:eastAsia="仿宋_GB2312" w:cs="仿宋_GB2312"/>
          <w:bCs/>
          <w:spacing w:val="0"/>
          <w:sz w:val="32"/>
          <w:szCs w:val="24"/>
          <w:highlight w:val="none"/>
          <w:lang w:val="en-US" w:eastAsia="zh-CN"/>
        </w:rPr>
        <w:t>年后强化“动态清零、源头管控、分类处置”要求，确保新生违建动态清零。推动从“以拆为主”向“以治为主”转型，推进存量无手续建筑分类处置，妥善处理历史遗留问题，积极推动完善手续。</w:t>
      </w:r>
    </w:p>
    <w:p w14:paraId="0F0DAE98">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3" w:firstLineChars="200"/>
        <w:jc w:val="left"/>
        <w:textAlignment w:val="auto"/>
        <w:outlineLvl w:val="2"/>
        <w:rPr>
          <w:rFonts w:hint="eastAsia" w:ascii="楷体_GB2312" w:hAnsi="楷体_GB2312" w:eastAsia="楷体_GB2312" w:cs="楷体_GB2312"/>
          <w:b/>
          <w:bCs w:val="0"/>
          <w:spacing w:val="0"/>
          <w:sz w:val="32"/>
          <w:szCs w:val="24"/>
          <w:highlight w:val="none"/>
          <w:lang w:val="en-US" w:eastAsia="zh-CN"/>
        </w:rPr>
      </w:pPr>
      <w:bookmarkStart w:id="50" w:name="_Toc3567"/>
      <w:r>
        <w:rPr>
          <w:rFonts w:hint="eastAsia" w:ascii="楷体_GB2312" w:hAnsi="楷体_GB2312" w:eastAsia="楷体_GB2312" w:cs="楷体_GB2312"/>
          <w:b/>
          <w:bCs w:val="0"/>
          <w:spacing w:val="0"/>
          <w:sz w:val="32"/>
          <w:szCs w:val="24"/>
          <w:highlight w:val="none"/>
          <w:lang w:val="en-US" w:eastAsia="zh-CN"/>
        </w:rPr>
        <w:t>（三）提升照明广告与城市家具精细化管理</w:t>
      </w:r>
      <w:bookmarkEnd w:id="50"/>
    </w:p>
    <w:p w14:paraId="00773DDC">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left"/>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仿宋_GB2312" w:hAnsi="Times New Roman" w:eastAsia="仿宋_GB2312" w:cs="仿宋_GB2312"/>
          <w:bCs/>
          <w:spacing w:val="0"/>
          <w:sz w:val="32"/>
          <w:szCs w:val="24"/>
          <w:highlight w:val="none"/>
          <w:lang w:val="en-US" w:eastAsia="zh-CN"/>
        </w:rPr>
        <w:t>针对城市照明、户外广告牌匾、城市家具等精细化管理水平有待提升的问题，落实城市更新和功能塑新要求，实施“提景增靓”行动，以设施更新促进环境品质提升、以规范管理提升服务水平，重点推进以下行动：</w:t>
      </w:r>
    </w:p>
    <w:p w14:paraId="7F6323AF">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left"/>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Times New Roman" w:hAnsi="Times New Roman" w:eastAsia="Times New Roman" w:cs="Times New Roman"/>
          <w:b/>
          <w:bCs w:val="0"/>
          <w:spacing w:val="0"/>
          <w:sz w:val="32"/>
          <w:szCs w:val="24"/>
          <w:highlight w:val="none"/>
          <w:lang w:val="en-US" w:eastAsia="zh-CN"/>
        </w:rPr>
        <w:t>1</w:t>
      </w:r>
      <w:r>
        <w:rPr>
          <w:rFonts w:hint="eastAsia" w:ascii="仿宋_GB2312" w:hAnsi="Times New Roman" w:eastAsia="仿宋_GB2312" w:cs="仿宋_GB2312"/>
          <w:b/>
          <w:bCs w:val="0"/>
          <w:spacing w:val="0"/>
          <w:sz w:val="32"/>
          <w:szCs w:val="24"/>
          <w:highlight w:val="none"/>
          <w:lang w:val="en-US" w:eastAsia="zh-CN"/>
        </w:rPr>
        <w:t>.推进功能照明节能低碳升级。</w:t>
      </w:r>
      <w:r>
        <w:rPr>
          <w:rFonts w:hint="eastAsia" w:ascii="仿宋_GB2312" w:hAnsi="Times New Roman" w:eastAsia="仿宋_GB2312" w:cs="仿宋_GB2312"/>
          <w:bCs/>
          <w:spacing w:val="0"/>
          <w:sz w:val="32"/>
          <w:szCs w:val="24"/>
          <w:highlight w:val="none"/>
          <w:lang w:val="en-US" w:eastAsia="zh-CN"/>
        </w:rPr>
        <w:t>重点更新丽泽桥、丰北桥、玉泉营桥、刘家窑桥等桥路段</w:t>
      </w:r>
      <w:r>
        <w:rPr>
          <w:rFonts w:hint="eastAsia" w:ascii="Times New Roman" w:hAnsi="Times New Roman" w:eastAsia="Times New Roman" w:cs="Times New Roman"/>
          <w:bCs/>
          <w:spacing w:val="0"/>
          <w:sz w:val="32"/>
          <w:szCs w:val="24"/>
          <w:highlight w:val="none"/>
          <w:lang w:val="en-US" w:eastAsia="zh-CN"/>
        </w:rPr>
        <w:t>15</w:t>
      </w:r>
      <w:r>
        <w:rPr>
          <w:rFonts w:hint="eastAsia" w:ascii="仿宋_GB2312" w:hAnsi="Times New Roman" w:eastAsia="仿宋_GB2312" w:cs="仿宋_GB2312"/>
          <w:bCs/>
          <w:spacing w:val="0"/>
          <w:sz w:val="32"/>
          <w:szCs w:val="24"/>
          <w:highlight w:val="none"/>
          <w:lang w:val="en-US" w:eastAsia="zh-CN"/>
        </w:rPr>
        <w:t>年以上市级照明设施。推广高光效LED灯具，淘汰高压钠灯。实现新（改、扩）建道路LPD达标率</w:t>
      </w:r>
      <w:r>
        <w:rPr>
          <w:rFonts w:hint="eastAsia" w:ascii="Times New Roman" w:hAnsi="Times New Roman" w:eastAsia="Times New Roman" w:cs="Times New Roman"/>
          <w:bCs/>
          <w:spacing w:val="0"/>
          <w:sz w:val="32"/>
          <w:szCs w:val="24"/>
          <w:highlight w:val="none"/>
          <w:lang w:val="en-US" w:eastAsia="zh-CN"/>
        </w:rPr>
        <w:t>100</w:t>
      </w:r>
      <w:r>
        <w:rPr>
          <w:rFonts w:hint="eastAsia" w:ascii="仿宋_GB2312" w:hAnsi="Times New Roman" w:eastAsia="仿宋_GB2312" w:cs="仿宋_GB2312"/>
          <w:bCs/>
          <w:spacing w:val="0"/>
          <w:sz w:val="32"/>
          <w:szCs w:val="24"/>
          <w:highlight w:val="none"/>
          <w:lang w:val="en-US" w:eastAsia="zh-CN"/>
        </w:rPr>
        <w:t>%，原有道路达标率不小于</w:t>
      </w:r>
      <w:r>
        <w:rPr>
          <w:rFonts w:hint="eastAsia" w:ascii="Times New Roman" w:hAnsi="Times New Roman" w:eastAsia="Times New Roman" w:cs="Times New Roman"/>
          <w:bCs/>
          <w:spacing w:val="0"/>
          <w:sz w:val="32"/>
          <w:szCs w:val="24"/>
          <w:highlight w:val="none"/>
          <w:lang w:val="en-US" w:eastAsia="zh-CN"/>
        </w:rPr>
        <w:t>90</w:t>
      </w:r>
      <w:r>
        <w:rPr>
          <w:rFonts w:hint="eastAsia" w:ascii="仿宋_GB2312" w:hAnsi="Times New Roman" w:eastAsia="仿宋_GB2312" w:cs="仿宋_GB2312"/>
          <w:bCs/>
          <w:spacing w:val="0"/>
          <w:sz w:val="32"/>
          <w:szCs w:val="24"/>
          <w:highlight w:val="none"/>
          <w:lang w:val="en-US" w:eastAsia="zh-CN"/>
        </w:rPr>
        <w:t>%；景观照明传统光源替代率</w:t>
      </w:r>
      <w:r>
        <w:rPr>
          <w:rFonts w:hint="eastAsia" w:ascii="Times New Roman" w:hAnsi="Times New Roman" w:eastAsia="Times New Roman" w:cs="Times New Roman"/>
          <w:bCs/>
          <w:spacing w:val="0"/>
          <w:sz w:val="32"/>
          <w:szCs w:val="24"/>
          <w:highlight w:val="none"/>
          <w:lang w:val="en-US" w:eastAsia="zh-CN"/>
        </w:rPr>
        <w:t>100</w:t>
      </w:r>
      <w:r>
        <w:rPr>
          <w:rFonts w:hint="eastAsia" w:ascii="仿宋_GB2312" w:hAnsi="Times New Roman" w:eastAsia="仿宋_GB2312" w:cs="仿宋_GB2312"/>
          <w:bCs/>
          <w:spacing w:val="0"/>
          <w:sz w:val="32"/>
          <w:szCs w:val="24"/>
          <w:highlight w:val="none"/>
          <w:lang w:val="en-US" w:eastAsia="zh-CN"/>
        </w:rPr>
        <w:t>%，智能控制率达</w:t>
      </w:r>
      <w:r>
        <w:rPr>
          <w:rFonts w:hint="eastAsia" w:ascii="Times New Roman" w:hAnsi="Times New Roman" w:eastAsia="Times New Roman" w:cs="Times New Roman"/>
          <w:bCs/>
          <w:spacing w:val="0"/>
          <w:sz w:val="32"/>
          <w:szCs w:val="24"/>
          <w:highlight w:val="none"/>
          <w:lang w:val="en-US" w:eastAsia="zh-CN"/>
        </w:rPr>
        <w:t>80</w:t>
      </w:r>
      <w:r>
        <w:rPr>
          <w:rFonts w:hint="eastAsia" w:ascii="仿宋_GB2312" w:hAnsi="Times New Roman" w:eastAsia="仿宋_GB2312" w:cs="仿宋_GB2312"/>
          <w:bCs/>
          <w:spacing w:val="0"/>
          <w:sz w:val="32"/>
          <w:szCs w:val="24"/>
          <w:highlight w:val="none"/>
          <w:lang w:val="en-US" w:eastAsia="zh-CN"/>
        </w:rPr>
        <w:t>%以上，节能产品使用率达</w:t>
      </w:r>
      <w:r>
        <w:rPr>
          <w:rFonts w:hint="eastAsia" w:ascii="Times New Roman" w:hAnsi="Times New Roman" w:eastAsia="Times New Roman" w:cs="Times New Roman"/>
          <w:bCs/>
          <w:spacing w:val="0"/>
          <w:sz w:val="32"/>
          <w:szCs w:val="24"/>
          <w:highlight w:val="none"/>
          <w:lang w:val="en-US" w:eastAsia="zh-CN"/>
        </w:rPr>
        <w:t>90</w:t>
      </w:r>
      <w:r>
        <w:rPr>
          <w:rFonts w:hint="eastAsia" w:ascii="仿宋_GB2312" w:hAnsi="Times New Roman" w:eastAsia="仿宋_GB2312" w:cs="仿宋_GB2312"/>
          <w:bCs/>
          <w:spacing w:val="0"/>
          <w:sz w:val="32"/>
          <w:szCs w:val="24"/>
          <w:highlight w:val="none"/>
          <w:lang w:val="en-US" w:eastAsia="zh-CN"/>
        </w:rPr>
        <w:t>%以上，综合亮灯率达</w:t>
      </w:r>
      <w:r>
        <w:rPr>
          <w:rFonts w:hint="eastAsia" w:ascii="Times New Roman" w:hAnsi="Times New Roman" w:eastAsia="Times New Roman" w:cs="Times New Roman"/>
          <w:bCs/>
          <w:spacing w:val="0"/>
          <w:sz w:val="32"/>
          <w:szCs w:val="24"/>
          <w:highlight w:val="none"/>
          <w:lang w:val="en-US" w:eastAsia="zh-CN"/>
        </w:rPr>
        <w:t>98</w:t>
      </w:r>
      <w:r>
        <w:rPr>
          <w:rFonts w:hint="eastAsia" w:ascii="仿宋_GB2312" w:hAnsi="Times New Roman" w:eastAsia="仿宋_GB2312" w:cs="仿宋_GB2312"/>
          <w:bCs/>
          <w:spacing w:val="0"/>
          <w:sz w:val="32"/>
          <w:szCs w:val="24"/>
          <w:highlight w:val="none"/>
          <w:lang w:val="en-US" w:eastAsia="zh-CN"/>
        </w:rPr>
        <w:t>%以上（含支路及以下道路），推动绿色生产生活方式在市政照明领域落地见效。</w:t>
      </w:r>
    </w:p>
    <w:p w14:paraId="0287CED8">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left"/>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Times New Roman" w:hAnsi="Times New Roman" w:eastAsia="Times New Roman" w:cs="Times New Roman"/>
          <w:b/>
          <w:bCs w:val="0"/>
          <w:spacing w:val="0"/>
          <w:sz w:val="32"/>
          <w:szCs w:val="24"/>
          <w:highlight w:val="none"/>
          <w:lang w:val="en-US" w:eastAsia="zh-CN"/>
        </w:rPr>
        <w:t>2</w:t>
      </w:r>
      <w:r>
        <w:rPr>
          <w:rFonts w:hint="eastAsia" w:ascii="仿宋_GB2312" w:hAnsi="Times New Roman" w:eastAsia="仿宋_GB2312" w:cs="仿宋_GB2312"/>
          <w:b/>
          <w:bCs w:val="0"/>
          <w:spacing w:val="0"/>
          <w:sz w:val="32"/>
          <w:szCs w:val="24"/>
          <w:highlight w:val="none"/>
          <w:lang w:val="en-US" w:eastAsia="zh-CN"/>
        </w:rPr>
        <w:t>.打造靓丽景观照明体系。</w:t>
      </w:r>
      <w:r>
        <w:rPr>
          <w:rFonts w:hint="eastAsia" w:ascii="仿宋_GB2312" w:hAnsi="Times New Roman" w:eastAsia="仿宋_GB2312" w:cs="仿宋_GB2312"/>
          <w:bCs/>
          <w:spacing w:val="0"/>
          <w:sz w:val="32"/>
          <w:szCs w:val="24"/>
          <w:highlight w:val="none"/>
          <w:lang w:val="en-US" w:eastAsia="zh-CN"/>
        </w:rPr>
        <w:t>对接市级“首都景观照明体系”建设要求，统筹城市功能照明与景观照明，加快推动“两园一河”精华区亮化工程。重点完善南中轴、环路、大兴机场进京路线（菜户营桥—五环路段）、京港澳高速、丽泽金融商务区、总部基地、大红门博物馆群、宛平城、凉水河、“两园一河”以及北京西站、北京南站、北京丰台站“三站”照明体系，助力“雅而秀”的城市形象塑造。</w:t>
      </w:r>
    </w:p>
    <w:p w14:paraId="5D7B3E58">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left"/>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Times New Roman" w:hAnsi="Times New Roman" w:eastAsia="Times New Roman" w:cs="Times New Roman"/>
          <w:b/>
          <w:bCs w:val="0"/>
          <w:spacing w:val="0"/>
          <w:sz w:val="32"/>
          <w:szCs w:val="24"/>
          <w:highlight w:val="none"/>
          <w:lang w:val="en-US" w:eastAsia="zh-CN"/>
        </w:rPr>
        <w:t>3</w:t>
      </w:r>
      <w:r>
        <w:rPr>
          <w:rFonts w:hint="eastAsia" w:ascii="仿宋_GB2312" w:hAnsi="Times New Roman" w:eastAsia="仿宋_GB2312" w:cs="仿宋_GB2312"/>
          <w:b/>
          <w:bCs w:val="0"/>
          <w:spacing w:val="0"/>
          <w:sz w:val="32"/>
          <w:szCs w:val="24"/>
          <w:highlight w:val="none"/>
          <w:lang w:val="en-US" w:eastAsia="zh-CN"/>
        </w:rPr>
        <w:t>.加强户外广告牌匾标识规范管理。</w:t>
      </w:r>
      <w:r>
        <w:rPr>
          <w:rFonts w:hint="eastAsia" w:ascii="仿宋_GB2312" w:hAnsi="Times New Roman" w:eastAsia="仿宋_GB2312" w:cs="仿宋_GB2312"/>
          <w:bCs/>
          <w:spacing w:val="0"/>
          <w:sz w:val="32"/>
          <w:szCs w:val="24"/>
          <w:highlight w:val="none"/>
          <w:lang w:val="en-US" w:eastAsia="zh-CN"/>
        </w:rPr>
        <w:t>按照“一圈一策”原则，完成全区</w:t>
      </w:r>
      <w:r>
        <w:rPr>
          <w:rFonts w:hint="eastAsia" w:ascii="Times New Roman" w:hAnsi="Times New Roman" w:eastAsia="Times New Roman" w:cs="Times New Roman"/>
          <w:bCs/>
          <w:spacing w:val="0"/>
          <w:sz w:val="32"/>
          <w:szCs w:val="24"/>
          <w:highlight w:val="none"/>
          <w:lang w:val="en-US" w:eastAsia="zh-CN"/>
        </w:rPr>
        <w:t>13</w:t>
      </w:r>
      <w:r>
        <w:rPr>
          <w:rFonts w:hint="eastAsia" w:ascii="仿宋_GB2312" w:hAnsi="Times New Roman" w:eastAsia="仿宋_GB2312" w:cs="仿宋_GB2312"/>
          <w:bCs/>
          <w:spacing w:val="0"/>
          <w:sz w:val="32"/>
          <w:szCs w:val="24"/>
          <w:highlight w:val="none"/>
          <w:lang w:val="en-US" w:eastAsia="zh-CN"/>
        </w:rPr>
        <w:t>个商圈、</w:t>
      </w:r>
      <w:r>
        <w:rPr>
          <w:rFonts w:hint="eastAsia" w:ascii="Times New Roman" w:hAnsi="Times New Roman" w:eastAsia="Times New Roman" w:cs="Times New Roman"/>
          <w:bCs/>
          <w:spacing w:val="0"/>
          <w:sz w:val="32"/>
          <w:szCs w:val="24"/>
          <w:highlight w:val="none"/>
          <w:lang w:val="en-US" w:eastAsia="zh-CN"/>
        </w:rPr>
        <w:t>26</w:t>
      </w:r>
      <w:r>
        <w:rPr>
          <w:rFonts w:hint="eastAsia" w:ascii="仿宋_GB2312" w:hAnsi="Times New Roman" w:eastAsia="仿宋_GB2312" w:cs="仿宋_GB2312"/>
          <w:bCs/>
          <w:spacing w:val="0"/>
          <w:sz w:val="32"/>
          <w:szCs w:val="24"/>
          <w:highlight w:val="none"/>
          <w:lang w:val="en-US" w:eastAsia="zh-CN"/>
        </w:rPr>
        <w:t>个街区的户外广告设施设置规划编制，指导商户依规设置。开展户外广告牌匾日常监管和违规牌匾动态清零，组织安全风险评估和安全性抽测鉴定，确保安全规范管理，推动户外广告设置与场景特色相协调。</w:t>
      </w:r>
    </w:p>
    <w:p w14:paraId="36DF0A59">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left"/>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Times New Roman" w:hAnsi="Times New Roman" w:eastAsia="Times New Roman" w:cs="Times New Roman"/>
          <w:b/>
          <w:bCs w:val="0"/>
          <w:spacing w:val="0"/>
          <w:sz w:val="32"/>
          <w:szCs w:val="24"/>
          <w:highlight w:val="none"/>
          <w:lang w:val="en-US" w:eastAsia="zh-CN"/>
        </w:rPr>
        <w:t>4</w:t>
      </w:r>
      <w:r>
        <w:rPr>
          <w:rFonts w:hint="eastAsia" w:ascii="仿宋_GB2312" w:hAnsi="Times New Roman" w:eastAsia="仿宋_GB2312" w:cs="仿宋_GB2312"/>
          <w:b/>
          <w:bCs w:val="0"/>
          <w:spacing w:val="0"/>
          <w:sz w:val="32"/>
          <w:szCs w:val="24"/>
          <w:highlight w:val="none"/>
          <w:lang w:val="en-US" w:eastAsia="zh-CN"/>
        </w:rPr>
        <w:t>.全面推进城市家具美化行动。</w:t>
      </w:r>
      <w:r>
        <w:rPr>
          <w:rFonts w:hint="eastAsia" w:ascii="仿宋_GB2312" w:hAnsi="Times New Roman" w:eastAsia="仿宋_GB2312" w:cs="仿宋_GB2312"/>
          <w:bCs/>
          <w:spacing w:val="0"/>
          <w:sz w:val="32"/>
          <w:szCs w:val="24"/>
          <w:highlight w:val="none"/>
          <w:lang w:val="en-US" w:eastAsia="zh-CN"/>
        </w:rPr>
        <w:t>实施城市家具特色化、人性化、智能化改造，推进“多杆合一、多头合一、多箱合一”改造，实施箱体“隐形化、小型化、景观化”治理。推进“五防”（防响、防跳、防盗、防坠落、防位移）井盖和智能井盖改造。建立设施定期清洗、粉饰、更新机制，开展设施确权工作，压实产权单位主体责任。</w:t>
      </w:r>
    </w:p>
    <w:p w14:paraId="14B2D308">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left"/>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Times New Roman" w:hAnsi="Times New Roman" w:eastAsia="Times New Roman" w:cs="Times New Roman"/>
          <w:b/>
          <w:bCs w:val="0"/>
          <w:spacing w:val="0"/>
          <w:sz w:val="32"/>
          <w:szCs w:val="24"/>
          <w:highlight w:val="none"/>
          <w:lang w:val="en-US" w:eastAsia="zh-CN"/>
        </w:rPr>
        <w:t>5</w:t>
      </w:r>
      <w:r>
        <w:rPr>
          <w:rFonts w:hint="eastAsia" w:ascii="仿宋_GB2312" w:hAnsi="Times New Roman" w:eastAsia="仿宋_GB2312" w:cs="仿宋_GB2312"/>
          <w:b/>
          <w:bCs w:val="0"/>
          <w:spacing w:val="0"/>
          <w:sz w:val="32"/>
          <w:szCs w:val="24"/>
          <w:highlight w:val="none"/>
          <w:lang w:val="en-US" w:eastAsia="zh-CN"/>
        </w:rPr>
        <w:t>.持续推进管廊建设及架空线入地。</w:t>
      </w:r>
      <w:r>
        <w:rPr>
          <w:rFonts w:hint="eastAsia" w:ascii="仿宋_GB2312" w:hAnsi="Times New Roman" w:eastAsia="仿宋_GB2312" w:cs="仿宋_GB2312"/>
          <w:bCs/>
          <w:spacing w:val="0"/>
          <w:sz w:val="32"/>
          <w:szCs w:val="24"/>
          <w:highlight w:val="none"/>
          <w:lang w:val="en-US" w:eastAsia="zh-CN"/>
        </w:rPr>
        <w:t>推进丽泽东段约</w:t>
      </w:r>
      <w:r>
        <w:rPr>
          <w:rFonts w:hint="eastAsia" w:ascii="Times New Roman" w:hAnsi="Times New Roman" w:eastAsia="Times New Roman" w:cs="Times New Roman"/>
          <w:bCs/>
          <w:spacing w:val="0"/>
          <w:sz w:val="32"/>
          <w:szCs w:val="24"/>
          <w:highlight w:val="none"/>
          <w:lang w:val="en-US" w:eastAsia="zh-CN"/>
        </w:rPr>
        <w:t>180</w:t>
      </w:r>
      <w:r>
        <w:rPr>
          <w:rFonts w:hint="eastAsia" w:ascii="仿宋_GB2312" w:hAnsi="Times New Roman" w:eastAsia="仿宋_GB2312" w:cs="仿宋_GB2312"/>
          <w:bCs/>
          <w:spacing w:val="0"/>
          <w:sz w:val="32"/>
          <w:szCs w:val="24"/>
          <w:highlight w:val="none"/>
          <w:lang w:val="en-US" w:eastAsia="zh-CN"/>
        </w:rPr>
        <w:t>.</w:t>
      </w:r>
      <w:r>
        <w:rPr>
          <w:rFonts w:hint="eastAsia" w:ascii="Times New Roman" w:hAnsi="Times New Roman" w:eastAsia="Times New Roman" w:cs="Times New Roman"/>
          <w:bCs/>
          <w:spacing w:val="0"/>
          <w:sz w:val="32"/>
          <w:szCs w:val="24"/>
          <w:highlight w:val="none"/>
          <w:lang w:val="en-US" w:eastAsia="zh-CN"/>
        </w:rPr>
        <w:t>8</w:t>
      </w:r>
      <w:r>
        <w:rPr>
          <w:rFonts w:hint="eastAsia" w:ascii="仿宋_GB2312" w:hAnsi="Times New Roman" w:eastAsia="仿宋_GB2312" w:cs="仿宋_GB2312"/>
          <w:bCs/>
          <w:spacing w:val="0"/>
          <w:sz w:val="32"/>
          <w:szCs w:val="24"/>
          <w:highlight w:val="none"/>
          <w:lang w:val="en-US" w:eastAsia="zh-CN"/>
        </w:rPr>
        <w:t>米管廊和长辛店大街（火神庙—永济桥路）</w:t>
      </w:r>
      <w:r>
        <w:rPr>
          <w:rFonts w:hint="eastAsia" w:ascii="Times New Roman" w:hAnsi="Times New Roman" w:eastAsia="Times New Roman" w:cs="Times New Roman"/>
          <w:bCs/>
          <w:spacing w:val="0"/>
          <w:sz w:val="32"/>
          <w:szCs w:val="24"/>
          <w:highlight w:val="none"/>
          <w:lang w:val="en-US" w:eastAsia="zh-CN"/>
        </w:rPr>
        <w:t>892</w:t>
      </w:r>
      <w:r>
        <w:rPr>
          <w:rFonts w:hint="eastAsia" w:ascii="仿宋_GB2312" w:hAnsi="Times New Roman" w:eastAsia="仿宋_GB2312" w:cs="仿宋_GB2312"/>
          <w:bCs/>
          <w:spacing w:val="0"/>
          <w:sz w:val="32"/>
          <w:szCs w:val="24"/>
          <w:highlight w:val="none"/>
          <w:lang w:val="en-US" w:eastAsia="zh-CN"/>
        </w:rPr>
        <w:t>米二期管廊建设。结合分钟寺、南中轴、长辛店、丰台站、黄土岗、大井、看丹、南苑等改造项目，统筹推进架空线入地。</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7119A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18756F0B">
            <w:pPr>
              <w:keepNext/>
              <w:keepLines/>
              <w:pageBreakBefore w:val="0"/>
              <w:widowControl/>
              <w:numPr>
                <w:ilvl w:val="-1"/>
                <w:numId w:val="0"/>
              </w:numPr>
              <w:kinsoku/>
              <w:wordWrap/>
              <w:overflowPunct/>
              <w:topLinePunct w:val="0"/>
              <w:autoSpaceDE/>
              <w:autoSpaceDN/>
              <w:bidi w:val="0"/>
              <w:adjustRightInd w:val="0"/>
              <w:snapToGrid w:val="0"/>
              <w:spacing w:beforeLines="0" w:afterLines="0" w:line="240" w:lineRule="auto"/>
              <w:ind w:right="0"/>
              <w:jc w:val="center"/>
              <w:textAlignment w:val="auto"/>
              <w:outlineLvl w:val="9"/>
              <w:rPr>
                <w:rFonts w:hint="eastAsia" w:ascii="仿宋_GB2312" w:hAnsi="Times New Roman" w:eastAsia="仿宋_GB2312" w:cs="仿宋_GB2312"/>
                <w:bCs/>
                <w:spacing w:val="0"/>
                <w:sz w:val="24"/>
                <w:szCs w:val="21"/>
                <w:highlight w:val="none"/>
                <w:vertAlign w:val="baseline"/>
                <w:lang w:val="en-US" w:eastAsia="zh-CN"/>
              </w:rPr>
            </w:pPr>
            <w:r>
              <w:rPr>
                <w:rFonts w:hint="eastAsia" w:ascii="黑体" w:hAnsi="黑体" w:eastAsia="黑体" w:cs="黑体"/>
                <w:bCs/>
                <w:spacing w:val="0"/>
                <w:sz w:val="24"/>
                <w:szCs w:val="21"/>
                <w:highlight w:val="none"/>
                <w:vertAlign w:val="baseline"/>
                <w:lang w:val="en-US" w:eastAsia="zh-CN"/>
              </w:rPr>
              <w:t>专栏</w:t>
            </w:r>
            <w:r>
              <w:rPr>
                <w:rFonts w:hint="eastAsia" w:ascii="Times New Roman" w:hAnsi="Times New Roman" w:eastAsia="Times New Roman" w:cs="Times New Roman"/>
                <w:bCs/>
                <w:spacing w:val="0"/>
                <w:sz w:val="24"/>
                <w:szCs w:val="21"/>
                <w:highlight w:val="none"/>
                <w:vertAlign w:val="baseline"/>
                <w:lang w:val="en-US" w:eastAsia="zh-CN"/>
              </w:rPr>
              <w:t>3</w:t>
            </w:r>
            <w:r>
              <w:rPr>
                <w:rFonts w:hint="eastAsia" w:ascii="黑体" w:hAnsi="黑体" w:eastAsia="黑体" w:cs="黑体"/>
                <w:bCs/>
                <w:spacing w:val="0"/>
                <w:sz w:val="24"/>
                <w:szCs w:val="21"/>
                <w:highlight w:val="none"/>
                <w:vertAlign w:val="baseline"/>
                <w:lang w:val="en-US" w:eastAsia="zh-CN"/>
              </w:rPr>
              <w:t xml:space="preserve"> 城市地下管网统筹改造</w:t>
            </w:r>
          </w:p>
        </w:tc>
      </w:tr>
      <w:tr w14:paraId="2093A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5E49EDCF">
            <w:pPr>
              <w:pStyle w:val="20"/>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textAlignment w:val="auto"/>
              <w:rPr>
                <w:rFonts w:hint="eastAsia"/>
              </w:rPr>
            </w:pPr>
            <w:r>
              <w:rPr>
                <w:rFonts w:hint="eastAsia"/>
              </w:rPr>
              <w:t>聚焦重点功能区开发与老旧片区更新，实施架空线入地、综合管廊、雨污分流、老旧小区管线统筹改造四类项目共</w:t>
            </w:r>
            <w:r>
              <w:rPr>
                <w:rFonts w:hint="eastAsia" w:ascii="Times New Roman" w:hAnsi="Times New Roman" w:eastAsia="Times New Roman" w:cs="Times New Roman"/>
              </w:rPr>
              <w:t>14</w:t>
            </w:r>
            <w:r>
              <w:rPr>
                <w:rFonts w:hint="eastAsia"/>
              </w:rPr>
              <w:t>项。</w:t>
            </w:r>
          </w:p>
          <w:p w14:paraId="1090F005">
            <w:pPr>
              <w:pStyle w:val="20"/>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textAlignment w:val="auto"/>
              <w:rPr>
                <w:rFonts w:hint="eastAsia"/>
              </w:rPr>
            </w:pPr>
            <w:r>
              <w:rPr>
                <w:rFonts w:hint="eastAsia"/>
                <w:b/>
                <w:bCs/>
              </w:rPr>
              <w:t>推进架空线入地。</w:t>
            </w:r>
            <w:r>
              <w:rPr>
                <w:rFonts w:hint="eastAsia"/>
              </w:rPr>
              <w:t>实施南中轴（南三环至警备东路）</w:t>
            </w:r>
            <w:r>
              <w:rPr>
                <w:rFonts w:hint="eastAsia" w:ascii="Times New Roman" w:hAnsi="Times New Roman" w:eastAsia="Times New Roman" w:cs="Times New Roman"/>
              </w:rPr>
              <w:t>6</w:t>
            </w:r>
            <w:r>
              <w:rPr>
                <w:rFonts w:hint="eastAsia"/>
              </w:rPr>
              <w:t>公里强弱电架空线入地，结合分钟寺、长辛店、丰台站、黄土岗、看丹、大井等改造项目统筹推进。</w:t>
            </w:r>
          </w:p>
          <w:p w14:paraId="3092DDEE">
            <w:pPr>
              <w:pStyle w:val="20"/>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textAlignment w:val="auto"/>
              <w:rPr>
                <w:rFonts w:hint="eastAsia"/>
              </w:rPr>
            </w:pPr>
            <w:r>
              <w:rPr>
                <w:rFonts w:hint="eastAsia"/>
                <w:b/>
                <w:bCs/>
              </w:rPr>
              <w:t>加快综合管廊建设。</w:t>
            </w:r>
            <w:r>
              <w:rPr>
                <w:rFonts w:hint="eastAsia"/>
              </w:rPr>
              <w:t>实施长辛店老镇二期（火神庙—永济桥路）、丰台</w:t>
            </w:r>
            <w:r>
              <w:rPr>
                <w:rFonts w:hint="eastAsia" w:ascii="Times New Roman" w:hAnsi="Times New Roman" w:eastAsia="Times New Roman" w:cs="Times New Roman"/>
              </w:rPr>
              <w:t>500</w:t>
            </w:r>
            <w:r>
              <w:rPr>
                <w:rFonts w:hint="eastAsia"/>
              </w:rPr>
              <w:t>千伏配套综合管廊工程、丽泽路综合管廊，推动地下空间一体化开发利用。</w:t>
            </w:r>
          </w:p>
          <w:p w14:paraId="5445EA99">
            <w:pPr>
              <w:pStyle w:val="20"/>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textAlignment w:val="auto"/>
              <w:rPr>
                <w:rFonts w:hint="eastAsia"/>
              </w:rPr>
            </w:pPr>
            <w:r>
              <w:rPr>
                <w:rFonts w:hint="eastAsia"/>
                <w:b/>
                <w:bCs/>
              </w:rPr>
              <w:t>补齐老旧管网。</w:t>
            </w:r>
            <w:r>
              <w:rPr>
                <w:rFonts w:hint="eastAsia"/>
              </w:rPr>
              <w:t>实施宛平城内外雨污分流改造和市政专业管线工程，推进老旧小区管线统筹改造（恒富花园等</w:t>
            </w:r>
            <w:r>
              <w:rPr>
                <w:rFonts w:hint="eastAsia" w:ascii="Times New Roman" w:hAnsi="Times New Roman" w:eastAsia="Times New Roman" w:cs="Times New Roman"/>
              </w:rPr>
              <w:t>3</w:t>
            </w:r>
            <w:r>
              <w:rPr>
                <w:rFonts w:hint="eastAsia"/>
              </w:rPr>
              <w:t>个、恒松园等</w:t>
            </w:r>
            <w:r>
              <w:rPr>
                <w:rFonts w:hint="eastAsia" w:ascii="Times New Roman" w:hAnsi="Times New Roman" w:eastAsia="Times New Roman" w:cs="Times New Roman"/>
              </w:rPr>
              <w:t>2</w:t>
            </w:r>
            <w:r>
              <w:rPr>
                <w:rFonts w:hint="eastAsia"/>
              </w:rPr>
              <w:t>个、北大地三里等</w:t>
            </w:r>
            <w:r>
              <w:rPr>
                <w:rFonts w:hint="eastAsia" w:ascii="Times New Roman" w:hAnsi="Times New Roman" w:eastAsia="Times New Roman" w:cs="Times New Roman"/>
              </w:rPr>
              <w:t>3</w:t>
            </w:r>
            <w:r>
              <w:rPr>
                <w:rFonts w:hint="eastAsia"/>
              </w:rPr>
              <w:t>个、明春东园等</w:t>
            </w:r>
            <w:r>
              <w:rPr>
                <w:rFonts w:hint="eastAsia" w:ascii="Times New Roman" w:hAnsi="Times New Roman" w:eastAsia="Times New Roman" w:cs="Times New Roman"/>
              </w:rPr>
              <w:t>5</w:t>
            </w:r>
            <w:r>
              <w:rPr>
                <w:rFonts w:hint="eastAsia"/>
              </w:rPr>
              <w:t>个、前泥洼等</w:t>
            </w:r>
            <w:r>
              <w:rPr>
                <w:rFonts w:hint="eastAsia" w:ascii="Times New Roman" w:hAnsi="Times New Roman" w:eastAsia="Times New Roman" w:cs="Times New Roman"/>
              </w:rPr>
              <w:t>3</w:t>
            </w:r>
            <w:r>
              <w:rPr>
                <w:rFonts w:hint="eastAsia"/>
              </w:rPr>
              <w:t>个小区），提升排水防涝与市政保障能力。</w:t>
            </w:r>
          </w:p>
          <w:p w14:paraId="3ACA7C3A">
            <w:pPr>
              <w:pStyle w:val="20"/>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textAlignment w:val="auto"/>
              <w:rPr>
                <w:rFonts w:hint="eastAsia" w:ascii="仿宋_GB2312" w:hAnsi="Times New Roman" w:eastAsia="仿宋_GB2312" w:cs="仿宋_GB2312"/>
                <w:bCs/>
                <w:spacing w:val="0"/>
                <w:sz w:val="24"/>
                <w:szCs w:val="21"/>
                <w:highlight w:val="none"/>
                <w:vertAlign w:val="baseline"/>
                <w:lang w:val="en-US" w:eastAsia="zh-CN"/>
              </w:rPr>
            </w:pPr>
            <w:r>
              <w:rPr>
                <w:rFonts w:hint="eastAsia"/>
              </w:rPr>
              <w:t>推动地下管网与道路建设、地块开发同步实施，逐步消除老旧片区管线短板。</w:t>
            </w:r>
          </w:p>
        </w:tc>
      </w:tr>
    </w:tbl>
    <w:p w14:paraId="7817170D">
      <w:pPr>
        <w:pStyle w:val="3"/>
        <w:keepNext/>
        <w:keepLines/>
        <w:widowControl w:val="0"/>
        <w:numPr>
          <w:ilvl w:val="0"/>
          <w:numId w:val="2"/>
        </w:numPr>
        <w:adjustRightInd/>
        <w:snapToGrid/>
        <w:spacing w:after="0" w:afterLines="0" w:line="560" w:lineRule="exact"/>
        <w:ind w:leftChars="200" w:firstLine="0" w:firstLineChars="0"/>
        <w:textAlignment w:val="baseline"/>
        <w:rPr>
          <w:rFonts w:hint="eastAsia" w:ascii="黑体" w:hAnsi="黑体" w:eastAsia="黑体" w:cs="黑体"/>
          <w:b w:val="0"/>
          <w:bCs/>
          <w:spacing w:val="-6"/>
          <w:sz w:val="32"/>
          <w:szCs w:val="32"/>
          <w:highlight w:val="none"/>
          <w:lang w:val="en-US" w:eastAsia="zh-CN"/>
        </w:rPr>
      </w:pPr>
      <w:bookmarkStart w:id="51" w:name="_Toc3575"/>
      <w:bookmarkStart w:id="52" w:name="_Toc6057"/>
      <w:r>
        <w:rPr>
          <w:rFonts w:hint="eastAsia" w:ascii="黑体" w:hAnsi="黑体" w:eastAsia="黑体" w:cs="黑体"/>
          <w:b w:val="0"/>
          <w:bCs/>
          <w:spacing w:val="-6"/>
          <w:sz w:val="32"/>
          <w:szCs w:val="32"/>
          <w:highlight w:val="none"/>
          <w:lang w:val="en-US" w:eastAsia="zh-CN"/>
        </w:rPr>
        <w:t>筑牢城市</w:t>
      </w:r>
      <w:bookmarkEnd w:id="51"/>
      <w:r>
        <w:rPr>
          <w:rFonts w:hint="eastAsia" w:ascii="黑体" w:hAnsi="黑体" w:eastAsia="黑体" w:cs="黑体"/>
          <w:b w:val="0"/>
          <w:bCs/>
          <w:spacing w:val="-6"/>
          <w:sz w:val="32"/>
          <w:szCs w:val="32"/>
          <w:highlight w:val="none"/>
          <w:lang w:val="en-US" w:eastAsia="zh-CN"/>
        </w:rPr>
        <w:t>安全韧性基础</w:t>
      </w:r>
      <w:bookmarkEnd w:id="52"/>
    </w:p>
    <w:p w14:paraId="29EDED4B">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left"/>
        <w:textAlignment w:val="auto"/>
        <w:outlineLvl w:val="9"/>
        <w:rPr>
          <w:rFonts w:hint="default"/>
          <w:lang w:val="en-US" w:eastAsia="zh-CN"/>
        </w:rPr>
      </w:pPr>
      <w:r>
        <w:rPr>
          <w:rFonts w:hint="eastAsia" w:ascii="仿宋_GB2312" w:hAnsi="Times New Roman" w:eastAsia="仿宋_GB2312" w:cs="仿宋_GB2312"/>
          <w:bCs/>
          <w:spacing w:val="0"/>
          <w:sz w:val="32"/>
          <w:szCs w:val="24"/>
          <w:highlight w:val="none"/>
          <w:lang w:val="en-US" w:eastAsia="zh-CN"/>
        </w:rPr>
        <w:t>韧性是超大城市运行的安全底座。落实“建设韧性城市”部署与丰台“三化五区”战略，必须把风险防控嵌入城市生命线全过程，以能源管网更新与应急体系重构，筑牢“四区一枢纽”高质量发展的安全屏障。</w:t>
      </w:r>
    </w:p>
    <w:p w14:paraId="7E5854B8">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3" w:firstLineChars="200"/>
        <w:jc w:val="left"/>
        <w:textAlignment w:val="auto"/>
        <w:outlineLvl w:val="2"/>
        <w:rPr>
          <w:rFonts w:hint="eastAsia" w:ascii="楷体_GB2312" w:hAnsi="楷体_GB2312" w:eastAsia="楷体_GB2312" w:cs="楷体_GB2312"/>
          <w:b/>
          <w:bCs w:val="0"/>
          <w:spacing w:val="0"/>
          <w:sz w:val="32"/>
          <w:szCs w:val="24"/>
          <w:highlight w:val="none"/>
          <w:lang w:val="en-US" w:eastAsia="zh-CN"/>
        </w:rPr>
      </w:pPr>
      <w:bookmarkStart w:id="53" w:name="_Toc4716"/>
      <w:r>
        <w:rPr>
          <w:rFonts w:hint="eastAsia" w:ascii="楷体_GB2312" w:hAnsi="楷体_GB2312" w:eastAsia="楷体_GB2312" w:cs="楷体_GB2312"/>
          <w:b/>
          <w:bCs w:val="0"/>
          <w:spacing w:val="0"/>
          <w:sz w:val="32"/>
          <w:szCs w:val="24"/>
          <w:highlight w:val="none"/>
          <w:lang w:val="en-US" w:eastAsia="zh-CN"/>
        </w:rPr>
        <w:t>（一）筑牢能源安全底线</w:t>
      </w:r>
      <w:bookmarkEnd w:id="53"/>
    </w:p>
    <w:p w14:paraId="4B7AC0DD">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left"/>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仿宋_GB2312" w:hAnsi="Times New Roman" w:eastAsia="仿宋_GB2312" w:cs="仿宋_GB2312"/>
          <w:bCs/>
          <w:spacing w:val="0"/>
          <w:sz w:val="32"/>
          <w:szCs w:val="24"/>
          <w:highlight w:val="none"/>
          <w:lang w:val="en-US" w:eastAsia="zh-CN"/>
        </w:rPr>
        <w:t>对接国家“六张网”战略部署，聚焦新型电网和城市地下管网等核心领域，配合做好设施升级与融合发展。针对城市综合承载力不足、电网“两少一低”、河东河西发展不均衡等问题，坚持保基本、保安全、保重点，积极争取国家和市级资金支持，重点推进以下任务：</w:t>
      </w:r>
    </w:p>
    <w:p w14:paraId="7FFD41CA">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both"/>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Times New Roman" w:hAnsi="Times New Roman" w:eastAsia="Times New Roman" w:cs="Times New Roman"/>
          <w:b/>
          <w:bCs w:val="0"/>
          <w:spacing w:val="0"/>
          <w:sz w:val="32"/>
          <w:szCs w:val="24"/>
          <w:highlight w:val="none"/>
          <w:lang w:val="en-US" w:eastAsia="zh-CN"/>
        </w:rPr>
        <w:t>1</w:t>
      </w:r>
      <w:r>
        <w:rPr>
          <w:rFonts w:hint="eastAsia" w:ascii="仿宋_GB2312" w:hAnsi="Times New Roman" w:eastAsia="仿宋_GB2312" w:cs="仿宋_GB2312"/>
          <w:b/>
          <w:bCs w:val="0"/>
          <w:spacing w:val="0"/>
          <w:sz w:val="32"/>
          <w:szCs w:val="24"/>
          <w:highlight w:val="none"/>
          <w:lang w:val="en-US" w:eastAsia="zh-CN"/>
        </w:rPr>
        <w:t>.提升电力行业稳定运行能力。</w:t>
      </w:r>
      <w:r>
        <w:rPr>
          <w:rFonts w:hint="eastAsia" w:ascii="仿宋_GB2312" w:hAnsi="Times New Roman" w:eastAsia="仿宋_GB2312" w:cs="仿宋_GB2312"/>
          <w:bCs/>
          <w:spacing w:val="0"/>
          <w:sz w:val="32"/>
          <w:szCs w:val="24"/>
          <w:highlight w:val="none"/>
          <w:lang w:val="en-US" w:eastAsia="zh-CN"/>
        </w:rPr>
        <w:t>着力构建“多方向、多来源、多元化”外受电格局。到</w:t>
      </w:r>
      <w:r>
        <w:rPr>
          <w:rFonts w:hint="eastAsia" w:ascii="Times New Roman" w:hAnsi="Times New Roman" w:eastAsia="Times New Roman" w:cs="Times New Roman"/>
          <w:bCs/>
          <w:spacing w:val="0"/>
          <w:sz w:val="32"/>
          <w:szCs w:val="24"/>
          <w:highlight w:val="none"/>
          <w:lang w:val="en-US" w:eastAsia="zh-CN"/>
        </w:rPr>
        <w:t>2030</w:t>
      </w:r>
      <w:r>
        <w:rPr>
          <w:rFonts w:hint="eastAsia" w:ascii="仿宋_GB2312" w:hAnsi="Times New Roman" w:eastAsia="仿宋_GB2312" w:cs="仿宋_GB2312"/>
          <w:bCs/>
          <w:spacing w:val="0"/>
          <w:sz w:val="32"/>
          <w:szCs w:val="24"/>
          <w:highlight w:val="none"/>
          <w:lang w:val="en-US" w:eastAsia="zh-CN"/>
        </w:rPr>
        <w:t>年，电网最大负荷达</w:t>
      </w:r>
      <w:r>
        <w:rPr>
          <w:rFonts w:hint="eastAsia" w:ascii="Times New Roman" w:hAnsi="Times New Roman" w:eastAsia="Times New Roman" w:cs="Times New Roman"/>
          <w:bCs/>
          <w:spacing w:val="0"/>
          <w:sz w:val="32"/>
          <w:szCs w:val="24"/>
          <w:highlight w:val="none"/>
          <w:lang w:val="en-US" w:eastAsia="zh-CN"/>
        </w:rPr>
        <w:t>325</w:t>
      </w:r>
      <w:r>
        <w:rPr>
          <w:rFonts w:hint="eastAsia" w:ascii="仿宋_GB2312" w:hAnsi="Times New Roman" w:eastAsia="仿宋_GB2312" w:cs="仿宋_GB2312"/>
          <w:bCs/>
          <w:spacing w:val="0"/>
          <w:sz w:val="32"/>
          <w:szCs w:val="24"/>
          <w:highlight w:val="none"/>
          <w:lang w:val="en-US" w:eastAsia="zh-CN"/>
        </w:rPr>
        <w:t>万千瓦，“十五五”期间售电量预计增长</w:t>
      </w:r>
      <w:r>
        <w:rPr>
          <w:rFonts w:hint="eastAsia" w:ascii="Times New Roman" w:hAnsi="Times New Roman" w:eastAsia="Times New Roman" w:cs="Times New Roman"/>
          <w:bCs/>
          <w:spacing w:val="0"/>
          <w:sz w:val="32"/>
          <w:szCs w:val="24"/>
          <w:highlight w:val="none"/>
          <w:lang w:val="en-US" w:eastAsia="zh-CN"/>
        </w:rPr>
        <w:t>24</w:t>
      </w:r>
      <w:r>
        <w:rPr>
          <w:rFonts w:hint="eastAsia" w:ascii="仿宋_GB2312" w:hAnsi="Times New Roman" w:eastAsia="仿宋_GB2312" w:cs="仿宋_GB2312"/>
          <w:bCs/>
          <w:spacing w:val="0"/>
          <w:sz w:val="32"/>
          <w:szCs w:val="24"/>
          <w:highlight w:val="none"/>
          <w:lang w:val="en-US" w:eastAsia="zh-CN"/>
        </w:rPr>
        <w:t>%—</w:t>
      </w:r>
      <w:r>
        <w:rPr>
          <w:rFonts w:hint="eastAsia" w:ascii="Times New Roman" w:hAnsi="Times New Roman" w:eastAsia="Times New Roman" w:cs="Times New Roman"/>
          <w:bCs/>
          <w:spacing w:val="0"/>
          <w:sz w:val="32"/>
          <w:szCs w:val="24"/>
          <w:highlight w:val="none"/>
          <w:lang w:val="en-US" w:eastAsia="zh-CN"/>
        </w:rPr>
        <w:t>30</w:t>
      </w:r>
      <w:r>
        <w:rPr>
          <w:rFonts w:hint="eastAsia" w:ascii="仿宋_GB2312" w:hAnsi="Times New Roman" w:eastAsia="仿宋_GB2312" w:cs="仿宋_GB2312"/>
          <w:bCs/>
          <w:spacing w:val="0"/>
          <w:sz w:val="32"/>
          <w:szCs w:val="24"/>
          <w:highlight w:val="none"/>
          <w:lang w:val="en-US" w:eastAsia="zh-CN"/>
        </w:rPr>
        <w:t>%。构建“</w:t>
      </w:r>
      <w:r>
        <w:rPr>
          <w:rFonts w:hint="eastAsia" w:ascii="Times New Roman" w:hAnsi="Times New Roman" w:eastAsia="Times New Roman" w:cs="Times New Roman"/>
          <w:bCs/>
          <w:spacing w:val="0"/>
          <w:sz w:val="32"/>
          <w:szCs w:val="24"/>
          <w:highlight w:val="none"/>
          <w:lang w:val="en-US" w:eastAsia="zh-CN"/>
        </w:rPr>
        <w:t>2</w:t>
      </w:r>
      <w:r>
        <w:rPr>
          <w:rFonts w:hint="eastAsia" w:ascii="仿宋_GB2312" w:hAnsi="Times New Roman" w:eastAsia="仿宋_GB2312" w:cs="仿宋_GB2312"/>
          <w:bCs/>
          <w:spacing w:val="0"/>
          <w:sz w:val="32"/>
          <w:szCs w:val="24"/>
          <w:highlight w:val="none"/>
          <w:lang w:val="en-US" w:eastAsia="zh-CN"/>
        </w:rPr>
        <w:t>+</w:t>
      </w:r>
      <w:r>
        <w:rPr>
          <w:rFonts w:hint="eastAsia" w:ascii="Times New Roman" w:hAnsi="Times New Roman" w:eastAsia="Times New Roman" w:cs="Times New Roman"/>
          <w:bCs/>
          <w:spacing w:val="0"/>
          <w:sz w:val="32"/>
          <w:szCs w:val="24"/>
          <w:highlight w:val="none"/>
          <w:lang w:val="en-US" w:eastAsia="zh-CN"/>
        </w:rPr>
        <w:t>5</w:t>
      </w:r>
      <w:r>
        <w:rPr>
          <w:rFonts w:hint="eastAsia" w:ascii="仿宋_GB2312" w:hAnsi="Times New Roman" w:eastAsia="仿宋_GB2312" w:cs="仿宋_GB2312"/>
          <w:bCs/>
          <w:spacing w:val="0"/>
          <w:sz w:val="32"/>
          <w:szCs w:val="24"/>
          <w:highlight w:val="none"/>
          <w:lang w:val="en-US" w:eastAsia="zh-CN"/>
        </w:rPr>
        <w:t>+</w:t>
      </w:r>
      <w:r>
        <w:rPr>
          <w:rFonts w:hint="eastAsia" w:ascii="Times New Roman" w:hAnsi="Times New Roman" w:eastAsia="Times New Roman" w:cs="Times New Roman"/>
          <w:bCs/>
          <w:spacing w:val="0"/>
          <w:sz w:val="32"/>
          <w:szCs w:val="24"/>
          <w:highlight w:val="none"/>
          <w:lang w:val="en-US" w:eastAsia="zh-CN"/>
        </w:rPr>
        <w:t>11</w:t>
      </w:r>
      <w:r>
        <w:rPr>
          <w:rFonts w:hint="eastAsia" w:ascii="仿宋_GB2312" w:hAnsi="Times New Roman" w:eastAsia="仿宋_GB2312" w:cs="仿宋_GB2312"/>
          <w:bCs/>
          <w:spacing w:val="0"/>
          <w:sz w:val="32"/>
          <w:szCs w:val="24"/>
          <w:highlight w:val="none"/>
          <w:lang w:val="en-US" w:eastAsia="zh-CN"/>
        </w:rPr>
        <w:t>”电力重点项目体系，投产丰台</w:t>
      </w:r>
      <w:r>
        <w:rPr>
          <w:rFonts w:hint="eastAsia" w:ascii="Times New Roman" w:hAnsi="Times New Roman" w:eastAsia="Times New Roman" w:cs="Times New Roman"/>
          <w:bCs/>
          <w:spacing w:val="0"/>
          <w:sz w:val="32"/>
          <w:szCs w:val="24"/>
          <w:highlight w:val="none"/>
          <w:lang w:val="en-US" w:eastAsia="zh-CN"/>
        </w:rPr>
        <w:t>500</w:t>
      </w:r>
      <w:r>
        <w:rPr>
          <w:rFonts w:hint="eastAsia" w:ascii="仿宋_GB2312" w:hAnsi="Times New Roman" w:eastAsia="仿宋_GB2312" w:cs="仿宋_GB2312"/>
          <w:bCs/>
          <w:spacing w:val="0"/>
          <w:sz w:val="32"/>
          <w:szCs w:val="24"/>
          <w:highlight w:val="none"/>
          <w:lang w:val="en-US" w:eastAsia="zh-CN"/>
        </w:rPr>
        <w:t>kV和新建南宫</w:t>
      </w:r>
      <w:r>
        <w:rPr>
          <w:rFonts w:hint="eastAsia" w:ascii="Times New Roman" w:hAnsi="Times New Roman" w:eastAsia="Times New Roman" w:cs="Times New Roman"/>
          <w:bCs/>
          <w:spacing w:val="0"/>
          <w:sz w:val="32"/>
          <w:szCs w:val="24"/>
          <w:highlight w:val="none"/>
          <w:lang w:val="en-US" w:eastAsia="zh-CN"/>
        </w:rPr>
        <w:t>500</w:t>
      </w:r>
      <w:r>
        <w:rPr>
          <w:rFonts w:hint="eastAsia" w:ascii="仿宋_GB2312" w:hAnsi="Times New Roman" w:eastAsia="仿宋_GB2312" w:cs="仿宋_GB2312"/>
          <w:bCs/>
          <w:spacing w:val="0"/>
          <w:sz w:val="32"/>
          <w:szCs w:val="24"/>
          <w:highlight w:val="none"/>
          <w:lang w:val="en-US" w:eastAsia="zh-CN"/>
        </w:rPr>
        <w:t>kV</w:t>
      </w:r>
      <w:r>
        <w:rPr>
          <w:rFonts w:hint="eastAsia" w:ascii="Times New Roman" w:hAnsi="Times New Roman" w:eastAsia="Times New Roman" w:cs="Times New Roman"/>
          <w:bCs/>
          <w:spacing w:val="0"/>
          <w:sz w:val="32"/>
          <w:szCs w:val="24"/>
          <w:highlight w:val="none"/>
          <w:lang w:val="en-US" w:eastAsia="zh-CN"/>
        </w:rPr>
        <w:t>2</w:t>
      </w:r>
      <w:r>
        <w:rPr>
          <w:rFonts w:hint="eastAsia" w:ascii="仿宋_GB2312" w:hAnsi="Times New Roman" w:eastAsia="仿宋_GB2312" w:cs="仿宋_GB2312"/>
          <w:bCs/>
          <w:spacing w:val="0"/>
          <w:sz w:val="32"/>
          <w:szCs w:val="24"/>
          <w:highlight w:val="none"/>
          <w:lang w:val="en-US" w:eastAsia="zh-CN"/>
        </w:rPr>
        <w:t>座变电站，新（续）建</w:t>
      </w:r>
      <w:r>
        <w:rPr>
          <w:rFonts w:hint="eastAsia" w:ascii="Times New Roman" w:hAnsi="Times New Roman" w:eastAsia="Times New Roman" w:cs="Times New Roman"/>
          <w:bCs/>
          <w:spacing w:val="0"/>
          <w:sz w:val="32"/>
          <w:szCs w:val="24"/>
          <w:highlight w:val="none"/>
          <w:lang w:val="en-US" w:eastAsia="zh-CN"/>
        </w:rPr>
        <w:t>5</w:t>
      </w:r>
      <w:r>
        <w:rPr>
          <w:rFonts w:hint="eastAsia" w:ascii="仿宋_GB2312" w:hAnsi="Times New Roman" w:eastAsia="仿宋_GB2312" w:cs="仿宋_GB2312"/>
          <w:bCs/>
          <w:spacing w:val="0"/>
          <w:sz w:val="32"/>
          <w:szCs w:val="24"/>
          <w:highlight w:val="none"/>
          <w:lang w:val="en-US" w:eastAsia="zh-CN"/>
        </w:rPr>
        <w:t>个</w:t>
      </w:r>
      <w:r>
        <w:rPr>
          <w:rFonts w:hint="eastAsia" w:ascii="Times New Roman" w:hAnsi="Times New Roman" w:eastAsia="Times New Roman" w:cs="Times New Roman"/>
          <w:bCs/>
          <w:spacing w:val="0"/>
          <w:sz w:val="32"/>
          <w:szCs w:val="24"/>
          <w:highlight w:val="none"/>
          <w:lang w:val="en-US" w:eastAsia="zh-CN"/>
        </w:rPr>
        <w:t>220</w:t>
      </w:r>
      <w:r>
        <w:rPr>
          <w:rFonts w:hint="eastAsia" w:ascii="仿宋_GB2312" w:hAnsi="Times New Roman" w:eastAsia="仿宋_GB2312" w:cs="仿宋_GB2312"/>
          <w:bCs/>
          <w:spacing w:val="0"/>
          <w:sz w:val="32"/>
          <w:szCs w:val="24"/>
          <w:highlight w:val="none"/>
          <w:lang w:val="en-US" w:eastAsia="zh-CN"/>
        </w:rPr>
        <w:t>千伏变电站，新（扩）建</w:t>
      </w:r>
      <w:r>
        <w:rPr>
          <w:rFonts w:hint="eastAsia" w:ascii="Times New Roman" w:hAnsi="Times New Roman" w:eastAsia="Times New Roman" w:cs="Times New Roman"/>
          <w:bCs/>
          <w:spacing w:val="0"/>
          <w:sz w:val="32"/>
          <w:szCs w:val="24"/>
          <w:highlight w:val="none"/>
          <w:lang w:val="en-US" w:eastAsia="zh-CN"/>
        </w:rPr>
        <w:t>110</w:t>
      </w:r>
      <w:r>
        <w:rPr>
          <w:rFonts w:hint="eastAsia" w:ascii="仿宋_GB2312" w:hAnsi="Times New Roman" w:eastAsia="仿宋_GB2312" w:cs="仿宋_GB2312"/>
          <w:bCs/>
          <w:spacing w:val="0"/>
          <w:sz w:val="32"/>
          <w:szCs w:val="24"/>
          <w:highlight w:val="none"/>
          <w:lang w:val="en-US" w:eastAsia="zh-CN"/>
        </w:rPr>
        <w:t>千伏变电站</w:t>
      </w:r>
      <w:r>
        <w:rPr>
          <w:rFonts w:hint="eastAsia" w:ascii="Times New Roman" w:hAnsi="Times New Roman" w:eastAsia="Times New Roman" w:cs="Times New Roman"/>
          <w:bCs/>
          <w:spacing w:val="0"/>
          <w:sz w:val="32"/>
          <w:szCs w:val="24"/>
          <w:highlight w:val="none"/>
          <w:lang w:val="en-US" w:eastAsia="zh-CN"/>
        </w:rPr>
        <w:t>11</w:t>
      </w:r>
      <w:r>
        <w:rPr>
          <w:rFonts w:hint="eastAsia" w:ascii="仿宋_GB2312" w:hAnsi="Times New Roman" w:eastAsia="仿宋_GB2312" w:cs="仿宋_GB2312"/>
          <w:bCs/>
          <w:spacing w:val="0"/>
          <w:sz w:val="32"/>
          <w:szCs w:val="24"/>
          <w:highlight w:val="none"/>
          <w:lang w:val="en-US" w:eastAsia="zh-CN"/>
        </w:rPr>
        <w:t>座，形成“一站点支撑、四分区供电”主网架，双方向电源率由</w:t>
      </w:r>
      <w:r>
        <w:rPr>
          <w:rFonts w:hint="eastAsia" w:ascii="Times New Roman" w:hAnsi="Times New Roman" w:eastAsia="Times New Roman" w:cs="Times New Roman"/>
          <w:bCs/>
          <w:spacing w:val="0"/>
          <w:sz w:val="32"/>
          <w:szCs w:val="24"/>
          <w:highlight w:val="none"/>
          <w:lang w:val="en-US" w:eastAsia="zh-CN"/>
        </w:rPr>
        <w:t>38</w:t>
      </w:r>
      <w:r>
        <w:rPr>
          <w:rFonts w:hint="eastAsia" w:ascii="仿宋_GB2312" w:hAnsi="Times New Roman" w:eastAsia="仿宋_GB2312" w:cs="仿宋_GB2312"/>
          <w:bCs/>
          <w:spacing w:val="0"/>
          <w:sz w:val="32"/>
          <w:szCs w:val="24"/>
          <w:highlight w:val="none"/>
          <w:lang w:val="en-US" w:eastAsia="zh-CN"/>
        </w:rPr>
        <w:t>.</w:t>
      </w:r>
      <w:r>
        <w:rPr>
          <w:rFonts w:hint="eastAsia" w:ascii="Times New Roman" w:hAnsi="Times New Roman" w:eastAsia="Times New Roman" w:cs="Times New Roman"/>
          <w:bCs/>
          <w:spacing w:val="0"/>
          <w:sz w:val="32"/>
          <w:szCs w:val="24"/>
          <w:highlight w:val="none"/>
          <w:lang w:val="en-US" w:eastAsia="zh-CN"/>
        </w:rPr>
        <w:t>5</w:t>
      </w:r>
      <w:r>
        <w:rPr>
          <w:rFonts w:hint="eastAsia" w:ascii="仿宋_GB2312" w:hAnsi="Times New Roman" w:eastAsia="仿宋_GB2312" w:cs="仿宋_GB2312"/>
          <w:bCs/>
          <w:spacing w:val="0"/>
          <w:sz w:val="32"/>
          <w:szCs w:val="24"/>
          <w:highlight w:val="none"/>
          <w:lang w:val="en-US" w:eastAsia="zh-CN"/>
        </w:rPr>
        <w:t>%提升至</w:t>
      </w:r>
      <w:r>
        <w:rPr>
          <w:rFonts w:hint="eastAsia" w:ascii="Times New Roman" w:hAnsi="Times New Roman" w:eastAsia="Times New Roman" w:cs="Times New Roman"/>
          <w:bCs/>
          <w:spacing w:val="0"/>
          <w:sz w:val="32"/>
          <w:szCs w:val="24"/>
          <w:highlight w:val="none"/>
          <w:lang w:val="en-US" w:eastAsia="zh-CN"/>
        </w:rPr>
        <w:t>71</w:t>
      </w:r>
      <w:r>
        <w:rPr>
          <w:rFonts w:hint="eastAsia" w:ascii="仿宋_GB2312" w:hAnsi="Times New Roman" w:eastAsia="仿宋_GB2312" w:cs="仿宋_GB2312"/>
          <w:bCs/>
          <w:spacing w:val="0"/>
          <w:sz w:val="32"/>
          <w:szCs w:val="24"/>
          <w:highlight w:val="none"/>
          <w:lang w:val="en-US" w:eastAsia="zh-CN"/>
        </w:rPr>
        <w:t>.</w:t>
      </w:r>
      <w:r>
        <w:rPr>
          <w:rFonts w:hint="eastAsia" w:ascii="Times New Roman" w:hAnsi="Times New Roman" w:eastAsia="Times New Roman" w:cs="Times New Roman"/>
          <w:bCs/>
          <w:spacing w:val="0"/>
          <w:sz w:val="32"/>
          <w:szCs w:val="24"/>
          <w:highlight w:val="none"/>
          <w:lang w:val="en-US" w:eastAsia="zh-CN"/>
        </w:rPr>
        <w:t>8</w:t>
      </w:r>
      <w:r>
        <w:rPr>
          <w:rFonts w:hint="eastAsia" w:ascii="仿宋_GB2312" w:hAnsi="Times New Roman" w:eastAsia="仿宋_GB2312" w:cs="仿宋_GB2312"/>
          <w:bCs/>
          <w:spacing w:val="0"/>
          <w:sz w:val="32"/>
          <w:szCs w:val="24"/>
          <w:highlight w:val="none"/>
          <w:lang w:val="en-US" w:eastAsia="zh-CN"/>
        </w:rPr>
        <w:t>%。推动新型电网建设，打造“楼宇+储能+交通”协同供电标杆，聚焦丽泽金融商务区、中关村丰台园，聚合楼宇空调负荷、蓄热电锅炉、全域充电桩等可调资源，建设虚拟电厂，优化电网调度，提升电力需求响应能力。</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13F19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522" w:type="dxa"/>
          </w:tcPr>
          <w:p w14:paraId="62DBC853">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240" w:lineRule="auto"/>
              <w:ind w:right="0"/>
              <w:jc w:val="center"/>
              <w:textAlignment w:val="auto"/>
              <w:outlineLvl w:val="9"/>
              <w:rPr>
                <w:rFonts w:hint="eastAsia" w:ascii="仿宋_GB2312" w:hAnsi="Times New Roman" w:eastAsia="仿宋_GB2312" w:cs="仿宋_GB2312"/>
                <w:bCs/>
                <w:spacing w:val="0"/>
                <w:sz w:val="24"/>
                <w:szCs w:val="21"/>
                <w:highlight w:val="none"/>
                <w:vertAlign w:val="baseline"/>
                <w:lang w:val="en-US" w:eastAsia="zh-CN"/>
              </w:rPr>
            </w:pPr>
            <w:r>
              <w:rPr>
                <w:rFonts w:hint="eastAsia" w:ascii="黑体" w:hAnsi="黑体" w:eastAsia="黑体" w:cs="黑体"/>
                <w:bCs/>
                <w:spacing w:val="0"/>
                <w:sz w:val="24"/>
                <w:szCs w:val="21"/>
                <w:highlight w:val="none"/>
                <w:vertAlign w:val="baseline"/>
                <w:lang w:val="en-US" w:eastAsia="zh-CN"/>
              </w:rPr>
              <w:t>专栏</w:t>
            </w:r>
            <w:r>
              <w:rPr>
                <w:rFonts w:hint="eastAsia" w:ascii="Times New Roman" w:hAnsi="Times New Roman" w:eastAsia="Times New Roman" w:cs="Times New Roman"/>
                <w:bCs/>
                <w:spacing w:val="0"/>
                <w:sz w:val="24"/>
                <w:szCs w:val="21"/>
                <w:highlight w:val="none"/>
                <w:vertAlign w:val="baseline"/>
                <w:lang w:val="en-US" w:eastAsia="zh-CN"/>
              </w:rPr>
              <w:t>4</w:t>
            </w:r>
            <w:r>
              <w:rPr>
                <w:rFonts w:hint="eastAsia" w:ascii="黑体" w:hAnsi="黑体" w:eastAsia="黑体" w:cs="黑体"/>
                <w:bCs/>
                <w:spacing w:val="0"/>
                <w:sz w:val="24"/>
                <w:szCs w:val="21"/>
                <w:highlight w:val="none"/>
                <w:vertAlign w:val="baseline"/>
                <w:lang w:val="en-US" w:eastAsia="zh-CN"/>
              </w:rPr>
              <w:t xml:space="preserve"> 新型电网建设</w:t>
            </w:r>
          </w:p>
        </w:tc>
      </w:tr>
      <w:tr w14:paraId="7F198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015E92A9">
            <w:pPr>
              <w:pStyle w:val="20"/>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textAlignment w:val="auto"/>
              <w:rPr>
                <w:rFonts w:hint="eastAsia"/>
              </w:rPr>
            </w:pPr>
            <w:r>
              <w:rPr>
                <w:rFonts w:hint="eastAsia"/>
              </w:rPr>
              <w:t>围绕“一站点支撑、四分区供电”主网架目标，实施主网架输变电、配套送出与站址扩建、配网改造、智能调控及新型主体等五类项目共39项。</w:t>
            </w:r>
          </w:p>
          <w:p w14:paraId="7DCD572A">
            <w:pPr>
              <w:pStyle w:val="20"/>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textAlignment w:val="auto"/>
              <w:rPr>
                <w:rFonts w:hint="eastAsia"/>
              </w:rPr>
            </w:pPr>
            <w:r>
              <w:rPr>
                <w:rFonts w:hint="eastAsia"/>
                <w:b/>
                <w:bCs/>
              </w:rPr>
              <w:t>完善主网架。</w:t>
            </w:r>
            <w:r>
              <w:rPr>
                <w:rFonts w:hint="eastAsia"/>
              </w:rPr>
              <w:t>实施500千伏输变电工程2项，其中丰台500千伏输变电工程2028年建成投运，南宫500千伏输变电工程谋划储备；实施220千伏输变电及线路工程9项、110千伏输变电及线路工程10项，同步实施丰台500千伏站220千伏配套送出等送出及扩建工程8项。</w:t>
            </w:r>
          </w:p>
          <w:p w14:paraId="413E20EC">
            <w:pPr>
              <w:pStyle w:val="20"/>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textAlignment w:val="auto"/>
              <w:rPr>
                <w:rFonts w:hint="eastAsia"/>
              </w:rPr>
            </w:pPr>
            <w:r>
              <w:rPr>
                <w:rFonts w:hint="eastAsia"/>
                <w:b/>
                <w:bCs/>
              </w:rPr>
              <w:t>优化配网运行。</w:t>
            </w:r>
            <w:r>
              <w:rPr>
                <w:rFonts w:hint="eastAsia"/>
              </w:rPr>
              <w:t>实施2026—2030年配网新建及改造项目5项，建设以电缆网环网网架结构为主、架空线多分段多联络为补充的坚强可靠配电网；实施京丰燃气厂6千伏电缆迁移改造，消除变电站安全隐患。</w:t>
            </w:r>
          </w:p>
          <w:p w14:paraId="55234797">
            <w:pPr>
              <w:pStyle w:val="20"/>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textAlignment w:val="auto"/>
              <w:rPr>
                <w:rFonts w:hint="eastAsia" w:ascii="仿宋_GB2312" w:hAnsi="Times New Roman" w:eastAsia="仿宋_GB2312" w:cs="仿宋_GB2312"/>
                <w:bCs/>
                <w:spacing w:val="0"/>
                <w:sz w:val="24"/>
                <w:szCs w:val="21"/>
                <w:highlight w:val="none"/>
                <w:vertAlign w:val="baseline"/>
                <w:lang w:val="en-US" w:eastAsia="zh-CN"/>
              </w:rPr>
            </w:pPr>
            <w:r>
              <w:rPr>
                <w:rFonts w:hint="eastAsia"/>
                <w:b/>
                <w:bCs/>
              </w:rPr>
              <w:t>培育新型主体。</w:t>
            </w:r>
            <w:r>
              <w:rPr>
                <w:rFonts w:hint="eastAsia"/>
              </w:rPr>
              <w:t>建成丽泽智能电网调控指挥中心；推进虚拟电厂项目建设，深度聚合分布式能源、柔性负荷、储能等多元主体资源；实施公共机构能源托管，打造“楼宇+储能+交通”协同供电标杆。</w:t>
            </w:r>
          </w:p>
        </w:tc>
      </w:tr>
    </w:tbl>
    <w:p w14:paraId="41D252AD">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left"/>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Times New Roman" w:hAnsi="Times New Roman" w:eastAsia="Times New Roman" w:cs="Times New Roman"/>
          <w:b/>
          <w:bCs w:val="0"/>
          <w:spacing w:val="0"/>
          <w:sz w:val="32"/>
          <w:szCs w:val="24"/>
          <w:highlight w:val="none"/>
          <w:lang w:val="en-US" w:eastAsia="zh-CN"/>
        </w:rPr>
        <w:t>2</w:t>
      </w:r>
      <w:r>
        <w:rPr>
          <w:rFonts w:hint="eastAsia" w:ascii="仿宋_GB2312" w:hAnsi="Times New Roman" w:eastAsia="仿宋_GB2312" w:cs="仿宋_GB2312"/>
          <w:b/>
          <w:bCs w:val="0"/>
          <w:spacing w:val="0"/>
          <w:sz w:val="32"/>
          <w:szCs w:val="24"/>
          <w:highlight w:val="none"/>
          <w:lang w:val="en-US" w:eastAsia="zh-CN"/>
        </w:rPr>
        <w:t>.提高燃气行业安全保供能力。</w:t>
      </w:r>
      <w:r>
        <w:rPr>
          <w:rFonts w:hint="eastAsia" w:ascii="仿宋_GB2312" w:hAnsi="Times New Roman" w:eastAsia="仿宋_GB2312" w:cs="仿宋_GB2312"/>
          <w:bCs/>
          <w:spacing w:val="0"/>
          <w:sz w:val="32"/>
          <w:szCs w:val="24"/>
          <w:highlight w:val="none"/>
          <w:lang w:val="en-US" w:eastAsia="zh-CN"/>
        </w:rPr>
        <w:t>着力构建“多源互济、安全可靠”燃气供应体系。“十五五”期间新建中压管线</w:t>
      </w:r>
      <w:r>
        <w:rPr>
          <w:rFonts w:hint="eastAsia" w:ascii="Times New Roman" w:hAnsi="Times New Roman" w:eastAsia="Times New Roman" w:cs="Times New Roman"/>
          <w:bCs/>
          <w:spacing w:val="0"/>
          <w:sz w:val="32"/>
          <w:szCs w:val="24"/>
          <w:highlight w:val="none"/>
          <w:lang w:val="en-US" w:eastAsia="zh-CN"/>
        </w:rPr>
        <w:t>20</w:t>
      </w:r>
      <w:r>
        <w:rPr>
          <w:rFonts w:hint="eastAsia" w:ascii="仿宋_GB2312" w:hAnsi="Times New Roman" w:eastAsia="仿宋_GB2312" w:cs="仿宋_GB2312"/>
          <w:bCs/>
          <w:spacing w:val="0"/>
          <w:sz w:val="32"/>
          <w:szCs w:val="24"/>
          <w:highlight w:val="none"/>
          <w:lang w:val="en-US" w:eastAsia="zh-CN"/>
        </w:rPr>
        <w:t>余公里，河西燃气管网基本成型。推进未通气老楼通气工程，推动云岗供应基地建设，实施老旧管网改造和“带病运行”管线更新，构建“源—网—站—户”智能感知网络，持续提升入户巡检和安全型配件安装率，实现占压隐患动态清零。</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10536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522" w:type="dxa"/>
          </w:tcPr>
          <w:p w14:paraId="36399E04">
            <w:pPr>
              <w:keepNext w:val="0"/>
              <w:keepLines w:val="0"/>
              <w:pageBreakBefore w:val="0"/>
              <w:widowControl w:val="0"/>
              <w:numPr>
                <w:ilvl w:val="0"/>
                <w:numId w:val="0"/>
              </w:numPr>
              <w:tabs>
                <w:tab w:val="left" w:pos="312"/>
              </w:tabs>
              <w:kinsoku/>
              <w:wordWrap/>
              <w:overflowPunct/>
              <w:topLinePunct w:val="0"/>
              <w:autoSpaceDE/>
              <w:autoSpaceDN/>
              <w:bidi w:val="0"/>
              <w:adjustRightInd w:val="0"/>
              <w:snapToGrid w:val="0"/>
              <w:spacing w:beforeLines="0" w:afterLines="0" w:line="240" w:lineRule="auto"/>
              <w:ind w:right="0" w:rightChars="0"/>
              <w:jc w:val="center"/>
              <w:textAlignment w:val="auto"/>
              <w:outlineLvl w:val="9"/>
              <w:rPr>
                <w:rFonts w:hint="eastAsia" w:ascii="仿宋_GB2312" w:hAnsi="Times New Roman" w:eastAsia="仿宋_GB2312" w:cs="仿宋_GB2312"/>
                <w:bCs/>
                <w:spacing w:val="0"/>
                <w:sz w:val="24"/>
                <w:szCs w:val="21"/>
                <w:highlight w:val="none"/>
                <w:vertAlign w:val="baseline"/>
                <w:lang w:val="en-US" w:eastAsia="zh-CN"/>
              </w:rPr>
            </w:pPr>
            <w:r>
              <w:rPr>
                <w:rFonts w:hint="eastAsia" w:ascii="黑体" w:hAnsi="黑体" w:eastAsia="黑体" w:cs="黑体"/>
                <w:bCs/>
                <w:spacing w:val="0"/>
                <w:sz w:val="24"/>
                <w:szCs w:val="21"/>
                <w:highlight w:val="none"/>
                <w:vertAlign w:val="baseline"/>
                <w:lang w:val="en-US" w:eastAsia="zh-CN"/>
              </w:rPr>
              <w:t>专栏</w:t>
            </w:r>
            <w:r>
              <w:rPr>
                <w:rFonts w:hint="eastAsia" w:ascii="Times New Roman" w:hAnsi="Times New Roman" w:eastAsia="Times New Roman" w:cs="Times New Roman"/>
                <w:bCs/>
                <w:spacing w:val="0"/>
                <w:sz w:val="24"/>
                <w:szCs w:val="21"/>
                <w:highlight w:val="none"/>
                <w:vertAlign w:val="baseline"/>
                <w:lang w:val="en-US" w:eastAsia="zh-CN"/>
              </w:rPr>
              <w:t>5</w:t>
            </w:r>
            <w:r>
              <w:rPr>
                <w:rFonts w:hint="eastAsia" w:ascii="黑体" w:hAnsi="黑体" w:eastAsia="黑体" w:cs="黑体"/>
                <w:bCs/>
                <w:spacing w:val="0"/>
                <w:sz w:val="24"/>
                <w:szCs w:val="21"/>
                <w:highlight w:val="none"/>
                <w:vertAlign w:val="baseline"/>
                <w:lang w:val="en-US" w:eastAsia="zh-CN"/>
              </w:rPr>
              <w:t xml:space="preserve"> 城镇燃气供应体系建设</w:t>
            </w:r>
          </w:p>
        </w:tc>
      </w:tr>
      <w:tr w14:paraId="599B1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6D437880">
            <w:pPr>
              <w:pStyle w:val="20"/>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textAlignment w:val="auto"/>
              <w:rPr>
                <w:rFonts w:hint="eastAsia"/>
                <w:lang w:val="en-US" w:eastAsia="zh-CN"/>
              </w:rPr>
            </w:pPr>
            <w:r>
              <w:rPr>
                <w:rFonts w:hint="eastAsia"/>
                <w:lang w:val="en-US" w:eastAsia="zh-CN"/>
              </w:rPr>
              <w:t>围绕“多源互济、安全可靠”目标，实施管网新建、更新改造、安全治理、气源保障四类项目共51项。</w:t>
            </w:r>
          </w:p>
          <w:p w14:paraId="4EC97B96">
            <w:pPr>
              <w:pStyle w:val="20"/>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textAlignment w:val="auto"/>
              <w:rPr>
                <w:rFonts w:hint="eastAsia"/>
                <w:lang w:val="en-US" w:eastAsia="zh-CN"/>
              </w:rPr>
            </w:pPr>
            <w:r>
              <w:rPr>
                <w:rFonts w:hint="eastAsia"/>
                <w:b/>
                <w:bCs/>
                <w:lang w:val="en-US" w:eastAsia="zh-CN"/>
              </w:rPr>
              <w:t>完善中压管网。</w:t>
            </w:r>
            <w:r>
              <w:rPr>
                <w:rFonts w:hint="eastAsia"/>
                <w:lang w:val="en-US" w:eastAsia="zh-CN"/>
              </w:rPr>
              <w:t>结合丽泽金融商务区、南苑湿地、大红门、丰台站站前、花乡中部组团等城中村和棚户区改造，以及东河沿村、看丹路等河西南部地区开发，实施随路天然气工程23项，推动河西燃气管网基本成型。</w:t>
            </w:r>
          </w:p>
          <w:p w14:paraId="2CD84B9E">
            <w:pPr>
              <w:pStyle w:val="20"/>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textAlignment w:val="auto"/>
              <w:rPr>
                <w:rFonts w:hint="eastAsia"/>
                <w:lang w:val="en-US" w:eastAsia="zh-CN"/>
              </w:rPr>
            </w:pPr>
            <w:r>
              <w:rPr>
                <w:rFonts w:hint="eastAsia"/>
                <w:b/>
                <w:bCs/>
                <w:lang w:val="en-US" w:eastAsia="zh-CN"/>
              </w:rPr>
              <w:t>推进老楼通气。</w:t>
            </w:r>
            <w:r>
              <w:rPr>
                <w:rFonts w:hint="eastAsia"/>
                <w:lang w:val="en-US" w:eastAsia="zh-CN"/>
              </w:rPr>
              <w:t>实施丰台区居民楼接通天然气工程，推进长辛店永兴里等小区老楼通气，提升居民用气普及水平。</w:t>
            </w:r>
          </w:p>
          <w:p w14:paraId="0EAB8934">
            <w:pPr>
              <w:pStyle w:val="20"/>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textAlignment w:val="auto"/>
              <w:rPr>
                <w:rFonts w:hint="eastAsia"/>
                <w:lang w:val="en-US" w:eastAsia="zh-CN"/>
              </w:rPr>
            </w:pPr>
            <w:r>
              <w:rPr>
                <w:rFonts w:hint="eastAsia"/>
                <w:b/>
                <w:bCs/>
                <w:lang w:val="en-US" w:eastAsia="zh-CN"/>
              </w:rPr>
              <w:t>更新老旧管网。</w:t>
            </w:r>
            <w:r>
              <w:rPr>
                <w:rFonts w:hint="eastAsia"/>
                <w:lang w:val="en-US" w:eastAsia="zh-CN"/>
              </w:rPr>
              <w:t>实施南三环高压煤气管线、京开中压管线等管网改造和马家堡西里、角门东里等小区户内锈蚀管改造15项；推进在役管线绝缘及阴极保护改造，改造调压站箱56座、闸井21座，外移引入口446个。</w:t>
            </w:r>
          </w:p>
          <w:p w14:paraId="1DB18846">
            <w:pPr>
              <w:pStyle w:val="20"/>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textAlignment w:val="auto"/>
              <w:rPr>
                <w:rFonts w:hint="eastAsia" w:ascii="仿宋_GB2312" w:hAnsi="Times New Roman" w:eastAsia="仿宋_GB2312" w:cs="仿宋_GB2312"/>
                <w:bCs/>
                <w:spacing w:val="0"/>
                <w:sz w:val="24"/>
                <w:szCs w:val="21"/>
                <w:highlight w:val="none"/>
                <w:vertAlign w:val="baseline"/>
                <w:lang w:val="en-US" w:eastAsia="zh-CN"/>
              </w:rPr>
            </w:pPr>
            <w:r>
              <w:rPr>
                <w:rFonts w:hint="eastAsia"/>
                <w:b/>
                <w:bCs/>
                <w:lang w:val="en-US" w:eastAsia="zh-CN"/>
              </w:rPr>
              <w:t>强化气源保障。</w:t>
            </w:r>
            <w:r>
              <w:rPr>
                <w:rFonts w:hint="eastAsia"/>
                <w:lang w:val="en-US" w:eastAsia="zh-CN"/>
              </w:rPr>
              <w:t>实施市级液化石油气供应基地建设工程，形成年灌装5万吨能力；谋划建设旭阳丰台加氢站。</w:t>
            </w:r>
          </w:p>
        </w:tc>
      </w:tr>
    </w:tbl>
    <w:p w14:paraId="0C9BCE23">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left"/>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Times New Roman" w:hAnsi="Times New Roman" w:eastAsia="Times New Roman" w:cs="Times New Roman"/>
          <w:b/>
          <w:bCs w:val="0"/>
          <w:spacing w:val="0"/>
          <w:sz w:val="32"/>
          <w:szCs w:val="24"/>
          <w:highlight w:val="none"/>
          <w:lang w:val="en-US" w:eastAsia="zh-CN"/>
        </w:rPr>
        <w:t>3</w:t>
      </w:r>
      <w:r>
        <w:rPr>
          <w:rFonts w:hint="eastAsia" w:ascii="仿宋_GB2312" w:hAnsi="Times New Roman" w:eastAsia="仿宋_GB2312" w:cs="仿宋_GB2312"/>
          <w:b/>
          <w:bCs w:val="0"/>
          <w:spacing w:val="0"/>
          <w:sz w:val="32"/>
          <w:szCs w:val="24"/>
          <w:highlight w:val="none"/>
          <w:lang w:val="en-US" w:eastAsia="zh-CN"/>
        </w:rPr>
        <w:t>.加快促进供热行业高质量发展。</w:t>
      </w:r>
      <w:r>
        <w:rPr>
          <w:rFonts w:hint="eastAsia" w:ascii="仿宋_GB2312" w:hAnsi="Times New Roman" w:eastAsia="仿宋_GB2312" w:cs="仿宋_GB2312"/>
          <w:bCs/>
          <w:spacing w:val="0"/>
          <w:sz w:val="32"/>
          <w:szCs w:val="24"/>
          <w:highlight w:val="none"/>
          <w:lang w:val="en-US" w:eastAsia="zh-CN"/>
        </w:rPr>
        <w:t>协同推进万泉寺、南中轴等区域热网建设，优化中央芭蕾舞团、大红门、丰台站周边等热源布局。推进小散锅炉房整合入网，推动供热从“分散低效高耗”向“集中高效清洁”转型。在热源、管网关键节点加装智能调控设备，实现远程实时监控。</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27004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8522" w:type="dxa"/>
          </w:tcPr>
          <w:p w14:paraId="41818646">
            <w:pPr>
              <w:keepNext/>
              <w:keepLines w:val="0"/>
              <w:pageBreakBefore w:val="0"/>
              <w:widowControl w:val="0"/>
              <w:numPr>
                <w:ilvl w:val="-1"/>
                <w:numId w:val="0"/>
              </w:numPr>
              <w:kinsoku/>
              <w:wordWrap/>
              <w:overflowPunct/>
              <w:topLinePunct w:val="0"/>
              <w:autoSpaceDE/>
              <w:autoSpaceDN/>
              <w:bidi w:val="0"/>
              <w:adjustRightInd w:val="0"/>
              <w:snapToGrid w:val="0"/>
              <w:spacing w:beforeLines="0" w:afterLines="0" w:line="240" w:lineRule="auto"/>
              <w:ind w:right="0"/>
              <w:jc w:val="center"/>
              <w:textAlignment w:val="auto"/>
              <w:outlineLvl w:val="9"/>
              <w:rPr>
                <w:rFonts w:hint="eastAsia" w:ascii="仿宋_GB2312" w:hAnsi="Times New Roman" w:eastAsia="仿宋_GB2312" w:cs="仿宋_GB2312"/>
                <w:bCs/>
                <w:spacing w:val="0"/>
                <w:sz w:val="24"/>
                <w:szCs w:val="21"/>
                <w:highlight w:val="none"/>
                <w:vertAlign w:val="baseline"/>
                <w:lang w:val="en-US" w:eastAsia="zh-CN"/>
              </w:rPr>
            </w:pPr>
            <w:r>
              <w:rPr>
                <w:rFonts w:hint="eastAsia" w:ascii="黑体" w:hAnsi="黑体" w:eastAsia="黑体" w:cs="黑体"/>
                <w:bCs/>
                <w:spacing w:val="0"/>
                <w:sz w:val="24"/>
                <w:szCs w:val="21"/>
                <w:highlight w:val="none"/>
                <w:vertAlign w:val="baseline"/>
                <w:lang w:val="en-US" w:eastAsia="zh-CN"/>
              </w:rPr>
              <w:t>专栏</w:t>
            </w:r>
            <w:r>
              <w:rPr>
                <w:rFonts w:hint="eastAsia" w:ascii="Times New Roman" w:hAnsi="Times New Roman" w:eastAsia="Times New Roman" w:cs="Times New Roman"/>
                <w:bCs/>
                <w:spacing w:val="0"/>
                <w:sz w:val="24"/>
                <w:szCs w:val="21"/>
                <w:highlight w:val="none"/>
                <w:vertAlign w:val="baseline"/>
                <w:lang w:val="en-US" w:eastAsia="zh-CN"/>
              </w:rPr>
              <w:t>6</w:t>
            </w:r>
            <w:r>
              <w:rPr>
                <w:rFonts w:hint="eastAsia" w:ascii="黑体" w:hAnsi="黑体" w:eastAsia="黑体" w:cs="黑体"/>
                <w:bCs/>
                <w:spacing w:val="0"/>
                <w:sz w:val="24"/>
                <w:szCs w:val="21"/>
                <w:highlight w:val="none"/>
                <w:vertAlign w:val="baseline"/>
                <w:lang w:val="en-US" w:eastAsia="zh-CN"/>
              </w:rPr>
              <w:t xml:space="preserve"> 供热热源与管网建设</w:t>
            </w:r>
          </w:p>
        </w:tc>
      </w:tr>
      <w:tr w14:paraId="16D54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01140D01">
            <w:pPr>
              <w:pStyle w:val="20"/>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textAlignment w:val="auto"/>
              <w:rPr>
                <w:rFonts w:hint="eastAsia"/>
                <w:lang w:val="en-US" w:eastAsia="zh-CN"/>
              </w:rPr>
            </w:pPr>
            <w:r>
              <w:rPr>
                <w:rFonts w:hint="eastAsia"/>
                <w:lang w:val="en-US" w:eastAsia="zh-CN"/>
              </w:rPr>
              <w:t>围绕热源整合与管网更新，实施老旧管网更新改造、配套热力管线、热源优化与余热利用、安全治理四类项目共36项。</w:t>
            </w:r>
          </w:p>
          <w:p w14:paraId="52837177">
            <w:pPr>
              <w:pStyle w:val="20"/>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textAlignment w:val="auto"/>
              <w:rPr>
                <w:rFonts w:hint="eastAsia"/>
                <w:lang w:val="en-US" w:eastAsia="zh-CN"/>
              </w:rPr>
            </w:pPr>
            <w:r>
              <w:rPr>
                <w:rFonts w:hint="eastAsia"/>
                <w:b/>
                <w:bCs/>
                <w:lang w:val="en-US" w:eastAsia="zh-CN"/>
              </w:rPr>
              <w:t>更新老旧管网。</w:t>
            </w:r>
            <w:r>
              <w:rPr>
                <w:rFonts w:hint="eastAsia"/>
                <w:lang w:val="en-US" w:eastAsia="zh-CN"/>
              </w:rPr>
              <w:t>实施市热力集团老旧供热管网及设施改造四期工程，改造老旧供热管线104.09公里；推进方庄干线、群南支线、南三环线等老旧供热一次管网改造和天岳恒等庭院管网更新改造17项，同步实施供热智能化改造。</w:t>
            </w:r>
          </w:p>
          <w:p w14:paraId="6BBF7F41">
            <w:pPr>
              <w:pStyle w:val="20"/>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textAlignment w:val="auto"/>
              <w:rPr>
                <w:rFonts w:hint="eastAsia"/>
                <w:lang w:val="en-US" w:eastAsia="zh-CN"/>
              </w:rPr>
            </w:pPr>
            <w:r>
              <w:rPr>
                <w:rFonts w:hint="eastAsia"/>
                <w:b/>
                <w:bCs/>
                <w:lang w:val="en-US" w:eastAsia="zh-CN"/>
              </w:rPr>
              <w:t>优化热源布局。</w:t>
            </w:r>
            <w:r>
              <w:rPr>
                <w:rFonts w:hint="eastAsia"/>
                <w:lang w:val="en-US" w:eastAsia="zh-CN"/>
              </w:rPr>
              <w:t>实施北京京桥热电烟气余热利用、京丰余热利用项目，建设京丰绿电供热试点工程二期蓄热设施，推进热源设施提升改造，提升河西地区供热保障能力。</w:t>
            </w:r>
          </w:p>
          <w:p w14:paraId="4D856897">
            <w:pPr>
              <w:pStyle w:val="20"/>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textAlignment w:val="auto"/>
              <w:rPr>
                <w:rFonts w:hint="eastAsia"/>
                <w:lang w:val="en-US" w:eastAsia="zh-CN"/>
              </w:rPr>
            </w:pPr>
            <w:r>
              <w:rPr>
                <w:rFonts w:hint="eastAsia"/>
                <w:b/>
                <w:bCs/>
                <w:lang w:val="en-US" w:eastAsia="zh-CN"/>
              </w:rPr>
              <w:t>完善配套管网。</w:t>
            </w:r>
            <w:r>
              <w:rPr>
                <w:rFonts w:hint="eastAsia"/>
                <w:lang w:val="en-US" w:eastAsia="zh-CN"/>
              </w:rPr>
              <w:t>围绕中央芭蕾舞团业务用房、大红门一期A区棚改、丰台火车站周边等重点区域，实施配套热力管线工程13项，推进莲玉嘉园小区并入城市热网。</w:t>
            </w:r>
          </w:p>
          <w:p w14:paraId="7A1789EB">
            <w:pPr>
              <w:pStyle w:val="20"/>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textAlignment w:val="auto"/>
              <w:rPr>
                <w:rFonts w:hint="eastAsia"/>
                <w:lang w:val="en-US" w:eastAsia="zh-CN"/>
              </w:rPr>
            </w:pPr>
            <w:r>
              <w:rPr>
                <w:rFonts w:hint="eastAsia"/>
                <w:b/>
                <w:bCs/>
                <w:lang w:val="en-US" w:eastAsia="zh-CN"/>
              </w:rPr>
              <w:t>强化安全治理。</w:t>
            </w:r>
            <w:r>
              <w:rPr>
                <w:rFonts w:hint="eastAsia"/>
                <w:lang w:val="en-US" w:eastAsia="zh-CN"/>
              </w:rPr>
              <w:t>实施供热设施隐患治理项目，加装锅炉房一氧化碳联动报警、烟气余热回收等设备，提升智慧供热水平。</w:t>
            </w:r>
          </w:p>
        </w:tc>
      </w:tr>
    </w:tbl>
    <w:p w14:paraId="0D8718C0">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left"/>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Times New Roman" w:hAnsi="Times New Roman" w:eastAsia="Times New Roman" w:cs="Times New Roman"/>
          <w:b/>
          <w:bCs w:val="0"/>
          <w:spacing w:val="0"/>
          <w:sz w:val="32"/>
          <w:szCs w:val="24"/>
          <w:highlight w:val="none"/>
          <w:lang w:val="en-US" w:eastAsia="zh-CN"/>
        </w:rPr>
        <w:t>4</w:t>
      </w:r>
      <w:r>
        <w:rPr>
          <w:rFonts w:hint="eastAsia" w:ascii="仿宋_GB2312" w:hAnsi="Times New Roman" w:eastAsia="仿宋_GB2312" w:cs="仿宋_GB2312"/>
          <w:b/>
          <w:bCs w:val="0"/>
          <w:spacing w:val="0"/>
          <w:sz w:val="32"/>
          <w:szCs w:val="24"/>
          <w:highlight w:val="none"/>
          <w:lang w:val="en-US" w:eastAsia="zh-CN"/>
        </w:rPr>
        <w:t>.积极开展市政接入优化营商环境。</w:t>
      </w:r>
      <w:r>
        <w:rPr>
          <w:rFonts w:hint="eastAsia" w:ascii="仿宋_GB2312" w:hAnsi="Times New Roman" w:eastAsia="仿宋_GB2312" w:cs="仿宋_GB2312"/>
          <w:bCs/>
          <w:spacing w:val="0"/>
          <w:sz w:val="32"/>
          <w:szCs w:val="24"/>
          <w:highlight w:val="none"/>
          <w:lang w:val="en-US" w:eastAsia="zh-CN"/>
        </w:rPr>
        <w:t>深化市政公用基础设施接入改革，对标营商环境建设要求，推行水、电、气、热联合报装“一站式”服务。优化审批流程，压缩接入时限，推行“容缺受理”“告知承诺”等便利化措施。</w:t>
      </w:r>
    </w:p>
    <w:p w14:paraId="0E8277D3">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3" w:firstLineChars="200"/>
        <w:jc w:val="left"/>
        <w:textAlignment w:val="auto"/>
        <w:outlineLvl w:val="2"/>
        <w:rPr>
          <w:rFonts w:hint="eastAsia" w:ascii="楷体_GB2312" w:hAnsi="楷体_GB2312" w:eastAsia="楷体_GB2312" w:cs="楷体_GB2312"/>
          <w:b/>
          <w:bCs w:val="0"/>
          <w:spacing w:val="0"/>
          <w:sz w:val="32"/>
          <w:szCs w:val="24"/>
          <w:highlight w:val="none"/>
          <w:lang w:val="en-US" w:eastAsia="zh-CN"/>
        </w:rPr>
      </w:pPr>
      <w:bookmarkStart w:id="54" w:name="_Toc18813"/>
      <w:r>
        <w:rPr>
          <w:rFonts w:hint="eastAsia" w:ascii="楷体_GB2312" w:hAnsi="楷体_GB2312" w:eastAsia="楷体_GB2312" w:cs="楷体_GB2312"/>
          <w:b/>
          <w:bCs w:val="0"/>
          <w:spacing w:val="0"/>
          <w:sz w:val="32"/>
          <w:szCs w:val="24"/>
          <w:highlight w:val="none"/>
          <w:lang w:val="en-US" w:eastAsia="zh-CN"/>
        </w:rPr>
        <w:t>（二）补齐城市安全韧性短板</w:t>
      </w:r>
      <w:bookmarkEnd w:id="54"/>
    </w:p>
    <w:p w14:paraId="4BBB40B0">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left"/>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仿宋_GB2312" w:hAnsi="Times New Roman" w:eastAsia="仿宋_GB2312" w:cs="仿宋_GB2312"/>
          <w:bCs/>
          <w:spacing w:val="0"/>
          <w:sz w:val="32"/>
          <w:szCs w:val="24"/>
          <w:highlight w:val="none"/>
          <w:lang w:val="en-US" w:eastAsia="zh-CN"/>
        </w:rPr>
        <w:t>针对城市安全运行风险防控体系尚不健全、韧性城市建设有待加强等问题，聚焦平房区和老旧小区电气线路老化等突出安全隐患，以及河西地区基础设施欠账，坚持安全韧性优先，重点推进以下任务：</w:t>
      </w:r>
    </w:p>
    <w:p w14:paraId="544703AB">
      <w:pPr>
        <w:keepNext w:val="0"/>
        <w:keepLines w:val="0"/>
        <w:pageBreakBefore w:val="0"/>
        <w:widowControl/>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left"/>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Times New Roman" w:hAnsi="Times New Roman" w:eastAsia="Times New Roman" w:cs="Times New Roman"/>
          <w:b/>
          <w:bCs w:val="0"/>
          <w:spacing w:val="0"/>
          <w:sz w:val="32"/>
          <w:szCs w:val="24"/>
          <w:highlight w:val="none"/>
          <w:lang w:val="en-US" w:eastAsia="zh-CN"/>
        </w:rPr>
        <w:t>1</w:t>
      </w:r>
      <w:r>
        <w:rPr>
          <w:rFonts w:hint="eastAsia" w:ascii="仿宋_GB2312" w:hAnsi="Times New Roman" w:eastAsia="仿宋_GB2312" w:cs="仿宋_GB2312"/>
          <w:b/>
          <w:bCs w:val="0"/>
          <w:spacing w:val="0"/>
          <w:sz w:val="32"/>
          <w:szCs w:val="24"/>
          <w:highlight w:val="none"/>
          <w:lang w:val="en-US" w:eastAsia="zh-CN"/>
        </w:rPr>
        <w:t>.做好城市公共设施管理维护。</w:t>
      </w:r>
      <w:r>
        <w:rPr>
          <w:rFonts w:hint="eastAsia" w:ascii="仿宋_GB2312" w:hAnsi="Times New Roman" w:eastAsia="仿宋_GB2312" w:cs="仿宋_GB2312"/>
          <w:bCs/>
          <w:spacing w:val="0"/>
          <w:sz w:val="32"/>
          <w:szCs w:val="24"/>
          <w:highlight w:val="none"/>
          <w:lang w:val="en-US" w:eastAsia="zh-CN"/>
        </w:rPr>
        <w:t>完善市政设施巡查养护，推进水电气热等老旧管线更新改造，持续推进市属老旧小区管线改造。实施南中轴架空线入地、宛平城管线改造、长辛店管廊建设等重点项目，推进丽泽地下交通环廊建设，推动地下空间一体化开发利用，提升综合防灾能力。</w:t>
      </w:r>
    </w:p>
    <w:p w14:paraId="5A29F1EF">
      <w:pPr>
        <w:keepNext/>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left"/>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Times New Roman" w:hAnsi="Times New Roman" w:eastAsia="Times New Roman" w:cs="Times New Roman"/>
          <w:b/>
          <w:bCs w:val="0"/>
          <w:spacing w:val="0"/>
          <w:sz w:val="32"/>
          <w:szCs w:val="24"/>
          <w:highlight w:val="none"/>
          <w:lang w:val="en-US" w:eastAsia="zh-CN"/>
        </w:rPr>
        <w:t>2</w:t>
      </w:r>
      <w:r>
        <w:rPr>
          <w:rFonts w:hint="eastAsia" w:ascii="仿宋_GB2312" w:hAnsi="Times New Roman" w:eastAsia="仿宋_GB2312" w:cs="仿宋_GB2312"/>
          <w:b/>
          <w:bCs w:val="0"/>
          <w:spacing w:val="0"/>
          <w:sz w:val="32"/>
          <w:szCs w:val="24"/>
          <w:highlight w:val="none"/>
          <w:lang w:val="en-US" w:eastAsia="zh-CN"/>
        </w:rPr>
        <w:t>.协同推进海绵城市建设与韧性城市融合发展。</w:t>
      </w:r>
      <w:r>
        <w:rPr>
          <w:rFonts w:hint="eastAsia" w:ascii="仿宋_GB2312" w:hAnsi="Times New Roman" w:eastAsia="仿宋_GB2312" w:cs="仿宋_GB2312"/>
          <w:bCs/>
          <w:spacing w:val="0"/>
          <w:sz w:val="32"/>
          <w:szCs w:val="24"/>
          <w:highlight w:val="none"/>
          <w:lang w:val="en-US" w:eastAsia="zh-CN"/>
        </w:rPr>
        <w:t>加强与水务部门联动，统筹城市排水管网、城市公园下沉绿地、蓄滞空间等基础设施建设，推动“蓝绿灰”融合治理。在道路更新、老旧小区改造、公共空间品质提升等工程中落实海绵城市理念，布局下凹绿地等设施，提升调蓄能力。结合南中轴、宛平城等重点区域改造，对接市级韧性城市组团建设要求，探索韧性城市协同示范项目。</w:t>
      </w:r>
    </w:p>
    <w:p w14:paraId="1CFA9A68">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left"/>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Times New Roman" w:hAnsi="Times New Roman" w:eastAsia="Times New Roman" w:cs="Times New Roman"/>
          <w:b/>
          <w:bCs w:val="0"/>
          <w:spacing w:val="0"/>
          <w:sz w:val="32"/>
          <w:szCs w:val="24"/>
          <w:highlight w:val="none"/>
          <w:lang w:val="en-US" w:eastAsia="zh-CN"/>
        </w:rPr>
        <w:t>3</w:t>
      </w:r>
      <w:r>
        <w:rPr>
          <w:rFonts w:hint="eastAsia" w:ascii="仿宋_GB2312" w:hAnsi="Times New Roman" w:eastAsia="仿宋_GB2312" w:cs="仿宋_GB2312"/>
          <w:b/>
          <w:bCs w:val="0"/>
          <w:spacing w:val="0"/>
          <w:sz w:val="32"/>
          <w:szCs w:val="24"/>
          <w:highlight w:val="none"/>
          <w:lang w:val="en-US" w:eastAsia="zh-CN"/>
        </w:rPr>
        <w:t>.健全风险感知监测预警体系。</w:t>
      </w:r>
      <w:r>
        <w:rPr>
          <w:rFonts w:hint="eastAsia" w:ascii="仿宋_GB2312" w:hAnsi="Times New Roman" w:eastAsia="仿宋_GB2312" w:cs="仿宋_GB2312"/>
          <w:bCs/>
          <w:spacing w:val="0"/>
          <w:sz w:val="32"/>
          <w:szCs w:val="24"/>
          <w:highlight w:val="none"/>
          <w:lang w:val="en-US" w:eastAsia="zh-CN"/>
        </w:rPr>
        <w:t>针对燃气、供电、供热、交通、桥梁、综合管廊等城市生命线工程，协同相关部门和企事业单位进行常态化风险监测预警，建立分级分类预警信息发布机制，形成“监测—分析—预警—处置”闭环管理，提升城市生命线安全运行保障能力。</w:t>
      </w:r>
    </w:p>
    <w:p w14:paraId="61FC7A3F">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left"/>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Times New Roman" w:hAnsi="Times New Roman" w:eastAsia="Times New Roman" w:cs="Times New Roman"/>
          <w:b/>
          <w:bCs w:val="0"/>
          <w:spacing w:val="0"/>
          <w:sz w:val="32"/>
          <w:szCs w:val="24"/>
          <w:highlight w:val="none"/>
          <w:lang w:val="en-US" w:eastAsia="zh-CN"/>
        </w:rPr>
        <w:t>4</w:t>
      </w:r>
      <w:r>
        <w:rPr>
          <w:rFonts w:hint="eastAsia" w:ascii="仿宋_GB2312" w:hAnsi="Times New Roman" w:eastAsia="仿宋_GB2312" w:cs="仿宋_GB2312"/>
          <w:b/>
          <w:bCs w:val="0"/>
          <w:spacing w:val="0"/>
          <w:sz w:val="32"/>
          <w:szCs w:val="24"/>
          <w:highlight w:val="none"/>
          <w:lang w:val="en-US" w:eastAsia="zh-CN"/>
        </w:rPr>
        <w:t>.完善应急安全保障体系建设。</w:t>
      </w:r>
      <w:r>
        <w:rPr>
          <w:rFonts w:hint="eastAsia" w:ascii="仿宋_GB2312" w:hAnsi="Times New Roman" w:eastAsia="仿宋_GB2312" w:cs="仿宋_GB2312"/>
          <w:bCs/>
          <w:spacing w:val="0"/>
          <w:sz w:val="32"/>
          <w:szCs w:val="24"/>
          <w:highlight w:val="none"/>
          <w:lang w:val="en-US" w:eastAsia="zh-CN"/>
        </w:rPr>
        <w:t>完善应急预案体系，加强实战化演练。强化应急救援队伍建设和应急物资储备，提升突发事件快速响应和有效处置能力。构建政府主导、社会参与、多方联动的应急动员格局，筑牢城市安全运行防线。</w:t>
      </w:r>
    </w:p>
    <w:p w14:paraId="7B51D8B9">
      <w:pPr>
        <w:pStyle w:val="3"/>
        <w:keepNext/>
        <w:keepLines/>
        <w:widowControl w:val="0"/>
        <w:numPr>
          <w:ilvl w:val="-1"/>
          <w:numId w:val="0"/>
        </w:numPr>
        <w:adjustRightInd/>
        <w:snapToGrid/>
        <w:spacing w:after="0" w:afterLines="0" w:line="560" w:lineRule="exact"/>
        <w:ind w:firstLine="616" w:firstLineChars="200"/>
        <w:textAlignment w:val="baseline"/>
        <w:rPr>
          <w:rFonts w:hint="eastAsia" w:ascii="黑体" w:hAnsi="黑体" w:eastAsia="黑体" w:cs="黑体"/>
          <w:b w:val="0"/>
          <w:bCs/>
          <w:spacing w:val="-6"/>
          <w:sz w:val="32"/>
          <w:szCs w:val="32"/>
          <w:highlight w:val="none"/>
          <w:lang w:val="en-US" w:eastAsia="zh-CN"/>
        </w:rPr>
      </w:pPr>
      <w:bookmarkStart w:id="55" w:name="_Toc8364"/>
      <w:bookmarkStart w:id="56" w:name="_Toc17801"/>
      <w:r>
        <w:rPr>
          <w:rFonts w:hint="eastAsia" w:ascii="黑体" w:hAnsi="黑体" w:eastAsia="黑体" w:cs="黑体"/>
          <w:b w:val="0"/>
          <w:bCs/>
          <w:spacing w:val="-6"/>
          <w:sz w:val="32"/>
          <w:szCs w:val="32"/>
          <w:highlight w:val="none"/>
          <w:lang w:val="en-US" w:eastAsia="zh-CN"/>
        </w:rPr>
        <w:t>五、涵养城市文明发展风尚</w:t>
      </w:r>
      <w:bookmarkEnd w:id="55"/>
      <w:bookmarkEnd w:id="56"/>
    </w:p>
    <w:p w14:paraId="63EFBC1E">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left"/>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仿宋_GB2312" w:hAnsi="Times New Roman" w:eastAsia="仿宋_GB2312" w:cs="仿宋_GB2312"/>
          <w:bCs/>
          <w:spacing w:val="0"/>
          <w:sz w:val="32"/>
          <w:szCs w:val="24"/>
          <w:highlight w:val="none"/>
          <w:lang w:val="en-US" w:eastAsia="zh-CN"/>
        </w:rPr>
        <w:t>文明是现代化人民城市的鲜明底色。落实“建设文明城市”部署与丰台“三化五区”战略，必须把文明建设融入治理全过程，以文化人、以文润城，推动从环境整治向内涵涵养、从文明实践向发展成果延伸。</w:t>
      </w:r>
    </w:p>
    <w:p w14:paraId="6E447646">
      <w:pPr>
        <w:keepNext/>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3" w:firstLineChars="200"/>
        <w:jc w:val="left"/>
        <w:textAlignment w:val="auto"/>
        <w:outlineLvl w:val="2"/>
        <w:rPr>
          <w:rFonts w:hint="eastAsia" w:ascii="楷体_GB2312" w:hAnsi="楷体_GB2312" w:eastAsia="楷体_GB2312" w:cs="楷体_GB2312"/>
          <w:b/>
          <w:bCs w:val="0"/>
          <w:spacing w:val="0"/>
          <w:sz w:val="32"/>
          <w:szCs w:val="24"/>
          <w:highlight w:val="none"/>
          <w:lang w:val="en-US" w:eastAsia="zh-CN"/>
        </w:rPr>
      </w:pPr>
      <w:bookmarkStart w:id="57" w:name="_Toc3751"/>
      <w:r>
        <w:rPr>
          <w:rFonts w:hint="eastAsia" w:ascii="楷体_GB2312" w:hAnsi="楷体_GB2312" w:eastAsia="楷体_GB2312" w:cs="楷体_GB2312"/>
          <w:b/>
          <w:bCs w:val="0"/>
          <w:spacing w:val="0"/>
          <w:sz w:val="32"/>
          <w:szCs w:val="24"/>
          <w:highlight w:val="none"/>
          <w:lang w:val="en-US" w:eastAsia="zh-CN"/>
        </w:rPr>
        <w:t>（一）打造城市文明窗口</w:t>
      </w:r>
      <w:bookmarkEnd w:id="57"/>
    </w:p>
    <w:p w14:paraId="3B7B05CD">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left"/>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仿宋_GB2312" w:hAnsi="Times New Roman" w:eastAsia="仿宋_GB2312" w:cs="仿宋_GB2312"/>
          <w:bCs/>
          <w:spacing w:val="0"/>
          <w:sz w:val="32"/>
          <w:szCs w:val="24"/>
          <w:highlight w:val="none"/>
          <w:lang w:val="en-US" w:eastAsia="zh-CN"/>
        </w:rPr>
        <w:t>高标准做好重大活动环境与城市运行保障。围绕中国共产党成立</w:t>
      </w:r>
      <w:r>
        <w:rPr>
          <w:rFonts w:hint="eastAsia" w:ascii="Times New Roman" w:hAnsi="Times New Roman" w:eastAsia="Times New Roman" w:cs="Times New Roman"/>
          <w:bCs/>
          <w:spacing w:val="0"/>
          <w:sz w:val="32"/>
          <w:szCs w:val="24"/>
          <w:highlight w:val="none"/>
          <w:lang w:val="en-US" w:eastAsia="zh-CN"/>
        </w:rPr>
        <w:t>105</w:t>
      </w:r>
      <w:r>
        <w:rPr>
          <w:rFonts w:hint="eastAsia" w:ascii="仿宋_GB2312" w:hAnsi="Times New Roman" w:eastAsia="仿宋_GB2312" w:cs="仿宋_GB2312"/>
          <w:bCs/>
          <w:spacing w:val="0"/>
          <w:sz w:val="32"/>
          <w:szCs w:val="24"/>
          <w:highlight w:val="none"/>
          <w:lang w:val="en-US" w:eastAsia="zh-CN"/>
        </w:rPr>
        <w:t>周年、建军</w:t>
      </w:r>
      <w:r>
        <w:rPr>
          <w:rFonts w:hint="eastAsia" w:ascii="Times New Roman" w:hAnsi="Times New Roman" w:eastAsia="Times New Roman" w:cs="Times New Roman"/>
          <w:bCs/>
          <w:spacing w:val="0"/>
          <w:sz w:val="32"/>
          <w:szCs w:val="24"/>
          <w:highlight w:val="none"/>
          <w:lang w:val="en-US" w:eastAsia="zh-CN"/>
        </w:rPr>
        <w:t>100</w:t>
      </w:r>
      <w:r>
        <w:rPr>
          <w:rFonts w:hint="eastAsia" w:ascii="仿宋_GB2312" w:hAnsi="Times New Roman" w:eastAsia="仿宋_GB2312" w:cs="仿宋_GB2312"/>
          <w:bCs/>
          <w:spacing w:val="0"/>
          <w:sz w:val="32"/>
          <w:szCs w:val="24"/>
          <w:highlight w:val="none"/>
          <w:lang w:val="en-US" w:eastAsia="zh-CN"/>
        </w:rPr>
        <w:t>周年、新中国成立</w:t>
      </w:r>
      <w:r>
        <w:rPr>
          <w:rFonts w:hint="eastAsia" w:ascii="Times New Roman" w:hAnsi="Times New Roman" w:eastAsia="Times New Roman" w:cs="Times New Roman"/>
          <w:bCs/>
          <w:spacing w:val="0"/>
          <w:sz w:val="32"/>
          <w:szCs w:val="24"/>
          <w:highlight w:val="none"/>
          <w:lang w:val="en-US" w:eastAsia="zh-CN"/>
        </w:rPr>
        <w:t>80</w:t>
      </w:r>
      <w:r>
        <w:rPr>
          <w:rFonts w:hint="eastAsia" w:ascii="仿宋_GB2312" w:hAnsi="Times New Roman" w:eastAsia="仿宋_GB2312" w:cs="仿宋_GB2312"/>
          <w:bCs/>
          <w:spacing w:val="0"/>
          <w:sz w:val="32"/>
          <w:szCs w:val="24"/>
          <w:highlight w:val="none"/>
          <w:lang w:val="en-US" w:eastAsia="zh-CN"/>
        </w:rPr>
        <w:t>周年等重要纪念活动，以及全国两会等重大会议和五一、十一等重要节假日，统筹开展环境整治与城市运行保障，确保活动期间环境整洁有序、运行平稳高效、能源安全可靠，以首善标准擦亮首都“前院”文明窗口。</w:t>
      </w:r>
    </w:p>
    <w:p w14:paraId="00881914">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3" w:firstLineChars="200"/>
        <w:jc w:val="left"/>
        <w:textAlignment w:val="auto"/>
        <w:outlineLvl w:val="2"/>
        <w:rPr>
          <w:rFonts w:hint="eastAsia" w:ascii="楷体_GB2312" w:hAnsi="楷体_GB2312" w:eastAsia="楷体_GB2312" w:cs="楷体_GB2312"/>
          <w:b/>
          <w:bCs w:val="0"/>
          <w:spacing w:val="0"/>
          <w:sz w:val="32"/>
          <w:szCs w:val="24"/>
          <w:highlight w:val="none"/>
          <w:lang w:val="en-US" w:eastAsia="zh-CN"/>
        </w:rPr>
      </w:pPr>
      <w:bookmarkStart w:id="58" w:name="_Toc28686"/>
      <w:r>
        <w:rPr>
          <w:rFonts w:hint="eastAsia" w:ascii="楷体_GB2312" w:hAnsi="楷体_GB2312" w:eastAsia="楷体_GB2312" w:cs="楷体_GB2312"/>
          <w:b/>
          <w:bCs w:val="0"/>
          <w:spacing w:val="0"/>
          <w:sz w:val="32"/>
          <w:szCs w:val="24"/>
          <w:highlight w:val="none"/>
          <w:lang w:val="en-US" w:eastAsia="zh-CN"/>
        </w:rPr>
        <w:t>（二）提升社会文明程度</w:t>
      </w:r>
      <w:bookmarkEnd w:id="58"/>
    </w:p>
    <w:p w14:paraId="197D2A65">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both"/>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仿宋_GB2312" w:hAnsi="Times New Roman" w:eastAsia="仿宋_GB2312" w:cs="仿宋_GB2312"/>
          <w:bCs/>
          <w:spacing w:val="0"/>
          <w:sz w:val="32"/>
          <w:szCs w:val="24"/>
          <w:highlight w:val="none"/>
          <w:lang w:val="en-US" w:eastAsia="zh-CN"/>
        </w:rPr>
        <w:t>坚持将文明理念融入城市管理全过程。广泛开展垃圾分类、文明出行、公共设施爱护等主题宣传与志愿服务，推动文明行为规范养成；活化丰台红色文化、历史文化资源，赋能公共空间品质提升；引导社会组织与市民群众多元参与，构建“人人有责、人人尽责、人人享有”的文明共治格局。</w:t>
      </w:r>
    </w:p>
    <w:p w14:paraId="17EBB2A6">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3" w:firstLineChars="200"/>
        <w:jc w:val="left"/>
        <w:textAlignment w:val="auto"/>
        <w:outlineLvl w:val="2"/>
        <w:rPr>
          <w:rFonts w:hint="eastAsia" w:ascii="楷体_GB2312" w:hAnsi="楷体_GB2312" w:eastAsia="楷体_GB2312" w:cs="楷体_GB2312"/>
          <w:b/>
          <w:bCs w:val="0"/>
          <w:spacing w:val="0"/>
          <w:sz w:val="32"/>
          <w:szCs w:val="24"/>
          <w:highlight w:val="none"/>
          <w:lang w:val="en-US" w:eastAsia="zh-CN"/>
        </w:rPr>
      </w:pPr>
      <w:bookmarkStart w:id="59" w:name="_Toc30728"/>
      <w:r>
        <w:rPr>
          <w:rFonts w:hint="eastAsia" w:ascii="楷体_GB2312" w:hAnsi="楷体_GB2312" w:eastAsia="楷体_GB2312" w:cs="楷体_GB2312"/>
          <w:b/>
          <w:bCs w:val="0"/>
          <w:spacing w:val="0"/>
          <w:sz w:val="32"/>
          <w:szCs w:val="24"/>
          <w:highlight w:val="none"/>
          <w:lang w:val="en-US" w:eastAsia="zh-CN"/>
        </w:rPr>
        <w:t>（三）推进文明成果转化</w:t>
      </w:r>
      <w:bookmarkEnd w:id="59"/>
    </w:p>
    <w:p w14:paraId="4BF3BDCB">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0" w:firstLineChars="200"/>
        <w:jc w:val="left"/>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仿宋_GB2312" w:hAnsi="Times New Roman" w:eastAsia="仿宋_GB2312" w:cs="仿宋_GB2312"/>
          <w:b w:val="0"/>
          <w:bCs/>
          <w:spacing w:val="0"/>
          <w:sz w:val="32"/>
          <w:szCs w:val="24"/>
          <w:highlight w:val="none"/>
          <w:lang w:val="en-US" w:eastAsia="zh-CN"/>
        </w:rPr>
        <w:t>助力经济社会高质量发展。</w:t>
      </w:r>
      <w:r>
        <w:rPr>
          <w:rFonts w:hint="eastAsia" w:ascii="仿宋_GB2312" w:hAnsi="Times New Roman" w:eastAsia="仿宋_GB2312" w:cs="仿宋_GB2312"/>
          <w:bCs/>
          <w:spacing w:val="0"/>
          <w:sz w:val="32"/>
          <w:szCs w:val="24"/>
          <w:highlight w:val="none"/>
          <w:lang w:val="en-US" w:eastAsia="zh-CN"/>
        </w:rPr>
        <w:t>推进城市治理与产业发展深度融合，加强科技园区、商业街区周边环境整治和配套设施建设，以环境提质赋能消费升级、以消费升级涵养城市文明。打造丽泽金融商务区、南中轴地区、宛平城、“两园一河”等夜间消费集聚区特色照明景观，运用光影艺术、互动装置、AR体验等创新形式，构建“文化+科技+消费”夜间经济生态圈，以文润城、以文化人，在激活城市夜间活力的同时培育市民文明素养、厚植社会文明底色。</w:t>
      </w:r>
    </w:p>
    <w:p w14:paraId="58556C2C">
      <w:pPr>
        <w:pStyle w:val="3"/>
        <w:keepNext/>
        <w:keepLines/>
        <w:widowControl w:val="0"/>
        <w:numPr>
          <w:ilvl w:val="-1"/>
          <w:numId w:val="0"/>
        </w:numPr>
        <w:adjustRightInd/>
        <w:snapToGrid/>
        <w:spacing w:after="0" w:afterLines="0" w:line="560" w:lineRule="exact"/>
        <w:ind w:firstLine="616" w:firstLineChars="200"/>
        <w:textAlignment w:val="baseline"/>
        <w:rPr>
          <w:rFonts w:hint="eastAsia" w:ascii="黑体" w:hAnsi="黑体" w:eastAsia="黑体" w:cs="黑体"/>
          <w:b w:val="0"/>
          <w:bCs/>
          <w:spacing w:val="-6"/>
          <w:sz w:val="32"/>
          <w:szCs w:val="32"/>
          <w:highlight w:val="none"/>
          <w:lang w:val="en-US" w:eastAsia="zh-CN"/>
        </w:rPr>
      </w:pPr>
      <w:bookmarkStart w:id="60" w:name="_Toc4348"/>
      <w:r>
        <w:rPr>
          <w:rFonts w:hint="eastAsia" w:ascii="黑体" w:hAnsi="黑体" w:eastAsia="黑体" w:cs="黑体"/>
          <w:b w:val="0"/>
          <w:bCs/>
          <w:spacing w:val="-6"/>
          <w:sz w:val="32"/>
          <w:szCs w:val="32"/>
          <w:highlight w:val="none"/>
          <w:lang w:val="en-US" w:eastAsia="zh-CN"/>
        </w:rPr>
        <w:t>六、赋能城市智慧管理应用</w:t>
      </w:r>
      <w:bookmarkEnd w:id="60"/>
    </w:p>
    <w:p w14:paraId="05263BC4">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0" w:afterLines="0" w:afterAutospacing="0" w:line="560" w:lineRule="exact"/>
        <w:ind w:left="0" w:leftChars="0" w:right="0" w:firstLine="640" w:firstLineChars="200"/>
        <w:jc w:val="both"/>
        <w:textAlignment w:val="auto"/>
        <w:outlineLvl w:val="9"/>
        <w:rPr>
          <w:rFonts w:hint="default" w:ascii="仿宋_GB2312" w:hAnsi="Times New Roman" w:eastAsia="仿宋_GB2312" w:cs="仿宋_GB2312"/>
          <w:bCs/>
          <w:spacing w:val="0"/>
          <w:sz w:val="32"/>
          <w:szCs w:val="24"/>
          <w:highlight w:val="none"/>
          <w:lang w:val="en-US" w:eastAsia="zh-CN"/>
        </w:rPr>
      </w:pPr>
      <w:r>
        <w:rPr>
          <w:rFonts w:hint="default" w:ascii="仿宋_GB2312" w:hAnsi="Times New Roman" w:eastAsia="仿宋_GB2312" w:cs="仿宋_GB2312"/>
          <w:bCs/>
          <w:spacing w:val="0"/>
          <w:sz w:val="32"/>
          <w:szCs w:val="24"/>
          <w:highlight w:val="none"/>
          <w:lang w:val="en-US" w:eastAsia="zh-CN"/>
        </w:rPr>
        <w:t>智慧是城市治理跃升的科技引擎。落实</w:t>
      </w:r>
      <w:r>
        <w:rPr>
          <w:rFonts w:hint="eastAsia" w:ascii="仿宋_GB2312" w:hAnsi="Times New Roman" w:eastAsia="仿宋_GB2312" w:cs="仿宋_GB2312"/>
          <w:bCs/>
          <w:spacing w:val="0"/>
          <w:sz w:val="32"/>
          <w:szCs w:val="24"/>
          <w:highlight w:val="none"/>
          <w:lang w:val="en-US" w:eastAsia="zh-CN"/>
        </w:rPr>
        <w:t>“</w:t>
      </w:r>
      <w:r>
        <w:rPr>
          <w:rFonts w:hint="default" w:ascii="仿宋_GB2312" w:hAnsi="Times New Roman" w:eastAsia="仿宋_GB2312" w:cs="仿宋_GB2312"/>
          <w:bCs/>
          <w:spacing w:val="0"/>
          <w:sz w:val="32"/>
          <w:szCs w:val="24"/>
          <w:highlight w:val="none"/>
          <w:lang w:val="en-US" w:eastAsia="zh-CN"/>
        </w:rPr>
        <w:t>建设智慧城市</w:t>
      </w:r>
      <w:r>
        <w:rPr>
          <w:rFonts w:hint="eastAsia" w:ascii="仿宋_GB2312" w:hAnsi="Times New Roman" w:eastAsia="仿宋_GB2312" w:cs="仿宋_GB2312"/>
          <w:bCs/>
          <w:spacing w:val="0"/>
          <w:sz w:val="32"/>
          <w:szCs w:val="24"/>
          <w:highlight w:val="none"/>
          <w:lang w:val="en-US" w:eastAsia="zh-CN"/>
        </w:rPr>
        <w:t>”</w:t>
      </w:r>
      <w:r>
        <w:rPr>
          <w:rFonts w:hint="default" w:ascii="仿宋_GB2312" w:hAnsi="Times New Roman" w:eastAsia="仿宋_GB2312" w:cs="仿宋_GB2312"/>
          <w:bCs/>
          <w:spacing w:val="0"/>
          <w:sz w:val="32"/>
          <w:szCs w:val="24"/>
          <w:highlight w:val="none"/>
          <w:lang w:val="en-US" w:eastAsia="zh-CN"/>
        </w:rPr>
        <w:t>部署与丰台</w:t>
      </w:r>
      <w:r>
        <w:rPr>
          <w:rFonts w:hint="eastAsia" w:ascii="仿宋_GB2312" w:hAnsi="Times New Roman" w:eastAsia="仿宋_GB2312" w:cs="仿宋_GB2312"/>
          <w:bCs/>
          <w:spacing w:val="0"/>
          <w:sz w:val="32"/>
          <w:szCs w:val="24"/>
          <w:highlight w:val="none"/>
          <w:lang w:val="en-US" w:eastAsia="zh-CN"/>
        </w:rPr>
        <w:t>“</w:t>
      </w:r>
      <w:r>
        <w:rPr>
          <w:rFonts w:hint="default" w:ascii="仿宋_GB2312" w:hAnsi="Times New Roman" w:eastAsia="仿宋_GB2312" w:cs="仿宋_GB2312"/>
          <w:bCs/>
          <w:spacing w:val="0"/>
          <w:sz w:val="32"/>
          <w:szCs w:val="24"/>
          <w:highlight w:val="none"/>
          <w:lang w:val="en-US" w:eastAsia="zh-CN"/>
        </w:rPr>
        <w:t>三化五区</w:t>
      </w:r>
      <w:r>
        <w:rPr>
          <w:rFonts w:hint="eastAsia" w:ascii="仿宋_GB2312" w:hAnsi="Times New Roman" w:eastAsia="仿宋_GB2312" w:cs="仿宋_GB2312"/>
          <w:bCs/>
          <w:spacing w:val="0"/>
          <w:sz w:val="32"/>
          <w:szCs w:val="24"/>
          <w:highlight w:val="none"/>
          <w:lang w:val="en-US" w:eastAsia="zh-CN"/>
        </w:rPr>
        <w:t>”</w:t>
      </w:r>
      <w:r>
        <w:rPr>
          <w:rFonts w:hint="default" w:ascii="仿宋_GB2312" w:hAnsi="Times New Roman" w:eastAsia="仿宋_GB2312" w:cs="仿宋_GB2312"/>
          <w:bCs/>
          <w:spacing w:val="0"/>
          <w:sz w:val="32"/>
          <w:szCs w:val="24"/>
          <w:highlight w:val="none"/>
          <w:lang w:val="en-US" w:eastAsia="zh-CN"/>
        </w:rPr>
        <w:t>战略，必须依托</w:t>
      </w:r>
      <w:r>
        <w:rPr>
          <w:rFonts w:hint="eastAsia" w:ascii="仿宋_GB2312" w:hAnsi="Times New Roman" w:eastAsia="仿宋_GB2312" w:cs="仿宋_GB2312"/>
          <w:bCs/>
          <w:spacing w:val="0"/>
          <w:sz w:val="32"/>
          <w:szCs w:val="24"/>
          <w:highlight w:val="none"/>
          <w:lang w:val="en-US" w:eastAsia="zh-CN"/>
        </w:rPr>
        <w:t>“</w:t>
      </w:r>
      <w:r>
        <w:rPr>
          <w:rFonts w:hint="default" w:ascii="仿宋_GB2312" w:hAnsi="Times New Roman" w:eastAsia="仿宋_GB2312" w:cs="仿宋_GB2312"/>
          <w:bCs/>
          <w:spacing w:val="0"/>
          <w:sz w:val="32"/>
          <w:szCs w:val="24"/>
          <w:highlight w:val="none"/>
          <w:lang w:val="en-US" w:eastAsia="zh-CN"/>
        </w:rPr>
        <w:t>丰智汇</w:t>
      </w:r>
      <w:r>
        <w:rPr>
          <w:rFonts w:hint="eastAsia" w:ascii="仿宋_GB2312" w:hAnsi="Times New Roman" w:eastAsia="仿宋_GB2312" w:cs="仿宋_GB2312"/>
          <w:bCs/>
          <w:spacing w:val="0"/>
          <w:sz w:val="32"/>
          <w:szCs w:val="24"/>
          <w:highlight w:val="none"/>
          <w:lang w:val="en-US" w:eastAsia="zh-CN"/>
        </w:rPr>
        <w:t>”</w:t>
      </w:r>
      <w:r>
        <w:rPr>
          <w:rFonts w:hint="default" w:ascii="仿宋_GB2312" w:hAnsi="Times New Roman" w:eastAsia="仿宋_GB2312" w:cs="仿宋_GB2312"/>
          <w:bCs/>
          <w:spacing w:val="0"/>
          <w:sz w:val="32"/>
          <w:szCs w:val="24"/>
          <w:highlight w:val="none"/>
          <w:lang w:val="en-US" w:eastAsia="zh-CN"/>
        </w:rPr>
        <w:t>推动管理从经验判断向数据驱动升级，以数智赋能让城市治理更显智慧、更趋高效。</w:t>
      </w:r>
    </w:p>
    <w:p w14:paraId="08A1CAD4">
      <w:pPr>
        <w:keepNext/>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3" w:firstLineChars="200"/>
        <w:jc w:val="left"/>
        <w:textAlignment w:val="auto"/>
        <w:outlineLvl w:val="2"/>
        <w:rPr>
          <w:rFonts w:hint="eastAsia" w:ascii="楷体_GB2312" w:hAnsi="楷体_GB2312" w:eastAsia="楷体_GB2312" w:cs="楷体_GB2312"/>
          <w:b/>
          <w:bCs w:val="0"/>
          <w:spacing w:val="0"/>
          <w:sz w:val="32"/>
          <w:szCs w:val="24"/>
          <w:highlight w:val="none"/>
          <w:lang w:val="en-US" w:eastAsia="zh-CN"/>
        </w:rPr>
      </w:pPr>
      <w:bookmarkStart w:id="61" w:name="_Toc21284"/>
      <w:r>
        <w:rPr>
          <w:rFonts w:hint="eastAsia" w:ascii="楷体_GB2312" w:hAnsi="楷体_GB2312" w:eastAsia="楷体_GB2312" w:cs="楷体_GB2312"/>
          <w:b/>
          <w:bCs w:val="0"/>
          <w:spacing w:val="0"/>
          <w:sz w:val="32"/>
          <w:szCs w:val="24"/>
          <w:highlight w:val="none"/>
          <w:lang w:val="en-US" w:eastAsia="zh-CN"/>
        </w:rPr>
        <w:t>（一）筑牢城市智慧管理数据基础</w:t>
      </w:r>
      <w:bookmarkEnd w:id="61"/>
    </w:p>
    <w:p w14:paraId="02373814">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0" w:afterLines="0" w:afterAutospacing="0" w:line="560" w:lineRule="exact"/>
        <w:ind w:left="0" w:leftChars="0" w:right="0" w:firstLine="640" w:firstLineChars="200"/>
        <w:jc w:val="left"/>
        <w:textAlignment w:val="auto"/>
        <w:outlineLvl w:val="9"/>
        <w:rPr>
          <w:rFonts w:hint="eastAsia" w:ascii="仿宋_GB2312" w:hAnsi="Times New Roman" w:eastAsia="仿宋_GB2312" w:cs="仿宋_GB2312"/>
          <w:bCs/>
          <w:spacing w:val="0"/>
          <w:sz w:val="32"/>
          <w:szCs w:val="24"/>
          <w:highlight w:val="none"/>
          <w:lang w:val="en-US" w:eastAsia="zh-CN"/>
        </w:rPr>
      </w:pPr>
      <w:r>
        <w:rPr>
          <w:rFonts w:hint="eastAsia" w:ascii="仿宋_GB2312" w:hAnsi="Times New Roman" w:eastAsia="仿宋_GB2312" w:cs="仿宋_GB2312"/>
          <w:bCs/>
          <w:spacing w:val="0"/>
          <w:sz w:val="32"/>
          <w:szCs w:val="24"/>
          <w:highlight w:val="none"/>
          <w:lang w:val="en-US" w:eastAsia="zh-CN"/>
        </w:rPr>
        <w:t>推动编制智能化市政设施建设改造行动计划，建立动态更新机制与基础数据库体系，依托物联网采集交通、环境等数据。以南中轴、丽泽、丰台科技园为试点，汇聚多平台数据资源，对接智慧城市操作系统“丰智汇”，实现城市全景化、实时化、精准化运行管理。</w:t>
      </w:r>
    </w:p>
    <w:p w14:paraId="74E653C9">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60" w:lineRule="exact"/>
        <w:ind w:left="0" w:leftChars="0" w:right="0" w:firstLine="643" w:firstLineChars="200"/>
        <w:jc w:val="left"/>
        <w:textAlignment w:val="auto"/>
        <w:outlineLvl w:val="2"/>
        <w:rPr>
          <w:rFonts w:hint="eastAsia" w:ascii="楷体_GB2312" w:hAnsi="楷体_GB2312" w:eastAsia="楷体_GB2312" w:cs="楷体_GB2312"/>
          <w:b/>
          <w:bCs w:val="0"/>
          <w:spacing w:val="0"/>
          <w:sz w:val="32"/>
          <w:szCs w:val="24"/>
          <w:highlight w:val="none"/>
          <w:lang w:val="en-US" w:eastAsia="zh-CN"/>
        </w:rPr>
      </w:pPr>
      <w:bookmarkStart w:id="62" w:name="_Toc18067"/>
      <w:r>
        <w:rPr>
          <w:rFonts w:hint="eastAsia" w:ascii="楷体_GB2312" w:hAnsi="楷体_GB2312" w:eastAsia="楷体_GB2312" w:cs="楷体_GB2312"/>
          <w:b/>
          <w:bCs w:val="0"/>
          <w:spacing w:val="0"/>
          <w:sz w:val="32"/>
          <w:szCs w:val="24"/>
          <w:highlight w:val="none"/>
          <w:lang w:val="en-US" w:eastAsia="zh-CN"/>
        </w:rPr>
        <w:t>（二）拓展城市治理数字技术应用新场景</w:t>
      </w:r>
      <w:bookmarkEnd w:id="62"/>
    </w:p>
    <w:p w14:paraId="720875AB">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0" w:afterLines="0" w:afterAutospacing="0" w:line="560" w:lineRule="exact"/>
        <w:ind w:left="0" w:leftChars="0" w:right="0" w:firstLine="640" w:firstLineChars="200"/>
        <w:jc w:val="left"/>
        <w:textAlignment w:val="auto"/>
        <w:outlineLvl w:val="9"/>
        <w:rPr>
          <w:rFonts w:hint="eastAsia" w:ascii="方正小标宋简体" w:hAnsi="方正小标宋简体" w:eastAsia="方正小标宋简体" w:cs="方正小标宋简体"/>
          <w:sz w:val="36"/>
          <w:szCs w:val="36"/>
          <w:lang w:val="en-US" w:eastAsia="zh-CN"/>
        </w:rPr>
      </w:pPr>
      <w:r>
        <w:rPr>
          <w:rFonts w:hint="eastAsia" w:ascii="仿宋_GB2312" w:hAnsi="Times New Roman" w:eastAsia="仿宋_GB2312" w:cs="仿宋_GB2312"/>
          <w:bCs/>
          <w:spacing w:val="0"/>
          <w:sz w:val="32"/>
          <w:szCs w:val="24"/>
          <w:highlight w:val="none"/>
          <w:lang w:val="en-US" w:eastAsia="zh-CN"/>
        </w:rPr>
        <w:t>运用人工智能、区块链及</w:t>
      </w:r>
      <w:r>
        <w:rPr>
          <w:rFonts w:hint="eastAsia" w:ascii="Times New Roman" w:hAnsi="Times New Roman" w:eastAsia="Times New Roman" w:cs="Times New Roman"/>
          <w:bCs/>
          <w:spacing w:val="0"/>
          <w:sz w:val="32"/>
          <w:szCs w:val="24"/>
          <w:highlight w:val="none"/>
          <w:lang w:val="en-US" w:eastAsia="zh-CN"/>
        </w:rPr>
        <w:t>5</w:t>
      </w:r>
      <w:r>
        <w:rPr>
          <w:rFonts w:hint="eastAsia" w:ascii="仿宋_GB2312" w:hAnsi="Times New Roman" w:eastAsia="仿宋_GB2312" w:cs="仿宋_GB2312"/>
          <w:bCs/>
          <w:spacing w:val="0"/>
          <w:sz w:val="32"/>
          <w:szCs w:val="24"/>
          <w:highlight w:val="none"/>
          <w:lang w:val="en-US" w:eastAsia="zh-CN"/>
        </w:rPr>
        <w:t>G等先进技术，在丽泽、丰台科技园、南中轴等重点功能区布局智能应用场景，对路灯、井盖等城市家具实施智能化改造。依托轨道交通产业集群，落地智慧枢纽调度、智能巡检等应用，培育交通数字运维新业态。到</w:t>
      </w:r>
      <w:r>
        <w:rPr>
          <w:rFonts w:hint="eastAsia" w:ascii="Times New Roman" w:hAnsi="Times New Roman" w:eastAsia="Times New Roman" w:cs="Times New Roman"/>
          <w:bCs/>
          <w:spacing w:val="0"/>
          <w:sz w:val="32"/>
          <w:szCs w:val="24"/>
          <w:highlight w:val="none"/>
          <w:lang w:val="en-US" w:eastAsia="zh-CN"/>
        </w:rPr>
        <w:t>2030</w:t>
      </w:r>
      <w:r>
        <w:rPr>
          <w:rFonts w:hint="eastAsia" w:ascii="仿宋_GB2312" w:hAnsi="Times New Roman" w:eastAsia="仿宋_GB2312" w:cs="仿宋_GB2312"/>
          <w:bCs/>
          <w:spacing w:val="0"/>
          <w:sz w:val="32"/>
          <w:szCs w:val="24"/>
          <w:highlight w:val="none"/>
          <w:lang w:val="en-US" w:eastAsia="zh-CN"/>
        </w:rPr>
        <w:t>年完成重点区域数字孪生三维模型构建并启动应用。</w:t>
      </w:r>
      <w:bookmarkStart w:id="63" w:name="_Toc4211"/>
      <w:bookmarkStart w:id="64" w:name="_Toc18682"/>
      <w:bookmarkStart w:id="65" w:name="_Toc21526"/>
      <w:bookmarkStart w:id="66" w:name="_Toc1222"/>
      <w:bookmarkStart w:id="67" w:name="_Toc3460"/>
      <w:bookmarkStart w:id="68" w:name="_Toc29090"/>
      <w:bookmarkStart w:id="69" w:name="_Toc20421"/>
      <w:bookmarkStart w:id="70" w:name="_Toc27957"/>
      <w:bookmarkStart w:id="71" w:name="_Toc8674"/>
      <w:bookmarkStart w:id="72" w:name="_Toc30421"/>
      <w:bookmarkStart w:id="73" w:name="_Toc4410"/>
      <w:bookmarkStart w:id="74" w:name="_Toc5922"/>
      <w:bookmarkStart w:id="75" w:name="_Toc1723"/>
      <w:bookmarkStart w:id="76" w:name="_Toc18616"/>
      <w:bookmarkStart w:id="77" w:name="_Toc22712"/>
      <w:bookmarkStart w:id="78" w:name="_Toc3294"/>
    </w:p>
    <w:p w14:paraId="39170903">
      <w:pPr>
        <w:keepNext/>
        <w:keepLines w:val="0"/>
        <w:pageBreakBefore w:val="0"/>
        <w:widowControl/>
        <w:numPr>
          <w:ilvl w:val="0"/>
          <w:numId w:val="1"/>
        </w:numPr>
        <w:kinsoku/>
        <w:wordWrap/>
        <w:overflowPunct/>
        <w:topLinePunct w:val="0"/>
        <w:autoSpaceDE/>
        <w:autoSpaceDN/>
        <w:bidi w:val="0"/>
        <w:adjustRightInd/>
        <w:snapToGrid/>
        <w:spacing w:beforeLines="0" w:afterLines="0" w:line="560" w:lineRule="exact"/>
        <w:ind w:left="0" w:leftChars="0" w:right="0" w:firstLine="0" w:firstLineChars="0"/>
        <w:jc w:val="center"/>
        <w:textAlignment w:val="auto"/>
        <w:outlineLvl w:val="0"/>
        <w:rPr>
          <w:rFonts w:hint="eastAsia" w:ascii="方正小标宋简体" w:hAnsi="方正小标宋简体" w:eastAsia="方正小标宋简体" w:cs="方正小标宋简体"/>
          <w:sz w:val="36"/>
          <w:szCs w:val="36"/>
          <w:lang w:val="en-US" w:eastAsia="zh-CN"/>
        </w:rPr>
      </w:pPr>
      <w:bookmarkStart w:id="79" w:name="_Toc23491"/>
      <w:r>
        <w:rPr>
          <w:rFonts w:hint="eastAsia" w:ascii="方正小标宋简体" w:hAnsi="方正小标宋简体" w:eastAsia="方正小标宋简体" w:cs="方正小标宋简体"/>
          <w:sz w:val="36"/>
          <w:szCs w:val="36"/>
          <w:lang w:val="en-US" w:eastAsia="zh-CN"/>
        </w:rPr>
        <w:t>保障措施</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14:paraId="671C2C6B">
      <w:pPr>
        <w:pStyle w:val="3"/>
        <w:keepNext/>
        <w:keepLines/>
        <w:pageBreakBefore w:val="0"/>
        <w:widowControl w:val="0"/>
        <w:numPr>
          <w:ilvl w:val="0"/>
          <w:numId w:val="3"/>
        </w:numPr>
        <w:kinsoku/>
        <w:wordWrap/>
        <w:overflowPunct/>
        <w:topLinePunct w:val="0"/>
        <w:autoSpaceDE/>
        <w:autoSpaceDN/>
        <w:bidi w:val="0"/>
        <w:adjustRightInd/>
        <w:snapToGrid/>
        <w:spacing w:after="0" w:afterLines="0" w:line="560" w:lineRule="exact"/>
        <w:ind w:left="0" w:leftChars="0" w:firstLine="616" w:firstLineChars="200"/>
        <w:textAlignment w:val="baseline"/>
        <w:rPr>
          <w:rFonts w:hint="default" w:ascii="黑体" w:hAnsi="黑体" w:eastAsia="黑体" w:cs="黑体"/>
          <w:b w:val="0"/>
          <w:bCs/>
          <w:color w:val="auto"/>
          <w:spacing w:val="-6"/>
          <w:sz w:val="32"/>
          <w:szCs w:val="32"/>
          <w:highlight w:val="none"/>
          <w:lang w:val="en-US" w:eastAsia="zh-CN"/>
        </w:rPr>
      </w:pPr>
      <w:bookmarkStart w:id="80" w:name="_Toc21394"/>
      <w:bookmarkStart w:id="81" w:name="_Toc13861"/>
      <w:bookmarkStart w:id="82" w:name="_Toc675"/>
      <w:bookmarkStart w:id="83" w:name="_Toc8797"/>
      <w:bookmarkStart w:id="84" w:name="_Toc13541"/>
      <w:bookmarkStart w:id="85" w:name="_Toc22099"/>
      <w:bookmarkStart w:id="86" w:name="_Toc10481"/>
      <w:bookmarkStart w:id="87" w:name="_Toc13557"/>
      <w:bookmarkStart w:id="88" w:name="_Toc9642"/>
      <w:bookmarkStart w:id="89" w:name="_Toc23883"/>
      <w:bookmarkStart w:id="90" w:name="_Toc5523"/>
      <w:bookmarkStart w:id="91" w:name="_Toc27015"/>
      <w:bookmarkStart w:id="92" w:name="_Toc6504"/>
      <w:bookmarkStart w:id="93" w:name="_Toc12088"/>
      <w:bookmarkStart w:id="94" w:name="_Toc16980"/>
      <w:bookmarkStart w:id="95" w:name="_Toc13985"/>
      <w:bookmarkStart w:id="96" w:name="_Toc17774"/>
      <w:bookmarkStart w:id="97" w:name="_Toc8607"/>
      <w:r>
        <w:rPr>
          <w:rFonts w:hint="default" w:ascii="黑体" w:hAnsi="黑体" w:eastAsia="黑体" w:cs="黑体"/>
          <w:b w:val="0"/>
          <w:bCs/>
          <w:color w:val="auto"/>
          <w:spacing w:val="-6"/>
          <w:sz w:val="32"/>
          <w:szCs w:val="32"/>
          <w:highlight w:val="none"/>
          <w:lang w:val="en-US" w:eastAsia="zh-CN"/>
        </w:rPr>
        <w:t>强化组织与党建引领，凝聚治理合力</w:t>
      </w:r>
      <w:bookmarkEnd w:id="80"/>
      <w:bookmarkEnd w:id="81"/>
      <w:bookmarkEnd w:id="82"/>
    </w:p>
    <w:p w14:paraId="7F8EE2BB">
      <w:pPr>
        <w:keepNext w:val="0"/>
        <w:keepLines w:val="0"/>
        <w:pageBreakBefore w:val="0"/>
        <w:widowControl w:val="0"/>
        <w:kinsoku/>
        <w:wordWrap/>
        <w:overflowPunct/>
        <w:topLinePunct w:val="0"/>
        <w:autoSpaceDE/>
        <w:autoSpaceDN/>
        <w:bidi w:val="0"/>
        <w:adjustRightInd w:val="0"/>
        <w:snapToGrid w:val="0"/>
        <w:spacing w:beforeLines="0" w:after="0" w:afterLines="0" w:line="560" w:lineRule="exact"/>
        <w:ind w:firstLine="640" w:firstLineChars="200"/>
        <w:textAlignment w:val="auto"/>
        <w:rPr>
          <w:rFonts w:hint="eastAsia" w:ascii="仿宋_GB2312" w:hAnsi="仿宋_GB2312" w:eastAsia="仿宋_GB2312" w:cs="仿宋_GB2312"/>
          <w:color w:val="auto"/>
          <w:spacing w:val="0"/>
          <w:szCs w:val="22"/>
          <w:highlight w:val="none"/>
          <w:lang w:val="en-US" w:eastAsia="zh-CN"/>
        </w:rPr>
      </w:pPr>
      <w:r>
        <w:rPr>
          <w:rFonts w:hint="default" w:ascii="仿宋_GB2312" w:hAnsi="仿宋_GB2312" w:eastAsia="仿宋_GB2312" w:cs="仿宋_GB2312"/>
          <w:color w:val="auto"/>
          <w:spacing w:val="0"/>
          <w:szCs w:val="22"/>
          <w:highlight w:val="none"/>
          <w:lang w:val="en-US" w:eastAsia="zh-CN"/>
        </w:rPr>
        <w:t>突出党建引领，成立专项工作组，构建</w:t>
      </w:r>
      <w:r>
        <w:rPr>
          <w:rFonts w:hint="eastAsia" w:ascii="仿宋_GB2312" w:hAnsi="仿宋_GB2312" w:eastAsia="仿宋_GB2312" w:cs="仿宋_GB2312"/>
          <w:color w:val="auto"/>
          <w:spacing w:val="0"/>
          <w:szCs w:val="22"/>
          <w:highlight w:val="none"/>
          <w:lang w:val="en-US" w:eastAsia="zh-CN"/>
        </w:rPr>
        <w:t>“</w:t>
      </w:r>
      <w:r>
        <w:rPr>
          <w:rFonts w:hint="default" w:ascii="仿宋_GB2312" w:hAnsi="仿宋_GB2312" w:eastAsia="仿宋_GB2312" w:cs="仿宋_GB2312"/>
          <w:color w:val="auto"/>
          <w:spacing w:val="0"/>
          <w:szCs w:val="22"/>
          <w:highlight w:val="none"/>
          <w:lang w:val="en-US" w:eastAsia="zh-CN"/>
        </w:rPr>
        <w:t>区—街镇—社区</w:t>
      </w:r>
      <w:r>
        <w:rPr>
          <w:rFonts w:hint="eastAsia" w:ascii="仿宋_GB2312" w:hAnsi="仿宋_GB2312" w:eastAsia="仿宋_GB2312" w:cs="仿宋_GB2312"/>
          <w:color w:val="auto"/>
          <w:spacing w:val="0"/>
          <w:szCs w:val="22"/>
          <w:highlight w:val="none"/>
          <w:lang w:val="en-US" w:eastAsia="zh-CN"/>
        </w:rPr>
        <w:t>”</w:t>
      </w:r>
      <w:r>
        <w:rPr>
          <w:rFonts w:hint="default" w:ascii="仿宋_GB2312" w:hAnsi="仿宋_GB2312" w:eastAsia="仿宋_GB2312" w:cs="仿宋_GB2312"/>
          <w:color w:val="auto"/>
          <w:spacing w:val="0"/>
          <w:szCs w:val="22"/>
          <w:highlight w:val="none"/>
          <w:lang w:val="en-US" w:eastAsia="zh-CN"/>
        </w:rPr>
        <w:t>三级责任网络，确保任务逐级落实。</w:t>
      </w:r>
    </w:p>
    <w:p w14:paraId="1E9315F3">
      <w:pPr>
        <w:pStyle w:val="3"/>
        <w:keepNext/>
        <w:keepLines/>
        <w:pageBreakBefore w:val="0"/>
        <w:widowControl w:val="0"/>
        <w:numPr>
          <w:ilvl w:val="0"/>
          <w:numId w:val="3"/>
        </w:numPr>
        <w:kinsoku/>
        <w:wordWrap/>
        <w:overflowPunct/>
        <w:topLinePunct w:val="0"/>
        <w:autoSpaceDE/>
        <w:autoSpaceDN/>
        <w:bidi w:val="0"/>
        <w:adjustRightInd/>
        <w:snapToGrid/>
        <w:spacing w:after="0" w:afterLines="0" w:line="560" w:lineRule="exact"/>
        <w:ind w:left="0" w:leftChars="0" w:firstLine="616" w:firstLineChars="200"/>
        <w:textAlignment w:val="baseline"/>
        <w:rPr>
          <w:rFonts w:hint="default" w:ascii="黑体" w:hAnsi="黑体" w:eastAsia="黑体" w:cs="黑体"/>
          <w:b w:val="0"/>
          <w:bCs/>
          <w:color w:val="auto"/>
          <w:spacing w:val="-6"/>
          <w:sz w:val="32"/>
          <w:szCs w:val="32"/>
          <w:highlight w:val="none"/>
          <w:lang w:val="en-US" w:eastAsia="zh-CN"/>
        </w:rPr>
      </w:pPr>
      <w:bookmarkStart w:id="98" w:name="_Toc24538"/>
      <w:bookmarkStart w:id="99" w:name="_Toc22332"/>
      <w:bookmarkStart w:id="100" w:name="_Toc2347"/>
      <w:r>
        <w:rPr>
          <w:rFonts w:hint="default" w:ascii="黑体" w:hAnsi="黑体" w:eastAsia="黑体" w:cs="黑体"/>
          <w:b w:val="0"/>
          <w:bCs/>
          <w:color w:val="auto"/>
          <w:spacing w:val="-6"/>
          <w:sz w:val="32"/>
          <w:szCs w:val="32"/>
          <w:highlight w:val="none"/>
          <w:lang w:val="en-US" w:eastAsia="zh-CN"/>
        </w:rPr>
        <w:t>优化资源配置与技术创新，夯实基础支撑</w:t>
      </w:r>
      <w:bookmarkEnd w:id="98"/>
      <w:bookmarkEnd w:id="99"/>
      <w:bookmarkEnd w:id="100"/>
    </w:p>
    <w:p w14:paraId="71A4B067">
      <w:pPr>
        <w:keepNext w:val="0"/>
        <w:keepLines w:val="0"/>
        <w:pageBreakBefore w:val="0"/>
        <w:widowControl w:val="0"/>
        <w:kinsoku/>
        <w:wordWrap/>
        <w:overflowPunct/>
        <w:topLinePunct w:val="0"/>
        <w:autoSpaceDE/>
        <w:autoSpaceDN/>
        <w:bidi w:val="0"/>
        <w:adjustRightInd w:val="0"/>
        <w:snapToGrid w:val="0"/>
        <w:spacing w:beforeLines="0" w:after="0" w:afterLines="0" w:line="560" w:lineRule="exact"/>
        <w:ind w:firstLine="640" w:firstLineChars="200"/>
        <w:textAlignment w:val="auto"/>
        <w:rPr>
          <w:rFonts w:hint="default" w:ascii="仿宋_GB2312" w:hAnsi="仿宋_GB2312" w:eastAsia="仿宋_GB2312" w:cs="仿宋_GB2312"/>
          <w:color w:val="auto"/>
          <w:spacing w:val="0"/>
          <w:szCs w:val="22"/>
          <w:highlight w:val="none"/>
          <w:lang w:val="en-US" w:eastAsia="zh-CN"/>
        </w:rPr>
      </w:pPr>
      <w:r>
        <w:rPr>
          <w:rFonts w:hint="default" w:ascii="仿宋_GB2312" w:hAnsi="仿宋_GB2312" w:eastAsia="仿宋_GB2312" w:cs="仿宋_GB2312"/>
          <w:color w:val="auto"/>
          <w:spacing w:val="0"/>
          <w:szCs w:val="22"/>
          <w:highlight w:val="none"/>
          <w:lang w:val="en-US" w:eastAsia="zh-CN"/>
        </w:rPr>
        <w:t>争取多元资金支持，用足用好REITs等政策工具，探索融资机制。深化人工智能在环卫、市政、交通等场景应用。</w:t>
      </w:r>
    </w:p>
    <w:p w14:paraId="37691DAA">
      <w:pPr>
        <w:pStyle w:val="3"/>
        <w:keepNext/>
        <w:keepLines/>
        <w:pageBreakBefore w:val="0"/>
        <w:widowControl w:val="0"/>
        <w:numPr>
          <w:ilvl w:val="0"/>
          <w:numId w:val="3"/>
        </w:numPr>
        <w:kinsoku/>
        <w:wordWrap/>
        <w:overflowPunct/>
        <w:topLinePunct w:val="0"/>
        <w:autoSpaceDE/>
        <w:autoSpaceDN/>
        <w:bidi w:val="0"/>
        <w:adjustRightInd/>
        <w:snapToGrid/>
        <w:spacing w:after="0" w:afterLines="0" w:line="560" w:lineRule="exact"/>
        <w:ind w:left="0" w:leftChars="0" w:firstLine="616" w:firstLineChars="200"/>
        <w:textAlignment w:val="baseline"/>
        <w:rPr>
          <w:rFonts w:hint="default" w:ascii="黑体" w:hAnsi="黑体" w:eastAsia="黑体" w:cs="黑体"/>
          <w:b w:val="0"/>
          <w:bCs/>
          <w:color w:val="auto"/>
          <w:spacing w:val="-6"/>
          <w:sz w:val="32"/>
          <w:szCs w:val="32"/>
          <w:highlight w:val="none"/>
          <w:lang w:val="en-US" w:eastAsia="zh-CN"/>
        </w:rPr>
      </w:pPr>
      <w:bookmarkStart w:id="101" w:name="_Toc24876"/>
      <w:bookmarkStart w:id="102" w:name="_Toc25627"/>
      <w:bookmarkStart w:id="103" w:name="_Toc4700"/>
      <w:r>
        <w:rPr>
          <w:rFonts w:hint="default" w:ascii="黑体" w:hAnsi="黑体" w:eastAsia="黑体" w:cs="黑体"/>
          <w:b w:val="0"/>
          <w:bCs/>
          <w:color w:val="auto"/>
          <w:spacing w:val="-6"/>
          <w:sz w:val="32"/>
          <w:szCs w:val="32"/>
          <w:highlight w:val="none"/>
          <w:lang w:val="en-US" w:eastAsia="zh-CN"/>
        </w:rPr>
        <w:t>深化协同联动与公众参与，构建共治格局</w:t>
      </w:r>
      <w:bookmarkEnd w:id="101"/>
      <w:bookmarkEnd w:id="102"/>
      <w:bookmarkEnd w:id="103"/>
    </w:p>
    <w:p w14:paraId="0B1A1A77">
      <w:pPr>
        <w:keepNext w:val="0"/>
        <w:keepLines w:val="0"/>
        <w:pageBreakBefore w:val="0"/>
        <w:widowControl w:val="0"/>
        <w:kinsoku/>
        <w:wordWrap/>
        <w:overflowPunct/>
        <w:topLinePunct w:val="0"/>
        <w:autoSpaceDE/>
        <w:autoSpaceDN/>
        <w:bidi w:val="0"/>
        <w:adjustRightInd w:val="0"/>
        <w:snapToGrid w:val="0"/>
        <w:spacing w:beforeLines="0" w:after="0" w:afterLines="0" w:line="560" w:lineRule="exact"/>
        <w:ind w:firstLine="640" w:firstLineChars="200"/>
        <w:textAlignment w:val="auto"/>
        <w:rPr>
          <w:rFonts w:hint="default" w:ascii="仿宋_GB2312" w:hAnsi="仿宋_GB2312" w:eastAsia="仿宋_GB2312" w:cs="仿宋_GB2312"/>
          <w:color w:val="auto"/>
          <w:spacing w:val="0"/>
          <w:szCs w:val="22"/>
          <w:highlight w:val="none"/>
          <w:lang w:val="en-US" w:eastAsia="zh-CN"/>
        </w:rPr>
      </w:pPr>
      <w:r>
        <w:rPr>
          <w:rFonts w:hint="default" w:ascii="仿宋_GB2312" w:hAnsi="仿宋_GB2312" w:eastAsia="仿宋_GB2312" w:cs="仿宋_GB2312"/>
          <w:color w:val="auto"/>
          <w:spacing w:val="0"/>
          <w:szCs w:val="22"/>
          <w:highlight w:val="none"/>
          <w:lang w:val="en-US" w:eastAsia="zh-CN"/>
        </w:rPr>
        <w:t>优化跨部门联席会议制度，推行</w:t>
      </w:r>
      <w:r>
        <w:rPr>
          <w:rFonts w:hint="eastAsia" w:ascii="仿宋_GB2312" w:hAnsi="仿宋_GB2312" w:eastAsia="仿宋_GB2312" w:cs="仿宋_GB2312"/>
          <w:color w:val="auto"/>
          <w:spacing w:val="0"/>
          <w:szCs w:val="22"/>
          <w:highlight w:val="none"/>
          <w:lang w:val="en-US" w:eastAsia="zh-CN"/>
        </w:rPr>
        <w:t>“</w:t>
      </w:r>
      <w:r>
        <w:rPr>
          <w:rFonts w:hint="default" w:ascii="仿宋_GB2312" w:hAnsi="仿宋_GB2312" w:eastAsia="仿宋_GB2312" w:cs="仿宋_GB2312"/>
          <w:color w:val="auto"/>
          <w:spacing w:val="0"/>
          <w:szCs w:val="22"/>
          <w:highlight w:val="none"/>
          <w:lang w:val="en-US" w:eastAsia="zh-CN"/>
        </w:rPr>
        <w:t>一事一议</w:t>
      </w:r>
      <w:r>
        <w:rPr>
          <w:rFonts w:hint="eastAsia" w:ascii="仿宋_GB2312" w:hAnsi="仿宋_GB2312" w:eastAsia="仿宋_GB2312" w:cs="仿宋_GB2312"/>
          <w:color w:val="auto"/>
          <w:spacing w:val="0"/>
          <w:szCs w:val="22"/>
          <w:highlight w:val="none"/>
          <w:lang w:val="en-US" w:eastAsia="zh-CN"/>
        </w:rPr>
        <w:t>”</w:t>
      </w:r>
      <w:r>
        <w:rPr>
          <w:rFonts w:hint="default" w:ascii="仿宋_GB2312" w:hAnsi="仿宋_GB2312" w:eastAsia="仿宋_GB2312" w:cs="仿宋_GB2312"/>
          <w:color w:val="auto"/>
          <w:spacing w:val="0"/>
          <w:szCs w:val="22"/>
          <w:highlight w:val="none"/>
          <w:lang w:val="en-US" w:eastAsia="zh-CN"/>
        </w:rPr>
        <w:t>联合攻坚。搭建协商平台，引导社会组织和市场主体参与城市管理服务。</w:t>
      </w:r>
    </w:p>
    <w:p w14:paraId="5B59B253">
      <w:pPr>
        <w:pStyle w:val="3"/>
        <w:keepNext/>
        <w:keepLines/>
        <w:pageBreakBefore w:val="0"/>
        <w:widowControl w:val="0"/>
        <w:numPr>
          <w:ilvl w:val="0"/>
          <w:numId w:val="3"/>
        </w:numPr>
        <w:kinsoku/>
        <w:wordWrap/>
        <w:overflowPunct/>
        <w:topLinePunct w:val="0"/>
        <w:autoSpaceDE/>
        <w:autoSpaceDN/>
        <w:bidi w:val="0"/>
        <w:adjustRightInd/>
        <w:snapToGrid/>
        <w:spacing w:after="0" w:afterLines="0" w:line="560" w:lineRule="exact"/>
        <w:ind w:left="0" w:leftChars="0" w:firstLine="616" w:firstLineChars="200"/>
        <w:textAlignment w:val="baseline"/>
        <w:rPr>
          <w:rFonts w:hint="default" w:ascii="黑体" w:hAnsi="黑体" w:eastAsia="黑体" w:cs="黑体"/>
          <w:b w:val="0"/>
          <w:bCs/>
          <w:color w:val="auto"/>
          <w:spacing w:val="-6"/>
          <w:sz w:val="32"/>
          <w:szCs w:val="32"/>
          <w:highlight w:val="none"/>
          <w:lang w:val="en-US" w:eastAsia="zh-CN"/>
        </w:rPr>
      </w:pPr>
      <w:bookmarkStart w:id="104" w:name="_Toc15703"/>
      <w:bookmarkStart w:id="105" w:name="_Toc15628"/>
      <w:bookmarkStart w:id="106" w:name="_Toc3941"/>
      <w:r>
        <w:rPr>
          <w:rFonts w:hint="default" w:ascii="黑体" w:hAnsi="黑体" w:eastAsia="黑体" w:cs="黑体"/>
          <w:b w:val="0"/>
          <w:bCs/>
          <w:color w:val="auto"/>
          <w:spacing w:val="-6"/>
          <w:sz w:val="32"/>
          <w:szCs w:val="32"/>
          <w:highlight w:val="none"/>
          <w:lang w:val="en-US" w:eastAsia="zh-CN"/>
        </w:rPr>
        <w:t>完善监督评估与动态调整，确保实施效能</w:t>
      </w:r>
      <w:bookmarkEnd w:id="104"/>
      <w:bookmarkEnd w:id="105"/>
      <w:bookmarkEnd w:id="106"/>
    </w:p>
    <w:p w14:paraId="5DCBD578">
      <w:pPr>
        <w:keepNext w:val="0"/>
        <w:keepLines w:val="0"/>
        <w:pageBreakBefore w:val="0"/>
        <w:widowControl w:val="0"/>
        <w:kinsoku/>
        <w:wordWrap/>
        <w:overflowPunct/>
        <w:topLinePunct w:val="0"/>
        <w:autoSpaceDE/>
        <w:autoSpaceDN/>
        <w:bidi w:val="0"/>
        <w:adjustRightInd w:val="0"/>
        <w:snapToGrid w:val="0"/>
        <w:spacing w:beforeLines="0" w:after="0" w:afterLines="0" w:line="560" w:lineRule="exact"/>
        <w:ind w:firstLine="640" w:firstLineChars="200"/>
        <w:textAlignment w:val="auto"/>
      </w:pPr>
      <w:r>
        <w:rPr>
          <w:rFonts w:hint="default" w:ascii="仿宋_GB2312" w:hAnsi="仿宋_GB2312" w:eastAsia="仿宋_GB2312" w:cs="仿宋_GB2312"/>
          <w:color w:val="auto"/>
          <w:spacing w:val="0"/>
          <w:szCs w:val="22"/>
          <w:highlight w:val="none"/>
          <w:lang w:val="en-US" w:eastAsia="zh-CN"/>
        </w:rPr>
        <w:t> 构建覆盖</w:t>
      </w:r>
      <w:r>
        <w:rPr>
          <w:rFonts w:hint="eastAsia" w:ascii="仿宋_GB2312" w:hAnsi="仿宋_GB2312" w:eastAsia="仿宋_GB2312" w:cs="仿宋_GB2312"/>
          <w:color w:val="auto"/>
          <w:spacing w:val="0"/>
          <w:szCs w:val="22"/>
          <w:highlight w:val="none"/>
          <w:lang w:val="en-US" w:eastAsia="zh-CN"/>
        </w:rPr>
        <w:t>多</w:t>
      </w:r>
      <w:r>
        <w:rPr>
          <w:rFonts w:hint="default" w:ascii="仿宋_GB2312" w:hAnsi="仿宋_GB2312" w:eastAsia="仿宋_GB2312" w:cs="仿宋_GB2312"/>
          <w:color w:val="auto"/>
          <w:spacing w:val="0"/>
          <w:szCs w:val="22"/>
          <w:highlight w:val="none"/>
          <w:lang w:val="en-US" w:eastAsia="zh-CN"/>
        </w:rPr>
        <w:t>维度的动态监测体系，将重点任务纳入年度绩效考核，定期督查通报，加强宣传引导。</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Start w:id="107" w:name="_GoBack"/>
      <w:bookmarkEnd w:id="107"/>
    </w:p>
    <w:sectPr>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16"/>
      </w:pPr>
      <w:r>
        <w:separator/>
      </w:r>
    </w:p>
  </w:endnote>
  <w:endnote w:type="continuationSeparator" w:id="1">
    <w:p>
      <w:pPr>
        <w:spacing w:line="240" w:lineRule="auto"/>
        <w:ind w:firstLine="616"/>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4D99EDA-F681-4812-B1C8-DA5115CC5738}"/>
  </w:font>
  <w:font w:name="黑体">
    <w:panose1 w:val="02010609060101010101"/>
    <w:charset w:val="86"/>
    <w:family w:val="auto"/>
    <w:pitch w:val="default"/>
    <w:sig w:usb0="800002BF" w:usb1="38CF7CFA" w:usb2="00000016" w:usb3="00000000" w:csb0="00040001" w:csb1="00000000"/>
    <w:embedRegular r:id="rId2" w:fontKey="{AA0DDBD9-88A7-41B9-8622-60B1361BFF0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3" w:fontKey="{8EB34EBC-7E6B-4E77-A714-CCBC13C16401}"/>
  </w:font>
  <w:font w:name="楷体_GB2312">
    <w:panose1 w:val="02010609030101010101"/>
    <w:charset w:val="86"/>
    <w:family w:val="auto"/>
    <w:pitch w:val="default"/>
    <w:sig w:usb0="00000001" w:usb1="080E0000" w:usb2="00000000" w:usb3="00000000" w:csb0="00040000" w:csb1="00000000"/>
    <w:embedRegular r:id="rId4" w:fontKey="{91623752-2100-471A-B4D4-8A71202D74DC}"/>
  </w:font>
  <w:font w:name="仿宋_GB2312">
    <w:panose1 w:val="02010609030101010101"/>
    <w:charset w:val="86"/>
    <w:family w:val="auto"/>
    <w:pitch w:val="default"/>
    <w:sig w:usb0="00000001" w:usb1="080E0000" w:usb2="00000000" w:usb3="00000000" w:csb0="00040000" w:csb1="00000000"/>
    <w:embedRegular r:id="rId5" w:fontKey="{BC03841C-BC88-46FB-9787-7A6C9C43E564}"/>
  </w:font>
  <w:font w:name="微软雅黑">
    <w:panose1 w:val="020B0503020204020204"/>
    <w:charset w:val="86"/>
    <w:family w:val="auto"/>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A109C">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44704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44704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25B9FD">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35.2pt;mso-position-horizontal:center;mso-position-horizontal-relative:margin;z-index:251659264;mso-width-relative:page;mso-height-relative:page;" filled="f" stroked="f" coordsize="21600,21600" o:gfxdata="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x19gRtMAAAAEAQAADwAAAAAAAAABACAAAAAiAAAAZHJzL2Rvd25yZXYueG1s&#10;UEsBAhQAFAAAAAgAh07iQHY8KRI2AgAAYgQAAA4AAAAAAAAAAQAgAAAAIgEAAGRycy9lMm9Eb2Mu&#10;eG1sUEsFBgAAAAAGAAYAWQEAAMoFAAAAAA==&#10;">
              <v:fill on="f" focussize="0,0"/>
              <v:stroke on="f" weight="0.5pt"/>
              <v:imagedata o:title=""/>
              <o:lock v:ext="edit" aspectratio="f"/>
              <v:textbox inset="0mm,0mm,0mm,0mm" style="mso-fit-shape-to-text:t;">
                <w:txbxContent>
                  <w:p w14:paraId="3E25B9FD">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16"/>
      </w:pPr>
      <w:r>
        <w:separator/>
      </w:r>
    </w:p>
  </w:footnote>
  <w:footnote w:type="continuationSeparator" w:id="1">
    <w:p>
      <w:pPr>
        <w:spacing w:line="240" w:lineRule="auto"/>
        <w:ind w:firstLine="616"/>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A8FE22"/>
    <w:multiLevelType w:val="multilevel"/>
    <w:tmpl w:val="C8A8FE22"/>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DE144F31"/>
    <w:multiLevelType w:val="singleLevel"/>
    <w:tmpl w:val="DE144F31"/>
    <w:lvl w:ilvl="0" w:tentative="0">
      <w:start w:val="4"/>
      <w:numFmt w:val="chineseCounting"/>
      <w:suff w:val="nothing"/>
      <w:lvlText w:val="%1、"/>
      <w:lvlJc w:val="left"/>
      <w:rPr>
        <w:rFonts w:hint="eastAsia"/>
      </w:rPr>
    </w:lvl>
  </w:abstractNum>
  <w:abstractNum w:abstractNumId="2">
    <w:nsid w:val="4BBF037E"/>
    <w:multiLevelType w:val="singleLevel"/>
    <w:tmpl w:val="4BBF037E"/>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6"/>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242E51"/>
    <w:rsid w:val="00432300"/>
    <w:rsid w:val="0068152C"/>
    <w:rsid w:val="00BC757B"/>
    <w:rsid w:val="00C35A65"/>
    <w:rsid w:val="0135407F"/>
    <w:rsid w:val="016842E1"/>
    <w:rsid w:val="016A516F"/>
    <w:rsid w:val="01CB767E"/>
    <w:rsid w:val="02683530"/>
    <w:rsid w:val="03850D1A"/>
    <w:rsid w:val="039156A6"/>
    <w:rsid w:val="03C878DF"/>
    <w:rsid w:val="03D07707"/>
    <w:rsid w:val="04035FDD"/>
    <w:rsid w:val="045A5E9C"/>
    <w:rsid w:val="04626D45"/>
    <w:rsid w:val="0494186E"/>
    <w:rsid w:val="04B862AB"/>
    <w:rsid w:val="0509539F"/>
    <w:rsid w:val="056B0AD9"/>
    <w:rsid w:val="05C607A0"/>
    <w:rsid w:val="064029FC"/>
    <w:rsid w:val="066A16B0"/>
    <w:rsid w:val="071E570A"/>
    <w:rsid w:val="073212C7"/>
    <w:rsid w:val="07BD3C84"/>
    <w:rsid w:val="082C451D"/>
    <w:rsid w:val="08B40674"/>
    <w:rsid w:val="09491C34"/>
    <w:rsid w:val="094F0AD4"/>
    <w:rsid w:val="09795E21"/>
    <w:rsid w:val="09B24CF6"/>
    <w:rsid w:val="0A011390"/>
    <w:rsid w:val="0A1130A4"/>
    <w:rsid w:val="0AB55FCE"/>
    <w:rsid w:val="0B0F2F96"/>
    <w:rsid w:val="0B117054"/>
    <w:rsid w:val="0B197C79"/>
    <w:rsid w:val="0BB10BF1"/>
    <w:rsid w:val="0D100F5C"/>
    <w:rsid w:val="0D2E35AF"/>
    <w:rsid w:val="0D63493D"/>
    <w:rsid w:val="0DBB6353"/>
    <w:rsid w:val="0DC15325"/>
    <w:rsid w:val="0E644A8C"/>
    <w:rsid w:val="0F073D76"/>
    <w:rsid w:val="0F1B4A58"/>
    <w:rsid w:val="0FB144B1"/>
    <w:rsid w:val="10725B71"/>
    <w:rsid w:val="1102722C"/>
    <w:rsid w:val="117D2D78"/>
    <w:rsid w:val="126307C1"/>
    <w:rsid w:val="12C57576"/>
    <w:rsid w:val="131D659F"/>
    <w:rsid w:val="132536A6"/>
    <w:rsid w:val="1394392D"/>
    <w:rsid w:val="13B324B6"/>
    <w:rsid w:val="146E671D"/>
    <w:rsid w:val="15447178"/>
    <w:rsid w:val="156B51C5"/>
    <w:rsid w:val="158B6F91"/>
    <w:rsid w:val="15F20E8D"/>
    <w:rsid w:val="16740020"/>
    <w:rsid w:val="17531DBC"/>
    <w:rsid w:val="175A547A"/>
    <w:rsid w:val="17B0376D"/>
    <w:rsid w:val="17FF564B"/>
    <w:rsid w:val="183A374F"/>
    <w:rsid w:val="190F22A5"/>
    <w:rsid w:val="19393A07"/>
    <w:rsid w:val="19D70E3C"/>
    <w:rsid w:val="1A4B6A06"/>
    <w:rsid w:val="1AAE44A5"/>
    <w:rsid w:val="1AE34AB0"/>
    <w:rsid w:val="1C2876EA"/>
    <w:rsid w:val="1C78744B"/>
    <w:rsid w:val="1D3E63BA"/>
    <w:rsid w:val="1D5D5765"/>
    <w:rsid w:val="1D9A4DD2"/>
    <w:rsid w:val="1DF75C3F"/>
    <w:rsid w:val="1E0114F5"/>
    <w:rsid w:val="1E871148"/>
    <w:rsid w:val="206462C4"/>
    <w:rsid w:val="20831A0C"/>
    <w:rsid w:val="208D08C0"/>
    <w:rsid w:val="217A4C60"/>
    <w:rsid w:val="21836286"/>
    <w:rsid w:val="21A5175F"/>
    <w:rsid w:val="22306111"/>
    <w:rsid w:val="223B6562"/>
    <w:rsid w:val="229F6A58"/>
    <w:rsid w:val="22F453DF"/>
    <w:rsid w:val="248D3807"/>
    <w:rsid w:val="24EF3ADB"/>
    <w:rsid w:val="252B1ECD"/>
    <w:rsid w:val="25930270"/>
    <w:rsid w:val="259F0924"/>
    <w:rsid w:val="263D4CB1"/>
    <w:rsid w:val="264D024B"/>
    <w:rsid w:val="26843312"/>
    <w:rsid w:val="26AA7CF2"/>
    <w:rsid w:val="27537642"/>
    <w:rsid w:val="27795D63"/>
    <w:rsid w:val="281178FD"/>
    <w:rsid w:val="283D14DA"/>
    <w:rsid w:val="289A05FF"/>
    <w:rsid w:val="28EC5824"/>
    <w:rsid w:val="28F057EB"/>
    <w:rsid w:val="290E7098"/>
    <w:rsid w:val="29576977"/>
    <w:rsid w:val="29CD6DB6"/>
    <w:rsid w:val="2A9F40CE"/>
    <w:rsid w:val="2B2F093D"/>
    <w:rsid w:val="2B7F139D"/>
    <w:rsid w:val="2B845E1F"/>
    <w:rsid w:val="2B96471F"/>
    <w:rsid w:val="2BA21E9D"/>
    <w:rsid w:val="2BF93460"/>
    <w:rsid w:val="2C3B13EC"/>
    <w:rsid w:val="2C523873"/>
    <w:rsid w:val="2C5521A5"/>
    <w:rsid w:val="2C9A4B66"/>
    <w:rsid w:val="2D4B55A4"/>
    <w:rsid w:val="2D7968A6"/>
    <w:rsid w:val="2E2204C5"/>
    <w:rsid w:val="2E4722CA"/>
    <w:rsid w:val="2E8F3FF6"/>
    <w:rsid w:val="2EEC359F"/>
    <w:rsid w:val="2EFF3400"/>
    <w:rsid w:val="2F106B71"/>
    <w:rsid w:val="2FA81897"/>
    <w:rsid w:val="2FBE7480"/>
    <w:rsid w:val="30CB4915"/>
    <w:rsid w:val="317059AA"/>
    <w:rsid w:val="32181623"/>
    <w:rsid w:val="324A0DE5"/>
    <w:rsid w:val="325113BA"/>
    <w:rsid w:val="32516494"/>
    <w:rsid w:val="32632844"/>
    <w:rsid w:val="339064C2"/>
    <w:rsid w:val="33B568D1"/>
    <w:rsid w:val="34474001"/>
    <w:rsid w:val="34B37867"/>
    <w:rsid w:val="350D65F0"/>
    <w:rsid w:val="355C17E7"/>
    <w:rsid w:val="35AF3B86"/>
    <w:rsid w:val="35CD7559"/>
    <w:rsid w:val="35DA1C76"/>
    <w:rsid w:val="36160F00"/>
    <w:rsid w:val="363E6E1B"/>
    <w:rsid w:val="364A29BA"/>
    <w:rsid w:val="36E42DAC"/>
    <w:rsid w:val="37362EDC"/>
    <w:rsid w:val="37697E28"/>
    <w:rsid w:val="376A37CD"/>
    <w:rsid w:val="37881557"/>
    <w:rsid w:val="37FF964C"/>
    <w:rsid w:val="380B777C"/>
    <w:rsid w:val="387C6B1D"/>
    <w:rsid w:val="389B146D"/>
    <w:rsid w:val="38F372D7"/>
    <w:rsid w:val="39093C9F"/>
    <w:rsid w:val="394D0DBE"/>
    <w:rsid w:val="399F745E"/>
    <w:rsid w:val="39B50A30"/>
    <w:rsid w:val="3A3865D1"/>
    <w:rsid w:val="3A5D2D2E"/>
    <w:rsid w:val="3AA8267B"/>
    <w:rsid w:val="3AB331C1"/>
    <w:rsid w:val="3BC0486E"/>
    <w:rsid w:val="3BFE541B"/>
    <w:rsid w:val="3C91764E"/>
    <w:rsid w:val="3CA8487C"/>
    <w:rsid w:val="3CE861F3"/>
    <w:rsid w:val="3D3500C3"/>
    <w:rsid w:val="3DBF2AF4"/>
    <w:rsid w:val="3DCD5E1C"/>
    <w:rsid w:val="3E8B46AB"/>
    <w:rsid w:val="3F2413A7"/>
    <w:rsid w:val="3F52059B"/>
    <w:rsid w:val="3FD7E8E1"/>
    <w:rsid w:val="3FFA5F00"/>
    <w:rsid w:val="40F21E30"/>
    <w:rsid w:val="416444F7"/>
    <w:rsid w:val="426916CB"/>
    <w:rsid w:val="428E62C2"/>
    <w:rsid w:val="429B5FF4"/>
    <w:rsid w:val="42B74801"/>
    <w:rsid w:val="42C35F6C"/>
    <w:rsid w:val="43B64CA8"/>
    <w:rsid w:val="44003EF5"/>
    <w:rsid w:val="44183EE9"/>
    <w:rsid w:val="45173E46"/>
    <w:rsid w:val="458B53C0"/>
    <w:rsid w:val="45D2219A"/>
    <w:rsid w:val="45FB6D4A"/>
    <w:rsid w:val="4662762C"/>
    <w:rsid w:val="46B34F8B"/>
    <w:rsid w:val="46B768C4"/>
    <w:rsid w:val="47406C6A"/>
    <w:rsid w:val="47642D49"/>
    <w:rsid w:val="47C750DF"/>
    <w:rsid w:val="4830797A"/>
    <w:rsid w:val="48735221"/>
    <w:rsid w:val="48744427"/>
    <w:rsid w:val="48FA31AA"/>
    <w:rsid w:val="4931182A"/>
    <w:rsid w:val="49490F47"/>
    <w:rsid w:val="4A626995"/>
    <w:rsid w:val="4AD7121D"/>
    <w:rsid w:val="4B0F4EFD"/>
    <w:rsid w:val="4B116E3E"/>
    <w:rsid w:val="4BBA12DC"/>
    <w:rsid w:val="4C1635B0"/>
    <w:rsid w:val="4C187E5D"/>
    <w:rsid w:val="4C681566"/>
    <w:rsid w:val="4C9B0E8F"/>
    <w:rsid w:val="4CBF2A2B"/>
    <w:rsid w:val="4D4872B8"/>
    <w:rsid w:val="4D8DF84B"/>
    <w:rsid w:val="4E754685"/>
    <w:rsid w:val="4E9620C6"/>
    <w:rsid w:val="4EAE1A2D"/>
    <w:rsid w:val="4EB8689E"/>
    <w:rsid w:val="4F8F1B01"/>
    <w:rsid w:val="511F74BD"/>
    <w:rsid w:val="516E79EA"/>
    <w:rsid w:val="51B3040A"/>
    <w:rsid w:val="52B62A0A"/>
    <w:rsid w:val="52C84246"/>
    <w:rsid w:val="52D820BF"/>
    <w:rsid w:val="535A1B4B"/>
    <w:rsid w:val="53BA399B"/>
    <w:rsid w:val="53DC46A3"/>
    <w:rsid w:val="54670948"/>
    <w:rsid w:val="54942D9C"/>
    <w:rsid w:val="55C57F05"/>
    <w:rsid w:val="55E14375"/>
    <w:rsid w:val="55EA6982"/>
    <w:rsid w:val="56085F32"/>
    <w:rsid w:val="56930A4F"/>
    <w:rsid w:val="56EB43BA"/>
    <w:rsid w:val="5721096C"/>
    <w:rsid w:val="579161E1"/>
    <w:rsid w:val="58E53B72"/>
    <w:rsid w:val="5A096CC2"/>
    <w:rsid w:val="5A186745"/>
    <w:rsid w:val="5B677350"/>
    <w:rsid w:val="5B7E4336"/>
    <w:rsid w:val="5BA5179D"/>
    <w:rsid w:val="5BF136F2"/>
    <w:rsid w:val="5C1E3DBB"/>
    <w:rsid w:val="5C205ED7"/>
    <w:rsid w:val="5CC10E08"/>
    <w:rsid w:val="5CE80B41"/>
    <w:rsid w:val="5CEC5221"/>
    <w:rsid w:val="5D060429"/>
    <w:rsid w:val="5D135B2F"/>
    <w:rsid w:val="5D2A656C"/>
    <w:rsid w:val="5D7F35D0"/>
    <w:rsid w:val="5DCA1180"/>
    <w:rsid w:val="5EE44AD4"/>
    <w:rsid w:val="5F1F0C11"/>
    <w:rsid w:val="5F483F5C"/>
    <w:rsid w:val="5F487ACD"/>
    <w:rsid w:val="5F4F098B"/>
    <w:rsid w:val="5FC52ECB"/>
    <w:rsid w:val="5FF765CA"/>
    <w:rsid w:val="601B2DB4"/>
    <w:rsid w:val="60255D93"/>
    <w:rsid w:val="606E3563"/>
    <w:rsid w:val="607132C1"/>
    <w:rsid w:val="61424994"/>
    <w:rsid w:val="617B3D7A"/>
    <w:rsid w:val="61DA403A"/>
    <w:rsid w:val="621F3278"/>
    <w:rsid w:val="62242E51"/>
    <w:rsid w:val="62612352"/>
    <w:rsid w:val="62BB5CBE"/>
    <w:rsid w:val="630018A2"/>
    <w:rsid w:val="63230DCE"/>
    <w:rsid w:val="634F105D"/>
    <w:rsid w:val="635D2D65"/>
    <w:rsid w:val="63626C83"/>
    <w:rsid w:val="63791C5F"/>
    <w:rsid w:val="644E3CBF"/>
    <w:rsid w:val="64C25C2B"/>
    <w:rsid w:val="64C80D68"/>
    <w:rsid w:val="64FB738F"/>
    <w:rsid w:val="65B05211"/>
    <w:rsid w:val="66B9566C"/>
    <w:rsid w:val="66CA0391"/>
    <w:rsid w:val="6813679E"/>
    <w:rsid w:val="685A66F9"/>
    <w:rsid w:val="686443DE"/>
    <w:rsid w:val="68FC5484"/>
    <w:rsid w:val="6942733B"/>
    <w:rsid w:val="69603071"/>
    <w:rsid w:val="6B104D22"/>
    <w:rsid w:val="6B514E55"/>
    <w:rsid w:val="6B5F0E2B"/>
    <w:rsid w:val="6B6FAA2F"/>
    <w:rsid w:val="6B97E676"/>
    <w:rsid w:val="6BA74108"/>
    <w:rsid w:val="6BDF42DC"/>
    <w:rsid w:val="6C4E2F0F"/>
    <w:rsid w:val="6C791CED"/>
    <w:rsid w:val="6CA173D9"/>
    <w:rsid w:val="6CED1CB3"/>
    <w:rsid w:val="6CFD5A06"/>
    <w:rsid w:val="6D550310"/>
    <w:rsid w:val="6D71439B"/>
    <w:rsid w:val="6D847403"/>
    <w:rsid w:val="6DCC16A2"/>
    <w:rsid w:val="6E600263"/>
    <w:rsid w:val="6EB611AF"/>
    <w:rsid w:val="6ECF14E0"/>
    <w:rsid w:val="6F795A80"/>
    <w:rsid w:val="6F803552"/>
    <w:rsid w:val="6F904122"/>
    <w:rsid w:val="6FF9018C"/>
    <w:rsid w:val="701220A4"/>
    <w:rsid w:val="70B054D2"/>
    <w:rsid w:val="712A2806"/>
    <w:rsid w:val="720973B5"/>
    <w:rsid w:val="724A6D61"/>
    <w:rsid w:val="72733B5C"/>
    <w:rsid w:val="72C82594"/>
    <w:rsid w:val="72E56D63"/>
    <w:rsid w:val="74185DFB"/>
    <w:rsid w:val="745A0F89"/>
    <w:rsid w:val="74F65E02"/>
    <w:rsid w:val="75952A68"/>
    <w:rsid w:val="75C96423"/>
    <w:rsid w:val="765929B4"/>
    <w:rsid w:val="76FD2AF3"/>
    <w:rsid w:val="774D3A7A"/>
    <w:rsid w:val="7777EAA5"/>
    <w:rsid w:val="77960672"/>
    <w:rsid w:val="77D48F56"/>
    <w:rsid w:val="77E64606"/>
    <w:rsid w:val="77ED3985"/>
    <w:rsid w:val="787D5E27"/>
    <w:rsid w:val="789339FF"/>
    <w:rsid w:val="78D8460D"/>
    <w:rsid w:val="78D944CD"/>
    <w:rsid w:val="78DE02DA"/>
    <w:rsid w:val="79011794"/>
    <w:rsid w:val="79AB1D95"/>
    <w:rsid w:val="79DA3D2D"/>
    <w:rsid w:val="79E93803"/>
    <w:rsid w:val="79F2517C"/>
    <w:rsid w:val="7A0D1584"/>
    <w:rsid w:val="7A115044"/>
    <w:rsid w:val="7A83675C"/>
    <w:rsid w:val="7ABD1232"/>
    <w:rsid w:val="7B1F412D"/>
    <w:rsid w:val="7BE4AA47"/>
    <w:rsid w:val="7C337CE7"/>
    <w:rsid w:val="7C42350F"/>
    <w:rsid w:val="7C841D57"/>
    <w:rsid w:val="7CE32876"/>
    <w:rsid w:val="7D0F2F2C"/>
    <w:rsid w:val="7D3905FD"/>
    <w:rsid w:val="7D8819B8"/>
    <w:rsid w:val="7E017648"/>
    <w:rsid w:val="7E1D10F9"/>
    <w:rsid w:val="7E6E46C1"/>
    <w:rsid w:val="7EC07882"/>
    <w:rsid w:val="7ED9174C"/>
    <w:rsid w:val="7FDD5E92"/>
    <w:rsid w:val="B3FA3877"/>
    <w:rsid w:val="BBF7F49D"/>
    <w:rsid w:val="BDCF488F"/>
    <w:rsid w:val="BE6CF1B2"/>
    <w:rsid w:val="BFFF8213"/>
    <w:rsid w:val="D6BC53C7"/>
    <w:rsid w:val="D7E94A2D"/>
    <w:rsid w:val="DBDB883A"/>
    <w:rsid w:val="E2FF5EAD"/>
    <w:rsid w:val="E3DD409C"/>
    <w:rsid w:val="EF52C400"/>
    <w:rsid w:val="FCB7CF6F"/>
    <w:rsid w:val="FD9F6F5F"/>
    <w:rsid w:val="FF3F5F9F"/>
    <w:rsid w:val="FF6AD0E2"/>
    <w:rsid w:val="FF7F3267"/>
    <w:rsid w:val="FFD5882C"/>
    <w:rsid w:val="FFD7F82F"/>
    <w:rsid w:val="FFFE07A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576" w:lineRule="exact"/>
      <w:ind w:firstLine="1454" w:firstLineChars="200"/>
      <w:jc w:val="both"/>
    </w:pPr>
    <w:rPr>
      <w:rFonts w:ascii="仿宋" w:hAnsi="仿宋" w:eastAsia="仿宋" w:cs="Times New Roman"/>
      <w:color w:val="auto"/>
      <w:spacing w:val="-6"/>
      <w:kern w:val="2"/>
      <w:sz w:val="32"/>
      <w:szCs w:val="32"/>
      <w:lang w:val="en-US" w:eastAsia="zh-CN" w:bidi="ar-SA"/>
    </w:rPr>
  </w:style>
  <w:style w:type="paragraph" w:styleId="2">
    <w:name w:val="heading 1"/>
    <w:basedOn w:val="1"/>
    <w:next w:val="1"/>
    <w:qFormat/>
    <w:uiPriority w:val="0"/>
    <w:pPr>
      <w:keepNext/>
      <w:keepLines/>
      <w:spacing w:after="50" w:afterLines="50" w:line="560" w:lineRule="exact"/>
      <w:ind w:firstLine="420" w:firstLineChars="200"/>
      <w:jc w:val="both"/>
      <w:outlineLvl w:val="0"/>
    </w:pPr>
    <w:rPr>
      <w:rFonts w:ascii="黑体" w:hAnsi="黑体" w:eastAsia="黑体" w:cs="Arial"/>
      <w:snapToGrid w:val="0"/>
      <w:color w:val="000000"/>
      <w:kern w:val="44"/>
      <w:sz w:val="32"/>
      <w:szCs w:val="21"/>
      <w:lang w:eastAsia="en-US"/>
    </w:rPr>
  </w:style>
  <w:style w:type="paragraph" w:styleId="3">
    <w:name w:val="heading 2"/>
    <w:basedOn w:val="1"/>
    <w:next w:val="1"/>
    <w:semiHidden/>
    <w:unhideWhenUsed/>
    <w:qFormat/>
    <w:uiPriority w:val="0"/>
    <w:pPr>
      <w:keepNext/>
      <w:keepLines/>
      <w:spacing w:beforeLines="0" w:beforeAutospacing="0" w:after="50" w:afterLines="50" w:afterAutospacing="0" w:line="560" w:lineRule="exact"/>
      <w:outlineLvl w:val="1"/>
    </w:pPr>
    <w:rPr>
      <w:rFonts w:eastAsia="楷体_GB2312"/>
      <w:b/>
    </w:rPr>
  </w:style>
  <w:style w:type="paragraph" w:styleId="4">
    <w:name w:val="heading 3"/>
    <w:basedOn w:val="1"/>
    <w:next w:val="1"/>
    <w:semiHidden/>
    <w:unhideWhenUsed/>
    <w:qFormat/>
    <w:uiPriority w:val="0"/>
    <w:pPr>
      <w:keepNext/>
      <w:keepLines/>
      <w:spacing w:beforeLines="0" w:beforeAutospacing="0" w:afterLines="0" w:afterAutospacing="0" w:line="560" w:lineRule="exact"/>
      <w:outlineLvl w:val="2"/>
    </w:pPr>
    <w:rPr>
      <w:rFonts w:ascii="宋体" w:hAnsi="宋体" w:eastAsia="宋体"/>
      <w:b/>
    </w:rPr>
  </w:style>
  <w:style w:type="paragraph" w:styleId="5">
    <w:name w:val="heading 4"/>
    <w:basedOn w:val="1"/>
    <w:next w:val="1"/>
    <w:semiHidden/>
    <w:unhideWhenUsed/>
    <w:qFormat/>
    <w:uiPriority w:val="0"/>
    <w:pPr>
      <w:keepNext/>
      <w:keepLines/>
      <w:spacing w:beforeLines="0" w:beforeAutospacing="0" w:after="50" w:afterLines="50" w:afterAutospacing="0" w:line="560" w:lineRule="exact"/>
      <w:outlineLvl w:val="3"/>
    </w:pPr>
    <w:rPr>
      <w:rFonts w:ascii="仿宋_GB2312" w:hAnsi="仿宋_GB2312" w:eastAsia="仿宋_GB2312"/>
      <w:b/>
      <w:sz w:val="32"/>
    </w:rPr>
  </w:style>
  <w:style w:type="character" w:default="1" w:styleId="25">
    <w:name w:val="Default Paragraph Font"/>
    <w:unhideWhenUsed/>
    <w:qFormat/>
    <w:uiPriority w:val="1"/>
  </w:style>
  <w:style w:type="table" w:default="1" w:styleId="23">
    <w:name w:val="Normal Table"/>
    <w:semiHidden/>
    <w:qFormat/>
    <w:uiPriority w:val="0"/>
    <w:tblPr>
      <w:tblCellMar>
        <w:top w:w="0" w:type="dxa"/>
        <w:left w:w="108" w:type="dxa"/>
        <w:bottom w:w="0" w:type="dxa"/>
        <w:right w:w="108" w:type="dxa"/>
      </w:tblCellMar>
    </w:tblPr>
  </w:style>
  <w:style w:type="paragraph" w:styleId="6">
    <w:name w:val="Normal Indent"/>
    <w:basedOn w:val="1"/>
    <w:qFormat/>
    <w:uiPriority w:val="0"/>
    <w:pPr>
      <w:ind w:firstLine="420"/>
    </w:pPr>
    <w:rPr>
      <w:rFonts w:eastAsia="宋体"/>
      <w:kern w:val="2"/>
      <w:sz w:val="21"/>
      <w:szCs w:val="20"/>
    </w:rPr>
  </w:style>
  <w:style w:type="paragraph" w:styleId="7">
    <w:name w:val="annotation text"/>
    <w:basedOn w:val="1"/>
    <w:qFormat/>
    <w:uiPriority w:val="0"/>
    <w:pPr>
      <w:jc w:val="left"/>
    </w:pPr>
  </w:style>
  <w:style w:type="paragraph" w:styleId="8">
    <w:name w:val="Body Text"/>
    <w:basedOn w:val="1"/>
    <w:qFormat/>
    <w:uiPriority w:val="0"/>
    <w:pPr>
      <w:spacing w:before="50" w:beforeLines="50" w:line="560" w:lineRule="exact"/>
      <w:ind w:firstLine="480" w:firstLineChars="200"/>
      <w:jc w:val="both"/>
    </w:pPr>
    <w:rPr>
      <w:rFonts w:ascii="仿宋_GB2312" w:hAnsi="仿宋_GB2312" w:eastAsia="仿宋_GB2312" w:cs="宋体"/>
      <w:snapToGrid w:val="0"/>
      <w:color w:val="000000"/>
      <w:kern w:val="0"/>
      <w:sz w:val="32"/>
      <w:szCs w:val="24"/>
      <w:lang w:eastAsia="en-US"/>
    </w:rPr>
  </w:style>
  <w:style w:type="paragraph" w:styleId="9">
    <w:name w:val="Body Text Indent"/>
    <w:basedOn w:val="1"/>
    <w:next w:val="10"/>
    <w:qFormat/>
    <w:uiPriority w:val="0"/>
    <w:pPr>
      <w:widowControl/>
      <w:snapToGrid w:val="0"/>
      <w:spacing w:line="300" w:lineRule="auto"/>
      <w:jc w:val="center"/>
    </w:pPr>
    <w:rPr>
      <w:rFonts w:ascii="Times New Roman" w:hAnsi="Times New Roman" w:eastAsia="微软雅黑" w:cs="Times New Roman"/>
      <w:spacing w:val="-18"/>
      <w:kern w:val="2"/>
      <w:sz w:val="44"/>
      <w:szCs w:val="24"/>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3"/>
    <w:basedOn w:val="1"/>
    <w:next w:val="1"/>
    <w:qFormat/>
    <w:uiPriority w:val="0"/>
    <w:pPr>
      <w:ind w:left="840" w:leftChars="400"/>
    </w:pPr>
  </w:style>
  <w:style w:type="paragraph" w:styleId="12">
    <w:name w:val="Body Text Indent 2"/>
    <w:basedOn w:val="1"/>
    <w:unhideWhenUsed/>
    <w:qFormat/>
    <w:uiPriority w:val="99"/>
    <w:pPr>
      <w:spacing w:after="120" w:line="480" w:lineRule="auto"/>
      <w:ind w:left="420" w:leftChars="200"/>
    </w:pPr>
  </w:style>
  <w:style w:type="paragraph" w:styleId="13">
    <w:name w:val="footer"/>
    <w:basedOn w:val="1"/>
    <w:qFormat/>
    <w:uiPriority w:val="0"/>
    <w:pPr>
      <w:tabs>
        <w:tab w:val="center" w:pos="4153"/>
        <w:tab w:val="right" w:pos="8306"/>
      </w:tabs>
      <w:snapToGrid w:val="0"/>
      <w:jc w:val="left"/>
    </w:pPr>
    <w:rPr>
      <w:sz w:val="18"/>
    </w:rPr>
  </w:style>
  <w:style w:type="paragraph" w:styleId="14">
    <w:name w:val="toc 1"/>
    <w:basedOn w:val="1"/>
    <w:next w:val="1"/>
    <w:qFormat/>
    <w:uiPriority w:val="0"/>
  </w:style>
  <w:style w:type="paragraph" w:styleId="15">
    <w:name w:val="index heading"/>
    <w:basedOn w:val="1"/>
    <w:next w:val="16"/>
    <w:qFormat/>
    <w:uiPriority w:val="0"/>
    <w:rPr>
      <w:rFonts w:ascii="Arial" w:hAnsi="Arial"/>
      <w:b/>
    </w:rPr>
  </w:style>
  <w:style w:type="paragraph" w:styleId="16">
    <w:name w:val="index 1"/>
    <w:basedOn w:val="1"/>
    <w:next w:val="1"/>
    <w:qFormat/>
    <w:uiPriority w:val="0"/>
  </w:style>
  <w:style w:type="paragraph" w:styleId="17">
    <w:name w:val="footnote text"/>
    <w:link w:val="34"/>
    <w:qFormat/>
    <w:uiPriority w:val="0"/>
    <w:pPr>
      <w:snapToGrid w:val="0"/>
      <w:spacing w:line="240" w:lineRule="auto"/>
      <w:ind w:firstLine="200" w:firstLineChars="200"/>
      <w:jc w:val="left"/>
      <w:textAlignment w:val="baseline"/>
    </w:pPr>
    <w:rPr>
      <w:rFonts w:ascii="仿宋" w:hAnsi="仿宋" w:eastAsia="仿宋_GB2312" w:cs="Times New Roman"/>
      <w:kern w:val="2"/>
      <w:sz w:val="21"/>
      <w:szCs w:val="22"/>
      <w:lang w:val="en-US" w:eastAsia="zh-CN" w:bidi="ar-SA"/>
    </w:rPr>
  </w:style>
  <w:style w:type="paragraph" w:styleId="18">
    <w:name w:val="toc 2"/>
    <w:basedOn w:val="1"/>
    <w:next w:val="1"/>
    <w:qFormat/>
    <w:uiPriority w:val="0"/>
    <w:pPr>
      <w:ind w:left="420" w:leftChars="200"/>
    </w:pPr>
  </w:style>
  <w:style w:type="paragraph" w:styleId="1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2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21">
    <w:name w:val="Title"/>
    <w:qFormat/>
    <w:uiPriority w:val="0"/>
    <w:pPr>
      <w:adjustRightInd w:val="0"/>
      <w:snapToGrid w:val="0"/>
      <w:spacing w:after="296" w:line="720" w:lineRule="exact"/>
      <w:jc w:val="center"/>
      <w:outlineLvl w:val="0"/>
    </w:pPr>
    <w:rPr>
      <w:rFonts w:ascii="方正小标宋简体" w:hAnsi="方正小标宋简体" w:eastAsia="方正小标宋简体" w:cs="Times New Roman"/>
      <w:color w:val="262626" w:themeColor="text1" w:themeTint="D9"/>
      <w:sz w:val="44"/>
      <w:szCs w:val="44"/>
      <w:lang w:val="en-US" w:eastAsia="zh-CN" w:bidi="ar-SA"/>
      <w14:textFill>
        <w14:solidFill>
          <w14:schemeClr w14:val="tx1">
            <w14:lumMod w14:val="85000"/>
            <w14:lumOff w14:val="15000"/>
          </w14:schemeClr>
        </w14:solidFill>
      </w14:textFill>
    </w:rPr>
  </w:style>
  <w:style w:type="paragraph" w:styleId="22">
    <w:name w:val="Body Text First Indent 2"/>
    <w:basedOn w:val="9"/>
    <w:qFormat/>
    <w:uiPriority w:val="0"/>
    <w:pPr>
      <w:adjustRightInd/>
      <w:spacing w:line="240" w:lineRule="auto"/>
      <w:ind w:left="420" w:leftChars="200" w:firstLine="420" w:firstLineChars="200"/>
      <w:jc w:val="both"/>
      <w:textAlignment w:val="auto"/>
    </w:pPr>
    <w:rPr>
      <w:rFonts w:ascii="Times New Roman" w:hAnsi="Times New Roman" w:eastAsia="宋体" w:cs="Times New Roman"/>
      <w:kern w:val="2"/>
      <w:sz w:val="21"/>
    </w:rPr>
  </w:style>
  <w:style w:type="table" w:styleId="24">
    <w:name w:val="Table Grid"/>
    <w:basedOn w:val="2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basedOn w:val="25"/>
    <w:qFormat/>
    <w:uiPriority w:val="0"/>
    <w:rPr>
      <w:b/>
    </w:rPr>
  </w:style>
  <w:style w:type="character" w:styleId="27">
    <w:name w:val="HTML Code"/>
    <w:basedOn w:val="25"/>
    <w:qFormat/>
    <w:uiPriority w:val="0"/>
    <w:rPr>
      <w:rFonts w:ascii="Courier New" w:hAnsi="Courier New"/>
      <w:sz w:val="20"/>
    </w:rPr>
  </w:style>
  <w:style w:type="character" w:styleId="28">
    <w:name w:val="footnote reference"/>
    <w:qFormat/>
    <w:uiPriority w:val="0"/>
    <w:rPr>
      <w:rFonts w:ascii="Times New Roman" w:hAnsi="Times New Roman" w:eastAsia="仿宋"/>
      <w:sz w:val="32"/>
      <w:vertAlign w:val="superscript"/>
    </w:rPr>
  </w:style>
  <w:style w:type="paragraph" w:customStyle="1" w:styleId="29">
    <w:name w:val="图表"/>
    <w:basedOn w:val="1"/>
    <w:qFormat/>
    <w:uiPriority w:val="0"/>
    <w:pPr>
      <w:spacing w:line="240" w:lineRule="auto"/>
      <w:ind w:firstLine="0" w:firstLineChars="0"/>
      <w:jc w:val="center"/>
    </w:pPr>
    <w:rPr>
      <w:rFonts w:eastAsia="仿宋_GB2312"/>
      <w:b/>
      <w:bCs/>
      <w:sz w:val="28"/>
      <w:szCs w:val="28"/>
    </w:rPr>
  </w:style>
  <w:style w:type="paragraph" w:customStyle="1" w:styleId="30">
    <w:name w:val="大标题"/>
    <w:basedOn w:val="1"/>
    <w:qFormat/>
    <w:uiPriority w:val="0"/>
    <w:pPr>
      <w:spacing w:after="100" w:afterLines="100" w:line="560" w:lineRule="exact"/>
      <w:ind w:firstLine="0" w:firstLineChars="0"/>
      <w:jc w:val="center"/>
    </w:pPr>
    <w:rPr>
      <w:rFonts w:ascii="方正小标宋简体" w:hAnsi="方正小标宋简体" w:eastAsia="方正小标宋简体"/>
      <w:sz w:val="44"/>
      <w:szCs w:val="44"/>
    </w:rPr>
  </w:style>
  <w:style w:type="paragraph" w:customStyle="1" w:styleId="31">
    <w:name w:val="图"/>
    <w:basedOn w:val="1"/>
    <w:link w:val="32"/>
    <w:qFormat/>
    <w:uiPriority w:val="0"/>
    <w:pPr>
      <w:spacing w:line="240" w:lineRule="auto"/>
      <w:ind w:firstLine="0" w:firstLineChars="0"/>
      <w:jc w:val="center"/>
    </w:pPr>
    <w:rPr>
      <w:rFonts w:ascii="仿宋" w:hAnsi="仿宋" w:eastAsia="仿宋" w:cs="仿宋"/>
      <w:b/>
      <w:bCs/>
      <w:kern w:val="32"/>
      <w:sz w:val="28"/>
      <w:szCs w:val="28"/>
    </w:rPr>
  </w:style>
  <w:style w:type="character" w:customStyle="1" w:styleId="32">
    <w:name w:val="图 字符"/>
    <w:basedOn w:val="25"/>
    <w:link w:val="31"/>
    <w:qFormat/>
    <w:uiPriority w:val="0"/>
    <w:rPr>
      <w:rFonts w:ascii="仿宋" w:hAnsi="仿宋" w:eastAsia="仿宋" w:cs="仿宋"/>
      <w:b/>
      <w:bCs/>
      <w:kern w:val="32"/>
      <w:sz w:val="28"/>
      <w:szCs w:val="28"/>
    </w:rPr>
  </w:style>
  <w:style w:type="character" w:customStyle="1" w:styleId="33">
    <w:name w:val="NormalCharacter"/>
    <w:qFormat/>
    <w:uiPriority w:val="0"/>
  </w:style>
  <w:style w:type="character" w:customStyle="1" w:styleId="34">
    <w:name w:val="脚注文本 Char"/>
    <w:link w:val="17"/>
    <w:qFormat/>
    <w:uiPriority w:val="0"/>
    <w:rPr>
      <w:rFonts w:ascii="仿宋" w:hAnsi="仿宋" w:eastAsia="仿宋_GB2312" w:cs="Times New Roman"/>
      <w:kern w:val="2"/>
      <w:sz w:val="21"/>
      <w:szCs w:val="22"/>
      <w:lang w:val="en-US" w:eastAsia="zh-CN" w:bidi="ar-SA"/>
    </w:rPr>
  </w:style>
  <w:style w:type="character" w:customStyle="1" w:styleId="35">
    <w:name w:val="font11"/>
    <w:basedOn w:val="25"/>
    <w:qFormat/>
    <w:uiPriority w:val="0"/>
    <w:rPr>
      <w:rFonts w:hint="eastAsia" w:ascii="仿宋_GB2312" w:eastAsia="仿宋_GB2312" w:cs="仿宋_GB2312"/>
      <w:color w:val="000000"/>
      <w:sz w:val="32"/>
      <w:szCs w:val="32"/>
      <w:u w:val="none"/>
    </w:rPr>
  </w:style>
  <w:style w:type="character" w:customStyle="1" w:styleId="36">
    <w:name w:val="font21"/>
    <w:basedOn w:val="25"/>
    <w:qFormat/>
    <w:uiPriority w:val="0"/>
    <w:rPr>
      <w:rFonts w:ascii="仿宋" w:hAnsi="仿宋" w:eastAsia="仿宋" w:cs="仿宋"/>
      <w:color w:val="000000"/>
      <w:sz w:val="32"/>
      <w:szCs w:val="32"/>
      <w:u w:val="none"/>
    </w:rPr>
  </w:style>
  <w:style w:type="table" w:customStyle="1" w:styleId="3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13b3f2d6-ad32-45cf-b1f3-a8e7bbff51e8</errorID>
      <errorWord>双方</errorWord>
      <group>L1_Word</group>
      <groupName>字词问题</groupName>
      <ability>L2_Typo</ability>
      <abilityName>字词错误</abilityName>
      <candidateList>
        <item>双</item>
      </candidateList>
      <explain/>
      <paraID>7561FFA1</paraID>
      <start>47</start>
      <end>49</end>
      <status>ignored</status>
      <modifiedWord/>
      <trackRevisions>false</trackRevisions>
    </reviewItem>
    <reviewItem>
      <errorID>db460808-b8fe-4092-9615-b7437096b1d5</errorID>
      <errorWord>细</errorWord>
      <group>L1_Word</group>
      <groupName>字词问题</groupName>
      <ability>L2_Typo</ability>
      <abilityName>字词错误</abilityName>
      <candidateList>
        <item>细化</item>
      </candidateList>
      <explain/>
      <paraID>5277EA0A</paraID>
      <start>10</start>
      <end>12</end>
      <status>modified</status>
      <modifiedWord>细化</modifiedWord>
      <trackRevisions>false</trackRevisions>
    </reviewItem>
    <reviewItem>
      <errorID>171328df-d94a-447e-8dac-2da6418d18f0</errorID>
      <errorWord>城乡结合部</errorWord>
      <group>L1_Knowledge</group>
      <groupName>知识性问题</groupName>
      <ability>L2_Knowledge</ability>
      <abilityName>其他知识</abilityName>
      <candidateList>
        <item>城乡接合部</item>
      </candidateList>
      <explain/>
      <paraID>4338235A</paraID>
      <start>141</start>
      <end>146</end>
      <status>ignored</status>
      <modifiedWord/>
      <trackRevisions>false</trackRevisions>
    </reviewItem>
    <reviewItem>
      <errorID>34329f38-1c99-47a9-a447-d610a5694540</errorID>
      <errorWord>双方</errorWord>
      <group>L1_Word</group>
      <groupName>字词问题</groupName>
      <ability>L2_Typo</ability>
      <abilityName>字词错误</abilityName>
      <candidateList>
        <item>双</item>
      </candidateList>
      <explain/>
      <paraID>7FFD41CA</paraID>
      <start>177</start>
      <end>179</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89e39c-6400-4052-8041-fe73ccc19fe7}">
  <ds:schemaRefs/>
</ds:datastoreItem>
</file>

<file path=docProps/app.xml><?xml version="1.0" encoding="utf-8"?>
<Properties xmlns="http://schemas.openxmlformats.org/officeDocument/2006/extended-properties" xmlns:vt="http://schemas.openxmlformats.org/officeDocument/2006/docPropsVTypes">
  <Pages>30</Pages>
  <Words>1107</Words>
  <Characters>1165</Characters>
  <Lines>1</Lines>
  <Paragraphs>1</Paragraphs>
  <TotalTime>37</TotalTime>
  <ScaleCrop>false</ScaleCrop>
  <LinksUpToDate>false</LinksUpToDate>
  <CharactersWithSpaces>1204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2025-10-18T04:11:00Z</dcterms:created>
  <dc:creator>古倾杯</dc:creator>
  <cp:lastModifiedBy>吴彬彬</cp:lastModifiedBy>
  <cp:lastPrinted>2026-09-16T05:56:00Z</cp:lastPrinted>
  <dcterms:modified xsi:type="dcterms:W3CDTF">2026-09-24T12:06:43Z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F623D41EF665430F8A67CA27B9670009_13</vt:lpwstr>
  </property>
  <property fmtid="{D5CDD505-2E9C-101B-9397-08002B2CF9AE}" pid="4" name="KSOTemplateDocerSaveRecord">
    <vt:lpwstr>eyJoZGlkIjoiNzRiYzNmNTBmMjExNjQyNGQzMjEwZmE1NWEyY2EyNTMiLCJ1c2VySWQiOiIxNDcxODU4ODE1In0=</vt:lpwstr>
  </property>
</Properties>
</file>