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opLinePunct/>
        <w:spacing w:line="240" w:lineRule="auto"/>
        <w:ind w:firstLine="0" w:firstLineChars="0"/>
        <w:jc w:val="left"/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  <w:t>附件1</w:t>
      </w:r>
    </w:p>
    <w:p>
      <w:pPr>
        <w:spacing w:line="240" w:lineRule="auto"/>
        <w:ind w:firstLine="0" w:firstLineChars="0"/>
        <w:rPr>
          <w:rFonts w:ascii="Times New Roman" w:hAnsi="Times New Roman" w:eastAsia="宋体" w:cs="Times New Roman"/>
          <w:color w:val="auto"/>
          <w:sz w:val="21"/>
          <w:szCs w:val="22"/>
        </w:rPr>
      </w:pPr>
    </w:p>
    <w:p>
      <w:pPr>
        <w:tabs>
          <w:tab w:val="left" w:pos="6900"/>
        </w:tabs>
        <w:spacing w:line="560" w:lineRule="exact"/>
        <w:ind w:firstLine="0" w:firstLineChars="0"/>
        <w:jc w:val="left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ab/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丰台区“十五五”时期推动科技创新和产业</w:t>
      </w:r>
    </w:p>
    <w:p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融合发展规划</w:t>
      </w:r>
    </w:p>
    <w:p>
      <w:pPr>
        <w:widowControl w:val="0"/>
        <w:ind w:firstLine="0" w:firstLineChars="0"/>
        <w:jc w:val="center"/>
        <w:rPr>
          <w:rFonts w:ascii="方正小标宋_GBK" w:hAnsi="等线" w:eastAsia="方正小标宋_GBK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_Toc18933"/>
      <w:bookmarkStart w:id="1" w:name="_Toc9213"/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（征求意见稿）</w:t>
      </w: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widowControl w:val="0"/>
        <w:topLinePunct/>
        <w:spacing w:line="240" w:lineRule="auto"/>
        <w:ind w:firstLine="0" w:firstLineChars="0"/>
        <w:jc w:val="both"/>
        <w:rPr>
          <w:rFonts w:ascii="Times New Roman" w:hAnsi="Arial" w:eastAsia="宋体" w:cs="Times New Roman"/>
          <w:color w:val="auto"/>
          <w:kern w:val="11"/>
          <w:sz w:val="28"/>
          <w:szCs w:val="20"/>
          <w:lang w:val="en-US" w:eastAsia="zh-CN" w:bidi="ar-SA"/>
        </w:rPr>
      </w:pPr>
    </w:p>
    <w:p>
      <w:pPr>
        <w:spacing w:line="240" w:lineRule="auto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widowControl w:val="0"/>
        <w:topLinePunct/>
        <w:spacing w:line="240" w:lineRule="auto"/>
        <w:ind w:firstLine="0" w:firstLineChars="0"/>
        <w:jc w:val="both"/>
        <w:rPr>
          <w:rFonts w:ascii="方正小标宋_GBK" w:hAnsi="等线" w:eastAsia="方正小标宋_GBK" w:cs="Times New Roman"/>
          <w:color w:val="auto"/>
          <w:kern w:val="2"/>
          <w:sz w:val="36"/>
          <w:szCs w:val="36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ascii="Times New Roman" w:hAnsi="Times New Roman" w:eastAsia="宋体" w:cs="Times New Roman"/>
          <w:color w:val="auto"/>
          <w:sz w:val="21"/>
          <w:szCs w:val="22"/>
        </w:rPr>
      </w:pPr>
    </w:p>
    <w:p>
      <w:pPr>
        <w:spacing w:line="560" w:lineRule="exact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</w:p>
    <w:p>
      <w:pPr>
        <w:spacing w:line="560" w:lineRule="exact"/>
        <w:ind w:firstLine="0" w:firstLineChars="0"/>
        <w:jc w:val="center"/>
        <w:rPr>
          <w:rFonts w:ascii="方正小标宋_GBK" w:hAnsi="等线" w:eastAsia="方正小标宋_GBK" w:cs="Times New Roman"/>
          <w:color w:val="auto"/>
          <w:sz w:val="36"/>
          <w:szCs w:val="36"/>
        </w:rPr>
      </w:pPr>
      <w:r>
        <w:rPr>
          <w:rFonts w:hint="eastAsia" w:ascii="方正小标宋_GBK" w:hAnsi="等线" w:eastAsia="方正小标宋_GBK" w:cs="Times New Roman"/>
          <w:color w:val="auto"/>
          <w:sz w:val="36"/>
          <w:szCs w:val="36"/>
        </w:rPr>
        <w:t>丰台区科学技术和信息化局</w:t>
      </w:r>
    </w:p>
    <w:p>
      <w:pPr>
        <w:spacing w:line="560" w:lineRule="exact"/>
        <w:ind w:firstLine="0" w:firstLineChars="0"/>
        <w:jc w:val="center"/>
        <w:rPr>
          <w:rFonts w:ascii="仿宋_GB2312" w:hAnsi="仿宋_GB2312" w:eastAsia="仿宋_GB2312" w:cs="仿宋_GB2312"/>
          <w:color w:val="auto"/>
          <w:sz w:val="32"/>
          <w:szCs w:val="24"/>
        </w:rPr>
      </w:pPr>
      <w:r>
        <w:rPr>
          <w:rFonts w:hint="eastAsia" w:ascii="方正小标宋_GBK" w:hAnsi="等线" w:eastAsia="方正小标宋_GBK" w:cs="Times New Roman"/>
          <w:color w:val="auto"/>
          <w:sz w:val="36"/>
          <w:szCs w:val="36"/>
        </w:rPr>
        <w:t>202</w:t>
      </w:r>
      <w:r>
        <w:rPr>
          <w:rFonts w:hint="eastAsia" w:ascii="方正小标宋_GBK" w:hAnsi="等线" w:eastAsia="方正小标宋_GBK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_GBK" w:hAnsi="等线" w:eastAsia="方正小标宋_GBK" w:cs="Times New Roman"/>
          <w:color w:val="auto"/>
          <w:sz w:val="36"/>
          <w:szCs w:val="36"/>
        </w:rPr>
        <w:t>年</w:t>
      </w:r>
      <w:r>
        <w:rPr>
          <w:rFonts w:hint="eastAsia" w:ascii="方正小标宋_GBK" w:hAnsi="等线" w:eastAsia="方正小标宋_GBK" w:cs="Times New Roman"/>
          <w:color w:val="auto"/>
          <w:sz w:val="36"/>
          <w:szCs w:val="36"/>
          <w:lang w:val="en-US" w:eastAsia="zh-CN"/>
        </w:rPr>
        <w:t>9</w:t>
      </w:r>
      <w:r>
        <w:rPr>
          <w:rFonts w:hint="eastAsia" w:ascii="方正小标宋_GBK" w:hAnsi="等线" w:eastAsia="方正小标宋_GBK" w:cs="Times New Roman"/>
          <w:color w:val="auto"/>
          <w:sz w:val="36"/>
          <w:szCs w:val="36"/>
        </w:rPr>
        <w:t>月</w:t>
      </w:r>
    </w:p>
    <w:p>
      <w:pPr>
        <w:widowControl w:val="0"/>
        <w:topLinePunct/>
        <w:spacing w:line="240" w:lineRule="auto"/>
        <w:ind w:firstLine="0" w:firstLineChars="0"/>
        <w:jc w:val="both"/>
        <w:rPr>
          <w:rFonts w:ascii="仿宋_GB2312" w:hAnsi="仿宋_GB2312" w:eastAsia="仿宋_GB2312" w:cs="仿宋_GB2312"/>
          <w:color w:val="auto"/>
          <w:kern w:val="11"/>
          <w:sz w:val="32"/>
          <w:szCs w:val="24"/>
          <w:lang w:val="en-US" w:eastAsia="zh-CN" w:bidi="ar-SA"/>
        </w:rPr>
      </w:pPr>
    </w:p>
    <w:p>
      <w:pPr>
        <w:rPr>
          <w:color w:val="auto"/>
        </w:rPr>
        <w:sectPr>
          <w:headerReference r:id="rId5" w:type="default"/>
          <w:footerReference r:id="rId6" w:type="default"/>
          <w:pgSz w:w="11906" w:h="16838"/>
          <w:pgMar w:top="1440" w:right="1474" w:bottom="1440" w:left="1587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46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0"/>
          <w:szCs w:val="30"/>
        </w:rPr>
      </w:pPr>
      <w:bookmarkStart w:id="2" w:name="_Toc18530"/>
      <w:bookmarkStart w:id="3" w:name="_Toc30214"/>
      <w:bookmarkStart w:id="4" w:name="_Toc9683"/>
      <w:r>
        <w:rPr>
          <w:rFonts w:hint="eastAsia" w:ascii="黑体" w:hAnsi="黑体" w:eastAsia="黑体" w:cs="黑体"/>
          <w:color w:val="auto"/>
          <w:sz w:val="30"/>
          <w:szCs w:val="30"/>
          <w:lang w:eastAsia="zh-CN"/>
        </w:rPr>
        <w:t>目</w:t>
      </w: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0"/>
          <w:szCs w:val="30"/>
        </w:rPr>
        <w:t>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46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TOC \o "1-3" \h \u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_Toc497756201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snapToGrid w:val="0"/>
          <w:color w:val="auto"/>
          <w:kern w:val="0"/>
          <w:sz w:val="28"/>
          <w:szCs w:val="28"/>
          <w:lang w:val="en-US" w:eastAsia="zh-CN" w:bidi="ar-SA"/>
        </w:rPr>
        <w:t>一、总体要求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_Toc497756201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1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_Toc1365368267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二、完善区域创新体系‌，夯实融合发展根基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_Toc1365368267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2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_Toc1404484080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default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加强原始创新和关键核心技术攻关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_Toc1404484080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2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_Toc1614302529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（二）系统布局创新平台与科技基础设施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_Toc1614302529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_Toc1131562517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（三）推进科研范式变革与组织模式升级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_Toc1131562517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_Toc1691752341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三、健全成果转化体系，畅通融合发展渠道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_Toc1691752341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_Toc1323179353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（四）优化科技成果转化促进机制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_Toc1323179353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3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_Toc1261671025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（五）搭建全过程成果转化服务平台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_Toc1261671025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_Toc373407728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（六）完善细分产业孵化链条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_Toc373407728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_Toc1780907057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（七）推进全域应用场景开放创新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_Toc1780907057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_Toc1213280587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四、强化主体聚合体系，壮大融合发展中坚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_Toc1213280587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_Toc681051682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（八）完善科技企业分类培育机制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_Toc681051682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_Toc304463235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（九）强化链主企业牵引集聚作用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_Toc304463235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_Toc1301536057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（十）有效激发企业创新发展活力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_Toc1301536057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_Toc1741860662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（十一）拓展企业国际创新合作布局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_Toc1741860662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_Toc1970874791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五、升级特色产业体系，激活融合发展动能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_Toc1970874791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6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_Toc385628597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（十二）以关键技术突破推动主导产业提质增效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_Toc385628597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_Toc3825115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（十三）以成果转化应用推动新兴产业规模跃升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_Toc3825115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_Toc1227259624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（十四）以前沿科技探索抢抓未来产业发展赛道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_Toc1227259624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8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_Toc1182123939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六、优化创新生态体系，提升融合发展环境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_Toc1182123939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9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_Toc368680538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（十五）提升重点产业空间创新承载力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_Toc368680538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10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_Toc1028414826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（十六）完善科技金融全链条支撑体系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_Toc1028414826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10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_Toc647886246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（十七）强化多层次创新人才梯队建设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_Toc647886246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10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_Toc1696094797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（十八）构建高质量区域创新协同格局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_Toc1696094797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11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left="640" w:leftChars="200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instrText xml:space="preserve"> HYPERLINK \l _Toc561278180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楷体_GB2312" w:hAnsi="楷体_GB2312" w:eastAsia="楷体_GB2312" w:cs="楷体_GB2312"/>
          <w:bCs/>
          <w:color w:val="auto"/>
          <w:kern w:val="2"/>
          <w:sz w:val="24"/>
          <w:szCs w:val="24"/>
          <w:lang w:val="en-US" w:eastAsia="zh-CN" w:bidi="ar-SA"/>
        </w:rPr>
        <w:t>（十九）打造融合创新的营商环境高地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instrText xml:space="preserve"> PAGEREF _Toc561278180 </w:instrTex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11</w:t>
      </w:r>
      <w:r>
        <w:rPr>
          <w:rFonts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4"/>
          <w:szCs w:val="24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tabs>
          <w:tab w:val="right" w:leader="dot" w:pos="8845"/>
        </w:tabs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both"/>
        <w:textAlignment w:val="auto"/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instrText xml:space="preserve"> HYPERLINK \l _Toc412186329 </w:instrTex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val="en-US" w:eastAsia="zh-CN" w:bidi="ar-SA"/>
        </w:rPr>
        <w:t>七、组织实施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begin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instrText xml:space="preserve"> PAGEREF _Toc412186329 </w:instrTex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t>12</w:t>
      </w:r>
      <w:r>
        <w:rPr>
          <w:rFonts w:ascii="Times New Roman" w:hAnsi="Times New Roman" w:eastAsia="宋体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firstLine="48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24"/>
          <w:szCs w:val="24"/>
        </w:rPr>
        <w:sectPr>
          <w:footerReference r:id="rId7" w:type="default"/>
          <w:pgSz w:w="11906" w:h="16838"/>
          <w:pgMar w:top="1440" w:right="1474" w:bottom="1440" w:left="1587" w:header="851" w:footer="850" w:gutter="0"/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楷体_GB2312" w:cs="Times New Roman"/>
          <w:color w:val="auto"/>
          <w:sz w:val="24"/>
          <w:szCs w:val="24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为深入推进“十五五”时期丰台区“三化五区”建设，加快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推动科技创新和产业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深度融合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，有力支撑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经济社会高质量发展，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依据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《“十五五”时期北京推进国际科技创新中心建设规划》《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北京市丰台区国民经济和社会发展第十五个五年规划纲要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》，制定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5" w:name="_Toc497756201"/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</w:rPr>
        <w:t>一、</w:t>
      </w:r>
      <w:bookmarkEnd w:id="0"/>
      <w:bookmarkEnd w:id="1"/>
      <w:bookmarkEnd w:id="2"/>
      <w:bookmarkEnd w:id="3"/>
      <w:bookmarkEnd w:id="4"/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eastAsia="zh-CN"/>
        </w:rPr>
        <w:t>总体要求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以习近平新时代中国特色社会主义思想为指导，全面贯彻党的二十大和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二十届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历次全会精神，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深入实施创新驱动发展战略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锚定“三化五区”发展目标，统筹教育科技人才一体发展，强化科技创新和产业创新深度融合，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立足“4+5+X”现代化产业体系总体布局，以提升科技创新能力为牵引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激发产业发展新动能为导向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着力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完善科技创新体系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健全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成果转化体系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强化主体聚合体系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升级特色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体系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优化创新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生态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体系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构建科技创新引领产业创新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、产业升级促进科技迭代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的良性互促格局，加快培育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新产业、催生新模式、壮大新动能，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全面增强区域高质量发展的创新驱动力与产业竞争力。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到2030年，以科技创新为引领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具有丰台特色的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现代化产业体系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初步建成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，围绕重点产业的高效能创新体系基本建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，关键技术攻关取得阶段性突破，形成一批标志性技术成果。科技创新对产业发展的引领力、带动力显著增强，重点产业领域核心竞争力与规模化效应同步提升。创新主体培育体系更加健全，创新创业生态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进一步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优化，区域创新协同格局基本形成，成为首都科技创新体系的重要支撑。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2035年，全面建成以科技创新为内核、以科技产业为支撑的现代化产业体系，创新驱动成为区域发展的根本动力，创新链、产业链、资金链、人才链深度融合，科技创新综合实力跻身全市一流水平。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0" w:firstLineChars="0"/>
        <w:contextualSpacing/>
        <w:jc w:val="center"/>
        <w:textAlignment w:val="auto"/>
        <w:rPr>
          <w:rFonts w:hint="eastAsia" w:ascii="Times New Roman" w:hAnsi="Times New Roman" w:eastAsia="黑体" w:cs="Times New Roman"/>
          <w:color w:val="auto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28"/>
          <w:szCs w:val="28"/>
        </w:rPr>
        <w:t>丰台区“十五五”时期推动科技创新和产业融合发展</w:t>
      </w:r>
      <w:r>
        <w:rPr>
          <w:rFonts w:hint="eastAsia" w:ascii="Times New Roman" w:hAnsi="Times New Roman" w:eastAsia="黑体" w:cs="Times New Roman"/>
          <w:color w:val="auto"/>
          <w:kern w:val="0"/>
          <w:sz w:val="28"/>
          <w:szCs w:val="28"/>
          <w:lang w:eastAsia="zh-CN"/>
        </w:rPr>
        <w:t>主要指标</w:t>
      </w:r>
    </w:p>
    <w:tbl>
      <w:tblPr>
        <w:tblStyle w:val="16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697"/>
        <w:gridCol w:w="4125"/>
        <w:gridCol w:w="930"/>
        <w:gridCol w:w="1452"/>
        <w:gridCol w:w="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tblHeader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指标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2025年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2030年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目标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</w:rPr>
              <w:t>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经济增长</w:t>
            </w: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数字经济增加值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年均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增速（%）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8左右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科技服务业增加值占GDP比重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（%）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软件和信息服务业增加值占GDP比重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（%）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7.4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工业增加值占GDP比重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（%）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5.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5.8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创新驱动</w:t>
            </w: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全社会研究与试验发展经费（R&amp;D）支出占GDP比重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（%）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2.1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eastAsia="zh-CN"/>
              </w:rPr>
              <w:t>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每万人口高价值发明专利拥有量（件）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160以上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北京市重点实验室数量（家）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【40左右】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标准级以上孵化器数量（家）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【10左右】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中试平台和中试产线数量（个）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【50以上】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科技成果转化项目数量（项）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【500以上】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年均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技术合同成交额(亿元)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757.2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1000以上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>
            <w:pPr>
              <w:widowControl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  <w:t>企业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  <w:t>培育</w:t>
            </w: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国家高新技术企业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年均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新认定数量（家）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topLinePunct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1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350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topLinePunct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11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300左右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专精特新中小企业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数量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854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【10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00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以上】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国家级专精特新“小巨人”企业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数量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以上】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外资研发中心数量（家）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【10】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tabs>
                <w:tab w:val="left" w:pos="449"/>
              </w:tabs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>
            <w:pPr>
              <w:widowControl w:val="0"/>
              <w:tabs>
                <w:tab w:val="left" w:pos="449"/>
              </w:tabs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新质发展</w:t>
            </w: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智能工厂数量（家）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【14】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机器人重点企业数量（家）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【100】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97" w:type="pct"/>
            <w:vMerge w:val="continue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51" w:type="pct"/>
            <w:noWrap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人工智能核心企业数量（家）</w:t>
            </w:r>
          </w:p>
        </w:tc>
        <w:tc>
          <w:tcPr>
            <w:tcW w:w="529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168</w:t>
            </w:r>
          </w:p>
        </w:tc>
        <w:tc>
          <w:tcPr>
            <w:tcW w:w="827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【260】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预期性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0" w:firstLineChars="0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</w:pPr>
      <w:bookmarkStart w:id="6" w:name="_Toc1365368267"/>
      <w:bookmarkStart w:id="7" w:name="_Toc32698"/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  <w:t>注：【】代表累计值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二、完善区域创新体系‌，夯实融合发展根基</w:t>
      </w:r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楷体_GB2312" w:hAnsi="楷体_GB2312" w:eastAsia="楷体_GB2312" w:cs="楷体_GB2312"/>
          <w:bCs/>
          <w:color w:val="auto"/>
          <w:sz w:val="32"/>
          <w:szCs w:val="32"/>
        </w:rPr>
      </w:pPr>
      <w:bookmarkStart w:id="8" w:name="_Toc7864"/>
      <w:bookmarkStart w:id="9" w:name="_Toc1404484080"/>
      <w:bookmarkStart w:id="10" w:name="_Toc10054"/>
      <w:bookmarkStart w:id="11" w:name="_Toc20239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eastAsia="zh-CN"/>
        </w:rPr>
        <w:t>）</w:t>
      </w:r>
      <w:r>
        <w:rPr>
          <w:rFonts w:hint="default" w:ascii="楷体_GB2312" w:hAnsi="楷体_GB2312" w:eastAsia="楷体_GB2312" w:cs="楷体_GB2312"/>
          <w:bCs/>
          <w:color w:val="auto"/>
          <w:sz w:val="32"/>
          <w:szCs w:val="32"/>
        </w:rPr>
        <w:t>加强原始创新和关键核心技术攻关</w:t>
      </w:r>
      <w:bookmarkEnd w:id="8"/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全面对接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国家科研机构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、高水平研究型大学，深化与院士专家及其团队合作，推动高水平科研平台和科技成果在丰台落地。支持高校院所、科技领军企业强化基础研究与前沿探索，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牵头或参与国家科技攻关任务，深度融入国家创新体系。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支持头部企业在丰台落地优质创新资源和重大科技项目。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目标导向的应用基础研究，突破一批关键核心技术，加快提升创新策源能级，以技术突破引领产业升级，抢占科技竞争制高点。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</w:rPr>
      </w:pPr>
      <w:bookmarkStart w:id="12" w:name="_Toc21568"/>
      <w:bookmarkStart w:id="13" w:name="_Toc1614302529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eastAsia="zh-CN"/>
        </w:rPr>
        <w:t>）系统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</w:rPr>
        <w:t>布局创新平台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与</w:t>
      </w:r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</w:rPr>
        <w:t>科技基础设施</w:t>
      </w:r>
      <w:bookmarkEnd w:id="10"/>
      <w:bookmarkEnd w:id="11"/>
      <w:bookmarkEnd w:id="12"/>
      <w:bookmarkEnd w:id="13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聚焦新兴和未来产业，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加快建设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梯次布局、覆盖全面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创新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平台体系。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领军企业建设高能级科技创新平台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，产出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原创性、颠覆性科技创新成果。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推动校企地联合建设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面向产业需求的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协同创新中心、联合实验室等产学研平台，开展联合攻关和成果转化。支持创新平台开展智能化、绿色化、融合化改造，推动平台设施迭代升级与功能集成优化。引导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科技基础设施及创新平台开放共享，提升创新资源利用效率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，带动产业链上下游企业协同创新。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14" w:name="_Toc7221"/>
      <w:bookmarkStart w:id="15" w:name="_Toc2893"/>
      <w:bookmarkStart w:id="16" w:name="_Toc2418"/>
      <w:bookmarkStart w:id="17" w:name="_Toc1131562517"/>
      <w:bookmarkStart w:id="18" w:name="_Toc892"/>
      <w:bookmarkStart w:id="19" w:name="_Toc841"/>
      <w:bookmarkStart w:id="20" w:name="_Toc3875"/>
      <w:bookmarkStart w:id="21" w:name="_Toc31693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（三）推进</w:t>
      </w:r>
      <w:bookmarkEnd w:id="14"/>
      <w:bookmarkEnd w:id="15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科研范式变革与组织模式升级</w:t>
      </w:r>
      <w:bookmarkEnd w:id="16"/>
      <w:bookmarkEnd w:id="17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以人工智能引领科研范式变革，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依托领军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企业与高校院所资源，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打造自主实验室创新高地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。拓展产业需求导向的协同创新机制，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推动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北京市自然科学基金丰台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创新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联合基金覆盖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更多产业赛道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，</w:t>
      </w:r>
      <w:bookmarkEnd w:id="18"/>
      <w:bookmarkEnd w:id="19"/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深化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val="en-US" w:eastAsia="zh-CN"/>
        </w:rPr>
        <w:t>“企业出题、揭榜挂帅、高效转化”科研攻关模式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。支持建设企业牵头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科研机构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产业链企业深度参与的创新联合体，整合产学研用力量开展跨领域、跨学科协同攻关。支持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高能级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</w:rPr>
        <w:t>创新主体布局建设新型研发机构</w:t>
      </w:r>
      <w:r>
        <w:rPr>
          <w:rFonts w:hint="eastAsia" w:ascii="Times New Roman" w:hAnsi="Times New Roman" w:eastAsia="仿宋_GB2312" w:cs="Times New Roman"/>
          <w:bCs w:val="0"/>
          <w:color w:val="auto"/>
          <w:sz w:val="32"/>
          <w:szCs w:val="32"/>
          <w:lang w:eastAsia="zh-CN"/>
        </w:rPr>
        <w:t>，打造产学研深度融合的示范性平台。</w:t>
      </w:r>
    </w:p>
    <w:bookmarkEnd w:id="20"/>
    <w:bookmarkEnd w:id="21"/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22" w:name="_Toc7614"/>
      <w:bookmarkStart w:id="23" w:name="_Toc1691752341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三、健全成果转化体系，畅通融合发展渠道</w:t>
      </w:r>
      <w:bookmarkEnd w:id="22"/>
      <w:bookmarkEnd w:id="23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24" w:name="_Toc3766"/>
      <w:bookmarkStart w:id="25" w:name="_Toc12590"/>
      <w:bookmarkStart w:id="26" w:name="_Toc18937"/>
      <w:bookmarkStart w:id="27" w:name="_Toc1323179353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（四）优化科技成果转化促进机制</w:t>
      </w:r>
      <w:bookmarkEnd w:id="24"/>
      <w:bookmarkEnd w:id="25"/>
      <w:bookmarkEnd w:id="26"/>
      <w:bookmarkEnd w:id="2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深化与高校院所对接，构建以产业化为导向的成果转化服务体系。健全科技成果转化体制机制，搭建服务平台，组建转化队伍，整合政策、资金、空间、人才资源，提升科技成果转化的服务效能。持续强化对区内大院大所科技成果跟踪对接服务，实行清单化管理、台账式推进。完善成果转化服务激励机制，引进培育一批技术转移服务机构。完善“拨投联动”机制，推动高校院所科技成果加速从实验室走向市场。年均实现技术合同成交额1000亿元以上、落地高校院所科技成果转化项目100个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28" w:name="_Toc1261671025"/>
      <w:bookmarkStart w:id="29" w:name="_Toc24013"/>
      <w:bookmarkStart w:id="30" w:name="_Toc18979"/>
      <w:bookmarkStart w:id="31" w:name="_Toc18091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（五）搭建全过程成果转化服务平台</w:t>
      </w:r>
      <w:bookmarkEnd w:id="28"/>
      <w:bookmarkEnd w:id="29"/>
      <w:bookmarkEnd w:id="30"/>
      <w:bookmarkEnd w:id="3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加强概念验证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小试中试、检验检测等专业服务平台体系化布局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，建立服务平台间协同联动机制，构建接力式成果转化服务生态。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在全市率先系统布局中试平台，建设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中试平台集聚区，建成中试平台、中试产线不低于50家，争创市级平台不低于8家，国家级平台不低于2家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打造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知识产权服务平台，开展专利导航、高价值专利培育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知识产权质押融资服务。推动各类服务平台开放共享，引导平台面向中小企业提供低成本、便利化服务。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32" w:name="_Toc7453"/>
      <w:bookmarkStart w:id="33" w:name="_Toc373407728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（六）完善细分产业孵化链条</w:t>
      </w:r>
      <w:bookmarkEnd w:id="32"/>
      <w:bookmarkEnd w:id="33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支持建设高水平专业化孵化器，认定工信部标准级以上孵化器达到10家左右。引导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孵化机构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健全“孵化+投资”协同机制，强化资本对在孵企业发展的支撑。实施存量孵化器提升行动，推动综合型孵化器向专业化、垂直化转型。支持专业化孵化器完善检验检测、小试中试、样品验证等服务功能，提升在孵企业研发效率和产品化进程。建立孵化器与产业园区定向对接机制，加强毕业企业接续服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鼓励孵化机构探索“超前孵化”，围绕人工智能、生物医药等方向，主动挖掘高校院所实验室前沿技术成果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34" w:name="_Toc11896"/>
      <w:bookmarkStart w:id="35" w:name="_Toc1780907057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（七）推进全域应用场景开放创新</w:t>
      </w:r>
      <w:bookmarkEnd w:id="34"/>
      <w:bookmarkEnd w:id="35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21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聚焦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“医食住行乐生供治”八大领域，构建综合性重大场景、行业集成式场景、小切口高价值场景梯次布局的场景体系。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深化“人工智能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”全领域赋能，加快推动轨道交通、航天航空等主导产业与数字场景深度嵌套。以应用场景为牵引，引导龙头企业开放供应链和合作资源，带动产业链上下游中小企业在场景共建中融通发展。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健全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</w:rPr>
        <w:t>场景需求清单和新技术新产品供给清单动态发布机制，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定期举办场景发布和对接活动，推动新技术新产品在实际场景落地应用，打造赋能型场景创新城区。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36" w:name="_Toc1213280587"/>
      <w:bookmarkStart w:id="37" w:name="_Toc19212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四、强化主体聚合体系，壮大融合发展中坚</w:t>
      </w:r>
      <w:bookmarkEnd w:id="36"/>
      <w:bookmarkEnd w:id="37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38" w:name="_Toc15085"/>
      <w:bookmarkStart w:id="39" w:name="_Toc29833"/>
      <w:bookmarkStart w:id="40" w:name="_Toc5130"/>
      <w:bookmarkStart w:id="41" w:name="_Toc681051682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（八）完善科技企业分类培育机制</w:t>
      </w:r>
      <w:bookmarkEnd w:id="38"/>
      <w:bookmarkEnd w:id="39"/>
      <w:bookmarkEnd w:id="40"/>
      <w:bookmarkEnd w:id="41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健全科技企业全生命周期服务机制，强化“初创—专精特新—领军”企业梯度培育。实施硬科技初创企业筑基行动，依托孵化器等载体提供低成本研发空间和共享设施，强化服务保障及政策支持。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实施专精特新企业扩容行动，加强企业培训辅导，年均新认定国家高新技术企业300家，专精特新中小企业总量保持在1000家以上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实施科技领军企业培优行动，对创新能力强、细分市场占有率高的企业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加强跟踪服务和精准扶持，统筹需求牵引、场景赋能、政策支持，培育一批质量效益高、产业支撑强的龙头企业，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到2030年国家级专精特新“小巨人”企业达到100家以上。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42" w:name="_Toc15024"/>
      <w:bookmarkStart w:id="43" w:name="_Toc304463235"/>
      <w:bookmarkStart w:id="44" w:name="_Toc32324"/>
      <w:bookmarkStart w:id="45" w:name="_Toc15266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（九）强化链主企业牵引集聚作用</w:t>
      </w:r>
      <w:bookmarkEnd w:id="42"/>
      <w:bookmarkEnd w:id="43"/>
      <w:bookmarkEnd w:id="44"/>
      <w:bookmarkEnd w:id="45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加强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新兴、未来产业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细分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赛道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链主企业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培育引进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，吸引产业链上下游配套企业和服务机构集聚。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鼓励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链主企业布局新业务、拓展新板块，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支持重点项目落地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发展。搭建与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产业链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企业对接平台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支持链主企业通过订单牵引、技术溢出、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场景开放、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供应链配套、市场渠道共享等方式，带动中小企业融入产业链供应链体系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，提升产业链整体韧性和安全水平，提升产业整体竞争力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46" w:name="_Toc1301536057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（十）</w:t>
      </w:r>
      <w:bookmarkStart w:id="47" w:name="_Toc1469680291"/>
      <w:bookmarkStart w:id="48" w:name="_Toc24821"/>
      <w:bookmarkStart w:id="49" w:name="_Toc31134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有效激发企业创新发展活力</w:t>
      </w:r>
      <w:bookmarkEnd w:id="46"/>
      <w:bookmarkEnd w:id="47"/>
      <w:bookmarkEnd w:id="48"/>
      <w:bookmarkEnd w:id="49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依托未来企业家实训营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和未来企业家促进会，构建政企协同、资源对接、产业创新的赋能体系，促进企业间技术合作与市场联动。常态化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开展创新沙龙、技术交流等活动，促进企业合作对接，营造开放创新氛围。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加强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企业创新成果展示推介，组织企业参加各类科技成果展览展示、技术交易活动，扩大创新产品影响力。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强化产业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政策宣贯解读，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精准指导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企业享受各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支持政策。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50" w:name="_Toc14522"/>
      <w:bookmarkStart w:id="51" w:name="_Toc6137"/>
      <w:bookmarkStart w:id="52" w:name="_Toc1741860662"/>
      <w:bookmarkStart w:id="53" w:name="_Toc24513"/>
      <w:bookmarkStart w:id="54" w:name="_Toc4877"/>
      <w:bookmarkStart w:id="55" w:name="_Toc13270"/>
      <w:bookmarkStart w:id="56" w:name="_Toc10055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（十一）拓展企业国际创新合作布局</w:t>
      </w:r>
      <w:bookmarkEnd w:id="50"/>
      <w:bookmarkEnd w:id="51"/>
      <w:bookmarkEnd w:id="52"/>
      <w:bookmarkEnd w:id="5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支持科技领军企业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研究机构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参与全球科技创新合作，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鼓励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共建国际创新中心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、跨国科技创新平台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等科技合作载体。支持企业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扩展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海外业务，鼓励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将优势业务向“一带一路”沿线国家延伸。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依托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“先丰企航”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出海综合服务港，打造企业出海“一站式”专业服务矩阵，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为企业出海全链条赋能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支持外资研发机构落地，到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2030年外资研发中心数量不低于10家。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57" w:name="_Toc1970874791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五、升级特色产业体系</w:t>
      </w:r>
      <w:bookmarkEnd w:id="54"/>
      <w:bookmarkEnd w:id="55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，激活融合发展动能</w:t>
      </w:r>
      <w:bookmarkEnd w:id="56"/>
      <w:bookmarkEnd w:id="57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58" w:name="_Toc385628597"/>
      <w:bookmarkStart w:id="59" w:name="_Toc2819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（十二）</w:t>
      </w:r>
      <w:bookmarkEnd w:id="58"/>
      <w:bookmarkEnd w:id="59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以关键技术突破推动主导产业提质增效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坚持以智能化、绿色化、融合化为方向，以主导产业重大需求牵引关键核心技术攻关，推动轨道交通、航天航空、科技服务提质增效，实现创新链与产业链深度融合，增强产业核心竞争力与可持续发展能力。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提升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轨道交通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产业发展动能。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聚焦智慧控制系统、智能运维、智能装备等领域，深化人工智能技术与轨道交通产业融合发展。攻关车路协同、动态运力调配等前沿智能技术，实施交通健康AI智慧诊断与运维技术平台等重点项目，开展AI+工业大模型、核心传感器等研发，推动新技术新产品在轨道交通领域规模化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做强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航天航空产业优势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集群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以驻区航天院所为牵引，巩固发展总体总装优势，加快新一代火箭发动机、可重复使用火箭、宇航级芯片、高端传感器、星间通信等核心技术研发，以自主可控的技术供给强化产业链韧性。建设高水平商业航天创新联合体，深化央地、校企协同攻关，加强示范应用和标准创制。强化卫星互联网、海格通信等特色园区支撑，高水平建设宇航科技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推动科技服务产业扩量提质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lang w:eastAsia="zh-CN"/>
        </w:rPr>
        <w:t>推动科技服务与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lang w:val="en-US" w:eastAsia="zh-CN"/>
        </w:rPr>
        <w:t>重点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22"/>
          <w:lang w:eastAsia="zh-CN"/>
        </w:rPr>
        <w:t>产业深度融合，助力科技创新和产业化发展。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促进研究和试验服务企业强化产业共性技术源头供给，引导工程技术服务企业拓展应用场景，推动技术转移、概念验证、小试中试、创业孵化、知识产权服务企业建设高能级平台，构建从基础研究到产业化的全链条服务体系。加强数智技术应用，培育科技服务新业态新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60" w:name="_Toc12022"/>
      <w:bookmarkStart w:id="61" w:name="_Toc3825115"/>
      <w:bookmarkStart w:id="62" w:name="_Toc2006"/>
      <w:bookmarkStart w:id="63" w:name="_Toc7720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（十三）</w:t>
      </w:r>
      <w:bookmarkEnd w:id="60"/>
      <w:bookmarkEnd w:id="61"/>
      <w:bookmarkEnd w:id="62"/>
      <w:bookmarkEnd w:id="63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以成果转化应用推动新兴产业规模跃升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bookmarkStart w:id="64" w:name="_Toc17455"/>
      <w:bookmarkStart w:id="65" w:name="_Toc30247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坚持以科技创新引领新兴产业集群发展，聚焦人工智能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、智能制造、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医药健康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等新兴产业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强化产业链协同创新与成果转化应用，推动新兴产业集聚成势、提质升级。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人工智能产业特色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发展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强化算力等基础设施建设，培育一批行业垂类大模型，打造高质量数据集和可信数据空间，为成果转化提供底层支撑。打造智能体孵化基地，培育高性能工业智能体，推动人工智能创新成果在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重点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产业领域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eastAsia="zh-CN"/>
        </w:rPr>
        <w:t>规模化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应用，提升产业创新能力和发展动能。主动布局AI for Science，以人工智能技术赋能生命科学、新型材料等研究和实验领域，加快推动创新突破。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加快智能制造产业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32"/>
          <w:szCs w:val="32"/>
        </w:rPr>
        <w:t>迭代升级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以人工智能软硬件一体化为核心，推动人工智能在生产制造、材料研发等领域应用，以智能化改造推动传统制造业效能跃升。重点发展机器人、交通与电气装备、新能源高端装备，与房山区联动发展新型安全应急产业。推动厂房车间数字化升级，提升京仪敬业、安全应急等特色产业园品质，盘活二七厂等存量空间，探索工业上楼模式。开展两业融合试点示范，高标准推进示范区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促进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医药健康产业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eastAsia="zh-CN"/>
        </w:rPr>
        <w:t>能级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跃升。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eastAsia="zh-CN"/>
        </w:rPr>
        <w:t>布局精准医疗、数字诊疗、AI辅助诊疗等赛道，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  <w:t>构建全链条创新体系。加强中医药、药食同源产品研发转化，加快智慧中医药服务创新。发展智能康养设备，推动在医疗服务、养老机构等场景应用推广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  <w:t>促进特殊医学用途配方食品成果转化与产业化，构建替代蛋白产业发展优势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统筹天坛医院、康复医院等临床资源，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推动医工交叉融合突破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，提升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智能医工产业园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发展水平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66" w:name="_Toc4045"/>
      <w:bookmarkStart w:id="67" w:name="_Toc1227259624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（十四）</w:t>
      </w:r>
      <w:bookmarkEnd w:id="64"/>
      <w:bookmarkEnd w:id="65"/>
      <w:bookmarkEnd w:id="66"/>
      <w:bookmarkEnd w:id="67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以前沿科技探索抢抓未来产业发展赛道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聚焦六大未来产业方向，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加速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布局具身智能、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脑健康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清洁能源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赛道，建设未来产业育新平台，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探索多元技术路线、典型应用场景、可行商业模式，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加快形成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新的经济增长点。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after="0"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未来信息领域。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支持开展6G产业关键技术攻关，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加快商用密码产业研发创新，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探索量子信息在通信安全等领域的特色应用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，推动6G与卫星互联网、工业互联网协同发展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。推动“VR/AR+数字孪生”技术在数字文博、智慧城市、智能制造等领域的融合应用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after="0"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未来健康领域。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支持天坛医院脑机接口临床与转化平台建设，聚焦脑认知、脑重大疾病机理与干预研究、类脑计算与脑机融合等领域，推动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脑健康、脑科学科技创新与产业培育全链条加速突破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。加快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细胞肉、菌体蛋白等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合成生物技术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研究，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探索构建“身心同治”健康服务体系。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after="0"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未来制造领域。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重点发展特种机器人，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错位布局人形机器人、服务机器人、工业机器人等领域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，攻关核心零部件短板，做强整机产品供给，突破复杂环境感知、高机动行走、柔性交互、多机协同等技术瓶颈，完善“大脑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-小脑-肢体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”人形机器人全链条研发体系。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after="0"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未来能源领域。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支持液氢制储运加用技术产品研发、场景适配。支持多技术路线新型储能产品开发，谋划风光储一体产业化等示范项目。鼓励低成本碳捕集、大规模化高值化碳利用技术研发攻关。推动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技术与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航天航空、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智能制造等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领域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融合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after="0"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未来材料领域。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搭建新材料人工智能研发服务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小试中试共性技术服务平台。支持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自主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实验室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批量建设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，探索发展新材料研发CRO模式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"/>
        </w:rPr>
        <w:t>打造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+材料”研发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特色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产业。推动石墨烯、高温超导、生物医用等核心材料创新。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</w:rPr>
        <w:t>未来空间领域。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加强地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</w:rPr>
        <w:t>面终端研发与认证，建设卫星互联网产业共性测试平台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。开展智能空中管制系统研发，推进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飞艇测控终端、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空天地一体通信设备开发测试应用。前瞻探索太空算力、在轨服务等产业领域。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68" w:name="_Toc14229"/>
      <w:bookmarkStart w:id="69" w:name="_Toc1182123939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六、优化创新生态体系，提升融合发展环境</w:t>
      </w:r>
      <w:bookmarkEnd w:id="68"/>
      <w:bookmarkEnd w:id="69"/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pacing w:line="560" w:lineRule="exact"/>
        <w:ind w:firstLine="640" w:firstLineChars="200"/>
        <w:textAlignment w:val="auto"/>
        <w:outlineLvl w:val="1"/>
        <w:rPr>
          <w:rFonts w:hint="default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70" w:name="_Toc18532"/>
      <w:bookmarkStart w:id="71" w:name="_Toc368680538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（十五）提升重点产业空间创新承载力</w:t>
      </w:r>
      <w:bookmarkEnd w:id="70"/>
      <w:bookmarkEnd w:id="71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11"/>
          <w:sz w:val="32"/>
          <w:szCs w:val="32"/>
          <w:lang w:val="en-US" w:eastAsia="zh-CN" w:bidi="ar-SA"/>
        </w:rPr>
      </w:pPr>
      <w:r>
        <w:rPr>
          <w:rFonts w:hint="eastAsia" w:ascii="Times New Roman" w:hAnsi="Arial" w:eastAsia="仿宋_GB2312" w:cs="Times New Roman"/>
          <w:color w:val="auto"/>
          <w:kern w:val="11"/>
          <w:sz w:val="32"/>
          <w:szCs w:val="32"/>
          <w:lang w:val="en-US" w:eastAsia="zh-CN" w:bidi="ar-SA"/>
        </w:rPr>
        <w:t>推动中关村丰台园优化“一核一带一湾一谷”产业空间布局，加快数智化绿色化转型，提升空间品质和产业承载能力。筑优丽泽金融商务区“产城融合”功能载体，做强“金融+科技”产业集群，大力发展现代金融新业态。提升南中轴地区功能品质，推动产业空间转型升级，依托南中轴国际文化科技园等载体，打造“文化+科技”新地标。推动“两园一河”地区成为京西高质量发展新引擎，焕新激活园博园，加快园博数字经济产业园、中车二七智能制造产业园等示范性产业空间建设，打造产研融合科创湾区。各街镇聚焦重点领域方向，打造一批“小而优、小而美”的特色产业园区、创业社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72" w:name="_Toc8448"/>
      <w:bookmarkStart w:id="73" w:name="_Toc1028414826"/>
      <w:bookmarkStart w:id="74" w:name="_Toc26216"/>
      <w:bookmarkStart w:id="75" w:name="_Toc17318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（十六）</w:t>
      </w:r>
      <w:bookmarkEnd w:id="72"/>
      <w:bookmarkEnd w:id="73"/>
      <w:bookmarkEnd w:id="74"/>
      <w:bookmarkEnd w:id="75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完善科技金融全链条支撑体系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着眼科技创新全链条需求，构建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多元化接力式金融服务体系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政府基金引导，加强与北京市产业投资基金和科创基金对接。聚焦重大项目落地、硬科技初创企业孵化培育等关键领域，构建区级“1+2+N”产业投资基金矩阵。支持耐心资本投早、投小、投长期、投硬科技，引导社会资本长期布局科技创新领域。推动科技专项与基金协同，助力高校院所科技成果转化项目落地。引导金融机构加大科技信贷及科技保险支持，拓展质量融资增信，丰富创新领域产品供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76" w:name="_Toc22826"/>
      <w:bookmarkStart w:id="77" w:name="_Toc647886246"/>
      <w:bookmarkStart w:id="78" w:name="_Toc11281"/>
      <w:bookmarkStart w:id="79" w:name="_Toc19344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（十七）强化多层次创新人才梯队建设</w:t>
      </w:r>
      <w:bookmarkEnd w:id="76"/>
      <w:bookmarkEnd w:id="77"/>
      <w:bookmarkEnd w:id="78"/>
      <w:bookmarkEnd w:id="7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bookmarkStart w:id="80" w:name="_Toc5350"/>
      <w:bookmarkStart w:id="81" w:name="_Toc24741"/>
      <w:bookmarkStart w:id="82" w:name="_Toc27896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教育科技人才统筹工作机制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加快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形成教育培养人才、人才驱动创新、创新引领产业的人才发展格局。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依托博士后科研工作站等平台，培养战略科学家、科技领军、卓越工程师等各类人才。强化央地、校地、区企协作，支持企业与高校共建产教联合体、技能实训基地等育人平台。升级“丰才十条”，优化“丰泽计划”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持续释放“学子回家”品牌效能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建强“国际人才港”服务主阵地。推进北京-雄安人才科创走廊先行试点区建设，深化京津冀人才协同发展。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打造北京10号线“青创村”等青年创新创业基地，厚植青年人才发展沃土。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83" w:name="_Toc1696094797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（十八）构建高质量区域创新协同</w:t>
      </w:r>
      <w:bookmarkEnd w:id="80"/>
      <w:bookmarkEnd w:id="81"/>
      <w:bookmarkEnd w:id="82"/>
      <w:bookmarkEnd w:id="83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格局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bookmarkStart w:id="84" w:name="_Toc3400"/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主动对接“三城一区”创新资源和在京高校院所，建立覆盖“成果发现—跟踪对接—落地转化”全链条的常态化协同机制，吸引一批前沿技术成果和硬科技项目落地发展。服务京津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冀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联动发展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依托主要交通廊道，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GB"/>
        </w:rPr>
        <w:t>强化与雄安新区、保定、石家庄等节点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城市协同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GB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GB" w:eastAsia="zh-CN"/>
        </w:rPr>
        <w:t>聚焦智能制造、安全应急、新能源等领域，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GB"/>
        </w:rPr>
        <w:t>促进创新链与产业链在区域间有效衔接，加速科技成果跨区域转化与应用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GB" w:eastAsia="zh-CN"/>
        </w:rPr>
        <w:t>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深化与长三角、粤港澳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、成渝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等地区协同创新和产业协作，探索共建协同创新中心、共性技术研发平台等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合作载体，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</w:rPr>
        <w:t>实现资源共享、优势互补。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</w:pPr>
      <w:bookmarkStart w:id="85" w:name="_Toc561278180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（十九）</w:t>
      </w:r>
      <w:bookmarkEnd w:id="84"/>
      <w:bookmarkEnd w:id="85"/>
      <w:r>
        <w:rPr>
          <w:rFonts w:hint="eastAsia" w:ascii="楷体_GB2312" w:hAnsi="楷体_GB2312" w:eastAsia="楷体_GB2312" w:cs="楷体_GB2312"/>
          <w:bCs/>
          <w:color w:val="auto"/>
          <w:sz w:val="32"/>
          <w:szCs w:val="32"/>
          <w:lang w:val="en-US" w:eastAsia="zh-CN"/>
        </w:rPr>
        <w:t>打造融合创新的营商环境高地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深化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丰宜服务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品牌建设，紧扣创新驱动发展主线，推动涉企服务从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“便捷”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向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赋能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跃升，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构建服务创新、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助企发展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的特色营商环境。强化产业促进中心枢纽作用，推进科技创新与产业创新融合互促，为企业提供产业落地、成长赋能的全流程服务。强化创新政策精准供给，定期开展政策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宣讲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政策资源向硬科技攻关、成果转化等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产业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高价值创新环节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集聚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深化服务集成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，更好发挥企业服务热线和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营商环境“先丰港”、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企业“服务包”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“服务管家”机制作用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，围绕企业不同发展阶段需求提供差异化服务，促进创新要素供需精准匹配。</w:t>
      </w:r>
      <w:bookmarkStart w:id="86" w:name="_Toc22927"/>
      <w:bookmarkStart w:id="87" w:name="_Toc25437"/>
      <w:bookmarkStart w:id="88" w:name="_Toc3164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bookmarkStart w:id="89" w:name="_Toc412186329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bookmarkEnd w:id="86"/>
      <w:bookmarkEnd w:id="87"/>
      <w:bookmarkEnd w:id="88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组织实施</w:t>
      </w:r>
      <w:bookmarkEnd w:id="8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 w:bidi="ar"/>
        </w:rPr>
        <w:t>强化区级统筹与部门协同，将规划目标、任务、项目纳入各责任单位年度重点任务，实行清单化管理与全周期跟踪，统筹基金、产业、空间、人才等资源，强化资源协同配置，确保规划各项任务有序推进</w:t>
      </w:r>
      <w:r>
        <w:rPr>
          <w:rFonts w:hint="eastAsia" w:ascii="Times New Roman" w:hAnsi="Times New Roman" w:cs="Times New Roman"/>
          <w:color w:val="auto"/>
          <w:sz w:val="32"/>
          <w:szCs w:val="32"/>
          <w:lang w:eastAsia="zh-CN" w:bidi="ar"/>
        </w:rPr>
        <w:t>。</w:t>
      </w:r>
    </w:p>
    <w:p>
      <w:pPr>
        <w:bidi w:val="0"/>
        <w:rPr>
          <w:rFonts w:hint="eastAsia" w:ascii="Times New Roman" w:hAnsi="Times New Roman" w:eastAsia="仿宋_GB2312" w:cstheme="minorBidi"/>
          <w:kern w:val="2"/>
          <w:sz w:val="32"/>
          <w:szCs w:val="21"/>
          <w:lang w:val="en-US" w:eastAsia="zh-CN" w:bidi="ar-SA"/>
        </w:rPr>
      </w:pPr>
    </w:p>
    <w:p>
      <w:pPr>
        <w:tabs>
          <w:tab w:val="left" w:pos="8318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90" w:name="_GoBack"/>
      <w:bookmarkEnd w:id="90"/>
    </w:p>
    <w:sectPr>
      <w:footerReference r:id="rId8" w:type="default"/>
      <w:pgSz w:w="11906" w:h="16838"/>
      <w:pgMar w:top="2098" w:right="1417" w:bottom="1984" w:left="1417" w:header="794" w:footer="794" w:gutter="0"/>
      <w:pgNumType w:start="1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604030504040204"/>
    <w:charset w:val="86"/>
    <w:family w:val="auto"/>
    <w:pitch w:val="default"/>
    <w:sig w:usb0="F7FFAEFF" w:usb1="F9DFFFFF" w:usb2="001FFDF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after="0"/>
      <w:jc w:val="right"/>
      <w:rPr>
        <w:rFonts w:hint="eastAsia" w:ascii="Calibri" w:hAnsi="Calibri" w:eastAsia="宋体" w:cs="Calibri"/>
        <w:kern w:val="2"/>
        <w:sz w:val="18"/>
        <w:szCs w:val="24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240" w:lineRule="auto"/>
      <w:ind w:firstLine="0" w:firstLineChars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240" w:lineRule="auto"/>
                            <w:ind w:firstLine="0" w:firstLineChars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9qwsYhwCAAAn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240" w:lineRule="auto"/>
                      <w:ind w:firstLine="0" w:firstLineChars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j/2E3xwCAAAn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BNW6GwaAgAAJw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66B16"/>
    <w:multiLevelType w:val="multilevel"/>
    <w:tmpl w:val="14066B16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default" w:ascii="Times New Roman" w:hAnsi="Times New Roman" w:eastAsia="黑体"/>
        <w:sz w:val="32"/>
      </w:rPr>
    </w:lvl>
    <w:lvl w:ilvl="1" w:tentative="0">
      <w:start w:val="1"/>
      <w:numFmt w:val="chineseCountingThousand"/>
      <w:pStyle w:val="4"/>
      <w:suff w:val="nothing"/>
      <w:lvlText w:val="（%2）"/>
      <w:lvlJc w:val="left"/>
      <w:pPr>
        <w:ind w:left="0" w:firstLine="0"/>
      </w:pPr>
      <w:rPr>
        <w:rFonts w:hint="eastAsia" w:ascii="Times New Roman" w:hAnsi="Times New Roman" w:eastAsia="楷体_GB2312"/>
        <w:b w:val="0"/>
        <w:bCs/>
        <w:i w:val="0"/>
        <w:sz w:val="32"/>
      </w:rPr>
    </w:lvl>
    <w:lvl w:ilvl="2" w:tentative="0">
      <w:start w:val="1"/>
      <w:numFmt w:val="decimal"/>
      <w:pStyle w:val="5"/>
      <w:suff w:val="nothing"/>
      <w:lvlText w:val="%3. 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3" w:tentative="0">
      <w:start w:val="1"/>
      <w:numFmt w:val="decimal"/>
      <w:pStyle w:val="6"/>
      <w:isLgl/>
      <w:suff w:val="nothing"/>
      <w:lvlText w:val="（%4）"/>
      <w:lvlJc w:val="left"/>
      <w:pPr>
        <w:ind w:left="0" w:firstLine="0"/>
      </w:pPr>
      <w:rPr>
        <w:rFonts w:hint="default" w:ascii="Times New Roman" w:hAnsi="Times New Roman" w:eastAsia="仿宋_GB2312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false"/>
  <w:bordersDoNotSurroundFooter w:val="false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60"/>
  <w:drawingGridVerticalSpacing w:val="22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DD"/>
    <w:rsid w:val="000063F5"/>
    <w:rsid w:val="00006C95"/>
    <w:rsid w:val="00012E33"/>
    <w:rsid w:val="00013ABE"/>
    <w:rsid w:val="00013C01"/>
    <w:rsid w:val="000159D7"/>
    <w:rsid w:val="00021F3F"/>
    <w:rsid w:val="00022675"/>
    <w:rsid w:val="00026B6F"/>
    <w:rsid w:val="000272E6"/>
    <w:rsid w:val="00031EFD"/>
    <w:rsid w:val="000328F8"/>
    <w:rsid w:val="0004045E"/>
    <w:rsid w:val="0005097C"/>
    <w:rsid w:val="000600E5"/>
    <w:rsid w:val="0007231A"/>
    <w:rsid w:val="00074489"/>
    <w:rsid w:val="000918D6"/>
    <w:rsid w:val="00096823"/>
    <w:rsid w:val="000A2F24"/>
    <w:rsid w:val="000A7802"/>
    <w:rsid w:val="000B59BC"/>
    <w:rsid w:val="000C2D15"/>
    <w:rsid w:val="000C3DC5"/>
    <w:rsid w:val="000C767F"/>
    <w:rsid w:val="000D5435"/>
    <w:rsid w:val="000E2708"/>
    <w:rsid w:val="000E2C4F"/>
    <w:rsid w:val="000E78BC"/>
    <w:rsid w:val="000E78C0"/>
    <w:rsid w:val="000F61ED"/>
    <w:rsid w:val="00103A98"/>
    <w:rsid w:val="0012112F"/>
    <w:rsid w:val="00126F88"/>
    <w:rsid w:val="00127EDA"/>
    <w:rsid w:val="00140F0C"/>
    <w:rsid w:val="0015258A"/>
    <w:rsid w:val="00155CA4"/>
    <w:rsid w:val="00157E4E"/>
    <w:rsid w:val="00172AA4"/>
    <w:rsid w:val="001755ED"/>
    <w:rsid w:val="00194E84"/>
    <w:rsid w:val="001A2908"/>
    <w:rsid w:val="001A4931"/>
    <w:rsid w:val="001A4ED5"/>
    <w:rsid w:val="001B3A48"/>
    <w:rsid w:val="001B797F"/>
    <w:rsid w:val="001C1A11"/>
    <w:rsid w:val="001C57BD"/>
    <w:rsid w:val="001D74D8"/>
    <w:rsid w:val="001E58F4"/>
    <w:rsid w:val="001F091E"/>
    <w:rsid w:val="001F631F"/>
    <w:rsid w:val="001F7B16"/>
    <w:rsid w:val="001F7CF2"/>
    <w:rsid w:val="00200D0B"/>
    <w:rsid w:val="002035B7"/>
    <w:rsid w:val="00203C2E"/>
    <w:rsid w:val="002118A6"/>
    <w:rsid w:val="00215D66"/>
    <w:rsid w:val="002323CC"/>
    <w:rsid w:val="0023432D"/>
    <w:rsid w:val="0023489F"/>
    <w:rsid w:val="00235FF2"/>
    <w:rsid w:val="00236E2A"/>
    <w:rsid w:val="00237682"/>
    <w:rsid w:val="00243C99"/>
    <w:rsid w:val="002504C2"/>
    <w:rsid w:val="00255AA8"/>
    <w:rsid w:val="00262B9B"/>
    <w:rsid w:val="002646D5"/>
    <w:rsid w:val="002864FD"/>
    <w:rsid w:val="002903E4"/>
    <w:rsid w:val="002974A6"/>
    <w:rsid w:val="002A2142"/>
    <w:rsid w:val="002A2AE8"/>
    <w:rsid w:val="002A7431"/>
    <w:rsid w:val="002B54FE"/>
    <w:rsid w:val="002B7480"/>
    <w:rsid w:val="002C04A5"/>
    <w:rsid w:val="002C0B83"/>
    <w:rsid w:val="002C1F2C"/>
    <w:rsid w:val="002C2D55"/>
    <w:rsid w:val="002C563E"/>
    <w:rsid w:val="002C61C0"/>
    <w:rsid w:val="002D7D53"/>
    <w:rsid w:val="002F4F45"/>
    <w:rsid w:val="002F73EF"/>
    <w:rsid w:val="00314626"/>
    <w:rsid w:val="00314B31"/>
    <w:rsid w:val="0032384C"/>
    <w:rsid w:val="00331B22"/>
    <w:rsid w:val="00336F1C"/>
    <w:rsid w:val="00345F17"/>
    <w:rsid w:val="00353A92"/>
    <w:rsid w:val="00372F73"/>
    <w:rsid w:val="00374E41"/>
    <w:rsid w:val="0037586A"/>
    <w:rsid w:val="00377AF7"/>
    <w:rsid w:val="00380E2A"/>
    <w:rsid w:val="00380FDA"/>
    <w:rsid w:val="00381F59"/>
    <w:rsid w:val="00386294"/>
    <w:rsid w:val="003924DA"/>
    <w:rsid w:val="00393A82"/>
    <w:rsid w:val="00396E92"/>
    <w:rsid w:val="003A07F7"/>
    <w:rsid w:val="003A570F"/>
    <w:rsid w:val="003A5B8C"/>
    <w:rsid w:val="003A62F3"/>
    <w:rsid w:val="003C67B6"/>
    <w:rsid w:val="003F193F"/>
    <w:rsid w:val="00401ECA"/>
    <w:rsid w:val="00411FC4"/>
    <w:rsid w:val="00421903"/>
    <w:rsid w:val="004225EE"/>
    <w:rsid w:val="004228E0"/>
    <w:rsid w:val="004233E9"/>
    <w:rsid w:val="00424D71"/>
    <w:rsid w:val="00430769"/>
    <w:rsid w:val="00434491"/>
    <w:rsid w:val="0043688A"/>
    <w:rsid w:val="00436A77"/>
    <w:rsid w:val="00437B65"/>
    <w:rsid w:val="0044685F"/>
    <w:rsid w:val="00447D21"/>
    <w:rsid w:val="00460CFE"/>
    <w:rsid w:val="004676EE"/>
    <w:rsid w:val="00474F82"/>
    <w:rsid w:val="0047615F"/>
    <w:rsid w:val="00482E67"/>
    <w:rsid w:val="0049457D"/>
    <w:rsid w:val="00496CAA"/>
    <w:rsid w:val="004A1693"/>
    <w:rsid w:val="004A5735"/>
    <w:rsid w:val="004B1A54"/>
    <w:rsid w:val="004B67CA"/>
    <w:rsid w:val="004C09C5"/>
    <w:rsid w:val="004C1D22"/>
    <w:rsid w:val="004C23D2"/>
    <w:rsid w:val="004C3E6B"/>
    <w:rsid w:val="004D2DD0"/>
    <w:rsid w:val="004E6965"/>
    <w:rsid w:val="004E7607"/>
    <w:rsid w:val="00501171"/>
    <w:rsid w:val="005059AA"/>
    <w:rsid w:val="00516F81"/>
    <w:rsid w:val="005270BC"/>
    <w:rsid w:val="00546376"/>
    <w:rsid w:val="00556E95"/>
    <w:rsid w:val="005570B4"/>
    <w:rsid w:val="00557BCB"/>
    <w:rsid w:val="00563BFB"/>
    <w:rsid w:val="00571281"/>
    <w:rsid w:val="00571EF0"/>
    <w:rsid w:val="005737AC"/>
    <w:rsid w:val="0057651B"/>
    <w:rsid w:val="00594070"/>
    <w:rsid w:val="00595281"/>
    <w:rsid w:val="00595485"/>
    <w:rsid w:val="005A4827"/>
    <w:rsid w:val="005A7BC4"/>
    <w:rsid w:val="005B0E49"/>
    <w:rsid w:val="005B1A98"/>
    <w:rsid w:val="005B23E3"/>
    <w:rsid w:val="005B4654"/>
    <w:rsid w:val="005B5D55"/>
    <w:rsid w:val="005B68CC"/>
    <w:rsid w:val="005D0DA2"/>
    <w:rsid w:val="005D79E0"/>
    <w:rsid w:val="005E3F14"/>
    <w:rsid w:val="005E7676"/>
    <w:rsid w:val="005F0A3E"/>
    <w:rsid w:val="006010B3"/>
    <w:rsid w:val="00602DC5"/>
    <w:rsid w:val="006172BF"/>
    <w:rsid w:val="00621A46"/>
    <w:rsid w:val="00642432"/>
    <w:rsid w:val="00644488"/>
    <w:rsid w:val="0065408F"/>
    <w:rsid w:val="00661D4B"/>
    <w:rsid w:val="00662297"/>
    <w:rsid w:val="00665A95"/>
    <w:rsid w:val="00666CB1"/>
    <w:rsid w:val="00671757"/>
    <w:rsid w:val="006737B1"/>
    <w:rsid w:val="0068091B"/>
    <w:rsid w:val="006829E5"/>
    <w:rsid w:val="0068605B"/>
    <w:rsid w:val="00686FF1"/>
    <w:rsid w:val="00695084"/>
    <w:rsid w:val="006966AF"/>
    <w:rsid w:val="00696BF1"/>
    <w:rsid w:val="006A1771"/>
    <w:rsid w:val="006A6C3C"/>
    <w:rsid w:val="006C1513"/>
    <w:rsid w:val="006C3AAA"/>
    <w:rsid w:val="006C70DF"/>
    <w:rsid w:val="006D4C1C"/>
    <w:rsid w:val="006D65DD"/>
    <w:rsid w:val="006D6B40"/>
    <w:rsid w:val="006D75D2"/>
    <w:rsid w:val="006E45D1"/>
    <w:rsid w:val="006E6A68"/>
    <w:rsid w:val="006E7C1B"/>
    <w:rsid w:val="006F2835"/>
    <w:rsid w:val="006F460F"/>
    <w:rsid w:val="006F7DD4"/>
    <w:rsid w:val="00702442"/>
    <w:rsid w:val="007101BE"/>
    <w:rsid w:val="0071301F"/>
    <w:rsid w:val="00716E91"/>
    <w:rsid w:val="007216AF"/>
    <w:rsid w:val="0072581E"/>
    <w:rsid w:val="007314B0"/>
    <w:rsid w:val="007323F4"/>
    <w:rsid w:val="007401D4"/>
    <w:rsid w:val="00745093"/>
    <w:rsid w:val="0074647F"/>
    <w:rsid w:val="00751157"/>
    <w:rsid w:val="007512E8"/>
    <w:rsid w:val="007552FB"/>
    <w:rsid w:val="00757346"/>
    <w:rsid w:val="0076030C"/>
    <w:rsid w:val="00764F7C"/>
    <w:rsid w:val="00765F04"/>
    <w:rsid w:val="00766C6D"/>
    <w:rsid w:val="00773201"/>
    <w:rsid w:val="007746B9"/>
    <w:rsid w:val="00777AC5"/>
    <w:rsid w:val="00782E9A"/>
    <w:rsid w:val="00784DA4"/>
    <w:rsid w:val="007916BF"/>
    <w:rsid w:val="00793CFB"/>
    <w:rsid w:val="00795B19"/>
    <w:rsid w:val="00796D5B"/>
    <w:rsid w:val="007974F7"/>
    <w:rsid w:val="0079779D"/>
    <w:rsid w:val="00797A34"/>
    <w:rsid w:val="007A4CE2"/>
    <w:rsid w:val="007B41BA"/>
    <w:rsid w:val="007D1087"/>
    <w:rsid w:val="007D75CE"/>
    <w:rsid w:val="007E0128"/>
    <w:rsid w:val="007E75D1"/>
    <w:rsid w:val="007F169C"/>
    <w:rsid w:val="007F1F30"/>
    <w:rsid w:val="007F55D1"/>
    <w:rsid w:val="00807E4B"/>
    <w:rsid w:val="00811A96"/>
    <w:rsid w:val="00821FD8"/>
    <w:rsid w:val="00823A23"/>
    <w:rsid w:val="00827644"/>
    <w:rsid w:val="00827D2F"/>
    <w:rsid w:val="00830989"/>
    <w:rsid w:val="00831194"/>
    <w:rsid w:val="008337B1"/>
    <w:rsid w:val="00854442"/>
    <w:rsid w:val="00854974"/>
    <w:rsid w:val="008604D1"/>
    <w:rsid w:val="00861910"/>
    <w:rsid w:val="00861D99"/>
    <w:rsid w:val="00886231"/>
    <w:rsid w:val="00886641"/>
    <w:rsid w:val="008B4404"/>
    <w:rsid w:val="008C0F9E"/>
    <w:rsid w:val="008C3D74"/>
    <w:rsid w:val="008C4545"/>
    <w:rsid w:val="008D4E4E"/>
    <w:rsid w:val="008D65D6"/>
    <w:rsid w:val="008E1122"/>
    <w:rsid w:val="008E2E64"/>
    <w:rsid w:val="008E580C"/>
    <w:rsid w:val="008F3B29"/>
    <w:rsid w:val="008F574C"/>
    <w:rsid w:val="00906998"/>
    <w:rsid w:val="00907ED8"/>
    <w:rsid w:val="00913281"/>
    <w:rsid w:val="00923AD7"/>
    <w:rsid w:val="0093170E"/>
    <w:rsid w:val="00933E8C"/>
    <w:rsid w:val="009413C5"/>
    <w:rsid w:val="00943ECF"/>
    <w:rsid w:val="009464B8"/>
    <w:rsid w:val="00967275"/>
    <w:rsid w:val="00967B79"/>
    <w:rsid w:val="0097645E"/>
    <w:rsid w:val="009909C9"/>
    <w:rsid w:val="00993996"/>
    <w:rsid w:val="00993CEA"/>
    <w:rsid w:val="00996051"/>
    <w:rsid w:val="009A2C0F"/>
    <w:rsid w:val="009A4B3F"/>
    <w:rsid w:val="009A76FE"/>
    <w:rsid w:val="009A7BAC"/>
    <w:rsid w:val="009B10B9"/>
    <w:rsid w:val="009C0B2F"/>
    <w:rsid w:val="009C42E1"/>
    <w:rsid w:val="009C7410"/>
    <w:rsid w:val="009D6A0F"/>
    <w:rsid w:val="009E69B5"/>
    <w:rsid w:val="009E7F6F"/>
    <w:rsid w:val="00A00AA1"/>
    <w:rsid w:val="00A021D3"/>
    <w:rsid w:val="00A22A05"/>
    <w:rsid w:val="00A26C4F"/>
    <w:rsid w:val="00A339D8"/>
    <w:rsid w:val="00A34140"/>
    <w:rsid w:val="00A35AD7"/>
    <w:rsid w:val="00A54432"/>
    <w:rsid w:val="00A65349"/>
    <w:rsid w:val="00A74935"/>
    <w:rsid w:val="00A813D9"/>
    <w:rsid w:val="00A82F25"/>
    <w:rsid w:val="00A97020"/>
    <w:rsid w:val="00A97604"/>
    <w:rsid w:val="00AA18CB"/>
    <w:rsid w:val="00AA4342"/>
    <w:rsid w:val="00AB2EEC"/>
    <w:rsid w:val="00AC620C"/>
    <w:rsid w:val="00AC67BB"/>
    <w:rsid w:val="00AD3A1A"/>
    <w:rsid w:val="00AD3DFC"/>
    <w:rsid w:val="00AD4C86"/>
    <w:rsid w:val="00AD5290"/>
    <w:rsid w:val="00AD6430"/>
    <w:rsid w:val="00AE0A1E"/>
    <w:rsid w:val="00AF07EF"/>
    <w:rsid w:val="00AF1205"/>
    <w:rsid w:val="00AF6EEE"/>
    <w:rsid w:val="00B03291"/>
    <w:rsid w:val="00B07454"/>
    <w:rsid w:val="00B30668"/>
    <w:rsid w:val="00B428A2"/>
    <w:rsid w:val="00B442EB"/>
    <w:rsid w:val="00B44E93"/>
    <w:rsid w:val="00B47D85"/>
    <w:rsid w:val="00B660FE"/>
    <w:rsid w:val="00B673B3"/>
    <w:rsid w:val="00B72D80"/>
    <w:rsid w:val="00B72E80"/>
    <w:rsid w:val="00B74B78"/>
    <w:rsid w:val="00B857C1"/>
    <w:rsid w:val="00B86C8F"/>
    <w:rsid w:val="00B93511"/>
    <w:rsid w:val="00B96554"/>
    <w:rsid w:val="00BA0373"/>
    <w:rsid w:val="00BA0421"/>
    <w:rsid w:val="00BA0946"/>
    <w:rsid w:val="00BA3690"/>
    <w:rsid w:val="00BA3FD1"/>
    <w:rsid w:val="00BA5150"/>
    <w:rsid w:val="00BB5850"/>
    <w:rsid w:val="00BB6141"/>
    <w:rsid w:val="00BC01E0"/>
    <w:rsid w:val="00BC4B2E"/>
    <w:rsid w:val="00BD5382"/>
    <w:rsid w:val="00BE177B"/>
    <w:rsid w:val="00BE6873"/>
    <w:rsid w:val="00BF5E78"/>
    <w:rsid w:val="00BF686D"/>
    <w:rsid w:val="00C0306B"/>
    <w:rsid w:val="00C0643F"/>
    <w:rsid w:val="00C071A6"/>
    <w:rsid w:val="00C16A70"/>
    <w:rsid w:val="00C172D2"/>
    <w:rsid w:val="00C17A94"/>
    <w:rsid w:val="00C25CB6"/>
    <w:rsid w:val="00C2651F"/>
    <w:rsid w:val="00C26A7B"/>
    <w:rsid w:val="00C36D81"/>
    <w:rsid w:val="00C44DFC"/>
    <w:rsid w:val="00C46A65"/>
    <w:rsid w:val="00C51CFF"/>
    <w:rsid w:val="00C520A1"/>
    <w:rsid w:val="00C5250E"/>
    <w:rsid w:val="00C57AC9"/>
    <w:rsid w:val="00C65B59"/>
    <w:rsid w:val="00C65F21"/>
    <w:rsid w:val="00C664ED"/>
    <w:rsid w:val="00C77F09"/>
    <w:rsid w:val="00C80A93"/>
    <w:rsid w:val="00C84B3E"/>
    <w:rsid w:val="00C90F5A"/>
    <w:rsid w:val="00C92EF8"/>
    <w:rsid w:val="00CA58AC"/>
    <w:rsid w:val="00CB1E42"/>
    <w:rsid w:val="00CB4EFF"/>
    <w:rsid w:val="00CC475A"/>
    <w:rsid w:val="00CC75EC"/>
    <w:rsid w:val="00CD2624"/>
    <w:rsid w:val="00CD2726"/>
    <w:rsid w:val="00CD2E3B"/>
    <w:rsid w:val="00CE1CB0"/>
    <w:rsid w:val="00CE5313"/>
    <w:rsid w:val="00CE6615"/>
    <w:rsid w:val="00CE76CF"/>
    <w:rsid w:val="00CF1ED5"/>
    <w:rsid w:val="00CF716F"/>
    <w:rsid w:val="00CF74BA"/>
    <w:rsid w:val="00D010CD"/>
    <w:rsid w:val="00D01196"/>
    <w:rsid w:val="00D10DE3"/>
    <w:rsid w:val="00D16ABE"/>
    <w:rsid w:val="00D20E76"/>
    <w:rsid w:val="00D340CB"/>
    <w:rsid w:val="00D3644D"/>
    <w:rsid w:val="00D3703A"/>
    <w:rsid w:val="00D42DDE"/>
    <w:rsid w:val="00D51026"/>
    <w:rsid w:val="00D51CAB"/>
    <w:rsid w:val="00D634B5"/>
    <w:rsid w:val="00D66FB2"/>
    <w:rsid w:val="00D8719E"/>
    <w:rsid w:val="00DA01FC"/>
    <w:rsid w:val="00DA3DCC"/>
    <w:rsid w:val="00DB1627"/>
    <w:rsid w:val="00DB1DE7"/>
    <w:rsid w:val="00DB481D"/>
    <w:rsid w:val="00DB5379"/>
    <w:rsid w:val="00DC22DA"/>
    <w:rsid w:val="00DC2FF7"/>
    <w:rsid w:val="00DD7037"/>
    <w:rsid w:val="00DE0F95"/>
    <w:rsid w:val="00DE2AC6"/>
    <w:rsid w:val="00DE63DB"/>
    <w:rsid w:val="00DF2112"/>
    <w:rsid w:val="00E04E62"/>
    <w:rsid w:val="00E161AF"/>
    <w:rsid w:val="00E16673"/>
    <w:rsid w:val="00E2296F"/>
    <w:rsid w:val="00E232CE"/>
    <w:rsid w:val="00E23B8D"/>
    <w:rsid w:val="00E268F9"/>
    <w:rsid w:val="00E27643"/>
    <w:rsid w:val="00E35583"/>
    <w:rsid w:val="00E41D40"/>
    <w:rsid w:val="00E53291"/>
    <w:rsid w:val="00E60755"/>
    <w:rsid w:val="00E6348C"/>
    <w:rsid w:val="00E640E9"/>
    <w:rsid w:val="00E65961"/>
    <w:rsid w:val="00E75AD6"/>
    <w:rsid w:val="00E816A6"/>
    <w:rsid w:val="00E835E6"/>
    <w:rsid w:val="00E83780"/>
    <w:rsid w:val="00E87A3A"/>
    <w:rsid w:val="00E92F94"/>
    <w:rsid w:val="00E93BED"/>
    <w:rsid w:val="00E9416C"/>
    <w:rsid w:val="00E94D98"/>
    <w:rsid w:val="00E96A15"/>
    <w:rsid w:val="00EA4FD5"/>
    <w:rsid w:val="00EB0B58"/>
    <w:rsid w:val="00EC0A82"/>
    <w:rsid w:val="00EE1F29"/>
    <w:rsid w:val="00EE5BAD"/>
    <w:rsid w:val="00F028B4"/>
    <w:rsid w:val="00F035B8"/>
    <w:rsid w:val="00F03607"/>
    <w:rsid w:val="00F04921"/>
    <w:rsid w:val="00F16E1A"/>
    <w:rsid w:val="00F2435D"/>
    <w:rsid w:val="00F311DB"/>
    <w:rsid w:val="00F34706"/>
    <w:rsid w:val="00F37768"/>
    <w:rsid w:val="00F37BF7"/>
    <w:rsid w:val="00F41A27"/>
    <w:rsid w:val="00F631F7"/>
    <w:rsid w:val="00F6575F"/>
    <w:rsid w:val="00F6590D"/>
    <w:rsid w:val="00F66914"/>
    <w:rsid w:val="00F704A8"/>
    <w:rsid w:val="00F72FDC"/>
    <w:rsid w:val="00F9501A"/>
    <w:rsid w:val="00FA04A7"/>
    <w:rsid w:val="00FA1582"/>
    <w:rsid w:val="00FA5009"/>
    <w:rsid w:val="00FA6B32"/>
    <w:rsid w:val="00FB10BF"/>
    <w:rsid w:val="00FB6163"/>
    <w:rsid w:val="00FC140F"/>
    <w:rsid w:val="00FC347B"/>
    <w:rsid w:val="00FD1F94"/>
    <w:rsid w:val="00FE44BF"/>
    <w:rsid w:val="00FF485E"/>
    <w:rsid w:val="06F4757A"/>
    <w:rsid w:val="0A233B07"/>
    <w:rsid w:val="0C277EFD"/>
    <w:rsid w:val="0D315BD9"/>
    <w:rsid w:val="0DBF2821"/>
    <w:rsid w:val="0F2E23BA"/>
    <w:rsid w:val="14117379"/>
    <w:rsid w:val="16EEB61A"/>
    <w:rsid w:val="19671878"/>
    <w:rsid w:val="22636BF9"/>
    <w:rsid w:val="285223EF"/>
    <w:rsid w:val="2FBF3559"/>
    <w:rsid w:val="3A9E14C4"/>
    <w:rsid w:val="3BFA085F"/>
    <w:rsid w:val="3DA923CA"/>
    <w:rsid w:val="3EEB9503"/>
    <w:rsid w:val="3FBD8C39"/>
    <w:rsid w:val="44AF3F11"/>
    <w:rsid w:val="48687B93"/>
    <w:rsid w:val="528F20AE"/>
    <w:rsid w:val="5A7DAD17"/>
    <w:rsid w:val="5BF10ACC"/>
    <w:rsid w:val="5BFFA677"/>
    <w:rsid w:val="5EF05A47"/>
    <w:rsid w:val="5FFD7BB0"/>
    <w:rsid w:val="67BF2C74"/>
    <w:rsid w:val="6C5845F5"/>
    <w:rsid w:val="6E8F6156"/>
    <w:rsid w:val="6F102107"/>
    <w:rsid w:val="70115A26"/>
    <w:rsid w:val="7193135A"/>
    <w:rsid w:val="72BC2329"/>
    <w:rsid w:val="767FC294"/>
    <w:rsid w:val="7BBD227C"/>
    <w:rsid w:val="7CAF571D"/>
    <w:rsid w:val="7EDF2ED2"/>
    <w:rsid w:val="7F3A98EB"/>
    <w:rsid w:val="7FFA2AFE"/>
    <w:rsid w:val="AF9752E8"/>
    <w:rsid w:val="CEED6DEC"/>
    <w:rsid w:val="DFED4C5A"/>
    <w:rsid w:val="F1BD6943"/>
    <w:rsid w:val="F77E2D5E"/>
    <w:rsid w:val="F7FC9163"/>
    <w:rsid w:val="FEFF6C33"/>
    <w:rsid w:val="FFF7FDA6"/>
    <w:rsid w:val="FFFB52C7"/>
    <w:rsid w:val="FFFFA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3"/>
    <w:unhideWhenUsed/>
    <w:qFormat/>
    <w:uiPriority w:val="9"/>
    <w:pPr>
      <w:keepNext/>
      <w:keepLines/>
      <w:numPr>
        <w:ilvl w:val="1"/>
        <w:numId w:val="1"/>
      </w:numPr>
      <w:ind w:firstLine="150" w:firstLineChars="150"/>
      <w:outlineLvl w:val="1"/>
    </w:pPr>
    <w:rPr>
      <w:rFonts w:eastAsia="楷体_GB2312" w:cstheme="majorBidi"/>
      <w:bCs/>
      <w:szCs w:val="32"/>
    </w:rPr>
  </w:style>
  <w:style w:type="paragraph" w:styleId="5">
    <w:name w:val="heading 3"/>
    <w:basedOn w:val="1"/>
    <w:next w:val="1"/>
    <w:link w:val="24"/>
    <w:unhideWhenUsed/>
    <w:qFormat/>
    <w:uiPriority w:val="9"/>
    <w:pPr>
      <w:keepNext/>
      <w:keepLines/>
      <w:numPr>
        <w:ilvl w:val="2"/>
        <w:numId w:val="1"/>
      </w:numPr>
      <w:ind w:firstLine="200"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numPr>
        <w:ilvl w:val="3"/>
        <w:numId w:val="1"/>
      </w:numPr>
      <w:ind w:firstLine="150" w:firstLineChars="150"/>
      <w:outlineLvl w:val="3"/>
    </w:pPr>
    <w:rPr>
      <w:rFonts w:cstheme="majorBidi"/>
      <w:b/>
      <w:bCs/>
      <w:szCs w:val="28"/>
    </w:rPr>
  </w:style>
  <w:style w:type="paragraph" w:styleId="7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spacing w:line="240" w:lineRule="auto"/>
      <w:ind w:firstLine="400" w:firstLineChars="400"/>
      <w:jc w:val="left"/>
    </w:pPr>
    <w:rPr>
      <w:rFonts w:eastAsia="楷体_GB2312"/>
      <w:iCs/>
      <w:sz w:val="24"/>
      <w:szCs w:val="20"/>
    </w:rPr>
  </w:style>
  <w:style w:type="paragraph" w:styleId="8">
    <w:name w:val="footer"/>
    <w:basedOn w:val="1"/>
    <w:link w:val="20"/>
    <w:unhideWhenUsed/>
    <w:qFormat/>
    <w:uiPriority w:val="99"/>
    <w:pPr>
      <w:snapToGrid w:val="0"/>
      <w:ind w:firstLine="0" w:firstLineChars="0"/>
      <w:jc w:val="center"/>
    </w:pPr>
    <w:rPr>
      <w:sz w:val="24"/>
      <w:szCs w:val="18"/>
    </w:rPr>
  </w:style>
  <w:style w:type="paragraph" w:styleId="9">
    <w:name w:val="header"/>
    <w:basedOn w:val="1"/>
    <w:link w:val="19"/>
    <w:unhideWhenUsed/>
    <w:qFormat/>
    <w:uiPriority w:val="99"/>
    <w:pPr>
      <w:snapToGrid w:val="0"/>
      <w:ind w:firstLine="0" w:firstLineChars="0"/>
      <w:jc w:val="center"/>
    </w:pPr>
    <w:rPr>
      <w:b/>
      <w:szCs w:val="18"/>
    </w:rPr>
  </w:style>
  <w:style w:type="paragraph" w:styleId="10">
    <w:name w:val="toc 1"/>
    <w:basedOn w:val="1"/>
    <w:next w:val="1"/>
    <w:unhideWhenUsed/>
    <w:qFormat/>
    <w:uiPriority w:val="39"/>
    <w:pPr>
      <w:tabs>
        <w:tab w:val="right" w:leader="dot" w:pos="8494"/>
      </w:tabs>
      <w:spacing w:line="240" w:lineRule="auto"/>
      <w:ind w:firstLine="0" w:firstLineChars="0"/>
      <w:jc w:val="left"/>
    </w:pPr>
    <w:rPr>
      <w:rFonts w:eastAsia="黑体"/>
      <w:bCs/>
      <w:caps/>
      <w:sz w:val="28"/>
      <w:szCs w:val="20"/>
    </w:rPr>
  </w:style>
  <w:style w:type="paragraph" w:styleId="11">
    <w:name w:val="toc 4"/>
    <w:basedOn w:val="1"/>
    <w:next w:val="1"/>
    <w:unhideWhenUsed/>
    <w:qFormat/>
    <w:uiPriority w:val="39"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12">
    <w:name w:val="Subtitle"/>
    <w:basedOn w:val="1"/>
    <w:next w:val="1"/>
    <w:link w:val="26"/>
    <w:qFormat/>
    <w:uiPriority w:val="11"/>
    <w:pPr>
      <w:ind w:firstLine="0" w:firstLineChars="0"/>
      <w:jc w:val="center"/>
      <w:outlineLvl w:val="1"/>
    </w:pPr>
    <w:rPr>
      <w:rFonts w:eastAsia="楷体"/>
      <w:bCs/>
      <w:kern w:val="28"/>
      <w:sz w:val="30"/>
      <w:szCs w:val="32"/>
    </w:rPr>
  </w:style>
  <w:style w:type="paragraph" w:styleId="13">
    <w:name w:val="toc 2"/>
    <w:basedOn w:val="1"/>
    <w:next w:val="1"/>
    <w:unhideWhenUsed/>
    <w:qFormat/>
    <w:uiPriority w:val="39"/>
    <w:pPr>
      <w:spacing w:line="240" w:lineRule="auto"/>
      <w:jc w:val="left"/>
    </w:pPr>
    <w:rPr>
      <w:rFonts w:eastAsia="宋体"/>
      <w:smallCaps/>
      <w:sz w:val="24"/>
      <w:szCs w:val="20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1"/>
    <w:qFormat/>
    <w:uiPriority w:val="10"/>
    <w:pPr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字符"/>
    <w:basedOn w:val="18"/>
    <w:link w:val="9"/>
    <w:qFormat/>
    <w:uiPriority w:val="99"/>
    <w:rPr>
      <w:rFonts w:ascii="Times New Roman" w:hAnsi="Times New Roman" w:eastAsia="仿宋_GB2312"/>
      <w:b/>
      <w:szCs w:val="18"/>
    </w:rPr>
  </w:style>
  <w:style w:type="character" w:customStyle="1" w:styleId="20">
    <w:name w:val="页脚 字符"/>
    <w:basedOn w:val="18"/>
    <w:link w:val="8"/>
    <w:qFormat/>
    <w:uiPriority w:val="99"/>
    <w:rPr>
      <w:rFonts w:ascii="Times New Roman" w:hAnsi="Times New Roman" w:eastAsia="仿宋_GB2312"/>
      <w:sz w:val="24"/>
      <w:szCs w:val="18"/>
    </w:rPr>
  </w:style>
  <w:style w:type="character" w:customStyle="1" w:styleId="21">
    <w:name w:val="标题 字符"/>
    <w:basedOn w:val="18"/>
    <w:link w:val="1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2">
    <w:name w:val="标题 1 字符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3">
    <w:name w:val="标题 2 字符"/>
    <w:basedOn w:val="18"/>
    <w:link w:val="4"/>
    <w:qFormat/>
    <w:uiPriority w:val="9"/>
    <w:rPr>
      <w:rFonts w:ascii="Times New Roman" w:hAnsi="Times New Roman" w:eastAsia="楷体_GB2312" w:cstheme="majorBidi"/>
      <w:bCs/>
      <w:sz w:val="32"/>
      <w:szCs w:val="32"/>
    </w:rPr>
  </w:style>
  <w:style w:type="character" w:customStyle="1" w:styleId="24">
    <w:name w:val="标题 3 字符"/>
    <w:basedOn w:val="18"/>
    <w:link w:val="5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5">
    <w:name w:val="标题 4 字符"/>
    <w:basedOn w:val="18"/>
    <w:link w:val="6"/>
    <w:qFormat/>
    <w:uiPriority w:val="9"/>
    <w:rPr>
      <w:rFonts w:ascii="Times New Roman" w:hAnsi="Times New Roman" w:eastAsia="仿宋_GB2312" w:cstheme="majorBidi"/>
      <w:b/>
      <w:bCs/>
      <w:sz w:val="32"/>
      <w:szCs w:val="28"/>
    </w:rPr>
  </w:style>
  <w:style w:type="character" w:customStyle="1" w:styleId="26">
    <w:name w:val="副标题 字符"/>
    <w:basedOn w:val="18"/>
    <w:link w:val="12"/>
    <w:qFormat/>
    <w:uiPriority w:val="11"/>
    <w:rPr>
      <w:rFonts w:ascii="Times New Roman" w:hAnsi="Times New Roman" w:eastAsia="楷体"/>
      <w:bCs/>
      <w:kern w:val="28"/>
      <w:sz w:val="30"/>
      <w:szCs w:val="32"/>
    </w:rPr>
  </w:style>
  <w:style w:type="paragraph" w:customStyle="1" w:styleId="27">
    <w:name w:val="图头"/>
    <w:basedOn w:val="1"/>
    <w:next w:val="1"/>
    <w:qFormat/>
    <w:uiPriority w:val="0"/>
    <w:pPr>
      <w:spacing w:after="50" w:after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28">
    <w:name w:val="图片"/>
    <w:basedOn w:val="1"/>
    <w:next w:val="27"/>
    <w:qFormat/>
    <w:uiPriority w:val="0"/>
    <w:pPr>
      <w:spacing w:line="240" w:lineRule="auto"/>
      <w:ind w:firstLine="0" w:firstLineChars="0"/>
      <w:jc w:val="center"/>
    </w:pPr>
    <w:rPr>
      <w:sz w:val="24"/>
    </w:rPr>
  </w:style>
  <w:style w:type="paragraph" w:customStyle="1" w:styleId="29">
    <w:name w:val="表头"/>
    <w:basedOn w:val="1"/>
    <w:next w:val="1"/>
    <w:qFormat/>
    <w:uiPriority w:val="0"/>
    <w:pPr>
      <w:spacing w:before="50" w:before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30">
    <w:name w:val="表格"/>
    <w:basedOn w:val="29"/>
    <w:next w:val="1"/>
    <w:qFormat/>
    <w:uiPriority w:val="0"/>
    <w:pPr>
      <w:spacing w:before="0" w:beforeLines="0"/>
    </w:pPr>
    <w:rPr>
      <w:rFonts w:eastAsia="仿宋_GB2312"/>
      <w:b w:val="0"/>
    </w:rPr>
  </w:style>
  <w:style w:type="paragraph" w:customStyle="1" w:styleId="31">
    <w:name w:val="注释"/>
    <w:basedOn w:val="1"/>
    <w:qFormat/>
    <w:uiPriority w:val="0"/>
    <w:pPr>
      <w:spacing w:line="240" w:lineRule="auto"/>
      <w:ind w:firstLine="0" w:firstLineChars="0"/>
      <w:jc w:val="right"/>
    </w:pPr>
    <w:rPr>
      <w:sz w:val="24"/>
    </w:rPr>
  </w:style>
  <w:style w:type="paragraph" w:customStyle="1" w:styleId="32">
    <w:name w:val="专栏标题"/>
    <w:basedOn w:val="1"/>
    <w:qFormat/>
    <w:uiPriority w:val="0"/>
    <w:pPr>
      <w:spacing w:line="240" w:lineRule="auto"/>
      <w:ind w:firstLine="0" w:firstLineChars="0"/>
    </w:pPr>
    <w:rPr>
      <w:rFonts w:eastAsia="黑体"/>
      <w:sz w:val="24"/>
    </w:rPr>
  </w:style>
  <w:style w:type="paragraph" w:customStyle="1" w:styleId="33">
    <w:name w:val="附件"/>
    <w:basedOn w:val="3"/>
    <w:qFormat/>
    <w:uiPriority w:val="0"/>
    <w:pPr>
      <w:numPr>
        <w:numId w:val="0"/>
      </w:numPr>
    </w:pPr>
    <w:rPr>
      <w:rFonts w:eastAsia="仿宋_GB2312"/>
      <w:b/>
    </w:rPr>
  </w:style>
  <w:style w:type="character" w:customStyle="1" w:styleId="34">
    <w:name w:val="标题 5 字符"/>
    <w:basedOn w:val="18"/>
    <w:link w:val="7"/>
    <w:semiHidden/>
    <w:qFormat/>
    <w:uiPriority w:val="9"/>
    <w:rPr>
      <w:rFonts w:ascii="Times New Roman" w:hAnsi="Times New Roman" w:eastAsia="宋体"/>
      <w:b/>
      <w:bCs/>
      <w:sz w:val="28"/>
      <w:szCs w:val="28"/>
    </w:rPr>
  </w:style>
  <w:style w:type="paragraph" w:customStyle="1" w:styleId="35">
    <w:name w:val="【封面】目录前言"/>
    <w:basedOn w:val="12"/>
    <w:qFormat/>
    <w:uiPriority w:val="0"/>
    <w:rPr>
      <w:rFonts w:eastAsia="黑体"/>
      <w:sz w:val="36"/>
    </w:rPr>
  </w:style>
  <w:style w:type="paragraph" w:customStyle="1" w:styleId="36">
    <w:name w:val="【封面】单位时间"/>
    <w:basedOn w:val="1"/>
    <w:qFormat/>
    <w:uiPriority w:val="0"/>
    <w:pPr>
      <w:ind w:firstLine="0" w:firstLineChars="0"/>
      <w:jc w:val="center"/>
    </w:pPr>
    <w:rPr>
      <w:rFonts w:eastAsia="楷体_GB2312"/>
    </w:rPr>
  </w:style>
  <w:style w:type="paragraph" w:customStyle="1" w:styleId="37">
    <w:name w:val="正文强调"/>
    <w:basedOn w:val="1"/>
    <w:next w:val="1"/>
    <w:link w:val="38"/>
    <w:qFormat/>
    <w:uiPriority w:val="0"/>
    <w:rPr>
      <w:b/>
    </w:rPr>
  </w:style>
  <w:style w:type="character" w:customStyle="1" w:styleId="38">
    <w:name w:val="正文强调 字符"/>
    <w:basedOn w:val="18"/>
    <w:link w:val="37"/>
    <w:qFormat/>
    <w:uiPriority w:val="0"/>
    <w:rPr>
      <w:rFonts w:ascii="Times New Roman" w:hAnsi="Times New Roman" w:eastAsia="仿宋_GB2312"/>
      <w:b/>
      <w:sz w:val="32"/>
    </w:rPr>
  </w:style>
  <w:style w:type="paragraph" w:customStyle="1" w:styleId="39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customStyle="1" w:styleId="40">
    <w:name w:val="专栏内容"/>
    <w:basedOn w:val="1"/>
    <w:qFormat/>
    <w:uiPriority w:val="0"/>
    <w:pPr>
      <w:spacing w:line="240" w:lineRule="auto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487</Words>
  <Characters>493</Characters>
  <Lines>1</Lines>
  <Paragraphs>1</Paragraphs>
  <TotalTime>22</TotalTime>
  <ScaleCrop>false</ScaleCrop>
  <LinksUpToDate>false</LinksUpToDate>
  <CharactersWithSpaces>493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2020-02-07T02:16:00Z</dcterms:created>
  <dc:creator>张 天宫</dc:creator>
  <cp:lastModifiedBy>uos</cp:lastModifiedBy>
  <cp:lastPrinted>2020-03-10T20:06:00Z</cp:lastPrinted>
  <dcterms:modified xsi:type="dcterms:W3CDTF">2026-09-28T10:04:51Z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eyJoZGlkIjoiZTc0YzgzYjI4MDkwMDMzODRmZjBhNzAyY2NmZjFiZjIiLCJ1c2VySWQiOiIzOTQxNTA4OTcifQ==</vt:lpwstr>
  </property>
  <property fmtid="{D5CDD505-2E9C-101B-9397-08002B2CF9AE}" pid="3" name="KSOProductBuildVer">
    <vt:lpwstr>2052-11.8.2.9831</vt:lpwstr>
  </property>
  <property fmtid="{D5CDD505-2E9C-101B-9397-08002B2CF9AE}" pid="4" name="ICV">
    <vt:lpwstr>6ACD64953B8B4F65ACA3B3A02B2C00AD_13</vt:lpwstr>
  </property>
</Properties>
</file>