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topLinePunct w:val="0"/>
        <w:bidi w:val="0"/>
        <w:spacing w:line="560" w:lineRule="exact"/>
        <w:jc w:val="left"/>
        <w:rPr>
          <w:rFonts w:hint="eastAsia" w:ascii="黑体" w:hAnsi="黑体" w:eastAsia="黑体" w:cs="黑体"/>
          <w:b w:val="0"/>
          <w:bCs w:val="0"/>
          <w:color w:val="000000"/>
          <w:kern w:val="0"/>
          <w:sz w:val="32"/>
          <w:szCs w:val="32"/>
          <w:lang w:val="en-US" w:eastAsia="zh-CN"/>
        </w:rPr>
      </w:pPr>
      <w:r>
        <w:rPr>
          <w:rFonts w:hint="eastAsia" w:ascii="黑体" w:hAnsi="黑体" w:eastAsia="黑体" w:cs="黑体"/>
          <w:b w:val="0"/>
          <w:bCs w:val="0"/>
          <w:color w:val="000000"/>
          <w:kern w:val="0"/>
          <w:sz w:val="32"/>
          <w:szCs w:val="32"/>
          <w:lang w:val="en-US" w:eastAsia="zh-CN"/>
        </w:rPr>
        <w:t>附件2：</w:t>
      </w:r>
    </w:p>
    <w:p>
      <w:pPr>
        <w:keepNext w:val="0"/>
        <w:keepLines w:val="0"/>
        <w:pageBreakBefore w:val="0"/>
        <w:widowControl/>
        <w:shd w:val="clear" w:color="auto" w:fill="FFFFFF"/>
        <w:kinsoku/>
        <w:wordWrap/>
        <w:topLinePunct w:val="0"/>
        <w:bidi w:val="0"/>
        <w:spacing w:line="560" w:lineRule="exact"/>
        <w:jc w:val="center"/>
        <w:rPr>
          <w:rFonts w:ascii="华文中宋" w:eastAsia="华文中宋" w:cs="宋体"/>
          <w:b/>
          <w:color w:val="000000"/>
          <w:kern w:val="0"/>
          <w:sz w:val="36"/>
          <w:szCs w:val="36"/>
        </w:rPr>
      </w:pPr>
      <w:r>
        <w:rPr>
          <w:rFonts w:hint="eastAsia" w:ascii="方正小标宋简体" w:eastAsia="方正小标宋简体" w:cs="宋体"/>
          <w:color w:val="000000"/>
          <w:kern w:val="0"/>
          <w:sz w:val="36"/>
          <w:szCs w:val="36"/>
        </w:rPr>
        <w:t>《北京市怀柔区集中式饮用水水源保护区调整划分</w:t>
      </w:r>
      <w:r>
        <w:rPr>
          <w:rFonts w:hint="eastAsia" w:ascii="方正小标宋简体" w:eastAsia="方正小标宋简体" w:cs="宋体"/>
          <w:color w:val="000000"/>
          <w:kern w:val="0"/>
          <w:sz w:val="36"/>
          <w:szCs w:val="36"/>
          <w:lang w:eastAsia="zh-CN"/>
        </w:rPr>
        <w:t>结果</w:t>
      </w:r>
      <w:r>
        <w:rPr>
          <w:rFonts w:hint="eastAsia" w:ascii="方正小标宋简体" w:hAnsi="方正小标宋简体" w:eastAsia="方正小标宋简体" w:cs="方正小标宋简体"/>
          <w:sz w:val="36"/>
          <w:szCs w:val="36"/>
          <w:lang w:eastAsia="zh-CN"/>
        </w:rPr>
        <w:t>（</w:t>
      </w:r>
      <w:r>
        <w:rPr>
          <w:rFonts w:hint="eastAsia" w:ascii="方正小标宋简体" w:hAnsi="方正小标宋简体" w:eastAsia="方正小标宋简体" w:cs="方正小标宋简体"/>
          <w:sz w:val="36"/>
          <w:szCs w:val="36"/>
          <w:lang w:val="en-US" w:eastAsia="zh-CN"/>
        </w:rPr>
        <w:t>征求意见稿</w:t>
      </w:r>
      <w:r>
        <w:rPr>
          <w:rFonts w:hint="eastAsia" w:ascii="方正小标宋简体" w:hAnsi="方正小标宋简体" w:eastAsia="方正小标宋简体" w:cs="方正小标宋简体"/>
          <w:sz w:val="36"/>
          <w:szCs w:val="36"/>
          <w:lang w:eastAsia="zh-CN"/>
        </w:rPr>
        <w:t>）</w:t>
      </w:r>
      <w:bookmarkStart w:id="3" w:name="_GoBack"/>
      <w:bookmarkEnd w:id="3"/>
      <w:r>
        <w:rPr>
          <w:rFonts w:hint="eastAsia" w:ascii="方正小标宋简体" w:eastAsia="方正小标宋简体" w:cs="宋体"/>
          <w:color w:val="000000"/>
          <w:kern w:val="0"/>
          <w:sz w:val="36"/>
          <w:szCs w:val="36"/>
        </w:rPr>
        <w:t>》起草说明</w:t>
      </w:r>
    </w:p>
    <w:p>
      <w:pPr>
        <w:keepNext w:val="0"/>
        <w:keepLines w:val="0"/>
        <w:pageBreakBefore w:val="0"/>
        <w:widowControl/>
        <w:shd w:val="clear" w:color="auto" w:fill="FFFFFF"/>
        <w:kinsoku/>
        <w:wordWrap/>
        <w:topLinePunct w:val="0"/>
        <w:bidi w:val="0"/>
        <w:spacing w:line="560" w:lineRule="exact"/>
        <w:ind w:firstLine="480"/>
        <w:jc w:val="left"/>
        <w:rPr>
          <w:rFonts w:ascii="宋体" w:hAnsi="宋体" w:cs="宋体"/>
          <w:color w:val="000000"/>
          <w:kern w:val="0"/>
          <w:szCs w:val="21"/>
        </w:rPr>
      </w:pPr>
    </w:p>
    <w:p>
      <w:pPr>
        <w:keepNext w:val="0"/>
        <w:keepLines w:val="0"/>
        <w:pageBreakBefore w:val="0"/>
        <w:widowControl w:val="0"/>
        <w:suppressAutoHyphens/>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为贯彻落实《中华人民共和国生态环境法典》《关于进一步规范本市饮用水水源保护管理工作的通知》（京环办〔2024〕74号）、《推进美丽北京建设 持续深入打好污染防治攻坚战2025年行动计划》的工作要求，统筹实施辖区集中式饮用水水源保护区调整划分，推进完善全覆盖的饮用水水源保护管理体系，区生态环境局依据《饮用水水源保护区划分技术规范》（HJ338-2018）、《关于推进乡镇及以下集中式饮用水水源地生态环境保护工作的指导意见》（环水体函〔2019〕92号）等</w:t>
      </w:r>
      <w:r>
        <w:rPr>
          <w:rFonts w:hint="eastAsia" w:ascii="仿宋_GB2312" w:hAnsi="仿宋_GB2312" w:cs="仿宋_GB2312"/>
          <w:b w:val="0"/>
          <w:bCs w:val="0"/>
          <w:color w:val="auto"/>
          <w:sz w:val="32"/>
          <w:szCs w:val="32"/>
          <w:lang w:val="en-US" w:eastAsia="zh-CN"/>
        </w:rPr>
        <w:t>文件内容</w:t>
      </w:r>
      <w:r>
        <w:rPr>
          <w:rFonts w:hint="eastAsia" w:ascii="仿宋_GB2312" w:hAnsi="仿宋_GB2312" w:eastAsia="仿宋_GB2312" w:cs="仿宋_GB2312"/>
          <w:b w:val="0"/>
          <w:bCs w:val="0"/>
          <w:color w:val="auto"/>
          <w:sz w:val="32"/>
          <w:szCs w:val="32"/>
          <w:lang w:val="en-US" w:eastAsia="zh-CN"/>
        </w:rPr>
        <w:t>，草拟形成了《北京市怀柔区集中式饮用水水源保护区调整划分</w:t>
      </w:r>
      <w:r>
        <w:rPr>
          <w:rFonts w:hint="eastAsia" w:ascii="仿宋_GB2312" w:hAnsi="仿宋_GB2312" w:cs="仿宋_GB2312"/>
          <w:b w:val="0"/>
          <w:bCs w:val="0"/>
          <w:color w:val="auto"/>
          <w:sz w:val="32"/>
          <w:szCs w:val="32"/>
          <w:lang w:val="en-US" w:eastAsia="zh-CN"/>
        </w:rPr>
        <w:t>结果</w:t>
      </w:r>
      <w:r>
        <w:rPr>
          <w:rFonts w:hint="eastAsia" w:ascii="仿宋_GB2312" w:hAnsi="仿宋_GB2312" w:eastAsia="仿宋_GB2312" w:cs="仿宋_GB2312"/>
          <w:b w:val="0"/>
          <w:bCs w:val="0"/>
          <w:color w:val="auto"/>
          <w:sz w:val="32"/>
          <w:szCs w:val="32"/>
          <w:lang w:val="en-US" w:eastAsia="zh-CN"/>
        </w:rPr>
        <w:t>》（以下简称《</w:t>
      </w:r>
      <w:r>
        <w:rPr>
          <w:rFonts w:hint="eastAsia" w:ascii="仿宋_GB2312" w:hAnsi="仿宋_GB2312" w:cs="仿宋_GB2312"/>
          <w:b w:val="0"/>
          <w:bCs w:val="0"/>
          <w:color w:val="auto"/>
          <w:sz w:val="32"/>
          <w:szCs w:val="32"/>
          <w:lang w:val="en-US" w:eastAsia="zh-CN"/>
        </w:rPr>
        <w:t>结果</w:t>
      </w:r>
      <w:r>
        <w:rPr>
          <w:rFonts w:hint="eastAsia" w:ascii="仿宋_GB2312" w:hAnsi="仿宋_GB2312" w:eastAsia="仿宋_GB2312" w:cs="仿宋_GB2312"/>
          <w:b w:val="0"/>
          <w:bCs w:val="0"/>
          <w:color w:val="auto"/>
          <w:sz w:val="32"/>
          <w:szCs w:val="32"/>
          <w:lang w:val="en-US" w:eastAsia="zh-CN"/>
        </w:rPr>
        <w:t>》）。现就相关工作开展情况汇报如下。</w:t>
      </w:r>
    </w:p>
    <w:p>
      <w:pPr>
        <w:keepNext w:val="0"/>
        <w:keepLines w:val="0"/>
        <w:pageBreakBefore w:val="0"/>
        <w:numPr>
          <w:ilvl w:val="0"/>
          <w:numId w:val="1"/>
        </w:numPr>
        <w:kinsoku/>
        <w:wordWrap/>
        <w:topLinePunct w:val="0"/>
        <w:bidi w:val="0"/>
        <w:spacing w:line="560" w:lineRule="exact"/>
        <w:ind w:firstLine="640" w:firstLineChars="200"/>
        <w:rPr>
          <w:rFonts w:ascii="黑体" w:hAnsi="黑体" w:eastAsia="黑体" w:cs="仿宋_GB2312"/>
          <w:color w:val="000000"/>
          <w:sz w:val="32"/>
          <w:szCs w:val="32"/>
        </w:rPr>
      </w:pPr>
      <w:r>
        <w:rPr>
          <w:rFonts w:hint="eastAsia" w:ascii="黑体" w:hAnsi="黑体" w:eastAsia="黑体" w:cs="仿宋_GB2312"/>
          <w:color w:val="000000"/>
          <w:sz w:val="32"/>
          <w:szCs w:val="32"/>
          <w:lang w:val="en-US" w:eastAsia="zh-CN"/>
        </w:rPr>
        <w:t>起草背景及过程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baseline"/>
        <w:outlineLvl w:val="9"/>
        <w:rPr>
          <w:rFonts w:hint="eastAsia" w:ascii="仿宋_GB2312" w:hAnsi="仿宋_GB2312" w:eastAsia="仿宋_GB2312" w:cs="仿宋_GB2312"/>
          <w:color w:val="000000"/>
          <w:sz w:val="32"/>
          <w:szCs w:val="32"/>
          <w:lang w:val="en-US" w:eastAsia="zh-CN"/>
        </w:rPr>
      </w:pPr>
      <w:r>
        <w:rPr>
          <w:rFonts w:hint="eastAsia" w:ascii="仿宋_GB2312" w:hAnsi="Times New Roman" w:eastAsia="仿宋_GB2312" w:cs="Times New Roman"/>
          <w:sz w:val="32"/>
          <w:szCs w:val="32"/>
          <w:highlight w:val="none"/>
          <w:lang w:val="en-US" w:eastAsia="zh-CN"/>
        </w:rPr>
        <w:t>2025年9月怀柔区水务局发布最新《北京市怀柔区饮用水水源地名录》，</w:t>
      </w:r>
      <w:r>
        <w:rPr>
          <w:rFonts w:hint="eastAsia" w:ascii="仿宋_GB2312" w:hAnsi="仿宋_GB2312" w:eastAsia="仿宋_GB2312" w:cs="仿宋_GB2312"/>
          <w:sz w:val="32"/>
          <w:szCs w:val="32"/>
        </w:rPr>
        <w:t>我局</w:t>
      </w:r>
      <w:r>
        <w:rPr>
          <w:rFonts w:hint="eastAsia" w:ascii="仿宋_GB2312" w:hAnsi="仿宋_GB2312" w:eastAsia="仿宋_GB2312" w:cs="仿宋_GB2312"/>
          <w:sz w:val="32"/>
          <w:szCs w:val="32"/>
          <w:lang w:eastAsia="zh-CN"/>
        </w:rPr>
        <w:t>依据该文件</w:t>
      </w:r>
      <w:r>
        <w:rPr>
          <w:rFonts w:hint="eastAsia" w:ascii="仿宋_GB2312" w:hAnsi="仿宋_GB2312" w:eastAsia="仿宋_GB2312" w:cs="仿宋_GB2312"/>
          <w:sz w:val="32"/>
          <w:szCs w:val="32"/>
        </w:rPr>
        <w:t>组织开展</w:t>
      </w:r>
      <w:r>
        <w:rPr>
          <w:rFonts w:hint="eastAsia" w:ascii="仿宋_GB2312" w:hAnsi="仿宋_GB2312" w:cs="仿宋_GB2312"/>
          <w:sz w:val="32"/>
          <w:szCs w:val="32"/>
          <w:lang w:val="en-US" w:eastAsia="zh-CN"/>
        </w:rPr>
        <w:t>集中式</w:t>
      </w:r>
      <w:r>
        <w:rPr>
          <w:rFonts w:hint="eastAsia" w:ascii="仿宋_GB2312" w:hAnsi="仿宋_GB2312" w:eastAsia="仿宋_GB2312" w:cs="仿宋_GB2312"/>
          <w:sz w:val="32"/>
          <w:szCs w:val="32"/>
        </w:rPr>
        <w:t>饮用水水源保护</w:t>
      </w:r>
      <w:r>
        <w:rPr>
          <w:rFonts w:hint="eastAsia" w:ascii="仿宋_GB2312" w:hAnsi="仿宋_GB2312" w:cs="仿宋_GB2312"/>
          <w:sz w:val="32"/>
          <w:szCs w:val="32"/>
          <w:lang w:val="en-US" w:eastAsia="zh-CN"/>
        </w:rPr>
        <w:t>区调整</w:t>
      </w:r>
      <w:r>
        <w:rPr>
          <w:rFonts w:hint="eastAsia" w:ascii="仿宋_GB2312" w:hAnsi="仿宋_GB2312" w:eastAsia="仿宋_GB2312" w:cs="仿宋_GB2312"/>
          <w:sz w:val="32"/>
          <w:szCs w:val="32"/>
        </w:rPr>
        <w:t>划分工作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2025年11月</w:t>
      </w:r>
      <w:r>
        <w:rPr>
          <w:rFonts w:hint="eastAsia" w:ascii="仿宋_GB2312" w:hAnsi="仿宋_GB2312" w:eastAsia="仿宋_GB2312" w:cs="仿宋_GB2312"/>
          <w:sz w:val="32"/>
          <w:szCs w:val="32"/>
        </w:rPr>
        <w:t>编制形成《北京市怀柔区集中式饮用水水源保护区划分技术报告》（以下简称《技术报告》）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000000"/>
          <w:sz w:val="32"/>
          <w:szCs w:val="32"/>
          <w:lang w:val="en-US" w:eastAsia="zh-CN"/>
        </w:rPr>
        <w:t>11月18日将</w:t>
      </w:r>
      <w:r>
        <w:rPr>
          <w:rFonts w:hint="eastAsia" w:ascii="仿宋_GB2312" w:hAnsi="仿宋_GB2312" w:eastAsia="仿宋_GB2312" w:cs="仿宋_GB2312"/>
          <w:sz w:val="32"/>
          <w:szCs w:val="32"/>
        </w:rPr>
        <w:t>《技术报告》</w:t>
      </w:r>
      <w:r>
        <w:rPr>
          <w:rFonts w:hint="eastAsia" w:ascii="仿宋_GB2312" w:hAnsi="仿宋_GB2312" w:eastAsia="仿宋_GB2312" w:cs="仿宋_GB2312"/>
          <w:color w:val="000000"/>
          <w:sz w:val="32"/>
          <w:szCs w:val="32"/>
          <w:lang w:val="en-US" w:eastAsia="zh-CN"/>
        </w:rPr>
        <w:t>向区水务局与相关镇乡征求意见，共收到15家单位反馈书面意见，其中无意见12条，已采纳3条。</w:t>
      </w:r>
      <w:r>
        <w:rPr>
          <w:rFonts w:hint="eastAsia" w:ascii="仿宋_GB2312" w:hAnsi="仿宋_GB2312" w:cs="仿宋_GB2312"/>
          <w:color w:val="000000"/>
          <w:sz w:val="32"/>
          <w:szCs w:val="32"/>
          <w:lang w:val="en-US" w:eastAsia="zh-CN"/>
        </w:rPr>
        <w:t>11</w:t>
      </w:r>
      <w:r>
        <w:rPr>
          <w:rFonts w:hint="eastAsia" w:ascii="仿宋_GB2312" w:hAnsi="仿宋_GB2312" w:eastAsia="仿宋_GB2312" w:cs="仿宋_GB2312"/>
          <w:color w:val="000000"/>
          <w:sz w:val="32"/>
          <w:szCs w:val="32"/>
          <w:lang w:val="en-US" w:eastAsia="zh-CN"/>
        </w:rPr>
        <w:t>月</w:t>
      </w:r>
      <w:r>
        <w:rPr>
          <w:rFonts w:hint="eastAsia" w:ascii="仿宋_GB2312" w:hAnsi="仿宋_GB2312" w:cs="仿宋_GB2312"/>
          <w:color w:val="000000"/>
          <w:sz w:val="32"/>
          <w:szCs w:val="32"/>
          <w:lang w:val="en-US" w:eastAsia="zh-CN"/>
        </w:rPr>
        <w:t>26</w:t>
      </w:r>
      <w:r>
        <w:rPr>
          <w:rFonts w:hint="eastAsia" w:ascii="仿宋_GB2312" w:hAnsi="仿宋_GB2312" w:eastAsia="仿宋_GB2312" w:cs="仿宋_GB2312"/>
          <w:color w:val="000000"/>
          <w:sz w:val="32"/>
          <w:szCs w:val="32"/>
          <w:lang w:val="en-US" w:eastAsia="zh-CN"/>
        </w:rPr>
        <w:t>日</w:t>
      </w:r>
      <w:r>
        <w:rPr>
          <w:rFonts w:hint="eastAsia" w:ascii="仿宋_GB2312" w:hAnsi="仿宋_GB2312" w:eastAsia="仿宋_GB2312" w:cs="仿宋_GB2312"/>
          <w:sz w:val="32"/>
          <w:szCs w:val="32"/>
        </w:rPr>
        <w:t>《技术报告》</w:t>
      </w:r>
      <w:r>
        <w:rPr>
          <w:rFonts w:hint="eastAsia" w:ascii="仿宋_GB2312" w:hAnsi="仿宋_GB2312" w:eastAsia="仿宋_GB2312" w:cs="仿宋_GB2312"/>
          <w:color w:val="000000"/>
          <w:sz w:val="32"/>
          <w:szCs w:val="32"/>
          <w:lang w:val="en-US" w:eastAsia="zh-CN"/>
        </w:rPr>
        <w:t>通过专家评审</w:t>
      </w:r>
      <w:r>
        <w:rPr>
          <w:rFonts w:hint="eastAsia" w:ascii="仿宋_GB2312" w:hAnsi="仿宋_GB2312" w:cs="仿宋_GB2312"/>
          <w:color w:val="000000"/>
          <w:sz w:val="32"/>
          <w:szCs w:val="32"/>
          <w:lang w:val="en-US" w:eastAsia="zh-CN"/>
        </w:rPr>
        <w:t>。</w:t>
      </w:r>
      <w:r>
        <w:rPr>
          <w:rFonts w:hint="eastAsia" w:ascii="仿宋_GB2312" w:hAnsi="仿宋_GB2312" w:eastAsia="仿宋_GB2312" w:cs="仿宋_GB2312"/>
          <w:color w:val="000000"/>
          <w:sz w:val="32"/>
          <w:szCs w:val="32"/>
          <w:lang w:val="en-US" w:eastAsia="zh-CN"/>
        </w:rPr>
        <w:t>12月30日，</w:t>
      </w:r>
      <w:r>
        <w:rPr>
          <w:rFonts w:hint="eastAsia" w:ascii="仿宋_GB2312" w:hAnsi="仿宋_GB2312" w:eastAsia="仿宋_GB2312" w:cs="仿宋_GB2312"/>
          <w:sz w:val="32"/>
          <w:szCs w:val="32"/>
        </w:rPr>
        <w:t>《技术报告》</w:t>
      </w:r>
      <w:r>
        <w:rPr>
          <w:rFonts w:hint="eastAsia" w:ascii="仿宋_GB2312" w:hAnsi="仿宋_GB2312" w:eastAsia="仿宋_GB2312" w:cs="仿宋_GB2312"/>
          <w:color w:val="000000"/>
          <w:sz w:val="32"/>
          <w:szCs w:val="32"/>
          <w:lang w:val="en-US" w:eastAsia="zh-CN"/>
        </w:rPr>
        <w:t>通过市生态环境局、市水务局技术审查，原则同意我区报送的调整划分</w:t>
      </w:r>
      <w:r>
        <w:rPr>
          <w:rFonts w:hint="eastAsia" w:ascii="仿宋_GB2312" w:hAnsi="仿宋_GB2312" w:cs="仿宋_GB2312"/>
          <w:color w:val="000000"/>
          <w:sz w:val="32"/>
          <w:szCs w:val="32"/>
          <w:lang w:val="en-US" w:eastAsia="zh-CN"/>
        </w:rPr>
        <w:t>结果</w:t>
      </w:r>
      <w:r>
        <w:rPr>
          <w:rFonts w:hint="eastAsia" w:ascii="仿宋_GB2312" w:hAnsi="仿宋_GB2312" w:eastAsia="仿宋_GB2312" w:cs="仿宋_GB2312"/>
          <w:color w:val="000000"/>
          <w:sz w:val="32"/>
          <w:szCs w:val="32"/>
          <w:lang w:val="en-US" w:eastAsia="zh-CN"/>
        </w:rPr>
        <w:t>。</w:t>
      </w:r>
    </w:p>
    <w:p>
      <w:pPr>
        <w:keepNext w:val="0"/>
        <w:keepLines w:val="0"/>
        <w:pageBreakBefore w:val="0"/>
        <w:kinsoku/>
        <w:wordWrap/>
        <w:topLinePunct w:val="0"/>
        <w:bidi w:val="0"/>
        <w:spacing w:line="560" w:lineRule="exact"/>
        <w:ind w:firstLine="420" w:firstLineChars="0"/>
        <w:rPr>
          <w:rFonts w:hint="eastAsia" w:ascii="CESI仿宋-GB2312" w:hAnsi="CESI仿宋-GB2312" w:eastAsia="CESI仿宋-GB2312" w:cs="CESI仿宋-GB2312"/>
          <w:color w:val="auto"/>
          <w:kern w:val="0"/>
          <w:sz w:val="32"/>
          <w:szCs w:val="32"/>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baseline"/>
        <w:outlineLvl w:val="9"/>
        <w:rPr>
          <w:rFonts w:hint="eastAsia" w:ascii="仿宋_GB2312" w:hAnsi="Times New Roman" w:eastAsia="仿宋_GB2312" w:cs="Times New Roman"/>
          <w:color w:val="auto"/>
          <w:sz w:val="32"/>
          <w:szCs w:val="32"/>
          <w:highlight w:val="none"/>
          <w:lang w:val="en-US" w:eastAsia="zh-CN"/>
        </w:rPr>
      </w:pPr>
      <w:r>
        <w:rPr>
          <w:rFonts w:hint="eastAsia" w:ascii="仿宋_GB2312" w:hAnsi="仿宋_GB2312" w:eastAsia="仿宋_GB2312" w:cs="仿宋_GB2312"/>
          <w:color w:val="000000"/>
          <w:sz w:val="32"/>
          <w:szCs w:val="32"/>
          <w:lang w:val="en-US" w:eastAsia="zh-CN"/>
        </w:rPr>
        <w:t>2026年1月19日夏文佳副区长召开专题会议研究，原则同意调整划分工作，</w:t>
      </w:r>
      <w:r>
        <w:rPr>
          <w:rFonts w:hint="eastAsia" w:ascii="仿宋_GB2312" w:eastAsia="仿宋_GB2312" w:cs="Times New Roman"/>
          <w:color w:val="auto"/>
          <w:sz w:val="32"/>
          <w:szCs w:val="32"/>
          <w:highlight w:val="none"/>
          <w:lang w:val="en-US" w:eastAsia="zh-CN"/>
        </w:rPr>
        <w:t>我局根据会议意见</w:t>
      </w:r>
      <w:r>
        <w:rPr>
          <w:rFonts w:hint="eastAsia" w:ascii="仿宋_GB2312" w:hAnsi="仿宋_GB2312" w:eastAsia="仿宋_GB2312" w:cs="仿宋_GB2312"/>
          <w:b w:val="0"/>
          <w:bCs w:val="0"/>
          <w:color w:val="auto"/>
          <w:sz w:val="32"/>
          <w:szCs w:val="32"/>
          <w:lang w:val="en-US" w:eastAsia="zh-CN"/>
        </w:rPr>
        <w:t>形成《北京市怀柔区集中式饮用水水源保护区调整划分</w:t>
      </w:r>
      <w:r>
        <w:rPr>
          <w:rFonts w:hint="eastAsia" w:ascii="仿宋_GB2312" w:hAnsi="仿宋_GB2312" w:cs="仿宋_GB2312"/>
          <w:b w:val="0"/>
          <w:bCs w:val="0"/>
          <w:color w:val="auto"/>
          <w:sz w:val="32"/>
          <w:szCs w:val="32"/>
          <w:lang w:val="en-US" w:eastAsia="zh-CN"/>
        </w:rPr>
        <w:t>结果</w:t>
      </w:r>
      <w:r>
        <w:rPr>
          <w:rFonts w:hint="eastAsia" w:ascii="仿宋_GB2312" w:hAnsi="仿宋_GB2312" w:eastAsia="仿宋_GB2312" w:cs="仿宋_GB2312"/>
          <w:b w:val="0"/>
          <w:bCs w:val="0"/>
          <w:color w:val="auto"/>
          <w:sz w:val="32"/>
          <w:szCs w:val="32"/>
          <w:lang w:val="en-US" w:eastAsia="zh-CN"/>
        </w:rPr>
        <w:t>》。</w:t>
      </w:r>
      <w:r>
        <w:rPr>
          <w:rFonts w:hint="eastAsia" w:ascii="仿宋_GB2312" w:hAnsi="仿宋_GB2312" w:cs="仿宋_GB2312"/>
          <w:b w:val="0"/>
          <w:bCs w:val="0"/>
          <w:color w:val="auto"/>
          <w:sz w:val="32"/>
          <w:szCs w:val="32"/>
          <w:highlight w:val="none"/>
          <w:lang w:val="en-US" w:eastAsia="zh-CN"/>
        </w:rPr>
        <w:t>并向有关单位征求意见，均无意见。</w:t>
      </w:r>
      <w:r>
        <w:rPr>
          <w:rFonts w:hint="eastAsia" w:ascii="仿宋_GB2312" w:hAnsi="仿宋_GB2312" w:eastAsia="仿宋_GB2312" w:cs="仿宋_GB2312"/>
          <w:b w:val="0"/>
          <w:bCs w:val="0"/>
          <w:color w:val="auto"/>
          <w:sz w:val="32"/>
          <w:szCs w:val="32"/>
          <w:lang w:val="en-US" w:eastAsia="zh-CN"/>
        </w:rPr>
        <w:t>我局按照公开发布要求最终形成《</w:t>
      </w:r>
      <w:r>
        <w:rPr>
          <w:rFonts w:hint="eastAsia" w:ascii="仿宋_GB2312" w:hAnsi="仿宋_GB2312" w:cs="仿宋_GB2312"/>
          <w:b w:val="0"/>
          <w:bCs w:val="0"/>
          <w:color w:val="auto"/>
          <w:sz w:val="32"/>
          <w:szCs w:val="32"/>
          <w:lang w:val="en-US" w:eastAsia="zh-CN"/>
        </w:rPr>
        <w:t>北京市</w:t>
      </w:r>
      <w:r>
        <w:rPr>
          <w:rFonts w:hint="eastAsia" w:ascii="仿宋_GB2312" w:hAnsi="仿宋_GB2312" w:eastAsia="仿宋_GB2312" w:cs="仿宋_GB2312"/>
          <w:b w:val="0"/>
          <w:bCs w:val="0"/>
          <w:color w:val="auto"/>
          <w:sz w:val="32"/>
          <w:szCs w:val="32"/>
          <w:lang w:val="en-US" w:eastAsia="zh-CN"/>
        </w:rPr>
        <w:t>怀柔区集中式饮用水水源保护区调整划分</w:t>
      </w:r>
      <w:r>
        <w:rPr>
          <w:rFonts w:hint="eastAsia" w:ascii="仿宋_GB2312" w:hAnsi="仿宋_GB2312" w:cs="仿宋_GB2312"/>
          <w:b w:val="0"/>
          <w:bCs w:val="0"/>
          <w:color w:val="auto"/>
          <w:sz w:val="32"/>
          <w:szCs w:val="32"/>
          <w:lang w:val="en-US" w:eastAsia="zh-CN"/>
        </w:rPr>
        <w:t>结果</w:t>
      </w:r>
      <w:r>
        <w:rPr>
          <w:rFonts w:hint="eastAsia" w:ascii="仿宋_GB2312" w:hAnsi="仿宋_GB2312" w:eastAsia="仿宋_GB2312" w:cs="仿宋_GB2312"/>
          <w:b w:val="0"/>
          <w:bCs w:val="0"/>
          <w:color w:val="auto"/>
          <w:sz w:val="32"/>
          <w:szCs w:val="32"/>
          <w:lang w:val="en-US" w:eastAsia="zh-CN"/>
        </w:rPr>
        <w:t>》</w:t>
      </w:r>
      <w:r>
        <w:rPr>
          <w:rFonts w:hint="eastAsia" w:ascii="仿宋_GB2312" w:hAnsi="Times New Roman" w:eastAsia="仿宋_GB2312" w:cs="Times New Roman"/>
          <w:color w:val="auto"/>
          <w:sz w:val="32"/>
          <w:szCs w:val="32"/>
          <w:highlight w:val="none"/>
          <w:lang w:val="en-US" w:eastAsia="zh-CN"/>
        </w:rPr>
        <w:t>。</w:t>
      </w:r>
    </w:p>
    <w:p>
      <w:pPr>
        <w:keepNext w:val="0"/>
        <w:keepLines w:val="0"/>
        <w:pageBreakBefore w:val="0"/>
        <w:numPr>
          <w:ilvl w:val="0"/>
          <w:numId w:val="1"/>
        </w:numPr>
        <w:kinsoku/>
        <w:wordWrap/>
        <w:topLinePunct w:val="0"/>
        <w:bidi w:val="0"/>
        <w:spacing w:line="560" w:lineRule="exact"/>
        <w:ind w:firstLine="640" w:firstLineChars="200"/>
        <w:rPr>
          <w:rFonts w:ascii="黑体" w:hAnsi="黑体" w:eastAsia="黑体" w:cs="仿宋_GB2312"/>
          <w:color w:val="000000"/>
          <w:sz w:val="32"/>
          <w:szCs w:val="32"/>
        </w:rPr>
      </w:pPr>
      <w:r>
        <w:rPr>
          <w:rFonts w:hint="eastAsia" w:ascii="黑体" w:hAnsi="黑体" w:eastAsia="黑体" w:cs="仿宋_GB2312"/>
          <w:color w:val="000000"/>
          <w:sz w:val="32"/>
          <w:szCs w:val="32"/>
          <w:lang w:val="en-US" w:eastAsia="zh-CN"/>
        </w:rPr>
        <w:t>主要内容</w:t>
      </w:r>
    </w:p>
    <w:p>
      <w:pPr>
        <w:keepNext w:val="0"/>
        <w:keepLines w:val="0"/>
        <w:pageBreakBefore w:val="0"/>
        <w:widowControl w:val="0"/>
        <w:suppressAutoHyphens/>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Times New Roman" w:eastAsia="仿宋_GB2312" w:cs="Times New Roman"/>
          <w:sz w:val="32"/>
          <w:szCs w:val="32"/>
          <w:highlight w:val="none"/>
          <w:lang w:val="en-US" w:eastAsia="zh-CN"/>
        </w:rPr>
      </w:pPr>
      <w:r>
        <w:rPr>
          <w:rFonts w:hint="eastAsia" w:ascii="仿宋_GB2312" w:hAnsi="Times New Roman" w:eastAsia="仿宋_GB2312" w:cs="Times New Roman"/>
          <w:sz w:val="32"/>
          <w:szCs w:val="32"/>
          <w:highlight w:val="none"/>
          <w:lang w:val="en-US" w:eastAsia="zh-CN"/>
        </w:rPr>
        <w:t>《</w:t>
      </w:r>
      <w:r>
        <w:rPr>
          <w:rFonts w:hint="eastAsia" w:ascii="仿宋_GB2312" w:cs="Times New Roman"/>
          <w:sz w:val="32"/>
          <w:szCs w:val="32"/>
          <w:highlight w:val="none"/>
          <w:lang w:val="en-US" w:eastAsia="zh-CN"/>
        </w:rPr>
        <w:t>结果</w:t>
      </w:r>
      <w:r>
        <w:rPr>
          <w:rFonts w:hint="eastAsia" w:ascii="仿宋_GB2312" w:hAnsi="Times New Roman" w:eastAsia="仿宋_GB2312" w:cs="Times New Roman"/>
          <w:sz w:val="32"/>
          <w:szCs w:val="32"/>
          <w:highlight w:val="none"/>
          <w:lang w:val="en-US" w:eastAsia="zh-CN"/>
        </w:rPr>
        <w:t>》包括水源地情况、</w:t>
      </w:r>
      <w:r>
        <w:rPr>
          <w:rFonts w:hint="eastAsia" w:ascii="仿宋_GB2312" w:hAnsi="Times New Roman" w:cs="Times New Roman"/>
          <w:sz w:val="32"/>
          <w:szCs w:val="32"/>
          <w:highlight w:val="none"/>
          <w:lang w:val="en-US" w:eastAsia="zh-CN"/>
        </w:rPr>
        <w:t>保护区划分</w:t>
      </w:r>
      <w:r>
        <w:rPr>
          <w:rFonts w:hint="eastAsia" w:ascii="仿宋_GB2312" w:hAnsi="Times New Roman" w:eastAsia="仿宋_GB2312" w:cs="Times New Roman"/>
          <w:sz w:val="32"/>
          <w:szCs w:val="32"/>
          <w:highlight w:val="none"/>
          <w:lang w:val="en-US" w:eastAsia="zh-CN"/>
        </w:rPr>
        <w:t>、划分结果、管理要求、清理整治要求5部分，主要内容如下：</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right="0" w:rightChars="0" w:firstLine="640" w:firstLineChars="200"/>
        <w:jc w:val="both"/>
        <w:textAlignment w:val="center"/>
        <w:outlineLvl w:val="9"/>
        <w:rPr>
          <w:rFonts w:hint="eastAsia" w:ascii="楷体_GB2312" w:hAnsi="楷体_GB2312" w:eastAsia="楷体_GB2312" w:cs="楷体_GB2312"/>
          <w:b w:val="0"/>
          <w:bCs w:val="0"/>
          <w:color w:val="auto"/>
          <w:spacing w:val="0"/>
          <w:sz w:val="32"/>
          <w:szCs w:val="32"/>
          <w:highlight w:val="none"/>
          <w:shd w:val="clear" w:color="auto" w:fill="auto"/>
          <w:lang w:val="en-US" w:eastAsia="zh-CN"/>
        </w:rPr>
      </w:pPr>
      <w:r>
        <w:rPr>
          <w:rFonts w:hint="eastAsia" w:ascii="楷体_GB2312" w:hAnsi="楷体_GB2312" w:eastAsia="楷体_GB2312" w:cs="楷体_GB2312"/>
          <w:b w:val="0"/>
          <w:bCs w:val="0"/>
          <w:color w:val="auto"/>
          <w:spacing w:val="0"/>
          <w:sz w:val="32"/>
          <w:szCs w:val="32"/>
          <w:highlight w:val="none"/>
          <w:shd w:val="clear" w:color="auto" w:fill="auto"/>
          <w:lang w:val="en-US" w:eastAsia="zh-CN"/>
        </w:rPr>
        <w:t>（一）水源地情况</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kern w:val="2"/>
          <w:sz w:val="32"/>
          <w:szCs w:val="32"/>
          <w:lang w:val="en-US" w:eastAsia="zh-CN" w:bidi="ar-SA"/>
        </w:rPr>
      </w:pPr>
      <w:r>
        <w:rPr>
          <w:rFonts w:hint="eastAsia" w:ascii="仿宋_GB2312" w:hAnsi="黑体" w:eastAsia="仿宋_GB2312" w:cs="仿宋_GB2312"/>
          <w:kern w:val="2"/>
          <w:sz w:val="32"/>
          <w:szCs w:val="32"/>
          <w:lang w:val="en-US" w:eastAsia="zh-CN" w:bidi="ar-SA"/>
        </w:rPr>
        <w:t>根据2025年9月怀柔区水务局发布的《北京市怀柔区饮用水水源地名录》及现场调查结果，怀柔区本次调整划分水源保护区的集中式饮用水水源地共计26个，水源井共有55眼。其中调整水源保护区的水源地10个（3个乡镇级水源地和7个村级水源地），涉及水源井28眼；划分水源保护区的水源地16个（1个乡镇级水源地和15个村级水源地），水源井27眼。26个水源地均为中小型水源地，</w:t>
      </w:r>
      <w:r>
        <w:rPr>
          <w:rFonts w:hint="eastAsia" w:ascii="仿宋_GB2312" w:hAnsi="黑体" w:cs="仿宋_GB2312"/>
          <w:kern w:val="2"/>
          <w:sz w:val="32"/>
          <w:szCs w:val="32"/>
          <w:lang w:val="en-US" w:eastAsia="zh-CN" w:bidi="ar-SA"/>
        </w:rPr>
        <w:t>涉及水源井</w:t>
      </w:r>
      <w:r>
        <w:rPr>
          <w:rFonts w:hint="eastAsia" w:ascii="仿宋_GB2312" w:hAnsi="黑体" w:eastAsia="仿宋_GB2312" w:cs="仿宋_GB2312"/>
          <w:kern w:val="2"/>
          <w:sz w:val="32"/>
          <w:szCs w:val="32"/>
          <w:lang w:val="en-US" w:eastAsia="zh-CN" w:bidi="ar-SA"/>
        </w:rPr>
        <w:t>55眼。</w:t>
      </w:r>
    </w:p>
    <w:p>
      <w:pPr>
        <w:keepNext w:val="0"/>
        <w:keepLines w:val="0"/>
        <w:pageBreakBefore w:val="0"/>
        <w:widowControl/>
        <w:numPr>
          <w:ilvl w:val="0"/>
          <w:numId w:val="2"/>
        </w:numPr>
        <w:shd w:val="clear" w:color="auto" w:fill="FFFFFF"/>
        <w:kinsoku/>
        <w:wordWrap/>
        <w:topLinePunct w:val="0"/>
        <w:bidi w:val="0"/>
        <w:spacing w:line="560" w:lineRule="exact"/>
        <w:ind w:firstLine="640" w:firstLineChars="200"/>
        <w:jc w:val="left"/>
        <w:rPr>
          <w:rFonts w:hint="eastAsia" w:ascii="楷体_GB2312" w:hAnsi="楷体_GB2312" w:eastAsia="楷体_GB2312" w:cs="楷体_GB2312"/>
          <w:b w:val="0"/>
          <w:bCs w:val="0"/>
          <w:color w:val="auto"/>
          <w:spacing w:val="0"/>
          <w:sz w:val="32"/>
          <w:szCs w:val="32"/>
          <w:highlight w:val="none"/>
          <w:shd w:val="clear" w:color="auto" w:fill="auto"/>
          <w:lang w:val="en-US" w:eastAsia="zh-CN"/>
        </w:rPr>
      </w:pPr>
      <w:r>
        <w:rPr>
          <w:rFonts w:hint="eastAsia" w:ascii="楷体_GB2312" w:hAnsi="楷体_GB2312" w:eastAsia="楷体_GB2312" w:cs="楷体_GB2312"/>
          <w:b w:val="0"/>
          <w:bCs w:val="0"/>
          <w:color w:val="auto"/>
          <w:spacing w:val="0"/>
          <w:sz w:val="32"/>
          <w:szCs w:val="32"/>
          <w:highlight w:val="none"/>
          <w:shd w:val="clear" w:color="auto" w:fill="auto"/>
          <w:lang w:val="en-US" w:eastAsia="zh-CN"/>
        </w:rPr>
        <w:t>保护区划分</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kern w:val="2"/>
          <w:sz w:val="32"/>
          <w:szCs w:val="32"/>
          <w:lang w:val="en-US" w:eastAsia="zh-CN" w:bidi="ar-SA"/>
        </w:rPr>
      </w:pPr>
      <w:r>
        <w:rPr>
          <w:rFonts w:hint="eastAsia" w:ascii="仿宋_GB2312" w:hAnsi="黑体" w:eastAsia="仿宋_GB2312" w:cs="仿宋_GB2312"/>
          <w:kern w:val="2"/>
          <w:sz w:val="32"/>
          <w:szCs w:val="32"/>
          <w:lang w:val="en-US" w:eastAsia="zh-CN" w:bidi="ar-SA"/>
        </w:rPr>
        <w:t>《饮用水水源保护区划分技术规范》（HJ338-2018）中地下水饮用水水源保护区划分的技术方法主要有：经验值法、经验公式法和数值模型计算法3种，可根据不同水源的水文地质特征和水源规模选择不同的保护区划分方法。</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kern w:val="2"/>
          <w:sz w:val="32"/>
          <w:szCs w:val="32"/>
          <w:lang w:val="en-US" w:eastAsia="zh-CN" w:bidi="ar-SA"/>
        </w:rPr>
      </w:pPr>
      <w:r>
        <w:rPr>
          <w:rFonts w:hint="eastAsia" w:ascii="仿宋_GB2312" w:hAnsi="黑体" w:eastAsia="仿宋_GB2312" w:cs="仿宋_GB2312"/>
          <w:kern w:val="2"/>
          <w:sz w:val="32"/>
          <w:szCs w:val="32"/>
          <w:lang w:val="en-US" w:eastAsia="zh-CN" w:bidi="ar-SA"/>
        </w:rPr>
        <w:t>2019年8月生态环境部《关于推进乡镇及以下集中式饮用水水源地生态环境保护工作的指导意见》（环水体函〔2019〕92号）（以下简称“92号文”）中规定：各地在保障农村水源地水质安全的前提下，结合当地实际，因地制宜合理确定农村饮用水水源保护区。原则上，地下水型保护区，以取水口为中心，径向距离不小于30米。2024年北京市生态环境局办公室 北京市水务局办公室《关于进一步规范本市饮用水水源保护管理工作的通知》（京环办〔2024〕74号）要求“各区生态环境、水务部门参照《饮用水水源保护区划分技术规范》（HJ338-2018）、《关于推进乡镇及以下集中式饮用水水源地生态环境保护工作的指导意见》（环水体函〔2019〕92号）以及《分散式饮用水水源地环境保护指南（试行）》（环办〔2010〕132号）等文件要求，共同对名录内水源地开展保护区或保护范围的划定。”</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黑体" w:eastAsia="仿宋_GB2312" w:cs="仿宋_GB2312"/>
          <w:kern w:val="2"/>
          <w:sz w:val="32"/>
          <w:szCs w:val="32"/>
          <w:lang w:val="en-US" w:eastAsia="zh-CN" w:bidi="ar-SA"/>
        </w:rPr>
      </w:pPr>
      <w:bookmarkStart w:id="0" w:name="OLE_LINK99"/>
      <w:r>
        <w:rPr>
          <w:rFonts w:hint="eastAsia" w:ascii="仿宋_GB2312" w:hAnsi="黑体" w:eastAsia="仿宋_GB2312" w:cs="仿宋_GB2312"/>
          <w:kern w:val="2"/>
          <w:sz w:val="32"/>
          <w:szCs w:val="32"/>
          <w:lang w:val="en-US" w:eastAsia="zh-CN" w:bidi="ar-SA"/>
        </w:rPr>
        <w:t>怀柔区的功能定位为</w:t>
      </w:r>
      <w:bookmarkStart w:id="1" w:name="OLE_LINK47"/>
      <w:r>
        <w:rPr>
          <w:rFonts w:hint="eastAsia" w:ascii="仿宋_GB2312" w:hAnsi="黑体" w:eastAsia="仿宋_GB2312" w:cs="仿宋_GB2312"/>
          <w:kern w:val="2"/>
          <w:sz w:val="32"/>
          <w:szCs w:val="32"/>
          <w:lang w:val="en-US" w:eastAsia="zh-CN" w:bidi="ar-SA"/>
        </w:rPr>
        <w:t>生态涵养区</w:t>
      </w:r>
      <w:bookmarkEnd w:id="1"/>
      <w:r>
        <w:rPr>
          <w:rFonts w:hint="eastAsia" w:ascii="仿宋_GB2312" w:hAnsi="黑体" w:eastAsia="仿宋_GB2312" w:cs="仿宋_GB2312"/>
          <w:kern w:val="2"/>
          <w:sz w:val="32"/>
          <w:szCs w:val="32"/>
          <w:lang w:val="en-US" w:eastAsia="zh-CN" w:bidi="ar-SA"/>
        </w:rPr>
        <w:t>，根据《关于推动生态涵养区生态保护和绿色发展的实施意见》的通知，要求对生态涵养区加强规划管控，严格按照“两线三区”进行规划建设管理，严守生态保护红线，严控房地产开发建设，严格控制建设规模严格执行新增产业禁止和限制目录，严禁不符合主体功能定位的各类开发活动，加大拆违控违力度，确保区域生态空间只增不减、土地开发强度只降不升。且怀柔区南部已基本纳入怀柔区区级饮用水水源地、</w:t>
      </w:r>
      <w:r>
        <w:rPr>
          <w:rFonts w:hint="eastAsia" w:ascii="仿宋_GB2312" w:hAnsi="黑体" w:cs="仿宋_GB2312"/>
          <w:kern w:val="2"/>
          <w:sz w:val="32"/>
          <w:szCs w:val="32"/>
          <w:lang w:val="en-US" w:eastAsia="zh-CN" w:bidi="ar-SA"/>
        </w:rPr>
        <w:t>第八水厂</w:t>
      </w:r>
      <w:r>
        <w:rPr>
          <w:rFonts w:hint="eastAsia" w:ascii="仿宋_GB2312" w:hAnsi="黑体" w:eastAsia="仿宋_GB2312" w:cs="仿宋_GB2312"/>
          <w:kern w:val="2"/>
          <w:sz w:val="32"/>
          <w:szCs w:val="32"/>
          <w:lang w:val="en-US" w:eastAsia="zh-CN" w:bidi="ar-SA"/>
        </w:rPr>
        <w:t>水源地和怀柔水库准保护区范围内，因此本次调整及划分水源保护区的饮用水水源地均不再另设准保护区。</w:t>
      </w:r>
    </w:p>
    <w:bookmarkEnd w:id="0"/>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bookmarkStart w:id="2" w:name="OLE_LINK106"/>
      <w:r>
        <w:rPr>
          <w:rFonts w:hint="eastAsia" w:ascii="仿宋_GB2312" w:hAnsi="黑体" w:cs="仿宋_GB2312"/>
          <w:kern w:val="2"/>
          <w:sz w:val="32"/>
          <w:szCs w:val="32"/>
          <w:lang w:val="en-US" w:eastAsia="zh-CN" w:bidi="ar-SA"/>
        </w:rPr>
        <w:t>综合</w:t>
      </w:r>
      <w:r>
        <w:rPr>
          <w:rFonts w:hint="eastAsia" w:ascii="仿宋_GB2312" w:hAnsi="黑体" w:eastAsia="仿宋_GB2312" w:cs="仿宋_GB2312"/>
          <w:kern w:val="2"/>
          <w:sz w:val="32"/>
          <w:szCs w:val="32"/>
          <w:lang w:val="en-US" w:eastAsia="zh-CN" w:bidi="ar-SA"/>
        </w:rPr>
        <w:t>考虑</w:t>
      </w:r>
      <w:r>
        <w:rPr>
          <w:rFonts w:hint="eastAsia" w:ascii="仿宋_GB2312" w:hAnsi="黑体" w:cs="仿宋_GB2312"/>
          <w:kern w:val="2"/>
          <w:sz w:val="32"/>
          <w:szCs w:val="32"/>
          <w:lang w:val="en-US" w:eastAsia="zh-CN" w:bidi="ar-SA"/>
        </w:rPr>
        <w:t>本次调整划分水源保护地的</w:t>
      </w:r>
      <w:r>
        <w:rPr>
          <w:rFonts w:hint="eastAsia" w:ascii="仿宋_GB2312" w:hAnsi="黑体" w:eastAsia="仿宋_GB2312" w:cs="仿宋_GB2312"/>
          <w:kern w:val="2"/>
          <w:sz w:val="32"/>
          <w:szCs w:val="32"/>
          <w:lang w:val="en-US" w:eastAsia="zh-CN" w:bidi="ar-SA"/>
        </w:rPr>
        <w:t>井口保护措施、水质状况、环境风险、水源巡查制度</w:t>
      </w:r>
      <w:r>
        <w:rPr>
          <w:rFonts w:hint="eastAsia" w:ascii="仿宋_GB2312" w:hAnsi="黑体" w:cs="仿宋_GB2312"/>
          <w:kern w:val="2"/>
          <w:sz w:val="32"/>
          <w:szCs w:val="32"/>
          <w:lang w:val="en-US" w:eastAsia="zh-CN" w:bidi="ar-SA"/>
        </w:rPr>
        <w:t>等</w:t>
      </w:r>
      <w:r>
        <w:rPr>
          <w:rFonts w:hint="eastAsia" w:ascii="仿宋_GB2312" w:hAnsi="黑体" w:eastAsia="仿宋_GB2312" w:cs="仿宋_GB2312"/>
          <w:kern w:val="2"/>
          <w:sz w:val="32"/>
          <w:szCs w:val="32"/>
          <w:lang w:val="en-US" w:eastAsia="zh-CN" w:bidi="ar-SA"/>
        </w:rPr>
        <w:t>实际情况</w:t>
      </w:r>
      <w:r>
        <w:rPr>
          <w:rFonts w:hint="eastAsia" w:ascii="仿宋_GB2312" w:hAnsi="黑体" w:cs="仿宋_GB2312"/>
          <w:kern w:val="2"/>
          <w:sz w:val="32"/>
          <w:szCs w:val="32"/>
          <w:lang w:val="en-US" w:eastAsia="zh-CN" w:bidi="ar-SA"/>
        </w:rPr>
        <w:t>，以及与</w:t>
      </w:r>
      <w:r>
        <w:rPr>
          <w:rFonts w:hint="eastAsia" w:ascii="仿宋_GB2312" w:hAnsi="黑体" w:eastAsia="仿宋_GB2312" w:cs="仿宋_GB2312"/>
          <w:kern w:val="2"/>
          <w:sz w:val="32"/>
          <w:szCs w:val="32"/>
          <w:lang w:val="en-US" w:eastAsia="zh-CN" w:bidi="ar-SA"/>
        </w:rPr>
        <w:t>生态涵养区</w:t>
      </w:r>
      <w:r>
        <w:rPr>
          <w:rFonts w:hint="eastAsia" w:ascii="仿宋_GB2312" w:hAnsi="黑体" w:cs="仿宋_GB2312"/>
          <w:kern w:val="2"/>
          <w:sz w:val="32"/>
          <w:szCs w:val="32"/>
          <w:lang w:val="en-US" w:eastAsia="zh-CN" w:bidi="ar-SA"/>
        </w:rPr>
        <w:t>、饮用水水源准保护区的位置关系</w:t>
      </w:r>
      <w:r>
        <w:rPr>
          <w:rFonts w:hint="eastAsia" w:ascii="仿宋_GB2312" w:hAnsi="黑体" w:eastAsia="仿宋_GB2312" w:cs="仿宋_GB2312"/>
          <w:kern w:val="2"/>
          <w:sz w:val="32"/>
          <w:szCs w:val="32"/>
          <w:lang w:val="en-US" w:eastAsia="zh-CN" w:bidi="ar-SA"/>
        </w:rPr>
        <w:t>，结合《关于推进乡镇及以下集中式饮用水水源地生态环境保护工作的指导意见》（环水体函〔2019〕92 号）中“地下水型保护区，以取水口为中心，径向距离不小于 30 米”的相关要求，以及水务部门30m的管理范围和管理的便利性，所有水源保护区均为以水源井为核心的圆，最终确定本次调整及划分水源保护区的集中式饮用水水源地一级保护区均为以水源井为核心的30m范围，不设二级保护区和准保护区。</w:t>
      </w:r>
      <w:bookmarkEnd w:id="2"/>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right="0" w:rightChars="0" w:firstLine="640" w:firstLineChars="200"/>
        <w:jc w:val="both"/>
        <w:textAlignment w:val="center"/>
        <w:outlineLvl w:val="9"/>
        <w:rPr>
          <w:rFonts w:hint="eastAsia" w:ascii="楷体_GB2312" w:hAnsi="楷体_GB2312" w:eastAsia="楷体_GB2312" w:cs="楷体_GB2312"/>
          <w:b w:val="0"/>
          <w:bCs w:val="0"/>
          <w:color w:val="auto"/>
          <w:spacing w:val="0"/>
          <w:sz w:val="32"/>
          <w:szCs w:val="32"/>
          <w:highlight w:val="none"/>
          <w:shd w:val="clear" w:color="auto" w:fill="auto"/>
          <w:lang w:val="en-US" w:eastAsia="zh-CN"/>
        </w:rPr>
      </w:pPr>
      <w:r>
        <w:rPr>
          <w:rFonts w:hint="eastAsia" w:ascii="楷体_GB2312" w:hAnsi="楷体_GB2312" w:eastAsia="楷体_GB2312" w:cs="楷体_GB2312"/>
          <w:b w:val="0"/>
          <w:bCs w:val="0"/>
          <w:color w:val="auto"/>
          <w:spacing w:val="0"/>
          <w:sz w:val="32"/>
          <w:szCs w:val="32"/>
          <w:highlight w:val="none"/>
          <w:shd w:val="clear" w:color="auto" w:fill="auto"/>
          <w:lang w:val="en-US" w:eastAsia="zh-CN"/>
        </w:rPr>
        <w:t>（三）划分结果</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lang w:val="en-US" w:eastAsia="zh-CN"/>
        </w:rPr>
      </w:pPr>
      <w:r>
        <w:rPr>
          <w:rFonts w:hint="eastAsia" w:ascii="仿宋_GB2312" w:hAnsi="Times New Roman" w:cs="Times New Roman"/>
          <w:sz w:val="32"/>
          <w:szCs w:val="32"/>
          <w:highlight w:val="none"/>
          <w:lang w:val="en-US" w:eastAsia="zh-CN"/>
        </w:rPr>
        <w:t>本次调整和划分水源保护区的26个集中式饮用水水源地（4个镇级水源地、22个村级水源地）</w:t>
      </w:r>
      <w:r>
        <w:rPr>
          <w:rFonts w:hint="eastAsia" w:ascii="仿宋_GB2312" w:hAnsi="Times New Roman" w:eastAsia="仿宋_GB2312" w:cs="Times New Roman"/>
          <w:sz w:val="32"/>
          <w:szCs w:val="32"/>
          <w:highlight w:val="none"/>
          <w:lang w:val="en-US" w:eastAsia="zh-CN"/>
        </w:rPr>
        <w:t>均属于地下水型中小型水源地，依据相关文件要求</w:t>
      </w:r>
      <w:r>
        <w:rPr>
          <w:rFonts w:hint="eastAsia" w:ascii="仿宋_GB2312" w:hAnsi="Times New Roman" w:cs="Times New Roman"/>
          <w:sz w:val="32"/>
          <w:szCs w:val="32"/>
          <w:highlight w:val="none"/>
          <w:lang w:val="en-US" w:eastAsia="zh-CN"/>
        </w:rPr>
        <w:t>及管理现状</w:t>
      </w:r>
      <w:r>
        <w:rPr>
          <w:rFonts w:hint="eastAsia" w:ascii="仿宋_GB2312" w:hAnsi="Times New Roman" w:eastAsia="仿宋_GB2312" w:cs="Times New Roman"/>
          <w:sz w:val="32"/>
          <w:szCs w:val="32"/>
          <w:highlight w:val="none"/>
          <w:lang w:val="en-US" w:eastAsia="zh-CN"/>
        </w:rPr>
        <w:t>，</w:t>
      </w:r>
      <w:r>
        <w:rPr>
          <w:rFonts w:hint="eastAsia" w:ascii="仿宋_GB2312" w:hAnsi="Times New Roman" w:cs="Times New Roman"/>
          <w:sz w:val="32"/>
          <w:szCs w:val="32"/>
          <w:highlight w:val="none"/>
          <w:lang w:val="en-US" w:eastAsia="zh-CN"/>
        </w:rPr>
        <w:t>均设一级保护区，</w:t>
      </w:r>
      <w:r>
        <w:rPr>
          <w:rFonts w:hint="eastAsia" w:ascii="仿宋_GB2312" w:hAnsi="黑体" w:cs="仿宋_GB2312"/>
          <w:kern w:val="2"/>
          <w:sz w:val="32"/>
          <w:szCs w:val="32"/>
          <w:lang w:val="en-US" w:eastAsia="zh-CN" w:bidi="ar-SA"/>
        </w:rPr>
        <w:t>均</w:t>
      </w:r>
      <w:r>
        <w:rPr>
          <w:rFonts w:hint="eastAsia" w:ascii="仿宋_GB2312" w:hAnsi="黑体" w:eastAsia="仿宋_GB2312" w:cs="仿宋_GB2312"/>
          <w:kern w:val="2"/>
          <w:sz w:val="32"/>
          <w:szCs w:val="32"/>
          <w:lang w:val="en-US" w:eastAsia="zh-CN" w:bidi="ar-SA"/>
        </w:rPr>
        <w:t>不设二级保护区和准保护区</w:t>
      </w:r>
      <w:r>
        <w:rPr>
          <w:rFonts w:hint="eastAsia" w:ascii="仿宋_GB2312" w:hAnsi="黑体" w:cs="仿宋_GB2312"/>
          <w:kern w:val="2"/>
          <w:sz w:val="32"/>
          <w:szCs w:val="32"/>
          <w:lang w:val="en-US" w:eastAsia="zh-CN" w:bidi="ar-SA"/>
        </w:rPr>
        <w:t>，</w:t>
      </w:r>
      <w:r>
        <w:rPr>
          <w:rFonts w:hint="eastAsia" w:ascii="仿宋_GB2312" w:hAnsi="黑体" w:eastAsia="仿宋_GB2312" w:cs="仿宋_GB2312"/>
          <w:kern w:val="2"/>
          <w:sz w:val="32"/>
          <w:szCs w:val="32"/>
          <w:lang w:val="en-US" w:eastAsia="zh-CN" w:bidi="ar-SA"/>
        </w:rPr>
        <w:t>一级保护区均为以水源井为核心的30m范围。</w:t>
      </w:r>
    </w:p>
    <w:p>
      <w:pPr>
        <w:keepNext w:val="0"/>
        <w:keepLines w:val="0"/>
        <w:pageBreakBefore w:val="0"/>
        <w:widowControl w:val="0"/>
        <w:numPr>
          <w:ilvl w:val="0"/>
          <w:numId w:val="0"/>
        </w:numPr>
        <w:kinsoku/>
        <w:wordWrap/>
        <w:overflowPunct w:val="0"/>
        <w:topLinePunct w:val="0"/>
        <w:autoSpaceDE w:val="0"/>
        <w:autoSpaceDN w:val="0"/>
        <w:bidi w:val="0"/>
        <w:adjustRightInd/>
        <w:snapToGrid/>
        <w:spacing w:line="560" w:lineRule="exact"/>
        <w:ind w:right="0" w:rightChars="0" w:firstLine="640" w:firstLineChars="200"/>
        <w:jc w:val="both"/>
        <w:textAlignment w:val="center"/>
        <w:outlineLvl w:val="9"/>
        <w:rPr>
          <w:rFonts w:hint="default" w:ascii="楷体_GB2312" w:hAnsi="楷体_GB2312" w:eastAsia="楷体_GB2312" w:cs="楷体_GB2312"/>
          <w:b w:val="0"/>
          <w:bCs w:val="0"/>
          <w:color w:val="auto"/>
          <w:spacing w:val="0"/>
          <w:sz w:val="32"/>
          <w:szCs w:val="32"/>
          <w:highlight w:val="none"/>
          <w:shd w:val="clear" w:color="auto" w:fill="auto"/>
          <w:lang w:val="en-US" w:eastAsia="zh-CN"/>
        </w:rPr>
      </w:pPr>
      <w:r>
        <w:rPr>
          <w:rFonts w:hint="eastAsia" w:ascii="楷体_GB2312" w:hAnsi="楷体_GB2312" w:eastAsia="楷体_GB2312" w:cs="楷体_GB2312"/>
          <w:b w:val="0"/>
          <w:bCs w:val="0"/>
          <w:color w:val="auto"/>
          <w:spacing w:val="0"/>
          <w:sz w:val="32"/>
          <w:szCs w:val="32"/>
          <w:highlight w:val="none"/>
          <w:shd w:val="clear" w:color="auto" w:fill="auto"/>
          <w:lang w:val="en-US" w:eastAsia="zh-CN"/>
        </w:rPr>
        <w:t>（四）管理要求</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《中华人民共和国生态环境法典》第三百一十八条 在饮用水水源保护区内，禁止设置排污口。第三百一十九条 禁止在饮用水水源一级保护区内新建、改建、扩建与供水设施和保护水源无关的建设项目；已建成的与供水设施和保护水源无关的建设项目，由县级以上人民政府责令拆除或者关闭。</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关于答复全国集中式饮用水水源地环境保护专项行动有关问题的函》（环办环监函〔2018〕767号）要求：饮用水水源保护区内的排污口应拆除或关闭。对雨污分流彻底的城市雨水排口、排涝口，在饮用水水源保护区内的可暂不拆除或关闭，同时加强监测监管，在非降雨季节保持干燥清洁；在降雨时，确保排水水质符合饮用水水源地水质保护要求。否则，应限期整改，逾期整改仍不符合要求的，限期拆除或关闭原排口。饮用水水源保护区内排放污染物的工业企业应拆除或关闭。原住居民住宅允许在饮用水水源保护区内保留，其生产的生活污水和垃圾必须收集处理；仅针对原住居民的非经营性新农村建设、安居工程建设项目，可以在饮用水水源二级保护区内保留，但产生的生活污水和垃圾必须进行收集处理。饮用水水源一级保护区内加油站和加气站应拆除或关闭。《关于推进乡镇及以下集中式饮用水水源地生态环境保护工作的指导意见》（环水体函〔2019〕92号）要求：对保护区内设置的排污口，应限期拆除。对保护区划定后，违法违规建设的项目，依法依规由县级以上地方人民政府坚决取缔。</w:t>
      </w:r>
    </w:p>
    <w:p>
      <w:pPr>
        <w:keepNext w:val="0"/>
        <w:keepLines w:val="0"/>
        <w:pageBreakBefore w:val="0"/>
        <w:widowControl w:val="0"/>
        <w:numPr>
          <w:ilvl w:val="0"/>
          <w:numId w:val="3"/>
        </w:numPr>
        <w:kinsoku/>
        <w:wordWrap/>
        <w:overflowPunct w:val="0"/>
        <w:topLinePunct w:val="0"/>
        <w:autoSpaceDE w:val="0"/>
        <w:autoSpaceDN w:val="0"/>
        <w:bidi w:val="0"/>
        <w:adjustRightInd/>
        <w:snapToGrid/>
        <w:spacing w:line="560" w:lineRule="exact"/>
        <w:ind w:right="0" w:rightChars="0" w:firstLine="640" w:firstLineChars="200"/>
        <w:jc w:val="both"/>
        <w:textAlignment w:val="center"/>
        <w:outlineLvl w:val="9"/>
        <w:rPr>
          <w:rFonts w:hint="eastAsia" w:ascii="楷体_GB2312" w:hAnsi="楷体_GB2312" w:eastAsia="楷体_GB2312" w:cs="楷体_GB2312"/>
          <w:b w:val="0"/>
          <w:bCs w:val="0"/>
          <w:color w:val="auto"/>
          <w:spacing w:val="0"/>
          <w:sz w:val="32"/>
          <w:szCs w:val="32"/>
          <w:highlight w:val="none"/>
          <w:shd w:val="clear" w:color="auto" w:fill="auto"/>
          <w:lang w:val="en-US" w:eastAsia="zh-CN"/>
        </w:rPr>
      </w:pPr>
      <w:r>
        <w:rPr>
          <w:rFonts w:hint="eastAsia" w:ascii="楷体_GB2312" w:hAnsi="楷体_GB2312" w:eastAsia="楷体_GB2312" w:cs="楷体_GB2312"/>
          <w:b w:val="0"/>
          <w:bCs w:val="0"/>
          <w:color w:val="auto"/>
          <w:spacing w:val="0"/>
          <w:sz w:val="32"/>
          <w:szCs w:val="32"/>
          <w:highlight w:val="none"/>
          <w:shd w:val="clear" w:color="auto" w:fill="auto"/>
          <w:lang w:val="en-US" w:eastAsia="zh-CN"/>
        </w:rPr>
        <w:t>清理整治要求</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本次调整及划分的水源保护区范围内现状主要有居民住宅、企事业单位办公用房、学校、库房、旧汽车停放点、供暖站、社区卫生服务站、生活垃圾分类投放点、农业用地和交通穿越等潜在风险源，不存在产生生产废水的工业企业。应按照《中华人民共和国生态环境法典》《关于答复全国集中式饮用水水源地环境保护专项行动有关问题的函》（环办环监函〔2018〕767号）、《关于推进乡镇及以下集中式饮用水水源地生态环境保护工作的指导意见》（环水体函〔2019〕92号）等相关法规文件要求开展水源保护区内风险源清理整治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baseline"/>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三、请示事项</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现将</w:t>
      </w:r>
      <w:r>
        <w:rPr>
          <w:rFonts w:hint="eastAsia" w:ascii="仿宋_GB2312" w:hAnsi="仿宋_GB2312" w:eastAsia="仿宋_GB2312" w:cs="仿宋_GB2312"/>
          <w:b w:val="0"/>
          <w:bCs w:val="0"/>
          <w:color w:val="auto"/>
          <w:sz w:val="32"/>
          <w:szCs w:val="32"/>
          <w:lang w:val="en-US" w:eastAsia="zh-CN"/>
        </w:rPr>
        <w:t>《北京市怀柔区集中式饮用水水源保护区调整划分</w:t>
      </w:r>
      <w:r>
        <w:rPr>
          <w:rFonts w:hint="eastAsia" w:ascii="仿宋_GB2312" w:hAnsi="仿宋_GB2312" w:cs="仿宋_GB2312"/>
          <w:b w:val="0"/>
          <w:bCs w:val="0"/>
          <w:color w:val="auto"/>
          <w:sz w:val="32"/>
          <w:szCs w:val="32"/>
          <w:lang w:val="en-US" w:eastAsia="zh-CN"/>
        </w:rPr>
        <w:t>结果</w:t>
      </w:r>
      <w:r>
        <w:rPr>
          <w:rFonts w:hint="eastAsia" w:ascii="仿宋_GB2312" w:hAnsi="仿宋_GB2312" w:eastAsia="仿宋_GB2312" w:cs="仿宋_GB2312"/>
          <w:b w:val="0"/>
          <w:bCs w:val="0"/>
          <w:color w:val="auto"/>
          <w:sz w:val="32"/>
          <w:szCs w:val="32"/>
          <w:lang w:val="en-US" w:eastAsia="zh-CN"/>
        </w:rPr>
        <w:t>》</w:t>
      </w:r>
      <w:r>
        <w:rPr>
          <w:rFonts w:hint="eastAsia" w:ascii="仿宋_GB2312" w:hAnsi="Times New Roman" w:cs="Times New Roman"/>
          <w:sz w:val="32"/>
          <w:szCs w:val="32"/>
          <w:highlight w:val="none"/>
          <w:lang w:val="en-US" w:eastAsia="zh-CN"/>
        </w:rPr>
        <w:t>提请区政府常务会审议，如会议讨论通过，拟根据会议意见修改完善后，以区政府名义印发执行。该文件属性为主动公开。</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cs="Times New Roman"/>
          <w:sz w:val="32"/>
          <w:szCs w:val="32"/>
          <w:highlight w:val="none"/>
          <w:lang w:val="en-US" w:eastAsia="zh-CN"/>
        </w:rPr>
      </w:pPr>
      <w:r>
        <w:rPr>
          <w:rFonts w:hint="eastAsia" w:ascii="仿宋_GB2312" w:hAnsi="Times New Roman" w:cs="Times New Roman"/>
          <w:sz w:val="32"/>
          <w:szCs w:val="32"/>
          <w:highlight w:val="none"/>
          <w:lang w:val="en-US" w:eastAsia="zh-CN"/>
        </w:rPr>
        <w:t>妥否，请批示。</w:t>
      </w:r>
    </w:p>
    <w:p>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Times New Roman" w:cs="Times New Roman"/>
          <w:sz w:val="32"/>
          <w:szCs w:val="32"/>
          <w:highlight w:val="none"/>
          <w:lang w:val="en-US" w:eastAsia="zh-CN"/>
        </w:rPr>
      </w:pPr>
    </w:p>
    <w:sectPr>
      <w:pgSz w:w="11906" w:h="16838"/>
      <w:pgMar w:top="1440" w:right="1474" w:bottom="1440"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altName w:val="黑体"/>
    <w:panose1 w:val="02000000000000000000"/>
    <w:charset w:val="86"/>
    <w:family w:val="script"/>
    <w:pitch w:val="default"/>
    <w:sig w:usb0="00000000" w:usb1="00000000" w:usb2="00000012"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DAA4D7"/>
    <w:multiLevelType w:val="singleLevel"/>
    <w:tmpl w:val="AADAA4D7"/>
    <w:lvl w:ilvl="0" w:tentative="0">
      <w:start w:val="2"/>
      <w:numFmt w:val="chineseCounting"/>
      <w:suff w:val="nothing"/>
      <w:lvlText w:val="（%1）"/>
      <w:lvlJc w:val="left"/>
      <w:rPr>
        <w:rFonts w:hint="eastAsia"/>
      </w:rPr>
    </w:lvl>
  </w:abstractNum>
  <w:abstractNum w:abstractNumId="1">
    <w:nsid w:val="2F54ED8B"/>
    <w:multiLevelType w:val="singleLevel"/>
    <w:tmpl w:val="2F54ED8B"/>
    <w:lvl w:ilvl="0" w:tentative="0">
      <w:start w:val="1"/>
      <w:numFmt w:val="chineseCounting"/>
      <w:suff w:val="nothing"/>
      <w:lvlText w:val="%1、"/>
      <w:lvlJc w:val="left"/>
      <w:rPr>
        <w:rFonts w:hint="eastAsia"/>
      </w:rPr>
    </w:lvl>
  </w:abstractNum>
  <w:abstractNum w:abstractNumId="2">
    <w:nsid w:val="654478C8"/>
    <w:multiLevelType w:val="singleLevel"/>
    <w:tmpl w:val="654478C8"/>
    <w:lvl w:ilvl="0" w:tentative="0">
      <w:start w:val="5"/>
      <w:numFmt w:val="chineseCounting"/>
      <w:suff w:val="nothing"/>
      <w:lvlText w:val="（%1）"/>
      <w:lvlJc w:val="left"/>
      <w:rPr>
        <w:rFonts w:hint="eastAsi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4MzI3NjA3YzkyMjIxZWYzYzFiNGZhZTI5ZTE3YTcifQ=="/>
  </w:docVars>
  <w:rsids>
    <w:rsidRoot w:val="00742D89"/>
    <w:rsid w:val="000322A8"/>
    <w:rsid w:val="00037067"/>
    <w:rsid w:val="00052764"/>
    <w:rsid w:val="000D5EFA"/>
    <w:rsid w:val="000F3F74"/>
    <w:rsid w:val="00116DA5"/>
    <w:rsid w:val="00134D88"/>
    <w:rsid w:val="001407EE"/>
    <w:rsid w:val="00153FBB"/>
    <w:rsid w:val="00157E1A"/>
    <w:rsid w:val="0016090B"/>
    <w:rsid w:val="001B0DDE"/>
    <w:rsid w:val="001B6751"/>
    <w:rsid w:val="001E4518"/>
    <w:rsid w:val="00242C57"/>
    <w:rsid w:val="002F3F8B"/>
    <w:rsid w:val="0030350E"/>
    <w:rsid w:val="00343FAD"/>
    <w:rsid w:val="0036653F"/>
    <w:rsid w:val="003B28D8"/>
    <w:rsid w:val="003E7511"/>
    <w:rsid w:val="00442250"/>
    <w:rsid w:val="00464B1B"/>
    <w:rsid w:val="00473ED7"/>
    <w:rsid w:val="004749E4"/>
    <w:rsid w:val="004B63CD"/>
    <w:rsid w:val="004D3D7E"/>
    <w:rsid w:val="005106CB"/>
    <w:rsid w:val="00550699"/>
    <w:rsid w:val="005B511E"/>
    <w:rsid w:val="005C462E"/>
    <w:rsid w:val="005E1ABE"/>
    <w:rsid w:val="005E5245"/>
    <w:rsid w:val="005F025D"/>
    <w:rsid w:val="006B2D51"/>
    <w:rsid w:val="00704940"/>
    <w:rsid w:val="00742D89"/>
    <w:rsid w:val="00751090"/>
    <w:rsid w:val="00787C68"/>
    <w:rsid w:val="007D23A7"/>
    <w:rsid w:val="00801B5D"/>
    <w:rsid w:val="00870009"/>
    <w:rsid w:val="00890DE7"/>
    <w:rsid w:val="008F78C0"/>
    <w:rsid w:val="00940066"/>
    <w:rsid w:val="00946E4B"/>
    <w:rsid w:val="0096769C"/>
    <w:rsid w:val="009C43D6"/>
    <w:rsid w:val="009E78C3"/>
    <w:rsid w:val="00A01B5D"/>
    <w:rsid w:val="00A63A2E"/>
    <w:rsid w:val="00AA38AD"/>
    <w:rsid w:val="00AB376F"/>
    <w:rsid w:val="00AC6530"/>
    <w:rsid w:val="00B122C1"/>
    <w:rsid w:val="00B55512"/>
    <w:rsid w:val="00BC69D3"/>
    <w:rsid w:val="00BC6FFD"/>
    <w:rsid w:val="00C11F92"/>
    <w:rsid w:val="00C22A1F"/>
    <w:rsid w:val="00C3576B"/>
    <w:rsid w:val="00C80B7D"/>
    <w:rsid w:val="00CA6472"/>
    <w:rsid w:val="00CC4394"/>
    <w:rsid w:val="00CD010A"/>
    <w:rsid w:val="00D66920"/>
    <w:rsid w:val="00D75BEF"/>
    <w:rsid w:val="00DC51F1"/>
    <w:rsid w:val="00DD0B73"/>
    <w:rsid w:val="00DE21A6"/>
    <w:rsid w:val="00DF762F"/>
    <w:rsid w:val="00E0632E"/>
    <w:rsid w:val="00E347E0"/>
    <w:rsid w:val="00E80337"/>
    <w:rsid w:val="00EB70DC"/>
    <w:rsid w:val="00ED1350"/>
    <w:rsid w:val="00EE1BFE"/>
    <w:rsid w:val="00F23643"/>
    <w:rsid w:val="00F4414C"/>
    <w:rsid w:val="00FA481F"/>
    <w:rsid w:val="00FA4850"/>
    <w:rsid w:val="00FF535A"/>
    <w:rsid w:val="048861BD"/>
    <w:rsid w:val="053B1A79"/>
    <w:rsid w:val="068941A4"/>
    <w:rsid w:val="0C8A677F"/>
    <w:rsid w:val="0F3E6CA0"/>
    <w:rsid w:val="10D2041C"/>
    <w:rsid w:val="258B7B79"/>
    <w:rsid w:val="26B411FC"/>
    <w:rsid w:val="2DFFDE11"/>
    <w:rsid w:val="2EED1724"/>
    <w:rsid w:val="2F7EEE8E"/>
    <w:rsid w:val="36F9175B"/>
    <w:rsid w:val="37B051C1"/>
    <w:rsid w:val="38EE7B1A"/>
    <w:rsid w:val="3AAA1C17"/>
    <w:rsid w:val="3B272257"/>
    <w:rsid w:val="3BFF32EF"/>
    <w:rsid w:val="3C6B7334"/>
    <w:rsid w:val="3CBF6139"/>
    <w:rsid w:val="3F7A48B5"/>
    <w:rsid w:val="47FEC7E6"/>
    <w:rsid w:val="4D693BB4"/>
    <w:rsid w:val="4E2118E5"/>
    <w:rsid w:val="4EC62359"/>
    <w:rsid w:val="504B4CA4"/>
    <w:rsid w:val="51E63D57"/>
    <w:rsid w:val="53092FC5"/>
    <w:rsid w:val="546567E8"/>
    <w:rsid w:val="5644487F"/>
    <w:rsid w:val="56951617"/>
    <w:rsid w:val="59BB5797"/>
    <w:rsid w:val="5AD62AA1"/>
    <w:rsid w:val="5B9F378E"/>
    <w:rsid w:val="5C414D27"/>
    <w:rsid w:val="5ECB5688"/>
    <w:rsid w:val="5FCF7812"/>
    <w:rsid w:val="5FF7C065"/>
    <w:rsid w:val="676E209B"/>
    <w:rsid w:val="69682DFA"/>
    <w:rsid w:val="6A070584"/>
    <w:rsid w:val="6D581A59"/>
    <w:rsid w:val="6F3A3E57"/>
    <w:rsid w:val="75C62206"/>
    <w:rsid w:val="7AFA0B7B"/>
    <w:rsid w:val="7EA760A6"/>
    <w:rsid w:val="7FDFB288"/>
    <w:rsid w:val="7FDFEEB0"/>
    <w:rsid w:val="855F9CAE"/>
    <w:rsid w:val="9BFF446A"/>
    <w:rsid w:val="9E5E51B7"/>
    <w:rsid w:val="ADE7A8F3"/>
    <w:rsid w:val="B3FF2FB8"/>
    <w:rsid w:val="B8C7837C"/>
    <w:rsid w:val="BAFEC5D2"/>
    <w:rsid w:val="BD7FE504"/>
    <w:rsid w:val="BE3B43EB"/>
    <w:rsid w:val="BFBF4759"/>
    <w:rsid w:val="CFB77076"/>
    <w:rsid w:val="CFFC5177"/>
    <w:rsid w:val="DDED38B2"/>
    <w:rsid w:val="DEEDD7FD"/>
    <w:rsid w:val="DFAEBF16"/>
    <w:rsid w:val="DFE294B8"/>
    <w:rsid w:val="E3FEE636"/>
    <w:rsid w:val="E77F1E24"/>
    <w:rsid w:val="EBCFE731"/>
    <w:rsid w:val="EF67FC14"/>
    <w:rsid w:val="F2EA8BBE"/>
    <w:rsid w:val="F6D5B22A"/>
    <w:rsid w:val="F6FFA137"/>
    <w:rsid w:val="F795F71C"/>
    <w:rsid w:val="F7BF56BB"/>
    <w:rsid w:val="F7D5683F"/>
    <w:rsid w:val="FB3D701F"/>
    <w:rsid w:val="FBD619B1"/>
    <w:rsid w:val="FCFF4032"/>
    <w:rsid w:val="FDD14B19"/>
    <w:rsid w:val="FFDFE36D"/>
    <w:rsid w:val="FFEF5363"/>
    <w:rsid w:val="FFFF52B5"/>
    <w:rsid w:val="FFFF8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qFormat="1" w:unhideWhenUsed="0" w:uiPriority="0" w:semiHidden="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pPr>
      <w:spacing w:before="0" w:after="140" w:line="276" w:lineRule="auto"/>
    </w:pPr>
  </w:style>
  <w:style w:type="paragraph" w:customStyle="1" w:styleId="3">
    <w:name w:val="toc 1"/>
    <w:next w:val="1"/>
    <w:qFormat/>
    <w:uiPriority w:val="0"/>
    <w:pPr>
      <w:widowControl/>
      <w:wordWrap w:val="0"/>
      <w:autoSpaceDE/>
      <w:autoSpaceDN/>
      <w:spacing w:before="0" w:after="0" w:line="240" w:lineRule="auto"/>
      <w:ind w:left="0" w:firstLine="0"/>
      <w:jc w:val="both"/>
    </w:pPr>
    <w:rPr>
      <w:rFonts w:ascii="Times New Roman" w:hAnsi="Times New Roman" w:eastAsia="宋体" w:cs="Times New Roman"/>
      <w:sz w:val="21"/>
      <w:szCs w:val="22"/>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napToGrid w:val="0"/>
      <w:spacing w:line="560" w:lineRule="exact"/>
      <w:ind w:firstLine="200" w:firstLineChars="200"/>
      <w:jc w:val="left"/>
    </w:pPr>
    <w:rPr>
      <w:rFonts w:ascii="微软雅黑" w:hAnsi="微软雅黑" w:eastAsia="微软雅黑"/>
      <w:kern w:val="0"/>
      <w:sz w:val="24"/>
      <w:szCs w:val="24"/>
    </w:rPr>
  </w:style>
  <w:style w:type="paragraph" w:styleId="7">
    <w:name w:val="Title"/>
    <w:basedOn w:val="1"/>
    <w:next w:val="1"/>
    <w:qFormat/>
    <w:uiPriority w:val="0"/>
    <w:pPr>
      <w:spacing w:before="240" w:after="60"/>
      <w:jc w:val="center"/>
      <w:outlineLvl w:val="0"/>
    </w:pPr>
    <w:rPr>
      <w:rFonts w:ascii="Cambria" w:hAnsi="Cambria"/>
      <w:b/>
      <w:bCs/>
      <w:sz w:val="32"/>
      <w:szCs w:val="32"/>
    </w:rPr>
  </w:style>
  <w:style w:type="paragraph" w:customStyle="1" w:styleId="10">
    <w:name w:val="目录 11"/>
    <w:next w:val="1"/>
    <w:qFormat/>
    <w:uiPriority w:val="0"/>
    <w:pPr>
      <w:wordWrap w:val="0"/>
      <w:jc w:val="both"/>
    </w:pPr>
    <w:rPr>
      <w:rFonts w:ascii="Times New Roman" w:hAnsi="Times New Roman" w:eastAsia="宋体" w:cs="Times New Roman"/>
      <w:sz w:val="21"/>
      <w:szCs w:val="22"/>
      <w:lang w:val="en-US" w:eastAsia="zh-CN" w:bidi="ar-SA"/>
    </w:rPr>
  </w:style>
  <w:style w:type="character" w:customStyle="1" w:styleId="11">
    <w:name w:val="页眉 Char"/>
    <w:basedOn w:val="9"/>
    <w:link w:val="5"/>
    <w:qFormat/>
    <w:uiPriority w:val="99"/>
    <w:rPr>
      <w:rFonts w:ascii="Times New Roman" w:hAnsi="Times New Roman" w:eastAsia="仿宋_GB2312" w:cs="Times New Roman"/>
      <w:sz w:val="18"/>
      <w:szCs w:val="18"/>
    </w:rPr>
  </w:style>
  <w:style w:type="character" w:customStyle="1" w:styleId="12">
    <w:name w:val="页脚 Char"/>
    <w:basedOn w:val="9"/>
    <w:link w:val="4"/>
    <w:qFormat/>
    <w:uiPriority w:val="99"/>
    <w:rPr>
      <w:rFonts w:ascii="Times New Roman" w:hAnsi="Times New Roman" w:eastAsia="仿宋_GB2312" w:cs="Times New Roman"/>
      <w:sz w:val="18"/>
      <w:szCs w:val="18"/>
    </w:rPr>
  </w:style>
  <w:style w:type="paragraph" w:customStyle="1" w:styleId="13">
    <w:name w:val="List Paragraph"/>
    <w:basedOn w:val="1"/>
    <w:qFormat/>
    <w:uiPriority w:val="34"/>
    <w:pPr>
      <w:ind w:firstLine="420" w:firstLineChars="200"/>
    </w:pPr>
  </w:style>
  <w:style w:type="paragraph" w:customStyle="1" w:styleId="14">
    <w:name w:val="Default"/>
    <w:qFormat/>
    <w:uiPriority w:val="0"/>
    <w:pPr>
      <w:widowControl w:val="0"/>
      <w:autoSpaceDE w:val="0"/>
      <w:autoSpaceDN w:val="0"/>
      <w:adjustRightInd w:val="0"/>
    </w:pPr>
    <w:rPr>
      <w:rFonts w:ascii="微软雅黑" w:hAnsi="微软雅黑" w:eastAsia="微软雅黑" w:cs="Times New Roman"/>
      <w:color w:val="000000"/>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6</Pages>
  <Words>2854</Words>
  <Characters>2979</Characters>
  <Lines>9</Lines>
  <Paragraphs>2</Paragraphs>
  <TotalTime>0</TotalTime>
  <ScaleCrop>false</ScaleCrop>
  <LinksUpToDate>false</LinksUpToDate>
  <CharactersWithSpaces>2986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2025-11-18T23:18:00Z</dcterms:created>
  <dc:creator>杨 永强</dc:creator>
  <cp:lastModifiedBy>风雨兼程</cp:lastModifiedBy>
  <dcterms:modified xsi:type="dcterms:W3CDTF">2026-09-22T02:54:44Z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A51E28B39B3248C4B358475A0C199476_13</vt:lpwstr>
  </property>
  <property fmtid="{D5CDD505-2E9C-101B-9397-08002B2CF9AE}" pid="4" name="KSOTemplateDocerSaveRecord">
    <vt:lpwstr>eyJoZGlkIjoiMzZiZWNhMjNlY2Q0ZDQzMzRlYmUzM2RkMDMwYTA1NTciLCJ1c2VySWQiOiIxMTU5NDIzMzA0In0=</vt:lpwstr>
  </property>
</Properties>
</file>