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1B339A">
      <w:pPr>
        <w:adjustRightInd w:val="0"/>
        <w:snapToGrid w:val="0"/>
        <w:spacing w:line="560" w:lineRule="exact"/>
        <w:ind w:firstLine="1400"/>
        <w:rPr>
          <w:rFonts w:hint="default" w:ascii="Times New Roman" w:hAnsi="Times New Roman" w:eastAsia="微软雅黑" w:cs="Times New Roman"/>
          <w:sz w:val="70"/>
          <w:szCs w:val="70"/>
        </w:rPr>
      </w:pPr>
    </w:p>
    <w:p w14:paraId="48707B93">
      <w:pPr>
        <w:pStyle w:val="6"/>
        <w:adjustRightInd w:val="0"/>
        <w:snapToGrid w:val="0"/>
        <w:spacing w:after="0" w:line="560" w:lineRule="exact"/>
        <w:ind w:firstLine="420"/>
        <w:rPr>
          <w:rFonts w:hint="default" w:ascii="Times New Roman" w:hAnsi="Times New Roman" w:eastAsia="方正小标宋简体" w:cs="Times New Roman"/>
        </w:rPr>
      </w:pPr>
    </w:p>
    <w:p w14:paraId="487EB429">
      <w:pPr>
        <w:adjustRightInd w:val="0"/>
        <w:snapToGrid w:val="0"/>
        <w:spacing w:line="560" w:lineRule="exact"/>
        <w:ind w:left="3360" w:hanging="3360" w:hangingChars="600"/>
        <w:jc w:val="center"/>
        <w:rPr>
          <w:rFonts w:hint="default" w:ascii="Times New Roman" w:hAnsi="Times New Roman" w:eastAsia="方正小标宋简体" w:cs="Times New Roman"/>
          <w:sz w:val="56"/>
          <w:szCs w:val="56"/>
        </w:rPr>
      </w:pPr>
      <w:r>
        <w:rPr>
          <w:rFonts w:hint="default" w:ascii="Times New Roman" w:hAnsi="Times New Roman" w:eastAsia="方正小标宋简体" w:cs="Times New Roman"/>
          <w:sz w:val="56"/>
          <w:szCs w:val="56"/>
        </w:rPr>
        <w:t>“十五五”时期东城区新时代</w:t>
      </w:r>
    </w:p>
    <w:p w14:paraId="58E279EB">
      <w:pPr>
        <w:adjustRightInd w:val="0"/>
        <w:snapToGrid w:val="0"/>
        <w:spacing w:line="560" w:lineRule="exact"/>
        <w:ind w:left="3360" w:hanging="3360" w:hangingChars="600"/>
        <w:jc w:val="center"/>
        <w:rPr>
          <w:rFonts w:hint="default" w:ascii="Times New Roman" w:hAnsi="Times New Roman" w:eastAsia="方正小标宋简体" w:cs="Times New Roman"/>
          <w:sz w:val="56"/>
          <w:szCs w:val="56"/>
        </w:rPr>
      </w:pPr>
      <w:r>
        <w:rPr>
          <w:rFonts w:hint="default" w:ascii="Times New Roman" w:hAnsi="Times New Roman" w:eastAsia="方正小标宋简体" w:cs="Times New Roman"/>
          <w:sz w:val="56"/>
          <w:szCs w:val="56"/>
        </w:rPr>
        <w:t>网格化治理</w:t>
      </w:r>
      <w:r>
        <w:rPr>
          <w:rFonts w:hint="eastAsia" w:ascii="Times New Roman" w:hAnsi="Times New Roman" w:eastAsia="方正小标宋简体" w:cs="Times New Roman"/>
          <w:sz w:val="56"/>
          <w:szCs w:val="56"/>
          <w:lang w:eastAsia="zh-CN"/>
        </w:rPr>
        <w:t>发展</w:t>
      </w:r>
      <w:r>
        <w:rPr>
          <w:rFonts w:hint="default" w:ascii="Times New Roman" w:hAnsi="Times New Roman" w:eastAsia="方正小标宋简体" w:cs="Times New Roman"/>
          <w:sz w:val="56"/>
          <w:szCs w:val="56"/>
        </w:rPr>
        <w:t>规划</w:t>
      </w:r>
    </w:p>
    <w:p w14:paraId="57307A91">
      <w:pPr>
        <w:pStyle w:val="6"/>
        <w:keepNext w:val="0"/>
        <w:keepLines w:val="0"/>
        <w:pageBreakBefore w:val="0"/>
        <w:widowControl w:val="0"/>
        <w:kinsoku/>
        <w:wordWrap/>
        <w:overflowPunct/>
        <w:topLinePunct w:val="0"/>
        <w:autoSpaceDE/>
        <w:autoSpaceDN/>
        <w:bidi w:val="0"/>
        <w:spacing w:after="0" w:line="760" w:lineRule="exact"/>
        <w:ind w:left="0" w:firstLine="0" w:firstLineChars="0"/>
        <w:jc w:val="right"/>
        <w:textAlignment w:val="auto"/>
        <w:rPr>
          <w:rFonts w:hint="default" w:ascii="Times New Roman" w:hAnsi="Times New Roman" w:eastAsia="方正小标宋简体" w:cs="Times New Roman"/>
          <w:color w:val="auto"/>
          <w:sz w:val="36"/>
          <w:szCs w:val="36"/>
          <w:lang w:val="en-US" w:eastAsia="zh-CN"/>
        </w:rPr>
      </w:pPr>
      <w:r>
        <w:rPr>
          <w:rFonts w:hint="default" w:ascii="Times New Roman" w:hAnsi="Times New Roman" w:eastAsia="方正小标宋简体" w:cs="Times New Roman"/>
          <w:color w:val="auto"/>
          <w:sz w:val="36"/>
          <w:szCs w:val="36"/>
          <w:lang w:eastAsia="zh-CN"/>
        </w:rPr>
        <w:t>——</w:t>
      </w:r>
      <w:r>
        <w:rPr>
          <w:rFonts w:hint="default" w:ascii="Times New Roman" w:hAnsi="Times New Roman" w:eastAsia="方正小标宋简体" w:cs="Times New Roman"/>
          <w:color w:val="auto"/>
          <w:sz w:val="36"/>
          <w:szCs w:val="36"/>
          <w:lang w:val="en-US" w:eastAsia="zh-CN"/>
        </w:rPr>
        <w:t>打造首都功能核心区</w:t>
      </w:r>
      <w:r>
        <w:rPr>
          <w:rFonts w:hint="default" w:ascii="Times New Roman" w:hAnsi="Times New Roman" w:eastAsia="方正小标宋简体" w:cs="Times New Roman"/>
          <w:color w:val="auto"/>
          <w:sz w:val="36"/>
          <w:szCs w:val="36"/>
          <w:lang w:eastAsia="zh-CN"/>
        </w:rPr>
        <w:t>“智网数格”</w:t>
      </w:r>
      <w:r>
        <w:rPr>
          <w:rFonts w:hint="default" w:ascii="Times New Roman" w:hAnsi="Times New Roman" w:eastAsia="方正小标宋简体" w:cs="Times New Roman"/>
          <w:color w:val="auto"/>
          <w:sz w:val="36"/>
          <w:szCs w:val="36"/>
          <w:lang w:val="en-US" w:eastAsia="zh-CN"/>
        </w:rPr>
        <w:t>AI治理新范式</w:t>
      </w:r>
    </w:p>
    <w:p w14:paraId="25DBEF9A">
      <w:pPr>
        <w:pStyle w:val="8"/>
        <w:jc w:val="center"/>
        <w:rPr>
          <w:rFonts w:hint="eastAsia" w:eastAsia="方正小标宋简体"/>
          <w:color w:val="auto"/>
          <w:sz w:val="36"/>
          <w:szCs w:val="36"/>
          <w:lang w:eastAsia="zh-CN"/>
        </w:rPr>
      </w:pPr>
      <w:r>
        <w:rPr>
          <w:rFonts w:hint="eastAsia" w:eastAsia="方正小标宋简体"/>
          <w:color w:val="auto"/>
          <w:sz w:val="36"/>
          <w:szCs w:val="36"/>
          <w:lang w:eastAsia="zh-CN"/>
        </w:rPr>
        <w:t>（</w:t>
      </w:r>
      <w:r>
        <w:rPr>
          <w:rFonts w:hint="eastAsia" w:eastAsia="方正小标宋简体"/>
          <w:color w:val="auto"/>
          <w:sz w:val="36"/>
          <w:szCs w:val="36"/>
          <w:lang w:val="en-US" w:eastAsia="zh-CN"/>
        </w:rPr>
        <w:t>征求意见</w:t>
      </w:r>
      <w:r>
        <w:rPr>
          <w:rFonts w:hint="eastAsia" w:eastAsia="方正小标宋简体"/>
          <w:color w:val="auto"/>
          <w:sz w:val="36"/>
          <w:szCs w:val="36"/>
          <w:lang w:eastAsia="zh-CN"/>
        </w:rPr>
        <w:t>稿）</w:t>
      </w:r>
      <w:bookmarkStart w:id="204" w:name="_GoBack"/>
      <w:bookmarkEnd w:id="204"/>
    </w:p>
    <w:p w14:paraId="223EA215">
      <w:pPr>
        <w:adjustRightInd w:val="0"/>
        <w:snapToGrid w:val="0"/>
        <w:spacing w:line="560" w:lineRule="exact"/>
        <w:ind w:firstLine="1400"/>
        <w:rPr>
          <w:rFonts w:hint="default" w:ascii="Times New Roman" w:hAnsi="Times New Roman" w:eastAsia="微软雅黑" w:cs="Times New Roman"/>
          <w:sz w:val="70"/>
          <w:szCs w:val="70"/>
        </w:rPr>
      </w:pPr>
    </w:p>
    <w:p w14:paraId="12F338EE">
      <w:pPr>
        <w:adjustRightInd w:val="0"/>
        <w:snapToGrid w:val="0"/>
        <w:spacing w:line="560" w:lineRule="exact"/>
        <w:ind w:firstLine="1400"/>
        <w:jc w:val="center"/>
        <w:rPr>
          <w:rFonts w:hint="default" w:ascii="Times New Roman" w:hAnsi="Times New Roman" w:eastAsia="微软雅黑" w:cs="Times New Roman"/>
          <w:sz w:val="70"/>
          <w:szCs w:val="70"/>
        </w:rPr>
      </w:pPr>
    </w:p>
    <w:p w14:paraId="606B81C8">
      <w:pPr>
        <w:tabs>
          <w:tab w:val="left" w:pos="7137"/>
        </w:tabs>
        <w:adjustRightInd w:val="0"/>
        <w:snapToGrid w:val="0"/>
        <w:spacing w:line="560" w:lineRule="exact"/>
        <w:ind w:firstLine="1400"/>
        <w:rPr>
          <w:rFonts w:hint="default" w:ascii="Times New Roman" w:hAnsi="Times New Roman" w:eastAsia="微软雅黑" w:cs="Times New Roman"/>
          <w:sz w:val="70"/>
          <w:szCs w:val="70"/>
        </w:rPr>
      </w:pPr>
      <w:r>
        <w:rPr>
          <w:rFonts w:hint="default" w:ascii="Times New Roman" w:hAnsi="Times New Roman" w:eastAsia="微软雅黑" w:cs="Times New Roman"/>
          <w:sz w:val="70"/>
          <w:szCs w:val="70"/>
        </w:rPr>
        <w:tab/>
      </w:r>
    </w:p>
    <w:p w14:paraId="32B3DCB1">
      <w:pPr>
        <w:pStyle w:val="6"/>
        <w:adjustRightInd w:val="0"/>
        <w:snapToGrid w:val="0"/>
        <w:spacing w:after="0" w:line="560" w:lineRule="exact"/>
        <w:ind w:firstLine="420"/>
        <w:rPr>
          <w:rFonts w:hint="default" w:ascii="Times New Roman" w:hAnsi="Times New Roman" w:cs="Times New Roman"/>
        </w:rPr>
      </w:pPr>
    </w:p>
    <w:p w14:paraId="07097636">
      <w:pPr>
        <w:adjustRightInd w:val="0"/>
        <w:snapToGrid w:val="0"/>
        <w:spacing w:line="560" w:lineRule="exact"/>
        <w:ind w:firstLine="560"/>
        <w:rPr>
          <w:rFonts w:hint="default" w:ascii="Times New Roman" w:hAnsi="Times New Roman" w:eastAsia="微软雅黑" w:cs="Times New Roman"/>
          <w:sz w:val="28"/>
          <w:szCs w:val="28"/>
        </w:rPr>
      </w:pPr>
    </w:p>
    <w:p w14:paraId="72B99769">
      <w:pPr>
        <w:adjustRightInd w:val="0"/>
        <w:snapToGrid w:val="0"/>
        <w:spacing w:line="560" w:lineRule="exact"/>
        <w:ind w:firstLine="560"/>
        <w:rPr>
          <w:rFonts w:hint="default" w:ascii="Times New Roman" w:hAnsi="Times New Roman" w:eastAsia="微软雅黑" w:cs="Times New Roman"/>
          <w:sz w:val="28"/>
          <w:szCs w:val="28"/>
        </w:rPr>
      </w:pPr>
    </w:p>
    <w:p w14:paraId="0667F8CC">
      <w:pPr>
        <w:adjustRightInd w:val="0"/>
        <w:snapToGrid w:val="0"/>
        <w:spacing w:line="560" w:lineRule="exact"/>
        <w:ind w:firstLine="720"/>
        <w:rPr>
          <w:rFonts w:hint="default" w:ascii="Times New Roman" w:hAnsi="Times New Roman" w:eastAsia="微软雅黑" w:cs="Times New Roman"/>
          <w:sz w:val="36"/>
          <w:szCs w:val="36"/>
        </w:rPr>
      </w:pPr>
    </w:p>
    <w:p w14:paraId="14BA6A86">
      <w:pPr>
        <w:adjustRightInd w:val="0"/>
        <w:snapToGrid w:val="0"/>
        <w:spacing w:line="560" w:lineRule="exact"/>
        <w:ind w:firstLine="2131" w:firstLineChars="692"/>
        <w:rPr>
          <w:rFonts w:hint="default" w:ascii="Times New Roman" w:hAnsi="Times New Roman" w:eastAsia="微软雅黑" w:cs="Times New Roman"/>
          <w:spacing w:val="-6"/>
          <w:sz w:val="32"/>
          <w:szCs w:val="24"/>
        </w:rPr>
      </w:pPr>
    </w:p>
    <w:p w14:paraId="2681B768">
      <w:pPr>
        <w:adjustRightInd w:val="0"/>
        <w:snapToGrid w:val="0"/>
        <w:spacing w:line="560" w:lineRule="exact"/>
        <w:ind w:firstLine="2131" w:firstLineChars="692"/>
        <w:rPr>
          <w:rFonts w:hint="default" w:ascii="Times New Roman" w:hAnsi="Times New Roman" w:eastAsia="微软雅黑" w:cs="Times New Roman"/>
          <w:spacing w:val="-6"/>
          <w:sz w:val="32"/>
          <w:szCs w:val="24"/>
        </w:rPr>
      </w:pPr>
    </w:p>
    <w:p w14:paraId="342763A9">
      <w:pPr>
        <w:adjustRightInd w:val="0"/>
        <w:snapToGrid w:val="0"/>
        <w:spacing w:line="560" w:lineRule="exact"/>
        <w:ind w:firstLine="2131" w:firstLineChars="692"/>
        <w:rPr>
          <w:rFonts w:hint="default" w:ascii="Times New Roman" w:hAnsi="Times New Roman" w:eastAsia="微软雅黑" w:cs="Times New Roman"/>
          <w:spacing w:val="-6"/>
          <w:sz w:val="32"/>
          <w:szCs w:val="24"/>
        </w:rPr>
      </w:pPr>
    </w:p>
    <w:p w14:paraId="77FB0CC6">
      <w:pPr>
        <w:adjustRightInd w:val="0"/>
        <w:snapToGrid w:val="0"/>
        <w:spacing w:line="560" w:lineRule="exact"/>
        <w:ind w:firstLine="2131" w:firstLineChars="692"/>
        <w:rPr>
          <w:rFonts w:hint="default" w:ascii="Times New Roman" w:hAnsi="Times New Roman" w:eastAsia="微软雅黑" w:cs="Times New Roman"/>
          <w:spacing w:val="-6"/>
          <w:sz w:val="32"/>
          <w:szCs w:val="24"/>
        </w:rPr>
      </w:pPr>
    </w:p>
    <w:p w14:paraId="5DA059C1">
      <w:pPr>
        <w:adjustRightInd w:val="0"/>
        <w:snapToGrid w:val="0"/>
        <w:spacing w:line="560" w:lineRule="exact"/>
        <w:jc w:val="center"/>
        <w:rPr>
          <w:rFonts w:hint="default" w:ascii="Times New Roman" w:hAnsi="Times New Roman" w:eastAsia="微软雅黑" w:cs="Times New Roman"/>
          <w:spacing w:val="-6"/>
          <w:sz w:val="32"/>
          <w:szCs w:val="24"/>
        </w:rPr>
      </w:pPr>
    </w:p>
    <w:p w14:paraId="3700A4FC">
      <w:pPr>
        <w:adjustRightInd w:val="0"/>
        <w:snapToGrid w:val="0"/>
        <w:spacing w:line="560" w:lineRule="exact"/>
        <w:jc w:val="center"/>
        <w:rPr>
          <w:rFonts w:hint="default" w:ascii="Times New Roman" w:hAnsi="Times New Roman" w:eastAsia="方正小标宋简体" w:cs="Times New Roman"/>
          <w:spacing w:val="-6"/>
          <w:sz w:val="36"/>
          <w:szCs w:val="36"/>
        </w:rPr>
      </w:pPr>
      <w:r>
        <w:rPr>
          <w:rFonts w:hint="default" w:ascii="Times New Roman" w:hAnsi="Times New Roman" w:eastAsia="方正小标宋简体" w:cs="Times New Roman"/>
          <w:spacing w:val="-6"/>
          <w:sz w:val="36"/>
          <w:szCs w:val="36"/>
        </w:rPr>
        <w:t>北京市东城区城市管理指挥中心</w:t>
      </w:r>
    </w:p>
    <w:p w14:paraId="180EC12A">
      <w:pPr>
        <w:adjustRightInd w:val="0"/>
        <w:snapToGrid w:val="0"/>
        <w:spacing w:line="560" w:lineRule="exact"/>
        <w:jc w:val="center"/>
        <w:rPr>
          <w:rFonts w:hint="default" w:ascii="Times New Roman" w:hAnsi="Times New Roman" w:eastAsia="方正小标宋简体" w:cs="Times New Roman"/>
          <w:spacing w:val="-6"/>
          <w:sz w:val="36"/>
          <w:szCs w:val="36"/>
        </w:rPr>
      </w:pPr>
      <w:r>
        <w:rPr>
          <w:rFonts w:hint="default" w:ascii="Times New Roman" w:hAnsi="Times New Roman" w:eastAsia="方正小标宋简体" w:cs="Times New Roman"/>
          <w:spacing w:val="-6"/>
          <w:sz w:val="36"/>
          <w:szCs w:val="36"/>
        </w:rPr>
        <w:t>2026年</w:t>
      </w:r>
      <w:r>
        <w:rPr>
          <w:rFonts w:hint="default" w:ascii="Times New Roman" w:hAnsi="Times New Roman" w:eastAsia="方正小标宋简体" w:cs="Times New Roman"/>
          <w:spacing w:val="-6"/>
          <w:sz w:val="36"/>
          <w:szCs w:val="36"/>
          <w:lang w:val="en-US" w:eastAsia="zh-CN"/>
        </w:rPr>
        <w:t>9</w:t>
      </w:r>
      <w:r>
        <w:rPr>
          <w:rFonts w:hint="default" w:ascii="Times New Roman" w:hAnsi="Times New Roman" w:eastAsia="方正小标宋简体" w:cs="Times New Roman"/>
          <w:spacing w:val="-6"/>
          <w:sz w:val="36"/>
          <w:szCs w:val="36"/>
        </w:rPr>
        <w:t>月</w:t>
      </w:r>
    </w:p>
    <w:p w14:paraId="14426274">
      <w:pPr>
        <w:adjustRightInd w:val="0"/>
        <w:snapToGrid w:val="0"/>
        <w:spacing w:line="560" w:lineRule="exact"/>
        <w:ind w:firstLine="616"/>
        <w:rPr>
          <w:rFonts w:hint="default" w:ascii="Times New Roman" w:hAnsi="Times New Roman" w:eastAsia="微软雅黑" w:cs="Times New Roman"/>
          <w:spacing w:val="-6"/>
          <w:sz w:val="32"/>
          <w:szCs w:val="24"/>
        </w:rPr>
        <w:sectPr>
          <w:headerReference r:id="rId5" w:type="first"/>
          <w:footerReference r:id="rId7" w:type="first"/>
          <w:headerReference r:id="rId4" w:type="even"/>
          <w:footerReference r:id="rId6" w:type="even"/>
          <w:footnotePr>
            <w:numFmt w:val="decimalEnclosedCircleChinese"/>
            <w:numRestart w:val="eachPage"/>
          </w:footnotePr>
          <w:pgSz w:w="11906" w:h="16838"/>
          <w:pgMar w:top="2098" w:right="1474" w:bottom="1984" w:left="1587" w:header="851" w:footer="992" w:gutter="0"/>
          <w:pgNumType w:start="1"/>
          <w:cols w:space="425" w:num="1"/>
          <w:docGrid w:type="lines" w:linePitch="312" w:charSpace="0"/>
        </w:sectPr>
      </w:pPr>
    </w:p>
    <w:sdt>
      <w:sdtPr>
        <w:rPr>
          <w:rFonts w:hint="default" w:ascii="Times New Roman" w:hAnsi="Times New Roman" w:eastAsia="方正小标宋简体" w:cs="Times New Roman"/>
          <w:color w:val="auto"/>
          <w:kern w:val="2"/>
          <w:sz w:val="21"/>
          <w:szCs w:val="22"/>
          <w:lang w:val="zh-CN"/>
        </w:rPr>
        <w:id w:val="80648504"/>
        <w:docPartObj>
          <w:docPartGallery w:val="Table of Contents"/>
          <w:docPartUnique/>
        </w:docPartObj>
      </w:sdtPr>
      <w:sdtEndPr>
        <w:rPr>
          <w:rFonts w:hint="default" w:ascii="Times New Roman" w:hAnsi="Times New Roman" w:cs="Times New Roman" w:eastAsiaTheme="minorEastAsia"/>
          <w:b/>
          <w:bCs/>
          <w:color w:val="auto"/>
          <w:kern w:val="2"/>
          <w:sz w:val="21"/>
          <w:szCs w:val="22"/>
          <w:lang w:val="zh-CN"/>
        </w:rPr>
      </w:sdtEndPr>
      <w:sdtContent>
        <w:p w14:paraId="26A533D1">
          <w:pPr>
            <w:pStyle w:val="39"/>
            <w:adjustRightInd w:val="0"/>
            <w:snapToGrid w:val="0"/>
            <w:spacing w:before="0" w:line="560" w:lineRule="exact"/>
            <w:jc w:val="center"/>
            <w:rPr>
              <w:rFonts w:hint="default" w:ascii="Times New Roman" w:hAnsi="Times New Roman" w:eastAsia="方正小标宋简体" w:cs="Times New Roman"/>
              <w:color w:val="auto"/>
              <w:sz w:val="44"/>
              <w:szCs w:val="44"/>
              <w:lang w:val="zh-CN"/>
            </w:rPr>
          </w:pPr>
          <w:r>
            <w:rPr>
              <w:rFonts w:hint="default" w:ascii="Times New Roman" w:hAnsi="Times New Roman" w:eastAsia="方正小标宋简体" w:cs="Times New Roman"/>
              <w:color w:val="auto"/>
              <w:sz w:val="44"/>
              <w:szCs w:val="44"/>
              <w:lang w:val="zh-CN"/>
            </w:rPr>
            <w:t>目录</w:t>
          </w:r>
        </w:p>
        <w:p w14:paraId="733FF6CA">
          <w:pPr>
            <w:adjustRightInd w:val="0"/>
            <w:snapToGrid w:val="0"/>
            <w:spacing w:line="560" w:lineRule="exact"/>
            <w:rPr>
              <w:rFonts w:hint="default" w:ascii="Times New Roman" w:hAnsi="Times New Roman" w:cs="Times New Roman"/>
              <w:lang w:val="en-US"/>
            </w:rPr>
          </w:pPr>
        </w:p>
        <w:p w14:paraId="10D9C139">
          <w:pPr>
            <w:pStyle w:val="12"/>
            <w:tabs>
              <w:tab w:val="right" w:leader="dot" w:pos="8845"/>
            </w:tabs>
            <w:spacing w:line="560" w:lineRule="exact"/>
            <w:rPr>
              <w:rFonts w:ascii="Times New Roman" w:hAnsi="Times New Roman" w:cs="Times New Roman"/>
              <w:sz w:val="28"/>
              <w:szCs w:val="32"/>
            </w:rPr>
          </w:pPr>
          <w:r>
            <w:rPr>
              <w:rFonts w:hint="default" w:ascii="Times New Roman" w:hAnsi="Times New Roman" w:cs="Times New Roman"/>
            </w:rPr>
            <w:fldChar w:fldCharType="begin"/>
          </w:r>
          <w:r>
            <w:rPr>
              <w:rFonts w:hint="default" w:ascii="Times New Roman" w:hAnsi="Times New Roman" w:cs="Times New Roman"/>
            </w:rPr>
            <w:instrText xml:space="preserve"> TOC \o "1-3" \h \z \u </w:instrText>
          </w:r>
          <w:r>
            <w:rPr>
              <w:rFonts w:hint="default" w:ascii="Times New Roman" w:hAnsi="Times New Roman" w:cs="Times New Roman"/>
            </w:rPr>
            <w:fldChar w:fldCharType="separate"/>
          </w: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_Toc471607232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rPr>
            <w:t>第一章 “十四五”时期发展回顾与形势研判</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_Toc471607232 \h </w:instrText>
          </w:r>
          <w:r>
            <w:rPr>
              <w:rFonts w:ascii="Times New Roman" w:hAnsi="Times New Roman" w:cs="Times New Roman"/>
              <w:sz w:val="28"/>
              <w:szCs w:val="32"/>
            </w:rPr>
            <w:fldChar w:fldCharType="separate"/>
          </w:r>
          <w:r>
            <w:rPr>
              <w:rFonts w:ascii="Times New Roman" w:hAnsi="Times New Roman" w:cs="Times New Roman"/>
              <w:sz w:val="28"/>
              <w:szCs w:val="32"/>
            </w:rPr>
            <w:t>1</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6A72AA3B">
          <w:pPr>
            <w:pStyle w:val="14"/>
            <w:tabs>
              <w:tab w:val="right" w:leader="dot" w:pos="8845"/>
            </w:tabs>
            <w:spacing w:line="560" w:lineRule="exact"/>
            <w:rPr>
              <w:rFonts w:ascii="Times New Roman" w:hAnsi="Times New Roman" w:cs="Times New Roman"/>
              <w:sz w:val="28"/>
              <w:szCs w:val="32"/>
            </w:rPr>
          </w:pP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_Toc1196020419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rPr>
            <w:t>一、发展回顾</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_Toc1196020419 \h </w:instrText>
          </w:r>
          <w:r>
            <w:rPr>
              <w:rFonts w:ascii="Times New Roman" w:hAnsi="Times New Roman" w:cs="Times New Roman"/>
              <w:sz w:val="28"/>
              <w:szCs w:val="32"/>
            </w:rPr>
            <w:fldChar w:fldCharType="separate"/>
          </w:r>
          <w:r>
            <w:rPr>
              <w:rFonts w:ascii="Times New Roman" w:hAnsi="Times New Roman" w:cs="Times New Roman"/>
              <w:sz w:val="28"/>
              <w:szCs w:val="32"/>
            </w:rPr>
            <w:t>1</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103785ED">
          <w:pPr>
            <w:pStyle w:val="7"/>
            <w:tabs>
              <w:tab w:val="right" w:leader="dot" w:pos="8845"/>
            </w:tabs>
            <w:spacing w:line="560" w:lineRule="exact"/>
            <w:rPr>
              <w:rFonts w:hint="default" w:ascii="Times New Roman" w:hAnsi="Times New Roman" w:eastAsia="楷体_GB2312"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_Toc889671031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32"/>
            </w:rPr>
            <w:t>（一）工作成效</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_Toc889671031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1</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156D16B3">
          <w:pPr>
            <w:pStyle w:val="7"/>
            <w:tabs>
              <w:tab w:val="right" w:leader="dot" w:pos="8845"/>
            </w:tabs>
            <w:spacing w:line="560" w:lineRule="exact"/>
            <w:rPr>
              <w:rFonts w:hint="default" w:ascii="Times New Roman" w:hAnsi="Times New Roman" w:eastAsia="楷体_GB2312"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_Toc581224038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32"/>
            </w:rPr>
            <w:t>（二）短板不足</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_Toc581224038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2</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06DD481E">
          <w:pPr>
            <w:pStyle w:val="14"/>
            <w:tabs>
              <w:tab w:val="right" w:leader="dot" w:pos="8845"/>
            </w:tabs>
            <w:spacing w:line="560" w:lineRule="exact"/>
            <w:rPr>
              <w:rFonts w:ascii="Times New Roman" w:hAnsi="Times New Roman" w:cs="Times New Roman"/>
              <w:sz w:val="28"/>
              <w:szCs w:val="32"/>
            </w:rPr>
          </w:pP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_Toc603315299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rPr>
            <w:t>二、形势</w:t>
          </w:r>
          <w:r>
            <w:rPr>
              <w:rFonts w:hint="default" w:ascii="Times New Roman" w:hAnsi="Times New Roman" w:cs="Times New Roman"/>
              <w:sz w:val="28"/>
              <w:szCs w:val="32"/>
              <w:lang w:eastAsia="zh-CN"/>
            </w:rPr>
            <w:t>与挑战</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_Toc603315299 \h </w:instrText>
          </w:r>
          <w:r>
            <w:rPr>
              <w:rFonts w:ascii="Times New Roman" w:hAnsi="Times New Roman" w:cs="Times New Roman"/>
              <w:sz w:val="28"/>
              <w:szCs w:val="32"/>
            </w:rPr>
            <w:fldChar w:fldCharType="separate"/>
          </w:r>
          <w:r>
            <w:rPr>
              <w:rFonts w:ascii="Times New Roman" w:hAnsi="Times New Roman" w:cs="Times New Roman"/>
              <w:sz w:val="28"/>
              <w:szCs w:val="32"/>
            </w:rPr>
            <w:t>3</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43BC8491">
          <w:pPr>
            <w:pStyle w:val="12"/>
            <w:tabs>
              <w:tab w:val="right" w:leader="dot" w:pos="8845"/>
            </w:tabs>
            <w:spacing w:line="560" w:lineRule="exact"/>
            <w:rPr>
              <w:rFonts w:ascii="Times New Roman" w:hAnsi="Times New Roman" w:cs="Times New Roman"/>
              <w:sz w:val="28"/>
              <w:szCs w:val="32"/>
            </w:rPr>
          </w:pP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_Toc1229146749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rPr>
            <w:t>第二章 “十五五”时期总体思路</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_Toc1229146749 \h </w:instrText>
          </w:r>
          <w:r>
            <w:rPr>
              <w:rFonts w:ascii="Times New Roman" w:hAnsi="Times New Roman" w:cs="Times New Roman"/>
              <w:sz w:val="28"/>
              <w:szCs w:val="32"/>
            </w:rPr>
            <w:fldChar w:fldCharType="separate"/>
          </w:r>
          <w:r>
            <w:rPr>
              <w:rFonts w:ascii="Times New Roman" w:hAnsi="Times New Roman" w:cs="Times New Roman"/>
              <w:sz w:val="28"/>
              <w:szCs w:val="32"/>
            </w:rPr>
            <w:t>4</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0248B254">
          <w:pPr>
            <w:pStyle w:val="14"/>
            <w:tabs>
              <w:tab w:val="right" w:leader="dot" w:pos="8845"/>
            </w:tabs>
            <w:spacing w:line="560" w:lineRule="exact"/>
            <w:rPr>
              <w:rFonts w:ascii="Times New Roman" w:hAnsi="Times New Roman" w:cs="Times New Roman"/>
              <w:sz w:val="28"/>
              <w:szCs w:val="32"/>
            </w:rPr>
          </w:pP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_Toc1837355045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rPr>
            <w:t>一、指导思想</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_Toc1837355045 \h </w:instrText>
          </w:r>
          <w:r>
            <w:rPr>
              <w:rFonts w:ascii="Times New Roman" w:hAnsi="Times New Roman" w:cs="Times New Roman"/>
              <w:sz w:val="28"/>
              <w:szCs w:val="32"/>
            </w:rPr>
            <w:fldChar w:fldCharType="separate"/>
          </w:r>
          <w:r>
            <w:rPr>
              <w:rFonts w:ascii="Times New Roman" w:hAnsi="Times New Roman" w:cs="Times New Roman"/>
              <w:sz w:val="28"/>
              <w:szCs w:val="32"/>
            </w:rPr>
            <w:t>4</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6F21B202">
          <w:pPr>
            <w:pStyle w:val="14"/>
            <w:tabs>
              <w:tab w:val="right" w:leader="dot" w:pos="8845"/>
            </w:tabs>
            <w:spacing w:line="560" w:lineRule="exact"/>
            <w:rPr>
              <w:rFonts w:ascii="Times New Roman" w:hAnsi="Times New Roman" w:cs="Times New Roman"/>
              <w:sz w:val="28"/>
              <w:szCs w:val="32"/>
            </w:rPr>
          </w:pP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_Toc1081339244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lang w:val="en-US" w:eastAsia="zh-CN"/>
            </w:rPr>
            <w:t>二</w:t>
          </w:r>
          <w:r>
            <w:rPr>
              <w:rFonts w:hint="default" w:ascii="Times New Roman" w:hAnsi="Times New Roman" w:cs="Times New Roman"/>
              <w:sz w:val="28"/>
              <w:szCs w:val="32"/>
            </w:rPr>
            <w:t>、主要目标</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_Toc1081339244 \h </w:instrText>
          </w:r>
          <w:r>
            <w:rPr>
              <w:rFonts w:ascii="Times New Roman" w:hAnsi="Times New Roman" w:cs="Times New Roman"/>
              <w:sz w:val="28"/>
              <w:szCs w:val="32"/>
            </w:rPr>
            <w:fldChar w:fldCharType="separate"/>
          </w:r>
          <w:r>
            <w:rPr>
              <w:rFonts w:ascii="Times New Roman" w:hAnsi="Times New Roman" w:cs="Times New Roman"/>
              <w:sz w:val="28"/>
              <w:szCs w:val="32"/>
            </w:rPr>
            <w:t>5</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5DB5FA58">
          <w:pPr>
            <w:pStyle w:val="12"/>
            <w:tabs>
              <w:tab w:val="right" w:leader="dot" w:pos="8845"/>
            </w:tabs>
            <w:spacing w:line="560" w:lineRule="exact"/>
            <w:rPr>
              <w:rFonts w:ascii="Times New Roman" w:hAnsi="Times New Roman" w:cs="Times New Roman"/>
              <w:sz w:val="28"/>
              <w:szCs w:val="32"/>
            </w:rPr>
          </w:pP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_Toc1125697149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rPr>
            <w:t>第三章 “十五五”时期主要任务</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_Toc1125697149 \h </w:instrText>
          </w:r>
          <w:r>
            <w:rPr>
              <w:rFonts w:ascii="Times New Roman" w:hAnsi="Times New Roman" w:cs="Times New Roman"/>
              <w:sz w:val="28"/>
              <w:szCs w:val="32"/>
            </w:rPr>
            <w:fldChar w:fldCharType="separate"/>
          </w:r>
          <w:r>
            <w:rPr>
              <w:rFonts w:ascii="Times New Roman" w:hAnsi="Times New Roman" w:cs="Times New Roman"/>
              <w:sz w:val="28"/>
              <w:szCs w:val="32"/>
            </w:rPr>
            <w:t>6</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249ED116">
          <w:pPr>
            <w:pStyle w:val="14"/>
            <w:tabs>
              <w:tab w:val="right" w:leader="dot" w:pos="8845"/>
            </w:tabs>
            <w:spacing w:line="560" w:lineRule="exact"/>
            <w:rPr>
              <w:rFonts w:ascii="Times New Roman" w:hAnsi="Times New Roman" w:cs="Times New Roman"/>
              <w:sz w:val="28"/>
              <w:szCs w:val="32"/>
            </w:rPr>
          </w:pP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_Toc851658798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rPr>
            <w:t>一、</w:t>
          </w:r>
          <w:r>
            <w:rPr>
              <w:rFonts w:hint="default" w:ascii="Times New Roman" w:hAnsi="Times New Roman" w:cs="Times New Roman"/>
              <w:sz w:val="28"/>
              <w:szCs w:val="32"/>
              <w:lang w:val="en-US" w:eastAsia="zh-CN"/>
            </w:rPr>
            <w:t>完善体系建设，夯实治理基础</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_Toc851658798 \h </w:instrText>
          </w:r>
          <w:r>
            <w:rPr>
              <w:rFonts w:ascii="Times New Roman" w:hAnsi="Times New Roman" w:cs="Times New Roman"/>
              <w:sz w:val="28"/>
              <w:szCs w:val="32"/>
            </w:rPr>
            <w:fldChar w:fldCharType="separate"/>
          </w:r>
          <w:r>
            <w:rPr>
              <w:rFonts w:ascii="Times New Roman" w:hAnsi="Times New Roman" w:cs="Times New Roman"/>
              <w:sz w:val="28"/>
              <w:szCs w:val="32"/>
            </w:rPr>
            <w:t>6</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41CC394F">
          <w:pPr>
            <w:pStyle w:val="7"/>
            <w:tabs>
              <w:tab w:val="right" w:leader="dot" w:pos="8845"/>
            </w:tabs>
            <w:spacing w:line="560" w:lineRule="exact"/>
            <w:rPr>
              <w:rFonts w:hint="default" w:ascii="Times New Roman" w:hAnsi="Times New Roman" w:eastAsia="楷体_GB2312"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_Toc2055010820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32"/>
            </w:rPr>
            <w:t>（一）党建引领网格治理，夯实组织基础</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_Toc2055010820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6</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311ABEFA">
          <w:pPr>
            <w:pStyle w:val="7"/>
            <w:tabs>
              <w:tab w:val="right" w:leader="dot" w:pos="8845"/>
            </w:tabs>
            <w:spacing w:line="560" w:lineRule="exact"/>
            <w:rPr>
              <w:rFonts w:hint="default" w:ascii="Times New Roman" w:hAnsi="Times New Roman" w:eastAsia="楷体_GB2312"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_Toc1363452925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32"/>
            </w:rPr>
            <w:t>（二）</w:t>
          </w:r>
          <w:r>
            <w:rPr>
              <w:rFonts w:hint="default" w:ascii="Times New Roman" w:hAnsi="Times New Roman" w:eastAsia="楷体_GB2312" w:cs="Times New Roman"/>
              <w:sz w:val="28"/>
              <w:szCs w:val="32"/>
              <w:lang w:val="en-US" w:eastAsia="zh-CN"/>
            </w:rPr>
            <w:t>推动平台业务归结</w:t>
          </w:r>
          <w:r>
            <w:rPr>
              <w:rFonts w:hint="default" w:ascii="Times New Roman" w:hAnsi="Times New Roman" w:eastAsia="楷体_GB2312" w:cs="Times New Roman"/>
              <w:sz w:val="28"/>
              <w:szCs w:val="32"/>
            </w:rPr>
            <w:t>，夯实</w:t>
          </w:r>
          <w:r>
            <w:rPr>
              <w:rFonts w:hint="default" w:ascii="Times New Roman" w:hAnsi="Times New Roman" w:eastAsia="楷体_GB2312" w:cs="Times New Roman"/>
              <w:sz w:val="28"/>
              <w:szCs w:val="32"/>
              <w:lang w:val="en-US" w:eastAsia="zh-CN"/>
            </w:rPr>
            <w:t>协作</w:t>
          </w:r>
          <w:r>
            <w:rPr>
              <w:rFonts w:hint="default" w:ascii="Times New Roman" w:hAnsi="Times New Roman" w:eastAsia="楷体_GB2312" w:cs="Times New Roman"/>
              <w:sz w:val="28"/>
              <w:szCs w:val="32"/>
            </w:rPr>
            <w:t>基础</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_Toc1363452925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7</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51647A8F">
          <w:pPr>
            <w:pStyle w:val="7"/>
            <w:tabs>
              <w:tab w:val="right" w:leader="dot" w:pos="8845"/>
            </w:tabs>
            <w:spacing w:line="560" w:lineRule="exact"/>
            <w:rPr>
              <w:rFonts w:hint="default" w:ascii="Times New Roman" w:hAnsi="Times New Roman" w:eastAsia="楷体_GB2312"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_Toc1807157468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32"/>
            </w:rPr>
            <w:t>（三）顺畅网格纵横</w:t>
          </w:r>
          <w:r>
            <w:rPr>
              <w:rFonts w:hint="default" w:ascii="Times New Roman" w:hAnsi="Times New Roman" w:eastAsia="楷体_GB2312" w:cs="Times New Roman"/>
              <w:sz w:val="28"/>
              <w:szCs w:val="32"/>
              <w:lang w:val="en-US" w:eastAsia="zh-CN"/>
            </w:rPr>
            <w:t>架构</w:t>
          </w:r>
          <w:r>
            <w:rPr>
              <w:rFonts w:hint="default" w:ascii="Times New Roman" w:hAnsi="Times New Roman" w:eastAsia="楷体_GB2312" w:cs="Times New Roman"/>
              <w:sz w:val="28"/>
              <w:szCs w:val="32"/>
            </w:rPr>
            <w:t>，夯实</w:t>
          </w:r>
          <w:r>
            <w:rPr>
              <w:rFonts w:hint="default" w:ascii="Times New Roman" w:hAnsi="Times New Roman" w:eastAsia="楷体_GB2312" w:cs="Times New Roman"/>
              <w:sz w:val="28"/>
              <w:szCs w:val="32"/>
              <w:lang w:val="en-US" w:eastAsia="zh-CN"/>
            </w:rPr>
            <w:t>运转</w:t>
          </w:r>
          <w:r>
            <w:rPr>
              <w:rFonts w:hint="default" w:ascii="Times New Roman" w:hAnsi="Times New Roman" w:eastAsia="楷体_GB2312" w:cs="Times New Roman"/>
              <w:sz w:val="28"/>
              <w:szCs w:val="32"/>
            </w:rPr>
            <w:t>基础</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_Toc1807157468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7</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563C0813">
          <w:pPr>
            <w:pStyle w:val="7"/>
            <w:tabs>
              <w:tab w:val="right" w:leader="dot" w:pos="8845"/>
            </w:tabs>
            <w:spacing w:line="560" w:lineRule="exact"/>
            <w:rPr>
              <w:rFonts w:ascii="Times New Roman" w:hAnsi="Times New Roman"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_Toc1738302457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32"/>
            </w:rPr>
            <w:t>（四）完善网格运行机制，夯实</w:t>
          </w:r>
          <w:r>
            <w:rPr>
              <w:rFonts w:hint="default" w:ascii="Times New Roman" w:hAnsi="Times New Roman" w:eastAsia="楷体_GB2312" w:cs="Times New Roman"/>
              <w:sz w:val="28"/>
              <w:szCs w:val="32"/>
              <w:lang w:val="en-US" w:eastAsia="zh-CN"/>
            </w:rPr>
            <w:t>工作</w:t>
          </w:r>
          <w:r>
            <w:rPr>
              <w:rFonts w:hint="default" w:ascii="Times New Roman" w:hAnsi="Times New Roman" w:eastAsia="楷体_GB2312" w:cs="Times New Roman"/>
              <w:sz w:val="28"/>
              <w:szCs w:val="32"/>
            </w:rPr>
            <w:t>基础</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_Toc1738302457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8</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5F213160">
          <w:pPr>
            <w:pStyle w:val="14"/>
            <w:tabs>
              <w:tab w:val="right" w:leader="dot" w:pos="8845"/>
            </w:tabs>
            <w:spacing w:line="560" w:lineRule="exact"/>
            <w:rPr>
              <w:rFonts w:ascii="Times New Roman" w:hAnsi="Times New Roman" w:cs="Times New Roman"/>
              <w:sz w:val="28"/>
              <w:szCs w:val="32"/>
            </w:rPr>
          </w:pP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_Toc1498254998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rPr>
            <w:t>二、建设“智网数格”，树立</w:t>
          </w:r>
          <w:r>
            <w:rPr>
              <w:rFonts w:hint="default" w:ascii="Times New Roman" w:hAnsi="Times New Roman" w:cs="Times New Roman"/>
              <w:sz w:val="28"/>
              <w:szCs w:val="32"/>
              <w:lang w:val="en-US" w:eastAsia="zh-CN"/>
            </w:rPr>
            <w:t>AI</w:t>
          </w:r>
          <w:r>
            <w:rPr>
              <w:rFonts w:hint="default" w:ascii="Times New Roman" w:hAnsi="Times New Roman" w:cs="Times New Roman"/>
              <w:sz w:val="28"/>
              <w:szCs w:val="32"/>
            </w:rPr>
            <w:t>数智标杆</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_Toc1498254998 \h </w:instrText>
          </w:r>
          <w:r>
            <w:rPr>
              <w:rFonts w:ascii="Times New Roman" w:hAnsi="Times New Roman" w:cs="Times New Roman"/>
              <w:sz w:val="28"/>
              <w:szCs w:val="32"/>
            </w:rPr>
            <w:fldChar w:fldCharType="separate"/>
          </w:r>
          <w:r>
            <w:rPr>
              <w:rFonts w:ascii="Times New Roman" w:hAnsi="Times New Roman" w:cs="Times New Roman"/>
              <w:sz w:val="28"/>
              <w:szCs w:val="32"/>
            </w:rPr>
            <w:t>8</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21EC0687">
          <w:pPr>
            <w:pStyle w:val="7"/>
            <w:tabs>
              <w:tab w:val="right" w:leader="dot" w:pos="8845"/>
            </w:tabs>
            <w:spacing w:line="560" w:lineRule="exact"/>
            <w:rPr>
              <w:rFonts w:hint="default" w:ascii="Times New Roman" w:hAnsi="Times New Roman" w:eastAsia="楷体_GB2312"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_Toc989733513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32"/>
            </w:rPr>
            <w:t>（一）</w:t>
          </w:r>
          <w:r>
            <w:rPr>
              <w:rFonts w:hint="default" w:ascii="Times New Roman" w:hAnsi="Times New Roman" w:eastAsia="楷体_GB2312" w:cs="Times New Roman"/>
              <w:sz w:val="28"/>
              <w:szCs w:val="32"/>
              <w:lang w:val="en-US" w:eastAsia="zh-CN"/>
            </w:rPr>
            <w:t>加快网格治理数智转型</w:t>
          </w:r>
          <w:r>
            <w:rPr>
              <w:rFonts w:hint="default" w:ascii="Times New Roman" w:hAnsi="Times New Roman" w:eastAsia="楷体_GB2312" w:cs="Times New Roman"/>
              <w:sz w:val="28"/>
              <w:szCs w:val="32"/>
            </w:rPr>
            <w:t>，</w:t>
          </w:r>
          <w:r>
            <w:rPr>
              <w:rFonts w:hint="default" w:ascii="Times New Roman" w:hAnsi="Times New Roman" w:eastAsia="楷体_GB2312" w:cs="Times New Roman"/>
              <w:sz w:val="28"/>
              <w:szCs w:val="32"/>
              <w:lang w:val="en-US" w:eastAsia="zh-CN"/>
            </w:rPr>
            <w:t>推进AI范式引领</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_Toc989733513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8</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21C42592">
          <w:pPr>
            <w:pStyle w:val="7"/>
            <w:tabs>
              <w:tab w:val="right" w:leader="dot" w:pos="8845"/>
            </w:tabs>
            <w:spacing w:line="560" w:lineRule="exact"/>
            <w:rPr>
              <w:rFonts w:hint="default" w:ascii="Times New Roman" w:hAnsi="Times New Roman" w:eastAsia="楷体_GB2312"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_Toc774972663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44"/>
            </w:rPr>
            <w:t>（二）</w:t>
          </w:r>
          <w:r>
            <w:rPr>
              <w:rFonts w:hint="default" w:ascii="Times New Roman" w:hAnsi="Times New Roman" w:eastAsia="楷体_GB2312" w:cs="Times New Roman"/>
              <w:sz w:val="28"/>
              <w:szCs w:val="44"/>
              <w:lang w:val="en-US" w:eastAsia="zh-CN"/>
            </w:rPr>
            <w:t>汇集</w:t>
          </w:r>
          <w:r>
            <w:rPr>
              <w:rFonts w:hint="default" w:ascii="Times New Roman" w:hAnsi="Times New Roman" w:eastAsia="楷体_GB2312" w:cs="Times New Roman"/>
              <w:sz w:val="28"/>
              <w:szCs w:val="32"/>
              <w:lang w:val="en-US" w:eastAsia="zh-CN"/>
            </w:rPr>
            <w:t>网格治理</w:t>
          </w:r>
          <w:r>
            <w:rPr>
              <w:rFonts w:hint="default" w:ascii="Times New Roman" w:hAnsi="Times New Roman" w:eastAsia="楷体_GB2312" w:cs="Times New Roman"/>
              <w:sz w:val="28"/>
              <w:szCs w:val="44"/>
            </w:rPr>
            <w:t>数据要素</w:t>
          </w:r>
          <w:r>
            <w:rPr>
              <w:rFonts w:hint="default" w:ascii="Times New Roman" w:hAnsi="Times New Roman" w:eastAsia="楷体_GB2312" w:cs="Times New Roman"/>
              <w:sz w:val="28"/>
              <w:szCs w:val="32"/>
            </w:rPr>
            <w:t>，</w:t>
          </w:r>
          <w:r>
            <w:rPr>
              <w:rFonts w:hint="default" w:ascii="Times New Roman" w:hAnsi="Times New Roman" w:eastAsia="楷体_GB2312" w:cs="Times New Roman"/>
              <w:sz w:val="28"/>
              <w:szCs w:val="32"/>
              <w:lang w:val="en-US" w:eastAsia="zh-CN"/>
            </w:rPr>
            <w:t>筑牢AI转型根基</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_Toc774972663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9</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2009E9C1">
          <w:pPr>
            <w:pStyle w:val="7"/>
            <w:tabs>
              <w:tab w:val="right" w:leader="dot" w:pos="8845"/>
            </w:tabs>
            <w:spacing w:line="560" w:lineRule="exact"/>
            <w:rPr>
              <w:rFonts w:hint="default" w:ascii="Times New Roman" w:hAnsi="Times New Roman" w:eastAsia="楷体_GB2312"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_Toc1726822913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32"/>
            </w:rPr>
            <w:t>（</w:t>
          </w:r>
          <w:r>
            <w:rPr>
              <w:rFonts w:hint="default" w:ascii="Times New Roman" w:hAnsi="Times New Roman" w:eastAsia="楷体_GB2312" w:cs="Times New Roman"/>
              <w:sz w:val="28"/>
              <w:szCs w:val="32"/>
              <w:lang w:val="en-US" w:eastAsia="zh-CN"/>
            </w:rPr>
            <w:t>三</w:t>
          </w:r>
          <w:r>
            <w:rPr>
              <w:rFonts w:hint="default" w:ascii="Times New Roman" w:hAnsi="Times New Roman" w:eastAsia="楷体_GB2312" w:cs="Times New Roman"/>
              <w:sz w:val="28"/>
              <w:szCs w:val="32"/>
            </w:rPr>
            <w:t>）丰富</w:t>
          </w:r>
          <w:r>
            <w:rPr>
              <w:rFonts w:hint="default" w:ascii="Times New Roman" w:hAnsi="Times New Roman" w:eastAsia="楷体_GB2312" w:cs="Times New Roman"/>
              <w:sz w:val="28"/>
              <w:szCs w:val="32"/>
              <w:lang w:val="en-US" w:eastAsia="zh-CN"/>
            </w:rPr>
            <w:t>AI</w:t>
          </w:r>
          <w:r>
            <w:rPr>
              <w:rFonts w:hint="default" w:ascii="Times New Roman" w:hAnsi="Times New Roman" w:eastAsia="楷体_GB2312" w:cs="Times New Roman"/>
              <w:sz w:val="28"/>
              <w:szCs w:val="32"/>
            </w:rPr>
            <w:t>智能应用场景，探索人机协同</w:t>
          </w:r>
          <w:r>
            <w:rPr>
              <w:rFonts w:hint="default" w:ascii="Times New Roman" w:hAnsi="Times New Roman" w:eastAsia="楷体_GB2312" w:cs="Times New Roman"/>
              <w:sz w:val="28"/>
              <w:szCs w:val="32"/>
              <w:lang w:val="en-US" w:eastAsia="zh-CN"/>
            </w:rPr>
            <w:t>模式</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_Toc1726822913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9</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104C6125">
          <w:pPr>
            <w:pStyle w:val="7"/>
            <w:tabs>
              <w:tab w:val="right" w:leader="dot" w:pos="8845"/>
            </w:tabs>
            <w:spacing w:line="560" w:lineRule="exact"/>
            <w:rPr>
              <w:rFonts w:ascii="Times New Roman" w:hAnsi="Times New Roman"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_Toc106184270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32"/>
            </w:rPr>
            <w:t>（四）加快先进技术</w:t>
          </w:r>
          <w:r>
            <w:rPr>
              <w:rFonts w:hint="default" w:ascii="Times New Roman" w:hAnsi="Times New Roman" w:eastAsia="楷体_GB2312" w:cs="Times New Roman"/>
              <w:sz w:val="28"/>
              <w:szCs w:val="32"/>
              <w:lang w:val="en-US" w:eastAsia="zh-CN"/>
            </w:rPr>
            <w:t>流程</w:t>
          </w:r>
          <w:r>
            <w:rPr>
              <w:rFonts w:hint="default" w:ascii="Times New Roman" w:hAnsi="Times New Roman" w:eastAsia="楷体_GB2312" w:cs="Times New Roman"/>
              <w:sz w:val="28"/>
              <w:szCs w:val="32"/>
            </w:rPr>
            <w:t>嵌入，提升</w:t>
          </w:r>
          <w:r>
            <w:rPr>
              <w:rFonts w:hint="default" w:ascii="Times New Roman" w:hAnsi="Times New Roman" w:eastAsia="楷体_GB2312" w:cs="Times New Roman"/>
              <w:sz w:val="28"/>
              <w:szCs w:val="32"/>
              <w:lang w:val="en-US" w:eastAsia="zh-CN"/>
            </w:rPr>
            <w:t>AI</w:t>
          </w:r>
          <w:r>
            <w:rPr>
              <w:rFonts w:hint="default" w:ascii="Times New Roman" w:hAnsi="Times New Roman" w:eastAsia="楷体_GB2312" w:cs="Times New Roman"/>
              <w:sz w:val="28"/>
              <w:szCs w:val="32"/>
            </w:rPr>
            <w:t>分析能力</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_Toc106184270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10</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0E7E1F4D">
          <w:pPr>
            <w:pStyle w:val="14"/>
            <w:tabs>
              <w:tab w:val="right" w:leader="dot" w:pos="8845"/>
            </w:tabs>
            <w:spacing w:line="560" w:lineRule="exact"/>
            <w:rPr>
              <w:rFonts w:ascii="Times New Roman" w:hAnsi="Times New Roman" w:cs="Times New Roman"/>
              <w:sz w:val="28"/>
              <w:szCs w:val="32"/>
            </w:rPr>
          </w:pP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_Toc1454470671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rPr>
            <w:t>三、发挥网格化治理优势，拓展支撑功能</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_Toc1454470671 \h </w:instrText>
          </w:r>
          <w:r>
            <w:rPr>
              <w:rFonts w:ascii="Times New Roman" w:hAnsi="Times New Roman" w:cs="Times New Roman"/>
              <w:sz w:val="28"/>
              <w:szCs w:val="32"/>
            </w:rPr>
            <w:fldChar w:fldCharType="separate"/>
          </w:r>
          <w:r>
            <w:rPr>
              <w:rFonts w:ascii="Times New Roman" w:hAnsi="Times New Roman" w:cs="Times New Roman"/>
              <w:sz w:val="28"/>
              <w:szCs w:val="32"/>
            </w:rPr>
            <w:t>11</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4D30480E">
          <w:pPr>
            <w:pStyle w:val="7"/>
            <w:tabs>
              <w:tab w:val="right" w:leader="dot" w:pos="8845"/>
            </w:tabs>
            <w:spacing w:line="560" w:lineRule="exact"/>
            <w:rPr>
              <w:rFonts w:hint="default" w:ascii="Times New Roman" w:hAnsi="Times New Roman" w:eastAsia="楷体_GB2312"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_Toc1920831561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32"/>
            </w:rPr>
            <w:t>（一）深化接诉即办改革，坚持为民服务</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_Toc1920831561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11</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3C08A23B">
          <w:pPr>
            <w:pStyle w:val="7"/>
            <w:tabs>
              <w:tab w:val="right" w:leader="dot" w:pos="8845"/>
            </w:tabs>
            <w:spacing w:line="560" w:lineRule="exact"/>
            <w:rPr>
              <w:rFonts w:hint="default" w:ascii="Times New Roman" w:hAnsi="Times New Roman" w:eastAsia="楷体_GB2312"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_Toc1451863053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32"/>
            </w:rPr>
            <w:t>（二）完善“网格+经济</w:t>
          </w:r>
          <w:r>
            <w:rPr>
              <w:rFonts w:hint="default" w:ascii="Times New Roman" w:hAnsi="Times New Roman" w:eastAsia="楷体_GB2312" w:cs="Times New Roman"/>
              <w:sz w:val="28"/>
              <w:szCs w:val="32"/>
              <w:lang w:val="en-US" w:eastAsia="zh-CN"/>
            </w:rPr>
            <w:t>运行</w:t>
          </w:r>
          <w:r>
            <w:rPr>
              <w:rFonts w:hint="default" w:ascii="Times New Roman" w:hAnsi="Times New Roman" w:eastAsia="楷体_GB2312" w:cs="Times New Roman"/>
              <w:sz w:val="28"/>
              <w:szCs w:val="32"/>
            </w:rPr>
            <w:t>”监测，</w:t>
          </w:r>
          <w:r>
            <w:rPr>
              <w:rFonts w:hint="default" w:ascii="Times New Roman" w:hAnsi="Times New Roman" w:eastAsia="楷体_GB2312" w:cs="Times New Roman"/>
              <w:sz w:val="28"/>
              <w:szCs w:val="32"/>
              <w:lang w:eastAsia="zh-CN"/>
            </w:rPr>
            <w:t>服务</w:t>
          </w:r>
          <w:r>
            <w:rPr>
              <w:rFonts w:hint="default" w:ascii="Times New Roman" w:hAnsi="Times New Roman" w:eastAsia="楷体_GB2312" w:cs="Times New Roman"/>
              <w:sz w:val="28"/>
              <w:szCs w:val="32"/>
              <w:lang w:val="en-US" w:eastAsia="zh-CN"/>
            </w:rPr>
            <w:t>经济</w:t>
          </w:r>
          <w:r>
            <w:rPr>
              <w:rFonts w:hint="default" w:ascii="Times New Roman" w:hAnsi="Times New Roman" w:eastAsia="楷体_GB2312" w:cs="Times New Roman"/>
              <w:sz w:val="28"/>
              <w:szCs w:val="32"/>
              <w:lang w:eastAsia="zh-CN"/>
            </w:rPr>
            <w:t>发展</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_Toc1451863053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11</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493CEEDB">
          <w:pPr>
            <w:pStyle w:val="7"/>
            <w:tabs>
              <w:tab w:val="right" w:leader="dot" w:pos="8845"/>
            </w:tabs>
            <w:spacing w:line="560" w:lineRule="exact"/>
            <w:rPr>
              <w:rFonts w:hint="default" w:ascii="Times New Roman" w:hAnsi="Times New Roman" w:eastAsia="楷体_GB2312"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_Toc248970479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32"/>
            </w:rPr>
            <w:t>（三）推动社区数据汇聚，赋能基层应用</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_Toc248970479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12</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4E878EDD">
          <w:pPr>
            <w:pStyle w:val="7"/>
            <w:tabs>
              <w:tab w:val="right" w:leader="dot" w:pos="8845"/>
            </w:tabs>
            <w:spacing w:line="560" w:lineRule="exact"/>
            <w:rPr>
              <w:rFonts w:hint="default" w:ascii="Times New Roman" w:hAnsi="Times New Roman" w:eastAsia="楷体_GB2312"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_Toc1447618439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32"/>
            </w:rPr>
            <w:t>（四）</w:t>
          </w:r>
          <w:r>
            <w:rPr>
              <w:rFonts w:hint="default" w:ascii="Times New Roman" w:hAnsi="Times New Roman" w:eastAsia="楷体_GB2312" w:cs="Times New Roman"/>
              <w:bCs/>
              <w:sz w:val="28"/>
              <w:szCs w:val="44"/>
            </w:rPr>
            <w:t>落实落地“多格合一”，</w:t>
          </w:r>
          <w:r>
            <w:rPr>
              <w:rFonts w:hint="default" w:ascii="Times New Roman" w:hAnsi="Times New Roman" w:eastAsia="楷体_GB2312" w:cs="Times New Roman"/>
              <w:bCs/>
              <w:sz w:val="28"/>
              <w:szCs w:val="44"/>
              <w:lang w:val="en-US" w:eastAsia="zh-CN"/>
            </w:rPr>
            <w:t>建好</w:t>
          </w:r>
          <w:r>
            <w:rPr>
              <w:rFonts w:hint="default" w:ascii="Times New Roman" w:hAnsi="Times New Roman" w:eastAsia="楷体_GB2312" w:cs="Times New Roman"/>
              <w:sz w:val="28"/>
              <w:szCs w:val="32"/>
            </w:rPr>
            <w:t>“大城管”平台</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_Toc1447618439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12</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48093E08">
          <w:pPr>
            <w:pStyle w:val="14"/>
            <w:tabs>
              <w:tab w:val="right" w:leader="dot" w:pos="8845"/>
            </w:tabs>
            <w:spacing w:line="560" w:lineRule="exact"/>
            <w:rPr>
              <w:rFonts w:ascii="Times New Roman" w:hAnsi="Times New Roman" w:cs="Times New Roman"/>
              <w:sz w:val="28"/>
              <w:szCs w:val="32"/>
            </w:rPr>
          </w:pP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_Toc1623108466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rPr>
            <w:t>四、丰富网格化治理力量，推动多</w:t>
          </w:r>
          <w:r>
            <w:rPr>
              <w:rFonts w:hint="default" w:ascii="Times New Roman" w:hAnsi="Times New Roman" w:cs="Times New Roman"/>
              <w:sz w:val="28"/>
              <w:szCs w:val="32"/>
              <w:lang w:val="en-US" w:eastAsia="zh-CN"/>
            </w:rPr>
            <w:t>元</w:t>
          </w:r>
          <w:r>
            <w:rPr>
              <w:rFonts w:hint="default" w:ascii="Times New Roman" w:hAnsi="Times New Roman" w:cs="Times New Roman"/>
              <w:sz w:val="28"/>
              <w:szCs w:val="32"/>
            </w:rPr>
            <w:t>共治</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_Toc1623108466 \h </w:instrText>
          </w:r>
          <w:r>
            <w:rPr>
              <w:rFonts w:ascii="Times New Roman" w:hAnsi="Times New Roman" w:cs="Times New Roman"/>
              <w:sz w:val="28"/>
              <w:szCs w:val="32"/>
            </w:rPr>
            <w:fldChar w:fldCharType="separate"/>
          </w:r>
          <w:r>
            <w:rPr>
              <w:rFonts w:ascii="Times New Roman" w:hAnsi="Times New Roman" w:cs="Times New Roman"/>
              <w:sz w:val="28"/>
              <w:szCs w:val="32"/>
            </w:rPr>
            <w:t>14</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556D95AF">
          <w:pPr>
            <w:pStyle w:val="7"/>
            <w:tabs>
              <w:tab w:val="right" w:leader="dot" w:pos="8845"/>
            </w:tabs>
            <w:spacing w:line="560" w:lineRule="exact"/>
            <w:rPr>
              <w:rFonts w:hint="default" w:ascii="Times New Roman" w:hAnsi="Times New Roman" w:eastAsia="楷体_GB2312"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_Toc1146978414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32"/>
            </w:rPr>
            <w:t>（一）建强术有专攻的网格队伍，实现一专多能</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_Toc1146978414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14</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2A5E3D53">
          <w:pPr>
            <w:pStyle w:val="7"/>
            <w:tabs>
              <w:tab w:val="right" w:leader="dot" w:pos="8845"/>
            </w:tabs>
            <w:spacing w:line="560" w:lineRule="exact"/>
            <w:rPr>
              <w:rFonts w:hint="default" w:ascii="Times New Roman" w:hAnsi="Times New Roman" w:eastAsia="楷体_GB2312" w:cs="Times New Roman"/>
              <w:sz w:val="28"/>
              <w:szCs w:val="32"/>
            </w:rPr>
          </w:pPr>
          <w:r>
            <w:rPr>
              <w:rFonts w:hint="default" w:ascii="Times New Roman" w:hAnsi="Times New Roman" w:eastAsia="楷体_GB2312" w:cs="Times New Roman"/>
              <w:bCs w:val="0"/>
              <w:sz w:val="28"/>
              <w:szCs w:val="32"/>
              <w:lang w:val="en-US"/>
            </w:rPr>
            <w:fldChar w:fldCharType="begin"/>
          </w:r>
          <w:r>
            <w:rPr>
              <w:rFonts w:hint="default" w:ascii="Times New Roman" w:hAnsi="Times New Roman" w:eastAsia="楷体_GB2312" w:cs="Times New Roman"/>
              <w:bCs w:val="0"/>
              <w:sz w:val="28"/>
              <w:szCs w:val="32"/>
              <w:lang w:val="en-US"/>
            </w:rPr>
            <w:instrText xml:space="preserve"> HYPERLINK \l _Toc1004621614 </w:instrText>
          </w:r>
          <w:r>
            <w:rPr>
              <w:rFonts w:hint="default" w:ascii="Times New Roman" w:hAnsi="Times New Roman" w:eastAsia="楷体_GB2312" w:cs="Times New Roman"/>
              <w:bCs w:val="0"/>
              <w:sz w:val="28"/>
              <w:szCs w:val="32"/>
              <w:lang w:val="en-US"/>
            </w:rPr>
            <w:fldChar w:fldCharType="separate"/>
          </w:r>
          <w:r>
            <w:rPr>
              <w:rFonts w:hint="default" w:ascii="Times New Roman" w:hAnsi="Times New Roman" w:eastAsia="楷体_GB2312" w:cs="Times New Roman"/>
              <w:sz w:val="28"/>
              <w:szCs w:val="32"/>
            </w:rPr>
            <w:t>（</w:t>
          </w:r>
          <w:r>
            <w:rPr>
              <w:rFonts w:hint="default" w:ascii="Times New Roman" w:hAnsi="Times New Roman" w:eastAsia="楷体_GB2312" w:cs="Times New Roman"/>
              <w:sz w:val="28"/>
              <w:szCs w:val="32"/>
              <w:lang w:val="en-US" w:eastAsia="zh-CN"/>
            </w:rPr>
            <w:t>二</w:t>
          </w:r>
          <w:r>
            <w:rPr>
              <w:rFonts w:hint="default" w:ascii="Times New Roman" w:hAnsi="Times New Roman" w:eastAsia="楷体_GB2312" w:cs="Times New Roman"/>
              <w:sz w:val="28"/>
              <w:szCs w:val="32"/>
            </w:rPr>
            <w:t>）尊重人民群众的主体地位，推进</w:t>
          </w:r>
          <w:r>
            <w:rPr>
              <w:rFonts w:hint="default" w:ascii="Times New Roman" w:hAnsi="Times New Roman" w:eastAsia="楷体_GB2312" w:cs="Times New Roman"/>
              <w:sz w:val="28"/>
              <w:szCs w:val="32"/>
              <w:lang w:val="en-US" w:eastAsia="zh-CN"/>
            </w:rPr>
            <w:t>多元协同</w:t>
          </w:r>
          <w:r>
            <w:rPr>
              <w:rFonts w:hint="default" w:ascii="Times New Roman" w:hAnsi="Times New Roman" w:eastAsia="楷体_GB2312" w:cs="Times New Roman"/>
              <w:sz w:val="28"/>
              <w:szCs w:val="32"/>
            </w:rPr>
            <w:tab/>
          </w:r>
          <w:r>
            <w:rPr>
              <w:rFonts w:hint="default" w:ascii="Times New Roman" w:hAnsi="Times New Roman" w:eastAsia="楷体_GB2312" w:cs="Times New Roman"/>
              <w:sz w:val="28"/>
              <w:szCs w:val="32"/>
            </w:rPr>
            <w:fldChar w:fldCharType="begin"/>
          </w:r>
          <w:r>
            <w:rPr>
              <w:rFonts w:hint="default" w:ascii="Times New Roman" w:hAnsi="Times New Roman" w:eastAsia="楷体_GB2312" w:cs="Times New Roman"/>
              <w:sz w:val="28"/>
              <w:szCs w:val="32"/>
            </w:rPr>
            <w:instrText xml:space="preserve"> PAGEREF _Toc1004621614 \h </w:instrText>
          </w:r>
          <w:r>
            <w:rPr>
              <w:rFonts w:hint="default" w:ascii="Times New Roman" w:hAnsi="Times New Roman" w:eastAsia="楷体_GB2312" w:cs="Times New Roman"/>
              <w:sz w:val="28"/>
              <w:szCs w:val="32"/>
            </w:rPr>
            <w:fldChar w:fldCharType="separate"/>
          </w:r>
          <w:r>
            <w:rPr>
              <w:rFonts w:hint="default" w:ascii="Times New Roman" w:hAnsi="Times New Roman" w:eastAsia="楷体_GB2312" w:cs="Times New Roman"/>
              <w:sz w:val="28"/>
              <w:szCs w:val="32"/>
            </w:rPr>
            <w:t>15</w:t>
          </w:r>
          <w:r>
            <w:rPr>
              <w:rFonts w:hint="default" w:ascii="Times New Roman" w:hAnsi="Times New Roman" w:eastAsia="楷体_GB2312" w:cs="Times New Roman"/>
              <w:sz w:val="28"/>
              <w:szCs w:val="32"/>
            </w:rPr>
            <w:fldChar w:fldCharType="end"/>
          </w:r>
          <w:r>
            <w:rPr>
              <w:rFonts w:hint="default" w:ascii="Times New Roman" w:hAnsi="Times New Roman" w:eastAsia="楷体_GB2312" w:cs="Times New Roman"/>
              <w:bCs w:val="0"/>
              <w:sz w:val="28"/>
              <w:szCs w:val="32"/>
              <w:lang w:val="en-US"/>
            </w:rPr>
            <w:fldChar w:fldCharType="end"/>
          </w:r>
        </w:p>
        <w:p w14:paraId="292C610C">
          <w:pPr>
            <w:pStyle w:val="12"/>
            <w:tabs>
              <w:tab w:val="right" w:leader="dot" w:pos="8845"/>
            </w:tabs>
            <w:spacing w:line="560" w:lineRule="exact"/>
            <w:rPr>
              <w:rFonts w:ascii="Times New Roman" w:hAnsi="Times New Roman" w:cs="Times New Roman"/>
              <w:sz w:val="28"/>
              <w:szCs w:val="32"/>
            </w:rPr>
          </w:pP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_Toc34036637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rPr>
            <w:t>第四章 保障措施</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_Toc34036637 \h </w:instrText>
          </w:r>
          <w:r>
            <w:rPr>
              <w:rFonts w:ascii="Times New Roman" w:hAnsi="Times New Roman" w:cs="Times New Roman"/>
              <w:sz w:val="28"/>
              <w:szCs w:val="32"/>
            </w:rPr>
            <w:fldChar w:fldCharType="separate"/>
          </w:r>
          <w:r>
            <w:rPr>
              <w:rFonts w:ascii="Times New Roman" w:hAnsi="Times New Roman" w:cs="Times New Roman"/>
              <w:sz w:val="28"/>
              <w:szCs w:val="32"/>
            </w:rPr>
            <w:t>15</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164106CD">
          <w:pPr>
            <w:pStyle w:val="14"/>
            <w:tabs>
              <w:tab w:val="right" w:leader="dot" w:pos="8845"/>
            </w:tabs>
            <w:spacing w:line="560" w:lineRule="exact"/>
            <w:rPr>
              <w:rFonts w:ascii="Times New Roman" w:hAnsi="Times New Roman" w:cs="Times New Roman"/>
              <w:sz w:val="28"/>
              <w:szCs w:val="32"/>
            </w:rPr>
          </w:pP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_Toc1948251395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lang w:eastAsia="zh-CN"/>
            </w:rPr>
            <w:t>一、</w:t>
          </w:r>
          <w:r>
            <w:rPr>
              <w:rFonts w:hint="default" w:ascii="Times New Roman" w:hAnsi="Times New Roman" w:cs="Times New Roman"/>
              <w:sz w:val="28"/>
              <w:szCs w:val="32"/>
            </w:rPr>
            <w:t>加强组织领导</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_Toc1948251395 \h </w:instrText>
          </w:r>
          <w:r>
            <w:rPr>
              <w:rFonts w:ascii="Times New Roman" w:hAnsi="Times New Roman" w:cs="Times New Roman"/>
              <w:sz w:val="28"/>
              <w:szCs w:val="32"/>
            </w:rPr>
            <w:fldChar w:fldCharType="separate"/>
          </w:r>
          <w:r>
            <w:rPr>
              <w:rFonts w:ascii="Times New Roman" w:hAnsi="Times New Roman" w:cs="Times New Roman"/>
              <w:sz w:val="28"/>
              <w:szCs w:val="32"/>
            </w:rPr>
            <w:t>15</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43961A99">
          <w:pPr>
            <w:pStyle w:val="14"/>
            <w:tabs>
              <w:tab w:val="right" w:leader="dot" w:pos="8845"/>
            </w:tabs>
            <w:spacing w:line="560" w:lineRule="exact"/>
            <w:rPr>
              <w:rFonts w:ascii="Times New Roman" w:hAnsi="Times New Roman" w:cs="Times New Roman"/>
              <w:sz w:val="28"/>
              <w:szCs w:val="32"/>
            </w:rPr>
          </w:pP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_Toc646546543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lang w:val="en-US" w:eastAsia="zh-CN"/>
            </w:rPr>
            <w:t>二</w:t>
          </w:r>
          <w:r>
            <w:rPr>
              <w:rFonts w:hint="default" w:ascii="Times New Roman" w:hAnsi="Times New Roman" w:cs="Times New Roman"/>
              <w:sz w:val="28"/>
              <w:szCs w:val="32"/>
              <w:lang w:eastAsia="zh-CN"/>
            </w:rPr>
            <w:t>、</w:t>
          </w:r>
          <w:r>
            <w:rPr>
              <w:rFonts w:hint="default" w:ascii="Times New Roman" w:hAnsi="Times New Roman" w:cs="Times New Roman"/>
              <w:sz w:val="28"/>
              <w:szCs w:val="32"/>
            </w:rPr>
            <w:t>加强资金保障</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_Toc646546543 \h </w:instrText>
          </w:r>
          <w:r>
            <w:rPr>
              <w:rFonts w:ascii="Times New Roman" w:hAnsi="Times New Roman" w:cs="Times New Roman"/>
              <w:sz w:val="28"/>
              <w:szCs w:val="32"/>
            </w:rPr>
            <w:fldChar w:fldCharType="separate"/>
          </w:r>
          <w:r>
            <w:rPr>
              <w:rFonts w:ascii="Times New Roman" w:hAnsi="Times New Roman" w:cs="Times New Roman"/>
              <w:sz w:val="28"/>
              <w:szCs w:val="32"/>
            </w:rPr>
            <w:t>16</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301825F3">
          <w:pPr>
            <w:pStyle w:val="14"/>
            <w:tabs>
              <w:tab w:val="right" w:leader="dot" w:pos="8845"/>
            </w:tabs>
            <w:spacing w:line="560" w:lineRule="exact"/>
            <w:rPr>
              <w:rFonts w:ascii="Times New Roman" w:hAnsi="Times New Roman" w:cs="Times New Roman"/>
              <w:sz w:val="28"/>
              <w:szCs w:val="32"/>
            </w:rPr>
          </w:pP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_Toc1023977965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lang w:val="en-US" w:eastAsia="zh-CN"/>
            </w:rPr>
            <w:t>三</w:t>
          </w:r>
          <w:r>
            <w:rPr>
              <w:rFonts w:hint="default" w:ascii="Times New Roman" w:hAnsi="Times New Roman" w:cs="Times New Roman"/>
              <w:sz w:val="28"/>
              <w:szCs w:val="32"/>
              <w:lang w:eastAsia="zh-CN"/>
            </w:rPr>
            <w:t>、</w:t>
          </w:r>
          <w:r>
            <w:rPr>
              <w:rFonts w:hint="default" w:ascii="Times New Roman" w:hAnsi="Times New Roman" w:cs="Times New Roman"/>
              <w:sz w:val="28"/>
              <w:szCs w:val="32"/>
            </w:rPr>
            <w:t>加强监测评估</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_Toc1023977965 \h </w:instrText>
          </w:r>
          <w:r>
            <w:rPr>
              <w:rFonts w:ascii="Times New Roman" w:hAnsi="Times New Roman" w:cs="Times New Roman"/>
              <w:sz w:val="28"/>
              <w:szCs w:val="32"/>
            </w:rPr>
            <w:fldChar w:fldCharType="separate"/>
          </w:r>
          <w:r>
            <w:rPr>
              <w:rFonts w:ascii="Times New Roman" w:hAnsi="Times New Roman" w:cs="Times New Roman"/>
              <w:sz w:val="28"/>
              <w:szCs w:val="32"/>
            </w:rPr>
            <w:t>16</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2CD40425">
          <w:pPr>
            <w:pStyle w:val="14"/>
            <w:tabs>
              <w:tab w:val="right" w:leader="dot" w:pos="8845"/>
            </w:tabs>
            <w:spacing w:line="560" w:lineRule="exact"/>
            <w:rPr>
              <w:rFonts w:ascii="Times New Roman" w:hAnsi="Times New Roman" w:cs="Times New Roman"/>
            </w:rPr>
          </w:pPr>
          <w:r>
            <w:rPr>
              <w:rFonts w:hint="default" w:ascii="Times New Roman" w:hAnsi="Times New Roman" w:cs="Times New Roman"/>
              <w:bCs w:val="0"/>
              <w:sz w:val="28"/>
              <w:szCs w:val="32"/>
              <w:lang w:val="en-US"/>
            </w:rPr>
            <w:fldChar w:fldCharType="begin"/>
          </w:r>
          <w:r>
            <w:rPr>
              <w:rFonts w:hint="default" w:ascii="Times New Roman" w:hAnsi="Times New Roman" w:cs="Times New Roman"/>
              <w:bCs w:val="0"/>
              <w:sz w:val="28"/>
              <w:szCs w:val="32"/>
              <w:lang w:val="en-US"/>
            </w:rPr>
            <w:instrText xml:space="preserve"> HYPERLINK \l _Toc272374979 </w:instrText>
          </w:r>
          <w:r>
            <w:rPr>
              <w:rFonts w:hint="default" w:ascii="Times New Roman" w:hAnsi="Times New Roman" w:cs="Times New Roman"/>
              <w:bCs w:val="0"/>
              <w:sz w:val="28"/>
              <w:szCs w:val="32"/>
              <w:lang w:val="en-US"/>
            </w:rPr>
            <w:fldChar w:fldCharType="separate"/>
          </w:r>
          <w:r>
            <w:rPr>
              <w:rFonts w:hint="default" w:ascii="Times New Roman" w:hAnsi="Times New Roman" w:cs="Times New Roman"/>
              <w:sz w:val="28"/>
              <w:szCs w:val="32"/>
              <w:lang w:val="en-US" w:eastAsia="zh-CN"/>
            </w:rPr>
            <w:t>四</w:t>
          </w:r>
          <w:r>
            <w:rPr>
              <w:rFonts w:hint="default" w:ascii="Times New Roman" w:hAnsi="Times New Roman" w:cs="Times New Roman"/>
              <w:sz w:val="28"/>
              <w:szCs w:val="32"/>
              <w:lang w:eastAsia="zh-CN"/>
            </w:rPr>
            <w:t>、</w:t>
          </w:r>
          <w:r>
            <w:rPr>
              <w:rFonts w:hint="default" w:ascii="Times New Roman" w:hAnsi="Times New Roman" w:cs="Times New Roman"/>
              <w:sz w:val="28"/>
              <w:szCs w:val="32"/>
            </w:rPr>
            <w:t>加强舆论宣传</w:t>
          </w:r>
          <w:r>
            <w:rPr>
              <w:rFonts w:ascii="Times New Roman" w:hAnsi="Times New Roman" w:cs="Times New Roman"/>
              <w:sz w:val="28"/>
              <w:szCs w:val="32"/>
            </w:rPr>
            <w:tab/>
          </w:r>
          <w:r>
            <w:rPr>
              <w:rFonts w:ascii="Times New Roman" w:hAnsi="Times New Roman" w:cs="Times New Roman"/>
              <w:sz w:val="28"/>
              <w:szCs w:val="32"/>
            </w:rPr>
            <w:fldChar w:fldCharType="begin"/>
          </w:r>
          <w:r>
            <w:rPr>
              <w:rFonts w:ascii="Times New Roman" w:hAnsi="Times New Roman" w:cs="Times New Roman"/>
              <w:sz w:val="28"/>
              <w:szCs w:val="32"/>
            </w:rPr>
            <w:instrText xml:space="preserve"> PAGEREF _Toc272374979 \h </w:instrText>
          </w:r>
          <w:r>
            <w:rPr>
              <w:rFonts w:ascii="Times New Roman" w:hAnsi="Times New Roman" w:cs="Times New Roman"/>
              <w:sz w:val="28"/>
              <w:szCs w:val="32"/>
            </w:rPr>
            <w:fldChar w:fldCharType="separate"/>
          </w:r>
          <w:r>
            <w:rPr>
              <w:rFonts w:ascii="Times New Roman" w:hAnsi="Times New Roman" w:cs="Times New Roman"/>
              <w:sz w:val="28"/>
              <w:szCs w:val="32"/>
            </w:rPr>
            <w:t>17</w:t>
          </w:r>
          <w:r>
            <w:rPr>
              <w:rFonts w:ascii="Times New Roman" w:hAnsi="Times New Roman" w:cs="Times New Roman"/>
              <w:sz w:val="28"/>
              <w:szCs w:val="32"/>
            </w:rPr>
            <w:fldChar w:fldCharType="end"/>
          </w:r>
          <w:r>
            <w:rPr>
              <w:rFonts w:hint="default" w:ascii="Times New Roman" w:hAnsi="Times New Roman" w:cs="Times New Roman"/>
              <w:bCs w:val="0"/>
              <w:sz w:val="28"/>
              <w:szCs w:val="32"/>
              <w:lang w:val="en-US"/>
            </w:rPr>
            <w:fldChar w:fldCharType="end"/>
          </w:r>
        </w:p>
        <w:p w14:paraId="6BA08A10">
          <w:pPr>
            <w:pStyle w:val="14"/>
            <w:tabs>
              <w:tab w:val="right" w:leader="dot" w:pos="8845"/>
            </w:tabs>
            <w:adjustRightInd/>
            <w:snapToGrid/>
            <w:spacing w:line="560" w:lineRule="exact"/>
            <w:rPr>
              <w:rFonts w:hint="default" w:ascii="Times New Roman" w:hAnsi="Times New Roman" w:cs="Times New Roman"/>
            </w:rPr>
          </w:pPr>
          <w:r>
            <w:rPr>
              <w:rFonts w:hint="default" w:ascii="Times New Roman" w:hAnsi="Times New Roman" w:cs="Times New Roman"/>
              <w:bCs w:val="0"/>
              <w:lang w:val="en-US"/>
            </w:rPr>
            <w:fldChar w:fldCharType="end"/>
          </w:r>
        </w:p>
      </w:sdtContent>
    </w:sdt>
    <w:p w14:paraId="500C83E3">
      <w:pPr>
        <w:pStyle w:val="2"/>
        <w:adjustRightInd w:val="0"/>
        <w:snapToGrid w:val="0"/>
        <w:spacing w:line="560" w:lineRule="exact"/>
        <w:ind w:firstLine="720"/>
        <w:rPr>
          <w:rFonts w:hint="default" w:ascii="Times New Roman" w:hAnsi="Times New Roman" w:cs="Times New Roman"/>
        </w:rPr>
        <w:sectPr>
          <w:footerReference r:id="rId8" w:type="default"/>
          <w:footnotePr>
            <w:numFmt w:val="decimalEnclosedCircleChinese"/>
            <w:numRestart w:val="eachPage"/>
          </w:footnotePr>
          <w:pgSz w:w="11906" w:h="16838"/>
          <w:pgMar w:top="2098" w:right="1474" w:bottom="1984" w:left="1587" w:header="851" w:footer="992" w:gutter="0"/>
          <w:pgNumType w:fmt="upperRoman" w:start="1"/>
          <w:cols w:space="425" w:num="1"/>
          <w:docGrid w:type="lines" w:linePitch="312" w:charSpace="0"/>
        </w:sectPr>
      </w:pPr>
      <w:bookmarkStart w:id="0" w:name="_Toc229585500"/>
    </w:p>
    <w:p w14:paraId="13793CDA">
      <w:pPr>
        <w:pStyle w:val="2"/>
        <w:pageBreakBefore w:val="0"/>
        <w:widowControl w:val="0"/>
        <w:kinsoku/>
        <w:wordWrap/>
        <w:topLinePunct w:val="0"/>
        <w:autoSpaceDE/>
        <w:autoSpaceDN/>
        <w:bidi w:val="0"/>
        <w:adjustRightInd w:val="0"/>
        <w:snapToGrid w:val="0"/>
        <w:spacing w:line="560" w:lineRule="exact"/>
        <w:ind w:firstLine="720"/>
        <w:textAlignment w:val="auto"/>
        <w:rPr>
          <w:rFonts w:hint="default" w:ascii="Times New Roman" w:hAnsi="Times New Roman" w:cs="Times New Roman"/>
        </w:rPr>
      </w:pPr>
      <w:bookmarkStart w:id="1" w:name="_Toc19309"/>
      <w:bookmarkStart w:id="2" w:name="_Toc14184"/>
      <w:bookmarkStart w:id="3" w:name="_Toc969349078"/>
      <w:bookmarkStart w:id="4" w:name="_Toc22909"/>
      <w:bookmarkStart w:id="5" w:name="_Toc471607232"/>
      <w:r>
        <w:rPr>
          <w:rFonts w:hint="default" w:ascii="Times New Roman" w:hAnsi="Times New Roman" w:cs="Times New Roman"/>
        </w:rPr>
        <w:t>第一章 “十四五”时期发展回顾</w:t>
      </w:r>
      <w:bookmarkEnd w:id="0"/>
      <w:r>
        <w:rPr>
          <w:rFonts w:hint="default" w:ascii="Times New Roman" w:hAnsi="Times New Roman" w:cs="Times New Roman"/>
        </w:rPr>
        <w:t>与形势研判</w:t>
      </w:r>
      <w:bookmarkEnd w:id="1"/>
      <w:bookmarkEnd w:id="2"/>
      <w:bookmarkEnd w:id="3"/>
      <w:bookmarkEnd w:id="4"/>
      <w:bookmarkEnd w:id="5"/>
    </w:p>
    <w:p w14:paraId="5FED8DD5">
      <w:pPr>
        <w:pStyle w:val="3"/>
        <w:pageBreakBefore w:val="0"/>
        <w:widowControl w:val="0"/>
        <w:kinsoku/>
        <w:wordWrap/>
        <w:topLinePunct w:val="0"/>
        <w:autoSpaceDE/>
        <w:autoSpaceDN/>
        <w:bidi w:val="0"/>
        <w:adjustRightInd w:val="0"/>
        <w:snapToGrid w:val="0"/>
        <w:spacing w:line="560" w:lineRule="exact"/>
        <w:ind w:firstLine="640"/>
        <w:textAlignment w:val="auto"/>
        <w:rPr>
          <w:rFonts w:hint="default" w:ascii="Times New Roman" w:hAnsi="Times New Roman" w:cs="Times New Roman"/>
        </w:rPr>
      </w:pPr>
      <w:bookmarkStart w:id="6" w:name="_Toc17310"/>
      <w:bookmarkStart w:id="7" w:name="_Toc9055"/>
      <w:bookmarkStart w:id="8" w:name="_Toc12364"/>
      <w:bookmarkStart w:id="9" w:name="_Toc1707096971"/>
      <w:bookmarkStart w:id="10" w:name="_Toc229585501"/>
    </w:p>
    <w:p w14:paraId="15AD4A3A">
      <w:pPr>
        <w:pStyle w:val="3"/>
        <w:pageBreakBefore w:val="0"/>
        <w:widowControl w:val="0"/>
        <w:kinsoku/>
        <w:wordWrap/>
        <w:topLinePunct w:val="0"/>
        <w:autoSpaceDE/>
        <w:autoSpaceDN/>
        <w:bidi w:val="0"/>
        <w:adjustRightInd w:val="0"/>
        <w:snapToGrid w:val="0"/>
        <w:spacing w:line="560" w:lineRule="exact"/>
        <w:ind w:firstLine="640"/>
        <w:textAlignment w:val="auto"/>
        <w:rPr>
          <w:rFonts w:hint="default" w:ascii="Times New Roman" w:hAnsi="Times New Roman" w:cs="Times New Roman"/>
        </w:rPr>
      </w:pPr>
      <w:bookmarkStart w:id="11" w:name="_Toc1196020419"/>
      <w:r>
        <w:rPr>
          <w:rFonts w:hint="default" w:ascii="Times New Roman" w:hAnsi="Times New Roman" w:cs="Times New Roman"/>
        </w:rPr>
        <w:t>一、发展回顾</w:t>
      </w:r>
      <w:bookmarkEnd w:id="6"/>
      <w:bookmarkEnd w:id="7"/>
      <w:bookmarkEnd w:id="8"/>
      <w:bookmarkEnd w:id="9"/>
      <w:bookmarkEnd w:id="10"/>
      <w:bookmarkEnd w:id="11"/>
    </w:p>
    <w:p w14:paraId="0F8FCE1D">
      <w:pPr>
        <w:pStyle w:val="4"/>
        <w:pageBreakBefore w:val="0"/>
        <w:widowControl w:val="0"/>
        <w:kinsoku/>
        <w:wordWrap/>
        <w:topLinePunct w:val="0"/>
        <w:autoSpaceDE/>
        <w:autoSpaceDN/>
        <w:bidi w:val="0"/>
        <w:adjustRightInd w:val="0"/>
        <w:snapToGrid w:val="0"/>
        <w:spacing w:line="560" w:lineRule="exact"/>
        <w:ind w:firstLine="640"/>
        <w:textAlignment w:val="auto"/>
        <w:rPr>
          <w:rFonts w:hint="default" w:ascii="Times New Roman" w:hAnsi="Times New Roman" w:cs="Times New Roman"/>
        </w:rPr>
      </w:pPr>
      <w:bookmarkStart w:id="12" w:name="_Toc22588"/>
      <w:bookmarkStart w:id="13" w:name="_Toc574747744"/>
      <w:bookmarkStart w:id="14" w:name="_Toc21593"/>
      <w:bookmarkStart w:id="15" w:name="_Toc13697"/>
      <w:bookmarkStart w:id="16" w:name="_Toc889671031"/>
      <w:r>
        <w:rPr>
          <w:rFonts w:hint="default" w:ascii="Times New Roman" w:hAnsi="Times New Roman" w:cs="Times New Roman"/>
        </w:rPr>
        <w:t>（一）工作成效</w:t>
      </w:r>
      <w:bookmarkEnd w:id="12"/>
      <w:bookmarkEnd w:id="13"/>
      <w:bookmarkEnd w:id="14"/>
      <w:bookmarkEnd w:id="15"/>
      <w:bookmarkEnd w:id="16"/>
    </w:p>
    <w:p w14:paraId="3120449E">
      <w:pPr>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“十四五”时期，东城区网格化治理取得了显著成效，支撑了具有首都</w:t>
      </w:r>
      <w:r>
        <w:rPr>
          <w:rFonts w:hint="default" w:ascii="Times New Roman" w:hAnsi="Times New Roman" w:eastAsia="仿宋_GB2312" w:cs="Times New Roman"/>
          <w:sz w:val="32"/>
          <w:szCs w:val="32"/>
          <w:lang w:val="en-US" w:eastAsia="zh-CN"/>
        </w:rPr>
        <w:t>功能</w:t>
      </w:r>
      <w:r>
        <w:rPr>
          <w:rFonts w:hint="default" w:ascii="Times New Roman" w:hAnsi="Times New Roman" w:eastAsia="仿宋_GB2312" w:cs="Times New Roman"/>
          <w:sz w:val="32"/>
          <w:szCs w:val="32"/>
        </w:rPr>
        <w:t>核心区特色的现代化治理体系，走出了一条具有东城特色的超大城市精细化治理新路径。</w:t>
      </w:r>
      <w:r>
        <w:rPr>
          <w:rFonts w:hint="default" w:ascii="Times New Roman" w:hAnsi="Times New Roman" w:eastAsia="仿宋_GB2312" w:cs="Times New Roman"/>
          <w:sz w:val="32"/>
          <w:szCs w:val="32"/>
          <w:lang w:val="en-US" w:eastAsia="zh-CN"/>
        </w:rPr>
        <w:t>具体</w:t>
      </w:r>
      <w:r>
        <w:rPr>
          <w:rFonts w:hint="default" w:ascii="Times New Roman" w:hAnsi="Times New Roman" w:eastAsia="仿宋_GB2312" w:cs="Times New Roman"/>
          <w:sz w:val="32"/>
          <w:szCs w:val="32"/>
        </w:rPr>
        <w:t>体现在</w:t>
      </w:r>
      <w:r>
        <w:rPr>
          <w:rFonts w:hint="default"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rPr>
        <w:t>方面</w:t>
      </w:r>
      <w:r>
        <w:rPr>
          <w:rFonts w:hint="default" w:ascii="Times New Roman" w:hAnsi="Times New Roman" w:eastAsia="仿宋_GB2312" w:cs="Times New Roman"/>
          <w:sz w:val="32"/>
          <w:szCs w:val="32"/>
          <w:lang w:eastAsia="zh-CN"/>
        </w:rPr>
        <w:t>：</w:t>
      </w:r>
    </w:p>
    <w:p w14:paraId="4E04A39A">
      <w:pPr>
        <w:pageBreakBefore w:val="0"/>
        <w:widowControl w:val="0"/>
        <w:kinsoku/>
        <w:wordWrap/>
        <w:overflowPunct w:val="0"/>
        <w:topLinePunct w:val="0"/>
        <w:autoSpaceDE/>
        <w:autoSpaceDN/>
        <w:bidi w:val="0"/>
        <w:adjustRightInd w:val="0"/>
        <w:snapToGrid w:val="0"/>
        <w:spacing w:line="560" w:lineRule="exact"/>
        <w:ind w:firstLine="643" w:firstLineChars="200"/>
        <w:textAlignment w:val="auto"/>
        <w:rPr>
          <w:rFonts w:hint="default" w:ascii="Times New Roman" w:hAnsi="Times New Roman" w:eastAsia="仿宋_GB2312" w:cs="Times New Roman"/>
          <w:sz w:val="32"/>
          <w:szCs w:val="32"/>
          <w:lang w:eastAsia="zh-CN"/>
        </w:rPr>
      </w:pPr>
      <w:bookmarkStart w:id="17" w:name="_Toc14278"/>
      <w:bookmarkStart w:id="18" w:name="_Toc10688"/>
      <w:bookmarkStart w:id="19" w:name="_Toc6174"/>
      <w:bookmarkStart w:id="20" w:name="_Toc18588"/>
      <w:bookmarkStart w:id="21" w:name="_Toc229585502"/>
      <w:bookmarkStart w:id="22" w:name="_Toc28323"/>
      <w:bookmarkStart w:id="23" w:name="_Toc743449357"/>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b/>
          <w:bCs/>
          <w:sz w:val="32"/>
          <w:szCs w:val="32"/>
        </w:rPr>
        <w:t>网格化治理体系不断完善</w:t>
      </w:r>
      <w:bookmarkEnd w:id="17"/>
      <w:bookmarkEnd w:id="18"/>
      <w:bookmarkEnd w:id="19"/>
      <w:bookmarkEnd w:id="20"/>
      <w:bookmarkEnd w:id="21"/>
      <w:bookmarkEnd w:id="22"/>
      <w:bookmarkEnd w:id="23"/>
      <w:bookmarkStart w:id="24" w:name="OLE_LINK1"/>
      <w:r>
        <w:rPr>
          <w:rFonts w:hint="default" w:ascii="Times New Roman" w:hAnsi="Times New Roman" w:eastAsia="仿宋_GB2312" w:cs="Times New Roman"/>
          <w:b/>
          <w:bCs/>
          <w:sz w:val="32"/>
          <w:szCs w:val="32"/>
          <w:lang w:eastAsia="zh-CN"/>
        </w:rPr>
        <w:t>。</w:t>
      </w:r>
      <w:bookmarkEnd w:id="24"/>
      <w:r>
        <w:rPr>
          <w:rFonts w:hint="default" w:ascii="Times New Roman" w:hAnsi="Times New Roman" w:eastAsia="仿宋_GB2312" w:cs="Times New Roman"/>
          <w:sz w:val="32"/>
          <w:szCs w:val="32"/>
        </w:rPr>
        <w:t>构建“区—街—社区”三级循环工作体系，健全“区—街”大小循环联动机制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完善街道小循环案件自处置机制。“十四五”期间，监督员共上报案件285.</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万件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年均办理居民诉求29.6万件，切实解决了一批群众急难愁盼问题。按照“规模适度、界限清晰、无缝覆盖、便于管理服务”的原则，结合实际调整优化全区网格设置，现设置网格总数1997个。</w:t>
      </w:r>
    </w:p>
    <w:p w14:paraId="7AEAD54A">
      <w:pPr>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仿宋_GB2312" w:cs="Times New Roman"/>
          <w:sz w:val="32"/>
          <w:szCs w:val="32"/>
        </w:rPr>
      </w:pPr>
      <w:bookmarkStart w:id="25" w:name="_Toc1560062992"/>
      <w:bookmarkStart w:id="26" w:name="_Toc18162"/>
      <w:bookmarkStart w:id="27" w:name="_Toc229585503"/>
      <w:r>
        <w:rPr>
          <w:rFonts w:hint="default"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b/>
          <w:bCs/>
          <w:sz w:val="32"/>
          <w:szCs w:val="32"/>
        </w:rPr>
        <w:t>网格化治理能力再上台阶</w:t>
      </w:r>
      <w:bookmarkEnd w:id="25"/>
      <w:bookmarkEnd w:id="26"/>
      <w:bookmarkEnd w:id="27"/>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sz w:val="32"/>
          <w:szCs w:val="32"/>
        </w:rPr>
        <w:t>积极落实市级一体化网格平台推广应用工作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深度融合市、区两级平台，增加“执法直派”案件区级审核、“七有五性”“每月一题”统计分析等功能。</w:t>
      </w:r>
      <w:r>
        <w:rPr>
          <w:rFonts w:hint="default" w:ascii="Times New Roman" w:hAnsi="Times New Roman" w:eastAsia="仿宋_GB2312" w:cs="Times New Roman"/>
          <w:sz w:val="32"/>
          <w:szCs w:val="32"/>
          <w:lang w:val="en-US" w:eastAsia="zh-CN"/>
        </w:rPr>
        <w:t>夯实平台治理</w:t>
      </w:r>
      <w:r>
        <w:rPr>
          <w:rFonts w:hint="default" w:ascii="Times New Roman" w:hAnsi="Times New Roman" w:eastAsia="仿宋_GB2312" w:cs="Times New Roman"/>
          <w:b w:val="0"/>
          <w:bCs w:val="0"/>
          <w:sz w:val="32"/>
          <w:szCs w:val="32"/>
        </w:rPr>
        <w:t>数据</w:t>
      </w:r>
      <w:r>
        <w:rPr>
          <w:rFonts w:hint="default" w:ascii="Times New Roman" w:hAnsi="Times New Roman" w:eastAsia="仿宋_GB2312" w:cs="Times New Roman"/>
          <w:b w:val="0"/>
          <w:bCs w:val="0"/>
          <w:sz w:val="32"/>
          <w:szCs w:val="32"/>
          <w:lang w:val="en-US" w:eastAsia="zh-CN"/>
        </w:rPr>
        <w:t>基础</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sz w:val="32"/>
          <w:szCs w:val="32"/>
        </w:rPr>
        <w:t>确定16类6000余个城市部件设施基础信息，完成全区17个街道公共区域城市部件及地理编码</w:t>
      </w:r>
      <w:r>
        <w:rPr>
          <w:rFonts w:hint="default" w:ascii="Times New Roman" w:hAnsi="Times New Roman" w:eastAsia="仿宋_GB2312" w:cs="Times New Roman"/>
          <w:sz w:val="32"/>
          <w:szCs w:val="32"/>
          <w:lang w:val="en-US" w:eastAsia="zh-CN"/>
        </w:rPr>
        <w:t>外业普查测绘、内业加工处理工作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组织开展全区公共区域城市部件权属确认工作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基本完成网格治理力量的配置工作，建立</w:t>
      </w:r>
      <w:r>
        <w:rPr>
          <w:rFonts w:hint="default" w:ascii="Times New Roman" w:hAnsi="Times New Roman" w:eastAsia="仿宋_GB2312" w:cs="Times New Roman"/>
          <w:sz w:val="32"/>
          <w:szCs w:val="32"/>
          <w:lang w:val="en-US" w:eastAsia="zh-CN"/>
        </w:rPr>
        <w:t>全区</w:t>
      </w:r>
      <w:r>
        <w:rPr>
          <w:rFonts w:hint="default" w:ascii="Times New Roman" w:hAnsi="Times New Roman" w:eastAsia="仿宋_GB2312" w:cs="Times New Roman"/>
          <w:sz w:val="32"/>
          <w:szCs w:val="32"/>
        </w:rPr>
        <w:t>网格治理队伍实名制台账，已配置街道和社区“双网格长”3615人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专兼职网格员约1.8万余人。</w:t>
      </w:r>
    </w:p>
    <w:p w14:paraId="07BEE2D6">
      <w:pPr>
        <w:pageBreakBefore w:val="0"/>
        <w:widowControl w:val="0"/>
        <w:kinsoku/>
        <w:wordWrap/>
        <w:topLinePunct w:val="0"/>
        <w:autoSpaceDE/>
        <w:autoSpaceDN/>
        <w:bidi w:val="0"/>
        <w:adjustRightInd w:val="0"/>
        <w:snapToGrid w:val="0"/>
        <w:spacing w:line="560" w:lineRule="exact"/>
        <w:ind w:firstLine="643"/>
        <w:textAlignment w:val="auto"/>
        <w:rPr>
          <w:rFonts w:hint="default" w:ascii="Times New Roman" w:hAnsi="Times New Roman" w:eastAsia="仿宋_GB2312" w:cs="Times New Roman"/>
          <w:b w:val="0"/>
          <w:bCs w:val="0"/>
          <w:sz w:val="32"/>
          <w:szCs w:val="32"/>
        </w:rPr>
      </w:pPr>
      <w:bookmarkStart w:id="28" w:name="_Toc229585504"/>
      <w:bookmarkStart w:id="29" w:name="_Toc31456"/>
      <w:bookmarkStart w:id="30" w:name="_Toc239391567"/>
      <w:r>
        <w:rPr>
          <w:rFonts w:hint="default" w:ascii="Times New Roman" w:hAnsi="Times New Roman" w:eastAsia="仿宋_GB2312" w:cs="Times New Roman"/>
          <w:b/>
          <w:bCs/>
          <w:sz w:val="32"/>
          <w:szCs w:val="32"/>
          <w:lang w:val="en-US" w:eastAsia="zh-CN"/>
        </w:rPr>
        <w:t>三是</w:t>
      </w:r>
      <w:r>
        <w:rPr>
          <w:rFonts w:hint="default" w:ascii="Times New Roman" w:hAnsi="Times New Roman" w:eastAsia="仿宋_GB2312" w:cs="Times New Roman"/>
          <w:b/>
          <w:bCs/>
          <w:sz w:val="32"/>
          <w:szCs w:val="32"/>
        </w:rPr>
        <w:t>网格化治理边界更加拓宽</w:t>
      </w:r>
      <w:bookmarkEnd w:id="28"/>
      <w:bookmarkEnd w:id="29"/>
      <w:bookmarkEnd w:id="30"/>
      <w:r>
        <w:rPr>
          <w:rFonts w:hint="default" w:ascii="Times New Roman" w:hAnsi="Times New Roman" w:eastAsia="仿宋_GB2312" w:cs="Times New Roman"/>
          <w:b/>
          <w:bCs/>
          <w:sz w:val="32"/>
          <w:szCs w:val="32"/>
          <w:lang w:eastAsia="zh-CN"/>
        </w:rPr>
        <w:t>。</w:t>
      </w:r>
      <w:bookmarkStart w:id="31" w:name="OLE_LINK2"/>
      <w:r>
        <w:rPr>
          <w:rFonts w:hint="default" w:ascii="Times New Roman" w:hAnsi="Times New Roman" w:eastAsia="仿宋_GB2312" w:cs="Times New Roman"/>
          <w:b w:val="0"/>
          <w:bCs w:val="0"/>
          <w:sz w:val="32"/>
          <w:szCs w:val="32"/>
        </w:rPr>
        <w:t>强化网格监管与热线诉求高效衔接，制定《东城区党建引领接诉即办专项工作实施意见》</w:t>
      </w:r>
      <w:r>
        <w:rPr>
          <w:rFonts w:hint="default" w:ascii="Times New Roman" w:hAnsi="Times New Roman" w:eastAsia="仿宋_GB2312" w:cs="Times New Roman"/>
          <w:b w:val="0"/>
          <w:bCs w:val="0"/>
          <w:sz w:val="32"/>
          <w:szCs w:val="32"/>
          <w:lang w:eastAsia="zh-CN"/>
        </w:rPr>
        <w:t>，</w:t>
      </w:r>
      <w:r>
        <w:rPr>
          <w:rFonts w:ascii="Times New Roman" w:hAnsi="Times New Roman" w:eastAsia="仿宋_GB2312" w:cs="Times New Roman"/>
          <w:color w:val="auto"/>
          <w:sz w:val="32"/>
          <w:szCs w:val="32"/>
        </w:rPr>
        <w:t>构建高位统筹、条块结合、多方参与、共建共治的接诉即办工作体系</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val="0"/>
          <w:bCs w:val="0"/>
          <w:sz w:val="32"/>
          <w:szCs w:val="32"/>
        </w:rPr>
        <w:t>增加“热线+网格”评价模块</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落实“创城+热线+网格”联动创建机制</w:t>
      </w:r>
      <w:r>
        <w:rPr>
          <w:rFonts w:hint="default" w:ascii="Times New Roman" w:hAnsi="Times New Roman" w:eastAsia="仿宋_GB2312" w:cs="Times New Roman"/>
          <w:b w:val="0"/>
          <w:bCs w:val="0"/>
          <w:sz w:val="32"/>
          <w:szCs w:val="32"/>
          <w:lang w:eastAsia="zh-CN"/>
        </w:rPr>
        <w:t>。</w:t>
      </w:r>
      <w:bookmarkEnd w:id="31"/>
      <w:r>
        <w:rPr>
          <w:rFonts w:hint="default" w:ascii="Times New Roman" w:hAnsi="Times New Roman" w:eastAsia="仿宋_GB2312" w:cs="Times New Roman"/>
          <w:b w:val="0"/>
          <w:bCs w:val="0"/>
          <w:sz w:val="32"/>
          <w:szCs w:val="32"/>
        </w:rPr>
        <w:t>持续强化区级平台联动，推进网格平台与城管执法平台深度融合，与城管执法、水务、园林、环保等专业检查业务对接</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搭建社区数据汇聚共享服务平台，强化社区层面的数据汇集与深度应用</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kern w:val="2"/>
          <w:sz w:val="32"/>
          <w:szCs w:val="32"/>
        </w:rPr>
        <w:t>建立</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lang w:val="en-US" w:eastAsia="zh-CN"/>
        </w:rPr>
        <w:t>网格+经济运行</w:t>
      </w:r>
      <w:r>
        <w:rPr>
          <w:rFonts w:hint="default"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b w:val="0"/>
          <w:bCs w:val="0"/>
          <w:kern w:val="2"/>
          <w:sz w:val="32"/>
          <w:szCs w:val="32"/>
        </w:rPr>
        <w:t>监测机制，成立经济运行监测专班，形成东城区“1+6”经济工作调度体系。</w:t>
      </w:r>
    </w:p>
    <w:p w14:paraId="6B537116">
      <w:pPr>
        <w:pageBreakBefore w:val="0"/>
        <w:widowControl w:val="0"/>
        <w:kinsoku/>
        <w:wordWrap/>
        <w:overflowPunct w:val="0"/>
        <w:topLinePunct w:val="0"/>
        <w:autoSpaceDE/>
        <w:autoSpaceDN/>
        <w:bidi w:val="0"/>
        <w:adjustRightInd w:val="0"/>
        <w:snapToGrid w:val="0"/>
        <w:spacing w:line="560" w:lineRule="exact"/>
        <w:ind w:firstLine="643" w:firstLineChars="200"/>
        <w:textAlignment w:val="auto"/>
        <w:rPr>
          <w:rFonts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lang w:val="en-US" w:eastAsia="zh-CN"/>
        </w:rPr>
        <w:t>四是</w:t>
      </w:r>
      <w:r>
        <w:rPr>
          <w:rFonts w:hint="default" w:ascii="Times New Roman" w:hAnsi="Times New Roman" w:eastAsia="仿宋_GB2312" w:cs="Times New Roman"/>
          <w:b/>
          <w:bCs/>
          <w:sz w:val="32"/>
          <w:szCs w:val="32"/>
        </w:rPr>
        <w:t>网格化治理</w:t>
      </w:r>
      <w:r>
        <w:rPr>
          <w:rFonts w:hint="default" w:ascii="Times New Roman" w:hAnsi="Times New Roman" w:eastAsia="仿宋_GB2312" w:cs="Times New Roman"/>
          <w:b/>
          <w:bCs/>
          <w:sz w:val="32"/>
          <w:szCs w:val="32"/>
          <w:lang w:val="en-US" w:eastAsia="zh-CN"/>
        </w:rPr>
        <w:t>影响不断扩大</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sz w:val="32"/>
          <w:szCs w:val="32"/>
        </w:rPr>
        <w:t>圆满完成第五批国家级社会管理和公共服务标准化试点的建设任务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32"/>
          <w:highlight w:val="none"/>
        </w:rPr>
        <w:t>高质量完成2022年和2024年接诉即办</w:t>
      </w:r>
      <w:r>
        <w:rPr>
          <w:rFonts w:hint="default" w:ascii="Times New Roman" w:hAnsi="Times New Roman" w:eastAsia="仿宋_GB2312" w:cs="Times New Roman"/>
          <w:color w:val="auto"/>
          <w:sz w:val="32"/>
          <w:szCs w:val="32"/>
          <w:highlight w:val="none"/>
          <w:lang w:val="en-US" w:eastAsia="zh-CN"/>
        </w:rPr>
        <w:t>改革</w:t>
      </w:r>
      <w:r>
        <w:rPr>
          <w:rFonts w:hint="default" w:ascii="Times New Roman" w:hAnsi="Times New Roman" w:eastAsia="仿宋_GB2312" w:cs="Times New Roman"/>
          <w:color w:val="auto"/>
          <w:sz w:val="32"/>
          <w:szCs w:val="32"/>
          <w:highlight w:val="none"/>
        </w:rPr>
        <w:t>论坛，承办2024年“新篇”平行论坛</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讲好东城治理故事</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sz w:val="32"/>
          <w:szCs w:val="32"/>
        </w:rPr>
        <w:t>“十四五”期间，累计接待来访团体50余次。依托BTV《北京新闻》《北京青年报》、北京人大、东城网格公众号等主流媒体及平台矩阵发布新闻报道，持续提升</w:t>
      </w:r>
      <w:r>
        <w:rPr>
          <w:rFonts w:hint="default" w:ascii="Times New Roman" w:hAnsi="Times New Roman" w:eastAsia="仿宋_GB2312" w:cs="Times New Roman"/>
          <w:sz w:val="32"/>
          <w:szCs w:val="32"/>
          <w:lang w:val="en-US" w:eastAsia="zh-CN"/>
        </w:rPr>
        <w:t>网格化治理</w:t>
      </w:r>
      <w:r>
        <w:rPr>
          <w:rFonts w:hint="default" w:ascii="Times New Roman" w:hAnsi="Times New Roman" w:eastAsia="仿宋_GB2312" w:cs="Times New Roman"/>
          <w:sz w:val="32"/>
          <w:szCs w:val="32"/>
        </w:rPr>
        <w:t>工作的知晓率。</w:t>
      </w:r>
    </w:p>
    <w:p w14:paraId="1CF797A6">
      <w:pPr>
        <w:pStyle w:val="4"/>
        <w:pageBreakBefore w:val="0"/>
        <w:widowControl w:val="0"/>
        <w:kinsoku/>
        <w:wordWrap/>
        <w:topLinePunct w:val="0"/>
        <w:autoSpaceDE/>
        <w:autoSpaceDN/>
        <w:bidi w:val="0"/>
        <w:adjustRightInd w:val="0"/>
        <w:snapToGrid w:val="0"/>
        <w:spacing w:line="560" w:lineRule="exact"/>
        <w:ind w:firstLine="640"/>
        <w:textAlignment w:val="auto"/>
        <w:rPr>
          <w:rFonts w:hint="default" w:ascii="Times New Roman" w:hAnsi="Times New Roman" w:cs="Times New Roman"/>
        </w:rPr>
      </w:pPr>
      <w:bookmarkStart w:id="32" w:name="_Toc31312"/>
      <w:bookmarkStart w:id="33" w:name="_Toc14424"/>
      <w:bookmarkStart w:id="34" w:name="_Toc36545177"/>
      <w:bookmarkStart w:id="35" w:name="_Toc229585505"/>
      <w:bookmarkStart w:id="36" w:name="_Toc581224038"/>
      <w:bookmarkStart w:id="37" w:name="_Toc7227"/>
      <w:r>
        <w:rPr>
          <w:rFonts w:hint="default" w:ascii="Times New Roman" w:hAnsi="Times New Roman" w:cs="Times New Roman"/>
        </w:rPr>
        <w:t>（二）短板不足</w:t>
      </w:r>
      <w:bookmarkEnd w:id="32"/>
      <w:bookmarkEnd w:id="33"/>
      <w:bookmarkEnd w:id="34"/>
      <w:bookmarkEnd w:id="35"/>
      <w:bookmarkEnd w:id="36"/>
      <w:bookmarkEnd w:id="37"/>
    </w:p>
    <w:p w14:paraId="43B68B2C">
      <w:pPr>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“十四五”时期，东城区网格化治理工作虽取得长足进展，但距离现代化人民城市建设仍存在着短板不足，体现在四个方面</w:t>
      </w:r>
      <w:r>
        <w:rPr>
          <w:rFonts w:hint="default" w:ascii="Times New Roman" w:hAnsi="Times New Roman" w:eastAsia="仿宋_GB2312" w:cs="Times New Roman"/>
          <w:sz w:val="32"/>
          <w:szCs w:val="32"/>
          <w:lang w:eastAsia="zh-CN"/>
        </w:rPr>
        <w:t>。</w:t>
      </w:r>
      <w:bookmarkStart w:id="38" w:name="OLE_LINK3"/>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b/>
          <w:bCs/>
          <w:sz w:val="32"/>
          <w:szCs w:val="32"/>
        </w:rPr>
        <w:t>理念</w:t>
      </w:r>
      <w:r>
        <w:rPr>
          <w:rFonts w:hint="default" w:ascii="Times New Roman" w:hAnsi="Times New Roman" w:eastAsia="仿宋_GB2312" w:cs="Times New Roman"/>
          <w:b/>
          <w:bCs/>
          <w:sz w:val="32"/>
          <w:szCs w:val="32"/>
          <w:lang w:val="en-US" w:eastAsia="zh-CN"/>
        </w:rPr>
        <w:t>不够与时俱进。</w:t>
      </w:r>
      <w:r>
        <w:rPr>
          <w:rFonts w:hint="default" w:ascii="Times New Roman" w:hAnsi="Times New Roman" w:eastAsia="仿宋_GB2312" w:cs="Times New Roman"/>
          <w:sz w:val="32"/>
          <w:szCs w:val="32"/>
          <w:lang w:val="en-US" w:eastAsia="zh-CN"/>
        </w:rPr>
        <w:t>存在</w:t>
      </w:r>
      <w:r>
        <w:rPr>
          <w:rFonts w:hint="default" w:ascii="Times New Roman" w:hAnsi="Times New Roman" w:eastAsia="仿宋_GB2312" w:cs="Times New Roman"/>
          <w:sz w:val="32"/>
          <w:szCs w:val="32"/>
        </w:rPr>
        <w:t>将网格化简单理解为工作系统</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工作平台的现象</w:t>
      </w:r>
      <w:r>
        <w:rPr>
          <w:rFonts w:hint="default" w:ascii="Times New Roman" w:hAnsi="Times New Roman" w:eastAsia="仿宋_GB2312" w:cs="Times New Roman"/>
          <w:sz w:val="32"/>
          <w:szCs w:val="32"/>
        </w:rPr>
        <w:t>，网格</w:t>
      </w:r>
      <w:r>
        <w:rPr>
          <w:rFonts w:hint="default" w:ascii="Times New Roman" w:hAnsi="Times New Roman" w:eastAsia="仿宋_GB2312" w:cs="Times New Roman"/>
          <w:sz w:val="32"/>
          <w:szCs w:val="32"/>
          <w:lang w:val="en-US" w:eastAsia="zh-CN"/>
        </w:rPr>
        <w:t>化理念</w:t>
      </w:r>
      <w:r>
        <w:rPr>
          <w:rFonts w:hint="default" w:ascii="Times New Roman" w:hAnsi="Times New Roman" w:eastAsia="仿宋_GB2312" w:cs="Times New Roman"/>
          <w:sz w:val="32"/>
          <w:szCs w:val="32"/>
        </w:rPr>
        <w:t>在现代化人民城市治理中的应用不够广泛、不够深入。</w:t>
      </w:r>
      <w:r>
        <w:rPr>
          <w:rFonts w:hint="default"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b/>
          <w:bCs/>
          <w:sz w:val="32"/>
          <w:szCs w:val="32"/>
        </w:rPr>
        <w:t>引领统筹</w:t>
      </w:r>
      <w:r>
        <w:rPr>
          <w:rFonts w:hint="default" w:ascii="Times New Roman" w:hAnsi="Times New Roman" w:eastAsia="仿宋_GB2312" w:cs="Times New Roman"/>
          <w:b/>
          <w:bCs/>
          <w:sz w:val="32"/>
          <w:szCs w:val="32"/>
          <w:lang w:val="en-US" w:eastAsia="zh-CN"/>
        </w:rPr>
        <w:t>不健全。</w:t>
      </w:r>
      <w:r>
        <w:rPr>
          <w:rFonts w:hint="default" w:ascii="Times New Roman" w:hAnsi="Times New Roman" w:eastAsia="仿宋_GB2312" w:cs="Times New Roman"/>
          <w:sz w:val="32"/>
          <w:szCs w:val="32"/>
        </w:rPr>
        <w:t>党建引领网格</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治理的统揽贯通作用发挥不足，区级部门统筹协调、业务联动存在壁垒，</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多头监督</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、重复检查等问题较为突出，</w:t>
      </w:r>
      <w:r>
        <w:rPr>
          <w:rFonts w:hint="default" w:ascii="Times New Roman" w:hAnsi="Times New Roman" w:eastAsia="仿宋_GB2312" w:cs="Times New Roman"/>
          <w:sz w:val="32"/>
          <w:szCs w:val="32"/>
        </w:rPr>
        <w:t>网格化治理生态释放效能不足，“多网合一”</w:t>
      </w:r>
      <w:r>
        <w:rPr>
          <w:rFonts w:hint="default" w:ascii="Times New Roman" w:hAnsi="Times New Roman" w:eastAsia="仿宋_GB2312" w:cs="Times New Roman"/>
          <w:sz w:val="32"/>
          <w:szCs w:val="32"/>
          <w:lang w:val="en-US" w:eastAsia="zh-CN"/>
        </w:rPr>
        <w:t>有待进一步夯实。</w:t>
      </w:r>
      <w:bookmarkStart w:id="39" w:name="OLE_LINK6"/>
      <w:r>
        <w:rPr>
          <w:rFonts w:hint="default" w:ascii="Times New Roman" w:hAnsi="Times New Roman" w:eastAsia="仿宋_GB2312" w:cs="Times New Roman"/>
          <w:b/>
          <w:bCs/>
          <w:sz w:val="32"/>
          <w:szCs w:val="32"/>
          <w:lang w:val="en-US" w:eastAsia="zh-CN"/>
        </w:rPr>
        <w:t>三是智慧赋能不充分。</w:t>
      </w:r>
      <w:r>
        <w:rPr>
          <w:rFonts w:hint="default" w:ascii="Times New Roman" w:hAnsi="Times New Roman" w:eastAsia="仿宋_GB2312" w:cs="Times New Roman"/>
          <w:sz w:val="32"/>
          <w:szCs w:val="32"/>
        </w:rPr>
        <w:t>网格平台覆盖面不够宽广，应用场景开发</w:t>
      </w:r>
      <w:r>
        <w:rPr>
          <w:rFonts w:hint="default" w:ascii="Times New Roman" w:hAnsi="Times New Roman" w:eastAsia="仿宋_GB2312" w:cs="Times New Roman"/>
          <w:sz w:val="32"/>
          <w:szCs w:val="32"/>
          <w:lang w:val="en-US" w:eastAsia="zh-CN"/>
        </w:rPr>
        <w:t>不多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人工智能应用</w:t>
      </w:r>
      <w:r>
        <w:rPr>
          <w:rFonts w:hint="default" w:ascii="Times New Roman" w:hAnsi="Times New Roman" w:eastAsia="仿宋_GB2312" w:cs="Times New Roman"/>
          <w:sz w:val="32"/>
          <w:szCs w:val="32"/>
          <w:lang w:val="en-US" w:eastAsia="zh-CN"/>
        </w:rPr>
        <w:t>不足，</w:t>
      </w:r>
      <w:r>
        <w:rPr>
          <w:rFonts w:hint="default" w:ascii="Times New Roman" w:hAnsi="Times New Roman" w:eastAsia="仿宋_GB2312" w:cs="Times New Roman"/>
          <w:sz w:val="32"/>
          <w:szCs w:val="32"/>
        </w:rPr>
        <w:t>数据要素价值未能充分释放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数据壁垒与信息孤岛现象仍然存在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lang w:val="en-US" w:eastAsia="zh-CN"/>
        </w:rPr>
        <w:t>四是</w:t>
      </w:r>
      <w:bookmarkEnd w:id="39"/>
      <w:r>
        <w:rPr>
          <w:rFonts w:hint="default" w:ascii="Times New Roman" w:hAnsi="Times New Roman" w:eastAsia="仿宋_GB2312" w:cs="Times New Roman"/>
          <w:b/>
          <w:bCs/>
          <w:sz w:val="32"/>
          <w:szCs w:val="32"/>
        </w:rPr>
        <w:t>网格队伍难持续</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sz w:val="32"/>
          <w:szCs w:val="32"/>
        </w:rPr>
        <w:t>基层网格力量人员流失率较高，区级城市管理监督员队伍发展存在制度性障碍，基层网格力量的稳定性和专业性有待进一步提高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多元力量参与网格化治理的积极性仍然不高。</w:t>
      </w:r>
    </w:p>
    <w:bookmarkEnd w:id="38"/>
    <w:p w14:paraId="644EED80">
      <w:pPr>
        <w:pStyle w:val="3"/>
        <w:pageBreakBefore w:val="0"/>
        <w:widowControl w:val="0"/>
        <w:kinsoku/>
        <w:wordWrap/>
        <w:topLinePunct w:val="0"/>
        <w:autoSpaceDE/>
        <w:autoSpaceDN/>
        <w:bidi w:val="0"/>
        <w:adjustRightInd w:val="0"/>
        <w:snapToGrid w:val="0"/>
        <w:spacing w:line="560" w:lineRule="exact"/>
        <w:ind w:firstLine="640"/>
        <w:textAlignment w:val="auto"/>
        <w:rPr>
          <w:rFonts w:hint="default" w:ascii="Times New Roman" w:hAnsi="Times New Roman" w:cs="Times New Roman"/>
        </w:rPr>
      </w:pPr>
      <w:bookmarkStart w:id="40" w:name="_Toc603315299"/>
      <w:bookmarkStart w:id="41" w:name="_Toc229585506"/>
      <w:bookmarkStart w:id="42" w:name="_Toc261306178"/>
      <w:bookmarkStart w:id="43" w:name="_Toc11933"/>
      <w:bookmarkStart w:id="44" w:name="_Toc18385"/>
      <w:bookmarkStart w:id="45" w:name="_Toc10624"/>
      <w:r>
        <w:rPr>
          <w:rFonts w:hint="default" w:ascii="Times New Roman" w:hAnsi="Times New Roman" w:cs="Times New Roman"/>
        </w:rPr>
        <w:t>二、形势</w:t>
      </w:r>
      <w:r>
        <w:rPr>
          <w:rFonts w:hint="default" w:ascii="Times New Roman" w:hAnsi="Times New Roman" w:cs="Times New Roman"/>
          <w:lang w:eastAsia="zh-CN"/>
        </w:rPr>
        <w:t>与挑战</w:t>
      </w:r>
      <w:bookmarkEnd w:id="40"/>
      <w:bookmarkEnd w:id="41"/>
      <w:bookmarkEnd w:id="42"/>
      <w:bookmarkEnd w:id="43"/>
      <w:bookmarkEnd w:id="44"/>
      <w:bookmarkEnd w:id="45"/>
    </w:p>
    <w:p w14:paraId="295F002A">
      <w:pPr>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“十五五”时期是我国基本实现社会主义现代化夯实基础、全面发力的关键时期。东城区作为首都功能核心区，机遇与挑战并存，亟需以更高站位破解新课题。</w:t>
      </w:r>
    </w:p>
    <w:p w14:paraId="5E2FBD37">
      <w:pPr>
        <w:pageBreakBefore w:val="0"/>
        <w:widowControl w:val="0"/>
        <w:kinsoku/>
        <w:wordWrap/>
        <w:overflowPunct w:val="0"/>
        <w:topLinePunct w:val="0"/>
        <w:autoSpaceDE/>
        <w:autoSpaceDN/>
        <w:bidi w:val="0"/>
        <w:adjustRightInd w:val="0"/>
        <w:snapToGrid w:val="0"/>
        <w:spacing w:line="560" w:lineRule="exact"/>
        <w:ind w:firstLine="643" w:firstLineChars="200"/>
        <w:textAlignment w:val="auto"/>
        <w:rPr>
          <w:rFonts w:hint="default" w:ascii="Times New Roman" w:hAnsi="Times New Roman" w:cs="Times New Roman"/>
        </w:rPr>
      </w:pPr>
      <w:r>
        <w:rPr>
          <w:rFonts w:hint="default" w:ascii="Times New Roman" w:hAnsi="Times New Roman" w:eastAsia="仿宋_GB2312" w:cs="Times New Roman"/>
          <w:b/>
          <w:bCs/>
          <w:sz w:val="32"/>
          <w:szCs w:val="32"/>
        </w:rPr>
        <w:t>党建引领要求更高。</w:t>
      </w:r>
      <w:r>
        <w:rPr>
          <w:rFonts w:hint="default" w:ascii="Times New Roman" w:hAnsi="Times New Roman" w:eastAsia="仿宋_GB2312" w:cs="Times New Roman"/>
          <w:sz w:val="32"/>
          <w:szCs w:val="32"/>
        </w:rPr>
        <w:t>落实“四个中心”</w:t>
      </w:r>
      <w:r>
        <w:rPr>
          <w:rFonts w:hint="default" w:ascii="Times New Roman" w:hAnsi="Times New Roman" w:eastAsia="仿宋_GB2312" w:cs="Times New Roman"/>
          <w:sz w:val="32"/>
          <w:szCs w:val="32"/>
          <w:lang w:val="en-US" w:eastAsia="zh-CN"/>
        </w:rPr>
        <w:t>建设和</w:t>
      </w:r>
      <w:r>
        <w:rPr>
          <w:rFonts w:hint="default" w:ascii="Times New Roman" w:hAnsi="Times New Roman" w:eastAsia="仿宋_GB2312" w:cs="Times New Roman"/>
          <w:sz w:val="32"/>
          <w:szCs w:val="32"/>
        </w:rPr>
        <w:t>完善社会治理体系，必须</w:t>
      </w:r>
      <w:r>
        <w:rPr>
          <w:rFonts w:hint="default" w:ascii="Times New Roman" w:hAnsi="Times New Roman" w:eastAsia="仿宋_GB2312" w:cs="Times New Roman"/>
          <w:sz w:val="32"/>
          <w:szCs w:val="32"/>
          <w:lang w:val="en-US" w:eastAsia="zh-CN"/>
        </w:rPr>
        <w:t>加强</w:t>
      </w:r>
      <w:r>
        <w:rPr>
          <w:rFonts w:hint="default" w:ascii="Times New Roman" w:hAnsi="Times New Roman" w:eastAsia="仿宋_GB2312" w:cs="Times New Roman"/>
          <w:sz w:val="32"/>
          <w:szCs w:val="32"/>
        </w:rPr>
        <w:t>网格化治理与重大任务融合，强化党组织在网格中的政治核心作用，破解条块壁垒，将政治优势转化为治理效能。</w:t>
      </w:r>
    </w:p>
    <w:p w14:paraId="11081746">
      <w:pPr>
        <w:pageBreakBefore w:val="0"/>
        <w:widowControl w:val="0"/>
        <w:kinsoku/>
        <w:wordWrap/>
        <w:overflowPunct w:val="0"/>
        <w:topLinePunct w:val="0"/>
        <w:autoSpaceDE/>
        <w:autoSpaceDN/>
        <w:bidi w:val="0"/>
        <w:adjustRightInd w:val="0"/>
        <w:snapToGrid w:val="0"/>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人民</w:t>
      </w:r>
      <w:r>
        <w:rPr>
          <w:rFonts w:hint="default" w:ascii="Times New Roman" w:hAnsi="Times New Roman" w:eastAsia="仿宋_GB2312" w:cs="Times New Roman"/>
          <w:b/>
          <w:bCs/>
          <w:sz w:val="32"/>
          <w:szCs w:val="32"/>
        </w:rPr>
        <w:t>城市转型加快。</w:t>
      </w:r>
      <w:r>
        <w:rPr>
          <w:rFonts w:hint="default" w:ascii="Times New Roman" w:hAnsi="Times New Roman" w:eastAsia="仿宋_GB2312" w:cs="Times New Roman"/>
          <w:sz w:val="32"/>
          <w:szCs w:val="32"/>
        </w:rPr>
        <w:t>城市发展正从</w:t>
      </w:r>
      <w:r>
        <w:rPr>
          <w:rFonts w:hint="default" w:ascii="Times New Roman" w:hAnsi="Times New Roman" w:eastAsia="仿宋_GB2312" w:cs="Times New Roman"/>
          <w:sz w:val="32"/>
          <w:szCs w:val="32"/>
          <w:lang w:eastAsia="zh-CN"/>
        </w:rPr>
        <w:t>大规模增量扩张</w:t>
      </w:r>
      <w:r>
        <w:rPr>
          <w:rFonts w:hint="default" w:ascii="Times New Roman" w:hAnsi="Times New Roman" w:eastAsia="仿宋_GB2312" w:cs="Times New Roman"/>
          <w:sz w:val="32"/>
          <w:szCs w:val="32"/>
        </w:rPr>
        <w:t>转向</w:t>
      </w:r>
      <w:r>
        <w:rPr>
          <w:rFonts w:hint="default" w:ascii="Times New Roman" w:hAnsi="Times New Roman" w:eastAsia="仿宋_GB2312" w:cs="Times New Roman"/>
          <w:sz w:val="32"/>
          <w:szCs w:val="32"/>
          <w:lang w:eastAsia="zh-CN"/>
        </w:rPr>
        <w:t>存量提质增效</w:t>
      </w:r>
      <w:r>
        <w:rPr>
          <w:rFonts w:hint="default" w:ascii="Times New Roman" w:hAnsi="Times New Roman" w:eastAsia="仿宋_GB2312" w:cs="Times New Roman"/>
          <w:sz w:val="32"/>
          <w:szCs w:val="32"/>
        </w:rPr>
        <w:t>。东城区面对空间约束紧、人口密度高、老旧小区多等挑战，亟待探索适应于城市内涵式发展的精细化治理路径。</w:t>
      </w:r>
    </w:p>
    <w:p w14:paraId="2AD25337">
      <w:pPr>
        <w:pageBreakBefore w:val="0"/>
        <w:widowControl w:val="0"/>
        <w:kinsoku/>
        <w:wordWrap/>
        <w:overflowPunct w:val="0"/>
        <w:topLinePunct w:val="0"/>
        <w:autoSpaceDE/>
        <w:autoSpaceDN/>
        <w:bidi w:val="0"/>
        <w:adjustRightInd w:val="0"/>
        <w:snapToGrid w:val="0"/>
        <w:spacing w:line="560" w:lineRule="exact"/>
        <w:ind w:firstLine="643" w:firstLineChars="200"/>
        <w:textAlignment w:val="auto"/>
        <w:rPr>
          <w:rFonts w:hint="default" w:ascii="Times New Roman" w:hAnsi="Times New Roman" w:cs="Times New Roman"/>
        </w:rPr>
      </w:pPr>
      <w:r>
        <w:rPr>
          <w:rFonts w:hint="default" w:ascii="Times New Roman" w:hAnsi="Times New Roman" w:eastAsia="仿宋_GB2312" w:cs="Times New Roman"/>
          <w:b/>
          <w:bCs/>
          <w:sz w:val="32"/>
          <w:szCs w:val="32"/>
        </w:rPr>
        <w:t>治理</w:t>
      </w:r>
      <w:r>
        <w:rPr>
          <w:rFonts w:hint="default" w:ascii="Times New Roman" w:hAnsi="Times New Roman" w:eastAsia="仿宋_GB2312" w:cs="Times New Roman"/>
          <w:b/>
          <w:bCs/>
          <w:sz w:val="32"/>
          <w:szCs w:val="32"/>
          <w:lang w:val="en-US" w:eastAsia="zh-CN"/>
        </w:rPr>
        <w:t>任务</w:t>
      </w:r>
      <w:r>
        <w:rPr>
          <w:rFonts w:hint="default" w:ascii="Times New Roman" w:hAnsi="Times New Roman" w:eastAsia="仿宋_GB2312" w:cs="Times New Roman"/>
          <w:b/>
          <w:bCs/>
          <w:sz w:val="32"/>
          <w:szCs w:val="32"/>
        </w:rPr>
        <w:t>日趋复杂。</w:t>
      </w:r>
      <w:r>
        <w:rPr>
          <w:rFonts w:hint="default" w:ascii="Times New Roman" w:hAnsi="Times New Roman" w:eastAsia="仿宋_GB2312" w:cs="Times New Roman"/>
          <w:sz w:val="32"/>
          <w:szCs w:val="32"/>
          <w:lang w:val="en-US" w:eastAsia="zh-CN"/>
        </w:rPr>
        <w:t>基层治理</w:t>
      </w:r>
      <w:r>
        <w:rPr>
          <w:rFonts w:hint="default" w:ascii="Times New Roman" w:hAnsi="Times New Roman" w:eastAsia="仿宋_GB2312" w:cs="Times New Roman"/>
          <w:sz w:val="32"/>
          <w:szCs w:val="32"/>
        </w:rPr>
        <w:t>任务</w:t>
      </w:r>
      <w:r>
        <w:rPr>
          <w:rFonts w:hint="default" w:ascii="Times New Roman" w:hAnsi="Times New Roman" w:eastAsia="仿宋_GB2312" w:cs="Times New Roman"/>
          <w:sz w:val="32"/>
          <w:szCs w:val="32"/>
          <w:lang w:val="en-US" w:eastAsia="zh-CN"/>
        </w:rPr>
        <w:t>艰巨</w:t>
      </w:r>
      <w:r>
        <w:rPr>
          <w:rFonts w:hint="default" w:ascii="Times New Roman" w:hAnsi="Times New Roman" w:eastAsia="仿宋_GB2312" w:cs="Times New Roman"/>
          <w:sz w:val="32"/>
          <w:szCs w:val="32"/>
        </w:rPr>
        <w:t>，监督触角由公共空间向社区内部延伸，治理责任压实到“最后一米”</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重大活动保障任务较重，</w:t>
      </w:r>
      <w:r>
        <w:rPr>
          <w:rFonts w:hint="default" w:ascii="Times New Roman" w:hAnsi="Times New Roman" w:eastAsia="仿宋_GB2312" w:cs="Times New Roman"/>
          <w:sz w:val="32"/>
          <w:szCs w:val="32"/>
        </w:rPr>
        <w:t>要求网格化治理体系必须更具弹性、更善统筹、更懂融合，实现从“被动承接”向“主动适配”转变。</w:t>
      </w:r>
    </w:p>
    <w:p w14:paraId="2FDE4866">
      <w:pPr>
        <w:pageBreakBefore w:val="0"/>
        <w:widowControl w:val="0"/>
        <w:kinsoku/>
        <w:wordWrap/>
        <w:overflowPunct w:val="0"/>
        <w:topLinePunct w:val="0"/>
        <w:autoSpaceDE/>
        <w:autoSpaceDN/>
        <w:bidi w:val="0"/>
        <w:adjustRightInd w:val="0"/>
        <w:snapToGrid w:val="0"/>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数智科技革命挑战加剧</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sz w:val="32"/>
          <w:szCs w:val="32"/>
        </w:rPr>
        <w:t>东城区仍面临基础设施更新滞后、数据壁垒突出、应用场景不足等问题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亟需</w:t>
      </w:r>
      <w:r>
        <w:rPr>
          <w:rFonts w:hint="default" w:ascii="Times New Roman" w:hAnsi="Times New Roman" w:eastAsia="仿宋_GB2312" w:cs="Times New Roman"/>
          <w:sz w:val="32"/>
          <w:szCs w:val="32"/>
          <w:lang w:val="en-US" w:eastAsia="zh-CN"/>
        </w:rPr>
        <w:t>人工智能深度赋能，</w:t>
      </w:r>
      <w:r>
        <w:rPr>
          <w:rFonts w:hint="default" w:ascii="Times New Roman" w:hAnsi="Times New Roman" w:eastAsia="仿宋_GB2312" w:cs="Times New Roman"/>
          <w:sz w:val="32"/>
          <w:szCs w:val="32"/>
        </w:rPr>
        <w:t>释放数据要素价值，探索超大城市核心区数智治理新范式。</w:t>
      </w:r>
    </w:p>
    <w:p w14:paraId="683FD373">
      <w:pPr>
        <w:pStyle w:val="2"/>
        <w:pageBreakBefore w:val="0"/>
        <w:widowControl w:val="0"/>
        <w:kinsoku/>
        <w:wordWrap/>
        <w:topLinePunct w:val="0"/>
        <w:autoSpaceDE/>
        <w:autoSpaceDN/>
        <w:bidi w:val="0"/>
        <w:adjustRightInd w:val="0"/>
        <w:snapToGrid w:val="0"/>
        <w:spacing w:line="560" w:lineRule="exact"/>
        <w:textAlignment w:val="auto"/>
        <w:rPr>
          <w:rFonts w:hint="default" w:ascii="Times New Roman" w:hAnsi="Times New Roman" w:cs="Times New Roman"/>
        </w:rPr>
      </w:pPr>
      <w:bookmarkStart w:id="46" w:name="_Toc229585507"/>
      <w:bookmarkStart w:id="47" w:name="_Toc1124046381"/>
    </w:p>
    <w:p w14:paraId="432D4D80">
      <w:pPr>
        <w:pStyle w:val="2"/>
        <w:pageBreakBefore w:val="0"/>
        <w:widowControl w:val="0"/>
        <w:kinsoku/>
        <w:wordWrap/>
        <w:topLinePunct w:val="0"/>
        <w:autoSpaceDE/>
        <w:autoSpaceDN/>
        <w:bidi w:val="0"/>
        <w:adjustRightInd w:val="0"/>
        <w:snapToGrid w:val="0"/>
        <w:spacing w:line="560" w:lineRule="exact"/>
        <w:textAlignment w:val="auto"/>
        <w:rPr>
          <w:rFonts w:hint="default" w:ascii="Times New Roman" w:hAnsi="Times New Roman" w:cs="Times New Roman"/>
        </w:rPr>
      </w:pPr>
      <w:bookmarkStart w:id="48" w:name="_Toc31767"/>
      <w:bookmarkStart w:id="49" w:name="_Toc1229146749"/>
      <w:bookmarkStart w:id="50" w:name="_Toc16459"/>
      <w:bookmarkStart w:id="51" w:name="_Toc27876"/>
      <w:r>
        <w:rPr>
          <w:rFonts w:hint="default" w:ascii="Times New Roman" w:hAnsi="Times New Roman" w:cs="Times New Roman"/>
        </w:rPr>
        <w:t>第二章 “十五五”时期总体思路</w:t>
      </w:r>
      <w:bookmarkEnd w:id="46"/>
      <w:bookmarkEnd w:id="47"/>
      <w:bookmarkEnd w:id="48"/>
      <w:bookmarkEnd w:id="49"/>
      <w:bookmarkEnd w:id="50"/>
      <w:bookmarkEnd w:id="51"/>
    </w:p>
    <w:p w14:paraId="63A49D35">
      <w:pPr>
        <w:pStyle w:val="3"/>
        <w:pageBreakBefore w:val="0"/>
        <w:widowControl w:val="0"/>
        <w:kinsoku/>
        <w:wordWrap/>
        <w:topLinePunct w:val="0"/>
        <w:autoSpaceDE/>
        <w:autoSpaceDN/>
        <w:bidi w:val="0"/>
        <w:adjustRightInd w:val="0"/>
        <w:snapToGrid w:val="0"/>
        <w:spacing w:line="560" w:lineRule="exact"/>
        <w:ind w:firstLine="640"/>
        <w:textAlignment w:val="auto"/>
        <w:rPr>
          <w:rFonts w:hint="default" w:ascii="Times New Roman" w:hAnsi="Times New Roman" w:cs="Times New Roman"/>
        </w:rPr>
      </w:pPr>
      <w:bookmarkStart w:id="52" w:name="_Toc13949"/>
      <w:bookmarkStart w:id="53" w:name="_Toc77650712"/>
      <w:bookmarkStart w:id="54" w:name="_Toc5726"/>
      <w:bookmarkStart w:id="55" w:name="_Toc17034"/>
      <w:bookmarkStart w:id="56" w:name="_Toc229585508"/>
    </w:p>
    <w:p w14:paraId="56964C7B">
      <w:pPr>
        <w:pStyle w:val="3"/>
        <w:pageBreakBefore w:val="0"/>
        <w:widowControl w:val="0"/>
        <w:kinsoku/>
        <w:wordWrap/>
        <w:topLinePunct w:val="0"/>
        <w:autoSpaceDE/>
        <w:autoSpaceDN/>
        <w:bidi w:val="0"/>
        <w:adjustRightInd w:val="0"/>
        <w:snapToGrid w:val="0"/>
        <w:spacing w:line="560" w:lineRule="exact"/>
        <w:ind w:firstLine="640"/>
        <w:textAlignment w:val="auto"/>
        <w:rPr>
          <w:rFonts w:hint="default" w:ascii="Times New Roman" w:hAnsi="Times New Roman" w:cs="Times New Roman"/>
        </w:rPr>
      </w:pPr>
      <w:bookmarkStart w:id="57" w:name="_Toc1837355045"/>
      <w:r>
        <w:rPr>
          <w:rFonts w:hint="default" w:ascii="Times New Roman" w:hAnsi="Times New Roman" w:cs="Times New Roman"/>
        </w:rPr>
        <w:t>一、指导思想</w:t>
      </w:r>
      <w:bookmarkEnd w:id="52"/>
      <w:bookmarkEnd w:id="53"/>
      <w:bookmarkEnd w:id="54"/>
      <w:bookmarkEnd w:id="55"/>
      <w:bookmarkEnd w:id="56"/>
      <w:bookmarkEnd w:id="57"/>
    </w:p>
    <w:p w14:paraId="6E44CA50">
      <w:pPr>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坚持以习近平新时代中国特色社会主义思想为指导，深入贯彻党的二十大和二十届历次全会精神，深入贯彻习近平总书记对北京</w:t>
      </w:r>
      <w:r>
        <w:rPr>
          <w:rFonts w:hint="default" w:ascii="Times New Roman" w:hAnsi="Times New Roman" w:eastAsia="仿宋_GB2312" w:cs="Times New Roman"/>
          <w:sz w:val="32"/>
          <w:szCs w:val="32"/>
          <w:lang w:eastAsia="zh-CN"/>
        </w:rPr>
        <w:t>系列</w:t>
      </w:r>
      <w:r>
        <w:rPr>
          <w:rFonts w:hint="default" w:ascii="Times New Roman" w:hAnsi="Times New Roman" w:eastAsia="仿宋_GB2312" w:cs="Times New Roman"/>
          <w:sz w:val="32"/>
          <w:szCs w:val="32"/>
        </w:rPr>
        <w:t>重要讲话精神，</w:t>
      </w:r>
      <w:r>
        <w:rPr>
          <w:rFonts w:hint="default" w:ascii="Times New Roman" w:hAnsi="Times New Roman" w:eastAsia="仿宋_GB2312" w:cs="Times New Roman"/>
          <w:sz w:val="32"/>
          <w:szCs w:val="32"/>
          <w:highlight w:val="none"/>
        </w:rPr>
        <w:t>着眼于推进</w:t>
      </w:r>
      <w:r>
        <w:rPr>
          <w:rFonts w:hint="default" w:ascii="Times New Roman" w:hAnsi="Times New Roman" w:eastAsia="仿宋_GB2312" w:cs="Times New Roman"/>
          <w:sz w:val="32"/>
          <w:szCs w:val="32"/>
          <w:highlight w:val="none"/>
          <w:lang w:eastAsia="zh-CN"/>
        </w:rPr>
        <w:t>国家</w:t>
      </w:r>
      <w:r>
        <w:rPr>
          <w:rFonts w:hint="default" w:ascii="Times New Roman" w:hAnsi="Times New Roman" w:eastAsia="仿宋_GB2312" w:cs="Times New Roman"/>
          <w:sz w:val="32"/>
          <w:szCs w:val="32"/>
          <w:highlight w:val="none"/>
        </w:rPr>
        <w:t>治理体</w:t>
      </w:r>
      <w:r>
        <w:rPr>
          <w:rFonts w:hint="default" w:ascii="Times New Roman" w:hAnsi="Times New Roman" w:eastAsia="仿宋_GB2312" w:cs="Times New Roman"/>
          <w:sz w:val="32"/>
          <w:szCs w:val="32"/>
        </w:rPr>
        <w:t>系和治理能力现代化，把人民性体现到城市治理</w:t>
      </w:r>
      <w:r>
        <w:rPr>
          <w:rFonts w:hint="default" w:ascii="Times New Roman" w:hAnsi="Times New Roman" w:eastAsia="仿宋_GB2312" w:cs="Times New Roman"/>
          <w:sz w:val="32"/>
          <w:szCs w:val="32"/>
          <w:lang w:eastAsia="zh-CN"/>
        </w:rPr>
        <w:t>智慧化、精细化</w:t>
      </w:r>
      <w:r>
        <w:rPr>
          <w:rFonts w:hint="default" w:ascii="Times New Roman" w:hAnsi="Times New Roman" w:eastAsia="仿宋_GB2312" w:cs="Times New Roman"/>
          <w:sz w:val="32"/>
          <w:szCs w:val="32"/>
        </w:rPr>
        <w:t>的各领域各环节，以基层党建为引领，以“智网数格”为抓手，探索完善超大城市治理体系的有效路径，擦亮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东城网格</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金字招牌。</w:t>
      </w:r>
      <w:r>
        <w:rPr>
          <w:rFonts w:hint="default" w:ascii="Times New Roman" w:hAnsi="Times New Roman" w:eastAsia="仿宋_GB2312" w:cs="Times New Roman"/>
          <w:sz w:val="32"/>
          <w:szCs w:val="32"/>
          <w:lang w:val="en-US" w:eastAsia="zh-CN"/>
        </w:rPr>
        <w:t>具体</w:t>
      </w:r>
      <w:r>
        <w:rPr>
          <w:rFonts w:hint="default" w:ascii="Times New Roman" w:hAnsi="Times New Roman" w:eastAsia="仿宋_GB2312" w:cs="Times New Roman"/>
          <w:sz w:val="32"/>
          <w:szCs w:val="32"/>
        </w:rPr>
        <w:t>把握好以下要求</w:t>
      </w:r>
      <w:r>
        <w:rPr>
          <w:rFonts w:hint="default" w:ascii="Times New Roman" w:hAnsi="Times New Roman" w:eastAsia="仿宋_GB2312" w:cs="Times New Roman"/>
          <w:sz w:val="32"/>
          <w:szCs w:val="32"/>
          <w:lang w:eastAsia="zh-CN"/>
        </w:rPr>
        <w:t>：</w:t>
      </w:r>
    </w:p>
    <w:p w14:paraId="649FEC13">
      <w:pPr>
        <w:pageBreakBefore w:val="0"/>
        <w:widowControl w:val="0"/>
        <w:kinsoku/>
        <w:wordWrap/>
        <w:overflowPunct w:val="0"/>
        <w:topLinePunct w:val="0"/>
        <w:autoSpaceDE/>
        <w:autoSpaceDN/>
        <w:bidi w:val="0"/>
        <w:adjustRightInd w:val="0"/>
        <w:snapToGrid w:val="0"/>
        <w:spacing w:line="560" w:lineRule="exact"/>
        <w:ind w:firstLine="643"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坚持党建引领。</w:t>
      </w:r>
      <w:r>
        <w:rPr>
          <w:rFonts w:hint="default" w:ascii="Times New Roman" w:hAnsi="Times New Roman" w:eastAsia="仿宋_GB2312" w:cs="Times New Roman"/>
          <w:sz w:val="32"/>
          <w:szCs w:val="32"/>
        </w:rPr>
        <w:t>贯彻坚持党的全面领导，把党的领导贯穿于网格化治理全过程和各环节，推动党建工作与网格治理深度融合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把党的政治优势、组织优势转化为治理效能。</w:t>
      </w:r>
      <w:r>
        <w:rPr>
          <w:rFonts w:hint="default" w:ascii="Times New Roman" w:hAnsi="Times New Roman" w:eastAsia="仿宋_GB2312" w:cs="Times New Roman"/>
          <w:b/>
          <w:bCs/>
          <w:sz w:val="32"/>
          <w:szCs w:val="32"/>
        </w:rPr>
        <w:t>坚持以人为本。</w:t>
      </w:r>
      <w:r>
        <w:rPr>
          <w:rFonts w:hint="default" w:ascii="Times New Roman" w:hAnsi="Times New Roman" w:eastAsia="仿宋_GB2312" w:cs="Times New Roman"/>
          <w:sz w:val="32"/>
          <w:szCs w:val="32"/>
        </w:rPr>
        <w:t>贯彻以人民为中心的发展思想，坚守人民在城市运行和治理中的核心价值，聚焦“大城市病”和群众急难愁盼问题，着力化解城市运行难点、基层治理堵点、社会舆论热点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rPr>
        <w:t>坚持数智治理。</w:t>
      </w:r>
      <w:r>
        <w:rPr>
          <w:rFonts w:hint="default" w:ascii="Times New Roman" w:hAnsi="Times New Roman" w:eastAsia="仿宋_GB2312" w:cs="Times New Roman"/>
          <w:sz w:val="32"/>
          <w:szCs w:val="32"/>
        </w:rPr>
        <w:t>坚决落实高水平建设“数智北京”工作部署，</w:t>
      </w:r>
      <w:r>
        <w:rPr>
          <w:rFonts w:hint="default" w:ascii="Times New Roman" w:hAnsi="Times New Roman" w:eastAsia="仿宋_GB2312" w:cs="Times New Roman"/>
          <w:sz w:val="32"/>
          <w:szCs w:val="32"/>
          <w:lang w:val="en-US" w:eastAsia="zh-CN"/>
        </w:rPr>
        <w:t>深化</w:t>
      </w:r>
      <w:r>
        <w:rPr>
          <w:rFonts w:hint="default" w:ascii="Times New Roman" w:hAnsi="Times New Roman" w:eastAsia="仿宋_GB2312" w:cs="Times New Roman"/>
          <w:sz w:val="32"/>
          <w:szCs w:val="32"/>
        </w:rPr>
        <w:t>“一网统管”“多格合一”，强化人工智能深层次应用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建设具有全国影响力、东城标识度的“智网数格”。</w:t>
      </w:r>
      <w:r>
        <w:rPr>
          <w:rFonts w:hint="default" w:ascii="Times New Roman" w:hAnsi="Times New Roman" w:eastAsia="仿宋_GB2312" w:cs="Times New Roman"/>
          <w:b/>
          <w:bCs/>
          <w:sz w:val="32"/>
          <w:szCs w:val="32"/>
        </w:rPr>
        <w:t>坚持系统观念。</w:t>
      </w:r>
      <w:r>
        <w:rPr>
          <w:rFonts w:hint="default" w:ascii="Times New Roman" w:hAnsi="Times New Roman" w:eastAsia="仿宋_GB2312" w:cs="Times New Roman"/>
          <w:sz w:val="32"/>
          <w:szCs w:val="32"/>
        </w:rPr>
        <w:t>“四位一体”推动经济建设、接诉即办、城市治理、社区汇聚提质增效。加强区级统筹，强化央地合作、军地协同、多方联动，建立横向协调、纵向协同的网格化管理工作机制。</w:t>
      </w:r>
    </w:p>
    <w:p w14:paraId="2217CE15">
      <w:pPr>
        <w:pStyle w:val="3"/>
        <w:pageBreakBefore w:val="0"/>
        <w:widowControl w:val="0"/>
        <w:kinsoku/>
        <w:wordWrap/>
        <w:topLinePunct w:val="0"/>
        <w:autoSpaceDE/>
        <w:autoSpaceDN/>
        <w:bidi w:val="0"/>
        <w:adjustRightInd w:val="0"/>
        <w:snapToGrid w:val="0"/>
        <w:spacing w:line="560" w:lineRule="exact"/>
        <w:ind w:firstLine="640"/>
        <w:textAlignment w:val="auto"/>
        <w:rPr>
          <w:rFonts w:hint="default" w:ascii="Times New Roman" w:hAnsi="Times New Roman" w:cs="Times New Roman"/>
        </w:rPr>
      </w:pPr>
      <w:bookmarkStart w:id="58" w:name="_Toc21850"/>
      <w:bookmarkStart w:id="59" w:name="_Toc229585510"/>
      <w:bookmarkStart w:id="60" w:name="_Toc532"/>
      <w:bookmarkStart w:id="61" w:name="_Toc22650"/>
      <w:bookmarkStart w:id="62" w:name="_Toc1406434207"/>
      <w:bookmarkStart w:id="63" w:name="_Toc1081339244"/>
      <w:r>
        <w:rPr>
          <w:rFonts w:hint="default" w:ascii="Times New Roman" w:hAnsi="Times New Roman" w:cs="Times New Roman"/>
          <w:lang w:val="en-US" w:eastAsia="zh-CN"/>
        </w:rPr>
        <w:t>二</w:t>
      </w:r>
      <w:r>
        <w:rPr>
          <w:rFonts w:hint="default" w:ascii="Times New Roman" w:hAnsi="Times New Roman" w:cs="Times New Roman"/>
        </w:rPr>
        <w:t>、主要目标</w:t>
      </w:r>
      <w:bookmarkEnd w:id="58"/>
      <w:bookmarkEnd w:id="59"/>
      <w:bookmarkEnd w:id="60"/>
      <w:bookmarkEnd w:id="61"/>
      <w:bookmarkEnd w:id="62"/>
      <w:bookmarkEnd w:id="63"/>
    </w:p>
    <w:p w14:paraId="41E99528">
      <w:pPr>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“十五五”时期，东城区网格化治理将以</w:t>
      </w:r>
      <w:r>
        <w:rPr>
          <w:rFonts w:hint="default" w:ascii="Times New Roman" w:hAnsi="Times New Roman" w:eastAsia="仿宋_GB2312" w:cs="Times New Roman"/>
          <w:sz w:val="32"/>
          <w:szCs w:val="32"/>
          <w:lang w:val="en-US" w:eastAsia="zh-CN"/>
        </w:rPr>
        <w:t>党建引领、</w:t>
      </w:r>
      <w:r>
        <w:rPr>
          <w:rFonts w:hint="default" w:ascii="Times New Roman" w:hAnsi="Times New Roman" w:eastAsia="仿宋_GB2312" w:cs="Times New Roman"/>
          <w:sz w:val="32"/>
          <w:szCs w:val="32"/>
        </w:rPr>
        <w:t>数智</w:t>
      </w:r>
      <w:r>
        <w:rPr>
          <w:rFonts w:hint="default" w:ascii="Times New Roman" w:hAnsi="Times New Roman" w:eastAsia="仿宋_GB2312" w:cs="Times New Roman"/>
          <w:sz w:val="32"/>
          <w:szCs w:val="32"/>
          <w:lang w:val="en-US" w:eastAsia="zh-CN"/>
        </w:rPr>
        <w:t>赋能</w:t>
      </w:r>
      <w:r>
        <w:rPr>
          <w:rFonts w:hint="default" w:ascii="Times New Roman" w:hAnsi="Times New Roman" w:eastAsia="仿宋_GB2312" w:cs="Times New Roman"/>
          <w:sz w:val="32"/>
          <w:szCs w:val="32"/>
        </w:rPr>
        <w:t>、功能</w:t>
      </w:r>
      <w:r>
        <w:rPr>
          <w:rFonts w:hint="default" w:ascii="Times New Roman" w:hAnsi="Times New Roman" w:eastAsia="仿宋_GB2312" w:cs="Times New Roman"/>
          <w:sz w:val="32"/>
          <w:szCs w:val="32"/>
          <w:lang w:val="en-US" w:eastAsia="zh-CN"/>
        </w:rPr>
        <w:t>扩展</w:t>
      </w:r>
      <w:r>
        <w:rPr>
          <w:rFonts w:hint="default" w:ascii="Times New Roman" w:hAnsi="Times New Roman" w:eastAsia="仿宋_GB2312" w:cs="Times New Roman"/>
          <w:sz w:val="32"/>
          <w:szCs w:val="32"/>
        </w:rPr>
        <w:t>、多元参与四项工作为重点，推动网格化治理从“高效处置一件事”向“长效治理一座城”深化。到2030年，东城区网格化治理体系全域覆盖、数智赋能全面深化、协同共治高效融合，基层治理现代化水平显著提升。</w:t>
      </w:r>
      <w:r>
        <w:rPr>
          <w:rFonts w:hint="default" w:ascii="Times New Roman" w:hAnsi="Times New Roman" w:eastAsia="仿宋_GB2312" w:cs="Times New Roman"/>
          <w:b/>
          <w:bCs/>
          <w:sz w:val="32"/>
          <w:szCs w:val="32"/>
        </w:rPr>
        <w:t>具体分三步走：一年</w:t>
      </w:r>
      <w:r>
        <w:rPr>
          <w:rFonts w:hint="default" w:ascii="Times New Roman" w:hAnsi="Times New Roman" w:eastAsia="仿宋_GB2312" w:cs="Times New Roman"/>
          <w:sz w:val="32"/>
          <w:szCs w:val="32"/>
        </w:rPr>
        <w:t>夯实基础，持续巩固网格化治理的思想根基、组织体系与运行机制，确保治理体系底盘牢固、运转顺畅；</w:t>
      </w:r>
      <w:r>
        <w:rPr>
          <w:rFonts w:hint="default" w:ascii="Times New Roman" w:hAnsi="Times New Roman" w:eastAsia="仿宋_GB2312" w:cs="Times New Roman"/>
          <w:b/>
          <w:bCs/>
          <w:sz w:val="32"/>
          <w:szCs w:val="32"/>
        </w:rPr>
        <w:t>三年</w:t>
      </w:r>
      <w:r>
        <w:rPr>
          <w:rFonts w:hint="default" w:ascii="Times New Roman" w:hAnsi="Times New Roman" w:eastAsia="仿宋_GB2312" w:cs="Times New Roman"/>
          <w:sz w:val="32"/>
          <w:szCs w:val="32"/>
          <w:lang w:val="en-US" w:eastAsia="zh-CN"/>
        </w:rPr>
        <w:t>智慧升级</w:t>
      </w:r>
      <w:r>
        <w:rPr>
          <w:rFonts w:hint="default" w:ascii="Times New Roman" w:hAnsi="Times New Roman" w:eastAsia="仿宋_GB2312" w:cs="Times New Roman"/>
          <w:sz w:val="32"/>
          <w:szCs w:val="32"/>
        </w:rPr>
        <w:t>，全面深化数智赋能，推动治理模式全域化、智能化转型，努力书写超大城市核心区数智治理的东城答卷；</w:t>
      </w:r>
      <w:r>
        <w:rPr>
          <w:rFonts w:hint="default" w:ascii="Times New Roman" w:hAnsi="Times New Roman" w:eastAsia="仿宋_GB2312" w:cs="Times New Roman"/>
          <w:b/>
          <w:bCs/>
          <w:sz w:val="32"/>
          <w:szCs w:val="32"/>
        </w:rPr>
        <w:t>五年</w:t>
      </w:r>
      <w:r>
        <w:rPr>
          <w:rFonts w:hint="default" w:ascii="Times New Roman" w:hAnsi="Times New Roman" w:eastAsia="仿宋_GB2312" w:cs="Times New Roman"/>
          <w:sz w:val="32"/>
          <w:szCs w:val="32"/>
        </w:rPr>
        <w:t>协同共治，着力打破部门壁垒、激活社会潜能，推动多元力量在网格内深度融合、高效协同，构建共建共治共享的治理新格局。展望2035年，东城区网格化治理体系与能力将全面实现现代化，为北京要率先基本实现社会主义现代化贡献东城力量，全面展现其独特魅力与时代风采。</w:t>
      </w:r>
    </w:p>
    <w:p w14:paraId="3AEE2EBA">
      <w:pPr>
        <w:overflowPunct w:val="0"/>
        <w:adjustRightInd w:val="0"/>
        <w:snapToGrid w:val="0"/>
        <w:spacing w:line="560" w:lineRule="exact"/>
        <w:ind w:firstLine="640" w:firstLineChars="200"/>
        <w:rPr>
          <w:rFonts w:hint="default" w:ascii="Times New Roman" w:hAnsi="Times New Roman" w:eastAsia="仿宋_GB2312" w:cs="Times New Roman"/>
          <w:sz w:val="32"/>
          <w:szCs w:val="32"/>
        </w:rPr>
      </w:pPr>
    </w:p>
    <w:p w14:paraId="6690F5FF">
      <w:pPr>
        <w:keepNext/>
        <w:overflowPunct w:val="0"/>
        <w:adjustRightInd w:val="0"/>
        <w:snapToGrid w:val="0"/>
        <w:spacing w:line="560" w:lineRule="exact"/>
        <w:jc w:val="center"/>
        <w:rPr>
          <w:rFonts w:hint="default" w:ascii="Times New Roman" w:hAnsi="Times New Roman" w:eastAsia="仿宋_GB2312" w:cs="Times New Roman"/>
          <w:sz w:val="32"/>
          <w:szCs w:val="32"/>
        </w:rPr>
      </w:pPr>
    </w:p>
    <w:p w14:paraId="1AE61345">
      <w:pPr>
        <w:pStyle w:val="6"/>
        <w:rPr>
          <w:rFonts w:hint="default"/>
        </w:rPr>
      </w:pPr>
    </w:p>
    <w:p w14:paraId="7738DF40">
      <w:pPr>
        <w:keepNext/>
        <w:overflowPunct w:val="0"/>
        <w:adjustRightInd w:val="0"/>
        <w:snapToGrid w:val="0"/>
        <w:spacing w:line="56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主要指标</w:t>
      </w:r>
      <w:r>
        <w:rPr>
          <w:rFonts w:hint="default" w:ascii="Times New Roman" w:hAnsi="Times New Roman" w:eastAsia="黑体" w:cs="Times New Roman"/>
          <w:sz w:val="32"/>
          <w:szCs w:val="32"/>
          <w:lang w:val="en-US" w:eastAsia="zh-CN"/>
        </w:rPr>
        <w:t>表</w:t>
      </w:r>
    </w:p>
    <w:tbl>
      <w:tblPr>
        <w:tblStyle w:val="18"/>
        <w:tblpPr w:leftFromText="180" w:rightFromText="180" w:vertAnchor="text" w:tblpXSpec="center" w:tblpY="1"/>
        <w:tblOverlap w:val="never"/>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7" w:type="dxa"/>
          <w:left w:w="17" w:type="dxa"/>
          <w:bottom w:w="17" w:type="dxa"/>
          <w:right w:w="17" w:type="dxa"/>
        </w:tblCellMar>
      </w:tblPr>
      <w:tblGrid>
        <w:gridCol w:w="1167"/>
        <w:gridCol w:w="649"/>
        <w:gridCol w:w="5319"/>
        <w:gridCol w:w="912"/>
        <w:gridCol w:w="907"/>
      </w:tblGrid>
      <w:tr w14:paraId="6946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rPr>
          <w:trHeight w:val="670" w:hRule="atLeast"/>
          <w:tblHeader/>
        </w:trPr>
        <w:tc>
          <w:tcPr>
            <w:tcW w:w="652" w:type="pct"/>
            <w:shd w:val="clear" w:color="auto" w:fill="FFFFFF"/>
            <w:tcMar>
              <w:top w:w="57" w:type="dxa"/>
              <w:left w:w="57" w:type="dxa"/>
              <w:bottom w:w="57" w:type="dxa"/>
              <w:right w:w="57" w:type="dxa"/>
            </w:tcMar>
            <w:vAlign w:val="center"/>
          </w:tcPr>
          <w:p w14:paraId="1EC52D67">
            <w:pPr>
              <w:keepNext/>
              <w:widowControl/>
              <w:adjustRightInd w:val="0"/>
              <w:snapToGrid w:val="0"/>
              <w:spacing w:line="240"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kern w:val="0"/>
                <w:sz w:val="24"/>
                <w:szCs w:val="24"/>
                <w:lang w:bidi="ar"/>
              </w:rPr>
              <w:t>类型</w:t>
            </w:r>
          </w:p>
        </w:tc>
        <w:tc>
          <w:tcPr>
            <w:tcW w:w="362" w:type="pct"/>
            <w:shd w:val="clear" w:color="auto" w:fill="FFFFFF"/>
            <w:tcMar>
              <w:top w:w="57" w:type="dxa"/>
              <w:left w:w="57" w:type="dxa"/>
              <w:bottom w:w="57" w:type="dxa"/>
              <w:right w:w="57" w:type="dxa"/>
            </w:tcMar>
            <w:vAlign w:val="center"/>
          </w:tcPr>
          <w:p w14:paraId="21971465">
            <w:pPr>
              <w:keepNext/>
              <w:widowControl/>
              <w:adjustRightInd w:val="0"/>
              <w:snapToGrid w:val="0"/>
              <w:spacing w:line="240" w:lineRule="auto"/>
              <w:jc w:val="center"/>
              <w:rPr>
                <w:rFonts w:hint="default" w:ascii="Times New Roman" w:hAnsi="Times New Roman" w:eastAsia="仿宋_GB2312" w:cs="Times New Roman"/>
                <w:b/>
                <w:kern w:val="2"/>
                <w:sz w:val="24"/>
                <w:szCs w:val="24"/>
                <w:lang w:val="en-US" w:eastAsia="zh-CN" w:bidi="ar-SA"/>
              </w:rPr>
            </w:pPr>
            <w:r>
              <w:rPr>
                <w:rFonts w:hint="default" w:ascii="Times New Roman" w:hAnsi="Times New Roman" w:eastAsia="仿宋_GB2312" w:cs="Times New Roman"/>
                <w:b/>
                <w:kern w:val="0"/>
                <w:sz w:val="24"/>
                <w:szCs w:val="24"/>
                <w:lang w:bidi="ar"/>
              </w:rPr>
              <w:t>序号</w:t>
            </w:r>
          </w:p>
        </w:tc>
        <w:tc>
          <w:tcPr>
            <w:tcW w:w="2969" w:type="pct"/>
            <w:shd w:val="clear" w:color="auto" w:fill="FFFFFF"/>
            <w:tcMar>
              <w:top w:w="57" w:type="dxa"/>
              <w:left w:w="57" w:type="dxa"/>
              <w:bottom w:w="57" w:type="dxa"/>
              <w:right w:w="57" w:type="dxa"/>
            </w:tcMar>
            <w:vAlign w:val="center"/>
          </w:tcPr>
          <w:p w14:paraId="3D572C81">
            <w:pPr>
              <w:keepNext/>
              <w:widowControl/>
              <w:adjustRightInd w:val="0"/>
              <w:snapToGrid w:val="0"/>
              <w:spacing w:line="240"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kern w:val="0"/>
                <w:sz w:val="24"/>
                <w:szCs w:val="24"/>
                <w:lang w:bidi="ar"/>
              </w:rPr>
              <w:t>指标名称</w:t>
            </w:r>
          </w:p>
        </w:tc>
        <w:tc>
          <w:tcPr>
            <w:tcW w:w="509" w:type="pct"/>
            <w:shd w:val="clear" w:color="auto" w:fill="FFFFFF"/>
            <w:tcMar>
              <w:top w:w="57" w:type="dxa"/>
              <w:left w:w="57" w:type="dxa"/>
              <w:bottom w:w="57" w:type="dxa"/>
              <w:right w:w="57" w:type="dxa"/>
            </w:tcMar>
            <w:vAlign w:val="center"/>
          </w:tcPr>
          <w:p w14:paraId="16E211E4">
            <w:pPr>
              <w:keepNext/>
              <w:widowControl/>
              <w:adjustRightInd w:val="0"/>
              <w:snapToGrid w:val="0"/>
              <w:spacing w:line="240"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kern w:val="0"/>
                <w:sz w:val="24"/>
                <w:szCs w:val="24"/>
                <w:lang w:bidi="ar"/>
              </w:rPr>
              <w:t>指标值</w:t>
            </w:r>
          </w:p>
        </w:tc>
        <w:tc>
          <w:tcPr>
            <w:tcW w:w="506" w:type="pct"/>
            <w:shd w:val="clear" w:color="auto" w:fill="FFFFFF"/>
            <w:tcMar>
              <w:top w:w="57" w:type="dxa"/>
              <w:left w:w="57" w:type="dxa"/>
              <w:bottom w:w="57" w:type="dxa"/>
              <w:right w:w="57" w:type="dxa"/>
            </w:tcMar>
            <w:vAlign w:val="center"/>
          </w:tcPr>
          <w:p w14:paraId="19CE9B85">
            <w:pPr>
              <w:keepNext/>
              <w:widowControl/>
              <w:adjustRightInd w:val="0"/>
              <w:snapToGrid w:val="0"/>
              <w:spacing w:line="240"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kern w:val="0"/>
                <w:sz w:val="24"/>
                <w:szCs w:val="24"/>
                <w:lang w:bidi="ar"/>
              </w:rPr>
              <w:t>属性</w:t>
            </w:r>
          </w:p>
        </w:tc>
      </w:tr>
      <w:tr w14:paraId="1C81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c>
          <w:tcPr>
            <w:tcW w:w="652" w:type="pct"/>
            <w:vMerge w:val="restart"/>
            <w:shd w:val="clear" w:color="auto" w:fill="FFFFFF"/>
            <w:tcMar>
              <w:top w:w="57" w:type="dxa"/>
              <w:left w:w="57" w:type="dxa"/>
              <w:bottom w:w="57" w:type="dxa"/>
              <w:right w:w="57" w:type="dxa"/>
            </w:tcMar>
            <w:vAlign w:val="center"/>
          </w:tcPr>
          <w:p w14:paraId="6A897DA8">
            <w:pPr>
              <w:keepNext/>
              <w:widowControl/>
              <w:adjustRightInd w:val="0"/>
              <w:snapToGrid w:val="0"/>
              <w:spacing w:line="240" w:lineRule="auto"/>
              <w:jc w:val="center"/>
              <w:rPr>
                <w:rFonts w:hint="default" w:ascii="Times New Roman" w:hAnsi="Times New Roman" w:eastAsia="仿宋_GB2312" w:cs="Times New Roman"/>
                <w:kern w:val="0"/>
                <w:sz w:val="24"/>
                <w:szCs w:val="24"/>
                <w:lang w:val="en-US" w:bidi="ar"/>
              </w:rPr>
            </w:pPr>
            <w:r>
              <w:rPr>
                <w:rFonts w:hint="default" w:ascii="Times New Roman" w:hAnsi="Times New Roman" w:eastAsia="仿宋_GB2312" w:cs="Times New Roman"/>
                <w:kern w:val="0"/>
                <w:sz w:val="24"/>
                <w:szCs w:val="24"/>
                <w:lang w:val="en-US" w:eastAsia="zh-CN" w:bidi="ar"/>
              </w:rPr>
              <w:t>党建引领</w:t>
            </w:r>
          </w:p>
        </w:tc>
        <w:tc>
          <w:tcPr>
            <w:tcW w:w="362" w:type="pct"/>
            <w:shd w:val="clear" w:color="auto" w:fill="FFFFFF"/>
            <w:tcMar>
              <w:top w:w="57" w:type="dxa"/>
              <w:left w:w="57" w:type="dxa"/>
              <w:bottom w:w="57" w:type="dxa"/>
              <w:right w:w="57" w:type="dxa"/>
            </w:tcMar>
            <w:vAlign w:val="center"/>
          </w:tcPr>
          <w:p w14:paraId="6655568B">
            <w:pPr>
              <w:keepNext/>
              <w:widowControl/>
              <w:numPr>
                <w:ilvl w:val="0"/>
                <w:numId w:val="0"/>
              </w:numPr>
              <w:adjustRightInd w:val="0"/>
              <w:snapToGrid w:val="0"/>
              <w:spacing w:line="240" w:lineRule="auto"/>
              <w:ind w:left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w:t>
            </w:r>
          </w:p>
        </w:tc>
        <w:tc>
          <w:tcPr>
            <w:tcW w:w="2969" w:type="pct"/>
            <w:shd w:val="clear" w:color="auto" w:fill="FFFFFF"/>
            <w:tcMar>
              <w:top w:w="57" w:type="dxa"/>
              <w:left w:w="57" w:type="dxa"/>
              <w:bottom w:w="57" w:type="dxa"/>
              <w:right w:w="57" w:type="dxa"/>
            </w:tcMar>
            <w:vAlign w:val="center"/>
          </w:tcPr>
          <w:p w14:paraId="076028B7">
            <w:pPr>
              <w:keepNext/>
              <w:widowControl/>
              <w:adjustRightInd w:val="0"/>
              <w:snapToGrid w:val="0"/>
              <w:spacing w:line="240" w:lineRule="auto"/>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0"/>
                <w:sz w:val="24"/>
                <w:szCs w:val="24"/>
                <w:lang w:bidi="ar"/>
              </w:rPr>
              <w:t>社区网格建立党支部（党小组）覆盖率（%）</w:t>
            </w:r>
          </w:p>
        </w:tc>
        <w:tc>
          <w:tcPr>
            <w:tcW w:w="509" w:type="pct"/>
            <w:shd w:val="clear" w:color="auto" w:fill="FFFFFF"/>
            <w:tcMar>
              <w:top w:w="57" w:type="dxa"/>
              <w:left w:w="57" w:type="dxa"/>
              <w:bottom w:w="57" w:type="dxa"/>
              <w:right w:w="57" w:type="dxa"/>
            </w:tcMar>
            <w:vAlign w:val="center"/>
          </w:tcPr>
          <w:p w14:paraId="2249495A">
            <w:pPr>
              <w:keepNext/>
              <w:widowControl/>
              <w:adjustRightInd w:val="0"/>
              <w:snapToGrid w:val="0"/>
              <w:spacing w:line="240" w:lineRule="auto"/>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0"/>
                <w:sz w:val="24"/>
                <w:szCs w:val="24"/>
                <w:lang w:bidi="ar"/>
              </w:rPr>
              <w:t>100</w:t>
            </w:r>
          </w:p>
        </w:tc>
        <w:tc>
          <w:tcPr>
            <w:tcW w:w="506" w:type="pct"/>
            <w:shd w:val="clear" w:color="auto" w:fill="FFFFFF"/>
            <w:tcMar>
              <w:top w:w="57" w:type="dxa"/>
              <w:left w:w="57" w:type="dxa"/>
              <w:bottom w:w="57" w:type="dxa"/>
              <w:right w:w="57" w:type="dxa"/>
            </w:tcMar>
            <w:vAlign w:val="center"/>
          </w:tcPr>
          <w:p w14:paraId="2C56AD3C">
            <w:pPr>
              <w:keepNext/>
              <w:widowControl/>
              <w:adjustRightInd w:val="0"/>
              <w:snapToGrid w:val="0"/>
              <w:spacing w:line="240" w:lineRule="auto"/>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0"/>
                <w:sz w:val="24"/>
                <w:szCs w:val="24"/>
                <w:lang w:bidi="ar"/>
              </w:rPr>
              <w:t>约束性</w:t>
            </w:r>
          </w:p>
        </w:tc>
      </w:tr>
      <w:tr w14:paraId="7393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c>
          <w:tcPr>
            <w:tcW w:w="652" w:type="pct"/>
            <w:vMerge w:val="continue"/>
            <w:shd w:val="clear" w:color="auto" w:fill="FFFFFF"/>
            <w:tcMar>
              <w:top w:w="57" w:type="dxa"/>
              <w:left w:w="57" w:type="dxa"/>
              <w:bottom w:w="57" w:type="dxa"/>
              <w:right w:w="57" w:type="dxa"/>
            </w:tcMar>
            <w:vAlign w:val="center"/>
          </w:tcPr>
          <w:p w14:paraId="7A383F11">
            <w:pPr>
              <w:keepNext/>
              <w:widowControl/>
              <w:adjustRightInd w:val="0"/>
              <w:snapToGrid w:val="0"/>
              <w:spacing w:line="240" w:lineRule="auto"/>
              <w:jc w:val="center"/>
              <w:rPr>
                <w:rFonts w:hint="default" w:ascii="Times New Roman" w:hAnsi="Times New Roman" w:eastAsia="仿宋_GB2312" w:cs="Times New Roman"/>
                <w:kern w:val="0"/>
                <w:sz w:val="24"/>
                <w:szCs w:val="24"/>
                <w:lang w:val="en-US" w:eastAsia="zh-CN" w:bidi="ar"/>
              </w:rPr>
            </w:pPr>
          </w:p>
        </w:tc>
        <w:tc>
          <w:tcPr>
            <w:tcW w:w="362" w:type="pct"/>
            <w:shd w:val="clear" w:color="auto" w:fill="FFFFFF"/>
            <w:tcMar>
              <w:top w:w="57" w:type="dxa"/>
              <w:left w:w="57" w:type="dxa"/>
              <w:bottom w:w="57" w:type="dxa"/>
              <w:right w:w="57" w:type="dxa"/>
            </w:tcMar>
            <w:vAlign w:val="center"/>
          </w:tcPr>
          <w:p w14:paraId="4A227FC3">
            <w:pPr>
              <w:keepNext/>
              <w:widowControl/>
              <w:numPr>
                <w:ilvl w:val="0"/>
                <w:numId w:val="0"/>
              </w:numPr>
              <w:adjustRightInd w:val="0"/>
              <w:snapToGrid w:val="0"/>
              <w:spacing w:line="240" w:lineRule="auto"/>
              <w:ind w:left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w:t>
            </w:r>
          </w:p>
        </w:tc>
        <w:tc>
          <w:tcPr>
            <w:tcW w:w="2969" w:type="pct"/>
            <w:shd w:val="clear" w:color="auto" w:fill="FFFFFF"/>
            <w:tcMar>
              <w:top w:w="57" w:type="dxa"/>
              <w:left w:w="57" w:type="dxa"/>
              <w:bottom w:w="57" w:type="dxa"/>
              <w:right w:w="57" w:type="dxa"/>
            </w:tcMar>
            <w:vAlign w:val="center"/>
          </w:tcPr>
          <w:p w14:paraId="29CC2CCE">
            <w:pPr>
              <w:keepNext/>
              <w:widowControl/>
              <w:adjustRightInd w:val="0"/>
              <w:snapToGrid w:val="0"/>
              <w:spacing w:line="240" w:lineRule="auto"/>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0"/>
                <w:sz w:val="24"/>
                <w:szCs w:val="24"/>
                <w:lang w:bidi="ar"/>
              </w:rPr>
              <w:t>社区网格党组织活动频率（次/年）</w:t>
            </w:r>
          </w:p>
        </w:tc>
        <w:tc>
          <w:tcPr>
            <w:tcW w:w="509" w:type="pct"/>
            <w:shd w:val="clear" w:color="auto" w:fill="FFFFFF"/>
            <w:tcMar>
              <w:top w:w="57" w:type="dxa"/>
              <w:left w:w="57" w:type="dxa"/>
              <w:bottom w:w="57" w:type="dxa"/>
              <w:right w:w="57" w:type="dxa"/>
            </w:tcMar>
            <w:vAlign w:val="center"/>
          </w:tcPr>
          <w:p w14:paraId="10F3EC85">
            <w:pPr>
              <w:keepNext/>
              <w:widowControl/>
              <w:adjustRightInd w:val="0"/>
              <w:snapToGrid w:val="0"/>
              <w:spacing w:line="240" w:lineRule="auto"/>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4</w:t>
            </w:r>
          </w:p>
        </w:tc>
        <w:tc>
          <w:tcPr>
            <w:tcW w:w="506" w:type="pct"/>
            <w:shd w:val="clear" w:color="auto" w:fill="FFFFFF"/>
            <w:tcMar>
              <w:top w:w="57" w:type="dxa"/>
              <w:left w:w="57" w:type="dxa"/>
              <w:bottom w:w="57" w:type="dxa"/>
              <w:right w:w="57" w:type="dxa"/>
            </w:tcMar>
            <w:vAlign w:val="center"/>
          </w:tcPr>
          <w:p w14:paraId="4EAE185D">
            <w:pPr>
              <w:keepNext/>
              <w:widowControl/>
              <w:adjustRightInd w:val="0"/>
              <w:snapToGrid w:val="0"/>
              <w:spacing w:line="240" w:lineRule="auto"/>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0"/>
                <w:sz w:val="24"/>
                <w:szCs w:val="24"/>
                <w:lang w:bidi="ar"/>
              </w:rPr>
              <w:t>约束性</w:t>
            </w:r>
          </w:p>
        </w:tc>
      </w:tr>
      <w:tr w14:paraId="3AE99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c>
          <w:tcPr>
            <w:tcW w:w="652" w:type="pct"/>
            <w:vMerge w:val="continue"/>
            <w:shd w:val="clear" w:color="auto" w:fill="FFFFFF"/>
            <w:tcMar>
              <w:top w:w="57" w:type="dxa"/>
              <w:left w:w="57" w:type="dxa"/>
              <w:bottom w:w="57" w:type="dxa"/>
              <w:right w:w="57" w:type="dxa"/>
            </w:tcMar>
            <w:vAlign w:val="center"/>
          </w:tcPr>
          <w:p w14:paraId="0565A62F">
            <w:pPr>
              <w:keepNext/>
              <w:widowControl/>
              <w:adjustRightInd w:val="0"/>
              <w:snapToGrid w:val="0"/>
              <w:spacing w:line="240" w:lineRule="auto"/>
              <w:jc w:val="center"/>
              <w:rPr>
                <w:rFonts w:hint="default" w:ascii="Times New Roman" w:hAnsi="Times New Roman" w:eastAsia="仿宋_GB2312" w:cs="Times New Roman"/>
                <w:kern w:val="0"/>
                <w:sz w:val="24"/>
                <w:szCs w:val="24"/>
                <w:lang w:val="en-US" w:eastAsia="zh-CN" w:bidi="ar"/>
              </w:rPr>
            </w:pPr>
          </w:p>
        </w:tc>
        <w:tc>
          <w:tcPr>
            <w:tcW w:w="362" w:type="pct"/>
            <w:shd w:val="clear" w:color="auto" w:fill="FFFFFF"/>
            <w:tcMar>
              <w:top w:w="57" w:type="dxa"/>
              <w:left w:w="57" w:type="dxa"/>
              <w:bottom w:w="57" w:type="dxa"/>
              <w:right w:w="57" w:type="dxa"/>
            </w:tcMar>
            <w:vAlign w:val="center"/>
          </w:tcPr>
          <w:p w14:paraId="23252D4B">
            <w:pPr>
              <w:keepNext/>
              <w:widowControl/>
              <w:numPr>
                <w:ilvl w:val="0"/>
                <w:numId w:val="0"/>
              </w:numPr>
              <w:adjustRightInd w:val="0"/>
              <w:snapToGrid w:val="0"/>
              <w:spacing w:line="240" w:lineRule="auto"/>
              <w:ind w:left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w:t>
            </w:r>
          </w:p>
        </w:tc>
        <w:tc>
          <w:tcPr>
            <w:tcW w:w="2969" w:type="pct"/>
            <w:shd w:val="clear" w:color="auto" w:fill="FFFFFF"/>
            <w:tcMar>
              <w:top w:w="57" w:type="dxa"/>
              <w:left w:w="57" w:type="dxa"/>
              <w:bottom w:w="57" w:type="dxa"/>
              <w:right w:w="57" w:type="dxa"/>
            </w:tcMar>
            <w:vAlign w:val="center"/>
          </w:tcPr>
          <w:p w14:paraId="69FB02C1">
            <w:pPr>
              <w:keepNext/>
              <w:widowControl/>
              <w:adjustRightInd w:val="0"/>
              <w:snapToGrid w:val="0"/>
              <w:spacing w:line="240" w:lineRule="auto"/>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街道区域化党建活动频率（次</w:t>
            </w:r>
            <w:r>
              <w:rPr>
                <w:rFonts w:hint="default" w:ascii="Times New Roman" w:hAnsi="Times New Roman" w:eastAsia="仿宋_GB2312" w:cs="Times New Roman"/>
                <w:kern w:val="0"/>
                <w:sz w:val="24"/>
                <w:szCs w:val="24"/>
                <w:lang w:bidi="ar"/>
              </w:rPr>
              <w:t>/年</w:t>
            </w:r>
            <w:r>
              <w:rPr>
                <w:rFonts w:hint="default" w:ascii="Times New Roman" w:hAnsi="Times New Roman" w:eastAsia="仿宋_GB2312" w:cs="Times New Roman"/>
                <w:sz w:val="24"/>
                <w:szCs w:val="24"/>
              </w:rPr>
              <w:t>）</w:t>
            </w:r>
          </w:p>
        </w:tc>
        <w:tc>
          <w:tcPr>
            <w:tcW w:w="509" w:type="pct"/>
            <w:shd w:val="clear" w:color="auto" w:fill="FFFFFF"/>
            <w:tcMar>
              <w:top w:w="57" w:type="dxa"/>
              <w:left w:w="57" w:type="dxa"/>
              <w:bottom w:w="57" w:type="dxa"/>
              <w:right w:w="57" w:type="dxa"/>
            </w:tcMar>
            <w:vAlign w:val="center"/>
          </w:tcPr>
          <w:p w14:paraId="540DB9EA">
            <w:pPr>
              <w:keepNext/>
              <w:widowControl/>
              <w:adjustRightInd w:val="0"/>
              <w:snapToGrid w:val="0"/>
              <w:spacing w:line="240" w:lineRule="auto"/>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4</w:t>
            </w:r>
          </w:p>
        </w:tc>
        <w:tc>
          <w:tcPr>
            <w:tcW w:w="506" w:type="pct"/>
            <w:shd w:val="clear" w:color="auto" w:fill="FFFFFF"/>
            <w:tcMar>
              <w:top w:w="57" w:type="dxa"/>
              <w:left w:w="57" w:type="dxa"/>
              <w:bottom w:w="57" w:type="dxa"/>
              <w:right w:w="57" w:type="dxa"/>
            </w:tcMar>
            <w:vAlign w:val="center"/>
          </w:tcPr>
          <w:p w14:paraId="1EB843C8">
            <w:pPr>
              <w:keepNext/>
              <w:widowControl/>
              <w:adjustRightInd w:val="0"/>
              <w:snapToGrid w:val="0"/>
              <w:spacing w:line="240" w:lineRule="auto"/>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0"/>
                <w:sz w:val="24"/>
                <w:szCs w:val="24"/>
                <w:lang w:bidi="ar"/>
              </w:rPr>
              <w:t>预期性</w:t>
            </w:r>
          </w:p>
        </w:tc>
      </w:tr>
      <w:tr w14:paraId="555A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c>
          <w:tcPr>
            <w:tcW w:w="652" w:type="pct"/>
            <w:vMerge w:val="continue"/>
            <w:shd w:val="clear" w:color="auto" w:fill="FFFFFF"/>
            <w:tcMar>
              <w:top w:w="57" w:type="dxa"/>
              <w:left w:w="57" w:type="dxa"/>
              <w:bottom w:w="57" w:type="dxa"/>
              <w:right w:w="57" w:type="dxa"/>
            </w:tcMar>
            <w:vAlign w:val="center"/>
          </w:tcPr>
          <w:p w14:paraId="201801E2">
            <w:pPr>
              <w:keepNext/>
              <w:widowControl/>
              <w:adjustRightInd w:val="0"/>
              <w:snapToGrid w:val="0"/>
              <w:spacing w:line="240" w:lineRule="auto"/>
              <w:jc w:val="center"/>
              <w:rPr>
                <w:rFonts w:hint="default" w:ascii="Times New Roman" w:hAnsi="Times New Roman" w:eastAsia="仿宋_GB2312" w:cs="Times New Roman"/>
                <w:kern w:val="0"/>
                <w:sz w:val="24"/>
                <w:szCs w:val="24"/>
                <w:lang w:bidi="ar"/>
              </w:rPr>
            </w:pPr>
          </w:p>
        </w:tc>
        <w:tc>
          <w:tcPr>
            <w:tcW w:w="362" w:type="pct"/>
            <w:shd w:val="clear" w:color="auto" w:fill="FFFFFF"/>
            <w:tcMar>
              <w:top w:w="57" w:type="dxa"/>
              <w:left w:w="57" w:type="dxa"/>
              <w:bottom w:w="57" w:type="dxa"/>
              <w:right w:w="57" w:type="dxa"/>
            </w:tcMar>
            <w:vAlign w:val="center"/>
          </w:tcPr>
          <w:p w14:paraId="412EE976">
            <w:pPr>
              <w:keepNext/>
              <w:widowControl/>
              <w:numPr>
                <w:ilvl w:val="0"/>
                <w:numId w:val="0"/>
              </w:numPr>
              <w:adjustRightInd w:val="0"/>
              <w:snapToGrid w:val="0"/>
              <w:spacing w:line="240" w:lineRule="auto"/>
              <w:ind w:left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4.</w:t>
            </w:r>
          </w:p>
        </w:tc>
        <w:tc>
          <w:tcPr>
            <w:tcW w:w="2969" w:type="pct"/>
            <w:shd w:val="clear" w:color="auto" w:fill="FFFFFF"/>
            <w:tcMar>
              <w:top w:w="57" w:type="dxa"/>
              <w:left w:w="57" w:type="dxa"/>
              <w:bottom w:w="57" w:type="dxa"/>
              <w:right w:w="57" w:type="dxa"/>
            </w:tcMar>
            <w:vAlign w:val="center"/>
          </w:tcPr>
          <w:p w14:paraId="123551F1">
            <w:pPr>
              <w:keepNext/>
              <w:widowControl/>
              <w:adjustRightInd w:val="0"/>
              <w:snapToGrid w:val="0"/>
              <w:spacing w:line="240" w:lineRule="auto"/>
              <w:jc w:val="left"/>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bidi="ar"/>
              </w:rPr>
              <w:t>网格案件解决率（%）</w:t>
            </w:r>
          </w:p>
        </w:tc>
        <w:tc>
          <w:tcPr>
            <w:tcW w:w="509" w:type="pct"/>
            <w:shd w:val="clear" w:color="auto" w:fill="FFFFFF"/>
            <w:tcMar>
              <w:top w:w="57" w:type="dxa"/>
              <w:left w:w="57" w:type="dxa"/>
              <w:bottom w:w="57" w:type="dxa"/>
              <w:right w:w="57" w:type="dxa"/>
            </w:tcMar>
            <w:vAlign w:val="center"/>
          </w:tcPr>
          <w:p w14:paraId="0E7BAB60">
            <w:pPr>
              <w:keepNext/>
              <w:widowControl/>
              <w:adjustRightInd w:val="0"/>
              <w:snapToGrid w:val="0"/>
              <w:spacing w:line="240" w:lineRule="auto"/>
              <w:jc w:val="left"/>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val="en-US" w:eastAsia="zh-CN" w:bidi="ar"/>
              </w:rPr>
              <w:t>≥</w:t>
            </w:r>
            <w:r>
              <w:rPr>
                <w:rFonts w:hint="default" w:ascii="Times New Roman" w:hAnsi="Times New Roman" w:eastAsia="仿宋_GB2312" w:cs="Times New Roman"/>
                <w:kern w:val="0"/>
                <w:sz w:val="24"/>
                <w:szCs w:val="24"/>
                <w:lang w:bidi="ar"/>
              </w:rPr>
              <w:t>98</w:t>
            </w:r>
          </w:p>
        </w:tc>
        <w:tc>
          <w:tcPr>
            <w:tcW w:w="506" w:type="pct"/>
            <w:shd w:val="clear" w:color="auto" w:fill="FFFFFF"/>
            <w:tcMar>
              <w:top w:w="57" w:type="dxa"/>
              <w:left w:w="57" w:type="dxa"/>
              <w:bottom w:w="57" w:type="dxa"/>
              <w:right w:w="57" w:type="dxa"/>
            </w:tcMar>
            <w:vAlign w:val="center"/>
          </w:tcPr>
          <w:p w14:paraId="58347769">
            <w:pPr>
              <w:keepNext/>
              <w:widowControl/>
              <w:adjustRightInd w:val="0"/>
              <w:snapToGrid w:val="0"/>
              <w:spacing w:line="240" w:lineRule="auto"/>
              <w:jc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bidi="ar"/>
              </w:rPr>
              <w:t>预期性</w:t>
            </w:r>
          </w:p>
        </w:tc>
      </w:tr>
      <w:tr w14:paraId="3AB03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c>
          <w:tcPr>
            <w:tcW w:w="652" w:type="pct"/>
            <w:vMerge w:val="continue"/>
            <w:shd w:val="clear" w:color="auto" w:fill="FFFFFF"/>
            <w:tcMar>
              <w:top w:w="57" w:type="dxa"/>
              <w:left w:w="57" w:type="dxa"/>
              <w:bottom w:w="57" w:type="dxa"/>
              <w:right w:w="57" w:type="dxa"/>
            </w:tcMar>
            <w:vAlign w:val="center"/>
          </w:tcPr>
          <w:p w14:paraId="0F2D79FA">
            <w:pPr>
              <w:keepNext/>
              <w:widowControl/>
              <w:adjustRightInd w:val="0"/>
              <w:snapToGrid w:val="0"/>
              <w:spacing w:line="240" w:lineRule="auto"/>
              <w:jc w:val="center"/>
              <w:rPr>
                <w:rFonts w:hint="default" w:ascii="Times New Roman" w:hAnsi="Times New Roman" w:eastAsia="仿宋_GB2312" w:cs="Times New Roman"/>
                <w:kern w:val="0"/>
                <w:sz w:val="24"/>
                <w:szCs w:val="24"/>
                <w:lang w:bidi="ar"/>
              </w:rPr>
            </w:pPr>
          </w:p>
        </w:tc>
        <w:tc>
          <w:tcPr>
            <w:tcW w:w="362" w:type="pct"/>
            <w:shd w:val="clear" w:color="auto" w:fill="FFFFFF"/>
            <w:tcMar>
              <w:top w:w="57" w:type="dxa"/>
              <w:left w:w="57" w:type="dxa"/>
              <w:bottom w:w="57" w:type="dxa"/>
              <w:right w:w="57" w:type="dxa"/>
            </w:tcMar>
            <w:vAlign w:val="center"/>
          </w:tcPr>
          <w:p w14:paraId="2364302D">
            <w:pPr>
              <w:keepNext/>
              <w:widowControl/>
              <w:numPr>
                <w:ilvl w:val="0"/>
                <w:numId w:val="0"/>
              </w:numPr>
              <w:adjustRightInd w:val="0"/>
              <w:snapToGrid w:val="0"/>
              <w:spacing w:line="240" w:lineRule="auto"/>
              <w:ind w:left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5.</w:t>
            </w:r>
          </w:p>
        </w:tc>
        <w:tc>
          <w:tcPr>
            <w:tcW w:w="2969" w:type="pct"/>
            <w:shd w:val="clear" w:color="auto" w:fill="FFFFFF"/>
            <w:tcMar>
              <w:top w:w="57" w:type="dxa"/>
              <w:left w:w="57" w:type="dxa"/>
              <w:bottom w:w="57" w:type="dxa"/>
              <w:right w:w="57" w:type="dxa"/>
            </w:tcMar>
            <w:vAlign w:val="center"/>
          </w:tcPr>
          <w:p w14:paraId="7A362328">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“吹哨报到”案件办结率（%）</w:t>
            </w:r>
          </w:p>
        </w:tc>
        <w:tc>
          <w:tcPr>
            <w:tcW w:w="509" w:type="pct"/>
            <w:shd w:val="clear" w:color="auto" w:fill="FFFFFF"/>
            <w:tcMar>
              <w:top w:w="57" w:type="dxa"/>
              <w:left w:w="57" w:type="dxa"/>
              <w:bottom w:w="57" w:type="dxa"/>
              <w:right w:w="57" w:type="dxa"/>
            </w:tcMar>
            <w:vAlign w:val="center"/>
          </w:tcPr>
          <w:p w14:paraId="1D2E9F7E">
            <w:pPr>
              <w:keepNext/>
              <w:widowControl/>
              <w:adjustRightInd w:val="0"/>
              <w:snapToGrid w:val="0"/>
              <w:spacing w:line="240" w:lineRule="auto"/>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100</w:t>
            </w:r>
          </w:p>
        </w:tc>
        <w:tc>
          <w:tcPr>
            <w:tcW w:w="506" w:type="pct"/>
            <w:shd w:val="clear" w:color="auto" w:fill="FFFFFF"/>
            <w:tcMar>
              <w:top w:w="57" w:type="dxa"/>
              <w:left w:w="57" w:type="dxa"/>
              <w:bottom w:w="57" w:type="dxa"/>
              <w:right w:w="57" w:type="dxa"/>
            </w:tcMar>
            <w:vAlign w:val="center"/>
          </w:tcPr>
          <w:p w14:paraId="25FFA2CE">
            <w:pPr>
              <w:keepNext/>
              <w:widowControl/>
              <w:adjustRightInd w:val="0"/>
              <w:snapToGrid w:val="0"/>
              <w:spacing w:line="240" w:lineRule="auto"/>
              <w:jc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约束性</w:t>
            </w:r>
          </w:p>
        </w:tc>
      </w:tr>
      <w:tr w14:paraId="1642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c>
          <w:tcPr>
            <w:tcW w:w="652" w:type="pct"/>
            <w:vMerge w:val="restart"/>
            <w:shd w:val="clear" w:color="auto" w:fill="FFFFFF"/>
            <w:tcMar>
              <w:top w:w="57" w:type="dxa"/>
              <w:left w:w="57" w:type="dxa"/>
              <w:bottom w:w="57" w:type="dxa"/>
              <w:right w:w="57" w:type="dxa"/>
            </w:tcMar>
            <w:vAlign w:val="center"/>
          </w:tcPr>
          <w:p w14:paraId="3FC02639">
            <w:pPr>
              <w:keepNext/>
              <w:adjustRightInd w:val="0"/>
              <w:snapToGrid w:val="0"/>
              <w:spacing w:line="240" w:lineRule="auto"/>
              <w:jc w:val="center"/>
              <w:rPr>
                <w:rFonts w:hint="default" w:ascii="Times New Roman" w:hAnsi="Times New Roman" w:eastAsia="仿宋_GB2312" w:cs="Times New Roman"/>
                <w:kern w:val="0"/>
                <w:sz w:val="24"/>
                <w:szCs w:val="24"/>
                <w:lang w:val="en-US" w:bidi="ar"/>
              </w:rPr>
            </w:pPr>
            <w:r>
              <w:rPr>
                <w:rFonts w:hint="default" w:ascii="Times New Roman" w:hAnsi="Times New Roman" w:eastAsia="仿宋_GB2312" w:cs="Times New Roman"/>
                <w:sz w:val="24"/>
                <w:szCs w:val="24"/>
              </w:rPr>
              <w:t>数智赋能</w:t>
            </w:r>
          </w:p>
        </w:tc>
        <w:tc>
          <w:tcPr>
            <w:tcW w:w="362" w:type="pct"/>
            <w:shd w:val="clear" w:color="auto" w:fill="FFFFFF"/>
            <w:tcMar>
              <w:top w:w="57" w:type="dxa"/>
              <w:left w:w="57" w:type="dxa"/>
              <w:bottom w:w="57" w:type="dxa"/>
              <w:right w:w="57" w:type="dxa"/>
            </w:tcMar>
            <w:vAlign w:val="center"/>
          </w:tcPr>
          <w:p w14:paraId="3D26FB6C">
            <w:pPr>
              <w:keepNext/>
              <w:widowControl/>
              <w:numPr>
                <w:ilvl w:val="0"/>
                <w:numId w:val="0"/>
              </w:numPr>
              <w:adjustRightInd w:val="0"/>
              <w:snapToGrid w:val="0"/>
              <w:spacing w:line="240" w:lineRule="auto"/>
              <w:ind w:left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6.</w:t>
            </w:r>
          </w:p>
        </w:tc>
        <w:tc>
          <w:tcPr>
            <w:tcW w:w="2969" w:type="pct"/>
            <w:shd w:val="clear" w:color="auto" w:fill="FFFFFF"/>
            <w:tcMar>
              <w:top w:w="57" w:type="dxa"/>
              <w:left w:w="57" w:type="dxa"/>
              <w:bottom w:w="57" w:type="dxa"/>
              <w:right w:w="57" w:type="dxa"/>
            </w:tcMar>
            <w:vAlign w:val="center"/>
          </w:tcPr>
          <w:p w14:paraId="2F4578FB">
            <w:pPr>
              <w:keepNext/>
              <w:widowControl/>
              <w:adjustRightInd w:val="0"/>
              <w:snapToGrid w:val="0"/>
              <w:spacing w:line="240" w:lineRule="auto"/>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视频监控</w:t>
            </w:r>
            <w:r>
              <w:rPr>
                <w:rFonts w:hint="default" w:ascii="Times New Roman" w:hAnsi="Times New Roman" w:eastAsia="仿宋_GB2312" w:cs="Times New Roman"/>
                <w:sz w:val="24"/>
                <w:szCs w:val="24"/>
                <w:lang w:eastAsia="zh-CN"/>
              </w:rPr>
              <w:t>探头数</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eastAsia="zh-CN"/>
              </w:rPr>
              <w:t>个</w:t>
            </w:r>
            <w:r>
              <w:rPr>
                <w:rFonts w:hint="default" w:ascii="Times New Roman" w:hAnsi="Times New Roman" w:eastAsia="仿宋_GB2312" w:cs="Times New Roman"/>
                <w:sz w:val="24"/>
                <w:szCs w:val="24"/>
              </w:rPr>
              <w:t>）</w:t>
            </w:r>
          </w:p>
        </w:tc>
        <w:tc>
          <w:tcPr>
            <w:tcW w:w="509" w:type="pct"/>
            <w:shd w:val="clear" w:color="auto" w:fill="FFFFFF"/>
            <w:tcMar>
              <w:top w:w="57" w:type="dxa"/>
              <w:left w:w="57" w:type="dxa"/>
              <w:bottom w:w="57" w:type="dxa"/>
              <w:right w:w="57" w:type="dxa"/>
            </w:tcMar>
            <w:vAlign w:val="center"/>
          </w:tcPr>
          <w:p w14:paraId="723EF80B">
            <w:pPr>
              <w:keepNext/>
              <w:widowControl/>
              <w:adjustRightInd w:val="0"/>
              <w:snapToGrid w:val="0"/>
              <w:spacing w:line="240" w:lineRule="auto"/>
              <w:jc w:val="left"/>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val="en-US" w:eastAsia="zh-CN"/>
              </w:rPr>
              <w:t>3000</w:t>
            </w:r>
          </w:p>
        </w:tc>
        <w:tc>
          <w:tcPr>
            <w:tcW w:w="506" w:type="pct"/>
            <w:shd w:val="clear" w:color="auto" w:fill="FFFFFF"/>
            <w:tcMar>
              <w:top w:w="57" w:type="dxa"/>
              <w:left w:w="57" w:type="dxa"/>
              <w:bottom w:w="57" w:type="dxa"/>
              <w:right w:w="57" w:type="dxa"/>
            </w:tcMar>
            <w:vAlign w:val="center"/>
          </w:tcPr>
          <w:p w14:paraId="027785C3">
            <w:pPr>
              <w:keepNext/>
              <w:widowControl/>
              <w:adjustRightInd w:val="0"/>
              <w:snapToGrid w:val="0"/>
              <w:spacing w:line="240" w:lineRule="auto"/>
              <w:jc w:val="center"/>
              <w:rPr>
                <w:rFonts w:hint="default" w:ascii="Times New Roman" w:hAnsi="Times New Roman" w:eastAsia="仿宋_GB2312" w:cs="Times New Roman"/>
                <w:kern w:val="0"/>
                <w:sz w:val="24"/>
                <w:szCs w:val="24"/>
                <w:lang w:eastAsia="zh-CN" w:bidi="ar"/>
              </w:rPr>
            </w:pPr>
            <w:r>
              <w:rPr>
                <w:rFonts w:hint="default" w:ascii="Times New Roman" w:hAnsi="Times New Roman" w:eastAsia="仿宋_GB2312" w:cs="Times New Roman"/>
                <w:kern w:val="0"/>
                <w:sz w:val="24"/>
                <w:szCs w:val="24"/>
                <w:lang w:eastAsia="zh-CN" w:bidi="ar"/>
              </w:rPr>
              <w:t>约束性</w:t>
            </w:r>
          </w:p>
        </w:tc>
      </w:tr>
      <w:tr w14:paraId="7BB0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c>
          <w:tcPr>
            <w:tcW w:w="652" w:type="pct"/>
            <w:vMerge w:val="continue"/>
            <w:shd w:val="clear" w:color="auto" w:fill="FFFFFF"/>
            <w:tcMar>
              <w:top w:w="57" w:type="dxa"/>
              <w:left w:w="57" w:type="dxa"/>
              <w:bottom w:w="57" w:type="dxa"/>
              <w:right w:w="57" w:type="dxa"/>
            </w:tcMar>
            <w:vAlign w:val="center"/>
          </w:tcPr>
          <w:p w14:paraId="25FE1DBB">
            <w:pPr>
              <w:keepNext/>
              <w:adjustRightInd w:val="0"/>
              <w:snapToGrid w:val="0"/>
              <w:spacing w:line="240" w:lineRule="auto"/>
              <w:jc w:val="center"/>
              <w:rPr>
                <w:rFonts w:hint="default" w:ascii="Times New Roman" w:hAnsi="Times New Roman" w:cs="Times New Roman"/>
              </w:rPr>
            </w:pPr>
          </w:p>
        </w:tc>
        <w:tc>
          <w:tcPr>
            <w:tcW w:w="362" w:type="pct"/>
            <w:shd w:val="clear" w:color="auto" w:fill="FFFFFF"/>
            <w:tcMar>
              <w:top w:w="57" w:type="dxa"/>
              <w:left w:w="57" w:type="dxa"/>
              <w:bottom w:w="57" w:type="dxa"/>
              <w:right w:w="57" w:type="dxa"/>
            </w:tcMar>
            <w:vAlign w:val="center"/>
          </w:tcPr>
          <w:p w14:paraId="1439FD6C">
            <w:pPr>
              <w:keepNext/>
              <w:widowControl/>
              <w:numPr>
                <w:ilvl w:val="0"/>
                <w:numId w:val="0"/>
              </w:numPr>
              <w:adjustRightInd w:val="0"/>
              <w:snapToGrid w:val="0"/>
              <w:spacing w:line="240" w:lineRule="auto"/>
              <w:ind w:left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7.</w:t>
            </w:r>
          </w:p>
        </w:tc>
        <w:tc>
          <w:tcPr>
            <w:tcW w:w="2969" w:type="pct"/>
            <w:shd w:val="clear" w:color="auto" w:fill="FFFFFF"/>
            <w:tcMar>
              <w:top w:w="57" w:type="dxa"/>
              <w:left w:w="57" w:type="dxa"/>
              <w:bottom w:w="57" w:type="dxa"/>
              <w:right w:w="57" w:type="dxa"/>
            </w:tcMar>
            <w:vAlign w:val="center"/>
          </w:tcPr>
          <w:p w14:paraId="18773CB4">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城市管理事件自动发现</w:t>
            </w:r>
            <w:r>
              <w:rPr>
                <w:rFonts w:hint="default" w:ascii="Times New Roman" w:hAnsi="Times New Roman" w:eastAsia="仿宋_GB2312" w:cs="Times New Roman"/>
                <w:kern w:val="0"/>
                <w:sz w:val="24"/>
                <w:szCs w:val="24"/>
                <w:lang w:eastAsia="zh-CN" w:bidi="ar"/>
              </w:rPr>
              <w:t>类别</w:t>
            </w:r>
            <w:r>
              <w:rPr>
                <w:rFonts w:hint="default" w:ascii="Times New Roman" w:hAnsi="Times New Roman" w:eastAsia="仿宋_GB2312" w:cs="Times New Roman"/>
                <w:kern w:val="0"/>
                <w:sz w:val="24"/>
                <w:szCs w:val="24"/>
                <w:lang w:bidi="ar"/>
              </w:rPr>
              <w:t>（</w:t>
            </w:r>
            <w:r>
              <w:rPr>
                <w:rFonts w:hint="default" w:ascii="Times New Roman" w:hAnsi="Times New Roman" w:eastAsia="仿宋_GB2312" w:cs="Times New Roman"/>
                <w:kern w:val="0"/>
                <w:sz w:val="24"/>
                <w:szCs w:val="24"/>
                <w:lang w:eastAsia="zh-CN" w:bidi="ar"/>
              </w:rPr>
              <w:t>个</w:t>
            </w:r>
            <w:r>
              <w:rPr>
                <w:rFonts w:hint="default" w:ascii="Times New Roman" w:hAnsi="Times New Roman" w:eastAsia="仿宋_GB2312" w:cs="Times New Roman"/>
                <w:kern w:val="0"/>
                <w:sz w:val="24"/>
                <w:szCs w:val="24"/>
                <w:lang w:bidi="ar"/>
              </w:rPr>
              <w:t>）</w:t>
            </w:r>
          </w:p>
        </w:tc>
        <w:tc>
          <w:tcPr>
            <w:tcW w:w="509" w:type="pct"/>
            <w:shd w:val="clear" w:color="auto" w:fill="FFFFFF"/>
            <w:tcMar>
              <w:top w:w="57" w:type="dxa"/>
              <w:left w:w="57" w:type="dxa"/>
              <w:bottom w:w="57" w:type="dxa"/>
              <w:right w:w="57" w:type="dxa"/>
            </w:tcMar>
            <w:vAlign w:val="center"/>
          </w:tcPr>
          <w:p w14:paraId="00BDF757">
            <w:pPr>
              <w:keepNext/>
              <w:widowControl/>
              <w:adjustRightInd w:val="0"/>
              <w:snapToGrid w:val="0"/>
              <w:spacing w:line="240" w:lineRule="auto"/>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0"/>
                <w:sz w:val="24"/>
                <w:szCs w:val="24"/>
                <w:lang w:eastAsia="zh-CN" w:bidi="ar"/>
              </w:rPr>
              <w:t>≥</w:t>
            </w:r>
            <w:r>
              <w:rPr>
                <w:rFonts w:hint="default" w:ascii="Times New Roman" w:hAnsi="Times New Roman" w:eastAsia="仿宋_GB2312" w:cs="Times New Roman"/>
                <w:kern w:val="0"/>
                <w:sz w:val="24"/>
                <w:szCs w:val="24"/>
                <w:lang w:val="en-US" w:eastAsia="zh-CN" w:bidi="ar"/>
              </w:rPr>
              <w:t>25</w:t>
            </w:r>
          </w:p>
        </w:tc>
        <w:tc>
          <w:tcPr>
            <w:tcW w:w="506" w:type="pct"/>
            <w:shd w:val="clear" w:color="auto" w:fill="FFFFFF"/>
            <w:tcMar>
              <w:top w:w="57" w:type="dxa"/>
              <w:left w:w="57" w:type="dxa"/>
              <w:bottom w:w="57" w:type="dxa"/>
              <w:right w:w="57" w:type="dxa"/>
            </w:tcMar>
            <w:vAlign w:val="center"/>
          </w:tcPr>
          <w:p w14:paraId="5029A67A">
            <w:pPr>
              <w:keepNext/>
              <w:widowControl/>
              <w:adjustRightInd w:val="0"/>
              <w:snapToGrid w:val="0"/>
              <w:spacing w:line="240" w:lineRule="auto"/>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0"/>
                <w:sz w:val="24"/>
                <w:szCs w:val="24"/>
                <w:lang w:bidi="ar"/>
              </w:rPr>
              <w:t>预期性</w:t>
            </w:r>
          </w:p>
        </w:tc>
      </w:tr>
      <w:tr w14:paraId="103F2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c>
          <w:tcPr>
            <w:tcW w:w="652" w:type="pct"/>
            <w:vMerge w:val="continue"/>
            <w:shd w:val="clear" w:color="auto" w:fill="FFFFFF"/>
            <w:tcMar>
              <w:top w:w="57" w:type="dxa"/>
              <w:left w:w="57" w:type="dxa"/>
              <w:bottom w:w="57" w:type="dxa"/>
              <w:right w:w="57" w:type="dxa"/>
            </w:tcMar>
            <w:vAlign w:val="center"/>
          </w:tcPr>
          <w:p w14:paraId="5642DA58">
            <w:pPr>
              <w:keepNext/>
              <w:widowControl/>
              <w:adjustRightInd w:val="0"/>
              <w:snapToGrid w:val="0"/>
              <w:spacing w:line="240" w:lineRule="auto"/>
              <w:jc w:val="center"/>
              <w:rPr>
                <w:rFonts w:hint="default" w:ascii="Times New Roman" w:hAnsi="Times New Roman" w:eastAsia="仿宋_GB2312" w:cs="Times New Roman"/>
                <w:kern w:val="0"/>
                <w:sz w:val="24"/>
                <w:szCs w:val="24"/>
                <w:lang w:bidi="ar"/>
              </w:rPr>
            </w:pPr>
          </w:p>
        </w:tc>
        <w:tc>
          <w:tcPr>
            <w:tcW w:w="362" w:type="pct"/>
            <w:shd w:val="clear" w:color="auto" w:fill="FFFFFF"/>
            <w:tcMar>
              <w:top w:w="57" w:type="dxa"/>
              <w:left w:w="57" w:type="dxa"/>
              <w:bottom w:w="57" w:type="dxa"/>
              <w:right w:w="57" w:type="dxa"/>
            </w:tcMar>
            <w:vAlign w:val="center"/>
          </w:tcPr>
          <w:p w14:paraId="02805E4A">
            <w:pPr>
              <w:keepNext/>
              <w:widowControl/>
              <w:numPr>
                <w:ilvl w:val="0"/>
                <w:numId w:val="0"/>
              </w:numPr>
              <w:adjustRightInd w:val="0"/>
              <w:snapToGrid w:val="0"/>
              <w:spacing w:line="240" w:lineRule="auto"/>
              <w:ind w:left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8.</w:t>
            </w:r>
          </w:p>
        </w:tc>
        <w:tc>
          <w:tcPr>
            <w:tcW w:w="2969" w:type="pct"/>
            <w:shd w:val="clear" w:color="auto" w:fill="FFFFFF"/>
            <w:tcMar>
              <w:top w:w="57" w:type="dxa"/>
              <w:left w:w="57" w:type="dxa"/>
              <w:bottom w:w="57" w:type="dxa"/>
              <w:right w:w="57" w:type="dxa"/>
            </w:tcMar>
            <w:vAlign w:val="center"/>
          </w:tcPr>
          <w:p w14:paraId="35A226C6">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落地网格化相关数智场景示范项目（个）</w:t>
            </w:r>
          </w:p>
        </w:tc>
        <w:tc>
          <w:tcPr>
            <w:tcW w:w="509" w:type="pct"/>
            <w:shd w:val="clear" w:color="auto" w:fill="FFFFFF"/>
            <w:tcMar>
              <w:top w:w="57" w:type="dxa"/>
              <w:left w:w="57" w:type="dxa"/>
              <w:bottom w:w="57" w:type="dxa"/>
              <w:right w:w="57" w:type="dxa"/>
            </w:tcMar>
            <w:vAlign w:val="center"/>
          </w:tcPr>
          <w:p w14:paraId="6F7D0B35">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eastAsia="zh-CN" w:bidi="ar"/>
              </w:rPr>
              <w:t>≥</w:t>
            </w:r>
            <w:r>
              <w:rPr>
                <w:rFonts w:hint="default" w:ascii="Times New Roman" w:hAnsi="Times New Roman" w:eastAsia="仿宋_GB2312" w:cs="Times New Roman"/>
                <w:kern w:val="0"/>
                <w:sz w:val="24"/>
                <w:szCs w:val="24"/>
                <w:lang w:val="en-US" w:eastAsia="zh-CN" w:bidi="ar"/>
              </w:rPr>
              <w:t>1</w:t>
            </w:r>
          </w:p>
        </w:tc>
        <w:tc>
          <w:tcPr>
            <w:tcW w:w="506" w:type="pct"/>
            <w:shd w:val="clear" w:color="auto" w:fill="FFFFFF"/>
            <w:tcMar>
              <w:top w:w="57" w:type="dxa"/>
              <w:left w:w="57" w:type="dxa"/>
              <w:bottom w:w="57" w:type="dxa"/>
              <w:right w:w="57" w:type="dxa"/>
            </w:tcMar>
            <w:vAlign w:val="center"/>
          </w:tcPr>
          <w:p w14:paraId="64A1C219">
            <w:pPr>
              <w:keepNext/>
              <w:widowControl/>
              <w:adjustRightInd w:val="0"/>
              <w:snapToGrid w:val="0"/>
              <w:spacing w:line="240" w:lineRule="auto"/>
              <w:jc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预期性</w:t>
            </w:r>
          </w:p>
        </w:tc>
      </w:tr>
      <w:tr w14:paraId="22CE0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c>
          <w:tcPr>
            <w:tcW w:w="652" w:type="pct"/>
            <w:vMerge w:val="continue"/>
            <w:shd w:val="clear" w:color="auto" w:fill="FFFFFF"/>
            <w:tcMar>
              <w:top w:w="57" w:type="dxa"/>
              <w:left w:w="57" w:type="dxa"/>
              <w:bottom w:w="57" w:type="dxa"/>
              <w:right w:w="57" w:type="dxa"/>
            </w:tcMar>
            <w:vAlign w:val="center"/>
          </w:tcPr>
          <w:p w14:paraId="17B3E1B1">
            <w:pPr>
              <w:keepNext/>
              <w:widowControl/>
              <w:adjustRightInd w:val="0"/>
              <w:snapToGrid w:val="0"/>
              <w:spacing w:line="240" w:lineRule="auto"/>
              <w:jc w:val="center"/>
              <w:rPr>
                <w:rFonts w:hint="default" w:ascii="Times New Roman" w:hAnsi="Times New Roman" w:eastAsia="仿宋_GB2312" w:cs="Times New Roman"/>
                <w:kern w:val="0"/>
                <w:sz w:val="24"/>
                <w:szCs w:val="24"/>
                <w:lang w:bidi="ar"/>
              </w:rPr>
            </w:pPr>
          </w:p>
        </w:tc>
        <w:tc>
          <w:tcPr>
            <w:tcW w:w="362" w:type="pct"/>
            <w:shd w:val="clear" w:color="auto" w:fill="FFFFFF"/>
            <w:tcMar>
              <w:top w:w="57" w:type="dxa"/>
              <w:left w:w="57" w:type="dxa"/>
              <w:bottom w:w="57" w:type="dxa"/>
              <w:right w:w="57" w:type="dxa"/>
            </w:tcMar>
            <w:vAlign w:val="center"/>
          </w:tcPr>
          <w:p w14:paraId="3196CE04">
            <w:pPr>
              <w:keepNext/>
              <w:widowControl/>
              <w:numPr>
                <w:ilvl w:val="0"/>
                <w:numId w:val="0"/>
              </w:numPr>
              <w:adjustRightInd w:val="0"/>
              <w:snapToGrid w:val="0"/>
              <w:spacing w:line="240" w:lineRule="auto"/>
              <w:ind w:leftChars="0"/>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9.</w:t>
            </w:r>
          </w:p>
        </w:tc>
        <w:tc>
          <w:tcPr>
            <w:tcW w:w="2969" w:type="pct"/>
            <w:shd w:val="clear" w:color="auto" w:fill="FFFFFF"/>
            <w:tcMar>
              <w:top w:w="57" w:type="dxa"/>
              <w:left w:w="57" w:type="dxa"/>
              <w:bottom w:w="57" w:type="dxa"/>
              <w:right w:w="57" w:type="dxa"/>
            </w:tcMar>
            <w:vAlign w:val="center"/>
          </w:tcPr>
          <w:p w14:paraId="057341A6">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人工智能发现案件准确率（%）</w:t>
            </w:r>
          </w:p>
        </w:tc>
        <w:tc>
          <w:tcPr>
            <w:tcW w:w="509" w:type="pct"/>
            <w:shd w:val="clear" w:color="auto" w:fill="FFFFFF"/>
            <w:tcMar>
              <w:top w:w="57" w:type="dxa"/>
              <w:left w:w="57" w:type="dxa"/>
              <w:bottom w:w="57" w:type="dxa"/>
              <w:right w:w="57" w:type="dxa"/>
            </w:tcMar>
            <w:vAlign w:val="center"/>
          </w:tcPr>
          <w:p w14:paraId="46A89ACE">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90</w:t>
            </w:r>
          </w:p>
        </w:tc>
        <w:tc>
          <w:tcPr>
            <w:tcW w:w="506" w:type="pct"/>
            <w:shd w:val="clear" w:color="auto" w:fill="FFFFFF"/>
            <w:tcMar>
              <w:top w:w="57" w:type="dxa"/>
              <w:left w:w="57" w:type="dxa"/>
              <w:bottom w:w="57" w:type="dxa"/>
              <w:right w:w="57" w:type="dxa"/>
            </w:tcMar>
            <w:vAlign w:val="center"/>
          </w:tcPr>
          <w:p w14:paraId="124BB154">
            <w:pPr>
              <w:keepNext/>
              <w:widowControl/>
              <w:adjustRightInd w:val="0"/>
              <w:snapToGrid w:val="0"/>
              <w:spacing w:line="240" w:lineRule="auto"/>
              <w:jc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预期性</w:t>
            </w:r>
          </w:p>
        </w:tc>
      </w:tr>
      <w:tr w14:paraId="172A0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c>
          <w:tcPr>
            <w:tcW w:w="652" w:type="pct"/>
            <w:vMerge w:val="restart"/>
            <w:shd w:val="clear" w:color="auto" w:fill="FFFFFF"/>
            <w:tcMar>
              <w:top w:w="57" w:type="dxa"/>
              <w:left w:w="57" w:type="dxa"/>
              <w:bottom w:w="57" w:type="dxa"/>
              <w:right w:w="57" w:type="dxa"/>
            </w:tcMar>
            <w:vAlign w:val="center"/>
          </w:tcPr>
          <w:p w14:paraId="5CCD7123">
            <w:pPr>
              <w:keepNext/>
              <w:widowControl/>
              <w:adjustRightInd w:val="0"/>
              <w:snapToGrid w:val="0"/>
              <w:spacing w:line="240" w:lineRule="auto"/>
              <w:jc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sz w:val="24"/>
                <w:szCs w:val="24"/>
              </w:rPr>
              <w:t>功能扩展</w:t>
            </w:r>
          </w:p>
        </w:tc>
        <w:tc>
          <w:tcPr>
            <w:tcW w:w="362" w:type="pct"/>
            <w:shd w:val="clear" w:color="auto" w:fill="FFFFFF"/>
            <w:tcMar>
              <w:top w:w="57" w:type="dxa"/>
              <w:left w:w="57" w:type="dxa"/>
              <w:bottom w:w="57" w:type="dxa"/>
              <w:right w:w="57" w:type="dxa"/>
            </w:tcMar>
            <w:vAlign w:val="center"/>
          </w:tcPr>
          <w:p w14:paraId="5A5FCE6D">
            <w:pPr>
              <w:keepNext/>
              <w:widowControl/>
              <w:numPr>
                <w:ilvl w:val="0"/>
                <w:numId w:val="0"/>
              </w:numPr>
              <w:adjustRightInd w:val="0"/>
              <w:snapToGrid w:val="0"/>
              <w:spacing w:line="240" w:lineRule="auto"/>
              <w:ind w:leftChars="0"/>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10.</w:t>
            </w:r>
          </w:p>
        </w:tc>
        <w:tc>
          <w:tcPr>
            <w:tcW w:w="2969" w:type="pct"/>
            <w:shd w:val="clear" w:color="auto" w:fill="FFFFFF"/>
            <w:tcMar>
              <w:top w:w="57" w:type="dxa"/>
              <w:left w:w="57" w:type="dxa"/>
              <w:bottom w:w="57" w:type="dxa"/>
              <w:right w:w="57" w:type="dxa"/>
            </w:tcMar>
            <w:vAlign w:val="center"/>
          </w:tcPr>
          <w:p w14:paraId="7F6A329C">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新增依托网格的功能模块（个）</w:t>
            </w:r>
          </w:p>
        </w:tc>
        <w:tc>
          <w:tcPr>
            <w:tcW w:w="509" w:type="pct"/>
            <w:shd w:val="clear" w:color="auto" w:fill="FFFFFF"/>
            <w:tcMar>
              <w:top w:w="57" w:type="dxa"/>
              <w:left w:w="57" w:type="dxa"/>
              <w:bottom w:w="57" w:type="dxa"/>
              <w:right w:w="57" w:type="dxa"/>
            </w:tcMar>
            <w:vAlign w:val="center"/>
          </w:tcPr>
          <w:p w14:paraId="0DF8D2EA">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5</w:t>
            </w:r>
          </w:p>
        </w:tc>
        <w:tc>
          <w:tcPr>
            <w:tcW w:w="506" w:type="pct"/>
            <w:shd w:val="clear" w:color="auto" w:fill="FFFFFF"/>
            <w:tcMar>
              <w:top w:w="57" w:type="dxa"/>
              <w:left w:w="57" w:type="dxa"/>
              <w:bottom w:w="57" w:type="dxa"/>
              <w:right w:w="57" w:type="dxa"/>
            </w:tcMar>
            <w:vAlign w:val="center"/>
          </w:tcPr>
          <w:p w14:paraId="2AF02934">
            <w:pPr>
              <w:keepNext/>
              <w:widowControl/>
              <w:adjustRightInd w:val="0"/>
              <w:snapToGrid w:val="0"/>
              <w:spacing w:line="240" w:lineRule="auto"/>
              <w:jc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预期性</w:t>
            </w:r>
          </w:p>
        </w:tc>
      </w:tr>
      <w:tr w14:paraId="66DC3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c>
          <w:tcPr>
            <w:tcW w:w="652" w:type="pct"/>
            <w:vMerge w:val="continue"/>
            <w:shd w:val="clear" w:color="auto" w:fill="FFFFFF"/>
            <w:tcMar>
              <w:top w:w="57" w:type="dxa"/>
              <w:left w:w="57" w:type="dxa"/>
              <w:bottom w:w="57" w:type="dxa"/>
              <w:right w:w="57" w:type="dxa"/>
            </w:tcMar>
            <w:vAlign w:val="center"/>
          </w:tcPr>
          <w:p w14:paraId="053318D6">
            <w:pPr>
              <w:keepNext/>
              <w:widowControl/>
              <w:adjustRightInd w:val="0"/>
              <w:snapToGrid w:val="0"/>
              <w:spacing w:line="240" w:lineRule="auto"/>
              <w:jc w:val="center"/>
              <w:rPr>
                <w:rFonts w:hint="default" w:ascii="Times New Roman" w:hAnsi="Times New Roman" w:cs="Times New Roman"/>
              </w:rPr>
            </w:pPr>
          </w:p>
        </w:tc>
        <w:tc>
          <w:tcPr>
            <w:tcW w:w="362" w:type="pct"/>
            <w:shd w:val="clear" w:color="auto" w:fill="FFFFFF"/>
            <w:tcMar>
              <w:top w:w="57" w:type="dxa"/>
              <w:left w:w="57" w:type="dxa"/>
              <w:bottom w:w="57" w:type="dxa"/>
              <w:right w:w="57" w:type="dxa"/>
            </w:tcMar>
            <w:vAlign w:val="center"/>
          </w:tcPr>
          <w:p w14:paraId="52D25BA3">
            <w:pPr>
              <w:keepNext/>
              <w:widowControl/>
              <w:numPr>
                <w:ilvl w:val="0"/>
                <w:numId w:val="0"/>
              </w:numPr>
              <w:adjustRightInd w:val="0"/>
              <w:snapToGrid w:val="0"/>
              <w:spacing w:line="240" w:lineRule="auto"/>
              <w:ind w:leftChars="0"/>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val="en-US" w:eastAsia="zh-CN" w:bidi="ar"/>
              </w:rPr>
              <w:t>11.</w:t>
            </w:r>
          </w:p>
        </w:tc>
        <w:tc>
          <w:tcPr>
            <w:tcW w:w="2969" w:type="pct"/>
            <w:shd w:val="clear" w:color="auto" w:fill="FFFFFF"/>
            <w:tcMar>
              <w:top w:w="57" w:type="dxa"/>
              <w:left w:w="57" w:type="dxa"/>
              <w:bottom w:w="57" w:type="dxa"/>
              <w:right w:w="57" w:type="dxa"/>
            </w:tcMar>
            <w:vAlign w:val="center"/>
          </w:tcPr>
          <w:p w14:paraId="4F422B73">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“大城管”平台建设（个）</w:t>
            </w:r>
          </w:p>
        </w:tc>
        <w:tc>
          <w:tcPr>
            <w:tcW w:w="509" w:type="pct"/>
            <w:shd w:val="clear" w:color="auto" w:fill="FFFFFF"/>
            <w:tcMar>
              <w:top w:w="57" w:type="dxa"/>
              <w:left w:w="57" w:type="dxa"/>
              <w:bottom w:w="57" w:type="dxa"/>
              <w:right w:w="57" w:type="dxa"/>
            </w:tcMar>
            <w:vAlign w:val="center"/>
          </w:tcPr>
          <w:p w14:paraId="138B935D">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1</w:t>
            </w:r>
          </w:p>
        </w:tc>
        <w:tc>
          <w:tcPr>
            <w:tcW w:w="506" w:type="pct"/>
            <w:shd w:val="clear" w:color="auto" w:fill="FFFFFF"/>
            <w:tcMar>
              <w:top w:w="57" w:type="dxa"/>
              <w:left w:w="57" w:type="dxa"/>
              <w:bottom w:w="57" w:type="dxa"/>
              <w:right w:w="57" w:type="dxa"/>
            </w:tcMar>
            <w:vAlign w:val="center"/>
          </w:tcPr>
          <w:p w14:paraId="00AE6342">
            <w:pPr>
              <w:keepNext/>
              <w:widowControl/>
              <w:adjustRightInd w:val="0"/>
              <w:snapToGrid w:val="0"/>
              <w:spacing w:line="240" w:lineRule="auto"/>
              <w:jc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约束性</w:t>
            </w:r>
          </w:p>
        </w:tc>
      </w:tr>
      <w:tr w14:paraId="36A6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c>
          <w:tcPr>
            <w:tcW w:w="652" w:type="pct"/>
            <w:vMerge w:val="continue"/>
            <w:shd w:val="clear" w:color="auto" w:fill="FFFFFF"/>
            <w:tcMar>
              <w:top w:w="57" w:type="dxa"/>
              <w:left w:w="57" w:type="dxa"/>
              <w:bottom w:w="57" w:type="dxa"/>
              <w:right w:w="57" w:type="dxa"/>
            </w:tcMar>
            <w:vAlign w:val="center"/>
          </w:tcPr>
          <w:p w14:paraId="734046B4">
            <w:pPr>
              <w:keepNext/>
              <w:widowControl/>
              <w:adjustRightInd w:val="0"/>
              <w:snapToGrid w:val="0"/>
              <w:spacing w:line="240" w:lineRule="auto"/>
              <w:jc w:val="center"/>
              <w:rPr>
                <w:rFonts w:hint="default" w:ascii="Times New Roman" w:hAnsi="Times New Roman" w:eastAsia="仿宋_GB2312" w:cs="Times New Roman"/>
                <w:kern w:val="0"/>
                <w:sz w:val="24"/>
                <w:szCs w:val="24"/>
                <w:lang w:bidi="ar"/>
              </w:rPr>
            </w:pPr>
          </w:p>
        </w:tc>
        <w:tc>
          <w:tcPr>
            <w:tcW w:w="362" w:type="pct"/>
            <w:shd w:val="clear" w:color="auto" w:fill="FFFFFF"/>
            <w:tcMar>
              <w:top w:w="57" w:type="dxa"/>
              <w:left w:w="57" w:type="dxa"/>
              <w:bottom w:w="57" w:type="dxa"/>
              <w:right w:w="57" w:type="dxa"/>
            </w:tcMar>
            <w:vAlign w:val="center"/>
          </w:tcPr>
          <w:p w14:paraId="38F447A0">
            <w:pPr>
              <w:keepNext/>
              <w:widowControl/>
              <w:numPr>
                <w:ilvl w:val="0"/>
                <w:numId w:val="0"/>
              </w:numPr>
              <w:adjustRightInd w:val="0"/>
              <w:snapToGrid w:val="0"/>
              <w:spacing w:line="240" w:lineRule="auto"/>
              <w:ind w:left="0" w:leftChars="0" w:firstLine="0" w:firstLine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12.</w:t>
            </w:r>
          </w:p>
        </w:tc>
        <w:tc>
          <w:tcPr>
            <w:tcW w:w="2969" w:type="pct"/>
            <w:shd w:val="clear" w:color="auto" w:fill="FFFFFF"/>
            <w:tcMar>
              <w:top w:w="57" w:type="dxa"/>
              <w:left w:w="57" w:type="dxa"/>
              <w:bottom w:w="57" w:type="dxa"/>
              <w:right w:w="57" w:type="dxa"/>
            </w:tcMar>
            <w:vAlign w:val="center"/>
          </w:tcPr>
          <w:p w14:paraId="5EE8E073">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群众诉求解决率与满意率（%）</w:t>
            </w:r>
          </w:p>
        </w:tc>
        <w:tc>
          <w:tcPr>
            <w:tcW w:w="509" w:type="pct"/>
            <w:shd w:val="clear" w:color="auto" w:fill="FFFFFF"/>
            <w:tcMar>
              <w:top w:w="57" w:type="dxa"/>
              <w:left w:w="57" w:type="dxa"/>
              <w:bottom w:w="57" w:type="dxa"/>
              <w:right w:w="57" w:type="dxa"/>
            </w:tcMar>
            <w:vAlign w:val="center"/>
          </w:tcPr>
          <w:p w14:paraId="6C3449A7">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&gt;98</w:t>
            </w:r>
          </w:p>
        </w:tc>
        <w:tc>
          <w:tcPr>
            <w:tcW w:w="506" w:type="pct"/>
            <w:shd w:val="clear" w:color="auto" w:fill="FFFFFF"/>
            <w:tcMar>
              <w:top w:w="57" w:type="dxa"/>
              <w:left w:w="57" w:type="dxa"/>
              <w:bottom w:w="57" w:type="dxa"/>
              <w:right w:w="57" w:type="dxa"/>
            </w:tcMar>
            <w:vAlign w:val="center"/>
          </w:tcPr>
          <w:p w14:paraId="42821D74">
            <w:pPr>
              <w:keepNext/>
              <w:widowControl/>
              <w:adjustRightInd w:val="0"/>
              <w:snapToGrid w:val="0"/>
              <w:spacing w:line="240" w:lineRule="auto"/>
              <w:jc w:val="center"/>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预期性</w:t>
            </w:r>
          </w:p>
        </w:tc>
      </w:tr>
      <w:tr w14:paraId="7615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c>
          <w:tcPr>
            <w:tcW w:w="652" w:type="pct"/>
            <w:vMerge w:val="restart"/>
            <w:shd w:val="clear" w:color="auto" w:fill="FFFFFF"/>
            <w:tcMar>
              <w:top w:w="57" w:type="dxa"/>
              <w:left w:w="57" w:type="dxa"/>
              <w:bottom w:w="57" w:type="dxa"/>
              <w:right w:w="57" w:type="dxa"/>
            </w:tcMar>
            <w:vAlign w:val="center"/>
          </w:tcPr>
          <w:p w14:paraId="0EADC574">
            <w:pPr>
              <w:keepNext/>
              <w:widowControl/>
              <w:adjustRightInd w:val="0"/>
              <w:snapToGrid w:val="0"/>
              <w:spacing w:line="240" w:lineRule="auto"/>
              <w:jc w:val="center"/>
              <w:rPr>
                <w:rFonts w:hint="default" w:ascii="Times New Roman" w:hAnsi="Times New Roman" w:eastAsia="仿宋_GB2312" w:cs="Times New Roman"/>
                <w:kern w:val="0"/>
                <w:sz w:val="24"/>
                <w:szCs w:val="24"/>
                <w:lang w:bidi="ar"/>
              </w:rPr>
            </w:pPr>
            <w:r>
              <w:rPr>
                <w:rFonts w:hint="default" w:ascii="Times New Roman" w:hAnsi="Times New Roman" w:eastAsia="仿宋_GB2312" w:cs="Times New Roman"/>
                <w:kern w:val="0"/>
                <w:sz w:val="24"/>
                <w:szCs w:val="24"/>
                <w:lang w:bidi="ar"/>
              </w:rPr>
              <w:t>多元参与</w:t>
            </w:r>
          </w:p>
        </w:tc>
        <w:tc>
          <w:tcPr>
            <w:tcW w:w="362" w:type="pct"/>
            <w:shd w:val="clear" w:color="auto" w:fill="FFFFFF"/>
            <w:tcMar>
              <w:top w:w="57" w:type="dxa"/>
              <w:left w:w="57" w:type="dxa"/>
              <w:bottom w:w="57" w:type="dxa"/>
              <w:right w:w="57" w:type="dxa"/>
            </w:tcMar>
            <w:vAlign w:val="center"/>
          </w:tcPr>
          <w:p w14:paraId="2993426B">
            <w:pPr>
              <w:keepNext/>
              <w:widowControl/>
              <w:numPr>
                <w:ilvl w:val="0"/>
                <w:numId w:val="0"/>
              </w:numPr>
              <w:adjustRightInd w:val="0"/>
              <w:snapToGrid w:val="0"/>
              <w:spacing w:line="240" w:lineRule="auto"/>
              <w:ind w:left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13.</w:t>
            </w:r>
          </w:p>
        </w:tc>
        <w:tc>
          <w:tcPr>
            <w:tcW w:w="2969" w:type="pct"/>
            <w:shd w:val="clear" w:color="auto" w:fill="FFFFFF"/>
            <w:tcMar>
              <w:top w:w="57" w:type="dxa"/>
              <w:left w:w="57" w:type="dxa"/>
              <w:bottom w:w="57" w:type="dxa"/>
              <w:right w:w="57" w:type="dxa"/>
            </w:tcMar>
            <w:vAlign w:val="center"/>
          </w:tcPr>
          <w:p w14:paraId="7FBD8278">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市场主体落格率（%）</w:t>
            </w:r>
          </w:p>
        </w:tc>
        <w:tc>
          <w:tcPr>
            <w:tcW w:w="509" w:type="pct"/>
            <w:shd w:val="clear" w:color="auto" w:fill="FFFFFF"/>
            <w:tcMar>
              <w:top w:w="57" w:type="dxa"/>
              <w:left w:w="57" w:type="dxa"/>
              <w:bottom w:w="57" w:type="dxa"/>
              <w:right w:w="57" w:type="dxa"/>
            </w:tcMar>
            <w:vAlign w:val="center"/>
          </w:tcPr>
          <w:p w14:paraId="06B5B57F">
            <w:pPr>
              <w:keepNext/>
              <w:widowControl/>
              <w:adjustRightInd w:val="0"/>
              <w:snapToGrid w:val="0"/>
              <w:spacing w:line="240" w:lineRule="auto"/>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90</w:t>
            </w:r>
          </w:p>
        </w:tc>
        <w:tc>
          <w:tcPr>
            <w:tcW w:w="506" w:type="pct"/>
            <w:shd w:val="clear" w:color="auto" w:fill="FFFFFF"/>
            <w:tcMar>
              <w:top w:w="57" w:type="dxa"/>
              <w:left w:w="57" w:type="dxa"/>
              <w:bottom w:w="57" w:type="dxa"/>
              <w:right w:w="57" w:type="dxa"/>
            </w:tcMar>
            <w:vAlign w:val="center"/>
          </w:tcPr>
          <w:p w14:paraId="0902555B">
            <w:pPr>
              <w:keepNext/>
              <w:widowControl/>
              <w:adjustRightInd w:val="0"/>
              <w:snapToGrid w:val="0"/>
              <w:spacing w:line="240" w:lineRule="auto"/>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0"/>
                <w:sz w:val="24"/>
                <w:szCs w:val="24"/>
                <w:lang w:bidi="ar"/>
              </w:rPr>
              <w:t>预期性</w:t>
            </w:r>
          </w:p>
        </w:tc>
      </w:tr>
      <w:tr w14:paraId="6489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c>
          <w:tcPr>
            <w:tcW w:w="652" w:type="pct"/>
            <w:vMerge w:val="continue"/>
            <w:shd w:val="clear" w:color="auto" w:fill="FFFFFF"/>
            <w:tcMar>
              <w:top w:w="57" w:type="dxa"/>
              <w:left w:w="57" w:type="dxa"/>
              <w:bottom w:w="57" w:type="dxa"/>
              <w:right w:w="57" w:type="dxa"/>
            </w:tcMar>
            <w:vAlign w:val="center"/>
          </w:tcPr>
          <w:p w14:paraId="2D324DA3">
            <w:pPr>
              <w:keepNext/>
              <w:widowControl/>
              <w:adjustRightInd w:val="0"/>
              <w:snapToGrid w:val="0"/>
              <w:spacing w:line="240" w:lineRule="auto"/>
              <w:jc w:val="center"/>
              <w:rPr>
                <w:rFonts w:hint="default" w:ascii="Times New Roman" w:hAnsi="Times New Roman" w:eastAsia="仿宋_GB2312" w:cs="Times New Roman"/>
                <w:kern w:val="0"/>
                <w:sz w:val="24"/>
                <w:szCs w:val="24"/>
                <w:lang w:bidi="ar"/>
              </w:rPr>
            </w:pPr>
          </w:p>
        </w:tc>
        <w:tc>
          <w:tcPr>
            <w:tcW w:w="362" w:type="pct"/>
            <w:shd w:val="clear" w:color="auto" w:fill="FFFFFF"/>
            <w:tcMar>
              <w:top w:w="57" w:type="dxa"/>
              <w:left w:w="57" w:type="dxa"/>
              <w:bottom w:w="57" w:type="dxa"/>
              <w:right w:w="57" w:type="dxa"/>
            </w:tcMar>
            <w:vAlign w:val="center"/>
          </w:tcPr>
          <w:p w14:paraId="733044F0">
            <w:pPr>
              <w:keepNext/>
              <w:widowControl/>
              <w:numPr>
                <w:ilvl w:val="0"/>
                <w:numId w:val="0"/>
              </w:numPr>
              <w:adjustRightInd w:val="0"/>
              <w:snapToGrid w:val="0"/>
              <w:spacing w:line="240" w:lineRule="auto"/>
              <w:ind w:left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14.</w:t>
            </w:r>
          </w:p>
        </w:tc>
        <w:tc>
          <w:tcPr>
            <w:tcW w:w="2969" w:type="pct"/>
            <w:shd w:val="clear" w:color="auto" w:fill="FFFFFF"/>
            <w:tcMar>
              <w:top w:w="57" w:type="dxa"/>
              <w:left w:w="57" w:type="dxa"/>
              <w:bottom w:w="57" w:type="dxa"/>
              <w:right w:w="57" w:type="dxa"/>
            </w:tcMar>
            <w:vAlign w:val="center"/>
          </w:tcPr>
          <w:p w14:paraId="40318B8A">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市场主体动态更新频率（次/月）</w:t>
            </w:r>
          </w:p>
        </w:tc>
        <w:tc>
          <w:tcPr>
            <w:tcW w:w="509" w:type="pct"/>
            <w:shd w:val="clear" w:color="auto" w:fill="FFFFFF"/>
            <w:tcMar>
              <w:top w:w="57" w:type="dxa"/>
              <w:left w:w="57" w:type="dxa"/>
              <w:bottom w:w="57" w:type="dxa"/>
              <w:right w:w="57" w:type="dxa"/>
            </w:tcMar>
            <w:vAlign w:val="center"/>
          </w:tcPr>
          <w:p w14:paraId="2E81934E">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1</w:t>
            </w:r>
          </w:p>
        </w:tc>
        <w:tc>
          <w:tcPr>
            <w:tcW w:w="506" w:type="pct"/>
            <w:shd w:val="clear" w:color="auto" w:fill="FFFFFF"/>
            <w:tcMar>
              <w:top w:w="57" w:type="dxa"/>
              <w:left w:w="57" w:type="dxa"/>
              <w:bottom w:w="57" w:type="dxa"/>
              <w:right w:w="57" w:type="dxa"/>
            </w:tcMar>
            <w:vAlign w:val="center"/>
          </w:tcPr>
          <w:p w14:paraId="3F394F54">
            <w:pPr>
              <w:keepNext/>
              <w:widowControl/>
              <w:adjustRightInd w:val="0"/>
              <w:snapToGrid w:val="0"/>
              <w:spacing w:line="240" w:lineRule="auto"/>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0"/>
                <w:sz w:val="24"/>
                <w:szCs w:val="24"/>
                <w:lang w:bidi="ar"/>
              </w:rPr>
              <w:t>预期性</w:t>
            </w:r>
          </w:p>
        </w:tc>
      </w:tr>
      <w:tr w14:paraId="47BD0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7" w:type="dxa"/>
            <w:left w:w="17" w:type="dxa"/>
            <w:bottom w:w="17" w:type="dxa"/>
            <w:right w:w="17" w:type="dxa"/>
          </w:tblCellMar>
        </w:tblPrEx>
        <w:tc>
          <w:tcPr>
            <w:tcW w:w="652" w:type="pct"/>
            <w:vMerge w:val="continue"/>
            <w:shd w:val="clear" w:color="auto" w:fill="FFFFFF"/>
            <w:tcMar>
              <w:top w:w="57" w:type="dxa"/>
              <w:left w:w="57" w:type="dxa"/>
              <w:bottom w:w="57" w:type="dxa"/>
              <w:right w:w="57" w:type="dxa"/>
            </w:tcMar>
            <w:vAlign w:val="center"/>
          </w:tcPr>
          <w:p w14:paraId="27FA2875">
            <w:pPr>
              <w:keepNext/>
              <w:widowControl/>
              <w:adjustRightInd w:val="0"/>
              <w:snapToGrid w:val="0"/>
              <w:spacing w:line="240" w:lineRule="auto"/>
              <w:jc w:val="center"/>
              <w:rPr>
                <w:rFonts w:hint="default" w:ascii="Times New Roman" w:hAnsi="Times New Roman" w:eastAsia="仿宋_GB2312" w:cs="Times New Roman"/>
                <w:kern w:val="0"/>
                <w:sz w:val="24"/>
                <w:szCs w:val="24"/>
                <w:lang w:bidi="ar"/>
              </w:rPr>
            </w:pPr>
          </w:p>
        </w:tc>
        <w:tc>
          <w:tcPr>
            <w:tcW w:w="362" w:type="pct"/>
            <w:shd w:val="clear" w:color="auto" w:fill="FFFFFF"/>
            <w:tcMar>
              <w:top w:w="57" w:type="dxa"/>
              <w:left w:w="57" w:type="dxa"/>
              <w:bottom w:w="57" w:type="dxa"/>
              <w:right w:w="57" w:type="dxa"/>
            </w:tcMar>
            <w:vAlign w:val="center"/>
          </w:tcPr>
          <w:p w14:paraId="47BC0DA9">
            <w:pPr>
              <w:keepNext/>
              <w:widowControl/>
              <w:numPr>
                <w:ilvl w:val="0"/>
                <w:numId w:val="0"/>
              </w:numPr>
              <w:adjustRightInd w:val="0"/>
              <w:snapToGrid w:val="0"/>
              <w:spacing w:line="240" w:lineRule="auto"/>
              <w:ind w:left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15.</w:t>
            </w:r>
          </w:p>
        </w:tc>
        <w:tc>
          <w:tcPr>
            <w:tcW w:w="2969" w:type="pct"/>
            <w:shd w:val="clear" w:color="auto" w:fill="FFFFFF"/>
            <w:tcMar>
              <w:top w:w="57" w:type="dxa"/>
              <w:left w:w="57" w:type="dxa"/>
              <w:bottom w:w="57" w:type="dxa"/>
              <w:right w:w="57" w:type="dxa"/>
            </w:tcMar>
            <w:vAlign w:val="center"/>
          </w:tcPr>
          <w:p w14:paraId="3E3ABD5E">
            <w:pPr>
              <w:keepNext/>
              <w:widowControl/>
              <w:adjustRightInd w:val="0"/>
              <w:snapToGrid w:val="0"/>
              <w:spacing w:line="240" w:lineRule="auto"/>
              <w:jc w:val="left"/>
              <w:rPr>
                <w:rFonts w:hint="default" w:ascii="Times New Roman" w:hAnsi="Times New Roman" w:eastAsia="仿宋_GB2312" w:cs="Times New Roman"/>
                <w:kern w:val="0"/>
                <w:sz w:val="24"/>
                <w:szCs w:val="24"/>
                <w:lang w:val="en-US" w:eastAsia="zh-CN" w:bidi="ar"/>
              </w:rPr>
            </w:pPr>
            <w:r>
              <w:rPr>
                <w:rFonts w:hint="default" w:ascii="Times New Roman" w:hAnsi="Times New Roman" w:eastAsia="仿宋_GB2312" w:cs="Times New Roman"/>
                <w:kern w:val="0"/>
                <w:sz w:val="24"/>
                <w:szCs w:val="24"/>
                <w:lang w:bidi="ar"/>
              </w:rPr>
              <w:t>居民参与网格治理活动</w:t>
            </w:r>
            <w:r>
              <w:rPr>
                <w:rFonts w:hint="default" w:ascii="Times New Roman" w:hAnsi="Times New Roman" w:eastAsia="仿宋_GB2312" w:cs="Times New Roman"/>
                <w:sz w:val="24"/>
                <w:szCs w:val="24"/>
              </w:rPr>
              <w:t>（次</w:t>
            </w:r>
            <w:r>
              <w:rPr>
                <w:rFonts w:hint="default" w:ascii="Times New Roman" w:hAnsi="Times New Roman" w:eastAsia="仿宋_GB2312" w:cs="Times New Roman"/>
                <w:kern w:val="0"/>
                <w:sz w:val="24"/>
                <w:szCs w:val="24"/>
                <w:lang w:bidi="ar"/>
              </w:rPr>
              <w:t>/季度</w:t>
            </w:r>
            <w:r>
              <w:rPr>
                <w:rFonts w:hint="default" w:ascii="Times New Roman" w:hAnsi="Times New Roman" w:eastAsia="仿宋_GB2312" w:cs="Times New Roman"/>
                <w:sz w:val="24"/>
                <w:szCs w:val="24"/>
              </w:rPr>
              <w:t>）</w:t>
            </w:r>
          </w:p>
        </w:tc>
        <w:tc>
          <w:tcPr>
            <w:tcW w:w="509" w:type="pct"/>
            <w:shd w:val="clear" w:color="auto" w:fill="FFFFFF"/>
            <w:tcMar>
              <w:top w:w="57" w:type="dxa"/>
              <w:left w:w="57" w:type="dxa"/>
              <w:bottom w:w="57" w:type="dxa"/>
              <w:right w:w="57" w:type="dxa"/>
            </w:tcMar>
            <w:vAlign w:val="center"/>
          </w:tcPr>
          <w:p w14:paraId="06A2F2D6">
            <w:pPr>
              <w:keepNext/>
              <w:widowControl/>
              <w:adjustRightInd w:val="0"/>
              <w:snapToGrid w:val="0"/>
              <w:spacing w:line="240" w:lineRule="auto"/>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1</w:t>
            </w:r>
          </w:p>
        </w:tc>
        <w:tc>
          <w:tcPr>
            <w:tcW w:w="506" w:type="pct"/>
            <w:shd w:val="clear" w:color="auto" w:fill="FFFFFF"/>
            <w:tcMar>
              <w:top w:w="57" w:type="dxa"/>
              <w:left w:w="57" w:type="dxa"/>
              <w:bottom w:w="57" w:type="dxa"/>
              <w:right w:w="57" w:type="dxa"/>
            </w:tcMar>
            <w:vAlign w:val="center"/>
          </w:tcPr>
          <w:p w14:paraId="13986FA6">
            <w:pPr>
              <w:keepNext/>
              <w:widowControl/>
              <w:adjustRightInd w:val="0"/>
              <w:snapToGrid w:val="0"/>
              <w:spacing w:line="240" w:lineRule="auto"/>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0"/>
                <w:sz w:val="24"/>
                <w:szCs w:val="24"/>
                <w:lang w:bidi="ar"/>
              </w:rPr>
              <w:t>预期性</w:t>
            </w:r>
          </w:p>
        </w:tc>
      </w:tr>
    </w:tbl>
    <w:p w14:paraId="7805E99B">
      <w:pPr>
        <w:adjustRightInd w:val="0"/>
        <w:snapToGrid w:val="0"/>
        <w:spacing w:line="560" w:lineRule="exact"/>
        <w:ind w:firstLine="720"/>
        <w:jc w:val="center"/>
        <w:rPr>
          <w:rFonts w:hint="default" w:ascii="Times New Roman" w:hAnsi="Times New Roman" w:eastAsia="黑体" w:cs="Times New Roman"/>
          <w:sz w:val="36"/>
          <w:szCs w:val="36"/>
        </w:rPr>
      </w:pPr>
    </w:p>
    <w:p w14:paraId="46AE2F5F">
      <w:pPr>
        <w:pStyle w:val="2"/>
        <w:pageBreakBefore w:val="0"/>
        <w:widowControl w:val="0"/>
        <w:kinsoku/>
        <w:wordWrap/>
        <w:topLinePunct w:val="0"/>
        <w:autoSpaceDE/>
        <w:autoSpaceDN/>
        <w:bidi w:val="0"/>
        <w:adjustRightInd w:val="0"/>
        <w:snapToGrid w:val="0"/>
        <w:spacing w:line="550" w:lineRule="exact"/>
        <w:textAlignment w:val="auto"/>
        <w:rPr>
          <w:rFonts w:hint="default" w:ascii="Times New Roman" w:hAnsi="Times New Roman" w:cs="Times New Roman"/>
        </w:rPr>
      </w:pPr>
      <w:bookmarkStart w:id="64" w:name="_Toc1125697149"/>
      <w:bookmarkStart w:id="65" w:name="_Toc12245"/>
      <w:bookmarkStart w:id="66" w:name="_Toc1529617887"/>
      <w:bookmarkStart w:id="67" w:name="_Toc11004"/>
      <w:bookmarkStart w:id="68" w:name="_Toc229585512"/>
      <w:bookmarkStart w:id="69" w:name="_Toc12034"/>
      <w:r>
        <w:rPr>
          <w:rFonts w:hint="default" w:ascii="Times New Roman" w:hAnsi="Times New Roman" w:cs="Times New Roman"/>
        </w:rPr>
        <w:t>第三章 “十五五”时期主要任务</w:t>
      </w:r>
      <w:bookmarkEnd w:id="64"/>
      <w:bookmarkEnd w:id="65"/>
      <w:bookmarkEnd w:id="66"/>
      <w:bookmarkEnd w:id="67"/>
      <w:bookmarkEnd w:id="68"/>
      <w:bookmarkEnd w:id="69"/>
    </w:p>
    <w:p w14:paraId="1A89169C">
      <w:pPr>
        <w:pStyle w:val="3"/>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cs="Times New Roman"/>
        </w:rPr>
      </w:pPr>
      <w:bookmarkStart w:id="70" w:name="_Toc420718172"/>
      <w:bookmarkStart w:id="71" w:name="_Toc229585513"/>
      <w:bookmarkStart w:id="72" w:name="_Toc25560"/>
      <w:bookmarkStart w:id="73" w:name="_Toc25562"/>
      <w:bookmarkStart w:id="74" w:name="_Toc9676"/>
    </w:p>
    <w:p w14:paraId="651647A5">
      <w:pPr>
        <w:pStyle w:val="3"/>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cs="Times New Roman"/>
        </w:rPr>
      </w:pPr>
      <w:bookmarkStart w:id="75" w:name="_Toc851658798"/>
      <w:r>
        <w:rPr>
          <w:rFonts w:hint="default" w:ascii="Times New Roman" w:hAnsi="Times New Roman" w:cs="Times New Roman"/>
        </w:rPr>
        <w:t>一、</w:t>
      </w:r>
      <w:r>
        <w:rPr>
          <w:rFonts w:hint="default" w:ascii="Times New Roman" w:hAnsi="Times New Roman" w:cs="Times New Roman"/>
          <w:lang w:val="en-US" w:eastAsia="zh-CN"/>
        </w:rPr>
        <w:t>完善体系建设，夯实治理基础</w:t>
      </w:r>
      <w:bookmarkEnd w:id="70"/>
      <w:bookmarkEnd w:id="71"/>
      <w:bookmarkEnd w:id="72"/>
      <w:bookmarkEnd w:id="73"/>
      <w:bookmarkEnd w:id="74"/>
      <w:bookmarkEnd w:id="75"/>
    </w:p>
    <w:p w14:paraId="6E97AF9E">
      <w:pPr>
        <w:pStyle w:val="4"/>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cs="Times New Roman"/>
        </w:rPr>
      </w:pPr>
      <w:bookmarkStart w:id="76" w:name="_Toc2055010820"/>
      <w:bookmarkStart w:id="77" w:name="_Toc8236"/>
      <w:bookmarkStart w:id="78" w:name="_Toc18426"/>
      <w:bookmarkStart w:id="79" w:name="_Toc23203"/>
      <w:bookmarkStart w:id="80" w:name="_Toc1575887971"/>
      <w:bookmarkStart w:id="81" w:name="_Toc229585514"/>
      <w:r>
        <w:rPr>
          <w:rFonts w:hint="default" w:ascii="Times New Roman" w:hAnsi="Times New Roman" w:cs="Times New Roman"/>
        </w:rPr>
        <w:t>（一）党建引领网格治理，夯实组织基础</w:t>
      </w:r>
      <w:bookmarkEnd w:id="76"/>
      <w:bookmarkEnd w:id="77"/>
      <w:bookmarkEnd w:id="78"/>
      <w:bookmarkEnd w:id="79"/>
    </w:p>
    <w:bookmarkEnd w:id="80"/>
    <w:bookmarkEnd w:id="81"/>
    <w:p w14:paraId="30FCC2E3">
      <w:pPr>
        <w:pageBreakBefore w:val="0"/>
        <w:widowControl w:val="0"/>
        <w:kinsoku/>
        <w:wordWrap/>
        <w:overflowPunct w:val="0"/>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推动党的组织和工作向小区、楼门、院落、网格延伸，完善“社区</w:t>
      </w:r>
      <w:r>
        <w:rPr>
          <w:rFonts w:hint="default" w:ascii="Times New Roman" w:hAnsi="Times New Roman" w:eastAsia="仿宋_GB2312" w:cs="Times New Roman"/>
          <w:sz w:val="32"/>
          <w:szCs w:val="32"/>
          <w:lang w:eastAsia="zh-CN"/>
        </w:rPr>
        <w:t>党委（</w:t>
      </w:r>
      <w:r>
        <w:rPr>
          <w:rFonts w:hint="default" w:ascii="Times New Roman" w:hAnsi="Times New Roman" w:eastAsia="仿宋_GB2312" w:cs="Times New Roman"/>
          <w:sz w:val="32"/>
          <w:szCs w:val="32"/>
        </w:rPr>
        <w:t>党总支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＋小区党支部＋网格党小组”三级架构，实现网格党组织应建尽建。推动党组织向业委会、物业企业、社区社会组织覆盖，将新就业群体纳入治理体系。引导成员单位参与网格</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治理，推动机关企事业单位与街道社区联建共建，组织党员干部下沉参与网格化治理。动态优化网格设置，</w:t>
      </w:r>
      <w:r>
        <w:rPr>
          <w:rFonts w:hint="default" w:ascii="Times New Roman" w:hAnsi="Times New Roman" w:eastAsia="仿宋_GB2312" w:cs="Times New Roman"/>
          <w:sz w:val="32"/>
          <w:szCs w:val="32"/>
          <w:lang w:val="en-US" w:eastAsia="zh-CN"/>
        </w:rPr>
        <w:t>对齐</w:t>
      </w:r>
      <w:r>
        <w:rPr>
          <w:rFonts w:hint="default" w:ascii="Times New Roman" w:hAnsi="Times New Roman" w:eastAsia="仿宋_GB2312" w:cs="Times New Roman"/>
          <w:sz w:val="32"/>
          <w:szCs w:val="32"/>
        </w:rPr>
        <w:t>各</w:t>
      </w:r>
      <w:r>
        <w:rPr>
          <w:rFonts w:hint="default" w:ascii="Times New Roman" w:hAnsi="Times New Roman" w:eastAsia="仿宋_GB2312" w:cs="Times New Roman"/>
          <w:sz w:val="32"/>
          <w:szCs w:val="32"/>
          <w:lang w:val="en-US" w:eastAsia="zh-CN"/>
        </w:rPr>
        <w:t>相关</w:t>
      </w:r>
      <w:r>
        <w:rPr>
          <w:rFonts w:hint="default" w:ascii="Times New Roman" w:hAnsi="Times New Roman" w:eastAsia="仿宋_GB2312" w:cs="Times New Roman"/>
          <w:sz w:val="32"/>
          <w:szCs w:val="32"/>
        </w:rPr>
        <w:t>部门最小空间管理单元，细化基础网格与专属网格分类。针对胡同平房、老旧小区、央产军产、无物业失管住区等特殊类型网格制定差异化事项清单、巡查频次和评价标准。对产业园区、商业综合体、商务楼宇等复杂区域单独划分专属网格，动态调整网格边界。</w:t>
      </w:r>
    </w:p>
    <w:p w14:paraId="1FBBA2B2">
      <w:pPr>
        <w:pStyle w:val="4"/>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cs="Times New Roman"/>
        </w:rPr>
      </w:pPr>
      <w:bookmarkStart w:id="82" w:name="_Toc1363452925"/>
      <w:bookmarkStart w:id="83" w:name="_Toc796436420"/>
      <w:bookmarkStart w:id="84" w:name="_Toc26122"/>
      <w:bookmarkStart w:id="85" w:name="_Toc11456"/>
      <w:bookmarkStart w:id="86" w:name="_Toc229585515"/>
      <w:bookmarkStart w:id="87" w:name="_Toc29063"/>
      <w:r>
        <w:rPr>
          <w:rFonts w:hint="default" w:ascii="Times New Roman" w:hAnsi="Times New Roman" w:cs="Times New Roman"/>
        </w:rPr>
        <w:t>（二）</w:t>
      </w:r>
      <w:r>
        <w:rPr>
          <w:rFonts w:hint="default" w:ascii="Times New Roman" w:hAnsi="Times New Roman" w:cs="Times New Roman"/>
          <w:lang w:val="en-US" w:eastAsia="zh-CN"/>
        </w:rPr>
        <w:t>推动平台业务归结</w:t>
      </w:r>
      <w:r>
        <w:rPr>
          <w:rFonts w:hint="default" w:ascii="Times New Roman" w:hAnsi="Times New Roman" w:cs="Times New Roman"/>
        </w:rPr>
        <w:t>，夯实</w:t>
      </w:r>
      <w:r>
        <w:rPr>
          <w:rFonts w:hint="default" w:ascii="Times New Roman" w:hAnsi="Times New Roman" w:cs="Times New Roman"/>
          <w:lang w:val="en-US" w:eastAsia="zh-CN"/>
        </w:rPr>
        <w:t>协作</w:t>
      </w:r>
      <w:r>
        <w:rPr>
          <w:rFonts w:hint="default" w:ascii="Times New Roman" w:hAnsi="Times New Roman" w:cs="Times New Roman"/>
        </w:rPr>
        <w:t>基础</w:t>
      </w:r>
      <w:bookmarkEnd w:id="82"/>
      <w:bookmarkEnd w:id="83"/>
      <w:bookmarkEnd w:id="84"/>
      <w:bookmarkEnd w:id="85"/>
      <w:bookmarkEnd w:id="86"/>
      <w:bookmarkEnd w:id="87"/>
    </w:p>
    <w:p w14:paraId="13A3E2ED">
      <w:pPr>
        <w:pageBreakBefore w:val="0"/>
        <w:widowControl w:val="0"/>
        <w:kinsoku/>
        <w:wordWrap/>
        <w:overflowPunct w:val="0"/>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开放网格化平台接口，开发多功能模块，推动经济建设、公共服务、城市管理、社会治理等事项在平台流转，加快构建“横向到边、纵向到底、条块协作”的网格化平台。征询各街道、部门需求建议，有序更新平台功能，推动更多条线工作由网格化平台承接。</w:t>
      </w:r>
      <w:r>
        <w:rPr>
          <w:rFonts w:hint="default" w:ascii="Times New Roman" w:hAnsi="Times New Roman" w:eastAsia="仿宋_GB2312" w:cs="Times New Roman"/>
          <w:sz w:val="32"/>
          <w:szCs w:val="32"/>
          <w:lang w:eastAsia="zh-CN"/>
        </w:rPr>
        <w:t>根据</w:t>
      </w:r>
      <w:r>
        <w:rPr>
          <w:rFonts w:hint="default" w:ascii="Times New Roman" w:hAnsi="Times New Roman" w:eastAsia="仿宋_GB2312" w:cs="Times New Roman"/>
          <w:sz w:val="32"/>
          <w:szCs w:val="32"/>
          <w:lang w:val="en-US" w:eastAsia="zh-CN"/>
        </w:rPr>
        <w:t>工作</w:t>
      </w:r>
      <w:r>
        <w:rPr>
          <w:rFonts w:hint="default" w:ascii="Times New Roman" w:hAnsi="Times New Roman" w:eastAsia="仿宋_GB2312" w:cs="Times New Roman"/>
          <w:sz w:val="32"/>
          <w:szCs w:val="32"/>
          <w:lang w:eastAsia="zh-CN"/>
        </w:rPr>
        <w:t>需要，</w:t>
      </w:r>
      <w:r>
        <w:rPr>
          <w:rFonts w:hint="default" w:ascii="Times New Roman" w:hAnsi="Times New Roman" w:eastAsia="仿宋_GB2312" w:cs="Times New Roman"/>
          <w:sz w:val="32"/>
          <w:szCs w:val="32"/>
        </w:rPr>
        <w:t>制定网格化治理</w:t>
      </w:r>
      <w:r>
        <w:rPr>
          <w:rFonts w:hint="default" w:ascii="Times New Roman" w:hAnsi="Times New Roman" w:eastAsia="仿宋_GB2312" w:cs="Times New Roman"/>
          <w:sz w:val="32"/>
          <w:szCs w:val="32"/>
          <w:lang w:val="en-US" w:eastAsia="zh-CN"/>
        </w:rPr>
        <w:t>专项工作方案</w:t>
      </w:r>
      <w:r>
        <w:rPr>
          <w:rFonts w:hint="default" w:ascii="Times New Roman" w:hAnsi="Times New Roman" w:eastAsia="仿宋_GB2312" w:cs="Times New Roman"/>
          <w:sz w:val="32"/>
          <w:szCs w:val="32"/>
        </w:rPr>
        <w:t>，明确工作内容、流程、准入机制、职责分工和保障措施。落实市级城市管理要求，推进网格划分、部件</w:t>
      </w:r>
      <w:r>
        <w:rPr>
          <w:rFonts w:hint="default" w:ascii="Times New Roman" w:hAnsi="Times New Roman" w:eastAsia="仿宋_GB2312" w:cs="Times New Roman"/>
          <w:sz w:val="32"/>
          <w:szCs w:val="32"/>
          <w:lang w:eastAsia="zh-CN"/>
        </w:rPr>
        <w:t>信息采集</w:t>
      </w:r>
      <w:r>
        <w:rPr>
          <w:rFonts w:hint="default" w:ascii="Times New Roman" w:hAnsi="Times New Roman" w:eastAsia="仿宋_GB2312" w:cs="Times New Roman"/>
          <w:sz w:val="32"/>
          <w:szCs w:val="32"/>
        </w:rPr>
        <w:t>，完善“高效派发、按责转办、督查督办、限时反馈”闭环流程。</w:t>
      </w:r>
    </w:p>
    <w:p w14:paraId="39AD0164">
      <w:pPr>
        <w:pStyle w:val="4"/>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cs="Times New Roman"/>
        </w:rPr>
      </w:pPr>
      <w:bookmarkStart w:id="88" w:name="_Toc14525"/>
      <w:bookmarkStart w:id="89" w:name="_Toc488419424"/>
      <w:bookmarkStart w:id="90" w:name="_Toc1807157468"/>
      <w:bookmarkStart w:id="91" w:name="_Toc229585516"/>
      <w:bookmarkStart w:id="92" w:name="_Toc31772"/>
      <w:bookmarkStart w:id="93" w:name="_Toc16304"/>
      <w:r>
        <w:rPr>
          <w:rFonts w:hint="default" w:ascii="Times New Roman" w:hAnsi="Times New Roman" w:cs="Times New Roman"/>
        </w:rPr>
        <w:t>（三）顺畅网格纵横</w:t>
      </w:r>
      <w:r>
        <w:rPr>
          <w:rFonts w:hint="default" w:ascii="Times New Roman" w:hAnsi="Times New Roman" w:cs="Times New Roman"/>
          <w:lang w:val="en-US" w:eastAsia="zh-CN"/>
        </w:rPr>
        <w:t>架构</w:t>
      </w:r>
      <w:r>
        <w:rPr>
          <w:rFonts w:hint="default" w:ascii="Times New Roman" w:hAnsi="Times New Roman" w:cs="Times New Roman"/>
        </w:rPr>
        <w:t>，夯实</w:t>
      </w:r>
      <w:r>
        <w:rPr>
          <w:rFonts w:hint="default" w:ascii="Times New Roman" w:hAnsi="Times New Roman" w:cs="Times New Roman"/>
          <w:lang w:val="en-US" w:eastAsia="zh-CN"/>
        </w:rPr>
        <w:t>运转</w:t>
      </w:r>
      <w:r>
        <w:rPr>
          <w:rFonts w:hint="default" w:ascii="Times New Roman" w:hAnsi="Times New Roman" w:cs="Times New Roman"/>
        </w:rPr>
        <w:t>基础</w:t>
      </w:r>
      <w:bookmarkEnd w:id="88"/>
      <w:bookmarkEnd w:id="89"/>
      <w:bookmarkEnd w:id="90"/>
      <w:bookmarkEnd w:id="91"/>
      <w:bookmarkEnd w:id="92"/>
      <w:bookmarkEnd w:id="93"/>
    </w:p>
    <w:p w14:paraId="42150FBF">
      <w:pPr>
        <w:pageBreakBefore w:val="0"/>
        <w:widowControl w:val="0"/>
        <w:kinsoku/>
        <w:wordWrap/>
        <w:overflowPunct w:val="0"/>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动态优化大、小、微三级循环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建立基于网格生态的监督体系</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探索按事项的分级、分层、分责监管处置</w:t>
      </w:r>
      <w:r>
        <w:rPr>
          <w:rFonts w:hint="default" w:ascii="Times New Roman" w:hAnsi="Times New Roman" w:eastAsia="仿宋_GB2312" w:cs="Times New Roman"/>
          <w:sz w:val="32"/>
          <w:szCs w:val="32"/>
          <w:lang w:eastAsia="zh-CN"/>
        </w:rPr>
        <w:t>。发挥大循环统筹协调和数据渠道优势，强化区级部门与网格平台业务对接，完善派单、协调、处置、监督闭环。落实领导包网格，鼓励街道、社区层面案件通过小、微循环解决，减少行政成本。持续规范小循环上报质量，提升监管质效。坚持监督与处置分离，构建“一网统管、多方监督、高效处置”协同格局。健全“网格+行业”工作体系，各行业部门灵活组合“行业网格”，实现网格与运行管理事项同步。</w:t>
      </w:r>
    </w:p>
    <w:p w14:paraId="7331AB4A">
      <w:pPr>
        <w:pStyle w:val="4"/>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cs="Times New Roman"/>
        </w:rPr>
      </w:pPr>
      <w:bookmarkStart w:id="94" w:name="_Toc229585517"/>
      <w:bookmarkStart w:id="95" w:name="_Toc1738302457"/>
      <w:bookmarkStart w:id="96" w:name="_Toc6536"/>
      <w:bookmarkStart w:id="97" w:name="_Toc27484"/>
      <w:bookmarkStart w:id="98" w:name="_Toc21858"/>
      <w:bookmarkStart w:id="99" w:name="_Toc130439021"/>
      <w:r>
        <w:rPr>
          <w:rFonts w:hint="default" w:ascii="Times New Roman" w:hAnsi="Times New Roman" w:cs="Times New Roman"/>
        </w:rPr>
        <w:t>（四）完善网格运行机制，夯实</w:t>
      </w:r>
      <w:r>
        <w:rPr>
          <w:rFonts w:hint="default" w:ascii="Times New Roman" w:hAnsi="Times New Roman" w:cs="Times New Roman"/>
          <w:lang w:val="en-US" w:eastAsia="zh-CN"/>
        </w:rPr>
        <w:t>工作</w:t>
      </w:r>
      <w:r>
        <w:rPr>
          <w:rFonts w:hint="default" w:ascii="Times New Roman" w:hAnsi="Times New Roman" w:cs="Times New Roman"/>
        </w:rPr>
        <w:t>基础</w:t>
      </w:r>
      <w:bookmarkEnd w:id="94"/>
      <w:bookmarkEnd w:id="95"/>
      <w:bookmarkEnd w:id="96"/>
      <w:bookmarkEnd w:id="97"/>
      <w:bookmarkEnd w:id="98"/>
      <w:bookmarkEnd w:id="99"/>
    </w:p>
    <w:p w14:paraId="53B4698D">
      <w:pPr>
        <w:pageBreakBefore w:val="0"/>
        <w:widowControl w:val="0"/>
        <w:kinsoku/>
        <w:wordWrap/>
        <w:overflowPunct w:val="0"/>
        <w:topLinePunct w:val="0"/>
        <w:autoSpaceDE/>
        <w:autoSpaceDN/>
        <w:bidi w:val="0"/>
        <w:adjustRightInd w:val="0"/>
        <w:snapToGrid w:val="0"/>
        <w:spacing w:line="550" w:lineRule="exact"/>
        <w:ind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以建军100周年、新中国成立80周年为节点，深化重大活动服务保障网格支撑机制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健全协同联</w:t>
      </w:r>
      <w:r>
        <w:rPr>
          <w:rFonts w:hint="default" w:ascii="Times New Roman" w:hAnsi="Times New Roman" w:eastAsia="仿宋_GB2312" w:cs="Times New Roman"/>
          <w:sz w:val="32"/>
          <w:szCs w:val="32"/>
          <w:lang w:val="en-US" w:eastAsia="zh-CN"/>
        </w:rPr>
        <w:t>动</w:t>
      </w:r>
      <w:r>
        <w:rPr>
          <w:rFonts w:hint="default" w:ascii="Times New Roman" w:hAnsi="Times New Roman" w:eastAsia="仿宋_GB2312" w:cs="Times New Roman"/>
          <w:sz w:val="32"/>
          <w:szCs w:val="32"/>
        </w:rPr>
        <w:t>机制，区级部门与街道协同攻坚绿化园林、垃圾分类、物业管理、消防安全、城市家具治理等重点问题。深化网格化治理与“门前三包”融合，开展靶向整治，纳入日常巡查执法一体化推进。提升“吹哨报到”质效，优化诉求办理和评价机制，完善属地与部门双向监督。基于城市治理的全量数据，探索针对不同诉求类型、不同网格类型，围绕老旧小区、平房院落等重点区域，制定差异化、特色化的网格治理模式。</w:t>
      </w:r>
    </w:p>
    <w:p w14:paraId="03397B71">
      <w:pPr>
        <w:pStyle w:val="3"/>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cs="Times New Roman"/>
        </w:rPr>
      </w:pPr>
      <w:bookmarkStart w:id="100" w:name="_Toc1498254998"/>
      <w:bookmarkStart w:id="101" w:name="_Toc4050"/>
      <w:bookmarkStart w:id="102" w:name="_Toc9962"/>
      <w:bookmarkStart w:id="103" w:name="_Toc4281"/>
      <w:bookmarkStart w:id="104" w:name="_Toc1408025110"/>
      <w:bookmarkStart w:id="105" w:name="_Toc229585518"/>
      <w:r>
        <w:rPr>
          <w:rFonts w:hint="default" w:ascii="Times New Roman" w:hAnsi="Times New Roman" w:cs="Times New Roman"/>
        </w:rPr>
        <w:t>二、建设“智网数格”，树立</w:t>
      </w:r>
      <w:r>
        <w:rPr>
          <w:rFonts w:hint="default" w:ascii="Times New Roman" w:hAnsi="Times New Roman" w:cs="Times New Roman"/>
          <w:lang w:val="en-US" w:eastAsia="zh-CN"/>
        </w:rPr>
        <w:t>AI</w:t>
      </w:r>
      <w:r>
        <w:rPr>
          <w:rFonts w:hint="default" w:ascii="Times New Roman" w:hAnsi="Times New Roman" w:cs="Times New Roman"/>
        </w:rPr>
        <w:t>数智标杆</w:t>
      </w:r>
      <w:bookmarkEnd w:id="100"/>
      <w:bookmarkEnd w:id="101"/>
      <w:bookmarkEnd w:id="102"/>
      <w:bookmarkEnd w:id="103"/>
      <w:bookmarkEnd w:id="104"/>
      <w:bookmarkEnd w:id="105"/>
    </w:p>
    <w:p w14:paraId="1401C8AB">
      <w:pPr>
        <w:pStyle w:val="4"/>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eastAsia="楷体_GB2312" w:cs="Times New Roman"/>
          <w:lang w:val="en-US" w:eastAsia="zh-CN"/>
        </w:rPr>
      </w:pPr>
      <w:bookmarkStart w:id="106" w:name="_Toc229585519"/>
      <w:bookmarkStart w:id="107" w:name="_Toc1010883881"/>
      <w:bookmarkStart w:id="108" w:name="_Toc19166"/>
      <w:bookmarkStart w:id="109" w:name="_Toc9959"/>
      <w:bookmarkStart w:id="110" w:name="_Toc989733513"/>
      <w:bookmarkStart w:id="111" w:name="_Toc11839"/>
      <w:r>
        <w:rPr>
          <w:rFonts w:hint="default" w:ascii="Times New Roman" w:hAnsi="Times New Roman" w:cs="Times New Roman"/>
        </w:rPr>
        <w:t>（一）</w:t>
      </w:r>
      <w:r>
        <w:rPr>
          <w:rFonts w:hint="default" w:ascii="Times New Roman" w:hAnsi="Times New Roman" w:cs="Times New Roman"/>
          <w:lang w:val="en-US" w:eastAsia="zh-CN"/>
        </w:rPr>
        <w:t>加快网格治理数智转型</w:t>
      </w:r>
      <w:r>
        <w:rPr>
          <w:rFonts w:hint="default" w:ascii="Times New Roman" w:hAnsi="Times New Roman" w:cs="Times New Roman"/>
        </w:rPr>
        <w:t>，</w:t>
      </w:r>
      <w:bookmarkEnd w:id="106"/>
      <w:bookmarkEnd w:id="107"/>
      <w:bookmarkStart w:id="112" w:name="OLE_LINK8"/>
      <w:r>
        <w:rPr>
          <w:rFonts w:hint="default" w:ascii="Times New Roman" w:hAnsi="Times New Roman" w:cs="Times New Roman"/>
          <w:lang w:val="en-US" w:eastAsia="zh-CN"/>
        </w:rPr>
        <w:t>推进</w:t>
      </w:r>
      <w:r>
        <w:rPr>
          <w:rFonts w:hint="default" w:ascii="Times New Roman" w:hAnsi="Times New Roman" w:cs="Times New Roman"/>
          <w:lang w:val="en-US" w:eastAsia="zh-CN"/>
        </w:rPr>
        <w:t>AI</w:t>
      </w:r>
      <w:r>
        <w:rPr>
          <w:rFonts w:hint="default" w:ascii="Times New Roman" w:hAnsi="Times New Roman" w:cs="Times New Roman"/>
          <w:lang w:val="en-US" w:eastAsia="zh-CN"/>
        </w:rPr>
        <w:t>范式引领</w:t>
      </w:r>
      <w:bookmarkEnd w:id="108"/>
      <w:bookmarkEnd w:id="109"/>
      <w:bookmarkEnd w:id="110"/>
      <w:bookmarkEnd w:id="111"/>
    </w:p>
    <w:p w14:paraId="77E47D57">
      <w:pPr>
        <w:pageBreakBefore w:val="0"/>
        <w:widowControl w:val="0"/>
        <w:kinsoku/>
        <w:wordWrap/>
        <w:overflowPunct w:val="0"/>
        <w:topLinePunct w:val="0"/>
        <w:autoSpaceDE/>
        <w:autoSpaceDN/>
        <w:bidi w:val="0"/>
        <w:adjustRightInd w:val="0"/>
        <w:snapToGrid w:val="0"/>
        <w:spacing w:line="55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打造具有全国影响力、东城标识度的“智网数格”</w:t>
      </w:r>
      <w:r>
        <w:rPr>
          <w:rFonts w:hint="default" w:ascii="Times New Roman" w:hAnsi="Times New Roman" w:eastAsia="仿宋_GB2312" w:cs="Times New Roman"/>
          <w:sz w:val="32"/>
          <w:szCs w:val="32"/>
          <w:vertAlign w:val="superscript"/>
        </w:rPr>
        <w:footnoteReference w:id="0"/>
      </w:r>
      <w:r>
        <w:rPr>
          <w:rFonts w:hint="default" w:ascii="Times New Roman" w:hAnsi="Times New Roman" w:eastAsia="仿宋_GB2312" w:cs="Times New Roman"/>
          <w:sz w:val="32"/>
          <w:szCs w:val="32"/>
        </w:rPr>
        <w:t>。依托全区统一算力</w:t>
      </w:r>
      <w:r>
        <w:rPr>
          <w:rFonts w:hint="default" w:ascii="Times New Roman" w:hAnsi="Times New Roman" w:eastAsia="仿宋_GB2312" w:cs="Times New Roman"/>
          <w:sz w:val="32"/>
          <w:szCs w:val="32"/>
          <w:lang w:val="en-US" w:eastAsia="zh-CN"/>
        </w:rPr>
        <w:t>布局</w:t>
      </w:r>
      <w:r>
        <w:rPr>
          <w:rFonts w:hint="default" w:ascii="Times New Roman" w:hAnsi="Times New Roman" w:eastAsia="仿宋_GB2312" w:cs="Times New Roman"/>
          <w:sz w:val="32"/>
          <w:szCs w:val="32"/>
        </w:rPr>
        <w:t>，学习接诉即办、巡查上报、视频巡检等海量历史工单和数据，建设东城区网格治理</w:t>
      </w:r>
      <w:r>
        <w:rPr>
          <w:rFonts w:hint="default" w:ascii="Times New Roman" w:hAnsi="Times New Roman" w:eastAsia="仿宋_GB2312" w:cs="Times New Roman"/>
          <w:sz w:val="32"/>
          <w:szCs w:val="32"/>
          <w:lang w:val="en-US" w:eastAsia="zh-CN"/>
        </w:rPr>
        <w:t>AI</w:t>
      </w:r>
      <w:r>
        <w:rPr>
          <w:rFonts w:hint="default" w:ascii="Times New Roman" w:hAnsi="Times New Roman" w:eastAsia="仿宋_GB2312" w:cs="Times New Roman"/>
          <w:sz w:val="32"/>
          <w:szCs w:val="32"/>
        </w:rPr>
        <w:t>智能体。纵深推进“智网”建设，完善网格化平台、社区汇聚平台、经济监测平台日常运营和动态反馈。在用好市级“一网统管”平台基础上，建设完善并充分利用具有东城特色的区级平台，推动市区两级平台深度融合。深化“一网统管”协同联动，强化城市治理调度指挥、协同研判、态势统览能力，推动城市管理、应急指挥、综合执法等领域融合治理。全面推进“数格”建设，融合社区数据汇聚平台，丰富网格要素数据库，将接诉即办案件、经济组织、停车位、充电设施、垃圾桶站、社区食堂等数据落图到网格。强化</w:t>
      </w:r>
      <w:r>
        <w:rPr>
          <w:rFonts w:hint="default" w:ascii="Times New Roman" w:hAnsi="Times New Roman" w:eastAsia="仿宋_GB2312" w:cs="Times New Roman"/>
          <w:sz w:val="32"/>
          <w:szCs w:val="32"/>
          <w:lang w:val="en-US" w:eastAsia="zh-CN"/>
        </w:rPr>
        <w:t>问题</w:t>
      </w:r>
      <w:r>
        <w:rPr>
          <w:rFonts w:hint="default" w:ascii="Times New Roman" w:hAnsi="Times New Roman" w:eastAsia="仿宋_GB2312" w:cs="Times New Roman"/>
          <w:sz w:val="32"/>
          <w:szCs w:val="32"/>
        </w:rPr>
        <w:t>汇集，整合政务服务、舆情信访等渠道数据。深入开展入户走访，及时消除隐患、精准回应需求。</w:t>
      </w:r>
    </w:p>
    <w:p w14:paraId="460173B2">
      <w:pPr>
        <w:pStyle w:val="4"/>
        <w:pageBreakBefore w:val="0"/>
        <w:widowControl w:val="0"/>
        <w:kinsoku/>
        <w:wordWrap/>
        <w:topLinePunct w:val="0"/>
        <w:autoSpaceDE/>
        <w:autoSpaceDN/>
        <w:bidi w:val="0"/>
        <w:adjustRightInd w:val="0"/>
        <w:snapToGrid w:val="0"/>
        <w:spacing w:line="550" w:lineRule="exact"/>
        <w:textAlignment w:val="auto"/>
        <w:rPr>
          <w:rFonts w:hint="default" w:ascii="Times New Roman" w:hAnsi="Times New Roman" w:cs="Times New Roman"/>
          <w:lang w:val="en-US" w:eastAsia="zh-CN"/>
        </w:rPr>
      </w:pPr>
      <w:bookmarkStart w:id="113" w:name="_Toc774972663"/>
      <w:bookmarkStart w:id="114" w:name="_Toc10384"/>
      <w:bookmarkStart w:id="115" w:name="_Toc18493"/>
      <w:bookmarkStart w:id="116" w:name="_Toc4933"/>
      <w:r>
        <w:rPr>
          <w:rFonts w:hint="default" w:ascii="Times New Roman" w:hAnsi="Times New Roman" w:eastAsia="楷体_GB2312" w:cs="Times New Roman"/>
          <w:sz w:val="32"/>
          <w:szCs w:val="32"/>
        </w:rPr>
        <w:t>（二）</w:t>
      </w:r>
      <w:r>
        <w:rPr>
          <w:rFonts w:hint="default" w:ascii="Times New Roman" w:hAnsi="Times New Roman" w:cs="Times New Roman"/>
          <w:sz w:val="32"/>
          <w:szCs w:val="32"/>
          <w:lang w:val="en-US" w:eastAsia="zh-CN"/>
        </w:rPr>
        <w:t>汇集</w:t>
      </w:r>
      <w:r>
        <w:rPr>
          <w:rFonts w:hint="default" w:ascii="Times New Roman" w:hAnsi="Times New Roman" w:cs="Times New Roman"/>
          <w:lang w:val="en-US" w:eastAsia="zh-CN"/>
        </w:rPr>
        <w:t>网格治理</w:t>
      </w:r>
      <w:r>
        <w:rPr>
          <w:rFonts w:hint="default" w:ascii="Times New Roman" w:hAnsi="Times New Roman" w:eastAsia="楷体_GB2312" w:cs="Times New Roman"/>
          <w:sz w:val="32"/>
          <w:szCs w:val="32"/>
        </w:rPr>
        <w:t>数据要素</w:t>
      </w:r>
      <w:r>
        <w:rPr>
          <w:rFonts w:hint="default" w:ascii="Times New Roman" w:hAnsi="Times New Roman" w:cs="Times New Roman"/>
        </w:rPr>
        <w:t>，</w:t>
      </w:r>
      <w:r>
        <w:rPr>
          <w:rFonts w:hint="default" w:ascii="Times New Roman" w:hAnsi="Times New Roman" w:cs="Times New Roman"/>
          <w:lang w:val="en-US" w:eastAsia="zh-CN"/>
        </w:rPr>
        <w:t>筑牢AI转型根基</w:t>
      </w:r>
      <w:bookmarkEnd w:id="113"/>
      <w:bookmarkEnd w:id="114"/>
      <w:bookmarkEnd w:id="115"/>
      <w:bookmarkEnd w:id="116"/>
    </w:p>
    <w:p w14:paraId="7E118776">
      <w:pPr>
        <w:pageBreakBefore w:val="0"/>
        <w:widowControl w:val="0"/>
        <w:kinsoku/>
        <w:wordWrap/>
        <w:overflowPunct w:val="0"/>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进一步丰富</w:t>
      </w:r>
      <w:r>
        <w:rPr>
          <w:rFonts w:hint="default" w:ascii="Times New Roman" w:hAnsi="Times New Roman" w:eastAsia="仿宋_GB2312" w:cs="Times New Roman"/>
          <w:sz w:val="32"/>
          <w:szCs w:val="32"/>
          <w:lang w:val="en-US" w:eastAsia="zh-CN"/>
        </w:rPr>
        <w:t>不限于</w:t>
      </w:r>
      <w:r>
        <w:rPr>
          <w:rFonts w:hint="default" w:ascii="Times New Roman" w:hAnsi="Times New Roman" w:eastAsia="仿宋_GB2312" w:cs="Times New Roman"/>
          <w:sz w:val="32"/>
          <w:szCs w:val="32"/>
        </w:rPr>
        <w:t>人、地、事、物、组织</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rPr>
        <w:t>要素数据库，探索建立统一社会治理数据中台，打通公安、城管、卫健等部门数据壁垒，健全民生大数据辅助决策机制。加强公安</w:t>
      </w:r>
      <w:r>
        <w:rPr>
          <w:rFonts w:hint="default" w:ascii="Times New Roman" w:hAnsi="Times New Roman" w:eastAsia="仿宋_GB2312" w:cs="Times New Roman"/>
          <w:sz w:val="32"/>
          <w:szCs w:val="32"/>
          <w:lang w:eastAsia="zh-CN"/>
        </w:rPr>
        <w:t>、街道等多部门</w:t>
      </w:r>
      <w:r>
        <w:rPr>
          <w:rFonts w:hint="default" w:ascii="Times New Roman" w:hAnsi="Times New Roman" w:eastAsia="仿宋_GB2312" w:cs="Times New Roman"/>
          <w:sz w:val="32"/>
          <w:szCs w:val="32"/>
        </w:rPr>
        <w:t>摄像头综合利用，以算法嵌入增强</w:t>
      </w:r>
      <w:r>
        <w:rPr>
          <w:rFonts w:hint="default" w:ascii="Times New Roman" w:hAnsi="Times New Roman" w:eastAsia="仿宋_GB2312" w:cs="Times New Roman"/>
          <w:sz w:val="32"/>
          <w:szCs w:val="32"/>
          <w:lang w:val="en-US" w:eastAsia="zh-CN"/>
        </w:rPr>
        <w:t>AI</w:t>
      </w:r>
      <w:r>
        <w:rPr>
          <w:rFonts w:hint="default" w:ascii="Times New Roman" w:hAnsi="Times New Roman" w:eastAsia="仿宋_GB2312" w:cs="Times New Roman"/>
          <w:sz w:val="32"/>
          <w:szCs w:val="32"/>
        </w:rPr>
        <w:t>问题发现能力，优化摄像头角度方位，开展专项自动检查。建立“一动一静”结合的数据动态更新机制：静态基础数据采用“年度定期普查+事件驱动更新”结合，年度普查</w:t>
      </w:r>
      <w:r>
        <w:rPr>
          <w:rFonts w:hint="default" w:ascii="Times New Roman" w:hAnsi="Times New Roman" w:eastAsia="仿宋_GB2312" w:cs="Times New Roman"/>
          <w:sz w:val="32"/>
          <w:szCs w:val="32"/>
          <w:lang w:eastAsia="zh-CN"/>
        </w:rPr>
        <w:t>经费</w:t>
      </w:r>
      <w:r>
        <w:rPr>
          <w:rFonts w:hint="default" w:ascii="Times New Roman" w:hAnsi="Times New Roman" w:eastAsia="仿宋_GB2312" w:cs="Times New Roman"/>
          <w:sz w:val="32"/>
          <w:szCs w:val="32"/>
        </w:rPr>
        <w:t>由区财政保障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委托第三方实施；动态业务数据实时汇聚。开发移动端“数据巡检”模块，支持</w:t>
      </w:r>
      <w:r>
        <w:rPr>
          <w:rFonts w:hint="default" w:ascii="Times New Roman" w:hAnsi="Times New Roman" w:eastAsia="仿宋_GB2312" w:cs="Times New Roman"/>
          <w:sz w:val="32"/>
          <w:szCs w:val="32"/>
          <w:lang w:val="en-US" w:eastAsia="zh-CN"/>
        </w:rPr>
        <w:t>工作人员</w:t>
      </w:r>
      <w:r>
        <w:rPr>
          <w:rFonts w:hint="default" w:ascii="Times New Roman" w:hAnsi="Times New Roman" w:eastAsia="仿宋_GB2312" w:cs="Times New Roman"/>
          <w:sz w:val="32"/>
          <w:szCs w:val="32"/>
        </w:rPr>
        <w:t>现场核验并一键上报修正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形成城市运行“一张图”。</w:t>
      </w:r>
    </w:p>
    <w:p w14:paraId="2D29707A">
      <w:pPr>
        <w:pStyle w:val="4"/>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eastAsia="楷体_GB2312" w:cs="Times New Roman"/>
          <w:lang w:val="en-US" w:eastAsia="zh-CN"/>
        </w:rPr>
      </w:pPr>
      <w:bookmarkStart w:id="117" w:name="_Toc6885"/>
      <w:bookmarkStart w:id="118" w:name="_Toc14651"/>
      <w:bookmarkStart w:id="119" w:name="_Toc4195"/>
      <w:bookmarkStart w:id="120" w:name="_Toc1726822913"/>
      <w:r>
        <w:rPr>
          <w:rFonts w:hint="default" w:ascii="Times New Roman" w:hAnsi="Times New Roman" w:cs="Times New Roman"/>
        </w:rPr>
        <w:t>（</w:t>
      </w:r>
      <w:r>
        <w:rPr>
          <w:rFonts w:hint="default" w:ascii="Times New Roman" w:hAnsi="Times New Roman" w:cs="Times New Roman"/>
          <w:lang w:val="en-US" w:eastAsia="zh-CN"/>
        </w:rPr>
        <w:t>三</w:t>
      </w:r>
      <w:r>
        <w:rPr>
          <w:rFonts w:hint="default" w:ascii="Times New Roman" w:hAnsi="Times New Roman" w:cs="Times New Roman"/>
        </w:rPr>
        <w:t>）丰富</w:t>
      </w:r>
      <w:r>
        <w:rPr>
          <w:rFonts w:hint="default" w:ascii="Times New Roman" w:hAnsi="Times New Roman" w:cs="Times New Roman"/>
          <w:lang w:val="en-US" w:eastAsia="zh-CN"/>
        </w:rPr>
        <w:t>AI</w:t>
      </w:r>
      <w:r>
        <w:rPr>
          <w:rFonts w:hint="default" w:ascii="Times New Roman" w:hAnsi="Times New Roman" w:cs="Times New Roman"/>
        </w:rPr>
        <w:t>智能应用场景，探索人机协同</w:t>
      </w:r>
      <w:bookmarkEnd w:id="117"/>
      <w:bookmarkEnd w:id="118"/>
      <w:bookmarkEnd w:id="119"/>
      <w:r>
        <w:rPr>
          <w:rFonts w:hint="default" w:ascii="Times New Roman" w:hAnsi="Times New Roman" w:cs="Times New Roman"/>
          <w:lang w:val="en-US" w:eastAsia="zh-CN"/>
        </w:rPr>
        <w:t>模式</w:t>
      </w:r>
      <w:bookmarkEnd w:id="120"/>
    </w:p>
    <w:p w14:paraId="3556D4DB">
      <w:pPr>
        <w:pageBreakBefore w:val="0"/>
        <w:widowControl w:val="0"/>
        <w:kinsoku/>
        <w:wordWrap/>
        <w:overflowPunct w:val="0"/>
        <w:topLinePunct w:val="0"/>
        <w:autoSpaceDE/>
        <w:autoSpaceDN/>
        <w:bidi w:val="0"/>
        <w:adjustRightInd w:val="0"/>
        <w:snapToGrid w:val="0"/>
        <w:spacing w:line="55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科学遴选并优先落地高价值</w:t>
      </w:r>
      <w:r>
        <w:rPr>
          <w:rFonts w:hint="default" w:ascii="Times New Roman" w:hAnsi="Times New Roman" w:eastAsia="仿宋_GB2312" w:cs="Times New Roman"/>
          <w:sz w:val="32"/>
          <w:szCs w:val="32"/>
          <w:lang w:val="en-US" w:eastAsia="zh-CN"/>
        </w:rPr>
        <w:t>AI</w:t>
      </w:r>
      <w:r>
        <w:rPr>
          <w:rFonts w:hint="default" w:ascii="Times New Roman" w:hAnsi="Times New Roman" w:eastAsia="仿宋_GB2312" w:cs="Times New Roman"/>
          <w:sz w:val="32"/>
          <w:szCs w:val="32"/>
        </w:rPr>
        <w:t>智能应用场景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推动东城区网格化治理场景纳入北京市智慧城市场景创新需求清单。结合东城区央地协同、高频国事活动保障、老城保护、城市更新等核心场景，分维度明确实施要点，形成一系列“东城实践”。打造“AI视频巡检”智慧感知模型，将人工智能算法下沉至视频监控、物联感知设备，优先在学医景商、地铁周边等重点区域，共享单车停放、无照游商、店外经营、暴露垃圾等痛点领域部署应用，落地全区首个城市治理智算场景。选取商业活力街区、长安街等重点区域，建立网格运行数字孪生体，实现人流热力、交通状况、环境指数、事件分布全量投射，依托智能体进行沙盘推演。</w:t>
      </w:r>
      <w:r>
        <w:rPr>
          <w:rFonts w:hint="default" w:ascii="Times New Roman" w:hAnsi="Times New Roman" w:eastAsia="仿宋_GB2312" w:cs="Times New Roman"/>
          <w:sz w:val="32"/>
          <w:szCs w:val="32"/>
          <w:lang w:eastAsia="zh-CN"/>
        </w:rPr>
        <w:t>训练迭代</w:t>
      </w:r>
      <w:r>
        <w:rPr>
          <w:rFonts w:hint="default" w:ascii="Times New Roman" w:hAnsi="Times New Roman" w:eastAsia="仿宋_GB2312" w:cs="Times New Roman"/>
          <w:sz w:val="32"/>
          <w:szCs w:val="32"/>
          <w:lang w:val="en-US" w:eastAsia="zh-CN"/>
        </w:rPr>
        <w:t>AI大模型，推动工单办理全流程数智提效，</w:t>
      </w:r>
      <w:r>
        <w:rPr>
          <w:rFonts w:hint="default" w:ascii="Times New Roman" w:hAnsi="Times New Roman" w:eastAsia="仿宋_GB2312" w:cs="Times New Roman"/>
          <w:sz w:val="32"/>
          <w:szCs w:val="32"/>
        </w:rPr>
        <w:t>实现关键信息自动提取、诉求情绪自动识别、回复话术智能推荐，降低人工坐席重复劳动强度。</w:t>
      </w:r>
      <w:r>
        <w:rPr>
          <w:rFonts w:hint="default" w:ascii="Times New Roman" w:hAnsi="Times New Roman" w:eastAsia="仿宋_GB2312" w:cs="Times New Roman"/>
          <w:sz w:val="32"/>
          <w:szCs w:val="32"/>
          <w:lang w:eastAsia="zh-CN"/>
        </w:rPr>
        <w:t>推动</w:t>
      </w:r>
      <w:r>
        <w:rPr>
          <w:rFonts w:hint="default" w:ascii="Times New Roman" w:hAnsi="Times New Roman" w:eastAsia="仿宋_GB2312" w:cs="Times New Roman"/>
          <w:sz w:val="32"/>
          <w:szCs w:val="32"/>
          <w:lang w:val="en-US" w:eastAsia="zh-CN"/>
        </w:rPr>
        <w:t>AI巡查</w:t>
      </w:r>
      <w:r>
        <w:rPr>
          <w:rFonts w:hint="default" w:ascii="Times New Roman" w:hAnsi="Times New Roman" w:eastAsia="仿宋_GB2312" w:cs="Times New Roman"/>
          <w:sz w:val="32"/>
          <w:szCs w:val="32"/>
          <w:lang w:eastAsia="zh-CN"/>
        </w:rPr>
        <w:t>与城市管理监督员深度协同，丰富和拓展城市管理问题识别类型，智能立案、精准派发、自动校验。形成</w:t>
      </w:r>
      <w:r>
        <w:rPr>
          <w:rFonts w:hint="default" w:ascii="Times New Roman" w:hAnsi="Times New Roman" w:eastAsia="仿宋_GB2312" w:cs="Times New Roman"/>
          <w:sz w:val="32"/>
          <w:szCs w:val="32"/>
          <w:lang w:val="en-US" w:eastAsia="zh-CN"/>
        </w:rPr>
        <w:t>AI广域覆盖、人工协查补充的协同治理格局。</w:t>
      </w:r>
      <w:r>
        <w:rPr>
          <w:rFonts w:hint="default" w:ascii="Times New Roman" w:hAnsi="Times New Roman" w:eastAsia="仿宋_GB2312" w:cs="Times New Roman"/>
          <w:sz w:val="32"/>
          <w:szCs w:val="32"/>
        </w:rPr>
        <w:t>以试点方式探索城市治理应用场景开发、调优与部署，推动城市部件智能监控，利用AI对城市部件自动巡检，实现异常即时感知、智能研判与精准定位。研究加强与各类科研团队在大模型、人工智能等数据治理领域合作，充分释放城市治理数据价值。</w:t>
      </w:r>
    </w:p>
    <w:p w14:paraId="5C33637F">
      <w:pPr>
        <w:pStyle w:val="4"/>
        <w:pageBreakBefore w:val="0"/>
        <w:widowControl w:val="0"/>
        <w:kinsoku/>
        <w:wordWrap/>
        <w:topLinePunct w:val="0"/>
        <w:autoSpaceDE/>
        <w:autoSpaceDN/>
        <w:bidi w:val="0"/>
        <w:adjustRightInd w:val="0"/>
        <w:snapToGrid w:val="0"/>
        <w:spacing w:line="550" w:lineRule="exact"/>
        <w:textAlignment w:val="auto"/>
        <w:rPr>
          <w:rFonts w:hint="default" w:ascii="Times New Roman" w:hAnsi="Times New Roman" w:cs="Times New Roman"/>
        </w:rPr>
      </w:pPr>
      <w:bookmarkStart w:id="121" w:name="_Toc106184270"/>
      <w:bookmarkStart w:id="122" w:name="_Toc13985"/>
      <w:bookmarkStart w:id="123" w:name="_Toc21436"/>
      <w:bookmarkStart w:id="124" w:name="_Toc20873"/>
      <w:r>
        <w:rPr>
          <w:rFonts w:hint="default" w:ascii="Times New Roman" w:hAnsi="Times New Roman" w:cs="Times New Roman"/>
        </w:rPr>
        <w:t>（四）加快先进技术</w:t>
      </w:r>
      <w:r>
        <w:rPr>
          <w:rFonts w:hint="default" w:ascii="Times New Roman" w:hAnsi="Times New Roman" w:cs="Times New Roman"/>
          <w:lang w:val="en-US" w:eastAsia="zh-CN"/>
        </w:rPr>
        <w:t>流程</w:t>
      </w:r>
      <w:r>
        <w:rPr>
          <w:rFonts w:hint="default" w:ascii="Times New Roman" w:hAnsi="Times New Roman" w:cs="Times New Roman"/>
        </w:rPr>
        <w:t>嵌入，提升</w:t>
      </w:r>
      <w:r>
        <w:rPr>
          <w:rFonts w:hint="default" w:ascii="Times New Roman" w:hAnsi="Times New Roman" w:cs="Times New Roman"/>
          <w:lang w:val="en-US" w:eastAsia="zh-CN"/>
        </w:rPr>
        <w:t>AI</w:t>
      </w:r>
      <w:r>
        <w:rPr>
          <w:rFonts w:hint="default" w:ascii="Times New Roman" w:hAnsi="Times New Roman" w:cs="Times New Roman"/>
        </w:rPr>
        <w:t>分析能力</w:t>
      </w:r>
      <w:bookmarkEnd w:id="121"/>
      <w:bookmarkEnd w:id="122"/>
      <w:bookmarkEnd w:id="123"/>
      <w:bookmarkEnd w:id="124"/>
    </w:p>
    <w:p w14:paraId="17A7D02C">
      <w:pPr>
        <w:pageBreakBefore w:val="0"/>
        <w:widowControl w:val="0"/>
        <w:kinsoku/>
        <w:wordWrap/>
        <w:overflowPunct w:val="0"/>
        <w:topLinePunct w:val="0"/>
        <w:autoSpaceDE/>
        <w:autoSpaceDN/>
        <w:bidi w:val="0"/>
        <w:adjustRightInd w:val="0"/>
        <w:snapToGrid w:val="0"/>
        <w:spacing w:line="550" w:lineRule="exact"/>
        <w:ind w:firstLine="640" w:firstLineChars="200"/>
        <w:jc w:val="left"/>
        <w:textAlignment w:val="auto"/>
        <w:rPr>
          <w:rFonts w:hint="default" w:ascii="Times New Roman" w:hAnsi="Times New Roman" w:cs="Times New Roman"/>
        </w:rPr>
      </w:pPr>
      <w:r>
        <w:rPr>
          <w:rFonts w:hint="default" w:ascii="Times New Roman" w:hAnsi="Times New Roman" w:eastAsia="仿宋_GB2312" w:cs="Times New Roman"/>
          <w:sz w:val="32"/>
          <w:szCs w:val="32"/>
        </w:rPr>
        <w:t>强化先进技术在网格</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治理全流程嵌入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在案件建立、任务派遣、处理反馈、核查结案等流程植入</w:t>
      </w:r>
      <w:r>
        <w:rPr>
          <w:rFonts w:hint="default" w:ascii="Times New Roman" w:hAnsi="Times New Roman" w:eastAsia="仿宋_GB2312" w:cs="Times New Roman"/>
          <w:sz w:val="32"/>
          <w:szCs w:val="32"/>
          <w:lang w:val="en-US" w:eastAsia="zh-CN"/>
        </w:rPr>
        <w:t>AI</w:t>
      </w:r>
      <w:r>
        <w:rPr>
          <w:rFonts w:hint="default" w:ascii="Times New Roman" w:hAnsi="Times New Roman" w:eastAsia="仿宋_GB2312" w:cs="Times New Roman"/>
          <w:sz w:val="32"/>
          <w:szCs w:val="32"/>
        </w:rPr>
        <w:t>“智能体”，依托大语言模型处理标准化咨询与答复，推动信息“自流程化”。加强报告自生成能力，探索自动汇集网格事件辅助形成日报、周报、月报。健全完善数据分析体系，推动各类治理任务与网格空间精准关联、落点落图，构建“一网格一档案、一任务一数据”治理数据库。开展多维度、穿透式分析，精准识别民生需求高频点、管理薄弱点和风险隐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加强案件时空分析与预测，赋能未诉先办。落实网络安全和数据安全保密机制，确保关键信息基础设施安全。</w:t>
      </w:r>
    </w:p>
    <w:bookmarkEnd w:id="112"/>
    <w:p w14:paraId="7EC9566E">
      <w:pPr>
        <w:pStyle w:val="3"/>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cs="Times New Roman"/>
        </w:rPr>
      </w:pPr>
      <w:bookmarkStart w:id="125" w:name="_Toc1454470671"/>
      <w:bookmarkStart w:id="126" w:name="_Toc27136"/>
      <w:bookmarkStart w:id="127" w:name="_Toc229585521"/>
      <w:bookmarkStart w:id="128" w:name="_Toc27183"/>
      <w:bookmarkStart w:id="129" w:name="_Toc1619459046"/>
      <w:bookmarkStart w:id="130" w:name="_Toc23489"/>
      <w:r>
        <w:rPr>
          <w:rFonts w:hint="default" w:ascii="Times New Roman" w:hAnsi="Times New Roman" w:cs="Times New Roman"/>
        </w:rPr>
        <w:t>三、发挥网格化治理优势，拓展支撑功能</w:t>
      </w:r>
      <w:bookmarkEnd w:id="125"/>
      <w:bookmarkEnd w:id="126"/>
      <w:bookmarkEnd w:id="127"/>
      <w:bookmarkEnd w:id="128"/>
      <w:bookmarkEnd w:id="129"/>
      <w:bookmarkEnd w:id="130"/>
    </w:p>
    <w:p w14:paraId="577355BD">
      <w:pPr>
        <w:pStyle w:val="4"/>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cs="Times New Roman"/>
        </w:rPr>
      </w:pPr>
      <w:bookmarkStart w:id="131" w:name="_Toc24183"/>
      <w:bookmarkStart w:id="132" w:name="_Toc65360003"/>
      <w:bookmarkStart w:id="133" w:name="_Toc15523"/>
      <w:bookmarkStart w:id="134" w:name="_Toc1920831561"/>
      <w:bookmarkStart w:id="135" w:name="_Toc7474"/>
      <w:bookmarkStart w:id="136" w:name="_Toc229585522"/>
      <w:r>
        <w:rPr>
          <w:rFonts w:hint="default" w:ascii="Times New Roman" w:hAnsi="Times New Roman" w:cs="Times New Roman"/>
        </w:rPr>
        <w:t>（一）深化接诉即办改革，坚持为民服务</w:t>
      </w:r>
      <w:bookmarkEnd w:id="131"/>
      <w:bookmarkEnd w:id="132"/>
      <w:bookmarkEnd w:id="133"/>
      <w:bookmarkEnd w:id="134"/>
      <w:bookmarkEnd w:id="135"/>
      <w:bookmarkEnd w:id="136"/>
    </w:p>
    <w:p w14:paraId="610A7727">
      <w:pPr>
        <w:pageBreakBefore w:val="0"/>
        <w:widowControl w:val="0"/>
        <w:kinsoku/>
        <w:wordWrap/>
        <w:overflowPunct w:val="0"/>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持续落实《东城区党建引领接诉即办专项工作实施意见》，升级“一案双派”推行“一案双评”，建立“1+N”多方绑定模式。深化区领导</w:t>
      </w:r>
      <w:r>
        <w:rPr>
          <w:rFonts w:hint="default" w:ascii="Times New Roman" w:hAnsi="Times New Roman" w:eastAsia="仿宋_GB2312" w:cs="Times New Roman"/>
          <w:sz w:val="32"/>
          <w:szCs w:val="32"/>
          <w:lang w:val="en-US" w:eastAsia="zh-CN"/>
        </w:rPr>
        <w:t>高位统筹</w:t>
      </w:r>
      <w:r>
        <w:rPr>
          <w:rFonts w:hint="default" w:ascii="Times New Roman" w:hAnsi="Times New Roman" w:eastAsia="仿宋_GB2312" w:cs="Times New Roman"/>
          <w:sz w:val="32"/>
          <w:szCs w:val="32"/>
        </w:rPr>
        <w:t>，常态化开展热线接听、现场督办，严格落实“五个亲自”“处级包案”和“提级办理”。优化分类派单和办理质效，编制权责边界负面清单，聚焦私装地锁、占道经营、物业纠纷等高频诉求，明确“谁来管、管什么、怎么管”。建立健全疑难复杂诉求派单会商和异议审核机制。持续优化接诉即办评价体系，建立健全分档分类评价机制。升级“错题本”机制，科学测算“首办双肯率”“好件率”等指标，建立高频诉求标本兼治清单纳入“每月一题”。强化智慧赋能，升级智能分析系统，实现诉求自动归类、热点智能聚类、异常实时预警，发挥热线“晴雨表”作用。深化“热线+网格”融合，从数据、事项方面深入对接，优化街道小循环监测评估指标。聚焦诉求集中区域开展整治提升，集成市区政策资金资源向治理类区域倾斜。推行“老城民生微实事”，践行新时代“枫桥经验”。推动历史文化街区专属治理，统筹文旅、城管、街道、商户协同，平衡文旅发展与居民生活。</w:t>
      </w:r>
    </w:p>
    <w:p w14:paraId="6E7C0DE6">
      <w:pPr>
        <w:pStyle w:val="4"/>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eastAsia="楷体_GB2312" w:cs="Times New Roman"/>
          <w:lang w:eastAsia="zh-CN"/>
        </w:rPr>
      </w:pPr>
      <w:bookmarkStart w:id="137" w:name="_Toc229585523"/>
      <w:bookmarkStart w:id="138" w:name="_Toc1451863053"/>
      <w:bookmarkStart w:id="139" w:name="_Toc474600838"/>
      <w:bookmarkStart w:id="140" w:name="_Toc7506"/>
      <w:bookmarkStart w:id="141" w:name="_Toc15634"/>
      <w:bookmarkStart w:id="142" w:name="_Toc24116"/>
      <w:r>
        <w:rPr>
          <w:rFonts w:hint="default" w:ascii="Times New Roman" w:hAnsi="Times New Roman" w:cs="Times New Roman"/>
        </w:rPr>
        <w:t>（二）完善“网格+经济</w:t>
      </w:r>
      <w:r>
        <w:rPr>
          <w:rFonts w:hint="default" w:ascii="Times New Roman" w:hAnsi="Times New Roman" w:cs="Times New Roman"/>
          <w:lang w:val="en-US" w:eastAsia="zh-CN"/>
        </w:rPr>
        <w:t>运行</w:t>
      </w:r>
      <w:r>
        <w:rPr>
          <w:rFonts w:hint="default" w:ascii="Times New Roman" w:hAnsi="Times New Roman" w:cs="Times New Roman"/>
        </w:rPr>
        <w:t>”监测，</w:t>
      </w:r>
      <w:bookmarkEnd w:id="137"/>
      <w:r>
        <w:rPr>
          <w:rFonts w:hint="default" w:ascii="Times New Roman" w:hAnsi="Times New Roman" w:cs="Times New Roman"/>
          <w:lang w:eastAsia="zh-CN"/>
        </w:rPr>
        <w:t>服务</w:t>
      </w:r>
      <w:r>
        <w:rPr>
          <w:rFonts w:hint="default" w:ascii="Times New Roman" w:hAnsi="Times New Roman" w:cs="Times New Roman"/>
          <w:lang w:val="en-US" w:eastAsia="zh-CN"/>
        </w:rPr>
        <w:t>经济</w:t>
      </w:r>
      <w:r>
        <w:rPr>
          <w:rFonts w:hint="default" w:ascii="Times New Roman" w:hAnsi="Times New Roman" w:cs="Times New Roman"/>
          <w:lang w:eastAsia="zh-CN"/>
        </w:rPr>
        <w:t>发展</w:t>
      </w:r>
      <w:bookmarkEnd w:id="138"/>
      <w:bookmarkEnd w:id="139"/>
      <w:bookmarkEnd w:id="140"/>
      <w:bookmarkEnd w:id="141"/>
      <w:bookmarkEnd w:id="142"/>
    </w:p>
    <w:p w14:paraId="28B3E21C">
      <w:pPr>
        <w:pageBreakBefore w:val="0"/>
        <w:widowControl w:val="0"/>
        <w:kinsoku/>
        <w:wordWrap/>
        <w:overflowPunct w:val="0"/>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优化迭代“网格+经济运行”监测平台，完善核心指标及功能模块，实现经济态势“一屏统览”。细化存量企业经营状态分类，提升重点工程项目进度、楼宇空置率与租金趋势等关键指标感知预警能力，强化GDP及增速预测，实现从“过程监测”向“事前预警”升级。依托网格地理信息系统，将楼宇物业信息、企业经营数据、服务管家记录落实到具体网格，实现“一图统览”“落图落格”。完善“走访”“找房”小程序，强化语音录入、图像识别功能。加强与区发改委、区</w:t>
      </w:r>
      <w:r>
        <w:rPr>
          <w:rFonts w:hint="default" w:ascii="Times New Roman" w:hAnsi="Times New Roman" w:eastAsia="仿宋_GB2312" w:cs="Times New Roman"/>
          <w:sz w:val="32"/>
          <w:szCs w:val="32"/>
          <w:lang w:eastAsia="zh-CN"/>
        </w:rPr>
        <w:t>房管局</w:t>
      </w:r>
      <w:r>
        <w:rPr>
          <w:rFonts w:hint="default" w:ascii="Times New Roman" w:hAnsi="Times New Roman" w:eastAsia="仿宋_GB2312" w:cs="Times New Roman"/>
          <w:sz w:val="32"/>
          <w:szCs w:val="32"/>
          <w:lang w:val="en-US" w:eastAsia="zh-CN"/>
        </w:rPr>
        <w:t>等部门</w:t>
      </w:r>
      <w:r>
        <w:rPr>
          <w:rFonts w:hint="default" w:ascii="Times New Roman" w:hAnsi="Times New Roman" w:eastAsia="仿宋_GB2312" w:cs="Times New Roman"/>
          <w:sz w:val="32"/>
          <w:szCs w:val="32"/>
        </w:rPr>
        <w:t>业务联动与</w:t>
      </w:r>
      <w:r>
        <w:rPr>
          <w:rFonts w:hint="default" w:ascii="Times New Roman" w:hAnsi="Times New Roman" w:eastAsia="仿宋_GB2312" w:cs="Times New Roman"/>
          <w:sz w:val="32"/>
          <w:szCs w:val="32"/>
          <w:lang w:val="en-US" w:eastAsia="zh-CN"/>
        </w:rPr>
        <w:t>数据共享</w:t>
      </w:r>
      <w:r>
        <w:rPr>
          <w:rFonts w:hint="default" w:ascii="Times New Roman" w:hAnsi="Times New Roman" w:eastAsia="仿宋_GB2312" w:cs="Times New Roman"/>
          <w:sz w:val="32"/>
          <w:szCs w:val="32"/>
        </w:rPr>
        <w:t>，聚焦市场主体活跃度变化提供穿透式分析。建成全区经济单位数据库，实现企业存续变化、行业分布、规模层次实时追踪，系统归集公共空间资源、房屋资源、招商引资、政策兑现等</w:t>
      </w:r>
      <w:r>
        <w:rPr>
          <w:rFonts w:hint="default"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rPr>
        <w:t>，协调推动高效配置。</w:t>
      </w:r>
    </w:p>
    <w:p w14:paraId="2B9430BB">
      <w:pPr>
        <w:pStyle w:val="4"/>
        <w:pageBreakBefore w:val="0"/>
        <w:widowControl w:val="0"/>
        <w:kinsoku/>
        <w:wordWrap/>
        <w:topLinePunct w:val="0"/>
        <w:autoSpaceDE/>
        <w:autoSpaceDN/>
        <w:bidi w:val="0"/>
        <w:adjustRightInd w:val="0"/>
        <w:snapToGrid w:val="0"/>
        <w:spacing w:line="550" w:lineRule="exact"/>
        <w:textAlignment w:val="auto"/>
        <w:rPr>
          <w:rFonts w:hint="default" w:ascii="Times New Roman" w:hAnsi="Times New Roman" w:cs="Times New Roman"/>
        </w:rPr>
      </w:pPr>
      <w:bookmarkStart w:id="143" w:name="_Toc11631"/>
      <w:bookmarkStart w:id="144" w:name="_Toc229585524"/>
      <w:bookmarkStart w:id="145" w:name="_Toc27885"/>
      <w:bookmarkStart w:id="146" w:name="_Toc248970479"/>
      <w:bookmarkStart w:id="147" w:name="_Toc1043538666"/>
      <w:bookmarkStart w:id="148" w:name="_Toc7373"/>
      <w:r>
        <w:rPr>
          <w:rFonts w:hint="default" w:ascii="Times New Roman" w:hAnsi="Times New Roman" w:cs="Times New Roman"/>
        </w:rPr>
        <w:t>（三）推动社区数据汇聚，赋能基层应用</w:t>
      </w:r>
      <w:bookmarkEnd w:id="143"/>
      <w:bookmarkEnd w:id="144"/>
      <w:bookmarkEnd w:id="145"/>
      <w:bookmarkEnd w:id="146"/>
      <w:bookmarkEnd w:id="147"/>
      <w:bookmarkEnd w:id="148"/>
      <w:bookmarkStart w:id="149" w:name="OLE_LINK5"/>
    </w:p>
    <w:bookmarkEnd w:id="149"/>
    <w:p w14:paraId="4220DBA8">
      <w:pPr>
        <w:pageBreakBefore w:val="0"/>
        <w:widowControl w:val="0"/>
        <w:kinsoku/>
        <w:wordWrap/>
        <w:overflowPunct w:val="0"/>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bookmarkStart w:id="150" w:name="OLE_LINK4"/>
      <w:r>
        <w:rPr>
          <w:rFonts w:hint="default" w:ascii="Times New Roman" w:hAnsi="Times New Roman" w:eastAsia="仿宋_GB2312" w:cs="Times New Roman"/>
          <w:sz w:val="32"/>
          <w:szCs w:val="32"/>
        </w:rPr>
        <w:t>成立工作领导小组，统筹汇聚各领域信息数据，深化社区汇聚平台与网格平台对接。规划建设数据分析中台，支持按区、街、社区、网格多层级及时间、区域、问题类型等多维度自动生成常规分析报告，支持对特定街道、特定问题个性化穿透式分析。鼓励有关部门结合职责持续丰富应用场景，推动区级政务数据与基层数据融合应用。面向职能部门开展培训宣传，普及创新案例，树立大数据意识。探索推动“水电气”数据监测工程，将居民水电气日常数据纳入网格，通过能源数据异动实时排查安全风险，推动安全治理由事后处置向事前预警转变。健全平台数据安全保障体系，加强网络安全保密管理，确保系统平稳运行。</w:t>
      </w:r>
    </w:p>
    <w:p w14:paraId="2F815EFA">
      <w:pPr>
        <w:pStyle w:val="4"/>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cs="Times New Roman"/>
        </w:rPr>
      </w:pPr>
      <w:bookmarkStart w:id="151" w:name="_Toc897755265"/>
      <w:bookmarkStart w:id="152" w:name="_Toc14152"/>
      <w:bookmarkStart w:id="153" w:name="_Toc1447618439"/>
      <w:bookmarkStart w:id="154" w:name="_Toc30522"/>
      <w:bookmarkStart w:id="155" w:name="_Toc27619"/>
      <w:r>
        <w:rPr>
          <w:rFonts w:hint="default" w:ascii="Times New Roman" w:hAnsi="Times New Roman" w:cs="Times New Roman"/>
        </w:rPr>
        <w:t>（四）</w:t>
      </w:r>
      <w:r>
        <w:rPr>
          <w:rFonts w:hint="default" w:ascii="Times New Roman" w:hAnsi="Times New Roman" w:eastAsia="楷体_GB2312" w:cs="Times New Roman"/>
          <w:bCs/>
          <w:sz w:val="32"/>
          <w:szCs w:val="32"/>
        </w:rPr>
        <w:t>落实落地“多格合一”，</w:t>
      </w:r>
      <w:r>
        <w:rPr>
          <w:rFonts w:hint="default" w:ascii="Times New Roman" w:hAnsi="Times New Roman" w:cs="Times New Roman"/>
          <w:bCs/>
          <w:sz w:val="32"/>
          <w:szCs w:val="32"/>
          <w:lang w:val="en-US" w:eastAsia="zh-CN"/>
        </w:rPr>
        <w:t>建好</w:t>
      </w:r>
      <w:r>
        <w:rPr>
          <w:rFonts w:hint="default" w:ascii="Times New Roman" w:hAnsi="Times New Roman" w:cs="Times New Roman"/>
        </w:rPr>
        <w:t>“大城管”平台</w:t>
      </w:r>
      <w:bookmarkEnd w:id="151"/>
      <w:bookmarkEnd w:id="152"/>
      <w:bookmarkEnd w:id="153"/>
      <w:bookmarkEnd w:id="154"/>
      <w:bookmarkEnd w:id="155"/>
    </w:p>
    <w:p w14:paraId="381EBBF1">
      <w:pPr>
        <w:pageBreakBefore w:val="0"/>
        <w:widowControl w:val="0"/>
        <w:kinsoku/>
        <w:wordWrap/>
        <w:overflowPunct w:val="0"/>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深化“多格合一”，</w:t>
      </w:r>
      <w:r>
        <w:rPr>
          <w:rFonts w:hint="default" w:ascii="Times New Roman" w:hAnsi="Times New Roman" w:eastAsia="仿宋_GB2312" w:cs="Times New Roman"/>
          <w:sz w:val="32"/>
          <w:szCs w:val="32"/>
        </w:rPr>
        <w:t>统筹资源要素向网格聚集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在</w:t>
      </w:r>
      <w:r>
        <w:rPr>
          <w:rFonts w:hint="default" w:ascii="Times New Roman" w:hAnsi="Times New Roman" w:eastAsia="仿宋_GB2312" w:cs="Times New Roman"/>
          <w:sz w:val="32"/>
          <w:szCs w:val="32"/>
        </w:rPr>
        <w:t>全区统一空间治理单元</w:t>
      </w:r>
      <w:r>
        <w:rPr>
          <w:rFonts w:hint="default" w:ascii="Times New Roman" w:hAnsi="Times New Roman" w:eastAsia="仿宋_GB2312" w:cs="Times New Roman"/>
          <w:sz w:val="32"/>
          <w:szCs w:val="32"/>
          <w:lang w:val="en-US" w:eastAsia="zh-CN"/>
        </w:rPr>
        <w:t>基础上，</w:t>
      </w:r>
      <w:r>
        <w:rPr>
          <w:rFonts w:hint="default" w:ascii="Times New Roman" w:hAnsi="Times New Roman" w:eastAsia="仿宋_GB2312" w:cs="Times New Roman"/>
          <w:sz w:val="32"/>
          <w:szCs w:val="32"/>
        </w:rPr>
        <w:t>将联系社区的街道领导、社区书记、社区民警、物业人员、新就业群体、志愿者等基层力量整合落格。统筹推进社区嵌入式服务、15分钟生活圈等综合设施，推进微型消防站与社区网格化</w:t>
      </w:r>
      <w:r>
        <w:rPr>
          <w:rFonts w:hint="default" w:ascii="Times New Roman" w:hAnsi="Times New Roman" w:eastAsia="仿宋_GB2312" w:cs="Times New Roman"/>
          <w:sz w:val="32"/>
          <w:szCs w:val="32"/>
          <w:lang w:val="en-US" w:eastAsia="zh-CN"/>
        </w:rPr>
        <w:t>治</w:t>
      </w:r>
      <w:r>
        <w:rPr>
          <w:rFonts w:hint="default" w:ascii="Times New Roman" w:hAnsi="Times New Roman" w:eastAsia="仿宋_GB2312" w:cs="Times New Roman"/>
          <w:sz w:val="32"/>
          <w:szCs w:val="32"/>
        </w:rPr>
        <w:t>理深度融合，综治中心建设与网格化</w:t>
      </w:r>
      <w:r>
        <w:rPr>
          <w:rFonts w:hint="default" w:ascii="Times New Roman" w:hAnsi="Times New Roman" w:eastAsia="仿宋_GB2312" w:cs="Times New Roman"/>
          <w:sz w:val="32"/>
          <w:szCs w:val="32"/>
          <w:lang w:val="en-US" w:eastAsia="zh-CN"/>
        </w:rPr>
        <w:t>治</w:t>
      </w:r>
      <w:r>
        <w:rPr>
          <w:rFonts w:hint="default" w:ascii="Times New Roman" w:hAnsi="Times New Roman" w:eastAsia="仿宋_GB2312" w:cs="Times New Roman"/>
          <w:sz w:val="32"/>
          <w:szCs w:val="32"/>
        </w:rPr>
        <w:t>理体系深度融合，形成综合网格工作平台。完善区级《网格化服务管理事项任务清单》，建立准入和退出动态调整机制，实行清单化管理，凡不在清单中的事项按程序审批后方可纳入，解决“小马拉大车”问题。加强清单“东城特色”，探索经济、文化事项融入网格平台，开展市场主体核查落格、经济运行和财税数据采集，协助处理营商环境、文旅服务</w:t>
      </w:r>
      <w:r>
        <w:rPr>
          <w:rFonts w:hint="default"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rPr>
        <w:t>诉求。通过网格化治理加强垃圾分类，推进源头减量和资源化利用。明晰“大城管平台”建设路径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构建“一底座（网格GIS地图）、一中心（城市事件流转中心）、N应用（环卫、园林、执法等专题模块）”总体架构，实现城市管理领域“人、事、物”全量汇聚与一图统览。重点开发综合监管一张图、智能研判预警中心、协同处置工作台。推动现有网格系统向“大城管平台”迭代升级，统一汇聚多源事件、智能派发与全流程监督，避免重复建设。搭建城市治理“一屏统揽”平台，增强数据分析、运行监测、预测预警功能，实现背街小巷治理、生态环保、交通停车、网格监督数据共享，逐步实现“一网统管、一体调度”。推动对接环卫、园林、水电气等行业数据，实现跨层级、跨行业共享应用。依托网格平台将城市运行领域</w:t>
      </w:r>
      <w:r>
        <w:rPr>
          <w:rFonts w:hint="default" w:ascii="Times New Roman" w:hAnsi="Times New Roman" w:eastAsia="仿宋_GB2312" w:cs="Times New Roman"/>
          <w:sz w:val="32"/>
          <w:szCs w:val="32"/>
          <w:lang w:eastAsia="zh-CN"/>
        </w:rPr>
        <w:t>相关网格事项</w:t>
      </w:r>
      <w:r>
        <w:rPr>
          <w:rFonts w:hint="default" w:ascii="Times New Roman" w:hAnsi="Times New Roman" w:eastAsia="仿宋_GB2312" w:cs="Times New Roman"/>
          <w:sz w:val="32"/>
          <w:szCs w:val="32"/>
        </w:rPr>
        <w:t>落点落图，聚焦高发区域和频发事项精准指导部署。结合全市双智城市建设4.0方案，一体化推进城市家具综合管理平台建设，建立城市家具全要素台账和全景视图。</w:t>
      </w:r>
    </w:p>
    <w:bookmarkEnd w:id="150"/>
    <w:p w14:paraId="1A609BEA">
      <w:pPr>
        <w:pStyle w:val="3"/>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cs="Times New Roman"/>
        </w:rPr>
      </w:pPr>
      <w:bookmarkStart w:id="156" w:name="_Toc229585525"/>
      <w:bookmarkStart w:id="157" w:name="_Toc1623108466"/>
      <w:bookmarkStart w:id="158" w:name="_Toc11989"/>
      <w:bookmarkStart w:id="159" w:name="_Toc1944249510"/>
      <w:bookmarkStart w:id="160" w:name="_Toc5129"/>
      <w:bookmarkStart w:id="161" w:name="_Toc14626"/>
      <w:r>
        <w:rPr>
          <w:rFonts w:hint="default" w:ascii="Times New Roman" w:hAnsi="Times New Roman" w:cs="Times New Roman"/>
        </w:rPr>
        <w:t>四、丰富网格化治理力量，推动多</w:t>
      </w:r>
      <w:r>
        <w:rPr>
          <w:rFonts w:hint="default" w:ascii="Times New Roman" w:hAnsi="Times New Roman" w:cs="Times New Roman"/>
          <w:lang w:val="en-US" w:eastAsia="zh-CN"/>
        </w:rPr>
        <w:t>元</w:t>
      </w:r>
      <w:r>
        <w:rPr>
          <w:rFonts w:hint="default" w:ascii="Times New Roman" w:hAnsi="Times New Roman" w:cs="Times New Roman"/>
        </w:rPr>
        <w:t>共治</w:t>
      </w:r>
      <w:bookmarkEnd w:id="156"/>
      <w:bookmarkEnd w:id="157"/>
      <w:bookmarkEnd w:id="158"/>
      <w:bookmarkEnd w:id="159"/>
      <w:bookmarkEnd w:id="160"/>
      <w:bookmarkEnd w:id="161"/>
    </w:p>
    <w:p w14:paraId="3B45DF10">
      <w:pPr>
        <w:pStyle w:val="4"/>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cs="Times New Roman"/>
        </w:rPr>
      </w:pPr>
      <w:bookmarkStart w:id="162" w:name="_Toc1588820024"/>
      <w:bookmarkStart w:id="163" w:name="_Toc229585526"/>
      <w:bookmarkStart w:id="164" w:name="_Toc1236"/>
      <w:bookmarkStart w:id="165" w:name="_Toc8944"/>
      <w:bookmarkStart w:id="166" w:name="_Toc21834"/>
      <w:bookmarkStart w:id="167" w:name="_Toc1146978414"/>
      <w:r>
        <w:rPr>
          <w:rFonts w:hint="default" w:ascii="Times New Roman" w:hAnsi="Times New Roman" w:cs="Times New Roman"/>
        </w:rPr>
        <w:t>（一）建强术有专攻的网格队伍，实现一专多能</w:t>
      </w:r>
      <w:bookmarkEnd w:id="162"/>
      <w:bookmarkEnd w:id="163"/>
      <w:bookmarkEnd w:id="164"/>
      <w:bookmarkEnd w:id="165"/>
      <w:bookmarkEnd w:id="166"/>
      <w:bookmarkEnd w:id="167"/>
    </w:p>
    <w:p w14:paraId="5210E08C">
      <w:pPr>
        <w:pageBreakBefore w:val="0"/>
        <w:widowControl w:val="0"/>
        <w:kinsoku/>
        <w:wordWrap/>
        <w:overflowPunct w:val="0"/>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有序</w:t>
      </w:r>
      <w:r>
        <w:rPr>
          <w:rFonts w:hint="default" w:ascii="Times New Roman" w:hAnsi="Times New Roman" w:eastAsia="仿宋_GB2312" w:cs="Times New Roman"/>
          <w:sz w:val="32"/>
          <w:szCs w:val="32"/>
        </w:rPr>
        <w:t>推进区级城市管理监督员队伍改革。以20-25个网格配备1位区级城市管理监督员的标准，确保区级城市管理监督员队伍人员不减、经费不降</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作面不应过大。研究推动城市管理监督员用工方式由劳务派遣转向劳务外包，适当提升城市管理监督员的收入待遇。探索社区工作者队伍与区级城市管理监督员队伍的双向动态补充路径。因地制宜建设街道级网格助理员队伍，明确街道诉求中心</w:t>
      </w:r>
      <w:r>
        <w:rPr>
          <w:rFonts w:hint="default" w:ascii="Times New Roman" w:hAnsi="Times New Roman" w:eastAsia="仿宋_GB2312" w:cs="Times New Roman"/>
          <w:sz w:val="32"/>
          <w:szCs w:val="32"/>
          <w:lang w:val="en-US" w:eastAsia="zh-CN"/>
        </w:rPr>
        <w:t>对网格助理员</w:t>
      </w:r>
      <w:r>
        <w:rPr>
          <w:rFonts w:hint="default" w:ascii="Times New Roman" w:hAnsi="Times New Roman" w:eastAsia="仿宋_GB2312" w:cs="Times New Roman"/>
          <w:sz w:val="32"/>
          <w:szCs w:val="32"/>
        </w:rPr>
        <w:t>统一管理、调度和考核职责，杜绝多头管理。各街道制定管理办法，推进队伍职业化、规范化、标准化建设，统一工作标识、设备和交通工具。推行“老带新”“传帮带”机制。构建完备培训体系，加强城市管理监督员在城管、生态环境等方面技能，加强网格助理员在社区事务、综合治理、心理咨询等方面技能。组织开展智慧城市专题培训、实战演练和应用场景创意比赛，培养本土讲师。推动巡查模式向人机协同升级，打造“AI视频巡检”，在公安摄像头、环卫清扫车、街道专用摄像设备上推广应用智能算法，实现高频常规问题自动识别上报。统筹监督员向AI视觉盲区、复杂场景倾斜，形成全域覆盖、线上线下一体化智能感知体系。加大从网格</w:t>
      </w:r>
      <w:r>
        <w:rPr>
          <w:rFonts w:hint="default" w:ascii="Times New Roman" w:hAnsi="Times New Roman" w:eastAsia="仿宋_GB2312" w:cs="Times New Roman"/>
          <w:sz w:val="32"/>
          <w:szCs w:val="32"/>
          <w:lang w:val="en-US" w:eastAsia="zh-CN"/>
        </w:rPr>
        <w:t>队伍</w:t>
      </w:r>
      <w:r>
        <w:rPr>
          <w:rFonts w:hint="default" w:ascii="Times New Roman" w:hAnsi="Times New Roman" w:eastAsia="仿宋_GB2312" w:cs="Times New Roman"/>
          <w:sz w:val="32"/>
          <w:szCs w:val="32"/>
        </w:rPr>
        <w:t>中推荐“两代表一委员”、妇联执委和劳动模范力度，注重培养发展为党员和社区干部。构建兼职网格员积分兑换制度，可凭积分到合作商家优惠兑换。健全奖惩措施，坚持精神鼓励和物质奖励结合；建立淘汰机制，对违法违纪、不服从工作安排、考核多次靠后者坚决退出。</w:t>
      </w:r>
    </w:p>
    <w:p w14:paraId="1BF5B0D0">
      <w:pPr>
        <w:pStyle w:val="4"/>
        <w:pageBreakBefore w:val="0"/>
        <w:widowControl w:val="0"/>
        <w:kinsoku/>
        <w:wordWrap/>
        <w:topLinePunct w:val="0"/>
        <w:autoSpaceDE/>
        <w:autoSpaceDN/>
        <w:bidi w:val="0"/>
        <w:adjustRightInd w:val="0"/>
        <w:snapToGrid w:val="0"/>
        <w:spacing w:line="550" w:lineRule="exact"/>
        <w:ind w:firstLine="640"/>
        <w:textAlignment w:val="auto"/>
        <w:rPr>
          <w:rFonts w:hint="default" w:ascii="Times New Roman" w:hAnsi="Times New Roman" w:cs="Times New Roman"/>
        </w:rPr>
      </w:pPr>
      <w:bookmarkStart w:id="168" w:name="_Toc23160"/>
      <w:bookmarkStart w:id="169" w:name="_Toc1004621614"/>
      <w:bookmarkStart w:id="170" w:name="_Toc229585528"/>
      <w:bookmarkStart w:id="171" w:name="_Toc498870323"/>
      <w:bookmarkStart w:id="172" w:name="_Toc24491"/>
      <w:bookmarkStart w:id="173" w:name="_Toc13998"/>
      <w:r>
        <w:rPr>
          <w:rFonts w:hint="default" w:ascii="Times New Roman" w:hAnsi="Times New Roman" w:cs="Times New Roman"/>
        </w:rPr>
        <w:t>（</w:t>
      </w:r>
      <w:r>
        <w:rPr>
          <w:rFonts w:hint="default" w:ascii="Times New Roman" w:hAnsi="Times New Roman" w:cs="Times New Roman"/>
          <w:lang w:val="en-US" w:eastAsia="zh-CN"/>
        </w:rPr>
        <w:t>二</w:t>
      </w:r>
      <w:r>
        <w:rPr>
          <w:rFonts w:hint="default" w:ascii="Times New Roman" w:hAnsi="Times New Roman" w:cs="Times New Roman"/>
        </w:rPr>
        <w:t>）尊重人民群众的主体地位，推进</w:t>
      </w:r>
      <w:r>
        <w:rPr>
          <w:rFonts w:hint="default" w:ascii="Times New Roman" w:hAnsi="Times New Roman" w:cs="Times New Roman"/>
          <w:lang w:val="en-US" w:eastAsia="zh-CN"/>
        </w:rPr>
        <w:t>多元协同</w:t>
      </w:r>
      <w:bookmarkEnd w:id="168"/>
      <w:bookmarkEnd w:id="169"/>
      <w:bookmarkEnd w:id="170"/>
      <w:bookmarkEnd w:id="171"/>
      <w:bookmarkEnd w:id="172"/>
      <w:bookmarkEnd w:id="173"/>
    </w:p>
    <w:p w14:paraId="36D70642">
      <w:pPr>
        <w:pageBreakBefore w:val="0"/>
        <w:widowControl w:val="0"/>
        <w:kinsoku/>
        <w:wordWrap/>
        <w:overflowPunct w:val="0"/>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鼓励业委会和物业服务企业参与网格化服务管理，推动物业服务人员担任兼职网格员。支持工会、共青团、妇联、工商联、残联等团体主动参与。鼓励引导机关干部、人大代表、政协委员、法律工作者、社会工作者、志愿者</w:t>
      </w:r>
      <w:r>
        <w:rPr>
          <w:rFonts w:hint="default"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rPr>
        <w:t>参与便民服务。推动水电气等专业作业人员向网格下沉，与网格员建立“手拉手”机制并公示联系方式。健全基层党组织领导的群众自治机制，</w:t>
      </w:r>
      <w:r>
        <w:rPr>
          <w:rFonts w:hint="default" w:ascii="Times New Roman" w:hAnsi="Times New Roman" w:eastAsia="仿宋_GB2312" w:cs="Times New Roman"/>
          <w:sz w:val="32"/>
          <w:szCs w:val="32"/>
          <w:lang w:val="en-US" w:eastAsia="zh-CN"/>
        </w:rPr>
        <w:t>深化</w:t>
      </w:r>
      <w:r>
        <w:rPr>
          <w:rFonts w:hint="default" w:ascii="Times New Roman" w:hAnsi="Times New Roman" w:eastAsia="仿宋_GB2312" w:cs="Times New Roman"/>
          <w:sz w:val="32"/>
          <w:szCs w:val="32"/>
        </w:rPr>
        <w:t>“小院议事厅”等协商议事平台</w:t>
      </w:r>
      <w:r>
        <w:rPr>
          <w:rFonts w:hint="default" w:ascii="Times New Roman" w:hAnsi="Times New Roman" w:eastAsia="仿宋_GB2312" w:cs="Times New Roman"/>
          <w:sz w:val="32"/>
          <w:szCs w:val="32"/>
          <w:lang w:val="en-US" w:eastAsia="zh-CN"/>
        </w:rPr>
        <w:t>作用</w:t>
      </w:r>
      <w:r>
        <w:rPr>
          <w:rFonts w:hint="default" w:ascii="Times New Roman" w:hAnsi="Times New Roman" w:eastAsia="仿宋_GB2312" w:cs="Times New Roman"/>
          <w:sz w:val="32"/>
          <w:szCs w:val="32"/>
        </w:rPr>
        <w:t>，拓宽群众有序参与渠道。深化“五社联动”工作机制，深化东城区社会工作学院建设，构建“总校—分校—基地—教学点”四级联动培养体系。选育高质量社会组织，通过购买服务等方式引导参与网格化治理。探索网格任务处置抢单补贴机制。以“正阳友邻”品牌建设提升城市文明，依托“社区邻里节”培育新时代邻里文化，守牢“东城守望岗”。开展“近邻服务”行动，持续扩大“微笑北京·爱在东城”志愿服务品牌影响力，构建便捷志愿服务网络。</w:t>
      </w:r>
    </w:p>
    <w:p w14:paraId="0494B337">
      <w:pPr>
        <w:pStyle w:val="2"/>
        <w:pageBreakBefore w:val="0"/>
        <w:widowControl w:val="0"/>
        <w:kinsoku/>
        <w:wordWrap/>
        <w:topLinePunct w:val="0"/>
        <w:autoSpaceDE/>
        <w:autoSpaceDN/>
        <w:bidi w:val="0"/>
        <w:adjustRightInd w:val="0"/>
        <w:snapToGrid w:val="0"/>
        <w:spacing w:line="550" w:lineRule="exact"/>
        <w:textAlignment w:val="auto"/>
        <w:rPr>
          <w:rFonts w:hint="default" w:ascii="Times New Roman" w:hAnsi="Times New Roman" w:cs="Times New Roman"/>
        </w:rPr>
      </w:pPr>
      <w:bookmarkStart w:id="174" w:name="_Toc1154134811"/>
      <w:bookmarkStart w:id="175" w:name="_Toc229585533"/>
      <w:bookmarkStart w:id="176" w:name="_Toc16460"/>
      <w:bookmarkStart w:id="177" w:name="_Toc7803"/>
      <w:bookmarkStart w:id="178" w:name="_Toc22601"/>
    </w:p>
    <w:p w14:paraId="5E9E990F">
      <w:pPr>
        <w:pStyle w:val="2"/>
        <w:pageBreakBefore w:val="0"/>
        <w:widowControl w:val="0"/>
        <w:kinsoku/>
        <w:wordWrap/>
        <w:topLinePunct w:val="0"/>
        <w:autoSpaceDE/>
        <w:autoSpaceDN/>
        <w:bidi w:val="0"/>
        <w:adjustRightInd w:val="0"/>
        <w:snapToGrid w:val="0"/>
        <w:spacing w:line="550" w:lineRule="exact"/>
        <w:textAlignment w:val="auto"/>
        <w:rPr>
          <w:rFonts w:hint="default" w:ascii="Times New Roman" w:hAnsi="Times New Roman" w:cs="Times New Roman"/>
        </w:rPr>
      </w:pPr>
      <w:bookmarkStart w:id="179" w:name="_Toc34036637"/>
      <w:r>
        <w:rPr>
          <w:rFonts w:hint="default" w:ascii="Times New Roman" w:hAnsi="Times New Roman" w:cs="Times New Roman"/>
        </w:rPr>
        <w:t>第四章 保障措施</w:t>
      </w:r>
      <w:bookmarkEnd w:id="174"/>
      <w:bookmarkEnd w:id="175"/>
      <w:bookmarkEnd w:id="176"/>
      <w:bookmarkEnd w:id="177"/>
      <w:bookmarkEnd w:id="178"/>
      <w:bookmarkEnd w:id="179"/>
    </w:p>
    <w:p w14:paraId="6E2F037D">
      <w:pPr>
        <w:pStyle w:val="3"/>
        <w:pageBreakBefore w:val="0"/>
        <w:widowControl w:val="0"/>
        <w:kinsoku/>
        <w:wordWrap/>
        <w:topLinePunct w:val="0"/>
        <w:autoSpaceDE/>
        <w:autoSpaceDN/>
        <w:bidi w:val="0"/>
        <w:adjustRightInd w:val="0"/>
        <w:snapToGrid w:val="0"/>
        <w:spacing w:line="550" w:lineRule="exact"/>
        <w:textAlignment w:val="auto"/>
        <w:rPr>
          <w:rFonts w:hint="default" w:ascii="Times New Roman" w:hAnsi="Times New Roman" w:cs="Times New Roman"/>
          <w:lang w:eastAsia="zh-CN"/>
        </w:rPr>
      </w:pPr>
      <w:bookmarkStart w:id="180" w:name="_Toc1577919691"/>
      <w:bookmarkStart w:id="181" w:name="_Toc4315"/>
      <w:bookmarkStart w:id="182" w:name="_Toc2600"/>
      <w:bookmarkStart w:id="183" w:name="_Toc4552"/>
      <w:bookmarkStart w:id="184" w:name="_Toc229585534"/>
    </w:p>
    <w:p w14:paraId="28ECF20B">
      <w:pPr>
        <w:pStyle w:val="3"/>
        <w:pageBreakBefore w:val="0"/>
        <w:widowControl w:val="0"/>
        <w:kinsoku/>
        <w:wordWrap/>
        <w:topLinePunct w:val="0"/>
        <w:autoSpaceDE/>
        <w:autoSpaceDN/>
        <w:bidi w:val="0"/>
        <w:adjustRightInd w:val="0"/>
        <w:snapToGrid w:val="0"/>
        <w:spacing w:line="550" w:lineRule="exact"/>
        <w:textAlignment w:val="auto"/>
        <w:rPr>
          <w:rFonts w:hint="default" w:ascii="Times New Roman" w:hAnsi="Times New Roman" w:cs="Times New Roman"/>
        </w:rPr>
      </w:pPr>
      <w:bookmarkStart w:id="185" w:name="_Toc1948251395"/>
      <w:r>
        <w:rPr>
          <w:rFonts w:hint="default" w:ascii="Times New Roman" w:hAnsi="Times New Roman" w:cs="Times New Roman"/>
          <w:lang w:eastAsia="zh-CN"/>
        </w:rPr>
        <w:t>一、</w:t>
      </w:r>
      <w:r>
        <w:rPr>
          <w:rFonts w:hint="default" w:ascii="Times New Roman" w:hAnsi="Times New Roman" w:cs="Times New Roman"/>
        </w:rPr>
        <w:t>加强组织领导</w:t>
      </w:r>
      <w:bookmarkEnd w:id="180"/>
      <w:bookmarkEnd w:id="181"/>
      <w:bookmarkEnd w:id="182"/>
      <w:bookmarkEnd w:id="183"/>
      <w:bookmarkEnd w:id="184"/>
      <w:bookmarkEnd w:id="185"/>
    </w:p>
    <w:p w14:paraId="6BAFC111">
      <w:pPr>
        <w:pageBreakBefore w:val="0"/>
        <w:widowControl w:val="0"/>
        <w:kinsoku/>
        <w:wordWrap/>
        <w:overflowPunct w:val="0"/>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加强区级统筹领导，完善区级调度机制，坚持高位统筹、高位调度、高位推动，加强承办单位“一把手”调度机制建设，监督各单位协调调度执行和落实情况。加强</w:t>
      </w:r>
      <w:r>
        <w:rPr>
          <w:rFonts w:hint="default" w:ascii="Times New Roman" w:hAnsi="Times New Roman" w:eastAsia="仿宋_GB2312" w:cs="Times New Roman"/>
          <w:sz w:val="32"/>
          <w:szCs w:val="32"/>
          <w:lang w:val="en-US" w:eastAsia="zh-CN"/>
        </w:rPr>
        <w:t>协同联动</w:t>
      </w:r>
      <w:r>
        <w:rPr>
          <w:rFonts w:hint="default" w:ascii="Times New Roman" w:hAnsi="Times New Roman" w:eastAsia="仿宋_GB2312" w:cs="Times New Roman"/>
          <w:sz w:val="32"/>
          <w:szCs w:val="32"/>
        </w:rPr>
        <w:t>，为网格</w:t>
      </w:r>
      <w:r>
        <w:rPr>
          <w:rFonts w:hint="default" w:ascii="Times New Roman" w:hAnsi="Times New Roman" w:eastAsia="仿宋_GB2312" w:cs="Times New Roman"/>
          <w:sz w:val="32"/>
          <w:szCs w:val="32"/>
          <w:lang w:val="en-US" w:eastAsia="zh-CN"/>
        </w:rPr>
        <w:t>化治理</w:t>
      </w:r>
      <w:r>
        <w:rPr>
          <w:rFonts w:hint="default" w:ascii="Times New Roman" w:hAnsi="Times New Roman" w:eastAsia="仿宋_GB2312" w:cs="Times New Roman"/>
          <w:sz w:val="32"/>
          <w:szCs w:val="32"/>
        </w:rPr>
        <w:t>排堵解难，高效推动规划实施。落实街道办事处城市管理职责，强化属地责任。各部门、各</w:t>
      </w:r>
      <w:r>
        <w:rPr>
          <w:rFonts w:hint="default" w:ascii="Times New Roman" w:hAnsi="Times New Roman" w:eastAsia="仿宋_GB2312" w:cs="Times New Roman"/>
          <w:sz w:val="32"/>
          <w:szCs w:val="32"/>
          <w:lang w:val="en-US" w:eastAsia="zh-CN"/>
        </w:rPr>
        <w:t>区属国企</w:t>
      </w:r>
      <w:r>
        <w:rPr>
          <w:rFonts w:hint="default" w:ascii="Times New Roman" w:hAnsi="Times New Roman" w:eastAsia="仿宋_GB2312" w:cs="Times New Roman"/>
          <w:sz w:val="32"/>
          <w:szCs w:val="32"/>
        </w:rPr>
        <w:t>各司其职、各负其责，确保工作高效推进。加强与市、区相关部门对接，健全规划协调实施机制，确保相关规划取向一致、步调协同，争取先行先试政策。围绕本规划目标任务，统筹部门相关政策制定与实施，确保规划任务落到实处。</w:t>
      </w:r>
    </w:p>
    <w:p w14:paraId="7449F256">
      <w:pPr>
        <w:pStyle w:val="3"/>
        <w:pageBreakBefore w:val="0"/>
        <w:widowControl w:val="0"/>
        <w:kinsoku/>
        <w:wordWrap/>
        <w:topLinePunct w:val="0"/>
        <w:autoSpaceDE/>
        <w:autoSpaceDN/>
        <w:bidi w:val="0"/>
        <w:adjustRightInd w:val="0"/>
        <w:snapToGrid w:val="0"/>
        <w:spacing w:line="550" w:lineRule="exact"/>
        <w:textAlignment w:val="auto"/>
        <w:rPr>
          <w:rFonts w:hint="default" w:ascii="Times New Roman" w:hAnsi="Times New Roman" w:cs="Times New Roman"/>
        </w:rPr>
      </w:pPr>
      <w:bookmarkStart w:id="186" w:name="_Toc27595"/>
      <w:bookmarkStart w:id="187" w:name="_Toc229585536"/>
      <w:bookmarkStart w:id="188" w:name="_Toc1190679988"/>
      <w:bookmarkStart w:id="189" w:name="_Toc11238"/>
      <w:bookmarkStart w:id="190" w:name="_Toc4943"/>
      <w:bookmarkStart w:id="191" w:name="_Toc646546543"/>
      <w:r>
        <w:rPr>
          <w:rFonts w:hint="default" w:ascii="Times New Roman" w:hAnsi="Times New Roman" w:cs="Times New Roman"/>
          <w:lang w:val="en-US" w:eastAsia="zh-CN"/>
        </w:rPr>
        <w:t>二</w:t>
      </w:r>
      <w:r>
        <w:rPr>
          <w:rFonts w:hint="default" w:ascii="Times New Roman" w:hAnsi="Times New Roman" w:cs="Times New Roman"/>
          <w:lang w:eastAsia="zh-CN"/>
        </w:rPr>
        <w:t>、</w:t>
      </w:r>
      <w:r>
        <w:rPr>
          <w:rFonts w:hint="default" w:ascii="Times New Roman" w:hAnsi="Times New Roman" w:cs="Times New Roman"/>
        </w:rPr>
        <w:t>加强资金保障</w:t>
      </w:r>
      <w:bookmarkEnd w:id="186"/>
      <w:bookmarkEnd w:id="187"/>
      <w:bookmarkEnd w:id="188"/>
      <w:bookmarkEnd w:id="189"/>
      <w:bookmarkEnd w:id="190"/>
      <w:bookmarkEnd w:id="191"/>
    </w:p>
    <w:p w14:paraId="5E249025">
      <w:pPr>
        <w:pageBreakBefore w:val="0"/>
        <w:widowControl w:val="0"/>
        <w:kinsoku/>
        <w:wordWrap/>
        <w:overflowPunct w:val="0"/>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优化中长期财政规划管理，保障网格化</w:t>
      </w:r>
      <w:r>
        <w:rPr>
          <w:rFonts w:hint="default" w:ascii="Times New Roman" w:hAnsi="Times New Roman" w:eastAsia="仿宋_GB2312" w:cs="Times New Roman"/>
          <w:sz w:val="32"/>
          <w:szCs w:val="32"/>
          <w:lang w:val="en-US" w:eastAsia="zh-CN"/>
        </w:rPr>
        <w:t>治理</w:t>
      </w:r>
      <w:r>
        <w:rPr>
          <w:rFonts w:hint="default" w:ascii="Times New Roman" w:hAnsi="Times New Roman" w:eastAsia="仿宋_GB2312" w:cs="Times New Roman"/>
          <w:sz w:val="32"/>
          <w:szCs w:val="32"/>
        </w:rPr>
        <w:t>工作经费投入，重点保障区级网格平台升级建设。厉行节约，科学编制财政项目资金使用计划，强化资金精细化、集约化利用，提高资金使用效益，科学论证并显著提升项目投入产出效益。加强绩效评估，强化资金使用监管，健全内控管理。加强与企事业单位的合作，创新网格化</w:t>
      </w:r>
      <w:r>
        <w:rPr>
          <w:rFonts w:hint="default" w:ascii="Times New Roman" w:hAnsi="Times New Roman" w:eastAsia="仿宋_GB2312" w:cs="Times New Roman"/>
          <w:sz w:val="32"/>
          <w:szCs w:val="32"/>
          <w:lang w:val="en-US" w:eastAsia="zh-CN"/>
        </w:rPr>
        <w:t>治理</w:t>
      </w:r>
      <w:r>
        <w:rPr>
          <w:rFonts w:hint="default" w:ascii="Times New Roman" w:hAnsi="Times New Roman" w:eastAsia="仿宋_GB2312" w:cs="Times New Roman"/>
          <w:sz w:val="32"/>
          <w:szCs w:val="32"/>
        </w:rPr>
        <w:t>工作经费投入方式，营造各方共同参与、同向发力的良好生态。</w:t>
      </w:r>
    </w:p>
    <w:p w14:paraId="73CA3B6A">
      <w:pPr>
        <w:pStyle w:val="3"/>
        <w:pageBreakBefore w:val="0"/>
        <w:widowControl w:val="0"/>
        <w:kinsoku/>
        <w:wordWrap/>
        <w:topLinePunct w:val="0"/>
        <w:autoSpaceDE/>
        <w:autoSpaceDN/>
        <w:bidi w:val="0"/>
        <w:adjustRightInd w:val="0"/>
        <w:snapToGrid w:val="0"/>
        <w:spacing w:line="550" w:lineRule="exact"/>
        <w:textAlignment w:val="auto"/>
        <w:rPr>
          <w:rFonts w:hint="default" w:ascii="Times New Roman" w:hAnsi="Times New Roman" w:cs="Times New Roman"/>
        </w:rPr>
      </w:pPr>
      <w:bookmarkStart w:id="192" w:name="_Toc229585537"/>
      <w:bookmarkStart w:id="193" w:name="_Toc16877"/>
      <w:bookmarkStart w:id="194" w:name="_Toc1839225870"/>
      <w:bookmarkStart w:id="195" w:name="_Toc1023977965"/>
      <w:bookmarkStart w:id="196" w:name="_Toc11112"/>
      <w:bookmarkStart w:id="197" w:name="_Toc14949"/>
      <w:r>
        <w:rPr>
          <w:rFonts w:hint="default" w:ascii="Times New Roman" w:hAnsi="Times New Roman" w:cs="Times New Roman"/>
          <w:lang w:val="en-US" w:eastAsia="zh-CN"/>
        </w:rPr>
        <w:t>三</w:t>
      </w:r>
      <w:r>
        <w:rPr>
          <w:rFonts w:hint="default" w:ascii="Times New Roman" w:hAnsi="Times New Roman" w:cs="Times New Roman"/>
          <w:lang w:eastAsia="zh-CN"/>
        </w:rPr>
        <w:t>、</w:t>
      </w:r>
      <w:r>
        <w:rPr>
          <w:rFonts w:hint="default" w:ascii="Times New Roman" w:hAnsi="Times New Roman" w:cs="Times New Roman"/>
        </w:rPr>
        <w:t>加强监测评估</w:t>
      </w:r>
      <w:bookmarkEnd w:id="192"/>
      <w:bookmarkEnd w:id="193"/>
      <w:bookmarkEnd w:id="194"/>
      <w:bookmarkEnd w:id="195"/>
      <w:bookmarkEnd w:id="196"/>
      <w:bookmarkEnd w:id="197"/>
    </w:p>
    <w:p w14:paraId="0F08E5F3">
      <w:pPr>
        <w:pageBreakBefore w:val="0"/>
        <w:widowControl w:val="0"/>
        <w:kinsoku/>
        <w:wordWrap/>
        <w:overflowPunct w:val="0"/>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强化对各层级管理实效的监测评估工作，跟踪监测发展指标和重点任务实施情况，强化目标管理和过程管控，定期通报考核评估结果。不断完善网格工作评价指标体系，健全细化定量与定性相结合、分区域与分行业相结合的监测评估机制。适时开展规划中期评估，检查规划落实情况，加强评估结果运用，根据形势变化，按规定程序依法对规划目标、任务进行适时调整，确保规划顺利实施。</w:t>
      </w:r>
    </w:p>
    <w:p w14:paraId="076AA64A">
      <w:pPr>
        <w:pStyle w:val="3"/>
        <w:pageBreakBefore w:val="0"/>
        <w:widowControl w:val="0"/>
        <w:kinsoku/>
        <w:wordWrap/>
        <w:topLinePunct w:val="0"/>
        <w:autoSpaceDE/>
        <w:autoSpaceDN/>
        <w:bidi w:val="0"/>
        <w:adjustRightInd w:val="0"/>
        <w:snapToGrid w:val="0"/>
        <w:spacing w:line="550" w:lineRule="exact"/>
        <w:textAlignment w:val="auto"/>
        <w:rPr>
          <w:rFonts w:hint="default" w:ascii="Times New Roman" w:hAnsi="Times New Roman" w:cs="Times New Roman"/>
        </w:rPr>
      </w:pPr>
      <w:bookmarkStart w:id="198" w:name="_Toc229585538"/>
      <w:bookmarkStart w:id="199" w:name="_Toc25681"/>
      <w:bookmarkStart w:id="200" w:name="_Toc289572368"/>
      <w:bookmarkStart w:id="201" w:name="_Toc18498"/>
      <w:bookmarkStart w:id="202" w:name="_Toc7748"/>
      <w:bookmarkStart w:id="203" w:name="_Toc272374979"/>
      <w:r>
        <w:rPr>
          <w:rFonts w:hint="default" w:ascii="Times New Roman" w:hAnsi="Times New Roman" w:cs="Times New Roman"/>
          <w:lang w:val="en-US" w:eastAsia="zh-CN"/>
        </w:rPr>
        <w:t>四</w:t>
      </w:r>
      <w:r>
        <w:rPr>
          <w:rFonts w:hint="default" w:ascii="Times New Roman" w:hAnsi="Times New Roman" w:cs="Times New Roman"/>
          <w:lang w:eastAsia="zh-CN"/>
        </w:rPr>
        <w:t>、</w:t>
      </w:r>
      <w:r>
        <w:rPr>
          <w:rFonts w:hint="default" w:ascii="Times New Roman" w:hAnsi="Times New Roman" w:cs="Times New Roman"/>
        </w:rPr>
        <w:t>加强舆论宣传</w:t>
      </w:r>
      <w:bookmarkEnd w:id="198"/>
      <w:bookmarkEnd w:id="199"/>
      <w:bookmarkEnd w:id="200"/>
      <w:bookmarkEnd w:id="201"/>
      <w:bookmarkEnd w:id="202"/>
      <w:bookmarkEnd w:id="203"/>
    </w:p>
    <w:p w14:paraId="7AD46746">
      <w:pPr>
        <w:overflowPunct w:val="0"/>
        <w:adjustRightInd w:val="0"/>
        <w:snapToGrid w:val="0"/>
        <w:spacing w:after="0" w:line="550" w:lineRule="exact"/>
        <w:ind w:firstLine="640" w:firstLineChars="200"/>
        <w:rPr>
          <w:rFonts w:hint="default" w:ascii="Times New Roman" w:hAnsi="Times New Roman" w:cs="Times New Roman"/>
        </w:rPr>
      </w:pPr>
      <w:r>
        <w:rPr>
          <w:rFonts w:hint="default" w:ascii="Times New Roman" w:hAnsi="Times New Roman" w:eastAsia="仿宋_GB2312" w:cs="Times New Roman"/>
          <w:sz w:val="32"/>
          <w:szCs w:val="32"/>
        </w:rPr>
        <w:t>加强网格化工作矩阵式宣传，综合运用多种宣传方式，讲好东城故事，打造具有东城特</w:t>
      </w:r>
      <w:r>
        <w:rPr>
          <w:rFonts w:hint="default" w:ascii="Times New Roman" w:hAnsi="Times New Roman" w:eastAsia="仿宋_GB2312" w:cs="Times New Roman"/>
          <w:sz w:val="32"/>
          <w:szCs w:val="32"/>
          <w:lang w:val="en-US" w:eastAsia="zh-CN"/>
        </w:rPr>
        <w:t>色</w:t>
      </w:r>
      <w:r>
        <w:rPr>
          <w:rFonts w:hint="default" w:ascii="Times New Roman" w:hAnsi="Times New Roman" w:eastAsia="仿宋_GB2312" w:cs="Times New Roman"/>
          <w:sz w:val="32"/>
          <w:szCs w:val="32"/>
        </w:rPr>
        <w:t>的党建引领基层治理品牌。加强舆情监测和舆论引导，形成政府与社会的良性互动。总结提炼具有东城特色的网格化治理经验，打造网格化治理精品党课，推动进机关、进社区、进党校。加强与市社科联、市社科院互动合作，推动网格化治理学理化研究，开发系列课程纳入市宣讲团内容。</w:t>
      </w:r>
    </w:p>
    <w:sectPr>
      <w:footerReference r:id="rId9" w:type="default"/>
      <w:footnotePr>
        <w:numFmt w:val="decimalEnclosedCircleChinese"/>
        <w:numRestart w:val="eachPage"/>
      </w:footnotePr>
      <w:pgSz w:w="11906" w:h="16838"/>
      <w:pgMar w:top="2098" w:right="1474" w:bottom="1984"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Light">
    <w:altName w:val="原版宋体"/>
    <w:panose1 w:val="02010600030101010101"/>
    <w:charset w:val="86"/>
    <w:family w:val="auto"/>
    <w:pitch w:val="default"/>
    <w:sig w:usb0="00000000" w:usb1="00000000" w:usb2="00000016" w:usb3="00000000" w:csb0="0004000F" w:csb1="00000000"/>
  </w:font>
  <w:font w:name="原版宋体">
    <w:panose1 w:val="02010600030101010101"/>
    <w:charset w:val="86"/>
    <w:family w:val="auto"/>
    <w:pitch w:val="default"/>
    <w:sig w:usb0="00000003" w:usb1="080E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 w:name="Batang">
    <w:panose1 w:val="02030600000101010101"/>
    <w:charset w:val="81"/>
    <w:family w:val="auto"/>
    <w:pitch w:val="default"/>
    <w:sig w:usb0="B00002AF" w:usb1="69D77CFB" w:usb2="00000030" w:usb3="00000000" w:csb0="4008009F" w:csb1="DFD70000"/>
  </w:font>
  <w:font w:name="方正宋体S-超大字符集">
    <w:panose1 w:val="02000000000000000000"/>
    <w:charset w:val="86"/>
    <w:family w:val="auto"/>
    <w:pitch w:val="default"/>
    <w:sig w:usb0="00000001" w:usb1="08000000" w:usb2="00000000" w:usb3="00000000" w:csb0="00040000" w:csb1="00000000"/>
  </w:font>
  <w:font w:name="等线 Light">
    <w:altName w:val="MiSans Light"/>
    <w:panose1 w:val="00000000000000000000"/>
    <w:charset w:val="00"/>
    <w:family w:val="auto"/>
    <w:pitch w:val="default"/>
    <w:sig w:usb0="00000000" w:usb1="00000000" w:usb2="00000000" w:usb3="00000000" w:csb0="00000000" w:csb1="00000000"/>
  </w:font>
  <w:font w:name="MiSans Light">
    <w:panose1 w:val="00000400000000000000"/>
    <w:charset w:val="86"/>
    <w:family w:val="auto"/>
    <w:pitch w:val="default"/>
    <w:sig w:usb0="80000287" w:usb1="080F1811"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2C030">
    <w:pPr>
      <w:pStyle w:val="1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F3E91">
    <w:pPr>
      <w:pStyle w:val="1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F55C0">
    <w:pPr>
      <w:pStyle w:val="10"/>
      <w:ind w:firstLine="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6998"/>
                          </w:sdtPr>
                          <w:sdtContent>
                            <w:p w14:paraId="4A873701">
                              <w:pPr>
                                <w:pStyle w:val="1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085E67E8">
                          <w:pPr>
                            <w:pStyle w:val="6"/>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47476998"/>
                    </w:sdtPr>
                    <w:sdtContent>
                      <w:p w14:paraId="4A873701">
                        <w:pPr>
                          <w:pStyle w:val="1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085E67E8">
                    <w:pPr>
                      <w:pStyle w:val="6"/>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1680A">
    <w:pPr>
      <w:pStyle w:val="10"/>
      <w:ind w:firstLine="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113810">
                          <w:pPr>
                            <w:pStyle w:val="10"/>
                            <w:jc w:val="center"/>
                            <w:rPr>
                              <w:rFonts w:hint="eastAsia"/>
                            </w:rPr>
                          </w:pPr>
                          <w:r>
                            <w:fldChar w:fldCharType="begin"/>
                          </w:r>
                          <w:r>
                            <w:instrText xml:space="preserve">PAGE   \* MERGEFORMAT</w:instrText>
                          </w:r>
                          <w:r>
                            <w:fldChar w:fldCharType="separate"/>
                          </w:r>
                          <w:r>
                            <w:rPr>
                              <w:lang w:val="zh-CN"/>
                            </w:rPr>
                            <w:t>2</w:t>
                          </w:r>
                          <w:r>
                            <w:fldChar w:fldCharType="end"/>
                          </w:r>
                        </w:p>
                        <w:p w14:paraId="43CF0F44">
                          <w:pPr>
                            <w:pStyle w:val="6"/>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8113810">
                    <w:pPr>
                      <w:pStyle w:val="10"/>
                      <w:jc w:val="center"/>
                      <w:rPr>
                        <w:rFonts w:hint="eastAsia"/>
                      </w:rPr>
                    </w:pPr>
                    <w:r>
                      <w:fldChar w:fldCharType="begin"/>
                    </w:r>
                    <w:r>
                      <w:instrText xml:space="preserve">PAGE   \* MERGEFORMAT</w:instrText>
                    </w:r>
                    <w:r>
                      <w:fldChar w:fldCharType="separate"/>
                    </w:r>
                    <w:r>
                      <w:rPr>
                        <w:lang w:val="zh-CN"/>
                      </w:rPr>
                      <w:t>2</w:t>
                    </w:r>
                    <w:r>
                      <w:fldChar w:fldCharType="end"/>
                    </w:r>
                  </w:p>
                  <w:p w14:paraId="43CF0F44">
                    <w:pPr>
                      <w:pStyle w:val="6"/>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77B096C2">
      <w:pPr>
        <w:pStyle w:val="13"/>
        <w:rPr>
          <w:rFonts w:hint="eastAsia" w:ascii="仿宋_GB2312" w:hAnsi="仿宋_GB2312" w:eastAsia="仿宋_GB2312" w:cs="仿宋_GB2312"/>
          <w:sz w:val="24"/>
          <w:szCs w:val="24"/>
        </w:rPr>
      </w:pPr>
      <w:r>
        <w:rPr>
          <w:rStyle w:val="24"/>
          <w:rFonts w:hint="eastAsia" w:ascii="仿宋_GB2312" w:hAnsi="仿宋_GB2312" w:eastAsia="仿宋_GB2312" w:cs="仿宋_GB2312"/>
          <w:sz w:val="24"/>
          <w:szCs w:val="24"/>
        </w:rPr>
        <w:footnoteRef/>
      </w:r>
      <w:r>
        <w:rPr>
          <w:rFonts w:hint="eastAsia" w:ascii="仿宋_GB2312" w:hAnsi="仿宋_GB2312" w:eastAsia="仿宋_GB2312" w:cs="仿宋_GB2312"/>
          <w:sz w:val="24"/>
          <w:szCs w:val="24"/>
        </w:rPr>
        <w:t xml:space="preserve"> 推进“网”的科学化、智能化运转和“格”的精细化、数字化建设。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F142F">
    <w:pPr>
      <w:pStyle w:val="11"/>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5C402">
    <w:pPr>
      <w:pStyle w:val="11"/>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numFmt w:val="decimalEnclosedCircleChinese"/>
    <w:numRestart w:val="eachPage"/>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UwMjkwZWRhNjhjMTJkYThkMGJkMTAzNGJmODZmODEifQ=="/>
  </w:docVars>
  <w:rsids>
    <w:rsidRoot w:val="005B00F3"/>
    <w:rsid w:val="00007983"/>
    <w:rsid w:val="0001036C"/>
    <w:rsid w:val="00023ECC"/>
    <w:rsid w:val="00034A8D"/>
    <w:rsid w:val="00034B40"/>
    <w:rsid w:val="000355A0"/>
    <w:rsid w:val="000421A8"/>
    <w:rsid w:val="00042641"/>
    <w:rsid w:val="00042D2E"/>
    <w:rsid w:val="00042D56"/>
    <w:rsid w:val="00053940"/>
    <w:rsid w:val="00062E43"/>
    <w:rsid w:val="000634B6"/>
    <w:rsid w:val="000709E2"/>
    <w:rsid w:val="00071D76"/>
    <w:rsid w:val="0007206C"/>
    <w:rsid w:val="000725F3"/>
    <w:rsid w:val="00073D19"/>
    <w:rsid w:val="00076B69"/>
    <w:rsid w:val="00082018"/>
    <w:rsid w:val="000837CB"/>
    <w:rsid w:val="00086585"/>
    <w:rsid w:val="000868BF"/>
    <w:rsid w:val="00091B23"/>
    <w:rsid w:val="000A7CBC"/>
    <w:rsid w:val="000B0AF2"/>
    <w:rsid w:val="000B18EB"/>
    <w:rsid w:val="000C0523"/>
    <w:rsid w:val="000C41B6"/>
    <w:rsid w:val="000C577B"/>
    <w:rsid w:val="000D5B37"/>
    <w:rsid w:val="000E4723"/>
    <w:rsid w:val="000E7B4F"/>
    <w:rsid w:val="000F3155"/>
    <w:rsid w:val="000F5645"/>
    <w:rsid w:val="000F74DF"/>
    <w:rsid w:val="0010053F"/>
    <w:rsid w:val="00104567"/>
    <w:rsid w:val="00106095"/>
    <w:rsid w:val="00116A0C"/>
    <w:rsid w:val="00122C7F"/>
    <w:rsid w:val="001239C0"/>
    <w:rsid w:val="0013210B"/>
    <w:rsid w:val="00134749"/>
    <w:rsid w:val="00135148"/>
    <w:rsid w:val="00140FFC"/>
    <w:rsid w:val="00145E1F"/>
    <w:rsid w:val="001473B7"/>
    <w:rsid w:val="0015237B"/>
    <w:rsid w:val="001529A3"/>
    <w:rsid w:val="0015326B"/>
    <w:rsid w:val="0015411B"/>
    <w:rsid w:val="00163B15"/>
    <w:rsid w:val="0018142E"/>
    <w:rsid w:val="001814FC"/>
    <w:rsid w:val="00185214"/>
    <w:rsid w:val="00185373"/>
    <w:rsid w:val="00186A18"/>
    <w:rsid w:val="00187280"/>
    <w:rsid w:val="001918FC"/>
    <w:rsid w:val="0019363E"/>
    <w:rsid w:val="00195050"/>
    <w:rsid w:val="001A051A"/>
    <w:rsid w:val="001C22D8"/>
    <w:rsid w:val="001C349C"/>
    <w:rsid w:val="001C52B8"/>
    <w:rsid w:val="001D3C1E"/>
    <w:rsid w:val="001D4FE0"/>
    <w:rsid w:val="001D53BD"/>
    <w:rsid w:val="001D66A7"/>
    <w:rsid w:val="001E0385"/>
    <w:rsid w:val="001F5A6C"/>
    <w:rsid w:val="001F790E"/>
    <w:rsid w:val="002008F0"/>
    <w:rsid w:val="00201EC9"/>
    <w:rsid w:val="00205025"/>
    <w:rsid w:val="00206472"/>
    <w:rsid w:val="00217576"/>
    <w:rsid w:val="002261FA"/>
    <w:rsid w:val="00226549"/>
    <w:rsid w:val="00227F29"/>
    <w:rsid w:val="00232F3B"/>
    <w:rsid w:val="0023360D"/>
    <w:rsid w:val="00233CA1"/>
    <w:rsid w:val="00235AF0"/>
    <w:rsid w:val="0024088A"/>
    <w:rsid w:val="002467C6"/>
    <w:rsid w:val="00247343"/>
    <w:rsid w:val="00254746"/>
    <w:rsid w:val="00262B89"/>
    <w:rsid w:val="002653AF"/>
    <w:rsid w:val="00277DBC"/>
    <w:rsid w:val="002838E3"/>
    <w:rsid w:val="00286380"/>
    <w:rsid w:val="002908E2"/>
    <w:rsid w:val="00290D27"/>
    <w:rsid w:val="0029281F"/>
    <w:rsid w:val="002952E5"/>
    <w:rsid w:val="0029731A"/>
    <w:rsid w:val="002A5493"/>
    <w:rsid w:val="002A7FFE"/>
    <w:rsid w:val="002C0FE7"/>
    <w:rsid w:val="002C22C3"/>
    <w:rsid w:val="002C32DA"/>
    <w:rsid w:val="002C5E53"/>
    <w:rsid w:val="002D1932"/>
    <w:rsid w:val="002D2DE7"/>
    <w:rsid w:val="002D6D1F"/>
    <w:rsid w:val="002D778B"/>
    <w:rsid w:val="002E32E0"/>
    <w:rsid w:val="002E7B29"/>
    <w:rsid w:val="002F3472"/>
    <w:rsid w:val="002F3B9B"/>
    <w:rsid w:val="002F5361"/>
    <w:rsid w:val="002F6FD2"/>
    <w:rsid w:val="002F7132"/>
    <w:rsid w:val="002F7B1B"/>
    <w:rsid w:val="00300BAA"/>
    <w:rsid w:val="00311A5F"/>
    <w:rsid w:val="00312D58"/>
    <w:rsid w:val="00314009"/>
    <w:rsid w:val="003172F3"/>
    <w:rsid w:val="003216E3"/>
    <w:rsid w:val="00322D20"/>
    <w:rsid w:val="00332F91"/>
    <w:rsid w:val="0034102F"/>
    <w:rsid w:val="0035055B"/>
    <w:rsid w:val="00360E24"/>
    <w:rsid w:val="00360E71"/>
    <w:rsid w:val="003620A2"/>
    <w:rsid w:val="003622C8"/>
    <w:rsid w:val="00375490"/>
    <w:rsid w:val="00377076"/>
    <w:rsid w:val="003772AE"/>
    <w:rsid w:val="00383C11"/>
    <w:rsid w:val="0038735C"/>
    <w:rsid w:val="00391B83"/>
    <w:rsid w:val="00395D64"/>
    <w:rsid w:val="003961C1"/>
    <w:rsid w:val="003968AF"/>
    <w:rsid w:val="003A5C0B"/>
    <w:rsid w:val="003A7BE0"/>
    <w:rsid w:val="003B0695"/>
    <w:rsid w:val="003B17A4"/>
    <w:rsid w:val="003B4F91"/>
    <w:rsid w:val="003C6250"/>
    <w:rsid w:val="003C797E"/>
    <w:rsid w:val="003D3FA8"/>
    <w:rsid w:val="003D4435"/>
    <w:rsid w:val="003D61AC"/>
    <w:rsid w:val="003E0732"/>
    <w:rsid w:val="003E5A9E"/>
    <w:rsid w:val="003F23CE"/>
    <w:rsid w:val="003F3737"/>
    <w:rsid w:val="003F5B11"/>
    <w:rsid w:val="003F5CF9"/>
    <w:rsid w:val="00400C24"/>
    <w:rsid w:val="00411AB6"/>
    <w:rsid w:val="0041285E"/>
    <w:rsid w:val="00420A04"/>
    <w:rsid w:val="00421592"/>
    <w:rsid w:val="00422C38"/>
    <w:rsid w:val="00426FBB"/>
    <w:rsid w:val="004277C9"/>
    <w:rsid w:val="004318F2"/>
    <w:rsid w:val="00433B1B"/>
    <w:rsid w:val="004359A8"/>
    <w:rsid w:val="00441EA3"/>
    <w:rsid w:val="00443CAE"/>
    <w:rsid w:val="004461D1"/>
    <w:rsid w:val="004479E5"/>
    <w:rsid w:val="004504FB"/>
    <w:rsid w:val="00455B87"/>
    <w:rsid w:val="0045679F"/>
    <w:rsid w:val="00456961"/>
    <w:rsid w:val="004613A0"/>
    <w:rsid w:val="0046279A"/>
    <w:rsid w:val="00470B6D"/>
    <w:rsid w:val="00483A45"/>
    <w:rsid w:val="00483EC0"/>
    <w:rsid w:val="004A12B8"/>
    <w:rsid w:val="004A4B33"/>
    <w:rsid w:val="004B0414"/>
    <w:rsid w:val="004B07C4"/>
    <w:rsid w:val="004B3618"/>
    <w:rsid w:val="004B44FE"/>
    <w:rsid w:val="004B47C9"/>
    <w:rsid w:val="004B5DC3"/>
    <w:rsid w:val="004C4329"/>
    <w:rsid w:val="004C517C"/>
    <w:rsid w:val="004C62B1"/>
    <w:rsid w:val="004D13F2"/>
    <w:rsid w:val="004D5F88"/>
    <w:rsid w:val="004D76C1"/>
    <w:rsid w:val="004D7C93"/>
    <w:rsid w:val="004E0925"/>
    <w:rsid w:val="004E11CB"/>
    <w:rsid w:val="004E3C37"/>
    <w:rsid w:val="004E49CD"/>
    <w:rsid w:val="004F05CA"/>
    <w:rsid w:val="004F0EE2"/>
    <w:rsid w:val="004F2056"/>
    <w:rsid w:val="004F4D60"/>
    <w:rsid w:val="004F588B"/>
    <w:rsid w:val="00501007"/>
    <w:rsid w:val="005041EB"/>
    <w:rsid w:val="005072C0"/>
    <w:rsid w:val="00511A5E"/>
    <w:rsid w:val="005156DB"/>
    <w:rsid w:val="0051600D"/>
    <w:rsid w:val="00526704"/>
    <w:rsid w:val="005431AE"/>
    <w:rsid w:val="005439B1"/>
    <w:rsid w:val="005451DA"/>
    <w:rsid w:val="0054724C"/>
    <w:rsid w:val="005479A7"/>
    <w:rsid w:val="00550061"/>
    <w:rsid w:val="00551DDA"/>
    <w:rsid w:val="00564DA0"/>
    <w:rsid w:val="00571B87"/>
    <w:rsid w:val="00572AAB"/>
    <w:rsid w:val="00573578"/>
    <w:rsid w:val="005754C5"/>
    <w:rsid w:val="00577CA4"/>
    <w:rsid w:val="00580D07"/>
    <w:rsid w:val="00584A1B"/>
    <w:rsid w:val="00587909"/>
    <w:rsid w:val="00587954"/>
    <w:rsid w:val="00590506"/>
    <w:rsid w:val="0059267B"/>
    <w:rsid w:val="0059422D"/>
    <w:rsid w:val="00595E6C"/>
    <w:rsid w:val="005A04B2"/>
    <w:rsid w:val="005A1EC3"/>
    <w:rsid w:val="005A2FB0"/>
    <w:rsid w:val="005A44A4"/>
    <w:rsid w:val="005A671F"/>
    <w:rsid w:val="005B00F3"/>
    <w:rsid w:val="005B05FA"/>
    <w:rsid w:val="005B2DED"/>
    <w:rsid w:val="005C1087"/>
    <w:rsid w:val="005C3547"/>
    <w:rsid w:val="005D096B"/>
    <w:rsid w:val="005D4DB0"/>
    <w:rsid w:val="005D6440"/>
    <w:rsid w:val="005E4995"/>
    <w:rsid w:val="005E7FA6"/>
    <w:rsid w:val="006036B4"/>
    <w:rsid w:val="00603EE8"/>
    <w:rsid w:val="00611CD5"/>
    <w:rsid w:val="00612A55"/>
    <w:rsid w:val="006163D8"/>
    <w:rsid w:val="00620772"/>
    <w:rsid w:val="006360BD"/>
    <w:rsid w:val="006373D1"/>
    <w:rsid w:val="00645C6F"/>
    <w:rsid w:val="006461CD"/>
    <w:rsid w:val="00653440"/>
    <w:rsid w:val="00656788"/>
    <w:rsid w:val="006576DF"/>
    <w:rsid w:val="0066058F"/>
    <w:rsid w:val="006710F8"/>
    <w:rsid w:val="006736BB"/>
    <w:rsid w:val="006773AF"/>
    <w:rsid w:val="006A03A7"/>
    <w:rsid w:val="006A181B"/>
    <w:rsid w:val="006A48CC"/>
    <w:rsid w:val="006A4C4E"/>
    <w:rsid w:val="006A762A"/>
    <w:rsid w:val="006B57B6"/>
    <w:rsid w:val="006B5AB3"/>
    <w:rsid w:val="006C2B7A"/>
    <w:rsid w:val="006C3A78"/>
    <w:rsid w:val="006C4C2C"/>
    <w:rsid w:val="006C65C8"/>
    <w:rsid w:val="006D25DA"/>
    <w:rsid w:val="006D7F11"/>
    <w:rsid w:val="006E5948"/>
    <w:rsid w:val="006F6A88"/>
    <w:rsid w:val="0070281F"/>
    <w:rsid w:val="007064D0"/>
    <w:rsid w:val="007155E5"/>
    <w:rsid w:val="007170F7"/>
    <w:rsid w:val="00717CA0"/>
    <w:rsid w:val="00721644"/>
    <w:rsid w:val="00725C7C"/>
    <w:rsid w:val="00726300"/>
    <w:rsid w:val="007274A5"/>
    <w:rsid w:val="00730635"/>
    <w:rsid w:val="00731A8C"/>
    <w:rsid w:val="007349A3"/>
    <w:rsid w:val="00735832"/>
    <w:rsid w:val="00735CB1"/>
    <w:rsid w:val="00744711"/>
    <w:rsid w:val="00744CDD"/>
    <w:rsid w:val="0075124C"/>
    <w:rsid w:val="00754C9E"/>
    <w:rsid w:val="00755DF0"/>
    <w:rsid w:val="00757B9E"/>
    <w:rsid w:val="007657A8"/>
    <w:rsid w:val="00771B68"/>
    <w:rsid w:val="00773649"/>
    <w:rsid w:val="00791E0D"/>
    <w:rsid w:val="007A1BB1"/>
    <w:rsid w:val="007B07CB"/>
    <w:rsid w:val="007B48BA"/>
    <w:rsid w:val="007B6368"/>
    <w:rsid w:val="007C5FB7"/>
    <w:rsid w:val="007C63FC"/>
    <w:rsid w:val="007C6E3D"/>
    <w:rsid w:val="007D527A"/>
    <w:rsid w:val="007E0CFD"/>
    <w:rsid w:val="007E5DFB"/>
    <w:rsid w:val="007E6888"/>
    <w:rsid w:val="007F704C"/>
    <w:rsid w:val="007F756F"/>
    <w:rsid w:val="00800590"/>
    <w:rsid w:val="00801D5F"/>
    <w:rsid w:val="00802880"/>
    <w:rsid w:val="008034D6"/>
    <w:rsid w:val="008053EC"/>
    <w:rsid w:val="008058DA"/>
    <w:rsid w:val="00806674"/>
    <w:rsid w:val="008147C3"/>
    <w:rsid w:val="008158AA"/>
    <w:rsid w:val="00816A38"/>
    <w:rsid w:val="00817C8A"/>
    <w:rsid w:val="00820630"/>
    <w:rsid w:val="00820BC4"/>
    <w:rsid w:val="008217E3"/>
    <w:rsid w:val="008226A4"/>
    <w:rsid w:val="00823F5B"/>
    <w:rsid w:val="00825A19"/>
    <w:rsid w:val="00825D5F"/>
    <w:rsid w:val="00825DB6"/>
    <w:rsid w:val="00826274"/>
    <w:rsid w:val="00827764"/>
    <w:rsid w:val="008334D7"/>
    <w:rsid w:val="008360B4"/>
    <w:rsid w:val="008363BE"/>
    <w:rsid w:val="00842CF1"/>
    <w:rsid w:val="0084331B"/>
    <w:rsid w:val="008438C2"/>
    <w:rsid w:val="00845913"/>
    <w:rsid w:val="008553EE"/>
    <w:rsid w:val="00862775"/>
    <w:rsid w:val="00870F6D"/>
    <w:rsid w:val="00871697"/>
    <w:rsid w:val="00872199"/>
    <w:rsid w:val="00873E5D"/>
    <w:rsid w:val="00876DEE"/>
    <w:rsid w:val="0088370E"/>
    <w:rsid w:val="00892A25"/>
    <w:rsid w:val="00894463"/>
    <w:rsid w:val="00894DBB"/>
    <w:rsid w:val="00895355"/>
    <w:rsid w:val="008953F8"/>
    <w:rsid w:val="008A3586"/>
    <w:rsid w:val="008A5767"/>
    <w:rsid w:val="008B31C7"/>
    <w:rsid w:val="008C0C7C"/>
    <w:rsid w:val="008C1C15"/>
    <w:rsid w:val="008C2FEA"/>
    <w:rsid w:val="008C6850"/>
    <w:rsid w:val="008C739B"/>
    <w:rsid w:val="008D313A"/>
    <w:rsid w:val="008E0B3C"/>
    <w:rsid w:val="008E3F6B"/>
    <w:rsid w:val="008E7DB2"/>
    <w:rsid w:val="008F0290"/>
    <w:rsid w:val="008F4FAB"/>
    <w:rsid w:val="008F7CF1"/>
    <w:rsid w:val="009006C1"/>
    <w:rsid w:val="00902F23"/>
    <w:rsid w:val="00906B8D"/>
    <w:rsid w:val="00910760"/>
    <w:rsid w:val="00916FF1"/>
    <w:rsid w:val="0092204A"/>
    <w:rsid w:val="009227CC"/>
    <w:rsid w:val="009237EE"/>
    <w:rsid w:val="00926625"/>
    <w:rsid w:val="0094030A"/>
    <w:rsid w:val="0094057D"/>
    <w:rsid w:val="00940F7A"/>
    <w:rsid w:val="00943E9D"/>
    <w:rsid w:val="00951DA8"/>
    <w:rsid w:val="00970346"/>
    <w:rsid w:val="00971238"/>
    <w:rsid w:val="009765DC"/>
    <w:rsid w:val="00976EB2"/>
    <w:rsid w:val="0098019A"/>
    <w:rsid w:val="00994C11"/>
    <w:rsid w:val="0099687D"/>
    <w:rsid w:val="009A0579"/>
    <w:rsid w:val="009A5C03"/>
    <w:rsid w:val="009B3967"/>
    <w:rsid w:val="009B3CE3"/>
    <w:rsid w:val="009B44BC"/>
    <w:rsid w:val="009B7F6E"/>
    <w:rsid w:val="009C29B7"/>
    <w:rsid w:val="009C4D2C"/>
    <w:rsid w:val="009C6A7E"/>
    <w:rsid w:val="009C7563"/>
    <w:rsid w:val="009D07E6"/>
    <w:rsid w:val="009D5DB2"/>
    <w:rsid w:val="009D7D69"/>
    <w:rsid w:val="009E096C"/>
    <w:rsid w:val="009E20EF"/>
    <w:rsid w:val="009E25EE"/>
    <w:rsid w:val="009E5F4B"/>
    <w:rsid w:val="009F43D2"/>
    <w:rsid w:val="00A02D3E"/>
    <w:rsid w:val="00A07D8F"/>
    <w:rsid w:val="00A13726"/>
    <w:rsid w:val="00A16882"/>
    <w:rsid w:val="00A20CE4"/>
    <w:rsid w:val="00A23AC4"/>
    <w:rsid w:val="00A32B07"/>
    <w:rsid w:val="00A477A0"/>
    <w:rsid w:val="00A513F4"/>
    <w:rsid w:val="00A56EAB"/>
    <w:rsid w:val="00A60E42"/>
    <w:rsid w:val="00A62FD1"/>
    <w:rsid w:val="00A640DB"/>
    <w:rsid w:val="00A65F7F"/>
    <w:rsid w:val="00A66480"/>
    <w:rsid w:val="00A66CDB"/>
    <w:rsid w:val="00A70009"/>
    <w:rsid w:val="00A71E9B"/>
    <w:rsid w:val="00A72866"/>
    <w:rsid w:val="00A74C4A"/>
    <w:rsid w:val="00A77D7E"/>
    <w:rsid w:val="00A82F49"/>
    <w:rsid w:val="00A845C1"/>
    <w:rsid w:val="00A8561E"/>
    <w:rsid w:val="00A8712E"/>
    <w:rsid w:val="00A87402"/>
    <w:rsid w:val="00A97848"/>
    <w:rsid w:val="00AA24EF"/>
    <w:rsid w:val="00AA3819"/>
    <w:rsid w:val="00AA5390"/>
    <w:rsid w:val="00AA5EA5"/>
    <w:rsid w:val="00AB05BD"/>
    <w:rsid w:val="00AB1FB7"/>
    <w:rsid w:val="00AB21AB"/>
    <w:rsid w:val="00AB415A"/>
    <w:rsid w:val="00AB73E0"/>
    <w:rsid w:val="00AB78E6"/>
    <w:rsid w:val="00AC1E24"/>
    <w:rsid w:val="00AC60BC"/>
    <w:rsid w:val="00AD79FF"/>
    <w:rsid w:val="00AE5B13"/>
    <w:rsid w:val="00AF16E1"/>
    <w:rsid w:val="00AF1A9F"/>
    <w:rsid w:val="00AF4849"/>
    <w:rsid w:val="00AF690C"/>
    <w:rsid w:val="00B01703"/>
    <w:rsid w:val="00B05B09"/>
    <w:rsid w:val="00B06320"/>
    <w:rsid w:val="00B10E04"/>
    <w:rsid w:val="00B1189A"/>
    <w:rsid w:val="00B11BF4"/>
    <w:rsid w:val="00B11F23"/>
    <w:rsid w:val="00B13218"/>
    <w:rsid w:val="00B17F48"/>
    <w:rsid w:val="00B2292A"/>
    <w:rsid w:val="00B24739"/>
    <w:rsid w:val="00B24D21"/>
    <w:rsid w:val="00B307EA"/>
    <w:rsid w:val="00B34ED8"/>
    <w:rsid w:val="00B41290"/>
    <w:rsid w:val="00B53D15"/>
    <w:rsid w:val="00B53EC6"/>
    <w:rsid w:val="00B61C5A"/>
    <w:rsid w:val="00B6272B"/>
    <w:rsid w:val="00B70335"/>
    <w:rsid w:val="00B75405"/>
    <w:rsid w:val="00B76BDD"/>
    <w:rsid w:val="00B809B5"/>
    <w:rsid w:val="00B86599"/>
    <w:rsid w:val="00B8779B"/>
    <w:rsid w:val="00BA76C1"/>
    <w:rsid w:val="00BB40B1"/>
    <w:rsid w:val="00BC0F56"/>
    <w:rsid w:val="00BC1C34"/>
    <w:rsid w:val="00BC3EC1"/>
    <w:rsid w:val="00BC6407"/>
    <w:rsid w:val="00BD1AE1"/>
    <w:rsid w:val="00BD2DF7"/>
    <w:rsid w:val="00BD6957"/>
    <w:rsid w:val="00BE1B40"/>
    <w:rsid w:val="00BE4719"/>
    <w:rsid w:val="00BE5ECC"/>
    <w:rsid w:val="00BF3461"/>
    <w:rsid w:val="00BF7D1D"/>
    <w:rsid w:val="00C003B8"/>
    <w:rsid w:val="00C05194"/>
    <w:rsid w:val="00C06B58"/>
    <w:rsid w:val="00C103F8"/>
    <w:rsid w:val="00C105A0"/>
    <w:rsid w:val="00C15A99"/>
    <w:rsid w:val="00C16313"/>
    <w:rsid w:val="00C20FEE"/>
    <w:rsid w:val="00C21A4A"/>
    <w:rsid w:val="00C21EC8"/>
    <w:rsid w:val="00C221DD"/>
    <w:rsid w:val="00C239C5"/>
    <w:rsid w:val="00C2467C"/>
    <w:rsid w:val="00C33FF3"/>
    <w:rsid w:val="00C34291"/>
    <w:rsid w:val="00C361CB"/>
    <w:rsid w:val="00C36382"/>
    <w:rsid w:val="00C438C6"/>
    <w:rsid w:val="00C460F9"/>
    <w:rsid w:val="00C473C7"/>
    <w:rsid w:val="00C54FD1"/>
    <w:rsid w:val="00C55E3C"/>
    <w:rsid w:val="00C5637A"/>
    <w:rsid w:val="00C65F2E"/>
    <w:rsid w:val="00C66523"/>
    <w:rsid w:val="00C72006"/>
    <w:rsid w:val="00C73495"/>
    <w:rsid w:val="00C76563"/>
    <w:rsid w:val="00C96EFC"/>
    <w:rsid w:val="00CA68CA"/>
    <w:rsid w:val="00CA6BC6"/>
    <w:rsid w:val="00CA72DD"/>
    <w:rsid w:val="00CB0344"/>
    <w:rsid w:val="00CB1751"/>
    <w:rsid w:val="00CC0FBC"/>
    <w:rsid w:val="00CD002C"/>
    <w:rsid w:val="00CD03DC"/>
    <w:rsid w:val="00CD21D2"/>
    <w:rsid w:val="00CD3536"/>
    <w:rsid w:val="00CE0DE5"/>
    <w:rsid w:val="00CE18AE"/>
    <w:rsid w:val="00CE4716"/>
    <w:rsid w:val="00CE7589"/>
    <w:rsid w:val="00CF019D"/>
    <w:rsid w:val="00CF243B"/>
    <w:rsid w:val="00CF6F90"/>
    <w:rsid w:val="00D02008"/>
    <w:rsid w:val="00D04471"/>
    <w:rsid w:val="00D04CA7"/>
    <w:rsid w:val="00D0507B"/>
    <w:rsid w:val="00D06E6F"/>
    <w:rsid w:val="00D108B3"/>
    <w:rsid w:val="00D118ED"/>
    <w:rsid w:val="00D2006B"/>
    <w:rsid w:val="00D23065"/>
    <w:rsid w:val="00D251D5"/>
    <w:rsid w:val="00D26FAC"/>
    <w:rsid w:val="00D32A44"/>
    <w:rsid w:val="00D32DE7"/>
    <w:rsid w:val="00D455C1"/>
    <w:rsid w:val="00D46C04"/>
    <w:rsid w:val="00D47CDC"/>
    <w:rsid w:val="00D5063D"/>
    <w:rsid w:val="00D50870"/>
    <w:rsid w:val="00D50B16"/>
    <w:rsid w:val="00D52BD3"/>
    <w:rsid w:val="00D559B1"/>
    <w:rsid w:val="00D65B83"/>
    <w:rsid w:val="00D70D9E"/>
    <w:rsid w:val="00D71B32"/>
    <w:rsid w:val="00D71E9C"/>
    <w:rsid w:val="00D77998"/>
    <w:rsid w:val="00D821EE"/>
    <w:rsid w:val="00DA4B5B"/>
    <w:rsid w:val="00DA5D23"/>
    <w:rsid w:val="00DA79A9"/>
    <w:rsid w:val="00DB11FB"/>
    <w:rsid w:val="00DB7345"/>
    <w:rsid w:val="00DC06BF"/>
    <w:rsid w:val="00DC534D"/>
    <w:rsid w:val="00DC5A5E"/>
    <w:rsid w:val="00DC6D71"/>
    <w:rsid w:val="00DD3864"/>
    <w:rsid w:val="00DD386D"/>
    <w:rsid w:val="00DD43F1"/>
    <w:rsid w:val="00DE1101"/>
    <w:rsid w:val="00DE489C"/>
    <w:rsid w:val="00DE5846"/>
    <w:rsid w:val="00DE5B33"/>
    <w:rsid w:val="00DE65F8"/>
    <w:rsid w:val="00DF240E"/>
    <w:rsid w:val="00DF4D18"/>
    <w:rsid w:val="00E0149B"/>
    <w:rsid w:val="00E02DB6"/>
    <w:rsid w:val="00E049C4"/>
    <w:rsid w:val="00E12A1A"/>
    <w:rsid w:val="00E17CF9"/>
    <w:rsid w:val="00E21B12"/>
    <w:rsid w:val="00E2233D"/>
    <w:rsid w:val="00E23C02"/>
    <w:rsid w:val="00E23EE4"/>
    <w:rsid w:val="00E260C0"/>
    <w:rsid w:val="00E27B02"/>
    <w:rsid w:val="00E36B52"/>
    <w:rsid w:val="00E37682"/>
    <w:rsid w:val="00E402B2"/>
    <w:rsid w:val="00E4323D"/>
    <w:rsid w:val="00E43CF6"/>
    <w:rsid w:val="00E44C2B"/>
    <w:rsid w:val="00E44DB1"/>
    <w:rsid w:val="00E53BBA"/>
    <w:rsid w:val="00E5701E"/>
    <w:rsid w:val="00E57C01"/>
    <w:rsid w:val="00E62613"/>
    <w:rsid w:val="00E63BE2"/>
    <w:rsid w:val="00E70C6D"/>
    <w:rsid w:val="00E72DE1"/>
    <w:rsid w:val="00E74250"/>
    <w:rsid w:val="00E81400"/>
    <w:rsid w:val="00E84FA8"/>
    <w:rsid w:val="00E87CAD"/>
    <w:rsid w:val="00E925DF"/>
    <w:rsid w:val="00EB4A2F"/>
    <w:rsid w:val="00EB4A80"/>
    <w:rsid w:val="00EB55D6"/>
    <w:rsid w:val="00EB7F98"/>
    <w:rsid w:val="00EC158E"/>
    <w:rsid w:val="00EC4A46"/>
    <w:rsid w:val="00ED3E85"/>
    <w:rsid w:val="00ED7F00"/>
    <w:rsid w:val="00EF3097"/>
    <w:rsid w:val="00EF55C6"/>
    <w:rsid w:val="00EF630A"/>
    <w:rsid w:val="00EF6FD5"/>
    <w:rsid w:val="00EF7587"/>
    <w:rsid w:val="00EF7C06"/>
    <w:rsid w:val="00F0233A"/>
    <w:rsid w:val="00F036C9"/>
    <w:rsid w:val="00F10A8D"/>
    <w:rsid w:val="00F10BC3"/>
    <w:rsid w:val="00F130F2"/>
    <w:rsid w:val="00F14164"/>
    <w:rsid w:val="00F144DB"/>
    <w:rsid w:val="00F146E9"/>
    <w:rsid w:val="00F15457"/>
    <w:rsid w:val="00F157FC"/>
    <w:rsid w:val="00F16704"/>
    <w:rsid w:val="00F16C25"/>
    <w:rsid w:val="00F227D6"/>
    <w:rsid w:val="00F30055"/>
    <w:rsid w:val="00F32EF7"/>
    <w:rsid w:val="00F429EC"/>
    <w:rsid w:val="00F42BC6"/>
    <w:rsid w:val="00F42F25"/>
    <w:rsid w:val="00F5376F"/>
    <w:rsid w:val="00F676DC"/>
    <w:rsid w:val="00F725FD"/>
    <w:rsid w:val="00F7447C"/>
    <w:rsid w:val="00F752D4"/>
    <w:rsid w:val="00F77FAD"/>
    <w:rsid w:val="00F801AF"/>
    <w:rsid w:val="00F824BA"/>
    <w:rsid w:val="00F9333C"/>
    <w:rsid w:val="00F95AA0"/>
    <w:rsid w:val="00F96512"/>
    <w:rsid w:val="00FA0CD0"/>
    <w:rsid w:val="00FA5246"/>
    <w:rsid w:val="00FA6312"/>
    <w:rsid w:val="00FB4F36"/>
    <w:rsid w:val="00FC0399"/>
    <w:rsid w:val="00FC0A5E"/>
    <w:rsid w:val="00FC2848"/>
    <w:rsid w:val="00FC483B"/>
    <w:rsid w:val="00FD4D3C"/>
    <w:rsid w:val="00FD517F"/>
    <w:rsid w:val="00FE39DE"/>
    <w:rsid w:val="00FF2496"/>
    <w:rsid w:val="0100390C"/>
    <w:rsid w:val="011C44BE"/>
    <w:rsid w:val="012670EA"/>
    <w:rsid w:val="013A729B"/>
    <w:rsid w:val="013E14D1"/>
    <w:rsid w:val="014A4B87"/>
    <w:rsid w:val="014D28C9"/>
    <w:rsid w:val="01571AC6"/>
    <w:rsid w:val="01881C9B"/>
    <w:rsid w:val="018A1427"/>
    <w:rsid w:val="01AA1AC9"/>
    <w:rsid w:val="01AD5116"/>
    <w:rsid w:val="01AE4D7A"/>
    <w:rsid w:val="01BE4DA9"/>
    <w:rsid w:val="01C21B8F"/>
    <w:rsid w:val="01C311A6"/>
    <w:rsid w:val="01D17056"/>
    <w:rsid w:val="01D741B1"/>
    <w:rsid w:val="01EC3E90"/>
    <w:rsid w:val="021350B8"/>
    <w:rsid w:val="02274EC8"/>
    <w:rsid w:val="022B2C0A"/>
    <w:rsid w:val="023A77A1"/>
    <w:rsid w:val="024843AE"/>
    <w:rsid w:val="025832D3"/>
    <w:rsid w:val="025B2DC4"/>
    <w:rsid w:val="02796A74"/>
    <w:rsid w:val="027A7F38"/>
    <w:rsid w:val="027D71DE"/>
    <w:rsid w:val="028278D7"/>
    <w:rsid w:val="028440C8"/>
    <w:rsid w:val="02866093"/>
    <w:rsid w:val="02BC21C8"/>
    <w:rsid w:val="02C42FEC"/>
    <w:rsid w:val="02D908B8"/>
    <w:rsid w:val="02EB774C"/>
    <w:rsid w:val="02ED1629"/>
    <w:rsid w:val="02EE59E6"/>
    <w:rsid w:val="0300360D"/>
    <w:rsid w:val="0305345B"/>
    <w:rsid w:val="03123DCA"/>
    <w:rsid w:val="03215DBB"/>
    <w:rsid w:val="03236BBA"/>
    <w:rsid w:val="032D29B2"/>
    <w:rsid w:val="0361041F"/>
    <w:rsid w:val="037405E1"/>
    <w:rsid w:val="038B6ACE"/>
    <w:rsid w:val="039B5B6E"/>
    <w:rsid w:val="039D7B38"/>
    <w:rsid w:val="03A03184"/>
    <w:rsid w:val="03B66504"/>
    <w:rsid w:val="03B72CFA"/>
    <w:rsid w:val="03D14288"/>
    <w:rsid w:val="03E01A88"/>
    <w:rsid w:val="040F1FC2"/>
    <w:rsid w:val="04335DA6"/>
    <w:rsid w:val="043D3538"/>
    <w:rsid w:val="043D36FD"/>
    <w:rsid w:val="04402271"/>
    <w:rsid w:val="044C3948"/>
    <w:rsid w:val="049039B1"/>
    <w:rsid w:val="04B0389B"/>
    <w:rsid w:val="04B05649"/>
    <w:rsid w:val="04C80BE4"/>
    <w:rsid w:val="04D8694E"/>
    <w:rsid w:val="04DD32B4"/>
    <w:rsid w:val="04DF2D7C"/>
    <w:rsid w:val="04F3794A"/>
    <w:rsid w:val="04F9032C"/>
    <w:rsid w:val="050B6D23"/>
    <w:rsid w:val="050F05C1"/>
    <w:rsid w:val="051611B5"/>
    <w:rsid w:val="0517295A"/>
    <w:rsid w:val="052D2624"/>
    <w:rsid w:val="052E6BC2"/>
    <w:rsid w:val="05373674"/>
    <w:rsid w:val="053B2A47"/>
    <w:rsid w:val="053C0C8A"/>
    <w:rsid w:val="053F69CD"/>
    <w:rsid w:val="05606E4F"/>
    <w:rsid w:val="05653FB6"/>
    <w:rsid w:val="056703FD"/>
    <w:rsid w:val="05697348"/>
    <w:rsid w:val="05942874"/>
    <w:rsid w:val="05993B3D"/>
    <w:rsid w:val="059E0C1C"/>
    <w:rsid w:val="05A72198"/>
    <w:rsid w:val="05A75EF6"/>
    <w:rsid w:val="05C14046"/>
    <w:rsid w:val="05DE73B6"/>
    <w:rsid w:val="05E4299A"/>
    <w:rsid w:val="06046CCE"/>
    <w:rsid w:val="060774EA"/>
    <w:rsid w:val="06085010"/>
    <w:rsid w:val="060C68AF"/>
    <w:rsid w:val="060F2632"/>
    <w:rsid w:val="061109F6"/>
    <w:rsid w:val="061A7F16"/>
    <w:rsid w:val="06293905"/>
    <w:rsid w:val="06385FAF"/>
    <w:rsid w:val="063E0A32"/>
    <w:rsid w:val="065A1D10"/>
    <w:rsid w:val="06654A09"/>
    <w:rsid w:val="06711FE0"/>
    <w:rsid w:val="067D697D"/>
    <w:rsid w:val="069114AA"/>
    <w:rsid w:val="06AB60C8"/>
    <w:rsid w:val="06BC55A9"/>
    <w:rsid w:val="06E25862"/>
    <w:rsid w:val="06F71BB7"/>
    <w:rsid w:val="06FB2FB5"/>
    <w:rsid w:val="06FF224E"/>
    <w:rsid w:val="07107BC6"/>
    <w:rsid w:val="07267E44"/>
    <w:rsid w:val="07305B9D"/>
    <w:rsid w:val="07311832"/>
    <w:rsid w:val="07683557"/>
    <w:rsid w:val="076B2365"/>
    <w:rsid w:val="07835682"/>
    <w:rsid w:val="07854B6B"/>
    <w:rsid w:val="079D0110"/>
    <w:rsid w:val="079E483D"/>
    <w:rsid w:val="07A323CF"/>
    <w:rsid w:val="07AD2313"/>
    <w:rsid w:val="07B40FAC"/>
    <w:rsid w:val="07D275EB"/>
    <w:rsid w:val="07D43307"/>
    <w:rsid w:val="07D55EFD"/>
    <w:rsid w:val="07E3686F"/>
    <w:rsid w:val="07FE491D"/>
    <w:rsid w:val="08041881"/>
    <w:rsid w:val="083251D0"/>
    <w:rsid w:val="08517143"/>
    <w:rsid w:val="085B5888"/>
    <w:rsid w:val="08617279"/>
    <w:rsid w:val="08670714"/>
    <w:rsid w:val="088B4D9D"/>
    <w:rsid w:val="08990786"/>
    <w:rsid w:val="089A2898"/>
    <w:rsid w:val="08A01844"/>
    <w:rsid w:val="08B82D1E"/>
    <w:rsid w:val="08BC2E29"/>
    <w:rsid w:val="08BD0ECF"/>
    <w:rsid w:val="08BD6586"/>
    <w:rsid w:val="08D263F5"/>
    <w:rsid w:val="08E50FA9"/>
    <w:rsid w:val="08F403BC"/>
    <w:rsid w:val="091F0FEF"/>
    <w:rsid w:val="093A6537"/>
    <w:rsid w:val="093B3F84"/>
    <w:rsid w:val="09475E50"/>
    <w:rsid w:val="09523172"/>
    <w:rsid w:val="095F02BE"/>
    <w:rsid w:val="097035F9"/>
    <w:rsid w:val="098D5F59"/>
    <w:rsid w:val="098D7D07"/>
    <w:rsid w:val="099077F7"/>
    <w:rsid w:val="099511C4"/>
    <w:rsid w:val="0995305F"/>
    <w:rsid w:val="09970B85"/>
    <w:rsid w:val="099D3807"/>
    <w:rsid w:val="09AA4D5C"/>
    <w:rsid w:val="09AD2157"/>
    <w:rsid w:val="09BF1E8A"/>
    <w:rsid w:val="09C645FB"/>
    <w:rsid w:val="09D73726"/>
    <w:rsid w:val="09D93C30"/>
    <w:rsid w:val="09E35B78"/>
    <w:rsid w:val="09E638BB"/>
    <w:rsid w:val="09F2225F"/>
    <w:rsid w:val="0A157CFC"/>
    <w:rsid w:val="0A2F7010"/>
    <w:rsid w:val="0A342C5B"/>
    <w:rsid w:val="0A454A85"/>
    <w:rsid w:val="0A530F50"/>
    <w:rsid w:val="0A621193"/>
    <w:rsid w:val="0A656ED5"/>
    <w:rsid w:val="0A6E0817"/>
    <w:rsid w:val="0A6E631A"/>
    <w:rsid w:val="0A8F3F52"/>
    <w:rsid w:val="0ABA00B3"/>
    <w:rsid w:val="0ABD0ABF"/>
    <w:rsid w:val="0ACC2AB1"/>
    <w:rsid w:val="0ACE4A7B"/>
    <w:rsid w:val="0AD55E09"/>
    <w:rsid w:val="0ADC7EEE"/>
    <w:rsid w:val="0B053EB8"/>
    <w:rsid w:val="0B114967"/>
    <w:rsid w:val="0B116715"/>
    <w:rsid w:val="0B1F7084"/>
    <w:rsid w:val="0B2226D0"/>
    <w:rsid w:val="0B3348DE"/>
    <w:rsid w:val="0B507DEF"/>
    <w:rsid w:val="0B527CDF"/>
    <w:rsid w:val="0B5E5DFE"/>
    <w:rsid w:val="0B5F3925"/>
    <w:rsid w:val="0B7D755A"/>
    <w:rsid w:val="0B907F82"/>
    <w:rsid w:val="0BA6070F"/>
    <w:rsid w:val="0BA94BA0"/>
    <w:rsid w:val="0BB17DA0"/>
    <w:rsid w:val="0BC80B0B"/>
    <w:rsid w:val="0BE56359"/>
    <w:rsid w:val="0BFE6C9A"/>
    <w:rsid w:val="0C0016E2"/>
    <w:rsid w:val="0C006EB6"/>
    <w:rsid w:val="0C031014"/>
    <w:rsid w:val="0C0E77A3"/>
    <w:rsid w:val="0C142D03"/>
    <w:rsid w:val="0C160487"/>
    <w:rsid w:val="0C230DF6"/>
    <w:rsid w:val="0C2506CA"/>
    <w:rsid w:val="0C30706F"/>
    <w:rsid w:val="0C364685"/>
    <w:rsid w:val="0C3E353A"/>
    <w:rsid w:val="0C5461F3"/>
    <w:rsid w:val="0C6268E1"/>
    <w:rsid w:val="0C676F35"/>
    <w:rsid w:val="0C702F42"/>
    <w:rsid w:val="0C955597"/>
    <w:rsid w:val="0CA47253"/>
    <w:rsid w:val="0CAA5073"/>
    <w:rsid w:val="0CB832EC"/>
    <w:rsid w:val="0CC334A3"/>
    <w:rsid w:val="0CCD48BE"/>
    <w:rsid w:val="0CD960DB"/>
    <w:rsid w:val="0CFF6B8D"/>
    <w:rsid w:val="0D0501AF"/>
    <w:rsid w:val="0D077DD0"/>
    <w:rsid w:val="0D224C0A"/>
    <w:rsid w:val="0D240982"/>
    <w:rsid w:val="0D2F0019"/>
    <w:rsid w:val="0D58062B"/>
    <w:rsid w:val="0D5A0848"/>
    <w:rsid w:val="0D5C5FEA"/>
    <w:rsid w:val="0D65197F"/>
    <w:rsid w:val="0D674D12"/>
    <w:rsid w:val="0D6E60A1"/>
    <w:rsid w:val="0D847672"/>
    <w:rsid w:val="0DA73361"/>
    <w:rsid w:val="0DBE32D0"/>
    <w:rsid w:val="0DD34BC7"/>
    <w:rsid w:val="0DDA3736"/>
    <w:rsid w:val="0DEB24B2"/>
    <w:rsid w:val="0DF77E44"/>
    <w:rsid w:val="0E002722"/>
    <w:rsid w:val="0E1325AE"/>
    <w:rsid w:val="0E1C5FA1"/>
    <w:rsid w:val="0E286250"/>
    <w:rsid w:val="0E2C656F"/>
    <w:rsid w:val="0E462B7A"/>
    <w:rsid w:val="0E486EEE"/>
    <w:rsid w:val="0E6A2D0C"/>
    <w:rsid w:val="0E8C1F3D"/>
    <w:rsid w:val="0E8C4FDB"/>
    <w:rsid w:val="0EA3330F"/>
    <w:rsid w:val="0EAA3109"/>
    <w:rsid w:val="0EB9159E"/>
    <w:rsid w:val="0EC04F0E"/>
    <w:rsid w:val="0EC250D4"/>
    <w:rsid w:val="0ECB07C5"/>
    <w:rsid w:val="0ECF2B6F"/>
    <w:rsid w:val="0ED50DF9"/>
    <w:rsid w:val="0ED65D70"/>
    <w:rsid w:val="0EE7423B"/>
    <w:rsid w:val="0EE83C31"/>
    <w:rsid w:val="0F096081"/>
    <w:rsid w:val="0F121605"/>
    <w:rsid w:val="0F182768"/>
    <w:rsid w:val="0F1C7AAA"/>
    <w:rsid w:val="0F2270FC"/>
    <w:rsid w:val="0F29227F"/>
    <w:rsid w:val="0F360E40"/>
    <w:rsid w:val="0F40038E"/>
    <w:rsid w:val="0F452FB6"/>
    <w:rsid w:val="0F4E2C54"/>
    <w:rsid w:val="0F4E618A"/>
    <w:rsid w:val="0F533747"/>
    <w:rsid w:val="0F587009"/>
    <w:rsid w:val="0F6159A2"/>
    <w:rsid w:val="0F6E05DA"/>
    <w:rsid w:val="0F7756E1"/>
    <w:rsid w:val="0F897CF0"/>
    <w:rsid w:val="0F932A6D"/>
    <w:rsid w:val="0FAF5793"/>
    <w:rsid w:val="0FBF5219"/>
    <w:rsid w:val="0FC56879"/>
    <w:rsid w:val="0FCD245F"/>
    <w:rsid w:val="0FD115EF"/>
    <w:rsid w:val="0FD91EF8"/>
    <w:rsid w:val="0FE31C76"/>
    <w:rsid w:val="0FF705D0"/>
    <w:rsid w:val="0FF9133B"/>
    <w:rsid w:val="10042CED"/>
    <w:rsid w:val="10056371"/>
    <w:rsid w:val="100E1475"/>
    <w:rsid w:val="10150A56"/>
    <w:rsid w:val="10172A20"/>
    <w:rsid w:val="10196798"/>
    <w:rsid w:val="102E1B18"/>
    <w:rsid w:val="10331CA1"/>
    <w:rsid w:val="103510F8"/>
    <w:rsid w:val="1045499D"/>
    <w:rsid w:val="104A13A0"/>
    <w:rsid w:val="10543018"/>
    <w:rsid w:val="105F0EF9"/>
    <w:rsid w:val="10767C6F"/>
    <w:rsid w:val="10842970"/>
    <w:rsid w:val="108B62F6"/>
    <w:rsid w:val="10B4026F"/>
    <w:rsid w:val="10B501AC"/>
    <w:rsid w:val="10D95F27"/>
    <w:rsid w:val="10DD7123"/>
    <w:rsid w:val="10EF12A7"/>
    <w:rsid w:val="10F24710"/>
    <w:rsid w:val="11317B11"/>
    <w:rsid w:val="113373E5"/>
    <w:rsid w:val="11382C4E"/>
    <w:rsid w:val="114A472F"/>
    <w:rsid w:val="11515ABE"/>
    <w:rsid w:val="115F4FA1"/>
    <w:rsid w:val="116923A3"/>
    <w:rsid w:val="116A41D6"/>
    <w:rsid w:val="117838F9"/>
    <w:rsid w:val="118063A3"/>
    <w:rsid w:val="118278EA"/>
    <w:rsid w:val="118538E2"/>
    <w:rsid w:val="119654BE"/>
    <w:rsid w:val="11AE1162"/>
    <w:rsid w:val="11C0741A"/>
    <w:rsid w:val="11C444E1"/>
    <w:rsid w:val="11E76422"/>
    <w:rsid w:val="11F20F86"/>
    <w:rsid w:val="120174E4"/>
    <w:rsid w:val="12086AC4"/>
    <w:rsid w:val="120C43CB"/>
    <w:rsid w:val="121446EA"/>
    <w:rsid w:val="121F261C"/>
    <w:rsid w:val="122B630F"/>
    <w:rsid w:val="12374163"/>
    <w:rsid w:val="124A7D00"/>
    <w:rsid w:val="125A11D9"/>
    <w:rsid w:val="125D0492"/>
    <w:rsid w:val="1265668B"/>
    <w:rsid w:val="126807AF"/>
    <w:rsid w:val="126F08F1"/>
    <w:rsid w:val="12776CF6"/>
    <w:rsid w:val="127C6B6A"/>
    <w:rsid w:val="12847608"/>
    <w:rsid w:val="128B3251"/>
    <w:rsid w:val="12A762DD"/>
    <w:rsid w:val="12B464B7"/>
    <w:rsid w:val="12BB2F1D"/>
    <w:rsid w:val="12C6190F"/>
    <w:rsid w:val="12CF3D44"/>
    <w:rsid w:val="12D746E8"/>
    <w:rsid w:val="12E24345"/>
    <w:rsid w:val="12EB74D9"/>
    <w:rsid w:val="12EE149E"/>
    <w:rsid w:val="13085DDC"/>
    <w:rsid w:val="130A6299"/>
    <w:rsid w:val="13433B2C"/>
    <w:rsid w:val="135971B8"/>
    <w:rsid w:val="13665310"/>
    <w:rsid w:val="136F4921"/>
    <w:rsid w:val="13710699"/>
    <w:rsid w:val="13723DD9"/>
    <w:rsid w:val="13741577"/>
    <w:rsid w:val="138369C4"/>
    <w:rsid w:val="139C483D"/>
    <w:rsid w:val="139E4AA8"/>
    <w:rsid w:val="13B2215F"/>
    <w:rsid w:val="13BA5B9C"/>
    <w:rsid w:val="13BD7264"/>
    <w:rsid w:val="13CB7DA9"/>
    <w:rsid w:val="13D03611"/>
    <w:rsid w:val="13D80718"/>
    <w:rsid w:val="13EB3F8E"/>
    <w:rsid w:val="13FA2D37"/>
    <w:rsid w:val="14016119"/>
    <w:rsid w:val="1410732A"/>
    <w:rsid w:val="141C0605"/>
    <w:rsid w:val="144255E0"/>
    <w:rsid w:val="14661880"/>
    <w:rsid w:val="14851B53"/>
    <w:rsid w:val="148A4F4A"/>
    <w:rsid w:val="148D32B1"/>
    <w:rsid w:val="14DA49C1"/>
    <w:rsid w:val="14E32972"/>
    <w:rsid w:val="14ED01F3"/>
    <w:rsid w:val="15035321"/>
    <w:rsid w:val="15063063"/>
    <w:rsid w:val="1508322F"/>
    <w:rsid w:val="15123156"/>
    <w:rsid w:val="151A7573"/>
    <w:rsid w:val="1521774E"/>
    <w:rsid w:val="1525798D"/>
    <w:rsid w:val="153F406E"/>
    <w:rsid w:val="155059CC"/>
    <w:rsid w:val="15510782"/>
    <w:rsid w:val="155A29E2"/>
    <w:rsid w:val="15645374"/>
    <w:rsid w:val="156A35F2"/>
    <w:rsid w:val="157B75AD"/>
    <w:rsid w:val="15940E57"/>
    <w:rsid w:val="15C61C55"/>
    <w:rsid w:val="15F07F9B"/>
    <w:rsid w:val="16007AB2"/>
    <w:rsid w:val="161D23BF"/>
    <w:rsid w:val="163321D8"/>
    <w:rsid w:val="164936C2"/>
    <w:rsid w:val="164C51C3"/>
    <w:rsid w:val="1650051A"/>
    <w:rsid w:val="1658778B"/>
    <w:rsid w:val="165C0DB8"/>
    <w:rsid w:val="165E3157"/>
    <w:rsid w:val="166567A5"/>
    <w:rsid w:val="168340B4"/>
    <w:rsid w:val="16897790"/>
    <w:rsid w:val="16943AE7"/>
    <w:rsid w:val="16A50D85"/>
    <w:rsid w:val="16C15493"/>
    <w:rsid w:val="16D03928"/>
    <w:rsid w:val="16E34161"/>
    <w:rsid w:val="17114504"/>
    <w:rsid w:val="171C6B6E"/>
    <w:rsid w:val="171E6442"/>
    <w:rsid w:val="1726190A"/>
    <w:rsid w:val="17285513"/>
    <w:rsid w:val="17367264"/>
    <w:rsid w:val="17514A69"/>
    <w:rsid w:val="175967D2"/>
    <w:rsid w:val="175B488E"/>
    <w:rsid w:val="175D340E"/>
    <w:rsid w:val="175E3F4F"/>
    <w:rsid w:val="175F30E7"/>
    <w:rsid w:val="17680005"/>
    <w:rsid w:val="176A1687"/>
    <w:rsid w:val="176D73C9"/>
    <w:rsid w:val="176E64C2"/>
    <w:rsid w:val="17864DA4"/>
    <w:rsid w:val="178766DD"/>
    <w:rsid w:val="17A20A2C"/>
    <w:rsid w:val="17A80401"/>
    <w:rsid w:val="17C23271"/>
    <w:rsid w:val="17C512F2"/>
    <w:rsid w:val="17CC530E"/>
    <w:rsid w:val="17DD62FD"/>
    <w:rsid w:val="17E254F2"/>
    <w:rsid w:val="17E94CA2"/>
    <w:rsid w:val="180715CC"/>
    <w:rsid w:val="18081D97"/>
    <w:rsid w:val="180C273E"/>
    <w:rsid w:val="180D4E38"/>
    <w:rsid w:val="181A12FF"/>
    <w:rsid w:val="18204640"/>
    <w:rsid w:val="182642C1"/>
    <w:rsid w:val="183877B6"/>
    <w:rsid w:val="18624A54"/>
    <w:rsid w:val="18627495"/>
    <w:rsid w:val="1869193F"/>
    <w:rsid w:val="18786026"/>
    <w:rsid w:val="187C354C"/>
    <w:rsid w:val="1881137E"/>
    <w:rsid w:val="188570A5"/>
    <w:rsid w:val="188C5516"/>
    <w:rsid w:val="1890336F"/>
    <w:rsid w:val="18906AB1"/>
    <w:rsid w:val="18907067"/>
    <w:rsid w:val="18A92683"/>
    <w:rsid w:val="18AC25E0"/>
    <w:rsid w:val="18AC3A53"/>
    <w:rsid w:val="18B726A8"/>
    <w:rsid w:val="18B97D91"/>
    <w:rsid w:val="18C84722"/>
    <w:rsid w:val="18D56FD4"/>
    <w:rsid w:val="18D72D7D"/>
    <w:rsid w:val="19010A1B"/>
    <w:rsid w:val="19143FA0"/>
    <w:rsid w:val="19276CC9"/>
    <w:rsid w:val="194303E2"/>
    <w:rsid w:val="194D2535"/>
    <w:rsid w:val="1951011B"/>
    <w:rsid w:val="1951324C"/>
    <w:rsid w:val="195C46FF"/>
    <w:rsid w:val="19681569"/>
    <w:rsid w:val="19781CCC"/>
    <w:rsid w:val="19970908"/>
    <w:rsid w:val="19C86B39"/>
    <w:rsid w:val="19CE05F3"/>
    <w:rsid w:val="19F814C7"/>
    <w:rsid w:val="1A2163C7"/>
    <w:rsid w:val="1A256F32"/>
    <w:rsid w:val="1A4D567B"/>
    <w:rsid w:val="1A512FD2"/>
    <w:rsid w:val="1A5E659B"/>
    <w:rsid w:val="1A8011C2"/>
    <w:rsid w:val="1A806DAF"/>
    <w:rsid w:val="1A854D42"/>
    <w:rsid w:val="1A991D03"/>
    <w:rsid w:val="1A9B129F"/>
    <w:rsid w:val="1AAB6A6E"/>
    <w:rsid w:val="1AB10B58"/>
    <w:rsid w:val="1AB53FD8"/>
    <w:rsid w:val="1AB92E5E"/>
    <w:rsid w:val="1ABC669E"/>
    <w:rsid w:val="1AD25EC1"/>
    <w:rsid w:val="1B34092A"/>
    <w:rsid w:val="1B37332F"/>
    <w:rsid w:val="1B3B58F6"/>
    <w:rsid w:val="1B5022AF"/>
    <w:rsid w:val="1B506DE6"/>
    <w:rsid w:val="1B746C4E"/>
    <w:rsid w:val="1B770817"/>
    <w:rsid w:val="1B8B735C"/>
    <w:rsid w:val="1B9645D8"/>
    <w:rsid w:val="1B981227"/>
    <w:rsid w:val="1BB472B8"/>
    <w:rsid w:val="1BC87D23"/>
    <w:rsid w:val="1BCD78F0"/>
    <w:rsid w:val="1BD61690"/>
    <w:rsid w:val="1C001B0A"/>
    <w:rsid w:val="1C077DEC"/>
    <w:rsid w:val="1C30331C"/>
    <w:rsid w:val="1C4921B3"/>
    <w:rsid w:val="1C5A5217"/>
    <w:rsid w:val="1C5B5C00"/>
    <w:rsid w:val="1C752FA8"/>
    <w:rsid w:val="1C76287C"/>
    <w:rsid w:val="1C8139D6"/>
    <w:rsid w:val="1C907DE2"/>
    <w:rsid w:val="1C961170"/>
    <w:rsid w:val="1C9911BF"/>
    <w:rsid w:val="1CA55BCB"/>
    <w:rsid w:val="1CC865D5"/>
    <w:rsid w:val="1CCE53FA"/>
    <w:rsid w:val="1CF92E0D"/>
    <w:rsid w:val="1D2D73DF"/>
    <w:rsid w:val="1D2E3157"/>
    <w:rsid w:val="1D315B27"/>
    <w:rsid w:val="1D37200B"/>
    <w:rsid w:val="1D440BCC"/>
    <w:rsid w:val="1D4809E3"/>
    <w:rsid w:val="1D632B53"/>
    <w:rsid w:val="1D634757"/>
    <w:rsid w:val="1D69418F"/>
    <w:rsid w:val="1D6D3C7F"/>
    <w:rsid w:val="1D6E17A5"/>
    <w:rsid w:val="1D7019C1"/>
    <w:rsid w:val="1D777D87"/>
    <w:rsid w:val="1D7F79EF"/>
    <w:rsid w:val="1D8B05A9"/>
    <w:rsid w:val="1DA263E4"/>
    <w:rsid w:val="1DA43419"/>
    <w:rsid w:val="1DB418AE"/>
    <w:rsid w:val="1DC35F95"/>
    <w:rsid w:val="1DD43CFE"/>
    <w:rsid w:val="1DE648E2"/>
    <w:rsid w:val="1E05085D"/>
    <w:rsid w:val="1E075E82"/>
    <w:rsid w:val="1E0A7720"/>
    <w:rsid w:val="1E1862E1"/>
    <w:rsid w:val="1E3260FD"/>
    <w:rsid w:val="1E401394"/>
    <w:rsid w:val="1E8E65D1"/>
    <w:rsid w:val="1E8F5E77"/>
    <w:rsid w:val="1E97195F"/>
    <w:rsid w:val="1EA1262F"/>
    <w:rsid w:val="1EB37DB8"/>
    <w:rsid w:val="1EBD09AA"/>
    <w:rsid w:val="1EC10726"/>
    <w:rsid w:val="1EC45B21"/>
    <w:rsid w:val="1ECB6493"/>
    <w:rsid w:val="1ECC50FA"/>
    <w:rsid w:val="1EE06A25"/>
    <w:rsid w:val="1EF102E3"/>
    <w:rsid w:val="1EFF124F"/>
    <w:rsid w:val="1F073C5F"/>
    <w:rsid w:val="1F0B38CE"/>
    <w:rsid w:val="1F1545CE"/>
    <w:rsid w:val="1F1620F4"/>
    <w:rsid w:val="1F187A65"/>
    <w:rsid w:val="1F2348AD"/>
    <w:rsid w:val="1F2E5690"/>
    <w:rsid w:val="1F443106"/>
    <w:rsid w:val="1F63358C"/>
    <w:rsid w:val="1F7C289F"/>
    <w:rsid w:val="1F8E040E"/>
    <w:rsid w:val="1F923E71"/>
    <w:rsid w:val="1F9A0A1B"/>
    <w:rsid w:val="1F9E2816"/>
    <w:rsid w:val="1FA63478"/>
    <w:rsid w:val="1FB44EB6"/>
    <w:rsid w:val="1FBF749E"/>
    <w:rsid w:val="1FDB3ED7"/>
    <w:rsid w:val="1FF73CD4"/>
    <w:rsid w:val="1FFE32B4"/>
    <w:rsid w:val="20052895"/>
    <w:rsid w:val="20053A2A"/>
    <w:rsid w:val="201168B8"/>
    <w:rsid w:val="202D76F6"/>
    <w:rsid w:val="203B62B7"/>
    <w:rsid w:val="205A7065"/>
    <w:rsid w:val="206053DD"/>
    <w:rsid w:val="207E513C"/>
    <w:rsid w:val="20B16579"/>
    <w:rsid w:val="20B6593D"/>
    <w:rsid w:val="20BA5672"/>
    <w:rsid w:val="20BE47F2"/>
    <w:rsid w:val="20DB01C7"/>
    <w:rsid w:val="20E05897"/>
    <w:rsid w:val="20E56222"/>
    <w:rsid w:val="20E83230"/>
    <w:rsid w:val="20EB21E9"/>
    <w:rsid w:val="210D3309"/>
    <w:rsid w:val="212925B3"/>
    <w:rsid w:val="21354AB4"/>
    <w:rsid w:val="214E346A"/>
    <w:rsid w:val="214E3DC8"/>
    <w:rsid w:val="215F4227"/>
    <w:rsid w:val="21604585"/>
    <w:rsid w:val="217E2D0B"/>
    <w:rsid w:val="217F2976"/>
    <w:rsid w:val="21A338D0"/>
    <w:rsid w:val="21B26104"/>
    <w:rsid w:val="21B31E7D"/>
    <w:rsid w:val="21B52099"/>
    <w:rsid w:val="21CD73E2"/>
    <w:rsid w:val="21D77852"/>
    <w:rsid w:val="21E547B3"/>
    <w:rsid w:val="21FC3824"/>
    <w:rsid w:val="22160D89"/>
    <w:rsid w:val="22230DB0"/>
    <w:rsid w:val="222903F8"/>
    <w:rsid w:val="222B7F3A"/>
    <w:rsid w:val="222E3C91"/>
    <w:rsid w:val="223B4467"/>
    <w:rsid w:val="22452667"/>
    <w:rsid w:val="224C47AB"/>
    <w:rsid w:val="22537389"/>
    <w:rsid w:val="22596EC8"/>
    <w:rsid w:val="226C4DFB"/>
    <w:rsid w:val="226D1CAC"/>
    <w:rsid w:val="227637BF"/>
    <w:rsid w:val="22804328"/>
    <w:rsid w:val="228D7546"/>
    <w:rsid w:val="2290533E"/>
    <w:rsid w:val="22B279D9"/>
    <w:rsid w:val="22BB548D"/>
    <w:rsid w:val="22BF31CF"/>
    <w:rsid w:val="22C87E82"/>
    <w:rsid w:val="22DD23CC"/>
    <w:rsid w:val="22F4274D"/>
    <w:rsid w:val="230A01C2"/>
    <w:rsid w:val="23166B67"/>
    <w:rsid w:val="23311CBD"/>
    <w:rsid w:val="234B4D59"/>
    <w:rsid w:val="23566F63"/>
    <w:rsid w:val="235F406A"/>
    <w:rsid w:val="23681B5E"/>
    <w:rsid w:val="237F470C"/>
    <w:rsid w:val="23817E2D"/>
    <w:rsid w:val="238C0CE3"/>
    <w:rsid w:val="238E4C76"/>
    <w:rsid w:val="23957A8C"/>
    <w:rsid w:val="23963804"/>
    <w:rsid w:val="239A32F4"/>
    <w:rsid w:val="23A87290"/>
    <w:rsid w:val="23B23C9F"/>
    <w:rsid w:val="23C827CC"/>
    <w:rsid w:val="23CD4458"/>
    <w:rsid w:val="23DC1B5F"/>
    <w:rsid w:val="23E2428D"/>
    <w:rsid w:val="23E26A49"/>
    <w:rsid w:val="23E34C9B"/>
    <w:rsid w:val="23E46C65"/>
    <w:rsid w:val="23E75BB3"/>
    <w:rsid w:val="23EB1DA2"/>
    <w:rsid w:val="24066BDB"/>
    <w:rsid w:val="240864B0"/>
    <w:rsid w:val="24217571"/>
    <w:rsid w:val="24247062"/>
    <w:rsid w:val="24274153"/>
    <w:rsid w:val="244014F2"/>
    <w:rsid w:val="24410122"/>
    <w:rsid w:val="244B1E69"/>
    <w:rsid w:val="244F0582"/>
    <w:rsid w:val="24547947"/>
    <w:rsid w:val="24567F3A"/>
    <w:rsid w:val="24575628"/>
    <w:rsid w:val="245A2A83"/>
    <w:rsid w:val="246F59D4"/>
    <w:rsid w:val="24771F35"/>
    <w:rsid w:val="247B1377"/>
    <w:rsid w:val="24800E1A"/>
    <w:rsid w:val="24856DFE"/>
    <w:rsid w:val="24A73F1B"/>
    <w:rsid w:val="24D64800"/>
    <w:rsid w:val="24D64991"/>
    <w:rsid w:val="24E707BB"/>
    <w:rsid w:val="24EA5845"/>
    <w:rsid w:val="24EF141E"/>
    <w:rsid w:val="24F17DA3"/>
    <w:rsid w:val="25090E6C"/>
    <w:rsid w:val="25227388"/>
    <w:rsid w:val="252A016D"/>
    <w:rsid w:val="25330F13"/>
    <w:rsid w:val="25397845"/>
    <w:rsid w:val="255F47F5"/>
    <w:rsid w:val="256073CC"/>
    <w:rsid w:val="258129BE"/>
    <w:rsid w:val="259737EF"/>
    <w:rsid w:val="2599171D"/>
    <w:rsid w:val="25AC730F"/>
    <w:rsid w:val="25AF1309"/>
    <w:rsid w:val="25B85CB3"/>
    <w:rsid w:val="25BF7042"/>
    <w:rsid w:val="25D0124F"/>
    <w:rsid w:val="25D24FC7"/>
    <w:rsid w:val="25DA3E87"/>
    <w:rsid w:val="25DB0AC7"/>
    <w:rsid w:val="25E544E7"/>
    <w:rsid w:val="25EF3DCB"/>
    <w:rsid w:val="25FC373A"/>
    <w:rsid w:val="26110984"/>
    <w:rsid w:val="261C26E6"/>
    <w:rsid w:val="261D1FBA"/>
    <w:rsid w:val="26213859"/>
    <w:rsid w:val="262C6D85"/>
    <w:rsid w:val="262E2F90"/>
    <w:rsid w:val="263317DE"/>
    <w:rsid w:val="2637307C"/>
    <w:rsid w:val="263A7940"/>
    <w:rsid w:val="263F0183"/>
    <w:rsid w:val="26404627"/>
    <w:rsid w:val="26451C3D"/>
    <w:rsid w:val="264B021E"/>
    <w:rsid w:val="264D5651"/>
    <w:rsid w:val="26551DA8"/>
    <w:rsid w:val="265A320F"/>
    <w:rsid w:val="265D1DDA"/>
    <w:rsid w:val="266320C3"/>
    <w:rsid w:val="267C2231"/>
    <w:rsid w:val="26891C51"/>
    <w:rsid w:val="26A54474"/>
    <w:rsid w:val="26BA352E"/>
    <w:rsid w:val="26C37006"/>
    <w:rsid w:val="26CD32AA"/>
    <w:rsid w:val="26D54573"/>
    <w:rsid w:val="26D55540"/>
    <w:rsid w:val="26EF6CED"/>
    <w:rsid w:val="26F45411"/>
    <w:rsid w:val="26F70561"/>
    <w:rsid w:val="270A6148"/>
    <w:rsid w:val="27191010"/>
    <w:rsid w:val="271E423C"/>
    <w:rsid w:val="272B1C9D"/>
    <w:rsid w:val="27315D1D"/>
    <w:rsid w:val="273D0B66"/>
    <w:rsid w:val="273E7F57"/>
    <w:rsid w:val="274337CE"/>
    <w:rsid w:val="27450658"/>
    <w:rsid w:val="2753038A"/>
    <w:rsid w:val="27565784"/>
    <w:rsid w:val="276460F3"/>
    <w:rsid w:val="2786250D"/>
    <w:rsid w:val="27892580"/>
    <w:rsid w:val="278C6F0B"/>
    <w:rsid w:val="278E3170"/>
    <w:rsid w:val="279A26BD"/>
    <w:rsid w:val="27BC4EFE"/>
    <w:rsid w:val="27BD264C"/>
    <w:rsid w:val="27CC3C98"/>
    <w:rsid w:val="27D50D9F"/>
    <w:rsid w:val="27DC212D"/>
    <w:rsid w:val="28235FAE"/>
    <w:rsid w:val="283A3DB0"/>
    <w:rsid w:val="284229E0"/>
    <w:rsid w:val="284952E9"/>
    <w:rsid w:val="284B72B3"/>
    <w:rsid w:val="285A61D7"/>
    <w:rsid w:val="285C501C"/>
    <w:rsid w:val="285F68BA"/>
    <w:rsid w:val="28643ED1"/>
    <w:rsid w:val="287560DE"/>
    <w:rsid w:val="287C33BD"/>
    <w:rsid w:val="28904CC6"/>
    <w:rsid w:val="28926C90"/>
    <w:rsid w:val="28AB23FE"/>
    <w:rsid w:val="28AF1650"/>
    <w:rsid w:val="28AF7842"/>
    <w:rsid w:val="28B33263"/>
    <w:rsid w:val="28B9421C"/>
    <w:rsid w:val="28CC52A3"/>
    <w:rsid w:val="28F11C08"/>
    <w:rsid w:val="28FE090D"/>
    <w:rsid w:val="290C07F0"/>
    <w:rsid w:val="291C47AB"/>
    <w:rsid w:val="29271A16"/>
    <w:rsid w:val="292A6EC8"/>
    <w:rsid w:val="292D0766"/>
    <w:rsid w:val="29313251"/>
    <w:rsid w:val="294A756A"/>
    <w:rsid w:val="29651446"/>
    <w:rsid w:val="2973261D"/>
    <w:rsid w:val="297445E7"/>
    <w:rsid w:val="29771C90"/>
    <w:rsid w:val="29973FC2"/>
    <w:rsid w:val="29A058F9"/>
    <w:rsid w:val="29B449E4"/>
    <w:rsid w:val="29C25353"/>
    <w:rsid w:val="29CE0A69"/>
    <w:rsid w:val="29D62F16"/>
    <w:rsid w:val="29FA1214"/>
    <w:rsid w:val="2A0259D5"/>
    <w:rsid w:val="2A1503AE"/>
    <w:rsid w:val="2A2A28AF"/>
    <w:rsid w:val="2A335782"/>
    <w:rsid w:val="2A3A75DF"/>
    <w:rsid w:val="2A50622B"/>
    <w:rsid w:val="2A570191"/>
    <w:rsid w:val="2A670B7C"/>
    <w:rsid w:val="2A6F5FF8"/>
    <w:rsid w:val="2A9A62D0"/>
    <w:rsid w:val="2AA131BA"/>
    <w:rsid w:val="2AAD6B21"/>
    <w:rsid w:val="2ABA24CE"/>
    <w:rsid w:val="2ACD6F90"/>
    <w:rsid w:val="2AD970ED"/>
    <w:rsid w:val="2ADC2444"/>
    <w:rsid w:val="2AE8703B"/>
    <w:rsid w:val="2AFB2C76"/>
    <w:rsid w:val="2B0C0D70"/>
    <w:rsid w:val="2B142FBB"/>
    <w:rsid w:val="2B157704"/>
    <w:rsid w:val="2B43705C"/>
    <w:rsid w:val="2B487ADA"/>
    <w:rsid w:val="2B496BF1"/>
    <w:rsid w:val="2B536537"/>
    <w:rsid w:val="2B5B780D"/>
    <w:rsid w:val="2B715282"/>
    <w:rsid w:val="2B8054C5"/>
    <w:rsid w:val="2B8E1990"/>
    <w:rsid w:val="2B8F29DA"/>
    <w:rsid w:val="2B8F30C6"/>
    <w:rsid w:val="2BA03472"/>
    <w:rsid w:val="2BA31A6A"/>
    <w:rsid w:val="2BC412D1"/>
    <w:rsid w:val="2BDB28F8"/>
    <w:rsid w:val="2BE167EC"/>
    <w:rsid w:val="2BE738FC"/>
    <w:rsid w:val="2BF437BD"/>
    <w:rsid w:val="2BF57C61"/>
    <w:rsid w:val="2BFA7026"/>
    <w:rsid w:val="2BFD08C4"/>
    <w:rsid w:val="2C370F78"/>
    <w:rsid w:val="2C5524AE"/>
    <w:rsid w:val="2C680433"/>
    <w:rsid w:val="2C701096"/>
    <w:rsid w:val="2C804AD7"/>
    <w:rsid w:val="2C995789"/>
    <w:rsid w:val="2C9C6D6F"/>
    <w:rsid w:val="2CA05B4A"/>
    <w:rsid w:val="2CA4032A"/>
    <w:rsid w:val="2CA86A82"/>
    <w:rsid w:val="2CA945A8"/>
    <w:rsid w:val="2CB86075"/>
    <w:rsid w:val="2CBA721C"/>
    <w:rsid w:val="2CC444C4"/>
    <w:rsid w:val="2CDC497D"/>
    <w:rsid w:val="2CE340CE"/>
    <w:rsid w:val="2CEB4BC0"/>
    <w:rsid w:val="2CF32C88"/>
    <w:rsid w:val="2D022756"/>
    <w:rsid w:val="2D285E15"/>
    <w:rsid w:val="2D2D342B"/>
    <w:rsid w:val="2D3227EF"/>
    <w:rsid w:val="2D3E1538"/>
    <w:rsid w:val="2D4F60C0"/>
    <w:rsid w:val="2D5A7AC5"/>
    <w:rsid w:val="2D6329A9"/>
    <w:rsid w:val="2D7828F8"/>
    <w:rsid w:val="2D8F379E"/>
    <w:rsid w:val="2D915768"/>
    <w:rsid w:val="2D917516"/>
    <w:rsid w:val="2D92328E"/>
    <w:rsid w:val="2DA51213"/>
    <w:rsid w:val="2DC9440B"/>
    <w:rsid w:val="2DE03C1B"/>
    <w:rsid w:val="2DED6716"/>
    <w:rsid w:val="2E0917A2"/>
    <w:rsid w:val="2E0E0B66"/>
    <w:rsid w:val="2E220AB6"/>
    <w:rsid w:val="2E3E60C8"/>
    <w:rsid w:val="2E3F3416"/>
    <w:rsid w:val="2E4D43F7"/>
    <w:rsid w:val="2E504119"/>
    <w:rsid w:val="2E6469D8"/>
    <w:rsid w:val="2E6A3C6B"/>
    <w:rsid w:val="2E723F35"/>
    <w:rsid w:val="2E783F54"/>
    <w:rsid w:val="2E7A61FC"/>
    <w:rsid w:val="2E8B0409"/>
    <w:rsid w:val="2E8C5391"/>
    <w:rsid w:val="2E9F5C62"/>
    <w:rsid w:val="2EA15E75"/>
    <w:rsid w:val="2EAF70CA"/>
    <w:rsid w:val="2EB67F0B"/>
    <w:rsid w:val="2EC06A8D"/>
    <w:rsid w:val="2EC76EC3"/>
    <w:rsid w:val="2EC847E1"/>
    <w:rsid w:val="2EDA75A3"/>
    <w:rsid w:val="2EDF63DC"/>
    <w:rsid w:val="2EF01B85"/>
    <w:rsid w:val="2EF04710"/>
    <w:rsid w:val="2EF35FAE"/>
    <w:rsid w:val="2EF835C5"/>
    <w:rsid w:val="2F012479"/>
    <w:rsid w:val="2F3E547B"/>
    <w:rsid w:val="2F400EAC"/>
    <w:rsid w:val="2F425750"/>
    <w:rsid w:val="2F6B3D97"/>
    <w:rsid w:val="2F854E58"/>
    <w:rsid w:val="2F8C268B"/>
    <w:rsid w:val="2F8F1157"/>
    <w:rsid w:val="2F9037FD"/>
    <w:rsid w:val="2F9E3FF8"/>
    <w:rsid w:val="2FA379D4"/>
    <w:rsid w:val="2FA96BA0"/>
    <w:rsid w:val="2FBB4D1E"/>
    <w:rsid w:val="2FD82DA0"/>
    <w:rsid w:val="2FE34275"/>
    <w:rsid w:val="2FE80DEF"/>
    <w:rsid w:val="2FFE2E5D"/>
    <w:rsid w:val="30035D34"/>
    <w:rsid w:val="3007640D"/>
    <w:rsid w:val="30085A89"/>
    <w:rsid w:val="300B1296"/>
    <w:rsid w:val="30110DE2"/>
    <w:rsid w:val="301662F0"/>
    <w:rsid w:val="301F1C5F"/>
    <w:rsid w:val="30223781"/>
    <w:rsid w:val="302E54F0"/>
    <w:rsid w:val="30377374"/>
    <w:rsid w:val="30515682"/>
    <w:rsid w:val="305678C5"/>
    <w:rsid w:val="305D4448"/>
    <w:rsid w:val="3069477A"/>
    <w:rsid w:val="306A61E4"/>
    <w:rsid w:val="3071156C"/>
    <w:rsid w:val="30742D8C"/>
    <w:rsid w:val="307A6791"/>
    <w:rsid w:val="307D6477"/>
    <w:rsid w:val="309E6258"/>
    <w:rsid w:val="30BA6FF0"/>
    <w:rsid w:val="30CE6CD3"/>
    <w:rsid w:val="30D44EFB"/>
    <w:rsid w:val="30E20088"/>
    <w:rsid w:val="30EB4DA4"/>
    <w:rsid w:val="30F924D9"/>
    <w:rsid w:val="31046251"/>
    <w:rsid w:val="310C5B7B"/>
    <w:rsid w:val="31101099"/>
    <w:rsid w:val="31224929"/>
    <w:rsid w:val="31230DCD"/>
    <w:rsid w:val="312A215B"/>
    <w:rsid w:val="312B5ED3"/>
    <w:rsid w:val="312E01DA"/>
    <w:rsid w:val="31336B36"/>
    <w:rsid w:val="313577F3"/>
    <w:rsid w:val="315168E0"/>
    <w:rsid w:val="3152520E"/>
    <w:rsid w:val="315A5EDB"/>
    <w:rsid w:val="315E0057"/>
    <w:rsid w:val="317433D6"/>
    <w:rsid w:val="317A52DF"/>
    <w:rsid w:val="319C1330"/>
    <w:rsid w:val="319E0A51"/>
    <w:rsid w:val="31AC45D5"/>
    <w:rsid w:val="31AD1148"/>
    <w:rsid w:val="32002EBC"/>
    <w:rsid w:val="321626E0"/>
    <w:rsid w:val="32374D1B"/>
    <w:rsid w:val="32537490"/>
    <w:rsid w:val="32562ADC"/>
    <w:rsid w:val="32690A61"/>
    <w:rsid w:val="326C2300"/>
    <w:rsid w:val="32702C57"/>
    <w:rsid w:val="327B2543"/>
    <w:rsid w:val="327D42ED"/>
    <w:rsid w:val="32927B98"/>
    <w:rsid w:val="32953ED5"/>
    <w:rsid w:val="329561BF"/>
    <w:rsid w:val="329F4483"/>
    <w:rsid w:val="32A61CB5"/>
    <w:rsid w:val="32AD41DE"/>
    <w:rsid w:val="32AE26EC"/>
    <w:rsid w:val="32B819E9"/>
    <w:rsid w:val="32CE2FBA"/>
    <w:rsid w:val="32D560F7"/>
    <w:rsid w:val="32E220DE"/>
    <w:rsid w:val="32E67E0B"/>
    <w:rsid w:val="32F12E60"/>
    <w:rsid w:val="330B19D8"/>
    <w:rsid w:val="332901F1"/>
    <w:rsid w:val="33370A9A"/>
    <w:rsid w:val="336E46F5"/>
    <w:rsid w:val="337A1509"/>
    <w:rsid w:val="33880E12"/>
    <w:rsid w:val="3390201E"/>
    <w:rsid w:val="339863BB"/>
    <w:rsid w:val="339D3A80"/>
    <w:rsid w:val="339E473B"/>
    <w:rsid w:val="33AB32FB"/>
    <w:rsid w:val="33AE70F1"/>
    <w:rsid w:val="33B36B55"/>
    <w:rsid w:val="33CA6135"/>
    <w:rsid w:val="33D5091C"/>
    <w:rsid w:val="33DC1707"/>
    <w:rsid w:val="33E01307"/>
    <w:rsid w:val="33F60149"/>
    <w:rsid w:val="34034EE6"/>
    <w:rsid w:val="341B50F6"/>
    <w:rsid w:val="344277BC"/>
    <w:rsid w:val="345614B9"/>
    <w:rsid w:val="348F6779"/>
    <w:rsid w:val="34A12FFE"/>
    <w:rsid w:val="34A75871"/>
    <w:rsid w:val="34AA710F"/>
    <w:rsid w:val="34CE0D2A"/>
    <w:rsid w:val="34FE2D08"/>
    <w:rsid w:val="35051E98"/>
    <w:rsid w:val="351D1FD7"/>
    <w:rsid w:val="3529097C"/>
    <w:rsid w:val="353115DE"/>
    <w:rsid w:val="353431B1"/>
    <w:rsid w:val="353F5AA9"/>
    <w:rsid w:val="35472BB0"/>
    <w:rsid w:val="355D23D3"/>
    <w:rsid w:val="357217B7"/>
    <w:rsid w:val="3576706A"/>
    <w:rsid w:val="3592207D"/>
    <w:rsid w:val="359978AF"/>
    <w:rsid w:val="35A0381D"/>
    <w:rsid w:val="35AC1E6F"/>
    <w:rsid w:val="35CA0050"/>
    <w:rsid w:val="35D22705"/>
    <w:rsid w:val="35D22DC1"/>
    <w:rsid w:val="35F40B39"/>
    <w:rsid w:val="35FB2318"/>
    <w:rsid w:val="36047F12"/>
    <w:rsid w:val="36105698"/>
    <w:rsid w:val="3619454C"/>
    <w:rsid w:val="36221154"/>
    <w:rsid w:val="36257395"/>
    <w:rsid w:val="362858C1"/>
    <w:rsid w:val="3630439A"/>
    <w:rsid w:val="363809D2"/>
    <w:rsid w:val="3644480A"/>
    <w:rsid w:val="365E35EF"/>
    <w:rsid w:val="366B28CE"/>
    <w:rsid w:val="36767BF1"/>
    <w:rsid w:val="36941E25"/>
    <w:rsid w:val="369D33CF"/>
    <w:rsid w:val="36B13048"/>
    <w:rsid w:val="36BC771A"/>
    <w:rsid w:val="36BD5820"/>
    <w:rsid w:val="36BF3346"/>
    <w:rsid w:val="36C100B2"/>
    <w:rsid w:val="36CA5F71"/>
    <w:rsid w:val="36DB7A54"/>
    <w:rsid w:val="37180EE6"/>
    <w:rsid w:val="371D62BE"/>
    <w:rsid w:val="374D1D52"/>
    <w:rsid w:val="374E70EC"/>
    <w:rsid w:val="375D2B5F"/>
    <w:rsid w:val="375F0685"/>
    <w:rsid w:val="37782D1F"/>
    <w:rsid w:val="379D30A7"/>
    <w:rsid w:val="37A4253C"/>
    <w:rsid w:val="37BF1155"/>
    <w:rsid w:val="37C16C4A"/>
    <w:rsid w:val="37D270A9"/>
    <w:rsid w:val="37EB761E"/>
    <w:rsid w:val="37EB77D4"/>
    <w:rsid w:val="37F121B9"/>
    <w:rsid w:val="37F30DCD"/>
    <w:rsid w:val="37F428CF"/>
    <w:rsid w:val="37F60485"/>
    <w:rsid w:val="37F86F59"/>
    <w:rsid w:val="380934C1"/>
    <w:rsid w:val="380A05F1"/>
    <w:rsid w:val="381761BF"/>
    <w:rsid w:val="38196A86"/>
    <w:rsid w:val="382C2DD9"/>
    <w:rsid w:val="384150C8"/>
    <w:rsid w:val="384A30E3"/>
    <w:rsid w:val="38675A43"/>
    <w:rsid w:val="388B1BE8"/>
    <w:rsid w:val="388D4D7E"/>
    <w:rsid w:val="389B56ED"/>
    <w:rsid w:val="38A722E3"/>
    <w:rsid w:val="38B00000"/>
    <w:rsid w:val="38DC74EF"/>
    <w:rsid w:val="38DD5D05"/>
    <w:rsid w:val="38E946AA"/>
    <w:rsid w:val="391C0B65"/>
    <w:rsid w:val="3926610B"/>
    <w:rsid w:val="39292CF8"/>
    <w:rsid w:val="392A0726"/>
    <w:rsid w:val="394B27E7"/>
    <w:rsid w:val="39616936"/>
    <w:rsid w:val="396F10E5"/>
    <w:rsid w:val="39897C3B"/>
    <w:rsid w:val="398C3287"/>
    <w:rsid w:val="399218BB"/>
    <w:rsid w:val="39B27192"/>
    <w:rsid w:val="39C26CA9"/>
    <w:rsid w:val="39CB059B"/>
    <w:rsid w:val="39EE5CF0"/>
    <w:rsid w:val="39EE5E5A"/>
    <w:rsid w:val="39F204E9"/>
    <w:rsid w:val="39F229AD"/>
    <w:rsid w:val="3A045513"/>
    <w:rsid w:val="3A06328A"/>
    <w:rsid w:val="3A267238"/>
    <w:rsid w:val="3A2D4A6A"/>
    <w:rsid w:val="3A3000B7"/>
    <w:rsid w:val="3A3050F0"/>
    <w:rsid w:val="3A323C09"/>
    <w:rsid w:val="3A4060DF"/>
    <w:rsid w:val="3A59463F"/>
    <w:rsid w:val="3A6366DE"/>
    <w:rsid w:val="3A695102"/>
    <w:rsid w:val="3A766411"/>
    <w:rsid w:val="3A7E52C6"/>
    <w:rsid w:val="3A995C5C"/>
    <w:rsid w:val="3A9C74FA"/>
    <w:rsid w:val="3AA0523C"/>
    <w:rsid w:val="3ADA3505"/>
    <w:rsid w:val="3AE50908"/>
    <w:rsid w:val="3AE96BE3"/>
    <w:rsid w:val="3AFC28BB"/>
    <w:rsid w:val="3B021A53"/>
    <w:rsid w:val="3B022AA6"/>
    <w:rsid w:val="3B0A04B5"/>
    <w:rsid w:val="3B2C087E"/>
    <w:rsid w:val="3B47510C"/>
    <w:rsid w:val="3B516536"/>
    <w:rsid w:val="3B581673"/>
    <w:rsid w:val="3B626996"/>
    <w:rsid w:val="3B742225"/>
    <w:rsid w:val="3B7B545E"/>
    <w:rsid w:val="3B954917"/>
    <w:rsid w:val="3BAE5737"/>
    <w:rsid w:val="3BB77BFA"/>
    <w:rsid w:val="3BC7163B"/>
    <w:rsid w:val="3BC82C9D"/>
    <w:rsid w:val="3BCB0097"/>
    <w:rsid w:val="3BD553B9"/>
    <w:rsid w:val="3BDC6356"/>
    <w:rsid w:val="3BE02288"/>
    <w:rsid w:val="3BE11C06"/>
    <w:rsid w:val="3C08753D"/>
    <w:rsid w:val="3C0E1D80"/>
    <w:rsid w:val="3C192018"/>
    <w:rsid w:val="3C587CFF"/>
    <w:rsid w:val="3C666012"/>
    <w:rsid w:val="3C66681A"/>
    <w:rsid w:val="3C690932"/>
    <w:rsid w:val="3C6978B0"/>
    <w:rsid w:val="3C720E5A"/>
    <w:rsid w:val="3C736687"/>
    <w:rsid w:val="3C931288"/>
    <w:rsid w:val="3C9963E7"/>
    <w:rsid w:val="3CB50EC3"/>
    <w:rsid w:val="3CDB69FF"/>
    <w:rsid w:val="3CDC5A84"/>
    <w:rsid w:val="3CE06583"/>
    <w:rsid w:val="3CE16B46"/>
    <w:rsid w:val="3CEC4769"/>
    <w:rsid w:val="3D166167"/>
    <w:rsid w:val="3D2E2FD3"/>
    <w:rsid w:val="3D404AB5"/>
    <w:rsid w:val="3D4322B8"/>
    <w:rsid w:val="3D54230E"/>
    <w:rsid w:val="3D673DEF"/>
    <w:rsid w:val="3D680F1F"/>
    <w:rsid w:val="3D7604D6"/>
    <w:rsid w:val="3D803103"/>
    <w:rsid w:val="3DA410BD"/>
    <w:rsid w:val="3DA805C5"/>
    <w:rsid w:val="3DBA53EC"/>
    <w:rsid w:val="3DDD684C"/>
    <w:rsid w:val="3DF17B5D"/>
    <w:rsid w:val="3E005610"/>
    <w:rsid w:val="3E0C44D8"/>
    <w:rsid w:val="3E1614A9"/>
    <w:rsid w:val="3E23240C"/>
    <w:rsid w:val="3E3F44C8"/>
    <w:rsid w:val="3E444130"/>
    <w:rsid w:val="3E546A69"/>
    <w:rsid w:val="3E573E64"/>
    <w:rsid w:val="3E5F109C"/>
    <w:rsid w:val="3E94330A"/>
    <w:rsid w:val="3E9441B5"/>
    <w:rsid w:val="3E9A2148"/>
    <w:rsid w:val="3ECA5A05"/>
    <w:rsid w:val="3ED53F87"/>
    <w:rsid w:val="3EEE6F23"/>
    <w:rsid w:val="3EF006EB"/>
    <w:rsid w:val="3F125FDD"/>
    <w:rsid w:val="3F19736B"/>
    <w:rsid w:val="3F2D72BA"/>
    <w:rsid w:val="3F377EB6"/>
    <w:rsid w:val="3F584337"/>
    <w:rsid w:val="3F593C0C"/>
    <w:rsid w:val="3F5C48DC"/>
    <w:rsid w:val="3F755A3E"/>
    <w:rsid w:val="3F75A234"/>
    <w:rsid w:val="3F77366E"/>
    <w:rsid w:val="3F7F933A"/>
    <w:rsid w:val="3F9064B0"/>
    <w:rsid w:val="3F987964"/>
    <w:rsid w:val="3FA255B3"/>
    <w:rsid w:val="3FB157F6"/>
    <w:rsid w:val="3FB71638"/>
    <w:rsid w:val="3FBA12F5"/>
    <w:rsid w:val="3FBB48C6"/>
    <w:rsid w:val="3FC45529"/>
    <w:rsid w:val="3FF40476"/>
    <w:rsid w:val="3FF658FE"/>
    <w:rsid w:val="40001FB5"/>
    <w:rsid w:val="401E0AB6"/>
    <w:rsid w:val="402173E0"/>
    <w:rsid w:val="402B544D"/>
    <w:rsid w:val="402E6E46"/>
    <w:rsid w:val="403A3A3D"/>
    <w:rsid w:val="40421816"/>
    <w:rsid w:val="40453107"/>
    <w:rsid w:val="405F16F6"/>
    <w:rsid w:val="4061546E"/>
    <w:rsid w:val="406B3BF6"/>
    <w:rsid w:val="406E5B77"/>
    <w:rsid w:val="40844CB8"/>
    <w:rsid w:val="40A9471F"/>
    <w:rsid w:val="40B05AAD"/>
    <w:rsid w:val="40B76E3C"/>
    <w:rsid w:val="40BE641C"/>
    <w:rsid w:val="40C14EC9"/>
    <w:rsid w:val="40C854ED"/>
    <w:rsid w:val="40FB141E"/>
    <w:rsid w:val="410F0F1F"/>
    <w:rsid w:val="4113561B"/>
    <w:rsid w:val="412B5C16"/>
    <w:rsid w:val="414D154E"/>
    <w:rsid w:val="414F016A"/>
    <w:rsid w:val="41777303"/>
    <w:rsid w:val="41850CE8"/>
    <w:rsid w:val="419D24D5"/>
    <w:rsid w:val="419F7D88"/>
    <w:rsid w:val="41A03D74"/>
    <w:rsid w:val="41A41AB6"/>
    <w:rsid w:val="41AA4BF2"/>
    <w:rsid w:val="41BA5704"/>
    <w:rsid w:val="41CD7411"/>
    <w:rsid w:val="41DF489C"/>
    <w:rsid w:val="42022339"/>
    <w:rsid w:val="42041240"/>
    <w:rsid w:val="421502BE"/>
    <w:rsid w:val="42165DE4"/>
    <w:rsid w:val="422D0488"/>
    <w:rsid w:val="422E5823"/>
    <w:rsid w:val="423821FE"/>
    <w:rsid w:val="42397789"/>
    <w:rsid w:val="42426BD9"/>
    <w:rsid w:val="424961B9"/>
    <w:rsid w:val="42701998"/>
    <w:rsid w:val="42772D26"/>
    <w:rsid w:val="42782282"/>
    <w:rsid w:val="42982277"/>
    <w:rsid w:val="42A930FC"/>
    <w:rsid w:val="42AF1CC0"/>
    <w:rsid w:val="42B555FD"/>
    <w:rsid w:val="42C25AFB"/>
    <w:rsid w:val="42CB6BCE"/>
    <w:rsid w:val="42CC108E"/>
    <w:rsid w:val="42D245F1"/>
    <w:rsid w:val="42F174FD"/>
    <w:rsid w:val="42F26851"/>
    <w:rsid w:val="42F44062"/>
    <w:rsid w:val="42F77573"/>
    <w:rsid w:val="43102AFF"/>
    <w:rsid w:val="431B2F6B"/>
    <w:rsid w:val="432D5ADB"/>
    <w:rsid w:val="43340C18"/>
    <w:rsid w:val="4346094B"/>
    <w:rsid w:val="434D3A87"/>
    <w:rsid w:val="43511634"/>
    <w:rsid w:val="435B611E"/>
    <w:rsid w:val="43601A05"/>
    <w:rsid w:val="436A5D90"/>
    <w:rsid w:val="436E6B9A"/>
    <w:rsid w:val="436F39FE"/>
    <w:rsid w:val="438D0328"/>
    <w:rsid w:val="43A75C9A"/>
    <w:rsid w:val="43CB44FA"/>
    <w:rsid w:val="43CC5342"/>
    <w:rsid w:val="43D249D4"/>
    <w:rsid w:val="43DD4E0B"/>
    <w:rsid w:val="43DE2931"/>
    <w:rsid w:val="43DF2D36"/>
    <w:rsid w:val="43E97C54"/>
    <w:rsid w:val="43F108B7"/>
    <w:rsid w:val="440C2A03"/>
    <w:rsid w:val="442073EE"/>
    <w:rsid w:val="44496DE6"/>
    <w:rsid w:val="445A645C"/>
    <w:rsid w:val="445D5F4C"/>
    <w:rsid w:val="445E55DD"/>
    <w:rsid w:val="448259B3"/>
    <w:rsid w:val="4489588A"/>
    <w:rsid w:val="44903845"/>
    <w:rsid w:val="44A21BB1"/>
    <w:rsid w:val="44B22AAB"/>
    <w:rsid w:val="44CE6E4A"/>
    <w:rsid w:val="44F62588"/>
    <w:rsid w:val="44F81C3C"/>
    <w:rsid w:val="44FC7513"/>
    <w:rsid w:val="44FD30EC"/>
    <w:rsid w:val="45071184"/>
    <w:rsid w:val="45085EB8"/>
    <w:rsid w:val="45091B37"/>
    <w:rsid w:val="45292729"/>
    <w:rsid w:val="452B1BA6"/>
    <w:rsid w:val="452C3E8A"/>
    <w:rsid w:val="4532425A"/>
    <w:rsid w:val="454B6FE6"/>
    <w:rsid w:val="454D5FC1"/>
    <w:rsid w:val="45611A6C"/>
    <w:rsid w:val="456B6447"/>
    <w:rsid w:val="4570065B"/>
    <w:rsid w:val="457C67ED"/>
    <w:rsid w:val="45912351"/>
    <w:rsid w:val="45961498"/>
    <w:rsid w:val="459D1CEF"/>
    <w:rsid w:val="45A32084"/>
    <w:rsid w:val="45B676AD"/>
    <w:rsid w:val="45C67564"/>
    <w:rsid w:val="45C73AC7"/>
    <w:rsid w:val="45DD5596"/>
    <w:rsid w:val="45ED64C7"/>
    <w:rsid w:val="460348D1"/>
    <w:rsid w:val="460D5750"/>
    <w:rsid w:val="46397A31"/>
    <w:rsid w:val="463E3B5B"/>
    <w:rsid w:val="46443EE8"/>
    <w:rsid w:val="466E0628"/>
    <w:rsid w:val="4678706D"/>
    <w:rsid w:val="4685178A"/>
    <w:rsid w:val="468757C6"/>
    <w:rsid w:val="46880A03"/>
    <w:rsid w:val="468D70CB"/>
    <w:rsid w:val="46A354E4"/>
    <w:rsid w:val="46AD3EC0"/>
    <w:rsid w:val="46B14F79"/>
    <w:rsid w:val="46B61944"/>
    <w:rsid w:val="46BD0F24"/>
    <w:rsid w:val="46CB53EF"/>
    <w:rsid w:val="46D85D5E"/>
    <w:rsid w:val="46DB7CD7"/>
    <w:rsid w:val="46DD4B7E"/>
    <w:rsid w:val="46E464B1"/>
    <w:rsid w:val="46FD7572"/>
    <w:rsid w:val="46FF2A7C"/>
    <w:rsid w:val="471B29F3"/>
    <w:rsid w:val="47435422"/>
    <w:rsid w:val="47490A0A"/>
    <w:rsid w:val="475C698F"/>
    <w:rsid w:val="47D227AD"/>
    <w:rsid w:val="47DB48C2"/>
    <w:rsid w:val="47F24D5A"/>
    <w:rsid w:val="47F40975"/>
    <w:rsid w:val="47F6649C"/>
    <w:rsid w:val="47FA561F"/>
    <w:rsid w:val="48015ECB"/>
    <w:rsid w:val="480B4ED2"/>
    <w:rsid w:val="481A4F0B"/>
    <w:rsid w:val="481B23A6"/>
    <w:rsid w:val="482A221F"/>
    <w:rsid w:val="48515DC8"/>
    <w:rsid w:val="48750100"/>
    <w:rsid w:val="48847F4B"/>
    <w:rsid w:val="48A37BC6"/>
    <w:rsid w:val="48AE6D76"/>
    <w:rsid w:val="48BF06E6"/>
    <w:rsid w:val="48D0050E"/>
    <w:rsid w:val="48E409EA"/>
    <w:rsid w:val="48E94252"/>
    <w:rsid w:val="48F51259"/>
    <w:rsid w:val="48F74BC1"/>
    <w:rsid w:val="48FA4CE2"/>
    <w:rsid w:val="49016D33"/>
    <w:rsid w:val="4908675A"/>
    <w:rsid w:val="491D214E"/>
    <w:rsid w:val="491E4AB2"/>
    <w:rsid w:val="49212655"/>
    <w:rsid w:val="492178D9"/>
    <w:rsid w:val="4933546B"/>
    <w:rsid w:val="494B0A69"/>
    <w:rsid w:val="49555394"/>
    <w:rsid w:val="49594315"/>
    <w:rsid w:val="4960336B"/>
    <w:rsid w:val="49633E3E"/>
    <w:rsid w:val="496F0BFB"/>
    <w:rsid w:val="49722E45"/>
    <w:rsid w:val="498C612E"/>
    <w:rsid w:val="49AE055F"/>
    <w:rsid w:val="49C26C29"/>
    <w:rsid w:val="49DA5019"/>
    <w:rsid w:val="49E86A9E"/>
    <w:rsid w:val="49FB653F"/>
    <w:rsid w:val="49FF6C95"/>
    <w:rsid w:val="4A2670AB"/>
    <w:rsid w:val="4A297CE3"/>
    <w:rsid w:val="4A2D14ED"/>
    <w:rsid w:val="4A34774F"/>
    <w:rsid w:val="4A462D4C"/>
    <w:rsid w:val="4A5C6DD3"/>
    <w:rsid w:val="4A630034"/>
    <w:rsid w:val="4A632C19"/>
    <w:rsid w:val="4A6E2C61"/>
    <w:rsid w:val="4A7B712C"/>
    <w:rsid w:val="4A914DB2"/>
    <w:rsid w:val="4A9B6A47"/>
    <w:rsid w:val="4AC87561"/>
    <w:rsid w:val="4AD131F0"/>
    <w:rsid w:val="4AFF7D5D"/>
    <w:rsid w:val="4B0F1CF8"/>
    <w:rsid w:val="4B117A90"/>
    <w:rsid w:val="4B180AA6"/>
    <w:rsid w:val="4B1E4DE3"/>
    <w:rsid w:val="4B2C0426"/>
    <w:rsid w:val="4B2F32E7"/>
    <w:rsid w:val="4B3043BA"/>
    <w:rsid w:val="4B481704"/>
    <w:rsid w:val="4B4969AA"/>
    <w:rsid w:val="4B5501F6"/>
    <w:rsid w:val="4B5736F5"/>
    <w:rsid w:val="4B7778F3"/>
    <w:rsid w:val="4B991F60"/>
    <w:rsid w:val="4B9E11B1"/>
    <w:rsid w:val="4BB723E6"/>
    <w:rsid w:val="4BBD5522"/>
    <w:rsid w:val="4BBF19D3"/>
    <w:rsid w:val="4BD46BF0"/>
    <w:rsid w:val="4BDE5BC4"/>
    <w:rsid w:val="4BDE7972"/>
    <w:rsid w:val="4BE331DB"/>
    <w:rsid w:val="4C0D46FC"/>
    <w:rsid w:val="4C115F9A"/>
    <w:rsid w:val="4C121D12"/>
    <w:rsid w:val="4C1C0BBF"/>
    <w:rsid w:val="4C261B07"/>
    <w:rsid w:val="4C371778"/>
    <w:rsid w:val="4C6D4AF5"/>
    <w:rsid w:val="4C72630D"/>
    <w:rsid w:val="4C7B649E"/>
    <w:rsid w:val="4C8B08FD"/>
    <w:rsid w:val="4C982217"/>
    <w:rsid w:val="4CA77209"/>
    <w:rsid w:val="4CAC7A71"/>
    <w:rsid w:val="4CAE58AC"/>
    <w:rsid w:val="4CB644F0"/>
    <w:rsid w:val="4CC36B68"/>
    <w:rsid w:val="4CC86DB0"/>
    <w:rsid w:val="4CD11285"/>
    <w:rsid w:val="4CD33241"/>
    <w:rsid w:val="4CDB2104"/>
    <w:rsid w:val="4CF51418"/>
    <w:rsid w:val="4D0C50A9"/>
    <w:rsid w:val="4D1E3B33"/>
    <w:rsid w:val="4D3A32CE"/>
    <w:rsid w:val="4D3B24DE"/>
    <w:rsid w:val="4D600C21"/>
    <w:rsid w:val="4D64659D"/>
    <w:rsid w:val="4D6A2FDA"/>
    <w:rsid w:val="4D7A4DB6"/>
    <w:rsid w:val="4D7E765F"/>
    <w:rsid w:val="4D987FF5"/>
    <w:rsid w:val="4DBC2D53"/>
    <w:rsid w:val="4DCE5621"/>
    <w:rsid w:val="4DDA060D"/>
    <w:rsid w:val="4DDF5C24"/>
    <w:rsid w:val="4DF07EA6"/>
    <w:rsid w:val="4DF94F37"/>
    <w:rsid w:val="4E122358"/>
    <w:rsid w:val="4E141D71"/>
    <w:rsid w:val="4E261AA5"/>
    <w:rsid w:val="4E2665CD"/>
    <w:rsid w:val="4E4D2BD1"/>
    <w:rsid w:val="4E4D5283"/>
    <w:rsid w:val="4E4E7E5B"/>
    <w:rsid w:val="4E590CF1"/>
    <w:rsid w:val="4E5B6C61"/>
    <w:rsid w:val="4E6600F3"/>
    <w:rsid w:val="4E733904"/>
    <w:rsid w:val="4E8F4A87"/>
    <w:rsid w:val="4E9A32F0"/>
    <w:rsid w:val="4EA40537"/>
    <w:rsid w:val="4ECB10AD"/>
    <w:rsid w:val="4EEE36A2"/>
    <w:rsid w:val="4EFB083B"/>
    <w:rsid w:val="4EFD4A7E"/>
    <w:rsid w:val="4F0272D2"/>
    <w:rsid w:val="4F1162B1"/>
    <w:rsid w:val="4F2B5DCC"/>
    <w:rsid w:val="4F4421E2"/>
    <w:rsid w:val="4F576D80"/>
    <w:rsid w:val="4F59274E"/>
    <w:rsid w:val="4F610FE6"/>
    <w:rsid w:val="4F626B0C"/>
    <w:rsid w:val="4F7B197C"/>
    <w:rsid w:val="4F8C664C"/>
    <w:rsid w:val="4F934F18"/>
    <w:rsid w:val="4F93738F"/>
    <w:rsid w:val="4F9547EC"/>
    <w:rsid w:val="4F9D5D96"/>
    <w:rsid w:val="4FA71C96"/>
    <w:rsid w:val="4FBB6D13"/>
    <w:rsid w:val="4FC11A85"/>
    <w:rsid w:val="4FC652ED"/>
    <w:rsid w:val="4FC772F2"/>
    <w:rsid w:val="4FD80B7D"/>
    <w:rsid w:val="4FDC01A1"/>
    <w:rsid w:val="4FEB08B0"/>
    <w:rsid w:val="4FF20A93"/>
    <w:rsid w:val="50045067"/>
    <w:rsid w:val="500551F3"/>
    <w:rsid w:val="500A342C"/>
    <w:rsid w:val="500D41FD"/>
    <w:rsid w:val="502E36B0"/>
    <w:rsid w:val="50330A02"/>
    <w:rsid w:val="50342257"/>
    <w:rsid w:val="50487C11"/>
    <w:rsid w:val="504B146F"/>
    <w:rsid w:val="50697A27"/>
    <w:rsid w:val="50772144"/>
    <w:rsid w:val="508339CD"/>
    <w:rsid w:val="50974594"/>
    <w:rsid w:val="509C7DFC"/>
    <w:rsid w:val="509E3A84"/>
    <w:rsid w:val="50A43D3D"/>
    <w:rsid w:val="50B36B51"/>
    <w:rsid w:val="50C4378A"/>
    <w:rsid w:val="50C957E0"/>
    <w:rsid w:val="50CE2950"/>
    <w:rsid w:val="50D93C2D"/>
    <w:rsid w:val="50FB6983"/>
    <w:rsid w:val="50FE50D0"/>
    <w:rsid w:val="510936E3"/>
    <w:rsid w:val="512F0C70"/>
    <w:rsid w:val="51431A8C"/>
    <w:rsid w:val="5144296E"/>
    <w:rsid w:val="515B3813"/>
    <w:rsid w:val="515D57DD"/>
    <w:rsid w:val="51644DBE"/>
    <w:rsid w:val="5167665C"/>
    <w:rsid w:val="517A638F"/>
    <w:rsid w:val="51986815"/>
    <w:rsid w:val="51C237E1"/>
    <w:rsid w:val="51D57A6A"/>
    <w:rsid w:val="51F0757E"/>
    <w:rsid w:val="51F80B87"/>
    <w:rsid w:val="51FF0643"/>
    <w:rsid w:val="52021EE1"/>
    <w:rsid w:val="52032622"/>
    <w:rsid w:val="520914C1"/>
    <w:rsid w:val="52102850"/>
    <w:rsid w:val="522C47C1"/>
    <w:rsid w:val="524B7D2C"/>
    <w:rsid w:val="525B58FF"/>
    <w:rsid w:val="526969B6"/>
    <w:rsid w:val="52943481"/>
    <w:rsid w:val="52A04B8D"/>
    <w:rsid w:val="52B7716F"/>
    <w:rsid w:val="52C23F57"/>
    <w:rsid w:val="52C64766"/>
    <w:rsid w:val="52C77747"/>
    <w:rsid w:val="52E5041A"/>
    <w:rsid w:val="52FF4294"/>
    <w:rsid w:val="53195252"/>
    <w:rsid w:val="531C174D"/>
    <w:rsid w:val="532365B3"/>
    <w:rsid w:val="533662E6"/>
    <w:rsid w:val="5345339A"/>
    <w:rsid w:val="53464B13"/>
    <w:rsid w:val="53536E98"/>
    <w:rsid w:val="536410A5"/>
    <w:rsid w:val="536469DC"/>
    <w:rsid w:val="538871F3"/>
    <w:rsid w:val="5399404E"/>
    <w:rsid w:val="539B439B"/>
    <w:rsid w:val="53A72D40"/>
    <w:rsid w:val="53AC0356"/>
    <w:rsid w:val="53C83B27"/>
    <w:rsid w:val="53D02297"/>
    <w:rsid w:val="53D8739D"/>
    <w:rsid w:val="53DF2496"/>
    <w:rsid w:val="53E21FCA"/>
    <w:rsid w:val="53ED4843"/>
    <w:rsid w:val="53EF01D5"/>
    <w:rsid w:val="53F1045F"/>
    <w:rsid w:val="5410284B"/>
    <w:rsid w:val="54176117"/>
    <w:rsid w:val="5426635A"/>
    <w:rsid w:val="542A3A4D"/>
    <w:rsid w:val="54436F0C"/>
    <w:rsid w:val="544377EE"/>
    <w:rsid w:val="54482775"/>
    <w:rsid w:val="544A2FF6"/>
    <w:rsid w:val="544D38E7"/>
    <w:rsid w:val="5452505D"/>
    <w:rsid w:val="545D5AF4"/>
    <w:rsid w:val="545F7ABE"/>
    <w:rsid w:val="54672479"/>
    <w:rsid w:val="546A7BA2"/>
    <w:rsid w:val="54796746"/>
    <w:rsid w:val="548061E6"/>
    <w:rsid w:val="549755A6"/>
    <w:rsid w:val="54977258"/>
    <w:rsid w:val="549A6186"/>
    <w:rsid w:val="549E60CD"/>
    <w:rsid w:val="54E7304B"/>
    <w:rsid w:val="54E741D7"/>
    <w:rsid w:val="54F11D20"/>
    <w:rsid w:val="54F40207"/>
    <w:rsid w:val="54F77DBF"/>
    <w:rsid w:val="54FE4BE1"/>
    <w:rsid w:val="550A5C7C"/>
    <w:rsid w:val="551E5284"/>
    <w:rsid w:val="552B174F"/>
    <w:rsid w:val="55366A71"/>
    <w:rsid w:val="554A42CB"/>
    <w:rsid w:val="554C3B9F"/>
    <w:rsid w:val="55652EB2"/>
    <w:rsid w:val="556B5782"/>
    <w:rsid w:val="557459CB"/>
    <w:rsid w:val="55832438"/>
    <w:rsid w:val="558E0FC6"/>
    <w:rsid w:val="55935C72"/>
    <w:rsid w:val="55AE6607"/>
    <w:rsid w:val="55B31E70"/>
    <w:rsid w:val="55BF7CC1"/>
    <w:rsid w:val="55C3434C"/>
    <w:rsid w:val="55C523D8"/>
    <w:rsid w:val="55C7591B"/>
    <w:rsid w:val="55CA66C5"/>
    <w:rsid w:val="55D04DDD"/>
    <w:rsid w:val="55D13720"/>
    <w:rsid w:val="55F85AD5"/>
    <w:rsid w:val="56000F14"/>
    <w:rsid w:val="560769CC"/>
    <w:rsid w:val="560B1CAC"/>
    <w:rsid w:val="56106EE6"/>
    <w:rsid w:val="563E1504"/>
    <w:rsid w:val="56404C04"/>
    <w:rsid w:val="56464A92"/>
    <w:rsid w:val="564A5CAC"/>
    <w:rsid w:val="566164F3"/>
    <w:rsid w:val="56890E23"/>
    <w:rsid w:val="56A104CC"/>
    <w:rsid w:val="56A812A9"/>
    <w:rsid w:val="56A93273"/>
    <w:rsid w:val="56AC37A1"/>
    <w:rsid w:val="56B70D0D"/>
    <w:rsid w:val="56C43C09"/>
    <w:rsid w:val="57136EF1"/>
    <w:rsid w:val="57264B86"/>
    <w:rsid w:val="57350066"/>
    <w:rsid w:val="573A7474"/>
    <w:rsid w:val="57444885"/>
    <w:rsid w:val="576D7F82"/>
    <w:rsid w:val="57807FB8"/>
    <w:rsid w:val="57822336"/>
    <w:rsid w:val="57915284"/>
    <w:rsid w:val="579932E7"/>
    <w:rsid w:val="579B705F"/>
    <w:rsid w:val="57A4568B"/>
    <w:rsid w:val="57AC2BE5"/>
    <w:rsid w:val="57AF0644"/>
    <w:rsid w:val="57DA7B88"/>
    <w:rsid w:val="57DB6BD7"/>
    <w:rsid w:val="57E207EA"/>
    <w:rsid w:val="57E4207E"/>
    <w:rsid w:val="57EF1A7A"/>
    <w:rsid w:val="580B022A"/>
    <w:rsid w:val="580B6514"/>
    <w:rsid w:val="580C6A23"/>
    <w:rsid w:val="58133E51"/>
    <w:rsid w:val="581836C6"/>
    <w:rsid w:val="583542C0"/>
    <w:rsid w:val="58490869"/>
    <w:rsid w:val="585C67EF"/>
    <w:rsid w:val="58613E05"/>
    <w:rsid w:val="58735FFB"/>
    <w:rsid w:val="58737694"/>
    <w:rsid w:val="5875340D"/>
    <w:rsid w:val="587F072F"/>
    <w:rsid w:val="58823D7B"/>
    <w:rsid w:val="589D2963"/>
    <w:rsid w:val="58B24661"/>
    <w:rsid w:val="58D1792B"/>
    <w:rsid w:val="58D36385"/>
    <w:rsid w:val="58D75F11"/>
    <w:rsid w:val="58DC7930"/>
    <w:rsid w:val="58E81E30"/>
    <w:rsid w:val="58EC59A6"/>
    <w:rsid w:val="58F22CAF"/>
    <w:rsid w:val="58FA2625"/>
    <w:rsid w:val="58FC3B2E"/>
    <w:rsid w:val="5900361E"/>
    <w:rsid w:val="59044790"/>
    <w:rsid w:val="59266DFD"/>
    <w:rsid w:val="592866D1"/>
    <w:rsid w:val="59345076"/>
    <w:rsid w:val="5934700C"/>
    <w:rsid w:val="59372DB8"/>
    <w:rsid w:val="59374FCB"/>
    <w:rsid w:val="59447917"/>
    <w:rsid w:val="596D0588"/>
    <w:rsid w:val="59755315"/>
    <w:rsid w:val="597E0ABE"/>
    <w:rsid w:val="59875D51"/>
    <w:rsid w:val="598D5D61"/>
    <w:rsid w:val="598F49A2"/>
    <w:rsid w:val="599E5092"/>
    <w:rsid w:val="59A151AF"/>
    <w:rsid w:val="59A815C0"/>
    <w:rsid w:val="59B71B5B"/>
    <w:rsid w:val="59C7413C"/>
    <w:rsid w:val="59CC1752"/>
    <w:rsid w:val="59FE67A6"/>
    <w:rsid w:val="5A040EEC"/>
    <w:rsid w:val="5A105AE3"/>
    <w:rsid w:val="5A376D05"/>
    <w:rsid w:val="5A3A5DE0"/>
    <w:rsid w:val="5A3E3CD2"/>
    <w:rsid w:val="5A405C9C"/>
    <w:rsid w:val="5A6951F3"/>
    <w:rsid w:val="5A7414D3"/>
    <w:rsid w:val="5A817839"/>
    <w:rsid w:val="5A8A1D6A"/>
    <w:rsid w:val="5A9A35FE"/>
    <w:rsid w:val="5A9E374A"/>
    <w:rsid w:val="5AB442DA"/>
    <w:rsid w:val="5AB75F5E"/>
    <w:rsid w:val="5ABB0785"/>
    <w:rsid w:val="5ADA201D"/>
    <w:rsid w:val="5ADF5E31"/>
    <w:rsid w:val="5AFD6CA9"/>
    <w:rsid w:val="5B101B12"/>
    <w:rsid w:val="5B2C0F97"/>
    <w:rsid w:val="5B2E3B05"/>
    <w:rsid w:val="5B375CF4"/>
    <w:rsid w:val="5B4C6B49"/>
    <w:rsid w:val="5B676B4F"/>
    <w:rsid w:val="5B6836FC"/>
    <w:rsid w:val="5B730780"/>
    <w:rsid w:val="5B743E4F"/>
    <w:rsid w:val="5B857E0A"/>
    <w:rsid w:val="5B8B2F47"/>
    <w:rsid w:val="5B9C33A6"/>
    <w:rsid w:val="5BB93F58"/>
    <w:rsid w:val="5BD94871"/>
    <w:rsid w:val="5BD9519B"/>
    <w:rsid w:val="5BDC37A3"/>
    <w:rsid w:val="5BE86C97"/>
    <w:rsid w:val="5C25514A"/>
    <w:rsid w:val="5C313AEE"/>
    <w:rsid w:val="5C473AA5"/>
    <w:rsid w:val="5C4E46A0"/>
    <w:rsid w:val="5C761E49"/>
    <w:rsid w:val="5C7A36E7"/>
    <w:rsid w:val="5C7C59C9"/>
    <w:rsid w:val="5C8A5372"/>
    <w:rsid w:val="5C9F4EFC"/>
    <w:rsid w:val="5CA4039C"/>
    <w:rsid w:val="5CDC7EFE"/>
    <w:rsid w:val="5CE27C29"/>
    <w:rsid w:val="5CE80158"/>
    <w:rsid w:val="5CFA31FE"/>
    <w:rsid w:val="5CFB43E7"/>
    <w:rsid w:val="5D0C00B7"/>
    <w:rsid w:val="5D2D1FDB"/>
    <w:rsid w:val="5D2D2508"/>
    <w:rsid w:val="5D3715D8"/>
    <w:rsid w:val="5D3A1209"/>
    <w:rsid w:val="5D3E4715"/>
    <w:rsid w:val="5D3F66DF"/>
    <w:rsid w:val="5D5A6996"/>
    <w:rsid w:val="5D6121B1"/>
    <w:rsid w:val="5D664202"/>
    <w:rsid w:val="5D700646"/>
    <w:rsid w:val="5D7172AC"/>
    <w:rsid w:val="5D810966"/>
    <w:rsid w:val="5D8A5BAC"/>
    <w:rsid w:val="5D963B89"/>
    <w:rsid w:val="5D9C768D"/>
    <w:rsid w:val="5DA86032"/>
    <w:rsid w:val="5DC2770B"/>
    <w:rsid w:val="5DC76E53"/>
    <w:rsid w:val="5DCF7A63"/>
    <w:rsid w:val="5DD92690"/>
    <w:rsid w:val="5DDB6408"/>
    <w:rsid w:val="5DF9688E"/>
    <w:rsid w:val="5E051DBD"/>
    <w:rsid w:val="5E180840"/>
    <w:rsid w:val="5E1B6804"/>
    <w:rsid w:val="5E3133D3"/>
    <w:rsid w:val="5E541D16"/>
    <w:rsid w:val="5E72659B"/>
    <w:rsid w:val="5E777A58"/>
    <w:rsid w:val="5E79352B"/>
    <w:rsid w:val="5E826883"/>
    <w:rsid w:val="5E93283E"/>
    <w:rsid w:val="5E940365"/>
    <w:rsid w:val="5E9C444A"/>
    <w:rsid w:val="5EA467FA"/>
    <w:rsid w:val="5EC74600"/>
    <w:rsid w:val="5EC7C13F"/>
    <w:rsid w:val="5ECD0C10"/>
    <w:rsid w:val="5ED56E00"/>
    <w:rsid w:val="5EE419E5"/>
    <w:rsid w:val="5EEC01A1"/>
    <w:rsid w:val="5F21609C"/>
    <w:rsid w:val="5F225970"/>
    <w:rsid w:val="5F2636B2"/>
    <w:rsid w:val="5F2931A3"/>
    <w:rsid w:val="5F2D414C"/>
    <w:rsid w:val="5F4F6A72"/>
    <w:rsid w:val="5F555D46"/>
    <w:rsid w:val="5F5F6BC4"/>
    <w:rsid w:val="5F6146EB"/>
    <w:rsid w:val="5F855102"/>
    <w:rsid w:val="5F993E84"/>
    <w:rsid w:val="5F9E0C89"/>
    <w:rsid w:val="5F9E593F"/>
    <w:rsid w:val="5FAC4EE8"/>
    <w:rsid w:val="5FB12827"/>
    <w:rsid w:val="5FBC5DC5"/>
    <w:rsid w:val="5FBE38EB"/>
    <w:rsid w:val="5FCC07C6"/>
    <w:rsid w:val="5FDD794C"/>
    <w:rsid w:val="5FE377F5"/>
    <w:rsid w:val="600339F4"/>
    <w:rsid w:val="600357A2"/>
    <w:rsid w:val="601B2AEB"/>
    <w:rsid w:val="602B6AA7"/>
    <w:rsid w:val="60584392"/>
    <w:rsid w:val="60624BBE"/>
    <w:rsid w:val="6072134A"/>
    <w:rsid w:val="608F34D9"/>
    <w:rsid w:val="609D7E8A"/>
    <w:rsid w:val="60B847DE"/>
    <w:rsid w:val="60BE685E"/>
    <w:rsid w:val="60C0789A"/>
    <w:rsid w:val="60CE5DB0"/>
    <w:rsid w:val="60DC52C4"/>
    <w:rsid w:val="6109441D"/>
    <w:rsid w:val="610F79BE"/>
    <w:rsid w:val="61186D8B"/>
    <w:rsid w:val="61234EB5"/>
    <w:rsid w:val="613E38FA"/>
    <w:rsid w:val="613E763E"/>
    <w:rsid w:val="614E2320"/>
    <w:rsid w:val="616B1851"/>
    <w:rsid w:val="61747A77"/>
    <w:rsid w:val="61765E98"/>
    <w:rsid w:val="617A1A94"/>
    <w:rsid w:val="618172C6"/>
    <w:rsid w:val="61840B64"/>
    <w:rsid w:val="61857110"/>
    <w:rsid w:val="61880654"/>
    <w:rsid w:val="61985E76"/>
    <w:rsid w:val="61A62889"/>
    <w:rsid w:val="61B431F8"/>
    <w:rsid w:val="61D04D2B"/>
    <w:rsid w:val="61D714B0"/>
    <w:rsid w:val="61DC44FC"/>
    <w:rsid w:val="61DF073D"/>
    <w:rsid w:val="61E67129"/>
    <w:rsid w:val="61EF4230"/>
    <w:rsid w:val="61F93380"/>
    <w:rsid w:val="623205C0"/>
    <w:rsid w:val="62410803"/>
    <w:rsid w:val="62471F6B"/>
    <w:rsid w:val="62693C55"/>
    <w:rsid w:val="626E3AB3"/>
    <w:rsid w:val="627604AD"/>
    <w:rsid w:val="627C4CDF"/>
    <w:rsid w:val="628E1C9B"/>
    <w:rsid w:val="628E29FA"/>
    <w:rsid w:val="62A0377C"/>
    <w:rsid w:val="62B611F1"/>
    <w:rsid w:val="62C525CF"/>
    <w:rsid w:val="62C67ADA"/>
    <w:rsid w:val="62D52A24"/>
    <w:rsid w:val="62DE42A4"/>
    <w:rsid w:val="62E33669"/>
    <w:rsid w:val="62E47B0C"/>
    <w:rsid w:val="6306550B"/>
    <w:rsid w:val="630F26B0"/>
    <w:rsid w:val="6318012F"/>
    <w:rsid w:val="63182FEF"/>
    <w:rsid w:val="631C1FCC"/>
    <w:rsid w:val="63260CB0"/>
    <w:rsid w:val="63297364"/>
    <w:rsid w:val="632B5658"/>
    <w:rsid w:val="63400ABB"/>
    <w:rsid w:val="63536A40"/>
    <w:rsid w:val="63585E05"/>
    <w:rsid w:val="636A26E8"/>
    <w:rsid w:val="636A5DAF"/>
    <w:rsid w:val="636C365E"/>
    <w:rsid w:val="636D1FAC"/>
    <w:rsid w:val="638906B4"/>
    <w:rsid w:val="63A31776"/>
    <w:rsid w:val="63C17E4E"/>
    <w:rsid w:val="63C423EE"/>
    <w:rsid w:val="63CB2A7A"/>
    <w:rsid w:val="63DF2082"/>
    <w:rsid w:val="63E87D9E"/>
    <w:rsid w:val="63E94B89"/>
    <w:rsid w:val="63FE69AC"/>
    <w:rsid w:val="64144421"/>
    <w:rsid w:val="64177A6E"/>
    <w:rsid w:val="64371EBE"/>
    <w:rsid w:val="645B10FE"/>
    <w:rsid w:val="64616F3B"/>
    <w:rsid w:val="646F5B8D"/>
    <w:rsid w:val="6475021C"/>
    <w:rsid w:val="647D6C20"/>
    <w:rsid w:val="64861941"/>
    <w:rsid w:val="64890678"/>
    <w:rsid w:val="64B4350F"/>
    <w:rsid w:val="64C844BE"/>
    <w:rsid w:val="64C9520C"/>
    <w:rsid w:val="64CC0858"/>
    <w:rsid w:val="64D63485"/>
    <w:rsid w:val="64DD2AA4"/>
    <w:rsid w:val="64E70645"/>
    <w:rsid w:val="64E8140A"/>
    <w:rsid w:val="64F06F7C"/>
    <w:rsid w:val="64F25DE5"/>
    <w:rsid w:val="64F55888"/>
    <w:rsid w:val="64F733FB"/>
    <w:rsid w:val="65033F1E"/>
    <w:rsid w:val="650C48AF"/>
    <w:rsid w:val="651B617E"/>
    <w:rsid w:val="6522491C"/>
    <w:rsid w:val="65257562"/>
    <w:rsid w:val="653D4140"/>
    <w:rsid w:val="65444892"/>
    <w:rsid w:val="654A4EEB"/>
    <w:rsid w:val="65586590"/>
    <w:rsid w:val="65905D2A"/>
    <w:rsid w:val="65965AA6"/>
    <w:rsid w:val="65A92947"/>
    <w:rsid w:val="65D75707"/>
    <w:rsid w:val="65F80CB9"/>
    <w:rsid w:val="660F60BC"/>
    <w:rsid w:val="662E6278"/>
    <w:rsid w:val="66402994"/>
    <w:rsid w:val="66427359"/>
    <w:rsid w:val="66522FDF"/>
    <w:rsid w:val="665C7CE7"/>
    <w:rsid w:val="665E09E7"/>
    <w:rsid w:val="66707909"/>
    <w:rsid w:val="668F353B"/>
    <w:rsid w:val="6697133E"/>
    <w:rsid w:val="66A621DF"/>
    <w:rsid w:val="66A93BAD"/>
    <w:rsid w:val="66B43DBB"/>
    <w:rsid w:val="66BA2932"/>
    <w:rsid w:val="66C853A3"/>
    <w:rsid w:val="66DE0D17"/>
    <w:rsid w:val="66E71EDC"/>
    <w:rsid w:val="66F87DD4"/>
    <w:rsid w:val="672C55DE"/>
    <w:rsid w:val="67373964"/>
    <w:rsid w:val="67401089"/>
    <w:rsid w:val="67465668"/>
    <w:rsid w:val="674E6A87"/>
    <w:rsid w:val="67654F94"/>
    <w:rsid w:val="6779459B"/>
    <w:rsid w:val="67834929"/>
    <w:rsid w:val="678E4C9F"/>
    <w:rsid w:val="679F2254"/>
    <w:rsid w:val="67B87B40"/>
    <w:rsid w:val="67DD0FCE"/>
    <w:rsid w:val="680B51D4"/>
    <w:rsid w:val="68106CAE"/>
    <w:rsid w:val="68214F3E"/>
    <w:rsid w:val="682502F6"/>
    <w:rsid w:val="68273FF7"/>
    <w:rsid w:val="683C5CF5"/>
    <w:rsid w:val="684E5A28"/>
    <w:rsid w:val="68534DEC"/>
    <w:rsid w:val="68582403"/>
    <w:rsid w:val="685F60E7"/>
    <w:rsid w:val="686314D3"/>
    <w:rsid w:val="68637725"/>
    <w:rsid w:val="68684D3C"/>
    <w:rsid w:val="686D5EAE"/>
    <w:rsid w:val="689618A9"/>
    <w:rsid w:val="689A7AF0"/>
    <w:rsid w:val="68BF695B"/>
    <w:rsid w:val="68CF0BBE"/>
    <w:rsid w:val="68CF6B69"/>
    <w:rsid w:val="68DB4E9A"/>
    <w:rsid w:val="68E41847"/>
    <w:rsid w:val="68FA3C61"/>
    <w:rsid w:val="69191363"/>
    <w:rsid w:val="696840F4"/>
    <w:rsid w:val="697E5837"/>
    <w:rsid w:val="69884576"/>
    <w:rsid w:val="699851AD"/>
    <w:rsid w:val="699C4524"/>
    <w:rsid w:val="699C5B6F"/>
    <w:rsid w:val="69A022B3"/>
    <w:rsid w:val="69A260EF"/>
    <w:rsid w:val="69AF0748"/>
    <w:rsid w:val="69BD4B8E"/>
    <w:rsid w:val="69BF098B"/>
    <w:rsid w:val="69C51D1A"/>
    <w:rsid w:val="69D76646"/>
    <w:rsid w:val="69E72CE3"/>
    <w:rsid w:val="69E95A08"/>
    <w:rsid w:val="6A107439"/>
    <w:rsid w:val="6A1A68D3"/>
    <w:rsid w:val="6A1D1B56"/>
    <w:rsid w:val="6A301CE3"/>
    <w:rsid w:val="6A342EDC"/>
    <w:rsid w:val="6A477AE1"/>
    <w:rsid w:val="6A4964A7"/>
    <w:rsid w:val="6A4A6465"/>
    <w:rsid w:val="6A586441"/>
    <w:rsid w:val="6A5966E8"/>
    <w:rsid w:val="6A5A6906"/>
    <w:rsid w:val="6A5C267E"/>
    <w:rsid w:val="6A6432E1"/>
    <w:rsid w:val="6A7E6AA7"/>
    <w:rsid w:val="6A83307F"/>
    <w:rsid w:val="6A8676FB"/>
    <w:rsid w:val="6A982ED4"/>
    <w:rsid w:val="6AA45574"/>
    <w:rsid w:val="6AA505AA"/>
    <w:rsid w:val="6AAC4035"/>
    <w:rsid w:val="6AAD4C88"/>
    <w:rsid w:val="6AB02A3C"/>
    <w:rsid w:val="6AB51D8E"/>
    <w:rsid w:val="6ADC004E"/>
    <w:rsid w:val="6AE85CC0"/>
    <w:rsid w:val="6B096579"/>
    <w:rsid w:val="6B1C1E0E"/>
    <w:rsid w:val="6B3929BF"/>
    <w:rsid w:val="6B451364"/>
    <w:rsid w:val="6B493EB3"/>
    <w:rsid w:val="6B4F5D3F"/>
    <w:rsid w:val="6B5E5F82"/>
    <w:rsid w:val="6B76151E"/>
    <w:rsid w:val="6B79100E"/>
    <w:rsid w:val="6B8F0831"/>
    <w:rsid w:val="6BA77061"/>
    <w:rsid w:val="6BB31FF3"/>
    <w:rsid w:val="6BE040CF"/>
    <w:rsid w:val="6BE10B7C"/>
    <w:rsid w:val="6BEF307E"/>
    <w:rsid w:val="6BF10CC6"/>
    <w:rsid w:val="6BF30DC0"/>
    <w:rsid w:val="6BFE140A"/>
    <w:rsid w:val="6BFF5AC4"/>
    <w:rsid w:val="6C007039"/>
    <w:rsid w:val="6C1A70D2"/>
    <w:rsid w:val="6C1E25B7"/>
    <w:rsid w:val="6C5F0204"/>
    <w:rsid w:val="6C692E30"/>
    <w:rsid w:val="6C731F01"/>
    <w:rsid w:val="6C793453"/>
    <w:rsid w:val="6CAB169B"/>
    <w:rsid w:val="6CB2176C"/>
    <w:rsid w:val="6CB25A9E"/>
    <w:rsid w:val="6CB467A2"/>
    <w:rsid w:val="6CBF5146"/>
    <w:rsid w:val="6CD26C28"/>
    <w:rsid w:val="6CDC01BE"/>
    <w:rsid w:val="6CDC7AA6"/>
    <w:rsid w:val="6CE20964"/>
    <w:rsid w:val="6CE30E35"/>
    <w:rsid w:val="6CF7043C"/>
    <w:rsid w:val="6D24126F"/>
    <w:rsid w:val="6D3C22F3"/>
    <w:rsid w:val="6D4A566C"/>
    <w:rsid w:val="6D5B4E6F"/>
    <w:rsid w:val="6D5E2269"/>
    <w:rsid w:val="6D5E29FF"/>
    <w:rsid w:val="6D65184A"/>
    <w:rsid w:val="6D6D4BA2"/>
    <w:rsid w:val="6D7C6B93"/>
    <w:rsid w:val="6D7D5C34"/>
    <w:rsid w:val="6D8343C6"/>
    <w:rsid w:val="6D8819DC"/>
    <w:rsid w:val="6D914B4B"/>
    <w:rsid w:val="6DCF023D"/>
    <w:rsid w:val="6DD04BA4"/>
    <w:rsid w:val="6DE50BDD"/>
    <w:rsid w:val="6DEB0A99"/>
    <w:rsid w:val="6DF27931"/>
    <w:rsid w:val="6DF743A4"/>
    <w:rsid w:val="6E02452A"/>
    <w:rsid w:val="6E180552"/>
    <w:rsid w:val="6E1959E0"/>
    <w:rsid w:val="6E276E93"/>
    <w:rsid w:val="6E4337D4"/>
    <w:rsid w:val="6E55366C"/>
    <w:rsid w:val="6E95615F"/>
    <w:rsid w:val="6EA05C6A"/>
    <w:rsid w:val="6EB365E5"/>
    <w:rsid w:val="6ECB2B7A"/>
    <w:rsid w:val="6ECF7994"/>
    <w:rsid w:val="6EDB030B"/>
    <w:rsid w:val="6EDC3D8E"/>
    <w:rsid w:val="6EE02B9E"/>
    <w:rsid w:val="6F03131A"/>
    <w:rsid w:val="6F062BB9"/>
    <w:rsid w:val="6F0B1738"/>
    <w:rsid w:val="6F0D1C55"/>
    <w:rsid w:val="6F1A6664"/>
    <w:rsid w:val="6F2738C6"/>
    <w:rsid w:val="6F431486"/>
    <w:rsid w:val="6F4656AB"/>
    <w:rsid w:val="6F594BD5"/>
    <w:rsid w:val="6F6D5CB6"/>
    <w:rsid w:val="6F7E6BF3"/>
    <w:rsid w:val="6F8306AD"/>
    <w:rsid w:val="6F8F0CA2"/>
    <w:rsid w:val="6FA0300D"/>
    <w:rsid w:val="6FA81EC2"/>
    <w:rsid w:val="6FC0720B"/>
    <w:rsid w:val="6FDF3D09"/>
    <w:rsid w:val="6FE16D2C"/>
    <w:rsid w:val="700014CC"/>
    <w:rsid w:val="70001CFE"/>
    <w:rsid w:val="700417EE"/>
    <w:rsid w:val="70096E04"/>
    <w:rsid w:val="700D3025"/>
    <w:rsid w:val="701A2DBF"/>
    <w:rsid w:val="702459EC"/>
    <w:rsid w:val="702F4391"/>
    <w:rsid w:val="703A12FE"/>
    <w:rsid w:val="705931BC"/>
    <w:rsid w:val="7060279C"/>
    <w:rsid w:val="70781894"/>
    <w:rsid w:val="708C17E3"/>
    <w:rsid w:val="70984BB7"/>
    <w:rsid w:val="709A5CAE"/>
    <w:rsid w:val="70A00DEB"/>
    <w:rsid w:val="70AB0832"/>
    <w:rsid w:val="70AF719E"/>
    <w:rsid w:val="70D7046F"/>
    <w:rsid w:val="70EA3D4E"/>
    <w:rsid w:val="71063344"/>
    <w:rsid w:val="7110480E"/>
    <w:rsid w:val="711A150D"/>
    <w:rsid w:val="711C66C3"/>
    <w:rsid w:val="71241A1C"/>
    <w:rsid w:val="713C0B14"/>
    <w:rsid w:val="714B51FB"/>
    <w:rsid w:val="7150636D"/>
    <w:rsid w:val="71716C5A"/>
    <w:rsid w:val="71851DF4"/>
    <w:rsid w:val="719B1CDE"/>
    <w:rsid w:val="71A566B9"/>
    <w:rsid w:val="71B034E1"/>
    <w:rsid w:val="71BF4471"/>
    <w:rsid w:val="71E73175"/>
    <w:rsid w:val="720D24B0"/>
    <w:rsid w:val="722219B6"/>
    <w:rsid w:val="72345FDA"/>
    <w:rsid w:val="723C4ABE"/>
    <w:rsid w:val="723D23A3"/>
    <w:rsid w:val="726952BC"/>
    <w:rsid w:val="726C559C"/>
    <w:rsid w:val="72750781"/>
    <w:rsid w:val="727F33AE"/>
    <w:rsid w:val="7289422C"/>
    <w:rsid w:val="72A605C5"/>
    <w:rsid w:val="72AB687A"/>
    <w:rsid w:val="72B10ABA"/>
    <w:rsid w:val="72B13929"/>
    <w:rsid w:val="72BF283E"/>
    <w:rsid w:val="72EB27F1"/>
    <w:rsid w:val="72F83160"/>
    <w:rsid w:val="73125FD0"/>
    <w:rsid w:val="73155AC0"/>
    <w:rsid w:val="732707D1"/>
    <w:rsid w:val="73396193"/>
    <w:rsid w:val="7356219C"/>
    <w:rsid w:val="7372081D"/>
    <w:rsid w:val="73724CC1"/>
    <w:rsid w:val="737C78ED"/>
    <w:rsid w:val="7380074D"/>
    <w:rsid w:val="73966C01"/>
    <w:rsid w:val="73A06A37"/>
    <w:rsid w:val="73A34E7A"/>
    <w:rsid w:val="73A55BB0"/>
    <w:rsid w:val="73D157DA"/>
    <w:rsid w:val="73D70FC8"/>
    <w:rsid w:val="73E159A2"/>
    <w:rsid w:val="73ED07EB"/>
    <w:rsid w:val="73F171D6"/>
    <w:rsid w:val="74081181"/>
    <w:rsid w:val="740C6C35"/>
    <w:rsid w:val="741149DF"/>
    <w:rsid w:val="74136828"/>
    <w:rsid w:val="742023C5"/>
    <w:rsid w:val="742059A2"/>
    <w:rsid w:val="742A55E6"/>
    <w:rsid w:val="74421124"/>
    <w:rsid w:val="74732C02"/>
    <w:rsid w:val="747405C4"/>
    <w:rsid w:val="747A06FC"/>
    <w:rsid w:val="748051BB"/>
    <w:rsid w:val="7494275B"/>
    <w:rsid w:val="74A8512B"/>
    <w:rsid w:val="74BB2697"/>
    <w:rsid w:val="74C81A80"/>
    <w:rsid w:val="74CA4688"/>
    <w:rsid w:val="74E514C2"/>
    <w:rsid w:val="74F366F2"/>
    <w:rsid w:val="74FA31C0"/>
    <w:rsid w:val="74FA6D1C"/>
    <w:rsid w:val="751002F7"/>
    <w:rsid w:val="751B4EE4"/>
    <w:rsid w:val="752C3E91"/>
    <w:rsid w:val="75826D11"/>
    <w:rsid w:val="758B4DC1"/>
    <w:rsid w:val="759B3BA2"/>
    <w:rsid w:val="75A629FF"/>
    <w:rsid w:val="75AB44BA"/>
    <w:rsid w:val="75BA6AC0"/>
    <w:rsid w:val="75C80BC8"/>
    <w:rsid w:val="75DD4A5B"/>
    <w:rsid w:val="75F53987"/>
    <w:rsid w:val="763E0E8A"/>
    <w:rsid w:val="764F593B"/>
    <w:rsid w:val="76674885"/>
    <w:rsid w:val="76722E9D"/>
    <w:rsid w:val="767B4C71"/>
    <w:rsid w:val="76A63833"/>
    <w:rsid w:val="76A70496"/>
    <w:rsid w:val="76BB29B4"/>
    <w:rsid w:val="76BE4F75"/>
    <w:rsid w:val="76E45ED5"/>
    <w:rsid w:val="76EA1012"/>
    <w:rsid w:val="76EB0FC6"/>
    <w:rsid w:val="76F65C09"/>
    <w:rsid w:val="76FD0D45"/>
    <w:rsid w:val="770557AD"/>
    <w:rsid w:val="770B3462"/>
    <w:rsid w:val="77171E05"/>
    <w:rsid w:val="77186444"/>
    <w:rsid w:val="772370E5"/>
    <w:rsid w:val="772C162A"/>
    <w:rsid w:val="77466150"/>
    <w:rsid w:val="775B2B91"/>
    <w:rsid w:val="776C165E"/>
    <w:rsid w:val="77740315"/>
    <w:rsid w:val="779B2445"/>
    <w:rsid w:val="77A47413"/>
    <w:rsid w:val="77B05DB7"/>
    <w:rsid w:val="77CA21F3"/>
    <w:rsid w:val="77CA336B"/>
    <w:rsid w:val="77E12415"/>
    <w:rsid w:val="77E1720F"/>
    <w:rsid w:val="77FA41AB"/>
    <w:rsid w:val="781B71AF"/>
    <w:rsid w:val="781F4CEB"/>
    <w:rsid w:val="781F57D9"/>
    <w:rsid w:val="782533F8"/>
    <w:rsid w:val="782870A2"/>
    <w:rsid w:val="782A3DBC"/>
    <w:rsid w:val="78411105"/>
    <w:rsid w:val="784D7AAA"/>
    <w:rsid w:val="78505037"/>
    <w:rsid w:val="78623CDC"/>
    <w:rsid w:val="786D0583"/>
    <w:rsid w:val="788221EB"/>
    <w:rsid w:val="78870856"/>
    <w:rsid w:val="788B41A6"/>
    <w:rsid w:val="788D434B"/>
    <w:rsid w:val="78994A9D"/>
    <w:rsid w:val="789A4F51"/>
    <w:rsid w:val="78A9016C"/>
    <w:rsid w:val="78C9676D"/>
    <w:rsid w:val="78DB50B6"/>
    <w:rsid w:val="78DD0E2E"/>
    <w:rsid w:val="78DE6954"/>
    <w:rsid w:val="78EB5000"/>
    <w:rsid w:val="78EE4DE9"/>
    <w:rsid w:val="78F425F8"/>
    <w:rsid w:val="78F817C4"/>
    <w:rsid w:val="7915769B"/>
    <w:rsid w:val="793F5645"/>
    <w:rsid w:val="79492020"/>
    <w:rsid w:val="794C7D62"/>
    <w:rsid w:val="79540DA5"/>
    <w:rsid w:val="795B7FA5"/>
    <w:rsid w:val="79694493"/>
    <w:rsid w:val="796A33E8"/>
    <w:rsid w:val="796C4EB3"/>
    <w:rsid w:val="79905EA0"/>
    <w:rsid w:val="79906B29"/>
    <w:rsid w:val="79AB6836"/>
    <w:rsid w:val="79B274E9"/>
    <w:rsid w:val="79BB53F9"/>
    <w:rsid w:val="79BF18CA"/>
    <w:rsid w:val="79D57D57"/>
    <w:rsid w:val="79DFA319"/>
    <w:rsid w:val="79EE2BC7"/>
    <w:rsid w:val="79FE72AE"/>
    <w:rsid w:val="7A016D9E"/>
    <w:rsid w:val="7A0348D0"/>
    <w:rsid w:val="7A066163"/>
    <w:rsid w:val="7A067F11"/>
    <w:rsid w:val="7A083C89"/>
    <w:rsid w:val="7A0F4068"/>
    <w:rsid w:val="7A186056"/>
    <w:rsid w:val="7A266B63"/>
    <w:rsid w:val="7A2B5BC9"/>
    <w:rsid w:val="7A2D1E76"/>
    <w:rsid w:val="7A3464C2"/>
    <w:rsid w:val="7A422487"/>
    <w:rsid w:val="7A552C46"/>
    <w:rsid w:val="7A720562"/>
    <w:rsid w:val="7A7C01D3"/>
    <w:rsid w:val="7A807CC3"/>
    <w:rsid w:val="7A88301C"/>
    <w:rsid w:val="7A996FD7"/>
    <w:rsid w:val="7AA15E8B"/>
    <w:rsid w:val="7AA977A4"/>
    <w:rsid w:val="7AB355A9"/>
    <w:rsid w:val="7ABB519F"/>
    <w:rsid w:val="7ACD6C80"/>
    <w:rsid w:val="7AD95625"/>
    <w:rsid w:val="7ADA61CD"/>
    <w:rsid w:val="7AE1082E"/>
    <w:rsid w:val="7AEC35AA"/>
    <w:rsid w:val="7AF10BC1"/>
    <w:rsid w:val="7AF406B1"/>
    <w:rsid w:val="7AF96C66"/>
    <w:rsid w:val="7AFE32DE"/>
    <w:rsid w:val="7B055B25"/>
    <w:rsid w:val="7B304CE8"/>
    <w:rsid w:val="7B3E6D30"/>
    <w:rsid w:val="7B445194"/>
    <w:rsid w:val="7B476666"/>
    <w:rsid w:val="7B534921"/>
    <w:rsid w:val="7B544591"/>
    <w:rsid w:val="7B5A3EEB"/>
    <w:rsid w:val="7B6018A2"/>
    <w:rsid w:val="7B82651A"/>
    <w:rsid w:val="7B956EA2"/>
    <w:rsid w:val="7BA46E03"/>
    <w:rsid w:val="7BB57E40"/>
    <w:rsid w:val="7BB728C9"/>
    <w:rsid w:val="7BBF0CBF"/>
    <w:rsid w:val="7BC7616D"/>
    <w:rsid w:val="7BDA78A7"/>
    <w:rsid w:val="7BE75A1E"/>
    <w:rsid w:val="7C003181"/>
    <w:rsid w:val="7C0206A2"/>
    <w:rsid w:val="7C0251C7"/>
    <w:rsid w:val="7C2C2922"/>
    <w:rsid w:val="7C2E19A1"/>
    <w:rsid w:val="7C4411C4"/>
    <w:rsid w:val="7C4834FD"/>
    <w:rsid w:val="7C484810"/>
    <w:rsid w:val="7C6775C0"/>
    <w:rsid w:val="7C75137E"/>
    <w:rsid w:val="7C7A295B"/>
    <w:rsid w:val="7C8617DD"/>
    <w:rsid w:val="7C9652D3"/>
    <w:rsid w:val="7C9B5288"/>
    <w:rsid w:val="7CA034A9"/>
    <w:rsid w:val="7CBA08C8"/>
    <w:rsid w:val="7CC876FF"/>
    <w:rsid w:val="7CCA42C7"/>
    <w:rsid w:val="7CD57FDE"/>
    <w:rsid w:val="7CF36E72"/>
    <w:rsid w:val="7CF95B0B"/>
    <w:rsid w:val="7CFA13EA"/>
    <w:rsid w:val="7D2A660C"/>
    <w:rsid w:val="7D2D183E"/>
    <w:rsid w:val="7D3923AB"/>
    <w:rsid w:val="7D555022"/>
    <w:rsid w:val="7D5963F2"/>
    <w:rsid w:val="7D6901C9"/>
    <w:rsid w:val="7D7C2CC0"/>
    <w:rsid w:val="7D80622C"/>
    <w:rsid w:val="7DC720AD"/>
    <w:rsid w:val="7DCF4ABD"/>
    <w:rsid w:val="7DDD367E"/>
    <w:rsid w:val="7E070AE2"/>
    <w:rsid w:val="7E0D394F"/>
    <w:rsid w:val="7E0F507D"/>
    <w:rsid w:val="7E115CB8"/>
    <w:rsid w:val="7E2A0282"/>
    <w:rsid w:val="7E3808B5"/>
    <w:rsid w:val="7E494870"/>
    <w:rsid w:val="7E562730"/>
    <w:rsid w:val="7E5B2AC6"/>
    <w:rsid w:val="7E5C332C"/>
    <w:rsid w:val="7E5F4093"/>
    <w:rsid w:val="7E7B552F"/>
    <w:rsid w:val="7E7C74F9"/>
    <w:rsid w:val="7E992A68"/>
    <w:rsid w:val="7EAA3878"/>
    <w:rsid w:val="7EB97C47"/>
    <w:rsid w:val="7EC42148"/>
    <w:rsid w:val="7EC65EC0"/>
    <w:rsid w:val="7ED76320"/>
    <w:rsid w:val="7F040791"/>
    <w:rsid w:val="7F053548"/>
    <w:rsid w:val="7F1C3D32"/>
    <w:rsid w:val="7F29426F"/>
    <w:rsid w:val="7F2A46A1"/>
    <w:rsid w:val="7F361298"/>
    <w:rsid w:val="7F3702B2"/>
    <w:rsid w:val="7F5855A9"/>
    <w:rsid w:val="7F6000C3"/>
    <w:rsid w:val="7F673669"/>
    <w:rsid w:val="7F682FB6"/>
    <w:rsid w:val="7F78540D"/>
    <w:rsid w:val="7F7FBDD0"/>
    <w:rsid w:val="7FA04FB5"/>
    <w:rsid w:val="7FA97CBC"/>
    <w:rsid w:val="7FAA57E2"/>
    <w:rsid w:val="7FB36445"/>
    <w:rsid w:val="7FBB179D"/>
    <w:rsid w:val="7FC35221"/>
    <w:rsid w:val="7FCB7B5F"/>
    <w:rsid w:val="7FD558C8"/>
    <w:rsid w:val="7FE900B8"/>
    <w:rsid w:val="7FEB79B9"/>
    <w:rsid w:val="7FEE1B73"/>
    <w:rsid w:val="7FF8479F"/>
    <w:rsid w:val="9BDA8F47"/>
    <w:rsid w:val="9FEFBAF4"/>
    <w:rsid w:val="BFF7D48A"/>
    <w:rsid w:val="BFFD8EBC"/>
    <w:rsid w:val="CAE34E81"/>
    <w:rsid w:val="D2EC5342"/>
    <w:rsid w:val="D9D73958"/>
    <w:rsid w:val="F7FFDB89"/>
    <w:rsid w:val="FDFDF847"/>
    <w:rsid w:val="FFEFD462"/>
    <w:rsid w:val="FFFD09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9"/>
    <w:pPr>
      <w:keepNext/>
      <w:keepLines/>
      <w:spacing w:line="560" w:lineRule="exact"/>
      <w:jc w:val="center"/>
      <w:outlineLvl w:val="0"/>
    </w:pPr>
    <w:rPr>
      <w:rFonts w:eastAsia="黑体"/>
      <w:bCs/>
      <w:kern w:val="44"/>
      <w:sz w:val="36"/>
      <w:szCs w:val="44"/>
    </w:rPr>
  </w:style>
  <w:style w:type="paragraph" w:styleId="3">
    <w:name w:val="heading 2"/>
    <w:basedOn w:val="1"/>
    <w:next w:val="1"/>
    <w:link w:val="31"/>
    <w:unhideWhenUsed/>
    <w:qFormat/>
    <w:uiPriority w:val="9"/>
    <w:pPr>
      <w:keepNext/>
      <w:keepLines/>
      <w:spacing w:line="560" w:lineRule="exact"/>
      <w:ind w:firstLine="200" w:firstLineChars="200"/>
      <w:outlineLvl w:val="1"/>
    </w:pPr>
    <w:rPr>
      <w:rFonts w:eastAsia="黑体" w:asciiTheme="majorHAnsi" w:hAnsiTheme="majorHAnsi" w:cstheme="majorBidi"/>
      <w:bCs/>
      <w:sz w:val="32"/>
      <w:szCs w:val="32"/>
    </w:rPr>
  </w:style>
  <w:style w:type="paragraph" w:styleId="4">
    <w:name w:val="heading 3"/>
    <w:basedOn w:val="1"/>
    <w:next w:val="1"/>
    <w:link w:val="33"/>
    <w:unhideWhenUsed/>
    <w:qFormat/>
    <w:uiPriority w:val="9"/>
    <w:pPr>
      <w:keepNext/>
      <w:keepLines/>
      <w:spacing w:line="560" w:lineRule="exact"/>
      <w:ind w:firstLine="200" w:firstLineChars="200"/>
      <w:outlineLvl w:val="2"/>
    </w:pPr>
    <w:rPr>
      <w:rFonts w:eastAsia="楷体_GB2312"/>
      <w:bCs/>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8"/>
    <w:unhideWhenUsed/>
    <w:qFormat/>
    <w:uiPriority w:val="99"/>
    <w:pPr>
      <w:jc w:val="left"/>
    </w:pPr>
  </w:style>
  <w:style w:type="paragraph" w:styleId="6">
    <w:name w:val="Body Text"/>
    <w:basedOn w:val="1"/>
    <w:next w:val="1"/>
    <w:qFormat/>
    <w:uiPriority w:val="0"/>
    <w:pPr>
      <w:spacing w:after="120"/>
    </w:pPr>
    <w:rPr>
      <w:rFonts w:ascii="Times New Roman" w:hAnsi="Times New Roman" w:eastAsia="宋体" w:cs="Times New Roman"/>
      <w:szCs w:val="24"/>
    </w:rPr>
  </w:style>
  <w:style w:type="paragraph" w:styleId="7">
    <w:name w:val="toc 3"/>
    <w:basedOn w:val="1"/>
    <w:next w:val="1"/>
    <w:unhideWhenUsed/>
    <w:qFormat/>
    <w:uiPriority w:val="39"/>
    <w:pPr>
      <w:ind w:left="840" w:leftChars="400"/>
    </w:pPr>
  </w:style>
  <w:style w:type="paragraph" w:styleId="8">
    <w:name w:val="Plain Text"/>
    <w:basedOn w:val="1"/>
    <w:unhideWhenUsed/>
    <w:qFormat/>
    <w:uiPriority w:val="99"/>
    <w:rPr>
      <w:rFonts w:ascii="宋体" w:hAnsi="Courier New" w:cs="Courier New"/>
      <w:szCs w:val="21"/>
    </w:rPr>
  </w:style>
  <w:style w:type="paragraph" w:styleId="9">
    <w:name w:val="endnote text"/>
    <w:basedOn w:val="1"/>
    <w:link w:val="25"/>
    <w:unhideWhenUsed/>
    <w:qFormat/>
    <w:uiPriority w:val="99"/>
    <w:pPr>
      <w:snapToGrid w:val="0"/>
      <w:jc w:val="left"/>
    </w:pPr>
  </w:style>
  <w:style w:type="paragraph" w:styleId="10">
    <w:name w:val="footer"/>
    <w:basedOn w:val="1"/>
    <w:link w:val="27"/>
    <w:unhideWhenUsed/>
    <w:qFormat/>
    <w:uiPriority w:val="99"/>
    <w:pPr>
      <w:tabs>
        <w:tab w:val="center" w:pos="4153"/>
        <w:tab w:val="right" w:pos="8306"/>
      </w:tabs>
      <w:snapToGrid w:val="0"/>
      <w:jc w:val="left"/>
    </w:pPr>
    <w:rPr>
      <w:sz w:val="18"/>
      <w:szCs w:val="18"/>
    </w:rPr>
  </w:style>
  <w:style w:type="paragraph" w:styleId="11">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style>
  <w:style w:type="paragraph" w:styleId="13">
    <w:name w:val="footnote text"/>
    <w:basedOn w:val="1"/>
    <w:link w:val="36"/>
    <w:unhideWhenUsed/>
    <w:qFormat/>
    <w:uiPriority w:val="99"/>
    <w:pPr>
      <w:snapToGrid w:val="0"/>
      <w:jc w:val="left"/>
    </w:pPr>
    <w:rPr>
      <w:sz w:val="18"/>
      <w:szCs w:val="18"/>
    </w:rPr>
  </w:style>
  <w:style w:type="paragraph" w:styleId="14">
    <w:name w:val="toc 2"/>
    <w:basedOn w:val="1"/>
    <w:next w:val="1"/>
    <w:unhideWhenUsed/>
    <w:qFormat/>
    <w:uiPriority w:val="39"/>
    <w:pPr>
      <w:ind w:left="420" w:leftChars="200"/>
    </w:p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Title"/>
    <w:basedOn w:val="1"/>
    <w:next w:val="1"/>
    <w:link w:val="32"/>
    <w:qFormat/>
    <w:uiPriority w:val="10"/>
    <w:pPr>
      <w:spacing w:before="240" w:after="60"/>
      <w:jc w:val="center"/>
      <w:outlineLvl w:val="0"/>
    </w:pPr>
    <w:rPr>
      <w:rFonts w:eastAsia="方正仿宋_GBK" w:asciiTheme="majorHAnsi" w:hAnsiTheme="majorHAnsi" w:cstheme="majorBidi"/>
      <w:b/>
      <w:bCs/>
      <w:sz w:val="44"/>
      <w:szCs w:val="32"/>
    </w:rPr>
  </w:style>
  <w:style w:type="paragraph" w:styleId="17">
    <w:name w:val="annotation subject"/>
    <w:basedOn w:val="5"/>
    <w:next w:val="5"/>
    <w:link w:val="29"/>
    <w:unhideWhenUsed/>
    <w:qFormat/>
    <w:uiPriority w:val="99"/>
    <w:rPr>
      <w:b/>
      <w:bCs/>
    </w:rPr>
  </w:style>
  <w:style w:type="table" w:styleId="19">
    <w:name w:val="Table Grid"/>
    <w:basedOn w:val="1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endnote reference"/>
    <w:basedOn w:val="20"/>
    <w:unhideWhenUsed/>
    <w:qFormat/>
    <w:uiPriority w:val="99"/>
    <w:rPr>
      <w:vertAlign w:val="superscript"/>
    </w:rPr>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unhideWhenUsed/>
    <w:qFormat/>
    <w:uiPriority w:val="99"/>
    <w:rPr>
      <w:sz w:val="21"/>
      <w:szCs w:val="21"/>
    </w:rPr>
  </w:style>
  <w:style w:type="character" w:styleId="24">
    <w:name w:val="footnote reference"/>
    <w:basedOn w:val="20"/>
    <w:unhideWhenUsed/>
    <w:qFormat/>
    <w:uiPriority w:val="99"/>
    <w:rPr>
      <w:vertAlign w:val="superscript"/>
    </w:rPr>
  </w:style>
  <w:style w:type="character" w:customStyle="1" w:styleId="25">
    <w:name w:val="尾注文本 字符"/>
    <w:basedOn w:val="20"/>
    <w:link w:val="9"/>
    <w:semiHidden/>
    <w:qFormat/>
    <w:uiPriority w:val="99"/>
  </w:style>
  <w:style w:type="character" w:customStyle="1" w:styleId="26">
    <w:name w:val="页眉 字符"/>
    <w:basedOn w:val="20"/>
    <w:link w:val="11"/>
    <w:qFormat/>
    <w:uiPriority w:val="99"/>
    <w:rPr>
      <w:sz w:val="18"/>
      <w:szCs w:val="18"/>
    </w:rPr>
  </w:style>
  <w:style w:type="character" w:customStyle="1" w:styleId="27">
    <w:name w:val="页脚 字符"/>
    <w:basedOn w:val="20"/>
    <w:link w:val="10"/>
    <w:qFormat/>
    <w:uiPriority w:val="99"/>
    <w:rPr>
      <w:sz w:val="18"/>
      <w:szCs w:val="18"/>
    </w:rPr>
  </w:style>
  <w:style w:type="character" w:customStyle="1" w:styleId="28">
    <w:name w:val="批注文字 字符"/>
    <w:basedOn w:val="20"/>
    <w:link w:val="5"/>
    <w:semiHidden/>
    <w:qFormat/>
    <w:uiPriority w:val="99"/>
  </w:style>
  <w:style w:type="character" w:customStyle="1" w:styleId="29">
    <w:name w:val="批注主题 字符"/>
    <w:basedOn w:val="28"/>
    <w:link w:val="17"/>
    <w:semiHidden/>
    <w:qFormat/>
    <w:uiPriority w:val="99"/>
    <w:rPr>
      <w:b/>
      <w:bCs/>
    </w:rPr>
  </w:style>
  <w:style w:type="character" w:customStyle="1" w:styleId="30">
    <w:name w:val="标题 1 字符"/>
    <w:basedOn w:val="20"/>
    <w:link w:val="2"/>
    <w:qFormat/>
    <w:uiPriority w:val="9"/>
    <w:rPr>
      <w:rFonts w:eastAsia="黑体" w:asciiTheme="minorHAnsi" w:hAnsiTheme="minorHAnsi" w:cstheme="minorBidi"/>
      <w:bCs/>
      <w:kern w:val="44"/>
      <w:sz w:val="36"/>
      <w:szCs w:val="44"/>
    </w:rPr>
  </w:style>
  <w:style w:type="character" w:customStyle="1" w:styleId="31">
    <w:name w:val="标题 2 字符"/>
    <w:basedOn w:val="20"/>
    <w:link w:val="3"/>
    <w:qFormat/>
    <w:uiPriority w:val="9"/>
    <w:rPr>
      <w:rFonts w:eastAsia="黑体" w:asciiTheme="majorHAnsi" w:hAnsiTheme="majorHAnsi" w:cstheme="majorBidi"/>
      <w:bCs/>
      <w:kern w:val="2"/>
      <w:sz w:val="32"/>
      <w:szCs w:val="32"/>
    </w:rPr>
  </w:style>
  <w:style w:type="character" w:customStyle="1" w:styleId="32">
    <w:name w:val="标题 字符"/>
    <w:basedOn w:val="20"/>
    <w:link w:val="16"/>
    <w:qFormat/>
    <w:uiPriority w:val="10"/>
    <w:rPr>
      <w:rFonts w:eastAsia="方正仿宋_GBK" w:asciiTheme="majorHAnsi" w:hAnsiTheme="majorHAnsi" w:cstheme="majorBidi"/>
      <w:b/>
      <w:bCs/>
      <w:kern w:val="2"/>
      <w:sz w:val="44"/>
      <w:szCs w:val="32"/>
    </w:rPr>
  </w:style>
  <w:style w:type="character" w:customStyle="1" w:styleId="33">
    <w:name w:val="标题 3 字符"/>
    <w:basedOn w:val="20"/>
    <w:link w:val="4"/>
    <w:qFormat/>
    <w:uiPriority w:val="9"/>
    <w:rPr>
      <w:rFonts w:eastAsia="楷体_GB2312" w:asciiTheme="minorHAnsi" w:hAnsiTheme="minorHAnsi" w:cstheme="minorBidi"/>
      <w:bCs/>
      <w:kern w:val="2"/>
      <w:sz w:val="32"/>
      <w:szCs w:val="32"/>
    </w:rPr>
  </w:style>
  <w:style w:type="paragraph" w:customStyle="1" w:styleId="34">
    <w:name w:val="样式1"/>
    <w:basedOn w:val="1"/>
    <w:link w:val="35"/>
    <w:qFormat/>
    <w:uiPriority w:val="0"/>
    <w:pPr>
      <w:ind w:firstLine="420"/>
    </w:pPr>
    <w:rPr>
      <w:rFonts w:ascii="方正仿宋_GBK" w:hAnsi="方正仿宋_GB2312" w:eastAsia="方正仿宋_GBK" w:cs="方正仿宋_GB2312"/>
      <w:sz w:val="24"/>
      <w:szCs w:val="28"/>
    </w:rPr>
  </w:style>
  <w:style w:type="character" w:customStyle="1" w:styleId="35">
    <w:name w:val="样式1 字符"/>
    <w:basedOn w:val="20"/>
    <w:link w:val="34"/>
    <w:qFormat/>
    <w:uiPriority w:val="0"/>
    <w:rPr>
      <w:rFonts w:ascii="方正仿宋_GBK" w:hAnsi="方正仿宋_GB2312" w:eastAsia="方正仿宋_GBK" w:cs="方正仿宋_GB2312"/>
      <w:kern w:val="2"/>
      <w:sz w:val="24"/>
      <w:szCs w:val="28"/>
    </w:rPr>
  </w:style>
  <w:style w:type="character" w:customStyle="1" w:styleId="36">
    <w:name w:val="脚注文本 字符"/>
    <w:basedOn w:val="20"/>
    <w:link w:val="13"/>
    <w:semiHidden/>
    <w:qFormat/>
    <w:uiPriority w:val="99"/>
    <w:rPr>
      <w:rFonts w:asciiTheme="minorHAnsi" w:hAnsiTheme="minorHAnsi" w:eastAsiaTheme="minorEastAsia" w:cstheme="minorBidi"/>
      <w:kern w:val="2"/>
      <w:sz w:val="18"/>
      <w:szCs w:val="18"/>
    </w:rPr>
  </w:style>
  <w:style w:type="paragraph" w:customStyle="1" w:styleId="37">
    <w:name w:val="p0"/>
    <w:basedOn w:val="1"/>
    <w:qFormat/>
    <w:uiPriority w:val="0"/>
    <w:pPr>
      <w:widowControl/>
      <w:spacing w:line="240" w:lineRule="atLeast"/>
    </w:pPr>
    <w:rPr>
      <w:rFonts w:ascii="Calibri" w:hAnsi="Calibri" w:cs="Calibri"/>
      <w:spacing w:val="-6"/>
      <w:kern w:val="0"/>
      <w:sz w:val="32"/>
      <w:szCs w:val="21"/>
    </w:rPr>
  </w:style>
  <w:style w:type="paragraph" w:customStyle="1" w:styleId="38">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9">
    <w:name w:val="TOC 标题1"/>
    <w:basedOn w:val="2"/>
    <w:next w:val="1"/>
    <w:unhideWhenUsed/>
    <w:qFormat/>
    <w:uiPriority w:val="39"/>
    <w:pPr>
      <w:widowControl/>
      <w:spacing w:before="24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paragraph" w:customStyle="1" w:styleId="40">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1">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8A3E46-7A52-4A7E-8C27-08BE6F979605}">
  <ds:schemaRefs/>
</ds:datastoreItem>
</file>

<file path=docProps/app.xml><?xml version="1.0" encoding="utf-8"?>
<Properties xmlns="http://schemas.openxmlformats.org/officeDocument/2006/extended-properties" xmlns:vt="http://schemas.openxmlformats.org/officeDocument/2006/docPropsVTypes">
  <Template>Normal</Template>
  <Pages>20</Pages>
  <Words>679</Words>
  <Characters>718</Characters>
  <Lines>1463</Lines>
  <Paragraphs>1104</Paragraphs>
  <TotalTime>0</TotalTime>
  <ScaleCrop>false</ScaleCrop>
  <LinksUpToDate>false</LinksUpToDate>
  <CharactersWithSpaces>843</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2026-06-30T02:47:00Z</dcterms:created>
  <dc:creator>xiaofei li</dc:creator>
  <cp:lastModifiedBy>user</cp:lastModifiedBy>
  <cp:lastPrinted>2026-09-22T00:03:00Z</cp:lastPrinted>
  <dcterms:modified xsi:type="dcterms:W3CDTF">2026-09-21T16:23:12Z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FF2B0F656D1008987CDDB06A8C217D82_43</vt:lpwstr>
  </property>
  <property fmtid="{D5CDD505-2E9C-101B-9397-08002B2CF9AE}" pid="4" name="KSOTemplateDocerSaveRecord">
    <vt:lpwstr>eyJoZGlkIjoiYmUwMjkwZWRhNjhjMTJkYThkMGJkMTAzNGJmODZmODEiLCJ1c2VySWQiOiIxNjAyMTI5NjgxIn0=</vt:lpwstr>
  </property>
</Properties>
</file>