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EDDD60">
      <w:pPr>
        <w:spacing w:beforeLines="0" w:afterLines="0" w:line="560" w:lineRule="exact"/>
        <w:jc w:val="both"/>
        <w:rPr>
          <w:rFonts w:hint="default" w:ascii="黑体" w:hAnsi="黑体" w:eastAsia="黑体" w:cs="黑体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2</w:t>
      </w:r>
    </w:p>
    <w:p w14:paraId="0AB794BC">
      <w:pPr>
        <w:pStyle w:val="2"/>
        <w:rPr>
          <w:rFonts w:hint="eastAsia"/>
          <w:highlight w:val="none"/>
        </w:rPr>
      </w:pPr>
    </w:p>
    <w:p w14:paraId="66877A45">
      <w:pPr>
        <w:spacing w:beforeLines="0" w:afterLines="0" w:line="5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</w:rPr>
        <w:t>关于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/>
        </w:rPr>
        <w:t>《“十五五”时期数智昌平发展规划</w:t>
      </w:r>
    </w:p>
    <w:p w14:paraId="00DCE37C">
      <w:pPr>
        <w:spacing w:beforeLines="0" w:afterLines="0" w:line="5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/>
        </w:rPr>
        <w:t>（征求意见稿）》的起草说明</w:t>
      </w:r>
    </w:p>
    <w:p w14:paraId="5871404B">
      <w:pPr>
        <w:keepNext w:val="0"/>
        <w:keepLines w:val="0"/>
        <w:widowControl w:val="0"/>
        <w:suppressLineNumbers w:val="0"/>
        <w:adjustRightInd w:val="0"/>
        <w:snapToGrid w:val="0"/>
        <w:spacing w:before="0" w:beforeLines="0" w:beforeAutospacing="0" w:after="0" w:afterLines="0" w:afterAutospacing="0" w:line="560" w:lineRule="exact"/>
        <w:ind w:left="0" w:right="0" w:firstLine="640" w:firstLineChars="200"/>
        <w:jc w:val="both"/>
        <w:rPr>
          <w:rFonts w:hint="eastAsia" w:ascii="Times New Roman" w:hAnsi="Times New Roman" w:eastAsia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</w:p>
    <w:p w14:paraId="5076827E">
      <w:pPr>
        <w:pStyle w:val="4"/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Lines="0" w:beforeAutospacing="0" w:afterLines="0" w:afterAutospacing="0" w:line="560" w:lineRule="exact"/>
        <w:ind w:firstLine="640" w:firstLineChars="200"/>
        <w:jc w:val="both"/>
        <w:outlineLvl w:val="0"/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</w:pP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为深入贯彻落实数字中国建设战略部署，落实北京市“数智北京”发展要求，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  <w:t>按照昌平区“</w:t>
      </w: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  <w:t>十五五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  <w:t>”</w:t>
      </w: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  <w:t>规划编制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zh-CN"/>
        </w:rPr>
        <w:t>相关要求，</w:t>
      </w: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结合昌平区发展实际，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昌平</w:t>
      </w: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区政务服务和数据管理局牵头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起草</w:t>
      </w: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了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《“十五五”时期数智昌平发展规划（征求意见稿）》</w:t>
      </w: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（以下简称《规划》）。现将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起草</w:t>
      </w: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有关情况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说明</w:t>
      </w: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如下：</w:t>
      </w:r>
    </w:p>
    <w:p w14:paraId="375199F0">
      <w:pPr>
        <w:pStyle w:val="4"/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Lines="0" w:beforeAutospacing="0" w:afterLines="0" w:afterAutospacing="0" w:line="560" w:lineRule="exact"/>
        <w:ind w:firstLine="640" w:firstLineChars="200"/>
        <w:jc w:val="both"/>
        <w:outlineLvl w:val="0"/>
        <w:rPr>
          <w:rFonts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一、起草背景</w:t>
      </w:r>
    </w:p>
    <w:p w14:paraId="1C499D36">
      <w:pPr>
        <w:pStyle w:val="4"/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Lines="0" w:beforeAutospacing="0" w:afterLines="0" w:afterAutospacing="0" w:line="560" w:lineRule="exact"/>
        <w:ind w:firstLine="640" w:firstLineChars="200"/>
        <w:jc w:val="both"/>
        <w:outlineLvl w:val="0"/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</w:pP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《规划》</w:t>
      </w: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坚持对标先进、需求牵引、问题导向，深入开展调查研究。</w:t>
      </w:r>
      <w:r>
        <w:rPr>
          <w:rFonts w:ascii="仿宋_GB2312" w:hAnsi="黑体" w:eastAsia="仿宋_GB2312" w:cs="仿宋_GB2312"/>
          <w:b/>
          <w:bCs/>
          <w:color w:val="auto"/>
          <w:kern w:val="0"/>
          <w:sz w:val="32"/>
          <w:szCs w:val="32"/>
          <w:highlight w:val="none"/>
          <w:lang w:bidi="zh-CN"/>
        </w:rPr>
        <w:t>一是加强市区规划衔接</w:t>
      </w: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，系统研究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“</w:t>
      </w: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数智北京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”</w:t>
      </w: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总体部署，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围绕数据要素高效配置、数智基础设施建设、全域数智化发展等方面对标先进，</w:t>
      </w: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明确昌平区数智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化</w:t>
      </w: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发展定位和重点方向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，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确保《规划》前瞻性</w:t>
      </w: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。</w:t>
      </w:r>
      <w:r>
        <w:rPr>
          <w:rFonts w:ascii="仿宋_GB2312" w:hAnsi="黑体" w:eastAsia="仿宋_GB2312" w:cs="仿宋_GB2312"/>
          <w:b/>
          <w:bCs/>
          <w:color w:val="auto"/>
          <w:kern w:val="0"/>
          <w:sz w:val="32"/>
          <w:szCs w:val="32"/>
          <w:highlight w:val="none"/>
          <w:lang w:bidi="zh-CN"/>
        </w:rPr>
        <w:t>二是</w:t>
      </w:r>
      <w:r>
        <w:rPr>
          <w:rFonts w:hint="eastAsia" w:ascii="仿宋_GB2312" w:hAnsi="黑体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bidi="zh-CN"/>
        </w:rPr>
        <w:t>做好“十四五”智慧城市发展评估，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系统梳理研判“十四五”时期昌平区智慧城市发展基础、存在问题和面临挑战，为高质量推进“十五五”数智化建设提供参考依据。</w:t>
      </w:r>
      <w:r>
        <w:rPr>
          <w:rFonts w:hint="eastAsia" w:ascii="仿宋_GB2312" w:hAnsi="黑体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bidi="zh-CN"/>
        </w:rPr>
        <w:t>三是</w:t>
      </w:r>
      <w:r>
        <w:rPr>
          <w:rFonts w:ascii="仿宋_GB2312" w:hAnsi="黑体" w:eastAsia="仿宋_GB2312" w:cs="仿宋_GB2312"/>
          <w:b/>
          <w:bCs/>
          <w:color w:val="auto"/>
          <w:kern w:val="0"/>
          <w:sz w:val="32"/>
          <w:szCs w:val="32"/>
          <w:highlight w:val="none"/>
          <w:lang w:bidi="zh-CN"/>
        </w:rPr>
        <w:t>全面开展需求调研</w:t>
      </w: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，面向区内相关部门征集“十五五”重点需求，围绕城市治理、公共服务、产业发展、数据要素等领域开展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17个</w:t>
      </w: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重点部门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数智化发展需求走访座谈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；</w:t>
      </w: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加强企业和行业交流，组织召开5场重点企业调研座谈会，广泛征集数智化发展需求、创新案例和建设建议。</w:t>
      </w:r>
    </w:p>
    <w:p w14:paraId="66A88DCB">
      <w:pPr>
        <w:pStyle w:val="4"/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Lines="0" w:beforeAutospacing="0" w:afterLines="0" w:afterAutospacing="0" w:line="560" w:lineRule="exact"/>
        <w:ind w:firstLine="640" w:firstLineChars="200"/>
        <w:jc w:val="both"/>
        <w:outlineLvl w:val="0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二、起草过程</w:t>
      </w:r>
    </w:p>
    <w:p w14:paraId="3CB01CEF">
      <w:pPr>
        <w:adjustRightInd w:val="0"/>
        <w:snapToGrid w:val="0"/>
        <w:spacing w:line="560" w:lineRule="exact"/>
        <w:ind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bidi="ar"/>
        </w:rPr>
        <w:t>围绕“十五五”时期昌平区数智化发展需求，面向相关部门征集重点需求，开展17场重点部门调研，组织召开5场重点企业调研座谈会。在广泛调研智慧城市、数据要素等领域实践经验和发展需求的基础上，经过多次研讨和深入论证，形成《规划》初稿。2026年1月，面向87家相关单位征求意见，共收到12家单位反馈意见55条。经认真梳理研究，充分吸收相关意见建议，并据此对《规划》进行了修改完善。2026年3月，组织召开《规划》专家评审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bidi="ar"/>
        </w:rPr>
        <w:t>根据专家评审意见，对规划内容进一步修改完善。结合市级规划、区级相关规划及政策文件最新要求，持续对《规划》内容进行调整优化。</w:t>
      </w:r>
    </w:p>
    <w:p w14:paraId="4FA2FCBB">
      <w:pPr>
        <w:pStyle w:val="4"/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Lines="0" w:beforeAutospacing="0" w:afterLines="0" w:afterAutospacing="0" w:line="560" w:lineRule="exact"/>
        <w:ind w:left="0" w:leftChars="0" w:firstLine="640" w:firstLineChars="200"/>
        <w:jc w:val="both"/>
        <w:outlineLvl w:val="0"/>
        <w:rPr>
          <w:rFonts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三</w:t>
      </w:r>
      <w:r>
        <w:rPr>
          <w:rFonts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、主要内容</w:t>
      </w:r>
    </w:p>
    <w:p w14:paraId="3FBFD563">
      <w:pPr>
        <w:pStyle w:val="4"/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Lines="0" w:beforeAutospacing="0" w:afterLines="0" w:afterAutospacing="0" w:line="560" w:lineRule="exact"/>
        <w:ind w:firstLine="640" w:firstLineChars="200"/>
        <w:jc w:val="both"/>
        <w:outlineLvl w:val="0"/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</w:pP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《规划》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分为三个部分，包括总体要求、主要任务和保障措施。</w:t>
      </w:r>
    </w:p>
    <w:p w14:paraId="1C1DD70F">
      <w:pPr>
        <w:pStyle w:val="4"/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Lines="0" w:beforeAutospacing="0" w:afterLines="0" w:afterAutospacing="0" w:line="560" w:lineRule="exact"/>
        <w:ind w:firstLine="643" w:firstLineChars="200"/>
        <w:jc w:val="both"/>
        <w:outlineLvl w:val="0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黑体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bidi="zh-CN"/>
        </w:rPr>
        <w:t>第一部分，总体要求。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/>
        </w:rPr>
        <w:t>重点阐述“十五五”时期“数智昌平”的指导思想和发展目标，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</w:rPr>
        <w:t>围绕数智基础设施、数据要素、产业经济、数智应用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/>
        </w:rPr>
        <w:t>四个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</w:rPr>
        <w:t>方面设置主要发展指标，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/>
        </w:rPr>
        <w:t>明确未来五年数智城市建设总体方向。</w:t>
      </w:r>
    </w:p>
    <w:p w14:paraId="0344665F">
      <w:pPr>
        <w:pStyle w:val="4"/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Lines="0" w:beforeAutospacing="0" w:afterLines="0" w:afterAutospacing="0" w:line="560" w:lineRule="exact"/>
        <w:ind w:firstLine="643" w:firstLineChars="200"/>
        <w:jc w:val="both"/>
        <w:outlineLvl w:val="0"/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</w:pPr>
      <w:r>
        <w:rPr>
          <w:rFonts w:hint="eastAsia" w:ascii="仿宋_GB2312" w:hAnsi="黑体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bidi="zh-CN"/>
        </w:rPr>
        <w:t>第二部分，主要任务。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围绕数智城市建设重点方向，提出十方面重点任务。</w:t>
      </w:r>
      <w:r>
        <w:rPr>
          <w:rFonts w:hint="eastAsia" w:ascii="仿宋_GB2312" w:hAnsi="黑体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bidi="zh-CN"/>
        </w:rPr>
        <w:t>一是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健全适数化发展制度，完善数智发展体系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，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推动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数据基础制度标准落实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；</w:t>
      </w:r>
      <w:r>
        <w:rPr>
          <w:rFonts w:hint="eastAsia" w:ascii="仿宋_GB2312" w:hAnsi="黑体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bidi="zh-CN"/>
        </w:rPr>
        <w:t>二是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夯实城市数智底座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，加速布局高速泛在通信网络，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提升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多元算力供给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服务能力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，构建全域立体智能感知体系，强化安全可信数据基础设施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，增强数字承载能力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；</w:t>
      </w:r>
      <w:r>
        <w:rPr>
          <w:rFonts w:hint="eastAsia" w:ascii="仿宋_GB2312" w:hAnsi="黑体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bidi="zh-CN"/>
        </w:rPr>
        <w:t>三是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夯实数据资源体系，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加强高质量数据资源供给，促进多层次数据资源流通，深化数据资源场景化应用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；</w:t>
      </w:r>
      <w:r>
        <w:rPr>
          <w:rFonts w:hint="eastAsia" w:ascii="仿宋_GB2312" w:hAnsi="黑体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bidi="zh-CN"/>
        </w:rPr>
        <w:t>四是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优化数智产业布局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，推进数据产业集聚发展，加快人工智能产业创新升级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，发展智能经济业态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；</w:t>
      </w:r>
      <w:r>
        <w:rPr>
          <w:rFonts w:hint="eastAsia" w:ascii="仿宋_GB2312" w:hAnsi="黑体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bidi="zh-CN"/>
        </w:rPr>
        <w:t>五是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打造城市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数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智中枢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，构建城市智能能力底座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，赋能全域数智发展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；</w:t>
      </w:r>
      <w:r>
        <w:rPr>
          <w:rFonts w:hint="eastAsia" w:ascii="仿宋_GB2312" w:hAnsi="黑体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bidi="zh-CN"/>
        </w:rPr>
        <w:t>六是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强化数智服务供给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，提升政务服务数智化效能，打造高效便捷营商环</w:t>
      </w:r>
      <w:bookmarkStart w:id="0" w:name="_GoBack"/>
      <w:bookmarkEnd w:id="0"/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境，推动公共服务普惠智能，打造数智融合生活服务形态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，提升城市服务品质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；</w:t>
      </w:r>
      <w:r>
        <w:rPr>
          <w:rFonts w:hint="eastAsia" w:ascii="仿宋_GB2312" w:hAnsi="黑体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bidi="zh-CN"/>
        </w:rPr>
        <w:t>七是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完善城乡治理体系，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促进城市治理精细智能，完善社会治安防控体系，提升城市安全韧性水平，加快农业农村数智发展，推进数智赋能基层治理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；</w:t>
      </w:r>
      <w:r>
        <w:rPr>
          <w:rFonts w:hint="eastAsia" w:ascii="仿宋_GB2312" w:hAnsi="黑体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bidi="zh-CN"/>
        </w:rPr>
        <w:t>八是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聚焦城市生态宜居，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提升文化旅游数智化水平，推进生态环境治理精细化，打造绿色低碳宜居环境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；</w:t>
      </w:r>
      <w:r>
        <w:rPr>
          <w:rFonts w:hint="eastAsia" w:ascii="仿宋_GB2312" w:hAnsi="黑体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bidi="zh-CN"/>
        </w:rPr>
        <w:t>九是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推动产业数智转型，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打造生命健康数智创新高地，推动能源产业数智融合发展，深化先进制造数智融合创新，发展现代服务业数智新业态，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激活产业发展动能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；</w:t>
      </w:r>
      <w:r>
        <w:rPr>
          <w:rFonts w:hint="eastAsia" w:ascii="仿宋_GB2312" w:hAnsi="黑体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bidi="zh-CN"/>
        </w:rPr>
        <w:t>十是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强化安全保障能力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，强化数智基础设施安全防护，保障数据与人工智能应用安全，深化网络空间综合治理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，坚守数智发展底线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。</w:t>
      </w:r>
    </w:p>
    <w:p w14:paraId="6CFADD43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仿宋_GB2312" w:hAnsi="仿宋_GB2312" w:eastAsia="仿宋_GB2312" w:cs="仿宋_GB2312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黑体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bidi="zh-CN"/>
        </w:rPr>
        <w:t>第三部分，保障措施。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围绕《规划》实施提出强化组织保障、深化市区协同、完善资金保障、强化人才保障、健全运营机制等保障措施。</w:t>
      </w:r>
    </w:p>
    <w:p w14:paraId="27B760F3">
      <w:pPr>
        <w:pStyle w:val="4"/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Lines="0" w:beforeAutospacing="0" w:afterLines="0" w:afterAutospacing="0" w:line="560" w:lineRule="exact"/>
        <w:ind w:left="0" w:leftChars="0" w:firstLine="640" w:firstLineChars="200"/>
        <w:jc w:val="both"/>
        <w:outlineLvl w:val="0"/>
        <w:rPr>
          <w:rFonts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四</w:t>
      </w:r>
      <w:r>
        <w:rPr>
          <w:rFonts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、规划特色</w:t>
      </w:r>
    </w:p>
    <w:p w14:paraId="2A5E3F3E">
      <w:pPr>
        <w:pStyle w:val="4"/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Lines="0" w:beforeAutospacing="0" w:afterLines="0" w:afterAutospacing="0" w:line="560" w:lineRule="exact"/>
        <w:ind w:firstLine="640" w:firstLineChars="200"/>
        <w:jc w:val="both"/>
        <w:outlineLvl w:val="0"/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</w:pP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《规划》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突出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人工智能引领、数智融合赋能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和特色场景牵引三方面特点</w:t>
      </w:r>
      <w:r>
        <w:rPr>
          <w:rFonts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。</w:t>
      </w:r>
    </w:p>
    <w:p w14:paraId="53C05B9B">
      <w:pPr>
        <w:pStyle w:val="4"/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Lines="0" w:beforeAutospacing="0" w:afterLines="0" w:afterAutospacing="0" w:line="560" w:lineRule="exact"/>
        <w:ind w:firstLine="640" w:firstLineChars="200"/>
        <w:jc w:val="both"/>
        <w:outlineLvl w:val="0"/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（一）强化人工智能引领。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确立人工智能在“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数智昌平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”建设中的引领地位，转变传统信息化建设思维，将政务大模型、智能体等新一代人工智能能力融入数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智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底座升级、制度体系完善、应用场景创新全过程。</w:t>
      </w:r>
    </w:p>
    <w:p w14:paraId="20A23757">
      <w:pPr>
        <w:pStyle w:val="4"/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Lines="0" w:beforeAutospacing="0" w:afterLines="0" w:afterAutospacing="0" w:line="560" w:lineRule="exact"/>
        <w:ind w:firstLine="640" w:firstLineChars="200"/>
        <w:jc w:val="both"/>
        <w:outlineLvl w:val="0"/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（二）坚持数智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融合赋能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。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推动数据、算法、模型与业务流程深度融合，探索智能体驱动的城市治理新模式，推动治理方式由“被动响应”向“主动发现”、由“人工处置”向“智能辅助”转变，提升城市运行和基层治理效能。</w:t>
      </w:r>
    </w:p>
    <w:p w14:paraId="4843F0E2">
      <w:pPr>
        <w:pStyle w:val="4"/>
        <w:keepNext w:val="0"/>
        <w:keepLines w:val="0"/>
        <w:widowControl w:val="0"/>
        <w:suppressLineNumbers w:val="0"/>
        <w:autoSpaceDE w:val="0"/>
        <w:autoSpaceDN w:val="0"/>
        <w:adjustRightInd w:val="0"/>
        <w:snapToGrid w:val="0"/>
        <w:spacing w:beforeLines="0" w:beforeAutospacing="0" w:afterLines="0" w:afterAutospacing="0" w:line="560" w:lineRule="exact"/>
        <w:ind w:firstLine="640" w:firstLineChars="200"/>
        <w:jc w:val="both"/>
        <w:outlineLvl w:val="0"/>
        <w:rPr>
          <w:rFonts w:hint="eastAsia" w:ascii="仿宋_GB2312" w:hAnsi="黑体" w:eastAsia="仿宋_GB2312" w:cs="仿宋_GB2312"/>
          <w:b w:val="0"/>
          <w:bCs w:val="0"/>
          <w:snapToGrid/>
          <w:color w:val="auto"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（三）突出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highlight w:val="none"/>
          <w:lang w:val="en-US" w:bidi="zh-CN"/>
        </w:rPr>
        <w:t>特色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场景牵引。</w:t>
      </w:r>
      <w:r>
        <w:rPr>
          <w:rFonts w:hint="eastAsia" w:ascii="仿宋_GB2312" w:hAnsi="黑体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bidi="zh-CN"/>
        </w:rPr>
        <w:t>坚持需求导向、轻量建设、快速迭代，围绕群众、企业和基层工作人员高频需求，打造一批可感知、可应用、可推广的智能化场景。通过试点探索、持续优化和复制推广，推动人工智能能力向各领域、各层级延伸，形成数智政府建设持续创新发展的良性机制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A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8"/>
    <w:family w:val="modern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6A81D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9C370C">
                          <w:pPr>
                            <w:pStyle w:val="8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29C370C">
                    <w:pPr>
                      <w:pStyle w:val="8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F6691"/>
    <w:rsid w:val="0858402D"/>
    <w:rsid w:val="0AB644C3"/>
    <w:rsid w:val="0AFB763F"/>
    <w:rsid w:val="0CC27BBA"/>
    <w:rsid w:val="0D9A5BB7"/>
    <w:rsid w:val="0DC320B7"/>
    <w:rsid w:val="1356560D"/>
    <w:rsid w:val="15B44213"/>
    <w:rsid w:val="173C4B1A"/>
    <w:rsid w:val="19C16294"/>
    <w:rsid w:val="1ECF6645"/>
    <w:rsid w:val="20942B02"/>
    <w:rsid w:val="24D569FD"/>
    <w:rsid w:val="251B3358"/>
    <w:rsid w:val="25244F82"/>
    <w:rsid w:val="26DE3335"/>
    <w:rsid w:val="26E379FD"/>
    <w:rsid w:val="27E5180D"/>
    <w:rsid w:val="2A4D26D4"/>
    <w:rsid w:val="2F397AAF"/>
    <w:rsid w:val="31455897"/>
    <w:rsid w:val="35846425"/>
    <w:rsid w:val="3687595A"/>
    <w:rsid w:val="36910537"/>
    <w:rsid w:val="37EB1AE5"/>
    <w:rsid w:val="3A3C0EF2"/>
    <w:rsid w:val="3BEB24E7"/>
    <w:rsid w:val="3ECBFACC"/>
    <w:rsid w:val="411145E0"/>
    <w:rsid w:val="4142704D"/>
    <w:rsid w:val="426938C8"/>
    <w:rsid w:val="42A31D6D"/>
    <w:rsid w:val="43D146B8"/>
    <w:rsid w:val="45D86D8A"/>
    <w:rsid w:val="474D04FA"/>
    <w:rsid w:val="4774202F"/>
    <w:rsid w:val="4C917169"/>
    <w:rsid w:val="4D61085B"/>
    <w:rsid w:val="4DC223B8"/>
    <w:rsid w:val="4F6B5360"/>
    <w:rsid w:val="4FBF9F64"/>
    <w:rsid w:val="4FCB231E"/>
    <w:rsid w:val="50422451"/>
    <w:rsid w:val="50F419E6"/>
    <w:rsid w:val="55B87486"/>
    <w:rsid w:val="55E53FF3"/>
    <w:rsid w:val="5A4B3D7D"/>
    <w:rsid w:val="5BE014E5"/>
    <w:rsid w:val="5DF2C425"/>
    <w:rsid w:val="61D94C85"/>
    <w:rsid w:val="61DB4C28"/>
    <w:rsid w:val="63E241AA"/>
    <w:rsid w:val="65405B76"/>
    <w:rsid w:val="65C367D1"/>
    <w:rsid w:val="66454086"/>
    <w:rsid w:val="6A2F7A10"/>
    <w:rsid w:val="6AFC5C0F"/>
    <w:rsid w:val="6B035106"/>
    <w:rsid w:val="6B5F32F5"/>
    <w:rsid w:val="6B7B4DAB"/>
    <w:rsid w:val="70622071"/>
    <w:rsid w:val="706E2FF6"/>
    <w:rsid w:val="712F2E52"/>
    <w:rsid w:val="71A010A2"/>
    <w:rsid w:val="72183203"/>
    <w:rsid w:val="75ED4AD2"/>
    <w:rsid w:val="78CC4E59"/>
    <w:rsid w:val="7BB78C73"/>
    <w:rsid w:val="7C643CB6"/>
    <w:rsid w:val="7D543BC6"/>
    <w:rsid w:val="7DDF081C"/>
    <w:rsid w:val="7F1A58FA"/>
    <w:rsid w:val="7F5576EC"/>
    <w:rsid w:val="BEBA1AE1"/>
    <w:rsid w:val="D3CF5A45"/>
    <w:rsid w:val="D9EF0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6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customStyle="1" w:styleId="3">
    <w:name w:val="目录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4">
    <w:name w:val="page number"/>
    <w:qFormat/>
    <w:uiPriority w:val="0"/>
  </w:style>
  <w:style w:type="character" w:styleId="15">
    <w:name w:val="footnote reference"/>
    <w:basedOn w:val="13"/>
    <w:qFormat/>
    <w:uiPriority w:val="0"/>
    <w:rPr>
      <w:vertAlign w:val="superscript"/>
    </w:rPr>
  </w:style>
  <w:style w:type="paragraph" w:customStyle="1" w:styleId="16">
    <w:name w:val="p0"/>
    <w:basedOn w:val="1"/>
    <w:qFormat/>
    <w:uiPriority w:val="0"/>
    <w:pPr>
      <w:widowControl/>
      <w:spacing w:line="240" w:lineRule="atLeast"/>
    </w:pPr>
    <w:rPr>
      <w:rFonts w:ascii="Calibri" w:hAnsi="Calibri" w:cs="Calibri"/>
      <w:spacing w:val="-6"/>
      <w:kern w:val="0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925baece-c050-4191-8ad6-46f576fc2573</errorID>
      <errorWord xmlns="http://schemas.wps.cn/vas-ai-hub/contract-review">智城市建设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智慧城市建设</item>
      </candidateList>
      <explain xmlns="http://schemas.wps.cn/vas-ai-hub/contract-review">词汇“智慧城市建设”在特定场景下为固定表述形式，请确认此处的“智城市建设”是否存在不当。</explain>
      <paraID xmlns="http://schemas.wps.cn/vas-ai-hub/contract-review"> 344665F</paraID>
      <start xmlns="http://schemas.wps.cn/vas-ai-hub/contract-review">13</start>
      <end xmlns="http://schemas.wps.cn/vas-ai-hub/contract-review">18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2b3c1e75-ea0f-44fd-a341-b2c0f948e4b3</errorID>
      <errorWord xmlns="http://schemas.wps.cn/vas-ai-hub/contract-review">数智政府建设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数字政府建设</item>
      </candidateList>
      <explain xmlns="http://schemas.wps.cn/vas-ai-hub/contract-review">词汇“数字政府建设”在特定场景下为固定表述形式，请确认此处的“数智政府建设”是否存在不当。</explain>
      <paraID xmlns="http://schemas.wps.cn/vas-ai-hub/contract-review">4843F0E2</paraID>
      <start xmlns="http://schemas.wps.cn/vas-ai-hub/contract-review">108</start>
      <end xmlns="http://schemas.wps.cn/vas-ai-hub/contract-review">114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2c4735-4b0f-4d49-b956-24d63337a9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1864</Words>
  <Characters>1875</Characters>
  <Lines>0</Lines>
  <Paragraphs>0</Paragraphs>
  <TotalTime>60</TotalTime>
  <ScaleCrop>false</ScaleCrop>
  <LinksUpToDate>false</LinksUpToDate>
  <CharactersWithSpaces>1875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2026-03-05T18:09:00Z</dcterms:created>
  <dc:creator>Thinkpad</dc:creator>
  <cp:lastModifiedBy>HIGC</cp:lastModifiedBy>
  <cp:lastPrinted>2026-09-18T17:26:00Z</cp:lastPrinted>
  <dcterms:modified xsi:type="dcterms:W3CDTF">2026-09-20T20:02:37Z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eyJoZGlkIjoiZDgzY2FjMDU1ZjI2YjAwY2VjNDVmMWYzZmE2NzI2NjAiLCJ1c2VySWQiOiIxNDYzMjEzMTIxIn0=</vt:lpwstr>
  </property>
  <property fmtid="{D5CDD505-2E9C-101B-9397-08002B2CF9AE}" pid="4" name="ICV">
    <vt:lpwstr>EED9DD5EE3FC422B9F64D37D0E93592D_13</vt:lpwstr>
  </property>
</Properties>
</file>